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BE6D437" w14:textId="77777777" w:rsidR="00345EE3" w:rsidRPr="00F2119D" w:rsidRDefault="00345EE3" w:rsidP="00345EE3">
      <w:pPr>
        <w:pStyle w:val="Heading1"/>
        <w:spacing w:line="622" w:lineRule="exact"/>
        <w:rPr>
          <w:b w:val="0"/>
          <w:bCs/>
          <w:sz w:val="56"/>
          <w:szCs w:val="56"/>
        </w:rPr>
      </w:pPr>
      <w:r w:rsidRPr="00F2119D">
        <w:rPr>
          <w:b w:val="0"/>
          <w:bCs/>
          <w:color w:val="00529F"/>
          <w:sz w:val="56"/>
          <w:szCs w:val="56"/>
        </w:rPr>
        <w:t>Victoria</w:t>
      </w:r>
      <w:r w:rsidRPr="00F2119D">
        <w:rPr>
          <w:b w:val="0"/>
          <w:bCs/>
          <w:color w:val="00529F"/>
          <w:spacing w:val="-28"/>
          <w:sz w:val="56"/>
          <w:szCs w:val="56"/>
        </w:rPr>
        <w:t xml:space="preserve"> </w:t>
      </w:r>
      <w:r w:rsidRPr="00F2119D">
        <w:rPr>
          <w:b w:val="0"/>
          <w:bCs/>
          <w:color w:val="00529F"/>
          <w:spacing w:val="-2"/>
          <w:sz w:val="56"/>
          <w:szCs w:val="56"/>
        </w:rPr>
        <w:t>Police</w:t>
      </w:r>
    </w:p>
    <w:p w14:paraId="21680C76" w14:textId="77777777" w:rsidR="00345EE3" w:rsidRDefault="00345EE3" w:rsidP="00345EE3">
      <w:pPr>
        <w:spacing w:line="622" w:lineRule="exact"/>
        <w:ind w:left="110"/>
        <w:rPr>
          <w:sz w:val="56"/>
        </w:rPr>
      </w:pPr>
      <w:r>
        <w:rPr>
          <w:color w:val="00529F"/>
          <w:sz w:val="56"/>
        </w:rPr>
        <w:t>Annual</w:t>
      </w:r>
      <w:r>
        <w:rPr>
          <w:color w:val="00529F"/>
          <w:spacing w:val="-22"/>
          <w:sz w:val="56"/>
        </w:rPr>
        <w:t xml:space="preserve"> </w:t>
      </w:r>
      <w:r>
        <w:rPr>
          <w:color w:val="00529F"/>
          <w:sz w:val="56"/>
        </w:rPr>
        <w:t>Report</w:t>
      </w:r>
      <w:r>
        <w:rPr>
          <w:color w:val="00529F"/>
          <w:spacing w:val="-21"/>
          <w:sz w:val="56"/>
        </w:rPr>
        <w:t xml:space="preserve"> </w:t>
      </w:r>
      <w:r>
        <w:rPr>
          <w:color w:val="00529F"/>
          <w:spacing w:val="-2"/>
          <w:sz w:val="56"/>
        </w:rPr>
        <w:t>2021–2022</w:t>
      </w:r>
    </w:p>
    <w:p w14:paraId="2FB2D379" w14:textId="77777777" w:rsidR="00345EE3" w:rsidRDefault="00345EE3" w:rsidP="00345EE3">
      <w:pPr>
        <w:pStyle w:val="BodyText"/>
        <w:spacing w:before="6"/>
        <w:rPr>
          <w:sz w:val="27"/>
        </w:rPr>
      </w:pPr>
      <w:r>
        <w:rPr>
          <w:noProof/>
        </w:rPr>
        <w:drawing>
          <wp:inline distT="0" distB="0" distL="0" distR="0" wp14:anchorId="2B96A35F" wp14:editId="4D062DBB">
            <wp:extent cx="6281633" cy="7978330"/>
            <wp:effectExtent l="0" t="0" r="5080" b="0"/>
            <wp:docPr id="1" name="image1.jpeg" descr="Cover image: Victoria Police Officer badges lined up in foreground and some Police Services Officer badges lined up in the background laid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ver image: Victoria Police Officer badges lined up in foreground and some Police Services Officer badges lined up in the background laid fla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1633" cy="7978330"/>
                    </a:xfrm>
                    <a:prstGeom prst="rect">
                      <a:avLst/>
                    </a:prstGeom>
                  </pic:spPr>
                </pic:pic>
              </a:graphicData>
            </a:graphic>
          </wp:inline>
        </w:drawing>
      </w:r>
    </w:p>
    <w:p w14:paraId="7A67A32B" w14:textId="77777777" w:rsidR="00345EE3" w:rsidRDefault="00345EE3" w:rsidP="00345EE3">
      <w:pPr>
        <w:rPr>
          <w:sz w:val="27"/>
        </w:rPr>
        <w:sectPr w:rsidR="00345EE3" w:rsidSect="00345EE3">
          <w:headerReference w:type="even" r:id="rId9"/>
          <w:headerReference w:type="default" r:id="rId10"/>
          <w:footerReference w:type="even" r:id="rId11"/>
          <w:footerReference w:type="default" r:id="rId12"/>
          <w:headerReference w:type="first" r:id="rId13"/>
          <w:footerReference w:type="first" r:id="rId14"/>
          <w:pgSz w:w="11910" w:h="16840"/>
          <w:pgMar w:top="660" w:right="0" w:bottom="280" w:left="740" w:header="720" w:footer="720" w:gutter="0"/>
          <w:pgNumType w:start="1"/>
          <w:cols w:space="720"/>
        </w:sectPr>
      </w:pPr>
    </w:p>
    <w:p w14:paraId="74EB9D22" w14:textId="77777777" w:rsidR="00345EE3" w:rsidRDefault="00345EE3" w:rsidP="00345EE3">
      <w:pPr>
        <w:pStyle w:val="BodyText"/>
        <w:spacing w:before="62" w:line="242" w:lineRule="auto"/>
        <w:ind w:right="921"/>
      </w:pPr>
      <w:r>
        <w:rPr>
          <w:color w:val="231F20"/>
        </w:rPr>
        <w:lastRenderedPageBreak/>
        <w:t>Victoria Police respectfully acknowledges the Traditional Owners of the country throughout Victoria. We pay our respects to Elders, both past, present, and emerging and continue to recognise</w:t>
      </w:r>
      <w:r>
        <w:rPr>
          <w:color w:val="231F20"/>
          <w:spacing w:val="-8"/>
        </w:rPr>
        <w:t xml:space="preserve"> </w:t>
      </w:r>
      <w:r>
        <w:rPr>
          <w:color w:val="231F20"/>
        </w:rPr>
        <w:t>and</w:t>
      </w:r>
      <w:r>
        <w:rPr>
          <w:color w:val="231F20"/>
          <w:spacing w:val="-8"/>
        </w:rPr>
        <w:t xml:space="preserve"> </w:t>
      </w:r>
      <w:r>
        <w:rPr>
          <w:color w:val="231F20"/>
        </w:rPr>
        <w:t>embrace</w:t>
      </w:r>
      <w:r>
        <w:rPr>
          <w:color w:val="231F20"/>
          <w:spacing w:val="-8"/>
        </w:rPr>
        <w:t xml:space="preserve"> </w:t>
      </w:r>
      <w:r>
        <w:rPr>
          <w:color w:val="231F20"/>
        </w:rPr>
        <w:t>the</w:t>
      </w:r>
      <w:r>
        <w:rPr>
          <w:color w:val="231F20"/>
          <w:spacing w:val="-8"/>
        </w:rPr>
        <w:t xml:space="preserve"> </w:t>
      </w:r>
      <w:r>
        <w:rPr>
          <w:color w:val="231F20"/>
        </w:rPr>
        <w:t>fact</w:t>
      </w:r>
      <w:r>
        <w:rPr>
          <w:color w:val="231F20"/>
          <w:spacing w:val="-8"/>
        </w:rPr>
        <w:t xml:space="preserve"> </w:t>
      </w:r>
      <w:r>
        <w:rPr>
          <w:color w:val="231F20"/>
        </w:rPr>
        <w:t>that</w:t>
      </w:r>
      <w:r>
        <w:rPr>
          <w:color w:val="231F20"/>
          <w:spacing w:val="-8"/>
        </w:rPr>
        <w:t xml:space="preserve"> </w:t>
      </w:r>
      <w:r>
        <w:rPr>
          <w:color w:val="231F20"/>
        </w:rPr>
        <w:t>Aboriginal</w:t>
      </w:r>
      <w:r>
        <w:rPr>
          <w:color w:val="231F20"/>
          <w:spacing w:val="-8"/>
        </w:rPr>
        <w:t xml:space="preserve"> </w:t>
      </w:r>
      <w:r>
        <w:rPr>
          <w:color w:val="231F20"/>
        </w:rPr>
        <w:t>People</w:t>
      </w:r>
      <w:r>
        <w:rPr>
          <w:color w:val="231F20"/>
          <w:spacing w:val="-8"/>
        </w:rPr>
        <w:t xml:space="preserve"> </w:t>
      </w:r>
      <w:r>
        <w:rPr>
          <w:color w:val="231F20"/>
        </w:rPr>
        <w:t>are</w:t>
      </w:r>
      <w:r>
        <w:rPr>
          <w:color w:val="231F20"/>
          <w:spacing w:val="-8"/>
        </w:rPr>
        <w:t xml:space="preserve"> </w:t>
      </w:r>
      <w:r>
        <w:rPr>
          <w:color w:val="231F20"/>
        </w:rPr>
        <w:t>connected</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oldest,</w:t>
      </w:r>
      <w:r>
        <w:rPr>
          <w:color w:val="231F20"/>
          <w:spacing w:val="-8"/>
        </w:rPr>
        <w:t xml:space="preserve"> </w:t>
      </w:r>
      <w:r>
        <w:rPr>
          <w:color w:val="231F20"/>
        </w:rPr>
        <w:t xml:space="preserve">continuous </w:t>
      </w:r>
      <w:r>
        <w:rPr>
          <w:color w:val="231F20"/>
          <w:spacing w:val="-2"/>
        </w:rPr>
        <w:t>history.</w:t>
      </w:r>
    </w:p>
    <w:p w14:paraId="0DF80C94" w14:textId="77777777" w:rsidR="00345EE3" w:rsidRDefault="00345EE3" w:rsidP="00345EE3">
      <w:pPr>
        <w:pStyle w:val="BodyText"/>
        <w:spacing w:before="5" w:line="390" w:lineRule="atLeast"/>
        <w:ind w:right="5672"/>
      </w:pPr>
      <w:r>
        <w:rPr>
          <w:color w:val="231F20"/>
        </w:rPr>
        <w:t>Authorised</w:t>
      </w:r>
      <w:r>
        <w:rPr>
          <w:color w:val="231F20"/>
          <w:spacing w:val="-15"/>
        </w:rPr>
        <w:t xml:space="preserve"> </w:t>
      </w:r>
      <w:r>
        <w:rPr>
          <w:color w:val="231F20"/>
        </w:rPr>
        <w:t>and</w:t>
      </w:r>
      <w:r>
        <w:rPr>
          <w:color w:val="231F20"/>
          <w:spacing w:val="-15"/>
        </w:rPr>
        <w:t xml:space="preserve"> </w:t>
      </w:r>
      <w:r>
        <w:rPr>
          <w:color w:val="231F20"/>
        </w:rPr>
        <w:t>published</w:t>
      </w:r>
      <w:r>
        <w:rPr>
          <w:color w:val="231F20"/>
          <w:spacing w:val="-15"/>
        </w:rPr>
        <w:t xml:space="preserve"> </w:t>
      </w:r>
      <w:r>
        <w:rPr>
          <w:color w:val="231F20"/>
        </w:rPr>
        <w:t>by</w:t>
      </w:r>
      <w:r>
        <w:rPr>
          <w:color w:val="231F20"/>
          <w:spacing w:val="-16"/>
        </w:rPr>
        <w:t xml:space="preserve"> </w:t>
      </w:r>
      <w:r>
        <w:rPr>
          <w:color w:val="231F20"/>
        </w:rPr>
        <w:t>Victoria</w:t>
      </w:r>
      <w:r>
        <w:rPr>
          <w:color w:val="231F20"/>
          <w:spacing w:val="-15"/>
        </w:rPr>
        <w:t xml:space="preserve"> </w:t>
      </w:r>
      <w:r>
        <w:rPr>
          <w:color w:val="231F20"/>
        </w:rPr>
        <w:t>Police. Victoria Police Centre</w:t>
      </w:r>
    </w:p>
    <w:p w14:paraId="00073A8C" w14:textId="77777777" w:rsidR="00345EE3" w:rsidRDefault="00345EE3" w:rsidP="00345EE3">
      <w:pPr>
        <w:pStyle w:val="BodyText"/>
        <w:spacing w:before="7"/>
      </w:pPr>
      <w:r>
        <w:rPr>
          <w:color w:val="231F20"/>
        </w:rPr>
        <w:t>311</w:t>
      </w:r>
      <w:r>
        <w:rPr>
          <w:color w:val="231F20"/>
          <w:spacing w:val="-14"/>
        </w:rPr>
        <w:t xml:space="preserve"> </w:t>
      </w:r>
      <w:r>
        <w:rPr>
          <w:color w:val="231F20"/>
        </w:rPr>
        <w:t>Spencer</w:t>
      </w:r>
      <w:r>
        <w:rPr>
          <w:color w:val="231F20"/>
          <w:spacing w:val="-13"/>
        </w:rPr>
        <w:t xml:space="preserve"> </w:t>
      </w:r>
      <w:r>
        <w:rPr>
          <w:color w:val="231F20"/>
        </w:rPr>
        <w:t>Street,</w:t>
      </w:r>
      <w:r>
        <w:rPr>
          <w:color w:val="231F20"/>
          <w:spacing w:val="-14"/>
        </w:rPr>
        <w:t xml:space="preserve"> </w:t>
      </w:r>
      <w:r>
        <w:rPr>
          <w:color w:val="231F20"/>
        </w:rPr>
        <w:t>Docklands</w:t>
      </w:r>
      <w:r>
        <w:rPr>
          <w:color w:val="231F20"/>
          <w:spacing w:val="-13"/>
        </w:rPr>
        <w:t xml:space="preserve"> </w:t>
      </w:r>
      <w:r>
        <w:rPr>
          <w:color w:val="231F20"/>
        </w:rPr>
        <w:t>VIC</w:t>
      </w:r>
      <w:r>
        <w:rPr>
          <w:color w:val="231F20"/>
          <w:spacing w:val="-13"/>
        </w:rPr>
        <w:t xml:space="preserve"> </w:t>
      </w:r>
      <w:r>
        <w:rPr>
          <w:color w:val="231F20"/>
          <w:spacing w:val="-4"/>
        </w:rPr>
        <w:t>3008</w:t>
      </w:r>
    </w:p>
    <w:p w14:paraId="305DC9DA" w14:textId="77777777" w:rsidR="00345EE3" w:rsidRDefault="00345EE3" w:rsidP="00345EE3">
      <w:pPr>
        <w:pStyle w:val="Heading5"/>
        <w:spacing w:before="4"/>
      </w:pPr>
      <w:r>
        <w:rPr>
          <w:color w:val="231F20"/>
          <w:spacing w:val="-2"/>
        </w:rPr>
        <w:t>police.vic.gov.au</w:t>
      </w:r>
    </w:p>
    <w:p w14:paraId="1915847E" w14:textId="77777777" w:rsidR="00345EE3" w:rsidRDefault="00345EE3" w:rsidP="00345EE3">
      <w:pPr>
        <w:pStyle w:val="BodyText"/>
        <w:spacing w:before="118"/>
      </w:pPr>
      <w:r>
        <w:rPr>
          <w:color w:val="231F20"/>
        </w:rPr>
        <w:t>Print</w:t>
      </w:r>
      <w:r>
        <w:rPr>
          <w:color w:val="231F20"/>
          <w:spacing w:val="-9"/>
        </w:rPr>
        <w:t xml:space="preserve"> </w:t>
      </w:r>
      <w:r>
        <w:rPr>
          <w:color w:val="231F20"/>
        </w:rPr>
        <w:t>managed</w:t>
      </w:r>
      <w:r>
        <w:rPr>
          <w:color w:val="231F20"/>
          <w:spacing w:val="-8"/>
        </w:rPr>
        <w:t xml:space="preserve"> </w:t>
      </w:r>
      <w:r>
        <w:rPr>
          <w:color w:val="231F20"/>
        </w:rPr>
        <w:t>by</w:t>
      </w:r>
      <w:r>
        <w:rPr>
          <w:color w:val="231F20"/>
          <w:spacing w:val="-8"/>
        </w:rPr>
        <w:t xml:space="preserve"> </w:t>
      </w:r>
      <w:r>
        <w:rPr>
          <w:color w:val="231F20"/>
        </w:rPr>
        <w:t>Finsbury</w:t>
      </w:r>
      <w:r>
        <w:rPr>
          <w:color w:val="231F20"/>
          <w:spacing w:val="-8"/>
        </w:rPr>
        <w:t xml:space="preserve"> </w:t>
      </w:r>
      <w:r>
        <w:rPr>
          <w:color w:val="231F20"/>
          <w:spacing w:val="-2"/>
        </w:rPr>
        <w:t>Green.</w:t>
      </w:r>
    </w:p>
    <w:p w14:paraId="6988A425" w14:textId="77777777" w:rsidR="00345EE3" w:rsidRDefault="00345EE3" w:rsidP="00345EE3">
      <w:pPr>
        <w:pStyle w:val="BodyText"/>
        <w:spacing w:before="117"/>
      </w:pPr>
      <w:r>
        <w:rPr>
          <w:color w:val="231F20"/>
        </w:rPr>
        <w:t>Designed</w:t>
      </w:r>
      <w:r>
        <w:rPr>
          <w:color w:val="231F20"/>
          <w:spacing w:val="-12"/>
        </w:rPr>
        <w:t xml:space="preserve"> </w:t>
      </w:r>
      <w:r>
        <w:rPr>
          <w:color w:val="231F20"/>
        </w:rPr>
        <w:t>by</w:t>
      </w:r>
      <w:r>
        <w:rPr>
          <w:color w:val="231F20"/>
          <w:spacing w:val="-10"/>
        </w:rPr>
        <w:t xml:space="preserve"> </w:t>
      </w:r>
      <w:r>
        <w:rPr>
          <w:color w:val="231F20"/>
        </w:rPr>
        <w:t>Bite</w:t>
      </w:r>
      <w:r>
        <w:rPr>
          <w:color w:val="231F20"/>
          <w:spacing w:val="-11"/>
        </w:rPr>
        <w:t xml:space="preserve"> </w:t>
      </w:r>
      <w:r>
        <w:rPr>
          <w:color w:val="231F20"/>
        </w:rPr>
        <w:t>Visual</w:t>
      </w:r>
      <w:r>
        <w:rPr>
          <w:color w:val="231F20"/>
          <w:spacing w:val="-11"/>
        </w:rPr>
        <w:t xml:space="preserve"> </w:t>
      </w:r>
      <w:r>
        <w:rPr>
          <w:color w:val="231F20"/>
        </w:rPr>
        <w:t>Communications</w:t>
      </w:r>
      <w:r>
        <w:rPr>
          <w:color w:val="231F20"/>
          <w:spacing w:val="-10"/>
        </w:rPr>
        <w:t xml:space="preserve"> </w:t>
      </w:r>
      <w:r>
        <w:rPr>
          <w:color w:val="231F20"/>
          <w:spacing w:val="-2"/>
        </w:rPr>
        <w:t>Group.</w:t>
      </w:r>
    </w:p>
    <w:p w14:paraId="3A0E1F7F" w14:textId="77777777" w:rsidR="00345EE3" w:rsidRDefault="00345EE3" w:rsidP="00345EE3">
      <w:pPr>
        <w:pStyle w:val="BodyText"/>
        <w:spacing w:before="118"/>
        <w:rPr>
          <w:b/>
        </w:rPr>
      </w:pPr>
      <w:r>
        <w:rPr>
          <w:color w:val="231F20"/>
        </w:rPr>
        <w:t>This</w:t>
      </w:r>
      <w:r>
        <w:rPr>
          <w:color w:val="231F20"/>
          <w:spacing w:val="-10"/>
        </w:rPr>
        <w:t xml:space="preserve"> </w:t>
      </w:r>
      <w:r>
        <w:rPr>
          <w:color w:val="231F20"/>
        </w:rPr>
        <w:t>publication</w:t>
      </w:r>
      <w:r>
        <w:rPr>
          <w:color w:val="231F20"/>
          <w:spacing w:val="-8"/>
        </w:rPr>
        <w:t xml:space="preserve"> </w:t>
      </w:r>
      <w:r>
        <w:rPr>
          <w:color w:val="231F20"/>
        </w:rPr>
        <w:t>is</w:t>
      </w:r>
      <w:r>
        <w:rPr>
          <w:color w:val="231F20"/>
          <w:spacing w:val="-7"/>
        </w:rPr>
        <w:t xml:space="preserve"> </w:t>
      </w:r>
      <w:r>
        <w:rPr>
          <w:color w:val="231F20"/>
        </w:rPr>
        <w:t>available</w:t>
      </w:r>
      <w:r>
        <w:rPr>
          <w:color w:val="231F20"/>
          <w:spacing w:val="-8"/>
        </w:rPr>
        <w:t xml:space="preserve"> </w:t>
      </w:r>
      <w:r>
        <w:rPr>
          <w:color w:val="231F20"/>
        </w:rPr>
        <w:t>in</w:t>
      </w:r>
      <w:r>
        <w:rPr>
          <w:color w:val="231F20"/>
          <w:spacing w:val="-9"/>
        </w:rPr>
        <w:t xml:space="preserve"> </w:t>
      </w:r>
      <w:r>
        <w:rPr>
          <w:color w:val="231F20"/>
        </w:rPr>
        <w:t>a</w:t>
      </w:r>
      <w:r>
        <w:rPr>
          <w:color w:val="231F20"/>
          <w:spacing w:val="-8"/>
        </w:rPr>
        <w:t xml:space="preserve"> </w:t>
      </w:r>
      <w:r>
        <w:rPr>
          <w:color w:val="231F20"/>
        </w:rPr>
        <w:t>format</w:t>
      </w:r>
      <w:r>
        <w:rPr>
          <w:color w:val="231F20"/>
          <w:spacing w:val="-7"/>
        </w:rPr>
        <w:t xml:space="preserve"> </w:t>
      </w:r>
      <w:r>
        <w:rPr>
          <w:color w:val="231F20"/>
        </w:rPr>
        <w:t>compliant</w:t>
      </w:r>
      <w:r>
        <w:rPr>
          <w:color w:val="231F20"/>
          <w:spacing w:val="-7"/>
        </w:rPr>
        <w:t xml:space="preserve"> </w:t>
      </w:r>
      <w:r>
        <w:rPr>
          <w:color w:val="231F20"/>
        </w:rPr>
        <w:t>with</w:t>
      </w:r>
      <w:r>
        <w:rPr>
          <w:color w:val="231F20"/>
          <w:spacing w:val="-9"/>
        </w:rPr>
        <w:t xml:space="preserve"> </w:t>
      </w:r>
      <w:r>
        <w:rPr>
          <w:color w:val="231F20"/>
        </w:rPr>
        <w:t>the</w:t>
      </w:r>
      <w:r>
        <w:rPr>
          <w:color w:val="231F20"/>
          <w:spacing w:val="-8"/>
        </w:rPr>
        <w:t xml:space="preserve"> </w:t>
      </w:r>
      <w:r>
        <w:rPr>
          <w:color w:val="231F20"/>
        </w:rPr>
        <w:t>WCAG</w:t>
      </w:r>
      <w:r>
        <w:rPr>
          <w:color w:val="231F20"/>
          <w:spacing w:val="-7"/>
        </w:rPr>
        <w:t xml:space="preserve"> </w:t>
      </w:r>
      <w:r>
        <w:rPr>
          <w:color w:val="231F20"/>
        </w:rPr>
        <w:t>2.0</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b/>
          <w:color w:val="231F20"/>
          <w:spacing w:val="-2"/>
        </w:rPr>
        <w:t>police.vic.gov.au</w:t>
      </w:r>
    </w:p>
    <w:p w14:paraId="4ADB0EDF" w14:textId="77777777" w:rsidR="00345EE3" w:rsidRDefault="00345EE3" w:rsidP="00345EE3">
      <w:pPr>
        <w:pStyle w:val="BodyText"/>
        <w:spacing w:before="4"/>
      </w:pPr>
      <w:r>
        <w:rPr>
          <w:color w:val="231F20"/>
          <w:spacing w:val="-2"/>
        </w:rPr>
        <w:t>website.</w:t>
      </w:r>
    </w:p>
    <w:p w14:paraId="50D662A5" w14:textId="77777777" w:rsidR="00345EE3" w:rsidRDefault="00345EE3" w:rsidP="00345EE3">
      <w:pPr>
        <w:pStyle w:val="BodyText"/>
        <w:spacing w:before="117"/>
      </w:pPr>
      <w:r>
        <w:rPr>
          <w:color w:val="231F20"/>
        </w:rPr>
        <w:t>©</w:t>
      </w:r>
      <w:r>
        <w:rPr>
          <w:color w:val="231F20"/>
          <w:spacing w:val="-10"/>
        </w:rPr>
        <w:t xml:space="preserve"> </w:t>
      </w:r>
      <w:r>
        <w:rPr>
          <w:color w:val="231F20"/>
        </w:rPr>
        <w:t>State</w:t>
      </w:r>
      <w:r>
        <w:rPr>
          <w:color w:val="231F20"/>
          <w:spacing w:val="-8"/>
        </w:rPr>
        <w:t xml:space="preserve"> </w:t>
      </w:r>
      <w:r>
        <w:rPr>
          <w:color w:val="231F20"/>
        </w:rPr>
        <w:t>of</w:t>
      </w:r>
      <w:r>
        <w:rPr>
          <w:color w:val="231F20"/>
          <w:spacing w:val="-8"/>
        </w:rPr>
        <w:t xml:space="preserve"> </w:t>
      </w:r>
      <w:r>
        <w:rPr>
          <w:color w:val="231F20"/>
        </w:rPr>
        <w:t>Victoria</w:t>
      </w:r>
      <w:r>
        <w:rPr>
          <w:color w:val="231F20"/>
          <w:spacing w:val="-8"/>
        </w:rPr>
        <w:t xml:space="preserve"> </w:t>
      </w:r>
      <w:r>
        <w:rPr>
          <w:color w:val="231F20"/>
        </w:rPr>
        <w:t>(Victoria</w:t>
      </w:r>
      <w:r>
        <w:rPr>
          <w:color w:val="231F20"/>
          <w:spacing w:val="-8"/>
        </w:rPr>
        <w:t xml:space="preserve"> </w:t>
      </w:r>
      <w:r>
        <w:rPr>
          <w:color w:val="231F20"/>
        </w:rPr>
        <w:t>Police)</w:t>
      </w:r>
      <w:r>
        <w:rPr>
          <w:color w:val="231F20"/>
          <w:spacing w:val="-7"/>
        </w:rPr>
        <w:t xml:space="preserve"> </w:t>
      </w:r>
      <w:r>
        <w:rPr>
          <w:color w:val="231F20"/>
          <w:spacing w:val="-4"/>
        </w:rPr>
        <w:t>2022</w:t>
      </w:r>
    </w:p>
    <w:p w14:paraId="4B93216B" w14:textId="77777777" w:rsidR="00345EE3" w:rsidRDefault="00345EE3" w:rsidP="00345EE3">
      <w:pPr>
        <w:pStyle w:val="BodyText"/>
        <w:spacing w:before="117" w:line="242" w:lineRule="auto"/>
        <w:ind w:right="1173"/>
        <w:jc w:val="both"/>
      </w:pPr>
      <w:r>
        <w:rPr>
          <w:color w:val="231F20"/>
        </w:rPr>
        <w:t>All</w:t>
      </w:r>
      <w:r>
        <w:rPr>
          <w:color w:val="231F20"/>
          <w:spacing w:val="-9"/>
        </w:rPr>
        <w:t xml:space="preserve"> </w:t>
      </w:r>
      <w:r>
        <w:rPr>
          <w:color w:val="231F20"/>
        </w:rPr>
        <w:t>rights</w:t>
      </w:r>
      <w:r>
        <w:rPr>
          <w:color w:val="231F20"/>
          <w:spacing w:val="-8"/>
        </w:rPr>
        <w:t xml:space="preserve"> </w:t>
      </w:r>
      <w:r>
        <w:rPr>
          <w:color w:val="231F20"/>
        </w:rPr>
        <w:t>reserved.</w:t>
      </w:r>
      <w:r>
        <w:rPr>
          <w:color w:val="231F20"/>
          <w:spacing w:val="-8"/>
        </w:rPr>
        <w:t xml:space="preserve"> </w:t>
      </w:r>
      <w:r>
        <w:rPr>
          <w:color w:val="231F20"/>
        </w:rPr>
        <w:t>No</w:t>
      </w:r>
      <w:r>
        <w:rPr>
          <w:color w:val="231F20"/>
          <w:spacing w:val="-9"/>
        </w:rPr>
        <w:t xml:space="preserve"> </w:t>
      </w:r>
      <w:r>
        <w:rPr>
          <w:color w:val="231F20"/>
        </w:rPr>
        <w:t>part</w:t>
      </w:r>
      <w:r>
        <w:rPr>
          <w:color w:val="231F20"/>
          <w:spacing w:val="-8"/>
        </w:rPr>
        <w:t xml:space="preserve"> </w:t>
      </w:r>
      <w:r>
        <w:rPr>
          <w:color w:val="231F20"/>
        </w:rPr>
        <w:t>of</w:t>
      </w:r>
      <w:r>
        <w:rPr>
          <w:color w:val="231F20"/>
          <w:spacing w:val="-8"/>
        </w:rPr>
        <w:t xml:space="preserve"> </w:t>
      </w:r>
      <w:r>
        <w:rPr>
          <w:color w:val="231F20"/>
        </w:rPr>
        <w:t>this</w:t>
      </w:r>
      <w:r>
        <w:rPr>
          <w:color w:val="231F20"/>
          <w:spacing w:val="-8"/>
        </w:rPr>
        <w:t xml:space="preserve"> </w:t>
      </w:r>
      <w:r>
        <w:rPr>
          <w:color w:val="231F20"/>
        </w:rPr>
        <w:t>publication</w:t>
      </w:r>
      <w:r>
        <w:rPr>
          <w:color w:val="231F20"/>
          <w:spacing w:val="-9"/>
        </w:rPr>
        <w:t xml:space="preserve"> </w:t>
      </w:r>
      <w:r>
        <w:rPr>
          <w:color w:val="231F20"/>
        </w:rPr>
        <w:t>may</w:t>
      </w:r>
      <w:r>
        <w:rPr>
          <w:color w:val="231F20"/>
          <w:spacing w:val="-8"/>
        </w:rPr>
        <w:t xml:space="preserve"> </w:t>
      </w:r>
      <w:r>
        <w:rPr>
          <w:color w:val="231F20"/>
        </w:rPr>
        <w:t>be</w:t>
      </w:r>
      <w:r>
        <w:rPr>
          <w:color w:val="231F20"/>
          <w:spacing w:val="-9"/>
        </w:rPr>
        <w:t xml:space="preserve"> </w:t>
      </w:r>
      <w:r>
        <w:rPr>
          <w:color w:val="231F20"/>
        </w:rPr>
        <w:t>reproduced,</w:t>
      </w:r>
      <w:r>
        <w:rPr>
          <w:color w:val="231F20"/>
          <w:spacing w:val="-8"/>
        </w:rPr>
        <w:t xml:space="preserve"> </w:t>
      </w:r>
      <w:r>
        <w:rPr>
          <w:color w:val="231F20"/>
        </w:rPr>
        <w:t>stored</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retrieval</w:t>
      </w:r>
      <w:r>
        <w:rPr>
          <w:color w:val="231F20"/>
          <w:spacing w:val="-9"/>
        </w:rPr>
        <w:t xml:space="preserve"> </w:t>
      </w:r>
      <w:r>
        <w:rPr>
          <w:color w:val="231F20"/>
        </w:rPr>
        <w:t>system, or</w:t>
      </w:r>
      <w:r>
        <w:rPr>
          <w:color w:val="231F20"/>
          <w:spacing w:val="-3"/>
        </w:rPr>
        <w:t xml:space="preserve"> </w:t>
      </w:r>
      <w:r>
        <w:rPr>
          <w:color w:val="231F20"/>
        </w:rPr>
        <w:t>transmitted</w:t>
      </w:r>
      <w:r>
        <w:rPr>
          <w:color w:val="231F20"/>
          <w:spacing w:val="-4"/>
        </w:rPr>
        <w:t xml:space="preserve"> </w:t>
      </w:r>
      <w:r>
        <w:rPr>
          <w:color w:val="231F20"/>
        </w:rPr>
        <w:t>in</w:t>
      </w:r>
      <w:r>
        <w:rPr>
          <w:color w:val="231F20"/>
          <w:spacing w:val="-4"/>
        </w:rPr>
        <w:t xml:space="preserve"> </w:t>
      </w:r>
      <w:r>
        <w:rPr>
          <w:color w:val="231F20"/>
        </w:rPr>
        <w:t>any</w:t>
      </w:r>
      <w:r>
        <w:rPr>
          <w:color w:val="231F20"/>
          <w:spacing w:val="-3"/>
        </w:rPr>
        <w:t xml:space="preserve"> </w:t>
      </w:r>
      <w:r>
        <w:rPr>
          <w:color w:val="231F20"/>
        </w:rPr>
        <w:t>form</w:t>
      </w:r>
      <w:r>
        <w:rPr>
          <w:color w:val="231F20"/>
          <w:spacing w:val="-3"/>
        </w:rPr>
        <w:t xml:space="preserve"> </w:t>
      </w:r>
      <w:r>
        <w:rPr>
          <w:color w:val="231F20"/>
        </w:rPr>
        <w:t>or</w:t>
      </w:r>
      <w:r>
        <w:rPr>
          <w:color w:val="231F20"/>
          <w:spacing w:val="-3"/>
        </w:rPr>
        <w:t xml:space="preserve"> </w:t>
      </w:r>
      <w:r>
        <w:rPr>
          <w:color w:val="231F20"/>
        </w:rPr>
        <w:t>by</w:t>
      </w:r>
      <w:r>
        <w:rPr>
          <w:color w:val="231F20"/>
          <w:spacing w:val="-3"/>
        </w:rPr>
        <w:t xml:space="preserve"> </w:t>
      </w:r>
      <w:r>
        <w:rPr>
          <w:color w:val="231F20"/>
        </w:rPr>
        <w:t>any</w:t>
      </w:r>
      <w:r>
        <w:rPr>
          <w:color w:val="231F20"/>
          <w:spacing w:val="-3"/>
        </w:rPr>
        <w:t xml:space="preserve"> </w:t>
      </w:r>
      <w:r>
        <w:rPr>
          <w:color w:val="231F20"/>
        </w:rPr>
        <w:t>means</w:t>
      </w:r>
      <w:r>
        <w:rPr>
          <w:color w:val="231F20"/>
          <w:spacing w:val="-3"/>
        </w:rPr>
        <w:t xml:space="preserve"> </w:t>
      </w:r>
      <w:r>
        <w:rPr>
          <w:color w:val="231F20"/>
        </w:rPr>
        <w:t>without</w:t>
      </w:r>
      <w:r>
        <w:rPr>
          <w:color w:val="231F20"/>
          <w:spacing w:val="-3"/>
        </w:rPr>
        <w:t xml:space="preserve"> </w:t>
      </w:r>
      <w:r>
        <w:rPr>
          <w:color w:val="231F20"/>
        </w:rPr>
        <w:t>the</w:t>
      </w:r>
      <w:r>
        <w:rPr>
          <w:color w:val="231F20"/>
          <w:spacing w:val="-4"/>
        </w:rPr>
        <w:t xml:space="preserve"> </w:t>
      </w:r>
      <w:r>
        <w:rPr>
          <w:color w:val="231F20"/>
        </w:rPr>
        <w:t>prior</w:t>
      </w:r>
      <w:r>
        <w:rPr>
          <w:color w:val="231F20"/>
          <w:spacing w:val="-3"/>
        </w:rPr>
        <w:t xml:space="preserve"> </w:t>
      </w:r>
      <w:r>
        <w:rPr>
          <w:color w:val="231F20"/>
        </w:rPr>
        <w:t>written</w:t>
      </w:r>
      <w:r>
        <w:rPr>
          <w:color w:val="231F20"/>
          <w:spacing w:val="-4"/>
        </w:rPr>
        <w:t xml:space="preserve"> </w:t>
      </w:r>
      <w:r>
        <w:rPr>
          <w:color w:val="231F20"/>
        </w:rPr>
        <w:t>permission</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State</w:t>
      </w:r>
      <w:r>
        <w:rPr>
          <w:color w:val="231F20"/>
          <w:spacing w:val="-4"/>
        </w:rPr>
        <w:t xml:space="preserve"> </w:t>
      </w:r>
      <w:r>
        <w:rPr>
          <w:color w:val="231F20"/>
        </w:rPr>
        <w:t>of Victoria (through Victoria Police).</w:t>
      </w:r>
    </w:p>
    <w:p w14:paraId="6675D8AA" w14:textId="77777777" w:rsidR="00345EE3" w:rsidRDefault="00345EE3" w:rsidP="00345EE3">
      <w:pPr>
        <w:pStyle w:val="BodyText"/>
        <w:spacing w:before="118"/>
      </w:pPr>
      <w:r>
        <w:rPr>
          <w:color w:val="231F20"/>
        </w:rPr>
        <w:t>ISSN</w:t>
      </w:r>
      <w:r>
        <w:rPr>
          <w:color w:val="231F20"/>
          <w:spacing w:val="-6"/>
        </w:rPr>
        <w:t xml:space="preserve"> </w:t>
      </w:r>
      <w:r>
        <w:rPr>
          <w:color w:val="231F20"/>
        </w:rPr>
        <w:t>2202-9672</w:t>
      </w:r>
      <w:r>
        <w:rPr>
          <w:color w:val="231F20"/>
          <w:spacing w:val="-6"/>
        </w:rPr>
        <w:t xml:space="preserve"> </w:t>
      </w:r>
      <w:r>
        <w:rPr>
          <w:color w:val="231F20"/>
          <w:spacing w:val="-2"/>
        </w:rPr>
        <w:t>(Print)</w:t>
      </w:r>
    </w:p>
    <w:p w14:paraId="5205E6F2" w14:textId="77777777" w:rsidR="00345EE3" w:rsidRDefault="00345EE3" w:rsidP="00345EE3">
      <w:pPr>
        <w:pStyle w:val="BodyText"/>
        <w:spacing w:before="4"/>
      </w:pPr>
      <w:r>
        <w:rPr>
          <w:color w:val="231F20"/>
        </w:rPr>
        <w:t xml:space="preserve">ISSN 2202-9680 </w:t>
      </w:r>
      <w:r>
        <w:rPr>
          <w:color w:val="231F20"/>
          <w:spacing w:val="-2"/>
        </w:rPr>
        <w:t>(Online)</w:t>
      </w:r>
    </w:p>
    <w:p w14:paraId="4779AF0D" w14:textId="77777777" w:rsidR="00345EE3" w:rsidRDefault="00345EE3" w:rsidP="00345EE3">
      <w:pPr>
        <w:pStyle w:val="BodyText"/>
        <w:spacing w:before="117"/>
      </w:pPr>
      <w:r>
        <w:rPr>
          <w:color w:val="231F20"/>
          <w:spacing w:val="-2"/>
        </w:rPr>
        <w:t>Published</w:t>
      </w:r>
      <w:r>
        <w:rPr>
          <w:color w:val="231F20"/>
        </w:rPr>
        <w:t xml:space="preserve"> </w:t>
      </w:r>
      <w:r>
        <w:rPr>
          <w:color w:val="231F20"/>
          <w:spacing w:val="-2"/>
        </w:rPr>
        <w:t>September</w:t>
      </w:r>
      <w:r>
        <w:rPr>
          <w:color w:val="231F20"/>
        </w:rPr>
        <w:t xml:space="preserve"> </w:t>
      </w:r>
      <w:r>
        <w:rPr>
          <w:color w:val="231F20"/>
          <w:spacing w:val="-4"/>
        </w:rPr>
        <w:t>2022</w:t>
      </w:r>
    </w:p>
    <w:p w14:paraId="223D5719" w14:textId="77777777" w:rsidR="00345EE3" w:rsidRDefault="00345EE3" w:rsidP="00345EE3">
      <w:pPr>
        <w:pStyle w:val="BodyText"/>
        <w:spacing w:before="118" w:line="242" w:lineRule="auto"/>
        <w:ind w:right="921"/>
      </w:pPr>
      <w:r>
        <w:rPr>
          <w:color w:val="231F20"/>
        </w:rPr>
        <w:t>The</w:t>
      </w:r>
      <w:r>
        <w:rPr>
          <w:color w:val="231F20"/>
          <w:spacing w:val="-3"/>
        </w:rPr>
        <w:t xml:space="preserve"> </w:t>
      </w:r>
      <w:r>
        <w:rPr>
          <w:color w:val="231F20"/>
        </w:rPr>
        <w:t>State</w:t>
      </w:r>
      <w:r>
        <w:rPr>
          <w:color w:val="231F20"/>
          <w:spacing w:val="-3"/>
        </w:rPr>
        <w:t xml:space="preserve"> </w:t>
      </w:r>
      <w:r>
        <w:rPr>
          <w:color w:val="231F20"/>
        </w:rPr>
        <w:t>of</w:t>
      </w:r>
      <w:r>
        <w:rPr>
          <w:color w:val="231F20"/>
          <w:spacing w:val="-2"/>
        </w:rPr>
        <w:t xml:space="preserve"> </w:t>
      </w:r>
      <w:r>
        <w:rPr>
          <w:color w:val="231F20"/>
        </w:rPr>
        <w:t>Victoria</w:t>
      </w:r>
      <w:r>
        <w:rPr>
          <w:color w:val="231F20"/>
          <w:spacing w:val="-3"/>
        </w:rPr>
        <w:t xml:space="preserve"> </w:t>
      </w:r>
      <w:r>
        <w:rPr>
          <w:color w:val="231F20"/>
        </w:rPr>
        <w:t>and</w:t>
      </w:r>
      <w:r>
        <w:rPr>
          <w:color w:val="231F20"/>
          <w:spacing w:val="-3"/>
        </w:rPr>
        <w:t xml:space="preserve"> </w:t>
      </w:r>
      <w:r>
        <w:rPr>
          <w:color w:val="231F20"/>
        </w:rPr>
        <w:t>its</w:t>
      </w:r>
      <w:r>
        <w:rPr>
          <w:color w:val="231F20"/>
          <w:spacing w:val="-2"/>
        </w:rPr>
        <w:t xml:space="preserve"> </w:t>
      </w:r>
      <w:r>
        <w:rPr>
          <w:color w:val="231F20"/>
        </w:rPr>
        <w:t>employees</w:t>
      </w:r>
      <w:r>
        <w:rPr>
          <w:color w:val="231F20"/>
          <w:spacing w:val="-2"/>
        </w:rPr>
        <w:t xml:space="preserve"> </w:t>
      </w:r>
      <w:r>
        <w:rPr>
          <w:color w:val="231F20"/>
        </w:rPr>
        <w:t>do</w:t>
      </w:r>
      <w:r>
        <w:rPr>
          <w:color w:val="231F20"/>
          <w:spacing w:val="-3"/>
        </w:rPr>
        <w:t xml:space="preserve"> </w:t>
      </w:r>
      <w:r>
        <w:rPr>
          <w:color w:val="231F20"/>
        </w:rPr>
        <w:t>not</w:t>
      </w:r>
      <w:r>
        <w:rPr>
          <w:color w:val="231F20"/>
          <w:spacing w:val="-2"/>
        </w:rPr>
        <w:t xml:space="preserve"> </w:t>
      </w:r>
      <w:r>
        <w:rPr>
          <w:color w:val="231F20"/>
        </w:rPr>
        <w:t>guarantee</w:t>
      </w:r>
      <w:r>
        <w:rPr>
          <w:color w:val="231F20"/>
          <w:spacing w:val="-3"/>
        </w:rPr>
        <w:t xml:space="preserve"> </w:t>
      </w:r>
      <w:r>
        <w:rPr>
          <w:color w:val="231F20"/>
        </w:rPr>
        <w:t>that</w:t>
      </w:r>
      <w:r>
        <w:rPr>
          <w:color w:val="231F20"/>
          <w:spacing w:val="-2"/>
        </w:rPr>
        <w:t xml:space="preserve"> </w:t>
      </w:r>
      <w:r>
        <w:rPr>
          <w:color w:val="231F20"/>
        </w:rPr>
        <w:t>the</w:t>
      </w:r>
      <w:r>
        <w:rPr>
          <w:color w:val="231F20"/>
          <w:spacing w:val="-3"/>
        </w:rPr>
        <w:t xml:space="preserve"> </w:t>
      </w:r>
      <w:r>
        <w:rPr>
          <w:color w:val="231F20"/>
        </w:rPr>
        <w:t>publication</w:t>
      </w:r>
      <w:r>
        <w:rPr>
          <w:color w:val="231F20"/>
          <w:spacing w:val="-3"/>
        </w:rPr>
        <w:t xml:space="preserve"> </w:t>
      </w:r>
      <w:r>
        <w:rPr>
          <w:color w:val="231F20"/>
        </w:rPr>
        <w:t>is</w:t>
      </w:r>
      <w:r>
        <w:rPr>
          <w:color w:val="231F20"/>
          <w:spacing w:val="-2"/>
        </w:rPr>
        <w:t xml:space="preserve"> </w:t>
      </w:r>
      <w:r>
        <w:rPr>
          <w:color w:val="231F20"/>
        </w:rPr>
        <w:t>without</w:t>
      </w:r>
      <w:r>
        <w:rPr>
          <w:color w:val="231F20"/>
          <w:spacing w:val="-2"/>
        </w:rPr>
        <w:t xml:space="preserve"> </w:t>
      </w:r>
      <w:r>
        <w:rPr>
          <w:color w:val="231F20"/>
        </w:rPr>
        <w:t>flaw</w:t>
      </w:r>
      <w:r>
        <w:rPr>
          <w:color w:val="231F20"/>
          <w:spacing w:val="-3"/>
        </w:rPr>
        <w:t xml:space="preserve"> </w:t>
      </w:r>
      <w:r>
        <w:rPr>
          <w:color w:val="231F20"/>
        </w:rPr>
        <w:t>of any</w:t>
      </w:r>
      <w:r>
        <w:rPr>
          <w:color w:val="231F20"/>
          <w:spacing w:val="-9"/>
        </w:rPr>
        <w:t xml:space="preserve"> </w:t>
      </w:r>
      <w:r>
        <w:rPr>
          <w:color w:val="231F20"/>
        </w:rPr>
        <w:t>kind</w:t>
      </w:r>
      <w:r>
        <w:rPr>
          <w:color w:val="231F20"/>
          <w:spacing w:val="-10"/>
        </w:rPr>
        <w:t xml:space="preserve"> </w:t>
      </w:r>
      <w:r>
        <w:rPr>
          <w:color w:val="231F20"/>
        </w:rPr>
        <w:t>or</w:t>
      </w:r>
      <w:r>
        <w:rPr>
          <w:color w:val="231F20"/>
          <w:spacing w:val="-9"/>
        </w:rPr>
        <w:t xml:space="preserve"> </w:t>
      </w:r>
      <w:r>
        <w:rPr>
          <w:color w:val="231F20"/>
        </w:rPr>
        <w:t>is</w:t>
      </w:r>
      <w:r>
        <w:rPr>
          <w:color w:val="231F20"/>
          <w:spacing w:val="-9"/>
        </w:rPr>
        <w:t xml:space="preserve"> </w:t>
      </w:r>
      <w:r>
        <w:rPr>
          <w:color w:val="231F20"/>
        </w:rPr>
        <w:t>wholly</w:t>
      </w:r>
      <w:r>
        <w:rPr>
          <w:color w:val="231F20"/>
          <w:spacing w:val="-9"/>
        </w:rPr>
        <w:t xml:space="preserve"> </w:t>
      </w:r>
      <w:r>
        <w:rPr>
          <w:color w:val="231F20"/>
        </w:rPr>
        <w:t>appropriate</w:t>
      </w:r>
      <w:r>
        <w:rPr>
          <w:color w:val="231F20"/>
          <w:spacing w:val="-10"/>
        </w:rPr>
        <w:t xml:space="preserve"> </w:t>
      </w:r>
      <w:r>
        <w:rPr>
          <w:color w:val="231F20"/>
        </w:rPr>
        <w:t>for</w:t>
      </w:r>
      <w:r>
        <w:rPr>
          <w:color w:val="231F20"/>
          <w:spacing w:val="-9"/>
        </w:rPr>
        <w:t xml:space="preserve"> </w:t>
      </w:r>
      <w:r>
        <w:rPr>
          <w:color w:val="231F20"/>
        </w:rPr>
        <w:t>your</w:t>
      </w:r>
      <w:r>
        <w:rPr>
          <w:color w:val="231F20"/>
          <w:spacing w:val="-9"/>
        </w:rPr>
        <w:t xml:space="preserve"> </w:t>
      </w:r>
      <w:r>
        <w:rPr>
          <w:color w:val="231F20"/>
        </w:rPr>
        <w:t>particular</w:t>
      </w:r>
      <w:r>
        <w:rPr>
          <w:color w:val="231F20"/>
          <w:spacing w:val="-9"/>
        </w:rPr>
        <w:t xml:space="preserve"> </w:t>
      </w:r>
      <w:r>
        <w:rPr>
          <w:color w:val="231F20"/>
        </w:rPr>
        <w:t>purposes</w:t>
      </w:r>
      <w:r>
        <w:rPr>
          <w:color w:val="231F20"/>
          <w:spacing w:val="-9"/>
        </w:rPr>
        <w:t xml:space="preserve"> </w:t>
      </w:r>
      <w:r>
        <w:rPr>
          <w:color w:val="231F20"/>
        </w:rPr>
        <w:t>and</w:t>
      </w:r>
      <w:r>
        <w:rPr>
          <w:color w:val="231F20"/>
          <w:spacing w:val="-10"/>
        </w:rPr>
        <w:t xml:space="preserve"> </w:t>
      </w:r>
      <w:r>
        <w:rPr>
          <w:color w:val="231F20"/>
        </w:rPr>
        <w:t>therefore</w:t>
      </w:r>
      <w:r>
        <w:rPr>
          <w:color w:val="231F20"/>
          <w:spacing w:val="-10"/>
        </w:rPr>
        <w:t xml:space="preserve"> </w:t>
      </w:r>
      <w:r>
        <w:rPr>
          <w:color w:val="231F20"/>
        </w:rPr>
        <w:t>disclaims</w:t>
      </w:r>
      <w:r>
        <w:rPr>
          <w:color w:val="231F20"/>
          <w:spacing w:val="-9"/>
        </w:rPr>
        <w:t xml:space="preserve"> </w:t>
      </w:r>
      <w:r>
        <w:rPr>
          <w:color w:val="231F20"/>
        </w:rPr>
        <w:t>all</w:t>
      </w:r>
      <w:r>
        <w:rPr>
          <w:color w:val="231F20"/>
          <w:spacing w:val="-10"/>
        </w:rPr>
        <w:t xml:space="preserve"> </w:t>
      </w:r>
      <w:r>
        <w:rPr>
          <w:color w:val="231F20"/>
        </w:rPr>
        <w:t>liability for any error, loss or other consequence that may arise from you relying on any information in this publication.</w:t>
      </w:r>
    </w:p>
    <w:p w14:paraId="2643179A" w14:textId="77777777" w:rsidR="00345EE3" w:rsidRPr="00996959" w:rsidRDefault="00345EE3" w:rsidP="002A27BA">
      <w:pPr>
        <w:pStyle w:val="Heading3"/>
      </w:pPr>
      <w:r w:rsidRPr="00996959">
        <w:t>Responsible</w:t>
      </w:r>
      <w:r w:rsidRPr="00996959">
        <w:rPr>
          <w:spacing w:val="-12"/>
        </w:rPr>
        <w:t xml:space="preserve"> </w:t>
      </w:r>
      <w:r w:rsidRPr="00996959">
        <w:t>Body’s</w:t>
      </w:r>
      <w:r w:rsidRPr="00996959">
        <w:rPr>
          <w:spacing w:val="-12"/>
        </w:rPr>
        <w:t xml:space="preserve"> </w:t>
      </w:r>
      <w:r w:rsidRPr="00996959">
        <w:rPr>
          <w:spacing w:val="-2"/>
        </w:rPr>
        <w:t>declaration</w:t>
      </w:r>
    </w:p>
    <w:p w14:paraId="76ED274A" w14:textId="77777777" w:rsidR="00345EE3" w:rsidRDefault="00345EE3" w:rsidP="00345EE3">
      <w:pPr>
        <w:pStyle w:val="BodyText"/>
        <w:spacing w:before="52" w:line="242" w:lineRule="auto"/>
        <w:ind w:right="921"/>
      </w:pPr>
      <w:r>
        <w:rPr>
          <w:color w:val="231F20"/>
        </w:rPr>
        <w:t>In</w:t>
      </w:r>
      <w:r>
        <w:rPr>
          <w:color w:val="231F20"/>
          <w:spacing w:val="-17"/>
        </w:rPr>
        <w:t xml:space="preserve"> </w:t>
      </w:r>
      <w:r>
        <w:rPr>
          <w:color w:val="231F20"/>
        </w:rPr>
        <w:t>accordance</w:t>
      </w:r>
      <w:r>
        <w:rPr>
          <w:color w:val="231F20"/>
          <w:spacing w:val="-17"/>
        </w:rPr>
        <w:t xml:space="preserve"> </w:t>
      </w:r>
      <w:r>
        <w:rPr>
          <w:color w:val="231F20"/>
        </w:rPr>
        <w:t>with</w:t>
      </w:r>
      <w:r>
        <w:rPr>
          <w:color w:val="231F20"/>
          <w:spacing w:val="-16"/>
        </w:rPr>
        <w:t xml:space="preserve"> </w:t>
      </w:r>
      <w:r>
        <w:rPr>
          <w:color w:val="231F20"/>
        </w:rPr>
        <w:t>the</w:t>
      </w:r>
      <w:r>
        <w:rPr>
          <w:color w:val="231F20"/>
          <w:spacing w:val="-14"/>
        </w:rPr>
        <w:t xml:space="preserve"> </w:t>
      </w:r>
      <w:r>
        <w:rPr>
          <w:i/>
          <w:color w:val="231F20"/>
        </w:rPr>
        <w:t>Financial</w:t>
      </w:r>
      <w:r>
        <w:rPr>
          <w:i/>
          <w:color w:val="231F20"/>
          <w:spacing w:val="-17"/>
        </w:rPr>
        <w:t xml:space="preserve"> </w:t>
      </w:r>
      <w:r>
        <w:rPr>
          <w:i/>
          <w:color w:val="231F20"/>
        </w:rPr>
        <w:t>Management</w:t>
      </w:r>
      <w:r>
        <w:rPr>
          <w:i/>
          <w:color w:val="231F20"/>
          <w:spacing w:val="-17"/>
        </w:rPr>
        <w:t xml:space="preserve"> </w:t>
      </w:r>
      <w:r>
        <w:rPr>
          <w:i/>
          <w:color w:val="231F20"/>
        </w:rPr>
        <w:t>Act</w:t>
      </w:r>
      <w:r>
        <w:rPr>
          <w:i/>
          <w:color w:val="231F20"/>
          <w:spacing w:val="-16"/>
        </w:rPr>
        <w:t xml:space="preserve"> </w:t>
      </w:r>
      <w:r>
        <w:rPr>
          <w:color w:val="231F20"/>
        </w:rPr>
        <w:t>1994,</w:t>
      </w:r>
      <w:r>
        <w:rPr>
          <w:color w:val="231F20"/>
          <w:spacing w:val="-13"/>
        </w:rPr>
        <w:t xml:space="preserve"> </w:t>
      </w:r>
      <w:r>
        <w:rPr>
          <w:color w:val="231F20"/>
        </w:rPr>
        <w:t>I</w:t>
      </w:r>
      <w:r>
        <w:rPr>
          <w:color w:val="231F20"/>
          <w:spacing w:val="-13"/>
        </w:rPr>
        <w:t xml:space="preserve"> </w:t>
      </w:r>
      <w:r>
        <w:rPr>
          <w:color w:val="231F20"/>
        </w:rPr>
        <w:t>am</w:t>
      </w:r>
      <w:r>
        <w:rPr>
          <w:color w:val="231F20"/>
          <w:spacing w:val="-13"/>
        </w:rPr>
        <w:t xml:space="preserve"> </w:t>
      </w:r>
      <w:r>
        <w:rPr>
          <w:color w:val="231F20"/>
        </w:rPr>
        <w:t>pleased</w:t>
      </w:r>
      <w:r>
        <w:rPr>
          <w:color w:val="231F20"/>
          <w:spacing w:val="-14"/>
        </w:rPr>
        <w:t xml:space="preserve"> </w:t>
      </w:r>
      <w:r>
        <w:rPr>
          <w:color w:val="231F20"/>
        </w:rPr>
        <w:t>to</w:t>
      </w:r>
      <w:r>
        <w:rPr>
          <w:color w:val="231F20"/>
          <w:spacing w:val="-14"/>
        </w:rPr>
        <w:t xml:space="preserve"> </w:t>
      </w:r>
      <w:r>
        <w:rPr>
          <w:color w:val="231F20"/>
        </w:rPr>
        <w:t>present</w:t>
      </w:r>
      <w:r>
        <w:rPr>
          <w:color w:val="231F20"/>
          <w:spacing w:val="-13"/>
        </w:rPr>
        <w:t xml:space="preserve"> </w:t>
      </w:r>
      <w:r>
        <w:rPr>
          <w:color w:val="231F20"/>
        </w:rPr>
        <w:t>the</w:t>
      </w:r>
      <w:r>
        <w:rPr>
          <w:color w:val="231F20"/>
          <w:spacing w:val="-14"/>
        </w:rPr>
        <w:t xml:space="preserve"> </w:t>
      </w:r>
      <w:r>
        <w:rPr>
          <w:color w:val="231F20"/>
        </w:rPr>
        <w:t>Victoria Police Annual Report for the reporting period ending 30 June 2022.</w:t>
      </w:r>
    </w:p>
    <w:p w14:paraId="03093281" w14:textId="77777777" w:rsidR="00345EE3" w:rsidRDefault="00345EE3" w:rsidP="00345EE3">
      <w:pPr>
        <w:pStyle w:val="BodyText"/>
        <w:rPr>
          <w:sz w:val="20"/>
        </w:rPr>
      </w:pPr>
    </w:p>
    <w:p w14:paraId="12E332A4" w14:textId="77777777" w:rsidR="00345EE3" w:rsidRDefault="00345EE3" w:rsidP="00345EE3">
      <w:pPr>
        <w:pStyle w:val="BodyText"/>
        <w:spacing w:before="5"/>
        <w:rPr>
          <w:sz w:val="25"/>
        </w:rPr>
      </w:pPr>
      <w:r>
        <w:rPr>
          <w:noProof/>
        </w:rPr>
        <w:drawing>
          <wp:inline distT="0" distB="0" distL="0" distR="0" wp14:anchorId="01154973" wp14:editId="28AF68CA">
            <wp:extent cx="693799" cy="512063"/>
            <wp:effectExtent l="0" t="0" r="5080" b="0"/>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3799" cy="512063"/>
                    </a:xfrm>
                    <a:prstGeom prst="rect">
                      <a:avLst/>
                    </a:prstGeom>
                  </pic:spPr>
                </pic:pic>
              </a:graphicData>
            </a:graphic>
          </wp:inline>
        </w:drawing>
      </w:r>
    </w:p>
    <w:p w14:paraId="311A84C3" w14:textId="77777777" w:rsidR="00345EE3" w:rsidRDefault="00345EE3" w:rsidP="00345EE3">
      <w:pPr>
        <w:pStyle w:val="BodyText"/>
        <w:spacing w:before="4"/>
        <w:rPr>
          <w:sz w:val="7"/>
        </w:rPr>
      </w:pPr>
    </w:p>
    <w:p w14:paraId="61640CBF" w14:textId="77777777" w:rsidR="00345EE3" w:rsidRDefault="00345EE3" w:rsidP="00345EE3">
      <w:pPr>
        <w:spacing w:before="92"/>
        <w:ind w:left="110"/>
        <w:rPr>
          <w:b/>
          <w:sz w:val="24"/>
        </w:rPr>
      </w:pPr>
      <w:r>
        <w:rPr>
          <w:b/>
          <w:color w:val="231F20"/>
          <w:sz w:val="24"/>
        </w:rPr>
        <w:t>Shane</w:t>
      </w:r>
      <w:r>
        <w:rPr>
          <w:b/>
          <w:color w:val="231F20"/>
          <w:spacing w:val="-4"/>
          <w:sz w:val="24"/>
        </w:rPr>
        <w:t xml:space="preserve"> </w:t>
      </w:r>
      <w:r>
        <w:rPr>
          <w:b/>
          <w:color w:val="231F20"/>
          <w:sz w:val="24"/>
        </w:rPr>
        <w:t>Patton</w:t>
      </w:r>
      <w:r>
        <w:rPr>
          <w:b/>
          <w:color w:val="231F20"/>
          <w:spacing w:val="-3"/>
          <w:sz w:val="24"/>
        </w:rPr>
        <w:t xml:space="preserve"> </w:t>
      </w:r>
      <w:r>
        <w:rPr>
          <w:b/>
          <w:color w:val="231F20"/>
          <w:spacing w:val="-5"/>
          <w:sz w:val="24"/>
        </w:rPr>
        <w:t>APM</w:t>
      </w:r>
    </w:p>
    <w:p w14:paraId="5649E868" w14:textId="77777777" w:rsidR="00345EE3" w:rsidRDefault="00345EE3" w:rsidP="00345EE3">
      <w:pPr>
        <w:spacing w:before="4" w:line="242" w:lineRule="auto"/>
        <w:ind w:left="110" w:right="7590"/>
        <w:rPr>
          <w:b/>
          <w:sz w:val="24"/>
        </w:rPr>
      </w:pPr>
      <w:r>
        <w:rPr>
          <w:b/>
          <w:color w:val="231F20"/>
          <w:sz w:val="24"/>
        </w:rPr>
        <w:t>Chief</w:t>
      </w:r>
      <w:r>
        <w:rPr>
          <w:b/>
          <w:color w:val="231F20"/>
          <w:spacing w:val="-15"/>
          <w:sz w:val="24"/>
        </w:rPr>
        <w:t xml:space="preserve"> </w:t>
      </w:r>
      <w:r>
        <w:rPr>
          <w:b/>
          <w:color w:val="231F20"/>
          <w:sz w:val="24"/>
        </w:rPr>
        <w:t>Commissioner</w:t>
      </w:r>
      <w:r>
        <w:rPr>
          <w:b/>
          <w:color w:val="231F20"/>
          <w:spacing w:val="-15"/>
          <w:sz w:val="24"/>
        </w:rPr>
        <w:t xml:space="preserve"> </w:t>
      </w:r>
      <w:r>
        <w:rPr>
          <w:b/>
          <w:color w:val="231F20"/>
          <w:sz w:val="24"/>
        </w:rPr>
        <w:t>of</w:t>
      </w:r>
      <w:r>
        <w:rPr>
          <w:b/>
          <w:color w:val="231F20"/>
          <w:spacing w:val="-15"/>
          <w:sz w:val="24"/>
        </w:rPr>
        <w:t xml:space="preserve"> </w:t>
      </w:r>
      <w:r>
        <w:rPr>
          <w:b/>
          <w:color w:val="231F20"/>
          <w:sz w:val="24"/>
        </w:rPr>
        <w:t>Police 8 September 2022</w:t>
      </w:r>
    </w:p>
    <w:p w14:paraId="6C65C2A2" w14:textId="77777777" w:rsidR="00345EE3" w:rsidRDefault="00345EE3" w:rsidP="00345EE3">
      <w:pPr>
        <w:spacing w:line="242" w:lineRule="auto"/>
        <w:rPr>
          <w:sz w:val="24"/>
        </w:rPr>
        <w:sectPr w:rsidR="00345EE3">
          <w:pgSz w:w="11910" w:h="16840"/>
          <w:pgMar w:top="720" w:right="0" w:bottom="280" w:left="740" w:header="720" w:footer="720" w:gutter="0"/>
          <w:cols w:space="720"/>
        </w:sectPr>
      </w:pPr>
    </w:p>
    <w:p w14:paraId="16E8AD6D" w14:textId="77777777" w:rsidR="00345EE3" w:rsidRPr="00996959" w:rsidRDefault="00345EE3" w:rsidP="00345EE3">
      <w:pPr>
        <w:pStyle w:val="Heading1"/>
        <w:rPr>
          <w:b w:val="0"/>
          <w:bCs/>
          <w:sz w:val="56"/>
          <w:szCs w:val="56"/>
        </w:rPr>
      </w:pPr>
      <w:r w:rsidRPr="00996959">
        <w:rPr>
          <w:b w:val="0"/>
          <w:bCs/>
          <w:color w:val="00529F"/>
          <w:spacing w:val="-2"/>
          <w:sz w:val="56"/>
          <w:szCs w:val="56"/>
        </w:rPr>
        <w:lastRenderedPageBreak/>
        <w:t>Contents</w:t>
      </w:r>
    </w:p>
    <w:sdt>
      <w:sdtPr>
        <w:rPr>
          <w:b w:val="0"/>
          <w:bCs w:val="0"/>
          <w:i/>
          <w:iCs w:val="0"/>
          <w:color w:val="231F20"/>
          <w:spacing w:val="-2"/>
          <w:sz w:val="22"/>
          <w:szCs w:val="22"/>
        </w:rPr>
        <w:id w:val="-1607272127"/>
        <w:docPartObj>
          <w:docPartGallery w:val="Table of Contents"/>
          <w:docPartUnique/>
        </w:docPartObj>
      </w:sdtPr>
      <w:sdtEndPr>
        <w:rPr>
          <w:b/>
          <w:i w:val="0"/>
          <w:sz w:val="24"/>
        </w:rPr>
      </w:sdtEndPr>
      <w:sdtContent>
        <w:p w14:paraId="7751E9B7" w14:textId="77777777" w:rsidR="00345EE3" w:rsidRDefault="004D1B9F" w:rsidP="00345EE3">
          <w:pPr>
            <w:pStyle w:val="TOC1"/>
            <w:tabs>
              <w:tab w:val="right" w:pos="10315"/>
            </w:tabs>
            <w:spacing w:before="86"/>
            <w:ind w:left="110"/>
            <w:rPr>
              <w:b w:val="0"/>
            </w:rPr>
          </w:pPr>
          <w:hyperlink w:anchor="_TOC_250007" w:history="1">
            <w:r w:rsidR="00345EE3">
              <w:rPr>
                <w:color w:val="231F20"/>
                <w:spacing w:val="-4"/>
              </w:rPr>
              <w:t>Foreword</w:t>
            </w:r>
            <w:r w:rsidR="00345EE3">
              <w:rPr>
                <w:color w:val="231F20"/>
                <w:spacing w:val="-3"/>
              </w:rPr>
              <w:t xml:space="preserve"> </w:t>
            </w:r>
            <w:r w:rsidR="00345EE3">
              <w:rPr>
                <w:color w:val="231F20"/>
                <w:spacing w:val="-4"/>
              </w:rPr>
              <w:t>from</w:t>
            </w:r>
            <w:r w:rsidR="00345EE3">
              <w:rPr>
                <w:color w:val="231F20"/>
                <w:spacing w:val="-3"/>
              </w:rPr>
              <w:t xml:space="preserve"> </w:t>
            </w:r>
            <w:r w:rsidR="00345EE3">
              <w:rPr>
                <w:color w:val="231F20"/>
                <w:spacing w:val="-4"/>
              </w:rPr>
              <w:t>Chief</w:t>
            </w:r>
            <w:r w:rsidR="00345EE3">
              <w:rPr>
                <w:color w:val="231F20"/>
                <w:spacing w:val="-3"/>
              </w:rPr>
              <w:t xml:space="preserve"> </w:t>
            </w:r>
            <w:r w:rsidR="00345EE3">
              <w:rPr>
                <w:color w:val="231F20"/>
                <w:spacing w:val="-4"/>
              </w:rPr>
              <w:t>Commissioner</w:t>
            </w:r>
            <w:r w:rsidR="00345EE3">
              <w:rPr>
                <w:color w:val="231F20"/>
                <w:spacing w:val="-3"/>
              </w:rPr>
              <w:t xml:space="preserve"> </w:t>
            </w:r>
            <w:r w:rsidR="00345EE3">
              <w:rPr>
                <w:color w:val="231F20"/>
                <w:spacing w:val="-4"/>
              </w:rPr>
              <w:t>of</w:t>
            </w:r>
            <w:r w:rsidR="00345EE3">
              <w:rPr>
                <w:color w:val="231F20"/>
                <w:spacing w:val="-2"/>
              </w:rPr>
              <w:t xml:space="preserve"> </w:t>
            </w:r>
            <w:r w:rsidR="00345EE3">
              <w:rPr>
                <w:color w:val="231F20"/>
                <w:spacing w:val="-4"/>
              </w:rPr>
              <w:t>Police</w:t>
            </w:r>
            <w:r w:rsidR="00345EE3">
              <w:rPr>
                <w:color w:val="231F20"/>
              </w:rPr>
              <w:tab/>
            </w:r>
            <w:r w:rsidR="00345EE3">
              <w:rPr>
                <w:color w:val="231F20"/>
                <w:spacing w:val="-10"/>
              </w:rPr>
              <w:t>4</w:t>
            </w:r>
          </w:hyperlink>
        </w:p>
        <w:p w14:paraId="1C7FF763" w14:textId="76E07CD7" w:rsidR="00345EE3" w:rsidRDefault="004D1B9F">
          <w:pPr>
            <w:pStyle w:val="TOC1"/>
            <w:numPr>
              <w:ilvl w:val="0"/>
              <w:numId w:val="94"/>
            </w:numPr>
            <w:tabs>
              <w:tab w:val="left" w:pos="338"/>
              <w:tab w:val="right" w:pos="10315"/>
            </w:tabs>
            <w:spacing w:before="97"/>
            <w:ind w:hanging="228"/>
            <w:rPr>
              <w:b w:val="0"/>
            </w:rPr>
          </w:pPr>
          <w:hyperlink w:anchor="_TOC_250006" w:history="1">
            <w:r w:rsidR="00345EE3">
              <w:rPr>
                <w:color w:val="231F20"/>
              </w:rPr>
              <w:t>Our</w:t>
            </w:r>
            <w:r w:rsidR="00345EE3">
              <w:rPr>
                <w:color w:val="231F20"/>
                <w:spacing w:val="-14"/>
              </w:rPr>
              <w:t xml:space="preserve"> </w:t>
            </w:r>
            <w:r w:rsidR="00345EE3">
              <w:rPr>
                <w:color w:val="231F20"/>
                <w:spacing w:val="-2"/>
                <w:w w:val="95"/>
              </w:rPr>
              <w:t>Organisation</w:t>
            </w:r>
            <w:r w:rsidR="00345EE3">
              <w:rPr>
                <w:color w:val="231F20"/>
              </w:rPr>
              <w:tab/>
            </w:r>
            <w:r w:rsidR="001D6C72">
              <w:rPr>
                <w:color w:val="231F20"/>
                <w:spacing w:val="-10"/>
              </w:rPr>
              <w:t>5</w:t>
            </w:r>
          </w:hyperlink>
        </w:p>
        <w:p w14:paraId="744245A3" w14:textId="0D288CE0" w:rsidR="00345EE3" w:rsidRDefault="004D1B9F">
          <w:pPr>
            <w:pStyle w:val="TOC1"/>
            <w:numPr>
              <w:ilvl w:val="0"/>
              <w:numId w:val="94"/>
            </w:numPr>
            <w:tabs>
              <w:tab w:val="left" w:pos="338"/>
              <w:tab w:val="right" w:pos="10315"/>
            </w:tabs>
            <w:spacing w:before="98"/>
            <w:ind w:hanging="228"/>
            <w:rPr>
              <w:b w:val="0"/>
            </w:rPr>
          </w:pPr>
          <w:hyperlink w:anchor="_TOC_250005" w:history="1">
            <w:r w:rsidR="00345EE3">
              <w:rPr>
                <w:color w:val="231F20"/>
              </w:rPr>
              <w:t>Our</w:t>
            </w:r>
            <w:r w:rsidR="00345EE3">
              <w:rPr>
                <w:color w:val="231F20"/>
                <w:spacing w:val="-14"/>
              </w:rPr>
              <w:t xml:space="preserve"> </w:t>
            </w:r>
            <w:r w:rsidR="00345EE3">
              <w:rPr>
                <w:color w:val="231F20"/>
                <w:spacing w:val="-2"/>
              </w:rPr>
              <w:t>People</w:t>
            </w:r>
            <w:r w:rsidR="00345EE3">
              <w:rPr>
                <w:color w:val="231F20"/>
              </w:rPr>
              <w:tab/>
            </w:r>
          </w:hyperlink>
          <w:r w:rsidR="00D241B3">
            <w:rPr>
              <w:color w:val="231F20"/>
              <w:spacing w:val="-10"/>
            </w:rPr>
            <w:t>12</w:t>
          </w:r>
        </w:p>
        <w:p w14:paraId="2D7672A8" w14:textId="2A28E5F3" w:rsidR="00345EE3" w:rsidRDefault="004D1B9F">
          <w:pPr>
            <w:pStyle w:val="TOC1"/>
            <w:numPr>
              <w:ilvl w:val="0"/>
              <w:numId w:val="94"/>
            </w:numPr>
            <w:tabs>
              <w:tab w:val="left" w:pos="338"/>
              <w:tab w:val="right" w:pos="10303"/>
            </w:tabs>
            <w:spacing w:before="97"/>
            <w:ind w:hanging="228"/>
            <w:rPr>
              <w:b w:val="0"/>
            </w:rPr>
          </w:pPr>
          <w:hyperlink w:anchor="_TOC_250004" w:history="1">
            <w:r w:rsidR="00345EE3">
              <w:rPr>
                <w:color w:val="231F20"/>
              </w:rPr>
              <w:t>Our</w:t>
            </w:r>
            <w:r w:rsidR="00345EE3">
              <w:rPr>
                <w:color w:val="231F20"/>
                <w:spacing w:val="-12"/>
              </w:rPr>
              <w:t xml:space="preserve"> </w:t>
            </w:r>
            <w:r w:rsidR="00345EE3">
              <w:rPr>
                <w:color w:val="231F20"/>
                <w:spacing w:val="-2"/>
              </w:rPr>
              <w:t>Performance</w:t>
            </w:r>
            <w:r w:rsidR="00345EE3">
              <w:rPr>
                <w:color w:val="231F20"/>
              </w:rPr>
              <w:tab/>
            </w:r>
            <w:r w:rsidR="00D241B3">
              <w:rPr>
                <w:color w:val="231F20"/>
                <w:spacing w:val="-5"/>
              </w:rPr>
              <w:t>18</w:t>
            </w:r>
          </w:hyperlink>
        </w:p>
        <w:p w14:paraId="341954FF" w14:textId="0C32CDFB" w:rsidR="00345EE3" w:rsidRDefault="004D1B9F">
          <w:pPr>
            <w:pStyle w:val="TOC1"/>
            <w:numPr>
              <w:ilvl w:val="0"/>
              <w:numId w:val="94"/>
            </w:numPr>
            <w:tabs>
              <w:tab w:val="left" w:pos="338"/>
              <w:tab w:val="right" w:pos="10315"/>
            </w:tabs>
            <w:spacing w:before="98"/>
            <w:ind w:hanging="228"/>
            <w:rPr>
              <w:b w:val="0"/>
            </w:rPr>
          </w:pPr>
          <w:hyperlink w:anchor="_TOC_250003" w:history="1">
            <w:r w:rsidR="00345EE3">
              <w:rPr>
                <w:color w:val="231F20"/>
                <w:spacing w:val="-4"/>
              </w:rPr>
              <w:t>Year</w:t>
            </w:r>
            <w:r w:rsidR="00345EE3">
              <w:rPr>
                <w:color w:val="231F20"/>
                <w:spacing w:val="-15"/>
              </w:rPr>
              <w:t xml:space="preserve"> </w:t>
            </w:r>
            <w:r w:rsidR="00345EE3">
              <w:rPr>
                <w:color w:val="231F20"/>
                <w:spacing w:val="-4"/>
              </w:rPr>
              <w:t>in</w:t>
            </w:r>
            <w:r w:rsidR="00345EE3">
              <w:rPr>
                <w:color w:val="231F20"/>
                <w:spacing w:val="-12"/>
              </w:rPr>
              <w:t xml:space="preserve"> </w:t>
            </w:r>
            <w:r w:rsidR="00345EE3">
              <w:rPr>
                <w:color w:val="231F20"/>
                <w:spacing w:val="-4"/>
              </w:rPr>
              <w:t>Review</w:t>
            </w:r>
            <w:r w:rsidR="00345EE3">
              <w:rPr>
                <w:color w:val="231F20"/>
              </w:rPr>
              <w:tab/>
            </w:r>
            <w:r w:rsidR="00D241B3">
              <w:rPr>
                <w:color w:val="231F20"/>
                <w:spacing w:val="-5"/>
              </w:rPr>
              <w:t>30</w:t>
            </w:r>
          </w:hyperlink>
        </w:p>
        <w:p w14:paraId="4ADE9CCB" w14:textId="665F84A8" w:rsidR="00345EE3" w:rsidRDefault="004D1B9F">
          <w:pPr>
            <w:pStyle w:val="TOC1"/>
            <w:numPr>
              <w:ilvl w:val="0"/>
              <w:numId w:val="94"/>
            </w:numPr>
            <w:tabs>
              <w:tab w:val="left" w:pos="338"/>
              <w:tab w:val="right" w:pos="10314"/>
            </w:tabs>
            <w:spacing w:before="97"/>
            <w:ind w:hanging="228"/>
            <w:rPr>
              <w:b w:val="0"/>
            </w:rPr>
          </w:pPr>
          <w:hyperlink w:anchor="_TOC_250002" w:history="1">
            <w:r w:rsidR="00345EE3">
              <w:rPr>
                <w:color w:val="231F20"/>
                <w:spacing w:val="-2"/>
              </w:rPr>
              <w:t>Other</w:t>
            </w:r>
            <w:r w:rsidR="00345EE3">
              <w:rPr>
                <w:color w:val="231F20"/>
                <w:spacing w:val="-7"/>
              </w:rPr>
              <w:t xml:space="preserve"> </w:t>
            </w:r>
            <w:r w:rsidR="00345EE3">
              <w:rPr>
                <w:color w:val="231F20"/>
                <w:spacing w:val="-2"/>
              </w:rPr>
              <w:t>Disclosures</w:t>
            </w:r>
            <w:r w:rsidR="00345EE3">
              <w:rPr>
                <w:color w:val="231F20"/>
              </w:rPr>
              <w:tab/>
            </w:r>
            <w:r w:rsidR="00D241B3">
              <w:rPr>
                <w:color w:val="231F20"/>
                <w:spacing w:val="-5"/>
              </w:rPr>
              <w:t>54</w:t>
            </w:r>
          </w:hyperlink>
        </w:p>
        <w:p w14:paraId="5931EFA3" w14:textId="2B039827" w:rsidR="00345EE3" w:rsidRDefault="004D1B9F">
          <w:pPr>
            <w:pStyle w:val="TOC1"/>
            <w:numPr>
              <w:ilvl w:val="0"/>
              <w:numId w:val="94"/>
            </w:numPr>
            <w:tabs>
              <w:tab w:val="left" w:pos="338"/>
              <w:tab w:val="right" w:pos="10304"/>
            </w:tabs>
            <w:spacing w:before="98"/>
            <w:ind w:hanging="228"/>
            <w:rPr>
              <w:b w:val="0"/>
            </w:rPr>
          </w:pPr>
          <w:hyperlink w:anchor="_TOC_250001" w:history="1">
            <w:r w:rsidR="00345EE3">
              <w:rPr>
                <w:color w:val="231F20"/>
                <w:spacing w:val="-4"/>
              </w:rPr>
              <w:t>Financial</w:t>
            </w:r>
            <w:r w:rsidR="00345EE3">
              <w:rPr>
                <w:color w:val="231F20"/>
                <w:spacing w:val="-2"/>
              </w:rPr>
              <w:t xml:space="preserve"> </w:t>
            </w:r>
            <w:r w:rsidR="00345EE3">
              <w:rPr>
                <w:color w:val="231F20"/>
                <w:spacing w:val="-4"/>
              </w:rPr>
              <w:t>Performance</w:t>
            </w:r>
            <w:r w:rsidR="00345EE3">
              <w:rPr>
                <w:color w:val="231F20"/>
                <w:spacing w:val="-2"/>
              </w:rPr>
              <w:t xml:space="preserve"> </w:t>
            </w:r>
            <w:r w:rsidR="00345EE3">
              <w:rPr>
                <w:color w:val="231F20"/>
                <w:spacing w:val="-4"/>
              </w:rPr>
              <w:t>and</w:t>
            </w:r>
            <w:r w:rsidR="00345EE3">
              <w:rPr>
                <w:color w:val="231F20"/>
                <w:spacing w:val="-2"/>
              </w:rPr>
              <w:t xml:space="preserve"> </w:t>
            </w:r>
            <w:r w:rsidR="00345EE3">
              <w:rPr>
                <w:color w:val="231F20"/>
                <w:spacing w:val="-4"/>
              </w:rPr>
              <w:t>Financial</w:t>
            </w:r>
            <w:r w:rsidR="00345EE3">
              <w:rPr>
                <w:color w:val="231F20"/>
                <w:spacing w:val="-1"/>
              </w:rPr>
              <w:t xml:space="preserve"> </w:t>
            </w:r>
            <w:r w:rsidR="00345EE3">
              <w:rPr>
                <w:color w:val="231F20"/>
                <w:spacing w:val="-4"/>
              </w:rPr>
              <w:t>Statements</w:t>
            </w:r>
            <w:r w:rsidR="00345EE3">
              <w:rPr>
                <w:color w:val="231F20"/>
              </w:rPr>
              <w:tab/>
            </w:r>
            <w:r w:rsidR="00D241B3">
              <w:rPr>
                <w:color w:val="231F20"/>
                <w:spacing w:val="-5"/>
              </w:rPr>
              <w:t>105</w:t>
            </w:r>
          </w:hyperlink>
        </w:p>
        <w:p w14:paraId="6BC31C86" w14:textId="284C5314" w:rsidR="00345EE3" w:rsidRPr="00D241B3" w:rsidRDefault="004D1B9F" w:rsidP="00D241B3">
          <w:pPr>
            <w:pStyle w:val="TOC2"/>
            <w:rPr>
              <w:i/>
            </w:rPr>
          </w:pPr>
          <w:hyperlink w:anchor="_TOC_250000" w:history="1">
            <w:r w:rsidR="00345EE3" w:rsidRPr="00D241B3">
              <w:t>Appendices</w:t>
            </w:r>
            <w:r w:rsidR="00345EE3" w:rsidRPr="00D241B3">
              <w:tab/>
            </w:r>
            <w:r w:rsidR="00D241B3" w:rsidRPr="00D241B3">
              <w:rPr>
                <w:spacing w:val="-5"/>
              </w:rPr>
              <w:t>201</w:t>
            </w:r>
          </w:hyperlink>
        </w:p>
      </w:sdtContent>
    </w:sdt>
    <w:p w14:paraId="372A387E" w14:textId="77777777" w:rsidR="00345EE3" w:rsidRDefault="00345EE3" w:rsidP="00345EE3">
      <w:pPr>
        <w:rPr>
          <w:sz w:val="24"/>
        </w:rPr>
        <w:sectPr w:rsidR="00345EE3">
          <w:pgSz w:w="11910" w:h="16840"/>
          <w:pgMar w:top="660" w:right="0" w:bottom="280" w:left="740" w:header="720" w:footer="720" w:gutter="0"/>
          <w:cols w:space="720"/>
        </w:sectPr>
      </w:pPr>
    </w:p>
    <w:p w14:paraId="69C5FE55" w14:textId="77777777" w:rsidR="00345EE3" w:rsidRPr="00996959" w:rsidRDefault="00345EE3" w:rsidP="00345EE3">
      <w:pPr>
        <w:pStyle w:val="Heading1"/>
        <w:spacing w:before="91" w:line="223" w:lineRule="auto"/>
        <w:ind w:right="921"/>
        <w:rPr>
          <w:b w:val="0"/>
          <w:bCs/>
          <w:sz w:val="56"/>
          <w:szCs w:val="56"/>
        </w:rPr>
      </w:pPr>
      <w:bookmarkStart w:id="0" w:name="_TOC_250007"/>
      <w:r w:rsidRPr="00996959">
        <w:rPr>
          <w:b w:val="0"/>
          <w:bCs/>
          <w:color w:val="00529F"/>
          <w:spacing w:val="-2"/>
          <w:sz w:val="56"/>
          <w:szCs w:val="56"/>
        </w:rPr>
        <w:lastRenderedPageBreak/>
        <w:t>Foreword</w:t>
      </w:r>
      <w:r w:rsidRPr="00996959">
        <w:rPr>
          <w:b w:val="0"/>
          <w:bCs/>
          <w:color w:val="00529F"/>
          <w:spacing w:val="-34"/>
          <w:sz w:val="56"/>
          <w:szCs w:val="56"/>
        </w:rPr>
        <w:t xml:space="preserve"> </w:t>
      </w:r>
      <w:r w:rsidRPr="00996959">
        <w:rPr>
          <w:b w:val="0"/>
          <w:bCs/>
          <w:color w:val="00529F"/>
          <w:spacing w:val="-2"/>
          <w:sz w:val="56"/>
          <w:szCs w:val="56"/>
        </w:rPr>
        <w:t>from</w:t>
      </w:r>
      <w:r w:rsidRPr="00996959">
        <w:rPr>
          <w:b w:val="0"/>
          <w:bCs/>
          <w:color w:val="00529F"/>
          <w:spacing w:val="-33"/>
          <w:sz w:val="56"/>
          <w:szCs w:val="56"/>
        </w:rPr>
        <w:t xml:space="preserve"> </w:t>
      </w:r>
      <w:r w:rsidRPr="00996959">
        <w:rPr>
          <w:b w:val="0"/>
          <w:bCs/>
          <w:color w:val="00529F"/>
          <w:spacing w:val="-2"/>
          <w:sz w:val="56"/>
          <w:szCs w:val="56"/>
        </w:rPr>
        <w:t>Chief</w:t>
      </w:r>
      <w:r w:rsidRPr="00996959">
        <w:rPr>
          <w:b w:val="0"/>
          <w:bCs/>
          <w:color w:val="00529F"/>
          <w:spacing w:val="-33"/>
          <w:sz w:val="56"/>
          <w:szCs w:val="56"/>
        </w:rPr>
        <w:t xml:space="preserve"> </w:t>
      </w:r>
      <w:r w:rsidRPr="00996959">
        <w:rPr>
          <w:b w:val="0"/>
          <w:bCs/>
          <w:color w:val="00529F"/>
          <w:spacing w:val="-2"/>
          <w:sz w:val="56"/>
          <w:szCs w:val="56"/>
        </w:rPr>
        <w:t>Commissioner</w:t>
      </w:r>
      <w:r w:rsidRPr="00996959">
        <w:rPr>
          <w:b w:val="0"/>
          <w:bCs/>
          <w:color w:val="00529F"/>
          <w:spacing w:val="-33"/>
          <w:sz w:val="56"/>
          <w:szCs w:val="56"/>
        </w:rPr>
        <w:t xml:space="preserve"> </w:t>
      </w:r>
      <w:bookmarkEnd w:id="0"/>
      <w:r w:rsidRPr="00996959">
        <w:rPr>
          <w:b w:val="0"/>
          <w:bCs/>
          <w:color w:val="00529F"/>
          <w:spacing w:val="-2"/>
          <w:sz w:val="56"/>
          <w:szCs w:val="56"/>
        </w:rPr>
        <w:t>of Police</w:t>
      </w:r>
    </w:p>
    <w:p w14:paraId="6BBAE46F" w14:textId="77777777" w:rsidR="00345EE3" w:rsidRDefault="00345EE3" w:rsidP="00345EE3">
      <w:pPr>
        <w:pStyle w:val="BodyText"/>
        <w:spacing w:before="116" w:line="242" w:lineRule="auto"/>
        <w:ind w:right="921"/>
      </w:pPr>
      <w:r>
        <w:rPr>
          <w:color w:val="231F20"/>
        </w:rPr>
        <w:t>In</w:t>
      </w:r>
      <w:r>
        <w:rPr>
          <w:color w:val="231F20"/>
          <w:spacing w:val="-8"/>
        </w:rPr>
        <w:t xml:space="preserve"> </w:t>
      </w:r>
      <w:r>
        <w:rPr>
          <w:color w:val="231F20"/>
        </w:rPr>
        <w:t>accordance</w:t>
      </w:r>
      <w:r>
        <w:rPr>
          <w:color w:val="231F20"/>
          <w:spacing w:val="-8"/>
        </w:rPr>
        <w:t xml:space="preserve"> </w:t>
      </w:r>
      <w:r>
        <w:rPr>
          <w:color w:val="231F20"/>
        </w:rPr>
        <w:t>with</w:t>
      </w:r>
      <w:r>
        <w:rPr>
          <w:color w:val="231F20"/>
          <w:spacing w:val="-8"/>
        </w:rPr>
        <w:t xml:space="preserve"> </w:t>
      </w:r>
      <w:r>
        <w:rPr>
          <w:color w:val="231F20"/>
        </w:rPr>
        <w:t>the</w:t>
      </w:r>
      <w:r>
        <w:rPr>
          <w:color w:val="231F20"/>
          <w:spacing w:val="-8"/>
        </w:rPr>
        <w:t xml:space="preserve"> </w:t>
      </w:r>
      <w:r>
        <w:rPr>
          <w:i/>
          <w:color w:val="231F20"/>
        </w:rPr>
        <w:t>Financial</w:t>
      </w:r>
      <w:r>
        <w:rPr>
          <w:i/>
          <w:color w:val="231F20"/>
          <w:spacing w:val="-7"/>
        </w:rPr>
        <w:t xml:space="preserve"> </w:t>
      </w:r>
      <w:r>
        <w:rPr>
          <w:i/>
          <w:color w:val="231F20"/>
        </w:rPr>
        <w:t>Management</w:t>
      </w:r>
      <w:r>
        <w:rPr>
          <w:i/>
          <w:color w:val="231F20"/>
          <w:spacing w:val="-7"/>
        </w:rPr>
        <w:t xml:space="preserve"> </w:t>
      </w:r>
      <w:r>
        <w:rPr>
          <w:i/>
          <w:color w:val="231F20"/>
        </w:rPr>
        <w:t>Act</w:t>
      </w:r>
      <w:r>
        <w:rPr>
          <w:i/>
          <w:color w:val="231F20"/>
          <w:spacing w:val="-7"/>
        </w:rPr>
        <w:t xml:space="preserve"> </w:t>
      </w:r>
      <w:r>
        <w:rPr>
          <w:color w:val="231F20"/>
        </w:rPr>
        <w:t>1994,</w:t>
      </w:r>
      <w:r>
        <w:rPr>
          <w:color w:val="231F20"/>
          <w:spacing w:val="-7"/>
        </w:rPr>
        <w:t xml:space="preserve"> </w:t>
      </w:r>
      <w:r>
        <w:rPr>
          <w:color w:val="231F20"/>
        </w:rPr>
        <w:t>I</w:t>
      </w:r>
      <w:r>
        <w:rPr>
          <w:color w:val="231F20"/>
          <w:spacing w:val="-7"/>
        </w:rPr>
        <w:t xml:space="preserve"> </w:t>
      </w:r>
      <w:r>
        <w:rPr>
          <w:color w:val="231F20"/>
        </w:rPr>
        <w:t>am</w:t>
      </w:r>
      <w:r>
        <w:rPr>
          <w:color w:val="231F20"/>
          <w:spacing w:val="-7"/>
        </w:rPr>
        <w:t xml:space="preserve"> </w:t>
      </w:r>
      <w:r>
        <w:rPr>
          <w:color w:val="231F20"/>
        </w:rPr>
        <w:t>pleased</w:t>
      </w:r>
      <w:r>
        <w:rPr>
          <w:color w:val="231F20"/>
          <w:spacing w:val="-8"/>
        </w:rPr>
        <w:t xml:space="preserve"> </w:t>
      </w:r>
      <w:r>
        <w:rPr>
          <w:color w:val="231F20"/>
        </w:rPr>
        <w:t>to</w:t>
      </w:r>
      <w:r>
        <w:rPr>
          <w:color w:val="231F20"/>
          <w:spacing w:val="-8"/>
        </w:rPr>
        <w:t xml:space="preserve"> </w:t>
      </w:r>
      <w:r>
        <w:rPr>
          <w:color w:val="231F20"/>
        </w:rPr>
        <w:t>present</w:t>
      </w:r>
      <w:r>
        <w:rPr>
          <w:color w:val="231F20"/>
          <w:spacing w:val="-7"/>
        </w:rPr>
        <w:t xml:space="preserve"> </w:t>
      </w:r>
      <w:r>
        <w:rPr>
          <w:color w:val="231F20"/>
        </w:rPr>
        <w:t>the</w:t>
      </w:r>
      <w:r>
        <w:rPr>
          <w:color w:val="231F20"/>
          <w:spacing w:val="-8"/>
        </w:rPr>
        <w:t xml:space="preserve"> </w:t>
      </w:r>
      <w:r>
        <w:rPr>
          <w:color w:val="231F20"/>
        </w:rPr>
        <w:t>Victoria Police Annual Report for the reporting period ending 30 June 2022. The Annual Report is a record of our performance against a range of statutory requirements and the Government’s budget performance measures. We have also included an overview of our most important programs, initiatives and achievements over the last 12 months.</w:t>
      </w:r>
    </w:p>
    <w:p w14:paraId="7BDA6331" w14:textId="77777777" w:rsidR="00345EE3" w:rsidRPr="00996959" w:rsidRDefault="00345EE3" w:rsidP="002A27BA">
      <w:pPr>
        <w:pStyle w:val="Heading3"/>
      </w:pPr>
      <w:r w:rsidRPr="00996959">
        <w:t>2021–22</w:t>
      </w:r>
      <w:r w:rsidRPr="00996959">
        <w:rPr>
          <w:spacing w:val="-8"/>
        </w:rPr>
        <w:t xml:space="preserve"> </w:t>
      </w:r>
      <w:r w:rsidRPr="00996959">
        <w:t>in</w:t>
      </w:r>
      <w:r w:rsidRPr="00996959">
        <w:rPr>
          <w:spacing w:val="-7"/>
        </w:rPr>
        <w:t xml:space="preserve"> </w:t>
      </w:r>
      <w:r w:rsidRPr="00996959">
        <w:rPr>
          <w:spacing w:val="-2"/>
        </w:rPr>
        <w:t>Review</w:t>
      </w:r>
    </w:p>
    <w:p w14:paraId="041C4C29" w14:textId="77777777" w:rsidR="00345EE3" w:rsidRDefault="00345EE3" w:rsidP="00345EE3">
      <w:pPr>
        <w:pStyle w:val="BodyText"/>
        <w:spacing w:before="52" w:line="242" w:lineRule="auto"/>
        <w:ind w:right="1141"/>
      </w:pPr>
      <w:r>
        <w:rPr>
          <w:color w:val="231F20"/>
          <w:spacing w:val="-2"/>
        </w:rPr>
        <w:t>For</w:t>
      </w:r>
      <w:r>
        <w:rPr>
          <w:color w:val="231F20"/>
          <w:spacing w:val="-13"/>
        </w:rPr>
        <w:t xml:space="preserve"> </w:t>
      </w:r>
      <w:r>
        <w:rPr>
          <w:color w:val="231F20"/>
          <w:spacing w:val="-2"/>
        </w:rPr>
        <w:t>Victorians,</w:t>
      </w:r>
      <w:r>
        <w:rPr>
          <w:color w:val="231F20"/>
          <w:spacing w:val="-13"/>
        </w:rPr>
        <w:t xml:space="preserve"> </w:t>
      </w:r>
      <w:r>
        <w:rPr>
          <w:color w:val="231F20"/>
          <w:spacing w:val="-2"/>
        </w:rPr>
        <w:t>the</w:t>
      </w:r>
      <w:r>
        <w:rPr>
          <w:color w:val="231F20"/>
          <w:spacing w:val="-13"/>
        </w:rPr>
        <w:t xml:space="preserve"> </w:t>
      </w:r>
      <w:r>
        <w:rPr>
          <w:color w:val="231F20"/>
          <w:spacing w:val="-2"/>
        </w:rPr>
        <w:t>latter</w:t>
      </w:r>
      <w:r>
        <w:rPr>
          <w:color w:val="231F20"/>
          <w:spacing w:val="-13"/>
        </w:rPr>
        <w:t xml:space="preserve"> </w:t>
      </w:r>
      <w:r>
        <w:rPr>
          <w:color w:val="231F20"/>
          <w:spacing w:val="-2"/>
        </w:rPr>
        <w:t>part</w:t>
      </w:r>
      <w:r>
        <w:rPr>
          <w:color w:val="231F20"/>
          <w:spacing w:val="-13"/>
        </w:rPr>
        <w:t xml:space="preserve"> </w:t>
      </w:r>
      <w:r>
        <w:rPr>
          <w:color w:val="231F20"/>
          <w:spacing w:val="-2"/>
        </w:rPr>
        <w:t>of</w:t>
      </w:r>
      <w:r>
        <w:rPr>
          <w:color w:val="231F20"/>
          <w:spacing w:val="-13"/>
        </w:rPr>
        <w:t xml:space="preserve"> </w:t>
      </w:r>
      <w:r>
        <w:rPr>
          <w:color w:val="231F20"/>
          <w:spacing w:val="-2"/>
        </w:rPr>
        <w:t>2021–22</w:t>
      </w:r>
      <w:r>
        <w:rPr>
          <w:color w:val="231F20"/>
          <w:spacing w:val="-13"/>
        </w:rPr>
        <w:t xml:space="preserve"> </w:t>
      </w:r>
      <w:r>
        <w:rPr>
          <w:color w:val="231F20"/>
          <w:spacing w:val="-2"/>
        </w:rPr>
        <w:t>marked</w:t>
      </w:r>
      <w:r>
        <w:rPr>
          <w:color w:val="231F20"/>
          <w:spacing w:val="-13"/>
        </w:rPr>
        <w:t xml:space="preserve"> </w:t>
      </w:r>
      <w:r>
        <w:rPr>
          <w:color w:val="231F20"/>
          <w:spacing w:val="-2"/>
        </w:rPr>
        <w:t>the</w:t>
      </w:r>
      <w:r>
        <w:rPr>
          <w:color w:val="231F20"/>
          <w:spacing w:val="-13"/>
        </w:rPr>
        <w:t xml:space="preserve"> </w:t>
      </w:r>
      <w:r>
        <w:rPr>
          <w:color w:val="231F20"/>
          <w:spacing w:val="-2"/>
        </w:rPr>
        <w:t>return</w:t>
      </w:r>
      <w:r>
        <w:rPr>
          <w:color w:val="231F20"/>
          <w:spacing w:val="-13"/>
        </w:rPr>
        <w:t xml:space="preserve"> </w:t>
      </w:r>
      <w:r>
        <w:rPr>
          <w:color w:val="231F20"/>
          <w:spacing w:val="-2"/>
        </w:rPr>
        <w:t>of</w:t>
      </w:r>
      <w:r>
        <w:rPr>
          <w:color w:val="231F20"/>
          <w:spacing w:val="-13"/>
        </w:rPr>
        <w:t xml:space="preserve"> </w:t>
      </w:r>
      <w:r>
        <w:rPr>
          <w:color w:val="231F20"/>
          <w:spacing w:val="-2"/>
        </w:rPr>
        <w:t>events</w:t>
      </w:r>
      <w:r>
        <w:rPr>
          <w:color w:val="231F20"/>
          <w:spacing w:val="-13"/>
        </w:rPr>
        <w:t xml:space="preserve"> </w:t>
      </w:r>
      <w:r>
        <w:rPr>
          <w:color w:val="231F20"/>
          <w:spacing w:val="-2"/>
        </w:rPr>
        <w:t>and</w:t>
      </w:r>
      <w:r>
        <w:rPr>
          <w:color w:val="231F20"/>
          <w:spacing w:val="-13"/>
        </w:rPr>
        <w:t xml:space="preserve"> </w:t>
      </w:r>
      <w:r>
        <w:rPr>
          <w:color w:val="231F20"/>
          <w:spacing w:val="-2"/>
        </w:rPr>
        <w:t>activities</w:t>
      </w:r>
      <w:r>
        <w:rPr>
          <w:color w:val="231F20"/>
          <w:spacing w:val="-13"/>
        </w:rPr>
        <w:t xml:space="preserve"> </w:t>
      </w:r>
      <w:r>
        <w:rPr>
          <w:color w:val="231F20"/>
          <w:spacing w:val="-2"/>
        </w:rPr>
        <w:t>that</w:t>
      </w:r>
      <w:r>
        <w:rPr>
          <w:color w:val="231F20"/>
          <w:spacing w:val="-13"/>
        </w:rPr>
        <w:t xml:space="preserve"> </w:t>
      </w:r>
      <w:r>
        <w:rPr>
          <w:color w:val="231F20"/>
          <w:spacing w:val="-2"/>
        </w:rPr>
        <w:t>we</w:t>
      </w:r>
      <w:r>
        <w:rPr>
          <w:color w:val="231F20"/>
          <w:spacing w:val="-13"/>
        </w:rPr>
        <w:t xml:space="preserve"> </w:t>
      </w:r>
      <w:r>
        <w:rPr>
          <w:color w:val="231F20"/>
          <w:spacing w:val="-2"/>
        </w:rPr>
        <w:t xml:space="preserve">love, </w:t>
      </w:r>
      <w:r>
        <w:rPr>
          <w:color w:val="231F20"/>
        </w:rPr>
        <w:t>such</w:t>
      </w:r>
      <w:r>
        <w:rPr>
          <w:color w:val="231F20"/>
          <w:spacing w:val="-12"/>
        </w:rPr>
        <w:t xml:space="preserve"> </w:t>
      </w:r>
      <w:r>
        <w:rPr>
          <w:color w:val="231F20"/>
        </w:rPr>
        <w:t>as</w:t>
      </w:r>
      <w:r>
        <w:rPr>
          <w:color w:val="231F20"/>
          <w:spacing w:val="-12"/>
        </w:rPr>
        <w:t xml:space="preserve"> </w:t>
      </w:r>
      <w:r>
        <w:rPr>
          <w:color w:val="231F20"/>
        </w:rPr>
        <w:t>sport,</w:t>
      </w:r>
      <w:r>
        <w:rPr>
          <w:color w:val="231F20"/>
          <w:spacing w:val="-12"/>
        </w:rPr>
        <w:t xml:space="preserve"> </w:t>
      </w:r>
      <w:r>
        <w:rPr>
          <w:color w:val="231F20"/>
        </w:rPr>
        <w:t>social</w:t>
      </w:r>
      <w:r>
        <w:rPr>
          <w:color w:val="231F20"/>
          <w:spacing w:val="-12"/>
        </w:rPr>
        <w:t xml:space="preserve"> </w:t>
      </w:r>
      <w:r>
        <w:rPr>
          <w:color w:val="231F20"/>
        </w:rPr>
        <w:t>gatherings,</w:t>
      </w:r>
      <w:r>
        <w:rPr>
          <w:color w:val="231F20"/>
          <w:spacing w:val="-12"/>
        </w:rPr>
        <w:t xml:space="preserve"> </w:t>
      </w:r>
      <w:r>
        <w:rPr>
          <w:color w:val="231F20"/>
        </w:rPr>
        <w:t>travel</w:t>
      </w:r>
      <w:r>
        <w:rPr>
          <w:color w:val="231F20"/>
          <w:spacing w:val="-12"/>
        </w:rPr>
        <w:t xml:space="preserve"> </w:t>
      </w:r>
      <w:r>
        <w:rPr>
          <w:color w:val="231F20"/>
        </w:rPr>
        <w:t>and</w:t>
      </w:r>
      <w:r>
        <w:rPr>
          <w:color w:val="231F20"/>
          <w:spacing w:val="-12"/>
        </w:rPr>
        <w:t xml:space="preserve"> </w:t>
      </w:r>
      <w:r>
        <w:rPr>
          <w:color w:val="231F20"/>
        </w:rPr>
        <w:t>more.</w:t>
      </w:r>
      <w:r>
        <w:rPr>
          <w:color w:val="231F20"/>
          <w:spacing w:val="-12"/>
        </w:rPr>
        <w:t xml:space="preserve"> </w:t>
      </w:r>
      <w:r>
        <w:rPr>
          <w:color w:val="231F20"/>
        </w:rPr>
        <w:t>Victoria</w:t>
      </w:r>
      <w:r>
        <w:rPr>
          <w:color w:val="231F20"/>
          <w:spacing w:val="-12"/>
        </w:rPr>
        <w:t xml:space="preserve"> </w:t>
      </w:r>
      <w:r>
        <w:rPr>
          <w:color w:val="231F20"/>
        </w:rPr>
        <w:t>Police</w:t>
      </w:r>
      <w:r>
        <w:rPr>
          <w:color w:val="231F20"/>
          <w:spacing w:val="-12"/>
        </w:rPr>
        <w:t xml:space="preserve"> </w:t>
      </w:r>
      <w:r>
        <w:rPr>
          <w:color w:val="231F20"/>
        </w:rPr>
        <w:t>has</w:t>
      </w:r>
      <w:r>
        <w:rPr>
          <w:color w:val="231F20"/>
          <w:spacing w:val="-12"/>
        </w:rPr>
        <w:t xml:space="preserve"> </w:t>
      </w:r>
      <w:r>
        <w:rPr>
          <w:color w:val="231F20"/>
        </w:rPr>
        <w:t>welcomed</w:t>
      </w:r>
      <w:r>
        <w:rPr>
          <w:color w:val="231F20"/>
          <w:spacing w:val="-12"/>
        </w:rPr>
        <w:t xml:space="preserve"> </w:t>
      </w:r>
      <w:r>
        <w:rPr>
          <w:color w:val="231F20"/>
        </w:rPr>
        <w:t>a</w:t>
      </w:r>
      <w:r>
        <w:rPr>
          <w:color w:val="231F20"/>
          <w:spacing w:val="-12"/>
        </w:rPr>
        <w:t xml:space="preserve"> </w:t>
      </w:r>
      <w:r>
        <w:rPr>
          <w:color w:val="231F20"/>
        </w:rPr>
        <w:t>return</w:t>
      </w:r>
      <w:r>
        <w:rPr>
          <w:color w:val="231F20"/>
          <w:spacing w:val="-12"/>
        </w:rPr>
        <w:t xml:space="preserve"> </w:t>
      </w:r>
      <w:r>
        <w:rPr>
          <w:color w:val="231F20"/>
        </w:rPr>
        <w:t xml:space="preserve">to </w:t>
      </w:r>
      <w:r>
        <w:rPr>
          <w:color w:val="231F20"/>
          <w:spacing w:val="-2"/>
        </w:rPr>
        <w:t>more</w:t>
      </w:r>
      <w:r>
        <w:rPr>
          <w:color w:val="231F20"/>
          <w:spacing w:val="-9"/>
        </w:rPr>
        <w:t xml:space="preserve"> </w:t>
      </w:r>
      <w:r>
        <w:rPr>
          <w:color w:val="231F20"/>
          <w:spacing w:val="-2"/>
        </w:rPr>
        <w:t>typical</w:t>
      </w:r>
      <w:r>
        <w:rPr>
          <w:color w:val="231F20"/>
          <w:spacing w:val="-9"/>
        </w:rPr>
        <w:t xml:space="preserve"> </w:t>
      </w:r>
      <w:r>
        <w:rPr>
          <w:color w:val="231F20"/>
          <w:spacing w:val="-2"/>
        </w:rPr>
        <w:t>policing</w:t>
      </w:r>
      <w:r>
        <w:rPr>
          <w:color w:val="231F20"/>
          <w:spacing w:val="-9"/>
        </w:rPr>
        <w:t xml:space="preserve"> </w:t>
      </w:r>
      <w:r>
        <w:rPr>
          <w:color w:val="231F20"/>
          <w:spacing w:val="-2"/>
        </w:rPr>
        <w:t>roles</w:t>
      </w:r>
      <w:r>
        <w:rPr>
          <w:color w:val="231F20"/>
          <w:spacing w:val="-9"/>
        </w:rPr>
        <w:t xml:space="preserve"> </w:t>
      </w:r>
      <w:r>
        <w:rPr>
          <w:color w:val="231F20"/>
          <w:spacing w:val="-2"/>
        </w:rPr>
        <w:t>and</w:t>
      </w:r>
      <w:r>
        <w:rPr>
          <w:color w:val="231F20"/>
          <w:spacing w:val="-9"/>
        </w:rPr>
        <w:t xml:space="preserve"> </w:t>
      </w:r>
      <w:r>
        <w:rPr>
          <w:color w:val="231F20"/>
          <w:spacing w:val="-2"/>
        </w:rPr>
        <w:t>responsibilities</w:t>
      </w:r>
      <w:r>
        <w:rPr>
          <w:color w:val="231F20"/>
          <w:spacing w:val="-9"/>
        </w:rPr>
        <w:t xml:space="preserve"> </w:t>
      </w:r>
      <w:r>
        <w:rPr>
          <w:color w:val="231F20"/>
          <w:spacing w:val="-2"/>
        </w:rPr>
        <w:t>and</w:t>
      </w:r>
      <w:r>
        <w:rPr>
          <w:color w:val="231F20"/>
          <w:spacing w:val="-9"/>
        </w:rPr>
        <w:t xml:space="preserve"> </w:t>
      </w:r>
      <w:r>
        <w:rPr>
          <w:color w:val="231F20"/>
          <w:spacing w:val="-2"/>
        </w:rPr>
        <w:t>the</w:t>
      </w:r>
      <w:r>
        <w:rPr>
          <w:color w:val="231F20"/>
          <w:spacing w:val="-9"/>
        </w:rPr>
        <w:t xml:space="preserve"> </w:t>
      </w:r>
      <w:r>
        <w:rPr>
          <w:color w:val="231F20"/>
          <w:spacing w:val="-2"/>
        </w:rPr>
        <w:t>opportunity</w:t>
      </w:r>
      <w:r>
        <w:rPr>
          <w:color w:val="231F20"/>
          <w:spacing w:val="-9"/>
        </w:rPr>
        <w:t xml:space="preserve"> </w:t>
      </w:r>
      <w:r>
        <w:rPr>
          <w:color w:val="231F20"/>
          <w:spacing w:val="-2"/>
        </w:rPr>
        <w:t>to</w:t>
      </w:r>
      <w:r>
        <w:rPr>
          <w:color w:val="231F20"/>
          <w:spacing w:val="-9"/>
        </w:rPr>
        <w:t xml:space="preserve"> </w:t>
      </w:r>
      <w:r>
        <w:rPr>
          <w:color w:val="231F20"/>
          <w:spacing w:val="-2"/>
        </w:rPr>
        <w:t>positively</w:t>
      </w:r>
      <w:r>
        <w:rPr>
          <w:color w:val="231F20"/>
          <w:spacing w:val="-9"/>
        </w:rPr>
        <w:t xml:space="preserve"> </w:t>
      </w:r>
      <w:r>
        <w:rPr>
          <w:color w:val="231F20"/>
          <w:spacing w:val="-2"/>
        </w:rPr>
        <w:t>engage</w:t>
      </w:r>
      <w:r>
        <w:rPr>
          <w:color w:val="231F20"/>
          <w:spacing w:val="-9"/>
        </w:rPr>
        <w:t xml:space="preserve"> </w:t>
      </w:r>
      <w:r>
        <w:rPr>
          <w:color w:val="231F20"/>
          <w:spacing w:val="-2"/>
        </w:rPr>
        <w:t>with</w:t>
      </w:r>
      <w:r>
        <w:rPr>
          <w:color w:val="231F20"/>
          <w:spacing w:val="-9"/>
        </w:rPr>
        <w:t xml:space="preserve"> </w:t>
      </w:r>
      <w:r>
        <w:rPr>
          <w:color w:val="231F20"/>
          <w:spacing w:val="-2"/>
        </w:rPr>
        <w:t>the community.</w:t>
      </w:r>
    </w:p>
    <w:p w14:paraId="4CA27006" w14:textId="77777777" w:rsidR="00345EE3" w:rsidRDefault="00345EE3" w:rsidP="00345EE3">
      <w:pPr>
        <w:pStyle w:val="BodyText"/>
        <w:spacing w:before="119" w:line="242" w:lineRule="auto"/>
        <w:ind w:right="921"/>
      </w:pPr>
      <w:r>
        <w:rPr>
          <w:color w:val="231F20"/>
        </w:rPr>
        <w:t>However,</w:t>
      </w:r>
      <w:r>
        <w:rPr>
          <w:color w:val="231F20"/>
          <w:spacing w:val="-16"/>
        </w:rPr>
        <w:t xml:space="preserve"> </w:t>
      </w:r>
      <w:r>
        <w:rPr>
          <w:color w:val="231F20"/>
        </w:rPr>
        <w:t>2021–22</w:t>
      </w:r>
      <w:r>
        <w:rPr>
          <w:color w:val="231F20"/>
          <w:spacing w:val="-16"/>
        </w:rPr>
        <w:t xml:space="preserve"> </w:t>
      </w:r>
      <w:r>
        <w:rPr>
          <w:color w:val="231F20"/>
        </w:rPr>
        <w:t>was</w:t>
      </w:r>
      <w:r>
        <w:rPr>
          <w:color w:val="231F20"/>
          <w:spacing w:val="-16"/>
        </w:rPr>
        <w:t xml:space="preserve"> </w:t>
      </w:r>
      <w:r>
        <w:rPr>
          <w:color w:val="231F20"/>
        </w:rPr>
        <w:t>still</w:t>
      </w:r>
      <w:r>
        <w:rPr>
          <w:color w:val="231F20"/>
          <w:spacing w:val="-16"/>
        </w:rPr>
        <w:t xml:space="preserve"> </w:t>
      </w:r>
      <w:r>
        <w:rPr>
          <w:color w:val="231F20"/>
        </w:rPr>
        <w:t>far</w:t>
      </w:r>
      <w:r>
        <w:rPr>
          <w:color w:val="231F20"/>
          <w:spacing w:val="-16"/>
        </w:rPr>
        <w:t xml:space="preserve"> </w:t>
      </w:r>
      <w:r>
        <w:rPr>
          <w:color w:val="231F20"/>
        </w:rPr>
        <w:t>from</w:t>
      </w:r>
      <w:r>
        <w:rPr>
          <w:color w:val="231F20"/>
          <w:spacing w:val="-16"/>
        </w:rPr>
        <w:t xml:space="preserve"> </w:t>
      </w:r>
      <w:r>
        <w:rPr>
          <w:color w:val="231F20"/>
        </w:rPr>
        <w:t>a</w:t>
      </w:r>
      <w:r>
        <w:rPr>
          <w:color w:val="231F20"/>
          <w:spacing w:val="-16"/>
        </w:rPr>
        <w:t xml:space="preserve"> </w:t>
      </w:r>
      <w:r>
        <w:rPr>
          <w:color w:val="231F20"/>
        </w:rPr>
        <w:t>typical</w:t>
      </w:r>
      <w:r>
        <w:rPr>
          <w:color w:val="231F20"/>
          <w:spacing w:val="-16"/>
        </w:rPr>
        <w:t xml:space="preserve"> </w:t>
      </w:r>
      <w:r>
        <w:rPr>
          <w:color w:val="231F20"/>
        </w:rPr>
        <w:t>year.</w:t>
      </w:r>
      <w:r>
        <w:rPr>
          <w:color w:val="231F20"/>
          <w:spacing w:val="-16"/>
        </w:rPr>
        <w:t xml:space="preserve"> </w:t>
      </w:r>
      <w:r>
        <w:rPr>
          <w:color w:val="231F20"/>
        </w:rPr>
        <w:t>Victoria</w:t>
      </w:r>
      <w:r>
        <w:rPr>
          <w:color w:val="231F20"/>
          <w:spacing w:val="-16"/>
        </w:rPr>
        <w:t xml:space="preserve"> </w:t>
      </w:r>
      <w:r>
        <w:rPr>
          <w:color w:val="231F20"/>
        </w:rPr>
        <w:t>Police</w:t>
      </w:r>
      <w:r>
        <w:rPr>
          <w:color w:val="231F20"/>
          <w:spacing w:val="-16"/>
        </w:rPr>
        <w:t xml:space="preserve"> </w:t>
      </w:r>
      <w:r>
        <w:rPr>
          <w:color w:val="231F20"/>
        </w:rPr>
        <w:t>continued</w:t>
      </w:r>
      <w:r>
        <w:rPr>
          <w:color w:val="231F20"/>
          <w:spacing w:val="-16"/>
        </w:rPr>
        <w:t xml:space="preserve"> </w:t>
      </w:r>
      <w:r>
        <w:rPr>
          <w:color w:val="231F20"/>
        </w:rPr>
        <w:t>to</w:t>
      </w:r>
      <w:r>
        <w:rPr>
          <w:color w:val="231F20"/>
          <w:spacing w:val="-16"/>
        </w:rPr>
        <w:t xml:space="preserve"> </w:t>
      </w:r>
      <w:r>
        <w:rPr>
          <w:color w:val="231F20"/>
        </w:rPr>
        <w:t>play</w:t>
      </w:r>
      <w:r>
        <w:rPr>
          <w:color w:val="231F20"/>
          <w:spacing w:val="-16"/>
        </w:rPr>
        <w:t xml:space="preserve"> </w:t>
      </w:r>
      <w:r>
        <w:rPr>
          <w:color w:val="231F20"/>
        </w:rPr>
        <w:t>a</w:t>
      </w:r>
      <w:r>
        <w:rPr>
          <w:color w:val="231F20"/>
          <w:spacing w:val="-16"/>
        </w:rPr>
        <w:t xml:space="preserve"> </w:t>
      </w:r>
      <w:r>
        <w:rPr>
          <w:color w:val="231F20"/>
        </w:rPr>
        <w:t>pivotal</w:t>
      </w:r>
      <w:r>
        <w:rPr>
          <w:color w:val="231F20"/>
          <w:spacing w:val="-16"/>
        </w:rPr>
        <w:t xml:space="preserve"> </w:t>
      </w:r>
      <w:r>
        <w:rPr>
          <w:color w:val="231F20"/>
        </w:rPr>
        <w:t>role in</w:t>
      </w:r>
      <w:r>
        <w:rPr>
          <w:color w:val="231F20"/>
          <w:spacing w:val="-11"/>
        </w:rPr>
        <w:t xml:space="preserve"> </w:t>
      </w:r>
      <w:r>
        <w:rPr>
          <w:color w:val="231F20"/>
        </w:rPr>
        <w:t>supporting</w:t>
      </w:r>
      <w:r>
        <w:rPr>
          <w:color w:val="231F20"/>
          <w:spacing w:val="-11"/>
        </w:rPr>
        <w:t xml:space="preserve"> </w:t>
      </w:r>
      <w:r>
        <w:rPr>
          <w:color w:val="231F20"/>
        </w:rPr>
        <w:t>the</w:t>
      </w:r>
      <w:r>
        <w:rPr>
          <w:color w:val="231F20"/>
          <w:spacing w:val="-11"/>
        </w:rPr>
        <w:t xml:space="preserve"> </w:t>
      </w:r>
      <w:r>
        <w:rPr>
          <w:color w:val="231F20"/>
        </w:rPr>
        <w:t>response</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pandemic.</w:t>
      </w:r>
      <w:r>
        <w:rPr>
          <w:color w:val="231F20"/>
          <w:spacing w:val="-11"/>
        </w:rPr>
        <w:t xml:space="preserve"> </w:t>
      </w:r>
      <w:r>
        <w:rPr>
          <w:color w:val="231F20"/>
        </w:rPr>
        <w:t>The</w:t>
      </w:r>
      <w:r>
        <w:rPr>
          <w:color w:val="231F20"/>
          <w:spacing w:val="-11"/>
        </w:rPr>
        <w:t xml:space="preserve"> </w:t>
      </w:r>
      <w:r>
        <w:rPr>
          <w:color w:val="231F20"/>
        </w:rPr>
        <w:t>pandemic</w:t>
      </w:r>
      <w:r>
        <w:rPr>
          <w:color w:val="231F20"/>
          <w:spacing w:val="-11"/>
        </w:rPr>
        <w:t xml:space="preserve"> </w:t>
      </w:r>
      <w:r>
        <w:rPr>
          <w:color w:val="231F20"/>
        </w:rPr>
        <w:t>continued</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the</w:t>
      </w:r>
      <w:r>
        <w:rPr>
          <w:color w:val="231F20"/>
          <w:spacing w:val="-11"/>
        </w:rPr>
        <w:t xml:space="preserve"> </w:t>
      </w:r>
      <w:r>
        <w:rPr>
          <w:color w:val="231F20"/>
        </w:rPr>
        <w:t>main</w:t>
      </w:r>
      <w:r>
        <w:rPr>
          <w:color w:val="231F20"/>
          <w:spacing w:val="-11"/>
        </w:rPr>
        <w:t xml:space="preserve"> </w:t>
      </w:r>
      <w:r>
        <w:rPr>
          <w:color w:val="231F20"/>
        </w:rPr>
        <w:t>driver</w:t>
      </w:r>
      <w:r>
        <w:rPr>
          <w:color w:val="231F20"/>
          <w:spacing w:val="-11"/>
        </w:rPr>
        <w:t xml:space="preserve"> </w:t>
      </w:r>
      <w:r>
        <w:rPr>
          <w:color w:val="231F20"/>
        </w:rPr>
        <w:t>of variances</w:t>
      </w:r>
      <w:r>
        <w:rPr>
          <w:color w:val="231F20"/>
          <w:spacing w:val="-11"/>
        </w:rPr>
        <w:t xml:space="preserve"> </w:t>
      </w:r>
      <w:r>
        <w:rPr>
          <w:color w:val="231F20"/>
        </w:rPr>
        <w:t>across</w:t>
      </w:r>
      <w:r>
        <w:rPr>
          <w:color w:val="231F20"/>
          <w:spacing w:val="-11"/>
        </w:rPr>
        <w:t xml:space="preserve"> </w:t>
      </w:r>
      <w:r>
        <w:rPr>
          <w:color w:val="231F20"/>
        </w:rPr>
        <w:t>a</w:t>
      </w:r>
      <w:r>
        <w:rPr>
          <w:color w:val="231F20"/>
          <w:spacing w:val="-11"/>
        </w:rPr>
        <w:t xml:space="preserve"> </w:t>
      </w:r>
      <w:r>
        <w:rPr>
          <w:color w:val="231F20"/>
        </w:rPr>
        <w:t>range</w:t>
      </w:r>
      <w:r>
        <w:rPr>
          <w:color w:val="231F20"/>
          <w:spacing w:val="-11"/>
        </w:rPr>
        <w:t xml:space="preserve"> </w:t>
      </w:r>
      <w:r>
        <w:rPr>
          <w:color w:val="231F20"/>
        </w:rPr>
        <w:t>of</w:t>
      </w:r>
      <w:r>
        <w:rPr>
          <w:color w:val="231F20"/>
          <w:spacing w:val="-11"/>
        </w:rPr>
        <w:t xml:space="preserve"> </w:t>
      </w:r>
      <w:r>
        <w:rPr>
          <w:color w:val="231F20"/>
        </w:rPr>
        <w:t>our</w:t>
      </w:r>
      <w:r>
        <w:rPr>
          <w:color w:val="231F20"/>
          <w:spacing w:val="-11"/>
        </w:rPr>
        <w:t xml:space="preserve"> </w:t>
      </w:r>
      <w:r>
        <w:rPr>
          <w:color w:val="231F20"/>
        </w:rPr>
        <w:t>performance</w:t>
      </w:r>
      <w:r>
        <w:rPr>
          <w:color w:val="231F20"/>
          <w:spacing w:val="-11"/>
        </w:rPr>
        <w:t xml:space="preserve"> </w:t>
      </w:r>
      <w:r>
        <w:rPr>
          <w:color w:val="231F20"/>
        </w:rPr>
        <w:t>measures,</w:t>
      </w:r>
      <w:r>
        <w:rPr>
          <w:color w:val="231F20"/>
          <w:spacing w:val="-11"/>
        </w:rPr>
        <w:t xml:space="preserve"> </w:t>
      </w:r>
      <w:r>
        <w:rPr>
          <w:color w:val="231F20"/>
        </w:rPr>
        <w:t>such</w:t>
      </w:r>
      <w:r>
        <w:rPr>
          <w:color w:val="231F20"/>
          <w:spacing w:val="-11"/>
        </w:rPr>
        <w:t xml:space="preserve"> </w:t>
      </w:r>
      <w:r>
        <w:rPr>
          <w:color w:val="231F20"/>
        </w:rPr>
        <w:t>as</w:t>
      </w:r>
      <w:r>
        <w:rPr>
          <w:color w:val="231F20"/>
          <w:spacing w:val="-11"/>
        </w:rPr>
        <w:t xml:space="preserve"> </w:t>
      </w:r>
      <w:r>
        <w:rPr>
          <w:color w:val="231F20"/>
        </w:rPr>
        <w:t>an</w:t>
      </w:r>
      <w:r>
        <w:rPr>
          <w:color w:val="231F20"/>
          <w:spacing w:val="-11"/>
        </w:rPr>
        <w:t xml:space="preserve"> </w:t>
      </w:r>
      <w:r>
        <w:rPr>
          <w:color w:val="231F20"/>
        </w:rPr>
        <w:t>increase</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number</w:t>
      </w:r>
      <w:r>
        <w:rPr>
          <w:color w:val="231F20"/>
          <w:spacing w:val="-11"/>
        </w:rPr>
        <w:t xml:space="preserve"> </w:t>
      </w:r>
      <w:r>
        <w:rPr>
          <w:color w:val="231F20"/>
        </w:rPr>
        <w:t xml:space="preserve">of </w:t>
      </w:r>
      <w:r>
        <w:rPr>
          <w:color w:val="231F20"/>
          <w:spacing w:val="-2"/>
        </w:rPr>
        <w:t>occupational</w:t>
      </w:r>
      <w:r>
        <w:rPr>
          <w:color w:val="231F20"/>
          <w:spacing w:val="-15"/>
        </w:rPr>
        <w:t xml:space="preserve"> </w:t>
      </w:r>
      <w:r>
        <w:rPr>
          <w:color w:val="231F20"/>
          <w:spacing w:val="-2"/>
        </w:rPr>
        <w:t>health</w:t>
      </w:r>
      <w:r>
        <w:rPr>
          <w:color w:val="231F20"/>
          <w:spacing w:val="-15"/>
        </w:rPr>
        <w:t xml:space="preserve"> </w:t>
      </w:r>
      <w:r>
        <w:rPr>
          <w:color w:val="231F20"/>
          <w:spacing w:val="-2"/>
        </w:rPr>
        <w:t>and</w:t>
      </w:r>
      <w:r>
        <w:rPr>
          <w:color w:val="231F20"/>
          <w:spacing w:val="-14"/>
        </w:rPr>
        <w:t xml:space="preserve"> </w:t>
      </w:r>
      <w:r>
        <w:rPr>
          <w:color w:val="231F20"/>
          <w:spacing w:val="-2"/>
        </w:rPr>
        <w:t>safety</w:t>
      </w:r>
      <w:r>
        <w:rPr>
          <w:color w:val="231F20"/>
          <w:spacing w:val="-15"/>
        </w:rPr>
        <w:t xml:space="preserve"> </w:t>
      </w:r>
      <w:r>
        <w:rPr>
          <w:color w:val="231F20"/>
          <w:spacing w:val="-2"/>
        </w:rPr>
        <w:t>incidents,</w:t>
      </w:r>
      <w:r>
        <w:rPr>
          <w:color w:val="231F20"/>
          <w:spacing w:val="-15"/>
        </w:rPr>
        <w:t xml:space="preserve"> </w:t>
      </w:r>
      <w:r>
        <w:rPr>
          <w:color w:val="231F20"/>
          <w:spacing w:val="-2"/>
        </w:rPr>
        <w:t>reflecting</w:t>
      </w:r>
      <w:r>
        <w:rPr>
          <w:color w:val="231F20"/>
          <w:spacing w:val="-14"/>
        </w:rPr>
        <w:t xml:space="preserve"> </w:t>
      </w:r>
      <w:r>
        <w:rPr>
          <w:color w:val="231F20"/>
          <w:spacing w:val="-2"/>
        </w:rPr>
        <w:t>COVID-19</w:t>
      </w:r>
      <w:r>
        <w:rPr>
          <w:color w:val="231F20"/>
          <w:spacing w:val="-15"/>
        </w:rPr>
        <w:t xml:space="preserve"> </w:t>
      </w:r>
      <w:r>
        <w:rPr>
          <w:color w:val="231F20"/>
          <w:spacing w:val="-2"/>
        </w:rPr>
        <w:t>near</w:t>
      </w:r>
      <w:r>
        <w:rPr>
          <w:color w:val="231F20"/>
          <w:spacing w:val="-15"/>
        </w:rPr>
        <w:t xml:space="preserve"> </w:t>
      </w:r>
      <w:r>
        <w:rPr>
          <w:color w:val="231F20"/>
          <w:spacing w:val="-2"/>
        </w:rPr>
        <w:t>misses</w:t>
      </w:r>
      <w:r>
        <w:rPr>
          <w:color w:val="231F20"/>
          <w:spacing w:val="-15"/>
        </w:rPr>
        <w:t xml:space="preserve"> </w:t>
      </w:r>
      <w:r>
        <w:rPr>
          <w:color w:val="231F20"/>
          <w:spacing w:val="-2"/>
        </w:rPr>
        <w:t>or</w:t>
      </w:r>
      <w:r>
        <w:rPr>
          <w:color w:val="231F20"/>
          <w:spacing w:val="-14"/>
        </w:rPr>
        <w:t xml:space="preserve"> </w:t>
      </w:r>
      <w:r>
        <w:rPr>
          <w:color w:val="231F20"/>
          <w:spacing w:val="-2"/>
        </w:rPr>
        <w:t>injuries.</w:t>
      </w:r>
      <w:r>
        <w:rPr>
          <w:color w:val="231F20"/>
          <w:spacing w:val="-15"/>
        </w:rPr>
        <w:t xml:space="preserve"> </w:t>
      </w:r>
      <w:r>
        <w:rPr>
          <w:color w:val="231F20"/>
          <w:spacing w:val="-2"/>
        </w:rPr>
        <w:t>The</w:t>
      </w:r>
      <w:r>
        <w:rPr>
          <w:color w:val="231F20"/>
          <w:spacing w:val="-15"/>
        </w:rPr>
        <w:t xml:space="preserve"> </w:t>
      </w:r>
      <w:r>
        <w:rPr>
          <w:color w:val="231F20"/>
          <w:spacing w:val="-2"/>
        </w:rPr>
        <w:t>body</w:t>
      </w:r>
      <w:r>
        <w:rPr>
          <w:color w:val="231F20"/>
          <w:spacing w:val="-14"/>
        </w:rPr>
        <w:t xml:space="preserve"> </w:t>
      </w:r>
      <w:r>
        <w:rPr>
          <w:color w:val="231F20"/>
          <w:spacing w:val="-2"/>
        </w:rPr>
        <w:t xml:space="preserve">of </w:t>
      </w:r>
      <w:r>
        <w:rPr>
          <w:color w:val="231F20"/>
        </w:rPr>
        <w:t>this report describes these variances.</w:t>
      </w:r>
    </w:p>
    <w:p w14:paraId="0EB079B0" w14:textId="77777777" w:rsidR="00345EE3" w:rsidRDefault="00345EE3" w:rsidP="00345EE3">
      <w:pPr>
        <w:pStyle w:val="BodyText"/>
        <w:spacing w:before="120" w:line="242" w:lineRule="auto"/>
      </w:pPr>
      <w:r>
        <w:rPr>
          <w:color w:val="231F20"/>
          <w:spacing w:val="-2"/>
        </w:rPr>
        <w:t>Given</w:t>
      </w:r>
      <w:r>
        <w:rPr>
          <w:color w:val="231F20"/>
          <w:spacing w:val="-15"/>
        </w:rPr>
        <w:t xml:space="preserve"> </w:t>
      </w:r>
      <w:r>
        <w:rPr>
          <w:color w:val="231F20"/>
          <w:spacing w:val="-2"/>
        </w:rPr>
        <w:t>the</w:t>
      </w:r>
      <w:r>
        <w:rPr>
          <w:color w:val="231F20"/>
          <w:spacing w:val="-15"/>
        </w:rPr>
        <w:t xml:space="preserve"> </w:t>
      </w:r>
      <w:r>
        <w:rPr>
          <w:color w:val="231F20"/>
          <w:spacing w:val="-2"/>
        </w:rPr>
        <w:t>ongoing</w:t>
      </w:r>
      <w:r>
        <w:rPr>
          <w:color w:val="231F20"/>
          <w:spacing w:val="-14"/>
        </w:rPr>
        <w:t xml:space="preserve"> </w:t>
      </w:r>
      <w:r>
        <w:rPr>
          <w:color w:val="231F20"/>
          <w:spacing w:val="-2"/>
        </w:rPr>
        <w:t>challenging</w:t>
      </w:r>
      <w:r>
        <w:rPr>
          <w:color w:val="231F20"/>
          <w:spacing w:val="-15"/>
        </w:rPr>
        <w:t xml:space="preserve"> </w:t>
      </w:r>
      <w:r>
        <w:rPr>
          <w:color w:val="231F20"/>
          <w:spacing w:val="-2"/>
        </w:rPr>
        <w:t>environment,</w:t>
      </w:r>
      <w:r>
        <w:rPr>
          <w:color w:val="231F20"/>
          <w:spacing w:val="-15"/>
        </w:rPr>
        <w:t xml:space="preserve"> </w:t>
      </w:r>
      <w:r>
        <w:rPr>
          <w:color w:val="231F20"/>
          <w:spacing w:val="-2"/>
        </w:rPr>
        <w:t>I</w:t>
      </w:r>
      <w:r>
        <w:rPr>
          <w:color w:val="231F20"/>
          <w:spacing w:val="-14"/>
        </w:rPr>
        <w:t xml:space="preserve"> </w:t>
      </w:r>
      <w:r>
        <w:rPr>
          <w:color w:val="231F20"/>
          <w:spacing w:val="-2"/>
        </w:rPr>
        <w:t>am</w:t>
      </w:r>
      <w:r>
        <w:rPr>
          <w:color w:val="231F20"/>
          <w:spacing w:val="-15"/>
        </w:rPr>
        <w:t xml:space="preserve"> </w:t>
      </w:r>
      <w:r>
        <w:rPr>
          <w:color w:val="231F20"/>
          <w:spacing w:val="-2"/>
        </w:rPr>
        <w:t>particularly</w:t>
      </w:r>
      <w:r>
        <w:rPr>
          <w:color w:val="231F20"/>
          <w:spacing w:val="-15"/>
        </w:rPr>
        <w:t xml:space="preserve"> </w:t>
      </w:r>
      <w:r>
        <w:rPr>
          <w:color w:val="231F20"/>
          <w:spacing w:val="-2"/>
        </w:rPr>
        <w:t>proud</w:t>
      </w:r>
      <w:r>
        <w:rPr>
          <w:color w:val="231F20"/>
          <w:spacing w:val="-14"/>
        </w:rPr>
        <w:t xml:space="preserve"> </w:t>
      </w:r>
      <w:r>
        <w:rPr>
          <w:color w:val="231F20"/>
          <w:spacing w:val="-2"/>
        </w:rPr>
        <w:t>of</w:t>
      </w:r>
      <w:r>
        <w:rPr>
          <w:color w:val="231F20"/>
          <w:spacing w:val="-15"/>
        </w:rPr>
        <w:t xml:space="preserve"> </w:t>
      </w:r>
      <w:r>
        <w:rPr>
          <w:color w:val="231F20"/>
          <w:spacing w:val="-2"/>
        </w:rPr>
        <w:t>our</w:t>
      </w:r>
      <w:r>
        <w:rPr>
          <w:color w:val="231F20"/>
          <w:spacing w:val="-15"/>
        </w:rPr>
        <w:t xml:space="preserve"> </w:t>
      </w:r>
      <w:r>
        <w:rPr>
          <w:color w:val="231F20"/>
          <w:spacing w:val="-2"/>
        </w:rPr>
        <w:t>accomplishments</w:t>
      </w:r>
      <w:r>
        <w:rPr>
          <w:color w:val="231F20"/>
          <w:spacing w:val="-14"/>
        </w:rPr>
        <w:t xml:space="preserve"> </w:t>
      </w:r>
      <w:r>
        <w:rPr>
          <w:color w:val="231F20"/>
          <w:spacing w:val="-2"/>
        </w:rPr>
        <w:t xml:space="preserve">during </w:t>
      </w:r>
      <w:r>
        <w:rPr>
          <w:color w:val="231F20"/>
          <w:spacing w:val="-2"/>
        </w:rPr>
        <w:br/>
      </w:r>
      <w:r>
        <w:rPr>
          <w:color w:val="231F20"/>
        </w:rPr>
        <w:t>2021–22.</w:t>
      </w:r>
      <w:r>
        <w:rPr>
          <w:color w:val="231F20"/>
          <w:spacing w:val="-15"/>
        </w:rPr>
        <w:t xml:space="preserve"> </w:t>
      </w:r>
      <w:r>
        <w:rPr>
          <w:color w:val="231F20"/>
        </w:rPr>
        <w:t>Victoria</w:t>
      </w:r>
      <w:r>
        <w:rPr>
          <w:color w:val="231F20"/>
          <w:spacing w:val="-15"/>
        </w:rPr>
        <w:t xml:space="preserve"> </w:t>
      </w:r>
      <w:r>
        <w:rPr>
          <w:color w:val="231F20"/>
        </w:rPr>
        <w:t>Police</w:t>
      </w:r>
      <w:r>
        <w:rPr>
          <w:color w:val="231F20"/>
          <w:spacing w:val="-15"/>
        </w:rPr>
        <w:t xml:space="preserve"> </w:t>
      </w:r>
      <w:r>
        <w:rPr>
          <w:color w:val="231F20"/>
        </w:rPr>
        <w:t>has</w:t>
      </w:r>
      <w:r>
        <w:rPr>
          <w:color w:val="231F20"/>
          <w:spacing w:val="-15"/>
        </w:rPr>
        <w:t xml:space="preserve"> </w:t>
      </w:r>
      <w:r>
        <w:rPr>
          <w:color w:val="231F20"/>
        </w:rPr>
        <w:t>launched</w:t>
      </w:r>
      <w:r>
        <w:rPr>
          <w:color w:val="231F20"/>
          <w:spacing w:val="-15"/>
        </w:rPr>
        <w:t xml:space="preserve"> </w:t>
      </w:r>
      <w:r>
        <w:rPr>
          <w:color w:val="231F20"/>
        </w:rPr>
        <w:t>a</w:t>
      </w:r>
      <w:r>
        <w:rPr>
          <w:color w:val="231F20"/>
          <w:spacing w:val="-15"/>
        </w:rPr>
        <w:t xml:space="preserve"> </w:t>
      </w:r>
      <w:r>
        <w:rPr>
          <w:color w:val="231F20"/>
        </w:rPr>
        <w:t>range</w:t>
      </w:r>
      <w:r>
        <w:rPr>
          <w:color w:val="231F20"/>
          <w:spacing w:val="-15"/>
        </w:rPr>
        <w:t xml:space="preserve"> </w:t>
      </w:r>
      <w:r>
        <w:rPr>
          <w:color w:val="231F20"/>
        </w:rPr>
        <w:t>of</w:t>
      </w:r>
      <w:r>
        <w:rPr>
          <w:color w:val="231F20"/>
          <w:spacing w:val="-15"/>
        </w:rPr>
        <w:t xml:space="preserve"> </w:t>
      </w:r>
      <w:r>
        <w:rPr>
          <w:color w:val="231F20"/>
        </w:rPr>
        <w:t>plans</w:t>
      </w:r>
      <w:r>
        <w:rPr>
          <w:color w:val="231F20"/>
          <w:spacing w:val="-15"/>
        </w:rPr>
        <w:t xml:space="preserve"> </w:t>
      </w:r>
      <w:r>
        <w:rPr>
          <w:color w:val="231F20"/>
        </w:rPr>
        <w:t>and</w:t>
      </w:r>
      <w:r>
        <w:rPr>
          <w:color w:val="231F20"/>
          <w:spacing w:val="-15"/>
        </w:rPr>
        <w:t xml:space="preserve"> </w:t>
      </w:r>
      <w:r>
        <w:rPr>
          <w:color w:val="231F20"/>
        </w:rPr>
        <w:t>initiatives</w:t>
      </w:r>
      <w:r>
        <w:rPr>
          <w:color w:val="231F20"/>
          <w:spacing w:val="-15"/>
        </w:rPr>
        <w:t xml:space="preserve"> </w:t>
      </w:r>
      <w:r>
        <w:rPr>
          <w:color w:val="231F20"/>
        </w:rPr>
        <w:t>to</w:t>
      </w:r>
      <w:r>
        <w:rPr>
          <w:color w:val="231F20"/>
          <w:spacing w:val="-15"/>
        </w:rPr>
        <w:t xml:space="preserve"> </w:t>
      </w:r>
      <w:r>
        <w:rPr>
          <w:color w:val="231F20"/>
        </w:rPr>
        <w:t>ensure</w:t>
      </w:r>
      <w:r>
        <w:rPr>
          <w:color w:val="231F20"/>
          <w:spacing w:val="-15"/>
        </w:rPr>
        <w:t xml:space="preserve"> </w:t>
      </w:r>
      <w:r>
        <w:rPr>
          <w:color w:val="231F20"/>
        </w:rPr>
        <w:t>the</w:t>
      </w:r>
      <w:r>
        <w:rPr>
          <w:color w:val="231F20"/>
          <w:spacing w:val="-15"/>
        </w:rPr>
        <w:t xml:space="preserve"> </w:t>
      </w:r>
      <w:r>
        <w:rPr>
          <w:color w:val="231F20"/>
        </w:rPr>
        <w:t>organisation</w:t>
      </w:r>
    </w:p>
    <w:p w14:paraId="233910CF" w14:textId="77777777" w:rsidR="00345EE3" w:rsidRDefault="00345EE3" w:rsidP="00345EE3">
      <w:pPr>
        <w:pStyle w:val="BodyText"/>
        <w:spacing w:before="2" w:line="242" w:lineRule="auto"/>
        <w:ind w:right="1141"/>
      </w:pPr>
      <w:r>
        <w:rPr>
          <w:color w:val="231F20"/>
          <w:spacing w:val="-2"/>
        </w:rPr>
        <w:t>is</w:t>
      </w:r>
      <w:r>
        <w:rPr>
          <w:color w:val="231F20"/>
          <w:spacing w:val="-13"/>
        </w:rPr>
        <w:t xml:space="preserve"> </w:t>
      </w:r>
      <w:r>
        <w:rPr>
          <w:color w:val="231F20"/>
          <w:spacing w:val="-2"/>
        </w:rPr>
        <w:t>optimally</w:t>
      </w:r>
      <w:r>
        <w:rPr>
          <w:color w:val="231F20"/>
          <w:spacing w:val="-13"/>
        </w:rPr>
        <w:t xml:space="preserve"> </w:t>
      </w:r>
      <w:r>
        <w:rPr>
          <w:color w:val="231F20"/>
          <w:spacing w:val="-2"/>
        </w:rPr>
        <w:t>positioned</w:t>
      </w:r>
      <w:r>
        <w:rPr>
          <w:color w:val="231F20"/>
          <w:spacing w:val="-13"/>
        </w:rPr>
        <w:t xml:space="preserve"> </w:t>
      </w:r>
      <w:r>
        <w:rPr>
          <w:color w:val="231F20"/>
          <w:spacing w:val="-2"/>
        </w:rPr>
        <w:t>to</w:t>
      </w:r>
      <w:r>
        <w:rPr>
          <w:color w:val="231F20"/>
          <w:spacing w:val="-13"/>
        </w:rPr>
        <w:t xml:space="preserve"> </w:t>
      </w:r>
      <w:r>
        <w:rPr>
          <w:color w:val="231F20"/>
          <w:spacing w:val="-2"/>
        </w:rPr>
        <w:t>keep</w:t>
      </w:r>
      <w:r>
        <w:rPr>
          <w:color w:val="231F20"/>
          <w:spacing w:val="-13"/>
        </w:rPr>
        <w:t xml:space="preserve"> </w:t>
      </w:r>
      <w:r>
        <w:rPr>
          <w:color w:val="231F20"/>
          <w:spacing w:val="-2"/>
        </w:rPr>
        <w:t>Victoria</w:t>
      </w:r>
      <w:r>
        <w:rPr>
          <w:color w:val="231F20"/>
          <w:spacing w:val="-13"/>
        </w:rPr>
        <w:t xml:space="preserve"> </w:t>
      </w:r>
      <w:r>
        <w:rPr>
          <w:color w:val="231F20"/>
          <w:spacing w:val="-2"/>
        </w:rPr>
        <w:t>safe</w:t>
      </w:r>
      <w:r>
        <w:rPr>
          <w:color w:val="231F20"/>
          <w:spacing w:val="-13"/>
        </w:rPr>
        <w:t xml:space="preserve"> </w:t>
      </w:r>
      <w:r>
        <w:rPr>
          <w:color w:val="231F20"/>
          <w:spacing w:val="-2"/>
        </w:rPr>
        <w:t>into</w:t>
      </w:r>
      <w:r>
        <w:rPr>
          <w:color w:val="231F20"/>
          <w:spacing w:val="-13"/>
        </w:rPr>
        <w:t xml:space="preserve"> </w:t>
      </w:r>
      <w:r>
        <w:rPr>
          <w:color w:val="231F20"/>
          <w:spacing w:val="-2"/>
        </w:rPr>
        <w:t>the</w:t>
      </w:r>
      <w:r>
        <w:rPr>
          <w:color w:val="231F20"/>
          <w:spacing w:val="-13"/>
        </w:rPr>
        <w:t xml:space="preserve"> </w:t>
      </w:r>
      <w:r>
        <w:rPr>
          <w:color w:val="231F20"/>
          <w:spacing w:val="-2"/>
        </w:rPr>
        <w:t>future.</w:t>
      </w:r>
      <w:r>
        <w:rPr>
          <w:color w:val="231F20"/>
          <w:spacing w:val="-13"/>
        </w:rPr>
        <w:t xml:space="preserve"> </w:t>
      </w:r>
      <w:r>
        <w:rPr>
          <w:color w:val="231F20"/>
          <w:spacing w:val="-2"/>
        </w:rPr>
        <w:t>We</w:t>
      </w:r>
      <w:r>
        <w:rPr>
          <w:color w:val="231F20"/>
          <w:spacing w:val="-13"/>
        </w:rPr>
        <w:t xml:space="preserve"> </w:t>
      </w:r>
      <w:r>
        <w:rPr>
          <w:color w:val="231F20"/>
          <w:spacing w:val="-2"/>
        </w:rPr>
        <w:t>have</w:t>
      </w:r>
      <w:r>
        <w:rPr>
          <w:color w:val="231F20"/>
          <w:spacing w:val="-13"/>
        </w:rPr>
        <w:t xml:space="preserve"> </w:t>
      </w:r>
      <w:r>
        <w:rPr>
          <w:color w:val="231F20"/>
          <w:spacing w:val="-2"/>
        </w:rPr>
        <w:t>formalised</w:t>
      </w:r>
      <w:r>
        <w:rPr>
          <w:color w:val="231F20"/>
          <w:spacing w:val="-13"/>
        </w:rPr>
        <w:t xml:space="preserve"> </w:t>
      </w:r>
      <w:r>
        <w:rPr>
          <w:color w:val="231F20"/>
          <w:spacing w:val="-2"/>
        </w:rPr>
        <w:t>our</w:t>
      </w:r>
      <w:r>
        <w:rPr>
          <w:color w:val="231F20"/>
          <w:spacing w:val="-13"/>
        </w:rPr>
        <w:t xml:space="preserve"> </w:t>
      </w:r>
      <w:r>
        <w:rPr>
          <w:color w:val="231F20"/>
          <w:spacing w:val="-2"/>
        </w:rPr>
        <w:t>approaches to</w:t>
      </w:r>
      <w:r>
        <w:rPr>
          <w:color w:val="231F20"/>
          <w:spacing w:val="-11"/>
        </w:rPr>
        <w:t xml:space="preserve"> </w:t>
      </w:r>
      <w:r>
        <w:rPr>
          <w:color w:val="231F20"/>
          <w:spacing w:val="-2"/>
        </w:rPr>
        <w:t>targeting</w:t>
      </w:r>
      <w:r>
        <w:rPr>
          <w:color w:val="231F20"/>
          <w:spacing w:val="-11"/>
        </w:rPr>
        <w:t xml:space="preserve"> </w:t>
      </w:r>
      <w:r>
        <w:rPr>
          <w:color w:val="231F20"/>
          <w:spacing w:val="-2"/>
        </w:rPr>
        <w:t>the</w:t>
      </w:r>
      <w:r>
        <w:rPr>
          <w:color w:val="231F20"/>
          <w:spacing w:val="-11"/>
        </w:rPr>
        <w:t xml:space="preserve"> </w:t>
      </w:r>
      <w:r>
        <w:rPr>
          <w:color w:val="231F20"/>
          <w:spacing w:val="-2"/>
        </w:rPr>
        <w:t>offences</w:t>
      </w:r>
      <w:r>
        <w:rPr>
          <w:color w:val="231F20"/>
          <w:spacing w:val="-11"/>
        </w:rPr>
        <w:t xml:space="preserve"> </w:t>
      </w:r>
      <w:r>
        <w:rPr>
          <w:color w:val="231F20"/>
          <w:spacing w:val="-2"/>
        </w:rPr>
        <w:t>and</w:t>
      </w:r>
      <w:r>
        <w:rPr>
          <w:color w:val="231F20"/>
          <w:spacing w:val="-11"/>
        </w:rPr>
        <w:t xml:space="preserve"> </w:t>
      </w:r>
      <w:r>
        <w:rPr>
          <w:color w:val="231F20"/>
          <w:spacing w:val="-2"/>
        </w:rPr>
        <w:t>offenders</w:t>
      </w:r>
      <w:r>
        <w:rPr>
          <w:color w:val="231F20"/>
          <w:spacing w:val="-11"/>
        </w:rPr>
        <w:t xml:space="preserve"> </w:t>
      </w:r>
      <w:r>
        <w:rPr>
          <w:color w:val="231F20"/>
          <w:spacing w:val="-2"/>
        </w:rPr>
        <w:t>that</w:t>
      </w:r>
      <w:r>
        <w:rPr>
          <w:color w:val="231F20"/>
          <w:spacing w:val="-11"/>
        </w:rPr>
        <w:t xml:space="preserve"> </w:t>
      </w:r>
      <w:r>
        <w:rPr>
          <w:color w:val="231F20"/>
          <w:spacing w:val="-2"/>
        </w:rPr>
        <w:t>cause</w:t>
      </w:r>
      <w:r>
        <w:rPr>
          <w:color w:val="231F20"/>
          <w:spacing w:val="-11"/>
        </w:rPr>
        <w:t xml:space="preserve"> </w:t>
      </w:r>
      <w:r>
        <w:rPr>
          <w:color w:val="231F20"/>
          <w:spacing w:val="-2"/>
        </w:rPr>
        <w:t>the</w:t>
      </w:r>
      <w:r>
        <w:rPr>
          <w:color w:val="231F20"/>
          <w:spacing w:val="-11"/>
        </w:rPr>
        <w:t xml:space="preserve"> </w:t>
      </w:r>
      <w:r>
        <w:rPr>
          <w:color w:val="231F20"/>
          <w:spacing w:val="-2"/>
        </w:rPr>
        <w:t>most</w:t>
      </w:r>
      <w:r>
        <w:rPr>
          <w:color w:val="231F20"/>
          <w:spacing w:val="-11"/>
        </w:rPr>
        <w:t xml:space="preserve"> </w:t>
      </w:r>
      <w:r>
        <w:rPr>
          <w:color w:val="231F20"/>
          <w:spacing w:val="-2"/>
        </w:rPr>
        <w:t>harm</w:t>
      </w:r>
      <w:r>
        <w:rPr>
          <w:color w:val="231F20"/>
          <w:spacing w:val="-11"/>
        </w:rPr>
        <w:t xml:space="preserve"> </w:t>
      </w:r>
      <w:r>
        <w:rPr>
          <w:color w:val="231F20"/>
          <w:spacing w:val="-2"/>
        </w:rPr>
        <w:t>to</w:t>
      </w:r>
      <w:r>
        <w:rPr>
          <w:color w:val="231F20"/>
          <w:spacing w:val="-11"/>
        </w:rPr>
        <w:t xml:space="preserve"> </w:t>
      </w:r>
      <w:r>
        <w:rPr>
          <w:color w:val="231F20"/>
          <w:spacing w:val="-2"/>
        </w:rPr>
        <w:t>our</w:t>
      </w:r>
      <w:r>
        <w:rPr>
          <w:color w:val="231F20"/>
          <w:spacing w:val="-11"/>
        </w:rPr>
        <w:t xml:space="preserve"> </w:t>
      </w:r>
      <w:r>
        <w:rPr>
          <w:color w:val="231F20"/>
          <w:spacing w:val="-2"/>
        </w:rPr>
        <w:t>community</w:t>
      </w:r>
      <w:r>
        <w:rPr>
          <w:color w:val="231F20"/>
          <w:spacing w:val="-11"/>
        </w:rPr>
        <w:t xml:space="preserve"> </w:t>
      </w:r>
      <w:r>
        <w:rPr>
          <w:color w:val="231F20"/>
          <w:spacing w:val="-2"/>
        </w:rPr>
        <w:t>through</w:t>
      </w:r>
      <w:r>
        <w:rPr>
          <w:color w:val="231F20"/>
          <w:spacing w:val="-11"/>
        </w:rPr>
        <w:t xml:space="preserve"> </w:t>
      </w:r>
      <w:r>
        <w:rPr>
          <w:color w:val="231F20"/>
          <w:spacing w:val="-2"/>
        </w:rPr>
        <w:t>our Serious</w:t>
      </w:r>
      <w:r>
        <w:rPr>
          <w:color w:val="231F20"/>
          <w:spacing w:val="-12"/>
        </w:rPr>
        <w:t xml:space="preserve"> </w:t>
      </w:r>
      <w:r>
        <w:rPr>
          <w:color w:val="231F20"/>
          <w:spacing w:val="-2"/>
        </w:rPr>
        <w:t>and</w:t>
      </w:r>
      <w:r>
        <w:rPr>
          <w:color w:val="231F20"/>
          <w:spacing w:val="-12"/>
        </w:rPr>
        <w:t xml:space="preserve"> </w:t>
      </w:r>
      <w:r>
        <w:rPr>
          <w:color w:val="231F20"/>
          <w:spacing w:val="-2"/>
        </w:rPr>
        <w:t>Organised</w:t>
      </w:r>
      <w:r>
        <w:rPr>
          <w:color w:val="231F20"/>
          <w:spacing w:val="-12"/>
        </w:rPr>
        <w:t xml:space="preserve"> </w:t>
      </w:r>
      <w:r>
        <w:rPr>
          <w:color w:val="231F20"/>
          <w:spacing w:val="-2"/>
        </w:rPr>
        <w:t>Crime</w:t>
      </w:r>
      <w:r>
        <w:rPr>
          <w:color w:val="231F20"/>
          <w:spacing w:val="-12"/>
        </w:rPr>
        <w:t xml:space="preserve"> </w:t>
      </w:r>
      <w:r>
        <w:rPr>
          <w:color w:val="231F20"/>
          <w:spacing w:val="-2"/>
        </w:rPr>
        <w:t>Strategy</w:t>
      </w:r>
      <w:r>
        <w:rPr>
          <w:color w:val="231F20"/>
          <w:spacing w:val="-12"/>
        </w:rPr>
        <w:t xml:space="preserve"> </w:t>
      </w:r>
      <w:r>
        <w:rPr>
          <w:color w:val="231F20"/>
          <w:spacing w:val="-2"/>
        </w:rPr>
        <w:t>2022–25,</w:t>
      </w:r>
      <w:r>
        <w:rPr>
          <w:color w:val="231F20"/>
          <w:spacing w:val="-12"/>
        </w:rPr>
        <w:t xml:space="preserve"> </w:t>
      </w:r>
      <w:r>
        <w:rPr>
          <w:color w:val="231F20"/>
          <w:spacing w:val="-2"/>
        </w:rPr>
        <w:t>Illicit</w:t>
      </w:r>
      <w:r>
        <w:rPr>
          <w:color w:val="231F20"/>
          <w:spacing w:val="-12"/>
        </w:rPr>
        <w:t xml:space="preserve"> </w:t>
      </w:r>
      <w:r>
        <w:rPr>
          <w:color w:val="231F20"/>
          <w:spacing w:val="-2"/>
        </w:rPr>
        <w:t>Firearms</w:t>
      </w:r>
      <w:r>
        <w:rPr>
          <w:color w:val="231F20"/>
          <w:spacing w:val="-12"/>
        </w:rPr>
        <w:t xml:space="preserve"> </w:t>
      </w:r>
      <w:r>
        <w:rPr>
          <w:color w:val="231F20"/>
          <w:spacing w:val="-2"/>
        </w:rPr>
        <w:t>Strategy</w:t>
      </w:r>
      <w:r>
        <w:rPr>
          <w:color w:val="231F20"/>
          <w:spacing w:val="-12"/>
        </w:rPr>
        <w:t xml:space="preserve"> </w:t>
      </w:r>
      <w:r>
        <w:rPr>
          <w:color w:val="231F20"/>
          <w:spacing w:val="-2"/>
        </w:rPr>
        <w:t>2022–25,</w:t>
      </w:r>
      <w:r>
        <w:rPr>
          <w:color w:val="231F20"/>
          <w:spacing w:val="-12"/>
        </w:rPr>
        <w:t xml:space="preserve"> </w:t>
      </w:r>
      <w:r>
        <w:rPr>
          <w:color w:val="231F20"/>
          <w:spacing w:val="-2"/>
        </w:rPr>
        <w:t>Cybercrime Strategy</w:t>
      </w:r>
      <w:r>
        <w:rPr>
          <w:color w:val="231F20"/>
          <w:spacing w:val="-11"/>
        </w:rPr>
        <w:t xml:space="preserve"> </w:t>
      </w:r>
      <w:r>
        <w:rPr>
          <w:color w:val="231F20"/>
          <w:spacing w:val="-2"/>
        </w:rPr>
        <w:t>2022–2027</w:t>
      </w:r>
      <w:r>
        <w:rPr>
          <w:color w:val="231F20"/>
          <w:spacing w:val="-11"/>
        </w:rPr>
        <w:t xml:space="preserve"> </w:t>
      </w:r>
      <w:r>
        <w:rPr>
          <w:color w:val="231F20"/>
          <w:spacing w:val="-2"/>
        </w:rPr>
        <w:t>and</w:t>
      </w:r>
      <w:r>
        <w:rPr>
          <w:color w:val="231F20"/>
          <w:spacing w:val="-11"/>
        </w:rPr>
        <w:t xml:space="preserve"> </w:t>
      </w:r>
      <w:r>
        <w:rPr>
          <w:color w:val="231F20"/>
          <w:spacing w:val="-2"/>
        </w:rPr>
        <w:t>the</w:t>
      </w:r>
      <w:r>
        <w:rPr>
          <w:color w:val="231F20"/>
          <w:spacing w:val="-11"/>
        </w:rPr>
        <w:t xml:space="preserve"> </w:t>
      </w:r>
      <w:r>
        <w:rPr>
          <w:color w:val="231F20"/>
          <w:spacing w:val="-2"/>
        </w:rPr>
        <w:t>Road</w:t>
      </w:r>
      <w:r>
        <w:rPr>
          <w:color w:val="231F20"/>
          <w:spacing w:val="-11"/>
        </w:rPr>
        <w:t xml:space="preserve"> </w:t>
      </w:r>
      <w:r>
        <w:rPr>
          <w:color w:val="231F20"/>
          <w:spacing w:val="-2"/>
        </w:rPr>
        <w:t>Safety</w:t>
      </w:r>
      <w:r>
        <w:rPr>
          <w:color w:val="231F20"/>
          <w:spacing w:val="-11"/>
        </w:rPr>
        <w:t xml:space="preserve"> </w:t>
      </w:r>
      <w:r>
        <w:rPr>
          <w:color w:val="231F20"/>
          <w:spacing w:val="-2"/>
        </w:rPr>
        <w:t>Strategy</w:t>
      </w:r>
      <w:r>
        <w:rPr>
          <w:color w:val="231F20"/>
          <w:spacing w:val="-11"/>
        </w:rPr>
        <w:t xml:space="preserve"> </w:t>
      </w:r>
      <w:r>
        <w:rPr>
          <w:color w:val="231F20"/>
          <w:spacing w:val="-2"/>
        </w:rPr>
        <w:t>2021–2024.</w:t>
      </w:r>
      <w:r>
        <w:rPr>
          <w:color w:val="231F20"/>
          <w:spacing w:val="-11"/>
        </w:rPr>
        <w:t xml:space="preserve"> </w:t>
      </w:r>
      <w:r>
        <w:rPr>
          <w:color w:val="231F20"/>
          <w:spacing w:val="-2"/>
        </w:rPr>
        <w:t>We</w:t>
      </w:r>
      <w:r>
        <w:rPr>
          <w:color w:val="231F20"/>
          <w:spacing w:val="-11"/>
        </w:rPr>
        <w:t xml:space="preserve"> </w:t>
      </w:r>
      <w:r>
        <w:rPr>
          <w:color w:val="231F20"/>
          <w:spacing w:val="-2"/>
        </w:rPr>
        <w:t>also</w:t>
      </w:r>
      <w:r>
        <w:rPr>
          <w:color w:val="231F20"/>
          <w:spacing w:val="-11"/>
        </w:rPr>
        <w:t xml:space="preserve"> </w:t>
      </w:r>
      <w:r>
        <w:rPr>
          <w:color w:val="231F20"/>
          <w:spacing w:val="-2"/>
        </w:rPr>
        <w:t>established</w:t>
      </w:r>
      <w:r>
        <w:rPr>
          <w:color w:val="231F20"/>
          <w:spacing w:val="-11"/>
        </w:rPr>
        <w:t xml:space="preserve"> </w:t>
      </w:r>
      <w:r>
        <w:rPr>
          <w:color w:val="231F20"/>
          <w:spacing w:val="-2"/>
        </w:rPr>
        <w:t xml:space="preserve">Taskforce </w:t>
      </w:r>
      <w:r>
        <w:rPr>
          <w:color w:val="231F20"/>
        </w:rPr>
        <w:t>VIPER</w:t>
      </w:r>
      <w:r>
        <w:rPr>
          <w:color w:val="231F20"/>
          <w:spacing w:val="-13"/>
        </w:rPr>
        <w:t xml:space="preserve"> </w:t>
      </w:r>
      <w:r>
        <w:rPr>
          <w:color w:val="231F20"/>
        </w:rPr>
        <w:t>to</w:t>
      </w:r>
      <w:r>
        <w:rPr>
          <w:color w:val="231F20"/>
          <w:spacing w:val="40"/>
        </w:rPr>
        <w:t xml:space="preserve"> </w:t>
      </w:r>
      <w:r>
        <w:rPr>
          <w:color w:val="231F20"/>
        </w:rPr>
        <w:t>target</w:t>
      </w:r>
      <w:r>
        <w:rPr>
          <w:color w:val="231F20"/>
          <w:spacing w:val="-13"/>
        </w:rPr>
        <w:t xml:space="preserve"> </w:t>
      </w:r>
      <w:r>
        <w:rPr>
          <w:color w:val="231F20"/>
        </w:rPr>
        <w:t>outlaw</w:t>
      </w:r>
      <w:r>
        <w:rPr>
          <w:color w:val="231F20"/>
          <w:spacing w:val="-13"/>
        </w:rPr>
        <w:t xml:space="preserve"> </w:t>
      </w:r>
      <w:r>
        <w:rPr>
          <w:color w:val="231F20"/>
        </w:rPr>
        <w:t>motorcycle</w:t>
      </w:r>
      <w:r>
        <w:rPr>
          <w:color w:val="231F20"/>
          <w:spacing w:val="-13"/>
        </w:rPr>
        <w:t xml:space="preserve"> </w:t>
      </w:r>
      <w:r>
        <w:rPr>
          <w:color w:val="231F20"/>
        </w:rPr>
        <w:t>gangs,</w:t>
      </w:r>
      <w:r>
        <w:rPr>
          <w:color w:val="231F20"/>
          <w:spacing w:val="-13"/>
        </w:rPr>
        <w:t xml:space="preserve"> </w:t>
      </w:r>
      <w:r>
        <w:rPr>
          <w:color w:val="231F20"/>
        </w:rPr>
        <w:t>organised</w:t>
      </w:r>
      <w:r>
        <w:rPr>
          <w:color w:val="231F20"/>
          <w:spacing w:val="-13"/>
        </w:rPr>
        <w:t xml:space="preserve"> </w:t>
      </w:r>
      <w:r>
        <w:rPr>
          <w:color w:val="231F20"/>
        </w:rPr>
        <w:t>crime</w:t>
      </w:r>
      <w:r>
        <w:rPr>
          <w:color w:val="231F20"/>
          <w:spacing w:val="-13"/>
        </w:rPr>
        <w:t xml:space="preserve"> </w:t>
      </w:r>
      <w:r>
        <w:rPr>
          <w:color w:val="231F20"/>
        </w:rPr>
        <w:t>networks</w:t>
      </w:r>
      <w:r>
        <w:rPr>
          <w:color w:val="231F20"/>
          <w:spacing w:val="-13"/>
        </w:rPr>
        <w:t xml:space="preserve"> </w:t>
      </w:r>
      <w:r>
        <w:rPr>
          <w:color w:val="231F20"/>
        </w:rPr>
        <w:t>and</w:t>
      </w:r>
      <w:r>
        <w:rPr>
          <w:color w:val="231F20"/>
          <w:spacing w:val="-13"/>
        </w:rPr>
        <w:t xml:space="preserve"> </w:t>
      </w:r>
      <w:r>
        <w:rPr>
          <w:color w:val="231F20"/>
        </w:rPr>
        <w:t>street</w:t>
      </w:r>
      <w:r>
        <w:rPr>
          <w:color w:val="231F20"/>
          <w:spacing w:val="-13"/>
        </w:rPr>
        <w:t xml:space="preserve"> </w:t>
      </w:r>
      <w:r>
        <w:rPr>
          <w:color w:val="231F20"/>
        </w:rPr>
        <w:t>gangs.</w:t>
      </w:r>
    </w:p>
    <w:p w14:paraId="5F468DB2" w14:textId="77777777" w:rsidR="00345EE3" w:rsidRDefault="00345EE3" w:rsidP="00345EE3">
      <w:pPr>
        <w:pStyle w:val="BodyText"/>
        <w:spacing w:before="120" w:line="242" w:lineRule="auto"/>
        <w:ind w:right="848"/>
      </w:pPr>
      <w:r>
        <w:rPr>
          <w:color w:val="231F20"/>
        </w:rPr>
        <w:t>The</w:t>
      </w:r>
      <w:r>
        <w:rPr>
          <w:color w:val="231F20"/>
          <w:spacing w:val="-13"/>
        </w:rPr>
        <w:t xml:space="preserve"> </w:t>
      </w:r>
      <w:r>
        <w:rPr>
          <w:color w:val="231F20"/>
        </w:rPr>
        <w:t>2021-22</w:t>
      </w:r>
      <w:r>
        <w:rPr>
          <w:color w:val="231F20"/>
          <w:spacing w:val="-13"/>
        </w:rPr>
        <w:t xml:space="preserve"> </w:t>
      </w:r>
      <w:r>
        <w:rPr>
          <w:color w:val="231F20"/>
        </w:rPr>
        <w:t>financial</w:t>
      </w:r>
      <w:r>
        <w:rPr>
          <w:color w:val="231F20"/>
          <w:spacing w:val="-13"/>
        </w:rPr>
        <w:t xml:space="preserve"> </w:t>
      </w:r>
      <w:r>
        <w:rPr>
          <w:color w:val="231F20"/>
        </w:rPr>
        <w:t>year</w:t>
      </w:r>
      <w:r>
        <w:rPr>
          <w:color w:val="231F20"/>
          <w:spacing w:val="-13"/>
        </w:rPr>
        <w:t xml:space="preserve"> </w:t>
      </w:r>
      <w:r>
        <w:rPr>
          <w:color w:val="231F20"/>
        </w:rPr>
        <w:t>has</w:t>
      </w:r>
      <w:r>
        <w:rPr>
          <w:color w:val="231F20"/>
          <w:spacing w:val="-13"/>
        </w:rPr>
        <w:t xml:space="preserve"> </w:t>
      </w:r>
      <w:r>
        <w:rPr>
          <w:color w:val="231F20"/>
        </w:rPr>
        <w:t>also</w:t>
      </w:r>
      <w:r>
        <w:rPr>
          <w:color w:val="231F20"/>
          <w:spacing w:val="-13"/>
        </w:rPr>
        <w:t xml:space="preserve"> </w:t>
      </w:r>
      <w:r>
        <w:rPr>
          <w:color w:val="231F20"/>
        </w:rPr>
        <w:t>heralded</w:t>
      </w:r>
      <w:r>
        <w:rPr>
          <w:color w:val="231F20"/>
          <w:spacing w:val="-13"/>
        </w:rPr>
        <w:t xml:space="preserve"> </w:t>
      </w:r>
      <w:r>
        <w:rPr>
          <w:color w:val="231F20"/>
        </w:rPr>
        <w:t>a</w:t>
      </w:r>
      <w:r>
        <w:rPr>
          <w:color w:val="231F20"/>
          <w:spacing w:val="-13"/>
        </w:rPr>
        <w:t xml:space="preserve"> </w:t>
      </w:r>
      <w:r>
        <w:rPr>
          <w:color w:val="231F20"/>
        </w:rPr>
        <w:t>return</w:t>
      </w:r>
      <w:r>
        <w:rPr>
          <w:color w:val="231F20"/>
          <w:spacing w:val="-13"/>
        </w:rPr>
        <w:t xml:space="preserve"> </w:t>
      </w:r>
      <w:r>
        <w:rPr>
          <w:color w:val="231F20"/>
        </w:rPr>
        <w:t>to</w:t>
      </w:r>
      <w:r>
        <w:rPr>
          <w:color w:val="231F20"/>
          <w:spacing w:val="-13"/>
        </w:rPr>
        <w:t xml:space="preserve"> </w:t>
      </w:r>
      <w:r>
        <w:rPr>
          <w:color w:val="231F20"/>
        </w:rPr>
        <w:t>‘back</w:t>
      </w:r>
      <w:r>
        <w:rPr>
          <w:color w:val="231F20"/>
          <w:spacing w:val="-13"/>
        </w:rPr>
        <w:t xml:space="preserve"> </w:t>
      </w:r>
      <w:r>
        <w:rPr>
          <w:color w:val="231F20"/>
        </w:rPr>
        <w:t>to</w:t>
      </w:r>
      <w:r>
        <w:rPr>
          <w:color w:val="231F20"/>
          <w:spacing w:val="-13"/>
        </w:rPr>
        <w:t xml:space="preserve"> </w:t>
      </w:r>
      <w:r>
        <w:rPr>
          <w:color w:val="231F20"/>
        </w:rPr>
        <w:t>basics’</w:t>
      </w:r>
      <w:r>
        <w:rPr>
          <w:color w:val="231F20"/>
          <w:spacing w:val="-13"/>
        </w:rPr>
        <w:t xml:space="preserve"> </w:t>
      </w:r>
      <w:r>
        <w:rPr>
          <w:color w:val="231F20"/>
        </w:rPr>
        <w:t>policing,</w:t>
      </w:r>
      <w:r>
        <w:rPr>
          <w:color w:val="231F20"/>
          <w:spacing w:val="-13"/>
        </w:rPr>
        <w:t xml:space="preserve"> </w:t>
      </w:r>
      <w:r>
        <w:rPr>
          <w:color w:val="231F20"/>
        </w:rPr>
        <w:t>with</w:t>
      </w:r>
      <w:r>
        <w:rPr>
          <w:color w:val="231F20"/>
          <w:spacing w:val="-13"/>
        </w:rPr>
        <w:t xml:space="preserve"> </w:t>
      </w:r>
      <w:r>
        <w:rPr>
          <w:color w:val="231F20"/>
        </w:rPr>
        <w:t xml:space="preserve">the </w:t>
      </w:r>
      <w:r>
        <w:rPr>
          <w:color w:val="231F20"/>
          <w:spacing w:val="-2"/>
        </w:rPr>
        <w:t>introduction</w:t>
      </w:r>
      <w:r>
        <w:rPr>
          <w:color w:val="231F20"/>
          <w:spacing w:val="-15"/>
        </w:rPr>
        <w:t xml:space="preserve"> </w:t>
      </w:r>
      <w:r>
        <w:rPr>
          <w:color w:val="231F20"/>
          <w:spacing w:val="-2"/>
        </w:rPr>
        <w:t>of</w:t>
      </w:r>
      <w:r>
        <w:rPr>
          <w:color w:val="231F20"/>
          <w:spacing w:val="-15"/>
        </w:rPr>
        <w:t xml:space="preserve"> </w:t>
      </w:r>
      <w:r>
        <w:rPr>
          <w:color w:val="231F20"/>
          <w:spacing w:val="-2"/>
        </w:rPr>
        <w:t>the</w:t>
      </w:r>
      <w:r>
        <w:rPr>
          <w:color w:val="231F20"/>
          <w:spacing w:val="-14"/>
        </w:rPr>
        <w:t xml:space="preserve"> </w:t>
      </w:r>
      <w:r>
        <w:rPr>
          <w:color w:val="231F20"/>
          <w:spacing w:val="-2"/>
        </w:rPr>
        <w:t>Neighbourhood</w:t>
      </w:r>
      <w:r>
        <w:rPr>
          <w:color w:val="231F20"/>
          <w:spacing w:val="-15"/>
        </w:rPr>
        <w:t xml:space="preserve"> </w:t>
      </w:r>
      <w:r>
        <w:rPr>
          <w:color w:val="231F20"/>
          <w:spacing w:val="-2"/>
        </w:rPr>
        <w:t>Policing,</w:t>
      </w:r>
      <w:r>
        <w:rPr>
          <w:color w:val="231F20"/>
          <w:spacing w:val="-15"/>
        </w:rPr>
        <w:t xml:space="preserve"> </w:t>
      </w:r>
      <w:r>
        <w:rPr>
          <w:color w:val="231F20"/>
          <w:spacing w:val="-2"/>
        </w:rPr>
        <w:t>our</w:t>
      </w:r>
      <w:r>
        <w:rPr>
          <w:color w:val="231F20"/>
          <w:spacing w:val="-15"/>
        </w:rPr>
        <w:t xml:space="preserve"> </w:t>
      </w:r>
      <w:r>
        <w:rPr>
          <w:color w:val="231F20"/>
          <w:spacing w:val="-2"/>
        </w:rPr>
        <w:t>model</w:t>
      </w:r>
      <w:r>
        <w:rPr>
          <w:color w:val="231F20"/>
          <w:spacing w:val="-14"/>
        </w:rPr>
        <w:t xml:space="preserve"> </w:t>
      </w:r>
      <w:r>
        <w:rPr>
          <w:color w:val="231F20"/>
          <w:spacing w:val="-2"/>
        </w:rPr>
        <w:t>for</w:t>
      </w:r>
      <w:r>
        <w:rPr>
          <w:color w:val="231F20"/>
          <w:spacing w:val="-14"/>
        </w:rPr>
        <w:t xml:space="preserve"> </w:t>
      </w:r>
      <w:r>
        <w:rPr>
          <w:color w:val="231F20"/>
          <w:spacing w:val="-2"/>
        </w:rPr>
        <w:t>community</w:t>
      </w:r>
      <w:r>
        <w:rPr>
          <w:color w:val="231F20"/>
          <w:spacing w:val="-15"/>
        </w:rPr>
        <w:t xml:space="preserve"> </w:t>
      </w:r>
      <w:r>
        <w:rPr>
          <w:color w:val="231F20"/>
          <w:spacing w:val="-2"/>
        </w:rPr>
        <w:t>policing</w:t>
      </w:r>
      <w:r>
        <w:rPr>
          <w:color w:val="231F20"/>
          <w:spacing w:val="-14"/>
        </w:rPr>
        <w:t xml:space="preserve"> </w:t>
      </w:r>
      <w:r>
        <w:rPr>
          <w:color w:val="231F20"/>
          <w:spacing w:val="-2"/>
        </w:rPr>
        <w:t>and</w:t>
      </w:r>
      <w:r>
        <w:rPr>
          <w:color w:val="231F20"/>
          <w:spacing w:val="-15"/>
        </w:rPr>
        <w:t xml:space="preserve"> </w:t>
      </w:r>
      <w:r>
        <w:rPr>
          <w:color w:val="231F20"/>
          <w:spacing w:val="-2"/>
        </w:rPr>
        <w:t>engagement</w:t>
      </w:r>
      <w:r>
        <w:rPr>
          <w:color w:val="231F20"/>
          <w:spacing w:val="-14"/>
        </w:rPr>
        <w:t xml:space="preserve"> </w:t>
      </w:r>
      <w:r>
        <w:rPr>
          <w:color w:val="231F20"/>
          <w:spacing w:val="-2"/>
        </w:rPr>
        <w:t xml:space="preserve">that </w:t>
      </w:r>
      <w:r>
        <w:rPr>
          <w:color w:val="231F20"/>
        </w:rPr>
        <w:t>will</w:t>
      </w:r>
      <w:r>
        <w:rPr>
          <w:color w:val="231F20"/>
          <w:spacing w:val="-15"/>
        </w:rPr>
        <w:t xml:space="preserve"> </w:t>
      </w:r>
      <w:r>
        <w:rPr>
          <w:color w:val="231F20"/>
        </w:rPr>
        <w:t>increase</w:t>
      </w:r>
      <w:r>
        <w:rPr>
          <w:color w:val="231F20"/>
          <w:spacing w:val="-15"/>
        </w:rPr>
        <w:t xml:space="preserve"> </w:t>
      </w:r>
      <w:r>
        <w:rPr>
          <w:color w:val="231F20"/>
        </w:rPr>
        <w:t>our</w:t>
      </w:r>
      <w:r>
        <w:rPr>
          <w:color w:val="231F20"/>
          <w:spacing w:val="-15"/>
        </w:rPr>
        <w:t xml:space="preserve"> </w:t>
      </w:r>
      <w:r>
        <w:rPr>
          <w:color w:val="231F20"/>
        </w:rPr>
        <w:t>focus</w:t>
      </w:r>
      <w:r>
        <w:rPr>
          <w:color w:val="231F20"/>
          <w:spacing w:val="-15"/>
        </w:rPr>
        <w:t xml:space="preserve"> </w:t>
      </w:r>
      <w:r>
        <w:rPr>
          <w:color w:val="231F20"/>
        </w:rPr>
        <w:t>on</w:t>
      </w:r>
      <w:r>
        <w:rPr>
          <w:color w:val="231F20"/>
          <w:spacing w:val="-15"/>
        </w:rPr>
        <w:t xml:space="preserve"> </w:t>
      </w:r>
      <w:r>
        <w:rPr>
          <w:color w:val="231F20"/>
        </w:rPr>
        <w:t>identifying</w:t>
      </w:r>
      <w:r>
        <w:rPr>
          <w:color w:val="231F20"/>
          <w:spacing w:val="-15"/>
        </w:rPr>
        <w:t xml:space="preserve"> </w:t>
      </w:r>
      <w:r>
        <w:rPr>
          <w:color w:val="231F20"/>
        </w:rPr>
        <w:t>and</w:t>
      </w:r>
      <w:r>
        <w:rPr>
          <w:color w:val="231F20"/>
          <w:spacing w:val="-15"/>
        </w:rPr>
        <w:t xml:space="preserve"> </w:t>
      </w:r>
      <w:r>
        <w:rPr>
          <w:color w:val="231F20"/>
        </w:rPr>
        <w:t>addressing</w:t>
      </w:r>
      <w:r>
        <w:rPr>
          <w:color w:val="231F20"/>
          <w:spacing w:val="-15"/>
        </w:rPr>
        <w:t xml:space="preserve"> </w:t>
      </w:r>
      <w:r>
        <w:rPr>
          <w:color w:val="231F20"/>
        </w:rPr>
        <w:t>the</w:t>
      </w:r>
      <w:r>
        <w:rPr>
          <w:color w:val="231F20"/>
          <w:spacing w:val="-15"/>
        </w:rPr>
        <w:t xml:space="preserve"> </w:t>
      </w:r>
      <w:r>
        <w:rPr>
          <w:color w:val="231F20"/>
        </w:rPr>
        <w:t>issues</w:t>
      </w:r>
      <w:r>
        <w:rPr>
          <w:color w:val="231F20"/>
          <w:spacing w:val="-15"/>
        </w:rPr>
        <w:t xml:space="preserve"> </w:t>
      </w:r>
      <w:r>
        <w:rPr>
          <w:color w:val="231F20"/>
        </w:rPr>
        <w:t>that</w:t>
      </w:r>
      <w:r>
        <w:rPr>
          <w:color w:val="231F20"/>
          <w:spacing w:val="-15"/>
        </w:rPr>
        <w:t xml:space="preserve"> </w:t>
      </w:r>
      <w:r>
        <w:rPr>
          <w:color w:val="231F20"/>
        </w:rPr>
        <w:t>matter</w:t>
      </w:r>
      <w:r>
        <w:rPr>
          <w:color w:val="231F20"/>
          <w:spacing w:val="-15"/>
        </w:rPr>
        <w:t xml:space="preserve"> </w:t>
      </w:r>
      <w:r>
        <w:rPr>
          <w:color w:val="231F20"/>
        </w:rPr>
        <w:t>locally.</w:t>
      </w:r>
      <w:r>
        <w:rPr>
          <w:color w:val="231F20"/>
          <w:spacing w:val="-15"/>
        </w:rPr>
        <w:t xml:space="preserve"> </w:t>
      </w:r>
      <w:r>
        <w:rPr>
          <w:color w:val="231F20"/>
        </w:rPr>
        <w:t>Victoria</w:t>
      </w:r>
      <w:r>
        <w:rPr>
          <w:color w:val="231F20"/>
          <w:spacing w:val="-15"/>
        </w:rPr>
        <w:t xml:space="preserve"> </w:t>
      </w:r>
      <w:r>
        <w:rPr>
          <w:color w:val="231F20"/>
        </w:rPr>
        <w:t xml:space="preserve">Police </w:t>
      </w:r>
      <w:r>
        <w:rPr>
          <w:color w:val="231F20"/>
          <w:spacing w:val="-2"/>
        </w:rPr>
        <w:t>has</w:t>
      </w:r>
      <w:r>
        <w:rPr>
          <w:color w:val="231F20"/>
          <w:spacing w:val="-12"/>
        </w:rPr>
        <w:t xml:space="preserve"> </w:t>
      </w:r>
      <w:r>
        <w:rPr>
          <w:color w:val="231F20"/>
          <w:spacing w:val="-2"/>
        </w:rPr>
        <w:t>also</w:t>
      </w:r>
      <w:r>
        <w:rPr>
          <w:color w:val="231F20"/>
          <w:spacing w:val="-12"/>
        </w:rPr>
        <w:t xml:space="preserve"> </w:t>
      </w:r>
      <w:r>
        <w:rPr>
          <w:color w:val="231F20"/>
          <w:spacing w:val="-2"/>
        </w:rPr>
        <w:t>implemented</w:t>
      </w:r>
      <w:r>
        <w:rPr>
          <w:color w:val="231F20"/>
          <w:spacing w:val="-12"/>
        </w:rPr>
        <w:t xml:space="preserve"> </w:t>
      </w:r>
      <w:r>
        <w:rPr>
          <w:color w:val="231F20"/>
          <w:spacing w:val="-2"/>
        </w:rPr>
        <w:t>various</w:t>
      </w:r>
      <w:r>
        <w:rPr>
          <w:color w:val="231F20"/>
          <w:spacing w:val="-12"/>
        </w:rPr>
        <w:t xml:space="preserve"> </w:t>
      </w:r>
      <w:r>
        <w:rPr>
          <w:color w:val="231F20"/>
          <w:spacing w:val="-2"/>
        </w:rPr>
        <w:t>savings</w:t>
      </w:r>
      <w:r>
        <w:rPr>
          <w:color w:val="231F20"/>
          <w:spacing w:val="-12"/>
        </w:rPr>
        <w:t xml:space="preserve"> </w:t>
      </w:r>
      <w:r>
        <w:rPr>
          <w:color w:val="231F20"/>
          <w:spacing w:val="-2"/>
        </w:rPr>
        <w:t>and</w:t>
      </w:r>
      <w:r>
        <w:rPr>
          <w:color w:val="231F20"/>
          <w:spacing w:val="-12"/>
        </w:rPr>
        <w:t xml:space="preserve"> </w:t>
      </w:r>
      <w:r>
        <w:rPr>
          <w:color w:val="231F20"/>
          <w:spacing w:val="-2"/>
        </w:rPr>
        <w:t>efficiency</w:t>
      </w:r>
      <w:r>
        <w:rPr>
          <w:color w:val="231F20"/>
          <w:spacing w:val="-12"/>
        </w:rPr>
        <w:t xml:space="preserve"> </w:t>
      </w:r>
      <w:r>
        <w:rPr>
          <w:color w:val="231F20"/>
          <w:spacing w:val="-2"/>
        </w:rPr>
        <w:t>measures,</w:t>
      </w:r>
      <w:r>
        <w:rPr>
          <w:color w:val="231F20"/>
          <w:spacing w:val="-12"/>
        </w:rPr>
        <w:t xml:space="preserve"> </w:t>
      </w:r>
      <w:r>
        <w:rPr>
          <w:color w:val="231F20"/>
          <w:spacing w:val="-2"/>
        </w:rPr>
        <w:t>together</w:t>
      </w:r>
      <w:r>
        <w:rPr>
          <w:color w:val="231F20"/>
          <w:spacing w:val="-12"/>
        </w:rPr>
        <w:t xml:space="preserve"> </w:t>
      </w:r>
      <w:r>
        <w:rPr>
          <w:color w:val="231F20"/>
          <w:spacing w:val="-2"/>
        </w:rPr>
        <w:t>with</w:t>
      </w:r>
      <w:r>
        <w:rPr>
          <w:color w:val="231F20"/>
          <w:spacing w:val="-12"/>
        </w:rPr>
        <w:t xml:space="preserve"> </w:t>
      </w:r>
      <w:r>
        <w:rPr>
          <w:color w:val="231F20"/>
          <w:spacing w:val="-2"/>
        </w:rPr>
        <w:t>structural</w:t>
      </w:r>
      <w:r>
        <w:rPr>
          <w:color w:val="231F20"/>
          <w:spacing w:val="-12"/>
        </w:rPr>
        <w:t xml:space="preserve"> </w:t>
      </w:r>
      <w:r>
        <w:rPr>
          <w:color w:val="231F20"/>
          <w:spacing w:val="-2"/>
        </w:rPr>
        <w:t>reforms,</w:t>
      </w:r>
      <w:r>
        <w:rPr>
          <w:color w:val="231F20"/>
          <w:spacing w:val="-12"/>
        </w:rPr>
        <w:t xml:space="preserve"> </w:t>
      </w:r>
      <w:r>
        <w:rPr>
          <w:color w:val="231F20"/>
          <w:spacing w:val="-2"/>
        </w:rPr>
        <w:t xml:space="preserve">to </w:t>
      </w:r>
      <w:r>
        <w:rPr>
          <w:color w:val="231F20"/>
        </w:rPr>
        <w:t>support</w:t>
      </w:r>
      <w:r>
        <w:rPr>
          <w:color w:val="231F20"/>
          <w:spacing w:val="-15"/>
        </w:rPr>
        <w:t xml:space="preserve"> </w:t>
      </w:r>
      <w:r>
        <w:rPr>
          <w:color w:val="231F20"/>
        </w:rPr>
        <w:t>our</w:t>
      </w:r>
      <w:r>
        <w:rPr>
          <w:color w:val="231F20"/>
          <w:spacing w:val="-15"/>
        </w:rPr>
        <w:t xml:space="preserve"> </w:t>
      </w:r>
      <w:r>
        <w:rPr>
          <w:color w:val="231F20"/>
        </w:rPr>
        <w:t>financial</w:t>
      </w:r>
      <w:r>
        <w:rPr>
          <w:color w:val="231F20"/>
          <w:spacing w:val="-15"/>
        </w:rPr>
        <w:t xml:space="preserve"> </w:t>
      </w:r>
      <w:r>
        <w:rPr>
          <w:color w:val="231F20"/>
        </w:rPr>
        <w:t>sustainability.</w:t>
      </w:r>
      <w:r>
        <w:rPr>
          <w:color w:val="231F20"/>
          <w:spacing w:val="-15"/>
        </w:rPr>
        <w:t xml:space="preserve"> </w:t>
      </w:r>
      <w:r>
        <w:rPr>
          <w:color w:val="231F20"/>
        </w:rPr>
        <w:t>These</w:t>
      </w:r>
      <w:r>
        <w:rPr>
          <w:color w:val="231F20"/>
          <w:spacing w:val="-15"/>
        </w:rPr>
        <w:t xml:space="preserve"> </w:t>
      </w:r>
      <w:r>
        <w:rPr>
          <w:color w:val="231F20"/>
        </w:rPr>
        <w:t>initiatives</w:t>
      </w:r>
      <w:r>
        <w:rPr>
          <w:color w:val="231F20"/>
          <w:spacing w:val="-15"/>
        </w:rPr>
        <w:t xml:space="preserve"> </w:t>
      </w:r>
      <w:r>
        <w:rPr>
          <w:color w:val="231F20"/>
        </w:rPr>
        <w:t>and</w:t>
      </w:r>
      <w:r>
        <w:rPr>
          <w:color w:val="231F20"/>
          <w:spacing w:val="-15"/>
        </w:rPr>
        <w:t xml:space="preserve"> </w:t>
      </w:r>
      <w:r>
        <w:rPr>
          <w:color w:val="231F20"/>
        </w:rPr>
        <w:t>plans</w:t>
      </w:r>
      <w:r>
        <w:rPr>
          <w:color w:val="231F20"/>
          <w:spacing w:val="-15"/>
        </w:rPr>
        <w:t xml:space="preserve"> </w:t>
      </w:r>
      <w:r>
        <w:rPr>
          <w:color w:val="231F20"/>
        </w:rPr>
        <w:t>are</w:t>
      </w:r>
      <w:r>
        <w:rPr>
          <w:color w:val="231F20"/>
          <w:spacing w:val="-15"/>
        </w:rPr>
        <w:t xml:space="preserve"> </w:t>
      </w:r>
      <w:r>
        <w:rPr>
          <w:color w:val="231F20"/>
        </w:rPr>
        <w:t>described</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report.</w:t>
      </w:r>
    </w:p>
    <w:p w14:paraId="30B6BDDB" w14:textId="77777777" w:rsidR="00345EE3" w:rsidRDefault="00345EE3" w:rsidP="00345EE3">
      <w:pPr>
        <w:pStyle w:val="BodyText"/>
        <w:spacing w:before="120" w:line="242" w:lineRule="auto"/>
        <w:ind w:right="921"/>
      </w:pPr>
      <w:r>
        <w:rPr>
          <w:color w:val="231F20"/>
        </w:rPr>
        <w:t>Our</w:t>
      </w:r>
      <w:r>
        <w:rPr>
          <w:color w:val="231F20"/>
          <w:spacing w:val="-10"/>
        </w:rPr>
        <w:t xml:space="preserve"> </w:t>
      </w:r>
      <w:r>
        <w:rPr>
          <w:color w:val="231F20"/>
        </w:rPr>
        <w:t>people</w:t>
      </w:r>
      <w:r>
        <w:rPr>
          <w:color w:val="231F20"/>
          <w:spacing w:val="-10"/>
        </w:rPr>
        <w:t xml:space="preserve"> </w:t>
      </w:r>
      <w:r>
        <w:rPr>
          <w:color w:val="231F20"/>
        </w:rPr>
        <w:t>are</w:t>
      </w:r>
      <w:r>
        <w:rPr>
          <w:color w:val="231F20"/>
          <w:spacing w:val="-10"/>
        </w:rPr>
        <w:t xml:space="preserve"> </w:t>
      </w:r>
      <w:r>
        <w:rPr>
          <w:color w:val="231F20"/>
        </w:rPr>
        <w:t>the</w:t>
      </w:r>
      <w:r>
        <w:rPr>
          <w:color w:val="231F20"/>
          <w:spacing w:val="-10"/>
        </w:rPr>
        <w:t xml:space="preserve"> </w:t>
      </w:r>
      <w:r>
        <w:rPr>
          <w:color w:val="231F20"/>
        </w:rPr>
        <w:t>heart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organisation</w:t>
      </w:r>
      <w:r>
        <w:rPr>
          <w:color w:val="231F20"/>
          <w:spacing w:val="-10"/>
        </w:rPr>
        <w:t xml:space="preserve"> </w:t>
      </w:r>
      <w:r>
        <w:rPr>
          <w:color w:val="231F20"/>
        </w:rPr>
        <w:t>and</w:t>
      </w:r>
      <w:r>
        <w:rPr>
          <w:color w:val="231F20"/>
          <w:spacing w:val="-10"/>
        </w:rPr>
        <w:t xml:space="preserve"> </w:t>
      </w:r>
      <w:r>
        <w:rPr>
          <w:color w:val="231F20"/>
        </w:rPr>
        <w:t>are</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centre</w:t>
      </w:r>
      <w:r>
        <w:rPr>
          <w:color w:val="231F20"/>
          <w:spacing w:val="-10"/>
        </w:rPr>
        <w:t xml:space="preserve"> </w:t>
      </w:r>
      <w:r>
        <w:rPr>
          <w:color w:val="231F20"/>
        </w:rPr>
        <w:t>of</w:t>
      </w:r>
      <w:r>
        <w:rPr>
          <w:color w:val="231F20"/>
          <w:spacing w:val="-10"/>
        </w:rPr>
        <w:t xml:space="preserve"> </w:t>
      </w:r>
      <w:r>
        <w:rPr>
          <w:color w:val="231F20"/>
        </w:rPr>
        <w:t>everything</w:t>
      </w:r>
      <w:r>
        <w:rPr>
          <w:color w:val="231F20"/>
          <w:spacing w:val="-10"/>
        </w:rPr>
        <w:t xml:space="preserve"> </w:t>
      </w:r>
      <w:r>
        <w:rPr>
          <w:color w:val="231F20"/>
        </w:rPr>
        <w:t>that</w:t>
      </w:r>
      <w:r>
        <w:rPr>
          <w:color w:val="231F20"/>
          <w:spacing w:val="-10"/>
        </w:rPr>
        <w:t xml:space="preserve"> </w:t>
      </w:r>
      <w:r>
        <w:rPr>
          <w:color w:val="231F20"/>
        </w:rPr>
        <w:t>we</w:t>
      </w:r>
      <w:r>
        <w:rPr>
          <w:color w:val="231F20"/>
          <w:spacing w:val="-10"/>
        </w:rPr>
        <w:t xml:space="preserve"> </w:t>
      </w:r>
      <w:r>
        <w:rPr>
          <w:color w:val="231F20"/>
        </w:rPr>
        <w:t>do.</w:t>
      </w:r>
      <w:r>
        <w:rPr>
          <w:color w:val="231F20"/>
          <w:spacing w:val="-10"/>
        </w:rPr>
        <w:t xml:space="preserve"> </w:t>
      </w:r>
      <w:r>
        <w:rPr>
          <w:color w:val="231F20"/>
        </w:rPr>
        <w:t>The mental</w:t>
      </w:r>
      <w:r>
        <w:rPr>
          <w:color w:val="231F20"/>
          <w:spacing w:val="-13"/>
        </w:rPr>
        <w:t xml:space="preserve"> </w:t>
      </w:r>
      <w:r>
        <w:rPr>
          <w:color w:val="231F20"/>
        </w:rPr>
        <w:t>health</w:t>
      </w:r>
      <w:r>
        <w:rPr>
          <w:color w:val="231F20"/>
          <w:spacing w:val="-13"/>
        </w:rPr>
        <w:t xml:space="preserve"> </w:t>
      </w:r>
      <w:r>
        <w:rPr>
          <w:color w:val="231F20"/>
        </w:rPr>
        <w:t>and</w:t>
      </w:r>
      <w:r>
        <w:rPr>
          <w:color w:val="231F20"/>
          <w:spacing w:val="-13"/>
        </w:rPr>
        <w:t xml:space="preserve"> </w:t>
      </w:r>
      <w:r>
        <w:rPr>
          <w:color w:val="231F20"/>
        </w:rPr>
        <w:t>wellbeing</w:t>
      </w:r>
      <w:r>
        <w:rPr>
          <w:color w:val="231F20"/>
          <w:spacing w:val="-13"/>
        </w:rPr>
        <w:t xml:space="preserve"> </w:t>
      </w:r>
      <w:r>
        <w:rPr>
          <w:color w:val="231F20"/>
        </w:rPr>
        <w:t>of</w:t>
      </w:r>
      <w:r>
        <w:rPr>
          <w:color w:val="231F20"/>
          <w:spacing w:val="-13"/>
        </w:rPr>
        <w:t xml:space="preserve"> </w:t>
      </w:r>
      <w:r>
        <w:rPr>
          <w:color w:val="231F20"/>
        </w:rPr>
        <w:t>our</w:t>
      </w:r>
      <w:r>
        <w:rPr>
          <w:color w:val="231F20"/>
          <w:spacing w:val="-13"/>
        </w:rPr>
        <w:t xml:space="preserve"> </w:t>
      </w:r>
      <w:r>
        <w:rPr>
          <w:color w:val="231F20"/>
        </w:rPr>
        <w:t>people</w:t>
      </w:r>
      <w:r>
        <w:rPr>
          <w:color w:val="231F20"/>
          <w:spacing w:val="-13"/>
        </w:rPr>
        <w:t xml:space="preserve"> </w:t>
      </w:r>
      <w:r>
        <w:rPr>
          <w:color w:val="231F20"/>
        </w:rPr>
        <w:t>is</w:t>
      </w:r>
      <w:r>
        <w:rPr>
          <w:color w:val="231F20"/>
          <w:spacing w:val="-13"/>
        </w:rPr>
        <w:t xml:space="preserve"> </w:t>
      </w:r>
      <w:r>
        <w:rPr>
          <w:color w:val="231F20"/>
        </w:rPr>
        <w:t>a</w:t>
      </w:r>
      <w:r>
        <w:rPr>
          <w:color w:val="231F20"/>
          <w:spacing w:val="-13"/>
        </w:rPr>
        <w:t xml:space="preserve"> </w:t>
      </w:r>
      <w:r>
        <w:rPr>
          <w:color w:val="231F20"/>
        </w:rPr>
        <w:t>priority,</w:t>
      </w:r>
      <w:r>
        <w:rPr>
          <w:color w:val="231F20"/>
          <w:spacing w:val="-13"/>
        </w:rPr>
        <w:t xml:space="preserve"> </w:t>
      </w:r>
      <w:r>
        <w:rPr>
          <w:color w:val="231F20"/>
        </w:rPr>
        <w:t>and</w:t>
      </w:r>
      <w:r>
        <w:rPr>
          <w:color w:val="231F20"/>
          <w:spacing w:val="-13"/>
        </w:rPr>
        <w:t xml:space="preserve"> </w:t>
      </w:r>
      <w:r>
        <w:rPr>
          <w:color w:val="231F20"/>
        </w:rPr>
        <w:t>during</w:t>
      </w:r>
      <w:r>
        <w:rPr>
          <w:color w:val="231F20"/>
          <w:spacing w:val="-13"/>
        </w:rPr>
        <w:t xml:space="preserve"> </w:t>
      </w:r>
      <w:r>
        <w:rPr>
          <w:color w:val="231F20"/>
        </w:rPr>
        <w:t>2021–22</w:t>
      </w:r>
      <w:r>
        <w:rPr>
          <w:color w:val="231F20"/>
          <w:spacing w:val="-13"/>
        </w:rPr>
        <w:t xml:space="preserve"> </w:t>
      </w:r>
      <w:r>
        <w:rPr>
          <w:color w:val="231F20"/>
        </w:rPr>
        <w:t>we</w:t>
      </w:r>
      <w:r>
        <w:rPr>
          <w:color w:val="231F20"/>
          <w:spacing w:val="-13"/>
        </w:rPr>
        <w:t xml:space="preserve"> </w:t>
      </w:r>
      <w:r>
        <w:rPr>
          <w:color w:val="231F20"/>
        </w:rPr>
        <w:t>announced</w:t>
      </w:r>
      <w:r>
        <w:rPr>
          <w:color w:val="231F20"/>
          <w:spacing w:val="-13"/>
        </w:rPr>
        <w:t xml:space="preserve"> </w:t>
      </w:r>
      <w:r>
        <w:rPr>
          <w:color w:val="231F20"/>
        </w:rPr>
        <w:t xml:space="preserve">the </w:t>
      </w:r>
      <w:r>
        <w:rPr>
          <w:color w:val="231F20"/>
          <w:spacing w:val="-2"/>
        </w:rPr>
        <w:t>establishment</w:t>
      </w:r>
      <w:r>
        <w:rPr>
          <w:color w:val="231F20"/>
          <w:spacing w:val="-15"/>
        </w:rPr>
        <w:t xml:space="preserve"> </w:t>
      </w:r>
      <w:r>
        <w:rPr>
          <w:color w:val="231F20"/>
          <w:spacing w:val="-2"/>
        </w:rPr>
        <w:t>of</w:t>
      </w:r>
      <w:r>
        <w:rPr>
          <w:color w:val="231F20"/>
          <w:spacing w:val="-15"/>
        </w:rPr>
        <w:t xml:space="preserve"> </w:t>
      </w:r>
      <w:r>
        <w:rPr>
          <w:color w:val="231F20"/>
          <w:spacing w:val="-2"/>
        </w:rPr>
        <w:t>a</w:t>
      </w:r>
      <w:r>
        <w:rPr>
          <w:color w:val="231F20"/>
          <w:spacing w:val="-14"/>
        </w:rPr>
        <w:t xml:space="preserve"> </w:t>
      </w:r>
      <w:r>
        <w:rPr>
          <w:color w:val="231F20"/>
          <w:spacing w:val="-2"/>
        </w:rPr>
        <w:t>mental</w:t>
      </w:r>
      <w:r>
        <w:rPr>
          <w:color w:val="231F20"/>
          <w:spacing w:val="-15"/>
        </w:rPr>
        <w:t xml:space="preserve"> </w:t>
      </w:r>
      <w:r>
        <w:rPr>
          <w:color w:val="231F20"/>
          <w:spacing w:val="-2"/>
        </w:rPr>
        <w:t>health</w:t>
      </w:r>
      <w:r>
        <w:rPr>
          <w:color w:val="231F20"/>
          <w:spacing w:val="-15"/>
        </w:rPr>
        <w:t xml:space="preserve"> </w:t>
      </w:r>
      <w:r>
        <w:rPr>
          <w:color w:val="231F20"/>
          <w:spacing w:val="-2"/>
        </w:rPr>
        <w:t>taskforce</w:t>
      </w:r>
      <w:r>
        <w:rPr>
          <w:color w:val="231F20"/>
          <w:spacing w:val="-15"/>
        </w:rPr>
        <w:t xml:space="preserve"> </w:t>
      </w:r>
      <w:r>
        <w:rPr>
          <w:color w:val="231F20"/>
          <w:spacing w:val="-2"/>
        </w:rPr>
        <w:t>focusing</w:t>
      </w:r>
      <w:r>
        <w:rPr>
          <w:color w:val="231F20"/>
          <w:spacing w:val="-14"/>
        </w:rPr>
        <w:t xml:space="preserve"> </w:t>
      </w:r>
      <w:r>
        <w:rPr>
          <w:color w:val="231F20"/>
          <w:spacing w:val="-2"/>
        </w:rPr>
        <w:t>on</w:t>
      </w:r>
      <w:r>
        <w:rPr>
          <w:color w:val="231F20"/>
          <w:spacing w:val="-15"/>
        </w:rPr>
        <w:t xml:space="preserve"> </w:t>
      </w:r>
      <w:r>
        <w:rPr>
          <w:color w:val="231F20"/>
          <w:spacing w:val="-2"/>
        </w:rPr>
        <w:t>prevention,</w:t>
      </w:r>
      <w:r>
        <w:rPr>
          <w:color w:val="231F20"/>
          <w:spacing w:val="-15"/>
        </w:rPr>
        <w:t xml:space="preserve"> </w:t>
      </w:r>
      <w:r>
        <w:rPr>
          <w:color w:val="231F20"/>
          <w:spacing w:val="-2"/>
        </w:rPr>
        <w:t>early</w:t>
      </w:r>
      <w:r>
        <w:rPr>
          <w:color w:val="231F20"/>
          <w:spacing w:val="-14"/>
        </w:rPr>
        <w:t xml:space="preserve"> </w:t>
      </w:r>
      <w:r>
        <w:rPr>
          <w:color w:val="231F20"/>
          <w:spacing w:val="-2"/>
        </w:rPr>
        <w:t>intervention</w:t>
      </w:r>
      <w:r>
        <w:rPr>
          <w:color w:val="231F20"/>
          <w:spacing w:val="-15"/>
        </w:rPr>
        <w:t xml:space="preserve"> </w:t>
      </w:r>
      <w:r>
        <w:rPr>
          <w:color w:val="231F20"/>
          <w:spacing w:val="-2"/>
        </w:rPr>
        <w:t>and</w:t>
      </w:r>
      <w:r>
        <w:rPr>
          <w:color w:val="231F20"/>
          <w:spacing w:val="-15"/>
        </w:rPr>
        <w:t xml:space="preserve"> </w:t>
      </w:r>
      <w:r>
        <w:rPr>
          <w:color w:val="231F20"/>
          <w:spacing w:val="-2"/>
        </w:rPr>
        <w:t>return</w:t>
      </w:r>
      <w:r>
        <w:rPr>
          <w:color w:val="231F20"/>
          <w:spacing w:val="-14"/>
        </w:rPr>
        <w:t xml:space="preserve"> </w:t>
      </w:r>
      <w:r>
        <w:rPr>
          <w:color w:val="231F20"/>
          <w:spacing w:val="-2"/>
        </w:rPr>
        <w:t xml:space="preserve">to </w:t>
      </w:r>
      <w:r>
        <w:rPr>
          <w:color w:val="231F20"/>
        </w:rPr>
        <w:t>health initiatives.</w:t>
      </w:r>
    </w:p>
    <w:p w14:paraId="6D9E4C61" w14:textId="77777777" w:rsidR="00345EE3" w:rsidRDefault="00345EE3" w:rsidP="00345EE3">
      <w:pPr>
        <w:pStyle w:val="BodyText"/>
        <w:spacing w:before="119" w:line="242" w:lineRule="auto"/>
        <w:ind w:right="921"/>
      </w:pPr>
      <w:r>
        <w:rPr>
          <w:color w:val="231F20"/>
          <w:spacing w:val="-2"/>
        </w:rPr>
        <w:t>The</w:t>
      </w:r>
      <w:r>
        <w:rPr>
          <w:color w:val="231F20"/>
          <w:spacing w:val="-4"/>
        </w:rPr>
        <w:t xml:space="preserve"> </w:t>
      </w:r>
      <w:r>
        <w:rPr>
          <w:color w:val="231F20"/>
          <w:spacing w:val="-2"/>
        </w:rPr>
        <w:t>professionalism,</w:t>
      </w:r>
      <w:r>
        <w:rPr>
          <w:color w:val="231F20"/>
          <w:spacing w:val="-4"/>
        </w:rPr>
        <w:t xml:space="preserve"> </w:t>
      </w:r>
      <w:r>
        <w:rPr>
          <w:color w:val="231F20"/>
          <w:spacing w:val="-2"/>
        </w:rPr>
        <w:t>flexibility,</w:t>
      </w:r>
      <w:r>
        <w:rPr>
          <w:color w:val="231F20"/>
          <w:spacing w:val="-4"/>
        </w:rPr>
        <w:t xml:space="preserve"> </w:t>
      </w:r>
      <w:r>
        <w:rPr>
          <w:color w:val="231F20"/>
          <w:spacing w:val="-2"/>
        </w:rPr>
        <w:t>and</w:t>
      </w:r>
      <w:r>
        <w:rPr>
          <w:color w:val="231F20"/>
          <w:spacing w:val="-4"/>
        </w:rPr>
        <w:t xml:space="preserve"> </w:t>
      </w:r>
      <w:r>
        <w:rPr>
          <w:color w:val="231F20"/>
          <w:spacing w:val="-2"/>
        </w:rPr>
        <w:t>commitment</w:t>
      </w:r>
      <w:r>
        <w:rPr>
          <w:color w:val="231F20"/>
          <w:spacing w:val="-4"/>
        </w:rPr>
        <w:t xml:space="preserve"> </w:t>
      </w:r>
      <w:r>
        <w:rPr>
          <w:color w:val="231F20"/>
          <w:spacing w:val="-2"/>
        </w:rPr>
        <w:t>of</w:t>
      </w:r>
      <w:r>
        <w:rPr>
          <w:color w:val="231F20"/>
          <w:spacing w:val="-4"/>
        </w:rPr>
        <w:t xml:space="preserve"> </w:t>
      </w:r>
      <w:r>
        <w:rPr>
          <w:color w:val="231F20"/>
          <w:spacing w:val="-2"/>
        </w:rPr>
        <w:t>our</w:t>
      </w:r>
      <w:r>
        <w:rPr>
          <w:color w:val="231F20"/>
          <w:spacing w:val="-4"/>
        </w:rPr>
        <w:t xml:space="preserve"> </w:t>
      </w:r>
      <w:r>
        <w:rPr>
          <w:color w:val="231F20"/>
          <w:spacing w:val="-2"/>
        </w:rPr>
        <w:t>people</w:t>
      </w:r>
      <w:r>
        <w:rPr>
          <w:color w:val="231F20"/>
          <w:spacing w:val="-4"/>
        </w:rPr>
        <w:t xml:space="preserve"> </w:t>
      </w:r>
      <w:r>
        <w:rPr>
          <w:color w:val="231F20"/>
          <w:spacing w:val="-2"/>
        </w:rPr>
        <w:t>under</w:t>
      </w:r>
      <w:r>
        <w:rPr>
          <w:color w:val="231F20"/>
          <w:spacing w:val="-4"/>
        </w:rPr>
        <w:t xml:space="preserve"> </w:t>
      </w:r>
      <w:r>
        <w:rPr>
          <w:color w:val="231F20"/>
          <w:spacing w:val="-2"/>
        </w:rPr>
        <w:t>challenging</w:t>
      </w:r>
      <w:r>
        <w:rPr>
          <w:color w:val="231F20"/>
          <w:spacing w:val="-4"/>
        </w:rPr>
        <w:t xml:space="preserve"> </w:t>
      </w:r>
      <w:r>
        <w:rPr>
          <w:color w:val="231F20"/>
          <w:spacing w:val="-2"/>
        </w:rPr>
        <w:t xml:space="preserve">circumstances </w:t>
      </w:r>
      <w:r>
        <w:rPr>
          <w:color w:val="231F20"/>
        </w:rPr>
        <w:t>has</w:t>
      </w:r>
      <w:r>
        <w:rPr>
          <w:color w:val="231F20"/>
          <w:spacing w:val="-14"/>
        </w:rPr>
        <w:t xml:space="preserve"> </w:t>
      </w:r>
      <w:r>
        <w:rPr>
          <w:color w:val="231F20"/>
        </w:rPr>
        <w:t>again</w:t>
      </w:r>
      <w:r>
        <w:rPr>
          <w:color w:val="231F20"/>
          <w:spacing w:val="-14"/>
        </w:rPr>
        <w:t xml:space="preserve"> </w:t>
      </w:r>
      <w:r>
        <w:rPr>
          <w:color w:val="231F20"/>
        </w:rPr>
        <w:t>been</w:t>
      </w:r>
      <w:r>
        <w:rPr>
          <w:color w:val="231F20"/>
          <w:spacing w:val="-14"/>
        </w:rPr>
        <w:t xml:space="preserve"> </w:t>
      </w:r>
      <w:r>
        <w:rPr>
          <w:color w:val="231F20"/>
        </w:rPr>
        <w:t>demonstrated</w:t>
      </w:r>
      <w:r>
        <w:rPr>
          <w:color w:val="231F20"/>
          <w:spacing w:val="-14"/>
        </w:rPr>
        <w:t xml:space="preserve"> </w:t>
      </w:r>
      <w:r>
        <w:rPr>
          <w:color w:val="231F20"/>
        </w:rPr>
        <w:t>in</w:t>
      </w:r>
      <w:r>
        <w:rPr>
          <w:color w:val="231F20"/>
          <w:spacing w:val="-14"/>
        </w:rPr>
        <w:t xml:space="preserve"> </w:t>
      </w:r>
      <w:r>
        <w:rPr>
          <w:color w:val="231F20"/>
        </w:rPr>
        <w:t>2021–22</w:t>
      </w:r>
      <w:r>
        <w:rPr>
          <w:color w:val="231F20"/>
          <w:spacing w:val="-14"/>
        </w:rPr>
        <w:t xml:space="preserve"> </w:t>
      </w:r>
      <w:r>
        <w:rPr>
          <w:color w:val="231F20"/>
        </w:rPr>
        <w:t>and</w:t>
      </w:r>
      <w:r>
        <w:rPr>
          <w:color w:val="231F20"/>
          <w:spacing w:val="-14"/>
        </w:rPr>
        <w:t xml:space="preserve"> </w:t>
      </w:r>
      <w:r>
        <w:rPr>
          <w:color w:val="231F20"/>
        </w:rPr>
        <w:t>I</w:t>
      </w:r>
      <w:r>
        <w:rPr>
          <w:color w:val="231F20"/>
          <w:spacing w:val="-14"/>
        </w:rPr>
        <w:t xml:space="preserve"> </w:t>
      </w:r>
      <w:r>
        <w:rPr>
          <w:color w:val="231F20"/>
        </w:rPr>
        <w:t>thank</w:t>
      </w:r>
      <w:r>
        <w:rPr>
          <w:color w:val="231F20"/>
          <w:spacing w:val="-14"/>
        </w:rPr>
        <w:t xml:space="preserve"> </w:t>
      </w:r>
      <w:r>
        <w:rPr>
          <w:color w:val="231F20"/>
        </w:rPr>
        <w:t>every</w:t>
      </w:r>
      <w:r>
        <w:rPr>
          <w:color w:val="231F20"/>
          <w:spacing w:val="-14"/>
        </w:rPr>
        <w:t xml:space="preserve"> </w:t>
      </w:r>
      <w:r>
        <w:rPr>
          <w:color w:val="231F20"/>
        </w:rPr>
        <w:t>Victoria</w:t>
      </w:r>
      <w:r>
        <w:rPr>
          <w:color w:val="231F20"/>
          <w:spacing w:val="-14"/>
        </w:rPr>
        <w:t xml:space="preserve"> </w:t>
      </w:r>
      <w:r>
        <w:rPr>
          <w:color w:val="231F20"/>
        </w:rPr>
        <w:t>Police</w:t>
      </w:r>
      <w:r>
        <w:rPr>
          <w:color w:val="231F20"/>
          <w:spacing w:val="-14"/>
        </w:rPr>
        <w:t xml:space="preserve"> </w:t>
      </w:r>
      <w:r>
        <w:rPr>
          <w:color w:val="231F20"/>
        </w:rPr>
        <w:t>employee</w:t>
      </w:r>
      <w:r>
        <w:rPr>
          <w:color w:val="231F20"/>
          <w:spacing w:val="-14"/>
        </w:rPr>
        <w:t xml:space="preserve"> </w:t>
      </w:r>
      <w:r>
        <w:rPr>
          <w:color w:val="231F20"/>
        </w:rPr>
        <w:t>for</w:t>
      </w:r>
      <w:r>
        <w:rPr>
          <w:color w:val="231F20"/>
          <w:spacing w:val="-14"/>
        </w:rPr>
        <w:t xml:space="preserve"> </w:t>
      </w:r>
      <w:r>
        <w:rPr>
          <w:color w:val="231F20"/>
        </w:rPr>
        <w:t xml:space="preserve">their </w:t>
      </w:r>
      <w:r>
        <w:rPr>
          <w:color w:val="231F20"/>
          <w:spacing w:val="-2"/>
        </w:rPr>
        <w:t>contribution.</w:t>
      </w:r>
      <w:r>
        <w:rPr>
          <w:color w:val="231F20"/>
          <w:spacing w:val="-13"/>
        </w:rPr>
        <w:t xml:space="preserve"> </w:t>
      </w:r>
      <w:r>
        <w:rPr>
          <w:color w:val="231F20"/>
          <w:spacing w:val="-2"/>
        </w:rPr>
        <w:t>I</w:t>
      </w:r>
      <w:r>
        <w:rPr>
          <w:color w:val="231F20"/>
          <w:spacing w:val="-13"/>
        </w:rPr>
        <w:t xml:space="preserve"> </w:t>
      </w:r>
      <w:r>
        <w:rPr>
          <w:color w:val="231F20"/>
          <w:spacing w:val="-2"/>
        </w:rPr>
        <w:t>also</w:t>
      </w:r>
      <w:r>
        <w:rPr>
          <w:color w:val="231F20"/>
          <w:spacing w:val="-13"/>
        </w:rPr>
        <w:t xml:space="preserve"> </w:t>
      </w:r>
      <w:r>
        <w:rPr>
          <w:color w:val="231F20"/>
          <w:spacing w:val="-2"/>
        </w:rPr>
        <w:t>extend</w:t>
      </w:r>
      <w:r>
        <w:rPr>
          <w:color w:val="231F20"/>
          <w:spacing w:val="-13"/>
        </w:rPr>
        <w:t xml:space="preserve"> </w:t>
      </w:r>
      <w:r>
        <w:rPr>
          <w:color w:val="231F20"/>
          <w:spacing w:val="-2"/>
        </w:rPr>
        <w:t>my</w:t>
      </w:r>
      <w:r>
        <w:rPr>
          <w:color w:val="231F20"/>
          <w:spacing w:val="-13"/>
        </w:rPr>
        <w:t xml:space="preserve"> </w:t>
      </w:r>
      <w:r>
        <w:rPr>
          <w:color w:val="231F20"/>
          <w:spacing w:val="-2"/>
        </w:rPr>
        <w:t>gratitude</w:t>
      </w:r>
      <w:r>
        <w:rPr>
          <w:color w:val="231F20"/>
          <w:spacing w:val="-13"/>
        </w:rPr>
        <w:t xml:space="preserve"> </w:t>
      </w:r>
      <w:r>
        <w:rPr>
          <w:color w:val="231F20"/>
          <w:spacing w:val="-2"/>
        </w:rPr>
        <w:t>to</w:t>
      </w:r>
      <w:r>
        <w:rPr>
          <w:color w:val="231F20"/>
          <w:spacing w:val="-13"/>
        </w:rPr>
        <w:t xml:space="preserve"> </w:t>
      </w:r>
      <w:r>
        <w:rPr>
          <w:color w:val="231F20"/>
          <w:spacing w:val="-2"/>
        </w:rPr>
        <w:t>the</w:t>
      </w:r>
      <w:r>
        <w:rPr>
          <w:color w:val="231F20"/>
          <w:spacing w:val="-13"/>
        </w:rPr>
        <w:t xml:space="preserve"> </w:t>
      </w:r>
      <w:r>
        <w:rPr>
          <w:color w:val="231F20"/>
          <w:spacing w:val="-2"/>
        </w:rPr>
        <w:t>agencies</w:t>
      </w:r>
      <w:r>
        <w:rPr>
          <w:color w:val="231F20"/>
          <w:spacing w:val="-13"/>
        </w:rPr>
        <w:t xml:space="preserve"> </w:t>
      </w:r>
      <w:r>
        <w:rPr>
          <w:color w:val="231F20"/>
          <w:spacing w:val="-2"/>
        </w:rPr>
        <w:t>and</w:t>
      </w:r>
      <w:r>
        <w:rPr>
          <w:color w:val="231F20"/>
          <w:spacing w:val="-13"/>
        </w:rPr>
        <w:t xml:space="preserve"> </w:t>
      </w:r>
      <w:r>
        <w:rPr>
          <w:color w:val="231F20"/>
          <w:spacing w:val="-2"/>
        </w:rPr>
        <w:t>members</w:t>
      </w:r>
      <w:r>
        <w:rPr>
          <w:color w:val="231F20"/>
          <w:spacing w:val="-13"/>
        </w:rPr>
        <w:t xml:space="preserve"> </w:t>
      </w:r>
      <w:r>
        <w:rPr>
          <w:color w:val="231F20"/>
          <w:spacing w:val="-2"/>
        </w:rPr>
        <w:t>of</w:t>
      </w:r>
      <w:r>
        <w:rPr>
          <w:color w:val="231F20"/>
          <w:spacing w:val="-13"/>
        </w:rPr>
        <w:t xml:space="preserve"> </w:t>
      </w:r>
      <w:r>
        <w:rPr>
          <w:color w:val="231F20"/>
          <w:spacing w:val="-2"/>
        </w:rPr>
        <w:t>the</w:t>
      </w:r>
      <w:r>
        <w:rPr>
          <w:color w:val="231F20"/>
          <w:spacing w:val="-13"/>
        </w:rPr>
        <w:t xml:space="preserve"> </w:t>
      </w:r>
      <w:r>
        <w:rPr>
          <w:color w:val="231F20"/>
          <w:spacing w:val="-2"/>
        </w:rPr>
        <w:t>community</w:t>
      </w:r>
      <w:r>
        <w:rPr>
          <w:color w:val="231F20"/>
          <w:spacing w:val="-13"/>
        </w:rPr>
        <w:t xml:space="preserve"> </w:t>
      </w:r>
      <w:r>
        <w:rPr>
          <w:color w:val="231F20"/>
          <w:spacing w:val="-2"/>
        </w:rPr>
        <w:t>that</w:t>
      </w:r>
      <w:r>
        <w:rPr>
          <w:color w:val="231F20"/>
          <w:spacing w:val="-13"/>
        </w:rPr>
        <w:t xml:space="preserve"> </w:t>
      </w:r>
      <w:r>
        <w:rPr>
          <w:color w:val="231F20"/>
          <w:spacing w:val="-2"/>
        </w:rPr>
        <w:t xml:space="preserve">have </w:t>
      </w:r>
      <w:r>
        <w:rPr>
          <w:color w:val="231F20"/>
        </w:rPr>
        <w:t>worked</w:t>
      </w:r>
      <w:r>
        <w:rPr>
          <w:color w:val="231F20"/>
          <w:spacing w:val="-14"/>
        </w:rPr>
        <w:t xml:space="preserve"> </w:t>
      </w:r>
      <w:r>
        <w:rPr>
          <w:color w:val="231F20"/>
        </w:rPr>
        <w:t>with</w:t>
      </w:r>
      <w:r>
        <w:rPr>
          <w:color w:val="231F20"/>
          <w:spacing w:val="-14"/>
        </w:rPr>
        <w:t xml:space="preserve"> </w:t>
      </w:r>
      <w:r>
        <w:rPr>
          <w:color w:val="231F20"/>
        </w:rPr>
        <w:t>us.</w:t>
      </w:r>
      <w:r>
        <w:rPr>
          <w:color w:val="231F20"/>
          <w:spacing w:val="-14"/>
        </w:rPr>
        <w:t xml:space="preserve"> </w:t>
      </w:r>
      <w:r>
        <w:rPr>
          <w:color w:val="231F20"/>
        </w:rPr>
        <w:t>There</w:t>
      </w:r>
      <w:r>
        <w:rPr>
          <w:color w:val="231F20"/>
          <w:spacing w:val="-14"/>
        </w:rPr>
        <w:t xml:space="preserve"> </w:t>
      </w:r>
      <w:r>
        <w:rPr>
          <w:color w:val="231F20"/>
        </w:rPr>
        <w:t>is</w:t>
      </w:r>
      <w:r>
        <w:rPr>
          <w:color w:val="231F20"/>
          <w:spacing w:val="-14"/>
        </w:rPr>
        <w:t xml:space="preserve"> </w:t>
      </w:r>
      <w:r>
        <w:rPr>
          <w:color w:val="231F20"/>
        </w:rPr>
        <w:t>much</w:t>
      </w:r>
      <w:r>
        <w:rPr>
          <w:color w:val="231F20"/>
          <w:spacing w:val="-14"/>
        </w:rPr>
        <w:t xml:space="preserve"> </w:t>
      </w:r>
      <w:r>
        <w:rPr>
          <w:color w:val="231F20"/>
        </w:rPr>
        <w:t>to</w:t>
      </w:r>
      <w:r>
        <w:rPr>
          <w:color w:val="231F20"/>
          <w:spacing w:val="-14"/>
        </w:rPr>
        <w:t xml:space="preserve"> </w:t>
      </w:r>
      <w:r>
        <w:rPr>
          <w:color w:val="231F20"/>
        </w:rPr>
        <w:t>be</w:t>
      </w:r>
      <w:r>
        <w:rPr>
          <w:color w:val="231F20"/>
          <w:spacing w:val="-14"/>
        </w:rPr>
        <w:t xml:space="preserve"> </w:t>
      </w:r>
      <w:r>
        <w:rPr>
          <w:color w:val="231F20"/>
        </w:rPr>
        <w:t>excited</w:t>
      </w:r>
      <w:r>
        <w:rPr>
          <w:color w:val="231F20"/>
          <w:spacing w:val="-14"/>
        </w:rPr>
        <w:t xml:space="preserve"> </w:t>
      </w:r>
      <w:r>
        <w:rPr>
          <w:color w:val="231F20"/>
        </w:rPr>
        <w:t>about</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coming</w:t>
      </w:r>
      <w:r>
        <w:rPr>
          <w:color w:val="231F20"/>
          <w:spacing w:val="-14"/>
        </w:rPr>
        <w:t xml:space="preserve"> </w:t>
      </w:r>
      <w:r>
        <w:rPr>
          <w:color w:val="231F20"/>
        </w:rPr>
        <w:t>financial</w:t>
      </w:r>
      <w:r>
        <w:rPr>
          <w:color w:val="231F20"/>
          <w:spacing w:val="-14"/>
        </w:rPr>
        <w:t xml:space="preserve"> </w:t>
      </w:r>
      <w:r>
        <w:rPr>
          <w:color w:val="231F20"/>
        </w:rPr>
        <w:t>year.</w:t>
      </w:r>
      <w:r>
        <w:rPr>
          <w:color w:val="231F20"/>
          <w:spacing w:val="-14"/>
        </w:rPr>
        <w:t xml:space="preserve"> </w:t>
      </w:r>
      <w:r>
        <w:rPr>
          <w:color w:val="231F20"/>
        </w:rPr>
        <w:t>Preparation</w:t>
      </w:r>
      <w:r>
        <w:rPr>
          <w:color w:val="231F20"/>
          <w:spacing w:val="-14"/>
        </w:rPr>
        <w:t xml:space="preserve"> </w:t>
      </w:r>
      <w:r>
        <w:rPr>
          <w:color w:val="231F20"/>
        </w:rPr>
        <w:t xml:space="preserve">has </w:t>
      </w:r>
      <w:r>
        <w:rPr>
          <w:color w:val="231F20"/>
          <w:spacing w:val="-2"/>
        </w:rPr>
        <w:t>begun</w:t>
      </w:r>
      <w:r>
        <w:rPr>
          <w:color w:val="231F20"/>
          <w:spacing w:val="-12"/>
        </w:rPr>
        <w:t xml:space="preserve"> </w:t>
      </w:r>
      <w:r>
        <w:rPr>
          <w:color w:val="231F20"/>
          <w:spacing w:val="-2"/>
        </w:rPr>
        <w:t>for</w:t>
      </w:r>
      <w:r>
        <w:rPr>
          <w:color w:val="231F20"/>
          <w:spacing w:val="-12"/>
        </w:rPr>
        <w:t xml:space="preserve"> </w:t>
      </w:r>
      <w:r>
        <w:rPr>
          <w:color w:val="231F20"/>
          <w:spacing w:val="-2"/>
        </w:rPr>
        <w:t>the</w:t>
      </w:r>
      <w:r>
        <w:rPr>
          <w:color w:val="231F20"/>
          <w:spacing w:val="-12"/>
        </w:rPr>
        <w:t xml:space="preserve"> </w:t>
      </w:r>
      <w:r>
        <w:rPr>
          <w:color w:val="231F20"/>
          <w:spacing w:val="-2"/>
        </w:rPr>
        <w:t>FINA</w:t>
      </w:r>
      <w:r>
        <w:rPr>
          <w:color w:val="231F20"/>
          <w:spacing w:val="-12"/>
        </w:rPr>
        <w:t xml:space="preserve"> </w:t>
      </w:r>
      <w:r>
        <w:rPr>
          <w:color w:val="231F20"/>
          <w:spacing w:val="-2"/>
        </w:rPr>
        <w:t>World</w:t>
      </w:r>
      <w:r>
        <w:rPr>
          <w:color w:val="231F20"/>
          <w:spacing w:val="-12"/>
        </w:rPr>
        <w:t xml:space="preserve"> </w:t>
      </w:r>
      <w:r>
        <w:rPr>
          <w:color w:val="231F20"/>
          <w:spacing w:val="-2"/>
        </w:rPr>
        <w:t>Swimming</w:t>
      </w:r>
      <w:r>
        <w:rPr>
          <w:color w:val="231F20"/>
          <w:spacing w:val="-12"/>
        </w:rPr>
        <w:t xml:space="preserve"> </w:t>
      </w:r>
      <w:r>
        <w:rPr>
          <w:color w:val="231F20"/>
          <w:spacing w:val="-2"/>
        </w:rPr>
        <w:t>Championships</w:t>
      </w:r>
      <w:r>
        <w:rPr>
          <w:color w:val="231F20"/>
          <w:spacing w:val="-12"/>
        </w:rPr>
        <w:t xml:space="preserve"> </w:t>
      </w:r>
      <w:r>
        <w:rPr>
          <w:color w:val="231F20"/>
          <w:spacing w:val="-2"/>
        </w:rPr>
        <w:t>in</w:t>
      </w:r>
      <w:r>
        <w:rPr>
          <w:color w:val="231F20"/>
          <w:spacing w:val="-12"/>
        </w:rPr>
        <w:t xml:space="preserve"> </w:t>
      </w:r>
      <w:r>
        <w:rPr>
          <w:color w:val="231F20"/>
          <w:spacing w:val="-2"/>
        </w:rPr>
        <w:t>December</w:t>
      </w:r>
      <w:r>
        <w:rPr>
          <w:color w:val="231F20"/>
          <w:spacing w:val="-12"/>
        </w:rPr>
        <w:t xml:space="preserve"> </w:t>
      </w:r>
      <w:r>
        <w:rPr>
          <w:color w:val="231F20"/>
          <w:spacing w:val="-2"/>
        </w:rPr>
        <w:t>2022</w:t>
      </w:r>
      <w:r>
        <w:rPr>
          <w:color w:val="231F20"/>
          <w:spacing w:val="-12"/>
        </w:rPr>
        <w:t xml:space="preserve"> </w:t>
      </w:r>
      <w:r>
        <w:rPr>
          <w:color w:val="231F20"/>
          <w:spacing w:val="-2"/>
        </w:rPr>
        <w:t>and</w:t>
      </w:r>
      <w:r>
        <w:rPr>
          <w:color w:val="231F20"/>
          <w:spacing w:val="-12"/>
        </w:rPr>
        <w:t xml:space="preserve"> </w:t>
      </w:r>
      <w:r>
        <w:rPr>
          <w:color w:val="231F20"/>
          <w:spacing w:val="-2"/>
        </w:rPr>
        <w:t>the</w:t>
      </w:r>
      <w:r>
        <w:rPr>
          <w:color w:val="231F20"/>
          <w:spacing w:val="-12"/>
        </w:rPr>
        <w:t xml:space="preserve"> </w:t>
      </w:r>
      <w:r>
        <w:rPr>
          <w:color w:val="231F20"/>
          <w:spacing w:val="-2"/>
        </w:rPr>
        <w:t xml:space="preserve">Commonwealth </w:t>
      </w:r>
      <w:r>
        <w:rPr>
          <w:color w:val="231F20"/>
        </w:rPr>
        <w:t>Games</w:t>
      </w:r>
      <w:r>
        <w:rPr>
          <w:color w:val="231F20"/>
          <w:spacing w:val="-11"/>
        </w:rPr>
        <w:t xml:space="preserve"> </w:t>
      </w:r>
      <w:r>
        <w:rPr>
          <w:color w:val="231F20"/>
        </w:rPr>
        <w:t>in</w:t>
      </w:r>
      <w:r>
        <w:rPr>
          <w:color w:val="231F20"/>
          <w:spacing w:val="-11"/>
        </w:rPr>
        <w:t xml:space="preserve"> </w:t>
      </w:r>
      <w:r>
        <w:rPr>
          <w:color w:val="231F20"/>
        </w:rPr>
        <w:t>2026.</w:t>
      </w:r>
      <w:r>
        <w:rPr>
          <w:color w:val="231F20"/>
          <w:spacing w:val="-11"/>
        </w:rPr>
        <w:t xml:space="preserve"> </w:t>
      </w:r>
      <w:r>
        <w:rPr>
          <w:color w:val="231F20"/>
        </w:rPr>
        <w:t>I</w:t>
      </w:r>
      <w:r>
        <w:rPr>
          <w:color w:val="231F20"/>
          <w:spacing w:val="-11"/>
        </w:rPr>
        <w:t xml:space="preserve"> </w:t>
      </w:r>
      <w:r>
        <w:rPr>
          <w:color w:val="231F20"/>
        </w:rPr>
        <w:t>look</w:t>
      </w:r>
      <w:r>
        <w:rPr>
          <w:color w:val="231F20"/>
          <w:spacing w:val="-11"/>
        </w:rPr>
        <w:t xml:space="preserve"> </w:t>
      </w:r>
      <w:r>
        <w:rPr>
          <w:color w:val="231F20"/>
        </w:rPr>
        <w:t>forward</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contribution</w:t>
      </w:r>
      <w:r>
        <w:rPr>
          <w:color w:val="231F20"/>
          <w:spacing w:val="-11"/>
        </w:rPr>
        <w:t xml:space="preserve"> </w:t>
      </w:r>
      <w:r>
        <w:rPr>
          <w:color w:val="231F20"/>
        </w:rPr>
        <w:t>our</w:t>
      </w:r>
      <w:r>
        <w:rPr>
          <w:color w:val="231F20"/>
          <w:spacing w:val="-11"/>
        </w:rPr>
        <w:t xml:space="preserve"> </w:t>
      </w:r>
      <w:r>
        <w:rPr>
          <w:color w:val="231F20"/>
        </w:rPr>
        <w:t>organisation</w:t>
      </w:r>
      <w:r>
        <w:rPr>
          <w:color w:val="231F20"/>
          <w:spacing w:val="-11"/>
        </w:rPr>
        <w:t xml:space="preserve"> </w:t>
      </w:r>
      <w:r>
        <w:rPr>
          <w:color w:val="231F20"/>
        </w:rPr>
        <w:t>will</w:t>
      </w:r>
      <w:r>
        <w:rPr>
          <w:color w:val="231F20"/>
          <w:spacing w:val="-11"/>
        </w:rPr>
        <w:t xml:space="preserve"> </w:t>
      </w:r>
      <w:r>
        <w:rPr>
          <w:color w:val="231F20"/>
        </w:rPr>
        <w:t>make</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safety</w:t>
      </w:r>
      <w:r>
        <w:rPr>
          <w:color w:val="231F20"/>
          <w:spacing w:val="-11"/>
        </w:rPr>
        <w:t xml:space="preserve"> </w:t>
      </w:r>
      <w:r>
        <w:rPr>
          <w:color w:val="231F20"/>
        </w:rPr>
        <w:t>of</w:t>
      </w:r>
      <w:r>
        <w:rPr>
          <w:color w:val="231F20"/>
          <w:spacing w:val="-11"/>
        </w:rPr>
        <w:t xml:space="preserve"> </w:t>
      </w:r>
      <w:r>
        <w:rPr>
          <w:color w:val="231F20"/>
        </w:rPr>
        <w:t>the Victorian community in the year ahead.</w:t>
      </w:r>
    </w:p>
    <w:p w14:paraId="6CE50C90" w14:textId="77777777" w:rsidR="00345EE3" w:rsidRDefault="00345EE3" w:rsidP="00345EE3">
      <w:pPr>
        <w:pStyle w:val="BodyText"/>
        <w:rPr>
          <w:sz w:val="20"/>
        </w:rPr>
      </w:pPr>
    </w:p>
    <w:p w14:paraId="2A1FDCBC" w14:textId="77777777" w:rsidR="00345EE3" w:rsidRDefault="00345EE3" w:rsidP="00345EE3">
      <w:pPr>
        <w:pStyle w:val="BodyText"/>
        <w:spacing w:before="9"/>
        <w:rPr>
          <w:sz w:val="25"/>
        </w:rPr>
      </w:pPr>
      <w:r>
        <w:rPr>
          <w:noProof/>
        </w:rPr>
        <w:drawing>
          <wp:inline distT="0" distB="0" distL="0" distR="0" wp14:anchorId="6C53E712" wp14:editId="60BCB56E">
            <wp:extent cx="693799" cy="512063"/>
            <wp:effectExtent l="0" t="0" r="5080" b="0"/>
            <wp:docPr id="5" name="image2.png" descr="Signature of Shane Patton APM, Chief Commissioner Victoria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Signature of Shane Patton APM, Chief Commissioner Victoria Poli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3799" cy="512063"/>
                    </a:xfrm>
                    <a:prstGeom prst="rect">
                      <a:avLst/>
                    </a:prstGeom>
                  </pic:spPr>
                </pic:pic>
              </a:graphicData>
            </a:graphic>
          </wp:inline>
        </w:drawing>
      </w:r>
    </w:p>
    <w:p w14:paraId="2363EBD8" w14:textId="77777777" w:rsidR="00345EE3" w:rsidRDefault="00345EE3" w:rsidP="00345EE3">
      <w:pPr>
        <w:pStyle w:val="BodyText"/>
        <w:spacing w:before="4"/>
        <w:rPr>
          <w:sz w:val="7"/>
        </w:rPr>
      </w:pPr>
    </w:p>
    <w:p w14:paraId="4B5B8540" w14:textId="77777777" w:rsidR="00345EE3" w:rsidRDefault="00345EE3" w:rsidP="00345EE3">
      <w:pPr>
        <w:spacing w:before="92" w:line="242" w:lineRule="auto"/>
        <w:ind w:left="110" w:right="8346"/>
        <w:rPr>
          <w:b/>
          <w:sz w:val="24"/>
        </w:rPr>
      </w:pPr>
      <w:r>
        <w:rPr>
          <w:b/>
          <w:color w:val="231F20"/>
          <w:sz w:val="24"/>
        </w:rPr>
        <w:t>Shane Patton APM Chief</w:t>
      </w:r>
      <w:r>
        <w:rPr>
          <w:b/>
          <w:color w:val="231F20"/>
          <w:spacing w:val="-17"/>
          <w:sz w:val="24"/>
        </w:rPr>
        <w:t xml:space="preserve"> </w:t>
      </w:r>
      <w:r>
        <w:rPr>
          <w:b/>
          <w:color w:val="231F20"/>
          <w:sz w:val="24"/>
        </w:rPr>
        <w:t>Commissioner Victoria Police</w:t>
      </w:r>
    </w:p>
    <w:p w14:paraId="1113C28B" w14:textId="77777777" w:rsidR="00345EE3" w:rsidRDefault="00345EE3" w:rsidP="00345EE3">
      <w:pPr>
        <w:spacing w:line="242" w:lineRule="auto"/>
        <w:rPr>
          <w:sz w:val="24"/>
        </w:rPr>
        <w:sectPr w:rsidR="00345EE3">
          <w:pgSz w:w="11910" w:h="16840"/>
          <w:pgMar w:top="660" w:right="0" w:bottom="280" w:left="740" w:header="720" w:footer="720" w:gutter="0"/>
          <w:cols w:space="720"/>
        </w:sectPr>
      </w:pPr>
    </w:p>
    <w:p w14:paraId="3E1AFD40" w14:textId="77777777" w:rsidR="00345EE3" w:rsidRPr="00996959" w:rsidRDefault="00345EE3">
      <w:pPr>
        <w:pStyle w:val="Heading1"/>
        <w:numPr>
          <w:ilvl w:val="0"/>
          <w:numId w:val="93"/>
        </w:numPr>
        <w:tabs>
          <w:tab w:val="left" w:pos="848"/>
        </w:tabs>
        <w:ind w:left="522" w:hanging="738"/>
        <w:rPr>
          <w:b w:val="0"/>
          <w:bCs/>
          <w:sz w:val="56"/>
          <w:szCs w:val="56"/>
        </w:rPr>
      </w:pPr>
      <w:bookmarkStart w:id="1" w:name="_TOC_250006"/>
      <w:r w:rsidRPr="00996959">
        <w:rPr>
          <w:b w:val="0"/>
          <w:bCs/>
          <w:color w:val="00529F"/>
          <w:sz w:val="56"/>
          <w:szCs w:val="56"/>
        </w:rPr>
        <w:lastRenderedPageBreak/>
        <w:t>Our</w:t>
      </w:r>
      <w:r w:rsidRPr="00996959">
        <w:rPr>
          <w:b w:val="0"/>
          <w:bCs/>
          <w:color w:val="00529F"/>
          <w:spacing w:val="-9"/>
          <w:sz w:val="56"/>
          <w:szCs w:val="56"/>
        </w:rPr>
        <w:t xml:space="preserve"> </w:t>
      </w:r>
      <w:bookmarkEnd w:id="1"/>
      <w:r w:rsidRPr="00996959">
        <w:rPr>
          <w:b w:val="0"/>
          <w:bCs/>
          <w:color w:val="00529F"/>
          <w:spacing w:val="-2"/>
          <w:sz w:val="56"/>
          <w:szCs w:val="56"/>
        </w:rPr>
        <w:t>Organisation</w:t>
      </w:r>
    </w:p>
    <w:p w14:paraId="2C726747" w14:textId="77777777" w:rsidR="00345EE3" w:rsidRPr="00996959" w:rsidRDefault="00345EE3" w:rsidP="00345EE3">
      <w:pPr>
        <w:pStyle w:val="Heading2"/>
        <w:spacing w:before="204"/>
        <w:rPr>
          <w:sz w:val="32"/>
          <w:szCs w:val="32"/>
        </w:rPr>
      </w:pPr>
      <w:r w:rsidRPr="00996959">
        <w:rPr>
          <w:color w:val="00529F"/>
          <w:sz w:val="32"/>
          <w:szCs w:val="32"/>
        </w:rPr>
        <w:t>Our</w:t>
      </w:r>
      <w:r w:rsidRPr="00996959">
        <w:rPr>
          <w:color w:val="00529F"/>
          <w:spacing w:val="-7"/>
          <w:sz w:val="32"/>
          <w:szCs w:val="32"/>
        </w:rPr>
        <w:t xml:space="preserve"> </w:t>
      </w:r>
      <w:r w:rsidRPr="00996959">
        <w:rPr>
          <w:color w:val="00529F"/>
          <w:sz w:val="32"/>
          <w:szCs w:val="32"/>
        </w:rPr>
        <w:t>Role</w:t>
      </w:r>
      <w:r w:rsidRPr="00996959">
        <w:rPr>
          <w:color w:val="00529F"/>
          <w:spacing w:val="-7"/>
          <w:sz w:val="32"/>
          <w:szCs w:val="32"/>
        </w:rPr>
        <w:t xml:space="preserve"> </w:t>
      </w:r>
      <w:r w:rsidRPr="00996959">
        <w:rPr>
          <w:color w:val="00529F"/>
          <w:sz w:val="32"/>
          <w:szCs w:val="32"/>
        </w:rPr>
        <w:t>and</w:t>
      </w:r>
      <w:r w:rsidRPr="00996959">
        <w:rPr>
          <w:color w:val="00529F"/>
          <w:spacing w:val="-7"/>
          <w:sz w:val="32"/>
          <w:szCs w:val="32"/>
        </w:rPr>
        <w:t xml:space="preserve"> </w:t>
      </w:r>
      <w:r w:rsidRPr="00996959">
        <w:rPr>
          <w:color w:val="00529F"/>
          <w:spacing w:val="-2"/>
          <w:sz w:val="32"/>
          <w:szCs w:val="32"/>
        </w:rPr>
        <w:t>Function</w:t>
      </w:r>
    </w:p>
    <w:p w14:paraId="3BF0DF44" w14:textId="77777777" w:rsidR="00345EE3" w:rsidRDefault="00345EE3" w:rsidP="00345EE3">
      <w:pPr>
        <w:pStyle w:val="BodyText"/>
        <w:spacing w:before="72" w:line="242" w:lineRule="auto"/>
        <w:ind w:right="921"/>
      </w:pPr>
      <w:r>
        <w:rPr>
          <w:color w:val="231F20"/>
        </w:rPr>
        <w:t>Victoria</w:t>
      </w:r>
      <w:r>
        <w:rPr>
          <w:color w:val="231F20"/>
          <w:spacing w:val="-3"/>
        </w:rPr>
        <w:t xml:space="preserve"> </w:t>
      </w:r>
      <w:r>
        <w:rPr>
          <w:color w:val="231F20"/>
        </w:rPr>
        <w:t>Police’s</w:t>
      </w:r>
      <w:r>
        <w:rPr>
          <w:color w:val="231F20"/>
          <w:spacing w:val="-2"/>
        </w:rPr>
        <w:t xml:space="preserve"> </w:t>
      </w:r>
      <w:r>
        <w:rPr>
          <w:color w:val="231F20"/>
        </w:rPr>
        <w:t>role</w:t>
      </w:r>
      <w:r>
        <w:rPr>
          <w:color w:val="231F20"/>
          <w:spacing w:val="-3"/>
        </w:rPr>
        <w:t xml:space="preserve"> </w:t>
      </w:r>
      <w:r>
        <w:rPr>
          <w:color w:val="231F20"/>
        </w:rPr>
        <w:t>as</w:t>
      </w:r>
      <w:r>
        <w:rPr>
          <w:color w:val="231F20"/>
          <w:spacing w:val="-2"/>
        </w:rPr>
        <w:t xml:space="preserve"> </w:t>
      </w:r>
      <w:r>
        <w:rPr>
          <w:color w:val="231F20"/>
        </w:rPr>
        <w:t>defined</w:t>
      </w:r>
      <w:r>
        <w:rPr>
          <w:color w:val="231F20"/>
          <w:spacing w:val="-3"/>
        </w:rPr>
        <w:t xml:space="preserve"> </w:t>
      </w:r>
      <w:r>
        <w:rPr>
          <w:color w:val="231F20"/>
        </w:rPr>
        <w:t>by</w:t>
      </w:r>
      <w:r>
        <w:rPr>
          <w:color w:val="231F20"/>
          <w:spacing w:val="-2"/>
        </w:rPr>
        <w:t xml:space="preserve"> </w:t>
      </w:r>
      <w:r>
        <w:rPr>
          <w:color w:val="231F20"/>
        </w:rPr>
        <w:t>the</w:t>
      </w:r>
      <w:r>
        <w:rPr>
          <w:color w:val="231F20"/>
          <w:spacing w:val="-3"/>
        </w:rPr>
        <w:t xml:space="preserve"> </w:t>
      </w:r>
      <w:r>
        <w:rPr>
          <w:i/>
          <w:color w:val="231F20"/>
        </w:rPr>
        <w:t>Victoria</w:t>
      </w:r>
      <w:r>
        <w:rPr>
          <w:i/>
          <w:color w:val="231F20"/>
          <w:spacing w:val="-11"/>
        </w:rPr>
        <w:t xml:space="preserve"> </w:t>
      </w:r>
      <w:r>
        <w:rPr>
          <w:i/>
          <w:color w:val="231F20"/>
        </w:rPr>
        <w:t>Police</w:t>
      </w:r>
      <w:r>
        <w:rPr>
          <w:i/>
          <w:color w:val="231F20"/>
          <w:spacing w:val="-11"/>
        </w:rPr>
        <w:t xml:space="preserve"> </w:t>
      </w:r>
      <w:r>
        <w:rPr>
          <w:i/>
          <w:color w:val="231F20"/>
        </w:rPr>
        <w:t>Act</w:t>
      </w:r>
      <w:r>
        <w:rPr>
          <w:i/>
          <w:color w:val="231F20"/>
          <w:spacing w:val="-11"/>
        </w:rPr>
        <w:t xml:space="preserve"> </w:t>
      </w:r>
      <w:r>
        <w:rPr>
          <w:color w:val="231F20"/>
        </w:rPr>
        <w:t>2013,</w:t>
      </w:r>
      <w:r>
        <w:rPr>
          <w:color w:val="231F20"/>
          <w:spacing w:val="-2"/>
        </w:rPr>
        <w:t xml:space="preserve"> </w:t>
      </w:r>
      <w:r>
        <w:rPr>
          <w:color w:val="231F20"/>
        </w:rPr>
        <w:t>is</w:t>
      </w:r>
      <w:r>
        <w:rPr>
          <w:color w:val="231F20"/>
          <w:spacing w:val="-2"/>
        </w:rPr>
        <w:t xml:space="preserve"> </w:t>
      </w:r>
      <w:r>
        <w:rPr>
          <w:color w:val="231F20"/>
        </w:rPr>
        <w:t>to</w:t>
      </w:r>
      <w:r>
        <w:rPr>
          <w:color w:val="231F20"/>
          <w:spacing w:val="-3"/>
        </w:rPr>
        <w:t xml:space="preserve"> </w:t>
      </w:r>
      <w:r>
        <w:rPr>
          <w:color w:val="231F20"/>
        </w:rPr>
        <w:t>serve</w:t>
      </w:r>
      <w:r>
        <w:rPr>
          <w:color w:val="231F20"/>
          <w:spacing w:val="-3"/>
        </w:rPr>
        <w:t xml:space="preserve"> </w:t>
      </w:r>
      <w:r>
        <w:rPr>
          <w:color w:val="231F20"/>
        </w:rPr>
        <w:t>the</w:t>
      </w:r>
      <w:r>
        <w:rPr>
          <w:color w:val="231F20"/>
          <w:spacing w:val="-3"/>
        </w:rPr>
        <w:t xml:space="preserve"> </w:t>
      </w:r>
      <w:r>
        <w:rPr>
          <w:color w:val="231F20"/>
        </w:rPr>
        <w:t>Victorian community</w:t>
      </w:r>
      <w:r>
        <w:rPr>
          <w:color w:val="231F20"/>
          <w:spacing w:val="-8"/>
        </w:rPr>
        <w:t xml:space="preserve"> </w:t>
      </w:r>
      <w:r>
        <w:rPr>
          <w:color w:val="231F20"/>
        </w:rPr>
        <w:t>and</w:t>
      </w:r>
      <w:r>
        <w:rPr>
          <w:color w:val="231F20"/>
          <w:spacing w:val="-9"/>
        </w:rPr>
        <w:t xml:space="preserve"> </w:t>
      </w:r>
      <w:r>
        <w:rPr>
          <w:color w:val="231F20"/>
        </w:rPr>
        <w:t>uphold</w:t>
      </w:r>
      <w:r>
        <w:rPr>
          <w:color w:val="231F20"/>
          <w:spacing w:val="-9"/>
        </w:rPr>
        <w:t xml:space="preserve"> </w:t>
      </w:r>
      <w:r>
        <w:rPr>
          <w:color w:val="231F20"/>
        </w:rPr>
        <w:t>the</w:t>
      </w:r>
      <w:r>
        <w:rPr>
          <w:color w:val="231F20"/>
          <w:spacing w:val="-9"/>
        </w:rPr>
        <w:t xml:space="preserve"> </w:t>
      </w:r>
      <w:r>
        <w:rPr>
          <w:color w:val="231F20"/>
        </w:rPr>
        <w:t>law</w:t>
      </w:r>
      <w:r>
        <w:rPr>
          <w:color w:val="231F20"/>
          <w:spacing w:val="-9"/>
        </w:rPr>
        <w:t xml:space="preserve"> </w:t>
      </w:r>
      <w:r>
        <w:rPr>
          <w:color w:val="231F20"/>
        </w:rPr>
        <w:t>to</w:t>
      </w:r>
      <w:r>
        <w:rPr>
          <w:color w:val="231F20"/>
          <w:spacing w:val="-9"/>
        </w:rPr>
        <w:t xml:space="preserve"> </w:t>
      </w:r>
      <w:r>
        <w:rPr>
          <w:color w:val="231F20"/>
        </w:rPr>
        <w:t>promote</w:t>
      </w:r>
      <w:r>
        <w:rPr>
          <w:color w:val="231F20"/>
          <w:spacing w:val="-9"/>
        </w:rPr>
        <w:t xml:space="preserve"> </w:t>
      </w:r>
      <w:r>
        <w:rPr>
          <w:color w:val="231F20"/>
        </w:rPr>
        <w:t>a</w:t>
      </w:r>
      <w:r>
        <w:rPr>
          <w:color w:val="231F20"/>
          <w:spacing w:val="-9"/>
        </w:rPr>
        <w:t xml:space="preserve"> </w:t>
      </w:r>
      <w:r>
        <w:rPr>
          <w:color w:val="231F20"/>
        </w:rPr>
        <w:t>safe,</w:t>
      </w:r>
      <w:r>
        <w:rPr>
          <w:color w:val="231F20"/>
          <w:spacing w:val="-8"/>
        </w:rPr>
        <w:t xml:space="preserve"> </w:t>
      </w:r>
      <w:r>
        <w:rPr>
          <w:color w:val="231F20"/>
        </w:rPr>
        <w:t>secure</w:t>
      </w:r>
      <w:r>
        <w:rPr>
          <w:color w:val="231F20"/>
          <w:spacing w:val="-9"/>
        </w:rPr>
        <w:t xml:space="preserve"> </w:t>
      </w:r>
      <w:r>
        <w:rPr>
          <w:color w:val="231F20"/>
        </w:rPr>
        <w:t>and</w:t>
      </w:r>
      <w:r>
        <w:rPr>
          <w:color w:val="231F20"/>
          <w:spacing w:val="-9"/>
        </w:rPr>
        <w:t xml:space="preserve"> </w:t>
      </w:r>
      <w:r>
        <w:rPr>
          <w:color w:val="231F20"/>
        </w:rPr>
        <w:t>orderly</w:t>
      </w:r>
      <w:r>
        <w:rPr>
          <w:color w:val="231F20"/>
          <w:spacing w:val="-8"/>
        </w:rPr>
        <w:t xml:space="preserve"> </w:t>
      </w:r>
      <w:r>
        <w:rPr>
          <w:color w:val="231F20"/>
        </w:rPr>
        <w:t>society.</w:t>
      </w:r>
      <w:r>
        <w:rPr>
          <w:color w:val="231F20"/>
          <w:spacing w:val="-8"/>
        </w:rPr>
        <w:t xml:space="preserve"> </w:t>
      </w:r>
      <w:r>
        <w:rPr>
          <w:color w:val="231F20"/>
        </w:rPr>
        <w:t>Victoria</w:t>
      </w:r>
      <w:r>
        <w:rPr>
          <w:color w:val="231F20"/>
          <w:spacing w:val="-9"/>
        </w:rPr>
        <w:t xml:space="preserve"> </w:t>
      </w:r>
      <w:r>
        <w:rPr>
          <w:color w:val="231F20"/>
        </w:rPr>
        <w:t>Police achieves this by:</w:t>
      </w:r>
    </w:p>
    <w:p w14:paraId="22B210B1" w14:textId="77777777" w:rsidR="00345EE3" w:rsidRDefault="00345EE3">
      <w:pPr>
        <w:pStyle w:val="ListParagraph"/>
        <w:numPr>
          <w:ilvl w:val="1"/>
          <w:numId w:val="93"/>
        </w:numPr>
        <w:tabs>
          <w:tab w:val="left" w:pos="393"/>
          <w:tab w:val="left" w:pos="394"/>
        </w:tabs>
        <w:spacing w:before="33"/>
        <w:rPr>
          <w:sz w:val="24"/>
        </w:rPr>
      </w:pPr>
      <w:r>
        <w:rPr>
          <w:color w:val="231F20"/>
          <w:sz w:val="24"/>
        </w:rPr>
        <w:t>preserving</w:t>
      </w:r>
      <w:r>
        <w:rPr>
          <w:color w:val="231F20"/>
          <w:spacing w:val="-4"/>
          <w:sz w:val="24"/>
        </w:rPr>
        <w:t xml:space="preserve"> </w:t>
      </w:r>
      <w:r>
        <w:rPr>
          <w:color w:val="231F20"/>
          <w:sz w:val="24"/>
        </w:rPr>
        <w:t>the</w:t>
      </w:r>
      <w:r>
        <w:rPr>
          <w:color w:val="231F20"/>
          <w:spacing w:val="-4"/>
          <w:sz w:val="24"/>
        </w:rPr>
        <w:t xml:space="preserve"> peace</w:t>
      </w:r>
    </w:p>
    <w:p w14:paraId="243719BD" w14:textId="77777777" w:rsidR="00345EE3" w:rsidRDefault="00345EE3">
      <w:pPr>
        <w:pStyle w:val="ListParagraph"/>
        <w:numPr>
          <w:ilvl w:val="1"/>
          <w:numId w:val="93"/>
        </w:numPr>
        <w:tabs>
          <w:tab w:val="left" w:pos="393"/>
          <w:tab w:val="left" w:pos="394"/>
        </w:tabs>
        <w:rPr>
          <w:sz w:val="24"/>
        </w:rPr>
      </w:pPr>
      <w:r>
        <w:rPr>
          <w:color w:val="231F20"/>
          <w:sz w:val="24"/>
        </w:rPr>
        <w:t>protecting</w:t>
      </w:r>
      <w:r>
        <w:rPr>
          <w:color w:val="231F20"/>
          <w:spacing w:val="-9"/>
          <w:sz w:val="24"/>
        </w:rPr>
        <w:t xml:space="preserve"> </w:t>
      </w:r>
      <w:r>
        <w:rPr>
          <w:color w:val="231F20"/>
          <w:sz w:val="24"/>
        </w:rPr>
        <w:t>life</w:t>
      </w:r>
      <w:r>
        <w:rPr>
          <w:color w:val="231F20"/>
          <w:spacing w:val="-9"/>
          <w:sz w:val="24"/>
        </w:rPr>
        <w:t xml:space="preserve"> </w:t>
      </w:r>
      <w:r>
        <w:rPr>
          <w:color w:val="231F20"/>
          <w:sz w:val="24"/>
        </w:rPr>
        <w:t>and</w:t>
      </w:r>
      <w:r>
        <w:rPr>
          <w:color w:val="231F20"/>
          <w:spacing w:val="-9"/>
          <w:sz w:val="24"/>
        </w:rPr>
        <w:t xml:space="preserve"> </w:t>
      </w:r>
      <w:r>
        <w:rPr>
          <w:color w:val="231F20"/>
          <w:spacing w:val="-2"/>
          <w:sz w:val="24"/>
        </w:rPr>
        <w:t>property</w:t>
      </w:r>
    </w:p>
    <w:p w14:paraId="70E32D6A" w14:textId="77777777" w:rsidR="00345EE3" w:rsidRDefault="00345EE3">
      <w:pPr>
        <w:pStyle w:val="ListParagraph"/>
        <w:numPr>
          <w:ilvl w:val="1"/>
          <w:numId w:val="93"/>
        </w:numPr>
        <w:tabs>
          <w:tab w:val="left" w:pos="393"/>
          <w:tab w:val="left" w:pos="394"/>
        </w:tabs>
        <w:rPr>
          <w:sz w:val="24"/>
        </w:rPr>
      </w:pPr>
      <w:r>
        <w:rPr>
          <w:color w:val="231F20"/>
          <w:spacing w:val="-2"/>
          <w:sz w:val="24"/>
        </w:rPr>
        <w:t>preventing</w:t>
      </w:r>
      <w:r>
        <w:rPr>
          <w:color w:val="231F20"/>
          <w:spacing w:val="-6"/>
          <w:sz w:val="24"/>
        </w:rPr>
        <w:t xml:space="preserve"> </w:t>
      </w:r>
      <w:r>
        <w:rPr>
          <w:color w:val="231F20"/>
          <w:spacing w:val="-2"/>
          <w:sz w:val="24"/>
        </w:rPr>
        <w:t>offences</w:t>
      </w:r>
    </w:p>
    <w:p w14:paraId="56523FD5" w14:textId="77777777" w:rsidR="00345EE3" w:rsidRDefault="00345EE3">
      <w:pPr>
        <w:pStyle w:val="ListParagraph"/>
        <w:numPr>
          <w:ilvl w:val="1"/>
          <w:numId w:val="93"/>
        </w:numPr>
        <w:tabs>
          <w:tab w:val="left" w:pos="393"/>
          <w:tab w:val="left" w:pos="394"/>
        </w:tabs>
        <w:spacing w:before="33"/>
        <w:rPr>
          <w:sz w:val="24"/>
        </w:rPr>
      </w:pPr>
      <w:r>
        <w:rPr>
          <w:color w:val="231F20"/>
          <w:sz w:val="24"/>
        </w:rPr>
        <w:t>detecting</w:t>
      </w:r>
      <w:r>
        <w:rPr>
          <w:color w:val="231F20"/>
          <w:spacing w:val="-14"/>
          <w:sz w:val="24"/>
        </w:rPr>
        <w:t xml:space="preserve"> </w:t>
      </w:r>
      <w:r>
        <w:rPr>
          <w:color w:val="231F20"/>
          <w:sz w:val="24"/>
        </w:rPr>
        <w:t>and</w:t>
      </w:r>
      <w:r>
        <w:rPr>
          <w:color w:val="231F20"/>
          <w:spacing w:val="-14"/>
          <w:sz w:val="24"/>
        </w:rPr>
        <w:t xml:space="preserve"> </w:t>
      </w:r>
      <w:r>
        <w:rPr>
          <w:color w:val="231F20"/>
          <w:sz w:val="24"/>
        </w:rPr>
        <w:t>apprehending</w:t>
      </w:r>
      <w:r>
        <w:rPr>
          <w:color w:val="231F20"/>
          <w:spacing w:val="-14"/>
          <w:sz w:val="24"/>
        </w:rPr>
        <w:t xml:space="preserve"> </w:t>
      </w:r>
      <w:r>
        <w:rPr>
          <w:color w:val="231F20"/>
          <w:spacing w:val="-2"/>
          <w:sz w:val="24"/>
        </w:rPr>
        <w:t>offenders</w:t>
      </w:r>
    </w:p>
    <w:p w14:paraId="2C679FD4" w14:textId="77777777" w:rsidR="00345EE3" w:rsidRDefault="00345EE3">
      <w:pPr>
        <w:pStyle w:val="ListParagraph"/>
        <w:numPr>
          <w:ilvl w:val="1"/>
          <w:numId w:val="93"/>
        </w:numPr>
        <w:tabs>
          <w:tab w:val="left" w:pos="393"/>
          <w:tab w:val="left" w:pos="394"/>
        </w:tabs>
        <w:rPr>
          <w:sz w:val="24"/>
        </w:rPr>
      </w:pPr>
      <w:r>
        <w:rPr>
          <w:color w:val="231F20"/>
          <w:sz w:val="24"/>
        </w:rPr>
        <w:t>helping</w:t>
      </w:r>
      <w:r>
        <w:rPr>
          <w:color w:val="231F20"/>
          <w:spacing w:val="-7"/>
          <w:sz w:val="24"/>
        </w:rPr>
        <w:t xml:space="preserve"> </w:t>
      </w:r>
      <w:r>
        <w:rPr>
          <w:color w:val="231F20"/>
          <w:sz w:val="24"/>
        </w:rPr>
        <w:t>those</w:t>
      </w:r>
      <w:r>
        <w:rPr>
          <w:color w:val="231F20"/>
          <w:spacing w:val="-6"/>
          <w:sz w:val="24"/>
        </w:rPr>
        <w:t xml:space="preserve"> </w:t>
      </w:r>
      <w:r>
        <w:rPr>
          <w:color w:val="231F20"/>
          <w:sz w:val="24"/>
        </w:rPr>
        <w:t>in</w:t>
      </w:r>
      <w:r>
        <w:rPr>
          <w:color w:val="231F20"/>
          <w:spacing w:val="-6"/>
          <w:sz w:val="24"/>
        </w:rPr>
        <w:t xml:space="preserve"> </w:t>
      </w:r>
      <w:r>
        <w:rPr>
          <w:color w:val="231F20"/>
          <w:sz w:val="24"/>
        </w:rPr>
        <w:t>need</w:t>
      </w:r>
      <w:r>
        <w:rPr>
          <w:color w:val="231F20"/>
          <w:spacing w:val="-6"/>
          <w:sz w:val="24"/>
        </w:rPr>
        <w:t xml:space="preserve"> </w:t>
      </w:r>
      <w:r>
        <w:rPr>
          <w:color w:val="231F20"/>
          <w:sz w:val="24"/>
        </w:rPr>
        <w:t>of</w:t>
      </w:r>
      <w:r>
        <w:rPr>
          <w:color w:val="231F20"/>
          <w:spacing w:val="-5"/>
          <w:sz w:val="24"/>
        </w:rPr>
        <w:t xml:space="preserve"> </w:t>
      </w:r>
      <w:r>
        <w:rPr>
          <w:color w:val="231F20"/>
          <w:spacing w:val="-2"/>
          <w:sz w:val="24"/>
        </w:rPr>
        <w:t>assistance.</w:t>
      </w:r>
    </w:p>
    <w:p w14:paraId="1E6B4C81" w14:textId="77777777" w:rsidR="00345EE3" w:rsidRPr="00996959" w:rsidRDefault="00345EE3" w:rsidP="00345EE3">
      <w:pPr>
        <w:pStyle w:val="Heading2"/>
        <w:spacing w:before="216"/>
        <w:rPr>
          <w:sz w:val="32"/>
          <w:szCs w:val="32"/>
        </w:rPr>
      </w:pPr>
      <w:r w:rsidRPr="00996959">
        <w:rPr>
          <w:color w:val="00529F"/>
          <w:sz w:val="32"/>
          <w:szCs w:val="32"/>
        </w:rPr>
        <w:t>Our</w:t>
      </w:r>
      <w:r w:rsidRPr="00996959">
        <w:rPr>
          <w:color w:val="00529F"/>
          <w:spacing w:val="-4"/>
          <w:sz w:val="32"/>
          <w:szCs w:val="32"/>
        </w:rPr>
        <w:t xml:space="preserve"> </w:t>
      </w:r>
      <w:r w:rsidRPr="00996959">
        <w:rPr>
          <w:color w:val="00529F"/>
          <w:spacing w:val="-2"/>
          <w:sz w:val="32"/>
          <w:szCs w:val="32"/>
        </w:rPr>
        <w:t>Values</w:t>
      </w:r>
    </w:p>
    <w:p w14:paraId="1562A517" w14:textId="77777777" w:rsidR="00345EE3" w:rsidRDefault="00345EE3" w:rsidP="00345EE3">
      <w:pPr>
        <w:pStyle w:val="BodyText"/>
        <w:spacing w:before="72" w:line="242" w:lineRule="auto"/>
      </w:pPr>
      <w:r>
        <w:rPr>
          <w:color w:val="231F20"/>
        </w:rPr>
        <w:t>Our</w:t>
      </w:r>
      <w:r>
        <w:rPr>
          <w:color w:val="231F20"/>
          <w:spacing w:val="-12"/>
        </w:rPr>
        <w:t xml:space="preserve"> </w:t>
      </w:r>
      <w:r>
        <w:rPr>
          <w:color w:val="231F20"/>
        </w:rPr>
        <w:t>organisational</w:t>
      </w:r>
      <w:r>
        <w:rPr>
          <w:color w:val="231F20"/>
          <w:spacing w:val="-12"/>
        </w:rPr>
        <w:t xml:space="preserve"> </w:t>
      </w:r>
      <w:r>
        <w:rPr>
          <w:color w:val="231F20"/>
        </w:rPr>
        <w:t>values</w:t>
      </w:r>
      <w:r>
        <w:rPr>
          <w:color w:val="231F20"/>
          <w:spacing w:val="-12"/>
        </w:rPr>
        <w:t xml:space="preserve"> </w:t>
      </w:r>
      <w:r>
        <w:rPr>
          <w:color w:val="231F20"/>
        </w:rPr>
        <w:t>underpin</w:t>
      </w:r>
      <w:r>
        <w:rPr>
          <w:color w:val="231F20"/>
          <w:spacing w:val="-12"/>
        </w:rPr>
        <w:t xml:space="preserve"> </w:t>
      </w:r>
      <w:r>
        <w:rPr>
          <w:color w:val="231F20"/>
        </w:rPr>
        <w:t>Victoria</w:t>
      </w:r>
      <w:r>
        <w:rPr>
          <w:color w:val="231F20"/>
          <w:spacing w:val="-12"/>
        </w:rPr>
        <w:t xml:space="preserve"> </w:t>
      </w:r>
      <w:r>
        <w:rPr>
          <w:color w:val="231F20"/>
        </w:rPr>
        <w:t>Police’s</w:t>
      </w:r>
      <w:r>
        <w:rPr>
          <w:color w:val="231F20"/>
          <w:spacing w:val="-12"/>
        </w:rPr>
        <w:t xml:space="preserve"> </w:t>
      </w:r>
      <w:r>
        <w:rPr>
          <w:color w:val="231F20"/>
        </w:rPr>
        <w:t>policies,</w:t>
      </w:r>
      <w:r>
        <w:rPr>
          <w:color w:val="231F20"/>
          <w:spacing w:val="-12"/>
        </w:rPr>
        <w:t xml:space="preserve"> </w:t>
      </w:r>
      <w:r>
        <w:rPr>
          <w:color w:val="231F20"/>
        </w:rPr>
        <w:t>procedures</w:t>
      </w:r>
      <w:r>
        <w:rPr>
          <w:color w:val="231F20"/>
          <w:spacing w:val="-12"/>
        </w:rPr>
        <w:t xml:space="preserve"> </w:t>
      </w:r>
      <w:r>
        <w:rPr>
          <w:color w:val="231F20"/>
        </w:rPr>
        <w:t>and</w:t>
      </w:r>
      <w:r>
        <w:rPr>
          <w:color w:val="231F20"/>
          <w:spacing w:val="-12"/>
        </w:rPr>
        <w:t xml:space="preserve"> </w:t>
      </w:r>
      <w:r>
        <w:rPr>
          <w:color w:val="231F20"/>
        </w:rPr>
        <w:t>practices</w:t>
      </w:r>
      <w:r>
        <w:rPr>
          <w:color w:val="231F20"/>
          <w:spacing w:val="-12"/>
        </w:rPr>
        <w:t xml:space="preserve"> </w:t>
      </w:r>
      <w:r>
        <w:rPr>
          <w:color w:val="231F20"/>
        </w:rPr>
        <w:t>and</w:t>
      </w:r>
      <w:r>
        <w:rPr>
          <w:color w:val="231F20"/>
          <w:spacing w:val="-12"/>
        </w:rPr>
        <w:t xml:space="preserve"> </w:t>
      </w:r>
      <w:r>
        <w:rPr>
          <w:color w:val="231F20"/>
        </w:rPr>
        <w:t>how employees interact with the community and each other.</w:t>
      </w:r>
    </w:p>
    <w:p w14:paraId="04642DFD" w14:textId="77777777" w:rsidR="00345EE3" w:rsidRDefault="00345EE3" w:rsidP="00345EE3">
      <w:pPr>
        <w:pStyle w:val="BodyText"/>
        <w:spacing w:before="116"/>
      </w:pPr>
      <w:r>
        <w:rPr>
          <w:b/>
          <w:color w:val="231F20"/>
        </w:rPr>
        <w:t>Respect</w:t>
      </w:r>
      <w:r>
        <w:rPr>
          <w:b/>
          <w:color w:val="231F20"/>
          <w:spacing w:val="-10"/>
        </w:rPr>
        <w:t xml:space="preserve"> </w:t>
      </w:r>
      <w:r>
        <w:rPr>
          <w:color w:val="231F20"/>
        </w:rPr>
        <w:t>Everyone</w:t>
      </w:r>
      <w:r>
        <w:rPr>
          <w:color w:val="231F20"/>
          <w:spacing w:val="-8"/>
        </w:rPr>
        <w:t xml:space="preserve"> </w:t>
      </w:r>
      <w:r>
        <w:rPr>
          <w:color w:val="231F20"/>
        </w:rPr>
        <w:t>is</w:t>
      </w:r>
      <w:r>
        <w:rPr>
          <w:color w:val="231F20"/>
          <w:spacing w:val="-7"/>
        </w:rPr>
        <w:t xml:space="preserve"> </w:t>
      </w:r>
      <w:r>
        <w:rPr>
          <w:color w:val="231F20"/>
        </w:rPr>
        <w:t>treated</w:t>
      </w:r>
      <w:r>
        <w:rPr>
          <w:color w:val="231F20"/>
          <w:spacing w:val="-8"/>
        </w:rPr>
        <w:t xml:space="preserve"> </w:t>
      </w:r>
      <w:r>
        <w:rPr>
          <w:color w:val="231F20"/>
        </w:rPr>
        <w:t>fairly</w:t>
      </w:r>
      <w:r>
        <w:rPr>
          <w:color w:val="231F20"/>
          <w:spacing w:val="-7"/>
        </w:rPr>
        <w:t xml:space="preserve"> </w:t>
      </w:r>
      <w:r>
        <w:rPr>
          <w:color w:val="231F20"/>
        </w:rPr>
        <w:t>and</w:t>
      </w:r>
      <w:r>
        <w:rPr>
          <w:color w:val="231F20"/>
          <w:spacing w:val="-9"/>
        </w:rPr>
        <w:t xml:space="preserve"> </w:t>
      </w:r>
      <w:r>
        <w:rPr>
          <w:color w:val="231F20"/>
        </w:rPr>
        <w:t>with</w:t>
      </w:r>
      <w:r>
        <w:rPr>
          <w:color w:val="231F20"/>
          <w:spacing w:val="-8"/>
        </w:rPr>
        <w:t xml:space="preserve"> </w:t>
      </w:r>
      <w:r>
        <w:rPr>
          <w:color w:val="231F20"/>
        </w:rPr>
        <w:t>dignity</w:t>
      </w:r>
      <w:r>
        <w:rPr>
          <w:color w:val="231F20"/>
          <w:spacing w:val="-7"/>
        </w:rPr>
        <w:t xml:space="preserve"> </w:t>
      </w:r>
      <w:r>
        <w:rPr>
          <w:color w:val="231F20"/>
        </w:rPr>
        <w:t>and</w:t>
      </w:r>
      <w:r>
        <w:rPr>
          <w:color w:val="231F20"/>
          <w:spacing w:val="-8"/>
        </w:rPr>
        <w:t xml:space="preserve"> </w:t>
      </w:r>
      <w:r>
        <w:rPr>
          <w:color w:val="231F20"/>
        </w:rPr>
        <w:t>feels</w:t>
      </w:r>
      <w:r>
        <w:rPr>
          <w:color w:val="231F20"/>
          <w:spacing w:val="-7"/>
        </w:rPr>
        <w:t xml:space="preserve"> </w:t>
      </w:r>
      <w:r>
        <w:rPr>
          <w:color w:val="231F20"/>
        </w:rPr>
        <w:t>valued</w:t>
      </w:r>
      <w:r>
        <w:rPr>
          <w:color w:val="231F20"/>
          <w:spacing w:val="-8"/>
        </w:rPr>
        <w:t xml:space="preserve"> </w:t>
      </w:r>
      <w:r>
        <w:rPr>
          <w:color w:val="231F20"/>
        </w:rPr>
        <w:t>and</w:t>
      </w:r>
      <w:r>
        <w:rPr>
          <w:color w:val="231F20"/>
          <w:spacing w:val="-8"/>
        </w:rPr>
        <w:t xml:space="preserve"> </w:t>
      </w:r>
      <w:r>
        <w:rPr>
          <w:color w:val="231F20"/>
          <w:spacing w:val="-2"/>
        </w:rPr>
        <w:t>included.</w:t>
      </w:r>
    </w:p>
    <w:p w14:paraId="1244F318" w14:textId="77777777" w:rsidR="00345EE3" w:rsidRDefault="00345EE3" w:rsidP="00345EE3">
      <w:pPr>
        <w:pStyle w:val="BodyText"/>
        <w:spacing w:before="117"/>
      </w:pPr>
      <w:r>
        <w:rPr>
          <w:b/>
          <w:color w:val="231F20"/>
        </w:rPr>
        <w:t>Leadership</w:t>
      </w:r>
      <w:r>
        <w:rPr>
          <w:b/>
          <w:color w:val="231F20"/>
          <w:spacing w:val="-10"/>
        </w:rPr>
        <w:t xml:space="preserve"> </w:t>
      </w:r>
      <w:r>
        <w:rPr>
          <w:color w:val="231F20"/>
        </w:rPr>
        <w:t>Being</w:t>
      </w:r>
      <w:r>
        <w:rPr>
          <w:color w:val="231F20"/>
          <w:spacing w:val="-8"/>
        </w:rPr>
        <w:t xml:space="preserve"> </w:t>
      </w:r>
      <w:r>
        <w:rPr>
          <w:color w:val="231F20"/>
        </w:rPr>
        <w:t>people-focused,</w:t>
      </w:r>
      <w:r>
        <w:rPr>
          <w:color w:val="231F20"/>
          <w:spacing w:val="-7"/>
        </w:rPr>
        <w:t xml:space="preserve"> </w:t>
      </w:r>
      <w:r>
        <w:rPr>
          <w:color w:val="231F20"/>
        </w:rPr>
        <w:t>confident</w:t>
      </w:r>
      <w:r>
        <w:rPr>
          <w:color w:val="231F20"/>
          <w:spacing w:val="-8"/>
        </w:rPr>
        <w:t xml:space="preserve"> </w:t>
      </w:r>
      <w:r>
        <w:rPr>
          <w:color w:val="231F20"/>
        </w:rPr>
        <w:t>but</w:t>
      </w:r>
      <w:r>
        <w:rPr>
          <w:color w:val="231F20"/>
          <w:spacing w:val="-7"/>
        </w:rPr>
        <w:t xml:space="preserve"> </w:t>
      </w:r>
      <w:r>
        <w:rPr>
          <w:color w:val="231F20"/>
        </w:rPr>
        <w:t>still</w:t>
      </w:r>
      <w:r>
        <w:rPr>
          <w:color w:val="231F20"/>
          <w:spacing w:val="-8"/>
        </w:rPr>
        <w:t xml:space="preserve"> </w:t>
      </w:r>
      <w:r>
        <w:rPr>
          <w:color w:val="231F20"/>
        </w:rPr>
        <w:t>humble</w:t>
      </w:r>
      <w:r>
        <w:rPr>
          <w:color w:val="231F20"/>
          <w:spacing w:val="-8"/>
        </w:rPr>
        <w:t xml:space="preserve"> </w:t>
      </w:r>
      <w:r>
        <w:rPr>
          <w:color w:val="231F20"/>
        </w:rPr>
        <w:t>and</w:t>
      </w:r>
      <w:r>
        <w:rPr>
          <w:color w:val="231F20"/>
          <w:spacing w:val="-9"/>
        </w:rPr>
        <w:t xml:space="preserve"> </w:t>
      </w:r>
      <w:r>
        <w:rPr>
          <w:color w:val="231F20"/>
        </w:rPr>
        <w:t>committed</w:t>
      </w:r>
      <w:r>
        <w:rPr>
          <w:color w:val="231F20"/>
          <w:spacing w:val="-8"/>
        </w:rPr>
        <w:t xml:space="preserve"> </w:t>
      </w:r>
      <w:r>
        <w:rPr>
          <w:color w:val="231F20"/>
        </w:rPr>
        <w:t>to</w:t>
      </w:r>
      <w:r>
        <w:rPr>
          <w:color w:val="231F20"/>
          <w:spacing w:val="-8"/>
        </w:rPr>
        <w:t xml:space="preserve"> </w:t>
      </w:r>
      <w:r>
        <w:rPr>
          <w:color w:val="231F20"/>
        </w:rPr>
        <w:t>living</w:t>
      </w:r>
      <w:r>
        <w:rPr>
          <w:color w:val="231F20"/>
          <w:spacing w:val="-8"/>
        </w:rPr>
        <w:t xml:space="preserve"> </w:t>
      </w:r>
      <w:r>
        <w:rPr>
          <w:color w:val="231F20"/>
        </w:rPr>
        <w:t>our</w:t>
      </w:r>
      <w:r>
        <w:rPr>
          <w:color w:val="231F20"/>
          <w:spacing w:val="-7"/>
        </w:rPr>
        <w:t xml:space="preserve"> </w:t>
      </w:r>
      <w:r>
        <w:rPr>
          <w:color w:val="231F20"/>
          <w:spacing w:val="-2"/>
        </w:rPr>
        <w:t>values.</w:t>
      </w:r>
    </w:p>
    <w:p w14:paraId="7A2E8B53" w14:textId="77777777" w:rsidR="00345EE3" w:rsidRDefault="00345EE3" w:rsidP="00345EE3">
      <w:pPr>
        <w:pStyle w:val="BodyText"/>
        <w:spacing w:before="118" w:line="242" w:lineRule="auto"/>
        <w:ind w:right="921"/>
      </w:pPr>
      <w:r>
        <w:rPr>
          <w:b/>
          <w:color w:val="231F20"/>
        </w:rPr>
        <w:t>Professionalism</w:t>
      </w:r>
      <w:r>
        <w:rPr>
          <w:b/>
          <w:color w:val="231F20"/>
          <w:spacing w:val="-14"/>
        </w:rPr>
        <w:t xml:space="preserve"> </w:t>
      </w:r>
      <w:r>
        <w:rPr>
          <w:color w:val="231F20"/>
        </w:rPr>
        <w:t>Being</w:t>
      </w:r>
      <w:r>
        <w:rPr>
          <w:color w:val="231F20"/>
          <w:spacing w:val="-13"/>
        </w:rPr>
        <w:t xml:space="preserve"> </w:t>
      </w:r>
      <w:r>
        <w:rPr>
          <w:color w:val="231F20"/>
        </w:rPr>
        <w:t>accountable,</w:t>
      </w:r>
      <w:r>
        <w:rPr>
          <w:color w:val="231F20"/>
          <w:spacing w:val="-13"/>
        </w:rPr>
        <w:t xml:space="preserve"> </w:t>
      </w:r>
      <w:r>
        <w:rPr>
          <w:color w:val="231F20"/>
        </w:rPr>
        <w:t>transparent</w:t>
      </w:r>
      <w:r>
        <w:rPr>
          <w:color w:val="231F20"/>
          <w:spacing w:val="-13"/>
        </w:rPr>
        <w:t xml:space="preserve"> </w:t>
      </w:r>
      <w:r>
        <w:rPr>
          <w:color w:val="231F20"/>
        </w:rPr>
        <w:t>and</w:t>
      </w:r>
      <w:r>
        <w:rPr>
          <w:color w:val="231F20"/>
          <w:spacing w:val="-13"/>
        </w:rPr>
        <w:t xml:space="preserve"> </w:t>
      </w:r>
      <w:r>
        <w:rPr>
          <w:color w:val="231F20"/>
        </w:rPr>
        <w:t>committed</w:t>
      </w:r>
      <w:r>
        <w:rPr>
          <w:color w:val="231F20"/>
          <w:spacing w:val="-13"/>
        </w:rPr>
        <w:t xml:space="preserve"> </w:t>
      </w:r>
      <w:r>
        <w:rPr>
          <w:color w:val="231F20"/>
        </w:rPr>
        <w:t>to</w:t>
      </w:r>
      <w:r>
        <w:rPr>
          <w:color w:val="231F20"/>
          <w:spacing w:val="-13"/>
        </w:rPr>
        <w:t xml:space="preserve"> </w:t>
      </w:r>
      <w:r>
        <w:rPr>
          <w:color w:val="231F20"/>
        </w:rPr>
        <w:t>maintaining</w:t>
      </w:r>
      <w:r>
        <w:rPr>
          <w:color w:val="231F20"/>
          <w:spacing w:val="-13"/>
        </w:rPr>
        <w:t xml:space="preserve"> </w:t>
      </w:r>
      <w:r>
        <w:rPr>
          <w:color w:val="231F20"/>
        </w:rPr>
        <w:t>the</w:t>
      </w:r>
      <w:r>
        <w:rPr>
          <w:color w:val="231F20"/>
          <w:spacing w:val="-13"/>
        </w:rPr>
        <w:t xml:space="preserve"> </w:t>
      </w:r>
      <w:r>
        <w:rPr>
          <w:color w:val="231F20"/>
        </w:rPr>
        <w:t>highest standards of conduct.</w:t>
      </w:r>
    </w:p>
    <w:p w14:paraId="66A3E46A" w14:textId="77777777" w:rsidR="00345EE3" w:rsidRDefault="00345EE3" w:rsidP="00345EE3">
      <w:pPr>
        <w:pStyle w:val="BodyText"/>
        <w:spacing w:before="116" w:line="242" w:lineRule="auto"/>
        <w:ind w:right="921"/>
      </w:pPr>
      <w:r>
        <w:rPr>
          <w:b/>
          <w:color w:val="231F20"/>
        </w:rPr>
        <w:t>Support</w:t>
      </w:r>
      <w:r>
        <w:rPr>
          <w:b/>
          <w:color w:val="231F20"/>
          <w:spacing w:val="-9"/>
        </w:rPr>
        <w:t xml:space="preserve"> </w:t>
      </w:r>
      <w:r>
        <w:rPr>
          <w:color w:val="231F20"/>
        </w:rPr>
        <w:t>Having</w:t>
      </w:r>
      <w:r>
        <w:rPr>
          <w:color w:val="231F20"/>
          <w:spacing w:val="-9"/>
        </w:rPr>
        <w:t xml:space="preserve"> </w:t>
      </w:r>
      <w:r>
        <w:rPr>
          <w:color w:val="231F20"/>
        </w:rPr>
        <w:t>empathy</w:t>
      </w:r>
      <w:r>
        <w:rPr>
          <w:color w:val="231F20"/>
          <w:spacing w:val="-8"/>
        </w:rPr>
        <w:t xml:space="preserve"> </w:t>
      </w:r>
      <w:r>
        <w:rPr>
          <w:color w:val="231F20"/>
        </w:rPr>
        <w:t>and</w:t>
      </w:r>
      <w:r>
        <w:rPr>
          <w:color w:val="231F20"/>
          <w:spacing w:val="-9"/>
        </w:rPr>
        <w:t xml:space="preserve"> </w:t>
      </w:r>
      <w:r>
        <w:rPr>
          <w:color w:val="231F20"/>
        </w:rPr>
        <w:t>being</w:t>
      </w:r>
      <w:r>
        <w:rPr>
          <w:color w:val="231F20"/>
          <w:spacing w:val="-9"/>
        </w:rPr>
        <w:t xml:space="preserve"> </w:t>
      </w:r>
      <w:r>
        <w:rPr>
          <w:color w:val="231F20"/>
        </w:rPr>
        <w:t>genuinely</w:t>
      </w:r>
      <w:r>
        <w:rPr>
          <w:color w:val="231F20"/>
          <w:spacing w:val="-8"/>
        </w:rPr>
        <w:t xml:space="preserve"> </w:t>
      </w:r>
      <w:r>
        <w:rPr>
          <w:color w:val="231F20"/>
        </w:rPr>
        <w:t>committed</w:t>
      </w:r>
      <w:r>
        <w:rPr>
          <w:color w:val="231F20"/>
          <w:spacing w:val="-9"/>
        </w:rPr>
        <w:t xml:space="preserve"> </w:t>
      </w:r>
      <w:r>
        <w:rPr>
          <w:color w:val="231F20"/>
        </w:rPr>
        <w:t>to</w:t>
      </w:r>
      <w:r>
        <w:rPr>
          <w:color w:val="231F20"/>
          <w:spacing w:val="-9"/>
        </w:rPr>
        <w:t xml:space="preserve"> </w:t>
      </w:r>
      <w:r>
        <w:rPr>
          <w:color w:val="231F20"/>
        </w:rPr>
        <w:t>responding</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needs</w:t>
      </w:r>
      <w:r>
        <w:rPr>
          <w:color w:val="231F20"/>
          <w:spacing w:val="-8"/>
        </w:rPr>
        <w:t xml:space="preserve"> </w:t>
      </w:r>
      <w:r>
        <w:rPr>
          <w:color w:val="231F20"/>
        </w:rPr>
        <w:t>and wellbeing of others.</w:t>
      </w:r>
    </w:p>
    <w:p w14:paraId="387E9AB0" w14:textId="77777777" w:rsidR="00345EE3" w:rsidRDefault="00345EE3" w:rsidP="00345EE3">
      <w:pPr>
        <w:pStyle w:val="BodyText"/>
        <w:spacing w:before="116"/>
      </w:pPr>
      <w:r>
        <w:rPr>
          <w:b/>
          <w:color w:val="231F20"/>
        </w:rPr>
        <w:t>Integrity</w:t>
      </w:r>
      <w:r>
        <w:rPr>
          <w:b/>
          <w:color w:val="231F20"/>
          <w:spacing w:val="-10"/>
        </w:rPr>
        <w:t xml:space="preserve"> </w:t>
      </w:r>
      <w:r>
        <w:rPr>
          <w:color w:val="231F20"/>
        </w:rPr>
        <w:t>Acting</w:t>
      </w:r>
      <w:r>
        <w:rPr>
          <w:color w:val="231F20"/>
          <w:spacing w:val="-7"/>
        </w:rPr>
        <w:t xml:space="preserve"> </w:t>
      </w:r>
      <w:r>
        <w:rPr>
          <w:color w:val="231F20"/>
        </w:rPr>
        <w:t>with</w:t>
      </w:r>
      <w:r>
        <w:rPr>
          <w:color w:val="231F20"/>
          <w:spacing w:val="-7"/>
        </w:rPr>
        <w:t xml:space="preserve"> </w:t>
      </w:r>
      <w:r>
        <w:rPr>
          <w:color w:val="231F20"/>
        </w:rPr>
        <w:t>honour,</w:t>
      </w:r>
      <w:r>
        <w:rPr>
          <w:color w:val="231F20"/>
          <w:spacing w:val="-6"/>
        </w:rPr>
        <w:t xml:space="preserve"> </w:t>
      </w:r>
      <w:r>
        <w:rPr>
          <w:color w:val="231F20"/>
        </w:rPr>
        <w:t>being</w:t>
      </w:r>
      <w:r>
        <w:rPr>
          <w:color w:val="231F20"/>
          <w:spacing w:val="-8"/>
        </w:rPr>
        <w:t xml:space="preserve"> </w:t>
      </w:r>
      <w:r>
        <w:rPr>
          <w:color w:val="231F20"/>
        </w:rPr>
        <w:t>fair</w:t>
      </w:r>
      <w:r>
        <w:rPr>
          <w:color w:val="231F20"/>
          <w:spacing w:val="-6"/>
        </w:rPr>
        <w:t xml:space="preserve"> </w:t>
      </w:r>
      <w:r>
        <w:rPr>
          <w:color w:val="231F20"/>
        </w:rPr>
        <w:t>and</w:t>
      </w:r>
      <w:r>
        <w:rPr>
          <w:color w:val="231F20"/>
          <w:spacing w:val="-7"/>
        </w:rPr>
        <w:t xml:space="preserve"> </w:t>
      </w:r>
      <w:r>
        <w:rPr>
          <w:color w:val="231F20"/>
        </w:rPr>
        <w:t>respectful</w:t>
      </w:r>
      <w:r>
        <w:rPr>
          <w:color w:val="231F20"/>
          <w:spacing w:val="-7"/>
        </w:rPr>
        <w:t xml:space="preserve"> </w:t>
      </w:r>
      <w:r>
        <w:rPr>
          <w:color w:val="231F20"/>
        </w:rPr>
        <w:t>of</w:t>
      </w:r>
      <w:r>
        <w:rPr>
          <w:color w:val="231F20"/>
          <w:spacing w:val="-7"/>
        </w:rPr>
        <w:t xml:space="preserve"> </w:t>
      </w:r>
      <w:r>
        <w:rPr>
          <w:color w:val="231F20"/>
        </w:rPr>
        <w:t>both</w:t>
      </w:r>
      <w:r>
        <w:rPr>
          <w:color w:val="231F20"/>
          <w:spacing w:val="-7"/>
        </w:rPr>
        <w:t xml:space="preserve"> </w:t>
      </w:r>
      <w:r>
        <w:rPr>
          <w:color w:val="231F20"/>
        </w:rPr>
        <w:t>the</w:t>
      </w:r>
      <w:r>
        <w:rPr>
          <w:color w:val="231F20"/>
          <w:spacing w:val="-7"/>
        </w:rPr>
        <w:t xml:space="preserve"> </w:t>
      </w:r>
      <w:r>
        <w:rPr>
          <w:color w:val="231F20"/>
        </w:rPr>
        <w:t>law</w:t>
      </w:r>
      <w:r>
        <w:rPr>
          <w:color w:val="231F20"/>
          <w:spacing w:val="-7"/>
        </w:rPr>
        <w:t xml:space="preserve"> </w:t>
      </w:r>
      <w:r>
        <w:rPr>
          <w:color w:val="231F20"/>
        </w:rPr>
        <w:t>and</w:t>
      </w:r>
      <w:r>
        <w:rPr>
          <w:color w:val="231F20"/>
          <w:spacing w:val="-7"/>
        </w:rPr>
        <w:t xml:space="preserve"> </w:t>
      </w:r>
      <w:r>
        <w:rPr>
          <w:color w:val="231F20"/>
        </w:rPr>
        <w:t>human</w:t>
      </w:r>
      <w:r>
        <w:rPr>
          <w:color w:val="231F20"/>
          <w:spacing w:val="-7"/>
        </w:rPr>
        <w:t xml:space="preserve"> </w:t>
      </w:r>
      <w:r>
        <w:rPr>
          <w:color w:val="231F20"/>
          <w:spacing w:val="-2"/>
        </w:rPr>
        <w:t>rights.</w:t>
      </w:r>
    </w:p>
    <w:p w14:paraId="6C012628" w14:textId="77777777" w:rsidR="00345EE3" w:rsidRDefault="00345EE3" w:rsidP="00345EE3">
      <w:pPr>
        <w:pStyle w:val="BodyText"/>
        <w:spacing w:before="117" w:line="242" w:lineRule="auto"/>
        <w:ind w:right="921"/>
      </w:pPr>
      <w:r>
        <w:rPr>
          <w:b/>
          <w:color w:val="231F20"/>
        </w:rPr>
        <w:t>Safety</w:t>
      </w:r>
      <w:r>
        <w:rPr>
          <w:b/>
          <w:color w:val="231F20"/>
          <w:spacing w:val="-6"/>
        </w:rPr>
        <w:t xml:space="preserve"> </w:t>
      </w:r>
      <w:r>
        <w:rPr>
          <w:color w:val="231F20"/>
        </w:rPr>
        <w:t>Safety</w:t>
      </w:r>
      <w:r>
        <w:rPr>
          <w:color w:val="231F20"/>
          <w:spacing w:val="-6"/>
        </w:rPr>
        <w:t xml:space="preserve"> </w:t>
      </w:r>
      <w:r>
        <w:rPr>
          <w:color w:val="231F20"/>
        </w:rPr>
        <w:t>is</w:t>
      </w:r>
      <w:r>
        <w:rPr>
          <w:color w:val="231F20"/>
          <w:spacing w:val="-6"/>
        </w:rPr>
        <w:t xml:space="preserve"> </w:t>
      </w:r>
      <w:r>
        <w:rPr>
          <w:color w:val="231F20"/>
        </w:rPr>
        <w:t>at</w:t>
      </w:r>
      <w:r>
        <w:rPr>
          <w:color w:val="231F20"/>
          <w:spacing w:val="-6"/>
        </w:rPr>
        <w:t xml:space="preserve"> </w:t>
      </w:r>
      <w:r>
        <w:rPr>
          <w:color w:val="231F20"/>
        </w:rPr>
        <w:t>the</w:t>
      </w:r>
      <w:r>
        <w:rPr>
          <w:color w:val="231F20"/>
          <w:spacing w:val="-7"/>
        </w:rPr>
        <w:t xml:space="preserve"> </w:t>
      </w:r>
      <w:r>
        <w:rPr>
          <w:color w:val="231F20"/>
        </w:rPr>
        <w:t>heart</w:t>
      </w:r>
      <w:r>
        <w:rPr>
          <w:color w:val="231F20"/>
          <w:spacing w:val="-6"/>
        </w:rPr>
        <w:t xml:space="preserve"> </w:t>
      </w:r>
      <w:r>
        <w:rPr>
          <w:color w:val="231F20"/>
        </w:rPr>
        <w:t>of</w:t>
      </w:r>
      <w:r>
        <w:rPr>
          <w:color w:val="231F20"/>
          <w:spacing w:val="-6"/>
        </w:rPr>
        <w:t xml:space="preserve"> </w:t>
      </w:r>
      <w:r>
        <w:rPr>
          <w:color w:val="231F20"/>
        </w:rPr>
        <w:t>our</w:t>
      </w:r>
      <w:r>
        <w:rPr>
          <w:color w:val="231F20"/>
          <w:spacing w:val="-6"/>
        </w:rPr>
        <w:t xml:space="preserve"> </w:t>
      </w:r>
      <w:r>
        <w:rPr>
          <w:color w:val="231F20"/>
        </w:rPr>
        <w:t>purpose,</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fundamental</w:t>
      </w:r>
      <w:r>
        <w:rPr>
          <w:color w:val="231F20"/>
          <w:spacing w:val="-7"/>
        </w:rPr>
        <w:t xml:space="preserve"> </w:t>
      </w:r>
      <w:r>
        <w:rPr>
          <w:color w:val="231F20"/>
        </w:rPr>
        <w:t>to,</w:t>
      </w:r>
      <w:r>
        <w:rPr>
          <w:color w:val="231F20"/>
          <w:spacing w:val="-6"/>
        </w:rPr>
        <w:t xml:space="preserve"> </w:t>
      </w:r>
      <w:r>
        <w:rPr>
          <w:color w:val="231F20"/>
        </w:rPr>
        <w:t>and</w:t>
      </w:r>
      <w:r>
        <w:rPr>
          <w:color w:val="231F20"/>
          <w:spacing w:val="-7"/>
        </w:rPr>
        <w:t xml:space="preserve"> </w:t>
      </w:r>
      <w:r>
        <w:rPr>
          <w:color w:val="231F20"/>
        </w:rPr>
        <w:t>underpins,</w:t>
      </w:r>
      <w:r>
        <w:rPr>
          <w:color w:val="231F20"/>
          <w:spacing w:val="-6"/>
        </w:rPr>
        <w:t xml:space="preserve"> </w:t>
      </w:r>
      <w:r>
        <w:rPr>
          <w:color w:val="231F20"/>
        </w:rPr>
        <w:t>everything</w:t>
      </w:r>
      <w:r>
        <w:rPr>
          <w:color w:val="231F20"/>
          <w:spacing w:val="-7"/>
        </w:rPr>
        <w:t xml:space="preserve"> </w:t>
      </w:r>
      <w:r>
        <w:rPr>
          <w:color w:val="231F20"/>
        </w:rPr>
        <w:t xml:space="preserve">we </w:t>
      </w:r>
      <w:r>
        <w:rPr>
          <w:color w:val="231F20"/>
          <w:spacing w:val="-4"/>
        </w:rPr>
        <w:t>do.</w:t>
      </w:r>
    </w:p>
    <w:p w14:paraId="0321ACAB" w14:textId="77777777" w:rsidR="00345EE3" w:rsidRDefault="00345EE3" w:rsidP="00345EE3">
      <w:pPr>
        <w:pStyle w:val="BodyText"/>
        <w:spacing w:before="116"/>
      </w:pPr>
      <w:r>
        <w:rPr>
          <w:b/>
          <w:color w:val="231F20"/>
        </w:rPr>
        <w:t>Flexibility</w:t>
      </w:r>
      <w:r>
        <w:rPr>
          <w:b/>
          <w:color w:val="231F20"/>
          <w:spacing w:val="-11"/>
        </w:rPr>
        <w:t xml:space="preserve"> </w:t>
      </w:r>
      <w:r>
        <w:rPr>
          <w:color w:val="231F20"/>
        </w:rPr>
        <w:t>Providing</w:t>
      </w:r>
      <w:r>
        <w:rPr>
          <w:color w:val="231F20"/>
          <w:spacing w:val="-8"/>
        </w:rPr>
        <w:t xml:space="preserve"> </w:t>
      </w:r>
      <w:r>
        <w:rPr>
          <w:color w:val="231F20"/>
        </w:rPr>
        <w:t>a</w:t>
      </w:r>
      <w:r>
        <w:rPr>
          <w:color w:val="231F20"/>
          <w:spacing w:val="-9"/>
        </w:rPr>
        <w:t xml:space="preserve"> </w:t>
      </w:r>
      <w:r>
        <w:rPr>
          <w:color w:val="231F20"/>
        </w:rPr>
        <w:t>service</w:t>
      </w:r>
      <w:r>
        <w:rPr>
          <w:color w:val="231F20"/>
          <w:spacing w:val="-8"/>
        </w:rPr>
        <w:t xml:space="preserve"> </w:t>
      </w:r>
      <w:r>
        <w:rPr>
          <w:color w:val="231F20"/>
        </w:rPr>
        <w:t>that</w:t>
      </w:r>
      <w:r>
        <w:rPr>
          <w:color w:val="231F20"/>
          <w:spacing w:val="-8"/>
        </w:rPr>
        <w:t xml:space="preserve"> </w:t>
      </w:r>
      <w:r>
        <w:rPr>
          <w:color w:val="231F20"/>
        </w:rPr>
        <w:t>is</w:t>
      </w:r>
      <w:r>
        <w:rPr>
          <w:color w:val="231F20"/>
          <w:spacing w:val="-7"/>
        </w:rPr>
        <w:t xml:space="preserve"> </w:t>
      </w:r>
      <w:r>
        <w:rPr>
          <w:color w:val="231F20"/>
        </w:rPr>
        <w:t>agile</w:t>
      </w:r>
      <w:r>
        <w:rPr>
          <w:color w:val="231F20"/>
          <w:spacing w:val="-9"/>
        </w:rPr>
        <w:t xml:space="preserve"> </w:t>
      </w:r>
      <w:r>
        <w:rPr>
          <w:color w:val="231F20"/>
        </w:rPr>
        <w:t>and</w:t>
      </w:r>
      <w:r>
        <w:rPr>
          <w:color w:val="231F20"/>
          <w:spacing w:val="-8"/>
        </w:rPr>
        <w:t xml:space="preserve"> </w:t>
      </w:r>
      <w:r>
        <w:rPr>
          <w:color w:val="231F20"/>
        </w:rPr>
        <w:t>evolves</w:t>
      </w:r>
      <w:r>
        <w:rPr>
          <w:color w:val="231F20"/>
          <w:spacing w:val="-8"/>
        </w:rPr>
        <w:t xml:space="preserve"> </w:t>
      </w:r>
      <w:r>
        <w:rPr>
          <w:color w:val="231F20"/>
        </w:rPr>
        <w:t>with</w:t>
      </w:r>
      <w:r>
        <w:rPr>
          <w:color w:val="231F20"/>
          <w:spacing w:val="-8"/>
        </w:rPr>
        <w:t xml:space="preserve"> </w:t>
      </w:r>
      <w:r>
        <w:rPr>
          <w:color w:val="231F20"/>
        </w:rPr>
        <w:t>the</w:t>
      </w:r>
      <w:r>
        <w:rPr>
          <w:color w:val="231F20"/>
          <w:spacing w:val="-9"/>
        </w:rPr>
        <w:t xml:space="preserve"> </w:t>
      </w:r>
      <w:r>
        <w:rPr>
          <w:color w:val="231F20"/>
        </w:rPr>
        <w:t>community’s</w:t>
      </w:r>
      <w:r>
        <w:rPr>
          <w:color w:val="231F20"/>
          <w:spacing w:val="-7"/>
        </w:rPr>
        <w:t xml:space="preserve"> </w:t>
      </w:r>
      <w:r>
        <w:rPr>
          <w:color w:val="231F20"/>
          <w:spacing w:val="-2"/>
        </w:rPr>
        <w:t>needs.</w:t>
      </w:r>
    </w:p>
    <w:p w14:paraId="3DE9D165" w14:textId="77777777" w:rsidR="00345EE3" w:rsidRPr="00996959" w:rsidRDefault="00345EE3" w:rsidP="00345EE3">
      <w:pPr>
        <w:pStyle w:val="Heading2"/>
        <w:spacing w:before="216"/>
        <w:rPr>
          <w:sz w:val="32"/>
          <w:szCs w:val="32"/>
        </w:rPr>
      </w:pPr>
      <w:r w:rsidRPr="00996959">
        <w:rPr>
          <w:color w:val="00529F"/>
          <w:sz w:val="32"/>
          <w:szCs w:val="32"/>
        </w:rPr>
        <w:t>Our</w:t>
      </w:r>
      <w:r w:rsidRPr="00996959">
        <w:rPr>
          <w:color w:val="00529F"/>
          <w:spacing w:val="-4"/>
          <w:sz w:val="32"/>
          <w:szCs w:val="32"/>
        </w:rPr>
        <w:t xml:space="preserve"> </w:t>
      </w:r>
      <w:r w:rsidRPr="00996959">
        <w:rPr>
          <w:color w:val="00529F"/>
          <w:spacing w:val="-2"/>
          <w:sz w:val="32"/>
          <w:szCs w:val="32"/>
        </w:rPr>
        <w:t>Services</w:t>
      </w:r>
    </w:p>
    <w:p w14:paraId="4E12EF27" w14:textId="77777777" w:rsidR="00345EE3" w:rsidRDefault="00345EE3" w:rsidP="00345EE3">
      <w:pPr>
        <w:pStyle w:val="BodyText"/>
        <w:spacing w:before="72"/>
      </w:pPr>
      <w:r>
        <w:rPr>
          <w:color w:val="231F20"/>
        </w:rPr>
        <w:t>Our</w:t>
      </w:r>
      <w:r>
        <w:rPr>
          <w:color w:val="231F20"/>
          <w:spacing w:val="-1"/>
        </w:rPr>
        <w:t xml:space="preserve"> </w:t>
      </w:r>
      <w:r>
        <w:rPr>
          <w:color w:val="231F20"/>
        </w:rPr>
        <w:t xml:space="preserve">services </w:t>
      </w:r>
      <w:r>
        <w:rPr>
          <w:color w:val="231F20"/>
          <w:spacing w:val="-2"/>
        </w:rPr>
        <w:t>include:</w:t>
      </w:r>
    </w:p>
    <w:p w14:paraId="476D8562" w14:textId="77777777" w:rsidR="00345EE3" w:rsidRDefault="00345EE3">
      <w:pPr>
        <w:pStyle w:val="ListParagraph"/>
        <w:numPr>
          <w:ilvl w:val="1"/>
          <w:numId w:val="93"/>
        </w:numPr>
        <w:tabs>
          <w:tab w:val="left" w:pos="393"/>
          <w:tab w:val="left" w:pos="394"/>
        </w:tabs>
        <w:spacing w:line="242" w:lineRule="auto"/>
        <w:ind w:right="1000"/>
        <w:rPr>
          <w:sz w:val="24"/>
        </w:rPr>
      </w:pPr>
      <w:r>
        <w:rPr>
          <w:color w:val="231F20"/>
          <w:sz w:val="24"/>
        </w:rPr>
        <w:t>Responding</w:t>
      </w:r>
      <w:r>
        <w:rPr>
          <w:color w:val="231F20"/>
          <w:spacing w:val="-10"/>
          <w:sz w:val="24"/>
        </w:rPr>
        <w:t xml:space="preserve"> </w:t>
      </w:r>
      <w:r>
        <w:rPr>
          <w:color w:val="231F20"/>
          <w:sz w:val="24"/>
        </w:rPr>
        <w:t>to</w:t>
      </w:r>
      <w:r>
        <w:rPr>
          <w:color w:val="231F20"/>
          <w:spacing w:val="-10"/>
          <w:sz w:val="24"/>
        </w:rPr>
        <w:t xml:space="preserve"> </w:t>
      </w:r>
      <w:r>
        <w:rPr>
          <w:color w:val="231F20"/>
          <w:sz w:val="24"/>
        </w:rPr>
        <w:t>calls</w:t>
      </w:r>
      <w:r>
        <w:rPr>
          <w:color w:val="231F20"/>
          <w:spacing w:val="-9"/>
          <w:sz w:val="24"/>
        </w:rPr>
        <w:t xml:space="preserve"> </w:t>
      </w:r>
      <w:r>
        <w:rPr>
          <w:color w:val="231F20"/>
          <w:sz w:val="24"/>
        </w:rPr>
        <w:t>for</w:t>
      </w:r>
      <w:r>
        <w:rPr>
          <w:color w:val="231F20"/>
          <w:spacing w:val="-9"/>
          <w:sz w:val="24"/>
        </w:rPr>
        <w:t xml:space="preserve"> </w:t>
      </w:r>
      <w:r>
        <w:rPr>
          <w:color w:val="231F20"/>
          <w:sz w:val="24"/>
        </w:rPr>
        <w:t>assistance</w:t>
      </w:r>
      <w:r>
        <w:rPr>
          <w:color w:val="231F20"/>
          <w:spacing w:val="-10"/>
          <w:sz w:val="24"/>
        </w:rPr>
        <w:t xml:space="preserve"> </w:t>
      </w:r>
      <w:r>
        <w:rPr>
          <w:color w:val="231F20"/>
          <w:sz w:val="24"/>
        </w:rPr>
        <w:t>in</w:t>
      </w:r>
      <w:r>
        <w:rPr>
          <w:color w:val="231F20"/>
          <w:spacing w:val="-10"/>
          <w:sz w:val="24"/>
        </w:rPr>
        <w:t xml:space="preserve"> </w:t>
      </w:r>
      <w:r>
        <w:rPr>
          <w:color w:val="231F20"/>
          <w:sz w:val="24"/>
        </w:rPr>
        <w:t>matters</w:t>
      </w:r>
      <w:r>
        <w:rPr>
          <w:color w:val="231F20"/>
          <w:spacing w:val="-9"/>
          <w:sz w:val="24"/>
        </w:rPr>
        <w:t xml:space="preserve"> </w:t>
      </w:r>
      <w:r>
        <w:rPr>
          <w:color w:val="231F20"/>
          <w:sz w:val="24"/>
        </w:rPr>
        <w:t>of</w:t>
      </w:r>
      <w:r>
        <w:rPr>
          <w:color w:val="231F20"/>
          <w:spacing w:val="-9"/>
          <w:sz w:val="24"/>
        </w:rPr>
        <w:t xml:space="preserve"> </w:t>
      </w:r>
      <w:r>
        <w:rPr>
          <w:color w:val="231F20"/>
          <w:sz w:val="24"/>
        </w:rPr>
        <w:t>personal</w:t>
      </w:r>
      <w:r>
        <w:rPr>
          <w:color w:val="231F20"/>
          <w:spacing w:val="-10"/>
          <w:sz w:val="24"/>
        </w:rPr>
        <w:t xml:space="preserve"> </w:t>
      </w:r>
      <w:r>
        <w:rPr>
          <w:color w:val="231F20"/>
          <w:sz w:val="24"/>
        </w:rPr>
        <w:t>and</w:t>
      </w:r>
      <w:r>
        <w:rPr>
          <w:color w:val="231F20"/>
          <w:spacing w:val="-10"/>
          <w:sz w:val="24"/>
        </w:rPr>
        <w:t xml:space="preserve"> </w:t>
      </w:r>
      <w:r>
        <w:rPr>
          <w:color w:val="231F20"/>
          <w:sz w:val="24"/>
        </w:rPr>
        <w:t>public</w:t>
      </w:r>
      <w:r>
        <w:rPr>
          <w:color w:val="231F20"/>
          <w:spacing w:val="-9"/>
          <w:sz w:val="24"/>
        </w:rPr>
        <w:t xml:space="preserve"> </w:t>
      </w:r>
      <w:r>
        <w:rPr>
          <w:color w:val="231F20"/>
          <w:sz w:val="24"/>
        </w:rPr>
        <w:t>safety,</w:t>
      </w:r>
      <w:r>
        <w:rPr>
          <w:color w:val="231F20"/>
          <w:spacing w:val="-9"/>
          <w:sz w:val="24"/>
        </w:rPr>
        <w:t xml:space="preserve"> </w:t>
      </w:r>
      <w:r>
        <w:rPr>
          <w:color w:val="231F20"/>
          <w:sz w:val="24"/>
        </w:rPr>
        <w:t>emergencies</w:t>
      </w:r>
      <w:r>
        <w:rPr>
          <w:color w:val="231F20"/>
          <w:spacing w:val="-9"/>
          <w:sz w:val="24"/>
        </w:rPr>
        <w:t xml:space="preserve"> </w:t>
      </w:r>
      <w:r>
        <w:rPr>
          <w:color w:val="231F20"/>
          <w:sz w:val="24"/>
        </w:rPr>
        <w:t>and serious incidents.</w:t>
      </w:r>
    </w:p>
    <w:p w14:paraId="4FA2CEC0" w14:textId="77777777" w:rsidR="00345EE3" w:rsidRDefault="00345EE3">
      <w:pPr>
        <w:pStyle w:val="ListParagraph"/>
        <w:numPr>
          <w:ilvl w:val="1"/>
          <w:numId w:val="93"/>
        </w:numPr>
        <w:tabs>
          <w:tab w:val="left" w:pos="393"/>
          <w:tab w:val="left" w:pos="394"/>
        </w:tabs>
        <w:spacing w:before="31"/>
        <w:rPr>
          <w:sz w:val="24"/>
        </w:rPr>
      </w:pPr>
      <w:r>
        <w:rPr>
          <w:color w:val="231F20"/>
          <w:sz w:val="24"/>
        </w:rPr>
        <w:t>Preventing</w:t>
      </w:r>
      <w:r>
        <w:rPr>
          <w:color w:val="231F20"/>
          <w:spacing w:val="-12"/>
          <w:sz w:val="24"/>
        </w:rPr>
        <w:t xml:space="preserve"> </w:t>
      </w:r>
      <w:r>
        <w:rPr>
          <w:color w:val="231F20"/>
          <w:sz w:val="24"/>
        </w:rPr>
        <w:t>crime</w:t>
      </w:r>
      <w:r>
        <w:rPr>
          <w:color w:val="231F20"/>
          <w:spacing w:val="-10"/>
          <w:sz w:val="24"/>
        </w:rPr>
        <w:t xml:space="preserve"> </w:t>
      </w:r>
      <w:r>
        <w:rPr>
          <w:color w:val="231F20"/>
          <w:sz w:val="24"/>
        </w:rPr>
        <w:t>through</w:t>
      </w:r>
      <w:r>
        <w:rPr>
          <w:color w:val="231F20"/>
          <w:spacing w:val="-10"/>
          <w:sz w:val="24"/>
        </w:rPr>
        <w:t xml:space="preserve"> </w:t>
      </w:r>
      <w:r>
        <w:rPr>
          <w:color w:val="231F20"/>
          <w:sz w:val="24"/>
        </w:rPr>
        <w:t>a</w:t>
      </w:r>
      <w:r>
        <w:rPr>
          <w:color w:val="231F20"/>
          <w:spacing w:val="-9"/>
          <w:sz w:val="24"/>
        </w:rPr>
        <w:t xml:space="preserve"> </w:t>
      </w:r>
      <w:r>
        <w:rPr>
          <w:color w:val="231F20"/>
          <w:sz w:val="24"/>
        </w:rPr>
        <w:t>range</w:t>
      </w:r>
      <w:r>
        <w:rPr>
          <w:color w:val="231F20"/>
          <w:spacing w:val="-10"/>
          <w:sz w:val="24"/>
        </w:rPr>
        <w:t xml:space="preserve"> </w:t>
      </w:r>
      <w:r>
        <w:rPr>
          <w:color w:val="231F20"/>
          <w:sz w:val="24"/>
        </w:rPr>
        <w:t>of</w:t>
      </w:r>
      <w:r>
        <w:rPr>
          <w:color w:val="231F20"/>
          <w:spacing w:val="-9"/>
          <w:sz w:val="24"/>
        </w:rPr>
        <w:t xml:space="preserve"> </w:t>
      </w:r>
      <w:r>
        <w:rPr>
          <w:color w:val="231F20"/>
          <w:sz w:val="24"/>
        </w:rPr>
        <w:t>proactive</w:t>
      </w:r>
      <w:r>
        <w:rPr>
          <w:color w:val="231F20"/>
          <w:spacing w:val="-10"/>
          <w:sz w:val="24"/>
        </w:rPr>
        <w:t xml:space="preserve"> </w:t>
      </w:r>
      <w:r>
        <w:rPr>
          <w:color w:val="231F20"/>
          <w:sz w:val="24"/>
        </w:rPr>
        <w:t>community</w:t>
      </w:r>
      <w:r>
        <w:rPr>
          <w:color w:val="231F20"/>
          <w:spacing w:val="-9"/>
          <w:sz w:val="24"/>
        </w:rPr>
        <w:t xml:space="preserve"> </w:t>
      </w:r>
      <w:r>
        <w:rPr>
          <w:color w:val="231F20"/>
          <w:sz w:val="24"/>
        </w:rPr>
        <w:t>safety</w:t>
      </w:r>
      <w:r>
        <w:rPr>
          <w:color w:val="231F20"/>
          <w:spacing w:val="-8"/>
          <w:sz w:val="24"/>
        </w:rPr>
        <w:t xml:space="preserve"> </w:t>
      </w:r>
      <w:r>
        <w:rPr>
          <w:color w:val="231F20"/>
          <w:spacing w:val="-2"/>
          <w:sz w:val="24"/>
        </w:rPr>
        <w:t>programs.</w:t>
      </w:r>
    </w:p>
    <w:p w14:paraId="33E286E6" w14:textId="77777777" w:rsidR="00345EE3" w:rsidRDefault="00345EE3">
      <w:pPr>
        <w:pStyle w:val="ListParagraph"/>
        <w:numPr>
          <w:ilvl w:val="1"/>
          <w:numId w:val="93"/>
        </w:numPr>
        <w:tabs>
          <w:tab w:val="left" w:pos="393"/>
          <w:tab w:val="left" w:pos="394"/>
        </w:tabs>
        <w:spacing w:line="242" w:lineRule="auto"/>
        <w:ind w:right="1069"/>
        <w:rPr>
          <w:sz w:val="24"/>
        </w:rPr>
      </w:pPr>
      <w:r>
        <w:rPr>
          <w:color w:val="231F20"/>
          <w:sz w:val="24"/>
        </w:rPr>
        <w:t>Detecting</w:t>
      </w:r>
      <w:r>
        <w:rPr>
          <w:color w:val="231F20"/>
          <w:spacing w:val="-11"/>
          <w:sz w:val="24"/>
        </w:rPr>
        <w:t xml:space="preserve"> </w:t>
      </w:r>
      <w:r>
        <w:rPr>
          <w:color w:val="231F20"/>
          <w:sz w:val="24"/>
        </w:rPr>
        <w:t>and</w:t>
      </w:r>
      <w:r>
        <w:rPr>
          <w:color w:val="231F20"/>
          <w:spacing w:val="-11"/>
          <w:sz w:val="24"/>
        </w:rPr>
        <w:t xml:space="preserve"> </w:t>
      </w:r>
      <w:r>
        <w:rPr>
          <w:color w:val="231F20"/>
          <w:sz w:val="24"/>
        </w:rPr>
        <w:t>investigating</w:t>
      </w:r>
      <w:r>
        <w:rPr>
          <w:color w:val="231F20"/>
          <w:spacing w:val="-11"/>
          <w:sz w:val="24"/>
        </w:rPr>
        <w:t xml:space="preserve"> </w:t>
      </w:r>
      <w:r>
        <w:rPr>
          <w:color w:val="231F20"/>
          <w:sz w:val="24"/>
        </w:rPr>
        <w:t>offences</w:t>
      </w:r>
      <w:r>
        <w:rPr>
          <w:color w:val="231F20"/>
          <w:spacing w:val="-10"/>
          <w:sz w:val="24"/>
        </w:rPr>
        <w:t xml:space="preserve"> </w:t>
      </w:r>
      <w:r>
        <w:rPr>
          <w:color w:val="231F20"/>
          <w:sz w:val="24"/>
        </w:rPr>
        <w:t>and</w:t>
      </w:r>
      <w:r>
        <w:rPr>
          <w:color w:val="231F20"/>
          <w:spacing w:val="-11"/>
          <w:sz w:val="24"/>
        </w:rPr>
        <w:t xml:space="preserve"> </w:t>
      </w:r>
      <w:r>
        <w:rPr>
          <w:color w:val="231F20"/>
          <w:sz w:val="24"/>
        </w:rPr>
        <w:t>bringing</w:t>
      </w:r>
      <w:r>
        <w:rPr>
          <w:color w:val="231F20"/>
          <w:spacing w:val="-11"/>
          <w:sz w:val="24"/>
        </w:rPr>
        <w:t xml:space="preserve"> </w:t>
      </w:r>
      <w:r>
        <w:rPr>
          <w:color w:val="231F20"/>
          <w:sz w:val="24"/>
        </w:rPr>
        <w:t>to</w:t>
      </w:r>
      <w:r>
        <w:rPr>
          <w:color w:val="231F20"/>
          <w:spacing w:val="-11"/>
          <w:sz w:val="24"/>
        </w:rPr>
        <w:t xml:space="preserve"> </w:t>
      </w:r>
      <w:r>
        <w:rPr>
          <w:color w:val="231F20"/>
          <w:sz w:val="24"/>
        </w:rPr>
        <w:t>justice</w:t>
      </w:r>
      <w:r>
        <w:rPr>
          <w:color w:val="231F20"/>
          <w:spacing w:val="-11"/>
          <w:sz w:val="24"/>
        </w:rPr>
        <w:t xml:space="preserve"> </w:t>
      </w:r>
      <w:r>
        <w:rPr>
          <w:color w:val="231F20"/>
          <w:sz w:val="24"/>
        </w:rPr>
        <w:t>those</w:t>
      </w:r>
      <w:r>
        <w:rPr>
          <w:color w:val="231F20"/>
          <w:spacing w:val="-11"/>
          <w:sz w:val="24"/>
        </w:rPr>
        <w:t xml:space="preserve"> </w:t>
      </w:r>
      <w:r>
        <w:rPr>
          <w:color w:val="231F20"/>
          <w:sz w:val="24"/>
        </w:rPr>
        <w:t>responsible</w:t>
      </w:r>
      <w:r>
        <w:rPr>
          <w:color w:val="231F20"/>
          <w:spacing w:val="-11"/>
          <w:sz w:val="24"/>
        </w:rPr>
        <w:t xml:space="preserve"> </w:t>
      </w:r>
      <w:r>
        <w:rPr>
          <w:color w:val="231F20"/>
          <w:sz w:val="24"/>
        </w:rPr>
        <w:t>for</w:t>
      </w:r>
      <w:r>
        <w:rPr>
          <w:color w:val="231F20"/>
          <w:spacing w:val="-10"/>
          <w:sz w:val="24"/>
        </w:rPr>
        <w:t xml:space="preserve"> </w:t>
      </w:r>
      <w:r>
        <w:rPr>
          <w:color w:val="231F20"/>
          <w:sz w:val="24"/>
        </w:rPr>
        <w:t xml:space="preserve">committing </w:t>
      </w:r>
      <w:r>
        <w:rPr>
          <w:color w:val="231F20"/>
          <w:spacing w:val="-4"/>
          <w:sz w:val="24"/>
        </w:rPr>
        <w:t>them.</w:t>
      </w:r>
    </w:p>
    <w:p w14:paraId="145DF5A8" w14:textId="77777777" w:rsidR="00345EE3" w:rsidRDefault="00345EE3">
      <w:pPr>
        <w:pStyle w:val="ListParagraph"/>
        <w:numPr>
          <w:ilvl w:val="1"/>
          <w:numId w:val="93"/>
        </w:numPr>
        <w:tabs>
          <w:tab w:val="left" w:pos="393"/>
          <w:tab w:val="left" w:pos="394"/>
        </w:tabs>
        <w:spacing w:before="31"/>
        <w:rPr>
          <w:sz w:val="24"/>
        </w:rPr>
      </w:pPr>
      <w:r>
        <w:rPr>
          <w:color w:val="231F20"/>
          <w:sz w:val="24"/>
        </w:rPr>
        <w:t>Providing</w:t>
      </w:r>
      <w:r>
        <w:rPr>
          <w:color w:val="231F20"/>
          <w:spacing w:val="-11"/>
          <w:sz w:val="24"/>
        </w:rPr>
        <w:t xml:space="preserve"> </w:t>
      </w:r>
      <w:r>
        <w:rPr>
          <w:color w:val="231F20"/>
          <w:sz w:val="24"/>
        </w:rPr>
        <w:t>a</w:t>
      </w:r>
      <w:r>
        <w:rPr>
          <w:color w:val="231F20"/>
          <w:spacing w:val="-8"/>
          <w:sz w:val="24"/>
        </w:rPr>
        <w:t xml:space="preserve"> </w:t>
      </w:r>
      <w:r>
        <w:rPr>
          <w:color w:val="231F20"/>
          <w:sz w:val="24"/>
        </w:rPr>
        <w:t>visible</w:t>
      </w:r>
      <w:r>
        <w:rPr>
          <w:color w:val="231F20"/>
          <w:spacing w:val="-8"/>
          <w:sz w:val="24"/>
        </w:rPr>
        <w:t xml:space="preserve"> </w:t>
      </w:r>
      <w:r>
        <w:rPr>
          <w:color w:val="231F20"/>
          <w:sz w:val="24"/>
        </w:rPr>
        <w:t>presence</w:t>
      </w:r>
      <w:r>
        <w:rPr>
          <w:color w:val="231F20"/>
          <w:spacing w:val="-8"/>
          <w:sz w:val="24"/>
        </w:rPr>
        <w:t xml:space="preserve"> </w:t>
      </w:r>
      <w:r>
        <w:rPr>
          <w:color w:val="231F20"/>
          <w:sz w:val="24"/>
        </w:rPr>
        <w:t>within</w:t>
      </w:r>
      <w:r>
        <w:rPr>
          <w:color w:val="231F20"/>
          <w:spacing w:val="-8"/>
          <w:sz w:val="24"/>
        </w:rPr>
        <w:t xml:space="preserve"> </w:t>
      </w:r>
      <w:r>
        <w:rPr>
          <w:color w:val="231F20"/>
          <w:sz w:val="24"/>
        </w:rPr>
        <w:t>the</w:t>
      </w:r>
      <w:r>
        <w:rPr>
          <w:color w:val="231F20"/>
          <w:spacing w:val="-8"/>
          <w:sz w:val="24"/>
        </w:rPr>
        <w:t xml:space="preserve"> </w:t>
      </w:r>
      <w:r>
        <w:rPr>
          <w:color w:val="231F20"/>
          <w:sz w:val="24"/>
        </w:rPr>
        <w:t>community</w:t>
      </w:r>
      <w:r>
        <w:rPr>
          <w:color w:val="231F20"/>
          <w:spacing w:val="-8"/>
          <w:sz w:val="24"/>
        </w:rPr>
        <w:t xml:space="preserve"> </w:t>
      </w:r>
      <w:r>
        <w:rPr>
          <w:color w:val="231F20"/>
          <w:sz w:val="24"/>
        </w:rPr>
        <w:t>and</w:t>
      </w:r>
      <w:r>
        <w:rPr>
          <w:color w:val="231F20"/>
          <w:spacing w:val="-8"/>
          <w:sz w:val="24"/>
        </w:rPr>
        <w:t xml:space="preserve"> </w:t>
      </w:r>
      <w:r>
        <w:rPr>
          <w:color w:val="231F20"/>
          <w:sz w:val="24"/>
        </w:rPr>
        <w:t>at</w:t>
      </w:r>
      <w:r>
        <w:rPr>
          <w:color w:val="231F20"/>
          <w:spacing w:val="-7"/>
          <w:sz w:val="24"/>
        </w:rPr>
        <w:t xml:space="preserve"> </w:t>
      </w:r>
      <w:r>
        <w:rPr>
          <w:color w:val="231F20"/>
          <w:sz w:val="24"/>
        </w:rPr>
        <w:t>major</w:t>
      </w:r>
      <w:r>
        <w:rPr>
          <w:color w:val="231F20"/>
          <w:spacing w:val="-7"/>
          <w:sz w:val="24"/>
        </w:rPr>
        <w:t xml:space="preserve"> </w:t>
      </w:r>
      <w:r>
        <w:rPr>
          <w:color w:val="231F20"/>
          <w:spacing w:val="-2"/>
          <w:sz w:val="24"/>
        </w:rPr>
        <w:t>events.</w:t>
      </w:r>
    </w:p>
    <w:p w14:paraId="73A5E82C" w14:textId="77777777" w:rsidR="00345EE3" w:rsidRDefault="00345EE3">
      <w:pPr>
        <w:pStyle w:val="ListParagraph"/>
        <w:numPr>
          <w:ilvl w:val="1"/>
          <w:numId w:val="93"/>
        </w:numPr>
        <w:tabs>
          <w:tab w:val="left" w:pos="393"/>
          <w:tab w:val="left" w:pos="394"/>
        </w:tabs>
        <w:spacing w:before="33" w:line="242" w:lineRule="auto"/>
        <w:ind w:right="1359"/>
        <w:rPr>
          <w:sz w:val="24"/>
        </w:rPr>
      </w:pPr>
      <w:r>
        <w:rPr>
          <w:color w:val="231F20"/>
          <w:sz w:val="24"/>
        </w:rPr>
        <w:t>Supporting</w:t>
      </w:r>
      <w:r>
        <w:rPr>
          <w:color w:val="231F20"/>
          <w:spacing w:val="-8"/>
          <w:sz w:val="24"/>
        </w:rPr>
        <w:t xml:space="preserve"> </w:t>
      </w:r>
      <w:r>
        <w:rPr>
          <w:color w:val="231F20"/>
          <w:sz w:val="24"/>
        </w:rPr>
        <w:t>the</w:t>
      </w:r>
      <w:r>
        <w:rPr>
          <w:color w:val="231F20"/>
          <w:spacing w:val="-8"/>
          <w:sz w:val="24"/>
        </w:rPr>
        <w:t xml:space="preserve"> </w:t>
      </w:r>
      <w:r>
        <w:rPr>
          <w:color w:val="231F20"/>
          <w:sz w:val="24"/>
        </w:rPr>
        <w:t>judicial</w:t>
      </w:r>
      <w:r>
        <w:rPr>
          <w:color w:val="231F20"/>
          <w:spacing w:val="-8"/>
          <w:sz w:val="24"/>
        </w:rPr>
        <w:t xml:space="preserve"> </w:t>
      </w:r>
      <w:r>
        <w:rPr>
          <w:color w:val="231F20"/>
          <w:sz w:val="24"/>
        </w:rPr>
        <w:t>process</w:t>
      </w:r>
      <w:r>
        <w:rPr>
          <w:color w:val="231F20"/>
          <w:spacing w:val="-7"/>
          <w:sz w:val="24"/>
        </w:rPr>
        <w:t xml:space="preserve"> </w:t>
      </w:r>
      <w:r>
        <w:rPr>
          <w:color w:val="231F20"/>
          <w:sz w:val="24"/>
        </w:rPr>
        <w:t>to</w:t>
      </w:r>
      <w:r>
        <w:rPr>
          <w:color w:val="231F20"/>
          <w:spacing w:val="-8"/>
          <w:sz w:val="24"/>
        </w:rPr>
        <w:t xml:space="preserve"> </w:t>
      </w:r>
      <w:r>
        <w:rPr>
          <w:color w:val="231F20"/>
          <w:sz w:val="24"/>
        </w:rPr>
        <w:t>achieve</w:t>
      </w:r>
      <w:r>
        <w:rPr>
          <w:color w:val="231F20"/>
          <w:spacing w:val="-8"/>
          <w:sz w:val="24"/>
        </w:rPr>
        <w:t xml:space="preserve"> </w:t>
      </w:r>
      <w:r>
        <w:rPr>
          <w:color w:val="231F20"/>
          <w:sz w:val="24"/>
        </w:rPr>
        <w:t>efficient</w:t>
      </w:r>
      <w:r>
        <w:rPr>
          <w:color w:val="231F20"/>
          <w:spacing w:val="-7"/>
          <w:sz w:val="24"/>
        </w:rPr>
        <w:t xml:space="preserve"> </w:t>
      </w:r>
      <w:r>
        <w:rPr>
          <w:color w:val="231F20"/>
          <w:sz w:val="24"/>
        </w:rPr>
        <w:t>and</w:t>
      </w:r>
      <w:r>
        <w:rPr>
          <w:color w:val="231F20"/>
          <w:spacing w:val="-8"/>
          <w:sz w:val="24"/>
        </w:rPr>
        <w:t xml:space="preserve"> </w:t>
      </w:r>
      <w:r>
        <w:rPr>
          <w:color w:val="231F20"/>
          <w:sz w:val="24"/>
        </w:rPr>
        <w:t>effective</w:t>
      </w:r>
      <w:r>
        <w:rPr>
          <w:color w:val="231F20"/>
          <w:spacing w:val="-8"/>
          <w:sz w:val="24"/>
        </w:rPr>
        <w:t xml:space="preserve"> </w:t>
      </w:r>
      <w:r>
        <w:rPr>
          <w:color w:val="231F20"/>
          <w:sz w:val="24"/>
        </w:rPr>
        <w:t>court</w:t>
      </w:r>
      <w:r>
        <w:rPr>
          <w:color w:val="231F20"/>
          <w:spacing w:val="-7"/>
          <w:sz w:val="24"/>
        </w:rPr>
        <w:t xml:space="preserve"> </w:t>
      </w:r>
      <w:r>
        <w:rPr>
          <w:color w:val="231F20"/>
          <w:sz w:val="24"/>
        </w:rPr>
        <w:t>case</w:t>
      </w:r>
      <w:r>
        <w:rPr>
          <w:color w:val="231F20"/>
          <w:spacing w:val="-8"/>
          <w:sz w:val="24"/>
        </w:rPr>
        <w:t xml:space="preserve"> </w:t>
      </w:r>
      <w:r>
        <w:rPr>
          <w:color w:val="231F20"/>
          <w:sz w:val="24"/>
        </w:rPr>
        <w:t>management, providing safe custody for alleged offenders, supporting victims and ensuring fair and equitable treatment of victims and offenders.</w:t>
      </w:r>
    </w:p>
    <w:p w14:paraId="3EC8DE64" w14:textId="77777777" w:rsidR="00345EE3" w:rsidRDefault="00345EE3">
      <w:pPr>
        <w:pStyle w:val="ListParagraph"/>
        <w:numPr>
          <w:ilvl w:val="1"/>
          <w:numId w:val="93"/>
        </w:numPr>
        <w:tabs>
          <w:tab w:val="left" w:pos="393"/>
          <w:tab w:val="left" w:pos="394"/>
        </w:tabs>
        <w:rPr>
          <w:sz w:val="24"/>
        </w:rPr>
      </w:pPr>
      <w:r>
        <w:rPr>
          <w:color w:val="231F20"/>
          <w:sz w:val="24"/>
        </w:rPr>
        <w:t>Prosecutions</w:t>
      </w:r>
      <w:r>
        <w:rPr>
          <w:color w:val="231F20"/>
          <w:spacing w:val="-11"/>
          <w:sz w:val="24"/>
        </w:rPr>
        <w:t xml:space="preserve"> </w:t>
      </w:r>
      <w:r>
        <w:rPr>
          <w:color w:val="231F20"/>
          <w:sz w:val="24"/>
        </w:rPr>
        <w:t>in</w:t>
      </w:r>
      <w:r>
        <w:rPr>
          <w:color w:val="231F20"/>
          <w:spacing w:val="-8"/>
          <w:sz w:val="24"/>
        </w:rPr>
        <w:t xml:space="preserve"> </w:t>
      </w:r>
      <w:r>
        <w:rPr>
          <w:color w:val="231F20"/>
          <w:sz w:val="24"/>
        </w:rPr>
        <w:t>the</w:t>
      </w:r>
      <w:r>
        <w:rPr>
          <w:color w:val="231F20"/>
          <w:spacing w:val="-9"/>
          <w:sz w:val="24"/>
        </w:rPr>
        <w:t xml:space="preserve"> </w:t>
      </w:r>
      <w:r>
        <w:rPr>
          <w:color w:val="231F20"/>
          <w:sz w:val="24"/>
        </w:rPr>
        <w:t>Children’s</w:t>
      </w:r>
      <w:r>
        <w:rPr>
          <w:color w:val="231F20"/>
          <w:spacing w:val="-8"/>
          <w:sz w:val="24"/>
        </w:rPr>
        <w:t xml:space="preserve"> </w:t>
      </w:r>
      <w:r>
        <w:rPr>
          <w:color w:val="231F20"/>
          <w:sz w:val="24"/>
        </w:rPr>
        <w:t>Court</w:t>
      </w:r>
      <w:r>
        <w:rPr>
          <w:color w:val="231F20"/>
          <w:spacing w:val="-9"/>
          <w:sz w:val="24"/>
        </w:rPr>
        <w:t xml:space="preserve"> </w:t>
      </w:r>
      <w:r>
        <w:rPr>
          <w:color w:val="231F20"/>
          <w:sz w:val="24"/>
        </w:rPr>
        <w:t>of</w:t>
      </w:r>
      <w:r>
        <w:rPr>
          <w:color w:val="231F20"/>
          <w:spacing w:val="-8"/>
          <w:sz w:val="24"/>
        </w:rPr>
        <w:t xml:space="preserve"> </w:t>
      </w:r>
      <w:r>
        <w:rPr>
          <w:color w:val="231F20"/>
          <w:sz w:val="24"/>
        </w:rPr>
        <w:t>Victoria</w:t>
      </w:r>
      <w:r>
        <w:rPr>
          <w:color w:val="231F20"/>
          <w:spacing w:val="-9"/>
          <w:sz w:val="24"/>
        </w:rPr>
        <w:t xml:space="preserve"> </w:t>
      </w:r>
      <w:r>
        <w:rPr>
          <w:color w:val="231F20"/>
          <w:sz w:val="24"/>
        </w:rPr>
        <w:t>and</w:t>
      </w:r>
      <w:r>
        <w:rPr>
          <w:color w:val="231F20"/>
          <w:spacing w:val="-8"/>
          <w:sz w:val="24"/>
        </w:rPr>
        <w:t xml:space="preserve"> </w:t>
      </w:r>
      <w:r>
        <w:rPr>
          <w:color w:val="231F20"/>
          <w:sz w:val="24"/>
        </w:rPr>
        <w:t>the</w:t>
      </w:r>
      <w:r>
        <w:rPr>
          <w:color w:val="231F20"/>
          <w:spacing w:val="-9"/>
          <w:sz w:val="24"/>
        </w:rPr>
        <w:t xml:space="preserve"> </w:t>
      </w:r>
      <w:r>
        <w:rPr>
          <w:color w:val="231F20"/>
          <w:sz w:val="24"/>
        </w:rPr>
        <w:t>Magistrates’</w:t>
      </w:r>
      <w:r>
        <w:rPr>
          <w:color w:val="231F20"/>
          <w:spacing w:val="-9"/>
          <w:sz w:val="24"/>
        </w:rPr>
        <w:t xml:space="preserve"> </w:t>
      </w:r>
      <w:r>
        <w:rPr>
          <w:color w:val="231F20"/>
          <w:sz w:val="24"/>
        </w:rPr>
        <w:t>Court</w:t>
      </w:r>
      <w:r>
        <w:rPr>
          <w:color w:val="231F20"/>
          <w:spacing w:val="-8"/>
          <w:sz w:val="24"/>
        </w:rPr>
        <w:t xml:space="preserve"> </w:t>
      </w:r>
      <w:r>
        <w:rPr>
          <w:color w:val="231F20"/>
          <w:sz w:val="24"/>
        </w:rPr>
        <w:t>of</w:t>
      </w:r>
      <w:r>
        <w:rPr>
          <w:color w:val="231F20"/>
          <w:spacing w:val="-8"/>
          <w:sz w:val="24"/>
        </w:rPr>
        <w:t xml:space="preserve"> </w:t>
      </w:r>
      <w:r>
        <w:rPr>
          <w:color w:val="231F20"/>
          <w:spacing w:val="-2"/>
          <w:sz w:val="24"/>
        </w:rPr>
        <w:t>Victoria.</w:t>
      </w:r>
    </w:p>
    <w:p w14:paraId="3B08664A" w14:textId="77777777" w:rsidR="00345EE3" w:rsidRDefault="00345EE3">
      <w:pPr>
        <w:pStyle w:val="ListParagraph"/>
        <w:numPr>
          <w:ilvl w:val="1"/>
          <w:numId w:val="93"/>
        </w:numPr>
        <w:tabs>
          <w:tab w:val="left" w:pos="393"/>
          <w:tab w:val="left" w:pos="394"/>
        </w:tabs>
        <w:rPr>
          <w:sz w:val="24"/>
        </w:rPr>
      </w:pPr>
      <w:r>
        <w:rPr>
          <w:color w:val="231F20"/>
          <w:sz w:val="24"/>
        </w:rPr>
        <w:t>Managing</w:t>
      </w:r>
      <w:r>
        <w:rPr>
          <w:color w:val="231F20"/>
          <w:spacing w:val="-11"/>
          <w:sz w:val="24"/>
        </w:rPr>
        <w:t xml:space="preserve"> </w:t>
      </w:r>
      <w:r>
        <w:rPr>
          <w:color w:val="231F20"/>
          <w:sz w:val="24"/>
        </w:rPr>
        <w:t>or</w:t>
      </w:r>
      <w:r>
        <w:rPr>
          <w:color w:val="231F20"/>
          <w:spacing w:val="-7"/>
          <w:sz w:val="24"/>
        </w:rPr>
        <w:t xml:space="preserve"> </w:t>
      </w:r>
      <w:r>
        <w:rPr>
          <w:color w:val="231F20"/>
          <w:sz w:val="24"/>
        </w:rPr>
        <w:t>coordinating</w:t>
      </w:r>
      <w:r>
        <w:rPr>
          <w:color w:val="231F20"/>
          <w:spacing w:val="-9"/>
          <w:sz w:val="24"/>
        </w:rPr>
        <w:t xml:space="preserve"> </w:t>
      </w:r>
      <w:r>
        <w:rPr>
          <w:color w:val="231F20"/>
          <w:sz w:val="24"/>
        </w:rPr>
        <w:t>with</w:t>
      </w:r>
      <w:r>
        <w:rPr>
          <w:color w:val="231F20"/>
          <w:spacing w:val="-8"/>
          <w:sz w:val="24"/>
        </w:rPr>
        <w:t xml:space="preserve"> </w:t>
      </w:r>
      <w:r>
        <w:rPr>
          <w:color w:val="231F20"/>
          <w:sz w:val="24"/>
        </w:rPr>
        <w:t>other</w:t>
      </w:r>
      <w:r>
        <w:rPr>
          <w:color w:val="231F20"/>
          <w:spacing w:val="-8"/>
          <w:sz w:val="24"/>
        </w:rPr>
        <w:t xml:space="preserve"> </w:t>
      </w:r>
      <w:r>
        <w:rPr>
          <w:color w:val="231F20"/>
          <w:sz w:val="24"/>
        </w:rPr>
        <w:t>agencies</w:t>
      </w:r>
      <w:r>
        <w:rPr>
          <w:color w:val="231F20"/>
          <w:spacing w:val="-7"/>
          <w:sz w:val="24"/>
        </w:rPr>
        <w:t xml:space="preserve"> </w:t>
      </w:r>
      <w:r>
        <w:rPr>
          <w:color w:val="231F20"/>
          <w:sz w:val="24"/>
        </w:rPr>
        <w:t>the</w:t>
      </w:r>
      <w:r>
        <w:rPr>
          <w:color w:val="231F20"/>
          <w:spacing w:val="-9"/>
          <w:sz w:val="24"/>
        </w:rPr>
        <w:t xml:space="preserve"> </w:t>
      </w:r>
      <w:r>
        <w:rPr>
          <w:color w:val="231F20"/>
          <w:sz w:val="24"/>
        </w:rPr>
        <w:t>responses</w:t>
      </w:r>
      <w:r>
        <w:rPr>
          <w:color w:val="231F20"/>
          <w:spacing w:val="-7"/>
          <w:sz w:val="24"/>
        </w:rPr>
        <w:t xml:space="preserve"> </w:t>
      </w:r>
      <w:r>
        <w:rPr>
          <w:color w:val="231F20"/>
          <w:sz w:val="24"/>
        </w:rPr>
        <w:t>to</w:t>
      </w:r>
      <w:r>
        <w:rPr>
          <w:color w:val="231F20"/>
          <w:spacing w:val="-9"/>
          <w:sz w:val="24"/>
        </w:rPr>
        <w:t xml:space="preserve"> </w:t>
      </w:r>
      <w:r>
        <w:rPr>
          <w:color w:val="231F20"/>
          <w:sz w:val="24"/>
        </w:rPr>
        <w:t>major</w:t>
      </w:r>
      <w:r>
        <w:rPr>
          <w:color w:val="231F20"/>
          <w:spacing w:val="-7"/>
          <w:sz w:val="24"/>
        </w:rPr>
        <w:t xml:space="preserve"> </w:t>
      </w:r>
      <w:r>
        <w:rPr>
          <w:color w:val="231F20"/>
          <w:spacing w:val="-2"/>
          <w:sz w:val="24"/>
        </w:rPr>
        <w:t>emergencies.</w:t>
      </w:r>
    </w:p>
    <w:p w14:paraId="4C48F50E" w14:textId="77777777" w:rsidR="00345EE3" w:rsidRDefault="00345EE3">
      <w:pPr>
        <w:pStyle w:val="ListParagraph"/>
        <w:numPr>
          <w:ilvl w:val="1"/>
          <w:numId w:val="93"/>
        </w:numPr>
        <w:tabs>
          <w:tab w:val="left" w:pos="393"/>
          <w:tab w:val="left" w:pos="394"/>
        </w:tabs>
        <w:rPr>
          <w:sz w:val="24"/>
        </w:rPr>
      </w:pPr>
      <w:r>
        <w:rPr>
          <w:color w:val="231F20"/>
          <w:sz w:val="24"/>
        </w:rPr>
        <w:t>Supporting</w:t>
      </w:r>
      <w:r>
        <w:rPr>
          <w:color w:val="231F20"/>
          <w:spacing w:val="-9"/>
          <w:sz w:val="24"/>
        </w:rPr>
        <w:t xml:space="preserve"> </w:t>
      </w:r>
      <w:r>
        <w:rPr>
          <w:color w:val="231F20"/>
          <w:sz w:val="24"/>
        </w:rPr>
        <w:t>the</w:t>
      </w:r>
      <w:r>
        <w:rPr>
          <w:color w:val="231F20"/>
          <w:spacing w:val="-7"/>
          <w:sz w:val="24"/>
        </w:rPr>
        <w:t xml:space="preserve"> </w:t>
      </w:r>
      <w:r>
        <w:rPr>
          <w:color w:val="231F20"/>
          <w:sz w:val="24"/>
        </w:rPr>
        <w:t>community</w:t>
      </w:r>
      <w:r>
        <w:rPr>
          <w:color w:val="231F20"/>
          <w:spacing w:val="-7"/>
          <w:sz w:val="24"/>
        </w:rPr>
        <w:t xml:space="preserve"> </w:t>
      </w:r>
      <w:r>
        <w:rPr>
          <w:color w:val="231F20"/>
          <w:sz w:val="24"/>
        </w:rPr>
        <w:t>as</w:t>
      </w:r>
      <w:r>
        <w:rPr>
          <w:color w:val="231F20"/>
          <w:spacing w:val="-7"/>
          <w:sz w:val="24"/>
        </w:rPr>
        <w:t xml:space="preserve"> </w:t>
      </w:r>
      <w:r>
        <w:rPr>
          <w:color w:val="231F20"/>
          <w:sz w:val="24"/>
        </w:rPr>
        <w:t>a</w:t>
      </w:r>
      <w:r>
        <w:rPr>
          <w:color w:val="231F20"/>
          <w:spacing w:val="-6"/>
          <w:sz w:val="24"/>
        </w:rPr>
        <w:t xml:space="preserve"> </w:t>
      </w:r>
      <w:r>
        <w:rPr>
          <w:color w:val="231F20"/>
          <w:sz w:val="24"/>
        </w:rPr>
        <w:t>result</w:t>
      </w:r>
      <w:r>
        <w:rPr>
          <w:color w:val="231F20"/>
          <w:spacing w:val="-7"/>
          <w:sz w:val="24"/>
        </w:rPr>
        <w:t xml:space="preserve"> </w:t>
      </w:r>
      <w:r>
        <w:rPr>
          <w:color w:val="231F20"/>
          <w:sz w:val="24"/>
        </w:rPr>
        <w:t>of</w:t>
      </w:r>
      <w:r>
        <w:rPr>
          <w:color w:val="231F20"/>
          <w:spacing w:val="-7"/>
          <w:sz w:val="24"/>
        </w:rPr>
        <w:t xml:space="preserve"> </w:t>
      </w:r>
      <w:r>
        <w:rPr>
          <w:color w:val="231F20"/>
          <w:sz w:val="24"/>
        </w:rPr>
        <w:t>directions</w:t>
      </w:r>
      <w:r>
        <w:rPr>
          <w:color w:val="231F20"/>
          <w:spacing w:val="-7"/>
          <w:sz w:val="24"/>
        </w:rPr>
        <w:t xml:space="preserve"> </w:t>
      </w:r>
      <w:r>
        <w:rPr>
          <w:color w:val="231F20"/>
          <w:sz w:val="24"/>
        </w:rPr>
        <w:t>arising</w:t>
      </w:r>
      <w:r>
        <w:rPr>
          <w:color w:val="231F20"/>
          <w:spacing w:val="-7"/>
          <w:sz w:val="24"/>
        </w:rPr>
        <w:t xml:space="preserve"> </w:t>
      </w:r>
      <w:r>
        <w:rPr>
          <w:color w:val="231F20"/>
          <w:sz w:val="24"/>
        </w:rPr>
        <w:t>from</w:t>
      </w:r>
      <w:r>
        <w:rPr>
          <w:color w:val="231F20"/>
          <w:spacing w:val="-6"/>
          <w:sz w:val="24"/>
        </w:rPr>
        <w:t xml:space="preserve"> </w:t>
      </w:r>
      <w:r>
        <w:rPr>
          <w:color w:val="231F20"/>
          <w:sz w:val="24"/>
        </w:rPr>
        <w:t>a</w:t>
      </w:r>
      <w:r>
        <w:rPr>
          <w:color w:val="231F20"/>
          <w:spacing w:val="-7"/>
          <w:sz w:val="24"/>
        </w:rPr>
        <w:t xml:space="preserve"> </w:t>
      </w:r>
      <w:r>
        <w:rPr>
          <w:color w:val="231F20"/>
          <w:sz w:val="24"/>
        </w:rPr>
        <w:t>declared</w:t>
      </w:r>
      <w:r>
        <w:rPr>
          <w:color w:val="231F20"/>
          <w:spacing w:val="-7"/>
          <w:sz w:val="24"/>
        </w:rPr>
        <w:t xml:space="preserve"> </w:t>
      </w:r>
      <w:r>
        <w:rPr>
          <w:color w:val="231F20"/>
          <w:sz w:val="24"/>
        </w:rPr>
        <w:t>state</w:t>
      </w:r>
      <w:r>
        <w:rPr>
          <w:color w:val="231F20"/>
          <w:spacing w:val="-7"/>
          <w:sz w:val="24"/>
        </w:rPr>
        <w:t xml:space="preserve"> </w:t>
      </w:r>
      <w:r>
        <w:rPr>
          <w:color w:val="231F20"/>
          <w:sz w:val="24"/>
        </w:rPr>
        <w:t>of</w:t>
      </w:r>
      <w:r>
        <w:rPr>
          <w:color w:val="231F20"/>
          <w:spacing w:val="-6"/>
          <w:sz w:val="24"/>
        </w:rPr>
        <w:t xml:space="preserve"> </w:t>
      </w:r>
      <w:r>
        <w:rPr>
          <w:color w:val="231F20"/>
          <w:spacing w:val="-2"/>
          <w:sz w:val="24"/>
        </w:rPr>
        <w:t>emergency.</w:t>
      </w:r>
    </w:p>
    <w:p w14:paraId="25EE0190" w14:textId="77777777" w:rsidR="00345EE3" w:rsidRDefault="00345EE3">
      <w:pPr>
        <w:pStyle w:val="ListParagraph"/>
        <w:numPr>
          <w:ilvl w:val="1"/>
          <w:numId w:val="93"/>
        </w:numPr>
        <w:tabs>
          <w:tab w:val="left" w:pos="393"/>
          <w:tab w:val="left" w:pos="394"/>
        </w:tabs>
        <w:spacing w:before="33"/>
        <w:rPr>
          <w:sz w:val="24"/>
        </w:rPr>
      </w:pPr>
      <w:r>
        <w:rPr>
          <w:color w:val="231F20"/>
          <w:sz w:val="24"/>
        </w:rPr>
        <w:t>Promoting</w:t>
      </w:r>
      <w:r>
        <w:rPr>
          <w:color w:val="231F20"/>
          <w:spacing w:val="-10"/>
          <w:sz w:val="24"/>
        </w:rPr>
        <w:t xml:space="preserve"> </w:t>
      </w:r>
      <w:r>
        <w:rPr>
          <w:color w:val="231F20"/>
          <w:sz w:val="24"/>
        </w:rPr>
        <w:t>safe</w:t>
      </w:r>
      <w:r>
        <w:rPr>
          <w:color w:val="231F20"/>
          <w:spacing w:val="-10"/>
          <w:sz w:val="24"/>
        </w:rPr>
        <w:t xml:space="preserve"> </w:t>
      </w:r>
      <w:r>
        <w:rPr>
          <w:color w:val="231F20"/>
          <w:sz w:val="24"/>
        </w:rPr>
        <w:t>road-user</w:t>
      </w:r>
      <w:r>
        <w:rPr>
          <w:color w:val="231F20"/>
          <w:spacing w:val="-9"/>
          <w:sz w:val="24"/>
        </w:rPr>
        <w:t xml:space="preserve"> </w:t>
      </w:r>
      <w:r>
        <w:rPr>
          <w:color w:val="231F20"/>
          <w:spacing w:val="-2"/>
          <w:sz w:val="24"/>
        </w:rPr>
        <w:t>behaviour.</w:t>
      </w:r>
    </w:p>
    <w:p w14:paraId="36BEC53C" w14:textId="77777777" w:rsidR="00345EE3" w:rsidRDefault="00345EE3">
      <w:pPr>
        <w:pStyle w:val="ListParagraph"/>
        <w:numPr>
          <w:ilvl w:val="1"/>
          <w:numId w:val="93"/>
        </w:numPr>
        <w:tabs>
          <w:tab w:val="left" w:pos="393"/>
          <w:tab w:val="left" w:pos="394"/>
        </w:tabs>
        <w:rPr>
          <w:sz w:val="24"/>
        </w:rPr>
      </w:pPr>
      <w:r>
        <w:rPr>
          <w:color w:val="231F20"/>
          <w:sz w:val="24"/>
        </w:rPr>
        <w:t>Conducting</w:t>
      </w:r>
      <w:r>
        <w:rPr>
          <w:color w:val="231F20"/>
          <w:spacing w:val="-9"/>
          <w:sz w:val="24"/>
        </w:rPr>
        <w:t xml:space="preserve"> </w:t>
      </w:r>
      <w:r>
        <w:rPr>
          <w:color w:val="231F20"/>
          <w:sz w:val="24"/>
        </w:rPr>
        <w:t>private</w:t>
      </w:r>
      <w:r>
        <w:rPr>
          <w:color w:val="231F20"/>
          <w:spacing w:val="-9"/>
          <w:sz w:val="24"/>
        </w:rPr>
        <w:t xml:space="preserve"> </w:t>
      </w:r>
      <w:r>
        <w:rPr>
          <w:color w:val="231F20"/>
          <w:sz w:val="24"/>
        </w:rPr>
        <w:t>security</w:t>
      </w:r>
      <w:r>
        <w:rPr>
          <w:color w:val="231F20"/>
          <w:spacing w:val="-8"/>
          <w:sz w:val="24"/>
        </w:rPr>
        <w:t xml:space="preserve"> </w:t>
      </w:r>
      <w:r>
        <w:rPr>
          <w:color w:val="231F20"/>
          <w:sz w:val="24"/>
        </w:rPr>
        <w:t>and</w:t>
      </w:r>
      <w:r>
        <w:rPr>
          <w:color w:val="231F20"/>
          <w:spacing w:val="-9"/>
          <w:sz w:val="24"/>
        </w:rPr>
        <w:t xml:space="preserve"> </w:t>
      </w:r>
      <w:r>
        <w:rPr>
          <w:color w:val="231F20"/>
          <w:sz w:val="24"/>
        </w:rPr>
        <w:t>firearms</w:t>
      </w:r>
      <w:r>
        <w:rPr>
          <w:color w:val="231F20"/>
          <w:spacing w:val="-8"/>
          <w:sz w:val="24"/>
        </w:rPr>
        <w:t xml:space="preserve"> </w:t>
      </w:r>
      <w:r>
        <w:rPr>
          <w:color w:val="231F20"/>
          <w:spacing w:val="-2"/>
          <w:sz w:val="24"/>
        </w:rPr>
        <w:t>licensing.</w:t>
      </w:r>
    </w:p>
    <w:p w14:paraId="4FA1530E" w14:textId="77777777" w:rsidR="00345EE3" w:rsidRDefault="00345EE3">
      <w:pPr>
        <w:pStyle w:val="ListParagraph"/>
        <w:numPr>
          <w:ilvl w:val="1"/>
          <w:numId w:val="93"/>
        </w:numPr>
        <w:tabs>
          <w:tab w:val="left" w:pos="393"/>
          <w:tab w:val="left" w:pos="394"/>
        </w:tabs>
        <w:spacing w:before="33"/>
        <w:rPr>
          <w:sz w:val="24"/>
        </w:rPr>
      </w:pPr>
      <w:r>
        <w:rPr>
          <w:color w:val="231F20"/>
          <w:sz w:val="24"/>
        </w:rPr>
        <w:t>Conducting</w:t>
      </w:r>
      <w:r>
        <w:rPr>
          <w:color w:val="231F20"/>
          <w:spacing w:val="-11"/>
          <w:sz w:val="24"/>
        </w:rPr>
        <w:t xml:space="preserve"> </w:t>
      </w:r>
      <w:r>
        <w:rPr>
          <w:color w:val="231F20"/>
          <w:sz w:val="24"/>
        </w:rPr>
        <w:t>national</w:t>
      </w:r>
      <w:r>
        <w:rPr>
          <w:color w:val="231F20"/>
          <w:spacing w:val="-9"/>
          <w:sz w:val="24"/>
        </w:rPr>
        <w:t xml:space="preserve"> </w:t>
      </w:r>
      <w:r>
        <w:rPr>
          <w:color w:val="231F20"/>
          <w:sz w:val="24"/>
        </w:rPr>
        <w:t>police</w:t>
      </w:r>
      <w:r>
        <w:rPr>
          <w:color w:val="231F20"/>
          <w:spacing w:val="-8"/>
          <w:sz w:val="24"/>
        </w:rPr>
        <w:t xml:space="preserve"> </w:t>
      </w:r>
      <w:r>
        <w:rPr>
          <w:color w:val="231F20"/>
          <w:sz w:val="24"/>
        </w:rPr>
        <w:t>record</w:t>
      </w:r>
      <w:r>
        <w:rPr>
          <w:color w:val="231F20"/>
          <w:spacing w:val="-9"/>
          <w:sz w:val="24"/>
        </w:rPr>
        <w:t xml:space="preserve"> </w:t>
      </w:r>
      <w:r>
        <w:rPr>
          <w:color w:val="231F20"/>
          <w:sz w:val="24"/>
        </w:rPr>
        <w:t>and</w:t>
      </w:r>
      <w:r>
        <w:rPr>
          <w:color w:val="231F20"/>
          <w:spacing w:val="-9"/>
          <w:sz w:val="24"/>
        </w:rPr>
        <w:t xml:space="preserve"> </w:t>
      </w:r>
      <w:r>
        <w:rPr>
          <w:color w:val="231F20"/>
          <w:sz w:val="24"/>
        </w:rPr>
        <w:t>fingerprint</w:t>
      </w:r>
      <w:r>
        <w:rPr>
          <w:color w:val="231F20"/>
          <w:spacing w:val="-7"/>
          <w:sz w:val="24"/>
        </w:rPr>
        <w:t xml:space="preserve"> </w:t>
      </w:r>
      <w:r>
        <w:rPr>
          <w:color w:val="231F20"/>
          <w:spacing w:val="-2"/>
          <w:sz w:val="24"/>
        </w:rPr>
        <w:t>checks.</w:t>
      </w:r>
    </w:p>
    <w:p w14:paraId="7AFC2C21" w14:textId="77777777" w:rsidR="00345EE3" w:rsidRDefault="00345EE3" w:rsidP="00345EE3">
      <w:pPr>
        <w:pStyle w:val="BodyText"/>
        <w:spacing w:before="117" w:line="242" w:lineRule="auto"/>
        <w:ind w:right="921"/>
        <w:rPr>
          <w:b/>
        </w:rPr>
      </w:pPr>
      <w:r>
        <w:rPr>
          <w:color w:val="231F20"/>
        </w:rPr>
        <w:t>For</w:t>
      </w:r>
      <w:r>
        <w:rPr>
          <w:color w:val="231F20"/>
          <w:spacing w:val="-9"/>
        </w:rPr>
        <w:t xml:space="preserve"> </w:t>
      </w:r>
      <w:r>
        <w:rPr>
          <w:color w:val="231F20"/>
        </w:rPr>
        <w:t>further</w:t>
      </w:r>
      <w:r>
        <w:rPr>
          <w:color w:val="231F20"/>
          <w:spacing w:val="-9"/>
        </w:rPr>
        <w:t xml:space="preserve"> </w:t>
      </w:r>
      <w:r>
        <w:rPr>
          <w:color w:val="231F20"/>
        </w:rPr>
        <w:t>information</w:t>
      </w:r>
      <w:r>
        <w:rPr>
          <w:color w:val="231F20"/>
          <w:spacing w:val="-9"/>
        </w:rPr>
        <w:t xml:space="preserve"> </w:t>
      </w:r>
      <w:r>
        <w:rPr>
          <w:color w:val="231F20"/>
        </w:rPr>
        <w:t>about</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services,</w:t>
      </w:r>
      <w:r>
        <w:rPr>
          <w:color w:val="231F20"/>
          <w:spacing w:val="-9"/>
        </w:rPr>
        <w:t xml:space="preserve"> </w:t>
      </w:r>
      <w:r>
        <w:rPr>
          <w:color w:val="231F20"/>
        </w:rPr>
        <w:t>including</w:t>
      </w:r>
      <w:r>
        <w:rPr>
          <w:color w:val="231F20"/>
          <w:spacing w:val="-9"/>
        </w:rPr>
        <w:t xml:space="preserve"> </w:t>
      </w:r>
      <w:r>
        <w:rPr>
          <w:color w:val="231F20"/>
        </w:rPr>
        <w:t>regional</w:t>
      </w:r>
      <w:r>
        <w:rPr>
          <w:color w:val="231F20"/>
          <w:spacing w:val="-9"/>
        </w:rPr>
        <w:t xml:space="preserve"> </w:t>
      </w:r>
      <w:r>
        <w:rPr>
          <w:color w:val="231F20"/>
        </w:rPr>
        <w:t>maps,</w:t>
      </w:r>
      <w:r>
        <w:rPr>
          <w:color w:val="231F20"/>
          <w:spacing w:val="-9"/>
        </w:rPr>
        <w:t xml:space="preserve"> </w:t>
      </w:r>
      <w:r>
        <w:rPr>
          <w:color w:val="231F20"/>
        </w:rPr>
        <w:t>please</w:t>
      </w:r>
      <w:r>
        <w:rPr>
          <w:color w:val="231F20"/>
          <w:spacing w:val="-9"/>
        </w:rPr>
        <w:t xml:space="preserve"> </w:t>
      </w:r>
      <w:r>
        <w:rPr>
          <w:color w:val="231F20"/>
        </w:rPr>
        <w:t>visit</w:t>
      </w:r>
      <w:r>
        <w:rPr>
          <w:color w:val="231F20"/>
          <w:spacing w:val="-9"/>
        </w:rPr>
        <w:t xml:space="preserve"> </w:t>
      </w:r>
      <w:r>
        <w:rPr>
          <w:color w:val="231F20"/>
        </w:rPr>
        <w:t xml:space="preserve">our website: </w:t>
      </w:r>
      <w:hyperlink r:id="rId16">
        <w:r>
          <w:rPr>
            <w:b/>
            <w:color w:val="00529F"/>
            <w:u w:val="single" w:color="00529F"/>
          </w:rPr>
          <w:t>police.vic.gov.au</w:t>
        </w:r>
      </w:hyperlink>
    </w:p>
    <w:p w14:paraId="3735EB58" w14:textId="77777777" w:rsidR="00345EE3" w:rsidRPr="00996959" w:rsidRDefault="00345EE3" w:rsidP="00345EE3">
      <w:pPr>
        <w:pStyle w:val="Heading2"/>
        <w:spacing w:before="214"/>
        <w:rPr>
          <w:sz w:val="32"/>
          <w:szCs w:val="32"/>
        </w:rPr>
      </w:pPr>
      <w:r w:rsidRPr="00996959">
        <w:rPr>
          <w:color w:val="00529F"/>
          <w:sz w:val="32"/>
          <w:szCs w:val="32"/>
        </w:rPr>
        <w:t>Victoria</w:t>
      </w:r>
      <w:r w:rsidRPr="00996959">
        <w:rPr>
          <w:color w:val="00529F"/>
          <w:spacing w:val="-12"/>
          <w:sz w:val="32"/>
          <w:szCs w:val="32"/>
        </w:rPr>
        <w:t xml:space="preserve"> </w:t>
      </w:r>
      <w:r w:rsidRPr="00996959">
        <w:rPr>
          <w:color w:val="00529F"/>
          <w:sz w:val="32"/>
          <w:szCs w:val="32"/>
        </w:rPr>
        <w:t>Police</w:t>
      </w:r>
      <w:r w:rsidRPr="00996959">
        <w:rPr>
          <w:color w:val="00529F"/>
          <w:spacing w:val="-11"/>
          <w:sz w:val="32"/>
          <w:szCs w:val="32"/>
        </w:rPr>
        <w:t xml:space="preserve"> </w:t>
      </w:r>
      <w:r w:rsidRPr="00996959">
        <w:rPr>
          <w:color w:val="00529F"/>
          <w:spacing w:val="-2"/>
          <w:sz w:val="32"/>
          <w:szCs w:val="32"/>
        </w:rPr>
        <w:t>Regions</w:t>
      </w:r>
    </w:p>
    <w:p w14:paraId="2A926477" w14:textId="77777777" w:rsidR="00345EE3" w:rsidRDefault="00345EE3" w:rsidP="00345EE3">
      <w:pPr>
        <w:pStyle w:val="BodyText"/>
        <w:spacing w:before="62" w:line="242" w:lineRule="auto"/>
        <w:ind w:right="921"/>
      </w:pPr>
      <w:r>
        <w:rPr>
          <w:color w:val="231F20"/>
        </w:rPr>
        <w:t>Victoria</w:t>
      </w:r>
      <w:r>
        <w:rPr>
          <w:color w:val="231F20"/>
          <w:spacing w:val="-9"/>
        </w:rPr>
        <w:t xml:space="preserve"> </w:t>
      </w:r>
      <w:r>
        <w:rPr>
          <w:color w:val="231F20"/>
        </w:rPr>
        <w:t>Police</w:t>
      </w:r>
      <w:r>
        <w:rPr>
          <w:color w:val="231F20"/>
          <w:spacing w:val="-9"/>
        </w:rPr>
        <w:t xml:space="preserve"> </w:t>
      </w:r>
      <w:r>
        <w:rPr>
          <w:color w:val="231F20"/>
        </w:rPr>
        <w:t>provides</w:t>
      </w:r>
      <w:r>
        <w:rPr>
          <w:color w:val="231F20"/>
          <w:spacing w:val="-9"/>
        </w:rPr>
        <w:t xml:space="preserve"> </w:t>
      </w:r>
      <w:r>
        <w:rPr>
          <w:color w:val="231F20"/>
        </w:rPr>
        <w:t>policing</w:t>
      </w:r>
      <w:r>
        <w:rPr>
          <w:color w:val="231F20"/>
          <w:spacing w:val="-9"/>
        </w:rPr>
        <w:t xml:space="preserve"> </w:t>
      </w:r>
      <w:r>
        <w:rPr>
          <w:color w:val="231F20"/>
        </w:rPr>
        <w:t>services</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Victorian</w:t>
      </w:r>
      <w:r>
        <w:rPr>
          <w:color w:val="231F20"/>
          <w:spacing w:val="-9"/>
        </w:rPr>
        <w:t xml:space="preserve"> </w:t>
      </w:r>
      <w:r>
        <w:rPr>
          <w:color w:val="231F20"/>
        </w:rPr>
        <w:t>community</w:t>
      </w:r>
      <w:r>
        <w:rPr>
          <w:color w:val="231F20"/>
          <w:spacing w:val="-9"/>
        </w:rPr>
        <w:t xml:space="preserve"> </w:t>
      </w:r>
      <w:r>
        <w:rPr>
          <w:color w:val="231F20"/>
        </w:rPr>
        <w:t>24</w:t>
      </w:r>
      <w:r>
        <w:rPr>
          <w:color w:val="231F20"/>
          <w:spacing w:val="-9"/>
        </w:rPr>
        <w:t xml:space="preserve"> </w:t>
      </w:r>
      <w:r>
        <w:rPr>
          <w:color w:val="231F20"/>
        </w:rPr>
        <w:t>hours</w:t>
      </w:r>
      <w:r>
        <w:rPr>
          <w:color w:val="231F20"/>
          <w:spacing w:val="-9"/>
        </w:rPr>
        <w:t xml:space="preserve"> </w:t>
      </w:r>
      <w:r>
        <w:rPr>
          <w:color w:val="231F20"/>
        </w:rPr>
        <w:t>a</w:t>
      </w:r>
      <w:r>
        <w:rPr>
          <w:color w:val="231F20"/>
          <w:spacing w:val="-9"/>
        </w:rPr>
        <w:t xml:space="preserve"> </w:t>
      </w:r>
      <w:r>
        <w:rPr>
          <w:color w:val="231F20"/>
        </w:rPr>
        <w:t>day,</w:t>
      </w:r>
      <w:r>
        <w:rPr>
          <w:color w:val="231F20"/>
          <w:spacing w:val="-9"/>
        </w:rPr>
        <w:t xml:space="preserve"> </w:t>
      </w:r>
      <w:r>
        <w:rPr>
          <w:color w:val="231F20"/>
        </w:rPr>
        <w:t>seven</w:t>
      </w:r>
      <w:r>
        <w:rPr>
          <w:color w:val="231F20"/>
          <w:spacing w:val="-9"/>
        </w:rPr>
        <w:t xml:space="preserve"> </w:t>
      </w:r>
      <w:r>
        <w:rPr>
          <w:color w:val="231F20"/>
        </w:rPr>
        <w:t xml:space="preserve">days a week </w:t>
      </w:r>
      <w:r>
        <w:rPr>
          <w:color w:val="231F20"/>
        </w:rPr>
        <w:lastRenderedPageBreak/>
        <w:t>across the following four regions:</w:t>
      </w:r>
    </w:p>
    <w:p w14:paraId="4D24E65F" w14:textId="77777777" w:rsidR="00345EE3" w:rsidRDefault="00345EE3">
      <w:pPr>
        <w:pStyle w:val="ListParagraph"/>
        <w:numPr>
          <w:ilvl w:val="1"/>
          <w:numId w:val="93"/>
        </w:numPr>
        <w:tabs>
          <w:tab w:val="left" w:pos="393"/>
          <w:tab w:val="left" w:pos="394"/>
        </w:tabs>
        <w:spacing w:before="31" w:line="242" w:lineRule="auto"/>
        <w:ind w:right="1904"/>
        <w:rPr>
          <w:sz w:val="24"/>
        </w:rPr>
      </w:pPr>
      <w:r>
        <w:rPr>
          <w:color w:val="231F20"/>
          <w:sz w:val="24"/>
        </w:rPr>
        <w:t>Western</w:t>
      </w:r>
      <w:r>
        <w:rPr>
          <w:color w:val="231F20"/>
          <w:spacing w:val="-10"/>
          <w:sz w:val="24"/>
        </w:rPr>
        <w:t xml:space="preserve"> </w:t>
      </w:r>
      <w:r>
        <w:rPr>
          <w:color w:val="231F20"/>
          <w:sz w:val="24"/>
        </w:rPr>
        <w:t>Region</w:t>
      </w:r>
      <w:r>
        <w:rPr>
          <w:color w:val="231F20"/>
          <w:spacing w:val="-10"/>
          <w:sz w:val="24"/>
        </w:rPr>
        <w:t xml:space="preserve"> </w:t>
      </w:r>
      <w:r>
        <w:rPr>
          <w:color w:val="231F20"/>
          <w:sz w:val="24"/>
        </w:rPr>
        <w:t>(WR)</w:t>
      </w:r>
      <w:r>
        <w:rPr>
          <w:color w:val="231F20"/>
          <w:spacing w:val="-9"/>
          <w:sz w:val="24"/>
        </w:rPr>
        <w:t xml:space="preserve"> </w:t>
      </w:r>
      <w:r>
        <w:rPr>
          <w:color w:val="231F20"/>
          <w:sz w:val="24"/>
        </w:rPr>
        <w:t>–</w:t>
      </w:r>
      <w:r>
        <w:rPr>
          <w:color w:val="231F20"/>
          <w:spacing w:val="-10"/>
          <w:sz w:val="24"/>
        </w:rPr>
        <w:t xml:space="preserve"> </w:t>
      </w:r>
      <w:r>
        <w:rPr>
          <w:color w:val="231F20"/>
          <w:sz w:val="24"/>
        </w:rPr>
        <w:t>the</w:t>
      </w:r>
      <w:r>
        <w:rPr>
          <w:color w:val="231F20"/>
          <w:spacing w:val="-10"/>
          <w:sz w:val="24"/>
        </w:rPr>
        <w:t xml:space="preserve"> </w:t>
      </w:r>
      <w:r>
        <w:rPr>
          <w:color w:val="231F20"/>
          <w:sz w:val="24"/>
        </w:rPr>
        <w:t>largest</w:t>
      </w:r>
      <w:r>
        <w:rPr>
          <w:color w:val="231F20"/>
          <w:spacing w:val="-9"/>
          <w:sz w:val="24"/>
        </w:rPr>
        <w:t xml:space="preserve"> </w:t>
      </w:r>
      <w:r>
        <w:rPr>
          <w:color w:val="231F20"/>
          <w:sz w:val="24"/>
        </w:rPr>
        <w:t>geographically,</w:t>
      </w:r>
      <w:r>
        <w:rPr>
          <w:color w:val="231F20"/>
          <w:spacing w:val="-9"/>
          <w:sz w:val="24"/>
        </w:rPr>
        <w:t xml:space="preserve"> </w:t>
      </w:r>
      <w:r>
        <w:rPr>
          <w:color w:val="231F20"/>
          <w:sz w:val="24"/>
        </w:rPr>
        <w:t>covering</w:t>
      </w:r>
      <w:r>
        <w:rPr>
          <w:color w:val="231F20"/>
          <w:spacing w:val="-10"/>
          <w:sz w:val="24"/>
        </w:rPr>
        <w:t xml:space="preserve"> </w:t>
      </w:r>
      <w:r>
        <w:rPr>
          <w:color w:val="231F20"/>
          <w:sz w:val="24"/>
        </w:rPr>
        <w:t>60</w:t>
      </w:r>
      <w:r>
        <w:rPr>
          <w:color w:val="231F20"/>
          <w:spacing w:val="-10"/>
          <w:sz w:val="24"/>
        </w:rPr>
        <w:t xml:space="preserve"> </w:t>
      </w:r>
      <w:r>
        <w:rPr>
          <w:color w:val="231F20"/>
          <w:sz w:val="24"/>
        </w:rPr>
        <w:t>per</w:t>
      </w:r>
      <w:r>
        <w:rPr>
          <w:color w:val="231F20"/>
          <w:spacing w:val="-9"/>
          <w:sz w:val="24"/>
        </w:rPr>
        <w:t xml:space="preserve"> </w:t>
      </w:r>
      <w:r>
        <w:rPr>
          <w:color w:val="231F20"/>
          <w:sz w:val="24"/>
        </w:rPr>
        <w:t>cent</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10"/>
          <w:sz w:val="24"/>
        </w:rPr>
        <w:t xml:space="preserve"> </w:t>
      </w:r>
      <w:r>
        <w:rPr>
          <w:color w:val="231F20"/>
          <w:sz w:val="24"/>
        </w:rPr>
        <w:t>State spreading across six divisions.</w:t>
      </w:r>
    </w:p>
    <w:p w14:paraId="1BA6ACBF" w14:textId="77777777" w:rsidR="00345EE3" w:rsidRDefault="00345EE3">
      <w:pPr>
        <w:pStyle w:val="ListParagraph"/>
        <w:numPr>
          <w:ilvl w:val="1"/>
          <w:numId w:val="93"/>
        </w:numPr>
        <w:tabs>
          <w:tab w:val="left" w:pos="393"/>
          <w:tab w:val="left" w:pos="394"/>
        </w:tabs>
        <w:spacing w:before="31" w:line="242" w:lineRule="auto"/>
        <w:ind w:right="1388"/>
        <w:rPr>
          <w:sz w:val="24"/>
        </w:rPr>
      </w:pPr>
      <w:r>
        <w:rPr>
          <w:color w:val="231F20"/>
          <w:sz w:val="24"/>
        </w:rPr>
        <w:t>North</w:t>
      </w:r>
      <w:r>
        <w:rPr>
          <w:color w:val="231F20"/>
          <w:spacing w:val="-10"/>
          <w:sz w:val="24"/>
        </w:rPr>
        <w:t xml:space="preserve"> </w:t>
      </w:r>
      <w:r>
        <w:rPr>
          <w:color w:val="231F20"/>
          <w:sz w:val="24"/>
        </w:rPr>
        <w:t>West</w:t>
      </w:r>
      <w:r>
        <w:rPr>
          <w:color w:val="231F20"/>
          <w:spacing w:val="-9"/>
          <w:sz w:val="24"/>
        </w:rPr>
        <w:t xml:space="preserve"> </w:t>
      </w:r>
      <w:r>
        <w:rPr>
          <w:color w:val="231F20"/>
          <w:sz w:val="24"/>
        </w:rPr>
        <w:t>Metro</w:t>
      </w:r>
      <w:r>
        <w:rPr>
          <w:color w:val="231F20"/>
          <w:spacing w:val="-10"/>
          <w:sz w:val="24"/>
        </w:rPr>
        <w:t xml:space="preserve"> </w:t>
      </w:r>
      <w:r>
        <w:rPr>
          <w:color w:val="231F20"/>
          <w:sz w:val="24"/>
        </w:rPr>
        <w:t>Region</w:t>
      </w:r>
      <w:r>
        <w:rPr>
          <w:color w:val="231F20"/>
          <w:spacing w:val="-10"/>
          <w:sz w:val="24"/>
        </w:rPr>
        <w:t xml:space="preserve"> </w:t>
      </w:r>
      <w:r>
        <w:rPr>
          <w:color w:val="231F20"/>
          <w:sz w:val="24"/>
        </w:rPr>
        <w:t>(NWMR)</w:t>
      </w:r>
      <w:r>
        <w:rPr>
          <w:color w:val="231F20"/>
          <w:spacing w:val="-9"/>
          <w:sz w:val="24"/>
        </w:rPr>
        <w:t xml:space="preserve"> </w:t>
      </w:r>
      <w:r>
        <w:rPr>
          <w:color w:val="231F20"/>
          <w:sz w:val="24"/>
        </w:rPr>
        <w:t>–</w:t>
      </w:r>
      <w:r>
        <w:rPr>
          <w:color w:val="231F20"/>
          <w:spacing w:val="-10"/>
          <w:sz w:val="24"/>
        </w:rPr>
        <w:t xml:space="preserve"> </w:t>
      </w:r>
      <w:r>
        <w:rPr>
          <w:color w:val="231F20"/>
          <w:sz w:val="24"/>
        </w:rPr>
        <w:t>encompassing</w:t>
      </w:r>
      <w:r>
        <w:rPr>
          <w:color w:val="231F20"/>
          <w:spacing w:val="-10"/>
          <w:sz w:val="24"/>
        </w:rPr>
        <w:t xml:space="preserve"> </w:t>
      </w:r>
      <w:r>
        <w:rPr>
          <w:color w:val="231F20"/>
          <w:sz w:val="24"/>
        </w:rPr>
        <w:t>inner,</w:t>
      </w:r>
      <w:r>
        <w:rPr>
          <w:color w:val="231F20"/>
          <w:spacing w:val="-9"/>
          <w:sz w:val="24"/>
        </w:rPr>
        <w:t xml:space="preserve"> </w:t>
      </w:r>
      <w:r>
        <w:rPr>
          <w:color w:val="231F20"/>
          <w:sz w:val="24"/>
        </w:rPr>
        <w:t>western</w:t>
      </w:r>
      <w:r>
        <w:rPr>
          <w:color w:val="231F20"/>
          <w:spacing w:val="-10"/>
          <w:sz w:val="24"/>
        </w:rPr>
        <w:t xml:space="preserve"> </w:t>
      </w:r>
      <w:r>
        <w:rPr>
          <w:color w:val="231F20"/>
          <w:sz w:val="24"/>
        </w:rPr>
        <w:t>and</w:t>
      </w:r>
      <w:r>
        <w:rPr>
          <w:color w:val="231F20"/>
          <w:spacing w:val="-10"/>
          <w:sz w:val="24"/>
        </w:rPr>
        <w:t xml:space="preserve"> </w:t>
      </w:r>
      <w:r>
        <w:rPr>
          <w:color w:val="231F20"/>
          <w:sz w:val="24"/>
        </w:rPr>
        <w:t>northern</w:t>
      </w:r>
      <w:r>
        <w:rPr>
          <w:color w:val="231F20"/>
          <w:spacing w:val="-10"/>
          <w:sz w:val="24"/>
        </w:rPr>
        <w:t xml:space="preserve"> </w:t>
      </w:r>
      <w:r>
        <w:rPr>
          <w:color w:val="231F20"/>
          <w:sz w:val="24"/>
        </w:rPr>
        <w:t>areas</w:t>
      </w:r>
      <w:r>
        <w:rPr>
          <w:color w:val="231F20"/>
          <w:spacing w:val="-9"/>
          <w:sz w:val="24"/>
        </w:rPr>
        <w:t xml:space="preserve"> </w:t>
      </w:r>
      <w:r>
        <w:rPr>
          <w:color w:val="231F20"/>
          <w:sz w:val="24"/>
        </w:rPr>
        <w:t>of Melbourne and its surrounds, across five divisions.</w:t>
      </w:r>
    </w:p>
    <w:p w14:paraId="643DD3E1" w14:textId="77777777" w:rsidR="00345EE3" w:rsidRDefault="00345EE3">
      <w:pPr>
        <w:pStyle w:val="ListParagraph"/>
        <w:numPr>
          <w:ilvl w:val="1"/>
          <w:numId w:val="93"/>
        </w:numPr>
        <w:tabs>
          <w:tab w:val="left" w:pos="393"/>
          <w:tab w:val="left" w:pos="394"/>
        </w:tabs>
        <w:spacing w:before="31" w:line="242" w:lineRule="auto"/>
        <w:ind w:right="1318"/>
        <w:rPr>
          <w:sz w:val="24"/>
        </w:rPr>
      </w:pPr>
      <w:r>
        <w:rPr>
          <w:color w:val="231F20"/>
          <w:sz w:val="24"/>
        </w:rPr>
        <w:t>Southern</w:t>
      </w:r>
      <w:r>
        <w:rPr>
          <w:color w:val="231F20"/>
          <w:spacing w:val="-12"/>
          <w:sz w:val="24"/>
        </w:rPr>
        <w:t xml:space="preserve"> </w:t>
      </w:r>
      <w:r>
        <w:rPr>
          <w:color w:val="231F20"/>
          <w:sz w:val="24"/>
        </w:rPr>
        <w:t>Metro</w:t>
      </w:r>
      <w:r>
        <w:rPr>
          <w:color w:val="231F20"/>
          <w:spacing w:val="-12"/>
          <w:sz w:val="24"/>
        </w:rPr>
        <w:t xml:space="preserve"> </w:t>
      </w:r>
      <w:r>
        <w:rPr>
          <w:color w:val="231F20"/>
          <w:sz w:val="24"/>
        </w:rPr>
        <w:t>Region</w:t>
      </w:r>
      <w:r>
        <w:rPr>
          <w:color w:val="231F20"/>
          <w:spacing w:val="-12"/>
          <w:sz w:val="24"/>
        </w:rPr>
        <w:t xml:space="preserve"> </w:t>
      </w:r>
      <w:r>
        <w:rPr>
          <w:color w:val="231F20"/>
          <w:sz w:val="24"/>
        </w:rPr>
        <w:t>(SMR)</w:t>
      </w:r>
      <w:r>
        <w:rPr>
          <w:color w:val="231F20"/>
          <w:spacing w:val="-11"/>
          <w:sz w:val="24"/>
        </w:rPr>
        <w:t xml:space="preserve"> </w:t>
      </w:r>
      <w:r>
        <w:rPr>
          <w:color w:val="231F20"/>
          <w:sz w:val="24"/>
        </w:rPr>
        <w:t>–</w:t>
      </w:r>
      <w:r>
        <w:rPr>
          <w:color w:val="231F20"/>
          <w:spacing w:val="-12"/>
          <w:sz w:val="24"/>
        </w:rPr>
        <w:t xml:space="preserve"> </w:t>
      </w:r>
      <w:r>
        <w:rPr>
          <w:color w:val="231F20"/>
          <w:sz w:val="24"/>
        </w:rPr>
        <w:t>directly</w:t>
      </w:r>
      <w:r>
        <w:rPr>
          <w:color w:val="231F20"/>
          <w:spacing w:val="-11"/>
          <w:sz w:val="24"/>
        </w:rPr>
        <w:t xml:space="preserve"> </w:t>
      </w:r>
      <w:r>
        <w:rPr>
          <w:color w:val="231F20"/>
          <w:sz w:val="24"/>
        </w:rPr>
        <w:t>aligned</w:t>
      </w:r>
      <w:r>
        <w:rPr>
          <w:color w:val="231F20"/>
          <w:spacing w:val="-12"/>
          <w:sz w:val="24"/>
        </w:rPr>
        <w:t xml:space="preserve"> </w:t>
      </w:r>
      <w:r>
        <w:rPr>
          <w:color w:val="231F20"/>
          <w:sz w:val="24"/>
        </w:rPr>
        <w:t>to</w:t>
      </w:r>
      <w:r>
        <w:rPr>
          <w:color w:val="231F20"/>
          <w:spacing w:val="-12"/>
          <w:sz w:val="24"/>
        </w:rPr>
        <w:t xml:space="preserve"> </w:t>
      </w:r>
      <w:r>
        <w:rPr>
          <w:color w:val="231F20"/>
          <w:sz w:val="24"/>
        </w:rPr>
        <w:t>the</w:t>
      </w:r>
      <w:r>
        <w:rPr>
          <w:color w:val="231F20"/>
          <w:spacing w:val="-12"/>
          <w:sz w:val="24"/>
        </w:rPr>
        <w:t xml:space="preserve"> </w:t>
      </w:r>
      <w:r>
        <w:rPr>
          <w:color w:val="231F20"/>
          <w:sz w:val="24"/>
        </w:rPr>
        <w:t>Southern</w:t>
      </w:r>
      <w:r>
        <w:rPr>
          <w:color w:val="231F20"/>
          <w:spacing w:val="-12"/>
          <w:sz w:val="24"/>
        </w:rPr>
        <w:t xml:space="preserve"> </w:t>
      </w:r>
      <w:r>
        <w:rPr>
          <w:color w:val="231F20"/>
          <w:sz w:val="24"/>
        </w:rPr>
        <w:t>Metropolitan</w:t>
      </w:r>
      <w:r>
        <w:rPr>
          <w:color w:val="231F20"/>
          <w:spacing w:val="-12"/>
          <w:sz w:val="24"/>
        </w:rPr>
        <w:t xml:space="preserve"> </w:t>
      </w:r>
      <w:r>
        <w:rPr>
          <w:color w:val="231F20"/>
          <w:sz w:val="24"/>
        </w:rPr>
        <w:t>government region, comprising four divisions.</w:t>
      </w:r>
    </w:p>
    <w:p w14:paraId="32F65D4B" w14:textId="77777777" w:rsidR="00345EE3" w:rsidRDefault="00345EE3">
      <w:pPr>
        <w:pStyle w:val="ListParagraph"/>
        <w:numPr>
          <w:ilvl w:val="1"/>
          <w:numId w:val="93"/>
        </w:numPr>
        <w:tabs>
          <w:tab w:val="left" w:pos="393"/>
          <w:tab w:val="left" w:pos="394"/>
        </w:tabs>
        <w:spacing w:before="30" w:line="242" w:lineRule="auto"/>
        <w:ind w:right="1088"/>
        <w:rPr>
          <w:sz w:val="24"/>
        </w:rPr>
      </w:pPr>
      <w:r>
        <w:rPr>
          <w:color w:val="231F20"/>
          <w:sz w:val="24"/>
        </w:rPr>
        <w:t>Eastern Region (ER) – one of the most geographically diverse regions, incorporating both metropolitan,</w:t>
      </w:r>
      <w:r>
        <w:rPr>
          <w:color w:val="231F20"/>
          <w:spacing w:val="-8"/>
          <w:sz w:val="24"/>
        </w:rPr>
        <w:t xml:space="preserve"> </w:t>
      </w:r>
      <w:r>
        <w:rPr>
          <w:color w:val="231F20"/>
          <w:sz w:val="24"/>
        </w:rPr>
        <w:t>rural</w:t>
      </w:r>
      <w:r>
        <w:rPr>
          <w:color w:val="231F20"/>
          <w:spacing w:val="-9"/>
          <w:sz w:val="24"/>
        </w:rPr>
        <w:t xml:space="preserve"> </w:t>
      </w:r>
      <w:r>
        <w:rPr>
          <w:color w:val="231F20"/>
          <w:sz w:val="24"/>
        </w:rPr>
        <w:t>and</w:t>
      </w:r>
      <w:r>
        <w:rPr>
          <w:color w:val="231F20"/>
          <w:spacing w:val="-9"/>
          <w:sz w:val="24"/>
        </w:rPr>
        <w:t xml:space="preserve"> </w:t>
      </w:r>
      <w:r>
        <w:rPr>
          <w:color w:val="231F20"/>
          <w:sz w:val="24"/>
        </w:rPr>
        <w:t>Alpine</w:t>
      </w:r>
      <w:r>
        <w:rPr>
          <w:color w:val="231F20"/>
          <w:spacing w:val="-9"/>
          <w:sz w:val="24"/>
        </w:rPr>
        <w:t xml:space="preserve"> </w:t>
      </w:r>
      <w:r>
        <w:rPr>
          <w:color w:val="231F20"/>
          <w:sz w:val="24"/>
        </w:rPr>
        <w:t>areas,</w:t>
      </w:r>
      <w:r>
        <w:rPr>
          <w:color w:val="231F20"/>
          <w:spacing w:val="-8"/>
          <w:sz w:val="24"/>
        </w:rPr>
        <w:t xml:space="preserve"> </w:t>
      </w:r>
      <w:r>
        <w:rPr>
          <w:color w:val="231F20"/>
          <w:sz w:val="24"/>
        </w:rPr>
        <w:t>providing</w:t>
      </w:r>
      <w:r>
        <w:rPr>
          <w:color w:val="231F20"/>
          <w:spacing w:val="-9"/>
          <w:sz w:val="24"/>
        </w:rPr>
        <w:t xml:space="preserve"> </w:t>
      </w:r>
      <w:r>
        <w:rPr>
          <w:color w:val="231F20"/>
          <w:sz w:val="24"/>
        </w:rPr>
        <w:t>policing</w:t>
      </w:r>
      <w:r>
        <w:rPr>
          <w:color w:val="231F20"/>
          <w:spacing w:val="-9"/>
          <w:sz w:val="24"/>
        </w:rPr>
        <w:t xml:space="preserve"> </w:t>
      </w:r>
      <w:r>
        <w:rPr>
          <w:color w:val="231F20"/>
          <w:sz w:val="24"/>
        </w:rPr>
        <w:t>services</w:t>
      </w:r>
      <w:r>
        <w:rPr>
          <w:color w:val="231F20"/>
          <w:spacing w:val="-8"/>
          <w:sz w:val="24"/>
        </w:rPr>
        <w:t xml:space="preserve"> </w:t>
      </w:r>
      <w:r>
        <w:rPr>
          <w:color w:val="231F20"/>
          <w:sz w:val="24"/>
        </w:rPr>
        <w:t>to</w:t>
      </w:r>
      <w:r>
        <w:rPr>
          <w:color w:val="231F20"/>
          <w:spacing w:val="-9"/>
          <w:sz w:val="24"/>
        </w:rPr>
        <w:t xml:space="preserve"> </w:t>
      </w:r>
      <w:r>
        <w:rPr>
          <w:color w:val="231F20"/>
          <w:sz w:val="24"/>
        </w:rPr>
        <w:t>almost</w:t>
      </w:r>
      <w:r>
        <w:rPr>
          <w:color w:val="231F20"/>
          <w:spacing w:val="-8"/>
          <w:sz w:val="24"/>
        </w:rPr>
        <w:t xml:space="preserve"> </w:t>
      </w:r>
      <w:r>
        <w:rPr>
          <w:color w:val="231F20"/>
          <w:sz w:val="24"/>
        </w:rPr>
        <w:t>two</w:t>
      </w:r>
      <w:r>
        <w:rPr>
          <w:color w:val="231F20"/>
          <w:spacing w:val="-9"/>
          <w:sz w:val="24"/>
        </w:rPr>
        <w:t xml:space="preserve"> </w:t>
      </w:r>
      <w:r>
        <w:rPr>
          <w:color w:val="231F20"/>
          <w:sz w:val="24"/>
        </w:rPr>
        <w:t>million</w:t>
      </w:r>
      <w:r>
        <w:rPr>
          <w:color w:val="231F20"/>
          <w:spacing w:val="-9"/>
          <w:sz w:val="24"/>
        </w:rPr>
        <w:t xml:space="preserve"> </w:t>
      </w:r>
      <w:r>
        <w:rPr>
          <w:color w:val="231F20"/>
          <w:sz w:val="24"/>
        </w:rPr>
        <w:t>people across six divisions.</w:t>
      </w:r>
    </w:p>
    <w:p w14:paraId="3065D812" w14:textId="77777777" w:rsidR="00345EE3" w:rsidRDefault="00345EE3" w:rsidP="00345EE3">
      <w:pPr>
        <w:pStyle w:val="BodyText"/>
        <w:spacing w:before="118" w:line="242" w:lineRule="auto"/>
        <w:ind w:right="921"/>
      </w:pPr>
      <w:r>
        <w:rPr>
          <w:color w:val="231F20"/>
        </w:rPr>
        <w:t>The four regional boundaries correspond with other Victorian Government department boundaries,</w:t>
      </w:r>
      <w:r>
        <w:rPr>
          <w:color w:val="231F20"/>
          <w:spacing w:val="-11"/>
        </w:rPr>
        <w:t xml:space="preserve"> </w:t>
      </w:r>
      <w:r>
        <w:rPr>
          <w:color w:val="231F20"/>
        </w:rPr>
        <w:t>thereby</w:t>
      </w:r>
      <w:r>
        <w:rPr>
          <w:color w:val="231F20"/>
          <w:spacing w:val="-11"/>
        </w:rPr>
        <w:t xml:space="preserve"> </w:t>
      </w:r>
      <w:r>
        <w:rPr>
          <w:color w:val="231F20"/>
        </w:rPr>
        <w:t>enhancing</w:t>
      </w:r>
      <w:r>
        <w:rPr>
          <w:color w:val="231F20"/>
          <w:spacing w:val="-11"/>
        </w:rPr>
        <w:t xml:space="preserve"> </w:t>
      </w:r>
      <w:r>
        <w:rPr>
          <w:color w:val="231F20"/>
        </w:rPr>
        <w:t>cross-departmental</w:t>
      </w:r>
      <w:r>
        <w:rPr>
          <w:color w:val="231F20"/>
          <w:spacing w:val="-11"/>
        </w:rPr>
        <w:t xml:space="preserve"> </w:t>
      </w:r>
      <w:r>
        <w:rPr>
          <w:color w:val="231F20"/>
        </w:rPr>
        <w:t>service</w:t>
      </w:r>
      <w:r>
        <w:rPr>
          <w:color w:val="231F20"/>
          <w:spacing w:val="-11"/>
        </w:rPr>
        <w:t xml:space="preserve"> </w:t>
      </w:r>
      <w:r>
        <w:rPr>
          <w:color w:val="231F20"/>
        </w:rPr>
        <w:t>delivery,</w:t>
      </w:r>
      <w:r>
        <w:rPr>
          <w:color w:val="231F20"/>
          <w:spacing w:val="-11"/>
        </w:rPr>
        <w:t xml:space="preserve"> </w:t>
      </w:r>
      <w:r>
        <w:rPr>
          <w:color w:val="231F20"/>
        </w:rPr>
        <w:t>particularly</w:t>
      </w:r>
      <w:r>
        <w:rPr>
          <w:color w:val="231F20"/>
          <w:spacing w:val="-11"/>
        </w:rPr>
        <w:t xml:space="preserve"> </w:t>
      </w:r>
      <w:r>
        <w:rPr>
          <w:color w:val="231F20"/>
        </w:rPr>
        <w:t>in</w:t>
      </w:r>
      <w:r>
        <w:rPr>
          <w:color w:val="231F20"/>
          <w:spacing w:val="-11"/>
        </w:rPr>
        <w:t xml:space="preserve"> </w:t>
      </w:r>
      <w:r>
        <w:rPr>
          <w:color w:val="231F20"/>
        </w:rPr>
        <w:t>relation</w:t>
      </w:r>
      <w:r>
        <w:rPr>
          <w:color w:val="231F20"/>
          <w:spacing w:val="-11"/>
        </w:rPr>
        <w:t xml:space="preserve"> </w:t>
      </w:r>
      <w:r>
        <w:rPr>
          <w:color w:val="231F20"/>
        </w:rPr>
        <w:t>to emergency management.</w:t>
      </w:r>
    </w:p>
    <w:p w14:paraId="4E1EEB80" w14:textId="77777777" w:rsidR="00345EE3" w:rsidRDefault="00345EE3" w:rsidP="00345EE3">
      <w:pPr>
        <w:spacing w:before="124" w:after="120"/>
        <w:ind w:left="110"/>
        <w:rPr>
          <w:i/>
          <w:sz w:val="18"/>
        </w:rPr>
      </w:pPr>
      <w:r>
        <w:rPr>
          <w:color w:val="231F20"/>
          <w:sz w:val="18"/>
        </w:rPr>
        <w:t>Figure</w:t>
      </w:r>
      <w:r>
        <w:rPr>
          <w:color w:val="231F20"/>
          <w:spacing w:val="-4"/>
          <w:sz w:val="18"/>
        </w:rPr>
        <w:t xml:space="preserve"> </w:t>
      </w:r>
      <w:r>
        <w:rPr>
          <w:color w:val="231F20"/>
          <w:sz w:val="18"/>
        </w:rPr>
        <w:t>1.1:</w:t>
      </w:r>
      <w:r>
        <w:rPr>
          <w:color w:val="231F20"/>
          <w:spacing w:val="-5"/>
          <w:sz w:val="18"/>
        </w:rPr>
        <w:t xml:space="preserve"> </w:t>
      </w:r>
      <w:r>
        <w:rPr>
          <w:i/>
          <w:color w:val="231F20"/>
          <w:sz w:val="18"/>
        </w:rPr>
        <w:t>Victoria</w:t>
      </w:r>
      <w:r>
        <w:rPr>
          <w:i/>
          <w:color w:val="231F20"/>
          <w:spacing w:val="-4"/>
          <w:sz w:val="18"/>
        </w:rPr>
        <w:t xml:space="preserve"> </w:t>
      </w:r>
      <w:r>
        <w:rPr>
          <w:i/>
          <w:color w:val="231F20"/>
          <w:sz w:val="18"/>
        </w:rPr>
        <w:t>Police</w:t>
      </w:r>
      <w:r>
        <w:rPr>
          <w:i/>
          <w:color w:val="231F20"/>
          <w:spacing w:val="-4"/>
          <w:sz w:val="18"/>
        </w:rPr>
        <w:t xml:space="preserve"> </w:t>
      </w:r>
      <w:r>
        <w:rPr>
          <w:i/>
          <w:color w:val="231F20"/>
          <w:sz w:val="18"/>
        </w:rPr>
        <w:t>Region</w:t>
      </w:r>
      <w:r>
        <w:rPr>
          <w:i/>
          <w:color w:val="231F20"/>
          <w:spacing w:val="-4"/>
          <w:sz w:val="18"/>
        </w:rPr>
        <w:t xml:space="preserve"> </w:t>
      </w:r>
      <w:r>
        <w:rPr>
          <w:i/>
          <w:color w:val="231F20"/>
          <w:spacing w:val="-2"/>
          <w:sz w:val="18"/>
        </w:rPr>
        <w:t>Breakdown</w:t>
      </w:r>
    </w:p>
    <w:p w14:paraId="133D79D9" w14:textId="77777777" w:rsidR="00345EE3" w:rsidRPr="001A3F3C" w:rsidRDefault="00345EE3" w:rsidP="00345EE3">
      <w:pPr>
        <w:widowControl/>
        <w:suppressAutoHyphens/>
        <w:adjustRightInd w:val="0"/>
        <w:spacing w:after="28" w:line="230" w:lineRule="atLeast"/>
        <w:ind w:left="142"/>
        <w:textAlignment w:val="center"/>
        <w:rPr>
          <w:rFonts w:eastAsiaTheme="minorHAnsi"/>
          <w:color w:val="000000"/>
          <w:sz w:val="18"/>
          <w:szCs w:val="18"/>
          <w:lang w:val="en-GB"/>
        </w:rPr>
      </w:pPr>
      <w:r w:rsidRPr="001A3F3C">
        <w:rPr>
          <w:rFonts w:eastAsiaTheme="minorHAnsi"/>
          <w:noProof/>
          <w:color w:val="000000"/>
          <w:sz w:val="18"/>
          <w:szCs w:val="18"/>
          <w:lang w:val="en-GB"/>
        </w:rPr>
        <w:drawing>
          <wp:inline distT="0" distB="0" distL="0" distR="0" wp14:anchorId="1B1D9609" wp14:editId="0C105D8F">
            <wp:extent cx="6477000" cy="4533900"/>
            <wp:effectExtent l="0" t="0" r="0" b="0"/>
            <wp:docPr id="16132" name="Picture 16132" descr="Map of Victoria showing the four Victoria Polic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 name="Picture 16132" descr="Map of Victoria showing the four Victoria Police Regions"/>
                    <pic:cNvPicPr/>
                  </pic:nvPicPr>
                  <pic:blipFill>
                    <a:blip r:embed="rId17"/>
                    <a:stretch>
                      <a:fillRect/>
                    </a:stretch>
                  </pic:blipFill>
                  <pic:spPr>
                    <a:xfrm>
                      <a:off x="0" y="0"/>
                      <a:ext cx="6477000" cy="4533900"/>
                    </a:xfrm>
                    <a:prstGeom prst="rect">
                      <a:avLst/>
                    </a:prstGeom>
                  </pic:spPr>
                </pic:pic>
              </a:graphicData>
            </a:graphic>
          </wp:inline>
        </w:drawing>
      </w:r>
    </w:p>
    <w:p w14:paraId="38784656" w14:textId="77777777" w:rsidR="00345EE3" w:rsidRPr="001A3F3C" w:rsidRDefault="00345EE3" w:rsidP="00345EE3">
      <w:pPr>
        <w:spacing w:before="74"/>
        <w:ind w:left="177"/>
        <w:rPr>
          <w:color w:val="231F20"/>
          <w:spacing w:val="-4"/>
          <w:sz w:val="18"/>
          <w:szCs w:val="18"/>
        </w:rPr>
      </w:pPr>
      <w:r w:rsidRPr="001A3F3C">
        <w:rPr>
          <w:rFonts w:ascii="Arial-BoldItalicMT"/>
          <w:b/>
          <w:i/>
          <w:color w:val="231F20"/>
          <w:sz w:val="18"/>
          <w:szCs w:val="18"/>
        </w:rPr>
        <w:t>Note:</w:t>
      </w:r>
      <w:r w:rsidRPr="001A3F3C">
        <w:rPr>
          <w:rFonts w:ascii="Arial-BoldItalicMT"/>
          <w:b/>
          <w:i/>
          <w:color w:val="231F20"/>
          <w:spacing w:val="-3"/>
          <w:sz w:val="18"/>
          <w:szCs w:val="18"/>
        </w:rPr>
        <w:t xml:space="preserve"> </w:t>
      </w:r>
      <w:r w:rsidRPr="001A3F3C">
        <w:rPr>
          <w:color w:val="231F20"/>
          <w:sz w:val="18"/>
          <w:szCs w:val="18"/>
        </w:rPr>
        <w:t>Data</w:t>
      </w:r>
      <w:r w:rsidRPr="001A3F3C">
        <w:rPr>
          <w:color w:val="231F20"/>
          <w:spacing w:val="-2"/>
          <w:sz w:val="18"/>
          <w:szCs w:val="18"/>
        </w:rPr>
        <w:t xml:space="preserve"> </w:t>
      </w:r>
      <w:r w:rsidRPr="001A3F3C">
        <w:rPr>
          <w:color w:val="231F20"/>
          <w:sz w:val="18"/>
          <w:szCs w:val="18"/>
        </w:rPr>
        <w:t>as</w:t>
      </w:r>
      <w:r w:rsidRPr="001A3F3C">
        <w:rPr>
          <w:color w:val="231F20"/>
          <w:spacing w:val="-1"/>
          <w:sz w:val="18"/>
          <w:szCs w:val="18"/>
        </w:rPr>
        <w:t xml:space="preserve"> </w:t>
      </w:r>
      <w:r w:rsidRPr="001A3F3C">
        <w:rPr>
          <w:color w:val="231F20"/>
          <w:sz w:val="18"/>
          <w:szCs w:val="18"/>
        </w:rPr>
        <w:t>at</w:t>
      </w:r>
      <w:r w:rsidRPr="001A3F3C">
        <w:rPr>
          <w:color w:val="231F20"/>
          <w:spacing w:val="-2"/>
          <w:sz w:val="18"/>
          <w:szCs w:val="18"/>
        </w:rPr>
        <w:t xml:space="preserve"> </w:t>
      </w:r>
      <w:r w:rsidRPr="001A3F3C">
        <w:rPr>
          <w:color w:val="231F20"/>
          <w:sz w:val="18"/>
          <w:szCs w:val="18"/>
        </w:rPr>
        <w:t>1</w:t>
      </w:r>
      <w:r w:rsidRPr="001A3F3C">
        <w:rPr>
          <w:color w:val="231F20"/>
          <w:spacing w:val="-2"/>
          <w:sz w:val="18"/>
          <w:szCs w:val="18"/>
        </w:rPr>
        <w:t xml:space="preserve"> </w:t>
      </w:r>
      <w:r w:rsidRPr="001A3F3C">
        <w:rPr>
          <w:color w:val="231F20"/>
          <w:sz w:val="18"/>
          <w:szCs w:val="18"/>
        </w:rPr>
        <w:t>June</w:t>
      </w:r>
      <w:r w:rsidRPr="001A3F3C">
        <w:rPr>
          <w:color w:val="231F20"/>
          <w:spacing w:val="-1"/>
          <w:sz w:val="18"/>
          <w:szCs w:val="18"/>
        </w:rPr>
        <w:t xml:space="preserve"> </w:t>
      </w:r>
      <w:r w:rsidRPr="001A3F3C">
        <w:rPr>
          <w:color w:val="231F20"/>
          <w:spacing w:val="-4"/>
          <w:sz w:val="18"/>
          <w:szCs w:val="18"/>
        </w:rPr>
        <w:t>2022.</w:t>
      </w:r>
    </w:p>
    <w:p w14:paraId="792F162C" w14:textId="77777777" w:rsidR="00345EE3" w:rsidRPr="00996959" w:rsidRDefault="00345EE3" w:rsidP="00345EE3">
      <w:pPr>
        <w:pStyle w:val="Heading2"/>
        <w:spacing w:before="215"/>
        <w:rPr>
          <w:sz w:val="32"/>
          <w:szCs w:val="32"/>
        </w:rPr>
      </w:pPr>
      <w:r w:rsidRPr="00996959">
        <w:rPr>
          <w:color w:val="00529F"/>
          <w:sz w:val="32"/>
          <w:szCs w:val="32"/>
        </w:rPr>
        <w:t>Our</w:t>
      </w:r>
      <w:r w:rsidRPr="00996959">
        <w:rPr>
          <w:color w:val="00529F"/>
          <w:spacing w:val="-11"/>
          <w:sz w:val="32"/>
          <w:szCs w:val="32"/>
        </w:rPr>
        <w:t xml:space="preserve"> </w:t>
      </w:r>
      <w:r w:rsidRPr="00996959">
        <w:rPr>
          <w:color w:val="00529F"/>
          <w:sz w:val="32"/>
          <w:szCs w:val="32"/>
        </w:rPr>
        <w:t>Operating</w:t>
      </w:r>
      <w:r w:rsidRPr="00996959">
        <w:rPr>
          <w:color w:val="00529F"/>
          <w:spacing w:val="-11"/>
          <w:sz w:val="32"/>
          <w:szCs w:val="32"/>
        </w:rPr>
        <w:t xml:space="preserve"> </w:t>
      </w:r>
      <w:r w:rsidRPr="00996959">
        <w:rPr>
          <w:color w:val="00529F"/>
          <w:spacing w:val="-2"/>
          <w:sz w:val="32"/>
          <w:szCs w:val="32"/>
        </w:rPr>
        <w:t>Environment</w:t>
      </w:r>
    </w:p>
    <w:p w14:paraId="1E729A63" w14:textId="77777777" w:rsidR="00345EE3" w:rsidRDefault="00345EE3" w:rsidP="00345EE3">
      <w:pPr>
        <w:pStyle w:val="BodyText"/>
        <w:spacing w:before="72" w:line="242" w:lineRule="auto"/>
        <w:ind w:right="921"/>
      </w:pPr>
      <w:r>
        <w:rPr>
          <w:color w:val="231F20"/>
        </w:rPr>
        <w:t>Victoria</w:t>
      </w:r>
      <w:r>
        <w:rPr>
          <w:color w:val="231F20"/>
          <w:spacing w:val="-2"/>
        </w:rPr>
        <w:t xml:space="preserve"> </w:t>
      </w:r>
      <w:r>
        <w:rPr>
          <w:color w:val="231F20"/>
        </w:rPr>
        <w:t>Police</w:t>
      </w:r>
      <w:r>
        <w:rPr>
          <w:color w:val="231F20"/>
          <w:spacing w:val="-2"/>
        </w:rPr>
        <w:t xml:space="preserve"> </w:t>
      </w:r>
      <w:r>
        <w:rPr>
          <w:color w:val="231F20"/>
        </w:rPr>
        <w:t>operates</w:t>
      </w:r>
      <w:r>
        <w:rPr>
          <w:color w:val="231F20"/>
          <w:spacing w:val="-2"/>
        </w:rPr>
        <w:t xml:space="preserve"> </w:t>
      </w:r>
      <w:r>
        <w:rPr>
          <w:color w:val="231F20"/>
        </w:rPr>
        <w:t>under</w:t>
      </w:r>
      <w:r>
        <w:rPr>
          <w:color w:val="231F20"/>
          <w:spacing w:val="-2"/>
        </w:rPr>
        <w:t xml:space="preserve"> </w:t>
      </w:r>
      <w:r>
        <w:rPr>
          <w:color w:val="231F20"/>
        </w:rPr>
        <w:t>the</w:t>
      </w:r>
      <w:r>
        <w:rPr>
          <w:color w:val="231F20"/>
          <w:spacing w:val="-2"/>
        </w:rPr>
        <w:t xml:space="preserve"> </w:t>
      </w:r>
      <w:r>
        <w:rPr>
          <w:i/>
          <w:color w:val="231F20"/>
        </w:rPr>
        <w:t>Victoria</w:t>
      </w:r>
      <w:r>
        <w:rPr>
          <w:i/>
          <w:color w:val="231F20"/>
          <w:spacing w:val="-11"/>
        </w:rPr>
        <w:t xml:space="preserve"> </w:t>
      </w:r>
      <w:r>
        <w:rPr>
          <w:i/>
          <w:color w:val="231F20"/>
        </w:rPr>
        <w:t>Police</w:t>
      </w:r>
      <w:r>
        <w:rPr>
          <w:i/>
          <w:color w:val="231F20"/>
          <w:spacing w:val="-11"/>
        </w:rPr>
        <w:t xml:space="preserve"> </w:t>
      </w:r>
      <w:r>
        <w:rPr>
          <w:i/>
          <w:color w:val="231F20"/>
        </w:rPr>
        <w:t>Act</w:t>
      </w:r>
      <w:r>
        <w:rPr>
          <w:i/>
          <w:color w:val="231F20"/>
          <w:spacing w:val="-11"/>
        </w:rPr>
        <w:t xml:space="preserve"> </w:t>
      </w:r>
      <w:r>
        <w:rPr>
          <w:color w:val="231F20"/>
        </w:rPr>
        <w:t>2013.</w:t>
      </w:r>
      <w:r>
        <w:rPr>
          <w:color w:val="231F20"/>
          <w:spacing w:val="-2"/>
        </w:rPr>
        <w:t xml:space="preserve"> </w:t>
      </w:r>
      <w:r>
        <w:rPr>
          <w:color w:val="231F20"/>
        </w:rPr>
        <w:t>Disclosures</w:t>
      </w:r>
      <w:r>
        <w:rPr>
          <w:color w:val="231F20"/>
          <w:spacing w:val="-2"/>
        </w:rPr>
        <w:t xml:space="preserve"> </w:t>
      </w:r>
      <w:r>
        <w:rPr>
          <w:color w:val="231F20"/>
        </w:rPr>
        <w:t>required</w:t>
      </w:r>
      <w:r>
        <w:rPr>
          <w:color w:val="231F20"/>
          <w:spacing w:val="-2"/>
        </w:rPr>
        <w:t xml:space="preserve"> </w:t>
      </w:r>
      <w:r>
        <w:rPr>
          <w:color w:val="231F20"/>
        </w:rPr>
        <w:t>under</w:t>
      </w:r>
      <w:r>
        <w:rPr>
          <w:color w:val="231F20"/>
          <w:spacing w:val="-2"/>
        </w:rPr>
        <w:t xml:space="preserve"> </w:t>
      </w:r>
      <w:r>
        <w:rPr>
          <w:color w:val="231F20"/>
        </w:rPr>
        <w:t xml:space="preserve">the </w:t>
      </w:r>
      <w:r>
        <w:rPr>
          <w:i/>
          <w:color w:val="231F20"/>
        </w:rPr>
        <w:t>Victoria</w:t>
      </w:r>
      <w:r>
        <w:rPr>
          <w:i/>
          <w:color w:val="231F20"/>
          <w:spacing w:val="-17"/>
        </w:rPr>
        <w:t xml:space="preserve"> </w:t>
      </w:r>
      <w:r>
        <w:rPr>
          <w:i/>
          <w:color w:val="231F20"/>
        </w:rPr>
        <w:t>Police</w:t>
      </w:r>
      <w:r>
        <w:rPr>
          <w:i/>
          <w:color w:val="231F20"/>
          <w:spacing w:val="-17"/>
        </w:rPr>
        <w:t xml:space="preserve"> </w:t>
      </w:r>
      <w:r>
        <w:rPr>
          <w:i/>
          <w:color w:val="231F20"/>
        </w:rPr>
        <w:t>Act</w:t>
      </w:r>
      <w:r>
        <w:rPr>
          <w:i/>
          <w:color w:val="231F20"/>
          <w:spacing w:val="-16"/>
        </w:rPr>
        <w:t xml:space="preserve"> </w:t>
      </w:r>
      <w:r>
        <w:rPr>
          <w:color w:val="231F20"/>
        </w:rPr>
        <w:t>2013</w:t>
      </w:r>
      <w:r>
        <w:rPr>
          <w:color w:val="231F20"/>
          <w:spacing w:val="-17"/>
        </w:rPr>
        <w:t xml:space="preserve"> </w:t>
      </w:r>
      <w:r>
        <w:rPr>
          <w:color w:val="231F20"/>
        </w:rPr>
        <w:t>and</w:t>
      </w:r>
      <w:r>
        <w:rPr>
          <w:color w:val="231F20"/>
          <w:spacing w:val="-17"/>
        </w:rPr>
        <w:t xml:space="preserve"> </w:t>
      </w:r>
      <w:r>
        <w:rPr>
          <w:color w:val="231F20"/>
        </w:rPr>
        <w:t>other</w:t>
      </w:r>
      <w:r>
        <w:rPr>
          <w:color w:val="231F20"/>
          <w:spacing w:val="-17"/>
        </w:rPr>
        <w:t xml:space="preserve"> </w:t>
      </w:r>
      <w:r>
        <w:rPr>
          <w:color w:val="231F20"/>
        </w:rPr>
        <w:t>legislation,</w:t>
      </w:r>
      <w:r>
        <w:rPr>
          <w:color w:val="231F20"/>
          <w:spacing w:val="-16"/>
        </w:rPr>
        <w:t xml:space="preserve"> </w:t>
      </w:r>
      <w:r>
        <w:rPr>
          <w:color w:val="231F20"/>
        </w:rPr>
        <w:t>as</w:t>
      </w:r>
      <w:r>
        <w:rPr>
          <w:color w:val="231F20"/>
          <w:spacing w:val="-17"/>
        </w:rPr>
        <w:t xml:space="preserve"> </w:t>
      </w:r>
      <w:r>
        <w:rPr>
          <w:color w:val="231F20"/>
        </w:rPr>
        <w:t>well</w:t>
      </w:r>
      <w:r>
        <w:rPr>
          <w:color w:val="231F20"/>
          <w:spacing w:val="-17"/>
        </w:rPr>
        <w:t xml:space="preserve"> </w:t>
      </w:r>
      <w:r>
        <w:rPr>
          <w:color w:val="231F20"/>
        </w:rPr>
        <w:t>as</w:t>
      </w:r>
      <w:r>
        <w:rPr>
          <w:color w:val="231F20"/>
          <w:spacing w:val="-16"/>
        </w:rPr>
        <w:t xml:space="preserve"> </w:t>
      </w:r>
      <w:r>
        <w:rPr>
          <w:color w:val="231F20"/>
        </w:rPr>
        <w:t>additional</w:t>
      </w:r>
      <w:r>
        <w:rPr>
          <w:color w:val="231F20"/>
          <w:spacing w:val="-17"/>
        </w:rPr>
        <w:t xml:space="preserve"> </w:t>
      </w:r>
      <w:r>
        <w:rPr>
          <w:color w:val="231F20"/>
        </w:rPr>
        <w:t>reporting</w:t>
      </w:r>
      <w:r>
        <w:rPr>
          <w:color w:val="231F20"/>
          <w:spacing w:val="-17"/>
        </w:rPr>
        <w:t xml:space="preserve"> </w:t>
      </w:r>
      <w:r>
        <w:rPr>
          <w:color w:val="231F20"/>
        </w:rPr>
        <w:t>requirements,</w:t>
      </w:r>
      <w:r>
        <w:rPr>
          <w:color w:val="231F20"/>
          <w:spacing w:val="-16"/>
        </w:rPr>
        <w:t xml:space="preserve"> </w:t>
      </w:r>
      <w:r>
        <w:rPr>
          <w:color w:val="231F20"/>
        </w:rPr>
        <w:t>are presented in Chapter 5.</w:t>
      </w:r>
    </w:p>
    <w:p w14:paraId="2D9979F2" w14:textId="77777777" w:rsidR="00345EE3" w:rsidRDefault="00345EE3" w:rsidP="00345EE3">
      <w:pPr>
        <w:spacing w:before="74"/>
        <w:ind w:left="177"/>
        <w:rPr>
          <w:sz w:val="14"/>
        </w:rPr>
      </w:pPr>
    </w:p>
    <w:p w14:paraId="73E7F24E" w14:textId="77777777" w:rsidR="00345EE3" w:rsidRDefault="00345EE3" w:rsidP="00345EE3">
      <w:pPr>
        <w:rPr>
          <w:color w:val="00529F"/>
          <w:sz w:val="32"/>
          <w:szCs w:val="32"/>
        </w:rPr>
      </w:pPr>
      <w:r>
        <w:rPr>
          <w:color w:val="00529F"/>
        </w:rPr>
        <w:br w:type="page"/>
      </w:r>
    </w:p>
    <w:p w14:paraId="24479FC9" w14:textId="77777777" w:rsidR="00345EE3" w:rsidRPr="00996959" w:rsidRDefault="00345EE3" w:rsidP="00345EE3">
      <w:pPr>
        <w:pStyle w:val="Heading2"/>
        <w:rPr>
          <w:sz w:val="32"/>
          <w:szCs w:val="32"/>
        </w:rPr>
      </w:pPr>
      <w:r w:rsidRPr="00996959">
        <w:rPr>
          <w:color w:val="00529F"/>
          <w:sz w:val="32"/>
          <w:szCs w:val="32"/>
        </w:rPr>
        <w:lastRenderedPageBreak/>
        <w:t>Our</w:t>
      </w:r>
      <w:r w:rsidRPr="00996959">
        <w:rPr>
          <w:color w:val="00529F"/>
          <w:spacing w:val="-17"/>
          <w:sz w:val="32"/>
          <w:szCs w:val="32"/>
        </w:rPr>
        <w:t xml:space="preserve"> </w:t>
      </w:r>
      <w:r w:rsidRPr="00996959">
        <w:rPr>
          <w:color w:val="00529F"/>
          <w:sz w:val="32"/>
          <w:szCs w:val="32"/>
        </w:rPr>
        <w:t>Organisational</w:t>
      </w:r>
      <w:r w:rsidRPr="00996959">
        <w:rPr>
          <w:color w:val="00529F"/>
          <w:spacing w:val="-17"/>
          <w:sz w:val="32"/>
          <w:szCs w:val="32"/>
        </w:rPr>
        <w:t xml:space="preserve"> </w:t>
      </w:r>
      <w:r w:rsidRPr="00996959">
        <w:rPr>
          <w:color w:val="00529F"/>
          <w:spacing w:val="-2"/>
          <w:sz w:val="32"/>
          <w:szCs w:val="32"/>
        </w:rPr>
        <w:t>Structure</w:t>
      </w:r>
    </w:p>
    <w:p w14:paraId="6AC9A8D3" w14:textId="77777777" w:rsidR="00345EE3" w:rsidRDefault="00345EE3" w:rsidP="00345EE3">
      <w:pPr>
        <w:spacing w:before="78"/>
        <w:ind w:left="110"/>
        <w:rPr>
          <w:rFonts w:ascii="Arial-BoldItalicMT"/>
          <w:b/>
          <w:i/>
          <w:sz w:val="18"/>
        </w:rPr>
      </w:pPr>
      <w:r>
        <w:rPr>
          <w:color w:val="231F20"/>
          <w:sz w:val="18"/>
        </w:rPr>
        <w:t>Figure</w:t>
      </w:r>
      <w:r>
        <w:rPr>
          <w:color w:val="231F20"/>
          <w:spacing w:val="-3"/>
          <w:sz w:val="18"/>
        </w:rPr>
        <w:t xml:space="preserve"> </w:t>
      </w:r>
      <w:r>
        <w:rPr>
          <w:color w:val="231F20"/>
          <w:sz w:val="18"/>
        </w:rPr>
        <w:t>1.2:</w:t>
      </w:r>
      <w:r>
        <w:rPr>
          <w:color w:val="231F20"/>
          <w:spacing w:val="-5"/>
          <w:sz w:val="18"/>
        </w:rPr>
        <w:t xml:space="preserve"> </w:t>
      </w:r>
      <w:r w:rsidRPr="001A3F3C">
        <w:rPr>
          <w:rFonts w:ascii="Arial-BoldItalicMT"/>
          <w:bCs/>
          <w:i/>
          <w:color w:val="231F20"/>
          <w:sz w:val="18"/>
        </w:rPr>
        <w:t>Victoria</w:t>
      </w:r>
      <w:r w:rsidRPr="001A3F3C">
        <w:rPr>
          <w:rFonts w:ascii="Arial-BoldItalicMT"/>
          <w:bCs/>
          <w:i/>
          <w:color w:val="231F20"/>
          <w:spacing w:val="-7"/>
          <w:sz w:val="18"/>
        </w:rPr>
        <w:t xml:space="preserve"> </w:t>
      </w:r>
      <w:r w:rsidRPr="001A3F3C">
        <w:rPr>
          <w:rFonts w:ascii="Arial-BoldItalicMT"/>
          <w:bCs/>
          <w:i/>
          <w:color w:val="231F20"/>
          <w:sz w:val="18"/>
        </w:rPr>
        <w:t>Police</w:t>
      </w:r>
      <w:r w:rsidRPr="001A3F3C">
        <w:rPr>
          <w:rFonts w:ascii="Arial-BoldItalicMT"/>
          <w:bCs/>
          <w:i/>
          <w:color w:val="231F20"/>
          <w:spacing w:val="-7"/>
          <w:sz w:val="18"/>
        </w:rPr>
        <w:t xml:space="preserve"> </w:t>
      </w:r>
      <w:r w:rsidRPr="001A3F3C">
        <w:rPr>
          <w:rFonts w:ascii="Arial-BoldItalicMT"/>
          <w:bCs/>
          <w:i/>
          <w:color w:val="231F20"/>
          <w:sz w:val="18"/>
        </w:rPr>
        <w:t>Organisational</w:t>
      </w:r>
      <w:r w:rsidRPr="001A3F3C">
        <w:rPr>
          <w:rFonts w:ascii="Arial-BoldItalicMT"/>
          <w:bCs/>
          <w:i/>
          <w:color w:val="231F20"/>
          <w:spacing w:val="-6"/>
          <w:sz w:val="18"/>
        </w:rPr>
        <w:t xml:space="preserve"> </w:t>
      </w:r>
      <w:r w:rsidRPr="001A3F3C">
        <w:rPr>
          <w:rFonts w:ascii="Arial-BoldItalicMT"/>
          <w:bCs/>
          <w:i/>
          <w:color w:val="231F20"/>
          <w:spacing w:val="-4"/>
          <w:sz w:val="18"/>
        </w:rPr>
        <w:t>Chart</w:t>
      </w:r>
    </w:p>
    <w:p w14:paraId="555E9971" w14:textId="77777777" w:rsidR="00345EE3" w:rsidRDefault="00345EE3" w:rsidP="00345EE3">
      <w:pPr>
        <w:pStyle w:val="BodyText"/>
        <w:spacing w:before="1"/>
        <w:rPr>
          <w:rFonts w:ascii="Arial-BoldItalicMT"/>
          <w:b/>
          <w:i/>
          <w:sz w:val="26"/>
        </w:rPr>
      </w:pPr>
      <w:r>
        <w:rPr>
          <w:noProof/>
        </w:rPr>
        <w:drawing>
          <wp:inline distT="0" distB="0" distL="0" distR="0" wp14:anchorId="129FA091" wp14:editId="684ABA15">
            <wp:extent cx="6480037" cy="8238744"/>
            <wp:effectExtent l="0" t="0" r="0" b="0"/>
            <wp:docPr id="7" name="image4.jpeg" descr="Graphical representation of Victoria Police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Graphical representation of Victoria Police Organisational Stru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037" cy="8238744"/>
                    </a:xfrm>
                    <a:prstGeom prst="rect">
                      <a:avLst/>
                    </a:prstGeom>
                  </pic:spPr>
                </pic:pic>
              </a:graphicData>
            </a:graphic>
          </wp:inline>
        </w:drawing>
      </w:r>
    </w:p>
    <w:p w14:paraId="29316862" w14:textId="77777777" w:rsidR="00345EE3" w:rsidRDefault="00345EE3" w:rsidP="00345EE3">
      <w:pPr>
        <w:pStyle w:val="BodyText"/>
        <w:spacing w:before="10"/>
        <w:rPr>
          <w:rFonts w:ascii="Arial-BoldItalicMT"/>
          <w:b/>
          <w:i/>
          <w:sz w:val="21"/>
        </w:rPr>
      </w:pPr>
    </w:p>
    <w:p w14:paraId="677E3364" w14:textId="77777777" w:rsidR="00345EE3" w:rsidRPr="001A3F3C" w:rsidRDefault="00345EE3" w:rsidP="00345EE3">
      <w:pPr>
        <w:spacing w:before="1"/>
        <w:ind w:left="199"/>
        <w:rPr>
          <w:sz w:val="18"/>
          <w:szCs w:val="18"/>
        </w:rPr>
      </w:pPr>
      <w:r w:rsidRPr="001A3F3C">
        <w:rPr>
          <w:rFonts w:ascii="Arial-BoldItalicMT"/>
          <w:b/>
          <w:i/>
          <w:color w:val="231F20"/>
          <w:sz w:val="18"/>
          <w:szCs w:val="18"/>
        </w:rPr>
        <w:t>Note</w:t>
      </w:r>
      <w:r w:rsidRPr="001A3F3C">
        <w:rPr>
          <w:color w:val="231F20"/>
          <w:sz w:val="18"/>
          <w:szCs w:val="18"/>
        </w:rPr>
        <w:t>:</w:t>
      </w:r>
      <w:r w:rsidRPr="001A3F3C">
        <w:rPr>
          <w:color w:val="231F20"/>
          <w:spacing w:val="1"/>
          <w:sz w:val="18"/>
          <w:szCs w:val="18"/>
        </w:rPr>
        <w:t xml:space="preserve"> </w:t>
      </w:r>
      <w:r w:rsidRPr="001A3F3C">
        <w:rPr>
          <w:color w:val="231F20"/>
          <w:sz w:val="18"/>
          <w:szCs w:val="18"/>
        </w:rPr>
        <w:t>Data</w:t>
      </w:r>
      <w:r w:rsidRPr="001A3F3C">
        <w:rPr>
          <w:color w:val="231F20"/>
          <w:spacing w:val="3"/>
          <w:sz w:val="18"/>
          <w:szCs w:val="18"/>
        </w:rPr>
        <w:t xml:space="preserve"> </w:t>
      </w:r>
      <w:r w:rsidRPr="001A3F3C">
        <w:rPr>
          <w:color w:val="231F20"/>
          <w:sz w:val="18"/>
          <w:szCs w:val="18"/>
        </w:rPr>
        <w:t>as</w:t>
      </w:r>
      <w:r w:rsidRPr="001A3F3C">
        <w:rPr>
          <w:color w:val="231F20"/>
          <w:spacing w:val="3"/>
          <w:sz w:val="18"/>
          <w:szCs w:val="18"/>
        </w:rPr>
        <w:t xml:space="preserve"> </w:t>
      </w:r>
      <w:r w:rsidRPr="001A3F3C">
        <w:rPr>
          <w:color w:val="231F20"/>
          <w:sz w:val="18"/>
          <w:szCs w:val="18"/>
        </w:rPr>
        <w:t>at</w:t>
      </w:r>
      <w:r w:rsidRPr="001A3F3C">
        <w:rPr>
          <w:color w:val="231F20"/>
          <w:spacing w:val="4"/>
          <w:sz w:val="18"/>
          <w:szCs w:val="18"/>
        </w:rPr>
        <w:t xml:space="preserve"> </w:t>
      </w:r>
      <w:r w:rsidRPr="001A3F3C">
        <w:rPr>
          <w:color w:val="231F20"/>
          <w:sz w:val="18"/>
          <w:szCs w:val="18"/>
        </w:rPr>
        <w:t>1</w:t>
      </w:r>
      <w:r w:rsidRPr="001A3F3C">
        <w:rPr>
          <w:color w:val="231F20"/>
          <w:spacing w:val="2"/>
          <w:sz w:val="18"/>
          <w:szCs w:val="18"/>
        </w:rPr>
        <w:t xml:space="preserve"> </w:t>
      </w:r>
      <w:r w:rsidRPr="001A3F3C">
        <w:rPr>
          <w:color w:val="231F20"/>
          <w:sz w:val="18"/>
          <w:szCs w:val="18"/>
        </w:rPr>
        <w:t>June</w:t>
      </w:r>
      <w:r w:rsidRPr="001A3F3C">
        <w:rPr>
          <w:color w:val="231F20"/>
          <w:spacing w:val="3"/>
          <w:sz w:val="18"/>
          <w:szCs w:val="18"/>
        </w:rPr>
        <w:t xml:space="preserve"> </w:t>
      </w:r>
      <w:r w:rsidRPr="001A3F3C">
        <w:rPr>
          <w:color w:val="231F20"/>
          <w:spacing w:val="-4"/>
          <w:sz w:val="18"/>
          <w:szCs w:val="18"/>
        </w:rPr>
        <w:t>2022.</w:t>
      </w:r>
    </w:p>
    <w:p w14:paraId="6F868194" w14:textId="77777777" w:rsidR="00345EE3" w:rsidRDefault="00345EE3" w:rsidP="00345EE3">
      <w:pPr>
        <w:pStyle w:val="BodyText"/>
        <w:spacing w:before="1"/>
        <w:rPr>
          <w:sz w:val="18"/>
        </w:rPr>
        <w:sectPr w:rsidR="00345EE3">
          <w:pgSz w:w="11910" w:h="16840"/>
          <w:pgMar w:top="700" w:right="0" w:bottom="280" w:left="740" w:header="720" w:footer="720" w:gutter="0"/>
          <w:cols w:space="720"/>
        </w:sectPr>
      </w:pPr>
    </w:p>
    <w:p w14:paraId="16260D72" w14:textId="77777777" w:rsidR="00345EE3" w:rsidRPr="00996959" w:rsidRDefault="00345EE3" w:rsidP="00345EE3">
      <w:pPr>
        <w:pStyle w:val="Heading2"/>
        <w:spacing w:before="0"/>
        <w:rPr>
          <w:sz w:val="32"/>
          <w:szCs w:val="32"/>
        </w:rPr>
      </w:pPr>
      <w:r w:rsidRPr="00996959">
        <w:rPr>
          <w:color w:val="00529F"/>
          <w:sz w:val="32"/>
          <w:szCs w:val="32"/>
        </w:rPr>
        <w:lastRenderedPageBreak/>
        <w:t>Senior</w:t>
      </w:r>
      <w:r w:rsidRPr="00996959">
        <w:rPr>
          <w:color w:val="00529F"/>
          <w:spacing w:val="-20"/>
          <w:sz w:val="32"/>
          <w:szCs w:val="32"/>
        </w:rPr>
        <w:t xml:space="preserve"> </w:t>
      </w:r>
      <w:r w:rsidRPr="00996959">
        <w:rPr>
          <w:color w:val="00529F"/>
          <w:sz w:val="32"/>
          <w:szCs w:val="32"/>
        </w:rPr>
        <w:t>Leadership</w:t>
      </w:r>
      <w:r w:rsidRPr="00996959">
        <w:rPr>
          <w:color w:val="00529F"/>
          <w:spacing w:val="-19"/>
          <w:sz w:val="32"/>
          <w:szCs w:val="32"/>
        </w:rPr>
        <w:t xml:space="preserve"> </w:t>
      </w:r>
      <w:r w:rsidRPr="00996959">
        <w:rPr>
          <w:color w:val="00529F"/>
          <w:spacing w:val="-4"/>
          <w:sz w:val="32"/>
          <w:szCs w:val="32"/>
        </w:rPr>
        <w:t>Group</w:t>
      </w:r>
    </w:p>
    <w:p w14:paraId="4CDE797F" w14:textId="77777777" w:rsidR="00345EE3" w:rsidRPr="00703B95" w:rsidRDefault="00345EE3" w:rsidP="002A27BA">
      <w:pPr>
        <w:pStyle w:val="Heading3"/>
      </w:pPr>
      <w:r w:rsidRPr="00703B95">
        <w:t>Executive</w:t>
      </w:r>
      <w:r w:rsidRPr="00703B95">
        <w:rPr>
          <w:spacing w:val="-9"/>
        </w:rPr>
        <w:t xml:space="preserve"> </w:t>
      </w:r>
      <w:r w:rsidRPr="00703B95">
        <w:rPr>
          <w:spacing w:val="-2"/>
        </w:rPr>
        <w:t>Command</w:t>
      </w:r>
    </w:p>
    <w:p w14:paraId="0DE7E7FD" w14:textId="77777777" w:rsidR="00345EE3" w:rsidRDefault="00345EE3" w:rsidP="00345EE3">
      <w:pPr>
        <w:pStyle w:val="BodyText"/>
        <w:spacing w:before="52" w:line="242" w:lineRule="auto"/>
        <w:ind w:right="921"/>
      </w:pPr>
      <w:r>
        <w:rPr>
          <w:color w:val="231F20"/>
        </w:rPr>
        <w:t>Executive Command is the primary decision-making body for Victoria Police. Executive Command sets the strategic direction of Victoria Police, monitors organisational performance, determines</w:t>
      </w:r>
      <w:r>
        <w:rPr>
          <w:color w:val="231F20"/>
          <w:spacing w:val="-14"/>
        </w:rPr>
        <w:t xml:space="preserve"> </w:t>
      </w:r>
      <w:r>
        <w:rPr>
          <w:color w:val="231F20"/>
        </w:rPr>
        <w:t>key</w:t>
      </w:r>
      <w:r>
        <w:rPr>
          <w:color w:val="231F20"/>
          <w:spacing w:val="-14"/>
        </w:rPr>
        <w:t xml:space="preserve"> </w:t>
      </w:r>
      <w:r>
        <w:rPr>
          <w:color w:val="231F20"/>
        </w:rPr>
        <w:t>priorities</w:t>
      </w:r>
      <w:r>
        <w:rPr>
          <w:color w:val="231F20"/>
          <w:spacing w:val="-14"/>
        </w:rPr>
        <w:t xml:space="preserve"> </w:t>
      </w:r>
      <w:r>
        <w:rPr>
          <w:color w:val="231F20"/>
        </w:rPr>
        <w:t>and</w:t>
      </w:r>
      <w:r>
        <w:rPr>
          <w:color w:val="231F20"/>
          <w:spacing w:val="-14"/>
        </w:rPr>
        <w:t xml:space="preserve"> </w:t>
      </w:r>
      <w:r>
        <w:rPr>
          <w:color w:val="231F20"/>
        </w:rPr>
        <w:t>risks,</w:t>
      </w:r>
      <w:r>
        <w:rPr>
          <w:color w:val="231F20"/>
          <w:spacing w:val="-14"/>
        </w:rPr>
        <w:t xml:space="preserve"> </w:t>
      </w:r>
      <w:r>
        <w:rPr>
          <w:color w:val="231F20"/>
        </w:rPr>
        <w:t>manages</w:t>
      </w:r>
      <w:r>
        <w:rPr>
          <w:color w:val="231F20"/>
          <w:spacing w:val="-14"/>
        </w:rPr>
        <w:t xml:space="preserve"> </w:t>
      </w:r>
      <w:r>
        <w:rPr>
          <w:color w:val="231F20"/>
        </w:rPr>
        <w:t>organisational</w:t>
      </w:r>
      <w:r>
        <w:rPr>
          <w:color w:val="231F20"/>
          <w:spacing w:val="-14"/>
        </w:rPr>
        <w:t xml:space="preserve"> </w:t>
      </w:r>
      <w:r>
        <w:rPr>
          <w:color w:val="231F20"/>
        </w:rPr>
        <w:t>capacity</w:t>
      </w:r>
      <w:r>
        <w:rPr>
          <w:color w:val="231F20"/>
          <w:spacing w:val="-14"/>
        </w:rPr>
        <w:t xml:space="preserve"> </w:t>
      </w:r>
      <w:r>
        <w:rPr>
          <w:color w:val="231F20"/>
        </w:rPr>
        <w:t>and</w:t>
      </w:r>
      <w:r>
        <w:rPr>
          <w:color w:val="231F20"/>
          <w:spacing w:val="-14"/>
        </w:rPr>
        <w:t xml:space="preserve"> </w:t>
      </w:r>
      <w:r>
        <w:rPr>
          <w:color w:val="231F20"/>
        </w:rPr>
        <w:t>capability,</w:t>
      </w:r>
      <w:r>
        <w:rPr>
          <w:color w:val="231F20"/>
          <w:spacing w:val="-14"/>
        </w:rPr>
        <w:t xml:space="preserve"> </w:t>
      </w:r>
      <w:r>
        <w:rPr>
          <w:color w:val="231F20"/>
        </w:rPr>
        <w:t>establishes how government policy will be implemented and advances initiatives and reforms.</w:t>
      </w:r>
    </w:p>
    <w:p w14:paraId="14BB8923" w14:textId="77777777" w:rsidR="00345EE3" w:rsidRDefault="00345EE3" w:rsidP="00345EE3">
      <w:pPr>
        <w:pStyle w:val="BodyText"/>
        <w:spacing w:before="118" w:line="242" w:lineRule="auto"/>
        <w:ind w:right="921"/>
      </w:pPr>
      <w:r>
        <w:rPr>
          <w:color w:val="231F20"/>
        </w:rPr>
        <w:t>Executive</w:t>
      </w:r>
      <w:r>
        <w:rPr>
          <w:color w:val="231F20"/>
          <w:spacing w:val="-9"/>
        </w:rPr>
        <w:t xml:space="preserve"> </w:t>
      </w:r>
      <w:r>
        <w:rPr>
          <w:color w:val="231F20"/>
        </w:rPr>
        <w:t>Command</w:t>
      </w:r>
      <w:r>
        <w:rPr>
          <w:color w:val="231F20"/>
          <w:spacing w:val="-9"/>
        </w:rPr>
        <w:t xml:space="preserve"> </w:t>
      </w:r>
      <w:r>
        <w:rPr>
          <w:color w:val="231F20"/>
        </w:rPr>
        <w:t>is</w:t>
      </w:r>
      <w:r>
        <w:rPr>
          <w:color w:val="231F20"/>
          <w:spacing w:val="-8"/>
        </w:rPr>
        <w:t xml:space="preserve"> </w:t>
      </w:r>
      <w:r>
        <w:rPr>
          <w:color w:val="231F20"/>
        </w:rPr>
        <w:t>made</w:t>
      </w:r>
      <w:r>
        <w:rPr>
          <w:color w:val="231F20"/>
          <w:spacing w:val="-9"/>
        </w:rPr>
        <w:t xml:space="preserve"> </w:t>
      </w:r>
      <w:r>
        <w:rPr>
          <w:color w:val="231F20"/>
        </w:rPr>
        <w:t>up</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Chief</w:t>
      </w:r>
      <w:r>
        <w:rPr>
          <w:color w:val="231F20"/>
          <w:spacing w:val="-8"/>
        </w:rPr>
        <w:t xml:space="preserve"> </w:t>
      </w:r>
      <w:r>
        <w:rPr>
          <w:color w:val="231F20"/>
        </w:rPr>
        <w:t>Commissioner</w:t>
      </w:r>
      <w:r>
        <w:rPr>
          <w:color w:val="231F20"/>
          <w:spacing w:val="-8"/>
        </w:rPr>
        <w:t xml:space="preserve"> </w:t>
      </w:r>
      <w:r>
        <w:rPr>
          <w:color w:val="231F20"/>
        </w:rPr>
        <w:t>of</w:t>
      </w:r>
      <w:r>
        <w:rPr>
          <w:color w:val="231F20"/>
          <w:spacing w:val="-8"/>
        </w:rPr>
        <w:t xml:space="preserve"> </w:t>
      </w:r>
      <w:r>
        <w:rPr>
          <w:color w:val="231F20"/>
        </w:rPr>
        <w:t>Police,</w:t>
      </w:r>
      <w:r>
        <w:rPr>
          <w:color w:val="231F20"/>
          <w:spacing w:val="-8"/>
        </w:rPr>
        <w:t xml:space="preserve"> </w:t>
      </w:r>
      <w:r>
        <w:rPr>
          <w:color w:val="231F20"/>
        </w:rPr>
        <w:t>all</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Deputy Commissioners and Deputy Secretaries and an independent member. The current Executive Command members are:</w:t>
      </w:r>
    </w:p>
    <w:p w14:paraId="7988CE57" w14:textId="77777777" w:rsidR="00345EE3" w:rsidRDefault="00345EE3">
      <w:pPr>
        <w:pStyle w:val="ListParagraph"/>
        <w:numPr>
          <w:ilvl w:val="1"/>
          <w:numId w:val="93"/>
        </w:numPr>
        <w:tabs>
          <w:tab w:val="left" w:pos="393"/>
          <w:tab w:val="left" w:pos="394"/>
        </w:tabs>
        <w:rPr>
          <w:sz w:val="24"/>
        </w:rPr>
      </w:pPr>
      <w:r>
        <w:rPr>
          <w:b/>
          <w:color w:val="231F20"/>
          <w:sz w:val="24"/>
        </w:rPr>
        <w:t>Shane</w:t>
      </w:r>
      <w:r>
        <w:rPr>
          <w:b/>
          <w:color w:val="231F20"/>
          <w:spacing w:val="-7"/>
          <w:sz w:val="24"/>
        </w:rPr>
        <w:t xml:space="preserve"> </w:t>
      </w:r>
      <w:r>
        <w:rPr>
          <w:b/>
          <w:color w:val="231F20"/>
          <w:sz w:val="24"/>
        </w:rPr>
        <w:t>Patton</w:t>
      </w:r>
      <w:r>
        <w:rPr>
          <w:b/>
          <w:color w:val="231F20"/>
          <w:spacing w:val="-5"/>
          <w:sz w:val="24"/>
        </w:rPr>
        <w:t xml:space="preserve"> </w:t>
      </w:r>
      <w:r>
        <w:rPr>
          <w:b/>
          <w:color w:val="231F20"/>
          <w:sz w:val="24"/>
        </w:rPr>
        <w:t>APM</w:t>
      </w:r>
      <w:r>
        <w:rPr>
          <w:b/>
          <w:color w:val="231F20"/>
          <w:spacing w:val="-5"/>
          <w:sz w:val="24"/>
        </w:rPr>
        <w:t xml:space="preserve"> </w:t>
      </w:r>
      <w:r>
        <w:rPr>
          <w:color w:val="231F20"/>
          <w:sz w:val="24"/>
        </w:rPr>
        <w:t>–</w:t>
      </w:r>
      <w:r>
        <w:rPr>
          <w:color w:val="231F20"/>
          <w:spacing w:val="-7"/>
          <w:sz w:val="24"/>
        </w:rPr>
        <w:t xml:space="preserve"> </w:t>
      </w:r>
      <w:r>
        <w:rPr>
          <w:color w:val="231F20"/>
          <w:sz w:val="24"/>
        </w:rPr>
        <w:t>Chief</w:t>
      </w:r>
      <w:r>
        <w:rPr>
          <w:color w:val="231F20"/>
          <w:spacing w:val="-5"/>
          <w:sz w:val="24"/>
        </w:rPr>
        <w:t xml:space="preserve"> </w:t>
      </w:r>
      <w:r>
        <w:rPr>
          <w:color w:val="231F20"/>
          <w:sz w:val="24"/>
        </w:rPr>
        <w:t>Commissioner</w:t>
      </w:r>
      <w:r>
        <w:rPr>
          <w:color w:val="231F20"/>
          <w:spacing w:val="-5"/>
          <w:sz w:val="24"/>
        </w:rPr>
        <w:t xml:space="preserve"> </w:t>
      </w:r>
      <w:r>
        <w:rPr>
          <w:color w:val="231F20"/>
          <w:sz w:val="24"/>
        </w:rPr>
        <w:t>of</w:t>
      </w:r>
      <w:r>
        <w:rPr>
          <w:color w:val="231F20"/>
          <w:spacing w:val="-5"/>
          <w:sz w:val="24"/>
        </w:rPr>
        <w:t xml:space="preserve"> </w:t>
      </w:r>
      <w:r>
        <w:rPr>
          <w:color w:val="231F20"/>
          <w:spacing w:val="-2"/>
          <w:sz w:val="24"/>
        </w:rPr>
        <w:t>Police</w:t>
      </w:r>
    </w:p>
    <w:p w14:paraId="1060DC84" w14:textId="77777777" w:rsidR="00345EE3" w:rsidRDefault="00345EE3">
      <w:pPr>
        <w:pStyle w:val="ListParagraph"/>
        <w:numPr>
          <w:ilvl w:val="1"/>
          <w:numId w:val="93"/>
        </w:numPr>
        <w:tabs>
          <w:tab w:val="left" w:pos="393"/>
          <w:tab w:val="left" w:pos="394"/>
        </w:tabs>
        <w:spacing w:before="33"/>
        <w:rPr>
          <w:sz w:val="24"/>
        </w:rPr>
      </w:pPr>
      <w:r>
        <w:rPr>
          <w:b/>
          <w:color w:val="231F20"/>
          <w:sz w:val="24"/>
        </w:rPr>
        <w:t>Wendy</w:t>
      </w:r>
      <w:r>
        <w:rPr>
          <w:b/>
          <w:color w:val="231F20"/>
          <w:spacing w:val="-9"/>
          <w:sz w:val="24"/>
        </w:rPr>
        <w:t xml:space="preserve"> </w:t>
      </w:r>
      <w:r>
        <w:rPr>
          <w:b/>
          <w:color w:val="231F20"/>
          <w:sz w:val="24"/>
        </w:rPr>
        <w:t>Steendam</w:t>
      </w:r>
      <w:r>
        <w:rPr>
          <w:b/>
          <w:color w:val="231F20"/>
          <w:spacing w:val="-7"/>
          <w:sz w:val="24"/>
        </w:rPr>
        <w:t xml:space="preserve"> </w:t>
      </w:r>
      <w:r>
        <w:rPr>
          <w:b/>
          <w:color w:val="231F20"/>
          <w:sz w:val="24"/>
        </w:rPr>
        <w:t>AM</w:t>
      </w:r>
      <w:r>
        <w:rPr>
          <w:b/>
          <w:color w:val="231F20"/>
          <w:spacing w:val="-6"/>
          <w:sz w:val="24"/>
        </w:rPr>
        <w:t xml:space="preserve"> </w:t>
      </w:r>
      <w:r>
        <w:rPr>
          <w:b/>
          <w:color w:val="231F20"/>
          <w:sz w:val="24"/>
        </w:rPr>
        <w:t>APM</w:t>
      </w:r>
      <w:r>
        <w:rPr>
          <w:b/>
          <w:color w:val="231F20"/>
          <w:spacing w:val="-6"/>
          <w:sz w:val="24"/>
        </w:rPr>
        <w:t xml:space="preserve"> </w:t>
      </w:r>
      <w:r>
        <w:rPr>
          <w:color w:val="231F20"/>
          <w:sz w:val="24"/>
        </w:rPr>
        <w:t>–</w:t>
      </w:r>
      <w:r>
        <w:rPr>
          <w:color w:val="231F20"/>
          <w:spacing w:val="-6"/>
          <w:sz w:val="24"/>
        </w:rPr>
        <w:t xml:space="preserve"> </w:t>
      </w:r>
      <w:r>
        <w:rPr>
          <w:color w:val="231F20"/>
          <w:sz w:val="24"/>
        </w:rPr>
        <w:t>Deputy</w:t>
      </w:r>
      <w:r>
        <w:rPr>
          <w:color w:val="231F20"/>
          <w:spacing w:val="-6"/>
          <w:sz w:val="24"/>
        </w:rPr>
        <w:t xml:space="preserve"> </w:t>
      </w:r>
      <w:r>
        <w:rPr>
          <w:color w:val="231F20"/>
          <w:sz w:val="24"/>
        </w:rPr>
        <w:t>Commissioner</w:t>
      </w:r>
      <w:r>
        <w:rPr>
          <w:color w:val="231F20"/>
          <w:spacing w:val="-6"/>
          <w:sz w:val="24"/>
        </w:rPr>
        <w:t xml:space="preserve"> </w:t>
      </w:r>
      <w:r>
        <w:rPr>
          <w:color w:val="231F20"/>
          <w:sz w:val="24"/>
        </w:rPr>
        <w:t>Specialist</w:t>
      </w:r>
      <w:r>
        <w:rPr>
          <w:color w:val="231F20"/>
          <w:spacing w:val="-6"/>
          <w:sz w:val="24"/>
        </w:rPr>
        <w:t xml:space="preserve"> </w:t>
      </w:r>
      <w:r>
        <w:rPr>
          <w:color w:val="231F20"/>
          <w:sz w:val="24"/>
        </w:rPr>
        <w:t>Operations</w:t>
      </w:r>
      <w:r>
        <w:rPr>
          <w:color w:val="231F20"/>
          <w:spacing w:val="-5"/>
          <w:sz w:val="24"/>
        </w:rPr>
        <w:t xml:space="preserve"> </w:t>
      </w:r>
      <w:r>
        <w:rPr>
          <w:color w:val="231F20"/>
          <w:spacing w:val="-2"/>
          <w:sz w:val="24"/>
        </w:rPr>
        <w:t>(Chair)</w:t>
      </w:r>
    </w:p>
    <w:p w14:paraId="6EF85FA2" w14:textId="77777777" w:rsidR="00345EE3" w:rsidRDefault="00345EE3">
      <w:pPr>
        <w:pStyle w:val="ListParagraph"/>
        <w:numPr>
          <w:ilvl w:val="1"/>
          <w:numId w:val="93"/>
        </w:numPr>
        <w:tabs>
          <w:tab w:val="left" w:pos="393"/>
          <w:tab w:val="left" w:pos="394"/>
        </w:tabs>
        <w:rPr>
          <w:sz w:val="24"/>
        </w:rPr>
      </w:pPr>
      <w:r>
        <w:rPr>
          <w:b/>
          <w:color w:val="231F20"/>
          <w:sz w:val="24"/>
        </w:rPr>
        <w:t>Rick</w:t>
      </w:r>
      <w:r>
        <w:rPr>
          <w:b/>
          <w:color w:val="231F20"/>
          <w:spacing w:val="-9"/>
          <w:sz w:val="24"/>
        </w:rPr>
        <w:t xml:space="preserve"> </w:t>
      </w:r>
      <w:r>
        <w:rPr>
          <w:b/>
          <w:color w:val="231F20"/>
          <w:sz w:val="24"/>
        </w:rPr>
        <w:t>Nugent</w:t>
      </w:r>
      <w:r>
        <w:rPr>
          <w:b/>
          <w:color w:val="231F20"/>
          <w:spacing w:val="-6"/>
          <w:sz w:val="24"/>
        </w:rPr>
        <w:t xml:space="preserve"> </w:t>
      </w:r>
      <w:r>
        <w:rPr>
          <w:b/>
          <w:color w:val="231F20"/>
          <w:sz w:val="24"/>
        </w:rPr>
        <w:t>APM</w:t>
      </w:r>
      <w:r>
        <w:rPr>
          <w:b/>
          <w:color w:val="231F20"/>
          <w:spacing w:val="-6"/>
          <w:sz w:val="24"/>
        </w:rPr>
        <w:t xml:space="preserve"> </w:t>
      </w:r>
      <w:r>
        <w:rPr>
          <w:color w:val="231F20"/>
          <w:sz w:val="24"/>
        </w:rPr>
        <w:t>–</w:t>
      </w:r>
      <w:r>
        <w:rPr>
          <w:color w:val="231F20"/>
          <w:spacing w:val="-6"/>
          <w:sz w:val="24"/>
        </w:rPr>
        <w:t xml:space="preserve"> </w:t>
      </w:r>
      <w:r>
        <w:rPr>
          <w:color w:val="231F20"/>
          <w:sz w:val="24"/>
        </w:rPr>
        <w:t>Deputy</w:t>
      </w:r>
      <w:r>
        <w:rPr>
          <w:color w:val="231F20"/>
          <w:spacing w:val="-6"/>
          <w:sz w:val="24"/>
        </w:rPr>
        <w:t xml:space="preserve"> </w:t>
      </w:r>
      <w:r>
        <w:rPr>
          <w:color w:val="231F20"/>
          <w:sz w:val="24"/>
        </w:rPr>
        <w:t>Commissioner</w:t>
      </w:r>
      <w:r>
        <w:rPr>
          <w:color w:val="231F20"/>
          <w:spacing w:val="-6"/>
          <w:sz w:val="24"/>
        </w:rPr>
        <w:t xml:space="preserve"> </w:t>
      </w:r>
      <w:r>
        <w:rPr>
          <w:color w:val="231F20"/>
          <w:sz w:val="24"/>
        </w:rPr>
        <w:t>Regional</w:t>
      </w:r>
      <w:r>
        <w:rPr>
          <w:color w:val="231F20"/>
          <w:spacing w:val="-5"/>
          <w:sz w:val="24"/>
        </w:rPr>
        <w:t xml:space="preserve"> </w:t>
      </w:r>
      <w:r>
        <w:rPr>
          <w:color w:val="231F20"/>
          <w:spacing w:val="-2"/>
          <w:sz w:val="24"/>
        </w:rPr>
        <w:t>Operations</w:t>
      </w:r>
    </w:p>
    <w:p w14:paraId="4979C615" w14:textId="77777777" w:rsidR="00345EE3" w:rsidRDefault="00345EE3">
      <w:pPr>
        <w:pStyle w:val="ListParagraph"/>
        <w:numPr>
          <w:ilvl w:val="1"/>
          <w:numId w:val="93"/>
        </w:numPr>
        <w:tabs>
          <w:tab w:val="left" w:pos="393"/>
          <w:tab w:val="left" w:pos="394"/>
        </w:tabs>
        <w:rPr>
          <w:sz w:val="24"/>
        </w:rPr>
      </w:pPr>
      <w:r>
        <w:rPr>
          <w:b/>
          <w:color w:val="231F20"/>
          <w:sz w:val="24"/>
        </w:rPr>
        <w:t>Ross</w:t>
      </w:r>
      <w:r>
        <w:rPr>
          <w:b/>
          <w:color w:val="231F20"/>
          <w:spacing w:val="-9"/>
          <w:sz w:val="24"/>
        </w:rPr>
        <w:t xml:space="preserve"> </w:t>
      </w:r>
      <w:r>
        <w:rPr>
          <w:b/>
          <w:color w:val="231F20"/>
          <w:sz w:val="24"/>
        </w:rPr>
        <w:t>Guenther</w:t>
      </w:r>
      <w:r>
        <w:rPr>
          <w:b/>
          <w:color w:val="231F20"/>
          <w:spacing w:val="-7"/>
          <w:sz w:val="24"/>
        </w:rPr>
        <w:t xml:space="preserve"> </w:t>
      </w:r>
      <w:r>
        <w:rPr>
          <w:b/>
          <w:color w:val="231F20"/>
          <w:sz w:val="24"/>
        </w:rPr>
        <w:t>APM</w:t>
      </w:r>
      <w:r>
        <w:rPr>
          <w:b/>
          <w:color w:val="231F20"/>
          <w:spacing w:val="-6"/>
          <w:sz w:val="24"/>
        </w:rPr>
        <w:t xml:space="preserve"> </w:t>
      </w:r>
      <w:r>
        <w:rPr>
          <w:color w:val="231F20"/>
          <w:sz w:val="24"/>
        </w:rPr>
        <w:t>–</w:t>
      </w:r>
      <w:r>
        <w:rPr>
          <w:color w:val="231F20"/>
          <w:spacing w:val="-7"/>
          <w:sz w:val="24"/>
        </w:rPr>
        <w:t xml:space="preserve"> </w:t>
      </w:r>
      <w:r>
        <w:rPr>
          <w:color w:val="231F20"/>
          <w:sz w:val="24"/>
        </w:rPr>
        <w:t>Deputy</w:t>
      </w:r>
      <w:r>
        <w:rPr>
          <w:color w:val="231F20"/>
          <w:spacing w:val="-6"/>
          <w:sz w:val="24"/>
        </w:rPr>
        <w:t xml:space="preserve"> </w:t>
      </w:r>
      <w:r>
        <w:rPr>
          <w:color w:val="231F20"/>
          <w:sz w:val="24"/>
        </w:rPr>
        <w:t>Commissioner</w:t>
      </w:r>
      <w:r>
        <w:rPr>
          <w:color w:val="231F20"/>
          <w:spacing w:val="-6"/>
          <w:sz w:val="24"/>
        </w:rPr>
        <w:t xml:space="preserve"> </w:t>
      </w:r>
      <w:r>
        <w:rPr>
          <w:color w:val="231F20"/>
          <w:sz w:val="24"/>
        </w:rPr>
        <w:t>Public</w:t>
      </w:r>
      <w:r>
        <w:rPr>
          <w:color w:val="231F20"/>
          <w:spacing w:val="-7"/>
          <w:sz w:val="24"/>
        </w:rPr>
        <w:t xml:space="preserve"> </w:t>
      </w:r>
      <w:r>
        <w:rPr>
          <w:color w:val="231F20"/>
          <w:sz w:val="24"/>
        </w:rPr>
        <w:t>Safety</w:t>
      </w:r>
      <w:r>
        <w:rPr>
          <w:color w:val="231F20"/>
          <w:spacing w:val="-6"/>
          <w:sz w:val="24"/>
        </w:rPr>
        <w:t xml:space="preserve"> </w:t>
      </w:r>
      <w:r>
        <w:rPr>
          <w:color w:val="231F20"/>
          <w:sz w:val="24"/>
        </w:rPr>
        <w:t>and</w:t>
      </w:r>
      <w:r>
        <w:rPr>
          <w:color w:val="231F20"/>
          <w:spacing w:val="-6"/>
          <w:sz w:val="24"/>
        </w:rPr>
        <w:t xml:space="preserve"> </w:t>
      </w:r>
      <w:r>
        <w:rPr>
          <w:color w:val="231F20"/>
          <w:spacing w:val="-2"/>
          <w:sz w:val="24"/>
        </w:rPr>
        <w:t>Security</w:t>
      </w:r>
    </w:p>
    <w:p w14:paraId="5FB0F3C3" w14:textId="77777777" w:rsidR="00345EE3" w:rsidRDefault="00345EE3">
      <w:pPr>
        <w:pStyle w:val="ListParagraph"/>
        <w:numPr>
          <w:ilvl w:val="1"/>
          <w:numId w:val="93"/>
        </w:numPr>
        <w:tabs>
          <w:tab w:val="left" w:pos="393"/>
          <w:tab w:val="left" w:pos="394"/>
        </w:tabs>
        <w:spacing w:before="33"/>
        <w:rPr>
          <w:sz w:val="24"/>
        </w:rPr>
      </w:pPr>
      <w:r>
        <w:rPr>
          <w:b/>
          <w:color w:val="231F20"/>
          <w:sz w:val="24"/>
        </w:rPr>
        <w:t>Neil</w:t>
      </w:r>
      <w:r>
        <w:rPr>
          <w:b/>
          <w:color w:val="231F20"/>
          <w:spacing w:val="-8"/>
          <w:sz w:val="24"/>
        </w:rPr>
        <w:t xml:space="preserve"> </w:t>
      </w:r>
      <w:r>
        <w:rPr>
          <w:b/>
          <w:color w:val="231F20"/>
          <w:sz w:val="24"/>
        </w:rPr>
        <w:t>Paterson</w:t>
      </w:r>
      <w:r>
        <w:rPr>
          <w:b/>
          <w:color w:val="231F20"/>
          <w:spacing w:val="-5"/>
          <w:sz w:val="24"/>
        </w:rPr>
        <w:t xml:space="preserve"> </w:t>
      </w:r>
      <w:r>
        <w:rPr>
          <w:b/>
          <w:color w:val="231F20"/>
          <w:sz w:val="24"/>
        </w:rPr>
        <w:t>APM</w:t>
      </w:r>
      <w:r>
        <w:rPr>
          <w:b/>
          <w:color w:val="231F20"/>
          <w:spacing w:val="-5"/>
          <w:sz w:val="24"/>
        </w:rPr>
        <w:t xml:space="preserve"> </w:t>
      </w:r>
      <w:r>
        <w:rPr>
          <w:color w:val="231F20"/>
          <w:sz w:val="24"/>
        </w:rPr>
        <w:t>–</w:t>
      </w:r>
      <w:r>
        <w:rPr>
          <w:color w:val="231F20"/>
          <w:spacing w:val="-5"/>
          <w:sz w:val="24"/>
        </w:rPr>
        <w:t xml:space="preserve"> </w:t>
      </w:r>
      <w:r>
        <w:rPr>
          <w:color w:val="231F20"/>
          <w:sz w:val="24"/>
        </w:rPr>
        <w:t>Deputy</w:t>
      </w:r>
      <w:r>
        <w:rPr>
          <w:color w:val="231F20"/>
          <w:spacing w:val="-5"/>
          <w:sz w:val="24"/>
        </w:rPr>
        <w:t xml:space="preserve"> </w:t>
      </w:r>
      <w:r>
        <w:rPr>
          <w:color w:val="231F20"/>
          <w:sz w:val="24"/>
        </w:rPr>
        <w:t>Commissioner</w:t>
      </w:r>
      <w:r>
        <w:rPr>
          <w:color w:val="231F20"/>
          <w:spacing w:val="-5"/>
          <w:sz w:val="24"/>
        </w:rPr>
        <w:t xml:space="preserve"> </w:t>
      </w:r>
      <w:r>
        <w:rPr>
          <w:color w:val="231F20"/>
          <w:spacing w:val="-2"/>
          <w:sz w:val="24"/>
        </w:rPr>
        <w:t>Capability</w:t>
      </w:r>
    </w:p>
    <w:p w14:paraId="22845B68" w14:textId="77777777" w:rsidR="00345EE3" w:rsidRDefault="00345EE3">
      <w:pPr>
        <w:pStyle w:val="ListParagraph"/>
        <w:numPr>
          <w:ilvl w:val="1"/>
          <w:numId w:val="93"/>
        </w:numPr>
        <w:tabs>
          <w:tab w:val="left" w:pos="393"/>
          <w:tab w:val="left" w:pos="394"/>
        </w:tabs>
        <w:rPr>
          <w:sz w:val="24"/>
        </w:rPr>
      </w:pPr>
      <w:r>
        <w:rPr>
          <w:b/>
          <w:color w:val="231F20"/>
          <w:sz w:val="24"/>
        </w:rPr>
        <w:t>Susan</w:t>
      </w:r>
      <w:r>
        <w:rPr>
          <w:b/>
          <w:color w:val="231F20"/>
          <w:spacing w:val="-8"/>
          <w:sz w:val="24"/>
        </w:rPr>
        <w:t xml:space="preserve"> </w:t>
      </w:r>
      <w:r>
        <w:rPr>
          <w:b/>
          <w:color w:val="231F20"/>
          <w:sz w:val="24"/>
        </w:rPr>
        <w:t>Middleditch</w:t>
      </w:r>
      <w:r>
        <w:rPr>
          <w:b/>
          <w:color w:val="231F20"/>
          <w:spacing w:val="-4"/>
          <w:sz w:val="24"/>
        </w:rPr>
        <w:t xml:space="preserve"> </w:t>
      </w:r>
      <w:r>
        <w:rPr>
          <w:color w:val="231F20"/>
          <w:sz w:val="24"/>
        </w:rPr>
        <w:t>–</w:t>
      </w:r>
      <w:r>
        <w:rPr>
          <w:color w:val="231F20"/>
          <w:spacing w:val="-6"/>
          <w:sz w:val="24"/>
        </w:rPr>
        <w:t xml:space="preserve"> </w:t>
      </w:r>
      <w:r>
        <w:rPr>
          <w:color w:val="231F20"/>
          <w:sz w:val="24"/>
        </w:rPr>
        <w:t>Deputy</w:t>
      </w:r>
      <w:r>
        <w:rPr>
          <w:color w:val="231F20"/>
          <w:spacing w:val="-4"/>
          <w:sz w:val="24"/>
        </w:rPr>
        <w:t xml:space="preserve"> </w:t>
      </w:r>
      <w:r>
        <w:rPr>
          <w:color w:val="231F20"/>
          <w:sz w:val="24"/>
        </w:rPr>
        <w:t>Secretary</w:t>
      </w:r>
      <w:r>
        <w:rPr>
          <w:color w:val="231F20"/>
          <w:spacing w:val="-4"/>
          <w:sz w:val="24"/>
        </w:rPr>
        <w:t xml:space="preserve"> </w:t>
      </w:r>
      <w:r>
        <w:rPr>
          <w:color w:val="231F20"/>
          <w:sz w:val="24"/>
        </w:rPr>
        <w:t>Corporate</w:t>
      </w:r>
      <w:r>
        <w:rPr>
          <w:color w:val="231F20"/>
          <w:spacing w:val="-6"/>
          <w:sz w:val="24"/>
        </w:rPr>
        <w:t xml:space="preserve"> </w:t>
      </w:r>
      <w:r>
        <w:rPr>
          <w:color w:val="231F20"/>
          <w:sz w:val="24"/>
        </w:rPr>
        <w:t>and</w:t>
      </w:r>
      <w:r>
        <w:rPr>
          <w:color w:val="231F20"/>
          <w:spacing w:val="-5"/>
          <w:sz w:val="24"/>
        </w:rPr>
        <w:t xml:space="preserve"> </w:t>
      </w:r>
      <w:r>
        <w:rPr>
          <w:color w:val="231F20"/>
          <w:sz w:val="24"/>
        </w:rPr>
        <w:t>Regulatory</w:t>
      </w:r>
      <w:r>
        <w:rPr>
          <w:color w:val="231F20"/>
          <w:spacing w:val="-4"/>
          <w:sz w:val="24"/>
        </w:rPr>
        <w:t xml:space="preserve"> </w:t>
      </w:r>
      <w:r>
        <w:rPr>
          <w:color w:val="231F20"/>
          <w:spacing w:val="-2"/>
          <w:sz w:val="24"/>
        </w:rPr>
        <w:t>Services</w:t>
      </w:r>
    </w:p>
    <w:p w14:paraId="4AB356E8" w14:textId="77777777" w:rsidR="00345EE3" w:rsidRDefault="00345EE3">
      <w:pPr>
        <w:pStyle w:val="ListParagraph"/>
        <w:numPr>
          <w:ilvl w:val="1"/>
          <w:numId w:val="93"/>
        </w:numPr>
        <w:tabs>
          <w:tab w:val="left" w:pos="393"/>
          <w:tab w:val="left" w:pos="394"/>
        </w:tabs>
        <w:spacing w:before="33"/>
        <w:rPr>
          <w:sz w:val="24"/>
        </w:rPr>
      </w:pPr>
      <w:r>
        <w:rPr>
          <w:b/>
          <w:color w:val="231F20"/>
          <w:sz w:val="24"/>
        </w:rPr>
        <w:t>Karl</w:t>
      </w:r>
      <w:r>
        <w:rPr>
          <w:b/>
          <w:color w:val="231F20"/>
          <w:spacing w:val="-11"/>
          <w:sz w:val="24"/>
        </w:rPr>
        <w:t xml:space="preserve"> </w:t>
      </w:r>
      <w:r>
        <w:rPr>
          <w:b/>
          <w:color w:val="231F20"/>
          <w:sz w:val="24"/>
        </w:rPr>
        <w:t>Kent</w:t>
      </w:r>
      <w:r>
        <w:rPr>
          <w:b/>
          <w:color w:val="231F20"/>
          <w:spacing w:val="-9"/>
          <w:sz w:val="24"/>
        </w:rPr>
        <w:t xml:space="preserve"> </w:t>
      </w:r>
      <w:r>
        <w:rPr>
          <w:b/>
          <w:color w:val="231F20"/>
          <w:sz w:val="24"/>
        </w:rPr>
        <w:t>OAM</w:t>
      </w:r>
      <w:r>
        <w:rPr>
          <w:b/>
          <w:color w:val="231F20"/>
          <w:spacing w:val="-9"/>
          <w:sz w:val="24"/>
        </w:rPr>
        <w:t xml:space="preserve"> </w:t>
      </w:r>
      <w:r>
        <w:rPr>
          <w:color w:val="231F20"/>
          <w:sz w:val="24"/>
        </w:rPr>
        <w:t>–</w:t>
      </w:r>
      <w:r>
        <w:rPr>
          <w:color w:val="231F20"/>
          <w:spacing w:val="-10"/>
          <w:sz w:val="24"/>
        </w:rPr>
        <w:t xml:space="preserve"> </w:t>
      </w:r>
      <w:r>
        <w:rPr>
          <w:color w:val="231F20"/>
          <w:sz w:val="24"/>
        </w:rPr>
        <w:t>Deputy</w:t>
      </w:r>
      <w:r>
        <w:rPr>
          <w:color w:val="231F20"/>
          <w:spacing w:val="-9"/>
          <w:sz w:val="24"/>
        </w:rPr>
        <w:t xml:space="preserve"> </w:t>
      </w:r>
      <w:r>
        <w:rPr>
          <w:color w:val="231F20"/>
          <w:sz w:val="24"/>
        </w:rPr>
        <w:t>Secretary</w:t>
      </w:r>
      <w:r>
        <w:rPr>
          <w:color w:val="231F20"/>
          <w:spacing w:val="-9"/>
          <w:sz w:val="24"/>
        </w:rPr>
        <w:t xml:space="preserve"> </w:t>
      </w:r>
      <w:r>
        <w:rPr>
          <w:color w:val="231F20"/>
          <w:sz w:val="24"/>
        </w:rPr>
        <w:t>Information</w:t>
      </w:r>
      <w:r>
        <w:rPr>
          <w:color w:val="231F20"/>
          <w:spacing w:val="-10"/>
          <w:sz w:val="24"/>
        </w:rPr>
        <w:t xml:space="preserve"> </w:t>
      </w:r>
      <w:r>
        <w:rPr>
          <w:color w:val="231F20"/>
          <w:sz w:val="24"/>
        </w:rPr>
        <w:t>Technology</w:t>
      </w:r>
      <w:r>
        <w:rPr>
          <w:color w:val="231F20"/>
          <w:spacing w:val="-9"/>
          <w:sz w:val="24"/>
        </w:rPr>
        <w:t xml:space="preserve"> </w:t>
      </w:r>
      <w:r>
        <w:rPr>
          <w:color w:val="231F20"/>
          <w:sz w:val="24"/>
        </w:rPr>
        <w:t>and</w:t>
      </w:r>
      <w:r>
        <w:rPr>
          <w:color w:val="231F20"/>
          <w:spacing w:val="-10"/>
          <w:sz w:val="24"/>
        </w:rPr>
        <w:t xml:space="preserve"> </w:t>
      </w:r>
      <w:r>
        <w:rPr>
          <w:color w:val="231F20"/>
          <w:sz w:val="24"/>
        </w:rPr>
        <w:t>Infrastructure</w:t>
      </w:r>
      <w:r>
        <w:rPr>
          <w:color w:val="231F20"/>
          <w:spacing w:val="-9"/>
          <w:sz w:val="24"/>
        </w:rPr>
        <w:t xml:space="preserve"> </w:t>
      </w:r>
      <w:r>
        <w:rPr>
          <w:color w:val="231F20"/>
          <w:spacing w:val="-2"/>
          <w:sz w:val="24"/>
        </w:rPr>
        <w:t>Services</w:t>
      </w:r>
    </w:p>
    <w:p w14:paraId="5D19EFFA" w14:textId="77777777" w:rsidR="00345EE3" w:rsidRDefault="00345EE3">
      <w:pPr>
        <w:pStyle w:val="ListParagraph"/>
        <w:numPr>
          <w:ilvl w:val="1"/>
          <w:numId w:val="93"/>
        </w:numPr>
        <w:tabs>
          <w:tab w:val="left" w:pos="393"/>
          <w:tab w:val="left" w:pos="394"/>
        </w:tabs>
        <w:rPr>
          <w:sz w:val="24"/>
        </w:rPr>
      </w:pPr>
      <w:r>
        <w:rPr>
          <w:b/>
          <w:color w:val="231F20"/>
          <w:sz w:val="24"/>
        </w:rPr>
        <w:t>Sir</w:t>
      </w:r>
      <w:r>
        <w:rPr>
          <w:b/>
          <w:color w:val="231F20"/>
          <w:spacing w:val="-8"/>
          <w:sz w:val="24"/>
        </w:rPr>
        <w:t xml:space="preserve"> </w:t>
      </w:r>
      <w:r>
        <w:rPr>
          <w:b/>
          <w:color w:val="231F20"/>
          <w:sz w:val="24"/>
        </w:rPr>
        <w:t>Angus</w:t>
      </w:r>
      <w:r>
        <w:rPr>
          <w:b/>
          <w:color w:val="231F20"/>
          <w:spacing w:val="-7"/>
          <w:sz w:val="24"/>
        </w:rPr>
        <w:t xml:space="preserve"> </w:t>
      </w:r>
      <w:r>
        <w:rPr>
          <w:b/>
          <w:color w:val="231F20"/>
          <w:sz w:val="24"/>
        </w:rPr>
        <w:t>Houston</w:t>
      </w:r>
      <w:r>
        <w:rPr>
          <w:b/>
          <w:color w:val="231F20"/>
          <w:spacing w:val="-6"/>
          <w:sz w:val="24"/>
        </w:rPr>
        <w:t xml:space="preserve"> </w:t>
      </w:r>
      <w:r>
        <w:rPr>
          <w:b/>
          <w:color w:val="231F20"/>
          <w:sz w:val="24"/>
        </w:rPr>
        <w:t>AK</w:t>
      </w:r>
      <w:r>
        <w:rPr>
          <w:b/>
          <w:color w:val="231F20"/>
          <w:spacing w:val="-8"/>
          <w:sz w:val="24"/>
        </w:rPr>
        <w:t xml:space="preserve"> </w:t>
      </w:r>
      <w:r>
        <w:rPr>
          <w:b/>
          <w:color w:val="231F20"/>
          <w:sz w:val="24"/>
        </w:rPr>
        <w:t>AC</w:t>
      </w:r>
      <w:r>
        <w:rPr>
          <w:b/>
          <w:color w:val="231F20"/>
          <w:spacing w:val="-7"/>
          <w:sz w:val="24"/>
        </w:rPr>
        <w:t xml:space="preserve"> </w:t>
      </w:r>
      <w:r>
        <w:rPr>
          <w:b/>
          <w:color w:val="231F20"/>
          <w:sz w:val="24"/>
        </w:rPr>
        <w:t>AFC</w:t>
      </w:r>
      <w:r>
        <w:rPr>
          <w:b/>
          <w:color w:val="231F20"/>
          <w:spacing w:val="-7"/>
          <w:sz w:val="24"/>
        </w:rPr>
        <w:t xml:space="preserve"> </w:t>
      </w:r>
      <w:r>
        <w:rPr>
          <w:b/>
          <w:color w:val="231F20"/>
          <w:sz w:val="24"/>
        </w:rPr>
        <w:t>(Retired)</w:t>
      </w:r>
      <w:r>
        <w:rPr>
          <w:b/>
          <w:color w:val="231F20"/>
          <w:spacing w:val="-7"/>
          <w:sz w:val="24"/>
        </w:rPr>
        <w:t xml:space="preserve"> </w:t>
      </w:r>
      <w:r>
        <w:rPr>
          <w:color w:val="231F20"/>
          <w:sz w:val="24"/>
        </w:rPr>
        <w:t>–</w:t>
      </w:r>
      <w:r>
        <w:rPr>
          <w:color w:val="231F20"/>
          <w:spacing w:val="-6"/>
          <w:sz w:val="24"/>
        </w:rPr>
        <w:t xml:space="preserve"> </w:t>
      </w:r>
      <w:r>
        <w:rPr>
          <w:color w:val="231F20"/>
          <w:sz w:val="24"/>
        </w:rPr>
        <w:t>Independent</w:t>
      </w:r>
      <w:r>
        <w:rPr>
          <w:color w:val="231F20"/>
          <w:spacing w:val="-6"/>
          <w:sz w:val="24"/>
        </w:rPr>
        <w:t xml:space="preserve"> </w:t>
      </w:r>
      <w:r>
        <w:rPr>
          <w:color w:val="231F20"/>
          <w:spacing w:val="-2"/>
          <w:sz w:val="24"/>
        </w:rPr>
        <w:t>member</w:t>
      </w:r>
    </w:p>
    <w:p w14:paraId="471820A9" w14:textId="77777777" w:rsidR="00345EE3" w:rsidRPr="008D34A6" w:rsidRDefault="00345EE3" w:rsidP="002A27BA">
      <w:pPr>
        <w:pStyle w:val="Heading3"/>
      </w:pPr>
      <w:r w:rsidRPr="008D34A6">
        <w:t>Command</w:t>
      </w:r>
    </w:p>
    <w:p w14:paraId="03A9E13E" w14:textId="77777777" w:rsidR="00345EE3" w:rsidRDefault="00345EE3" w:rsidP="00345EE3">
      <w:pPr>
        <w:pStyle w:val="BodyText"/>
        <w:spacing w:before="52" w:line="242" w:lineRule="auto"/>
        <w:ind w:right="921"/>
      </w:pPr>
      <w:r>
        <w:rPr>
          <w:color w:val="231F20"/>
        </w:rPr>
        <w:t>Victoria Police Command is made up of the Chief Commissioner of Police and all Deputy Commissioners, Deputy Secretaries, Assistant Commissioners, Executive Directors, Commanders</w:t>
      </w:r>
      <w:r>
        <w:rPr>
          <w:color w:val="231F20"/>
          <w:spacing w:val="-9"/>
        </w:rPr>
        <w:t xml:space="preserve"> </w:t>
      </w:r>
      <w:r>
        <w:rPr>
          <w:color w:val="231F20"/>
        </w:rPr>
        <w:t>and</w:t>
      </w:r>
      <w:r>
        <w:rPr>
          <w:color w:val="231F20"/>
          <w:spacing w:val="-10"/>
        </w:rPr>
        <w:t xml:space="preserve"> </w:t>
      </w:r>
      <w:r>
        <w:rPr>
          <w:color w:val="231F20"/>
        </w:rPr>
        <w:t>Directors.</w:t>
      </w:r>
      <w:r>
        <w:rPr>
          <w:color w:val="231F20"/>
          <w:spacing w:val="-9"/>
        </w:rPr>
        <w:t xml:space="preserve"> </w:t>
      </w:r>
      <w:r>
        <w:rPr>
          <w:color w:val="231F20"/>
        </w:rPr>
        <w:t>Command</w:t>
      </w:r>
      <w:r>
        <w:rPr>
          <w:color w:val="231F20"/>
          <w:spacing w:val="-10"/>
        </w:rPr>
        <w:t xml:space="preserve"> </w:t>
      </w:r>
      <w:r>
        <w:rPr>
          <w:color w:val="231F20"/>
        </w:rPr>
        <w:t>meets</w:t>
      </w:r>
      <w:r>
        <w:rPr>
          <w:color w:val="231F20"/>
          <w:spacing w:val="-9"/>
        </w:rPr>
        <w:t xml:space="preserve"> </w:t>
      </w:r>
      <w:r>
        <w:rPr>
          <w:color w:val="231F20"/>
        </w:rPr>
        <w:t>quarterly</w:t>
      </w:r>
      <w:r>
        <w:rPr>
          <w:color w:val="231F20"/>
          <w:spacing w:val="-9"/>
        </w:rPr>
        <w:t xml:space="preserve"> </w:t>
      </w:r>
      <w:r>
        <w:rPr>
          <w:color w:val="231F20"/>
        </w:rPr>
        <w:t>to</w:t>
      </w:r>
      <w:r>
        <w:rPr>
          <w:color w:val="231F20"/>
          <w:spacing w:val="-10"/>
        </w:rPr>
        <w:t xml:space="preserve"> </w:t>
      </w:r>
      <w:r>
        <w:rPr>
          <w:color w:val="231F20"/>
        </w:rPr>
        <w:t>discuss</w:t>
      </w:r>
      <w:r>
        <w:rPr>
          <w:color w:val="231F20"/>
          <w:spacing w:val="-9"/>
        </w:rPr>
        <w:t xml:space="preserve"> </w:t>
      </w:r>
      <w:r>
        <w:rPr>
          <w:color w:val="231F20"/>
        </w:rPr>
        <w:t>significant</w:t>
      </w:r>
      <w:r>
        <w:rPr>
          <w:color w:val="231F20"/>
          <w:spacing w:val="-9"/>
        </w:rPr>
        <w:t xml:space="preserve"> </w:t>
      </w:r>
      <w:r>
        <w:rPr>
          <w:color w:val="231F20"/>
        </w:rPr>
        <w:t>community</w:t>
      </w:r>
      <w:r>
        <w:rPr>
          <w:color w:val="231F20"/>
          <w:spacing w:val="-9"/>
        </w:rPr>
        <w:t xml:space="preserve"> </w:t>
      </w:r>
      <w:r>
        <w:rPr>
          <w:color w:val="231F20"/>
        </w:rPr>
        <w:t>and organisational issues.</w:t>
      </w:r>
    </w:p>
    <w:p w14:paraId="2732C5F1" w14:textId="77777777" w:rsidR="00345EE3" w:rsidRPr="008D34A6" w:rsidRDefault="00345EE3" w:rsidP="002A27BA">
      <w:pPr>
        <w:pStyle w:val="Heading3"/>
      </w:pPr>
      <w:r w:rsidRPr="008D34A6">
        <w:t>Delegations</w:t>
      </w:r>
    </w:p>
    <w:p w14:paraId="61E06DCA" w14:textId="77777777" w:rsidR="00345EE3" w:rsidRDefault="00345EE3" w:rsidP="00345EE3">
      <w:pPr>
        <w:spacing w:before="52" w:line="242" w:lineRule="auto"/>
        <w:ind w:left="110" w:right="1576"/>
        <w:rPr>
          <w:sz w:val="24"/>
        </w:rPr>
      </w:pPr>
      <w:r>
        <w:rPr>
          <w:color w:val="231F20"/>
          <w:sz w:val="24"/>
        </w:rPr>
        <w:t>The</w:t>
      </w:r>
      <w:r>
        <w:rPr>
          <w:color w:val="231F20"/>
          <w:spacing w:val="-5"/>
          <w:sz w:val="24"/>
        </w:rPr>
        <w:t xml:space="preserve"> </w:t>
      </w:r>
      <w:r>
        <w:rPr>
          <w:color w:val="231F20"/>
          <w:sz w:val="24"/>
        </w:rPr>
        <w:t>Chief</w:t>
      </w:r>
      <w:r>
        <w:rPr>
          <w:color w:val="231F20"/>
          <w:spacing w:val="-4"/>
          <w:sz w:val="24"/>
        </w:rPr>
        <w:t xml:space="preserve"> </w:t>
      </w:r>
      <w:r>
        <w:rPr>
          <w:color w:val="231F20"/>
          <w:sz w:val="24"/>
        </w:rPr>
        <w:t>Commissioner</w:t>
      </w:r>
      <w:r>
        <w:rPr>
          <w:color w:val="231F20"/>
          <w:spacing w:val="-4"/>
          <w:sz w:val="24"/>
        </w:rPr>
        <w:t xml:space="preserve"> </w:t>
      </w:r>
      <w:r>
        <w:rPr>
          <w:color w:val="231F20"/>
          <w:sz w:val="24"/>
        </w:rPr>
        <w:t>of</w:t>
      </w:r>
      <w:r>
        <w:rPr>
          <w:color w:val="231F20"/>
          <w:spacing w:val="-4"/>
          <w:sz w:val="24"/>
        </w:rPr>
        <w:t xml:space="preserve"> </w:t>
      </w:r>
      <w:r>
        <w:rPr>
          <w:color w:val="231F20"/>
          <w:sz w:val="24"/>
        </w:rPr>
        <w:t>Police</w:t>
      </w:r>
      <w:r>
        <w:rPr>
          <w:color w:val="231F20"/>
          <w:spacing w:val="-5"/>
          <w:sz w:val="24"/>
        </w:rPr>
        <w:t xml:space="preserve"> </w:t>
      </w:r>
      <w:r>
        <w:rPr>
          <w:color w:val="231F20"/>
          <w:sz w:val="24"/>
        </w:rPr>
        <w:t>is</w:t>
      </w:r>
      <w:r>
        <w:rPr>
          <w:color w:val="231F20"/>
          <w:spacing w:val="-4"/>
          <w:sz w:val="24"/>
        </w:rPr>
        <w:t xml:space="preserve"> </w:t>
      </w:r>
      <w:r>
        <w:rPr>
          <w:color w:val="231F20"/>
          <w:sz w:val="24"/>
        </w:rPr>
        <w:t>the</w:t>
      </w:r>
      <w:r>
        <w:rPr>
          <w:color w:val="231F20"/>
          <w:spacing w:val="-5"/>
          <w:sz w:val="24"/>
        </w:rPr>
        <w:t xml:space="preserve"> </w:t>
      </w:r>
      <w:r>
        <w:rPr>
          <w:color w:val="231F20"/>
          <w:sz w:val="24"/>
        </w:rPr>
        <w:t>Chief</w:t>
      </w:r>
      <w:r>
        <w:rPr>
          <w:color w:val="231F20"/>
          <w:spacing w:val="-4"/>
          <w:sz w:val="24"/>
        </w:rPr>
        <w:t xml:space="preserve"> </w:t>
      </w:r>
      <w:r>
        <w:rPr>
          <w:color w:val="231F20"/>
          <w:sz w:val="24"/>
        </w:rPr>
        <w:t>Constable</w:t>
      </w:r>
      <w:r>
        <w:rPr>
          <w:color w:val="231F20"/>
          <w:spacing w:val="-5"/>
          <w:sz w:val="24"/>
        </w:rPr>
        <w:t xml:space="preserve"> </w:t>
      </w:r>
      <w:r>
        <w:rPr>
          <w:color w:val="231F20"/>
          <w:sz w:val="24"/>
        </w:rPr>
        <w:t>and</w:t>
      </w:r>
      <w:r>
        <w:rPr>
          <w:color w:val="231F20"/>
          <w:spacing w:val="-5"/>
          <w:sz w:val="24"/>
        </w:rPr>
        <w:t xml:space="preserve"> </w:t>
      </w:r>
      <w:r>
        <w:rPr>
          <w:color w:val="231F20"/>
          <w:sz w:val="24"/>
        </w:rPr>
        <w:t>the</w:t>
      </w:r>
      <w:r>
        <w:rPr>
          <w:color w:val="231F20"/>
          <w:spacing w:val="-5"/>
          <w:sz w:val="24"/>
        </w:rPr>
        <w:t xml:space="preserve"> </w:t>
      </w:r>
      <w:r>
        <w:rPr>
          <w:color w:val="231F20"/>
          <w:sz w:val="24"/>
        </w:rPr>
        <w:t>Chief</w:t>
      </w:r>
      <w:r>
        <w:rPr>
          <w:color w:val="231F20"/>
          <w:spacing w:val="-4"/>
          <w:sz w:val="24"/>
        </w:rPr>
        <w:t xml:space="preserve"> </w:t>
      </w:r>
      <w:r>
        <w:rPr>
          <w:color w:val="231F20"/>
          <w:sz w:val="24"/>
        </w:rPr>
        <w:t>Executive</w:t>
      </w:r>
      <w:r>
        <w:rPr>
          <w:color w:val="231F20"/>
          <w:spacing w:val="-5"/>
          <w:sz w:val="24"/>
        </w:rPr>
        <w:t xml:space="preserve"> </w:t>
      </w:r>
      <w:r>
        <w:rPr>
          <w:color w:val="231F20"/>
          <w:sz w:val="24"/>
        </w:rPr>
        <w:t xml:space="preserve">Officer </w:t>
      </w:r>
      <w:r>
        <w:rPr>
          <w:color w:val="231F20"/>
          <w:spacing w:val="-2"/>
          <w:sz w:val="24"/>
        </w:rPr>
        <w:t>of</w:t>
      </w:r>
      <w:r>
        <w:rPr>
          <w:color w:val="231F20"/>
          <w:spacing w:val="-15"/>
          <w:sz w:val="24"/>
        </w:rPr>
        <w:t xml:space="preserve"> </w:t>
      </w:r>
      <w:r>
        <w:rPr>
          <w:color w:val="231F20"/>
          <w:spacing w:val="-2"/>
          <w:sz w:val="24"/>
        </w:rPr>
        <w:t>Victoria</w:t>
      </w:r>
      <w:r>
        <w:rPr>
          <w:color w:val="231F20"/>
          <w:spacing w:val="-8"/>
          <w:sz w:val="24"/>
        </w:rPr>
        <w:t xml:space="preserve"> </w:t>
      </w:r>
      <w:r>
        <w:rPr>
          <w:color w:val="231F20"/>
          <w:spacing w:val="-2"/>
          <w:sz w:val="24"/>
        </w:rPr>
        <w:t>Police</w:t>
      </w:r>
      <w:r>
        <w:rPr>
          <w:color w:val="231F20"/>
          <w:spacing w:val="-9"/>
          <w:sz w:val="24"/>
        </w:rPr>
        <w:t xml:space="preserve"> </w:t>
      </w:r>
      <w:r>
        <w:rPr>
          <w:color w:val="231F20"/>
          <w:spacing w:val="-2"/>
          <w:sz w:val="24"/>
        </w:rPr>
        <w:t>under</w:t>
      </w:r>
      <w:r>
        <w:rPr>
          <w:color w:val="231F20"/>
          <w:spacing w:val="-8"/>
          <w:sz w:val="24"/>
        </w:rPr>
        <w:t xml:space="preserve"> </w:t>
      </w:r>
      <w:r>
        <w:rPr>
          <w:color w:val="231F20"/>
          <w:spacing w:val="-2"/>
          <w:sz w:val="24"/>
        </w:rPr>
        <w:t>the</w:t>
      </w:r>
      <w:r>
        <w:rPr>
          <w:color w:val="231F20"/>
          <w:spacing w:val="-8"/>
          <w:sz w:val="24"/>
        </w:rPr>
        <w:t xml:space="preserve"> </w:t>
      </w:r>
      <w:r>
        <w:rPr>
          <w:i/>
          <w:color w:val="231F20"/>
          <w:spacing w:val="-2"/>
          <w:sz w:val="24"/>
        </w:rPr>
        <w:t>Victoria</w:t>
      </w:r>
      <w:r>
        <w:rPr>
          <w:i/>
          <w:color w:val="231F20"/>
          <w:spacing w:val="-15"/>
          <w:sz w:val="24"/>
        </w:rPr>
        <w:t xml:space="preserve"> </w:t>
      </w:r>
      <w:r>
        <w:rPr>
          <w:i/>
          <w:color w:val="231F20"/>
          <w:spacing w:val="-2"/>
          <w:sz w:val="24"/>
        </w:rPr>
        <w:t>Police</w:t>
      </w:r>
      <w:r>
        <w:rPr>
          <w:i/>
          <w:color w:val="231F20"/>
          <w:spacing w:val="-15"/>
          <w:sz w:val="24"/>
        </w:rPr>
        <w:t xml:space="preserve"> </w:t>
      </w:r>
      <w:r>
        <w:rPr>
          <w:i/>
          <w:color w:val="231F20"/>
          <w:spacing w:val="-2"/>
          <w:sz w:val="24"/>
        </w:rPr>
        <w:t>Act</w:t>
      </w:r>
      <w:r>
        <w:rPr>
          <w:i/>
          <w:color w:val="231F20"/>
          <w:spacing w:val="-14"/>
          <w:sz w:val="24"/>
        </w:rPr>
        <w:t xml:space="preserve"> </w:t>
      </w:r>
      <w:r>
        <w:rPr>
          <w:color w:val="231F20"/>
          <w:spacing w:val="-2"/>
          <w:sz w:val="24"/>
        </w:rPr>
        <w:t>2013</w:t>
      </w:r>
      <w:r>
        <w:rPr>
          <w:color w:val="231F20"/>
          <w:spacing w:val="-9"/>
          <w:sz w:val="24"/>
        </w:rPr>
        <w:t xml:space="preserve"> </w:t>
      </w:r>
      <w:r>
        <w:rPr>
          <w:color w:val="231F20"/>
          <w:spacing w:val="-2"/>
          <w:sz w:val="24"/>
        </w:rPr>
        <w:t>and</w:t>
      </w:r>
      <w:r>
        <w:rPr>
          <w:color w:val="231F20"/>
          <w:spacing w:val="-9"/>
          <w:sz w:val="24"/>
        </w:rPr>
        <w:t xml:space="preserve"> </w:t>
      </w:r>
      <w:r>
        <w:rPr>
          <w:color w:val="231F20"/>
          <w:spacing w:val="-2"/>
          <w:sz w:val="24"/>
        </w:rPr>
        <w:t>the</w:t>
      </w:r>
      <w:r>
        <w:rPr>
          <w:color w:val="231F20"/>
          <w:spacing w:val="-8"/>
          <w:sz w:val="24"/>
        </w:rPr>
        <w:t xml:space="preserve"> </w:t>
      </w:r>
      <w:r>
        <w:rPr>
          <w:i/>
          <w:color w:val="231F20"/>
          <w:spacing w:val="-2"/>
          <w:sz w:val="24"/>
        </w:rPr>
        <w:t>Public</w:t>
      </w:r>
      <w:r>
        <w:rPr>
          <w:i/>
          <w:color w:val="231F20"/>
          <w:spacing w:val="-15"/>
          <w:sz w:val="24"/>
        </w:rPr>
        <w:t xml:space="preserve"> </w:t>
      </w:r>
      <w:r>
        <w:rPr>
          <w:i/>
          <w:color w:val="231F20"/>
          <w:spacing w:val="-2"/>
          <w:sz w:val="24"/>
        </w:rPr>
        <w:t>Administration</w:t>
      </w:r>
      <w:r>
        <w:rPr>
          <w:i/>
          <w:color w:val="231F20"/>
          <w:spacing w:val="-15"/>
          <w:sz w:val="24"/>
        </w:rPr>
        <w:t xml:space="preserve"> </w:t>
      </w:r>
      <w:r>
        <w:rPr>
          <w:i/>
          <w:color w:val="231F20"/>
          <w:spacing w:val="-2"/>
          <w:sz w:val="24"/>
        </w:rPr>
        <w:t>Act</w:t>
      </w:r>
      <w:r>
        <w:rPr>
          <w:i/>
          <w:color w:val="231F20"/>
          <w:spacing w:val="-14"/>
          <w:sz w:val="24"/>
        </w:rPr>
        <w:t xml:space="preserve"> </w:t>
      </w:r>
      <w:r>
        <w:rPr>
          <w:color w:val="231F20"/>
          <w:spacing w:val="-4"/>
          <w:sz w:val="24"/>
        </w:rPr>
        <w:t>2004</w:t>
      </w:r>
    </w:p>
    <w:p w14:paraId="79E0C3E8" w14:textId="77777777" w:rsidR="00345EE3" w:rsidRDefault="00345EE3" w:rsidP="00345EE3">
      <w:pPr>
        <w:pStyle w:val="BodyText"/>
        <w:spacing w:before="3" w:line="242" w:lineRule="auto"/>
        <w:ind w:right="921"/>
      </w:pPr>
      <w:r>
        <w:rPr>
          <w:color w:val="231F20"/>
        </w:rPr>
        <w:t>respectively. The Chief Commissioner of Police may delegate a range of powers to employees at differing ranks and levels across the organisation. Decision making occurs via delegations and</w:t>
      </w:r>
      <w:r>
        <w:rPr>
          <w:color w:val="231F20"/>
          <w:spacing w:val="-10"/>
        </w:rPr>
        <w:t xml:space="preserve"> </w:t>
      </w:r>
      <w:r>
        <w:rPr>
          <w:color w:val="231F20"/>
        </w:rPr>
        <w:t>through</w:t>
      </w:r>
      <w:r>
        <w:rPr>
          <w:color w:val="231F20"/>
          <w:spacing w:val="-10"/>
        </w:rPr>
        <w:t xml:space="preserve"> </w:t>
      </w:r>
      <w:r>
        <w:rPr>
          <w:color w:val="231F20"/>
        </w:rPr>
        <w:t>functional</w:t>
      </w:r>
      <w:r>
        <w:rPr>
          <w:color w:val="231F20"/>
          <w:spacing w:val="-10"/>
        </w:rPr>
        <w:t xml:space="preserve"> </w:t>
      </w:r>
      <w:r>
        <w:rPr>
          <w:color w:val="231F20"/>
        </w:rPr>
        <w:t>lines</w:t>
      </w:r>
      <w:r>
        <w:rPr>
          <w:color w:val="231F20"/>
          <w:spacing w:val="-9"/>
        </w:rPr>
        <w:t xml:space="preserve"> </w:t>
      </w:r>
      <w:r>
        <w:rPr>
          <w:color w:val="231F20"/>
        </w:rPr>
        <w:t>across</w:t>
      </w:r>
      <w:r>
        <w:rPr>
          <w:color w:val="231F20"/>
          <w:spacing w:val="-9"/>
        </w:rPr>
        <w:t xml:space="preserve"> </w:t>
      </w:r>
      <w:r>
        <w:rPr>
          <w:color w:val="231F20"/>
        </w:rPr>
        <w:t>the</w:t>
      </w:r>
      <w:r>
        <w:rPr>
          <w:color w:val="231F20"/>
          <w:spacing w:val="-10"/>
        </w:rPr>
        <w:t xml:space="preserve"> </w:t>
      </w:r>
      <w:r>
        <w:rPr>
          <w:color w:val="231F20"/>
        </w:rPr>
        <w:t>organisational</w:t>
      </w:r>
      <w:r>
        <w:rPr>
          <w:color w:val="231F20"/>
          <w:spacing w:val="-10"/>
        </w:rPr>
        <w:t xml:space="preserve"> </w:t>
      </w:r>
      <w:r>
        <w:rPr>
          <w:color w:val="231F20"/>
        </w:rPr>
        <w:t>and</w:t>
      </w:r>
      <w:r>
        <w:rPr>
          <w:color w:val="231F20"/>
          <w:spacing w:val="-10"/>
        </w:rPr>
        <w:t xml:space="preserve"> </w:t>
      </w:r>
      <w:r>
        <w:rPr>
          <w:color w:val="231F20"/>
        </w:rPr>
        <w:t>governance</w:t>
      </w:r>
      <w:r>
        <w:rPr>
          <w:color w:val="231F20"/>
          <w:spacing w:val="-10"/>
        </w:rPr>
        <w:t xml:space="preserve"> </w:t>
      </w:r>
      <w:r>
        <w:rPr>
          <w:color w:val="231F20"/>
        </w:rPr>
        <w:t>structures</w:t>
      </w:r>
      <w:r>
        <w:rPr>
          <w:color w:val="231F20"/>
          <w:spacing w:val="-9"/>
        </w:rPr>
        <w:t xml:space="preserve"> </w:t>
      </w:r>
      <w:r>
        <w:rPr>
          <w:color w:val="231F20"/>
        </w:rPr>
        <w:t>as</w:t>
      </w:r>
      <w:r>
        <w:rPr>
          <w:color w:val="231F20"/>
          <w:spacing w:val="-9"/>
        </w:rPr>
        <w:t xml:space="preserve"> </w:t>
      </w:r>
      <w:r>
        <w:rPr>
          <w:color w:val="231F20"/>
        </w:rPr>
        <w:t>set</w:t>
      </w:r>
      <w:r>
        <w:rPr>
          <w:color w:val="231F20"/>
          <w:spacing w:val="-9"/>
        </w:rPr>
        <w:t xml:space="preserve"> </w:t>
      </w:r>
      <w:r>
        <w:rPr>
          <w:color w:val="231F20"/>
        </w:rPr>
        <w:t>out</w:t>
      </w:r>
      <w:r>
        <w:rPr>
          <w:color w:val="231F20"/>
          <w:spacing w:val="-9"/>
        </w:rPr>
        <w:t xml:space="preserve"> </w:t>
      </w:r>
      <w:r>
        <w:rPr>
          <w:color w:val="231F20"/>
        </w:rPr>
        <w:t>and approved by the Chief Commissioner of Police.</w:t>
      </w:r>
    </w:p>
    <w:p w14:paraId="3EC8A034" w14:textId="77777777" w:rsidR="00345EE3" w:rsidRPr="008D34A6" w:rsidRDefault="00345EE3" w:rsidP="00345EE3">
      <w:pPr>
        <w:pStyle w:val="Heading2"/>
        <w:spacing w:before="216"/>
        <w:rPr>
          <w:sz w:val="32"/>
          <w:szCs w:val="32"/>
        </w:rPr>
      </w:pPr>
      <w:r w:rsidRPr="008D34A6">
        <w:rPr>
          <w:color w:val="00529F"/>
          <w:spacing w:val="-2"/>
          <w:sz w:val="32"/>
          <w:szCs w:val="32"/>
        </w:rPr>
        <w:t>Committees</w:t>
      </w:r>
    </w:p>
    <w:p w14:paraId="31B6CDB9" w14:textId="77777777" w:rsidR="00345EE3" w:rsidRDefault="00345EE3" w:rsidP="00345EE3">
      <w:pPr>
        <w:pStyle w:val="BodyText"/>
        <w:spacing w:before="72" w:line="242" w:lineRule="auto"/>
        <w:ind w:right="921"/>
      </w:pPr>
      <w:r>
        <w:rPr>
          <w:color w:val="231F20"/>
        </w:rPr>
        <w:t>Victoria</w:t>
      </w:r>
      <w:r>
        <w:rPr>
          <w:color w:val="231F20"/>
          <w:spacing w:val="-11"/>
        </w:rPr>
        <w:t xml:space="preserve"> </w:t>
      </w:r>
      <w:r>
        <w:rPr>
          <w:color w:val="231F20"/>
        </w:rPr>
        <w:t>Police</w:t>
      </w:r>
      <w:r>
        <w:rPr>
          <w:color w:val="231F20"/>
          <w:spacing w:val="-11"/>
        </w:rPr>
        <w:t xml:space="preserve"> </w:t>
      </w:r>
      <w:r>
        <w:rPr>
          <w:color w:val="231F20"/>
        </w:rPr>
        <w:t>is</w:t>
      </w:r>
      <w:r>
        <w:rPr>
          <w:color w:val="231F20"/>
          <w:spacing w:val="-10"/>
        </w:rPr>
        <w:t xml:space="preserve"> </w:t>
      </w:r>
      <w:r>
        <w:rPr>
          <w:color w:val="231F20"/>
        </w:rPr>
        <w:t>supported</w:t>
      </w:r>
      <w:r>
        <w:rPr>
          <w:color w:val="231F20"/>
          <w:spacing w:val="-11"/>
        </w:rPr>
        <w:t xml:space="preserve"> </w:t>
      </w:r>
      <w:r>
        <w:rPr>
          <w:color w:val="231F20"/>
        </w:rPr>
        <w:t>by</w:t>
      </w:r>
      <w:r>
        <w:rPr>
          <w:color w:val="231F20"/>
          <w:spacing w:val="-10"/>
        </w:rPr>
        <w:t xml:space="preserve"> </w:t>
      </w:r>
      <w:r>
        <w:rPr>
          <w:color w:val="231F20"/>
        </w:rPr>
        <w:t>several</w:t>
      </w:r>
      <w:r>
        <w:rPr>
          <w:color w:val="231F20"/>
          <w:spacing w:val="-11"/>
        </w:rPr>
        <w:t xml:space="preserve"> </w:t>
      </w:r>
      <w:r>
        <w:rPr>
          <w:color w:val="231F20"/>
        </w:rPr>
        <w:t>standing</w:t>
      </w:r>
      <w:r>
        <w:rPr>
          <w:color w:val="231F20"/>
          <w:spacing w:val="-11"/>
        </w:rPr>
        <w:t xml:space="preserve"> </w:t>
      </w:r>
      <w:r>
        <w:rPr>
          <w:color w:val="231F20"/>
        </w:rPr>
        <w:t>executive,</w:t>
      </w:r>
      <w:r>
        <w:rPr>
          <w:color w:val="231F20"/>
          <w:spacing w:val="-10"/>
        </w:rPr>
        <w:t xml:space="preserve"> </w:t>
      </w:r>
      <w:r>
        <w:rPr>
          <w:color w:val="231F20"/>
        </w:rPr>
        <w:t>corporate</w:t>
      </w:r>
      <w:r>
        <w:rPr>
          <w:color w:val="231F20"/>
          <w:spacing w:val="-11"/>
        </w:rPr>
        <w:t xml:space="preserve"> </w:t>
      </w:r>
      <w:r>
        <w:rPr>
          <w:color w:val="231F20"/>
        </w:rPr>
        <w:t>and</w:t>
      </w:r>
      <w:r>
        <w:rPr>
          <w:color w:val="231F20"/>
          <w:spacing w:val="-11"/>
        </w:rPr>
        <w:t xml:space="preserve"> </w:t>
      </w:r>
      <w:r>
        <w:rPr>
          <w:color w:val="231F20"/>
        </w:rPr>
        <w:t>advisory</w:t>
      </w:r>
      <w:r>
        <w:rPr>
          <w:color w:val="231F20"/>
          <w:spacing w:val="-10"/>
        </w:rPr>
        <w:t xml:space="preserve"> </w:t>
      </w:r>
      <w:r>
        <w:rPr>
          <w:color w:val="231F20"/>
        </w:rPr>
        <w:t>committees ensuring corporate governance focus on strategic objectives, managing relevant risks and improving organisational performance.</w:t>
      </w:r>
    </w:p>
    <w:p w14:paraId="4CFEFC16" w14:textId="77777777" w:rsidR="00345EE3" w:rsidRDefault="00345EE3" w:rsidP="00345EE3">
      <w:pPr>
        <w:pStyle w:val="BodyText"/>
        <w:spacing w:before="118" w:line="242" w:lineRule="auto"/>
        <w:ind w:right="921"/>
      </w:pPr>
      <w:r>
        <w:rPr>
          <w:color w:val="231F20"/>
        </w:rPr>
        <w:t>In</w:t>
      </w:r>
      <w:r>
        <w:rPr>
          <w:color w:val="231F20"/>
          <w:spacing w:val="-11"/>
        </w:rPr>
        <w:t xml:space="preserve"> </w:t>
      </w:r>
      <w:r>
        <w:rPr>
          <w:color w:val="231F20"/>
        </w:rPr>
        <w:t>March</w:t>
      </w:r>
      <w:r>
        <w:rPr>
          <w:color w:val="231F20"/>
          <w:spacing w:val="-11"/>
        </w:rPr>
        <w:t xml:space="preserve"> </w:t>
      </w:r>
      <w:r>
        <w:rPr>
          <w:color w:val="231F20"/>
        </w:rPr>
        <w:t>2021,</w:t>
      </w:r>
      <w:r>
        <w:rPr>
          <w:color w:val="231F20"/>
          <w:spacing w:val="-10"/>
        </w:rPr>
        <w:t xml:space="preserve"> </w:t>
      </w:r>
      <w:r>
        <w:rPr>
          <w:color w:val="231F20"/>
        </w:rPr>
        <w:t>the</w:t>
      </w:r>
      <w:r>
        <w:rPr>
          <w:color w:val="231F20"/>
          <w:spacing w:val="-11"/>
        </w:rPr>
        <w:t xml:space="preserve"> </w:t>
      </w:r>
      <w:r>
        <w:rPr>
          <w:color w:val="231F20"/>
        </w:rPr>
        <w:t>Corporate</w:t>
      </w:r>
      <w:r>
        <w:rPr>
          <w:color w:val="231F20"/>
          <w:spacing w:val="-11"/>
        </w:rPr>
        <w:t xml:space="preserve"> </w:t>
      </w:r>
      <w:r>
        <w:rPr>
          <w:color w:val="231F20"/>
        </w:rPr>
        <w:t>Advisory</w:t>
      </w:r>
      <w:r>
        <w:rPr>
          <w:color w:val="231F20"/>
          <w:spacing w:val="-10"/>
        </w:rPr>
        <w:t xml:space="preserve"> </w:t>
      </w:r>
      <w:r>
        <w:rPr>
          <w:color w:val="231F20"/>
        </w:rPr>
        <w:t>Group</w:t>
      </w:r>
      <w:r>
        <w:rPr>
          <w:color w:val="231F20"/>
          <w:spacing w:val="-11"/>
        </w:rPr>
        <w:t xml:space="preserve"> </w:t>
      </w:r>
      <w:r>
        <w:rPr>
          <w:color w:val="231F20"/>
        </w:rPr>
        <w:t>(CAG)</w:t>
      </w:r>
      <w:r>
        <w:rPr>
          <w:color w:val="231F20"/>
          <w:spacing w:val="-10"/>
        </w:rPr>
        <w:t xml:space="preserve"> </w:t>
      </w:r>
      <w:r>
        <w:rPr>
          <w:color w:val="231F20"/>
        </w:rPr>
        <w:t>was</w:t>
      </w:r>
      <w:r>
        <w:rPr>
          <w:color w:val="231F20"/>
          <w:spacing w:val="-10"/>
        </w:rPr>
        <w:t xml:space="preserve"> </w:t>
      </w:r>
      <w:r>
        <w:rPr>
          <w:color w:val="231F20"/>
        </w:rPr>
        <w:t>concluded</w:t>
      </w:r>
      <w:r>
        <w:rPr>
          <w:color w:val="231F20"/>
          <w:spacing w:val="-11"/>
        </w:rPr>
        <w:t xml:space="preserve"> </w:t>
      </w:r>
      <w:r>
        <w:rPr>
          <w:color w:val="231F20"/>
        </w:rPr>
        <w:t>by</w:t>
      </w:r>
      <w:r>
        <w:rPr>
          <w:color w:val="231F20"/>
          <w:spacing w:val="-10"/>
        </w:rPr>
        <w:t xml:space="preserve"> </w:t>
      </w:r>
      <w:r>
        <w:rPr>
          <w:color w:val="231F20"/>
        </w:rPr>
        <w:t>the</w:t>
      </w:r>
      <w:r>
        <w:rPr>
          <w:color w:val="231F20"/>
          <w:spacing w:val="-11"/>
        </w:rPr>
        <w:t xml:space="preserve"> </w:t>
      </w:r>
      <w:r>
        <w:rPr>
          <w:color w:val="231F20"/>
        </w:rPr>
        <w:t>Chief</w:t>
      </w:r>
      <w:r>
        <w:rPr>
          <w:color w:val="231F20"/>
          <w:spacing w:val="-10"/>
        </w:rPr>
        <w:t xml:space="preserve"> </w:t>
      </w:r>
      <w:r>
        <w:rPr>
          <w:color w:val="231F20"/>
        </w:rPr>
        <w:t>Commissioner of Police. CAG was established in 2012 and served as an independent and objective source of advice to Victoria Police. Victoria Police evaluated its current and anticipated strategic reform priorities and concluded that the organisation’s community engagement mechanisms had significantly matured in recent years and that the group had successfully met its objectives.</w:t>
      </w:r>
    </w:p>
    <w:p w14:paraId="6D19B593" w14:textId="77777777" w:rsidR="00345EE3" w:rsidRDefault="00345EE3" w:rsidP="00345EE3">
      <w:pPr>
        <w:pStyle w:val="BodyText"/>
        <w:spacing w:before="120" w:line="242" w:lineRule="auto"/>
        <w:ind w:right="921"/>
      </w:pPr>
      <w:r>
        <w:rPr>
          <w:color w:val="231F20"/>
        </w:rPr>
        <w:t>In</w:t>
      </w:r>
      <w:r>
        <w:rPr>
          <w:color w:val="231F20"/>
          <w:spacing w:val="-11"/>
        </w:rPr>
        <w:t xml:space="preserve"> </w:t>
      </w:r>
      <w:r>
        <w:rPr>
          <w:color w:val="231F20"/>
        </w:rPr>
        <w:t>June</w:t>
      </w:r>
      <w:r>
        <w:rPr>
          <w:color w:val="231F20"/>
          <w:spacing w:val="-11"/>
        </w:rPr>
        <w:t xml:space="preserve"> </w:t>
      </w:r>
      <w:r>
        <w:rPr>
          <w:color w:val="231F20"/>
        </w:rPr>
        <w:t>2021,</w:t>
      </w:r>
      <w:r>
        <w:rPr>
          <w:color w:val="231F20"/>
          <w:spacing w:val="-10"/>
        </w:rPr>
        <w:t xml:space="preserve"> </w:t>
      </w:r>
      <w:r>
        <w:rPr>
          <w:color w:val="231F20"/>
        </w:rPr>
        <w:t>the</w:t>
      </w:r>
      <w:r>
        <w:rPr>
          <w:color w:val="231F20"/>
          <w:spacing w:val="-11"/>
        </w:rPr>
        <w:t xml:space="preserve"> </w:t>
      </w:r>
      <w:r>
        <w:rPr>
          <w:color w:val="231F20"/>
        </w:rPr>
        <w:t>Expenditure</w:t>
      </w:r>
      <w:r>
        <w:rPr>
          <w:color w:val="231F20"/>
          <w:spacing w:val="-11"/>
        </w:rPr>
        <w:t xml:space="preserve"> </w:t>
      </w:r>
      <w:r>
        <w:rPr>
          <w:color w:val="231F20"/>
        </w:rPr>
        <w:t>Review</w:t>
      </w:r>
      <w:r>
        <w:rPr>
          <w:color w:val="231F20"/>
          <w:spacing w:val="-11"/>
        </w:rPr>
        <w:t xml:space="preserve"> </w:t>
      </w:r>
      <w:r>
        <w:rPr>
          <w:color w:val="231F20"/>
        </w:rPr>
        <w:t>Sub-Committee</w:t>
      </w:r>
      <w:r>
        <w:rPr>
          <w:color w:val="231F20"/>
          <w:spacing w:val="-11"/>
        </w:rPr>
        <w:t xml:space="preserve"> </w:t>
      </w:r>
      <w:r>
        <w:rPr>
          <w:color w:val="231F20"/>
        </w:rPr>
        <w:t>of</w:t>
      </w:r>
      <w:r>
        <w:rPr>
          <w:color w:val="231F20"/>
          <w:spacing w:val="-10"/>
        </w:rPr>
        <w:t xml:space="preserve"> </w:t>
      </w:r>
      <w:r>
        <w:rPr>
          <w:color w:val="231F20"/>
        </w:rPr>
        <w:t>Cabinet</w:t>
      </w:r>
      <w:r>
        <w:rPr>
          <w:color w:val="231F20"/>
          <w:spacing w:val="-10"/>
        </w:rPr>
        <w:t xml:space="preserve"> </w:t>
      </w:r>
      <w:r>
        <w:rPr>
          <w:color w:val="231F20"/>
        </w:rPr>
        <w:t>established</w:t>
      </w:r>
      <w:r>
        <w:rPr>
          <w:color w:val="231F20"/>
          <w:spacing w:val="-11"/>
        </w:rPr>
        <w:t xml:space="preserve"> </w:t>
      </w:r>
      <w:r>
        <w:rPr>
          <w:color w:val="231F20"/>
        </w:rPr>
        <w:t>the</w:t>
      </w:r>
      <w:r>
        <w:rPr>
          <w:color w:val="231F20"/>
          <w:spacing w:val="-11"/>
        </w:rPr>
        <w:t xml:space="preserve"> </w:t>
      </w:r>
      <w:r>
        <w:rPr>
          <w:color w:val="231F20"/>
        </w:rPr>
        <w:t>Victoria</w:t>
      </w:r>
      <w:r>
        <w:rPr>
          <w:color w:val="231F20"/>
          <w:spacing w:val="-11"/>
        </w:rPr>
        <w:t xml:space="preserve"> </w:t>
      </w:r>
      <w:r>
        <w:rPr>
          <w:color w:val="231F20"/>
        </w:rPr>
        <w:t>Police Finance Board (VPFB) to oversee Victoria Police’s financial management. Government and Victoria Police are committed to delivering on its community safety and public order mission in</w:t>
      </w:r>
    </w:p>
    <w:p w14:paraId="0E57C396" w14:textId="77777777" w:rsidR="00345EE3" w:rsidRDefault="00345EE3" w:rsidP="00345EE3">
      <w:pPr>
        <w:pStyle w:val="BodyText"/>
        <w:spacing w:before="4" w:line="242" w:lineRule="auto"/>
        <w:ind w:right="921"/>
      </w:pPr>
      <w:r>
        <w:rPr>
          <w:color w:val="231F20"/>
        </w:rPr>
        <w:t>a</w:t>
      </w:r>
      <w:r>
        <w:rPr>
          <w:color w:val="231F20"/>
          <w:spacing w:val="-10"/>
        </w:rPr>
        <w:t xml:space="preserve"> </w:t>
      </w:r>
      <w:r>
        <w:rPr>
          <w:color w:val="231F20"/>
        </w:rPr>
        <w:t>financially</w:t>
      </w:r>
      <w:r>
        <w:rPr>
          <w:color w:val="231F20"/>
          <w:spacing w:val="-9"/>
        </w:rPr>
        <w:t xml:space="preserve"> </w:t>
      </w:r>
      <w:r>
        <w:rPr>
          <w:color w:val="231F20"/>
        </w:rPr>
        <w:t>sustainable</w:t>
      </w:r>
      <w:r>
        <w:rPr>
          <w:color w:val="231F20"/>
          <w:spacing w:val="-10"/>
        </w:rPr>
        <w:t xml:space="preserve"> </w:t>
      </w:r>
      <w:r>
        <w:rPr>
          <w:color w:val="231F20"/>
        </w:rPr>
        <w:t>manner.</w:t>
      </w:r>
      <w:r>
        <w:rPr>
          <w:color w:val="231F20"/>
          <w:spacing w:val="-9"/>
        </w:rPr>
        <w:t xml:space="preserve"> </w:t>
      </w:r>
      <w:r>
        <w:rPr>
          <w:color w:val="231F20"/>
        </w:rPr>
        <w:t>The</w:t>
      </w:r>
      <w:r>
        <w:rPr>
          <w:color w:val="231F20"/>
          <w:spacing w:val="-10"/>
        </w:rPr>
        <w:t xml:space="preserve"> </w:t>
      </w:r>
      <w:r>
        <w:rPr>
          <w:color w:val="231F20"/>
        </w:rPr>
        <w:t>VPFB</w:t>
      </w:r>
      <w:r>
        <w:rPr>
          <w:color w:val="231F20"/>
          <w:spacing w:val="-9"/>
        </w:rPr>
        <w:t xml:space="preserve"> </w:t>
      </w:r>
      <w:r>
        <w:rPr>
          <w:color w:val="231F20"/>
        </w:rPr>
        <w:t>is</w:t>
      </w:r>
      <w:r>
        <w:rPr>
          <w:color w:val="231F20"/>
          <w:spacing w:val="-9"/>
        </w:rPr>
        <w:t xml:space="preserve"> </w:t>
      </w:r>
      <w:r>
        <w:rPr>
          <w:color w:val="231F20"/>
        </w:rPr>
        <w:t>co-chaired</w:t>
      </w:r>
      <w:r>
        <w:rPr>
          <w:color w:val="231F20"/>
          <w:spacing w:val="-10"/>
        </w:rPr>
        <w:t xml:space="preserve"> </w:t>
      </w:r>
      <w:r>
        <w:rPr>
          <w:color w:val="231F20"/>
        </w:rPr>
        <w:t>by</w:t>
      </w:r>
      <w:r>
        <w:rPr>
          <w:color w:val="231F20"/>
          <w:spacing w:val="-9"/>
        </w:rPr>
        <w:t xml:space="preserve"> </w:t>
      </w:r>
      <w:r>
        <w:rPr>
          <w:color w:val="231F20"/>
        </w:rPr>
        <w:t>the</w:t>
      </w:r>
      <w:r>
        <w:rPr>
          <w:color w:val="231F20"/>
          <w:spacing w:val="-10"/>
        </w:rPr>
        <w:t xml:space="preserve"> </w:t>
      </w:r>
      <w:r>
        <w:rPr>
          <w:color w:val="231F20"/>
        </w:rPr>
        <w:t>Chief</w:t>
      </w:r>
      <w:r>
        <w:rPr>
          <w:color w:val="231F20"/>
          <w:spacing w:val="-9"/>
        </w:rPr>
        <w:t xml:space="preserve"> </w:t>
      </w:r>
      <w:r>
        <w:rPr>
          <w:color w:val="231F20"/>
        </w:rPr>
        <w:t>Commissioner</w:t>
      </w:r>
      <w:r>
        <w:rPr>
          <w:color w:val="231F20"/>
          <w:spacing w:val="-9"/>
        </w:rPr>
        <w:t xml:space="preserve"> </w:t>
      </w:r>
      <w:r>
        <w:rPr>
          <w:color w:val="231F20"/>
        </w:rPr>
        <w:t>of</w:t>
      </w:r>
      <w:r>
        <w:rPr>
          <w:color w:val="231F20"/>
          <w:spacing w:val="-9"/>
        </w:rPr>
        <w:t xml:space="preserve"> </w:t>
      </w:r>
      <w:r>
        <w:rPr>
          <w:color w:val="231F20"/>
        </w:rPr>
        <w:t>Police and</w:t>
      </w:r>
      <w:r>
        <w:rPr>
          <w:color w:val="231F20"/>
          <w:spacing w:val="-4"/>
        </w:rPr>
        <w:t xml:space="preserve"> </w:t>
      </w:r>
      <w:r>
        <w:rPr>
          <w:color w:val="231F20"/>
        </w:rPr>
        <w:t>the</w:t>
      </w:r>
      <w:r>
        <w:rPr>
          <w:color w:val="231F20"/>
          <w:spacing w:val="-4"/>
        </w:rPr>
        <w:t xml:space="preserve"> </w:t>
      </w:r>
      <w:r>
        <w:rPr>
          <w:color w:val="231F20"/>
        </w:rPr>
        <w:t>Secretary</w:t>
      </w:r>
      <w:r>
        <w:rPr>
          <w:color w:val="231F20"/>
          <w:spacing w:val="-3"/>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Department</w:t>
      </w:r>
      <w:r>
        <w:rPr>
          <w:color w:val="231F20"/>
          <w:spacing w:val="-3"/>
        </w:rPr>
        <w:t xml:space="preserve"> </w:t>
      </w:r>
      <w:r>
        <w:rPr>
          <w:color w:val="231F20"/>
        </w:rPr>
        <w:t>of</w:t>
      </w:r>
      <w:r>
        <w:rPr>
          <w:color w:val="231F20"/>
          <w:spacing w:val="-3"/>
        </w:rPr>
        <w:t xml:space="preserve"> </w:t>
      </w:r>
      <w:r>
        <w:rPr>
          <w:color w:val="231F20"/>
        </w:rPr>
        <w:t>Treasury</w:t>
      </w:r>
      <w:r>
        <w:rPr>
          <w:color w:val="231F20"/>
          <w:spacing w:val="-3"/>
        </w:rPr>
        <w:t xml:space="preserve"> </w:t>
      </w:r>
      <w:r>
        <w:rPr>
          <w:color w:val="231F20"/>
        </w:rPr>
        <w:t>and</w:t>
      </w:r>
      <w:r>
        <w:rPr>
          <w:color w:val="231F20"/>
          <w:spacing w:val="-4"/>
        </w:rPr>
        <w:t xml:space="preserve"> </w:t>
      </w:r>
      <w:r>
        <w:rPr>
          <w:color w:val="231F20"/>
        </w:rPr>
        <w:t>Finance</w:t>
      </w:r>
      <w:r>
        <w:rPr>
          <w:color w:val="231F20"/>
          <w:spacing w:val="-4"/>
        </w:rPr>
        <w:t xml:space="preserve"> </w:t>
      </w:r>
      <w:r>
        <w:rPr>
          <w:color w:val="231F20"/>
        </w:rPr>
        <w:t>(DTF)</w:t>
      </w:r>
      <w:r>
        <w:rPr>
          <w:color w:val="231F20"/>
          <w:spacing w:val="-3"/>
        </w:rPr>
        <w:t xml:space="preserve"> </w:t>
      </w:r>
      <w:r>
        <w:rPr>
          <w:color w:val="231F20"/>
        </w:rPr>
        <w:t>and</w:t>
      </w:r>
      <w:r>
        <w:rPr>
          <w:color w:val="231F20"/>
          <w:spacing w:val="-4"/>
        </w:rPr>
        <w:t xml:space="preserve"> </w:t>
      </w:r>
      <w:r>
        <w:rPr>
          <w:color w:val="231F20"/>
        </w:rPr>
        <w:t>comprises</w:t>
      </w:r>
      <w:r>
        <w:rPr>
          <w:color w:val="231F20"/>
          <w:spacing w:val="-3"/>
        </w:rPr>
        <w:t xml:space="preserve"> </w:t>
      </w:r>
      <w:r>
        <w:rPr>
          <w:color w:val="231F20"/>
        </w:rPr>
        <w:t>members from the Department of Premier and Cabinet and the Department of Justice and Community Safety</w:t>
      </w:r>
      <w:r>
        <w:rPr>
          <w:color w:val="231F20"/>
          <w:spacing w:val="-7"/>
        </w:rPr>
        <w:t xml:space="preserve"> </w:t>
      </w:r>
      <w:r>
        <w:rPr>
          <w:color w:val="231F20"/>
        </w:rPr>
        <w:t>(DJCS).</w:t>
      </w:r>
      <w:r>
        <w:rPr>
          <w:color w:val="231F20"/>
          <w:spacing w:val="-7"/>
        </w:rPr>
        <w:t xml:space="preserve"> </w:t>
      </w:r>
      <w:r>
        <w:rPr>
          <w:color w:val="231F20"/>
        </w:rPr>
        <w:t>On</w:t>
      </w:r>
      <w:r>
        <w:rPr>
          <w:color w:val="231F20"/>
          <w:spacing w:val="-8"/>
        </w:rPr>
        <w:t xml:space="preserve"> </w:t>
      </w:r>
      <w:r>
        <w:rPr>
          <w:color w:val="231F20"/>
        </w:rPr>
        <w:t>29</w:t>
      </w:r>
      <w:r>
        <w:rPr>
          <w:color w:val="231F20"/>
          <w:spacing w:val="-8"/>
        </w:rPr>
        <w:t xml:space="preserve"> </w:t>
      </w:r>
      <w:r>
        <w:rPr>
          <w:color w:val="231F20"/>
        </w:rPr>
        <w:t>June</w:t>
      </w:r>
      <w:r>
        <w:rPr>
          <w:color w:val="231F20"/>
          <w:spacing w:val="-8"/>
        </w:rPr>
        <w:t xml:space="preserve"> </w:t>
      </w:r>
      <w:r>
        <w:rPr>
          <w:color w:val="231F20"/>
        </w:rPr>
        <w:t>2021,</w:t>
      </w:r>
      <w:r>
        <w:rPr>
          <w:color w:val="231F20"/>
          <w:spacing w:val="-7"/>
        </w:rPr>
        <w:t xml:space="preserve"> </w:t>
      </w:r>
      <w:r>
        <w:rPr>
          <w:color w:val="231F20"/>
        </w:rPr>
        <w:t>the</w:t>
      </w:r>
      <w:r>
        <w:rPr>
          <w:color w:val="231F20"/>
          <w:spacing w:val="-8"/>
        </w:rPr>
        <w:t xml:space="preserve"> </w:t>
      </w:r>
      <w:r>
        <w:rPr>
          <w:color w:val="231F20"/>
        </w:rPr>
        <w:t>Financial</w:t>
      </w:r>
      <w:r>
        <w:rPr>
          <w:color w:val="231F20"/>
          <w:spacing w:val="-8"/>
        </w:rPr>
        <w:t xml:space="preserve"> </w:t>
      </w:r>
      <w:r>
        <w:rPr>
          <w:color w:val="231F20"/>
        </w:rPr>
        <w:t>Sustainability</w:t>
      </w:r>
      <w:r>
        <w:rPr>
          <w:color w:val="231F20"/>
          <w:spacing w:val="-7"/>
        </w:rPr>
        <w:t xml:space="preserve"> </w:t>
      </w:r>
      <w:r>
        <w:rPr>
          <w:color w:val="231F20"/>
        </w:rPr>
        <w:t>Advisory</w:t>
      </w:r>
      <w:r>
        <w:rPr>
          <w:color w:val="231F20"/>
          <w:spacing w:val="-7"/>
        </w:rPr>
        <w:t xml:space="preserve"> </w:t>
      </w:r>
      <w:r>
        <w:rPr>
          <w:color w:val="231F20"/>
        </w:rPr>
        <w:t>Board</w:t>
      </w:r>
      <w:r>
        <w:rPr>
          <w:color w:val="231F20"/>
          <w:spacing w:val="-8"/>
        </w:rPr>
        <w:t xml:space="preserve"> </w:t>
      </w:r>
      <w:r>
        <w:rPr>
          <w:color w:val="231F20"/>
        </w:rPr>
        <w:t>was</w:t>
      </w:r>
      <w:r>
        <w:rPr>
          <w:color w:val="231F20"/>
          <w:spacing w:val="-7"/>
        </w:rPr>
        <w:t xml:space="preserve"> </w:t>
      </w:r>
      <w:r>
        <w:rPr>
          <w:color w:val="231F20"/>
        </w:rPr>
        <w:t>closed;</w:t>
      </w:r>
      <w:r>
        <w:rPr>
          <w:color w:val="231F20"/>
          <w:spacing w:val="-7"/>
        </w:rPr>
        <w:t xml:space="preserve"> </w:t>
      </w:r>
      <w:r>
        <w:rPr>
          <w:color w:val="231F20"/>
        </w:rPr>
        <w:t>with outstanding responsibilities transferred to the new VPFB.</w:t>
      </w:r>
    </w:p>
    <w:p w14:paraId="57F71CA5" w14:textId="77777777" w:rsidR="00345EE3" w:rsidRPr="008D34A6" w:rsidRDefault="00345EE3" w:rsidP="002A27BA">
      <w:pPr>
        <w:pStyle w:val="Heading3"/>
      </w:pPr>
      <w:r w:rsidRPr="008D34A6">
        <w:lastRenderedPageBreak/>
        <w:t>Corporate</w:t>
      </w:r>
      <w:r w:rsidRPr="008D34A6">
        <w:rPr>
          <w:spacing w:val="-1"/>
        </w:rPr>
        <w:t xml:space="preserve"> </w:t>
      </w:r>
      <w:r w:rsidRPr="008D34A6">
        <w:t>Committees</w:t>
      </w:r>
    </w:p>
    <w:tbl>
      <w:tblPr>
        <w:tblW w:w="0" w:type="auto"/>
        <w:tblInd w:w="117" w:type="dxa"/>
        <w:tblLayout w:type="fixed"/>
        <w:tblCellMar>
          <w:left w:w="0" w:type="dxa"/>
          <w:right w:w="0" w:type="dxa"/>
        </w:tblCellMar>
        <w:tblLook w:val="01E0" w:firstRow="1" w:lastRow="1" w:firstColumn="1" w:lastColumn="1" w:noHBand="0" w:noVBand="0"/>
      </w:tblPr>
      <w:tblGrid>
        <w:gridCol w:w="2891"/>
        <w:gridCol w:w="7313"/>
      </w:tblGrid>
      <w:tr w:rsidR="00345EE3" w14:paraId="547D1484" w14:textId="77777777" w:rsidTr="00D73130">
        <w:trPr>
          <w:trHeight w:val="681"/>
        </w:trPr>
        <w:tc>
          <w:tcPr>
            <w:tcW w:w="2891" w:type="dxa"/>
            <w:shd w:val="clear" w:color="auto" w:fill="00529F"/>
          </w:tcPr>
          <w:p w14:paraId="3E12C6E6" w14:textId="77777777" w:rsidR="00345EE3" w:rsidRDefault="00345EE3" w:rsidP="00D73130">
            <w:pPr>
              <w:pStyle w:val="TableParagraph"/>
              <w:spacing w:before="63" w:line="242" w:lineRule="auto"/>
              <w:jc w:val="left"/>
              <w:rPr>
                <w:b/>
                <w:sz w:val="24"/>
              </w:rPr>
            </w:pPr>
            <w:r>
              <w:rPr>
                <w:b/>
                <w:color w:val="FFFFFF"/>
                <w:spacing w:val="-2"/>
                <w:sz w:val="24"/>
              </w:rPr>
              <w:t>Decision-making Committees</w:t>
            </w:r>
          </w:p>
        </w:tc>
        <w:tc>
          <w:tcPr>
            <w:tcW w:w="7313" w:type="dxa"/>
            <w:shd w:val="clear" w:color="auto" w:fill="00529F"/>
          </w:tcPr>
          <w:p w14:paraId="7165410A" w14:textId="77777777" w:rsidR="00345EE3" w:rsidRDefault="00345EE3" w:rsidP="00D73130">
            <w:pPr>
              <w:pStyle w:val="TableParagraph"/>
              <w:spacing w:before="63"/>
              <w:ind w:left="2"/>
              <w:jc w:val="left"/>
              <w:rPr>
                <w:b/>
                <w:sz w:val="24"/>
              </w:rPr>
            </w:pPr>
            <w:r>
              <w:rPr>
                <w:b/>
                <w:color w:val="FFFFFF"/>
                <w:spacing w:val="-2"/>
                <w:sz w:val="24"/>
              </w:rPr>
              <w:t>Focus</w:t>
            </w:r>
          </w:p>
        </w:tc>
      </w:tr>
      <w:tr w:rsidR="005342C1" w14:paraId="19713547" w14:textId="77777777" w:rsidTr="00D73130">
        <w:trPr>
          <w:trHeight w:val="1516"/>
        </w:trPr>
        <w:tc>
          <w:tcPr>
            <w:tcW w:w="2891" w:type="dxa"/>
          </w:tcPr>
          <w:p w14:paraId="01C4C02C" w14:textId="77777777" w:rsidR="005342C1" w:rsidRDefault="005342C1" w:rsidP="00D73130">
            <w:pPr>
              <w:pStyle w:val="TableParagraph"/>
              <w:spacing w:line="262" w:lineRule="exact"/>
              <w:ind w:left="-3"/>
              <w:jc w:val="left"/>
              <w:rPr>
                <w:b/>
                <w:sz w:val="24"/>
              </w:rPr>
            </w:pPr>
            <w:r>
              <w:rPr>
                <w:b/>
                <w:color w:val="231F20"/>
                <w:sz w:val="24"/>
              </w:rPr>
              <w:t xml:space="preserve">Executive </w:t>
            </w:r>
            <w:r>
              <w:rPr>
                <w:b/>
                <w:color w:val="231F20"/>
                <w:spacing w:val="-2"/>
                <w:sz w:val="24"/>
              </w:rPr>
              <w:t>Command*</w:t>
            </w:r>
          </w:p>
          <w:p w14:paraId="5D88FDC5" w14:textId="740D15F2" w:rsidR="005342C1" w:rsidRDefault="005342C1" w:rsidP="00D73130">
            <w:pPr>
              <w:pStyle w:val="TableParagraph"/>
              <w:spacing w:before="54"/>
              <w:ind w:left="-3"/>
              <w:jc w:val="left"/>
              <w:rPr>
                <w:b/>
                <w:sz w:val="24"/>
              </w:rPr>
            </w:pPr>
            <w:r>
              <w:rPr>
                <w:i/>
                <w:color w:val="231F20"/>
                <w:spacing w:val="-4"/>
                <w:sz w:val="24"/>
              </w:rPr>
              <w:t>Meets</w:t>
            </w:r>
            <w:r>
              <w:rPr>
                <w:i/>
                <w:color w:val="231F20"/>
                <w:spacing w:val="-9"/>
                <w:sz w:val="24"/>
              </w:rPr>
              <w:t xml:space="preserve"> </w:t>
            </w:r>
            <w:r>
              <w:rPr>
                <w:i/>
                <w:color w:val="231F20"/>
                <w:spacing w:val="-2"/>
                <w:sz w:val="24"/>
              </w:rPr>
              <w:t>monthly</w:t>
            </w:r>
          </w:p>
        </w:tc>
        <w:tc>
          <w:tcPr>
            <w:tcW w:w="7313" w:type="dxa"/>
          </w:tcPr>
          <w:p w14:paraId="4BF3872F" w14:textId="77777777" w:rsidR="005342C1" w:rsidRDefault="005342C1" w:rsidP="00D73130">
            <w:pPr>
              <w:pStyle w:val="TableParagraph"/>
              <w:spacing w:line="262" w:lineRule="exact"/>
              <w:jc w:val="left"/>
              <w:rPr>
                <w:sz w:val="24"/>
              </w:rPr>
            </w:pPr>
            <w:r>
              <w:rPr>
                <w:color w:val="231F20"/>
                <w:sz w:val="24"/>
              </w:rPr>
              <w:t>Primary</w:t>
            </w:r>
            <w:r>
              <w:rPr>
                <w:color w:val="231F20"/>
                <w:spacing w:val="-4"/>
                <w:sz w:val="24"/>
              </w:rPr>
              <w:t xml:space="preserve"> </w:t>
            </w:r>
            <w:r>
              <w:rPr>
                <w:color w:val="231F20"/>
                <w:sz w:val="24"/>
              </w:rPr>
              <w:t>decision-making</w:t>
            </w:r>
            <w:r>
              <w:rPr>
                <w:color w:val="231F20"/>
                <w:spacing w:val="-4"/>
                <w:sz w:val="24"/>
              </w:rPr>
              <w:t xml:space="preserve"> </w:t>
            </w:r>
            <w:r>
              <w:rPr>
                <w:color w:val="231F20"/>
                <w:sz w:val="24"/>
              </w:rPr>
              <w:t>body</w:t>
            </w:r>
            <w:r>
              <w:rPr>
                <w:color w:val="231F20"/>
                <w:spacing w:val="-5"/>
                <w:sz w:val="24"/>
              </w:rPr>
              <w:t xml:space="preserve"> </w:t>
            </w:r>
            <w:r>
              <w:rPr>
                <w:color w:val="231F20"/>
                <w:sz w:val="24"/>
              </w:rPr>
              <w:t>for</w:t>
            </w:r>
            <w:r>
              <w:rPr>
                <w:color w:val="231F20"/>
                <w:spacing w:val="-3"/>
                <w:sz w:val="24"/>
              </w:rPr>
              <w:t xml:space="preserve"> </w:t>
            </w:r>
            <w:r>
              <w:rPr>
                <w:color w:val="231F20"/>
                <w:sz w:val="24"/>
              </w:rPr>
              <w:t>Victoria</w:t>
            </w:r>
            <w:r>
              <w:rPr>
                <w:color w:val="231F20"/>
                <w:spacing w:val="-4"/>
                <w:sz w:val="24"/>
              </w:rPr>
              <w:t xml:space="preserve"> </w:t>
            </w:r>
            <w:r>
              <w:rPr>
                <w:color w:val="231F20"/>
                <w:sz w:val="24"/>
              </w:rPr>
              <w:t>Police.</w:t>
            </w:r>
            <w:r>
              <w:rPr>
                <w:color w:val="231F20"/>
                <w:spacing w:val="-4"/>
                <w:sz w:val="24"/>
              </w:rPr>
              <w:t xml:space="preserve"> </w:t>
            </w:r>
            <w:r>
              <w:rPr>
                <w:color w:val="231F20"/>
                <w:sz w:val="24"/>
              </w:rPr>
              <w:t>Sets</w:t>
            </w:r>
            <w:r>
              <w:rPr>
                <w:color w:val="231F20"/>
                <w:spacing w:val="-3"/>
                <w:sz w:val="24"/>
              </w:rPr>
              <w:t xml:space="preserve"> </w:t>
            </w:r>
            <w:r>
              <w:rPr>
                <w:color w:val="231F20"/>
                <w:sz w:val="24"/>
              </w:rPr>
              <w:t>the</w:t>
            </w:r>
            <w:r>
              <w:rPr>
                <w:color w:val="231F20"/>
                <w:spacing w:val="-3"/>
                <w:sz w:val="24"/>
              </w:rPr>
              <w:t xml:space="preserve"> </w:t>
            </w:r>
            <w:r>
              <w:rPr>
                <w:color w:val="231F20"/>
                <w:spacing w:val="-2"/>
                <w:sz w:val="24"/>
              </w:rPr>
              <w:t>strategic</w:t>
            </w:r>
          </w:p>
          <w:p w14:paraId="6B7C4508" w14:textId="5895F77B" w:rsidR="005342C1" w:rsidRDefault="005342C1" w:rsidP="00D73130">
            <w:pPr>
              <w:pStyle w:val="TableParagraph"/>
              <w:spacing w:before="0" w:line="242" w:lineRule="auto"/>
              <w:ind w:right="260"/>
              <w:jc w:val="left"/>
              <w:rPr>
                <w:sz w:val="24"/>
              </w:rPr>
            </w:pPr>
            <w:r>
              <w:rPr>
                <w:color w:val="231F20"/>
                <w:sz w:val="24"/>
              </w:rPr>
              <w:t>direction and monitors organisational performance. Determines key priorities and risks and manages organisational capacity and capability.</w:t>
            </w:r>
            <w:r>
              <w:rPr>
                <w:color w:val="231F20"/>
                <w:spacing w:val="-8"/>
                <w:sz w:val="24"/>
              </w:rPr>
              <w:t xml:space="preserve"> </w:t>
            </w:r>
            <w:r>
              <w:rPr>
                <w:color w:val="231F20"/>
                <w:sz w:val="24"/>
              </w:rPr>
              <w:t>Establishes</w:t>
            </w:r>
            <w:r>
              <w:rPr>
                <w:color w:val="231F20"/>
                <w:spacing w:val="-8"/>
                <w:sz w:val="24"/>
              </w:rPr>
              <w:t xml:space="preserve"> </w:t>
            </w:r>
            <w:r>
              <w:rPr>
                <w:color w:val="231F20"/>
                <w:sz w:val="24"/>
              </w:rPr>
              <w:t>how</w:t>
            </w:r>
            <w:r>
              <w:rPr>
                <w:color w:val="231F20"/>
                <w:spacing w:val="-9"/>
                <w:sz w:val="24"/>
              </w:rPr>
              <w:t xml:space="preserve"> </w:t>
            </w:r>
            <w:r>
              <w:rPr>
                <w:color w:val="231F20"/>
                <w:sz w:val="24"/>
              </w:rPr>
              <w:t>government</w:t>
            </w:r>
            <w:r>
              <w:rPr>
                <w:color w:val="231F20"/>
                <w:spacing w:val="-9"/>
                <w:sz w:val="24"/>
              </w:rPr>
              <w:t xml:space="preserve"> </w:t>
            </w:r>
            <w:r>
              <w:rPr>
                <w:color w:val="231F20"/>
                <w:sz w:val="24"/>
              </w:rPr>
              <w:t>policy</w:t>
            </w:r>
            <w:r>
              <w:rPr>
                <w:color w:val="231F20"/>
                <w:spacing w:val="-9"/>
                <w:sz w:val="24"/>
              </w:rPr>
              <w:t xml:space="preserve"> </w:t>
            </w:r>
            <w:r>
              <w:rPr>
                <w:color w:val="231F20"/>
                <w:sz w:val="24"/>
              </w:rPr>
              <w:t>will</w:t>
            </w:r>
            <w:r>
              <w:rPr>
                <w:color w:val="231F20"/>
                <w:spacing w:val="-9"/>
                <w:sz w:val="24"/>
              </w:rPr>
              <w:t xml:space="preserve"> </w:t>
            </w:r>
            <w:r>
              <w:rPr>
                <w:color w:val="231F20"/>
                <w:sz w:val="24"/>
              </w:rPr>
              <w:t>be</w:t>
            </w:r>
            <w:r>
              <w:rPr>
                <w:color w:val="231F20"/>
                <w:spacing w:val="-9"/>
                <w:sz w:val="24"/>
              </w:rPr>
              <w:t xml:space="preserve"> </w:t>
            </w:r>
            <w:r>
              <w:rPr>
                <w:color w:val="231F20"/>
                <w:sz w:val="24"/>
              </w:rPr>
              <w:t>implemented and advances initiatives and reforms.</w:t>
            </w:r>
          </w:p>
        </w:tc>
      </w:tr>
      <w:tr w:rsidR="005342C1" w14:paraId="79D84F73" w14:textId="77777777" w:rsidTr="00D73130">
        <w:trPr>
          <w:trHeight w:val="2142"/>
        </w:trPr>
        <w:tc>
          <w:tcPr>
            <w:tcW w:w="2891" w:type="dxa"/>
            <w:tcBorders>
              <w:top w:val="single" w:sz="2" w:space="0" w:color="939598"/>
            </w:tcBorders>
          </w:tcPr>
          <w:p w14:paraId="19B564E8" w14:textId="77777777" w:rsidR="005342C1" w:rsidRDefault="005342C1" w:rsidP="00D73130">
            <w:pPr>
              <w:pStyle w:val="TableParagraph"/>
              <w:spacing w:line="262" w:lineRule="exact"/>
              <w:ind w:left="-3"/>
              <w:jc w:val="left"/>
              <w:rPr>
                <w:b/>
                <w:sz w:val="24"/>
              </w:rPr>
            </w:pPr>
            <w:r>
              <w:rPr>
                <w:b/>
                <w:color w:val="231F20"/>
                <w:sz w:val="24"/>
              </w:rPr>
              <w:t>Cost</w:t>
            </w:r>
            <w:r>
              <w:rPr>
                <w:b/>
                <w:color w:val="231F20"/>
                <w:spacing w:val="-6"/>
                <w:sz w:val="24"/>
              </w:rPr>
              <w:t xml:space="preserve"> </w:t>
            </w:r>
            <w:r>
              <w:rPr>
                <w:b/>
                <w:color w:val="231F20"/>
                <w:sz w:val="24"/>
              </w:rPr>
              <w:t>Control</w:t>
            </w:r>
            <w:r>
              <w:rPr>
                <w:b/>
                <w:color w:val="231F20"/>
                <w:spacing w:val="-5"/>
                <w:sz w:val="24"/>
              </w:rPr>
              <w:t xml:space="preserve"> </w:t>
            </w:r>
            <w:r>
              <w:rPr>
                <w:b/>
                <w:color w:val="231F20"/>
                <w:spacing w:val="-2"/>
                <w:sz w:val="24"/>
              </w:rPr>
              <w:t>Board</w:t>
            </w:r>
          </w:p>
          <w:p w14:paraId="0C99EAB4" w14:textId="5EECDC2A" w:rsidR="005342C1" w:rsidRDefault="005342C1" w:rsidP="00D73130">
            <w:pPr>
              <w:pStyle w:val="TableParagraph"/>
              <w:spacing w:before="54"/>
              <w:ind w:left="-3"/>
              <w:jc w:val="left"/>
              <w:rPr>
                <w:b/>
                <w:sz w:val="24"/>
              </w:rPr>
            </w:pPr>
            <w:r>
              <w:rPr>
                <w:i/>
                <w:color w:val="231F20"/>
                <w:spacing w:val="-4"/>
                <w:sz w:val="24"/>
              </w:rPr>
              <w:t>Meets</w:t>
            </w:r>
            <w:r>
              <w:rPr>
                <w:i/>
                <w:color w:val="231F20"/>
                <w:spacing w:val="-9"/>
                <w:sz w:val="24"/>
              </w:rPr>
              <w:t xml:space="preserve"> </w:t>
            </w:r>
            <w:r>
              <w:rPr>
                <w:i/>
                <w:color w:val="231F20"/>
                <w:spacing w:val="-2"/>
                <w:sz w:val="24"/>
              </w:rPr>
              <w:t>monthly</w:t>
            </w:r>
          </w:p>
        </w:tc>
        <w:tc>
          <w:tcPr>
            <w:tcW w:w="7313" w:type="dxa"/>
            <w:tcBorders>
              <w:top w:val="single" w:sz="4" w:space="0" w:color="auto"/>
            </w:tcBorders>
          </w:tcPr>
          <w:p w14:paraId="1296EE85" w14:textId="77777777" w:rsidR="005342C1" w:rsidRDefault="005342C1" w:rsidP="00D73130">
            <w:pPr>
              <w:pStyle w:val="TableParagraph"/>
              <w:spacing w:line="262" w:lineRule="exact"/>
              <w:jc w:val="left"/>
              <w:rPr>
                <w:sz w:val="24"/>
              </w:rPr>
            </w:pPr>
            <w:r>
              <w:rPr>
                <w:color w:val="231F20"/>
                <w:sz w:val="24"/>
              </w:rPr>
              <w:t>Provides</w:t>
            </w:r>
            <w:r>
              <w:rPr>
                <w:color w:val="231F20"/>
                <w:spacing w:val="-2"/>
                <w:sz w:val="24"/>
              </w:rPr>
              <w:t xml:space="preserve"> </w:t>
            </w:r>
            <w:r>
              <w:rPr>
                <w:color w:val="231F20"/>
                <w:sz w:val="24"/>
              </w:rPr>
              <w:t>an</w:t>
            </w:r>
            <w:r>
              <w:rPr>
                <w:color w:val="231F20"/>
                <w:spacing w:val="-2"/>
                <w:sz w:val="24"/>
              </w:rPr>
              <w:t xml:space="preserve"> </w:t>
            </w:r>
            <w:r>
              <w:rPr>
                <w:color w:val="231F20"/>
                <w:sz w:val="24"/>
              </w:rPr>
              <w:t>ongoing,</w:t>
            </w:r>
            <w:r>
              <w:rPr>
                <w:color w:val="231F20"/>
                <w:spacing w:val="-2"/>
                <w:sz w:val="24"/>
              </w:rPr>
              <w:t xml:space="preserve"> </w:t>
            </w:r>
            <w:r>
              <w:rPr>
                <w:color w:val="231F20"/>
                <w:sz w:val="24"/>
              </w:rPr>
              <w:t>strategic</w:t>
            </w:r>
            <w:r>
              <w:rPr>
                <w:color w:val="231F20"/>
                <w:spacing w:val="-2"/>
                <w:sz w:val="24"/>
              </w:rPr>
              <w:t xml:space="preserve"> </w:t>
            </w:r>
            <w:r>
              <w:rPr>
                <w:color w:val="231F20"/>
                <w:sz w:val="24"/>
              </w:rPr>
              <w:t>focus</w:t>
            </w:r>
            <w:r>
              <w:rPr>
                <w:color w:val="231F20"/>
                <w:spacing w:val="-1"/>
                <w:sz w:val="24"/>
              </w:rPr>
              <w:t xml:space="preserve"> </w:t>
            </w:r>
            <w:r>
              <w:rPr>
                <w:color w:val="231F20"/>
                <w:sz w:val="24"/>
              </w:rPr>
              <w:t>on</w:t>
            </w:r>
            <w:r>
              <w:rPr>
                <w:color w:val="231F20"/>
                <w:spacing w:val="-2"/>
                <w:sz w:val="24"/>
              </w:rPr>
              <w:t xml:space="preserve"> </w:t>
            </w:r>
            <w:r>
              <w:rPr>
                <w:color w:val="231F20"/>
                <w:sz w:val="24"/>
              </w:rPr>
              <w:t>financial</w:t>
            </w:r>
            <w:r>
              <w:rPr>
                <w:color w:val="231F20"/>
                <w:spacing w:val="-1"/>
                <w:sz w:val="24"/>
              </w:rPr>
              <w:t xml:space="preserve"> </w:t>
            </w:r>
            <w:r>
              <w:rPr>
                <w:color w:val="231F20"/>
                <w:spacing w:val="-2"/>
                <w:sz w:val="24"/>
              </w:rPr>
              <w:t>management.</w:t>
            </w:r>
          </w:p>
          <w:p w14:paraId="434927C1" w14:textId="77777777" w:rsidR="005342C1" w:rsidRDefault="005342C1" w:rsidP="00D73130">
            <w:pPr>
              <w:pStyle w:val="TableParagraph"/>
              <w:spacing w:before="0" w:line="242" w:lineRule="auto"/>
              <w:jc w:val="left"/>
              <w:rPr>
                <w:sz w:val="24"/>
              </w:rPr>
            </w:pPr>
            <w:r>
              <w:rPr>
                <w:color w:val="231F20"/>
                <w:sz w:val="24"/>
              </w:rPr>
              <w:t>Considers</w:t>
            </w:r>
            <w:r>
              <w:rPr>
                <w:color w:val="231F20"/>
                <w:spacing w:val="-6"/>
                <w:sz w:val="24"/>
              </w:rPr>
              <w:t xml:space="preserve"> </w:t>
            </w:r>
            <w:r>
              <w:rPr>
                <w:color w:val="231F20"/>
                <w:sz w:val="24"/>
              </w:rPr>
              <w:t>and</w:t>
            </w:r>
            <w:r>
              <w:rPr>
                <w:color w:val="231F20"/>
                <w:spacing w:val="-6"/>
                <w:sz w:val="24"/>
              </w:rPr>
              <w:t xml:space="preserve"> </w:t>
            </w:r>
            <w:r>
              <w:rPr>
                <w:color w:val="231F20"/>
                <w:sz w:val="24"/>
              </w:rPr>
              <w:t>approves</w:t>
            </w:r>
            <w:r>
              <w:rPr>
                <w:color w:val="231F20"/>
                <w:spacing w:val="-6"/>
                <w:sz w:val="24"/>
              </w:rPr>
              <w:t xml:space="preserve"> </w:t>
            </w:r>
            <w:r>
              <w:rPr>
                <w:color w:val="231F20"/>
                <w:sz w:val="24"/>
              </w:rPr>
              <w:t>key</w:t>
            </w:r>
            <w:r>
              <w:rPr>
                <w:color w:val="231F20"/>
                <w:spacing w:val="-5"/>
                <w:sz w:val="24"/>
              </w:rPr>
              <w:t xml:space="preserve"> </w:t>
            </w:r>
            <w:r>
              <w:rPr>
                <w:color w:val="231F20"/>
                <w:sz w:val="24"/>
              </w:rPr>
              <w:t>financial</w:t>
            </w:r>
            <w:r>
              <w:rPr>
                <w:color w:val="231F20"/>
                <w:spacing w:val="-5"/>
                <w:sz w:val="24"/>
              </w:rPr>
              <w:t xml:space="preserve"> </w:t>
            </w:r>
            <w:r>
              <w:rPr>
                <w:color w:val="231F20"/>
                <w:sz w:val="24"/>
              </w:rPr>
              <w:t>management</w:t>
            </w:r>
            <w:r>
              <w:rPr>
                <w:color w:val="231F20"/>
                <w:spacing w:val="-5"/>
                <w:sz w:val="24"/>
              </w:rPr>
              <w:t xml:space="preserve"> </w:t>
            </w:r>
            <w:r>
              <w:rPr>
                <w:color w:val="231F20"/>
                <w:sz w:val="24"/>
              </w:rPr>
              <w:t>policies</w:t>
            </w:r>
            <w:r>
              <w:rPr>
                <w:color w:val="231F20"/>
                <w:spacing w:val="-6"/>
                <w:sz w:val="24"/>
              </w:rPr>
              <w:t xml:space="preserve"> </w:t>
            </w:r>
            <w:r>
              <w:rPr>
                <w:color w:val="231F20"/>
                <w:sz w:val="24"/>
              </w:rPr>
              <w:t xml:space="preserve">and procedures, business cases and major resource management </w:t>
            </w:r>
            <w:r>
              <w:rPr>
                <w:color w:val="231F20"/>
                <w:spacing w:val="-2"/>
                <w:sz w:val="24"/>
              </w:rPr>
              <w:t>decisions.</w:t>
            </w:r>
          </w:p>
          <w:p w14:paraId="07CDB653" w14:textId="6886DCDF" w:rsidR="005342C1" w:rsidRDefault="005342C1" w:rsidP="00D73130">
            <w:pPr>
              <w:pStyle w:val="TableParagraph"/>
              <w:spacing w:before="58" w:line="242" w:lineRule="auto"/>
              <w:jc w:val="left"/>
              <w:rPr>
                <w:sz w:val="24"/>
              </w:rPr>
            </w:pPr>
            <w:r>
              <w:rPr>
                <w:color w:val="231F20"/>
                <w:sz w:val="24"/>
              </w:rPr>
              <w:t>The</w:t>
            </w:r>
            <w:r>
              <w:rPr>
                <w:color w:val="231F20"/>
                <w:spacing w:val="-3"/>
                <w:sz w:val="24"/>
              </w:rPr>
              <w:t xml:space="preserve"> </w:t>
            </w:r>
            <w:r>
              <w:rPr>
                <w:color w:val="231F20"/>
                <w:sz w:val="24"/>
              </w:rPr>
              <w:t>Cost</w:t>
            </w:r>
            <w:r>
              <w:rPr>
                <w:color w:val="231F20"/>
                <w:spacing w:val="-4"/>
                <w:sz w:val="24"/>
              </w:rPr>
              <w:t xml:space="preserve"> </w:t>
            </w:r>
            <w:r>
              <w:rPr>
                <w:color w:val="231F20"/>
                <w:sz w:val="24"/>
              </w:rPr>
              <w:t>Control</w:t>
            </w:r>
            <w:r>
              <w:rPr>
                <w:color w:val="231F20"/>
                <w:spacing w:val="-4"/>
                <w:sz w:val="24"/>
              </w:rPr>
              <w:t xml:space="preserve"> </w:t>
            </w:r>
            <w:r>
              <w:rPr>
                <w:color w:val="231F20"/>
                <w:sz w:val="24"/>
              </w:rPr>
              <w:t>Board</w:t>
            </w:r>
            <w:r>
              <w:rPr>
                <w:color w:val="231F20"/>
                <w:spacing w:val="-3"/>
                <w:sz w:val="24"/>
              </w:rPr>
              <w:t xml:space="preserve"> </w:t>
            </w:r>
            <w:r>
              <w:rPr>
                <w:color w:val="231F20"/>
                <w:sz w:val="24"/>
              </w:rPr>
              <w:t>is</w:t>
            </w:r>
            <w:r>
              <w:rPr>
                <w:color w:val="231F20"/>
                <w:spacing w:val="-4"/>
                <w:sz w:val="24"/>
              </w:rPr>
              <w:t xml:space="preserve"> </w:t>
            </w:r>
            <w:r>
              <w:rPr>
                <w:color w:val="231F20"/>
                <w:sz w:val="24"/>
              </w:rPr>
              <w:t>primarily</w:t>
            </w:r>
            <w:r>
              <w:rPr>
                <w:color w:val="231F20"/>
                <w:spacing w:val="-4"/>
                <w:sz w:val="24"/>
              </w:rPr>
              <w:t xml:space="preserve"> </w:t>
            </w:r>
            <w:r>
              <w:rPr>
                <w:color w:val="231F20"/>
                <w:sz w:val="24"/>
              </w:rPr>
              <w:t>focused</w:t>
            </w:r>
            <w:r>
              <w:rPr>
                <w:color w:val="231F20"/>
                <w:spacing w:val="-3"/>
                <w:sz w:val="24"/>
              </w:rPr>
              <w:t xml:space="preserve"> </w:t>
            </w:r>
            <w:r>
              <w:rPr>
                <w:color w:val="231F20"/>
                <w:sz w:val="24"/>
              </w:rPr>
              <w:t>on</w:t>
            </w:r>
            <w:r>
              <w:rPr>
                <w:color w:val="231F20"/>
                <w:spacing w:val="-4"/>
                <w:sz w:val="24"/>
              </w:rPr>
              <w:t xml:space="preserve"> </w:t>
            </w:r>
            <w:r>
              <w:rPr>
                <w:color w:val="231F20"/>
                <w:sz w:val="24"/>
              </w:rPr>
              <w:t>finance</w:t>
            </w:r>
            <w:r>
              <w:rPr>
                <w:color w:val="231F20"/>
                <w:spacing w:val="-3"/>
                <w:sz w:val="24"/>
              </w:rPr>
              <w:t xml:space="preserve"> </w:t>
            </w:r>
            <w:r>
              <w:rPr>
                <w:color w:val="231F20"/>
                <w:sz w:val="24"/>
              </w:rPr>
              <w:t>and</w:t>
            </w:r>
            <w:r>
              <w:rPr>
                <w:color w:val="231F20"/>
                <w:spacing w:val="-4"/>
                <w:sz w:val="24"/>
              </w:rPr>
              <w:t xml:space="preserve"> </w:t>
            </w:r>
            <w:r>
              <w:rPr>
                <w:color w:val="231F20"/>
                <w:sz w:val="24"/>
              </w:rPr>
              <w:t>resource management. It also has responsibility for project governance matters when risks to budget, scope or time are identified.</w:t>
            </w:r>
          </w:p>
        </w:tc>
      </w:tr>
      <w:tr w:rsidR="005342C1" w14:paraId="57016E6F" w14:textId="77777777" w:rsidTr="00D73130">
        <w:trPr>
          <w:trHeight w:val="1806"/>
        </w:trPr>
        <w:tc>
          <w:tcPr>
            <w:tcW w:w="2891" w:type="dxa"/>
            <w:tcBorders>
              <w:top w:val="single" w:sz="2" w:space="0" w:color="939598"/>
            </w:tcBorders>
          </w:tcPr>
          <w:p w14:paraId="5DB70D94" w14:textId="77777777" w:rsidR="005342C1" w:rsidRDefault="005342C1" w:rsidP="00D73130">
            <w:pPr>
              <w:pStyle w:val="TableParagraph"/>
              <w:spacing w:before="61" w:line="262" w:lineRule="exact"/>
              <w:ind w:left="-3"/>
              <w:jc w:val="left"/>
              <w:rPr>
                <w:b/>
                <w:sz w:val="24"/>
              </w:rPr>
            </w:pPr>
            <w:r>
              <w:rPr>
                <w:b/>
                <w:color w:val="231F20"/>
                <w:sz w:val="24"/>
              </w:rPr>
              <w:t xml:space="preserve">Information </w:t>
            </w:r>
            <w:r>
              <w:rPr>
                <w:b/>
                <w:color w:val="231F20"/>
                <w:spacing w:val="-2"/>
                <w:sz w:val="24"/>
              </w:rPr>
              <w:t>Management</w:t>
            </w:r>
          </w:p>
          <w:p w14:paraId="5290D79B" w14:textId="77777777" w:rsidR="005342C1" w:rsidRDefault="005342C1" w:rsidP="00D73130">
            <w:pPr>
              <w:pStyle w:val="TableParagraph"/>
              <w:spacing w:before="0" w:line="260" w:lineRule="exact"/>
              <w:ind w:left="-3"/>
              <w:jc w:val="left"/>
              <w:rPr>
                <w:b/>
                <w:sz w:val="24"/>
              </w:rPr>
            </w:pPr>
            <w:r>
              <w:rPr>
                <w:b/>
                <w:color w:val="231F20"/>
                <w:sz w:val="24"/>
              </w:rPr>
              <w:t>and</w:t>
            </w:r>
            <w:r>
              <w:rPr>
                <w:b/>
                <w:color w:val="231F20"/>
                <w:spacing w:val="-3"/>
                <w:sz w:val="24"/>
              </w:rPr>
              <w:t xml:space="preserve"> </w:t>
            </w:r>
            <w:r>
              <w:rPr>
                <w:b/>
                <w:color w:val="231F20"/>
                <w:spacing w:val="-2"/>
                <w:sz w:val="24"/>
              </w:rPr>
              <w:t>Governance</w:t>
            </w:r>
          </w:p>
          <w:p w14:paraId="19AC4448" w14:textId="77777777" w:rsidR="005342C1" w:rsidRDefault="005342C1" w:rsidP="00D73130">
            <w:pPr>
              <w:pStyle w:val="TableParagraph"/>
              <w:spacing w:before="0" w:line="260" w:lineRule="exact"/>
              <w:ind w:left="-3"/>
              <w:jc w:val="left"/>
              <w:rPr>
                <w:b/>
                <w:sz w:val="24"/>
              </w:rPr>
            </w:pPr>
            <w:r>
              <w:rPr>
                <w:b/>
                <w:color w:val="231F20"/>
                <w:spacing w:val="-2"/>
                <w:sz w:val="24"/>
              </w:rPr>
              <w:t>Committee</w:t>
            </w:r>
          </w:p>
          <w:p w14:paraId="581D0DA3" w14:textId="00C43203" w:rsidR="005342C1" w:rsidRDefault="005342C1" w:rsidP="00D73130">
            <w:pPr>
              <w:pStyle w:val="TableParagraph"/>
              <w:spacing w:before="54"/>
              <w:ind w:left="-3"/>
              <w:jc w:val="left"/>
              <w:rPr>
                <w:b/>
                <w:sz w:val="24"/>
              </w:rPr>
            </w:pPr>
            <w:r>
              <w:rPr>
                <w:i/>
                <w:color w:val="231F20"/>
                <w:spacing w:val="-4"/>
                <w:sz w:val="24"/>
              </w:rPr>
              <w:t>Meets</w:t>
            </w:r>
            <w:r>
              <w:rPr>
                <w:i/>
                <w:color w:val="231F20"/>
                <w:spacing w:val="-14"/>
                <w:sz w:val="24"/>
              </w:rPr>
              <w:t xml:space="preserve"> </w:t>
            </w:r>
            <w:r>
              <w:rPr>
                <w:i/>
                <w:color w:val="231F20"/>
                <w:spacing w:val="-4"/>
                <w:sz w:val="24"/>
              </w:rPr>
              <w:t>bi-monthly</w:t>
            </w:r>
          </w:p>
        </w:tc>
        <w:tc>
          <w:tcPr>
            <w:tcW w:w="7313" w:type="dxa"/>
            <w:tcBorders>
              <w:top w:val="single" w:sz="4" w:space="0" w:color="auto"/>
            </w:tcBorders>
          </w:tcPr>
          <w:p w14:paraId="6F33334E" w14:textId="77777777" w:rsidR="005342C1" w:rsidRDefault="005342C1" w:rsidP="00D73130">
            <w:pPr>
              <w:pStyle w:val="TableParagraph"/>
              <w:spacing w:before="61" w:line="262" w:lineRule="exact"/>
              <w:jc w:val="left"/>
              <w:rPr>
                <w:sz w:val="24"/>
              </w:rPr>
            </w:pPr>
            <w:r>
              <w:rPr>
                <w:color w:val="231F20"/>
                <w:sz w:val="24"/>
              </w:rPr>
              <w:t>Provides</w:t>
            </w:r>
            <w:r>
              <w:rPr>
                <w:color w:val="231F20"/>
                <w:spacing w:val="-3"/>
                <w:sz w:val="24"/>
              </w:rPr>
              <w:t xml:space="preserve"> </w:t>
            </w:r>
            <w:r>
              <w:rPr>
                <w:color w:val="231F20"/>
                <w:sz w:val="24"/>
              </w:rPr>
              <w:t>a</w:t>
            </w:r>
            <w:r>
              <w:rPr>
                <w:color w:val="231F20"/>
                <w:spacing w:val="-1"/>
                <w:sz w:val="24"/>
              </w:rPr>
              <w:t xml:space="preserve"> </w:t>
            </w:r>
            <w:r>
              <w:rPr>
                <w:color w:val="231F20"/>
                <w:sz w:val="24"/>
              </w:rPr>
              <w:t>strategic focus on</w:t>
            </w:r>
            <w:r>
              <w:rPr>
                <w:color w:val="231F20"/>
                <w:spacing w:val="-1"/>
                <w:sz w:val="24"/>
              </w:rPr>
              <w:t xml:space="preserve"> </w:t>
            </w:r>
            <w:r>
              <w:rPr>
                <w:color w:val="231F20"/>
                <w:sz w:val="24"/>
              </w:rPr>
              <w:t xml:space="preserve">Enterprise Information </w:t>
            </w:r>
            <w:r>
              <w:rPr>
                <w:color w:val="231F20"/>
                <w:spacing w:val="-2"/>
                <w:sz w:val="24"/>
              </w:rPr>
              <w:t>Management-</w:t>
            </w:r>
          </w:p>
          <w:p w14:paraId="1A442914" w14:textId="77777777" w:rsidR="005342C1" w:rsidRDefault="005342C1" w:rsidP="00D73130">
            <w:pPr>
              <w:pStyle w:val="TableParagraph"/>
              <w:spacing w:before="0" w:line="260" w:lineRule="exact"/>
              <w:jc w:val="left"/>
              <w:rPr>
                <w:sz w:val="24"/>
              </w:rPr>
            </w:pPr>
            <w:r>
              <w:rPr>
                <w:color w:val="231F20"/>
                <w:sz w:val="24"/>
              </w:rPr>
              <w:t>related</w:t>
            </w:r>
            <w:r>
              <w:rPr>
                <w:color w:val="231F20"/>
                <w:spacing w:val="-6"/>
                <w:sz w:val="24"/>
              </w:rPr>
              <w:t xml:space="preserve"> </w:t>
            </w:r>
            <w:r>
              <w:rPr>
                <w:color w:val="231F20"/>
                <w:sz w:val="24"/>
              </w:rPr>
              <w:t>priorities</w:t>
            </w:r>
            <w:r>
              <w:rPr>
                <w:color w:val="231F20"/>
                <w:spacing w:val="-4"/>
                <w:sz w:val="24"/>
              </w:rPr>
              <w:t xml:space="preserve"> </w:t>
            </w:r>
            <w:r>
              <w:rPr>
                <w:color w:val="231F20"/>
                <w:sz w:val="24"/>
              </w:rPr>
              <w:t>and</w:t>
            </w:r>
            <w:r>
              <w:rPr>
                <w:color w:val="231F20"/>
                <w:spacing w:val="-4"/>
                <w:sz w:val="24"/>
              </w:rPr>
              <w:t xml:space="preserve"> </w:t>
            </w:r>
            <w:r>
              <w:rPr>
                <w:color w:val="231F20"/>
                <w:sz w:val="24"/>
              </w:rPr>
              <w:t>governance,</w:t>
            </w:r>
            <w:r>
              <w:rPr>
                <w:color w:val="231F20"/>
                <w:spacing w:val="-5"/>
                <w:sz w:val="24"/>
              </w:rPr>
              <w:t xml:space="preserve"> </w:t>
            </w:r>
            <w:r>
              <w:rPr>
                <w:color w:val="231F20"/>
                <w:sz w:val="24"/>
              </w:rPr>
              <w:t>risk</w:t>
            </w:r>
            <w:r>
              <w:rPr>
                <w:color w:val="231F20"/>
                <w:spacing w:val="-3"/>
                <w:sz w:val="24"/>
              </w:rPr>
              <w:t xml:space="preserve"> </w:t>
            </w:r>
            <w:r>
              <w:rPr>
                <w:color w:val="231F20"/>
                <w:sz w:val="24"/>
              </w:rPr>
              <w:t>management</w:t>
            </w:r>
            <w:r>
              <w:rPr>
                <w:color w:val="231F20"/>
                <w:spacing w:val="-3"/>
                <w:sz w:val="24"/>
              </w:rPr>
              <w:t xml:space="preserve"> </w:t>
            </w:r>
            <w:r>
              <w:rPr>
                <w:color w:val="231F20"/>
                <w:sz w:val="24"/>
              </w:rPr>
              <w:t>and</w:t>
            </w:r>
            <w:r>
              <w:rPr>
                <w:color w:val="231F20"/>
                <w:spacing w:val="-4"/>
                <w:sz w:val="24"/>
              </w:rPr>
              <w:t xml:space="preserve"> </w:t>
            </w:r>
            <w:r>
              <w:rPr>
                <w:color w:val="231F20"/>
                <w:spacing w:val="-2"/>
                <w:sz w:val="24"/>
              </w:rPr>
              <w:t>compliance</w:t>
            </w:r>
          </w:p>
          <w:p w14:paraId="43E8B3EA" w14:textId="77777777" w:rsidR="005342C1" w:rsidRDefault="005342C1" w:rsidP="00D73130">
            <w:pPr>
              <w:pStyle w:val="TableParagraph"/>
              <w:spacing w:before="0" w:line="260" w:lineRule="exact"/>
              <w:jc w:val="left"/>
              <w:rPr>
                <w:sz w:val="24"/>
              </w:rPr>
            </w:pPr>
            <w:r>
              <w:rPr>
                <w:color w:val="231F20"/>
                <w:sz w:val="24"/>
              </w:rPr>
              <w:t>with</w:t>
            </w:r>
            <w:r>
              <w:rPr>
                <w:color w:val="231F20"/>
                <w:spacing w:val="-7"/>
                <w:sz w:val="24"/>
              </w:rPr>
              <w:t xml:space="preserve"> </w:t>
            </w:r>
            <w:r>
              <w:rPr>
                <w:color w:val="231F20"/>
                <w:sz w:val="24"/>
              </w:rPr>
              <w:t>organisational</w:t>
            </w:r>
            <w:r>
              <w:rPr>
                <w:color w:val="231F20"/>
                <w:spacing w:val="-6"/>
                <w:sz w:val="24"/>
              </w:rPr>
              <w:t xml:space="preserve"> </w:t>
            </w:r>
            <w:r>
              <w:rPr>
                <w:color w:val="231F20"/>
                <w:sz w:val="24"/>
              </w:rPr>
              <w:t>and</w:t>
            </w:r>
            <w:r>
              <w:rPr>
                <w:color w:val="231F20"/>
                <w:spacing w:val="-7"/>
                <w:sz w:val="24"/>
              </w:rPr>
              <w:t xml:space="preserve"> </w:t>
            </w:r>
            <w:r>
              <w:rPr>
                <w:color w:val="231F20"/>
                <w:sz w:val="24"/>
              </w:rPr>
              <w:t>government</w:t>
            </w:r>
            <w:r>
              <w:rPr>
                <w:color w:val="231F20"/>
                <w:spacing w:val="-6"/>
                <w:sz w:val="24"/>
              </w:rPr>
              <w:t xml:space="preserve"> </w:t>
            </w:r>
            <w:r>
              <w:rPr>
                <w:color w:val="231F20"/>
                <w:sz w:val="24"/>
              </w:rPr>
              <w:t>Information</w:t>
            </w:r>
            <w:r>
              <w:rPr>
                <w:color w:val="231F20"/>
                <w:spacing w:val="-5"/>
                <w:sz w:val="24"/>
              </w:rPr>
              <w:t xml:space="preserve"> </w:t>
            </w:r>
            <w:r>
              <w:rPr>
                <w:color w:val="231F20"/>
                <w:spacing w:val="-2"/>
                <w:sz w:val="24"/>
              </w:rPr>
              <w:t>Management</w:t>
            </w:r>
          </w:p>
          <w:p w14:paraId="6DA11076" w14:textId="514AF511" w:rsidR="005342C1" w:rsidRDefault="005342C1" w:rsidP="00D73130">
            <w:pPr>
              <w:pStyle w:val="TableParagraph"/>
              <w:spacing w:before="0" w:line="242" w:lineRule="auto"/>
              <w:jc w:val="left"/>
              <w:rPr>
                <w:sz w:val="24"/>
              </w:rPr>
            </w:pPr>
            <w:r>
              <w:rPr>
                <w:color w:val="231F20"/>
                <w:sz w:val="24"/>
              </w:rPr>
              <w:t>Frameworks and policies, strategic directions and associated standards.</w:t>
            </w:r>
            <w:r>
              <w:rPr>
                <w:color w:val="231F20"/>
                <w:spacing w:val="-4"/>
                <w:sz w:val="24"/>
              </w:rPr>
              <w:t xml:space="preserve"> </w:t>
            </w:r>
            <w:r>
              <w:rPr>
                <w:color w:val="231F20"/>
                <w:sz w:val="24"/>
              </w:rPr>
              <w:t>Committee</w:t>
            </w:r>
            <w:r>
              <w:rPr>
                <w:color w:val="231F20"/>
                <w:spacing w:val="-5"/>
                <w:sz w:val="24"/>
              </w:rPr>
              <w:t xml:space="preserve"> </w:t>
            </w:r>
            <w:r>
              <w:rPr>
                <w:color w:val="231F20"/>
                <w:sz w:val="24"/>
              </w:rPr>
              <w:t>focus</w:t>
            </w:r>
            <w:r>
              <w:rPr>
                <w:color w:val="231F20"/>
                <w:spacing w:val="-4"/>
                <w:sz w:val="24"/>
              </w:rPr>
              <w:t xml:space="preserve"> </w:t>
            </w:r>
            <w:r>
              <w:rPr>
                <w:color w:val="231F20"/>
                <w:sz w:val="24"/>
              </w:rPr>
              <w:t>is</w:t>
            </w:r>
            <w:r>
              <w:rPr>
                <w:color w:val="231F20"/>
                <w:spacing w:val="-5"/>
                <w:sz w:val="24"/>
              </w:rPr>
              <w:t xml:space="preserve"> </w:t>
            </w:r>
            <w:r>
              <w:rPr>
                <w:color w:val="231F20"/>
                <w:sz w:val="24"/>
              </w:rPr>
              <w:t>under</w:t>
            </w:r>
            <w:r>
              <w:rPr>
                <w:color w:val="231F20"/>
                <w:spacing w:val="-5"/>
                <w:sz w:val="24"/>
              </w:rPr>
              <w:t xml:space="preserve"> </w:t>
            </w:r>
            <w:r>
              <w:rPr>
                <w:color w:val="231F20"/>
                <w:sz w:val="24"/>
              </w:rPr>
              <w:t>review</w:t>
            </w:r>
            <w:r>
              <w:rPr>
                <w:color w:val="231F20"/>
                <w:spacing w:val="-4"/>
                <w:sz w:val="24"/>
              </w:rPr>
              <w:t xml:space="preserve"> </w:t>
            </w:r>
            <w:r>
              <w:rPr>
                <w:color w:val="231F20"/>
                <w:sz w:val="24"/>
              </w:rPr>
              <w:t>by</w:t>
            </w:r>
            <w:r>
              <w:rPr>
                <w:color w:val="231F20"/>
                <w:spacing w:val="-5"/>
                <w:sz w:val="24"/>
              </w:rPr>
              <w:t xml:space="preserve"> </w:t>
            </w:r>
            <w:r>
              <w:rPr>
                <w:color w:val="231F20"/>
                <w:sz w:val="24"/>
              </w:rPr>
              <w:t>the</w:t>
            </w:r>
            <w:r>
              <w:rPr>
                <w:color w:val="231F20"/>
                <w:spacing w:val="-4"/>
                <w:sz w:val="24"/>
              </w:rPr>
              <w:t xml:space="preserve"> </w:t>
            </w:r>
            <w:r>
              <w:rPr>
                <w:color w:val="231F20"/>
                <w:sz w:val="24"/>
              </w:rPr>
              <w:t>newly</w:t>
            </w:r>
            <w:r>
              <w:rPr>
                <w:color w:val="231F20"/>
                <w:spacing w:val="-5"/>
                <w:sz w:val="24"/>
              </w:rPr>
              <w:t xml:space="preserve"> </w:t>
            </w:r>
            <w:r>
              <w:rPr>
                <w:color w:val="231F20"/>
                <w:sz w:val="24"/>
              </w:rPr>
              <w:t>appointed Chief Digital Officer.</w:t>
            </w:r>
          </w:p>
        </w:tc>
      </w:tr>
      <w:tr w:rsidR="005342C1" w14:paraId="03E754D3" w14:textId="77777777" w:rsidTr="00D73130">
        <w:trPr>
          <w:trHeight w:val="1525"/>
        </w:trPr>
        <w:tc>
          <w:tcPr>
            <w:tcW w:w="2891" w:type="dxa"/>
            <w:tcBorders>
              <w:top w:val="single" w:sz="2" w:space="0" w:color="939598"/>
            </w:tcBorders>
          </w:tcPr>
          <w:p w14:paraId="3D478F34" w14:textId="77777777" w:rsidR="005342C1" w:rsidRDefault="005342C1" w:rsidP="00D73130">
            <w:pPr>
              <w:pStyle w:val="TableParagraph"/>
              <w:spacing w:before="61" w:line="262" w:lineRule="exact"/>
              <w:ind w:left="-3"/>
              <w:jc w:val="left"/>
              <w:rPr>
                <w:b/>
                <w:sz w:val="24"/>
              </w:rPr>
            </w:pPr>
            <w:r>
              <w:rPr>
                <w:b/>
                <w:color w:val="231F20"/>
                <w:sz w:val="24"/>
              </w:rPr>
              <w:t xml:space="preserve">Operations </w:t>
            </w:r>
            <w:r>
              <w:rPr>
                <w:b/>
                <w:color w:val="231F20"/>
                <w:spacing w:val="-2"/>
                <w:sz w:val="24"/>
              </w:rPr>
              <w:t>Committee</w:t>
            </w:r>
          </w:p>
          <w:p w14:paraId="6DE31C67" w14:textId="7D4D9C39" w:rsidR="005342C1" w:rsidRDefault="005342C1" w:rsidP="00D73130">
            <w:pPr>
              <w:pStyle w:val="TableParagraph"/>
              <w:spacing w:before="54"/>
              <w:ind w:left="-3"/>
              <w:jc w:val="left"/>
              <w:rPr>
                <w:b/>
                <w:sz w:val="24"/>
              </w:rPr>
            </w:pPr>
            <w:r>
              <w:rPr>
                <w:i/>
                <w:color w:val="231F20"/>
                <w:spacing w:val="-4"/>
                <w:sz w:val="24"/>
              </w:rPr>
              <w:t>Meets</w:t>
            </w:r>
            <w:r>
              <w:rPr>
                <w:i/>
                <w:color w:val="231F20"/>
                <w:spacing w:val="-14"/>
                <w:sz w:val="24"/>
              </w:rPr>
              <w:t xml:space="preserve"> </w:t>
            </w:r>
            <w:r>
              <w:rPr>
                <w:i/>
                <w:color w:val="231F20"/>
                <w:spacing w:val="-4"/>
                <w:sz w:val="24"/>
              </w:rPr>
              <w:t>bi-monthly</w:t>
            </w:r>
          </w:p>
        </w:tc>
        <w:tc>
          <w:tcPr>
            <w:tcW w:w="7313" w:type="dxa"/>
            <w:tcBorders>
              <w:top w:val="single" w:sz="4" w:space="0" w:color="auto"/>
            </w:tcBorders>
          </w:tcPr>
          <w:p w14:paraId="79A1A015" w14:textId="77777777" w:rsidR="005342C1" w:rsidRDefault="005342C1" w:rsidP="00D73130">
            <w:pPr>
              <w:pStyle w:val="TableParagraph"/>
              <w:spacing w:before="61" w:line="262" w:lineRule="exact"/>
              <w:jc w:val="left"/>
              <w:rPr>
                <w:sz w:val="24"/>
              </w:rPr>
            </w:pPr>
            <w:r>
              <w:rPr>
                <w:color w:val="231F20"/>
                <w:sz w:val="24"/>
              </w:rPr>
              <w:t>Provides</w:t>
            </w:r>
            <w:r>
              <w:rPr>
                <w:color w:val="231F20"/>
                <w:spacing w:val="-3"/>
                <w:sz w:val="24"/>
              </w:rPr>
              <w:t xml:space="preserve"> </w:t>
            </w:r>
            <w:r>
              <w:rPr>
                <w:color w:val="231F20"/>
                <w:sz w:val="24"/>
              </w:rPr>
              <w:t>a</w:t>
            </w:r>
            <w:r>
              <w:rPr>
                <w:color w:val="231F20"/>
                <w:spacing w:val="-4"/>
                <w:sz w:val="24"/>
              </w:rPr>
              <w:t xml:space="preserve"> </w:t>
            </w:r>
            <w:r>
              <w:rPr>
                <w:color w:val="231F20"/>
                <w:sz w:val="24"/>
              </w:rPr>
              <w:t>risk-based</w:t>
            </w:r>
            <w:r>
              <w:rPr>
                <w:color w:val="231F20"/>
                <w:spacing w:val="-2"/>
                <w:sz w:val="24"/>
              </w:rPr>
              <w:t xml:space="preserve"> </w:t>
            </w:r>
            <w:r>
              <w:rPr>
                <w:color w:val="231F20"/>
                <w:sz w:val="24"/>
              </w:rPr>
              <w:t>approach</w:t>
            </w:r>
            <w:r>
              <w:rPr>
                <w:color w:val="231F20"/>
                <w:spacing w:val="-4"/>
                <w:sz w:val="24"/>
              </w:rPr>
              <w:t xml:space="preserve"> </w:t>
            </w:r>
            <w:r>
              <w:rPr>
                <w:color w:val="231F20"/>
                <w:sz w:val="24"/>
              </w:rPr>
              <w:t>to</w:t>
            </w:r>
            <w:r>
              <w:rPr>
                <w:color w:val="231F20"/>
                <w:spacing w:val="-2"/>
                <w:sz w:val="24"/>
              </w:rPr>
              <w:t xml:space="preserve"> </w:t>
            </w:r>
            <w:r>
              <w:rPr>
                <w:color w:val="231F20"/>
                <w:sz w:val="24"/>
              </w:rPr>
              <w:t>identifying,</w:t>
            </w:r>
            <w:r>
              <w:rPr>
                <w:color w:val="231F20"/>
                <w:spacing w:val="-4"/>
                <w:sz w:val="24"/>
              </w:rPr>
              <w:t xml:space="preserve"> </w:t>
            </w:r>
            <w:r>
              <w:rPr>
                <w:color w:val="231F20"/>
                <w:sz w:val="24"/>
              </w:rPr>
              <w:t>coordinating,</w:t>
            </w:r>
            <w:r>
              <w:rPr>
                <w:color w:val="231F20"/>
                <w:spacing w:val="-2"/>
                <w:sz w:val="24"/>
              </w:rPr>
              <w:t xml:space="preserve"> </w:t>
            </w:r>
            <w:r>
              <w:rPr>
                <w:color w:val="231F20"/>
                <w:spacing w:val="-5"/>
                <w:sz w:val="24"/>
              </w:rPr>
              <w:t>and</w:t>
            </w:r>
          </w:p>
          <w:p w14:paraId="3CC59B65" w14:textId="48874A2D" w:rsidR="005342C1" w:rsidRDefault="005342C1" w:rsidP="00D73130">
            <w:pPr>
              <w:pStyle w:val="TableParagraph"/>
              <w:spacing w:before="0" w:line="242" w:lineRule="auto"/>
              <w:jc w:val="left"/>
              <w:rPr>
                <w:sz w:val="24"/>
              </w:rPr>
            </w:pPr>
            <w:r>
              <w:rPr>
                <w:color w:val="231F20"/>
                <w:sz w:val="24"/>
              </w:rPr>
              <w:t>responding</w:t>
            </w:r>
            <w:r>
              <w:rPr>
                <w:color w:val="231F20"/>
                <w:spacing w:val="-5"/>
                <w:sz w:val="24"/>
              </w:rPr>
              <w:t xml:space="preserve"> </w:t>
            </w:r>
            <w:r>
              <w:rPr>
                <w:color w:val="231F20"/>
                <w:sz w:val="24"/>
              </w:rPr>
              <w:t>to</w:t>
            </w:r>
            <w:r>
              <w:rPr>
                <w:color w:val="231F20"/>
                <w:spacing w:val="-5"/>
                <w:sz w:val="24"/>
              </w:rPr>
              <w:t xml:space="preserve"> </w:t>
            </w:r>
            <w:r>
              <w:rPr>
                <w:color w:val="231F20"/>
                <w:sz w:val="24"/>
              </w:rPr>
              <w:t>significant</w:t>
            </w:r>
            <w:r>
              <w:rPr>
                <w:color w:val="231F20"/>
                <w:spacing w:val="-5"/>
                <w:sz w:val="24"/>
              </w:rPr>
              <w:t xml:space="preserve"> </w:t>
            </w:r>
            <w:r>
              <w:rPr>
                <w:color w:val="231F20"/>
                <w:sz w:val="24"/>
              </w:rPr>
              <w:t>community</w:t>
            </w:r>
            <w:r>
              <w:rPr>
                <w:color w:val="231F20"/>
                <w:spacing w:val="-5"/>
                <w:sz w:val="24"/>
              </w:rPr>
              <w:t xml:space="preserve"> </w:t>
            </w:r>
            <w:r>
              <w:rPr>
                <w:color w:val="231F20"/>
                <w:sz w:val="24"/>
              </w:rPr>
              <w:t>safety</w:t>
            </w:r>
            <w:r>
              <w:rPr>
                <w:color w:val="231F20"/>
                <w:spacing w:val="-5"/>
                <w:sz w:val="24"/>
              </w:rPr>
              <w:t xml:space="preserve"> </w:t>
            </w:r>
            <w:r>
              <w:rPr>
                <w:color w:val="231F20"/>
                <w:sz w:val="24"/>
              </w:rPr>
              <w:t>issues</w:t>
            </w:r>
            <w:r>
              <w:rPr>
                <w:color w:val="231F20"/>
                <w:spacing w:val="-6"/>
                <w:sz w:val="24"/>
              </w:rPr>
              <w:t xml:space="preserve"> </w:t>
            </w:r>
            <w:r>
              <w:rPr>
                <w:color w:val="231F20"/>
                <w:sz w:val="24"/>
              </w:rPr>
              <w:t>with</w:t>
            </w:r>
            <w:r>
              <w:rPr>
                <w:color w:val="231F20"/>
                <w:spacing w:val="-6"/>
                <w:sz w:val="24"/>
              </w:rPr>
              <w:t xml:space="preserve"> </w:t>
            </w:r>
            <w:r>
              <w:rPr>
                <w:color w:val="231F20"/>
                <w:sz w:val="24"/>
              </w:rPr>
              <w:t>a</w:t>
            </w:r>
            <w:r>
              <w:rPr>
                <w:color w:val="231F20"/>
                <w:spacing w:val="-6"/>
                <w:sz w:val="24"/>
              </w:rPr>
              <w:t xml:space="preserve"> </w:t>
            </w:r>
            <w:r>
              <w:rPr>
                <w:color w:val="231F20"/>
                <w:sz w:val="24"/>
              </w:rPr>
              <w:t>progressive focus on developing policing services. Provides a strategic focus on potential policy changes required to support both the internal and external operating environment.</w:t>
            </w:r>
          </w:p>
        </w:tc>
      </w:tr>
      <w:tr w:rsidR="00345EE3" w14:paraId="118353E4" w14:textId="77777777" w:rsidTr="00D73130">
        <w:trPr>
          <w:trHeight w:val="2076"/>
        </w:trPr>
        <w:tc>
          <w:tcPr>
            <w:tcW w:w="2891" w:type="dxa"/>
            <w:tcBorders>
              <w:top w:val="single" w:sz="2" w:space="0" w:color="939598"/>
              <w:bottom w:val="single" w:sz="2" w:space="0" w:color="939598"/>
            </w:tcBorders>
          </w:tcPr>
          <w:p w14:paraId="0A75027D" w14:textId="77777777" w:rsidR="00345EE3" w:rsidRDefault="00345EE3" w:rsidP="00D73130">
            <w:pPr>
              <w:pStyle w:val="TableParagraph"/>
              <w:spacing w:before="62" w:line="242" w:lineRule="auto"/>
              <w:ind w:left="-3"/>
              <w:jc w:val="left"/>
              <w:rPr>
                <w:b/>
                <w:sz w:val="24"/>
              </w:rPr>
            </w:pPr>
            <w:r>
              <w:rPr>
                <w:b/>
                <w:color w:val="231F20"/>
                <w:sz w:val="24"/>
              </w:rPr>
              <w:t>Police</w:t>
            </w:r>
            <w:r>
              <w:rPr>
                <w:b/>
                <w:color w:val="231F20"/>
                <w:spacing w:val="-17"/>
                <w:sz w:val="24"/>
              </w:rPr>
              <w:t xml:space="preserve"> </w:t>
            </w:r>
            <w:r>
              <w:rPr>
                <w:b/>
                <w:color w:val="231F20"/>
                <w:sz w:val="24"/>
              </w:rPr>
              <w:t xml:space="preserve">Procurement </w:t>
            </w:r>
            <w:r>
              <w:rPr>
                <w:b/>
                <w:color w:val="231F20"/>
                <w:spacing w:val="-2"/>
                <w:sz w:val="24"/>
              </w:rPr>
              <w:t>Board</w:t>
            </w:r>
          </w:p>
          <w:p w14:paraId="45ED2A4F" w14:textId="77777777" w:rsidR="00345EE3" w:rsidRDefault="00345EE3" w:rsidP="00D73130">
            <w:pPr>
              <w:pStyle w:val="TableParagraph"/>
              <w:spacing w:before="59"/>
              <w:ind w:left="-3"/>
              <w:jc w:val="left"/>
              <w:rPr>
                <w:i/>
                <w:sz w:val="24"/>
              </w:rPr>
            </w:pPr>
            <w:r>
              <w:rPr>
                <w:i/>
                <w:color w:val="231F20"/>
                <w:spacing w:val="-4"/>
                <w:sz w:val="24"/>
              </w:rPr>
              <w:t>Meets</w:t>
            </w:r>
            <w:r>
              <w:rPr>
                <w:i/>
                <w:color w:val="231F20"/>
                <w:spacing w:val="-9"/>
                <w:sz w:val="24"/>
              </w:rPr>
              <w:t xml:space="preserve"> </w:t>
            </w:r>
            <w:r>
              <w:rPr>
                <w:i/>
                <w:color w:val="231F20"/>
                <w:spacing w:val="-2"/>
                <w:sz w:val="24"/>
              </w:rPr>
              <w:t>monthly</w:t>
            </w:r>
          </w:p>
        </w:tc>
        <w:tc>
          <w:tcPr>
            <w:tcW w:w="7313" w:type="dxa"/>
            <w:tcBorders>
              <w:top w:val="single" w:sz="4" w:space="0" w:color="auto"/>
              <w:bottom w:val="single" w:sz="4" w:space="0" w:color="auto"/>
            </w:tcBorders>
          </w:tcPr>
          <w:p w14:paraId="367CFBAE" w14:textId="77777777" w:rsidR="00345EE3" w:rsidRDefault="00345EE3" w:rsidP="00D73130">
            <w:pPr>
              <w:pStyle w:val="TableParagraph"/>
              <w:spacing w:before="62" w:line="242" w:lineRule="auto"/>
              <w:ind w:right="240"/>
              <w:jc w:val="left"/>
              <w:rPr>
                <w:sz w:val="24"/>
              </w:rPr>
            </w:pPr>
            <w:r>
              <w:rPr>
                <w:color w:val="231F20"/>
                <w:sz w:val="24"/>
              </w:rPr>
              <w:t>Ensures Victoria Police’s procurement strategy delivers effective outcomes that support organisational requirements; drives value; and ensures that procurement activity is conducted efficiently and in</w:t>
            </w:r>
            <w:r>
              <w:rPr>
                <w:color w:val="231F20"/>
                <w:spacing w:val="-8"/>
                <w:sz w:val="24"/>
              </w:rPr>
              <w:t xml:space="preserve"> </w:t>
            </w:r>
            <w:r>
              <w:rPr>
                <w:color w:val="231F20"/>
                <w:sz w:val="24"/>
              </w:rPr>
              <w:t>accordance</w:t>
            </w:r>
            <w:r>
              <w:rPr>
                <w:color w:val="231F20"/>
                <w:spacing w:val="-8"/>
                <w:sz w:val="24"/>
              </w:rPr>
              <w:t xml:space="preserve"> </w:t>
            </w:r>
            <w:r>
              <w:rPr>
                <w:color w:val="231F20"/>
                <w:sz w:val="24"/>
              </w:rPr>
              <w:t>with</w:t>
            </w:r>
            <w:r>
              <w:rPr>
                <w:color w:val="231F20"/>
                <w:spacing w:val="-8"/>
                <w:sz w:val="24"/>
              </w:rPr>
              <w:t xml:space="preserve"> </w:t>
            </w:r>
            <w:r>
              <w:rPr>
                <w:color w:val="231F20"/>
                <w:sz w:val="24"/>
              </w:rPr>
              <w:t>the</w:t>
            </w:r>
            <w:r>
              <w:rPr>
                <w:color w:val="231F20"/>
                <w:spacing w:val="-7"/>
                <w:sz w:val="24"/>
              </w:rPr>
              <w:t xml:space="preserve"> </w:t>
            </w:r>
            <w:r>
              <w:rPr>
                <w:color w:val="231F20"/>
                <w:sz w:val="24"/>
              </w:rPr>
              <w:t>commercial</w:t>
            </w:r>
            <w:r>
              <w:rPr>
                <w:color w:val="231F20"/>
                <w:spacing w:val="-7"/>
                <w:sz w:val="24"/>
              </w:rPr>
              <w:t xml:space="preserve"> </w:t>
            </w:r>
            <w:r>
              <w:rPr>
                <w:color w:val="231F20"/>
                <w:sz w:val="24"/>
              </w:rPr>
              <w:t>policy,</w:t>
            </w:r>
            <w:r>
              <w:rPr>
                <w:color w:val="231F20"/>
                <w:spacing w:val="-7"/>
                <w:sz w:val="24"/>
              </w:rPr>
              <w:t xml:space="preserve"> </w:t>
            </w:r>
            <w:r>
              <w:rPr>
                <w:color w:val="231F20"/>
                <w:sz w:val="24"/>
              </w:rPr>
              <w:t>processes</w:t>
            </w:r>
            <w:r>
              <w:rPr>
                <w:color w:val="231F20"/>
                <w:spacing w:val="-8"/>
                <w:sz w:val="24"/>
              </w:rPr>
              <w:t xml:space="preserve"> </w:t>
            </w:r>
            <w:r>
              <w:rPr>
                <w:color w:val="231F20"/>
                <w:sz w:val="24"/>
              </w:rPr>
              <w:t>and</w:t>
            </w:r>
            <w:r>
              <w:rPr>
                <w:color w:val="231F20"/>
                <w:spacing w:val="-8"/>
                <w:sz w:val="24"/>
              </w:rPr>
              <w:t xml:space="preserve"> </w:t>
            </w:r>
            <w:r>
              <w:rPr>
                <w:color w:val="231F20"/>
                <w:sz w:val="24"/>
              </w:rPr>
              <w:t xml:space="preserve">practices prescribed by the </w:t>
            </w:r>
            <w:r>
              <w:rPr>
                <w:i/>
                <w:color w:val="231F20"/>
                <w:sz w:val="24"/>
              </w:rPr>
              <w:t>Financial</w:t>
            </w:r>
            <w:r>
              <w:rPr>
                <w:i/>
                <w:color w:val="231F20"/>
                <w:spacing w:val="-4"/>
                <w:sz w:val="24"/>
              </w:rPr>
              <w:t xml:space="preserve"> </w:t>
            </w:r>
            <w:r>
              <w:rPr>
                <w:i/>
                <w:color w:val="231F20"/>
                <w:sz w:val="24"/>
              </w:rPr>
              <w:t>Management</w:t>
            </w:r>
            <w:r>
              <w:rPr>
                <w:i/>
                <w:color w:val="231F20"/>
                <w:spacing w:val="-13"/>
                <w:sz w:val="24"/>
              </w:rPr>
              <w:t xml:space="preserve"> </w:t>
            </w:r>
            <w:r>
              <w:rPr>
                <w:i/>
                <w:color w:val="231F20"/>
                <w:sz w:val="24"/>
              </w:rPr>
              <w:t>Act</w:t>
            </w:r>
            <w:r>
              <w:rPr>
                <w:i/>
                <w:color w:val="231F20"/>
                <w:spacing w:val="-4"/>
                <w:sz w:val="24"/>
              </w:rPr>
              <w:t xml:space="preserve"> </w:t>
            </w:r>
            <w:r>
              <w:rPr>
                <w:color w:val="231F20"/>
                <w:sz w:val="24"/>
              </w:rPr>
              <w:t>1994, the Victorian</w:t>
            </w:r>
          </w:p>
          <w:p w14:paraId="73D01A06" w14:textId="77777777" w:rsidR="00345EE3" w:rsidRDefault="00345EE3" w:rsidP="00D73130">
            <w:pPr>
              <w:pStyle w:val="TableParagraph"/>
              <w:spacing w:before="6" w:line="242" w:lineRule="auto"/>
              <w:jc w:val="left"/>
              <w:rPr>
                <w:sz w:val="24"/>
              </w:rPr>
            </w:pPr>
            <w:r>
              <w:rPr>
                <w:color w:val="231F20"/>
                <w:sz w:val="24"/>
              </w:rPr>
              <w:t>Government</w:t>
            </w:r>
            <w:r>
              <w:rPr>
                <w:color w:val="231F20"/>
                <w:spacing w:val="-17"/>
                <w:sz w:val="24"/>
              </w:rPr>
              <w:t xml:space="preserve"> </w:t>
            </w:r>
            <w:r>
              <w:rPr>
                <w:color w:val="231F20"/>
                <w:sz w:val="24"/>
              </w:rPr>
              <w:t>Purchasing</w:t>
            </w:r>
            <w:r>
              <w:rPr>
                <w:color w:val="231F20"/>
                <w:spacing w:val="-17"/>
                <w:sz w:val="24"/>
              </w:rPr>
              <w:t xml:space="preserve"> </w:t>
            </w:r>
            <w:r>
              <w:rPr>
                <w:color w:val="231F20"/>
                <w:sz w:val="24"/>
              </w:rPr>
              <w:t>Board</w:t>
            </w:r>
            <w:r>
              <w:rPr>
                <w:color w:val="231F20"/>
                <w:spacing w:val="-16"/>
                <w:sz w:val="24"/>
              </w:rPr>
              <w:t xml:space="preserve"> </w:t>
            </w:r>
            <w:r>
              <w:rPr>
                <w:color w:val="231F20"/>
                <w:sz w:val="24"/>
              </w:rPr>
              <w:t>policies,</w:t>
            </w:r>
            <w:r>
              <w:rPr>
                <w:color w:val="231F20"/>
                <w:spacing w:val="-17"/>
                <w:sz w:val="24"/>
              </w:rPr>
              <w:t xml:space="preserve"> </w:t>
            </w:r>
            <w:r>
              <w:rPr>
                <w:color w:val="231F20"/>
                <w:sz w:val="24"/>
              </w:rPr>
              <w:t>and</w:t>
            </w:r>
            <w:r>
              <w:rPr>
                <w:color w:val="231F20"/>
                <w:spacing w:val="-17"/>
                <w:sz w:val="24"/>
              </w:rPr>
              <w:t xml:space="preserve"> </w:t>
            </w:r>
            <w:r>
              <w:rPr>
                <w:color w:val="231F20"/>
                <w:sz w:val="24"/>
              </w:rPr>
              <w:t>the</w:t>
            </w:r>
            <w:r>
              <w:rPr>
                <w:color w:val="231F20"/>
                <w:spacing w:val="-17"/>
                <w:sz w:val="24"/>
              </w:rPr>
              <w:t xml:space="preserve"> </w:t>
            </w:r>
            <w:r>
              <w:rPr>
                <w:i/>
                <w:color w:val="231F20"/>
                <w:sz w:val="24"/>
              </w:rPr>
              <w:t>Project</w:t>
            </w:r>
            <w:r>
              <w:rPr>
                <w:i/>
                <w:color w:val="231F20"/>
                <w:spacing w:val="-16"/>
                <w:sz w:val="24"/>
              </w:rPr>
              <w:t xml:space="preserve"> </w:t>
            </w:r>
            <w:r>
              <w:rPr>
                <w:i/>
                <w:color w:val="231F20"/>
                <w:sz w:val="24"/>
              </w:rPr>
              <w:t>Development and Construction Management</w:t>
            </w:r>
            <w:r>
              <w:rPr>
                <w:i/>
                <w:color w:val="231F20"/>
                <w:spacing w:val="-11"/>
                <w:sz w:val="24"/>
              </w:rPr>
              <w:t xml:space="preserve"> </w:t>
            </w:r>
            <w:r>
              <w:rPr>
                <w:i/>
                <w:color w:val="231F20"/>
                <w:sz w:val="24"/>
              </w:rPr>
              <w:t xml:space="preserve">Act </w:t>
            </w:r>
            <w:r>
              <w:rPr>
                <w:color w:val="231F20"/>
                <w:sz w:val="24"/>
              </w:rPr>
              <w:t>1994.</w:t>
            </w:r>
          </w:p>
        </w:tc>
      </w:tr>
      <w:tr w:rsidR="005342C1" w14:paraId="63F42363" w14:textId="77777777" w:rsidTr="005342C1">
        <w:trPr>
          <w:trHeight w:val="1525"/>
        </w:trPr>
        <w:tc>
          <w:tcPr>
            <w:tcW w:w="2891" w:type="dxa"/>
            <w:tcBorders>
              <w:top w:val="single" w:sz="2" w:space="0" w:color="939598"/>
              <w:bottom w:val="single" w:sz="4" w:space="0" w:color="auto"/>
            </w:tcBorders>
          </w:tcPr>
          <w:p w14:paraId="453F5D32" w14:textId="77777777" w:rsidR="005342C1" w:rsidRDefault="005342C1" w:rsidP="00D73130">
            <w:pPr>
              <w:pStyle w:val="TableParagraph"/>
              <w:spacing w:before="62" w:line="262" w:lineRule="exact"/>
              <w:ind w:left="-3"/>
              <w:jc w:val="left"/>
              <w:rPr>
                <w:b/>
                <w:sz w:val="24"/>
              </w:rPr>
            </w:pPr>
            <w:r>
              <w:rPr>
                <w:b/>
                <w:color w:val="231F20"/>
                <w:sz w:val="24"/>
              </w:rPr>
              <w:t>Safety,</w:t>
            </w:r>
            <w:r>
              <w:rPr>
                <w:b/>
                <w:color w:val="231F20"/>
                <w:spacing w:val="-9"/>
                <w:sz w:val="24"/>
              </w:rPr>
              <w:t xml:space="preserve"> </w:t>
            </w:r>
            <w:r>
              <w:rPr>
                <w:b/>
                <w:color w:val="231F20"/>
                <w:sz w:val="24"/>
              </w:rPr>
              <w:t>People</w:t>
            </w:r>
            <w:r>
              <w:rPr>
                <w:b/>
                <w:color w:val="231F20"/>
                <w:spacing w:val="-9"/>
                <w:sz w:val="24"/>
              </w:rPr>
              <w:t xml:space="preserve"> </w:t>
            </w:r>
            <w:r>
              <w:rPr>
                <w:b/>
                <w:color w:val="231F20"/>
                <w:spacing w:val="-5"/>
                <w:sz w:val="24"/>
              </w:rPr>
              <w:t>and</w:t>
            </w:r>
          </w:p>
          <w:p w14:paraId="2AE7317D" w14:textId="77777777" w:rsidR="005342C1" w:rsidRDefault="005342C1" w:rsidP="00D73130">
            <w:pPr>
              <w:pStyle w:val="TableParagraph"/>
              <w:spacing w:before="0" w:line="260" w:lineRule="exact"/>
              <w:ind w:left="-3"/>
              <w:jc w:val="left"/>
              <w:rPr>
                <w:b/>
                <w:sz w:val="24"/>
              </w:rPr>
            </w:pPr>
            <w:r>
              <w:rPr>
                <w:b/>
                <w:color w:val="231F20"/>
                <w:sz w:val="24"/>
              </w:rPr>
              <w:t>Culture</w:t>
            </w:r>
            <w:r>
              <w:rPr>
                <w:b/>
                <w:color w:val="231F20"/>
                <w:spacing w:val="-7"/>
                <w:sz w:val="24"/>
              </w:rPr>
              <w:t xml:space="preserve"> </w:t>
            </w:r>
            <w:r>
              <w:rPr>
                <w:b/>
                <w:color w:val="231F20"/>
                <w:spacing w:val="-2"/>
                <w:sz w:val="24"/>
              </w:rPr>
              <w:t>Committee*</w:t>
            </w:r>
          </w:p>
          <w:p w14:paraId="7636011B" w14:textId="02625896" w:rsidR="005342C1" w:rsidRDefault="005342C1" w:rsidP="00D73130">
            <w:pPr>
              <w:pStyle w:val="TableParagraph"/>
              <w:spacing w:before="54"/>
              <w:ind w:left="-3"/>
              <w:jc w:val="left"/>
              <w:rPr>
                <w:b/>
                <w:sz w:val="24"/>
              </w:rPr>
            </w:pPr>
            <w:r>
              <w:rPr>
                <w:i/>
                <w:color w:val="231F20"/>
                <w:spacing w:val="-4"/>
                <w:sz w:val="24"/>
              </w:rPr>
              <w:t>Meets</w:t>
            </w:r>
            <w:r>
              <w:rPr>
                <w:i/>
                <w:color w:val="231F20"/>
                <w:spacing w:val="-14"/>
                <w:sz w:val="24"/>
              </w:rPr>
              <w:t xml:space="preserve"> </w:t>
            </w:r>
            <w:r>
              <w:rPr>
                <w:i/>
                <w:color w:val="231F20"/>
                <w:spacing w:val="-4"/>
                <w:sz w:val="24"/>
              </w:rPr>
              <w:t>bi-monthly</w:t>
            </w:r>
          </w:p>
        </w:tc>
        <w:tc>
          <w:tcPr>
            <w:tcW w:w="7313" w:type="dxa"/>
            <w:tcBorders>
              <w:top w:val="single" w:sz="4" w:space="0" w:color="auto"/>
              <w:bottom w:val="single" w:sz="4" w:space="0" w:color="auto"/>
            </w:tcBorders>
          </w:tcPr>
          <w:p w14:paraId="49F822B3" w14:textId="77777777" w:rsidR="005342C1" w:rsidRDefault="005342C1" w:rsidP="00D73130">
            <w:pPr>
              <w:pStyle w:val="TableParagraph"/>
              <w:spacing w:before="62" w:line="262" w:lineRule="exact"/>
              <w:jc w:val="left"/>
              <w:rPr>
                <w:sz w:val="24"/>
              </w:rPr>
            </w:pPr>
            <w:r>
              <w:rPr>
                <w:color w:val="231F20"/>
                <w:sz w:val="24"/>
              </w:rPr>
              <w:t>Provides</w:t>
            </w:r>
            <w:r>
              <w:rPr>
                <w:color w:val="231F20"/>
                <w:spacing w:val="-4"/>
                <w:sz w:val="24"/>
              </w:rPr>
              <w:t xml:space="preserve"> </w:t>
            </w:r>
            <w:r>
              <w:rPr>
                <w:color w:val="231F20"/>
                <w:sz w:val="24"/>
              </w:rPr>
              <w:t>strategic</w:t>
            </w:r>
            <w:r>
              <w:rPr>
                <w:color w:val="231F20"/>
                <w:spacing w:val="-3"/>
                <w:sz w:val="24"/>
              </w:rPr>
              <w:t xml:space="preserve"> </w:t>
            </w:r>
            <w:r>
              <w:rPr>
                <w:color w:val="231F20"/>
                <w:sz w:val="24"/>
              </w:rPr>
              <w:t>direction</w:t>
            </w:r>
            <w:r>
              <w:rPr>
                <w:color w:val="231F20"/>
                <w:spacing w:val="-3"/>
                <w:sz w:val="24"/>
              </w:rPr>
              <w:t xml:space="preserve"> </w:t>
            </w:r>
            <w:r>
              <w:rPr>
                <w:color w:val="231F20"/>
                <w:sz w:val="24"/>
              </w:rPr>
              <w:t>regarding</w:t>
            </w:r>
            <w:r>
              <w:rPr>
                <w:color w:val="231F20"/>
                <w:spacing w:val="-4"/>
                <w:sz w:val="24"/>
              </w:rPr>
              <w:t xml:space="preserve"> </w:t>
            </w:r>
            <w:r>
              <w:rPr>
                <w:color w:val="231F20"/>
                <w:sz w:val="24"/>
              </w:rPr>
              <w:t>the</w:t>
            </w:r>
            <w:r>
              <w:rPr>
                <w:color w:val="231F20"/>
                <w:spacing w:val="-3"/>
                <w:sz w:val="24"/>
              </w:rPr>
              <w:t xml:space="preserve"> </w:t>
            </w:r>
            <w:r>
              <w:rPr>
                <w:color w:val="231F20"/>
                <w:sz w:val="24"/>
              </w:rPr>
              <w:t>development</w:t>
            </w:r>
            <w:r>
              <w:rPr>
                <w:color w:val="231F20"/>
                <w:spacing w:val="-3"/>
                <w:sz w:val="24"/>
              </w:rPr>
              <w:t xml:space="preserve"> </w:t>
            </w:r>
            <w:r>
              <w:rPr>
                <w:color w:val="231F20"/>
                <w:spacing w:val="-5"/>
                <w:sz w:val="24"/>
              </w:rPr>
              <w:t>of</w:t>
            </w:r>
          </w:p>
          <w:p w14:paraId="4F580212" w14:textId="77777777" w:rsidR="005342C1" w:rsidRDefault="005342C1" w:rsidP="00D73130">
            <w:pPr>
              <w:pStyle w:val="TableParagraph"/>
              <w:spacing w:before="0" w:line="260" w:lineRule="exact"/>
              <w:jc w:val="left"/>
              <w:rPr>
                <w:sz w:val="24"/>
              </w:rPr>
            </w:pPr>
            <w:r>
              <w:rPr>
                <w:color w:val="231F20"/>
                <w:sz w:val="24"/>
              </w:rPr>
              <w:t>safety,</w:t>
            </w:r>
            <w:r>
              <w:rPr>
                <w:color w:val="231F20"/>
                <w:spacing w:val="-6"/>
                <w:sz w:val="24"/>
              </w:rPr>
              <w:t xml:space="preserve"> </w:t>
            </w:r>
            <w:r>
              <w:rPr>
                <w:color w:val="231F20"/>
                <w:sz w:val="24"/>
              </w:rPr>
              <w:t>people</w:t>
            </w:r>
            <w:r>
              <w:rPr>
                <w:color w:val="231F20"/>
                <w:spacing w:val="-6"/>
                <w:sz w:val="24"/>
              </w:rPr>
              <w:t xml:space="preserve"> </w:t>
            </w:r>
            <w:r>
              <w:rPr>
                <w:color w:val="231F20"/>
                <w:sz w:val="24"/>
              </w:rPr>
              <w:t>and</w:t>
            </w:r>
            <w:r>
              <w:rPr>
                <w:color w:val="231F20"/>
                <w:spacing w:val="-6"/>
                <w:sz w:val="24"/>
              </w:rPr>
              <w:t xml:space="preserve"> </w:t>
            </w:r>
            <w:r>
              <w:rPr>
                <w:color w:val="231F20"/>
                <w:sz w:val="24"/>
              </w:rPr>
              <w:t>culture-related</w:t>
            </w:r>
            <w:r>
              <w:rPr>
                <w:color w:val="231F20"/>
                <w:spacing w:val="-6"/>
                <w:sz w:val="24"/>
              </w:rPr>
              <w:t xml:space="preserve"> </w:t>
            </w:r>
            <w:r>
              <w:rPr>
                <w:color w:val="231F20"/>
                <w:sz w:val="24"/>
              </w:rPr>
              <w:t>policies,</w:t>
            </w:r>
            <w:r>
              <w:rPr>
                <w:color w:val="231F20"/>
                <w:spacing w:val="-6"/>
                <w:sz w:val="24"/>
              </w:rPr>
              <w:t xml:space="preserve"> </w:t>
            </w:r>
            <w:r>
              <w:rPr>
                <w:color w:val="231F20"/>
                <w:sz w:val="24"/>
              </w:rPr>
              <w:t>strategies,</w:t>
            </w:r>
            <w:r>
              <w:rPr>
                <w:color w:val="231F20"/>
                <w:spacing w:val="-5"/>
                <w:sz w:val="24"/>
              </w:rPr>
              <w:t xml:space="preserve"> </w:t>
            </w:r>
            <w:r>
              <w:rPr>
                <w:color w:val="231F20"/>
                <w:sz w:val="24"/>
              </w:rPr>
              <w:t>plans</w:t>
            </w:r>
            <w:r>
              <w:rPr>
                <w:color w:val="231F20"/>
                <w:spacing w:val="-6"/>
                <w:sz w:val="24"/>
              </w:rPr>
              <w:t xml:space="preserve"> </w:t>
            </w:r>
            <w:r>
              <w:rPr>
                <w:color w:val="231F20"/>
                <w:spacing w:val="-5"/>
                <w:sz w:val="24"/>
              </w:rPr>
              <w:t>and</w:t>
            </w:r>
          </w:p>
          <w:p w14:paraId="10D55A41" w14:textId="7E544C98" w:rsidR="005342C1" w:rsidRDefault="005342C1" w:rsidP="00D73130">
            <w:pPr>
              <w:pStyle w:val="TableParagraph"/>
              <w:spacing w:before="0" w:line="242" w:lineRule="auto"/>
              <w:jc w:val="left"/>
              <w:rPr>
                <w:sz w:val="24"/>
              </w:rPr>
            </w:pPr>
            <w:r>
              <w:rPr>
                <w:color w:val="231F20"/>
                <w:sz w:val="24"/>
              </w:rPr>
              <w:t>frameworks. Shapes organisational responses to emerging safety, people</w:t>
            </w:r>
            <w:r>
              <w:rPr>
                <w:color w:val="231F20"/>
                <w:spacing w:val="-7"/>
                <w:sz w:val="24"/>
              </w:rPr>
              <w:t xml:space="preserve"> </w:t>
            </w:r>
            <w:r>
              <w:rPr>
                <w:color w:val="231F20"/>
                <w:sz w:val="24"/>
              </w:rPr>
              <w:t>and</w:t>
            </w:r>
            <w:r>
              <w:rPr>
                <w:color w:val="231F20"/>
                <w:spacing w:val="-7"/>
                <w:sz w:val="24"/>
              </w:rPr>
              <w:t xml:space="preserve"> </w:t>
            </w:r>
            <w:r>
              <w:rPr>
                <w:color w:val="231F20"/>
                <w:sz w:val="24"/>
              </w:rPr>
              <w:t>culture-related</w:t>
            </w:r>
            <w:r>
              <w:rPr>
                <w:color w:val="231F20"/>
                <w:spacing w:val="-7"/>
                <w:sz w:val="24"/>
              </w:rPr>
              <w:t xml:space="preserve"> </w:t>
            </w:r>
            <w:r>
              <w:rPr>
                <w:color w:val="231F20"/>
                <w:sz w:val="24"/>
              </w:rPr>
              <w:t>issues,</w:t>
            </w:r>
            <w:r>
              <w:rPr>
                <w:color w:val="231F20"/>
                <w:spacing w:val="-7"/>
                <w:sz w:val="24"/>
              </w:rPr>
              <w:t xml:space="preserve"> </w:t>
            </w:r>
            <w:r>
              <w:rPr>
                <w:color w:val="231F20"/>
                <w:sz w:val="24"/>
              </w:rPr>
              <w:t>risks</w:t>
            </w:r>
            <w:r>
              <w:rPr>
                <w:color w:val="231F20"/>
                <w:spacing w:val="-7"/>
                <w:sz w:val="24"/>
              </w:rPr>
              <w:t xml:space="preserve"> </w:t>
            </w:r>
            <w:r>
              <w:rPr>
                <w:color w:val="231F20"/>
                <w:sz w:val="24"/>
              </w:rPr>
              <w:t>and</w:t>
            </w:r>
            <w:r>
              <w:rPr>
                <w:color w:val="231F20"/>
                <w:spacing w:val="-7"/>
                <w:sz w:val="24"/>
              </w:rPr>
              <w:t xml:space="preserve"> </w:t>
            </w:r>
            <w:r>
              <w:rPr>
                <w:color w:val="231F20"/>
                <w:sz w:val="24"/>
              </w:rPr>
              <w:t>trends.</w:t>
            </w:r>
            <w:r>
              <w:rPr>
                <w:color w:val="231F20"/>
                <w:spacing w:val="-7"/>
                <w:sz w:val="24"/>
              </w:rPr>
              <w:t xml:space="preserve"> </w:t>
            </w:r>
            <w:r>
              <w:rPr>
                <w:color w:val="231F20"/>
                <w:sz w:val="24"/>
              </w:rPr>
              <w:t>Oversees</w:t>
            </w:r>
            <w:r>
              <w:rPr>
                <w:color w:val="231F20"/>
                <w:spacing w:val="-7"/>
                <w:sz w:val="24"/>
              </w:rPr>
              <w:t xml:space="preserve"> </w:t>
            </w:r>
            <w:r>
              <w:rPr>
                <w:color w:val="231F20"/>
                <w:sz w:val="24"/>
              </w:rPr>
              <w:t>safety, people and culture-related priorities, initiatives and projects.</w:t>
            </w:r>
          </w:p>
        </w:tc>
      </w:tr>
      <w:tr w:rsidR="005342C1" w14:paraId="7647C91A" w14:textId="77777777" w:rsidTr="005342C1">
        <w:trPr>
          <w:trHeight w:val="1245"/>
        </w:trPr>
        <w:tc>
          <w:tcPr>
            <w:tcW w:w="2891" w:type="dxa"/>
            <w:tcBorders>
              <w:top w:val="single" w:sz="4" w:space="0" w:color="auto"/>
              <w:bottom w:val="single" w:sz="4" w:space="0" w:color="auto"/>
            </w:tcBorders>
          </w:tcPr>
          <w:p w14:paraId="1DAF36D7" w14:textId="77777777" w:rsidR="005342C1" w:rsidRDefault="005342C1" w:rsidP="00D73130">
            <w:pPr>
              <w:pStyle w:val="TableParagraph"/>
              <w:spacing w:before="63" w:line="262" w:lineRule="exact"/>
              <w:ind w:left="-3"/>
              <w:jc w:val="left"/>
              <w:rPr>
                <w:b/>
                <w:sz w:val="24"/>
              </w:rPr>
            </w:pPr>
            <w:r>
              <w:rPr>
                <w:b/>
                <w:color w:val="231F20"/>
                <w:sz w:val="24"/>
              </w:rPr>
              <w:t>State</w:t>
            </w:r>
            <w:r>
              <w:rPr>
                <w:b/>
                <w:color w:val="231F20"/>
                <w:spacing w:val="-14"/>
                <w:sz w:val="24"/>
              </w:rPr>
              <w:t xml:space="preserve"> </w:t>
            </w:r>
            <w:r>
              <w:rPr>
                <w:b/>
                <w:color w:val="231F20"/>
                <w:sz w:val="24"/>
              </w:rPr>
              <w:t>Tasking</w:t>
            </w:r>
            <w:r>
              <w:rPr>
                <w:b/>
                <w:color w:val="231F20"/>
                <w:spacing w:val="-12"/>
                <w:sz w:val="24"/>
              </w:rPr>
              <w:t xml:space="preserve"> </w:t>
            </w:r>
            <w:r>
              <w:rPr>
                <w:b/>
                <w:color w:val="231F20"/>
                <w:spacing w:val="-5"/>
                <w:sz w:val="24"/>
              </w:rPr>
              <w:t>and</w:t>
            </w:r>
          </w:p>
          <w:p w14:paraId="65D797AA" w14:textId="77777777" w:rsidR="005342C1" w:rsidRDefault="005342C1" w:rsidP="00D73130">
            <w:pPr>
              <w:pStyle w:val="TableParagraph"/>
              <w:spacing w:before="0" w:line="260" w:lineRule="exact"/>
              <w:ind w:left="-3"/>
              <w:jc w:val="left"/>
              <w:rPr>
                <w:b/>
                <w:sz w:val="24"/>
              </w:rPr>
            </w:pPr>
            <w:r>
              <w:rPr>
                <w:b/>
                <w:color w:val="231F20"/>
                <w:spacing w:val="-2"/>
                <w:sz w:val="24"/>
              </w:rPr>
              <w:t>Coordination</w:t>
            </w:r>
          </w:p>
          <w:p w14:paraId="4A89DAFD" w14:textId="1AE2527D" w:rsidR="005342C1" w:rsidRDefault="005342C1" w:rsidP="00D73130">
            <w:pPr>
              <w:pStyle w:val="TableParagraph"/>
              <w:spacing w:before="54"/>
              <w:ind w:left="-3"/>
              <w:jc w:val="left"/>
              <w:rPr>
                <w:b/>
                <w:sz w:val="24"/>
              </w:rPr>
            </w:pPr>
            <w:r>
              <w:rPr>
                <w:i/>
                <w:color w:val="231F20"/>
                <w:spacing w:val="-4"/>
                <w:sz w:val="24"/>
              </w:rPr>
              <w:t>Meets</w:t>
            </w:r>
            <w:r>
              <w:rPr>
                <w:i/>
                <w:color w:val="231F20"/>
                <w:spacing w:val="-9"/>
                <w:sz w:val="24"/>
              </w:rPr>
              <w:t xml:space="preserve"> </w:t>
            </w:r>
            <w:r>
              <w:rPr>
                <w:i/>
                <w:color w:val="231F20"/>
                <w:spacing w:val="-2"/>
                <w:sz w:val="24"/>
              </w:rPr>
              <w:t>monthly</w:t>
            </w:r>
          </w:p>
        </w:tc>
        <w:tc>
          <w:tcPr>
            <w:tcW w:w="7313" w:type="dxa"/>
            <w:tcBorders>
              <w:top w:val="single" w:sz="4" w:space="0" w:color="auto"/>
              <w:bottom w:val="single" w:sz="4" w:space="0" w:color="auto"/>
            </w:tcBorders>
          </w:tcPr>
          <w:p w14:paraId="67596BAB" w14:textId="77777777" w:rsidR="005342C1" w:rsidRDefault="005342C1" w:rsidP="00D73130">
            <w:pPr>
              <w:pStyle w:val="TableParagraph"/>
              <w:spacing w:before="63" w:line="262" w:lineRule="exact"/>
              <w:jc w:val="left"/>
              <w:rPr>
                <w:sz w:val="24"/>
              </w:rPr>
            </w:pPr>
            <w:r>
              <w:rPr>
                <w:color w:val="231F20"/>
                <w:sz w:val="24"/>
              </w:rPr>
              <w:t>Identifies,</w:t>
            </w:r>
            <w:r>
              <w:rPr>
                <w:color w:val="231F20"/>
                <w:spacing w:val="-1"/>
                <w:sz w:val="24"/>
              </w:rPr>
              <w:t xml:space="preserve"> </w:t>
            </w:r>
            <w:r>
              <w:rPr>
                <w:color w:val="231F20"/>
                <w:sz w:val="24"/>
              </w:rPr>
              <w:t>monitors and</w:t>
            </w:r>
            <w:r>
              <w:rPr>
                <w:color w:val="231F20"/>
                <w:spacing w:val="-1"/>
                <w:sz w:val="24"/>
              </w:rPr>
              <w:t xml:space="preserve"> </w:t>
            </w:r>
            <w:r>
              <w:rPr>
                <w:color w:val="231F20"/>
                <w:sz w:val="24"/>
              </w:rPr>
              <w:t>coordinates</w:t>
            </w:r>
            <w:r>
              <w:rPr>
                <w:color w:val="231F20"/>
                <w:spacing w:val="-1"/>
                <w:sz w:val="24"/>
              </w:rPr>
              <w:t xml:space="preserve"> </w:t>
            </w:r>
            <w:r>
              <w:rPr>
                <w:color w:val="231F20"/>
                <w:sz w:val="24"/>
              </w:rPr>
              <w:t xml:space="preserve">the response to </w:t>
            </w:r>
            <w:r>
              <w:rPr>
                <w:color w:val="231F20"/>
                <w:spacing w:val="-2"/>
                <w:sz w:val="24"/>
              </w:rPr>
              <w:t>community</w:t>
            </w:r>
          </w:p>
          <w:p w14:paraId="6C8468D8" w14:textId="77777777" w:rsidR="005342C1" w:rsidRDefault="005342C1" w:rsidP="00D73130">
            <w:pPr>
              <w:pStyle w:val="TableParagraph"/>
              <w:spacing w:before="0" w:line="260" w:lineRule="exact"/>
              <w:jc w:val="left"/>
              <w:rPr>
                <w:sz w:val="24"/>
              </w:rPr>
            </w:pPr>
            <w:r>
              <w:rPr>
                <w:color w:val="231F20"/>
                <w:sz w:val="24"/>
              </w:rPr>
              <w:t>safety</w:t>
            </w:r>
            <w:r>
              <w:rPr>
                <w:color w:val="231F20"/>
                <w:spacing w:val="-5"/>
                <w:sz w:val="24"/>
              </w:rPr>
              <w:t xml:space="preserve"> </w:t>
            </w:r>
            <w:r>
              <w:rPr>
                <w:color w:val="231F20"/>
                <w:sz w:val="24"/>
              </w:rPr>
              <w:t>issues</w:t>
            </w:r>
            <w:r>
              <w:rPr>
                <w:color w:val="231F20"/>
                <w:spacing w:val="-3"/>
                <w:sz w:val="24"/>
              </w:rPr>
              <w:t xml:space="preserve"> </w:t>
            </w:r>
            <w:r>
              <w:rPr>
                <w:color w:val="231F20"/>
                <w:sz w:val="24"/>
              </w:rPr>
              <w:t>and</w:t>
            </w:r>
            <w:r>
              <w:rPr>
                <w:color w:val="231F20"/>
                <w:spacing w:val="-3"/>
                <w:sz w:val="24"/>
              </w:rPr>
              <w:t xml:space="preserve"> </w:t>
            </w:r>
            <w:r>
              <w:rPr>
                <w:color w:val="231F20"/>
                <w:sz w:val="24"/>
              </w:rPr>
              <w:t>emerging</w:t>
            </w:r>
            <w:r>
              <w:rPr>
                <w:color w:val="231F20"/>
                <w:spacing w:val="-3"/>
                <w:sz w:val="24"/>
              </w:rPr>
              <w:t xml:space="preserve"> </w:t>
            </w:r>
            <w:r>
              <w:rPr>
                <w:color w:val="231F20"/>
                <w:sz w:val="24"/>
              </w:rPr>
              <w:t>risks</w:t>
            </w:r>
            <w:r>
              <w:rPr>
                <w:color w:val="231F20"/>
                <w:spacing w:val="-2"/>
                <w:sz w:val="24"/>
              </w:rPr>
              <w:t xml:space="preserve"> </w:t>
            </w:r>
            <w:r>
              <w:rPr>
                <w:color w:val="231F20"/>
                <w:sz w:val="24"/>
              </w:rPr>
              <w:t>by</w:t>
            </w:r>
            <w:r>
              <w:rPr>
                <w:color w:val="231F20"/>
                <w:spacing w:val="-3"/>
                <w:sz w:val="24"/>
              </w:rPr>
              <w:t xml:space="preserve"> </w:t>
            </w:r>
            <w:r>
              <w:rPr>
                <w:color w:val="231F20"/>
                <w:sz w:val="24"/>
              </w:rPr>
              <w:t>focusing</w:t>
            </w:r>
            <w:r>
              <w:rPr>
                <w:color w:val="231F20"/>
                <w:spacing w:val="-2"/>
                <w:sz w:val="24"/>
              </w:rPr>
              <w:t xml:space="preserve"> </w:t>
            </w:r>
            <w:r>
              <w:rPr>
                <w:color w:val="231F20"/>
                <w:sz w:val="24"/>
              </w:rPr>
              <w:t>on</w:t>
            </w:r>
            <w:r>
              <w:rPr>
                <w:color w:val="231F20"/>
                <w:spacing w:val="-3"/>
                <w:sz w:val="24"/>
              </w:rPr>
              <w:t xml:space="preserve"> </w:t>
            </w:r>
            <w:r>
              <w:rPr>
                <w:color w:val="231F20"/>
                <w:sz w:val="24"/>
              </w:rPr>
              <w:t>the</w:t>
            </w:r>
            <w:r>
              <w:rPr>
                <w:color w:val="231F20"/>
                <w:spacing w:val="-2"/>
                <w:sz w:val="24"/>
              </w:rPr>
              <w:t xml:space="preserve"> </w:t>
            </w:r>
            <w:r>
              <w:rPr>
                <w:color w:val="231F20"/>
                <w:sz w:val="24"/>
              </w:rPr>
              <w:t>drivers</w:t>
            </w:r>
            <w:r>
              <w:rPr>
                <w:color w:val="231F20"/>
                <w:spacing w:val="-3"/>
                <w:sz w:val="24"/>
              </w:rPr>
              <w:t xml:space="preserve"> </w:t>
            </w:r>
            <w:r>
              <w:rPr>
                <w:color w:val="231F20"/>
                <w:sz w:val="24"/>
              </w:rPr>
              <w:t>of</w:t>
            </w:r>
            <w:r>
              <w:rPr>
                <w:color w:val="231F20"/>
                <w:spacing w:val="-3"/>
                <w:sz w:val="24"/>
              </w:rPr>
              <w:t xml:space="preserve"> </w:t>
            </w:r>
            <w:r>
              <w:rPr>
                <w:color w:val="231F20"/>
                <w:spacing w:val="-2"/>
                <w:sz w:val="24"/>
              </w:rPr>
              <w:t>harm.</w:t>
            </w:r>
          </w:p>
          <w:p w14:paraId="25A2EC16" w14:textId="2EB70BA0" w:rsidR="005342C1" w:rsidRDefault="005342C1" w:rsidP="00D73130">
            <w:pPr>
              <w:pStyle w:val="TableParagraph"/>
              <w:spacing w:before="0" w:line="242" w:lineRule="auto"/>
              <w:jc w:val="left"/>
              <w:rPr>
                <w:sz w:val="24"/>
              </w:rPr>
            </w:pPr>
            <w:r>
              <w:rPr>
                <w:color w:val="231F20"/>
                <w:sz w:val="24"/>
              </w:rPr>
              <w:t>Directly assigns Victoria Police resources based on prioritisation of issues</w:t>
            </w:r>
            <w:r>
              <w:rPr>
                <w:color w:val="231F20"/>
                <w:spacing w:val="-6"/>
                <w:sz w:val="24"/>
              </w:rPr>
              <w:t xml:space="preserve"> </w:t>
            </w:r>
            <w:r>
              <w:rPr>
                <w:color w:val="231F20"/>
                <w:sz w:val="24"/>
              </w:rPr>
              <w:t>and</w:t>
            </w:r>
            <w:r>
              <w:rPr>
                <w:color w:val="231F20"/>
                <w:spacing w:val="-6"/>
                <w:sz w:val="24"/>
              </w:rPr>
              <w:t xml:space="preserve"> </w:t>
            </w:r>
            <w:r>
              <w:rPr>
                <w:color w:val="231F20"/>
                <w:sz w:val="24"/>
              </w:rPr>
              <w:t>risks</w:t>
            </w:r>
            <w:r>
              <w:rPr>
                <w:color w:val="231F20"/>
                <w:spacing w:val="-5"/>
                <w:sz w:val="24"/>
              </w:rPr>
              <w:t xml:space="preserve"> </w:t>
            </w:r>
            <w:r>
              <w:rPr>
                <w:color w:val="231F20"/>
                <w:sz w:val="24"/>
              </w:rPr>
              <w:t>and</w:t>
            </w:r>
            <w:r>
              <w:rPr>
                <w:color w:val="231F20"/>
                <w:spacing w:val="-6"/>
                <w:sz w:val="24"/>
              </w:rPr>
              <w:t xml:space="preserve"> </w:t>
            </w:r>
            <w:r>
              <w:rPr>
                <w:color w:val="231F20"/>
                <w:sz w:val="24"/>
              </w:rPr>
              <w:t>monitors</w:t>
            </w:r>
            <w:r>
              <w:rPr>
                <w:color w:val="231F20"/>
                <w:spacing w:val="-5"/>
                <w:sz w:val="24"/>
              </w:rPr>
              <w:t xml:space="preserve"> </w:t>
            </w:r>
            <w:r>
              <w:rPr>
                <w:color w:val="231F20"/>
                <w:sz w:val="24"/>
              </w:rPr>
              <w:t>performance</w:t>
            </w:r>
            <w:r>
              <w:rPr>
                <w:color w:val="231F20"/>
                <w:spacing w:val="-6"/>
                <w:sz w:val="24"/>
              </w:rPr>
              <w:t xml:space="preserve"> </w:t>
            </w:r>
            <w:r>
              <w:rPr>
                <w:color w:val="231F20"/>
                <w:sz w:val="24"/>
              </w:rPr>
              <w:t>of</w:t>
            </w:r>
            <w:r>
              <w:rPr>
                <w:color w:val="231F20"/>
                <w:spacing w:val="-6"/>
                <w:sz w:val="24"/>
              </w:rPr>
              <w:t xml:space="preserve"> </w:t>
            </w:r>
            <w:r>
              <w:rPr>
                <w:color w:val="231F20"/>
                <w:sz w:val="24"/>
              </w:rPr>
              <w:t>resource</w:t>
            </w:r>
            <w:r>
              <w:rPr>
                <w:color w:val="231F20"/>
                <w:spacing w:val="-5"/>
                <w:sz w:val="24"/>
              </w:rPr>
              <w:t xml:space="preserve"> </w:t>
            </w:r>
            <w:r>
              <w:rPr>
                <w:color w:val="231F20"/>
                <w:sz w:val="24"/>
              </w:rPr>
              <w:t>deployment.</w:t>
            </w:r>
          </w:p>
        </w:tc>
      </w:tr>
    </w:tbl>
    <w:p w14:paraId="01D18642" w14:textId="77777777" w:rsidR="00345EE3" w:rsidRPr="001A3F3C" w:rsidRDefault="00345EE3" w:rsidP="00345EE3">
      <w:pPr>
        <w:spacing w:before="82"/>
        <w:ind w:left="110"/>
        <w:rPr>
          <w:sz w:val="18"/>
          <w:szCs w:val="18"/>
        </w:rPr>
      </w:pPr>
      <w:r w:rsidRPr="001A3F3C">
        <w:rPr>
          <w:color w:val="231F20"/>
          <w:sz w:val="18"/>
          <w:szCs w:val="18"/>
        </w:rPr>
        <w:t>*Includes</w:t>
      </w:r>
      <w:r w:rsidRPr="001A3F3C">
        <w:rPr>
          <w:color w:val="231F20"/>
          <w:spacing w:val="-1"/>
          <w:sz w:val="18"/>
          <w:szCs w:val="18"/>
        </w:rPr>
        <w:t xml:space="preserve"> </w:t>
      </w:r>
      <w:r w:rsidRPr="001A3F3C">
        <w:rPr>
          <w:color w:val="231F20"/>
          <w:sz w:val="18"/>
          <w:szCs w:val="18"/>
        </w:rPr>
        <w:t>independent</w:t>
      </w:r>
      <w:r w:rsidRPr="001A3F3C">
        <w:rPr>
          <w:color w:val="231F20"/>
          <w:spacing w:val="-1"/>
          <w:sz w:val="18"/>
          <w:szCs w:val="18"/>
        </w:rPr>
        <w:t xml:space="preserve"> </w:t>
      </w:r>
      <w:r w:rsidRPr="001A3F3C">
        <w:rPr>
          <w:color w:val="231F20"/>
          <w:spacing w:val="-2"/>
          <w:sz w:val="18"/>
          <w:szCs w:val="18"/>
        </w:rPr>
        <w:t>members</w:t>
      </w:r>
    </w:p>
    <w:p w14:paraId="5E184A19" w14:textId="77777777" w:rsidR="00345EE3" w:rsidRDefault="00345EE3" w:rsidP="00345EE3">
      <w:pPr>
        <w:rPr>
          <w:sz w:val="20"/>
          <w:szCs w:val="24"/>
        </w:rPr>
      </w:pPr>
      <w:r>
        <w:rPr>
          <w:b/>
          <w:bCs/>
          <w:sz w:val="20"/>
          <w:szCs w:val="24"/>
        </w:rPr>
        <w:br w:type="page"/>
      </w:r>
    </w:p>
    <w:p w14:paraId="64DF7CCB" w14:textId="77777777" w:rsidR="00345EE3" w:rsidRPr="008D34A6" w:rsidRDefault="00345EE3" w:rsidP="002A27BA">
      <w:pPr>
        <w:pStyle w:val="Heading3"/>
      </w:pPr>
      <w:r w:rsidRPr="008D34A6">
        <w:lastRenderedPageBreak/>
        <w:t>Advisory</w:t>
      </w:r>
      <w:r w:rsidRPr="008D34A6">
        <w:rPr>
          <w:spacing w:val="1"/>
        </w:rPr>
        <w:t xml:space="preserve"> </w:t>
      </w:r>
      <w:r w:rsidRPr="008D34A6">
        <w:t>Committees</w:t>
      </w:r>
    </w:p>
    <w:tbl>
      <w:tblPr>
        <w:tblW w:w="0" w:type="auto"/>
        <w:tblLayout w:type="fixed"/>
        <w:tblCellMar>
          <w:left w:w="0" w:type="dxa"/>
          <w:right w:w="0" w:type="dxa"/>
        </w:tblCellMar>
        <w:tblLook w:val="01E0" w:firstRow="1" w:lastRow="1" w:firstColumn="1" w:lastColumn="1" w:noHBand="0" w:noVBand="0"/>
      </w:tblPr>
      <w:tblGrid>
        <w:gridCol w:w="2891"/>
        <w:gridCol w:w="7313"/>
      </w:tblGrid>
      <w:tr w:rsidR="00345EE3" w14:paraId="57FBD3C9" w14:textId="77777777" w:rsidTr="002A27BA">
        <w:trPr>
          <w:trHeight w:val="401"/>
        </w:trPr>
        <w:tc>
          <w:tcPr>
            <w:tcW w:w="2891" w:type="dxa"/>
            <w:shd w:val="clear" w:color="auto" w:fill="00529F"/>
          </w:tcPr>
          <w:p w14:paraId="6CC3752C" w14:textId="77777777" w:rsidR="00345EE3" w:rsidRDefault="00345EE3" w:rsidP="00D73130">
            <w:pPr>
              <w:pStyle w:val="TableParagraph"/>
              <w:spacing w:before="63"/>
              <w:ind w:left="-1"/>
              <w:jc w:val="left"/>
              <w:rPr>
                <w:b/>
                <w:sz w:val="24"/>
              </w:rPr>
            </w:pPr>
            <w:r>
              <w:rPr>
                <w:b/>
                <w:color w:val="FFFFFF"/>
                <w:sz w:val="24"/>
              </w:rPr>
              <w:t>Advisory</w:t>
            </w:r>
            <w:r>
              <w:rPr>
                <w:b/>
                <w:color w:val="FFFFFF"/>
                <w:spacing w:val="1"/>
                <w:sz w:val="24"/>
              </w:rPr>
              <w:t xml:space="preserve"> </w:t>
            </w:r>
            <w:r>
              <w:rPr>
                <w:b/>
                <w:color w:val="FFFFFF"/>
                <w:spacing w:val="-2"/>
                <w:sz w:val="24"/>
              </w:rPr>
              <w:t>Committees</w:t>
            </w:r>
          </w:p>
        </w:tc>
        <w:tc>
          <w:tcPr>
            <w:tcW w:w="7313" w:type="dxa"/>
            <w:shd w:val="clear" w:color="auto" w:fill="00529F"/>
          </w:tcPr>
          <w:p w14:paraId="21731BBD" w14:textId="77777777" w:rsidR="00345EE3" w:rsidRDefault="00345EE3" w:rsidP="00D73130">
            <w:pPr>
              <w:pStyle w:val="TableParagraph"/>
              <w:spacing w:before="63"/>
              <w:ind w:left="2"/>
              <w:jc w:val="left"/>
              <w:rPr>
                <w:b/>
                <w:sz w:val="24"/>
              </w:rPr>
            </w:pPr>
            <w:r>
              <w:rPr>
                <w:b/>
                <w:color w:val="FFFFFF"/>
                <w:spacing w:val="-2"/>
                <w:sz w:val="24"/>
              </w:rPr>
              <w:t>Focus</w:t>
            </w:r>
          </w:p>
        </w:tc>
      </w:tr>
      <w:tr w:rsidR="00345EE3" w14:paraId="4E422080" w14:textId="77777777" w:rsidTr="002A27BA">
        <w:trPr>
          <w:trHeight w:val="2356"/>
        </w:trPr>
        <w:tc>
          <w:tcPr>
            <w:tcW w:w="2891" w:type="dxa"/>
            <w:tcBorders>
              <w:bottom w:val="single" w:sz="2" w:space="0" w:color="939598"/>
              <w:right w:val="single" w:sz="2" w:space="0" w:color="939598"/>
            </w:tcBorders>
          </w:tcPr>
          <w:p w14:paraId="72F8B3B6" w14:textId="77777777" w:rsidR="00345EE3" w:rsidRDefault="00345EE3" w:rsidP="00D73130">
            <w:pPr>
              <w:pStyle w:val="TableParagraph"/>
              <w:spacing w:line="242" w:lineRule="auto"/>
              <w:ind w:left="-3" w:right="9"/>
              <w:jc w:val="left"/>
              <w:rPr>
                <w:b/>
                <w:sz w:val="24"/>
              </w:rPr>
            </w:pPr>
            <w:r>
              <w:rPr>
                <w:b/>
                <w:color w:val="231F20"/>
                <w:sz w:val="24"/>
              </w:rPr>
              <w:t xml:space="preserve">Audit and Risk </w:t>
            </w:r>
            <w:r>
              <w:rPr>
                <w:b/>
                <w:color w:val="231F20"/>
                <w:spacing w:val="-2"/>
                <w:sz w:val="24"/>
              </w:rPr>
              <w:t>Committee</w:t>
            </w:r>
            <w:r>
              <w:rPr>
                <w:b/>
                <w:color w:val="231F20"/>
                <w:spacing w:val="-15"/>
                <w:sz w:val="24"/>
              </w:rPr>
              <w:t xml:space="preserve"> </w:t>
            </w:r>
            <w:r>
              <w:rPr>
                <w:b/>
                <w:color w:val="231F20"/>
                <w:spacing w:val="-2"/>
                <w:sz w:val="24"/>
              </w:rPr>
              <w:t>(ARC)*</w:t>
            </w:r>
          </w:p>
          <w:p w14:paraId="4A134A52" w14:textId="77777777" w:rsidR="00345EE3" w:rsidRDefault="00345EE3" w:rsidP="00D73130">
            <w:pPr>
              <w:pStyle w:val="TableParagraph"/>
              <w:spacing w:before="116" w:line="242" w:lineRule="auto"/>
              <w:ind w:left="-3"/>
              <w:jc w:val="left"/>
              <w:rPr>
                <w:i/>
                <w:sz w:val="24"/>
              </w:rPr>
            </w:pPr>
            <w:r>
              <w:rPr>
                <w:i/>
                <w:color w:val="231F20"/>
                <w:spacing w:val="-6"/>
                <w:sz w:val="24"/>
              </w:rPr>
              <w:t>Meets</w:t>
            </w:r>
            <w:r>
              <w:rPr>
                <w:i/>
                <w:color w:val="231F20"/>
                <w:spacing w:val="-9"/>
                <w:sz w:val="24"/>
              </w:rPr>
              <w:t xml:space="preserve"> </w:t>
            </w:r>
            <w:r>
              <w:rPr>
                <w:i/>
                <w:color w:val="231F20"/>
                <w:spacing w:val="-6"/>
                <w:sz w:val="24"/>
              </w:rPr>
              <w:t>quarterly</w:t>
            </w:r>
            <w:r>
              <w:rPr>
                <w:i/>
                <w:color w:val="231F20"/>
                <w:spacing w:val="-9"/>
                <w:sz w:val="24"/>
              </w:rPr>
              <w:t xml:space="preserve"> </w:t>
            </w:r>
            <w:r>
              <w:rPr>
                <w:i/>
                <w:color w:val="231F20"/>
                <w:spacing w:val="-6"/>
                <w:sz w:val="24"/>
              </w:rPr>
              <w:t>(plus</w:t>
            </w:r>
            <w:r>
              <w:rPr>
                <w:i/>
                <w:color w:val="231F20"/>
                <w:spacing w:val="-9"/>
                <w:sz w:val="24"/>
              </w:rPr>
              <w:t xml:space="preserve"> </w:t>
            </w:r>
            <w:r>
              <w:rPr>
                <w:i/>
                <w:color w:val="231F20"/>
                <w:spacing w:val="-6"/>
                <w:sz w:val="24"/>
              </w:rPr>
              <w:t xml:space="preserve">one </w:t>
            </w:r>
            <w:r>
              <w:rPr>
                <w:i/>
                <w:color w:val="231F20"/>
                <w:spacing w:val="-4"/>
                <w:sz w:val="24"/>
              </w:rPr>
              <w:t>special</w:t>
            </w:r>
            <w:r>
              <w:rPr>
                <w:i/>
                <w:color w:val="231F20"/>
                <w:spacing w:val="-15"/>
                <w:sz w:val="24"/>
              </w:rPr>
              <w:t xml:space="preserve"> </w:t>
            </w:r>
            <w:r>
              <w:rPr>
                <w:i/>
                <w:color w:val="231F20"/>
                <w:spacing w:val="-4"/>
                <w:sz w:val="24"/>
              </w:rPr>
              <w:t>meeting</w:t>
            </w:r>
            <w:r>
              <w:rPr>
                <w:i/>
                <w:color w:val="231F20"/>
                <w:spacing w:val="-13"/>
                <w:sz w:val="24"/>
              </w:rPr>
              <w:t xml:space="preserve"> </w:t>
            </w:r>
            <w:r>
              <w:rPr>
                <w:i/>
                <w:color w:val="231F20"/>
                <w:spacing w:val="-4"/>
                <w:sz w:val="24"/>
              </w:rPr>
              <w:t>to</w:t>
            </w:r>
            <w:r>
              <w:rPr>
                <w:i/>
                <w:color w:val="231F20"/>
                <w:spacing w:val="-12"/>
                <w:sz w:val="24"/>
              </w:rPr>
              <w:t xml:space="preserve"> </w:t>
            </w:r>
            <w:r>
              <w:rPr>
                <w:i/>
                <w:color w:val="231F20"/>
                <w:spacing w:val="-4"/>
                <w:sz w:val="24"/>
              </w:rPr>
              <w:t xml:space="preserve">review </w:t>
            </w:r>
            <w:r>
              <w:rPr>
                <w:i/>
                <w:color w:val="231F20"/>
                <w:sz w:val="24"/>
              </w:rPr>
              <w:t>Victoria Police’s annual financial statements)</w:t>
            </w:r>
          </w:p>
        </w:tc>
        <w:tc>
          <w:tcPr>
            <w:tcW w:w="7313" w:type="dxa"/>
            <w:tcBorders>
              <w:left w:val="single" w:sz="2" w:space="0" w:color="939598"/>
              <w:bottom w:val="single" w:sz="2" w:space="0" w:color="939598"/>
            </w:tcBorders>
          </w:tcPr>
          <w:p w14:paraId="611719B5" w14:textId="77777777" w:rsidR="00345EE3" w:rsidRDefault="00345EE3" w:rsidP="00D73130">
            <w:pPr>
              <w:pStyle w:val="TableParagraph"/>
              <w:spacing w:line="242" w:lineRule="auto"/>
              <w:ind w:right="32"/>
              <w:jc w:val="left"/>
              <w:rPr>
                <w:sz w:val="24"/>
              </w:rPr>
            </w:pPr>
            <w:r>
              <w:rPr>
                <w:color w:val="231F20"/>
                <w:sz w:val="24"/>
              </w:rPr>
              <w:t>As</w:t>
            </w:r>
            <w:r>
              <w:rPr>
                <w:color w:val="231F20"/>
                <w:spacing w:val="-4"/>
                <w:sz w:val="24"/>
              </w:rPr>
              <w:t xml:space="preserve"> </w:t>
            </w:r>
            <w:r>
              <w:rPr>
                <w:color w:val="231F20"/>
                <w:sz w:val="24"/>
              </w:rPr>
              <w:t>required</w:t>
            </w:r>
            <w:r>
              <w:rPr>
                <w:color w:val="231F20"/>
                <w:spacing w:val="-4"/>
                <w:sz w:val="24"/>
              </w:rPr>
              <w:t xml:space="preserve"> </w:t>
            </w:r>
            <w:r>
              <w:rPr>
                <w:color w:val="231F20"/>
                <w:sz w:val="24"/>
              </w:rPr>
              <w:t>under</w:t>
            </w:r>
            <w:r>
              <w:rPr>
                <w:color w:val="231F20"/>
                <w:spacing w:val="-5"/>
                <w:sz w:val="24"/>
              </w:rPr>
              <w:t xml:space="preserve"> </w:t>
            </w:r>
            <w:r>
              <w:rPr>
                <w:color w:val="231F20"/>
                <w:sz w:val="24"/>
              </w:rPr>
              <w:t>the</w:t>
            </w:r>
            <w:r>
              <w:rPr>
                <w:color w:val="231F20"/>
                <w:spacing w:val="-4"/>
                <w:sz w:val="24"/>
              </w:rPr>
              <w:t xml:space="preserve"> </w:t>
            </w:r>
            <w:r>
              <w:rPr>
                <w:color w:val="231F20"/>
                <w:sz w:val="24"/>
              </w:rPr>
              <w:t>Standing</w:t>
            </w:r>
            <w:r>
              <w:rPr>
                <w:color w:val="231F20"/>
                <w:spacing w:val="-4"/>
                <w:sz w:val="24"/>
              </w:rPr>
              <w:t xml:space="preserve"> </w:t>
            </w:r>
            <w:r>
              <w:rPr>
                <w:color w:val="231F20"/>
                <w:sz w:val="24"/>
              </w:rPr>
              <w:t>Directions</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4"/>
                <w:sz w:val="24"/>
              </w:rPr>
              <w:t xml:space="preserve"> </w:t>
            </w:r>
            <w:r>
              <w:rPr>
                <w:color w:val="231F20"/>
                <w:sz w:val="24"/>
              </w:rPr>
              <w:t>Minister</w:t>
            </w:r>
            <w:r>
              <w:rPr>
                <w:color w:val="231F20"/>
                <w:spacing w:val="-4"/>
                <w:sz w:val="24"/>
              </w:rPr>
              <w:t xml:space="preserve"> </w:t>
            </w:r>
            <w:r>
              <w:rPr>
                <w:color w:val="231F20"/>
                <w:sz w:val="24"/>
              </w:rPr>
              <w:t>for</w:t>
            </w:r>
            <w:r>
              <w:rPr>
                <w:color w:val="231F20"/>
                <w:spacing w:val="-4"/>
                <w:sz w:val="24"/>
              </w:rPr>
              <w:t xml:space="preserve"> </w:t>
            </w:r>
            <w:r>
              <w:rPr>
                <w:color w:val="231F20"/>
                <w:sz w:val="24"/>
              </w:rPr>
              <w:t xml:space="preserve">Finance under the </w:t>
            </w:r>
            <w:r>
              <w:rPr>
                <w:i/>
                <w:color w:val="231F20"/>
                <w:sz w:val="24"/>
              </w:rPr>
              <w:t>Financial</w:t>
            </w:r>
            <w:r>
              <w:rPr>
                <w:i/>
                <w:color w:val="231F20"/>
                <w:spacing w:val="-3"/>
                <w:sz w:val="24"/>
              </w:rPr>
              <w:t xml:space="preserve"> </w:t>
            </w:r>
            <w:r>
              <w:rPr>
                <w:i/>
                <w:color w:val="231F20"/>
                <w:sz w:val="24"/>
              </w:rPr>
              <w:t>Management</w:t>
            </w:r>
            <w:r>
              <w:rPr>
                <w:i/>
                <w:color w:val="231F20"/>
                <w:spacing w:val="-12"/>
                <w:sz w:val="24"/>
              </w:rPr>
              <w:t xml:space="preserve"> </w:t>
            </w:r>
            <w:r>
              <w:rPr>
                <w:i/>
                <w:color w:val="231F20"/>
                <w:sz w:val="24"/>
              </w:rPr>
              <w:t>Act</w:t>
            </w:r>
            <w:r>
              <w:rPr>
                <w:i/>
                <w:color w:val="231F20"/>
                <w:spacing w:val="-3"/>
                <w:sz w:val="24"/>
              </w:rPr>
              <w:t xml:space="preserve"> </w:t>
            </w:r>
            <w:r>
              <w:rPr>
                <w:color w:val="231F20"/>
                <w:sz w:val="24"/>
              </w:rPr>
              <w:t>1994, the</w:t>
            </w:r>
            <w:r>
              <w:rPr>
                <w:color w:val="231F20"/>
                <w:spacing w:val="-8"/>
                <w:sz w:val="24"/>
              </w:rPr>
              <w:t xml:space="preserve"> </w:t>
            </w:r>
            <w:r>
              <w:rPr>
                <w:color w:val="231F20"/>
                <w:sz w:val="24"/>
              </w:rPr>
              <w:t>ARC provides independent assurance and assistance to the Chief Commissioner</w:t>
            </w:r>
            <w:r>
              <w:rPr>
                <w:color w:val="231F20"/>
                <w:spacing w:val="40"/>
                <w:sz w:val="24"/>
              </w:rPr>
              <w:t xml:space="preserve"> </w:t>
            </w:r>
            <w:r>
              <w:rPr>
                <w:color w:val="231F20"/>
                <w:sz w:val="24"/>
              </w:rPr>
              <w:t xml:space="preserve">of Police regarding Victoria Police financial, risk, control and compliance frameworks, as well as its external accountability responsibilities. Maintains effective communication with external auditors and considers recommendations from internal and external </w:t>
            </w:r>
            <w:r>
              <w:rPr>
                <w:color w:val="231F20"/>
                <w:spacing w:val="-2"/>
                <w:sz w:val="24"/>
              </w:rPr>
              <w:t>auditors.</w:t>
            </w:r>
          </w:p>
        </w:tc>
      </w:tr>
      <w:tr w:rsidR="00345EE3" w14:paraId="274A71FC" w14:textId="77777777" w:rsidTr="002A27BA">
        <w:trPr>
          <w:trHeight w:val="1516"/>
        </w:trPr>
        <w:tc>
          <w:tcPr>
            <w:tcW w:w="2891" w:type="dxa"/>
            <w:tcBorders>
              <w:top w:val="single" w:sz="2" w:space="0" w:color="939598"/>
              <w:bottom w:val="single" w:sz="2" w:space="0" w:color="939598"/>
              <w:right w:val="single" w:sz="2" w:space="0" w:color="939598"/>
            </w:tcBorders>
          </w:tcPr>
          <w:p w14:paraId="59E5AFFB" w14:textId="77777777" w:rsidR="00345EE3" w:rsidRDefault="00345EE3" w:rsidP="00D73130">
            <w:pPr>
              <w:pStyle w:val="TableParagraph"/>
              <w:spacing w:before="61" w:line="242" w:lineRule="auto"/>
              <w:ind w:left="-3"/>
              <w:jc w:val="left"/>
              <w:rPr>
                <w:b/>
                <w:sz w:val="24"/>
              </w:rPr>
            </w:pPr>
            <w:r>
              <w:rPr>
                <w:b/>
                <w:color w:val="231F20"/>
                <w:sz w:val="24"/>
              </w:rPr>
              <w:t>Victoria</w:t>
            </w:r>
            <w:r>
              <w:rPr>
                <w:b/>
                <w:color w:val="231F20"/>
                <w:spacing w:val="-17"/>
                <w:sz w:val="24"/>
              </w:rPr>
              <w:t xml:space="preserve"> </w:t>
            </w:r>
            <w:r>
              <w:rPr>
                <w:b/>
                <w:color w:val="231F20"/>
                <w:sz w:val="24"/>
              </w:rPr>
              <w:t>Police</w:t>
            </w:r>
            <w:r>
              <w:rPr>
                <w:b/>
                <w:color w:val="231F20"/>
                <w:spacing w:val="-17"/>
                <w:sz w:val="24"/>
              </w:rPr>
              <w:t xml:space="preserve"> </w:t>
            </w:r>
            <w:r>
              <w:rPr>
                <w:b/>
                <w:color w:val="231F20"/>
                <w:sz w:val="24"/>
              </w:rPr>
              <w:t>Finance Board (VPFB)*</w:t>
            </w:r>
          </w:p>
          <w:p w14:paraId="5B9D1616" w14:textId="77777777" w:rsidR="00345EE3" w:rsidRDefault="00345EE3" w:rsidP="00D73130">
            <w:pPr>
              <w:pStyle w:val="TableParagraph"/>
              <w:spacing w:before="59"/>
              <w:ind w:left="-3"/>
              <w:jc w:val="left"/>
              <w:rPr>
                <w:i/>
                <w:sz w:val="24"/>
              </w:rPr>
            </w:pPr>
            <w:r>
              <w:rPr>
                <w:i/>
                <w:color w:val="231F20"/>
                <w:spacing w:val="-4"/>
                <w:sz w:val="24"/>
              </w:rPr>
              <w:t>Meets</w:t>
            </w:r>
            <w:r>
              <w:rPr>
                <w:i/>
                <w:color w:val="231F20"/>
                <w:spacing w:val="-9"/>
                <w:sz w:val="24"/>
              </w:rPr>
              <w:t xml:space="preserve"> </w:t>
            </w:r>
            <w:r>
              <w:rPr>
                <w:i/>
                <w:color w:val="231F20"/>
                <w:spacing w:val="-2"/>
                <w:sz w:val="24"/>
              </w:rPr>
              <w:t>monthly</w:t>
            </w:r>
          </w:p>
        </w:tc>
        <w:tc>
          <w:tcPr>
            <w:tcW w:w="7313" w:type="dxa"/>
            <w:tcBorders>
              <w:top w:val="single" w:sz="2" w:space="0" w:color="939598"/>
              <w:left w:val="single" w:sz="2" w:space="0" w:color="939598"/>
              <w:bottom w:val="single" w:sz="2" w:space="0" w:color="939598"/>
            </w:tcBorders>
          </w:tcPr>
          <w:p w14:paraId="34652508" w14:textId="77777777" w:rsidR="00345EE3" w:rsidRDefault="00345EE3" w:rsidP="00D73130">
            <w:pPr>
              <w:pStyle w:val="TableParagraph"/>
              <w:spacing w:before="61" w:line="242" w:lineRule="auto"/>
              <w:ind w:right="240"/>
              <w:jc w:val="left"/>
              <w:rPr>
                <w:sz w:val="24"/>
              </w:rPr>
            </w:pPr>
            <w:r>
              <w:rPr>
                <w:color w:val="231F20"/>
                <w:sz w:val="24"/>
              </w:rPr>
              <w:t>Provides oversight of Victoria Police’s financial management to</w:t>
            </w:r>
            <w:r>
              <w:rPr>
                <w:color w:val="231F20"/>
                <w:spacing w:val="40"/>
                <w:sz w:val="24"/>
              </w:rPr>
              <w:t xml:space="preserve"> </w:t>
            </w:r>
            <w:r>
              <w:rPr>
                <w:color w:val="231F20"/>
                <w:sz w:val="24"/>
              </w:rPr>
              <w:t>the Victorian Government and the Chief Commissioner of Police. Provides</w:t>
            </w:r>
            <w:r>
              <w:rPr>
                <w:color w:val="231F20"/>
                <w:spacing w:val="-1"/>
                <w:sz w:val="24"/>
              </w:rPr>
              <w:t xml:space="preserve"> </w:t>
            </w:r>
            <w:r>
              <w:rPr>
                <w:color w:val="231F20"/>
                <w:sz w:val="24"/>
              </w:rPr>
              <w:t>advice</w:t>
            </w:r>
            <w:r>
              <w:rPr>
                <w:color w:val="231F20"/>
                <w:spacing w:val="-2"/>
                <w:sz w:val="24"/>
              </w:rPr>
              <w:t xml:space="preserve"> </w:t>
            </w:r>
            <w:r>
              <w:rPr>
                <w:color w:val="231F20"/>
                <w:sz w:val="24"/>
              </w:rPr>
              <w:t>on</w:t>
            </w:r>
            <w:r>
              <w:rPr>
                <w:color w:val="231F20"/>
                <w:spacing w:val="-2"/>
                <w:sz w:val="24"/>
              </w:rPr>
              <w:t xml:space="preserve"> </w:t>
            </w:r>
            <w:r>
              <w:rPr>
                <w:color w:val="231F20"/>
                <w:sz w:val="24"/>
              </w:rPr>
              <w:t>new</w:t>
            </w:r>
            <w:r>
              <w:rPr>
                <w:color w:val="231F20"/>
                <w:spacing w:val="-2"/>
                <w:sz w:val="24"/>
              </w:rPr>
              <w:t xml:space="preserve"> </w:t>
            </w:r>
            <w:r>
              <w:rPr>
                <w:color w:val="231F20"/>
                <w:sz w:val="24"/>
              </w:rPr>
              <w:t>initiatives</w:t>
            </w:r>
            <w:r>
              <w:rPr>
                <w:color w:val="231F20"/>
                <w:spacing w:val="-2"/>
                <w:sz w:val="24"/>
              </w:rPr>
              <w:t xml:space="preserve"> </w:t>
            </w:r>
            <w:r>
              <w:rPr>
                <w:color w:val="231F20"/>
                <w:sz w:val="24"/>
              </w:rPr>
              <w:t>that</w:t>
            </w:r>
            <w:r>
              <w:rPr>
                <w:color w:val="231F20"/>
                <w:spacing w:val="-1"/>
                <w:sz w:val="24"/>
              </w:rPr>
              <w:t xml:space="preserve"> </w:t>
            </w:r>
            <w:r>
              <w:rPr>
                <w:color w:val="231F20"/>
                <w:sz w:val="24"/>
              </w:rPr>
              <w:t>may</w:t>
            </w:r>
            <w:r>
              <w:rPr>
                <w:color w:val="231F20"/>
                <w:spacing w:val="-1"/>
                <w:sz w:val="24"/>
              </w:rPr>
              <w:t xml:space="preserve"> </w:t>
            </w:r>
            <w:r>
              <w:rPr>
                <w:color w:val="231F20"/>
                <w:sz w:val="24"/>
              </w:rPr>
              <w:t>assist</w:t>
            </w:r>
            <w:r>
              <w:rPr>
                <w:color w:val="231F20"/>
                <w:spacing w:val="-2"/>
                <w:sz w:val="24"/>
              </w:rPr>
              <w:t xml:space="preserve"> </w:t>
            </w:r>
            <w:r>
              <w:rPr>
                <w:color w:val="231F20"/>
                <w:sz w:val="24"/>
              </w:rPr>
              <w:t>with</w:t>
            </w:r>
            <w:r>
              <w:rPr>
                <w:color w:val="231F20"/>
                <w:spacing w:val="-2"/>
                <w:sz w:val="24"/>
              </w:rPr>
              <w:t xml:space="preserve"> </w:t>
            </w:r>
            <w:r>
              <w:rPr>
                <w:color w:val="231F20"/>
                <w:sz w:val="24"/>
              </w:rPr>
              <w:t>longer-term budget</w:t>
            </w:r>
            <w:r>
              <w:rPr>
                <w:color w:val="231F20"/>
                <w:spacing w:val="-6"/>
                <w:sz w:val="24"/>
              </w:rPr>
              <w:t xml:space="preserve"> </w:t>
            </w:r>
            <w:r>
              <w:rPr>
                <w:color w:val="231F20"/>
                <w:sz w:val="24"/>
              </w:rPr>
              <w:t>reparation</w:t>
            </w:r>
            <w:r>
              <w:rPr>
                <w:color w:val="231F20"/>
                <w:spacing w:val="-5"/>
                <w:sz w:val="24"/>
              </w:rPr>
              <w:t xml:space="preserve"> </w:t>
            </w:r>
            <w:r>
              <w:rPr>
                <w:color w:val="231F20"/>
                <w:sz w:val="24"/>
              </w:rPr>
              <w:t>and</w:t>
            </w:r>
            <w:r>
              <w:rPr>
                <w:color w:val="231F20"/>
                <w:spacing w:val="-6"/>
                <w:sz w:val="24"/>
              </w:rPr>
              <w:t xml:space="preserve"> </w:t>
            </w:r>
            <w:r>
              <w:rPr>
                <w:color w:val="231F20"/>
                <w:sz w:val="24"/>
              </w:rPr>
              <w:t>alternatives</w:t>
            </w:r>
            <w:r>
              <w:rPr>
                <w:color w:val="231F20"/>
                <w:spacing w:val="-6"/>
                <w:sz w:val="24"/>
              </w:rPr>
              <w:t xml:space="preserve"> </w:t>
            </w:r>
            <w:r>
              <w:rPr>
                <w:color w:val="231F20"/>
                <w:sz w:val="24"/>
              </w:rPr>
              <w:t>to</w:t>
            </w:r>
            <w:r>
              <w:rPr>
                <w:color w:val="231F20"/>
                <w:spacing w:val="-5"/>
                <w:sz w:val="24"/>
              </w:rPr>
              <w:t xml:space="preserve"> </w:t>
            </w:r>
            <w:r>
              <w:rPr>
                <w:color w:val="231F20"/>
                <w:sz w:val="24"/>
              </w:rPr>
              <w:t>offset</w:t>
            </w:r>
            <w:r>
              <w:rPr>
                <w:color w:val="231F20"/>
                <w:spacing w:val="-5"/>
                <w:sz w:val="24"/>
              </w:rPr>
              <w:t xml:space="preserve"> </w:t>
            </w:r>
            <w:r>
              <w:rPr>
                <w:color w:val="231F20"/>
                <w:sz w:val="24"/>
              </w:rPr>
              <w:t>permanent</w:t>
            </w:r>
            <w:r>
              <w:rPr>
                <w:color w:val="231F20"/>
                <w:spacing w:val="-6"/>
                <w:sz w:val="24"/>
              </w:rPr>
              <w:t xml:space="preserve"> </w:t>
            </w:r>
            <w:r>
              <w:rPr>
                <w:color w:val="231F20"/>
                <w:sz w:val="24"/>
              </w:rPr>
              <w:t>cost</w:t>
            </w:r>
            <w:r>
              <w:rPr>
                <w:color w:val="231F20"/>
                <w:spacing w:val="-5"/>
                <w:sz w:val="24"/>
              </w:rPr>
              <w:t xml:space="preserve"> </w:t>
            </w:r>
            <w:r>
              <w:rPr>
                <w:color w:val="231F20"/>
                <w:sz w:val="24"/>
              </w:rPr>
              <w:t>drivers and funding misalignments.</w:t>
            </w:r>
          </w:p>
        </w:tc>
      </w:tr>
    </w:tbl>
    <w:p w14:paraId="6E038E5C" w14:textId="77777777" w:rsidR="00345EE3" w:rsidRPr="001A3F3C" w:rsidRDefault="00345EE3" w:rsidP="00345EE3">
      <w:pPr>
        <w:spacing w:before="76"/>
        <w:ind w:left="110"/>
        <w:rPr>
          <w:sz w:val="18"/>
          <w:szCs w:val="18"/>
        </w:rPr>
      </w:pPr>
      <w:r w:rsidRPr="001A3F3C">
        <w:rPr>
          <w:color w:val="231F20"/>
          <w:sz w:val="18"/>
          <w:szCs w:val="18"/>
        </w:rPr>
        <w:t>*Includes</w:t>
      </w:r>
      <w:r w:rsidRPr="001A3F3C">
        <w:rPr>
          <w:color w:val="231F20"/>
          <w:spacing w:val="-1"/>
          <w:sz w:val="18"/>
          <w:szCs w:val="18"/>
        </w:rPr>
        <w:t xml:space="preserve"> </w:t>
      </w:r>
      <w:r w:rsidRPr="001A3F3C">
        <w:rPr>
          <w:color w:val="231F20"/>
          <w:sz w:val="18"/>
          <w:szCs w:val="18"/>
        </w:rPr>
        <w:t>independent</w:t>
      </w:r>
      <w:r w:rsidRPr="001A3F3C">
        <w:rPr>
          <w:color w:val="231F20"/>
          <w:spacing w:val="-1"/>
          <w:sz w:val="18"/>
          <w:szCs w:val="18"/>
        </w:rPr>
        <w:t xml:space="preserve"> </w:t>
      </w:r>
      <w:r w:rsidRPr="001A3F3C">
        <w:rPr>
          <w:color w:val="231F20"/>
          <w:spacing w:val="-2"/>
          <w:sz w:val="18"/>
          <w:szCs w:val="18"/>
        </w:rPr>
        <w:t>members</w:t>
      </w:r>
    </w:p>
    <w:p w14:paraId="19795A02" w14:textId="77777777" w:rsidR="00345EE3" w:rsidRDefault="00345EE3" w:rsidP="00345EE3">
      <w:pPr>
        <w:pStyle w:val="BodyText"/>
        <w:spacing w:before="2"/>
        <w:rPr>
          <w:sz w:val="13"/>
        </w:rPr>
      </w:pPr>
    </w:p>
    <w:p w14:paraId="5F7EB87F" w14:textId="77777777" w:rsidR="00345EE3" w:rsidRPr="008D34A6" w:rsidRDefault="00345EE3" w:rsidP="00345EE3">
      <w:pPr>
        <w:pStyle w:val="Heading2"/>
        <w:spacing w:before="0"/>
        <w:rPr>
          <w:sz w:val="32"/>
          <w:szCs w:val="32"/>
        </w:rPr>
      </w:pPr>
      <w:r w:rsidRPr="008D34A6">
        <w:rPr>
          <w:color w:val="00529F"/>
          <w:sz w:val="32"/>
          <w:szCs w:val="32"/>
        </w:rPr>
        <w:t>Oversight</w:t>
      </w:r>
      <w:r w:rsidRPr="008D34A6">
        <w:rPr>
          <w:color w:val="00529F"/>
          <w:spacing w:val="-15"/>
          <w:sz w:val="32"/>
          <w:szCs w:val="32"/>
        </w:rPr>
        <w:t xml:space="preserve"> </w:t>
      </w:r>
      <w:r w:rsidRPr="008D34A6">
        <w:rPr>
          <w:color w:val="00529F"/>
          <w:sz w:val="32"/>
          <w:szCs w:val="32"/>
        </w:rPr>
        <w:t>and</w:t>
      </w:r>
      <w:r w:rsidRPr="008D34A6">
        <w:rPr>
          <w:color w:val="00529F"/>
          <w:spacing w:val="-15"/>
          <w:sz w:val="32"/>
          <w:szCs w:val="32"/>
        </w:rPr>
        <w:t xml:space="preserve"> </w:t>
      </w:r>
      <w:r w:rsidRPr="008D34A6">
        <w:rPr>
          <w:color w:val="00529F"/>
          <w:spacing w:val="-2"/>
          <w:sz w:val="32"/>
          <w:szCs w:val="32"/>
        </w:rPr>
        <w:t>Assurance</w:t>
      </w:r>
    </w:p>
    <w:p w14:paraId="1B78BBB4" w14:textId="77777777" w:rsidR="00345EE3" w:rsidRPr="008D34A6" w:rsidRDefault="00345EE3" w:rsidP="002A27BA">
      <w:pPr>
        <w:pStyle w:val="Heading3"/>
      </w:pPr>
      <w:r w:rsidRPr="008D34A6">
        <w:t>Audit</w:t>
      </w:r>
      <w:r w:rsidRPr="008D34A6">
        <w:rPr>
          <w:spacing w:val="-2"/>
        </w:rPr>
        <w:t xml:space="preserve"> </w:t>
      </w:r>
      <w:r w:rsidRPr="008D34A6">
        <w:t>and</w:t>
      </w:r>
      <w:r w:rsidRPr="008D34A6">
        <w:rPr>
          <w:spacing w:val="-1"/>
        </w:rPr>
        <w:t xml:space="preserve"> </w:t>
      </w:r>
      <w:r w:rsidRPr="008D34A6">
        <w:t>Risk</w:t>
      </w:r>
      <w:r w:rsidRPr="008D34A6">
        <w:rPr>
          <w:spacing w:val="-2"/>
        </w:rPr>
        <w:t xml:space="preserve"> </w:t>
      </w:r>
      <w:r w:rsidRPr="008D34A6">
        <w:t>Committee</w:t>
      </w:r>
      <w:r w:rsidRPr="008D34A6">
        <w:rPr>
          <w:spacing w:val="-2"/>
        </w:rPr>
        <w:t xml:space="preserve"> Membership</w:t>
      </w:r>
    </w:p>
    <w:p w14:paraId="01C59A86" w14:textId="77777777" w:rsidR="00345EE3" w:rsidRDefault="00345EE3" w:rsidP="00345EE3">
      <w:pPr>
        <w:pStyle w:val="BodyText"/>
        <w:spacing w:before="52" w:line="242" w:lineRule="auto"/>
        <w:ind w:right="921"/>
      </w:pPr>
      <w:r>
        <w:rPr>
          <w:color w:val="231F20"/>
        </w:rPr>
        <w:t>The</w:t>
      </w:r>
      <w:r>
        <w:rPr>
          <w:color w:val="231F20"/>
          <w:spacing w:val="-4"/>
        </w:rPr>
        <w:t xml:space="preserve"> </w:t>
      </w:r>
      <w:r>
        <w:rPr>
          <w:color w:val="231F20"/>
        </w:rPr>
        <w:t>Victoria</w:t>
      </w:r>
      <w:r>
        <w:rPr>
          <w:color w:val="231F20"/>
          <w:spacing w:val="-4"/>
        </w:rPr>
        <w:t xml:space="preserve"> </w:t>
      </w:r>
      <w:r>
        <w:rPr>
          <w:color w:val="231F20"/>
        </w:rPr>
        <w:t>Police</w:t>
      </w:r>
      <w:r>
        <w:rPr>
          <w:color w:val="231F20"/>
          <w:spacing w:val="-4"/>
        </w:rPr>
        <w:t xml:space="preserve"> </w:t>
      </w:r>
      <w:r>
        <w:rPr>
          <w:color w:val="231F20"/>
        </w:rPr>
        <w:t>ARC</w:t>
      </w:r>
      <w:r>
        <w:rPr>
          <w:color w:val="231F20"/>
          <w:spacing w:val="-4"/>
        </w:rPr>
        <w:t xml:space="preserve"> </w:t>
      </w:r>
      <w:r>
        <w:rPr>
          <w:color w:val="231F20"/>
        </w:rPr>
        <w:t>is</w:t>
      </w:r>
      <w:r>
        <w:rPr>
          <w:color w:val="231F20"/>
          <w:spacing w:val="-3"/>
        </w:rPr>
        <w:t xml:space="preserve"> </w:t>
      </w:r>
      <w:r>
        <w:rPr>
          <w:color w:val="231F20"/>
        </w:rPr>
        <w:t>established</w:t>
      </w:r>
      <w:r>
        <w:rPr>
          <w:color w:val="231F20"/>
          <w:spacing w:val="-4"/>
        </w:rPr>
        <w:t xml:space="preserve"> </w:t>
      </w:r>
      <w:r>
        <w:rPr>
          <w:color w:val="231F20"/>
        </w:rPr>
        <w:t>under</w:t>
      </w:r>
      <w:r>
        <w:rPr>
          <w:color w:val="231F20"/>
          <w:spacing w:val="-3"/>
        </w:rPr>
        <w:t xml:space="preserve"> </w:t>
      </w:r>
      <w:r>
        <w:rPr>
          <w:color w:val="231F20"/>
        </w:rPr>
        <w:t>the</w:t>
      </w:r>
      <w:r>
        <w:rPr>
          <w:color w:val="231F20"/>
          <w:spacing w:val="-4"/>
        </w:rPr>
        <w:t xml:space="preserve"> </w:t>
      </w:r>
      <w:r>
        <w:rPr>
          <w:i/>
          <w:color w:val="231F20"/>
        </w:rPr>
        <w:t>Financial</w:t>
      </w:r>
      <w:r>
        <w:rPr>
          <w:i/>
          <w:color w:val="231F20"/>
          <w:spacing w:val="-12"/>
        </w:rPr>
        <w:t xml:space="preserve"> </w:t>
      </w:r>
      <w:r>
        <w:rPr>
          <w:i/>
          <w:color w:val="231F20"/>
        </w:rPr>
        <w:t>Management</w:t>
      </w:r>
      <w:r>
        <w:rPr>
          <w:i/>
          <w:color w:val="231F20"/>
          <w:spacing w:val="-12"/>
        </w:rPr>
        <w:t xml:space="preserve"> </w:t>
      </w:r>
      <w:r>
        <w:rPr>
          <w:i/>
          <w:color w:val="231F20"/>
        </w:rPr>
        <w:t>Act</w:t>
      </w:r>
      <w:r>
        <w:rPr>
          <w:i/>
          <w:color w:val="231F20"/>
          <w:spacing w:val="-12"/>
        </w:rPr>
        <w:t xml:space="preserve"> </w:t>
      </w:r>
      <w:r>
        <w:rPr>
          <w:color w:val="231F20"/>
        </w:rPr>
        <w:t>1994.</w:t>
      </w:r>
      <w:r>
        <w:rPr>
          <w:color w:val="231F20"/>
          <w:spacing w:val="-3"/>
        </w:rPr>
        <w:t xml:space="preserve"> </w:t>
      </w:r>
      <w:r>
        <w:rPr>
          <w:color w:val="231F20"/>
        </w:rPr>
        <w:t>Its</w:t>
      </w:r>
      <w:r>
        <w:rPr>
          <w:color w:val="231F20"/>
          <w:spacing w:val="-3"/>
        </w:rPr>
        <w:t xml:space="preserve"> </w:t>
      </w:r>
      <w:r>
        <w:rPr>
          <w:color w:val="231F20"/>
        </w:rPr>
        <w:t>objective is to provide independent assurance and assistance to the Chief Commissioner of Police regarding</w:t>
      </w:r>
      <w:r>
        <w:rPr>
          <w:color w:val="231F20"/>
          <w:spacing w:val="-11"/>
        </w:rPr>
        <w:t xml:space="preserve"> </w:t>
      </w:r>
      <w:r>
        <w:rPr>
          <w:color w:val="231F20"/>
        </w:rPr>
        <w:t>Victoria</w:t>
      </w:r>
      <w:r>
        <w:rPr>
          <w:color w:val="231F20"/>
          <w:spacing w:val="-11"/>
        </w:rPr>
        <w:t xml:space="preserve"> </w:t>
      </w:r>
      <w:r>
        <w:rPr>
          <w:color w:val="231F20"/>
        </w:rPr>
        <w:t>Police’s</w:t>
      </w:r>
      <w:r>
        <w:rPr>
          <w:color w:val="231F20"/>
          <w:spacing w:val="-11"/>
        </w:rPr>
        <w:t xml:space="preserve"> </w:t>
      </w:r>
      <w:r>
        <w:rPr>
          <w:color w:val="231F20"/>
        </w:rPr>
        <w:t>risk,</w:t>
      </w:r>
      <w:r>
        <w:rPr>
          <w:color w:val="231F20"/>
          <w:spacing w:val="-11"/>
        </w:rPr>
        <w:t xml:space="preserve"> </w:t>
      </w:r>
      <w:r>
        <w:rPr>
          <w:color w:val="231F20"/>
        </w:rPr>
        <w:t>control</w:t>
      </w:r>
      <w:r>
        <w:rPr>
          <w:color w:val="231F20"/>
          <w:spacing w:val="-11"/>
        </w:rPr>
        <w:t xml:space="preserve"> </w:t>
      </w:r>
      <w:r>
        <w:rPr>
          <w:color w:val="231F20"/>
        </w:rPr>
        <w:t>and</w:t>
      </w:r>
      <w:r>
        <w:rPr>
          <w:color w:val="231F20"/>
          <w:spacing w:val="-11"/>
        </w:rPr>
        <w:t xml:space="preserve"> </w:t>
      </w:r>
      <w:r>
        <w:rPr>
          <w:color w:val="231F20"/>
        </w:rPr>
        <w:t>compliance</w:t>
      </w:r>
      <w:r>
        <w:rPr>
          <w:color w:val="231F20"/>
          <w:spacing w:val="-11"/>
        </w:rPr>
        <w:t xml:space="preserve"> </w:t>
      </w:r>
      <w:r>
        <w:rPr>
          <w:color w:val="231F20"/>
        </w:rPr>
        <w:t>framework</w:t>
      </w:r>
      <w:r>
        <w:rPr>
          <w:color w:val="231F20"/>
          <w:spacing w:val="-11"/>
        </w:rPr>
        <w:t xml:space="preserve"> </w:t>
      </w:r>
      <w:r>
        <w:rPr>
          <w:color w:val="231F20"/>
        </w:rPr>
        <w:t>and</w:t>
      </w:r>
      <w:r>
        <w:rPr>
          <w:color w:val="231F20"/>
          <w:spacing w:val="-11"/>
        </w:rPr>
        <w:t xml:space="preserve"> </w:t>
      </w:r>
      <w:r>
        <w:rPr>
          <w:color w:val="231F20"/>
        </w:rPr>
        <w:t>its</w:t>
      </w:r>
      <w:r>
        <w:rPr>
          <w:color w:val="231F20"/>
          <w:spacing w:val="-11"/>
        </w:rPr>
        <w:t xml:space="preserve"> </w:t>
      </w:r>
      <w:r>
        <w:rPr>
          <w:color w:val="231F20"/>
        </w:rPr>
        <w:t>external</w:t>
      </w:r>
      <w:r>
        <w:rPr>
          <w:color w:val="231F20"/>
          <w:spacing w:val="-11"/>
        </w:rPr>
        <w:t xml:space="preserve"> </w:t>
      </w:r>
      <w:r>
        <w:rPr>
          <w:color w:val="231F20"/>
        </w:rPr>
        <w:t xml:space="preserve">accountability </w:t>
      </w:r>
      <w:r>
        <w:rPr>
          <w:color w:val="231F20"/>
          <w:spacing w:val="-2"/>
        </w:rPr>
        <w:t>responsibilities.</w:t>
      </w:r>
    </w:p>
    <w:p w14:paraId="14C5A7A7" w14:textId="77777777" w:rsidR="00345EE3" w:rsidRDefault="00345EE3" w:rsidP="00345EE3">
      <w:pPr>
        <w:pStyle w:val="BodyText"/>
        <w:spacing w:before="119" w:line="242" w:lineRule="auto"/>
        <w:ind w:right="921"/>
      </w:pPr>
      <w:r>
        <w:rPr>
          <w:color w:val="231F20"/>
        </w:rPr>
        <w:t>The Committee has no executive powers, except those expressly provided by the Standing Directions</w:t>
      </w:r>
      <w:r>
        <w:rPr>
          <w:color w:val="231F20"/>
          <w:spacing w:val="-7"/>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Minister</w:t>
      </w:r>
      <w:r>
        <w:rPr>
          <w:color w:val="231F20"/>
          <w:spacing w:val="-7"/>
        </w:rPr>
        <w:t xml:space="preserve"> </w:t>
      </w:r>
      <w:r>
        <w:rPr>
          <w:color w:val="231F20"/>
        </w:rPr>
        <w:t>for</w:t>
      </w:r>
      <w:r>
        <w:rPr>
          <w:color w:val="231F20"/>
          <w:spacing w:val="-7"/>
        </w:rPr>
        <w:t xml:space="preserve"> </w:t>
      </w:r>
      <w:r>
        <w:rPr>
          <w:color w:val="231F20"/>
        </w:rPr>
        <w:t>Finance,</w:t>
      </w:r>
      <w:r>
        <w:rPr>
          <w:color w:val="231F20"/>
          <w:spacing w:val="-7"/>
        </w:rPr>
        <w:t xml:space="preserve"> </w:t>
      </w:r>
      <w:r>
        <w:rPr>
          <w:color w:val="231F20"/>
        </w:rPr>
        <w:t>and</w:t>
      </w:r>
      <w:r>
        <w:rPr>
          <w:color w:val="231F20"/>
          <w:spacing w:val="-8"/>
        </w:rPr>
        <w:t xml:space="preserve"> </w:t>
      </w:r>
      <w:r>
        <w:rPr>
          <w:color w:val="231F20"/>
        </w:rPr>
        <w:t>powers</w:t>
      </w:r>
      <w:r>
        <w:rPr>
          <w:color w:val="231F20"/>
          <w:spacing w:val="-7"/>
        </w:rPr>
        <w:t xml:space="preserve"> </w:t>
      </w:r>
      <w:r>
        <w:rPr>
          <w:color w:val="231F20"/>
        </w:rPr>
        <w:t>that</w:t>
      </w:r>
      <w:r>
        <w:rPr>
          <w:color w:val="231F20"/>
          <w:spacing w:val="-7"/>
        </w:rPr>
        <w:t xml:space="preserve"> </w:t>
      </w:r>
      <w:r>
        <w:rPr>
          <w:color w:val="231F20"/>
        </w:rPr>
        <w:t>may</w:t>
      </w:r>
      <w:r>
        <w:rPr>
          <w:color w:val="231F20"/>
          <w:spacing w:val="-7"/>
        </w:rPr>
        <w:t xml:space="preserve"> </w:t>
      </w:r>
      <w:r>
        <w:rPr>
          <w:color w:val="231F20"/>
        </w:rPr>
        <w:t>be</w:t>
      </w:r>
      <w:r>
        <w:rPr>
          <w:color w:val="231F20"/>
          <w:spacing w:val="-8"/>
        </w:rPr>
        <w:t xml:space="preserve"> </w:t>
      </w:r>
      <w:r>
        <w:rPr>
          <w:color w:val="231F20"/>
        </w:rPr>
        <w:t>delegated</w:t>
      </w:r>
      <w:r>
        <w:rPr>
          <w:color w:val="231F20"/>
          <w:spacing w:val="-8"/>
        </w:rPr>
        <w:t xml:space="preserve"> </w:t>
      </w:r>
      <w:r>
        <w:rPr>
          <w:color w:val="231F20"/>
        </w:rPr>
        <w:t>to</w:t>
      </w:r>
      <w:r>
        <w:rPr>
          <w:color w:val="231F20"/>
          <w:spacing w:val="-8"/>
        </w:rPr>
        <w:t xml:space="preserve"> </w:t>
      </w:r>
      <w:r>
        <w:rPr>
          <w:color w:val="231F20"/>
        </w:rPr>
        <w:t>it</w:t>
      </w:r>
      <w:r>
        <w:rPr>
          <w:color w:val="231F20"/>
          <w:spacing w:val="-7"/>
        </w:rPr>
        <w:t xml:space="preserve"> </w:t>
      </w:r>
      <w:r>
        <w:rPr>
          <w:color w:val="231F20"/>
        </w:rPr>
        <w:t>from</w:t>
      </w:r>
      <w:r>
        <w:rPr>
          <w:color w:val="231F20"/>
          <w:spacing w:val="-7"/>
        </w:rPr>
        <w:t xml:space="preserve"> </w:t>
      </w:r>
      <w:r>
        <w:rPr>
          <w:color w:val="231F20"/>
        </w:rPr>
        <w:t>time</w:t>
      </w:r>
      <w:r>
        <w:rPr>
          <w:color w:val="231F20"/>
          <w:spacing w:val="-8"/>
        </w:rPr>
        <w:t xml:space="preserve"> </w:t>
      </w:r>
      <w:r>
        <w:rPr>
          <w:color w:val="231F20"/>
        </w:rPr>
        <w:t>to</w:t>
      </w:r>
      <w:r>
        <w:rPr>
          <w:color w:val="231F20"/>
          <w:spacing w:val="-8"/>
        </w:rPr>
        <w:t xml:space="preserve"> </w:t>
      </w:r>
      <w:r>
        <w:rPr>
          <w:color w:val="231F20"/>
        </w:rPr>
        <w:t>time by the Chief Commissioner of Police. All ARC members are external to, and independent of, Victoria Police. The current ARC members are:</w:t>
      </w:r>
    </w:p>
    <w:p w14:paraId="7DBD6225" w14:textId="77777777" w:rsidR="00345EE3" w:rsidRDefault="00345EE3">
      <w:pPr>
        <w:pStyle w:val="ListParagraph"/>
        <w:numPr>
          <w:ilvl w:val="1"/>
          <w:numId w:val="93"/>
        </w:numPr>
        <w:tabs>
          <w:tab w:val="left" w:pos="393"/>
          <w:tab w:val="left" w:pos="394"/>
        </w:tabs>
        <w:spacing w:before="33"/>
        <w:rPr>
          <w:sz w:val="24"/>
        </w:rPr>
      </w:pPr>
      <w:r>
        <w:rPr>
          <w:color w:val="231F20"/>
          <w:sz w:val="24"/>
        </w:rPr>
        <w:t>Ms</w:t>
      </w:r>
      <w:r>
        <w:rPr>
          <w:color w:val="231F20"/>
          <w:spacing w:val="-14"/>
          <w:sz w:val="24"/>
        </w:rPr>
        <w:t xml:space="preserve"> </w:t>
      </w:r>
      <w:r>
        <w:rPr>
          <w:color w:val="231F20"/>
          <w:sz w:val="24"/>
        </w:rPr>
        <w:t>Sandra</w:t>
      </w:r>
      <w:r>
        <w:rPr>
          <w:color w:val="231F20"/>
          <w:spacing w:val="-15"/>
          <w:sz w:val="24"/>
        </w:rPr>
        <w:t xml:space="preserve"> </w:t>
      </w:r>
      <w:r>
        <w:rPr>
          <w:color w:val="231F20"/>
          <w:sz w:val="24"/>
        </w:rPr>
        <w:t>(Sam)</w:t>
      </w:r>
      <w:r>
        <w:rPr>
          <w:color w:val="231F20"/>
          <w:spacing w:val="-13"/>
          <w:sz w:val="24"/>
        </w:rPr>
        <w:t xml:space="preserve"> </w:t>
      </w:r>
      <w:r>
        <w:rPr>
          <w:color w:val="231F20"/>
          <w:sz w:val="24"/>
        </w:rPr>
        <w:t>Andersen</w:t>
      </w:r>
      <w:r>
        <w:rPr>
          <w:color w:val="231F20"/>
          <w:spacing w:val="-15"/>
          <w:sz w:val="24"/>
        </w:rPr>
        <w:t xml:space="preserve"> </w:t>
      </w:r>
      <w:r>
        <w:rPr>
          <w:color w:val="231F20"/>
          <w:sz w:val="24"/>
        </w:rPr>
        <w:t>(Chair)</w:t>
      </w:r>
      <w:r>
        <w:rPr>
          <w:color w:val="231F20"/>
          <w:spacing w:val="-14"/>
          <w:sz w:val="24"/>
        </w:rPr>
        <w:t xml:space="preserve"> </w:t>
      </w:r>
      <w:r>
        <w:rPr>
          <w:color w:val="231F20"/>
          <w:sz w:val="24"/>
        </w:rPr>
        <w:t>LLB</w:t>
      </w:r>
      <w:r>
        <w:rPr>
          <w:color w:val="231F20"/>
          <w:spacing w:val="-13"/>
          <w:sz w:val="24"/>
        </w:rPr>
        <w:t xml:space="preserve"> </w:t>
      </w:r>
      <w:r>
        <w:rPr>
          <w:color w:val="231F20"/>
          <w:sz w:val="24"/>
        </w:rPr>
        <w:t>CPA</w:t>
      </w:r>
      <w:r>
        <w:rPr>
          <w:color w:val="231F20"/>
          <w:spacing w:val="-14"/>
          <w:sz w:val="24"/>
        </w:rPr>
        <w:t xml:space="preserve"> </w:t>
      </w:r>
      <w:r>
        <w:rPr>
          <w:color w:val="231F20"/>
          <w:sz w:val="24"/>
        </w:rPr>
        <w:t>FAICD</w:t>
      </w:r>
      <w:r>
        <w:rPr>
          <w:color w:val="231F20"/>
          <w:spacing w:val="-14"/>
          <w:sz w:val="24"/>
        </w:rPr>
        <w:t xml:space="preserve"> </w:t>
      </w:r>
      <w:r>
        <w:rPr>
          <w:color w:val="231F20"/>
          <w:spacing w:val="-4"/>
          <w:sz w:val="24"/>
        </w:rPr>
        <w:t>FFin</w:t>
      </w:r>
    </w:p>
    <w:p w14:paraId="656B2A4A" w14:textId="77777777" w:rsidR="00345EE3" w:rsidRDefault="00345EE3">
      <w:pPr>
        <w:pStyle w:val="ListParagraph"/>
        <w:numPr>
          <w:ilvl w:val="1"/>
          <w:numId w:val="93"/>
        </w:numPr>
        <w:tabs>
          <w:tab w:val="left" w:pos="393"/>
          <w:tab w:val="left" w:pos="394"/>
        </w:tabs>
        <w:spacing w:before="33"/>
        <w:rPr>
          <w:sz w:val="24"/>
        </w:rPr>
      </w:pPr>
      <w:r>
        <w:rPr>
          <w:color w:val="231F20"/>
          <w:sz w:val="24"/>
        </w:rPr>
        <w:t>Ms</w:t>
      </w:r>
      <w:r>
        <w:rPr>
          <w:color w:val="231F20"/>
          <w:spacing w:val="-7"/>
          <w:sz w:val="24"/>
        </w:rPr>
        <w:t xml:space="preserve"> </w:t>
      </w:r>
      <w:r>
        <w:rPr>
          <w:color w:val="231F20"/>
          <w:sz w:val="24"/>
        </w:rPr>
        <w:t>Leanne</w:t>
      </w:r>
      <w:r>
        <w:rPr>
          <w:color w:val="231F20"/>
          <w:spacing w:val="-7"/>
          <w:sz w:val="24"/>
        </w:rPr>
        <w:t xml:space="preserve"> </w:t>
      </w:r>
      <w:r>
        <w:rPr>
          <w:color w:val="231F20"/>
          <w:sz w:val="24"/>
        </w:rPr>
        <w:t>Close</w:t>
      </w:r>
      <w:r>
        <w:rPr>
          <w:color w:val="231F20"/>
          <w:spacing w:val="-7"/>
          <w:sz w:val="24"/>
        </w:rPr>
        <w:t xml:space="preserve"> </w:t>
      </w:r>
      <w:r>
        <w:rPr>
          <w:color w:val="231F20"/>
          <w:spacing w:val="-5"/>
          <w:sz w:val="24"/>
        </w:rPr>
        <w:t>APM</w:t>
      </w:r>
    </w:p>
    <w:p w14:paraId="5B4234AB" w14:textId="77777777" w:rsidR="00345EE3" w:rsidRDefault="00345EE3">
      <w:pPr>
        <w:pStyle w:val="ListParagraph"/>
        <w:numPr>
          <w:ilvl w:val="1"/>
          <w:numId w:val="93"/>
        </w:numPr>
        <w:tabs>
          <w:tab w:val="left" w:pos="393"/>
          <w:tab w:val="left" w:pos="394"/>
        </w:tabs>
        <w:rPr>
          <w:sz w:val="24"/>
        </w:rPr>
      </w:pPr>
      <w:r>
        <w:rPr>
          <w:color w:val="231F20"/>
          <w:sz w:val="24"/>
        </w:rPr>
        <w:t>Ms</w:t>
      </w:r>
      <w:r>
        <w:rPr>
          <w:color w:val="231F20"/>
          <w:spacing w:val="-9"/>
          <w:sz w:val="24"/>
        </w:rPr>
        <w:t xml:space="preserve"> </w:t>
      </w:r>
      <w:r>
        <w:rPr>
          <w:color w:val="231F20"/>
          <w:sz w:val="24"/>
        </w:rPr>
        <w:t>Janice</w:t>
      </w:r>
      <w:r>
        <w:rPr>
          <w:color w:val="231F20"/>
          <w:spacing w:val="-10"/>
          <w:sz w:val="24"/>
        </w:rPr>
        <w:t xml:space="preserve"> </w:t>
      </w:r>
      <w:r>
        <w:rPr>
          <w:color w:val="231F20"/>
          <w:sz w:val="24"/>
        </w:rPr>
        <w:t>van</w:t>
      </w:r>
      <w:r>
        <w:rPr>
          <w:color w:val="231F20"/>
          <w:spacing w:val="-9"/>
          <w:sz w:val="24"/>
        </w:rPr>
        <w:t xml:space="preserve"> </w:t>
      </w:r>
      <w:r>
        <w:rPr>
          <w:color w:val="231F20"/>
          <w:sz w:val="24"/>
        </w:rPr>
        <w:t>Reyk</w:t>
      </w:r>
      <w:r>
        <w:rPr>
          <w:color w:val="231F20"/>
          <w:spacing w:val="-9"/>
          <w:sz w:val="24"/>
        </w:rPr>
        <w:t xml:space="preserve"> </w:t>
      </w:r>
      <w:r>
        <w:rPr>
          <w:color w:val="231F20"/>
          <w:sz w:val="24"/>
        </w:rPr>
        <w:t>FAICD</w:t>
      </w:r>
      <w:r>
        <w:rPr>
          <w:color w:val="231F20"/>
          <w:spacing w:val="-9"/>
          <w:sz w:val="24"/>
        </w:rPr>
        <w:t xml:space="preserve"> </w:t>
      </w:r>
      <w:r>
        <w:rPr>
          <w:color w:val="231F20"/>
          <w:spacing w:val="-4"/>
          <w:sz w:val="24"/>
        </w:rPr>
        <w:t>FCPA</w:t>
      </w:r>
    </w:p>
    <w:p w14:paraId="15EB7185" w14:textId="77777777" w:rsidR="00345EE3" w:rsidRDefault="00345EE3">
      <w:pPr>
        <w:pStyle w:val="ListParagraph"/>
        <w:numPr>
          <w:ilvl w:val="1"/>
          <w:numId w:val="93"/>
        </w:numPr>
        <w:tabs>
          <w:tab w:val="left" w:pos="393"/>
          <w:tab w:val="left" w:pos="394"/>
        </w:tabs>
        <w:rPr>
          <w:sz w:val="24"/>
        </w:rPr>
      </w:pPr>
      <w:r>
        <w:rPr>
          <w:color w:val="231F20"/>
          <w:sz w:val="24"/>
        </w:rPr>
        <w:t>Mr</w:t>
      </w:r>
      <w:r>
        <w:rPr>
          <w:color w:val="231F20"/>
          <w:spacing w:val="-6"/>
          <w:sz w:val="24"/>
        </w:rPr>
        <w:t xml:space="preserve"> </w:t>
      </w:r>
      <w:r>
        <w:rPr>
          <w:color w:val="231F20"/>
          <w:sz w:val="24"/>
        </w:rPr>
        <w:t>Roger</w:t>
      </w:r>
      <w:r>
        <w:rPr>
          <w:color w:val="231F20"/>
          <w:spacing w:val="-3"/>
          <w:sz w:val="24"/>
        </w:rPr>
        <w:t xml:space="preserve"> </w:t>
      </w:r>
      <w:r>
        <w:rPr>
          <w:color w:val="231F20"/>
          <w:sz w:val="24"/>
        </w:rPr>
        <w:t>Chao</w:t>
      </w:r>
      <w:r>
        <w:rPr>
          <w:color w:val="231F20"/>
          <w:spacing w:val="-3"/>
          <w:sz w:val="24"/>
        </w:rPr>
        <w:t xml:space="preserve"> </w:t>
      </w:r>
      <w:r>
        <w:rPr>
          <w:color w:val="231F20"/>
          <w:sz w:val="24"/>
        </w:rPr>
        <w:t>MBA</w:t>
      </w:r>
      <w:r>
        <w:rPr>
          <w:color w:val="231F20"/>
          <w:spacing w:val="-4"/>
          <w:sz w:val="24"/>
        </w:rPr>
        <w:t xml:space="preserve"> </w:t>
      </w:r>
      <w:r>
        <w:rPr>
          <w:color w:val="231F20"/>
          <w:sz w:val="24"/>
        </w:rPr>
        <w:t>GAICD</w:t>
      </w:r>
      <w:r>
        <w:rPr>
          <w:color w:val="231F20"/>
          <w:spacing w:val="-3"/>
          <w:sz w:val="24"/>
        </w:rPr>
        <w:t xml:space="preserve"> </w:t>
      </w:r>
      <w:r>
        <w:rPr>
          <w:color w:val="231F20"/>
          <w:spacing w:val="-4"/>
          <w:sz w:val="24"/>
        </w:rPr>
        <w:t>FGIA</w:t>
      </w:r>
    </w:p>
    <w:p w14:paraId="046EB64A" w14:textId="77777777" w:rsidR="00345EE3" w:rsidRPr="008D34A6" w:rsidRDefault="00345EE3" w:rsidP="002A27BA">
      <w:pPr>
        <w:pStyle w:val="Heading3"/>
      </w:pPr>
      <w:r w:rsidRPr="008D34A6">
        <w:t>Internal</w:t>
      </w:r>
      <w:r w:rsidRPr="008D34A6">
        <w:rPr>
          <w:spacing w:val="-2"/>
        </w:rPr>
        <w:t xml:space="preserve"> </w:t>
      </w:r>
      <w:r w:rsidRPr="008D34A6">
        <w:rPr>
          <w:spacing w:val="-4"/>
        </w:rPr>
        <w:t>Audit</w:t>
      </w:r>
    </w:p>
    <w:p w14:paraId="2653E67D" w14:textId="77777777" w:rsidR="00345EE3" w:rsidRDefault="00345EE3" w:rsidP="00345EE3">
      <w:pPr>
        <w:pStyle w:val="BodyText"/>
        <w:spacing w:before="52" w:line="242" w:lineRule="auto"/>
        <w:ind w:right="921"/>
      </w:pPr>
      <w:r>
        <w:rPr>
          <w:color w:val="231F20"/>
        </w:rPr>
        <w:t>Internal audit is an integral part of Victoria Police’s governance framework, providing an independent</w:t>
      </w:r>
      <w:r>
        <w:rPr>
          <w:color w:val="231F20"/>
          <w:spacing w:val="-10"/>
        </w:rPr>
        <w:t xml:space="preserve"> </w:t>
      </w:r>
      <w:r>
        <w:rPr>
          <w:color w:val="231F20"/>
        </w:rPr>
        <w:t>and</w:t>
      </w:r>
      <w:r>
        <w:rPr>
          <w:color w:val="231F20"/>
          <w:spacing w:val="-11"/>
        </w:rPr>
        <w:t xml:space="preserve"> </w:t>
      </w:r>
      <w:r>
        <w:rPr>
          <w:color w:val="231F20"/>
        </w:rPr>
        <w:t>objective</w:t>
      </w:r>
      <w:r>
        <w:rPr>
          <w:color w:val="231F20"/>
          <w:spacing w:val="-11"/>
        </w:rPr>
        <w:t xml:space="preserve"> </w:t>
      </w:r>
      <w:r>
        <w:rPr>
          <w:color w:val="231F20"/>
        </w:rPr>
        <w:t>assessment</w:t>
      </w:r>
      <w:r>
        <w:rPr>
          <w:color w:val="231F20"/>
          <w:spacing w:val="-10"/>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efficacy</w:t>
      </w:r>
      <w:r>
        <w:rPr>
          <w:color w:val="231F20"/>
          <w:spacing w:val="-10"/>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organisation’s</w:t>
      </w:r>
      <w:r>
        <w:rPr>
          <w:color w:val="231F20"/>
          <w:spacing w:val="-10"/>
        </w:rPr>
        <w:t xml:space="preserve"> </w:t>
      </w:r>
      <w:r>
        <w:rPr>
          <w:color w:val="231F20"/>
        </w:rPr>
        <w:t>controls,</w:t>
      </w:r>
      <w:r>
        <w:rPr>
          <w:color w:val="231F20"/>
          <w:spacing w:val="-10"/>
        </w:rPr>
        <w:t xml:space="preserve"> </w:t>
      </w:r>
      <w:r>
        <w:rPr>
          <w:color w:val="231F20"/>
        </w:rPr>
        <w:t>and</w:t>
      </w:r>
      <w:r>
        <w:rPr>
          <w:color w:val="231F20"/>
          <w:spacing w:val="-11"/>
        </w:rPr>
        <w:t xml:space="preserve"> </w:t>
      </w:r>
      <w:r>
        <w:rPr>
          <w:color w:val="231F20"/>
        </w:rPr>
        <w:t>offering pathways to add value and improve operations.</w:t>
      </w:r>
    </w:p>
    <w:p w14:paraId="7BBE0653" w14:textId="77777777" w:rsidR="00345EE3" w:rsidRDefault="00345EE3" w:rsidP="00345EE3">
      <w:pPr>
        <w:pStyle w:val="BodyText"/>
        <w:spacing w:before="117" w:line="242" w:lineRule="auto"/>
        <w:ind w:right="921"/>
      </w:pPr>
      <w:r>
        <w:rPr>
          <w:color w:val="231F20"/>
        </w:rPr>
        <w:t>In 2021–22, Victoria Police’s internal audit function continues as a co-sourced arrangement under</w:t>
      </w:r>
      <w:r>
        <w:rPr>
          <w:color w:val="231F20"/>
          <w:spacing w:val="-2"/>
        </w:rPr>
        <w:t xml:space="preserve"> </w:t>
      </w:r>
      <w:r>
        <w:rPr>
          <w:color w:val="231F20"/>
        </w:rPr>
        <w:t>commercial</w:t>
      </w:r>
      <w:r>
        <w:rPr>
          <w:color w:val="231F20"/>
          <w:spacing w:val="-3"/>
        </w:rPr>
        <w:t xml:space="preserve"> </w:t>
      </w:r>
      <w:r>
        <w:rPr>
          <w:color w:val="231F20"/>
        </w:rPr>
        <w:t>contract</w:t>
      </w:r>
      <w:r>
        <w:rPr>
          <w:color w:val="231F20"/>
          <w:spacing w:val="-2"/>
        </w:rPr>
        <w:t xml:space="preserve"> </w:t>
      </w:r>
      <w:r>
        <w:rPr>
          <w:color w:val="231F20"/>
        </w:rPr>
        <w:t>with</w:t>
      </w:r>
      <w:r>
        <w:rPr>
          <w:color w:val="231F20"/>
          <w:spacing w:val="-3"/>
        </w:rPr>
        <w:t xml:space="preserve"> </w:t>
      </w:r>
      <w:r>
        <w:rPr>
          <w:color w:val="231F20"/>
        </w:rPr>
        <w:t>specialist</w:t>
      </w:r>
      <w:r>
        <w:rPr>
          <w:color w:val="231F20"/>
          <w:spacing w:val="-2"/>
        </w:rPr>
        <w:t xml:space="preserve"> </w:t>
      </w:r>
      <w:r>
        <w:rPr>
          <w:color w:val="231F20"/>
        </w:rPr>
        <w:t>auditing</w:t>
      </w:r>
      <w:r>
        <w:rPr>
          <w:color w:val="231F20"/>
          <w:spacing w:val="-3"/>
        </w:rPr>
        <w:t xml:space="preserve"> </w:t>
      </w:r>
      <w:r>
        <w:rPr>
          <w:color w:val="231F20"/>
        </w:rPr>
        <w:t>firm,</w:t>
      </w:r>
      <w:r>
        <w:rPr>
          <w:color w:val="231F20"/>
          <w:spacing w:val="-2"/>
        </w:rPr>
        <w:t xml:space="preserve"> </w:t>
      </w:r>
      <w:r>
        <w:rPr>
          <w:color w:val="231F20"/>
        </w:rPr>
        <w:t>KPMG.</w:t>
      </w:r>
      <w:r>
        <w:rPr>
          <w:color w:val="231F20"/>
          <w:spacing w:val="-2"/>
        </w:rPr>
        <w:t xml:space="preserve"> </w:t>
      </w:r>
      <w:r>
        <w:rPr>
          <w:color w:val="231F20"/>
        </w:rPr>
        <w:t>Victoria</w:t>
      </w:r>
      <w:r>
        <w:rPr>
          <w:color w:val="231F20"/>
          <w:spacing w:val="-3"/>
        </w:rPr>
        <w:t xml:space="preserve"> </w:t>
      </w:r>
      <w:r>
        <w:rPr>
          <w:color w:val="231F20"/>
        </w:rPr>
        <w:t>Police’s</w:t>
      </w:r>
      <w:r>
        <w:rPr>
          <w:color w:val="231F20"/>
          <w:spacing w:val="-2"/>
        </w:rPr>
        <w:t xml:space="preserve"> </w:t>
      </w:r>
      <w:r>
        <w:rPr>
          <w:color w:val="231F20"/>
        </w:rPr>
        <w:t>internal</w:t>
      </w:r>
      <w:r>
        <w:rPr>
          <w:color w:val="231F20"/>
          <w:spacing w:val="-3"/>
        </w:rPr>
        <w:t xml:space="preserve"> </w:t>
      </w:r>
      <w:r>
        <w:rPr>
          <w:color w:val="231F20"/>
        </w:rPr>
        <w:t>audit program</w:t>
      </w:r>
      <w:r>
        <w:rPr>
          <w:color w:val="231F20"/>
          <w:spacing w:val="-10"/>
        </w:rPr>
        <w:t xml:space="preserve"> </w:t>
      </w:r>
      <w:r>
        <w:rPr>
          <w:color w:val="231F20"/>
        </w:rPr>
        <w:t>includes</w:t>
      </w:r>
      <w:r>
        <w:rPr>
          <w:color w:val="231F20"/>
          <w:spacing w:val="-10"/>
        </w:rPr>
        <w:t xml:space="preserve"> </w:t>
      </w:r>
      <w:r>
        <w:rPr>
          <w:color w:val="231F20"/>
        </w:rPr>
        <w:t>compliance</w:t>
      </w:r>
      <w:r>
        <w:rPr>
          <w:color w:val="231F20"/>
          <w:spacing w:val="-10"/>
        </w:rPr>
        <w:t xml:space="preserve"> </w:t>
      </w:r>
      <w:r>
        <w:rPr>
          <w:color w:val="231F20"/>
        </w:rPr>
        <w:t>and</w:t>
      </w:r>
      <w:r>
        <w:rPr>
          <w:color w:val="231F20"/>
          <w:spacing w:val="-10"/>
        </w:rPr>
        <w:t xml:space="preserve"> </w:t>
      </w:r>
      <w:r>
        <w:rPr>
          <w:color w:val="231F20"/>
        </w:rPr>
        <w:t>performance</w:t>
      </w:r>
      <w:r>
        <w:rPr>
          <w:color w:val="231F20"/>
          <w:spacing w:val="-10"/>
        </w:rPr>
        <w:t xml:space="preserve"> </w:t>
      </w:r>
      <w:r>
        <w:rPr>
          <w:color w:val="231F20"/>
        </w:rPr>
        <w:t>reviews,</w:t>
      </w:r>
      <w:r>
        <w:rPr>
          <w:color w:val="231F20"/>
          <w:spacing w:val="-10"/>
        </w:rPr>
        <w:t xml:space="preserve"> </w:t>
      </w:r>
      <w:r>
        <w:rPr>
          <w:color w:val="231F20"/>
        </w:rPr>
        <w:t>with</w:t>
      </w:r>
      <w:r>
        <w:rPr>
          <w:color w:val="231F20"/>
          <w:spacing w:val="-10"/>
        </w:rPr>
        <w:t xml:space="preserve"> </w:t>
      </w:r>
      <w:r>
        <w:rPr>
          <w:color w:val="231F20"/>
        </w:rPr>
        <w:t>outcomes</w:t>
      </w:r>
      <w:r>
        <w:rPr>
          <w:color w:val="231F20"/>
          <w:spacing w:val="-10"/>
        </w:rPr>
        <w:t xml:space="preserve"> </w:t>
      </w:r>
      <w:r>
        <w:rPr>
          <w:color w:val="231F20"/>
        </w:rPr>
        <w:t>and</w:t>
      </w:r>
      <w:r>
        <w:rPr>
          <w:color w:val="231F20"/>
          <w:spacing w:val="-10"/>
        </w:rPr>
        <w:t xml:space="preserve"> </w:t>
      </w:r>
      <w:r>
        <w:rPr>
          <w:color w:val="231F20"/>
        </w:rPr>
        <w:t>mitigation</w:t>
      </w:r>
      <w:r>
        <w:rPr>
          <w:color w:val="231F20"/>
          <w:spacing w:val="-10"/>
        </w:rPr>
        <w:t xml:space="preserve"> </w:t>
      </w:r>
      <w:r>
        <w:rPr>
          <w:color w:val="231F20"/>
        </w:rPr>
        <w:t>actions reported to Executive Command and the ARC.</w:t>
      </w:r>
    </w:p>
    <w:p w14:paraId="440591D7" w14:textId="77777777" w:rsidR="00345EE3" w:rsidRPr="008D34A6" w:rsidRDefault="00345EE3" w:rsidP="002A27BA">
      <w:pPr>
        <w:pStyle w:val="Heading3"/>
      </w:pPr>
      <w:r w:rsidRPr="008D34A6">
        <w:t>Continuous</w:t>
      </w:r>
      <w:r w:rsidRPr="008D34A6">
        <w:rPr>
          <w:spacing w:val="-9"/>
        </w:rPr>
        <w:t xml:space="preserve"> </w:t>
      </w:r>
      <w:r w:rsidRPr="008D34A6">
        <w:rPr>
          <w:spacing w:val="-2"/>
        </w:rPr>
        <w:t>Auditing</w:t>
      </w:r>
    </w:p>
    <w:p w14:paraId="24B8D054" w14:textId="77777777" w:rsidR="00345EE3" w:rsidRDefault="00345EE3" w:rsidP="00345EE3">
      <w:pPr>
        <w:pStyle w:val="BodyText"/>
        <w:spacing w:before="53" w:line="242" w:lineRule="auto"/>
        <w:ind w:right="848"/>
      </w:pPr>
      <w:r>
        <w:rPr>
          <w:color w:val="231F20"/>
        </w:rPr>
        <w:t>In 2021–22, Continuous Auditing Programs (CAPs) provided ongoing assurance and timely insight</w:t>
      </w:r>
      <w:r>
        <w:rPr>
          <w:color w:val="231F20"/>
          <w:spacing w:val="-7"/>
        </w:rPr>
        <w:t xml:space="preserve"> </w:t>
      </w:r>
      <w:r>
        <w:rPr>
          <w:color w:val="231F20"/>
        </w:rPr>
        <w:t>into</w:t>
      </w:r>
      <w:r>
        <w:rPr>
          <w:color w:val="231F20"/>
          <w:spacing w:val="-8"/>
        </w:rPr>
        <w:t xml:space="preserve"> </w:t>
      </w:r>
      <w:r>
        <w:rPr>
          <w:color w:val="231F20"/>
        </w:rPr>
        <w:t>risk</w:t>
      </w:r>
      <w:r>
        <w:rPr>
          <w:color w:val="231F20"/>
          <w:spacing w:val="-7"/>
        </w:rPr>
        <w:t xml:space="preserve"> </w:t>
      </w:r>
      <w:r>
        <w:rPr>
          <w:color w:val="231F20"/>
        </w:rPr>
        <w:t>and</w:t>
      </w:r>
      <w:r>
        <w:rPr>
          <w:color w:val="231F20"/>
          <w:spacing w:val="-8"/>
        </w:rPr>
        <w:t xml:space="preserve"> </w:t>
      </w:r>
      <w:r>
        <w:rPr>
          <w:color w:val="231F20"/>
        </w:rPr>
        <w:t>control</w:t>
      </w:r>
      <w:r>
        <w:rPr>
          <w:color w:val="231F20"/>
          <w:spacing w:val="-8"/>
        </w:rPr>
        <w:t xml:space="preserve"> </w:t>
      </w:r>
      <w:r>
        <w:rPr>
          <w:color w:val="231F20"/>
        </w:rPr>
        <w:t>issues</w:t>
      </w:r>
      <w:r>
        <w:rPr>
          <w:color w:val="231F20"/>
          <w:spacing w:val="-7"/>
        </w:rPr>
        <w:t xml:space="preserve"> </w:t>
      </w:r>
      <w:r>
        <w:rPr>
          <w:color w:val="231F20"/>
        </w:rPr>
        <w:t>to</w:t>
      </w:r>
      <w:r>
        <w:rPr>
          <w:color w:val="231F20"/>
          <w:spacing w:val="-8"/>
        </w:rPr>
        <w:t xml:space="preserve"> </w:t>
      </w:r>
      <w:r>
        <w:rPr>
          <w:color w:val="231F20"/>
        </w:rPr>
        <w:t>senior</w:t>
      </w:r>
      <w:r>
        <w:rPr>
          <w:color w:val="231F20"/>
          <w:spacing w:val="-7"/>
        </w:rPr>
        <w:t xml:space="preserve"> </w:t>
      </w:r>
      <w:r>
        <w:rPr>
          <w:color w:val="231F20"/>
        </w:rPr>
        <w:t>management.</w:t>
      </w:r>
      <w:r>
        <w:rPr>
          <w:color w:val="231F20"/>
          <w:spacing w:val="-7"/>
        </w:rPr>
        <w:t xml:space="preserve"> </w:t>
      </w:r>
      <w:r>
        <w:rPr>
          <w:color w:val="231F20"/>
        </w:rPr>
        <w:t>The</w:t>
      </w:r>
      <w:r>
        <w:rPr>
          <w:color w:val="231F20"/>
          <w:spacing w:val="-8"/>
        </w:rPr>
        <w:t xml:space="preserve"> </w:t>
      </w:r>
      <w:r>
        <w:rPr>
          <w:color w:val="231F20"/>
        </w:rPr>
        <w:t>results</w:t>
      </w:r>
      <w:r>
        <w:rPr>
          <w:color w:val="231F20"/>
          <w:spacing w:val="-7"/>
        </w:rPr>
        <w:t xml:space="preserve"> </w:t>
      </w:r>
      <w:r>
        <w:rPr>
          <w:color w:val="231F20"/>
        </w:rPr>
        <w:t>of</w:t>
      </w:r>
      <w:r>
        <w:rPr>
          <w:color w:val="231F20"/>
          <w:spacing w:val="-7"/>
        </w:rPr>
        <w:t xml:space="preserve"> </w:t>
      </w:r>
      <w:r>
        <w:rPr>
          <w:color w:val="231F20"/>
        </w:rPr>
        <w:t>all</w:t>
      </w:r>
      <w:r>
        <w:rPr>
          <w:color w:val="231F20"/>
          <w:spacing w:val="-8"/>
        </w:rPr>
        <w:t xml:space="preserve"> </w:t>
      </w:r>
      <w:r>
        <w:rPr>
          <w:color w:val="231F20"/>
        </w:rPr>
        <w:t>CAPs</w:t>
      </w:r>
      <w:r>
        <w:rPr>
          <w:color w:val="231F20"/>
          <w:spacing w:val="-7"/>
        </w:rPr>
        <w:t xml:space="preserve"> </w:t>
      </w:r>
      <w:r>
        <w:rPr>
          <w:color w:val="231F20"/>
        </w:rPr>
        <w:t>are</w:t>
      </w:r>
      <w:r>
        <w:rPr>
          <w:color w:val="231F20"/>
          <w:spacing w:val="-8"/>
        </w:rPr>
        <w:t xml:space="preserve"> </w:t>
      </w:r>
      <w:r>
        <w:rPr>
          <w:color w:val="231F20"/>
        </w:rPr>
        <w:t>reported</w:t>
      </w:r>
      <w:r>
        <w:rPr>
          <w:color w:val="231F20"/>
          <w:spacing w:val="-8"/>
        </w:rPr>
        <w:t xml:space="preserve"> </w:t>
      </w:r>
      <w:r>
        <w:rPr>
          <w:color w:val="231F20"/>
        </w:rPr>
        <w:t>to the</w:t>
      </w:r>
      <w:r>
        <w:rPr>
          <w:color w:val="231F20"/>
          <w:spacing w:val="-7"/>
        </w:rPr>
        <w:t xml:space="preserve"> </w:t>
      </w:r>
      <w:r>
        <w:rPr>
          <w:color w:val="231F20"/>
        </w:rPr>
        <w:t>ARC</w:t>
      </w:r>
      <w:r>
        <w:rPr>
          <w:color w:val="231F20"/>
          <w:spacing w:val="40"/>
        </w:rPr>
        <w:t xml:space="preserve"> </w:t>
      </w:r>
      <w:r>
        <w:rPr>
          <w:color w:val="231F20"/>
        </w:rPr>
        <w:t>on</w:t>
      </w:r>
      <w:r>
        <w:rPr>
          <w:color w:val="231F20"/>
          <w:spacing w:val="-7"/>
        </w:rPr>
        <w:t xml:space="preserve"> </w:t>
      </w:r>
      <w:r>
        <w:rPr>
          <w:color w:val="231F20"/>
        </w:rPr>
        <w:t>a</w:t>
      </w:r>
      <w:r>
        <w:rPr>
          <w:color w:val="231F20"/>
          <w:spacing w:val="-7"/>
        </w:rPr>
        <w:t xml:space="preserve"> </w:t>
      </w:r>
      <w:r>
        <w:rPr>
          <w:color w:val="231F20"/>
        </w:rPr>
        <w:t>quarterly</w:t>
      </w:r>
      <w:r>
        <w:rPr>
          <w:color w:val="231F20"/>
          <w:spacing w:val="-6"/>
        </w:rPr>
        <w:t xml:space="preserve"> </w:t>
      </w:r>
      <w:r>
        <w:rPr>
          <w:color w:val="231F20"/>
        </w:rPr>
        <w:t>basis.</w:t>
      </w:r>
      <w:r>
        <w:rPr>
          <w:color w:val="231F20"/>
          <w:spacing w:val="-6"/>
        </w:rPr>
        <w:t xml:space="preserve"> </w:t>
      </w:r>
      <w:r>
        <w:rPr>
          <w:color w:val="231F20"/>
        </w:rPr>
        <w:t>Continuous</w:t>
      </w:r>
      <w:r>
        <w:rPr>
          <w:color w:val="231F20"/>
          <w:spacing w:val="-6"/>
        </w:rPr>
        <w:t xml:space="preserve"> </w:t>
      </w:r>
      <w:r>
        <w:rPr>
          <w:color w:val="231F20"/>
        </w:rPr>
        <w:t>auditing</w:t>
      </w:r>
      <w:r>
        <w:rPr>
          <w:color w:val="231F20"/>
          <w:spacing w:val="-7"/>
        </w:rPr>
        <w:t xml:space="preserve"> </w:t>
      </w:r>
      <w:r>
        <w:rPr>
          <w:color w:val="231F20"/>
        </w:rPr>
        <w:t>activities</w:t>
      </w:r>
      <w:r>
        <w:rPr>
          <w:color w:val="231F20"/>
          <w:spacing w:val="-6"/>
        </w:rPr>
        <w:t xml:space="preserve"> </w:t>
      </w:r>
      <w:r>
        <w:rPr>
          <w:color w:val="231F20"/>
        </w:rPr>
        <w:t>aim</w:t>
      </w:r>
      <w:r>
        <w:rPr>
          <w:color w:val="231F20"/>
          <w:spacing w:val="-6"/>
        </w:rPr>
        <w:t xml:space="preserve"> </w:t>
      </w:r>
      <w:r>
        <w:rPr>
          <w:color w:val="231F20"/>
        </w:rPr>
        <w:t>to</w:t>
      </w:r>
      <w:r>
        <w:rPr>
          <w:color w:val="231F20"/>
          <w:spacing w:val="-7"/>
        </w:rPr>
        <w:t xml:space="preserve"> </w:t>
      </w:r>
      <w:r>
        <w:rPr>
          <w:color w:val="231F20"/>
        </w:rPr>
        <w:t>identify</w:t>
      </w:r>
      <w:r>
        <w:rPr>
          <w:color w:val="231F20"/>
          <w:spacing w:val="-6"/>
        </w:rPr>
        <w:t xml:space="preserve"> </w:t>
      </w:r>
      <w:r>
        <w:rPr>
          <w:color w:val="231F20"/>
        </w:rPr>
        <w:t>control</w:t>
      </w:r>
      <w:r>
        <w:rPr>
          <w:color w:val="231F20"/>
          <w:spacing w:val="-7"/>
        </w:rPr>
        <w:t xml:space="preserve"> </w:t>
      </w:r>
      <w:r>
        <w:rPr>
          <w:color w:val="231F20"/>
        </w:rPr>
        <w:t>issues</w:t>
      </w:r>
      <w:r>
        <w:rPr>
          <w:color w:val="231F20"/>
          <w:spacing w:val="-6"/>
        </w:rPr>
        <w:t xml:space="preserve"> </w:t>
      </w:r>
      <w:r>
        <w:rPr>
          <w:color w:val="231F20"/>
        </w:rPr>
        <w:t>across key business processes and systems using data analytics.</w:t>
      </w:r>
    </w:p>
    <w:p w14:paraId="611CFD95" w14:textId="77777777" w:rsidR="00345EE3" w:rsidRDefault="00345EE3" w:rsidP="00345EE3">
      <w:pPr>
        <w:pStyle w:val="Heading2"/>
        <w:spacing w:before="216"/>
        <w:rPr>
          <w:color w:val="00529F"/>
        </w:rPr>
        <w:sectPr w:rsidR="00345EE3">
          <w:pgSz w:w="11910" w:h="16840"/>
          <w:pgMar w:top="820" w:right="0" w:bottom="280" w:left="740" w:header="720" w:footer="720" w:gutter="0"/>
          <w:cols w:space="720"/>
        </w:sectPr>
      </w:pPr>
    </w:p>
    <w:p w14:paraId="30391984" w14:textId="77777777" w:rsidR="00345EE3" w:rsidRPr="008D34A6" w:rsidRDefault="00345EE3" w:rsidP="00345EE3">
      <w:pPr>
        <w:pStyle w:val="Heading2"/>
        <w:spacing w:before="216"/>
        <w:rPr>
          <w:sz w:val="32"/>
          <w:szCs w:val="32"/>
        </w:rPr>
      </w:pPr>
      <w:r w:rsidRPr="008D34A6">
        <w:rPr>
          <w:color w:val="00529F"/>
          <w:sz w:val="32"/>
          <w:szCs w:val="32"/>
        </w:rPr>
        <w:lastRenderedPageBreak/>
        <w:t>Other</w:t>
      </w:r>
      <w:r w:rsidRPr="008D34A6">
        <w:rPr>
          <w:color w:val="00529F"/>
          <w:spacing w:val="-14"/>
          <w:sz w:val="32"/>
          <w:szCs w:val="32"/>
        </w:rPr>
        <w:t xml:space="preserve"> </w:t>
      </w:r>
      <w:r w:rsidRPr="008D34A6">
        <w:rPr>
          <w:color w:val="00529F"/>
          <w:sz w:val="32"/>
          <w:szCs w:val="32"/>
        </w:rPr>
        <w:t>Organisation</w:t>
      </w:r>
      <w:r w:rsidRPr="008D34A6">
        <w:rPr>
          <w:color w:val="00529F"/>
          <w:spacing w:val="-14"/>
          <w:sz w:val="32"/>
          <w:szCs w:val="32"/>
        </w:rPr>
        <w:t xml:space="preserve"> </w:t>
      </w:r>
      <w:r w:rsidRPr="008D34A6">
        <w:rPr>
          <w:color w:val="00529F"/>
          <w:spacing w:val="-2"/>
          <w:sz w:val="32"/>
          <w:szCs w:val="32"/>
        </w:rPr>
        <w:t>Reviews</w:t>
      </w:r>
    </w:p>
    <w:p w14:paraId="1994B55F" w14:textId="77777777" w:rsidR="00345EE3" w:rsidRDefault="00345EE3" w:rsidP="00345EE3">
      <w:pPr>
        <w:pStyle w:val="BodyText"/>
        <w:spacing w:before="73" w:line="242" w:lineRule="auto"/>
        <w:ind w:right="1157"/>
        <w:jc w:val="both"/>
      </w:pPr>
      <w:r>
        <w:rPr>
          <w:color w:val="231F20"/>
        </w:rPr>
        <w:t>Victoria</w:t>
      </w:r>
      <w:r>
        <w:rPr>
          <w:color w:val="231F20"/>
          <w:spacing w:val="-12"/>
        </w:rPr>
        <w:t xml:space="preserve"> </w:t>
      </w:r>
      <w:r>
        <w:rPr>
          <w:color w:val="231F20"/>
        </w:rPr>
        <w:t>Police</w:t>
      </w:r>
      <w:r>
        <w:rPr>
          <w:color w:val="231F20"/>
          <w:spacing w:val="-12"/>
        </w:rPr>
        <w:t xml:space="preserve"> </w:t>
      </w:r>
      <w:r>
        <w:rPr>
          <w:color w:val="231F20"/>
        </w:rPr>
        <w:t>may</w:t>
      </w:r>
      <w:r>
        <w:rPr>
          <w:color w:val="231F20"/>
          <w:spacing w:val="-12"/>
        </w:rPr>
        <w:t xml:space="preserve"> </w:t>
      </w:r>
      <w:r>
        <w:rPr>
          <w:color w:val="231F20"/>
        </w:rPr>
        <w:t>receive</w:t>
      </w:r>
      <w:r>
        <w:rPr>
          <w:color w:val="231F20"/>
          <w:spacing w:val="-12"/>
        </w:rPr>
        <w:t xml:space="preserve"> </w:t>
      </w:r>
      <w:r>
        <w:rPr>
          <w:color w:val="231F20"/>
        </w:rPr>
        <w:t>recommendations</w:t>
      </w:r>
      <w:r>
        <w:rPr>
          <w:color w:val="231F20"/>
          <w:spacing w:val="-12"/>
        </w:rPr>
        <w:t xml:space="preserve"> </w:t>
      </w:r>
      <w:r>
        <w:rPr>
          <w:color w:val="231F20"/>
        </w:rPr>
        <w:t>to</w:t>
      </w:r>
      <w:r>
        <w:rPr>
          <w:color w:val="231F20"/>
          <w:spacing w:val="-12"/>
        </w:rPr>
        <w:t xml:space="preserve"> </w:t>
      </w:r>
      <w:r>
        <w:rPr>
          <w:color w:val="231F20"/>
        </w:rPr>
        <w:t>enhance</w:t>
      </w:r>
      <w:r>
        <w:rPr>
          <w:color w:val="231F20"/>
          <w:spacing w:val="-12"/>
        </w:rPr>
        <w:t xml:space="preserve"> </w:t>
      </w:r>
      <w:r>
        <w:rPr>
          <w:color w:val="231F20"/>
        </w:rPr>
        <w:t>business</w:t>
      </w:r>
      <w:r>
        <w:rPr>
          <w:color w:val="231F20"/>
          <w:spacing w:val="-12"/>
        </w:rPr>
        <w:t xml:space="preserve"> </w:t>
      </w:r>
      <w:r>
        <w:rPr>
          <w:color w:val="231F20"/>
        </w:rPr>
        <w:t>practices</w:t>
      </w:r>
      <w:r>
        <w:rPr>
          <w:color w:val="231F20"/>
          <w:spacing w:val="-12"/>
        </w:rPr>
        <w:t xml:space="preserve"> </w:t>
      </w:r>
      <w:r>
        <w:rPr>
          <w:color w:val="231F20"/>
        </w:rPr>
        <w:t>through</w:t>
      </w:r>
      <w:r>
        <w:rPr>
          <w:color w:val="231F20"/>
          <w:spacing w:val="-12"/>
        </w:rPr>
        <w:t xml:space="preserve"> </w:t>
      </w:r>
      <w:r>
        <w:rPr>
          <w:color w:val="231F20"/>
        </w:rPr>
        <w:t>reviews, audits</w:t>
      </w:r>
      <w:r>
        <w:rPr>
          <w:color w:val="231F20"/>
          <w:spacing w:val="-9"/>
        </w:rPr>
        <w:t xml:space="preserve"> </w:t>
      </w:r>
      <w:r>
        <w:rPr>
          <w:color w:val="231F20"/>
        </w:rPr>
        <w:t>and</w:t>
      </w:r>
      <w:r>
        <w:rPr>
          <w:color w:val="231F20"/>
          <w:spacing w:val="-10"/>
        </w:rPr>
        <w:t xml:space="preserve"> </w:t>
      </w:r>
      <w:r>
        <w:rPr>
          <w:color w:val="231F20"/>
        </w:rPr>
        <w:t>inquiries,</w:t>
      </w:r>
      <w:r>
        <w:rPr>
          <w:color w:val="231F20"/>
          <w:spacing w:val="-9"/>
        </w:rPr>
        <w:t xml:space="preserve"> </w:t>
      </w:r>
      <w:r>
        <w:rPr>
          <w:color w:val="231F20"/>
        </w:rPr>
        <w:t>conducted</w:t>
      </w:r>
      <w:r>
        <w:rPr>
          <w:color w:val="231F20"/>
          <w:spacing w:val="-10"/>
        </w:rPr>
        <w:t xml:space="preserve"> </w:t>
      </w:r>
      <w:r>
        <w:rPr>
          <w:color w:val="231F20"/>
        </w:rPr>
        <w:t>internally</w:t>
      </w:r>
      <w:r>
        <w:rPr>
          <w:color w:val="231F20"/>
          <w:spacing w:val="-9"/>
        </w:rPr>
        <w:t xml:space="preserve"> </w:t>
      </w:r>
      <w:r>
        <w:rPr>
          <w:color w:val="231F20"/>
        </w:rPr>
        <w:t>or</w:t>
      </w:r>
      <w:r>
        <w:rPr>
          <w:color w:val="231F20"/>
          <w:spacing w:val="-9"/>
        </w:rPr>
        <w:t xml:space="preserve"> </w:t>
      </w:r>
      <w:r>
        <w:rPr>
          <w:color w:val="231F20"/>
        </w:rPr>
        <w:t>by</w:t>
      </w:r>
      <w:r>
        <w:rPr>
          <w:color w:val="231F20"/>
          <w:spacing w:val="-9"/>
        </w:rPr>
        <w:t xml:space="preserve"> </w:t>
      </w:r>
      <w:r>
        <w:rPr>
          <w:color w:val="231F20"/>
        </w:rPr>
        <w:t>external</w:t>
      </w:r>
      <w:r>
        <w:rPr>
          <w:color w:val="231F20"/>
          <w:spacing w:val="-10"/>
        </w:rPr>
        <w:t xml:space="preserve"> </w:t>
      </w:r>
      <w:r>
        <w:rPr>
          <w:color w:val="231F20"/>
        </w:rPr>
        <w:t>agencies</w:t>
      </w:r>
      <w:r>
        <w:rPr>
          <w:color w:val="231F20"/>
          <w:spacing w:val="-9"/>
        </w:rPr>
        <w:t xml:space="preserve"> </w:t>
      </w:r>
      <w:r>
        <w:rPr>
          <w:color w:val="231F20"/>
        </w:rPr>
        <w:t>and</w:t>
      </w:r>
      <w:r>
        <w:rPr>
          <w:color w:val="231F20"/>
          <w:spacing w:val="-10"/>
        </w:rPr>
        <w:t xml:space="preserve"> </w:t>
      </w:r>
      <w:r>
        <w:rPr>
          <w:color w:val="231F20"/>
        </w:rPr>
        <w:t>oversight</w:t>
      </w:r>
      <w:r>
        <w:rPr>
          <w:color w:val="231F20"/>
          <w:spacing w:val="-9"/>
        </w:rPr>
        <w:t xml:space="preserve"> </w:t>
      </w:r>
      <w:r>
        <w:rPr>
          <w:color w:val="231F20"/>
        </w:rPr>
        <w:t>bodies.</w:t>
      </w:r>
      <w:r>
        <w:rPr>
          <w:color w:val="231F20"/>
          <w:spacing w:val="-9"/>
        </w:rPr>
        <w:t xml:space="preserve"> </w:t>
      </w:r>
      <w:r>
        <w:rPr>
          <w:color w:val="231F20"/>
        </w:rPr>
        <w:t xml:space="preserve">These reviews generally result in mitigation strategies aimed at addressing the risks identified in the </w:t>
      </w:r>
      <w:r>
        <w:rPr>
          <w:color w:val="231F20"/>
          <w:spacing w:val="-2"/>
        </w:rPr>
        <w:t>findings.</w:t>
      </w:r>
    </w:p>
    <w:p w14:paraId="78FEBDDF" w14:textId="77777777" w:rsidR="00345EE3" w:rsidRDefault="00345EE3" w:rsidP="00345EE3">
      <w:pPr>
        <w:pStyle w:val="BodyText"/>
        <w:spacing w:before="117"/>
      </w:pPr>
      <w:r>
        <w:rPr>
          <w:color w:val="231F20"/>
        </w:rPr>
        <w:t>External</w:t>
      </w:r>
      <w:r>
        <w:rPr>
          <w:color w:val="231F20"/>
          <w:spacing w:val="-10"/>
        </w:rPr>
        <w:t xml:space="preserve"> </w:t>
      </w:r>
      <w:r>
        <w:rPr>
          <w:color w:val="231F20"/>
        </w:rPr>
        <w:t>reviews</w:t>
      </w:r>
      <w:r>
        <w:rPr>
          <w:color w:val="231F20"/>
          <w:spacing w:val="-6"/>
        </w:rPr>
        <w:t xml:space="preserve"> </w:t>
      </w:r>
      <w:r>
        <w:rPr>
          <w:color w:val="231F20"/>
        </w:rPr>
        <w:t>of</w:t>
      </w:r>
      <w:r>
        <w:rPr>
          <w:color w:val="231F20"/>
          <w:spacing w:val="-7"/>
        </w:rPr>
        <w:t xml:space="preserve"> </w:t>
      </w:r>
      <w:r>
        <w:rPr>
          <w:color w:val="231F20"/>
        </w:rPr>
        <w:t>Victoria</w:t>
      </w:r>
      <w:r>
        <w:rPr>
          <w:color w:val="231F20"/>
          <w:spacing w:val="-7"/>
        </w:rPr>
        <w:t xml:space="preserve"> </w:t>
      </w:r>
      <w:r>
        <w:rPr>
          <w:color w:val="231F20"/>
        </w:rPr>
        <w:t>Police</w:t>
      </w:r>
      <w:r>
        <w:rPr>
          <w:color w:val="231F20"/>
          <w:spacing w:val="-8"/>
        </w:rPr>
        <w:t xml:space="preserve"> </w:t>
      </w:r>
      <w:r>
        <w:rPr>
          <w:color w:val="231F20"/>
        </w:rPr>
        <w:t>are</w:t>
      </w:r>
      <w:r>
        <w:rPr>
          <w:color w:val="231F20"/>
          <w:spacing w:val="-7"/>
        </w:rPr>
        <w:t xml:space="preserve"> </w:t>
      </w:r>
      <w:r>
        <w:rPr>
          <w:color w:val="231F20"/>
        </w:rPr>
        <w:t>undertaken</w:t>
      </w:r>
      <w:r>
        <w:rPr>
          <w:color w:val="231F20"/>
          <w:spacing w:val="-7"/>
        </w:rPr>
        <w:t xml:space="preserve"> </w:t>
      </w:r>
      <w:r>
        <w:rPr>
          <w:color w:val="231F20"/>
        </w:rPr>
        <w:t>by</w:t>
      </w:r>
      <w:r>
        <w:rPr>
          <w:color w:val="231F20"/>
          <w:spacing w:val="-7"/>
        </w:rPr>
        <w:t xml:space="preserve"> </w:t>
      </w:r>
      <w:r>
        <w:rPr>
          <w:color w:val="231F20"/>
        </w:rPr>
        <w:t>a</w:t>
      </w:r>
      <w:r>
        <w:rPr>
          <w:color w:val="231F20"/>
          <w:spacing w:val="-7"/>
        </w:rPr>
        <w:t xml:space="preserve"> </w:t>
      </w:r>
      <w:r>
        <w:rPr>
          <w:color w:val="231F20"/>
        </w:rPr>
        <w:t>range</w:t>
      </w:r>
      <w:r>
        <w:rPr>
          <w:color w:val="231F20"/>
          <w:spacing w:val="-8"/>
        </w:rPr>
        <w:t xml:space="preserve"> </w:t>
      </w:r>
      <w:r>
        <w:rPr>
          <w:color w:val="231F20"/>
        </w:rPr>
        <w:t>of</w:t>
      </w:r>
      <w:r>
        <w:rPr>
          <w:color w:val="231F20"/>
          <w:spacing w:val="-6"/>
        </w:rPr>
        <w:t xml:space="preserve"> </w:t>
      </w:r>
      <w:r>
        <w:rPr>
          <w:color w:val="231F20"/>
        </w:rPr>
        <w:t>bodies</w:t>
      </w:r>
      <w:r>
        <w:rPr>
          <w:color w:val="231F20"/>
          <w:spacing w:val="-6"/>
        </w:rPr>
        <w:t xml:space="preserve"> </w:t>
      </w:r>
      <w:r>
        <w:rPr>
          <w:color w:val="231F20"/>
          <w:spacing w:val="-2"/>
        </w:rPr>
        <w:t>including:</w:t>
      </w:r>
    </w:p>
    <w:p w14:paraId="5FC71556" w14:textId="77777777" w:rsidR="00345EE3" w:rsidRDefault="00345EE3">
      <w:pPr>
        <w:pStyle w:val="ListParagraph"/>
        <w:numPr>
          <w:ilvl w:val="1"/>
          <w:numId w:val="93"/>
        </w:numPr>
        <w:tabs>
          <w:tab w:val="left" w:pos="393"/>
          <w:tab w:val="left" w:pos="394"/>
        </w:tabs>
        <w:spacing w:before="33"/>
        <w:rPr>
          <w:sz w:val="24"/>
        </w:rPr>
      </w:pPr>
      <w:r>
        <w:rPr>
          <w:color w:val="231F20"/>
          <w:sz w:val="24"/>
        </w:rPr>
        <w:t>Victorian</w:t>
      </w:r>
      <w:r>
        <w:rPr>
          <w:color w:val="231F20"/>
          <w:spacing w:val="-13"/>
          <w:sz w:val="24"/>
        </w:rPr>
        <w:t xml:space="preserve"> </w:t>
      </w:r>
      <w:r>
        <w:rPr>
          <w:color w:val="231F20"/>
          <w:sz w:val="24"/>
        </w:rPr>
        <w:t>Auditor-General’s</w:t>
      </w:r>
      <w:r>
        <w:rPr>
          <w:color w:val="231F20"/>
          <w:spacing w:val="-13"/>
          <w:sz w:val="24"/>
        </w:rPr>
        <w:t xml:space="preserve"> </w:t>
      </w:r>
      <w:r>
        <w:rPr>
          <w:color w:val="231F20"/>
          <w:sz w:val="24"/>
        </w:rPr>
        <w:t>Office</w:t>
      </w:r>
      <w:r>
        <w:rPr>
          <w:color w:val="231F20"/>
          <w:spacing w:val="-12"/>
          <w:sz w:val="24"/>
        </w:rPr>
        <w:t xml:space="preserve"> </w:t>
      </w:r>
      <w:r>
        <w:rPr>
          <w:color w:val="231F20"/>
          <w:spacing w:val="-2"/>
          <w:sz w:val="24"/>
        </w:rPr>
        <w:t>(VAGO)</w:t>
      </w:r>
    </w:p>
    <w:p w14:paraId="738A71DC" w14:textId="77777777" w:rsidR="00345EE3" w:rsidRDefault="00345EE3">
      <w:pPr>
        <w:pStyle w:val="ListParagraph"/>
        <w:numPr>
          <w:ilvl w:val="1"/>
          <w:numId w:val="93"/>
        </w:numPr>
        <w:tabs>
          <w:tab w:val="left" w:pos="393"/>
          <w:tab w:val="left" w:pos="394"/>
        </w:tabs>
        <w:rPr>
          <w:sz w:val="24"/>
        </w:rPr>
      </w:pPr>
      <w:r>
        <w:rPr>
          <w:color w:val="231F20"/>
          <w:sz w:val="24"/>
        </w:rPr>
        <w:t>Victorian</w:t>
      </w:r>
      <w:r>
        <w:rPr>
          <w:color w:val="231F20"/>
          <w:spacing w:val="-10"/>
          <w:sz w:val="24"/>
        </w:rPr>
        <w:t xml:space="preserve"> </w:t>
      </w:r>
      <w:r>
        <w:rPr>
          <w:color w:val="231F20"/>
          <w:spacing w:val="-2"/>
          <w:sz w:val="24"/>
        </w:rPr>
        <w:t>Ombudsman</w:t>
      </w:r>
    </w:p>
    <w:p w14:paraId="213EFB29" w14:textId="77777777" w:rsidR="00345EE3" w:rsidRDefault="00345EE3">
      <w:pPr>
        <w:pStyle w:val="ListParagraph"/>
        <w:numPr>
          <w:ilvl w:val="1"/>
          <w:numId w:val="93"/>
        </w:numPr>
        <w:tabs>
          <w:tab w:val="left" w:pos="393"/>
          <w:tab w:val="left" w:pos="394"/>
        </w:tabs>
        <w:rPr>
          <w:sz w:val="24"/>
        </w:rPr>
      </w:pPr>
      <w:r>
        <w:rPr>
          <w:color w:val="231F20"/>
          <w:sz w:val="24"/>
        </w:rPr>
        <w:t>Independent</w:t>
      </w:r>
      <w:r>
        <w:rPr>
          <w:color w:val="231F20"/>
          <w:spacing w:val="-12"/>
          <w:sz w:val="24"/>
        </w:rPr>
        <w:t xml:space="preserve"> </w:t>
      </w:r>
      <w:r>
        <w:rPr>
          <w:color w:val="231F20"/>
          <w:sz w:val="24"/>
        </w:rPr>
        <w:t>Broad-based</w:t>
      </w:r>
      <w:r>
        <w:rPr>
          <w:color w:val="231F20"/>
          <w:spacing w:val="-10"/>
          <w:sz w:val="24"/>
        </w:rPr>
        <w:t xml:space="preserve"> </w:t>
      </w:r>
      <w:r>
        <w:rPr>
          <w:color w:val="231F20"/>
          <w:sz w:val="24"/>
        </w:rPr>
        <w:t>Anti-corruption</w:t>
      </w:r>
      <w:r>
        <w:rPr>
          <w:color w:val="231F20"/>
          <w:spacing w:val="-10"/>
          <w:sz w:val="24"/>
        </w:rPr>
        <w:t xml:space="preserve"> </w:t>
      </w:r>
      <w:r>
        <w:rPr>
          <w:color w:val="231F20"/>
          <w:sz w:val="24"/>
        </w:rPr>
        <w:t>Commission</w:t>
      </w:r>
      <w:r>
        <w:rPr>
          <w:color w:val="231F20"/>
          <w:spacing w:val="-9"/>
          <w:sz w:val="24"/>
        </w:rPr>
        <w:t xml:space="preserve"> </w:t>
      </w:r>
      <w:r>
        <w:rPr>
          <w:color w:val="231F20"/>
          <w:spacing w:val="-2"/>
          <w:sz w:val="24"/>
        </w:rPr>
        <w:t>(IBAC)</w:t>
      </w:r>
    </w:p>
    <w:p w14:paraId="08361FA7" w14:textId="77777777" w:rsidR="00345EE3" w:rsidRDefault="00345EE3">
      <w:pPr>
        <w:pStyle w:val="ListParagraph"/>
        <w:numPr>
          <w:ilvl w:val="1"/>
          <w:numId w:val="93"/>
        </w:numPr>
        <w:tabs>
          <w:tab w:val="left" w:pos="393"/>
          <w:tab w:val="left" w:pos="394"/>
        </w:tabs>
        <w:spacing w:before="33"/>
        <w:rPr>
          <w:sz w:val="24"/>
        </w:rPr>
      </w:pPr>
      <w:r>
        <w:rPr>
          <w:color w:val="231F20"/>
          <w:sz w:val="24"/>
        </w:rPr>
        <w:t>Office</w:t>
      </w:r>
      <w:r>
        <w:rPr>
          <w:color w:val="231F20"/>
          <w:spacing w:val="-5"/>
          <w:sz w:val="24"/>
        </w:rPr>
        <w:t xml:space="preserve"> </w:t>
      </w:r>
      <w:r>
        <w:rPr>
          <w:color w:val="231F20"/>
          <w:sz w:val="24"/>
        </w:rPr>
        <w:t>of</w:t>
      </w:r>
      <w:r>
        <w:rPr>
          <w:color w:val="231F20"/>
          <w:spacing w:val="-3"/>
          <w:sz w:val="24"/>
        </w:rPr>
        <w:t xml:space="preserve"> </w:t>
      </w:r>
      <w:r>
        <w:rPr>
          <w:color w:val="231F20"/>
          <w:sz w:val="24"/>
        </w:rPr>
        <w:t>the</w:t>
      </w:r>
      <w:r>
        <w:rPr>
          <w:color w:val="231F20"/>
          <w:spacing w:val="-5"/>
          <w:sz w:val="24"/>
        </w:rPr>
        <w:t xml:space="preserve"> </w:t>
      </w:r>
      <w:r>
        <w:rPr>
          <w:color w:val="231F20"/>
          <w:sz w:val="24"/>
        </w:rPr>
        <w:t>Victorian</w:t>
      </w:r>
      <w:r>
        <w:rPr>
          <w:color w:val="231F20"/>
          <w:spacing w:val="-4"/>
          <w:sz w:val="24"/>
        </w:rPr>
        <w:t xml:space="preserve"> </w:t>
      </w:r>
      <w:r>
        <w:rPr>
          <w:color w:val="231F20"/>
          <w:sz w:val="24"/>
        </w:rPr>
        <w:t>Information</w:t>
      </w:r>
      <w:r>
        <w:rPr>
          <w:color w:val="231F20"/>
          <w:spacing w:val="-4"/>
          <w:sz w:val="24"/>
        </w:rPr>
        <w:t xml:space="preserve"> </w:t>
      </w:r>
      <w:r>
        <w:rPr>
          <w:color w:val="231F20"/>
          <w:spacing w:val="-2"/>
          <w:sz w:val="24"/>
        </w:rPr>
        <w:t>Commissioner</w:t>
      </w:r>
    </w:p>
    <w:p w14:paraId="1F68EF49" w14:textId="77777777" w:rsidR="00345EE3" w:rsidRDefault="00345EE3">
      <w:pPr>
        <w:pStyle w:val="ListParagraph"/>
        <w:numPr>
          <w:ilvl w:val="1"/>
          <w:numId w:val="93"/>
        </w:numPr>
        <w:tabs>
          <w:tab w:val="left" w:pos="393"/>
          <w:tab w:val="left" w:pos="394"/>
        </w:tabs>
        <w:rPr>
          <w:sz w:val="24"/>
        </w:rPr>
      </w:pPr>
      <w:r>
        <w:rPr>
          <w:color w:val="231F20"/>
          <w:sz w:val="24"/>
        </w:rPr>
        <w:t>Victorian</w:t>
      </w:r>
      <w:r>
        <w:rPr>
          <w:color w:val="231F20"/>
          <w:spacing w:val="-11"/>
          <w:sz w:val="24"/>
        </w:rPr>
        <w:t xml:space="preserve"> </w:t>
      </w:r>
      <w:r>
        <w:rPr>
          <w:color w:val="231F20"/>
          <w:sz w:val="24"/>
        </w:rPr>
        <w:t>Equal</w:t>
      </w:r>
      <w:r>
        <w:rPr>
          <w:color w:val="231F20"/>
          <w:spacing w:val="-8"/>
          <w:sz w:val="24"/>
        </w:rPr>
        <w:t xml:space="preserve"> </w:t>
      </w:r>
      <w:r>
        <w:rPr>
          <w:color w:val="231F20"/>
          <w:sz w:val="24"/>
        </w:rPr>
        <w:t>Opportunity</w:t>
      </w:r>
      <w:r>
        <w:rPr>
          <w:color w:val="231F20"/>
          <w:spacing w:val="-7"/>
          <w:sz w:val="24"/>
        </w:rPr>
        <w:t xml:space="preserve"> </w:t>
      </w:r>
      <w:r>
        <w:rPr>
          <w:color w:val="231F20"/>
          <w:sz w:val="24"/>
        </w:rPr>
        <w:t>and</w:t>
      </w:r>
      <w:r>
        <w:rPr>
          <w:color w:val="231F20"/>
          <w:spacing w:val="-8"/>
          <w:sz w:val="24"/>
        </w:rPr>
        <w:t xml:space="preserve"> </w:t>
      </w:r>
      <w:r>
        <w:rPr>
          <w:color w:val="231F20"/>
          <w:sz w:val="24"/>
        </w:rPr>
        <w:t>Human</w:t>
      </w:r>
      <w:r>
        <w:rPr>
          <w:color w:val="231F20"/>
          <w:spacing w:val="-8"/>
          <w:sz w:val="24"/>
        </w:rPr>
        <w:t xml:space="preserve"> </w:t>
      </w:r>
      <w:r>
        <w:rPr>
          <w:color w:val="231F20"/>
          <w:sz w:val="24"/>
        </w:rPr>
        <w:t>Rights</w:t>
      </w:r>
      <w:r>
        <w:rPr>
          <w:color w:val="231F20"/>
          <w:spacing w:val="-7"/>
          <w:sz w:val="24"/>
        </w:rPr>
        <w:t xml:space="preserve"> </w:t>
      </w:r>
      <w:r>
        <w:rPr>
          <w:color w:val="231F20"/>
          <w:spacing w:val="-2"/>
          <w:sz w:val="24"/>
        </w:rPr>
        <w:t>Commission</w:t>
      </w:r>
    </w:p>
    <w:p w14:paraId="17B07E0B" w14:textId="77777777" w:rsidR="00345EE3" w:rsidRDefault="00345EE3">
      <w:pPr>
        <w:pStyle w:val="ListParagraph"/>
        <w:numPr>
          <w:ilvl w:val="1"/>
          <w:numId w:val="93"/>
        </w:numPr>
        <w:tabs>
          <w:tab w:val="left" w:pos="393"/>
          <w:tab w:val="left" w:pos="394"/>
        </w:tabs>
        <w:spacing w:before="33"/>
        <w:rPr>
          <w:sz w:val="24"/>
        </w:rPr>
      </w:pPr>
      <w:r>
        <w:rPr>
          <w:color w:val="231F20"/>
          <w:sz w:val="24"/>
        </w:rPr>
        <w:t>Coroners</w:t>
      </w:r>
      <w:r>
        <w:rPr>
          <w:color w:val="231F20"/>
          <w:spacing w:val="-2"/>
          <w:sz w:val="24"/>
        </w:rPr>
        <w:t xml:space="preserve"> </w:t>
      </w:r>
      <w:r>
        <w:rPr>
          <w:color w:val="231F20"/>
          <w:sz w:val="24"/>
        </w:rPr>
        <w:t>Court</w:t>
      </w:r>
      <w:r>
        <w:rPr>
          <w:color w:val="231F20"/>
          <w:spacing w:val="-2"/>
          <w:sz w:val="24"/>
        </w:rPr>
        <w:t xml:space="preserve"> </w:t>
      </w:r>
      <w:r>
        <w:rPr>
          <w:color w:val="231F20"/>
          <w:sz w:val="24"/>
        </w:rPr>
        <w:t>of</w:t>
      </w:r>
      <w:r>
        <w:rPr>
          <w:color w:val="231F20"/>
          <w:spacing w:val="-1"/>
          <w:sz w:val="24"/>
        </w:rPr>
        <w:t xml:space="preserve"> </w:t>
      </w:r>
      <w:r>
        <w:rPr>
          <w:color w:val="231F20"/>
          <w:spacing w:val="-2"/>
          <w:sz w:val="24"/>
        </w:rPr>
        <w:t>Victoria.</w:t>
      </w:r>
    </w:p>
    <w:p w14:paraId="68E01A26" w14:textId="77777777" w:rsidR="00345EE3" w:rsidRDefault="00345EE3" w:rsidP="00345EE3">
      <w:pPr>
        <w:pStyle w:val="BodyText"/>
        <w:spacing w:before="117" w:line="242" w:lineRule="auto"/>
        <w:ind w:right="921"/>
      </w:pPr>
      <w:r>
        <w:rPr>
          <w:color w:val="231F20"/>
        </w:rPr>
        <w:t>Victoria</w:t>
      </w:r>
      <w:r>
        <w:rPr>
          <w:color w:val="231F20"/>
          <w:spacing w:val="-10"/>
        </w:rPr>
        <w:t xml:space="preserve"> </w:t>
      </w:r>
      <w:r>
        <w:rPr>
          <w:color w:val="231F20"/>
        </w:rPr>
        <w:t>Police</w:t>
      </w:r>
      <w:r>
        <w:rPr>
          <w:color w:val="231F20"/>
          <w:spacing w:val="-10"/>
        </w:rPr>
        <w:t xml:space="preserve"> </w:t>
      </w:r>
      <w:r>
        <w:rPr>
          <w:color w:val="231F20"/>
        </w:rPr>
        <w:t>may</w:t>
      </w:r>
      <w:r>
        <w:rPr>
          <w:color w:val="231F20"/>
          <w:spacing w:val="-10"/>
        </w:rPr>
        <w:t xml:space="preserve"> </w:t>
      </w:r>
      <w:r>
        <w:rPr>
          <w:color w:val="231F20"/>
        </w:rPr>
        <w:t>also</w:t>
      </w:r>
      <w:r>
        <w:rPr>
          <w:color w:val="231F20"/>
          <w:spacing w:val="-10"/>
        </w:rPr>
        <w:t xml:space="preserve"> </w:t>
      </w:r>
      <w:r>
        <w:rPr>
          <w:color w:val="231F20"/>
        </w:rPr>
        <w:t>assist</w:t>
      </w:r>
      <w:r>
        <w:rPr>
          <w:color w:val="231F20"/>
          <w:spacing w:val="-10"/>
        </w:rPr>
        <w:t xml:space="preserve"> </w:t>
      </w:r>
      <w:r>
        <w:rPr>
          <w:color w:val="231F20"/>
        </w:rPr>
        <w:t>in</w:t>
      </w:r>
      <w:r>
        <w:rPr>
          <w:color w:val="231F20"/>
          <w:spacing w:val="-10"/>
        </w:rPr>
        <w:t xml:space="preserve"> </w:t>
      </w:r>
      <w:r>
        <w:rPr>
          <w:color w:val="231F20"/>
        </w:rPr>
        <w:t>other</w:t>
      </w:r>
      <w:r>
        <w:rPr>
          <w:color w:val="231F20"/>
          <w:spacing w:val="-10"/>
        </w:rPr>
        <w:t xml:space="preserve"> </w:t>
      </w:r>
      <w:r>
        <w:rPr>
          <w:color w:val="231F20"/>
        </w:rPr>
        <w:t>public</w:t>
      </w:r>
      <w:r>
        <w:rPr>
          <w:color w:val="231F20"/>
          <w:spacing w:val="-10"/>
        </w:rPr>
        <w:t xml:space="preserve"> </w:t>
      </w:r>
      <w:r>
        <w:rPr>
          <w:color w:val="231F20"/>
        </w:rPr>
        <w:t>inquiries</w:t>
      </w:r>
      <w:r>
        <w:rPr>
          <w:color w:val="231F20"/>
          <w:spacing w:val="-10"/>
        </w:rPr>
        <w:t xml:space="preserve"> </w:t>
      </w:r>
      <w:r>
        <w:rPr>
          <w:color w:val="231F20"/>
        </w:rPr>
        <w:t>including</w:t>
      </w:r>
      <w:r>
        <w:rPr>
          <w:color w:val="231F20"/>
          <w:spacing w:val="-10"/>
        </w:rPr>
        <w:t xml:space="preserve"> </w:t>
      </w:r>
      <w:r>
        <w:rPr>
          <w:color w:val="231F20"/>
        </w:rPr>
        <w:t>but</w:t>
      </w:r>
      <w:r>
        <w:rPr>
          <w:color w:val="231F20"/>
          <w:spacing w:val="-10"/>
        </w:rPr>
        <w:t xml:space="preserve"> </w:t>
      </w:r>
      <w:r>
        <w:rPr>
          <w:color w:val="231F20"/>
        </w:rPr>
        <w:t>not</w:t>
      </w:r>
      <w:r>
        <w:rPr>
          <w:color w:val="231F20"/>
          <w:spacing w:val="-10"/>
        </w:rPr>
        <w:t xml:space="preserve"> </w:t>
      </w:r>
      <w:r>
        <w:rPr>
          <w:color w:val="231F20"/>
        </w:rPr>
        <w:t>limited</w:t>
      </w:r>
      <w:r>
        <w:rPr>
          <w:color w:val="231F20"/>
          <w:spacing w:val="-10"/>
        </w:rPr>
        <w:t xml:space="preserve"> </w:t>
      </w:r>
      <w:r>
        <w:rPr>
          <w:color w:val="231F20"/>
        </w:rPr>
        <w:t>to</w:t>
      </w:r>
      <w:r>
        <w:rPr>
          <w:color w:val="231F20"/>
          <w:spacing w:val="-10"/>
        </w:rPr>
        <w:t xml:space="preserve"> </w:t>
      </w:r>
      <w:r>
        <w:rPr>
          <w:color w:val="231F20"/>
        </w:rPr>
        <w:t>Royal Commissions and Parliamentary Inquiries.</w:t>
      </w:r>
    </w:p>
    <w:p w14:paraId="78581FCF" w14:textId="77777777" w:rsidR="00345EE3" w:rsidRPr="008D34A6" w:rsidRDefault="00345EE3" w:rsidP="00345EE3">
      <w:pPr>
        <w:pStyle w:val="Heading2"/>
        <w:spacing w:before="214"/>
        <w:rPr>
          <w:sz w:val="32"/>
          <w:szCs w:val="32"/>
        </w:rPr>
      </w:pPr>
      <w:r w:rsidRPr="008D34A6">
        <w:rPr>
          <w:color w:val="00529F"/>
          <w:sz w:val="32"/>
          <w:szCs w:val="32"/>
        </w:rPr>
        <w:t>Risk</w:t>
      </w:r>
      <w:r w:rsidRPr="008D34A6">
        <w:rPr>
          <w:color w:val="00529F"/>
          <w:spacing w:val="-5"/>
          <w:sz w:val="32"/>
          <w:szCs w:val="32"/>
        </w:rPr>
        <w:t xml:space="preserve"> </w:t>
      </w:r>
      <w:r w:rsidRPr="008D34A6">
        <w:rPr>
          <w:color w:val="00529F"/>
          <w:spacing w:val="-2"/>
          <w:sz w:val="32"/>
          <w:szCs w:val="32"/>
        </w:rPr>
        <w:t>Management</w:t>
      </w:r>
    </w:p>
    <w:p w14:paraId="67C939A3" w14:textId="77777777" w:rsidR="00345EE3" w:rsidRDefault="00345EE3" w:rsidP="00345EE3">
      <w:pPr>
        <w:pStyle w:val="BodyText"/>
        <w:spacing w:before="72" w:line="242" w:lineRule="auto"/>
        <w:ind w:right="1141"/>
      </w:pPr>
      <w:r>
        <w:rPr>
          <w:color w:val="231F20"/>
        </w:rPr>
        <w:t>As a Victorian Public Sector organisation, Victoria Police is required to ensure consideration of</w:t>
      </w:r>
      <w:r>
        <w:rPr>
          <w:color w:val="231F20"/>
          <w:spacing w:val="-10"/>
        </w:rPr>
        <w:t xml:space="preserve"> </w:t>
      </w:r>
      <w:r>
        <w:rPr>
          <w:color w:val="231F20"/>
        </w:rPr>
        <w:t>material</w:t>
      </w:r>
      <w:r>
        <w:rPr>
          <w:color w:val="231F20"/>
          <w:spacing w:val="-11"/>
        </w:rPr>
        <w:t xml:space="preserve"> </w:t>
      </w:r>
      <w:r>
        <w:rPr>
          <w:color w:val="231F20"/>
        </w:rPr>
        <w:t>risks</w:t>
      </w:r>
      <w:r>
        <w:rPr>
          <w:color w:val="231F20"/>
          <w:spacing w:val="-10"/>
        </w:rPr>
        <w:t xml:space="preserve"> </w:t>
      </w:r>
      <w:r>
        <w:rPr>
          <w:color w:val="231F20"/>
        </w:rPr>
        <w:t>in</w:t>
      </w:r>
      <w:r>
        <w:rPr>
          <w:color w:val="231F20"/>
          <w:spacing w:val="-11"/>
        </w:rPr>
        <w:t xml:space="preserve"> </w:t>
      </w:r>
      <w:r>
        <w:rPr>
          <w:color w:val="231F20"/>
        </w:rPr>
        <w:t>its</w:t>
      </w:r>
      <w:r>
        <w:rPr>
          <w:color w:val="231F20"/>
          <w:spacing w:val="-10"/>
        </w:rPr>
        <w:t xml:space="preserve"> </w:t>
      </w:r>
      <w:r>
        <w:rPr>
          <w:color w:val="231F20"/>
        </w:rPr>
        <w:t>decisions,</w:t>
      </w:r>
      <w:r>
        <w:rPr>
          <w:color w:val="231F20"/>
          <w:spacing w:val="-10"/>
        </w:rPr>
        <w:t xml:space="preserve"> </w:t>
      </w:r>
      <w:r>
        <w:rPr>
          <w:color w:val="231F20"/>
        </w:rPr>
        <w:t>and</w:t>
      </w:r>
      <w:r>
        <w:rPr>
          <w:color w:val="231F20"/>
          <w:spacing w:val="-11"/>
        </w:rPr>
        <w:t xml:space="preserve"> </w:t>
      </w:r>
      <w:r>
        <w:rPr>
          <w:color w:val="231F20"/>
        </w:rPr>
        <w:t>appropriately</w:t>
      </w:r>
      <w:r>
        <w:rPr>
          <w:color w:val="231F20"/>
          <w:spacing w:val="-10"/>
        </w:rPr>
        <w:t xml:space="preserve"> </w:t>
      </w:r>
      <w:r>
        <w:rPr>
          <w:color w:val="231F20"/>
        </w:rPr>
        <w:t>manage</w:t>
      </w:r>
      <w:r>
        <w:rPr>
          <w:color w:val="231F20"/>
          <w:spacing w:val="-11"/>
        </w:rPr>
        <w:t xml:space="preserve"> </w:t>
      </w:r>
      <w:r>
        <w:rPr>
          <w:color w:val="231F20"/>
        </w:rPr>
        <w:t>risk</w:t>
      </w:r>
      <w:r>
        <w:rPr>
          <w:color w:val="231F20"/>
          <w:spacing w:val="-10"/>
        </w:rPr>
        <w:t xml:space="preserve"> </w:t>
      </w:r>
      <w:r>
        <w:rPr>
          <w:color w:val="231F20"/>
        </w:rPr>
        <w:t>in</w:t>
      </w:r>
      <w:r>
        <w:rPr>
          <w:color w:val="231F20"/>
          <w:spacing w:val="-11"/>
        </w:rPr>
        <w:t xml:space="preserve"> </w:t>
      </w:r>
      <w:r>
        <w:rPr>
          <w:color w:val="231F20"/>
        </w:rPr>
        <w:t>view</w:t>
      </w:r>
      <w:r>
        <w:rPr>
          <w:color w:val="231F20"/>
          <w:spacing w:val="-11"/>
        </w:rPr>
        <w:t xml:space="preserve"> </w:t>
      </w:r>
      <w:r>
        <w:rPr>
          <w:color w:val="231F20"/>
        </w:rPr>
        <w:t>of</w:t>
      </w:r>
      <w:r>
        <w:rPr>
          <w:color w:val="231F20"/>
          <w:spacing w:val="-10"/>
        </w:rPr>
        <w:t xml:space="preserve"> </w:t>
      </w:r>
      <w:r>
        <w:rPr>
          <w:color w:val="231F20"/>
        </w:rPr>
        <w:t>relevant</w:t>
      </w:r>
      <w:r>
        <w:rPr>
          <w:color w:val="231F20"/>
          <w:spacing w:val="-10"/>
        </w:rPr>
        <w:t xml:space="preserve"> </w:t>
      </w:r>
      <w:r>
        <w:rPr>
          <w:color w:val="231F20"/>
        </w:rPr>
        <w:t>obligations,</w:t>
      </w:r>
    </w:p>
    <w:p w14:paraId="2DB522B8" w14:textId="77777777" w:rsidR="00345EE3" w:rsidRDefault="00345EE3" w:rsidP="00345EE3">
      <w:pPr>
        <w:pStyle w:val="BodyText"/>
        <w:spacing w:before="3" w:line="242" w:lineRule="auto"/>
        <w:ind w:right="921"/>
      </w:pPr>
      <w:r>
        <w:rPr>
          <w:color w:val="231F20"/>
        </w:rPr>
        <w:t>constraints</w:t>
      </w:r>
      <w:r>
        <w:rPr>
          <w:color w:val="231F20"/>
          <w:spacing w:val="-12"/>
        </w:rPr>
        <w:t xml:space="preserve"> </w:t>
      </w:r>
      <w:r>
        <w:rPr>
          <w:color w:val="231F20"/>
        </w:rPr>
        <w:t>and</w:t>
      </w:r>
      <w:r>
        <w:rPr>
          <w:color w:val="231F20"/>
          <w:spacing w:val="-13"/>
        </w:rPr>
        <w:t xml:space="preserve"> </w:t>
      </w:r>
      <w:r>
        <w:rPr>
          <w:color w:val="231F20"/>
        </w:rPr>
        <w:t>objectives.</w:t>
      </w:r>
      <w:r>
        <w:rPr>
          <w:color w:val="231F20"/>
          <w:spacing w:val="-12"/>
        </w:rPr>
        <w:t xml:space="preserve"> </w:t>
      </w:r>
      <w:r>
        <w:rPr>
          <w:color w:val="231F20"/>
        </w:rPr>
        <w:t>Effective</w:t>
      </w:r>
      <w:r>
        <w:rPr>
          <w:color w:val="231F20"/>
          <w:spacing w:val="-13"/>
        </w:rPr>
        <w:t xml:space="preserve"> </w:t>
      </w:r>
      <w:r>
        <w:rPr>
          <w:color w:val="231F20"/>
        </w:rPr>
        <w:t>risk</w:t>
      </w:r>
      <w:r>
        <w:rPr>
          <w:color w:val="231F20"/>
          <w:spacing w:val="-12"/>
        </w:rPr>
        <w:t xml:space="preserve"> </w:t>
      </w:r>
      <w:r>
        <w:rPr>
          <w:color w:val="231F20"/>
        </w:rPr>
        <w:t>management</w:t>
      </w:r>
      <w:r>
        <w:rPr>
          <w:color w:val="231F20"/>
          <w:spacing w:val="-12"/>
        </w:rPr>
        <w:t xml:space="preserve"> </w:t>
      </w:r>
      <w:r>
        <w:rPr>
          <w:color w:val="231F20"/>
        </w:rPr>
        <w:t>enhances</w:t>
      </w:r>
      <w:r>
        <w:rPr>
          <w:color w:val="231F20"/>
          <w:spacing w:val="-12"/>
        </w:rPr>
        <w:t xml:space="preserve"> </w:t>
      </w:r>
      <w:r>
        <w:rPr>
          <w:color w:val="231F20"/>
        </w:rPr>
        <w:t>decision</w:t>
      </w:r>
      <w:r>
        <w:rPr>
          <w:color w:val="231F20"/>
          <w:spacing w:val="-13"/>
        </w:rPr>
        <w:t xml:space="preserve"> </w:t>
      </w:r>
      <w:r>
        <w:rPr>
          <w:color w:val="231F20"/>
        </w:rPr>
        <w:t>making</w:t>
      </w:r>
      <w:r>
        <w:rPr>
          <w:color w:val="231F20"/>
          <w:spacing w:val="-13"/>
        </w:rPr>
        <w:t xml:space="preserve"> </w:t>
      </w:r>
      <w:r>
        <w:rPr>
          <w:color w:val="231F20"/>
        </w:rPr>
        <w:t>and</w:t>
      </w:r>
      <w:r>
        <w:rPr>
          <w:color w:val="231F20"/>
          <w:spacing w:val="-13"/>
        </w:rPr>
        <w:t xml:space="preserve"> </w:t>
      </w:r>
      <w:r>
        <w:rPr>
          <w:color w:val="231F20"/>
        </w:rPr>
        <w:t>increases service delivery and community safety outcomes.</w:t>
      </w:r>
    </w:p>
    <w:p w14:paraId="1901B407" w14:textId="77777777" w:rsidR="00345EE3" w:rsidRDefault="00345EE3" w:rsidP="00345EE3">
      <w:pPr>
        <w:spacing w:before="116" w:line="242" w:lineRule="auto"/>
        <w:ind w:left="110" w:right="848"/>
        <w:rPr>
          <w:sz w:val="24"/>
        </w:rPr>
      </w:pPr>
      <w:r>
        <w:rPr>
          <w:color w:val="231F20"/>
          <w:sz w:val="24"/>
        </w:rPr>
        <w:t>These</w:t>
      </w:r>
      <w:r>
        <w:rPr>
          <w:color w:val="231F20"/>
          <w:spacing w:val="-4"/>
          <w:sz w:val="24"/>
        </w:rPr>
        <w:t xml:space="preserve"> </w:t>
      </w:r>
      <w:r>
        <w:rPr>
          <w:color w:val="231F20"/>
          <w:sz w:val="24"/>
        </w:rPr>
        <w:t>obligations</w:t>
      </w:r>
      <w:r>
        <w:rPr>
          <w:color w:val="231F20"/>
          <w:spacing w:val="-4"/>
          <w:sz w:val="24"/>
        </w:rPr>
        <w:t xml:space="preserve"> </w:t>
      </w:r>
      <w:r>
        <w:rPr>
          <w:color w:val="231F20"/>
          <w:sz w:val="24"/>
        </w:rPr>
        <w:t>are</w:t>
      </w:r>
      <w:r>
        <w:rPr>
          <w:color w:val="231F20"/>
          <w:spacing w:val="-4"/>
          <w:sz w:val="24"/>
        </w:rPr>
        <w:t xml:space="preserve"> </w:t>
      </w:r>
      <w:r>
        <w:rPr>
          <w:color w:val="231F20"/>
          <w:sz w:val="24"/>
        </w:rPr>
        <w:t>legislated</w:t>
      </w:r>
      <w:r>
        <w:rPr>
          <w:color w:val="231F20"/>
          <w:spacing w:val="-4"/>
          <w:sz w:val="24"/>
        </w:rPr>
        <w:t xml:space="preserve"> </w:t>
      </w:r>
      <w:r>
        <w:rPr>
          <w:color w:val="231F20"/>
          <w:sz w:val="24"/>
        </w:rPr>
        <w:t>under</w:t>
      </w:r>
      <w:r>
        <w:rPr>
          <w:color w:val="231F20"/>
          <w:spacing w:val="-4"/>
          <w:sz w:val="24"/>
        </w:rPr>
        <w:t xml:space="preserve"> </w:t>
      </w:r>
      <w:r>
        <w:rPr>
          <w:color w:val="231F20"/>
          <w:sz w:val="24"/>
        </w:rPr>
        <w:t>the</w:t>
      </w:r>
      <w:r>
        <w:rPr>
          <w:color w:val="231F20"/>
          <w:spacing w:val="-5"/>
          <w:sz w:val="24"/>
        </w:rPr>
        <w:t xml:space="preserve"> </w:t>
      </w:r>
      <w:r>
        <w:rPr>
          <w:i/>
          <w:color w:val="231F20"/>
          <w:sz w:val="24"/>
        </w:rPr>
        <w:t>Financial</w:t>
      </w:r>
      <w:r>
        <w:rPr>
          <w:i/>
          <w:color w:val="231F20"/>
          <w:spacing w:val="-13"/>
          <w:sz w:val="24"/>
        </w:rPr>
        <w:t xml:space="preserve"> </w:t>
      </w:r>
      <w:r>
        <w:rPr>
          <w:i/>
          <w:color w:val="231F20"/>
          <w:sz w:val="24"/>
        </w:rPr>
        <w:t>Management</w:t>
      </w:r>
      <w:r>
        <w:rPr>
          <w:i/>
          <w:color w:val="231F20"/>
          <w:spacing w:val="-13"/>
          <w:sz w:val="24"/>
        </w:rPr>
        <w:t xml:space="preserve"> </w:t>
      </w:r>
      <w:r>
        <w:rPr>
          <w:i/>
          <w:color w:val="231F20"/>
          <w:sz w:val="24"/>
        </w:rPr>
        <w:t>Act</w:t>
      </w:r>
      <w:r>
        <w:rPr>
          <w:i/>
          <w:color w:val="231F20"/>
          <w:spacing w:val="-13"/>
          <w:sz w:val="24"/>
        </w:rPr>
        <w:t xml:space="preserve"> </w:t>
      </w:r>
      <w:r>
        <w:rPr>
          <w:color w:val="231F20"/>
          <w:sz w:val="24"/>
        </w:rPr>
        <w:t>1994,</w:t>
      </w:r>
      <w:r>
        <w:rPr>
          <w:color w:val="231F20"/>
          <w:spacing w:val="-4"/>
          <w:sz w:val="24"/>
        </w:rPr>
        <w:t xml:space="preserve"> </w:t>
      </w:r>
      <w:r>
        <w:rPr>
          <w:color w:val="231F20"/>
          <w:sz w:val="24"/>
        </w:rPr>
        <w:t>which</w:t>
      </w:r>
      <w:r>
        <w:rPr>
          <w:color w:val="231F20"/>
          <w:spacing w:val="-4"/>
          <w:sz w:val="24"/>
        </w:rPr>
        <w:t xml:space="preserve"> </w:t>
      </w:r>
      <w:r>
        <w:rPr>
          <w:color w:val="231F20"/>
          <w:sz w:val="24"/>
        </w:rPr>
        <w:t>includes</w:t>
      </w:r>
      <w:r>
        <w:rPr>
          <w:color w:val="231F20"/>
          <w:spacing w:val="-4"/>
          <w:sz w:val="24"/>
        </w:rPr>
        <w:t xml:space="preserve"> </w:t>
      </w:r>
      <w:r>
        <w:rPr>
          <w:color w:val="231F20"/>
          <w:sz w:val="24"/>
        </w:rPr>
        <w:t xml:space="preserve">risk management and insurance standing directions issued by the Minister for Finance. Victoria </w:t>
      </w:r>
      <w:r>
        <w:rPr>
          <w:color w:val="231F20"/>
          <w:spacing w:val="-2"/>
          <w:sz w:val="24"/>
        </w:rPr>
        <w:t>Police</w:t>
      </w:r>
      <w:r>
        <w:rPr>
          <w:color w:val="231F20"/>
          <w:spacing w:val="-15"/>
          <w:sz w:val="24"/>
        </w:rPr>
        <w:t xml:space="preserve"> </w:t>
      </w:r>
      <w:r>
        <w:rPr>
          <w:color w:val="231F20"/>
          <w:spacing w:val="-2"/>
          <w:sz w:val="24"/>
        </w:rPr>
        <w:t>is</w:t>
      </w:r>
      <w:r>
        <w:rPr>
          <w:color w:val="231F20"/>
          <w:spacing w:val="-15"/>
          <w:sz w:val="24"/>
        </w:rPr>
        <w:t xml:space="preserve"> </w:t>
      </w:r>
      <w:r>
        <w:rPr>
          <w:color w:val="231F20"/>
          <w:spacing w:val="-2"/>
          <w:sz w:val="24"/>
        </w:rPr>
        <w:t>mandated</w:t>
      </w:r>
      <w:r>
        <w:rPr>
          <w:color w:val="231F20"/>
          <w:spacing w:val="-14"/>
          <w:sz w:val="24"/>
        </w:rPr>
        <w:t xml:space="preserve"> </w:t>
      </w:r>
      <w:r>
        <w:rPr>
          <w:color w:val="231F20"/>
          <w:spacing w:val="-2"/>
          <w:sz w:val="24"/>
        </w:rPr>
        <w:t>by</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2"/>
          <w:sz w:val="24"/>
        </w:rPr>
        <w:t>Ministerial</w:t>
      </w:r>
      <w:r>
        <w:rPr>
          <w:color w:val="231F20"/>
          <w:spacing w:val="-15"/>
          <w:sz w:val="24"/>
        </w:rPr>
        <w:t xml:space="preserve"> </w:t>
      </w:r>
      <w:r>
        <w:rPr>
          <w:color w:val="231F20"/>
          <w:spacing w:val="-2"/>
          <w:sz w:val="24"/>
        </w:rPr>
        <w:t>Standing</w:t>
      </w:r>
      <w:r>
        <w:rPr>
          <w:color w:val="231F20"/>
          <w:spacing w:val="-14"/>
          <w:sz w:val="24"/>
        </w:rPr>
        <w:t xml:space="preserve"> </w:t>
      </w:r>
      <w:r>
        <w:rPr>
          <w:i/>
          <w:color w:val="231F20"/>
          <w:spacing w:val="-2"/>
          <w:sz w:val="24"/>
        </w:rPr>
        <w:t>Direction</w:t>
      </w:r>
      <w:r>
        <w:rPr>
          <w:i/>
          <w:color w:val="231F20"/>
          <w:spacing w:val="-15"/>
          <w:sz w:val="24"/>
        </w:rPr>
        <w:t xml:space="preserve"> </w:t>
      </w:r>
      <w:r>
        <w:rPr>
          <w:i/>
          <w:color w:val="231F20"/>
          <w:spacing w:val="-2"/>
          <w:sz w:val="24"/>
        </w:rPr>
        <w:t>3.7.1</w:t>
      </w:r>
      <w:r>
        <w:rPr>
          <w:i/>
          <w:color w:val="231F20"/>
          <w:spacing w:val="-15"/>
          <w:sz w:val="24"/>
        </w:rPr>
        <w:t xml:space="preserve"> </w:t>
      </w:r>
      <w:r>
        <w:rPr>
          <w:i/>
          <w:color w:val="231F20"/>
          <w:spacing w:val="-2"/>
          <w:sz w:val="24"/>
        </w:rPr>
        <w:t>–</w:t>
      </w:r>
      <w:r>
        <w:rPr>
          <w:i/>
          <w:color w:val="231F20"/>
          <w:spacing w:val="-14"/>
          <w:sz w:val="24"/>
        </w:rPr>
        <w:t xml:space="preserve"> </w:t>
      </w:r>
      <w:r>
        <w:rPr>
          <w:i/>
          <w:color w:val="231F20"/>
          <w:spacing w:val="-2"/>
          <w:sz w:val="24"/>
        </w:rPr>
        <w:t>Risk</w:t>
      </w:r>
      <w:r>
        <w:rPr>
          <w:i/>
          <w:color w:val="231F20"/>
          <w:spacing w:val="-15"/>
          <w:sz w:val="24"/>
        </w:rPr>
        <w:t xml:space="preserve"> </w:t>
      </w:r>
      <w:r>
        <w:rPr>
          <w:i/>
          <w:color w:val="231F20"/>
          <w:spacing w:val="-2"/>
          <w:sz w:val="24"/>
        </w:rPr>
        <w:t>Management</w:t>
      </w:r>
      <w:r>
        <w:rPr>
          <w:i/>
          <w:color w:val="231F20"/>
          <w:spacing w:val="-15"/>
          <w:sz w:val="24"/>
        </w:rPr>
        <w:t xml:space="preserve"> </w:t>
      </w:r>
      <w:r>
        <w:rPr>
          <w:i/>
          <w:color w:val="231F20"/>
          <w:spacing w:val="-2"/>
          <w:sz w:val="24"/>
        </w:rPr>
        <w:t>Framework</w:t>
      </w:r>
      <w:r>
        <w:rPr>
          <w:i/>
          <w:color w:val="231F20"/>
          <w:spacing w:val="-14"/>
          <w:sz w:val="24"/>
        </w:rPr>
        <w:t xml:space="preserve"> </w:t>
      </w:r>
      <w:r>
        <w:rPr>
          <w:i/>
          <w:color w:val="231F20"/>
          <w:spacing w:val="-2"/>
          <w:sz w:val="24"/>
        </w:rPr>
        <w:t xml:space="preserve">and </w:t>
      </w:r>
      <w:r>
        <w:rPr>
          <w:i/>
          <w:color w:val="231F20"/>
          <w:sz w:val="24"/>
        </w:rPr>
        <w:t>Processes</w:t>
      </w:r>
      <w:r>
        <w:rPr>
          <w:color w:val="231F20"/>
          <w:sz w:val="24"/>
        </w:rPr>
        <w:t>, to</w:t>
      </w:r>
      <w:r>
        <w:rPr>
          <w:color w:val="231F20"/>
          <w:spacing w:val="-1"/>
          <w:sz w:val="24"/>
        </w:rPr>
        <w:t xml:space="preserve"> </w:t>
      </w:r>
      <w:r>
        <w:rPr>
          <w:color w:val="231F20"/>
          <w:sz w:val="24"/>
        </w:rPr>
        <w:t>apply the</w:t>
      </w:r>
      <w:r>
        <w:rPr>
          <w:color w:val="231F20"/>
          <w:spacing w:val="-1"/>
          <w:sz w:val="24"/>
        </w:rPr>
        <w:t xml:space="preserve"> </w:t>
      </w:r>
      <w:r>
        <w:rPr>
          <w:color w:val="231F20"/>
          <w:sz w:val="24"/>
        </w:rPr>
        <w:t>2020</w:t>
      </w:r>
      <w:r>
        <w:rPr>
          <w:color w:val="231F20"/>
          <w:spacing w:val="-1"/>
          <w:sz w:val="24"/>
        </w:rPr>
        <w:t xml:space="preserve"> </w:t>
      </w:r>
      <w:r>
        <w:rPr>
          <w:color w:val="231F20"/>
          <w:sz w:val="24"/>
        </w:rPr>
        <w:t>Victorian</w:t>
      </w:r>
      <w:r>
        <w:rPr>
          <w:color w:val="231F20"/>
          <w:spacing w:val="-1"/>
          <w:sz w:val="24"/>
        </w:rPr>
        <w:t xml:space="preserve"> </w:t>
      </w:r>
      <w:r>
        <w:rPr>
          <w:color w:val="231F20"/>
          <w:sz w:val="24"/>
        </w:rPr>
        <w:t>Government Risk Management Framework (VGRMF).</w:t>
      </w:r>
    </w:p>
    <w:p w14:paraId="71643972" w14:textId="77777777" w:rsidR="00345EE3" w:rsidRDefault="00345EE3" w:rsidP="00345EE3">
      <w:pPr>
        <w:pStyle w:val="BodyText"/>
        <w:spacing w:before="119" w:line="242" w:lineRule="auto"/>
        <w:ind w:right="1730"/>
        <w:jc w:val="both"/>
      </w:pPr>
      <w:r>
        <w:rPr>
          <w:color w:val="231F20"/>
        </w:rPr>
        <w:t>The</w:t>
      </w:r>
      <w:r>
        <w:rPr>
          <w:color w:val="231F20"/>
          <w:spacing w:val="-8"/>
        </w:rPr>
        <w:t xml:space="preserve"> </w:t>
      </w:r>
      <w:r>
        <w:rPr>
          <w:color w:val="231F20"/>
        </w:rPr>
        <w:t>VGRMF</w:t>
      </w:r>
      <w:r>
        <w:rPr>
          <w:color w:val="231F20"/>
          <w:spacing w:val="-7"/>
        </w:rPr>
        <w:t xml:space="preserve"> </w:t>
      </w:r>
      <w:r>
        <w:rPr>
          <w:color w:val="231F20"/>
        </w:rPr>
        <w:t>describes</w:t>
      </w:r>
      <w:r>
        <w:rPr>
          <w:color w:val="231F20"/>
          <w:spacing w:val="-7"/>
        </w:rPr>
        <w:t xml:space="preserve"> </w:t>
      </w:r>
      <w:r>
        <w:rPr>
          <w:color w:val="231F20"/>
        </w:rPr>
        <w:t>the</w:t>
      </w:r>
      <w:r>
        <w:rPr>
          <w:color w:val="231F20"/>
          <w:spacing w:val="-8"/>
        </w:rPr>
        <w:t xml:space="preserve"> </w:t>
      </w:r>
      <w:r>
        <w:rPr>
          <w:color w:val="231F20"/>
        </w:rPr>
        <w:t>minimum</w:t>
      </w:r>
      <w:r>
        <w:rPr>
          <w:color w:val="231F20"/>
          <w:spacing w:val="-7"/>
        </w:rPr>
        <w:t xml:space="preserve"> </w:t>
      </w:r>
      <w:r>
        <w:rPr>
          <w:color w:val="231F20"/>
        </w:rPr>
        <w:t>risk</w:t>
      </w:r>
      <w:r>
        <w:rPr>
          <w:color w:val="231F20"/>
          <w:spacing w:val="-7"/>
        </w:rPr>
        <w:t xml:space="preserve"> </w:t>
      </w:r>
      <w:r>
        <w:rPr>
          <w:color w:val="231F20"/>
        </w:rPr>
        <w:t>management</w:t>
      </w:r>
      <w:r>
        <w:rPr>
          <w:color w:val="231F20"/>
          <w:spacing w:val="-7"/>
        </w:rPr>
        <w:t xml:space="preserve"> </w:t>
      </w:r>
      <w:r>
        <w:rPr>
          <w:color w:val="231F20"/>
        </w:rPr>
        <w:t>requirement</w:t>
      </w:r>
      <w:r>
        <w:rPr>
          <w:color w:val="231F20"/>
          <w:spacing w:val="-7"/>
        </w:rPr>
        <w:t xml:space="preserve"> </w:t>
      </w:r>
      <w:r>
        <w:rPr>
          <w:color w:val="231F20"/>
        </w:rPr>
        <w:t>to</w:t>
      </w:r>
      <w:r>
        <w:rPr>
          <w:color w:val="231F20"/>
          <w:spacing w:val="-8"/>
        </w:rPr>
        <w:t xml:space="preserve"> </w:t>
      </w:r>
      <w:r>
        <w:rPr>
          <w:color w:val="231F20"/>
        </w:rPr>
        <w:t>demonstrate</w:t>
      </w:r>
      <w:r>
        <w:rPr>
          <w:color w:val="231F20"/>
          <w:spacing w:val="-8"/>
        </w:rPr>
        <w:t xml:space="preserve"> </w:t>
      </w:r>
      <w:r>
        <w:rPr>
          <w:color w:val="231F20"/>
        </w:rPr>
        <w:t xml:space="preserve">risks </w:t>
      </w:r>
      <w:r>
        <w:rPr>
          <w:color w:val="231F20"/>
          <w:spacing w:val="-2"/>
        </w:rPr>
        <w:t>are</w:t>
      </w:r>
      <w:r>
        <w:rPr>
          <w:color w:val="231F20"/>
          <w:spacing w:val="-15"/>
        </w:rPr>
        <w:t xml:space="preserve"> </w:t>
      </w:r>
      <w:r>
        <w:rPr>
          <w:color w:val="231F20"/>
          <w:spacing w:val="-2"/>
        </w:rPr>
        <w:t>managed</w:t>
      </w:r>
      <w:r>
        <w:rPr>
          <w:color w:val="231F20"/>
          <w:spacing w:val="-15"/>
        </w:rPr>
        <w:t xml:space="preserve"> </w:t>
      </w:r>
      <w:r>
        <w:rPr>
          <w:color w:val="231F20"/>
          <w:spacing w:val="-2"/>
        </w:rPr>
        <w:t>effectively.</w:t>
      </w:r>
      <w:r>
        <w:rPr>
          <w:color w:val="231F20"/>
          <w:spacing w:val="-14"/>
        </w:rPr>
        <w:t xml:space="preserve"> </w:t>
      </w:r>
      <w:r>
        <w:rPr>
          <w:color w:val="231F20"/>
          <w:spacing w:val="-2"/>
        </w:rPr>
        <w:t>It</w:t>
      </w:r>
      <w:r>
        <w:rPr>
          <w:color w:val="231F20"/>
          <w:spacing w:val="-15"/>
        </w:rPr>
        <w:t xml:space="preserve"> </w:t>
      </w:r>
      <w:r>
        <w:rPr>
          <w:color w:val="231F20"/>
          <w:spacing w:val="-2"/>
        </w:rPr>
        <w:t>adopts</w:t>
      </w:r>
      <w:r>
        <w:rPr>
          <w:color w:val="231F20"/>
          <w:spacing w:val="-15"/>
        </w:rPr>
        <w:t xml:space="preserve"> </w:t>
      </w:r>
      <w:r>
        <w:rPr>
          <w:color w:val="231F20"/>
          <w:spacing w:val="-2"/>
        </w:rPr>
        <w:t>the</w:t>
      </w:r>
      <w:r>
        <w:rPr>
          <w:color w:val="231F20"/>
          <w:spacing w:val="-15"/>
        </w:rPr>
        <w:t xml:space="preserve"> </w:t>
      </w:r>
      <w:r>
        <w:rPr>
          <w:i/>
          <w:color w:val="231F20"/>
          <w:spacing w:val="-2"/>
        </w:rPr>
        <w:t>ISO</w:t>
      </w:r>
      <w:r>
        <w:rPr>
          <w:i/>
          <w:color w:val="231F20"/>
          <w:spacing w:val="-14"/>
        </w:rPr>
        <w:t xml:space="preserve"> </w:t>
      </w:r>
      <w:r>
        <w:rPr>
          <w:i/>
          <w:color w:val="231F20"/>
          <w:spacing w:val="-2"/>
        </w:rPr>
        <w:t>31000:2018</w:t>
      </w:r>
      <w:r>
        <w:rPr>
          <w:i/>
          <w:color w:val="231F20"/>
          <w:spacing w:val="-15"/>
        </w:rPr>
        <w:t xml:space="preserve"> </w:t>
      </w:r>
      <w:r>
        <w:rPr>
          <w:i/>
          <w:color w:val="231F20"/>
          <w:spacing w:val="-2"/>
        </w:rPr>
        <w:t>Risk</w:t>
      </w:r>
      <w:r>
        <w:rPr>
          <w:i/>
          <w:color w:val="231F20"/>
          <w:spacing w:val="-15"/>
        </w:rPr>
        <w:t xml:space="preserve"> </w:t>
      </w:r>
      <w:r>
        <w:rPr>
          <w:i/>
          <w:color w:val="231F20"/>
          <w:spacing w:val="-2"/>
        </w:rPr>
        <w:t>management</w:t>
      </w:r>
      <w:r>
        <w:rPr>
          <w:i/>
          <w:color w:val="231F20"/>
          <w:spacing w:val="-14"/>
        </w:rPr>
        <w:t xml:space="preserve"> </w:t>
      </w:r>
      <w:r>
        <w:rPr>
          <w:i/>
          <w:color w:val="231F20"/>
          <w:spacing w:val="-2"/>
        </w:rPr>
        <w:t>–</w:t>
      </w:r>
      <w:r>
        <w:rPr>
          <w:i/>
          <w:color w:val="231F20"/>
          <w:spacing w:val="-15"/>
        </w:rPr>
        <w:t xml:space="preserve"> </w:t>
      </w:r>
      <w:r>
        <w:rPr>
          <w:i/>
          <w:color w:val="231F20"/>
          <w:spacing w:val="-2"/>
        </w:rPr>
        <w:t>Guidelines</w:t>
      </w:r>
      <w:r>
        <w:rPr>
          <w:color w:val="231F20"/>
          <w:spacing w:val="-2"/>
        </w:rPr>
        <w:t>,</w:t>
      </w:r>
      <w:r>
        <w:rPr>
          <w:color w:val="231F20"/>
          <w:spacing w:val="-15"/>
        </w:rPr>
        <w:t xml:space="preserve"> </w:t>
      </w:r>
      <w:r>
        <w:rPr>
          <w:color w:val="231F20"/>
          <w:spacing w:val="-2"/>
        </w:rPr>
        <w:t xml:space="preserve">an </w:t>
      </w:r>
      <w:r>
        <w:rPr>
          <w:color w:val="231F20"/>
        </w:rPr>
        <w:t>internationally accepted basis for best practice risk management.</w:t>
      </w:r>
    </w:p>
    <w:p w14:paraId="2CFCC081" w14:textId="77777777" w:rsidR="00345EE3" w:rsidRDefault="00345EE3" w:rsidP="00345EE3">
      <w:pPr>
        <w:pStyle w:val="BodyText"/>
        <w:spacing w:before="117" w:line="242" w:lineRule="auto"/>
        <w:ind w:right="1970"/>
        <w:jc w:val="both"/>
      </w:pPr>
      <w:r>
        <w:rPr>
          <w:color w:val="231F20"/>
        </w:rPr>
        <w:t>Risk</w:t>
      </w:r>
      <w:r>
        <w:rPr>
          <w:color w:val="231F20"/>
          <w:spacing w:val="-12"/>
        </w:rPr>
        <w:t xml:space="preserve"> </w:t>
      </w:r>
      <w:r>
        <w:rPr>
          <w:color w:val="231F20"/>
        </w:rPr>
        <w:t>management</w:t>
      </w:r>
      <w:r>
        <w:rPr>
          <w:color w:val="231F20"/>
          <w:spacing w:val="-12"/>
        </w:rPr>
        <w:t xml:space="preserve"> </w:t>
      </w:r>
      <w:r>
        <w:rPr>
          <w:color w:val="231F20"/>
        </w:rPr>
        <w:t>obligations</w:t>
      </w:r>
      <w:r>
        <w:rPr>
          <w:color w:val="231F20"/>
          <w:spacing w:val="-13"/>
        </w:rPr>
        <w:t xml:space="preserve"> </w:t>
      </w:r>
      <w:r>
        <w:rPr>
          <w:color w:val="231F20"/>
        </w:rPr>
        <w:t>include</w:t>
      </w:r>
      <w:r>
        <w:rPr>
          <w:color w:val="231F20"/>
          <w:spacing w:val="-12"/>
        </w:rPr>
        <w:t xml:space="preserve"> </w:t>
      </w:r>
      <w:r>
        <w:rPr>
          <w:color w:val="231F20"/>
        </w:rPr>
        <w:t>the</w:t>
      </w:r>
      <w:r>
        <w:rPr>
          <w:color w:val="231F20"/>
          <w:spacing w:val="-12"/>
        </w:rPr>
        <w:t xml:space="preserve"> </w:t>
      </w:r>
      <w:r>
        <w:rPr>
          <w:color w:val="231F20"/>
        </w:rPr>
        <w:t>requirement</w:t>
      </w:r>
      <w:r>
        <w:rPr>
          <w:color w:val="231F20"/>
          <w:spacing w:val="-12"/>
        </w:rPr>
        <w:t xml:space="preserve"> </w:t>
      </w:r>
      <w:r>
        <w:rPr>
          <w:color w:val="231F20"/>
        </w:rPr>
        <w:t>that</w:t>
      </w:r>
      <w:r>
        <w:rPr>
          <w:color w:val="231F20"/>
          <w:spacing w:val="-12"/>
        </w:rPr>
        <w:t xml:space="preserve"> </w:t>
      </w:r>
      <w:r>
        <w:rPr>
          <w:color w:val="231F20"/>
        </w:rPr>
        <w:t>risk</w:t>
      </w:r>
      <w:r>
        <w:rPr>
          <w:color w:val="231F20"/>
          <w:spacing w:val="-12"/>
        </w:rPr>
        <w:t xml:space="preserve"> </w:t>
      </w:r>
      <w:r>
        <w:rPr>
          <w:color w:val="231F20"/>
        </w:rPr>
        <w:t>considerations</w:t>
      </w:r>
      <w:r>
        <w:rPr>
          <w:color w:val="231F20"/>
          <w:spacing w:val="-12"/>
        </w:rPr>
        <w:t xml:space="preserve"> </w:t>
      </w:r>
      <w:r>
        <w:rPr>
          <w:color w:val="231F20"/>
        </w:rPr>
        <w:t>must</w:t>
      </w:r>
      <w:r>
        <w:rPr>
          <w:color w:val="231F20"/>
          <w:spacing w:val="-12"/>
        </w:rPr>
        <w:t xml:space="preserve"> </w:t>
      </w:r>
      <w:r>
        <w:rPr>
          <w:color w:val="231F20"/>
        </w:rPr>
        <w:t>be documented</w:t>
      </w:r>
      <w:r>
        <w:rPr>
          <w:color w:val="231F20"/>
          <w:spacing w:val="-12"/>
        </w:rPr>
        <w:t xml:space="preserve"> </w:t>
      </w:r>
      <w:r>
        <w:rPr>
          <w:color w:val="231F20"/>
        </w:rPr>
        <w:t>and</w:t>
      </w:r>
      <w:r>
        <w:rPr>
          <w:color w:val="231F20"/>
          <w:spacing w:val="-12"/>
        </w:rPr>
        <w:t xml:space="preserve"> </w:t>
      </w:r>
      <w:r>
        <w:rPr>
          <w:color w:val="231F20"/>
        </w:rPr>
        <w:t>reflected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organisation’s</w:t>
      </w:r>
      <w:r>
        <w:rPr>
          <w:color w:val="231F20"/>
          <w:spacing w:val="-11"/>
        </w:rPr>
        <w:t xml:space="preserve"> </w:t>
      </w:r>
      <w:r>
        <w:rPr>
          <w:color w:val="231F20"/>
        </w:rPr>
        <w:t>overall</w:t>
      </w:r>
      <w:r>
        <w:rPr>
          <w:color w:val="231F20"/>
          <w:spacing w:val="-12"/>
        </w:rPr>
        <w:t xml:space="preserve"> </w:t>
      </w:r>
      <w:r>
        <w:rPr>
          <w:color w:val="231F20"/>
        </w:rPr>
        <w:t>governance,</w:t>
      </w:r>
      <w:r>
        <w:rPr>
          <w:color w:val="231F20"/>
          <w:spacing w:val="-11"/>
        </w:rPr>
        <w:t xml:space="preserve"> </w:t>
      </w:r>
      <w:r>
        <w:rPr>
          <w:color w:val="231F20"/>
        </w:rPr>
        <w:t>strategic</w:t>
      </w:r>
      <w:r>
        <w:rPr>
          <w:color w:val="231F20"/>
          <w:spacing w:val="-11"/>
        </w:rPr>
        <w:t xml:space="preserve"> </w:t>
      </w:r>
      <w:r>
        <w:rPr>
          <w:color w:val="231F20"/>
        </w:rPr>
        <w:t>planning, performance</w:t>
      </w:r>
      <w:r>
        <w:rPr>
          <w:color w:val="231F20"/>
          <w:spacing w:val="-9"/>
        </w:rPr>
        <w:t xml:space="preserve"> </w:t>
      </w:r>
      <w:r>
        <w:rPr>
          <w:color w:val="231F20"/>
        </w:rPr>
        <w:t>management,</w:t>
      </w:r>
      <w:r>
        <w:rPr>
          <w:color w:val="231F20"/>
          <w:spacing w:val="-8"/>
        </w:rPr>
        <w:t xml:space="preserve"> </w:t>
      </w:r>
      <w:r>
        <w:rPr>
          <w:color w:val="231F20"/>
        </w:rPr>
        <w:t>financial</w:t>
      </w:r>
      <w:r>
        <w:rPr>
          <w:color w:val="231F20"/>
          <w:spacing w:val="-9"/>
        </w:rPr>
        <w:t xml:space="preserve"> </w:t>
      </w:r>
      <w:r>
        <w:rPr>
          <w:color w:val="231F20"/>
        </w:rPr>
        <w:t>management</w:t>
      </w:r>
      <w:r>
        <w:rPr>
          <w:color w:val="231F20"/>
          <w:spacing w:val="-8"/>
        </w:rPr>
        <w:t xml:space="preserve"> </w:t>
      </w:r>
      <w:r>
        <w:rPr>
          <w:color w:val="231F20"/>
        </w:rPr>
        <w:t>and</w:t>
      </w:r>
      <w:r>
        <w:rPr>
          <w:color w:val="231F20"/>
          <w:spacing w:val="-9"/>
        </w:rPr>
        <w:t xml:space="preserve"> </w:t>
      </w:r>
      <w:r>
        <w:rPr>
          <w:color w:val="231F20"/>
        </w:rPr>
        <w:t>service</w:t>
      </w:r>
      <w:r>
        <w:rPr>
          <w:color w:val="231F20"/>
          <w:spacing w:val="-9"/>
        </w:rPr>
        <w:t xml:space="preserve"> </w:t>
      </w:r>
      <w:r>
        <w:rPr>
          <w:color w:val="231F20"/>
        </w:rPr>
        <w:t>delivery</w:t>
      </w:r>
      <w:r>
        <w:rPr>
          <w:color w:val="231F20"/>
          <w:spacing w:val="-8"/>
        </w:rPr>
        <w:t xml:space="preserve"> </w:t>
      </w:r>
      <w:r>
        <w:rPr>
          <w:color w:val="231F20"/>
        </w:rPr>
        <w:t>processes</w:t>
      </w:r>
      <w:r>
        <w:rPr>
          <w:color w:val="231F20"/>
          <w:spacing w:val="-8"/>
        </w:rPr>
        <w:t xml:space="preserve"> </w:t>
      </w:r>
      <w:r>
        <w:rPr>
          <w:color w:val="231F20"/>
        </w:rPr>
        <w:t xml:space="preserve">and </w:t>
      </w:r>
      <w:r>
        <w:rPr>
          <w:color w:val="231F20"/>
          <w:spacing w:val="-2"/>
        </w:rPr>
        <w:t>outcomes.</w:t>
      </w:r>
    </w:p>
    <w:p w14:paraId="7771D287" w14:textId="77777777" w:rsidR="00345EE3" w:rsidRDefault="00345EE3" w:rsidP="00345EE3">
      <w:pPr>
        <w:pStyle w:val="BodyText"/>
        <w:spacing w:before="119" w:line="242" w:lineRule="auto"/>
        <w:ind w:right="848"/>
      </w:pPr>
      <w:r>
        <w:rPr>
          <w:color w:val="231F20"/>
        </w:rPr>
        <w:t>The Victoria Police Risk Management Framework (VPRMF) aligns to the VGRMF, incorporates the</w:t>
      </w:r>
      <w:r>
        <w:rPr>
          <w:color w:val="231F20"/>
          <w:spacing w:val="-11"/>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Risk</w:t>
      </w:r>
      <w:r>
        <w:rPr>
          <w:color w:val="231F20"/>
          <w:spacing w:val="-11"/>
        </w:rPr>
        <w:t xml:space="preserve"> </w:t>
      </w:r>
      <w:r>
        <w:rPr>
          <w:color w:val="231F20"/>
        </w:rPr>
        <w:t>Appetite</w:t>
      </w:r>
      <w:r>
        <w:rPr>
          <w:color w:val="231F20"/>
          <w:spacing w:val="-11"/>
        </w:rPr>
        <w:t xml:space="preserve"> </w:t>
      </w:r>
      <w:r>
        <w:rPr>
          <w:color w:val="231F20"/>
        </w:rPr>
        <w:t>Statement</w:t>
      </w:r>
      <w:r>
        <w:rPr>
          <w:color w:val="231F20"/>
          <w:spacing w:val="-11"/>
        </w:rPr>
        <w:t xml:space="preserve"> </w:t>
      </w:r>
      <w:r>
        <w:rPr>
          <w:color w:val="231F20"/>
        </w:rPr>
        <w:t>and</w:t>
      </w:r>
      <w:r>
        <w:rPr>
          <w:color w:val="231F20"/>
          <w:spacing w:val="-11"/>
        </w:rPr>
        <w:t xml:space="preserve"> </w:t>
      </w:r>
      <w:r>
        <w:rPr>
          <w:color w:val="231F20"/>
        </w:rPr>
        <w:t>an</w:t>
      </w:r>
      <w:r>
        <w:rPr>
          <w:color w:val="231F20"/>
          <w:spacing w:val="-11"/>
        </w:rPr>
        <w:t xml:space="preserve"> </w:t>
      </w:r>
      <w:r>
        <w:rPr>
          <w:color w:val="231F20"/>
        </w:rPr>
        <w:t>updated</w:t>
      </w:r>
      <w:r>
        <w:rPr>
          <w:color w:val="231F20"/>
          <w:spacing w:val="-11"/>
        </w:rPr>
        <w:t xml:space="preserve"> </w:t>
      </w:r>
      <w:r>
        <w:rPr>
          <w:color w:val="231F20"/>
        </w:rPr>
        <w:t>risk</w:t>
      </w:r>
      <w:r>
        <w:rPr>
          <w:color w:val="231F20"/>
          <w:spacing w:val="-11"/>
        </w:rPr>
        <w:t xml:space="preserve"> </w:t>
      </w:r>
      <w:r>
        <w:rPr>
          <w:color w:val="231F20"/>
        </w:rPr>
        <w:t>evaluation</w:t>
      </w:r>
      <w:r>
        <w:rPr>
          <w:color w:val="231F20"/>
          <w:spacing w:val="-11"/>
        </w:rPr>
        <w:t xml:space="preserve"> </w:t>
      </w:r>
      <w:r>
        <w:rPr>
          <w:color w:val="231F20"/>
        </w:rPr>
        <w:t>matrix.</w:t>
      </w:r>
      <w:r>
        <w:rPr>
          <w:color w:val="231F20"/>
          <w:spacing w:val="-11"/>
        </w:rPr>
        <w:t xml:space="preserve"> </w:t>
      </w:r>
      <w:r>
        <w:rPr>
          <w:color w:val="231F20"/>
        </w:rPr>
        <w:t>Organisational risks are managed collaboratively and reported regularly. Executive Command recognises risk management as an integral part of organisational culture, policies, systems and processes required to ensure community safety. Executive Command is committed to advancing a positive risk culture to enhance understanding by all employees and contractors.</w:t>
      </w:r>
    </w:p>
    <w:p w14:paraId="64A671B0" w14:textId="77777777" w:rsidR="00345EE3" w:rsidRDefault="00345EE3" w:rsidP="00345EE3">
      <w:pPr>
        <w:pStyle w:val="BodyText"/>
        <w:spacing w:before="121" w:line="242" w:lineRule="auto"/>
        <w:ind w:right="921"/>
      </w:pPr>
      <w:r>
        <w:rPr>
          <w:color w:val="231F20"/>
        </w:rPr>
        <w:t>This</w:t>
      </w:r>
      <w:r>
        <w:rPr>
          <w:color w:val="231F20"/>
          <w:spacing w:val="-7"/>
        </w:rPr>
        <w:t xml:space="preserve"> </w:t>
      </w:r>
      <w:r>
        <w:rPr>
          <w:color w:val="231F20"/>
        </w:rPr>
        <w:t>will</w:t>
      </w:r>
      <w:r>
        <w:rPr>
          <w:color w:val="231F20"/>
          <w:spacing w:val="-8"/>
        </w:rPr>
        <w:t xml:space="preserve"> </w:t>
      </w:r>
      <w:r>
        <w:rPr>
          <w:color w:val="231F20"/>
        </w:rPr>
        <w:t>support</w:t>
      </w:r>
      <w:r>
        <w:rPr>
          <w:color w:val="231F20"/>
          <w:spacing w:val="-7"/>
        </w:rPr>
        <w:t xml:space="preserve"> </w:t>
      </w:r>
      <w:r>
        <w:rPr>
          <w:color w:val="231F20"/>
        </w:rPr>
        <w:t>all</w:t>
      </w:r>
      <w:r>
        <w:rPr>
          <w:color w:val="231F20"/>
          <w:spacing w:val="-8"/>
        </w:rPr>
        <w:t xml:space="preserve"> </w:t>
      </w:r>
      <w:r>
        <w:rPr>
          <w:color w:val="231F20"/>
        </w:rPr>
        <w:t>staff</w:t>
      </w:r>
      <w:r>
        <w:rPr>
          <w:color w:val="231F20"/>
          <w:spacing w:val="-7"/>
        </w:rPr>
        <w:t xml:space="preserve"> </w:t>
      </w:r>
      <w:r>
        <w:rPr>
          <w:color w:val="231F20"/>
        </w:rPr>
        <w:t>to</w:t>
      </w:r>
      <w:r>
        <w:rPr>
          <w:color w:val="231F20"/>
          <w:spacing w:val="-8"/>
        </w:rPr>
        <w:t xml:space="preserve"> </w:t>
      </w:r>
      <w:r>
        <w:rPr>
          <w:color w:val="231F20"/>
        </w:rPr>
        <w:t>manage</w:t>
      </w:r>
      <w:r>
        <w:rPr>
          <w:color w:val="231F20"/>
          <w:spacing w:val="-8"/>
        </w:rPr>
        <w:t xml:space="preserve"> </w:t>
      </w:r>
      <w:r>
        <w:rPr>
          <w:color w:val="231F20"/>
        </w:rPr>
        <w:t>risks</w:t>
      </w:r>
      <w:r>
        <w:rPr>
          <w:color w:val="231F20"/>
          <w:spacing w:val="-7"/>
        </w:rPr>
        <w:t xml:space="preserve"> </w:t>
      </w:r>
      <w:r>
        <w:rPr>
          <w:color w:val="231F20"/>
        </w:rPr>
        <w:t>in</w:t>
      </w:r>
      <w:r>
        <w:rPr>
          <w:color w:val="231F20"/>
          <w:spacing w:val="-8"/>
        </w:rPr>
        <w:t xml:space="preserve"> </w:t>
      </w:r>
      <w:r>
        <w:rPr>
          <w:color w:val="231F20"/>
        </w:rPr>
        <w:t>their</w:t>
      </w:r>
      <w:r>
        <w:rPr>
          <w:color w:val="231F20"/>
          <w:spacing w:val="-7"/>
        </w:rPr>
        <w:t xml:space="preserve"> </w:t>
      </w:r>
      <w:r>
        <w:rPr>
          <w:color w:val="231F20"/>
        </w:rPr>
        <w:t>areas</w:t>
      </w:r>
      <w:r>
        <w:rPr>
          <w:color w:val="231F20"/>
          <w:spacing w:val="-7"/>
        </w:rPr>
        <w:t xml:space="preserve"> </w:t>
      </w:r>
      <w:r>
        <w:rPr>
          <w:color w:val="231F20"/>
        </w:rPr>
        <w:t>of</w:t>
      </w:r>
      <w:r>
        <w:rPr>
          <w:color w:val="231F20"/>
          <w:spacing w:val="-7"/>
        </w:rPr>
        <w:t xml:space="preserve"> </w:t>
      </w:r>
      <w:r>
        <w:rPr>
          <w:color w:val="231F20"/>
        </w:rPr>
        <w:t>responsibilities</w:t>
      </w:r>
      <w:r>
        <w:rPr>
          <w:color w:val="231F20"/>
          <w:spacing w:val="-7"/>
        </w:rPr>
        <w:t xml:space="preserve"> </w:t>
      </w:r>
      <w:r>
        <w:rPr>
          <w:color w:val="231F20"/>
        </w:rPr>
        <w:t>through</w:t>
      </w:r>
      <w:r>
        <w:rPr>
          <w:color w:val="231F20"/>
          <w:spacing w:val="-8"/>
        </w:rPr>
        <w:t xml:space="preserve"> </w:t>
      </w:r>
      <w:r>
        <w:rPr>
          <w:color w:val="231F20"/>
        </w:rPr>
        <w:t>sound</w:t>
      </w:r>
      <w:r>
        <w:rPr>
          <w:color w:val="231F20"/>
          <w:spacing w:val="-8"/>
        </w:rPr>
        <w:t xml:space="preserve"> </w:t>
      </w:r>
      <w:r>
        <w:rPr>
          <w:color w:val="231F20"/>
        </w:rPr>
        <w:t>risk management practices.</w:t>
      </w:r>
    </w:p>
    <w:p w14:paraId="60645576" w14:textId="77777777" w:rsidR="00345EE3" w:rsidRPr="008D34A6" w:rsidRDefault="00345EE3" w:rsidP="00345EE3">
      <w:pPr>
        <w:pStyle w:val="Heading2"/>
        <w:spacing w:before="213"/>
        <w:jc w:val="both"/>
        <w:rPr>
          <w:sz w:val="32"/>
          <w:szCs w:val="32"/>
        </w:rPr>
      </w:pPr>
      <w:r w:rsidRPr="008D34A6">
        <w:rPr>
          <w:color w:val="00529F"/>
          <w:sz w:val="32"/>
          <w:szCs w:val="32"/>
        </w:rPr>
        <w:t>Capability</w:t>
      </w:r>
      <w:r w:rsidRPr="008D34A6">
        <w:rPr>
          <w:color w:val="00529F"/>
          <w:spacing w:val="-20"/>
          <w:sz w:val="32"/>
          <w:szCs w:val="32"/>
        </w:rPr>
        <w:t xml:space="preserve"> </w:t>
      </w:r>
      <w:r w:rsidRPr="008D34A6">
        <w:rPr>
          <w:color w:val="00529F"/>
          <w:spacing w:val="-2"/>
          <w:sz w:val="32"/>
          <w:szCs w:val="32"/>
        </w:rPr>
        <w:t>Framework</w:t>
      </w:r>
    </w:p>
    <w:p w14:paraId="042F789F" w14:textId="77777777" w:rsidR="00345EE3" w:rsidRDefault="00345EE3" w:rsidP="00345EE3">
      <w:pPr>
        <w:pStyle w:val="BodyText"/>
        <w:spacing w:before="72" w:line="242" w:lineRule="auto"/>
        <w:ind w:right="921"/>
      </w:pPr>
      <w:r>
        <w:rPr>
          <w:color w:val="231F20"/>
        </w:rPr>
        <w:t>The</w:t>
      </w:r>
      <w:r>
        <w:rPr>
          <w:color w:val="231F20"/>
          <w:spacing w:val="-10"/>
        </w:rPr>
        <w:t xml:space="preserve"> </w:t>
      </w:r>
      <w:r>
        <w:rPr>
          <w:i/>
          <w:color w:val="231F20"/>
        </w:rPr>
        <w:t>Victoria</w:t>
      </w:r>
      <w:r>
        <w:rPr>
          <w:i/>
          <w:color w:val="231F20"/>
          <w:spacing w:val="-17"/>
        </w:rPr>
        <w:t xml:space="preserve"> </w:t>
      </w:r>
      <w:r>
        <w:rPr>
          <w:i/>
          <w:color w:val="231F20"/>
        </w:rPr>
        <w:t>Police</w:t>
      </w:r>
      <w:r>
        <w:rPr>
          <w:i/>
          <w:color w:val="231F20"/>
          <w:spacing w:val="-16"/>
        </w:rPr>
        <w:t xml:space="preserve"> </w:t>
      </w:r>
      <w:r>
        <w:rPr>
          <w:i/>
          <w:color w:val="231F20"/>
        </w:rPr>
        <w:t>Capability</w:t>
      </w:r>
      <w:r>
        <w:rPr>
          <w:i/>
          <w:color w:val="231F20"/>
          <w:spacing w:val="-17"/>
        </w:rPr>
        <w:t xml:space="preserve"> </w:t>
      </w:r>
      <w:r>
        <w:rPr>
          <w:i/>
          <w:color w:val="231F20"/>
        </w:rPr>
        <w:t>Plan</w:t>
      </w:r>
      <w:r>
        <w:rPr>
          <w:i/>
          <w:color w:val="231F20"/>
          <w:spacing w:val="-16"/>
        </w:rPr>
        <w:t xml:space="preserve"> </w:t>
      </w:r>
      <w:r>
        <w:rPr>
          <w:i/>
          <w:color w:val="231F20"/>
        </w:rPr>
        <w:t>2016-2025</w:t>
      </w:r>
      <w:r>
        <w:rPr>
          <w:color w:val="231F20"/>
        </w:rPr>
        <w:t>,</w:t>
      </w:r>
      <w:r>
        <w:rPr>
          <w:color w:val="231F20"/>
          <w:spacing w:val="-9"/>
        </w:rPr>
        <w:t xml:space="preserve"> </w:t>
      </w:r>
      <w:r>
        <w:rPr>
          <w:color w:val="231F20"/>
        </w:rPr>
        <w:t>launched</w:t>
      </w:r>
      <w:r>
        <w:rPr>
          <w:color w:val="231F20"/>
          <w:spacing w:val="-10"/>
        </w:rPr>
        <w:t xml:space="preserve"> </w:t>
      </w:r>
      <w:r>
        <w:rPr>
          <w:color w:val="231F20"/>
        </w:rPr>
        <w:t>in</w:t>
      </w:r>
      <w:r>
        <w:rPr>
          <w:color w:val="231F20"/>
          <w:spacing w:val="-10"/>
        </w:rPr>
        <w:t xml:space="preserve"> </w:t>
      </w:r>
      <w:r>
        <w:rPr>
          <w:color w:val="231F20"/>
        </w:rPr>
        <w:t>2016,</w:t>
      </w:r>
      <w:r>
        <w:rPr>
          <w:color w:val="231F20"/>
          <w:spacing w:val="-9"/>
        </w:rPr>
        <w:t xml:space="preserve"> </w:t>
      </w:r>
      <w:r>
        <w:rPr>
          <w:color w:val="231F20"/>
        </w:rPr>
        <w:t>provides</w:t>
      </w:r>
      <w:r>
        <w:rPr>
          <w:color w:val="231F20"/>
          <w:spacing w:val="-9"/>
        </w:rPr>
        <w:t xml:space="preserve"> </w:t>
      </w:r>
      <w:r>
        <w:rPr>
          <w:color w:val="231F20"/>
        </w:rPr>
        <w:t>a</w:t>
      </w:r>
      <w:r>
        <w:rPr>
          <w:color w:val="231F20"/>
          <w:spacing w:val="-10"/>
        </w:rPr>
        <w:t xml:space="preserve"> </w:t>
      </w:r>
      <w:r>
        <w:rPr>
          <w:color w:val="231F20"/>
        </w:rPr>
        <w:t>framework</w:t>
      </w:r>
      <w:r>
        <w:rPr>
          <w:color w:val="231F20"/>
          <w:spacing w:val="-9"/>
        </w:rPr>
        <w:t xml:space="preserve"> </w:t>
      </w:r>
      <w:r>
        <w:rPr>
          <w:color w:val="231F20"/>
        </w:rPr>
        <w:t>for strategic planning that ensures that we maintain the right capabilities to keep the Victorian community safe and secure. The Victoria Police Annual Plan, published annually in August, is an essential component of the capability-based planning. The Annual Plan identifies our focus and</w:t>
      </w:r>
      <w:r>
        <w:rPr>
          <w:color w:val="231F20"/>
          <w:spacing w:val="-11"/>
        </w:rPr>
        <w:t xml:space="preserve"> </w:t>
      </w:r>
      <w:r>
        <w:rPr>
          <w:color w:val="231F20"/>
        </w:rPr>
        <w:t>outlines</w:t>
      </w:r>
      <w:r>
        <w:rPr>
          <w:color w:val="231F20"/>
          <w:spacing w:val="-10"/>
        </w:rPr>
        <w:t xml:space="preserve"> </w:t>
      </w:r>
      <w:r>
        <w:rPr>
          <w:color w:val="231F20"/>
        </w:rPr>
        <w:t>our</w:t>
      </w:r>
      <w:r>
        <w:rPr>
          <w:color w:val="231F20"/>
          <w:spacing w:val="-10"/>
        </w:rPr>
        <w:t xml:space="preserve"> </w:t>
      </w:r>
      <w:r>
        <w:rPr>
          <w:color w:val="231F20"/>
        </w:rPr>
        <w:t>priority</w:t>
      </w:r>
      <w:r>
        <w:rPr>
          <w:color w:val="231F20"/>
          <w:spacing w:val="-10"/>
        </w:rPr>
        <w:t xml:space="preserve"> </w:t>
      </w:r>
      <w:r>
        <w:rPr>
          <w:color w:val="231F20"/>
        </w:rPr>
        <w:t>areas</w:t>
      </w:r>
      <w:r>
        <w:rPr>
          <w:color w:val="231F20"/>
          <w:spacing w:val="-10"/>
        </w:rPr>
        <w:t xml:space="preserve"> </w:t>
      </w:r>
      <w:r>
        <w:rPr>
          <w:color w:val="231F20"/>
        </w:rPr>
        <w:t>for</w:t>
      </w:r>
      <w:r>
        <w:rPr>
          <w:color w:val="231F20"/>
          <w:spacing w:val="-10"/>
        </w:rPr>
        <w:t xml:space="preserve"> </w:t>
      </w:r>
      <w:r>
        <w:rPr>
          <w:color w:val="231F20"/>
        </w:rPr>
        <w:t>the</w:t>
      </w:r>
      <w:r>
        <w:rPr>
          <w:color w:val="231F20"/>
          <w:spacing w:val="-11"/>
        </w:rPr>
        <w:t xml:space="preserve"> </w:t>
      </w:r>
      <w:r>
        <w:rPr>
          <w:color w:val="231F20"/>
        </w:rPr>
        <w:t>year</w:t>
      </w:r>
      <w:r>
        <w:rPr>
          <w:color w:val="231F20"/>
          <w:spacing w:val="-10"/>
        </w:rPr>
        <w:t xml:space="preserve"> </w:t>
      </w:r>
      <w:r>
        <w:rPr>
          <w:color w:val="231F20"/>
        </w:rPr>
        <w:t>ahead,</w:t>
      </w:r>
      <w:r>
        <w:rPr>
          <w:color w:val="231F20"/>
          <w:spacing w:val="-10"/>
        </w:rPr>
        <w:t xml:space="preserve"> </w:t>
      </w:r>
      <w:r>
        <w:rPr>
          <w:color w:val="231F20"/>
        </w:rPr>
        <w:t>including</w:t>
      </w:r>
      <w:r>
        <w:rPr>
          <w:color w:val="231F20"/>
          <w:spacing w:val="-11"/>
        </w:rPr>
        <w:t xml:space="preserve"> </w:t>
      </w:r>
      <w:r>
        <w:rPr>
          <w:color w:val="231F20"/>
        </w:rPr>
        <w:t>Community</w:t>
      </w:r>
      <w:r>
        <w:rPr>
          <w:color w:val="231F20"/>
          <w:spacing w:val="-10"/>
        </w:rPr>
        <w:t xml:space="preserve"> </w:t>
      </w:r>
      <w:r>
        <w:rPr>
          <w:color w:val="231F20"/>
        </w:rPr>
        <w:t>Safety,</w:t>
      </w:r>
      <w:r>
        <w:rPr>
          <w:color w:val="231F20"/>
          <w:spacing w:val="-10"/>
        </w:rPr>
        <w:t xml:space="preserve"> </w:t>
      </w:r>
      <w:r>
        <w:rPr>
          <w:color w:val="231F20"/>
        </w:rPr>
        <w:t>Reducing</w:t>
      </w:r>
      <w:r>
        <w:rPr>
          <w:color w:val="231F20"/>
          <w:spacing w:val="-11"/>
        </w:rPr>
        <w:t xml:space="preserve"> </w:t>
      </w:r>
      <w:r>
        <w:rPr>
          <w:color w:val="231F20"/>
        </w:rPr>
        <w:t>Crime, Reducing Road Trauma and Service Delivery Excellence.</w:t>
      </w:r>
    </w:p>
    <w:p w14:paraId="2C331CB1" w14:textId="77777777" w:rsidR="00345EE3" w:rsidRDefault="00345EE3" w:rsidP="00345EE3">
      <w:pPr>
        <w:spacing w:line="242" w:lineRule="auto"/>
        <w:sectPr w:rsidR="00345EE3">
          <w:pgSz w:w="11910" w:h="16840"/>
          <w:pgMar w:top="720" w:right="0" w:bottom="280" w:left="740" w:header="720" w:footer="720" w:gutter="0"/>
          <w:cols w:space="720"/>
        </w:sectPr>
      </w:pPr>
    </w:p>
    <w:p w14:paraId="3FE07D3B" w14:textId="77777777" w:rsidR="00345EE3" w:rsidRPr="008D34A6" w:rsidRDefault="00345EE3" w:rsidP="009F560B">
      <w:pPr>
        <w:pStyle w:val="Heading1"/>
        <w:numPr>
          <w:ilvl w:val="0"/>
          <w:numId w:val="93"/>
        </w:numPr>
        <w:tabs>
          <w:tab w:val="left" w:pos="848"/>
        </w:tabs>
        <w:ind w:left="522" w:hanging="522"/>
        <w:rPr>
          <w:b w:val="0"/>
          <w:bCs/>
          <w:sz w:val="56"/>
          <w:szCs w:val="56"/>
        </w:rPr>
      </w:pPr>
      <w:bookmarkStart w:id="2" w:name="_TOC_250005"/>
      <w:r w:rsidRPr="008D34A6">
        <w:rPr>
          <w:b w:val="0"/>
          <w:bCs/>
          <w:color w:val="00529F"/>
          <w:sz w:val="56"/>
          <w:szCs w:val="56"/>
        </w:rPr>
        <w:lastRenderedPageBreak/>
        <w:t>Our</w:t>
      </w:r>
      <w:r w:rsidRPr="008D34A6">
        <w:rPr>
          <w:b w:val="0"/>
          <w:bCs/>
          <w:color w:val="00529F"/>
          <w:spacing w:val="-9"/>
          <w:sz w:val="56"/>
          <w:szCs w:val="56"/>
        </w:rPr>
        <w:t xml:space="preserve"> </w:t>
      </w:r>
      <w:bookmarkEnd w:id="2"/>
      <w:r w:rsidRPr="008D34A6">
        <w:rPr>
          <w:b w:val="0"/>
          <w:bCs/>
          <w:color w:val="00529F"/>
          <w:spacing w:val="-2"/>
          <w:sz w:val="56"/>
          <w:szCs w:val="56"/>
        </w:rPr>
        <w:t>People</w:t>
      </w:r>
    </w:p>
    <w:p w14:paraId="22310C7D" w14:textId="77777777" w:rsidR="00345EE3" w:rsidRPr="009F560B" w:rsidRDefault="00345EE3" w:rsidP="009F560B">
      <w:pPr>
        <w:spacing w:before="90"/>
        <w:rPr>
          <w:sz w:val="32"/>
          <w:szCs w:val="32"/>
        </w:rPr>
      </w:pPr>
      <w:r w:rsidRPr="009F560B">
        <w:rPr>
          <w:color w:val="00529F"/>
          <w:spacing w:val="-4"/>
          <w:sz w:val="32"/>
          <w:szCs w:val="32"/>
        </w:rPr>
        <w:t>General</w:t>
      </w:r>
      <w:r w:rsidRPr="009F560B">
        <w:rPr>
          <w:color w:val="00529F"/>
          <w:spacing w:val="-8"/>
          <w:sz w:val="32"/>
          <w:szCs w:val="32"/>
        </w:rPr>
        <w:t xml:space="preserve"> </w:t>
      </w:r>
      <w:r w:rsidRPr="009F560B">
        <w:rPr>
          <w:color w:val="00529F"/>
          <w:spacing w:val="-2"/>
          <w:sz w:val="32"/>
          <w:szCs w:val="32"/>
        </w:rPr>
        <w:t>Summary</w:t>
      </w:r>
    </w:p>
    <w:p w14:paraId="4EB8D8E6" w14:textId="77777777" w:rsidR="00345EE3" w:rsidRDefault="00345EE3" w:rsidP="00345EE3">
      <w:pPr>
        <w:pStyle w:val="BodyText"/>
        <w:spacing w:before="161" w:line="242" w:lineRule="auto"/>
        <w:ind w:right="1141"/>
      </w:pPr>
      <w:r>
        <w:rPr>
          <w:color w:val="231F20"/>
        </w:rPr>
        <w:t>Victoria Police is committed to building and maintaining a safe, respectful, and inclusive workplace and culture that embraces diversity and equality. The health, safety and wellbeing of</w:t>
      </w:r>
      <w:r>
        <w:rPr>
          <w:color w:val="231F20"/>
          <w:spacing w:val="-8"/>
        </w:rPr>
        <w:t xml:space="preserve"> </w:t>
      </w:r>
      <w:r>
        <w:rPr>
          <w:color w:val="231F20"/>
        </w:rPr>
        <w:t>our</w:t>
      </w:r>
      <w:r>
        <w:rPr>
          <w:color w:val="231F20"/>
          <w:spacing w:val="-8"/>
        </w:rPr>
        <w:t xml:space="preserve"> </w:t>
      </w:r>
      <w:r>
        <w:rPr>
          <w:color w:val="231F20"/>
        </w:rPr>
        <w:t>people</w:t>
      </w:r>
      <w:r>
        <w:rPr>
          <w:color w:val="231F20"/>
          <w:spacing w:val="-9"/>
        </w:rPr>
        <w:t xml:space="preserve"> </w:t>
      </w:r>
      <w:r>
        <w:rPr>
          <w:color w:val="231F20"/>
        </w:rPr>
        <w:t>is</w:t>
      </w:r>
      <w:r>
        <w:rPr>
          <w:color w:val="231F20"/>
          <w:spacing w:val="-8"/>
        </w:rPr>
        <w:t xml:space="preserve"> </w:t>
      </w:r>
      <w:r>
        <w:rPr>
          <w:color w:val="231F20"/>
        </w:rPr>
        <w:t>integral</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achievement</w:t>
      </w:r>
      <w:r>
        <w:rPr>
          <w:color w:val="231F20"/>
          <w:spacing w:val="-8"/>
        </w:rPr>
        <w:t xml:space="preserve"> </w:t>
      </w:r>
      <w:r>
        <w:rPr>
          <w:color w:val="231F20"/>
        </w:rPr>
        <w:t>of</w:t>
      </w:r>
      <w:r>
        <w:rPr>
          <w:color w:val="231F20"/>
          <w:spacing w:val="-8"/>
        </w:rPr>
        <w:t xml:space="preserve"> </w:t>
      </w:r>
      <w:r>
        <w:rPr>
          <w:color w:val="231F20"/>
        </w:rPr>
        <w:t>our</w:t>
      </w:r>
      <w:r>
        <w:rPr>
          <w:color w:val="231F20"/>
          <w:spacing w:val="-8"/>
        </w:rPr>
        <w:t xml:space="preserve"> </w:t>
      </w:r>
      <w:r>
        <w:rPr>
          <w:color w:val="231F20"/>
        </w:rPr>
        <w:t>primary</w:t>
      </w:r>
      <w:r>
        <w:rPr>
          <w:color w:val="231F20"/>
          <w:spacing w:val="-8"/>
        </w:rPr>
        <w:t xml:space="preserve"> </w:t>
      </w:r>
      <w:r>
        <w:rPr>
          <w:color w:val="231F20"/>
        </w:rPr>
        <w:t>role:</w:t>
      </w:r>
      <w:r>
        <w:rPr>
          <w:color w:val="231F20"/>
          <w:spacing w:val="-8"/>
        </w:rPr>
        <w:t xml:space="preserve"> </w:t>
      </w:r>
      <w:r>
        <w:rPr>
          <w:color w:val="231F20"/>
        </w:rPr>
        <w:t>to</w:t>
      </w:r>
      <w:r>
        <w:rPr>
          <w:color w:val="231F20"/>
          <w:spacing w:val="-9"/>
        </w:rPr>
        <w:t xml:space="preserve"> </w:t>
      </w:r>
      <w:r>
        <w:rPr>
          <w:color w:val="231F20"/>
        </w:rPr>
        <w:t>deliver</w:t>
      </w:r>
      <w:r>
        <w:rPr>
          <w:color w:val="231F20"/>
          <w:spacing w:val="-8"/>
        </w:rPr>
        <w:t xml:space="preserve"> </w:t>
      </w:r>
      <w:r>
        <w:rPr>
          <w:color w:val="231F20"/>
        </w:rPr>
        <w:t>a</w:t>
      </w:r>
      <w:r>
        <w:rPr>
          <w:color w:val="231F20"/>
          <w:spacing w:val="-9"/>
        </w:rPr>
        <w:t xml:space="preserve"> </w:t>
      </w:r>
      <w:r>
        <w:rPr>
          <w:color w:val="231F20"/>
        </w:rPr>
        <w:t>safer</w:t>
      </w:r>
      <w:r>
        <w:rPr>
          <w:color w:val="231F20"/>
          <w:spacing w:val="-8"/>
        </w:rPr>
        <w:t xml:space="preserve"> </w:t>
      </w:r>
      <w:r>
        <w:rPr>
          <w:color w:val="231F20"/>
        </w:rPr>
        <w:t>Victoria.</w:t>
      </w:r>
      <w:r>
        <w:rPr>
          <w:color w:val="231F20"/>
          <w:spacing w:val="-8"/>
        </w:rPr>
        <w:t xml:space="preserve"> </w:t>
      </w:r>
      <w:r>
        <w:rPr>
          <w:color w:val="231F20"/>
        </w:rPr>
        <w:t>This chapter celebrates our people and our achievements in 2021–22.</w:t>
      </w:r>
    </w:p>
    <w:p w14:paraId="2465BFF4" w14:textId="77777777" w:rsidR="00345EE3" w:rsidRPr="009F560B" w:rsidRDefault="00345EE3" w:rsidP="00345EE3">
      <w:pPr>
        <w:pStyle w:val="Heading2"/>
        <w:spacing w:before="217"/>
        <w:rPr>
          <w:sz w:val="32"/>
          <w:szCs w:val="32"/>
        </w:rPr>
      </w:pPr>
      <w:r w:rsidRPr="009F560B">
        <w:rPr>
          <w:color w:val="00529F"/>
          <w:sz w:val="32"/>
          <w:szCs w:val="32"/>
        </w:rPr>
        <w:t>Workforce</w:t>
      </w:r>
      <w:r w:rsidRPr="009F560B">
        <w:rPr>
          <w:color w:val="00529F"/>
          <w:spacing w:val="-11"/>
          <w:sz w:val="32"/>
          <w:szCs w:val="32"/>
        </w:rPr>
        <w:t xml:space="preserve"> </w:t>
      </w:r>
      <w:r w:rsidRPr="009F560B">
        <w:rPr>
          <w:color w:val="00529F"/>
          <w:spacing w:val="-2"/>
          <w:sz w:val="32"/>
          <w:szCs w:val="32"/>
        </w:rPr>
        <w:t>Overview</w:t>
      </w:r>
    </w:p>
    <w:p w14:paraId="6E81C9A8" w14:textId="77777777" w:rsidR="00345EE3" w:rsidRDefault="00345EE3" w:rsidP="00345EE3">
      <w:pPr>
        <w:pStyle w:val="BodyText"/>
        <w:spacing w:before="72" w:line="242" w:lineRule="auto"/>
        <w:ind w:right="921"/>
      </w:pPr>
      <w:r>
        <w:rPr>
          <w:color w:val="231F20"/>
        </w:rPr>
        <w:t>Our organisation exceeds 21,398 employees, with Police Officers and Protective Services Officers</w:t>
      </w:r>
      <w:r>
        <w:rPr>
          <w:color w:val="231F20"/>
          <w:spacing w:val="-9"/>
        </w:rPr>
        <w:t xml:space="preserve"> </w:t>
      </w:r>
      <w:r>
        <w:rPr>
          <w:color w:val="231F20"/>
        </w:rPr>
        <w:t>(PSOs)</w:t>
      </w:r>
      <w:r>
        <w:rPr>
          <w:color w:val="231F20"/>
          <w:spacing w:val="-9"/>
        </w:rPr>
        <w:t xml:space="preserve"> </w:t>
      </w:r>
      <w:r>
        <w:rPr>
          <w:color w:val="231F20"/>
        </w:rPr>
        <w:t>supported</w:t>
      </w:r>
      <w:r>
        <w:rPr>
          <w:color w:val="231F20"/>
          <w:spacing w:val="-10"/>
        </w:rPr>
        <w:t xml:space="preserve"> </w:t>
      </w:r>
      <w:r>
        <w:rPr>
          <w:color w:val="231F20"/>
        </w:rPr>
        <w:t>in</w:t>
      </w:r>
      <w:r>
        <w:rPr>
          <w:color w:val="231F20"/>
          <w:spacing w:val="-10"/>
        </w:rPr>
        <w:t xml:space="preserve"> </w:t>
      </w:r>
      <w:r>
        <w:rPr>
          <w:color w:val="231F20"/>
        </w:rPr>
        <w:t>their</w:t>
      </w:r>
      <w:r>
        <w:rPr>
          <w:color w:val="231F20"/>
          <w:spacing w:val="-9"/>
        </w:rPr>
        <w:t xml:space="preserve"> </w:t>
      </w:r>
      <w:r>
        <w:rPr>
          <w:color w:val="231F20"/>
        </w:rPr>
        <w:t>roles</w:t>
      </w:r>
      <w:r>
        <w:rPr>
          <w:color w:val="231F20"/>
          <w:spacing w:val="-9"/>
        </w:rPr>
        <w:t xml:space="preserve"> </w:t>
      </w:r>
      <w:r>
        <w:rPr>
          <w:color w:val="231F20"/>
        </w:rPr>
        <w:t>by</w:t>
      </w:r>
      <w:r>
        <w:rPr>
          <w:color w:val="231F20"/>
          <w:spacing w:val="-9"/>
        </w:rPr>
        <w:t xml:space="preserve"> </w:t>
      </w:r>
      <w:r>
        <w:rPr>
          <w:color w:val="231F20"/>
        </w:rPr>
        <w:t>Victorian</w:t>
      </w:r>
      <w:r>
        <w:rPr>
          <w:color w:val="231F20"/>
          <w:spacing w:val="-10"/>
        </w:rPr>
        <w:t xml:space="preserve"> </w:t>
      </w:r>
      <w:r>
        <w:rPr>
          <w:color w:val="231F20"/>
        </w:rPr>
        <w:t>Public</w:t>
      </w:r>
      <w:r>
        <w:rPr>
          <w:color w:val="231F20"/>
          <w:spacing w:val="-9"/>
        </w:rPr>
        <w:t xml:space="preserve"> </w:t>
      </w:r>
      <w:r>
        <w:rPr>
          <w:color w:val="231F20"/>
        </w:rPr>
        <w:t>Service</w:t>
      </w:r>
      <w:r>
        <w:rPr>
          <w:color w:val="231F20"/>
          <w:spacing w:val="-10"/>
        </w:rPr>
        <w:t xml:space="preserve"> </w:t>
      </w:r>
      <w:r>
        <w:rPr>
          <w:color w:val="231F20"/>
        </w:rPr>
        <w:t>(VPS)</w:t>
      </w:r>
      <w:r>
        <w:rPr>
          <w:color w:val="231F20"/>
          <w:spacing w:val="-9"/>
        </w:rPr>
        <w:t xml:space="preserve"> </w:t>
      </w:r>
      <w:r>
        <w:rPr>
          <w:color w:val="231F20"/>
        </w:rPr>
        <w:t>employees.</w:t>
      </w:r>
      <w:r>
        <w:rPr>
          <w:color w:val="231F20"/>
          <w:spacing w:val="-9"/>
        </w:rPr>
        <w:t xml:space="preserve"> </w:t>
      </w:r>
      <w:r>
        <w:rPr>
          <w:color w:val="231F20"/>
        </w:rPr>
        <w:t>Further breakdowns of our workforce can be found in Chapter 5.</w:t>
      </w:r>
    </w:p>
    <w:p w14:paraId="04221FF4" w14:textId="77777777" w:rsidR="00345EE3" w:rsidRDefault="00345EE3" w:rsidP="00345EE3">
      <w:pPr>
        <w:spacing w:before="123"/>
        <w:ind w:left="110"/>
        <w:rPr>
          <w:i/>
          <w:sz w:val="18"/>
        </w:rPr>
      </w:pPr>
      <w:r>
        <w:rPr>
          <w:color w:val="231F20"/>
          <w:sz w:val="18"/>
        </w:rPr>
        <w:t>Table</w:t>
      </w:r>
      <w:r>
        <w:rPr>
          <w:color w:val="231F20"/>
          <w:spacing w:val="-8"/>
          <w:sz w:val="18"/>
        </w:rPr>
        <w:t xml:space="preserve"> </w:t>
      </w:r>
      <w:r>
        <w:rPr>
          <w:color w:val="231F20"/>
          <w:sz w:val="18"/>
        </w:rPr>
        <w:t>2.1</w:t>
      </w:r>
      <w:r>
        <w:rPr>
          <w:color w:val="231F20"/>
          <w:spacing w:val="-6"/>
          <w:sz w:val="18"/>
        </w:rPr>
        <w:t xml:space="preserve"> </w:t>
      </w:r>
      <w:r w:rsidRPr="00447AC0">
        <w:rPr>
          <w:b/>
          <w:bCs/>
          <w:i/>
          <w:color w:val="231F20"/>
          <w:sz w:val="18"/>
        </w:rPr>
        <w:t>Full</w:t>
      </w:r>
      <w:r w:rsidRPr="00447AC0">
        <w:rPr>
          <w:b/>
          <w:bCs/>
          <w:i/>
          <w:color w:val="231F20"/>
          <w:spacing w:val="-5"/>
          <w:sz w:val="18"/>
        </w:rPr>
        <w:t xml:space="preserve"> </w:t>
      </w:r>
      <w:r w:rsidRPr="00447AC0">
        <w:rPr>
          <w:b/>
          <w:bCs/>
          <w:i/>
          <w:color w:val="231F20"/>
          <w:sz w:val="18"/>
        </w:rPr>
        <w:t>Time</w:t>
      </w:r>
      <w:r w:rsidRPr="00447AC0">
        <w:rPr>
          <w:b/>
          <w:bCs/>
          <w:i/>
          <w:color w:val="231F20"/>
          <w:spacing w:val="-6"/>
          <w:sz w:val="18"/>
        </w:rPr>
        <w:t xml:space="preserve"> </w:t>
      </w:r>
      <w:r w:rsidRPr="00447AC0">
        <w:rPr>
          <w:b/>
          <w:bCs/>
          <w:i/>
          <w:color w:val="231F20"/>
          <w:sz w:val="18"/>
        </w:rPr>
        <w:t>Equivalent</w:t>
      </w:r>
      <w:r w:rsidRPr="00447AC0">
        <w:rPr>
          <w:b/>
          <w:bCs/>
          <w:i/>
          <w:color w:val="231F20"/>
          <w:spacing w:val="-5"/>
          <w:sz w:val="18"/>
        </w:rPr>
        <w:t xml:space="preserve"> </w:t>
      </w:r>
      <w:r w:rsidRPr="00447AC0">
        <w:rPr>
          <w:b/>
          <w:bCs/>
          <w:i/>
          <w:color w:val="231F20"/>
          <w:sz w:val="18"/>
        </w:rPr>
        <w:t>(FTE)</w:t>
      </w:r>
      <w:r w:rsidRPr="00447AC0">
        <w:rPr>
          <w:b/>
          <w:bCs/>
          <w:i/>
          <w:color w:val="231F20"/>
          <w:spacing w:val="-4"/>
          <w:sz w:val="18"/>
        </w:rPr>
        <w:t xml:space="preserve"> </w:t>
      </w:r>
      <w:r w:rsidRPr="00447AC0">
        <w:rPr>
          <w:b/>
          <w:bCs/>
          <w:i/>
          <w:color w:val="231F20"/>
          <w:spacing w:val="-2"/>
          <w:sz w:val="18"/>
        </w:rPr>
        <w:t>Summary</w:t>
      </w:r>
    </w:p>
    <w:p w14:paraId="2C30991A" w14:textId="77777777" w:rsidR="00345EE3" w:rsidRDefault="00345EE3" w:rsidP="00345EE3">
      <w:pPr>
        <w:pStyle w:val="BodyText"/>
        <w:spacing w:before="10"/>
        <w:rPr>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402"/>
        <w:gridCol w:w="1701"/>
        <w:gridCol w:w="1701"/>
      </w:tblGrid>
      <w:tr w:rsidR="00345EE3" w14:paraId="33D998C0" w14:textId="77777777" w:rsidTr="00D73130">
        <w:trPr>
          <w:trHeight w:val="681"/>
        </w:trPr>
        <w:tc>
          <w:tcPr>
            <w:tcW w:w="3402" w:type="dxa"/>
            <w:tcBorders>
              <w:top w:val="nil"/>
              <w:left w:val="nil"/>
              <w:bottom w:val="nil"/>
              <w:right w:val="nil"/>
            </w:tcBorders>
            <w:shd w:val="clear" w:color="auto" w:fill="00529F"/>
          </w:tcPr>
          <w:p w14:paraId="5F6E3C88" w14:textId="77777777" w:rsidR="00345EE3" w:rsidRDefault="00345EE3" w:rsidP="00D73130">
            <w:pPr>
              <w:pStyle w:val="TableParagraph"/>
              <w:spacing w:before="63"/>
              <w:ind w:left="-1"/>
              <w:jc w:val="left"/>
              <w:rPr>
                <w:b/>
                <w:sz w:val="24"/>
              </w:rPr>
            </w:pPr>
            <w:r>
              <w:rPr>
                <w:b/>
                <w:color w:val="FFFFFF"/>
                <w:sz w:val="24"/>
              </w:rPr>
              <w:t>Employees</w:t>
            </w:r>
            <w:r>
              <w:rPr>
                <w:b/>
                <w:color w:val="FFFFFF"/>
                <w:spacing w:val="-13"/>
                <w:sz w:val="24"/>
              </w:rPr>
              <w:t xml:space="preserve"> </w:t>
            </w:r>
            <w:r>
              <w:rPr>
                <w:b/>
                <w:color w:val="FFFFFF"/>
                <w:spacing w:val="-4"/>
                <w:sz w:val="24"/>
              </w:rPr>
              <w:t>(FTE)</w:t>
            </w:r>
          </w:p>
        </w:tc>
        <w:tc>
          <w:tcPr>
            <w:tcW w:w="1701" w:type="dxa"/>
            <w:tcBorders>
              <w:top w:val="nil"/>
              <w:left w:val="nil"/>
              <w:bottom w:val="nil"/>
              <w:right w:val="nil"/>
            </w:tcBorders>
            <w:shd w:val="clear" w:color="auto" w:fill="00529F"/>
          </w:tcPr>
          <w:p w14:paraId="23150F31" w14:textId="77777777" w:rsidR="00345EE3" w:rsidRDefault="00345EE3" w:rsidP="00D73130">
            <w:pPr>
              <w:pStyle w:val="TableParagraph"/>
              <w:spacing w:before="63" w:line="242" w:lineRule="auto"/>
              <w:ind w:left="229" w:right="-2" w:firstLine="890"/>
              <w:jc w:val="left"/>
              <w:rPr>
                <w:b/>
                <w:sz w:val="24"/>
              </w:rPr>
            </w:pPr>
            <w:r>
              <w:rPr>
                <w:b/>
                <w:color w:val="FFFFFF"/>
                <w:spacing w:val="-2"/>
                <w:sz w:val="24"/>
              </w:rPr>
              <w:t>As</w:t>
            </w:r>
            <w:r>
              <w:rPr>
                <w:b/>
                <w:color w:val="FFFFFF"/>
                <w:spacing w:val="-15"/>
                <w:sz w:val="24"/>
              </w:rPr>
              <w:t xml:space="preserve"> </w:t>
            </w:r>
            <w:r>
              <w:rPr>
                <w:b/>
                <w:color w:val="FFFFFF"/>
                <w:spacing w:val="-2"/>
                <w:sz w:val="24"/>
              </w:rPr>
              <w:t xml:space="preserve">at </w:t>
            </w:r>
            <w:r>
              <w:rPr>
                <w:b/>
                <w:color w:val="FFFFFF"/>
                <w:sz w:val="24"/>
              </w:rPr>
              <w:t>19</w:t>
            </w:r>
            <w:r>
              <w:rPr>
                <w:b/>
                <w:color w:val="FFFFFF"/>
                <w:spacing w:val="-11"/>
                <w:sz w:val="24"/>
              </w:rPr>
              <w:t xml:space="preserve"> </w:t>
            </w:r>
            <w:r>
              <w:rPr>
                <w:b/>
                <w:color w:val="FFFFFF"/>
                <w:sz w:val="24"/>
              </w:rPr>
              <w:t>June</w:t>
            </w:r>
            <w:r>
              <w:rPr>
                <w:b/>
                <w:color w:val="FFFFFF"/>
                <w:spacing w:val="-11"/>
                <w:sz w:val="24"/>
              </w:rPr>
              <w:t xml:space="preserve"> </w:t>
            </w:r>
            <w:r>
              <w:rPr>
                <w:b/>
                <w:color w:val="FFFFFF"/>
                <w:spacing w:val="-5"/>
                <w:sz w:val="24"/>
              </w:rPr>
              <w:t>2021</w:t>
            </w:r>
          </w:p>
        </w:tc>
        <w:tc>
          <w:tcPr>
            <w:tcW w:w="1701" w:type="dxa"/>
            <w:tcBorders>
              <w:top w:val="nil"/>
              <w:left w:val="nil"/>
              <w:bottom w:val="nil"/>
              <w:right w:val="nil"/>
            </w:tcBorders>
            <w:shd w:val="clear" w:color="auto" w:fill="00529F"/>
          </w:tcPr>
          <w:p w14:paraId="79F47FD9" w14:textId="77777777" w:rsidR="00345EE3" w:rsidRDefault="00345EE3" w:rsidP="00D73130">
            <w:pPr>
              <w:pStyle w:val="TableParagraph"/>
              <w:spacing w:before="63" w:line="242" w:lineRule="auto"/>
              <w:ind w:left="232" w:right="-5" w:firstLine="890"/>
              <w:jc w:val="left"/>
              <w:rPr>
                <w:b/>
                <w:sz w:val="24"/>
              </w:rPr>
            </w:pPr>
            <w:r>
              <w:rPr>
                <w:b/>
                <w:color w:val="FFFFFF"/>
                <w:spacing w:val="-2"/>
                <w:sz w:val="24"/>
              </w:rPr>
              <w:t>As</w:t>
            </w:r>
            <w:r>
              <w:rPr>
                <w:b/>
                <w:color w:val="FFFFFF"/>
                <w:spacing w:val="-15"/>
                <w:sz w:val="24"/>
              </w:rPr>
              <w:t xml:space="preserve"> </w:t>
            </w:r>
            <w:r>
              <w:rPr>
                <w:b/>
                <w:color w:val="FFFFFF"/>
                <w:spacing w:val="-2"/>
                <w:sz w:val="24"/>
              </w:rPr>
              <w:t xml:space="preserve">at </w:t>
            </w:r>
            <w:r>
              <w:rPr>
                <w:b/>
                <w:color w:val="FFFFFF"/>
                <w:sz w:val="24"/>
              </w:rPr>
              <w:t>18</w:t>
            </w:r>
            <w:r>
              <w:rPr>
                <w:b/>
                <w:color w:val="FFFFFF"/>
                <w:spacing w:val="-11"/>
                <w:sz w:val="24"/>
              </w:rPr>
              <w:t xml:space="preserve"> </w:t>
            </w:r>
            <w:r>
              <w:rPr>
                <w:b/>
                <w:color w:val="FFFFFF"/>
                <w:sz w:val="24"/>
              </w:rPr>
              <w:t>June</w:t>
            </w:r>
            <w:r>
              <w:rPr>
                <w:b/>
                <w:color w:val="FFFFFF"/>
                <w:spacing w:val="-11"/>
                <w:sz w:val="24"/>
              </w:rPr>
              <w:t xml:space="preserve"> </w:t>
            </w:r>
            <w:r>
              <w:rPr>
                <w:b/>
                <w:color w:val="FFFFFF"/>
                <w:spacing w:val="-5"/>
                <w:sz w:val="24"/>
              </w:rPr>
              <w:t>2022</w:t>
            </w:r>
          </w:p>
        </w:tc>
      </w:tr>
      <w:tr w:rsidR="00345EE3" w14:paraId="2062CDFA" w14:textId="77777777" w:rsidTr="00D73130">
        <w:trPr>
          <w:trHeight w:val="396"/>
        </w:trPr>
        <w:tc>
          <w:tcPr>
            <w:tcW w:w="3402" w:type="dxa"/>
            <w:tcBorders>
              <w:top w:val="nil"/>
              <w:left w:val="nil"/>
            </w:tcBorders>
          </w:tcPr>
          <w:p w14:paraId="3DC5CD66" w14:textId="77777777" w:rsidR="00345EE3" w:rsidRDefault="00345EE3" w:rsidP="00D73130">
            <w:pPr>
              <w:pStyle w:val="TableParagraph"/>
              <w:ind w:left="-3"/>
              <w:jc w:val="left"/>
              <w:rPr>
                <w:sz w:val="24"/>
              </w:rPr>
            </w:pPr>
            <w:r>
              <w:rPr>
                <w:color w:val="231F20"/>
                <w:sz w:val="24"/>
              </w:rPr>
              <w:t xml:space="preserve">Police </w:t>
            </w:r>
            <w:r>
              <w:rPr>
                <w:color w:val="231F20"/>
                <w:spacing w:val="-2"/>
                <w:sz w:val="24"/>
              </w:rPr>
              <w:t>officers</w:t>
            </w:r>
          </w:p>
        </w:tc>
        <w:tc>
          <w:tcPr>
            <w:tcW w:w="1701" w:type="dxa"/>
            <w:tcBorders>
              <w:top w:val="nil"/>
            </w:tcBorders>
          </w:tcPr>
          <w:p w14:paraId="68659F1D" w14:textId="77777777" w:rsidR="00345EE3" w:rsidRDefault="00345EE3" w:rsidP="00D73130">
            <w:pPr>
              <w:pStyle w:val="TableParagraph"/>
              <w:ind w:right="1"/>
              <w:rPr>
                <w:sz w:val="24"/>
              </w:rPr>
            </w:pPr>
            <w:r>
              <w:rPr>
                <w:color w:val="231F20"/>
                <w:spacing w:val="-2"/>
                <w:sz w:val="24"/>
              </w:rPr>
              <w:t>16,284</w:t>
            </w:r>
          </w:p>
        </w:tc>
        <w:tc>
          <w:tcPr>
            <w:tcW w:w="1701" w:type="dxa"/>
            <w:tcBorders>
              <w:top w:val="nil"/>
              <w:right w:val="nil"/>
            </w:tcBorders>
          </w:tcPr>
          <w:p w14:paraId="1D960C4E" w14:textId="77777777" w:rsidR="00345EE3" w:rsidRDefault="00345EE3" w:rsidP="00D73130">
            <w:pPr>
              <w:pStyle w:val="TableParagraph"/>
              <w:ind w:right="1"/>
              <w:rPr>
                <w:sz w:val="24"/>
              </w:rPr>
            </w:pPr>
            <w:r>
              <w:rPr>
                <w:color w:val="231F20"/>
                <w:spacing w:val="-2"/>
                <w:sz w:val="24"/>
              </w:rPr>
              <w:t>16,159</w:t>
            </w:r>
          </w:p>
        </w:tc>
      </w:tr>
      <w:tr w:rsidR="00345EE3" w14:paraId="12DE9841" w14:textId="77777777" w:rsidTr="00D73130">
        <w:trPr>
          <w:trHeight w:val="396"/>
        </w:trPr>
        <w:tc>
          <w:tcPr>
            <w:tcW w:w="3402" w:type="dxa"/>
            <w:tcBorders>
              <w:left w:val="nil"/>
            </w:tcBorders>
          </w:tcPr>
          <w:p w14:paraId="0984A7CC" w14:textId="77777777" w:rsidR="00345EE3" w:rsidRDefault="00345EE3" w:rsidP="00D73130">
            <w:pPr>
              <w:pStyle w:val="TableParagraph"/>
              <w:ind w:left="-3"/>
              <w:jc w:val="left"/>
              <w:rPr>
                <w:sz w:val="24"/>
              </w:rPr>
            </w:pPr>
            <w:r>
              <w:rPr>
                <w:color w:val="231F20"/>
                <w:sz w:val="24"/>
              </w:rPr>
              <w:t xml:space="preserve">Police </w:t>
            </w:r>
            <w:r>
              <w:rPr>
                <w:color w:val="231F20"/>
                <w:spacing w:val="-2"/>
                <w:sz w:val="24"/>
              </w:rPr>
              <w:t>Recruits</w:t>
            </w:r>
          </w:p>
        </w:tc>
        <w:tc>
          <w:tcPr>
            <w:tcW w:w="1701" w:type="dxa"/>
          </w:tcPr>
          <w:p w14:paraId="4125E486" w14:textId="77777777" w:rsidR="00345EE3" w:rsidRDefault="00345EE3" w:rsidP="00D73130">
            <w:pPr>
              <w:pStyle w:val="TableParagraph"/>
              <w:ind w:right="1"/>
              <w:rPr>
                <w:sz w:val="24"/>
              </w:rPr>
            </w:pPr>
            <w:r>
              <w:rPr>
                <w:color w:val="231F20"/>
                <w:spacing w:val="-5"/>
                <w:sz w:val="24"/>
              </w:rPr>
              <w:t>179</w:t>
            </w:r>
          </w:p>
        </w:tc>
        <w:tc>
          <w:tcPr>
            <w:tcW w:w="1701" w:type="dxa"/>
            <w:tcBorders>
              <w:right w:val="nil"/>
            </w:tcBorders>
          </w:tcPr>
          <w:p w14:paraId="65BCB0FC" w14:textId="77777777" w:rsidR="00345EE3" w:rsidRDefault="00345EE3" w:rsidP="00D73130">
            <w:pPr>
              <w:pStyle w:val="TableParagraph"/>
              <w:rPr>
                <w:sz w:val="24"/>
              </w:rPr>
            </w:pPr>
            <w:r>
              <w:rPr>
                <w:color w:val="231F20"/>
                <w:spacing w:val="-5"/>
                <w:sz w:val="24"/>
              </w:rPr>
              <w:t>69</w:t>
            </w:r>
          </w:p>
        </w:tc>
      </w:tr>
      <w:tr w:rsidR="00345EE3" w14:paraId="79E2997D" w14:textId="77777777" w:rsidTr="00D73130">
        <w:trPr>
          <w:trHeight w:val="396"/>
        </w:trPr>
        <w:tc>
          <w:tcPr>
            <w:tcW w:w="3402" w:type="dxa"/>
            <w:tcBorders>
              <w:left w:val="nil"/>
            </w:tcBorders>
          </w:tcPr>
          <w:p w14:paraId="0083ADE3" w14:textId="77777777" w:rsidR="00345EE3" w:rsidRDefault="00345EE3" w:rsidP="00D73130">
            <w:pPr>
              <w:pStyle w:val="TableParagraph"/>
              <w:ind w:left="-3"/>
              <w:jc w:val="left"/>
              <w:rPr>
                <w:sz w:val="24"/>
              </w:rPr>
            </w:pPr>
            <w:r>
              <w:rPr>
                <w:color w:val="231F20"/>
                <w:spacing w:val="-2"/>
                <w:sz w:val="24"/>
              </w:rPr>
              <w:t>Reservists</w:t>
            </w:r>
          </w:p>
        </w:tc>
        <w:tc>
          <w:tcPr>
            <w:tcW w:w="1701" w:type="dxa"/>
          </w:tcPr>
          <w:p w14:paraId="56B2A0C0" w14:textId="77777777" w:rsidR="00345EE3" w:rsidRDefault="00345EE3" w:rsidP="00D73130">
            <w:pPr>
              <w:pStyle w:val="TableParagraph"/>
              <w:rPr>
                <w:sz w:val="24"/>
              </w:rPr>
            </w:pPr>
            <w:r>
              <w:rPr>
                <w:color w:val="231F20"/>
                <w:sz w:val="24"/>
              </w:rPr>
              <w:t>2</w:t>
            </w:r>
          </w:p>
        </w:tc>
        <w:tc>
          <w:tcPr>
            <w:tcW w:w="1701" w:type="dxa"/>
            <w:tcBorders>
              <w:right w:val="nil"/>
            </w:tcBorders>
          </w:tcPr>
          <w:p w14:paraId="1DCDC3F0" w14:textId="77777777" w:rsidR="00345EE3" w:rsidRDefault="00345EE3" w:rsidP="00D73130">
            <w:pPr>
              <w:pStyle w:val="TableParagraph"/>
              <w:ind w:right="-15"/>
              <w:rPr>
                <w:sz w:val="24"/>
              </w:rPr>
            </w:pPr>
            <w:r>
              <w:rPr>
                <w:color w:val="231F20"/>
                <w:sz w:val="24"/>
              </w:rPr>
              <w:t>2</w:t>
            </w:r>
          </w:p>
        </w:tc>
      </w:tr>
      <w:tr w:rsidR="00345EE3" w14:paraId="7A7717D3" w14:textId="77777777" w:rsidTr="00D73130">
        <w:trPr>
          <w:trHeight w:val="396"/>
        </w:trPr>
        <w:tc>
          <w:tcPr>
            <w:tcW w:w="3402" w:type="dxa"/>
            <w:tcBorders>
              <w:left w:val="nil"/>
            </w:tcBorders>
          </w:tcPr>
          <w:p w14:paraId="05273F4F" w14:textId="77777777" w:rsidR="00345EE3" w:rsidRDefault="00345EE3" w:rsidP="00D73130">
            <w:pPr>
              <w:pStyle w:val="TableParagraph"/>
              <w:ind w:left="-3"/>
              <w:jc w:val="left"/>
              <w:rPr>
                <w:sz w:val="24"/>
              </w:rPr>
            </w:pPr>
            <w:r>
              <w:rPr>
                <w:color w:val="231F20"/>
                <w:spacing w:val="-4"/>
                <w:sz w:val="24"/>
              </w:rPr>
              <w:t>PSOs</w:t>
            </w:r>
          </w:p>
        </w:tc>
        <w:tc>
          <w:tcPr>
            <w:tcW w:w="1701" w:type="dxa"/>
          </w:tcPr>
          <w:p w14:paraId="4DB46695" w14:textId="77777777" w:rsidR="00345EE3" w:rsidRDefault="00345EE3" w:rsidP="00D73130">
            <w:pPr>
              <w:pStyle w:val="TableParagraph"/>
              <w:ind w:right="1"/>
              <w:rPr>
                <w:sz w:val="24"/>
              </w:rPr>
            </w:pPr>
            <w:r>
              <w:rPr>
                <w:color w:val="231F20"/>
                <w:spacing w:val="-2"/>
                <w:sz w:val="24"/>
              </w:rPr>
              <w:t>1,466</w:t>
            </w:r>
          </w:p>
        </w:tc>
        <w:tc>
          <w:tcPr>
            <w:tcW w:w="1701" w:type="dxa"/>
            <w:tcBorders>
              <w:right w:val="nil"/>
            </w:tcBorders>
          </w:tcPr>
          <w:p w14:paraId="1CD03467" w14:textId="77777777" w:rsidR="00345EE3" w:rsidRDefault="00345EE3" w:rsidP="00D73130">
            <w:pPr>
              <w:pStyle w:val="TableParagraph"/>
              <w:ind w:right="1"/>
              <w:rPr>
                <w:sz w:val="24"/>
              </w:rPr>
            </w:pPr>
            <w:r>
              <w:rPr>
                <w:color w:val="231F20"/>
                <w:spacing w:val="-2"/>
                <w:sz w:val="24"/>
              </w:rPr>
              <w:t>1,438</w:t>
            </w:r>
          </w:p>
        </w:tc>
      </w:tr>
      <w:tr w:rsidR="00345EE3" w14:paraId="2065340D" w14:textId="77777777" w:rsidTr="00D73130">
        <w:trPr>
          <w:trHeight w:val="396"/>
        </w:trPr>
        <w:tc>
          <w:tcPr>
            <w:tcW w:w="3402" w:type="dxa"/>
            <w:tcBorders>
              <w:left w:val="nil"/>
            </w:tcBorders>
          </w:tcPr>
          <w:p w14:paraId="45D9F3A3" w14:textId="77777777" w:rsidR="00345EE3" w:rsidRDefault="00345EE3" w:rsidP="00D73130">
            <w:pPr>
              <w:pStyle w:val="TableParagraph"/>
              <w:ind w:left="-3"/>
              <w:jc w:val="left"/>
              <w:rPr>
                <w:sz w:val="24"/>
              </w:rPr>
            </w:pPr>
            <w:r>
              <w:rPr>
                <w:color w:val="231F20"/>
                <w:sz w:val="24"/>
              </w:rPr>
              <w:t>Police</w:t>
            </w:r>
            <w:r>
              <w:rPr>
                <w:color w:val="231F20"/>
                <w:spacing w:val="-3"/>
                <w:sz w:val="24"/>
              </w:rPr>
              <w:t xml:space="preserve"> </w:t>
            </w:r>
            <w:r>
              <w:rPr>
                <w:color w:val="231F20"/>
                <w:sz w:val="24"/>
              </w:rPr>
              <w:t>Custody</w:t>
            </w:r>
            <w:r>
              <w:rPr>
                <w:color w:val="231F20"/>
                <w:spacing w:val="-2"/>
                <w:sz w:val="24"/>
              </w:rPr>
              <w:t xml:space="preserve"> </w:t>
            </w:r>
            <w:r>
              <w:rPr>
                <w:color w:val="231F20"/>
                <w:sz w:val="24"/>
              </w:rPr>
              <w:t>Officers</w:t>
            </w:r>
            <w:r>
              <w:rPr>
                <w:color w:val="231F20"/>
                <w:spacing w:val="-2"/>
                <w:sz w:val="24"/>
              </w:rPr>
              <w:t xml:space="preserve"> (PCOs)</w:t>
            </w:r>
          </w:p>
        </w:tc>
        <w:tc>
          <w:tcPr>
            <w:tcW w:w="1701" w:type="dxa"/>
          </w:tcPr>
          <w:p w14:paraId="556482F7" w14:textId="77777777" w:rsidR="00345EE3" w:rsidRDefault="00345EE3" w:rsidP="00D73130">
            <w:pPr>
              <w:pStyle w:val="TableParagraph"/>
              <w:ind w:right="1"/>
              <w:rPr>
                <w:sz w:val="24"/>
              </w:rPr>
            </w:pPr>
            <w:r>
              <w:rPr>
                <w:color w:val="231F20"/>
                <w:spacing w:val="-5"/>
                <w:sz w:val="24"/>
              </w:rPr>
              <w:t>393</w:t>
            </w:r>
          </w:p>
        </w:tc>
        <w:tc>
          <w:tcPr>
            <w:tcW w:w="1701" w:type="dxa"/>
            <w:tcBorders>
              <w:right w:val="nil"/>
            </w:tcBorders>
          </w:tcPr>
          <w:p w14:paraId="0C0113E7" w14:textId="77777777" w:rsidR="00345EE3" w:rsidRDefault="00345EE3" w:rsidP="00D73130">
            <w:pPr>
              <w:pStyle w:val="TableParagraph"/>
              <w:rPr>
                <w:sz w:val="24"/>
              </w:rPr>
            </w:pPr>
            <w:r>
              <w:rPr>
                <w:color w:val="231F20"/>
                <w:spacing w:val="-5"/>
                <w:sz w:val="24"/>
              </w:rPr>
              <w:t>386</w:t>
            </w:r>
          </w:p>
        </w:tc>
      </w:tr>
      <w:tr w:rsidR="00345EE3" w14:paraId="035730C2" w14:textId="77777777" w:rsidTr="00D73130">
        <w:trPr>
          <w:trHeight w:val="396"/>
        </w:trPr>
        <w:tc>
          <w:tcPr>
            <w:tcW w:w="3402" w:type="dxa"/>
            <w:tcBorders>
              <w:left w:val="nil"/>
            </w:tcBorders>
          </w:tcPr>
          <w:p w14:paraId="658A93DD" w14:textId="77777777" w:rsidR="00345EE3" w:rsidRDefault="00345EE3" w:rsidP="00D73130">
            <w:pPr>
              <w:pStyle w:val="TableParagraph"/>
              <w:ind w:left="-3"/>
              <w:jc w:val="left"/>
              <w:rPr>
                <w:sz w:val="24"/>
              </w:rPr>
            </w:pPr>
            <w:r>
              <w:rPr>
                <w:color w:val="231F20"/>
                <w:sz w:val="24"/>
              </w:rPr>
              <w:t xml:space="preserve">VPS </w:t>
            </w:r>
            <w:r>
              <w:rPr>
                <w:color w:val="231F20"/>
                <w:spacing w:val="-2"/>
                <w:sz w:val="24"/>
              </w:rPr>
              <w:t>employees</w:t>
            </w:r>
          </w:p>
        </w:tc>
        <w:tc>
          <w:tcPr>
            <w:tcW w:w="1701" w:type="dxa"/>
          </w:tcPr>
          <w:p w14:paraId="10576785" w14:textId="77777777" w:rsidR="00345EE3" w:rsidRDefault="00345EE3" w:rsidP="00D73130">
            <w:pPr>
              <w:pStyle w:val="TableParagraph"/>
              <w:ind w:right="1"/>
              <w:rPr>
                <w:sz w:val="24"/>
              </w:rPr>
            </w:pPr>
            <w:r>
              <w:rPr>
                <w:color w:val="231F20"/>
                <w:spacing w:val="-2"/>
                <w:sz w:val="24"/>
              </w:rPr>
              <w:t>3,451</w:t>
            </w:r>
          </w:p>
        </w:tc>
        <w:tc>
          <w:tcPr>
            <w:tcW w:w="1701" w:type="dxa"/>
            <w:tcBorders>
              <w:right w:val="nil"/>
            </w:tcBorders>
          </w:tcPr>
          <w:p w14:paraId="042B11D1" w14:textId="77777777" w:rsidR="00345EE3" w:rsidRDefault="00345EE3" w:rsidP="00D73130">
            <w:pPr>
              <w:pStyle w:val="TableParagraph"/>
              <w:ind w:right="1"/>
              <w:rPr>
                <w:sz w:val="24"/>
              </w:rPr>
            </w:pPr>
            <w:r>
              <w:rPr>
                <w:color w:val="231F20"/>
                <w:spacing w:val="-2"/>
                <w:sz w:val="24"/>
              </w:rPr>
              <w:t>3,344</w:t>
            </w:r>
          </w:p>
        </w:tc>
      </w:tr>
      <w:tr w:rsidR="00345EE3" w14:paraId="065963D3" w14:textId="77777777" w:rsidTr="00D73130">
        <w:trPr>
          <w:trHeight w:val="396"/>
        </w:trPr>
        <w:tc>
          <w:tcPr>
            <w:tcW w:w="3402" w:type="dxa"/>
            <w:tcBorders>
              <w:left w:val="nil"/>
            </w:tcBorders>
            <w:shd w:val="clear" w:color="auto" w:fill="D1D3D4"/>
          </w:tcPr>
          <w:p w14:paraId="42F62DEF" w14:textId="77777777" w:rsidR="00345EE3" w:rsidRDefault="00345EE3" w:rsidP="00D73130">
            <w:pPr>
              <w:pStyle w:val="TableParagraph"/>
              <w:ind w:left="-3"/>
              <w:jc w:val="left"/>
              <w:rPr>
                <w:b/>
                <w:sz w:val="24"/>
              </w:rPr>
            </w:pPr>
            <w:r>
              <w:rPr>
                <w:b/>
                <w:color w:val="231F20"/>
                <w:spacing w:val="-2"/>
                <w:sz w:val="24"/>
              </w:rPr>
              <w:t>Total</w:t>
            </w:r>
          </w:p>
        </w:tc>
        <w:tc>
          <w:tcPr>
            <w:tcW w:w="1701" w:type="dxa"/>
            <w:shd w:val="clear" w:color="auto" w:fill="D1D3D4"/>
          </w:tcPr>
          <w:p w14:paraId="794D1126" w14:textId="77777777" w:rsidR="00345EE3" w:rsidRDefault="00345EE3" w:rsidP="00D73130">
            <w:pPr>
              <w:pStyle w:val="TableParagraph"/>
              <w:ind w:right="1"/>
              <w:rPr>
                <w:b/>
                <w:sz w:val="24"/>
              </w:rPr>
            </w:pPr>
            <w:r>
              <w:rPr>
                <w:b/>
                <w:color w:val="231F20"/>
                <w:spacing w:val="-2"/>
                <w:sz w:val="24"/>
              </w:rPr>
              <w:t>21,774</w:t>
            </w:r>
          </w:p>
        </w:tc>
        <w:tc>
          <w:tcPr>
            <w:tcW w:w="1701" w:type="dxa"/>
            <w:tcBorders>
              <w:right w:val="nil"/>
            </w:tcBorders>
            <w:shd w:val="clear" w:color="auto" w:fill="D1D3D4"/>
          </w:tcPr>
          <w:p w14:paraId="1C97CB27" w14:textId="77777777" w:rsidR="00345EE3" w:rsidRDefault="00345EE3" w:rsidP="00D73130">
            <w:pPr>
              <w:pStyle w:val="TableParagraph"/>
              <w:ind w:right="-15"/>
              <w:rPr>
                <w:b/>
                <w:sz w:val="24"/>
              </w:rPr>
            </w:pPr>
            <w:r>
              <w:rPr>
                <w:b/>
                <w:color w:val="231F20"/>
                <w:spacing w:val="-2"/>
                <w:sz w:val="24"/>
              </w:rPr>
              <w:t>21,398</w:t>
            </w:r>
          </w:p>
        </w:tc>
      </w:tr>
    </w:tbl>
    <w:p w14:paraId="2E574229" w14:textId="77777777" w:rsidR="00345EE3" w:rsidRPr="00447AC0" w:rsidRDefault="00345EE3" w:rsidP="00345EE3">
      <w:pPr>
        <w:spacing w:before="69"/>
        <w:ind w:left="110"/>
        <w:rPr>
          <w:sz w:val="18"/>
          <w:szCs w:val="18"/>
        </w:rPr>
      </w:pPr>
      <w:r w:rsidRPr="00447AC0">
        <w:rPr>
          <w:rFonts w:ascii="Arial-BoldItalicMT"/>
          <w:b/>
          <w:i/>
          <w:color w:val="231F20"/>
          <w:sz w:val="18"/>
          <w:szCs w:val="18"/>
        </w:rPr>
        <w:t xml:space="preserve">Source: </w:t>
      </w:r>
      <w:r w:rsidRPr="00447AC0">
        <w:rPr>
          <w:color w:val="231F20"/>
          <w:sz w:val="18"/>
          <w:szCs w:val="18"/>
        </w:rPr>
        <w:t>Human Resources Command. Data extracted from HR Assist on 22 June</w:t>
      </w:r>
      <w:r w:rsidRPr="00447AC0">
        <w:rPr>
          <w:color w:val="231F20"/>
          <w:spacing w:val="1"/>
          <w:sz w:val="18"/>
          <w:szCs w:val="18"/>
        </w:rPr>
        <w:t xml:space="preserve"> </w:t>
      </w:r>
      <w:r w:rsidRPr="00447AC0">
        <w:rPr>
          <w:color w:val="231F20"/>
          <w:spacing w:val="-2"/>
          <w:sz w:val="18"/>
          <w:szCs w:val="18"/>
        </w:rPr>
        <w:t>2022.</w:t>
      </w:r>
    </w:p>
    <w:p w14:paraId="6491F4AF" w14:textId="77777777" w:rsidR="00345EE3" w:rsidRPr="00447AC0" w:rsidRDefault="00345EE3" w:rsidP="00345EE3">
      <w:pPr>
        <w:spacing w:before="113"/>
        <w:ind w:left="110"/>
        <w:rPr>
          <w:rFonts w:ascii="Arial-BoldItalicMT"/>
          <w:b/>
          <w:i/>
          <w:sz w:val="18"/>
          <w:szCs w:val="18"/>
        </w:rPr>
      </w:pPr>
      <w:r w:rsidRPr="00447AC0">
        <w:rPr>
          <w:rFonts w:ascii="Arial-BoldItalicMT"/>
          <w:b/>
          <w:i/>
          <w:color w:val="231F20"/>
          <w:spacing w:val="-2"/>
          <w:sz w:val="18"/>
          <w:szCs w:val="18"/>
        </w:rPr>
        <w:t>Notes:</w:t>
      </w:r>
    </w:p>
    <w:p w14:paraId="4E64DCF4" w14:textId="77777777" w:rsidR="00345EE3" w:rsidRPr="00447AC0" w:rsidRDefault="00345EE3">
      <w:pPr>
        <w:pStyle w:val="ListParagraph"/>
        <w:numPr>
          <w:ilvl w:val="0"/>
          <w:numId w:val="92"/>
        </w:numPr>
        <w:tabs>
          <w:tab w:val="left" w:pos="338"/>
        </w:tabs>
        <w:spacing w:before="27"/>
        <w:ind w:right="909"/>
        <w:rPr>
          <w:sz w:val="18"/>
          <w:szCs w:val="18"/>
        </w:rPr>
      </w:pPr>
      <w:r w:rsidRPr="00447AC0">
        <w:rPr>
          <w:color w:val="231F20"/>
          <w:sz w:val="18"/>
          <w:szCs w:val="18"/>
        </w:rPr>
        <w:t>This table is prepared in accordance with Financial Reporting Direction (FRD) 29 Workforce Data disclosure requirements. It therefore excludes staff who were</w:t>
      </w:r>
      <w:r w:rsidRPr="00447AC0">
        <w:rPr>
          <w:color w:val="231F20"/>
          <w:spacing w:val="40"/>
          <w:sz w:val="18"/>
          <w:szCs w:val="18"/>
        </w:rPr>
        <w:t xml:space="preserve"> </w:t>
      </w:r>
      <w:r w:rsidRPr="00447AC0">
        <w:rPr>
          <w:color w:val="231F20"/>
          <w:sz w:val="18"/>
          <w:szCs w:val="18"/>
        </w:rPr>
        <w:t>not</w:t>
      </w:r>
      <w:r w:rsidRPr="00447AC0">
        <w:rPr>
          <w:color w:val="231F20"/>
          <w:spacing w:val="-3"/>
          <w:sz w:val="18"/>
          <w:szCs w:val="18"/>
        </w:rPr>
        <w:t xml:space="preserve"> </w:t>
      </w:r>
      <w:r w:rsidRPr="00447AC0">
        <w:rPr>
          <w:color w:val="231F20"/>
          <w:sz w:val="18"/>
          <w:szCs w:val="18"/>
        </w:rPr>
        <w:t>on</w:t>
      </w:r>
      <w:r w:rsidRPr="00447AC0">
        <w:rPr>
          <w:color w:val="231F20"/>
          <w:spacing w:val="-3"/>
          <w:sz w:val="18"/>
          <w:szCs w:val="18"/>
        </w:rPr>
        <w:t xml:space="preserve"> </w:t>
      </w:r>
      <w:r w:rsidRPr="00447AC0">
        <w:rPr>
          <w:color w:val="231F20"/>
          <w:sz w:val="18"/>
          <w:szCs w:val="18"/>
        </w:rPr>
        <w:t>salary</w:t>
      </w:r>
      <w:r w:rsidRPr="00447AC0">
        <w:rPr>
          <w:color w:val="231F20"/>
          <w:spacing w:val="-3"/>
          <w:sz w:val="18"/>
          <w:szCs w:val="18"/>
        </w:rPr>
        <w:t xml:space="preserve"> </w:t>
      </w:r>
      <w:r w:rsidRPr="00447AC0">
        <w:rPr>
          <w:color w:val="231F20"/>
          <w:sz w:val="18"/>
          <w:szCs w:val="18"/>
        </w:rPr>
        <w:t>at</w:t>
      </w:r>
      <w:r w:rsidRPr="00447AC0">
        <w:rPr>
          <w:color w:val="231F20"/>
          <w:spacing w:val="-3"/>
          <w:sz w:val="18"/>
          <w:szCs w:val="18"/>
        </w:rPr>
        <w:t xml:space="preserve"> </w:t>
      </w:r>
      <w:r w:rsidRPr="00447AC0">
        <w:rPr>
          <w:color w:val="231F20"/>
          <w:sz w:val="18"/>
          <w:szCs w:val="18"/>
        </w:rPr>
        <w:t>the</w:t>
      </w:r>
      <w:r w:rsidRPr="00447AC0">
        <w:rPr>
          <w:color w:val="231F20"/>
          <w:spacing w:val="-3"/>
          <w:sz w:val="18"/>
          <w:szCs w:val="18"/>
        </w:rPr>
        <w:t xml:space="preserve"> </w:t>
      </w:r>
      <w:r w:rsidRPr="00447AC0">
        <w:rPr>
          <w:color w:val="231F20"/>
          <w:sz w:val="18"/>
          <w:szCs w:val="18"/>
        </w:rPr>
        <w:t>end</w:t>
      </w:r>
      <w:r w:rsidRPr="00447AC0">
        <w:rPr>
          <w:color w:val="231F20"/>
          <w:spacing w:val="-3"/>
          <w:sz w:val="18"/>
          <w:szCs w:val="18"/>
        </w:rPr>
        <w:t xml:space="preserve"> </w:t>
      </w:r>
      <w:r w:rsidRPr="00447AC0">
        <w:rPr>
          <w:color w:val="231F20"/>
          <w:sz w:val="18"/>
          <w:szCs w:val="18"/>
        </w:rPr>
        <w:t>of</w:t>
      </w:r>
      <w:r w:rsidRPr="00447AC0">
        <w:rPr>
          <w:color w:val="231F20"/>
          <w:spacing w:val="-3"/>
          <w:sz w:val="18"/>
          <w:szCs w:val="18"/>
        </w:rPr>
        <w:t xml:space="preserve"> </w:t>
      </w:r>
      <w:r w:rsidRPr="00447AC0">
        <w:rPr>
          <w:color w:val="231F20"/>
          <w:sz w:val="18"/>
          <w:szCs w:val="18"/>
        </w:rPr>
        <w:t>the</w:t>
      </w:r>
      <w:r w:rsidRPr="00447AC0">
        <w:rPr>
          <w:color w:val="231F20"/>
          <w:spacing w:val="-3"/>
          <w:sz w:val="18"/>
          <w:szCs w:val="18"/>
        </w:rPr>
        <w:t xml:space="preserve"> </w:t>
      </w:r>
      <w:r w:rsidRPr="00447AC0">
        <w:rPr>
          <w:color w:val="231F20"/>
          <w:sz w:val="18"/>
          <w:szCs w:val="18"/>
        </w:rPr>
        <w:t>last</w:t>
      </w:r>
      <w:r w:rsidRPr="00447AC0">
        <w:rPr>
          <w:color w:val="231F20"/>
          <w:spacing w:val="-3"/>
          <w:sz w:val="18"/>
          <w:szCs w:val="18"/>
        </w:rPr>
        <w:t xml:space="preserve"> </w:t>
      </w:r>
      <w:r w:rsidRPr="00447AC0">
        <w:rPr>
          <w:color w:val="231F20"/>
          <w:sz w:val="18"/>
          <w:szCs w:val="18"/>
        </w:rPr>
        <w:t>pay</w:t>
      </w:r>
      <w:r w:rsidRPr="00447AC0">
        <w:rPr>
          <w:color w:val="231F20"/>
          <w:spacing w:val="-3"/>
          <w:sz w:val="18"/>
          <w:szCs w:val="18"/>
        </w:rPr>
        <w:t xml:space="preserve"> </w:t>
      </w:r>
      <w:r w:rsidRPr="00447AC0">
        <w:rPr>
          <w:color w:val="231F20"/>
          <w:sz w:val="18"/>
          <w:szCs w:val="18"/>
        </w:rPr>
        <w:t>period</w:t>
      </w:r>
      <w:r w:rsidRPr="00447AC0">
        <w:rPr>
          <w:color w:val="231F20"/>
          <w:spacing w:val="-3"/>
          <w:sz w:val="18"/>
          <w:szCs w:val="18"/>
        </w:rPr>
        <w:t xml:space="preserve"> </w:t>
      </w:r>
      <w:r w:rsidRPr="00447AC0">
        <w:rPr>
          <w:color w:val="231F20"/>
          <w:sz w:val="18"/>
          <w:szCs w:val="18"/>
        </w:rPr>
        <w:t>of</w:t>
      </w:r>
      <w:r w:rsidRPr="00447AC0">
        <w:rPr>
          <w:color w:val="231F20"/>
          <w:spacing w:val="-3"/>
          <w:sz w:val="18"/>
          <w:szCs w:val="18"/>
        </w:rPr>
        <w:t xml:space="preserve"> </w:t>
      </w:r>
      <w:r w:rsidRPr="00447AC0">
        <w:rPr>
          <w:color w:val="231F20"/>
          <w:sz w:val="18"/>
          <w:szCs w:val="18"/>
        </w:rPr>
        <w:t>the</w:t>
      </w:r>
      <w:r w:rsidRPr="00447AC0">
        <w:rPr>
          <w:color w:val="231F20"/>
          <w:spacing w:val="-3"/>
          <w:sz w:val="18"/>
          <w:szCs w:val="18"/>
        </w:rPr>
        <w:t xml:space="preserve"> </w:t>
      </w:r>
      <w:r w:rsidRPr="00447AC0">
        <w:rPr>
          <w:color w:val="231F20"/>
          <w:sz w:val="18"/>
          <w:szCs w:val="18"/>
        </w:rPr>
        <w:t>financial</w:t>
      </w:r>
      <w:r w:rsidRPr="00447AC0">
        <w:rPr>
          <w:color w:val="231F20"/>
          <w:spacing w:val="-3"/>
          <w:sz w:val="18"/>
          <w:szCs w:val="18"/>
        </w:rPr>
        <w:t xml:space="preserve"> </w:t>
      </w:r>
      <w:r w:rsidRPr="00447AC0">
        <w:rPr>
          <w:color w:val="231F20"/>
          <w:sz w:val="18"/>
          <w:szCs w:val="18"/>
        </w:rPr>
        <w:t>year</w:t>
      </w:r>
      <w:r w:rsidRPr="00447AC0">
        <w:rPr>
          <w:color w:val="231F20"/>
          <w:spacing w:val="-3"/>
          <w:sz w:val="18"/>
          <w:szCs w:val="18"/>
        </w:rPr>
        <w:t xml:space="preserve"> </w:t>
      </w:r>
      <w:r w:rsidRPr="00447AC0">
        <w:rPr>
          <w:color w:val="231F20"/>
          <w:sz w:val="18"/>
          <w:szCs w:val="18"/>
        </w:rPr>
        <w:t>(which</w:t>
      </w:r>
      <w:r w:rsidRPr="00447AC0">
        <w:rPr>
          <w:color w:val="231F20"/>
          <w:spacing w:val="-3"/>
          <w:sz w:val="18"/>
          <w:szCs w:val="18"/>
        </w:rPr>
        <w:t xml:space="preserve"> </w:t>
      </w:r>
      <w:r w:rsidRPr="00447AC0">
        <w:rPr>
          <w:color w:val="231F20"/>
          <w:sz w:val="18"/>
          <w:szCs w:val="18"/>
        </w:rPr>
        <w:t>ended</w:t>
      </w:r>
      <w:r w:rsidRPr="00447AC0">
        <w:rPr>
          <w:color w:val="231F20"/>
          <w:spacing w:val="-3"/>
          <w:sz w:val="18"/>
          <w:szCs w:val="18"/>
        </w:rPr>
        <w:t xml:space="preserve"> </w:t>
      </w:r>
      <w:r w:rsidRPr="00447AC0">
        <w:rPr>
          <w:color w:val="231F20"/>
          <w:sz w:val="18"/>
          <w:szCs w:val="18"/>
        </w:rPr>
        <w:t>18</w:t>
      </w:r>
      <w:r w:rsidRPr="00447AC0">
        <w:rPr>
          <w:color w:val="231F20"/>
          <w:spacing w:val="-3"/>
          <w:sz w:val="18"/>
          <w:szCs w:val="18"/>
        </w:rPr>
        <w:t xml:space="preserve"> </w:t>
      </w:r>
      <w:r w:rsidRPr="00447AC0">
        <w:rPr>
          <w:color w:val="231F20"/>
          <w:sz w:val="18"/>
          <w:szCs w:val="18"/>
        </w:rPr>
        <w:t>June</w:t>
      </w:r>
      <w:r w:rsidRPr="00447AC0">
        <w:rPr>
          <w:color w:val="231F20"/>
          <w:spacing w:val="-3"/>
          <w:sz w:val="18"/>
          <w:szCs w:val="18"/>
        </w:rPr>
        <w:t xml:space="preserve"> </w:t>
      </w:r>
      <w:r w:rsidRPr="00447AC0">
        <w:rPr>
          <w:color w:val="231F20"/>
          <w:sz w:val="18"/>
          <w:szCs w:val="18"/>
        </w:rPr>
        <w:t>2022</w:t>
      </w:r>
      <w:r w:rsidRPr="00447AC0">
        <w:rPr>
          <w:color w:val="231F20"/>
          <w:spacing w:val="-3"/>
          <w:sz w:val="18"/>
          <w:szCs w:val="18"/>
        </w:rPr>
        <w:t xml:space="preserve"> </w:t>
      </w:r>
      <w:r w:rsidRPr="00447AC0">
        <w:rPr>
          <w:color w:val="231F20"/>
          <w:sz w:val="18"/>
          <w:szCs w:val="18"/>
        </w:rPr>
        <w:t>and</w:t>
      </w:r>
      <w:r w:rsidRPr="00447AC0">
        <w:rPr>
          <w:color w:val="231F20"/>
          <w:spacing w:val="-3"/>
          <w:sz w:val="18"/>
          <w:szCs w:val="18"/>
        </w:rPr>
        <w:t xml:space="preserve"> </w:t>
      </w:r>
      <w:r w:rsidRPr="00447AC0">
        <w:rPr>
          <w:color w:val="231F20"/>
          <w:sz w:val="18"/>
          <w:szCs w:val="18"/>
        </w:rPr>
        <w:t>19</w:t>
      </w:r>
      <w:r w:rsidRPr="00447AC0">
        <w:rPr>
          <w:color w:val="231F20"/>
          <w:spacing w:val="-3"/>
          <w:sz w:val="18"/>
          <w:szCs w:val="18"/>
        </w:rPr>
        <w:t xml:space="preserve"> </w:t>
      </w:r>
      <w:r w:rsidRPr="00447AC0">
        <w:rPr>
          <w:color w:val="231F20"/>
          <w:sz w:val="18"/>
          <w:szCs w:val="18"/>
        </w:rPr>
        <w:t>June</w:t>
      </w:r>
      <w:r w:rsidRPr="00447AC0">
        <w:rPr>
          <w:color w:val="231F20"/>
          <w:spacing w:val="-3"/>
          <w:sz w:val="18"/>
          <w:szCs w:val="18"/>
        </w:rPr>
        <w:t xml:space="preserve"> </w:t>
      </w:r>
      <w:r w:rsidRPr="00447AC0">
        <w:rPr>
          <w:color w:val="231F20"/>
          <w:sz w:val="18"/>
          <w:szCs w:val="18"/>
        </w:rPr>
        <w:t>2021).</w:t>
      </w:r>
      <w:r w:rsidRPr="00447AC0">
        <w:rPr>
          <w:color w:val="231F20"/>
          <w:spacing w:val="-3"/>
          <w:sz w:val="18"/>
          <w:szCs w:val="18"/>
        </w:rPr>
        <w:t xml:space="preserve"> </w:t>
      </w:r>
      <w:r w:rsidRPr="00447AC0">
        <w:rPr>
          <w:color w:val="231F20"/>
          <w:sz w:val="18"/>
          <w:szCs w:val="18"/>
        </w:rPr>
        <w:t>It</w:t>
      </w:r>
      <w:r w:rsidRPr="00447AC0">
        <w:rPr>
          <w:color w:val="231F20"/>
          <w:spacing w:val="-3"/>
          <w:sz w:val="18"/>
          <w:szCs w:val="18"/>
        </w:rPr>
        <w:t xml:space="preserve"> </w:t>
      </w:r>
      <w:r w:rsidRPr="00447AC0">
        <w:rPr>
          <w:color w:val="231F20"/>
          <w:sz w:val="18"/>
          <w:szCs w:val="18"/>
        </w:rPr>
        <w:t>also</w:t>
      </w:r>
      <w:r w:rsidRPr="00447AC0">
        <w:rPr>
          <w:color w:val="231F20"/>
          <w:spacing w:val="-3"/>
          <w:sz w:val="18"/>
          <w:szCs w:val="18"/>
        </w:rPr>
        <w:t xml:space="preserve"> </w:t>
      </w:r>
      <w:r w:rsidRPr="00447AC0">
        <w:rPr>
          <w:color w:val="231F20"/>
          <w:sz w:val="18"/>
          <w:szCs w:val="18"/>
        </w:rPr>
        <w:t>excludes</w:t>
      </w:r>
      <w:r w:rsidRPr="00447AC0">
        <w:rPr>
          <w:color w:val="231F20"/>
          <w:spacing w:val="-3"/>
          <w:sz w:val="18"/>
          <w:szCs w:val="18"/>
        </w:rPr>
        <w:t xml:space="preserve"> </w:t>
      </w:r>
      <w:r w:rsidRPr="00447AC0">
        <w:rPr>
          <w:color w:val="231F20"/>
          <w:sz w:val="18"/>
          <w:szCs w:val="18"/>
        </w:rPr>
        <w:t>staff</w:t>
      </w:r>
      <w:r w:rsidRPr="00447AC0">
        <w:rPr>
          <w:color w:val="231F20"/>
          <w:spacing w:val="-3"/>
          <w:sz w:val="18"/>
          <w:szCs w:val="18"/>
        </w:rPr>
        <w:t xml:space="preserve"> </w:t>
      </w:r>
      <w:r w:rsidRPr="00447AC0">
        <w:rPr>
          <w:color w:val="231F20"/>
          <w:sz w:val="18"/>
          <w:szCs w:val="18"/>
        </w:rPr>
        <w:t>who</w:t>
      </w:r>
      <w:r w:rsidRPr="00447AC0">
        <w:rPr>
          <w:color w:val="231F20"/>
          <w:spacing w:val="-3"/>
          <w:sz w:val="18"/>
          <w:szCs w:val="18"/>
        </w:rPr>
        <w:t xml:space="preserve"> </w:t>
      </w:r>
      <w:r w:rsidRPr="00447AC0">
        <w:rPr>
          <w:color w:val="231F20"/>
          <w:sz w:val="18"/>
          <w:szCs w:val="18"/>
        </w:rPr>
        <w:t>are</w:t>
      </w:r>
      <w:r w:rsidRPr="00447AC0">
        <w:rPr>
          <w:color w:val="231F20"/>
          <w:spacing w:val="-3"/>
          <w:sz w:val="18"/>
          <w:szCs w:val="18"/>
        </w:rPr>
        <w:t xml:space="preserve"> </w:t>
      </w:r>
      <w:r w:rsidRPr="00447AC0">
        <w:rPr>
          <w:color w:val="231F20"/>
          <w:sz w:val="18"/>
          <w:szCs w:val="18"/>
        </w:rPr>
        <w:t>employed</w:t>
      </w:r>
      <w:r w:rsidRPr="00447AC0">
        <w:rPr>
          <w:color w:val="231F20"/>
          <w:spacing w:val="-3"/>
          <w:sz w:val="18"/>
          <w:szCs w:val="18"/>
        </w:rPr>
        <w:t xml:space="preserve"> </w:t>
      </w:r>
      <w:r w:rsidRPr="00447AC0">
        <w:rPr>
          <w:color w:val="231F20"/>
          <w:sz w:val="18"/>
          <w:szCs w:val="18"/>
        </w:rPr>
        <w:t>within</w:t>
      </w:r>
      <w:r w:rsidRPr="00447AC0">
        <w:rPr>
          <w:color w:val="231F20"/>
          <w:spacing w:val="40"/>
          <w:sz w:val="18"/>
          <w:szCs w:val="18"/>
        </w:rPr>
        <w:t xml:space="preserve"> </w:t>
      </w:r>
      <w:r w:rsidRPr="00447AC0">
        <w:rPr>
          <w:color w:val="231F20"/>
          <w:sz w:val="18"/>
          <w:szCs w:val="18"/>
        </w:rPr>
        <w:t>statutory and nationally funded bodies administered by Victoria Police.</w:t>
      </w:r>
    </w:p>
    <w:p w14:paraId="0E7D4E64" w14:textId="77777777" w:rsidR="00345EE3" w:rsidRPr="00447AC0" w:rsidRDefault="00345EE3">
      <w:pPr>
        <w:pStyle w:val="ListParagraph"/>
        <w:numPr>
          <w:ilvl w:val="0"/>
          <w:numId w:val="92"/>
        </w:numPr>
        <w:tabs>
          <w:tab w:val="left" w:pos="338"/>
        </w:tabs>
        <w:spacing w:before="25"/>
        <w:ind w:hanging="228"/>
        <w:rPr>
          <w:sz w:val="18"/>
          <w:szCs w:val="18"/>
        </w:rPr>
      </w:pPr>
      <w:r w:rsidRPr="00447AC0">
        <w:rPr>
          <w:color w:val="231F20"/>
          <w:sz w:val="18"/>
          <w:szCs w:val="18"/>
        </w:rPr>
        <w:t>FTE</w:t>
      </w:r>
      <w:r w:rsidRPr="00447AC0">
        <w:rPr>
          <w:color w:val="231F20"/>
          <w:spacing w:val="-3"/>
          <w:sz w:val="18"/>
          <w:szCs w:val="18"/>
        </w:rPr>
        <w:t xml:space="preserve"> </w:t>
      </w:r>
      <w:r w:rsidRPr="00447AC0">
        <w:rPr>
          <w:color w:val="231F20"/>
          <w:sz w:val="18"/>
          <w:szCs w:val="18"/>
        </w:rPr>
        <w:t>total</w:t>
      </w:r>
      <w:r w:rsidRPr="00447AC0">
        <w:rPr>
          <w:color w:val="231F20"/>
          <w:spacing w:val="-2"/>
          <w:sz w:val="18"/>
          <w:szCs w:val="18"/>
        </w:rPr>
        <w:t xml:space="preserve"> </w:t>
      </w:r>
      <w:r w:rsidRPr="00447AC0">
        <w:rPr>
          <w:color w:val="231F20"/>
          <w:sz w:val="18"/>
          <w:szCs w:val="18"/>
        </w:rPr>
        <w:t>may</w:t>
      </w:r>
      <w:r w:rsidRPr="00447AC0">
        <w:rPr>
          <w:color w:val="231F20"/>
          <w:spacing w:val="-2"/>
          <w:sz w:val="18"/>
          <w:szCs w:val="18"/>
        </w:rPr>
        <w:t xml:space="preserve"> </w:t>
      </w:r>
      <w:r w:rsidRPr="00447AC0">
        <w:rPr>
          <w:color w:val="231F20"/>
          <w:sz w:val="18"/>
          <w:szCs w:val="18"/>
        </w:rPr>
        <w:t>not</w:t>
      </w:r>
      <w:r w:rsidRPr="00447AC0">
        <w:rPr>
          <w:color w:val="231F20"/>
          <w:spacing w:val="-3"/>
          <w:sz w:val="18"/>
          <w:szCs w:val="18"/>
        </w:rPr>
        <w:t xml:space="preserve"> </w:t>
      </w:r>
      <w:r w:rsidRPr="00447AC0">
        <w:rPr>
          <w:color w:val="231F20"/>
          <w:sz w:val="18"/>
          <w:szCs w:val="18"/>
        </w:rPr>
        <w:t>tally</w:t>
      </w:r>
      <w:r w:rsidRPr="00447AC0">
        <w:rPr>
          <w:color w:val="231F20"/>
          <w:spacing w:val="-2"/>
          <w:sz w:val="18"/>
          <w:szCs w:val="18"/>
        </w:rPr>
        <w:t xml:space="preserve"> </w:t>
      </w:r>
      <w:r w:rsidRPr="00447AC0">
        <w:rPr>
          <w:color w:val="231F20"/>
          <w:sz w:val="18"/>
          <w:szCs w:val="18"/>
        </w:rPr>
        <w:t>due</w:t>
      </w:r>
      <w:r w:rsidRPr="00447AC0">
        <w:rPr>
          <w:color w:val="231F20"/>
          <w:spacing w:val="-2"/>
          <w:sz w:val="18"/>
          <w:szCs w:val="18"/>
        </w:rPr>
        <w:t xml:space="preserve"> </w:t>
      </w:r>
      <w:r w:rsidRPr="00447AC0">
        <w:rPr>
          <w:color w:val="231F20"/>
          <w:sz w:val="18"/>
          <w:szCs w:val="18"/>
        </w:rPr>
        <w:t>to</w:t>
      </w:r>
      <w:r w:rsidRPr="00447AC0">
        <w:rPr>
          <w:color w:val="231F20"/>
          <w:spacing w:val="-2"/>
          <w:sz w:val="18"/>
          <w:szCs w:val="18"/>
        </w:rPr>
        <w:t xml:space="preserve"> </w:t>
      </w:r>
      <w:r w:rsidRPr="00447AC0">
        <w:rPr>
          <w:color w:val="231F20"/>
          <w:sz w:val="18"/>
          <w:szCs w:val="18"/>
        </w:rPr>
        <w:t>rounding</w:t>
      </w:r>
      <w:r w:rsidRPr="00447AC0">
        <w:rPr>
          <w:color w:val="231F20"/>
          <w:spacing w:val="-3"/>
          <w:sz w:val="18"/>
          <w:szCs w:val="18"/>
        </w:rPr>
        <w:t xml:space="preserve"> </w:t>
      </w:r>
      <w:r w:rsidRPr="00447AC0">
        <w:rPr>
          <w:color w:val="231F20"/>
          <w:sz w:val="18"/>
          <w:szCs w:val="18"/>
        </w:rPr>
        <w:t>as</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figures</w:t>
      </w:r>
      <w:r w:rsidRPr="00447AC0">
        <w:rPr>
          <w:color w:val="231F20"/>
          <w:spacing w:val="-2"/>
          <w:sz w:val="18"/>
          <w:szCs w:val="18"/>
        </w:rPr>
        <w:t xml:space="preserve"> </w:t>
      </w:r>
      <w:r w:rsidRPr="00447AC0">
        <w:rPr>
          <w:color w:val="231F20"/>
          <w:sz w:val="18"/>
          <w:szCs w:val="18"/>
        </w:rPr>
        <w:t>have</w:t>
      </w:r>
      <w:r w:rsidRPr="00447AC0">
        <w:rPr>
          <w:color w:val="231F20"/>
          <w:spacing w:val="-3"/>
          <w:sz w:val="18"/>
          <w:szCs w:val="18"/>
        </w:rPr>
        <w:t xml:space="preserve"> </w:t>
      </w:r>
      <w:r w:rsidRPr="00447AC0">
        <w:rPr>
          <w:color w:val="231F20"/>
          <w:sz w:val="18"/>
          <w:szCs w:val="18"/>
        </w:rPr>
        <w:t>been</w:t>
      </w:r>
      <w:r w:rsidRPr="00447AC0">
        <w:rPr>
          <w:color w:val="231F20"/>
          <w:spacing w:val="-2"/>
          <w:sz w:val="18"/>
          <w:szCs w:val="18"/>
        </w:rPr>
        <w:t xml:space="preserve"> </w:t>
      </w:r>
      <w:r w:rsidRPr="00447AC0">
        <w:rPr>
          <w:color w:val="231F20"/>
          <w:sz w:val="18"/>
          <w:szCs w:val="18"/>
        </w:rPr>
        <w:t>rounded</w:t>
      </w:r>
      <w:r w:rsidRPr="00447AC0">
        <w:rPr>
          <w:color w:val="231F20"/>
          <w:spacing w:val="-2"/>
          <w:sz w:val="18"/>
          <w:szCs w:val="18"/>
        </w:rPr>
        <w:t xml:space="preserve"> </w:t>
      </w:r>
      <w:r w:rsidRPr="00447AC0">
        <w:rPr>
          <w:color w:val="231F20"/>
          <w:sz w:val="18"/>
          <w:szCs w:val="18"/>
        </w:rPr>
        <w:t>to</w:t>
      </w:r>
      <w:r w:rsidRPr="00447AC0">
        <w:rPr>
          <w:color w:val="231F20"/>
          <w:spacing w:val="-3"/>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nearest</w:t>
      </w:r>
      <w:r w:rsidRPr="00447AC0">
        <w:rPr>
          <w:color w:val="231F20"/>
          <w:spacing w:val="-2"/>
          <w:sz w:val="18"/>
          <w:szCs w:val="18"/>
        </w:rPr>
        <w:t xml:space="preserve"> </w:t>
      </w:r>
      <w:r w:rsidRPr="00447AC0">
        <w:rPr>
          <w:color w:val="231F20"/>
          <w:sz w:val="18"/>
          <w:szCs w:val="18"/>
        </w:rPr>
        <w:t>whole</w:t>
      </w:r>
      <w:r w:rsidRPr="00447AC0">
        <w:rPr>
          <w:color w:val="231F20"/>
          <w:spacing w:val="-2"/>
          <w:sz w:val="18"/>
          <w:szCs w:val="18"/>
        </w:rPr>
        <w:t xml:space="preserve"> </w:t>
      </w:r>
      <w:r w:rsidRPr="00447AC0">
        <w:rPr>
          <w:color w:val="231F20"/>
          <w:sz w:val="18"/>
          <w:szCs w:val="18"/>
        </w:rPr>
        <w:t>number</w:t>
      </w:r>
      <w:r w:rsidRPr="00447AC0">
        <w:rPr>
          <w:color w:val="231F20"/>
          <w:spacing w:val="-3"/>
          <w:sz w:val="18"/>
          <w:szCs w:val="18"/>
        </w:rPr>
        <w:t xml:space="preserve"> </w:t>
      </w:r>
      <w:r w:rsidRPr="00447AC0">
        <w:rPr>
          <w:color w:val="231F20"/>
          <w:sz w:val="18"/>
          <w:szCs w:val="18"/>
        </w:rPr>
        <w:t>as</w:t>
      </w:r>
      <w:r w:rsidRPr="00447AC0">
        <w:rPr>
          <w:color w:val="231F20"/>
          <w:spacing w:val="-2"/>
          <w:sz w:val="18"/>
          <w:szCs w:val="18"/>
        </w:rPr>
        <w:t xml:space="preserve"> </w:t>
      </w:r>
      <w:r w:rsidRPr="00447AC0">
        <w:rPr>
          <w:color w:val="231F20"/>
          <w:sz w:val="18"/>
          <w:szCs w:val="18"/>
        </w:rPr>
        <w:t>per</w:t>
      </w:r>
      <w:r w:rsidRPr="00447AC0">
        <w:rPr>
          <w:color w:val="231F20"/>
          <w:spacing w:val="-2"/>
          <w:sz w:val="18"/>
          <w:szCs w:val="18"/>
        </w:rPr>
        <w:t xml:space="preserve"> </w:t>
      </w:r>
      <w:r w:rsidRPr="00447AC0">
        <w:rPr>
          <w:color w:val="231F20"/>
          <w:sz w:val="18"/>
          <w:szCs w:val="18"/>
        </w:rPr>
        <w:t>FRD</w:t>
      </w:r>
      <w:r w:rsidRPr="00447AC0">
        <w:rPr>
          <w:color w:val="231F20"/>
          <w:spacing w:val="-2"/>
          <w:sz w:val="18"/>
          <w:szCs w:val="18"/>
        </w:rPr>
        <w:t xml:space="preserve"> </w:t>
      </w:r>
      <w:r w:rsidRPr="00447AC0">
        <w:rPr>
          <w:color w:val="231F20"/>
          <w:spacing w:val="-5"/>
          <w:sz w:val="18"/>
          <w:szCs w:val="18"/>
        </w:rPr>
        <w:t>29.</w:t>
      </w:r>
    </w:p>
    <w:p w14:paraId="78350C52" w14:textId="77777777" w:rsidR="00345EE3" w:rsidRPr="00447AC0" w:rsidRDefault="00345EE3">
      <w:pPr>
        <w:pStyle w:val="ListParagraph"/>
        <w:numPr>
          <w:ilvl w:val="0"/>
          <w:numId w:val="92"/>
        </w:numPr>
        <w:tabs>
          <w:tab w:val="left" w:pos="338"/>
        </w:tabs>
        <w:spacing w:before="28"/>
        <w:ind w:hanging="228"/>
        <w:rPr>
          <w:sz w:val="18"/>
          <w:szCs w:val="18"/>
        </w:rPr>
      </w:pPr>
      <w:r w:rsidRPr="00447AC0">
        <w:rPr>
          <w:color w:val="231F20"/>
          <w:sz w:val="18"/>
          <w:szCs w:val="18"/>
        </w:rPr>
        <w:t>PCOs</w:t>
      </w:r>
      <w:r w:rsidRPr="00447AC0">
        <w:rPr>
          <w:color w:val="231F20"/>
          <w:spacing w:val="-3"/>
          <w:sz w:val="18"/>
          <w:szCs w:val="18"/>
        </w:rPr>
        <w:t xml:space="preserve"> </w:t>
      </w:r>
      <w:r w:rsidRPr="00447AC0">
        <w:rPr>
          <w:color w:val="231F20"/>
          <w:sz w:val="18"/>
          <w:szCs w:val="18"/>
        </w:rPr>
        <w:t>are</w:t>
      </w:r>
      <w:r w:rsidRPr="00447AC0">
        <w:rPr>
          <w:color w:val="231F20"/>
          <w:spacing w:val="-2"/>
          <w:sz w:val="18"/>
          <w:szCs w:val="18"/>
        </w:rPr>
        <w:t xml:space="preserve"> </w:t>
      </w:r>
      <w:r w:rsidRPr="00447AC0">
        <w:rPr>
          <w:color w:val="231F20"/>
          <w:sz w:val="18"/>
          <w:szCs w:val="18"/>
        </w:rPr>
        <w:t>VPS</w:t>
      </w:r>
      <w:r w:rsidRPr="00447AC0">
        <w:rPr>
          <w:color w:val="231F20"/>
          <w:spacing w:val="-2"/>
          <w:sz w:val="18"/>
          <w:szCs w:val="18"/>
        </w:rPr>
        <w:t xml:space="preserve"> </w:t>
      </w:r>
      <w:r w:rsidRPr="00447AC0">
        <w:rPr>
          <w:color w:val="231F20"/>
          <w:sz w:val="18"/>
          <w:szCs w:val="18"/>
        </w:rPr>
        <w:t>employees</w:t>
      </w:r>
      <w:r w:rsidRPr="00447AC0">
        <w:rPr>
          <w:color w:val="231F20"/>
          <w:spacing w:val="-3"/>
          <w:sz w:val="18"/>
          <w:szCs w:val="18"/>
        </w:rPr>
        <w:t xml:space="preserve"> </w:t>
      </w:r>
      <w:r w:rsidRPr="00447AC0">
        <w:rPr>
          <w:color w:val="231F20"/>
          <w:sz w:val="18"/>
          <w:szCs w:val="18"/>
        </w:rPr>
        <w:t>but</w:t>
      </w:r>
      <w:r w:rsidRPr="00447AC0">
        <w:rPr>
          <w:color w:val="231F20"/>
          <w:spacing w:val="-2"/>
          <w:sz w:val="18"/>
          <w:szCs w:val="18"/>
        </w:rPr>
        <w:t xml:space="preserve"> </w:t>
      </w:r>
      <w:r w:rsidRPr="00447AC0">
        <w:rPr>
          <w:color w:val="231F20"/>
          <w:sz w:val="18"/>
          <w:szCs w:val="18"/>
        </w:rPr>
        <w:t>are</w:t>
      </w:r>
      <w:r w:rsidRPr="00447AC0">
        <w:rPr>
          <w:color w:val="231F20"/>
          <w:spacing w:val="-2"/>
          <w:sz w:val="18"/>
          <w:szCs w:val="18"/>
        </w:rPr>
        <w:t xml:space="preserve"> </w:t>
      </w:r>
      <w:r w:rsidRPr="00447AC0">
        <w:rPr>
          <w:color w:val="231F20"/>
          <w:sz w:val="18"/>
          <w:szCs w:val="18"/>
        </w:rPr>
        <w:t>listed</w:t>
      </w:r>
      <w:r w:rsidRPr="00447AC0">
        <w:rPr>
          <w:color w:val="231F20"/>
          <w:spacing w:val="-2"/>
          <w:sz w:val="18"/>
          <w:szCs w:val="18"/>
        </w:rPr>
        <w:t xml:space="preserve"> separately.</w:t>
      </w:r>
    </w:p>
    <w:p w14:paraId="26269642" w14:textId="77777777" w:rsidR="00345EE3" w:rsidRDefault="00345EE3" w:rsidP="00345EE3">
      <w:pPr>
        <w:pStyle w:val="BodyText"/>
        <w:spacing w:before="8"/>
      </w:pPr>
    </w:p>
    <w:p w14:paraId="315F2E2E" w14:textId="77777777" w:rsidR="00345EE3" w:rsidRPr="00046BF4" w:rsidRDefault="00345EE3" w:rsidP="00345EE3">
      <w:pPr>
        <w:pStyle w:val="Heading2"/>
        <w:spacing w:before="0" w:line="220" w:lineRule="auto"/>
        <w:ind w:right="921"/>
        <w:rPr>
          <w:sz w:val="32"/>
          <w:szCs w:val="32"/>
        </w:rPr>
      </w:pPr>
      <w:r w:rsidRPr="00046BF4">
        <w:rPr>
          <w:color w:val="00529F"/>
          <w:sz w:val="32"/>
          <w:szCs w:val="32"/>
        </w:rPr>
        <w:t>A</w:t>
      </w:r>
      <w:r w:rsidRPr="00046BF4">
        <w:rPr>
          <w:color w:val="00529F"/>
          <w:spacing w:val="-14"/>
          <w:sz w:val="32"/>
          <w:szCs w:val="32"/>
        </w:rPr>
        <w:t xml:space="preserve"> </w:t>
      </w:r>
      <w:r w:rsidRPr="00046BF4">
        <w:rPr>
          <w:color w:val="00529F"/>
          <w:sz w:val="32"/>
          <w:szCs w:val="32"/>
        </w:rPr>
        <w:t>Commitment</w:t>
      </w:r>
      <w:r w:rsidRPr="00046BF4">
        <w:rPr>
          <w:color w:val="00529F"/>
          <w:spacing w:val="-14"/>
          <w:sz w:val="32"/>
          <w:szCs w:val="32"/>
        </w:rPr>
        <w:t xml:space="preserve"> </w:t>
      </w:r>
      <w:r w:rsidRPr="00046BF4">
        <w:rPr>
          <w:color w:val="00529F"/>
          <w:sz w:val="32"/>
          <w:szCs w:val="32"/>
        </w:rPr>
        <w:t>to</w:t>
      </w:r>
      <w:r w:rsidRPr="00046BF4">
        <w:rPr>
          <w:color w:val="00529F"/>
          <w:spacing w:val="-14"/>
          <w:sz w:val="32"/>
          <w:szCs w:val="32"/>
        </w:rPr>
        <w:t xml:space="preserve"> </w:t>
      </w:r>
      <w:r w:rsidRPr="00046BF4">
        <w:rPr>
          <w:color w:val="00529F"/>
          <w:sz w:val="32"/>
          <w:szCs w:val="32"/>
        </w:rPr>
        <w:t>Equality</w:t>
      </w:r>
      <w:r w:rsidRPr="00046BF4">
        <w:rPr>
          <w:color w:val="00529F"/>
          <w:spacing w:val="-14"/>
          <w:sz w:val="32"/>
          <w:szCs w:val="32"/>
        </w:rPr>
        <w:t xml:space="preserve"> </w:t>
      </w:r>
      <w:r w:rsidRPr="00046BF4">
        <w:rPr>
          <w:color w:val="00529F"/>
          <w:sz w:val="32"/>
          <w:szCs w:val="32"/>
        </w:rPr>
        <w:t>and</w:t>
      </w:r>
      <w:r w:rsidRPr="00046BF4">
        <w:rPr>
          <w:color w:val="00529F"/>
          <w:spacing w:val="-14"/>
          <w:sz w:val="32"/>
          <w:szCs w:val="32"/>
        </w:rPr>
        <w:t xml:space="preserve"> </w:t>
      </w:r>
      <w:r w:rsidRPr="00046BF4">
        <w:rPr>
          <w:color w:val="00529F"/>
          <w:sz w:val="32"/>
          <w:szCs w:val="32"/>
        </w:rPr>
        <w:t>Inclusivity</w:t>
      </w:r>
      <w:r w:rsidRPr="00046BF4">
        <w:rPr>
          <w:color w:val="00529F"/>
          <w:spacing w:val="-14"/>
          <w:sz w:val="32"/>
          <w:szCs w:val="32"/>
        </w:rPr>
        <w:t xml:space="preserve"> </w:t>
      </w:r>
      <w:r w:rsidRPr="00046BF4">
        <w:rPr>
          <w:color w:val="00529F"/>
          <w:sz w:val="32"/>
          <w:szCs w:val="32"/>
        </w:rPr>
        <w:t>–</w:t>
      </w:r>
      <w:r w:rsidRPr="00046BF4">
        <w:rPr>
          <w:color w:val="00529F"/>
          <w:spacing w:val="-14"/>
          <w:sz w:val="32"/>
          <w:szCs w:val="32"/>
        </w:rPr>
        <w:t xml:space="preserve"> </w:t>
      </w:r>
      <w:r w:rsidRPr="00046BF4">
        <w:rPr>
          <w:color w:val="00529F"/>
          <w:sz w:val="32"/>
          <w:szCs w:val="32"/>
        </w:rPr>
        <w:t>Diversity</w:t>
      </w:r>
      <w:r w:rsidRPr="00046BF4">
        <w:rPr>
          <w:color w:val="00529F"/>
          <w:spacing w:val="-14"/>
          <w:sz w:val="32"/>
          <w:szCs w:val="32"/>
        </w:rPr>
        <w:t xml:space="preserve"> </w:t>
      </w:r>
      <w:r w:rsidRPr="00046BF4">
        <w:rPr>
          <w:color w:val="00529F"/>
          <w:sz w:val="32"/>
          <w:szCs w:val="32"/>
        </w:rPr>
        <w:t>and</w:t>
      </w:r>
      <w:r w:rsidRPr="00046BF4">
        <w:rPr>
          <w:color w:val="00529F"/>
          <w:spacing w:val="-14"/>
          <w:sz w:val="32"/>
          <w:szCs w:val="32"/>
        </w:rPr>
        <w:t xml:space="preserve"> </w:t>
      </w:r>
      <w:r w:rsidRPr="00046BF4">
        <w:rPr>
          <w:color w:val="00529F"/>
          <w:sz w:val="32"/>
          <w:szCs w:val="32"/>
        </w:rPr>
        <w:t xml:space="preserve">Inclusion </w:t>
      </w:r>
      <w:r w:rsidRPr="00046BF4">
        <w:rPr>
          <w:color w:val="00529F"/>
          <w:spacing w:val="-2"/>
          <w:sz w:val="32"/>
          <w:szCs w:val="32"/>
        </w:rPr>
        <w:t>Framework</w:t>
      </w:r>
    </w:p>
    <w:p w14:paraId="2B7B6A23" w14:textId="77777777" w:rsidR="00345EE3" w:rsidRDefault="00345EE3" w:rsidP="00345EE3">
      <w:pPr>
        <w:pStyle w:val="BodyText"/>
        <w:spacing w:before="79" w:line="242" w:lineRule="auto"/>
        <w:ind w:right="921"/>
      </w:pPr>
      <w:r>
        <w:rPr>
          <w:color w:val="231F20"/>
        </w:rPr>
        <w:t>Victoria</w:t>
      </w:r>
      <w:r>
        <w:rPr>
          <w:color w:val="231F20"/>
          <w:spacing w:val="-10"/>
        </w:rPr>
        <w:t xml:space="preserve"> </w:t>
      </w:r>
      <w:r>
        <w:rPr>
          <w:color w:val="231F20"/>
        </w:rPr>
        <w:t>Police</w:t>
      </w:r>
      <w:r>
        <w:rPr>
          <w:color w:val="231F20"/>
          <w:spacing w:val="-10"/>
        </w:rPr>
        <w:t xml:space="preserve"> </w:t>
      </w:r>
      <w:r>
        <w:rPr>
          <w:color w:val="231F20"/>
        </w:rPr>
        <w:t>is</w:t>
      </w:r>
      <w:r>
        <w:rPr>
          <w:color w:val="231F20"/>
          <w:spacing w:val="-9"/>
        </w:rPr>
        <w:t xml:space="preserve"> </w:t>
      </w:r>
      <w:r>
        <w:rPr>
          <w:color w:val="231F20"/>
        </w:rPr>
        <w:t>committed</w:t>
      </w:r>
      <w:r>
        <w:rPr>
          <w:color w:val="231F20"/>
          <w:spacing w:val="-10"/>
        </w:rPr>
        <w:t xml:space="preserve"> </w:t>
      </w:r>
      <w:r>
        <w:rPr>
          <w:color w:val="231F20"/>
        </w:rPr>
        <w:t>to</w:t>
      </w:r>
      <w:r>
        <w:rPr>
          <w:color w:val="231F20"/>
          <w:spacing w:val="-10"/>
        </w:rPr>
        <w:t xml:space="preserve"> </w:t>
      </w:r>
      <w:r>
        <w:rPr>
          <w:color w:val="231F20"/>
        </w:rPr>
        <w:t>building</w:t>
      </w:r>
      <w:r>
        <w:rPr>
          <w:color w:val="231F20"/>
          <w:spacing w:val="-10"/>
        </w:rPr>
        <w:t xml:space="preserve"> </w:t>
      </w:r>
      <w:r>
        <w:rPr>
          <w:color w:val="231F20"/>
        </w:rPr>
        <w:t>and</w:t>
      </w:r>
      <w:r>
        <w:rPr>
          <w:color w:val="231F20"/>
          <w:spacing w:val="-10"/>
        </w:rPr>
        <w:t xml:space="preserve"> </w:t>
      </w:r>
      <w:r>
        <w:rPr>
          <w:color w:val="231F20"/>
        </w:rPr>
        <w:t>maintaining</w:t>
      </w:r>
      <w:r>
        <w:rPr>
          <w:color w:val="231F20"/>
          <w:spacing w:val="-10"/>
        </w:rPr>
        <w:t xml:space="preserve"> </w:t>
      </w:r>
      <w:r>
        <w:rPr>
          <w:color w:val="231F20"/>
        </w:rPr>
        <w:t>a</w:t>
      </w:r>
      <w:r>
        <w:rPr>
          <w:color w:val="231F20"/>
          <w:spacing w:val="-10"/>
        </w:rPr>
        <w:t xml:space="preserve"> </w:t>
      </w:r>
      <w:r>
        <w:rPr>
          <w:color w:val="231F20"/>
        </w:rPr>
        <w:t>safe,</w:t>
      </w:r>
      <w:r>
        <w:rPr>
          <w:color w:val="231F20"/>
          <w:spacing w:val="-9"/>
        </w:rPr>
        <w:t xml:space="preserve"> </w:t>
      </w:r>
      <w:r>
        <w:rPr>
          <w:color w:val="231F20"/>
        </w:rPr>
        <w:t>respectful</w:t>
      </w:r>
      <w:r>
        <w:rPr>
          <w:color w:val="231F20"/>
          <w:spacing w:val="-10"/>
        </w:rPr>
        <w:t xml:space="preserve"> </w:t>
      </w:r>
      <w:r>
        <w:rPr>
          <w:color w:val="231F20"/>
        </w:rPr>
        <w:t>and</w:t>
      </w:r>
      <w:r>
        <w:rPr>
          <w:color w:val="231F20"/>
          <w:spacing w:val="-10"/>
        </w:rPr>
        <w:t xml:space="preserve"> </w:t>
      </w:r>
      <w:r>
        <w:rPr>
          <w:color w:val="231F20"/>
        </w:rPr>
        <w:t>inclusive workplaces by improving our culture and practice.</w:t>
      </w:r>
    </w:p>
    <w:p w14:paraId="38A388DF" w14:textId="77777777" w:rsidR="00345EE3" w:rsidRPr="00046BF4" w:rsidRDefault="00345EE3" w:rsidP="002A27BA">
      <w:pPr>
        <w:pStyle w:val="Heading3"/>
      </w:pPr>
      <w:r w:rsidRPr="00046BF4">
        <w:t>Gender</w:t>
      </w:r>
      <w:r w:rsidRPr="00046BF4">
        <w:rPr>
          <w:spacing w:val="-3"/>
        </w:rPr>
        <w:t xml:space="preserve"> </w:t>
      </w:r>
      <w:r w:rsidRPr="00046BF4">
        <w:t>Equality</w:t>
      </w:r>
      <w:r w:rsidRPr="00046BF4">
        <w:rPr>
          <w:spacing w:val="-3"/>
        </w:rPr>
        <w:t xml:space="preserve"> </w:t>
      </w:r>
      <w:r w:rsidRPr="00046BF4">
        <w:t>and</w:t>
      </w:r>
      <w:r w:rsidRPr="00046BF4">
        <w:rPr>
          <w:spacing w:val="-2"/>
        </w:rPr>
        <w:t xml:space="preserve"> </w:t>
      </w:r>
      <w:r w:rsidRPr="00046BF4">
        <w:t>Inclusion</w:t>
      </w:r>
      <w:r w:rsidRPr="00046BF4">
        <w:rPr>
          <w:spacing w:val="-3"/>
        </w:rPr>
        <w:t xml:space="preserve"> </w:t>
      </w:r>
      <w:r w:rsidRPr="00046BF4">
        <w:t>Division</w:t>
      </w:r>
      <w:r w:rsidRPr="00046BF4">
        <w:rPr>
          <w:spacing w:val="-2"/>
        </w:rPr>
        <w:t xml:space="preserve"> (GEID)</w:t>
      </w:r>
    </w:p>
    <w:p w14:paraId="74C6A9C7" w14:textId="77777777" w:rsidR="00345EE3" w:rsidRDefault="00345EE3" w:rsidP="00345EE3">
      <w:pPr>
        <w:pStyle w:val="BodyText"/>
        <w:spacing w:before="52" w:line="242" w:lineRule="auto"/>
        <w:ind w:right="921"/>
      </w:pPr>
      <w:r>
        <w:rPr>
          <w:color w:val="231F20"/>
        </w:rPr>
        <w:t>GEID</w:t>
      </w:r>
      <w:r>
        <w:rPr>
          <w:color w:val="231F20"/>
          <w:spacing w:val="-10"/>
        </w:rPr>
        <w:t xml:space="preserve"> </w:t>
      </w:r>
      <w:r>
        <w:rPr>
          <w:color w:val="231F20"/>
        </w:rPr>
        <w:t>supports</w:t>
      </w:r>
      <w:r>
        <w:rPr>
          <w:color w:val="231F20"/>
          <w:spacing w:val="-9"/>
        </w:rPr>
        <w:t xml:space="preserve"> </w:t>
      </w:r>
      <w:r>
        <w:rPr>
          <w:color w:val="231F20"/>
        </w:rPr>
        <w:t>the</w:t>
      </w:r>
      <w:r>
        <w:rPr>
          <w:color w:val="231F20"/>
          <w:spacing w:val="-10"/>
        </w:rPr>
        <w:t xml:space="preserve"> </w:t>
      </w:r>
      <w:r>
        <w:rPr>
          <w:color w:val="231F20"/>
        </w:rPr>
        <w:t>organisation</w:t>
      </w:r>
      <w:r>
        <w:rPr>
          <w:color w:val="231F20"/>
          <w:spacing w:val="-10"/>
        </w:rPr>
        <w:t xml:space="preserve"> </w:t>
      </w:r>
      <w:r>
        <w:rPr>
          <w:color w:val="231F20"/>
        </w:rPr>
        <w:t>to</w:t>
      </w:r>
      <w:r>
        <w:rPr>
          <w:color w:val="231F20"/>
          <w:spacing w:val="-10"/>
        </w:rPr>
        <w:t xml:space="preserve"> </w:t>
      </w:r>
      <w:r>
        <w:rPr>
          <w:color w:val="231F20"/>
        </w:rPr>
        <w:t>achieve</w:t>
      </w:r>
      <w:r>
        <w:rPr>
          <w:color w:val="231F20"/>
          <w:spacing w:val="-10"/>
        </w:rPr>
        <w:t xml:space="preserve"> </w:t>
      </w:r>
      <w:r>
        <w:rPr>
          <w:color w:val="231F20"/>
        </w:rPr>
        <w:t>gender</w:t>
      </w:r>
      <w:r>
        <w:rPr>
          <w:color w:val="231F20"/>
          <w:spacing w:val="-9"/>
        </w:rPr>
        <w:t xml:space="preserve"> </w:t>
      </w:r>
      <w:r>
        <w:rPr>
          <w:color w:val="231F20"/>
        </w:rPr>
        <w:t>equality</w:t>
      </w:r>
      <w:r>
        <w:rPr>
          <w:color w:val="231F20"/>
          <w:spacing w:val="-9"/>
        </w:rPr>
        <w:t xml:space="preserve"> </w:t>
      </w:r>
      <w:r>
        <w:rPr>
          <w:color w:val="231F20"/>
        </w:rPr>
        <w:t>and</w:t>
      </w:r>
      <w:r>
        <w:rPr>
          <w:color w:val="231F20"/>
          <w:spacing w:val="-10"/>
        </w:rPr>
        <w:t xml:space="preserve"> </w:t>
      </w:r>
      <w:r>
        <w:rPr>
          <w:color w:val="231F20"/>
        </w:rPr>
        <w:t>embrace</w:t>
      </w:r>
      <w:r>
        <w:rPr>
          <w:color w:val="231F20"/>
          <w:spacing w:val="-10"/>
        </w:rPr>
        <w:t xml:space="preserve"> </w:t>
      </w:r>
      <w:r>
        <w:rPr>
          <w:color w:val="231F20"/>
        </w:rPr>
        <w:t>diversity</w:t>
      </w:r>
      <w:r>
        <w:rPr>
          <w:color w:val="231F20"/>
          <w:spacing w:val="-9"/>
        </w:rPr>
        <w:t xml:space="preserve"> </w:t>
      </w:r>
      <w:r>
        <w:rPr>
          <w:color w:val="231F20"/>
        </w:rPr>
        <w:t>and</w:t>
      </w:r>
      <w:r>
        <w:rPr>
          <w:color w:val="231F20"/>
          <w:spacing w:val="-10"/>
        </w:rPr>
        <w:t xml:space="preserve"> </w:t>
      </w:r>
      <w:r>
        <w:rPr>
          <w:color w:val="231F20"/>
        </w:rPr>
        <w:t>inclusion in the Victoria Police workforce.</w:t>
      </w:r>
    </w:p>
    <w:p w14:paraId="046C1E2C" w14:textId="77777777" w:rsidR="00345EE3" w:rsidRDefault="00345EE3" w:rsidP="00345EE3">
      <w:pPr>
        <w:pStyle w:val="BodyText"/>
        <w:spacing w:before="116" w:line="242" w:lineRule="auto"/>
        <w:ind w:right="1328"/>
      </w:pPr>
      <w:r>
        <w:rPr>
          <w:color w:val="231F20"/>
        </w:rPr>
        <w:t>GEID was created on 21 February 2022 when Gender Equality and Inclusion Command was integrated into the newly established Human Resources Command (HRC). This new organisational</w:t>
      </w:r>
      <w:r>
        <w:rPr>
          <w:color w:val="231F20"/>
          <w:spacing w:val="-10"/>
        </w:rPr>
        <w:t xml:space="preserve"> </w:t>
      </w:r>
      <w:r>
        <w:rPr>
          <w:color w:val="231F20"/>
        </w:rPr>
        <w:t>structure</w:t>
      </w:r>
      <w:r>
        <w:rPr>
          <w:color w:val="231F20"/>
          <w:spacing w:val="-10"/>
        </w:rPr>
        <w:t xml:space="preserve"> </w:t>
      </w:r>
      <w:r>
        <w:rPr>
          <w:color w:val="231F20"/>
        </w:rPr>
        <w:t>retains</w:t>
      </w:r>
      <w:r>
        <w:rPr>
          <w:color w:val="231F20"/>
          <w:spacing w:val="-9"/>
        </w:rPr>
        <w:t xml:space="preserve"> </w:t>
      </w:r>
      <w:r>
        <w:rPr>
          <w:color w:val="231F20"/>
        </w:rPr>
        <w:t>all</w:t>
      </w:r>
      <w:r>
        <w:rPr>
          <w:color w:val="231F20"/>
          <w:spacing w:val="-10"/>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diversity</w:t>
      </w:r>
      <w:r>
        <w:rPr>
          <w:color w:val="231F20"/>
          <w:spacing w:val="-9"/>
        </w:rPr>
        <w:t xml:space="preserve"> </w:t>
      </w:r>
      <w:r>
        <w:rPr>
          <w:color w:val="231F20"/>
        </w:rPr>
        <w:t>and</w:t>
      </w:r>
      <w:r>
        <w:rPr>
          <w:color w:val="231F20"/>
          <w:spacing w:val="-10"/>
        </w:rPr>
        <w:t xml:space="preserve"> </w:t>
      </w:r>
      <w:r>
        <w:rPr>
          <w:color w:val="231F20"/>
        </w:rPr>
        <w:t>inclusion</w:t>
      </w:r>
      <w:r>
        <w:rPr>
          <w:color w:val="231F20"/>
          <w:spacing w:val="-10"/>
        </w:rPr>
        <w:t xml:space="preserve"> </w:t>
      </w:r>
      <w:r>
        <w:rPr>
          <w:color w:val="231F20"/>
        </w:rPr>
        <w:t>portfolios</w:t>
      </w:r>
      <w:r>
        <w:rPr>
          <w:color w:val="231F20"/>
          <w:spacing w:val="-9"/>
        </w:rPr>
        <w:t xml:space="preserve"> </w:t>
      </w:r>
      <w:r>
        <w:rPr>
          <w:color w:val="231F20"/>
        </w:rPr>
        <w:t>under</w:t>
      </w:r>
      <w:r>
        <w:rPr>
          <w:color w:val="231F20"/>
          <w:spacing w:val="-9"/>
        </w:rPr>
        <w:t xml:space="preserve"> </w:t>
      </w:r>
      <w:r>
        <w:rPr>
          <w:color w:val="231F20"/>
        </w:rPr>
        <w:t>one</w:t>
      </w:r>
    </w:p>
    <w:p w14:paraId="42CE4099" w14:textId="77777777" w:rsidR="00345EE3" w:rsidRDefault="00345EE3" w:rsidP="00345EE3">
      <w:pPr>
        <w:pStyle w:val="BodyText"/>
        <w:spacing w:before="4" w:line="242" w:lineRule="auto"/>
      </w:pPr>
      <w:r>
        <w:rPr>
          <w:color w:val="231F20"/>
        </w:rPr>
        <w:t>command,</w:t>
      </w:r>
      <w:r>
        <w:rPr>
          <w:color w:val="231F20"/>
          <w:spacing w:val="-10"/>
        </w:rPr>
        <w:t xml:space="preserve"> </w:t>
      </w:r>
      <w:r>
        <w:rPr>
          <w:color w:val="231F20"/>
        </w:rPr>
        <w:t>enabling</w:t>
      </w:r>
      <w:r>
        <w:rPr>
          <w:color w:val="231F20"/>
          <w:spacing w:val="-11"/>
        </w:rPr>
        <w:t xml:space="preserve"> </w:t>
      </w:r>
      <w:r>
        <w:rPr>
          <w:color w:val="231F20"/>
        </w:rPr>
        <w:t>closer</w:t>
      </w:r>
      <w:r>
        <w:rPr>
          <w:color w:val="231F20"/>
          <w:spacing w:val="-10"/>
        </w:rPr>
        <w:t xml:space="preserve"> </w:t>
      </w:r>
      <w:r>
        <w:rPr>
          <w:color w:val="231F20"/>
        </w:rPr>
        <w:t>collaboration</w:t>
      </w:r>
      <w:r>
        <w:rPr>
          <w:color w:val="231F20"/>
          <w:spacing w:val="-11"/>
        </w:rPr>
        <w:t xml:space="preserve"> </w:t>
      </w:r>
      <w:r>
        <w:rPr>
          <w:color w:val="231F20"/>
        </w:rPr>
        <w:t>with</w:t>
      </w:r>
      <w:r>
        <w:rPr>
          <w:color w:val="231F20"/>
          <w:spacing w:val="-11"/>
        </w:rPr>
        <w:t xml:space="preserve"> </w:t>
      </w:r>
      <w:r>
        <w:rPr>
          <w:color w:val="231F20"/>
        </w:rPr>
        <w:t>other</w:t>
      </w:r>
      <w:r>
        <w:rPr>
          <w:color w:val="231F20"/>
          <w:spacing w:val="-10"/>
        </w:rPr>
        <w:t xml:space="preserve"> </w:t>
      </w:r>
      <w:r>
        <w:rPr>
          <w:color w:val="231F20"/>
        </w:rPr>
        <w:t>divisions</w:t>
      </w:r>
      <w:r>
        <w:rPr>
          <w:color w:val="231F20"/>
          <w:spacing w:val="-10"/>
        </w:rPr>
        <w:t xml:space="preserve"> </w:t>
      </w:r>
      <w:r>
        <w:rPr>
          <w:color w:val="231F20"/>
        </w:rPr>
        <w:t>of</w:t>
      </w:r>
      <w:r>
        <w:rPr>
          <w:color w:val="231F20"/>
          <w:spacing w:val="-10"/>
        </w:rPr>
        <w:t xml:space="preserve"> </w:t>
      </w:r>
      <w:r>
        <w:rPr>
          <w:color w:val="231F20"/>
        </w:rPr>
        <w:t>HRC</w:t>
      </w:r>
      <w:r>
        <w:rPr>
          <w:color w:val="231F20"/>
          <w:spacing w:val="-11"/>
        </w:rPr>
        <w:t xml:space="preserve"> </w:t>
      </w:r>
      <w:r>
        <w:rPr>
          <w:color w:val="231F20"/>
        </w:rPr>
        <w:t>resulting</w:t>
      </w:r>
      <w:r>
        <w:rPr>
          <w:color w:val="231F20"/>
          <w:spacing w:val="-11"/>
        </w:rPr>
        <w:t xml:space="preserve"> </w:t>
      </w:r>
      <w:r>
        <w:rPr>
          <w:color w:val="231F20"/>
        </w:rPr>
        <w:t>in</w:t>
      </w:r>
      <w:r>
        <w:rPr>
          <w:color w:val="231F20"/>
          <w:spacing w:val="-11"/>
        </w:rPr>
        <w:t xml:space="preserve"> </w:t>
      </w:r>
      <w:r>
        <w:rPr>
          <w:color w:val="231F20"/>
        </w:rPr>
        <w:t>more</w:t>
      </w:r>
      <w:r>
        <w:rPr>
          <w:color w:val="231F20"/>
          <w:spacing w:val="-11"/>
        </w:rPr>
        <w:t xml:space="preserve"> </w:t>
      </w:r>
      <w:r>
        <w:rPr>
          <w:color w:val="231F20"/>
        </w:rPr>
        <w:t>integrated organisational solutions.</w:t>
      </w:r>
    </w:p>
    <w:p w14:paraId="7D90F369" w14:textId="77777777" w:rsidR="00345EE3" w:rsidRDefault="00345EE3" w:rsidP="00345EE3">
      <w:pPr>
        <w:pStyle w:val="BodyText"/>
        <w:spacing w:before="116" w:line="242" w:lineRule="auto"/>
      </w:pPr>
      <w:r>
        <w:rPr>
          <w:color w:val="231F20"/>
        </w:rPr>
        <w:t>GEID</w:t>
      </w:r>
      <w:r>
        <w:rPr>
          <w:color w:val="231F20"/>
          <w:spacing w:val="-10"/>
        </w:rPr>
        <w:t xml:space="preserve"> </w:t>
      </w:r>
      <w:r>
        <w:rPr>
          <w:color w:val="231F20"/>
        </w:rPr>
        <w:t>develops</w:t>
      </w:r>
      <w:r>
        <w:rPr>
          <w:color w:val="231F20"/>
          <w:spacing w:val="-9"/>
        </w:rPr>
        <w:t xml:space="preserve"> </w:t>
      </w:r>
      <w:r>
        <w:rPr>
          <w:color w:val="231F20"/>
        </w:rPr>
        <w:t>enterprise-wide</w:t>
      </w:r>
      <w:r>
        <w:rPr>
          <w:color w:val="231F20"/>
          <w:spacing w:val="-10"/>
        </w:rPr>
        <w:t xml:space="preserve"> </w:t>
      </w:r>
      <w:r>
        <w:rPr>
          <w:color w:val="231F20"/>
        </w:rPr>
        <w:t>strategies</w:t>
      </w:r>
      <w:r>
        <w:rPr>
          <w:color w:val="231F20"/>
          <w:spacing w:val="-9"/>
        </w:rPr>
        <w:t xml:space="preserve"> </w:t>
      </w:r>
      <w:r>
        <w:rPr>
          <w:color w:val="231F20"/>
        </w:rPr>
        <w:t>and</w:t>
      </w:r>
      <w:r>
        <w:rPr>
          <w:color w:val="231F20"/>
          <w:spacing w:val="-10"/>
        </w:rPr>
        <w:t xml:space="preserve"> </w:t>
      </w:r>
      <w:r>
        <w:rPr>
          <w:color w:val="231F20"/>
        </w:rPr>
        <w:t>action</w:t>
      </w:r>
      <w:r>
        <w:rPr>
          <w:color w:val="231F20"/>
          <w:spacing w:val="-10"/>
        </w:rPr>
        <w:t xml:space="preserve"> </w:t>
      </w:r>
      <w:r>
        <w:rPr>
          <w:color w:val="231F20"/>
        </w:rPr>
        <w:t>plans</w:t>
      </w:r>
      <w:r>
        <w:rPr>
          <w:color w:val="231F20"/>
          <w:spacing w:val="-9"/>
        </w:rPr>
        <w:t xml:space="preserve"> </w:t>
      </w:r>
      <w:r>
        <w:rPr>
          <w:color w:val="231F20"/>
        </w:rPr>
        <w:t>and</w:t>
      </w:r>
      <w:r>
        <w:rPr>
          <w:color w:val="231F20"/>
          <w:spacing w:val="-10"/>
        </w:rPr>
        <w:t xml:space="preserve"> </w:t>
      </w:r>
      <w:r>
        <w:rPr>
          <w:color w:val="231F20"/>
        </w:rPr>
        <w:t>is</w:t>
      </w:r>
      <w:r>
        <w:rPr>
          <w:color w:val="231F20"/>
          <w:spacing w:val="-9"/>
        </w:rPr>
        <w:t xml:space="preserve"> </w:t>
      </w:r>
      <w:r>
        <w:rPr>
          <w:color w:val="231F20"/>
        </w:rPr>
        <w:t>responsible</w:t>
      </w:r>
      <w:r>
        <w:rPr>
          <w:color w:val="231F20"/>
          <w:spacing w:val="-10"/>
        </w:rPr>
        <w:t xml:space="preserve"> </w:t>
      </w:r>
      <w:r>
        <w:rPr>
          <w:color w:val="231F20"/>
        </w:rPr>
        <w:t>for</w:t>
      </w:r>
      <w:r>
        <w:rPr>
          <w:color w:val="231F20"/>
          <w:spacing w:val="-9"/>
        </w:rPr>
        <w:t xml:space="preserve"> </w:t>
      </w:r>
      <w:r>
        <w:rPr>
          <w:color w:val="231F20"/>
        </w:rPr>
        <w:t>driving</w:t>
      </w:r>
      <w:r>
        <w:rPr>
          <w:color w:val="231F20"/>
          <w:spacing w:val="-10"/>
        </w:rPr>
        <w:t xml:space="preserve"> </w:t>
      </w:r>
      <w:r>
        <w:rPr>
          <w:color w:val="231F20"/>
        </w:rPr>
        <w:t>their implementation across the organisation.</w:t>
      </w:r>
    </w:p>
    <w:p w14:paraId="3CD70E70" w14:textId="77777777" w:rsidR="00345EE3" w:rsidRDefault="00345EE3" w:rsidP="00345EE3">
      <w:pPr>
        <w:rPr>
          <w:color w:val="231F20"/>
          <w:sz w:val="24"/>
          <w:szCs w:val="24"/>
        </w:rPr>
      </w:pPr>
      <w:r>
        <w:rPr>
          <w:color w:val="231F20"/>
        </w:rPr>
        <w:br w:type="page"/>
      </w:r>
    </w:p>
    <w:p w14:paraId="2151ABF1" w14:textId="77777777" w:rsidR="00345EE3" w:rsidRPr="00046BF4" w:rsidRDefault="00345EE3" w:rsidP="00046BF4">
      <w:pPr>
        <w:pStyle w:val="BodyText"/>
        <w:spacing w:before="116" w:line="242" w:lineRule="auto"/>
        <w:ind w:right="848"/>
        <w:rPr>
          <w:sz w:val="24"/>
          <w:szCs w:val="24"/>
        </w:rPr>
      </w:pPr>
      <w:r w:rsidRPr="00046BF4">
        <w:rPr>
          <w:color w:val="231F20"/>
          <w:sz w:val="24"/>
          <w:szCs w:val="24"/>
        </w:rPr>
        <w:lastRenderedPageBreak/>
        <w:t xml:space="preserve">GEID’s objective is to provide evidence-informed advice and services to the </w:t>
      </w:r>
      <w:r w:rsidRPr="00046BF4">
        <w:rPr>
          <w:i/>
          <w:color w:val="231F20"/>
          <w:sz w:val="24"/>
          <w:szCs w:val="24"/>
        </w:rPr>
        <w:t>Equal,</w:t>
      </w:r>
      <w:r w:rsidRPr="00046BF4">
        <w:rPr>
          <w:i/>
          <w:color w:val="231F20"/>
          <w:spacing w:val="-7"/>
          <w:sz w:val="24"/>
          <w:szCs w:val="24"/>
        </w:rPr>
        <w:t xml:space="preserve"> </w:t>
      </w:r>
      <w:r w:rsidRPr="00046BF4">
        <w:rPr>
          <w:i/>
          <w:color w:val="231F20"/>
          <w:sz w:val="24"/>
          <w:szCs w:val="24"/>
        </w:rPr>
        <w:t>Safe</w:t>
      </w:r>
      <w:r w:rsidRPr="00046BF4">
        <w:rPr>
          <w:i/>
          <w:color w:val="231F20"/>
          <w:spacing w:val="-7"/>
          <w:sz w:val="24"/>
          <w:szCs w:val="24"/>
        </w:rPr>
        <w:t xml:space="preserve"> </w:t>
      </w:r>
      <w:r w:rsidRPr="00046BF4">
        <w:rPr>
          <w:i/>
          <w:color w:val="231F20"/>
          <w:sz w:val="24"/>
          <w:szCs w:val="24"/>
        </w:rPr>
        <w:t xml:space="preserve">&amp; </w:t>
      </w:r>
      <w:r w:rsidRPr="00046BF4">
        <w:rPr>
          <w:i/>
          <w:color w:val="231F20"/>
          <w:spacing w:val="-2"/>
          <w:sz w:val="24"/>
          <w:szCs w:val="24"/>
        </w:rPr>
        <w:t>Strong:</w:t>
      </w:r>
      <w:r w:rsidRPr="00046BF4">
        <w:rPr>
          <w:i/>
          <w:color w:val="231F20"/>
          <w:spacing w:val="-15"/>
          <w:sz w:val="24"/>
          <w:szCs w:val="24"/>
        </w:rPr>
        <w:t xml:space="preserve"> </w:t>
      </w:r>
      <w:r w:rsidRPr="00046BF4">
        <w:rPr>
          <w:i/>
          <w:color w:val="231F20"/>
          <w:spacing w:val="-2"/>
          <w:sz w:val="24"/>
          <w:szCs w:val="24"/>
        </w:rPr>
        <w:t>Victoria</w:t>
      </w:r>
      <w:r w:rsidRPr="00046BF4">
        <w:rPr>
          <w:i/>
          <w:color w:val="231F20"/>
          <w:spacing w:val="-15"/>
          <w:sz w:val="24"/>
          <w:szCs w:val="24"/>
        </w:rPr>
        <w:t xml:space="preserve"> </w:t>
      </w:r>
      <w:r w:rsidRPr="00046BF4">
        <w:rPr>
          <w:i/>
          <w:color w:val="231F20"/>
          <w:spacing w:val="-2"/>
          <w:sz w:val="24"/>
          <w:szCs w:val="24"/>
        </w:rPr>
        <w:t>Police</w:t>
      </w:r>
      <w:r w:rsidRPr="00046BF4">
        <w:rPr>
          <w:i/>
          <w:color w:val="231F20"/>
          <w:spacing w:val="-14"/>
          <w:sz w:val="24"/>
          <w:szCs w:val="24"/>
        </w:rPr>
        <w:t xml:space="preserve"> </w:t>
      </w:r>
      <w:r w:rsidRPr="00046BF4">
        <w:rPr>
          <w:i/>
          <w:color w:val="231F20"/>
          <w:spacing w:val="-2"/>
          <w:sz w:val="24"/>
          <w:szCs w:val="24"/>
        </w:rPr>
        <w:t>Gender</w:t>
      </w:r>
      <w:r w:rsidRPr="00046BF4">
        <w:rPr>
          <w:i/>
          <w:color w:val="231F20"/>
          <w:spacing w:val="-15"/>
          <w:sz w:val="24"/>
          <w:szCs w:val="24"/>
        </w:rPr>
        <w:t xml:space="preserve"> </w:t>
      </w:r>
      <w:r w:rsidRPr="00046BF4">
        <w:rPr>
          <w:i/>
          <w:color w:val="231F20"/>
          <w:spacing w:val="-2"/>
          <w:sz w:val="24"/>
          <w:szCs w:val="24"/>
        </w:rPr>
        <w:t>Equality</w:t>
      </w:r>
      <w:r w:rsidRPr="00046BF4">
        <w:rPr>
          <w:i/>
          <w:color w:val="231F20"/>
          <w:spacing w:val="-15"/>
          <w:sz w:val="24"/>
          <w:szCs w:val="24"/>
        </w:rPr>
        <w:t xml:space="preserve"> </w:t>
      </w:r>
      <w:r w:rsidRPr="00046BF4">
        <w:rPr>
          <w:i/>
          <w:color w:val="231F20"/>
          <w:spacing w:val="-2"/>
          <w:sz w:val="24"/>
          <w:szCs w:val="24"/>
        </w:rPr>
        <w:t>Strategy</w:t>
      </w:r>
      <w:r w:rsidRPr="00046BF4">
        <w:rPr>
          <w:i/>
          <w:color w:val="231F20"/>
          <w:spacing w:val="-15"/>
          <w:sz w:val="24"/>
          <w:szCs w:val="24"/>
        </w:rPr>
        <w:t xml:space="preserve"> </w:t>
      </w:r>
      <w:r w:rsidRPr="00046BF4">
        <w:rPr>
          <w:color w:val="231F20"/>
          <w:spacing w:val="-2"/>
          <w:sz w:val="24"/>
          <w:szCs w:val="24"/>
        </w:rPr>
        <w:t>2020–2030</w:t>
      </w:r>
      <w:r w:rsidRPr="00046BF4">
        <w:rPr>
          <w:color w:val="231F20"/>
          <w:spacing w:val="-10"/>
          <w:sz w:val="24"/>
          <w:szCs w:val="24"/>
        </w:rPr>
        <w:t xml:space="preserve"> </w:t>
      </w:r>
      <w:r w:rsidRPr="00046BF4">
        <w:rPr>
          <w:color w:val="231F20"/>
          <w:spacing w:val="-2"/>
          <w:sz w:val="24"/>
          <w:szCs w:val="24"/>
        </w:rPr>
        <w:t>action</w:t>
      </w:r>
      <w:r w:rsidRPr="00046BF4">
        <w:rPr>
          <w:color w:val="231F20"/>
          <w:spacing w:val="-8"/>
          <w:sz w:val="24"/>
          <w:szCs w:val="24"/>
        </w:rPr>
        <w:t xml:space="preserve"> </w:t>
      </w:r>
      <w:r w:rsidRPr="00046BF4">
        <w:rPr>
          <w:color w:val="231F20"/>
          <w:spacing w:val="-2"/>
          <w:sz w:val="24"/>
          <w:szCs w:val="24"/>
        </w:rPr>
        <w:t>owners</w:t>
      </w:r>
      <w:r w:rsidRPr="00046BF4">
        <w:rPr>
          <w:color w:val="231F20"/>
          <w:spacing w:val="-9"/>
          <w:sz w:val="24"/>
          <w:szCs w:val="24"/>
        </w:rPr>
        <w:t xml:space="preserve"> </w:t>
      </w:r>
      <w:r w:rsidRPr="00046BF4">
        <w:rPr>
          <w:color w:val="231F20"/>
          <w:spacing w:val="-2"/>
          <w:sz w:val="24"/>
          <w:szCs w:val="24"/>
        </w:rPr>
        <w:t>across</w:t>
      </w:r>
      <w:r w:rsidRPr="00046BF4">
        <w:rPr>
          <w:color w:val="231F20"/>
          <w:spacing w:val="-9"/>
          <w:sz w:val="24"/>
          <w:szCs w:val="24"/>
        </w:rPr>
        <w:t xml:space="preserve"> </w:t>
      </w:r>
      <w:r w:rsidRPr="00046BF4">
        <w:rPr>
          <w:color w:val="231F20"/>
          <w:spacing w:val="-2"/>
          <w:sz w:val="24"/>
          <w:szCs w:val="24"/>
        </w:rPr>
        <w:t>the</w:t>
      </w:r>
      <w:r w:rsidRPr="00046BF4">
        <w:rPr>
          <w:color w:val="231F20"/>
          <w:spacing w:val="-9"/>
          <w:sz w:val="24"/>
          <w:szCs w:val="24"/>
        </w:rPr>
        <w:t xml:space="preserve"> </w:t>
      </w:r>
      <w:r w:rsidRPr="00046BF4">
        <w:rPr>
          <w:color w:val="231F20"/>
          <w:spacing w:val="-2"/>
          <w:sz w:val="24"/>
          <w:szCs w:val="24"/>
        </w:rPr>
        <w:t xml:space="preserve">organisation </w:t>
      </w:r>
      <w:r w:rsidRPr="00046BF4">
        <w:rPr>
          <w:color w:val="231F20"/>
          <w:sz w:val="24"/>
          <w:szCs w:val="24"/>
        </w:rPr>
        <w:t>to build leadership capability, create structural support, and advance equal outcomes and experiences for all Victoria Police employees. This includes supporting a diverse range of employee</w:t>
      </w:r>
      <w:r w:rsidRPr="00046BF4">
        <w:rPr>
          <w:color w:val="231F20"/>
          <w:spacing w:val="-16"/>
          <w:sz w:val="24"/>
          <w:szCs w:val="24"/>
        </w:rPr>
        <w:t xml:space="preserve"> </w:t>
      </w:r>
      <w:r w:rsidRPr="00046BF4">
        <w:rPr>
          <w:color w:val="231F20"/>
          <w:sz w:val="24"/>
          <w:szCs w:val="24"/>
        </w:rPr>
        <w:t>networks</w:t>
      </w:r>
      <w:r w:rsidRPr="00046BF4">
        <w:rPr>
          <w:color w:val="231F20"/>
          <w:spacing w:val="-13"/>
          <w:sz w:val="24"/>
          <w:szCs w:val="24"/>
        </w:rPr>
        <w:t xml:space="preserve"> </w:t>
      </w:r>
      <w:r w:rsidRPr="00046BF4">
        <w:rPr>
          <w:color w:val="231F20"/>
          <w:sz w:val="24"/>
          <w:szCs w:val="24"/>
        </w:rPr>
        <w:t>and</w:t>
      </w:r>
      <w:r w:rsidRPr="00046BF4">
        <w:rPr>
          <w:color w:val="231F20"/>
          <w:spacing w:val="-13"/>
          <w:sz w:val="24"/>
          <w:szCs w:val="24"/>
        </w:rPr>
        <w:t xml:space="preserve"> </w:t>
      </w:r>
      <w:r w:rsidRPr="00046BF4">
        <w:rPr>
          <w:color w:val="231F20"/>
          <w:sz w:val="24"/>
          <w:szCs w:val="24"/>
        </w:rPr>
        <w:t>their</w:t>
      </w:r>
      <w:r w:rsidRPr="00046BF4">
        <w:rPr>
          <w:color w:val="231F20"/>
          <w:spacing w:val="-13"/>
          <w:sz w:val="24"/>
          <w:szCs w:val="24"/>
        </w:rPr>
        <w:t xml:space="preserve"> </w:t>
      </w:r>
      <w:r w:rsidRPr="00046BF4">
        <w:rPr>
          <w:color w:val="231F20"/>
          <w:sz w:val="24"/>
          <w:szCs w:val="24"/>
        </w:rPr>
        <w:t>executive</w:t>
      </w:r>
      <w:r w:rsidRPr="00046BF4">
        <w:rPr>
          <w:color w:val="231F20"/>
          <w:spacing w:val="-13"/>
          <w:sz w:val="24"/>
          <w:szCs w:val="24"/>
        </w:rPr>
        <w:t xml:space="preserve"> </w:t>
      </w:r>
      <w:r w:rsidRPr="00046BF4">
        <w:rPr>
          <w:color w:val="231F20"/>
          <w:spacing w:val="-2"/>
          <w:sz w:val="24"/>
          <w:szCs w:val="24"/>
        </w:rPr>
        <w:t>sponsors.</w:t>
      </w:r>
    </w:p>
    <w:p w14:paraId="553DFA71" w14:textId="77777777" w:rsidR="00345EE3" w:rsidRPr="00046BF4" w:rsidRDefault="00345EE3" w:rsidP="002A27BA">
      <w:pPr>
        <w:pStyle w:val="Heading3"/>
      </w:pPr>
      <w:r w:rsidRPr="00046BF4">
        <w:t>Gender</w:t>
      </w:r>
      <w:r w:rsidRPr="00046BF4">
        <w:rPr>
          <w:spacing w:val="-2"/>
        </w:rPr>
        <w:t xml:space="preserve"> </w:t>
      </w:r>
      <w:r w:rsidRPr="00046BF4">
        <w:t>Equality</w:t>
      </w:r>
      <w:r w:rsidRPr="00046BF4">
        <w:rPr>
          <w:spacing w:val="-2"/>
        </w:rPr>
        <w:t xml:space="preserve"> </w:t>
      </w:r>
      <w:r w:rsidRPr="00046BF4">
        <w:t>Strategy</w:t>
      </w:r>
      <w:r w:rsidRPr="00046BF4">
        <w:rPr>
          <w:spacing w:val="-1"/>
        </w:rPr>
        <w:t xml:space="preserve"> </w:t>
      </w:r>
      <w:r w:rsidRPr="00046BF4">
        <w:t>and</w:t>
      </w:r>
      <w:r w:rsidRPr="00046BF4">
        <w:rPr>
          <w:spacing w:val="-1"/>
        </w:rPr>
        <w:t xml:space="preserve"> </w:t>
      </w:r>
      <w:r w:rsidRPr="00046BF4">
        <w:t xml:space="preserve">Action </w:t>
      </w:r>
      <w:r w:rsidRPr="00046BF4">
        <w:rPr>
          <w:spacing w:val="-4"/>
        </w:rPr>
        <w:t>Plan</w:t>
      </w:r>
    </w:p>
    <w:p w14:paraId="45BD9C3D" w14:textId="77777777" w:rsidR="00345EE3" w:rsidRDefault="00345EE3" w:rsidP="00046BF4">
      <w:pPr>
        <w:spacing w:before="52" w:line="242" w:lineRule="auto"/>
        <w:ind w:right="921"/>
        <w:rPr>
          <w:sz w:val="24"/>
        </w:rPr>
      </w:pPr>
      <w:r>
        <w:rPr>
          <w:color w:val="231F20"/>
          <w:spacing w:val="-4"/>
          <w:sz w:val="24"/>
        </w:rPr>
        <w:t xml:space="preserve">The </w:t>
      </w:r>
      <w:r>
        <w:rPr>
          <w:i/>
          <w:color w:val="231F20"/>
          <w:spacing w:val="-4"/>
          <w:sz w:val="24"/>
        </w:rPr>
        <w:t>Equal,</w:t>
      </w:r>
      <w:r>
        <w:rPr>
          <w:i/>
          <w:color w:val="231F20"/>
          <w:spacing w:val="-9"/>
          <w:sz w:val="24"/>
        </w:rPr>
        <w:t xml:space="preserve"> </w:t>
      </w:r>
      <w:r>
        <w:rPr>
          <w:i/>
          <w:color w:val="231F20"/>
          <w:spacing w:val="-4"/>
          <w:sz w:val="24"/>
        </w:rPr>
        <w:t>Safe</w:t>
      </w:r>
      <w:r>
        <w:rPr>
          <w:i/>
          <w:color w:val="231F20"/>
          <w:spacing w:val="-9"/>
          <w:sz w:val="24"/>
        </w:rPr>
        <w:t xml:space="preserve"> </w:t>
      </w:r>
      <w:r>
        <w:rPr>
          <w:i/>
          <w:color w:val="231F20"/>
          <w:spacing w:val="-4"/>
          <w:sz w:val="24"/>
        </w:rPr>
        <w:t>&amp;</w:t>
      </w:r>
      <w:r>
        <w:rPr>
          <w:i/>
          <w:color w:val="231F20"/>
          <w:spacing w:val="-9"/>
          <w:sz w:val="24"/>
        </w:rPr>
        <w:t xml:space="preserve"> </w:t>
      </w:r>
      <w:r>
        <w:rPr>
          <w:i/>
          <w:color w:val="231F20"/>
          <w:spacing w:val="-4"/>
          <w:sz w:val="24"/>
        </w:rPr>
        <w:t>Strong:</w:t>
      </w:r>
      <w:r>
        <w:rPr>
          <w:i/>
          <w:color w:val="231F20"/>
          <w:spacing w:val="-9"/>
          <w:sz w:val="24"/>
        </w:rPr>
        <w:t xml:space="preserve"> </w:t>
      </w:r>
      <w:r>
        <w:rPr>
          <w:i/>
          <w:color w:val="231F20"/>
          <w:spacing w:val="-4"/>
          <w:sz w:val="24"/>
        </w:rPr>
        <w:t>Victoria</w:t>
      </w:r>
      <w:r>
        <w:rPr>
          <w:i/>
          <w:color w:val="231F20"/>
          <w:spacing w:val="-9"/>
          <w:sz w:val="24"/>
        </w:rPr>
        <w:t xml:space="preserve"> </w:t>
      </w:r>
      <w:r>
        <w:rPr>
          <w:i/>
          <w:color w:val="231F20"/>
          <w:spacing w:val="-4"/>
          <w:sz w:val="24"/>
        </w:rPr>
        <w:t>Police</w:t>
      </w:r>
      <w:r>
        <w:rPr>
          <w:i/>
          <w:color w:val="231F20"/>
          <w:spacing w:val="-9"/>
          <w:sz w:val="24"/>
        </w:rPr>
        <w:t xml:space="preserve"> </w:t>
      </w:r>
      <w:r>
        <w:rPr>
          <w:i/>
          <w:color w:val="231F20"/>
          <w:spacing w:val="-4"/>
          <w:sz w:val="24"/>
        </w:rPr>
        <w:t>Gender</w:t>
      </w:r>
      <w:r>
        <w:rPr>
          <w:i/>
          <w:color w:val="231F20"/>
          <w:spacing w:val="-9"/>
          <w:sz w:val="24"/>
        </w:rPr>
        <w:t xml:space="preserve"> </w:t>
      </w:r>
      <w:r>
        <w:rPr>
          <w:i/>
          <w:color w:val="231F20"/>
          <w:spacing w:val="-4"/>
          <w:sz w:val="24"/>
        </w:rPr>
        <w:t>Equality</w:t>
      </w:r>
      <w:r>
        <w:rPr>
          <w:i/>
          <w:color w:val="231F20"/>
          <w:spacing w:val="-9"/>
          <w:sz w:val="24"/>
        </w:rPr>
        <w:t xml:space="preserve"> </w:t>
      </w:r>
      <w:r>
        <w:rPr>
          <w:i/>
          <w:color w:val="231F20"/>
          <w:spacing w:val="-4"/>
          <w:sz w:val="24"/>
        </w:rPr>
        <w:t>Strategy</w:t>
      </w:r>
      <w:r>
        <w:rPr>
          <w:i/>
          <w:color w:val="231F20"/>
          <w:spacing w:val="-9"/>
          <w:sz w:val="24"/>
        </w:rPr>
        <w:t xml:space="preserve"> </w:t>
      </w:r>
      <w:r>
        <w:rPr>
          <w:i/>
          <w:color w:val="231F20"/>
          <w:spacing w:val="-4"/>
          <w:sz w:val="24"/>
        </w:rPr>
        <w:t>2020–2030</w:t>
      </w:r>
      <w:r>
        <w:rPr>
          <w:i/>
          <w:color w:val="231F20"/>
          <w:spacing w:val="-5"/>
          <w:sz w:val="24"/>
        </w:rPr>
        <w:t xml:space="preserve"> </w:t>
      </w:r>
      <w:r>
        <w:rPr>
          <w:color w:val="231F20"/>
          <w:spacing w:val="-4"/>
          <w:sz w:val="24"/>
        </w:rPr>
        <w:t xml:space="preserve">sets out the </w:t>
      </w:r>
      <w:r>
        <w:rPr>
          <w:color w:val="231F20"/>
          <w:sz w:val="24"/>
        </w:rPr>
        <w:t>organisation’s plan to achieve sustainable gender equality in Victoria Police by 2030.</w:t>
      </w:r>
    </w:p>
    <w:p w14:paraId="161FAC2D" w14:textId="77777777" w:rsidR="00345EE3" w:rsidRDefault="00345EE3" w:rsidP="00046BF4">
      <w:pPr>
        <w:spacing w:before="116" w:line="242" w:lineRule="auto"/>
        <w:ind w:right="921"/>
        <w:rPr>
          <w:sz w:val="24"/>
        </w:rPr>
      </w:pPr>
      <w:r>
        <w:rPr>
          <w:color w:val="231F20"/>
          <w:spacing w:val="-2"/>
          <w:sz w:val="24"/>
        </w:rPr>
        <w:t>The</w:t>
      </w:r>
      <w:r>
        <w:rPr>
          <w:color w:val="231F20"/>
          <w:spacing w:val="-15"/>
          <w:sz w:val="24"/>
        </w:rPr>
        <w:t xml:space="preserve"> </w:t>
      </w:r>
      <w:r>
        <w:rPr>
          <w:color w:val="231F20"/>
          <w:spacing w:val="-2"/>
          <w:sz w:val="24"/>
        </w:rPr>
        <w:t>related</w:t>
      </w:r>
      <w:r>
        <w:rPr>
          <w:color w:val="231F20"/>
          <w:spacing w:val="-15"/>
          <w:sz w:val="24"/>
        </w:rPr>
        <w:t xml:space="preserve"> </w:t>
      </w:r>
      <w:r>
        <w:rPr>
          <w:i/>
          <w:color w:val="231F20"/>
          <w:spacing w:val="-2"/>
          <w:sz w:val="24"/>
        </w:rPr>
        <w:t>Victoria</w:t>
      </w:r>
      <w:r>
        <w:rPr>
          <w:i/>
          <w:color w:val="231F20"/>
          <w:spacing w:val="-14"/>
          <w:sz w:val="24"/>
        </w:rPr>
        <w:t xml:space="preserve"> </w:t>
      </w:r>
      <w:r>
        <w:rPr>
          <w:i/>
          <w:color w:val="231F20"/>
          <w:spacing w:val="-2"/>
          <w:sz w:val="24"/>
        </w:rPr>
        <w:t>Police</w:t>
      </w:r>
      <w:r>
        <w:rPr>
          <w:i/>
          <w:color w:val="231F20"/>
          <w:spacing w:val="-15"/>
          <w:sz w:val="24"/>
        </w:rPr>
        <w:t xml:space="preserve"> </w:t>
      </w:r>
      <w:r>
        <w:rPr>
          <w:i/>
          <w:color w:val="231F20"/>
          <w:spacing w:val="-2"/>
          <w:sz w:val="24"/>
        </w:rPr>
        <w:t>Gender</w:t>
      </w:r>
      <w:r>
        <w:rPr>
          <w:i/>
          <w:color w:val="231F20"/>
          <w:spacing w:val="-15"/>
          <w:sz w:val="24"/>
        </w:rPr>
        <w:t xml:space="preserve"> </w:t>
      </w:r>
      <w:r>
        <w:rPr>
          <w:i/>
          <w:color w:val="231F20"/>
          <w:spacing w:val="-2"/>
          <w:sz w:val="24"/>
        </w:rPr>
        <w:t>Equality</w:t>
      </w:r>
      <w:r>
        <w:rPr>
          <w:i/>
          <w:color w:val="231F20"/>
          <w:spacing w:val="-15"/>
          <w:sz w:val="24"/>
        </w:rPr>
        <w:t xml:space="preserve"> </w:t>
      </w:r>
      <w:r>
        <w:rPr>
          <w:i/>
          <w:color w:val="231F20"/>
          <w:spacing w:val="-2"/>
          <w:sz w:val="24"/>
        </w:rPr>
        <w:t>Action</w:t>
      </w:r>
      <w:r>
        <w:rPr>
          <w:i/>
          <w:color w:val="231F20"/>
          <w:spacing w:val="-14"/>
          <w:sz w:val="24"/>
        </w:rPr>
        <w:t xml:space="preserve"> </w:t>
      </w:r>
      <w:r>
        <w:rPr>
          <w:i/>
          <w:color w:val="231F20"/>
          <w:spacing w:val="-2"/>
          <w:sz w:val="24"/>
        </w:rPr>
        <w:t>Plan</w:t>
      </w:r>
      <w:r>
        <w:rPr>
          <w:i/>
          <w:color w:val="231F20"/>
          <w:spacing w:val="-15"/>
          <w:sz w:val="24"/>
        </w:rPr>
        <w:t xml:space="preserve"> </w:t>
      </w:r>
      <w:r>
        <w:rPr>
          <w:i/>
          <w:color w:val="231F20"/>
          <w:spacing w:val="-2"/>
          <w:sz w:val="24"/>
        </w:rPr>
        <w:t>2022–2024</w:t>
      </w:r>
      <w:r>
        <w:rPr>
          <w:i/>
          <w:color w:val="231F20"/>
          <w:spacing w:val="-15"/>
          <w:sz w:val="24"/>
        </w:rPr>
        <w:t xml:space="preserve"> </w:t>
      </w:r>
      <w:r>
        <w:rPr>
          <w:color w:val="231F20"/>
          <w:spacing w:val="-2"/>
          <w:sz w:val="24"/>
        </w:rPr>
        <w:t>outlines</w:t>
      </w:r>
      <w:r>
        <w:rPr>
          <w:color w:val="231F20"/>
          <w:spacing w:val="-14"/>
          <w:sz w:val="24"/>
        </w:rPr>
        <w:t xml:space="preserve"> </w:t>
      </w:r>
      <w:r>
        <w:rPr>
          <w:color w:val="231F20"/>
          <w:spacing w:val="-2"/>
          <w:sz w:val="24"/>
        </w:rPr>
        <w:t>the</w:t>
      </w:r>
      <w:r>
        <w:rPr>
          <w:color w:val="231F20"/>
          <w:spacing w:val="-15"/>
          <w:sz w:val="24"/>
        </w:rPr>
        <w:t xml:space="preserve"> </w:t>
      </w:r>
      <w:r>
        <w:rPr>
          <w:color w:val="231F20"/>
          <w:spacing w:val="-2"/>
          <w:sz w:val="24"/>
        </w:rPr>
        <w:t>foundational</w:t>
      </w:r>
      <w:r>
        <w:rPr>
          <w:color w:val="231F20"/>
          <w:spacing w:val="-14"/>
          <w:sz w:val="24"/>
        </w:rPr>
        <w:t xml:space="preserve"> </w:t>
      </w:r>
      <w:r>
        <w:rPr>
          <w:color w:val="231F20"/>
          <w:spacing w:val="-2"/>
          <w:sz w:val="24"/>
        </w:rPr>
        <w:t xml:space="preserve">work </w:t>
      </w:r>
      <w:r>
        <w:rPr>
          <w:color w:val="231F20"/>
          <w:sz w:val="24"/>
        </w:rPr>
        <w:t>needed to make systemic and cultural change to support and protect victims, hold offenders to account and call for community change and action to end gender-based crime.</w:t>
      </w:r>
    </w:p>
    <w:p w14:paraId="581CEFEC" w14:textId="77777777" w:rsidR="00345EE3" w:rsidRDefault="00345EE3" w:rsidP="00345EE3">
      <w:pPr>
        <w:pStyle w:val="BodyText"/>
        <w:spacing w:before="118" w:line="242" w:lineRule="auto"/>
        <w:ind w:right="921"/>
      </w:pPr>
      <w:r>
        <w:rPr>
          <w:color w:val="231F20"/>
        </w:rPr>
        <w:t>The</w:t>
      </w:r>
      <w:r>
        <w:rPr>
          <w:color w:val="231F20"/>
          <w:spacing w:val="-2"/>
        </w:rPr>
        <w:t xml:space="preserve"> </w:t>
      </w:r>
      <w:r>
        <w:rPr>
          <w:color w:val="231F20"/>
        </w:rPr>
        <w:t>action</w:t>
      </w:r>
      <w:r>
        <w:rPr>
          <w:color w:val="231F20"/>
          <w:spacing w:val="-2"/>
        </w:rPr>
        <w:t xml:space="preserve"> </w:t>
      </w:r>
      <w:r>
        <w:rPr>
          <w:color w:val="231F20"/>
        </w:rPr>
        <w:t>plan</w:t>
      </w:r>
      <w:r>
        <w:rPr>
          <w:color w:val="231F20"/>
          <w:spacing w:val="-2"/>
        </w:rPr>
        <w:t xml:space="preserve"> </w:t>
      </w:r>
      <w:r>
        <w:rPr>
          <w:color w:val="231F20"/>
        </w:rPr>
        <w:t>is</w:t>
      </w:r>
      <w:r>
        <w:rPr>
          <w:color w:val="231F20"/>
          <w:spacing w:val="-1"/>
        </w:rPr>
        <w:t xml:space="preserve"> </w:t>
      </w:r>
      <w:r>
        <w:rPr>
          <w:color w:val="231F20"/>
        </w:rPr>
        <w:t>designed</w:t>
      </w:r>
      <w:r>
        <w:rPr>
          <w:color w:val="231F20"/>
          <w:spacing w:val="-2"/>
        </w:rPr>
        <w:t xml:space="preserve"> </w:t>
      </w:r>
      <w:r>
        <w:rPr>
          <w:color w:val="231F20"/>
        </w:rPr>
        <w:t>to</w:t>
      </w:r>
      <w:r>
        <w:rPr>
          <w:color w:val="231F20"/>
          <w:spacing w:val="-2"/>
        </w:rPr>
        <w:t xml:space="preserve"> </w:t>
      </w:r>
      <w:r>
        <w:rPr>
          <w:color w:val="231F20"/>
        </w:rPr>
        <w:t>meet</w:t>
      </w:r>
      <w:r>
        <w:rPr>
          <w:color w:val="231F20"/>
          <w:spacing w:val="-1"/>
        </w:rPr>
        <w:t xml:space="preserve"> </w:t>
      </w:r>
      <w:r>
        <w:rPr>
          <w:color w:val="231F20"/>
        </w:rPr>
        <w:t>all</w:t>
      </w:r>
      <w:r>
        <w:rPr>
          <w:color w:val="231F20"/>
          <w:spacing w:val="-2"/>
        </w:rPr>
        <w:t xml:space="preserve"> </w:t>
      </w:r>
      <w:r>
        <w:rPr>
          <w:color w:val="231F20"/>
        </w:rPr>
        <w:t>requirements</w:t>
      </w:r>
      <w:r>
        <w:rPr>
          <w:color w:val="231F20"/>
          <w:spacing w:val="-1"/>
        </w:rPr>
        <w:t xml:space="preserve"> </w:t>
      </w:r>
      <w:r>
        <w:rPr>
          <w:color w:val="231F20"/>
        </w:rPr>
        <w:t>under</w:t>
      </w:r>
      <w:r>
        <w:rPr>
          <w:color w:val="231F20"/>
          <w:spacing w:val="-1"/>
        </w:rPr>
        <w:t xml:space="preserve"> </w:t>
      </w:r>
      <w:r>
        <w:rPr>
          <w:color w:val="231F20"/>
        </w:rPr>
        <w:t>the</w:t>
      </w:r>
      <w:r>
        <w:rPr>
          <w:color w:val="231F20"/>
          <w:spacing w:val="-2"/>
        </w:rPr>
        <w:t xml:space="preserve"> </w:t>
      </w:r>
      <w:r>
        <w:rPr>
          <w:i/>
          <w:color w:val="231F20"/>
        </w:rPr>
        <w:t>Gender</w:t>
      </w:r>
      <w:r>
        <w:rPr>
          <w:i/>
          <w:color w:val="231F20"/>
          <w:spacing w:val="-10"/>
        </w:rPr>
        <w:t xml:space="preserve"> </w:t>
      </w:r>
      <w:r>
        <w:rPr>
          <w:i/>
          <w:color w:val="231F20"/>
        </w:rPr>
        <w:t>Equality</w:t>
      </w:r>
      <w:r>
        <w:rPr>
          <w:i/>
          <w:color w:val="231F20"/>
          <w:spacing w:val="-10"/>
        </w:rPr>
        <w:t xml:space="preserve"> </w:t>
      </w:r>
      <w:r>
        <w:rPr>
          <w:i/>
          <w:color w:val="231F20"/>
        </w:rPr>
        <w:t>Act</w:t>
      </w:r>
      <w:r>
        <w:rPr>
          <w:i/>
          <w:color w:val="231F20"/>
          <w:spacing w:val="-10"/>
        </w:rPr>
        <w:t xml:space="preserve"> </w:t>
      </w:r>
      <w:r>
        <w:rPr>
          <w:color w:val="231F20"/>
        </w:rPr>
        <w:t>2020 including encompassing intersectionality (identifying multiple factors of advantage and disadvantage).</w:t>
      </w:r>
      <w:r>
        <w:rPr>
          <w:color w:val="231F20"/>
          <w:spacing w:val="-12"/>
        </w:rPr>
        <w:t xml:space="preserve"> </w:t>
      </w:r>
      <w:r>
        <w:rPr>
          <w:color w:val="231F20"/>
        </w:rPr>
        <w:t>It</w:t>
      </w:r>
      <w:r>
        <w:rPr>
          <w:color w:val="231F20"/>
          <w:spacing w:val="-12"/>
        </w:rPr>
        <w:t xml:space="preserve"> </w:t>
      </w:r>
      <w:r>
        <w:rPr>
          <w:color w:val="231F20"/>
        </w:rPr>
        <w:t>was</w:t>
      </w:r>
      <w:r>
        <w:rPr>
          <w:color w:val="231F20"/>
          <w:spacing w:val="-12"/>
        </w:rPr>
        <w:t xml:space="preserve"> </w:t>
      </w:r>
      <w:r>
        <w:rPr>
          <w:color w:val="231F20"/>
        </w:rPr>
        <w:t>submitted</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Public</w:t>
      </w:r>
      <w:r>
        <w:rPr>
          <w:color w:val="231F20"/>
          <w:spacing w:val="-12"/>
        </w:rPr>
        <w:t xml:space="preserve"> </w:t>
      </w:r>
      <w:r>
        <w:rPr>
          <w:color w:val="231F20"/>
        </w:rPr>
        <w:t>Sector</w:t>
      </w:r>
      <w:r>
        <w:rPr>
          <w:color w:val="231F20"/>
          <w:spacing w:val="-12"/>
        </w:rPr>
        <w:t xml:space="preserve"> </w:t>
      </w:r>
      <w:r>
        <w:rPr>
          <w:color w:val="231F20"/>
        </w:rPr>
        <w:t>Gender</w:t>
      </w:r>
      <w:r>
        <w:rPr>
          <w:color w:val="231F20"/>
          <w:spacing w:val="-12"/>
        </w:rPr>
        <w:t xml:space="preserve"> </w:t>
      </w:r>
      <w:r>
        <w:rPr>
          <w:color w:val="231F20"/>
        </w:rPr>
        <w:t>Equality</w:t>
      </w:r>
      <w:r>
        <w:rPr>
          <w:color w:val="231F20"/>
          <w:spacing w:val="-12"/>
        </w:rPr>
        <w:t xml:space="preserve"> </w:t>
      </w:r>
      <w:r>
        <w:rPr>
          <w:color w:val="231F20"/>
        </w:rPr>
        <w:t>Commissioner</w:t>
      </w:r>
      <w:r>
        <w:rPr>
          <w:color w:val="231F20"/>
          <w:spacing w:val="-12"/>
        </w:rPr>
        <w:t xml:space="preserve"> </w:t>
      </w:r>
      <w:r>
        <w:rPr>
          <w:color w:val="231F20"/>
        </w:rPr>
        <w:t>in</w:t>
      </w:r>
      <w:r>
        <w:rPr>
          <w:color w:val="231F20"/>
          <w:spacing w:val="-12"/>
        </w:rPr>
        <w:t xml:space="preserve"> </w:t>
      </w:r>
      <w:r>
        <w:rPr>
          <w:color w:val="231F20"/>
        </w:rPr>
        <w:t>March 2022. The Commissioner approved the action plan in June 2022.</w:t>
      </w:r>
    </w:p>
    <w:p w14:paraId="692D05B3" w14:textId="77777777" w:rsidR="00345EE3" w:rsidRPr="00046BF4" w:rsidRDefault="00345EE3" w:rsidP="002A27BA">
      <w:pPr>
        <w:pStyle w:val="Heading3"/>
      </w:pPr>
      <w:r w:rsidRPr="00046BF4">
        <w:t>Gender</w:t>
      </w:r>
      <w:r w:rsidRPr="00046BF4">
        <w:rPr>
          <w:spacing w:val="-1"/>
        </w:rPr>
        <w:t xml:space="preserve"> </w:t>
      </w:r>
      <w:r w:rsidRPr="00046BF4">
        <w:t xml:space="preserve">Equality </w:t>
      </w:r>
      <w:r w:rsidRPr="00046BF4">
        <w:rPr>
          <w:spacing w:val="-4"/>
        </w:rPr>
        <w:t>Audit</w:t>
      </w:r>
    </w:p>
    <w:p w14:paraId="7F40A37A" w14:textId="77777777" w:rsidR="00345EE3" w:rsidRDefault="00345EE3" w:rsidP="00345EE3">
      <w:pPr>
        <w:pStyle w:val="BodyText"/>
        <w:spacing w:before="52" w:line="242" w:lineRule="auto"/>
        <w:ind w:right="921"/>
      </w:pPr>
      <w:r>
        <w:rPr>
          <w:color w:val="231F20"/>
        </w:rPr>
        <w:t>Victoria Police submitted its Gender Equality Audit data to the Public Sector Gender Equality Commissioner in December 2021. On 30 March 2022, the Commission for Gender Equality in the</w:t>
      </w:r>
      <w:r>
        <w:rPr>
          <w:color w:val="231F20"/>
          <w:spacing w:val="-10"/>
        </w:rPr>
        <w:t xml:space="preserve"> </w:t>
      </w:r>
      <w:r>
        <w:rPr>
          <w:color w:val="231F20"/>
        </w:rPr>
        <w:t>Public</w:t>
      </w:r>
      <w:r>
        <w:rPr>
          <w:color w:val="231F20"/>
          <w:spacing w:val="-9"/>
        </w:rPr>
        <w:t xml:space="preserve"> </w:t>
      </w:r>
      <w:r>
        <w:rPr>
          <w:color w:val="231F20"/>
        </w:rPr>
        <w:t>Sector</w:t>
      </w:r>
      <w:r>
        <w:rPr>
          <w:color w:val="231F20"/>
          <w:spacing w:val="-9"/>
        </w:rPr>
        <w:t xml:space="preserve"> </w:t>
      </w:r>
      <w:r>
        <w:rPr>
          <w:color w:val="231F20"/>
        </w:rPr>
        <w:t>provided</w:t>
      </w:r>
      <w:r>
        <w:rPr>
          <w:color w:val="231F20"/>
          <w:spacing w:val="-10"/>
        </w:rPr>
        <w:t xml:space="preserve"> </w:t>
      </w:r>
      <w:r>
        <w:rPr>
          <w:color w:val="231F20"/>
        </w:rPr>
        <w:t>interim</w:t>
      </w:r>
      <w:r>
        <w:rPr>
          <w:color w:val="231F20"/>
          <w:spacing w:val="-9"/>
        </w:rPr>
        <w:t xml:space="preserve"> </w:t>
      </w:r>
      <w:r>
        <w:rPr>
          <w:color w:val="231F20"/>
        </w:rPr>
        <w:t>advice</w:t>
      </w:r>
      <w:r>
        <w:rPr>
          <w:color w:val="231F20"/>
          <w:spacing w:val="-10"/>
        </w:rPr>
        <w:t xml:space="preserve"> </w:t>
      </w:r>
      <w:r>
        <w:rPr>
          <w:color w:val="231F20"/>
        </w:rPr>
        <w:t>that</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data</w:t>
      </w:r>
      <w:r>
        <w:rPr>
          <w:color w:val="231F20"/>
          <w:spacing w:val="-10"/>
        </w:rPr>
        <w:t xml:space="preserve"> </w:t>
      </w:r>
      <w:r>
        <w:rPr>
          <w:color w:val="231F20"/>
        </w:rPr>
        <w:t>was</w:t>
      </w:r>
      <w:r>
        <w:rPr>
          <w:color w:val="231F20"/>
          <w:spacing w:val="-9"/>
        </w:rPr>
        <w:t xml:space="preserve"> </w:t>
      </w:r>
      <w:r>
        <w:rPr>
          <w:color w:val="231F20"/>
        </w:rPr>
        <w:t>complete</w:t>
      </w:r>
      <w:r>
        <w:rPr>
          <w:color w:val="231F20"/>
          <w:spacing w:val="-10"/>
        </w:rPr>
        <w:t xml:space="preserve"> </w:t>
      </w:r>
      <w:r>
        <w:rPr>
          <w:color w:val="231F20"/>
        </w:rPr>
        <w:t>and</w:t>
      </w:r>
      <w:r>
        <w:rPr>
          <w:color w:val="231F20"/>
          <w:spacing w:val="-10"/>
        </w:rPr>
        <w:t xml:space="preserve"> </w:t>
      </w:r>
      <w:r>
        <w:rPr>
          <w:color w:val="231F20"/>
        </w:rPr>
        <w:t>compliant. The Commission’s report on its analysis of Victoria Police data is scheduled for later in 2022.</w:t>
      </w:r>
    </w:p>
    <w:p w14:paraId="6DCC7E65" w14:textId="77777777" w:rsidR="00345EE3" w:rsidRPr="00046BF4" w:rsidRDefault="00345EE3" w:rsidP="002A27BA">
      <w:pPr>
        <w:pStyle w:val="Heading3"/>
      </w:pPr>
      <w:r w:rsidRPr="00046BF4">
        <w:t>Diversity</w:t>
      </w:r>
      <w:r w:rsidRPr="00046BF4">
        <w:rPr>
          <w:spacing w:val="-7"/>
        </w:rPr>
        <w:t xml:space="preserve"> </w:t>
      </w:r>
      <w:r w:rsidRPr="00046BF4">
        <w:t>and</w:t>
      </w:r>
      <w:r w:rsidRPr="00046BF4">
        <w:rPr>
          <w:spacing w:val="-3"/>
        </w:rPr>
        <w:t xml:space="preserve"> </w:t>
      </w:r>
      <w:r w:rsidRPr="00046BF4">
        <w:t>Inclusion</w:t>
      </w:r>
      <w:r w:rsidRPr="00046BF4">
        <w:rPr>
          <w:spacing w:val="-3"/>
        </w:rPr>
        <w:t xml:space="preserve"> </w:t>
      </w:r>
      <w:r w:rsidRPr="00046BF4">
        <w:t>Framework</w:t>
      </w:r>
      <w:r w:rsidRPr="00046BF4">
        <w:rPr>
          <w:spacing w:val="-4"/>
        </w:rPr>
        <w:t xml:space="preserve"> </w:t>
      </w:r>
      <w:r w:rsidRPr="00046BF4">
        <w:t>and</w:t>
      </w:r>
      <w:r w:rsidRPr="00046BF4">
        <w:rPr>
          <w:spacing w:val="-4"/>
        </w:rPr>
        <w:t xml:space="preserve"> </w:t>
      </w:r>
      <w:r w:rsidRPr="00046BF4">
        <w:t>workforce</w:t>
      </w:r>
      <w:r w:rsidRPr="00046BF4">
        <w:rPr>
          <w:spacing w:val="-4"/>
        </w:rPr>
        <w:t xml:space="preserve"> </w:t>
      </w:r>
      <w:r w:rsidRPr="00046BF4">
        <w:t>action</w:t>
      </w:r>
      <w:r w:rsidRPr="00046BF4">
        <w:rPr>
          <w:spacing w:val="-3"/>
        </w:rPr>
        <w:t xml:space="preserve"> </w:t>
      </w:r>
      <w:r w:rsidRPr="00046BF4">
        <w:t>plan</w:t>
      </w:r>
      <w:r w:rsidRPr="00046BF4">
        <w:rPr>
          <w:spacing w:val="-3"/>
        </w:rPr>
        <w:t xml:space="preserve"> </w:t>
      </w:r>
      <w:r w:rsidRPr="00046BF4">
        <w:rPr>
          <w:spacing w:val="-2"/>
        </w:rPr>
        <w:t>reviews</w:t>
      </w:r>
    </w:p>
    <w:p w14:paraId="5919EB4A" w14:textId="77777777" w:rsidR="00345EE3" w:rsidRDefault="00345EE3" w:rsidP="00046BF4">
      <w:pPr>
        <w:spacing w:before="53" w:line="242" w:lineRule="auto"/>
        <w:ind w:right="921"/>
        <w:rPr>
          <w:sz w:val="24"/>
        </w:rPr>
      </w:pPr>
      <w:r>
        <w:rPr>
          <w:color w:val="231F20"/>
          <w:spacing w:val="-4"/>
          <w:sz w:val="24"/>
        </w:rPr>
        <w:t xml:space="preserve">The </w:t>
      </w:r>
      <w:r>
        <w:rPr>
          <w:i/>
          <w:color w:val="231F20"/>
          <w:spacing w:val="-4"/>
          <w:sz w:val="24"/>
        </w:rPr>
        <w:t>Victoria</w:t>
      </w:r>
      <w:r>
        <w:rPr>
          <w:i/>
          <w:color w:val="231F20"/>
          <w:spacing w:val="-9"/>
          <w:sz w:val="24"/>
        </w:rPr>
        <w:t xml:space="preserve"> </w:t>
      </w:r>
      <w:r>
        <w:rPr>
          <w:i/>
          <w:color w:val="231F20"/>
          <w:spacing w:val="-4"/>
          <w:sz w:val="24"/>
        </w:rPr>
        <w:t>Police</w:t>
      </w:r>
      <w:r>
        <w:rPr>
          <w:i/>
          <w:color w:val="231F20"/>
          <w:spacing w:val="-9"/>
          <w:sz w:val="24"/>
        </w:rPr>
        <w:t xml:space="preserve"> </w:t>
      </w:r>
      <w:r>
        <w:rPr>
          <w:i/>
          <w:color w:val="231F20"/>
          <w:spacing w:val="-4"/>
          <w:sz w:val="24"/>
        </w:rPr>
        <w:t>Diversity</w:t>
      </w:r>
      <w:r>
        <w:rPr>
          <w:i/>
          <w:color w:val="231F20"/>
          <w:spacing w:val="-9"/>
          <w:sz w:val="24"/>
        </w:rPr>
        <w:t xml:space="preserve"> </w:t>
      </w:r>
      <w:r>
        <w:rPr>
          <w:i/>
          <w:color w:val="231F20"/>
          <w:spacing w:val="-4"/>
          <w:sz w:val="24"/>
        </w:rPr>
        <w:t>and</w:t>
      </w:r>
      <w:r>
        <w:rPr>
          <w:i/>
          <w:color w:val="231F20"/>
          <w:spacing w:val="-9"/>
          <w:sz w:val="24"/>
        </w:rPr>
        <w:t xml:space="preserve"> </w:t>
      </w:r>
      <w:r>
        <w:rPr>
          <w:i/>
          <w:color w:val="231F20"/>
          <w:spacing w:val="-4"/>
          <w:sz w:val="24"/>
        </w:rPr>
        <w:t>Inclusion</w:t>
      </w:r>
      <w:r>
        <w:rPr>
          <w:i/>
          <w:color w:val="231F20"/>
          <w:spacing w:val="-9"/>
          <w:sz w:val="24"/>
        </w:rPr>
        <w:t xml:space="preserve"> </w:t>
      </w:r>
      <w:r>
        <w:rPr>
          <w:i/>
          <w:color w:val="231F20"/>
          <w:spacing w:val="-4"/>
          <w:sz w:val="24"/>
        </w:rPr>
        <w:t>Framework</w:t>
      </w:r>
      <w:r>
        <w:rPr>
          <w:i/>
          <w:color w:val="231F20"/>
          <w:spacing w:val="-9"/>
          <w:sz w:val="24"/>
        </w:rPr>
        <w:t xml:space="preserve"> </w:t>
      </w:r>
      <w:r>
        <w:rPr>
          <w:i/>
          <w:color w:val="231F20"/>
          <w:spacing w:val="-4"/>
          <w:sz w:val="24"/>
        </w:rPr>
        <w:t>2017–2020</w:t>
      </w:r>
      <w:r>
        <w:rPr>
          <w:i/>
          <w:color w:val="231F20"/>
          <w:spacing w:val="-5"/>
          <w:sz w:val="24"/>
        </w:rPr>
        <w:t xml:space="preserve"> </w:t>
      </w:r>
      <w:r>
        <w:rPr>
          <w:color w:val="231F20"/>
          <w:spacing w:val="-4"/>
          <w:sz w:val="24"/>
        </w:rPr>
        <w:t xml:space="preserve">and accompanying 2018–2021 </w:t>
      </w:r>
      <w:r>
        <w:rPr>
          <w:color w:val="231F20"/>
          <w:sz w:val="24"/>
        </w:rPr>
        <w:t>action</w:t>
      </w:r>
      <w:r>
        <w:rPr>
          <w:color w:val="231F20"/>
          <w:spacing w:val="-2"/>
          <w:sz w:val="24"/>
        </w:rPr>
        <w:t xml:space="preserve"> </w:t>
      </w:r>
      <w:r>
        <w:rPr>
          <w:color w:val="231F20"/>
          <w:sz w:val="24"/>
        </w:rPr>
        <w:t>plan</w:t>
      </w:r>
      <w:r>
        <w:rPr>
          <w:color w:val="231F20"/>
          <w:spacing w:val="-2"/>
          <w:sz w:val="24"/>
        </w:rPr>
        <w:t xml:space="preserve"> </w:t>
      </w:r>
      <w:r>
        <w:rPr>
          <w:color w:val="231F20"/>
          <w:sz w:val="24"/>
        </w:rPr>
        <w:t>set</w:t>
      </w:r>
      <w:r>
        <w:rPr>
          <w:color w:val="231F20"/>
          <w:spacing w:val="-1"/>
          <w:sz w:val="24"/>
        </w:rPr>
        <w:t xml:space="preserve"> </w:t>
      </w:r>
      <w:r>
        <w:rPr>
          <w:color w:val="231F20"/>
          <w:sz w:val="24"/>
        </w:rPr>
        <w:t>out</w:t>
      </w:r>
      <w:r>
        <w:rPr>
          <w:color w:val="231F20"/>
          <w:spacing w:val="-1"/>
          <w:sz w:val="24"/>
        </w:rPr>
        <w:t xml:space="preserve"> </w:t>
      </w:r>
      <w:r>
        <w:rPr>
          <w:color w:val="231F20"/>
          <w:sz w:val="24"/>
        </w:rPr>
        <w:t>Victoria</w:t>
      </w:r>
      <w:r>
        <w:rPr>
          <w:color w:val="231F20"/>
          <w:spacing w:val="-2"/>
          <w:sz w:val="24"/>
        </w:rPr>
        <w:t xml:space="preserve"> </w:t>
      </w:r>
      <w:r>
        <w:rPr>
          <w:color w:val="231F20"/>
          <w:sz w:val="24"/>
        </w:rPr>
        <w:t>Police’s</w:t>
      </w:r>
      <w:r>
        <w:rPr>
          <w:color w:val="231F20"/>
          <w:spacing w:val="-1"/>
          <w:sz w:val="24"/>
        </w:rPr>
        <w:t xml:space="preserve"> </w:t>
      </w:r>
      <w:r>
        <w:rPr>
          <w:color w:val="231F20"/>
          <w:sz w:val="24"/>
        </w:rPr>
        <w:t>commitments</w:t>
      </w:r>
      <w:r>
        <w:rPr>
          <w:color w:val="231F20"/>
          <w:spacing w:val="-1"/>
          <w:sz w:val="24"/>
        </w:rPr>
        <w:t xml:space="preserve"> </w:t>
      </w:r>
      <w:r>
        <w:rPr>
          <w:color w:val="231F20"/>
          <w:sz w:val="24"/>
        </w:rPr>
        <w:t>to</w:t>
      </w:r>
      <w:r>
        <w:rPr>
          <w:color w:val="231F20"/>
          <w:spacing w:val="-2"/>
          <w:sz w:val="24"/>
        </w:rPr>
        <w:t xml:space="preserve"> </w:t>
      </w:r>
      <w:r>
        <w:rPr>
          <w:color w:val="231F20"/>
          <w:sz w:val="24"/>
        </w:rPr>
        <w:t>improve</w:t>
      </w:r>
      <w:r>
        <w:rPr>
          <w:color w:val="231F20"/>
          <w:spacing w:val="-2"/>
          <w:sz w:val="24"/>
        </w:rPr>
        <w:t xml:space="preserve"> </w:t>
      </w:r>
      <w:r>
        <w:rPr>
          <w:color w:val="231F20"/>
          <w:sz w:val="24"/>
        </w:rPr>
        <w:t>the</w:t>
      </w:r>
      <w:r>
        <w:rPr>
          <w:color w:val="231F20"/>
          <w:spacing w:val="-2"/>
          <w:sz w:val="24"/>
        </w:rPr>
        <w:t xml:space="preserve"> </w:t>
      </w:r>
      <w:r>
        <w:rPr>
          <w:color w:val="231F20"/>
          <w:sz w:val="24"/>
        </w:rPr>
        <w:t>diversity</w:t>
      </w:r>
      <w:r>
        <w:rPr>
          <w:color w:val="231F20"/>
          <w:spacing w:val="-1"/>
          <w:sz w:val="24"/>
        </w:rPr>
        <w:t xml:space="preserve"> </w:t>
      </w:r>
      <w:r>
        <w:rPr>
          <w:color w:val="231F20"/>
          <w:sz w:val="24"/>
        </w:rPr>
        <w:t>of</w:t>
      </w:r>
      <w:r>
        <w:rPr>
          <w:color w:val="231F20"/>
          <w:spacing w:val="-1"/>
          <w:sz w:val="24"/>
        </w:rPr>
        <w:t xml:space="preserve"> </w:t>
      </w:r>
      <w:r>
        <w:rPr>
          <w:color w:val="231F20"/>
          <w:sz w:val="24"/>
        </w:rPr>
        <w:t>our</w:t>
      </w:r>
      <w:r>
        <w:rPr>
          <w:color w:val="231F20"/>
          <w:spacing w:val="-1"/>
          <w:sz w:val="24"/>
        </w:rPr>
        <w:t xml:space="preserve"> </w:t>
      </w:r>
      <w:r>
        <w:rPr>
          <w:color w:val="231F20"/>
          <w:sz w:val="24"/>
        </w:rPr>
        <w:t>workforce</w:t>
      </w:r>
      <w:r>
        <w:rPr>
          <w:color w:val="231F20"/>
          <w:spacing w:val="-2"/>
          <w:sz w:val="24"/>
        </w:rPr>
        <w:t xml:space="preserve"> </w:t>
      </w:r>
      <w:r>
        <w:rPr>
          <w:color w:val="231F20"/>
          <w:sz w:val="24"/>
        </w:rPr>
        <w:t>and inclusion of employees across four priority areas:</w:t>
      </w:r>
    </w:p>
    <w:p w14:paraId="526466CD" w14:textId="77777777" w:rsidR="00345EE3" w:rsidRDefault="00345EE3">
      <w:pPr>
        <w:pStyle w:val="ListParagraph"/>
        <w:numPr>
          <w:ilvl w:val="0"/>
          <w:numId w:val="91"/>
        </w:numPr>
        <w:tabs>
          <w:tab w:val="left" w:pos="393"/>
          <w:tab w:val="left" w:pos="394"/>
        </w:tabs>
        <w:rPr>
          <w:sz w:val="24"/>
        </w:rPr>
      </w:pPr>
      <w:r>
        <w:rPr>
          <w:color w:val="231F20"/>
          <w:sz w:val="24"/>
        </w:rPr>
        <w:t>Aboriginal</w:t>
      </w:r>
      <w:r>
        <w:rPr>
          <w:color w:val="231F20"/>
          <w:spacing w:val="-12"/>
          <w:sz w:val="24"/>
        </w:rPr>
        <w:t xml:space="preserve"> </w:t>
      </w:r>
      <w:r>
        <w:rPr>
          <w:color w:val="231F20"/>
          <w:sz w:val="24"/>
        </w:rPr>
        <w:t>and</w:t>
      </w:r>
      <w:r>
        <w:rPr>
          <w:color w:val="231F20"/>
          <w:spacing w:val="-11"/>
          <w:sz w:val="24"/>
        </w:rPr>
        <w:t xml:space="preserve"> </w:t>
      </w:r>
      <w:r>
        <w:rPr>
          <w:color w:val="231F20"/>
          <w:sz w:val="24"/>
        </w:rPr>
        <w:t>Torres</w:t>
      </w:r>
      <w:r>
        <w:rPr>
          <w:color w:val="231F20"/>
          <w:spacing w:val="-11"/>
          <w:sz w:val="24"/>
        </w:rPr>
        <w:t xml:space="preserve"> </w:t>
      </w:r>
      <w:r>
        <w:rPr>
          <w:color w:val="231F20"/>
          <w:sz w:val="24"/>
        </w:rPr>
        <w:t>Strait</w:t>
      </w:r>
      <w:r>
        <w:rPr>
          <w:color w:val="231F20"/>
          <w:spacing w:val="-11"/>
          <w:sz w:val="24"/>
        </w:rPr>
        <w:t xml:space="preserve"> </w:t>
      </w:r>
      <w:r>
        <w:rPr>
          <w:color w:val="231F20"/>
          <w:sz w:val="24"/>
        </w:rPr>
        <w:t>Islander</w:t>
      </w:r>
      <w:r>
        <w:rPr>
          <w:color w:val="231F20"/>
          <w:spacing w:val="-11"/>
          <w:sz w:val="24"/>
        </w:rPr>
        <w:t xml:space="preserve"> </w:t>
      </w:r>
      <w:r>
        <w:rPr>
          <w:color w:val="231F20"/>
          <w:spacing w:val="-2"/>
          <w:sz w:val="24"/>
        </w:rPr>
        <w:t>people</w:t>
      </w:r>
    </w:p>
    <w:p w14:paraId="70C8960B" w14:textId="77777777" w:rsidR="00345EE3" w:rsidRDefault="00345EE3">
      <w:pPr>
        <w:pStyle w:val="ListParagraph"/>
        <w:numPr>
          <w:ilvl w:val="0"/>
          <w:numId w:val="91"/>
        </w:numPr>
        <w:tabs>
          <w:tab w:val="left" w:pos="393"/>
          <w:tab w:val="left" w:pos="394"/>
        </w:tabs>
        <w:rPr>
          <w:sz w:val="24"/>
        </w:rPr>
      </w:pPr>
      <w:r>
        <w:rPr>
          <w:color w:val="231F20"/>
          <w:spacing w:val="-2"/>
          <w:sz w:val="24"/>
        </w:rPr>
        <w:t>Culturally and linguistically diverse (CALD) people</w:t>
      </w:r>
    </w:p>
    <w:p w14:paraId="5A312073" w14:textId="77777777" w:rsidR="00345EE3" w:rsidRDefault="00345EE3">
      <w:pPr>
        <w:pStyle w:val="ListParagraph"/>
        <w:numPr>
          <w:ilvl w:val="0"/>
          <w:numId w:val="91"/>
        </w:numPr>
        <w:tabs>
          <w:tab w:val="left" w:pos="393"/>
          <w:tab w:val="left" w:pos="394"/>
        </w:tabs>
        <w:spacing w:line="242" w:lineRule="auto"/>
        <w:ind w:right="1786"/>
        <w:rPr>
          <w:sz w:val="24"/>
        </w:rPr>
      </w:pPr>
      <w:r>
        <w:rPr>
          <w:color w:val="231F20"/>
          <w:sz w:val="24"/>
        </w:rPr>
        <w:t>Lesbian,</w:t>
      </w:r>
      <w:r>
        <w:rPr>
          <w:color w:val="231F20"/>
          <w:spacing w:val="-15"/>
          <w:sz w:val="24"/>
        </w:rPr>
        <w:t xml:space="preserve"> </w:t>
      </w:r>
      <w:r>
        <w:rPr>
          <w:color w:val="231F20"/>
          <w:sz w:val="24"/>
        </w:rPr>
        <w:t>gay,</w:t>
      </w:r>
      <w:r>
        <w:rPr>
          <w:color w:val="231F20"/>
          <w:spacing w:val="-15"/>
          <w:sz w:val="24"/>
        </w:rPr>
        <w:t xml:space="preserve"> </w:t>
      </w:r>
      <w:r>
        <w:rPr>
          <w:color w:val="231F20"/>
          <w:sz w:val="24"/>
        </w:rPr>
        <w:t>bisexual,</w:t>
      </w:r>
      <w:r>
        <w:rPr>
          <w:color w:val="231F20"/>
          <w:spacing w:val="-15"/>
          <w:sz w:val="24"/>
        </w:rPr>
        <w:t xml:space="preserve"> </w:t>
      </w:r>
      <w:r>
        <w:rPr>
          <w:color w:val="231F20"/>
          <w:sz w:val="24"/>
        </w:rPr>
        <w:t>trans</w:t>
      </w:r>
      <w:r>
        <w:rPr>
          <w:color w:val="231F20"/>
          <w:spacing w:val="-15"/>
          <w:sz w:val="24"/>
        </w:rPr>
        <w:t xml:space="preserve"> </w:t>
      </w:r>
      <w:r>
        <w:rPr>
          <w:color w:val="231F20"/>
          <w:sz w:val="24"/>
        </w:rPr>
        <w:t>and</w:t>
      </w:r>
      <w:r>
        <w:rPr>
          <w:color w:val="231F20"/>
          <w:spacing w:val="-16"/>
          <w:sz w:val="24"/>
        </w:rPr>
        <w:t xml:space="preserve"> </w:t>
      </w:r>
      <w:r>
        <w:rPr>
          <w:color w:val="231F20"/>
          <w:sz w:val="24"/>
        </w:rPr>
        <w:t>gender</w:t>
      </w:r>
      <w:r>
        <w:rPr>
          <w:color w:val="231F20"/>
          <w:spacing w:val="-15"/>
          <w:sz w:val="24"/>
        </w:rPr>
        <w:t xml:space="preserve"> </w:t>
      </w:r>
      <w:r>
        <w:rPr>
          <w:color w:val="231F20"/>
          <w:sz w:val="24"/>
        </w:rPr>
        <w:t>diverse,</w:t>
      </w:r>
      <w:r>
        <w:rPr>
          <w:color w:val="231F20"/>
          <w:spacing w:val="-15"/>
          <w:sz w:val="24"/>
        </w:rPr>
        <w:t xml:space="preserve"> </w:t>
      </w:r>
      <w:r>
        <w:rPr>
          <w:color w:val="231F20"/>
          <w:sz w:val="24"/>
        </w:rPr>
        <w:t>intersex,</w:t>
      </w:r>
      <w:r>
        <w:rPr>
          <w:color w:val="231F20"/>
          <w:spacing w:val="-15"/>
          <w:sz w:val="24"/>
        </w:rPr>
        <w:t xml:space="preserve"> </w:t>
      </w:r>
      <w:r>
        <w:rPr>
          <w:color w:val="231F20"/>
          <w:sz w:val="24"/>
        </w:rPr>
        <w:t>and</w:t>
      </w:r>
      <w:r>
        <w:rPr>
          <w:color w:val="231F20"/>
          <w:spacing w:val="-16"/>
          <w:sz w:val="24"/>
        </w:rPr>
        <w:t xml:space="preserve"> </w:t>
      </w:r>
      <w:r>
        <w:rPr>
          <w:color w:val="231F20"/>
          <w:sz w:val="24"/>
        </w:rPr>
        <w:t>queer</w:t>
      </w:r>
      <w:r>
        <w:rPr>
          <w:color w:val="231F20"/>
          <w:spacing w:val="-15"/>
          <w:sz w:val="24"/>
        </w:rPr>
        <w:t xml:space="preserve"> </w:t>
      </w:r>
      <w:r>
        <w:rPr>
          <w:color w:val="231F20"/>
          <w:sz w:val="24"/>
        </w:rPr>
        <w:t>and</w:t>
      </w:r>
      <w:r>
        <w:rPr>
          <w:color w:val="231F20"/>
          <w:spacing w:val="-16"/>
          <w:sz w:val="24"/>
        </w:rPr>
        <w:t xml:space="preserve"> </w:t>
      </w:r>
      <w:r>
        <w:rPr>
          <w:color w:val="231F20"/>
          <w:sz w:val="24"/>
        </w:rPr>
        <w:t xml:space="preserve">questioning </w:t>
      </w:r>
      <w:r>
        <w:rPr>
          <w:color w:val="231F20"/>
          <w:spacing w:val="-2"/>
          <w:sz w:val="24"/>
        </w:rPr>
        <w:t>(LGBTIQ+)</w:t>
      </w:r>
    </w:p>
    <w:p w14:paraId="29B6D0BE" w14:textId="77777777" w:rsidR="00345EE3" w:rsidRDefault="00345EE3">
      <w:pPr>
        <w:pStyle w:val="ListParagraph"/>
        <w:numPr>
          <w:ilvl w:val="0"/>
          <w:numId w:val="91"/>
        </w:numPr>
        <w:tabs>
          <w:tab w:val="left" w:pos="393"/>
          <w:tab w:val="left" w:pos="394"/>
        </w:tabs>
        <w:spacing w:before="31"/>
        <w:rPr>
          <w:sz w:val="24"/>
        </w:rPr>
      </w:pPr>
      <w:r>
        <w:rPr>
          <w:color w:val="231F20"/>
          <w:sz w:val="24"/>
        </w:rPr>
        <w:t>People</w:t>
      </w:r>
      <w:r>
        <w:rPr>
          <w:color w:val="231F20"/>
          <w:spacing w:val="-8"/>
          <w:sz w:val="24"/>
        </w:rPr>
        <w:t xml:space="preserve"> </w:t>
      </w:r>
      <w:r>
        <w:rPr>
          <w:color w:val="231F20"/>
          <w:sz w:val="24"/>
        </w:rPr>
        <w:t>with</w:t>
      </w:r>
      <w:r>
        <w:rPr>
          <w:color w:val="231F20"/>
          <w:spacing w:val="-7"/>
          <w:sz w:val="24"/>
        </w:rPr>
        <w:t xml:space="preserve"> </w:t>
      </w:r>
      <w:r>
        <w:rPr>
          <w:color w:val="231F20"/>
          <w:spacing w:val="-2"/>
          <w:sz w:val="24"/>
        </w:rPr>
        <w:t>disability.</w:t>
      </w:r>
    </w:p>
    <w:p w14:paraId="6572D141" w14:textId="77777777" w:rsidR="00345EE3" w:rsidRPr="00046BF4" w:rsidRDefault="00345EE3" w:rsidP="00345EE3">
      <w:pPr>
        <w:pStyle w:val="BodyText"/>
        <w:spacing w:before="118" w:line="242" w:lineRule="auto"/>
        <w:ind w:right="848"/>
        <w:rPr>
          <w:sz w:val="24"/>
          <w:szCs w:val="24"/>
        </w:rPr>
      </w:pPr>
      <w:r w:rsidRPr="00046BF4">
        <w:rPr>
          <w:color w:val="231F20"/>
          <w:sz w:val="24"/>
          <w:szCs w:val="24"/>
        </w:rPr>
        <w:t>In</w:t>
      </w:r>
      <w:r w:rsidRPr="00046BF4">
        <w:rPr>
          <w:color w:val="231F20"/>
          <w:spacing w:val="-15"/>
          <w:sz w:val="24"/>
          <w:szCs w:val="24"/>
        </w:rPr>
        <w:t xml:space="preserve"> </w:t>
      </w:r>
      <w:r w:rsidRPr="00046BF4">
        <w:rPr>
          <w:color w:val="231F20"/>
          <w:sz w:val="24"/>
          <w:szCs w:val="24"/>
        </w:rPr>
        <w:t>2021,</w:t>
      </w:r>
      <w:r w:rsidRPr="00046BF4">
        <w:rPr>
          <w:color w:val="231F20"/>
          <w:spacing w:val="-15"/>
          <w:sz w:val="24"/>
          <w:szCs w:val="24"/>
        </w:rPr>
        <w:t xml:space="preserve"> </w:t>
      </w:r>
      <w:r w:rsidRPr="00046BF4">
        <w:rPr>
          <w:color w:val="231F20"/>
          <w:sz w:val="24"/>
          <w:szCs w:val="24"/>
        </w:rPr>
        <w:t>four</w:t>
      </w:r>
      <w:r w:rsidRPr="00046BF4">
        <w:rPr>
          <w:color w:val="231F20"/>
          <w:spacing w:val="-15"/>
          <w:sz w:val="24"/>
          <w:szCs w:val="24"/>
        </w:rPr>
        <w:t xml:space="preserve"> </w:t>
      </w:r>
      <w:r w:rsidRPr="00046BF4">
        <w:rPr>
          <w:color w:val="231F20"/>
          <w:sz w:val="24"/>
          <w:szCs w:val="24"/>
        </w:rPr>
        <w:t>comprehensive</w:t>
      </w:r>
      <w:r w:rsidRPr="00046BF4">
        <w:rPr>
          <w:color w:val="231F20"/>
          <w:spacing w:val="-15"/>
          <w:sz w:val="24"/>
          <w:szCs w:val="24"/>
        </w:rPr>
        <w:t xml:space="preserve"> </w:t>
      </w:r>
      <w:r w:rsidRPr="00046BF4">
        <w:rPr>
          <w:color w:val="231F20"/>
          <w:sz w:val="24"/>
          <w:szCs w:val="24"/>
        </w:rPr>
        <w:t>independent</w:t>
      </w:r>
      <w:r w:rsidRPr="00046BF4">
        <w:rPr>
          <w:color w:val="231F20"/>
          <w:spacing w:val="-15"/>
          <w:sz w:val="24"/>
          <w:szCs w:val="24"/>
        </w:rPr>
        <w:t xml:space="preserve"> </w:t>
      </w:r>
      <w:r w:rsidRPr="00046BF4">
        <w:rPr>
          <w:color w:val="231F20"/>
          <w:sz w:val="24"/>
          <w:szCs w:val="24"/>
        </w:rPr>
        <w:t>reviews</w:t>
      </w:r>
      <w:r w:rsidRPr="00046BF4">
        <w:rPr>
          <w:color w:val="231F20"/>
          <w:spacing w:val="-15"/>
          <w:sz w:val="24"/>
          <w:szCs w:val="24"/>
        </w:rPr>
        <w:t xml:space="preserve"> </w:t>
      </w:r>
      <w:r w:rsidRPr="00046BF4">
        <w:rPr>
          <w:color w:val="231F20"/>
          <w:sz w:val="24"/>
          <w:szCs w:val="24"/>
        </w:rPr>
        <w:t>were</w:t>
      </w:r>
      <w:r w:rsidRPr="00046BF4">
        <w:rPr>
          <w:color w:val="231F20"/>
          <w:spacing w:val="-15"/>
          <w:sz w:val="24"/>
          <w:szCs w:val="24"/>
        </w:rPr>
        <w:t xml:space="preserve"> </w:t>
      </w:r>
      <w:r w:rsidRPr="00046BF4">
        <w:rPr>
          <w:color w:val="231F20"/>
          <w:sz w:val="24"/>
          <w:szCs w:val="24"/>
        </w:rPr>
        <w:t>commissioned</w:t>
      </w:r>
      <w:r w:rsidRPr="00046BF4">
        <w:rPr>
          <w:color w:val="231F20"/>
          <w:spacing w:val="-15"/>
          <w:sz w:val="24"/>
          <w:szCs w:val="24"/>
        </w:rPr>
        <w:t xml:space="preserve"> </w:t>
      </w:r>
      <w:r w:rsidRPr="00046BF4">
        <w:rPr>
          <w:color w:val="231F20"/>
          <w:sz w:val="24"/>
          <w:szCs w:val="24"/>
        </w:rPr>
        <w:t>to</w:t>
      </w:r>
      <w:r w:rsidRPr="00046BF4">
        <w:rPr>
          <w:color w:val="231F20"/>
          <w:spacing w:val="-15"/>
          <w:sz w:val="24"/>
          <w:szCs w:val="24"/>
        </w:rPr>
        <w:t xml:space="preserve"> </w:t>
      </w:r>
      <w:r w:rsidRPr="00046BF4">
        <w:rPr>
          <w:color w:val="231F20"/>
          <w:sz w:val="24"/>
          <w:szCs w:val="24"/>
        </w:rPr>
        <w:t>review</w:t>
      </w:r>
      <w:r w:rsidRPr="00046BF4">
        <w:rPr>
          <w:color w:val="231F20"/>
          <w:spacing w:val="-15"/>
          <w:sz w:val="24"/>
          <w:szCs w:val="24"/>
        </w:rPr>
        <w:t xml:space="preserve"> </w:t>
      </w:r>
      <w:r w:rsidRPr="00046BF4">
        <w:rPr>
          <w:color w:val="231F20"/>
          <w:sz w:val="24"/>
          <w:szCs w:val="24"/>
        </w:rPr>
        <w:t>Victoria</w:t>
      </w:r>
      <w:r w:rsidRPr="00046BF4">
        <w:rPr>
          <w:color w:val="231F20"/>
          <w:spacing w:val="-15"/>
          <w:sz w:val="24"/>
          <w:szCs w:val="24"/>
        </w:rPr>
        <w:t xml:space="preserve"> </w:t>
      </w:r>
      <w:r w:rsidRPr="00046BF4">
        <w:rPr>
          <w:color w:val="231F20"/>
          <w:sz w:val="24"/>
          <w:szCs w:val="24"/>
        </w:rPr>
        <w:t>Police’s performance in each of these priority areas against the 2018–2021 action plans. These reviews involved</w:t>
      </w:r>
      <w:r w:rsidRPr="00046BF4">
        <w:rPr>
          <w:color w:val="231F20"/>
          <w:spacing w:val="-9"/>
          <w:sz w:val="24"/>
          <w:szCs w:val="24"/>
        </w:rPr>
        <w:t xml:space="preserve"> </w:t>
      </w:r>
      <w:r w:rsidRPr="00046BF4">
        <w:rPr>
          <w:color w:val="231F20"/>
          <w:sz w:val="24"/>
          <w:szCs w:val="24"/>
        </w:rPr>
        <w:t>extensive</w:t>
      </w:r>
      <w:r w:rsidRPr="00046BF4">
        <w:rPr>
          <w:color w:val="231F20"/>
          <w:spacing w:val="-9"/>
          <w:sz w:val="24"/>
          <w:szCs w:val="24"/>
        </w:rPr>
        <w:t xml:space="preserve"> </w:t>
      </w:r>
      <w:r w:rsidRPr="00046BF4">
        <w:rPr>
          <w:color w:val="231F20"/>
          <w:sz w:val="24"/>
          <w:szCs w:val="24"/>
        </w:rPr>
        <w:t>internal</w:t>
      </w:r>
      <w:r w:rsidRPr="00046BF4">
        <w:rPr>
          <w:color w:val="231F20"/>
          <w:spacing w:val="-9"/>
          <w:sz w:val="24"/>
          <w:szCs w:val="24"/>
        </w:rPr>
        <w:t xml:space="preserve"> </w:t>
      </w:r>
      <w:r w:rsidRPr="00046BF4">
        <w:rPr>
          <w:color w:val="231F20"/>
          <w:sz w:val="24"/>
          <w:szCs w:val="24"/>
        </w:rPr>
        <w:t>and</w:t>
      </w:r>
      <w:r w:rsidRPr="00046BF4">
        <w:rPr>
          <w:color w:val="231F20"/>
          <w:spacing w:val="-9"/>
          <w:sz w:val="24"/>
          <w:szCs w:val="24"/>
        </w:rPr>
        <w:t xml:space="preserve"> </w:t>
      </w:r>
      <w:r w:rsidRPr="00046BF4">
        <w:rPr>
          <w:color w:val="231F20"/>
          <w:sz w:val="24"/>
          <w:szCs w:val="24"/>
        </w:rPr>
        <w:t>external</w:t>
      </w:r>
      <w:r w:rsidRPr="00046BF4">
        <w:rPr>
          <w:color w:val="231F20"/>
          <w:spacing w:val="-9"/>
          <w:sz w:val="24"/>
          <w:szCs w:val="24"/>
        </w:rPr>
        <w:t xml:space="preserve"> </w:t>
      </w:r>
      <w:r w:rsidRPr="00046BF4">
        <w:rPr>
          <w:color w:val="231F20"/>
          <w:sz w:val="24"/>
          <w:szCs w:val="24"/>
        </w:rPr>
        <w:t>stakeholder</w:t>
      </w:r>
      <w:r w:rsidRPr="00046BF4">
        <w:rPr>
          <w:color w:val="231F20"/>
          <w:spacing w:val="-8"/>
          <w:sz w:val="24"/>
          <w:szCs w:val="24"/>
        </w:rPr>
        <w:t xml:space="preserve"> </w:t>
      </w:r>
      <w:r w:rsidRPr="00046BF4">
        <w:rPr>
          <w:color w:val="231F20"/>
          <w:sz w:val="24"/>
          <w:szCs w:val="24"/>
        </w:rPr>
        <w:t>engagement</w:t>
      </w:r>
      <w:r w:rsidRPr="00046BF4">
        <w:rPr>
          <w:color w:val="231F20"/>
          <w:spacing w:val="-8"/>
          <w:sz w:val="24"/>
          <w:szCs w:val="24"/>
        </w:rPr>
        <w:t xml:space="preserve"> </w:t>
      </w:r>
      <w:r w:rsidRPr="00046BF4">
        <w:rPr>
          <w:color w:val="231F20"/>
          <w:sz w:val="24"/>
          <w:szCs w:val="24"/>
        </w:rPr>
        <w:t>to</w:t>
      </w:r>
      <w:r w:rsidRPr="00046BF4">
        <w:rPr>
          <w:color w:val="231F20"/>
          <w:spacing w:val="-9"/>
          <w:sz w:val="24"/>
          <w:szCs w:val="24"/>
        </w:rPr>
        <w:t xml:space="preserve"> </w:t>
      </w:r>
      <w:r w:rsidRPr="00046BF4">
        <w:rPr>
          <w:color w:val="231F20"/>
          <w:sz w:val="24"/>
          <w:szCs w:val="24"/>
        </w:rPr>
        <w:t>inform</w:t>
      </w:r>
      <w:r w:rsidRPr="00046BF4">
        <w:rPr>
          <w:color w:val="231F20"/>
          <w:spacing w:val="-8"/>
          <w:sz w:val="24"/>
          <w:szCs w:val="24"/>
        </w:rPr>
        <w:t xml:space="preserve"> </w:t>
      </w:r>
      <w:r w:rsidRPr="00046BF4">
        <w:rPr>
          <w:color w:val="231F20"/>
          <w:sz w:val="24"/>
          <w:szCs w:val="24"/>
        </w:rPr>
        <w:t>the</w:t>
      </w:r>
      <w:r w:rsidRPr="00046BF4">
        <w:rPr>
          <w:color w:val="231F20"/>
          <w:spacing w:val="-9"/>
          <w:sz w:val="24"/>
          <w:szCs w:val="24"/>
        </w:rPr>
        <w:t xml:space="preserve"> </w:t>
      </w:r>
      <w:r w:rsidRPr="00046BF4">
        <w:rPr>
          <w:color w:val="231F20"/>
          <w:sz w:val="24"/>
          <w:szCs w:val="24"/>
        </w:rPr>
        <w:t>development</w:t>
      </w:r>
      <w:r w:rsidRPr="00046BF4">
        <w:rPr>
          <w:color w:val="231F20"/>
          <w:spacing w:val="-8"/>
          <w:sz w:val="24"/>
          <w:szCs w:val="24"/>
        </w:rPr>
        <w:t xml:space="preserve"> </w:t>
      </w:r>
      <w:r w:rsidRPr="00046BF4">
        <w:rPr>
          <w:color w:val="231F20"/>
          <w:sz w:val="24"/>
          <w:szCs w:val="24"/>
        </w:rPr>
        <w:t>of</w:t>
      </w:r>
      <w:r w:rsidRPr="00046BF4">
        <w:rPr>
          <w:color w:val="231F20"/>
          <w:spacing w:val="-8"/>
          <w:sz w:val="24"/>
          <w:szCs w:val="24"/>
        </w:rPr>
        <w:t xml:space="preserve"> </w:t>
      </w:r>
      <w:r w:rsidRPr="00046BF4">
        <w:rPr>
          <w:color w:val="231F20"/>
          <w:sz w:val="24"/>
          <w:szCs w:val="24"/>
        </w:rPr>
        <w:t>a refreshed diversity and inclusion framework and action plans. The 2022–2024 action plans are scheduled for publication later in 2022.</w:t>
      </w:r>
    </w:p>
    <w:p w14:paraId="00D2885A" w14:textId="77777777" w:rsidR="00345EE3" w:rsidRPr="00046BF4" w:rsidRDefault="00345EE3" w:rsidP="002A27BA">
      <w:pPr>
        <w:pStyle w:val="Heading3"/>
      </w:pPr>
      <w:r w:rsidRPr="00046BF4">
        <w:t>Champions</w:t>
      </w:r>
      <w:r w:rsidRPr="00046BF4">
        <w:rPr>
          <w:spacing w:val="-6"/>
        </w:rPr>
        <w:t xml:space="preserve"> </w:t>
      </w:r>
      <w:r w:rsidRPr="00046BF4">
        <w:t>of</w:t>
      </w:r>
      <w:r w:rsidRPr="00046BF4">
        <w:rPr>
          <w:spacing w:val="-6"/>
        </w:rPr>
        <w:t xml:space="preserve"> </w:t>
      </w:r>
      <w:r w:rsidRPr="00046BF4">
        <w:t>Change</w:t>
      </w:r>
      <w:r w:rsidRPr="00046BF4">
        <w:rPr>
          <w:spacing w:val="-5"/>
        </w:rPr>
        <w:t xml:space="preserve"> </w:t>
      </w:r>
      <w:r w:rsidRPr="00046BF4">
        <w:rPr>
          <w:spacing w:val="-2"/>
        </w:rPr>
        <w:t>Coalition</w:t>
      </w:r>
    </w:p>
    <w:p w14:paraId="27C5A117" w14:textId="77777777" w:rsidR="00345EE3" w:rsidRPr="00046BF4" w:rsidRDefault="00345EE3" w:rsidP="00345EE3">
      <w:pPr>
        <w:pStyle w:val="BodyText"/>
        <w:spacing w:before="53" w:line="242" w:lineRule="auto"/>
        <w:ind w:right="1328"/>
        <w:rPr>
          <w:sz w:val="24"/>
          <w:szCs w:val="24"/>
        </w:rPr>
      </w:pPr>
      <w:r w:rsidRPr="00046BF4">
        <w:rPr>
          <w:color w:val="231F20"/>
          <w:sz w:val="24"/>
          <w:szCs w:val="24"/>
        </w:rPr>
        <w:t>The Champions of Change Coalition is a globally recognised forum for advancing gender equality, advocating for more and diverse women in leadership and building respectful and inclusive</w:t>
      </w:r>
      <w:r w:rsidRPr="00046BF4">
        <w:rPr>
          <w:color w:val="231F20"/>
          <w:spacing w:val="-9"/>
          <w:sz w:val="24"/>
          <w:szCs w:val="24"/>
        </w:rPr>
        <w:t xml:space="preserve"> </w:t>
      </w:r>
      <w:r w:rsidRPr="00046BF4">
        <w:rPr>
          <w:color w:val="231F20"/>
          <w:sz w:val="24"/>
          <w:szCs w:val="24"/>
        </w:rPr>
        <w:t>workplaces.</w:t>
      </w:r>
      <w:r w:rsidRPr="00046BF4">
        <w:rPr>
          <w:color w:val="231F20"/>
          <w:spacing w:val="-8"/>
          <w:sz w:val="24"/>
          <w:szCs w:val="24"/>
        </w:rPr>
        <w:t xml:space="preserve"> </w:t>
      </w:r>
      <w:r w:rsidRPr="00046BF4">
        <w:rPr>
          <w:color w:val="231F20"/>
          <w:sz w:val="24"/>
          <w:szCs w:val="24"/>
        </w:rPr>
        <w:t>As</w:t>
      </w:r>
      <w:r w:rsidRPr="00046BF4">
        <w:rPr>
          <w:color w:val="231F20"/>
          <w:spacing w:val="-8"/>
          <w:sz w:val="24"/>
          <w:szCs w:val="24"/>
        </w:rPr>
        <w:t xml:space="preserve"> </w:t>
      </w:r>
      <w:r w:rsidRPr="00046BF4">
        <w:rPr>
          <w:color w:val="231F20"/>
          <w:sz w:val="24"/>
          <w:szCs w:val="24"/>
        </w:rPr>
        <w:t>a</w:t>
      </w:r>
      <w:r w:rsidRPr="00046BF4">
        <w:rPr>
          <w:color w:val="231F20"/>
          <w:spacing w:val="-9"/>
          <w:sz w:val="24"/>
          <w:szCs w:val="24"/>
        </w:rPr>
        <w:t xml:space="preserve"> </w:t>
      </w:r>
      <w:r w:rsidRPr="00046BF4">
        <w:rPr>
          <w:color w:val="231F20"/>
          <w:sz w:val="24"/>
          <w:szCs w:val="24"/>
        </w:rPr>
        <w:t>member</w:t>
      </w:r>
      <w:r w:rsidRPr="00046BF4">
        <w:rPr>
          <w:color w:val="231F20"/>
          <w:spacing w:val="-8"/>
          <w:sz w:val="24"/>
          <w:szCs w:val="24"/>
        </w:rPr>
        <w:t xml:space="preserve"> </w:t>
      </w:r>
      <w:r w:rsidRPr="00046BF4">
        <w:rPr>
          <w:color w:val="231F20"/>
          <w:sz w:val="24"/>
          <w:szCs w:val="24"/>
        </w:rPr>
        <w:t>of</w:t>
      </w:r>
      <w:r w:rsidRPr="00046BF4">
        <w:rPr>
          <w:color w:val="231F20"/>
          <w:spacing w:val="-8"/>
          <w:sz w:val="24"/>
          <w:szCs w:val="24"/>
        </w:rPr>
        <w:t xml:space="preserve"> </w:t>
      </w:r>
      <w:r w:rsidRPr="00046BF4">
        <w:rPr>
          <w:color w:val="231F20"/>
          <w:sz w:val="24"/>
          <w:szCs w:val="24"/>
        </w:rPr>
        <w:t>the</w:t>
      </w:r>
      <w:r w:rsidRPr="00046BF4">
        <w:rPr>
          <w:color w:val="231F20"/>
          <w:spacing w:val="-9"/>
          <w:sz w:val="24"/>
          <w:szCs w:val="24"/>
        </w:rPr>
        <w:t xml:space="preserve"> </w:t>
      </w:r>
      <w:r w:rsidRPr="00046BF4">
        <w:rPr>
          <w:color w:val="231F20"/>
          <w:sz w:val="24"/>
          <w:szCs w:val="24"/>
        </w:rPr>
        <w:t>Coalition,</w:t>
      </w:r>
      <w:r w:rsidRPr="00046BF4">
        <w:rPr>
          <w:color w:val="231F20"/>
          <w:spacing w:val="-8"/>
          <w:sz w:val="24"/>
          <w:szCs w:val="24"/>
        </w:rPr>
        <w:t xml:space="preserve"> </w:t>
      </w:r>
      <w:r w:rsidRPr="00046BF4">
        <w:rPr>
          <w:color w:val="231F20"/>
          <w:sz w:val="24"/>
          <w:szCs w:val="24"/>
        </w:rPr>
        <w:t>the</w:t>
      </w:r>
      <w:r w:rsidRPr="00046BF4">
        <w:rPr>
          <w:color w:val="231F20"/>
          <w:spacing w:val="-9"/>
          <w:sz w:val="24"/>
          <w:szCs w:val="24"/>
        </w:rPr>
        <w:t xml:space="preserve"> </w:t>
      </w:r>
      <w:r w:rsidRPr="00046BF4">
        <w:rPr>
          <w:color w:val="231F20"/>
          <w:sz w:val="24"/>
          <w:szCs w:val="24"/>
        </w:rPr>
        <w:t>Chief</w:t>
      </w:r>
      <w:r w:rsidRPr="00046BF4">
        <w:rPr>
          <w:color w:val="231F20"/>
          <w:spacing w:val="-8"/>
          <w:sz w:val="24"/>
          <w:szCs w:val="24"/>
        </w:rPr>
        <w:t xml:space="preserve"> </w:t>
      </w:r>
      <w:r w:rsidRPr="00046BF4">
        <w:rPr>
          <w:color w:val="231F20"/>
          <w:sz w:val="24"/>
          <w:szCs w:val="24"/>
        </w:rPr>
        <w:t>Commissioner</w:t>
      </w:r>
      <w:r w:rsidRPr="00046BF4">
        <w:rPr>
          <w:color w:val="231F20"/>
          <w:spacing w:val="-8"/>
          <w:sz w:val="24"/>
          <w:szCs w:val="24"/>
        </w:rPr>
        <w:t xml:space="preserve"> </w:t>
      </w:r>
      <w:r w:rsidRPr="00046BF4">
        <w:rPr>
          <w:color w:val="231F20"/>
          <w:sz w:val="24"/>
          <w:szCs w:val="24"/>
        </w:rPr>
        <w:t>of</w:t>
      </w:r>
      <w:r w:rsidRPr="00046BF4">
        <w:rPr>
          <w:color w:val="231F20"/>
          <w:spacing w:val="-8"/>
          <w:sz w:val="24"/>
          <w:szCs w:val="24"/>
        </w:rPr>
        <w:t xml:space="preserve"> </w:t>
      </w:r>
      <w:r w:rsidRPr="00046BF4">
        <w:rPr>
          <w:color w:val="231F20"/>
          <w:sz w:val="24"/>
          <w:szCs w:val="24"/>
        </w:rPr>
        <w:t>Police</w:t>
      </w:r>
      <w:r w:rsidRPr="00046BF4">
        <w:rPr>
          <w:color w:val="231F20"/>
          <w:spacing w:val="-9"/>
          <w:sz w:val="24"/>
          <w:szCs w:val="24"/>
        </w:rPr>
        <w:t xml:space="preserve"> </w:t>
      </w:r>
      <w:r w:rsidRPr="00046BF4">
        <w:rPr>
          <w:color w:val="231F20"/>
          <w:sz w:val="24"/>
          <w:szCs w:val="24"/>
        </w:rPr>
        <w:t>works with</w:t>
      </w:r>
      <w:r w:rsidRPr="00046BF4">
        <w:rPr>
          <w:color w:val="231F20"/>
          <w:spacing w:val="-10"/>
          <w:sz w:val="24"/>
          <w:szCs w:val="24"/>
        </w:rPr>
        <w:t xml:space="preserve"> </w:t>
      </w:r>
      <w:r w:rsidRPr="00046BF4">
        <w:rPr>
          <w:color w:val="231F20"/>
          <w:sz w:val="24"/>
          <w:szCs w:val="24"/>
        </w:rPr>
        <w:t>leaders</w:t>
      </w:r>
      <w:r w:rsidRPr="00046BF4">
        <w:rPr>
          <w:color w:val="231F20"/>
          <w:spacing w:val="-9"/>
          <w:sz w:val="24"/>
          <w:szCs w:val="24"/>
        </w:rPr>
        <w:t xml:space="preserve"> </w:t>
      </w:r>
      <w:r w:rsidRPr="00046BF4">
        <w:rPr>
          <w:color w:val="231F20"/>
          <w:sz w:val="24"/>
          <w:szCs w:val="24"/>
        </w:rPr>
        <w:t>in</w:t>
      </w:r>
      <w:r w:rsidRPr="00046BF4">
        <w:rPr>
          <w:color w:val="231F20"/>
          <w:spacing w:val="-10"/>
          <w:sz w:val="24"/>
          <w:szCs w:val="24"/>
        </w:rPr>
        <w:t xml:space="preserve"> </w:t>
      </w:r>
      <w:r w:rsidRPr="00046BF4">
        <w:rPr>
          <w:color w:val="231F20"/>
          <w:sz w:val="24"/>
          <w:szCs w:val="24"/>
        </w:rPr>
        <w:t>industry</w:t>
      </w:r>
      <w:r w:rsidRPr="00046BF4">
        <w:rPr>
          <w:color w:val="231F20"/>
          <w:spacing w:val="-9"/>
          <w:sz w:val="24"/>
          <w:szCs w:val="24"/>
        </w:rPr>
        <w:t xml:space="preserve"> </w:t>
      </w:r>
      <w:r w:rsidRPr="00046BF4">
        <w:rPr>
          <w:color w:val="231F20"/>
          <w:sz w:val="24"/>
          <w:szCs w:val="24"/>
        </w:rPr>
        <w:t>and</w:t>
      </w:r>
      <w:r w:rsidRPr="00046BF4">
        <w:rPr>
          <w:color w:val="231F20"/>
          <w:spacing w:val="-10"/>
          <w:sz w:val="24"/>
          <w:szCs w:val="24"/>
        </w:rPr>
        <w:t xml:space="preserve"> </w:t>
      </w:r>
      <w:r w:rsidRPr="00046BF4">
        <w:rPr>
          <w:color w:val="231F20"/>
          <w:sz w:val="24"/>
          <w:szCs w:val="24"/>
        </w:rPr>
        <w:t>government</w:t>
      </w:r>
      <w:r w:rsidRPr="00046BF4">
        <w:rPr>
          <w:color w:val="231F20"/>
          <w:spacing w:val="-9"/>
          <w:sz w:val="24"/>
          <w:szCs w:val="24"/>
        </w:rPr>
        <w:t xml:space="preserve"> </w:t>
      </w:r>
      <w:r w:rsidRPr="00046BF4">
        <w:rPr>
          <w:color w:val="231F20"/>
          <w:sz w:val="24"/>
          <w:szCs w:val="24"/>
        </w:rPr>
        <w:t>to</w:t>
      </w:r>
      <w:r w:rsidRPr="00046BF4">
        <w:rPr>
          <w:color w:val="231F20"/>
          <w:spacing w:val="-10"/>
          <w:sz w:val="24"/>
          <w:szCs w:val="24"/>
        </w:rPr>
        <w:t xml:space="preserve"> </w:t>
      </w:r>
      <w:r w:rsidRPr="00046BF4">
        <w:rPr>
          <w:color w:val="231F20"/>
          <w:sz w:val="24"/>
          <w:szCs w:val="24"/>
        </w:rPr>
        <w:t>change</w:t>
      </w:r>
      <w:r w:rsidRPr="00046BF4">
        <w:rPr>
          <w:color w:val="231F20"/>
          <w:spacing w:val="-10"/>
          <w:sz w:val="24"/>
          <w:szCs w:val="24"/>
        </w:rPr>
        <w:t xml:space="preserve"> </w:t>
      </w:r>
      <w:r w:rsidRPr="00046BF4">
        <w:rPr>
          <w:color w:val="231F20"/>
          <w:sz w:val="24"/>
          <w:szCs w:val="24"/>
        </w:rPr>
        <w:t>the</w:t>
      </w:r>
      <w:r w:rsidRPr="00046BF4">
        <w:rPr>
          <w:color w:val="231F20"/>
          <w:spacing w:val="-10"/>
          <w:sz w:val="24"/>
          <w:szCs w:val="24"/>
        </w:rPr>
        <w:t xml:space="preserve"> </w:t>
      </w:r>
      <w:r w:rsidRPr="00046BF4">
        <w:rPr>
          <w:color w:val="231F20"/>
          <w:sz w:val="24"/>
          <w:szCs w:val="24"/>
        </w:rPr>
        <w:t>systems</w:t>
      </w:r>
      <w:r w:rsidRPr="00046BF4">
        <w:rPr>
          <w:color w:val="231F20"/>
          <w:spacing w:val="-9"/>
          <w:sz w:val="24"/>
          <w:szCs w:val="24"/>
        </w:rPr>
        <w:t xml:space="preserve"> </w:t>
      </w:r>
      <w:r w:rsidRPr="00046BF4">
        <w:rPr>
          <w:color w:val="231F20"/>
          <w:sz w:val="24"/>
          <w:szCs w:val="24"/>
        </w:rPr>
        <w:t>that</w:t>
      </w:r>
      <w:r w:rsidRPr="00046BF4">
        <w:rPr>
          <w:color w:val="231F20"/>
          <w:spacing w:val="-9"/>
          <w:sz w:val="24"/>
          <w:szCs w:val="24"/>
        </w:rPr>
        <w:t xml:space="preserve"> </w:t>
      </w:r>
      <w:r w:rsidRPr="00046BF4">
        <w:rPr>
          <w:color w:val="231F20"/>
          <w:sz w:val="24"/>
          <w:szCs w:val="24"/>
        </w:rPr>
        <w:t>create</w:t>
      </w:r>
      <w:r w:rsidRPr="00046BF4">
        <w:rPr>
          <w:color w:val="231F20"/>
          <w:spacing w:val="-10"/>
          <w:sz w:val="24"/>
          <w:szCs w:val="24"/>
        </w:rPr>
        <w:t xml:space="preserve"> </w:t>
      </w:r>
      <w:r w:rsidRPr="00046BF4">
        <w:rPr>
          <w:color w:val="231F20"/>
          <w:sz w:val="24"/>
          <w:szCs w:val="24"/>
        </w:rPr>
        <w:t>gender</w:t>
      </w:r>
      <w:r w:rsidRPr="00046BF4">
        <w:rPr>
          <w:color w:val="231F20"/>
          <w:spacing w:val="-9"/>
          <w:sz w:val="24"/>
          <w:szCs w:val="24"/>
        </w:rPr>
        <w:t xml:space="preserve"> </w:t>
      </w:r>
      <w:r w:rsidRPr="00046BF4">
        <w:rPr>
          <w:color w:val="231F20"/>
          <w:sz w:val="24"/>
          <w:szCs w:val="24"/>
        </w:rPr>
        <w:t>inequality in the workplace. This year, the Chief Commissioner of Police sponsored the Equal Access Project which examined gender equality and respect in two Victoria Police workplaces to develop evidence-based gender equality and respectful workplace initiatives. Preliminary</w:t>
      </w:r>
    </w:p>
    <w:p w14:paraId="63C1B244" w14:textId="77777777" w:rsidR="00345EE3" w:rsidRPr="00046BF4" w:rsidRDefault="00345EE3" w:rsidP="00345EE3">
      <w:pPr>
        <w:pStyle w:val="BodyText"/>
        <w:spacing w:before="9" w:line="242" w:lineRule="auto"/>
        <w:ind w:right="921"/>
        <w:rPr>
          <w:sz w:val="24"/>
          <w:szCs w:val="24"/>
        </w:rPr>
      </w:pPr>
      <w:r w:rsidRPr="00046BF4">
        <w:rPr>
          <w:color w:val="231F20"/>
          <w:sz w:val="24"/>
          <w:szCs w:val="24"/>
        </w:rPr>
        <w:t>findings</w:t>
      </w:r>
      <w:r w:rsidRPr="00046BF4">
        <w:rPr>
          <w:color w:val="231F20"/>
          <w:spacing w:val="-7"/>
          <w:sz w:val="24"/>
          <w:szCs w:val="24"/>
        </w:rPr>
        <w:t xml:space="preserve"> </w:t>
      </w:r>
      <w:r w:rsidRPr="00046BF4">
        <w:rPr>
          <w:color w:val="231F20"/>
          <w:sz w:val="24"/>
          <w:szCs w:val="24"/>
        </w:rPr>
        <w:t>from</w:t>
      </w:r>
      <w:r w:rsidRPr="00046BF4">
        <w:rPr>
          <w:color w:val="231F20"/>
          <w:spacing w:val="-7"/>
          <w:sz w:val="24"/>
          <w:szCs w:val="24"/>
        </w:rPr>
        <w:t xml:space="preserve"> </w:t>
      </w:r>
      <w:r w:rsidRPr="00046BF4">
        <w:rPr>
          <w:color w:val="231F20"/>
          <w:sz w:val="24"/>
          <w:szCs w:val="24"/>
        </w:rPr>
        <w:t>the</w:t>
      </w:r>
      <w:r w:rsidRPr="00046BF4">
        <w:rPr>
          <w:color w:val="231F20"/>
          <w:spacing w:val="-7"/>
          <w:sz w:val="24"/>
          <w:szCs w:val="24"/>
        </w:rPr>
        <w:t xml:space="preserve"> </w:t>
      </w:r>
      <w:r w:rsidRPr="00046BF4">
        <w:rPr>
          <w:color w:val="231F20"/>
          <w:sz w:val="24"/>
          <w:szCs w:val="24"/>
        </w:rPr>
        <w:t>project</w:t>
      </w:r>
      <w:r w:rsidRPr="00046BF4">
        <w:rPr>
          <w:color w:val="231F20"/>
          <w:spacing w:val="-7"/>
          <w:sz w:val="24"/>
          <w:szCs w:val="24"/>
        </w:rPr>
        <w:t xml:space="preserve"> </w:t>
      </w:r>
      <w:r w:rsidRPr="00046BF4">
        <w:rPr>
          <w:color w:val="231F20"/>
          <w:sz w:val="24"/>
          <w:szCs w:val="24"/>
        </w:rPr>
        <w:t>were</w:t>
      </w:r>
      <w:r w:rsidRPr="00046BF4">
        <w:rPr>
          <w:color w:val="231F20"/>
          <w:spacing w:val="-7"/>
          <w:sz w:val="24"/>
          <w:szCs w:val="24"/>
        </w:rPr>
        <w:t xml:space="preserve"> </w:t>
      </w:r>
      <w:r w:rsidRPr="00046BF4">
        <w:rPr>
          <w:color w:val="231F20"/>
          <w:sz w:val="24"/>
          <w:szCs w:val="24"/>
        </w:rPr>
        <w:t>shared</w:t>
      </w:r>
      <w:r w:rsidRPr="00046BF4">
        <w:rPr>
          <w:color w:val="231F20"/>
          <w:spacing w:val="-7"/>
          <w:sz w:val="24"/>
          <w:szCs w:val="24"/>
        </w:rPr>
        <w:t xml:space="preserve"> </w:t>
      </w:r>
      <w:r w:rsidRPr="00046BF4">
        <w:rPr>
          <w:color w:val="231F20"/>
          <w:sz w:val="24"/>
          <w:szCs w:val="24"/>
        </w:rPr>
        <w:t>with</w:t>
      </w:r>
      <w:r w:rsidRPr="00046BF4">
        <w:rPr>
          <w:color w:val="231F20"/>
          <w:spacing w:val="-7"/>
          <w:sz w:val="24"/>
          <w:szCs w:val="24"/>
        </w:rPr>
        <w:t xml:space="preserve"> </w:t>
      </w:r>
      <w:r w:rsidRPr="00046BF4">
        <w:rPr>
          <w:color w:val="231F20"/>
          <w:sz w:val="24"/>
          <w:szCs w:val="24"/>
        </w:rPr>
        <w:t>the</w:t>
      </w:r>
      <w:r w:rsidRPr="00046BF4">
        <w:rPr>
          <w:color w:val="231F20"/>
          <w:spacing w:val="-7"/>
          <w:sz w:val="24"/>
          <w:szCs w:val="24"/>
        </w:rPr>
        <w:t xml:space="preserve"> </w:t>
      </w:r>
      <w:r w:rsidRPr="00046BF4">
        <w:rPr>
          <w:color w:val="231F20"/>
          <w:sz w:val="24"/>
          <w:szCs w:val="24"/>
        </w:rPr>
        <w:t>Champions</w:t>
      </w:r>
      <w:r w:rsidRPr="00046BF4">
        <w:rPr>
          <w:color w:val="231F20"/>
          <w:spacing w:val="-7"/>
          <w:sz w:val="24"/>
          <w:szCs w:val="24"/>
        </w:rPr>
        <w:t xml:space="preserve"> </w:t>
      </w:r>
      <w:r w:rsidRPr="00046BF4">
        <w:rPr>
          <w:color w:val="231F20"/>
          <w:sz w:val="24"/>
          <w:szCs w:val="24"/>
        </w:rPr>
        <w:t>of</w:t>
      </w:r>
      <w:r w:rsidRPr="00046BF4">
        <w:rPr>
          <w:color w:val="231F20"/>
          <w:spacing w:val="-7"/>
          <w:sz w:val="24"/>
          <w:szCs w:val="24"/>
        </w:rPr>
        <w:t xml:space="preserve"> </w:t>
      </w:r>
      <w:r w:rsidRPr="00046BF4">
        <w:rPr>
          <w:color w:val="231F20"/>
          <w:sz w:val="24"/>
          <w:szCs w:val="24"/>
        </w:rPr>
        <w:t>Change</w:t>
      </w:r>
      <w:r w:rsidRPr="00046BF4">
        <w:rPr>
          <w:color w:val="231F20"/>
          <w:spacing w:val="-7"/>
          <w:sz w:val="24"/>
          <w:szCs w:val="24"/>
        </w:rPr>
        <w:t xml:space="preserve"> </w:t>
      </w:r>
      <w:r w:rsidRPr="00046BF4">
        <w:rPr>
          <w:color w:val="231F20"/>
          <w:sz w:val="24"/>
          <w:szCs w:val="24"/>
        </w:rPr>
        <w:t>Coalition</w:t>
      </w:r>
      <w:r w:rsidRPr="00046BF4">
        <w:rPr>
          <w:color w:val="231F20"/>
          <w:spacing w:val="-7"/>
          <w:sz w:val="24"/>
          <w:szCs w:val="24"/>
        </w:rPr>
        <w:t xml:space="preserve"> </w:t>
      </w:r>
      <w:r w:rsidRPr="00046BF4">
        <w:rPr>
          <w:color w:val="231F20"/>
          <w:sz w:val="24"/>
          <w:szCs w:val="24"/>
        </w:rPr>
        <w:t>and</w:t>
      </w:r>
      <w:r w:rsidRPr="00046BF4">
        <w:rPr>
          <w:color w:val="231F20"/>
          <w:spacing w:val="-7"/>
          <w:sz w:val="24"/>
          <w:szCs w:val="24"/>
        </w:rPr>
        <w:t xml:space="preserve"> </w:t>
      </w:r>
      <w:r w:rsidRPr="00046BF4">
        <w:rPr>
          <w:color w:val="231F20"/>
          <w:sz w:val="24"/>
          <w:szCs w:val="24"/>
        </w:rPr>
        <w:t>a</w:t>
      </w:r>
      <w:r w:rsidRPr="00046BF4">
        <w:rPr>
          <w:color w:val="231F20"/>
          <w:spacing w:val="-7"/>
          <w:sz w:val="24"/>
          <w:szCs w:val="24"/>
        </w:rPr>
        <w:t xml:space="preserve"> </w:t>
      </w:r>
      <w:r w:rsidRPr="00046BF4">
        <w:rPr>
          <w:color w:val="231F20"/>
          <w:sz w:val="24"/>
          <w:szCs w:val="24"/>
        </w:rPr>
        <w:t>report</w:t>
      </w:r>
      <w:r w:rsidRPr="00046BF4">
        <w:rPr>
          <w:color w:val="231F20"/>
          <w:spacing w:val="-7"/>
          <w:sz w:val="24"/>
          <w:szCs w:val="24"/>
        </w:rPr>
        <w:t xml:space="preserve"> </w:t>
      </w:r>
      <w:r w:rsidRPr="00046BF4">
        <w:rPr>
          <w:color w:val="231F20"/>
          <w:sz w:val="24"/>
          <w:szCs w:val="24"/>
        </w:rPr>
        <w:t>with recommendations for Criminal Investigation Unit and Critical Incident Response Team (the two pilot workplaces) implementation will be finalised in 2022.</w:t>
      </w:r>
    </w:p>
    <w:p w14:paraId="18E0C7EA" w14:textId="77777777" w:rsidR="00345EE3" w:rsidRDefault="00345EE3" w:rsidP="00345EE3">
      <w:pPr>
        <w:rPr>
          <w:b/>
          <w:bCs/>
          <w:color w:val="3D68AD"/>
          <w:sz w:val="28"/>
          <w:szCs w:val="28"/>
        </w:rPr>
      </w:pPr>
      <w:r>
        <w:rPr>
          <w:color w:val="3D68AD"/>
        </w:rPr>
        <w:br w:type="page"/>
      </w:r>
    </w:p>
    <w:p w14:paraId="026218B4" w14:textId="77777777" w:rsidR="00345EE3" w:rsidRPr="00046BF4" w:rsidRDefault="00345EE3" w:rsidP="002A27BA">
      <w:pPr>
        <w:pStyle w:val="Heading3"/>
      </w:pPr>
      <w:r w:rsidRPr="00046BF4">
        <w:lastRenderedPageBreak/>
        <w:t>Events</w:t>
      </w:r>
      <w:r w:rsidRPr="00046BF4">
        <w:rPr>
          <w:spacing w:val="-7"/>
        </w:rPr>
        <w:t xml:space="preserve"> </w:t>
      </w:r>
      <w:r w:rsidRPr="00046BF4">
        <w:t>celebrating</w:t>
      </w:r>
      <w:r w:rsidRPr="00046BF4">
        <w:rPr>
          <w:spacing w:val="-3"/>
        </w:rPr>
        <w:t xml:space="preserve"> </w:t>
      </w:r>
      <w:r w:rsidRPr="00046BF4">
        <w:t>diversity</w:t>
      </w:r>
      <w:r w:rsidRPr="00046BF4">
        <w:rPr>
          <w:spacing w:val="-4"/>
        </w:rPr>
        <w:t xml:space="preserve"> </w:t>
      </w:r>
      <w:r w:rsidRPr="00046BF4">
        <w:t>in</w:t>
      </w:r>
      <w:r w:rsidRPr="00046BF4">
        <w:rPr>
          <w:spacing w:val="-3"/>
        </w:rPr>
        <w:t xml:space="preserve"> </w:t>
      </w:r>
      <w:r w:rsidRPr="00046BF4">
        <w:t>our</w:t>
      </w:r>
      <w:r w:rsidRPr="00046BF4">
        <w:rPr>
          <w:spacing w:val="-4"/>
        </w:rPr>
        <w:t xml:space="preserve"> </w:t>
      </w:r>
      <w:r w:rsidRPr="00046BF4">
        <w:t>workforce</w:t>
      </w:r>
      <w:r w:rsidRPr="00046BF4">
        <w:rPr>
          <w:spacing w:val="-4"/>
        </w:rPr>
        <w:t xml:space="preserve"> </w:t>
      </w:r>
      <w:r w:rsidRPr="00046BF4">
        <w:t>and</w:t>
      </w:r>
      <w:r w:rsidRPr="00046BF4">
        <w:rPr>
          <w:spacing w:val="-3"/>
        </w:rPr>
        <w:t xml:space="preserve"> </w:t>
      </w:r>
      <w:r w:rsidRPr="00046BF4">
        <w:rPr>
          <w:spacing w:val="-2"/>
        </w:rPr>
        <w:t>community</w:t>
      </w:r>
    </w:p>
    <w:p w14:paraId="085A69D1" w14:textId="77777777" w:rsidR="00345EE3" w:rsidRPr="00046BF4" w:rsidRDefault="00345EE3" w:rsidP="00345EE3">
      <w:pPr>
        <w:pStyle w:val="BodyText"/>
        <w:spacing w:before="53" w:line="242" w:lineRule="auto"/>
        <w:ind w:right="1141"/>
        <w:rPr>
          <w:sz w:val="24"/>
          <w:szCs w:val="24"/>
        </w:rPr>
      </w:pPr>
      <w:r w:rsidRPr="00046BF4">
        <w:rPr>
          <w:color w:val="231F20"/>
          <w:sz w:val="24"/>
          <w:szCs w:val="24"/>
        </w:rPr>
        <w:t>Victoria</w:t>
      </w:r>
      <w:r w:rsidRPr="00046BF4">
        <w:rPr>
          <w:color w:val="231F20"/>
          <w:spacing w:val="-10"/>
          <w:sz w:val="24"/>
          <w:szCs w:val="24"/>
        </w:rPr>
        <w:t xml:space="preserve"> </w:t>
      </w:r>
      <w:r w:rsidRPr="00046BF4">
        <w:rPr>
          <w:color w:val="231F20"/>
          <w:sz w:val="24"/>
          <w:szCs w:val="24"/>
        </w:rPr>
        <w:t>Police</w:t>
      </w:r>
      <w:r w:rsidRPr="00046BF4">
        <w:rPr>
          <w:color w:val="231F20"/>
          <w:spacing w:val="-10"/>
          <w:sz w:val="24"/>
          <w:szCs w:val="24"/>
        </w:rPr>
        <w:t xml:space="preserve"> </w:t>
      </w:r>
      <w:r w:rsidRPr="00046BF4">
        <w:rPr>
          <w:color w:val="231F20"/>
          <w:sz w:val="24"/>
          <w:szCs w:val="24"/>
        </w:rPr>
        <w:t>continued</w:t>
      </w:r>
      <w:r w:rsidRPr="00046BF4">
        <w:rPr>
          <w:color w:val="231F20"/>
          <w:spacing w:val="-10"/>
          <w:sz w:val="24"/>
          <w:szCs w:val="24"/>
        </w:rPr>
        <w:t xml:space="preserve"> </w:t>
      </w:r>
      <w:r w:rsidRPr="00046BF4">
        <w:rPr>
          <w:color w:val="231F20"/>
          <w:sz w:val="24"/>
          <w:szCs w:val="24"/>
        </w:rPr>
        <w:t>to</w:t>
      </w:r>
      <w:r w:rsidRPr="00046BF4">
        <w:rPr>
          <w:color w:val="231F20"/>
          <w:spacing w:val="-10"/>
          <w:sz w:val="24"/>
          <w:szCs w:val="24"/>
        </w:rPr>
        <w:t xml:space="preserve"> </w:t>
      </w:r>
      <w:r w:rsidRPr="00046BF4">
        <w:rPr>
          <w:color w:val="231F20"/>
          <w:sz w:val="24"/>
          <w:szCs w:val="24"/>
        </w:rPr>
        <w:t>celebrate</w:t>
      </w:r>
      <w:r w:rsidRPr="00046BF4">
        <w:rPr>
          <w:color w:val="231F20"/>
          <w:spacing w:val="-10"/>
          <w:sz w:val="24"/>
          <w:szCs w:val="24"/>
        </w:rPr>
        <w:t xml:space="preserve"> </w:t>
      </w:r>
      <w:r w:rsidRPr="00046BF4">
        <w:rPr>
          <w:color w:val="231F20"/>
          <w:sz w:val="24"/>
          <w:szCs w:val="24"/>
        </w:rPr>
        <w:t>diversity</w:t>
      </w:r>
      <w:r w:rsidRPr="00046BF4">
        <w:rPr>
          <w:color w:val="231F20"/>
          <w:spacing w:val="-9"/>
          <w:sz w:val="24"/>
          <w:szCs w:val="24"/>
        </w:rPr>
        <w:t xml:space="preserve"> </w:t>
      </w:r>
      <w:r w:rsidRPr="00046BF4">
        <w:rPr>
          <w:color w:val="231F20"/>
          <w:sz w:val="24"/>
          <w:szCs w:val="24"/>
        </w:rPr>
        <w:t>and</w:t>
      </w:r>
      <w:r w:rsidRPr="00046BF4">
        <w:rPr>
          <w:color w:val="231F20"/>
          <w:spacing w:val="-10"/>
          <w:sz w:val="24"/>
          <w:szCs w:val="24"/>
        </w:rPr>
        <w:t xml:space="preserve"> </w:t>
      </w:r>
      <w:r w:rsidRPr="00046BF4">
        <w:rPr>
          <w:color w:val="231F20"/>
          <w:sz w:val="24"/>
          <w:szCs w:val="24"/>
        </w:rPr>
        <w:t>inclusion</w:t>
      </w:r>
      <w:r w:rsidRPr="00046BF4">
        <w:rPr>
          <w:color w:val="231F20"/>
          <w:spacing w:val="-10"/>
          <w:sz w:val="24"/>
          <w:szCs w:val="24"/>
        </w:rPr>
        <w:t xml:space="preserve"> </w:t>
      </w:r>
      <w:r w:rsidRPr="00046BF4">
        <w:rPr>
          <w:color w:val="231F20"/>
          <w:sz w:val="24"/>
          <w:szCs w:val="24"/>
        </w:rPr>
        <w:t>with</w:t>
      </w:r>
      <w:r w:rsidRPr="00046BF4">
        <w:rPr>
          <w:color w:val="231F20"/>
          <w:spacing w:val="-10"/>
          <w:sz w:val="24"/>
          <w:szCs w:val="24"/>
        </w:rPr>
        <w:t xml:space="preserve"> </w:t>
      </w:r>
      <w:r w:rsidRPr="00046BF4">
        <w:rPr>
          <w:color w:val="231F20"/>
          <w:sz w:val="24"/>
          <w:szCs w:val="24"/>
        </w:rPr>
        <w:t>our</w:t>
      </w:r>
      <w:r w:rsidRPr="00046BF4">
        <w:rPr>
          <w:color w:val="231F20"/>
          <w:spacing w:val="-9"/>
          <w:sz w:val="24"/>
          <w:szCs w:val="24"/>
        </w:rPr>
        <w:t xml:space="preserve"> </w:t>
      </w:r>
      <w:r w:rsidRPr="00046BF4">
        <w:rPr>
          <w:color w:val="231F20"/>
          <w:sz w:val="24"/>
          <w:szCs w:val="24"/>
        </w:rPr>
        <w:t>partner</w:t>
      </w:r>
      <w:r w:rsidRPr="00046BF4">
        <w:rPr>
          <w:color w:val="231F20"/>
          <w:spacing w:val="-9"/>
          <w:sz w:val="24"/>
          <w:szCs w:val="24"/>
        </w:rPr>
        <w:t xml:space="preserve"> </w:t>
      </w:r>
      <w:r w:rsidRPr="00046BF4">
        <w:rPr>
          <w:color w:val="231F20"/>
          <w:sz w:val="24"/>
          <w:szCs w:val="24"/>
        </w:rPr>
        <w:t>organisations,</w:t>
      </w:r>
      <w:r w:rsidRPr="00046BF4">
        <w:rPr>
          <w:color w:val="231F20"/>
          <w:spacing w:val="-9"/>
          <w:sz w:val="24"/>
          <w:szCs w:val="24"/>
        </w:rPr>
        <w:t xml:space="preserve"> </w:t>
      </w:r>
      <w:r w:rsidRPr="00046BF4">
        <w:rPr>
          <w:color w:val="231F20"/>
          <w:sz w:val="24"/>
          <w:szCs w:val="24"/>
        </w:rPr>
        <w:t>at an</w:t>
      </w:r>
      <w:r w:rsidRPr="00046BF4">
        <w:rPr>
          <w:color w:val="231F20"/>
          <w:spacing w:val="-5"/>
          <w:sz w:val="24"/>
          <w:szCs w:val="24"/>
        </w:rPr>
        <w:t xml:space="preserve"> </w:t>
      </w:r>
      <w:r w:rsidRPr="00046BF4">
        <w:rPr>
          <w:color w:val="231F20"/>
          <w:sz w:val="24"/>
          <w:szCs w:val="24"/>
        </w:rPr>
        <w:t>organisational</w:t>
      </w:r>
      <w:r w:rsidRPr="00046BF4">
        <w:rPr>
          <w:color w:val="231F20"/>
          <w:spacing w:val="-5"/>
          <w:sz w:val="24"/>
          <w:szCs w:val="24"/>
        </w:rPr>
        <w:t xml:space="preserve"> </w:t>
      </w:r>
      <w:r w:rsidRPr="00046BF4">
        <w:rPr>
          <w:color w:val="231F20"/>
          <w:sz w:val="24"/>
          <w:szCs w:val="24"/>
        </w:rPr>
        <w:t>level,</w:t>
      </w:r>
      <w:r w:rsidRPr="00046BF4">
        <w:rPr>
          <w:color w:val="231F20"/>
          <w:spacing w:val="-4"/>
          <w:sz w:val="24"/>
          <w:szCs w:val="24"/>
        </w:rPr>
        <w:t xml:space="preserve"> </w:t>
      </w:r>
      <w:r w:rsidRPr="00046BF4">
        <w:rPr>
          <w:color w:val="231F20"/>
          <w:sz w:val="24"/>
          <w:szCs w:val="24"/>
        </w:rPr>
        <w:t>and</w:t>
      </w:r>
      <w:r w:rsidRPr="00046BF4">
        <w:rPr>
          <w:color w:val="231F20"/>
          <w:spacing w:val="-5"/>
          <w:sz w:val="24"/>
          <w:szCs w:val="24"/>
        </w:rPr>
        <w:t xml:space="preserve"> </w:t>
      </w:r>
      <w:r w:rsidRPr="00046BF4">
        <w:rPr>
          <w:color w:val="231F20"/>
          <w:sz w:val="24"/>
          <w:szCs w:val="24"/>
        </w:rPr>
        <w:t>locally</w:t>
      </w:r>
      <w:r w:rsidRPr="00046BF4">
        <w:rPr>
          <w:color w:val="231F20"/>
          <w:spacing w:val="-4"/>
          <w:sz w:val="24"/>
          <w:szCs w:val="24"/>
        </w:rPr>
        <w:t xml:space="preserve"> </w:t>
      </w:r>
      <w:r w:rsidRPr="00046BF4">
        <w:rPr>
          <w:color w:val="231F20"/>
          <w:sz w:val="24"/>
          <w:szCs w:val="24"/>
        </w:rPr>
        <w:t>across</w:t>
      </w:r>
      <w:r w:rsidRPr="00046BF4">
        <w:rPr>
          <w:color w:val="231F20"/>
          <w:spacing w:val="-4"/>
          <w:sz w:val="24"/>
          <w:szCs w:val="24"/>
        </w:rPr>
        <w:t xml:space="preserve"> </w:t>
      </w:r>
      <w:r w:rsidRPr="00046BF4">
        <w:rPr>
          <w:color w:val="231F20"/>
          <w:sz w:val="24"/>
          <w:szCs w:val="24"/>
        </w:rPr>
        <w:t>regions,</w:t>
      </w:r>
      <w:r w:rsidRPr="00046BF4">
        <w:rPr>
          <w:color w:val="231F20"/>
          <w:spacing w:val="-4"/>
          <w:sz w:val="24"/>
          <w:szCs w:val="24"/>
        </w:rPr>
        <w:t xml:space="preserve"> </w:t>
      </w:r>
      <w:r w:rsidRPr="00046BF4">
        <w:rPr>
          <w:color w:val="231F20"/>
          <w:sz w:val="24"/>
          <w:szCs w:val="24"/>
        </w:rPr>
        <w:t>commands</w:t>
      </w:r>
      <w:r w:rsidRPr="00046BF4">
        <w:rPr>
          <w:color w:val="231F20"/>
          <w:spacing w:val="-4"/>
          <w:sz w:val="24"/>
          <w:szCs w:val="24"/>
        </w:rPr>
        <w:t xml:space="preserve"> </w:t>
      </w:r>
      <w:r w:rsidRPr="00046BF4">
        <w:rPr>
          <w:color w:val="231F20"/>
          <w:sz w:val="24"/>
          <w:szCs w:val="24"/>
        </w:rPr>
        <w:t>and</w:t>
      </w:r>
      <w:r w:rsidRPr="00046BF4">
        <w:rPr>
          <w:color w:val="231F20"/>
          <w:spacing w:val="-5"/>
          <w:sz w:val="24"/>
          <w:szCs w:val="24"/>
        </w:rPr>
        <w:t xml:space="preserve"> </w:t>
      </w:r>
      <w:r w:rsidRPr="00046BF4">
        <w:rPr>
          <w:color w:val="231F20"/>
          <w:sz w:val="24"/>
          <w:szCs w:val="24"/>
        </w:rPr>
        <w:t>departments.</w:t>
      </w:r>
      <w:r w:rsidRPr="00046BF4">
        <w:rPr>
          <w:color w:val="231F20"/>
          <w:spacing w:val="-4"/>
          <w:sz w:val="24"/>
          <w:szCs w:val="24"/>
        </w:rPr>
        <w:t xml:space="preserve"> </w:t>
      </w:r>
      <w:r w:rsidRPr="00046BF4">
        <w:rPr>
          <w:color w:val="231F20"/>
          <w:sz w:val="24"/>
          <w:szCs w:val="24"/>
        </w:rPr>
        <w:t>An</w:t>
      </w:r>
      <w:r w:rsidRPr="00046BF4">
        <w:rPr>
          <w:color w:val="231F20"/>
          <w:spacing w:val="-5"/>
          <w:sz w:val="24"/>
          <w:szCs w:val="24"/>
        </w:rPr>
        <w:t xml:space="preserve"> </w:t>
      </w:r>
      <w:r w:rsidRPr="00046BF4">
        <w:rPr>
          <w:color w:val="231F20"/>
          <w:sz w:val="24"/>
          <w:szCs w:val="24"/>
        </w:rPr>
        <w:t>example includes the celebration of International Women’s Day in partnership with the Emergency Services Foundation.</w:t>
      </w:r>
    </w:p>
    <w:p w14:paraId="0F9A21CA" w14:textId="77777777" w:rsidR="00345EE3" w:rsidRPr="00046BF4" w:rsidRDefault="00345EE3" w:rsidP="00046BF4">
      <w:pPr>
        <w:pStyle w:val="Heading5"/>
        <w:spacing w:before="62"/>
        <w:ind w:left="0"/>
        <w:rPr>
          <w:color w:val="000000" w:themeColor="text1"/>
        </w:rPr>
      </w:pPr>
      <w:r w:rsidRPr="00046BF4">
        <w:rPr>
          <w:color w:val="000000" w:themeColor="text1"/>
        </w:rPr>
        <w:t>Victoria</w:t>
      </w:r>
      <w:r w:rsidRPr="00046BF4">
        <w:rPr>
          <w:color w:val="000000" w:themeColor="text1"/>
          <w:spacing w:val="-6"/>
        </w:rPr>
        <w:t xml:space="preserve"> </w:t>
      </w:r>
      <w:r w:rsidRPr="00046BF4">
        <w:rPr>
          <w:color w:val="000000" w:themeColor="text1"/>
        </w:rPr>
        <w:t>Police</w:t>
      </w:r>
      <w:r w:rsidRPr="00046BF4">
        <w:rPr>
          <w:color w:val="000000" w:themeColor="text1"/>
          <w:spacing w:val="-6"/>
        </w:rPr>
        <w:t xml:space="preserve"> </w:t>
      </w:r>
      <w:r w:rsidRPr="00046BF4">
        <w:rPr>
          <w:color w:val="000000" w:themeColor="text1"/>
        </w:rPr>
        <w:t>Diversity</w:t>
      </w:r>
      <w:r w:rsidRPr="00046BF4">
        <w:rPr>
          <w:color w:val="000000" w:themeColor="text1"/>
          <w:spacing w:val="-7"/>
        </w:rPr>
        <w:t xml:space="preserve"> </w:t>
      </w:r>
      <w:r w:rsidRPr="00046BF4">
        <w:rPr>
          <w:color w:val="000000" w:themeColor="text1"/>
        </w:rPr>
        <w:t>Recruitment</w:t>
      </w:r>
      <w:r w:rsidRPr="00046BF4">
        <w:rPr>
          <w:color w:val="000000" w:themeColor="text1"/>
          <w:spacing w:val="-6"/>
        </w:rPr>
        <w:t xml:space="preserve"> </w:t>
      </w:r>
      <w:r w:rsidRPr="00046BF4">
        <w:rPr>
          <w:color w:val="000000" w:themeColor="text1"/>
          <w:spacing w:val="-2"/>
        </w:rPr>
        <w:t>Program</w:t>
      </w:r>
    </w:p>
    <w:p w14:paraId="270F08F5" w14:textId="77777777" w:rsidR="00345EE3" w:rsidRDefault="00345EE3" w:rsidP="00345EE3">
      <w:pPr>
        <w:pStyle w:val="BodyText"/>
        <w:spacing w:before="4" w:line="242" w:lineRule="auto"/>
        <w:ind w:right="921"/>
      </w:pPr>
      <w:r>
        <w:rPr>
          <w:color w:val="231F20"/>
        </w:rPr>
        <w:t>The Victoria Police Diversity Recruitment Program is a partnership between Victoria Police, Jesuit Social Services, Victoria University, AMES Australia, African-Australian Multicultural Employment and Youth Services, Matchworks, Maurice Blackburn Lawyers, Jobs Victoria and Department</w:t>
      </w:r>
      <w:r>
        <w:rPr>
          <w:color w:val="231F20"/>
          <w:spacing w:val="-12"/>
        </w:rPr>
        <w:t xml:space="preserve"> </w:t>
      </w:r>
      <w:r>
        <w:rPr>
          <w:color w:val="231F20"/>
        </w:rPr>
        <w:t>of</w:t>
      </w:r>
      <w:r>
        <w:rPr>
          <w:color w:val="231F20"/>
          <w:spacing w:val="-12"/>
        </w:rPr>
        <w:t xml:space="preserve"> </w:t>
      </w:r>
      <w:r>
        <w:rPr>
          <w:color w:val="231F20"/>
        </w:rPr>
        <w:t>Education</w:t>
      </w:r>
      <w:r>
        <w:rPr>
          <w:color w:val="231F20"/>
          <w:spacing w:val="-13"/>
        </w:rPr>
        <w:t xml:space="preserve"> </w:t>
      </w:r>
      <w:r>
        <w:rPr>
          <w:color w:val="231F20"/>
        </w:rPr>
        <w:t>and</w:t>
      </w:r>
      <w:r>
        <w:rPr>
          <w:color w:val="231F20"/>
          <w:spacing w:val="-13"/>
        </w:rPr>
        <w:t xml:space="preserve"> </w:t>
      </w:r>
      <w:r>
        <w:rPr>
          <w:color w:val="231F20"/>
        </w:rPr>
        <w:t>Training.</w:t>
      </w:r>
      <w:r>
        <w:rPr>
          <w:color w:val="231F20"/>
          <w:spacing w:val="-12"/>
        </w:rPr>
        <w:t xml:space="preserve"> </w:t>
      </w:r>
      <w:r>
        <w:rPr>
          <w:color w:val="231F20"/>
        </w:rPr>
        <w:t>This</w:t>
      </w:r>
      <w:r>
        <w:rPr>
          <w:color w:val="231F20"/>
          <w:spacing w:val="-12"/>
        </w:rPr>
        <w:t xml:space="preserve"> </w:t>
      </w:r>
      <w:r>
        <w:rPr>
          <w:color w:val="231F20"/>
        </w:rPr>
        <w:t>program</w:t>
      </w:r>
      <w:r>
        <w:rPr>
          <w:color w:val="231F20"/>
          <w:spacing w:val="-12"/>
        </w:rPr>
        <w:t xml:space="preserve"> </w:t>
      </w:r>
      <w:r>
        <w:rPr>
          <w:color w:val="231F20"/>
        </w:rPr>
        <w:t>supports</w:t>
      </w:r>
      <w:r>
        <w:rPr>
          <w:color w:val="231F20"/>
          <w:spacing w:val="-12"/>
        </w:rPr>
        <w:t xml:space="preserve"> </w:t>
      </w:r>
      <w:r>
        <w:rPr>
          <w:color w:val="231F20"/>
        </w:rPr>
        <w:t>applicants</w:t>
      </w:r>
      <w:r>
        <w:rPr>
          <w:color w:val="231F20"/>
          <w:spacing w:val="-12"/>
        </w:rPr>
        <w:t xml:space="preserve"> </w:t>
      </w:r>
      <w:r>
        <w:rPr>
          <w:color w:val="231F20"/>
        </w:rPr>
        <w:t>from</w:t>
      </w:r>
      <w:r>
        <w:rPr>
          <w:color w:val="231F20"/>
          <w:spacing w:val="-12"/>
        </w:rPr>
        <w:t xml:space="preserve"> </w:t>
      </w:r>
      <w:r>
        <w:rPr>
          <w:color w:val="231F20"/>
        </w:rPr>
        <w:t>culturally</w:t>
      </w:r>
      <w:r>
        <w:rPr>
          <w:color w:val="231F20"/>
          <w:spacing w:val="-12"/>
        </w:rPr>
        <w:t xml:space="preserve"> </w:t>
      </w:r>
      <w:r>
        <w:rPr>
          <w:color w:val="231F20"/>
        </w:rPr>
        <w:t>diverse communities</w:t>
      </w:r>
      <w:r>
        <w:rPr>
          <w:color w:val="231F20"/>
          <w:spacing w:val="-12"/>
        </w:rPr>
        <w:t xml:space="preserve"> </w:t>
      </w:r>
      <w:r>
        <w:rPr>
          <w:color w:val="231F20"/>
        </w:rPr>
        <w:t>(including</w:t>
      </w:r>
      <w:r>
        <w:rPr>
          <w:color w:val="231F20"/>
          <w:spacing w:val="-13"/>
        </w:rPr>
        <w:t xml:space="preserve"> </w:t>
      </w:r>
      <w:r>
        <w:rPr>
          <w:color w:val="231F20"/>
        </w:rPr>
        <w:t>but</w:t>
      </w:r>
      <w:r>
        <w:rPr>
          <w:color w:val="231F20"/>
          <w:spacing w:val="-12"/>
        </w:rPr>
        <w:t xml:space="preserve"> </w:t>
      </w:r>
      <w:r>
        <w:rPr>
          <w:color w:val="231F20"/>
        </w:rPr>
        <w:t>not</w:t>
      </w:r>
      <w:r>
        <w:rPr>
          <w:color w:val="231F20"/>
          <w:spacing w:val="-12"/>
        </w:rPr>
        <w:t xml:space="preserve"> </w:t>
      </w:r>
      <w:r>
        <w:rPr>
          <w:color w:val="231F20"/>
        </w:rPr>
        <w:t>limited</w:t>
      </w:r>
      <w:r>
        <w:rPr>
          <w:color w:val="231F20"/>
          <w:spacing w:val="-13"/>
        </w:rPr>
        <w:t xml:space="preserve"> </w:t>
      </w:r>
      <w:r>
        <w:rPr>
          <w:color w:val="231F20"/>
        </w:rPr>
        <w:t>to,</w:t>
      </w:r>
      <w:r>
        <w:rPr>
          <w:color w:val="231F20"/>
          <w:spacing w:val="-12"/>
        </w:rPr>
        <w:t xml:space="preserve"> </w:t>
      </w:r>
      <w:r>
        <w:rPr>
          <w:color w:val="231F20"/>
        </w:rPr>
        <w:t>First</w:t>
      </w:r>
      <w:r>
        <w:rPr>
          <w:color w:val="231F20"/>
          <w:spacing w:val="-12"/>
        </w:rPr>
        <w:t xml:space="preserve"> </w:t>
      </w:r>
      <w:r>
        <w:rPr>
          <w:color w:val="231F20"/>
        </w:rPr>
        <w:t>Nations</w:t>
      </w:r>
      <w:r>
        <w:rPr>
          <w:color w:val="231F20"/>
          <w:spacing w:val="-12"/>
        </w:rPr>
        <w:t xml:space="preserve"> </w:t>
      </w:r>
      <w:r>
        <w:rPr>
          <w:color w:val="231F20"/>
        </w:rPr>
        <w:t>applicants,</w:t>
      </w:r>
      <w:r>
        <w:rPr>
          <w:color w:val="231F20"/>
          <w:spacing w:val="-12"/>
        </w:rPr>
        <w:t xml:space="preserve"> </w:t>
      </w:r>
      <w:r>
        <w:rPr>
          <w:color w:val="231F20"/>
          <w:spacing w:val="12"/>
        </w:rPr>
        <w:t>M</w:t>
      </w:r>
      <w:r>
        <w:rPr>
          <w:color w:val="231F20"/>
          <w:spacing w:val="-97"/>
        </w:rPr>
        <w:t>ˉ</w:t>
      </w:r>
      <w:r>
        <w:rPr>
          <w:color w:val="231F20"/>
          <w:spacing w:val="-15"/>
        </w:rPr>
        <w:t>a</w:t>
      </w:r>
      <w:r>
        <w:rPr>
          <w:color w:val="231F20"/>
          <w:spacing w:val="32"/>
        </w:rPr>
        <w:t>o</w:t>
      </w:r>
      <w:r>
        <w:rPr>
          <w:color w:val="231F20"/>
          <w:spacing w:val="35"/>
        </w:rPr>
        <w:t>r</w:t>
      </w:r>
      <w:r>
        <w:rPr>
          <w:color w:val="231F20"/>
          <w:spacing w:val="33"/>
        </w:rPr>
        <w:t>i</w:t>
      </w:r>
      <w:r>
        <w:rPr>
          <w:color w:val="231F20"/>
          <w:spacing w:val="-13"/>
        </w:rPr>
        <w:t xml:space="preserve"> </w:t>
      </w:r>
      <w:r>
        <w:rPr>
          <w:color w:val="231F20"/>
        </w:rPr>
        <w:t>or</w:t>
      </w:r>
      <w:r>
        <w:rPr>
          <w:color w:val="231F20"/>
          <w:spacing w:val="-12"/>
        </w:rPr>
        <w:t xml:space="preserve"> </w:t>
      </w:r>
      <w:r>
        <w:rPr>
          <w:color w:val="231F20"/>
        </w:rPr>
        <w:t>Pasifika</w:t>
      </w:r>
      <w:r>
        <w:rPr>
          <w:color w:val="231F20"/>
          <w:spacing w:val="-13"/>
        </w:rPr>
        <w:t xml:space="preserve"> </w:t>
      </w:r>
      <w:r>
        <w:rPr>
          <w:color w:val="231F20"/>
        </w:rPr>
        <w:t xml:space="preserve">applicants and applicants who are of Middle Eastern, East, or South Asian, South American and African heritage) to prepare and navigate the recruitment process to become Police officers, PSOs or </w:t>
      </w:r>
      <w:r>
        <w:rPr>
          <w:color w:val="231F20"/>
          <w:spacing w:val="-2"/>
        </w:rPr>
        <w:t>PCOs.</w:t>
      </w:r>
    </w:p>
    <w:p w14:paraId="06D76DA5" w14:textId="77777777" w:rsidR="00345EE3" w:rsidRPr="00046BF4" w:rsidRDefault="00345EE3" w:rsidP="00345EE3">
      <w:pPr>
        <w:pStyle w:val="BodyText"/>
        <w:spacing w:before="124" w:line="242" w:lineRule="auto"/>
        <w:ind w:right="921"/>
        <w:rPr>
          <w:sz w:val="24"/>
          <w:szCs w:val="24"/>
        </w:rPr>
      </w:pPr>
      <w:r w:rsidRPr="00046BF4">
        <w:rPr>
          <w:color w:val="231F20"/>
          <w:sz w:val="24"/>
          <w:szCs w:val="24"/>
        </w:rPr>
        <w:t>The program commenced in 2018 and has expanded to a 15-week accredited course where students are taught entrance exam preparation skills, fitness, swimming and first aid. All participants are matched with a Victoria Police mentor, attend a tour of the Victoria Police Academy, and receive presentations from guest speakers throughout the course. Upon completion,</w:t>
      </w:r>
      <w:r w:rsidRPr="00046BF4">
        <w:rPr>
          <w:color w:val="231F20"/>
          <w:spacing w:val="-9"/>
          <w:sz w:val="24"/>
          <w:szCs w:val="24"/>
        </w:rPr>
        <w:t xml:space="preserve"> </w:t>
      </w:r>
      <w:r w:rsidRPr="00046BF4">
        <w:rPr>
          <w:color w:val="231F20"/>
          <w:sz w:val="24"/>
          <w:szCs w:val="24"/>
        </w:rPr>
        <w:t>Jesuit</w:t>
      </w:r>
      <w:r w:rsidRPr="00046BF4">
        <w:rPr>
          <w:color w:val="231F20"/>
          <w:spacing w:val="-9"/>
          <w:sz w:val="24"/>
          <w:szCs w:val="24"/>
        </w:rPr>
        <w:t xml:space="preserve"> </w:t>
      </w:r>
      <w:r w:rsidRPr="00046BF4">
        <w:rPr>
          <w:color w:val="231F20"/>
          <w:sz w:val="24"/>
          <w:szCs w:val="24"/>
        </w:rPr>
        <w:t>Social</w:t>
      </w:r>
      <w:r w:rsidRPr="00046BF4">
        <w:rPr>
          <w:color w:val="231F20"/>
          <w:spacing w:val="-10"/>
          <w:sz w:val="24"/>
          <w:szCs w:val="24"/>
        </w:rPr>
        <w:t xml:space="preserve"> </w:t>
      </w:r>
      <w:r w:rsidRPr="00046BF4">
        <w:rPr>
          <w:color w:val="231F20"/>
          <w:sz w:val="24"/>
          <w:szCs w:val="24"/>
        </w:rPr>
        <w:t>Services</w:t>
      </w:r>
      <w:r w:rsidRPr="00046BF4">
        <w:rPr>
          <w:color w:val="231F20"/>
          <w:spacing w:val="-9"/>
          <w:sz w:val="24"/>
          <w:szCs w:val="24"/>
        </w:rPr>
        <w:t xml:space="preserve"> </w:t>
      </w:r>
      <w:r w:rsidRPr="00046BF4">
        <w:rPr>
          <w:color w:val="231F20"/>
          <w:sz w:val="24"/>
          <w:szCs w:val="24"/>
        </w:rPr>
        <w:t>provide</w:t>
      </w:r>
      <w:r w:rsidRPr="00046BF4">
        <w:rPr>
          <w:color w:val="231F20"/>
          <w:spacing w:val="-10"/>
          <w:sz w:val="24"/>
          <w:szCs w:val="24"/>
        </w:rPr>
        <w:t xml:space="preserve"> </w:t>
      </w:r>
      <w:r w:rsidRPr="00046BF4">
        <w:rPr>
          <w:color w:val="231F20"/>
          <w:sz w:val="24"/>
          <w:szCs w:val="24"/>
        </w:rPr>
        <w:t>ongoing</w:t>
      </w:r>
      <w:r w:rsidRPr="00046BF4">
        <w:rPr>
          <w:color w:val="231F20"/>
          <w:spacing w:val="-10"/>
          <w:sz w:val="24"/>
          <w:szCs w:val="24"/>
        </w:rPr>
        <w:t xml:space="preserve"> </w:t>
      </w:r>
      <w:r w:rsidRPr="00046BF4">
        <w:rPr>
          <w:color w:val="231F20"/>
          <w:sz w:val="24"/>
          <w:szCs w:val="24"/>
        </w:rPr>
        <w:t>assistance</w:t>
      </w:r>
      <w:r w:rsidRPr="00046BF4">
        <w:rPr>
          <w:color w:val="231F20"/>
          <w:spacing w:val="-10"/>
          <w:sz w:val="24"/>
          <w:szCs w:val="24"/>
        </w:rPr>
        <w:t xml:space="preserve"> </w:t>
      </w:r>
      <w:r w:rsidRPr="00046BF4">
        <w:rPr>
          <w:color w:val="231F20"/>
          <w:sz w:val="24"/>
          <w:szCs w:val="24"/>
        </w:rPr>
        <w:t>during</w:t>
      </w:r>
      <w:r w:rsidRPr="00046BF4">
        <w:rPr>
          <w:color w:val="231F20"/>
          <w:spacing w:val="-10"/>
          <w:sz w:val="24"/>
          <w:szCs w:val="24"/>
        </w:rPr>
        <w:t xml:space="preserve"> </w:t>
      </w:r>
      <w:r w:rsidRPr="00046BF4">
        <w:rPr>
          <w:color w:val="231F20"/>
          <w:sz w:val="24"/>
          <w:szCs w:val="24"/>
        </w:rPr>
        <w:t>the</w:t>
      </w:r>
      <w:r w:rsidRPr="00046BF4">
        <w:rPr>
          <w:color w:val="231F20"/>
          <w:spacing w:val="-10"/>
          <w:sz w:val="24"/>
          <w:szCs w:val="24"/>
        </w:rPr>
        <w:t xml:space="preserve"> </w:t>
      </w:r>
      <w:r w:rsidRPr="00046BF4">
        <w:rPr>
          <w:color w:val="231F20"/>
          <w:sz w:val="24"/>
          <w:szCs w:val="24"/>
        </w:rPr>
        <w:t>recruitment</w:t>
      </w:r>
      <w:r w:rsidRPr="00046BF4">
        <w:rPr>
          <w:color w:val="231F20"/>
          <w:spacing w:val="-9"/>
          <w:sz w:val="24"/>
          <w:szCs w:val="24"/>
        </w:rPr>
        <w:t xml:space="preserve"> </w:t>
      </w:r>
      <w:r w:rsidRPr="00046BF4">
        <w:rPr>
          <w:color w:val="231F20"/>
          <w:sz w:val="24"/>
          <w:szCs w:val="24"/>
        </w:rPr>
        <w:t>phase</w:t>
      </w:r>
      <w:r w:rsidRPr="00046BF4">
        <w:rPr>
          <w:color w:val="231F20"/>
          <w:spacing w:val="-10"/>
          <w:sz w:val="24"/>
          <w:szCs w:val="24"/>
        </w:rPr>
        <w:t xml:space="preserve"> </w:t>
      </w:r>
      <w:r w:rsidRPr="00046BF4">
        <w:rPr>
          <w:color w:val="231F20"/>
          <w:sz w:val="24"/>
          <w:szCs w:val="24"/>
        </w:rPr>
        <w:t>and staff from the Victoria Police Centre (VPC) for Law and Operational Development coordinate ongoing assistance and mentoring during the training phase within the Academy.</w:t>
      </w:r>
    </w:p>
    <w:p w14:paraId="11960B7A" w14:textId="77777777" w:rsidR="00345EE3" w:rsidRPr="00046BF4" w:rsidRDefault="00345EE3" w:rsidP="00345EE3">
      <w:pPr>
        <w:pStyle w:val="BodyText"/>
        <w:spacing w:before="123" w:line="242" w:lineRule="auto"/>
        <w:ind w:right="848"/>
        <w:rPr>
          <w:sz w:val="24"/>
          <w:szCs w:val="24"/>
        </w:rPr>
      </w:pPr>
      <w:r w:rsidRPr="00046BF4">
        <w:rPr>
          <w:color w:val="231F20"/>
          <w:sz w:val="24"/>
          <w:szCs w:val="24"/>
        </w:rPr>
        <w:t>Since the program commenced in 2018, 18 applicants from the African–Australian community have</w:t>
      </w:r>
      <w:r w:rsidRPr="00046BF4">
        <w:rPr>
          <w:color w:val="231F20"/>
          <w:spacing w:val="-6"/>
          <w:sz w:val="24"/>
          <w:szCs w:val="24"/>
        </w:rPr>
        <w:t xml:space="preserve"> </w:t>
      </w:r>
      <w:r w:rsidRPr="00046BF4">
        <w:rPr>
          <w:color w:val="231F20"/>
          <w:sz w:val="24"/>
          <w:szCs w:val="24"/>
        </w:rPr>
        <w:t>attained</w:t>
      </w:r>
      <w:r w:rsidRPr="00046BF4">
        <w:rPr>
          <w:color w:val="231F20"/>
          <w:spacing w:val="-6"/>
          <w:sz w:val="24"/>
          <w:szCs w:val="24"/>
        </w:rPr>
        <w:t xml:space="preserve"> </w:t>
      </w:r>
      <w:r w:rsidRPr="00046BF4">
        <w:rPr>
          <w:color w:val="231F20"/>
          <w:sz w:val="24"/>
          <w:szCs w:val="24"/>
        </w:rPr>
        <w:t>employment</w:t>
      </w:r>
      <w:r w:rsidRPr="00046BF4">
        <w:rPr>
          <w:color w:val="231F20"/>
          <w:spacing w:val="-5"/>
          <w:sz w:val="24"/>
          <w:szCs w:val="24"/>
        </w:rPr>
        <w:t xml:space="preserve"> </w:t>
      </w:r>
      <w:r w:rsidRPr="00046BF4">
        <w:rPr>
          <w:color w:val="231F20"/>
          <w:sz w:val="24"/>
          <w:szCs w:val="24"/>
        </w:rPr>
        <w:t>with</w:t>
      </w:r>
      <w:r w:rsidRPr="00046BF4">
        <w:rPr>
          <w:color w:val="231F20"/>
          <w:spacing w:val="-6"/>
          <w:sz w:val="24"/>
          <w:szCs w:val="24"/>
        </w:rPr>
        <w:t xml:space="preserve"> </w:t>
      </w:r>
      <w:r w:rsidRPr="00046BF4">
        <w:rPr>
          <w:color w:val="231F20"/>
          <w:sz w:val="24"/>
          <w:szCs w:val="24"/>
        </w:rPr>
        <w:t>Victoria</w:t>
      </w:r>
      <w:r w:rsidRPr="00046BF4">
        <w:rPr>
          <w:color w:val="231F20"/>
          <w:spacing w:val="-6"/>
          <w:sz w:val="24"/>
          <w:szCs w:val="24"/>
        </w:rPr>
        <w:t xml:space="preserve"> </w:t>
      </w:r>
      <w:r w:rsidRPr="00046BF4">
        <w:rPr>
          <w:color w:val="231F20"/>
          <w:sz w:val="24"/>
          <w:szCs w:val="24"/>
        </w:rPr>
        <w:t>Police.</w:t>
      </w:r>
      <w:r w:rsidRPr="00046BF4">
        <w:rPr>
          <w:color w:val="231F20"/>
          <w:spacing w:val="-5"/>
          <w:sz w:val="24"/>
          <w:szCs w:val="24"/>
        </w:rPr>
        <w:t xml:space="preserve"> </w:t>
      </w:r>
      <w:r w:rsidRPr="00046BF4">
        <w:rPr>
          <w:color w:val="231F20"/>
          <w:sz w:val="24"/>
          <w:szCs w:val="24"/>
        </w:rPr>
        <w:t>They</w:t>
      </w:r>
      <w:r w:rsidRPr="00046BF4">
        <w:rPr>
          <w:color w:val="231F20"/>
          <w:spacing w:val="-5"/>
          <w:sz w:val="24"/>
          <w:szCs w:val="24"/>
        </w:rPr>
        <w:t xml:space="preserve"> </w:t>
      </w:r>
      <w:r w:rsidRPr="00046BF4">
        <w:rPr>
          <w:color w:val="231F20"/>
          <w:sz w:val="24"/>
          <w:szCs w:val="24"/>
        </w:rPr>
        <w:t>include</w:t>
      </w:r>
      <w:r w:rsidRPr="00046BF4">
        <w:rPr>
          <w:color w:val="231F20"/>
          <w:spacing w:val="-6"/>
          <w:sz w:val="24"/>
          <w:szCs w:val="24"/>
        </w:rPr>
        <w:t xml:space="preserve"> </w:t>
      </w:r>
      <w:r w:rsidRPr="00046BF4">
        <w:rPr>
          <w:color w:val="231F20"/>
          <w:sz w:val="24"/>
          <w:szCs w:val="24"/>
        </w:rPr>
        <w:t>nine</w:t>
      </w:r>
      <w:r w:rsidRPr="00046BF4">
        <w:rPr>
          <w:color w:val="231F20"/>
          <w:spacing w:val="-6"/>
          <w:sz w:val="24"/>
          <w:szCs w:val="24"/>
        </w:rPr>
        <w:t xml:space="preserve"> </w:t>
      </w:r>
      <w:r w:rsidRPr="00046BF4">
        <w:rPr>
          <w:color w:val="231F20"/>
          <w:sz w:val="24"/>
          <w:szCs w:val="24"/>
        </w:rPr>
        <w:t>Police</w:t>
      </w:r>
      <w:r w:rsidRPr="00046BF4">
        <w:rPr>
          <w:color w:val="231F20"/>
          <w:spacing w:val="-6"/>
          <w:sz w:val="24"/>
          <w:szCs w:val="24"/>
        </w:rPr>
        <w:t xml:space="preserve"> </w:t>
      </w:r>
      <w:r w:rsidRPr="00046BF4">
        <w:rPr>
          <w:color w:val="231F20"/>
          <w:sz w:val="24"/>
          <w:szCs w:val="24"/>
        </w:rPr>
        <w:t>Officers,</w:t>
      </w:r>
      <w:r w:rsidRPr="00046BF4">
        <w:rPr>
          <w:color w:val="231F20"/>
          <w:spacing w:val="-5"/>
          <w:sz w:val="24"/>
          <w:szCs w:val="24"/>
        </w:rPr>
        <w:t xml:space="preserve"> </w:t>
      </w:r>
      <w:r w:rsidRPr="00046BF4">
        <w:rPr>
          <w:color w:val="231F20"/>
          <w:sz w:val="24"/>
          <w:szCs w:val="24"/>
        </w:rPr>
        <w:t>four</w:t>
      </w:r>
      <w:r w:rsidRPr="00046BF4">
        <w:rPr>
          <w:color w:val="231F20"/>
          <w:spacing w:val="-5"/>
          <w:sz w:val="24"/>
          <w:szCs w:val="24"/>
        </w:rPr>
        <w:t xml:space="preserve"> </w:t>
      </w:r>
      <w:r w:rsidRPr="00046BF4">
        <w:rPr>
          <w:color w:val="231F20"/>
          <w:sz w:val="24"/>
          <w:szCs w:val="24"/>
        </w:rPr>
        <w:t>PSOs</w:t>
      </w:r>
      <w:r w:rsidRPr="00046BF4">
        <w:rPr>
          <w:color w:val="231F20"/>
          <w:spacing w:val="-5"/>
          <w:sz w:val="24"/>
          <w:szCs w:val="24"/>
        </w:rPr>
        <w:t xml:space="preserve"> </w:t>
      </w:r>
      <w:r w:rsidRPr="00046BF4">
        <w:rPr>
          <w:color w:val="231F20"/>
          <w:sz w:val="24"/>
          <w:szCs w:val="24"/>
        </w:rPr>
        <w:t>and three</w:t>
      </w:r>
      <w:r w:rsidRPr="00046BF4">
        <w:rPr>
          <w:color w:val="231F20"/>
          <w:spacing w:val="-7"/>
          <w:sz w:val="24"/>
          <w:szCs w:val="24"/>
        </w:rPr>
        <w:t xml:space="preserve"> </w:t>
      </w:r>
      <w:r w:rsidRPr="00046BF4">
        <w:rPr>
          <w:color w:val="231F20"/>
          <w:sz w:val="24"/>
          <w:szCs w:val="24"/>
        </w:rPr>
        <w:t>PCOs.</w:t>
      </w:r>
      <w:r w:rsidRPr="00046BF4">
        <w:rPr>
          <w:color w:val="231F20"/>
          <w:spacing w:val="-6"/>
          <w:sz w:val="24"/>
          <w:szCs w:val="24"/>
        </w:rPr>
        <w:t xml:space="preserve"> </w:t>
      </w:r>
      <w:r w:rsidRPr="00046BF4">
        <w:rPr>
          <w:color w:val="231F20"/>
          <w:sz w:val="24"/>
          <w:szCs w:val="24"/>
        </w:rPr>
        <w:t>As</w:t>
      </w:r>
      <w:r w:rsidRPr="00046BF4">
        <w:rPr>
          <w:color w:val="231F20"/>
          <w:spacing w:val="-6"/>
          <w:sz w:val="24"/>
          <w:szCs w:val="24"/>
        </w:rPr>
        <w:t xml:space="preserve"> </w:t>
      </w:r>
      <w:r w:rsidRPr="00046BF4">
        <w:rPr>
          <w:color w:val="231F20"/>
          <w:sz w:val="24"/>
          <w:szCs w:val="24"/>
        </w:rPr>
        <w:t>at</w:t>
      </w:r>
      <w:r w:rsidRPr="00046BF4">
        <w:rPr>
          <w:color w:val="231F20"/>
          <w:spacing w:val="-6"/>
          <w:sz w:val="24"/>
          <w:szCs w:val="24"/>
        </w:rPr>
        <w:t xml:space="preserve"> </w:t>
      </w:r>
      <w:r w:rsidRPr="00046BF4">
        <w:rPr>
          <w:color w:val="231F20"/>
          <w:sz w:val="24"/>
          <w:szCs w:val="24"/>
        </w:rPr>
        <w:t>30</w:t>
      </w:r>
      <w:r w:rsidRPr="00046BF4">
        <w:rPr>
          <w:color w:val="231F20"/>
          <w:spacing w:val="-7"/>
          <w:sz w:val="24"/>
          <w:szCs w:val="24"/>
        </w:rPr>
        <w:t xml:space="preserve"> </w:t>
      </w:r>
      <w:r w:rsidRPr="00046BF4">
        <w:rPr>
          <w:color w:val="231F20"/>
          <w:sz w:val="24"/>
          <w:szCs w:val="24"/>
        </w:rPr>
        <w:t>June</w:t>
      </w:r>
      <w:r w:rsidRPr="00046BF4">
        <w:rPr>
          <w:color w:val="231F20"/>
          <w:spacing w:val="-7"/>
          <w:sz w:val="24"/>
          <w:szCs w:val="24"/>
        </w:rPr>
        <w:t xml:space="preserve"> </w:t>
      </w:r>
      <w:r w:rsidRPr="00046BF4">
        <w:rPr>
          <w:color w:val="231F20"/>
          <w:sz w:val="24"/>
          <w:szCs w:val="24"/>
        </w:rPr>
        <w:t>2022,</w:t>
      </w:r>
      <w:r w:rsidRPr="00046BF4">
        <w:rPr>
          <w:color w:val="231F20"/>
          <w:spacing w:val="-6"/>
          <w:sz w:val="24"/>
          <w:szCs w:val="24"/>
        </w:rPr>
        <w:t xml:space="preserve"> </w:t>
      </w:r>
      <w:r w:rsidRPr="00046BF4">
        <w:rPr>
          <w:color w:val="231F20"/>
          <w:sz w:val="24"/>
          <w:szCs w:val="24"/>
        </w:rPr>
        <w:t>there</w:t>
      </w:r>
      <w:r w:rsidRPr="00046BF4">
        <w:rPr>
          <w:color w:val="231F20"/>
          <w:spacing w:val="-7"/>
          <w:sz w:val="24"/>
          <w:szCs w:val="24"/>
        </w:rPr>
        <w:t xml:space="preserve"> </w:t>
      </w:r>
      <w:r w:rsidRPr="00046BF4">
        <w:rPr>
          <w:color w:val="231F20"/>
          <w:sz w:val="24"/>
          <w:szCs w:val="24"/>
        </w:rPr>
        <w:t>are</w:t>
      </w:r>
      <w:r w:rsidRPr="00046BF4">
        <w:rPr>
          <w:color w:val="231F20"/>
          <w:spacing w:val="-7"/>
          <w:sz w:val="24"/>
          <w:szCs w:val="24"/>
        </w:rPr>
        <w:t xml:space="preserve"> </w:t>
      </w:r>
      <w:r w:rsidRPr="00046BF4">
        <w:rPr>
          <w:color w:val="231F20"/>
          <w:sz w:val="24"/>
          <w:szCs w:val="24"/>
        </w:rPr>
        <w:t>two</w:t>
      </w:r>
      <w:r w:rsidRPr="00046BF4">
        <w:rPr>
          <w:color w:val="231F20"/>
          <w:spacing w:val="-7"/>
          <w:sz w:val="24"/>
          <w:szCs w:val="24"/>
        </w:rPr>
        <w:t xml:space="preserve"> </w:t>
      </w:r>
      <w:r w:rsidRPr="00046BF4">
        <w:rPr>
          <w:color w:val="231F20"/>
          <w:sz w:val="24"/>
          <w:szCs w:val="24"/>
        </w:rPr>
        <w:t>program</w:t>
      </w:r>
      <w:r w:rsidRPr="00046BF4">
        <w:rPr>
          <w:color w:val="231F20"/>
          <w:spacing w:val="-6"/>
          <w:sz w:val="24"/>
          <w:szCs w:val="24"/>
        </w:rPr>
        <w:t xml:space="preserve"> </w:t>
      </w:r>
      <w:r w:rsidRPr="00046BF4">
        <w:rPr>
          <w:color w:val="231F20"/>
          <w:sz w:val="24"/>
          <w:szCs w:val="24"/>
        </w:rPr>
        <w:t>participants</w:t>
      </w:r>
      <w:r w:rsidRPr="00046BF4">
        <w:rPr>
          <w:color w:val="231F20"/>
          <w:spacing w:val="-6"/>
          <w:sz w:val="24"/>
          <w:szCs w:val="24"/>
        </w:rPr>
        <w:t xml:space="preserve"> </w:t>
      </w:r>
      <w:r w:rsidRPr="00046BF4">
        <w:rPr>
          <w:color w:val="231F20"/>
          <w:sz w:val="24"/>
          <w:szCs w:val="24"/>
        </w:rPr>
        <w:t>who</w:t>
      </w:r>
      <w:r w:rsidRPr="00046BF4">
        <w:rPr>
          <w:color w:val="231F20"/>
          <w:spacing w:val="-7"/>
          <w:sz w:val="24"/>
          <w:szCs w:val="24"/>
        </w:rPr>
        <w:t xml:space="preserve"> </w:t>
      </w:r>
      <w:r w:rsidRPr="00046BF4">
        <w:rPr>
          <w:color w:val="231F20"/>
          <w:sz w:val="24"/>
          <w:szCs w:val="24"/>
        </w:rPr>
        <w:t>are</w:t>
      </w:r>
      <w:r w:rsidRPr="00046BF4">
        <w:rPr>
          <w:color w:val="231F20"/>
          <w:spacing w:val="-7"/>
          <w:sz w:val="24"/>
          <w:szCs w:val="24"/>
        </w:rPr>
        <w:t xml:space="preserve"> </w:t>
      </w:r>
      <w:r w:rsidRPr="00046BF4">
        <w:rPr>
          <w:color w:val="231F20"/>
          <w:sz w:val="24"/>
          <w:szCs w:val="24"/>
        </w:rPr>
        <w:t>currently</w:t>
      </w:r>
      <w:r w:rsidRPr="00046BF4">
        <w:rPr>
          <w:color w:val="231F20"/>
          <w:spacing w:val="-6"/>
          <w:sz w:val="24"/>
          <w:szCs w:val="24"/>
        </w:rPr>
        <w:t xml:space="preserve"> </w:t>
      </w:r>
      <w:r w:rsidRPr="00046BF4">
        <w:rPr>
          <w:color w:val="231F20"/>
          <w:sz w:val="24"/>
          <w:szCs w:val="24"/>
        </w:rPr>
        <w:t>in</w:t>
      </w:r>
      <w:r w:rsidRPr="00046BF4">
        <w:rPr>
          <w:color w:val="231F20"/>
          <w:spacing w:val="-7"/>
          <w:sz w:val="24"/>
          <w:szCs w:val="24"/>
        </w:rPr>
        <w:t xml:space="preserve"> </w:t>
      </w:r>
      <w:r w:rsidRPr="00046BF4">
        <w:rPr>
          <w:color w:val="231F20"/>
          <w:sz w:val="24"/>
          <w:szCs w:val="24"/>
        </w:rPr>
        <w:t>training at the Academy. Another 30 participants are currently within the recruitment process.</w:t>
      </w:r>
    </w:p>
    <w:p w14:paraId="44430FD0" w14:textId="77777777" w:rsidR="00345EE3" w:rsidRPr="00046BF4" w:rsidRDefault="00345EE3" w:rsidP="00046BF4">
      <w:pPr>
        <w:pStyle w:val="Heading5"/>
        <w:spacing w:before="175"/>
        <w:ind w:left="0"/>
        <w:rPr>
          <w:color w:val="000000" w:themeColor="text1"/>
        </w:rPr>
      </w:pPr>
      <w:r w:rsidRPr="00046BF4">
        <w:rPr>
          <w:color w:val="000000" w:themeColor="text1"/>
        </w:rPr>
        <w:t>Developing</w:t>
      </w:r>
      <w:r w:rsidRPr="00046BF4">
        <w:rPr>
          <w:color w:val="000000" w:themeColor="text1"/>
          <w:spacing w:val="-6"/>
        </w:rPr>
        <w:t xml:space="preserve"> </w:t>
      </w:r>
      <w:r w:rsidRPr="00046BF4">
        <w:rPr>
          <w:color w:val="000000" w:themeColor="text1"/>
        </w:rPr>
        <w:t>Leadership</w:t>
      </w:r>
      <w:r w:rsidRPr="00046BF4">
        <w:rPr>
          <w:color w:val="000000" w:themeColor="text1"/>
          <w:spacing w:val="-4"/>
        </w:rPr>
        <w:t xml:space="preserve"> </w:t>
      </w:r>
      <w:r w:rsidRPr="00046BF4">
        <w:rPr>
          <w:color w:val="000000" w:themeColor="text1"/>
          <w:spacing w:val="-2"/>
        </w:rPr>
        <w:t>Capability</w:t>
      </w:r>
    </w:p>
    <w:p w14:paraId="5BC28181" w14:textId="77777777" w:rsidR="00345EE3" w:rsidRPr="00046BF4" w:rsidRDefault="00345EE3" w:rsidP="00345EE3">
      <w:pPr>
        <w:pStyle w:val="BodyText"/>
        <w:spacing w:before="4" w:line="242" w:lineRule="auto"/>
        <w:ind w:right="892"/>
        <w:rPr>
          <w:sz w:val="24"/>
          <w:szCs w:val="24"/>
        </w:rPr>
      </w:pPr>
      <w:r w:rsidRPr="00046BF4">
        <w:rPr>
          <w:color w:val="231F20"/>
          <w:sz w:val="24"/>
          <w:szCs w:val="24"/>
        </w:rPr>
        <w:t>Our Leadership Capability Uplift program continues to focus on developing leadership that drives</w:t>
      </w:r>
      <w:r w:rsidRPr="00046BF4">
        <w:rPr>
          <w:color w:val="231F20"/>
          <w:spacing w:val="-8"/>
          <w:sz w:val="24"/>
          <w:szCs w:val="24"/>
        </w:rPr>
        <w:t xml:space="preserve"> </w:t>
      </w:r>
      <w:r w:rsidRPr="00046BF4">
        <w:rPr>
          <w:color w:val="231F20"/>
          <w:sz w:val="24"/>
          <w:szCs w:val="24"/>
        </w:rPr>
        <w:t>a</w:t>
      </w:r>
      <w:r w:rsidRPr="00046BF4">
        <w:rPr>
          <w:color w:val="231F20"/>
          <w:spacing w:val="-9"/>
          <w:sz w:val="24"/>
          <w:szCs w:val="24"/>
        </w:rPr>
        <w:t xml:space="preserve"> </w:t>
      </w:r>
      <w:r w:rsidRPr="00046BF4">
        <w:rPr>
          <w:color w:val="231F20"/>
          <w:sz w:val="24"/>
          <w:szCs w:val="24"/>
        </w:rPr>
        <w:t>respectful</w:t>
      </w:r>
      <w:r w:rsidRPr="00046BF4">
        <w:rPr>
          <w:color w:val="231F20"/>
          <w:spacing w:val="-9"/>
          <w:sz w:val="24"/>
          <w:szCs w:val="24"/>
        </w:rPr>
        <w:t xml:space="preserve"> </w:t>
      </w:r>
      <w:r w:rsidRPr="00046BF4">
        <w:rPr>
          <w:color w:val="231F20"/>
          <w:sz w:val="24"/>
          <w:szCs w:val="24"/>
        </w:rPr>
        <w:t>and</w:t>
      </w:r>
      <w:r w:rsidRPr="00046BF4">
        <w:rPr>
          <w:color w:val="231F20"/>
          <w:spacing w:val="-9"/>
          <w:sz w:val="24"/>
          <w:szCs w:val="24"/>
        </w:rPr>
        <w:t xml:space="preserve"> </w:t>
      </w:r>
      <w:r w:rsidRPr="00046BF4">
        <w:rPr>
          <w:color w:val="231F20"/>
          <w:sz w:val="24"/>
          <w:szCs w:val="24"/>
        </w:rPr>
        <w:t>inclusive</w:t>
      </w:r>
      <w:r w:rsidRPr="00046BF4">
        <w:rPr>
          <w:color w:val="231F20"/>
          <w:spacing w:val="-9"/>
          <w:sz w:val="24"/>
          <w:szCs w:val="24"/>
        </w:rPr>
        <w:t xml:space="preserve"> </w:t>
      </w:r>
      <w:r w:rsidRPr="00046BF4">
        <w:rPr>
          <w:color w:val="231F20"/>
          <w:sz w:val="24"/>
          <w:szCs w:val="24"/>
        </w:rPr>
        <w:t>workplace</w:t>
      </w:r>
      <w:r w:rsidRPr="00046BF4">
        <w:rPr>
          <w:color w:val="231F20"/>
          <w:spacing w:val="-9"/>
          <w:sz w:val="24"/>
          <w:szCs w:val="24"/>
        </w:rPr>
        <w:t xml:space="preserve"> </w:t>
      </w:r>
      <w:r w:rsidRPr="00046BF4">
        <w:rPr>
          <w:color w:val="231F20"/>
          <w:sz w:val="24"/>
          <w:szCs w:val="24"/>
        </w:rPr>
        <w:t>culture.</w:t>
      </w:r>
      <w:r w:rsidRPr="00046BF4">
        <w:rPr>
          <w:color w:val="231F20"/>
          <w:spacing w:val="-8"/>
          <w:sz w:val="24"/>
          <w:szCs w:val="24"/>
        </w:rPr>
        <w:t xml:space="preserve"> </w:t>
      </w:r>
      <w:r w:rsidRPr="00046BF4">
        <w:rPr>
          <w:color w:val="231F20"/>
          <w:sz w:val="24"/>
          <w:szCs w:val="24"/>
        </w:rPr>
        <w:t>This</w:t>
      </w:r>
      <w:r w:rsidRPr="00046BF4">
        <w:rPr>
          <w:color w:val="231F20"/>
          <w:spacing w:val="-8"/>
          <w:sz w:val="24"/>
          <w:szCs w:val="24"/>
        </w:rPr>
        <w:t xml:space="preserve"> </w:t>
      </w:r>
      <w:r w:rsidRPr="00046BF4">
        <w:rPr>
          <w:color w:val="231F20"/>
          <w:sz w:val="24"/>
          <w:szCs w:val="24"/>
        </w:rPr>
        <w:t>program</w:t>
      </w:r>
      <w:r w:rsidRPr="00046BF4">
        <w:rPr>
          <w:color w:val="231F20"/>
          <w:spacing w:val="-8"/>
          <w:sz w:val="24"/>
          <w:szCs w:val="24"/>
        </w:rPr>
        <w:t xml:space="preserve"> </w:t>
      </w:r>
      <w:r w:rsidRPr="00046BF4">
        <w:rPr>
          <w:color w:val="231F20"/>
          <w:sz w:val="24"/>
          <w:szCs w:val="24"/>
        </w:rPr>
        <w:t>was</w:t>
      </w:r>
      <w:r w:rsidRPr="00046BF4">
        <w:rPr>
          <w:color w:val="231F20"/>
          <w:spacing w:val="-8"/>
          <w:sz w:val="24"/>
          <w:szCs w:val="24"/>
        </w:rPr>
        <w:t xml:space="preserve"> </w:t>
      </w:r>
      <w:r w:rsidRPr="00046BF4">
        <w:rPr>
          <w:color w:val="231F20"/>
          <w:sz w:val="24"/>
          <w:szCs w:val="24"/>
        </w:rPr>
        <w:t>supported</w:t>
      </w:r>
      <w:r w:rsidRPr="00046BF4">
        <w:rPr>
          <w:color w:val="231F20"/>
          <w:spacing w:val="-9"/>
          <w:sz w:val="24"/>
          <w:szCs w:val="24"/>
        </w:rPr>
        <w:t xml:space="preserve"> </w:t>
      </w:r>
      <w:r w:rsidRPr="00046BF4">
        <w:rPr>
          <w:color w:val="231F20"/>
          <w:sz w:val="24"/>
          <w:szCs w:val="24"/>
        </w:rPr>
        <w:t>by</w:t>
      </w:r>
      <w:r w:rsidRPr="00046BF4">
        <w:rPr>
          <w:color w:val="231F20"/>
          <w:spacing w:val="-8"/>
          <w:sz w:val="24"/>
          <w:szCs w:val="24"/>
        </w:rPr>
        <w:t xml:space="preserve"> </w:t>
      </w:r>
      <w:r w:rsidRPr="00046BF4">
        <w:rPr>
          <w:color w:val="231F20"/>
          <w:sz w:val="24"/>
          <w:szCs w:val="24"/>
        </w:rPr>
        <w:t>the</w:t>
      </w:r>
      <w:r w:rsidRPr="00046BF4">
        <w:rPr>
          <w:color w:val="231F20"/>
          <w:spacing w:val="-9"/>
          <w:sz w:val="24"/>
          <w:szCs w:val="24"/>
        </w:rPr>
        <w:t xml:space="preserve"> </w:t>
      </w:r>
      <w:r w:rsidRPr="00046BF4">
        <w:rPr>
          <w:color w:val="231F20"/>
          <w:sz w:val="24"/>
          <w:szCs w:val="24"/>
        </w:rPr>
        <w:t>Victorian Government Community Safety Statement, with a further 2,700 managers and supervisors participating in development opportunities in 2021–22. Over its four-year project delivery target the</w:t>
      </w:r>
      <w:r w:rsidRPr="00046BF4">
        <w:rPr>
          <w:color w:val="231F20"/>
          <w:spacing w:val="-5"/>
          <w:sz w:val="24"/>
          <w:szCs w:val="24"/>
        </w:rPr>
        <w:t xml:space="preserve"> </w:t>
      </w:r>
      <w:r w:rsidRPr="00046BF4">
        <w:rPr>
          <w:color w:val="231F20"/>
          <w:sz w:val="24"/>
          <w:szCs w:val="24"/>
        </w:rPr>
        <w:t>People</w:t>
      </w:r>
      <w:r w:rsidRPr="00046BF4">
        <w:rPr>
          <w:color w:val="231F20"/>
          <w:spacing w:val="-5"/>
          <w:sz w:val="24"/>
          <w:szCs w:val="24"/>
        </w:rPr>
        <w:t xml:space="preserve"> </w:t>
      </w:r>
      <w:r w:rsidRPr="00046BF4">
        <w:rPr>
          <w:color w:val="231F20"/>
          <w:sz w:val="24"/>
          <w:szCs w:val="24"/>
        </w:rPr>
        <w:t>Focused</w:t>
      </w:r>
      <w:r w:rsidRPr="00046BF4">
        <w:rPr>
          <w:color w:val="231F20"/>
          <w:spacing w:val="-5"/>
          <w:sz w:val="24"/>
          <w:szCs w:val="24"/>
        </w:rPr>
        <w:t xml:space="preserve"> </w:t>
      </w:r>
      <w:r w:rsidRPr="00046BF4">
        <w:rPr>
          <w:color w:val="231F20"/>
          <w:sz w:val="24"/>
          <w:szCs w:val="24"/>
        </w:rPr>
        <w:t>Leadership</w:t>
      </w:r>
      <w:r w:rsidRPr="00046BF4">
        <w:rPr>
          <w:color w:val="231F20"/>
          <w:spacing w:val="-5"/>
          <w:sz w:val="24"/>
          <w:szCs w:val="24"/>
        </w:rPr>
        <w:t xml:space="preserve"> </w:t>
      </w:r>
      <w:r w:rsidRPr="00046BF4">
        <w:rPr>
          <w:color w:val="231F20"/>
          <w:sz w:val="24"/>
          <w:szCs w:val="24"/>
        </w:rPr>
        <w:t>Program</w:t>
      </w:r>
      <w:r w:rsidRPr="00046BF4">
        <w:rPr>
          <w:color w:val="231F20"/>
          <w:spacing w:val="-4"/>
          <w:sz w:val="24"/>
          <w:szCs w:val="24"/>
        </w:rPr>
        <w:t xml:space="preserve"> </w:t>
      </w:r>
      <w:r w:rsidRPr="00046BF4">
        <w:rPr>
          <w:color w:val="231F20"/>
          <w:sz w:val="24"/>
          <w:szCs w:val="24"/>
        </w:rPr>
        <w:t>reached</w:t>
      </w:r>
      <w:r w:rsidRPr="00046BF4">
        <w:rPr>
          <w:color w:val="231F20"/>
          <w:spacing w:val="-5"/>
          <w:sz w:val="24"/>
          <w:szCs w:val="24"/>
        </w:rPr>
        <w:t xml:space="preserve"> </w:t>
      </w:r>
      <w:r w:rsidRPr="00046BF4">
        <w:rPr>
          <w:color w:val="231F20"/>
          <w:sz w:val="24"/>
          <w:szCs w:val="24"/>
        </w:rPr>
        <w:t>4,250</w:t>
      </w:r>
      <w:r w:rsidRPr="00046BF4">
        <w:rPr>
          <w:color w:val="231F20"/>
          <w:spacing w:val="-5"/>
          <w:sz w:val="24"/>
          <w:szCs w:val="24"/>
        </w:rPr>
        <w:t xml:space="preserve"> </w:t>
      </w:r>
      <w:r w:rsidRPr="00046BF4">
        <w:rPr>
          <w:color w:val="231F20"/>
          <w:sz w:val="24"/>
          <w:szCs w:val="24"/>
        </w:rPr>
        <w:t>leaders.</w:t>
      </w:r>
      <w:r w:rsidRPr="00046BF4">
        <w:rPr>
          <w:color w:val="231F20"/>
          <w:spacing w:val="-4"/>
          <w:sz w:val="24"/>
          <w:szCs w:val="24"/>
        </w:rPr>
        <w:t xml:space="preserve"> </w:t>
      </w:r>
      <w:r w:rsidRPr="00046BF4">
        <w:rPr>
          <w:color w:val="231F20"/>
          <w:sz w:val="24"/>
          <w:szCs w:val="24"/>
        </w:rPr>
        <w:t>To</w:t>
      </w:r>
      <w:r w:rsidRPr="00046BF4">
        <w:rPr>
          <w:color w:val="231F20"/>
          <w:spacing w:val="-5"/>
          <w:sz w:val="24"/>
          <w:szCs w:val="24"/>
        </w:rPr>
        <w:t xml:space="preserve"> </w:t>
      </w:r>
      <w:r w:rsidRPr="00046BF4">
        <w:rPr>
          <w:color w:val="231F20"/>
          <w:sz w:val="24"/>
          <w:szCs w:val="24"/>
        </w:rPr>
        <w:t>further</w:t>
      </w:r>
      <w:r w:rsidRPr="00046BF4">
        <w:rPr>
          <w:color w:val="231F20"/>
          <w:spacing w:val="-4"/>
          <w:sz w:val="24"/>
          <w:szCs w:val="24"/>
        </w:rPr>
        <w:t xml:space="preserve"> </w:t>
      </w:r>
      <w:r w:rsidRPr="00046BF4">
        <w:rPr>
          <w:color w:val="231F20"/>
          <w:sz w:val="24"/>
          <w:szCs w:val="24"/>
        </w:rPr>
        <w:t>support</w:t>
      </w:r>
      <w:r w:rsidRPr="00046BF4">
        <w:rPr>
          <w:color w:val="231F20"/>
          <w:spacing w:val="-4"/>
          <w:sz w:val="24"/>
          <w:szCs w:val="24"/>
        </w:rPr>
        <w:t xml:space="preserve"> </w:t>
      </w:r>
      <w:r w:rsidRPr="00046BF4">
        <w:rPr>
          <w:color w:val="231F20"/>
          <w:sz w:val="24"/>
          <w:szCs w:val="24"/>
        </w:rPr>
        <w:t>a</w:t>
      </w:r>
      <w:r w:rsidRPr="00046BF4">
        <w:rPr>
          <w:color w:val="231F20"/>
          <w:spacing w:val="-5"/>
          <w:sz w:val="24"/>
          <w:szCs w:val="24"/>
        </w:rPr>
        <w:t xml:space="preserve"> </w:t>
      </w:r>
      <w:r w:rsidRPr="00046BF4">
        <w:rPr>
          <w:color w:val="231F20"/>
          <w:sz w:val="24"/>
          <w:szCs w:val="24"/>
        </w:rPr>
        <w:t>respectful workplace culture, our It’s About Respect gender equality program was delivered to our other ranks with 2,200 members participating in programs. Victoria Police continues to focus on enhancing the ethical standing of all employees with completion of behavioural ethics programs to senior sergeants and inspectors.</w:t>
      </w:r>
    </w:p>
    <w:p w14:paraId="4FEF196A" w14:textId="77777777" w:rsidR="00345EE3" w:rsidRPr="00046BF4" w:rsidRDefault="00345EE3" w:rsidP="002A27BA">
      <w:pPr>
        <w:pStyle w:val="Heading3"/>
      </w:pPr>
      <w:r w:rsidRPr="00046BF4">
        <w:t>Employment</w:t>
      </w:r>
      <w:r w:rsidRPr="00046BF4">
        <w:rPr>
          <w:spacing w:val="-10"/>
        </w:rPr>
        <w:t xml:space="preserve"> </w:t>
      </w:r>
      <w:r w:rsidRPr="00046BF4">
        <w:rPr>
          <w:spacing w:val="-2"/>
        </w:rPr>
        <w:t>Conditions</w:t>
      </w:r>
    </w:p>
    <w:p w14:paraId="22AED266" w14:textId="77777777" w:rsidR="00345EE3" w:rsidRPr="00046BF4" w:rsidRDefault="00345EE3" w:rsidP="00345EE3">
      <w:pPr>
        <w:pStyle w:val="BodyText"/>
        <w:spacing w:before="53" w:line="242" w:lineRule="auto"/>
        <w:ind w:right="862"/>
        <w:rPr>
          <w:sz w:val="24"/>
          <w:szCs w:val="24"/>
        </w:rPr>
      </w:pPr>
      <w:r w:rsidRPr="00046BF4">
        <w:rPr>
          <w:color w:val="231F20"/>
          <w:spacing w:val="-2"/>
          <w:sz w:val="24"/>
          <w:szCs w:val="24"/>
        </w:rPr>
        <w:t>The</w:t>
      </w:r>
      <w:r w:rsidRPr="00046BF4">
        <w:rPr>
          <w:color w:val="231F20"/>
          <w:spacing w:val="-15"/>
          <w:sz w:val="24"/>
          <w:szCs w:val="24"/>
        </w:rPr>
        <w:t xml:space="preserve"> </w:t>
      </w:r>
      <w:r w:rsidRPr="00046BF4">
        <w:rPr>
          <w:color w:val="231F20"/>
          <w:spacing w:val="-2"/>
          <w:sz w:val="24"/>
          <w:szCs w:val="24"/>
        </w:rPr>
        <w:t>terms</w:t>
      </w:r>
      <w:r w:rsidRPr="00046BF4">
        <w:rPr>
          <w:color w:val="231F20"/>
          <w:spacing w:val="-15"/>
          <w:sz w:val="24"/>
          <w:szCs w:val="24"/>
        </w:rPr>
        <w:t xml:space="preserve"> </w:t>
      </w:r>
      <w:r w:rsidRPr="00046BF4">
        <w:rPr>
          <w:color w:val="231F20"/>
          <w:spacing w:val="-2"/>
          <w:sz w:val="24"/>
          <w:szCs w:val="24"/>
        </w:rPr>
        <w:t>and</w:t>
      </w:r>
      <w:r w:rsidRPr="00046BF4">
        <w:rPr>
          <w:color w:val="231F20"/>
          <w:spacing w:val="-14"/>
          <w:sz w:val="24"/>
          <w:szCs w:val="24"/>
        </w:rPr>
        <w:t xml:space="preserve"> </w:t>
      </w:r>
      <w:r w:rsidRPr="00046BF4">
        <w:rPr>
          <w:color w:val="231F20"/>
          <w:spacing w:val="-2"/>
          <w:sz w:val="24"/>
          <w:szCs w:val="24"/>
        </w:rPr>
        <w:t>conditions</w:t>
      </w:r>
      <w:r w:rsidRPr="00046BF4">
        <w:rPr>
          <w:color w:val="231F20"/>
          <w:spacing w:val="-15"/>
          <w:sz w:val="24"/>
          <w:szCs w:val="24"/>
        </w:rPr>
        <w:t xml:space="preserve"> </w:t>
      </w:r>
      <w:r w:rsidRPr="00046BF4">
        <w:rPr>
          <w:color w:val="231F20"/>
          <w:spacing w:val="-2"/>
          <w:sz w:val="24"/>
          <w:szCs w:val="24"/>
        </w:rPr>
        <w:t>of</w:t>
      </w:r>
      <w:r w:rsidRPr="00046BF4">
        <w:rPr>
          <w:color w:val="231F20"/>
          <w:spacing w:val="-15"/>
          <w:sz w:val="24"/>
          <w:szCs w:val="24"/>
        </w:rPr>
        <w:t xml:space="preserve"> </w:t>
      </w:r>
      <w:r w:rsidRPr="00046BF4">
        <w:rPr>
          <w:color w:val="231F20"/>
          <w:spacing w:val="-2"/>
          <w:sz w:val="24"/>
          <w:szCs w:val="24"/>
        </w:rPr>
        <w:t>employment</w:t>
      </w:r>
      <w:r w:rsidRPr="00046BF4">
        <w:rPr>
          <w:color w:val="231F20"/>
          <w:spacing w:val="-15"/>
          <w:sz w:val="24"/>
          <w:szCs w:val="24"/>
        </w:rPr>
        <w:t xml:space="preserve"> </w:t>
      </w:r>
      <w:r w:rsidRPr="00046BF4">
        <w:rPr>
          <w:color w:val="231F20"/>
          <w:spacing w:val="-2"/>
          <w:sz w:val="24"/>
          <w:szCs w:val="24"/>
        </w:rPr>
        <w:t>for</w:t>
      </w:r>
      <w:r w:rsidRPr="00046BF4">
        <w:rPr>
          <w:color w:val="231F20"/>
          <w:spacing w:val="-14"/>
          <w:sz w:val="24"/>
          <w:szCs w:val="24"/>
        </w:rPr>
        <w:t xml:space="preserve"> </w:t>
      </w:r>
      <w:r w:rsidRPr="00046BF4">
        <w:rPr>
          <w:color w:val="231F20"/>
          <w:spacing w:val="-2"/>
          <w:sz w:val="24"/>
          <w:szCs w:val="24"/>
        </w:rPr>
        <w:t>Victoria</w:t>
      </w:r>
      <w:r w:rsidRPr="00046BF4">
        <w:rPr>
          <w:color w:val="231F20"/>
          <w:spacing w:val="-15"/>
          <w:sz w:val="24"/>
          <w:szCs w:val="24"/>
        </w:rPr>
        <w:t xml:space="preserve"> </w:t>
      </w:r>
      <w:r w:rsidRPr="00046BF4">
        <w:rPr>
          <w:color w:val="231F20"/>
          <w:spacing w:val="-2"/>
          <w:sz w:val="24"/>
          <w:szCs w:val="24"/>
        </w:rPr>
        <w:t>Police</w:t>
      </w:r>
      <w:r w:rsidRPr="00046BF4">
        <w:rPr>
          <w:color w:val="231F20"/>
          <w:spacing w:val="-15"/>
          <w:sz w:val="24"/>
          <w:szCs w:val="24"/>
        </w:rPr>
        <w:t xml:space="preserve"> </w:t>
      </w:r>
      <w:r w:rsidRPr="00046BF4">
        <w:rPr>
          <w:color w:val="231F20"/>
          <w:spacing w:val="-2"/>
          <w:sz w:val="24"/>
          <w:szCs w:val="24"/>
        </w:rPr>
        <w:t>employees</w:t>
      </w:r>
      <w:r w:rsidRPr="00046BF4">
        <w:rPr>
          <w:color w:val="231F20"/>
          <w:spacing w:val="-14"/>
          <w:sz w:val="24"/>
          <w:szCs w:val="24"/>
        </w:rPr>
        <w:t xml:space="preserve"> </w:t>
      </w:r>
      <w:r w:rsidRPr="00046BF4">
        <w:rPr>
          <w:color w:val="231F20"/>
          <w:spacing w:val="-2"/>
          <w:sz w:val="24"/>
          <w:szCs w:val="24"/>
        </w:rPr>
        <w:t>are</w:t>
      </w:r>
      <w:r w:rsidRPr="00046BF4">
        <w:rPr>
          <w:color w:val="231F20"/>
          <w:spacing w:val="-15"/>
          <w:sz w:val="24"/>
          <w:szCs w:val="24"/>
        </w:rPr>
        <w:t xml:space="preserve"> </w:t>
      </w:r>
      <w:r w:rsidRPr="00046BF4">
        <w:rPr>
          <w:color w:val="231F20"/>
          <w:spacing w:val="-2"/>
          <w:sz w:val="24"/>
          <w:szCs w:val="24"/>
        </w:rPr>
        <w:t>governed</w:t>
      </w:r>
      <w:r w:rsidRPr="00046BF4">
        <w:rPr>
          <w:color w:val="231F20"/>
          <w:spacing w:val="-11"/>
          <w:sz w:val="24"/>
          <w:szCs w:val="24"/>
        </w:rPr>
        <w:t xml:space="preserve"> </w:t>
      </w:r>
      <w:r w:rsidRPr="00046BF4">
        <w:rPr>
          <w:color w:val="231F20"/>
          <w:spacing w:val="-2"/>
          <w:sz w:val="24"/>
          <w:szCs w:val="24"/>
        </w:rPr>
        <w:t>by</w:t>
      </w:r>
      <w:r w:rsidRPr="00046BF4">
        <w:rPr>
          <w:color w:val="231F20"/>
          <w:spacing w:val="-6"/>
          <w:sz w:val="24"/>
          <w:szCs w:val="24"/>
        </w:rPr>
        <w:t xml:space="preserve"> </w:t>
      </w:r>
      <w:r w:rsidRPr="00046BF4">
        <w:rPr>
          <w:color w:val="231F20"/>
          <w:spacing w:val="-2"/>
          <w:sz w:val="24"/>
          <w:szCs w:val="24"/>
        </w:rPr>
        <w:t xml:space="preserve">legislation, </w:t>
      </w:r>
      <w:r w:rsidRPr="00046BF4">
        <w:rPr>
          <w:color w:val="231F20"/>
          <w:sz w:val="24"/>
          <w:szCs w:val="24"/>
        </w:rPr>
        <w:t>Enterprise</w:t>
      </w:r>
      <w:r w:rsidRPr="00046BF4">
        <w:rPr>
          <w:color w:val="231F20"/>
          <w:spacing w:val="-17"/>
          <w:sz w:val="24"/>
          <w:szCs w:val="24"/>
        </w:rPr>
        <w:t xml:space="preserve"> </w:t>
      </w:r>
      <w:r w:rsidRPr="00046BF4">
        <w:rPr>
          <w:color w:val="231F20"/>
          <w:sz w:val="24"/>
          <w:szCs w:val="24"/>
        </w:rPr>
        <w:t>Agreements</w:t>
      </w:r>
      <w:r w:rsidRPr="00046BF4">
        <w:rPr>
          <w:color w:val="231F20"/>
          <w:spacing w:val="-14"/>
          <w:sz w:val="24"/>
          <w:szCs w:val="24"/>
        </w:rPr>
        <w:t xml:space="preserve"> </w:t>
      </w:r>
      <w:r w:rsidRPr="00046BF4">
        <w:rPr>
          <w:color w:val="231F20"/>
          <w:sz w:val="24"/>
          <w:szCs w:val="24"/>
        </w:rPr>
        <w:t>and</w:t>
      </w:r>
      <w:r w:rsidRPr="00046BF4">
        <w:rPr>
          <w:color w:val="231F20"/>
          <w:spacing w:val="-12"/>
          <w:sz w:val="24"/>
          <w:szCs w:val="24"/>
        </w:rPr>
        <w:t xml:space="preserve"> </w:t>
      </w:r>
      <w:r w:rsidRPr="00046BF4">
        <w:rPr>
          <w:color w:val="231F20"/>
          <w:sz w:val="24"/>
          <w:szCs w:val="24"/>
        </w:rPr>
        <w:t>Victoria</w:t>
      </w:r>
      <w:r w:rsidRPr="00046BF4">
        <w:rPr>
          <w:color w:val="231F20"/>
          <w:spacing w:val="-12"/>
          <w:sz w:val="24"/>
          <w:szCs w:val="24"/>
        </w:rPr>
        <w:t xml:space="preserve"> </w:t>
      </w:r>
      <w:r w:rsidRPr="00046BF4">
        <w:rPr>
          <w:color w:val="231F20"/>
          <w:sz w:val="24"/>
          <w:szCs w:val="24"/>
        </w:rPr>
        <w:t>Police</w:t>
      </w:r>
      <w:r w:rsidRPr="00046BF4">
        <w:rPr>
          <w:color w:val="231F20"/>
          <w:spacing w:val="-12"/>
          <w:sz w:val="24"/>
          <w:szCs w:val="24"/>
        </w:rPr>
        <w:t xml:space="preserve"> </w:t>
      </w:r>
      <w:r w:rsidRPr="00046BF4">
        <w:rPr>
          <w:color w:val="231F20"/>
          <w:sz w:val="24"/>
          <w:szCs w:val="24"/>
        </w:rPr>
        <w:t>policy.</w:t>
      </w:r>
      <w:r w:rsidRPr="00046BF4">
        <w:rPr>
          <w:color w:val="231F20"/>
          <w:spacing w:val="-12"/>
          <w:sz w:val="24"/>
          <w:szCs w:val="24"/>
        </w:rPr>
        <w:t xml:space="preserve"> </w:t>
      </w:r>
      <w:r w:rsidRPr="00046BF4">
        <w:rPr>
          <w:color w:val="231F20"/>
          <w:sz w:val="24"/>
          <w:szCs w:val="24"/>
        </w:rPr>
        <w:t>In</w:t>
      </w:r>
      <w:r w:rsidRPr="00046BF4">
        <w:rPr>
          <w:color w:val="231F20"/>
          <w:spacing w:val="-12"/>
          <w:sz w:val="24"/>
          <w:szCs w:val="24"/>
        </w:rPr>
        <w:t xml:space="preserve"> </w:t>
      </w:r>
      <w:r w:rsidRPr="00046BF4">
        <w:rPr>
          <w:color w:val="231F20"/>
          <w:sz w:val="24"/>
          <w:szCs w:val="24"/>
        </w:rPr>
        <w:t>addition</w:t>
      </w:r>
      <w:r w:rsidRPr="00046BF4">
        <w:rPr>
          <w:color w:val="231F20"/>
          <w:spacing w:val="-12"/>
          <w:sz w:val="24"/>
          <w:szCs w:val="24"/>
        </w:rPr>
        <w:t xml:space="preserve"> </w:t>
      </w:r>
      <w:r w:rsidRPr="00046BF4">
        <w:rPr>
          <w:color w:val="231F20"/>
          <w:sz w:val="24"/>
          <w:szCs w:val="24"/>
        </w:rPr>
        <w:t>to</w:t>
      </w:r>
      <w:r w:rsidRPr="00046BF4">
        <w:rPr>
          <w:color w:val="231F20"/>
          <w:spacing w:val="-12"/>
          <w:sz w:val="24"/>
          <w:szCs w:val="24"/>
        </w:rPr>
        <w:t xml:space="preserve"> </w:t>
      </w:r>
      <w:r w:rsidRPr="00046BF4">
        <w:rPr>
          <w:color w:val="231F20"/>
          <w:sz w:val="24"/>
          <w:szCs w:val="24"/>
        </w:rPr>
        <w:t>the</w:t>
      </w:r>
      <w:r w:rsidRPr="00046BF4">
        <w:rPr>
          <w:color w:val="231F20"/>
          <w:spacing w:val="-13"/>
          <w:sz w:val="24"/>
          <w:szCs w:val="24"/>
        </w:rPr>
        <w:t xml:space="preserve"> </w:t>
      </w:r>
      <w:r w:rsidRPr="00046BF4">
        <w:rPr>
          <w:i/>
          <w:color w:val="231F20"/>
          <w:sz w:val="24"/>
          <w:szCs w:val="24"/>
        </w:rPr>
        <w:t>Fair</w:t>
      </w:r>
      <w:r w:rsidRPr="00046BF4">
        <w:rPr>
          <w:i/>
          <w:color w:val="231F20"/>
          <w:spacing w:val="-17"/>
          <w:sz w:val="24"/>
          <w:szCs w:val="24"/>
        </w:rPr>
        <w:t xml:space="preserve"> </w:t>
      </w:r>
      <w:r w:rsidRPr="00046BF4">
        <w:rPr>
          <w:i/>
          <w:color w:val="231F20"/>
          <w:sz w:val="24"/>
          <w:szCs w:val="24"/>
        </w:rPr>
        <w:t>Work</w:t>
      </w:r>
      <w:r w:rsidRPr="00046BF4">
        <w:rPr>
          <w:i/>
          <w:color w:val="231F20"/>
          <w:spacing w:val="-17"/>
          <w:sz w:val="24"/>
          <w:szCs w:val="24"/>
        </w:rPr>
        <w:t xml:space="preserve"> </w:t>
      </w:r>
      <w:r w:rsidRPr="00046BF4">
        <w:rPr>
          <w:i/>
          <w:color w:val="231F20"/>
          <w:sz w:val="24"/>
          <w:szCs w:val="24"/>
        </w:rPr>
        <w:t>Act</w:t>
      </w:r>
      <w:r w:rsidRPr="00046BF4">
        <w:rPr>
          <w:i/>
          <w:color w:val="231F20"/>
          <w:spacing w:val="-16"/>
          <w:sz w:val="24"/>
          <w:szCs w:val="24"/>
        </w:rPr>
        <w:t xml:space="preserve"> </w:t>
      </w:r>
      <w:r w:rsidRPr="00046BF4">
        <w:rPr>
          <w:color w:val="231F20"/>
          <w:sz w:val="24"/>
          <w:szCs w:val="24"/>
        </w:rPr>
        <w:t>2009</w:t>
      </w:r>
      <w:r w:rsidRPr="00046BF4">
        <w:rPr>
          <w:color w:val="231F20"/>
          <w:spacing w:val="-13"/>
          <w:sz w:val="24"/>
          <w:szCs w:val="24"/>
        </w:rPr>
        <w:t xml:space="preserve"> </w:t>
      </w:r>
      <w:r w:rsidRPr="00046BF4">
        <w:rPr>
          <w:color w:val="231F20"/>
          <w:sz w:val="24"/>
          <w:szCs w:val="24"/>
        </w:rPr>
        <w:t>(Cth),</w:t>
      </w:r>
      <w:r w:rsidRPr="00046BF4">
        <w:rPr>
          <w:color w:val="231F20"/>
          <w:spacing w:val="-12"/>
          <w:sz w:val="24"/>
          <w:szCs w:val="24"/>
        </w:rPr>
        <w:t xml:space="preserve"> </w:t>
      </w:r>
      <w:r w:rsidRPr="00046BF4">
        <w:rPr>
          <w:color w:val="231F20"/>
          <w:sz w:val="24"/>
          <w:szCs w:val="24"/>
        </w:rPr>
        <w:t xml:space="preserve">and </w:t>
      </w:r>
      <w:r w:rsidRPr="00046BF4">
        <w:rPr>
          <w:i/>
          <w:color w:val="231F20"/>
          <w:spacing w:val="-2"/>
          <w:sz w:val="24"/>
          <w:szCs w:val="24"/>
        </w:rPr>
        <w:t>Fair</w:t>
      </w:r>
      <w:r w:rsidRPr="00046BF4">
        <w:rPr>
          <w:i/>
          <w:color w:val="231F20"/>
          <w:spacing w:val="-15"/>
          <w:sz w:val="24"/>
          <w:szCs w:val="24"/>
        </w:rPr>
        <w:t xml:space="preserve"> </w:t>
      </w:r>
      <w:r w:rsidRPr="00046BF4">
        <w:rPr>
          <w:i/>
          <w:color w:val="231F20"/>
          <w:spacing w:val="-2"/>
          <w:sz w:val="24"/>
          <w:szCs w:val="24"/>
        </w:rPr>
        <w:t>Work</w:t>
      </w:r>
      <w:r w:rsidRPr="00046BF4">
        <w:rPr>
          <w:i/>
          <w:color w:val="231F20"/>
          <w:spacing w:val="-15"/>
          <w:sz w:val="24"/>
          <w:szCs w:val="24"/>
        </w:rPr>
        <w:t xml:space="preserve"> </w:t>
      </w:r>
      <w:r w:rsidRPr="00046BF4">
        <w:rPr>
          <w:i/>
          <w:color w:val="231F20"/>
          <w:spacing w:val="-2"/>
          <w:sz w:val="24"/>
          <w:szCs w:val="24"/>
        </w:rPr>
        <w:t>Regulations</w:t>
      </w:r>
      <w:r w:rsidRPr="00046BF4">
        <w:rPr>
          <w:i/>
          <w:color w:val="231F20"/>
          <w:spacing w:val="-14"/>
          <w:sz w:val="24"/>
          <w:szCs w:val="24"/>
        </w:rPr>
        <w:t xml:space="preserve"> </w:t>
      </w:r>
      <w:r w:rsidRPr="00046BF4">
        <w:rPr>
          <w:color w:val="231F20"/>
          <w:spacing w:val="-2"/>
          <w:sz w:val="24"/>
          <w:szCs w:val="24"/>
        </w:rPr>
        <w:t>2009</w:t>
      </w:r>
      <w:r w:rsidRPr="00046BF4">
        <w:rPr>
          <w:color w:val="231F20"/>
          <w:spacing w:val="-15"/>
          <w:sz w:val="24"/>
          <w:szCs w:val="24"/>
        </w:rPr>
        <w:t xml:space="preserve"> </w:t>
      </w:r>
      <w:r w:rsidRPr="00046BF4">
        <w:rPr>
          <w:color w:val="231F20"/>
          <w:spacing w:val="-2"/>
          <w:sz w:val="24"/>
          <w:szCs w:val="24"/>
        </w:rPr>
        <w:t>(Cth),</w:t>
      </w:r>
      <w:r w:rsidRPr="00046BF4">
        <w:rPr>
          <w:color w:val="231F20"/>
          <w:spacing w:val="-15"/>
          <w:sz w:val="24"/>
          <w:szCs w:val="24"/>
        </w:rPr>
        <w:t xml:space="preserve"> </w:t>
      </w:r>
      <w:r w:rsidRPr="00046BF4">
        <w:rPr>
          <w:color w:val="231F20"/>
          <w:spacing w:val="-2"/>
          <w:sz w:val="24"/>
          <w:szCs w:val="24"/>
        </w:rPr>
        <w:t>our</w:t>
      </w:r>
      <w:r w:rsidRPr="00046BF4">
        <w:rPr>
          <w:color w:val="231F20"/>
          <w:spacing w:val="-15"/>
          <w:sz w:val="24"/>
          <w:szCs w:val="24"/>
        </w:rPr>
        <w:t xml:space="preserve"> </w:t>
      </w:r>
      <w:r w:rsidRPr="00046BF4">
        <w:rPr>
          <w:color w:val="231F20"/>
          <w:spacing w:val="-2"/>
          <w:sz w:val="24"/>
          <w:szCs w:val="24"/>
        </w:rPr>
        <w:t>Police</w:t>
      </w:r>
      <w:r w:rsidRPr="00046BF4">
        <w:rPr>
          <w:color w:val="231F20"/>
          <w:spacing w:val="-14"/>
          <w:sz w:val="24"/>
          <w:szCs w:val="24"/>
        </w:rPr>
        <w:t xml:space="preserve"> </w:t>
      </w:r>
      <w:r w:rsidRPr="00046BF4">
        <w:rPr>
          <w:color w:val="231F20"/>
          <w:spacing w:val="-2"/>
          <w:sz w:val="24"/>
          <w:szCs w:val="24"/>
        </w:rPr>
        <w:t>officers</w:t>
      </w:r>
      <w:r w:rsidRPr="00046BF4">
        <w:rPr>
          <w:color w:val="231F20"/>
          <w:spacing w:val="-15"/>
          <w:sz w:val="24"/>
          <w:szCs w:val="24"/>
        </w:rPr>
        <w:t xml:space="preserve"> </w:t>
      </w:r>
      <w:r w:rsidRPr="00046BF4">
        <w:rPr>
          <w:color w:val="231F20"/>
          <w:spacing w:val="-2"/>
          <w:sz w:val="24"/>
          <w:szCs w:val="24"/>
        </w:rPr>
        <w:t>and</w:t>
      </w:r>
      <w:r w:rsidRPr="00046BF4">
        <w:rPr>
          <w:color w:val="231F20"/>
          <w:spacing w:val="-15"/>
          <w:sz w:val="24"/>
          <w:szCs w:val="24"/>
        </w:rPr>
        <w:t xml:space="preserve"> </w:t>
      </w:r>
      <w:r w:rsidRPr="00046BF4">
        <w:rPr>
          <w:color w:val="231F20"/>
          <w:spacing w:val="-2"/>
          <w:sz w:val="24"/>
          <w:szCs w:val="24"/>
        </w:rPr>
        <w:t>PSOs</w:t>
      </w:r>
      <w:r w:rsidRPr="00046BF4">
        <w:rPr>
          <w:color w:val="231F20"/>
          <w:spacing w:val="-14"/>
          <w:sz w:val="24"/>
          <w:szCs w:val="24"/>
        </w:rPr>
        <w:t xml:space="preserve"> </w:t>
      </w:r>
      <w:r w:rsidRPr="00046BF4">
        <w:rPr>
          <w:color w:val="231F20"/>
          <w:spacing w:val="-2"/>
          <w:sz w:val="24"/>
          <w:szCs w:val="24"/>
        </w:rPr>
        <w:t>are</w:t>
      </w:r>
      <w:r w:rsidRPr="00046BF4">
        <w:rPr>
          <w:color w:val="231F20"/>
          <w:spacing w:val="-15"/>
          <w:sz w:val="24"/>
          <w:szCs w:val="24"/>
        </w:rPr>
        <w:t xml:space="preserve"> </w:t>
      </w:r>
      <w:r w:rsidRPr="00046BF4">
        <w:rPr>
          <w:color w:val="231F20"/>
          <w:spacing w:val="-2"/>
          <w:sz w:val="24"/>
          <w:szCs w:val="24"/>
        </w:rPr>
        <w:t>governed</w:t>
      </w:r>
      <w:r w:rsidRPr="00046BF4">
        <w:rPr>
          <w:color w:val="231F20"/>
          <w:spacing w:val="-15"/>
          <w:sz w:val="24"/>
          <w:szCs w:val="24"/>
        </w:rPr>
        <w:t xml:space="preserve"> </w:t>
      </w:r>
      <w:r w:rsidRPr="00046BF4">
        <w:rPr>
          <w:color w:val="231F20"/>
          <w:spacing w:val="-2"/>
          <w:sz w:val="24"/>
          <w:szCs w:val="24"/>
        </w:rPr>
        <w:t>by</w:t>
      </w:r>
      <w:r w:rsidRPr="00046BF4">
        <w:rPr>
          <w:color w:val="231F20"/>
          <w:spacing w:val="-14"/>
          <w:sz w:val="24"/>
          <w:szCs w:val="24"/>
        </w:rPr>
        <w:t xml:space="preserve"> </w:t>
      </w:r>
      <w:r w:rsidRPr="00046BF4">
        <w:rPr>
          <w:color w:val="231F20"/>
          <w:spacing w:val="-2"/>
          <w:sz w:val="24"/>
          <w:szCs w:val="24"/>
        </w:rPr>
        <w:t>the</w:t>
      </w:r>
      <w:r w:rsidRPr="00046BF4">
        <w:rPr>
          <w:color w:val="231F20"/>
          <w:spacing w:val="-15"/>
          <w:sz w:val="24"/>
          <w:szCs w:val="24"/>
        </w:rPr>
        <w:t xml:space="preserve"> </w:t>
      </w:r>
      <w:r w:rsidRPr="00046BF4">
        <w:rPr>
          <w:i/>
          <w:color w:val="231F20"/>
          <w:spacing w:val="-2"/>
          <w:sz w:val="24"/>
          <w:szCs w:val="24"/>
        </w:rPr>
        <w:t>Victoria</w:t>
      </w:r>
      <w:r w:rsidRPr="00046BF4">
        <w:rPr>
          <w:i/>
          <w:color w:val="231F20"/>
          <w:spacing w:val="-15"/>
          <w:sz w:val="24"/>
          <w:szCs w:val="24"/>
        </w:rPr>
        <w:t xml:space="preserve"> </w:t>
      </w:r>
      <w:r w:rsidRPr="00046BF4">
        <w:rPr>
          <w:i/>
          <w:color w:val="231F20"/>
          <w:spacing w:val="-2"/>
          <w:sz w:val="24"/>
          <w:szCs w:val="24"/>
        </w:rPr>
        <w:t xml:space="preserve">Police </w:t>
      </w:r>
      <w:r w:rsidRPr="00046BF4">
        <w:rPr>
          <w:i/>
          <w:color w:val="231F20"/>
          <w:sz w:val="24"/>
          <w:szCs w:val="24"/>
        </w:rPr>
        <w:t>Act</w:t>
      </w:r>
      <w:r w:rsidRPr="00046BF4">
        <w:rPr>
          <w:i/>
          <w:color w:val="231F20"/>
          <w:spacing w:val="-12"/>
          <w:sz w:val="24"/>
          <w:szCs w:val="24"/>
        </w:rPr>
        <w:t xml:space="preserve"> </w:t>
      </w:r>
      <w:r w:rsidRPr="00046BF4">
        <w:rPr>
          <w:color w:val="231F20"/>
          <w:sz w:val="24"/>
          <w:szCs w:val="24"/>
        </w:rPr>
        <w:t>2013</w:t>
      </w:r>
      <w:r w:rsidRPr="00046BF4">
        <w:rPr>
          <w:color w:val="231F20"/>
          <w:spacing w:val="-5"/>
          <w:sz w:val="24"/>
          <w:szCs w:val="24"/>
        </w:rPr>
        <w:t xml:space="preserve"> </w:t>
      </w:r>
      <w:r w:rsidRPr="00046BF4">
        <w:rPr>
          <w:color w:val="231F20"/>
          <w:sz w:val="24"/>
          <w:szCs w:val="24"/>
        </w:rPr>
        <w:t>and</w:t>
      </w:r>
      <w:r w:rsidRPr="00046BF4">
        <w:rPr>
          <w:color w:val="231F20"/>
          <w:spacing w:val="-5"/>
          <w:sz w:val="24"/>
          <w:szCs w:val="24"/>
        </w:rPr>
        <w:t xml:space="preserve"> </w:t>
      </w:r>
      <w:r w:rsidRPr="00046BF4">
        <w:rPr>
          <w:color w:val="231F20"/>
          <w:sz w:val="24"/>
          <w:szCs w:val="24"/>
        </w:rPr>
        <w:t>Victoria</w:t>
      </w:r>
      <w:r w:rsidRPr="00046BF4">
        <w:rPr>
          <w:color w:val="231F20"/>
          <w:spacing w:val="-5"/>
          <w:sz w:val="24"/>
          <w:szCs w:val="24"/>
        </w:rPr>
        <w:t xml:space="preserve"> </w:t>
      </w:r>
      <w:r w:rsidRPr="00046BF4">
        <w:rPr>
          <w:color w:val="231F20"/>
          <w:sz w:val="24"/>
          <w:szCs w:val="24"/>
        </w:rPr>
        <w:t>Police</w:t>
      </w:r>
      <w:r w:rsidRPr="00046BF4">
        <w:rPr>
          <w:color w:val="231F20"/>
          <w:spacing w:val="-5"/>
          <w:sz w:val="24"/>
          <w:szCs w:val="24"/>
        </w:rPr>
        <w:t xml:space="preserve"> </w:t>
      </w:r>
      <w:r w:rsidRPr="00046BF4">
        <w:rPr>
          <w:color w:val="231F20"/>
          <w:sz w:val="24"/>
          <w:szCs w:val="24"/>
        </w:rPr>
        <w:t>Regulations</w:t>
      </w:r>
      <w:r w:rsidRPr="00046BF4">
        <w:rPr>
          <w:color w:val="231F20"/>
          <w:spacing w:val="-4"/>
          <w:sz w:val="24"/>
          <w:szCs w:val="24"/>
        </w:rPr>
        <w:t xml:space="preserve"> </w:t>
      </w:r>
      <w:r w:rsidRPr="00046BF4">
        <w:rPr>
          <w:color w:val="231F20"/>
          <w:sz w:val="24"/>
          <w:szCs w:val="24"/>
        </w:rPr>
        <w:t>2014.</w:t>
      </w:r>
      <w:r w:rsidRPr="00046BF4">
        <w:rPr>
          <w:color w:val="231F20"/>
          <w:spacing w:val="-4"/>
          <w:sz w:val="24"/>
          <w:szCs w:val="24"/>
        </w:rPr>
        <w:t xml:space="preserve"> </w:t>
      </w:r>
      <w:r w:rsidRPr="00046BF4">
        <w:rPr>
          <w:color w:val="231F20"/>
          <w:sz w:val="24"/>
          <w:szCs w:val="24"/>
        </w:rPr>
        <w:t>Similarly,</w:t>
      </w:r>
      <w:r w:rsidRPr="00046BF4">
        <w:rPr>
          <w:color w:val="231F20"/>
          <w:spacing w:val="-4"/>
          <w:sz w:val="24"/>
          <w:szCs w:val="24"/>
        </w:rPr>
        <w:t xml:space="preserve"> </w:t>
      </w:r>
      <w:r w:rsidRPr="00046BF4">
        <w:rPr>
          <w:color w:val="231F20"/>
          <w:sz w:val="24"/>
          <w:szCs w:val="24"/>
        </w:rPr>
        <w:t>our</w:t>
      </w:r>
      <w:r w:rsidRPr="00046BF4">
        <w:rPr>
          <w:color w:val="231F20"/>
          <w:spacing w:val="-4"/>
          <w:sz w:val="24"/>
          <w:szCs w:val="24"/>
        </w:rPr>
        <w:t xml:space="preserve"> </w:t>
      </w:r>
      <w:r w:rsidRPr="00046BF4">
        <w:rPr>
          <w:color w:val="231F20"/>
          <w:sz w:val="24"/>
          <w:szCs w:val="24"/>
        </w:rPr>
        <w:t>VPS</w:t>
      </w:r>
      <w:r w:rsidRPr="00046BF4">
        <w:rPr>
          <w:color w:val="231F20"/>
          <w:spacing w:val="-4"/>
          <w:sz w:val="24"/>
          <w:szCs w:val="24"/>
        </w:rPr>
        <w:t xml:space="preserve"> </w:t>
      </w:r>
      <w:r w:rsidRPr="00046BF4">
        <w:rPr>
          <w:color w:val="231F20"/>
          <w:sz w:val="24"/>
          <w:szCs w:val="24"/>
        </w:rPr>
        <w:t>employees</w:t>
      </w:r>
      <w:r w:rsidRPr="00046BF4">
        <w:rPr>
          <w:color w:val="231F20"/>
          <w:spacing w:val="-4"/>
          <w:sz w:val="24"/>
          <w:szCs w:val="24"/>
        </w:rPr>
        <w:t xml:space="preserve"> </w:t>
      </w:r>
      <w:r w:rsidRPr="00046BF4">
        <w:rPr>
          <w:color w:val="231F20"/>
          <w:sz w:val="24"/>
          <w:szCs w:val="24"/>
        </w:rPr>
        <w:t>(including</w:t>
      </w:r>
      <w:r w:rsidRPr="00046BF4">
        <w:rPr>
          <w:color w:val="231F20"/>
          <w:spacing w:val="-5"/>
          <w:sz w:val="24"/>
          <w:szCs w:val="24"/>
        </w:rPr>
        <w:t xml:space="preserve"> </w:t>
      </w:r>
      <w:r w:rsidRPr="00046BF4">
        <w:rPr>
          <w:color w:val="231F20"/>
          <w:sz w:val="24"/>
          <w:szCs w:val="24"/>
        </w:rPr>
        <w:t xml:space="preserve">PCOs) are governed by the </w:t>
      </w:r>
      <w:r w:rsidRPr="00046BF4">
        <w:rPr>
          <w:i/>
          <w:color w:val="231F20"/>
          <w:sz w:val="24"/>
          <w:szCs w:val="24"/>
        </w:rPr>
        <w:t>Public</w:t>
      </w:r>
      <w:r w:rsidRPr="00046BF4">
        <w:rPr>
          <w:i/>
          <w:color w:val="231F20"/>
          <w:spacing w:val="-8"/>
          <w:sz w:val="24"/>
          <w:szCs w:val="24"/>
        </w:rPr>
        <w:t xml:space="preserve"> </w:t>
      </w:r>
      <w:r w:rsidRPr="00046BF4">
        <w:rPr>
          <w:i/>
          <w:color w:val="231F20"/>
          <w:sz w:val="24"/>
          <w:szCs w:val="24"/>
        </w:rPr>
        <w:t>Administration</w:t>
      </w:r>
      <w:r w:rsidRPr="00046BF4">
        <w:rPr>
          <w:i/>
          <w:color w:val="231F20"/>
          <w:spacing w:val="-8"/>
          <w:sz w:val="24"/>
          <w:szCs w:val="24"/>
        </w:rPr>
        <w:t xml:space="preserve"> </w:t>
      </w:r>
      <w:r w:rsidRPr="00046BF4">
        <w:rPr>
          <w:i/>
          <w:color w:val="231F20"/>
          <w:sz w:val="24"/>
          <w:szCs w:val="24"/>
        </w:rPr>
        <w:t>Act</w:t>
      </w:r>
      <w:r w:rsidRPr="00046BF4">
        <w:rPr>
          <w:i/>
          <w:color w:val="231F20"/>
          <w:spacing w:val="-8"/>
          <w:sz w:val="24"/>
          <w:szCs w:val="24"/>
        </w:rPr>
        <w:t xml:space="preserve"> </w:t>
      </w:r>
      <w:r w:rsidRPr="00046BF4">
        <w:rPr>
          <w:color w:val="231F20"/>
          <w:sz w:val="24"/>
          <w:szCs w:val="24"/>
        </w:rPr>
        <w:t>2004.</w:t>
      </w:r>
    </w:p>
    <w:p w14:paraId="27CA5332" w14:textId="77777777" w:rsidR="00345EE3" w:rsidRPr="00046BF4" w:rsidRDefault="00345EE3" w:rsidP="00345EE3">
      <w:pPr>
        <w:pStyle w:val="BodyText"/>
        <w:spacing w:before="120" w:line="242" w:lineRule="auto"/>
        <w:ind w:right="921"/>
        <w:rPr>
          <w:sz w:val="24"/>
          <w:szCs w:val="24"/>
        </w:rPr>
      </w:pPr>
      <w:r w:rsidRPr="00046BF4">
        <w:rPr>
          <w:color w:val="231F20"/>
          <w:sz w:val="24"/>
          <w:szCs w:val="24"/>
        </w:rPr>
        <w:t>Both</w:t>
      </w:r>
      <w:r w:rsidRPr="00046BF4">
        <w:rPr>
          <w:color w:val="231F20"/>
          <w:spacing w:val="-9"/>
          <w:sz w:val="24"/>
          <w:szCs w:val="24"/>
        </w:rPr>
        <w:t xml:space="preserve"> </w:t>
      </w:r>
      <w:r w:rsidRPr="00046BF4">
        <w:rPr>
          <w:color w:val="231F20"/>
          <w:sz w:val="24"/>
          <w:szCs w:val="24"/>
        </w:rPr>
        <w:t>cohorts</w:t>
      </w:r>
      <w:r w:rsidRPr="00046BF4">
        <w:rPr>
          <w:color w:val="231F20"/>
          <w:spacing w:val="-8"/>
          <w:sz w:val="24"/>
          <w:szCs w:val="24"/>
        </w:rPr>
        <w:t xml:space="preserve"> </w:t>
      </w:r>
      <w:r w:rsidRPr="00046BF4">
        <w:rPr>
          <w:color w:val="231F20"/>
          <w:sz w:val="24"/>
          <w:szCs w:val="24"/>
        </w:rPr>
        <w:t>also</w:t>
      </w:r>
      <w:r w:rsidRPr="00046BF4">
        <w:rPr>
          <w:color w:val="231F20"/>
          <w:spacing w:val="-9"/>
          <w:sz w:val="24"/>
          <w:szCs w:val="24"/>
        </w:rPr>
        <w:t xml:space="preserve"> </w:t>
      </w:r>
      <w:r w:rsidRPr="00046BF4">
        <w:rPr>
          <w:color w:val="231F20"/>
          <w:sz w:val="24"/>
          <w:szCs w:val="24"/>
        </w:rPr>
        <w:t>have</w:t>
      </w:r>
      <w:r w:rsidRPr="00046BF4">
        <w:rPr>
          <w:color w:val="231F20"/>
          <w:spacing w:val="-9"/>
          <w:sz w:val="24"/>
          <w:szCs w:val="24"/>
        </w:rPr>
        <w:t xml:space="preserve"> </w:t>
      </w:r>
      <w:r w:rsidRPr="00046BF4">
        <w:rPr>
          <w:color w:val="231F20"/>
          <w:sz w:val="24"/>
          <w:szCs w:val="24"/>
        </w:rPr>
        <w:t>dedicated</w:t>
      </w:r>
      <w:r w:rsidRPr="00046BF4">
        <w:rPr>
          <w:color w:val="231F20"/>
          <w:spacing w:val="-9"/>
          <w:sz w:val="24"/>
          <w:szCs w:val="24"/>
        </w:rPr>
        <w:t xml:space="preserve"> </w:t>
      </w:r>
      <w:r w:rsidRPr="00046BF4">
        <w:rPr>
          <w:color w:val="231F20"/>
          <w:sz w:val="24"/>
          <w:szCs w:val="24"/>
        </w:rPr>
        <w:t>Enterprise</w:t>
      </w:r>
      <w:r w:rsidRPr="00046BF4">
        <w:rPr>
          <w:color w:val="231F20"/>
          <w:spacing w:val="-9"/>
          <w:sz w:val="24"/>
          <w:szCs w:val="24"/>
        </w:rPr>
        <w:t xml:space="preserve"> </w:t>
      </w:r>
      <w:r w:rsidRPr="00046BF4">
        <w:rPr>
          <w:color w:val="231F20"/>
          <w:sz w:val="24"/>
          <w:szCs w:val="24"/>
        </w:rPr>
        <w:t>Agreements:</w:t>
      </w:r>
      <w:r w:rsidRPr="00046BF4">
        <w:rPr>
          <w:color w:val="231F20"/>
          <w:spacing w:val="-8"/>
          <w:sz w:val="24"/>
          <w:szCs w:val="24"/>
        </w:rPr>
        <w:t xml:space="preserve"> </w:t>
      </w:r>
      <w:r w:rsidRPr="00046BF4">
        <w:rPr>
          <w:color w:val="231F20"/>
          <w:sz w:val="24"/>
          <w:szCs w:val="24"/>
        </w:rPr>
        <w:t>The</w:t>
      </w:r>
      <w:r w:rsidRPr="00046BF4">
        <w:rPr>
          <w:color w:val="231F20"/>
          <w:spacing w:val="-9"/>
          <w:sz w:val="24"/>
          <w:szCs w:val="24"/>
        </w:rPr>
        <w:t xml:space="preserve"> </w:t>
      </w:r>
      <w:r w:rsidRPr="00046BF4">
        <w:rPr>
          <w:color w:val="231F20"/>
          <w:sz w:val="24"/>
          <w:szCs w:val="24"/>
        </w:rPr>
        <w:t>Victoria</w:t>
      </w:r>
      <w:r w:rsidRPr="00046BF4">
        <w:rPr>
          <w:color w:val="231F20"/>
          <w:spacing w:val="-9"/>
          <w:sz w:val="24"/>
          <w:szCs w:val="24"/>
        </w:rPr>
        <w:t xml:space="preserve"> </w:t>
      </w:r>
      <w:r w:rsidRPr="00046BF4">
        <w:rPr>
          <w:color w:val="231F20"/>
          <w:sz w:val="24"/>
          <w:szCs w:val="24"/>
        </w:rPr>
        <w:t>Police</w:t>
      </w:r>
      <w:r w:rsidRPr="00046BF4">
        <w:rPr>
          <w:color w:val="231F20"/>
          <w:spacing w:val="-9"/>
          <w:sz w:val="24"/>
          <w:szCs w:val="24"/>
        </w:rPr>
        <w:t xml:space="preserve"> </w:t>
      </w:r>
      <w:r w:rsidRPr="00046BF4">
        <w:rPr>
          <w:color w:val="231F20"/>
          <w:sz w:val="24"/>
          <w:szCs w:val="24"/>
        </w:rPr>
        <w:t>(Police</w:t>
      </w:r>
      <w:r w:rsidRPr="00046BF4">
        <w:rPr>
          <w:color w:val="231F20"/>
          <w:spacing w:val="-9"/>
          <w:sz w:val="24"/>
          <w:szCs w:val="24"/>
        </w:rPr>
        <w:t xml:space="preserve"> </w:t>
      </w:r>
      <w:r w:rsidRPr="00046BF4">
        <w:rPr>
          <w:color w:val="231F20"/>
          <w:sz w:val="24"/>
          <w:szCs w:val="24"/>
        </w:rPr>
        <w:t>Officers, PSOs, Police Reservists and Police Recruits) Enterprise Agreement 2019; and the Victorian Public Service Enterprise Agreement 2020.</w:t>
      </w:r>
    </w:p>
    <w:p w14:paraId="17E66B3A" w14:textId="77777777" w:rsidR="00345EE3" w:rsidRPr="00046BF4" w:rsidRDefault="00345EE3" w:rsidP="00345EE3">
      <w:pPr>
        <w:pStyle w:val="BodyText"/>
        <w:spacing w:before="117" w:line="242" w:lineRule="auto"/>
        <w:ind w:right="921"/>
        <w:rPr>
          <w:sz w:val="24"/>
          <w:szCs w:val="24"/>
        </w:rPr>
      </w:pPr>
      <w:r w:rsidRPr="00046BF4">
        <w:rPr>
          <w:color w:val="231F20"/>
          <w:sz w:val="24"/>
          <w:szCs w:val="24"/>
        </w:rPr>
        <w:t>These</w:t>
      </w:r>
      <w:r w:rsidRPr="00046BF4">
        <w:rPr>
          <w:color w:val="231F20"/>
          <w:spacing w:val="-13"/>
          <w:sz w:val="24"/>
          <w:szCs w:val="24"/>
        </w:rPr>
        <w:t xml:space="preserve"> </w:t>
      </w:r>
      <w:r w:rsidRPr="00046BF4">
        <w:rPr>
          <w:color w:val="231F20"/>
          <w:sz w:val="24"/>
          <w:szCs w:val="24"/>
        </w:rPr>
        <w:t>agreements</w:t>
      </w:r>
      <w:r w:rsidRPr="00046BF4">
        <w:rPr>
          <w:color w:val="231F20"/>
          <w:spacing w:val="-13"/>
          <w:sz w:val="24"/>
          <w:szCs w:val="24"/>
        </w:rPr>
        <w:t xml:space="preserve"> </w:t>
      </w:r>
      <w:r w:rsidRPr="00046BF4">
        <w:rPr>
          <w:color w:val="231F20"/>
          <w:sz w:val="24"/>
          <w:szCs w:val="24"/>
        </w:rPr>
        <w:t>deliver</w:t>
      </w:r>
      <w:r w:rsidRPr="00046BF4">
        <w:rPr>
          <w:color w:val="231F20"/>
          <w:spacing w:val="-13"/>
          <w:sz w:val="24"/>
          <w:szCs w:val="24"/>
        </w:rPr>
        <w:t xml:space="preserve"> </w:t>
      </w:r>
      <w:r w:rsidRPr="00046BF4">
        <w:rPr>
          <w:color w:val="231F20"/>
          <w:sz w:val="24"/>
          <w:szCs w:val="24"/>
        </w:rPr>
        <w:t>industrial</w:t>
      </w:r>
      <w:r w:rsidRPr="00046BF4">
        <w:rPr>
          <w:color w:val="231F20"/>
          <w:spacing w:val="-13"/>
          <w:sz w:val="24"/>
          <w:szCs w:val="24"/>
        </w:rPr>
        <w:t xml:space="preserve"> </w:t>
      </w:r>
      <w:r w:rsidRPr="00046BF4">
        <w:rPr>
          <w:color w:val="231F20"/>
          <w:sz w:val="24"/>
          <w:szCs w:val="24"/>
        </w:rPr>
        <w:t>reforms</w:t>
      </w:r>
      <w:r w:rsidRPr="00046BF4">
        <w:rPr>
          <w:color w:val="231F20"/>
          <w:spacing w:val="-13"/>
          <w:sz w:val="24"/>
          <w:szCs w:val="24"/>
        </w:rPr>
        <w:t xml:space="preserve"> </w:t>
      </w:r>
      <w:r w:rsidRPr="00046BF4">
        <w:rPr>
          <w:color w:val="231F20"/>
          <w:sz w:val="24"/>
          <w:szCs w:val="24"/>
        </w:rPr>
        <w:t>and</w:t>
      </w:r>
      <w:r w:rsidRPr="00046BF4">
        <w:rPr>
          <w:color w:val="231F20"/>
          <w:spacing w:val="-13"/>
          <w:sz w:val="24"/>
          <w:szCs w:val="24"/>
        </w:rPr>
        <w:t xml:space="preserve"> </w:t>
      </w:r>
      <w:r w:rsidRPr="00046BF4">
        <w:rPr>
          <w:color w:val="231F20"/>
          <w:sz w:val="24"/>
          <w:szCs w:val="24"/>
        </w:rPr>
        <w:t>positive</w:t>
      </w:r>
      <w:r w:rsidRPr="00046BF4">
        <w:rPr>
          <w:color w:val="231F20"/>
          <w:spacing w:val="-13"/>
          <w:sz w:val="24"/>
          <w:szCs w:val="24"/>
        </w:rPr>
        <w:t xml:space="preserve"> </w:t>
      </w:r>
      <w:r w:rsidRPr="00046BF4">
        <w:rPr>
          <w:color w:val="231F20"/>
          <w:sz w:val="24"/>
          <w:szCs w:val="24"/>
        </w:rPr>
        <w:t>outcomes</w:t>
      </w:r>
      <w:r w:rsidRPr="00046BF4">
        <w:rPr>
          <w:color w:val="231F20"/>
          <w:spacing w:val="-13"/>
          <w:sz w:val="24"/>
          <w:szCs w:val="24"/>
        </w:rPr>
        <w:t xml:space="preserve"> </w:t>
      </w:r>
      <w:r w:rsidRPr="00046BF4">
        <w:rPr>
          <w:color w:val="231F20"/>
          <w:sz w:val="24"/>
          <w:szCs w:val="24"/>
        </w:rPr>
        <w:t>for</w:t>
      </w:r>
      <w:r w:rsidRPr="00046BF4">
        <w:rPr>
          <w:color w:val="231F20"/>
          <w:spacing w:val="-13"/>
          <w:sz w:val="24"/>
          <w:szCs w:val="24"/>
        </w:rPr>
        <w:t xml:space="preserve"> </w:t>
      </w:r>
      <w:r w:rsidRPr="00046BF4">
        <w:rPr>
          <w:color w:val="231F20"/>
          <w:sz w:val="24"/>
          <w:szCs w:val="24"/>
        </w:rPr>
        <w:t>all</w:t>
      </w:r>
      <w:r w:rsidRPr="00046BF4">
        <w:rPr>
          <w:color w:val="231F20"/>
          <w:spacing w:val="-13"/>
          <w:sz w:val="24"/>
          <w:szCs w:val="24"/>
        </w:rPr>
        <w:t xml:space="preserve"> </w:t>
      </w:r>
      <w:r w:rsidRPr="00046BF4">
        <w:rPr>
          <w:color w:val="231F20"/>
          <w:sz w:val="24"/>
          <w:szCs w:val="24"/>
        </w:rPr>
        <w:t>employees,</w:t>
      </w:r>
      <w:r w:rsidRPr="00046BF4">
        <w:rPr>
          <w:color w:val="231F20"/>
          <w:spacing w:val="-13"/>
          <w:sz w:val="24"/>
          <w:szCs w:val="24"/>
        </w:rPr>
        <w:t xml:space="preserve"> </w:t>
      </w:r>
      <w:r w:rsidRPr="00046BF4">
        <w:rPr>
          <w:color w:val="231F20"/>
          <w:sz w:val="24"/>
          <w:szCs w:val="24"/>
        </w:rPr>
        <w:t>including the continuation of projects and initiatives to enable efficiencies and improve the health and wellbeing of our people.</w:t>
      </w:r>
    </w:p>
    <w:p w14:paraId="7DAC3D2C" w14:textId="77777777" w:rsidR="00345EE3" w:rsidRDefault="00345EE3" w:rsidP="00345EE3">
      <w:pPr>
        <w:rPr>
          <w:color w:val="00529F"/>
          <w:sz w:val="32"/>
          <w:szCs w:val="32"/>
        </w:rPr>
      </w:pPr>
      <w:r>
        <w:rPr>
          <w:color w:val="00529F"/>
        </w:rPr>
        <w:br w:type="page"/>
      </w:r>
    </w:p>
    <w:p w14:paraId="53B3CE86" w14:textId="77777777" w:rsidR="00345EE3" w:rsidRPr="00046BF4" w:rsidRDefault="00345EE3" w:rsidP="00046BF4">
      <w:pPr>
        <w:pStyle w:val="Heading2"/>
        <w:spacing w:before="215"/>
        <w:rPr>
          <w:sz w:val="32"/>
          <w:szCs w:val="32"/>
        </w:rPr>
      </w:pPr>
      <w:r w:rsidRPr="00046BF4">
        <w:rPr>
          <w:color w:val="00529F"/>
          <w:sz w:val="32"/>
          <w:szCs w:val="32"/>
        </w:rPr>
        <w:lastRenderedPageBreak/>
        <w:t>2021–22</w:t>
      </w:r>
      <w:r w:rsidRPr="00046BF4">
        <w:rPr>
          <w:color w:val="00529F"/>
          <w:spacing w:val="-13"/>
          <w:sz w:val="32"/>
          <w:szCs w:val="32"/>
        </w:rPr>
        <w:t xml:space="preserve"> </w:t>
      </w:r>
      <w:r w:rsidRPr="00046BF4">
        <w:rPr>
          <w:color w:val="00529F"/>
          <w:sz w:val="32"/>
          <w:szCs w:val="32"/>
        </w:rPr>
        <w:t>Honours</w:t>
      </w:r>
      <w:r w:rsidRPr="00046BF4">
        <w:rPr>
          <w:color w:val="00529F"/>
          <w:spacing w:val="-13"/>
          <w:sz w:val="32"/>
          <w:szCs w:val="32"/>
        </w:rPr>
        <w:t xml:space="preserve"> </w:t>
      </w:r>
      <w:r w:rsidRPr="00046BF4">
        <w:rPr>
          <w:color w:val="00529F"/>
          <w:sz w:val="32"/>
          <w:szCs w:val="32"/>
        </w:rPr>
        <w:t>and</w:t>
      </w:r>
      <w:r w:rsidRPr="00046BF4">
        <w:rPr>
          <w:color w:val="00529F"/>
          <w:spacing w:val="-13"/>
          <w:sz w:val="32"/>
          <w:szCs w:val="32"/>
        </w:rPr>
        <w:t xml:space="preserve"> </w:t>
      </w:r>
      <w:r w:rsidRPr="00046BF4">
        <w:rPr>
          <w:color w:val="00529F"/>
          <w:spacing w:val="-2"/>
          <w:sz w:val="32"/>
          <w:szCs w:val="32"/>
        </w:rPr>
        <w:t>Awards</w:t>
      </w:r>
    </w:p>
    <w:p w14:paraId="3406C92A" w14:textId="77777777" w:rsidR="00345EE3" w:rsidRDefault="00345EE3" w:rsidP="00345EE3">
      <w:pPr>
        <w:pStyle w:val="BodyText"/>
        <w:spacing w:before="72" w:line="242" w:lineRule="auto"/>
        <w:ind w:right="848"/>
      </w:pPr>
      <w:r>
        <w:rPr>
          <w:color w:val="231F20"/>
        </w:rPr>
        <w:t>Victoria Police recognises and values special service by employees and the community in keeping</w:t>
      </w:r>
      <w:r>
        <w:rPr>
          <w:color w:val="231F20"/>
          <w:spacing w:val="-13"/>
        </w:rPr>
        <w:t xml:space="preserve"> </w:t>
      </w:r>
      <w:r>
        <w:rPr>
          <w:color w:val="231F20"/>
        </w:rPr>
        <w:t>Victoria</w:t>
      </w:r>
      <w:r>
        <w:rPr>
          <w:color w:val="231F20"/>
          <w:spacing w:val="-13"/>
        </w:rPr>
        <w:t xml:space="preserve"> </w:t>
      </w:r>
      <w:r>
        <w:rPr>
          <w:color w:val="231F20"/>
        </w:rPr>
        <w:t>safe.</w:t>
      </w:r>
      <w:r>
        <w:rPr>
          <w:color w:val="231F20"/>
          <w:spacing w:val="-12"/>
        </w:rPr>
        <w:t xml:space="preserve"> </w:t>
      </w:r>
      <w:r>
        <w:rPr>
          <w:color w:val="231F20"/>
        </w:rPr>
        <w:t>Various</w:t>
      </w:r>
      <w:r>
        <w:rPr>
          <w:color w:val="231F20"/>
          <w:spacing w:val="-12"/>
        </w:rPr>
        <w:t xml:space="preserve"> </w:t>
      </w:r>
      <w:r>
        <w:rPr>
          <w:color w:val="231F20"/>
        </w:rPr>
        <w:t>medals</w:t>
      </w:r>
      <w:r>
        <w:rPr>
          <w:color w:val="231F20"/>
          <w:spacing w:val="-12"/>
        </w:rPr>
        <w:t xml:space="preserve"> </w:t>
      </w:r>
      <w:r>
        <w:rPr>
          <w:color w:val="231F20"/>
        </w:rPr>
        <w:t>and</w:t>
      </w:r>
      <w:r>
        <w:rPr>
          <w:color w:val="231F20"/>
          <w:spacing w:val="-13"/>
        </w:rPr>
        <w:t xml:space="preserve"> </w:t>
      </w:r>
      <w:r>
        <w:rPr>
          <w:color w:val="231F20"/>
        </w:rPr>
        <w:t>awards</w:t>
      </w:r>
      <w:r>
        <w:rPr>
          <w:color w:val="231F20"/>
          <w:spacing w:val="-12"/>
        </w:rPr>
        <w:t xml:space="preserve"> </w:t>
      </w:r>
      <w:r>
        <w:rPr>
          <w:color w:val="231F20"/>
        </w:rPr>
        <w:t>are</w:t>
      </w:r>
      <w:r>
        <w:rPr>
          <w:color w:val="231F20"/>
          <w:spacing w:val="-13"/>
        </w:rPr>
        <w:t xml:space="preserve"> </w:t>
      </w:r>
      <w:r>
        <w:rPr>
          <w:color w:val="231F20"/>
        </w:rPr>
        <w:t>bestowed</w:t>
      </w:r>
      <w:r>
        <w:rPr>
          <w:color w:val="231F20"/>
          <w:spacing w:val="-13"/>
        </w:rPr>
        <w:t xml:space="preserve"> </w:t>
      </w:r>
      <w:r>
        <w:rPr>
          <w:color w:val="231F20"/>
        </w:rPr>
        <w:t>upon</w:t>
      </w:r>
      <w:r>
        <w:rPr>
          <w:color w:val="231F20"/>
          <w:spacing w:val="-13"/>
        </w:rPr>
        <w:t xml:space="preserve"> </w:t>
      </w:r>
      <w:r>
        <w:rPr>
          <w:color w:val="231F20"/>
        </w:rPr>
        <w:t>Victoria</w:t>
      </w:r>
      <w:r>
        <w:rPr>
          <w:color w:val="231F20"/>
          <w:spacing w:val="-13"/>
        </w:rPr>
        <w:t xml:space="preserve"> </w:t>
      </w:r>
      <w:r>
        <w:rPr>
          <w:color w:val="231F20"/>
        </w:rPr>
        <w:t>Police</w:t>
      </w:r>
      <w:r>
        <w:rPr>
          <w:color w:val="231F20"/>
          <w:spacing w:val="-13"/>
        </w:rPr>
        <w:t xml:space="preserve"> </w:t>
      </w:r>
      <w:r>
        <w:rPr>
          <w:color w:val="231F20"/>
        </w:rPr>
        <w:t>employees, and</w:t>
      </w:r>
      <w:r>
        <w:rPr>
          <w:color w:val="231F20"/>
          <w:spacing w:val="-2"/>
        </w:rPr>
        <w:t xml:space="preserve"> </w:t>
      </w:r>
      <w:r>
        <w:rPr>
          <w:color w:val="231F20"/>
        </w:rPr>
        <w:t>there</w:t>
      </w:r>
      <w:r>
        <w:rPr>
          <w:color w:val="231F20"/>
          <w:spacing w:val="-2"/>
        </w:rPr>
        <w:t xml:space="preserve"> </w:t>
      </w:r>
      <w:r>
        <w:rPr>
          <w:color w:val="231F20"/>
        </w:rPr>
        <w:t>is</w:t>
      </w:r>
      <w:r>
        <w:rPr>
          <w:color w:val="231F20"/>
          <w:spacing w:val="-1"/>
        </w:rPr>
        <w:t xml:space="preserve"> </w:t>
      </w:r>
      <w:r>
        <w:rPr>
          <w:color w:val="231F20"/>
        </w:rPr>
        <w:t>a</w:t>
      </w:r>
      <w:r>
        <w:rPr>
          <w:color w:val="231F20"/>
          <w:spacing w:val="-2"/>
        </w:rPr>
        <w:t xml:space="preserve"> </w:t>
      </w:r>
      <w:r>
        <w:rPr>
          <w:color w:val="231F20"/>
        </w:rPr>
        <w:t>series</w:t>
      </w:r>
      <w:r>
        <w:rPr>
          <w:color w:val="231F20"/>
          <w:spacing w:val="-1"/>
        </w:rPr>
        <w:t xml:space="preserve"> </w:t>
      </w:r>
      <w:r>
        <w:rPr>
          <w:color w:val="231F20"/>
        </w:rPr>
        <w:t>of</w:t>
      </w:r>
      <w:r>
        <w:rPr>
          <w:color w:val="231F20"/>
          <w:spacing w:val="-1"/>
        </w:rPr>
        <w:t xml:space="preserve"> </w:t>
      </w:r>
      <w:r>
        <w:rPr>
          <w:color w:val="231F20"/>
        </w:rPr>
        <w:t>awards</w:t>
      </w:r>
      <w:r>
        <w:rPr>
          <w:color w:val="231F20"/>
          <w:spacing w:val="-1"/>
        </w:rPr>
        <w:t xml:space="preserve"> </w:t>
      </w:r>
      <w:r>
        <w:rPr>
          <w:color w:val="231F20"/>
        </w:rPr>
        <w:t>available</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community</w:t>
      </w:r>
      <w:r>
        <w:rPr>
          <w:color w:val="231F20"/>
          <w:spacing w:val="-1"/>
        </w:rPr>
        <w:t xml:space="preserve"> </w:t>
      </w:r>
      <w:r>
        <w:rPr>
          <w:color w:val="231F20"/>
        </w:rPr>
        <w:t>for</w:t>
      </w:r>
      <w:r>
        <w:rPr>
          <w:color w:val="231F20"/>
          <w:spacing w:val="-1"/>
        </w:rPr>
        <w:t xml:space="preserve"> </w:t>
      </w:r>
      <w:r>
        <w:rPr>
          <w:color w:val="231F20"/>
        </w:rPr>
        <w:t>assisting</w:t>
      </w:r>
      <w:r>
        <w:rPr>
          <w:color w:val="231F20"/>
          <w:spacing w:val="-2"/>
        </w:rPr>
        <w:t xml:space="preserve"> </w:t>
      </w:r>
      <w:r>
        <w:rPr>
          <w:color w:val="231F20"/>
        </w:rPr>
        <w:t>Victoria</w:t>
      </w:r>
      <w:r>
        <w:rPr>
          <w:color w:val="231F20"/>
          <w:spacing w:val="-2"/>
        </w:rPr>
        <w:t xml:space="preserve"> </w:t>
      </w:r>
      <w:r>
        <w:rPr>
          <w:color w:val="231F20"/>
        </w:rPr>
        <w:t>Police.</w:t>
      </w:r>
      <w:r>
        <w:rPr>
          <w:color w:val="231F20"/>
          <w:spacing w:val="-1"/>
        </w:rPr>
        <w:t xml:space="preserve"> </w:t>
      </w:r>
      <w:r>
        <w:rPr>
          <w:color w:val="231F20"/>
        </w:rPr>
        <w:t>In</w:t>
      </w:r>
      <w:r>
        <w:rPr>
          <w:color w:val="231F20"/>
          <w:spacing w:val="-2"/>
        </w:rPr>
        <w:t xml:space="preserve"> </w:t>
      </w:r>
      <w:r>
        <w:rPr>
          <w:color w:val="231F20"/>
        </w:rPr>
        <w:t>2021– 22, 32 Victoria Police employees and two community members received an award or honour. A list of individuals who were presented with Victoria Police honours and awards in 2021–22 can be found in Appendix C.</w:t>
      </w:r>
    </w:p>
    <w:p w14:paraId="03602BF9" w14:textId="77777777" w:rsidR="00345EE3" w:rsidRPr="00046BF4" w:rsidRDefault="00345EE3" w:rsidP="00046BF4">
      <w:pPr>
        <w:pStyle w:val="Heading2"/>
        <w:spacing w:before="215"/>
        <w:rPr>
          <w:sz w:val="32"/>
          <w:szCs w:val="32"/>
        </w:rPr>
      </w:pPr>
      <w:r w:rsidRPr="00046BF4">
        <w:rPr>
          <w:color w:val="00529F"/>
          <w:sz w:val="32"/>
          <w:szCs w:val="32"/>
        </w:rPr>
        <w:t>Occupational</w:t>
      </w:r>
      <w:r w:rsidRPr="00046BF4">
        <w:rPr>
          <w:color w:val="00529F"/>
          <w:spacing w:val="-16"/>
          <w:sz w:val="32"/>
          <w:szCs w:val="32"/>
        </w:rPr>
        <w:t xml:space="preserve"> </w:t>
      </w:r>
      <w:r w:rsidRPr="00046BF4">
        <w:rPr>
          <w:color w:val="00529F"/>
          <w:sz w:val="32"/>
          <w:szCs w:val="32"/>
        </w:rPr>
        <w:t>Health,</w:t>
      </w:r>
      <w:r w:rsidRPr="00046BF4">
        <w:rPr>
          <w:color w:val="00529F"/>
          <w:spacing w:val="-14"/>
          <w:sz w:val="32"/>
          <w:szCs w:val="32"/>
        </w:rPr>
        <w:t xml:space="preserve"> </w:t>
      </w:r>
      <w:r w:rsidRPr="00046BF4">
        <w:rPr>
          <w:color w:val="00529F"/>
          <w:sz w:val="32"/>
          <w:szCs w:val="32"/>
        </w:rPr>
        <w:t>Safety</w:t>
      </w:r>
      <w:r w:rsidRPr="00046BF4">
        <w:rPr>
          <w:color w:val="00529F"/>
          <w:spacing w:val="-14"/>
          <w:sz w:val="32"/>
          <w:szCs w:val="32"/>
        </w:rPr>
        <w:t xml:space="preserve"> </w:t>
      </w:r>
      <w:r w:rsidRPr="00046BF4">
        <w:rPr>
          <w:color w:val="00529F"/>
          <w:sz w:val="32"/>
          <w:szCs w:val="32"/>
        </w:rPr>
        <w:t>and</w:t>
      </w:r>
      <w:r w:rsidRPr="00046BF4">
        <w:rPr>
          <w:color w:val="00529F"/>
          <w:spacing w:val="-13"/>
          <w:sz w:val="32"/>
          <w:szCs w:val="32"/>
        </w:rPr>
        <w:t xml:space="preserve"> </w:t>
      </w:r>
      <w:r w:rsidRPr="00046BF4">
        <w:rPr>
          <w:color w:val="00529F"/>
          <w:spacing w:val="-2"/>
          <w:sz w:val="32"/>
          <w:szCs w:val="32"/>
        </w:rPr>
        <w:t>Wellbeing</w:t>
      </w:r>
    </w:p>
    <w:p w14:paraId="1B83AF86" w14:textId="77777777" w:rsidR="00345EE3" w:rsidRPr="00087AF4" w:rsidRDefault="00345EE3" w:rsidP="002A27BA">
      <w:pPr>
        <w:pStyle w:val="Heading3"/>
      </w:pPr>
      <w:r w:rsidRPr="00087AF4">
        <w:t>Summary</w:t>
      </w:r>
    </w:p>
    <w:p w14:paraId="25F166C5" w14:textId="77777777" w:rsidR="00345EE3" w:rsidRPr="00046BF4" w:rsidRDefault="00345EE3" w:rsidP="00345EE3">
      <w:pPr>
        <w:pStyle w:val="BodyText"/>
        <w:spacing w:before="52" w:line="242" w:lineRule="auto"/>
        <w:ind w:right="848"/>
        <w:rPr>
          <w:sz w:val="24"/>
          <w:szCs w:val="24"/>
        </w:rPr>
      </w:pPr>
      <w:r w:rsidRPr="00046BF4">
        <w:rPr>
          <w:color w:val="231F20"/>
          <w:sz w:val="24"/>
          <w:szCs w:val="24"/>
        </w:rPr>
        <w:t>Victoria Police is committed to providing a safe and healthy workplace for all employees that is free</w:t>
      </w:r>
      <w:r w:rsidRPr="00046BF4">
        <w:rPr>
          <w:color w:val="231F20"/>
          <w:spacing w:val="-10"/>
          <w:sz w:val="24"/>
          <w:szCs w:val="24"/>
        </w:rPr>
        <w:t xml:space="preserve"> </w:t>
      </w:r>
      <w:r w:rsidRPr="00046BF4">
        <w:rPr>
          <w:color w:val="231F20"/>
          <w:sz w:val="24"/>
          <w:szCs w:val="24"/>
        </w:rPr>
        <w:t>from</w:t>
      </w:r>
      <w:r w:rsidRPr="00046BF4">
        <w:rPr>
          <w:color w:val="231F20"/>
          <w:spacing w:val="-9"/>
          <w:sz w:val="24"/>
          <w:szCs w:val="24"/>
        </w:rPr>
        <w:t xml:space="preserve"> </w:t>
      </w:r>
      <w:r w:rsidRPr="00046BF4">
        <w:rPr>
          <w:color w:val="231F20"/>
          <w:sz w:val="24"/>
          <w:szCs w:val="24"/>
        </w:rPr>
        <w:t>physical</w:t>
      </w:r>
      <w:r w:rsidRPr="00046BF4">
        <w:rPr>
          <w:color w:val="231F20"/>
          <w:spacing w:val="-10"/>
          <w:sz w:val="24"/>
          <w:szCs w:val="24"/>
        </w:rPr>
        <w:t xml:space="preserve"> </w:t>
      </w:r>
      <w:r w:rsidRPr="00046BF4">
        <w:rPr>
          <w:color w:val="231F20"/>
          <w:sz w:val="24"/>
          <w:szCs w:val="24"/>
        </w:rPr>
        <w:t>and</w:t>
      </w:r>
      <w:r w:rsidRPr="00046BF4">
        <w:rPr>
          <w:color w:val="231F20"/>
          <w:spacing w:val="-10"/>
          <w:sz w:val="24"/>
          <w:szCs w:val="24"/>
        </w:rPr>
        <w:t xml:space="preserve"> </w:t>
      </w:r>
      <w:r w:rsidRPr="00046BF4">
        <w:rPr>
          <w:color w:val="231F20"/>
          <w:sz w:val="24"/>
          <w:szCs w:val="24"/>
        </w:rPr>
        <w:t>psychological</w:t>
      </w:r>
      <w:r w:rsidRPr="00046BF4">
        <w:rPr>
          <w:color w:val="231F20"/>
          <w:spacing w:val="-10"/>
          <w:sz w:val="24"/>
          <w:szCs w:val="24"/>
        </w:rPr>
        <w:t xml:space="preserve"> </w:t>
      </w:r>
      <w:r w:rsidRPr="00046BF4">
        <w:rPr>
          <w:color w:val="231F20"/>
          <w:sz w:val="24"/>
          <w:szCs w:val="24"/>
        </w:rPr>
        <w:t>harm.</w:t>
      </w:r>
      <w:r w:rsidRPr="00046BF4">
        <w:rPr>
          <w:color w:val="231F20"/>
          <w:spacing w:val="-9"/>
          <w:sz w:val="24"/>
          <w:szCs w:val="24"/>
        </w:rPr>
        <w:t xml:space="preserve"> </w:t>
      </w:r>
      <w:r w:rsidRPr="00046BF4">
        <w:rPr>
          <w:color w:val="231F20"/>
          <w:sz w:val="24"/>
          <w:szCs w:val="24"/>
        </w:rPr>
        <w:t>A</w:t>
      </w:r>
      <w:r w:rsidRPr="00046BF4">
        <w:rPr>
          <w:color w:val="231F20"/>
          <w:spacing w:val="-9"/>
          <w:sz w:val="24"/>
          <w:szCs w:val="24"/>
        </w:rPr>
        <w:t xml:space="preserve"> </w:t>
      </w:r>
      <w:r w:rsidRPr="00046BF4">
        <w:rPr>
          <w:color w:val="231F20"/>
          <w:sz w:val="24"/>
          <w:szCs w:val="24"/>
        </w:rPr>
        <w:t>healthy</w:t>
      </w:r>
      <w:r w:rsidRPr="00046BF4">
        <w:rPr>
          <w:color w:val="231F20"/>
          <w:spacing w:val="-9"/>
          <w:sz w:val="24"/>
          <w:szCs w:val="24"/>
        </w:rPr>
        <w:t xml:space="preserve"> </w:t>
      </w:r>
      <w:r w:rsidRPr="00046BF4">
        <w:rPr>
          <w:color w:val="231F20"/>
          <w:sz w:val="24"/>
          <w:szCs w:val="24"/>
        </w:rPr>
        <w:t>workforce</w:t>
      </w:r>
      <w:r w:rsidRPr="00046BF4">
        <w:rPr>
          <w:color w:val="231F20"/>
          <w:spacing w:val="-10"/>
          <w:sz w:val="24"/>
          <w:szCs w:val="24"/>
        </w:rPr>
        <w:t xml:space="preserve"> </w:t>
      </w:r>
      <w:r w:rsidRPr="00046BF4">
        <w:rPr>
          <w:color w:val="231F20"/>
          <w:sz w:val="24"/>
          <w:szCs w:val="24"/>
        </w:rPr>
        <w:t>is</w:t>
      </w:r>
      <w:r w:rsidRPr="00046BF4">
        <w:rPr>
          <w:color w:val="231F20"/>
          <w:spacing w:val="-9"/>
          <w:sz w:val="24"/>
          <w:szCs w:val="24"/>
        </w:rPr>
        <w:t xml:space="preserve"> </w:t>
      </w:r>
      <w:r w:rsidRPr="00046BF4">
        <w:rPr>
          <w:color w:val="231F20"/>
          <w:sz w:val="24"/>
          <w:szCs w:val="24"/>
        </w:rPr>
        <w:t>productive</w:t>
      </w:r>
      <w:r w:rsidRPr="00046BF4">
        <w:rPr>
          <w:color w:val="231F20"/>
          <w:spacing w:val="-10"/>
          <w:sz w:val="24"/>
          <w:szCs w:val="24"/>
        </w:rPr>
        <w:t xml:space="preserve"> </w:t>
      </w:r>
      <w:r w:rsidRPr="00046BF4">
        <w:rPr>
          <w:color w:val="231F20"/>
          <w:sz w:val="24"/>
          <w:szCs w:val="24"/>
        </w:rPr>
        <w:t>and</w:t>
      </w:r>
      <w:r w:rsidRPr="00046BF4">
        <w:rPr>
          <w:color w:val="231F20"/>
          <w:spacing w:val="-10"/>
          <w:sz w:val="24"/>
          <w:szCs w:val="24"/>
        </w:rPr>
        <w:t xml:space="preserve"> </w:t>
      </w:r>
      <w:r w:rsidRPr="00046BF4">
        <w:rPr>
          <w:color w:val="231F20"/>
          <w:sz w:val="24"/>
          <w:szCs w:val="24"/>
        </w:rPr>
        <w:t>resilient,</w:t>
      </w:r>
      <w:r w:rsidRPr="00046BF4">
        <w:rPr>
          <w:color w:val="231F20"/>
          <w:spacing w:val="-9"/>
          <w:sz w:val="24"/>
          <w:szCs w:val="24"/>
        </w:rPr>
        <w:t xml:space="preserve"> </w:t>
      </w:r>
      <w:r w:rsidRPr="00046BF4">
        <w:rPr>
          <w:color w:val="231F20"/>
          <w:sz w:val="24"/>
          <w:szCs w:val="24"/>
        </w:rPr>
        <w:t>which translates to better service delivery to the community we serve.</w:t>
      </w:r>
    </w:p>
    <w:p w14:paraId="39006B29" w14:textId="77777777" w:rsidR="00345EE3" w:rsidRPr="00046BF4" w:rsidRDefault="00345EE3" w:rsidP="00345EE3">
      <w:pPr>
        <w:pStyle w:val="BodyText"/>
        <w:spacing w:before="118"/>
        <w:rPr>
          <w:sz w:val="24"/>
          <w:szCs w:val="24"/>
        </w:rPr>
      </w:pPr>
      <w:r w:rsidRPr="00046BF4">
        <w:rPr>
          <w:color w:val="231F20"/>
          <w:sz w:val="24"/>
          <w:szCs w:val="24"/>
        </w:rPr>
        <w:t>Our</w:t>
      </w:r>
      <w:r w:rsidRPr="00046BF4">
        <w:rPr>
          <w:color w:val="231F20"/>
          <w:spacing w:val="-10"/>
          <w:sz w:val="24"/>
          <w:szCs w:val="24"/>
        </w:rPr>
        <w:t xml:space="preserve"> </w:t>
      </w:r>
      <w:r w:rsidRPr="00046BF4">
        <w:rPr>
          <w:color w:val="231F20"/>
          <w:sz w:val="24"/>
          <w:szCs w:val="24"/>
        </w:rPr>
        <w:t>key</w:t>
      </w:r>
      <w:r w:rsidRPr="00046BF4">
        <w:rPr>
          <w:color w:val="231F20"/>
          <w:spacing w:val="-7"/>
          <w:sz w:val="24"/>
          <w:szCs w:val="24"/>
        </w:rPr>
        <w:t xml:space="preserve"> </w:t>
      </w:r>
      <w:r w:rsidRPr="00046BF4">
        <w:rPr>
          <w:color w:val="231F20"/>
          <w:sz w:val="24"/>
          <w:szCs w:val="24"/>
        </w:rPr>
        <w:t>focus</w:t>
      </w:r>
      <w:r w:rsidRPr="00046BF4">
        <w:rPr>
          <w:color w:val="231F20"/>
          <w:spacing w:val="-8"/>
          <w:sz w:val="24"/>
          <w:szCs w:val="24"/>
        </w:rPr>
        <w:t xml:space="preserve"> </w:t>
      </w:r>
      <w:r w:rsidRPr="00046BF4">
        <w:rPr>
          <w:color w:val="231F20"/>
          <w:sz w:val="24"/>
          <w:szCs w:val="24"/>
        </w:rPr>
        <w:t>to</w:t>
      </w:r>
      <w:r w:rsidRPr="00046BF4">
        <w:rPr>
          <w:color w:val="231F20"/>
          <w:spacing w:val="-8"/>
          <w:sz w:val="24"/>
          <w:szCs w:val="24"/>
        </w:rPr>
        <w:t xml:space="preserve"> </w:t>
      </w:r>
      <w:r w:rsidRPr="00046BF4">
        <w:rPr>
          <w:color w:val="231F20"/>
          <w:sz w:val="24"/>
          <w:szCs w:val="24"/>
        </w:rPr>
        <w:t>achieve</w:t>
      </w:r>
      <w:r w:rsidRPr="00046BF4">
        <w:rPr>
          <w:color w:val="231F20"/>
          <w:spacing w:val="-9"/>
          <w:sz w:val="24"/>
          <w:szCs w:val="24"/>
        </w:rPr>
        <w:t xml:space="preserve"> </w:t>
      </w:r>
      <w:r w:rsidRPr="00046BF4">
        <w:rPr>
          <w:color w:val="231F20"/>
          <w:sz w:val="24"/>
          <w:szCs w:val="24"/>
        </w:rPr>
        <w:t>a</w:t>
      </w:r>
      <w:r w:rsidRPr="00046BF4">
        <w:rPr>
          <w:color w:val="231F20"/>
          <w:spacing w:val="-8"/>
          <w:sz w:val="24"/>
          <w:szCs w:val="24"/>
        </w:rPr>
        <w:t xml:space="preserve"> </w:t>
      </w:r>
      <w:r w:rsidRPr="00046BF4">
        <w:rPr>
          <w:color w:val="231F20"/>
          <w:sz w:val="24"/>
          <w:szCs w:val="24"/>
        </w:rPr>
        <w:t>safe</w:t>
      </w:r>
      <w:r w:rsidRPr="00046BF4">
        <w:rPr>
          <w:color w:val="231F20"/>
          <w:spacing w:val="-8"/>
          <w:sz w:val="24"/>
          <w:szCs w:val="24"/>
        </w:rPr>
        <w:t xml:space="preserve"> </w:t>
      </w:r>
      <w:r w:rsidRPr="00046BF4">
        <w:rPr>
          <w:color w:val="231F20"/>
          <w:sz w:val="24"/>
          <w:szCs w:val="24"/>
        </w:rPr>
        <w:t>and</w:t>
      </w:r>
      <w:r w:rsidRPr="00046BF4">
        <w:rPr>
          <w:color w:val="231F20"/>
          <w:spacing w:val="-9"/>
          <w:sz w:val="24"/>
          <w:szCs w:val="24"/>
        </w:rPr>
        <w:t xml:space="preserve"> </w:t>
      </w:r>
      <w:r w:rsidRPr="00046BF4">
        <w:rPr>
          <w:color w:val="231F20"/>
          <w:sz w:val="24"/>
          <w:szCs w:val="24"/>
        </w:rPr>
        <w:t>healthy</w:t>
      </w:r>
      <w:r w:rsidRPr="00046BF4">
        <w:rPr>
          <w:color w:val="231F20"/>
          <w:spacing w:val="-7"/>
          <w:sz w:val="24"/>
          <w:szCs w:val="24"/>
        </w:rPr>
        <w:t xml:space="preserve"> </w:t>
      </w:r>
      <w:r w:rsidRPr="00046BF4">
        <w:rPr>
          <w:color w:val="231F20"/>
          <w:sz w:val="24"/>
          <w:szCs w:val="24"/>
        </w:rPr>
        <w:t>workforce</w:t>
      </w:r>
      <w:r w:rsidRPr="00046BF4">
        <w:rPr>
          <w:color w:val="231F20"/>
          <w:spacing w:val="-8"/>
          <w:sz w:val="24"/>
          <w:szCs w:val="24"/>
        </w:rPr>
        <w:t xml:space="preserve"> </w:t>
      </w:r>
      <w:r w:rsidRPr="00046BF4">
        <w:rPr>
          <w:color w:val="231F20"/>
          <w:spacing w:val="-2"/>
          <w:sz w:val="24"/>
          <w:szCs w:val="24"/>
        </w:rPr>
        <w:t>includes:</w:t>
      </w:r>
    </w:p>
    <w:p w14:paraId="601BC455" w14:textId="77777777" w:rsidR="00345EE3" w:rsidRPr="00046BF4" w:rsidRDefault="00345EE3">
      <w:pPr>
        <w:pStyle w:val="ListParagraph"/>
        <w:numPr>
          <w:ilvl w:val="0"/>
          <w:numId w:val="91"/>
        </w:numPr>
        <w:tabs>
          <w:tab w:val="left" w:pos="393"/>
          <w:tab w:val="left" w:pos="394"/>
        </w:tabs>
        <w:spacing w:line="242" w:lineRule="auto"/>
        <w:ind w:right="887"/>
        <w:rPr>
          <w:sz w:val="24"/>
          <w:szCs w:val="24"/>
        </w:rPr>
      </w:pPr>
      <w:r w:rsidRPr="00046BF4">
        <w:rPr>
          <w:color w:val="231F20"/>
          <w:sz w:val="24"/>
          <w:szCs w:val="24"/>
        </w:rPr>
        <w:t>Embedding</w:t>
      </w:r>
      <w:r w:rsidRPr="00046BF4">
        <w:rPr>
          <w:color w:val="231F20"/>
          <w:spacing w:val="-11"/>
          <w:sz w:val="24"/>
          <w:szCs w:val="24"/>
        </w:rPr>
        <w:t xml:space="preserve"> </w:t>
      </w:r>
      <w:r w:rsidRPr="00046BF4">
        <w:rPr>
          <w:color w:val="231F20"/>
          <w:sz w:val="24"/>
          <w:szCs w:val="24"/>
        </w:rPr>
        <w:t>a</w:t>
      </w:r>
      <w:r w:rsidRPr="00046BF4">
        <w:rPr>
          <w:color w:val="231F20"/>
          <w:spacing w:val="-11"/>
          <w:sz w:val="24"/>
          <w:szCs w:val="24"/>
        </w:rPr>
        <w:t xml:space="preserve"> </w:t>
      </w:r>
      <w:r w:rsidRPr="00046BF4">
        <w:rPr>
          <w:color w:val="231F20"/>
          <w:sz w:val="24"/>
          <w:szCs w:val="24"/>
        </w:rPr>
        <w:t>safety</w:t>
      </w:r>
      <w:r w:rsidRPr="00046BF4">
        <w:rPr>
          <w:color w:val="231F20"/>
          <w:spacing w:val="-10"/>
          <w:sz w:val="24"/>
          <w:szCs w:val="24"/>
        </w:rPr>
        <w:t xml:space="preserve"> </w:t>
      </w:r>
      <w:r w:rsidRPr="00046BF4">
        <w:rPr>
          <w:color w:val="231F20"/>
          <w:sz w:val="24"/>
          <w:szCs w:val="24"/>
        </w:rPr>
        <w:t>culture</w:t>
      </w:r>
      <w:r w:rsidRPr="00046BF4">
        <w:rPr>
          <w:color w:val="231F20"/>
          <w:spacing w:val="-11"/>
          <w:sz w:val="24"/>
          <w:szCs w:val="24"/>
        </w:rPr>
        <w:t xml:space="preserve"> </w:t>
      </w:r>
      <w:r w:rsidRPr="00046BF4">
        <w:rPr>
          <w:color w:val="231F20"/>
          <w:sz w:val="24"/>
          <w:szCs w:val="24"/>
        </w:rPr>
        <w:t>across</w:t>
      </w:r>
      <w:r w:rsidRPr="00046BF4">
        <w:rPr>
          <w:color w:val="231F20"/>
          <w:spacing w:val="-10"/>
          <w:sz w:val="24"/>
          <w:szCs w:val="24"/>
        </w:rPr>
        <w:t xml:space="preserve"> </w:t>
      </w:r>
      <w:r w:rsidRPr="00046BF4">
        <w:rPr>
          <w:color w:val="231F20"/>
          <w:sz w:val="24"/>
          <w:szCs w:val="24"/>
        </w:rPr>
        <w:t>all</w:t>
      </w:r>
      <w:r w:rsidRPr="00046BF4">
        <w:rPr>
          <w:color w:val="231F20"/>
          <w:spacing w:val="-11"/>
          <w:sz w:val="24"/>
          <w:szCs w:val="24"/>
        </w:rPr>
        <w:t xml:space="preserve"> </w:t>
      </w:r>
      <w:r w:rsidRPr="00046BF4">
        <w:rPr>
          <w:color w:val="231F20"/>
          <w:sz w:val="24"/>
          <w:szCs w:val="24"/>
        </w:rPr>
        <w:t>levels</w:t>
      </w:r>
      <w:r w:rsidRPr="00046BF4">
        <w:rPr>
          <w:color w:val="231F20"/>
          <w:spacing w:val="-10"/>
          <w:sz w:val="24"/>
          <w:szCs w:val="24"/>
        </w:rPr>
        <w:t xml:space="preserve"> </w:t>
      </w:r>
      <w:r w:rsidRPr="00046BF4">
        <w:rPr>
          <w:color w:val="231F20"/>
          <w:sz w:val="24"/>
          <w:szCs w:val="24"/>
        </w:rPr>
        <w:t>of</w:t>
      </w:r>
      <w:r w:rsidRPr="00046BF4">
        <w:rPr>
          <w:color w:val="231F20"/>
          <w:spacing w:val="-10"/>
          <w:sz w:val="24"/>
          <w:szCs w:val="24"/>
        </w:rPr>
        <w:t xml:space="preserve"> </w:t>
      </w:r>
      <w:r w:rsidRPr="00046BF4">
        <w:rPr>
          <w:color w:val="231F20"/>
          <w:sz w:val="24"/>
          <w:szCs w:val="24"/>
        </w:rPr>
        <w:t>management</w:t>
      </w:r>
      <w:r w:rsidRPr="00046BF4">
        <w:rPr>
          <w:color w:val="231F20"/>
          <w:spacing w:val="-10"/>
          <w:sz w:val="24"/>
          <w:szCs w:val="24"/>
        </w:rPr>
        <w:t xml:space="preserve"> </w:t>
      </w:r>
      <w:r w:rsidRPr="00046BF4">
        <w:rPr>
          <w:color w:val="231F20"/>
          <w:sz w:val="24"/>
          <w:szCs w:val="24"/>
        </w:rPr>
        <w:t>and</w:t>
      </w:r>
      <w:r w:rsidRPr="00046BF4">
        <w:rPr>
          <w:color w:val="231F20"/>
          <w:spacing w:val="-11"/>
          <w:sz w:val="24"/>
          <w:szCs w:val="24"/>
        </w:rPr>
        <w:t xml:space="preserve"> </w:t>
      </w:r>
      <w:r w:rsidRPr="00046BF4">
        <w:rPr>
          <w:color w:val="231F20"/>
          <w:sz w:val="24"/>
          <w:szCs w:val="24"/>
        </w:rPr>
        <w:t>ensuring</w:t>
      </w:r>
      <w:r w:rsidRPr="00046BF4">
        <w:rPr>
          <w:color w:val="231F20"/>
          <w:spacing w:val="-11"/>
          <w:sz w:val="24"/>
          <w:szCs w:val="24"/>
        </w:rPr>
        <w:t xml:space="preserve"> </w:t>
      </w:r>
      <w:r w:rsidRPr="00046BF4">
        <w:rPr>
          <w:color w:val="231F20"/>
          <w:sz w:val="24"/>
          <w:szCs w:val="24"/>
        </w:rPr>
        <w:t>that</w:t>
      </w:r>
      <w:r w:rsidRPr="00046BF4">
        <w:rPr>
          <w:color w:val="231F20"/>
          <w:spacing w:val="-10"/>
          <w:sz w:val="24"/>
          <w:szCs w:val="24"/>
        </w:rPr>
        <w:t xml:space="preserve"> </w:t>
      </w:r>
      <w:r w:rsidRPr="00046BF4">
        <w:rPr>
          <w:color w:val="231F20"/>
          <w:sz w:val="24"/>
          <w:szCs w:val="24"/>
        </w:rPr>
        <w:t>managers</w:t>
      </w:r>
      <w:r w:rsidRPr="00046BF4">
        <w:rPr>
          <w:color w:val="231F20"/>
          <w:spacing w:val="-10"/>
          <w:sz w:val="24"/>
          <w:szCs w:val="24"/>
        </w:rPr>
        <w:t xml:space="preserve"> </w:t>
      </w:r>
      <w:r w:rsidRPr="00046BF4">
        <w:rPr>
          <w:color w:val="231F20"/>
          <w:sz w:val="24"/>
          <w:szCs w:val="24"/>
        </w:rPr>
        <w:t>lead by example.</w:t>
      </w:r>
    </w:p>
    <w:p w14:paraId="2447D2D0" w14:textId="77777777" w:rsidR="00345EE3" w:rsidRPr="00046BF4" w:rsidRDefault="00345EE3">
      <w:pPr>
        <w:pStyle w:val="ListParagraph"/>
        <w:numPr>
          <w:ilvl w:val="0"/>
          <w:numId w:val="91"/>
        </w:numPr>
        <w:tabs>
          <w:tab w:val="left" w:pos="393"/>
          <w:tab w:val="left" w:pos="394"/>
        </w:tabs>
        <w:spacing w:before="31" w:line="242" w:lineRule="auto"/>
        <w:ind w:right="991"/>
        <w:rPr>
          <w:sz w:val="24"/>
          <w:szCs w:val="24"/>
        </w:rPr>
      </w:pPr>
      <w:r w:rsidRPr="00046BF4">
        <w:rPr>
          <w:color w:val="231F20"/>
          <w:sz w:val="24"/>
          <w:szCs w:val="24"/>
        </w:rPr>
        <w:t>Ensuring</w:t>
      </w:r>
      <w:r w:rsidRPr="00046BF4">
        <w:rPr>
          <w:color w:val="231F20"/>
          <w:spacing w:val="-10"/>
          <w:sz w:val="24"/>
          <w:szCs w:val="24"/>
        </w:rPr>
        <w:t xml:space="preserve"> </w:t>
      </w:r>
      <w:r w:rsidRPr="00046BF4">
        <w:rPr>
          <w:color w:val="231F20"/>
          <w:sz w:val="24"/>
          <w:szCs w:val="24"/>
        </w:rPr>
        <w:t>our</w:t>
      </w:r>
      <w:r w:rsidRPr="00046BF4">
        <w:rPr>
          <w:color w:val="231F20"/>
          <w:spacing w:val="-10"/>
          <w:sz w:val="24"/>
          <w:szCs w:val="24"/>
        </w:rPr>
        <w:t xml:space="preserve"> </w:t>
      </w:r>
      <w:r w:rsidRPr="00046BF4">
        <w:rPr>
          <w:color w:val="231F20"/>
          <w:sz w:val="24"/>
          <w:szCs w:val="24"/>
        </w:rPr>
        <w:t>employees</w:t>
      </w:r>
      <w:r w:rsidRPr="00046BF4">
        <w:rPr>
          <w:color w:val="231F20"/>
          <w:spacing w:val="-10"/>
          <w:sz w:val="24"/>
          <w:szCs w:val="24"/>
        </w:rPr>
        <w:t xml:space="preserve"> </w:t>
      </w:r>
      <w:r w:rsidRPr="00046BF4">
        <w:rPr>
          <w:color w:val="231F20"/>
          <w:sz w:val="24"/>
          <w:szCs w:val="24"/>
        </w:rPr>
        <w:t>are</w:t>
      </w:r>
      <w:r w:rsidRPr="00046BF4">
        <w:rPr>
          <w:color w:val="231F20"/>
          <w:spacing w:val="-10"/>
          <w:sz w:val="24"/>
          <w:szCs w:val="24"/>
        </w:rPr>
        <w:t xml:space="preserve"> </w:t>
      </w:r>
      <w:r w:rsidRPr="00046BF4">
        <w:rPr>
          <w:color w:val="231F20"/>
          <w:sz w:val="24"/>
          <w:szCs w:val="24"/>
        </w:rPr>
        <w:t>consulted</w:t>
      </w:r>
      <w:r w:rsidRPr="00046BF4">
        <w:rPr>
          <w:color w:val="231F20"/>
          <w:spacing w:val="-10"/>
          <w:sz w:val="24"/>
          <w:szCs w:val="24"/>
        </w:rPr>
        <w:t xml:space="preserve"> </w:t>
      </w:r>
      <w:r w:rsidRPr="00046BF4">
        <w:rPr>
          <w:color w:val="231F20"/>
          <w:sz w:val="24"/>
          <w:szCs w:val="24"/>
        </w:rPr>
        <w:t>with</w:t>
      </w:r>
      <w:r w:rsidRPr="00046BF4">
        <w:rPr>
          <w:color w:val="231F20"/>
          <w:spacing w:val="-10"/>
          <w:sz w:val="24"/>
          <w:szCs w:val="24"/>
        </w:rPr>
        <w:t xml:space="preserve"> </w:t>
      </w:r>
      <w:r w:rsidRPr="00046BF4">
        <w:rPr>
          <w:color w:val="231F20"/>
          <w:sz w:val="24"/>
          <w:szCs w:val="24"/>
        </w:rPr>
        <w:t>and</w:t>
      </w:r>
      <w:r w:rsidRPr="00046BF4">
        <w:rPr>
          <w:color w:val="231F20"/>
          <w:spacing w:val="-10"/>
          <w:sz w:val="24"/>
          <w:szCs w:val="24"/>
        </w:rPr>
        <w:t xml:space="preserve"> </w:t>
      </w:r>
      <w:r w:rsidRPr="00046BF4">
        <w:rPr>
          <w:color w:val="231F20"/>
          <w:sz w:val="24"/>
          <w:szCs w:val="24"/>
        </w:rPr>
        <w:t>actively</w:t>
      </w:r>
      <w:r w:rsidRPr="00046BF4">
        <w:rPr>
          <w:color w:val="231F20"/>
          <w:spacing w:val="-10"/>
          <w:sz w:val="24"/>
          <w:szCs w:val="24"/>
        </w:rPr>
        <w:t xml:space="preserve"> </w:t>
      </w:r>
      <w:r w:rsidRPr="00046BF4">
        <w:rPr>
          <w:color w:val="231F20"/>
          <w:sz w:val="24"/>
          <w:szCs w:val="24"/>
        </w:rPr>
        <w:t>participate</w:t>
      </w:r>
      <w:r w:rsidRPr="00046BF4">
        <w:rPr>
          <w:color w:val="231F20"/>
          <w:spacing w:val="-10"/>
          <w:sz w:val="24"/>
          <w:szCs w:val="24"/>
        </w:rPr>
        <w:t xml:space="preserve"> </w:t>
      </w:r>
      <w:r w:rsidRPr="00046BF4">
        <w:rPr>
          <w:color w:val="231F20"/>
          <w:sz w:val="24"/>
          <w:szCs w:val="24"/>
        </w:rPr>
        <w:t>in</w:t>
      </w:r>
      <w:r w:rsidRPr="00046BF4">
        <w:rPr>
          <w:color w:val="231F20"/>
          <w:spacing w:val="-10"/>
          <w:sz w:val="24"/>
          <w:szCs w:val="24"/>
        </w:rPr>
        <w:t xml:space="preserve"> </w:t>
      </w:r>
      <w:r w:rsidRPr="00046BF4">
        <w:rPr>
          <w:color w:val="231F20"/>
          <w:sz w:val="24"/>
          <w:szCs w:val="24"/>
        </w:rPr>
        <w:t>matters</w:t>
      </w:r>
      <w:r w:rsidRPr="00046BF4">
        <w:rPr>
          <w:color w:val="231F20"/>
          <w:spacing w:val="-10"/>
          <w:sz w:val="24"/>
          <w:szCs w:val="24"/>
        </w:rPr>
        <w:t xml:space="preserve"> </w:t>
      </w:r>
      <w:r w:rsidRPr="00046BF4">
        <w:rPr>
          <w:color w:val="231F20"/>
          <w:sz w:val="24"/>
          <w:szCs w:val="24"/>
        </w:rPr>
        <w:t>relating</w:t>
      </w:r>
      <w:r w:rsidRPr="00046BF4">
        <w:rPr>
          <w:color w:val="231F20"/>
          <w:spacing w:val="-10"/>
          <w:sz w:val="24"/>
          <w:szCs w:val="24"/>
        </w:rPr>
        <w:t xml:space="preserve"> </w:t>
      </w:r>
      <w:r w:rsidRPr="00046BF4">
        <w:rPr>
          <w:color w:val="231F20"/>
          <w:sz w:val="24"/>
          <w:szCs w:val="24"/>
        </w:rPr>
        <w:t>to</w:t>
      </w:r>
      <w:r w:rsidRPr="00046BF4">
        <w:rPr>
          <w:color w:val="231F20"/>
          <w:spacing w:val="-10"/>
          <w:sz w:val="24"/>
          <w:szCs w:val="24"/>
        </w:rPr>
        <w:t xml:space="preserve"> </w:t>
      </w:r>
      <w:r w:rsidRPr="00046BF4">
        <w:rPr>
          <w:color w:val="231F20"/>
          <w:sz w:val="24"/>
          <w:szCs w:val="24"/>
        </w:rPr>
        <w:t xml:space="preserve">their </w:t>
      </w:r>
      <w:r w:rsidRPr="00046BF4">
        <w:rPr>
          <w:color w:val="231F20"/>
          <w:spacing w:val="-2"/>
          <w:sz w:val="24"/>
          <w:szCs w:val="24"/>
        </w:rPr>
        <w:t>wellbeing.</w:t>
      </w:r>
    </w:p>
    <w:p w14:paraId="726F388C" w14:textId="77777777" w:rsidR="00345EE3" w:rsidRPr="00046BF4" w:rsidRDefault="00345EE3">
      <w:pPr>
        <w:pStyle w:val="ListParagraph"/>
        <w:numPr>
          <w:ilvl w:val="0"/>
          <w:numId w:val="91"/>
        </w:numPr>
        <w:tabs>
          <w:tab w:val="left" w:pos="393"/>
          <w:tab w:val="left" w:pos="394"/>
        </w:tabs>
        <w:spacing w:before="31" w:line="242" w:lineRule="auto"/>
        <w:ind w:right="1159"/>
        <w:rPr>
          <w:sz w:val="24"/>
          <w:szCs w:val="24"/>
        </w:rPr>
      </w:pPr>
      <w:r w:rsidRPr="00046BF4">
        <w:rPr>
          <w:color w:val="231F20"/>
          <w:sz w:val="24"/>
          <w:szCs w:val="24"/>
        </w:rPr>
        <w:t>Promoting</w:t>
      </w:r>
      <w:r w:rsidRPr="00046BF4">
        <w:rPr>
          <w:color w:val="231F20"/>
          <w:spacing w:val="-10"/>
          <w:sz w:val="24"/>
          <w:szCs w:val="24"/>
        </w:rPr>
        <w:t xml:space="preserve"> </w:t>
      </w:r>
      <w:r w:rsidRPr="00046BF4">
        <w:rPr>
          <w:color w:val="231F20"/>
          <w:sz w:val="24"/>
          <w:szCs w:val="24"/>
        </w:rPr>
        <w:t>early</w:t>
      </w:r>
      <w:r w:rsidRPr="00046BF4">
        <w:rPr>
          <w:color w:val="231F20"/>
          <w:spacing w:val="-9"/>
          <w:sz w:val="24"/>
          <w:szCs w:val="24"/>
        </w:rPr>
        <w:t xml:space="preserve"> </w:t>
      </w:r>
      <w:r w:rsidRPr="00046BF4">
        <w:rPr>
          <w:color w:val="231F20"/>
          <w:sz w:val="24"/>
          <w:szCs w:val="24"/>
        </w:rPr>
        <w:t>help-seeking</w:t>
      </w:r>
      <w:r w:rsidRPr="00046BF4">
        <w:rPr>
          <w:color w:val="231F20"/>
          <w:spacing w:val="-10"/>
          <w:sz w:val="24"/>
          <w:szCs w:val="24"/>
        </w:rPr>
        <w:t xml:space="preserve"> </w:t>
      </w:r>
      <w:r w:rsidRPr="00046BF4">
        <w:rPr>
          <w:color w:val="231F20"/>
          <w:sz w:val="24"/>
          <w:szCs w:val="24"/>
        </w:rPr>
        <w:t>behaviours</w:t>
      </w:r>
      <w:r w:rsidRPr="00046BF4">
        <w:rPr>
          <w:color w:val="231F20"/>
          <w:spacing w:val="-9"/>
          <w:sz w:val="24"/>
          <w:szCs w:val="24"/>
        </w:rPr>
        <w:t xml:space="preserve"> </w:t>
      </w:r>
      <w:r w:rsidRPr="00046BF4">
        <w:rPr>
          <w:color w:val="231F20"/>
          <w:sz w:val="24"/>
          <w:szCs w:val="24"/>
        </w:rPr>
        <w:t>and</w:t>
      </w:r>
      <w:r w:rsidRPr="00046BF4">
        <w:rPr>
          <w:color w:val="231F20"/>
          <w:spacing w:val="-10"/>
          <w:sz w:val="24"/>
          <w:szCs w:val="24"/>
        </w:rPr>
        <w:t xml:space="preserve"> </w:t>
      </w:r>
      <w:r w:rsidRPr="00046BF4">
        <w:rPr>
          <w:color w:val="231F20"/>
          <w:sz w:val="24"/>
          <w:szCs w:val="24"/>
        </w:rPr>
        <w:t>access</w:t>
      </w:r>
      <w:r w:rsidRPr="00046BF4">
        <w:rPr>
          <w:color w:val="231F20"/>
          <w:spacing w:val="-9"/>
          <w:sz w:val="24"/>
          <w:szCs w:val="24"/>
        </w:rPr>
        <w:t xml:space="preserve"> </w:t>
      </w:r>
      <w:r w:rsidRPr="00046BF4">
        <w:rPr>
          <w:color w:val="231F20"/>
          <w:sz w:val="24"/>
          <w:szCs w:val="24"/>
        </w:rPr>
        <w:t>to</w:t>
      </w:r>
      <w:r w:rsidRPr="00046BF4">
        <w:rPr>
          <w:color w:val="231F20"/>
          <w:spacing w:val="-10"/>
          <w:sz w:val="24"/>
          <w:szCs w:val="24"/>
        </w:rPr>
        <w:t xml:space="preserve"> </w:t>
      </w:r>
      <w:r w:rsidRPr="00046BF4">
        <w:rPr>
          <w:color w:val="231F20"/>
          <w:sz w:val="24"/>
          <w:szCs w:val="24"/>
        </w:rPr>
        <w:t>contemporary</w:t>
      </w:r>
      <w:r w:rsidRPr="00046BF4">
        <w:rPr>
          <w:color w:val="231F20"/>
          <w:spacing w:val="-9"/>
          <w:sz w:val="24"/>
          <w:szCs w:val="24"/>
        </w:rPr>
        <w:t xml:space="preserve"> </w:t>
      </w:r>
      <w:r w:rsidRPr="00046BF4">
        <w:rPr>
          <w:color w:val="231F20"/>
          <w:sz w:val="24"/>
          <w:szCs w:val="24"/>
        </w:rPr>
        <w:t>and</w:t>
      </w:r>
      <w:r w:rsidRPr="00046BF4">
        <w:rPr>
          <w:color w:val="231F20"/>
          <w:spacing w:val="-10"/>
          <w:sz w:val="24"/>
          <w:szCs w:val="24"/>
        </w:rPr>
        <w:t xml:space="preserve"> </w:t>
      </w:r>
      <w:r w:rsidRPr="00046BF4">
        <w:rPr>
          <w:color w:val="231F20"/>
          <w:sz w:val="24"/>
          <w:szCs w:val="24"/>
        </w:rPr>
        <w:t xml:space="preserve">evidence-based </w:t>
      </w:r>
      <w:r w:rsidRPr="00046BF4">
        <w:rPr>
          <w:color w:val="231F20"/>
          <w:spacing w:val="-2"/>
          <w:sz w:val="24"/>
          <w:szCs w:val="24"/>
        </w:rPr>
        <w:t>treatments.</w:t>
      </w:r>
    </w:p>
    <w:p w14:paraId="2FD93B89" w14:textId="77777777" w:rsidR="00345EE3" w:rsidRPr="00046BF4" w:rsidRDefault="00345EE3">
      <w:pPr>
        <w:pStyle w:val="ListParagraph"/>
        <w:numPr>
          <w:ilvl w:val="0"/>
          <w:numId w:val="91"/>
        </w:numPr>
        <w:tabs>
          <w:tab w:val="left" w:pos="393"/>
          <w:tab w:val="left" w:pos="394"/>
        </w:tabs>
        <w:spacing w:before="30"/>
        <w:rPr>
          <w:sz w:val="24"/>
          <w:szCs w:val="24"/>
        </w:rPr>
      </w:pPr>
      <w:r w:rsidRPr="00046BF4">
        <w:rPr>
          <w:color w:val="231F20"/>
          <w:sz w:val="24"/>
          <w:szCs w:val="24"/>
        </w:rPr>
        <w:t>Incorporating</w:t>
      </w:r>
      <w:r w:rsidRPr="00046BF4">
        <w:rPr>
          <w:color w:val="231F20"/>
          <w:spacing w:val="-10"/>
          <w:sz w:val="24"/>
          <w:szCs w:val="24"/>
        </w:rPr>
        <w:t xml:space="preserve"> </w:t>
      </w:r>
      <w:r w:rsidRPr="00046BF4">
        <w:rPr>
          <w:color w:val="231F20"/>
          <w:sz w:val="24"/>
          <w:szCs w:val="24"/>
        </w:rPr>
        <w:t>a</w:t>
      </w:r>
      <w:r w:rsidRPr="00046BF4">
        <w:rPr>
          <w:color w:val="231F20"/>
          <w:spacing w:val="-7"/>
          <w:sz w:val="24"/>
          <w:szCs w:val="24"/>
        </w:rPr>
        <w:t xml:space="preserve"> </w:t>
      </w:r>
      <w:r w:rsidRPr="00046BF4">
        <w:rPr>
          <w:color w:val="231F20"/>
          <w:sz w:val="24"/>
          <w:szCs w:val="24"/>
        </w:rPr>
        <w:t>risk-based</w:t>
      </w:r>
      <w:r w:rsidRPr="00046BF4">
        <w:rPr>
          <w:color w:val="231F20"/>
          <w:spacing w:val="-8"/>
          <w:sz w:val="24"/>
          <w:szCs w:val="24"/>
        </w:rPr>
        <w:t xml:space="preserve"> </w:t>
      </w:r>
      <w:r w:rsidRPr="00046BF4">
        <w:rPr>
          <w:color w:val="231F20"/>
          <w:sz w:val="24"/>
          <w:szCs w:val="24"/>
        </w:rPr>
        <w:t>framework</w:t>
      </w:r>
      <w:r w:rsidRPr="00046BF4">
        <w:rPr>
          <w:color w:val="231F20"/>
          <w:spacing w:val="-6"/>
          <w:sz w:val="24"/>
          <w:szCs w:val="24"/>
        </w:rPr>
        <w:t xml:space="preserve"> </w:t>
      </w:r>
      <w:r w:rsidRPr="00046BF4">
        <w:rPr>
          <w:color w:val="231F20"/>
          <w:sz w:val="24"/>
          <w:szCs w:val="24"/>
        </w:rPr>
        <w:t>in</w:t>
      </w:r>
      <w:r w:rsidRPr="00046BF4">
        <w:rPr>
          <w:color w:val="231F20"/>
          <w:spacing w:val="-8"/>
          <w:sz w:val="24"/>
          <w:szCs w:val="24"/>
        </w:rPr>
        <w:t xml:space="preserve"> </w:t>
      </w:r>
      <w:r w:rsidRPr="00046BF4">
        <w:rPr>
          <w:color w:val="231F20"/>
          <w:sz w:val="24"/>
          <w:szCs w:val="24"/>
        </w:rPr>
        <w:t>all</w:t>
      </w:r>
      <w:r w:rsidRPr="00046BF4">
        <w:rPr>
          <w:color w:val="231F20"/>
          <w:spacing w:val="-7"/>
          <w:sz w:val="24"/>
          <w:szCs w:val="24"/>
        </w:rPr>
        <w:t xml:space="preserve"> </w:t>
      </w:r>
      <w:r w:rsidRPr="00046BF4">
        <w:rPr>
          <w:color w:val="231F20"/>
          <w:sz w:val="24"/>
          <w:szCs w:val="24"/>
        </w:rPr>
        <w:t>aspects</w:t>
      </w:r>
      <w:r w:rsidRPr="00046BF4">
        <w:rPr>
          <w:color w:val="231F20"/>
          <w:spacing w:val="-7"/>
          <w:sz w:val="24"/>
          <w:szCs w:val="24"/>
        </w:rPr>
        <w:t xml:space="preserve"> </w:t>
      </w:r>
      <w:r w:rsidRPr="00046BF4">
        <w:rPr>
          <w:color w:val="231F20"/>
          <w:sz w:val="24"/>
          <w:szCs w:val="24"/>
        </w:rPr>
        <w:t>of</w:t>
      </w:r>
      <w:r w:rsidRPr="00046BF4">
        <w:rPr>
          <w:color w:val="231F20"/>
          <w:spacing w:val="-6"/>
          <w:sz w:val="24"/>
          <w:szCs w:val="24"/>
        </w:rPr>
        <w:t xml:space="preserve"> </w:t>
      </w:r>
      <w:r w:rsidRPr="00046BF4">
        <w:rPr>
          <w:color w:val="231F20"/>
          <w:sz w:val="24"/>
          <w:szCs w:val="24"/>
        </w:rPr>
        <w:t>the</w:t>
      </w:r>
      <w:r w:rsidRPr="00046BF4">
        <w:rPr>
          <w:color w:val="231F20"/>
          <w:spacing w:val="-7"/>
          <w:sz w:val="24"/>
          <w:szCs w:val="24"/>
        </w:rPr>
        <w:t xml:space="preserve"> </w:t>
      </w:r>
      <w:r w:rsidRPr="00046BF4">
        <w:rPr>
          <w:color w:val="231F20"/>
          <w:spacing w:val="-2"/>
          <w:sz w:val="24"/>
          <w:szCs w:val="24"/>
        </w:rPr>
        <w:t>organisation.</w:t>
      </w:r>
    </w:p>
    <w:p w14:paraId="3BCDC72B" w14:textId="77777777" w:rsidR="00345EE3" w:rsidRPr="00046BF4" w:rsidRDefault="00345EE3" w:rsidP="00345EE3">
      <w:pPr>
        <w:pStyle w:val="BodyText"/>
        <w:spacing w:before="118" w:line="242" w:lineRule="auto"/>
        <w:ind w:right="1393"/>
        <w:rPr>
          <w:sz w:val="24"/>
          <w:szCs w:val="24"/>
        </w:rPr>
      </w:pPr>
      <w:r w:rsidRPr="00046BF4">
        <w:rPr>
          <w:color w:val="231F20"/>
          <w:sz w:val="24"/>
          <w:szCs w:val="24"/>
        </w:rPr>
        <w:t>In 2021–22, Health, Safety and Wellbeing Division provided expert Occupational Health and</w:t>
      </w:r>
      <w:r w:rsidRPr="00046BF4">
        <w:rPr>
          <w:color w:val="231F20"/>
          <w:spacing w:val="-14"/>
          <w:sz w:val="24"/>
          <w:szCs w:val="24"/>
        </w:rPr>
        <w:t xml:space="preserve"> </w:t>
      </w:r>
      <w:r w:rsidRPr="00046BF4">
        <w:rPr>
          <w:color w:val="231F20"/>
          <w:sz w:val="24"/>
          <w:szCs w:val="24"/>
        </w:rPr>
        <w:t>Safety</w:t>
      </w:r>
      <w:r w:rsidRPr="00046BF4">
        <w:rPr>
          <w:color w:val="231F20"/>
          <w:spacing w:val="-13"/>
          <w:sz w:val="24"/>
          <w:szCs w:val="24"/>
        </w:rPr>
        <w:t xml:space="preserve"> </w:t>
      </w:r>
      <w:r w:rsidRPr="00046BF4">
        <w:rPr>
          <w:color w:val="231F20"/>
          <w:sz w:val="24"/>
          <w:szCs w:val="24"/>
        </w:rPr>
        <w:t>(OHS)</w:t>
      </w:r>
      <w:r w:rsidRPr="00046BF4">
        <w:rPr>
          <w:color w:val="231F20"/>
          <w:spacing w:val="-13"/>
          <w:sz w:val="24"/>
          <w:szCs w:val="24"/>
        </w:rPr>
        <w:t xml:space="preserve"> </w:t>
      </w:r>
      <w:r w:rsidRPr="00046BF4">
        <w:rPr>
          <w:color w:val="231F20"/>
          <w:sz w:val="24"/>
          <w:szCs w:val="24"/>
        </w:rPr>
        <w:t>advice</w:t>
      </w:r>
      <w:r w:rsidRPr="00046BF4">
        <w:rPr>
          <w:color w:val="231F20"/>
          <w:spacing w:val="-14"/>
          <w:sz w:val="24"/>
          <w:szCs w:val="24"/>
        </w:rPr>
        <w:t xml:space="preserve"> </w:t>
      </w:r>
      <w:r w:rsidRPr="00046BF4">
        <w:rPr>
          <w:color w:val="231F20"/>
          <w:sz w:val="24"/>
          <w:szCs w:val="24"/>
        </w:rPr>
        <w:t>to</w:t>
      </w:r>
      <w:r w:rsidRPr="00046BF4">
        <w:rPr>
          <w:color w:val="231F20"/>
          <w:spacing w:val="-14"/>
          <w:sz w:val="24"/>
          <w:szCs w:val="24"/>
        </w:rPr>
        <w:t xml:space="preserve"> </w:t>
      </w:r>
      <w:r w:rsidRPr="00046BF4">
        <w:rPr>
          <w:color w:val="231F20"/>
          <w:sz w:val="24"/>
          <w:szCs w:val="24"/>
        </w:rPr>
        <w:t>ensure</w:t>
      </w:r>
      <w:r w:rsidRPr="00046BF4">
        <w:rPr>
          <w:color w:val="231F20"/>
          <w:spacing w:val="-14"/>
          <w:sz w:val="24"/>
          <w:szCs w:val="24"/>
        </w:rPr>
        <w:t xml:space="preserve"> </w:t>
      </w:r>
      <w:r w:rsidRPr="00046BF4">
        <w:rPr>
          <w:color w:val="231F20"/>
          <w:sz w:val="24"/>
          <w:szCs w:val="24"/>
        </w:rPr>
        <w:t>policing</w:t>
      </w:r>
      <w:r w:rsidRPr="00046BF4">
        <w:rPr>
          <w:color w:val="231F20"/>
          <w:spacing w:val="-14"/>
          <w:sz w:val="24"/>
          <w:szCs w:val="24"/>
        </w:rPr>
        <w:t xml:space="preserve"> </w:t>
      </w:r>
      <w:r w:rsidRPr="00046BF4">
        <w:rPr>
          <w:color w:val="231F20"/>
          <w:sz w:val="24"/>
          <w:szCs w:val="24"/>
        </w:rPr>
        <w:t>operations</w:t>
      </w:r>
      <w:r w:rsidRPr="00046BF4">
        <w:rPr>
          <w:color w:val="231F20"/>
          <w:spacing w:val="-13"/>
          <w:sz w:val="24"/>
          <w:szCs w:val="24"/>
        </w:rPr>
        <w:t xml:space="preserve"> </w:t>
      </w:r>
      <w:r w:rsidRPr="00046BF4">
        <w:rPr>
          <w:color w:val="231F20"/>
          <w:sz w:val="24"/>
          <w:szCs w:val="24"/>
        </w:rPr>
        <w:t>continued</w:t>
      </w:r>
      <w:r w:rsidRPr="00046BF4">
        <w:rPr>
          <w:color w:val="231F20"/>
          <w:spacing w:val="-14"/>
          <w:sz w:val="24"/>
          <w:szCs w:val="24"/>
        </w:rPr>
        <w:t xml:space="preserve"> </w:t>
      </w:r>
      <w:r w:rsidRPr="00046BF4">
        <w:rPr>
          <w:color w:val="231F20"/>
          <w:sz w:val="24"/>
          <w:szCs w:val="24"/>
        </w:rPr>
        <w:t>throughout</w:t>
      </w:r>
      <w:r w:rsidRPr="00046BF4">
        <w:rPr>
          <w:color w:val="231F20"/>
          <w:spacing w:val="-13"/>
          <w:sz w:val="24"/>
          <w:szCs w:val="24"/>
        </w:rPr>
        <w:t xml:space="preserve"> </w:t>
      </w:r>
      <w:r w:rsidRPr="00046BF4">
        <w:rPr>
          <w:color w:val="231F20"/>
          <w:sz w:val="24"/>
          <w:szCs w:val="24"/>
        </w:rPr>
        <w:t>the</w:t>
      </w:r>
      <w:r w:rsidRPr="00046BF4">
        <w:rPr>
          <w:color w:val="231F20"/>
          <w:spacing w:val="-14"/>
          <w:sz w:val="24"/>
          <w:szCs w:val="24"/>
        </w:rPr>
        <w:t xml:space="preserve"> </w:t>
      </w:r>
      <w:r w:rsidRPr="00046BF4">
        <w:rPr>
          <w:color w:val="231F20"/>
          <w:sz w:val="24"/>
          <w:szCs w:val="24"/>
        </w:rPr>
        <w:t>COVID-19 pandemic.</w:t>
      </w:r>
      <w:r w:rsidRPr="00046BF4">
        <w:rPr>
          <w:color w:val="231F20"/>
          <w:spacing w:val="-10"/>
          <w:sz w:val="24"/>
          <w:szCs w:val="24"/>
        </w:rPr>
        <w:t xml:space="preserve"> </w:t>
      </w:r>
      <w:r w:rsidRPr="00046BF4">
        <w:rPr>
          <w:color w:val="231F20"/>
          <w:sz w:val="24"/>
          <w:szCs w:val="24"/>
        </w:rPr>
        <w:t>Recovery</w:t>
      </w:r>
      <w:r w:rsidRPr="00046BF4">
        <w:rPr>
          <w:color w:val="231F20"/>
          <w:spacing w:val="-10"/>
          <w:sz w:val="24"/>
          <w:szCs w:val="24"/>
        </w:rPr>
        <w:t xml:space="preserve"> </w:t>
      </w:r>
      <w:r w:rsidRPr="00046BF4">
        <w:rPr>
          <w:color w:val="231F20"/>
          <w:sz w:val="24"/>
          <w:szCs w:val="24"/>
        </w:rPr>
        <w:t>and</w:t>
      </w:r>
      <w:r w:rsidRPr="00046BF4">
        <w:rPr>
          <w:color w:val="231F20"/>
          <w:spacing w:val="-11"/>
          <w:sz w:val="24"/>
          <w:szCs w:val="24"/>
        </w:rPr>
        <w:t xml:space="preserve"> </w:t>
      </w:r>
      <w:r w:rsidRPr="00046BF4">
        <w:rPr>
          <w:color w:val="231F20"/>
          <w:sz w:val="24"/>
          <w:szCs w:val="24"/>
        </w:rPr>
        <w:t>re-energising</w:t>
      </w:r>
      <w:r w:rsidRPr="00046BF4">
        <w:rPr>
          <w:color w:val="231F20"/>
          <w:spacing w:val="-11"/>
          <w:sz w:val="24"/>
          <w:szCs w:val="24"/>
        </w:rPr>
        <w:t xml:space="preserve"> </w:t>
      </w:r>
      <w:r w:rsidRPr="00046BF4">
        <w:rPr>
          <w:color w:val="231F20"/>
          <w:sz w:val="24"/>
          <w:szCs w:val="24"/>
        </w:rPr>
        <w:t>after</w:t>
      </w:r>
      <w:r w:rsidRPr="00046BF4">
        <w:rPr>
          <w:color w:val="231F20"/>
          <w:spacing w:val="-10"/>
          <w:sz w:val="24"/>
          <w:szCs w:val="24"/>
        </w:rPr>
        <w:t xml:space="preserve"> </w:t>
      </w:r>
      <w:r w:rsidRPr="00046BF4">
        <w:rPr>
          <w:color w:val="231F20"/>
          <w:sz w:val="24"/>
          <w:szCs w:val="24"/>
        </w:rPr>
        <w:t>a</w:t>
      </w:r>
      <w:r w:rsidRPr="00046BF4">
        <w:rPr>
          <w:color w:val="231F20"/>
          <w:spacing w:val="-11"/>
          <w:sz w:val="24"/>
          <w:szCs w:val="24"/>
        </w:rPr>
        <w:t xml:space="preserve"> </w:t>
      </w:r>
      <w:r w:rsidRPr="00046BF4">
        <w:rPr>
          <w:color w:val="231F20"/>
          <w:sz w:val="24"/>
          <w:szCs w:val="24"/>
        </w:rPr>
        <w:t>sustained</w:t>
      </w:r>
      <w:r w:rsidRPr="00046BF4">
        <w:rPr>
          <w:color w:val="231F20"/>
          <w:spacing w:val="-11"/>
          <w:sz w:val="24"/>
          <w:szCs w:val="24"/>
        </w:rPr>
        <w:t xml:space="preserve"> </w:t>
      </w:r>
      <w:r w:rsidRPr="00046BF4">
        <w:rPr>
          <w:color w:val="231F20"/>
          <w:sz w:val="24"/>
          <w:szCs w:val="24"/>
        </w:rPr>
        <w:t>period</w:t>
      </w:r>
      <w:r w:rsidRPr="00046BF4">
        <w:rPr>
          <w:color w:val="231F20"/>
          <w:spacing w:val="-11"/>
          <w:sz w:val="24"/>
          <w:szCs w:val="24"/>
        </w:rPr>
        <w:t xml:space="preserve"> </w:t>
      </w:r>
      <w:r w:rsidRPr="00046BF4">
        <w:rPr>
          <w:color w:val="231F20"/>
          <w:sz w:val="24"/>
          <w:szCs w:val="24"/>
        </w:rPr>
        <w:t>of</w:t>
      </w:r>
      <w:r w:rsidRPr="00046BF4">
        <w:rPr>
          <w:color w:val="231F20"/>
          <w:spacing w:val="-10"/>
          <w:sz w:val="24"/>
          <w:szCs w:val="24"/>
        </w:rPr>
        <w:t xml:space="preserve"> </w:t>
      </w:r>
      <w:r w:rsidRPr="00046BF4">
        <w:rPr>
          <w:color w:val="231F20"/>
          <w:sz w:val="24"/>
          <w:szCs w:val="24"/>
        </w:rPr>
        <w:t>responding</w:t>
      </w:r>
      <w:r w:rsidRPr="00046BF4">
        <w:rPr>
          <w:color w:val="231F20"/>
          <w:spacing w:val="-11"/>
          <w:sz w:val="24"/>
          <w:szCs w:val="24"/>
        </w:rPr>
        <w:t xml:space="preserve"> </w:t>
      </w:r>
      <w:r w:rsidRPr="00046BF4">
        <w:rPr>
          <w:color w:val="231F20"/>
          <w:sz w:val="24"/>
          <w:szCs w:val="24"/>
        </w:rPr>
        <w:t>to</w:t>
      </w:r>
      <w:r w:rsidRPr="00046BF4">
        <w:rPr>
          <w:color w:val="231F20"/>
          <w:spacing w:val="-11"/>
          <w:sz w:val="24"/>
          <w:szCs w:val="24"/>
        </w:rPr>
        <w:t xml:space="preserve"> </w:t>
      </w:r>
      <w:r w:rsidRPr="00046BF4">
        <w:rPr>
          <w:color w:val="231F20"/>
          <w:sz w:val="24"/>
          <w:szCs w:val="24"/>
        </w:rPr>
        <w:t>COVID-19 related pressures and fatigue will be a priority for our workforce.</w:t>
      </w:r>
    </w:p>
    <w:p w14:paraId="605E92A3" w14:textId="77777777" w:rsidR="00345EE3" w:rsidRPr="00087AF4" w:rsidRDefault="00345EE3" w:rsidP="002A27BA">
      <w:pPr>
        <w:pStyle w:val="Heading3"/>
      </w:pPr>
      <w:r w:rsidRPr="00087AF4">
        <w:t>Incident Management</w:t>
      </w:r>
    </w:p>
    <w:p w14:paraId="272C6523" w14:textId="77777777" w:rsidR="00345EE3" w:rsidRPr="00046BF4" w:rsidRDefault="00345EE3" w:rsidP="00345EE3">
      <w:pPr>
        <w:pStyle w:val="BodyText"/>
        <w:spacing w:before="52" w:line="242" w:lineRule="auto"/>
        <w:ind w:right="921"/>
        <w:rPr>
          <w:sz w:val="24"/>
          <w:szCs w:val="24"/>
        </w:rPr>
      </w:pPr>
      <w:r w:rsidRPr="00046BF4">
        <w:rPr>
          <w:color w:val="231F20"/>
          <w:sz w:val="24"/>
          <w:szCs w:val="24"/>
        </w:rPr>
        <w:t>Reported</w:t>
      </w:r>
      <w:r w:rsidRPr="00046BF4">
        <w:rPr>
          <w:color w:val="231F20"/>
          <w:spacing w:val="-10"/>
          <w:sz w:val="24"/>
          <w:szCs w:val="24"/>
        </w:rPr>
        <w:t xml:space="preserve"> </w:t>
      </w:r>
      <w:r w:rsidRPr="00046BF4">
        <w:rPr>
          <w:color w:val="231F20"/>
          <w:sz w:val="24"/>
          <w:szCs w:val="24"/>
        </w:rPr>
        <w:t>incidents</w:t>
      </w:r>
      <w:r w:rsidRPr="00046BF4">
        <w:rPr>
          <w:color w:val="231F20"/>
          <w:spacing w:val="-9"/>
          <w:sz w:val="24"/>
          <w:szCs w:val="24"/>
        </w:rPr>
        <w:t xml:space="preserve"> </w:t>
      </w:r>
      <w:r w:rsidRPr="00046BF4">
        <w:rPr>
          <w:color w:val="231F20"/>
          <w:sz w:val="24"/>
          <w:szCs w:val="24"/>
        </w:rPr>
        <w:t>increased</w:t>
      </w:r>
      <w:r w:rsidRPr="00046BF4">
        <w:rPr>
          <w:color w:val="231F20"/>
          <w:spacing w:val="-10"/>
          <w:sz w:val="24"/>
          <w:szCs w:val="24"/>
        </w:rPr>
        <w:t xml:space="preserve"> </w:t>
      </w:r>
      <w:r w:rsidRPr="00046BF4">
        <w:rPr>
          <w:color w:val="231F20"/>
          <w:sz w:val="24"/>
          <w:szCs w:val="24"/>
        </w:rPr>
        <w:t>by</w:t>
      </w:r>
      <w:r w:rsidRPr="00046BF4">
        <w:rPr>
          <w:color w:val="231F20"/>
          <w:spacing w:val="-9"/>
          <w:sz w:val="24"/>
          <w:szCs w:val="24"/>
        </w:rPr>
        <w:t xml:space="preserve"> </w:t>
      </w:r>
      <w:r w:rsidRPr="00046BF4">
        <w:rPr>
          <w:color w:val="231F20"/>
          <w:sz w:val="24"/>
          <w:szCs w:val="24"/>
        </w:rPr>
        <w:t>41</w:t>
      </w:r>
      <w:r w:rsidRPr="00046BF4">
        <w:rPr>
          <w:color w:val="231F20"/>
          <w:spacing w:val="-10"/>
          <w:sz w:val="24"/>
          <w:szCs w:val="24"/>
        </w:rPr>
        <w:t xml:space="preserve"> </w:t>
      </w:r>
      <w:r w:rsidRPr="00046BF4">
        <w:rPr>
          <w:color w:val="231F20"/>
          <w:sz w:val="24"/>
          <w:szCs w:val="24"/>
        </w:rPr>
        <w:t>per</w:t>
      </w:r>
      <w:r w:rsidRPr="00046BF4">
        <w:rPr>
          <w:color w:val="231F20"/>
          <w:spacing w:val="-9"/>
          <w:sz w:val="24"/>
          <w:szCs w:val="24"/>
        </w:rPr>
        <w:t xml:space="preserve"> </w:t>
      </w:r>
      <w:r w:rsidRPr="00046BF4">
        <w:rPr>
          <w:color w:val="231F20"/>
          <w:sz w:val="24"/>
          <w:szCs w:val="24"/>
        </w:rPr>
        <w:t>cent</w:t>
      </w:r>
      <w:r w:rsidRPr="00046BF4">
        <w:rPr>
          <w:color w:val="231F20"/>
          <w:spacing w:val="-9"/>
          <w:sz w:val="24"/>
          <w:szCs w:val="24"/>
        </w:rPr>
        <w:t xml:space="preserve"> </w:t>
      </w:r>
      <w:r w:rsidRPr="00046BF4">
        <w:rPr>
          <w:color w:val="231F20"/>
          <w:sz w:val="24"/>
          <w:szCs w:val="24"/>
        </w:rPr>
        <w:t>to</w:t>
      </w:r>
      <w:r w:rsidRPr="00046BF4">
        <w:rPr>
          <w:color w:val="231F20"/>
          <w:spacing w:val="-10"/>
          <w:sz w:val="24"/>
          <w:szCs w:val="24"/>
        </w:rPr>
        <w:t xml:space="preserve"> </w:t>
      </w:r>
      <w:r w:rsidRPr="00046BF4">
        <w:rPr>
          <w:color w:val="231F20"/>
          <w:sz w:val="24"/>
          <w:szCs w:val="24"/>
        </w:rPr>
        <w:t>5,524</w:t>
      </w:r>
      <w:r w:rsidRPr="00046BF4">
        <w:rPr>
          <w:color w:val="231F20"/>
          <w:spacing w:val="-10"/>
          <w:sz w:val="24"/>
          <w:szCs w:val="24"/>
        </w:rPr>
        <w:t xml:space="preserve"> </w:t>
      </w:r>
      <w:r w:rsidRPr="00046BF4">
        <w:rPr>
          <w:color w:val="231F20"/>
          <w:sz w:val="24"/>
          <w:szCs w:val="24"/>
        </w:rPr>
        <w:t>incidents</w:t>
      </w:r>
      <w:r w:rsidRPr="00046BF4">
        <w:rPr>
          <w:color w:val="231F20"/>
          <w:spacing w:val="-9"/>
          <w:sz w:val="24"/>
          <w:szCs w:val="24"/>
        </w:rPr>
        <w:t xml:space="preserve"> </w:t>
      </w:r>
      <w:r w:rsidRPr="00046BF4">
        <w:rPr>
          <w:color w:val="231F20"/>
          <w:sz w:val="24"/>
          <w:szCs w:val="24"/>
        </w:rPr>
        <w:t>in</w:t>
      </w:r>
      <w:r w:rsidRPr="00046BF4">
        <w:rPr>
          <w:color w:val="231F20"/>
          <w:spacing w:val="-10"/>
          <w:sz w:val="24"/>
          <w:szCs w:val="24"/>
        </w:rPr>
        <w:t xml:space="preserve"> </w:t>
      </w:r>
      <w:r w:rsidRPr="00046BF4">
        <w:rPr>
          <w:color w:val="231F20"/>
          <w:sz w:val="24"/>
          <w:szCs w:val="24"/>
        </w:rPr>
        <w:t>2021–22.</w:t>
      </w:r>
      <w:r w:rsidRPr="00046BF4">
        <w:rPr>
          <w:color w:val="231F20"/>
          <w:spacing w:val="-9"/>
          <w:sz w:val="24"/>
          <w:szCs w:val="24"/>
        </w:rPr>
        <w:t xml:space="preserve"> </w:t>
      </w:r>
      <w:r w:rsidRPr="00046BF4">
        <w:rPr>
          <w:color w:val="231F20"/>
          <w:sz w:val="24"/>
          <w:szCs w:val="24"/>
        </w:rPr>
        <w:t>A</w:t>
      </w:r>
      <w:r w:rsidRPr="00046BF4">
        <w:rPr>
          <w:color w:val="231F20"/>
          <w:spacing w:val="-9"/>
          <w:sz w:val="24"/>
          <w:szCs w:val="24"/>
        </w:rPr>
        <w:t xml:space="preserve"> </w:t>
      </w:r>
      <w:r w:rsidRPr="00046BF4">
        <w:rPr>
          <w:color w:val="231F20"/>
          <w:sz w:val="24"/>
          <w:szCs w:val="24"/>
        </w:rPr>
        <w:t>significant</w:t>
      </w:r>
      <w:r w:rsidRPr="00046BF4">
        <w:rPr>
          <w:color w:val="231F20"/>
          <w:spacing w:val="-9"/>
          <w:sz w:val="24"/>
          <w:szCs w:val="24"/>
        </w:rPr>
        <w:t xml:space="preserve"> </w:t>
      </w:r>
      <w:r w:rsidRPr="00046BF4">
        <w:rPr>
          <w:color w:val="231F20"/>
          <w:sz w:val="24"/>
          <w:szCs w:val="24"/>
        </w:rPr>
        <w:t>portion of these incidents related to COVID-19 near-misses and injuries.</w:t>
      </w:r>
    </w:p>
    <w:p w14:paraId="6D30B519" w14:textId="77777777" w:rsidR="00345EE3" w:rsidRPr="00046BF4" w:rsidRDefault="00345EE3" w:rsidP="00345EE3">
      <w:pPr>
        <w:pStyle w:val="BodyText"/>
        <w:spacing w:before="116" w:line="242" w:lineRule="auto"/>
        <w:ind w:right="1393"/>
        <w:rPr>
          <w:sz w:val="24"/>
          <w:szCs w:val="24"/>
        </w:rPr>
      </w:pPr>
      <w:r w:rsidRPr="00046BF4">
        <w:rPr>
          <w:color w:val="231F20"/>
          <w:sz w:val="24"/>
          <w:szCs w:val="24"/>
        </w:rPr>
        <w:t>Mental</w:t>
      </w:r>
      <w:r w:rsidRPr="00046BF4">
        <w:rPr>
          <w:color w:val="231F20"/>
          <w:spacing w:val="-3"/>
          <w:sz w:val="24"/>
          <w:szCs w:val="24"/>
        </w:rPr>
        <w:t xml:space="preserve"> </w:t>
      </w:r>
      <w:r w:rsidRPr="00046BF4">
        <w:rPr>
          <w:color w:val="231F20"/>
          <w:sz w:val="24"/>
          <w:szCs w:val="24"/>
        </w:rPr>
        <w:t>health</w:t>
      </w:r>
      <w:r w:rsidRPr="00046BF4">
        <w:rPr>
          <w:color w:val="231F20"/>
          <w:spacing w:val="-3"/>
          <w:sz w:val="24"/>
          <w:szCs w:val="24"/>
        </w:rPr>
        <w:t xml:space="preserve"> </w:t>
      </w:r>
      <w:r w:rsidRPr="00046BF4">
        <w:rPr>
          <w:color w:val="231F20"/>
          <w:sz w:val="24"/>
          <w:szCs w:val="24"/>
        </w:rPr>
        <w:t>injuries</w:t>
      </w:r>
      <w:r w:rsidRPr="00046BF4">
        <w:rPr>
          <w:color w:val="231F20"/>
          <w:spacing w:val="-2"/>
          <w:sz w:val="24"/>
          <w:szCs w:val="24"/>
        </w:rPr>
        <w:t xml:space="preserve"> </w:t>
      </w:r>
      <w:r w:rsidRPr="00046BF4">
        <w:rPr>
          <w:color w:val="231F20"/>
          <w:sz w:val="24"/>
          <w:szCs w:val="24"/>
        </w:rPr>
        <w:t>and</w:t>
      </w:r>
      <w:r w:rsidRPr="00046BF4">
        <w:rPr>
          <w:color w:val="231F20"/>
          <w:spacing w:val="-3"/>
          <w:sz w:val="24"/>
          <w:szCs w:val="24"/>
        </w:rPr>
        <w:t xml:space="preserve"> </w:t>
      </w:r>
      <w:r w:rsidRPr="00046BF4">
        <w:rPr>
          <w:color w:val="231F20"/>
          <w:sz w:val="24"/>
          <w:szCs w:val="24"/>
        </w:rPr>
        <w:t>claims</w:t>
      </w:r>
      <w:r w:rsidRPr="00046BF4">
        <w:rPr>
          <w:color w:val="231F20"/>
          <w:spacing w:val="-2"/>
          <w:sz w:val="24"/>
          <w:szCs w:val="24"/>
        </w:rPr>
        <w:t xml:space="preserve"> </w:t>
      </w:r>
      <w:r w:rsidRPr="00046BF4">
        <w:rPr>
          <w:color w:val="231F20"/>
          <w:sz w:val="24"/>
          <w:szCs w:val="24"/>
        </w:rPr>
        <w:t>have</w:t>
      </w:r>
      <w:r w:rsidRPr="00046BF4">
        <w:rPr>
          <w:color w:val="231F20"/>
          <w:spacing w:val="-3"/>
          <w:sz w:val="24"/>
          <w:szCs w:val="24"/>
        </w:rPr>
        <w:t xml:space="preserve"> </w:t>
      </w:r>
      <w:r w:rsidRPr="00046BF4">
        <w:rPr>
          <w:color w:val="231F20"/>
          <w:sz w:val="24"/>
          <w:szCs w:val="24"/>
        </w:rPr>
        <w:t>risen</w:t>
      </w:r>
      <w:r w:rsidRPr="00046BF4">
        <w:rPr>
          <w:color w:val="231F20"/>
          <w:spacing w:val="-3"/>
          <w:sz w:val="24"/>
          <w:szCs w:val="24"/>
        </w:rPr>
        <w:t xml:space="preserve"> </w:t>
      </w:r>
      <w:r w:rsidRPr="00046BF4">
        <w:rPr>
          <w:color w:val="231F20"/>
          <w:sz w:val="24"/>
          <w:szCs w:val="24"/>
        </w:rPr>
        <w:t>as</w:t>
      </w:r>
      <w:r w:rsidRPr="00046BF4">
        <w:rPr>
          <w:color w:val="231F20"/>
          <w:spacing w:val="-2"/>
          <w:sz w:val="24"/>
          <w:szCs w:val="24"/>
        </w:rPr>
        <w:t xml:space="preserve"> </w:t>
      </w:r>
      <w:r w:rsidRPr="00046BF4">
        <w:rPr>
          <w:color w:val="231F20"/>
          <w:sz w:val="24"/>
          <w:szCs w:val="24"/>
        </w:rPr>
        <w:t>organisational</w:t>
      </w:r>
      <w:r w:rsidRPr="00046BF4">
        <w:rPr>
          <w:color w:val="231F20"/>
          <w:spacing w:val="-3"/>
          <w:sz w:val="24"/>
          <w:szCs w:val="24"/>
        </w:rPr>
        <w:t xml:space="preserve"> </w:t>
      </w:r>
      <w:r w:rsidRPr="00046BF4">
        <w:rPr>
          <w:color w:val="231F20"/>
          <w:sz w:val="24"/>
          <w:szCs w:val="24"/>
        </w:rPr>
        <w:t>awareness</w:t>
      </w:r>
      <w:r w:rsidRPr="00046BF4">
        <w:rPr>
          <w:color w:val="231F20"/>
          <w:spacing w:val="-2"/>
          <w:sz w:val="24"/>
          <w:szCs w:val="24"/>
        </w:rPr>
        <w:t xml:space="preserve"> </w:t>
      </w:r>
      <w:r w:rsidRPr="00046BF4">
        <w:rPr>
          <w:color w:val="231F20"/>
          <w:sz w:val="24"/>
          <w:szCs w:val="24"/>
        </w:rPr>
        <w:t>and</w:t>
      </w:r>
      <w:r w:rsidRPr="00046BF4">
        <w:rPr>
          <w:color w:val="231F20"/>
          <w:spacing w:val="-3"/>
          <w:sz w:val="24"/>
          <w:szCs w:val="24"/>
        </w:rPr>
        <w:t xml:space="preserve"> </w:t>
      </w:r>
      <w:r w:rsidRPr="00046BF4">
        <w:rPr>
          <w:color w:val="231F20"/>
          <w:sz w:val="24"/>
          <w:szCs w:val="24"/>
        </w:rPr>
        <w:t>acceptance of</w:t>
      </w:r>
      <w:r w:rsidRPr="00046BF4">
        <w:rPr>
          <w:color w:val="231F20"/>
          <w:spacing w:val="-8"/>
          <w:sz w:val="24"/>
          <w:szCs w:val="24"/>
        </w:rPr>
        <w:t xml:space="preserve"> </w:t>
      </w:r>
      <w:r w:rsidRPr="00046BF4">
        <w:rPr>
          <w:color w:val="231F20"/>
          <w:sz w:val="24"/>
          <w:szCs w:val="24"/>
        </w:rPr>
        <w:t>mental</w:t>
      </w:r>
      <w:r w:rsidRPr="00046BF4">
        <w:rPr>
          <w:color w:val="231F20"/>
          <w:spacing w:val="-9"/>
          <w:sz w:val="24"/>
          <w:szCs w:val="24"/>
        </w:rPr>
        <w:t xml:space="preserve"> </w:t>
      </w:r>
      <w:r w:rsidRPr="00046BF4">
        <w:rPr>
          <w:color w:val="231F20"/>
          <w:sz w:val="24"/>
          <w:szCs w:val="24"/>
        </w:rPr>
        <w:t>health</w:t>
      </w:r>
      <w:r w:rsidRPr="00046BF4">
        <w:rPr>
          <w:color w:val="231F20"/>
          <w:spacing w:val="-9"/>
          <w:sz w:val="24"/>
          <w:szCs w:val="24"/>
        </w:rPr>
        <w:t xml:space="preserve"> </w:t>
      </w:r>
      <w:r w:rsidRPr="00046BF4">
        <w:rPr>
          <w:color w:val="231F20"/>
          <w:sz w:val="24"/>
          <w:szCs w:val="24"/>
        </w:rPr>
        <w:t>issues</w:t>
      </w:r>
      <w:r w:rsidRPr="00046BF4">
        <w:rPr>
          <w:color w:val="231F20"/>
          <w:spacing w:val="-8"/>
          <w:sz w:val="24"/>
          <w:szCs w:val="24"/>
        </w:rPr>
        <w:t xml:space="preserve"> </w:t>
      </w:r>
      <w:r w:rsidRPr="00046BF4">
        <w:rPr>
          <w:color w:val="231F20"/>
          <w:sz w:val="24"/>
          <w:szCs w:val="24"/>
        </w:rPr>
        <w:t>continue</w:t>
      </w:r>
      <w:r w:rsidRPr="00046BF4">
        <w:rPr>
          <w:color w:val="231F20"/>
          <w:spacing w:val="-9"/>
          <w:sz w:val="24"/>
          <w:szCs w:val="24"/>
        </w:rPr>
        <w:t xml:space="preserve"> </w:t>
      </w:r>
      <w:r w:rsidRPr="00046BF4">
        <w:rPr>
          <w:color w:val="231F20"/>
          <w:sz w:val="24"/>
          <w:szCs w:val="24"/>
        </w:rPr>
        <w:t>to</w:t>
      </w:r>
      <w:r w:rsidRPr="00046BF4">
        <w:rPr>
          <w:color w:val="231F20"/>
          <w:spacing w:val="-9"/>
          <w:sz w:val="24"/>
          <w:szCs w:val="24"/>
        </w:rPr>
        <w:t xml:space="preserve"> </w:t>
      </w:r>
      <w:r w:rsidRPr="00046BF4">
        <w:rPr>
          <w:color w:val="231F20"/>
          <w:sz w:val="24"/>
          <w:szCs w:val="24"/>
        </w:rPr>
        <w:t>increase.</w:t>
      </w:r>
      <w:r w:rsidRPr="00046BF4">
        <w:rPr>
          <w:color w:val="231F20"/>
          <w:spacing w:val="-8"/>
          <w:sz w:val="24"/>
          <w:szCs w:val="24"/>
        </w:rPr>
        <w:t xml:space="preserve"> </w:t>
      </w:r>
      <w:r w:rsidRPr="00046BF4">
        <w:rPr>
          <w:color w:val="231F20"/>
          <w:sz w:val="24"/>
          <w:szCs w:val="24"/>
        </w:rPr>
        <w:t>It</w:t>
      </w:r>
      <w:r w:rsidRPr="00046BF4">
        <w:rPr>
          <w:color w:val="231F20"/>
          <w:spacing w:val="-8"/>
          <w:sz w:val="24"/>
          <w:szCs w:val="24"/>
        </w:rPr>
        <w:t xml:space="preserve"> </w:t>
      </w:r>
      <w:r w:rsidRPr="00046BF4">
        <w:rPr>
          <w:color w:val="231F20"/>
          <w:sz w:val="24"/>
          <w:szCs w:val="24"/>
        </w:rPr>
        <w:t>is</w:t>
      </w:r>
      <w:r w:rsidRPr="00046BF4">
        <w:rPr>
          <w:color w:val="231F20"/>
          <w:spacing w:val="-8"/>
          <w:sz w:val="24"/>
          <w:szCs w:val="24"/>
        </w:rPr>
        <w:t xml:space="preserve"> </w:t>
      </w:r>
      <w:r w:rsidRPr="00046BF4">
        <w:rPr>
          <w:color w:val="231F20"/>
          <w:sz w:val="24"/>
          <w:szCs w:val="24"/>
        </w:rPr>
        <w:t>anticipated</w:t>
      </w:r>
      <w:r w:rsidRPr="00046BF4">
        <w:rPr>
          <w:color w:val="231F20"/>
          <w:spacing w:val="-9"/>
          <w:sz w:val="24"/>
          <w:szCs w:val="24"/>
        </w:rPr>
        <w:t xml:space="preserve"> </w:t>
      </w:r>
      <w:r w:rsidRPr="00046BF4">
        <w:rPr>
          <w:color w:val="231F20"/>
          <w:sz w:val="24"/>
          <w:szCs w:val="24"/>
        </w:rPr>
        <w:t>that</w:t>
      </w:r>
      <w:r w:rsidRPr="00046BF4">
        <w:rPr>
          <w:color w:val="231F20"/>
          <w:spacing w:val="-8"/>
          <w:sz w:val="24"/>
          <w:szCs w:val="24"/>
        </w:rPr>
        <w:t xml:space="preserve"> </w:t>
      </w:r>
      <w:r w:rsidRPr="00046BF4">
        <w:rPr>
          <w:color w:val="231F20"/>
          <w:sz w:val="24"/>
          <w:szCs w:val="24"/>
        </w:rPr>
        <w:t>a</w:t>
      </w:r>
      <w:r w:rsidRPr="00046BF4">
        <w:rPr>
          <w:color w:val="231F20"/>
          <w:spacing w:val="-9"/>
          <w:sz w:val="24"/>
          <w:szCs w:val="24"/>
        </w:rPr>
        <w:t xml:space="preserve"> </w:t>
      </w:r>
      <w:r w:rsidRPr="00046BF4">
        <w:rPr>
          <w:color w:val="231F20"/>
          <w:sz w:val="24"/>
          <w:szCs w:val="24"/>
        </w:rPr>
        <w:t>dedicated</w:t>
      </w:r>
      <w:r w:rsidRPr="00046BF4">
        <w:rPr>
          <w:color w:val="231F20"/>
          <w:spacing w:val="-9"/>
          <w:sz w:val="24"/>
          <w:szCs w:val="24"/>
        </w:rPr>
        <w:t xml:space="preserve"> </w:t>
      </w:r>
      <w:r w:rsidRPr="00046BF4">
        <w:rPr>
          <w:color w:val="231F20"/>
          <w:sz w:val="24"/>
          <w:szCs w:val="24"/>
        </w:rPr>
        <w:t>taskforce</w:t>
      </w:r>
      <w:r w:rsidRPr="00046BF4">
        <w:rPr>
          <w:color w:val="231F20"/>
          <w:spacing w:val="-9"/>
          <w:sz w:val="24"/>
          <w:szCs w:val="24"/>
        </w:rPr>
        <w:t xml:space="preserve"> </w:t>
      </w:r>
      <w:r w:rsidRPr="00046BF4">
        <w:rPr>
          <w:color w:val="231F20"/>
          <w:sz w:val="24"/>
          <w:szCs w:val="24"/>
        </w:rPr>
        <w:t>will commence</w:t>
      </w:r>
      <w:r w:rsidRPr="00046BF4">
        <w:rPr>
          <w:color w:val="231F20"/>
          <w:spacing w:val="-8"/>
          <w:sz w:val="24"/>
          <w:szCs w:val="24"/>
        </w:rPr>
        <w:t xml:space="preserve"> </w:t>
      </w:r>
      <w:r w:rsidRPr="00046BF4">
        <w:rPr>
          <w:color w:val="231F20"/>
          <w:sz w:val="24"/>
          <w:szCs w:val="24"/>
        </w:rPr>
        <w:t>operation</w:t>
      </w:r>
      <w:r w:rsidRPr="00046BF4">
        <w:rPr>
          <w:color w:val="231F20"/>
          <w:spacing w:val="-8"/>
          <w:sz w:val="24"/>
          <w:szCs w:val="24"/>
        </w:rPr>
        <w:t xml:space="preserve"> </w:t>
      </w:r>
      <w:r w:rsidRPr="00046BF4">
        <w:rPr>
          <w:color w:val="231F20"/>
          <w:sz w:val="24"/>
          <w:szCs w:val="24"/>
        </w:rPr>
        <w:t>in</w:t>
      </w:r>
      <w:r w:rsidRPr="00046BF4">
        <w:rPr>
          <w:color w:val="231F20"/>
          <w:spacing w:val="-8"/>
          <w:sz w:val="24"/>
          <w:szCs w:val="24"/>
        </w:rPr>
        <w:t xml:space="preserve"> </w:t>
      </w:r>
      <w:r w:rsidRPr="00046BF4">
        <w:rPr>
          <w:color w:val="231F20"/>
          <w:sz w:val="24"/>
          <w:szCs w:val="24"/>
        </w:rPr>
        <w:t>2023,</w:t>
      </w:r>
      <w:r w:rsidRPr="00046BF4">
        <w:rPr>
          <w:color w:val="231F20"/>
          <w:spacing w:val="-7"/>
          <w:sz w:val="24"/>
          <w:szCs w:val="24"/>
        </w:rPr>
        <w:t xml:space="preserve"> </w:t>
      </w:r>
      <w:r w:rsidRPr="00046BF4">
        <w:rPr>
          <w:color w:val="231F20"/>
          <w:sz w:val="24"/>
          <w:szCs w:val="24"/>
        </w:rPr>
        <w:t>to</w:t>
      </w:r>
      <w:r w:rsidRPr="00046BF4">
        <w:rPr>
          <w:color w:val="231F20"/>
          <w:spacing w:val="-8"/>
          <w:sz w:val="24"/>
          <w:szCs w:val="24"/>
        </w:rPr>
        <w:t xml:space="preserve"> </w:t>
      </w:r>
      <w:r w:rsidRPr="00046BF4">
        <w:rPr>
          <w:color w:val="231F20"/>
          <w:sz w:val="24"/>
          <w:szCs w:val="24"/>
        </w:rPr>
        <w:t>address</w:t>
      </w:r>
      <w:r w:rsidRPr="00046BF4">
        <w:rPr>
          <w:color w:val="231F20"/>
          <w:spacing w:val="-7"/>
          <w:sz w:val="24"/>
          <w:szCs w:val="24"/>
        </w:rPr>
        <w:t xml:space="preserve"> </w:t>
      </w:r>
      <w:r w:rsidRPr="00046BF4">
        <w:rPr>
          <w:color w:val="231F20"/>
          <w:sz w:val="24"/>
          <w:szCs w:val="24"/>
        </w:rPr>
        <w:t>the</w:t>
      </w:r>
      <w:r w:rsidRPr="00046BF4">
        <w:rPr>
          <w:color w:val="231F20"/>
          <w:spacing w:val="-8"/>
          <w:sz w:val="24"/>
          <w:szCs w:val="24"/>
        </w:rPr>
        <w:t xml:space="preserve"> </w:t>
      </w:r>
      <w:r w:rsidRPr="00046BF4">
        <w:rPr>
          <w:color w:val="231F20"/>
          <w:sz w:val="24"/>
          <w:szCs w:val="24"/>
        </w:rPr>
        <w:t>increase</w:t>
      </w:r>
      <w:r w:rsidRPr="00046BF4">
        <w:rPr>
          <w:color w:val="231F20"/>
          <w:spacing w:val="-8"/>
          <w:sz w:val="24"/>
          <w:szCs w:val="24"/>
        </w:rPr>
        <w:t xml:space="preserve"> </w:t>
      </w:r>
      <w:r w:rsidRPr="00046BF4">
        <w:rPr>
          <w:color w:val="231F20"/>
          <w:sz w:val="24"/>
          <w:szCs w:val="24"/>
        </w:rPr>
        <w:t>in</w:t>
      </w:r>
      <w:r w:rsidRPr="00046BF4">
        <w:rPr>
          <w:color w:val="231F20"/>
          <w:spacing w:val="-8"/>
          <w:sz w:val="24"/>
          <w:szCs w:val="24"/>
        </w:rPr>
        <w:t xml:space="preserve"> </w:t>
      </w:r>
      <w:r w:rsidRPr="00046BF4">
        <w:rPr>
          <w:color w:val="231F20"/>
          <w:sz w:val="24"/>
          <w:szCs w:val="24"/>
        </w:rPr>
        <w:t>mental</w:t>
      </w:r>
      <w:r w:rsidRPr="00046BF4">
        <w:rPr>
          <w:color w:val="231F20"/>
          <w:spacing w:val="-8"/>
          <w:sz w:val="24"/>
          <w:szCs w:val="24"/>
        </w:rPr>
        <w:t xml:space="preserve"> </w:t>
      </w:r>
      <w:r w:rsidRPr="00046BF4">
        <w:rPr>
          <w:color w:val="231F20"/>
          <w:sz w:val="24"/>
          <w:szCs w:val="24"/>
        </w:rPr>
        <w:t>health</w:t>
      </w:r>
      <w:r w:rsidRPr="00046BF4">
        <w:rPr>
          <w:color w:val="231F20"/>
          <w:spacing w:val="-8"/>
          <w:sz w:val="24"/>
          <w:szCs w:val="24"/>
        </w:rPr>
        <w:t xml:space="preserve"> </w:t>
      </w:r>
      <w:r w:rsidRPr="00046BF4">
        <w:rPr>
          <w:color w:val="231F20"/>
          <w:sz w:val="24"/>
          <w:szCs w:val="24"/>
        </w:rPr>
        <w:t>injuries</w:t>
      </w:r>
      <w:r w:rsidRPr="00046BF4">
        <w:rPr>
          <w:color w:val="231F20"/>
          <w:spacing w:val="-7"/>
          <w:sz w:val="24"/>
          <w:szCs w:val="24"/>
        </w:rPr>
        <w:t xml:space="preserve"> </w:t>
      </w:r>
      <w:r w:rsidRPr="00046BF4">
        <w:rPr>
          <w:color w:val="231F20"/>
          <w:sz w:val="24"/>
          <w:szCs w:val="24"/>
        </w:rPr>
        <w:t>and</w:t>
      </w:r>
      <w:r w:rsidRPr="00046BF4">
        <w:rPr>
          <w:color w:val="231F20"/>
          <w:spacing w:val="-8"/>
          <w:sz w:val="24"/>
          <w:szCs w:val="24"/>
        </w:rPr>
        <w:t xml:space="preserve"> </w:t>
      </w:r>
      <w:r w:rsidRPr="00046BF4">
        <w:rPr>
          <w:color w:val="231F20"/>
          <w:sz w:val="24"/>
          <w:szCs w:val="24"/>
        </w:rPr>
        <w:t>claims, focusing on prevention, early intervention and return to health initiatives.</w:t>
      </w:r>
    </w:p>
    <w:p w14:paraId="00A06191" w14:textId="77777777" w:rsidR="00345EE3" w:rsidRPr="00046BF4" w:rsidRDefault="00345EE3" w:rsidP="00345EE3">
      <w:pPr>
        <w:pStyle w:val="BodyText"/>
        <w:spacing w:before="119" w:line="242" w:lineRule="auto"/>
        <w:ind w:right="921"/>
        <w:rPr>
          <w:sz w:val="24"/>
          <w:szCs w:val="24"/>
        </w:rPr>
      </w:pPr>
      <w:r w:rsidRPr="00046BF4">
        <w:rPr>
          <w:color w:val="231F20"/>
          <w:sz w:val="24"/>
          <w:szCs w:val="24"/>
        </w:rPr>
        <w:t>Incident</w:t>
      </w:r>
      <w:r w:rsidRPr="00046BF4">
        <w:rPr>
          <w:color w:val="231F20"/>
          <w:spacing w:val="-12"/>
          <w:sz w:val="24"/>
          <w:szCs w:val="24"/>
        </w:rPr>
        <w:t xml:space="preserve"> </w:t>
      </w:r>
      <w:r w:rsidRPr="00046BF4">
        <w:rPr>
          <w:color w:val="231F20"/>
          <w:sz w:val="24"/>
          <w:szCs w:val="24"/>
        </w:rPr>
        <w:t>management</w:t>
      </w:r>
      <w:r w:rsidRPr="00046BF4">
        <w:rPr>
          <w:color w:val="231F20"/>
          <w:spacing w:val="-12"/>
          <w:sz w:val="24"/>
          <w:szCs w:val="24"/>
        </w:rPr>
        <w:t xml:space="preserve"> </w:t>
      </w:r>
      <w:r w:rsidRPr="00046BF4">
        <w:rPr>
          <w:color w:val="231F20"/>
          <w:sz w:val="24"/>
          <w:szCs w:val="24"/>
        </w:rPr>
        <w:t>resources</w:t>
      </w:r>
      <w:r w:rsidRPr="00046BF4">
        <w:rPr>
          <w:color w:val="231F20"/>
          <w:spacing w:val="-12"/>
          <w:sz w:val="24"/>
          <w:szCs w:val="24"/>
        </w:rPr>
        <w:t xml:space="preserve"> </w:t>
      </w:r>
      <w:r w:rsidRPr="00046BF4">
        <w:rPr>
          <w:color w:val="231F20"/>
          <w:sz w:val="24"/>
          <w:szCs w:val="24"/>
        </w:rPr>
        <w:t>have</w:t>
      </w:r>
      <w:r w:rsidRPr="00046BF4">
        <w:rPr>
          <w:color w:val="231F20"/>
          <w:spacing w:val="-13"/>
          <w:sz w:val="24"/>
          <w:szCs w:val="24"/>
        </w:rPr>
        <w:t xml:space="preserve"> </w:t>
      </w:r>
      <w:r w:rsidRPr="00046BF4">
        <w:rPr>
          <w:color w:val="231F20"/>
          <w:sz w:val="24"/>
          <w:szCs w:val="24"/>
        </w:rPr>
        <w:t>continued</w:t>
      </w:r>
      <w:r w:rsidRPr="00046BF4">
        <w:rPr>
          <w:color w:val="231F20"/>
          <w:spacing w:val="-13"/>
          <w:sz w:val="24"/>
          <w:szCs w:val="24"/>
        </w:rPr>
        <w:t xml:space="preserve"> </w:t>
      </w:r>
      <w:r w:rsidRPr="00046BF4">
        <w:rPr>
          <w:color w:val="231F20"/>
          <w:sz w:val="24"/>
          <w:szCs w:val="24"/>
        </w:rPr>
        <w:t>to</w:t>
      </w:r>
      <w:r w:rsidRPr="00046BF4">
        <w:rPr>
          <w:color w:val="231F20"/>
          <w:spacing w:val="-13"/>
          <w:sz w:val="24"/>
          <w:szCs w:val="24"/>
        </w:rPr>
        <w:t xml:space="preserve"> </w:t>
      </w:r>
      <w:r w:rsidRPr="00046BF4">
        <w:rPr>
          <w:color w:val="231F20"/>
          <w:sz w:val="24"/>
          <w:szCs w:val="24"/>
        </w:rPr>
        <w:t>focus</w:t>
      </w:r>
      <w:r w:rsidRPr="00046BF4">
        <w:rPr>
          <w:color w:val="231F20"/>
          <w:spacing w:val="-12"/>
          <w:sz w:val="24"/>
          <w:szCs w:val="24"/>
        </w:rPr>
        <w:t xml:space="preserve"> </w:t>
      </w:r>
      <w:r w:rsidRPr="00046BF4">
        <w:rPr>
          <w:color w:val="231F20"/>
          <w:sz w:val="24"/>
          <w:szCs w:val="24"/>
        </w:rPr>
        <w:t>on</w:t>
      </w:r>
      <w:r w:rsidRPr="00046BF4">
        <w:rPr>
          <w:color w:val="231F20"/>
          <w:spacing w:val="-13"/>
          <w:sz w:val="24"/>
          <w:szCs w:val="24"/>
        </w:rPr>
        <w:t xml:space="preserve"> </w:t>
      </w:r>
      <w:r w:rsidRPr="00046BF4">
        <w:rPr>
          <w:color w:val="231F20"/>
          <w:sz w:val="24"/>
          <w:szCs w:val="24"/>
        </w:rPr>
        <w:t>supporting</w:t>
      </w:r>
      <w:r w:rsidRPr="00046BF4">
        <w:rPr>
          <w:color w:val="231F20"/>
          <w:spacing w:val="-13"/>
          <w:sz w:val="24"/>
          <w:szCs w:val="24"/>
        </w:rPr>
        <w:t xml:space="preserve"> </w:t>
      </w:r>
      <w:r w:rsidRPr="00046BF4">
        <w:rPr>
          <w:color w:val="231F20"/>
          <w:sz w:val="24"/>
          <w:szCs w:val="24"/>
        </w:rPr>
        <w:t>the</w:t>
      </w:r>
      <w:r w:rsidRPr="00046BF4">
        <w:rPr>
          <w:color w:val="231F20"/>
          <w:spacing w:val="-13"/>
          <w:sz w:val="24"/>
          <w:szCs w:val="24"/>
        </w:rPr>
        <w:t xml:space="preserve"> </w:t>
      </w:r>
      <w:r w:rsidRPr="00046BF4">
        <w:rPr>
          <w:color w:val="231F20"/>
          <w:sz w:val="24"/>
          <w:szCs w:val="24"/>
        </w:rPr>
        <w:t>broader</w:t>
      </w:r>
      <w:r w:rsidRPr="00046BF4">
        <w:rPr>
          <w:color w:val="231F20"/>
          <w:spacing w:val="-12"/>
          <w:sz w:val="24"/>
          <w:szCs w:val="24"/>
        </w:rPr>
        <w:t xml:space="preserve"> </w:t>
      </w:r>
      <w:r w:rsidRPr="00046BF4">
        <w:rPr>
          <w:color w:val="231F20"/>
          <w:sz w:val="24"/>
          <w:szCs w:val="24"/>
        </w:rPr>
        <w:t>COVID-19 response throughout 2021–22. This has included:</w:t>
      </w:r>
    </w:p>
    <w:p w14:paraId="23CBB74B" w14:textId="77777777" w:rsidR="00345EE3" w:rsidRDefault="00345EE3">
      <w:pPr>
        <w:pStyle w:val="ListParagraph"/>
        <w:numPr>
          <w:ilvl w:val="0"/>
          <w:numId w:val="91"/>
        </w:numPr>
        <w:tabs>
          <w:tab w:val="left" w:pos="393"/>
          <w:tab w:val="left" w:pos="394"/>
        </w:tabs>
        <w:spacing w:before="31"/>
        <w:rPr>
          <w:sz w:val="24"/>
        </w:rPr>
      </w:pPr>
      <w:r>
        <w:rPr>
          <w:color w:val="231F20"/>
          <w:sz w:val="24"/>
        </w:rPr>
        <w:t>contact</w:t>
      </w:r>
      <w:r>
        <w:rPr>
          <w:color w:val="231F20"/>
          <w:spacing w:val="-5"/>
          <w:sz w:val="24"/>
        </w:rPr>
        <w:t xml:space="preserve"> </w:t>
      </w:r>
      <w:r>
        <w:rPr>
          <w:color w:val="231F20"/>
          <w:spacing w:val="-2"/>
          <w:sz w:val="24"/>
        </w:rPr>
        <w:t>tracing</w:t>
      </w:r>
    </w:p>
    <w:p w14:paraId="594373E4" w14:textId="77777777" w:rsidR="00345EE3" w:rsidRDefault="00345EE3">
      <w:pPr>
        <w:pStyle w:val="ListParagraph"/>
        <w:numPr>
          <w:ilvl w:val="0"/>
          <w:numId w:val="91"/>
        </w:numPr>
        <w:tabs>
          <w:tab w:val="left" w:pos="393"/>
          <w:tab w:val="left" w:pos="394"/>
        </w:tabs>
        <w:rPr>
          <w:sz w:val="24"/>
        </w:rPr>
      </w:pPr>
      <w:r>
        <w:rPr>
          <w:color w:val="231F20"/>
          <w:sz w:val="24"/>
        </w:rPr>
        <w:t>outbreak</w:t>
      </w:r>
      <w:r>
        <w:rPr>
          <w:color w:val="231F20"/>
          <w:spacing w:val="-14"/>
          <w:sz w:val="24"/>
        </w:rPr>
        <w:t xml:space="preserve"> </w:t>
      </w:r>
      <w:r>
        <w:rPr>
          <w:color w:val="231F20"/>
          <w:spacing w:val="-2"/>
          <w:sz w:val="24"/>
        </w:rPr>
        <w:t>management</w:t>
      </w:r>
    </w:p>
    <w:p w14:paraId="0BC1C74A" w14:textId="77777777" w:rsidR="00345EE3" w:rsidRDefault="00345EE3">
      <w:pPr>
        <w:pStyle w:val="ListParagraph"/>
        <w:numPr>
          <w:ilvl w:val="0"/>
          <w:numId w:val="91"/>
        </w:numPr>
        <w:tabs>
          <w:tab w:val="left" w:pos="393"/>
          <w:tab w:val="left" w:pos="394"/>
        </w:tabs>
        <w:rPr>
          <w:sz w:val="24"/>
        </w:rPr>
      </w:pPr>
      <w:r>
        <w:rPr>
          <w:color w:val="231F20"/>
          <w:sz w:val="24"/>
        </w:rPr>
        <w:t>Infection</w:t>
      </w:r>
      <w:r>
        <w:rPr>
          <w:color w:val="231F20"/>
          <w:spacing w:val="-13"/>
          <w:sz w:val="24"/>
        </w:rPr>
        <w:t xml:space="preserve"> </w:t>
      </w:r>
      <w:r>
        <w:rPr>
          <w:color w:val="231F20"/>
          <w:sz w:val="24"/>
        </w:rPr>
        <w:t>Prevention</w:t>
      </w:r>
      <w:r>
        <w:rPr>
          <w:color w:val="231F20"/>
          <w:spacing w:val="-12"/>
          <w:sz w:val="24"/>
        </w:rPr>
        <w:t xml:space="preserve"> </w:t>
      </w:r>
      <w:r>
        <w:rPr>
          <w:color w:val="231F20"/>
          <w:sz w:val="24"/>
        </w:rPr>
        <w:t>Control</w:t>
      </w:r>
      <w:r>
        <w:rPr>
          <w:color w:val="231F20"/>
          <w:spacing w:val="-12"/>
          <w:sz w:val="24"/>
        </w:rPr>
        <w:t xml:space="preserve"> </w:t>
      </w:r>
      <w:r>
        <w:rPr>
          <w:color w:val="231F20"/>
          <w:sz w:val="24"/>
        </w:rPr>
        <w:t>protocols</w:t>
      </w:r>
      <w:r>
        <w:rPr>
          <w:color w:val="231F20"/>
          <w:spacing w:val="-12"/>
          <w:sz w:val="24"/>
        </w:rPr>
        <w:t xml:space="preserve"> </w:t>
      </w:r>
      <w:r>
        <w:rPr>
          <w:color w:val="231F20"/>
          <w:sz w:val="24"/>
        </w:rPr>
        <w:t>and</w:t>
      </w:r>
      <w:r>
        <w:rPr>
          <w:color w:val="231F20"/>
          <w:spacing w:val="-12"/>
          <w:sz w:val="24"/>
        </w:rPr>
        <w:t xml:space="preserve"> </w:t>
      </w:r>
      <w:r>
        <w:rPr>
          <w:color w:val="231F20"/>
          <w:spacing w:val="-2"/>
          <w:sz w:val="24"/>
        </w:rPr>
        <w:t>advice</w:t>
      </w:r>
    </w:p>
    <w:p w14:paraId="24070866" w14:textId="77777777" w:rsidR="00345EE3" w:rsidRDefault="00345EE3">
      <w:pPr>
        <w:pStyle w:val="ListParagraph"/>
        <w:numPr>
          <w:ilvl w:val="0"/>
          <w:numId w:val="91"/>
        </w:numPr>
        <w:tabs>
          <w:tab w:val="left" w:pos="393"/>
          <w:tab w:val="left" w:pos="394"/>
        </w:tabs>
        <w:spacing w:before="33"/>
        <w:rPr>
          <w:sz w:val="24"/>
        </w:rPr>
      </w:pPr>
      <w:r>
        <w:rPr>
          <w:color w:val="231F20"/>
          <w:sz w:val="24"/>
        </w:rPr>
        <w:t>exposure</w:t>
      </w:r>
      <w:r>
        <w:rPr>
          <w:color w:val="231F20"/>
          <w:spacing w:val="-11"/>
          <w:sz w:val="24"/>
        </w:rPr>
        <w:t xml:space="preserve"> </w:t>
      </w:r>
      <w:r>
        <w:rPr>
          <w:color w:val="231F20"/>
          <w:sz w:val="24"/>
        </w:rPr>
        <w:t>risk</w:t>
      </w:r>
      <w:r>
        <w:rPr>
          <w:color w:val="231F20"/>
          <w:spacing w:val="-10"/>
          <w:sz w:val="24"/>
        </w:rPr>
        <w:t xml:space="preserve"> </w:t>
      </w:r>
      <w:r>
        <w:rPr>
          <w:color w:val="231F20"/>
          <w:spacing w:val="-2"/>
          <w:sz w:val="24"/>
        </w:rPr>
        <w:t>assessment</w:t>
      </w:r>
    </w:p>
    <w:p w14:paraId="3CD9F278" w14:textId="77777777" w:rsidR="00345EE3" w:rsidRDefault="00345EE3">
      <w:pPr>
        <w:pStyle w:val="ListParagraph"/>
        <w:numPr>
          <w:ilvl w:val="0"/>
          <w:numId w:val="91"/>
        </w:numPr>
        <w:tabs>
          <w:tab w:val="left" w:pos="393"/>
          <w:tab w:val="left" w:pos="394"/>
        </w:tabs>
        <w:rPr>
          <w:sz w:val="24"/>
        </w:rPr>
      </w:pPr>
      <w:r>
        <w:rPr>
          <w:color w:val="231F20"/>
          <w:sz w:val="24"/>
        </w:rPr>
        <w:t>sustained</w:t>
      </w:r>
      <w:r>
        <w:rPr>
          <w:color w:val="231F20"/>
          <w:spacing w:val="-11"/>
          <w:sz w:val="24"/>
        </w:rPr>
        <w:t xml:space="preserve"> </w:t>
      </w:r>
      <w:r>
        <w:rPr>
          <w:color w:val="231F20"/>
          <w:sz w:val="24"/>
        </w:rPr>
        <w:t>support</w:t>
      </w:r>
      <w:r>
        <w:rPr>
          <w:color w:val="231F20"/>
          <w:spacing w:val="-8"/>
          <w:sz w:val="24"/>
        </w:rPr>
        <w:t xml:space="preserve"> </w:t>
      </w:r>
      <w:r>
        <w:rPr>
          <w:color w:val="231F20"/>
          <w:sz w:val="24"/>
        </w:rPr>
        <w:t>to</w:t>
      </w:r>
      <w:r>
        <w:rPr>
          <w:color w:val="231F20"/>
          <w:spacing w:val="-9"/>
          <w:sz w:val="24"/>
        </w:rPr>
        <w:t xml:space="preserve"> </w:t>
      </w:r>
      <w:r>
        <w:rPr>
          <w:color w:val="231F20"/>
          <w:sz w:val="24"/>
        </w:rPr>
        <w:t>the</w:t>
      </w:r>
      <w:r>
        <w:rPr>
          <w:color w:val="231F20"/>
          <w:spacing w:val="-9"/>
          <w:sz w:val="24"/>
        </w:rPr>
        <w:t xml:space="preserve"> </w:t>
      </w:r>
      <w:r>
        <w:rPr>
          <w:color w:val="231F20"/>
          <w:sz w:val="24"/>
        </w:rPr>
        <w:t>State</w:t>
      </w:r>
      <w:r>
        <w:rPr>
          <w:color w:val="231F20"/>
          <w:spacing w:val="-9"/>
          <w:sz w:val="24"/>
        </w:rPr>
        <w:t xml:space="preserve"> </w:t>
      </w:r>
      <w:r>
        <w:rPr>
          <w:color w:val="231F20"/>
          <w:sz w:val="24"/>
        </w:rPr>
        <w:t>Police</w:t>
      </w:r>
      <w:r>
        <w:rPr>
          <w:color w:val="231F20"/>
          <w:spacing w:val="-9"/>
          <w:sz w:val="24"/>
        </w:rPr>
        <w:t xml:space="preserve"> </w:t>
      </w:r>
      <w:r>
        <w:rPr>
          <w:color w:val="231F20"/>
          <w:sz w:val="24"/>
        </w:rPr>
        <w:t>Operations</w:t>
      </w:r>
      <w:r>
        <w:rPr>
          <w:color w:val="231F20"/>
          <w:spacing w:val="-8"/>
          <w:sz w:val="24"/>
        </w:rPr>
        <w:t xml:space="preserve"> </w:t>
      </w:r>
      <w:r>
        <w:rPr>
          <w:color w:val="231F20"/>
          <w:sz w:val="24"/>
        </w:rPr>
        <w:t>Centre</w:t>
      </w:r>
      <w:r>
        <w:rPr>
          <w:color w:val="231F20"/>
          <w:spacing w:val="-8"/>
          <w:sz w:val="24"/>
        </w:rPr>
        <w:t xml:space="preserve"> </w:t>
      </w:r>
      <w:r>
        <w:rPr>
          <w:color w:val="231F20"/>
          <w:spacing w:val="-2"/>
          <w:sz w:val="24"/>
        </w:rPr>
        <w:t>(SPOC).</w:t>
      </w:r>
    </w:p>
    <w:p w14:paraId="1037AF07" w14:textId="77777777" w:rsidR="00345EE3" w:rsidRDefault="00345EE3" w:rsidP="00345EE3">
      <w:pPr>
        <w:rPr>
          <w:b/>
          <w:bCs/>
          <w:color w:val="3D68AD"/>
          <w:sz w:val="28"/>
          <w:szCs w:val="28"/>
        </w:rPr>
      </w:pPr>
      <w:r>
        <w:rPr>
          <w:color w:val="3D68AD"/>
        </w:rPr>
        <w:br w:type="page"/>
      </w:r>
    </w:p>
    <w:p w14:paraId="43425352" w14:textId="77777777" w:rsidR="00345EE3" w:rsidRPr="00087AF4" w:rsidRDefault="00345EE3" w:rsidP="002A27BA">
      <w:pPr>
        <w:pStyle w:val="Heading3"/>
      </w:pPr>
      <w:r w:rsidRPr="00087AF4">
        <w:t>Occupational</w:t>
      </w:r>
      <w:r w:rsidRPr="00087AF4">
        <w:rPr>
          <w:spacing w:val="-2"/>
        </w:rPr>
        <w:t xml:space="preserve"> </w:t>
      </w:r>
      <w:r w:rsidRPr="00087AF4">
        <w:t>Health and Safety</w:t>
      </w:r>
      <w:r w:rsidRPr="00087AF4">
        <w:rPr>
          <w:spacing w:val="-1"/>
        </w:rPr>
        <w:t xml:space="preserve"> </w:t>
      </w:r>
      <w:r w:rsidRPr="00087AF4">
        <w:t xml:space="preserve">Performance </w:t>
      </w:r>
      <w:r w:rsidRPr="00087AF4">
        <w:rPr>
          <w:spacing w:val="-2"/>
        </w:rPr>
        <w:t>Indicators</w:t>
      </w:r>
    </w:p>
    <w:p w14:paraId="628337F8" w14:textId="77777777" w:rsidR="00345EE3" w:rsidRDefault="00345EE3" w:rsidP="00345EE3">
      <w:pPr>
        <w:spacing w:before="59" w:after="120"/>
        <w:ind w:left="110"/>
        <w:rPr>
          <w:rFonts w:ascii="Arial-BoldItalicMT"/>
          <w:b/>
          <w:i/>
          <w:color w:val="231F20"/>
          <w:spacing w:val="-2"/>
          <w:sz w:val="18"/>
        </w:rPr>
      </w:pPr>
      <w:r>
        <w:rPr>
          <w:color w:val="231F20"/>
          <w:sz w:val="18"/>
        </w:rPr>
        <w:t>Table</w:t>
      </w:r>
      <w:r>
        <w:rPr>
          <w:color w:val="231F20"/>
          <w:spacing w:val="-7"/>
          <w:sz w:val="18"/>
        </w:rPr>
        <w:t xml:space="preserve"> </w:t>
      </w:r>
      <w:r>
        <w:rPr>
          <w:color w:val="231F20"/>
          <w:sz w:val="18"/>
        </w:rPr>
        <w:t>2.2:</w:t>
      </w:r>
      <w:r>
        <w:rPr>
          <w:color w:val="231F20"/>
          <w:spacing w:val="-7"/>
          <w:sz w:val="18"/>
        </w:rPr>
        <w:t xml:space="preserve"> </w:t>
      </w:r>
      <w:r>
        <w:rPr>
          <w:rFonts w:ascii="Arial-BoldItalicMT"/>
          <w:b/>
          <w:i/>
          <w:color w:val="231F20"/>
          <w:sz w:val="18"/>
        </w:rPr>
        <w:t>OHS</w:t>
      </w:r>
      <w:r>
        <w:rPr>
          <w:rFonts w:ascii="Arial-BoldItalicMT"/>
          <w:b/>
          <w:i/>
          <w:color w:val="231F20"/>
          <w:spacing w:val="-10"/>
          <w:sz w:val="18"/>
        </w:rPr>
        <w:t xml:space="preserve"> </w:t>
      </w:r>
      <w:r>
        <w:rPr>
          <w:rFonts w:ascii="Arial-BoldItalicMT"/>
          <w:b/>
          <w:i/>
          <w:color w:val="231F20"/>
          <w:sz w:val="18"/>
        </w:rPr>
        <w:t>Key</w:t>
      </w:r>
      <w:r>
        <w:rPr>
          <w:rFonts w:ascii="Arial-BoldItalicMT"/>
          <w:b/>
          <w:i/>
          <w:color w:val="231F20"/>
          <w:spacing w:val="-9"/>
          <w:sz w:val="18"/>
        </w:rPr>
        <w:t xml:space="preserve"> </w:t>
      </w:r>
      <w:r>
        <w:rPr>
          <w:rFonts w:ascii="Arial-BoldItalicMT"/>
          <w:b/>
          <w:i/>
          <w:color w:val="231F20"/>
          <w:sz w:val="18"/>
        </w:rPr>
        <w:t>Performance</w:t>
      </w:r>
      <w:r>
        <w:rPr>
          <w:rFonts w:ascii="Arial-BoldItalicMT"/>
          <w:b/>
          <w:i/>
          <w:color w:val="231F20"/>
          <w:spacing w:val="-9"/>
          <w:sz w:val="18"/>
        </w:rPr>
        <w:t xml:space="preserve"> </w:t>
      </w:r>
      <w:r>
        <w:rPr>
          <w:rFonts w:ascii="Arial-BoldItalicMT"/>
          <w:b/>
          <w:i/>
          <w:color w:val="231F20"/>
          <w:spacing w:val="-2"/>
          <w:sz w:val="18"/>
        </w:rPr>
        <w:t>Indicators</w:t>
      </w:r>
    </w:p>
    <w:tbl>
      <w:tblPr>
        <w:tblW w:w="0" w:type="auto"/>
        <w:tblInd w:w="156" w:type="dxa"/>
        <w:tblLayout w:type="fixed"/>
        <w:tblCellMar>
          <w:left w:w="0" w:type="dxa"/>
          <w:right w:w="0" w:type="dxa"/>
        </w:tblCellMar>
        <w:tblLook w:val="0000" w:firstRow="0" w:lastRow="0" w:firstColumn="0" w:lastColumn="0" w:noHBand="0" w:noVBand="0"/>
      </w:tblPr>
      <w:tblGrid>
        <w:gridCol w:w="1757"/>
        <w:gridCol w:w="4876"/>
        <w:gridCol w:w="1191"/>
        <w:gridCol w:w="1190"/>
        <w:gridCol w:w="1191"/>
      </w:tblGrid>
      <w:tr w:rsidR="00345EE3" w:rsidRPr="00447AC0" w14:paraId="51BE3B82" w14:textId="77777777" w:rsidTr="00D73130">
        <w:trPr>
          <w:trHeight w:val="60"/>
        </w:trPr>
        <w:tc>
          <w:tcPr>
            <w:tcW w:w="1757" w:type="dxa"/>
            <w:tcBorders>
              <w:top w:val="single" w:sz="6" w:space="0" w:color="auto"/>
              <w:left w:val="single" w:sz="6" w:space="0" w:color="9D9C9C"/>
              <w:bottom w:val="single" w:sz="6" w:space="0" w:color="9D9C9C"/>
              <w:right w:val="single" w:sz="2" w:space="0" w:color="FFFFFF"/>
            </w:tcBorders>
            <w:shd w:val="solid" w:color="004996" w:fill="auto"/>
            <w:tcMar>
              <w:top w:w="113" w:type="dxa"/>
              <w:left w:w="14" w:type="dxa"/>
              <w:bottom w:w="113" w:type="dxa"/>
              <w:right w:w="14" w:type="dxa"/>
            </w:tcMar>
          </w:tcPr>
          <w:p w14:paraId="5F07145C"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47AC0">
              <w:rPr>
                <w:rFonts w:eastAsiaTheme="minorHAnsi"/>
                <w:b/>
                <w:bCs/>
                <w:color w:val="FFFFFF"/>
                <w:sz w:val="24"/>
                <w:szCs w:val="24"/>
                <w:lang w:val="en-GB"/>
              </w:rPr>
              <w:t>Measure</w:t>
            </w:r>
          </w:p>
        </w:tc>
        <w:tc>
          <w:tcPr>
            <w:tcW w:w="4876" w:type="dxa"/>
            <w:tcBorders>
              <w:top w:val="single" w:sz="6" w:space="0" w:color="auto"/>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DA50383"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47AC0">
              <w:rPr>
                <w:rFonts w:eastAsiaTheme="minorHAnsi"/>
                <w:b/>
                <w:bCs/>
                <w:color w:val="FFFFFF"/>
                <w:sz w:val="24"/>
                <w:szCs w:val="24"/>
                <w:lang w:val="en-GB"/>
              </w:rPr>
              <w:t>KPI</w:t>
            </w:r>
          </w:p>
        </w:tc>
        <w:tc>
          <w:tcPr>
            <w:tcW w:w="1191" w:type="dxa"/>
            <w:tcBorders>
              <w:top w:val="single" w:sz="6" w:space="0" w:color="auto"/>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E847642"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447AC0">
              <w:rPr>
                <w:rFonts w:eastAsiaTheme="minorHAnsi"/>
                <w:b/>
                <w:bCs/>
                <w:color w:val="FFFFFF"/>
                <w:spacing w:val="-2"/>
                <w:sz w:val="24"/>
                <w:szCs w:val="24"/>
                <w:lang w:val="en-GB"/>
              </w:rPr>
              <w:t>2019–20</w:t>
            </w:r>
          </w:p>
        </w:tc>
        <w:tc>
          <w:tcPr>
            <w:tcW w:w="1190" w:type="dxa"/>
            <w:tcBorders>
              <w:top w:val="single" w:sz="6" w:space="0" w:color="auto"/>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AB98843"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447AC0">
              <w:rPr>
                <w:rFonts w:eastAsiaTheme="minorHAnsi"/>
                <w:b/>
                <w:bCs/>
                <w:color w:val="FFFFFF"/>
                <w:spacing w:val="-2"/>
                <w:sz w:val="24"/>
                <w:szCs w:val="24"/>
                <w:lang w:val="en-GB"/>
              </w:rPr>
              <w:t>2020–21</w:t>
            </w:r>
          </w:p>
        </w:tc>
        <w:tc>
          <w:tcPr>
            <w:tcW w:w="1191" w:type="dxa"/>
            <w:tcBorders>
              <w:top w:val="single" w:sz="6" w:space="0" w:color="auto"/>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AAD345A"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447AC0">
              <w:rPr>
                <w:rFonts w:eastAsiaTheme="minorHAnsi"/>
                <w:b/>
                <w:bCs/>
                <w:color w:val="FFFFFF"/>
                <w:spacing w:val="-2"/>
                <w:sz w:val="24"/>
                <w:szCs w:val="24"/>
                <w:lang w:val="en-GB"/>
              </w:rPr>
              <w:t>2021–22</w:t>
            </w:r>
          </w:p>
        </w:tc>
      </w:tr>
      <w:tr w:rsidR="005342C1" w:rsidRPr="00447AC0" w14:paraId="0C30D1A3" w14:textId="77777777" w:rsidTr="00D73130">
        <w:trPr>
          <w:trHeight w:val="60"/>
        </w:trPr>
        <w:tc>
          <w:tcPr>
            <w:tcW w:w="1757" w:type="dxa"/>
            <w:vMerge w:val="restart"/>
            <w:tcBorders>
              <w:top w:val="single" w:sz="6" w:space="0" w:color="9D9C9C"/>
              <w:left w:val="single" w:sz="6" w:space="0" w:color="9D9C9C"/>
              <w:right w:val="single" w:sz="2" w:space="0" w:color="9D9C9C"/>
            </w:tcBorders>
            <w:tcMar>
              <w:top w:w="74" w:type="dxa"/>
              <w:left w:w="14" w:type="dxa"/>
              <w:bottom w:w="74" w:type="dxa"/>
              <w:right w:w="14" w:type="dxa"/>
            </w:tcMar>
          </w:tcPr>
          <w:p w14:paraId="09FDC9C4"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Incidents</w:t>
            </w:r>
            <w:r w:rsidRPr="00447AC0">
              <w:rPr>
                <w:rFonts w:eastAsiaTheme="minorHAnsi"/>
                <w:b/>
                <w:bCs/>
                <w:color w:val="000000"/>
                <w:sz w:val="24"/>
                <w:szCs w:val="24"/>
                <w:vertAlign w:val="superscript"/>
                <w:lang w:val="en-GB"/>
              </w:rPr>
              <w:t>1</w:t>
            </w:r>
          </w:p>
        </w:tc>
        <w:tc>
          <w:tcPr>
            <w:tcW w:w="4876" w:type="dxa"/>
            <w:tcBorders>
              <w:top w:val="single" w:sz="6"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8320804"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No. of incidents</w:t>
            </w:r>
          </w:p>
        </w:tc>
        <w:tc>
          <w:tcPr>
            <w:tcW w:w="1191" w:type="dxa"/>
            <w:tcBorders>
              <w:top w:val="single" w:sz="6" w:space="0" w:color="9D9C9C"/>
              <w:left w:val="single" w:sz="6" w:space="0" w:color="9D9C9C"/>
              <w:bottom w:val="single" w:sz="2" w:space="0" w:color="9D9C9C"/>
              <w:right w:val="single" w:sz="2" w:space="0" w:color="9D9C9C"/>
            </w:tcBorders>
            <w:tcMar>
              <w:top w:w="74" w:type="dxa"/>
              <w:left w:w="14" w:type="dxa"/>
              <w:bottom w:w="74" w:type="dxa"/>
              <w:right w:w="14" w:type="dxa"/>
            </w:tcMar>
          </w:tcPr>
          <w:p w14:paraId="626A7AE9"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3,911</w:t>
            </w:r>
          </w:p>
        </w:tc>
        <w:tc>
          <w:tcPr>
            <w:tcW w:w="1190" w:type="dxa"/>
            <w:tcBorders>
              <w:top w:val="single" w:sz="6" w:space="0" w:color="9D9C9C"/>
              <w:left w:val="single" w:sz="2" w:space="0" w:color="9D9C9C"/>
              <w:bottom w:val="single" w:sz="2" w:space="0" w:color="9D9C9C"/>
              <w:right w:val="single" w:sz="2" w:space="0" w:color="9D9C9C"/>
            </w:tcBorders>
            <w:tcMar>
              <w:top w:w="74" w:type="dxa"/>
              <w:left w:w="14" w:type="dxa"/>
              <w:bottom w:w="74" w:type="dxa"/>
              <w:right w:w="14" w:type="dxa"/>
            </w:tcMar>
          </w:tcPr>
          <w:p w14:paraId="29FA2758"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3,914</w:t>
            </w:r>
          </w:p>
        </w:tc>
        <w:tc>
          <w:tcPr>
            <w:tcW w:w="1191" w:type="dxa"/>
            <w:tcBorders>
              <w:top w:val="single" w:sz="6" w:space="0" w:color="9D9C9C"/>
              <w:left w:val="single" w:sz="2" w:space="0" w:color="9D9C9C"/>
              <w:bottom w:val="single" w:sz="2" w:space="0" w:color="9D9C9C"/>
              <w:right w:val="single" w:sz="6" w:space="0" w:color="9D9C9C"/>
            </w:tcBorders>
            <w:tcMar>
              <w:top w:w="74" w:type="dxa"/>
              <w:left w:w="14" w:type="dxa"/>
              <w:bottom w:w="74" w:type="dxa"/>
              <w:right w:w="14" w:type="dxa"/>
            </w:tcMar>
          </w:tcPr>
          <w:p w14:paraId="7CC4279E"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5,524</w:t>
            </w:r>
          </w:p>
        </w:tc>
      </w:tr>
      <w:tr w:rsidR="005342C1" w:rsidRPr="00447AC0" w14:paraId="26DA06BC"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47E709CB"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056F97B4"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i/>
                <w:iCs/>
                <w:color w:val="000000"/>
                <w:spacing w:val="-4"/>
                <w:sz w:val="24"/>
                <w:szCs w:val="24"/>
                <w:lang w:val="en-GB"/>
              </w:rPr>
              <w:t>Rate per 100 FTE</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251B7789"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18.32</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29C57D84"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17.98</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186CF404"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25.82</w:t>
            </w:r>
          </w:p>
        </w:tc>
      </w:tr>
      <w:tr w:rsidR="005342C1" w:rsidRPr="00447AC0" w14:paraId="355FC67A" w14:textId="77777777" w:rsidTr="00D73130">
        <w:trPr>
          <w:trHeight w:val="60"/>
        </w:trPr>
        <w:tc>
          <w:tcPr>
            <w:tcW w:w="1757" w:type="dxa"/>
            <w:vMerge/>
            <w:tcBorders>
              <w:left w:val="single" w:sz="6" w:space="0" w:color="9D9C9C"/>
              <w:bottom w:val="single" w:sz="2" w:space="0" w:color="9D9C9C"/>
              <w:right w:val="single" w:sz="2" w:space="0" w:color="9D9C9C"/>
            </w:tcBorders>
            <w:tcMar>
              <w:top w:w="74" w:type="dxa"/>
              <w:left w:w="14" w:type="dxa"/>
              <w:bottom w:w="74" w:type="dxa"/>
              <w:right w:w="14" w:type="dxa"/>
            </w:tcMar>
          </w:tcPr>
          <w:p w14:paraId="15412680"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7F6ECBEC"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No. of incidents requiring first aid and/or further medical treatment</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58920B41"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1,673</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75C69374"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1,772</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E13B6FC"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2,556</w:t>
            </w:r>
          </w:p>
        </w:tc>
      </w:tr>
      <w:tr w:rsidR="005342C1" w:rsidRPr="00447AC0" w14:paraId="10DADBED" w14:textId="77777777" w:rsidTr="00D73130">
        <w:trPr>
          <w:trHeight w:val="60"/>
        </w:trPr>
        <w:tc>
          <w:tcPr>
            <w:tcW w:w="1757" w:type="dxa"/>
            <w:vMerge w:val="restart"/>
            <w:tcBorders>
              <w:top w:val="single" w:sz="2" w:space="0" w:color="9D9C9C"/>
              <w:left w:val="single" w:sz="6" w:space="0" w:color="9D9C9C"/>
              <w:right w:val="single" w:sz="2" w:space="0" w:color="9D9C9C"/>
            </w:tcBorders>
            <w:tcMar>
              <w:top w:w="74" w:type="dxa"/>
              <w:left w:w="14" w:type="dxa"/>
              <w:bottom w:w="74" w:type="dxa"/>
              <w:right w:w="14" w:type="dxa"/>
            </w:tcMar>
          </w:tcPr>
          <w:p w14:paraId="364E037F"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Claims</w:t>
            </w:r>
            <w:r w:rsidRPr="00447AC0">
              <w:rPr>
                <w:rFonts w:eastAsiaTheme="minorHAnsi"/>
                <w:b/>
                <w:bCs/>
                <w:color w:val="000000"/>
                <w:sz w:val="24"/>
                <w:szCs w:val="24"/>
                <w:vertAlign w:val="superscript"/>
                <w:lang w:val="en-GB"/>
              </w:rPr>
              <w:t>2</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9E8FC6C"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No. of standard claims</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2A289A8B"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933</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72BDA221"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955</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7001D1CF"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1,275</w:t>
            </w:r>
          </w:p>
        </w:tc>
      </w:tr>
      <w:tr w:rsidR="005342C1" w:rsidRPr="00447AC0" w14:paraId="45C078E0"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3733D1F7"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A0AB36A"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i/>
                <w:iCs/>
                <w:color w:val="000000"/>
                <w:spacing w:val="-4"/>
                <w:sz w:val="24"/>
                <w:szCs w:val="24"/>
                <w:lang w:val="en-GB"/>
              </w:rPr>
              <w:t>Rate per 100 FTE</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6791DCAC"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4.37</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61CB934A"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4.39</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9DE71CC"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5.96</w:t>
            </w:r>
          </w:p>
        </w:tc>
      </w:tr>
      <w:tr w:rsidR="005342C1" w:rsidRPr="00447AC0" w14:paraId="5D0E87D2"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03E9F415"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414580C7"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No. of lost time claims</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226A2025"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967</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5C5FFAB7"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970</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9221F10"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1,525</w:t>
            </w:r>
          </w:p>
        </w:tc>
      </w:tr>
      <w:tr w:rsidR="005342C1" w:rsidRPr="00447AC0" w14:paraId="2DC04537"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117D696B"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1341F774"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i/>
                <w:iCs/>
                <w:color w:val="000000"/>
                <w:spacing w:val="-4"/>
                <w:sz w:val="24"/>
                <w:szCs w:val="24"/>
                <w:lang w:val="en-GB"/>
              </w:rPr>
              <w:t>Rate per 100 FTE</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64BEDEDA"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4.53</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09783681"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4.45</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3CF9627"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7.13</w:t>
            </w:r>
          </w:p>
        </w:tc>
      </w:tr>
      <w:tr w:rsidR="005342C1" w:rsidRPr="00447AC0" w14:paraId="6393C426"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442C09CD"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880C780"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No. of claims exceeding 13 weeks</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2F726506"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51</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529A63C1"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43</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07F1D562"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62</w:t>
            </w:r>
          </w:p>
        </w:tc>
      </w:tr>
      <w:tr w:rsidR="005342C1" w:rsidRPr="00447AC0" w14:paraId="3E0A2E5B" w14:textId="77777777" w:rsidTr="00D73130">
        <w:trPr>
          <w:trHeight w:val="60"/>
        </w:trPr>
        <w:tc>
          <w:tcPr>
            <w:tcW w:w="1757" w:type="dxa"/>
            <w:vMerge/>
            <w:tcBorders>
              <w:left w:val="single" w:sz="6" w:space="0" w:color="9D9C9C"/>
              <w:bottom w:val="single" w:sz="2" w:space="0" w:color="9D9C9C"/>
              <w:right w:val="single" w:sz="2" w:space="0" w:color="9D9C9C"/>
            </w:tcBorders>
            <w:tcMar>
              <w:top w:w="74" w:type="dxa"/>
              <w:left w:w="14" w:type="dxa"/>
              <w:bottom w:w="74" w:type="dxa"/>
              <w:right w:w="14" w:type="dxa"/>
            </w:tcMar>
          </w:tcPr>
          <w:p w14:paraId="36D8E4CF"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39CEAE78"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i/>
                <w:iCs/>
                <w:color w:val="000000"/>
                <w:spacing w:val="-4"/>
                <w:sz w:val="24"/>
                <w:szCs w:val="24"/>
                <w:lang w:val="en-GB"/>
              </w:rPr>
              <w:t>Rate per 100 FTE</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49080031"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0.24</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52FC4665"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0.20</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33256E6E"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0.29</w:t>
            </w:r>
          </w:p>
        </w:tc>
      </w:tr>
      <w:tr w:rsidR="00345EE3" w:rsidRPr="00447AC0" w14:paraId="63110290" w14:textId="77777777" w:rsidTr="00D73130">
        <w:trPr>
          <w:trHeight w:val="60"/>
        </w:trPr>
        <w:tc>
          <w:tcPr>
            <w:tcW w:w="1757"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27A11BF9"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Fatalities</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ABADACC"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Fatality claims</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1D68BEEB"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9</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56710C0B"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3</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49E7F78F"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2</w:t>
            </w:r>
          </w:p>
        </w:tc>
      </w:tr>
      <w:tr w:rsidR="00345EE3" w:rsidRPr="00447AC0" w14:paraId="24742D96" w14:textId="77777777" w:rsidTr="00D73130">
        <w:trPr>
          <w:trHeight w:val="60"/>
        </w:trPr>
        <w:tc>
          <w:tcPr>
            <w:tcW w:w="1757"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1E9C3172"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Claim costs</w:t>
            </w:r>
            <w:r w:rsidRPr="00447AC0">
              <w:rPr>
                <w:rFonts w:eastAsiaTheme="minorHAnsi"/>
                <w:b/>
                <w:bCs/>
                <w:color w:val="000000"/>
                <w:sz w:val="24"/>
                <w:szCs w:val="24"/>
                <w:vertAlign w:val="superscript"/>
                <w:lang w:val="en-GB"/>
              </w:rPr>
              <w:t>3</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921A1CD"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Average cost per standard claim</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4A4928F0"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$198,368</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73B45581"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$229,101</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841194A"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$165,022</w:t>
            </w:r>
          </w:p>
        </w:tc>
      </w:tr>
      <w:tr w:rsidR="00345EE3" w:rsidRPr="00447AC0" w14:paraId="4339FA0A" w14:textId="77777777" w:rsidTr="00D73130">
        <w:trPr>
          <w:trHeight w:val="60"/>
        </w:trPr>
        <w:tc>
          <w:tcPr>
            <w:tcW w:w="1757"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18059715"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Return to work (RTW)</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2981ADF6"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Percentage of claims with RTW plan &lt;30 days.</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6EFB8C15" w14:textId="77777777" w:rsidR="00345EE3" w:rsidRPr="00447AC0" w:rsidRDefault="00345EE3"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Not available</w:t>
            </w:r>
            <w:r w:rsidRPr="00447AC0">
              <w:rPr>
                <w:rFonts w:eastAsiaTheme="minorHAnsi"/>
                <w:color w:val="000000"/>
                <w:spacing w:val="-2"/>
                <w:sz w:val="24"/>
                <w:szCs w:val="24"/>
                <w:vertAlign w:val="superscript"/>
                <w:lang w:val="en-GB"/>
              </w:rPr>
              <w:t>4</w:t>
            </w:r>
          </w:p>
        </w:tc>
      </w:tr>
      <w:tr w:rsidR="005342C1" w:rsidRPr="00447AC0" w14:paraId="4881526B" w14:textId="77777777" w:rsidTr="00D73130">
        <w:trPr>
          <w:trHeight w:val="60"/>
        </w:trPr>
        <w:tc>
          <w:tcPr>
            <w:tcW w:w="1757" w:type="dxa"/>
            <w:vMerge w:val="restart"/>
            <w:tcBorders>
              <w:top w:val="single" w:sz="2" w:space="0" w:color="9D9C9C"/>
              <w:left w:val="single" w:sz="6" w:space="0" w:color="9D9C9C"/>
              <w:right w:val="single" w:sz="2" w:space="0" w:color="9D9C9C"/>
            </w:tcBorders>
            <w:tcMar>
              <w:top w:w="74" w:type="dxa"/>
              <w:left w:w="14" w:type="dxa"/>
              <w:bottom w:w="74" w:type="dxa"/>
              <w:right w:w="14" w:type="dxa"/>
            </w:tcMar>
          </w:tcPr>
          <w:p w14:paraId="223A2794"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Management commitment</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2C0D195B"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Evidence of OHS policy statement, OHS objectives, regular reporting to senior management of OHS and OHS plans (signed by CEO or equivalent).</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0D928191"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Completed</w:t>
            </w:r>
          </w:p>
        </w:tc>
      </w:tr>
      <w:tr w:rsidR="005342C1" w:rsidRPr="00447AC0" w14:paraId="7A70F554" w14:textId="77777777" w:rsidTr="00D73130">
        <w:trPr>
          <w:trHeight w:val="60"/>
        </w:trPr>
        <w:tc>
          <w:tcPr>
            <w:tcW w:w="1757" w:type="dxa"/>
            <w:vMerge/>
            <w:tcBorders>
              <w:left w:val="single" w:sz="6" w:space="0" w:color="9D9C9C"/>
              <w:bottom w:val="single" w:sz="2" w:space="0" w:color="9D9C9C"/>
              <w:right w:val="single" w:sz="2" w:space="0" w:color="9D9C9C"/>
            </w:tcBorders>
            <w:tcMar>
              <w:top w:w="74" w:type="dxa"/>
              <w:left w:w="14" w:type="dxa"/>
              <w:bottom w:w="74" w:type="dxa"/>
              <w:right w:w="14" w:type="dxa"/>
            </w:tcMar>
          </w:tcPr>
          <w:p w14:paraId="2443BC4C"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59B78E3"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Evidence of OHS criteria in purchasing guidelines (including goods, services and personnel).</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48798F08"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Completed</w:t>
            </w:r>
          </w:p>
        </w:tc>
      </w:tr>
      <w:tr w:rsidR="005342C1" w:rsidRPr="00447AC0" w14:paraId="21CC6C3C" w14:textId="77777777" w:rsidTr="00D73130">
        <w:trPr>
          <w:trHeight w:val="60"/>
        </w:trPr>
        <w:tc>
          <w:tcPr>
            <w:tcW w:w="1757" w:type="dxa"/>
            <w:vMerge w:val="restart"/>
            <w:tcBorders>
              <w:top w:val="single" w:sz="2" w:space="0" w:color="9D9C9C"/>
              <w:left w:val="single" w:sz="6" w:space="0" w:color="9D9C9C"/>
              <w:right w:val="single" w:sz="2" w:space="0" w:color="9D9C9C"/>
            </w:tcBorders>
            <w:tcMar>
              <w:top w:w="74" w:type="dxa"/>
              <w:left w:w="14" w:type="dxa"/>
              <w:bottom w:w="74" w:type="dxa"/>
              <w:right w:w="14" w:type="dxa"/>
            </w:tcMar>
          </w:tcPr>
          <w:p w14:paraId="5A808609"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Consultation and participation</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0FA2DE1D"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Evidence of agreed structure of designated workgroups (DWGs), health and safety representatives (HSRs) and issue resolution procedures (IRPs).</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762FC604"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Completed</w:t>
            </w:r>
          </w:p>
        </w:tc>
      </w:tr>
      <w:tr w:rsidR="005342C1" w:rsidRPr="00447AC0" w14:paraId="153C0E02"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3A60F91D"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354193AB"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Compliance with agreed structure on DWGs, HSRs, and IRPs.</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2FCAE190"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Completed</w:t>
            </w:r>
          </w:p>
        </w:tc>
      </w:tr>
      <w:tr w:rsidR="005342C1" w:rsidRPr="00447AC0" w14:paraId="39C8F800" w14:textId="77777777" w:rsidTr="00D73130">
        <w:trPr>
          <w:trHeight w:val="60"/>
        </w:trPr>
        <w:tc>
          <w:tcPr>
            <w:tcW w:w="1757" w:type="dxa"/>
            <w:vMerge/>
            <w:tcBorders>
              <w:left w:val="single" w:sz="6" w:space="0" w:color="9D9C9C"/>
              <w:bottom w:val="single" w:sz="2" w:space="0" w:color="9D9C9C"/>
              <w:right w:val="single" w:sz="2" w:space="0" w:color="9D9C9C"/>
            </w:tcBorders>
            <w:tcMar>
              <w:top w:w="74" w:type="dxa"/>
              <w:left w:w="14" w:type="dxa"/>
              <w:bottom w:w="74" w:type="dxa"/>
              <w:right w:w="14" w:type="dxa"/>
            </w:tcMar>
          </w:tcPr>
          <w:p w14:paraId="3BF21B26"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2085207"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Number of quarterly OHS Committee meetings.</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243FAC7D"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Not available</w:t>
            </w:r>
            <w:r w:rsidRPr="00447AC0">
              <w:rPr>
                <w:rFonts w:eastAsiaTheme="minorHAnsi"/>
                <w:color w:val="000000"/>
                <w:spacing w:val="-2"/>
                <w:sz w:val="24"/>
                <w:szCs w:val="24"/>
                <w:vertAlign w:val="superscript"/>
                <w:lang w:val="en-GB"/>
              </w:rPr>
              <w:t>5</w:t>
            </w:r>
          </w:p>
        </w:tc>
      </w:tr>
      <w:tr w:rsidR="005342C1" w:rsidRPr="00447AC0" w14:paraId="41B0A099" w14:textId="77777777" w:rsidTr="00D73130">
        <w:trPr>
          <w:trHeight w:val="60"/>
        </w:trPr>
        <w:tc>
          <w:tcPr>
            <w:tcW w:w="1757" w:type="dxa"/>
            <w:vMerge w:val="restart"/>
            <w:tcBorders>
              <w:top w:val="single" w:sz="2" w:space="0" w:color="9D9C9C"/>
              <w:left w:val="single" w:sz="6" w:space="0" w:color="9D9C9C"/>
              <w:right w:val="single" w:sz="2" w:space="0" w:color="9D9C9C"/>
            </w:tcBorders>
            <w:tcMar>
              <w:top w:w="74" w:type="dxa"/>
              <w:left w:w="14" w:type="dxa"/>
              <w:bottom w:w="74" w:type="dxa"/>
              <w:right w:w="14" w:type="dxa"/>
            </w:tcMar>
          </w:tcPr>
          <w:p w14:paraId="6DDEE181"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Risk management</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1A7DF2F9"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Percentage of internal audits/inspections conducted as planned.</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6CDEFD84"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100%</w:t>
            </w:r>
          </w:p>
        </w:tc>
      </w:tr>
      <w:tr w:rsidR="005342C1" w:rsidRPr="00447AC0" w14:paraId="5FAF78D4"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300DD9EF"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1E6E8330"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Percentage of reported incidents investigated.</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10AB885B"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91.59%</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1F9ABC37"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88.39%</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0E334374"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75.29%</w:t>
            </w:r>
          </w:p>
        </w:tc>
      </w:tr>
      <w:tr w:rsidR="005342C1" w:rsidRPr="00447AC0" w14:paraId="40815CDA"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69BB45FD"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078E71B"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Number of Improvement Notices issued across the Department by WorkSafe Inspector</w:t>
            </w:r>
            <w:r w:rsidRPr="00447AC0">
              <w:rPr>
                <w:rFonts w:eastAsiaTheme="minorHAnsi"/>
                <w:color w:val="000000"/>
                <w:sz w:val="24"/>
                <w:szCs w:val="24"/>
                <w:vertAlign w:val="superscript"/>
                <w:lang w:val="en-GB"/>
              </w:rPr>
              <w:t>6</w:t>
            </w:r>
            <w:r w:rsidRPr="00447AC0">
              <w:rPr>
                <w:rFonts w:eastAsiaTheme="minorHAnsi"/>
                <w:color w:val="000000"/>
                <w:sz w:val="24"/>
                <w:szCs w:val="24"/>
                <w:lang w:val="en-GB"/>
              </w:rPr>
              <w:t>.</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4946DBBD"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52</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3E68AED6"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w:t>
            </w:r>
            <w:r w:rsidRPr="00447AC0">
              <w:rPr>
                <w:rFonts w:eastAsiaTheme="minorHAnsi"/>
                <w:color w:val="000000"/>
                <w:spacing w:val="-2"/>
                <w:sz w:val="24"/>
                <w:szCs w:val="24"/>
                <w:vertAlign w:val="superscript"/>
                <w:lang w:val="en-GB"/>
              </w:rPr>
              <w:t>7</w:t>
            </w:r>
            <w:r w:rsidRPr="00447AC0">
              <w:rPr>
                <w:rFonts w:eastAsiaTheme="minorHAnsi"/>
                <w:color w:val="000000"/>
                <w:spacing w:val="-2"/>
                <w:sz w:val="24"/>
                <w:szCs w:val="24"/>
                <w:lang w:val="en-GB"/>
              </w:rPr>
              <w:t xml:space="preserve"> </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1082507"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7</w:t>
            </w:r>
          </w:p>
        </w:tc>
      </w:tr>
      <w:tr w:rsidR="005342C1" w:rsidRPr="00447AC0" w14:paraId="58FBE5FB" w14:textId="77777777" w:rsidTr="00D73130">
        <w:trPr>
          <w:trHeight w:val="60"/>
        </w:trPr>
        <w:tc>
          <w:tcPr>
            <w:tcW w:w="1757" w:type="dxa"/>
            <w:vMerge/>
            <w:tcBorders>
              <w:left w:val="single" w:sz="6" w:space="0" w:color="9D9C9C"/>
              <w:bottom w:val="single" w:sz="2" w:space="0" w:color="9D9C9C"/>
              <w:right w:val="single" w:sz="2" w:space="0" w:color="9D9C9C"/>
            </w:tcBorders>
            <w:tcMar>
              <w:top w:w="74" w:type="dxa"/>
              <w:left w:w="14" w:type="dxa"/>
              <w:bottom w:w="74" w:type="dxa"/>
              <w:right w:w="14" w:type="dxa"/>
            </w:tcMar>
          </w:tcPr>
          <w:p w14:paraId="3DD3F2D5"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0717B4D7" w14:textId="77777777" w:rsidR="005342C1" w:rsidRPr="00447AC0" w:rsidRDefault="005342C1" w:rsidP="00D73130">
            <w:pPr>
              <w:widowControl/>
              <w:suppressAutoHyphens/>
              <w:adjustRightInd w:val="0"/>
              <w:spacing w:after="28"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Percentage of issues identified and actioned arising from:</w:t>
            </w:r>
          </w:p>
          <w:p w14:paraId="33815F51"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a) internal audits;</w:t>
            </w:r>
          </w:p>
          <w:p w14:paraId="05327DA5"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b) HSR provisional improvement notices; and</w:t>
            </w:r>
          </w:p>
          <w:p w14:paraId="7D0AE6E6"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c) WorkSafe notices.</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vAlign w:val="center"/>
          </w:tcPr>
          <w:p w14:paraId="2648FC18"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100%</w:t>
            </w:r>
          </w:p>
        </w:tc>
      </w:tr>
      <w:tr w:rsidR="005342C1" w:rsidRPr="00447AC0" w14:paraId="1CF7E18D" w14:textId="77777777" w:rsidTr="00D73130">
        <w:trPr>
          <w:trHeight w:val="60"/>
        </w:trPr>
        <w:tc>
          <w:tcPr>
            <w:tcW w:w="1757" w:type="dxa"/>
            <w:vMerge w:val="restart"/>
            <w:tcBorders>
              <w:top w:val="single" w:sz="2" w:space="0" w:color="9D9C9C"/>
              <w:left w:val="single" w:sz="6" w:space="0" w:color="9D9C9C"/>
              <w:right w:val="single" w:sz="2" w:space="0" w:color="9D9C9C"/>
            </w:tcBorders>
            <w:tcMar>
              <w:top w:w="74" w:type="dxa"/>
              <w:left w:w="14" w:type="dxa"/>
              <w:bottom w:w="74" w:type="dxa"/>
              <w:right w:w="14" w:type="dxa"/>
            </w:tcMar>
          </w:tcPr>
          <w:p w14:paraId="52B2B00A"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Training</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2C185204"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Percentage of managers and staff who have received OHS training:</w:t>
            </w:r>
          </w:p>
        </w:tc>
        <w:tc>
          <w:tcPr>
            <w:tcW w:w="1191" w:type="dxa"/>
            <w:tcBorders>
              <w:top w:val="single" w:sz="2" w:space="0" w:color="9D9C9C"/>
              <w:left w:val="single" w:sz="6" w:space="0" w:color="9D9C9C"/>
              <w:bottom w:val="single" w:sz="2" w:space="0" w:color="9D9C9C"/>
              <w:right w:val="single" w:sz="6" w:space="0" w:color="9D9C9C"/>
            </w:tcBorders>
            <w:tcMar>
              <w:top w:w="74" w:type="dxa"/>
              <w:left w:w="14" w:type="dxa"/>
              <w:bottom w:w="74" w:type="dxa"/>
              <w:right w:w="14" w:type="dxa"/>
            </w:tcMar>
          </w:tcPr>
          <w:p w14:paraId="3C0F29E3" w14:textId="77777777" w:rsidR="005342C1" w:rsidRPr="00447AC0" w:rsidRDefault="005342C1" w:rsidP="00D73130">
            <w:pPr>
              <w:widowControl/>
              <w:adjustRightInd w:val="0"/>
              <w:rPr>
                <w:rFonts w:eastAsiaTheme="minorHAnsi"/>
                <w:sz w:val="24"/>
                <w:szCs w:val="24"/>
                <w:lang w:val="en-GB"/>
              </w:rPr>
            </w:pPr>
          </w:p>
        </w:tc>
        <w:tc>
          <w:tcPr>
            <w:tcW w:w="1190" w:type="dxa"/>
            <w:tcBorders>
              <w:top w:val="single" w:sz="2" w:space="0" w:color="9D9C9C"/>
              <w:left w:val="single" w:sz="6" w:space="0" w:color="9D9C9C"/>
              <w:bottom w:val="single" w:sz="2" w:space="0" w:color="9D9C9C"/>
              <w:right w:val="single" w:sz="6" w:space="0" w:color="9D9C9C"/>
            </w:tcBorders>
            <w:tcMar>
              <w:top w:w="74" w:type="dxa"/>
              <w:left w:w="14" w:type="dxa"/>
              <w:bottom w:w="74" w:type="dxa"/>
              <w:right w:w="14" w:type="dxa"/>
            </w:tcMar>
          </w:tcPr>
          <w:p w14:paraId="2CC6B96A" w14:textId="77777777" w:rsidR="005342C1" w:rsidRPr="00447AC0" w:rsidRDefault="005342C1" w:rsidP="00D73130">
            <w:pPr>
              <w:widowControl/>
              <w:adjustRightInd w:val="0"/>
              <w:rPr>
                <w:rFonts w:eastAsiaTheme="minorHAnsi"/>
                <w:sz w:val="24"/>
                <w:szCs w:val="24"/>
                <w:lang w:val="en-GB"/>
              </w:rPr>
            </w:pPr>
          </w:p>
        </w:tc>
        <w:tc>
          <w:tcPr>
            <w:tcW w:w="1191" w:type="dxa"/>
            <w:tcBorders>
              <w:top w:val="single" w:sz="2" w:space="0" w:color="9D9C9C"/>
              <w:left w:val="single" w:sz="6" w:space="0" w:color="9D9C9C"/>
              <w:bottom w:val="single" w:sz="2" w:space="0" w:color="9D9C9C"/>
              <w:right w:val="single" w:sz="6" w:space="0" w:color="9D9C9C"/>
            </w:tcBorders>
            <w:tcMar>
              <w:top w:w="74" w:type="dxa"/>
              <w:left w:w="14" w:type="dxa"/>
              <w:bottom w:w="74" w:type="dxa"/>
              <w:right w:w="14" w:type="dxa"/>
            </w:tcMar>
          </w:tcPr>
          <w:p w14:paraId="5EC3EA14" w14:textId="77777777" w:rsidR="005342C1" w:rsidRPr="00447AC0" w:rsidRDefault="005342C1" w:rsidP="00D73130">
            <w:pPr>
              <w:widowControl/>
              <w:adjustRightInd w:val="0"/>
              <w:rPr>
                <w:rFonts w:eastAsiaTheme="minorHAnsi"/>
                <w:sz w:val="24"/>
                <w:szCs w:val="24"/>
                <w:lang w:val="en-GB"/>
              </w:rPr>
            </w:pPr>
          </w:p>
        </w:tc>
      </w:tr>
      <w:tr w:rsidR="005342C1" w:rsidRPr="00447AC0" w14:paraId="175946DF"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6C94A15B"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1CFF16AC"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a) induction;</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01158CA5"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30.13%</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32C14659"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28.67%</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3BB484D9"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27.81%</w:t>
            </w:r>
          </w:p>
        </w:tc>
      </w:tr>
      <w:tr w:rsidR="005342C1" w:rsidRPr="00447AC0" w14:paraId="16695868"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5700A67D"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4EFFDC35"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b) management training; and</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48AFAC14"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Not available</w:t>
            </w:r>
            <w:r w:rsidRPr="00447AC0">
              <w:rPr>
                <w:rFonts w:eastAsiaTheme="minorHAnsi"/>
                <w:color w:val="000000"/>
                <w:spacing w:val="-2"/>
                <w:sz w:val="24"/>
                <w:szCs w:val="24"/>
                <w:vertAlign w:val="superscript"/>
                <w:lang w:val="en-GB"/>
              </w:rPr>
              <w:t>8</w:t>
            </w:r>
          </w:p>
        </w:tc>
      </w:tr>
      <w:tr w:rsidR="005342C1" w:rsidRPr="00447AC0" w14:paraId="2A15AAFA"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627138CA"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2C9C8144"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c) contractors and temps.</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0B17C60E"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Not available</w:t>
            </w:r>
            <w:r w:rsidRPr="00447AC0">
              <w:rPr>
                <w:rFonts w:eastAsiaTheme="minorHAnsi"/>
                <w:color w:val="000000"/>
                <w:spacing w:val="-2"/>
                <w:sz w:val="24"/>
                <w:szCs w:val="24"/>
                <w:vertAlign w:val="superscript"/>
                <w:lang w:val="en-GB"/>
              </w:rPr>
              <w:t>9</w:t>
            </w:r>
          </w:p>
        </w:tc>
      </w:tr>
      <w:tr w:rsidR="005342C1" w:rsidRPr="00447AC0" w14:paraId="1B7E0021" w14:textId="77777777" w:rsidTr="00D73130">
        <w:trPr>
          <w:trHeight w:val="60"/>
        </w:trPr>
        <w:tc>
          <w:tcPr>
            <w:tcW w:w="1757" w:type="dxa"/>
            <w:vMerge/>
            <w:tcBorders>
              <w:left w:val="single" w:sz="6" w:space="0" w:color="9D9C9C"/>
              <w:bottom w:val="single" w:sz="2" w:space="0" w:color="9D9C9C"/>
              <w:right w:val="single" w:sz="2" w:space="0" w:color="9D9C9C"/>
            </w:tcBorders>
            <w:tcMar>
              <w:top w:w="74" w:type="dxa"/>
              <w:left w:w="14" w:type="dxa"/>
              <w:bottom w:w="74" w:type="dxa"/>
              <w:right w:w="14" w:type="dxa"/>
            </w:tcMar>
          </w:tcPr>
          <w:p w14:paraId="1C4D12E3"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3DA4EAD" w14:textId="77777777" w:rsidR="005342C1" w:rsidRPr="00447AC0" w:rsidRDefault="005342C1" w:rsidP="00D73130">
            <w:pPr>
              <w:widowControl/>
              <w:suppressAutoHyphens/>
              <w:adjustRightInd w:val="0"/>
              <w:spacing w:after="28"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Percentage of HSRs trained:</w:t>
            </w:r>
          </w:p>
          <w:p w14:paraId="7909363C"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a) upon acceptance of role (initial training);</w:t>
            </w:r>
          </w:p>
          <w:p w14:paraId="71729182"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b) retraining (annual refresher).</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vAlign w:val="center"/>
          </w:tcPr>
          <w:p w14:paraId="53450FDA"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Not available</w:t>
            </w:r>
            <w:r w:rsidRPr="00447AC0">
              <w:rPr>
                <w:rFonts w:eastAsiaTheme="minorHAnsi"/>
                <w:color w:val="000000"/>
                <w:spacing w:val="-2"/>
                <w:sz w:val="24"/>
                <w:szCs w:val="24"/>
                <w:vertAlign w:val="superscript"/>
                <w:lang w:val="en-GB"/>
              </w:rPr>
              <w:t>10</w:t>
            </w:r>
          </w:p>
        </w:tc>
      </w:tr>
    </w:tbl>
    <w:p w14:paraId="4BD7B4F9" w14:textId="77777777" w:rsidR="00345EE3" w:rsidRDefault="00345EE3" w:rsidP="00345EE3">
      <w:pPr>
        <w:rPr>
          <w:sz w:val="24"/>
        </w:rPr>
        <w:sectPr w:rsidR="00345EE3">
          <w:pgSz w:w="11910" w:h="16840"/>
          <w:pgMar w:top="700" w:right="0" w:bottom="914" w:left="740" w:header="720" w:footer="720" w:gutter="0"/>
          <w:cols w:space="720"/>
        </w:sectPr>
      </w:pPr>
    </w:p>
    <w:p w14:paraId="2D469D22" w14:textId="77777777" w:rsidR="00345EE3" w:rsidRDefault="00345EE3" w:rsidP="00345EE3">
      <w:pPr>
        <w:pStyle w:val="BodyText"/>
        <w:spacing w:before="8"/>
        <w:rPr>
          <w:rFonts w:ascii="Arial-BoldItalicMT"/>
          <w:b/>
          <w:i/>
          <w:sz w:val="13"/>
        </w:rPr>
      </w:pPr>
    </w:p>
    <w:p w14:paraId="0906F1AE" w14:textId="77777777" w:rsidR="00345EE3" w:rsidRPr="00447AC0" w:rsidRDefault="00345EE3">
      <w:pPr>
        <w:pStyle w:val="ListParagraph"/>
        <w:numPr>
          <w:ilvl w:val="0"/>
          <w:numId w:val="90"/>
        </w:numPr>
        <w:tabs>
          <w:tab w:val="left" w:pos="338"/>
        </w:tabs>
        <w:spacing w:before="0"/>
        <w:ind w:hanging="228"/>
        <w:rPr>
          <w:sz w:val="18"/>
          <w:szCs w:val="18"/>
        </w:rPr>
      </w:pPr>
      <w:r w:rsidRPr="00447AC0">
        <w:rPr>
          <w:color w:val="231F20"/>
          <w:sz w:val="18"/>
          <w:szCs w:val="18"/>
        </w:rPr>
        <w:t xml:space="preserve">Data extracted from HR </w:t>
      </w:r>
      <w:r w:rsidRPr="00447AC0">
        <w:rPr>
          <w:color w:val="231F20"/>
          <w:spacing w:val="-2"/>
          <w:sz w:val="18"/>
          <w:szCs w:val="18"/>
        </w:rPr>
        <w:t>Assist.</w:t>
      </w:r>
    </w:p>
    <w:p w14:paraId="6A7248E5" w14:textId="77777777" w:rsidR="00345EE3" w:rsidRPr="00447AC0" w:rsidRDefault="00345EE3">
      <w:pPr>
        <w:pStyle w:val="ListParagraph"/>
        <w:numPr>
          <w:ilvl w:val="0"/>
          <w:numId w:val="90"/>
        </w:numPr>
        <w:tabs>
          <w:tab w:val="left" w:pos="338"/>
        </w:tabs>
        <w:spacing w:before="27"/>
        <w:ind w:hanging="228"/>
        <w:rPr>
          <w:sz w:val="18"/>
          <w:szCs w:val="18"/>
        </w:rPr>
      </w:pPr>
      <w:r w:rsidRPr="00447AC0">
        <w:rPr>
          <w:color w:val="231F20"/>
          <w:sz w:val="18"/>
          <w:szCs w:val="18"/>
        </w:rPr>
        <w:t>Data</w:t>
      </w:r>
      <w:r w:rsidRPr="00447AC0">
        <w:rPr>
          <w:color w:val="231F20"/>
          <w:spacing w:val="-3"/>
          <w:sz w:val="18"/>
          <w:szCs w:val="18"/>
        </w:rPr>
        <w:t xml:space="preserve"> </w:t>
      </w:r>
      <w:r w:rsidRPr="00447AC0">
        <w:rPr>
          <w:color w:val="231F20"/>
          <w:sz w:val="18"/>
          <w:szCs w:val="18"/>
        </w:rPr>
        <w:t>sourced</w:t>
      </w:r>
      <w:r w:rsidRPr="00447AC0">
        <w:rPr>
          <w:color w:val="231F20"/>
          <w:spacing w:val="-2"/>
          <w:sz w:val="18"/>
          <w:szCs w:val="18"/>
        </w:rPr>
        <w:t xml:space="preserve"> </w:t>
      </w:r>
      <w:r w:rsidRPr="00447AC0">
        <w:rPr>
          <w:color w:val="231F20"/>
          <w:sz w:val="18"/>
          <w:szCs w:val="18"/>
        </w:rPr>
        <w:t>from</w:t>
      </w:r>
      <w:r w:rsidRPr="00447AC0">
        <w:rPr>
          <w:color w:val="231F20"/>
          <w:spacing w:val="-2"/>
          <w:sz w:val="18"/>
          <w:szCs w:val="18"/>
        </w:rPr>
        <w:t xml:space="preserve"> </w:t>
      </w:r>
      <w:r w:rsidRPr="00447AC0">
        <w:rPr>
          <w:color w:val="231F20"/>
          <w:sz w:val="18"/>
          <w:szCs w:val="18"/>
        </w:rPr>
        <w:t>Gallagher</w:t>
      </w:r>
      <w:r w:rsidRPr="00447AC0">
        <w:rPr>
          <w:color w:val="231F20"/>
          <w:spacing w:val="-2"/>
          <w:sz w:val="18"/>
          <w:szCs w:val="18"/>
        </w:rPr>
        <w:t xml:space="preserve"> </w:t>
      </w:r>
      <w:r w:rsidRPr="00447AC0">
        <w:rPr>
          <w:color w:val="231F20"/>
          <w:sz w:val="18"/>
          <w:szCs w:val="18"/>
        </w:rPr>
        <w:t>Bassett.</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relevant</w:t>
      </w:r>
      <w:r w:rsidRPr="00447AC0">
        <w:rPr>
          <w:color w:val="231F20"/>
          <w:spacing w:val="-2"/>
          <w:sz w:val="18"/>
          <w:szCs w:val="18"/>
        </w:rPr>
        <w:t xml:space="preserve"> </w:t>
      </w:r>
      <w:r w:rsidRPr="00447AC0">
        <w:rPr>
          <w:color w:val="231F20"/>
          <w:sz w:val="18"/>
          <w:szCs w:val="18"/>
        </w:rPr>
        <w:t>fiscal</w:t>
      </w:r>
      <w:r w:rsidRPr="00447AC0">
        <w:rPr>
          <w:color w:val="231F20"/>
          <w:spacing w:val="-2"/>
          <w:sz w:val="18"/>
          <w:szCs w:val="18"/>
        </w:rPr>
        <w:t xml:space="preserve"> </w:t>
      </w:r>
      <w:r w:rsidRPr="00447AC0">
        <w:rPr>
          <w:color w:val="231F20"/>
          <w:sz w:val="18"/>
          <w:szCs w:val="18"/>
        </w:rPr>
        <w:t>year</w:t>
      </w:r>
      <w:r w:rsidRPr="00447AC0">
        <w:rPr>
          <w:color w:val="231F20"/>
          <w:spacing w:val="-2"/>
          <w:sz w:val="18"/>
          <w:szCs w:val="18"/>
        </w:rPr>
        <w:t xml:space="preserve"> </w:t>
      </w:r>
      <w:r w:rsidRPr="00447AC0">
        <w:rPr>
          <w:color w:val="231F20"/>
          <w:sz w:val="18"/>
          <w:szCs w:val="18"/>
        </w:rPr>
        <w:t>has</w:t>
      </w:r>
      <w:r w:rsidRPr="00447AC0">
        <w:rPr>
          <w:color w:val="231F20"/>
          <w:spacing w:val="-3"/>
          <w:sz w:val="18"/>
          <w:szCs w:val="18"/>
        </w:rPr>
        <w:t xml:space="preserve"> </w:t>
      </w:r>
      <w:r w:rsidRPr="00447AC0">
        <w:rPr>
          <w:color w:val="231F20"/>
          <w:sz w:val="18"/>
          <w:szCs w:val="18"/>
        </w:rPr>
        <w:t>been</w:t>
      </w:r>
      <w:r w:rsidRPr="00447AC0">
        <w:rPr>
          <w:color w:val="231F20"/>
          <w:spacing w:val="-2"/>
          <w:sz w:val="18"/>
          <w:szCs w:val="18"/>
        </w:rPr>
        <w:t xml:space="preserve"> </w:t>
      </w:r>
      <w:r w:rsidRPr="00447AC0">
        <w:rPr>
          <w:color w:val="231F20"/>
          <w:sz w:val="18"/>
          <w:szCs w:val="18"/>
        </w:rPr>
        <w:t>determined</w:t>
      </w:r>
      <w:r w:rsidRPr="00447AC0">
        <w:rPr>
          <w:color w:val="231F20"/>
          <w:spacing w:val="-2"/>
          <w:sz w:val="18"/>
          <w:szCs w:val="18"/>
        </w:rPr>
        <w:t xml:space="preserve"> </w:t>
      </w:r>
      <w:r w:rsidRPr="00447AC0">
        <w:rPr>
          <w:color w:val="231F20"/>
          <w:sz w:val="18"/>
          <w:szCs w:val="18"/>
        </w:rPr>
        <w:t>by</w:t>
      </w:r>
      <w:r w:rsidRPr="00447AC0">
        <w:rPr>
          <w:color w:val="231F20"/>
          <w:spacing w:val="-2"/>
          <w:sz w:val="18"/>
          <w:szCs w:val="18"/>
        </w:rPr>
        <w:t xml:space="preserve"> </w:t>
      </w:r>
      <w:r w:rsidRPr="00447AC0">
        <w:rPr>
          <w:color w:val="231F20"/>
          <w:sz w:val="18"/>
          <w:szCs w:val="18"/>
        </w:rPr>
        <w:t>using</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date</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claim</w:t>
      </w:r>
      <w:r w:rsidRPr="00447AC0">
        <w:rPr>
          <w:color w:val="231F20"/>
          <w:spacing w:val="-2"/>
          <w:sz w:val="18"/>
          <w:szCs w:val="18"/>
        </w:rPr>
        <w:t xml:space="preserve"> </w:t>
      </w:r>
      <w:r w:rsidRPr="00447AC0">
        <w:rPr>
          <w:color w:val="231F20"/>
          <w:sz w:val="18"/>
          <w:szCs w:val="18"/>
        </w:rPr>
        <w:t>was</w:t>
      </w:r>
      <w:r w:rsidRPr="00447AC0">
        <w:rPr>
          <w:color w:val="231F20"/>
          <w:spacing w:val="-2"/>
          <w:sz w:val="18"/>
          <w:szCs w:val="18"/>
        </w:rPr>
        <w:t xml:space="preserve"> lodged.</w:t>
      </w:r>
    </w:p>
    <w:p w14:paraId="3D636B3C" w14:textId="77777777" w:rsidR="00345EE3" w:rsidRPr="00447AC0" w:rsidRDefault="00345EE3">
      <w:pPr>
        <w:pStyle w:val="ListParagraph"/>
        <w:numPr>
          <w:ilvl w:val="0"/>
          <w:numId w:val="90"/>
        </w:numPr>
        <w:tabs>
          <w:tab w:val="left" w:pos="338"/>
        </w:tabs>
        <w:spacing w:before="27"/>
        <w:ind w:hanging="228"/>
        <w:rPr>
          <w:sz w:val="18"/>
          <w:szCs w:val="18"/>
        </w:rPr>
      </w:pPr>
      <w:r w:rsidRPr="00447AC0">
        <w:rPr>
          <w:color w:val="231F20"/>
          <w:sz w:val="18"/>
          <w:szCs w:val="18"/>
        </w:rPr>
        <w:t>Data</w:t>
      </w:r>
      <w:r w:rsidRPr="00447AC0">
        <w:rPr>
          <w:color w:val="231F20"/>
          <w:spacing w:val="-3"/>
          <w:sz w:val="18"/>
          <w:szCs w:val="18"/>
        </w:rPr>
        <w:t xml:space="preserve"> </w:t>
      </w:r>
      <w:r w:rsidRPr="00447AC0">
        <w:rPr>
          <w:color w:val="231F20"/>
          <w:sz w:val="18"/>
          <w:szCs w:val="18"/>
        </w:rPr>
        <w:t>sourced</w:t>
      </w:r>
      <w:r w:rsidRPr="00447AC0">
        <w:rPr>
          <w:color w:val="231F20"/>
          <w:spacing w:val="-2"/>
          <w:sz w:val="18"/>
          <w:szCs w:val="18"/>
        </w:rPr>
        <w:t xml:space="preserve"> </w:t>
      </w:r>
      <w:r w:rsidRPr="00447AC0">
        <w:rPr>
          <w:color w:val="231F20"/>
          <w:sz w:val="18"/>
          <w:szCs w:val="18"/>
        </w:rPr>
        <w:t>from</w:t>
      </w:r>
      <w:r w:rsidRPr="00447AC0">
        <w:rPr>
          <w:color w:val="231F20"/>
          <w:spacing w:val="-2"/>
          <w:sz w:val="18"/>
          <w:szCs w:val="18"/>
        </w:rPr>
        <w:t xml:space="preserve"> </w:t>
      </w:r>
      <w:r w:rsidRPr="00447AC0">
        <w:rPr>
          <w:color w:val="231F20"/>
          <w:sz w:val="18"/>
          <w:szCs w:val="18"/>
        </w:rPr>
        <w:t>Gallagher</w:t>
      </w:r>
      <w:r w:rsidRPr="00447AC0">
        <w:rPr>
          <w:color w:val="231F20"/>
          <w:spacing w:val="-2"/>
          <w:sz w:val="18"/>
          <w:szCs w:val="18"/>
        </w:rPr>
        <w:t xml:space="preserve"> </w:t>
      </w:r>
      <w:r w:rsidRPr="00447AC0">
        <w:rPr>
          <w:color w:val="231F20"/>
          <w:sz w:val="18"/>
          <w:szCs w:val="18"/>
        </w:rPr>
        <w:t>Bassett.</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relevant</w:t>
      </w:r>
      <w:r w:rsidRPr="00447AC0">
        <w:rPr>
          <w:color w:val="231F20"/>
          <w:spacing w:val="-2"/>
          <w:sz w:val="18"/>
          <w:szCs w:val="18"/>
        </w:rPr>
        <w:t xml:space="preserve"> </w:t>
      </w:r>
      <w:r w:rsidRPr="00447AC0">
        <w:rPr>
          <w:color w:val="231F20"/>
          <w:sz w:val="18"/>
          <w:szCs w:val="18"/>
        </w:rPr>
        <w:t>fiscal</w:t>
      </w:r>
      <w:r w:rsidRPr="00447AC0">
        <w:rPr>
          <w:color w:val="231F20"/>
          <w:spacing w:val="-2"/>
          <w:sz w:val="18"/>
          <w:szCs w:val="18"/>
        </w:rPr>
        <w:t xml:space="preserve"> </w:t>
      </w:r>
      <w:r w:rsidRPr="00447AC0">
        <w:rPr>
          <w:color w:val="231F20"/>
          <w:sz w:val="18"/>
          <w:szCs w:val="18"/>
        </w:rPr>
        <w:t>year</w:t>
      </w:r>
      <w:r w:rsidRPr="00447AC0">
        <w:rPr>
          <w:color w:val="231F20"/>
          <w:spacing w:val="-2"/>
          <w:sz w:val="18"/>
          <w:szCs w:val="18"/>
        </w:rPr>
        <w:t xml:space="preserve"> </w:t>
      </w:r>
      <w:r w:rsidRPr="00447AC0">
        <w:rPr>
          <w:color w:val="231F20"/>
          <w:sz w:val="18"/>
          <w:szCs w:val="18"/>
        </w:rPr>
        <w:t>has</w:t>
      </w:r>
      <w:r w:rsidRPr="00447AC0">
        <w:rPr>
          <w:color w:val="231F20"/>
          <w:spacing w:val="-3"/>
          <w:sz w:val="18"/>
          <w:szCs w:val="18"/>
        </w:rPr>
        <w:t xml:space="preserve"> </w:t>
      </w:r>
      <w:r w:rsidRPr="00447AC0">
        <w:rPr>
          <w:color w:val="231F20"/>
          <w:sz w:val="18"/>
          <w:szCs w:val="18"/>
        </w:rPr>
        <w:t>been</w:t>
      </w:r>
      <w:r w:rsidRPr="00447AC0">
        <w:rPr>
          <w:color w:val="231F20"/>
          <w:spacing w:val="-2"/>
          <w:sz w:val="18"/>
          <w:szCs w:val="18"/>
        </w:rPr>
        <w:t xml:space="preserve"> </w:t>
      </w:r>
      <w:r w:rsidRPr="00447AC0">
        <w:rPr>
          <w:color w:val="231F20"/>
          <w:sz w:val="18"/>
          <w:szCs w:val="18"/>
        </w:rPr>
        <w:t>determined</w:t>
      </w:r>
      <w:r w:rsidRPr="00447AC0">
        <w:rPr>
          <w:color w:val="231F20"/>
          <w:spacing w:val="-2"/>
          <w:sz w:val="18"/>
          <w:szCs w:val="18"/>
        </w:rPr>
        <w:t xml:space="preserve"> </w:t>
      </w:r>
      <w:r w:rsidRPr="00447AC0">
        <w:rPr>
          <w:color w:val="231F20"/>
          <w:sz w:val="18"/>
          <w:szCs w:val="18"/>
        </w:rPr>
        <w:t>by</w:t>
      </w:r>
      <w:r w:rsidRPr="00447AC0">
        <w:rPr>
          <w:color w:val="231F20"/>
          <w:spacing w:val="-2"/>
          <w:sz w:val="18"/>
          <w:szCs w:val="18"/>
        </w:rPr>
        <w:t xml:space="preserve"> </w:t>
      </w:r>
      <w:r w:rsidRPr="00447AC0">
        <w:rPr>
          <w:color w:val="231F20"/>
          <w:sz w:val="18"/>
          <w:szCs w:val="18"/>
        </w:rPr>
        <w:t>using</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date</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claim</w:t>
      </w:r>
      <w:r w:rsidRPr="00447AC0">
        <w:rPr>
          <w:color w:val="231F20"/>
          <w:spacing w:val="-2"/>
          <w:sz w:val="18"/>
          <w:szCs w:val="18"/>
        </w:rPr>
        <w:t xml:space="preserve"> </w:t>
      </w:r>
      <w:r w:rsidRPr="00447AC0">
        <w:rPr>
          <w:color w:val="231F20"/>
          <w:sz w:val="18"/>
          <w:szCs w:val="18"/>
        </w:rPr>
        <w:t>was</w:t>
      </w:r>
      <w:r w:rsidRPr="00447AC0">
        <w:rPr>
          <w:color w:val="231F20"/>
          <w:spacing w:val="-2"/>
          <w:sz w:val="18"/>
          <w:szCs w:val="18"/>
        </w:rPr>
        <w:t xml:space="preserve"> lodged.</w:t>
      </w:r>
    </w:p>
    <w:p w14:paraId="2A15A1CF" w14:textId="77777777" w:rsidR="00345EE3" w:rsidRPr="00447AC0" w:rsidRDefault="00345EE3">
      <w:pPr>
        <w:pStyle w:val="ListParagraph"/>
        <w:numPr>
          <w:ilvl w:val="0"/>
          <w:numId w:val="90"/>
        </w:numPr>
        <w:tabs>
          <w:tab w:val="left" w:pos="338"/>
        </w:tabs>
        <w:spacing w:before="28"/>
        <w:ind w:hanging="228"/>
        <w:rPr>
          <w:sz w:val="18"/>
          <w:szCs w:val="18"/>
        </w:rPr>
      </w:pPr>
      <w:r w:rsidRPr="00447AC0">
        <w:rPr>
          <w:color w:val="231F20"/>
          <w:sz w:val="18"/>
          <w:szCs w:val="18"/>
        </w:rPr>
        <w:t>RTW</w:t>
      </w:r>
      <w:r w:rsidRPr="00447AC0">
        <w:rPr>
          <w:color w:val="231F20"/>
          <w:spacing w:val="-2"/>
          <w:sz w:val="18"/>
          <w:szCs w:val="18"/>
        </w:rPr>
        <w:t xml:space="preserve"> </w:t>
      </w:r>
      <w:r w:rsidRPr="00447AC0">
        <w:rPr>
          <w:color w:val="231F20"/>
          <w:sz w:val="18"/>
          <w:szCs w:val="18"/>
        </w:rPr>
        <w:t>data</w:t>
      </w:r>
      <w:r w:rsidRPr="00447AC0">
        <w:rPr>
          <w:color w:val="231F20"/>
          <w:spacing w:val="-2"/>
          <w:sz w:val="18"/>
          <w:szCs w:val="18"/>
        </w:rPr>
        <w:t xml:space="preserve"> </w:t>
      </w:r>
      <w:r w:rsidRPr="00447AC0">
        <w:rPr>
          <w:color w:val="231F20"/>
          <w:sz w:val="18"/>
          <w:szCs w:val="18"/>
        </w:rPr>
        <w:t>&lt;30</w:t>
      </w:r>
      <w:r w:rsidRPr="00447AC0">
        <w:rPr>
          <w:color w:val="231F20"/>
          <w:spacing w:val="-2"/>
          <w:sz w:val="18"/>
          <w:szCs w:val="18"/>
        </w:rPr>
        <w:t xml:space="preserve"> </w:t>
      </w:r>
      <w:r w:rsidRPr="00447AC0">
        <w:rPr>
          <w:color w:val="231F20"/>
          <w:sz w:val="18"/>
          <w:szCs w:val="18"/>
        </w:rPr>
        <w:t>days</w:t>
      </w:r>
      <w:r w:rsidRPr="00447AC0">
        <w:rPr>
          <w:color w:val="231F20"/>
          <w:spacing w:val="-2"/>
          <w:sz w:val="18"/>
          <w:szCs w:val="18"/>
        </w:rPr>
        <w:t xml:space="preserve"> </w:t>
      </w:r>
      <w:r w:rsidRPr="00447AC0">
        <w:rPr>
          <w:color w:val="231F20"/>
          <w:sz w:val="18"/>
          <w:szCs w:val="18"/>
        </w:rPr>
        <w:t>not</w:t>
      </w:r>
      <w:r w:rsidRPr="00447AC0">
        <w:rPr>
          <w:color w:val="231F20"/>
          <w:spacing w:val="-1"/>
          <w:sz w:val="18"/>
          <w:szCs w:val="18"/>
        </w:rPr>
        <w:t xml:space="preserve"> </w:t>
      </w:r>
      <w:r w:rsidRPr="00447AC0">
        <w:rPr>
          <w:color w:val="231F20"/>
          <w:spacing w:val="-2"/>
          <w:sz w:val="18"/>
          <w:szCs w:val="18"/>
        </w:rPr>
        <w:t>available.</w:t>
      </w:r>
    </w:p>
    <w:p w14:paraId="1AED40D8" w14:textId="77777777" w:rsidR="00345EE3" w:rsidRPr="00447AC0" w:rsidRDefault="00345EE3">
      <w:pPr>
        <w:pStyle w:val="ListParagraph"/>
        <w:numPr>
          <w:ilvl w:val="0"/>
          <w:numId w:val="90"/>
        </w:numPr>
        <w:tabs>
          <w:tab w:val="left" w:pos="338"/>
        </w:tabs>
        <w:spacing w:before="27"/>
        <w:ind w:hanging="228"/>
        <w:rPr>
          <w:sz w:val="18"/>
          <w:szCs w:val="18"/>
        </w:rPr>
      </w:pPr>
      <w:r w:rsidRPr="00447AC0">
        <w:rPr>
          <w:color w:val="231F20"/>
          <w:sz w:val="18"/>
          <w:szCs w:val="18"/>
        </w:rPr>
        <w:t>Data</w:t>
      </w:r>
      <w:r w:rsidRPr="00447AC0">
        <w:rPr>
          <w:color w:val="231F20"/>
          <w:spacing w:val="-2"/>
          <w:sz w:val="18"/>
          <w:szCs w:val="18"/>
        </w:rPr>
        <w:t xml:space="preserve"> </w:t>
      </w:r>
      <w:r w:rsidRPr="00447AC0">
        <w:rPr>
          <w:color w:val="231F20"/>
          <w:sz w:val="18"/>
          <w:szCs w:val="18"/>
        </w:rPr>
        <w:t>not</w:t>
      </w:r>
      <w:r w:rsidRPr="00447AC0">
        <w:rPr>
          <w:color w:val="231F20"/>
          <w:spacing w:val="-2"/>
          <w:sz w:val="18"/>
          <w:szCs w:val="18"/>
        </w:rPr>
        <w:t xml:space="preserve"> </w:t>
      </w:r>
      <w:r w:rsidRPr="00447AC0">
        <w:rPr>
          <w:color w:val="231F20"/>
          <w:sz w:val="18"/>
          <w:szCs w:val="18"/>
        </w:rPr>
        <w:t>recorded,</w:t>
      </w:r>
      <w:r w:rsidRPr="00447AC0">
        <w:rPr>
          <w:color w:val="231F20"/>
          <w:spacing w:val="-2"/>
          <w:sz w:val="18"/>
          <w:szCs w:val="18"/>
        </w:rPr>
        <w:t xml:space="preserve"> </w:t>
      </w:r>
      <w:r w:rsidRPr="00447AC0">
        <w:rPr>
          <w:color w:val="231F20"/>
          <w:sz w:val="18"/>
          <w:szCs w:val="18"/>
        </w:rPr>
        <w:t>therefore</w:t>
      </w:r>
      <w:r w:rsidRPr="00447AC0">
        <w:rPr>
          <w:color w:val="231F20"/>
          <w:spacing w:val="-2"/>
          <w:sz w:val="18"/>
          <w:szCs w:val="18"/>
        </w:rPr>
        <w:t xml:space="preserve"> </w:t>
      </w:r>
      <w:r w:rsidRPr="00447AC0">
        <w:rPr>
          <w:color w:val="231F20"/>
          <w:sz w:val="18"/>
          <w:szCs w:val="18"/>
        </w:rPr>
        <w:t>not</w:t>
      </w:r>
      <w:r w:rsidRPr="00447AC0">
        <w:rPr>
          <w:color w:val="231F20"/>
          <w:spacing w:val="-1"/>
          <w:sz w:val="18"/>
          <w:szCs w:val="18"/>
        </w:rPr>
        <w:t xml:space="preserve"> </w:t>
      </w:r>
      <w:r w:rsidRPr="00447AC0">
        <w:rPr>
          <w:color w:val="231F20"/>
          <w:spacing w:val="-2"/>
          <w:sz w:val="18"/>
          <w:szCs w:val="18"/>
        </w:rPr>
        <w:t>available.</w:t>
      </w:r>
    </w:p>
    <w:p w14:paraId="1ADD4C41" w14:textId="77777777" w:rsidR="00345EE3" w:rsidRPr="00447AC0" w:rsidRDefault="00345EE3">
      <w:pPr>
        <w:pStyle w:val="ListParagraph"/>
        <w:numPr>
          <w:ilvl w:val="0"/>
          <w:numId w:val="90"/>
        </w:numPr>
        <w:tabs>
          <w:tab w:val="left" w:pos="338"/>
        </w:tabs>
        <w:spacing w:before="27"/>
        <w:ind w:right="1002"/>
        <w:rPr>
          <w:sz w:val="18"/>
          <w:szCs w:val="18"/>
        </w:rPr>
      </w:pPr>
      <w:r w:rsidRPr="00447AC0">
        <w:rPr>
          <w:color w:val="231F20"/>
          <w:sz w:val="18"/>
          <w:szCs w:val="18"/>
        </w:rPr>
        <w:t>WorkSafe reduced its activity due to the pandemic. Physical presence in workplaces was only undertaken for critical incidents, and thus only issuing notices in</w:t>
      </w:r>
      <w:r w:rsidRPr="00447AC0">
        <w:rPr>
          <w:color w:val="231F20"/>
          <w:spacing w:val="40"/>
          <w:sz w:val="18"/>
          <w:szCs w:val="18"/>
        </w:rPr>
        <w:t xml:space="preserve"> </w:t>
      </w:r>
      <w:r w:rsidRPr="00447AC0">
        <w:rPr>
          <w:color w:val="231F20"/>
          <w:sz w:val="18"/>
          <w:szCs w:val="18"/>
        </w:rPr>
        <w:t>rare circumstances. Visits have started to increase but are well below the pre-pandemic levels.</w:t>
      </w:r>
    </w:p>
    <w:p w14:paraId="36C30C6A" w14:textId="77777777" w:rsidR="00345EE3" w:rsidRPr="00447AC0" w:rsidRDefault="00345EE3">
      <w:pPr>
        <w:pStyle w:val="ListParagraph"/>
        <w:numPr>
          <w:ilvl w:val="0"/>
          <w:numId w:val="90"/>
        </w:numPr>
        <w:tabs>
          <w:tab w:val="left" w:pos="338"/>
        </w:tabs>
        <w:spacing w:before="27"/>
        <w:ind w:hanging="228"/>
        <w:rPr>
          <w:sz w:val="18"/>
          <w:szCs w:val="18"/>
        </w:rPr>
      </w:pPr>
      <w:r w:rsidRPr="00447AC0">
        <w:rPr>
          <w:color w:val="231F20"/>
          <w:sz w:val="18"/>
          <w:szCs w:val="18"/>
        </w:rPr>
        <w:t>Visits</w:t>
      </w:r>
      <w:r w:rsidRPr="00447AC0">
        <w:rPr>
          <w:color w:val="231F20"/>
          <w:spacing w:val="-3"/>
          <w:sz w:val="18"/>
          <w:szCs w:val="18"/>
        </w:rPr>
        <w:t xml:space="preserve"> </w:t>
      </w:r>
      <w:r w:rsidRPr="00447AC0">
        <w:rPr>
          <w:color w:val="231F20"/>
          <w:sz w:val="18"/>
          <w:szCs w:val="18"/>
        </w:rPr>
        <w:t>by</w:t>
      </w:r>
      <w:r w:rsidRPr="00447AC0">
        <w:rPr>
          <w:color w:val="231F20"/>
          <w:spacing w:val="-2"/>
          <w:sz w:val="18"/>
          <w:szCs w:val="18"/>
        </w:rPr>
        <w:t xml:space="preserve"> </w:t>
      </w:r>
      <w:r w:rsidRPr="00447AC0">
        <w:rPr>
          <w:color w:val="231F20"/>
          <w:sz w:val="18"/>
          <w:szCs w:val="18"/>
        </w:rPr>
        <w:t>WorkSafe</w:t>
      </w:r>
      <w:r w:rsidRPr="00447AC0">
        <w:rPr>
          <w:color w:val="231F20"/>
          <w:spacing w:val="-2"/>
          <w:sz w:val="18"/>
          <w:szCs w:val="18"/>
        </w:rPr>
        <w:t xml:space="preserve"> </w:t>
      </w:r>
      <w:r w:rsidRPr="00447AC0">
        <w:rPr>
          <w:color w:val="231F20"/>
          <w:sz w:val="18"/>
          <w:szCs w:val="18"/>
        </w:rPr>
        <w:t>during</w:t>
      </w:r>
      <w:r w:rsidRPr="00447AC0">
        <w:rPr>
          <w:color w:val="231F20"/>
          <w:spacing w:val="-3"/>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2020–21</w:t>
      </w:r>
      <w:r w:rsidRPr="00447AC0">
        <w:rPr>
          <w:color w:val="231F20"/>
          <w:spacing w:val="-2"/>
          <w:sz w:val="18"/>
          <w:szCs w:val="18"/>
        </w:rPr>
        <w:t xml:space="preserve"> </w:t>
      </w:r>
      <w:r w:rsidRPr="00447AC0">
        <w:rPr>
          <w:color w:val="231F20"/>
          <w:sz w:val="18"/>
          <w:szCs w:val="18"/>
        </w:rPr>
        <w:t>year</w:t>
      </w:r>
      <w:r w:rsidRPr="00447AC0">
        <w:rPr>
          <w:color w:val="231F20"/>
          <w:spacing w:val="-2"/>
          <w:sz w:val="18"/>
          <w:szCs w:val="18"/>
        </w:rPr>
        <w:t xml:space="preserve"> </w:t>
      </w:r>
      <w:r w:rsidRPr="00447AC0">
        <w:rPr>
          <w:color w:val="231F20"/>
          <w:sz w:val="18"/>
          <w:szCs w:val="18"/>
        </w:rPr>
        <w:t>were</w:t>
      </w:r>
      <w:r w:rsidRPr="00447AC0">
        <w:rPr>
          <w:color w:val="231F20"/>
          <w:spacing w:val="-3"/>
          <w:sz w:val="18"/>
          <w:szCs w:val="18"/>
        </w:rPr>
        <w:t xml:space="preserve"> </w:t>
      </w:r>
      <w:r w:rsidRPr="00447AC0">
        <w:rPr>
          <w:color w:val="231F20"/>
          <w:sz w:val="18"/>
          <w:szCs w:val="18"/>
        </w:rPr>
        <w:t>limited</w:t>
      </w:r>
      <w:r w:rsidRPr="00447AC0">
        <w:rPr>
          <w:color w:val="231F20"/>
          <w:spacing w:val="-2"/>
          <w:sz w:val="18"/>
          <w:szCs w:val="18"/>
        </w:rPr>
        <w:t xml:space="preserve"> </w:t>
      </w:r>
      <w:r w:rsidRPr="00447AC0">
        <w:rPr>
          <w:color w:val="231F20"/>
          <w:sz w:val="18"/>
          <w:szCs w:val="18"/>
        </w:rPr>
        <w:t>due</w:t>
      </w:r>
      <w:r w:rsidRPr="00447AC0">
        <w:rPr>
          <w:color w:val="231F20"/>
          <w:spacing w:val="-2"/>
          <w:sz w:val="18"/>
          <w:szCs w:val="18"/>
        </w:rPr>
        <w:t xml:space="preserve"> </w:t>
      </w:r>
      <w:r w:rsidRPr="00447AC0">
        <w:rPr>
          <w:color w:val="231F20"/>
          <w:sz w:val="18"/>
          <w:szCs w:val="18"/>
        </w:rPr>
        <w:t>to</w:t>
      </w:r>
      <w:r w:rsidRPr="00447AC0">
        <w:rPr>
          <w:color w:val="231F20"/>
          <w:spacing w:val="-3"/>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COVID-19</w:t>
      </w:r>
      <w:r w:rsidRPr="00447AC0">
        <w:rPr>
          <w:color w:val="231F20"/>
          <w:spacing w:val="-2"/>
          <w:sz w:val="18"/>
          <w:szCs w:val="18"/>
        </w:rPr>
        <w:t xml:space="preserve"> </w:t>
      </w:r>
      <w:r w:rsidRPr="00447AC0">
        <w:rPr>
          <w:color w:val="231F20"/>
          <w:sz w:val="18"/>
          <w:szCs w:val="18"/>
        </w:rPr>
        <w:t>pandemic,</w:t>
      </w:r>
      <w:r w:rsidRPr="00447AC0">
        <w:rPr>
          <w:color w:val="231F20"/>
          <w:spacing w:val="-2"/>
          <w:sz w:val="18"/>
          <w:szCs w:val="18"/>
        </w:rPr>
        <w:t xml:space="preserve"> </w:t>
      </w:r>
      <w:r w:rsidRPr="00447AC0">
        <w:rPr>
          <w:color w:val="231F20"/>
          <w:sz w:val="18"/>
          <w:szCs w:val="18"/>
        </w:rPr>
        <w:t>resulting</w:t>
      </w:r>
      <w:r w:rsidRPr="00447AC0">
        <w:rPr>
          <w:color w:val="231F20"/>
          <w:spacing w:val="-3"/>
          <w:sz w:val="18"/>
          <w:szCs w:val="18"/>
        </w:rPr>
        <w:t xml:space="preserve"> </w:t>
      </w:r>
      <w:r w:rsidRPr="00447AC0">
        <w:rPr>
          <w:color w:val="231F20"/>
          <w:sz w:val="18"/>
          <w:szCs w:val="18"/>
        </w:rPr>
        <w:t>in</w:t>
      </w:r>
      <w:r w:rsidRPr="00447AC0">
        <w:rPr>
          <w:color w:val="231F20"/>
          <w:spacing w:val="-2"/>
          <w:sz w:val="18"/>
          <w:szCs w:val="18"/>
        </w:rPr>
        <w:t xml:space="preserve"> </w:t>
      </w:r>
      <w:r w:rsidRPr="00447AC0">
        <w:rPr>
          <w:color w:val="231F20"/>
          <w:sz w:val="18"/>
          <w:szCs w:val="18"/>
        </w:rPr>
        <w:t>a</w:t>
      </w:r>
      <w:r w:rsidRPr="00447AC0">
        <w:rPr>
          <w:color w:val="231F20"/>
          <w:spacing w:val="-2"/>
          <w:sz w:val="18"/>
          <w:szCs w:val="18"/>
        </w:rPr>
        <w:t xml:space="preserve"> </w:t>
      </w:r>
      <w:r w:rsidRPr="00447AC0">
        <w:rPr>
          <w:color w:val="231F20"/>
          <w:sz w:val="18"/>
          <w:szCs w:val="18"/>
        </w:rPr>
        <w:t>small</w:t>
      </w:r>
      <w:r w:rsidRPr="00447AC0">
        <w:rPr>
          <w:color w:val="231F20"/>
          <w:spacing w:val="-3"/>
          <w:sz w:val="18"/>
          <w:szCs w:val="18"/>
        </w:rPr>
        <w:t xml:space="preserve"> </w:t>
      </w:r>
      <w:r w:rsidRPr="00447AC0">
        <w:rPr>
          <w:color w:val="231F20"/>
          <w:sz w:val="18"/>
          <w:szCs w:val="18"/>
        </w:rPr>
        <w:t>number</w:t>
      </w:r>
      <w:r w:rsidRPr="00447AC0">
        <w:rPr>
          <w:color w:val="231F20"/>
          <w:spacing w:val="-2"/>
          <w:sz w:val="18"/>
          <w:szCs w:val="18"/>
        </w:rPr>
        <w:t xml:space="preserve"> </w:t>
      </w:r>
      <w:r w:rsidRPr="00447AC0">
        <w:rPr>
          <w:color w:val="231F20"/>
          <w:sz w:val="18"/>
          <w:szCs w:val="18"/>
        </w:rPr>
        <w:t>of</w:t>
      </w:r>
      <w:r w:rsidRPr="00447AC0">
        <w:rPr>
          <w:color w:val="231F20"/>
          <w:spacing w:val="-2"/>
          <w:sz w:val="18"/>
          <w:szCs w:val="18"/>
        </w:rPr>
        <w:t xml:space="preserve"> </w:t>
      </w:r>
      <w:r w:rsidRPr="00447AC0">
        <w:rPr>
          <w:color w:val="231F20"/>
          <w:sz w:val="18"/>
          <w:szCs w:val="18"/>
        </w:rPr>
        <w:t>notices</w:t>
      </w:r>
      <w:r w:rsidRPr="00447AC0">
        <w:rPr>
          <w:color w:val="231F20"/>
          <w:spacing w:val="-2"/>
          <w:sz w:val="18"/>
          <w:szCs w:val="18"/>
        </w:rPr>
        <w:t xml:space="preserve"> </w:t>
      </w:r>
      <w:r>
        <w:rPr>
          <w:color w:val="231F20"/>
          <w:spacing w:val="-2"/>
          <w:sz w:val="18"/>
          <w:szCs w:val="18"/>
        </w:rPr>
        <w:br/>
      </w:r>
      <w:r w:rsidRPr="00447AC0">
        <w:rPr>
          <w:color w:val="231F20"/>
          <w:spacing w:val="-2"/>
          <w:sz w:val="18"/>
          <w:szCs w:val="18"/>
        </w:rPr>
        <w:t>issued.</w:t>
      </w:r>
    </w:p>
    <w:p w14:paraId="73C01E30" w14:textId="77777777" w:rsidR="00345EE3" w:rsidRPr="00447AC0" w:rsidRDefault="00345EE3">
      <w:pPr>
        <w:pStyle w:val="ListParagraph"/>
        <w:numPr>
          <w:ilvl w:val="0"/>
          <w:numId w:val="90"/>
        </w:numPr>
        <w:tabs>
          <w:tab w:val="left" w:pos="338"/>
        </w:tabs>
        <w:spacing w:before="27"/>
        <w:ind w:right="1039"/>
        <w:rPr>
          <w:sz w:val="18"/>
          <w:szCs w:val="18"/>
        </w:rPr>
      </w:pPr>
      <w:r w:rsidRPr="00447AC0">
        <w:rPr>
          <w:color w:val="231F20"/>
          <w:sz w:val="18"/>
          <w:szCs w:val="18"/>
        </w:rPr>
        <w:t>There is no specific OHS training for managers/contractors. Safety training is embedded throughout police foundation training with a focus on controlling risks</w:t>
      </w:r>
      <w:r w:rsidRPr="00447AC0">
        <w:rPr>
          <w:color w:val="231F20"/>
          <w:spacing w:val="40"/>
          <w:sz w:val="18"/>
          <w:szCs w:val="18"/>
        </w:rPr>
        <w:t xml:space="preserve"> </w:t>
      </w:r>
      <w:r w:rsidRPr="00447AC0">
        <w:rPr>
          <w:color w:val="231F20"/>
          <w:sz w:val="18"/>
          <w:szCs w:val="18"/>
        </w:rPr>
        <w:t>associated with Occupational Violence, through Operational Safety Tactics Training.</w:t>
      </w:r>
    </w:p>
    <w:p w14:paraId="2C5315EB" w14:textId="77777777" w:rsidR="00345EE3" w:rsidRPr="00447AC0" w:rsidRDefault="00345EE3">
      <w:pPr>
        <w:pStyle w:val="ListParagraph"/>
        <w:numPr>
          <w:ilvl w:val="0"/>
          <w:numId w:val="90"/>
        </w:numPr>
        <w:tabs>
          <w:tab w:val="left" w:pos="338"/>
        </w:tabs>
        <w:spacing w:before="26"/>
        <w:ind w:right="1039"/>
        <w:rPr>
          <w:sz w:val="18"/>
          <w:szCs w:val="18"/>
        </w:rPr>
      </w:pPr>
      <w:r w:rsidRPr="00447AC0">
        <w:rPr>
          <w:color w:val="231F20"/>
          <w:sz w:val="18"/>
          <w:szCs w:val="18"/>
        </w:rPr>
        <w:t>There is no specific OHS training for managers/contractors. Safety training is embedded throughout police foundation training with a focus on controlling risks</w:t>
      </w:r>
      <w:r w:rsidRPr="00447AC0">
        <w:rPr>
          <w:color w:val="231F20"/>
          <w:spacing w:val="40"/>
          <w:sz w:val="18"/>
          <w:szCs w:val="18"/>
        </w:rPr>
        <w:t xml:space="preserve"> </w:t>
      </w:r>
      <w:r w:rsidRPr="00447AC0">
        <w:rPr>
          <w:color w:val="231F20"/>
          <w:sz w:val="18"/>
          <w:szCs w:val="18"/>
        </w:rPr>
        <w:t>associated with Occupational Violence, through Operational Safety Tactics Training.</w:t>
      </w:r>
    </w:p>
    <w:p w14:paraId="0A7CA33A" w14:textId="77777777" w:rsidR="00345EE3" w:rsidRPr="00447AC0" w:rsidRDefault="00345EE3">
      <w:pPr>
        <w:pStyle w:val="ListParagraph"/>
        <w:numPr>
          <w:ilvl w:val="0"/>
          <w:numId w:val="90"/>
        </w:numPr>
        <w:tabs>
          <w:tab w:val="left" w:pos="338"/>
        </w:tabs>
        <w:spacing w:before="27"/>
        <w:ind w:right="915"/>
        <w:rPr>
          <w:sz w:val="18"/>
          <w:szCs w:val="18"/>
        </w:rPr>
      </w:pPr>
      <w:r w:rsidRPr="00447AC0">
        <w:rPr>
          <w:color w:val="231F20"/>
          <w:sz w:val="18"/>
          <w:szCs w:val="18"/>
        </w:rPr>
        <w:t>Percentage</w:t>
      </w:r>
      <w:r w:rsidRPr="00447AC0">
        <w:rPr>
          <w:color w:val="231F20"/>
          <w:spacing w:val="-2"/>
          <w:sz w:val="18"/>
          <w:szCs w:val="18"/>
        </w:rPr>
        <w:t xml:space="preserve"> </w:t>
      </w:r>
      <w:r w:rsidRPr="00447AC0">
        <w:rPr>
          <w:color w:val="231F20"/>
          <w:sz w:val="18"/>
          <w:szCs w:val="18"/>
        </w:rPr>
        <w:t>of</w:t>
      </w:r>
      <w:r w:rsidRPr="00447AC0">
        <w:rPr>
          <w:color w:val="231F20"/>
          <w:spacing w:val="-2"/>
          <w:sz w:val="18"/>
          <w:szCs w:val="18"/>
        </w:rPr>
        <w:t xml:space="preserve"> </w:t>
      </w:r>
      <w:r w:rsidRPr="00447AC0">
        <w:rPr>
          <w:color w:val="231F20"/>
          <w:sz w:val="18"/>
          <w:szCs w:val="18"/>
        </w:rPr>
        <w:t>HSRs</w:t>
      </w:r>
      <w:r w:rsidRPr="00447AC0">
        <w:rPr>
          <w:color w:val="231F20"/>
          <w:spacing w:val="-2"/>
          <w:sz w:val="18"/>
          <w:szCs w:val="18"/>
        </w:rPr>
        <w:t xml:space="preserve"> </w:t>
      </w:r>
      <w:r w:rsidRPr="00447AC0">
        <w:rPr>
          <w:color w:val="231F20"/>
          <w:sz w:val="18"/>
          <w:szCs w:val="18"/>
        </w:rPr>
        <w:t>is</w:t>
      </w:r>
      <w:r w:rsidRPr="00447AC0">
        <w:rPr>
          <w:color w:val="231F20"/>
          <w:spacing w:val="-2"/>
          <w:sz w:val="18"/>
          <w:szCs w:val="18"/>
        </w:rPr>
        <w:t xml:space="preserve"> </w:t>
      </w:r>
      <w:r w:rsidRPr="00447AC0">
        <w:rPr>
          <w:color w:val="231F20"/>
          <w:sz w:val="18"/>
          <w:szCs w:val="18"/>
        </w:rPr>
        <w:t>not</w:t>
      </w:r>
      <w:r w:rsidRPr="00447AC0">
        <w:rPr>
          <w:color w:val="231F20"/>
          <w:spacing w:val="-2"/>
          <w:sz w:val="18"/>
          <w:szCs w:val="18"/>
        </w:rPr>
        <w:t xml:space="preserve"> </w:t>
      </w:r>
      <w:r w:rsidRPr="00447AC0">
        <w:rPr>
          <w:color w:val="231F20"/>
          <w:sz w:val="18"/>
          <w:szCs w:val="18"/>
        </w:rPr>
        <w:t>available</w:t>
      </w:r>
      <w:r w:rsidRPr="00447AC0">
        <w:rPr>
          <w:color w:val="231F20"/>
          <w:spacing w:val="-2"/>
          <w:sz w:val="18"/>
          <w:szCs w:val="18"/>
        </w:rPr>
        <w:t xml:space="preserve"> </w:t>
      </w:r>
      <w:r w:rsidRPr="00447AC0">
        <w:rPr>
          <w:color w:val="231F20"/>
          <w:sz w:val="18"/>
          <w:szCs w:val="18"/>
        </w:rPr>
        <w:t>as</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total</w:t>
      </w:r>
      <w:r w:rsidRPr="00447AC0">
        <w:rPr>
          <w:color w:val="231F20"/>
          <w:spacing w:val="-2"/>
          <w:sz w:val="18"/>
          <w:szCs w:val="18"/>
        </w:rPr>
        <w:t xml:space="preserve"> </w:t>
      </w:r>
      <w:r w:rsidRPr="00447AC0">
        <w:rPr>
          <w:color w:val="231F20"/>
          <w:sz w:val="18"/>
          <w:szCs w:val="18"/>
        </w:rPr>
        <w:t>number</w:t>
      </w:r>
      <w:r w:rsidRPr="00447AC0">
        <w:rPr>
          <w:color w:val="231F20"/>
          <w:spacing w:val="-2"/>
          <w:sz w:val="18"/>
          <w:szCs w:val="18"/>
        </w:rPr>
        <w:t xml:space="preserve"> </w:t>
      </w:r>
      <w:r w:rsidRPr="00447AC0">
        <w:rPr>
          <w:color w:val="231F20"/>
          <w:sz w:val="18"/>
          <w:szCs w:val="18"/>
        </w:rPr>
        <w:t>of</w:t>
      </w:r>
      <w:r w:rsidRPr="00447AC0">
        <w:rPr>
          <w:color w:val="231F20"/>
          <w:spacing w:val="-2"/>
          <w:sz w:val="18"/>
          <w:szCs w:val="18"/>
        </w:rPr>
        <w:t xml:space="preserve"> </w:t>
      </w:r>
      <w:r w:rsidRPr="00447AC0">
        <w:rPr>
          <w:color w:val="231F20"/>
          <w:sz w:val="18"/>
          <w:szCs w:val="18"/>
        </w:rPr>
        <w:t>HSRs</w:t>
      </w:r>
      <w:r w:rsidRPr="00447AC0">
        <w:rPr>
          <w:color w:val="231F20"/>
          <w:spacing w:val="-2"/>
          <w:sz w:val="18"/>
          <w:szCs w:val="18"/>
        </w:rPr>
        <w:t xml:space="preserve"> </w:t>
      </w:r>
      <w:r w:rsidRPr="00447AC0">
        <w:rPr>
          <w:color w:val="231F20"/>
          <w:sz w:val="18"/>
          <w:szCs w:val="18"/>
        </w:rPr>
        <w:t>is</w:t>
      </w:r>
      <w:r w:rsidRPr="00447AC0">
        <w:rPr>
          <w:color w:val="231F20"/>
          <w:spacing w:val="-2"/>
          <w:sz w:val="18"/>
          <w:szCs w:val="18"/>
        </w:rPr>
        <w:t xml:space="preserve"> </w:t>
      </w:r>
      <w:r w:rsidRPr="00447AC0">
        <w:rPr>
          <w:color w:val="231F20"/>
          <w:sz w:val="18"/>
          <w:szCs w:val="18"/>
        </w:rPr>
        <w:t>unknown</w:t>
      </w:r>
      <w:r w:rsidRPr="00447AC0">
        <w:rPr>
          <w:color w:val="231F20"/>
          <w:spacing w:val="-2"/>
          <w:sz w:val="18"/>
          <w:szCs w:val="18"/>
        </w:rPr>
        <w:t xml:space="preserve"> </w:t>
      </w:r>
      <w:r w:rsidRPr="00447AC0">
        <w:rPr>
          <w:color w:val="231F20"/>
          <w:sz w:val="18"/>
          <w:szCs w:val="18"/>
        </w:rPr>
        <w:t>–</w:t>
      </w:r>
      <w:r w:rsidRPr="00447AC0">
        <w:rPr>
          <w:color w:val="231F20"/>
          <w:spacing w:val="-2"/>
          <w:sz w:val="18"/>
          <w:szCs w:val="18"/>
        </w:rPr>
        <w:t xml:space="preserve"> </w:t>
      </w:r>
      <w:r w:rsidRPr="00447AC0">
        <w:rPr>
          <w:color w:val="231F20"/>
          <w:sz w:val="18"/>
          <w:szCs w:val="18"/>
        </w:rPr>
        <w:t>a</w:t>
      </w:r>
      <w:r w:rsidRPr="00447AC0">
        <w:rPr>
          <w:color w:val="231F20"/>
          <w:spacing w:val="-2"/>
          <w:sz w:val="18"/>
          <w:szCs w:val="18"/>
        </w:rPr>
        <w:t xml:space="preserve"> </w:t>
      </w:r>
      <w:r w:rsidRPr="00447AC0">
        <w:rPr>
          <w:color w:val="231F20"/>
          <w:sz w:val="18"/>
          <w:szCs w:val="18"/>
        </w:rPr>
        <w:t>process</w:t>
      </w:r>
      <w:r w:rsidRPr="00447AC0">
        <w:rPr>
          <w:color w:val="231F20"/>
          <w:spacing w:val="-2"/>
          <w:sz w:val="18"/>
          <w:szCs w:val="18"/>
        </w:rPr>
        <w:t xml:space="preserve"> </w:t>
      </w:r>
      <w:r w:rsidRPr="00447AC0">
        <w:rPr>
          <w:color w:val="231F20"/>
          <w:sz w:val="18"/>
          <w:szCs w:val="18"/>
        </w:rPr>
        <w:t>is</w:t>
      </w:r>
      <w:r w:rsidRPr="00447AC0">
        <w:rPr>
          <w:color w:val="231F20"/>
          <w:spacing w:val="-2"/>
          <w:sz w:val="18"/>
          <w:szCs w:val="18"/>
        </w:rPr>
        <w:t xml:space="preserve"> </w:t>
      </w:r>
      <w:r w:rsidRPr="00447AC0">
        <w:rPr>
          <w:color w:val="231F20"/>
          <w:sz w:val="18"/>
          <w:szCs w:val="18"/>
        </w:rPr>
        <w:t>currently</w:t>
      </w:r>
      <w:r w:rsidRPr="00447AC0">
        <w:rPr>
          <w:color w:val="231F20"/>
          <w:spacing w:val="-2"/>
          <w:sz w:val="18"/>
          <w:szCs w:val="18"/>
        </w:rPr>
        <w:t xml:space="preserve"> </w:t>
      </w:r>
      <w:r w:rsidRPr="00447AC0">
        <w:rPr>
          <w:color w:val="231F20"/>
          <w:sz w:val="18"/>
          <w:szCs w:val="18"/>
        </w:rPr>
        <w:t>underway</w:t>
      </w:r>
      <w:r w:rsidRPr="00447AC0">
        <w:rPr>
          <w:color w:val="231F20"/>
          <w:spacing w:val="-2"/>
          <w:sz w:val="18"/>
          <w:szCs w:val="18"/>
        </w:rPr>
        <w:t xml:space="preserve"> </w:t>
      </w:r>
      <w:r w:rsidRPr="00447AC0">
        <w:rPr>
          <w:color w:val="231F20"/>
          <w:sz w:val="18"/>
          <w:szCs w:val="18"/>
        </w:rPr>
        <w:t>to</w:t>
      </w:r>
      <w:r w:rsidRPr="00447AC0">
        <w:rPr>
          <w:color w:val="231F20"/>
          <w:spacing w:val="-2"/>
          <w:sz w:val="18"/>
          <w:szCs w:val="18"/>
        </w:rPr>
        <w:t xml:space="preserve"> </w:t>
      </w:r>
      <w:r w:rsidRPr="00447AC0">
        <w:rPr>
          <w:color w:val="231F20"/>
          <w:sz w:val="18"/>
          <w:szCs w:val="18"/>
        </w:rPr>
        <w:t>accurately</w:t>
      </w:r>
      <w:r w:rsidRPr="00447AC0">
        <w:rPr>
          <w:color w:val="231F20"/>
          <w:spacing w:val="-2"/>
          <w:sz w:val="18"/>
          <w:szCs w:val="18"/>
        </w:rPr>
        <w:t xml:space="preserve"> </w:t>
      </w:r>
      <w:r w:rsidRPr="00447AC0">
        <w:rPr>
          <w:color w:val="231F20"/>
          <w:sz w:val="18"/>
          <w:szCs w:val="18"/>
        </w:rPr>
        <w:t>account</w:t>
      </w:r>
      <w:r w:rsidRPr="00447AC0">
        <w:rPr>
          <w:color w:val="231F20"/>
          <w:spacing w:val="-2"/>
          <w:sz w:val="18"/>
          <w:szCs w:val="18"/>
        </w:rPr>
        <w:t xml:space="preserve"> </w:t>
      </w:r>
      <w:r w:rsidRPr="00447AC0">
        <w:rPr>
          <w:color w:val="231F20"/>
          <w:sz w:val="18"/>
          <w:szCs w:val="18"/>
        </w:rPr>
        <w:t>for</w:t>
      </w:r>
      <w:r w:rsidRPr="00447AC0">
        <w:rPr>
          <w:color w:val="231F20"/>
          <w:spacing w:val="-2"/>
          <w:sz w:val="18"/>
          <w:szCs w:val="18"/>
        </w:rPr>
        <w:t xml:space="preserve"> </w:t>
      </w:r>
      <w:r w:rsidRPr="00447AC0">
        <w:rPr>
          <w:color w:val="231F20"/>
          <w:sz w:val="18"/>
          <w:szCs w:val="18"/>
        </w:rPr>
        <w:t>all</w:t>
      </w:r>
      <w:r w:rsidRPr="00447AC0">
        <w:rPr>
          <w:color w:val="231F20"/>
          <w:spacing w:val="-2"/>
          <w:sz w:val="18"/>
          <w:szCs w:val="18"/>
        </w:rPr>
        <w:t xml:space="preserve"> </w:t>
      </w:r>
      <w:r w:rsidRPr="00447AC0">
        <w:rPr>
          <w:color w:val="231F20"/>
          <w:sz w:val="18"/>
          <w:szCs w:val="18"/>
        </w:rPr>
        <w:t>HSRs.</w:t>
      </w:r>
      <w:r w:rsidRPr="00447AC0">
        <w:rPr>
          <w:color w:val="231F20"/>
          <w:spacing w:val="-2"/>
          <w:sz w:val="18"/>
          <w:szCs w:val="18"/>
        </w:rPr>
        <w:t xml:space="preserve"> </w:t>
      </w:r>
      <w:r w:rsidRPr="00447AC0">
        <w:rPr>
          <w:color w:val="231F20"/>
          <w:sz w:val="18"/>
          <w:szCs w:val="18"/>
        </w:rPr>
        <w:t>However,</w:t>
      </w:r>
      <w:r w:rsidRPr="00447AC0">
        <w:rPr>
          <w:color w:val="231F20"/>
          <w:spacing w:val="-2"/>
          <w:sz w:val="18"/>
          <w:szCs w:val="18"/>
        </w:rPr>
        <w:t xml:space="preserve"> </w:t>
      </w:r>
      <w:r w:rsidRPr="00447AC0">
        <w:rPr>
          <w:color w:val="231F20"/>
          <w:sz w:val="18"/>
          <w:szCs w:val="18"/>
        </w:rPr>
        <w:t>92</w:t>
      </w:r>
      <w:r w:rsidRPr="00447AC0">
        <w:rPr>
          <w:color w:val="231F20"/>
          <w:spacing w:val="40"/>
          <w:sz w:val="18"/>
          <w:szCs w:val="18"/>
        </w:rPr>
        <w:t xml:space="preserve"> </w:t>
      </w:r>
      <w:r w:rsidRPr="00447AC0">
        <w:rPr>
          <w:color w:val="231F20"/>
          <w:sz w:val="18"/>
          <w:szCs w:val="18"/>
        </w:rPr>
        <w:t>employees were trained upon acceptance of role and 15 employees retrained in 2021–22.</w:t>
      </w:r>
    </w:p>
    <w:p w14:paraId="6A8EAD27" w14:textId="77777777" w:rsidR="00345EE3" w:rsidRPr="00447AC0" w:rsidRDefault="00345EE3" w:rsidP="00345EE3">
      <w:pPr>
        <w:spacing w:before="54"/>
        <w:ind w:left="110"/>
        <w:rPr>
          <w:sz w:val="18"/>
          <w:szCs w:val="18"/>
        </w:rPr>
      </w:pPr>
      <w:r w:rsidRPr="00447AC0">
        <w:rPr>
          <w:rFonts w:ascii="Arial-BoldItalicMT"/>
          <w:b/>
          <w:i/>
          <w:color w:val="231F20"/>
          <w:sz w:val="18"/>
          <w:szCs w:val="18"/>
        </w:rPr>
        <w:t>Source:</w:t>
      </w:r>
      <w:r w:rsidRPr="00447AC0">
        <w:rPr>
          <w:rFonts w:ascii="Arial-BoldItalicMT"/>
          <w:b/>
          <w:i/>
          <w:color w:val="231F20"/>
          <w:spacing w:val="1"/>
          <w:sz w:val="18"/>
          <w:szCs w:val="18"/>
        </w:rPr>
        <w:t xml:space="preserve"> </w:t>
      </w:r>
      <w:r w:rsidRPr="00447AC0">
        <w:rPr>
          <w:color w:val="231F20"/>
          <w:sz w:val="18"/>
          <w:szCs w:val="18"/>
        </w:rPr>
        <w:t>Human</w:t>
      </w:r>
      <w:r w:rsidRPr="00447AC0">
        <w:rPr>
          <w:color w:val="231F20"/>
          <w:spacing w:val="-1"/>
          <w:sz w:val="18"/>
          <w:szCs w:val="18"/>
        </w:rPr>
        <w:t xml:space="preserve"> </w:t>
      </w:r>
      <w:r w:rsidRPr="00447AC0">
        <w:rPr>
          <w:color w:val="231F20"/>
          <w:sz w:val="18"/>
          <w:szCs w:val="18"/>
        </w:rPr>
        <w:t>Resources</w:t>
      </w:r>
      <w:r w:rsidRPr="00447AC0">
        <w:rPr>
          <w:color w:val="231F20"/>
          <w:spacing w:val="-1"/>
          <w:sz w:val="18"/>
          <w:szCs w:val="18"/>
        </w:rPr>
        <w:t xml:space="preserve"> </w:t>
      </w:r>
      <w:r w:rsidRPr="00447AC0">
        <w:rPr>
          <w:color w:val="231F20"/>
          <w:sz w:val="18"/>
          <w:szCs w:val="18"/>
        </w:rPr>
        <w:t>Command.</w:t>
      </w:r>
      <w:r w:rsidRPr="00447AC0">
        <w:rPr>
          <w:color w:val="231F20"/>
          <w:spacing w:val="-1"/>
          <w:sz w:val="18"/>
          <w:szCs w:val="18"/>
        </w:rPr>
        <w:t xml:space="preserve"> </w:t>
      </w:r>
      <w:r w:rsidRPr="00447AC0">
        <w:rPr>
          <w:color w:val="231F20"/>
          <w:sz w:val="18"/>
          <w:szCs w:val="18"/>
        </w:rPr>
        <w:t>Data extracted</w:t>
      </w:r>
      <w:r w:rsidRPr="00447AC0">
        <w:rPr>
          <w:color w:val="231F20"/>
          <w:spacing w:val="-1"/>
          <w:sz w:val="18"/>
          <w:szCs w:val="18"/>
        </w:rPr>
        <w:t xml:space="preserve"> </w:t>
      </w:r>
      <w:r w:rsidRPr="00447AC0">
        <w:rPr>
          <w:color w:val="231F20"/>
          <w:sz w:val="18"/>
          <w:szCs w:val="18"/>
        </w:rPr>
        <w:t>from</w:t>
      </w:r>
      <w:r w:rsidRPr="00447AC0">
        <w:rPr>
          <w:color w:val="231F20"/>
          <w:spacing w:val="-1"/>
          <w:sz w:val="18"/>
          <w:szCs w:val="18"/>
        </w:rPr>
        <w:t xml:space="preserve"> </w:t>
      </w:r>
      <w:r w:rsidRPr="00447AC0">
        <w:rPr>
          <w:color w:val="231F20"/>
          <w:sz w:val="18"/>
          <w:szCs w:val="18"/>
        </w:rPr>
        <w:t>HR</w:t>
      </w:r>
      <w:r w:rsidRPr="00447AC0">
        <w:rPr>
          <w:color w:val="231F20"/>
          <w:spacing w:val="-1"/>
          <w:sz w:val="18"/>
          <w:szCs w:val="18"/>
        </w:rPr>
        <w:t xml:space="preserve"> </w:t>
      </w:r>
      <w:r w:rsidRPr="00447AC0">
        <w:rPr>
          <w:color w:val="231F20"/>
          <w:sz w:val="18"/>
          <w:szCs w:val="18"/>
        </w:rPr>
        <w:t>Assist</w:t>
      </w:r>
      <w:r w:rsidRPr="00447AC0">
        <w:rPr>
          <w:color w:val="231F20"/>
          <w:spacing w:val="-1"/>
          <w:sz w:val="18"/>
          <w:szCs w:val="18"/>
        </w:rPr>
        <w:t xml:space="preserve"> </w:t>
      </w:r>
      <w:r w:rsidRPr="00447AC0">
        <w:rPr>
          <w:color w:val="231F20"/>
          <w:sz w:val="18"/>
          <w:szCs w:val="18"/>
        </w:rPr>
        <w:t>on 12</w:t>
      </w:r>
      <w:r w:rsidRPr="00447AC0">
        <w:rPr>
          <w:color w:val="231F20"/>
          <w:spacing w:val="-1"/>
          <w:sz w:val="18"/>
          <w:szCs w:val="18"/>
        </w:rPr>
        <w:t xml:space="preserve"> </w:t>
      </w:r>
      <w:r w:rsidRPr="00447AC0">
        <w:rPr>
          <w:color w:val="231F20"/>
          <w:sz w:val="18"/>
          <w:szCs w:val="18"/>
        </w:rPr>
        <w:t>July</w:t>
      </w:r>
      <w:r w:rsidRPr="00447AC0">
        <w:rPr>
          <w:color w:val="231F20"/>
          <w:spacing w:val="-1"/>
          <w:sz w:val="18"/>
          <w:szCs w:val="18"/>
        </w:rPr>
        <w:t xml:space="preserve"> </w:t>
      </w:r>
      <w:r w:rsidRPr="00447AC0">
        <w:rPr>
          <w:color w:val="231F20"/>
          <w:sz w:val="18"/>
          <w:szCs w:val="18"/>
        </w:rPr>
        <w:t>2022;</w:t>
      </w:r>
      <w:r w:rsidRPr="00447AC0">
        <w:rPr>
          <w:color w:val="231F20"/>
          <w:spacing w:val="-1"/>
          <w:sz w:val="18"/>
          <w:szCs w:val="18"/>
        </w:rPr>
        <w:t xml:space="preserve"> </w:t>
      </w:r>
      <w:r w:rsidRPr="00447AC0">
        <w:rPr>
          <w:color w:val="231F20"/>
          <w:sz w:val="18"/>
          <w:szCs w:val="18"/>
        </w:rPr>
        <w:t>all</w:t>
      </w:r>
      <w:r w:rsidRPr="00447AC0">
        <w:rPr>
          <w:color w:val="231F20"/>
          <w:spacing w:val="-1"/>
          <w:sz w:val="18"/>
          <w:szCs w:val="18"/>
        </w:rPr>
        <w:t xml:space="preserve"> </w:t>
      </w:r>
      <w:r w:rsidRPr="00447AC0">
        <w:rPr>
          <w:color w:val="231F20"/>
          <w:sz w:val="18"/>
          <w:szCs w:val="18"/>
        </w:rPr>
        <w:t>claims data</w:t>
      </w:r>
      <w:r w:rsidRPr="00447AC0">
        <w:rPr>
          <w:color w:val="231F20"/>
          <w:spacing w:val="-1"/>
          <w:sz w:val="18"/>
          <w:szCs w:val="18"/>
        </w:rPr>
        <w:t xml:space="preserve"> </w:t>
      </w:r>
      <w:r w:rsidRPr="00447AC0">
        <w:rPr>
          <w:color w:val="231F20"/>
          <w:sz w:val="18"/>
          <w:szCs w:val="18"/>
        </w:rPr>
        <w:t>sourced</w:t>
      </w:r>
      <w:r w:rsidRPr="00447AC0">
        <w:rPr>
          <w:color w:val="231F20"/>
          <w:spacing w:val="-1"/>
          <w:sz w:val="18"/>
          <w:szCs w:val="18"/>
        </w:rPr>
        <w:t xml:space="preserve"> </w:t>
      </w:r>
      <w:r w:rsidRPr="00447AC0">
        <w:rPr>
          <w:color w:val="231F20"/>
          <w:sz w:val="18"/>
          <w:szCs w:val="18"/>
        </w:rPr>
        <w:t>from</w:t>
      </w:r>
      <w:r w:rsidRPr="00447AC0">
        <w:rPr>
          <w:color w:val="231F20"/>
          <w:spacing w:val="-1"/>
          <w:sz w:val="18"/>
          <w:szCs w:val="18"/>
        </w:rPr>
        <w:t xml:space="preserve"> </w:t>
      </w:r>
      <w:r w:rsidRPr="00447AC0">
        <w:rPr>
          <w:color w:val="231F20"/>
          <w:sz w:val="18"/>
          <w:szCs w:val="18"/>
        </w:rPr>
        <w:t xml:space="preserve">Gallagher </w:t>
      </w:r>
      <w:r w:rsidRPr="00447AC0">
        <w:rPr>
          <w:color w:val="231F20"/>
          <w:spacing w:val="-2"/>
          <w:sz w:val="18"/>
          <w:szCs w:val="18"/>
        </w:rPr>
        <w:t>Bassett.</w:t>
      </w:r>
    </w:p>
    <w:p w14:paraId="7E959D23" w14:textId="77777777" w:rsidR="00345EE3" w:rsidRPr="00447AC0" w:rsidRDefault="00345EE3" w:rsidP="00345EE3">
      <w:pPr>
        <w:rPr>
          <w:sz w:val="18"/>
          <w:szCs w:val="18"/>
        </w:rPr>
      </w:pPr>
    </w:p>
    <w:p w14:paraId="4CBA3E1A" w14:textId="77777777" w:rsidR="00345EE3" w:rsidRDefault="00345EE3" w:rsidP="00345EE3">
      <w:pPr>
        <w:rPr>
          <w:sz w:val="14"/>
        </w:rPr>
        <w:sectPr w:rsidR="00345EE3">
          <w:type w:val="continuous"/>
          <w:pgSz w:w="11910" w:h="16840"/>
          <w:pgMar w:top="820" w:right="0" w:bottom="280" w:left="740" w:header="720" w:footer="720" w:gutter="0"/>
          <w:cols w:space="720"/>
        </w:sectPr>
      </w:pPr>
    </w:p>
    <w:p w14:paraId="1FED44FD" w14:textId="77777777" w:rsidR="00345EE3" w:rsidRPr="00087AF4" w:rsidRDefault="00345EE3" w:rsidP="00087AF4">
      <w:pPr>
        <w:pStyle w:val="Heading1"/>
        <w:numPr>
          <w:ilvl w:val="0"/>
          <w:numId w:val="93"/>
        </w:numPr>
        <w:tabs>
          <w:tab w:val="left" w:pos="848"/>
        </w:tabs>
        <w:ind w:left="522" w:hanging="522"/>
        <w:rPr>
          <w:b w:val="0"/>
          <w:bCs/>
          <w:sz w:val="56"/>
          <w:szCs w:val="56"/>
        </w:rPr>
      </w:pPr>
      <w:bookmarkStart w:id="3" w:name="_TOC_250004"/>
      <w:r w:rsidRPr="00087AF4">
        <w:rPr>
          <w:b w:val="0"/>
          <w:bCs/>
          <w:color w:val="00529F"/>
          <w:sz w:val="56"/>
          <w:szCs w:val="56"/>
        </w:rPr>
        <w:t>Our</w:t>
      </w:r>
      <w:r w:rsidRPr="00087AF4">
        <w:rPr>
          <w:b w:val="0"/>
          <w:bCs/>
          <w:color w:val="00529F"/>
          <w:spacing w:val="-9"/>
          <w:sz w:val="56"/>
          <w:szCs w:val="56"/>
        </w:rPr>
        <w:t xml:space="preserve"> </w:t>
      </w:r>
      <w:bookmarkEnd w:id="3"/>
      <w:r w:rsidRPr="00087AF4">
        <w:rPr>
          <w:b w:val="0"/>
          <w:bCs/>
          <w:color w:val="00529F"/>
          <w:spacing w:val="-2"/>
          <w:sz w:val="56"/>
          <w:szCs w:val="56"/>
        </w:rPr>
        <w:t>Performance</w:t>
      </w:r>
    </w:p>
    <w:p w14:paraId="6C7C53B5" w14:textId="77777777" w:rsidR="00345EE3" w:rsidRPr="00087AF4" w:rsidRDefault="00345EE3" w:rsidP="00345EE3">
      <w:pPr>
        <w:pStyle w:val="Heading2"/>
        <w:spacing w:before="204"/>
        <w:rPr>
          <w:sz w:val="32"/>
          <w:szCs w:val="32"/>
        </w:rPr>
      </w:pPr>
      <w:r w:rsidRPr="00087AF4">
        <w:rPr>
          <w:color w:val="00529F"/>
          <w:sz w:val="32"/>
          <w:szCs w:val="32"/>
        </w:rPr>
        <w:t>Performance</w:t>
      </w:r>
      <w:r w:rsidRPr="00087AF4">
        <w:rPr>
          <w:color w:val="00529F"/>
          <w:spacing w:val="-10"/>
          <w:sz w:val="32"/>
          <w:szCs w:val="32"/>
        </w:rPr>
        <w:t xml:space="preserve"> </w:t>
      </w:r>
      <w:r w:rsidRPr="00087AF4">
        <w:rPr>
          <w:color w:val="00529F"/>
          <w:spacing w:val="-2"/>
          <w:sz w:val="32"/>
          <w:szCs w:val="32"/>
        </w:rPr>
        <w:t>Summary</w:t>
      </w:r>
    </w:p>
    <w:p w14:paraId="78A430A0" w14:textId="77777777" w:rsidR="00345EE3" w:rsidRDefault="00345EE3" w:rsidP="00345EE3">
      <w:pPr>
        <w:pStyle w:val="BodyText"/>
        <w:spacing w:before="72" w:line="242" w:lineRule="auto"/>
        <w:ind w:right="921"/>
      </w:pPr>
      <w:r>
        <w:rPr>
          <w:color w:val="231F20"/>
        </w:rPr>
        <w:t>Victoria</w:t>
      </w:r>
      <w:r>
        <w:rPr>
          <w:color w:val="231F20"/>
          <w:spacing w:val="-1"/>
        </w:rPr>
        <w:t xml:space="preserve"> </w:t>
      </w:r>
      <w:r>
        <w:rPr>
          <w:color w:val="231F20"/>
        </w:rPr>
        <w:t>Police</w:t>
      </w:r>
      <w:r>
        <w:rPr>
          <w:color w:val="231F20"/>
          <w:spacing w:val="-1"/>
        </w:rPr>
        <w:t xml:space="preserve"> </w:t>
      </w:r>
      <w:r>
        <w:rPr>
          <w:color w:val="231F20"/>
        </w:rPr>
        <w:t>received</w:t>
      </w:r>
      <w:r>
        <w:rPr>
          <w:color w:val="231F20"/>
          <w:spacing w:val="-1"/>
        </w:rPr>
        <w:t xml:space="preserve"> </w:t>
      </w:r>
      <w:r>
        <w:rPr>
          <w:color w:val="231F20"/>
        </w:rPr>
        <w:t>a</w:t>
      </w:r>
      <w:r>
        <w:rPr>
          <w:color w:val="231F20"/>
          <w:spacing w:val="-1"/>
        </w:rPr>
        <w:t xml:space="preserve"> </w:t>
      </w:r>
      <w:r>
        <w:rPr>
          <w:color w:val="231F20"/>
        </w:rPr>
        <w:t>Total</w:t>
      </w:r>
      <w:r>
        <w:rPr>
          <w:color w:val="231F20"/>
          <w:spacing w:val="-1"/>
        </w:rPr>
        <w:t xml:space="preserve"> </w:t>
      </w:r>
      <w:r>
        <w:rPr>
          <w:color w:val="231F20"/>
        </w:rPr>
        <w:t>Output Cost Budget of $3,702.8</w:t>
      </w:r>
      <w:r>
        <w:rPr>
          <w:color w:val="231F20"/>
          <w:spacing w:val="-1"/>
        </w:rPr>
        <w:t xml:space="preserve"> </w:t>
      </w:r>
      <w:r>
        <w:rPr>
          <w:color w:val="231F20"/>
        </w:rPr>
        <w:t>million</w:t>
      </w:r>
      <w:r>
        <w:rPr>
          <w:color w:val="231F20"/>
          <w:spacing w:val="-1"/>
        </w:rPr>
        <w:t xml:space="preserve"> </w:t>
      </w:r>
      <w:r>
        <w:rPr>
          <w:color w:val="231F20"/>
        </w:rPr>
        <w:t>in</w:t>
      </w:r>
      <w:r>
        <w:rPr>
          <w:color w:val="231F20"/>
          <w:spacing w:val="-1"/>
        </w:rPr>
        <w:t xml:space="preserve"> </w:t>
      </w:r>
      <w:r>
        <w:rPr>
          <w:color w:val="231F20"/>
        </w:rPr>
        <w:t>2021–22</w:t>
      </w:r>
      <w:r>
        <w:rPr>
          <w:color w:val="231F20"/>
          <w:spacing w:val="-1"/>
        </w:rPr>
        <w:t xml:space="preserve"> </w:t>
      </w:r>
      <w:r>
        <w:rPr>
          <w:color w:val="231F20"/>
        </w:rPr>
        <w:t>to</w:t>
      </w:r>
      <w:r>
        <w:rPr>
          <w:color w:val="231F20"/>
          <w:spacing w:val="-1"/>
        </w:rPr>
        <w:t xml:space="preserve"> </w:t>
      </w:r>
      <w:r>
        <w:rPr>
          <w:color w:val="231F20"/>
        </w:rPr>
        <w:t>deliver policing services to the Victorian community 24 hours a day, seven days a week and is accountable</w:t>
      </w:r>
      <w:r>
        <w:rPr>
          <w:color w:val="231F20"/>
          <w:spacing w:val="-8"/>
        </w:rPr>
        <w:t xml:space="preserve"> </w:t>
      </w:r>
      <w:r>
        <w:rPr>
          <w:color w:val="231F20"/>
        </w:rPr>
        <w:t>to</w:t>
      </w:r>
      <w:r>
        <w:rPr>
          <w:color w:val="231F20"/>
          <w:spacing w:val="-8"/>
        </w:rPr>
        <w:t xml:space="preserve"> </w:t>
      </w:r>
      <w:r>
        <w:rPr>
          <w:color w:val="231F20"/>
        </w:rPr>
        <w:t>government</w:t>
      </w:r>
      <w:r>
        <w:rPr>
          <w:color w:val="231F20"/>
          <w:spacing w:val="-7"/>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community</w:t>
      </w:r>
      <w:r>
        <w:rPr>
          <w:color w:val="231F20"/>
          <w:spacing w:val="-7"/>
        </w:rPr>
        <w:t xml:space="preserve"> </w:t>
      </w:r>
      <w:r>
        <w:rPr>
          <w:color w:val="231F20"/>
        </w:rPr>
        <w:t>for</w:t>
      </w:r>
      <w:r>
        <w:rPr>
          <w:color w:val="231F20"/>
          <w:spacing w:val="-7"/>
        </w:rPr>
        <w:t xml:space="preserve"> </w:t>
      </w:r>
      <w:r>
        <w:rPr>
          <w:color w:val="231F20"/>
        </w:rPr>
        <w:t>its</w:t>
      </w:r>
      <w:r>
        <w:rPr>
          <w:color w:val="231F20"/>
          <w:spacing w:val="-7"/>
        </w:rPr>
        <w:t xml:space="preserve"> </w:t>
      </w:r>
      <w:r>
        <w:rPr>
          <w:color w:val="231F20"/>
        </w:rPr>
        <w:t>performance.</w:t>
      </w:r>
      <w:r>
        <w:rPr>
          <w:color w:val="231F20"/>
          <w:spacing w:val="-7"/>
        </w:rPr>
        <w:t xml:space="preserve"> </w:t>
      </w:r>
      <w:r>
        <w:rPr>
          <w:color w:val="231F20"/>
        </w:rPr>
        <w:t>Each</w:t>
      </w:r>
      <w:r>
        <w:rPr>
          <w:color w:val="231F20"/>
          <w:spacing w:val="-8"/>
        </w:rPr>
        <w:t xml:space="preserve"> </w:t>
      </w:r>
      <w:r>
        <w:rPr>
          <w:color w:val="231F20"/>
        </w:rPr>
        <w:t>reporting</w:t>
      </w:r>
      <w:r>
        <w:rPr>
          <w:color w:val="231F20"/>
          <w:spacing w:val="-8"/>
        </w:rPr>
        <w:t xml:space="preserve"> </w:t>
      </w:r>
      <w:r>
        <w:rPr>
          <w:color w:val="231F20"/>
        </w:rPr>
        <w:t>year</w:t>
      </w:r>
      <w:r>
        <w:rPr>
          <w:color w:val="231F20"/>
          <w:spacing w:val="-7"/>
        </w:rPr>
        <w:t xml:space="preserve"> </w:t>
      </w:r>
      <w:r>
        <w:rPr>
          <w:color w:val="231F20"/>
        </w:rPr>
        <w:t>Victoria Police is required to provide to government and the community information on outcomes and financial performance. This chapter presents information on Victoria Police’s performance against the Victorian Government Budget Papers. The actions taken in accordance with the Victoria</w:t>
      </w:r>
      <w:r>
        <w:rPr>
          <w:color w:val="231F20"/>
          <w:spacing w:val="-1"/>
        </w:rPr>
        <w:t xml:space="preserve"> </w:t>
      </w:r>
      <w:r>
        <w:rPr>
          <w:color w:val="231F20"/>
        </w:rPr>
        <w:t>Police</w:t>
      </w:r>
      <w:r>
        <w:rPr>
          <w:color w:val="231F20"/>
          <w:spacing w:val="-1"/>
        </w:rPr>
        <w:t xml:space="preserve"> </w:t>
      </w:r>
      <w:r>
        <w:rPr>
          <w:color w:val="231F20"/>
        </w:rPr>
        <w:t>2021–22</w:t>
      </w:r>
      <w:r>
        <w:rPr>
          <w:color w:val="231F20"/>
          <w:spacing w:val="-1"/>
        </w:rPr>
        <w:t xml:space="preserve"> </w:t>
      </w:r>
      <w:r>
        <w:rPr>
          <w:color w:val="231F20"/>
        </w:rPr>
        <w:t>Annual</w:t>
      </w:r>
      <w:r>
        <w:rPr>
          <w:color w:val="231F20"/>
          <w:spacing w:val="-1"/>
        </w:rPr>
        <w:t xml:space="preserve"> </w:t>
      </w:r>
      <w:r>
        <w:rPr>
          <w:color w:val="231F20"/>
        </w:rPr>
        <w:t>Plan</w:t>
      </w:r>
      <w:r>
        <w:rPr>
          <w:color w:val="231F20"/>
          <w:spacing w:val="-1"/>
        </w:rPr>
        <w:t xml:space="preserve"> </w:t>
      </w:r>
      <w:r>
        <w:rPr>
          <w:color w:val="231F20"/>
        </w:rPr>
        <w:t>can</w:t>
      </w:r>
      <w:r>
        <w:rPr>
          <w:color w:val="231F20"/>
          <w:spacing w:val="-1"/>
        </w:rPr>
        <w:t xml:space="preserve"> </w:t>
      </w:r>
      <w:r>
        <w:rPr>
          <w:color w:val="231F20"/>
        </w:rPr>
        <w:t>be</w:t>
      </w:r>
      <w:r>
        <w:rPr>
          <w:color w:val="231F20"/>
          <w:spacing w:val="-1"/>
        </w:rPr>
        <w:t xml:space="preserve"> </w:t>
      </w:r>
      <w:r>
        <w:rPr>
          <w:color w:val="231F20"/>
        </w:rPr>
        <w:t>found</w:t>
      </w:r>
      <w:r>
        <w:rPr>
          <w:color w:val="231F20"/>
          <w:spacing w:val="-1"/>
        </w:rPr>
        <w:t xml:space="preserve"> </w:t>
      </w:r>
      <w:r>
        <w:rPr>
          <w:color w:val="231F20"/>
        </w:rPr>
        <w:t>under Chapter Four Year in</w:t>
      </w:r>
      <w:r>
        <w:rPr>
          <w:color w:val="231F20"/>
          <w:spacing w:val="-1"/>
        </w:rPr>
        <w:t xml:space="preserve"> </w:t>
      </w:r>
      <w:r>
        <w:rPr>
          <w:color w:val="231F20"/>
        </w:rPr>
        <w:t>Review.</w:t>
      </w:r>
    </w:p>
    <w:p w14:paraId="4DEA5D4A" w14:textId="77777777" w:rsidR="00345EE3" w:rsidRPr="00087AF4" w:rsidRDefault="00345EE3" w:rsidP="00345EE3">
      <w:pPr>
        <w:pStyle w:val="Heading2"/>
        <w:spacing w:before="221"/>
        <w:rPr>
          <w:sz w:val="32"/>
          <w:szCs w:val="32"/>
        </w:rPr>
      </w:pPr>
      <w:r w:rsidRPr="00087AF4">
        <w:rPr>
          <w:color w:val="00529F"/>
          <w:sz w:val="32"/>
          <w:szCs w:val="32"/>
        </w:rPr>
        <w:t>Impacts</w:t>
      </w:r>
      <w:r w:rsidRPr="00087AF4">
        <w:rPr>
          <w:color w:val="00529F"/>
          <w:spacing w:val="-10"/>
          <w:sz w:val="32"/>
          <w:szCs w:val="32"/>
        </w:rPr>
        <w:t xml:space="preserve"> </w:t>
      </w:r>
      <w:r w:rsidRPr="00087AF4">
        <w:rPr>
          <w:color w:val="00529F"/>
          <w:sz w:val="32"/>
          <w:szCs w:val="32"/>
        </w:rPr>
        <w:t>on</w:t>
      </w:r>
      <w:r w:rsidRPr="00087AF4">
        <w:rPr>
          <w:color w:val="00529F"/>
          <w:spacing w:val="-7"/>
          <w:sz w:val="32"/>
          <w:szCs w:val="32"/>
        </w:rPr>
        <w:t xml:space="preserve"> </w:t>
      </w:r>
      <w:r w:rsidRPr="00087AF4">
        <w:rPr>
          <w:color w:val="00529F"/>
          <w:sz w:val="32"/>
          <w:szCs w:val="32"/>
        </w:rPr>
        <w:t>Performance</w:t>
      </w:r>
      <w:r w:rsidRPr="00087AF4">
        <w:rPr>
          <w:color w:val="00529F"/>
          <w:spacing w:val="-7"/>
          <w:sz w:val="32"/>
          <w:szCs w:val="32"/>
        </w:rPr>
        <w:t xml:space="preserve"> </w:t>
      </w:r>
      <w:r w:rsidRPr="00087AF4">
        <w:rPr>
          <w:color w:val="00529F"/>
          <w:sz w:val="32"/>
          <w:szCs w:val="32"/>
        </w:rPr>
        <w:t>in</w:t>
      </w:r>
      <w:r w:rsidRPr="00087AF4">
        <w:rPr>
          <w:color w:val="00529F"/>
          <w:spacing w:val="-7"/>
          <w:sz w:val="32"/>
          <w:szCs w:val="32"/>
        </w:rPr>
        <w:t xml:space="preserve"> </w:t>
      </w:r>
      <w:r w:rsidRPr="00087AF4">
        <w:rPr>
          <w:color w:val="00529F"/>
          <w:spacing w:val="-2"/>
          <w:sz w:val="32"/>
          <w:szCs w:val="32"/>
        </w:rPr>
        <w:t>2021–22</w:t>
      </w:r>
    </w:p>
    <w:p w14:paraId="3309C0C4" w14:textId="336C33B6" w:rsidR="00345EE3" w:rsidRDefault="00345EE3" w:rsidP="00345EE3">
      <w:pPr>
        <w:pStyle w:val="BodyText"/>
        <w:spacing w:before="72" w:line="242" w:lineRule="auto"/>
      </w:pPr>
      <w:r>
        <w:rPr>
          <w:color w:val="231F20"/>
        </w:rPr>
        <w:t>Throughout</w:t>
      </w:r>
      <w:r>
        <w:rPr>
          <w:color w:val="231F20"/>
          <w:spacing w:val="-12"/>
        </w:rPr>
        <w:t xml:space="preserve"> </w:t>
      </w:r>
      <w:r>
        <w:rPr>
          <w:color w:val="231F20"/>
        </w:rPr>
        <w:t>2021–22,</w:t>
      </w:r>
      <w:r>
        <w:rPr>
          <w:color w:val="231F20"/>
          <w:spacing w:val="-12"/>
        </w:rPr>
        <w:t xml:space="preserve"> </w:t>
      </w:r>
      <w:r>
        <w:rPr>
          <w:color w:val="231F20"/>
        </w:rPr>
        <w:t>Victoria</w:t>
      </w:r>
      <w:r>
        <w:rPr>
          <w:color w:val="231F20"/>
          <w:spacing w:val="-13"/>
        </w:rPr>
        <w:t xml:space="preserve"> </w:t>
      </w:r>
      <w:r>
        <w:rPr>
          <w:color w:val="231F20"/>
        </w:rPr>
        <w:t>Police</w:t>
      </w:r>
      <w:r>
        <w:rPr>
          <w:color w:val="231F20"/>
          <w:spacing w:val="-13"/>
        </w:rPr>
        <w:t xml:space="preserve"> </w:t>
      </w:r>
      <w:r>
        <w:rPr>
          <w:color w:val="231F20"/>
        </w:rPr>
        <w:t>recorded</w:t>
      </w:r>
      <w:r>
        <w:rPr>
          <w:color w:val="231F20"/>
          <w:spacing w:val="-13"/>
        </w:rPr>
        <w:t xml:space="preserve"> </w:t>
      </w:r>
      <w:r>
        <w:rPr>
          <w:color w:val="231F20"/>
        </w:rPr>
        <w:t>significant</w:t>
      </w:r>
      <w:r>
        <w:rPr>
          <w:color w:val="231F20"/>
          <w:spacing w:val="-12"/>
        </w:rPr>
        <w:t xml:space="preserve"> </w:t>
      </w:r>
      <w:r>
        <w:rPr>
          <w:color w:val="231F20"/>
        </w:rPr>
        <w:t>variances</w:t>
      </w:r>
      <w:r>
        <w:rPr>
          <w:color w:val="231F20"/>
          <w:spacing w:val="-12"/>
        </w:rPr>
        <w:t xml:space="preserve"> </w:t>
      </w:r>
      <w:r>
        <w:rPr>
          <w:color w:val="231F20"/>
        </w:rPr>
        <w:t>against</w:t>
      </w:r>
      <w:r>
        <w:rPr>
          <w:color w:val="231F20"/>
          <w:spacing w:val="-12"/>
        </w:rPr>
        <w:t xml:space="preserve"> </w:t>
      </w:r>
      <w:r>
        <w:rPr>
          <w:color w:val="231F20"/>
        </w:rPr>
        <w:t>several</w:t>
      </w:r>
      <w:r>
        <w:rPr>
          <w:color w:val="231F20"/>
          <w:spacing w:val="-13"/>
        </w:rPr>
        <w:t xml:space="preserve"> </w:t>
      </w:r>
      <w:r>
        <w:rPr>
          <w:color w:val="231F20"/>
        </w:rPr>
        <w:t xml:space="preserve">performance measures. </w:t>
      </w:r>
      <w:r w:rsidR="002C440A">
        <w:rPr>
          <w:color w:val="231F20"/>
        </w:rPr>
        <w:br/>
      </w:r>
      <w:r>
        <w:rPr>
          <w:color w:val="231F20"/>
        </w:rPr>
        <w:t>Victoria Police is still experiencing the ongoing effects of the COVID-19 pandemic</w:t>
      </w:r>
    </w:p>
    <w:p w14:paraId="1834F3BA" w14:textId="77777777" w:rsidR="00345EE3" w:rsidRDefault="00345EE3" w:rsidP="00345EE3">
      <w:pPr>
        <w:pStyle w:val="BodyText"/>
        <w:spacing w:before="3" w:line="242" w:lineRule="auto"/>
        <w:ind w:right="1141"/>
      </w:pPr>
      <w:r>
        <w:rPr>
          <w:color w:val="231F20"/>
        </w:rPr>
        <w:t>as it continues to be the main driver of the variances. Victoria Police continued to experience changes to tasking, working environments and the reprioritisation of roles and responsibilities in alignment with Chief Health Officer (CHO) Directions through 2021–22. Over the current reporting year CHO directions were revised and sequentially removed. This led to further reprioritisation</w:t>
      </w:r>
      <w:r>
        <w:rPr>
          <w:color w:val="231F20"/>
          <w:spacing w:val="-9"/>
        </w:rPr>
        <w:t xml:space="preserve"> </w:t>
      </w:r>
      <w:r>
        <w:rPr>
          <w:color w:val="231F20"/>
        </w:rPr>
        <w:t>of</w:t>
      </w:r>
      <w:r>
        <w:rPr>
          <w:color w:val="231F20"/>
          <w:spacing w:val="-8"/>
        </w:rPr>
        <w:t xml:space="preserve"> </w:t>
      </w:r>
      <w:r>
        <w:rPr>
          <w:color w:val="231F20"/>
        </w:rPr>
        <w:t>our</w:t>
      </w:r>
      <w:r>
        <w:rPr>
          <w:color w:val="231F20"/>
          <w:spacing w:val="-8"/>
        </w:rPr>
        <w:t xml:space="preserve"> </w:t>
      </w:r>
      <w:r>
        <w:rPr>
          <w:color w:val="231F20"/>
        </w:rPr>
        <w:t>roles</w:t>
      </w:r>
      <w:r>
        <w:rPr>
          <w:color w:val="231F20"/>
          <w:spacing w:val="-8"/>
        </w:rPr>
        <w:t xml:space="preserve"> </w:t>
      </w:r>
      <w:r>
        <w:rPr>
          <w:color w:val="231F20"/>
        </w:rPr>
        <w:t>and</w:t>
      </w:r>
      <w:r>
        <w:rPr>
          <w:color w:val="231F20"/>
          <w:spacing w:val="-9"/>
        </w:rPr>
        <w:t xml:space="preserve"> </w:t>
      </w:r>
      <w:r>
        <w:rPr>
          <w:color w:val="231F20"/>
        </w:rPr>
        <w:t>responsibilities</w:t>
      </w:r>
      <w:r>
        <w:rPr>
          <w:color w:val="231F20"/>
          <w:spacing w:val="-8"/>
        </w:rPr>
        <w:t xml:space="preserve"> </w:t>
      </w:r>
      <w:r>
        <w:rPr>
          <w:color w:val="231F20"/>
        </w:rPr>
        <w:t>to</w:t>
      </w:r>
      <w:r>
        <w:rPr>
          <w:color w:val="231F20"/>
          <w:spacing w:val="-9"/>
        </w:rPr>
        <w:t xml:space="preserve"> </w:t>
      </w:r>
      <w:r>
        <w:rPr>
          <w:color w:val="231F20"/>
        </w:rPr>
        <w:t>ensure</w:t>
      </w:r>
      <w:r>
        <w:rPr>
          <w:color w:val="231F20"/>
          <w:spacing w:val="-9"/>
        </w:rPr>
        <w:t xml:space="preserve"> </w:t>
      </w:r>
      <w:r>
        <w:rPr>
          <w:color w:val="231F20"/>
        </w:rPr>
        <w:t>the</w:t>
      </w:r>
      <w:r>
        <w:rPr>
          <w:color w:val="231F20"/>
          <w:spacing w:val="-9"/>
        </w:rPr>
        <w:t xml:space="preserve"> </w:t>
      </w:r>
      <w:r>
        <w:rPr>
          <w:color w:val="231F20"/>
        </w:rPr>
        <w:t>health</w:t>
      </w:r>
      <w:r>
        <w:rPr>
          <w:color w:val="231F20"/>
          <w:spacing w:val="-9"/>
        </w:rPr>
        <w:t xml:space="preserve"> </w:t>
      </w:r>
      <w:r>
        <w:rPr>
          <w:color w:val="231F20"/>
        </w:rPr>
        <w:t>and</w:t>
      </w:r>
      <w:r>
        <w:rPr>
          <w:color w:val="231F20"/>
          <w:spacing w:val="-9"/>
        </w:rPr>
        <w:t xml:space="preserve"> </w:t>
      </w:r>
      <w:r>
        <w:rPr>
          <w:color w:val="231F20"/>
        </w:rPr>
        <w:t>safety</w:t>
      </w:r>
      <w:r>
        <w:rPr>
          <w:color w:val="231F20"/>
          <w:spacing w:val="-8"/>
        </w:rPr>
        <w:t xml:space="preserve"> </w:t>
      </w:r>
      <w:r>
        <w:rPr>
          <w:color w:val="231F20"/>
        </w:rPr>
        <w:t>of</w:t>
      </w:r>
      <w:r>
        <w:rPr>
          <w:color w:val="231F20"/>
          <w:spacing w:val="-8"/>
        </w:rPr>
        <w:t xml:space="preserve"> </w:t>
      </w:r>
      <w:r>
        <w:rPr>
          <w:color w:val="231F20"/>
        </w:rPr>
        <w:t>our</w:t>
      </w:r>
      <w:r>
        <w:rPr>
          <w:color w:val="231F20"/>
          <w:spacing w:val="-8"/>
        </w:rPr>
        <w:t xml:space="preserve"> </w:t>
      </w:r>
      <w:r>
        <w:rPr>
          <w:color w:val="231F20"/>
        </w:rPr>
        <w:t>members and</w:t>
      </w:r>
      <w:r>
        <w:rPr>
          <w:color w:val="231F20"/>
          <w:spacing w:val="-12"/>
        </w:rPr>
        <w:t xml:space="preserve"> </w:t>
      </w:r>
      <w:r>
        <w:rPr>
          <w:color w:val="231F20"/>
        </w:rPr>
        <w:t>the</w:t>
      </w:r>
      <w:r>
        <w:rPr>
          <w:color w:val="231F20"/>
          <w:spacing w:val="-9"/>
        </w:rPr>
        <w:t xml:space="preserve"> </w:t>
      </w:r>
      <w:r>
        <w:rPr>
          <w:color w:val="231F20"/>
        </w:rPr>
        <w:t>wider</w:t>
      </w:r>
      <w:r>
        <w:rPr>
          <w:color w:val="231F20"/>
          <w:spacing w:val="-9"/>
        </w:rPr>
        <w:t xml:space="preserve"> </w:t>
      </w:r>
      <w:r>
        <w:rPr>
          <w:color w:val="231F20"/>
        </w:rPr>
        <w:t>community</w:t>
      </w:r>
      <w:r>
        <w:rPr>
          <w:color w:val="231F20"/>
          <w:spacing w:val="-9"/>
        </w:rPr>
        <w:t xml:space="preserve"> </w:t>
      </w:r>
      <w:r>
        <w:rPr>
          <w:color w:val="231F20"/>
        </w:rPr>
        <w:t>continued</w:t>
      </w:r>
      <w:r>
        <w:rPr>
          <w:color w:val="231F20"/>
          <w:spacing w:val="-9"/>
        </w:rPr>
        <w:t xml:space="preserve"> </w:t>
      </w:r>
      <w:r>
        <w:rPr>
          <w:color w:val="231F20"/>
        </w:rPr>
        <w:t>as</w:t>
      </w:r>
      <w:r>
        <w:rPr>
          <w:color w:val="231F20"/>
          <w:spacing w:val="-9"/>
        </w:rPr>
        <w:t xml:space="preserve"> </w:t>
      </w:r>
      <w:r>
        <w:rPr>
          <w:color w:val="231F20"/>
        </w:rPr>
        <w:t>we</w:t>
      </w:r>
      <w:r>
        <w:rPr>
          <w:color w:val="231F20"/>
          <w:spacing w:val="-9"/>
        </w:rPr>
        <w:t xml:space="preserve"> </w:t>
      </w:r>
      <w:r>
        <w:rPr>
          <w:color w:val="231F20"/>
        </w:rPr>
        <w:t>resumed</w:t>
      </w:r>
      <w:r>
        <w:rPr>
          <w:color w:val="231F20"/>
          <w:spacing w:val="-10"/>
        </w:rPr>
        <w:t xml:space="preserve"> </w:t>
      </w:r>
      <w:r>
        <w:rPr>
          <w:color w:val="231F20"/>
        </w:rPr>
        <w:t>activities</w:t>
      </w:r>
      <w:r>
        <w:rPr>
          <w:color w:val="231F20"/>
          <w:spacing w:val="-8"/>
        </w:rPr>
        <w:t xml:space="preserve"> </w:t>
      </w:r>
      <w:r>
        <w:rPr>
          <w:color w:val="231F20"/>
        </w:rPr>
        <w:t>under</w:t>
      </w:r>
      <w:r>
        <w:rPr>
          <w:color w:val="231F20"/>
          <w:spacing w:val="-9"/>
        </w:rPr>
        <w:t xml:space="preserve"> </w:t>
      </w:r>
      <w:r>
        <w:rPr>
          <w:color w:val="231F20"/>
        </w:rPr>
        <w:t>pre-COVID-19</w:t>
      </w:r>
      <w:r>
        <w:rPr>
          <w:color w:val="231F20"/>
          <w:spacing w:val="-9"/>
        </w:rPr>
        <w:t xml:space="preserve"> </w:t>
      </w:r>
      <w:r>
        <w:rPr>
          <w:color w:val="231F20"/>
          <w:spacing w:val="-2"/>
        </w:rPr>
        <w:t>conditions.</w:t>
      </w:r>
    </w:p>
    <w:p w14:paraId="4276D5DA" w14:textId="77777777" w:rsidR="00345EE3" w:rsidRDefault="00345EE3" w:rsidP="00345EE3">
      <w:pPr>
        <w:pStyle w:val="BodyText"/>
        <w:spacing w:before="121" w:line="242" w:lineRule="auto"/>
        <w:ind w:right="1141"/>
      </w:pPr>
      <w:r>
        <w:rPr>
          <w:color w:val="231F20"/>
        </w:rPr>
        <w:t>Many</w:t>
      </w:r>
      <w:r>
        <w:rPr>
          <w:color w:val="231F20"/>
          <w:spacing w:val="-12"/>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COVID-19</w:t>
      </w:r>
      <w:r>
        <w:rPr>
          <w:color w:val="231F20"/>
          <w:spacing w:val="-13"/>
        </w:rPr>
        <w:t xml:space="preserve"> </w:t>
      </w:r>
      <w:r>
        <w:rPr>
          <w:color w:val="231F20"/>
        </w:rPr>
        <w:t>pandemic</w:t>
      </w:r>
      <w:r>
        <w:rPr>
          <w:color w:val="231F20"/>
          <w:spacing w:val="-12"/>
        </w:rPr>
        <w:t xml:space="preserve"> </w:t>
      </w:r>
      <w:r>
        <w:rPr>
          <w:color w:val="231F20"/>
        </w:rPr>
        <w:t>impacts</w:t>
      </w:r>
      <w:r>
        <w:rPr>
          <w:color w:val="231F20"/>
          <w:spacing w:val="-12"/>
        </w:rPr>
        <w:t xml:space="preserve"> </w:t>
      </w:r>
      <w:r>
        <w:rPr>
          <w:color w:val="231F20"/>
        </w:rPr>
        <w:t>were</w:t>
      </w:r>
      <w:r>
        <w:rPr>
          <w:color w:val="231F20"/>
          <w:spacing w:val="-13"/>
        </w:rPr>
        <w:t xml:space="preserve"> </w:t>
      </w:r>
      <w:r>
        <w:rPr>
          <w:color w:val="231F20"/>
        </w:rPr>
        <w:t>due</w:t>
      </w:r>
      <w:r>
        <w:rPr>
          <w:color w:val="231F20"/>
          <w:spacing w:val="-13"/>
        </w:rPr>
        <w:t xml:space="preserve"> </w:t>
      </w:r>
      <w:r>
        <w:rPr>
          <w:color w:val="231F20"/>
        </w:rPr>
        <w:t>to</w:t>
      </w:r>
      <w:r>
        <w:rPr>
          <w:color w:val="231F20"/>
          <w:spacing w:val="-13"/>
        </w:rPr>
        <w:t xml:space="preserve"> </w:t>
      </w:r>
      <w:r>
        <w:rPr>
          <w:color w:val="231F20"/>
        </w:rPr>
        <w:t>meeting</w:t>
      </w:r>
      <w:r>
        <w:rPr>
          <w:color w:val="231F20"/>
          <w:spacing w:val="-13"/>
        </w:rPr>
        <w:t xml:space="preserve"> </w:t>
      </w:r>
      <w:r>
        <w:rPr>
          <w:color w:val="231F20"/>
        </w:rPr>
        <w:t>OHS</w:t>
      </w:r>
      <w:r>
        <w:rPr>
          <w:color w:val="231F20"/>
          <w:spacing w:val="-12"/>
        </w:rPr>
        <w:t xml:space="preserve"> </w:t>
      </w:r>
      <w:r>
        <w:rPr>
          <w:color w:val="231F20"/>
        </w:rPr>
        <w:t>requirements,</w:t>
      </w:r>
      <w:r>
        <w:rPr>
          <w:color w:val="231F20"/>
          <w:spacing w:val="-12"/>
        </w:rPr>
        <w:t xml:space="preserve"> </w:t>
      </w:r>
      <w:r>
        <w:rPr>
          <w:color w:val="231F20"/>
        </w:rPr>
        <w:t>especially altering our drug and alcohol testing approach and ensuring operational deployments met CHO compliance. These ultimately affected the mass testing conducted by the Alcohol and Drug Testing Vehicles (ADTV) model across the state. The ADTV fleet ceased operations</w:t>
      </w:r>
    </w:p>
    <w:p w14:paraId="63F6D746" w14:textId="77777777" w:rsidR="00345EE3" w:rsidRDefault="00345EE3" w:rsidP="00345EE3">
      <w:pPr>
        <w:pStyle w:val="BodyText"/>
        <w:spacing w:before="6" w:line="242" w:lineRule="auto"/>
      </w:pPr>
      <w:r>
        <w:rPr>
          <w:color w:val="231F20"/>
        </w:rPr>
        <w:t>between</w:t>
      </w:r>
      <w:r>
        <w:rPr>
          <w:color w:val="231F20"/>
          <w:spacing w:val="-11"/>
        </w:rPr>
        <w:t xml:space="preserve"> </w:t>
      </w:r>
      <w:r>
        <w:rPr>
          <w:color w:val="231F20"/>
        </w:rPr>
        <w:t>July</w:t>
      </w:r>
      <w:r>
        <w:rPr>
          <w:color w:val="231F20"/>
          <w:spacing w:val="-10"/>
        </w:rPr>
        <w:t xml:space="preserve"> </w:t>
      </w:r>
      <w:r>
        <w:rPr>
          <w:color w:val="231F20"/>
        </w:rPr>
        <w:t>2021</w:t>
      </w:r>
      <w:r>
        <w:rPr>
          <w:color w:val="231F20"/>
          <w:spacing w:val="-11"/>
        </w:rPr>
        <w:t xml:space="preserve"> </w:t>
      </w:r>
      <w:r>
        <w:rPr>
          <w:color w:val="231F20"/>
        </w:rPr>
        <w:t>to</w:t>
      </w:r>
      <w:r>
        <w:rPr>
          <w:color w:val="231F20"/>
          <w:spacing w:val="-11"/>
        </w:rPr>
        <w:t xml:space="preserve"> </w:t>
      </w:r>
      <w:r>
        <w:rPr>
          <w:color w:val="231F20"/>
        </w:rPr>
        <w:t>October</w:t>
      </w:r>
      <w:r>
        <w:rPr>
          <w:color w:val="231F20"/>
          <w:spacing w:val="-10"/>
        </w:rPr>
        <w:t xml:space="preserve"> </w:t>
      </w:r>
      <w:r>
        <w:rPr>
          <w:color w:val="231F20"/>
        </w:rPr>
        <w:t>2021</w:t>
      </w:r>
      <w:r>
        <w:rPr>
          <w:color w:val="231F20"/>
          <w:spacing w:val="-11"/>
        </w:rPr>
        <w:t xml:space="preserve"> </w:t>
      </w:r>
      <w:r>
        <w:rPr>
          <w:color w:val="231F20"/>
        </w:rPr>
        <w:t>and</w:t>
      </w:r>
      <w:r>
        <w:rPr>
          <w:color w:val="231F20"/>
          <w:spacing w:val="-11"/>
        </w:rPr>
        <w:t xml:space="preserve"> </w:t>
      </w:r>
      <w:r>
        <w:rPr>
          <w:color w:val="231F20"/>
        </w:rPr>
        <w:t>subsequently,</w:t>
      </w:r>
      <w:r>
        <w:rPr>
          <w:color w:val="231F20"/>
          <w:spacing w:val="-10"/>
        </w:rPr>
        <w:t xml:space="preserve"> </w:t>
      </w:r>
      <w:r>
        <w:rPr>
          <w:color w:val="231F20"/>
        </w:rPr>
        <w:t>the</w:t>
      </w:r>
      <w:r>
        <w:rPr>
          <w:color w:val="231F20"/>
          <w:spacing w:val="-11"/>
        </w:rPr>
        <w:t xml:space="preserve"> </w:t>
      </w:r>
      <w:r>
        <w:rPr>
          <w:color w:val="231F20"/>
        </w:rPr>
        <w:t>figures</w:t>
      </w:r>
      <w:r>
        <w:rPr>
          <w:color w:val="231F20"/>
          <w:spacing w:val="-10"/>
        </w:rPr>
        <w:t xml:space="preserve"> </w:t>
      </w:r>
      <w:r>
        <w:rPr>
          <w:color w:val="231F20"/>
        </w:rPr>
        <w:t>for</w:t>
      </w:r>
      <w:r>
        <w:rPr>
          <w:color w:val="231F20"/>
          <w:spacing w:val="-10"/>
        </w:rPr>
        <w:t xml:space="preserve"> </w:t>
      </w:r>
      <w:r>
        <w:rPr>
          <w:color w:val="231F20"/>
        </w:rPr>
        <w:t>alcohol</w:t>
      </w:r>
      <w:r>
        <w:rPr>
          <w:color w:val="231F20"/>
          <w:spacing w:val="-11"/>
        </w:rPr>
        <w:t xml:space="preserve"> </w:t>
      </w:r>
      <w:r>
        <w:rPr>
          <w:color w:val="231F20"/>
        </w:rPr>
        <w:t>screening</w:t>
      </w:r>
      <w:r>
        <w:rPr>
          <w:color w:val="231F20"/>
          <w:spacing w:val="-11"/>
        </w:rPr>
        <w:t xml:space="preserve"> </w:t>
      </w:r>
      <w:r>
        <w:rPr>
          <w:color w:val="231F20"/>
        </w:rPr>
        <w:t>tests</w:t>
      </w:r>
      <w:r>
        <w:rPr>
          <w:color w:val="231F20"/>
          <w:spacing w:val="-10"/>
        </w:rPr>
        <w:t xml:space="preserve"> </w:t>
      </w:r>
      <w:r>
        <w:rPr>
          <w:color w:val="231F20"/>
        </w:rPr>
        <w:t>are significantly reduced for the 2021–22 reporting period.</w:t>
      </w:r>
    </w:p>
    <w:p w14:paraId="0FAD726C" w14:textId="77777777" w:rsidR="00345EE3" w:rsidRPr="00087AF4" w:rsidRDefault="00345EE3" w:rsidP="00345EE3">
      <w:pPr>
        <w:pStyle w:val="Heading2"/>
        <w:spacing w:before="213"/>
        <w:rPr>
          <w:sz w:val="32"/>
          <w:szCs w:val="32"/>
        </w:rPr>
      </w:pPr>
      <w:r w:rsidRPr="00087AF4">
        <w:rPr>
          <w:color w:val="00529F"/>
          <w:sz w:val="32"/>
          <w:szCs w:val="32"/>
        </w:rPr>
        <w:t>Performance</w:t>
      </w:r>
      <w:r w:rsidRPr="00087AF4">
        <w:rPr>
          <w:color w:val="00529F"/>
          <w:spacing w:val="-18"/>
          <w:sz w:val="32"/>
          <w:szCs w:val="32"/>
        </w:rPr>
        <w:t xml:space="preserve"> </w:t>
      </w:r>
      <w:r w:rsidRPr="00087AF4">
        <w:rPr>
          <w:color w:val="00529F"/>
          <w:sz w:val="32"/>
          <w:szCs w:val="32"/>
        </w:rPr>
        <w:t>Against</w:t>
      </w:r>
      <w:r w:rsidRPr="00087AF4">
        <w:rPr>
          <w:color w:val="00529F"/>
          <w:spacing w:val="-16"/>
          <w:sz w:val="32"/>
          <w:szCs w:val="32"/>
        </w:rPr>
        <w:t xml:space="preserve"> </w:t>
      </w:r>
      <w:r w:rsidRPr="00087AF4">
        <w:rPr>
          <w:color w:val="00529F"/>
          <w:sz w:val="32"/>
          <w:szCs w:val="32"/>
        </w:rPr>
        <w:t>Objective</w:t>
      </w:r>
      <w:r w:rsidRPr="00087AF4">
        <w:rPr>
          <w:color w:val="00529F"/>
          <w:spacing w:val="-16"/>
          <w:sz w:val="32"/>
          <w:szCs w:val="32"/>
        </w:rPr>
        <w:t xml:space="preserve"> </w:t>
      </w:r>
      <w:r w:rsidRPr="00087AF4">
        <w:rPr>
          <w:color w:val="00529F"/>
          <w:spacing w:val="-2"/>
          <w:sz w:val="32"/>
          <w:szCs w:val="32"/>
        </w:rPr>
        <w:t>Indicators</w:t>
      </w:r>
    </w:p>
    <w:p w14:paraId="0C0B527C" w14:textId="77777777" w:rsidR="00345EE3" w:rsidRDefault="00345EE3" w:rsidP="00345EE3">
      <w:pPr>
        <w:pStyle w:val="BodyText"/>
        <w:spacing w:before="72" w:line="242" w:lineRule="auto"/>
        <w:ind w:right="848"/>
      </w:pPr>
      <w:r>
        <w:rPr>
          <w:color w:val="231F20"/>
        </w:rPr>
        <w:t>Each year, the Victorian Government prioritises the goods and services it provides to the Victorian</w:t>
      </w:r>
      <w:r>
        <w:rPr>
          <w:color w:val="231F20"/>
          <w:spacing w:val="-8"/>
        </w:rPr>
        <w:t xml:space="preserve"> </w:t>
      </w:r>
      <w:r>
        <w:rPr>
          <w:color w:val="231F20"/>
        </w:rPr>
        <w:t>community</w:t>
      </w:r>
      <w:r>
        <w:rPr>
          <w:color w:val="231F20"/>
          <w:spacing w:val="-7"/>
        </w:rPr>
        <w:t xml:space="preserve"> </w:t>
      </w:r>
      <w:r>
        <w:rPr>
          <w:color w:val="231F20"/>
        </w:rPr>
        <w:t>and</w:t>
      </w:r>
      <w:r>
        <w:rPr>
          <w:color w:val="231F20"/>
          <w:spacing w:val="-8"/>
        </w:rPr>
        <w:t xml:space="preserve"> </w:t>
      </w:r>
      <w:r>
        <w:rPr>
          <w:color w:val="231F20"/>
        </w:rPr>
        <w:t>details</w:t>
      </w:r>
      <w:r>
        <w:rPr>
          <w:color w:val="231F20"/>
          <w:spacing w:val="-7"/>
        </w:rPr>
        <w:t xml:space="preserve"> </w:t>
      </w:r>
      <w:r>
        <w:rPr>
          <w:color w:val="231F20"/>
        </w:rPr>
        <w:t>its</w:t>
      </w:r>
      <w:r>
        <w:rPr>
          <w:color w:val="231F20"/>
          <w:spacing w:val="-8"/>
        </w:rPr>
        <w:t xml:space="preserve"> </w:t>
      </w:r>
      <w:r>
        <w:rPr>
          <w:color w:val="231F20"/>
        </w:rPr>
        <w:t>budget</w:t>
      </w:r>
      <w:r>
        <w:rPr>
          <w:color w:val="231F20"/>
          <w:spacing w:val="-7"/>
        </w:rPr>
        <w:t xml:space="preserve"> </w:t>
      </w:r>
      <w:r>
        <w:rPr>
          <w:color w:val="231F20"/>
        </w:rPr>
        <w:t>decisions</w:t>
      </w:r>
      <w:r>
        <w:rPr>
          <w:color w:val="231F20"/>
          <w:spacing w:val="-8"/>
        </w:rPr>
        <w:t xml:space="preserve"> </w:t>
      </w:r>
      <w:r>
        <w:rPr>
          <w:color w:val="231F20"/>
        </w:rPr>
        <w:t>within</w:t>
      </w:r>
      <w:r>
        <w:rPr>
          <w:color w:val="231F20"/>
          <w:spacing w:val="-8"/>
        </w:rPr>
        <w:t xml:space="preserve"> </w:t>
      </w:r>
      <w:r>
        <w:rPr>
          <w:color w:val="231F20"/>
        </w:rPr>
        <w:t>Budget</w:t>
      </w:r>
      <w:r>
        <w:rPr>
          <w:color w:val="231F20"/>
          <w:spacing w:val="-7"/>
        </w:rPr>
        <w:t xml:space="preserve"> </w:t>
      </w:r>
      <w:r>
        <w:rPr>
          <w:color w:val="231F20"/>
        </w:rPr>
        <w:t>Paper</w:t>
      </w:r>
      <w:r>
        <w:rPr>
          <w:color w:val="231F20"/>
          <w:spacing w:val="-8"/>
        </w:rPr>
        <w:t xml:space="preserve"> </w:t>
      </w:r>
      <w:r>
        <w:rPr>
          <w:color w:val="231F20"/>
        </w:rPr>
        <w:t>No.</w:t>
      </w:r>
      <w:r>
        <w:rPr>
          <w:color w:val="231F20"/>
          <w:spacing w:val="-7"/>
        </w:rPr>
        <w:t xml:space="preserve"> </w:t>
      </w:r>
      <w:r>
        <w:rPr>
          <w:color w:val="231F20"/>
        </w:rPr>
        <w:t>3</w:t>
      </w:r>
      <w:r>
        <w:rPr>
          <w:color w:val="231F20"/>
          <w:spacing w:val="-8"/>
        </w:rPr>
        <w:t xml:space="preserve"> </w:t>
      </w:r>
      <w:r>
        <w:rPr>
          <w:color w:val="231F20"/>
        </w:rPr>
        <w:t>Service</w:t>
      </w:r>
      <w:r>
        <w:rPr>
          <w:color w:val="231F20"/>
          <w:spacing w:val="-8"/>
        </w:rPr>
        <w:t xml:space="preserve"> </w:t>
      </w:r>
      <w:r>
        <w:rPr>
          <w:color w:val="231F20"/>
        </w:rPr>
        <w:t>Delivery (BP3). Victoria Police is required to report on how it is meeting BP3 performance targets and how these outputs contribute to key objectives.</w:t>
      </w:r>
    </w:p>
    <w:p w14:paraId="296809D5" w14:textId="77777777" w:rsidR="00345EE3" w:rsidRDefault="00345EE3" w:rsidP="00345EE3">
      <w:pPr>
        <w:spacing w:before="125"/>
        <w:ind w:left="110"/>
        <w:rPr>
          <w:rFonts w:ascii="Arial-BoldItalicMT"/>
          <w:b/>
          <w:i/>
          <w:sz w:val="18"/>
        </w:rPr>
      </w:pPr>
      <w:r>
        <w:rPr>
          <w:color w:val="231F20"/>
          <w:sz w:val="18"/>
        </w:rPr>
        <w:t>Table</w:t>
      </w:r>
      <w:r>
        <w:rPr>
          <w:color w:val="231F20"/>
          <w:spacing w:val="-4"/>
          <w:sz w:val="18"/>
        </w:rPr>
        <w:t xml:space="preserve"> </w:t>
      </w:r>
      <w:r>
        <w:rPr>
          <w:color w:val="231F20"/>
          <w:sz w:val="18"/>
        </w:rPr>
        <w:t>3.1:</w:t>
      </w:r>
      <w:r>
        <w:rPr>
          <w:color w:val="231F20"/>
          <w:spacing w:val="-4"/>
          <w:sz w:val="18"/>
        </w:rPr>
        <w:t xml:space="preserve"> </w:t>
      </w:r>
      <w:r>
        <w:rPr>
          <w:rFonts w:ascii="Arial-BoldItalicMT"/>
          <w:b/>
          <w:i/>
          <w:color w:val="231F20"/>
          <w:sz w:val="18"/>
        </w:rPr>
        <w:t>Departmental</w:t>
      </w:r>
      <w:r>
        <w:rPr>
          <w:rFonts w:ascii="Arial-BoldItalicMT"/>
          <w:b/>
          <w:i/>
          <w:color w:val="231F20"/>
          <w:spacing w:val="-6"/>
          <w:sz w:val="18"/>
        </w:rPr>
        <w:t xml:space="preserve"> </w:t>
      </w:r>
      <w:r>
        <w:rPr>
          <w:rFonts w:ascii="Arial-BoldItalicMT"/>
          <w:b/>
          <w:i/>
          <w:color w:val="231F20"/>
          <w:sz w:val="18"/>
        </w:rPr>
        <w:t>Performance</w:t>
      </w:r>
      <w:r>
        <w:rPr>
          <w:rFonts w:ascii="Arial-BoldItalicMT"/>
          <w:b/>
          <w:i/>
          <w:color w:val="231F20"/>
          <w:spacing w:val="-6"/>
          <w:sz w:val="18"/>
        </w:rPr>
        <w:t xml:space="preserve"> </w:t>
      </w:r>
      <w:r>
        <w:rPr>
          <w:rFonts w:ascii="Arial-BoldItalicMT"/>
          <w:b/>
          <w:i/>
          <w:color w:val="231F20"/>
          <w:sz w:val="18"/>
        </w:rPr>
        <w:t>Output</w:t>
      </w:r>
      <w:r>
        <w:rPr>
          <w:rFonts w:ascii="Arial-BoldItalicMT"/>
          <w:b/>
          <w:i/>
          <w:color w:val="231F20"/>
          <w:spacing w:val="-7"/>
          <w:sz w:val="18"/>
        </w:rPr>
        <w:t xml:space="preserve"> </w:t>
      </w:r>
      <w:r>
        <w:rPr>
          <w:rFonts w:ascii="Arial-BoldItalicMT"/>
          <w:b/>
          <w:i/>
          <w:color w:val="231F20"/>
          <w:sz w:val="18"/>
        </w:rPr>
        <w:t>Objective</w:t>
      </w:r>
      <w:r>
        <w:rPr>
          <w:rFonts w:ascii="Arial-BoldItalicMT"/>
          <w:b/>
          <w:i/>
          <w:color w:val="231F20"/>
          <w:spacing w:val="-6"/>
          <w:sz w:val="18"/>
        </w:rPr>
        <w:t xml:space="preserve"> </w:t>
      </w:r>
      <w:r>
        <w:rPr>
          <w:rFonts w:ascii="Arial-BoldItalicMT"/>
          <w:b/>
          <w:i/>
          <w:color w:val="231F20"/>
          <w:sz w:val="18"/>
        </w:rPr>
        <w:t>and</w:t>
      </w:r>
      <w:r>
        <w:rPr>
          <w:rFonts w:ascii="Arial-BoldItalicMT"/>
          <w:b/>
          <w:i/>
          <w:color w:val="231F20"/>
          <w:spacing w:val="-6"/>
          <w:sz w:val="18"/>
        </w:rPr>
        <w:t xml:space="preserve"> </w:t>
      </w:r>
      <w:r>
        <w:rPr>
          <w:rFonts w:ascii="Arial-BoldItalicMT"/>
          <w:b/>
          <w:i/>
          <w:color w:val="231F20"/>
          <w:spacing w:val="-2"/>
          <w:sz w:val="18"/>
        </w:rPr>
        <w:t>Indicators</w:t>
      </w:r>
    </w:p>
    <w:p w14:paraId="174DFF5B" w14:textId="77777777" w:rsidR="00345EE3" w:rsidRDefault="00345EE3" w:rsidP="00345EE3">
      <w:pPr>
        <w:pStyle w:val="BodyText"/>
        <w:spacing w:before="10"/>
        <w:rPr>
          <w:rFonts w:ascii="Arial-BoldItalicMT"/>
          <w:b/>
          <w:i/>
          <w:sz w:val="5"/>
        </w:rPr>
      </w:pPr>
    </w:p>
    <w:tbl>
      <w:tblPr>
        <w:tblW w:w="0" w:type="auto"/>
        <w:tblInd w:w="115" w:type="dxa"/>
        <w:tblLayout w:type="fixed"/>
        <w:tblCellMar>
          <w:left w:w="0" w:type="dxa"/>
          <w:right w:w="0" w:type="dxa"/>
        </w:tblCellMar>
        <w:tblLook w:val="01E0" w:firstRow="1" w:lastRow="1" w:firstColumn="1" w:lastColumn="1" w:noHBand="0" w:noVBand="0"/>
      </w:tblPr>
      <w:tblGrid>
        <w:gridCol w:w="1701"/>
        <w:gridCol w:w="1701"/>
        <w:gridCol w:w="1701"/>
        <w:gridCol w:w="1701"/>
      </w:tblGrid>
      <w:tr w:rsidR="00345EE3" w14:paraId="018BF0B3" w14:textId="77777777" w:rsidTr="00D73130">
        <w:trPr>
          <w:trHeight w:val="401"/>
        </w:trPr>
        <w:tc>
          <w:tcPr>
            <w:tcW w:w="6804" w:type="dxa"/>
            <w:gridSpan w:val="4"/>
            <w:shd w:val="clear" w:color="auto" w:fill="00529F"/>
          </w:tcPr>
          <w:p w14:paraId="264A0AC5" w14:textId="77777777" w:rsidR="00345EE3" w:rsidRDefault="00345EE3" w:rsidP="00D73130">
            <w:pPr>
              <w:pStyle w:val="TableParagraph"/>
              <w:spacing w:before="63"/>
              <w:ind w:left="2819" w:right="2816"/>
              <w:jc w:val="center"/>
              <w:rPr>
                <w:b/>
                <w:sz w:val="24"/>
              </w:rPr>
            </w:pPr>
            <w:r>
              <w:rPr>
                <w:b/>
                <w:color w:val="FFFFFF"/>
                <w:spacing w:val="-2"/>
                <w:sz w:val="24"/>
              </w:rPr>
              <w:t>Output</w:t>
            </w:r>
          </w:p>
        </w:tc>
      </w:tr>
      <w:tr w:rsidR="00345EE3" w14:paraId="6F0D31E9" w14:textId="77777777" w:rsidTr="00D73130">
        <w:trPr>
          <w:trHeight w:val="398"/>
        </w:trPr>
        <w:tc>
          <w:tcPr>
            <w:tcW w:w="6804" w:type="dxa"/>
            <w:gridSpan w:val="4"/>
            <w:tcBorders>
              <w:right w:val="single" w:sz="2" w:space="0" w:color="939598"/>
            </w:tcBorders>
          </w:tcPr>
          <w:p w14:paraId="709DC14A" w14:textId="77777777" w:rsidR="00345EE3" w:rsidRDefault="00345EE3" w:rsidP="00D73130">
            <w:pPr>
              <w:pStyle w:val="TableParagraph"/>
              <w:ind w:left="1128" w:right="1127"/>
              <w:jc w:val="center"/>
              <w:rPr>
                <w:b/>
                <w:sz w:val="24"/>
              </w:rPr>
            </w:pPr>
            <w:r>
              <w:rPr>
                <w:b/>
                <w:color w:val="231F20"/>
                <w:sz w:val="24"/>
              </w:rPr>
              <w:t>Policing</w:t>
            </w:r>
            <w:r>
              <w:rPr>
                <w:b/>
                <w:color w:val="231F20"/>
                <w:spacing w:val="-4"/>
                <w:sz w:val="24"/>
              </w:rPr>
              <w:t xml:space="preserve"> </w:t>
            </w:r>
            <w:r>
              <w:rPr>
                <w:b/>
                <w:color w:val="231F20"/>
                <w:sz w:val="24"/>
              </w:rPr>
              <w:t>Services</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Crime</w:t>
            </w:r>
            <w:r>
              <w:rPr>
                <w:b/>
                <w:color w:val="231F20"/>
                <w:spacing w:val="-2"/>
                <w:sz w:val="24"/>
              </w:rPr>
              <w:t xml:space="preserve"> Prevention</w:t>
            </w:r>
          </w:p>
        </w:tc>
      </w:tr>
      <w:tr w:rsidR="00345EE3" w14:paraId="14D15D7B" w14:textId="77777777" w:rsidTr="00D73130">
        <w:trPr>
          <w:trHeight w:val="401"/>
        </w:trPr>
        <w:tc>
          <w:tcPr>
            <w:tcW w:w="6804" w:type="dxa"/>
            <w:gridSpan w:val="4"/>
            <w:shd w:val="clear" w:color="auto" w:fill="00529F"/>
          </w:tcPr>
          <w:p w14:paraId="6840B0F4" w14:textId="77777777" w:rsidR="00345EE3" w:rsidRDefault="00345EE3" w:rsidP="00D73130">
            <w:pPr>
              <w:pStyle w:val="TableParagraph"/>
              <w:spacing w:before="63"/>
              <w:ind w:left="2816" w:right="2817"/>
              <w:jc w:val="center"/>
              <w:rPr>
                <w:b/>
                <w:sz w:val="24"/>
              </w:rPr>
            </w:pPr>
            <w:r>
              <w:rPr>
                <w:b/>
                <w:color w:val="FFFFFF"/>
                <w:spacing w:val="-2"/>
                <w:sz w:val="24"/>
              </w:rPr>
              <w:t>Objective</w:t>
            </w:r>
          </w:p>
        </w:tc>
      </w:tr>
      <w:tr w:rsidR="00345EE3" w14:paraId="61C6F213" w14:textId="77777777" w:rsidTr="00D73130">
        <w:trPr>
          <w:trHeight w:val="681"/>
        </w:trPr>
        <w:tc>
          <w:tcPr>
            <w:tcW w:w="6804" w:type="dxa"/>
            <w:gridSpan w:val="4"/>
            <w:tcBorders>
              <w:right w:val="single" w:sz="2" w:space="0" w:color="939598"/>
            </w:tcBorders>
          </w:tcPr>
          <w:p w14:paraId="3EFBED2F" w14:textId="77777777" w:rsidR="00345EE3" w:rsidRDefault="00345EE3" w:rsidP="00D73130">
            <w:pPr>
              <w:pStyle w:val="TableParagraph"/>
              <w:spacing w:before="63" w:line="242" w:lineRule="auto"/>
              <w:ind w:left="1239" w:hanging="654"/>
              <w:jc w:val="left"/>
              <w:rPr>
                <w:b/>
                <w:sz w:val="24"/>
              </w:rPr>
            </w:pPr>
            <w:r>
              <w:rPr>
                <w:b/>
                <w:color w:val="231F20"/>
                <w:sz w:val="24"/>
              </w:rPr>
              <w:t>Ensuring</w:t>
            </w:r>
            <w:r>
              <w:rPr>
                <w:b/>
                <w:color w:val="231F20"/>
                <w:spacing w:val="-7"/>
                <w:sz w:val="24"/>
              </w:rPr>
              <w:t xml:space="preserve"> </w:t>
            </w:r>
            <w:r>
              <w:rPr>
                <w:b/>
                <w:color w:val="231F20"/>
                <w:sz w:val="24"/>
              </w:rPr>
              <w:t>community</w:t>
            </w:r>
            <w:r>
              <w:rPr>
                <w:b/>
                <w:color w:val="231F20"/>
                <w:spacing w:val="-8"/>
                <w:sz w:val="24"/>
              </w:rPr>
              <w:t xml:space="preserve"> </w:t>
            </w:r>
            <w:r>
              <w:rPr>
                <w:b/>
                <w:color w:val="231F20"/>
                <w:sz w:val="24"/>
              </w:rPr>
              <w:t>safety</w:t>
            </w:r>
            <w:r>
              <w:rPr>
                <w:b/>
                <w:color w:val="231F20"/>
                <w:spacing w:val="-8"/>
                <w:sz w:val="24"/>
              </w:rPr>
              <w:t xml:space="preserve"> </w:t>
            </w:r>
            <w:r>
              <w:rPr>
                <w:b/>
                <w:color w:val="231F20"/>
                <w:sz w:val="24"/>
              </w:rPr>
              <w:t>through</w:t>
            </w:r>
            <w:r>
              <w:rPr>
                <w:b/>
                <w:color w:val="231F20"/>
                <w:spacing w:val="-7"/>
                <w:sz w:val="24"/>
              </w:rPr>
              <w:t xml:space="preserve"> </w:t>
            </w:r>
            <w:r>
              <w:rPr>
                <w:b/>
                <w:color w:val="231F20"/>
                <w:sz w:val="24"/>
              </w:rPr>
              <w:t>policing,</w:t>
            </w:r>
            <w:r>
              <w:rPr>
                <w:b/>
                <w:color w:val="231F20"/>
                <w:spacing w:val="-7"/>
                <w:sz w:val="24"/>
              </w:rPr>
              <w:t xml:space="preserve"> </w:t>
            </w:r>
            <w:r>
              <w:rPr>
                <w:b/>
                <w:color w:val="231F20"/>
                <w:sz w:val="24"/>
              </w:rPr>
              <w:t>law enforcement and prevention activities</w:t>
            </w:r>
          </w:p>
        </w:tc>
      </w:tr>
      <w:tr w:rsidR="00345EE3" w14:paraId="78A850DF" w14:textId="77777777" w:rsidTr="00D73130">
        <w:trPr>
          <w:trHeight w:val="401"/>
        </w:trPr>
        <w:tc>
          <w:tcPr>
            <w:tcW w:w="6804" w:type="dxa"/>
            <w:gridSpan w:val="4"/>
            <w:shd w:val="clear" w:color="auto" w:fill="00529F"/>
          </w:tcPr>
          <w:p w14:paraId="2841A01D" w14:textId="77777777" w:rsidR="00345EE3" w:rsidRDefault="00345EE3" w:rsidP="00D73130">
            <w:pPr>
              <w:pStyle w:val="TableParagraph"/>
              <w:spacing w:before="63"/>
              <w:ind w:left="2819" w:right="2817"/>
              <w:jc w:val="center"/>
              <w:rPr>
                <w:b/>
                <w:sz w:val="24"/>
              </w:rPr>
            </w:pPr>
            <w:r>
              <w:rPr>
                <w:b/>
                <w:color w:val="FFFFFF"/>
                <w:spacing w:val="-2"/>
                <w:sz w:val="24"/>
              </w:rPr>
              <w:t>Indicators</w:t>
            </w:r>
          </w:p>
        </w:tc>
      </w:tr>
      <w:tr w:rsidR="00345EE3" w14:paraId="57D0880C" w14:textId="77777777" w:rsidTr="00D73130">
        <w:trPr>
          <w:trHeight w:val="1238"/>
        </w:trPr>
        <w:tc>
          <w:tcPr>
            <w:tcW w:w="1701" w:type="dxa"/>
            <w:tcBorders>
              <w:bottom w:val="single" w:sz="2" w:space="0" w:color="939598"/>
              <w:right w:val="single" w:sz="2" w:space="0" w:color="939598"/>
            </w:tcBorders>
          </w:tcPr>
          <w:p w14:paraId="6C338122" w14:textId="77777777" w:rsidR="00345EE3" w:rsidRDefault="00345EE3" w:rsidP="00D73130">
            <w:pPr>
              <w:pStyle w:val="TableParagraph"/>
              <w:spacing w:before="63" w:line="242" w:lineRule="auto"/>
              <w:ind w:left="42" w:right="37" w:hanging="2"/>
              <w:jc w:val="center"/>
              <w:rPr>
                <w:b/>
                <w:sz w:val="24"/>
              </w:rPr>
            </w:pPr>
            <w:r>
              <w:rPr>
                <w:b/>
                <w:color w:val="231F20"/>
                <w:spacing w:val="-2"/>
                <w:sz w:val="24"/>
              </w:rPr>
              <w:t xml:space="preserve">Community </w:t>
            </w:r>
            <w:r>
              <w:rPr>
                <w:b/>
                <w:color w:val="231F20"/>
                <w:sz w:val="24"/>
              </w:rPr>
              <w:t>safety during the</w:t>
            </w:r>
            <w:r>
              <w:rPr>
                <w:b/>
                <w:color w:val="231F20"/>
                <w:spacing w:val="-12"/>
                <w:sz w:val="24"/>
              </w:rPr>
              <w:t xml:space="preserve"> </w:t>
            </w:r>
            <w:r>
              <w:rPr>
                <w:b/>
                <w:color w:val="231F20"/>
                <w:sz w:val="24"/>
              </w:rPr>
              <w:t>day</w:t>
            </w:r>
            <w:r>
              <w:rPr>
                <w:b/>
                <w:color w:val="231F20"/>
                <w:spacing w:val="-12"/>
                <w:sz w:val="24"/>
              </w:rPr>
              <w:t xml:space="preserve"> </w:t>
            </w:r>
            <w:r>
              <w:rPr>
                <w:b/>
                <w:color w:val="231F20"/>
                <w:sz w:val="24"/>
              </w:rPr>
              <w:t>and</w:t>
            </w:r>
            <w:r>
              <w:rPr>
                <w:b/>
                <w:color w:val="231F20"/>
                <w:spacing w:val="-13"/>
                <w:sz w:val="24"/>
              </w:rPr>
              <w:t xml:space="preserve"> </w:t>
            </w:r>
            <w:r>
              <w:rPr>
                <w:b/>
                <w:color w:val="231F20"/>
                <w:sz w:val="24"/>
              </w:rPr>
              <w:t xml:space="preserve">at </w:t>
            </w:r>
            <w:r>
              <w:rPr>
                <w:b/>
                <w:color w:val="231F20"/>
                <w:spacing w:val="-2"/>
                <w:sz w:val="24"/>
              </w:rPr>
              <w:t>night</w:t>
            </w:r>
          </w:p>
        </w:tc>
        <w:tc>
          <w:tcPr>
            <w:tcW w:w="1701" w:type="dxa"/>
            <w:tcBorders>
              <w:left w:val="single" w:sz="2" w:space="0" w:color="939598"/>
              <w:bottom w:val="single" w:sz="2" w:space="0" w:color="939598"/>
              <w:right w:val="single" w:sz="2" w:space="0" w:color="939598"/>
            </w:tcBorders>
          </w:tcPr>
          <w:p w14:paraId="0EEDD497" w14:textId="77777777" w:rsidR="00345EE3" w:rsidRDefault="00345EE3" w:rsidP="00D73130">
            <w:pPr>
              <w:pStyle w:val="TableParagraph"/>
              <w:spacing w:before="63" w:line="242" w:lineRule="auto"/>
              <w:ind w:left="190" w:right="183"/>
              <w:jc w:val="center"/>
              <w:rPr>
                <w:b/>
                <w:sz w:val="24"/>
              </w:rPr>
            </w:pPr>
            <w:r>
              <w:rPr>
                <w:b/>
                <w:color w:val="231F20"/>
                <w:spacing w:val="-2"/>
                <w:sz w:val="24"/>
              </w:rPr>
              <w:t xml:space="preserve">Community </w:t>
            </w:r>
            <w:r>
              <w:rPr>
                <w:b/>
                <w:color w:val="231F20"/>
                <w:sz w:val="24"/>
              </w:rPr>
              <w:t xml:space="preserve">safety on </w:t>
            </w:r>
            <w:r>
              <w:rPr>
                <w:b/>
                <w:color w:val="231F20"/>
                <w:spacing w:val="-2"/>
                <w:sz w:val="24"/>
              </w:rPr>
              <w:t>Public Transport</w:t>
            </w:r>
          </w:p>
        </w:tc>
        <w:tc>
          <w:tcPr>
            <w:tcW w:w="1701" w:type="dxa"/>
            <w:tcBorders>
              <w:left w:val="single" w:sz="2" w:space="0" w:color="939598"/>
              <w:bottom w:val="single" w:sz="2" w:space="0" w:color="939598"/>
              <w:right w:val="single" w:sz="2" w:space="0" w:color="939598"/>
            </w:tcBorders>
          </w:tcPr>
          <w:p w14:paraId="5501533C" w14:textId="77777777" w:rsidR="00345EE3" w:rsidRDefault="00345EE3" w:rsidP="00D73130">
            <w:pPr>
              <w:pStyle w:val="TableParagraph"/>
              <w:spacing w:before="63" w:line="242" w:lineRule="auto"/>
              <w:ind w:left="330" w:firstLine="180"/>
              <w:jc w:val="left"/>
              <w:rPr>
                <w:b/>
                <w:sz w:val="24"/>
              </w:rPr>
            </w:pPr>
            <w:r>
              <w:rPr>
                <w:b/>
                <w:color w:val="231F20"/>
                <w:spacing w:val="-2"/>
                <w:sz w:val="24"/>
              </w:rPr>
              <w:t>Crime statistics</w:t>
            </w:r>
          </w:p>
        </w:tc>
        <w:tc>
          <w:tcPr>
            <w:tcW w:w="1701" w:type="dxa"/>
            <w:tcBorders>
              <w:left w:val="single" w:sz="2" w:space="0" w:color="939598"/>
              <w:bottom w:val="single" w:sz="2" w:space="0" w:color="939598"/>
              <w:right w:val="single" w:sz="2" w:space="0" w:color="939598"/>
            </w:tcBorders>
          </w:tcPr>
          <w:p w14:paraId="2EE30F59" w14:textId="77777777" w:rsidR="00345EE3" w:rsidRDefault="00345EE3" w:rsidP="00D73130">
            <w:pPr>
              <w:pStyle w:val="TableParagraph"/>
              <w:spacing w:before="63" w:line="242" w:lineRule="auto"/>
              <w:ind w:left="176" w:hanging="147"/>
              <w:jc w:val="left"/>
              <w:rPr>
                <w:b/>
                <w:sz w:val="24"/>
              </w:rPr>
            </w:pPr>
            <w:r>
              <w:rPr>
                <w:b/>
                <w:color w:val="231F20"/>
                <w:sz w:val="24"/>
              </w:rPr>
              <w:t>Road</w:t>
            </w:r>
            <w:r>
              <w:rPr>
                <w:b/>
                <w:color w:val="231F20"/>
                <w:spacing w:val="-17"/>
                <w:sz w:val="24"/>
              </w:rPr>
              <w:t xml:space="preserve"> </w:t>
            </w:r>
            <w:r>
              <w:rPr>
                <w:b/>
                <w:color w:val="231F20"/>
                <w:sz w:val="24"/>
              </w:rPr>
              <w:t>fatalities and injuries</w:t>
            </w:r>
          </w:p>
        </w:tc>
      </w:tr>
    </w:tbl>
    <w:p w14:paraId="76000F78" w14:textId="77777777" w:rsidR="00345EE3" w:rsidRDefault="00345EE3" w:rsidP="00345EE3">
      <w:pPr>
        <w:spacing w:before="69"/>
        <w:ind w:left="110"/>
        <w:rPr>
          <w:sz w:val="14"/>
        </w:rPr>
      </w:pPr>
      <w:r>
        <w:rPr>
          <w:rFonts w:ascii="Arial-BoldItalicMT" w:hAnsi="Arial-BoldItalicMT"/>
          <w:b/>
          <w:i/>
          <w:color w:val="231F20"/>
          <w:sz w:val="14"/>
        </w:rPr>
        <w:t>Source:</w:t>
      </w:r>
      <w:r>
        <w:rPr>
          <w:rFonts w:ascii="Arial-BoldItalicMT" w:hAnsi="Arial-BoldItalicMT"/>
          <w:b/>
          <w:i/>
          <w:color w:val="231F20"/>
          <w:spacing w:val="-1"/>
          <w:sz w:val="14"/>
        </w:rPr>
        <w:t xml:space="preserve"> </w:t>
      </w:r>
      <w:r>
        <w:rPr>
          <w:color w:val="231F20"/>
          <w:sz w:val="14"/>
        </w:rPr>
        <w:t>2021–22 Budget Paper No.</w:t>
      </w:r>
      <w:r>
        <w:rPr>
          <w:color w:val="231F20"/>
          <w:spacing w:val="-1"/>
          <w:sz w:val="14"/>
        </w:rPr>
        <w:t xml:space="preserve"> </w:t>
      </w:r>
      <w:r>
        <w:rPr>
          <w:color w:val="231F20"/>
          <w:sz w:val="14"/>
        </w:rPr>
        <w:t>3 Service Delivery,</w:t>
      </w:r>
      <w:r>
        <w:rPr>
          <w:color w:val="231F20"/>
          <w:spacing w:val="-1"/>
          <w:sz w:val="14"/>
        </w:rPr>
        <w:t xml:space="preserve"> </w:t>
      </w:r>
      <w:r>
        <w:rPr>
          <w:color w:val="231F20"/>
          <w:sz w:val="14"/>
        </w:rPr>
        <w:t xml:space="preserve">Justice and Community </w:t>
      </w:r>
      <w:r>
        <w:rPr>
          <w:color w:val="231F20"/>
          <w:spacing w:val="-2"/>
          <w:sz w:val="14"/>
        </w:rPr>
        <w:t>Safety.</w:t>
      </w:r>
    </w:p>
    <w:p w14:paraId="7B5E69FF" w14:textId="77777777" w:rsidR="00345EE3" w:rsidRDefault="00345EE3" w:rsidP="00345EE3">
      <w:pPr>
        <w:spacing w:before="27"/>
        <w:ind w:left="110" w:right="921"/>
        <w:rPr>
          <w:sz w:val="14"/>
        </w:rPr>
      </w:pPr>
      <w:r>
        <w:rPr>
          <w:rFonts w:ascii="Arial-BoldItalicMT" w:hAnsi="Arial-BoldItalicMT"/>
          <w:b/>
          <w:i/>
          <w:color w:val="231F20"/>
          <w:sz w:val="14"/>
        </w:rPr>
        <w:t xml:space="preserve">Note: </w:t>
      </w:r>
      <w:r>
        <w:rPr>
          <w:color w:val="231F20"/>
          <w:sz w:val="14"/>
        </w:rPr>
        <w:t>In 2021–22, Victoria Police separated ‘Community safety on public transport’ metrics from the ‘Community safety during the day and night’ indicator to allow</w:t>
      </w:r>
      <w:r>
        <w:rPr>
          <w:color w:val="231F20"/>
          <w:spacing w:val="40"/>
          <w:sz w:val="14"/>
        </w:rPr>
        <w:t xml:space="preserve"> </w:t>
      </w:r>
      <w:r>
        <w:rPr>
          <w:color w:val="231F20"/>
          <w:sz w:val="14"/>
        </w:rPr>
        <w:t>for better transparency.</w:t>
      </w:r>
    </w:p>
    <w:p w14:paraId="70156221" w14:textId="77777777" w:rsidR="00345EE3" w:rsidRDefault="00345EE3" w:rsidP="00345EE3">
      <w:pPr>
        <w:rPr>
          <w:color w:val="231F20"/>
          <w:sz w:val="24"/>
          <w:szCs w:val="24"/>
        </w:rPr>
      </w:pPr>
      <w:r>
        <w:rPr>
          <w:color w:val="231F20"/>
        </w:rPr>
        <w:br w:type="page"/>
      </w:r>
    </w:p>
    <w:p w14:paraId="7F628DFC" w14:textId="77777777" w:rsidR="00345EE3" w:rsidRPr="00087AF4" w:rsidRDefault="00345EE3" w:rsidP="00087AF4">
      <w:pPr>
        <w:pStyle w:val="BodyText"/>
        <w:spacing w:before="138" w:line="242" w:lineRule="auto"/>
        <w:ind w:left="142" w:right="921"/>
        <w:rPr>
          <w:sz w:val="24"/>
          <w:szCs w:val="24"/>
        </w:rPr>
      </w:pPr>
      <w:r w:rsidRPr="00087AF4">
        <w:rPr>
          <w:color w:val="231F20"/>
          <w:sz w:val="24"/>
          <w:szCs w:val="24"/>
        </w:rPr>
        <w:t>Performance</w:t>
      </w:r>
      <w:r w:rsidRPr="00087AF4">
        <w:rPr>
          <w:color w:val="231F20"/>
          <w:spacing w:val="-8"/>
          <w:sz w:val="24"/>
          <w:szCs w:val="24"/>
        </w:rPr>
        <w:t xml:space="preserve"> </w:t>
      </w:r>
      <w:r w:rsidRPr="00087AF4">
        <w:rPr>
          <w:color w:val="231F20"/>
          <w:sz w:val="24"/>
          <w:szCs w:val="24"/>
        </w:rPr>
        <w:t>data</w:t>
      </w:r>
      <w:r w:rsidRPr="00087AF4">
        <w:rPr>
          <w:color w:val="231F20"/>
          <w:spacing w:val="-8"/>
          <w:sz w:val="24"/>
          <w:szCs w:val="24"/>
        </w:rPr>
        <w:t xml:space="preserve"> </w:t>
      </w:r>
      <w:r w:rsidRPr="00087AF4">
        <w:rPr>
          <w:color w:val="231F20"/>
          <w:sz w:val="24"/>
          <w:szCs w:val="24"/>
        </w:rPr>
        <w:t>for</w:t>
      </w:r>
      <w:r w:rsidRPr="00087AF4">
        <w:rPr>
          <w:color w:val="231F20"/>
          <w:spacing w:val="-7"/>
          <w:sz w:val="24"/>
          <w:szCs w:val="24"/>
        </w:rPr>
        <w:t xml:space="preserve"> </w:t>
      </w:r>
      <w:r w:rsidRPr="00087AF4">
        <w:rPr>
          <w:color w:val="231F20"/>
          <w:sz w:val="24"/>
          <w:szCs w:val="24"/>
        </w:rPr>
        <w:t>both</w:t>
      </w:r>
      <w:r w:rsidRPr="00087AF4">
        <w:rPr>
          <w:color w:val="231F20"/>
          <w:spacing w:val="-8"/>
          <w:sz w:val="24"/>
          <w:szCs w:val="24"/>
        </w:rPr>
        <w:t xml:space="preserve"> </w:t>
      </w:r>
      <w:r w:rsidRPr="00087AF4">
        <w:rPr>
          <w:color w:val="231F20"/>
          <w:sz w:val="24"/>
          <w:szCs w:val="24"/>
        </w:rPr>
        <w:t>‘community</w:t>
      </w:r>
      <w:r w:rsidRPr="00087AF4">
        <w:rPr>
          <w:color w:val="231F20"/>
          <w:spacing w:val="-7"/>
          <w:sz w:val="24"/>
          <w:szCs w:val="24"/>
        </w:rPr>
        <w:t xml:space="preserve"> </w:t>
      </w:r>
      <w:r w:rsidRPr="00087AF4">
        <w:rPr>
          <w:color w:val="231F20"/>
          <w:sz w:val="24"/>
          <w:szCs w:val="24"/>
        </w:rPr>
        <w:t>safety</w:t>
      </w:r>
      <w:r w:rsidRPr="00087AF4">
        <w:rPr>
          <w:color w:val="231F20"/>
          <w:spacing w:val="-7"/>
          <w:sz w:val="24"/>
          <w:szCs w:val="24"/>
        </w:rPr>
        <w:t xml:space="preserve"> </w:t>
      </w:r>
      <w:r w:rsidRPr="00087AF4">
        <w:rPr>
          <w:color w:val="231F20"/>
          <w:sz w:val="24"/>
          <w:szCs w:val="24"/>
        </w:rPr>
        <w:t>during</w:t>
      </w:r>
      <w:r w:rsidRPr="00087AF4">
        <w:rPr>
          <w:color w:val="231F20"/>
          <w:spacing w:val="-8"/>
          <w:sz w:val="24"/>
          <w:szCs w:val="24"/>
        </w:rPr>
        <w:t xml:space="preserve"> </w:t>
      </w:r>
      <w:r w:rsidRPr="00087AF4">
        <w:rPr>
          <w:color w:val="231F20"/>
          <w:sz w:val="24"/>
          <w:szCs w:val="24"/>
        </w:rPr>
        <w:t>the</w:t>
      </w:r>
      <w:r w:rsidRPr="00087AF4">
        <w:rPr>
          <w:color w:val="231F20"/>
          <w:spacing w:val="-8"/>
          <w:sz w:val="24"/>
          <w:szCs w:val="24"/>
        </w:rPr>
        <w:t xml:space="preserve"> </w:t>
      </w:r>
      <w:r w:rsidRPr="00087AF4">
        <w:rPr>
          <w:color w:val="231F20"/>
          <w:sz w:val="24"/>
          <w:szCs w:val="24"/>
        </w:rPr>
        <w:t>day</w:t>
      </w:r>
      <w:r w:rsidRPr="00087AF4">
        <w:rPr>
          <w:color w:val="231F20"/>
          <w:spacing w:val="-7"/>
          <w:sz w:val="24"/>
          <w:szCs w:val="24"/>
        </w:rPr>
        <w:t xml:space="preserve"> </w:t>
      </w:r>
      <w:r w:rsidRPr="00087AF4">
        <w:rPr>
          <w:color w:val="231F20"/>
          <w:sz w:val="24"/>
          <w:szCs w:val="24"/>
        </w:rPr>
        <w:t>and</w:t>
      </w:r>
      <w:r w:rsidRPr="00087AF4">
        <w:rPr>
          <w:color w:val="231F20"/>
          <w:spacing w:val="-8"/>
          <w:sz w:val="24"/>
          <w:szCs w:val="24"/>
        </w:rPr>
        <w:t xml:space="preserve"> </w:t>
      </w:r>
      <w:r w:rsidRPr="00087AF4">
        <w:rPr>
          <w:color w:val="231F20"/>
          <w:sz w:val="24"/>
          <w:szCs w:val="24"/>
        </w:rPr>
        <w:t>at</w:t>
      </w:r>
      <w:r w:rsidRPr="00087AF4">
        <w:rPr>
          <w:color w:val="231F20"/>
          <w:spacing w:val="-7"/>
          <w:sz w:val="24"/>
          <w:szCs w:val="24"/>
        </w:rPr>
        <w:t xml:space="preserve"> </w:t>
      </w:r>
      <w:r w:rsidRPr="00087AF4">
        <w:rPr>
          <w:color w:val="231F20"/>
          <w:sz w:val="24"/>
          <w:szCs w:val="24"/>
        </w:rPr>
        <w:t>night’</w:t>
      </w:r>
      <w:r w:rsidRPr="00087AF4">
        <w:rPr>
          <w:color w:val="231F20"/>
          <w:spacing w:val="-8"/>
          <w:sz w:val="24"/>
          <w:szCs w:val="24"/>
        </w:rPr>
        <w:t xml:space="preserve"> </w:t>
      </w:r>
      <w:r w:rsidRPr="00087AF4">
        <w:rPr>
          <w:color w:val="231F20"/>
          <w:sz w:val="24"/>
          <w:szCs w:val="24"/>
        </w:rPr>
        <w:t>and</w:t>
      </w:r>
      <w:r w:rsidRPr="00087AF4">
        <w:rPr>
          <w:color w:val="231F20"/>
          <w:spacing w:val="-8"/>
          <w:sz w:val="24"/>
          <w:szCs w:val="24"/>
        </w:rPr>
        <w:t xml:space="preserve"> </w:t>
      </w:r>
      <w:r w:rsidRPr="00087AF4">
        <w:rPr>
          <w:color w:val="231F20"/>
          <w:sz w:val="24"/>
          <w:szCs w:val="24"/>
        </w:rPr>
        <w:t>‘community</w:t>
      </w:r>
      <w:r w:rsidRPr="00087AF4">
        <w:rPr>
          <w:color w:val="231F20"/>
          <w:spacing w:val="-7"/>
          <w:sz w:val="24"/>
          <w:szCs w:val="24"/>
        </w:rPr>
        <w:t xml:space="preserve"> </w:t>
      </w:r>
      <w:r w:rsidRPr="00087AF4">
        <w:rPr>
          <w:color w:val="231F20"/>
          <w:sz w:val="24"/>
          <w:szCs w:val="24"/>
        </w:rPr>
        <w:t>safety on public transport’ indicators are collected via the National Survey of Community Satisfaction with Policing. Data extracted from the survey are reported in the Commonwealth Productivity Commission’s</w:t>
      </w:r>
      <w:r w:rsidRPr="00087AF4">
        <w:rPr>
          <w:color w:val="231F20"/>
          <w:spacing w:val="-12"/>
          <w:sz w:val="24"/>
          <w:szCs w:val="24"/>
        </w:rPr>
        <w:t xml:space="preserve"> </w:t>
      </w:r>
      <w:r w:rsidRPr="00087AF4">
        <w:rPr>
          <w:color w:val="231F20"/>
          <w:sz w:val="24"/>
          <w:szCs w:val="24"/>
        </w:rPr>
        <w:t>Report</w:t>
      </w:r>
      <w:r w:rsidRPr="00087AF4">
        <w:rPr>
          <w:color w:val="231F20"/>
          <w:spacing w:val="-12"/>
          <w:sz w:val="24"/>
          <w:szCs w:val="24"/>
        </w:rPr>
        <w:t xml:space="preserve"> </w:t>
      </w:r>
      <w:r w:rsidRPr="00087AF4">
        <w:rPr>
          <w:color w:val="231F20"/>
          <w:sz w:val="24"/>
          <w:szCs w:val="24"/>
        </w:rPr>
        <w:t>on</w:t>
      </w:r>
      <w:r w:rsidRPr="00087AF4">
        <w:rPr>
          <w:color w:val="231F20"/>
          <w:spacing w:val="-13"/>
          <w:sz w:val="24"/>
          <w:szCs w:val="24"/>
        </w:rPr>
        <w:t xml:space="preserve"> </w:t>
      </w:r>
      <w:r w:rsidRPr="00087AF4">
        <w:rPr>
          <w:color w:val="231F20"/>
          <w:sz w:val="24"/>
          <w:szCs w:val="24"/>
        </w:rPr>
        <w:t>Government</w:t>
      </w:r>
      <w:r w:rsidRPr="00087AF4">
        <w:rPr>
          <w:color w:val="231F20"/>
          <w:spacing w:val="-12"/>
          <w:sz w:val="24"/>
          <w:szCs w:val="24"/>
        </w:rPr>
        <w:t xml:space="preserve"> </w:t>
      </w:r>
      <w:r w:rsidRPr="00087AF4">
        <w:rPr>
          <w:color w:val="231F20"/>
          <w:sz w:val="24"/>
          <w:szCs w:val="24"/>
        </w:rPr>
        <w:t>Services</w:t>
      </w:r>
      <w:r w:rsidRPr="00087AF4">
        <w:rPr>
          <w:color w:val="231F20"/>
          <w:spacing w:val="-12"/>
          <w:sz w:val="24"/>
          <w:szCs w:val="24"/>
        </w:rPr>
        <w:t xml:space="preserve"> </w:t>
      </w:r>
      <w:r w:rsidRPr="00087AF4">
        <w:rPr>
          <w:color w:val="231F20"/>
          <w:sz w:val="24"/>
          <w:szCs w:val="24"/>
        </w:rPr>
        <w:t>(RoGS)</w:t>
      </w:r>
      <w:r w:rsidRPr="00087AF4">
        <w:rPr>
          <w:color w:val="231F20"/>
          <w:spacing w:val="-12"/>
          <w:sz w:val="24"/>
          <w:szCs w:val="24"/>
        </w:rPr>
        <w:t xml:space="preserve"> </w:t>
      </w:r>
      <w:r w:rsidRPr="00087AF4">
        <w:rPr>
          <w:color w:val="231F20"/>
          <w:sz w:val="24"/>
          <w:szCs w:val="24"/>
        </w:rPr>
        <w:t>at</w:t>
      </w:r>
      <w:r w:rsidRPr="00087AF4">
        <w:rPr>
          <w:color w:val="231F20"/>
          <w:spacing w:val="-12"/>
          <w:sz w:val="24"/>
          <w:szCs w:val="24"/>
        </w:rPr>
        <w:t xml:space="preserve"> </w:t>
      </w:r>
      <w:r w:rsidRPr="00087AF4">
        <w:rPr>
          <w:color w:val="231F20"/>
          <w:sz w:val="24"/>
          <w:szCs w:val="24"/>
        </w:rPr>
        <w:t>the</w:t>
      </w:r>
      <w:r w:rsidRPr="00087AF4">
        <w:rPr>
          <w:color w:val="231F20"/>
          <w:spacing w:val="-13"/>
          <w:sz w:val="24"/>
          <w:szCs w:val="24"/>
        </w:rPr>
        <w:t xml:space="preserve"> </w:t>
      </w:r>
      <w:r w:rsidRPr="00087AF4">
        <w:rPr>
          <w:color w:val="231F20"/>
          <w:sz w:val="24"/>
          <w:szCs w:val="24"/>
        </w:rPr>
        <w:t>beginning</w:t>
      </w:r>
      <w:r w:rsidRPr="00087AF4">
        <w:rPr>
          <w:color w:val="231F20"/>
          <w:spacing w:val="-13"/>
          <w:sz w:val="24"/>
          <w:szCs w:val="24"/>
        </w:rPr>
        <w:t xml:space="preserve"> </w:t>
      </w:r>
      <w:r w:rsidRPr="00087AF4">
        <w:rPr>
          <w:color w:val="231F20"/>
          <w:sz w:val="24"/>
          <w:szCs w:val="24"/>
        </w:rPr>
        <w:t>of</w:t>
      </w:r>
      <w:r w:rsidRPr="00087AF4">
        <w:rPr>
          <w:color w:val="231F20"/>
          <w:spacing w:val="-12"/>
          <w:sz w:val="24"/>
          <w:szCs w:val="24"/>
        </w:rPr>
        <w:t xml:space="preserve"> </w:t>
      </w:r>
      <w:r w:rsidRPr="00087AF4">
        <w:rPr>
          <w:color w:val="231F20"/>
          <w:sz w:val="24"/>
          <w:szCs w:val="24"/>
        </w:rPr>
        <w:t>each</w:t>
      </w:r>
      <w:r w:rsidRPr="00087AF4">
        <w:rPr>
          <w:color w:val="231F20"/>
          <w:spacing w:val="-13"/>
          <w:sz w:val="24"/>
          <w:szCs w:val="24"/>
        </w:rPr>
        <w:t xml:space="preserve"> </w:t>
      </w:r>
      <w:r w:rsidRPr="00087AF4">
        <w:rPr>
          <w:color w:val="231F20"/>
          <w:sz w:val="24"/>
          <w:szCs w:val="24"/>
        </w:rPr>
        <w:t>calendar</w:t>
      </w:r>
      <w:r w:rsidRPr="00087AF4">
        <w:rPr>
          <w:color w:val="231F20"/>
          <w:spacing w:val="-12"/>
          <w:sz w:val="24"/>
          <w:szCs w:val="24"/>
        </w:rPr>
        <w:t xml:space="preserve"> </w:t>
      </w:r>
      <w:r w:rsidRPr="00087AF4">
        <w:rPr>
          <w:color w:val="231F20"/>
          <w:sz w:val="24"/>
          <w:szCs w:val="24"/>
        </w:rPr>
        <w:t>year. Due to the timing of this report the previous financial year’s data are recorded.</w:t>
      </w:r>
    </w:p>
    <w:p w14:paraId="02EE0273" w14:textId="77777777" w:rsidR="00345EE3" w:rsidRPr="00087AF4" w:rsidRDefault="00345EE3" w:rsidP="00087AF4">
      <w:pPr>
        <w:spacing w:before="116" w:line="242" w:lineRule="auto"/>
        <w:ind w:left="142" w:right="1141"/>
        <w:rPr>
          <w:sz w:val="24"/>
          <w:szCs w:val="24"/>
        </w:rPr>
      </w:pPr>
      <w:r w:rsidRPr="00087AF4">
        <w:rPr>
          <w:color w:val="231F20"/>
          <w:spacing w:val="-2"/>
          <w:sz w:val="24"/>
          <w:szCs w:val="24"/>
        </w:rPr>
        <w:t>The</w:t>
      </w:r>
      <w:r w:rsidRPr="00087AF4">
        <w:rPr>
          <w:color w:val="231F20"/>
          <w:spacing w:val="-15"/>
          <w:sz w:val="24"/>
          <w:szCs w:val="24"/>
        </w:rPr>
        <w:t xml:space="preserve"> </w:t>
      </w:r>
      <w:r w:rsidRPr="00087AF4">
        <w:rPr>
          <w:i/>
          <w:color w:val="231F20"/>
          <w:spacing w:val="-2"/>
          <w:sz w:val="24"/>
          <w:szCs w:val="24"/>
        </w:rPr>
        <w:t>National</w:t>
      </w:r>
      <w:r w:rsidRPr="00087AF4">
        <w:rPr>
          <w:i/>
          <w:color w:val="231F20"/>
          <w:spacing w:val="-15"/>
          <w:sz w:val="24"/>
          <w:szCs w:val="24"/>
        </w:rPr>
        <w:t xml:space="preserve"> </w:t>
      </w:r>
      <w:r w:rsidRPr="00087AF4">
        <w:rPr>
          <w:i/>
          <w:color w:val="231F20"/>
          <w:spacing w:val="-2"/>
          <w:sz w:val="24"/>
          <w:szCs w:val="24"/>
        </w:rPr>
        <w:t>Survey</w:t>
      </w:r>
      <w:r w:rsidRPr="00087AF4">
        <w:rPr>
          <w:i/>
          <w:color w:val="231F20"/>
          <w:spacing w:val="-14"/>
          <w:sz w:val="24"/>
          <w:szCs w:val="24"/>
        </w:rPr>
        <w:t xml:space="preserve"> </w:t>
      </w:r>
      <w:r w:rsidRPr="00087AF4">
        <w:rPr>
          <w:i/>
          <w:color w:val="231F20"/>
          <w:spacing w:val="-2"/>
          <w:sz w:val="24"/>
          <w:szCs w:val="24"/>
        </w:rPr>
        <w:t>of</w:t>
      </w:r>
      <w:r w:rsidRPr="00087AF4">
        <w:rPr>
          <w:i/>
          <w:color w:val="231F20"/>
          <w:spacing w:val="-15"/>
          <w:sz w:val="24"/>
          <w:szCs w:val="24"/>
        </w:rPr>
        <w:t xml:space="preserve"> </w:t>
      </w:r>
      <w:r w:rsidRPr="00087AF4">
        <w:rPr>
          <w:i/>
          <w:color w:val="231F20"/>
          <w:spacing w:val="-2"/>
          <w:sz w:val="24"/>
          <w:szCs w:val="24"/>
        </w:rPr>
        <w:t>Community</w:t>
      </w:r>
      <w:r w:rsidRPr="00087AF4">
        <w:rPr>
          <w:i/>
          <w:color w:val="231F20"/>
          <w:spacing w:val="-15"/>
          <w:sz w:val="24"/>
          <w:szCs w:val="24"/>
        </w:rPr>
        <w:t xml:space="preserve"> </w:t>
      </w:r>
      <w:r w:rsidRPr="00087AF4">
        <w:rPr>
          <w:i/>
          <w:color w:val="231F20"/>
          <w:spacing w:val="-2"/>
          <w:sz w:val="24"/>
          <w:szCs w:val="24"/>
        </w:rPr>
        <w:t>Satisfaction</w:t>
      </w:r>
      <w:r w:rsidRPr="00087AF4">
        <w:rPr>
          <w:i/>
          <w:color w:val="231F20"/>
          <w:spacing w:val="-15"/>
          <w:sz w:val="24"/>
          <w:szCs w:val="24"/>
        </w:rPr>
        <w:t xml:space="preserve"> </w:t>
      </w:r>
      <w:r w:rsidRPr="00087AF4">
        <w:rPr>
          <w:i/>
          <w:color w:val="231F20"/>
          <w:spacing w:val="-2"/>
          <w:sz w:val="24"/>
          <w:szCs w:val="24"/>
        </w:rPr>
        <w:t>with</w:t>
      </w:r>
      <w:r w:rsidRPr="00087AF4">
        <w:rPr>
          <w:i/>
          <w:color w:val="231F20"/>
          <w:spacing w:val="-14"/>
          <w:sz w:val="24"/>
          <w:szCs w:val="24"/>
        </w:rPr>
        <w:t xml:space="preserve"> </w:t>
      </w:r>
      <w:r w:rsidRPr="00087AF4">
        <w:rPr>
          <w:i/>
          <w:color w:val="231F20"/>
          <w:spacing w:val="-2"/>
          <w:sz w:val="24"/>
          <w:szCs w:val="24"/>
        </w:rPr>
        <w:t>Policing</w:t>
      </w:r>
      <w:r w:rsidRPr="00087AF4">
        <w:rPr>
          <w:i/>
          <w:color w:val="231F20"/>
          <w:spacing w:val="-15"/>
          <w:sz w:val="24"/>
          <w:szCs w:val="24"/>
        </w:rPr>
        <w:t xml:space="preserve"> </w:t>
      </w:r>
      <w:r w:rsidRPr="00087AF4">
        <w:rPr>
          <w:i/>
          <w:color w:val="231F20"/>
          <w:spacing w:val="-2"/>
          <w:sz w:val="24"/>
          <w:szCs w:val="24"/>
        </w:rPr>
        <w:t>2020–21</w:t>
      </w:r>
      <w:r w:rsidRPr="00087AF4">
        <w:rPr>
          <w:i/>
          <w:color w:val="231F20"/>
          <w:spacing w:val="-15"/>
          <w:sz w:val="24"/>
          <w:szCs w:val="24"/>
        </w:rPr>
        <w:t xml:space="preserve"> </w:t>
      </w:r>
      <w:r w:rsidRPr="00087AF4">
        <w:rPr>
          <w:color w:val="231F20"/>
          <w:spacing w:val="-2"/>
          <w:sz w:val="24"/>
          <w:szCs w:val="24"/>
        </w:rPr>
        <w:t>results</w:t>
      </w:r>
      <w:r w:rsidRPr="00087AF4">
        <w:rPr>
          <w:color w:val="231F20"/>
          <w:spacing w:val="-14"/>
          <w:sz w:val="24"/>
          <w:szCs w:val="24"/>
        </w:rPr>
        <w:t xml:space="preserve"> </w:t>
      </w:r>
      <w:r w:rsidRPr="00087AF4">
        <w:rPr>
          <w:color w:val="231F20"/>
          <w:spacing w:val="-2"/>
          <w:sz w:val="24"/>
          <w:szCs w:val="24"/>
        </w:rPr>
        <w:t>were</w:t>
      </w:r>
      <w:r w:rsidRPr="00087AF4">
        <w:rPr>
          <w:color w:val="231F20"/>
          <w:spacing w:val="-15"/>
          <w:sz w:val="24"/>
          <w:szCs w:val="24"/>
        </w:rPr>
        <w:t xml:space="preserve"> </w:t>
      </w:r>
      <w:r w:rsidRPr="00087AF4">
        <w:rPr>
          <w:color w:val="231F20"/>
          <w:spacing w:val="-2"/>
          <w:sz w:val="24"/>
          <w:szCs w:val="24"/>
        </w:rPr>
        <w:t>published</w:t>
      </w:r>
      <w:r w:rsidRPr="00087AF4">
        <w:rPr>
          <w:color w:val="231F20"/>
          <w:spacing w:val="-15"/>
          <w:sz w:val="24"/>
          <w:szCs w:val="24"/>
        </w:rPr>
        <w:t xml:space="preserve"> </w:t>
      </w:r>
      <w:r w:rsidRPr="00087AF4">
        <w:rPr>
          <w:color w:val="231F20"/>
          <w:spacing w:val="-2"/>
          <w:sz w:val="24"/>
          <w:szCs w:val="24"/>
        </w:rPr>
        <w:t xml:space="preserve">in </w:t>
      </w:r>
      <w:r w:rsidRPr="00087AF4">
        <w:rPr>
          <w:color w:val="231F20"/>
          <w:sz w:val="24"/>
          <w:szCs w:val="24"/>
        </w:rPr>
        <w:t xml:space="preserve">the Productivity Commission’s </w:t>
      </w:r>
      <w:r w:rsidRPr="00087AF4">
        <w:rPr>
          <w:i/>
          <w:color w:val="231F20"/>
          <w:sz w:val="24"/>
          <w:szCs w:val="24"/>
        </w:rPr>
        <w:t>RoGS</w:t>
      </w:r>
      <w:r w:rsidRPr="00087AF4">
        <w:rPr>
          <w:i/>
          <w:color w:val="231F20"/>
          <w:spacing w:val="-4"/>
          <w:sz w:val="24"/>
          <w:szCs w:val="24"/>
        </w:rPr>
        <w:t xml:space="preserve"> </w:t>
      </w:r>
      <w:r w:rsidRPr="00087AF4">
        <w:rPr>
          <w:i/>
          <w:color w:val="231F20"/>
          <w:sz w:val="24"/>
          <w:szCs w:val="24"/>
        </w:rPr>
        <w:t xml:space="preserve">2022 </w:t>
      </w:r>
      <w:r w:rsidRPr="00087AF4">
        <w:rPr>
          <w:color w:val="231F20"/>
          <w:sz w:val="24"/>
          <w:szCs w:val="24"/>
        </w:rPr>
        <w:t>report, released in January 2022.</w:t>
      </w:r>
    </w:p>
    <w:p w14:paraId="7FE099AA" w14:textId="77777777" w:rsidR="00345EE3" w:rsidRPr="00087AF4" w:rsidRDefault="00345EE3" w:rsidP="00087AF4">
      <w:pPr>
        <w:pStyle w:val="BodyText"/>
        <w:spacing w:before="116" w:line="242" w:lineRule="auto"/>
        <w:ind w:left="142" w:right="921"/>
        <w:rPr>
          <w:sz w:val="24"/>
          <w:szCs w:val="24"/>
        </w:rPr>
      </w:pPr>
      <w:r w:rsidRPr="00087AF4">
        <w:rPr>
          <w:color w:val="231F20"/>
          <w:sz w:val="24"/>
          <w:szCs w:val="24"/>
        </w:rPr>
        <w:t>The 2021–22 results will be reported in the 2023 RoGS, to be published by the Commonwealth Productivity</w:t>
      </w:r>
      <w:r w:rsidRPr="00087AF4">
        <w:rPr>
          <w:color w:val="231F20"/>
          <w:spacing w:val="-8"/>
          <w:sz w:val="24"/>
          <w:szCs w:val="24"/>
        </w:rPr>
        <w:t xml:space="preserve"> </w:t>
      </w:r>
      <w:r w:rsidRPr="00087AF4">
        <w:rPr>
          <w:color w:val="231F20"/>
          <w:sz w:val="24"/>
          <w:szCs w:val="24"/>
        </w:rPr>
        <w:t>Commission</w:t>
      </w:r>
      <w:r w:rsidRPr="00087AF4">
        <w:rPr>
          <w:color w:val="231F20"/>
          <w:spacing w:val="-9"/>
          <w:sz w:val="24"/>
          <w:szCs w:val="24"/>
        </w:rPr>
        <w:t xml:space="preserve"> </w:t>
      </w:r>
      <w:r w:rsidRPr="00087AF4">
        <w:rPr>
          <w:color w:val="231F20"/>
          <w:sz w:val="24"/>
          <w:szCs w:val="24"/>
        </w:rPr>
        <w:t>in</w:t>
      </w:r>
      <w:r w:rsidRPr="00087AF4">
        <w:rPr>
          <w:color w:val="231F20"/>
          <w:spacing w:val="-9"/>
          <w:sz w:val="24"/>
          <w:szCs w:val="24"/>
        </w:rPr>
        <w:t xml:space="preserve"> </w:t>
      </w:r>
      <w:r w:rsidRPr="00087AF4">
        <w:rPr>
          <w:color w:val="231F20"/>
          <w:sz w:val="24"/>
          <w:szCs w:val="24"/>
        </w:rPr>
        <w:t>January</w:t>
      </w:r>
      <w:r w:rsidRPr="00087AF4">
        <w:rPr>
          <w:color w:val="231F20"/>
          <w:spacing w:val="-8"/>
          <w:sz w:val="24"/>
          <w:szCs w:val="24"/>
        </w:rPr>
        <w:t xml:space="preserve"> </w:t>
      </w:r>
      <w:r w:rsidRPr="00087AF4">
        <w:rPr>
          <w:color w:val="231F20"/>
          <w:sz w:val="24"/>
          <w:szCs w:val="24"/>
        </w:rPr>
        <w:t>2023.</w:t>
      </w:r>
      <w:r w:rsidRPr="00087AF4">
        <w:rPr>
          <w:color w:val="231F20"/>
          <w:spacing w:val="-8"/>
          <w:sz w:val="24"/>
          <w:szCs w:val="24"/>
        </w:rPr>
        <w:t xml:space="preserve"> </w:t>
      </w:r>
      <w:r w:rsidRPr="00087AF4">
        <w:rPr>
          <w:color w:val="231F20"/>
          <w:sz w:val="24"/>
          <w:szCs w:val="24"/>
        </w:rPr>
        <w:t>The</w:t>
      </w:r>
      <w:r w:rsidRPr="00087AF4">
        <w:rPr>
          <w:color w:val="231F20"/>
          <w:spacing w:val="-9"/>
          <w:sz w:val="24"/>
          <w:szCs w:val="24"/>
        </w:rPr>
        <w:t xml:space="preserve"> </w:t>
      </w:r>
      <w:r w:rsidRPr="00087AF4">
        <w:rPr>
          <w:color w:val="231F20"/>
          <w:sz w:val="24"/>
          <w:szCs w:val="24"/>
        </w:rPr>
        <w:t>2021–22</w:t>
      </w:r>
      <w:r w:rsidRPr="00087AF4">
        <w:rPr>
          <w:color w:val="231F20"/>
          <w:spacing w:val="-9"/>
          <w:sz w:val="24"/>
          <w:szCs w:val="24"/>
        </w:rPr>
        <w:t xml:space="preserve"> </w:t>
      </w:r>
      <w:r w:rsidRPr="00087AF4">
        <w:rPr>
          <w:color w:val="231F20"/>
          <w:sz w:val="24"/>
          <w:szCs w:val="24"/>
        </w:rPr>
        <w:t>data</w:t>
      </w:r>
      <w:r w:rsidRPr="00087AF4">
        <w:rPr>
          <w:color w:val="231F20"/>
          <w:spacing w:val="-9"/>
          <w:sz w:val="24"/>
          <w:szCs w:val="24"/>
        </w:rPr>
        <w:t xml:space="preserve"> </w:t>
      </w:r>
      <w:r w:rsidRPr="00087AF4">
        <w:rPr>
          <w:color w:val="231F20"/>
          <w:sz w:val="24"/>
          <w:szCs w:val="24"/>
        </w:rPr>
        <w:t>will</w:t>
      </w:r>
      <w:r w:rsidRPr="00087AF4">
        <w:rPr>
          <w:color w:val="231F20"/>
          <w:spacing w:val="-9"/>
          <w:sz w:val="24"/>
          <w:szCs w:val="24"/>
        </w:rPr>
        <w:t xml:space="preserve"> </w:t>
      </w:r>
      <w:r w:rsidRPr="00087AF4">
        <w:rPr>
          <w:color w:val="231F20"/>
          <w:sz w:val="24"/>
          <w:szCs w:val="24"/>
        </w:rPr>
        <w:t>be</w:t>
      </w:r>
      <w:r w:rsidRPr="00087AF4">
        <w:rPr>
          <w:color w:val="231F20"/>
          <w:spacing w:val="-9"/>
          <w:sz w:val="24"/>
          <w:szCs w:val="24"/>
        </w:rPr>
        <w:t xml:space="preserve"> </w:t>
      </w:r>
      <w:r w:rsidRPr="00087AF4">
        <w:rPr>
          <w:color w:val="231F20"/>
          <w:sz w:val="24"/>
          <w:szCs w:val="24"/>
        </w:rPr>
        <w:t>reported</w:t>
      </w:r>
      <w:r w:rsidRPr="00087AF4">
        <w:rPr>
          <w:color w:val="231F20"/>
          <w:spacing w:val="-9"/>
          <w:sz w:val="24"/>
          <w:szCs w:val="24"/>
        </w:rPr>
        <w:t xml:space="preserve"> </w:t>
      </w:r>
      <w:r w:rsidRPr="00087AF4">
        <w:rPr>
          <w:color w:val="231F20"/>
          <w:sz w:val="24"/>
          <w:szCs w:val="24"/>
        </w:rPr>
        <w:t>in</w:t>
      </w:r>
      <w:r w:rsidRPr="00087AF4">
        <w:rPr>
          <w:color w:val="231F20"/>
          <w:spacing w:val="-9"/>
          <w:sz w:val="24"/>
          <w:szCs w:val="24"/>
        </w:rPr>
        <w:t xml:space="preserve"> </w:t>
      </w:r>
      <w:r w:rsidRPr="00087AF4">
        <w:rPr>
          <w:color w:val="231F20"/>
          <w:sz w:val="24"/>
          <w:szCs w:val="24"/>
        </w:rPr>
        <w:t>Victoria</w:t>
      </w:r>
      <w:r w:rsidRPr="00087AF4">
        <w:rPr>
          <w:color w:val="231F20"/>
          <w:spacing w:val="-9"/>
          <w:sz w:val="24"/>
          <w:szCs w:val="24"/>
        </w:rPr>
        <w:t xml:space="preserve"> </w:t>
      </w:r>
      <w:r w:rsidRPr="00087AF4">
        <w:rPr>
          <w:color w:val="231F20"/>
          <w:sz w:val="24"/>
          <w:szCs w:val="24"/>
        </w:rPr>
        <w:t>Police’s 2022–23 Annual Report.</w:t>
      </w:r>
    </w:p>
    <w:p w14:paraId="66740F2F" w14:textId="77777777" w:rsidR="00345EE3" w:rsidRPr="00087AF4" w:rsidRDefault="00345EE3" w:rsidP="00087AF4">
      <w:pPr>
        <w:pStyle w:val="BodyText"/>
        <w:spacing w:before="117" w:line="242" w:lineRule="auto"/>
        <w:ind w:left="142" w:right="1419"/>
        <w:jc w:val="both"/>
        <w:rPr>
          <w:sz w:val="24"/>
          <w:szCs w:val="24"/>
        </w:rPr>
      </w:pPr>
      <w:r w:rsidRPr="00087AF4">
        <w:rPr>
          <w:color w:val="231F20"/>
          <w:sz w:val="24"/>
          <w:szCs w:val="24"/>
        </w:rPr>
        <w:t>When</w:t>
      </w:r>
      <w:r w:rsidRPr="00087AF4">
        <w:rPr>
          <w:color w:val="231F20"/>
          <w:spacing w:val="-10"/>
          <w:sz w:val="24"/>
          <w:szCs w:val="24"/>
        </w:rPr>
        <w:t xml:space="preserve"> </w:t>
      </w:r>
      <w:r w:rsidRPr="00087AF4">
        <w:rPr>
          <w:color w:val="231F20"/>
          <w:sz w:val="24"/>
          <w:szCs w:val="24"/>
        </w:rPr>
        <w:t>completing</w:t>
      </w:r>
      <w:r w:rsidRPr="00087AF4">
        <w:rPr>
          <w:color w:val="231F20"/>
          <w:spacing w:val="-10"/>
          <w:sz w:val="24"/>
          <w:szCs w:val="24"/>
        </w:rPr>
        <w:t xml:space="preserve"> </w:t>
      </w:r>
      <w:r w:rsidRPr="00087AF4">
        <w:rPr>
          <w:color w:val="231F20"/>
          <w:sz w:val="24"/>
          <w:szCs w:val="24"/>
        </w:rPr>
        <w:t>the</w:t>
      </w:r>
      <w:r w:rsidRPr="00087AF4">
        <w:rPr>
          <w:color w:val="231F20"/>
          <w:spacing w:val="-10"/>
          <w:sz w:val="24"/>
          <w:szCs w:val="24"/>
        </w:rPr>
        <w:t xml:space="preserve"> </w:t>
      </w:r>
      <w:r w:rsidRPr="00087AF4">
        <w:rPr>
          <w:color w:val="231F20"/>
          <w:sz w:val="24"/>
          <w:szCs w:val="24"/>
        </w:rPr>
        <w:t>national</w:t>
      </w:r>
      <w:r w:rsidRPr="00087AF4">
        <w:rPr>
          <w:color w:val="231F20"/>
          <w:spacing w:val="-10"/>
          <w:sz w:val="24"/>
          <w:szCs w:val="24"/>
        </w:rPr>
        <w:t xml:space="preserve"> </w:t>
      </w:r>
      <w:r w:rsidRPr="00087AF4">
        <w:rPr>
          <w:color w:val="231F20"/>
          <w:sz w:val="24"/>
          <w:szCs w:val="24"/>
        </w:rPr>
        <w:t>survey</w:t>
      </w:r>
      <w:r w:rsidRPr="00087AF4">
        <w:rPr>
          <w:color w:val="231F20"/>
          <w:spacing w:val="-10"/>
          <w:sz w:val="24"/>
          <w:szCs w:val="24"/>
        </w:rPr>
        <w:t xml:space="preserve"> </w:t>
      </w:r>
      <w:r w:rsidRPr="00087AF4">
        <w:rPr>
          <w:color w:val="231F20"/>
          <w:sz w:val="24"/>
          <w:szCs w:val="24"/>
        </w:rPr>
        <w:t>respondents</w:t>
      </w:r>
      <w:r w:rsidRPr="00087AF4">
        <w:rPr>
          <w:color w:val="231F20"/>
          <w:spacing w:val="-10"/>
          <w:sz w:val="24"/>
          <w:szCs w:val="24"/>
        </w:rPr>
        <w:t xml:space="preserve"> </w:t>
      </w:r>
      <w:r w:rsidRPr="00087AF4">
        <w:rPr>
          <w:color w:val="231F20"/>
          <w:sz w:val="24"/>
          <w:szCs w:val="24"/>
        </w:rPr>
        <w:t>were</w:t>
      </w:r>
      <w:r w:rsidRPr="00087AF4">
        <w:rPr>
          <w:color w:val="231F20"/>
          <w:spacing w:val="-10"/>
          <w:sz w:val="24"/>
          <w:szCs w:val="24"/>
        </w:rPr>
        <w:t xml:space="preserve"> </w:t>
      </w:r>
      <w:r w:rsidRPr="00087AF4">
        <w:rPr>
          <w:color w:val="231F20"/>
          <w:sz w:val="24"/>
          <w:szCs w:val="24"/>
        </w:rPr>
        <w:t>asked</w:t>
      </w:r>
      <w:r w:rsidRPr="00087AF4">
        <w:rPr>
          <w:color w:val="231F20"/>
          <w:spacing w:val="-10"/>
          <w:sz w:val="24"/>
          <w:szCs w:val="24"/>
        </w:rPr>
        <w:t xml:space="preserve"> </w:t>
      </w:r>
      <w:r w:rsidRPr="00087AF4">
        <w:rPr>
          <w:color w:val="231F20"/>
          <w:sz w:val="24"/>
          <w:szCs w:val="24"/>
        </w:rPr>
        <w:t>to</w:t>
      </w:r>
      <w:r w:rsidRPr="00087AF4">
        <w:rPr>
          <w:color w:val="231F20"/>
          <w:spacing w:val="-10"/>
          <w:sz w:val="24"/>
          <w:szCs w:val="24"/>
        </w:rPr>
        <w:t xml:space="preserve"> </w:t>
      </w:r>
      <w:r w:rsidRPr="00087AF4">
        <w:rPr>
          <w:color w:val="231F20"/>
          <w:sz w:val="24"/>
          <w:szCs w:val="24"/>
        </w:rPr>
        <w:t>rate</w:t>
      </w:r>
      <w:r w:rsidRPr="00087AF4">
        <w:rPr>
          <w:color w:val="231F20"/>
          <w:spacing w:val="-10"/>
          <w:sz w:val="24"/>
          <w:szCs w:val="24"/>
        </w:rPr>
        <w:t xml:space="preserve"> </w:t>
      </w:r>
      <w:r w:rsidRPr="00087AF4">
        <w:rPr>
          <w:color w:val="231F20"/>
          <w:sz w:val="24"/>
          <w:szCs w:val="24"/>
        </w:rPr>
        <w:t>their</w:t>
      </w:r>
      <w:r w:rsidRPr="00087AF4">
        <w:rPr>
          <w:color w:val="231F20"/>
          <w:spacing w:val="-10"/>
          <w:sz w:val="24"/>
          <w:szCs w:val="24"/>
        </w:rPr>
        <w:t xml:space="preserve"> </w:t>
      </w:r>
      <w:r w:rsidRPr="00087AF4">
        <w:rPr>
          <w:color w:val="231F20"/>
          <w:sz w:val="24"/>
          <w:szCs w:val="24"/>
        </w:rPr>
        <w:t>feelings</w:t>
      </w:r>
      <w:r w:rsidRPr="00087AF4">
        <w:rPr>
          <w:color w:val="231F20"/>
          <w:spacing w:val="-10"/>
          <w:sz w:val="24"/>
          <w:szCs w:val="24"/>
        </w:rPr>
        <w:t xml:space="preserve"> </w:t>
      </w:r>
      <w:r w:rsidRPr="00087AF4">
        <w:rPr>
          <w:color w:val="231F20"/>
          <w:sz w:val="24"/>
          <w:szCs w:val="24"/>
        </w:rPr>
        <w:t>for</w:t>
      </w:r>
      <w:r w:rsidRPr="00087AF4">
        <w:rPr>
          <w:color w:val="231F20"/>
          <w:spacing w:val="-10"/>
          <w:sz w:val="24"/>
          <w:szCs w:val="24"/>
        </w:rPr>
        <w:t xml:space="preserve"> </w:t>
      </w:r>
      <w:r w:rsidRPr="00087AF4">
        <w:rPr>
          <w:color w:val="231F20"/>
          <w:sz w:val="24"/>
          <w:szCs w:val="24"/>
        </w:rPr>
        <w:t>each indicator,</w:t>
      </w:r>
      <w:r w:rsidRPr="00087AF4">
        <w:rPr>
          <w:color w:val="231F20"/>
          <w:spacing w:val="-10"/>
          <w:sz w:val="24"/>
          <w:szCs w:val="24"/>
        </w:rPr>
        <w:t xml:space="preserve"> </w:t>
      </w:r>
      <w:r w:rsidRPr="00087AF4">
        <w:rPr>
          <w:color w:val="231F20"/>
          <w:sz w:val="24"/>
          <w:szCs w:val="24"/>
        </w:rPr>
        <w:t>ranging</w:t>
      </w:r>
      <w:r w:rsidRPr="00087AF4">
        <w:rPr>
          <w:color w:val="231F20"/>
          <w:spacing w:val="-10"/>
          <w:sz w:val="24"/>
          <w:szCs w:val="24"/>
        </w:rPr>
        <w:t xml:space="preserve"> </w:t>
      </w:r>
      <w:r w:rsidRPr="00087AF4">
        <w:rPr>
          <w:color w:val="231F20"/>
          <w:sz w:val="24"/>
          <w:szCs w:val="24"/>
        </w:rPr>
        <w:t>from</w:t>
      </w:r>
      <w:r w:rsidRPr="00087AF4">
        <w:rPr>
          <w:color w:val="231F20"/>
          <w:spacing w:val="-10"/>
          <w:sz w:val="24"/>
          <w:szCs w:val="24"/>
        </w:rPr>
        <w:t xml:space="preserve"> </w:t>
      </w:r>
      <w:r w:rsidRPr="00087AF4">
        <w:rPr>
          <w:color w:val="231F20"/>
          <w:sz w:val="24"/>
          <w:szCs w:val="24"/>
        </w:rPr>
        <w:t>‘very</w:t>
      </w:r>
      <w:r w:rsidRPr="00087AF4">
        <w:rPr>
          <w:color w:val="231F20"/>
          <w:spacing w:val="-10"/>
          <w:sz w:val="24"/>
          <w:szCs w:val="24"/>
        </w:rPr>
        <w:t xml:space="preserve"> </w:t>
      </w:r>
      <w:r w:rsidRPr="00087AF4">
        <w:rPr>
          <w:color w:val="231F20"/>
          <w:sz w:val="24"/>
          <w:szCs w:val="24"/>
        </w:rPr>
        <w:t>unsafe’</w:t>
      </w:r>
      <w:r w:rsidRPr="00087AF4">
        <w:rPr>
          <w:color w:val="231F20"/>
          <w:spacing w:val="-10"/>
          <w:sz w:val="24"/>
          <w:szCs w:val="24"/>
        </w:rPr>
        <w:t xml:space="preserve"> </w:t>
      </w:r>
      <w:r w:rsidRPr="00087AF4">
        <w:rPr>
          <w:color w:val="231F20"/>
          <w:sz w:val="24"/>
          <w:szCs w:val="24"/>
        </w:rPr>
        <w:t>to</w:t>
      </w:r>
      <w:r w:rsidRPr="00087AF4">
        <w:rPr>
          <w:color w:val="231F20"/>
          <w:spacing w:val="-10"/>
          <w:sz w:val="24"/>
          <w:szCs w:val="24"/>
        </w:rPr>
        <w:t xml:space="preserve"> </w:t>
      </w:r>
      <w:r w:rsidRPr="00087AF4">
        <w:rPr>
          <w:color w:val="231F20"/>
          <w:sz w:val="24"/>
          <w:szCs w:val="24"/>
        </w:rPr>
        <w:t>‘very</w:t>
      </w:r>
      <w:r w:rsidRPr="00087AF4">
        <w:rPr>
          <w:color w:val="231F20"/>
          <w:spacing w:val="-10"/>
          <w:sz w:val="24"/>
          <w:szCs w:val="24"/>
        </w:rPr>
        <w:t xml:space="preserve"> </w:t>
      </w:r>
      <w:r w:rsidRPr="00087AF4">
        <w:rPr>
          <w:color w:val="231F20"/>
          <w:sz w:val="24"/>
          <w:szCs w:val="24"/>
        </w:rPr>
        <w:t>safe’.</w:t>
      </w:r>
      <w:r w:rsidRPr="00087AF4">
        <w:rPr>
          <w:color w:val="231F20"/>
          <w:spacing w:val="-10"/>
          <w:sz w:val="24"/>
          <w:szCs w:val="24"/>
        </w:rPr>
        <w:t xml:space="preserve"> </w:t>
      </w:r>
      <w:r w:rsidRPr="00087AF4">
        <w:rPr>
          <w:color w:val="231F20"/>
          <w:sz w:val="24"/>
          <w:szCs w:val="24"/>
        </w:rPr>
        <w:t>Victorian</w:t>
      </w:r>
      <w:r w:rsidRPr="00087AF4">
        <w:rPr>
          <w:color w:val="231F20"/>
          <w:spacing w:val="-10"/>
          <w:sz w:val="24"/>
          <w:szCs w:val="24"/>
        </w:rPr>
        <w:t xml:space="preserve"> </w:t>
      </w:r>
      <w:r w:rsidRPr="00087AF4">
        <w:rPr>
          <w:color w:val="231F20"/>
          <w:sz w:val="24"/>
          <w:szCs w:val="24"/>
        </w:rPr>
        <w:t>results</w:t>
      </w:r>
      <w:r w:rsidRPr="00087AF4">
        <w:rPr>
          <w:color w:val="231F20"/>
          <w:spacing w:val="-10"/>
          <w:sz w:val="24"/>
          <w:szCs w:val="24"/>
        </w:rPr>
        <w:t xml:space="preserve"> </w:t>
      </w:r>
      <w:r w:rsidRPr="00087AF4">
        <w:rPr>
          <w:color w:val="231F20"/>
          <w:sz w:val="24"/>
          <w:szCs w:val="24"/>
        </w:rPr>
        <w:t>from</w:t>
      </w:r>
      <w:r w:rsidRPr="00087AF4">
        <w:rPr>
          <w:color w:val="231F20"/>
          <w:spacing w:val="-10"/>
          <w:sz w:val="24"/>
          <w:szCs w:val="24"/>
        </w:rPr>
        <w:t xml:space="preserve"> </w:t>
      </w:r>
      <w:r w:rsidRPr="00087AF4">
        <w:rPr>
          <w:color w:val="231F20"/>
          <w:sz w:val="24"/>
          <w:szCs w:val="24"/>
        </w:rPr>
        <w:t>those</w:t>
      </w:r>
      <w:r w:rsidRPr="00087AF4">
        <w:rPr>
          <w:color w:val="231F20"/>
          <w:spacing w:val="-10"/>
          <w:sz w:val="24"/>
          <w:szCs w:val="24"/>
        </w:rPr>
        <w:t xml:space="preserve"> </w:t>
      </w:r>
      <w:r w:rsidRPr="00087AF4">
        <w:rPr>
          <w:color w:val="231F20"/>
          <w:sz w:val="24"/>
          <w:szCs w:val="24"/>
        </w:rPr>
        <w:t>who</w:t>
      </w:r>
      <w:r w:rsidRPr="00087AF4">
        <w:rPr>
          <w:color w:val="231F20"/>
          <w:spacing w:val="-10"/>
          <w:sz w:val="24"/>
          <w:szCs w:val="24"/>
        </w:rPr>
        <w:t xml:space="preserve"> </w:t>
      </w:r>
      <w:r w:rsidRPr="00087AF4">
        <w:rPr>
          <w:color w:val="231F20"/>
          <w:sz w:val="24"/>
          <w:szCs w:val="24"/>
        </w:rPr>
        <w:t>reported feeling ‘safe’ or ‘very safe’ are shown in Tables 3.2 and 3.3.</w:t>
      </w:r>
    </w:p>
    <w:p w14:paraId="0D777BBB" w14:textId="77777777" w:rsidR="00345EE3" w:rsidRDefault="00345EE3" w:rsidP="00345EE3">
      <w:pPr>
        <w:pStyle w:val="Heading5"/>
        <w:spacing w:before="117"/>
        <w:jc w:val="both"/>
      </w:pPr>
      <w:r>
        <w:rPr>
          <w:color w:val="3D68AD"/>
          <w:spacing w:val="-4"/>
        </w:rPr>
        <w:t>Community</w:t>
      </w:r>
      <w:r>
        <w:rPr>
          <w:color w:val="3D68AD"/>
          <w:spacing w:val="-12"/>
        </w:rPr>
        <w:t xml:space="preserve"> </w:t>
      </w:r>
      <w:r>
        <w:rPr>
          <w:color w:val="3D68AD"/>
          <w:spacing w:val="-4"/>
        </w:rPr>
        <w:t>Safety</w:t>
      </w:r>
      <w:r>
        <w:rPr>
          <w:color w:val="3D68AD"/>
          <w:spacing w:val="-10"/>
        </w:rPr>
        <w:t xml:space="preserve"> </w:t>
      </w:r>
      <w:r>
        <w:rPr>
          <w:color w:val="3D68AD"/>
          <w:spacing w:val="-4"/>
        </w:rPr>
        <w:t>During</w:t>
      </w:r>
      <w:r>
        <w:rPr>
          <w:color w:val="3D68AD"/>
          <w:spacing w:val="-9"/>
        </w:rPr>
        <w:t xml:space="preserve"> </w:t>
      </w:r>
      <w:r>
        <w:rPr>
          <w:color w:val="3D68AD"/>
          <w:spacing w:val="-4"/>
        </w:rPr>
        <w:t>the</w:t>
      </w:r>
      <w:r>
        <w:rPr>
          <w:color w:val="3D68AD"/>
          <w:spacing w:val="-10"/>
        </w:rPr>
        <w:t xml:space="preserve"> </w:t>
      </w:r>
      <w:r>
        <w:rPr>
          <w:color w:val="3D68AD"/>
          <w:spacing w:val="-4"/>
        </w:rPr>
        <w:t>Day</w:t>
      </w:r>
      <w:r>
        <w:rPr>
          <w:color w:val="3D68AD"/>
          <w:spacing w:val="-9"/>
        </w:rPr>
        <w:t xml:space="preserve"> </w:t>
      </w:r>
      <w:r>
        <w:rPr>
          <w:color w:val="3D68AD"/>
          <w:spacing w:val="-4"/>
        </w:rPr>
        <w:t>and</w:t>
      </w:r>
      <w:r>
        <w:rPr>
          <w:color w:val="3D68AD"/>
          <w:spacing w:val="-10"/>
        </w:rPr>
        <w:t xml:space="preserve"> </w:t>
      </w:r>
      <w:r>
        <w:rPr>
          <w:color w:val="3D68AD"/>
          <w:spacing w:val="-4"/>
        </w:rPr>
        <w:t>at</w:t>
      </w:r>
      <w:r>
        <w:rPr>
          <w:color w:val="3D68AD"/>
          <w:spacing w:val="-9"/>
        </w:rPr>
        <w:t xml:space="preserve"> </w:t>
      </w:r>
      <w:r>
        <w:rPr>
          <w:color w:val="3D68AD"/>
          <w:spacing w:val="-4"/>
        </w:rPr>
        <w:t>Night</w:t>
      </w:r>
    </w:p>
    <w:p w14:paraId="3BD27FDD" w14:textId="77777777" w:rsidR="00345EE3" w:rsidRPr="00087AF4" w:rsidRDefault="00345EE3" w:rsidP="00087AF4">
      <w:pPr>
        <w:pStyle w:val="BodyText"/>
        <w:spacing w:before="118" w:line="242" w:lineRule="auto"/>
        <w:ind w:left="142" w:right="921"/>
        <w:rPr>
          <w:sz w:val="24"/>
          <w:szCs w:val="24"/>
        </w:rPr>
      </w:pPr>
      <w:r w:rsidRPr="00087AF4">
        <w:rPr>
          <w:color w:val="231F20"/>
          <w:sz w:val="24"/>
          <w:szCs w:val="24"/>
        </w:rPr>
        <w:t>The</w:t>
      </w:r>
      <w:r w:rsidRPr="00087AF4">
        <w:rPr>
          <w:color w:val="231F20"/>
          <w:spacing w:val="-8"/>
          <w:sz w:val="24"/>
          <w:szCs w:val="24"/>
        </w:rPr>
        <w:t xml:space="preserve"> </w:t>
      </w:r>
      <w:r w:rsidRPr="00087AF4">
        <w:rPr>
          <w:color w:val="231F20"/>
          <w:sz w:val="24"/>
          <w:szCs w:val="24"/>
        </w:rPr>
        <w:t>‘Community</w:t>
      </w:r>
      <w:r w:rsidRPr="00087AF4">
        <w:rPr>
          <w:color w:val="231F20"/>
          <w:spacing w:val="-7"/>
          <w:sz w:val="24"/>
          <w:szCs w:val="24"/>
        </w:rPr>
        <w:t xml:space="preserve"> </w:t>
      </w:r>
      <w:r w:rsidRPr="00087AF4">
        <w:rPr>
          <w:color w:val="231F20"/>
          <w:sz w:val="24"/>
          <w:szCs w:val="24"/>
        </w:rPr>
        <w:t>Safety</w:t>
      </w:r>
      <w:r w:rsidRPr="00087AF4">
        <w:rPr>
          <w:color w:val="231F20"/>
          <w:spacing w:val="-7"/>
          <w:sz w:val="24"/>
          <w:szCs w:val="24"/>
        </w:rPr>
        <w:t xml:space="preserve"> </w:t>
      </w:r>
      <w:r w:rsidRPr="00087AF4">
        <w:rPr>
          <w:color w:val="231F20"/>
          <w:sz w:val="24"/>
          <w:szCs w:val="24"/>
        </w:rPr>
        <w:t>During</w:t>
      </w:r>
      <w:r w:rsidRPr="00087AF4">
        <w:rPr>
          <w:color w:val="231F20"/>
          <w:spacing w:val="-8"/>
          <w:sz w:val="24"/>
          <w:szCs w:val="24"/>
        </w:rPr>
        <w:t xml:space="preserve"> </w:t>
      </w:r>
      <w:r w:rsidRPr="00087AF4">
        <w:rPr>
          <w:color w:val="231F20"/>
          <w:sz w:val="24"/>
          <w:szCs w:val="24"/>
        </w:rPr>
        <w:t>the</w:t>
      </w:r>
      <w:r w:rsidRPr="00087AF4">
        <w:rPr>
          <w:color w:val="231F20"/>
          <w:spacing w:val="-8"/>
          <w:sz w:val="24"/>
          <w:szCs w:val="24"/>
        </w:rPr>
        <w:t xml:space="preserve"> </w:t>
      </w:r>
      <w:r w:rsidRPr="00087AF4">
        <w:rPr>
          <w:color w:val="231F20"/>
          <w:sz w:val="24"/>
          <w:szCs w:val="24"/>
        </w:rPr>
        <w:t>Day</w:t>
      </w:r>
      <w:r w:rsidRPr="00087AF4">
        <w:rPr>
          <w:color w:val="231F20"/>
          <w:spacing w:val="-7"/>
          <w:sz w:val="24"/>
          <w:szCs w:val="24"/>
        </w:rPr>
        <w:t xml:space="preserve"> </w:t>
      </w:r>
      <w:r w:rsidRPr="00087AF4">
        <w:rPr>
          <w:color w:val="231F20"/>
          <w:sz w:val="24"/>
          <w:szCs w:val="24"/>
        </w:rPr>
        <w:t>and</w:t>
      </w:r>
      <w:r w:rsidRPr="00087AF4">
        <w:rPr>
          <w:color w:val="231F20"/>
          <w:spacing w:val="-8"/>
          <w:sz w:val="24"/>
          <w:szCs w:val="24"/>
        </w:rPr>
        <w:t xml:space="preserve"> </w:t>
      </w:r>
      <w:r w:rsidRPr="00087AF4">
        <w:rPr>
          <w:color w:val="231F20"/>
          <w:sz w:val="24"/>
          <w:szCs w:val="24"/>
        </w:rPr>
        <w:t>at</w:t>
      </w:r>
      <w:r w:rsidRPr="00087AF4">
        <w:rPr>
          <w:color w:val="231F20"/>
          <w:spacing w:val="-7"/>
          <w:sz w:val="24"/>
          <w:szCs w:val="24"/>
        </w:rPr>
        <w:t xml:space="preserve"> </w:t>
      </w:r>
      <w:r w:rsidRPr="00087AF4">
        <w:rPr>
          <w:color w:val="231F20"/>
          <w:sz w:val="24"/>
          <w:szCs w:val="24"/>
        </w:rPr>
        <w:t>Night’</w:t>
      </w:r>
      <w:r w:rsidRPr="00087AF4">
        <w:rPr>
          <w:color w:val="231F20"/>
          <w:spacing w:val="-8"/>
          <w:sz w:val="24"/>
          <w:szCs w:val="24"/>
        </w:rPr>
        <w:t xml:space="preserve"> </w:t>
      </w:r>
      <w:r w:rsidRPr="00087AF4">
        <w:rPr>
          <w:color w:val="231F20"/>
          <w:sz w:val="24"/>
          <w:szCs w:val="24"/>
        </w:rPr>
        <w:t>indicator</w:t>
      </w:r>
      <w:r w:rsidRPr="00087AF4">
        <w:rPr>
          <w:color w:val="231F20"/>
          <w:spacing w:val="-7"/>
          <w:sz w:val="24"/>
          <w:szCs w:val="24"/>
        </w:rPr>
        <w:t xml:space="preserve"> </w:t>
      </w:r>
      <w:r w:rsidRPr="00087AF4">
        <w:rPr>
          <w:color w:val="231F20"/>
          <w:sz w:val="24"/>
          <w:szCs w:val="24"/>
        </w:rPr>
        <w:t>reflects</w:t>
      </w:r>
      <w:r w:rsidRPr="00087AF4">
        <w:rPr>
          <w:color w:val="231F20"/>
          <w:spacing w:val="-7"/>
          <w:sz w:val="24"/>
          <w:szCs w:val="24"/>
        </w:rPr>
        <w:t xml:space="preserve"> </w:t>
      </w:r>
      <w:r w:rsidRPr="00087AF4">
        <w:rPr>
          <w:color w:val="231F20"/>
          <w:sz w:val="24"/>
          <w:szCs w:val="24"/>
        </w:rPr>
        <w:t>Victoria</w:t>
      </w:r>
      <w:r w:rsidRPr="00087AF4">
        <w:rPr>
          <w:color w:val="231F20"/>
          <w:spacing w:val="-8"/>
          <w:sz w:val="24"/>
          <w:szCs w:val="24"/>
        </w:rPr>
        <w:t xml:space="preserve"> </w:t>
      </w:r>
      <w:r w:rsidRPr="00087AF4">
        <w:rPr>
          <w:color w:val="231F20"/>
          <w:sz w:val="24"/>
          <w:szCs w:val="24"/>
        </w:rPr>
        <w:t>Police’s</w:t>
      </w:r>
      <w:r w:rsidRPr="00087AF4">
        <w:rPr>
          <w:color w:val="231F20"/>
          <w:spacing w:val="-7"/>
          <w:sz w:val="24"/>
          <w:szCs w:val="24"/>
        </w:rPr>
        <w:t xml:space="preserve"> </w:t>
      </w:r>
      <w:r w:rsidRPr="00087AF4">
        <w:rPr>
          <w:color w:val="231F20"/>
          <w:sz w:val="24"/>
          <w:szCs w:val="24"/>
        </w:rPr>
        <w:t>efforts</w:t>
      </w:r>
      <w:r w:rsidRPr="00087AF4">
        <w:rPr>
          <w:color w:val="231F20"/>
          <w:spacing w:val="-7"/>
          <w:sz w:val="24"/>
          <w:szCs w:val="24"/>
        </w:rPr>
        <w:t xml:space="preserve"> </w:t>
      </w:r>
      <w:r w:rsidRPr="00087AF4">
        <w:rPr>
          <w:color w:val="231F20"/>
          <w:sz w:val="24"/>
          <w:szCs w:val="24"/>
        </w:rPr>
        <w:t>to improve safety and provide a secure environment for the community by measuring the level of safety that survey respondents (as a sample of Victorians) feel during the day and at night.</w:t>
      </w:r>
    </w:p>
    <w:p w14:paraId="15800D57" w14:textId="77777777" w:rsidR="00345EE3" w:rsidRDefault="00345EE3" w:rsidP="00345EE3">
      <w:pPr>
        <w:spacing w:before="123" w:after="120"/>
        <w:ind w:left="110"/>
        <w:jc w:val="both"/>
        <w:rPr>
          <w:rFonts w:ascii="Arial-BoldItalicMT"/>
          <w:b/>
          <w:i/>
          <w:sz w:val="18"/>
        </w:rPr>
      </w:pPr>
      <w:r>
        <w:rPr>
          <w:color w:val="231F20"/>
          <w:sz w:val="18"/>
        </w:rPr>
        <w:t>Table</w:t>
      </w:r>
      <w:r>
        <w:rPr>
          <w:color w:val="231F20"/>
          <w:spacing w:val="-5"/>
          <w:sz w:val="18"/>
        </w:rPr>
        <w:t xml:space="preserve"> </w:t>
      </w:r>
      <w:r>
        <w:rPr>
          <w:color w:val="231F20"/>
          <w:sz w:val="18"/>
        </w:rPr>
        <w:t>3.2:</w:t>
      </w:r>
      <w:r>
        <w:rPr>
          <w:color w:val="231F20"/>
          <w:spacing w:val="-5"/>
          <w:sz w:val="18"/>
        </w:rPr>
        <w:t xml:space="preserve"> </w:t>
      </w:r>
      <w:r>
        <w:rPr>
          <w:rFonts w:ascii="Arial-BoldItalicMT"/>
          <w:b/>
          <w:i/>
          <w:color w:val="231F20"/>
          <w:sz w:val="18"/>
        </w:rPr>
        <w:t>Community</w:t>
      </w:r>
      <w:r>
        <w:rPr>
          <w:rFonts w:ascii="Arial-BoldItalicMT"/>
          <w:b/>
          <w:i/>
          <w:color w:val="231F20"/>
          <w:spacing w:val="-7"/>
          <w:sz w:val="18"/>
        </w:rPr>
        <w:t xml:space="preserve"> </w:t>
      </w:r>
      <w:r>
        <w:rPr>
          <w:rFonts w:ascii="Arial-BoldItalicMT"/>
          <w:b/>
          <w:i/>
          <w:color w:val="231F20"/>
          <w:sz w:val="18"/>
        </w:rPr>
        <w:t>Safety</w:t>
      </w:r>
      <w:r>
        <w:rPr>
          <w:rFonts w:ascii="Arial-BoldItalicMT"/>
          <w:b/>
          <w:i/>
          <w:color w:val="231F20"/>
          <w:spacing w:val="-8"/>
          <w:sz w:val="18"/>
        </w:rPr>
        <w:t xml:space="preserve"> </w:t>
      </w:r>
      <w:r>
        <w:rPr>
          <w:rFonts w:ascii="Arial-BoldItalicMT"/>
          <w:b/>
          <w:i/>
          <w:color w:val="231F20"/>
          <w:sz w:val="18"/>
        </w:rPr>
        <w:t>During</w:t>
      </w:r>
      <w:r>
        <w:rPr>
          <w:rFonts w:ascii="Arial-BoldItalicMT"/>
          <w:b/>
          <w:i/>
          <w:color w:val="231F20"/>
          <w:spacing w:val="-7"/>
          <w:sz w:val="18"/>
        </w:rPr>
        <w:t xml:space="preserve"> </w:t>
      </w:r>
      <w:r>
        <w:rPr>
          <w:rFonts w:ascii="Arial-BoldItalicMT"/>
          <w:b/>
          <w:i/>
          <w:color w:val="231F20"/>
          <w:sz w:val="18"/>
        </w:rPr>
        <w:t>the</w:t>
      </w:r>
      <w:r>
        <w:rPr>
          <w:rFonts w:ascii="Arial-BoldItalicMT"/>
          <w:b/>
          <w:i/>
          <w:color w:val="231F20"/>
          <w:spacing w:val="-8"/>
          <w:sz w:val="18"/>
        </w:rPr>
        <w:t xml:space="preserve"> </w:t>
      </w:r>
      <w:r>
        <w:rPr>
          <w:rFonts w:ascii="Arial-BoldItalicMT"/>
          <w:b/>
          <w:i/>
          <w:color w:val="231F20"/>
          <w:sz w:val="18"/>
        </w:rPr>
        <w:t>Day</w:t>
      </w:r>
      <w:r>
        <w:rPr>
          <w:rFonts w:ascii="Arial-BoldItalicMT"/>
          <w:b/>
          <w:i/>
          <w:color w:val="231F20"/>
          <w:spacing w:val="-7"/>
          <w:sz w:val="18"/>
        </w:rPr>
        <w:t xml:space="preserve"> </w:t>
      </w:r>
      <w:r>
        <w:rPr>
          <w:rFonts w:ascii="Arial-BoldItalicMT"/>
          <w:b/>
          <w:i/>
          <w:color w:val="231F20"/>
          <w:sz w:val="18"/>
        </w:rPr>
        <w:t>and</w:t>
      </w:r>
      <w:r>
        <w:rPr>
          <w:rFonts w:ascii="Arial-BoldItalicMT"/>
          <w:b/>
          <w:i/>
          <w:color w:val="231F20"/>
          <w:spacing w:val="-8"/>
          <w:sz w:val="18"/>
        </w:rPr>
        <w:t xml:space="preserve"> </w:t>
      </w:r>
      <w:r>
        <w:rPr>
          <w:rFonts w:ascii="Arial-BoldItalicMT"/>
          <w:b/>
          <w:i/>
          <w:color w:val="231F20"/>
          <w:sz w:val="18"/>
        </w:rPr>
        <w:t>at</w:t>
      </w:r>
      <w:r>
        <w:rPr>
          <w:rFonts w:ascii="Arial-BoldItalicMT"/>
          <w:b/>
          <w:i/>
          <w:color w:val="231F20"/>
          <w:spacing w:val="-7"/>
          <w:sz w:val="18"/>
        </w:rPr>
        <w:t xml:space="preserve"> </w:t>
      </w:r>
      <w:r>
        <w:rPr>
          <w:rFonts w:ascii="Arial-BoldItalicMT"/>
          <w:b/>
          <w:i/>
          <w:color w:val="231F20"/>
          <w:spacing w:val="-2"/>
          <w:sz w:val="18"/>
        </w:rPr>
        <w:t>Night</w:t>
      </w:r>
    </w:p>
    <w:tbl>
      <w:tblPr>
        <w:tblW w:w="0" w:type="auto"/>
        <w:tblInd w:w="156" w:type="dxa"/>
        <w:tblLayout w:type="fixed"/>
        <w:tblCellMar>
          <w:left w:w="0" w:type="dxa"/>
          <w:right w:w="0" w:type="dxa"/>
        </w:tblCellMar>
        <w:tblLook w:val="0000" w:firstRow="0" w:lastRow="0" w:firstColumn="0" w:lastColumn="0" w:noHBand="0" w:noVBand="0"/>
      </w:tblPr>
      <w:tblGrid>
        <w:gridCol w:w="3033"/>
        <w:gridCol w:w="936"/>
        <w:gridCol w:w="935"/>
        <w:gridCol w:w="935"/>
        <w:gridCol w:w="936"/>
        <w:gridCol w:w="935"/>
        <w:gridCol w:w="1247"/>
        <w:gridCol w:w="1248"/>
      </w:tblGrid>
      <w:tr w:rsidR="00345EE3" w:rsidRPr="003E6588" w14:paraId="15433BDA" w14:textId="77777777" w:rsidTr="00D73130">
        <w:trPr>
          <w:trHeight w:val="60"/>
        </w:trPr>
        <w:tc>
          <w:tcPr>
            <w:tcW w:w="3033" w:type="dxa"/>
            <w:tcBorders>
              <w:top w:val="single" w:sz="6" w:space="0" w:color="000000"/>
              <w:left w:val="single" w:sz="6" w:space="0" w:color="000000"/>
              <w:bottom w:val="single" w:sz="2" w:space="0" w:color="9D9C9C"/>
              <w:right w:val="single" w:sz="2" w:space="0" w:color="FFFFFF"/>
            </w:tcBorders>
            <w:shd w:val="solid" w:color="004996" w:fill="auto"/>
            <w:tcMar>
              <w:top w:w="113" w:type="dxa"/>
              <w:left w:w="14" w:type="dxa"/>
              <w:bottom w:w="113" w:type="dxa"/>
              <w:right w:w="14" w:type="dxa"/>
            </w:tcMar>
          </w:tcPr>
          <w:p w14:paraId="6C8C8417" w14:textId="77777777" w:rsidR="00345EE3" w:rsidRPr="003E6588"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3E6588">
              <w:rPr>
                <w:rFonts w:eastAsiaTheme="minorHAnsi"/>
                <w:b/>
                <w:bCs/>
                <w:color w:val="FFFFFF"/>
                <w:sz w:val="24"/>
                <w:szCs w:val="24"/>
                <w:lang w:val="en-GB"/>
              </w:rPr>
              <w:t>Indicator</w:t>
            </w:r>
          </w:p>
        </w:tc>
        <w:tc>
          <w:tcPr>
            <w:tcW w:w="936"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65B45D1D"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3E6588">
              <w:rPr>
                <w:rFonts w:eastAsiaTheme="minorHAnsi"/>
                <w:b/>
                <w:bCs/>
                <w:color w:val="FFFFFF"/>
                <w:spacing w:val="-2"/>
                <w:sz w:val="24"/>
                <w:szCs w:val="24"/>
                <w:lang w:val="en-GB"/>
              </w:rPr>
              <w:t>2016–17</w:t>
            </w:r>
            <w:r w:rsidRPr="003E6588">
              <w:rPr>
                <w:rFonts w:eastAsiaTheme="minorHAnsi"/>
                <w:b/>
                <w:bCs/>
                <w:color w:val="FFFFFF"/>
                <w:spacing w:val="-2"/>
                <w:sz w:val="24"/>
                <w:szCs w:val="24"/>
                <w:lang w:val="en-GB"/>
              </w:rPr>
              <w:br/>
              <w:t>%</w:t>
            </w:r>
          </w:p>
        </w:tc>
        <w:tc>
          <w:tcPr>
            <w:tcW w:w="935"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53651DFD"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3E6588">
              <w:rPr>
                <w:rFonts w:eastAsiaTheme="minorHAnsi"/>
                <w:b/>
                <w:bCs/>
                <w:color w:val="FFFFFF"/>
                <w:spacing w:val="-2"/>
                <w:sz w:val="24"/>
                <w:szCs w:val="24"/>
                <w:lang w:val="en-GB"/>
              </w:rPr>
              <w:t>2017–18</w:t>
            </w:r>
            <w:r w:rsidRPr="003E6588">
              <w:rPr>
                <w:rFonts w:eastAsiaTheme="minorHAnsi"/>
                <w:b/>
                <w:bCs/>
                <w:color w:val="FFFFFF"/>
                <w:spacing w:val="-2"/>
                <w:sz w:val="24"/>
                <w:szCs w:val="24"/>
                <w:lang w:val="en-GB"/>
              </w:rPr>
              <w:br/>
              <w:t>%</w:t>
            </w:r>
          </w:p>
        </w:tc>
        <w:tc>
          <w:tcPr>
            <w:tcW w:w="935"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693C67CC"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3E6588">
              <w:rPr>
                <w:rFonts w:eastAsiaTheme="minorHAnsi"/>
                <w:b/>
                <w:bCs/>
                <w:color w:val="FFFFFF"/>
                <w:spacing w:val="-2"/>
                <w:sz w:val="24"/>
                <w:szCs w:val="24"/>
                <w:lang w:val="en-GB"/>
              </w:rPr>
              <w:t>2018–19</w:t>
            </w:r>
            <w:r w:rsidRPr="003E6588">
              <w:rPr>
                <w:rFonts w:eastAsiaTheme="minorHAnsi"/>
                <w:b/>
                <w:bCs/>
                <w:color w:val="FFFFFF"/>
                <w:spacing w:val="-2"/>
                <w:sz w:val="24"/>
                <w:szCs w:val="24"/>
                <w:lang w:val="en-GB"/>
              </w:rPr>
              <w:br/>
              <w:t>%</w:t>
            </w:r>
          </w:p>
        </w:tc>
        <w:tc>
          <w:tcPr>
            <w:tcW w:w="936"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4D66E4BC"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3E6588">
              <w:rPr>
                <w:rFonts w:eastAsiaTheme="minorHAnsi"/>
                <w:b/>
                <w:bCs/>
                <w:color w:val="FFFFFF"/>
                <w:spacing w:val="-2"/>
                <w:sz w:val="24"/>
                <w:szCs w:val="24"/>
                <w:lang w:val="en-GB"/>
              </w:rPr>
              <w:t>2019–20</w:t>
            </w:r>
            <w:r w:rsidRPr="003E6588">
              <w:rPr>
                <w:rFonts w:eastAsiaTheme="minorHAnsi"/>
                <w:b/>
                <w:bCs/>
                <w:color w:val="FFFFFF"/>
                <w:spacing w:val="-2"/>
                <w:sz w:val="24"/>
                <w:szCs w:val="24"/>
                <w:lang w:val="en-GB"/>
              </w:rPr>
              <w:br/>
              <w:t>%</w:t>
            </w:r>
          </w:p>
        </w:tc>
        <w:tc>
          <w:tcPr>
            <w:tcW w:w="935"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7F61E226"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3E6588">
              <w:rPr>
                <w:rFonts w:eastAsiaTheme="minorHAnsi"/>
                <w:b/>
                <w:bCs/>
                <w:color w:val="FFFFFF"/>
                <w:spacing w:val="-2"/>
                <w:sz w:val="24"/>
                <w:szCs w:val="24"/>
                <w:lang w:val="en-GB"/>
              </w:rPr>
              <w:t>2020–21</w:t>
            </w:r>
            <w:r w:rsidRPr="003E6588">
              <w:rPr>
                <w:rFonts w:eastAsiaTheme="minorHAnsi"/>
                <w:b/>
                <w:bCs/>
                <w:color w:val="FFFFFF"/>
                <w:spacing w:val="-2"/>
                <w:sz w:val="24"/>
                <w:szCs w:val="24"/>
                <w:lang w:val="en-GB"/>
              </w:rPr>
              <w:br/>
              <w:t>%</w:t>
            </w:r>
          </w:p>
        </w:tc>
        <w:tc>
          <w:tcPr>
            <w:tcW w:w="1247"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692DD48C"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3E6588">
              <w:rPr>
                <w:rFonts w:eastAsiaTheme="minorHAnsi"/>
                <w:b/>
                <w:bCs/>
                <w:color w:val="FFFFFF"/>
                <w:spacing w:val="-2"/>
                <w:sz w:val="24"/>
                <w:szCs w:val="24"/>
                <w:lang w:val="en-GB"/>
              </w:rPr>
              <w:t>Change from 2019–20 to 2020–21</w:t>
            </w:r>
          </w:p>
        </w:tc>
        <w:tc>
          <w:tcPr>
            <w:tcW w:w="1248" w:type="dxa"/>
            <w:tcBorders>
              <w:top w:val="single" w:sz="6" w:space="0" w:color="auto"/>
              <w:left w:val="single" w:sz="2" w:space="0" w:color="FFFFFF"/>
              <w:bottom w:val="single" w:sz="2" w:space="0" w:color="9D9C9C"/>
              <w:right w:val="single" w:sz="6" w:space="0" w:color="auto"/>
            </w:tcBorders>
            <w:shd w:val="solid" w:color="004996" w:fill="auto"/>
            <w:tcMar>
              <w:top w:w="113" w:type="dxa"/>
              <w:left w:w="14" w:type="dxa"/>
              <w:bottom w:w="113" w:type="dxa"/>
              <w:right w:w="14" w:type="dxa"/>
            </w:tcMar>
          </w:tcPr>
          <w:p w14:paraId="1E3FEBBC"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3E6588">
              <w:rPr>
                <w:rFonts w:eastAsiaTheme="minorHAnsi"/>
                <w:b/>
                <w:bCs/>
                <w:color w:val="FFFFFF"/>
                <w:spacing w:val="-2"/>
                <w:sz w:val="24"/>
                <w:szCs w:val="24"/>
                <w:lang w:val="en-GB"/>
              </w:rPr>
              <w:t>Change over 5 years</w:t>
            </w:r>
          </w:p>
        </w:tc>
      </w:tr>
      <w:tr w:rsidR="00345EE3" w:rsidRPr="003E6588" w14:paraId="63BF64D1" w14:textId="77777777" w:rsidTr="00D73130">
        <w:trPr>
          <w:trHeight w:val="60"/>
        </w:trPr>
        <w:tc>
          <w:tcPr>
            <w:tcW w:w="30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F5BE8A5" w14:textId="77777777" w:rsidR="00345EE3" w:rsidRPr="003E6588"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3E6588">
              <w:rPr>
                <w:rFonts w:eastAsiaTheme="minorHAnsi"/>
                <w:color w:val="000000"/>
                <w:sz w:val="24"/>
                <w:szCs w:val="24"/>
                <w:lang w:val="en-GB"/>
              </w:rPr>
              <w:t>Walking alone in the neighbourhood during the day</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3F8E29A"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84.0</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19ED8F"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87.4</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3BB68F4"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88.1</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7B648F5"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89.9</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719C390"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91.5</w:t>
            </w:r>
          </w:p>
        </w:tc>
        <w:tc>
          <w:tcPr>
            <w:tcW w:w="124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7015A7"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+1.6</w:t>
            </w:r>
          </w:p>
        </w:tc>
        <w:tc>
          <w:tcPr>
            <w:tcW w:w="1248"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0FB4CD6"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+7.5</w:t>
            </w:r>
          </w:p>
        </w:tc>
      </w:tr>
      <w:tr w:rsidR="00345EE3" w:rsidRPr="003E6588" w14:paraId="11948662" w14:textId="77777777" w:rsidTr="00D73130">
        <w:trPr>
          <w:trHeight w:val="60"/>
        </w:trPr>
        <w:tc>
          <w:tcPr>
            <w:tcW w:w="30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08B83D0" w14:textId="77777777" w:rsidR="00345EE3" w:rsidRPr="003E6588"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3E6588">
              <w:rPr>
                <w:rFonts w:eastAsiaTheme="minorHAnsi"/>
                <w:color w:val="000000"/>
                <w:sz w:val="24"/>
                <w:szCs w:val="24"/>
                <w:lang w:val="en-GB"/>
              </w:rPr>
              <w:t>Walking alone in the neighbourhood at night</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4C8CE4"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42.8</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AC5E7DC"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47.1</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55CC561"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48.1</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30CE7CB"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49.1</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250A25"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51.7</w:t>
            </w:r>
          </w:p>
        </w:tc>
        <w:tc>
          <w:tcPr>
            <w:tcW w:w="124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5031E82"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+2.6</w:t>
            </w:r>
          </w:p>
        </w:tc>
        <w:tc>
          <w:tcPr>
            <w:tcW w:w="1248"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3B63ED0"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+8.9</w:t>
            </w:r>
          </w:p>
        </w:tc>
      </w:tr>
      <w:tr w:rsidR="00345EE3" w:rsidRPr="003E6588" w14:paraId="55F84D06" w14:textId="77777777" w:rsidTr="00D73130">
        <w:trPr>
          <w:trHeight w:val="60"/>
        </w:trPr>
        <w:tc>
          <w:tcPr>
            <w:tcW w:w="30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9F428C2" w14:textId="77777777" w:rsidR="00345EE3" w:rsidRPr="003E6588"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3E6588">
              <w:rPr>
                <w:rFonts w:eastAsiaTheme="minorHAnsi"/>
                <w:color w:val="000000"/>
                <w:sz w:val="24"/>
                <w:szCs w:val="24"/>
                <w:lang w:val="en-GB"/>
              </w:rPr>
              <w:t>At home at night</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CC5511"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79.1</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7E86F07"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83.0</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AF83124"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83.8</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820480"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85.9</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F374D9"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88.0</w:t>
            </w:r>
          </w:p>
        </w:tc>
        <w:tc>
          <w:tcPr>
            <w:tcW w:w="124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2D67436"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+2.1</w:t>
            </w:r>
          </w:p>
        </w:tc>
        <w:tc>
          <w:tcPr>
            <w:tcW w:w="1248"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8350B1D"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+8.9</w:t>
            </w:r>
          </w:p>
        </w:tc>
      </w:tr>
    </w:tbl>
    <w:p w14:paraId="31AFB1D4" w14:textId="77777777" w:rsidR="00345EE3" w:rsidRPr="003E6588" w:rsidRDefault="00345EE3" w:rsidP="00345EE3">
      <w:pPr>
        <w:spacing w:before="67"/>
        <w:ind w:left="110" w:right="921"/>
        <w:rPr>
          <w:sz w:val="18"/>
          <w:szCs w:val="18"/>
        </w:rPr>
      </w:pPr>
      <w:r w:rsidRPr="003E6588">
        <w:rPr>
          <w:rFonts w:ascii="Arial-BoldItalicMT"/>
          <w:b/>
          <w:i/>
          <w:color w:val="231F20"/>
          <w:sz w:val="18"/>
          <w:szCs w:val="18"/>
        </w:rPr>
        <w:t xml:space="preserve">Source: </w:t>
      </w:r>
      <w:r w:rsidRPr="003E6588">
        <w:rPr>
          <w:color w:val="231F20"/>
          <w:sz w:val="18"/>
          <w:szCs w:val="18"/>
        </w:rPr>
        <w:t>2022 Report on Government Services, Commonwealth Productivity Commission. Extracted from National Survey of Community Satisfaction with Policing,</w:t>
      </w:r>
      <w:r w:rsidRPr="003E6588">
        <w:rPr>
          <w:color w:val="231F20"/>
          <w:spacing w:val="40"/>
          <w:sz w:val="18"/>
          <w:szCs w:val="18"/>
        </w:rPr>
        <w:t xml:space="preserve"> </w:t>
      </w:r>
      <w:r w:rsidRPr="003E6588">
        <w:rPr>
          <w:color w:val="231F20"/>
          <w:sz w:val="18"/>
          <w:szCs w:val="18"/>
        </w:rPr>
        <w:t>via Corporate Statistics Unit, Capability Department, Victoria Police.</w:t>
      </w:r>
    </w:p>
    <w:p w14:paraId="3C45D2E7" w14:textId="77777777" w:rsidR="00345EE3" w:rsidRPr="00087AF4" w:rsidRDefault="00345EE3" w:rsidP="00087AF4">
      <w:pPr>
        <w:pStyle w:val="BodyText"/>
        <w:spacing w:before="137" w:line="242" w:lineRule="auto"/>
        <w:ind w:left="142" w:right="1328"/>
        <w:rPr>
          <w:sz w:val="24"/>
          <w:szCs w:val="24"/>
        </w:rPr>
      </w:pPr>
      <w:r w:rsidRPr="00087AF4">
        <w:rPr>
          <w:color w:val="231F20"/>
          <w:sz w:val="24"/>
          <w:szCs w:val="24"/>
        </w:rPr>
        <w:t>In</w:t>
      </w:r>
      <w:r w:rsidRPr="00087AF4">
        <w:rPr>
          <w:color w:val="231F20"/>
          <w:spacing w:val="-6"/>
          <w:sz w:val="24"/>
          <w:szCs w:val="24"/>
        </w:rPr>
        <w:t xml:space="preserve"> </w:t>
      </w:r>
      <w:r w:rsidRPr="00087AF4">
        <w:rPr>
          <w:color w:val="231F20"/>
          <w:sz w:val="24"/>
          <w:szCs w:val="24"/>
        </w:rPr>
        <w:t>2020–21,</w:t>
      </w:r>
      <w:r w:rsidRPr="00087AF4">
        <w:rPr>
          <w:color w:val="231F20"/>
          <w:spacing w:val="-5"/>
          <w:sz w:val="24"/>
          <w:szCs w:val="24"/>
        </w:rPr>
        <w:t xml:space="preserve"> </w:t>
      </w:r>
      <w:r w:rsidRPr="00087AF4">
        <w:rPr>
          <w:color w:val="231F20"/>
          <w:sz w:val="24"/>
          <w:szCs w:val="24"/>
        </w:rPr>
        <w:t>91.5</w:t>
      </w:r>
      <w:r w:rsidRPr="00087AF4">
        <w:rPr>
          <w:color w:val="231F20"/>
          <w:spacing w:val="-5"/>
          <w:sz w:val="24"/>
          <w:szCs w:val="24"/>
        </w:rPr>
        <w:t xml:space="preserve"> </w:t>
      </w:r>
      <w:r w:rsidRPr="00087AF4">
        <w:rPr>
          <w:color w:val="231F20"/>
          <w:sz w:val="24"/>
          <w:szCs w:val="24"/>
        </w:rPr>
        <w:t>per</w:t>
      </w:r>
      <w:r w:rsidRPr="00087AF4">
        <w:rPr>
          <w:color w:val="231F20"/>
          <w:spacing w:val="-5"/>
          <w:sz w:val="24"/>
          <w:szCs w:val="24"/>
        </w:rPr>
        <w:t xml:space="preserve"> </w:t>
      </w:r>
      <w:r w:rsidRPr="00087AF4">
        <w:rPr>
          <w:color w:val="231F20"/>
          <w:sz w:val="24"/>
          <w:szCs w:val="24"/>
        </w:rPr>
        <w:t>cent</w:t>
      </w:r>
      <w:r w:rsidRPr="00087AF4">
        <w:rPr>
          <w:color w:val="231F20"/>
          <w:spacing w:val="-5"/>
          <w:sz w:val="24"/>
          <w:szCs w:val="24"/>
        </w:rPr>
        <w:t xml:space="preserve"> </w:t>
      </w:r>
      <w:r w:rsidRPr="00087AF4">
        <w:rPr>
          <w:color w:val="231F20"/>
          <w:sz w:val="24"/>
          <w:szCs w:val="24"/>
        </w:rPr>
        <w:t>of</w:t>
      </w:r>
      <w:r w:rsidRPr="00087AF4">
        <w:rPr>
          <w:color w:val="231F20"/>
          <w:spacing w:val="-5"/>
          <w:sz w:val="24"/>
          <w:szCs w:val="24"/>
        </w:rPr>
        <w:t xml:space="preserve"> </w:t>
      </w:r>
      <w:r w:rsidRPr="00087AF4">
        <w:rPr>
          <w:color w:val="231F20"/>
          <w:sz w:val="24"/>
          <w:szCs w:val="24"/>
        </w:rPr>
        <w:t>Victorians</w:t>
      </w:r>
      <w:r w:rsidRPr="00087AF4">
        <w:rPr>
          <w:color w:val="231F20"/>
          <w:spacing w:val="-5"/>
          <w:sz w:val="24"/>
          <w:szCs w:val="24"/>
        </w:rPr>
        <w:t xml:space="preserve"> </w:t>
      </w:r>
      <w:r w:rsidRPr="00087AF4">
        <w:rPr>
          <w:color w:val="231F20"/>
          <w:sz w:val="24"/>
          <w:szCs w:val="24"/>
        </w:rPr>
        <w:t>surveyed</w:t>
      </w:r>
      <w:r w:rsidRPr="00087AF4">
        <w:rPr>
          <w:color w:val="231F20"/>
          <w:spacing w:val="-6"/>
          <w:sz w:val="24"/>
          <w:szCs w:val="24"/>
        </w:rPr>
        <w:t xml:space="preserve"> </w:t>
      </w:r>
      <w:r w:rsidRPr="00087AF4">
        <w:rPr>
          <w:color w:val="231F20"/>
          <w:sz w:val="24"/>
          <w:szCs w:val="24"/>
        </w:rPr>
        <w:t>felt</w:t>
      </w:r>
      <w:r w:rsidRPr="00087AF4">
        <w:rPr>
          <w:color w:val="231F20"/>
          <w:spacing w:val="-5"/>
          <w:sz w:val="24"/>
          <w:szCs w:val="24"/>
        </w:rPr>
        <w:t xml:space="preserve"> </w:t>
      </w:r>
      <w:r w:rsidRPr="00087AF4">
        <w:rPr>
          <w:color w:val="231F20"/>
          <w:sz w:val="24"/>
          <w:szCs w:val="24"/>
        </w:rPr>
        <w:t>‘safe’</w:t>
      </w:r>
      <w:r w:rsidRPr="00087AF4">
        <w:rPr>
          <w:color w:val="231F20"/>
          <w:spacing w:val="-6"/>
          <w:sz w:val="24"/>
          <w:szCs w:val="24"/>
        </w:rPr>
        <w:t xml:space="preserve"> </w:t>
      </w:r>
      <w:r w:rsidRPr="00087AF4">
        <w:rPr>
          <w:color w:val="231F20"/>
          <w:sz w:val="24"/>
          <w:szCs w:val="24"/>
        </w:rPr>
        <w:t>or</w:t>
      </w:r>
      <w:r w:rsidRPr="00087AF4">
        <w:rPr>
          <w:color w:val="231F20"/>
          <w:spacing w:val="-5"/>
          <w:sz w:val="24"/>
          <w:szCs w:val="24"/>
        </w:rPr>
        <w:t xml:space="preserve"> </w:t>
      </w:r>
      <w:r w:rsidRPr="00087AF4">
        <w:rPr>
          <w:color w:val="231F20"/>
          <w:sz w:val="24"/>
          <w:szCs w:val="24"/>
        </w:rPr>
        <w:t>‘very</w:t>
      </w:r>
      <w:r w:rsidRPr="00087AF4">
        <w:rPr>
          <w:color w:val="231F20"/>
          <w:spacing w:val="-5"/>
          <w:sz w:val="24"/>
          <w:szCs w:val="24"/>
        </w:rPr>
        <w:t xml:space="preserve"> </w:t>
      </w:r>
      <w:r w:rsidRPr="00087AF4">
        <w:rPr>
          <w:color w:val="231F20"/>
          <w:sz w:val="24"/>
          <w:szCs w:val="24"/>
        </w:rPr>
        <w:t>safe’</w:t>
      </w:r>
      <w:r w:rsidRPr="00087AF4">
        <w:rPr>
          <w:color w:val="231F20"/>
          <w:spacing w:val="-6"/>
          <w:sz w:val="24"/>
          <w:szCs w:val="24"/>
        </w:rPr>
        <w:t xml:space="preserve"> </w:t>
      </w:r>
      <w:r w:rsidRPr="00087AF4">
        <w:rPr>
          <w:color w:val="231F20"/>
          <w:sz w:val="24"/>
          <w:szCs w:val="24"/>
        </w:rPr>
        <w:t>when</w:t>
      </w:r>
      <w:r w:rsidRPr="00087AF4">
        <w:rPr>
          <w:color w:val="231F20"/>
          <w:spacing w:val="-6"/>
          <w:sz w:val="24"/>
          <w:szCs w:val="24"/>
        </w:rPr>
        <w:t xml:space="preserve"> </w:t>
      </w:r>
      <w:r w:rsidRPr="00087AF4">
        <w:rPr>
          <w:color w:val="231F20"/>
          <w:sz w:val="24"/>
          <w:szCs w:val="24"/>
        </w:rPr>
        <w:t>walking</w:t>
      </w:r>
      <w:r w:rsidRPr="00087AF4">
        <w:rPr>
          <w:color w:val="231F20"/>
          <w:spacing w:val="-6"/>
          <w:sz w:val="24"/>
          <w:szCs w:val="24"/>
        </w:rPr>
        <w:t xml:space="preserve"> </w:t>
      </w:r>
      <w:r w:rsidRPr="00087AF4">
        <w:rPr>
          <w:color w:val="231F20"/>
          <w:sz w:val="24"/>
          <w:szCs w:val="24"/>
        </w:rPr>
        <w:t>alone in their neighbourhood during the day which is an increase of 1.6 percentage points when compared</w:t>
      </w:r>
      <w:r w:rsidRPr="00087AF4">
        <w:rPr>
          <w:color w:val="231F20"/>
          <w:spacing w:val="-1"/>
          <w:sz w:val="24"/>
          <w:szCs w:val="24"/>
        </w:rPr>
        <w:t xml:space="preserve"> </w:t>
      </w:r>
      <w:r w:rsidRPr="00087AF4">
        <w:rPr>
          <w:color w:val="231F20"/>
          <w:sz w:val="24"/>
          <w:szCs w:val="24"/>
        </w:rPr>
        <w:t>to</w:t>
      </w:r>
      <w:r w:rsidRPr="00087AF4">
        <w:rPr>
          <w:color w:val="231F20"/>
          <w:spacing w:val="-1"/>
          <w:sz w:val="24"/>
          <w:szCs w:val="24"/>
        </w:rPr>
        <w:t xml:space="preserve"> </w:t>
      </w:r>
      <w:r w:rsidRPr="00087AF4">
        <w:rPr>
          <w:color w:val="231F20"/>
          <w:sz w:val="24"/>
          <w:szCs w:val="24"/>
        </w:rPr>
        <w:t>2019–20</w:t>
      </w:r>
      <w:r w:rsidRPr="00087AF4">
        <w:rPr>
          <w:color w:val="231F20"/>
          <w:spacing w:val="-1"/>
          <w:sz w:val="24"/>
          <w:szCs w:val="24"/>
        </w:rPr>
        <w:t xml:space="preserve"> </w:t>
      </w:r>
      <w:r w:rsidRPr="00087AF4">
        <w:rPr>
          <w:color w:val="231F20"/>
          <w:sz w:val="24"/>
          <w:szCs w:val="24"/>
        </w:rPr>
        <w:t>data. 51.7</w:t>
      </w:r>
      <w:r w:rsidRPr="00087AF4">
        <w:rPr>
          <w:color w:val="231F20"/>
          <w:spacing w:val="-1"/>
          <w:sz w:val="24"/>
          <w:szCs w:val="24"/>
        </w:rPr>
        <w:t xml:space="preserve"> </w:t>
      </w:r>
      <w:r w:rsidRPr="00087AF4">
        <w:rPr>
          <w:color w:val="231F20"/>
          <w:sz w:val="24"/>
          <w:szCs w:val="24"/>
        </w:rPr>
        <w:t>per cent felt ‘safe’</w:t>
      </w:r>
      <w:r w:rsidRPr="00087AF4">
        <w:rPr>
          <w:color w:val="231F20"/>
          <w:spacing w:val="-1"/>
          <w:sz w:val="24"/>
          <w:szCs w:val="24"/>
        </w:rPr>
        <w:t xml:space="preserve"> </w:t>
      </w:r>
      <w:r w:rsidRPr="00087AF4">
        <w:rPr>
          <w:color w:val="231F20"/>
          <w:sz w:val="24"/>
          <w:szCs w:val="24"/>
        </w:rPr>
        <w:t>or ‘very safe’</w:t>
      </w:r>
      <w:r w:rsidRPr="00087AF4">
        <w:rPr>
          <w:color w:val="231F20"/>
          <w:spacing w:val="-1"/>
          <w:sz w:val="24"/>
          <w:szCs w:val="24"/>
        </w:rPr>
        <w:t xml:space="preserve"> </w:t>
      </w:r>
      <w:r w:rsidRPr="00087AF4">
        <w:rPr>
          <w:color w:val="231F20"/>
          <w:sz w:val="24"/>
          <w:szCs w:val="24"/>
        </w:rPr>
        <w:t>walking</w:t>
      </w:r>
      <w:r w:rsidRPr="00087AF4">
        <w:rPr>
          <w:color w:val="231F20"/>
          <w:spacing w:val="-1"/>
          <w:sz w:val="24"/>
          <w:szCs w:val="24"/>
        </w:rPr>
        <w:t xml:space="preserve"> </w:t>
      </w:r>
      <w:r w:rsidRPr="00087AF4">
        <w:rPr>
          <w:color w:val="231F20"/>
          <w:sz w:val="24"/>
          <w:szCs w:val="24"/>
        </w:rPr>
        <w:t>alone</w:t>
      </w:r>
      <w:r w:rsidRPr="00087AF4">
        <w:rPr>
          <w:color w:val="231F20"/>
          <w:spacing w:val="-1"/>
          <w:sz w:val="24"/>
          <w:szCs w:val="24"/>
        </w:rPr>
        <w:t xml:space="preserve"> </w:t>
      </w:r>
      <w:r w:rsidRPr="00087AF4">
        <w:rPr>
          <w:color w:val="231F20"/>
          <w:sz w:val="24"/>
          <w:szCs w:val="24"/>
        </w:rPr>
        <w:t>at night, an increase of 2.6 percentage points compared to 2019–20 data. Of those surveyed, 88.0 per cent</w:t>
      </w:r>
      <w:r w:rsidRPr="00087AF4">
        <w:rPr>
          <w:color w:val="231F20"/>
          <w:spacing w:val="-9"/>
          <w:sz w:val="24"/>
          <w:szCs w:val="24"/>
        </w:rPr>
        <w:t xml:space="preserve"> </w:t>
      </w:r>
      <w:r w:rsidRPr="00087AF4">
        <w:rPr>
          <w:color w:val="231F20"/>
          <w:sz w:val="24"/>
          <w:szCs w:val="24"/>
        </w:rPr>
        <w:t>of</w:t>
      </w:r>
      <w:r w:rsidRPr="00087AF4">
        <w:rPr>
          <w:color w:val="231F20"/>
          <w:spacing w:val="-9"/>
          <w:sz w:val="24"/>
          <w:szCs w:val="24"/>
        </w:rPr>
        <w:t xml:space="preserve"> </w:t>
      </w:r>
      <w:r w:rsidRPr="00087AF4">
        <w:rPr>
          <w:color w:val="231F20"/>
          <w:sz w:val="24"/>
          <w:szCs w:val="24"/>
        </w:rPr>
        <w:t>Victorians</w:t>
      </w:r>
      <w:r w:rsidRPr="00087AF4">
        <w:rPr>
          <w:color w:val="231F20"/>
          <w:spacing w:val="-9"/>
          <w:sz w:val="24"/>
          <w:szCs w:val="24"/>
        </w:rPr>
        <w:t xml:space="preserve"> </w:t>
      </w:r>
      <w:r w:rsidRPr="00087AF4">
        <w:rPr>
          <w:color w:val="231F20"/>
          <w:sz w:val="24"/>
          <w:szCs w:val="24"/>
        </w:rPr>
        <w:t>felt</w:t>
      </w:r>
      <w:r w:rsidRPr="00087AF4">
        <w:rPr>
          <w:color w:val="231F20"/>
          <w:spacing w:val="-9"/>
          <w:sz w:val="24"/>
          <w:szCs w:val="24"/>
        </w:rPr>
        <w:t xml:space="preserve"> </w:t>
      </w:r>
      <w:r w:rsidRPr="00087AF4">
        <w:rPr>
          <w:color w:val="231F20"/>
          <w:sz w:val="24"/>
          <w:szCs w:val="24"/>
        </w:rPr>
        <w:t>‘safe’</w:t>
      </w:r>
      <w:r w:rsidRPr="00087AF4">
        <w:rPr>
          <w:color w:val="231F20"/>
          <w:spacing w:val="-10"/>
          <w:sz w:val="24"/>
          <w:szCs w:val="24"/>
        </w:rPr>
        <w:t xml:space="preserve"> </w:t>
      </w:r>
      <w:r w:rsidRPr="00087AF4">
        <w:rPr>
          <w:color w:val="231F20"/>
          <w:sz w:val="24"/>
          <w:szCs w:val="24"/>
        </w:rPr>
        <w:t>or</w:t>
      </w:r>
      <w:r w:rsidRPr="00087AF4">
        <w:rPr>
          <w:color w:val="231F20"/>
          <w:spacing w:val="-9"/>
          <w:sz w:val="24"/>
          <w:szCs w:val="24"/>
        </w:rPr>
        <w:t xml:space="preserve"> </w:t>
      </w:r>
      <w:r w:rsidRPr="00087AF4">
        <w:rPr>
          <w:color w:val="231F20"/>
          <w:sz w:val="24"/>
          <w:szCs w:val="24"/>
        </w:rPr>
        <w:t>‘very</w:t>
      </w:r>
      <w:r w:rsidRPr="00087AF4">
        <w:rPr>
          <w:color w:val="231F20"/>
          <w:spacing w:val="-9"/>
          <w:sz w:val="24"/>
          <w:szCs w:val="24"/>
        </w:rPr>
        <w:t xml:space="preserve"> </w:t>
      </w:r>
      <w:r w:rsidRPr="00087AF4">
        <w:rPr>
          <w:color w:val="231F20"/>
          <w:sz w:val="24"/>
          <w:szCs w:val="24"/>
        </w:rPr>
        <w:t>safe’</w:t>
      </w:r>
      <w:r w:rsidRPr="00087AF4">
        <w:rPr>
          <w:color w:val="231F20"/>
          <w:spacing w:val="-10"/>
          <w:sz w:val="24"/>
          <w:szCs w:val="24"/>
        </w:rPr>
        <w:t xml:space="preserve"> </w:t>
      </w:r>
      <w:r w:rsidRPr="00087AF4">
        <w:rPr>
          <w:color w:val="231F20"/>
          <w:sz w:val="24"/>
          <w:szCs w:val="24"/>
        </w:rPr>
        <w:t>at</w:t>
      </w:r>
      <w:r w:rsidRPr="00087AF4">
        <w:rPr>
          <w:color w:val="231F20"/>
          <w:spacing w:val="-9"/>
          <w:sz w:val="24"/>
          <w:szCs w:val="24"/>
        </w:rPr>
        <w:t xml:space="preserve"> </w:t>
      </w:r>
      <w:r w:rsidRPr="00087AF4">
        <w:rPr>
          <w:color w:val="231F20"/>
          <w:sz w:val="24"/>
          <w:szCs w:val="24"/>
        </w:rPr>
        <w:t>home</w:t>
      </w:r>
      <w:r w:rsidRPr="00087AF4">
        <w:rPr>
          <w:color w:val="231F20"/>
          <w:spacing w:val="-10"/>
          <w:sz w:val="24"/>
          <w:szCs w:val="24"/>
        </w:rPr>
        <w:t xml:space="preserve"> </w:t>
      </w:r>
      <w:r w:rsidRPr="00087AF4">
        <w:rPr>
          <w:color w:val="231F20"/>
          <w:sz w:val="24"/>
          <w:szCs w:val="24"/>
        </w:rPr>
        <w:t>alone</w:t>
      </w:r>
      <w:r w:rsidRPr="00087AF4">
        <w:rPr>
          <w:color w:val="231F20"/>
          <w:spacing w:val="-10"/>
          <w:sz w:val="24"/>
          <w:szCs w:val="24"/>
        </w:rPr>
        <w:t xml:space="preserve"> </w:t>
      </w:r>
      <w:r w:rsidRPr="00087AF4">
        <w:rPr>
          <w:color w:val="231F20"/>
          <w:sz w:val="24"/>
          <w:szCs w:val="24"/>
        </w:rPr>
        <w:t>at</w:t>
      </w:r>
      <w:r w:rsidRPr="00087AF4">
        <w:rPr>
          <w:color w:val="231F20"/>
          <w:spacing w:val="-9"/>
          <w:sz w:val="24"/>
          <w:szCs w:val="24"/>
        </w:rPr>
        <w:t xml:space="preserve"> </w:t>
      </w:r>
      <w:r w:rsidRPr="00087AF4">
        <w:rPr>
          <w:color w:val="231F20"/>
          <w:sz w:val="24"/>
          <w:szCs w:val="24"/>
        </w:rPr>
        <w:t>night,</w:t>
      </w:r>
      <w:r w:rsidRPr="00087AF4">
        <w:rPr>
          <w:color w:val="231F20"/>
          <w:spacing w:val="-9"/>
          <w:sz w:val="24"/>
          <w:szCs w:val="24"/>
        </w:rPr>
        <w:t xml:space="preserve"> </w:t>
      </w:r>
      <w:r w:rsidRPr="00087AF4">
        <w:rPr>
          <w:color w:val="231F20"/>
          <w:sz w:val="24"/>
          <w:szCs w:val="24"/>
        </w:rPr>
        <w:t>recording</w:t>
      </w:r>
      <w:r w:rsidRPr="00087AF4">
        <w:rPr>
          <w:color w:val="231F20"/>
          <w:spacing w:val="-10"/>
          <w:sz w:val="24"/>
          <w:szCs w:val="24"/>
        </w:rPr>
        <w:t xml:space="preserve"> </w:t>
      </w:r>
      <w:r w:rsidRPr="00087AF4">
        <w:rPr>
          <w:color w:val="231F20"/>
          <w:sz w:val="24"/>
          <w:szCs w:val="24"/>
        </w:rPr>
        <w:t>an</w:t>
      </w:r>
      <w:r w:rsidRPr="00087AF4">
        <w:rPr>
          <w:color w:val="231F20"/>
          <w:spacing w:val="-10"/>
          <w:sz w:val="24"/>
          <w:szCs w:val="24"/>
        </w:rPr>
        <w:t xml:space="preserve"> </w:t>
      </w:r>
      <w:r w:rsidRPr="00087AF4">
        <w:rPr>
          <w:color w:val="231F20"/>
          <w:sz w:val="24"/>
          <w:szCs w:val="24"/>
        </w:rPr>
        <w:t>increase</w:t>
      </w:r>
      <w:r w:rsidRPr="00087AF4">
        <w:rPr>
          <w:color w:val="231F20"/>
          <w:spacing w:val="-10"/>
          <w:sz w:val="24"/>
          <w:szCs w:val="24"/>
        </w:rPr>
        <w:t xml:space="preserve"> </w:t>
      </w:r>
      <w:r w:rsidRPr="00087AF4">
        <w:rPr>
          <w:color w:val="231F20"/>
          <w:sz w:val="24"/>
          <w:szCs w:val="24"/>
        </w:rPr>
        <w:t>of</w:t>
      </w:r>
      <w:r w:rsidRPr="00087AF4">
        <w:rPr>
          <w:color w:val="231F20"/>
          <w:spacing w:val="-9"/>
          <w:sz w:val="24"/>
          <w:szCs w:val="24"/>
        </w:rPr>
        <w:t xml:space="preserve"> </w:t>
      </w:r>
      <w:r w:rsidRPr="00087AF4">
        <w:rPr>
          <w:color w:val="231F20"/>
          <w:sz w:val="24"/>
          <w:szCs w:val="24"/>
        </w:rPr>
        <w:t>2.1 percentage points when compared to 2019–20 recorded figures.</w:t>
      </w:r>
    </w:p>
    <w:p w14:paraId="5DB8CD4B" w14:textId="77777777" w:rsidR="00345EE3" w:rsidRPr="00087AF4" w:rsidRDefault="00345EE3" w:rsidP="00087AF4">
      <w:pPr>
        <w:pStyle w:val="BodyText"/>
        <w:spacing w:before="122" w:line="242" w:lineRule="auto"/>
        <w:ind w:left="142" w:right="921"/>
        <w:rPr>
          <w:sz w:val="24"/>
          <w:szCs w:val="24"/>
        </w:rPr>
      </w:pPr>
      <w:r w:rsidRPr="00087AF4">
        <w:rPr>
          <w:color w:val="231F20"/>
          <w:sz w:val="24"/>
          <w:szCs w:val="24"/>
        </w:rPr>
        <w:t>The</w:t>
      </w:r>
      <w:r w:rsidRPr="00087AF4">
        <w:rPr>
          <w:color w:val="231F20"/>
          <w:spacing w:val="-9"/>
          <w:sz w:val="24"/>
          <w:szCs w:val="24"/>
        </w:rPr>
        <w:t xml:space="preserve"> </w:t>
      </w:r>
      <w:r w:rsidRPr="00087AF4">
        <w:rPr>
          <w:color w:val="231F20"/>
          <w:sz w:val="24"/>
          <w:szCs w:val="24"/>
        </w:rPr>
        <w:t>percentage</w:t>
      </w:r>
      <w:r w:rsidRPr="00087AF4">
        <w:rPr>
          <w:color w:val="231F20"/>
          <w:spacing w:val="-9"/>
          <w:sz w:val="24"/>
          <w:szCs w:val="24"/>
        </w:rPr>
        <w:t xml:space="preserve"> </w:t>
      </w:r>
      <w:r w:rsidRPr="00087AF4">
        <w:rPr>
          <w:color w:val="231F20"/>
          <w:sz w:val="24"/>
          <w:szCs w:val="24"/>
        </w:rPr>
        <w:t>of</w:t>
      </w:r>
      <w:r w:rsidRPr="00087AF4">
        <w:rPr>
          <w:color w:val="231F20"/>
          <w:spacing w:val="-9"/>
          <w:sz w:val="24"/>
          <w:szCs w:val="24"/>
        </w:rPr>
        <w:t xml:space="preserve"> </w:t>
      </w:r>
      <w:r w:rsidRPr="00087AF4">
        <w:rPr>
          <w:color w:val="231F20"/>
          <w:sz w:val="24"/>
          <w:szCs w:val="24"/>
        </w:rPr>
        <w:t>Victorians</w:t>
      </w:r>
      <w:r w:rsidRPr="00087AF4">
        <w:rPr>
          <w:color w:val="231F20"/>
          <w:spacing w:val="-9"/>
          <w:sz w:val="24"/>
          <w:szCs w:val="24"/>
        </w:rPr>
        <w:t xml:space="preserve"> </w:t>
      </w:r>
      <w:r w:rsidRPr="00087AF4">
        <w:rPr>
          <w:color w:val="231F20"/>
          <w:sz w:val="24"/>
          <w:szCs w:val="24"/>
        </w:rPr>
        <w:t>surveyed</w:t>
      </w:r>
      <w:r w:rsidRPr="00087AF4">
        <w:rPr>
          <w:color w:val="231F20"/>
          <w:spacing w:val="-9"/>
          <w:sz w:val="24"/>
          <w:szCs w:val="24"/>
        </w:rPr>
        <w:t xml:space="preserve"> </w:t>
      </w:r>
      <w:r w:rsidRPr="00087AF4">
        <w:rPr>
          <w:color w:val="231F20"/>
          <w:sz w:val="24"/>
          <w:szCs w:val="24"/>
        </w:rPr>
        <w:t>who</w:t>
      </w:r>
      <w:r w:rsidRPr="00087AF4">
        <w:rPr>
          <w:color w:val="231F20"/>
          <w:spacing w:val="-9"/>
          <w:sz w:val="24"/>
          <w:szCs w:val="24"/>
        </w:rPr>
        <w:t xml:space="preserve"> </w:t>
      </w:r>
      <w:r w:rsidRPr="00087AF4">
        <w:rPr>
          <w:color w:val="231F20"/>
          <w:sz w:val="24"/>
          <w:szCs w:val="24"/>
        </w:rPr>
        <w:t>reported</w:t>
      </w:r>
      <w:r w:rsidRPr="00087AF4">
        <w:rPr>
          <w:color w:val="231F20"/>
          <w:spacing w:val="-9"/>
          <w:sz w:val="24"/>
          <w:szCs w:val="24"/>
        </w:rPr>
        <w:t xml:space="preserve"> </w:t>
      </w:r>
      <w:r w:rsidRPr="00087AF4">
        <w:rPr>
          <w:color w:val="231F20"/>
          <w:sz w:val="24"/>
          <w:szCs w:val="24"/>
        </w:rPr>
        <w:t>feeling</w:t>
      </w:r>
      <w:r w:rsidRPr="00087AF4">
        <w:rPr>
          <w:color w:val="231F20"/>
          <w:spacing w:val="-9"/>
          <w:sz w:val="24"/>
          <w:szCs w:val="24"/>
        </w:rPr>
        <w:t xml:space="preserve"> </w:t>
      </w:r>
      <w:r w:rsidRPr="00087AF4">
        <w:rPr>
          <w:color w:val="231F20"/>
          <w:sz w:val="24"/>
          <w:szCs w:val="24"/>
        </w:rPr>
        <w:t>‘safe’</w:t>
      </w:r>
      <w:r w:rsidRPr="00087AF4">
        <w:rPr>
          <w:color w:val="231F20"/>
          <w:spacing w:val="-9"/>
          <w:sz w:val="24"/>
          <w:szCs w:val="24"/>
        </w:rPr>
        <w:t xml:space="preserve"> </w:t>
      </w:r>
      <w:r w:rsidRPr="00087AF4">
        <w:rPr>
          <w:color w:val="231F20"/>
          <w:sz w:val="24"/>
          <w:szCs w:val="24"/>
        </w:rPr>
        <w:t>or</w:t>
      </w:r>
      <w:r w:rsidRPr="00087AF4">
        <w:rPr>
          <w:color w:val="231F20"/>
          <w:spacing w:val="-9"/>
          <w:sz w:val="24"/>
          <w:szCs w:val="24"/>
        </w:rPr>
        <w:t xml:space="preserve"> </w:t>
      </w:r>
      <w:r w:rsidRPr="00087AF4">
        <w:rPr>
          <w:color w:val="231F20"/>
          <w:sz w:val="24"/>
          <w:szCs w:val="24"/>
        </w:rPr>
        <w:t>‘very</w:t>
      </w:r>
      <w:r w:rsidRPr="00087AF4">
        <w:rPr>
          <w:color w:val="231F20"/>
          <w:spacing w:val="-9"/>
          <w:sz w:val="24"/>
          <w:szCs w:val="24"/>
        </w:rPr>
        <w:t xml:space="preserve"> </w:t>
      </w:r>
      <w:r w:rsidRPr="00087AF4">
        <w:rPr>
          <w:color w:val="231F20"/>
          <w:sz w:val="24"/>
          <w:szCs w:val="24"/>
        </w:rPr>
        <w:t>safe’</w:t>
      </w:r>
      <w:r w:rsidRPr="00087AF4">
        <w:rPr>
          <w:color w:val="231F20"/>
          <w:spacing w:val="-9"/>
          <w:sz w:val="24"/>
          <w:szCs w:val="24"/>
        </w:rPr>
        <w:t xml:space="preserve"> </w:t>
      </w:r>
      <w:r w:rsidRPr="00087AF4">
        <w:rPr>
          <w:color w:val="231F20"/>
          <w:sz w:val="24"/>
          <w:szCs w:val="24"/>
        </w:rPr>
        <w:t>shows</w:t>
      </w:r>
      <w:r w:rsidRPr="00087AF4">
        <w:rPr>
          <w:color w:val="231F20"/>
          <w:spacing w:val="-9"/>
          <w:sz w:val="24"/>
          <w:szCs w:val="24"/>
        </w:rPr>
        <w:t xml:space="preserve"> </w:t>
      </w:r>
      <w:r w:rsidRPr="00087AF4">
        <w:rPr>
          <w:color w:val="231F20"/>
          <w:sz w:val="24"/>
          <w:szCs w:val="24"/>
        </w:rPr>
        <w:t>an improvement in 2020–21 compared to the previous year for all measures.</w:t>
      </w:r>
    </w:p>
    <w:p w14:paraId="15A8AD3C" w14:textId="77777777" w:rsidR="00345EE3" w:rsidRDefault="00345EE3" w:rsidP="00345EE3">
      <w:pPr>
        <w:rPr>
          <w:b/>
          <w:bCs/>
          <w:color w:val="3D68AD"/>
          <w:sz w:val="28"/>
          <w:szCs w:val="28"/>
        </w:rPr>
      </w:pPr>
      <w:r>
        <w:rPr>
          <w:color w:val="3D68AD"/>
        </w:rPr>
        <w:br w:type="page"/>
      </w:r>
    </w:p>
    <w:p w14:paraId="030A9B5C" w14:textId="77777777" w:rsidR="00345EE3" w:rsidRPr="00087AF4" w:rsidRDefault="00345EE3" w:rsidP="002A27BA">
      <w:pPr>
        <w:pStyle w:val="Heading3"/>
        <w:ind w:left="142"/>
      </w:pPr>
      <w:r w:rsidRPr="00087AF4">
        <w:t>Community</w:t>
      </w:r>
      <w:r w:rsidRPr="00087AF4">
        <w:rPr>
          <w:spacing w:val="-4"/>
        </w:rPr>
        <w:t xml:space="preserve"> </w:t>
      </w:r>
      <w:r w:rsidRPr="00087AF4">
        <w:t>Safety</w:t>
      </w:r>
      <w:r w:rsidRPr="00087AF4">
        <w:rPr>
          <w:spacing w:val="-3"/>
        </w:rPr>
        <w:t xml:space="preserve"> </w:t>
      </w:r>
      <w:r w:rsidRPr="00087AF4">
        <w:t>on</w:t>
      </w:r>
      <w:r w:rsidRPr="00087AF4">
        <w:rPr>
          <w:spacing w:val="-2"/>
        </w:rPr>
        <w:t xml:space="preserve"> </w:t>
      </w:r>
      <w:r w:rsidRPr="00087AF4">
        <w:t>Public</w:t>
      </w:r>
      <w:r w:rsidRPr="00087AF4">
        <w:rPr>
          <w:spacing w:val="-3"/>
        </w:rPr>
        <w:t xml:space="preserve"> </w:t>
      </w:r>
      <w:r w:rsidRPr="00087AF4">
        <w:rPr>
          <w:spacing w:val="-2"/>
        </w:rPr>
        <w:t>Transport</w:t>
      </w:r>
    </w:p>
    <w:p w14:paraId="48F6D39D" w14:textId="77777777" w:rsidR="00345EE3" w:rsidRPr="00087AF4" w:rsidRDefault="00345EE3" w:rsidP="00087AF4">
      <w:pPr>
        <w:pStyle w:val="BodyText"/>
        <w:spacing w:before="52" w:line="242" w:lineRule="auto"/>
        <w:ind w:left="142" w:right="929"/>
        <w:jc w:val="both"/>
        <w:rPr>
          <w:sz w:val="24"/>
          <w:szCs w:val="24"/>
        </w:rPr>
      </w:pPr>
      <w:r w:rsidRPr="00087AF4">
        <w:rPr>
          <w:color w:val="231F20"/>
          <w:sz w:val="24"/>
          <w:szCs w:val="24"/>
        </w:rPr>
        <w:t>The</w:t>
      </w:r>
      <w:r w:rsidRPr="00087AF4">
        <w:rPr>
          <w:color w:val="231F20"/>
          <w:spacing w:val="-9"/>
          <w:sz w:val="24"/>
          <w:szCs w:val="24"/>
        </w:rPr>
        <w:t xml:space="preserve"> </w:t>
      </w:r>
      <w:r w:rsidRPr="00087AF4">
        <w:rPr>
          <w:color w:val="231F20"/>
          <w:sz w:val="24"/>
          <w:szCs w:val="24"/>
        </w:rPr>
        <w:t>‘Community</w:t>
      </w:r>
      <w:r w:rsidRPr="00087AF4">
        <w:rPr>
          <w:color w:val="231F20"/>
          <w:spacing w:val="-8"/>
          <w:sz w:val="24"/>
          <w:szCs w:val="24"/>
        </w:rPr>
        <w:t xml:space="preserve"> </w:t>
      </w:r>
      <w:r w:rsidRPr="00087AF4">
        <w:rPr>
          <w:color w:val="231F20"/>
          <w:sz w:val="24"/>
          <w:szCs w:val="24"/>
        </w:rPr>
        <w:t>Safety</w:t>
      </w:r>
      <w:r w:rsidRPr="00087AF4">
        <w:rPr>
          <w:color w:val="231F20"/>
          <w:spacing w:val="-8"/>
          <w:sz w:val="24"/>
          <w:szCs w:val="24"/>
        </w:rPr>
        <w:t xml:space="preserve"> </w:t>
      </w:r>
      <w:r w:rsidRPr="00087AF4">
        <w:rPr>
          <w:color w:val="231F20"/>
          <w:sz w:val="24"/>
          <w:szCs w:val="24"/>
        </w:rPr>
        <w:t>on</w:t>
      </w:r>
      <w:r w:rsidRPr="00087AF4">
        <w:rPr>
          <w:color w:val="231F20"/>
          <w:spacing w:val="-9"/>
          <w:sz w:val="24"/>
          <w:szCs w:val="24"/>
        </w:rPr>
        <w:t xml:space="preserve"> </w:t>
      </w:r>
      <w:r w:rsidRPr="00087AF4">
        <w:rPr>
          <w:color w:val="231F20"/>
          <w:sz w:val="24"/>
          <w:szCs w:val="24"/>
        </w:rPr>
        <w:t>Public</w:t>
      </w:r>
      <w:r w:rsidRPr="00087AF4">
        <w:rPr>
          <w:color w:val="231F20"/>
          <w:spacing w:val="-8"/>
          <w:sz w:val="24"/>
          <w:szCs w:val="24"/>
        </w:rPr>
        <w:t xml:space="preserve"> </w:t>
      </w:r>
      <w:r w:rsidRPr="00087AF4">
        <w:rPr>
          <w:color w:val="231F20"/>
          <w:sz w:val="24"/>
          <w:szCs w:val="24"/>
        </w:rPr>
        <w:t>Transport’</w:t>
      </w:r>
      <w:r w:rsidRPr="00087AF4">
        <w:rPr>
          <w:color w:val="231F20"/>
          <w:spacing w:val="-9"/>
          <w:sz w:val="24"/>
          <w:szCs w:val="24"/>
        </w:rPr>
        <w:t xml:space="preserve"> </w:t>
      </w:r>
      <w:r w:rsidRPr="00087AF4">
        <w:rPr>
          <w:color w:val="231F20"/>
          <w:sz w:val="24"/>
          <w:szCs w:val="24"/>
        </w:rPr>
        <w:t>indicator</w:t>
      </w:r>
      <w:r w:rsidRPr="00087AF4">
        <w:rPr>
          <w:color w:val="231F20"/>
          <w:spacing w:val="-8"/>
          <w:sz w:val="24"/>
          <w:szCs w:val="24"/>
        </w:rPr>
        <w:t xml:space="preserve"> </w:t>
      </w:r>
      <w:r w:rsidRPr="00087AF4">
        <w:rPr>
          <w:color w:val="231F20"/>
          <w:sz w:val="24"/>
          <w:szCs w:val="24"/>
        </w:rPr>
        <w:t>reflects</w:t>
      </w:r>
      <w:r w:rsidRPr="00087AF4">
        <w:rPr>
          <w:color w:val="231F20"/>
          <w:spacing w:val="-8"/>
          <w:sz w:val="24"/>
          <w:szCs w:val="24"/>
        </w:rPr>
        <w:t xml:space="preserve"> </w:t>
      </w:r>
      <w:r w:rsidRPr="00087AF4">
        <w:rPr>
          <w:color w:val="231F20"/>
          <w:sz w:val="24"/>
          <w:szCs w:val="24"/>
        </w:rPr>
        <w:t>Victoria</w:t>
      </w:r>
      <w:r w:rsidRPr="00087AF4">
        <w:rPr>
          <w:color w:val="231F20"/>
          <w:spacing w:val="-9"/>
          <w:sz w:val="24"/>
          <w:szCs w:val="24"/>
        </w:rPr>
        <w:t xml:space="preserve"> </w:t>
      </w:r>
      <w:r w:rsidRPr="00087AF4">
        <w:rPr>
          <w:color w:val="231F20"/>
          <w:sz w:val="24"/>
          <w:szCs w:val="24"/>
        </w:rPr>
        <w:t>Police’s</w:t>
      </w:r>
      <w:r w:rsidRPr="00087AF4">
        <w:rPr>
          <w:color w:val="231F20"/>
          <w:spacing w:val="-8"/>
          <w:sz w:val="24"/>
          <w:szCs w:val="24"/>
        </w:rPr>
        <w:t xml:space="preserve"> </w:t>
      </w:r>
      <w:r w:rsidRPr="00087AF4">
        <w:rPr>
          <w:color w:val="231F20"/>
          <w:sz w:val="24"/>
          <w:szCs w:val="24"/>
        </w:rPr>
        <w:t>efforts</w:t>
      </w:r>
      <w:r w:rsidRPr="00087AF4">
        <w:rPr>
          <w:color w:val="231F20"/>
          <w:spacing w:val="-8"/>
          <w:sz w:val="24"/>
          <w:szCs w:val="24"/>
        </w:rPr>
        <w:t xml:space="preserve"> </w:t>
      </w:r>
      <w:r w:rsidRPr="00087AF4">
        <w:rPr>
          <w:color w:val="231F20"/>
          <w:sz w:val="24"/>
          <w:szCs w:val="24"/>
        </w:rPr>
        <w:t>to</w:t>
      </w:r>
      <w:r w:rsidRPr="00087AF4">
        <w:rPr>
          <w:color w:val="231F20"/>
          <w:spacing w:val="-9"/>
          <w:sz w:val="24"/>
          <w:szCs w:val="24"/>
        </w:rPr>
        <w:t xml:space="preserve"> </w:t>
      </w:r>
      <w:r w:rsidRPr="00087AF4">
        <w:rPr>
          <w:color w:val="231F20"/>
          <w:sz w:val="24"/>
          <w:szCs w:val="24"/>
        </w:rPr>
        <w:t>improve safety</w:t>
      </w:r>
      <w:r w:rsidRPr="00087AF4">
        <w:rPr>
          <w:color w:val="231F20"/>
          <w:spacing w:val="-9"/>
          <w:sz w:val="24"/>
          <w:szCs w:val="24"/>
        </w:rPr>
        <w:t xml:space="preserve"> </w:t>
      </w:r>
      <w:r w:rsidRPr="00087AF4">
        <w:rPr>
          <w:color w:val="231F20"/>
          <w:sz w:val="24"/>
          <w:szCs w:val="24"/>
        </w:rPr>
        <w:t>and</w:t>
      </w:r>
      <w:r w:rsidRPr="00087AF4">
        <w:rPr>
          <w:color w:val="231F20"/>
          <w:spacing w:val="-9"/>
          <w:sz w:val="24"/>
          <w:szCs w:val="24"/>
        </w:rPr>
        <w:t xml:space="preserve"> </w:t>
      </w:r>
      <w:r w:rsidRPr="00087AF4">
        <w:rPr>
          <w:color w:val="231F20"/>
          <w:sz w:val="24"/>
          <w:szCs w:val="24"/>
        </w:rPr>
        <w:t>provide</w:t>
      </w:r>
      <w:r w:rsidRPr="00087AF4">
        <w:rPr>
          <w:color w:val="231F20"/>
          <w:spacing w:val="-9"/>
          <w:sz w:val="24"/>
          <w:szCs w:val="24"/>
        </w:rPr>
        <w:t xml:space="preserve"> </w:t>
      </w:r>
      <w:r w:rsidRPr="00087AF4">
        <w:rPr>
          <w:color w:val="231F20"/>
          <w:sz w:val="24"/>
          <w:szCs w:val="24"/>
        </w:rPr>
        <w:t>a</w:t>
      </w:r>
      <w:r w:rsidRPr="00087AF4">
        <w:rPr>
          <w:color w:val="231F20"/>
          <w:spacing w:val="-9"/>
          <w:sz w:val="24"/>
          <w:szCs w:val="24"/>
        </w:rPr>
        <w:t xml:space="preserve"> </w:t>
      </w:r>
      <w:r w:rsidRPr="00087AF4">
        <w:rPr>
          <w:color w:val="231F20"/>
          <w:sz w:val="24"/>
          <w:szCs w:val="24"/>
        </w:rPr>
        <w:t>secure</w:t>
      </w:r>
      <w:r w:rsidRPr="00087AF4">
        <w:rPr>
          <w:color w:val="231F20"/>
          <w:spacing w:val="-9"/>
          <w:sz w:val="24"/>
          <w:szCs w:val="24"/>
        </w:rPr>
        <w:t xml:space="preserve"> </w:t>
      </w:r>
      <w:r w:rsidRPr="00087AF4">
        <w:rPr>
          <w:color w:val="231F20"/>
          <w:sz w:val="24"/>
          <w:szCs w:val="24"/>
        </w:rPr>
        <w:t>environment</w:t>
      </w:r>
      <w:r w:rsidRPr="00087AF4">
        <w:rPr>
          <w:color w:val="231F20"/>
          <w:spacing w:val="-9"/>
          <w:sz w:val="24"/>
          <w:szCs w:val="24"/>
        </w:rPr>
        <w:t xml:space="preserve"> </w:t>
      </w:r>
      <w:r w:rsidRPr="00087AF4">
        <w:rPr>
          <w:color w:val="231F20"/>
          <w:sz w:val="24"/>
          <w:szCs w:val="24"/>
        </w:rPr>
        <w:t>for</w:t>
      </w:r>
      <w:r w:rsidRPr="00087AF4">
        <w:rPr>
          <w:color w:val="231F20"/>
          <w:spacing w:val="-9"/>
          <w:sz w:val="24"/>
          <w:szCs w:val="24"/>
        </w:rPr>
        <w:t xml:space="preserve"> </w:t>
      </w:r>
      <w:r w:rsidRPr="00087AF4">
        <w:rPr>
          <w:color w:val="231F20"/>
          <w:sz w:val="24"/>
          <w:szCs w:val="24"/>
        </w:rPr>
        <w:t>the</w:t>
      </w:r>
      <w:r w:rsidRPr="00087AF4">
        <w:rPr>
          <w:color w:val="231F20"/>
          <w:spacing w:val="-9"/>
          <w:sz w:val="24"/>
          <w:szCs w:val="24"/>
        </w:rPr>
        <w:t xml:space="preserve"> </w:t>
      </w:r>
      <w:r w:rsidRPr="00087AF4">
        <w:rPr>
          <w:color w:val="231F20"/>
          <w:sz w:val="24"/>
          <w:szCs w:val="24"/>
        </w:rPr>
        <w:t>community</w:t>
      </w:r>
      <w:r w:rsidRPr="00087AF4">
        <w:rPr>
          <w:color w:val="231F20"/>
          <w:spacing w:val="-9"/>
          <w:sz w:val="24"/>
          <w:szCs w:val="24"/>
        </w:rPr>
        <w:t xml:space="preserve"> </w:t>
      </w:r>
      <w:r w:rsidRPr="00087AF4">
        <w:rPr>
          <w:color w:val="231F20"/>
          <w:sz w:val="24"/>
          <w:szCs w:val="24"/>
        </w:rPr>
        <w:t>by</w:t>
      </w:r>
      <w:r w:rsidRPr="00087AF4">
        <w:rPr>
          <w:color w:val="231F20"/>
          <w:spacing w:val="-9"/>
          <w:sz w:val="24"/>
          <w:szCs w:val="24"/>
        </w:rPr>
        <w:t xml:space="preserve"> </w:t>
      </w:r>
      <w:r w:rsidRPr="00087AF4">
        <w:rPr>
          <w:color w:val="231F20"/>
          <w:sz w:val="24"/>
          <w:szCs w:val="24"/>
        </w:rPr>
        <w:t>measuring</w:t>
      </w:r>
      <w:r w:rsidRPr="00087AF4">
        <w:rPr>
          <w:color w:val="231F20"/>
          <w:spacing w:val="-9"/>
          <w:sz w:val="24"/>
          <w:szCs w:val="24"/>
        </w:rPr>
        <w:t xml:space="preserve"> </w:t>
      </w:r>
      <w:r w:rsidRPr="00087AF4">
        <w:rPr>
          <w:color w:val="231F20"/>
          <w:sz w:val="24"/>
          <w:szCs w:val="24"/>
        </w:rPr>
        <w:t>the</w:t>
      </w:r>
      <w:r w:rsidRPr="00087AF4">
        <w:rPr>
          <w:color w:val="231F20"/>
          <w:spacing w:val="-9"/>
          <w:sz w:val="24"/>
          <w:szCs w:val="24"/>
        </w:rPr>
        <w:t xml:space="preserve"> </w:t>
      </w:r>
      <w:r w:rsidRPr="00087AF4">
        <w:rPr>
          <w:color w:val="231F20"/>
          <w:sz w:val="24"/>
          <w:szCs w:val="24"/>
        </w:rPr>
        <w:t>level</w:t>
      </w:r>
      <w:r w:rsidRPr="00087AF4">
        <w:rPr>
          <w:color w:val="231F20"/>
          <w:spacing w:val="-9"/>
          <w:sz w:val="24"/>
          <w:szCs w:val="24"/>
        </w:rPr>
        <w:t xml:space="preserve"> </w:t>
      </w:r>
      <w:r w:rsidRPr="00087AF4">
        <w:rPr>
          <w:color w:val="231F20"/>
          <w:sz w:val="24"/>
          <w:szCs w:val="24"/>
        </w:rPr>
        <w:t>of</w:t>
      </w:r>
      <w:r w:rsidRPr="00087AF4">
        <w:rPr>
          <w:color w:val="231F20"/>
          <w:spacing w:val="-9"/>
          <w:sz w:val="24"/>
          <w:szCs w:val="24"/>
        </w:rPr>
        <w:t xml:space="preserve"> </w:t>
      </w:r>
      <w:r w:rsidRPr="00087AF4">
        <w:rPr>
          <w:color w:val="231F20"/>
          <w:sz w:val="24"/>
          <w:szCs w:val="24"/>
        </w:rPr>
        <w:t>safety</w:t>
      </w:r>
      <w:r w:rsidRPr="00087AF4">
        <w:rPr>
          <w:color w:val="231F20"/>
          <w:spacing w:val="-9"/>
          <w:sz w:val="24"/>
          <w:szCs w:val="24"/>
        </w:rPr>
        <w:t xml:space="preserve"> </w:t>
      </w:r>
      <w:r w:rsidRPr="00087AF4">
        <w:rPr>
          <w:color w:val="231F20"/>
          <w:sz w:val="24"/>
          <w:szCs w:val="24"/>
        </w:rPr>
        <w:t>that survey respondents (as a sample of Victorians) feel on public transport.</w:t>
      </w:r>
    </w:p>
    <w:p w14:paraId="40211AE9" w14:textId="77777777" w:rsidR="00345EE3" w:rsidRDefault="00345EE3" w:rsidP="00345EE3">
      <w:pPr>
        <w:spacing w:before="124" w:after="120"/>
        <w:ind w:left="110"/>
        <w:jc w:val="both"/>
        <w:rPr>
          <w:sz w:val="10"/>
        </w:rPr>
      </w:pPr>
      <w:r>
        <w:rPr>
          <w:color w:val="231F20"/>
          <w:sz w:val="18"/>
        </w:rPr>
        <w:t>Table</w:t>
      </w:r>
      <w:r>
        <w:rPr>
          <w:color w:val="231F20"/>
          <w:spacing w:val="-9"/>
          <w:sz w:val="18"/>
        </w:rPr>
        <w:t xml:space="preserve"> </w:t>
      </w:r>
      <w:r>
        <w:rPr>
          <w:color w:val="231F20"/>
          <w:sz w:val="18"/>
        </w:rPr>
        <w:t>3.3:</w:t>
      </w:r>
      <w:r>
        <w:rPr>
          <w:color w:val="231F20"/>
          <w:spacing w:val="-7"/>
          <w:sz w:val="18"/>
        </w:rPr>
        <w:t xml:space="preserve"> </w:t>
      </w:r>
      <w:r>
        <w:rPr>
          <w:rFonts w:ascii="Arial-BoldItalicMT"/>
          <w:b/>
          <w:i/>
          <w:color w:val="231F20"/>
          <w:sz w:val="18"/>
        </w:rPr>
        <w:t>Community</w:t>
      </w:r>
      <w:r>
        <w:rPr>
          <w:rFonts w:ascii="Arial-BoldItalicMT"/>
          <w:b/>
          <w:i/>
          <w:color w:val="231F20"/>
          <w:spacing w:val="-10"/>
          <w:sz w:val="18"/>
        </w:rPr>
        <w:t xml:space="preserve"> </w:t>
      </w:r>
      <w:r>
        <w:rPr>
          <w:rFonts w:ascii="Arial-BoldItalicMT"/>
          <w:b/>
          <w:i/>
          <w:color w:val="231F20"/>
          <w:sz w:val="18"/>
        </w:rPr>
        <w:t>Safety</w:t>
      </w:r>
      <w:r>
        <w:rPr>
          <w:rFonts w:ascii="Arial-BoldItalicMT"/>
          <w:b/>
          <w:i/>
          <w:color w:val="231F20"/>
          <w:spacing w:val="-10"/>
          <w:sz w:val="18"/>
        </w:rPr>
        <w:t xml:space="preserve"> </w:t>
      </w:r>
      <w:r>
        <w:rPr>
          <w:rFonts w:ascii="Arial-BoldItalicMT"/>
          <w:b/>
          <w:i/>
          <w:color w:val="231F20"/>
          <w:sz w:val="18"/>
        </w:rPr>
        <w:t>on</w:t>
      </w:r>
      <w:r>
        <w:rPr>
          <w:rFonts w:ascii="Arial-BoldItalicMT"/>
          <w:b/>
          <w:i/>
          <w:color w:val="231F20"/>
          <w:spacing w:val="-9"/>
          <w:sz w:val="18"/>
        </w:rPr>
        <w:t xml:space="preserve"> </w:t>
      </w:r>
      <w:r>
        <w:rPr>
          <w:rFonts w:ascii="Arial-BoldItalicMT"/>
          <w:b/>
          <w:i/>
          <w:color w:val="231F20"/>
          <w:sz w:val="18"/>
        </w:rPr>
        <w:t>Public</w:t>
      </w:r>
      <w:r>
        <w:rPr>
          <w:rFonts w:ascii="Arial-BoldItalicMT"/>
          <w:b/>
          <w:i/>
          <w:color w:val="231F20"/>
          <w:spacing w:val="-10"/>
          <w:sz w:val="18"/>
        </w:rPr>
        <w:t xml:space="preserve"> </w:t>
      </w:r>
      <w:r>
        <w:rPr>
          <w:rFonts w:ascii="Arial-BoldItalicMT"/>
          <w:b/>
          <w:i/>
          <w:color w:val="231F20"/>
          <w:sz w:val="18"/>
        </w:rPr>
        <w:t>Transport</w:t>
      </w:r>
      <w:r>
        <w:rPr>
          <w:rFonts w:ascii="Arial-BoldItalicMT"/>
          <w:b/>
          <w:i/>
          <w:color w:val="231F20"/>
          <w:spacing w:val="-9"/>
          <w:sz w:val="18"/>
        </w:rPr>
        <w:t xml:space="preserve"> </w:t>
      </w:r>
      <w:r>
        <w:rPr>
          <w:color w:val="231F20"/>
          <w:spacing w:val="-10"/>
          <w:position w:val="6"/>
          <w:sz w:val="10"/>
        </w:rPr>
        <w:t>1</w:t>
      </w:r>
    </w:p>
    <w:tbl>
      <w:tblPr>
        <w:tblW w:w="0" w:type="auto"/>
        <w:tblInd w:w="156" w:type="dxa"/>
        <w:tblLayout w:type="fixed"/>
        <w:tblCellMar>
          <w:left w:w="0" w:type="dxa"/>
          <w:right w:w="0" w:type="dxa"/>
        </w:tblCellMar>
        <w:tblLook w:val="0000" w:firstRow="0" w:lastRow="0" w:firstColumn="0" w:lastColumn="0" w:noHBand="0" w:noVBand="0"/>
      </w:tblPr>
      <w:tblGrid>
        <w:gridCol w:w="3033"/>
        <w:gridCol w:w="936"/>
        <w:gridCol w:w="935"/>
        <w:gridCol w:w="935"/>
        <w:gridCol w:w="936"/>
        <w:gridCol w:w="935"/>
        <w:gridCol w:w="1247"/>
        <w:gridCol w:w="1248"/>
      </w:tblGrid>
      <w:tr w:rsidR="00345EE3" w:rsidRPr="00F449ED" w14:paraId="073088E9" w14:textId="77777777" w:rsidTr="00D73130">
        <w:trPr>
          <w:trHeight w:val="60"/>
        </w:trPr>
        <w:tc>
          <w:tcPr>
            <w:tcW w:w="303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1122433"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449ED">
              <w:rPr>
                <w:rFonts w:eastAsiaTheme="minorHAnsi"/>
                <w:b/>
                <w:bCs/>
                <w:color w:val="FFFFFF"/>
                <w:sz w:val="24"/>
                <w:szCs w:val="24"/>
                <w:lang w:val="en-GB"/>
              </w:rPr>
              <w:t>Indicator</w:t>
            </w:r>
          </w:p>
        </w:tc>
        <w:tc>
          <w:tcPr>
            <w:tcW w:w="936"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003A44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2016–17</w:t>
            </w:r>
            <w:r w:rsidRPr="00F449ED">
              <w:rPr>
                <w:rFonts w:eastAsiaTheme="minorHAnsi"/>
                <w:b/>
                <w:bCs/>
                <w:color w:val="FFFFFF"/>
                <w:spacing w:val="-2"/>
                <w:sz w:val="24"/>
                <w:szCs w:val="24"/>
                <w:lang w:val="en-GB"/>
              </w:rPr>
              <w:br/>
              <w:t>%</w:t>
            </w:r>
          </w:p>
        </w:tc>
        <w:tc>
          <w:tcPr>
            <w:tcW w:w="935"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6C1F2E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2017–18</w:t>
            </w:r>
            <w:r w:rsidRPr="00F449ED">
              <w:rPr>
                <w:rFonts w:eastAsiaTheme="minorHAnsi"/>
                <w:b/>
                <w:bCs/>
                <w:color w:val="FFFFFF"/>
                <w:spacing w:val="-2"/>
                <w:sz w:val="24"/>
                <w:szCs w:val="24"/>
                <w:lang w:val="en-GB"/>
              </w:rPr>
              <w:br/>
              <w:t>%</w:t>
            </w:r>
          </w:p>
        </w:tc>
        <w:tc>
          <w:tcPr>
            <w:tcW w:w="935"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990BA8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2018–19</w:t>
            </w:r>
            <w:r w:rsidRPr="00F449ED">
              <w:rPr>
                <w:rFonts w:eastAsiaTheme="minorHAnsi"/>
                <w:b/>
                <w:bCs/>
                <w:color w:val="FFFFFF"/>
                <w:spacing w:val="-2"/>
                <w:sz w:val="24"/>
                <w:szCs w:val="24"/>
                <w:lang w:val="en-GB"/>
              </w:rPr>
              <w:br/>
              <w:t>%</w:t>
            </w:r>
          </w:p>
        </w:tc>
        <w:tc>
          <w:tcPr>
            <w:tcW w:w="936"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05167E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2019–20</w:t>
            </w:r>
            <w:r w:rsidRPr="00F449ED">
              <w:rPr>
                <w:rFonts w:eastAsiaTheme="minorHAnsi"/>
                <w:b/>
                <w:bCs/>
                <w:color w:val="FFFFFF"/>
                <w:spacing w:val="-2"/>
                <w:sz w:val="24"/>
                <w:szCs w:val="24"/>
                <w:lang w:val="en-GB"/>
              </w:rPr>
              <w:br/>
              <w:t>%</w:t>
            </w:r>
          </w:p>
        </w:tc>
        <w:tc>
          <w:tcPr>
            <w:tcW w:w="935"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E0BB0A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2020–21</w:t>
            </w:r>
            <w:r w:rsidRPr="00F449ED">
              <w:rPr>
                <w:rFonts w:eastAsiaTheme="minorHAnsi"/>
                <w:b/>
                <w:bCs/>
                <w:color w:val="FFFFFF"/>
                <w:spacing w:val="-2"/>
                <w:sz w:val="24"/>
                <w:szCs w:val="24"/>
                <w:lang w:val="en-GB"/>
              </w:rPr>
              <w:br/>
              <w:t>%</w:t>
            </w:r>
          </w:p>
        </w:tc>
        <w:tc>
          <w:tcPr>
            <w:tcW w:w="1247"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183F4A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Change from 2019–20 to 2020–21</w:t>
            </w:r>
          </w:p>
        </w:tc>
        <w:tc>
          <w:tcPr>
            <w:tcW w:w="1248"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2E4E26B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Change over 5 years</w:t>
            </w:r>
          </w:p>
        </w:tc>
      </w:tr>
      <w:tr w:rsidR="00345EE3" w:rsidRPr="00F449ED" w14:paraId="3B51BCA4" w14:textId="77777777" w:rsidTr="00D73130">
        <w:trPr>
          <w:trHeight w:val="60"/>
        </w:trPr>
        <w:tc>
          <w:tcPr>
            <w:tcW w:w="3033" w:type="dxa"/>
            <w:tcBorders>
              <w:top w:val="single" w:sz="6"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C01163A"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Travelling alone on public transport during the day*</w:t>
            </w:r>
          </w:p>
        </w:tc>
        <w:tc>
          <w:tcPr>
            <w:tcW w:w="936"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0BEA92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58.5</w:t>
            </w:r>
          </w:p>
        </w:tc>
        <w:tc>
          <w:tcPr>
            <w:tcW w:w="935"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6B2CC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67.1</w:t>
            </w:r>
          </w:p>
        </w:tc>
        <w:tc>
          <w:tcPr>
            <w:tcW w:w="935"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A1CDA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68.5</w:t>
            </w:r>
          </w:p>
        </w:tc>
        <w:tc>
          <w:tcPr>
            <w:tcW w:w="936"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5C1CB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68.4</w:t>
            </w:r>
          </w:p>
        </w:tc>
        <w:tc>
          <w:tcPr>
            <w:tcW w:w="935"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5C720F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66.8</w:t>
            </w:r>
          </w:p>
        </w:tc>
        <w:tc>
          <w:tcPr>
            <w:tcW w:w="1247"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47881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-1.6</w:t>
            </w:r>
          </w:p>
        </w:tc>
        <w:tc>
          <w:tcPr>
            <w:tcW w:w="1248" w:type="dxa"/>
            <w:tcBorders>
              <w:top w:val="single" w:sz="6" w:space="0" w:color="auto"/>
              <w:left w:val="single" w:sz="2" w:space="0" w:color="9D9C9C"/>
              <w:bottom w:val="single" w:sz="2" w:space="0" w:color="9D9C9C"/>
              <w:right w:val="single" w:sz="6" w:space="0" w:color="9D9C9C"/>
            </w:tcBorders>
            <w:tcMar>
              <w:top w:w="113" w:type="dxa"/>
              <w:left w:w="14" w:type="dxa"/>
              <w:bottom w:w="113" w:type="dxa"/>
              <w:right w:w="14" w:type="dxa"/>
            </w:tcMar>
          </w:tcPr>
          <w:p w14:paraId="1A3D437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+8.3</w:t>
            </w:r>
          </w:p>
        </w:tc>
      </w:tr>
      <w:tr w:rsidR="00345EE3" w:rsidRPr="00F449ED" w14:paraId="65A13990" w14:textId="77777777" w:rsidTr="00D73130">
        <w:trPr>
          <w:trHeight w:val="60"/>
        </w:trPr>
        <w:tc>
          <w:tcPr>
            <w:tcW w:w="30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9BEB0F3"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Travelling alone on public transport at night</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973E2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23.3</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38633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31.3</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A440BC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32.3</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F84AB5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32.6</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AEA8A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31.6</w:t>
            </w:r>
          </w:p>
        </w:tc>
        <w:tc>
          <w:tcPr>
            <w:tcW w:w="124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A88423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-1.0</w:t>
            </w:r>
          </w:p>
        </w:tc>
        <w:tc>
          <w:tcPr>
            <w:tcW w:w="1248"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86213DF"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+8.3</w:t>
            </w:r>
          </w:p>
        </w:tc>
      </w:tr>
    </w:tbl>
    <w:p w14:paraId="752A2459" w14:textId="77777777" w:rsidR="00345EE3" w:rsidRPr="003E6588" w:rsidRDefault="00345EE3" w:rsidP="00345EE3">
      <w:pPr>
        <w:spacing w:before="75"/>
        <w:ind w:left="284" w:hanging="174"/>
        <w:rPr>
          <w:sz w:val="18"/>
          <w:szCs w:val="18"/>
        </w:rPr>
      </w:pPr>
      <w:r w:rsidRPr="003E6588">
        <w:rPr>
          <w:color w:val="231F20"/>
          <w:sz w:val="18"/>
          <w:szCs w:val="18"/>
        </w:rPr>
        <w:t>1</w:t>
      </w:r>
      <w:r w:rsidRPr="003E6588">
        <w:rPr>
          <w:color w:val="231F20"/>
          <w:spacing w:val="38"/>
          <w:sz w:val="18"/>
          <w:szCs w:val="18"/>
        </w:rPr>
        <w:t xml:space="preserve"> </w:t>
      </w:r>
      <w:r w:rsidRPr="003E6588">
        <w:rPr>
          <w:color w:val="231F20"/>
          <w:sz w:val="18"/>
          <w:szCs w:val="18"/>
        </w:rPr>
        <w:t>Metrics</w:t>
      </w:r>
      <w:r w:rsidRPr="003E6588">
        <w:rPr>
          <w:color w:val="231F20"/>
          <w:spacing w:val="-1"/>
          <w:sz w:val="18"/>
          <w:szCs w:val="18"/>
        </w:rPr>
        <w:t xml:space="preserve"> </w:t>
      </w:r>
      <w:r w:rsidRPr="003E6588">
        <w:rPr>
          <w:color w:val="231F20"/>
          <w:sz w:val="18"/>
          <w:szCs w:val="18"/>
        </w:rPr>
        <w:t>relating</w:t>
      </w:r>
      <w:r w:rsidRPr="003E6588">
        <w:rPr>
          <w:color w:val="231F20"/>
          <w:spacing w:val="-1"/>
          <w:sz w:val="18"/>
          <w:szCs w:val="18"/>
        </w:rPr>
        <w:t xml:space="preserve"> </w:t>
      </w:r>
      <w:r w:rsidRPr="003E6588">
        <w:rPr>
          <w:color w:val="231F20"/>
          <w:sz w:val="18"/>
          <w:szCs w:val="18"/>
        </w:rPr>
        <w:t>to</w:t>
      </w:r>
      <w:r w:rsidRPr="003E6588">
        <w:rPr>
          <w:color w:val="231F20"/>
          <w:spacing w:val="-1"/>
          <w:sz w:val="18"/>
          <w:szCs w:val="18"/>
        </w:rPr>
        <w:t xml:space="preserve"> </w:t>
      </w:r>
      <w:r w:rsidRPr="003E6588">
        <w:rPr>
          <w:color w:val="231F20"/>
          <w:sz w:val="18"/>
          <w:szCs w:val="18"/>
        </w:rPr>
        <w:t>community</w:t>
      </w:r>
      <w:r w:rsidRPr="003E6588">
        <w:rPr>
          <w:color w:val="231F20"/>
          <w:spacing w:val="-1"/>
          <w:sz w:val="18"/>
          <w:szCs w:val="18"/>
        </w:rPr>
        <w:t xml:space="preserve"> </w:t>
      </w:r>
      <w:r w:rsidRPr="003E6588">
        <w:rPr>
          <w:color w:val="231F20"/>
          <w:sz w:val="18"/>
          <w:szCs w:val="18"/>
        </w:rPr>
        <w:t>safety</w:t>
      </w:r>
      <w:r w:rsidRPr="003E6588">
        <w:rPr>
          <w:color w:val="231F20"/>
          <w:spacing w:val="-2"/>
          <w:sz w:val="18"/>
          <w:szCs w:val="18"/>
        </w:rPr>
        <w:t xml:space="preserve"> </w:t>
      </w:r>
      <w:r w:rsidRPr="003E6588">
        <w:rPr>
          <w:color w:val="231F20"/>
          <w:sz w:val="18"/>
          <w:szCs w:val="18"/>
        </w:rPr>
        <w:t>on</w:t>
      </w:r>
      <w:r w:rsidRPr="003E6588">
        <w:rPr>
          <w:color w:val="231F20"/>
          <w:spacing w:val="-1"/>
          <w:sz w:val="18"/>
          <w:szCs w:val="18"/>
        </w:rPr>
        <w:t xml:space="preserve"> </w:t>
      </w:r>
      <w:r w:rsidRPr="003E6588">
        <w:rPr>
          <w:color w:val="231F20"/>
          <w:sz w:val="18"/>
          <w:szCs w:val="18"/>
        </w:rPr>
        <w:t>public</w:t>
      </w:r>
      <w:r w:rsidRPr="003E6588">
        <w:rPr>
          <w:color w:val="231F20"/>
          <w:spacing w:val="-1"/>
          <w:sz w:val="18"/>
          <w:szCs w:val="18"/>
        </w:rPr>
        <w:t xml:space="preserve"> </w:t>
      </w:r>
      <w:r w:rsidRPr="003E6588">
        <w:rPr>
          <w:color w:val="231F20"/>
          <w:sz w:val="18"/>
          <w:szCs w:val="18"/>
        </w:rPr>
        <w:t>transport</w:t>
      </w:r>
      <w:r w:rsidRPr="003E6588">
        <w:rPr>
          <w:color w:val="231F20"/>
          <w:spacing w:val="-1"/>
          <w:sz w:val="18"/>
          <w:szCs w:val="18"/>
        </w:rPr>
        <w:t xml:space="preserve"> </w:t>
      </w:r>
      <w:r w:rsidRPr="003E6588">
        <w:rPr>
          <w:color w:val="231F20"/>
          <w:sz w:val="18"/>
          <w:szCs w:val="18"/>
        </w:rPr>
        <w:t>have</w:t>
      </w:r>
      <w:r w:rsidRPr="003E6588">
        <w:rPr>
          <w:color w:val="231F20"/>
          <w:spacing w:val="-2"/>
          <w:sz w:val="18"/>
          <w:szCs w:val="18"/>
        </w:rPr>
        <w:t xml:space="preserve"> </w:t>
      </w:r>
      <w:r w:rsidRPr="003E6588">
        <w:rPr>
          <w:color w:val="231F20"/>
          <w:sz w:val="18"/>
          <w:szCs w:val="18"/>
        </w:rPr>
        <w:t>been</w:t>
      </w:r>
      <w:r w:rsidRPr="003E6588">
        <w:rPr>
          <w:color w:val="231F20"/>
          <w:spacing w:val="-1"/>
          <w:sz w:val="18"/>
          <w:szCs w:val="18"/>
        </w:rPr>
        <w:t xml:space="preserve"> </w:t>
      </w:r>
      <w:r w:rsidRPr="003E6588">
        <w:rPr>
          <w:color w:val="231F20"/>
          <w:sz w:val="18"/>
          <w:szCs w:val="18"/>
        </w:rPr>
        <w:t>separated</w:t>
      </w:r>
      <w:r w:rsidRPr="003E6588">
        <w:rPr>
          <w:color w:val="231F20"/>
          <w:spacing w:val="-1"/>
          <w:sz w:val="18"/>
          <w:szCs w:val="18"/>
        </w:rPr>
        <w:t xml:space="preserve"> </w:t>
      </w:r>
      <w:r w:rsidRPr="003E6588">
        <w:rPr>
          <w:color w:val="231F20"/>
          <w:sz w:val="18"/>
          <w:szCs w:val="18"/>
        </w:rPr>
        <w:t>out</w:t>
      </w:r>
      <w:r w:rsidRPr="003E6588">
        <w:rPr>
          <w:color w:val="231F20"/>
          <w:spacing w:val="-1"/>
          <w:sz w:val="18"/>
          <w:szCs w:val="18"/>
        </w:rPr>
        <w:t xml:space="preserve"> </w:t>
      </w:r>
      <w:r w:rsidRPr="003E6588">
        <w:rPr>
          <w:color w:val="231F20"/>
          <w:sz w:val="18"/>
          <w:szCs w:val="18"/>
        </w:rPr>
        <w:t>for</w:t>
      </w:r>
      <w:r w:rsidRPr="003E6588">
        <w:rPr>
          <w:color w:val="231F20"/>
          <w:spacing w:val="-2"/>
          <w:sz w:val="18"/>
          <w:szCs w:val="18"/>
        </w:rPr>
        <w:t xml:space="preserve"> </w:t>
      </w:r>
      <w:r w:rsidRPr="003E6588">
        <w:rPr>
          <w:color w:val="231F20"/>
          <w:sz w:val="18"/>
          <w:szCs w:val="18"/>
        </w:rPr>
        <w:t>the</w:t>
      </w:r>
      <w:r w:rsidRPr="003E6588">
        <w:rPr>
          <w:color w:val="231F20"/>
          <w:spacing w:val="-1"/>
          <w:sz w:val="18"/>
          <w:szCs w:val="18"/>
        </w:rPr>
        <w:t xml:space="preserve"> </w:t>
      </w:r>
      <w:r w:rsidRPr="003E6588">
        <w:rPr>
          <w:color w:val="231F20"/>
          <w:sz w:val="18"/>
          <w:szCs w:val="18"/>
        </w:rPr>
        <w:t>2021–22</w:t>
      </w:r>
      <w:r w:rsidRPr="003E6588">
        <w:rPr>
          <w:color w:val="231F20"/>
          <w:spacing w:val="-1"/>
          <w:sz w:val="18"/>
          <w:szCs w:val="18"/>
        </w:rPr>
        <w:t xml:space="preserve"> </w:t>
      </w:r>
      <w:r w:rsidRPr="003E6588">
        <w:rPr>
          <w:color w:val="231F20"/>
          <w:sz w:val="18"/>
          <w:szCs w:val="18"/>
        </w:rPr>
        <w:t>Annual</w:t>
      </w:r>
      <w:r w:rsidRPr="003E6588">
        <w:rPr>
          <w:color w:val="231F20"/>
          <w:spacing w:val="-2"/>
          <w:sz w:val="18"/>
          <w:szCs w:val="18"/>
        </w:rPr>
        <w:t xml:space="preserve"> </w:t>
      </w:r>
      <w:r w:rsidRPr="003E6588">
        <w:rPr>
          <w:color w:val="231F20"/>
          <w:sz w:val="18"/>
          <w:szCs w:val="18"/>
        </w:rPr>
        <w:t>Report</w:t>
      </w:r>
      <w:r w:rsidRPr="003E6588">
        <w:rPr>
          <w:color w:val="231F20"/>
          <w:spacing w:val="-1"/>
          <w:sz w:val="18"/>
          <w:szCs w:val="18"/>
        </w:rPr>
        <w:t xml:space="preserve"> </w:t>
      </w:r>
      <w:r w:rsidRPr="003E6588">
        <w:rPr>
          <w:color w:val="231F20"/>
          <w:sz w:val="18"/>
          <w:szCs w:val="18"/>
        </w:rPr>
        <w:t>for</w:t>
      </w:r>
      <w:r w:rsidRPr="003E6588">
        <w:rPr>
          <w:color w:val="231F20"/>
          <w:spacing w:val="-1"/>
          <w:sz w:val="18"/>
          <w:szCs w:val="18"/>
        </w:rPr>
        <w:t xml:space="preserve"> </w:t>
      </w:r>
      <w:r w:rsidRPr="003E6588">
        <w:rPr>
          <w:color w:val="231F20"/>
          <w:sz w:val="18"/>
          <w:szCs w:val="18"/>
        </w:rPr>
        <w:t>better</w:t>
      </w:r>
      <w:r w:rsidRPr="003E6588">
        <w:rPr>
          <w:color w:val="231F20"/>
          <w:spacing w:val="-1"/>
          <w:sz w:val="18"/>
          <w:szCs w:val="18"/>
        </w:rPr>
        <w:t xml:space="preserve"> </w:t>
      </w:r>
      <w:r>
        <w:rPr>
          <w:color w:val="231F20"/>
          <w:spacing w:val="-1"/>
          <w:sz w:val="18"/>
          <w:szCs w:val="18"/>
        </w:rPr>
        <w:br/>
      </w:r>
      <w:r w:rsidRPr="003E6588">
        <w:rPr>
          <w:color w:val="231F20"/>
          <w:spacing w:val="-2"/>
          <w:sz w:val="18"/>
          <w:szCs w:val="18"/>
        </w:rPr>
        <w:t>transparency.</w:t>
      </w:r>
    </w:p>
    <w:p w14:paraId="6CC15EC5" w14:textId="77777777" w:rsidR="00345EE3" w:rsidRPr="003E6588" w:rsidRDefault="00345EE3" w:rsidP="00345EE3">
      <w:pPr>
        <w:spacing w:before="113"/>
        <w:ind w:left="110" w:right="921"/>
        <w:rPr>
          <w:sz w:val="18"/>
          <w:szCs w:val="18"/>
        </w:rPr>
      </w:pPr>
      <w:r w:rsidRPr="003E6588">
        <w:rPr>
          <w:rFonts w:ascii="Arial-BoldItalicMT"/>
          <w:b/>
          <w:i/>
          <w:color w:val="231F20"/>
          <w:sz w:val="18"/>
          <w:szCs w:val="18"/>
        </w:rPr>
        <w:t xml:space="preserve">Source: </w:t>
      </w:r>
      <w:r w:rsidRPr="003E6588">
        <w:rPr>
          <w:color w:val="231F20"/>
          <w:sz w:val="18"/>
          <w:szCs w:val="18"/>
        </w:rPr>
        <w:t>2022 Report on Government Services, Commonwealth Productivity Commission. Extracted from National Survey of Community Satisfaction with Policing,</w:t>
      </w:r>
      <w:r w:rsidRPr="003E6588">
        <w:rPr>
          <w:color w:val="231F20"/>
          <w:spacing w:val="40"/>
          <w:sz w:val="18"/>
          <w:szCs w:val="18"/>
        </w:rPr>
        <w:t xml:space="preserve"> </w:t>
      </w:r>
      <w:r w:rsidRPr="003E6588">
        <w:rPr>
          <w:color w:val="231F20"/>
          <w:sz w:val="18"/>
          <w:szCs w:val="18"/>
        </w:rPr>
        <w:t>via</w:t>
      </w:r>
      <w:r w:rsidRPr="003E6588">
        <w:rPr>
          <w:color w:val="231F20"/>
          <w:spacing w:val="-8"/>
          <w:sz w:val="18"/>
          <w:szCs w:val="18"/>
        </w:rPr>
        <w:t xml:space="preserve"> </w:t>
      </w:r>
      <w:r w:rsidRPr="003E6588">
        <w:rPr>
          <w:color w:val="231F20"/>
          <w:sz w:val="18"/>
          <w:szCs w:val="18"/>
        </w:rPr>
        <w:t>Corporate</w:t>
      </w:r>
    </w:p>
    <w:p w14:paraId="515D8FE5" w14:textId="77777777" w:rsidR="00345EE3" w:rsidRPr="003E6588" w:rsidRDefault="00345EE3" w:rsidP="00345EE3">
      <w:pPr>
        <w:spacing w:before="26"/>
        <w:ind w:left="110"/>
        <w:rPr>
          <w:sz w:val="18"/>
          <w:szCs w:val="18"/>
        </w:rPr>
      </w:pPr>
      <w:r w:rsidRPr="003E6588">
        <w:rPr>
          <w:color w:val="231F20"/>
          <w:sz w:val="18"/>
          <w:szCs w:val="18"/>
        </w:rPr>
        <w:t>Statistics</w:t>
      </w:r>
      <w:r w:rsidRPr="003E6588">
        <w:rPr>
          <w:color w:val="231F20"/>
          <w:spacing w:val="2"/>
          <w:sz w:val="18"/>
          <w:szCs w:val="18"/>
        </w:rPr>
        <w:t xml:space="preserve"> </w:t>
      </w:r>
      <w:r w:rsidRPr="003E6588">
        <w:rPr>
          <w:color w:val="231F20"/>
          <w:sz w:val="18"/>
          <w:szCs w:val="18"/>
        </w:rPr>
        <w:t>Unit,</w:t>
      </w:r>
      <w:r w:rsidRPr="003E6588">
        <w:rPr>
          <w:color w:val="231F20"/>
          <w:spacing w:val="3"/>
          <w:sz w:val="18"/>
          <w:szCs w:val="18"/>
        </w:rPr>
        <w:t xml:space="preserve"> </w:t>
      </w:r>
      <w:r w:rsidRPr="003E6588">
        <w:rPr>
          <w:color w:val="231F20"/>
          <w:sz w:val="18"/>
          <w:szCs w:val="18"/>
        </w:rPr>
        <w:t>Capability</w:t>
      </w:r>
      <w:r w:rsidRPr="003E6588">
        <w:rPr>
          <w:color w:val="231F20"/>
          <w:spacing w:val="2"/>
          <w:sz w:val="18"/>
          <w:szCs w:val="18"/>
        </w:rPr>
        <w:t xml:space="preserve"> </w:t>
      </w:r>
      <w:r w:rsidRPr="003E6588">
        <w:rPr>
          <w:color w:val="231F20"/>
          <w:sz w:val="18"/>
          <w:szCs w:val="18"/>
        </w:rPr>
        <w:t>Department,</w:t>
      </w:r>
      <w:r w:rsidRPr="003E6588">
        <w:rPr>
          <w:color w:val="231F20"/>
          <w:spacing w:val="3"/>
          <w:sz w:val="18"/>
          <w:szCs w:val="18"/>
        </w:rPr>
        <w:t xml:space="preserve"> </w:t>
      </w:r>
      <w:r w:rsidRPr="003E6588">
        <w:rPr>
          <w:color w:val="231F20"/>
          <w:sz w:val="18"/>
          <w:szCs w:val="18"/>
        </w:rPr>
        <w:t>Victoria</w:t>
      </w:r>
      <w:r w:rsidRPr="003E6588">
        <w:rPr>
          <w:color w:val="231F20"/>
          <w:spacing w:val="3"/>
          <w:sz w:val="18"/>
          <w:szCs w:val="18"/>
        </w:rPr>
        <w:t xml:space="preserve"> </w:t>
      </w:r>
      <w:r w:rsidRPr="003E6588">
        <w:rPr>
          <w:color w:val="231F20"/>
          <w:spacing w:val="-2"/>
          <w:sz w:val="18"/>
          <w:szCs w:val="18"/>
        </w:rPr>
        <w:t>Police.</w:t>
      </w:r>
    </w:p>
    <w:p w14:paraId="0D66266D" w14:textId="77777777" w:rsidR="00345EE3" w:rsidRPr="003E6588" w:rsidRDefault="00345EE3" w:rsidP="00345EE3">
      <w:pPr>
        <w:spacing w:before="27"/>
        <w:ind w:left="110"/>
        <w:rPr>
          <w:rFonts w:ascii="Arial-BoldItalicMT"/>
          <w:b/>
          <w:i/>
          <w:sz w:val="18"/>
          <w:szCs w:val="18"/>
        </w:rPr>
      </w:pPr>
      <w:r w:rsidRPr="003E6588">
        <w:rPr>
          <w:rFonts w:ascii="Arial-BoldItalicMT"/>
          <w:b/>
          <w:i/>
          <w:color w:val="231F20"/>
          <w:spacing w:val="-2"/>
          <w:sz w:val="18"/>
          <w:szCs w:val="18"/>
        </w:rPr>
        <w:t>Note:</w:t>
      </w:r>
    </w:p>
    <w:p w14:paraId="22DCDC18" w14:textId="77777777" w:rsidR="00345EE3" w:rsidRPr="003E6588" w:rsidRDefault="00345EE3" w:rsidP="00345EE3">
      <w:pPr>
        <w:spacing w:before="28"/>
        <w:ind w:left="427" w:right="848" w:hanging="318"/>
        <w:rPr>
          <w:sz w:val="18"/>
          <w:szCs w:val="18"/>
        </w:rPr>
      </w:pPr>
      <w:r w:rsidRPr="003E6588">
        <w:rPr>
          <w:color w:val="231F20"/>
          <w:sz w:val="18"/>
          <w:szCs w:val="18"/>
        </w:rPr>
        <w:t>1.</w:t>
      </w:r>
      <w:r w:rsidRPr="003E6588">
        <w:rPr>
          <w:color w:val="231F20"/>
          <w:spacing w:val="80"/>
          <w:sz w:val="18"/>
          <w:szCs w:val="18"/>
        </w:rPr>
        <w:t xml:space="preserve"> </w:t>
      </w:r>
      <w:r w:rsidRPr="003E6588">
        <w:rPr>
          <w:color w:val="231F20"/>
          <w:sz w:val="18"/>
          <w:szCs w:val="18"/>
        </w:rPr>
        <w:t>*</w:t>
      </w:r>
      <w:r w:rsidRPr="003E6588">
        <w:rPr>
          <w:color w:val="231F20"/>
          <w:spacing w:val="-1"/>
          <w:sz w:val="18"/>
          <w:szCs w:val="18"/>
        </w:rPr>
        <w:t xml:space="preserve"> </w:t>
      </w:r>
      <w:r w:rsidRPr="003E6588">
        <w:rPr>
          <w:color w:val="231F20"/>
          <w:sz w:val="18"/>
          <w:szCs w:val="18"/>
        </w:rPr>
        <w:t>Traveling</w:t>
      </w:r>
      <w:r w:rsidRPr="003E6588">
        <w:rPr>
          <w:color w:val="231F20"/>
          <w:spacing w:val="-1"/>
          <w:sz w:val="18"/>
          <w:szCs w:val="18"/>
        </w:rPr>
        <w:t xml:space="preserve"> </w:t>
      </w:r>
      <w:r w:rsidRPr="003E6588">
        <w:rPr>
          <w:color w:val="231F20"/>
          <w:sz w:val="18"/>
          <w:szCs w:val="18"/>
        </w:rPr>
        <w:t>alone</w:t>
      </w:r>
      <w:r w:rsidRPr="003E6588">
        <w:rPr>
          <w:color w:val="231F20"/>
          <w:spacing w:val="-1"/>
          <w:sz w:val="18"/>
          <w:szCs w:val="18"/>
        </w:rPr>
        <w:t xml:space="preserve"> </w:t>
      </w:r>
      <w:r w:rsidRPr="003E6588">
        <w:rPr>
          <w:color w:val="231F20"/>
          <w:sz w:val="18"/>
          <w:szCs w:val="18"/>
        </w:rPr>
        <w:t>on</w:t>
      </w:r>
      <w:r w:rsidRPr="003E6588">
        <w:rPr>
          <w:color w:val="231F20"/>
          <w:spacing w:val="-1"/>
          <w:sz w:val="18"/>
          <w:szCs w:val="18"/>
        </w:rPr>
        <w:t xml:space="preserve"> </w:t>
      </w:r>
      <w:r w:rsidRPr="003E6588">
        <w:rPr>
          <w:color w:val="231F20"/>
          <w:sz w:val="18"/>
          <w:szCs w:val="18"/>
        </w:rPr>
        <w:t>public</w:t>
      </w:r>
      <w:r w:rsidRPr="003E6588">
        <w:rPr>
          <w:color w:val="231F20"/>
          <w:spacing w:val="-1"/>
          <w:sz w:val="18"/>
          <w:szCs w:val="18"/>
        </w:rPr>
        <w:t xml:space="preserve"> </w:t>
      </w:r>
      <w:r w:rsidRPr="003E6588">
        <w:rPr>
          <w:color w:val="231F20"/>
          <w:sz w:val="18"/>
          <w:szCs w:val="18"/>
        </w:rPr>
        <w:t>transport</w:t>
      </w:r>
      <w:r w:rsidRPr="003E6588">
        <w:rPr>
          <w:color w:val="231F20"/>
          <w:spacing w:val="-1"/>
          <w:sz w:val="18"/>
          <w:szCs w:val="18"/>
        </w:rPr>
        <w:t xml:space="preserve"> </w:t>
      </w:r>
      <w:r w:rsidRPr="003E6588">
        <w:rPr>
          <w:color w:val="231F20"/>
          <w:sz w:val="18"/>
          <w:szCs w:val="18"/>
        </w:rPr>
        <w:t>during</w:t>
      </w:r>
      <w:r w:rsidRPr="003E6588">
        <w:rPr>
          <w:color w:val="231F20"/>
          <w:spacing w:val="-1"/>
          <w:sz w:val="18"/>
          <w:szCs w:val="18"/>
        </w:rPr>
        <w:t xml:space="preserve"> </w:t>
      </w:r>
      <w:r w:rsidRPr="003E6588">
        <w:rPr>
          <w:color w:val="231F20"/>
          <w:sz w:val="18"/>
          <w:szCs w:val="18"/>
        </w:rPr>
        <w:t>the</w:t>
      </w:r>
      <w:r w:rsidRPr="003E6588">
        <w:rPr>
          <w:color w:val="231F20"/>
          <w:spacing w:val="-1"/>
          <w:sz w:val="18"/>
          <w:szCs w:val="18"/>
        </w:rPr>
        <w:t xml:space="preserve"> </w:t>
      </w:r>
      <w:r w:rsidRPr="003E6588">
        <w:rPr>
          <w:color w:val="231F20"/>
          <w:sz w:val="18"/>
          <w:szCs w:val="18"/>
        </w:rPr>
        <w:t>day</w:t>
      </w:r>
      <w:r w:rsidRPr="003E6588">
        <w:rPr>
          <w:color w:val="231F20"/>
          <w:spacing w:val="-1"/>
          <w:sz w:val="18"/>
          <w:szCs w:val="18"/>
        </w:rPr>
        <w:t xml:space="preserve"> </w:t>
      </w:r>
      <w:r w:rsidRPr="003E6588">
        <w:rPr>
          <w:color w:val="231F20"/>
          <w:sz w:val="18"/>
          <w:szCs w:val="18"/>
        </w:rPr>
        <w:t>extracted</w:t>
      </w:r>
      <w:r w:rsidRPr="003E6588">
        <w:rPr>
          <w:color w:val="231F20"/>
          <w:spacing w:val="-1"/>
          <w:sz w:val="18"/>
          <w:szCs w:val="18"/>
        </w:rPr>
        <w:t xml:space="preserve"> </w:t>
      </w:r>
      <w:r w:rsidRPr="003E6588">
        <w:rPr>
          <w:color w:val="231F20"/>
          <w:sz w:val="18"/>
          <w:szCs w:val="18"/>
        </w:rPr>
        <w:t>from</w:t>
      </w:r>
      <w:r w:rsidRPr="003E6588">
        <w:rPr>
          <w:color w:val="231F20"/>
          <w:spacing w:val="-1"/>
          <w:sz w:val="18"/>
          <w:szCs w:val="18"/>
        </w:rPr>
        <w:t xml:space="preserve"> </w:t>
      </w:r>
      <w:r w:rsidRPr="003E6588">
        <w:rPr>
          <w:color w:val="231F20"/>
          <w:sz w:val="18"/>
          <w:szCs w:val="18"/>
        </w:rPr>
        <w:t>the</w:t>
      </w:r>
      <w:r w:rsidRPr="003E6588">
        <w:rPr>
          <w:color w:val="231F20"/>
          <w:spacing w:val="-1"/>
          <w:sz w:val="18"/>
          <w:szCs w:val="18"/>
        </w:rPr>
        <w:t xml:space="preserve"> </w:t>
      </w:r>
      <w:r w:rsidRPr="003E6588">
        <w:rPr>
          <w:color w:val="231F20"/>
          <w:sz w:val="18"/>
          <w:szCs w:val="18"/>
        </w:rPr>
        <w:t>National</w:t>
      </w:r>
      <w:r w:rsidRPr="003E6588">
        <w:rPr>
          <w:color w:val="231F20"/>
          <w:spacing w:val="-1"/>
          <w:sz w:val="18"/>
          <w:szCs w:val="18"/>
        </w:rPr>
        <w:t xml:space="preserve"> </w:t>
      </w:r>
      <w:r w:rsidRPr="003E6588">
        <w:rPr>
          <w:color w:val="231F20"/>
          <w:sz w:val="18"/>
          <w:szCs w:val="18"/>
        </w:rPr>
        <w:t>Survey</w:t>
      </w:r>
      <w:r w:rsidRPr="003E6588">
        <w:rPr>
          <w:color w:val="231F20"/>
          <w:spacing w:val="-1"/>
          <w:sz w:val="18"/>
          <w:szCs w:val="18"/>
        </w:rPr>
        <w:t xml:space="preserve"> </w:t>
      </w:r>
      <w:r w:rsidRPr="003E6588">
        <w:rPr>
          <w:color w:val="231F20"/>
          <w:sz w:val="18"/>
          <w:szCs w:val="18"/>
        </w:rPr>
        <w:t>of</w:t>
      </w:r>
      <w:r w:rsidRPr="003E6588">
        <w:rPr>
          <w:color w:val="231F20"/>
          <w:spacing w:val="-1"/>
          <w:sz w:val="18"/>
          <w:szCs w:val="18"/>
        </w:rPr>
        <w:t xml:space="preserve"> </w:t>
      </w:r>
      <w:r w:rsidRPr="003E6588">
        <w:rPr>
          <w:color w:val="231F20"/>
          <w:sz w:val="18"/>
          <w:szCs w:val="18"/>
        </w:rPr>
        <w:t>Community</w:t>
      </w:r>
      <w:r w:rsidRPr="003E6588">
        <w:rPr>
          <w:color w:val="231F20"/>
          <w:spacing w:val="-1"/>
          <w:sz w:val="18"/>
          <w:szCs w:val="18"/>
        </w:rPr>
        <w:t xml:space="preserve"> </w:t>
      </w:r>
      <w:r w:rsidRPr="003E6588">
        <w:rPr>
          <w:color w:val="231F20"/>
          <w:sz w:val="18"/>
          <w:szCs w:val="18"/>
        </w:rPr>
        <w:t>Satisfaction</w:t>
      </w:r>
      <w:r w:rsidRPr="003E6588">
        <w:rPr>
          <w:color w:val="231F20"/>
          <w:spacing w:val="-1"/>
          <w:sz w:val="18"/>
          <w:szCs w:val="18"/>
        </w:rPr>
        <w:t xml:space="preserve"> </w:t>
      </w:r>
      <w:r w:rsidRPr="003E6588">
        <w:rPr>
          <w:color w:val="231F20"/>
          <w:sz w:val="18"/>
          <w:szCs w:val="18"/>
        </w:rPr>
        <w:t>with</w:t>
      </w:r>
      <w:r w:rsidRPr="003E6588">
        <w:rPr>
          <w:color w:val="231F20"/>
          <w:spacing w:val="-1"/>
          <w:sz w:val="18"/>
          <w:szCs w:val="18"/>
        </w:rPr>
        <w:t xml:space="preserve"> </w:t>
      </w:r>
      <w:r w:rsidRPr="003E6588">
        <w:rPr>
          <w:color w:val="231F20"/>
          <w:sz w:val="18"/>
          <w:szCs w:val="18"/>
        </w:rPr>
        <w:t>Policing,</w:t>
      </w:r>
      <w:r w:rsidRPr="003E6588">
        <w:rPr>
          <w:color w:val="231F20"/>
          <w:spacing w:val="-1"/>
          <w:sz w:val="18"/>
          <w:szCs w:val="18"/>
        </w:rPr>
        <w:t xml:space="preserve"> </w:t>
      </w:r>
      <w:r w:rsidRPr="003E6588">
        <w:rPr>
          <w:color w:val="231F20"/>
          <w:sz w:val="18"/>
          <w:szCs w:val="18"/>
        </w:rPr>
        <w:t>Quarter</w:t>
      </w:r>
      <w:r w:rsidRPr="003E6588">
        <w:rPr>
          <w:color w:val="231F20"/>
          <w:spacing w:val="-1"/>
          <w:sz w:val="18"/>
          <w:szCs w:val="18"/>
        </w:rPr>
        <w:t xml:space="preserve"> </w:t>
      </w:r>
      <w:r w:rsidRPr="003E6588">
        <w:rPr>
          <w:color w:val="231F20"/>
          <w:sz w:val="18"/>
          <w:szCs w:val="18"/>
        </w:rPr>
        <w:t>4,</w:t>
      </w:r>
      <w:r w:rsidRPr="003E6588">
        <w:rPr>
          <w:color w:val="231F20"/>
          <w:spacing w:val="-1"/>
          <w:sz w:val="18"/>
          <w:szCs w:val="18"/>
        </w:rPr>
        <w:t xml:space="preserve"> </w:t>
      </w:r>
      <w:r w:rsidRPr="003E6588">
        <w:rPr>
          <w:color w:val="231F20"/>
          <w:sz w:val="18"/>
          <w:szCs w:val="18"/>
        </w:rPr>
        <w:t>2021</w:t>
      </w:r>
      <w:r w:rsidRPr="003E6588">
        <w:rPr>
          <w:color w:val="231F20"/>
          <w:spacing w:val="-1"/>
          <w:sz w:val="18"/>
          <w:szCs w:val="18"/>
        </w:rPr>
        <w:t xml:space="preserve"> </w:t>
      </w:r>
      <w:r w:rsidRPr="003E6588">
        <w:rPr>
          <w:color w:val="231F20"/>
          <w:sz w:val="18"/>
          <w:szCs w:val="18"/>
        </w:rPr>
        <w:t>data</w:t>
      </w:r>
      <w:r w:rsidRPr="003E6588">
        <w:rPr>
          <w:color w:val="231F20"/>
          <w:spacing w:val="-1"/>
          <w:sz w:val="18"/>
          <w:szCs w:val="18"/>
        </w:rPr>
        <w:t xml:space="preserve"> </w:t>
      </w:r>
      <w:r w:rsidRPr="003E6588">
        <w:rPr>
          <w:color w:val="231F20"/>
          <w:sz w:val="18"/>
          <w:szCs w:val="18"/>
        </w:rPr>
        <w:t>source</w:t>
      </w:r>
      <w:r w:rsidRPr="003E6588">
        <w:rPr>
          <w:color w:val="231F20"/>
          <w:spacing w:val="-1"/>
          <w:sz w:val="18"/>
          <w:szCs w:val="18"/>
        </w:rPr>
        <w:t xml:space="preserve"> </w:t>
      </w:r>
      <w:r w:rsidRPr="003E6588">
        <w:rPr>
          <w:color w:val="231F20"/>
          <w:sz w:val="18"/>
          <w:szCs w:val="18"/>
        </w:rPr>
        <w:t>via</w:t>
      </w:r>
      <w:r w:rsidRPr="003E6588">
        <w:rPr>
          <w:color w:val="231F20"/>
          <w:spacing w:val="40"/>
          <w:sz w:val="18"/>
          <w:szCs w:val="18"/>
        </w:rPr>
        <w:t xml:space="preserve"> </w:t>
      </w:r>
      <w:r w:rsidRPr="003E6588">
        <w:rPr>
          <w:color w:val="231F20"/>
          <w:sz w:val="18"/>
          <w:szCs w:val="18"/>
        </w:rPr>
        <w:t>Corporate Statistics Unit, Capability Department, Victoria Police.</w:t>
      </w:r>
    </w:p>
    <w:p w14:paraId="0DF45CEA" w14:textId="77777777" w:rsidR="00345EE3" w:rsidRPr="00087AF4" w:rsidRDefault="00345EE3" w:rsidP="00087AF4">
      <w:pPr>
        <w:pStyle w:val="BodyText"/>
        <w:spacing w:before="137" w:line="242" w:lineRule="auto"/>
        <w:ind w:left="142" w:right="848"/>
        <w:rPr>
          <w:sz w:val="24"/>
          <w:szCs w:val="24"/>
        </w:rPr>
      </w:pPr>
      <w:r w:rsidRPr="00087AF4">
        <w:rPr>
          <w:color w:val="231F20"/>
          <w:sz w:val="24"/>
          <w:szCs w:val="24"/>
        </w:rPr>
        <w:t>The percentage of Victorians surveyed who reported feeling ‘safe’ or ‘very safe’ on public transport during the day in 2020–21 was 66.8 per cent, representing a 1.6 percentage point decrease</w:t>
      </w:r>
      <w:r w:rsidRPr="00087AF4">
        <w:rPr>
          <w:color w:val="231F20"/>
          <w:spacing w:val="-13"/>
          <w:sz w:val="24"/>
          <w:szCs w:val="24"/>
        </w:rPr>
        <w:t xml:space="preserve"> </w:t>
      </w:r>
      <w:r w:rsidRPr="00087AF4">
        <w:rPr>
          <w:color w:val="231F20"/>
          <w:sz w:val="24"/>
          <w:szCs w:val="24"/>
        </w:rPr>
        <w:t>when</w:t>
      </w:r>
      <w:r w:rsidRPr="00087AF4">
        <w:rPr>
          <w:color w:val="231F20"/>
          <w:spacing w:val="-13"/>
          <w:sz w:val="24"/>
          <w:szCs w:val="24"/>
        </w:rPr>
        <w:t xml:space="preserve"> </w:t>
      </w:r>
      <w:r w:rsidRPr="00087AF4">
        <w:rPr>
          <w:color w:val="231F20"/>
          <w:sz w:val="24"/>
          <w:szCs w:val="24"/>
        </w:rPr>
        <w:t>compared</w:t>
      </w:r>
      <w:r w:rsidRPr="00087AF4">
        <w:rPr>
          <w:color w:val="231F20"/>
          <w:spacing w:val="-13"/>
          <w:sz w:val="24"/>
          <w:szCs w:val="24"/>
        </w:rPr>
        <w:t xml:space="preserve"> </w:t>
      </w:r>
      <w:r w:rsidRPr="00087AF4">
        <w:rPr>
          <w:color w:val="231F20"/>
          <w:sz w:val="24"/>
          <w:szCs w:val="24"/>
        </w:rPr>
        <w:t>to</w:t>
      </w:r>
      <w:r w:rsidRPr="00087AF4">
        <w:rPr>
          <w:color w:val="231F20"/>
          <w:spacing w:val="-13"/>
          <w:sz w:val="24"/>
          <w:szCs w:val="24"/>
        </w:rPr>
        <w:t xml:space="preserve"> </w:t>
      </w:r>
      <w:r w:rsidRPr="00087AF4">
        <w:rPr>
          <w:color w:val="231F20"/>
          <w:sz w:val="24"/>
          <w:szCs w:val="24"/>
        </w:rPr>
        <w:t>the</w:t>
      </w:r>
      <w:r w:rsidRPr="00087AF4">
        <w:rPr>
          <w:color w:val="231F20"/>
          <w:spacing w:val="-13"/>
          <w:sz w:val="24"/>
          <w:szCs w:val="24"/>
        </w:rPr>
        <w:t xml:space="preserve"> </w:t>
      </w:r>
      <w:r w:rsidRPr="00087AF4">
        <w:rPr>
          <w:color w:val="231F20"/>
          <w:sz w:val="24"/>
          <w:szCs w:val="24"/>
        </w:rPr>
        <w:t>previous</w:t>
      </w:r>
      <w:r w:rsidRPr="00087AF4">
        <w:rPr>
          <w:color w:val="231F20"/>
          <w:spacing w:val="-12"/>
          <w:sz w:val="24"/>
          <w:szCs w:val="24"/>
        </w:rPr>
        <w:t xml:space="preserve"> </w:t>
      </w:r>
      <w:r w:rsidRPr="00087AF4">
        <w:rPr>
          <w:color w:val="231F20"/>
          <w:sz w:val="24"/>
          <w:szCs w:val="24"/>
        </w:rPr>
        <w:t>year.</w:t>
      </w:r>
      <w:r w:rsidRPr="00087AF4">
        <w:rPr>
          <w:color w:val="231F20"/>
          <w:spacing w:val="-12"/>
          <w:sz w:val="24"/>
          <w:szCs w:val="24"/>
        </w:rPr>
        <w:t xml:space="preserve"> </w:t>
      </w:r>
      <w:r w:rsidRPr="00087AF4">
        <w:rPr>
          <w:color w:val="231F20"/>
          <w:sz w:val="24"/>
          <w:szCs w:val="24"/>
        </w:rPr>
        <w:t>Similarly,</w:t>
      </w:r>
      <w:r w:rsidRPr="00087AF4">
        <w:rPr>
          <w:color w:val="231F20"/>
          <w:spacing w:val="-12"/>
          <w:sz w:val="24"/>
          <w:szCs w:val="24"/>
        </w:rPr>
        <w:t xml:space="preserve"> </w:t>
      </w:r>
      <w:r w:rsidRPr="00087AF4">
        <w:rPr>
          <w:color w:val="231F20"/>
          <w:sz w:val="24"/>
          <w:szCs w:val="24"/>
        </w:rPr>
        <w:t>the</w:t>
      </w:r>
      <w:r w:rsidRPr="00087AF4">
        <w:rPr>
          <w:color w:val="231F20"/>
          <w:spacing w:val="-13"/>
          <w:sz w:val="24"/>
          <w:szCs w:val="24"/>
        </w:rPr>
        <w:t xml:space="preserve"> </w:t>
      </w:r>
      <w:r w:rsidRPr="00087AF4">
        <w:rPr>
          <w:color w:val="231F20"/>
          <w:sz w:val="24"/>
          <w:szCs w:val="24"/>
        </w:rPr>
        <w:t>total</w:t>
      </w:r>
      <w:r w:rsidRPr="00087AF4">
        <w:rPr>
          <w:color w:val="231F20"/>
          <w:spacing w:val="-13"/>
          <w:sz w:val="24"/>
          <w:szCs w:val="24"/>
        </w:rPr>
        <w:t xml:space="preserve"> </w:t>
      </w:r>
      <w:r w:rsidRPr="00087AF4">
        <w:rPr>
          <w:color w:val="231F20"/>
          <w:sz w:val="24"/>
          <w:szCs w:val="24"/>
        </w:rPr>
        <w:t>number</w:t>
      </w:r>
      <w:r w:rsidRPr="00087AF4">
        <w:rPr>
          <w:color w:val="231F20"/>
          <w:spacing w:val="-12"/>
          <w:sz w:val="24"/>
          <w:szCs w:val="24"/>
        </w:rPr>
        <w:t xml:space="preserve"> </w:t>
      </w:r>
      <w:r w:rsidRPr="00087AF4">
        <w:rPr>
          <w:color w:val="231F20"/>
          <w:sz w:val="24"/>
          <w:szCs w:val="24"/>
        </w:rPr>
        <w:t>of</w:t>
      </w:r>
      <w:r w:rsidRPr="00087AF4">
        <w:rPr>
          <w:color w:val="231F20"/>
          <w:spacing w:val="-12"/>
          <w:sz w:val="24"/>
          <w:szCs w:val="24"/>
        </w:rPr>
        <w:t xml:space="preserve"> </w:t>
      </w:r>
      <w:r w:rsidRPr="00087AF4">
        <w:rPr>
          <w:color w:val="231F20"/>
          <w:sz w:val="24"/>
          <w:szCs w:val="24"/>
        </w:rPr>
        <w:t>Victorians</w:t>
      </w:r>
      <w:r w:rsidRPr="00087AF4">
        <w:rPr>
          <w:color w:val="231F20"/>
          <w:spacing w:val="-12"/>
          <w:sz w:val="24"/>
          <w:szCs w:val="24"/>
        </w:rPr>
        <w:t xml:space="preserve"> </w:t>
      </w:r>
      <w:r w:rsidRPr="00087AF4">
        <w:rPr>
          <w:color w:val="231F20"/>
          <w:sz w:val="24"/>
          <w:szCs w:val="24"/>
        </w:rPr>
        <w:t>surveyed who reported feeling ‘safe’ or ‘very safe’ on public transport at night also decreased by 1.0 percentage point from 32.6 per cent in 2019–20 to 31.6 per cent in 2020–21.</w:t>
      </w:r>
    </w:p>
    <w:p w14:paraId="729D2877" w14:textId="77777777" w:rsidR="00345EE3" w:rsidRPr="00087AF4" w:rsidRDefault="00345EE3" w:rsidP="002A27BA">
      <w:pPr>
        <w:pStyle w:val="Heading3"/>
        <w:ind w:left="142"/>
      </w:pPr>
      <w:r w:rsidRPr="00087AF4">
        <w:t>Crime Statistics</w:t>
      </w:r>
    </w:p>
    <w:p w14:paraId="1226448F" w14:textId="77777777" w:rsidR="00345EE3" w:rsidRPr="00087AF4" w:rsidRDefault="00345EE3" w:rsidP="00087AF4">
      <w:pPr>
        <w:pStyle w:val="BodyText"/>
        <w:spacing w:before="52" w:line="242" w:lineRule="auto"/>
        <w:ind w:left="142" w:right="921"/>
        <w:rPr>
          <w:b/>
          <w:sz w:val="24"/>
          <w:szCs w:val="24"/>
        </w:rPr>
      </w:pPr>
      <w:r w:rsidRPr="00087AF4">
        <w:rPr>
          <w:color w:val="231F20"/>
          <w:sz w:val="24"/>
          <w:szCs w:val="24"/>
        </w:rPr>
        <w:t>Crime statistics are based on reports from the public and crimes detected by police and demonstrate the department’s progress in ensuring community safety through policing, law enforcement</w:t>
      </w:r>
      <w:r w:rsidRPr="00087AF4">
        <w:rPr>
          <w:color w:val="231F20"/>
          <w:spacing w:val="-1"/>
          <w:sz w:val="24"/>
          <w:szCs w:val="24"/>
        </w:rPr>
        <w:t xml:space="preserve"> </w:t>
      </w:r>
      <w:r w:rsidRPr="00087AF4">
        <w:rPr>
          <w:color w:val="231F20"/>
          <w:sz w:val="24"/>
          <w:szCs w:val="24"/>
        </w:rPr>
        <w:t>and</w:t>
      </w:r>
      <w:r w:rsidRPr="00087AF4">
        <w:rPr>
          <w:color w:val="231F20"/>
          <w:spacing w:val="-1"/>
          <w:sz w:val="24"/>
          <w:szCs w:val="24"/>
        </w:rPr>
        <w:t xml:space="preserve"> </w:t>
      </w:r>
      <w:r w:rsidRPr="00087AF4">
        <w:rPr>
          <w:color w:val="231F20"/>
          <w:sz w:val="24"/>
          <w:szCs w:val="24"/>
        </w:rPr>
        <w:t>crime</w:t>
      </w:r>
      <w:r w:rsidRPr="00087AF4">
        <w:rPr>
          <w:color w:val="231F20"/>
          <w:spacing w:val="-1"/>
          <w:sz w:val="24"/>
          <w:szCs w:val="24"/>
        </w:rPr>
        <w:t xml:space="preserve"> </w:t>
      </w:r>
      <w:r w:rsidRPr="00087AF4">
        <w:rPr>
          <w:color w:val="231F20"/>
          <w:sz w:val="24"/>
          <w:szCs w:val="24"/>
        </w:rPr>
        <w:t>prevention</w:t>
      </w:r>
      <w:r w:rsidRPr="00087AF4">
        <w:rPr>
          <w:color w:val="231F20"/>
          <w:spacing w:val="-1"/>
          <w:sz w:val="24"/>
          <w:szCs w:val="24"/>
        </w:rPr>
        <w:t xml:space="preserve"> </w:t>
      </w:r>
      <w:r w:rsidRPr="00087AF4">
        <w:rPr>
          <w:color w:val="231F20"/>
          <w:sz w:val="24"/>
          <w:szCs w:val="24"/>
        </w:rPr>
        <w:t>activities.</w:t>
      </w:r>
      <w:r w:rsidRPr="00087AF4">
        <w:rPr>
          <w:color w:val="231F20"/>
          <w:spacing w:val="-1"/>
          <w:sz w:val="24"/>
          <w:szCs w:val="24"/>
        </w:rPr>
        <w:t xml:space="preserve"> </w:t>
      </w:r>
      <w:r w:rsidRPr="00087AF4">
        <w:rPr>
          <w:color w:val="231F20"/>
          <w:sz w:val="24"/>
          <w:szCs w:val="24"/>
        </w:rPr>
        <w:t>The</w:t>
      </w:r>
      <w:r w:rsidRPr="00087AF4">
        <w:rPr>
          <w:color w:val="231F20"/>
          <w:spacing w:val="-1"/>
          <w:sz w:val="24"/>
          <w:szCs w:val="24"/>
        </w:rPr>
        <w:t xml:space="preserve"> </w:t>
      </w:r>
      <w:r w:rsidRPr="00087AF4">
        <w:rPr>
          <w:color w:val="231F20"/>
          <w:sz w:val="24"/>
          <w:szCs w:val="24"/>
        </w:rPr>
        <w:t>Crime</w:t>
      </w:r>
      <w:r w:rsidRPr="00087AF4">
        <w:rPr>
          <w:color w:val="231F20"/>
          <w:spacing w:val="-1"/>
          <w:sz w:val="24"/>
          <w:szCs w:val="24"/>
        </w:rPr>
        <w:t xml:space="preserve"> </w:t>
      </w:r>
      <w:r w:rsidRPr="00087AF4">
        <w:rPr>
          <w:color w:val="231F20"/>
          <w:sz w:val="24"/>
          <w:szCs w:val="24"/>
        </w:rPr>
        <w:t>Statistics</w:t>
      </w:r>
      <w:r w:rsidRPr="00087AF4">
        <w:rPr>
          <w:color w:val="231F20"/>
          <w:spacing w:val="-1"/>
          <w:sz w:val="24"/>
          <w:szCs w:val="24"/>
        </w:rPr>
        <w:t xml:space="preserve"> </w:t>
      </w:r>
      <w:r w:rsidRPr="00087AF4">
        <w:rPr>
          <w:color w:val="231F20"/>
          <w:sz w:val="24"/>
          <w:szCs w:val="24"/>
        </w:rPr>
        <w:t>Agency</w:t>
      </w:r>
      <w:r w:rsidRPr="00087AF4">
        <w:rPr>
          <w:color w:val="231F20"/>
          <w:spacing w:val="-1"/>
          <w:sz w:val="24"/>
          <w:szCs w:val="24"/>
        </w:rPr>
        <w:t xml:space="preserve"> </w:t>
      </w:r>
      <w:r w:rsidRPr="00087AF4">
        <w:rPr>
          <w:color w:val="231F20"/>
          <w:sz w:val="24"/>
          <w:szCs w:val="24"/>
        </w:rPr>
        <w:t>(CSA)</w:t>
      </w:r>
      <w:r w:rsidRPr="00087AF4">
        <w:rPr>
          <w:color w:val="231F20"/>
          <w:spacing w:val="-1"/>
          <w:sz w:val="24"/>
          <w:szCs w:val="24"/>
        </w:rPr>
        <w:t xml:space="preserve"> </w:t>
      </w:r>
      <w:r w:rsidRPr="00087AF4">
        <w:rPr>
          <w:color w:val="231F20"/>
          <w:sz w:val="24"/>
          <w:szCs w:val="24"/>
        </w:rPr>
        <w:t>is</w:t>
      </w:r>
      <w:r w:rsidRPr="00087AF4">
        <w:rPr>
          <w:color w:val="231F20"/>
          <w:spacing w:val="-1"/>
          <w:sz w:val="24"/>
          <w:szCs w:val="24"/>
        </w:rPr>
        <w:t xml:space="preserve"> </w:t>
      </w:r>
      <w:r w:rsidRPr="00087AF4">
        <w:rPr>
          <w:color w:val="231F20"/>
          <w:sz w:val="24"/>
          <w:szCs w:val="24"/>
        </w:rPr>
        <w:t>responsible for</w:t>
      </w:r>
      <w:r w:rsidRPr="00087AF4">
        <w:rPr>
          <w:color w:val="231F20"/>
          <w:spacing w:val="-9"/>
          <w:sz w:val="24"/>
          <w:szCs w:val="24"/>
        </w:rPr>
        <w:t xml:space="preserve"> </w:t>
      </w:r>
      <w:r w:rsidRPr="00087AF4">
        <w:rPr>
          <w:color w:val="231F20"/>
          <w:sz w:val="24"/>
          <w:szCs w:val="24"/>
        </w:rPr>
        <w:t>processing</w:t>
      </w:r>
      <w:r w:rsidRPr="00087AF4">
        <w:rPr>
          <w:color w:val="231F20"/>
          <w:spacing w:val="-9"/>
          <w:sz w:val="24"/>
          <w:szCs w:val="24"/>
        </w:rPr>
        <w:t xml:space="preserve"> </w:t>
      </w:r>
      <w:r w:rsidRPr="00087AF4">
        <w:rPr>
          <w:color w:val="231F20"/>
          <w:sz w:val="24"/>
          <w:szCs w:val="24"/>
        </w:rPr>
        <w:t>and</w:t>
      </w:r>
      <w:r w:rsidRPr="00087AF4">
        <w:rPr>
          <w:color w:val="231F20"/>
          <w:spacing w:val="-9"/>
          <w:sz w:val="24"/>
          <w:szCs w:val="24"/>
        </w:rPr>
        <w:t xml:space="preserve"> </w:t>
      </w:r>
      <w:r w:rsidRPr="00087AF4">
        <w:rPr>
          <w:color w:val="231F20"/>
          <w:sz w:val="24"/>
          <w:szCs w:val="24"/>
        </w:rPr>
        <w:t>publishing</w:t>
      </w:r>
      <w:r w:rsidRPr="00087AF4">
        <w:rPr>
          <w:color w:val="231F20"/>
          <w:spacing w:val="-9"/>
          <w:sz w:val="24"/>
          <w:szCs w:val="24"/>
        </w:rPr>
        <w:t xml:space="preserve"> </w:t>
      </w:r>
      <w:r w:rsidRPr="00087AF4">
        <w:rPr>
          <w:color w:val="231F20"/>
          <w:sz w:val="24"/>
          <w:szCs w:val="24"/>
        </w:rPr>
        <w:t>Victorian</w:t>
      </w:r>
      <w:r w:rsidRPr="00087AF4">
        <w:rPr>
          <w:color w:val="231F20"/>
          <w:spacing w:val="-9"/>
          <w:sz w:val="24"/>
          <w:szCs w:val="24"/>
        </w:rPr>
        <w:t xml:space="preserve"> </w:t>
      </w:r>
      <w:r w:rsidRPr="00087AF4">
        <w:rPr>
          <w:color w:val="231F20"/>
          <w:sz w:val="24"/>
          <w:szCs w:val="24"/>
        </w:rPr>
        <w:t>crime</w:t>
      </w:r>
      <w:r w:rsidRPr="00087AF4">
        <w:rPr>
          <w:color w:val="231F20"/>
          <w:spacing w:val="-9"/>
          <w:sz w:val="24"/>
          <w:szCs w:val="24"/>
        </w:rPr>
        <w:t xml:space="preserve"> </w:t>
      </w:r>
      <w:r w:rsidRPr="00087AF4">
        <w:rPr>
          <w:color w:val="231F20"/>
          <w:sz w:val="24"/>
          <w:szCs w:val="24"/>
        </w:rPr>
        <w:t>statistics,</w:t>
      </w:r>
      <w:r w:rsidRPr="00087AF4">
        <w:rPr>
          <w:color w:val="231F20"/>
          <w:spacing w:val="-9"/>
          <w:sz w:val="24"/>
          <w:szCs w:val="24"/>
        </w:rPr>
        <w:t xml:space="preserve"> </w:t>
      </w:r>
      <w:r w:rsidRPr="00087AF4">
        <w:rPr>
          <w:color w:val="231F20"/>
          <w:sz w:val="24"/>
          <w:szCs w:val="24"/>
        </w:rPr>
        <w:t>independent</w:t>
      </w:r>
      <w:r w:rsidRPr="00087AF4">
        <w:rPr>
          <w:color w:val="231F20"/>
          <w:spacing w:val="-9"/>
          <w:sz w:val="24"/>
          <w:szCs w:val="24"/>
        </w:rPr>
        <w:t xml:space="preserve"> </w:t>
      </w:r>
      <w:r w:rsidRPr="00087AF4">
        <w:rPr>
          <w:color w:val="231F20"/>
          <w:sz w:val="24"/>
          <w:szCs w:val="24"/>
        </w:rPr>
        <w:t>of</w:t>
      </w:r>
      <w:r w:rsidRPr="00087AF4">
        <w:rPr>
          <w:color w:val="231F20"/>
          <w:spacing w:val="-9"/>
          <w:sz w:val="24"/>
          <w:szCs w:val="24"/>
        </w:rPr>
        <w:t xml:space="preserve"> </w:t>
      </w:r>
      <w:r w:rsidRPr="00087AF4">
        <w:rPr>
          <w:color w:val="231F20"/>
          <w:sz w:val="24"/>
          <w:szCs w:val="24"/>
        </w:rPr>
        <w:t>Victoria</w:t>
      </w:r>
      <w:r w:rsidRPr="00087AF4">
        <w:rPr>
          <w:color w:val="231F20"/>
          <w:spacing w:val="-9"/>
          <w:sz w:val="24"/>
          <w:szCs w:val="24"/>
        </w:rPr>
        <w:t xml:space="preserve"> </w:t>
      </w:r>
      <w:r w:rsidRPr="00087AF4">
        <w:rPr>
          <w:color w:val="231F20"/>
          <w:sz w:val="24"/>
          <w:szCs w:val="24"/>
        </w:rPr>
        <w:t>Police.</w:t>
      </w:r>
      <w:r w:rsidRPr="00087AF4">
        <w:rPr>
          <w:color w:val="231F20"/>
          <w:spacing w:val="-9"/>
          <w:sz w:val="24"/>
          <w:szCs w:val="24"/>
        </w:rPr>
        <w:t xml:space="preserve"> </w:t>
      </w:r>
      <w:r w:rsidRPr="00087AF4">
        <w:rPr>
          <w:color w:val="231F20"/>
          <w:sz w:val="24"/>
          <w:szCs w:val="24"/>
        </w:rPr>
        <w:t>A</w:t>
      </w:r>
      <w:r w:rsidRPr="00087AF4">
        <w:rPr>
          <w:color w:val="231F20"/>
          <w:spacing w:val="-9"/>
          <w:sz w:val="24"/>
          <w:szCs w:val="24"/>
        </w:rPr>
        <w:t xml:space="preserve"> </w:t>
      </w:r>
      <w:r w:rsidRPr="00087AF4">
        <w:rPr>
          <w:color w:val="231F20"/>
          <w:sz w:val="24"/>
          <w:szCs w:val="24"/>
        </w:rPr>
        <w:t xml:space="preserve">further breakdown of crime statistics is available on the CSA website: </w:t>
      </w:r>
      <w:hyperlink r:id="rId19">
        <w:r w:rsidRPr="00087AF4">
          <w:rPr>
            <w:b/>
            <w:color w:val="00529F"/>
            <w:sz w:val="24"/>
            <w:szCs w:val="24"/>
            <w:u w:val="single" w:color="00529F"/>
          </w:rPr>
          <w:t>crimestatistics.vic.gov.au</w:t>
        </w:r>
      </w:hyperlink>
    </w:p>
    <w:p w14:paraId="6120E801" w14:textId="77777777" w:rsidR="00345EE3" w:rsidRPr="00087AF4" w:rsidRDefault="00345EE3" w:rsidP="00087AF4">
      <w:pPr>
        <w:pStyle w:val="BodyText"/>
        <w:spacing w:before="120" w:line="242" w:lineRule="auto"/>
        <w:ind w:left="142" w:right="995"/>
        <w:rPr>
          <w:sz w:val="24"/>
          <w:szCs w:val="24"/>
        </w:rPr>
      </w:pPr>
      <w:r w:rsidRPr="00087AF4">
        <w:rPr>
          <w:color w:val="231F20"/>
          <w:sz w:val="24"/>
          <w:szCs w:val="24"/>
        </w:rPr>
        <w:t>Changes</w:t>
      </w:r>
      <w:r w:rsidRPr="00087AF4">
        <w:rPr>
          <w:color w:val="231F20"/>
          <w:spacing w:val="-4"/>
          <w:sz w:val="24"/>
          <w:szCs w:val="24"/>
        </w:rPr>
        <w:t xml:space="preserve"> </w:t>
      </w:r>
      <w:r w:rsidRPr="00087AF4">
        <w:rPr>
          <w:color w:val="231F20"/>
          <w:sz w:val="24"/>
          <w:szCs w:val="24"/>
        </w:rPr>
        <w:t>to</w:t>
      </w:r>
      <w:r w:rsidRPr="00087AF4">
        <w:rPr>
          <w:color w:val="231F20"/>
          <w:spacing w:val="-5"/>
          <w:sz w:val="24"/>
          <w:szCs w:val="24"/>
        </w:rPr>
        <w:t xml:space="preserve"> </w:t>
      </w:r>
      <w:r w:rsidRPr="00087AF4">
        <w:rPr>
          <w:color w:val="231F20"/>
          <w:sz w:val="24"/>
          <w:szCs w:val="24"/>
        </w:rPr>
        <w:t>recorded</w:t>
      </w:r>
      <w:r w:rsidRPr="00087AF4">
        <w:rPr>
          <w:color w:val="231F20"/>
          <w:spacing w:val="-5"/>
          <w:sz w:val="24"/>
          <w:szCs w:val="24"/>
        </w:rPr>
        <w:t xml:space="preserve"> </w:t>
      </w:r>
      <w:r w:rsidRPr="00087AF4">
        <w:rPr>
          <w:color w:val="231F20"/>
          <w:sz w:val="24"/>
          <w:szCs w:val="24"/>
        </w:rPr>
        <w:t>crime</w:t>
      </w:r>
      <w:r w:rsidRPr="00087AF4">
        <w:rPr>
          <w:color w:val="231F20"/>
          <w:spacing w:val="-5"/>
          <w:sz w:val="24"/>
          <w:szCs w:val="24"/>
        </w:rPr>
        <w:t xml:space="preserve"> </w:t>
      </w:r>
      <w:r w:rsidRPr="00087AF4">
        <w:rPr>
          <w:color w:val="231F20"/>
          <w:sz w:val="24"/>
          <w:szCs w:val="24"/>
        </w:rPr>
        <w:t>can</w:t>
      </w:r>
      <w:r w:rsidRPr="00087AF4">
        <w:rPr>
          <w:color w:val="231F20"/>
          <w:spacing w:val="-5"/>
          <w:sz w:val="24"/>
          <w:szCs w:val="24"/>
        </w:rPr>
        <w:t xml:space="preserve"> </w:t>
      </w:r>
      <w:r w:rsidRPr="00087AF4">
        <w:rPr>
          <w:color w:val="231F20"/>
          <w:sz w:val="24"/>
          <w:szCs w:val="24"/>
        </w:rPr>
        <w:t>be</w:t>
      </w:r>
      <w:r w:rsidRPr="00087AF4">
        <w:rPr>
          <w:color w:val="231F20"/>
          <w:spacing w:val="-5"/>
          <w:sz w:val="24"/>
          <w:szCs w:val="24"/>
        </w:rPr>
        <w:t xml:space="preserve"> </w:t>
      </w:r>
      <w:r w:rsidRPr="00087AF4">
        <w:rPr>
          <w:color w:val="231F20"/>
          <w:sz w:val="24"/>
          <w:szCs w:val="24"/>
        </w:rPr>
        <w:t>due</w:t>
      </w:r>
      <w:r w:rsidRPr="00087AF4">
        <w:rPr>
          <w:color w:val="231F20"/>
          <w:spacing w:val="-5"/>
          <w:sz w:val="24"/>
          <w:szCs w:val="24"/>
        </w:rPr>
        <w:t xml:space="preserve"> </w:t>
      </w:r>
      <w:r w:rsidRPr="00087AF4">
        <w:rPr>
          <w:color w:val="231F20"/>
          <w:sz w:val="24"/>
          <w:szCs w:val="24"/>
        </w:rPr>
        <w:t>to</w:t>
      </w:r>
      <w:r w:rsidRPr="00087AF4">
        <w:rPr>
          <w:color w:val="231F20"/>
          <w:spacing w:val="-5"/>
          <w:sz w:val="24"/>
          <w:szCs w:val="24"/>
        </w:rPr>
        <w:t xml:space="preserve"> </w:t>
      </w:r>
      <w:r w:rsidRPr="00087AF4">
        <w:rPr>
          <w:color w:val="231F20"/>
          <w:sz w:val="24"/>
          <w:szCs w:val="24"/>
        </w:rPr>
        <w:t>increased</w:t>
      </w:r>
      <w:r w:rsidRPr="00087AF4">
        <w:rPr>
          <w:color w:val="231F20"/>
          <w:spacing w:val="-5"/>
          <w:sz w:val="24"/>
          <w:szCs w:val="24"/>
        </w:rPr>
        <w:t xml:space="preserve"> </w:t>
      </w:r>
      <w:r w:rsidRPr="00087AF4">
        <w:rPr>
          <w:color w:val="231F20"/>
          <w:sz w:val="24"/>
          <w:szCs w:val="24"/>
        </w:rPr>
        <w:t>presence</w:t>
      </w:r>
      <w:r w:rsidRPr="00087AF4">
        <w:rPr>
          <w:color w:val="231F20"/>
          <w:spacing w:val="-5"/>
          <w:sz w:val="24"/>
          <w:szCs w:val="24"/>
        </w:rPr>
        <w:t xml:space="preserve"> </w:t>
      </w:r>
      <w:r w:rsidRPr="00087AF4">
        <w:rPr>
          <w:color w:val="231F20"/>
          <w:sz w:val="24"/>
          <w:szCs w:val="24"/>
        </w:rPr>
        <w:t>and</w:t>
      </w:r>
      <w:r w:rsidRPr="00087AF4">
        <w:rPr>
          <w:color w:val="231F20"/>
          <w:spacing w:val="-5"/>
          <w:sz w:val="24"/>
          <w:szCs w:val="24"/>
        </w:rPr>
        <w:t xml:space="preserve"> </w:t>
      </w:r>
      <w:r w:rsidRPr="00087AF4">
        <w:rPr>
          <w:color w:val="231F20"/>
          <w:sz w:val="24"/>
          <w:szCs w:val="24"/>
        </w:rPr>
        <w:t>focus</w:t>
      </w:r>
      <w:r w:rsidRPr="00087AF4">
        <w:rPr>
          <w:color w:val="231F20"/>
          <w:spacing w:val="-4"/>
          <w:sz w:val="24"/>
          <w:szCs w:val="24"/>
        </w:rPr>
        <w:t xml:space="preserve"> </w:t>
      </w:r>
      <w:r w:rsidRPr="00087AF4">
        <w:rPr>
          <w:color w:val="231F20"/>
          <w:sz w:val="24"/>
          <w:szCs w:val="24"/>
        </w:rPr>
        <w:t>on</w:t>
      </w:r>
      <w:r w:rsidRPr="00087AF4">
        <w:rPr>
          <w:color w:val="231F20"/>
          <w:spacing w:val="-5"/>
          <w:sz w:val="24"/>
          <w:szCs w:val="24"/>
        </w:rPr>
        <w:t xml:space="preserve"> </w:t>
      </w:r>
      <w:r w:rsidRPr="00087AF4">
        <w:rPr>
          <w:color w:val="231F20"/>
          <w:sz w:val="24"/>
          <w:szCs w:val="24"/>
        </w:rPr>
        <w:t>community</w:t>
      </w:r>
      <w:r w:rsidRPr="00087AF4">
        <w:rPr>
          <w:color w:val="231F20"/>
          <w:spacing w:val="-4"/>
          <w:sz w:val="24"/>
          <w:szCs w:val="24"/>
        </w:rPr>
        <w:t xml:space="preserve"> </w:t>
      </w:r>
      <w:r w:rsidRPr="00087AF4">
        <w:rPr>
          <w:color w:val="231F20"/>
          <w:sz w:val="24"/>
          <w:szCs w:val="24"/>
        </w:rPr>
        <w:t>safety throughout</w:t>
      </w:r>
      <w:r w:rsidRPr="00087AF4">
        <w:rPr>
          <w:color w:val="231F20"/>
          <w:spacing w:val="-11"/>
          <w:sz w:val="24"/>
          <w:szCs w:val="24"/>
        </w:rPr>
        <w:t xml:space="preserve"> </w:t>
      </w:r>
      <w:r w:rsidRPr="00087AF4">
        <w:rPr>
          <w:color w:val="231F20"/>
          <w:sz w:val="24"/>
          <w:szCs w:val="24"/>
        </w:rPr>
        <w:t>Victoria,</w:t>
      </w:r>
      <w:r w:rsidRPr="00087AF4">
        <w:rPr>
          <w:color w:val="231F20"/>
          <w:spacing w:val="-11"/>
          <w:sz w:val="24"/>
          <w:szCs w:val="24"/>
        </w:rPr>
        <w:t xml:space="preserve"> </w:t>
      </w:r>
      <w:r w:rsidRPr="00087AF4">
        <w:rPr>
          <w:color w:val="231F20"/>
          <w:sz w:val="24"/>
          <w:szCs w:val="24"/>
        </w:rPr>
        <w:t>police</w:t>
      </w:r>
      <w:r w:rsidRPr="00087AF4">
        <w:rPr>
          <w:color w:val="231F20"/>
          <w:spacing w:val="-12"/>
          <w:sz w:val="24"/>
          <w:szCs w:val="24"/>
        </w:rPr>
        <w:t xml:space="preserve"> </w:t>
      </w:r>
      <w:r w:rsidRPr="00087AF4">
        <w:rPr>
          <w:color w:val="231F20"/>
          <w:sz w:val="24"/>
          <w:szCs w:val="24"/>
        </w:rPr>
        <w:t>detection</w:t>
      </w:r>
      <w:r w:rsidRPr="00087AF4">
        <w:rPr>
          <w:color w:val="231F20"/>
          <w:spacing w:val="-12"/>
          <w:sz w:val="24"/>
          <w:szCs w:val="24"/>
        </w:rPr>
        <w:t xml:space="preserve"> </w:t>
      </w:r>
      <w:r w:rsidRPr="00087AF4">
        <w:rPr>
          <w:color w:val="231F20"/>
          <w:sz w:val="24"/>
          <w:szCs w:val="24"/>
        </w:rPr>
        <w:t>and</w:t>
      </w:r>
      <w:r w:rsidRPr="00087AF4">
        <w:rPr>
          <w:color w:val="231F20"/>
          <w:spacing w:val="-12"/>
          <w:sz w:val="24"/>
          <w:szCs w:val="24"/>
        </w:rPr>
        <w:t xml:space="preserve"> </w:t>
      </w:r>
      <w:r w:rsidRPr="00087AF4">
        <w:rPr>
          <w:color w:val="231F20"/>
          <w:sz w:val="24"/>
          <w:szCs w:val="24"/>
        </w:rPr>
        <w:t>enforcement</w:t>
      </w:r>
      <w:r w:rsidRPr="00087AF4">
        <w:rPr>
          <w:color w:val="231F20"/>
          <w:spacing w:val="-11"/>
          <w:sz w:val="24"/>
          <w:szCs w:val="24"/>
        </w:rPr>
        <w:t xml:space="preserve"> </w:t>
      </w:r>
      <w:r w:rsidRPr="00087AF4">
        <w:rPr>
          <w:color w:val="231F20"/>
          <w:sz w:val="24"/>
          <w:szCs w:val="24"/>
        </w:rPr>
        <w:t>activity,</w:t>
      </w:r>
      <w:r w:rsidRPr="00087AF4">
        <w:rPr>
          <w:color w:val="231F20"/>
          <w:spacing w:val="-11"/>
          <w:sz w:val="24"/>
          <w:szCs w:val="24"/>
        </w:rPr>
        <w:t xml:space="preserve"> </w:t>
      </w:r>
      <w:r w:rsidRPr="00087AF4">
        <w:rPr>
          <w:color w:val="231F20"/>
          <w:sz w:val="24"/>
          <w:szCs w:val="24"/>
        </w:rPr>
        <w:t>the</w:t>
      </w:r>
      <w:r w:rsidRPr="00087AF4">
        <w:rPr>
          <w:color w:val="231F20"/>
          <w:spacing w:val="-12"/>
          <w:sz w:val="24"/>
          <w:szCs w:val="24"/>
        </w:rPr>
        <w:t xml:space="preserve"> </w:t>
      </w:r>
      <w:r w:rsidRPr="00087AF4">
        <w:rPr>
          <w:color w:val="231F20"/>
          <w:sz w:val="24"/>
          <w:szCs w:val="24"/>
        </w:rPr>
        <w:t>introduction</w:t>
      </w:r>
      <w:r w:rsidRPr="00087AF4">
        <w:rPr>
          <w:color w:val="231F20"/>
          <w:spacing w:val="-12"/>
          <w:sz w:val="24"/>
          <w:szCs w:val="24"/>
        </w:rPr>
        <w:t xml:space="preserve"> </w:t>
      </w:r>
      <w:r w:rsidRPr="00087AF4">
        <w:rPr>
          <w:color w:val="231F20"/>
          <w:sz w:val="24"/>
          <w:szCs w:val="24"/>
        </w:rPr>
        <w:t>of</w:t>
      </w:r>
      <w:r w:rsidRPr="00087AF4">
        <w:rPr>
          <w:color w:val="231F20"/>
          <w:spacing w:val="-11"/>
          <w:sz w:val="24"/>
          <w:szCs w:val="24"/>
        </w:rPr>
        <w:t xml:space="preserve"> </w:t>
      </w:r>
      <w:r w:rsidRPr="00087AF4">
        <w:rPr>
          <w:color w:val="231F20"/>
          <w:sz w:val="24"/>
          <w:szCs w:val="24"/>
        </w:rPr>
        <w:t>new</w:t>
      </w:r>
      <w:r w:rsidRPr="00087AF4">
        <w:rPr>
          <w:color w:val="231F20"/>
          <w:spacing w:val="-12"/>
          <w:sz w:val="24"/>
          <w:szCs w:val="24"/>
        </w:rPr>
        <w:t xml:space="preserve"> </w:t>
      </w:r>
      <w:r w:rsidRPr="00087AF4">
        <w:rPr>
          <w:color w:val="231F20"/>
          <w:sz w:val="24"/>
          <w:szCs w:val="24"/>
        </w:rPr>
        <w:t>offences or increased police powers to enforce certain offences. Changes may also be due to social, economic and environmental factors, or changing public confidence to report crime to police.</w:t>
      </w:r>
    </w:p>
    <w:p w14:paraId="46716832" w14:textId="77777777" w:rsidR="00345EE3" w:rsidRDefault="00345EE3" w:rsidP="00345EE3">
      <w:pPr>
        <w:rPr>
          <w:color w:val="231F20"/>
          <w:sz w:val="18"/>
        </w:rPr>
      </w:pPr>
      <w:r>
        <w:rPr>
          <w:color w:val="231F20"/>
          <w:sz w:val="18"/>
        </w:rPr>
        <w:br w:type="page"/>
      </w:r>
    </w:p>
    <w:p w14:paraId="07B72D58" w14:textId="77777777" w:rsidR="00345EE3" w:rsidRDefault="00345EE3" w:rsidP="00345EE3">
      <w:pPr>
        <w:spacing w:before="125"/>
        <w:ind w:left="110"/>
        <w:rPr>
          <w:rFonts w:ascii="Arial-BoldItalicMT"/>
          <w:b/>
          <w:i/>
          <w:sz w:val="18"/>
        </w:rPr>
      </w:pPr>
      <w:r>
        <w:rPr>
          <w:color w:val="231F20"/>
          <w:sz w:val="18"/>
        </w:rPr>
        <w:t>Table</w:t>
      </w:r>
      <w:r>
        <w:rPr>
          <w:color w:val="231F20"/>
          <w:spacing w:val="-5"/>
          <w:sz w:val="18"/>
        </w:rPr>
        <w:t xml:space="preserve"> </w:t>
      </w:r>
      <w:r>
        <w:rPr>
          <w:color w:val="231F20"/>
          <w:sz w:val="18"/>
        </w:rPr>
        <w:t>3.4:</w:t>
      </w:r>
      <w:r>
        <w:rPr>
          <w:color w:val="231F20"/>
          <w:spacing w:val="-5"/>
          <w:sz w:val="18"/>
        </w:rPr>
        <w:t xml:space="preserve"> </w:t>
      </w:r>
      <w:r>
        <w:rPr>
          <w:rFonts w:ascii="Arial-BoldItalicMT"/>
          <w:b/>
          <w:i/>
          <w:color w:val="231F20"/>
          <w:sz w:val="18"/>
        </w:rPr>
        <w:t>5-year</w:t>
      </w:r>
      <w:r>
        <w:rPr>
          <w:rFonts w:ascii="Arial-BoldItalicMT"/>
          <w:b/>
          <w:i/>
          <w:color w:val="231F20"/>
          <w:spacing w:val="-8"/>
          <w:sz w:val="18"/>
        </w:rPr>
        <w:t xml:space="preserve"> </w:t>
      </w:r>
      <w:r>
        <w:rPr>
          <w:rFonts w:ascii="Arial-BoldItalicMT"/>
          <w:b/>
          <w:i/>
          <w:color w:val="231F20"/>
          <w:sz w:val="18"/>
        </w:rPr>
        <w:t>Trends</w:t>
      </w:r>
      <w:r>
        <w:rPr>
          <w:rFonts w:ascii="Arial-BoldItalicMT"/>
          <w:b/>
          <w:i/>
          <w:color w:val="231F20"/>
          <w:spacing w:val="-7"/>
          <w:sz w:val="18"/>
        </w:rPr>
        <w:t xml:space="preserve"> </w:t>
      </w:r>
      <w:r>
        <w:rPr>
          <w:rFonts w:ascii="Arial-BoldItalicMT"/>
          <w:b/>
          <w:i/>
          <w:color w:val="231F20"/>
          <w:sz w:val="18"/>
        </w:rPr>
        <w:t>in</w:t>
      </w:r>
      <w:r>
        <w:rPr>
          <w:rFonts w:ascii="Arial-BoldItalicMT"/>
          <w:b/>
          <w:i/>
          <w:color w:val="231F20"/>
          <w:spacing w:val="-8"/>
          <w:sz w:val="18"/>
        </w:rPr>
        <w:t xml:space="preserve"> </w:t>
      </w:r>
      <w:r>
        <w:rPr>
          <w:rFonts w:ascii="Arial-BoldItalicMT"/>
          <w:b/>
          <w:i/>
          <w:color w:val="231F20"/>
          <w:sz w:val="18"/>
        </w:rPr>
        <w:t>Offence</w:t>
      </w:r>
      <w:r>
        <w:rPr>
          <w:rFonts w:ascii="Arial-BoldItalicMT"/>
          <w:b/>
          <w:i/>
          <w:color w:val="231F20"/>
          <w:spacing w:val="-7"/>
          <w:sz w:val="18"/>
        </w:rPr>
        <w:t xml:space="preserve"> </w:t>
      </w:r>
      <w:r>
        <w:rPr>
          <w:rFonts w:ascii="Arial-BoldItalicMT"/>
          <w:b/>
          <w:i/>
          <w:color w:val="231F20"/>
          <w:spacing w:val="-2"/>
          <w:sz w:val="18"/>
        </w:rPr>
        <w:t>categories</w:t>
      </w:r>
    </w:p>
    <w:p w14:paraId="19534105"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033"/>
        <w:gridCol w:w="935"/>
        <w:gridCol w:w="935"/>
        <w:gridCol w:w="935"/>
        <w:gridCol w:w="935"/>
        <w:gridCol w:w="935"/>
        <w:gridCol w:w="1247"/>
        <w:gridCol w:w="1247"/>
      </w:tblGrid>
      <w:tr w:rsidR="00345EE3" w14:paraId="593C58CD" w14:textId="77777777" w:rsidTr="00D73130">
        <w:trPr>
          <w:trHeight w:val="1521"/>
        </w:trPr>
        <w:tc>
          <w:tcPr>
            <w:tcW w:w="10202" w:type="dxa"/>
            <w:gridSpan w:val="8"/>
            <w:tcBorders>
              <w:top w:val="nil"/>
              <w:left w:val="nil"/>
              <w:bottom w:val="nil"/>
              <w:right w:val="nil"/>
            </w:tcBorders>
            <w:shd w:val="clear" w:color="auto" w:fill="00529F"/>
          </w:tcPr>
          <w:p w14:paraId="29F20B33" w14:textId="77777777" w:rsidR="00345EE3" w:rsidRDefault="00345EE3" w:rsidP="00D73130">
            <w:pPr>
              <w:pStyle w:val="TableParagraph"/>
              <w:tabs>
                <w:tab w:val="left" w:pos="3253"/>
                <w:tab w:val="left" w:pos="4189"/>
                <w:tab w:val="left" w:pos="5124"/>
                <w:tab w:val="left" w:pos="6059"/>
                <w:tab w:val="left" w:pos="6994"/>
                <w:tab w:val="left" w:pos="8031"/>
                <w:tab w:val="left" w:pos="9279"/>
              </w:tabs>
              <w:spacing w:before="63"/>
              <w:ind w:right="55"/>
              <w:rPr>
                <w:b/>
                <w:sz w:val="24"/>
              </w:rPr>
            </w:pPr>
            <w:r>
              <w:rPr>
                <w:b/>
                <w:color w:val="FFFFFF"/>
                <w:spacing w:val="-2"/>
                <w:sz w:val="24"/>
              </w:rPr>
              <w:t>Indicator</w:t>
            </w:r>
            <w:r>
              <w:rPr>
                <w:b/>
                <w:color w:val="FFFFFF"/>
                <w:sz w:val="24"/>
              </w:rPr>
              <w:tab/>
            </w:r>
            <w:r>
              <w:rPr>
                <w:b/>
                <w:color w:val="FFFFFF"/>
                <w:spacing w:val="-2"/>
                <w:sz w:val="24"/>
              </w:rPr>
              <w:t>2017–</w:t>
            </w:r>
            <w:r>
              <w:rPr>
                <w:b/>
                <w:color w:val="FFFFFF"/>
                <w:sz w:val="24"/>
              </w:rPr>
              <w:tab/>
            </w:r>
            <w:r>
              <w:rPr>
                <w:b/>
                <w:color w:val="FFFFFF"/>
                <w:spacing w:val="-2"/>
                <w:sz w:val="24"/>
              </w:rPr>
              <w:t>2018–</w:t>
            </w:r>
            <w:r>
              <w:rPr>
                <w:b/>
                <w:color w:val="FFFFFF"/>
                <w:sz w:val="24"/>
              </w:rPr>
              <w:tab/>
            </w:r>
            <w:r>
              <w:rPr>
                <w:b/>
                <w:color w:val="FFFFFF"/>
                <w:spacing w:val="-2"/>
                <w:sz w:val="24"/>
              </w:rPr>
              <w:t>2019–</w:t>
            </w:r>
            <w:r>
              <w:rPr>
                <w:b/>
                <w:color w:val="FFFFFF"/>
                <w:sz w:val="24"/>
              </w:rPr>
              <w:tab/>
            </w:r>
            <w:r>
              <w:rPr>
                <w:b/>
                <w:color w:val="FFFFFF"/>
                <w:spacing w:val="-2"/>
                <w:sz w:val="24"/>
              </w:rPr>
              <w:t>2020–</w:t>
            </w:r>
            <w:r>
              <w:rPr>
                <w:b/>
                <w:color w:val="FFFFFF"/>
                <w:sz w:val="24"/>
              </w:rPr>
              <w:tab/>
            </w:r>
            <w:r>
              <w:rPr>
                <w:b/>
                <w:color w:val="FFFFFF"/>
                <w:spacing w:val="-2"/>
                <w:sz w:val="24"/>
              </w:rPr>
              <w:t>2021–</w:t>
            </w:r>
            <w:r>
              <w:rPr>
                <w:b/>
                <w:color w:val="FFFFFF"/>
                <w:sz w:val="24"/>
              </w:rPr>
              <w:tab/>
            </w:r>
            <w:r>
              <w:rPr>
                <w:b/>
                <w:color w:val="FFFFFF"/>
                <w:spacing w:val="-2"/>
                <w:sz w:val="24"/>
              </w:rPr>
              <w:t>Change</w:t>
            </w:r>
            <w:r>
              <w:rPr>
                <w:b/>
                <w:color w:val="FFFFFF"/>
                <w:sz w:val="24"/>
              </w:rPr>
              <w:tab/>
            </w:r>
            <w:r>
              <w:rPr>
                <w:b/>
                <w:color w:val="FFFFFF"/>
                <w:spacing w:val="-5"/>
                <w:sz w:val="24"/>
              </w:rPr>
              <w:t>Change</w:t>
            </w:r>
          </w:p>
          <w:p w14:paraId="45A467B6" w14:textId="77777777" w:rsidR="00345EE3" w:rsidRDefault="00345EE3" w:rsidP="00D73130">
            <w:pPr>
              <w:pStyle w:val="TableParagraph"/>
              <w:tabs>
                <w:tab w:val="left" w:pos="935"/>
                <w:tab w:val="left" w:pos="1870"/>
                <w:tab w:val="left" w:pos="2805"/>
                <w:tab w:val="left" w:pos="3741"/>
                <w:tab w:val="left" w:pos="4726"/>
                <w:tab w:val="left" w:pos="5805"/>
              </w:tabs>
              <w:spacing w:before="4"/>
              <w:ind w:right="52"/>
              <w:rPr>
                <w:b/>
                <w:sz w:val="24"/>
              </w:rPr>
            </w:pPr>
            <w:r>
              <w:rPr>
                <w:b/>
                <w:color w:val="FFFFFF"/>
                <w:spacing w:val="-5"/>
                <w:sz w:val="24"/>
              </w:rPr>
              <w:t>18</w:t>
            </w:r>
            <w:r>
              <w:rPr>
                <w:b/>
                <w:color w:val="FFFFFF"/>
                <w:sz w:val="24"/>
              </w:rPr>
              <w:tab/>
            </w:r>
            <w:r>
              <w:rPr>
                <w:b/>
                <w:color w:val="FFFFFF"/>
                <w:spacing w:val="-5"/>
                <w:sz w:val="24"/>
              </w:rPr>
              <w:t>19</w:t>
            </w:r>
            <w:r>
              <w:rPr>
                <w:b/>
                <w:color w:val="FFFFFF"/>
                <w:sz w:val="24"/>
              </w:rPr>
              <w:tab/>
            </w:r>
            <w:r>
              <w:rPr>
                <w:b/>
                <w:color w:val="FFFFFF"/>
                <w:spacing w:val="-5"/>
                <w:sz w:val="24"/>
              </w:rPr>
              <w:t>20</w:t>
            </w:r>
            <w:r>
              <w:rPr>
                <w:b/>
                <w:color w:val="FFFFFF"/>
                <w:sz w:val="24"/>
              </w:rPr>
              <w:tab/>
            </w:r>
            <w:r>
              <w:rPr>
                <w:b/>
                <w:color w:val="FFFFFF"/>
                <w:spacing w:val="-5"/>
                <w:sz w:val="24"/>
              </w:rPr>
              <w:t>21</w:t>
            </w:r>
            <w:r>
              <w:rPr>
                <w:b/>
                <w:color w:val="FFFFFF"/>
                <w:sz w:val="24"/>
              </w:rPr>
              <w:tab/>
            </w:r>
            <w:r>
              <w:rPr>
                <w:b/>
                <w:color w:val="FFFFFF"/>
                <w:spacing w:val="-5"/>
                <w:sz w:val="24"/>
              </w:rPr>
              <w:t>22</w:t>
            </w:r>
            <w:r>
              <w:rPr>
                <w:b/>
                <w:color w:val="FFFFFF"/>
                <w:sz w:val="24"/>
              </w:rPr>
              <w:tab/>
            </w:r>
            <w:r>
              <w:rPr>
                <w:b/>
                <w:color w:val="FFFFFF"/>
                <w:spacing w:val="-4"/>
                <w:sz w:val="24"/>
              </w:rPr>
              <w:t>from</w:t>
            </w:r>
            <w:r>
              <w:rPr>
                <w:b/>
                <w:color w:val="FFFFFF"/>
                <w:sz w:val="24"/>
              </w:rPr>
              <w:tab/>
              <w:t>over</w:t>
            </w:r>
            <w:r>
              <w:rPr>
                <w:b/>
                <w:color w:val="FFFFFF"/>
                <w:spacing w:val="-14"/>
                <w:sz w:val="24"/>
              </w:rPr>
              <w:t xml:space="preserve"> </w:t>
            </w:r>
            <w:r>
              <w:rPr>
                <w:b/>
                <w:color w:val="FFFFFF"/>
                <w:spacing w:val="-10"/>
                <w:sz w:val="24"/>
              </w:rPr>
              <w:t>5</w:t>
            </w:r>
          </w:p>
          <w:p w14:paraId="4F2B9632" w14:textId="77777777" w:rsidR="00345EE3" w:rsidRDefault="00345EE3" w:rsidP="00D73130">
            <w:pPr>
              <w:pStyle w:val="TableParagraph"/>
              <w:tabs>
                <w:tab w:val="left" w:pos="9529"/>
              </w:tabs>
              <w:spacing w:before="4"/>
              <w:ind w:left="7980"/>
              <w:jc w:val="left"/>
              <w:rPr>
                <w:b/>
                <w:sz w:val="24"/>
              </w:rPr>
            </w:pPr>
            <w:r>
              <w:rPr>
                <w:b/>
                <w:color w:val="FFFFFF"/>
                <w:spacing w:val="-2"/>
                <w:sz w:val="24"/>
              </w:rPr>
              <w:t>2020–21</w:t>
            </w:r>
            <w:r>
              <w:rPr>
                <w:b/>
                <w:color w:val="FFFFFF"/>
                <w:sz w:val="24"/>
              </w:rPr>
              <w:tab/>
            </w:r>
            <w:r>
              <w:rPr>
                <w:b/>
                <w:color w:val="FFFFFF"/>
                <w:spacing w:val="-2"/>
                <w:sz w:val="24"/>
              </w:rPr>
              <w:t>years</w:t>
            </w:r>
          </w:p>
          <w:p w14:paraId="562DD747" w14:textId="77777777" w:rsidR="00345EE3" w:rsidRDefault="00345EE3" w:rsidP="00D73130">
            <w:pPr>
              <w:pStyle w:val="TableParagraph"/>
              <w:spacing w:before="4"/>
              <w:ind w:left="8087"/>
              <w:jc w:val="left"/>
              <w:rPr>
                <w:b/>
                <w:sz w:val="24"/>
              </w:rPr>
            </w:pPr>
            <w:r>
              <w:rPr>
                <w:b/>
                <w:color w:val="FFFFFF"/>
                <w:sz w:val="24"/>
              </w:rPr>
              <w:t>to</w:t>
            </w:r>
            <w:r>
              <w:rPr>
                <w:b/>
                <w:color w:val="FFFFFF"/>
                <w:spacing w:val="-8"/>
                <w:sz w:val="24"/>
              </w:rPr>
              <w:t xml:space="preserve"> </w:t>
            </w:r>
            <w:r>
              <w:rPr>
                <w:b/>
                <w:color w:val="FFFFFF"/>
                <w:spacing w:val="-4"/>
                <w:sz w:val="24"/>
              </w:rPr>
              <w:t>2021</w:t>
            </w:r>
          </w:p>
          <w:p w14:paraId="37A893D6" w14:textId="77777777" w:rsidR="00345EE3" w:rsidRDefault="00345EE3" w:rsidP="00D73130">
            <w:pPr>
              <w:pStyle w:val="TableParagraph"/>
              <w:spacing w:before="4"/>
              <w:ind w:left="8504"/>
              <w:jc w:val="left"/>
              <w:rPr>
                <w:b/>
                <w:sz w:val="24"/>
              </w:rPr>
            </w:pPr>
            <w:r>
              <w:rPr>
                <w:b/>
                <w:color w:val="FFFFFF"/>
                <w:spacing w:val="-5"/>
                <w:sz w:val="24"/>
              </w:rPr>
              <w:t>–22</w:t>
            </w:r>
          </w:p>
        </w:tc>
      </w:tr>
      <w:tr w:rsidR="00345EE3" w14:paraId="5E51BB17" w14:textId="77777777" w:rsidTr="00D73130">
        <w:trPr>
          <w:trHeight w:val="676"/>
        </w:trPr>
        <w:tc>
          <w:tcPr>
            <w:tcW w:w="3033" w:type="dxa"/>
            <w:tcBorders>
              <w:top w:val="nil"/>
              <w:left w:val="nil"/>
            </w:tcBorders>
          </w:tcPr>
          <w:p w14:paraId="7B278510" w14:textId="77777777" w:rsidR="00345EE3" w:rsidRDefault="00345EE3" w:rsidP="00D73130">
            <w:pPr>
              <w:pStyle w:val="TableParagraph"/>
              <w:spacing w:line="242" w:lineRule="auto"/>
              <w:ind w:left="-3"/>
              <w:jc w:val="left"/>
              <w:rPr>
                <w:sz w:val="24"/>
              </w:rPr>
            </w:pPr>
            <w:r>
              <w:rPr>
                <w:color w:val="231F20"/>
                <w:sz w:val="24"/>
              </w:rPr>
              <w:t>Crimes</w:t>
            </w:r>
            <w:r>
              <w:rPr>
                <w:color w:val="231F20"/>
                <w:spacing w:val="-13"/>
                <w:sz w:val="24"/>
              </w:rPr>
              <w:t xml:space="preserve"> </w:t>
            </w:r>
            <w:r>
              <w:rPr>
                <w:color w:val="231F20"/>
                <w:sz w:val="24"/>
              </w:rPr>
              <w:t>against</w:t>
            </w:r>
            <w:r>
              <w:rPr>
                <w:color w:val="231F20"/>
                <w:spacing w:val="-13"/>
                <w:sz w:val="24"/>
              </w:rPr>
              <w:t xml:space="preserve"> </w:t>
            </w:r>
            <w:r>
              <w:rPr>
                <w:color w:val="231F20"/>
                <w:sz w:val="24"/>
              </w:rPr>
              <w:t>the</w:t>
            </w:r>
            <w:r>
              <w:rPr>
                <w:color w:val="231F20"/>
                <w:spacing w:val="-12"/>
                <w:sz w:val="24"/>
              </w:rPr>
              <w:t xml:space="preserve"> </w:t>
            </w:r>
            <w:r>
              <w:rPr>
                <w:color w:val="231F20"/>
                <w:sz w:val="24"/>
              </w:rPr>
              <w:t xml:space="preserve">Person </w:t>
            </w:r>
            <w:r>
              <w:rPr>
                <w:color w:val="231F20"/>
                <w:spacing w:val="-2"/>
                <w:sz w:val="24"/>
              </w:rPr>
              <w:t>offences</w:t>
            </w:r>
          </w:p>
        </w:tc>
        <w:tc>
          <w:tcPr>
            <w:tcW w:w="935" w:type="dxa"/>
            <w:tcBorders>
              <w:top w:val="nil"/>
            </w:tcBorders>
          </w:tcPr>
          <w:p w14:paraId="3628B9CA" w14:textId="77777777" w:rsidR="00345EE3" w:rsidRDefault="00345EE3" w:rsidP="00D73130">
            <w:pPr>
              <w:pStyle w:val="TableParagraph"/>
              <w:ind w:right="54"/>
              <w:rPr>
                <w:sz w:val="24"/>
              </w:rPr>
            </w:pPr>
            <w:r>
              <w:rPr>
                <w:color w:val="231F20"/>
                <w:spacing w:val="-2"/>
                <w:sz w:val="24"/>
              </w:rPr>
              <w:t>80,030</w:t>
            </w:r>
          </w:p>
        </w:tc>
        <w:tc>
          <w:tcPr>
            <w:tcW w:w="935" w:type="dxa"/>
            <w:tcBorders>
              <w:top w:val="nil"/>
            </w:tcBorders>
          </w:tcPr>
          <w:p w14:paraId="536C4157" w14:textId="77777777" w:rsidR="00345EE3" w:rsidRDefault="00345EE3" w:rsidP="00D73130">
            <w:pPr>
              <w:pStyle w:val="TableParagraph"/>
              <w:ind w:right="53"/>
              <w:rPr>
                <w:sz w:val="24"/>
              </w:rPr>
            </w:pPr>
            <w:r>
              <w:rPr>
                <w:color w:val="231F20"/>
                <w:spacing w:val="-2"/>
                <w:sz w:val="24"/>
              </w:rPr>
              <w:t>81,014</w:t>
            </w:r>
          </w:p>
        </w:tc>
        <w:tc>
          <w:tcPr>
            <w:tcW w:w="935" w:type="dxa"/>
            <w:tcBorders>
              <w:top w:val="nil"/>
            </w:tcBorders>
          </w:tcPr>
          <w:p w14:paraId="7B1380F7" w14:textId="77777777" w:rsidR="00345EE3" w:rsidRDefault="00345EE3" w:rsidP="00D73130">
            <w:pPr>
              <w:pStyle w:val="TableParagraph"/>
              <w:ind w:right="53"/>
              <w:rPr>
                <w:sz w:val="24"/>
              </w:rPr>
            </w:pPr>
            <w:r>
              <w:rPr>
                <w:color w:val="231F20"/>
                <w:spacing w:val="-2"/>
                <w:sz w:val="24"/>
              </w:rPr>
              <w:t>82,945</w:t>
            </w:r>
          </w:p>
        </w:tc>
        <w:tc>
          <w:tcPr>
            <w:tcW w:w="935" w:type="dxa"/>
            <w:tcBorders>
              <w:top w:val="nil"/>
            </w:tcBorders>
          </w:tcPr>
          <w:p w14:paraId="3647862E" w14:textId="77777777" w:rsidR="00345EE3" w:rsidRDefault="00345EE3" w:rsidP="00D73130">
            <w:pPr>
              <w:pStyle w:val="TableParagraph"/>
              <w:ind w:right="52"/>
              <w:rPr>
                <w:sz w:val="24"/>
              </w:rPr>
            </w:pPr>
            <w:r>
              <w:rPr>
                <w:color w:val="231F20"/>
                <w:spacing w:val="-2"/>
                <w:sz w:val="24"/>
              </w:rPr>
              <w:t>85,359</w:t>
            </w:r>
          </w:p>
        </w:tc>
        <w:tc>
          <w:tcPr>
            <w:tcW w:w="935" w:type="dxa"/>
            <w:tcBorders>
              <w:top w:val="nil"/>
            </w:tcBorders>
            <w:shd w:val="clear" w:color="auto" w:fill="E6E7E8"/>
          </w:tcPr>
          <w:p w14:paraId="70F375B0" w14:textId="77777777" w:rsidR="00345EE3" w:rsidRDefault="00345EE3" w:rsidP="00D73130">
            <w:pPr>
              <w:pStyle w:val="TableParagraph"/>
              <w:spacing w:before="61"/>
              <w:ind w:left="131" w:right="32"/>
              <w:jc w:val="center"/>
              <w:rPr>
                <w:sz w:val="24"/>
              </w:rPr>
            </w:pPr>
            <w:r>
              <w:rPr>
                <w:color w:val="231F20"/>
                <w:spacing w:val="-2"/>
                <w:sz w:val="24"/>
              </w:rPr>
              <w:t>82,215</w:t>
            </w:r>
          </w:p>
        </w:tc>
        <w:tc>
          <w:tcPr>
            <w:tcW w:w="1247" w:type="dxa"/>
            <w:tcBorders>
              <w:top w:val="nil"/>
            </w:tcBorders>
          </w:tcPr>
          <w:p w14:paraId="46F6DF1E" w14:textId="77777777" w:rsidR="00345EE3" w:rsidRDefault="00345EE3" w:rsidP="00D73130">
            <w:pPr>
              <w:pStyle w:val="TableParagraph"/>
              <w:spacing w:before="61"/>
              <w:ind w:right="51"/>
              <w:rPr>
                <w:sz w:val="24"/>
              </w:rPr>
            </w:pPr>
            <w:r>
              <w:rPr>
                <w:color w:val="231F20"/>
                <w:spacing w:val="-3"/>
                <w:sz w:val="24"/>
              </w:rPr>
              <w:t>-</w:t>
            </w:r>
            <w:r>
              <w:rPr>
                <w:color w:val="231F20"/>
                <w:spacing w:val="-4"/>
                <w:sz w:val="24"/>
              </w:rPr>
              <w:t>3.7%</w:t>
            </w:r>
          </w:p>
        </w:tc>
        <w:tc>
          <w:tcPr>
            <w:tcW w:w="1247" w:type="dxa"/>
            <w:tcBorders>
              <w:top w:val="nil"/>
              <w:right w:val="nil"/>
            </w:tcBorders>
          </w:tcPr>
          <w:p w14:paraId="07DA573F" w14:textId="77777777" w:rsidR="00345EE3" w:rsidRDefault="00345EE3" w:rsidP="00D73130">
            <w:pPr>
              <w:pStyle w:val="TableParagraph"/>
              <w:spacing w:before="61"/>
              <w:ind w:right="51"/>
              <w:rPr>
                <w:sz w:val="24"/>
              </w:rPr>
            </w:pPr>
            <w:r>
              <w:rPr>
                <w:color w:val="231F20"/>
                <w:spacing w:val="-2"/>
                <w:sz w:val="24"/>
              </w:rPr>
              <w:t>+2.7%</w:t>
            </w:r>
          </w:p>
        </w:tc>
      </w:tr>
      <w:tr w:rsidR="00345EE3" w14:paraId="029472AD" w14:textId="77777777" w:rsidTr="00D73130">
        <w:trPr>
          <w:trHeight w:val="676"/>
        </w:trPr>
        <w:tc>
          <w:tcPr>
            <w:tcW w:w="3033" w:type="dxa"/>
            <w:tcBorders>
              <w:left w:val="nil"/>
            </w:tcBorders>
          </w:tcPr>
          <w:p w14:paraId="00834BD5" w14:textId="77777777" w:rsidR="00345EE3" w:rsidRDefault="00345EE3" w:rsidP="00D73130">
            <w:pPr>
              <w:pStyle w:val="TableParagraph"/>
              <w:spacing w:line="242" w:lineRule="auto"/>
              <w:ind w:left="-3"/>
              <w:jc w:val="left"/>
              <w:rPr>
                <w:sz w:val="24"/>
              </w:rPr>
            </w:pPr>
            <w:r>
              <w:rPr>
                <w:color w:val="231F20"/>
                <w:sz w:val="24"/>
              </w:rPr>
              <w:t>Property</w:t>
            </w:r>
            <w:r>
              <w:rPr>
                <w:color w:val="231F20"/>
                <w:spacing w:val="-17"/>
                <w:sz w:val="24"/>
              </w:rPr>
              <w:t xml:space="preserve"> </w:t>
            </w:r>
            <w:r>
              <w:rPr>
                <w:color w:val="231F20"/>
                <w:sz w:val="24"/>
              </w:rPr>
              <w:t>and</w:t>
            </w:r>
            <w:r>
              <w:rPr>
                <w:color w:val="231F20"/>
                <w:spacing w:val="-17"/>
                <w:sz w:val="24"/>
              </w:rPr>
              <w:t xml:space="preserve"> </w:t>
            </w:r>
            <w:r>
              <w:rPr>
                <w:color w:val="231F20"/>
                <w:sz w:val="24"/>
              </w:rPr>
              <w:t xml:space="preserve">Deception </w:t>
            </w:r>
            <w:r>
              <w:rPr>
                <w:color w:val="231F20"/>
                <w:spacing w:val="-2"/>
                <w:sz w:val="24"/>
              </w:rPr>
              <w:t>offences</w:t>
            </w:r>
          </w:p>
        </w:tc>
        <w:tc>
          <w:tcPr>
            <w:tcW w:w="935" w:type="dxa"/>
          </w:tcPr>
          <w:p w14:paraId="4800E220" w14:textId="77777777" w:rsidR="00345EE3" w:rsidRDefault="00345EE3" w:rsidP="00D73130">
            <w:pPr>
              <w:pStyle w:val="TableParagraph"/>
              <w:ind w:right="54"/>
              <w:rPr>
                <w:sz w:val="24"/>
              </w:rPr>
            </w:pPr>
            <w:r>
              <w:rPr>
                <w:color w:val="231F20"/>
                <w:spacing w:val="-2"/>
                <w:sz w:val="24"/>
              </w:rPr>
              <w:t>288,044</w:t>
            </w:r>
          </w:p>
        </w:tc>
        <w:tc>
          <w:tcPr>
            <w:tcW w:w="935" w:type="dxa"/>
          </w:tcPr>
          <w:p w14:paraId="64EFC4DC" w14:textId="77777777" w:rsidR="00345EE3" w:rsidRDefault="00345EE3" w:rsidP="00D73130">
            <w:pPr>
              <w:pStyle w:val="TableParagraph"/>
              <w:ind w:right="54"/>
              <w:rPr>
                <w:sz w:val="24"/>
              </w:rPr>
            </w:pPr>
            <w:r>
              <w:rPr>
                <w:color w:val="231F20"/>
                <w:spacing w:val="-2"/>
                <w:sz w:val="24"/>
              </w:rPr>
              <w:t>287,074</w:t>
            </w:r>
          </w:p>
        </w:tc>
        <w:tc>
          <w:tcPr>
            <w:tcW w:w="935" w:type="dxa"/>
          </w:tcPr>
          <w:p w14:paraId="5D600C0E" w14:textId="77777777" w:rsidR="00345EE3" w:rsidRDefault="00345EE3" w:rsidP="00D73130">
            <w:pPr>
              <w:pStyle w:val="TableParagraph"/>
              <w:ind w:right="54"/>
              <w:rPr>
                <w:sz w:val="24"/>
              </w:rPr>
            </w:pPr>
            <w:r>
              <w:rPr>
                <w:color w:val="231F20"/>
                <w:spacing w:val="-2"/>
                <w:sz w:val="24"/>
              </w:rPr>
              <w:t>303,924</w:t>
            </w:r>
          </w:p>
        </w:tc>
        <w:tc>
          <w:tcPr>
            <w:tcW w:w="935" w:type="dxa"/>
          </w:tcPr>
          <w:p w14:paraId="48BB50A6" w14:textId="77777777" w:rsidR="00345EE3" w:rsidRDefault="00345EE3" w:rsidP="00D73130">
            <w:pPr>
              <w:pStyle w:val="TableParagraph"/>
              <w:ind w:right="53"/>
              <w:rPr>
                <w:sz w:val="24"/>
              </w:rPr>
            </w:pPr>
            <w:r>
              <w:rPr>
                <w:color w:val="231F20"/>
                <w:spacing w:val="-2"/>
                <w:sz w:val="24"/>
              </w:rPr>
              <w:t>251,800</w:t>
            </w:r>
          </w:p>
        </w:tc>
        <w:tc>
          <w:tcPr>
            <w:tcW w:w="935" w:type="dxa"/>
            <w:shd w:val="clear" w:color="auto" w:fill="E6E7E8"/>
          </w:tcPr>
          <w:p w14:paraId="5511C8CB" w14:textId="77777777" w:rsidR="00345EE3" w:rsidRDefault="00345EE3" w:rsidP="00D73130">
            <w:pPr>
              <w:pStyle w:val="TableParagraph"/>
              <w:ind w:left="3" w:right="32"/>
              <w:jc w:val="center"/>
              <w:rPr>
                <w:sz w:val="24"/>
              </w:rPr>
            </w:pPr>
            <w:r>
              <w:rPr>
                <w:color w:val="231F20"/>
                <w:spacing w:val="-2"/>
                <w:sz w:val="24"/>
              </w:rPr>
              <w:t>236,043</w:t>
            </w:r>
          </w:p>
        </w:tc>
        <w:tc>
          <w:tcPr>
            <w:tcW w:w="1247" w:type="dxa"/>
          </w:tcPr>
          <w:p w14:paraId="26510171" w14:textId="77777777" w:rsidR="00345EE3" w:rsidRDefault="00345EE3" w:rsidP="00D73130">
            <w:pPr>
              <w:pStyle w:val="TableParagraph"/>
              <w:spacing w:before="61"/>
              <w:ind w:right="51"/>
              <w:rPr>
                <w:sz w:val="24"/>
              </w:rPr>
            </w:pPr>
            <w:r>
              <w:rPr>
                <w:color w:val="231F20"/>
                <w:spacing w:val="-3"/>
                <w:sz w:val="24"/>
              </w:rPr>
              <w:t>-</w:t>
            </w:r>
            <w:r>
              <w:rPr>
                <w:color w:val="231F20"/>
                <w:spacing w:val="-4"/>
                <w:sz w:val="24"/>
              </w:rPr>
              <w:t>6.3%</w:t>
            </w:r>
          </w:p>
        </w:tc>
        <w:tc>
          <w:tcPr>
            <w:tcW w:w="1247" w:type="dxa"/>
            <w:tcBorders>
              <w:right w:val="nil"/>
            </w:tcBorders>
          </w:tcPr>
          <w:p w14:paraId="0CB122E5" w14:textId="77777777" w:rsidR="00345EE3" w:rsidRDefault="00345EE3" w:rsidP="00D73130">
            <w:pPr>
              <w:pStyle w:val="TableParagraph"/>
              <w:spacing w:before="61"/>
              <w:ind w:right="51"/>
              <w:rPr>
                <w:sz w:val="24"/>
              </w:rPr>
            </w:pPr>
            <w:r>
              <w:rPr>
                <w:color w:val="231F20"/>
                <w:spacing w:val="-3"/>
                <w:sz w:val="24"/>
              </w:rPr>
              <w:t>-</w:t>
            </w:r>
            <w:r>
              <w:rPr>
                <w:color w:val="231F20"/>
                <w:spacing w:val="-2"/>
                <w:sz w:val="24"/>
              </w:rPr>
              <w:t>18.1%</w:t>
            </w:r>
          </w:p>
        </w:tc>
      </w:tr>
      <w:tr w:rsidR="00345EE3" w14:paraId="2D7FC887" w14:textId="77777777" w:rsidTr="00D73130">
        <w:trPr>
          <w:trHeight w:val="396"/>
        </w:trPr>
        <w:tc>
          <w:tcPr>
            <w:tcW w:w="3033" w:type="dxa"/>
            <w:tcBorders>
              <w:left w:val="nil"/>
            </w:tcBorders>
          </w:tcPr>
          <w:p w14:paraId="14001544" w14:textId="77777777" w:rsidR="00345EE3" w:rsidRDefault="00345EE3" w:rsidP="00D73130">
            <w:pPr>
              <w:pStyle w:val="TableParagraph"/>
              <w:ind w:left="-3"/>
              <w:jc w:val="left"/>
              <w:rPr>
                <w:sz w:val="24"/>
              </w:rPr>
            </w:pPr>
            <w:r>
              <w:rPr>
                <w:color w:val="231F20"/>
                <w:sz w:val="24"/>
              </w:rPr>
              <w:t>Drug</w:t>
            </w:r>
            <w:r>
              <w:rPr>
                <w:color w:val="231F20"/>
                <w:spacing w:val="-6"/>
                <w:sz w:val="24"/>
              </w:rPr>
              <w:t xml:space="preserve"> </w:t>
            </w:r>
            <w:r>
              <w:rPr>
                <w:color w:val="231F20"/>
                <w:spacing w:val="-2"/>
                <w:sz w:val="24"/>
              </w:rPr>
              <w:t>offences</w:t>
            </w:r>
          </w:p>
        </w:tc>
        <w:tc>
          <w:tcPr>
            <w:tcW w:w="935" w:type="dxa"/>
          </w:tcPr>
          <w:p w14:paraId="623C90F1" w14:textId="77777777" w:rsidR="00345EE3" w:rsidRDefault="00345EE3" w:rsidP="00D73130">
            <w:pPr>
              <w:pStyle w:val="TableParagraph"/>
              <w:spacing w:before="61"/>
              <w:ind w:right="54"/>
              <w:rPr>
                <w:sz w:val="24"/>
              </w:rPr>
            </w:pPr>
            <w:r>
              <w:rPr>
                <w:color w:val="231F20"/>
                <w:spacing w:val="-2"/>
                <w:sz w:val="24"/>
              </w:rPr>
              <w:t>29,863</w:t>
            </w:r>
          </w:p>
        </w:tc>
        <w:tc>
          <w:tcPr>
            <w:tcW w:w="935" w:type="dxa"/>
          </w:tcPr>
          <w:p w14:paraId="48916A15" w14:textId="77777777" w:rsidR="00345EE3" w:rsidRDefault="00345EE3" w:rsidP="00D73130">
            <w:pPr>
              <w:pStyle w:val="TableParagraph"/>
              <w:spacing w:before="61"/>
              <w:ind w:right="53"/>
              <w:rPr>
                <w:sz w:val="24"/>
              </w:rPr>
            </w:pPr>
            <w:r>
              <w:rPr>
                <w:color w:val="231F20"/>
                <w:spacing w:val="-2"/>
                <w:sz w:val="24"/>
              </w:rPr>
              <w:t>32,547</w:t>
            </w:r>
          </w:p>
        </w:tc>
        <w:tc>
          <w:tcPr>
            <w:tcW w:w="935" w:type="dxa"/>
          </w:tcPr>
          <w:p w14:paraId="0D9F7D20" w14:textId="77777777" w:rsidR="00345EE3" w:rsidRDefault="00345EE3" w:rsidP="00D73130">
            <w:pPr>
              <w:pStyle w:val="TableParagraph"/>
              <w:spacing w:before="61"/>
              <w:ind w:right="53"/>
              <w:rPr>
                <w:sz w:val="24"/>
              </w:rPr>
            </w:pPr>
            <w:r>
              <w:rPr>
                <w:color w:val="231F20"/>
                <w:spacing w:val="-2"/>
                <w:sz w:val="24"/>
              </w:rPr>
              <w:t>37,016</w:t>
            </w:r>
          </w:p>
        </w:tc>
        <w:tc>
          <w:tcPr>
            <w:tcW w:w="935" w:type="dxa"/>
          </w:tcPr>
          <w:p w14:paraId="3A8FF1C4" w14:textId="77777777" w:rsidR="00345EE3" w:rsidRDefault="00345EE3" w:rsidP="00D73130">
            <w:pPr>
              <w:pStyle w:val="TableParagraph"/>
              <w:spacing w:before="61"/>
              <w:ind w:right="52"/>
              <w:rPr>
                <w:sz w:val="24"/>
              </w:rPr>
            </w:pPr>
            <w:r>
              <w:rPr>
                <w:color w:val="231F20"/>
                <w:spacing w:val="-2"/>
                <w:sz w:val="24"/>
              </w:rPr>
              <w:t>36,803</w:t>
            </w:r>
          </w:p>
        </w:tc>
        <w:tc>
          <w:tcPr>
            <w:tcW w:w="935" w:type="dxa"/>
            <w:shd w:val="clear" w:color="auto" w:fill="E6E7E8"/>
          </w:tcPr>
          <w:p w14:paraId="3F3ACE6F" w14:textId="77777777" w:rsidR="00345EE3" w:rsidRDefault="00345EE3" w:rsidP="00D73130">
            <w:pPr>
              <w:pStyle w:val="TableParagraph"/>
              <w:spacing w:before="61"/>
              <w:ind w:left="131" w:right="32"/>
              <w:jc w:val="center"/>
              <w:rPr>
                <w:sz w:val="24"/>
              </w:rPr>
            </w:pPr>
            <w:r>
              <w:rPr>
                <w:color w:val="231F20"/>
                <w:spacing w:val="-2"/>
                <w:sz w:val="24"/>
              </w:rPr>
              <w:t>30,012</w:t>
            </w:r>
          </w:p>
        </w:tc>
        <w:tc>
          <w:tcPr>
            <w:tcW w:w="1247" w:type="dxa"/>
          </w:tcPr>
          <w:p w14:paraId="4E0E572F" w14:textId="77777777" w:rsidR="00345EE3" w:rsidRDefault="00345EE3" w:rsidP="00D73130">
            <w:pPr>
              <w:pStyle w:val="TableParagraph"/>
              <w:spacing w:before="61"/>
              <w:ind w:right="51"/>
              <w:rPr>
                <w:sz w:val="24"/>
              </w:rPr>
            </w:pPr>
            <w:r>
              <w:rPr>
                <w:color w:val="231F20"/>
                <w:spacing w:val="-3"/>
                <w:sz w:val="24"/>
              </w:rPr>
              <w:t>-</w:t>
            </w:r>
            <w:r>
              <w:rPr>
                <w:color w:val="231F20"/>
                <w:spacing w:val="-2"/>
                <w:sz w:val="24"/>
              </w:rPr>
              <w:t>18.5%</w:t>
            </w:r>
          </w:p>
        </w:tc>
        <w:tc>
          <w:tcPr>
            <w:tcW w:w="1247" w:type="dxa"/>
            <w:tcBorders>
              <w:right w:val="nil"/>
            </w:tcBorders>
          </w:tcPr>
          <w:p w14:paraId="17337E45" w14:textId="77777777" w:rsidR="00345EE3" w:rsidRDefault="00345EE3" w:rsidP="00D73130">
            <w:pPr>
              <w:pStyle w:val="TableParagraph"/>
              <w:spacing w:before="61"/>
              <w:ind w:right="51"/>
              <w:rPr>
                <w:sz w:val="24"/>
              </w:rPr>
            </w:pPr>
            <w:r>
              <w:rPr>
                <w:color w:val="231F20"/>
                <w:spacing w:val="-2"/>
                <w:sz w:val="24"/>
              </w:rPr>
              <w:t>+0.5%</w:t>
            </w:r>
          </w:p>
        </w:tc>
      </w:tr>
      <w:tr w:rsidR="00345EE3" w14:paraId="1DB439AE" w14:textId="77777777" w:rsidTr="00D73130">
        <w:trPr>
          <w:trHeight w:val="676"/>
        </w:trPr>
        <w:tc>
          <w:tcPr>
            <w:tcW w:w="3033" w:type="dxa"/>
            <w:tcBorders>
              <w:left w:val="nil"/>
            </w:tcBorders>
          </w:tcPr>
          <w:p w14:paraId="1A3CA402" w14:textId="77777777" w:rsidR="00345EE3" w:rsidRDefault="00345EE3" w:rsidP="00D73130">
            <w:pPr>
              <w:pStyle w:val="TableParagraph"/>
              <w:spacing w:line="242" w:lineRule="auto"/>
              <w:ind w:left="-3"/>
              <w:jc w:val="left"/>
              <w:rPr>
                <w:sz w:val="24"/>
              </w:rPr>
            </w:pPr>
            <w:r>
              <w:rPr>
                <w:color w:val="231F20"/>
                <w:sz w:val="24"/>
              </w:rPr>
              <w:t>Public</w:t>
            </w:r>
            <w:r>
              <w:rPr>
                <w:color w:val="231F20"/>
                <w:spacing w:val="-12"/>
                <w:sz w:val="24"/>
              </w:rPr>
              <w:t xml:space="preserve"> </w:t>
            </w:r>
            <w:r>
              <w:rPr>
                <w:color w:val="231F20"/>
                <w:sz w:val="24"/>
              </w:rPr>
              <w:t>Order</w:t>
            </w:r>
            <w:r>
              <w:rPr>
                <w:color w:val="231F20"/>
                <w:spacing w:val="-12"/>
                <w:sz w:val="24"/>
              </w:rPr>
              <w:t xml:space="preserve"> </w:t>
            </w:r>
            <w:r>
              <w:rPr>
                <w:color w:val="231F20"/>
                <w:sz w:val="24"/>
              </w:rPr>
              <w:t>and</w:t>
            </w:r>
            <w:r>
              <w:rPr>
                <w:color w:val="231F20"/>
                <w:spacing w:val="-12"/>
                <w:sz w:val="24"/>
              </w:rPr>
              <w:t xml:space="preserve"> </w:t>
            </w:r>
            <w:r>
              <w:rPr>
                <w:color w:val="231F20"/>
                <w:sz w:val="24"/>
              </w:rPr>
              <w:t xml:space="preserve">Security </w:t>
            </w:r>
            <w:r>
              <w:rPr>
                <w:color w:val="231F20"/>
                <w:spacing w:val="-2"/>
                <w:sz w:val="24"/>
              </w:rPr>
              <w:t>offences</w:t>
            </w:r>
          </w:p>
        </w:tc>
        <w:tc>
          <w:tcPr>
            <w:tcW w:w="935" w:type="dxa"/>
          </w:tcPr>
          <w:p w14:paraId="236CA6B6" w14:textId="77777777" w:rsidR="00345EE3" w:rsidRDefault="00345EE3" w:rsidP="00D73130">
            <w:pPr>
              <w:pStyle w:val="TableParagraph"/>
              <w:spacing w:before="61"/>
              <w:ind w:right="54"/>
              <w:rPr>
                <w:sz w:val="24"/>
              </w:rPr>
            </w:pPr>
            <w:r>
              <w:rPr>
                <w:color w:val="231F20"/>
                <w:spacing w:val="-2"/>
                <w:sz w:val="24"/>
              </w:rPr>
              <w:t>34,766</w:t>
            </w:r>
          </w:p>
        </w:tc>
        <w:tc>
          <w:tcPr>
            <w:tcW w:w="935" w:type="dxa"/>
          </w:tcPr>
          <w:p w14:paraId="1A44609F" w14:textId="77777777" w:rsidR="00345EE3" w:rsidRDefault="00345EE3" w:rsidP="00D73130">
            <w:pPr>
              <w:pStyle w:val="TableParagraph"/>
              <w:spacing w:before="61"/>
              <w:ind w:right="53"/>
              <w:rPr>
                <w:sz w:val="24"/>
              </w:rPr>
            </w:pPr>
            <w:r>
              <w:rPr>
                <w:color w:val="231F20"/>
                <w:spacing w:val="-2"/>
                <w:sz w:val="24"/>
              </w:rPr>
              <w:t>34,913</w:t>
            </w:r>
          </w:p>
        </w:tc>
        <w:tc>
          <w:tcPr>
            <w:tcW w:w="935" w:type="dxa"/>
          </w:tcPr>
          <w:p w14:paraId="4C3B78B2" w14:textId="77777777" w:rsidR="00345EE3" w:rsidRDefault="00345EE3" w:rsidP="00D73130">
            <w:pPr>
              <w:pStyle w:val="TableParagraph"/>
              <w:spacing w:before="61"/>
              <w:ind w:right="53"/>
              <w:rPr>
                <w:sz w:val="24"/>
              </w:rPr>
            </w:pPr>
            <w:r>
              <w:rPr>
                <w:color w:val="231F20"/>
                <w:spacing w:val="-2"/>
                <w:sz w:val="24"/>
              </w:rPr>
              <w:t>31,679</w:t>
            </w:r>
          </w:p>
        </w:tc>
        <w:tc>
          <w:tcPr>
            <w:tcW w:w="935" w:type="dxa"/>
          </w:tcPr>
          <w:p w14:paraId="209222B4" w14:textId="77777777" w:rsidR="00345EE3" w:rsidRDefault="00345EE3" w:rsidP="00D73130">
            <w:pPr>
              <w:pStyle w:val="TableParagraph"/>
              <w:spacing w:before="61"/>
              <w:ind w:right="52"/>
              <w:rPr>
                <w:sz w:val="24"/>
              </w:rPr>
            </w:pPr>
            <w:r>
              <w:rPr>
                <w:color w:val="231F20"/>
                <w:spacing w:val="-2"/>
                <w:sz w:val="24"/>
              </w:rPr>
              <w:t>29,857</w:t>
            </w:r>
          </w:p>
        </w:tc>
        <w:tc>
          <w:tcPr>
            <w:tcW w:w="935" w:type="dxa"/>
            <w:shd w:val="clear" w:color="auto" w:fill="E6E7E8"/>
          </w:tcPr>
          <w:p w14:paraId="214A054C" w14:textId="77777777" w:rsidR="00345EE3" w:rsidRDefault="00345EE3" w:rsidP="00D73130">
            <w:pPr>
              <w:pStyle w:val="TableParagraph"/>
              <w:spacing w:before="61"/>
              <w:ind w:left="131" w:right="32"/>
              <w:jc w:val="center"/>
              <w:rPr>
                <w:sz w:val="24"/>
              </w:rPr>
            </w:pPr>
            <w:r>
              <w:rPr>
                <w:color w:val="231F20"/>
                <w:spacing w:val="-2"/>
                <w:sz w:val="24"/>
              </w:rPr>
              <w:t>28,408</w:t>
            </w:r>
          </w:p>
        </w:tc>
        <w:tc>
          <w:tcPr>
            <w:tcW w:w="1247" w:type="dxa"/>
          </w:tcPr>
          <w:p w14:paraId="2FB9E70A" w14:textId="77777777" w:rsidR="00345EE3" w:rsidRDefault="00345EE3" w:rsidP="00D73130">
            <w:pPr>
              <w:pStyle w:val="TableParagraph"/>
              <w:spacing w:before="61"/>
              <w:ind w:right="51"/>
              <w:rPr>
                <w:sz w:val="24"/>
              </w:rPr>
            </w:pPr>
            <w:r>
              <w:rPr>
                <w:color w:val="231F20"/>
                <w:spacing w:val="-3"/>
                <w:sz w:val="24"/>
              </w:rPr>
              <w:t>-</w:t>
            </w:r>
            <w:r>
              <w:rPr>
                <w:color w:val="231F20"/>
                <w:spacing w:val="-4"/>
                <w:sz w:val="24"/>
              </w:rPr>
              <w:t>4.9%</w:t>
            </w:r>
          </w:p>
        </w:tc>
        <w:tc>
          <w:tcPr>
            <w:tcW w:w="1247" w:type="dxa"/>
            <w:tcBorders>
              <w:right w:val="nil"/>
            </w:tcBorders>
          </w:tcPr>
          <w:p w14:paraId="09E1277A" w14:textId="77777777" w:rsidR="00345EE3" w:rsidRDefault="00345EE3" w:rsidP="00D73130">
            <w:pPr>
              <w:pStyle w:val="TableParagraph"/>
              <w:spacing w:before="61"/>
              <w:ind w:right="51"/>
              <w:rPr>
                <w:sz w:val="24"/>
              </w:rPr>
            </w:pPr>
            <w:r>
              <w:rPr>
                <w:color w:val="231F20"/>
                <w:spacing w:val="-3"/>
                <w:sz w:val="24"/>
              </w:rPr>
              <w:t>-</w:t>
            </w:r>
            <w:r>
              <w:rPr>
                <w:color w:val="231F20"/>
                <w:spacing w:val="-2"/>
                <w:sz w:val="24"/>
              </w:rPr>
              <w:t>18.3%</w:t>
            </w:r>
          </w:p>
        </w:tc>
      </w:tr>
      <w:tr w:rsidR="00345EE3" w14:paraId="28E08576" w14:textId="77777777" w:rsidTr="00D73130">
        <w:trPr>
          <w:trHeight w:val="396"/>
        </w:trPr>
        <w:tc>
          <w:tcPr>
            <w:tcW w:w="3033" w:type="dxa"/>
            <w:tcBorders>
              <w:left w:val="nil"/>
            </w:tcBorders>
          </w:tcPr>
          <w:p w14:paraId="26159131" w14:textId="77777777" w:rsidR="00345EE3" w:rsidRDefault="00345EE3" w:rsidP="00D73130">
            <w:pPr>
              <w:pStyle w:val="TableParagraph"/>
              <w:spacing w:before="61"/>
              <w:ind w:left="-3"/>
              <w:jc w:val="left"/>
              <w:rPr>
                <w:sz w:val="24"/>
              </w:rPr>
            </w:pPr>
            <w:r>
              <w:rPr>
                <w:color w:val="231F20"/>
                <w:sz w:val="24"/>
              </w:rPr>
              <w:t xml:space="preserve">Justice Procedure </w:t>
            </w:r>
            <w:r>
              <w:rPr>
                <w:color w:val="231F20"/>
                <w:spacing w:val="-2"/>
                <w:sz w:val="24"/>
              </w:rPr>
              <w:t>offences</w:t>
            </w:r>
          </w:p>
        </w:tc>
        <w:tc>
          <w:tcPr>
            <w:tcW w:w="935" w:type="dxa"/>
          </w:tcPr>
          <w:p w14:paraId="246FDB7F" w14:textId="77777777" w:rsidR="00345EE3" w:rsidRDefault="00345EE3" w:rsidP="00D73130">
            <w:pPr>
              <w:pStyle w:val="TableParagraph"/>
              <w:spacing w:before="61"/>
              <w:ind w:right="53"/>
              <w:rPr>
                <w:sz w:val="24"/>
              </w:rPr>
            </w:pPr>
            <w:r>
              <w:rPr>
                <w:color w:val="231F20"/>
                <w:spacing w:val="-2"/>
                <w:sz w:val="24"/>
              </w:rPr>
              <w:t>71,066</w:t>
            </w:r>
          </w:p>
        </w:tc>
        <w:tc>
          <w:tcPr>
            <w:tcW w:w="935" w:type="dxa"/>
          </w:tcPr>
          <w:p w14:paraId="724450AE" w14:textId="77777777" w:rsidR="00345EE3" w:rsidRDefault="00345EE3" w:rsidP="00D73130">
            <w:pPr>
              <w:pStyle w:val="TableParagraph"/>
              <w:spacing w:before="61"/>
              <w:ind w:right="53"/>
              <w:rPr>
                <w:sz w:val="24"/>
              </w:rPr>
            </w:pPr>
            <w:r>
              <w:rPr>
                <w:color w:val="231F20"/>
                <w:spacing w:val="-2"/>
                <w:sz w:val="24"/>
              </w:rPr>
              <w:t>76,600</w:t>
            </w:r>
          </w:p>
        </w:tc>
        <w:tc>
          <w:tcPr>
            <w:tcW w:w="935" w:type="dxa"/>
          </w:tcPr>
          <w:p w14:paraId="41D8103B" w14:textId="77777777" w:rsidR="00345EE3" w:rsidRDefault="00345EE3" w:rsidP="00D73130">
            <w:pPr>
              <w:pStyle w:val="TableParagraph"/>
              <w:spacing w:before="61"/>
              <w:ind w:right="53"/>
              <w:rPr>
                <w:sz w:val="24"/>
              </w:rPr>
            </w:pPr>
            <w:r>
              <w:rPr>
                <w:color w:val="231F20"/>
                <w:spacing w:val="-2"/>
                <w:sz w:val="24"/>
              </w:rPr>
              <w:t>81,007</w:t>
            </w:r>
          </w:p>
        </w:tc>
        <w:tc>
          <w:tcPr>
            <w:tcW w:w="935" w:type="dxa"/>
          </w:tcPr>
          <w:p w14:paraId="18F38C5D" w14:textId="77777777" w:rsidR="00345EE3" w:rsidRDefault="00345EE3" w:rsidP="00D73130">
            <w:pPr>
              <w:pStyle w:val="TableParagraph"/>
              <w:spacing w:before="61"/>
              <w:ind w:right="53"/>
              <w:rPr>
                <w:sz w:val="24"/>
              </w:rPr>
            </w:pPr>
            <w:r>
              <w:rPr>
                <w:color w:val="231F20"/>
                <w:spacing w:val="-2"/>
                <w:sz w:val="24"/>
              </w:rPr>
              <w:t>84,615</w:t>
            </w:r>
          </w:p>
        </w:tc>
        <w:tc>
          <w:tcPr>
            <w:tcW w:w="935" w:type="dxa"/>
            <w:shd w:val="clear" w:color="auto" w:fill="E6E7E8"/>
          </w:tcPr>
          <w:p w14:paraId="525C98F6" w14:textId="77777777" w:rsidR="00345EE3" w:rsidRDefault="00345EE3" w:rsidP="00D73130">
            <w:pPr>
              <w:pStyle w:val="TableParagraph"/>
              <w:spacing w:before="61"/>
              <w:ind w:left="131" w:right="32"/>
              <w:jc w:val="center"/>
              <w:rPr>
                <w:sz w:val="24"/>
              </w:rPr>
            </w:pPr>
            <w:r>
              <w:rPr>
                <w:color w:val="231F20"/>
                <w:spacing w:val="-2"/>
                <w:sz w:val="24"/>
              </w:rPr>
              <w:t>81,724</w:t>
            </w:r>
          </w:p>
        </w:tc>
        <w:tc>
          <w:tcPr>
            <w:tcW w:w="1247" w:type="dxa"/>
          </w:tcPr>
          <w:p w14:paraId="4564F2A7" w14:textId="77777777" w:rsidR="00345EE3" w:rsidRDefault="00345EE3" w:rsidP="00D73130">
            <w:pPr>
              <w:pStyle w:val="TableParagraph"/>
              <w:spacing w:before="61"/>
              <w:ind w:right="51"/>
              <w:rPr>
                <w:sz w:val="24"/>
              </w:rPr>
            </w:pPr>
            <w:r>
              <w:rPr>
                <w:color w:val="231F20"/>
                <w:spacing w:val="-3"/>
                <w:sz w:val="24"/>
              </w:rPr>
              <w:t>-</w:t>
            </w:r>
            <w:r>
              <w:rPr>
                <w:color w:val="231F20"/>
                <w:spacing w:val="-4"/>
                <w:sz w:val="24"/>
              </w:rPr>
              <w:t>3.4%</w:t>
            </w:r>
          </w:p>
        </w:tc>
        <w:tc>
          <w:tcPr>
            <w:tcW w:w="1247" w:type="dxa"/>
            <w:tcBorders>
              <w:right w:val="nil"/>
            </w:tcBorders>
          </w:tcPr>
          <w:p w14:paraId="4CBDCFFA" w14:textId="77777777" w:rsidR="00345EE3" w:rsidRDefault="00345EE3" w:rsidP="00D73130">
            <w:pPr>
              <w:pStyle w:val="TableParagraph"/>
              <w:spacing w:before="61"/>
              <w:ind w:right="51"/>
              <w:rPr>
                <w:sz w:val="24"/>
              </w:rPr>
            </w:pPr>
            <w:r>
              <w:rPr>
                <w:color w:val="231F20"/>
                <w:spacing w:val="-2"/>
                <w:sz w:val="24"/>
              </w:rPr>
              <w:t>+15.0%</w:t>
            </w:r>
          </w:p>
        </w:tc>
      </w:tr>
      <w:tr w:rsidR="00345EE3" w14:paraId="568921AE" w14:textId="77777777" w:rsidTr="00D73130">
        <w:trPr>
          <w:trHeight w:val="396"/>
        </w:trPr>
        <w:tc>
          <w:tcPr>
            <w:tcW w:w="3033" w:type="dxa"/>
            <w:tcBorders>
              <w:left w:val="nil"/>
            </w:tcBorders>
          </w:tcPr>
          <w:p w14:paraId="486CB8F6" w14:textId="77777777" w:rsidR="00345EE3" w:rsidRDefault="00345EE3" w:rsidP="00D73130">
            <w:pPr>
              <w:pStyle w:val="TableParagraph"/>
              <w:spacing w:before="61"/>
              <w:ind w:left="-3"/>
              <w:jc w:val="left"/>
              <w:rPr>
                <w:sz w:val="24"/>
              </w:rPr>
            </w:pPr>
            <w:r>
              <w:rPr>
                <w:color w:val="231F20"/>
                <w:sz w:val="24"/>
              </w:rPr>
              <w:t xml:space="preserve">Other </w:t>
            </w:r>
            <w:r>
              <w:rPr>
                <w:color w:val="231F20"/>
                <w:spacing w:val="-2"/>
                <w:sz w:val="24"/>
              </w:rPr>
              <w:t>offences</w:t>
            </w:r>
            <w:r>
              <w:rPr>
                <w:color w:val="231F20"/>
                <w:spacing w:val="-2"/>
                <w:sz w:val="24"/>
                <w:vertAlign w:val="superscript"/>
              </w:rPr>
              <w:t>3</w:t>
            </w:r>
          </w:p>
        </w:tc>
        <w:tc>
          <w:tcPr>
            <w:tcW w:w="935" w:type="dxa"/>
          </w:tcPr>
          <w:p w14:paraId="0E009EF2" w14:textId="77777777" w:rsidR="00345EE3" w:rsidRDefault="00345EE3" w:rsidP="00D73130">
            <w:pPr>
              <w:pStyle w:val="TableParagraph"/>
              <w:spacing w:before="61"/>
              <w:ind w:right="53"/>
              <w:rPr>
                <w:sz w:val="24"/>
              </w:rPr>
            </w:pPr>
            <w:r>
              <w:rPr>
                <w:color w:val="231F20"/>
                <w:spacing w:val="-2"/>
                <w:sz w:val="24"/>
              </w:rPr>
              <w:t>2,033</w:t>
            </w:r>
          </w:p>
        </w:tc>
        <w:tc>
          <w:tcPr>
            <w:tcW w:w="935" w:type="dxa"/>
          </w:tcPr>
          <w:p w14:paraId="48DE5AC4" w14:textId="77777777" w:rsidR="00345EE3" w:rsidRDefault="00345EE3" w:rsidP="00D73130">
            <w:pPr>
              <w:pStyle w:val="TableParagraph"/>
              <w:spacing w:before="61"/>
              <w:ind w:right="53"/>
              <w:rPr>
                <w:sz w:val="24"/>
              </w:rPr>
            </w:pPr>
            <w:r>
              <w:rPr>
                <w:color w:val="231F20"/>
                <w:spacing w:val="-2"/>
                <w:sz w:val="24"/>
              </w:rPr>
              <w:t>1,335</w:t>
            </w:r>
          </w:p>
        </w:tc>
        <w:tc>
          <w:tcPr>
            <w:tcW w:w="935" w:type="dxa"/>
          </w:tcPr>
          <w:p w14:paraId="154CFB88" w14:textId="77777777" w:rsidR="00345EE3" w:rsidRDefault="00345EE3" w:rsidP="00D73130">
            <w:pPr>
              <w:pStyle w:val="TableParagraph"/>
              <w:spacing w:before="61"/>
              <w:ind w:right="50"/>
              <w:rPr>
                <w:sz w:val="24"/>
              </w:rPr>
            </w:pPr>
            <w:r>
              <w:rPr>
                <w:color w:val="231F20"/>
                <w:spacing w:val="-2"/>
                <w:sz w:val="24"/>
              </w:rPr>
              <w:t>7,411</w:t>
            </w:r>
          </w:p>
        </w:tc>
        <w:tc>
          <w:tcPr>
            <w:tcW w:w="935" w:type="dxa"/>
          </w:tcPr>
          <w:p w14:paraId="455A3A37" w14:textId="77777777" w:rsidR="00345EE3" w:rsidRDefault="00345EE3" w:rsidP="00D73130">
            <w:pPr>
              <w:pStyle w:val="TableParagraph"/>
              <w:spacing w:before="61"/>
              <w:ind w:right="50"/>
              <w:rPr>
                <w:sz w:val="24"/>
              </w:rPr>
            </w:pPr>
            <w:r>
              <w:rPr>
                <w:color w:val="231F20"/>
                <w:spacing w:val="-2"/>
                <w:sz w:val="24"/>
              </w:rPr>
              <w:t>33,211</w:t>
            </w:r>
          </w:p>
        </w:tc>
        <w:tc>
          <w:tcPr>
            <w:tcW w:w="935" w:type="dxa"/>
            <w:shd w:val="clear" w:color="auto" w:fill="E6E7E8"/>
          </w:tcPr>
          <w:p w14:paraId="31783775" w14:textId="77777777" w:rsidR="00345EE3" w:rsidRDefault="00345EE3" w:rsidP="00D73130">
            <w:pPr>
              <w:pStyle w:val="TableParagraph"/>
              <w:spacing w:before="61"/>
              <w:ind w:left="133" w:right="16"/>
              <w:jc w:val="center"/>
              <w:rPr>
                <w:sz w:val="24"/>
              </w:rPr>
            </w:pPr>
            <w:r>
              <w:rPr>
                <w:color w:val="231F20"/>
                <w:spacing w:val="-2"/>
                <w:sz w:val="24"/>
              </w:rPr>
              <w:t>11,104</w:t>
            </w:r>
          </w:p>
        </w:tc>
        <w:tc>
          <w:tcPr>
            <w:tcW w:w="1247" w:type="dxa"/>
          </w:tcPr>
          <w:p w14:paraId="6BF4576C" w14:textId="77777777" w:rsidR="00345EE3" w:rsidRDefault="00345EE3" w:rsidP="00D73130">
            <w:pPr>
              <w:pStyle w:val="TableParagraph"/>
              <w:spacing w:before="61"/>
              <w:ind w:right="51"/>
              <w:rPr>
                <w:sz w:val="24"/>
              </w:rPr>
            </w:pPr>
            <w:r>
              <w:rPr>
                <w:color w:val="231F20"/>
                <w:spacing w:val="-3"/>
                <w:sz w:val="24"/>
              </w:rPr>
              <w:t>-</w:t>
            </w:r>
            <w:r>
              <w:rPr>
                <w:color w:val="231F20"/>
                <w:spacing w:val="-2"/>
                <w:sz w:val="24"/>
              </w:rPr>
              <w:t>66.6%</w:t>
            </w:r>
          </w:p>
        </w:tc>
        <w:tc>
          <w:tcPr>
            <w:tcW w:w="1247" w:type="dxa"/>
            <w:tcBorders>
              <w:right w:val="nil"/>
            </w:tcBorders>
          </w:tcPr>
          <w:p w14:paraId="17CAB4DC" w14:textId="77777777" w:rsidR="00345EE3" w:rsidRDefault="00345EE3" w:rsidP="00D73130">
            <w:pPr>
              <w:pStyle w:val="TableParagraph"/>
              <w:spacing w:before="61"/>
              <w:ind w:right="51"/>
              <w:rPr>
                <w:sz w:val="24"/>
              </w:rPr>
            </w:pPr>
            <w:r>
              <w:rPr>
                <w:color w:val="231F20"/>
                <w:spacing w:val="-2"/>
                <w:sz w:val="24"/>
              </w:rPr>
              <w:t>+446.2%</w:t>
            </w:r>
          </w:p>
        </w:tc>
      </w:tr>
      <w:tr w:rsidR="00345EE3" w14:paraId="72501D1B" w14:textId="77777777" w:rsidTr="00D73130">
        <w:trPr>
          <w:trHeight w:val="396"/>
        </w:trPr>
        <w:tc>
          <w:tcPr>
            <w:tcW w:w="3033" w:type="dxa"/>
            <w:tcBorders>
              <w:left w:val="nil"/>
            </w:tcBorders>
          </w:tcPr>
          <w:p w14:paraId="65DDEE2B" w14:textId="77777777" w:rsidR="00345EE3" w:rsidRDefault="00345EE3" w:rsidP="00D73130">
            <w:pPr>
              <w:pStyle w:val="TableParagraph"/>
              <w:ind w:left="-3"/>
              <w:jc w:val="left"/>
              <w:rPr>
                <w:b/>
                <w:sz w:val="24"/>
              </w:rPr>
            </w:pPr>
            <w:r>
              <w:rPr>
                <w:b/>
                <w:color w:val="231F20"/>
                <w:spacing w:val="-2"/>
                <w:sz w:val="24"/>
              </w:rPr>
              <w:t>Total</w:t>
            </w:r>
            <w:r>
              <w:rPr>
                <w:b/>
                <w:color w:val="231F20"/>
                <w:spacing w:val="-8"/>
                <w:sz w:val="24"/>
              </w:rPr>
              <w:t xml:space="preserve"> </w:t>
            </w:r>
            <w:r>
              <w:rPr>
                <w:b/>
                <w:color w:val="231F20"/>
                <w:spacing w:val="-2"/>
                <w:sz w:val="24"/>
              </w:rPr>
              <w:t>offences</w:t>
            </w:r>
          </w:p>
        </w:tc>
        <w:tc>
          <w:tcPr>
            <w:tcW w:w="935" w:type="dxa"/>
          </w:tcPr>
          <w:p w14:paraId="0E06DF49" w14:textId="77777777" w:rsidR="00345EE3" w:rsidRDefault="00345EE3" w:rsidP="00D73130">
            <w:pPr>
              <w:pStyle w:val="TableParagraph"/>
              <w:spacing w:before="61"/>
              <w:ind w:right="54"/>
              <w:rPr>
                <w:sz w:val="24"/>
              </w:rPr>
            </w:pPr>
            <w:r>
              <w:rPr>
                <w:color w:val="231F20"/>
                <w:spacing w:val="-2"/>
                <w:sz w:val="24"/>
              </w:rPr>
              <w:t>505,802</w:t>
            </w:r>
          </w:p>
        </w:tc>
        <w:tc>
          <w:tcPr>
            <w:tcW w:w="935" w:type="dxa"/>
          </w:tcPr>
          <w:p w14:paraId="38B0AA11" w14:textId="77777777" w:rsidR="00345EE3" w:rsidRDefault="00345EE3" w:rsidP="00D73130">
            <w:pPr>
              <w:pStyle w:val="TableParagraph"/>
              <w:spacing w:before="61"/>
              <w:ind w:right="54"/>
              <w:rPr>
                <w:sz w:val="24"/>
              </w:rPr>
            </w:pPr>
            <w:r>
              <w:rPr>
                <w:color w:val="231F20"/>
                <w:spacing w:val="-2"/>
                <w:sz w:val="24"/>
              </w:rPr>
              <w:t>513,483</w:t>
            </w:r>
          </w:p>
        </w:tc>
        <w:tc>
          <w:tcPr>
            <w:tcW w:w="935" w:type="dxa"/>
          </w:tcPr>
          <w:p w14:paraId="6C793101" w14:textId="77777777" w:rsidR="00345EE3" w:rsidRDefault="00345EE3" w:rsidP="00D73130">
            <w:pPr>
              <w:pStyle w:val="TableParagraph"/>
              <w:spacing w:before="61"/>
              <w:ind w:right="54"/>
              <w:rPr>
                <w:sz w:val="24"/>
              </w:rPr>
            </w:pPr>
            <w:r>
              <w:rPr>
                <w:color w:val="231F20"/>
                <w:spacing w:val="-2"/>
                <w:sz w:val="24"/>
              </w:rPr>
              <w:t>543,982</w:t>
            </w:r>
          </w:p>
        </w:tc>
        <w:tc>
          <w:tcPr>
            <w:tcW w:w="935" w:type="dxa"/>
          </w:tcPr>
          <w:p w14:paraId="0059E39C" w14:textId="77777777" w:rsidR="00345EE3" w:rsidRDefault="00345EE3" w:rsidP="00D73130">
            <w:pPr>
              <w:pStyle w:val="TableParagraph"/>
              <w:spacing w:before="61"/>
              <w:ind w:right="54"/>
              <w:rPr>
                <w:sz w:val="24"/>
              </w:rPr>
            </w:pPr>
            <w:r>
              <w:rPr>
                <w:color w:val="231F20"/>
                <w:spacing w:val="-2"/>
                <w:sz w:val="24"/>
              </w:rPr>
              <w:t>521,645</w:t>
            </w:r>
          </w:p>
        </w:tc>
        <w:tc>
          <w:tcPr>
            <w:tcW w:w="935" w:type="dxa"/>
            <w:shd w:val="clear" w:color="auto" w:fill="E6E7E8"/>
          </w:tcPr>
          <w:p w14:paraId="137D8F0C" w14:textId="77777777" w:rsidR="00345EE3" w:rsidRDefault="00345EE3" w:rsidP="00D73130">
            <w:pPr>
              <w:pStyle w:val="TableParagraph"/>
              <w:spacing w:before="61"/>
              <w:ind w:left="2" w:right="32"/>
              <w:jc w:val="center"/>
              <w:rPr>
                <w:sz w:val="24"/>
              </w:rPr>
            </w:pPr>
            <w:r>
              <w:rPr>
                <w:color w:val="231F20"/>
                <w:spacing w:val="-2"/>
                <w:sz w:val="24"/>
              </w:rPr>
              <w:t>469,506</w:t>
            </w:r>
          </w:p>
        </w:tc>
        <w:tc>
          <w:tcPr>
            <w:tcW w:w="1247" w:type="dxa"/>
          </w:tcPr>
          <w:p w14:paraId="52E57BC1" w14:textId="77777777" w:rsidR="00345EE3" w:rsidRDefault="00345EE3" w:rsidP="00D73130">
            <w:pPr>
              <w:pStyle w:val="TableParagraph"/>
              <w:spacing w:before="61"/>
              <w:ind w:right="51"/>
              <w:rPr>
                <w:sz w:val="24"/>
              </w:rPr>
            </w:pPr>
            <w:r>
              <w:rPr>
                <w:color w:val="231F20"/>
                <w:spacing w:val="-3"/>
                <w:sz w:val="24"/>
              </w:rPr>
              <w:t>-</w:t>
            </w:r>
            <w:r>
              <w:rPr>
                <w:color w:val="231F20"/>
                <w:spacing w:val="-2"/>
                <w:sz w:val="24"/>
              </w:rPr>
              <w:t>10.0%</w:t>
            </w:r>
          </w:p>
        </w:tc>
        <w:tc>
          <w:tcPr>
            <w:tcW w:w="1247" w:type="dxa"/>
            <w:tcBorders>
              <w:right w:val="nil"/>
            </w:tcBorders>
          </w:tcPr>
          <w:p w14:paraId="48C96C64" w14:textId="77777777" w:rsidR="00345EE3" w:rsidRDefault="00345EE3" w:rsidP="00D73130">
            <w:pPr>
              <w:pStyle w:val="TableParagraph"/>
              <w:spacing w:before="61"/>
              <w:ind w:right="51"/>
              <w:rPr>
                <w:sz w:val="24"/>
              </w:rPr>
            </w:pPr>
            <w:r>
              <w:rPr>
                <w:color w:val="231F20"/>
                <w:spacing w:val="-3"/>
                <w:sz w:val="24"/>
              </w:rPr>
              <w:t>-</w:t>
            </w:r>
            <w:r>
              <w:rPr>
                <w:color w:val="231F20"/>
                <w:spacing w:val="-4"/>
                <w:sz w:val="24"/>
              </w:rPr>
              <w:t>7.2%</w:t>
            </w:r>
          </w:p>
        </w:tc>
      </w:tr>
      <w:tr w:rsidR="00345EE3" w14:paraId="0FE1B644" w14:textId="77777777" w:rsidTr="00D73130">
        <w:trPr>
          <w:trHeight w:val="671"/>
        </w:trPr>
        <w:tc>
          <w:tcPr>
            <w:tcW w:w="3033" w:type="dxa"/>
            <w:tcBorders>
              <w:left w:val="nil"/>
              <w:bottom w:val="single" w:sz="6" w:space="0" w:color="231F20"/>
            </w:tcBorders>
          </w:tcPr>
          <w:p w14:paraId="06797A6A" w14:textId="77777777" w:rsidR="00345EE3" w:rsidRDefault="00345EE3" w:rsidP="00D73130">
            <w:pPr>
              <w:pStyle w:val="TableParagraph"/>
              <w:spacing w:line="242" w:lineRule="auto"/>
              <w:ind w:left="-3"/>
              <w:jc w:val="left"/>
              <w:rPr>
                <w:b/>
                <w:sz w:val="24"/>
              </w:rPr>
            </w:pPr>
            <w:r>
              <w:rPr>
                <w:b/>
                <w:color w:val="231F20"/>
                <w:sz w:val="24"/>
              </w:rPr>
              <w:t>Total</w:t>
            </w:r>
            <w:r>
              <w:rPr>
                <w:b/>
                <w:color w:val="231F20"/>
                <w:spacing w:val="-19"/>
                <w:sz w:val="24"/>
              </w:rPr>
              <w:t xml:space="preserve"> </w:t>
            </w:r>
            <w:r>
              <w:rPr>
                <w:b/>
                <w:color w:val="231F20"/>
                <w:sz w:val="24"/>
              </w:rPr>
              <w:t>offences</w:t>
            </w:r>
            <w:r>
              <w:rPr>
                <w:b/>
                <w:color w:val="231F20"/>
                <w:spacing w:val="-17"/>
                <w:sz w:val="24"/>
              </w:rPr>
              <w:t xml:space="preserve"> </w:t>
            </w:r>
            <w:r>
              <w:rPr>
                <w:b/>
                <w:color w:val="231F20"/>
                <w:sz w:val="24"/>
              </w:rPr>
              <w:t>rate</w:t>
            </w:r>
            <w:r>
              <w:rPr>
                <w:b/>
                <w:color w:val="231F20"/>
                <w:spacing w:val="-16"/>
                <w:sz w:val="24"/>
              </w:rPr>
              <w:t xml:space="preserve"> </w:t>
            </w:r>
            <w:r>
              <w:rPr>
                <w:b/>
                <w:color w:val="231F20"/>
                <w:sz w:val="24"/>
              </w:rPr>
              <w:t>per 100,000 population</w:t>
            </w:r>
          </w:p>
        </w:tc>
        <w:tc>
          <w:tcPr>
            <w:tcW w:w="935" w:type="dxa"/>
            <w:tcBorders>
              <w:bottom w:val="single" w:sz="6" w:space="0" w:color="231F20"/>
            </w:tcBorders>
          </w:tcPr>
          <w:p w14:paraId="7D59F3AB" w14:textId="77777777" w:rsidR="00345EE3" w:rsidRDefault="00345EE3" w:rsidP="00D73130">
            <w:pPr>
              <w:pStyle w:val="TableParagraph"/>
              <w:spacing w:before="61"/>
              <w:ind w:right="54"/>
              <w:rPr>
                <w:sz w:val="24"/>
              </w:rPr>
            </w:pPr>
            <w:r>
              <w:rPr>
                <w:color w:val="231F20"/>
                <w:spacing w:val="-2"/>
                <w:sz w:val="24"/>
              </w:rPr>
              <w:t>7,880.8</w:t>
            </w:r>
          </w:p>
        </w:tc>
        <w:tc>
          <w:tcPr>
            <w:tcW w:w="935" w:type="dxa"/>
            <w:tcBorders>
              <w:bottom w:val="single" w:sz="6" w:space="0" w:color="231F20"/>
            </w:tcBorders>
          </w:tcPr>
          <w:p w14:paraId="7EE5EC0A" w14:textId="77777777" w:rsidR="00345EE3" w:rsidRDefault="00345EE3" w:rsidP="00D73130">
            <w:pPr>
              <w:pStyle w:val="TableParagraph"/>
              <w:spacing w:before="61"/>
              <w:ind w:right="54"/>
              <w:rPr>
                <w:sz w:val="24"/>
              </w:rPr>
            </w:pPr>
            <w:r>
              <w:rPr>
                <w:color w:val="231F20"/>
                <w:spacing w:val="-2"/>
                <w:sz w:val="24"/>
              </w:rPr>
              <w:t>7,862.4</w:t>
            </w:r>
          </w:p>
        </w:tc>
        <w:tc>
          <w:tcPr>
            <w:tcW w:w="935" w:type="dxa"/>
            <w:tcBorders>
              <w:bottom w:val="single" w:sz="6" w:space="0" w:color="231F20"/>
            </w:tcBorders>
          </w:tcPr>
          <w:p w14:paraId="559D44D3" w14:textId="77777777" w:rsidR="00345EE3" w:rsidRDefault="00345EE3" w:rsidP="00D73130">
            <w:pPr>
              <w:pStyle w:val="TableParagraph"/>
              <w:spacing w:before="61"/>
              <w:ind w:right="53"/>
              <w:rPr>
                <w:sz w:val="24"/>
              </w:rPr>
            </w:pPr>
            <w:r>
              <w:rPr>
                <w:color w:val="231F20"/>
                <w:spacing w:val="-2"/>
                <w:sz w:val="24"/>
              </w:rPr>
              <w:t>8,234.5</w:t>
            </w:r>
          </w:p>
        </w:tc>
        <w:tc>
          <w:tcPr>
            <w:tcW w:w="935" w:type="dxa"/>
            <w:tcBorders>
              <w:bottom w:val="single" w:sz="6" w:space="0" w:color="231F20"/>
            </w:tcBorders>
          </w:tcPr>
          <w:p w14:paraId="0D6642F9" w14:textId="77777777" w:rsidR="00345EE3" w:rsidRDefault="00345EE3" w:rsidP="00D73130">
            <w:pPr>
              <w:pStyle w:val="TableParagraph"/>
              <w:spacing w:before="61"/>
              <w:ind w:right="52"/>
              <w:rPr>
                <w:sz w:val="24"/>
              </w:rPr>
            </w:pPr>
            <w:r>
              <w:rPr>
                <w:color w:val="231F20"/>
                <w:spacing w:val="-2"/>
                <w:sz w:val="24"/>
              </w:rPr>
              <w:t>7,966.4</w:t>
            </w:r>
          </w:p>
        </w:tc>
        <w:tc>
          <w:tcPr>
            <w:tcW w:w="935" w:type="dxa"/>
            <w:tcBorders>
              <w:bottom w:val="single" w:sz="6" w:space="0" w:color="231F20"/>
            </w:tcBorders>
            <w:shd w:val="clear" w:color="auto" w:fill="E6E7E8"/>
          </w:tcPr>
          <w:p w14:paraId="272408A6" w14:textId="77777777" w:rsidR="00345EE3" w:rsidRDefault="00345EE3" w:rsidP="00D73130">
            <w:pPr>
              <w:pStyle w:val="TableParagraph"/>
              <w:spacing w:before="61"/>
              <w:ind w:left="67" w:right="32"/>
              <w:jc w:val="center"/>
              <w:rPr>
                <w:sz w:val="24"/>
              </w:rPr>
            </w:pPr>
            <w:r>
              <w:rPr>
                <w:color w:val="231F20"/>
                <w:spacing w:val="-2"/>
                <w:sz w:val="24"/>
              </w:rPr>
              <w:t>7,121.5</w:t>
            </w:r>
          </w:p>
        </w:tc>
        <w:tc>
          <w:tcPr>
            <w:tcW w:w="1247" w:type="dxa"/>
            <w:tcBorders>
              <w:bottom w:val="single" w:sz="6" w:space="0" w:color="231F20"/>
            </w:tcBorders>
          </w:tcPr>
          <w:p w14:paraId="2C6C9901" w14:textId="77777777" w:rsidR="00345EE3" w:rsidRDefault="00345EE3" w:rsidP="00D73130">
            <w:pPr>
              <w:pStyle w:val="TableParagraph"/>
              <w:spacing w:before="61"/>
              <w:ind w:right="51"/>
              <w:rPr>
                <w:sz w:val="24"/>
              </w:rPr>
            </w:pPr>
            <w:r>
              <w:rPr>
                <w:color w:val="231F20"/>
                <w:spacing w:val="-3"/>
                <w:sz w:val="24"/>
              </w:rPr>
              <w:t>-</w:t>
            </w:r>
            <w:r>
              <w:rPr>
                <w:color w:val="231F20"/>
                <w:spacing w:val="-2"/>
                <w:sz w:val="24"/>
              </w:rPr>
              <w:t>10.6%</w:t>
            </w:r>
          </w:p>
        </w:tc>
        <w:tc>
          <w:tcPr>
            <w:tcW w:w="1247" w:type="dxa"/>
            <w:tcBorders>
              <w:bottom w:val="single" w:sz="6" w:space="0" w:color="231F20"/>
              <w:right w:val="nil"/>
            </w:tcBorders>
          </w:tcPr>
          <w:p w14:paraId="5D3686E4" w14:textId="77777777" w:rsidR="00345EE3" w:rsidRDefault="00345EE3" w:rsidP="00D73130">
            <w:pPr>
              <w:pStyle w:val="TableParagraph"/>
              <w:spacing w:before="61"/>
              <w:ind w:right="51"/>
              <w:rPr>
                <w:sz w:val="24"/>
              </w:rPr>
            </w:pPr>
            <w:r>
              <w:rPr>
                <w:color w:val="231F20"/>
                <w:spacing w:val="-3"/>
                <w:sz w:val="24"/>
              </w:rPr>
              <w:t>-</w:t>
            </w:r>
            <w:r>
              <w:rPr>
                <w:color w:val="231F20"/>
                <w:spacing w:val="-4"/>
                <w:sz w:val="24"/>
              </w:rPr>
              <w:t>9.6%</w:t>
            </w:r>
          </w:p>
        </w:tc>
      </w:tr>
    </w:tbl>
    <w:p w14:paraId="611A1595" w14:textId="77777777" w:rsidR="00345EE3" w:rsidRPr="003E6588" w:rsidRDefault="00345EE3" w:rsidP="00345EE3">
      <w:pPr>
        <w:spacing w:before="74"/>
        <w:ind w:left="337" w:right="1140" w:hanging="227"/>
        <w:rPr>
          <w:sz w:val="18"/>
          <w:szCs w:val="18"/>
        </w:rPr>
      </w:pPr>
      <w:r w:rsidRPr="003E6588">
        <w:rPr>
          <w:color w:val="231F20"/>
          <w:sz w:val="18"/>
          <w:szCs w:val="18"/>
        </w:rPr>
        <w:t>3</w:t>
      </w:r>
      <w:r w:rsidRPr="003E6588">
        <w:rPr>
          <w:color w:val="231F20"/>
          <w:spacing w:val="40"/>
          <w:sz w:val="18"/>
          <w:szCs w:val="18"/>
        </w:rPr>
        <w:t xml:space="preserve">  </w:t>
      </w:r>
      <w:r w:rsidRPr="003E6588">
        <w:rPr>
          <w:color w:val="231F20"/>
          <w:sz w:val="18"/>
          <w:szCs w:val="18"/>
        </w:rPr>
        <w:t xml:space="preserve">Further information about the CSA offence classification is available at </w:t>
      </w:r>
      <w:hyperlink r:id="rId20">
        <w:r w:rsidRPr="003E6588">
          <w:rPr>
            <w:b/>
            <w:color w:val="00529F"/>
            <w:sz w:val="18"/>
            <w:szCs w:val="18"/>
            <w:u w:val="single" w:color="00529F"/>
          </w:rPr>
          <w:t>crimestatistics.vic.gov.au/about-the-data/classifications-and-victorian-map-</w:t>
        </w:r>
      </w:hyperlink>
      <w:hyperlink r:id="rId21">
        <w:r w:rsidRPr="003E6588">
          <w:rPr>
            <w:b/>
            <w:color w:val="00529F"/>
            <w:spacing w:val="-2"/>
            <w:sz w:val="18"/>
            <w:szCs w:val="18"/>
            <w:u w:val="single" w:color="00529F"/>
          </w:rPr>
          <w:t>boundaries/offence-classification</w:t>
        </w:r>
      </w:hyperlink>
      <w:r w:rsidRPr="003E6588">
        <w:rPr>
          <w:color w:val="231F20"/>
          <w:spacing w:val="-2"/>
          <w:sz w:val="18"/>
          <w:szCs w:val="18"/>
        </w:rPr>
        <w:t>.</w:t>
      </w:r>
    </w:p>
    <w:p w14:paraId="40BAEEE3" w14:textId="77777777" w:rsidR="00345EE3" w:rsidRPr="003E6588" w:rsidRDefault="00345EE3" w:rsidP="00345EE3">
      <w:pPr>
        <w:spacing w:before="111"/>
        <w:ind w:left="110"/>
        <w:rPr>
          <w:sz w:val="18"/>
          <w:szCs w:val="18"/>
        </w:rPr>
      </w:pPr>
      <w:r w:rsidRPr="003E6588">
        <w:rPr>
          <w:rFonts w:ascii="Arial-BoldItalicMT"/>
          <w:b/>
          <w:i/>
          <w:color w:val="231F20"/>
          <w:sz w:val="18"/>
          <w:szCs w:val="18"/>
        </w:rPr>
        <w:t>Source:</w:t>
      </w:r>
      <w:r w:rsidRPr="003E6588">
        <w:rPr>
          <w:rFonts w:ascii="Arial-BoldItalicMT"/>
          <w:b/>
          <w:i/>
          <w:color w:val="231F20"/>
          <w:spacing w:val="-2"/>
          <w:sz w:val="18"/>
          <w:szCs w:val="18"/>
        </w:rPr>
        <w:t xml:space="preserve"> </w:t>
      </w:r>
      <w:r w:rsidRPr="003E6588">
        <w:rPr>
          <w:color w:val="231F20"/>
          <w:sz w:val="18"/>
          <w:szCs w:val="18"/>
        </w:rPr>
        <w:t>Crime</w:t>
      </w:r>
      <w:r w:rsidRPr="003E6588">
        <w:rPr>
          <w:color w:val="231F20"/>
          <w:spacing w:val="-1"/>
          <w:sz w:val="18"/>
          <w:szCs w:val="18"/>
        </w:rPr>
        <w:t xml:space="preserve"> </w:t>
      </w:r>
      <w:r w:rsidRPr="003E6588">
        <w:rPr>
          <w:color w:val="231F20"/>
          <w:sz w:val="18"/>
          <w:szCs w:val="18"/>
        </w:rPr>
        <w:t>Statistics Agency.</w:t>
      </w:r>
      <w:r w:rsidRPr="003E6588">
        <w:rPr>
          <w:color w:val="231F20"/>
          <w:spacing w:val="-1"/>
          <w:sz w:val="18"/>
          <w:szCs w:val="18"/>
        </w:rPr>
        <w:t xml:space="preserve"> </w:t>
      </w:r>
      <w:r w:rsidRPr="003E6588">
        <w:rPr>
          <w:color w:val="231F20"/>
          <w:sz w:val="18"/>
          <w:szCs w:val="18"/>
        </w:rPr>
        <w:t>Data</w:t>
      </w:r>
      <w:r w:rsidRPr="003E6588">
        <w:rPr>
          <w:color w:val="231F20"/>
          <w:spacing w:val="-1"/>
          <w:sz w:val="18"/>
          <w:szCs w:val="18"/>
        </w:rPr>
        <w:t xml:space="preserve"> </w:t>
      </w:r>
      <w:r w:rsidRPr="003E6588">
        <w:rPr>
          <w:color w:val="231F20"/>
          <w:sz w:val="18"/>
          <w:szCs w:val="18"/>
        </w:rPr>
        <w:t>extracted from</w:t>
      </w:r>
      <w:r w:rsidRPr="003E6588">
        <w:rPr>
          <w:color w:val="231F20"/>
          <w:spacing w:val="-1"/>
          <w:sz w:val="18"/>
          <w:szCs w:val="18"/>
        </w:rPr>
        <w:t xml:space="preserve"> </w:t>
      </w:r>
      <w:r w:rsidRPr="003E6588">
        <w:rPr>
          <w:color w:val="231F20"/>
          <w:sz w:val="18"/>
          <w:szCs w:val="18"/>
        </w:rPr>
        <w:t>LEAP on</w:t>
      </w:r>
      <w:r w:rsidRPr="003E6588">
        <w:rPr>
          <w:color w:val="231F20"/>
          <w:spacing w:val="-1"/>
          <w:sz w:val="18"/>
          <w:szCs w:val="18"/>
        </w:rPr>
        <w:t xml:space="preserve"> </w:t>
      </w:r>
      <w:r w:rsidRPr="003E6588">
        <w:rPr>
          <w:color w:val="231F20"/>
          <w:sz w:val="18"/>
          <w:szCs w:val="18"/>
        </w:rPr>
        <w:t>18</w:t>
      </w:r>
      <w:r w:rsidRPr="003E6588">
        <w:rPr>
          <w:color w:val="231F20"/>
          <w:spacing w:val="-1"/>
          <w:sz w:val="18"/>
          <w:szCs w:val="18"/>
        </w:rPr>
        <w:t xml:space="preserve"> </w:t>
      </w:r>
      <w:r w:rsidRPr="003E6588">
        <w:rPr>
          <w:color w:val="231F20"/>
          <w:sz w:val="18"/>
          <w:szCs w:val="18"/>
        </w:rPr>
        <w:t>July 2022</w:t>
      </w:r>
      <w:r w:rsidRPr="003E6588">
        <w:rPr>
          <w:color w:val="231F20"/>
          <w:spacing w:val="-1"/>
          <w:sz w:val="18"/>
          <w:szCs w:val="18"/>
        </w:rPr>
        <w:t xml:space="preserve"> </w:t>
      </w:r>
      <w:r w:rsidRPr="003E6588">
        <w:rPr>
          <w:color w:val="231F20"/>
          <w:sz w:val="18"/>
          <w:szCs w:val="18"/>
        </w:rPr>
        <w:t>and</w:t>
      </w:r>
      <w:r w:rsidRPr="003E6588">
        <w:rPr>
          <w:color w:val="231F20"/>
          <w:spacing w:val="-1"/>
          <w:sz w:val="18"/>
          <w:szCs w:val="18"/>
        </w:rPr>
        <w:t xml:space="preserve"> </w:t>
      </w:r>
      <w:r w:rsidRPr="003E6588">
        <w:rPr>
          <w:color w:val="231F20"/>
          <w:sz w:val="18"/>
          <w:szCs w:val="18"/>
        </w:rPr>
        <w:t>is subject</w:t>
      </w:r>
      <w:r w:rsidRPr="003E6588">
        <w:rPr>
          <w:color w:val="231F20"/>
          <w:spacing w:val="-1"/>
          <w:sz w:val="18"/>
          <w:szCs w:val="18"/>
        </w:rPr>
        <w:t xml:space="preserve"> </w:t>
      </w:r>
      <w:r w:rsidRPr="003E6588">
        <w:rPr>
          <w:color w:val="231F20"/>
          <w:sz w:val="18"/>
          <w:szCs w:val="18"/>
        </w:rPr>
        <w:t xml:space="preserve">to </w:t>
      </w:r>
      <w:r w:rsidRPr="003E6588">
        <w:rPr>
          <w:color w:val="231F20"/>
          <w:spacing w:val="-2"/>
          <w:sz w:val="18"/>
          <w:szCs w:val="18"/>
        </w:rPr>
        <w:t>change.</w:t>
      </w:r>
    </w:p>
    <w:p w14:paraId="5E6B5AAC" w14:textId="77777777" w:rsidR="00345EE3" w:rsidRPr="003E6588" w:rsidRDefault="00345EE3" w:rsidP="00345EE3">
      <w:pPr>
        <w:spacing w:before="28"/>
        <w:ind w:left="110"/>
        <w:rPr>
          <w:rFonts w:ascii="Arial-BoldItalicMT"/>
          <w:b/>
          <w:i/>
          <w:sz w:val="18"/>
          <w:szCs w:val="18"/>
        </w:rPr>
      </w:pPr>
      <w:r w:rsidRPr="003E6588">
        <w:rPr>
          <w:rFonts w:ascii="Arial-BoldItalicMT"/>
          <w:b/>
          <w:i/>
          <w:color w:val="231F20"/>
          <w:spacing w:val="-2"/>
          <w:sz w:val="18"/>
          <w:szCs w:val="18"/>
        </w:rPr>
        <w:t>Notes:</w:t>
      </w:r>
    </w:p>
    <w:p w14:paraId="57825B04" w14:textId="77777777" w:rsidR="00345EE3" w:rsidRPr="003E6588" w:rsidRDefault="00345EE3">
      <w:pPr>
        <w:pStyle w:val="ListParagraph"/>
        <w:numPr>
          <w:ilvl w:val="0"/>
          <w:numId w:val="89"/>
        </w:numPr>
        <w:tabs>
          <w:tab w:val="left" w:pos="338"/>
        </w:tabs>
        <w:spacing w:before="83"/>
        <w:ind w:right="940"/>
        <w:rPr>
          <w:sz w:val="18"/>
          <w:szCs w:val="18"/>
        </w:rPr>
      </w:pPr>
      <w:r w:rsidRPr="003E6588">
        <w:rPr>
          <w:color w:val="231F20"/>
          <w:sz w:val="18"/>
          <w:szCs w:val="18"/>
        </w:rPr>
        <w:t>Recorded crime data relating to previous years may change in subsequent data extracts as the Victoria Police Law Enforcement Assistance Program (LEAP) is</w:t>
      </w:r>
      <w:r w:rsidRPr="003E6588">
        <w:rPr>
          <w:color w:val="231F20"/>
          <w:spacing w:val="40"/>
          <w:sz w:val="18"/>
          <w:szCs w:val="18"/>
        </w:rPr>
        <w:t xml:space="preserve"> </w:t>
      </w:r>
      <w:r w:rsidRPr="003E6588">
        <w:rPr>
          <w:color w:val="231F20"/>
          <w:sz w:val="18"/>
          <w:szCs w:val="18"/>
        </w:rPr>
        <w:t>a live database and information is continually updated in LEAP as investigations progress and cases are completed by Victoria Police. Data provided by Crime</w:t>
      </w:r>
      <w:r w:rsidRPr="003E6588">
        <w:rPr>
          <w:color w:val="231F20"/>
          <w:spacing w:val="40"/>
          <w:sz w:val="18"/>
          <w:szCs w:val="18"/>
        </w:rPr>
        <w:t xml:space="preserve"> </w:t>
      </w:r>
      <w:r w:rsidRPr="003E6588">
        <w:rPr>
          <w:color w:val="231F20"/>
          <w:sz w:val="18"/>
          <w:szCs w:val="18"/>
        </w:rPr>
        <w:t>Statistics Agency are correct at the time of extract from LEAP.</w:t>
      </w:r>
    </w:p>
    <w:p w14:paraId="3EEA7CD3" w14:textId="77777777" w:rsidR="00345EE3" w:rsidRPr="003E6588" w:rsidRDefault="00345EE3">
      <w:pPr>
        <w:pStyle w:val="ListParagraph"/>
        <w:numPr>
          <w:ilvl w:val="0"/>
          <w:numId w:val="89"/>
        </w:numPr>
        <w:tabs>
          <w:tab w:val="left" w:pos="338"/>
        </w:tabs>
        <w:spacing w:before="25"/>
        <w:ind w:right="903"/>
        <w:rPr>
          <w:sz w:val="18"/>
          <w:szCs w:val="18"/>
        </w:rPr>
      </w:pPr>
      <w:r w:rsidRPr="003E6588">
        <w:rPr>
          <w:color w:val="231F20"/>
          <w:sz w:val="18"/>
          <w:szCs w:val="18"/>
        </w:rPr>
        <w:t>The Estimated Resident Population (ERP) for both Victoria and Local Government Areas are based on populations produced by the Australian Bureau of</w:t>
      </w:r>
      <w:r w:rsidRPr="003E6588">
        <w:rPr>
          <w:color w:val="231F20"/>
          <w:spacing w:val="40"/>
          <w:sz w:val="18"/>
          <w:szCs w:val="18"/>
        </w:rPr>
        <w:t xml:space="preserve"> </w:t>
      </w:r>
      <w:r w:rsidRPr="003E6588">
        <w:rPr>
          <w:color w:val="231F20"/>
          <w:sz w:val="18"/>
          <w:szCs w:val="18"/>
        </w:rPr>
        <w:t>Statistics (ABS). In years prior to the current reference period, the ERP used to calculate offence rates is the ABS ERP. The estimate for the current reference</w:t>
      </w:r>
      <w:r w:rsidRPr="003E6588">
        <w:rPr>
          <w:color w:val="231F20"/>
          <w:spacing w:val="40"/>
          <w:sz w:val="18"/>
          <w:szCs w:val="18"/>
        </w:rPr>
        <w:t xml:space="preserve"> </w:t>
      </w:r>
      <w:r w:rsidRPr="003E6588">
        <w:rPr>
          <w:color w:val="231F20"/>
          <w:sz w:val="18"/>
          <w:szCs w:val="18"/>
        </w:rPr>
        <w:t>period is derived from a customised data request from the Department of Environment, Land, Water and Planning (DELWP) and based on unpublished internal</w:t>
      </w:r>
      <w:r w:rsidRPr="003E6588">
        <w:rPr>
          <w:color w:val="231F20"/>
          <w:spacing w:val="40"/>
          <w:sz w:val="18"/>
          <w:szCs w:val="18"/>
        </w:rPr>
        <w:t xml:space="preserve"> </w:t>
      </w:r>
      <w:r w:rsidRPr="003E6588">
        <w:rPr>
          <w:color w:val="231F20"/>
          <w:sz w:val="18"/>
          <w:szCs w:val="18"/>
        </w:rPr>
        <w:t>modelling. DELWP is the agency responsible for the development of the official state government population projections, which incorporate the latest population</w:t>
      </w:r>
      <w:r w:rsidRPr="003E6588">
        <w:rPr>
          <w:color w:val="231F20"/>
          <w:spacing w:val="40"/>
          <w:sz w:val="18"/>
          <w:szCs w:val="18"/>
        </w:rPr>
        <w:t xml:space="preserve"> </w:t>
      </w:r>
      <w:r w:rsidRPr="003E6588">
        <w:rPr>
          <w:color w:val="231F20"/>
          <w:sz w:val="18"/>
          <w:szCs w:val="18"/>
        </w:rPr>
        <w:t>estimates, evidence form the latest Census plus assumptions regarding future births, deaths, migration and local development trends.</w:t>
      </w:r>
    </w:p>
    <w:p w14:paraId="44C3725C" w14:textId="77777777" w:rsidR="00345EE3" w:rsidRDefault="00345EE3" w:rsidP="00345EE3">
      <w:pPr>
        <w:pStyle w:val="BodyText"/>
        <w:spacing w:before="135" w:line="242" w:lineRule="auto"/>
        <w:ind w:right="862"/>
      </w:pPr>
      <w:r>
        <w:rPr>
          <w:color w:val="231F20"/>
        </w:rPr>
        <w:t>In</w:t>
      </w:r>
      <w:r>
        <w:rPr>
          <w:color w:val="231F20"/>
          <w:spacing w:val="-9"/>
        </w:rPr>
        <w:t xml:space="preserve"> </w:t>
      </w:r>
      <w:r>
        <w:rPr>
          <w:color w:val="231F20"/>
        </w:rPr>
        <w:t>the</w:t>
      </w:r>
      <w:r>
        <w:rPr>
          <w:color w:val="231F20"/>
          <w:spacing w:val="-9"/>
        </w:rPr>
        <w:t xml:space="preserve"> </w:t>
      </w:r>
      <w:r>
        <w:rPr>
          <w:color w:val="231F20"/>
        </w:rPr>
        <w:t>2021–22</w:t>
      </w:r>
      <w:r>
        <w:rPr>
          <w:color w:val="231F20"/>
          <w:spacing w:val="-9"/>
        </w:rPr>
        <w:t xml:space="preserve"> </w:t>
      </w:r>
      <w:r>
        <w:rPr>
          <w:color w:val="231F20"/>
        </w:rPr>
        <w:t>financial</w:t>
      </w:r>
      <w:r>
        <w:rPr>
          <w:color w:val="231F20"/>
          <w:spacing w:val="-9"/>
        </w:rPr>
        <w:t xml:space="preserve"> </w:t>
      </w:r>
      <w:r>
        <w:rPr>
          <w:color w:val="231F20"/>
        </w:rPr>
        <w:t>year,</w:t>
      </w:r>
      <w:r>
        <w:rPr>
          <w:color w:val="231F20"/>
          <w:spacing w:val="-8"/>
        </w:rPr>
        <w:t xml:space="preserve"> </w:t>
      </w:r>
      <w:r>
        <w:rPr>
          <w:color w:val="231F20"/>
        </w:rPr>
        <w:t>there</w:t>
      </w:r>
      <w:r>
        <w:rPr>
          <w:color w:val="231F20"/>
          <w:spacing w:val="-9"/>
        </w:rPr>
        <w:t xml:space="preserve"> </w:t>
      </w:r>
      <w:r>
        <w:rPr>
          <w:color w:val="231F20"/>
        </w:rPr>
        <w:t>was</w:t>
      </w:r>
      <w:r>
        <w:rPr>
          <w:color w:val="231F20"/>
          <w:spacing w:val="-8"/>
        </w:rPr>
        <w:t xml:space="preserve"> </w:t>
      </w:r>
      <w:r>
        <w:rPr>
          <w:color w:val="231F20"/>
        </w:rPr>
        <w:t>a</w:t>
      </w:r>
      <w:r>
        <w:rPr>
          <w:color w:val="231F20"/>
          <w:spacing w:val="-9"/>
        </w:rPr>
        <w:t xml:space="preserve"> </w:t>
      </w:r>
      <w:r>
        <w:rPr>
          <w:color w:val="231F20"/>
        </w:rPr>
        <w:t>reduction</w:t>
      </w:r>
      <w:r>
        <w:rPr>
          <w:color w:val="231F20"/>
          <w:spacing w:val="-9"/>
        </w:rPr>
        <w:t xml:space="preserve"> </w:t>
      </w:r>
      <w:r>
        <w:rPr>
          <w:color w:val="231F20"/>
        </w:rPr>
        <w:t>in</w:t>
      </w:r>
      <w:r>
        <w:rPr>
          <w:color w:val="231F20"/>
          <w:spacing w:val="-9"/>
        </w:rPr>
        <w:t xml:space="preserve"> </w:t>
      </w:r>
      <w:r>
        <w:rPr>
          <w:color w:val="231F20"/>
        </w:rPr>
        <w:t>total</w:t>
      </w:r>
      <w:r>
        <w:rPr>
          <w:color w:val="231F20"/>
          <w:spacing w:val="-9"/>
        </w:rPr>
        <w:t xml:space="preserve"> </w:t>
      </w:r>
      <w:r>
        <w:rPr>
          <w:color w:val="231F20"/>
        </w:rPr>
        <w:t>recorded</w:t>
      </w:r>
      <w:r>
        <w:rPr>
          <w:color w:val="231F20"/>
          <w:spacing w:val="-9"/>
        </w:rPr>
        <w:t xml:space="preserve"> </w:t>
      </w:r>
      <w:r>
        <w:rPr>
          <w:color w:val="231F20"/>
        </w:rPr>
        <w:t>crime</w:t>
      </w:r>
      <w:r>
        <w:rPr>
          <w:color w:val="231F20"/>
          <w:spacing w:val="-9"/>
        </w:rPr>
        <w:t xml:space="preserve"> </w:t>
      </w:r>
      <w:r>
        <w:rPr>
          <w:color w:val="231F20"/>
        </w:rPr>
        <w:t>by</w:t>
      </w:r>
      <w:r>
        <w:rPr>
          <w:color w:val="231F20"/>
          <w:spacing w:val="-8"/>
        </w:rPr>
        <w:t xml:space="preserve"> </w:t>
      </w:r>
      <w:r>
        <w:rPr>
          <w:color w:val="231F20"/>
        </w:rPr>
        <w:t>10.0</w:t>
      </w:r>
      <w:r>
        <w:rPr>
          <w:color w:val="231F20"/>
          <w:spacing w:val="-9"/>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from 521,645 offences in 2020–21 to 469,506 offences in 2021–22. Decreases occurred across all listed categories, with the overall decrease in total recorded crime largely driven by a decrease in the ‘Other offences’ category, which decreased by 66.6 per cent from 33,211 in 2020–21,</w:t>
      </w:r>
    </w:p>
    <w:p w14:paraId="190706BF" w14:textId="77777777" w:rsidR="00345EE3" w:rsidRDefault="00345EE3" w:rsidP="00345EE3">
      <w:pPr>
        <w:pStyle w:val="BodyText"/>
        <w:spacing w:before="5" w:line="242" w:lineRule="auto"/>
        <w:ind w:right="921"/>
      </w:pPr>
      <w:r>
        <w:rPr>
          <w:color w:val="231F20"/>
        </w:rPr>
        <w:t>to</w:t>
      </w:r>
      <w:r>
        <w:rPr>
          <w:color w:val="231F20"/>
          <w:spacing w:val="-13"/>
        </w:rPr>
        <w:t xml:space="preserve"> </w:t>
      </w:r>
      <w:r>
        <w:rPr>
          <w:color w:val="231F20"/>
        </w:rPr>
        <w:t>11,104</w:t>
      </w:r>
      <w:r>
        <w:rPr>
          <w:color w:val="231F20"/>
          <w:spacing w:val="-13"/>
        </w:rPr>
        <w:t xml:space="preserve"> </w:t>
      </w:r>
      <w:r>
        <w:rPr>
          <w:color w:val="231F20"/>
        </w:rPr>
        <w:t>in</w:t>
      </w:r>
      <w:r>
        <w:rPr>
          <w:color w:val="231F20"/>
          <w:spacing w:val="-13"/>
        </w:rPr>
        <w:t xml:space="preserve"> </w:t>
      </w:r>
      <w:r>
        <w:rPr>
          <w:color w:val="231F20"/>
        </w:rPr>
        <w:t>2021–22.</w:t>
      </w:r>
      <w:r>
        <w:rPr>
          <w:color w:val="231F20"/>
          <w:spacing w:val="-12"/>
        </w:rPr>
        <w:t xml:space="preserve"> </w:t>
      </w:r>
      <w:r>
        <w:rPr>
          <w:color w:val="231F20"/>
        </w:rPr>
        <w:t>The</w:t>
      </w:r>
      <w:r>
        <w:rPr>
          <w:color w:val="231F20"/>
          <w:spacing w:val="-13"/>
        </w:rPr>
        <w:t xml:space="preserve"> </w:t>
      </w:r>
      <w:r>
        <w:rPr>
          <w:color w:val="231F20"/>
        </w:rPr>
        <w:t>‘Other</w:t>
      </w:r>
      <w:r>
        <w:rPr>
          <w:color w:val="231F20"/>
          <w:spacing w:val="-12"/>
        </w:rPr>
        <w:t xml:space="preserve"> </w:t>
      </w:r>
      <w:r>
        <w:rPr>
          <w:color w:val="231F20"/>
        </w:rPr>
        <w:t>offence’</w:t>
      </w:r>
      <w:r>
        <w:rPr>
          <w:color w:val="231F20"/>
          <w:spacing w:val="-13"/>
        </w:rPr>
        <w:t xml:space="preserve"> </w:t>
      </w:r>
      <w:r>
        <w:rPr>
          <w:color w:val="231F20"/>
        </w:rPr>
        <w:t>category</w:t>
      </w:r>
      <w:r>
        <w:rPr>
          <w:color w:val="231F20"/>
          <w:spacing w:val="-12"/>
        </w:rPr>
        <w:t xml:space="preserve"> </w:t>
      </w:r>
      <w:r>
        <w:rPr>
          <w:color w:val="231F20"/>
        </w:rPr>
        <w:t>included</w:t>
      </w:r>
      <w:r>
        <w:rPr>
          <w:color w:val="231F20"/>
          <w:spacing w:val="-13"/>
        </w:rPr>
        <w:t xml:space="preserve"> </w:t>
      </w:r>
      <w:r>
        <w:rPr>
          <w:color w:val="231F20"/>
        </w:rPr>
        <w:t>public</w:t>
      </w:r>
      <w:r>
        <w:rPr>
          <w:color w:val="231F20"/>
          <w:spacing w:val="-12"/>
        </w:rPr>
        <w:t xml:space="preserve"> </w:t>
      </w:r>
      <w:r>
        <w:rPr>
          <w:color w:val="231F20"/>
        </w:rPr>
        <w:t>health</w:t>
      </w:r>
      <w:r>
        <w:rPr>
          <w:color w:val="231F20"/>
          <w:spacing w:val="-13"/>
        </w:rPr>
        <w:t xml:space="preserve"> </w:t>
      </w:r>
      <w:r>
        <w:rPr>
          <w:color w:val="231F20"/>
        </w:rPr>
        <w:t>and</w:t>
      </w:r>
      <w:r>
        <w:rPr>
          <w:color w:val="231F20"/>
          <w:spacing w:val="-13"/>
        </w:rPr>
        <w:t xml:space="preserve"> </w:t>
      </w:r>
      <w:r>
        <w:rPr>
          <w:color w:val="231F20"/>
        </w:rPr>
        <w:t>safety</w:t>
      </w:r>
      <w:r>
        <w:rPr>
          <w:color w:val="231F20"/>
          <w:spacing w:val="-12"/>
        </w:rPr>
        <w:t xml:space="preserve"> </w:t>
      </w:r>
      <w:r>
        <w:rPr>
          <w:color w:val="231F20"/>
        </w:rPr>
        <w:t>offences introduced as part of the response to COVID-19.</w:t>
      </w:r>
    </w:p>
    <w:p w14:paraId="3D9A8043" w14:textId="77777777" w:rsidR="00345EE3" w:rsidRDefault="00345EE3" w:rsidP="00345EE3">
      <w:pPr>
        <w:pStyle w:val="BodyText"/>
        <w:spacing w:before="116" w:line="242" w:lineRule="auto"/>
        <w:ind w:right="848"/>
      </w:pPr>
      <w:r>
        <w:rPr>
          <w:color w:val="231F20"/>
        </w:rPr>
        <w:t>‘Drug offences’ also recorded a decrease of 18.5 per cent from 36,803 in 2020–21 to 30,012 in 2021–22.</w:t>
      </w:r>
      <w:r>
        <w:rPr>
          <w:color w:val="231F20"/>
          <w:spacing w:val="-4"/>
        </w:rPr>
        <w:t xml:space="preserve"> </w:t>
      </w:r>
      <w:r>
        <w:rPr>
          <w:color w:val="231F20"/>
        </w:rPr>
        <w:t>Decreases</w:t>
      </w:r>
      <w:r>
        <w:rPr>
          <w:color w:val="231F20"/>
          <w:spacing w:val="-4"/>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category</w:t>
      </w:r>
      <w:r>
        <w:rPr>
          <w:color w:val="231F20"/>
          <w:spacing w:val="-4"/>
        </w:rPr>
        <w:t xml:space="preserve"> </w:t>
      </w:r>
      <w:r>
        <w:rPr>
          <w:color w:val="231F20"/>
        </w:rPr>
        <w:t>of</w:t>
      </w:r>
      <w:r>
        <w:rPr>
          <w:color w:val="231F20"/>
          <w:spacing w:val="-4"/>
        </w:rPr>
        <w:t xml:space="preserve"> </w:t>
      </w:r>
      <w:r>
        <w:rPr>
          <w:color w:val="231F20"/>
        </w:rPr>
        <w:t>‘Property</w:t>
      </w:r>
      <w:r>
        <w:rPr>
          <w:color w:val="231F20"/>
          <w:spacing w:val="-4"/>
        </w:rPr>
        <w:t xml:space="preserve"> </w:t>
      </w:r>
      <w:r>
        <w:rPr>
          <w:color w:val="231F20"/>
        </w:rPr>
        <w:t>and</w:t>
      </w:r>
      <w:r>
        <w:rPr>
          <w:color w:val="231F20"/>
          <w:spacing w:val="-5"/>
        </w:rPr>
        <w:t xml:space="preserve"> </w:t>
      </w:r>
      <w:r>
        <w:rPr>
          <w:color w:val="231F20"/>
        </w:rPr>
        <w:t>Deception</w:t>
      </w:r>
      <w:r>
        <w:rPr>
          <w:color w:val="231F20"/>
          <w:spacing w:val="-5"/>
        </w:rPr>
        <w:t xml:space="preserve"> </w:t>
      </w:r>
      <w:r>
        <w:rPr>
          <w:color w:val="231F20"/>
        </w:rPr>
        <w:t>offences’</w:t>
      </w:r>
      <w:r>
        <w:rPr>
          <w:color w:val="231F20"/>
          <w:spacing w:val="-5"/>
        </w:rPr>
        <w:t xml:space="preserve"> </w:t>
      </w:r>
      <w:r>
        <w:rPr>
          <w:color w:val="231F20"/>
        </w:rPr>
        <w:t>were</w:t>
      </w:r>
      <w:r>
        <w:rPr>
          <w:color w:val="231F20"/>
          <w:spacing w:val="-5"/>
        </w:rPr>
        <w:t xml:space="preserve"> </w:t>
      </w:r>
      <w:r>
        <w:rPr>
          <w:color w:val="231F20"/>
        </w:rPr>
        <w:t>largely</w:t>
      </w:r>
      <w:r>
        <w:rPr>
          <w:color w:val="231F20"/>
          <w:spacing w:val="-4"/>
        </w:rPr>
        <w:t xml:space="preserve"> </w:t>
      </w:r>
      <w:r>
        <w:rPr>
          <w:color w:val="231F20"/>
        </w:rPr>
        <w:t>driven</w:t>
      </w:r>
      <w:r>
        <w:rPr>
          <w:color w:val="231F20"/>
          <w:spacing w:val="-5"/>
        </w:rPr>
        <w:t xml:space="preserve"> </w:t>
      </w:r>
      <w:r>
        <w:rPr>
          <w:color w:val="231F20"/>
        </w:rPr>
        <w:t>by a</w:t>
      </w:r>
      <w:r>
        <w:rPr>
          <w:color w:val="231F20"/>
          <w:spacing w:val="-11"/>
        </w:rPr>
        <w:t xml:space="preserve"> </w:t>
      </w:r>
      <w:r>
        <w:rPr>
          <w:color w:val="231F20"/>
        </w:rPr>
        <w:t>decrease</w:t>
      </w:r>
      <w:r>
        <w:rPr>
          <w:color w:val="231F20"/>
          <w:spacing w:val="-11"/>
        </w:rPr>
        <w:t xml:space="preserve"> </w:t>
      </w:r>
      <w:r>
        <w:rPr>
          <w:color w:val="231F20"/>
        </w:rPr>
        <w:t>in</w:t>
      </w:r>
      <w:r>
        <w:rPr>
          <w:color w:val="231F20"/>
          <w:spacing w:val="-11"/>
        </w:rPr>
        <w:t xml:space="preserve"> </w:t>
      </w:r>
      <w:r>
        <w:rPr>
          <w:color w:val="231F20"/>
        </w:rPr>
        <w:t>deception</w:t>
      </w:r>
      <w:r>
        <w:rPr>
          <w:color w:val="231F20"/>
          <w:spacing w:val="-11"/>
        </w:rPr>
        <w:t xml:space="preserve"> </w:t>
      </w:r>
      <w:r>
        <w:rPr>
          <w:color w:val="231F20"/>
        </w:rPr>
        <w:t>offences,</w:t>
      </w:r>
      <w:r>
        <w:rPr>
          <w:color w:val="231F20"/>
          <w:spacing w:val="-10"/>
        </w:rPr>
        <w:t xml:space="preserve"> </w:t>
      </w:r>
      <w:r>
        <w:rPr>
          <w:color w:val="231F20"/>
        </w:rPr>
        <w:t>which</w:t>
      </w:r>
      <w:r>
        <w:rPr>
          <w:color w:val="231F20"/>
          <w:spacing w:val="-11"/>
        </w:rPr>
        <w:t xml:space="preserve"> </w:t>
      </w:r>
      <w:r>
        <w:rPr>
          <w:color w:val="231F20"/>
        </w:rPr>
        <w:t>dropped</w:t>
      </w:r>
      <w:r>
        <w:rPr>
          <w:color w:val="231F20"/>
          <w:spacing w:val="-11"/>
        </w:rPr>
        <w:t xml:space="preserve"> </w:t>
      </w:r>
      <w:r>
        <w:rPr>
          <w:color w:val="231F20"/>
        </w:rPr>
        <w:t>from</w:t>
      </w:r>
      <w:r>
        <w:rPr>
          <w:color w:val="231F20"/>
          <w:spacing w:val="-10"/>
        </w:rPr>
        <w:t xml:space="preserve"> </w:t>
      </w:r>
      <w:r>
        <w:rPr>
          <w:color w:val="231F20"/>
        </w:rPr>
        <w:t>35,639</w:t>
      </w:r>
      <w:r>
        <w:rPr>
          <w:color w:val="231F20"/>
          <w:spacing w:val="-11"/>
        </w:rPr>
        <w:t xml:space="preserve"> </w:t>
      </w:r>
      <w:r>
        <w:rPr>
          <w:color w:val="231F20"/>
        </w:rPr>
        <w:t>in</w:t>
      </w:r>
      <w:r>
        <w:rPr>
          <w:color w:val="231F20"/>
          <w:spacing w:val="-11"/>
        </w:rPr>
        <w:t xml:space="preserve"> </w:t>
      </w:r>
      <w:r>
        <w:rPr>
          <w:color w:val="231F20"/>
        </w:rPr>
        <w:t>2020–21,</w:t>
      </w:r>
      <w:r>
        <w:rPr>
          <w:color w:val="231F20"/>
          <w:spacing w:val="-10"/>
        </w:rPr>
        <w:t xml:space="preserve"> </w:t>
      </w:r>
      <w:r>
        <w:rPr>
          <w:color w:val="231F20"/>
        </w:rPr>
        <w:t>to</w:t>
      </w:r>
      <w:r>
        <w:rPr>
          <w:color w:val="231F20"/>
          <w:spacing w:val="-11"/>
        </w:rPr>
        <w:t xml:space="preserve"> </w:t>
      </w:r>
      <w:r>
        <w:rPr>
          <w:color w:val="231F20"/>
        </w:rPr>
        <w:t>27,275</w:t>
      </w:r>
      <w:r>
        <w:rPr>
          <w:color w:val="231F20"/>
          <w:spacing w:val="-11"/>
        </w:rPr>
        <w:t xml:space="preserve"> </w:t>
      </w:r>
      <w:r>
        <w:rPr>
          <w:color w:val="231F20"/>
        </w:rPr>
        <w:t>in</w:t>
      </w:r>
      <w:r>
        <w:rPr>
          <w:color w:val="231F20"/>
          <w:spacing w:val="-11"/>
        </w:rPr>
        <w:t xml:space="preserve"> </w:t>
      </w:r>
      <w:r>
        <w:rPr>
          <w:color w:val="231F20"/>
        </w:rPr>
        <w:t>2021–22, a reduction of 23.5 per cent. ‘Crimes against the Person offences’ dropped by 3.7 per cent overall, however, offences of blackmail and extortion within that category rose by 40.2 per cent, from 246 in 2020–21, to 345 in 2021–22.</w:t>
      </w:r>
    </w:p>
    <w:p w14:paraId="6B3770FD" w14:textId="77777777" w:rsidR="00345EE3" w:rsidRDefault="00345EE3" w:rsidP="00345EE3">
      <w:pPr>
        <w:pStyle w:val="BodyText"/>
        <w:spacing w:before="122" w:line="242" w:lineRule="auto"/>
        <w:ind w:right="921"/>
      </w:pPr>
      <w:r>
        <w:rPr>
          <w:color w:val="231F20"/>
        </w:rPr>
        <w:t>Offence rates per 100,000 people in the population provide a standardised method for comparing data across years. The 10.0 per cent decrease in recorded crime in 2021–22 represented</w:t>
      </w:r>
      <w:r>
        <w:rPr>
          <w:color w:val="231F20"/>
          <w:spacing w:val="-8"/>
        </w:rPr>
        <w:t xml:space="preserve"> </w:t>
      </w:r>
      <w:r>
        <w:rPr>
          <w:color w:val="231F20"/>
        </w:rPr>
        <w:t>a</w:t>
      </w:r>
      <w:r>
        <w:rPr>
          <w:color w:val="231F20"/>
          <w:spacing w:val="-8"/>
        </w:rPr>
        <w:t xml:space="preserve"> </w:t>
      </w:r>
      <w:r>
        <w:rPr>
          <w:color w:val="231F20"/>
        </w:rPr>
        <w:t>10.6</w:t>
      </w:r>
      <w:r>
        <w:rPr>
          <w:color w:val="231F20"/>
          <w:spacing w:val="-8"/>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rPr>
        <w:t>decrease</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offence</w:t>
      </w:r>
      <w:r>
        <w:rPr>
          <w:color w:val="231F20"/>
          <w:spacing w:val="-8"/>
        </w:rPr>
        <w:t xml:space="preserve"> </w:t>
      </w:r>
      <w:r>
        <w:rPr>
          <w:color w:val="231F20"/>
        </w:rPr>
        <w:t>rate</w:t>
      </w:r>
      <w:r>
        <w:rPr>
          <w:color w:val="231F20"/>
          <w:spacing w:val="-8"/>
        </w:rPr>
        <w:t xml:space="preserve"> </w:t>
      </w:r>
      <w:r>
        <w:rPr>
          <w:color w:val="231F20"/>
        </w:rPr>
        <w:t>per</w:t>
      </w:r>
      <w:r>
        <w:rPr>
          <w:color w:val="231F20"/>
          <w:spacing w:val="-7"/>
        </w:rPr>
        <w:t xml:space="preserve"> </w:t>
      </w:r>
      <w:r>
        <w:rPr>
          <w:color w:val="231F20"/>
        </w:rPr>
        <w:t>100,000</w:t>
      </w:r>
      <w:r>
        <w:rPr>
          <w:color w:val="231F20"/>
          <w:spacing w:val="-8"/>
        </w:rPr>
        <w:t xml:space="preserve"> </w:t>
      </w:r>
      <w:r>
        <w:rPr>
          <w:color w:val="231F20"/>
        </w:rPr>
        <w:t>people</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population.</w:t>
      </w:r>
    </w:p>
    <w:p w14:paraId="48F69445" w14:textId="77777777" w:rsidR="00345EE3" w:rsidRDefault="00345EE3" w:rsidP="00345EE3">
      <w:pPr>
        <w:rPr>
          <w:b/>
          <w:color w:val="3D68AD"/>
          <w:sz w:val="28"/>
          <w:szCs w:val="24"/>
        </w:rPr>
      </w:pPr>
      <w:r>
        <w:rPr>
          <w:b/>
          <w:color w:val="3D68AD"/>
          <w:sz w:val="28"/>
        </w:rPr>
        <w:br w:type="page"/>
      </w:r>
    </w:p>
    <w:p w14:paraId="36A2E65F" w14:textId="77777777" w:rsidR="00345EE3" w:rsidRDefault="00345EE3" w:rsidP="00345EE3">
      <w:pPr>
        <w:pStyle w:val="BodyText"/>
        <w:spacing w:before="212" w:line="254" w:lineRule="auto"/>
        <w:ind w:right="921"/>
      </w:pPr>
      <w:r>
        <w:rPr>
          <w:b/>
          <w:color w:val="3D68AD"/>
          <w:sz w:val="28"/>
        </w:rPr>
        <w:t xml:space="preserve">Performance Against Output Measures for Policing and Crime Prevention </w:t>
      </w:r>
      <w:r>
        <w:rPr>
          <w:color w:val="231F20"/>
        </w:rPr>
        <w:t>Victoria Police strives to reduce violence and crime through law enforcement, judicial support, community</w:t>
      </w:r>
      <w:r>
        <w:rPr>
          <w:color w:val="231F20"/>
          <w:spacing w:val="-9"/>
        </w:rPr>
        <w:t xml:space="preserve"> </w:t>
      </w:r>
      <w:r>
        <w:rPr>
          <w:color w:val="231F20"/>
        </w:rPr>
        <w:t>assistance,</w:t>
      </w:r>
      <w:r>
        <w:rPr>
          <w:color w:val="231F20"/>
          <w:spacing w:val="-9"/>
        </w:rPr>
        <w:t xml:space="preserve"> </w:t>
      </w:r>
      <w:r>
        <w:rPr>
          <w:color w:val="231F20"/>
        </w:rPr>
        <w:t>guidance</w:t>
      </w:r>
      <w:r>
        <w:rPr>
          <w:color w:val="231F20"/>
          <w:spacing w:val="-10"/>
        </w:rPr>
        <w:t xml:space="preserve"> </w:t>
      </w:r>
      <w:r>
        <w:rPr>
          <w:color w:val="231F20"/>
        </w:rPr>
        <w:t>and</w:t>
      </w:r>
      <w:r>
        <w:rPr>
          <w:color w:val="231F20"/>
          <w:spacing w:val="-10"/>
        </w:rPr>
        <w:t xml:space="preserve"> </w:t>
      </w:r>
      <w:r>
        <w:rPr>
          <w:color w:val="231F20"/>
        </w:rPr>
        <w:t>leadership.</w:t>
      </w:r>
      <w:r>
        <w:rPr>
          <w:color w:val="231F20"/>
          <w:spacing w:val="-9"/>
        </w:rPr>
        <w:t xml:space="preserve"> </w:t>
      </w:r>
      <w:r>
        <w:rPr>
          <w:color w:val="231F20"/>
        </w:rPr>
        <w:t>The</w:t>
      </w:r>
      <w:r>
        <w:rPr>
          <w:color w:val="231F20"/>
          <w:spacing w:val="-10"/>
        </w:rPr>
        <w:t xml:space="preserve"> </w:t>
      </w:r>
      <w:r>
        <w:rPr>
          <w:color w:val="231F20"/>
        </w:rPr>
        <w:t>output</w:t>
      </w:r>
      <w:r>
        <w:rPr>
          <w:color w:val="231F20"/>
          <w:spacing w:val="-9"/>
        </w:rPr>
        <w:t xml:space="preserve"> </w:t>
      </w:r>
      <w:r>
        <w:rPr>
          <w:color w:val="231F20"/>
        </w:rPr>
        <w:t>reflects</w:t>
      </w:r>
      <w:r>
        <w:rPr>
          <w:color w:val="231F20"/>
          <w:spacing w:val="-9"/>
        </w:rPr>
        <w:t xml:space="preserve"> </w:t>
      </w:r>
      <w:r>
        <w:rPr>
          <w:color w:val="231F20"/>
        </w:rPr>
        <w:t>the</w:t>
      </w:r>
      <w:r>
        <w:rPr>
          <w:color w:val="231F20"/>
          <w:spacing w:val="-10"/>
        </w:rPr>
        <w:t xml:space="preserve"> </w:t>
      </w:r>
      <w:r>
        <w:rPr>
          <w:color w:val="231F20"/>
        </w:rPr>
        <w:t>Victorian</w:t>
      </w:r>
      <w:r>
        <w:rPr>
          <w:color w:val="231F20"/>
          <w:spacing w:val="-10"/>
        </w:rPr>
        <w:t xml:space="preserve"> </w:t>
      </w:r>
      <w:r>
        <w:rPr>
          <w:color w:val="231F20"/>
        </w:rPr>
        <w:t>Government’s focus</w:t>
      </w:r>
      <w:r>
        <w:rPr>
          <w:color w:val="231F20"/>
          <w:spacing w:val="-9"/>
        </w:rPr>
        <w:t xml:space="preserve"> </w:t>
      </w:r>
      <w:r>
        <w:rPr>
          <w:color w:val="231F20"/>
        </w:rPr>
        <w:t>on</w:t>
      </w:r>
      <w:r>
        <w:rPr>
          <w:color w:val="231F20"/>
          <w:spacing w:val="-7"/>
        </w:rPr>
        <w:t xml:space="preserve"> </w:t>
      </w:r>
      <w:r>
        <w:rPr>
          <w:color w:val="231F20"/>
        </w:rPr>
        <w:t>reducing</w:t>
      </w:r>
      <w:r>
        <w:rPr>
          <w:color w:val="231F20"/>
          <w:spacing w:val="-7"/>
        </w:rPr>
        <w:t xml:space="preserve"> </w:t>
      </w:r>
      <w:r>
        <w:rPr>
          <w:color w:val="231F20"/>
        </w:rPr>
        <w:t>the</w:t>
      </w:r>
      <w:r>
        <w:rPr>
          <w:color w:val="231F20"/>
          <w:spacing w:val="-7"/>
        </w:rPr>
        <w:t xml:space="preserve"> </w:t>
      </w:r>
      <w:r>
        <w:rPr>
          <w:color w:val="231F20"/>
        </w:rPr>
        <w:t>overall</w:t>
      </w:r>
      <w:r>
        <w:rPr>
          <w:color w:val="231F20"/>
          <w:spacing w:val="-7"/>
        </w:rPr>
        <w:t xml:space="preserve"> </w:t>
      </w:r>
      <w:r>
        <w:rPr>
          <w:color w:val="231F20"/>
        </w:rPr>
        <w:t>incidence</w:t>
      </w:r>
      <w:r>
        <w:rPr>
          <w:color w:val="231F20"/>
          <w:spacing w:val="-8"/>
        </w:rPr>
        <w:t xml:space="preserve"> </w:t>
      </w:r>
      <w:r>
        <w:rPr>
          <w:color w:val="231F20"/>
        </w:rPr>
        <w:t>and</w:t>
      </w:r>
      <w:r>
        <w:rPr>
          <w:color w:val="231F20"/>
          <w:spacing w:val="-7"/>
        </w:rPr>
        <w:t xml:space="preserve"> </w:t>
      </w:r>
      <w:r>
        <w:rPr>
          <w:color w:val="231F20"/>
        </w:rPr>
        <w:t>fear</w:t>
      </w:r>
      <w:r>
        <w:rPr>
          <w:color w:val="231F20"/>
          <w:spacing w:val="-6"/>
        </w:rPr>
        <w:t xml:space="preserve"> </w:t>
      </w:r>
      <w:r>
        <w:rPr>
          <w:color w:val="231F20"/>
        </w:rPr>
        <w:t>of</w:t>
      </w:r>
      <w:r>
        <w:rPr>
          <w:color w:val="231F20"/>
          <w:spacing w:val="-6"/>
        </w:rPr>
        <w:t xml:space="preserve"> </w:t>
      </w:r>
      <w:r>
        <w:rPr>
          <w:color w:val="231F20"/>
        </w:rPr>
        <w:t>crime</w:t>
      </w:r>
      <w:r>
        <w:rPr>
          <w:color w:val="231F20"/>
          <w:spacing w:val="-7"/>
        </w:rPr>
        <w:t xml:space="preserve"> </w:t>
      </w:r>
      <w:r>
        <w:rPr>
          <w:color w:val="231F20"/>
        </w:rPr>
        <w:t>and</w:t>
      </w:r>
      <w:r>
        <w:rPr>
          <w:color w:val="231F20"/>
          <w:spacing w:val="-8"/>
        </w:rPr>
        <w:t xml:space="preserve"> </w:t>
      </w:r>
      <w:r>
        <w:rPr>
          <w:color w:val="231F20"/>
        </w:rPr>
        <w:t>enhancing</w:t>
      </w:r>
      <w:r>
        <w:rPr>
          <w:color w:val="231F20"/>
          <w:spacing w:val="-7"/>
        </w:rPr>
        <w:t xml:space="preserve"> </w:t>
      </w:r>
      <w:r>
        <w:rPr>
          <w:color w:val="231F20"/>
        </w:rPr>
        <w:t>the</w:t>
      </w:r>
      <w:r>
        <w:rPr>
          <w:color w:val="231F20"/>
          <w:spacing w:val="-7"/>
        </w:rPr>
        <w:t xml:space="preserve"> </w:t>
      </w:r>
      <w:r>
        <w:rPr>
          <w:color w:val="231F20"/>
        </w:rPr>
        <w:t>safety</w:t>
      </w:r>
      <w:r>
        <w:rPr>
          <w:color w:val="231F20"/>
          <w:spacing w:val="-6"/>
        </w:rPr>
        <w:t xml:space="preserve"> </w:t>
      </w:r>
      <w:r>
        <w:rPr>
          <w:color w:val="231F20"/>
        </w:rPr>
        <w:t>of</w:t>
      </w:r>
      <w:r>
        <w:rPr>
          <w:color w:val="231F20"/>
          <w:spacing w:val="-6"/>
        </w:rPr>
        <w:t xml:space="preserve"> </w:t>
      </w:r>
      <w:r>
        <w:rPr>
          <w:color w:val="231F20"/>
          <w:spacing w:val="-2"/>
        </w:rPr>
        <w:t>individuals</w:t>
      </w:r>
    </w:p>
    <w:p w14:paraId="226C930B" w14:textId="77777777" w:rsidR="00345EE3" w:rsidRDefault="00345EE3" w:rsidP="00345EE3">
      <w:pPr>
        <w:pStyle w:val="BodyText"/>
        <w:spacing w:line="242" w:lineRule="auto"/>
        <w:ind w:right="921"/>
      </w:pPr>
      <w:r>
        <w:rPr>
          <w:color w:val="231F20"/>
        </w:rPr>
        <w:t>and families. The performance measures reported in Table 3.5 compares targets and actual results</w:t>
      </w:r>
      <w:r>
        <w:rPr>
          <w:color w:val="231F20"/>
          <w:spacing w:val="-7"/>
        </w:rPr>
        <w:t xml:space="preserve"> </w:t>
      </w:r>
      <w:r>
        <w:rPr>
          <w:color w:val="231F20"/>
        </w:rPr>
        <w:t>in</w:t>
      </w:r>
      <w:r>
        <w:rPr>
          <w:color w:val="231F20"/>
          <w:spacing w:val="-7"/>
        </w:rPr>
        <w:t xml:space="preserve"> </w:t>
      </w:r>
      <w:r>
        <w:rPr>
          <w:color w:val="231F20"/>
        </w:rPr>
        <w:t>2021–22</w:t>
      </w:r>
      <w:r>
        <w:rPr>
          <w:color w:val="231F20"/>
          <w:spacing w:val="-8"/>
        </w:rPr>
        <w:t xml:space="preserve"> </w:t>
      </w:r>
      <w:r>
        <w:rPr>
          <w:color w:val="231F20"/>
        </w:rPr>
        <w:t>resulting</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delivery</w:t>
      </w:r>
      <w:r>
        <w:rPr>
          <w:color w:val="231F20"/>
          <w:spacing w:val="-7"/>
        </w:rPr>
        <w:t xml:space="preserve"> </w:t>
      </w:r>
      <w:r>
        <w:rPr>
          <w:color w:val="231F20"/>
        </w:rPr>
        <w:t>of</w:t>
      </w:r>
      <w:r>
        <w:rPr>
          <w:color w:val="231F20"/>
          <w:spacing w:val="-7"/>
        </w:rPr>
        <w:t xml:space="preserve"> </w:t>
      </w:r>
      <w:r>
        <w:rPr>
          <w:color w:val="231F20"/>
        </w:rPr>
        <w:t>programs</w:t>
      </w:r>
      <w:r>
        <w:rPr>
          <w:color w:val="231F20"/>
          <w:spacing w:val="-7"/>
        </w:rPr>
        <w:t xml:space="preserve"> </w:t>
      </w:r>
      <w:r>
        <w:rPr>
          <w:color w:val="231F20"/>
        </w:rPr>
        <w:t>and</w:t>
      </w:r>
      <w:r>
        <w:rPr>
          <w:color w:val="231F20"/>
          <w:spacing w:val="-7"/>
        </w:rPr>
        <w:t xml:space="preserve"> </w:t>
      </w:r>
      <w:r>
        <w:rPr>
          <w:color w:val="231F20"/>
        </w:rPr>
        <w:t>services</w:t>
      </w:r>
      <w:r>
        <w:rPr>
          <w:color w:val="231F20"/>
          <w:spacing w:val="-7"/>
        </w:rPr>
        <w:t xml:space="preserve"> </w:t>
      </w:r>
      <w:r>
        <w:rPr>
          <w:color w:val="231F20"/>
        </w:rPr>
        <w:t>as</w:t>
      </w:r>
      <w:r>
        <w:rPr>
          <w:color w:val="231F20"/>
          <w:spacing w:val="-7"/>
        </w:rPr>
        <w:t xml:space="preserve"> </w:t>
      </w:r>
      <w:r>
        <w:rPr>
          <w:color w:val="231F20"/>
        </w:rPr>
        <w:t>part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Policing and Crime Prevention output.</w:t>
      </w:r>
    </w:p>
    <w:p w14:paraId="3A51E03E" w14:textId="77777777" w:rsidR="00345EE3" w:rsidRDefault="00345EE3" w:rsidP="00345EE3">
      <w:pPr>
        <w:spacing w:before="119"/>
        <w:ind w:left="110"/>
        <w:rPr>
          <w:rFonts w:ascii="Arial-BoldItalicMT"/>
          <w:b/>
          <w:i/>
          <w:color w:val="231F20"/>
          <w:spacing w:val="-2"/>
          <w:sz w:val="18"/>
        </w:rPr>
      </w:pPr>
      <w:r>
        <w:rPr>
          <w:color w:val="231F20"/>
          <w:sz w:val="18"/>
        </w:rPr>
        <w:t>Table</w:t>
      </w:r>
      <w:r>
        <w:rPr>
          <w:color w:val="231F20"/>
          <w:spacing w:val="-7"/>
          <w:sz w:val="18"/>
        </w:rPr>
        <w:t xml:space="preserve"> </w:t>
      </w:r>
      <w:r>
        <w:rPr>
          <w:color w:val="231F20"/>
          <w:sz w:val="18"/>
        </w:rPr>
        <w:t>3.5:</w:t>
      </w:r>
      <w:r>
        <w:rPr>
          <w:color w:val="231F20"/>
          <w:spacing w:val="-4"/>
          <w:sz w:val="18"/>
        </w:rPr>
        <w:t xml:space="preserve"> </w:t>
      </w:r>
      <w:r>
        <w:rPr>
          <w:rFonts w:ascii="Arial-BoldItalicMT"/>
          <w:b/>
          <w:i/>
          <w:color w:val="231F20"/>
          <w:sz w:val="18"/>
        </w:rPr>
        <w:t>Performance</w:t>
      </w:r>
      <w:r>
        <w:rPr>
          <w:rFonts w:ascii="Arial-BoldItalicMT"/>
          <w:b/>
          <w:i/>
          <w:color w:val="231F20"/>
          <w:spacing w:val="-6"/>
          <w:sz w:val="18"/>
        </w:rPr>
        <w:t xml:space="preserve"> </w:t>
      </w:r>
      <w:r>
        <w:rPr>
          <w:rFonts w:ascii="Arial-BoldItalicMT"/>
          <w:b/>
          <w:i/>
          <w:color w:val="231F20"/>
          <w:sz w:val="18"/>
        </w:rPr>
        <w:t>against</w:t>
      </w:r>
      <w:r>
        <w:rPr>
          <w:rFonts w:ascii="Arial-BoldItalicMT"/>
          <w:b/>
          <w:i/>
          <w:color w:val="231F20"/>
          <w:spacing w:val="-7"/>
          <w:sz w:val="18"/>
        </w:rPr>
        <w:t xml:space="preserve"> </w:t>
      </w:r>
      <w:r>
        <w:rPr>
          <w:rFonts w:ascii="Arial-BoldItalicMT"/>
          <w:b/>
          <w:i/>
          <w:color w:val="231F20"/>
          <w:sz w:val="18"/>
        </w:rPr>
        <w:t>Output</w:t>
      </w:r>
      <w:r>
        <w:rPr>
          <w:rFonts w:ascii="Arial-BoldItalicMT"/>
          <w:b/>
          <w:i/>
          <w:color w:val="231F20"/>
          <w:spacing w:val="-7"/>
          <w:sz w:val="18"/>
        </w:rPr>
        <w:t xml:space="preserve"> </w:t>
      </w:r>
      <w:r>
        <w:rPr>
          <w:rFonts w:ascii="Arial-BoldItalicMT"/>
          <w:b/>
          <w:i/>
          <w:color w:val="231F20"/>
          <w:sz w:val="18"/>
        </w:rPr>
        <w:t>Measures</w:t>
      </w:r>
      <w:r>
        <w:rPr>
          <w:rFonts w:ascii="Arial-BoldItalicMT"/>
          <w:b/>
          <w:i/>
          <w:color w:val="231F20"/>
          <w:spacing w:val="-7"/>
          <w:sz w:val="18"/>
        </w:rPr>
        <w:t xml:space="preserve"> </w:t>
      </w:r>
      <w:r>
        <w:rPr>
          <w:rFonts w:ascii="Arial-BoldItalicMT"/>
          <w:b/>
          <w:i/>
          <w:color w:val="231F20"/>
          <w:sz w:val="18"/>
        </w:rPr>
        <w:t>for</w:t>
      </w:r>
      <w:r>
        <w:rPr>
          <w:rFonts w:ascii="Arial-BoldItalicMT"/>
          <w:b/>
          <w:i/>
          <w:color w:val="231F20"/>
          <w:spacing w:val="-7"/>
          <w:sz w:val="18"/>
        </w:rPr>
        <w:t xml:space="preserve"> </w:t>
      </w:r>
      <w:r>
        <w:rPr>
          <w:rFonts w:ascii="Arial-BoldItalicMT"/>
          <w:b/>
          <w:i/>
          <w:color w:val="231F20"/>
          <w:sz w:val="18"/>
        </w:rPr>
        <w:t>Policing</w:t>
      </w:r>
      <w:r>
        <w:rPr>
          <w:rFonts w:ascii="Arial-BoldItalicMT"/>
          <w:b/>
          <w:i/>
          <w:color w:val="231F20"/>
          <w:spacing w:val="-7"/>
          <w:sz w:val="18"/>
        </w:rPr>
        <w:t xml:space="preserve"> </w:t>
      </w:r>
      <w:r>
        <w:rPr>
          <w:rFonts w:ascii="Arial-BoldItalicMT"/>
          <w:b/>
          <w:i/>
          <w:color w:val="231F20"/>
          <w:sz w:val="18"/>
        </w:rPr>
        <w:t>and</w:t>
      </w:r>
      <w:r>
        <w:rPr>
          <w:rFonts w:ascii="Arial-BoldItalicMT"/>
          <w:b/>
          <w:i/>
          <w:color w:val="231F20"/>
          <w:spacing w:val="-7"/>
          <w:sz w:val="18"/>
        </w:rPr>
        <w:t xml:space="preserve"> </w:t>
      </w:r>
      <w:r>
        <w:rPr>
          <w:rFonts w:ascii="Arial-BoldItalicMT"/>
          <w:b/>
          <w:i/>
          <w:color w:val="231F20"/>
          <w:sz w:val="18"/>
        </w:rPr>
        <w:t>Crime</w:t>
      </w:r>
      <w:r>
        <w:rPr>
          <w:rFonts w:ascii="Arial-BoldItalicMT"/>
          <w:b/>
          <w:i/>
          <w:color w:val="231F20"/>
          <w:spacing w:val="-6"/>
          <w:sz w:val="18"/>
        </w:rPr>
        <w:t xml:space="preserve"> </w:t>
      </w:r>
      <w:r>
        <w:rPr>
          <w:rFonts w:ascii="Arial-BoldItalicMT"/>
          <w:b/>
          <w:i/>
          <w:color w:val="231F20"/>
          <w:spacing w:val="-2"/>
          <w:sz w:val="18"/>
        </w:rPr>
        <w:t>Prevention</w:t>
      </w:r>
    </w:p>
    <w:tbl>
      <w:tblPr>
        <w:tblW w:w="0" w:type="auto"/>
        <w:tblInd w:w="156" w:type="dxa"/>
        <w:tblLayout w:type="fixed"/>
        <w:tblCellMar>
          <w:left w:w="0" w:type="dxa"/>
          <w:right w:w="0" w:type="dxa"/>
        </w:tblCellMar>
        <w:tblLook w:val="0000" w:firstRow="0" w:lastRow="0" w:firstColumn="0" w:lastColumn="0" w:noHBand="0" w:noVBand="0"/>
      </w:tblPr>
      <w:tblGrid>
        <w:gridCol w:w="4479"/>
        <w:gridCol w:w="1077"/>
        <w:gridCol w:w="1134"/>
        <w:gridCol w:w="1134"/>
        <w:gridCol w:w="1530"/>
        <w:gridCol w:w="851"/>
      </w:tblGrid>
      <w:tr w:rsidR="00345EE3" w:rsidRPr="00F449ED" w14:paraId="53218D18" w14:textId="77777777" w:rsidTr="00D73130">
        <w:trPr>
          <w:trHeight w:val="60"/>
        </w:trPr>
        <w:tc>
          <w:tcPr>
            <w:tcW w:w="4479"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2147CCB"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449ED">
              <w:rPr>
                <w:rFonts w:eastAsiaTheme="minorHAnsi"/>
                <w:b/>
                <w:bCs/>
                <w:color w:val="FFFFFF"/>
                <w:sz w:val="24"/>
                <w:szCs w:val="24"/>
                <w:lang w:val="en-GB"/>
              </w:rPr>
              <w:t>Performance measures</w:t>
            </w:r>
          </w:p>
        </w:tc>
        <w:tc>
          <w:tcPr>
            <w:tcW w:w="1077"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1704628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 xml:space="preserve">Unit of measure </w:t>
            </w:r>
          </w:p>
        </w:tc>
        <w:tc>
          <w:tcPr>
            <w:tcW w:w="1134"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1E445C0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 xml:space="preserve">2021–22 actual </w:t>
            </w:r>
          </w:p>
        </w:tc>
        <w:tc>
          <w:tcPr>
            <w:tcW w:w="1134"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3F8AB4CF"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2021–22 target</w:t>
            </w:r>
          </w:p>
        </w:tc>
        <w:tc>
          <w:tcPr>
            <w:tcW w:w="1530"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47473B3F"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Performance variation (%)</w:t>
            </w:r>
          </w:p>
        </w:tc>
        <w:tc>
          <w:tcPr>
            <w:tcW w:w="851"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57" w:type="dxa"/>
            </w:tcMar>
          </w:tcPr>
          <w:p w14:paraId="12B8B5C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Result</w:t>
            </w:r>
          </w:p>
        </w:tc>
      </w:tr>
      <w:tr w:rsidR="00345EE3" w:rsidRPr="00F449ED" w14:paraId="2263917D" w14:textId="77777777" w:rsidTr="00D73130">
        <w:trPr>
          <w:trHeight w:val="60"/>
        </w:trPr>
        <w:tc>
          <w:tcPr>
            <w:tcW w:w="10205" w:type="dxa"/>
            <w:gridSpan w:val="6"/>
            <w:tcBorders>
              <w:top w:val="single" w:sz="6"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492EC5B5"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Quantity</w:t>
            </w:r>
          </w:p>
        </w:tc>
      </w:tr>
      <w:tr w:rsidR="00345EE3" w:rsidRPr="00F449ED" w14:paraId="0181A44E"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0D12EFE"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Community calls for assistance to which a Victoria Police response is dispatched</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404A42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511A833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857,247</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12902B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900,000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D5AEF1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-4.8</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44941F4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w:t>
            </w:r>
          </w:p>
        </w:tc>
      </w:tr>
      <w:tr w:rsidR="00345EE3" w:rsidRPr="00F449ED" w14:paraId="5A1642EC"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588FF87"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Contravention of family violence intervention order offences per 100,000 population</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3BFCAE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FD8556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779.1</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950A3C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720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5A73FC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8.2</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4C46FAF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0E5D6B0C"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312413C"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higher than the target due to the increase in number of Contraventions of family violence intervention orders granted during the COVID-19 period and the increased mobility after restrictions were eased during the latter part of the financial year.</w:t>
            </w:r>
          </w:p>
        </w:tc>
      </w:tr>
      <w:tr w:rsidR="00345EE3" w:rsidRPr="00F449ED" w14:paraId="4342959F"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0E07371"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Crimes against property – excluding family violence related crime (rate per 100,000 population)</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DB985D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4150C0D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3,403.3</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2026D8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4,200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2312FE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-19</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7406C86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095BD36B"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C72C0D0"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lower than the target due to the number of crimes against property, excluding family violence related crime (rate per 100,000 population) decreasing. This is likely the result of a number of COVID-19 related factors. With long periods of COVID-19 restrictions and reduced mobility, offences in quarters one and two were significantly lower than usual trends with greater proportions of the community remaining at home, increasing guardianship of property, and limiting opportunity for offending.</w:t>
            </w:r>
          </w:p>
        </w:tc>
      </w:tr>
      <w:tr w:rsidR="00345EE3" w:rsidRPr="00F449ED" w14:paraId="6D7EF8C8"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2CA5A0F"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Crimes against property – family violence related (rate per 100,000 population)</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7EDAF0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0460F85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177</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722DB3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160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F3FE79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10.6</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41A4E20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17180878"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B1B083E"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higher than the target due to the number of crimes against property which are family violence related crime (rate per 100,000 population). This increase is likely a result of COVID-19 related public health mechanisms that reduced movement and kept people more at home, including working from home recommendations, providing for increased opportunities for family violence related crime.</w:t>
            </w:r>
          </w:p>
        </w:tc>
      </w:tr>
      <w:tr w:rsidR="00345EE3" w:rsidRPr="00F449ED" w14:paraId="6D512DEC"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009A42F"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Crimes against the person – excluding family violence related crime (rate per 100,000 population)</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CEC689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474D6DF"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659.9</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164127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660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7241C0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&lt;-0.1</w:t>
            </w:r>
            <w:r w:rsidRPr="00F449ED">
              <w:rPr>
                <w:rFonts w:eastAsiaTheme="minorHAnsi"/>
                <w:color w:val="000000"/>
                <w:spacing w:val="-2"/>
                <w:sz w:val="24"/>
                <w:szCs w:val="24"/>
                <w:vertAlign w:val="superscript"/>
                <w:lang w:val="en-GB"/>
              </w:rPr>
              <w:t>4</w:t>
            </w:r>
            <w:r w:rsidRPr="00F449ED">
              <w:rPr>
                <w:rFonts w:eastAsiaTheme="minorHAnsi"/>
                <w:color w:val="000000"/>
                <w:spacing w:val="-2"/>
                <w:sz w:val="24"/>
                <w:szCs w:val="24"/>
                <w:lang w:val="en-GB"/>
              </w:rPr>
              <w:t xml:space="preserve"> </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7F54A52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65DC8523"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E5BA5B4"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Crimes against the person – family violence related crime (rate per 100,000 population)</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CF0C4A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BB61C5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587.1</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469A98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580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49A09F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1.2</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547D4C1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5CC3AB2A"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7EC82CE"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Number of alcohol screening tests conducted</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762F2A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1A04A88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1,668,961</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FC1CFB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3,000,000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94A20F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-44.4</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7BE008EF"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n</w:t>
            </w:r>
          </w:p>
        </w:tc>
      </w:tr>
      <w:tr w:rsidR="00345EE3" w:rsidRPr="00F449ED" w14:paraId="29773857"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98A4B4A"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lower than the target due to the impacts of the COVID-19 pandemic including altered testing approach (to meet OHS requirements); operational deployments to CHO compliance; and cessation of mass testing under the ADTV model from July 2021 to October 2022.</w:t>
            </w:r>
          </w:p>
        </w:tc>
      </w:tr>
      <w:tr w:rsidR="00345EE3" w:rsidRPr="00F449ED" w14:paraId="3DFBDCBD"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DB92F01"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Number of prohibited drug screening tests conducted by booze and drug buses and highway patrol units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44D2B8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F8CB98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 xml:space="preserve">151,328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4B6732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150,000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66D0D8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0.9</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10AC531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23C4BF0A"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2501A87"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Number of youth referrals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61654A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1BB746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 xml:space="preserve">3,136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F6E429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2,050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3FCFE7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53</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5BBAAE7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6350F5F2"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DE19D00"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 xml:space="preserve">The actual is higher than the target due to Victoria Police policy update in June 2021, allowing Youth Support Service referrals without the requirement for guardian consent and only mandating the young person’s consent. Additionally, the relaxation of pandemic related restrictions, which increased the number and types of police contact with youth may also be a contributing factor.     </w:t>
            </w:r>
          </w:p>
        </w:tc>
      </w:tr>
      <w:tr w:rsidR="00345EE3" w:rsidRPr="00F449ED" w14:paraId="14B06170"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3F822CD"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Police record checks conducted to contribute to community safety</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15BDCC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4C32858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810,134</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938885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703,000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8D27F3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15.2</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5E6646A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2ABA6CE3"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D96BC16"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higher than the target due to increased output of Police Information Liaison Office – Security checks resulting from recent recruitment and completion of training of new Victoria Police staff. Furthermore, there has been unprecedented demand for national police checks and jury check requests over the 2021–22 financial year. The Australian Criminal Intelligence Commission continues to report record figures for National Police checks (NPC) in 2022. This has led to an increase of NPC referral requests for Victoria Police. In addition, Victorian courts continue to work through a backlog of cases from 2021 leading to an increased demand of juror suitability requests from Juries Victoria who require access to the checking service.</w:t>
            </w:r>
          </w:p>
        </w:tc>
      </w:tr>
      <w:tr w:rsidR="00345EE3" w:rsidRPr="00F449ED" w14:paraId="11D1A9F5"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CF01296"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Total reported road fatalities in vehicle collisions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105E15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49A22F6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251</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E006A3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≤200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0F8836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25.5</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78D4ABD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n</w:t>
            </w:r>
          </w:p>
        </w:tc>
      </w:tr>
      <w:tr w:rsidR="00345EE3" w:rsidRPr="00F449ED" w14:paraId="31006A0C"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371D4E0"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higher than the target due to the increase in the number of road fatalities in vehicle collisions. The increase is consistent with the Transport Accident Commission (TAC) ‘number of lives lost’ data returning to pre-COVID levels. Contributing factors include increased high risk driving behaviours (speeding and impaired driving), youth and inexperienced drivers (including motorcyclists), driver distraction and inattention, and perceived reduction in police enforcement.</w:t>
            </w:r>
          </w:p>
        </w:tc>
      </w:tr>
      <w:tr w:rsidR="00345EE3" w:rsidRPr="00F449ED" w14:paraId="22246452"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7F10B93"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Total persons reported injured in vehicle collisions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555EF9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CD5C1A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15,467</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F742F3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15,000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744265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3.1</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2C7F13B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w:t>
            </w:r>
          </w:p>
        </w:tc>
      </w:tr>
      <w:tr w:rsidR="00345EE3" w:rsidRPr="00F449ED" w14:paraId="71C34800"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69295589"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Quality</w:t>
            </w:r>
          </w:p>
        </w:tc>
      </w:tr>
      <w:tr w:rsidR="00345EE3" w:rsidRPr="00F449ED" w14:paraId="6E58C7D8"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BAE2308"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Perceptions of safety – walking locally at night</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282CDA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F17B71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56.6</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BD6BA4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55</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7B50AF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2.9</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0773538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7A1C9101"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EF7AD31"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Proportion of community satisfied with policing services (general satisfaction)</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EBC173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0D3F18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76.7</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DE5794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76A32F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-4.1</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0031307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w:t>
            </w:r>
          </w:p>
        </w:tc>
      </w:tr>
      <w:tr w:rsidR="00345EE3" w:rsidRPr="00F449ED" w14:paraId="29F63804"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4F3BC6A"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Proportion of drivers tested by road safety cameras who comply with posted speed limits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59009B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01D0CDA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99.8</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26F41C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99.5</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13B90F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0.3</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25362A0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573DCA21"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5CFA826"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Proportion of drivers tested who return clear result for prohibited drugs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A72AA9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4C068B0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93.8</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210DCF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93</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BF9E3D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0.9</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4CA7AA5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03B64E5B"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880329F"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Proportion of Family Incident Report affected family members receiving referrals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922E76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B14857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86.6</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D518D7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87</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CACB05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-0.5</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27F52C6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w:t>
            </w:r>
          </w:p>
        </w:tc>
      </w:tr>
      <w:tr w:rsidR="00345EE3" w:rsidRPr="00F449ED" w14:paraId="29D213C3"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3E8BD19"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Proportion of successful prosecution outcomes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2AB18D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48E5934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94.6</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A4FDF1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92</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52E361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2.8</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68DE0E2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46C61CD4"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B4CE3A6"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Proportion of the community who have confidence in police (an integrity indicator)</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FC63FE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038E70A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78.5</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A83F06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82</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2A9D14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-4.3</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47CE0C9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w:t>
            </w:r>
          </w:p>
        </w:tc>
      </w:tr>
      <w:tr w:rsidR="00345EE3" w:rsidRPr="00F449ED" w14:paraId="545F2A97"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394CDA4A"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Timeliness</w:t>
            </w:r>
          </w:p>
        </w:tc>
      </w:tr>
      <w:tr w:rsidR="00345EE3" w:rsidRPr="00F449ED" w14:paraId="68630A81"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1F1B74C"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Proportion of crimes against the person resolved within 30 days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111D3A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3F1568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39</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C906C7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45</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B9E677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-13.3</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26F38C8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n</w:t>
            </w:r>
          </w:p>
        </w:tc>
      </w:tr>
      <w:tr w:rsidR="00345EE3" w:rsidRPr="00F449ED" w14:paraId="4C09FEED"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A96F38B"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lower than the target due to the organisational COVID-19 response in support of the government’s pandemic response, including the redirection of resources to public order events (protests). This may have impacted everyday policing activities, such as investigative capacity, offender and victim management and execution of outstanding identities and whereabouts.</w:t>
            </w:r>
          </w:p>
        </w:tc>
      </w:tr>
      <w:tr w:rsidR="00345EE3" w:rsidRPr="00F449ED" w14:paraId="10969762"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685A55C"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Proportion of property crime resolved within 30 days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0259D6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E14503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22.9</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C56E32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25</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C54B1B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-8.4</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3832D15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n</w:t>
            </w:r>
          </w:p>
        </w:tc>
      </w:tr>
      <w:tr w:rsidR="00345EE3" w:rsidRPr="00F449ED" w14:paraId="61AB9417"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C3A3FB9"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lower than the target due to the organisational COVID-19 response in support of the government’s pandemic response, including the redirection of resources to public order events (protests). This may have impacted everyday policing activities, such as investigative capacity, offender and victim management and execution of outstanding identities and whereabouts.</w:t>
            </w:r>
          </w:p>
        </w:tc>
      </w:tr>
      <w:tr w:rsidR="00345EE3" w:rsidRPr="00F449ED" w14:paraId="26DAF674"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0E5D282D"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Cost</w:t>
            </w:r>
          </w:p>
        </w:tc>
      </w:tr>
      <w:tr w:rsidR="00345EE3" w:rsidRPr="00F449ED" w14:paraId="1FBD632D" w14:textId="77777777" w:rsidTr="00D73130">
        <w:trPr>
          <w:trHeight w:val="60"/>
        </w:trPr>
        <w:tc>
          <w:tcPr>
            <w:tcW w:w="4479"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392D8B25"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Total output cost</w:t>
            </w:r>
          </w:p>
        </w:tc>
        <w:tc>
          <w:tcPr>
            <w:tcW w:w="1077"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57" w:type="dxa"/>
            </w:tcMar>
          </w:tcPr>
          <w:p w14:paraId="233FDD7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 million</w:t>
            </w:r>
          </w:p>
        </w:tc>
        <w:tc>
          <w:tcPr>
            <w:tcW w:w="1134"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57" w:type="dxa"/>
            </w:tcMar>
          </w:tcPr>
          <w:p w14:paraId="641FDB9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 xml:space="preserve">4 099.7 </w:t>
            </w:r>
          </w:p>
        </w:tc>
        <w:tc>
          <w:tcPr>
            <w:tcW w:w="113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57" w:type="dxa"/>
            </w:tcMar>
          </w:tcPr>
          <w:p w14:paraId="35384D5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3 702.8</w:t>
            </w:r>
          </w:p>
        </w:tc>
        <w:tc>
          <w:tcPr>
            <w:tcW w:w="153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57" w:type="dxa"/>
            </w:tcMar>
          </w:tcPr>
          <w:p w14:paraId="4BFC6E8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10.7</w:t>
            </w:r>
          </w:p>
        </w:tc>
        <w:tc>
          <w:tcPr>
            <w:tcW w:w="851" w:type="dxa"/>
            <w:tcBorders>
              <w:top w:val="single" w:sz="2" w:space="0" w:color="9D9C9C"/>
              <w:left w:val="single" w:sz="2" w:space="0" w:color="9D9C9C"/>
              <w:bottom w:val="single" w:sz="6" w:space="0" w:color="000000"/>
              <w:right w:val="single" w:sz="6" w:space="0" w:color="9D9C9C"/>
            </w:tcBorders>
            <w:tcMar>
              <w:top w:w="113" w:type="dxa"/>
              <w:left w:w="14" w:type="dxa"/>
              <w:bottom w:w="113" w:type="dxa"/>
              <w:right w:w="57" w:type="dxa"/>
            </w:tcMar>
          </w:tcPr>
          <w:p w14:paraId="2E2A16E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n</w:t>
            </w:r>
          </w:p>
        </w:tc>
      </w:tr>
    </w:tbl>
    <w:p w14:paraId="3F928539" w14:textId="787BF80A" w:rsidR="00345EE3" w:rsidRPr="003E6588" w:rsidRDefault="00345EE3" w:rsidP="00345EE3">
      <w:pPr>
        <w:spacing w:before="120"/>
        <w:ind w:left="108" w:right="2376"/>
        <w:rPr>
          <w:sz w:val="18"/>
          <w:szCs w:val="18"/>
        </w:rPr>
      </w:pPr>
      <w:r w:rsidRPr="003E6588">
        <w:rPr>
          <w:color w:val="231F20"/>
          <w:sz w:val="18"/>
          <w:szCs w:val="18"/>
        </w:rPr>
        <w:t>4</w:t>
      </w:r>
      <w:r w:rsidRPr="003E6588">
        <w:rPr>
          <w:color w:val="231F20"/>
          <w:spacing w:val="-1"/>
          <w:sz w:val="18"/>
          <w:szCs w:val="18"/>
        </w:rPr>
        <w:t xml:space="preserve"> </w:t>
      </w:r>
      <w:r w:rsidRPr="003E6588">
        <w:rPr>
          <w:color w:val="231F20"/>
          <w:sz w:val="18"/>
          <w:szCs w:val="18"/>
        </w:rPr>
        <w:t>Crimes</w:t>
      </w:r>
      <w:r w:rsidRPr="003E6588">
        <w:rPr>
          <w:color w:val="231F20"/>
          <w:spacing w:val="-1"/>
          <w:sz w:val="18"/>
          <w:szCs w:val="18"/>
        </w:rPr>
        <w:t xml:space="preserve"> </w:t>
      </w:r>
      <w:r w:rsidRPr="003E6588">
        <w:rPr>
          <w:color w:val="231F20"/>
          <w:sz w:val="18"/>
          <w:szCs w:val="18"/>
        </w:rPr>
        <w:t>against</w:t>
      </w:r>
      <w:r w:rsidRPr="003E6588">
        <w:rPr>
          <w:color w:val="231F20"/>
          <w:spacing w:val="-1"/>
          <w:sz w:val="18"/>
          <w:szCs w:val="18"/>
        </w:rPr>
        <w:t xml:space="preserve"> </w:t>
      </w:r>
      <w:r w:rsidRPr="003E6588">
        <w:rPr>
          <w:color w:val="231F20"/>
          <w:sz w:val="18"/>
          <w:szCs w:val="18"/>
        </w:rPr>
        <w:t>the</w:t>
      </w:r>
      <w:r w:rsidRPr="003E6588">
        <w:rPr>
          <w:color w:val="231F20"/>
          <w:spacing w:val="-1"/>
          <w:sz w:val="18"/>
          <w:szCs w:val="18"/>
        </w:rPr>
        <w:t xml:space="preserve"> </w:t>
      </w:r>
      <w:r w:rsidRPr="003E6588">
        <w:rPr>
          <w:color w:val="231F20"/>
          <w:sz w:val="18"/>
          <w:szCs w:val="18"/>
        </w:rPr>
        <w:t>person</w:t>
      </w:r>
      <w:r w:rsidRPr="003E6588">
        <w:rPr>
          <w:color w:val="231F20"/>
          <w:spacing w:val="-1"/>
          <w:sz w:val="18"/>
          <w:szCs w:val="18"/>
        </w:rPr>
        <w:t xml:space="preserve"> </w:t>
      </w:r>
      <w:r w:rsidRPr="003E6588">
        <w:rPr>
          <w:color w:val="231F20"/>
          <w:sz w:val="18"/>
          <w:szCs w:val="18"/>
        </w:rPr>
        <w:t>–</w:t>
      </w:r>
      <w:r w:rsidRPr="003E6588">
        <w:rPr>
          <w:color w:val="231F20"/>
          <w:spacing w:val="-1"/>
          <w:sz w:val="18"/>
          <w:szCs w:val="18"/>
        </w:rPr>
        <w:t xml:space="preserve"> </w:t>
      </w:r>
      <w:r w:rsidRPr="003E6588">
        <w:rPr>
          <w:color w:val="231F20"/>
          <w:sz w:val="18"/>
          <w:szCs w:val="18"/>
        </w:rPr>
        <w:t>excluding</w:t>
      </w:r>
      <w:r w:rsidRPr="003E6588">
        <w:rPr>
          <w:color w:val="231F20"/>
          <w:spacing w:val="-1"/>
          <w:sz w:val="18"/>
          <w:szCs w:val="18"/>
        </w:rPr>
        <w:t xml:space="preserve"> </w:t>
      </w:r>
      <w:r w:rsidRPr="003E6588">
        <w:rPr>
          <w:color w:val="231F20"/>
          <w:sz w:val="18"/>
          <w:szCs w:val="18"/>
        </w:rPr>
        <w:t>family</w:t>
      </w:r>
      <w:r w:rsidRPr="003E6588">
        <w:rPr>
          <w:color w:val="231F20"/>
          <w:spacing w:val="-1"/>
          <w:sz w:val="18"/>
          <w:szCs w:val="18"/>
        </w:rPr>
        <w:t xml:space="preserve"> </w:t>
      </w:r>
      <w:r w:rsidRPr="003E6588">
        <w:rPr>
          <w:color w:val="231F20"/>
          <w:sz w:val="18"/>
          <w:szCs w:val="18"/>
        </w:rPr>
        <w:t>violence</w:t>
      </w:r>
      <w:r w:rsidRPr="003E6588">
        <w:rPr>
          <w:color w:val="231F20"/>
          <w:spacing w:val="-1"/>
          <w:sz w:val="18"/>
          <w:szCs w:val="18"/>
        </w:rPr>
        <w:t xml:space="preserve"> </w:t>
      </w:r>
      <w:r w:rsidRPr="003E6588">
        <w:rPr>
          <w:color w:val="231F20"/>
          <w:sz w:val="18"/>
          <w:szCs w:val="18"/>
        </w:rPr>
        <w:t>related</w:t>
      </w:r>
      <w:r w:rsidRPr="003E6588">
        <w:rPr>
          <w:color w:val="231F20"/>
          <w:spacing w:val="-1"/>
          <w:sz w:val="18"/>
          <w:szCs w:val="18"/>
        </w:rPr>
        <w:t xml:space="preserve"> </w:t>
      </w:r>
      <w:r w:rsidRPr="003E6588">
        <w:rPr>
          <w:color w:val="231F20"/>
          <w:sz w:val="18"/>
          <w:szCs w:val="18"/>
        </w:rPr>
        <w:t>crime</w:t>
      </w:r>
      <w:r w:rsidRPr="003E6588">
        <w:rPr>
          <w:color w:val="231F20"/>
          <w:spacing w:val="-1"/>
          <w:sz w:val="18"/>
          <w:szCs w:val="18"/>
        </w:rPr>
        <w:t xml:space="preserve"> </w:t>
      </w:r>
      <w:r w:rsidRPr="003E6588">
        <w:rPr>
          <w:color w:val="231F20"/>
          <w:sz w:val="18"/>
          <w:szCs w:val="18"/>
        </w:rPr>
        <w:t>(rate</w:t>
      </w:r>
      <w:r w:rsidRPr="003E6588">
        <w:rPr>
          <w:color w:val="231F20"/>
          <w:spacing w:val="-1"/>
          <w:sz w:val="18"/>
          <w:szCs w:val="18"/>
        </w:rPr>
        <w:t xml:space="preserve"> </w:t>
      </w:r>
      <w:r w:rsidRPr="003E6588">
        <w:rPr>
          <w:color w:val="231F20"/>
          <w:sz w:val="18"/>
          <w:szCs w:val="18"/>
        </w:rPr>
        <w:t>per</w:t>
      </w:r>
      <w:r w:rsidRPr="003E6588">
        <w:rPr>
          <w:color w:val="231F20"/>
          <w:spacing w:val="-1"/>
          <w:sz w:val="18"/>
          <w:szCs w:val="18"/>
        </w:rPr>
        <w:t xml:space="preserve"> </w:t>
      </w:r>
      <w:r w:rsidRPr="003E6588">
        <w:rPr>
          <w:color w:val="231F20"/>
          <w:sz w:val="18"/>
          <w:szCs w:val="18"/>
        </w:rPr>
        <w:t>100,000</w:t>
      </w:r>
      <w:r w:rsidRPr="003E6588">
        <w:rPr>
          <w:color w:val="231F20"/>
          <w:spacing w:val="-1"/>
          <w:sz w:val="18"/>
          <w:szCs w:val="18"/>
        </w:rPr>
        <w:t xml:space="preserve"> </w:t>
      </w:r>
      <w:r w:rsidRPr="003E6588">
        <w:rPr>
          <w:color w:val="231F20"/>
          <w:sz w:val="18"/>
          <w:szCs w:val="18"/>
        </w:rPr>
        <w:t>population)</w:t>
      </w:r>
      <w:r w:rsidRPr="003E6588">
        <w:rPr>
          <w:color w:val="231F20"/>
          <w:spacing w:val="-1"/>
          <w:sz w:val="18"/>
          <w:szCs w:val="18"/>
        </w:rPr>
        <w:t xml:space="preserve"> </w:t>
      </w:r>
      <w:r w:rsidRPr="003E6588">
        <w:rPr>
          <w:color w:val="231F20"/>
          <w:sz w:val="18"/>
          <w:szCs w:val="18"/>
        </w:rPr>
        <w:t>variance</w:t>
      </w:r>
      <w:r>
        <w:rPr>
          <w:color w:val="231F20"/>
          <w:spacing w:val="-1"/>
          <w:sz w:val="18"/>
          <w:szCs w:val="18"/>
        </w:rPr>
        <w:t xml:space="preserve"> </w:t>
      </w:r>
      <w:r w:rsidRPr="003E6588">
        <w:rPr>
          <w:color w:val="231F20"/>
          <w:sz w:val="18"/>
          <w:szCs w:val="18"/>
        </w:rPr>
        <w:t>was</w:t>
      </w:r>
      <w:r w:rsidRPr="003E6588">
        <w:rPr>
          <w:color w:val="231F20"/>
          <w:spacing w:val="-1"/>
          <w:sz w:val="18"/>
          <w:szCs w:val="18"/>
        </w:rPr>
        <w:t xml:space="preserve"> </w:t>
      </w:r>
      <w:r w:rsidRPr="003E6588">
        <w:rPr>
          <w:color w:val="231F20"/>
          <w:sz w:val="18"/>
          <w:szCs w:val="18"/>
        </w:rPr>
        <w:t>calculated</w:t>
      </w:r>
      <w:r w:rsidRPr="003E6588">
        <w:rPr>
          <w:color w:val="231F20"/>
          <w:spacing w:val="-1"/>
          <w:sz w:val="18"/>
          <w:szCs w:val="18"/>
        </w:rPr>
        <w:t xml:space="preserve"> </w:t>
      </w:r>
      <w:r w:rsidRPr="003E6588">
        <w:rPr>
          <w:color w:val="231F20"/>
          <w:sz w:val="18"/>
          <w:szCs w:val="18"/>
        </w:rPr>
        <w:t>as</w:t>
      </w:r>
      <w:r w:rsidRPr="003E6588">
        <w:rPr>
          <w:color w:val="231F20"/>
          <w:spacing w:val="-1"/>
          <w:sz w:val="18"/>
          <w:szCs w:val="18"/>
        </w:rPr>
        <w:t xml:space="preserve"> </w:t>
      </w:r>
      <w:r w:rsidRPr="003E6588">
        <w:rPr>
          <w:color w:val="231F20"/>
          <w:sz w:val="18"/>
          <w:szCs w:val="18"/>
        </w:rPr>
        <w:t>-0.02.</w:t>
      </w:r>
      <w:r w:rsidRPr="003E6588">
        <w:rPr>
          <w:color w:val="231F20"/>
          <w:spacing w:val="40"/>
          <w:sz w:val="18"/>
          <w:szCs w:val="18"/>
        </w:rPr>
        <w:t xml:space="preserve"> </w:t>
      </w:r>
      <w:r w:rsidRPr="003E6588">
        <w:rPr>
          <w:color w:val="231F20"/>
          <w:sz w:val="18"/>
          <w:szCs w:val="18"/>
        </w:rPr>
        <w:t>Results</w:t>
      </w:r>
      <w:r w:rsidRPr="003E6588">
        <w:rPr>
          <w:color w:val="231F20"/>
          <w:spacing w:val="-8"/>
          <w:sz w:val="18"/>
          <w:szCs w:val="18"/>
        </w:rPr>
        <w:t xml:space="preserve"> </w:t>
      </w:r>
      <w:r w:rsidRPr="003E6588">
        <w:rPr>
          <w:color w:val="231F20"/>
          <w:sz w:val="18"/>
          <w:szCs w:val="18"/>
        </w:rPr>
        <w:t>Key:</w:t>
      </w:r>
    </w:p>
    <w:p w14:paraId="730DA74F" w14:textId="77777777" w:rsidR="00345EE3" w:rsidRPr="003E6588" w:rsidRDefault="00345EE3" w:rsidP="00345EE3">
      <w:pPr>
        <w:spacing w:before="17"/>
        <w:ind w:left="110"/>
        <w:rPr>
          <w:sz w:val="18"/>
          <w:szCs w:val="18"/>
        </w:rPr>
      </w:pPr>
      <w:r w:rsidRPr="003E6588">
        <w:rPr>
          <w:rFonts w:ascii="Wingdings" w:hAnsi="Wingdings"/>
          <w:color w:val="231F20"/>
          <w:sz w:val="18"/>
          <w:szCs w:val="18"/>
        </w:rPr>
        <w:t>ü</w:t>
      </w:r>
      <w:r w:rsidRPr="003E6588">
        <w:rPr>
          <w:color w:val="231F20"/>
          <w:spacing w:val="78"/>
          <w:w w:val="150"/>
          <w:sz w:val="18"/>
          <w:szCs w:val="18"/>
        </w:rPr>
        <w:t xml:space="preserve"> </w:t>
      </w:r>
      <w:r w:rsidRPr="003E6588">
        <w:rPr>
          <w:color w:val="231F20"/>
          <w:sz w:val="18"/>
          <w:szCs w:val="18"/>
        </w:rPr>
        <w:t>Performance</w:t>
      </w:r>
      <w:r w:rsidRPr="003E6588">
        <w:rPr>
          <w:color w:val="231F20"/>
          <w:spacing w:val="3"/>
          <w:sz w:val="18"/>
          <w:szCs w:val="18"/>
        </w:rPr>
        <w:t xml:space="preserve"> </w:t>
      </w:r>
      <w:r w:rsidRPr="003E6588">
        <w:rPr>
          <w:color w:val="231F20"/>
          <w:sz w:val="18"/>
          <w:szCs w:val="18"/>
        </w:rPr>
        <w:t>target</w:t>
      </w:r>
      <w:r w:rsidRPr="003E6588">
        <w:rPr>
          <w:color w:val="231F20"/>
          <w:spacing w:val="3"/>
          <w:sz w:val="18"/>
          <w:szCs w:val="18"/>
        </w:rPr>
        <w:t xml:space="preserve"> </w:t>
      </w:r>
      <w:r w:rsidRPr="003E6588">
        <w:rPr>
          <w:color w:val="231F20"/>
          <w:sz w:val="18"/>
          <w:szCs w:val="18"/>
        </w:rPr>
        <w:t>achieved</w:t>
      </w:r>
      <w:r w:rsidRPr="003E6588">
        <w:rPr>
          <w:color w:val="231F20"/>
          <w:spacing w:val="3"/>
          <w:sz w:val="18"/>
          <w:szCs w:val="18"/>
        </w:rPr>
        <w:t xml:space="preserve"> </w:t>
      </w:r>
      <w:r w:rsidRPr="003E6588">
        <w:rPr>
          <w:color w:val="231F20"/>
          <w:sz w:val="18"/>
          <w:szCs w:val="18"/>
        </w:rPr>
        <w:t>or</w:t>
      </w:r>
      <w:r w:rsidRPr="003E6588">
        <w:rPr>
          <w:color w:val="231F20"/>
          <w:spacing w:val="3"/>
          <w:sz w:val="18"/>
          <w:szCs w:val="18"/>
        </w:rPr>
        <w:t xml:space="preserve"> </w:t>
      </w:r>
      <w:r w:rsidRPr="003E6588">
        <w:rPr>
          <w:color w:val="231F20"/>
          <w:spacing w:val="-2"/>
          <w:sz w:val="18"/>
          <w:szCs w:val="18"/>
        </w:rPr>
        <w:t>exceeded.</w:t>
      </w:r>
    </w:p>
    <w:p w14:paraId="6DD8661A" w14:textId="77777777" w:rsidR="00345EE3" w:rsidRPr="003E6588" w:rsidRDefault="00345EE3" w:rsidP="00345EE3">
      <w:pPr>
        <w:spacing w:before="27"/>
        <w:ind w:left="110"/>
        <w:rPr>
          <w:sz w:val="18"/>
          <w:szCs w:val="18"/>
        </w:rPr>
      </w:pPr>
      <w:r w:rsidRPr="003E6588">
        <w:rPr>
          <w:rFonts w:ascii="Wingdings" w:hAnsi="Wingdings"/>
          <w:color w:val="231F20"/>
          <w:w w:val="105"/>
          <w:sz w:val="18"/>
          <w:szCs w:val="18"/>
        </w:rPr>
        <w:t>¡</w:t>
      </w:r>
      <w:r w:rsidRPr="003E6588">
        <w:rPr>
          <w:color w:val="231F20"/>
          <w:spacing w:val="47"/>
          <w:w w:val="105"/>
          <w:sz w:val="18"/>
          <w:szCs w:val="18"/>
        </w:rPr>
        <w:t xml:space="preserve"> </w:t>
      </w:r>
      <w:r w:rsidRPr="003E6588">
        <w:rPr>
          <w:color w:val="231F20"/>
          <w:w w:val="105"/>
          <w:sz w:val="18"/>
          <w:szCs w:val="18"/>
        </w:rPr>
        <w:t>Performance</w:t>
      </w:r>
      <w:r w:rsidRPr="003E6588">
        <w:rPr>
          <w:color w:val="231F20"/>
          <w:spacing w:val="-10"/>
          <w:w w:val="105"/>
          <w:sz w:val="18"/>
          <w:szCs w:val="18"/>
        </w:rPr>
        <w:t xml:space="preserve"> </w:t>
      </w:r>
      <w:r w:rsidRPr="003E6588">
        <w:rPr>
          <w:color w:val="231F20"/>
          <w:w w:val="105"/>
          <w:sz w:val="18"/>
          <w:szCs w:val="18"/>
        </w:rPr>
        <w:t>target</w:t>
      </w:r>
      <w:r w:rsidRPr="003E6588">
        <w:rPr>
          <w:color w:val="231F20"/>
          <w:spacing w:val="-9"/>
          <w:w w:val="105"/>
          <w:sz w:val="18"/>
          <w:szCs w:val="18"/>
        </w:rPr>
        <w:t xml:space="preserve"> </w:t>
      </w:r>
      <w:r w:rsidRPr="003E6588">
        <w:rPr>
          <w:color w:val="231F20"/>
          <w:w w:val="105"/>
          <w:sz w:val="18"/>
          <w:szCs w:val="18"/>
        </w:rPr>
        <w:t>not</w:t>
      </w:r>
      <w:r w:rsidRPr="003E6588">
        <w:rPr>
          <w:color w:val="231F20"/>
          <w:spacing w:val="-10"/>
          <w:w w:val="105"/>
          <w:sz w:val="18"/>
          <w:szCs w:val="18"/>
        </w:rPr>
        <w:t xml:space="preserve"> </w:t>
      </w:r>
      <w:r w:rsidRPr="003E6588">
        <w:rPr>
          <w:color w:val="231F20"/>
          <w:w w:val="105"/>
          <w:sz w:val="18"/>
          <w:szCs w:val="18"/>
        </w:rPr>
        <w:t>achieved</w:t>
      </w:r>
      <w:r w:rsidRPr="003E6588">
        <w:rPr>
          <w:color w:val="231F20"/>
          <w:spacing w:val="-9"/>
          <w:w w:val="105"/>
          <w:sz w:val="18"/>
          <w:szCs w:val="18"/>
        </w:rPr>
        <w:t xml:space="preserve"> </w:t>
      </w:r>
      <w:r w:rsidRPr="003E6588">
        <w:rPr>
          <w:color w:val="231F20"/>
          <w:w w:val="105"/>
          <w:sz w:val="18"/>
          <w:szCs w:val="18"/>
        </w:rPr>
        <w:t>–</w:t>
      </w:r>
      <w:r w:rsidRPr="003E6588">
        <w:rPr>
          <w:color w:val="231F20"/>
          <w:spacing w:val="-10"/>
          <w:w w:val="105"/>
          <w:sz w:val="18"/>
          <w:szCs w:val="18"/>
        </w:rPr>
        <w:t xml:space="preserve"> </w:t>
      </w:r>
      <w:r w:rsidRPr="003E6588">
        <w:rPr>
          <w:color w:val="231F20"/>
          <w:w w:val="105"/>
          <w:sz w:val="18"/>
          <w:szCs w:val="18"/>
        </w:rPr>
        <w:t>within</w:t>
      </w:r>
      <w:r w:rsidRPr="003E6588">
        <w:rPr>
          <w:color w:val="231F20"/>
          <w:spacing w:val="-10"/>
          <w:w w:val="105"/>
          <w:sz w:val="18"/>
          <w:szCs w:val="18"/>
        </w:rPr>
        <w:t xml:space="preserve"> </w:t>
      </w:r>
      <w:r w:rsidRPr="003E6588">
        <w:rPr>
          <w:color w:val="231F20"/>
          <w:w w:val="105"/>
          <w:sz w:val="18"/>
          <w:szCs w:val="18"/>
        </w:rPr>
        <w:t>5</w:t>
      </w:r>
      <w:r w:rsidRPr="003E6588">
        <w:rPr>
          <w:color w:val="231F20"/>
          <w:spacing w:val="-9"/>
          <w:w w:val="105"/>
          <w:sz w:val="18"/>
          <w:szCs w:val="18"/>
        </w:rPr>
        <w:t xml:space="preserve"> </w:t>
      </w:r>
      <w:r w:rsidRPr="003E6588">
        <w:rPr>
          <w:color w:val="231F20"/>
          <w:w w:val="105"/>
          <w:sz w:val="18"/>
          <w:szCs w:val="18"/>
        </w:rPr>
        <w:t>per</w:t>
      </w:r>
      <w:r w:rsidRPr="003E6588">
        <w:rPr>
          <w:color w:val="231F20"/>
          <w:spacing w:val="-10"/>
          <w:w w:val="105"/>
          <w:sz w:val="18"/>
          <w:szCs w:val="18"/>
        </w:rPr>
        <w:t xml:space="preserve"> </w:t>
      </w:r>
      <w:r w:rsidRPr="003E6588">
        <w:rPr>
          <w:color w:val="231F20"/>
          <w:w w:val="105"/>
          <w:sz w:val="18"/>
          <w:szCs w:val="18"/>
        </w:rPr>
        <w:t>cent</w:t>
      </w:r>
      <w:r w:rsidRPr="003E6588">
        <w:rPr>
          <w:color w:val="231F20"/>
          <w:spacing w:val="-9"/>
          <w:w w:val="105"/>
          <w:sz w:val="18"/>
          <w:szCs w:val="18"/>
        </w:rPr>
        <w:t xml:space="preserve"> </w:t>
      </w:r>
      <w:r w:rsidRPr="003E6588">
        <w:rPr>
          <w:color w:val="231F20"/>
          <w:spacing w:val="-2"/>
          <w:w w:val="105"/>
          <w:sz w:val="18"/>
          <w:szCs w:val="18"/>
        </w:rPr>
        <w:t>variance.</w:t>
      </w:r>
    </w:p>
    <w:p w14:paraId="21D1DC92" w14:textId="77777777" w:rsidR="00345EE3" w:rsidRPr="003E6588" w:rsidRDefault="00345EE3" w:rsidP="00345EE3">
      <w:pPr>
        <w:spacing w:before="27"/>
        <w:ind w:left="110"/>
        <w:rPr>
          <w:sz w:val="18"/>
          <w:szCs w:val="18"/>
        </w:rPr>
      </w:pPr>
      <w:r w:rsidRPr="003E6588">
        <w:rPr>
          <w:rFonts w:ascii="Wingdings" w:hAnsi="Wingdings"/>
          <w:color w:val="231F20"/>
          <w:sz w:val="18"/>
          <w:szCs w:val="18"/>
        </w:rPr>
        <w:t>n</w:t>
      </w:r>
      <w:r w:rsidRPr="003E6588">
        <w:rPr>
          <w:color w:val="231F20"/>
          <w:spacing w:val="73"/>
          <w:w w:val="150"/>
          <w:sz w:val="18"/>
          <w:szCs w:val="18"/>
        </w:rPr>
        <w:t xml:space="preserve"> </w:t>
      </w:r>
      <w:r w:rsidRPr="003E6588">
        <w:rPr>
          <w:color w:val="231F20"/>
          <w:sz w:val="18"/>
          <w:szCs w:val="18"/>
        </w:rPr>
        <w:t>Performance target not achieved</w:t>
      </w:r>
      <w:r w:rsidRPr="003E6588">
        <w:rPr>
          <w:color w:val="231F20"/>
          <w:spacing w:val="1"/>
          <w:sz w:val="18"/>
          <w:szCs w:val="18"/>
        </w:rPr>
        <w:t xml:space="preserve"> </w:t>
      </w:r>
      <w:r w:rsidRPr="003E6588">
        <w:rPr>
          <w:color w:val="231F20"/>
          <w:sz w:val="18"/>
          <w:szCs w:val="18"/>
        </w:rPr>
        <w:t>– exceeds 5 per cent</w:t>
      </w:r>
      <w:r w:rsidRPr="003E6588">
        <w:rPr>
          <w:color w:val="231F20"/>
          <w:spacing w:val="1"/>
          <w:sz w:val="18"/>
          <w:szCs w:val="18"/>
        </w:rPr>
        <w:t xml:space="preserve"> </w:t>
      </w:r>
      <w:r w:rsidRPr="003E6588">
        <w:rPr>
          <w:color w:val="231F20"/>
          <w:spacing w:val="-2"/>
          <w:sz w:val="18"/>
          <w:szCs w:val="18"/>
        </w:rPr>
        <w:t>variance.</w:t>
      </w:r>
    </w:p>
    <w:p w14:paraId="0B07A0E3" w14:textId="77777777" w:rsidR="00345EE3" w:rsidRDefault="00345EE3" w:rsidP="00345EE3">
      <w:pPr>
        <w:rPr>
          <w:sz w:val="13"/>
          <w:szCs w:val="24"/>
        </w:rPr>
      </w:pPr>
      <w:r>
        <w:rPr>
          <w:b/>
          <w:bCs/>
          <w:sz w:val="13"/>
          <w:szCs w:val="24"/>
        </w:rPr>
        <w:br w:type="page"/>
      </w:r>
    </w:p>
    <w:p w14:paraId="3EB3E1C2" w14:textId="77777777" w:rsidR="00345EE3" w:rsidRDefault="00345EE3" w:rsidP="002A27BA">
      <w:pPr>
        <w:pStyle w:val="Heading3"/>
      </w:pPr>
      <w:r>
        <w:t>Road</w:t>
      </w:r>
      <w:r>
        <w:rPr>
          <w:spacing w:val="-7"/>
        </w:rPr>
        <w:t xml:space="preserve"> </w:t>
      </w:r>
      <w:r>
        <w:t>Fatalities</w:t>
      </w:r>
      <w:r>
        <w:rPr>
          <w:spacing w:val="-7"/>
        </w:rPr>
        <w:t xml:space="preserve"> </w:t>
      </w:r>
      <w:r>
        <w:t>and</w:t>
      </w:r>
      <w:r>
        <w:rPr>
          <w:spacing w:val="-5"/>
        </w:rPr>
        <w:t xml:space="preserve"> </w:t>
      </w:r>
      <w:r>
        <w:rPr>
          <w:spacing w:val="-2"/>
        </w:rPr>
        <w:t>Injuries</w:t>
      </w:r>
    </w:p>
    <w:p w14:paraId="15E89949" w14:textId="77777777" w:rsidR="00345EE3" w:rsidRDefault="00345EE3" w:rsidP="00345EE3">
      <w:pPr>
        <w:pStyle w:val="BodyText"/>
        <w:spacing w:before="53" w:line="242" w:lineRule="auto"/>
        <w:ind w:right="1141"/>
      </w:pPr>
      <w:r>
        <w:rPr>
          <w:color w:val="231F20"/>
        </w:rPr>
        <w:t>Under</w:t>
      </w:r>
      <w:r>
        <w:rPr>
          <w:color w:val="231F20"/>
          <w:spacing w:val="-9"/>
        </w:rPr>
        <w:t xml:space="preserve"> </w:t>
      </w:r>
      <w:r>
        <w:rPr>
          <w:color w:val="231F20"/>
        </w:rPr>
        <w:t>the</w:t>
      </w:r>
      <w:r>
        <w:rPr>
          <w:color w:val="231F20"/>
          <w:spacing w:val="-9"/>
        </w:rPr>
        <w:t xml:space="preserve"> </w:t>
      </w:r>
      <w:r>
        <w:rPr>
          <w:i/>
          <w:color w:val="231F20"/>
        </w:rPr>
        <w:t>Victoria</w:t>
      </w:r>
      <w:r>
        <w:rPr>
          <w:i/>
          <w:color w:val="231F20"/>
          <w:spacing w:val="-17"/>
        </w:rPr>
        <w:t xml:space="preserve"> </w:t>
      </w:r>
      <w:r>
        <w:rPr>
          <w:i/>
          <w:color w:val="231F20"/>
        </w:rPr>
        <w:t>Police</w:t>
      </w:r>
      <w:r>
        <w:rPr>
          <w:i/>
          <w:color w:val="231F20"/>
          <w:spacing w:val="-17"/>
        </w:rPr>
        <w:t xml:space="preserve"> </w:t>
      </w:r>
      <w:r>
        <w:rPr>
          <w:i/>
          <w:color w:val="231F20"/>
        </w:rPr>
        <w:t>Road</w:t>
      </w:r>
      <w:r>
        <w:rPr>
          <w:i/>
          <w:color w:val="231F20"/>
          <w:spacing w:val="-16"/>
        </w:rPr>
        <w:t xml:space="preserve"> </w:t>
      </w:r>
      <w:r>
        <w:rPr>
          <w:i/>
          <w:color w:val="231F20"/>
        </w:rPr>
        <w:t>Safety</w:t>
      </w:r>
      <w:r>
        <w:rPr>
          <w:i/>
          <w:color w:val="231F20"/>
          <w:spacing w:val="-17"/>
        </w:rPr>
        <w:t xml:space="preserve"> </w:t>
      </w:r>
      <w:r>
        <w:rPr>
          <w:i/>
          <w:color w:val="231F20"/>
        </w:rPr>
        <w:t>Strategy</w:t>
      </w:r>
      <w:r>
        <w:rPr>
          <w:i/>
          <w:color w:val="231F20"/>
          <w:spacing w:val="-17"/>
        </w:rPr>
        <w:t xml:space="preserve"> </w:t>
      </w:r>
      <w:r>
        <w:rPr>
          <w:i/>
          <w:color w:val="231F20"/>
        </w:rPr>
        <w:t>2021–2024</w:t>
      </w:r>
      <w:r>
        <w:rPr>
          <w:color w:val="231F20"/>
        </w:rPr>
        <w:t>,</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and</w:t>
      </w:r>
      <w:r>
        <w:rPr>
          <w:color w:val="231F20"/>
          <w:spacing w:val="-10"/>
        </w:rPr>
        <w:t xml:space="preserve"> </w:t>
      </w:r>
      <w:r>
        <w:rPr>
          <w:color w:val="231F20"/>
        </w:rPr>
        <w:t>road</w:t>
      </w:r>
      <w:r>
        <w:rPr>
          <w:color w:val="231F20"/>
          <w:spacing w:val="-10"/>
        </w:rPr>
        <w:t xml:space="preserve"> </w:t>
      </w:r>
      <w:r>
        <w:rPr>
          <w:color w:val="231F20"/>
        </w:rPr>
        <w:t>safety partners are committed to a shared vision of zero deaths and serious injuries on Victorian roads.</w:t>
      </w:r>
      <w:r>
        <w:rPr>
          <w:color w:val="231F20"/>
          <w:spacing w:val="-7"/>
        </w:rPr>
        <w:t xml:space="preserve"> </w:t>
      </w:r>
      <w:r>
        <w:rPr>
          <w:color w:val="231F20"/>
        </w:rPr>
        <w:t>The</w:t>
      </w:r>
      <w:r>
        <w:rPr>
          <w:color w:val="231F20"/>
          <w:spacing w:val="-8"/>
        </w:rPr>
        <w:t xml:space="preserve"> </w:t>
      </w:r>
      <w:r>
        <w:rPr>
          <w:color w:val="231F20"/>
        </w:rPr>
        <w:t>collective</w:t>
      </w:r>
      <w:r>
        <w:rPr>
          <w:color w:val="231F20"/>
          <w:spacing w:val="-8"/>
        </w:rPr>
        <w:t xml:space="preserve"> </w:t>
      </w:r>
      <w:r>
        <w:rPr>
          <w:color w:val="231F20"/>
        </w:rPr>
        <w:t>focus</w:t>
      </w:r>
      <w:r>
        <w:rPr>
          <w:color w:val="231F20"/>
          <w:spacing w:val="-7"/>
        </w:rPr>
        <w:t xml:space="preserve"> </w:t>
      </w:r>
      <w:r>
        <w:rPr>
          <w:color w:val="231F20"/>
        </w:rPr>
        <w:t>is</w:t>
      </w:r>
      <w:r>
        <w:rPr>
          <w:color w:val="231F20"/>
          <w:spacing w:val="-7"/>
        </w:rPr>
        <w:t xml:space="preserve"> </w:t>
      </w:r>
      <w:r>
        <w:rPr>
          <w:color w:val="231F20"/>
        </w:rPr>
        <w:t>on</w:t>
      </w:r>
      <w:r>
        <w:rPr>
          <w:color w:val="231F20"/>
          <w:spacing w:val="-8"/>
        </w:rPr>
        <w:t xml:space="preserve"> </w:t>
      </w:r>
      <w:r>
        <w:rPr>
          <w:color w:val="231F20"/>
        </w:rPr>
        <w:t>ensuring</w:t>
      </w:r>
      <w:r>
        <w:rPr>
          <w:color w:val="231F20"/>
          <w:spacing w:val="-8"/>
        </w:rPr>
        <w:t xml:space="preserve"> </w:t>
      </w:r>
      <w:r>
        <w:rPr>
          <w:color w:val="231F20"/>
        </w:rPr>
        <w:t>all</w:t>
      </w:r>
      <w:r>
        <w:rPr>
          <w:color w:val="231F20"/>
          <w:spacing w:val="-8"/>
        </w:rPr>
        <w:t xml:space="preserve"> </w:t>
      </w:r>
      <w:r>
        <w:rPr>
          <w:color w:val="231F20"/>
        </w:rPr>
        <w:t>Victorians</w:t>
      </w:r>
      <w:r>
        <w:rPr>
          <w:color w:val="231F20"/>
          <w:spacing w:val="-7"/>
        </w:rPr>
        <w:t xml:space="preserve"> </w:t>
      </w:r>
      <w:r>
        <w:rPr>
          <w:color w:val="231F20"/>
        </w:rPr>
        <w:t>feel</w:t>
      </w:r>
      <w:r>
        <w:rPr>
          <w:color w:val="231F20"/>
          <w:spacing w:val="-8"/>
        </w:rPr>
        <w:t xml:space="preserve"> </w:t>
      </w:r>
      <w:r>
        <w:rPr>
          <w:color w:val="231F20"/>
        </w:rPr>
        <w:t>safe</w:t>
      </w:r>
      <w:r>
        <w:rPr>
          <w:color w:val="231F20"/>
          <w:spacing w:val="-8"/>
        </w:rPr>
        <w:t xml:space="preserve"> </w:t>
      </w:r>
      <w:r>
        <w:rPr>
          <w:color w:val="231F20"/>
        </w:rPr>
        <w:t>on</w:t>
      </w:r>
      <w:r>
        <w:rPr>
          <w:color w:val="231F20"/>
          <w:spacing w:val="-8"/>
        </w:rPr>
        <w:t xml:space="preserve"> </w:t>
      </w:r>
      <w:r>
        <w:rPr>
          <w:color w:val="231F20"/>
        </w:rPr>
        <w:t>and</w:t>
      </w:r>
      <w:r>
        <w:rPr>
          <w:color w:val="231F20"/>
          <w:spacing w:val="-8"/>
        </w:rPr>
        <w:t xml:space="preserve"> </w:t>
      </w:r>
      <w:r>
        <w:rPr>
          <w:color w:val="231F20"/>
        </w:rPr>
        <w:t>around</w:t>
      </w:r>
      <w:r>
        <w:rPr>
          <w:color w:val="231F20"/>
          <w:spacing w:val="-8"/>
        </w:rPr>
        <w:t xml:space="preserve"> </w:t>
      </w:r>
      <w:r>
        <w:rPr>
          <w:color w:val="231F20"/>
        </w:rPr>
        <w:t>our</w:t>
      </w:r>
      <w:r>
        <w:rPr>
          <w:color w:val="231F20"/>
          <w:spacing w:val="-7"/>
        </w:rPr>
        <w:t xml:space="preserve"> </w:t>
      </w:r>
      <w:r>
        <w:rPr>
          <w:color w:val="231F20"/>
        </w:rPr>
        <w:t>roads</w:t>
      </w:r>
      <w:r>
        <w:rPr>
          <w:color w:val="231F20"/>
          <w:spacing w:val="-7"/>
        </w:rPr>
        <w:t xml:space="preserve"> </w:t>
      </w:r>
      <w:r>
        <w:rPr>
          <w:color w:val="231F20"/>
        </w:rPr>
        <w:t xml:space="preserve">and </w:t>
      </w:r>
    </w:p>
    <w:p w14:paraId="174D35C7" w14:textId="74D984B2" w:rsidR="00345EE3" w:rsidRDefault="00345EE3" w:rsidP="00345EE3">
      <w:pPr>
        <w:pStyle w:val="BodyText"/>
        <w:spacing w:before="62" w:line="242" w:lineRule="auto"/>
        <w:ind w:right="921"/>
      </w:pPr>
      <w:r>
        <w:rPr>
          <w:color w:val="231F20"/>
        </w:rPr>
        <w:t>progressively</w:t>
      </w:r>
      <w:r>
        <w:rPr>
          <w:color w:val="231F20"/>
          <w:spacing w:val="-11"/>
        </w:rPr>
        <w:t xml:space="preserve"> </w:t>
      </w:r>
      <w:r>
        <w:rPr>
          <w:color w:val="231F20"/>
        </w:rPr>
        <w:t>reducing</w:t>
      </w:r>
      <w:r>
        <w:rPr>
          <w:color w:val="231F20"/>
          <w:spacing w:val="-12"/>
        </w:rPr>
        <w:t xml:space="preserve"> </w:t>
      </w:r>
      <w:r>
        <w:rPr>
          <w:color w:val="231F20"/>
        </w:rPr>
        <w:t>fatalities</w:t>
      </w:r>
      <w:r>
        <w:rPr>
          <w:color w:val="231F20"/>
          <w:spacing w:val="-11"/>
        </w:rPr>
        <w:t xml:space="preserve"> </w:t>
      </w:r>
      <w:r>
        <w:rPr>
          <w:color w:val="231F20"/>
        </w:rPr>
        <w:t>and</w:t>
      </w:r>
      <w:r>
        <w:rPr>
          <w:color w:val="231F20"/>
          <w:spacing w:val="-12"/>
        </w:rPr>
        <w:t xml:space="preserve"> </w:t>
      </w:r>
      <w:r>
        <w:rPr>
          <w:color w:val="231F20"/>
        </w:rPr>
        <w:t>injuries</w:t>
      </w:r>
      <w:r>
        <w:rPr>
          <w:color w:val="231F20"/>
          <w:spacing w:val="-11"/>
        </w:rPr>
        <w:t xml:space="preserve"> </w:t>
      </w:r>
      <w:r>
        <w:rPr>
          <w:color w:val="231F20"/>
        </w:rPr>
        <w:t>from</w:t>
      </w:r>
      <w:r>
        <w:rPr>
          <w:color w:val="231F20"/>
          <w:spacing w:val="-11"/>
        </w:rPr>
        <w:t xml:space="preserve"> </w:t>
      </w:r>
      <w:r>
        <w:rPr>
          <w:color w:val="231F20"/>
        </w:rPr>
        <w:t>road</w:t>
      </w:r>
      <w:r>
        <w:rPr>
          <w:color w:val="231F20"/>
          <w:spacing w:val="-12"/>
        </w:rPr>
        <w:t xml:space="preserve"> </w:t>
      </w:r>
      <w:r>
        <w:rPr>
          <w:color w:val="231F20"/>
        </w:rPr>
        <w:t>trauma</w:t>
      </w:r>
      <w:r>
        <w:rPr>
          <w:color w:val="231F20"/>
          <w:spacing w:val="-12"/>
        </w:rPr>
        <w:t xml:space="preserve"> </w:t>
      </w:r>
      <w:r>
        <w:rPr>
          <w:color w:val="231F20"/>
        </w:rPr>
        <w:t>through</w:t>
      </w:r>
      <w:r>
        <w:rPr>
          <w:color w:val="231F20"/>
          <w:spacing w:val="-12"/>
        </w:rPr>
        <w:t xml:space="preserve"> </w:t>
      </w:r>
      <w:r>
        <w:rPr>
          <w:color w:val="231F20"/>
        </w:rPr>
        <w:t>ongoing</w:t>
      </w:r>
      <w:r>
        <w:rPr>
          <w:color w:val="231F20"/>
          <w:spacing w:val="-12"/>
        </w:rPr>
        <w:t xml:space="preserve"> </w:t>
      </w:r>
      <w:r>
        <w:rPr>
          <w:color w:val="231F20"/>
        </w:rPr>
        <w:t>operations</w:t>
      </w:r>
      <w:r>
        <w:rPr>
          <w:color w:val="231F20"/>
          <w:spacing w:val="-11"/>
        </w:rPr>
        <w:t xml:space="preserve"> </w:t>
      </w:r>
      <w:r>
        <w:rPr>
          <w:color w:val="231F20"/>
        </w:rPr>
        <w:t>and efforts to</w:t>
      </w:r>
      <w:r>
        <w:rPr>
          <w:color w:val="231F20"/>
          <w:spacing w:val="-1"/>
        </w:rPr>
        <w:t xml:space="preserve"> </w:t>
      </w:r>
      <w:r>
        <w:rPr>
          <w:color w:val="231F20"/>
        </w:rPr>
        <w:t>embed</w:t>
      </w:r>
      <w:r>
        <w:rPr>
          <w:color w:val="231F20"/>
          <w:spacing w:val="-1"/>
        </w:rPr>
        <w:t xml:space="preserve"> </w:t>
      </w:r>
      <w:r>
        <w:rPr>
          <w:color w:val="231F20"/>
        </w:rPr>
        <w:t>a</w:t>
      </w:r>
      <w:r>
        <w:rPr>
          <w:color w:val="231F20"/>
          <w:spacing w:val="-1"/>
        </w:rPr>
        <w:t xml:space="preserve"> </w:t>
      </w:r>
      <w:r>
        <w:rPr>
          <w:color w:val="231F20"/>
        </w:rPr>
        <w:t>culture</w:t>
      </w:r>
      <w:r>
        <w:rPr>
          <w:color w:val="231F20"/>
          <w:spacing w:val="-1"/>
        </w:rPr>
        <w:t xml:space="preserve"> </w:t>
      </w:r>
      <w:r>
        <w:rPr>
          <w:color w:val="231F20"/>
        </w:rPr>
        <w:t>of road</w:t>
      </w:r>
      <w:r>
        <w:rPr>
          <w:color w:val="231F20"/>
          <w:spacing w:val="-1"/>
        </w:rPr>
        <w:t xml:space="preserve"> </w:t>
      </w:r>
      <w:r>
        <w:rPr>
          <w:color w:val="231F20"/>
        </w:rPr>
        <w:t>safety within</w:t>
      </w:r>
      <w:r>
        <w:rPr>
          <w:color w:val="231F20"/>
          <w:spacing w:val="-1"/>
        </w:rPr>
        <w:t xml:space="preserve"> </w:t>
      </w:r>
      <w:r>
        <w:rPr>
          <w:color w:val="231F20"/>
        </w:rPr>
        <w:t>the</w:t>
      </w:r>
      <w:r>
        <w:rPr>
          <w:color w:val="231F20"/>
          <w:spacing w:val="-1"/>
        </w:rPr>
        <w:t xml:space="preserve"> </w:t>
      </w:r>
      <w:r>
        <w:rPr>
          <w:color w:val="231F20"/>
        </w:rPr>
        <w:t>Victorian</w:t>
      </w:r>
      <w:r>
        <w:rPr>
          <w:color w:val="231F20"/>
          <w:spacing w:val="-1"/>
        </w:rPr>
        <w:t xml:space="preserve"> </w:t>
      </w:r>
      <w:r>
        <w:rPr>
          <w:color w:val="231F20"/>
        </w:rPr>
        <w:t>community. Victoria</w:t>
      </w:r>
      <w:r>
        <w:rPr>
          <w:color w:val="231F20"/>
          <w:spacing w:val="-1"/>
        </w:rPr>
        <w:t xml:space="preserve"> </w:t>
      </w:r>
      <w:r>
        <w:rPr>
          <w:color w:val="231F20"/>
        </w:rPr>
        <w:t>Police</w:t>
      </w:r>
      <w:r>
        <w:rPr>
          <w:color w:val="231F20"/>
          <w:spacing w:val="-1"/>
        </w:rPr>
        <w:t xml:space="preserve"> </w:t>
      </w:r>
      <w:r>
        <w:rPr>
          <w:color w:val="231F20"/>
        </w:rPr>
        <w:t>target intentional</w:t>
      </w:r>
      <w:r>
        <w:rPr>
          <w:color w:val="231F20"/>
          <w:spacing w:val="-12"/>
        </w:rPr>
        <w:t xml:space="preserve"> </w:t>
      </w:r>
      <w:r>
        <w:rPr>
          <w:color w:val="231F20"/>
        </w:rPr>
        <w:t>high-risk</w:t>
      </w:r>
      <w:r>
        <w:rPr>
          <w:color w:val="231F20"/>
          <w:spacing w:val="-12"/>
        </w:rPr>
        <w:t xml:space="preserve"> </w:t>
      </w:r>
      <w:r>
        <w:rPr>
          <w:color w:val="231F20"/>
        </w:rPr>
        <w:t>driving,</w:t>
      </w:r>
      <w:r>
        <w:rPr>
          <w:color w:val="231F20"/>
          <w:spacing w:val="-12"/>
        </w:rPr>
        <w:t xml:space="preserve"> </w:t>
      </w:r>
      <w:r>
        <w:rPr>
          <w:color w:val="231F20"/>
        </w:rPr>
        <w:t>rural</w:t>
      </w:r>
      <w:r>
        <w:rPr>
          <w:color w:val="231F20"/>
          <w:spacing w:val="-12"/>
        </w:rPr>
        <w:t xml:space="preserve"> </w:t>
      </w:r>
      <w:r>
        <w:rPr>
          <w:color w:val="231F20"/>
        </w:rPr>
        <w:t>roads,</w:t>
      </w:r>
      <w:r>
        <w:rPr>
          <w:color w:val="231F20"/>
          <w:spacing w:val="-12"/>
        </w:rPr>
        <w:t xml:space="preserve"> </w:t>
      </w:r>
      <w:r>
        <w:rPr>
          <w:color w:val="231F20"/>
        </w:rPr>
        <w:t>speeding,</w:t>
      </w:r>
      <w:r>
        <w:rPr>
          <w:color w:val="231F20"/>
          <w:spacing w:val="-12"/>
        </w:rPr>
        <w:t xml:space="preserve"> </w:t>
      </w:r>
      <w:r>
        <w:rPr>
          <w:color w:val="231F20"/>
        </w:rPr>
        <w:t>impaired</w:t>
      </w:r>
      <w:r>
        <w:rPr>
          <w:color w:val="231F20"/>
          <w:spacing w:val="-12"/>
        </w:rPr>
        <w:t xml:space="preserve"> </w:t>
      </w:r>
      <w:r>
        <w:rPr>
          <w:color w:val="231F20"/>
        </w:rPr>
        <w:t>driving,</w:t>
      </w:r>
      <w:r>
        <w:rPr>
          <w:color w:val="231F20"/>
          <w:spacing w:val="-12"/>
        </w:rPr>
        <w:t xml:space="preserve"> </w:t>
      </w:r>
      <w:r>
        <w:rPr>
          <w:color w:val="231F20"/>
        </w:rPr>
        <w:t>seatbelt</w:t>
      </w:r>
      <w:r>
        <w:rPr>
          <w:color w:val="231F20"/>
          <w:spacing w:val="-12"/>
        </w:rPr>
        <w:t xml:space="preserve"> </w:t>
      </w:r>
      <w:r>
        <w:rPr>
          <w:color w:val="231F20"/>
        </w:rPr>
        <w:t>and</w:t>
      </w:r>
      <w:r>
        <w:rPr>
          <w:color w:val="231F20"/>
          <w:spacing w:val="-12"/>
        </w:rPr>
        <w:t xml:space="preserve"> </w:t>
      </w:r>
      <w:r>
        <w:rPr>
          <w:color w:val="231F20"/>
        </w:rPr>
        <w:t>restraints</w:t>
      </w:r>
      <w:r>
        <w:rPr>
          <w:color w:val="231F20"/>
          <w:spacing w:val="-12"/>
        </w:rPr>
        <w:t xml:space="preserve"> </w:t>
      </w:r>
      <w:r>
        <w:rPr>
          <w:color w:val="231F20"/>
        </w:rPr>
        <w:t xml:space="preserve">and </w:t>
      </w:r>
      <w:r w:rsidR="00D24A56">
        <w:rPr>
          <w:color w:val="231F20"/>
        </w:rPr>
        <w:t>distracted</w:t>
      </w:r>
      <w:r>
        <w:rPr>
          <w:color w:val="231F20"/>
        </w:rPr>
        <w:t xml:space="preserve"> and unauthorised drivers to keep the community safe on our roads.</w:t>
      </w:r>
    </w:p>
    <w:p w14:paraId="0814C5E0" w14:textId="77777777" w:rsidR="00345EE3" w:rsidRDefault="00345EE3" w:rsidP="00345EE3">
      <w:pPr>
        <w:pStyle w:val="BodyText"/>
        <w:spacing w:before="119" w:line="242" w:lineRule="auto"/>
        <w:ind w:right="921"/>
        <w:rPr>
          <w:rFonts w:eastAsiaTheme="minorHAnsi"/>
          <w:color w:val="000000"/>
          <w:lang w:val="en-GB"/>
        </w:rPr>
      </w:pPr>
      <w:r>
        <w:rPr>
          <w:color w:val="231F20"/>
        </w:rPr>
        <w:t>In 2021–22, there was a total of 251 road fatalities in Victoria, which is an increase of 47 compared</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previous</w:t>
      </w:r>
      <w:r>
        <w:rPr>
          <w:color w:val="231F20"/>
          <w:spacing w:val="-11"/>
        </w:rPr>
        <w:t xml:space="preserve"> </w:t>
      </w:r>
      <w:r>
        <w:rPr>
          <w:color w:val="231F20"/>
        </w:rPr>
        <w:t>year.</w:t>
      </w:r>
      <w:r>
        <w:rPr>
          <w:color w:val="231F20"/>
          <w:spacing w:val="-11"/>
        </w:rPr>
        <w:t xml:space="preserve"> </w:t>
      </w:r>
      <w:r>
        <w:rPr>
          <w:color w:val="231F20"/>
        </w:rPr>
        <w:t>The</w:t>
      </w:r>
      <w:r>
        <w:rPr>
          <w:color w:val="231F20"/>
          <w:spacing w:val="-12"/>
        </w:rPr>
        <w:t xml:space="preserve"> </w:t>
      </w:r>
      <w:r>
        <w:rPr>
          <w:color w:val="231F20"/>
        </w:rPr>
        <w:t>total</w:t>
      </w:r>
      <w:r>
        <w:rPr>
          <w:color w:val="231F20"/>
          <w:spacing w:val="-12"/>
        </w:rPr>
        <w:t xml:space="preserve"> </w:t>
      </w:r>
      <w:r>
        <w:rPr>
          <w:color w:val="231F20"/>
        </w:rPr>
        <w:t>number</w:t>
      </w:r>
      <w:r>
        <w:rPr>
          <w:color w:val="231F20"/>
          <w:spacing w:val="-11"/>
        </w:rPr>
        <w:t xml:space="preserve"> </w:t>
      </w:r>
      <w:r>
        <w:rPr>
          <w:color w:val="231F20"/>
        </w:rPr>
        <w:t>of</w:t>
      </w:r>
      <w:r>
        <w:rPr>
          <w:color w:val="231F20"/>
          <w:spacing w:val="-11"/>
        </w:rPr>
        <w:t xml:space="preserve"> </w:t>
      </w:r>
      <w:r>
        <w:rPr>
          <w:color w:val="231F20"/>
        </w:rPr>
        <w:t>road</w:t>
      </w:r>
      <w:r>
        <w:rPr>
          <w:color w:val="231F20"/>
          <w:spacing w:val="-12"/>
        </w:rPr>
        <w:t xml:space="preserve"> </w:t>
      </w:r>
      <w:r>
        <w:rPr>
          <w:color w:val="231F20"/>
        </w:rPr>
        <w:t>injuries</w:t>
      </w:r>
      <w:r>
        <w:rPr>
          <w:color w:val="231F20"/>
          <w:spacing w:val="-11"/>
        </w:rPr>
        <w:t xml:space="preserve"> </w:t>
      </w:r>
      <w:r>
        <w:rPr>
          <w:color w:val="231F20"/>
        </w:rPr>
        <w:t>decreased</w:t>
      </w:r>
      <w:r>
        <w:rPr>
          <w:color w:val="231F20"/>
          <w:spacing w:val="-12"/>
        </w:rPr>
        <w:t xml:space="preserve"> </w:t>
      </w:r>
      <w:r>
        <w:rPr>
          <w:color w:val="231F20"/>
        </w:rPr>
        <w:t>by</w:t>
      </w:r>
      <w:r>
        <w:rPr>
          <w:color w:val="231F20"/>
          <w:spacing w:val="-11"/>
        </w:rPr>
        <w:t xml:space="preserve"> </w:t>
      </w:r>
      <w:r>
        <w:rPr>
          <w:color w:val="231F20"/>
        </w:rPr>
        <w:t>1.1</w:t>
      </w:r>
      <w:r>
        <w:rPr>
          <w:color w:val="231F20"/>
          <w:spacing w:val="-12"/>
        </w:rPr>
        <w:t xml:space="preserve"> </w:t>
      </w:r>
      <w:r>
        <w:rPr>
          <w:color w:val="231F20"/>
        </w:rPr>
        <w:t>per</w:t>
      </w:r>
      <w:r>
        <w:rPr>
          <w:color w:val="231F20"/>
          <w:spacing w:val="-11"/>
        </w:rPr>
        <w:t xml:space="preserve"> </w:t>
      </w:r>
      <w:r>
        <w:rPr>
          <w:color w:val="231F20"/>
        </w:rPr>
        <w:t>cent</w:t>
      </w:r>
      <w:r>
        <w:rPr>
          <w:color w:val="231F20"/>
          <w:spacing w:val="-11"/>
        </w:rPr>
        <w:t xml:space="preserve"> </w:t>
      </w:r>
      <w:r>
        <w:rPr>
          <w:color w:val="231F20"/>
        </w:rPr>
        <w:t xml:space="preserve">in </w:t>
      </w:r>
      <w:r w:rsidRPr="00F449ED">
        <w:rPr>
          <w:rFonts w:eastAsiaTheme="minorHAnsi"/>
          <w:color w:val="000000"/>
          <w:sz w:val="24"/>
          <w:szCs w:val="24"/>
          <w:lang w:val="en-GB"/>
        </w:rPr>
        <w:t>2021–22 compared with the previous year.</w:t>
      </w:r>
    </w:p>
    <w:p w14:paraId="1FF7C6CB" w14:textId="77777777" w:rsidR="00345EE3" w:rsidRPr="00F449ED" w:rsidRDefault="00345EE3" w:rsidP="00345EE3">
      <w:pPr>
        <w:widowControl/>
        <w:suppressAutoHyphens/>
        <w:adjustRightInd w:val="0"/>
        <w:spacing w:before="120" w:after="28" w:line="230" w:lineRule="atLeast"/>
        <w:ind w:firstLine="142"/>
        <w:textAlignment w:val="center"/>
        <w:rPr>
          <w:rFonts w:eastAsiaTheme="minorHAnsi"/>
          <w:color w:val="000000"/>
          <w:sz w:val="18"/>
          <w:szCs w:val="18"/>
          <w:lang w:val="en-GB"/>
        </w:rPr>
      </w:pPr>
      <w:r w:rsidRPr="00F449ED">
        <w:rPr>
          <w:rFonts w:eastAsiaTheme="minorHAnsi"/>
          <w:color w:val="000000"/>
          <w:sz w:val="18"/>
          <w:szCs w:val="18"/>
          <w:lang w:val="en-GB"/>
        </w:rPr>
        <w:t xml:space="preserve">Table 3.6: </w:t>
      </w:r>
      <w:r w:rsidRPr="00F449ED">
        <w:rPr>
          <w:rFonts w:eastAsiaTheme="minorHAnsi"/>
          <w:b/>
          <w:bCs/>
          <w:i/>
          <w:iCs/>
          <w:color w:val="000000"/>
          <w:spacing w:val="-2"/>
          <w:sz w:val="18"/>
          <w:szCs w:val="18"/>
          <w:lang w:val="en-GB"/>
        </w:rPr>
        <w:t>Road Fatalities and Injuries</w:t>
      </w:r>
      <w:r w:rsidRPr="00F449ED">
        <w:rPr>
          <w:rFonts w:eastAsiaTheme="minorHAnsi"/>
          <w:color w:val="000000"/>
          <w:sz w:val="18"/>
          <w:szCs w:val="18"/>
          <w:lang w:val="en-GB"/>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4252"/>
        <w:gridCol w:w="1191"/>
        <w:gridCol w:w="1190"/>
        <w:gridCol w:w="1191"/>
        <w:gridCol w:w="1190"/>
        <w:gridCol w:w="1191"/>
      </w:tblGrid>
      <w:tr w:rsidR="00345EE3" w:rsidRPr="00F449ED" w14:paraId="38810C87" w14:textId="77777777" w:rsidTr="002A27BA">
        <w:trPr>
          <w:trHeight w:val="60"/>
        </w:trPr>
        <w:tc>
          <w:tcPr>
            <w:tcW w:w="4252" w:type="dxa"/>
            <w:tcBorders>
              <w:top w:val="single" w:sz="6" w:space="0" w:color="000000"/>
              <w:left w:val="single" w:sz="6" w:space="0" w:color="000000"/>
              <w:bottom w:val="single" w:sz="2" w:space="0" w:color="9D9C9C"/>
              <w:right w:val="single" w:sz="2" w:space="0" w:color="FFFFFF"/>
            </w:tcBorders>
            <w:shd w:val="solid" w:color="004996" w:fill="auto"/>
            <w:tcMar>
              <w:top w:w="113" w:type="dxa"/>
              <w:left w:w="14" w:type="dxa"/>
              <w:bottom w:w="113" w:type="dxa"/>
              <w:right w:w="14" w:type="dxa"/>
            </w:tcMar>
          </w:tcPr>
          <w:p w14:paraId="7F9217DC" w14:textId="77777777" w:rsidR="00345EE3" w:rsidRPr="00F449ED" w:rsidRDefault="00345EE3" w:rsidP="00D73130">
            <w:pPr>
              <w:widowControl/>
              <w:adjustRightInd w:val="0"/>
              <w:rPr>
                <w:rFonts w:eastAsiaTheme="minorHAnsi"/>
                <w:sz w:val="24"/>
                <w:szCs w:val="24"/>
                <w:lang w:val="en-GB"/>
              </w:rPr>
            </w:pPr>
          </w:p>
        </w:tc>
        <w:tc>
          <w:tcPr>
            <w:tcW w:w="1191"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22AA430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2017–18</w:t>
            </w:r>
          </w:p>
        </w:tc>
        <w:tc>
          <w:tcPr>
            <w:tcW w:w="1190"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78D9C01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2018–19</w:t>
            </w:r>
          </w:p>
        </w:tc>
        <w:tc>
          <w:tcPr>
            <w:tcW w:w="1191"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54AB828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2019–20</w:t>
            </w:r>
          </w:p>
        </w:tc>
        <w:tc>
          <w:tcPr>
            <w:tcW w:w="1190"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52BA7FC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2020–21</w:t>
            </w:r>
          </w:p>
        </w:tc>
        <w:tc>
          <w:tcPr>
            <w:tcW w:w="1191"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57C4EB3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2021–22</w:t>
            </w:r>
          </w:p>
        </w:tc>
      </w:tr>
      <w:tr w:rsidR="00345EE3" w:rsidRPr="00F449ED" w14:paraId="0714F767" w14:textId="77777777" w:rsidTr="002A27BA">
        <w:trPr>
          <w:trHeight w:val="60"/>
        </w:trPr>
        <w:tc>
          <w:tcPr>
            <w:tcW w:w="425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9CA6591"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Fatalities (lives lost)</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4A7534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238</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3392D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263</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94B18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231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6C1C3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203</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C83CB2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251</w:t>
            </w:r>
          </w:p>
        </w:tc>
      </w:tr>
      <w:tr w:rsidR="00345EE3" w:rsidRPr="00F449ED" w14:paraId="027D12A8" w14:textId="77777777" w:rsidTr="002A27BA">
        <w:trPr>
          <w:trHeight w:val="60"/>
        </w:trPr>
        <w:tc>
          <w:tcPr>
            <w:tcW w:w="4252"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4A63DD4B"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Injuries</w:t>
            </w:r>
          </w:p>
        </w:tc>
        <w:tc>
          <w:tcPr>
            <w:tcW w:w="119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742D6CE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18,021</w:t>
            </w:r>
          </w:p>
        </w:tc>
        <w:tc>
          <w:tcPr>
            <w:tcW w:w="119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DB7878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17,860</w:t>
            </w:r>
          </w:p>
        </w:tc>
        <w:tc>
          <w:tcPr>
            <w:tcW w:w="119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54D7F78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18,429</w:t>
            </w:r>
          </w:p>
        </w:tc>
        <w:tc>
          <w:tcPr>
            <w:tcW w:w="119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7C3FBE9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15,634</w:t>
            </w:r>
          </w:p>
        </w:tc>
        <w:tc>
          <w:tcPr>
            <w:tcW w:w="1191"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347EE0A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15,467</w:t>
            </w:r>
          </w:p>
        </w:tc>
      </w:tr>
    </w:tbl>
    <w:p w14:paraId="13415C0D" w14:textId="77777777" w:rsidR="00345EE3" w:rsidRPr="003E6588" w:rsidRDefault="00345EE3" w:rsidP="002A27BA">
      <w:pPr>
        <w:spacing w:before="70" w:line="280" w:lineRule="auto"/>
        <w:ind w:right="3860"/>
        <w:rPr>
          <w:sz w:val="18"/>
          <w:szCs w:val="18"/>
        </w:rPr>
      </w:pPr>
      <w:r w:rsidRPr="003E6588">
        <w:rPr>
          <w:rFonts w:ascii="Arial-BoldItalicMT"/>
          <w:b/>
          <w:i/>
          <w:color w:val="231F20"/>
          <w:sz w:val="18"/>
          <w:szCs w:val="18"/>
        </w:rPr>
        <w:t xml:space="preserve">Source: </w:t>
      </w:r>
      <w:r w:rsidRPr="003E6588">
        <w:rPr>
          <w:rFonts w:ascii="Arial-BoldItalicMT"/>
          <w:bCs/>
          <w:iCs/>
          <w:color w:val="231F20"/>
          <w:sz w:val="18"/>
          <w:szCs w:val="18"/>
        </w:rPr>
        <w:t>Data extracted from Victoria Police Collision Management Information System on 5 July 2022.</w:t>
      </w:r>
      <w:r w:rsidRPr="003E6588">
        <w:rPr>
          <w:rFonts w:ascii="Arial-BoldItalicMT"/>
          <w:b/>
          <w:i/>
          <w:color w:val="231F20"/>
          <w:spacing w:val="40"/>
          <w:sz w:val="18"/>
          <w:szCs w:val="18"/>
        </w:rPr>
        <w:t xml:space="preserve"> </w:t>
      </w:r>
      <w:r>
        <w:rPr>
          <w:rFonts w:ascii="Arial-BoldItalicMT"/>
          <w:b/>
          <w:i/>
          <w:color w:val="231F20"/>
          <w:spacing w:val="40"/>
          <w:sz w:val="18"/>
          <w:szCs w:val="18"/>
        </w:rPr>
        <w:br/>
      </w:r>
      <w:r w:rsidRPr="003E6588">
        <w:rPr>
          <w:rFonts w:ascii="Arial-BoldItalicMT"/>
          <w:b/>
          <w:i/>
          <w:color w:val="231F20"/>
          <w:sz w:val="18"/>
          <w:szCs w:val="18"/>
        </w:rPr>
        <w:t xml:space="preserve">Notes: </w:t>
      </w:r>
      <w:r w:rsidRPr="003E6588">
        <w:rPr>
          <w:color w:val="231F20"/>
          <w:sz w:val="18"/>
          <w:szCs w:val="18"/>
        </w:rPr>
        <w:t>Injuries include both serious and other injuries.</w:t>
      </w:r>
    </w:p>
    <w:p w14:paraId="4D7507DC" w14:textId="77777777" w:rsidR="00345EE3" w:rsidRPr="00F449ED" w:rsidRDefault="00345EE3" w:rsidP="00345EE3">
      <w:pPr>
        <w:widowControl/>
        <w:suppressAutoHyphens/>
        <w:adjustRightInd w:val="0"/>
        <w:spacing w:before="120" w:after="28" w:line="230" w:lineRule="atLeast"/>
        <w:ind w:firstLine="142"/>
        <w:textAlignment w:val="center"/>
        <w:rPr>
          <w:rFonts w:eastAsiaTheme="minorHAnsi"/>
          <w:color w:val="000000"/>
          <w:sz w:val="18"/>
          <w:szCs w:val="18"/>
          <w:lang w:val="en-GB"/>
        </w:rPr>
      </w:pPr>
      <w:r w:rsidRPr="00F449ED">
        <w:rPr>
          <w:rFonts w:eastAsiaTheme="minorHAnsi"/>
          <w:color w:val="000000"/>
          <w:sz w:val="18"/>
          <w:szCs w:val="18"/>
          <w:lang w:val="en-GB"/>
        </w:rPr>
        <w:t xml:space="preserve">Table 3.7: </w:t>
      </w:r>
      <w:r w:rsidRPr="00F449ED">
        <w:rPr>
          <w:rFonts w:eastAsiaTheme="minorHAnsi"/>
          <w:b/>
          <w:bCs/>
          <w:i/>
          <w:iCs/>
          <w:color w:val="000000"/>
          <w:spacing w:val="-2"/>
          <w:sz w:val="18"/>
          <w:szCs w:val="18"/>
          <w:lang w:val="en-GB"/>
        </w:rPr>
        <w:t>Road Policing Statistics by User</w:t>
      </w:r>
      <w:r w:rsidRPr="00F449ED">
        <w:rPr>
          <w:rFonts w:eastAsiaTheme="minorHAnsi"/>
          <w:color w:val="000000"/>
          <w:sz w:val="18"/>
          <w:szCs w:val="18"/>
          <w:lang w:val="en-GB"/>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5443"/>
        <w:gridCol w:w="1190"/>
        <w:gridCol w:w="1191"/>
        <w:gridCol w:w="1190"/>
        <w:gridCol w:w="1191"/>
      </w:tblGrid>
      <w:tr w:rsidR="00345EE3" w:rsidRPr="00F449ED" w14:paraId="00EAC4AB" w14:textId="77777777" w:rsidTr="002A27BA">
        <w:trPr>
          <w:trHeight w:val="60"/>
        </w:trPr>
        <w:tc>
          <w:tcPr>
            <w:tcW w:w="544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DBB690D" w14:textId="77777777" w:rsidR="00345EE3" w:rsidRPr="00F449ED" w:rsidRDefault="00345EE3" w:rsidP="00D73130">
            <w:pPr>
              <w:widowControl/>
              <w:adjustRightInd w:val="0"/>
              <w:ind w:firstLine="142"/>
              <w:rPr>
                <w:rFonts w:eastAsiaTheme="minorHAnsi"/>
                <w:sz w:val="24"/>
                <w:szCs w:val="24"/>
                <w:lang w:val="en-GB"/>
              </w:rPr>
            </w:pPr>
          </w:p>
        </w:tc>
        <w:tc>
          <w:tcPr>
            <w:tcW w:w="2381" w:type="dxa"/>
            <w:gridSpan w:val="2"/>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39B9E14E" w14:textId="77777777" w:rsidR="00345EE3" w:rsidRPr="00F449ED" w:rsidRDefault="00345EE3" w:rsidP="00D73130">
            <w:pPr>
              <w:widowControl/>
              <w:tabs>
                <w:tab w:val="left" w:pos="240"/>
              </w:tabs>
              <w:suppressAutoHyphens/>
              <w:adjustRightInd w:val="0"/>
              <w:spacing w:after="57" w:line="280" w:lineRule="atLeast"/>
              <w:ind w:firstLine="142"/>
              <w:jc w:val="center"/>
              <w:textAlignment w:val="center"/>
              <w:rPr>
                <w:rFonts w:eastAsiaTheme="minorHAnsi"/>
                <w:b/>
                <w:bCs/>
                <w:color w:val="FFFFFF"/>
                <w:sz w:val="24"/>
                <w:szCs w:val="24"/>
                <w:lang w:val="en-GB"/>
              </w:rPr>
            </w:pPr>
            <w:r w:rsidRPr="00F449ED">
              <w:rPr>
                <w:rFonts w:eastAsiaTheme="minorHAnsi"/>
                <w:b/>
                <w:bCs/>
                <w:color w:val="FFFFFF"/>
                <w:sz w:val="24"/>
                <w:szCs w:val="24"/>
                <w:lang w:val="en-GB"/>
              </w:rPr>
              <w:t>2020–21</w:t>
            </w:r>
          </w:p>
        </w:tc>
        <w:tc>
          <w:tcPr>
            <w:tcW w:w="2381" w:type="dxa"/>
            <w:gridSpan w:val="2"/>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B052F0D" w14:textId="77777777" w:rsidR="00345EE3" w:rsidRPr="00F449ED" w:rsidRDefault="00345EE3" w:rsidP="00D73130">
            <w:pPr>
              <w:widowControl/>
              <w:tabs>
                <w:tab w:val="left" w:pos="240"/>
              </w:tabs>
              <w:suppressAutoHyphens/>
              <w:adjustRightInd w:val="0"/>
              <w:spacing w:after="57" w:line="280" w:lineRule="atLeast"/>
              <w:ind w:firstLine="142"/>
              <w:jc w:val="center"/>
              <w:textAlignment w:val="center"/>
              <w:rPr>
                <w:rFonts w:eastAsiaTheme="minorHAnsi"/>
                <w:b/>
                <w:bCs/>
                <w:color w:val="FFFFFF"/>
                <w:sz w:val="24"/>
                <w:szCs w:val="24"/>
                <w:lang w:val="en-GB"/>
              </w:rPr>
            </w:pPr>
            <w:r w:rsidRPr="00F449ED">
              <w:rPr>
                <w:rFonts w:eastAsiaTheme="minorHAnsi"/>
                <w:b/>
                <w:bCs/>
                <w:color w:val="FFFFFF"/>
                <w:sz w:val="24"/>
                <w:szCs w:val="24"/>
                <w:lang w:val="en-GB"/>
              </w:rPr>
              <w:t>2021–22</w:t>
            </w:r>
          </w:p>
        </w:tc>
      </w:tr>
      <w:tr w:rsidR="00345EE3" w:rsidRPr="00F449ED" w14:paraId="394728AA" w14:textId="77777777" w:rsidTr="002A27BA">
        <w:trPr>
          <w:trHeight w:val="60"/>
        </w:trPr>
        <w:tc>
          <w:tcPr>
            <w:tcW w:w="5443"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9877769"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b/>
                <w:bCs/>
                <w:color w:val="FFFFFF"/>
                <w:sz w:val="24"/>
                <w:szCs w:val="24"/>
                <w:lang w:val="en-GB"/>
              </w:rPr>
            </w:pPr>
            <w:r w:rsidRPr="00F449ED">
              <w:rPr>
                <w:rFonts w:eastAsiaTheme="minorHAnsi"/>
                <w:b/>
                <w:bCs/>
                <w:color w:val="FFFFFF"/>
                <w:sz w:val="24"/>
                <w:szCs w:val="24"/>
                <w:lang w:val="en-GB"/>
              </w:rPr>
              <w:t>Road User</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CFCE630"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Lives Lost</w:t>
            </w:r>
          </w:p>
        </w:tc>
        <w:tc>
          <w:tcPr>
            <w:tcW w:w="119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D17AC16"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Injuries</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0318A27"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Lives Lost</w:t>
            </w:r>
          </w:p>
        </w:tc>
        <w:tc>
          <w:tcPr>
            <w:tcW w:w="1191" w:type="dxa"/>
            <w:tcBorders>
              <w:top w:val="single" w:sz="2" w:space="0" w:color="FFFFFF"/>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178DE2EC"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Injuries</w:t>
            </w:r>
          </w:p>
        </w:tc>
      </w:tr>
      <w:tr w:rsidR="00345EE3" w:rsidRPr="00F449ED" w14:paraId="2AC1555D" w14:textId="77777777" w:rsidTr="002A27BA">
        <w:trPr>
          <w:trHeight w:val="60"/>
        </w:trPr>
        <w:tc>
          <w:tcPr>
            <w:tcW w:w="5443" w:type="dxa"/>
            <w:tcBorders>
              <w:top w:val="single" w:sz="6"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9EFCCAF"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color w:val="000000"/>
                <w:sz w:val="24"/>
                <w:szCs w:val="24"/>
                <w:lang w:val="en-GB"/>
              </w:rPr>
              <w:t>Driver</w:t>
            </w:r>
          </w:p>
        </w:tc>
        <w:tc>
          <w:tcPr>
            <w:tcW w:w="1190"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F8C47FC"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107</w:t>
            </w:r>
          </w:p>
        </w:tc>
        <w:tc>
          <w:tcPr>
            <w:tcW w:w="1191"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B29CD6"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8,403</w:t>
            </w:r>
          </w:p>
        </w:tc>
        <w:tc>
          <w:tcPr>
            <w:tcW w:w="1190" w:type="dxa"/>
            <w:tcBorders>
              <w:top w:val="single" w:sz="6"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637952F"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111</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D6304F1"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8,310</w:t>
            </w:r>
          </w:p>
        </w:tc>
      </w:tr>
      <w:tr w:rsidR="00345EE3" w:rsidRPr="00F449ED" w14:paraId="2117179A" w14:textId="77777777" w:rsidTr="002A27BA">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5F49305"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color w:val="000000"/>
                <w:sz w:val="24"/>
                <w:szCs w:val="24"/>
                <w:lang w:val="en-GB"/>
              </w:rPr>
              <w:t>Passenger</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B91689"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24</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A258F1"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2,313</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C3AE0DB"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38</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9D0FA17"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2,329</w:t>
            </w:r>
          </w:p>
        </w:tc>
      </w:tr>
      <w:tr w:rsidR="00345EE3" w:rsidRPr="00F449ED" w14:paraId="68758D89" w14:textId="77777777" w:rsidTr="002A27BA">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DF14138"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color w:val="000000"/>
                <w:sz w:val="24"/>
                <w:szCs w:val="24"/>
                <w:lang w:val="en-GB"/>
              </w:rPr>
              <w:t>Pedestrian</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B5FC5C0"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26</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3250BC"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1,169</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500B0C"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39</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EC4A187"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1,271</w:t>
            </w:r>
          </w:p>
        </w:tc>
      </w:tr>
      <w:tr w:rsidR="00345EE3" w:rsidRPr="00F449ED" w14:paraId="3BE81185" w14:textId="77777777" w:rsidTr="002A27BA">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0C3A447"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color w:val="000000"/>
                <w:sz w:val="24"/>
                <w:szCs w:val="24"/>
                <w:lang w:val="en-GB"/>
              </w:rPr>
              <w:t>Bicyclist</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81F3A9"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6D7941"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1,278</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2D19659"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13</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D817EBF"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1,189</w:t>
            </w:r>
          </w:p>
        </w:tc>
      </w:tr>
      <w:tr w:rsidR="00345EE3" w:rsidRPr="00F449ED" w14:paraId="02935691" w14:textId="77777777" w:rsidTr="002A27BA">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0F4F4A1"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color w:val="000000"/>
                <w:sz w:val="24"/>
                <w:szCs w:val="24"/>
                <w:lang w:val="en-GB"/>
              </w:rPr>
              <w:t>Motorcyclist</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059B21B"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38</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12AC0B"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2,306</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5F13F7"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45</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18DA8D9"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2,168</w:t>
            </w:r>
          </w:p>
        </w:tc>
      </w:tr>
      <w:tr w:rsidR="00345EE3" w:rsidRPr="00F449ED" w14:paraId="2D197BF5" w14:textId="77777777" w:rsidTr="002A27BA">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96CA1F6"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color w:val="000000"/>
                <w:sz w:val="24"/>
                <w:szCs w:val="24"/>
                <w:lang w:val="en-GB"/>
              </w:rPr>
              <w:t>Pillion Passenger</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78E376F"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5F1585D"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44</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6D7ED15"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4AF1DDC"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69</w:t>
            </w:r>
          </w:p>
        </w:tc>
      </w:tr>
      <w:tr w:rsidR="00345EE3" w:rsidRPr="00F449ED" w14:paraId="3542D9B7" w14:textId="77777777" w:rsidTr="002A27BA">
        <w:trPr>
          <w:trHeight w:val="60"/>
        </w:trPr>
        <w:tc>
          <w:tcPr>
            <w:tcW w:w="5443"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45B52338"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color w:val="000000"/>
                <w:sz w:val="24"/>
                <w:szCs w:val="24"/>
                <w:lang w:val="en-GB"/>
              </w:rPr>
              <w:t xml:space="preserve">Other </w:t>
            </w:r>
          </w:p>
        </w:tc>
        <w:tc>
          <w:tcPr>
            <w:tcW w:w="119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5115048B"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2E5C233C"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121</w:t>
            </w:r>
          </w:p>
        </w:tc>
        <w:tc>
          <w:tcPr>
            <w:tcW w:w="1190"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1FC08D5D"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w:t>
            </w:r>
          </w:p>
        </w:tc>
        <w:tc>
          <w:tcPr>
            <w:tcW w:w="1191"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38FBF716"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131</w:t>
            </w:r>
          </w:p>
        </w:tc>
      </w:tr>
      <w:tr w:rsidR="00345EE3" w:rsidRPr="00F449ED" w14:paraId="177036AC" w14:textId="77777777" w:rsidTr="002A27BA">
        <w:trPr>
          <w:trHeight w:val="60"/>
        </w:trPr>
        <w:tc>
          <w:tcPr>
            <w:tcW w:w="5443" w:type="dxa"/>
            <w:tcBorders>
              <w:top w:val="single" w:sz="6" w:space="0" w:color="000000"/>
              <w:left w:val="single" w:sz="6" w:space="0" w:color="000000"/>
              <w:bottom w:val="single" w:sz="6" w:space="0" w:color="000000"/>
              <w:right w:val="single" w:sz="2" w:space="0" w:color="9D9C9C"/>
            </w:tcBorders>
            <w:tcMar>
              <w:top w:w="113" w:type="dxa"/>
              <w:left w:w="14" w:type="dxa"/>
              <w:bottom w:w="113" w:type="dxa"/>
              <w:right w:w="14" w:type="dxa"/>
            </w:tcMar>
          </w:tcPr>
          <w:p w14:paraId="60A70956"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b/>
                <w:bCs/>
                <w:color w:val="000000"/>
                <w:sz w:val="24"/>
                <w:szCs w:val="24"/>
                <w:lang w:val="en-GB"/>
              </w:rPr>
              <w:t>Total</w:t>
            </w:r>
          </w:p>
        </w:tc>
        <w:tc>
          <w:tcPr>
            <w:tcW w:w="1190" w:type="dxa"/>
            <w:tcBorders>
              <w:top w:val="single" w:sz="6" w:space="0" w:color="000000"/>
              <w:left w:val="single" w:sz="2" w:space="0" w:color="9D9C9C"/>
              <w:bottom w:val="single" w:sz="6" w:space="0" w:color="000000"/>
              <w:right w:val="single" w:sz="2" w:space="0" w:color="9D9C9C"/>
            </w:tcBorders>
            <w:tcMar>
              <w:top w:w="113" w:type="dxa"/>
              <w:left w:w="14" w:type="dxa"/>
              <w:bottom w:w="113" w:type="dxa"/>
              <w:right w:w="14" w:type="dxa"/>
            </w:tcMar>
          </w:tcPr>
          <w:p w14:paraId="031E0981"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203</w:t>
            </w:r>
          </w:p>
        </w:tc>
        <w:tc>
          <w:tcPr>
            <w:tcW w:w="1191" w:type="dxa"/>
            <w:tcBorders>
              <w:top w:val="single" w:sz="6" w:space="0" w:color="000000"/>
              <w:left w:val="single" w:sz="2" w:space="0" w:color="9D9C9C"/>
              <w:bottom w:val="single" w:sz="6" w:space="0" w:color="000000"/>
              <w:right w:val="single" w:sz="2" w:space="0" w:color="9D9C9C"/>
            </w:tcBorders>
            <w:tcMar>
              <w:top w:w="113" w:type="dxa"/>
              <w:left w:w="14" w:type="dxa"/>
              <w:bottom w:w="113" w:type="dxa"/>
              <w:right w:w="14" w:type="dxa"/>
            </w:tcMar>
          </w:tcPr>
          <w:p w14:paraId="325F4480"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15,634</w:t>
            </w:r>
          </w:p>
        </w:tc>
        <w:tc>
          <w:tcPr>
            <w:tcW w:w="1190" w:type="dxa"/>
            <w:tcBorders>
              <w:top w:val="single" w:sz="6" w:space="0" w:color="000000"/>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0BD3A38B"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251</w:t>
            </w:r>
          </w:p>
        </w:tc>
        <w:tc>
          <w:tcPr>
            <w:tcW w:w="1191" w:type="dxa"/>
            <w:tcBorders>
              <w:top w:val="single" w:sz="6" w:space="0" w:color="000000"/>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5135C916"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15,467</w:t>
            </w:r>
          </w:p>
        </w:tc>
      </w:tr>
    </w:tbl>
    <w:p w14:paraId="46EE2A9E" w14:textId="77777777" w:rsidR="00345EE3" w:rsidRPr="00F449ED" w:rsidRDefault="00345EE3" w:rsidP="002A27BA">
      <w:pPr>
        <w:widowControl/>
        <w:tabs>
          <w:tab w:val="left" w:pos="227"/>
          <w:tab w:val="left" w:pos="340"/>
        </w:tabs>
        <w:suppressAutoHyphens/>
        <w:adjustRightInd w:val="0"/>
        <w:spacing w:before="120" w:after="28" w:line="160" w:lineRule="atLeast"/>
        <w:textAlignment w:val="center"/>
        <w:rPr>
          <w:rFonts w:eastAsiaTheme="minorHAnsi"/>
          <w:color w:val="000000"/>
          <w:spacing w:val="-1"/>
          <w:sz w:val="18"/>
          <w:szCs w:val="18"/>
          <w:lang w:val="en-GB"/>
        </w:rPr>
      </w:pPr>
      <w:r w:rsidRPr="00F449ED">
        <w:rPr>
          <w:rFonts w:eastAsiaTheme="minorHAnsi"/>
          <w:b/>
          <w:bCs/>
          <w:i/>
          <w:iCs/>
          <w:color w:val="000000"/>
          <w:sz w:val="18"/>
          <w:szCs w:val="18"/>
          <w:lang w:val="en-GB"/>
        </w:rPr>
        <w:t>Source:</w:t>
      </w:r>
      <w:r w:rsidRPr="00F449ED">
        <w:rPr>
          <w:rFonts w:eastAsiaTheme="minorHAnsi"/>
          <w:color w:val="000000"/>
          <w:spacing w:val="-1"/>
          <w:sz w:val="18"/>
          <w:szCs w:val="18"/>
          <w:lang w:val="en-GB"/>
        </w:rPr>
        <w:t xml:space="preserve"> Data extracted from Victoria Police Collision Management Information System on 5 July 2022.</w:t>
      </w:r>
    </w:p>
    <w:p w14:paraId="39E5C9D6" w14:textId="77777777" w:rsidR="00345EE3" w:rsidRPr="00F449ED" w:rsidRDefault="00345EE3" w:rsidP="002A27BA">
      <w:pPr>
        <w:widowControl/>
        <w:tabs>
          <w:tab w:val="left" w:pos="227"/>
          <w:tab w:val="left" w:pos="340"/>
        </w:tabs>
        <w:suppressAutoHyphens/>
        <w:adjustRightInd w:val="0"/>
        <w:spacing w:after="113" w:line="160" w:lineRule="atLeast"/>
        <w:textAlignment w:val="center"/>
        <w:rPr>
          <w:rFonts w:eastAsiaTheme="minorHAnsi"/>
          <w:color w:val="000000"/>
          <w:spacing w:val="-1"/>
          <w:sz w:val="18"/>
          <w:szCs w:val="18"/>
          <w:lang w:val="en-GB"/>
        </w:rPr>
      </w:pPr>
      <w:r w:rsidRPr="00F449ED">
        <w:rPr>
          <w:rFonts w:eastAsiaTheme="minorHAnsi"/>
          <w:b/>
          <w:bCs/>
          <w:i/>
          <w:iCs/>
          <w:color w:val="000000"/>
          <w:sz w:val="18"/>
          <w:szCs w:val="18"/>
          <w:lang w:val="en-GB"/>
        </w:rPr>
        <w:t>Notes:</w:t>
      </w:r>
      <w:r w:rsidRPr="00F449ED">
        <w:rPr>
          <w:rFonts w:eastAsiaTheme="minorHAnsi"/>
          <w:i/>
          <w:iCs/>
          <w:color w:val="000000"/>
          <w:sz w:val="18"/>
          <w:szCs w:val="18"/>
          <w:lang w:val="en-GB"/>
        </w:rPr>
        <w:t xml:space="preserve"> </w:t>
      </w:r>
      <w:r w:rsidRPr="00F449ED">
        <w:rPr>
          <w:rFonts w:eastAsiaTheme="minorHAnsi"/>
          <w:color w:val="000000"/>
          <w:spacing w:val="-1"/>
          <w:sz w:val="18"/>
          <w:szCs w:val="18"/>
          <w:lang w:val="en-GB"/>
        </w:rPr>
        <w:t>Injuries include both serious and other injuries.</w:t>
      </w:r>
    </w:p>
    <w:p w14:paraId="3F7CF9CC" w14:textId="77777777" w:rsidR="00345EE3" w:rsidRDefault="00345EE3" w:rsidP="002A27BA">
      <w:pPr>
        <w:rPr>
          <w:rFonts w:eastAsiaTheme="minorHAnsi"/>
          <w:color w:val="000000"/>
          <w:sz w:val="18"/>
          <w:szCs w:val="18"/>
          <w:lang w:val="en-GB"/>
        </w:rPr>
      </w:pPr>
      <w:r>
        <w:rPr>
          <w:rFonts w:eastAsiaTheme="minorHAnsi"/>
          <w:color w:val="000000"/>
          <w:sz w:val="18"/>
          <w:szCs w:val="18"/>
          <w:lang w:val="en-GB"/>
        </w:rPr>
        <w:br w:type="page"/>
      </w:r>
    </w:p>
    <w:p w14:paraId="3887E5E5" w14:textId="77777777" w:rsidR="00345EE3" w:rsidRPr="00F449ED" w:rsidRDefault="00345EE3" w:rsidP="00345EE3">
      <w:pPr>
        <w:widowControl/>
        <w:suppressAutoHyphens/>
        <w:adjustRightInd w:val="0"/>
        <w:spacing w:after="28" w:line="230" w:lineRule="atLeast"/>
        <w:ind w:left="142"/>
        <w:textAlignment w:val="center"/>
        <w:rPr>
          <w:rFonts w:eastAsiaTheme="minorHAnsi"/>
          <w:color w:val="000000"/>
          <w:sz w:val="18"/>
          <w:szCs w:val="18"/>
          <w:lang w:val="en-GB"/>
        </w:rPr>
      </w:pPr>
      <w:r w:rsidRPr="00F449ED">
        <w:rPr>
          <w:rFonts w:eastAsiaTheme="minorHAnsi"/>
          <w:color w:val="000000"/>
          <w:sz w:val="18"/>
          <w:szCs w:val="18"/>
          <w:lang w:val="en-GB"/>
        </w:rPr>
        <w:t xml:space="preserve">Table 3.8: </w:t>
      </w:r>
      <w:r w:rsidRPr="00F449ED">
        <w:rPr>
          <w:rFonts w:eastAsiaTheme="minorHAnsi"/>
          <w:b/>
          <w:bCs/>
          <w:i/>
          <w:iCs/>
          <w:color w:val="000000"/>
          <w:spacing w:val="-2"/>
          <w:sz w:val="18"/>
          <w:szCs w:val="18"/>
          <w:lang w:val="en-GB"/>
        </w:rPr>
        <w:t>Road Policing Statistics by Area</w:t>
      </w:r>
      <w:r w:rsidRPr="00F449ED">
        <w:rPr>
          <w:rFonts w:eastAsiaTheme="minorHAnsi"/>
          <w:color w:val="000000"/>
          <w:sz w:val="18"/>
          <w:szCs w:val="18"/>
          <w:lang w:val="en-GB"/>
        </w:rPr>
        <w:t xml:space="preserve"> </w:t>
      </w:r>
    </w:p>
    <w:tbl>
      <w:tblPr>
        <w:tblW w:w="0" w:type="auto"/>
        <w:tblInd w:w="156" w:type="dxa"/>
        <w:tblLayout w:type="fixed"/>
        <w:tblCellMar>
          <w:left w:w="0" w:type="dxa"/>
          <w:right w:w="0" w:type="dxa"/>
        </w:tblCellMar>
        <w:tblLook w:val="0000" w:firstRow="0" w:lastRow="0" w:firstColumn="0" w:lastColumn="0" w:noHBand="0" w:noVBand="0"/>
      </w:tblPr>
      <w:tblGrid>
        <w:gridCol w:w="2721"/>
        <w:gridCol w:w="1191"/>
        <w:gridCol w:w="1190"/>
        <w:gridCol w:w="1361"/>
        <w:gridCol w:w="1191"/>
        <w:gridCol w:w="1190"/>
        <w:gridCol w:w="1361"/>
      </w:tblGrid>
      <w:tr w:rsidR="00345EE3" w:rsidRPr="00F449ED" w14:paraId="081C4071" w14:textId="77777777" w:rsidTr="00D73130">
        <w:trPr>
          <w:trHeight w:val="60"/>
        </w:trPr>
        <w:tc>
          <w:tcPr>
            <w:tcW w:w="2721"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08B536A" w14:textId="77777777" w:rsidR="00345EE3" w:rsidRPr="00F449ED" w:rsidRDefault="00345EE3" w:rsidP="00D73130">
            <w:pPr>
              <w:widowControl/>
              <w:adjustRightInd w:val="0"/>
              <w:rPr>
                <w:rFonts w:eastAsiaTheme="minorHAnsi"/>
                <w:sz w:val="24"/>
                <w:szCs w:val="24"/>
                <w:lang w:val="en-GB"/>
              </w:rPr>
            </w:pPr>
          </w:p>
        </w:tc>
        <w:tc>
          <w:tcPr>
            <w:tcW w:w="3742" w:type="dxa"/>
            <w:gridSpan w:val="3"/>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0C0BDF74" w14:textId="77777777" w:rsidR="00345EE3" w:rsidRPr="00F449ED"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F449ED">
              <w:rPr>
                <w:rFonts w:eastAsiaTheme="minorHAnsi"/>
                <w:b/>
                <w:bCs/>
                <w:color w:val="FFFFFF"/>
                <w:sz w:val="24"/>
                <w:szCs w:val="24"/>
                <w:lang w:val="en-GB"/>
              </w:rPr>
              <w:t>2020–21</w:t>
            </w:r>
          </w:p>
        </w:tc>
        <w:tc>
          <w:tcPr>
            <w:tcW w:w="3742" w:type="dxa"/>
            <w:gridSpan w:val="3"/>
            <w:tcBorders>
              <w:top w:val="single" w:sz="6" w:space="0" w:color="FFFFFF"/>
              <w:left w:val="single" w:sz="2" w:space="0" w:color="FFFFFF"/>
              <w:bottom w:val="single" w:sz="2" w:space="0" w:color="FFFFFF"/>
              <w:right w:val="single" w:sz="6" w:space="0" w:color="auto"/>
            </w:tcBorders>
            <w:shd w:val="solid" w:color="004996" w:fill="auto"/>
            <w:tcMar>
              <w:top w:w="113" w:type="dxa"/>
              <w:left w:w="14" w:type="dxa"/>
              <w:bottom w:w="113" w:type="dxa"/>
              <w:right w:w="14" w:type="dxa"/>
            </w:tcMar>
          </w:tcPr>
          <w:p w14:paraId="3E8825BB" w14:textId="77777777" w:rsidR="00345EE3" w:rsidRPr="00F449ED"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F449ED">
              <w:rPr>
                <w:rFonts w:eastAsiaTheme="minorHAnsi"/>
                <w:b/>
                <w:bCs/>
                <w:color w:val="FFFFFF"/>
                <w:sz w:val="24"/>
                <w:szCs w:val="24"/>
                <w:lang w:val="en-GB"/>
              </w:rPr>
              <w:t>2021–22</w:t>
            </w:r>
          </w:p>
        </w:tc>
      </w:tr>
      <w:tr w:rsidR="00345EE3" w:rsidRPr="00F449ED" w14:paraId="3BBAF106" w14:textId="77777777" w:rsidTr="00D73130">
        <w:trPr>
          <w:trHeight w:val="60"/>
        </w:trPr>
        <w:tc>
          <w:tcPr>
            <w:tcW w:w="2721"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EE0E9CC"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449ED">
              <w:rPr>
                <w:rFonts w:eastAsiaTheme="minorHAnsi"/>
                <w:b/>
                <w:bCs/>
                <w:color w:val="FFFFFF"/>
                <w:sz w:val="24"/>
                <w:szCs w:val="24"/>
                <w:lang w:val="en-GB"/>
              </w:rPr>
              <w:t>Road User</w:t>
            </w:r>
          </w:p>
        </w:tc>
        <w:tc>
          <w:tcPr>
            <w:tcW w:w="119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575FA2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Lives Lost</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A0B334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Injuries</w:t>
            </w:r>
          </w:p>
        </w:tc>
        <w:tc>
          <w:tcPr>
            <w:tcW w:w="136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ABA83E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Collisions</w:t>
            </w:r>
          </w:p>
        </w:tc>
        <w:tc>
          <w:tcPr>
            <w:tcW w:w="119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0632AB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Lives Lost</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76A29E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Injuries</w:t>
            </w:r>
          </w:p>
        </w:tc>
        <w:tc>
          <w:tcPr>
            <w:tcW w:w="1361" w:type="dxa"/>
            <w:tcBorders>
              <w:top w:val="single" w:sz="2" w:space="0" w:color="FFFFFF"/>
              <w:left w:val="single" w:sz="2" w:space="0" w:color="FFFFFF"/>
              <w:bottom w:val="single" w:sz="6" w:space="0" w:color="004996"/>
              <w:right w:val="single" w:sz="6" w:space="0" w:color="004996"/>
            </w:tcBorders>
            <w:shd w:val="solid" w:color="004996" w:fill="auto"/>
            <w:tcMar>
              <w:top w:w="113" w:type="dxa"/>
              <w:left w:w="14" w:type="dxa"/>
              <w:bottom w:w="113" w:type="dxa"/>
              <w:right w:w="14" w:type="dxa"/>
            </w:tcMar>
          </w:tcPr>
          <w:p w14:paraId="6ED6A66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Collisions</w:t>
            </w:r>
          </w:p>
        </w:tc>
      </w:tr>
      <w:tr w:rsidR="00345EE3" w:rsidRPr="00F449ED" w14:paraId="4FC0A3A7" w14:textId="77777777" w:rsidTr="00D73130">
        <w:trPr>
          <w:trHeight w:val="60"/>
        </w:trPr>
        <w:tc>
          <w:tcPr>
            <w:tcW w:w="2721" w:type="dxa"/>
            <w:tcBorders>
              <w:top w:val="single" w:sz="6"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DBD35CB"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Metro</w:t>
            </w:r>
          </w:p>
        </w:tc>
        <w:tc>
          <w:tcPr>
            <w:tcW w:w="1191"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C5729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84</w:t>
            </w:r>
          </w:p>
        </w:tc>
        <w:tc>
          <w:tcPr>
            <w:tcW w:w="1190"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7C97CB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10,455</w:t>
            </w:r>
          </w:p>
        </w:tc>
        <w:tc>
          <w:tcPr>
            <w:tcW w:w="1361"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C185D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8,743</w:t>
            </w:r>
          </w:p>
        </w:tc>
        <w:tc>
          <w:tcPr>
            <w:tcW w:w="1191" w:type="dxa"/>
            <w:tcBorders>
              <w:top w:val="single" w:sz="6"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638666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115</w:t>
            </w:r>
          </w:p>
        </w:tc>
        <w:tc>
          <w:tcPr>
            <w:tcW w:w="1190" w:type="dxa"/>
            <w:tcBorders>
              <w:top w:val="single" w:sz="6"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CBCE9A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10,569</w:t>
            </w:r>
          </w:p>
        </w:tc>
        <w:tc>
          <w:tcPr>
            <w:tcW w:w="1361" w:type="dxa"/>
            <w:tcBorders>
              <w:top w:val="single" w:sz="6" w:space="0" w:color="004996"/>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65BEDD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8,887</w:t>
            </w:r>
          </w:p>
        </w:tc>
      </w:tr>
      <w:tr w:rsidR="00345EE3" w:rsidRPr="00F449ED" w14:paraId="46DE12EC" w14:textId="77777777" w:rsidTr="00D73130">
        <w:trPr>
          <w:trHeight w:val="60"/>
        </w:trPr>
        <w:tc>
          <w:tcPr>
            <w:tcW w:w="2721"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2C53273E"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Regional</w:t>
            </w:r>
          </w:p>
        </w:tc>
        <w:tc>
          <w:tcPr>
            <w:tcW w:w="119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D154CB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119</w:t>
            </w:r>
          </w:p>
        </w:tc>
        <w:tc>
          <w:tcPr>
            <w:tcW w:w="119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52DD8F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5,179</w:t>
            </w:r>
          </w:p>
        </w:tc>
        <w:tc>
          <w:tcPr>
            <w:tcW w:w="136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4AEA0BB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4,306</w:t>
            </w:r>
          </w:p>
        </w:tc>
        <w:tc>
          <w:tcPr>
            <w:tcW w:w="1191"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0FD0795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136</w:t>
            </w:r>
          </w:p>
        </w:tc>
        <w:tc>
          <w:tcPr>
            <w:tcW w:w="1190"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4BCB12B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4,898</w:t>
            </w:r>
          </w:p>
        </w:tc>
        <w:tc>
          <w:tcPr>
            <w:tcW w:w="1361"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4899946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4,072</w:t>
            </w:r>
          </w:p>
        </w:tc>
      </w:tr>
      <w:tr w:rsidR="00345EE3" w:rsidRPr="00F449ED" w14:paraId="5FA960DE" w14:textId="77777777" w:rsidTr="00D73130">
        <w:trPr>
          <w:trHeight w:val="60"/>
        </w:trPr>
        <w:tc>
          <w:tcPr>
            <w:tcW w:w="2721" w:type="dxa"/>
            <w:tcBorders>
              <w:top w:val="single" w:sz="6" w:space="0" w:color="000000"/>
              <w:left w:val="single" w:sz="6" w:space="0" w:color="000000"/>
              <w:bottom w:val="single" w:sz="6" w:space="0" w:color="000000"/>
              <w:right w:val="single" w:sz="2" w:space="0" w:color="9D9C9C"/>
            </w:tcBorders>
            <w:tcMar>
              <w:top w:w="113" w:type="dxa"/>
              <w:left w:w="14" w:type="dxa"/>
              <w:bottom w:w="113" w:type="dxa"/>
              <w:right w:w="14" w:type="dxa"/>
            </w:tcMar>
          </w:tcPr>
          <w:p w14:paraId="5088BEBA"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State (Total)</w:t>
            </w:r>
          </w:p>
        </w:tc>
        <w:tc>
          <w:tcPr>
            <w:tcW w:w="1191" w:type="dxa"/>
            <w:tcBorders>
              <w:top w:val="single" w:sz="6" w:space="0" w:color="000000"/>
              <w:left w:val="single" w:sz="2" w:space="0" w:color="9D9C9C"/>
              <w:bottom w:val="single" w:sz="6" w:space="0" w:color="000000"/>
              <w:right w:val="single" w:sz="2" w:space="0" w:color="9D9C9C"/>
            </w:tcBorders>
            <w:tcMar>
              <w:top w:w="113" w:type="dxa"/>
              <w:left w:w="14" w:type="dxa"/>
              <w:bottom w:w="113" w:type="dxa"/>
              <w:right w:w="14" w:type="dxa"/>
            </w:tcMar>
          </w:tcPr>
          <w:p w14:paraId="2909BAF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203</w:t>
            </w:r>
          </w:p>
        </w:tc>
        <w:tc>
          <w:tcPr>
            <w:tcW w:w="1190" w:type="dxa"/>
            <w:tcBorders>
              <w:top w:val="single" w:sz="6" w:space="0" w:color="000000"/>
              <w:left w:val="single" w:sz="2" w:space="0" w:color="9D9C9C"/>
              <w:bottom w:val="single" w:sz="6" w:space="0" w:color="000000"/>
              <w:right w:val="single" w:sz="2" w:space="0" w:color="9D9C9C"/>
            </w:tcBorders>
            <w:tcMar>
              <w:top w:w="113" w:type="dxa"/>
              <w:left w:w="14" w:type="dxa"/>
              <w:bottom w:w="113" w:type="dxa"/>
              <w:right w:w="14" w:type="dxa"/>
            </w:tcMar>
          </w:tcPr>
          <w:p w14:paraId="7557587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15,634</w:t>
            </w:r>
          </w:p>
        </w:tc>
        <w:tc>
          <w:tcPr>
            <w:tcW w:w="1361" w:type="dxa"/>
            <w:tcBorders>
              <w:top w:val="single" w:sz="6" w:space="0" w:color="000000"/>
              <w:left w:val="single" w:sz="2" w:space="0" w:color="9D9C9C"/>
              <w:bottom w:val="single" w:sz="6" w:space="0" w:color="000000"/>
              <w:right w:val="single" w:sz="2" w:space="0" w:color="9D9C9C"/>
            </w:tcBorders>
            <w:tcMar>
              <w:top w:w="113" w:type="dxa"/>
              <w:left w:w="14" w:type="dxa"/>
              <w:bottom w:w="113" w:type="dxa"/>
              <w:right w:w="14" w:type="dxa"/>
            </w:tcMar>
          </w:tcPr>
          <w:p w14:paraId="32E8F3C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13,049</w:t>
            </w:r>
          </w:p>
        </w:tc>
        <w:tc>
          <w:tcPr>
            <w:tcW w:w="1191" w:type="dxa"/>
            <w:tcBorders>
              <w:top w:val="single" w:sz="6" w:space="0" w:color="000000"/>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2DDC84D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251</w:t>
            </w:r>
          </w:p>
        </w:tc>
        <w:tc>
          <w:tcPr>
            <w:tcW w:w="1190" w:type="dxa"/>
            <w:tcBorders>
              <w:top w:val="single" w:sz="6" w:space="0" w:color="000000"/>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7FE0EF6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15,467</w:t>
            </w:r>
          </w:p>
        </w:tc>
        <w:tc>
          <w:tcPr>
            <w:tcW w:w="1361" w:type="dxa"/>
            <w:tcBorders>
              <w:top w:val="single" w:sz="6" w:space="0" w:color="000000"/>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734CAD8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12,959</w:t>
            </w:r>
          </w:p>
        </w:tc>
      </w:tr>
    </w:tbl>
    <w:p w14:paraId="7FF5FC3C" w14:textId="77777777" w:rsidR="00345EE3" w:rsidRPr="00F449ED" w:rsidRDefault="00345EE3" w:rsidP="00345EE3">
      <w:pPr>
        <w:widowControl/>
        <w:tabs>
          <w:tab w:val="left" w:pos="227"/>
          <w:tab w:val="left" w:pos="340"/>
        </w:tabs>
        <w:suppressAutoHyphens/>
        <w:adjustRightInd w:val="0"/>
        <w:spacing w:after="28" w:line="160" w:lineRule="atLeast"/>
        <w:ind w:firstLine="142"/>
        <w:textAlignment w:val="center"/>
        <w:rPr>
          <w:rFonts w:eastAsiaTheme="minorHAnsi"/>
          <w:color w:val="000000"/>
          <w:spacing w:val="-1"/>
          <w:sz w:val="14"/>
          <w:szCs w:val="14"/>
          <w:lang w:val="en-GB"/>
        </w:rPr>
      </w:pPr>
      <w:r w:rsidRPr="00F449ED">
        <w:rPr>
          <w:rFonts w:eastAsiaTheme="minorHAnsi"/>
          <w:i/>
          <w:iCs/>
          <w:color w:val="000000"/>
          <w:sz w:val="14"/>
          <w:szCs w:val="14"/>
          <w:lang w:val="en-GB"/>
        </w:rPr>
        <w:t xml:space="preserve">Source: </w:t>
      </w:r>
      <w:r w:rsidRPr="00F449ED">
        <w:rPr>
          <w:rFonts w:eastAsiaTheme="minorHAnsi"/>
          <w:color w:val="000000"/>
          <w:spacing w:val="-1"/>
          <w:sz w:val="14"/>
          <w:szCs w:val="14"/>
          <w:lang w:val="en-GB"/>
        </w:rPr>
        <w:t xml:space="preserve">Data extracted from Victoria Police Collision Management Information System on 5 July 2022. </w:t>
      </w:r>
    </w:p>
    <w:p w14:paraId="1ADA96F7" w14:textId="77777777" w:rsidR="00345EE3" w:rsidRPr="00F449ED" w:rsidRDefault="00345EE3" w:rsidP="00345EE3">
      <w:pPr>
        <w:widowControl/>
        <w:tabs>
          <w:tab w:val="left" w:pos="227"/>
          <w:tab w:val="left" w:pos="340"/>
        </w:tabs>
        <w:suppressAutoHyphens/>
        <w:adjustRightInd w:val="0"/>
        <w:spacing w:after="28" w:line="160" w:lineRule="atLeast"/>
        <w:ind w:firstLine="142"/>
        <w:textAlignment w:val="center"/>
        <w:rPr>
          <w:rFonts w:eastAsiaTheme="minorHAnsi"/>
          <w:color w:val="000000"/>
          <w:spacing w:val="-1"/>
          <w:sz w:val="14"/>
          <w:szCs w:val="14"/>
          <w:lang w:val="en-GB"/>
        </w:rPr>
      </w:pPr>
      <w:r w:rsidRPr="00F449ED">
        <w:rPr>
          <w:rFonts w:eastAsiaTheme="minorHAnsi"/>
          <w:i/>
          <w:iCs/>
          <w:color w:val="000000"/>
          <w:sz w:val="14"/>
          <w:szCs w:val="14"/>
          <w:lang w:val="en-GB"/>
        </w:rPr>
        <w:t>Notes:</w:t>
      </w:r>
    </w:p>
    <w:p w14:paraId="4EDE3D4C" w14:textId="77777777" w:rsidR="00345EE3" w:rsidRPr="00F449ED" w:rsidRDefault="00345EE3" w:rsidP="00345EE3">
      <w:pPr>
        <w:widowControl/>
        <w:tabs>
          <w:tab w:val="left" w:pos="227"/>
          <w:tab w:val="left" w:pos="340"/>
        </w:tabs>
        <w:suppressAutoHyphens/>
        <w:adjustRightInd w:val="0"/>
        <w:spacing w:after="28" w:line="160" w:lineRule="atLeast"/>
        <w:ind w:firstLine="142"/>
        <w:textAlignment w:val="center"/>
        <w:rPr>
          <w:rFonts w:eastAsiaTheme="minorHAnsi"/>
          <w:color w:val="000000"/>
          <w:spacing w:val="-1"/>
          <w:sz w:val="14"/>
          <w:szCs w:val="14"/>
          <w:lang w:val="en-GB"/>
        </w:rPr>
      </w:pPr>
      <w:r w:rsidRPr="00F449ED">
        <w:rPr>
          <w:rFonts w:eastAsiaTheme="minorHAnsi"/>
          <w:color w:val="000000"/>
          <w:spacing w:val="-1"/>
          <w:sz w:val="14"/>
          <w:szCs w:val="14"/>
          <w:lang w:val="en-GB"/>
        </w:rPr>
        <w:t>1.</w:t>
      </w:r>
      <w:r w:rsidRPr="00F449ED">
        <w:rPr>
          <w:rFonts w:eastAsiaTheme="minorHAnsi"/>
          <w:color w:val="000000"/>
          <w:spacing w:val="-1"/>
          <w:sz w:val="14"/>
          <w:szCs w:val="14"/>
          <w:lang w:val="en-GB"/>
        </w:rPr>
        <w:tab/>
        <w:t>Metro and Regional split definition is Corporate Statistics Unit’s definition used when reporting externally.</w:t>
      </w:r>
    </w:p>
    <w:p w14:paraId="3EE275F5" w14:textId="77777777" w:rsidR="00345EE3" w:rsidRPr="00F449ED" w:rsidRDefault="00345EE3" w:rsidP="00345EE3">
      <w:pPr>
        <w:widowControl/>
        <w:tabs>
          <w:tab w:val="left" w:pos="227"/>
          <w:tab w:val="left" w:pos="340"/>
        </w:tabs>
        <w:suppressAutoHyphens/>
        <w:adjustRightInd w:val="0"/>
        <w:spacing w:after="113" w:line="160" w:lineRule="atLeast"/>
        <w:ind w:firstLine="142"/>
        <w:textAlignment w:val="center"/>
        <w:rPr>
          <w:rFonts w:eastAsiaTheme="minorHAnsi"/>
          <w:color w:val="000000"/>
          <w:spacing w:val="-1"/>
          <w:sz w:val="14"/>
          <w:szCs w:val="14"/>
          <w:lang w:val="en-GB"/>
        </w:rPr>
      </w:pPr>
      <w:r w:rsidRPr="00F449ED">
        <w:rPr>
          <w:rFonts w:eastAsiaTheme="minorHAnsi"/>
          <w:color w:val="000000"/>
          <w:spacing w:val="-1"/>
          <w:sz w:val="14"/>
          <w:szCs w:val="14"/>
          <w:lang w:val="en-GB"/>
        </w:rPr>
        <w:t>2.</w:t>
      </w:r>
      <w:r w:rsidRPr="00F449ED">
        <w:rPr>
          <w:rFonts w:eastAsiaTheme="minorHAnsi"/>
          <w:color w:val="000000"/>
          <w:spacing w:val="-1"/>
          <w:sz w:val="14"/>
          <w:szCs w:val="14"/>
          <w:lang w:val="en-GB"/>
        </w:rPr>
        <w:tab/>
        <w:t>Injuries include both serious and other injuries.</w:t>
      </w:r>
    </w:p>
    <w:p w14:paraId="10D420AF" w14:textId="77777777" w:rsidR="00345EE3" w:rsidRDefault="00345EE3" w:rsidP="00345EE3">
      <w:pPr>
        <w:spacing w:before="118"/>
        <w:ind w:left="110"/>
        <w:rPr>
          <w:color w:val="231F20"/>
          <w:sz w:val="18"/>
        </w:rPr>
      </w:pPr>
    </w:p>
    <w:p w14:paraId="34F68389" w14:textId="77777777" w:rsidR="00345EE3" w:rsidRDefault="00345EE3" w:rsidP="002A27BA">
      <w:pPr>
        <w:pStyle w:val="Heading3"/>
        <w:ind w:left="142"/>
      </w:pPr>
      <w:r>
        <w:t>Road</w:t>
      </w:r>
      <w:r>
        <w:rPr>
          <w:spacing w:val="-6"/>
        </w:rPr>
        <w:t xml:space="preserve"> </w:t>
      </w:r>
      <w:r>
        <w:t>Safety</w:t>
      </w:r>
    </w:p>
    <w:p w14:paraId="7020EDD1" w14:textId="77777777" w:rsidR="00345EE3" w:rsidRDefault="00345EE3" w:rsidP="002A27BA">
      <w:pPr>
        <w:pStyle w:val="BodyText"/>
        <w:spacing w:before="53" w:line="242" w:lineRule="auto"/>
        <w:ind w:left="142" w:right="921"/>
      </w:pPr>
      <w:r>
        <w:rPr>
          <w:color w:val="231F20"/>
        </w:rPr>
        <w:t>Victoria Police plays a critical role in road safety through highly visible and sustained enforcement. Holidays continue to be high-risk periods on Victorian roads and in 2021–22 Victoria</w:t>
      </w:r>
      <w:r>
        <w:rPr>
          <w:color w:val="231F20"/>
          <w:spacing w:val="-4"/>
        </w:rPr>
        <w:t xml:space="preserve"> </w:t>
      </w:r>
      <w:r>
        <w:rPr>
          <w:color w:val="231F20"/>
        </w:rPr>
        <w:t>Police</w:t>
      </w:r>
      <w:r>
        <w:rPr>
          <w:color w:val="231F20"/>
          <w:spacing w:val="-4"/>
        </w:rPr>
        <w:t xml:space="preserve"> </w:t>
      </w:r>
      <w:r>
        <w:rPr>
          <w:color w:val="231F20"/>
        </w:rPr>
        <w:t>conducted</w:t>
      </w:r>
      <w:r>
        <w:rPr>
          <w:color w:val="231F20"/>
          <w:spacing w:val="-4"/>
        </w:rPr>
        <w:t xml:space="preserve"> </w:t>
      </w:r>
      <w:r>
        <w:rPr>
          <w:color w:val="231F20"/>
        </w:rPr>
        <w:t>operations</w:t>
      </w:r>
      <w:r>
        <w:rPr>
          <w:color w:val="231F20"/>
          <w:spacing w:val="-3"/>
        </w:rPr>
        <w:t xml:space="preserve"> </w:t>
      </w:r>
      <w:r>
        <w:rPr>
          <w:color w:val="231F20"/>
        </w:rPr>
        <w:t>to</w:t>
      </w:r>
      <w:r>
        <w:rPr>
          <w:color w:val="231F20"/>
          <w:spacing w:val="-4"/>
        </w:rPr>
        <w:t xml:space="preserve"> </w:t>
      </w:r>
      <w:r>
        <w:rPr>
          <w:color w:val="231F20"/>
        </w:rPr>
        <w:t>minimise</w:t>
      </w:r>
      <w:r>
        <w:rPr>
          <w:color w:val="231F20"/>
          <w:spacing w:val="-4"/>
        </w:rPr>
        <w:t xml:space="preserve"> </w:t>
      </w:r>
      <w:r>
        <w:rPr>
          <w:color w:val="231F20"/>
        </w:rPr>
        <w:t>risks,</w:t>
      </w:r>
      <w:r>
        <w:rPr>
          <w:color w:val="231F20"/>
          <w:spacing w:val="-3"/>
        </w:rPr>
        <w:t xml:space="preserve"> </w:t>
      </w:r>
      <w:r>
        <w:rPr>
          <w:color w:val="231F20"/>
        </w:rPr>
        <w:t>collectively</w:t>
      </w:r>
      <w:r>
        <w:rPr>
          <w:color w:val="231F20"/>
          <w:spacing w:val="-3"/>
        </w:rPr>
        <w:t xml:space="preserve"> </w:t>
      </w:r>
      <w:r>
        <w:rPr>
          <w:color w:val="231F20"/>
        </w:rPr>
        <w:t>resulting</w:t>
      </w:r>
      <w:r>
        <w:rPr>
          <w:color w:val="231F20"/>
          <w:spacing w:val="-4"/>
        </w:rPr>
        <w:t xml:space="preserve"> </w:t>
      </w:r>
      <w:r>
        <w:rPr>
          <w:color w:val="231F20"/>
        </w:rPr>
        <w:t>in</w:t>
      </w:r>
      <w:r>
        <w:rPr>
          <w:color w:val="231F20"/>
          <w:spacing w:val="-4"/>
        </w:rPr>
        <w:t xml:space="preserve"> </w:t>
      </w:r>
      <w:r>
        <w:rPr>
          <w:color w:val="231F20"/>
        </w:rPr>
        <w:t>over</w:t>
      </w:r>
      <w:r>
        <w:rPr>
          <w:color w:val="231F20"/>
          <w:spacing w:val="-3"/>
        </w:rPr>
        <w:t xml:space="preserve"> </w:t>
      </w:r>
      <w:r>
        <w:rPr>
          <w:color w:val="231F20"/>
        </w:rPr>
        <w:t>51,800</w:t>
      </w:r>
      <w:r>
        <w:rPr>
          <w:color w:val="231F20"/>
          <w:spacing w:val="-4"/>
        </w:rPr>
        <w:t xml:space="preserve"> </w:t>
      </w:r>
      <w:r>
        <w:rPr>
          <w:color w:val="231F20"/>
        </w:rPr>
        <w:t>road safety offences being detected. Road safety offence detection figures continue to be impacted by</w:t>
      </w:r>
      <w:r>
        <w:rPr>
          <w:color w:val="231F20"/>
          <w:spacing w:val="-7"/>
        </w:rPr>
        <w:t xml:space="preserve"> </w:t>
      </w:r>
      <w:r>
        <w:rPr>
          <w:color w:val="231F20"/>
        </w:rPr>
        <w:t>the</w:t>
      </w:r>
      <w:r>
        <w:rPr>
          <w:color w:val="231F20"/>
          <w:spacing w:val="-8"/>
        </w:rPr>
        <w:t xml:space="preserve"> </w:t>
      </w:r>
      <w:r>
        <w:rPr>
          <w:color w:val="231F20"/>
        </w:rPr>
        <w:t>ongoing</w:t>
      </w:r>
      <w:r>
        <w:rPr>
          <w:color w:val="231F20"/>
          <w:spacing w:val="-8"/>
        </w:rPr>
        <w:t xml:space="preserve"> </w:t>
      </w:r>
      <w:r>
        <w:rPr>
          <w:color w:val="231F20"/>
        </w:rPr>
        <w:t>effect</w:t>
      </w:r>
      <w:r>
        <w:rPr>
          <w:color w:val="231F20"/>
          <w:spacing w:val="-7"/>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COVID-19</w:t>
      </w:r>
      <w:r>
        <w:rPr>
          <w:color w:val="231F20"/>
          <w:spacing w:val="-8"/>
        </w:rPr>
        <w:t xml:space="preserve"> </w:t>
      </w:r>
      <w:r>
        <w:rPr>
          <w:color w:val="231F20"/>
        </w:rPr>
        <w:t>pandemic</w:t>
      </w:r>
      <w:r>
        <w:rPr>
          <w:color w:val="231F20"/>
          <w:spacing w:val="-7"/>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redirection</w:t>
      </w:r>
      <w:r>
        <w:rPr>
          <w:color w:val="231F20"/>
          <w:spacing w:val="-8"/>
        </w:rPr>
        <w:t xml:space="preserve"> </w:t>
      </w:r>
      <w:r>
        <w:rPr>
          <w:color w:val="231F20"/>
        </w:rPr>
        <w:t>of</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officers</w:t>
      </w:r>
      <w:r>
        <w:rPr>
          <w:color w:val="231F20"/>
          <w:spacing w:val="-7"/>
        </w:rPr>
        <w:t xml:space="preserve"> </w:t>
      </w:r>
      <w:r>
        <w:rPr>
          <w:color w:val="231F20"/>
        </w:rPr>
        <w:t>to support public health measures across Victoria in 2021–22.</w:t>
      </w:r>
    </w:p>
    <w:p w14:paraId="3A505CF8" w14:textId="77777777" w:rsidR="00345EE3" w:rsidRDefault="00345EE3" w:rsidP="00345EE3">
      <w:pPr>
        <w:spacing w:before="127" w:line="360" w:lineRule="auto"/>
        <w:ind w:left="108"/>
        <w:rPr>
          <w:rFonts w:ascii="Arial-BoldItalicMT" w:hAnsi="Arial-BoldItalicMT"/>
          <w:b/>
          <w:i/>
          <w:color w:val="231F20"/>
          <w:spacing w:val="-2"/>
          <w:sz w:val="18"/>
        </w:rPr>
      </w:pPr>
      <w:r>
        <w:rPr>
          <w:color w:val="231F20"/>
          <w:sz w:val="18"/>
        </w:rPr>
        <w:t>Table</w:t>
      </w:r>
      <w:r>
        <w:rPr>
          <w:color w:val="231F20"/>
          <w:spacing w:val="-6"/>
          <w:sz w:val="18"/>
        </w:rPr>
        <w:t xml:space="preserve"> </w:t>
      </w:r>
      <w:r>
        <w:rPr>
          <w:color w:val="231F20"/>
          <w:sz w:val="18"/>
        </w:rPr>
        <w:t>3.9:</w:t>
      </w:r>
      <w:r>
        <w:rPr>
          <w:color w:val="231F20"/>
          <w:spacing w:val="-5"/>
          <w:sz w:val="18"/>
        </w:rPr>
        <w:t xml:space="preserve"> </w:t>
      </w:r>
      <w:r>
        <w:rPr>
          <w:rFonts w:ascii="Arial-BoldItalicMT" w:hAnsi="Arial-BoldItalicMT"/>
          <w:b/>
          <w:i/>
          <w:color w:val="231F20"/>
          <w:sz w:val="18"/>
        </w:rPr>
        <w:t>State-wide</w:t>
      </w:r>
      <w:r>
        <w:rPr>
          <w:rFonts w:ascii="Arial-BoldItalicMT" w:hAnsi="Arial-BoldItalicMT"/>
          <w:b/>
          <w:i/>
          <w:color w:val="231F20"/>
          <w:spacing w:val="-8"/>
          <w:sz w:val="18"/>
        </w:rPr>
        <w:t xml:space="preserve"> </w:t>
      </w:r>
      <w:r>
        <w:rPr>
          <w:rFonts w:ascii="Arial-BoldItalicMT" w:hAnsi="Arial-BoldItalicMT"/>
          <w:b/>
          <w:i/>
          <w:color w:val="231F20"/>
          <w:sz w:val="18"/>
        </w:rPr>
        <w:t>Road</w:t>
      </w:r>
      <w:r>
        <w:rPr>
          <w:rFonts w:ascii="Arial-BoldItalicMT" w:hAnsi="Arial-BoldItalicMT"/>
          <w:b/>
          <w:i/>
          <w:color w:val="231F20"/>
          <w:spacing w:val="-8"/>
          <w:sz w:val="18"/>
        </w:rPr>
        <w:t xml:space="preserve"> </w:t>
      </w:r>
      <w:r>
        <w:rPr>
          <w:rFonts w:ascii="Arial-BoldItalicMT" w:hAnsi="Arial-BoldItalicMT"/>
          <w:b/>
          <w:i/>
          <w:color w:val="231F20"/>
          <w:sz w:val="18"/>
        </w:rPr>
        <w:t>Policing</w:t>
      </w:r>
      <w:r>
        <w:rPr>
          <w:rFonts w:ascii="Arial-BoldItalicMT" w:hAnsi="Arial-BoldItalicMT"/>
          <w:b/>
          <w:i/>
          <w:color w:val="231F20"/>
          <w:spacing w:val="-8"/>
          <w:sz w:val="18"/>
        </w:rPr>
        <w:t xml:space="preserve"> </w:t>
      </w:r>
      <w:r>
        <w:rPr>
          <w:rFonts w:ascii="Arial-BoldItalicMT" w:hAnsi="Arial-BoldItalicMT"/>
          <w:b/>
          <w:i/>
          <w:color w:val="231F20"/>
          <w:sz w:val="18"/>
        </w:rPr>
        <w:t>Operations</w:t>
      </w:r>
      <w:r>
        <w:rPr>
          <w:rFonts w:ascii="Arial-BoldItalicMT" w:hAnsi="Arial-BoldItalicMT"/>
          <w:b/>
          <w:i/>
          <w:color w:val="231F20"/>
          <w:spacing w:val="-8"/>
          <w:sz w:val="18"/>
        </w:rPr>
        <w:t xml:space="preserve"> </w:t>
      </w:r>
      <w:r>
        <w:rPr>
          <w:rFonts w:ascii="Arial-BoldItalicMT" w:hAnsi="Arial-BoldItalicMT"/>
          <w:b/>
          <w:i/>
          <w:color w:val="231F20"/>
          <w:sz w:val="18"/>
        </w:rPr>
        <w:t>during</w:t>
      </w:r>
      <w:r>
        <w:rPr>
          <w:rFonts w:ascii="Arial-BoldItalicMT" w:hAnsi="Arial-BoldItalicMT"/>
          <w:b/>
          <w:i/>
          <w:color w:val="231F20"/>
          <w:spacing w:val="-8"/>
          <w:sz w:val="18"/>
        </w:rPr>
        <w:t xml:space="preserve"> </w:t>
      </w:r>
      <w:r>
        <w:rPr>
          <w:rFonts w:ascii="Arial-BoldItalicMT" w:hAnsi="Arial-BoldItalicMT"/>
          <w:b/>
          <w:i/>
          <w:color w:val="231F20"/>
          <w:spacing w:val="-2"/>
          <w:sz w:val="18"/>
        </w:rPr>
        <w:t>2021–22</w:t>
      </w:r>
    </w:p>
    <w:tbl>
      <w:tblPr>
        <w:tblW w:w="0" w:type="auto"/>
        <w:tblInd w:w="156" w:type="dxa"/>
        <w:tblLayout w:type="fixed"/>
        <w:tblCellMar>
          <w:left w:w="0" w:type="dxa"/>
          <w:right w:w="0" w:type="dxa"/>
        </w:tblCellMar>
        <w:tblLook w:val="0000" w:firstRow="0" w:lastRow="0" w:firstColumn="0" w:lastColumn="0" w:noHBand="0" w:noVBand="0"/>
      </w:tblPr>
      <w:tblGrid>
        <w:gridCol w:w="5230"/>
        <w:gridCol w:w="4989"/>
      </w:tblGrid>
      <w:tr w:rsidR="00345EE3" w:rsidRPr="00F449ED" w14:paraId="12D9B8B5" w14:textId="77777777" w:rsidTr="00D73130">
        <w:trPr>
          <w:trHeight w:val="60"/>
          <w:tblHeader/>
        </w:trPr>
        <w:tc>
          <w:tcPr>
            <w:tcW w:w="5230" w:type="dxa"/>
            <w:tcBorders>
              <w:top w:val="single" w:sz="6" w:space="0" w:color="000000"/>
              <w:left w:val="single" w:sz="6" w:space="0" w:color="000000"/>
              <w:bottom w:val="single" w:sz="6" w:space="0" w:color="9D9C9C"/>
              <w:right w:val="single" w:sz="6" w:space="0" w:color="auto"/>
            </w:tcBorders>
            <w:shd w:val="solid" w:color="004996" w:fill="auto"/>
            <w:tcMar>
              <w:top w:w="113" w:type="dxa"/>
              <w:left w:w="14" w:type="dxa"/>
              <w:bottom w:w="113" w:type="dxa"/>
              <w:right w:w="14" w:type="dxa"/>
            </w:tcMar>
          </w:tcPr>
          <w:p w14:paraId="380B5B41"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449ED">
              <w:rPr>
                <w:rFonts w:eastAsiaTheme="minorHAnsi"/>
                <w:b/>
                <w:bCs/>
                <w:color w:val="FFFFFF"/>
                <w:sz w:val="24"/>
                <w:szCs w:val="24"/>
                <w:lang w:val="en-GB"/>
              </w:rPr>
              <w:t>Operation and Duration</w:t>
            </w:r>
          </w:p>
        </w:tc>
        <w:tc>
          <w:tcPr>
            <w:tcW w:w="4989" w:type="dxa"/>
            <w:tcBorders>
              <w:top w:val="single" w:sz="6" w:space="0" w:color="auto"/>
              <w:left w:val="single" w:sz="6" w:space="0" w:color="auto"/>
              <w:bottom w:val="single" w:sz="6" w:space="0" w:color="auto"/>
              <w:right w:val="single" w:sz="6" w:space="0" w:color="auto"/>
            </w:tcBorders>
            <w:shd w:val="solid" w:color="004996" w:fill="auto"/>
            <w:tcMar>
              <w:top w:w="113" w:type="dxa"/>
              <w:left w:w="14" w:type="dxa"/>
              <w:bottom w:w="113" w:type="dxa"/>
              <w:right w:w="14" w:type="dxa"/>
            </w:tcMar>
          </w:tcPr>
          <w:p w14:paraId="26B89931"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449ED">
              <w:rPr>
                <w:rFonts w:eastAsiaTheme="minorHAnsi"/>
                <w:b/>
                <w:bCs/>
                <w:color w:val="FFFFFF"/>
                <w:sz w:val="24"/>
                <w:szCs w:val="24"/>
                <w:lang w:val="en-GB"/>
              </w:rPr>
              <w:t>Outcome</w:t>
            </w:r>
          </w:p>
        </w:tc>
      </w:tr>
      <w:tr w:rsidR="00345EE3" w:rsidRPr="00F449ED" w14:paraId="26B6712A"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58FAB4E"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Operation Scoreboard 2021 (four days)</w:t>
            </w:r>
          </w:p>
          <w:p w14:paraId="33ABA7FA"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AFL Grand Final long weekend</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5B57F716"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104</w:t>
            </w:r>
            <w:r w:rsidRPr="00F449ED">
              <w:rPr>
                <w:rFonts w:eastAsiaTheme="minorHAnsi"/>
                <w:b/>
                <w:bCs/>
                <w:color w:val="000000"/>
                <w:sz w:val="24"/>
                <w:szCs w:val="24"/>
                <w:lang w:val="en-GB"/>
              </w:rPr>
              <w:tab/>
            </w:r>
            <w:r w:rsidRPr="00F449ED">
              <w:rPr>
                <w:rFonts w:eastAsiaTheme="minorHAnsi"/>
                <w:color w:val="000000"/>
                <w:sz w:val="24"/>
                <w:szCs w:val="24"/>
                <w:lang w:val="en-GB"/>
              </w:rPr>
              <w:t>Blood Alcohol Content offences</w:t>
            </w:r>
          </w:p>
          <w:p w14:paraId="58AEFBF4"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94</w:t>
            </w:r>
            <w:r w:rsidRPr="00F449ED">
              <w:rPr>
                <w:rFonts w:eastAsiaTheme="minorHAnsi"/>
                <w:color w:val="000000"/>
                <w:sz w:val="24"/>
                <w:szCs w:val="24"/>
                <w:lang w:val="en-GB"/>
              </w:rPr>
              <w:tab/>
              <w:t>Oral Fluid Test offences</w:t>
            </w:r>
          </w:p>
          <w:p w14:paraId="4C04AE3C"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2,054</w:t>
            </w:r>
            <w:r w:rsidRPr="00F449ED">
              <w:rPr>
                <w:rFonts w:eastAsiaTheme="minorHAnsi"/>
                <w:color w:val="000000"/>
                <w:sz w:val="24"/>
                <w:szCs w:val="24"/>
                <w:lang w:val="en-GB"/>
              </w:rPr>
              <w:tab/>
              <w:t>Other road safety offences</w:t>
            </w:r>
          </w:p>
          <w:p w14:paraId="6A9D1188"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222</w:t>
            </w:r>
            <w:r w:rsidRPr="00F449ED">
              <w:rPr>
                <w:rFonts w:eastAsiaTheme="minorHAnsi"/>
                <w:color w:val="000000"/>
                <w:sz w:val="24"/>
                <w:szCs w:val="24"/>
                <w:lang w:val="en-GB"/>
              </w:rPr>
              <w:tab/>
              <w:t>Crime offences</w:t>
            </w:r>
          </w:p>
        </w:tc>
      </w:tr>
      <w:tr w:rsidR="00345EE3" w:rsidRPr="00F449ED" w14:paraId="6D9359A2"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0201B2B"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Operation Compass 2021 (eight days)</w:t>
            </w:r>
          </w:p>
          <w:p w14:paraId="2ABF2254"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Includes the Melbourne Cup long weekend</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0194C4F7"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291</w:t>
            </w:r>
            <w:r w:rsidRPr="00F449ED">
              <w:rPr>
                <w:rFonts w:eastAsiaTheme="minorHAnsi"/>
                <w:color w:val="000000"/>
                <w:sz w:val="24"/>
                <w:szCs w:val="24"/>
                <w:lang w:val="en-GB"/>
              </w:rPr>
              <w:tab/>
              <w:t>Blood Alcohol Content offences</w:t>
            </w:r>
          </w:p>
          <w:p w14:paraId="4354E00B"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232</w:t>
            </w:r>
            <w:r w:rsidRPr="00F449ED">
              <w:rPr>
                <w:rFonts w:eastAsiaTheme="minorHAnsi"/>
                <w:color w:val="000000"/>
                <w:sz w:val="24"/>
                <w:szCs w:val="24"/>
                <w:lang w:val="en-GB"/>
              </w:rPr>
              <w:tab/>
              <w:t>Oral Fluid Test offences</w:t>
            </w:r>
          </w:p>
          <w:p w14:paraId="2A23D533"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8,118</w:t>
            </w:r>
            <w:r w:rsidRPr="00F449ED">
              <w:rPr>
                <w:rFonts w:eastAsiaTheme="minorHAnsi"/>
                <w:color w:val="000000"/>
                <w:sz w:val="24"/>
                <w:szCs w:val="24"/>
                <w:lang w:val="en-GB"/>
              </w:rPr>
              <w:tab/>
              <w:t>Other road safety offences</w:t>
            </w:r>
          </w:p>
          <w:p w14:paraId="3BB6C43E"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556</w:t>
            </w:r>
            <w:r w:rsidRPr="00F449ED">
              <w:rPr>
                <w:rFonts w:eastAsiaTheme="minorHAnsi"/>
                <w:color w:val="000000"/>
                <w:sz w:val="24"/>
                <w:szCs w:val="24"/>
                <w:lang w:val="en-GB"/>
              </w:rPr>
              <w:tab/>
              <w:t>Crime offences</w:t>
            </w:r>
          </w:p>
        </w:tc>
      </w:tr>
      <w:tr w:rsidR="00345EE3" w:rsidRPr="00F449ED" w14:paraId="15824888"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8E29742"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Operation Roadwise 2021 (10 days)</w:t>
            </w:r>
          </w:p>
          <w:p w14:paraId="37D19F1C"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Christmas period</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7FD1D0BB"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462</w:t>
            </w:r>
            <w:r w:rsidRPr="00F449ED">
              <w:rPr>
                <w:rFonts w:eastAsiaTheme="minorHAnsi"/>
                <w:color w:val="000000"/>
                <w:sz w:val="24"/>
                <w:szCs w:val="24"/>
                <w:lang w:val="en-GB"/>
              </w:rPr>
              <w:tab/>
              <w:t>Blood Alcohol Content offences</w:t>
            </w:r>
          </w:p>
          <w:p w14:paraId="2F4194CA"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314</w:t>
            </w:r>
            <w:r w:rsidRPr="00F449ED">
              <w:rPr>
                <w:rFonts w:eastAsiaTheme="minorHAnsi"/>
                <w:color w:val="000000"/>
                <w:sz w:val="24"/>
                <w:szCs w:val="24"/>
                <w:lang w:val="en-GB"/>
              </w:rPr>
              <w:tab/>
              <w:t>Oral Fluid Test offences</w:t>
            </w:r>
          </w:p>
          <w:p w14:paraId="01F5D0CB"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9,156</w:t>
            </w:r>
            <w:r w:rsidRPr="00F449ED">
              <w:rPr>
                <w:rFonts w:eastAsiaTheme="minorHAnsi"/>
                <w:color w:val="000000"/>
                <w:sz w:val="24"/>
                <w:szCs w:val="24"/>
                <w:lang w:val="en-GB"/>
              </w:rPr>
              <w:tab/>
              <w:t>Other road safety offences</w:t>
            </w:r>
          </w:p>
          <w:p w14:paraId="4E57B331"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1,026</w:t>
            </w:r>
            <w:r w:rsidRPr="00F449ED">
              <w:rPr>
                <w:rFonts w:eastAsiaTheme="minorHAnsi"/>
                <w:color w:val="000000"/>
                <w:sz w:val="24"/>
                <w:szCs w:val="24"/>
                <w:lang w:val="en-GB"/>
              </w:rPr>
              <w:tab/>
              <w:t>Crime offences</w:t>
            </w:r>
          </w:p>
        </w:tc>
      </w:tr>
      <w:tr w:rsidR="00345EE3" w:rsidRPr="00F449ED" w14:paraId="25F711FA"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22538D6"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Operation Amity 2022 (two days)</w:t>
            </w:r>
          </w:p>
          <w:p w14:paraId="290242C2"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 xml:space="preserve">Australia Day </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56C7DE39"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92</w:t>
            </w:r>
            <w:r w:rsidRPr="00F449ED">
              <w:rPr>
                <w:rFonts w:eastAsiaTheme="minorHAnsi"/>
                <w:color w:val="000000"/>
                <w:sz w:val="24"/>
                <w:szCs w:val="24"/>
                <w:lang w:val="en-GB"/>
              </w:rPr>
              <w:tab/>
              <w:t>Blood Alcohol Content offences</w:t>
            </w:r>
          </w:p>
          <w:p w14:paraId="4CA51110"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70</w:t>
            </w:r>
            <w:r w:rsidRPr="00F449ED">
              <w:rPr>
                <w:rFonts w:eastAsiaTheme="minorHAnsi"/>
                <w:color w:val="000000"/>
                <w:sz w:val="24"/>
                <w:szCs w:val="24"/>
                <w:lang w:val="en-GB"/>
              </w:rPr>
              <w:tab/>
              <w:t>Oral Fluid Test offences</w:t>
            </w:r>
          </w:p>
          <w:p w14:paraId="738C8347"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2,676</w:t>
            </w:r>
            <w:r w:rsidRPr="00F449ED">
              <w:rPr>
                <w:rFonts w:eastAsiaTheme="minorHAnsi"/>
                <w:color w:val="000000"/>
                <w:sz w:val="24"/>
                <w:szCs w:val="24"/>
                <w:lang w:val="en-GB"/>
              </w:rPr>
              <w:tab/>
              <w:t>Other road safety offences</w:t>
            </w:r>
          </w:p>
          <w:p w14:paraId="70952D48"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182</w:t>
            </w:r>
            <w:r w:rsidRPr="00F449ED">
              <w:rPr>
                <w:rFonts w:eastAsiaTheme="minorHAnsi"/>
                <w:color w:val="000000"/>
                <w:sz w:val="24"/>
                <w:szCs w:val="24"/>
                <w:lang w:val="en-GB"/>
              </w:rPr>
              <w:tab/>
              <w:t>Crime offences</w:t>
            </w:r>
          </w:p>
        </w:tc>
      </w:tr>
      <w:tr w:rsidR="00345EE3" w:rsidRPr="00F449ED" w14:paraId="19FF81F3"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1279702D"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Operation Arid 2022 (four days)</w:t>
            </w:r>
          </w:p>
          <w:p w14:paraId="57D12558"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Labour Day long weekend</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0D928740"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284</w:t>
            </w:r>
            <w:r w:rsidRPr="00F449ED">
              <w:rPr>
                <w:rFonts w:eastAsiaTheme="minorHAnsi"/>
                <w:color w:val="000000"/>
                <w:sz w:val="24"/>
                <w:szCs w:val="24"/>
                <w:lang w:val="en-GB"/>
              </w:rPr>
              <w:tab/>
              <w:t>Blood Alcohol Content offences</w:t>
            </w:r>
          </w:p>
          <w:p w14:paraId="495B5367"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231</w:t>
            </w:r>
            <w:r w:rsidRPr="00F449ED">
              <w:rPr>
                <w:rFonts w:eastAsiaTheme="minorHAnsi"/>
                <w:color w:val="000000"/>
                <w:sz w:val="24"/>
                <w:szCs w:val="24"/>
                <w:lang w:val="en-GB"/>
              </w:rPr>
              <w:tab/>
              <w:t>Oral Fluid Test offences</w:t>
            </w:r>
          </w:p>
          <w:p w14:paraId="4F9B7640"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6,678</w:t>
            </w:r>
            <w:r w:rsidRPr="00F449ED">
              <w:rPr>
                <w:rFonts w:eastAsiaTheme="minorHAnsi"/>
                <w:color w:val="000000"/>
                <w:sz w:val="24"/>
                <w:szCs w:val="24"/>
                <w:lang w:val="en-GB"/>
              </w:rPr>
              <w:tab/>
              <w:t>Other road safety offences</w:t>
            </w:r>
          </w:p>
          <w:p w14:paraId="1A145B4E"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568</w:t>
            </w:r>
            <w:r w:rsidRPr="00F449ED">
              <w:rPr>
                <w:rFonts w:eastAsiaTheme="minorHAnsi"/>
                <w:color w:val="000000"/>
                <w:sz w:val="24"/>
                <w:szCs w:val="24"/>
                <w:lang w:val="en-GB"/>
              </w:rPr>
              <w:tab/>
              <w:t>Crime offences</w:t>
            </w:r>
          </w:p>
        </w:tc>
      </w:tr>
      <w:tr w:rsidR="00345EE3" w:rsidRPr="00F449ED" w14:paraId="4ACA2DF6"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7A290D1B"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Operation Engage 2022 (17 days)</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13E8D01A"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23</w:t>
            </w:r>
            <w:r w:rsidRPr="00F449ED">
              <w:rPr>
                <w:rFonts w:eastAsiaTheme="minorHAnsi"/>
                <w:color w:val="000000"/>
                <w:sz w:val="24"/>
                <w:szCs w:val="24"/>
                <w:lang w:val="en-GB"/>
              </w:rPr>
              <w:tab/>
              <w:t>Blood Alcohol Content offences</w:t>
            </w:r>
          </w:p>
          <w:p w14:paraId="658442B2"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49</w:t>
            </w:r>
            <w:r w:rsidRPr="00F449ED">
              <w:rPr>
                <w:rFonts w:eastAsiaTheme="minorHAnsi"/>
                <w:color w:val="000000"/>
                <w:sz w:val="24"/>
                <w:szCs w:val="24"/>
                <w:lang w:val="en-GB"/>
              </w:rPr>
              <w:tab/>
              <w:t>Oral Fluid Test offences</w:t>
            </w:r>
          </w:p>
          <w:p w14:paraId="1DFF8AEC"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1,103</w:t>
            </w:r>
            <w:r w:rsidRPr="00F449ED">
              <w:rPr>
                <w:rFonts w:eastAsiaTheme="minorHAnsi"/>
                <w:color w:val="000000"/>
                <w:sz w:val="24"/>
                <w:szCs w:val="24"/>
                <w:lang w:val="en-GB"/>
              </w:rPr>
              <w:tab/>
              <w:t>Other road safety offences</w:t>
            </w:r>
          </w:p>
          <w:p w14:paraId="6F81348E"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72</w:t>
            </w:r>
            <w:r w:rsidRPr="00F449ED">
              <w:rPr>
                <w:rFonts w:eastAsiaTheme="minorHAnsi"/>
                <w:color w:val="000000"/>
                <w:sz w:val="24"/>
                <w:szCs w:val="24"/>
                <w:lang w:val="en-GB"/>
              </w:rPr>
              <w:tab/>
              <w:t>Crime offences</w:t>
            </w:r>
          </w:p>
        </w:tc>
      </w:tr>
      <w:tr w:rsidR="00345EE3" w:rsidRPr="00F449ED" w14:paraId="231C01F3"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952124E"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 xml:space="preserve">Operation Compass 2022 (nine days) </w:t>
            </w:r>
          </w:p>
          <w:p w14:paraId="6C950F4D"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Easter and ANZAC Day long weekends</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2D78FC6D"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445</w:t>
            </w:r>
            <w:r w:rsidRPr="00F449ED">
              <w:rPr>
                <w:rFonts w:eastAsiaTheme="minorHAnsi"/>
                <w:color w:val="000000"/>
                <w:sz w:val="24"/>
                <w:szCs w:val="24"/>
                <w:lang w:val="en-GB"/>
              </w:rPr>
              <w:tab/>
              <w:t>Blood Alcohol Content offences</w:t>
            </w:r>
          </w:p>
          <w:p w14:paraId="1578BA64"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410</w:t>
            </w:r>
            <w:r w:rsidRPr="00F449ED">
              <w:rPr>
                <w:rFonts w:eastAsiaTheme="minorHAnsi"/>
                <w:color w:val="000000"/>
                <w:sz w:val="24"/>
                <w:szCs w:val="24"/>
                <w:lang w:val="en-GB"/>
              </w:rPr>
              <w:tab/>
              <w:t>Oral Fluid Test offences</w:t>
            </w:r>
          </w:p>
          <w:p w14:paraId="53934B2B"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11,936</w:t>
            </w:r>
            <w:r>
              <w:rPr>
                <w:rFonts w:eastAsiaTheme="minorHAnsi"/>
                <w:color w:val="000000"/>
                <w:sz w:val="24"/>
                <w:szCs w:val="24"/>
                <w:lang w:val="en-GB"/>
              </w:rPr>
              <w:t xml:space="preserve"> </w:t>
            </w:r>
            <w:r w:rsidRPr="00F449ED">
              <w:rPr>
                <w:rFonts w:eastAsiaTheme="minorHAnsi"/>
                <w:color w:val="000000"/>
                <w:sz w:val="24"/>
                <w:szCs w:val="24"/>
                <w:lang w:val="en-GB"/>
              </w:rPr>
              <w:t>Other road safety offences</w:t>
            </w:r>
          </w:p>
          <w:p w14:paraId="54B79D57"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1,113</w:t>
            </w:r>
            <w:r w:rsidRPr="00F449ED">
              <w:rPr>
                <w:rFonts w:eastAsiaTheme="minorHAnsi"/>
                <w:color w:val="000000"/>
                <w:sz w:val="24"/>
                <w:szCs w:val="24"/>
                <w:lang w:val="en-GB"/>
              </w:rPr>
              <w:tab/>
              <w:t>Crime offences</w:t>
            </w:r>
          </w:p>
        </w:tc>
      </w:tr>
      <w:tr w:rsidR="00345EE3" w:rsidRPr="00F449ED" w14:paraId="75272BC8"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4839DF9"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National Day of Action 2022 (one day)</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48501300"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20</w:t>
            </w:r>
            <w:r w:rsidRPr="00F449ED">
              <w:rPr>
                <w:rFonts w:eastAsiaTheme="minorHAnsi"/>
                <w:color w:val="000000"/>
                <w:sz w:val="24"/>
                <w:szCs w:val="24"/>
                <w:lang w:val="en-GB"/>
              </w:rPr>
              <w:tab/>
              <w:t>Blood Alcohol Content offences</w:t>
            </w:r>
          </w:p>
          <w:p w14:paraId="42F5D405"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22</w:t>
            </w:r>
            <w:r w:rsidRPr="00F449ED">
              <w:rPr>
                <w:rFonts w:eastAsiaTheme="minorHAnsi"/>
                <w:color w:val="000000"/>
                <w:sz w:val="24"/>
                <w:szCs w:val="24"/>
                <w:lang w:val="en-GB"/>
              </w:rPr>
              <w:tab/>
              <w:t>Oral Fluid Test offences</w:t>
            </w:r>
          </w:p>
          <w:p w14:paraId="6BD3A8AB"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958</w:t>
            </w:r>
            <w:r w:rsidRPr="00F449ED">
              <w:rPr>
                <w:rFonts w:eastAsiaTheme="minorHAnsi"/>
                <w:color w:val="000000"/>
                <w:sz w:val="24"/>
                <w:szCs w:val="24"/>
                <w:lang w:val="en-GB"/>
              </w:rPr>
              <w:tab/>
              <w:t>Other road safety offences</w:t>
            </w:r>
          </w:p>
          <w:p w14:paraId="31FA94B2"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61</w:t>
            </w:r>
            <w:r w:rsidRPr="00F449ED">
              <w:rPr>
                <w:rFonts w:eastAsiaTheme="minorHAnsi"/>
                <w:color w:val="000000"/>
                <w:sz w:val="24"/>
                <w:szCs w:val="24"/>
                <w:lang w:val="en-GB"/>
              </w:rPr>
              <w:tab/>
              <w:t>Crime offences</w:t>
            </w:r>
          </w:p>
        </w:tc>
      </w:tr>
      <w:tr w:rsidR="00345EE3" w:rsidRPr="00F449ED" w14:paraId="2BB9D1AB"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7AC77D8E"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Operation Regal 2022 (four days)</w:t>
            </w:r>
          </w:p>
          <w:p w14:paraId="5228B1FC"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Queen’s Birthday long weekend</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7E41050F"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195</w:t>
            </w:r>
            <w:r w:rsidRPr="00F449ED">
              <w:rPr>
                <w:rFonts w:eastAsiaTheme="minorHAnsi"/>
                <w:color w:val="000000"/>
                <w:sz w:val="24"/>
                <w:szCs w:val="24"/>
                <w:lang w:val="en-GB"/>
              </w:rPr>
              <w:tab/>
              <w:t>Blood Alcohol Content offences</w:t>
            </w:r>
          </w:p>
          <w:p w14:paraId="1F6BFB99"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177</w:t>
            </w:r>
            <w:r w:rsidRPr="00F449ED">
              <w:rPr>
                <w:rFonts w:eastAsiaTheme="minorHAnsi"/>
                <w:color w:val="000000"/>
                <w:sz w:val="24"/>
                <w:szCs w:val="24"/>
                <w:lang w:val="en-GB"/>
              </w:rPr>
              <w:tab/>
              <w:t>Oral Fluid Test offences</w:t>
            </w:r>
          </w:p>
          <w:p w14:paraId="0C9FECD5"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5,689</w:t>
            </w:r>
            <w:r w:rsidRPr="00F449ED">
              <w:rPr>
                <w:rFonts w:eastAsiaTheme="minorHAnsi"/>
                <w:color w:val="000000"/>
                <w:sz w:val="24"/>
                <w:szCs w:val="24"/>
                <w:lang w:val="en-GB"/>
              </w:rPr>
              <w:tab/>
              <w:t>Other road safety offences</w:t>
            </w:r>
          </w:p>
          <w:p w14:paraId="6E4D6F75"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494</w:t>
            </w:r>
            <w:r w:rsidRPr="00F449ED">
              <w:rPr>
                <w:rFonts w:eastAsiaTheme="minorHAnsi"/>
                <w:color w:val="000000"/>
                <w:sz w:val="24"/>
                <w:szCs w:val="24"/>
                <w:lang w:val="en-GB"/>
              </w:rPr>
              <w:tab/>
              <w:t>Crime offences</w:t>
            </w:r>
          </w:p>
        </w:tc>
      </w:tr>
    </w:tbl>
    <w:p w14:paraId="12AD51D5" w14:textId="77777777" w:rsidR="00345EE3" w:rsidRPr="003E6588" w:rsidRDefault="00345EE3" w:rsidP="00345EE3">
      <w:pPr>
        <w:spacing w:before="120"/>
        <w:ind w:left="142"/>
        <w:rPr>
          <w:sz w:val="18"/>
          <w:szCs w:val="18"/>
        </w:rPr>
      </w:pPr>
      <w:r w:rsidRPr="003E6588">
        <w:rPr>
          <w:rFonts w:ascii="Arial-BoldItalicMT"/>
          <w:b/>
          <w:i/>
          <w:color w:val="231F20"/>
          <w:sz w:val="18"/>
          <w:szCs w:val="18"/>
        </w:rPr>
        <w:t>Source:</w:t>
      </w:r>
      <w:r w:rsidRPr="003E6588">
        <w:rPr>
          <w:rFonts w:ascii="Arial-BoldItalicMT"/>
          <w:b/>
          <w:i/>
          <w:color w:val="231F20"/>
          <w:spacing w:val="-1"/>
          <w:sz w:val="18"/>
          <w:szCs w:val="18"/>
        </w:rPr>
        <w:t xml:space="preserve"> </w:t>
      </w:r>
      <w:r w:rsidRPr="003E6588">
        <w:rPr>
          <w:color w:val="231F20"/>
          <w:sz w:val="18"/>
          <w:szCs w:val="18"/>
        </w:rPr>
        <w:t>Road</w:t>
      </w:r>
      <w:r w:rsidRPr="003E6588">
        <w:rPr>
          <w:color w:val="231F20"/>
          <w:spacing w:val="-1"/>
          <w:sz w:val="18"/>
          <w:szCs w:val="18"/>
        </w:rPr>
        <w:t xml:space="preserve"> </w:t>
      </w:r>
      <w:r w:rsidRPr="003E6588">
        <w:rPr>
          <w:color w:val="231F20"/>
          <w:sz w:val="18"/>
          <w:szCs w:val="18"/>
        </w:rPr>
        <w:t>Policing</w:t>
      </w:r>
      <w:r w:rsidRPr="003E6588">
        <w:rPr>
          <w:color w:val="231F20"/>
          <w:spacing w:val="-1"/>
          <w:sz w:val="18"/>
          <w:szCs w:val="18"/>
        </w:rPr>
        <w:t xml:space="preserve"> </w:t>
      </w:r>
      <w:r w:rsidRPr="003E6588">
        <w:rPr>
          <w:color w:val="231F20"/>
          <w:sz w:val="18"/>
          <w:szCs w:val="18"/>
        </w:rPr>
        <w:t>Command.</w:t>
      </w:r>
      <w:r w:rsidRPr="003E6588">
        <w:rPr>
          <w:color w:val="231F20"/>
          <w:spacing w:val="-1"/>
          <w:sz w:val="18"/>
          <w:szCs w:val="18"/>
        </w:rPr>
        <w:t xml:space="preserve"> </w:t>
      </w:r>
      <w:r w:rsidRPr="003E6588">
        <w:rPr>
          <w:color w:val="231F20"/>
          <w:sz w:val="18"/>
          <w:szCs w:val="18"/>
        </w:rPr>
        <w:t>Data</w:t>
      </w:r>
      <w:r w:rsidRPr="003E6588">
        <w:rPr>
          <w:color w:val="231F20"/>
          <w:spacing w:val="-1"/>
          <w:sz w:val="18"/>
          <w:szCs w:val="18"/>
        </w:rPr>
        <w:t xml:space="preserve"> </w:t>
      </w:r>
      <w:r w:rsidRPr="003E6588">
        <w:rPr>
          <w:color w:val="231F20"/>
          <w:sz w:val="18"/>
          <w:szCs w:val="18"/>
        </w:rPr>
        <w:t>extracted</w:t>
      </w:r>
      <w:r w:rsidRPr="003E6588">
        <w:rPr>
          <w:color w:val="231F20"/>
          <w:spacing w:val="-1"/>
          <w:sz w:val="18"/>
          <w:szCs w:val="18"/>
        </w:rPr>
        <w:t xml:space="preserve"> </w:t>
      </w:r>
      <w:r w:rsidRPr="003E6588">
        <w:rPr>
          <w:color w:val="231F20"/>
          <w:sz w:val="18"/>
          <w:szCs w:val="18"/>
        </w:rPr>
        <w:t>from</w:t>
      </w:r>
      <w:r w:rsidRPr="003E6588">
        <w:rPr>
          <w:color w:val="231F20"/>
          <w:spacing w:val="-1"/>
          <w:sz w:val="18"/>
          <w:szCs w:val="18"/>
        </w:rPr>
        <w:t xml:space="preserve"> </w:t>
      </w:r>
      <w:r w:rsidRPr="003E6588">
        <w:rPr>
          <w:color w:val="231F20"/>
          <w:sz w:val="18"/>
          <w:szCs w:val="18"/>
        </w:rPr>
        <w:t>Road</w:t>
      </w:r>
      <w:r w:rsidRPr="003E6588">
        <w:rPr>
          <w:color w:val="231F20"/>
          <w:spacing w:val="-1"/>
          <w:sz w:val="18"/>
          <w:szCs w:val="18"/>
        </w:rPr>
        <w:t xml:space="preserve"> </w:t>
      </w:r>
      <w:r w:rsidRPr="003E6588">
        <w:rPr>
          <w:color w:val="231F20"/>
          <w:sz w:val="18"/>
          <w:szCs w:val="18"/>
        </w:rPr>
        <w:t>Policing</w:t>
      </w:r>
      <w:r w:rsidRPr="003E6588">
        <w:rPr>
          <w:color w:val="231F20"/>
          <w:spacing w:val="-1"/>
          <w:sz w:val="18"/>
          <w:szCs w:val="18"/>
        </w:rPr>
        <w:t xml:space="preserve"> </w:t>
      </w:r>
      <w:r w:rsidRPr="003E6588">
        <w:rPr>
          <w:color w:val="231F20"/>
          <w:sz w:val="18"/>
          <w:szCs w:val="18"/>
        </w:rPr>
        <w:t>Command</w:t>
      </w:r>
      <w:r w:rsidRPr="003E6588">
        <w:rPr>
          <w:color w:val="231F20"/>
          <w:spacing w:val="-1"/>
          <w:sz w:val="18"/>
          <w:szCs w:val="18"/>
        </w:rPr>
        <w:t xml:space="preserve"> </w:t>
      </w:r>
      <w:r w:rsidRPr="003E6588">
        <w:rPr>
          <w:color w:val="231F20"/>
          <w:sz w:val="18"/>
          <w:szCs w:val="18"/>
        </w:rPr>
        <w:t>Intranet</w:t>
      </w:r>
      <w:r w:rsidRPr="003E6588">
        <w:rPr>
          <w:color w:val="231F20"/>
          <w:spacing w:val="-1"/>
          <w:sz w:val="18"/>
          <w:szCs w:val="18"/>
        </w:rPr>
        <w:t xml:space="preserve"> </w:t>
      </w:r>
      <w:r w:rsidRPr="003E6588">
        <w:rPr>
          <w:color w:val="231F20"/>
          <w:sz w:val="18"/>
          <w:szCs w:val="18"/>
        </w:rPr>
        <w:t>site</w:t>
      </w:r>
      <w:r w:rsidRPr="003E6588">
        <w:rPr>
          <w:color w:val="231F20"/>
          <w:spacing w:val="-1"/>
          <w:sz w:val="18"/>
          <w:szCs w:val="18"/>
        </w:rPr>
        <w:t xml:space="preserve"> </w:t>
      </w:r>
      <w:r w:rsidRPr="003E6588">
        <w:rPr>
          <w:color w:val="231F20"/>
          <w:sz w:val="18"/>
          <w:szCs w:val="18"/>
        </w:rPr>
        <w:t>on</w:t>
      </w:r>
      <w:r w:rsidRPr="003E6588">
        <w:rPr>
          <w:color w:val="231F20"/>
          <w:spacing w:val="-1"/>
          <w:sz w:val="18"/>
          <w:szCs w:val="18"/>
        </w:rPr>
        <w:t xml:space="preserve"> </w:t>
      </w:r>
      <w:r w:rsidRPr="003E6588">
        <w:rPr>
          <w:color w:val="231F20"/>
          <w:sz w:val="18"/>
          <w:szCs w:val="18"/>
        </w:rPr>
        <w:t>18</w:t>
      </w:r>
      <w:r w:rsidRPr="003E6588">
        <w:rPr>
          <w:color w:val="231F20"/>
          <w:spacing w:val="-1"/>
          <w:sz w:val="18"/>
          <w:szCs w:val="18"/>
        </w:rPr>
        <w:t xml:space="preserve"> </w:t>
      </w:r>
      <w:r w:rsidRPr="003E6588">
        <w:rPr>
          <w:color w:val="231F20"/>
          <w:sz w:val="18"/>
          <w:szCs w:val="18"/>
        </w:rPr>
        <w:t>July</w:t>
      </w:r>
      <w:r w:rsidRPr="003E6588">
        <w:rPr>
          <w:color w:val="231F20"/>
          <w:spacing w:val="-1"/>
          <w:sz w:val="18"/>
          <w:szCs w:val="18"/>
        </w:rPr>
        <w:t xml:space="preserve"> </w:t>
      </w:r>
      <w:r w:rsidRPr="003E6588">
        <w:rPr>
          <w:color w:val="231F20"/>
          <w:spacing w:val="-2"/>
          <w:sz w:val="18"/>
          <w:szCs w:val="18"/>
        </w:rPr>
        <w:t>2022.</w:t>
      </w:r>
    </w:p>
    <w:p w14:paraId="1E292183" w14:textId="77777777" w:rsidR="00345EE3" w:rsidRPr="003E6588" w:rsidRDefault="00345EE3" w:rsidP="00345EE3">
      <w:pPr>
        <w:spacing w:before="27"/>
        <w:ind w:left="110"/>
        <w:rPr>
          <w:rFonts w:ascii="Arial-BoldItalicMT"/>
          <w:b/>
          <w:i/>
          <w:sz w:val="18"/>
          <w:szCs w:val="18"/>
        </w:rPr>
      </w:pPr>
      <w:r w:rsidRPr="003E6588">
        <w:rPr>
          <w:rFonts w:ascii="Arial-BoldItalicMT"/>
          <w:b/>
          <w:i/>
          <w:color w:val="231F20"/>
          <w:spacing w:val="-2"/>
          <w:sz w:val="18"/>
          <w:szCs w:val="18"/>
        </w:rPr>
        <w:t>Notes:</w:t>
      </w:r>
    </w:p>
    <w:p w14:paraId="2AF75CDB" w14:textId="77777777" w:rsidR="00345EE3" w:rsidRPr="003E6588" w:rsidRDefault="00345EE3">
      <w:pPr>
        <w:pStyle w:val="ListParagraph"/>
        <w:numPr>
          <w:ilvl w:val="0"/>
          <w:numId w:val="88"/>
        </w:numPr>
        <w:tabs>
          <w:tab w:val="left" w:pos="338"/>
        </w:tabs>
        <w:spacing w:before="28"/>
        <w:ind w:right="1041"/>
        <w:rPr>
          <w:sz w:val="18"/>
          <w:szCs w:val="18"/>
        </w:rPr>
      </w:pPr>
      <w:r w:rsidRPr="003E6588">
        <w:rPr>
          <w:color w:val="231F20"/>
          <w:sz w:val="18"/>
          <w:szCs w:val="18"/>
        </w:rPr>
        <w:t>The road safety offences category encompasses a range of offences including, but not limited to, exceeding the speed limit, unauthorised driving (unlicensed,</w:t>
      </w:r>
      <w:r w:rsidRPr="003E6588">
        <w:rPr>
          <w:color w:val="231F20"/>
          <w:spacing w:val="40"/>
          <w:sz w:val="18"/>
          <w:szCs w:val="18"/>
        </w:rPr>
        <w:t xml:space="preserve"> </w:t>
      </w:r>
      <w:r w:rsidRPr="003E6588">
        <w:rPr>
          <w:color w:val="231F20"/>
          <w:sz w:val="18"/>
          <w:szCs w:val="18"/>
        </w:rPr>
        <w:t>disqualified), driving without a seatbelt and unlawful use of a mobile phone.</w:t>
      </w:r>
    </w:p>
    <w:p w14:paraId="6EB21539" w14:textId="77777777" w:rsidR="00345EE3" w:rsidRPr="003E6588" w:rsidRDefault="00345EE3">
      <w:pPr>
        <w:pStyle w:val="ListParagraph"/>
        <w:numPr>
          <w:ilvl w:val="0"/>
          <w:numId w:val="88"/>
        </w:numPr>
        <w:tabs>
          <w:tab w:val="left" w:pos="338"/>
        </w:tabs>
        <w:spacing w:before="26"/>
        <w:ind w:right="957"/>
        <w:rPr>
          <w:sz w:val="18"/>
          <w:szCs w:val="18"/>
        </w:rPr>
      </w:pPr>
      <w:r w:rsidRPr="003E6588">
        <w:rPr>
          <w:color w:val="231F20"/>
          <w:sz w:val="18"/>
          <w:szCs w:val="18"/>
        </w:rPr>
        <w:t>Operation</w:t>
      </w:r>
      <w:r w:rsidRPr="003E6588">
        <w:rPr>
          <w:color w:val="231F20"/>
          <w:spacing w:val="-1"/>
          <w:sz w:val="18"/>
          <w:szCs w:val="18"/>
        </w:rPr>
        <w:t xml:space="preserve"> </w:t>
      </w:r>
      <w:r w:rsidRPr="003E6588">
        <w:rPr>
          <w:color w:val="231F20"/>
          <w:sz w:val="18"/>
          <w:szCs w:val="18"/>
        </w:rPr>
        <w:t>Engage</w:t>
      </w:r>
      <w:r w:rsidRPr="003E6588">
        <w:rPr>
          <w:color w:val="231F20"/>
          <w:spacing w:val="-1"/>
          <w:sz w:val="18"/>
          <w:szCs w:val="18"/>
        </w:rPr>
        <w:t xml:space="preserve"> </w:t>
      </w:r>
      <w:r w:rsidRPr="003E6588">
        <w:rPr>
          <w:color w:val="231F20"/>
          <w:sz w:val="18"/>
          <w:szCs w:val="18"/>
        </w:rPr>
        <w:t>was</w:t>
      </w:r>
      <w:r w:rsidRPr="003E6588">
        <w:rPr>
          <w:color w:val="231F20"/>
          <w:spacing w:val="-1"/>
          <w:sz w:val="18"/>
          <w:szCs w:val="18"/>
        </w:rPr>
        <w:t xml:space="preserve"> </w:t>
      </w:r>
      <w:r w:rsidRPr="003E6588">
        <w:rPr>
          <w:color w:val="231F20"/>
          <w:sz w:val="18"/>
          <w:szCs w:val="18"/>
        </w:rPr>
        <w:t>a</w:t>
      </w:r>
      <w:r w:rsidRPr="003E6588">
        <w:rPr>
          <w:color w:val="231F20"/>
          <w:spacing w:val="-1"/>
          <w:sz w:val="18"/>
          <w:szCs w:val="18"/>
        </w:rPr>
        <w:t xml:space="preserve"> </w:t>
      </w:r>
      <w:r w:rsidRPr="003E6588">
        <w:rPr>
          <w:color w:val="231F20"/>
          <w:sz w:val="18"/>
          <w:szCs w:val="18"/>
        </w:rPr>
        <w:t>Road</w:t>
      </w:r>
      <w:r w:rsidRPr="003E6588">
        <w:rPr>
          <w:color w:val="231F20"/>
          <w:spacing w:val="-1"/>
          <w:sz w:val="18"/>
          <w:szCs w:val="18"/>
        </w:rPr>
        <w:t xml:space="preserve"> </w:t>
      </w:r>
      <w:r w:rsidRPr="003E6588">
        <w:rPr>
          <w:color w:val="231F20"/>
          <w:sz w:val="18"/>
          <w:szCs w:val="18"/>
        </w:rPr>
        <w:t>Policing</w:t>
      </w:r>
      <w:r w:rsidRPr="003E6588">
        <w:rPr>
          <w:color w:val="231F20"/>
          <w:spacing w:val="-1"/>
          <w:sz w:val="18"/>
          <w:szCs w:val="18"/>
        </w:rPr>
        <w:t xml:space="preserve"> </w:t>
      </w:r>
      <w:r w:rsidRPr="003E6588">
        <w:rPr>
          <w:color w:val="231F20"/>
          <w:sz w:val="18"/>
          <w:szCs w:val="18"/>
        </w:rPr>
        <w:t>Command</w:t>
      </w:r>
      <w:r w:rsidRPr="003E6588">
        <w:rPr>
          <w:color w:val="231F20"/>
          <w:spacing w:val="-1"/>
          <w:sz w:val="18"/>
          <w:szCs w:val="18"/>
        </w:rPr>
        <w:t xml:space="preserve"> </w:t>
      </w:r>
      <w:r w:rsidRPr="003E6588">
        <w:rPr>
          <w:color w:val="231F20"/>
          <w:sz w:val="18"/>
          <w:szCs w:val="18"/>
        </w:rPr>
        <w:t>operation</w:t>
      </w:r>
      <w:r w:rsidRPr="003E6588">
        <w:rPr>
          <w:color w:val="231F20"/>
          <w:spacing w:val="-1"/>
          <w:sz w:val="18"/>
          <w:szCs w:val="18"/>
        </w:rPr>
        <w:t xml:space="preserve"> </w:t>
      </w:r>
      <w:r w:rsidRPr="003E6588">
        <w:rPr>
          <w:color w:val="231F20"/>
          <w:sz w:val="18"/>
          <w:szCs w:val="18"/>
        </w:rPr>
        <w:t>in</w:t>
      </w:r>
      <w:r w:rsidRPr="003E6588">
        <w:rPr>
          <w:color w:val="231F20"/>
          <w:spacing w:val="-1"/>
          <w:sz w:val="18"/>
          <w:szCs w:val="18"/>
        </w:rPr>
        <w:t xml:space="preserve"> </w:t>
      </w:r>
      <w:r w:rsidRPr="003E6588">
        <w:rPr>
          <w:color w:val="231F20"/>
          <w:sz w:val="18"/>
          <w:szCs w:val="18"/>
        </w:rPr>
        <w:t>response</w:t>
      </w:r>
      <w:r w:rsidRPr="003E6588">
        <w:rPr>
          <w:color w:val="231F20"/>
          <w:spacing w:val="-1"/>
          <w:sz w:val="18"/>
          <w:szCs w:val="18"/>
        </w:rPr>
        <w:t xml:space="preserve"> </w:t>
      </w:r>
      <w:r w:rsidRPr="003E6588">
        <w:rPr>
          <w:color w:val="231F20"/>
          <w:sz w:val="18"/>
          <w:szCs w:val="18"/>
        </w:rPr>
        <w:t>to</w:t>
      </w:r>
      <w:r w:rsidRPr="003E6588">
        <w:rPr>
          <w:color w:val="231F20"/>
          <w:spacing w:val="-1"/>
          <w:sz w:val="18"/>
          <w:szCs w:val="18"/>
        </w:rPr>
        <w:t xml:space="preserve"> </w:t>
      </w:r>
      <w:r w:rsidRPr="003E6588">
        <w:rPr>
          <w:color w:val="231F20"/>
          <w:sz w:val="18"/>
          <w:szCs w:val="18"/>
        </w:rPr>
        <w:t>high</w:t>
      </w:r>
      <w:r w:rsidRPr="003E6588">
        <w:rPr>
          <w:color w:val="231F20"/>
          <w:spacing w:val="-1"/>
          <w:sz w:val="18"/>
          <w:szCs w:val="18"/>
        </w:rPr>
        <w:t xml:space="preserve"> </w:t>
      </w:r>
      <w:r w:rsidRPr="003E6588">
        <w:rPr>
          <w:color w:val="231F20"/>
          <w:sz w:val="18"/>
          <w:szCs w:val="18"/>
        </w:rPr>
        <w:t>risk</w:t>
      </w:r>
      <w:r w:rsidRPr="003E6588">
        <w:rPr>
          <w:color w:val="231F20"/>
          <w:spacing w:val="-1"/>
          <w:sz w:val="18"/>
          <w:szCs w:val="18"/>
        </w:rPr>
        <w:t xml:space="preserve"> </w:t>
      </w:r>
      <w:r w:rsidRPr="003E6588">
        <w:rPr>
          <w:color w:val="231F20"/>
          <w:sz w:val="18"/>
          <w:szCs w:val="18"/>
        </w:rPr>
        <w:t>of</w:t>
      </w:r>
      <w:r w:rsidRPr="003E6588">
        <w:rPr>
          <w:color w:val="231F20"/>
          <w:spacing w:val="-1"/>
          <w:sz w:val="18"/>
          <w:szCs w:val="18"/>
        </w:rPr>
        <w:t xml:space="preserve"> </w:t>
      </w:r>
      <w:r w:rsidRPr="003E6588">
        <w:rPr>
          <w:color w:val="231F20"/>
          <w:sz w:val="18"/>
          <w:szCs w:val="18"/>
        </w:rPr>
        <w:t>road</w:t>
      </w:r>
      <w:r w:rsidRPr="003E6588">
        <w:rPr>
          <w:color w:val="231F20"/>
          <w:spacing w:val="-1"/>
          <w:sz w:val="18"/>
          <w:szCs w:val="18"/>
        </w:rPr>
        <w:t xml:space="preserve"> </w:t>
      </w:r>
      <w:r w:rsidRPr="003E6588">
        <w:rPr>
          <w:color w:val="231F20"/>
          <w:sz w:val="18"/>
          <w:szCs w:val="18"/>
        </w:rPr>
        <w:t>trauma</w:t>
      </w:r>
      <w:r w:rsidRPr="003E6588">
        <w:rPr>
          <w:color w:val="231F20"/>
          <w:spacing w:val="-1"/>
          <w:sz w:val="18"/>
          <w:szCs w:val="18"/>
        </w:rPr>
        <w:t xml:space="preserve"> </w:t>
      </w:r>
      <w:r w:rsidRPr="003E6588">
        <w:rPr>
          <w:color w:val="231F20"/>
          <w:sz w:val="18"/>
          <w:szCs w:val="18"/>
        </w:rPr>
        <w:t>and</w:t>
      </w:r>
      <w:r w:rsidRPr="003E6588">
        <w:rPr>
          <w:color w:val="231F20"/>
          <w:spacing w:val="-1"/>
          <w:sz w:val="18"/>
          <w:szCs w:val="18"/>
        </w:rPr>
        <w:t xml:space="preserve"> </w:t>
      </w:r>
      <w:r w:rsidRPr="003E6588">
        <w:rPr>
          <w:color w:val="231F20"/>
          <w:sz w:val="18"/>
          <w:szCs w:val="18"/>
        </w:rPr>
        <w:t>an</w:t>
      </w:r>
      <w:r w:rsidRPr="003E6588">
        <w:rPr>
          <w:color w:val="231F20"/>
          <w:spacing w:val="-1"/>
          <w:sz w:val="18"/>
          <w:szCs w:val="18"/>
        </w:rPr>
        <w:t xml:space="preserve"> </w:t>
      </w:r>
      <w:r w:rsidRPr="003E6588">
        <w:rPr>
          <w:color w:val="231F20"/>
          <w:sz w:val="18"/>
          <w:szCs w:val="18"/>
        </w:rPr>
        <w:t>increase</w:t>
      </w:r>
      <w:r w:rsidRPr="003E6588">
        <w:rPr>
          <w:color w:val="231F20"/>
          <w:spacing w:val="-1"/>
          <w:sz w:val="18"/>
          <w:szCs w:val="18"/>
        </w:rPr>
        <w:t xml:space="preserve"> </w:t>
      </w:r>
      <w:r w:rsidRPr="003E6588">
        <w:rPr>
          <w:color w:val="231F20"/>
          <w:sz w:val="18"/>
          <w:szCs w:val="18"/>
        </w:rPr>
        <w:t>in</w:t>
      </w:r>
      <w:r w:rsidRPr="003E6588">
        <w:rPr>
          <w:color w:val="231F20"/>
          <w:spacing w:val="-1"/>
          <w:sz w:val="18"/>
          <w:szCs w:val="18"/>
        </w:rPr>
        <w:t xml:space="preserve"> </w:t>
      </w:r>
      <w:r w:rsidRPr="003E6588">
        <w:rPr>
          <w:color w:val="231F20"/>
          <w:sz w:val="18"/>
          <w:szCs w:val="18"/>
        </w:rPr>
        <w:t>lives</w:t>
      </w:r>
      <w:r w:rsidRPr="003E6588">
        <w:rPr>
          <w:color w:val="231F20"/>
          <w:spacing w:val="-1"/>
          <w:sz w:val="18"/>
          <w:szCs w:val="18"/>
        </w:rPr>
        <w:t xml:space="preserve"> </w:t>
      </w:r>
      <w:r w:rsidRPr="003E6588">
        <w:rPr>
          <w:color w:val="231F20"/>
          <w:sz w:val="18"/>
          <w:szCs w:val="18"/>
        </w:rPr>
        <w:t>conducted</w:t>
      </w:r>
      <w:r w:rsidRPr="003E6588">
        <w:rPr>
          <w:color w:val="231F20"/>
          <w:spacing w:val="-1"/>
          <w:sz w:val="18"/>
          <w:szCs w:val="18"/>
        </w:rPr>
        <w:t xml:space="preserve"> </w:t>
      </w:r>
      <w:r w:rsidRPr="003E6588">
        <w:rPr>
          <w:color w:val="231F20"/>
          <w:sz w:val="18"/>
          <w:szCs w:val="18"/>
        </w:rPr>
        <w:t>in</w:t>
      </w:r>
      <w:r w:rsidRPr="003E6588">
        <w:rPr>
          <w:color w:val="231F20"/>
          <w:spacing w:val="-1"/>
          <w:sz w:val="18"/>
          <w:szCs w:val="18"/>
        </w:rPr>
        <w:t xml:space="preserve"> </w:t>
      </w:r>
      <w:r w:rsidRPr="003E6588">
        <w:rPr>
          <w:color w:val="231F20"/>
          <w:sz w:val="18"/>
          <w:szCs w:val="18"/>
        </w:rPr>
        <w:t>addition</w:t>
      </w:r>
      <w:r w:rsidRPr="003E6588">
        <w:rPr>
          <w:color w:val="231F20"/>
          <w:spacing w:val="-1"/>
          <w:sz w:val="18"/>
          <w:szCs w:val="18"/>
        </w:rPr>
        <w:t xml:space="preserve"> </w:t>
      </w:r>
      <w:r w:rsidRPr="003E6588">
        <w:rPr>
          <w:color w:val="231F20"/>
          <w:sz w:val="18"/>
          <w:szCs w:val="18"/>
        </w:rPr>
        <w:t>to</w:t>
      </w:r>
      <w:r w:rsidRPr="003E6588">
        <w:rPr>
          <w:color w:val="231F20"/>
          <w:spacing w:val="-1"/>
          <w:sz w:val="18"/>
          <w:szCs w:val="18"/>
        </w:rPr>
        <w:t xml:space="preserve"> </w:t>
      </w:r>
      <w:r w:rsidRPr="003E6588">
        <w:rPr>
          <w:color w:val="231F20"/>
          <w:sz w:val="18"/>
          <w:szCs w:val="18"/>
        </w:rPr>
        <w:t>Operation</w:t>
      </w:r>
      <w:r w:rsidRPr="003E6588">
        <w:rPr>
          <w:color w:val="231F20"/>
          <w:spacing w:val="40"/>
          <w:sz w:val="18"/>
          <w:szCs w:val="18"/>
        </w:rPr>
        <w:t xml:space="preserve"> </w:t>
      </w:r>
      <w:r w:rsidRPr="003E6588">
        <w:rPr>
          <w:color w:val="231F20"/>
          <w:sz w:val="18"/>
          <w:szCs w:val="18"/>
        </w:rPr>
        <w:t>Arid, which was a state-wide Road Policing Operation.</w:t>
      </w:r>
    </w:p>
    <w:p w14:paraId="40E5197A" w14:textId="77777777" w:rsidR="00345EE3" w:rsidRPr="003E6588" w:rsidRDefault="00345EE3">
      <w:pPr>
        <w:pStyle w:val="ListParagraph"/>
        <w:numPr>
          <w:ilvl w:val="0"/>
          <w:numId w:val="88"/>
        </w:numPr>
        <w:tabs>
          <w:tab w:val="left" w:pos="338"/>
        </w:tabs>
        <w:spacing w:before="26"/>
        <w:ind w:right="973"/>
        <w:rPr>
          <w:sz w:val="18"/>
          <w:szCs w:val="18"/>
        </w:rPr>
      </w:pPr>
      <w:r w:rsidRPr="003E6588">
        <w:rPr>
          <w:color w:val="231F20"/>
          <w:sz w:val="18"/>
          <w:szCs w:val="18"/>
        </w:rPr>
        <w:t>Operation</w:t>
      </w:r>
      <w:r w:rsidRPr="003E6588">
        <w:rPr>
          <w:color w:val="231F20"/>
          <w:spacing w:val="-1"/>
          <w:sz w:val="18"/>
          <w:szCs w:val="18"/>
        </w:rPr>
        <w:t xml:space="preserve"> </w:t>
      </w:r>
      <w:r w:rsidRPr="003E6588">
        <w:rPr>
          <w:color w:val="231F20"/>
          <w:sz w:val="18"/>
          <w:szCs w:val="18"/>
        </w:rPr>
        <w:t>Compass</w:t>
      </w:r>
      <w:r w:rsidRPr="003E6588">
        <w:rPr>
          <w:color w:val="231F20"/>
          <w:spacing w:val="-1"/>
          <w:sz w:val="18"/>
          <w:szCs w:val="18"/>
        </w:rPr>
        <w:t xml:space="preserve"> </w:t>
      </w:r>
      <w:r w:rsidRPr="003E6588">
        <w:rPr>
          <w:color w:val="231F20"/>
          <w:sz w:val="18"/>
          <w:szCs w:val="18"/>
        </w:rPr>
        <w:t>2021</w:t>
      </w:r>
      <w:r w:rsidRPr="003E6588">
        <w:rPr>
          <w:color w:val="231F20"/>
          <w:spacing w:val="-1"/>
          <w:sz w:val="18"/>
          <w:szCs w:val="18"/>
        </w:rPr>
        <w:t xml:space="preserve"> </w:t>
      </w:r>
      <w:r w:rsidRPr="003E6588">
        <w:rPr>
          <w:color w:val="231F20"/>
          <w:sz w:val="18"/>
          <w:szCs w:val="18"/>
        </w:rPr>
        <w:t>was</w:t>
      </w:r>
      <w:r w:rsidRPr="003E6588">
        <w:rPr>
          <w:color w:val="231F20"/>
          <w:spacing w:val="-1"/>
          <w:sz w:val="18"/>
          <w:szCs w:val="18"/>
        </w:rPr>
        <w:t xml:space="preserve"> </w:t>
      </w:r>
      <w:r w:rsidRPr="003E6588">
        <w:rPr>
          <w:color w:val="231F20"/>
          <w:sz w:val="18"/>
          <w:szCs w:val="18"/>
        </w:rPr>
        <w:t>conducted</w:t>
      </w:r>
      <w:r w:rsidRPr="003E6588">
        <w:rPr>
          <w:color w:val="231F20"/>
          <w:spacing w:val="-1"/>
          <w:sz w:val="18"/>
          <w:szCs w:val="18"/>
        </w:rPr>
        <w:t xml:space="preserve"> </w:t>
      </w:r>
      <w:r w:rsidRPr="003E6588">
        <w:rPr>
          <w:color w:val="231F20"/>
          <w:sz w:val="18"/>
          <w:szCs w:val="18"/>
        </w:rPr>
        <w:t>over</w:t>
      </w:r>
      <w:r w:rsidRPr="003E6588">
        <w:rPr>
          <w:color w:val="231F20"/>
          <w:spacing w:val="-1"/>
          <w:sz w:val="18"/>
          <w:szCs w:val="18"/>
        </w:rPr>
        <w:t xml:space="preserve"> </w:t>
      </w:r>
      <w:r w:rsidRPr="003E6588">
        <w:rPr>
          <w:color w:val="231F20"/>
          <w:sz w:val="18"/>
          <w:szCs w:val="18"/>
        </w:rPr>
        <w:t>29</w:t>
      </w:r>
      <w:r w:rsidRPr="003E6588">
        <w:rPr>
          <w:color w:val="231F20"/>
          <w:spacing w:val="-1"/>
          <w:sz w:val="18"/>
          <w:szCs w:val="18"/>
        </w:rPr>
        <w:t xml:space="preserve"> </w:t>
      </w:r>
      <w:r w:rsidRPr="003E6588">
        <w:rPr>
          <w:color w:val="231F20"/>
          <w:sz w:val="18"/>
          <w:szCs w:val="18"/>
        </w:rPr>
        <w:t>October–2</w:t>
      </w:r>
      <w:r w:rsidRPr="003E6588">
        <w:rPr>
          <w:color w:val="231F20"/>
          <w:spacing w:val="-1"/>
          <w:sz w:val="18"/>
          <w:szCs w:val="18"/>
        </w:rPr>
        <w:t xml:space="preserve"> </w:t>
      </w:r>
      <w:r w:rsidRPr="003E6588">
        <w:rPr>
          <w:color w:val="231F20"/>
          <w:sz w:val="18"/>
          <w:szCs w:val="18"/>
        </w:rPr>
        <w:t>November</w:t>
      </w:r>
      <w:r w:rsidRPr="003E6588">
        <w:rPr>
          <w:color w:val="231F20"/>
          <w:spacing w:val="-1"/>
          <w:sz w:val="18"/>
          <w:szCs w:val="18"/>
        </w:rPr>
        <w:t xml:space="preserve"> </w:t>
      </w:r>
      <w:r w:rsidRPr="003E6588">
        <w:rPr>
          <w:color w:val="231F20"/>
          <w:sz w:val="18"/>
          <w:szCs w:val="18"/>
        </w:rPr>
        <w:t>2021</w:t>
      </w:r>
      <w:r w:rsidRPr="003E6588">
        <w:rPr>
          <w:color w:val="231F20"/>
          <w:spacing w:val="-1"/>
          <w:sz w:val="18"/>
          <w:szCs w:val="18"/>
        </w:rPr>
        <w:t xml:space="preserve"> </w:t>
      </w:r>
      <w:r w:rsidRPr="003E6588">
        <w:rPr>
          <w:color w:val="231F20"/>
          <w:sz w:val="18"/>
          <w:szCs w:val="18"/>
        </w:rPr>
        <w:t>and</w:t>
      </w:r>
      <w:r w:rsidRPr="003E6588">
        <w:rPr>
          <w:color w:val="231F20"/>
          <w:spacing w:val="-1"/>
          <w:sz w:val="18"/>
          <w:szCs w:val="18"/>
        </w:rPr>
        <w:t xml:space="preserve"> </w:t>
      </w:r>
      <w:r w:rsidRPr="003E6588">
        <w:rPr>
          <w:color w:val="231F20"/>
          <w:sz w:val="18"/>
          <w:szCs w:val="18"/>
        </w:rPr>
        <w:t>5–7</w:t>
      </w:r>
      <w:r w:rsidRPr="003E6588">
        <w:rPr>
          <w:color w:val="231F20"/>
          <w:spacing w:val="-1"/>
          <w:sz w:val="18"/>
          <w:szCs w:val="18"/>
        </w:rPr>
        <w:t xml:space="preserve"> </w:t>
      </w:r>
      <w:r w:rsidRPr="003E6588">
        <w:rPr>
          <w:color w:val="231F20"/>
          <w:sz w:val="18"/>
          <w:szCs w:val="18"/>
        </w:rPr>
        <w:t>November</w:t>
      </w:r>
      <w:r w:rsidRPr="003E6588">
        <w:rPr>
          <w:color w:val="231F20"/>
          <w:spacing w:val="-1"/>
          <w:sz w:val="18"/>
          <w:szCs w:val="18"/>
        </w:rPr>
        <w:t xml:space="preserve"> </w:t>
      </w:r>
      <w:r w:rsidRPr="003E6588">
        <w:rPr>
          <w:color w:val="231F20"/>
          <w:sz w:val="18"/>
          <w:szCs w:val="18"/>
        </w:rPr>
        <w:t>2021,</w:t>
      </w:r>
      <w:r w:rsidRPr="003E6588">
        <w:rPr>
          <w:color w:val="231F20"/>
          <w:spacing w:val="-1"/>
          <w:sz w:val="18"/>
          <w:szCs w:val="18"/>
        </w:rPr>
        <w:t xml:space="preserve"> </w:t>
      </w:r>
      <w:r w:rsidRPr="003E6588">
        <w:rPr>
          <w:color w:val="231F20"/>
          <w:sz w:val="18"/>
          <w:szCs w:val="18"/>
        </w:rPr>
        <w:t>including</w:t>
      </w:r>
      <w:r w:rsidRPr="003E6588">
        <w:rPr>
          <w:color w:val="231F20"/>
          <w:spacing w:val="-1"/>
          <w:sz w:val="18"/>
          <w:szCs w:val="18"/>
        </w:rPr>
        <w:t xml:space="preserve"> </w:t>
      </w:r>
      <w:r w:rsidRPr="003E6588">
        <w:rPr>
          <w:color w:val="231F20"/>
          <w:sz w:val="18"/>
          <w:szCs w:val="18"/>
        </w:rPr>
        <w:t>the</w:t>
      </w:r>
      <w:r w:rsidRPr="003E6588">
        <w:rPr>
          <w:color w:val="231F20"/>
          <w:spacing w:val="-1"/>
          <w:sz w:val="18"/>
          <w:szCs w:val="18"/>
        </w:rPr>
        <w:t xml:space="preserve"> </w:t>
      </w:r>
      <w:r w:rsidRPr="003E6588">
        <w:rPr>
          <w:color w:val="231F20"/>
          <w:sz w:val="18"/>
          <w:szCs w:val="18"/>
        </w:rPr>
        <w:t>Melbourne</w:t>
      </w:r>
      <w:r w:rsidRPr="003E6588">
        <w:rPr>
          <w:color w:val="231F20"/>
          <w:spacing w:val="-1"/>
          <w:sz w:val="18"/>
          <w:szCs w:val="18"/>
        </w:rPr>
        <w:t xml:space="preserve"> </w:t>
      </w:r>
      <w:r w:rsidRPr="003E6588">
        <w:rPr>
          <w:color w:val="231F20"/>
          <w:sz w:val="18"/>
          <w:szCs w:val="18"/>
        </w:rPr>
        <w:t>Cup</w:t>
      </w:r>
      <w:r w:rsidRPr="003E6588">
        <w:rPr>
          <w:color w:val="231F20"/>
          <w:spacing w:val="-1"/>
          <w:sz w:val="18"/>
          <w:szCs w:val="18"/>
        </w:rPr>
        <w:t xml:space="preserve"> </w:t>
      </w:r>
      <w:r w:rsidRPr="003E6588">
        <w:rPr>
          <w:color w:val="231F20"/>
          <w:sz w:val="18"/>
          <w:szCs w:val="18"/>
        </w:rPr>
        <w:t>long</w:t>
      </w:r>
      <w:r w:rsidRPr="003E6588">
        <w:rPr>
          <w:color w:val="231F20"/>
          <w:spacing w:val="-1"/>
          <w:sz w:val="18"/>
          <w:szCs w:val="18"/>
        </w:rPr>
        <w:t xml:space="preserve"> </w:t>
      </w:r>
      <w:r w:rsidRPr="003E6588">
        <w:rPr>
          <w:color w:val="231F20"/>
          <w:sz w:val="18"/>
          <w:szCs w:val="18"/>
        </w:rPr>
        <w:t>weekend;</w:t>
      </w:r>
      <w:r w:rsidRPr="003E6588">
        <w:rPr>
          <w:color w:val="231F20"/>
          <w:spacing w:val="-1"/>
          <w:sz w:val="18"/>
          <w:szCs w:val="18"/>
        </w:rPr>
        <w:t xml:space="preserve"> </w:t>
      </w:r>
      <w:r w:rsidRPr="003E6588">
        <w:rPr>
          <w:color w:val="231F20"/>
          <w:sz w:val="18"/>
          <w:szCs w:val="18"/>
        </w:rPr>
        <w:t>Operation</w:t>
      </w:r>
      <w:r w:rsidRPr="003E6588">
        <w:rPr>
          <w:color w:val="231F20"/>
          <w:spacing w:val="40"/>
          <w:sz w:val="18"/>
          <w:szCs w:val="18"/>
        </w:rPr>
        <w:t xml:space="preserve"> </w:t>
      </w:r>
      <w:r w:rsidRPr="003E6588">
        <w:rPr>
          <w:color w:val="231F20"/>
          <w:sz w:val="18"/>
          <w:szCs w:val="18"/>
        </w:rPr>
        <w:t>Compass 2022 was conducted over 14–18 April 2022 and 22–25 April 2022, including the Easter and ANZAC Day long weekends.</w:t>
      </w:r>
    </w:p>
    <w:p w14:paraId="300F3B35" w14:textId="77777777" w:rsidR="00345EE3" w:rsidRPr="003E6588" w:rsidRDefault="00345EE3" w:rsidP="00345EE3">
      <w:pPr>
        <w:rPr>
          <w:sz w:val="18"/>
          <w:szCs w:val="18"/>
        </w:rPr>
      </w:pPr>
      <w:r w:rsidRPr="003E6588">
        <w:rPr>
          <w:sz w:val="18"/>
          <w:szCs w:val="18"/>
        </w:rPr>
        <w:br w:type="page"/>
      </w:r>
    </w:p>
    <w:p w14:paraId="535F2A95" w14:textId="77777777" w:rsidR="00345EE3" w:rsidRPr="002A27BA" w:rsidRDefault="00345EE3" w:rsidP="00345EE3">
      <w:pPr>
        <w:pStyle w:val="Heading2"/>
        <w:spacing w:before="0"/>
        <w:rPr>
          <w:sz w:val="32"/>
          <w:szCs w:val="32"/>
        </w:rPr>
      </w:pPr>
      <w:r w:rsidRPr="002A27BA">
        <w:rPr>
          <w:color w:val="00529F"/>
          <w:spacing w:val="-2"/>
          <w:sz w:val="32"/>
          <w:szCs w:val="32"/>
        </w:rPr>
        <w:t>Financial</w:t>
      </w:r>
      <w:r w:rsidRPr="002A27BA">
        <w:rPr>
          <w:color w:val="00529F"/>
          <w:spacing w:val="-5"/>
          <w:sz w:val="32"/>
          <w:szCs w:val="32"/>
        </w:rPr>
        <w:t xml:space="preserve"> </w:t>
      </w:r>
      <w:r w:rsidRPr="002A27BA">
        <w:rPr>
          <w:color w:val="00529F"/>
          <w:spacing w:val="-2"/>
          <w:sz w:val="32"/>
          <w:szCs w:val="32"/>
        </w:rPr>
        <w:t>Performance</w:t>
      </w:r>
    </w:p>
    <w:p w14:paraId="04F1772A" w14:textId="77777777" w:rsidR="00345EE3" w:rsidRDefault="00345EE3" w:rsidP="00345EE3">
      <w:pPr>
        <w:spacing w:before="78"/>
        <w:ind w:left="110"/>
        <w:rPr>
          <w:rFonts w:ascii="Arial-BoldItalicMT"/>
          <w:b/>
          <w:i/>
          <w:sz w:val="18"/>
        </w:rPr>
      </w:pPr>
      <w:r>
        <w:rPr>
          <w:color w:val="231F20"/>
          <w:sz w:val="18"/>
        </w:rPr>
        <w:t>Table</w:t>
      </w:r>
      <w:r>
        <w:rPr>
          <w:color w:val="231F20"/>
          <w:spacing w:val="-12"/>
          <w:sz w:val="18"/>
        </w:rPr>
        <w:t xml:space="preserve"> </w:t>
      </w:r>
      <w:r>
        <w:rPr>
          <w:color w:val="231F20"/>
          <w:sz w:val="18"/>
        </w:rPr>
        <w:t>3.10:</w:t>
      </w:r>
      <w:r>
        <w:rPr>
          <w:color w:val="231F20"/>
          <w:spacing w:val="-10"/>
          <w:sz w:val="18"/>
        </w:rPr>
        <w:t xml:space="preserve"> </w:t>
      </w:r>
      <w:r>
        <w:rPr>
          <w:rFonts w:ascii="Arial-BoldItalicMT"/>
          <w:b/>
          <w:i/>
          <w:color w:val="231F20"/>
          <w:sz w:val="18"/>
        </w:rPr>
        <w:t>Five</w:t>
      </w:r>
      <w:r>
        <w:rPr>
          <w:rFonts w:ascii="Arial-BoldItalicMT"/>
          <w:b/>
          <w:i/>
          <w:color w:val="231F20"/>
          <w:spacing w:val="-12"/>
          <w:sz w:val="18"/>
        </w:rPr>
        <w:t xml:space="preserve"> </w:t>
      </w:r>
      <w:r>
        <w:rPr>
          <w:rFonts w:ascii="Arial-BoldItalicMT"/>
          <w:b/>
          <w:i/>
          <w:color w:val="231F20"/>
          <w:sz w:val="18"/>
        </w:rPr>
        <w:t>Year</w:t>
      </w:r>
      <w:r>
        <w:rPr>
          <w:rFonts w:ascii="Arial-BoldItalicMT"/>
          <w:b/>
          <w:i/>
          <w:color w:val="231F20"/>
          <w:spacing w:val="-13"/>
          <w:sz w:val="18"/>
        </w:rPr>
        <w:t xml:space="preserve"> </w:t>
      </w:r>
      <w:r>
        <w:rPr>
          <w:rFonts w:ascii="Arial-BoldItalicMT"/>
          <w:b/>
          <w:i/>
          <w:color w:val="231F20"/>
          <w:sz w:val="18"/>
        </w:rPr>
        <w:t>Financial</w:t>
      </w:r>
      <w:r>
        <w:rPr>
          <w:rFonts w:ascii="Arial-BoldItalicMT"/>
          <w:b/>
          <w:i/>
          <w:color w:val="231F20"/>
          <w:spacing w:val="-12"/>
          <w:sz w:val="18"/>
        </w:rPr>
        <w:t xml:space="preserve"> </w:t>
      </w:r>
      <w:r>
        <w:rPr>
          <w:rFonts w:ascii="Arial-BoldItalicMT"/>
          <w:b/>
          <w:i/>
          <w:color w:val="231F20"/>
          <w:spacing w:val="-2"/>
          <w:sz w:val="18"/>
        </w:rPr>
        <w:t>Summary</w:t>
      </w:r>
    </w:p>
    <w:tbl>
      <w:tblPr>
        <w:tblW w:w="0" w:type="auto"/>
        <w:tblInd w:w="-8" w:type="dxa"/>
        <w:tblLayout w:type="fixed"/>
        <w:tblCellMar>
          <w:left w:w="0" w:type="dxa"/>
          <w:right w:w="0" w:type="dxa"/>
        </w:tblCellMar>
        <w:tblLook w:val="0000" w:firstRow="0" w:lastRow="0" w:firstColumn="0" w:lastColumn="0" w:noHBand="0" w:noVBand="0"/>
      </w:tblPr>
      <w:tblGrid>
        <w:gridCol w:w="4252"/>
        <w:gridCol w:w="1191"/>
        <w:gridCol w:w="1190"/>
        <w:gridCol w:w="1191"/>
        <w:gridCol w:w="1190"/>
        <w:gridCol w:w="1191"/>
      </w:tblGrid>
      <w:tr w:rsidR="0052306E" w:rsidRPr="0052306E" w14:paraId="1BEF8453" w14:textId="77777777" w:rsidTr="0052306E">
        <w:trPr>
          <w:trHeight w:val="60"/>
          <w:tblHeader/>
        </w:trPr>
        <w:tc>
          <w:tcPr>
            <w:tcW w:w="4252" w:type="dxa"/>
            <w:tcBorders>
              <w:top w:val="single" w:sz="6" w:space="0" w:color="000000"/>
              <w:left w:val="single" w:sz="6" w:space="0" w:color="000000"/>
              <w:bottom w:val="single" w:sz="6" w:space="0" w:color="9D9C9C"/>
              <w:right w:val="single" w:sz="2" w:space="0" w:color="FFFFFF"/>
            </w:tcBorders>
            <w:shd w:val="solid" w:color="004996" w:fill="auto"/>
            <w:tcMar>
              <w:top w:w="57" w:type="dxa"/>
              <w:left w:w="14" w:type="dxa"/>
              <w:bottom w:w="57" w:type="dxa"/>
              <w:right w:w="14" w:type="dxa"/>
            </w:tcMar>
          </w:tcPr>
          <w:p w14:paraId="017E3E4D" w14:textId="77777777" w:rsidR="0052306E" w:rsidRPr="0052306E" w:rsidRDefault="0052306E" w:rsidP="0052306E">
            <w:pPr>
              <w:widowControl/>
              <w:adjustRightInd w:val="0"/>
              <w:rPr>
                <w:rFonts w:eastAsia="Myriad Pro"/>
                <w:sz w:val="24"/>
                <w:szCs w:val="24"/>
                <w:lang w:val="en-GB"/>
              </w:rPr>
            </w:pPr>
          </w:p>
        </w:tc>
        <w:tc>
          <w:tcPr>
            <w:tcW w:w="1191" w:type="dxa"/>
            <w:tcBorders>
              <w:top w:val="single" w:sz="6" w:space="0" w:color="000000"/>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6328B12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2017–18</w:t>
            </w:r>
            <w:r w:rsidRPr="0052306E">
              <w:rPr>
                <w:rFonts w:eastAsia="Myriad Pro"/>
                <w:b/>
                <w:bCs/>
                <w:color w:val="FFFFFF"/>
                <w:spacing w:val="-2"/>
                <w:sz w:val="24"/>
                <w:szCs w:val="24"/>
                <w:lang w:val="en-GB"/>
              </w:rPr>
              <w:br/>
              <w:t>$’000</w:t>
            </w:r>
          </w:p>
        </w:tc>
        <w:tc>
          <w:tcPr>
            <w:tcW w:w="1190" w:type="dxa"/>
            <w:tcBorders>
              <w:top w:val="single" w:sz="6" w:space="0" w:color="000000"/>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2B21840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2018–19</w:t>
            </w:r>
            <w:r w:rsidRPr="0052306E">
              <w:rPr>
                <w:rFonts w:eastAsia="Myriad Pro"/>
                <w:b/>
                <w:bCs/>
                <w:color w:val="FFFFFF"/>
                <w:spacing w:val="-2"/>
                <w:sz w:val="24"/>
                <w:szCs w:val="24"/>
                <w:lang w:val="en-GB"/>
              </w:rPr>
              <w:br/>
              <w:t>$’000</w:t>
            </w:r>
          </w:p>
        </w:tc>
        <w:tc>
          <w:tcPr>
            <w:tcW w:w="1191" w:type="dxa"/>
            <w:tcBorders>
              <w:top w:val="single" w:sz="6" w:space="0" w:color="000000"/>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3FD2074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2019–20</w:t>
            </w:r>
            <w:r w:rsidRPr="0052306E">
              <w:rPr>
                <w:rFonts w:eastAsia="Myriad Pro"/>
                <w:b/>
                <w:bCs/>
                <w:color w:val="FFFFFF"/>
                <w:spacing w:val="-2"/>
                <w:sz w:val="24"/>
                <w:szCs w:val="24"/>
                <w:lang w:val="en-GB"/>
              </w:rPr>
              <w:br/>
              <w:t>$’000</w:t>
            </w:r>
          </w:p>
        </w:tc>
        <w:tc>
          <w:tcPr>
            <w:tcW w:w="1190" w:type="dxa"/>
            <w:tcBorders>
              <w:top w:val="single" w:sz="6" w:space="0" w:color="000000"/>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776F3F9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2020–21</w:t>
            </w:r>
            <w:r w:rsidRPr="0052306E">
              <w:rPr>
                <w:rFonts w:eastAsia="Myriad Pro"/>
                <w:b/>
                <w:bCs/>
                <w:color w:val="FFFFFF"/>
                <w:spacing w:val="-2"/>
                <w:sz w:val="24"/>
                <w:szCs w:val="24"/>
                <w:lang w:val="en-GB"/>
              </w:rPr>
              <w:br/>
              <w:t>$’000</w:t>
            </w:r>
          </w:p>
        </w:tc>
        <w:tc>
          <w:tcPr>
            <w:tcW w:w="1191" w:type="dxa"/>
            <w:tcBorders>
              <w:top w:val="single" w:sz="6" w:space="0" w:color="000000"/>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01E727D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2021–22</w:t>
            </w:r>
            <w:r w:rsidRPr="0052306E">
              <w:rPr>
                <w:rFonts w:eastAsia="Myriad Pro"/>
                <w:b/>
                <w:bCs/>
                <w:color w:val="FFFFFF"/>
                <w:spacing w:val="-2"/>
                <w:sz w:val="24"/>
                <w:szCs w:val="24"/>
                <w:lang w:val="en-GB"/>
              </w:rPr>
              <w:br/>
              <w:t>$’000</w:t>
            </w:r>
          </w:p>
        </w:tc>
      </w:tr>
      <w:tr w:rsidR="0052306E" w:rsidRPr="0052306E" w14:paraId="69E00101" w14:textId="77777777" w:rsidTr="0052306E">
        <w:trPr>
          <w:trHeight w:val="375"/>
        </w:trPr>
        <w:tc>
          <w:tcPr>
            <w:tcW w:w="9014" w:type="dxa"/>
            <w:gridSpan w:val="5"/>
            <w:tcBorders>
              <w:top w:val="single" w:sz="2" w:space="0" w:color="9D9C9C"/>
              <w:left w:val="single" w:sz="6" w:space="0" w:color="000000"/>
              <w:bottom w:val="single" w:sz="2" w:space="0" w:color="9D9C9C"/>
              <w:right w:val="single" w:sz="2" w:space="0" w:color="9D9C9C"/>
            </w:tcBorders>
            <w:shd w:val="clear" w:color="auto" w:fill="D0CECE" w:themeFill="background2" w:themeFillShade="E6"/>
            <w:tcMar>
              <w:top w:w="57" w:type="dxa"/>
              <w:left w:w="14" w:type="dxa"/>
              <w:bottom w:w="57" w:type="dxa"/>
              <w:right w:w="14" w:type="dxa"/>
            </w:tcMar>
          </w:tcPr>
          <w:p w14:paraId="4EB4203F"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Financial Performance</w:t>
            </w:r>
          </w:p>
        </w:tc>
        <w:tc>
          <w:tcPr>
            <w:tcW w:w="1191" w:type="dxa"/>
            <w:tcBorders>
              <w:top w:val="single" w:sz="2" w:space="0" w:color="9D9C9C"/>
              <w:left w:val="single" w:sz="6" w:space="0" w:color="9D9C9C"/>
              <w:bottom w:val="single" w:sz="2" w:space="0" w:color="9D9C9C"/>
              <w:right w:val="single" w:sz="6" w:space="0" w:color="9D9C9C"/>
            </w:tcBorders>
            <w:shd w:val="clear" w:color="auto" w:fill="D0CECE" w:themeFill="background2" w:themeFillShade="E6"/>
            <w:tcMar>
              <w:top w:w="57" w:type="dxa"/>
              <w:left w:w="14" w:type="dxa"/>
              <w:bottom w:w="57" w:type="dxa"/>
              <w:right w:w="14" w:type="dxa"/>
            </w:tcMar>
          </w:tcPr>
          <w:p w14:paraId="6F45F54A" w14:textId="77777777" w:rsidR="0052306E" w:rsidRPr="0052306E" w:rsidRDefault="0052306E" w:rsidP="0052306E">
            <w:pPr>
              <w:widowControl/>
              <w:adjustRightInd w:val="0"/>
              <w:rPr>
                <w:rFonts w:eastAsia="Myriad Pro"/>
                <w:sz w:val="24"/>
                <w:szCs w:val="24"/>
                <w:lang w:val="en-GB"/>
              </w:rPr>
            </w:pPr>
          </w:p>
        </w:tc>
      </w:tr>
      <w:tr w:rsidR="0052306E" w:rsidRPr="0052306E" w14:paraId="52F6CF78" w14:textId="77777777" w:rsidTr="0052306E">
        <w:trPr>
          <w:trHeight w:val="60"/>
        </w:trPr>
        <w:tc>
          <w:tcPr>
            <w:tcW w:w="9014" w:type="dxa"/>
            <w:gridSpan w:val="5"/>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51937D92"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Income from government</w:t>
            </w:r>
          </w:p>
        </w:tc>
        <w:tc>
          <w:tcPr>
            <w:tcW w:w="1191" w:type="dxa"/>
            <w:tcBorders>
              <w:top w:val="single" w:sz="2" w:space="0" w:color="9D9C9C"/>
              <w:left w:val="single" w:sz="6" w:space="0" w:color="9D9C9C"/>
              <w:bottom w:val="single" w:sz="2" w:space="0" w:color="9D9C9C"/>
              <w:right w:val="single" w:sz="6" w:space="0" w:color="9D9C9C"/>
            </w:tcBorders>
            <w:tcMar>
              <w:top w:w="57" w:type="dxa"/>
              <w:left w:w="14" w:type="dxa"/>
              <w:bottom w:w="57" w:type="dxa"/>
              <w:right w:w="14" w:type="dxa"/>
            </w:tcMar>
          </w:tcPr>
          <w:p w14:paraId="22452DB2" w14:textId="77777777" w:rsidR="0052306E" w:rsidRPr="0052306E" w:rsidRDefault="0052306E" w:rsidP="0052306E">
            <w:pPr>
              <w:widowControl/>
              <w:adjustRightInd w:val="0"/>
              <w:rPr>
                <w:rFonts w:eastAsia="Myriad Pro"/>
                <w:sz w:val="24"/>
                <w:szCs w:val="24"/>
                <w:lang w:val="en-GB"/>
              </w:rPr>
            </w:pPr>
          </w:p>
        </w:tc>
      </w:tr>
      <w:tr w:rsidR="0052306E" w:rsidRPr="0052306E" w14:paraId="018EC473" w14:textId="77777777" w:rsidTr="0052306E">
        <w:trPr>
          <w:trHeight w:val="60"/>
        </w:trPr>
        <w:tc>
          <w:tcPr>
            <w:tcW w:w="4252"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61820536"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Total Income from Transactions</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540EC18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3,073,265</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552455B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3,380,623</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DF9A50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3,746,442</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D3DAD7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4,110,686</w:t>
            </w:r>
          </w:p>
        </w:tc>
        <w:tc>
          <w:tcPr>
            <w:tcW w:w="1191"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62340AC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4,102,352</w:t>
            </w:r>
          </w:p>
        </w:tc>
      </w:tr>
      <w:tr w:rsidR="0052306E" w:rsidRPr="0052306E" w14:paraId="5789613B" w14:textId="77777777" w:rsidTr="0052306E">
        <w:trPr>
          <w:trHeight w:val="60"/>
        </w:trPr>
        <w:tc>
          <w:tcPr>
            <w:tcW w:w="4252" w:type="dxa"/>
            <w:tcBorders>
              <w:top w:val="single" w:sz="2" w:space="0" w:color="9D9C9C"/>
              <w:left w:val="single" w:sz="6" w:space="0" w:color="000000"/>
              <w:bottom w:val="single" w:sz="2" w:space="0" w:color="000000"/>
              <w:right w:val="single" w:sz="2" w:space="0" w:color="9D9C9C"/>
            </w:tcBorders>
            <w:tcMar>
              <w:top w:w="57" w:type="dxa"/>
              <w:left w:w="14" w:type="dxa"/>
              <w:bottom w:w="57" w:type="dxa"/>
              <w:right w:w="14" w:type="dxa"/>
            </w:tcMar>
          </w:tcPr>
          <w:p w14:paraId="5D1313D1"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Total Expenses from Transactions</w:t>
            </w:r>
          </w:p>
        </w:tc>
        <w:tc>
          <w:tcPr>
            <w:tcW w:w="1191"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3FEC20E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3,065,762</w:t>
            </w:r>
          </w:p>
        </w:tc>
        <w:tc>
          <w:tcPr>
            <w:tcW w:w="1190"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60B80DE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3,399,200</w:t>
            </w:r>
          </w:p>
        </w:tc>
        <w:tc>
          <w:tcPr>
            <w:tcW w:w="1191"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0FF9F65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3,738,574</w:t>
            </w:r>
          </w:p>
        </w:tc>
        <w:tc>
          <w:tcPr>
            <w:tcW w:w="1190"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036B390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4,107,823</w:t>
            </w:r>
          </w:p>
        </w:tc>
        <w:tc>
          <w:tcPr>
            <w:tcW w:w="1191" w:type="dxa"/>
            <w:tcBorders>
              <w:top w:val="single" w:sz="2" w:space="0" w:color="9D9C9C"/>
              <w:left w:val="single" w:sz="2" w:space="0" w:color="9D9C9C"/>
              <w:bottom w:val="single" w:sz="2" w:space="0" w:color="000000"/>
              <w:right w:val="single" w:sz="6" w:space="0" w:color="9D9C9C"/>
            </w:tcBorders>
            <w:tcMar>
              <w:top w:w="57" w:type="dxa"/>
              <w:left w:w="14" w:type="dxa"/>
              <w:bottom w:w="57" w:type="dxa"/>
              <w:right w:w="14" w:type="dxa"/>
            </w:tcMar>
          </w:tcPr>
          <w:p w14:paraId="43776C7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4,100,603</w:t>
            </w:r>
          </w:p>
        </w:tc>
      </w:tr>
      <w:tr w:rsidR="0052306E" w:rsidRPr="0052306E" w14:paraId="17463F9F" w14:textId="77777777" w:rsidTr="0052306E">
        <w:trPr>
          <w:trHeight w:val="60"/>
        </w:trPr>
        <w:tc>
          <w:tcPr>
            <w:tcW w:w="4252" w:type="dxa"/>
            <w:tcBorders>
              <w:top w:val="single" w:sz="2" w:space="0" w:color="000000"/>
              <w:left w:val="single" w:sz="6" w:space="0" w:color="000000"/>
              <w:bottom w:val="single" w:sz="2" w:space="0" w:color="000000"/>
              <w:right w:val="single" w:sz="2" w:space="0" w:color="9D9C9C"/>
            </w:tcBorders>
            <w:tcMar>
              <w:top w:w="57" w:type="dxa"/>
              <w:left w:w="14" w:type="dxa"/>
              <w:bottom w:w="57" w:type="dxa"/>
              <w:right w:w="14" w:type="dxa"/>
            </w:tcMar>
          </w:tcPr>
          <w:p w14:paraId="4C63F743"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Net Result from Transactions</w:t>
            </w:r>
          </w:p>
        </w:tc>
        <w:tc>
          <w:tcPr>
            <w:tcW w:w="1191" w:type="dxa"/>
            <w:tcBorders>
              <w:top w:val="single" w:sz="2" w:space="0" w:color="000000"/>
              <w:left w:val="single" w:sz="2" w:space="0" w:color="9D9C9C"/>
              <w:bottom w:val="single" w:sz="2" w:space="0" w:color="000000"/>
              <w:right w:val="single" w:sz="2" w:space="0" w:color="9D9C9C"/>
            </w:tcBorders>
            <w:tcMar>
              <w:top w:w="57" w:type="dxa"/>
              <w:left w:w="14" w:type="dxa"/>
              <w:bottom w:w="57" w:type="dxa"/>
              <w:right w:w="14" w:type="dxa"/>
            </w:tcMar>
          </w:tcPr>
          <w:p w14:paraId="3211B59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7,503</w:t>
            </w:r>
          </w:p>
        </w:tc>
        <w:tc>
          <w:tcPr>
            <w:tcW w:w="1190" w:type="dxa"/>
            <w:tcBorders>
              <w:top w:val="single" w:sz="2" w:space="0" w:color="000000"/>
              <w:left w:val="single" w:sz="2" w:space="0" w:color="9D9C9C"/>
              <w:bottom w:val="single" w:sz="2" w:space="0" w:color="000000"/>
              <w:right w:val="single" w:sz="2" w:space="0" w:color="9D9C9C"/>
            </w:tcBorders>
            <w:tcMar>
              <w:top w:w="57" w:type="dxa"/>
              <w:left w:w="14" w:type="dxa"/>
              <w:bottom w:w="57" w:type="dxa"/>
              <w:right w:w="14" w:type="dxa"/>
            </w:tcMar>
          </w:tcPr>
          <w:p w14:paraId="6C6FF2B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-18,577</w:t>
            </w:r>
          </w:p>
        </w:tc>
        <w:tc>
          <w:tcPr>
            <w:tcW w:w="1191" w:type="dxa"/>
            <w:tcBorders>
              <w:top w:val="single" w:sz="2" w:space="0" w:color="000000"/>
              <w:left w:val="single" w:sz="2" w:space="0" w:color="9D9C9C"/>
              <w:bottom w:val="single" w:sz="2" w:space="0" w:color="000000"/>
              <w:right w:val="single" w:sz="2" w:space="0" w:color="9D9C9C"/>
            </w:tcBorders>
            <w:tcMar>
              <w:top w:w="57" w:type="dxa"/>
              <w:left w:w="14" w:type="dxa"/>
              <w:bottom w:w="57" w:type="dxa"/>
              <w:right w:w="14" w:type="dxa"/>
            </w:tcMar>
          </w:tcPr>
          <w:p w14:paraId="1DBF2B4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7,868</w:t>
            </w:r>
          </w:p>
        </w:tc>
        <w:tc>
          <w:tcPr>
            <w:tcW w:w="1190" w:type="dxa"/>
            <w:tcBorders>
              <w:top w:val="single" w:sz="2" w:space="0" w:color="000000"/>
              <w:left w:val="single" w:sz="2" w:space="0" w:color="9D9C9C"/>
              <w:bottom w:val="single" w:sz="2" w:space="0" w:color="000000"/>
              <w:right w:val="single" w:sz="2" w:space="0" w:color="9D9C9C"/>
            </w:tcBorders>
            <w:tcMar>
              <w:top w:w="57" w:type="dxa"/>
              <w:left w:w="14" w:type="dxa"/>
              <w:bottom w:w="57" w:type="dxa"/>
              <w:right w:w="14" w:type="dxa"/>
            </w:tcMar>
          </w:tcPr>
          <w:p w14:paraId="49ECF42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2,863</w:t>
            </w:r>
          </w:p>
        </w:tc>
        <w:tc>
          <w:tcPr>
            <w:tcW w:w="1191" w:type="dxa"/>
            <w:tcBorders>
              <w:top w:val="single" w:sz="2" w:space="0" w:color="000000"/>
              <w:left w:val="single" w:sz="2" w:space="0" w:color="9D9C9C"/>
              <w:bottom w:val="single" w:sz="2" w:space="0" w:color="000000"/>
              <w:right w:val="single" w:sz="6" w:space="0" w:color="9D9C9C"/>
            </w:tcBorders>
            <w:tcMar>
              <w:top w:w="57" w:type="dxa"/>
              <w:left w:w="14" w:type="dxa"/>
              <w:bottom w:w="57" w:type="dxa"/>
              <w:right w:w="14" w:type="dxa"/>
            </w:tcMar>
          </w:tcPr>
          <w:p w14:paraId="225E509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1,749</w:t>
            </w:r>
          </w:p>
        </w:tc>
      </w:tr>
      <w:tr w:rsidR="0052306E" w:rsidRPr="0052306E" w14:paraId="1DCF5E4D" w14:textId="77777777" w:rsidTr="0052306E">
        <w:trPr>
          <w:trHeight w:val="60"/>
        </w:trPr>
        <w:tc>
          <w:tcPr>
            <w:tcW w:w="4252" w:type="dxa"/>
            <w:tcBorders>
              <w:top w:val="single" w:sz="2" w:space="0" w:color="000000"/>
              <w:left w:val="single" w:sz="6" w:space="0" w:color="000000"/>
              <w:bottom w:val="single" w:sz="2" w:space="0" w:color="9D9C9C"/>
              <w:right w:val="single" w:sz="2" w:space="0" w:color="9D9C9C"/>
            </w:tcBorders>
            <w:tcMar>
              <w:top w:w="57" w:type="dxa"/>
              <w:left w:w="14" w:type="dxa"/>
              <w:bottom w:w="57" w:type="dxa"/>
              <w:right w:w="14" w:type="dxa"/>
            </w:tcMar>
          </w:tcPr>
          <w:p w14:paraId="7D0361EB"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Net Result</w:t>
            </w:r>
          </w:p>
        </w:tc>
        <w:tc>
          <w:tcPr>
            <w:tcW w:w="1191" w:type="dxa"/>
            <w:tcBorders>
              <w:top w:val="single" w:sz="2" w:space="0" w:color="000000"/>
              <w:left w:val="single" w:sz="2" w:space="0" w:color="9D9C9C"/>
              <w:bottom w:val="single" w:sz="2" w:space="0" w:color="9D9C9C"/>
              <w:right w:val="single" w:sz="2" w:space="0" w:color="9D9C9C"/>
            </w:tcBorders>
            <w:tcMar>
              <w:top w:w="57" w:type="dxa"/>
              <w:left w:w="14" w:type="dxa"/>
              <w:bottom w:w="57" w:type="dxa"/>
              <w:right w:w="14" w:type="dxa"/>
            </w:tcMar>
          </w:tcPr>
          <w:p w14:paraId="05D0663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15,803</w:t>
            </w:r>
          </w:p>
        </w:tc>
        <w:tc>
          <w:tcPr>
            <w:tcW w:w="1190" w:type="dxa"/>
            <w:tcBorders>
              <w:top w:val="single" w:sz="2" w:space="0" w:color="000000"/>
              <w:left w:val="single" w:sz="2" w:space="0" w:color="9D9C9C"/>
              <w:bottom w:val="single" w:sz="2" w:space="0" w:color="9D9C9C"/>
              <w:right w:val="single" w:sz="2" w:space="0" w:color="9D9C9C"/>
            </w:tcBorders>
            <w:tcMar>
              <w:top w:w="57" w:type="dxa"/>
              <w:left w:w="14" w:type="dxa"/>
              <w:bottom w:w="57" w:type="dxa"/>
              <w:right w:w="14" w:type="dxa"/>
            </w:tcMar>
          </w:tcPr>
          <w:p w14:paraId="26ED15F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-30,336</w:t>
            </w:r>
          </w:p>
        </w:tc>
        <w:tc>
          <w:tcPr>
            <w:tcW w:w="1191" w:type="dxa"/>
            <w:tcBorders>
              <w:top w:val="single" w:sz="2" w:space="0" w:color="000000"/>
              <w:left w:val="single" w:sz="2" w:space="0" w:color="9D9C9C"/>
              <w:bottom w:val="single" w:sz="2" w:space="0" w:color="9D9C9C"/>
              <w:right w:val="single" w:sz="2" w:space="0" w:color="9D9C9C"/>
            </w:tcBorders>
            <w:tcMar>
              <w:top w:w="57" w:type="dxa"/>
              <w:left w:w="14" w:type="dxa"/>
              <w:bottom w:w="57" w:type="dxa"/>
              <w:right w:w="14" w:type="dxa"/>
            </w:tcMar>
          </w:tcPr>
          <w:p w14:paraId="7071102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9,883</w:t>
            </w:r>
          </w:p>
        </w:tc>
        <w:tc>
          <w:tcPr>
            <w:tcW w:w="1190" w:type="dxa"/>
            <w:tcBorders>
              <w:top w:val="single" w:sz="2" w:space="0" w:color="000000"/>
              <w:left w:val="single" w:sz="2" w:space="0" w:color="9D9C9C"/>
              <w:bottom w:val="single" w:sz="2" w:space="0" w:color="9D9C9C"/>
              <w:right w:val="single" w:sz="2" w:space="0" w:color="9D9C9C"/>
            </w:tcBorders>
            <w:tcMar>
              <w:top w:w="57" w:type="dxa"/>
              <w:left w:w="14" w:type="dxa"/>
              <w:bottom w:w="57" w:type="dxa"/>
              <w:right w:w="14" w:type="dxa"/>
            </w:tcMar>
          </w:tcPr>
          <w:p w14:paraId="3C859D6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24,993</w:t>
            </w:r>
          </w:p>
        </w:tc>
        <w:tc>
          <w:tcPr>
            <w:tcW w:w="1191" w:type="dxa"/>
            <w:tcBorders>
              <w:top w:val="single" w:sz="2" w:space="0" w:color="000000"/>
              <w:left w:val="single" w:sz="2" w:space="0" w:color="9D9C9C"/>
              <w:bottom w:val="single" w:sz="2" w:space="0" w:color="9D9C9C"/>
              <w:right w:val="single" w:sz="6" w:space="0" w:color="9D9C9C"/>
            </w:tcBorders>
            <w:tcMar>
              <w:top w:w="57" w:type="dxa"/>
              <w:left w:w="14" w:type="dxa"/>
              <w:bottom w:w="57" w:type="dxa"/>
              <w:right w:w="14" w:type="dxa"/>
            </w:tcMar>
          </w:tcPr>
          <w:p w14:paraId="6CF5692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86,937</w:t>
            </w:r>
          </w:p>
        </w:tc>
      </w:tr>
      <w:tr w:rsidR="0052306E" w:rsidRPr="0052306E" w14:paraId="589F47FB" w14:textId="77777777" w:rsidTr="0052306E">
        <w:trPr>
          <w:trHeight w:val="60"/>
        </w:trPr>
        <w:tc>
          <w:tcPr>
            <w:tcW w:w="9014" w:type="dxa"/>
            <w:gridSpan w:val="5"/>
            <w:tcBorders>
              <w:top w:val="single" w:sz="2" w:space="0" w:color="9D9C9C"/>
              <w:left w:val="single" w:sz="6" w:space="0" w:color="000000"/>
              <w:bottom w:val="single" w:sz="2" w:space="0" w:color="9D9C9C"/>
              <w:right w:val="single" w:sz="2" w:space="0" w:color="9D9C9C"/>
            </w:tcBorders>
            <w:shd w:val="clear" w:color="auto" w:fill="D0CECE" w:themeFill="background2" w:themeFillShade="E6"/>
            <w:tcMar>
              <w:top w:w="57" w:type="dxa"/>
              <w:left w:w="14" w:type="dxa"/>
              <w:bottom w:w="57" w:type="dxa"/>
              <w:right w:w="14" w:type="dxa"/>
            </w:tcMar>
          </w:tcPr>
          <w:p w14:paraId="376169BE"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Cash Flows</w:t>
            </w:r>
          </w:p>
        </w:tc>
        <w:tc>
          <w:tcPr>
            <w:tcW w:w="1191" w:type="dxa"/>
            <w:tcBorders>
              <w:top w:val="single" w:sz="2" w:space="0" w:color="9D9C9C"/>
              <w:left w:val="single" w:sz="6" w:space="0" w:color="9D9C9C"/>
              <w:bottom w:val="single" w:sz="2" w:space="0" w:color="9D9C9C"/>
              <w:right w:val="single" w:sz="6" w:space="0" w:color="9D9C9C"/>
            </w:tcBorders>
            <w:shd w:val="clear" w:color="auto" w:fill="D0CECE" w:themeFill="background2" w:themeFillShade="E6"/>
            <w:tcMar>
              <w:top w:w="57" w:type="dxa"/>
              <w:left w:w="14" w:type="dxa"/>
              <w:bottom w:w="57" w:type="dxa"/>
              <w:right w:w="14" w:type="dxa"/>
            </w:tcMar>
          </w:tcPr>
          <w:p w14:paraId="2F227996" w14:textId="77777777" w:rsidR="0052306E" w:rsidRPr="0052306E" w:rsidRDefault="0052306E" w:rsidP="0052306E">
            <w:pPr>
              <w:widowControl/>
              <w:adjustRightInd w:val="0"/>
              <w:rPr>
                <w:rFonts w:eastAsia="Myriad Pro"/>
                <w:sz w:val="24"/>
                <w:szCs w:val="24"/>
                <w:lang w:val="en-GB"/>
              </w:rPr>
            </w:pPr>
          </w:p>
        </w:tc>
      </w:tr>
      <w:tr w:rsidR="0052306E" w:rsidRPr="0052306E" w14:paraId="4DA91B22" w14:textId="77777777" w:rsidTr="0052306E">
        <w:trPr>
          <w:trHeight w:val="60"/>
        </w:trPr>
        <w:tc>
          <w:tcPr>
            <w:tcW w:w="4252"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719955E0"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Net Cash Flow from Operating Activities</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2806F9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116,661</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34456EB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190,166</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6B41B5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177,241</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688FA4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157,094</w:t>
            </w:r>
          </w:p>
        </w:tc>
        <w:tc>
          <w:tcPr>
            <w:tcW w:w="1191"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6FF60EF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152,568</w:t>
            </w:r>
          </w:p>
        </w:tc>
      </w:tr>
      <w:tr w:rsidR="0052306E" w:rsidRPr="0052306E" w14:paraId="5FA14CAC" w14:textId="77777777" w:rsidTr="0052306E">
        <w:trPr>
          <w:trHeight w:val="60"/>
        </w:trPr>
        <w:tc>
          <w:tcPr>
            <w:tcW w:w="4252"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6B82B580"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Net Cash Flow from Financing Activities</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079DAA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4,292</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DC5E28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-19,035</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B9129A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-36,729</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AF854E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-25,887</w:t>
            </w:r>
          </w:p>
        </w:tc>
        <w:tc>
          <w:tcPr>
            <w:tcW w:w="1191"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13DEA65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-64,179</w:t>
            </w:r>
          </w:p>
        </w:tc>
      </w:tr>
      <w:tr w:rsidR="0052306E" w:rsidRPr="0052306E" w14:paraId="26B58149" w14:textId="77777777" w:rsidTr="0052306E">
        <w:trPr>
          <w:trHeight w:val="60"/>
        </w:trPr>
        <w:tc>
          <w:tcPr>
            <w:tcW w:w="9014" w:type="dxa"/>
            <w:gridSpan w:val="5"/>
            <w:tcBorders>
              <w:top w:val="single" w:sz="2" w:space="0" w:color="9D9C9C"/>
              <w:left w:val="single" w:sz="6" w:space="0" w:color="000000"/>
              <w:bottom w:val="single" w:sz="2" w:space="0" w:color="9D9C9C"/>
              <w:right w:val="single" w:sz="2" w:space="0" w:color="9D9C9C"/>
            </w:tcBorders>
            <w:shd w:val="clear" w:color="auto" w:fill="D0CECE" w:themeFill="background2" w:themeFillShade="E6"/>
            <w:tcMar>
              <w:top w:w="57" w:type="dxa"/>
              <w:left w:w="14" w:type="dxa"/>
              <w:bottom w:w="57" w:type="dxa"/>
              <w:right w:w="14" w:type="dxa"/>
            </w:tcMar>
          </w:tcPr>
          <w:p w14:paraId="4A074B3C"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Balance Sheet</w:t>
            </w:r>
          </w:p>
        </w:tc>
        <w:tc>
          <w:tcPr>
            <w:tcW w:w="1191" w:type="dxa"/>
            <w:tcBorders>
              <w:top w:val="single" w:sz="2" w:space="0" w:color="9D9C9C"/>
              <w:left w:val="single" w:sz="6" w:space="0" w:color="9D9C9C"/>
              <w:bottom w:val="single" w:sz="2" w:space="0" w:color="9D9C9C"/>
              <w:right w:val="single" w:sz="6" w:space="0" w:color="9D9C9C"/>
            </w:tcBorders>
            <w:shd w:val="clear" w:color="auto" w:fill="D0CECE" w:themeFill="background2" w:themeFillShade="E6"/>
            <w:tcMar>
              <w:top w:w="57" w:type="dxa"/>
              <w:left w:w="14" w:type="dxa"/>
              <w:bottom w:w="57" w:type="dxa"/>
              <w:right w:w="14" w:type="dxa"/>
            </w:tcMar>
          </w:tcPr>
          <w:p w14:paraId="14DE1417" w14:textId="77777777" w:rsidR="0052306E" w:rsidRPr="0052306E" w:rsidRDefault="0052306E" w:rsidP="0052306E">
            <w:pPr>
              <w:widowControl/>
              <w:adjustRightInd w:val="0"/>
              <w:rPr>
                <w:rFonts w:eastAsia="Myriad Pro"/>
                <w:sz w:val="24"/>
                <w:szCs w:val="24"/>
                <w:lang w:val="en-GB"/>
              </w:rPr>
            </w:pPr>
          </w:p>
        </w:tc>
      </w:tr>
      <w:tr w:rsidR="0052306E" w:rsidRPr="0052306E" w14:paraId="5027E3C1" w14:textId="77777777" w:rsidTr="0052306E">
        <w:trPr>
          <w:trHeight w:val="60"/>
        </w:trPr>
        <w:tc>
          <w:tcPr>
            <w:tcW w:w="4252"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1C2D9993"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Total Assets</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C695DE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2,343,438</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143C43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2,544,256</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FCBBB1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3,454,822</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5D528E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4,651,571</w:t>
            </w:r>
          </w:p>
        </w:tc>
        <w:tc>
          <w:tcPr>
            <w:tcW w:w="1191"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0D8F5E7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4,804,153</w:t>
            </w:r>
          </w:p>
        </w:tc>
      </w:tr>
      <w:tr w:rsidR="0052306E" w:rsidRPr="0052306E" w14:paraId="1E67B723" w14:textId="77777777" w:rsidTr="0052306E">
        <w:trPr>
          <w:trHeight w:val="60"/>
        </w:trPr>
        <w:tc>
          <w:tcPr>
            <w:tcW w:w="4252" w:type="dxa"/>
            <w:tcBorders>
              <w:top w:val="single" w:sz="2" w:space="0" w:color="9D9C9C"/>
              <w:left w:val="single" w:sz="6" w:space="0" w:color="000000"/>
              <w:bottom w:val="single" w:sz="2" w:space="0" w:color="000000"/>
              <w:right w:val="single" w:sz="2" w:space="0" w:color="9D9C9C"/>
            </w:tcBorders>
            <w:tcMar>
              <w:top w:w="57" w:type="dxa"/>
              <w:left w:w="14" w:type="dxa"/>
              <w:bottom w:w="57" w:type="dxa"/>
              <w:right w:w="14" w:type="dxa"/>
            </w:tcMar>
          </w:tcPr>
          <w:p w14:paraId="25594BDD"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Total Liabilities</w:t>
            </w:r>
          </w:p>
        </w:tc>
        <w:tc>
          <w:tcPr>
            <w:tcW w:w="1191"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6DC0349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764,387</w:t>
            </w:r>
          </w:p>
        </w:tc>
        <w:tc>
          <w:tcPr>
            <w:tcW w:w="1190"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01ADDCB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864,081</w:t>
            </w:r>
          </w:p>
        </w:tc>
        <w:tc>
          <w:tcPr>
            <w:tcW w:w="1191"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05F864B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1,705,067</w:t>
            </w:r>
          </w:p>
        </w:tc>
        <w:tc>
          <w:tcPr>
            <w:tcW w:w="1190"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253CA85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2,808,968</w:t>
            </w:r>
          </w:p>
        </w:tc>
        <w:tc>
          <w:tcPr>
            <w:tcW w:w="1191" w:type="dxa"/>
            <w:tcBorders>
              <w:top w:val="single" w:sz="2" w:space="0" w:color="9D9C9C"/>
              <w:left w:val="single" w:sz="2" w:space="0" w:color="9D9C9C"/>
              <w:bottom w:val="single" w:sz="2" w:space="0" w:color="000000"/>
              <w:right w:val="single" w:sz="6" w:space="0" w:color="9D9C9C"/>
            </w:tcBorders>
            <w:tcMar>
              <w:top w:w="57" w:type="dxa"/>
              <w:left w:w="14" w:type="dxa"/>
              <w:bottom w:w="57" w:type="dxa"/>
              <w:right w:w="14" w:type="dxa"/>
            </w:tcMar>
          </w:tcPr>
          <w:p w14:paraId="2312AC4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2,831,219</w:t>
            </w:r>
          </w:p>
        </w:tc>
      </w:tr>
      <w:tr w:rsidR="0052306E" w:rsidRPr="0052306E" w14:paraId="01858A81" w14:textId="77777777" w:rsidTr="0052306E">
        <w:trPr>
          <w:trHeight w:val="60"/>
        </w:trPr>
        <w:tc>
          <w:tcPr>
            <w:tcW w:w="4252" w:type="dxa"/>
            <w:tcBorders>
              <w:top w:val="single" w:sz="2" w:space="0" w:color="000000"/>
              <w:left w:val="single" w:sz="6" w:space="0" w:color="000000"/>
              <w:bottom w:val="single" w:sz="6" w:space="0" w:color="000000"/>
              <w:right w:val="single" w:sz="2" w:space="0" w:color="9D9C9C"/>
            </w:tcBorders>
            <w:tcMar>
              <w:top w:w="57" w:type="dxa"/>
              <w:left w:w="14" w:type="dxa"/>
              <w:bottom w:w="57" w:type="dxa"/>
              <w:right w:w="14" w:type="dxa"/>
            </w:tcMar>
          </w:tcPr>
          <w:p w14:paraId="0BE9704E"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Net Worth</w:t>
            </w:r>
          </w:p>
        </w:tc>
        <w:tc>
          <w:tcPr>
            <w:tcW w:w="1191" w:type="dxa"/>
            <w:tcBorders>
              <w:top w:val="single" w:sz="2" w:space="0" w:color="000000"/>
              <w:left w:val="single" w:sz="2" w:space="0" w:color="9D9C9C"/>
              <w:bottom w:val="single" w:sz="6" w:space="0" w:color="000000"/>
              <w:right w:val="single" w:sz="2" w:space="0" w:color="9D9C9C"/>
            </w:tcBorders>
            <w:tcMar>
              <w:top w:w="57" w:type="dxa"/>
              <w:left w:w="14" w:type="dxa"/>
              <w:bottom w:w="57" w:type="dxa"/>
              <w:right w:w="14" w:type="dxa"/>
            </w:tcMar>
          </w:tcPr>
          <w:p w14:paraId="15860D1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1,579,051</w:t>
            </w:r>
          </w:p>
        </w:tc>
        <w:tc>
          <w:tcPr>
            <w:tcW w:w="1190" w:type="dxa"/>
            <w:tcBorders>
              <w:top w:val="single" w:sz="2" w:space="0" w:color="000000"/>
              <w:left w:val="single" w:sz="2" w:space="0" w:color="9D9C9C"/>
              <w:bottom w:val="single" w:sz="6" w:space="0" w:color="000000"/>
              <w:right w:val="single" w:sz="2" w:space="0" w:color="9D9C9C"/>
            </w:tcBorders>
            <w:tcMar>
              <w:top w:w="57" w:type="dxa"/>
              <w:left w:w="14" w:type="dxa"/>
              <w:bottom w:w="57" w:type="dxa"/>
              <w:right w:w="14" w:type="dxa"/>
            </w:tcMar>
          </w:tcPr>
          <w:p w14:paraId="52B19FC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1,680,175</w:t>
            </w:r>
          </w:p>
        </w:tc>
        <w:tc>
          <w:tcPr>
            <w:tcW w:w="1191" w:type="dxa"/>
            <w:tcBorders>
              <w:top w:val="single" w:sz="2" w:space="0" w:color="000000"/>
              <w:left w:val="single" w:sz="2" w:space="0" w:color="9D9C9C"/>
              <w:bottom w:val="single" w:sz="6" w:space="0" w:color="000000"/>
              <w:right w:val="single" w:sz="2" w:space="0" w:color="9D9C9C"/>
            </w:tcBorders>
            <w:tcMar>
              <w:top w:w="57" w:type="dxa"/>
              <w:left w:w="14" w:type="dxa"/>
              <w:bottom w:w="57" w:type="dxa"/>
              <w:right w:w="14" w:type="dxa"/>
            </w:tcMar>
          </w:tcPr>
          <w:p w14:paraId="034CA5F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1,749,755</w:t>
            </w:r>
          </w:p>
        </w:tc>
        <w:tc>
          <w:tcPr>
            <w:tcW w:w="1190" w:type="dxa"/>
            <w:tcBorders>
              <w:top w:val="single" w:sz="2" w:space="0" w:color="000000"/>
              <w:left w:val="single" w:sz="2" w:space="0" w:color="9D9C9C"/>
              <w:bottom w:val="single" w:sz="6" w:space="0" w:color="000000"/>
              <w:right w:val="single" w:sz="2" w:space="0" w:color="9D9C9C"/>
            </w:tcBorders>
            <w:tcMar>
              <w:top w:w="57" w:type="dxa"/>
              <w:left w:w="14" w:type="dxa"/>
              <w:bottom w:w="57" w:type="dxa"/>
              <w:right w:w="14" w:type="dxa"/>
            </w:tcMar>
          </w:tcPr>
          <w:p w14:paraId="2E88147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1,842,603</w:t>
            </w:r>
          </w:p>
        </w:tc>
        <w:tc>
          <w:tcPr>
            <w:tcW w:w="1191" w:type="dxa"/>
            <w:tcBorders>
              <w:top w:val="single" w:sz="2" w:space="0" w:color="000000"/>
              <w:left w:val="single" w:sz="2" w:space="0" w:color="9D9C9C"/>
              <w:bottom w:val="single" w:sz="6" w:space="0" w:color="000000"/>
              <w:right w:val="single" w:sz="6" w:space="0" w:color="9D9C9C"/>
            </w:tcBorders>
            <w:tcMar>
              <w:top w:w="57" w:type="dxa"/>
              <w:left w:w="14" w:type="dxa"/>
              <w:bottom w:w="57" w:type="dxa"/>
              <w:right w:w="14" w:type="dxa"/>
            </w:tcMar>
          </w:tcPr>
          <w:p w14:paraId="3586700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1,972,934</w:t>
            </w:r>
          </w:p>
        </w:tc>
      </w:tr>
    </w:tbl>
    <w:p w14:paraId="5A46B4E5" w14:textId="77777777" w:rsidR="00345EE3" w:rsidRPr="002A27BA" w:rsidRDefault="00345EE3" w:rsidP="00345EE3">
      <w:pPr>
        <w:pStyle w:val="Heading2"/>
        <w:spacing w:before="197"/>
        <w:rPr>
          <w:sz w:val="32"/>
          <w:szCs w:val="32"/>
        </w:rPr>
      </w:pPr>
      <w:r w:rsidRPr="002A27BA">
        <w:rPr>
          <w:color w:val="00529F"/>
          <w:spacing w:val="-2"/>
          <w:sz w:val="32"/>
          <w:szCs w:val="32"/>
        </w:rPr>
        <w:t>Overview</w:t>
      </w:r>
    </w:p>
    <w:p w14:paraId="65969F23" w14:textId="77777777" w:rsidR="00345EE3" w:rsidRDefault="00345EE3" w:rsidP="00345EE3">
      <w:pPr>
        <w:pStyle w:val="BodyText"/>
        <w:spacing w:before="72" w:line="242" w:lineRule="auto"/>
        <w:ind w:right="921"/>
      </w:pPr>
      <w:r>
        <w:rPr>
          <w:color w:val="231F20"/>
        </w:rPr>
        <w:t>The Victorian Government considers the Net Result from transactions to be the appropriate measure of financial management that can be directly attributed to government policy. This measure excludes the effects of revaluations (holding gains or losses) arising from changes in market</w:t>
      </w:r>
      <w:r>
        <w:rPr>
          <w:color w:val="231F20"/>
          <w:spacing w:val="-8"/>
        </w:rPr>
        <w:t xml:space="preserve"> </w:t>
      </w:r>
      <w:r>
        <w:rPr>
          <w:color w:val="231F20"/>
        </w:rPr>
        <w:t>prices</w:t>
      </w:r>
      <w:r>
        <w:rPr>
          <w:color w:val="231F20"/>
          <w:spacing w:val="-8"/>
        </w:rPr>
        <w:t xml:space="preserve"> </w:t>
      </w:r>
      <w:r>
        <w:rPr>
          <w:color w:val="231F20"/>
        </w:rPr>
        <w:t>and</w:t>
      </w:r>
      <w:r>
        <w:rPr>
          <w:color w:val="231F20"/>
          <w:spacing w:val="-9"/>
        </w:rPr>
        <w:t xml:space="preserve"> </w:t>
      </w:r>
      <w:r>
        <w:rPr>
          <w:color w:val="231F20"/>
        </w:rPr>
        <w:t>other</w:t>
      </w:r>
      <w:r>
        <w:rPr>
          <w:color w:val="231F20"/>
          <w:spacing w:val="-8"/>
        </w:rPr>
        <w:t xml:space="preserve"> </w:t>
      </w:r>
      <w:r>
        <w:rPr>
          <w:color w:val="231F20"/>
        </w:rPr>
        <w:t>changes</w:t>
      </w:r>
      <w:r>
        <w:rPr>
          <w:color w:val="231F20"/>
          <w:spacing w:val="-8"/>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volume</w:t>
      </w:r>
      <w:r>
        <w:rPr>
          <w:color w:val="231F20"/>
          <w:spacing w:val="-9"/>
        </w:rPr>
        <w:t xml:space="preserve"> </w:t>
      </w:r>
      <w:r>
        <w:rPr>
          <w:color w:val="231F20"/>
        </w:rPr>
        <w:t>of</w:t>
      </w:r>
      <w:r>
        <w:rPr>
          <w:color w:val="231F20"/>
          <w:spacing w:val="-8"/>
        </w:rPr>
        <w:t xml:space="preserve"> </w:t>
      </w:r>
      <w:r>
        <w:rPr>
          <w:color w:val="231F20"/>
        </w:rPr>
        <w:t>assets</w:t>
      </w:r>
      <w:r>
        <w:rPr>
          <w:color w:val="231F20"/>
          <w:spacing w:val="-8"/>
        </w:rPr>
        <w:t xml:space="preserve"> </w:t>
      </w:r>
      <w:r>
        <w:rPr>
          <w:color w:val="231F20"/>
        </w:rPr>
        <w:t>shown</w:t>
      </w:r>
      <w:r>
        <w:rPr>
          <w:color w:val="231F20"/>
          <w:spacing w:val="-9"/>
        </w:rPr>
        <w:t xml:space="preserve"> </w:t>
      </w:r>
      <w:r>
        <w:rPr>
          <w:color w:val="231F20"/>
        </w:rPr>
        <w:t>under</w:t>
      </w:r>
      <w:r>
        <w:rPr>
          <w:color w:val="231F20"/>
          <w:spacing w:val="-8"/>
        </w:rPr>
        <w:t xml:space="preserve"> </w:t>
      </w:r>
      <w:r>
        <w:rPr>
          <w:color w:val="231F20"/>
        </w:rPr>
        <w:t>‘other</w:t>
      </w:r>
      <w:r>
        <w:rPr>
          <w:color w:val="231F20"/>
          <w:spacing w:val="-8"/>
        </w:rPr>
        <w:t xml:space="preserve"> </w:t>
      </w:r>
      <w:r>
        <w:rPr>
          <w:color w:val="231F20"/>
        </w:rPr>
        <w:t>economic</w:t>
      </w:r>
      <w:r>
        <w:rPr>
          <w:color w:val="231F20"/>
          <w:spacing w:val="-8"/>
        </w:rPr>
        <w:t xml:space="preserve"> </w:t>
      </w:r>
      <w:r>
        <w:rPr>
          <w:color w:val="231F20"/>
        </w:rPr>
        <w:t>flows’</w:t>
      </w:r>
      <w:r>
        <w:rPr>
          <w:color w:val="231F20"/>
          <w:spacing w:val="-9"/>
        </w:rPr>
        <w:t xml:space="preserve"> </w:t>
      </w:r>
      <w:r>
        <w:rPr>
          <w:color w:val="231F20"/>
        </w:rPr>
        <w:t>on the Comprehensive Operating Statement, which are outside the control of Victoria Police.</w:t>
      </w:r>
    </w:p>
    <w:p w14:paraId="5E63FBC6" w14:textId="77777777" w:rsidR="00345EE3" w:rsidRDefault="00345EE3" w:rsidP="00345EE3">
      <w:pPr>
        <w:pStyle w:val="BodyText"/>
        <w:spacing w:before="120" w:line="242" w:lineRule="auto"/>
        <w:ind w:right="848"/>
      </w:pPr>
      <w:r>
        <w:rPr>
          <w:color w:val="231F20"/>
        </w:rPr>
        <w:t>In</w:t>
      </w:r>
      <w:r>
        <w:rPr>
          <w:color w:val="231F20"/>
          <w:spacing w:val="-5"/>
        </w:rPr>
        <w:t xml:space="preserve"> </w:t>
      </w:r>
      <w:r>
        <w:rPr>
          <w:color w:val="231F20"/>
        </w:rPr>
        <w:t>2021–22,</w:t>
      </w:r>
      <w:r>
        <w:rPr>
          <w:color w:val="231F20"/>
          <w:spacing w:val="-4"/>
        </w:rPr>
        <w:t xml:space="preserve"> </w:t>
      </w:r>
      <w:r>
        <w:rPr>
          <w:color w:val="231F20"/>
        </w:rPr>
        <w:t>Victoria</w:t>
      </w:r>
      <w:r>
        <w:rPr>
          <w:color w:val="231F20"/>
          <w:spacing w:val="-5"/>
        </w:rPr>
        <w:t xml:space="preserve"> </w:t>
      </w:r>
      <w:r>
        <w:rPr>
          <w:color w:val="231F20"/>
        </w:rPr>
        <w:t>Police</w:t>
      </w:r>
      <w:r>
        <w:rPr>
          <w:color w:val="231F20"/>
          <w:spacing w:val="-5"/>
        </w:rPr>
        <w:t xml:space="preserve"> </w:t>
      </w:r>
      <w:r>
        <w:rPr>
          <w:color w:val="231F20"/>
        </w:rPr>
        <w:t>achieved</w:t>
      </w:r>
      <w:r>
        <w:rPr>
          <w:color w:val="231F20"/>
          <w:spacing w:val="-5"/>
        </w:rPr>
        <w:t xml:space="preserve"> </w:t>
      </w:r>
      <w:r>
        <w:rPr>
          <w:color w:val="231F20"/>
        </w:rPr>
        <w:t>a</w:t>
      </w:r>
      <w:r>
        <w:rPr>
          <w:color w:val="231F20"/>
          <w:spacing w:val="-5"/>
        </w:rPr>
        <w:t xml:space="preserve"> </w:t>
      </w:r>
      <w:r>
        <w:rPr>
          <w:color w:val="231F20"/>
        </w:rPr>
        <w:t>net</w:t>
      </w:r>
      <w:r>
        <w:rPr>
          <w:color w:val="231F20"/>
          <w:spacing w:val="-4"/>
        </w:rPr>
        <w:t xml:space="preserve"> </w:t>
      </w:r>
      <w:r>
        <w:rPr>
          <w:color w:val="231F20"/>
        </w:rPr>
        <w:t>result</w:t>
      </w:r>
      <w:r>
        <w:rPr>
          <w:color w:val="231F20"/>
          <w:spacing w:val="-4"/>
        </w:rPr>
        <w:t xml:space="preserve"> </w:t>
      </w:r>
      <w:r>
        <w:rPr>
          <w:color w:val="231F20"/>
        </w:rPr>
        <w:t>from</w:t>
      </w:r>
      <w:r>
        <w:rPr>
          <w:color w:val="231F20"/>
          <w:spacing w:val="-4"/>
        </w:rPr>
        <w:t xml:space="preserve"> </w:t>
      </w:r>
      <w:r>
        <w:rPr>
          <w:color w:val="231F20"/>
        </w:rPr>
        <w:t>transactions</w:t>
      </w:r>
      <w:r>
        <w:rPr>
          <w:color w:val="231F20"/>
          <w:spacing w:val="-4"/>
        </w:rPr>
        <w:t xml:space="preserve"> </w:t>
      </w:r>
      <w:r>
        <w:rPr>
          <w:color w:val="231F20"/>
        </w:rPr>
        <w:t>of</w:t>
      </w:r>
      <w:r>
        <w:rPr>
          <w:color w:val="231F20"/>
          <w:spacing w:val="-4"/>
        </w:rPr>
        <w:t xml:space="preserve"> </w:t>
      </w:r>
      <w:r>
        <w:rPr>
          <w:color w:val="231F20"/>
        </w:rPr>
        <w:t>$1.7</w:t>
      </w:r>
      <w:r>
        <w:rPr>
          <w:color w:val="231F20"/>
          <w:spacing w:val="-5"/>
        </w:rPr>
        <w:t xml:space="preserve"> </w:t>
      </w:r>
      <w:r>
        <w:rPr>
          <w:color w:val="231F20"/>
        </w:rPr>
        <w:t>million,</w:t>
      </w:r>
      <w:r>
        <w:rPr>
          <w:color w:val="231F20"/>
          <w:spacing w:val="-4"/>
        </w:rPr>
        <w:t xml:space="preserve"> </w:t>
      </w:r>
      <w:r>
        <w:rPr>
          <w:color w:val="231F20"/>
        </w:rPr>
        <w:t>$1.1</w:t>
      </w:r>
      <w:r>
        <w:rPr>
          <w:color w:val="231F20"/>
          <w:spacing w:val="-5"/>
        </w:rPr>
        <w:t xml:space="preserve"> </w:t>
      </w:r>
      <w:r>
        <w:rPr>
          <w:color w:val="231F20"/>
        </w:rPr>
        <w:t>million less</w:t>
      </w:r>
      <w:r>
        <w:rPr>
          <w:color w:val="231F20"/>
          <w:spacing w:val="-10"/>
        </w:rPr>
        <w:t xml:space="preserve"> </w:t>
      </w:r>
      <w:r>
        <w:rPr>
          <w:color w:val="231F20"/>
        </w:rPr>
        <w:t>than</w:t>
      </w:r>
      <w:r>
        <w:rPr>
          <w:color w:val="231F20"/>
          <w:spacing w:val="-11"/>
        </w:rPr>
        <w:t xml:space="preserve"> </w:t>
      </w:r>
      <w:r>
        <w:rPr>
          <w:color w:val="231F20"/>
        </w:rPr>
        <w:t>in</w:t>
      </w:r>
      <w:r>
        <w:rPr>
          <w:color w:val="231F20"/>
          <w:spacing w:val="-11"/>
        </w:rPr>
        <w:t xml:space="preserve"> </w:t>
      </w:r>
      <w:r>
        <w:rPr>
          <w:color w:val="231F20"/>
        </w:rPr>
        <w:t>2020–21.</w:t>
      </w:r>
      <w:r>
        <w:rPr>
          <w:color w:val="231F20"/>
          <w:spacing w:val="-10"/>
        </w:rPr>
        <w:t xml:space="preserve"> </w:t>
      </w:r>
      <w:r>
        <w:rPr>
          <w:color w:val="231F20"/>
        </w:rPr>
        <w:t>Both</w:t>
      </w:r>
      <w:r>
        <w:rPr>
          <w:color w:val="231F20"/>
          <w:spacing w:val="-11"/>
        </w:rPr>
        <w:t xml:space="preserve"> </w:t>
      </w:r>
      <w:r>
        <w:rPr>
          <w:color w:val="231F20"/>
        </w:rPr>
        <w:t>total</w:t>
      </w:r>
      <w:r>
        <w:rPr>
          <w:color w:val="231F20"/>
          <w:spacing w:val="-11"/>
        </w:rPr>
        <w:t xml:space="preserve"> </w:t>
      </w:r>
      <w:r>
        <w:rPr>
          <w:color w:val="231F20"/>
        </w:rPr>
        <w:t>income</w:t>
      </w:r>
      <w:r>
        <w:rPr>
          <w:color w:val="231F20"/>
          <w:spacing w:val="-11"/>
        </w:rPr>
        <w:t xml:space="preserve"> </w:t>
      </w:r>
      <w:r>
        <w:rPr>
          <w:color w:val="231F20"/>
        </w:rPr>
        <w:t>and</w:t>
      </w:r>
      <w:r>
        <w:rPr>
          <w:color w:val="231F20"/>
          <w:spacing w:val="-11"/>
        </w:rPr>
        <w:t xml:space="preserve"> </w:t>
      </w:r>
      <w:r>
        <w:rPr>
          <w:color w:val="231F20"/>
        </w:rPr>
        <w:t>expenses</w:t>
      </w:r>
      <w:r>
        <w:rPr>
          <w:color w:val="231F20"/>
          <w:spacing w:val="-10"/>
        </w:rPr>
        <w:t xml:space="preserve"> </w:t>
      </w:r>
      <w:r>
        <w:rPr>
          <w:color w:val="231F20"/>
        </w:rPr>
        <w:t>from</w:t>
      </w:r>
      <w:r>
        <w:rPr>
          <w:color w:val="231F20"/>
          <w:spacing w:val="-10"/>
        </w:rPr>
        <w:t xml:space="preserve"> </w:t>
      </w:r>
      <w:r>
        <w:rPr>
          <w:color w:val="231F20"/>
        </w:rPr>
        <w:t>transactions</w:t>
      </w:r>
      <w:r>
        <w:rPr>
          <w:color w:val="231F20"/>
          <w:spacing w:val="-10"/>
        </w:rPr>
        <w:t xml:space="preserve"> </w:t>
      </w:r>
      <w:r>
        <w:rPr>
          <w:color w:val="231F20"/>
        </w:rPr>
        <w:t>have</w:t>
      </w:r>
      <w:r>
        <w:rPr>
          <w:color w:val="231F20"/>
          <w:spacing w:val="-11"/>
        </w:rPr>
        <w:t xml:space="preserve"> </w:t>
      </w:r>
      <w:r>
        <w:rPr>
          <w:color w:val="231F20"/>
        </w:rPr>
        <w:t>steadily</w:t>
      </w:r>
      <w:r>
        <w:rPr>
          <w:color w:val="231F20"/>
          <w:spacing w:val="-10"/>
        </w:rPr>
        <w:t xml:space="preserve"> </w:t>
      </w:r>
      <w:r>
        <w:rPr>
          <w:color w:val="231F20"/>
        </w:rPr>
        <w:t>increased over the</w:t>
      </w:r>
      <w:r>
        <w:rPr>
          <w:color w:val="231F20"/>
          <w:spacing w:val="-1"/>
        </w:rPr>
        <w:t xml:space="preserve"> </w:t>
      </w:r>
      <w:r>
        <w:rPr>
          <w:color w:val="231F20"/>
        </w:rPr>
        <w:t>past four years, however, reduced</w:t>
      </w:r>
      <w:r>
        <w:rPr>
          <w:color w:val="231F20"/>
          <w:spacing w:val="-1"/>
        </w:rPr>
        <w:t xml:space="preserve"> </w:t>
      </w:r>
      <w:r>
        <w:rPr>
          <w:color w:val="231F20"/>
        </w:rPr>
        <w:t>in</w:t>
      </w:r>
      <w:r>
        <w:rPr>
          <w:color w:val="231F20"/>
          <w:spacing w:val="-1"/>
        </w:rPr>
        <w:t xml:space="preserve"> </w:t>
      </w:r>
      <w:r>
        <w:rPr>
          <w:color w:val="231F20"/>
        </w:rPr>
        <w:t>2021–22</w:t>
      </w:r>
      <w:r>
        <w:rPr>
          <w:color w:val="231F20"/>
          <w:spacing w:val="-1"/>
        </w:rPr>
        <w:t xml:space="preserve"> </w:t>
      </w:r>
      <w:r>
        <w:rPr>
          <w:color w:val="231F20"/>
        </w:rPr>
        <w:t>by 2.0</w:t>
      </w:r>
      <w:r>
        <w:rPr>
          <w:color w:val="231F20"/>
          <w:spacing w:val="-1"/>
        </w:rPr>
        <w:t xml:space="preserve"> </w:t>
      </w:r>
      <w:r>
        <w:rPr>
          <w:color w:val="231F20"/>
        </w:rPr>
        <w:t>per cent due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whole</w:t>
      </w:r>
      <w:r>
        <w:rPr>
          <w:color w:val="231F20"/>
          <w:spacing w:val="-1"/>
        </w:rPr>
        <w:t xml:space="preserve"> </w:t>
      </w:r>
      <w:r>
        <w:rPr>
          <w:color w:val="231F20"/>
        </w:rPr>
        <w:t xml:space="preserve">of government policy to discontinue the Capital Asset Charge (CAC) impacting both income and </w:t>
      </w:r>
      <w:r>
        <w:rPr>
          <w:color w:val="231F20"/>
          <w:spacing w:val="-2"/>
        </w:rPr>
        <w:t>expenditure.</w:t>
      </w:r>
    </w:p>
    <w:p w14:paraId="3CBEB0A6" w14:textId="77777777" w:rsidR="00345EE3" w:rsidRDefault="00345EE3" w:rsidP="00345EE3">
      <w:pPr>
        <w:pStyle w:val="BodyText"/>
        <w:spacing w:before="120" w:line="242" w:lineRule="auto"/>
        <w:ind w:right="995"/>
      </w:pPr>
      <w:r>
        <w:rPr>
          <w:color w:val="231F20"/>
        </w:rPr>
        <w:t>With</w:t>
      </w:r>
      <w:r>
        <w:rPr>
          <w:color w:val="231F20"/>
          <w:spacing w:val="-11"/>
        </w:rPr>
        <w:t xml:space="preserve"> </w:t>
      </w:r>
      <w:r>
        <w:rPr>
          <w:color w:val="231F20"/>
        </w:rPr>
        <w:t>the</w:t>
      </w:r>
      <w:r>
        <w:rPr>
          <w:color w:val="231F20"/>
          <w:spacing w:val="-11"/>
        </w:rPr>
        <w:t xml:space="preserve"> </w:t>
      </w:r>
      <w:r>
        <w:rPr>
          <w:color w:val="231F20"/>
        </w:rPr>
        <w:t>exception</w:t>
      </w:r>
      <w:r>
        <w:rPr>
          <w:color w:val="231F20"/>
          <w:spacing w:val="-11"/>
        </w:rPr>
        <w:t xml:space="preserve"> </w:t>
      </w:r>
      <w:r>
        <w:rPr>
          <w:color w:val="231F20"/>
        </w:rPr>
        <w:t>of</w:t>
      </w:r>
      <w:r>
        <w:rPr>
          <w:color w:val="231F20"/>
          <w:spacing w:val="-10"/>
        </w:rPr>
        <w:t xml:space="preserve"> </w:t>
      </w:r>
      <w:r>
        <w:rPr>
          <w:color w:val="231F20"/>
        </w:rPr>
        <w:t>CAC</w:t>
      </w:r>
      <w:r>
        <w:rPr>
          <w:color w:val="231F20"/>
          <w:spacing w:val="-11"/>
        </w:rPr>
        <w:t xml:space="preserve"> </w:t>
      </w:r>
      <w:r>
        <w:rPr>
          <w:color w:val="231F20"/>
        </w:rPr>
        <w:t>and</w:t>
      </w:r>
      <w:r>
        <w:rPr>
          <w:color w:val="231F20"/>
          <w:spacing w:val="-11"/>
        </w:rPr>
        <w:t xml:space="preserve"> </w:t>
      </w:r>
      <w:r>
        <w:rPr>
          <w:color w:val="231F20"/>
        </w:rPr>
        <w:t>Other</w:t>
      </w:r>
      <w:r>
        <w:rPr>
          <w:color w:val="231F20"/>
          <w:spacing w:val="-10"/>
        </w:rPr>
        <w:t xml:space="preserve"> </w:t>
      </w:r>
      <w:r>
        <w:rPr>
          <w:color w:val="231F20"/>
        </w:rPr>
        <w:t>Income</w:t>
      </w:r>
      <w:r>
        <w:rPr>
          <w:color w:val="231F20"/>
          <w:spacing w:val="-11"/>
        </w:rPr>
        <w:t xml:space="preserve"> </w:t>
      </w:r>
      <w:r>
        <w:rPr>
          <w:color w:val="231F20"/>
        </w:rPr>
        <w:t>consequently</w:t>
      </w:r>
      <w:r>
        <w:rPr>
          <w:color w:val="231F20"/>
          <w:spacing w:val="-10"/>
        </w:rPr>
        <w:t xml:space="preserve"> </w:t>
      </w:r>
      <w:r>
        <w:rPr>
          <w:color w:val="231F20"/>
        </w:rPr>
        <w:t>the</w:t>
      </w:r>
      <w:r>
        <w:rPr>
          <w:color w:val="231F20"/>
          <w:spacing w:val="-11"/>
        </w:rPr>
        <w:t xml:space="preserve"> </w:t>
      </w:r>
      <w:r>
        <w:rPr>
          <w:color w:val="231F20"/>
        </w:rPr>
        <w:t>expenditure</w:t>
      </w:r>
      <w:r>
        <w:rPr>
          <w:color w:val="231F20"/>
          <w:spacing w:val="-11"/>
        </w:rPr>
        <w:t xml:space="preserve"> </w:t>
      </w:r>
      <w:r>
        <w:rPr>
          <w:color w:val="231F20"/>
        </w:rPr>
        <w:t>increased</w:t>
      </w:r>
      <w:r>
        <w:rPr>
          <w:color w:val="231F20"/>
          <w:spacing w:val="-11"/>
        </w:rPr>
        <w:t xml:space="preserve"> </w:t>
      </w:r>
      <w:r>
        <w:rPr>
          <w:color w:val="231F20"/>
        </w:rPr>
        <w:t>primarily in annual government grants to support output service delivery, namely:</w:t>
      </w:r>
    </w:p>
    <w:p w14:paraId="7A8BA259" w14:textId="77777777" w:rsidR="00345EE3" w:rsidRDefault="00345EE3">
      <w:pPr>
        <w:pStyle w:val="ListParagraph"/>
        <w:numPr>
          <w:ilvl w:val="0"/>
          <w:numId w:val="87"/>
        </w:numPr>
        <w:tabs>
          <w:tab w:val="left" w:pos="393"/>
          <w:tab w:val="left" w:pos="394"/>
        </w:tabs>
        <w:spacing w:before="30" w:line="242" w:lineRule="auto"/>
        <w:ind w:right="1919"/>
        <w:rPr>
          <w:sz w:val="24"/>
        </w:rPr>
      </w:pPr>
      <w:r>
        <w:rPr>
          <w:color w:val="231F20"/>
          <w:sz w:val="24"/>
        </w:rPr>
        <w:t>Incremental</w:t>
      </w:r>
      <w:r>
        <w:rPr>
          <w:color w:val="231F20"/>
          <w:spacing w:val="-16"/>
          <w:sz w:val="24"/>
        </w:rPr>
        <w:t xml:space="preserve"> </w:t>
      </w:r>
      <w:r>
        <w:rPr>
          <w:color w:val="231F20"/>
          <w:sz w:val="24"/>
        </w:rPr>
        <w:t>increases</w:t>
      </w:r>
      <w:r>
        <w:rPr>
          <w:color w:val="231F20"/>
          <w:spacing w:val="-16"/>
          <w:sz w:val="24"/>
        </w:rPr>
        <w:t xml:space="preserve"> </w:t>
      </w:r>
      <w:r>
        <w:rPr>
          <w:color w:val="231F20"/>
          <w:sz w:val="24"/>
        </w:rPr>
        <w:t>associated</w:t>
      </w:r>
      <w:r>
        <w:rPr>
          <w:color w:val="231F20"/>
          <w:spacing w:val="-16"/>
          <w:sz w:val="24"/>
        </w:rPr>
        <w:t xml:space="preserve"> </w:t>
      </w:r>
      <w:r>
        <w:rPr>
          <w:color w:val="231F20"/>
          <w:sz w:val="24"/>
        </w:rPr>
        <w:t>with</w:t>
      </w:r>
      <w:r>
        <w:rPr>
          <w:color w:val="231F20"/>
          <w:spacing w:val="-16"/>
          <w:sz w:val="24"/>
        </w:rPr>
        <w:t xml:space="preserve"> </w:t>
      </w:r>
      <w:r>
        <w:rPr>
          <w:color w:val="231F20"/>
          <w:sz w:val="24"/>
        </w:rPr>
        <w:t>approved</w:t>
      </w:r>
      <w:r>
        <w:rPr>
          <w:color w:val="231F20"/>
          <w:spacing w:val="-16"/>
          <w:sz w:val="24"/>
        </w:rPr>
        <w:t xml:space="preserve"> </w:t>
      </w:r>
      <w:r>
        <w:rPr>
          <w:color w:val="231F20"/>
          <w:sz w:val="24"/>
        </w:rPr>
        <w:t>government</w:t>
      </w:r>
      <w:r>
        <w:rPr>
          <w:color w:val="231F20"/>
          <w:spacing w:val="-16"/>
          <w:sz w:val="24"/>
        </w:rPr>
        <w:t xml:space="preserve"> </w:t>
      </w:r>
      <w:r>
        <w:rPr>
          <w:color w:val="231F20"/>
          <w:sz w:val="24"/>
        </w:rPr>
        <w:t>decisions</w:t>
      </w:r>
      <w:r>
        <w:rPr>
          <w:color w:val="231F20"/>
          <w:spacing w:val="-16"/>
          <w:sz w:val="24"/>
        </w:rPr>
        <w:t xml:space="preserve"> </w:t>
      </w:r>
      <w:r>
        <w:rPr>
          <w:color w:val="231F20"/>
          <w:sz w:val="24"/>
        </w:rPr>
        <w:t>including</w:t>
      </w:r>
      <w:r>
        <w:rPr>
          <w:color w:val="231F20"/>
          <w:spacing w:val="-16"/>
          <w:sz w:val="24"/>
        </w:rPr>
        <w:t xml:space="preserve"> </w:t>
      </w:r>
      <w:r>
        <w:rPr>
          <w:color w:val="231F20"/>
          <w:sz w:val="24"/>
        </w:rPr>
        <w:t>the Community Safety Statement</w:t>
      </w:r>
    </w:p>
    <w:p w14:paraId="59E02C90" w14:textId="77777777" w:rsidR="00345EE3" w:rsidRDefault="00345EE3">
      <w:pPr>
        <w:pStyle w:val="ListParagraph"/>
        <w:numPr>
          <w:ilvl w:val="0"/>
          <w:numId w:val="87"/>
        </w:numPr>
        <w:tabs>
          <w:tab w:val="left" w:pos="393"/>
          <w:tab w:val="left" w:pos="394"/>
        </w:tabs>
        <w:spacing w:before="31"/>
        <w:rPr>
          <w:sz w:val="24"/>
        </w:rPr>
      </w:pPr>
      <w:r>
        <w:rPr>
          <w:color w:val="231F20"/>
          <w:sz w:val="24"/>
        </w:rPr>
        <w:t>Operational</w:t>
      </w:r>
      <w:r>
        <w:rPr>
          <w:color w:val="231F20"/>
          <w:spacing w:val="-15"/>
          <w:sz w:val="24"/>
        </w:rPr>
        <w:t xml:space="preserve"> </w:t>
      </w:r>
      <w:r>
        <w:rPr>
          <w:color w:val="231F20"/>
          <w:sz w:val="24"/>
        </w:rPr>
        <w:t>response</w:t>
      </w:r>
      <w:r>
        <w:rPr>
          <w:color w:val="231F20"/>
          <w:spacing w:val="-12"/>
          <w:sz w:val="24"/>
        </w:rPr>
        <w:t xml:space="preserve"> </w:t>
      </w:r>
      <w:r>
        <w:rPr>
          <w:color w:val="231F20"/>
          <w:sz w:val="24"/>
        </w:rPr>
        <w:t>to</w:t>
      </w:r>
      <w:r>
        <w:rPr>
          <w:color w:val="231F20"/>
          <w:spacing w:val="-13"/>
          <w:sz w:val="24"/>
        </w:rPr>
        <w:t xml:space="preserve"> </w:t>
      </w:r>
      <w:r>
        <w:rPr>
          <w:color w:val="231F20"/>
          <w:sz w:val="24"/>
        </w:rPr>
        <w:t>the</w:t>
      </w:r>
      <w:r>
        <w:rPr>
          <w:color w:val="231F20"/>
          <w:spacing w:val="-12"/>
          <w:sz w:val="24"/>
        </w:rPr>
        <w:t xml:space="preserve"> </w:t>
      </w:r>
      <w:r>
        <w:rPr>
          <w:color w:val="231F20"/>
          <w:sz w:val="24"/>
        </w:rPr>
        <w:t>COVID-19</w:t>
      </w:r>
      <w:r>
        <w:rPr>
          <w:color w:val="231F20"/>
          <w:spacing w:val="-12"/>
          <w:sz w:val="24"/>
        </w:rPr>
        <w:t xml:space="preserve"> </w:t>
      </w:r>
      <w:r>
        <w:rPr>
          <w:color w:val="231F20"/>
          <w:spacing w:val="-2"/>
          <w:sz w:val="24"/>
        </w:rPr>
        <w:t>pandemic</w:t>
      </w:r>
    </w:p>
    <w:p w14:paraId="081A7073" w14:textId="77777777" w:rsidR="00345EE3" w:rsidRDefault="00345EE3">
      <w:pPr>
        <w:pStyle w:val="ListParagraph"/>
        <w:numPr>
          <w:ilvl w:val="0"/>
          <w:numId w:val="87"/>
        </w:numPr>
        <w:tabs>
          <w:tab w:val="left" w:pos="393"/>
          <w:tab w:val="left" w:pos="394"/>
        </w:tabs>
        <w:spacing w:line="242" w:lineRule="auto"/>
        <w:ind w:right="1925"/>
        <w:rPr>
          <w:sz w:val="24"/>
        </w:rPr>
      </w:pPr>
      <w:r>
        <w:rPr>
          <w:color w:val="231F20"/>
          <w:sz w:val="24"/>
        </w:rPr>
        <w:t>Wage</w:t>
      </w:r>
      <w:r>
        <w:rPr>
          <w:color w:val="231F20"/>
          <w:spacing w:val="-12"/>
          <w:sz w:val="24"/>
        </w:rPr>
        <w:t xml:space="preserve"> </w:t>
      </w:r>
      <w:r>
        <w:rPr>
          <w:color w:val="231F20"/>
          <w:sz w:val="24"/>
        </w:rPr>
        <w:t>indexation</w:t>
      </w:r>
      <w:r>
        <w:rPr>
          <w:color w:val="231F20"/>
          <w:spacing w:val="-12"/>
          <w:sz w:val="24"/>
        </w:rPr>
        <w:t xml:space="preserve"> </w:t>
      </w:r>
      <w:r>
        <w:rPr>
          <w:color w:val="231F20"/>
          <w:sz w:val="24"/>
        </w:rPr>
        <w:t>associated</w:t>
      </w:r>
      <w:r>
        <w:rPr>
          <w:color w:val="231F20"/>
          <w:spacing w:val="-12"/>
          <w:sz w:val="24"/>
        </w:rPr>
        <w:t xml:space="preserve"> </w:t>
      </w:r>
      <w:r>
        <w:rPr>
          <w:color w:val="231F20"/>
          <w:sz w:val="24"/>
        </w:rPr>
        <w:t>with</w:t>
      </w:r>
      <w:r>
        <w:rPr>
          <w:color w:val="231F20"/>
          <w:spacing w:val="-12"/>
          <w:sz w:val="24"/>
        </w:rPr>
        <w:t xml:space="preserve"> </w:t>
      </w:r>
      <w:r>
        <w:rPr>
          <w:color w:val="231F20"/>
          <w:sz w:val="24"/>
        </w:rPr>
        <w:t>Sworn</w:t>
      </w:r>
      <w:r>
        <w:rPr>
          <w:color w:val="231F20"/>
          <w:spacing w:val="-12"/>
          <w:sz w:val="24"/>
        </w:rPr>
        <w:t xml:space="preserve"> </w:t>
      </w:r>
      <w:r>
        <w:rPr>
          <w:color w:val="231F20"/>
          <w:sz w:val="24"/>
        </w:rPr>
        <w:t>and</w:t>
      </w:r>
      <w:r>
        <w:rPr>
          <w:color w:val="231F20"/>
          <w:spacing w:val="-12"/>
          <w:sz w:val="24"/>
        </w:rPr>
        <w:t xml:space="preserve"> </w:t>
      </w:r>
      <w:r>
        <w:rPr>
          <w:color w:val="231F20"/>
          <w:sz w:val="24"/>
        </w:rPr>
        <w:t>Victoria</w:t>
      </w:r>
      <w:r>
        <w:rPr>
          <w:color w:val="231F20"/>
          <w:spacing w:val="-12"/>
          <w:sz w:val="24"/>
        </w:rPr>
        <w:t xml:space="preserve"> </w:t>
      </w:r>
      <w:r>
        <w:rPr>
          <w:color w:val="231F20"/>
          <w:sz w:val="24"/>
        </w:rPr>
        <w:t>Public</w:t>
      </w:r>
      <w:r>
        <w:rPr>
          <w:color w:val="231F20"/>
          <w:spacing w:val="-11"/>
          <w:sz w:val="24"/>
        </w:rPr>
        <w:t xml:space="preserve"> </w:t>
      </w:r>
      <w:r>
        <w:rPr>
          <w:color w:val="231F20"/>
          <w:sz w:val="24"/>
        </w:rPr>
        <w:t>Sector</w:t>
      </w:r>
      <w:r>
        <w:rPr>
          <w:color w:val="231F20"/>
          <w:spacing w:val="-11"/>
          <w:sz w:val="24"/>
        </w:rPr>
        <w:t xml:space="preserve"> </w:t>
      </w:r>
      <w:r>
        <w:rPr>
          <w:color w:val="231F20"/>
          <w:sz w:val="24"/>
        </w:rPr>
        <w:t>(VPS)</w:t>
      </w:r>
      <w:r>
        <w:rPr>
          <w:color w:val="231F20"/>
          <w:spacing w:val="-11"/>
          <w:sz w:val="24"/>
        </w:rPr>
        <w:t xml:space="preserve"> </w:t>
      </w:r>
      <w:r>
        <w:rPr>
          <w:color w:val="231F20"/>
          <w:sz w:val="24"/>
        </w:rPr>
        <w:t>Enterprise Bargaining Agreement.</w:t>
      </w:r>
    </w:p>
    <w:p w14:paraId="7958A0F9" w14:textId="77777777" w:rsidR="00345EE3" w:rsidRDefault="00345EE3" w:rsidP="00345EE3">
      <w:pPr>
        <w:pStyle w:val="BodyText"/>
        <w:spacing w:before="116"/>
        <w:jc w:val="both"/>
      </w:pPr>
      <w:r>
        <w:rPr>
          <w:color w:val="231F20"/>
        </w:rPr>
        <w:t>The</w:t>
      </w:r>
      <w:r>
        <w:rPr>
          <w:color w:val="231F20"/>
          <w:spacing w:val="-10"/>
        </w:rPr>
        <w:t xml:space="preserve"> </w:t>
      </w:r>
      <w:r>
        <w:rPr>
          <w:color w:val="231F20"/>
        </w:rPr>
        <w:t>overall</w:t>
      </w:r>
      <w:r>
        <w:rPr>
          <w:color w:val="231F20"/>
          <w:spacing w:val="-8"/>
        </w:rPr>
        <w:t xml:space="preserve"> </w:t>
      </w:r>
      <w:r>
        <w:rPr>
          <w:color w:val="231F20"/>
        </w:rPr>
        <w:t>net</w:t>
      </w:r>
      <w:r>
        <w:rPr>
          <w:color w:val="231F20"/>
          <w:spacing w:val="-7"/>
        </w:rPr>
        <w:t xml:space="preserve"> </w:t>
      </w:r>
      <w:r>
        <w:rPr>
          <w:color w:val="231F20"/>
        </w:rPr>
        <w:t>result</w:t>
      </w:r>
      <w:r>
        <w:rPr>
          <w:color w:val="231F20"/>
          <w:spacing w:val="-7"/>
        </w:rPr>
        <w:t xml:space="preserve"> </w:t>
      </w:r>
      <w:r>
        <w:rPr>
          <w:color w:val="231F20"/>
        </w:rPr>
        <w:t>for</w:t>
      </w:r>
      <w:r>
        <w:rPr>
          <w:color w:val="231F20"/>
          <w:spacing w:val="-7"/>
        </w:rPr>
        <w:t xml:space="preserve"> </w:t>
      </w:r>
      <w:r>
        <w:rPr>
          <w:color w:val="231F20"/>
        </w:rPr>
        <w:t>the</w:t>
      </w:r>
      <w:r>
        <w:rPr>
          <w:color w:val="231F20"/>
          <w:spacing w:val="-8"/>
        </w:rPr>
        <w:t xml:space="preserve"> </w:t>
      </w:r>
      <w:r>
        <w:rPr>
          <w:color w:val="231F20"/>
        </w:rPr>
        <w:t>year</w:t>
      </w:r>
      <w:r>
        <w:rPr>
          <w:color w:val="231F20"/>
          <w:spacing w:val="-7"/>
        </w:rPr>
        <w:t xml:space="preserve"> </w:t>
      </w:r>
      <w:r>
        <w:rPr>
          <w:color w:val="231F20"/>
        </w:rPr>
        <w:t>was</w:t>
      </w:r>
      <w:r>
        <w:rPr>
          <w:color w:val="231F20"/>
          <w:spacing w:val="-7"/>
        </w:rPr>
        <w:t xml:space="preserve"> </w:t>
      </w:r>
      <w:r>
        <w:rPr>
          <w:color w:val="231F20"/>
        </w:rPr>
        <w:t>a</w:t>
      </w:r>
      <w:r>
        <w:rPr>
          <w:color w:val="231F20"/>
          <w:spacing w:val="-8"/>
        </w:rPr>
        <w:t xml:space="preserve"> </w:t>
      </w:r>
      <w:r>
        <w:rPr>
          <w:color w:val="231F20"/>
        </w:rPr>
        <w:t>surplus</w:t>
      </w:r>
      <w:r>
        <w:rPr>
          <w:color w:val="231F20"/>
          <w:spacing w:val="-7"/>
        </w:rPr>
        <w:t xml:space="preserve"> </w:t>
      </w:r>
      <w:r>
        <w:rPr>
          <w:color w:val="231F20"/>
        </w:rPr>
        <w:t>of</w:t>
      </w:r>
      <w:r>
        <w:rPr>
          <w:color w:val="231F20"/>
          <w:spacing w:val="-7"/>
        </w:rPr>
        <w:t xml:space="preserve"> </w:t>
      </w:r>
      <w:r>
        <w:rPr>
          <w:color w:val="231F20"/>
        </w:rPr>
        <w:t>$86.9</w:t>
      </w:r>
      <w:r>
        <w:rPr>
          <w:color w:val="231F20"/>
          <w:spacing w:val="-8"/>
        </w:rPr>
        <w:t xml:space="preserve"> </w:t>
      </w:r>
      <w:r>
        <w:rPr>
          <w:color w:val="231F20"/>
        </w:rPr>
        <w:t>million</w:t>
      </w:r>
      <w:r>
        <w:rPr>
          <w:color w:val="231F20"/>
          <w:spacing w:val="-8"/>
        </w:rPr>
        <w:t xml:space="preserve"> </w:t>
      </w:r>
      <w:r>
        <w:rPr>
          <w:color w:val="231F20"/>
        </w:rPr>
        <w:t>in</w:t>
      </w:r>
      <w:r>
        <w:rPr>
          <w:color w:val="231F20"/>
          <w:spacing w:val="-8"/>
        </w:rPr>
        <w:t xml:space="preserve"> </w:t>
      </w:r>
      <w:r>
        <w:rPr>
          <w:color w:val="231F20"/>
        </w:rPr>
        <w:t>2021–22</w:t>
      </w:r>
      <w:r>
        <w:rPr>
          <w:color w:val="231F20"/>
          <w:spacing w:val="-8"/>
        </w:rPr>
        <w:t xml:space="preserve"> </w:t>
      </w:r>
      <w:r>
        <w:rPr>
          <w:color w:val="231F20"/>
        </w:rPr>
        <w:t>an</w:t>
      </w:r>
      <w:r>
        <w:rPr>
          <w:color w:val="231F20"/>
          <w:spacing w:val="-8"/>
        </w:rPr>
        <w:t xml:space="preserve"> </w:t>
      </w:r>
      <w:r>
        <w:rPr>
          <w:color w:val="231F20"/>
        </w:rPr>
        <w:t>increase</w:t>
      </w:r>
      <w:r>
        <w:rPr>
          <w:color w:val="231F20"/>
          <w:spacing w:val="-7"/>
        </w:rPr>
        <w:t xml:space="preserve"> </w:t>
      </w:r>
      <w:r>
        <w:rPr>
          <w:color w:val="231F20"/>
          <w:spacing w:val="-4"/>
        </w:rPr>
        <w:t>from</w:t>
      </w:r>
    </w:p>
    <w:p w14:paraId="58246F4F" w14:textId="77777777" w:rsidR="00345EE3" w:rsidRDefault="00345EE3" w:rsidP="00345EE3">
      <w:pPr>
        <w:pStyle w:val="BodyText"/>
        <w:spacing w:before="5" w:line="242" w:lineRule="auto"/>
        <w:ind w:right="1081"/>
        <w:jc w:val="both"/>
      </w:pPr>
      <w:r>
        <w:rPr>
          <w:color w:val="231F20"/>
        </w:rPr>
        <w:t>$24.9</w:t>
      </w:r>
      <w:r>
        <w:rPr>
          <w:color w:val="231F20"/>
          <w:spacing w:val="-4"/>
        </w:rPr>
        <w:t xml:space="preserve"> </w:t>
      </w:r>
      <w:r>
        <w:rPr>
          <w:color w:val="231F20"/>
        </w:rPr>
        <w:t>million</w:t>
      </w:r>
      <w:r>
        <w:rPr>
          <w:color w:val="231F20"/>
          <w:spacing w:val="-4"/>
        </w:rPr>
        <w:t xml:space="preserve"> </w:t>
      </w:r>
      <w:r>
        <w:rPr>
          <w:color w:val="231F20"/>
        </w:rPr>
        <w:t>in</w:t>
      </w:r>
      <w:r>
        <w:rPr>
          <w:color w:val="231F20"/>
          <w:spacing w:val="-4"/>
        </w:rPr>
        <w:t xml:space="preserve"> </w:t>
      </w:r>
      <w:r>
        <w:rPr>
          <w:color w:val="231F20"/>
        </w:rPr>
        <w:t>2020–21</w:t>
      </w:r>
      <w:r>
        <w:rPr>
          <w:color w:val="231F20"/>
          <w:spacing w:val="-4"/>
        </w:rPr>
        <w:t xml:space="preserve"> </w:t>
      </w:r>
      <w:r>
        <w:rPr>
          <w:color w:val="231F20"/>
        </w:rPr>
        <w:t>as</w:t>
      </w:r>
      <w:r>
        <w:rPr>
          <w:color w:val="231F20"/>
          <w:spacing w:val="-3"/>
        </w:rPr>
        <w:t xml:space="preserve"> </w:t>
      </w:r>
      <w:r>
        <w:rPr>
          <w:color w:val="231F20"/>
        </w:rPr>
        <w:t>a</w:t>
      </w:r>
      <w:r>
        <w:rPr>
          <w:color w:val="231F20"/>
          <w:spacing w:val="-4"/>
        </w:rPr>
        <w:t xml:space="preserve"> </w:t>
      </w:r>
      <w:r>
        <w:rPr>
          <w:color w:val="231F20"/>
        </w:rPr>
        <w:t>result</w:t>
      </w:r>
      <w:r>
        <w:rPr>
          <w:color w:val="231F20"/>
          <w:spacing w:val="-3"/>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net</w:t>
      </w:r>
      <w:r>
        <w:rPr>
          <w:color w:val="231F20"/>
          <w:spacing w:val="-3"/>
        </w:rPr>
        <w:t xml:space="preserve"> </w:t>
      </w:r>
      <w:r>
        <w:rPr>
          <w:color w:val="231F20"/>
        </w:rPr>
        <w:t>gain</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revaluation</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long</w:t>
      </w:r>
      <w:r>
        <w:rPr>
          <w:color w:val="231F20"/>
          <w:spacing w:val="-4"/>
        </w:rPr>
        <w:t xml:space="preserve"> </w:t>
      </w:r>
      <w:r>
        <w:rPr>
          <w:color w:val="231F20"/>
        </w:rPr>
        <w:t>service</w:t>
      </w:r>
      <w:r>
        <w:rPr>
          <w:color w:val="231F20"/>
          <w:spacing w:val="-4"/>
        </w:rPr>
        <w:t xml:space="preserve"> </w:t>
      </w:r>
      <w:r>
        <w:rPr>
          <w:color w:val="231F20"/>
        </w:rPr>
        <w:t>leave liability.</w:t>
      </w:r>
      <w:r>
        <w:rPr>
          <w:color w:val="231F20"/>
          <w:spacing w:val="-10"/>
        </w:rPr>
        <w:t xml:space="preserve"> </w:t>
      </w:r>
      <w:r>
        <w:rPr>
          <w:color w:val="231F20"/>
        </w:rPr>
        <w:t>This</w:t>
      </w:r>
      <w:r>
        <w:rPr>
          <w:color w:val="231F20"/>
          <w:spacing w:val="-8"/>
        </w:rPr>
        <w:t xml:space="preserve"> </w:t>
      </w:r>
      <w:r>
        <w:rPr>
          <w:color w:val="231F20"/>
        </w:rPr>
        <w:t>gain</w:t>
      </w:r>
      <w:r>
        <w:rPr>
          <w:color w:val="231F20"/>
          <w:spacing w:val="-9"/>
        </w:rPr>
        <w:t xml:space="preserve"> </w:t>
      </w:r>
      <w:r>
        <w:rPr>
          <w:color w:val="231F20"/>
        </w:rPr>
        <w:t>was</w:t>
      </w:r>
      <w:r>
        <w:rPr>
          <w:color w:val="231F20"/>
          <w:spacing w:val="-8"/>
        </w:rPr>
        <w:t xml:space="preserve"> </w:t>
      </w:r>
      <w:r>
        <w:rPr>
          <w:color w:val="231F20"/>
        </w:rPr>
        <w:t>due</w:t>
      </w:r>
      <w:r>
        <w:rPr>
          <w:color w:val="231F20"/>
          <w:spacing w:val="-9"/>
        </w:rPr>
        <w:t xml:space="preserve"> </w:t>
      </w:r>
      <w:r>
        <w:rPr>
          <w:color w:val="231F20"/>
        </w:rPr>
        <w:t>to</w:t>
      </w:r>
      <w:r>
        <w:rPr>
          <w:color w:val="231F20"/>
          <w:spacing w:val="-9"/>
        </w:rPr>
        <w:t xml:space="preserve"> </w:t>
      </w:r>
      <w:r>
        <w:rPr>
          <w:color w:val="231F20"/>
        </w:rPr>
        <w:t>an</w:t>
      </w:r>
      <w:r>
        <w:rPr>
          <w:color w:val="231F20"/>
          <w:spacing w:val="-9"/>
        </w:rPr>
        <w:t xml:space="preserve"> </w:t>
      </w:r>
      <w:r>
        <w:rPr>
          <w:color w:val="231F20"/>
        </w:rPr>
        <w:t>improved</w:t>
      </w:r>
      <w:r>
        <w:rPr>
          <w:color w:val="231F20"/>
          <w:spacing w:val="-9"/>
        </w:rPr>
        <w:t xml:space="preserve"> </w:t>
      </w:r>
      <w:r>
        <w:rPr>
          <w:color w:val="231F20"/>
        </w:rPr>
        <w:t>discount</w:t>
      </w:r>
      <w:r>
        <w:rPr>
          <w:color w:val="231F20"/>
          <w:spacing w:val="-8"/>
        </w:rPr>
        <w:t xml:space="preserve"> </w:t>
      </w:r>
      <w:r>
        <w:rPr>
          <w:color w:val="231F20"/>
        </w:rPr>
        <w:t>rate</w:t>
      </w:r>
      <w:r>
        <w:rPr>
          <w:color w:val="231F20"/>
          <w:spacing w:val="-9"/>
        </w:rPr>
        <w:t xml:space="preserve"> </w:t>
      </w:r>
      <w:r>
        <w:rPr>
          <w:color w:val="231F20"/>
        </w:rPr>
        <w:t>from</w:t>
      </w:r>
      <w:r>
        <w:rPr>
          <w:color w:val="231F20"/>
          <w:spacing w:val="-17"/>
        </w:rPr>
        <w:t xml:space="preserve"> </w:t>
      </w:r>
      <w:r>
        <w:rPr>
          <w:color w:val="231F20"/>
        </w:rPr>
        <w:t>1.5</w:t>
      </w:r>
      <w:r>
        <w:rPr>
          <w:color w:val="231F20"/>
          <w:spacing w:val="-8"/>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in</w:t>
      </w:r>
      <w:r>
        <w:rPr>
          <w:color w:val="231F20"/>
          <w:spacing w:val="-9"/>
        </w:rPr>
        <w:t xml:space="preserve"> </w:t>
      </w:r>
      <w:r>
        <w:rPr>
          <w:color w:val="231F20"/>
        </w:rPr>
        <w:t>2020–21</w:t>
      </w:r>
      <w:r>
        <w:rPr>
          <w:color w:val="231F20"/>
          <w:spacing w:val="-9"/>
        </w:rPr>
        <w:t xml:space="preserve"> </w:t>
      </w:r>
      <w:r>
        <w:rPr>
          <w:color w:val="231F20"/>
        </w:rPr>
        <w:t>to</w:t>
      </w:r>
      <w:r>
        <w:rPr>
          <w:color w:val="231F20"/>
          <w:spacing w:val="-9"/>
        </w:rPr>
        <w:t xml:space="preserve"> </w:t>
      </w:r>
      <w:r>
        <w:rPr>
          <w:color w:val="231F20"/>
        </w:rPr>
        <w:t>3.7</w:t>
      </w:r>
      <w:r>
        <w:rPr>
          <w:color w:val="231F20"/>
          <w:spacing w:val="-9"/>
        </w:rPr>
        <w:t xml:space="preserve"> </w:t>
      </w:r>
      <w:r>
        <w:rPr>
          <w:color w:val="231F20"/>
        </w:rPr>
        <w:t>per cent in 2021–22</w:t>
      </w:r>
    </w:p>
    <w:p w14:paraId="0BC43468" w14:textId="0C8371E3" w:rsidR="00345EE3" w:rsidRDefault="00345EE3" w:rsidP="0052306E">
      <w:pPr>
        <w:pStyle w:val="BodyText"/>
        <w:spacing w:before="117" w:line="242" w:lineRule="auto"/>
        <w:ind w:right="848"/>
        <w:rPr>
          <w:color w:val="00529F"/>
          <w:sz w:val="32"/>
          <w:szCs w:val="32"/>
        </w:rPr>
      </w:pPr>
      <w:r>
        <w:rPr>
          <w:color w:val="231F20"/>
        </w:rPr>
        <w:t>The</w:t>
      </w:r>
      <w:r>
        <w:rPr>
          <w:color w:val="231F20"/>
          <w:spacing w:val="-6"/>
        </w:rPr>
        <w:t xml:space="preserve"> </w:t>
      </w:r>
      <w:r>
        <w:rPr>
          <w:color w:val="231F20"/>
        </w:rPr>
        <w:t>surplus</w:t>
      </w:r>
      <w:r>
        <w:rPr>
          <w:color w:val="231F20"/>
          <w:spacing w:val="-5"/>
        </w:rPr>
        <w:t xml:space="preserve"> </w:t>
      </w:r>
      <w:r>
        <w:rPr>
          <w:color w:val="231F20"/>
        </w:rPr>
        <w:t>of</w:t>
      </w:r>
      <w:r>
        <w:rPr>
          <w:color w:val="231F20"/>
          <w:spacing w:val="-5"/>
        </w:rPr>
        <w:t xml:space="preserve"> </w:t>
      </w:r>
      <w:r>
        <w:rPr>
          <w:color w:val="231F20"/>
        </w:rPr>
        <w:t>$86.9</w:t>
      </w:r>
      <w:r>
        <w:rPr>
          <w:color w:val="231F20"/>
          <w:spacing w:val="-6"/>
        </w:rPr>
        <w:t xml:space="preserve"> </w:t>
      </w:r>
      <w:r>
        <w:rPr>
          <w:color w:val="231F20"/>
        </w:rPr>
        <w:t>million</w:t>
      </w:r>
      <w:r>
        <w:rPr>
          <w:color w:val="231F20"/>
          <w:spacing w:val="-6"/>
        </w:rPr>
        <w:t xml:space="preserve"> </w:t>
      </w:r>
      <w:r>
        <w:rPr>
          <w:color w:val="231F20"/>
        </w:rPr>
        <w:t>is</w:t>
      </w:r>
      <w:r>
        <w:rPr>
          <w:color w:val="231F20"/>
          <w:spacing w:val="-5"/>
        </w:rPr>
        <w:t xml:space="preserve"> </w:t>
      </w:r>
      <w:r>
        <w:rPr>
          <w:color w:val="231F20"/>
        </w:rPr>
        <w:t>contributing</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growth</w:t>
      </w:r>
      <w:r>
        <w:rPr>
          <w:color w:val="231F20"/>
          <w:spacing w:val="-6"/>
        </w:rPr>
        <w:t xml:space="preserve"> </w:t>
      </w:r>
      <w:r>
        <w:rPr>
          <w:color w:val="231F20"/>
        </w:rPr>
        <w:t>in</w:t>
      </w:r>
      <w:r>
        <w:rPr>
          <w:color w:val="231F20"/>
          <w:spacing w:val="-6"/>
        </w:rPr>
        <w:t xml:space="preserve"> </w:t>
      </w:r>
      <w:r>
        <w:rPr>
          <w:color w:val="231F20"/>
        </w:rPr>
        <w:t>total</w:t>
      </w:r>
      <w:r>
        <w:rPr>
          <w:color w:val="231F20"/>
          <w:spacing w:val="-6"/>
        </w:rPr>
        <w:t xml:space="preserve"> </w:t>
      </w:r>
      <w:r>
        <w:rPr>
          <w:color w:val="231F20"/>
        </w:rPr>
        <w:t>net</w:t>
      </w:r>
      <w:r>
        <w:rPr>
          <w:color w:val="231F20"/>
          <w:spacing w:val="-5"/>
        </w:rPr>
        <w:t xml:space="preserve"> </w:t>
      </w:r>
      <w:r>
        <w:rPr>
          <w:color w:val="231F20"/>
        </w:rPr>
        <w:t>worth</w:t>
      </w:r>
      <w:r>
        <w:rPr>
          <w:color w:val="231F20"/>
          <w:spacing w:val="-6"/>
        </w:rPr>
        <w:t xml:space="preserve"> </w:t>
      </w:r>
      <w:r>
        <w:rPr>
          <w:color w:val="231F20"/>
        </w:rPr>
        <w:t>which</w:t>
      </w:r>
      <w:r>
        <w:rPr>
          <w:color w:val="231F20"/>
          <w:spacing w:val="-6"/>
        </w:rPr>
        <w:t xml:space="preserve"> </w:t>
      </w:r>
      <w:r>
        <w:rPr>
          <w:color w:val="231F20"/>
        </w:rPr>
        <w:t>saw</w:t>
      </w:r>
      <w:r>
        <w:rPr>
          <w:color w:val="231F20"/>
          <w:spacing w:val="-6"/>
        </w:rPr>
        <w:t xml:space="preserve"> </w:t>
      </w:r>
      <w:r>
        <w:rPr>
          <w:color w:val="231F20"/>
        </w:rPr>
        <w:t>an</w:t>
      </w:r>
      <w:r>
        <w:rPr>
          <w:color w:val="231F20"/>
          <w:spacing w:val="-6"/>
        </w:rPr>
        <w:t xml:space="preserve"> </w:t>
      </w:r>
      <w:r>
        <w:rPr>
          <w:color w:val="231F20"/>
        </w:rPr>
        <w:t>increase of</w:t>
      </w:r>
      <w:r>
        <w:rPr>
          <w:color w:val="231F20"/>
          <w:spacing w:val="-1"/>
        </w:rPr>
        <w:t xml:space="preserve"> </w:t>
      </w:r>
      <w:r>
        <w:rPr>
          <w:color w:val="231F20"/>
        </w:rPr>
        <w:t>$130.3</w:t>
      </w:r>
      <w:r>
        <w:rPr>
          <w:color w:val="231F20"/>
          <w:spacing w:val="-1"/>
        </w:rPr>
        <w:t xml:space="preserve"> </w:t>
      </w:r>
      <w:r>
        <w:rPr>
          <w:color w:val="231F20"/>
        </w:rPr>
        <w:t>million</w:t>
      </w:r>
      <w:r>
        <w:rPr>
          <w:color w:val="231F20"/>
          <w:spacing w:val="-2"/>
        </w:rPr>
        <w:t xml:space="preserve"> </w:t>
      </w:r>
      <w:r>
        <w:rPr>
          <w:color w:val="231F20"/>
        </w:rPr>
        <w:t>in</w:t>
      </w:r>
      <w:r>
        <w:rPr>
          <w:color w:val="231F20"/>
          <w:spacing w:val="-2"/>
        </w:rPr>
        <w:t xml:space="preserve"> </w:t>
      </w:r>
      <w:r>
        <w:rPr>
          <w:color w:val="231F20"/>
        </w:rPr>
        <w:t>2021–22</w:t>
      </w:r>
      <w:r>
        <w:rPr>
          <w:color w:val="231F20"/>
          <w:spacing w:val="-2"/>
        </w:rPr>
        <w:t xml:space="preserve"> </w:t>
      </w:r>
      <w:r>
        <w:rPr>
          <w:color w:val="231F20"/>
        </w:rPr>
        <w:t>to</w:t>
      </w:r>
      <w:r>
        <w:rPr>
          <w:color w:val="231F20"/>
          <w:spacing w:val="-2"/>
        </w:rPr>
        <w:t xml:space="preserve"> </w:t>
      </w:r>
      <w:r>
        <w:rPr>
          <w:color w:val="231F20"/>
        </w:rPr>
        <w:t>$1,972.9</w:t>
      </w:r>
      <w:r>
        <w:rPr>
          <w:color w:val="231F20"/>
          <w:spacing w:val="-2"/>
        </w:rPr>
        <w:t xml:space="preserve"> </w:t>
      </w:r>
      <w:r>
        <w:rPr>
          <w:color w:val="231F20"/>
        </w:rPr>
        <w:t>million.</w:t>
      </w:r>
      <w:r>
        <w:rPr>
          <w:color w:val="231F20"/>
          <w:spacing w:val="-1"/>
        </w:rPr>
        <w:t xml:space="preserve"> </w:t>
      </w:r>
      <w:r>
        <w:rPr>
          <w:color w:val="231F20"/>
        </w:rPr>
        <w:t>This</w:t>
      </w:r>
      <w:r>
        <w:rPr>
          <w:color w:val="231F20"/>
          <w:spacing w:val="-1"/>
        </w:rPr>
        <w:t xml:space="preserve"> </w:t>
      </w:r>
      <w:r>
        <w:rPr>
          <w:color w:val="231F20"/>
        </w:rPr>
        <w:t>growth</w:t>
      </w:r>
      <w:r>
        <w:rPr>
          <w:color w:val="231F20"/>
          <w:spacing w:val="-2"/>
        </w:rPr>
        <w:t xml:space="preserve"> </w:t>
      </w:r>
      <w:r>
        <w:rPr>
          <w:color w:val="231F20"/>
        </w:rPr>
        <w:t>in</w:t>
      </w:r>
      <w:r>
        <w:rPr>
          <w:color w:val="231F20"/>
          <w:spacing w:val="-2"/>
        </w:rPr>
        <w:t xml:space="preserve"> </w:t>
      </w:r>
      <w:r>
        <w:rPr>
          <w:color w:val="231F20"/>
        </w:rPr>
        <w:t>total</w:t>
      </w:r>
      <w:r>
        <w:rPr>
          <w:color w:val="231F20"/>
          <w:spacing w:val="-2"/>
        </w:rPr>
        <w:t xml:space="preserve"> </w:t>
      </w:r>
      <w:r>
        <w:rPr>
          <w:color w:val="231F20"/>
        </w:rPr>
        <w:t>net</w:t>
      </w:r>
      <w:r>
        <w:rPr>
          <w:color w:val="231F20"/>
          <w:spacing w:val="-1"/>
        </w:rPr>
        <w:t xml:space="preserve"> </w:t>
      </w:r>
      <w:r>
        <w:rPr>
          <w:color w:val="231F20"/>
        </w:rPr>
        <w:t>worth</w:t>
      </w:r>
      <w:r>
        <w:rPr>
          <w:color w:val="231F20"/>
          <w:spacing w:val="-2"/>
        </w:rPr>
        <w:t xml:space="preserve"> </w:t>
      </w:r>
      <w:r>
        <w:rPr>
          <w:color w:val="231F20"/>
        </w:rPr>
        <w:t>predominately reflects the increase in receivables in the amount owing from the Victorian Government.</w:t>
      </w:r>
      <w:r>
        <w:rPr>
          <w:color w:val="00529F"/>
        </w:rPr>
        <w:br w:type="page"/>
      </w:r>
    </w:p>
    <w:p w14:paraId="011B3D25" w14:textId="77777777" w:rsidR="00345EE3" w:rsidRPr="002A27BA" w:rsidRDefault="00345EE3" w:rsidP="00345EE3">
      <w:pPr>
        <w:pStyle w:val="Heading2"/>
        <w:spacing w:before="215"/>
        <w:rPr>
          <w:sz w:val="32"/>
          <w:szCs w:val="32"/>
        </w:rPr>
      </w:pPr>
      <w:r w:rsidRPr="002A27BA">
        <w:rPr>
          <w:color w:val="00529F"/>
          <w:sz w:val="32"/>
          <w:szCs w:val="32"/>
        </w:rPr>
        <w:t>Balance</w:t>
      </w:r>
      <w:r w:rsidRPr="002A27BA">
        <w:rPr>
          <w:color w:val="00529F"/>
          <w:spacing w:val="-13"/>
          <w:sz w:val="32"/>
          <w:szCs w:val="32"/>
        </w:rPr>
        <w:t xml:space="preserve"> </w:t>
      </w:r>
      <w:r w:rsidRPr="002A27BA">
        <w:rPr>
          <w:color w:val="00529F"/>
          <w:spacing w:val="-4"/>
          <w:sz w:val="32"/>
          <w:szCs w:val="32"/>
        </w:rPr>
        <w:t>Sheet</w:t>
      </w:r>
    </w:p>
    <w:p w14:paraId="0D05733C" w14:textId="77777777" w:rsidR="00345EE3" w:rsidRDefault="00345EE3" w:rsidP="00345EE3">
      <w:pPr>
        <w:pStyle w:val="BodyText"/>
        <w:spacing w:before="72" w:line="242" w:lineRule="auto"/>
        <w:ind w:right="1060"/>
        <w:jc w:val="both"/>
      </w:pPr>
      <w:r>
        <w:rPr>
          <w:color w:val="231F20"/>
        </w:rPr>
        <w:t>Victoria</w:t>
      </w:r>
      <w:r>
        <w:rPr>
          <w:color w:val="231F20"/>
          <w:spacing w:val="-10"/>
        </w:rPr>
        <w:t xml:space="preserve"> </w:t>
      </w:r>
      <w:r>
        <w:rPr>
          <w:color w:val="231F20"/>
        </w:rPr>
        <w:t>Police</w:t>
      </w:r>
      <w:r>
        <w:rPr>
          <w:color w:val="231F20"/>
          <w:spacing w:val="-10"/>
        </w:rPr>
        <w:t xml:space="preserve"> </w:t>
      </w:r>
      <w:r>
        <w:rPr>
          <w:color w:val="231F20"/>
        </w:rPr>
        <w:t>net</w:t>
      </w:r>
      <w:r>
        <w:rPr>
          <w:color w:val="231F20"/>
          <w:spacing w:val="-10"/>
        </w:rPr>
        <w:t xml:space="preserve"> </w:t>
      </w:r>
      <w:r>
        <w:rPr>
          <w:color w:val="231F20"/>
        </w:rPr>
        <w:t>worth</w:t>
      </w:r>
      <w:r>
        <w:rPr>
          <w:color w:val="231F20"/>
          <w:spacing w:val="-10"/>
        </w:rPr>
        <w:t xml:space="preserve"> </w:t>
      </w:r>
      <w:r>
        <w:rPr>
          <w:color w:val="231F20"/>
        </w:rPr>
        <w:t>as</w:t>
      </w:r>
      <w:r>
        <w:rPr>
          <w:color w:val="231F20"/>
          <w:spacing w:val="-10"/>
        </w:rPr>
        <w:t xml:space="preserve"> </w:t>
      </w:r>
      <w:r>
        <w:rPr>
          <w:color w:val="231F20"/>
        </w:rPr>
        <w:t>at</w:t>
      </w:r>
      <w:r>
        <w:rPr>
          <w:color w:val="231F20"/>
          <w:spacing w:val="-10"/>
        </w:rPr>
        <w:t xml:space="preserve"> </w:t>
      </w:r>
      <w:r>
        <w:rPr>
          <w:color w:val="231F20"/>
        </w:rPr>
        <w:t>30</w:t>
      </w:r>
      <w:r>
        <w:rPr>
          <w:color w:val="231F20"/>
          <w:spacing w:val="-10"/>
        </w:rPr>
        <w:t xml:space="preserve"> </w:t>
      </w:r>
      <w:r>
        <w:rPr>
          <w:color w:val="231F20"/>
        </w:rPr>
        <w:t>June</w:t>
      </w:r>
      <w:r>
        <w:rPr>
          <w:color w:val="231F20"/>
          <w:spacing w:val="-10"/>
        </w:rPr>
        <w:t xml:space="preserve"> </w:t>
      </w:r>
      <w:r>
        <w:rPr>
          <w:color w:val="231F20"/>
        </w:rPr>
        <w:t>2022</w:t>
      </w:r>
      <w:r>
        <w:rPr>
          <w:color w:val="231F20"/>
          <w:spacing w:val="-10"/>
        </w:rPr>
        <w:t xml:space="preserve"> </w:t>
      </w:r>
      <w:r>
        <w:rPr>
          <w:color w:val="231F20"/>
        </w:rPr>
        <w:t>was</w:t>
      </w:r>
      <w:r>
        <w:rPr>
          <w:color w:val="231F20"/>
          <w:spacing w:val="-10"/>
        </w:rPr>
        <w:t xml:space="preserve"> </w:t>
      </w:r>
      <w:r>
        <w:rPr>
          <w:color w:val="231F20"/>
        </w:rPr>
        <w:t>$1,972.9</w:t>
      </w:r>
      <w:r>
        <w:rPr>
          <w:color w:val="231F20"/>
          <w:spacing w:val="-10"/>
        </w:rPr>
        <w:t xml:space="preserve"> </w:t>
      </w:r>
      <w:r>
        <w:rPr>
          <w:color w:val="231F20"/>
        </w:rPr>
        <w:t>million,</w:t>
      </w:r>
      <w:r>
        <w:rPr>
          <w:color w:val="231F20"/>
          <w:spacing w:val="-10"/>
        </w:rPr>
        <w:t xml:space="preserve"> </w:t>
      </w:r>
      <w:r>
        <w:rPr>
          <w:color w:val="231F20"/>
        </w:rPr>
        <w:t>an</w:t>
      </w:r>
      <w:r>
        <w:rPr>
          <w:color w:val="231F20"/>
          <w:spacing w:val="-10"/>
        </w:rPr>
        <w:t xml:space="preserve"> </w:t>
      </w:r>
      <w:r>
        <w:rPr>
          <w:color w:val="231F20"/>
        </w:rPr>
        <w:t>increase</w:t>
      </w:r>
      <w:r>
        <w:rPr>
          <w:color w:val="231F20"/>
          <w:spacing w:val="-10"/>
        </w:rPr>
        <w:t xml:space="preserve"> </w:t>
      </w:r>
      <w:r>
        <w:rPr>
          <w:color w:val="231F20"/>
        </w:rPr>
        <w:t>of</w:t>
      </w:r>
      <w:r>
        <w:rPr>
          <w:color w:val="231F20"/>
          <w:spacing w:val="-10"/>
        </w:rPr>
        <w:t xml:space="preserve"> </w:t>
      </w:r>
      <w:r>
        <w:rPr>
          <w:color w:val="231F20"/>
        </w:rPr>
        <w:t>$130.3</w:t>
      </w:r>
      <w:r>
        <w:rPr>
          <w:color w:val="231F20"/>
          <w:spacing w:val="-10"/>
        </w:rPr>
        <w:t xml:space="preserve"> </w:t>
      </w:r>
      <w:r>
        <w:rPr>
          <w:color w:val="231F20"/>
        </w:rPr>
        <w:t>million or 7 per cent from the previous year.</w:t>
      </w:r>
    </w:p>
    <w:p w14:paraId="25228085" w14:textId="77777777" w:rsidR="00345EE3" w:rsidRDefault="00345EE3" w:rsidP="00345EE3">
      <w:pPr>
        <w:pStyle w:val="BodyText"/>
        <w:spacing w:before="62" w:line="242" w:lineRule="auto"/>
        <w:ind w:right="921"/>
      </w:pPr>
      <w:r>
        <w:rPr>
          <w:color w:val="231F20"/>
        </w:rPr>
        <w:t>Total</w:t>
      </w:r>
      <w:r>
        <w:rPr>
          <w:color w:val="231F20"/>
          <w:spacing w:val="-12"/>
        </w:rPr>
        <w:t xml:space="preserve"> </w:t>
      </w:r>
      <w:r>
        <w:rPr>
          <w:color w:val="231F20"/>
        </w:rPr>
        <w:t>assets</w:t>
      </w:r>
      <w:r>
        <w:rPr>
          <w:color w:val="231F20"/>
          <w:spacing w:val="-11"/>
        </w:rPr>
        <w:t xml:space="preserve"> </w:t>
      </w:r>
      <w:r>
        <w:rPr>
          <w:color w:val="231F20"/>
        </w:rPr>
        <w:t>increased</w:t>
      </w:r>
      <w:r>
        <w:rPr>
          <w:color w:val="231F20"/>
          <w:spacing w:val="-12"/>
        </w:rPr>
        <w:t xml:space="preserve"> </w:t>
      </w:r>
      <w:r>
        <w:rPr>
          <w:color w:val="231F20"/>
        </w:rPr>
        <w:t>predominately</w:t>
      </w:r>
      <w:r>
        <w:rPr>
          <w:color w:val="231F20"/>
          <w:spacing w:val="-11"/>
        </w:rPr>
        <w:t xml:space="preserve"> </w:t>
      </w:r>
      <w:r>
        <w:rPr>
          <w:color w:val="231F20"/>
        </w:rPr>
        <w:t>in</w:t>
      </w:r>
      <w:r>
        <w:rPr>
          <w:color w:val="231F20"/>
          <w:spacing w:val="-12"/>
        </w:rPr>
        <w:t xml:space="preserve"> </w:t>
      </w:r>
      <w:r>
        <w:rPr>
          <w:color w:val="231F20"/>
        </w:rPr>
        <w:t>receivables</w:t>
      </w:r>
      <w:r>
        <w:rPr>
          <w:color w:val="231F20"/>
          <w:spacing w:val="-11"/>
        </w:rPr>
        <w:t xml:space="preserve"> </w:t>
      </w:r>
      <w:r>
        <w:rPr>
          <w:color w:val="231F20"/>
        </w:rPr>
        <w:t>for</w:t>
      </w:r>
      <w:r>
        <w:rPr>
          <w:color w:val="231F20"/>
          <w:spacing w:val="-11"/>
        </w:rPr>
        <w:t xml:space="preserve"> </w:t>
      </w:r>
      <w:r>
        <w:rPr>
          <w:color w:val="231F20"/>
        </w:rPr>
        <w:t>the</w:t>
      </w:r>
      <w:r>
        <w:rPr>
          <w:color w:val="231F20"/>
          <w:spacing w:val="-12"/>
        </w:rPr>
        <w:t xml:space="preserve"> </w:t>
      </w:r>
      <w:r>
        <w:rPr>
          <w:color w:val="231F20"/>
        </w:rPr>
        <w:t>amount</w:t>
      </w:r>
      <w:r>
        <w:rPr>
          <w:color w:val="231F20"/>
          <w:spacing w:val="-11"/>
        </w:rPr>
        <w:t xml:space="preserve"> </w:t>
      </w:r>
      <w:r>
        <w:rPr>
          <w:color w:val="231F20"/>
        </w:rPr>
        <w:t>owing</w:t>
      </w:r>
      <w:r>
        <w:rPr>
          <w:color w:val="231F20"/>
          <w:spacing w:val="-12"/>
        </w:rPr>
        <w:t xml:space="preserve"> </w:t>
      </w:r>
      <w:r>
        <w:rPr>
          <w:color w:val="231F20"/>
        </w:rPr>
        <w:t>from</w:t>
      </w:r>
      <w:r>
        <w:rPr>
          <w:color w:val="231F20"/>
          <w:spacing w:val="-11"/>
        </w:rPr>
        <w:t xml:space="preserve"> </w:t>
      </w:r>
      <w:r>
        <w:rPr>
          <w:color w:val="231F20"/>
        </w:rPr>
        <w:t>the</w:t>
      </w:r>
      <w:r>
        <w:rPr>
          <w:color w:val="231F20"/>
          <w:spacing w:val="-12"/>
        </w:rPr>
        <w:t xml:space="preserve"> </w:t>
      </w:r>
      <w:r>
        <w:rPr>
          <w:color w:val="231F20"/>
        </w:rPr>
        <w:t xml:space="preserve">Victorian </w:t>
      </w:r>
      <w:r>
        <w:rPr>
          <w:color w:val="231F20"/>
          <w:spacing w:val="-2"/>
        </w:rPr>
        <w:t>Government.</w:t>
      </w:r>
    </w:p>
    <w:p w14:paraId="37A92461" w14:textId="77777777" w:rsidR="00345EE3" w:rsidRDefault="00345EE3" w:rsidP="00345EE3">
      <w:pPr>
        <w:pStyle w:val="BodyText"/>
        <w:spacing w:before="116" w:line="242" w:lineRule="auto"/>
        <w:ind w:right="921"/>
      </w:pPr>
      <w:r>
        <w:rPr>
          <w:color w:val="231F20"/>
        </w:rPr>
        <w:t>Within</w:t>
      </w:r>
      <w:r>
        <w:rPr>
          <w:color w:val="231F20"/>
          <w:spacing w:val="-10"/>
        </w:rPr>
        <w:t xml:space="preserve"> </w:t>
      </w:r>
      <w:r>
        <w:rPr>
          <w:color w:val="231F20"/>
        </w:rPr>
        <w:t>property,</w:t>
      </w:r>
      <w:r>
        <w:rPr>
          <w:color w:val="231F20"/>
          <w:spacing w:val="-9"/>
        </w:rPr>
        <w:t xml:space="preserve"> </w:t>
      </w:r>
      <w:r>
        <w:rPr>
          <w:color w:val="231F20"/>
        </w:rPr>
        <w:t>plant</w:t>
      </w:r>
      <w:r>
        <w:rPr>
          <w:color w:val="231F20"/>
          <w:spacing w:val="-9"/>
        </w:rPr>
        <w:t xml:space="preserve"> </w:t>
      </w:r>
      <w:r>
        <w:rPr>
          <w:color w:val="231F20"/>
        </w:rPr>
        <w:t>and</w:t>
      </w:r>
      <w:r>
        <w:rPr>
          <w:color w:val="231F20"/>
          <w:spacing w:val="-10"/>
        </w:rPr>
        <w:t xml:space="preserve"> </w:t>
      </w:r>
      <w:r>
        <w:rPr>
          <w:color w:val="231F20"/>
        </w:rPr>
        <w:t>equipment</w:t>
      </w:r>
      <w:r>
        <w:rPr>
          <w:color w:val="231F20"/>
          <w:spacing w:val="-9"/>
        </w:rPr>
        <w:t xml:space="preserve"> </w:t>
      </w:r>
      <w:r>
        <w:rPr>
          <w:color w:val="231F20"/>
        </w:rPr>
        <w:t>there</w:t>
      </w:r>
      <w:r>
        <w:rPr>
          <w:color w:val="231F20"/>
          <w:spacing w:val="-10"/>
        </w:rPr>
        <w:t xml:space="preserve"> </w:t>
      </w:r>
      <w:r>
        <w:rPr>
          <w:color w:val="231F20"/>
        </w:rPr>
        <w:t>was</w:t>
      </w:r>
      <w:r>
        <w:rPr>
          <w:color w:val="231F20"/>
          <w:spacing w:val="-9"/>
        </w:rPr>
        <w:t xml:space="preserve"> </w:t>
      </w:r>
      <w:r>
        <w:rPr>
          <w:color w:val="231F20"/>
        </w:rPr>
        <w:t>growth</w:t>
      </w:r>
      <w:r>
        <w:rPr>
          <w:color w:val="231F20"/>
          <w:spacing w:val="-10"/>
        </w:rPr>
        <w:t xml:space="preserve"> </w:t>
      </w:r>
      <w:r>
        <w:rPr>
          <w:color w:val="231F20"/>
        </w:rPr>
        <w:t>in</w:t>
      </w:r>
      <w:r>
        <w:rPr>
          <w:color w:val="231F20"/>
          <w:spacing w:val="-10"/>
        </w:rPr>
        <w:t xml:space="preserve"> </w:t>
      </w:r>
      <w:r>
        <w:rPr>
          <w:color w:val="231F20"/>
        </w:rPr>
        <w:t>Crown</w:t>
      </w:r>
      <w:r>
        <w:rPr>
          <w:color w:val="231F20"/>
          <w:spacing w:val="-10"/>
        </w:rPr>
        <w:t xml:space="preserve"> </w:t>
      </w:r>
      <w:r>
        <w:rPr>
          <w:color w:val="231F20"/>
        </w:rPr>
        <w:t>land</w:t>
      </w:r>
      <w:r>
        <w:rPr>
          <w:color w:val="231F20"/>
          <w:spacing w:val="-10"/>
        </w:rPr>
        <w:t xml:space="preserve"> </w:t>
      </w:r>
      <w:r>
        <w:rPr>
          <w:color w:val="231F20"/>
        </w:rPr>
        <w:t>to</w:t>
      </w:r>
      <w:r>
        <w:rPr>
          <w:color w:val="231F20"/>
          <w:spacing w:val="-10"/>
        </w:rPr>
        <w:t xml:space="preserve"> </w:t>
      </w:r>
      <w:r>
        <w:rPr>
          <w:color w:val="231F20"/>
        </w:rPr>
        <w:t>develop</w:t>
      </w:r>
      <w:r>
        <w:rPr>
          <w:color w:val="231F20"/>
          <w:spacing w:val="-10"/>
        </w:rPr>
        <w:t xml:space="preserve"> </w:t>
      </w:r>
      <w:r>
        <w:rPr>
          <w:color w:val="231F20"/>
        </w:rPr>
        <w:t>police</w:t>
      </w:r>
      <w:r>
        <w:rPr>
          <w:color w:val="231F20"/>
          <w:spacing w:val="-10"/>
        </w:rPr>
        <w:t xml:space="preserve"> </w:t>
      </w:r>
      <w:r>
        <w:rPr>
          <w:color w:val="231F20"/>
        </w:rPr>
        <w:t>stations at Clifton Hill, Clyde North and Wollert.</w:t>
      </w:r>
    </w:p>
    <w:p w14:paraId="6EE565F4" w14:textId="77777777" w:rsidR="00345EE3" w:rsidRDefault="00345EE3" w:rsidP="00345EE3">
      <w:pPr>
        <w:pStyle w:val="BodyText"/>
        <w:spacing w:before="116" w:line="242" w:lineRule="auto"/>
        <w:ind w:right="1227"/>
        <w:jc w:val="both"/>
      </w:pPr>
      <w:r>
        <w:rPr>
          <w:color w:val="231F20"/>
        </w:rPr>
        <w:t>In</w:t>
      </w:r>
      <w:r>
        <w:rPr>
          <w:color w:val="231F20"/>
          <w:spacing w:val="-9"/>
        </w:rPr>
        <w:t xml:space="preserve"> </w:t>
      </w:r>
      <w:r>
        <w:rPr>
          <w:color w:val="231F20"/>
        </w:rPr>
        <w:t>the</w:t>
      </w:r>
      <w:r>
        <w:rPr>
          <w:color w:val="231F20"/>
          <w:spacing w:val="-9"/>
        </w:rPr>
        <w:t xml:space="preserve"> </w:t>
      </w:r>
      <w:r>
        <w:rPr>
          <w:color w:val="231F20"/>
        </w:rPr>
        <w:t>year,</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opened</w:t>
      </w:r>
      <w:r>
        <w:rPr>
          <w:color w:val="231F20"/>
          <w:spacing w:val="-9"/>
        </w:rPr>
        <w:t xml:space="preserve"> </w:t>
      </w:r>
      <w:r>
        <w:rPr>
          <w:color w:val="231F20"/>
        </w:rPr>
        <w:t>the</w:t>
      </w:r>
      <w:r>
        <w:rPr>
          <w:color w:val="231F20"/>
          <w:spacing w:val="-9"/>
        </w:rPr>
        <w:t xml:space="preserve"> </w:t>
      </w:r>
      <w:r>
        <w:rPr>
          <w:color w:val="231F20"/>
        </w:rPr>
        <w:t>new</w:t>
      </w:r>
      <w:r>
        <w:rPr>
          <w:color w:val="231F20"/>
          <w:spacing w:val="-9"/>
        </w:rPr>
        <w:t xml:space="preserve"> </w:t>
      </w:r>
      <w:r>
        <w:rPr>
          <w:color w:val="231F20"/>
        </w:rPr>
        <w:t>24-hour</w:t>
      </w:r>
      <w:r>
        <w:rPr>
          <w:color w:val="231F20"/>
          <w:spacing w:val="-8"/>
        </w:rPr>
        <w:t xml:space="preserve"> </w:t>
      </w:r>
      <w:r>
        <w:rPr>
          <w:color w:val="231F20"/>
        </w:rPr>
        <w:t>Werribee</w:t>
      </w:r>
      <w:r>
        <w:rPr>
          <w:color w:val="231F20"/>
          <w:spacing w:val="-9"/>
        </w:rPr>
        <w:t xml:space="preserve"> </w:t>
      </w:r>
      <w:r>
        <w:rPr>
          <w:color w:val="231F20"/>
        </w:rPr>
        <w:t>Police</w:t>
      </w:r>
      <w:r>
        <w:rPr>
          <w:color w:val="231F20"/>
          <w:spacing w:val="-9"/>
        </w:rPr>
        <w:t xml:space="preserve"> </w:t>
      </w:r>
      <w:r>
        <w:rPr>
          <w:color w:val="231F20"/>
        </w:rPr>
        <w:t>Complex</w:t>
      </w:r>
      <w:r>
        <w:rPr>
          <w:color w:val="231F20"/>
          <w:spacing w:val="-8"/>
        </w:rPr>
        <w:t xml:space="preserve"> </w:t>
      </w:r>
      <w:r>
        <w:rPr>
          <w:color w:val="231F20"/>
        </w:rPr>
        <w:t>and</w:t>
      </w:r>
      <w:r>
        <w:rPr>
          <w:color w:val="231F20"/>
          <w:spacing w:val="-9"/>
        </w:rPr>
        <w:t xml:space="preserve"> </w:t>
      </w:r>
      <w:r>
        <w:rPr>
          <w:color w:val="231F20"/>
        </w:rPr>
        <w:t>invested</w:t>
      </w:r>
      <w:r>
        <w:rPr>
          <w:color w:val="231F20"/>
          <w:spacing w:val="-9"/>
        </w:rPr>
        <w:t xml:space="preserve"> </w:t>
      </w:r>
      <w:r>
        <w:rPr>
          <w:color w:val="231F20"/>
        </w:rPr>
        <w:t>in other</w:t>
      </w:r>
      <w:r>
        <w:rPr>
          <w:color w:val="231F20"/>
          <w:spacing w:val="-13"/>
        </w:rPr>
        <w:t xml:space="preserve"> </w:t>
      </w:r>
      <w:r>
        <w:rPr>
          <w:color w:val="231F20"/>
        </w:rPr>
        <w:t>police</w:t>
      </w:r>
      <w:r>
        <w:rPr>
          <w:color w:val="231F20"/>
          <w:spacing w:val="-14"/>
        </w:rPr>
        <w:t xml:space="preserve"> </w:t>
      </w:r>
      <w:r>
        <w:rPr>
          <w:color w:val="231F20"/>
        </w:rPr>
        <w:t>station</w:t>
      </w:r>
      <w:r>
        <w:rPr>
          <w:color w:val="231F20"/>
          <w:spacing w:val="-14"/>
        </w:rPr>
        <w:t xml:space="preserve"> </w:t>
      </w:r>
      <w:r>
        <w:rPr>
          <w:color w:val="231F20"/>
        </w:rPr>
        <w:t>upgrades,</w:t>
      </w:r>
      <w:r>
        <w:rPr>
          <w:color w:val="231F20"/>
          <w:spacing w:val="-13"/>
        </w:rPr>
        <w:t xml:space="preserve"> </w:t>
      </w:r>
      <w:r>
        <w:rPr>
          <w:color w:val="231F20"/>
        </w:rPr>
        <w:t>for</w:t>
      </w:r>
      <w:r>
        <w:rPr>
          <w:color w:val="231F20"/>
          <w:spacing w:val="-13"/>
        </w:rPr>
        <w:t xml:space="preserve"> </w:t>
      </w:r>
      <w:r>
        <w:rPr>
          <w:color w:val="231F20"/>
        </w:rPr>
        <w:t>Reservoir,</w:t>
      </w:r>
      <w:r>
        <w:rPr>
          <w:color w:val="231F20"/>
          <w:spacing w:val="-13"/>
        </w:rPr>
        <w:t xml:space="preserve"> </w:t>
      </w:r>
      <w:r>
        <w:rPr>
          <w:color w:val="231F20"/>
        </w:rPr>
        <w:t>Ballarat,</w:t>
      </w:r>
      <w:r>
        <w:rPr>
          <w:color w:val="231F20"/>
          <w:spacing w:val="-13"/>
        </w:rPr>
        <w:t xml:space="preserve"> </w:t>
      </w:r>
      <w:r>
        <w:rPr>
          <w:color w:val="231F20"/>
        </w:rPr>
        <w:t>Broadmeadows,</w:t>
      </w:r>
      <w:r>
        <w:rPr>
          <w:color w:val="231F20"/>
          <w:spacing w:val="-13"/>
        </w:rPr>
        <w:t xml:space="preserve"> </w:t>
      </w:r>
      <w:r>
        <w:rPr>
          <w:color w:val="231F20"/>
        </w:rPr>
        <w:t>Victoria</w:t>
      </w:r>
      <w:r>
        <w:rPr>
          <w:color w:val="231F20"/>
          <w:spacing w:val="-14"/>
        </w:rPr>
        <w:t xml:space="preserve"> </w:t>
      </w:r>
      <w:r>
        <w:rPr>
          <w:color w:val="231F20"/>
        </w:rPr>
        <w:t>Police</w:t>
      </w:r>
      <w:r>
        <w:rPr>
          <w:color w:val="231F20"/>
          <w:spacing w:val="-14"/>
        </w:rPr>
        <w:t xml:space="preserve"> </w:t>
      </w:r>
      <w:r>
        <w:rPr>
          <w:color w:val="231F20"/>
        </w:rPr>
        <w:t>Precinct plus a building upgrade for the Melbourne Prosecutions office.</w:t>
      </w:r>
    </w:p>
    <w:p w14:paraId="71853986" w14:textId="77777777" w:rsidR="00345EE3" w:rsidRDefault="00345EE3" w:rsidP="00345EE3">
      <w:pPr>
        <w:pStyle w:val="BodyText"/>
        <w:spacing w:before="117" w:line="242" w:lineRule="auto"/>
        <w:ind w:right="921"/>
      </w:pPr>
      <w:r>
        <w:rPr>
          <w:color w:val="231F20"/>
        </w:rPr>
        <w:t>Expenditure on plant and equipment decreased and the Right of Use Assets which significantly impacted</w:t>
      </w:r>
      <w:r>
        <w:rPr>
          <w:color w:val="231F20"/>
          <w:spacing w:val="-10"/>
        </w:rPr>
        <w:t xml:space="preserve"> </w:t>
      </w:r>
      <w:r>
        <w:rPr>
          <w:color w:val="231F20"/>
        </w:rPr>
        <w:t>Assets</w:t>
      </w:r>
      <w:r>
        <w:rPr>
          <w:color w:val="231F20"/>
          <w:spacing w:val="-9"/>
        </w:rPr>
        <w:t xml:space="preserve"> </w:t>
      </w:r>
      <w:r>
        <w:rPr>
          <w:color w:val="231F20"/>
        </w:rPr>
        <w:t>and</w:t>
      </w:r>
      <w:r>
        <w:rPr>
          <w:color w:val="231F20"/>
          <w:spacing w:val="-10"/>
        </w:rPr>
        <w:t xml:space="preserve"> </w:t>
      </w:r>
      <w:r>
        <w:rPr>
          <w:color w:val="231F20"/>
        </w:rPr>
        <w:t>Liabilities</w:t>
      </w:r>
      <w:r>
        <w:rPr>
          <w:color w:val="231F20"/>
          <w:spacing w:val="-9"/>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previous</w:t>
      </w:r>
      <w:r>
        <w:rPr>
          <w:color w:val="231F20"/>
          <w:spacing w:val="-9"/>
        </w:rPr>
        <w:t xml:space="preserve"> </w:t>
      </w:r>
      <w:r>
        <w:rPr>
          <w:color w:val="231F20"/>
        </w:rPr>
        <w:t>two</w:t>
      </w:r>
      <w:r>
        <w:rPr>
          <w:color w:val="231F20"/>
          <w:spacing w:val="-10"/>
        </w:rPr>
        <w:t xml:space="preserve"> </w:t>
      </w:r>
      <w:r>
        <w:rPr>
          <w:color w:val="231F20"/>
        </w:rPr>
        <w:t>financial</w:t>
      </w:r>
      <w:r>
        <w:rPr>
          <w:color w:val="231F20"/>
          <w:spacing w:val="-10"/>
        </w:rPr>
        <w:t xml:space="preserve"> </w:t>
      </w:r>
      <w:r>
        <w:rPr>
          <w:color w:val="231F20"/>
        </w:rPr>
        <w:t>years</w:t>
      </w:r>
      <w:r>
        <w:rPr>
          <w:color w:val="231F20"/>
          <w:spacing w:val="-9"/>
        </w:rPr>
        <w:t xml:space="preserve"> </w:t>
      </w:r>
      <w:r>
        <w:rPr>
          <w:color w:val="231F20"/>
        </w:rPr>
        <w:t>plateaued</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recognition of</w:t>
      </w:r>
      <w:r>
        <w:rPr>
          <w:color w:val="231F20"/>
          <w:spacing w:val="-1"/>
        </w:rPr>
        <w:t xml:space="preserve"> </w:t>
      </w:r>
      <w:r>
        <w:rPr>
          <w:color w:val="231F20"/>
        </w:rPr>
        <w:t>the</w:t>
      </w:r>
      <w:r>
        <w:rPr>
          <w:color w:val="231F20"/>
          <w:spacing w:val="-2"/>
        </w:rPr>
        <w:t xml:space="preserve"> </w:t>
      </w:r>
      <w:r>
        <w:rPr>
          <w:color w:val="231F20"/>
        </w:rPr>
        <w:t>Victoria</w:t>
      </w:r>
      <w:r>
        <w:rPr>
          <w:color w:val="231F20"/>
          <w:spacing w:val="-2"/>
        </w:rPr>
        <w:t xml:space="preserve"> </w:t>
      </w:r>
      <w:r>
        <w:rPr>
          <w:color w:val="231F20"/>
        </w:rPr>
        <w:t>Police</w:t>
      </w:r>
      <w:r>
        <w:rPr>
          <w:color w:val="231F20"/>
          <w:spacing w:val="-2"/>
        </w:rPr>
        <w:t xml:space="preserve"> </w:t>
      </w:r>
      <w:r>
        <w:rPr>
          <w:color w:val="231F20"/>
        </w:rPr>
        <w:t>Precinct</w:t>
      </w:r>
      <w:r>
        <w:rPr>
          <w:color w:val="231F20"/>
          <w:spacing w:val="-1"/>
        </w:rPr>
        <w:t xml:space="preserve"> </w:t>
      </w:r>
      <w:r>
        <w:rPr>
          <w:color w:val="231F20"/>
        </w:rPr>
        <w:t>at</w:t>
      </w:r>
      <w:r>
        <w:rPr>
          <w:color w:val="231F20"/>
          <w:spacing w:val="-1"/>
        </w:rPr>
        <w:t xml:space="preserve"> </w:t>
      </w:r>
      <w:r>
        <w:rPr>
          <w:color w:val="231F20"/>
        </w:rPr>
        <w:t>311</w:t>
      </w:r>
      <w:r>
        <w:rPr>
          <w:color w:val="231F20"/>
          <w:spacing w:val="-2"/>
        </w:rPr>
        <w:t xml:space="preserve"> </w:t>
      </w:r>
      <w:r>
        <w:rPr>
          <w:color w:val="231F20"/>
        </w:rPr>
        <w:t>Spencer</w:t>
      </w:r>
      <w:r>
        <w:rPr>
          <w:color w:val="231F20"/>
          <w:spacing w:val="-1"/>
        </w:rPr>
        <w:t xml:space="preserve"> </w:t>
      </w:r>
      <w:r>
        <w:rPr>
          <w:color w:val="231F20"/>
        </w:rPr>
        <w:t>Street,</w:t>
      </w:r>
      <w:r>
        <w:rPr>
          <w:color w:val="231F20"/>
          <w:spacing w:val="-1"/>
        </w:rPr>
        <w:t xml:space="preserve"> </w:t>
      </w:r>
      <w:r>
        <w:rPr>
          <w:color w:val="231F20"/>
        </w:rPr>
        <w:t>Docklands</w:t>
      </w:r>
      <w:r>
        <w:rPr>
          <w:color w:val="231F20"/>
          <w:spacing w:val="-1"/>
        </w:rPr>
        <w:t xml:space="preserve"> </w:t>
      </w:r>
      <w:r>
        <w:rPr>
          <w:color w:val="231F20"/>
        </w:rPr>
        <w:t>last</w:t>
      </w:r>
      <w:r>
        <w:rPr>
          <w:color w:val="231F20"/>
          <w:spacing w:val="-1"/>
        </w:rPr>
        <w:t xml:space="preserve"> </w:t>
      </w:r>
      <w:r>
        <w:rPr>
          <w:color w:val="231F20"/>
        </w:rPr>
        <w:t>year.</w:t>
      </w:r>
      <w:r>
        <w:rPr>
          <w:color w:val="231F20"/>
          <w:spacing w:val="-1"/>
        </w:rPr>
        <w:t xml:space="preserve"> </w:t>
      </w:r>
      <w:r>
        <w:rPr>
          <w:color w:val="231F20"/>
        </w:rPr>
        <w:t>Liabilities</w:t>
      </w:r>
      <w:r>
        <w:rPr>
          <w:color w:val="231F20"/>
          <w:spacing w:val="-1"/>
        </w:rPr>
        <w:t xml:space="preserve"> </w:t>
      </w:r>
      <w:r>
        <w:rPr>
          <w:color w:val="231F20"/>
        </w:rPr>
        <w:t>have</w:t>
      </w:r>
      <w:r>
        <w:rPr>
          <w:color w:val="231F20"/>
          <w:spacing w:val="-2"/>
        </w:rPr>
        <w:t xml:space="preserve"> </w:t>
      </w:r>
      <w:r>
        <w:rPr>
          <w:color w:val="231F20"/>
        </w:rPr>
        <w:t>also plateaued with a 1 per cent movement from the previous year.</w:t>
      </w:r>
    </w:p>
    <w:p w14:paraId="1EFCBB80" w14:textId="77777777" w:rsidR="00345EE3" w:rsidRPr="002A27BA" w:rsidRDefault="00345EE3" w:rsidP="00345EE3">
      <w:pPr>
        <w:pStyle w:val="Heading2"/>
        <w:spacing w:before="217"/>
        <w:jc w:val="both"/>
        <w:rPr>
          <w:sz w:val="32"/>
          <w:szCs w:val="32"/>
        </w:rPr>
      </w:pPr>
      <w:r w:rsidRPr="002A27BA">
        <w:rPr>
          <w:color w:val="00529F"/>
          <w:sz w:val="32"/>
          <w:szCs w:val="32"/>
        </w:rPr>
        <w:t>Cash</w:t>
      </w:r>
      <w:r w:rsidRPr="002A27BA">
        <w:rPr>
          <w:color w:val="00529F"/>
          <w:spacing w:val="-9"/>
          <w:sz w:val="32"/>
          <w:szCs w:val="32"/>
        </w:rPr>
        <w:t xml:space="preserve"> </w:t>
      </w:r>
      <w:r w:rsidRPr="002A27BA">
        <w:rPr>
          <w:color w:val="00529F"/>
          <w:spacing w:val="-2"/>
          <w:sz w:val="32"/>
          <w:szCs w:val="32"/>
        </w:rPr>
        <w:t>flows</w:t>
      </w:r>
    </w:p>
    <w:p w14:paraId="60B1CDAD" w14:textId="77777777" w:rsidR="00345EE3" w:rsidRDefault="00345EE3" w:rsidP="00345EE3">
      <w:pPr>
        <w:pStyle w:val="BodyText"/>
        <w:spacing w:before="72" w:line="242" w:lineRule="auto"/>
        <w:ind w:right="848"/>
      </w:pPr>
      <w:r>
        <w:rPr>
          <w:color w:val="231F20"/>
        </w:rPr>
        <w:t>The net cash inflows from Operating activities were $152.6 million, and 3 per cent lower than in 2020–21</w:t>
      </w:r>
      <w:r>
        <w:rPr>
          <w:color w:val="231F20"/>
          <w:spacing w:val="-9"/>
        </w:rPr>
        <w:t xml:space="preserve"> </w:t>
      </w:r>
      <w:r>
        <w:rPr>
          <w:color w:val="231F20"/>
        </w:rPr>
        <w:t>due</w:t>
      </w:r>
      <w:r>
        <w:rPr>
          <w:color w:val="231F20"/>
          <w:spacing w:val="-9"/>
        </w:rPr>
        <w:t xml:space="preserve"> </w:t>
      </w:r>
      <w:r>
        <w:rPr>
          <w:color w:val="231F20"/>
        </w:rPr>
        <w:t>to</w:t>
      </w:r>
      <w:r>
        <w:rPr>
          <w:color w:val="231F20"/>
          <w:spacing w:val="-9"/>
        </w:rPr>
        <w:t xml:space="preserve"> </w:t>
      </w:r>
      <w:r>
        <w:rPr>
          <w:color w:val="231F20"/>
        </w:rPr>
        <w:t>lower</w:t>
      </w:r>
      <w:r>
        <w:rPr>
          <w:color w:val="231F20"/>
          <w:spacing w:val="-9"/>
        </w:rPr>
        <w:t xml:space="preserve"> </w:t>
      </w:r>
      <w:r>
        <w:rPr>
          <w:color w:val="231F20"/>
        </w:rPr>
        <w:t>cash</w:t>
      </w:r>
      <w:r>
        <w:rPr>
          <w:color w:val="231F20"/>
          <w:spacing w:val="-9"/>
        </w:rPr>
        <w:t xml:space="preserve"> </w:t>
      </w:r>
      <w:r>
        <w:rPr>
          <w:color w:val="231F20"/>
        </w:rPr>
        <w:t>funding</w:t>
      </w:r>
      <w:r>
        <w:rPr>
          <w:color w:val="231F20"/>
          <w:spacing w:val="-9"/>
        </w:rPr>
        <w:t xml:space="preserve"> </w:t>
      </w:r>
      <w:r>
        <w:rPr>
          <w:color w:val="231F20"/>
        </w:rPr>
        <w:t>received</w:t>
      </w:r>
      <w:r>
        <w:rPr>
          <w:color w:val="231F20"/>
          <w:spacing w:val="-9"/>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government</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Whole</w:t>
      </w:r>
      <w:r>
        <w:rPr>
          <w:color w:val="231F20"/>
          <w:spacing w:val="-9"/>
        </w:rPr>
        <w:t xml:space="preserve"> </w:t>
      </w:r>
      <w:r>
        <w:rPr>
          <w:color w:val="231F20"/>
        </w:rPr>
        <w:t>of</w:t>
      </w:r>
      <w:r>
        <w:rPr>
          <w:color w:val="231F20"/>
          <w:spacing w:val="-9"/>
        </w:rPr>
        <w:t xml:space="preserve"> </w:t>
      </w:r>
      <w:r>
        <w:rPr>
          <w:color w:val="231F20"/>
        </w:rPr>
        <w:t>Government decision</w:t>
      </w:r>
      <w:r>
        <w:rPr>
          <w:color w:val="231F20"/>
          <w:spacing w:val="-1"/>
        </w:rPr>
        <w:t xml:space="preserve"> </w:t>
      </w:r>
      <w:r>
        <w:rPr>
          <w:color w:val="231F20"/>
        </w:rPr>
        <w:t>to</w:t>
      </w:r>
      <w:r>
        <w:rPr>
          <w:color w:val="231F20"/>
          <w:spacing w:val="-1"/>
        </w:rPr>
        <w:t xml:space="preserve"> </w:t>
      </w:r>
      <w:r>
        <w:rPr>
          <w:color w:val="231F20"/>
        </w:rPr>
        <w:t>remove</w:t>
      </w:r>
      <w:r>
        <w:rPr>
          <w:color w:val="231F20"/>
          <w:spacing w:val="-1"/>
        </w:rPr>
        <w:t xml:space="preserve"> </w:t>
      </w:r>
      <w:r>
        <w:rPr>
          <w:color w:val="231F20"/>
        </w:rPr>
        <w:t>funding</w:t>
      </w:r>
      <w:r>
        <w:rPr>
          <w:color w:val="231F20"/>
          <w:spacing w:val="-1"/>
        </w:rPr>
        <w:t xml:space="preserve"> </w:t>
      </w:r>
      <w:r>
        <w:rPr>
          <w:color w:val="231F20"/>
        </w:rPr>
        <w:t>for the</w:t>
      </w:r>
      <w:r>
        <w:rPr>
          <w:color w:val="231F20"/>
          <w:spacing w:val="-1"/>
        </w:rPr>
        <w:t xml:space="preserve"> </w:t>
      </w:r>
      <w:r>
        <w:rPr>
          <w:color w:val="231F20"/>
        </w:rPr>
        <w:t>CAC, plus the</w:t>
      </w:r>
      <w:r>
        <w:rPr>
          <w:color w:val="231F20"/>
          <w:spacing w:val="-1"/>
        </w:rPr>
        <w:t xml:space="preserve"> </w:t>
      </w:r>
      <w:r>
        <w:rPr>
          <w:color w:val="231F20"/>
        </w:rPr>
        <w:t>timing</w:t>
      </w:r>
      <w:r>
        <w:rPr>
          <w:color w:val="231F20"/>
          <w:spacing w:val="-1"/>
        </w:rPr>
        <w:t xml:space="preserve"> </w:t>
      </w:r>
      <w:r>
        <w:rPr>
          <w:color w:val="231F20"/>
        </w:rPr>
        <w:t>of receipts from the</w:t>
      </w:r>
      <w:r>
        <w:rPr>
          <w:color w:val="231F20"/>
          <w:spacing w:val="-1"/>
        </w:rPr>
        <w:t xml:space="preserve"> </w:t>
      </w:r>
      <w:r>
        <w:rPr>
          <w:color w:val="231F20"/>
        </w:rPr>
        <w:t>Australian</w:t>
      </w:r>
      <w:r>
        <w:rPr>
          <w:color w:val="231F20"/>
          <w:spacing w:val="-1"/>
        </w:rPr>
        <w:t xml:space="preserve"> </w:t>
      </w:r>
      <w:r>
        <w:rPr>
          <w:color w:val="231F20"/>
        </w:rPr>
        <w:t>Taxation Office</w:t>
      </w:r>
      <w:r>
        <w:rPr>
          <w:color w:val="231F20"/>
          <w:spacing w:val="-1"/>
        </w:rPr>
        <w:t xml:space="preserve"> </w:t>
      </w:r>
      <w:r>
        <w:rPr>
          <w:color w:val="231F20"/>
        </w:rPr>
        <w:t>(ATO) for GST. Operational</w:t>
      </w:r>
      <w:r>
        <w:rPr>
          <w:color w:val="231F20"/>
          <w:spacing w:val="-1"/>
        </w:rPr>
        <w:t xml:space="preserve"> </w:t>
      </w:r>
      <w:r>
        <w:rPr>
          <w:color w:val="231F20"/>
        </w:rPr>
        <w:t>payments were</w:t>
      </w:r>
      <w:r>
        <w:rPr>
          <w:color w:val="231F20"/>
          <w:spacing w:val="-1"/>
        </w:rPr>
        <w:t xml:space="preserve"> </w:t>
      </w:r>
      <w:r>
        <w:rPr>
          <w:color w:val="231F20"/>
        </w:rPr>
        <w:t>also</w:t>
      </w:r>
      <w:r>
        <w:rPr>
          <w:color w:val="231F20"/>
          <w:spacing w:val="-1"/>
        </w:rPr>
        <w:t xml:space="preserve"> </w:t>
      </w:r>
      <w:r>
        <w:rPr>
          <w:color w:val="231F20"/>
        </w:rPr>
        <w:t>reduced</w:t>
      </w:r>
      <w:r>
        <w:rPr>
          <w:color w:val="231F20"/>
          <w:spacing w:val="-1"/>
        </w:rPr>
        <w:t xml:space="preserve"> </w:t>
      </w:r>
      <w:r>
        <w:rPr>
          <w:color w:val="231F20"/>
        </w:rPr>
        <w:t>by the</w:t>
      </w:r>
      <w:r>
        <w:rPr>
          <w:color w:val="231F20"/>
          <w:spacing w:val="-1"/>
        </w:rPr>
        <w:t xml:space="preserve"> </w:t>
      </w:r>
      <w:r>
        <w:rPr>
          <w:color w:val="231F20"/>
        </w:rPr>
        <w:t>same</w:t>
      </w:r>
      <w:r>
        <w:rPr>
          <w:color w:val="231F20"/>
          <w:spacing w:val="-1"/>
        </w:rPr>
        <w:t xml:space="preserve"> </w:t>
      </w:r>
      <w:r>
        <w:rPr>
          <w:color w:val="231F20"/>
        </w:rPr>
        <w:t>percentage</w:t>
      </w:r>
      <w:r>
        <w:rPr>
          <w:color w:val="231F20"/>
          <w:spacing w:val="-1"/>
        </w:rPr>
        <w:t xml:space="preserve"> </w:t>
      </w:r>
      <w:r>
        <w:rPr>
          <w:color w:val="231F20"/>
        </w:rPr>
        <w:t>due</w:t>
      </w:r>
      <w:r>
        <w:rPr>
          <w:color w:val="231F20"/>
          <w:spacing w:val="-1"/>
        </w:rPr>
        <w:t xml:space="preserve"> </w:t>
      </w:r>
      <w:r>
        <w:rPr>
          <w:color w:val="231F20"/>
        </w:rPr>
        <w:t>to no longer accounting for the CAC.</w:t>
      </w:r>
    </w:p>
    <w:p w14:paraId="202C5E2F" w14:textId="77777777" w:rsidR="00345EE3" w:rsidRDefault="00345EE3" w:rsidP="00345EE3">
      <w:pPr>
        <w:pStyle w:val="BodyText"/>
        <w:spacing w:before="120" w:line="242" w:lineRule="auto"/>
        <w:ind w:right="921"/>
      </w:pPr>
      <w:r>
        <w:rPr>
          <w:color w:val="231F20"/>
        </w:rPr>
        <w:t>There</w:t>
      </w:r>
      <w:r>
        <w:rPr>
          <w:color w:val="231F20"/>
          <w:spacing w:val="-6"/>
        </w:rPr>
        <w:t xml:space="preserve"> </w:t>
      </w:r>
      <w:r>
        <w:rPr>
          <w:color w:val="231F20"/>
        </w:rPr>
        <w:t>was</w:t>
      </w:r>
      <w:r>
        <w:rPr>
          <w:color w:val="231F20"/>
          <w:spacing w:val="-6"/>
        </w:rPr>
        <w:t xml:space="preserve"> </w:t>
      </w:r>
      <w:r>
        <w:rPr>
          <w:color w:val="231F20"/>
        </w:rPr>
        <w:t>a</w:t>
      </w:r>
      <w:r>
        <w:rPr>
          <w:color w:val="231F20"/>
          <w:spacing w:val="-6"/>
        </w:rPr>
        <w:t xml:space="preserve"> </w:t>
      </w:r>
      <w:r>
        <w:rPr>
          <w:color w:val="231F20"/>
        </w:rPr>
        <w:t>reduction</w:t>
      </w:r>
      <w:r>
        <w:rPr>
          <w:color w:val="231F20"/>
          <w:spacing w:val="-6"/>
        </w:rPr>
        <w:t xml:space="preserve"> </w:t>
      </w:r>
      <w:r>
        <w:rPr>
          <w:color w:val="231F20"/>
        </w:rPr>
        <w:t>in</w:t>
      </w:r>
      <w:r>
        <w:rPr>
          <w:color w:val="231F20"/>
          <w:spacing w:val="-6"/>
        </w:rPr>
        <w:t xml:space="preserve"> </w:t>
      </w:r>
      <w:r>
        <w:rPr>
          <w:color w:val="231F20"/>
        </w:rPr>
        <w:t>net</w:t>
      </w:r>
      <w:r>
        <w:rPr>
          <w:color w:val="231F20"/>
          <w:spacing w:val="-6"/>
        </w:rPr>
        <w:t xml:space="preserve"> </w:t>
      </w:r>
      <w:r>
        <w:rPr>
          <w:color w:val="231F20"/>
        </w:rPr>
        <w:t>cash</w:t>
      </w:r>
      <w:r>
        <w:rPr>
          <w:color w:val="231F20"/>
          <w:spacing w:val="-6"/>
        </w:rPr>
        <w:t xml:space="preserve"> </w:t>
      </w:r>
      <w:r>
        <w:rPr>
          <w:color w:val="231F20"/>
        </w:rPr>
        <w:t>flow</w:t>
      </w:r>
      <w:r>
        <w:rPr>
          <w:color w:val="231F20"/>
          <w:spacing w:val="-6"/>
        </w:rPr>
        <w:t xml:space="preserve"> </w:t>
      </w:r>
      <w:r>
        <w:rPr>
          <w:color w:val="231F20"/>
        </w:rPr>
        <w:t>from</w:t>
      </w:r>
      <w:r>
        <w:rPr>
          <w:color w:val="231F20"/>
          <w:spacing w:val="-6"/>
        </w:rPr>
        <w:t xml:space="preserve"> </w:t>
      </w:r>
      <w:r>
        <w:rPr>
          <w:color w:val="231F20"/>
        </w:rPr>
        <w:t>financing</w:t>
      </w:r>
      <w:r>
        <w:rPr>
          <w:color w:val="231F20"/>
          <w:spacing w:val="-6"/>
        </w:rPr>
        <w:t xml:space="preserve"> </w:t>
      </w:r>
      <w:r>
        <w:rPr>
          <w:color w:val="231F20"/>
        </w:rPr>
        <w:t>activities</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result</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reduction</w:t>
      </w:r>
      <w:r>
        <w:rPr>
          <w:color w:val="231F20"/>
          <w:spacing w:val="-6"/>
        </w:rPr>
        <w:t xml:space="preserve"> </w:t>
      </w:r>
      <w:r>
        <w:rPr>
          <w:color w:val="231F20"/>
        </w:rPr>
        <w:t>in</w:t>
      </w:r>
      <w:r>
        <w:rPr>
          <w:color w:val="231F20"/>
          <w:spacing w:val="-6"/>
        </w:rPr>
        <w:t xml:space="preserve"> </w:t>
      </w:r>
      <w:r>
        <w:rPr>
          <w:color w:val="231F20"/>
        </w:rPr>
        <w:t>the proceeds from contributed capital required in FY2022.</w:t>
      </w:r>
    </w:p>
    <w:p w14:paraId="6125FFF9" w14:textId="77777777" w:rsidR="00345EE3" w:rsidRPr="002A27BA" w:rsidRDefault="00345EE3" w:rsidP="00345EE3">
      <w:pPr>
        <w:pStyle w:val="Heading2"/>
        <w:spacing w:before="214"/>
        <w:jc w:val="both"/>
        <w:rPr>
          <w:sz w:val="32"/>
          <w:szCs w:val="32"/>
        </w:rPr>
      </w:pPr>
      <w:r w:rsidRPr="002A27BA">
        <w:rPr>
          <w:color w:val="00529F"/>
          <w:spacing w:val="-2"/>
          <w:sz w:val="32"/>
          <w:szCs w:val="32"/>
        </w:rPr>
        <w:t>Capital</w:t>
      </w:r>
      <w:r w:rsidRPr="002A27BA">
        <w:rPr>
          <w:color w:val="00529F"/>
          <w:spacing w:val="-11"/>
          <w:sz w:val="32"/>
          <w:szCs w:val="32"/>
        </w:rPr>
        <w:t xml:space="preserve"> </w:t>
      </w:r>
      <w:r w:rsidRPr="002A27BA">
        <w:rPr>
          <w:color w:val="00529F"/>
          <w:spacing w:val="-2"/>
          <w:sz w:val="32"/>
          <w:szCs w:val="32"/>
        </w:rPr>
        <w:t>projects/asset</w:t>
      </w:r>
      <w:r w:rsidRPr="002A27BA">
        <w:rPr>
          <w:color w:val="00529F"/>
          <w:spacing w:val="-9"/>
          <w:sz w:val="32"/>
          <w:szCs w:val="32"/>
        </w:rPr>
        <w:t xml:space="preserve"> </w:t>
      </w:r>
      <w:r w:rsidRPr="002A27BA">
        <w:rPr>
          <w:color w:val="00529F"/>
          <w:spacing w:val="-2"/>
          <w:sz w:val="32"/>
          <w:szCs w:val="32"/>
        </w:rPr>
        <w:t>investment</w:t>
      </w:r>
      <w:r w:rsidRPr="002A27BA">
        <w:rPr>
          <w:color w:val="00529F"/>
          <w:spacing w:val="-9"/>
          <w:sz w:val="32"/>
          <w:szCs w:val="32"/>
        </w:rPr>
        <w:t xml:space="preserve"> </w:t>
      </w:r>
      <w:r w:rsidRPr="002A27BA">
        <w:rPr>
          <w:color w:val="00529F"/>
          <w:spacing w:val="-2"/>
          <w:sz w:val="32"/>
          <w:szCs w:val="32"/>
        </w:rPr>
        <w:t>programs</w:t>
      </w:r>
    </w:p>
    <w:p w14:paraId="09D9D791" w14:textId="77777777" w:rsidR="00345EE3" w:rsidRDefault="00345EE3" w:rsidP="00345EE3">
      <w:pPr>
        <w:pStyle w:val="BodyText"/>
        <w:spacing w:before="72" w:line="242" w:lineRule="auto"/>
        <w:ind w:right="921"/>
      </w:pPr>
      <w:r>
        <w:rPr>
          <w:color w:val="231F20"/>
        </w:rPr>
        <w:t>Victoria</w:t>
      </w:r>
      <w:r>
        <w:rPr>
          <w:color w:val="231F20"/>
          <w:spacing w:val="-8"/>
        </w:rPr>
        <w:t xml:space="preserve"> </w:t>
      </w:r>
      <w:r>
        <w:rPr>
          <w:color w:val="231F20"/>
        </w:rPr>
        <w:t>Police</w:t>
      </w:r>
      <w:r>
        <w:rPr>
          <w:color w:val="231F20"/>
          <w:spacing w:val="-8"/>
        </w:rPr>
        <w:t xml:space="preserve"> </w:t>
      </w:r>
      <w:r>
        <w:rPr>
          <w:color w:val="231F20"/>
        </w:rPr>
        <w:t>and</w:t>
      </w:r>
      <w:r>
        <w:rPr>
          <w:color w:val="231F20"/>
          <w:spacing w:val="-8"/>
        </w:rPr>
        <w:t xml:space="preserve"> </w:t>
      </w:r>
      <w:r>
        <w:rPr>
          <w:color w:val="231F20"/>
        </w:rPr>
        <w:t>its</w:t>
      </w:r>
      <w:r>
        <w:rPr>
          <w:color w:val="231F20"/>
          <w:spacing w:val="-7"/>
        </w:rPr>
        <w:t xml:space="preserve"> </w:t>
      </w:r>
      <w:r>
        <w:rPr>
          <w:color w:val="231F20"/>
        </w:rPr>
        <w:t>related</w:t>
      </w:r>
      <w:r>
        <w:rPr>
          <w:color w:val="231F20"/>
          <w:spacing w:val="-8"/>
        </w:rPr>
        <w:t xml:space="preserve"> </w:t>
      </w:r>
      <w:r>
        <w:rPr>
          <w:color w:val="231F20"/>
        </w:rPr>
        <w:t>portfolio</w:t>
      </w:r>
      <w:r>
        <w:rPr>
          <w:color w:val="231F20"/>
          <w:spacing w:val="-8"/>
        </w:rPr>
        <w:t xml:space="preserve"> </w:t>
      </w:r>
      <w:r>
        <w:rPr>
          <w:color w:val="231F20"/>
        </w:rPr>
        <w:t>entities</w:t>
      </w:r>
      <w:r>
        <w:rPr>
          <w:color w:val="231F20"/>
          <w:spacing w:val="-7"/>
        </w:rPr>
        <w:t xml:space="preserve"> </w:t>
      </w:r>
      <w:r>
        <w:rPr>
          <w:color w:val="231F20"/>
        </w:rPr>
        <w:t>manage</w:t>
      </w:r>
      <w:r>
        <w:rPr>
          <w:color w:val="231F20"/>
          <w:spacing w:val="-8"/>
        </w:rPr>
        <w:t xml:space="preserve"> </w:t>
      </w:r>
      <w:r>
        <w:rPr>
          <w:color w:val="231F20"/>
        </w:rPr>
        <w:t>a</w:t>
      </w:r>
      <w:r>
        <w:rPr>
          <w:color w:val="231F20"/>
          <w:spacing w:val="-8"/>
        </w:rPr>
        <w:t xml:space="preserve"> </w:t>
      </w:r>
      <w:r>
        <w:rPr>
          <w:color w:val="231F20"/>
        </w:rPr>
        <w:t>range</w:t>
      </w:r>
      <w:r>
        <w:rPr>
          <w:color w:val="231F20"/>
          <w:spacing w:val="-8"/>
        </w:rPr>
        <w:t xml:space="preserve"> </w:t>
      </w:r>
      <w:r>
        <w:rPr>
          <w:color w:val="231F20"/>
        </w:rPr>
        <w:t>of</w:t>
      </w:r>
      <w:r>
        <w:rPr>
          <w:color w:val="231F20"/>
          <w:spacing w:val="-7"/>
        </w:rPr>
        <w:t xml:space="preserve"> </w:t>
      </w:r>
      <w:r>
        <w:rPr>
          <w:color w:val="231F20"/>
        </w:rPr>
        <w:t>capital</w:t>
      </w:r>
      <w:r>
        <w:rPr>
          <w:color w:val="231F20"/>
          <w:spacing w:val="-8"/>
        </w:rPr>
        <w:t xml:space="preserve"> </w:t>
      </w:r>
      <w:r>
        <w:rPr>
          <w:color w:val="231F20"/>
        </w:rPr>
        <w:t>projects</w:t>
      </w:r>
      <w:r>
        <w:rPr>
          <w:color w:val="231F20"/>
          <w:spacing w:val="-7"/>
        </w:rPr>
        <w:t xml:space="preserve"> </w:t>
      </w:r>
      <w:r>
        <w:rPr>
          <w:color w:val="231F20"/>
        </w:rPr>
        <w:t>to</w:t>
      </w:r>
      <w:r>
        <w:rPr>
          <w:color w:val="231F20"/>
          <w:spacing w:val="-8"/>
        </w:rPr>
        <w:t xml:space="preserve"> </w:t>
      </w:r>
      <w:r>
        <w:rPr>
          <w:color w:val="231F20"/>
        </w:rPr>
        <w:t>deliver services for government.</w:t>
      </w:r>
    </w:p>
    <w:p w14:paraId="052F7C91" w14:textId="77777777" w:rsidR="00345EE3" w:rsidRDefault="00345EE3" w:rsidP="00345EE3">
      <w:pPr>
        <w:pStyle w:val="BodyText"/>
        <w:spacing w:before="116" w:line="242" w:lineRule="auto"/>
        <w:ind w:right="921"/>
      </w:pPr>
      <w:r>
        <w:rPr>
          <w:color w:val="231F20"/>
        </w:rPr>
        <w:t>Information</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new</w:t>
      </w:r>
      <w:r>
        <w:rPr>
          <w:color w:val="231F20"/>
          <w:spacing w:val="-8"/>
        </w:rPr>
        <w:t xml:space="preserve"> </w:t>
      </w:r>
      <w:r>
        <w:rPr>
          <w:color w:val="231F20"/>
        </w:rPr>
        <w:t>and</w:t>
      </w:r>
      <w:r>
        <w:rPr>
          <w:color w:val="231F20"/>
          <w:spacing w:val="-8"/>
        </w:rPr>
        <w:t xml:space="preserve"> </w:t>
      </w:r>
      <w:r>
        <w:rPr>
          <w:color w:val="231F20"/>
        </w:rPr>
        <w:t>existing</w:t>
      </w:r>
      <w:r>
        <w:rPr>
          <w:color w:val="231F20"/>
          <w:spacing w:val="-8"/>
        </w:rPr>
        <w:t xml:space="preserve"> </w:t>
      </w:r>
      <w:r>
        <w:rPr>
          <w:color w:val="231F20"/>
        </w:rPr>
        <w:t>capital</w:t>
      </w:r>
      <w:r>
        <w:rPr>
          <w:color w:val="231F20"/>
          <w:spacing w:val="-8"/>
        </w:rPr>
        <w:t xml:space="preserve"> </w:t>
      </w:r>
      <w:r>
        <w:rPr>
          <w:color w:val="231F20"/>
        </w:rPr>
        <w:t>projects</w:t>
      </w:r>
      <w:r>
        <w:rPr>
          <w:color w:val="231F20"/>
          <w:spacing w:val="-8"/>
        </w:rPr>
        <w:t xml:space="preserve"> </w:t>
      </w:r>
      <w:r>
        <w:rPr>
          <w:color w:val="231F20"/>
        </w:rPr>
        <w:t>for</w:t>
      </w:r>
      <w:r>
        <w:rPr>
          <w:color w:val="231F20"/>
          <w:spacing w:val="-8"/>
        </w:rPr>
        <w:t xml:space="preserve"> </w:t>
      </w:r>
      <w:r>
        <w:rPr>
          <w:color w:val="231F20"/>
        </w:rPr>
        <w:t>departments</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broader</w:t>
      </w:r>
      <w:r>
        <w:rPr>
          <w:color w:val="231F20"/>
          <w:spacing w:val="-8"/>
        </w:rPr>
        <w:t xml:space="preserve"> </w:t>
      </w:r>
      <w:r>
        <w:rPr>
          <w:color w:val="231F20"/>
        </w:rPr>
        <w:t>Victorian public sector is contained in the most recent budget, which is available on the Department of Treasury and Finance’s website.</w:t>
      </w:r>
    </w:p>
    <w:p w14:paraId="09CA8492" w14:textId="77777777" w:rsidR="00345EE3" w:rsidRDefault="00345EE3" w:rsidP="00345EE3">
      <w:pPr>
        <w:pStyle w:val="BodyText"/>
        <w:spacing w:before="117" w:line="242" w:lineRule="auto"/>
        <w:ind w:right="1445"/>
        <w:jc w:val="both"/>
      </w:pPr>
      <w:r>
        <w:rPr>
          <w:color w:val="231F20"/>
        </w:rPr>
        <w:t>During</w:t>
      </w:r>
      <w:r>
        <w:rPr>
          <w:color w:val="231F20"/>
          <w:spacing w:val="-10"/>
        </w:rPr>
        <w:t xml:space="preserve"> </w:t>
      </w:r>
      <w:r>
        <w:rPr>
          <w:color w:val="231F20"/>
        </w:rPr>
        <w:t>the</w:t>
      </w:r>
      <w:r>
        <w:rPr>
          <w:color w:val="231F20"/>
          <w:spacing w:val="-10"/>
        </w:rPr>
        <w:t xml:space="preserve"> </w:t>
      </w:r>
      <w:r>
        <w:rPr>
          <w:color w:val="231F20"/>
        </w:rPr>
        <w:t>year,</w:t>
      </w:r>
      <w:r>
        <w:rPr>
          <w:color w:val="231F20"/>
          <w:spacing w:val="-9"/>
        </w:rPr>
        <w:t xml:space="preserve"> </w:t>
      </w:r>
      <w:r>
        <w:rPr>
          <w:color w:val="231F20"/>
        </w:rPr>
        <w:t>there</w:t>
      </w:r>
      <w:r>
        <w:rPr>
          <w:color w:val="231F20"/>
          <w:spacing w:val="-10"/>
        </w:rPr>
        <w:t xml:space="preserve"> </w:t>
      </w:r>
      <w:r>
        <w:rPr>
          <w:color w:val="231F20"/>
        </w:rPr>
        <w:t>were</w:t>
      </w:r>
      <w:r>
        <w:rPr>
          <w:color w:val="231F20"/>
          <w:spacing w:val="-10"/>
        </w:rPr>
        <w:t xml:space="preserve"> </w:t>
      </w:r>
      <w:r>
        <w:rPr>
          <w:color w:val="231F20"/>
        </w:rPr>
        <w:t>no</w:t>
      </w:r>
      <w:r>
        <w:rPr>
          <w:color w:val="231F20"/>
          <w:spacing w:val="-10"/>
        </w:rPr>
        <w:t xml:space="preserve"> </w:t>
      </w:r>
      <w:r>
        <w:rPr>
          <w:color w:val="231F20"/>
        </w:rPr>
        <w:t>completed</w:t>
      </w:r>
      <w:r>
        <w:rPr>
          <w:color w:val="231F20"/>
          <w:spacing w:val="-10"/>
        </w:rPr>
        <w:t xml:space="preserve"> </w:t>
      </w:r>
      <w:r>
        <w:rPr>
          <w:color w:val="231F20"/>
        </w:rPr>
        <w:t>capital</w:t>
      </w:r>
      <w:r>
        <w:rPr>
          <w:color w:val="231F20"/>
          <w:spacing w:val="-10"/>
        </w:rPr>
        <w:t xml:space="preserve"> </w:t>
      </w:r>
      <w:r>
        <w:rPr>
          <w:color w:val="231F20"/>
        </w:rPr>
        <w:t>completed</w:t>
      </w:r>
      <w:r>
        <w:rPr>
          <w:color w:val="231F20"/>
          <w:spacing w:val="-10"/>
        </w:rPr>
        <w:t xml:space="preserve"> </w:t>
      </w:r>
      <w:r>
        <w:rPr>
          <w:color w:val="231F20"/>
        </w:rPr>
        <w:t>during</w:t>
      </w:r>
      <w:r>
        <w:rPr>
          <w:color w:val="231F20"/>
          <w:spacing w:val="-10"/>
        </w:rPr>
        <w:t xml:space="preserve"> </w:t>
      </w:r>
      <w:r>
        <w:rPr>
          <w:color w:val="231F20"/>
        </w:rPr>
        <w:t>the</w:t>
      </w:r>
      <w:r>
        <w:rPr>
          <w:color w:val="231F20"/>
          <w:spacing w:val="-10"/>
        </w:rPr>
        <w:t xml:space="preserve"> </w:t>
      </w:r>
      <w:r>
        <w:rPr>
          <w:color w:val="231F20"/>
        </w:rPr>
        <w:t>financial</w:t>
      </w:r>
      <w:r>
        <w:rPr>
          <w:color w:val="231F20"/>
          <w:spacing w:val="-10"/>
        </w:rPr>
        <w:t xml:space="preserve"> </w:t>
      </w:r>
      <w:r>
        <w:rPr>
          <w:color w:val="231F20"/>
        </w:rPr>
        <w:t>year</w:t>
      </w:r>
      <w:r>
        <w:rPr>
          <w:color w:val="231F20"/>
          <w:spacing w:val="-9"/>
        </w:rPr>
        <w:t xml:space="preserve"> </w:t>
      </w:r>
      <w:r>
        <w:rPr>
          <w:color w:val="231F20"/>
        </w:rPr>
        <w:t>ended 30</w:t>
      </w:r>
      <w:r>
        <w:rPr>
          <w:color w:val="231F20"/>
          <w:spacing w:val="-8"/>
        </w:rPr>
        <w:t xml:space="preserve"> </w:t>
      </w:r>
      <w:r>
        <w:rPr>
          <w:color w:val="231F20"/>
        </w:rPr>
        <w:t>June</w:t>
      </w:r>
      <w:r>
        <w:rPr>
          <w:color w:val="231F20"/>
          <w:spacing w:val="-8"/>
        </w:rPr>
        <w:t xml:space="preserve"> </w:t>
      </w:r>
      <w:r>
        <w:rPr>
          <w:color w:val="231F20"/>
        </w:rPr>
        <w:t>2022</w:t>
      </w:r>
      <w:r>
        <w:rPr>
          <w:color w:val="231F20"/>
          <w:spacing w:val="-8"/>
        </w:rPr>
        <w:t xml:space="preserve"> </w:t>
      </w:r>
      <w:r>
        <w:rPr>
          <w:color w:val="231F20"/>
        </w:rPr>
        <w:t>that</w:t>
      </w:r>
      <w:r>
        <w:rPr>
          <w:color w:val="231F20"/>
          <w:spacing w:val="-7"/>
        </w:rPr>
        <w:t xml:space="preserve"> </w:t>
      </w:r>
      <w:r>
        <w:rPr>
          <w:color w:val="231F20"/>
        </w:rPr>
        <w:t>meet</w:t>
      </w:r>
      <w:r>
        <w:rPr>
          <w:color w:val="231F20"/>
          <w:spacing w:val="-7"/>
        </w:rPr>
        <w:t xml:space="preserve"> </w:t>
      </w:r>
      <w:r>
        <w:rPr>
          <w:color w:val="231F20"/>
        </w:rPr>
        <w:t>the</w:t>
      </w:r>
      <w:r>
        <w:rPr>
          <w:color w:val="231F20"/>
          <w:spacing w:val="-8"/>
        </w:rPr>
        <w:t xml:space="preserve"> </w:t>
      </w:r>
      <w:r>
        <w:rPr>
          <w:color w:val="231F20"/>
        </w:rPr>
        <w:t>Total</w:t>
      </w:r>
      <w:r>
        <w:rPr>
          <w:color w:val="231F20"/>
          <w:spacing w:val="-8"/>
        </w:rPr>
        <w:t xml:space="preserve"> </w:t>
      </w:r>
      <w:r>
        <w:rPr>
          <w:color w:val="231F20"/>
        </w:rPr>
        <w:t>Estimated</w:t>
      </w:r>
      <w:r>
        <w:rPr>
          <w:color w:val="231F20"/>
          <w:spacing w:val="-8"/>
        </w:rPr>
        <w:t xml:space="preserve"> </w:t>
      </w:r>
      <w:r>
        <w:rPr>
          <w:color w:val="231F20"/>
        </w:rPr>
        <w:t>Investment</w:t>
      </w:r>
      <w:r>
        <w:rPr>
          <w:color w:val="231F20"/>
          <w:spacing w:val="-7"/>
        </w:rPr>
        <w:t xml:space="preserve"> </w:t>
      </w:r>
      <w:r>
        <w:rPr>
          <w:color w:val="231F20"/>
        </w:rPr>
        <w:t>(TEI)</w:t>
      </w:r>
      <w:r>
        <w:rPr>
          <w:color w:val="231F20"/>
          <w:spacing w:val="-7"/>
        </w:rPr>
        <w:t xml:space="preserve"> </w:t>
      </w:r>
      <w:r>
        <w:rPr>
          <w:color w:val="231F20"/>
        </w:rPr>
        <w:t>project</w:t>
      </w:r>
      <w:r>
        <w:rPr>
          <w:color w:val="231F20"/>
          <w:spacing w:val="-7"/>
        </w:rPr>
        <w:t xml:space="preserve"> </w:t>
      </w:r>
      <w:r>
        <w:rPr>
          <w:color w:val="231F20"/>
        </w:rPr>
        <w:t>completion</w:t>
      </w:r>
      <w:r>
        <w:rPr>
          <w:color w:val="231F20"/>
          <w:spacing w:val="-8"/>
        </w:rPr>
        <w:t xml:space="preserve"> </w:t>
      </w:r>
      <w:r>
        <w:rPr>
          <w:color w:val="231F20"/>
        </w:rPr>
        <w:t>disclosure threshold of $10 million.</w:t>
      </w:r>
    </w:p>
    <w:p w14:paraId="394C89DD" w14:textId="77777777" w:rsidR="00345EE3" w:rsidRDefault="00345EE3" w:rsidP="00345EE3">
      <w:pPr>
        <w:spacing w:line="242" w:lineRule="auto"/>
        <w:jc w:val="both"/>
        <w:sectPr w:rsidR="00345EE3" w:rsidSect="002A27BA">
          <w:pgSz w:w="11910" w:h="16840"/>
          <w:pgMar w:top="720" w:right="0" w:bottom="280" w:left="740" w:header="720" w:footer="720" w:gutter="0"/>
          <w:cols w:space="720"/>
        </w:sectPr>
      </w:pPr>
    </w:p>
    <w:p w14:paraId="4851BF4C" w14:textId="77777777" w:rsidR="00345EE3" w:rsidRPr="00AA1260" w:rsidRDefault="00345EE3" w:rsidP="00AA1260">
      <w:pPr>
        <w:pStyle w:val="Heading1"/>
        <w:numPr>
          <w:ilvl w:val="0"/>
          <w:numId w:val="93"/>
        </w:numPr>
        <w:tabs>
          <w:tab w:val="left" w:pos="848"/>
        </w:tabs>
        <w:ind w:left="522" w:hanging="522"/>
        <w:rPr>
          <w:b w:val="0"/>
          <w:bCs/>
          <w:sz w:val="56"/>
          <w:szCs w:val="56"/>
        </w:rPr>
      </w:pPr>
      <w:bookmarkStart w:id="4" w:name="_TOC_250003"/>
      <w:r w:rsidRPr="00AA1260">
        <w:rPr>
          <w:b w:val="0"/>
          <w:bCs/>
          <w:color w:val="00529F"/>
          <w:spacing w:val="-2"/>
          <w:sz w:val="56"/>
          <w:szCs w:val="56"/>
        </w:rPr>
        <w:t>Year</w:t>
      </w:r>
      <w:r w:rsidRPr="00AA1260">
        <w:rPr>
          <w:b w:val="0"/>
          <w:bCs/>
          <w:color w:val="00529F"/>
          <w:spacing w:val="-33"/>
          <w:sz w:val="56"/>
          <w:szCs w:val="56"/>
        </w:rPr>
        <w:t xml:space="preserve"> </w:t>
      </w:r>
      <w:r w:rsidRPr="00AA1260">
        <w:rPr>
          <w:b w:val="0"/>
          <w:bCs/>
          <w:color w:val="00529F"/>
          <w:spacing w:val="-2"/>
          <w:sz w:val="56"/>
          <w:szCs w:val="56"/>
        </w:rPr>
        <w:t>in</w:t>
      </w:r>
      <w:r w:rsidRPr="00AA1260">
        <w:rPr>
          <w:b w:val="0"/>
          <w:bCs/>
          <w:color w:val="00529F"/>
          <w:spacing w:val="-33"/>
          <w:sz w:val="56"/>
          <w:szCs w:val="56"/>
        </w:rPr>
        <w:t xml:space="preserve"> </w:t>
      </w:r>
      <w:bookmarkEnd w:id="4"/>
      <w:r w:rsidRPr="00AA1260">
        <w:rPr>
          <w:b w:val="0"/>
          <w:bCs/>
          <w:color w:val="00529F"/>
          <w:spacing w:val="-2"/>
          <w:sz w:val="56"/>
          <w:szCs w:val="56"/>
        </w:rPr>
        <w:t>Review</w:t>
      </w:r>
    </w:p>
    <w:p w14:paraId="0324A28D" w14:textId="77777777" w:rsidR="00345EE3" w:rsidRDefault="00345EE3" w:rsidP="00345EE3">
      <w:pPr>
        <w:pStyle w:val="BodyText"/>
        <w:spacing w:before="106" w:line="242" w:lineRule="auto"/>
        <w:ind w:right="1208"/>
      </w:pPr>
      <w:r>
        <w:rPr>
          <w:color w:val="231F20"/>
        </w:rPr>
        <w:t>2021–22</w:t>
      </w:r>
      <w:r>
        <w:rPr>
          <w:color w:val="231F20"/>
          <w:spacing w:val="-5"/>
        </w:rPr>
        <w:t xml:space="preserve"> </w:t>
      </w:r>
      <w:r>
        <w:rPr>
          <w:color w:val="231F20"/>
        </w:rPr>
        <w:t>was</w:t>
      </w:r>
      <w:r>
        <w:rPr>
          <w:color w:val="231F20"/>
          <w:spacing w:val="-4"/>
        </w:rPr>
        <w:t xml:space="preserve"> </w:t>
      </w:r>
      <w:r>
        <w:rPr>
          <w:color w:val="231F20"/>
        </w:rPr>
        <w:t>challenging</w:t>
      </w:r>
      <w:r>
        <w:rPr>
          <w:color w:val="231F20"/>
          <w:spacing w:val="-5"/>
        </w:rPr>
        <w:t xml:space="preserve"> </w:t>
      </w:r>
      <w:r>
        <w:rPr>
          <w:color w:val="231F20"/>
        </w:rPr>
        <w:t>as</w:t>
      </w:r>
      <w:r>
        <w:rPr>
          <w:color w:val="231F20"/>
          <w:spacing w:val="-4"/>
        </w:rPr>
        <w:t xml:space="preserve"> </w:t>
      </w:r>
      <w:r>
        <w:rPr>
          <w:color w:val="231F20"/>
        </w:rPr>
        <w:t>Victoria</w:t>
      </w:r>
      <w:r>
        <w:rPr>
          <w:color w:val="231F20"/>
          <w:spacing w:val="-5"/>
        </w:rPr>
        <w:t xml:space="preserve"> </w:t>
      </w:r>
      <w:r>
        <w:rPr>
          <w:color w:val="231F20"/>
        </w:rPr>
        <w:t>Police</w:t>
      </w:r>
      <w:r>
        <w:rPr>
          <w:color w:val="231F20"/>
          <w:spacing w:val="-5"/>
        </w:rPr>
        <w:t xml:space="preserve"> </w:t>
      </w:r>
      <w:r>
        <w:rPr>
          <w:color w:val="231F20"/>
        </w:rPr>
        <w:t>continued</w:t>
      </w:r>
      <w:r>
        <w:rPr>
          <w:color w:val="231F20"/>
          <w:spacing w:val="-5"/>
        </w:rPr>
        <w:t xml:space="preserve"> </w:t>
      </w:r>
      <w:r>
        <w:rPr>
          <w:color w:val="231F20"/>
        </w:rPr>
        <w:t>to</w:t>
      </w:r>
      <w:r>
        <w:rPr>
          <w:color w:val="231F20"/>
          <w:spacing w:val="-5"/>
        </w:rPr>
        <w:t xml:space="preserve"> </w:t>
      </w:r>
      <w:r>
        <w:rPr>
          <w:color w:val="231F20"/>
        </w:rPr>
        <w:t>play</w:t>
      </w:r>
      <w:r>
        <w:rPr>
          <w:color w:val="231F20"/>
          <w:spacing w:val="-4"/>
        </w:rPr>
        <w:t xml:space="preserve"> </w:t>
      </w:r>
      <w:r>
        <w:rPr>
          <w:color w:val="231F20"/>
        </w:rPr>
        <w:t>a</w:t>
      </w:r>
      <w:r>
        <w:rPr>
          <w:color w:val="231F20"/>
          <w:spacing w:val="-5"/>
        </w:rPr>
        <w:t xml:space="preserve"> </w:t>
      </w:r>
      <w:r>
        <w:rPr>
          <w:color w:val="231F20"/>
        </w:rPr>
        <w:t>pivotal</w:t>
      </w:r>
      <w:r>
        <w:rPr>
          <w:color w:val="231F20"/>
          <w:spacing w:val="-5"/>
        </w:rPr>
        <w:t xml:space="preserve"> </w:t>
      </w:r>
      <w:r>
        <w:rPr>
          <w:color w:val="231F20"/>
        </w:rPr>
        <w:t>role</w:t>
      </w:r>
      <w:r>
        <w:rPr>
          <w:color w:val="231F20"/>
          <w:spacing w:val="-5"/>
        </w:rPr>
        <w:t xml:space="preserve"> </w:t>
      </w:r>
      <w:r>
        <w:rPr>
          <w:color w:val="231F20"/>
        </w:rPr>
        <w:t>in</w:t>
      </w:r>
      <w:r>
        <w:rPr>
          <w:color w:val="231F20"/>
          <w:spacing w:val="-5"/>
        </w:rPr>
        <w:t xml:space="preserve"> </w:t>
      </w:r>
      <w:r>
        <w:rPr>
          <w:color w:val="231F20"/>
        </w:rPr>
        <w:t>supporting</w:t>
      </w:r>
      <w:r>
        <w:rPr>
          <w:color w:val="231F20"/>
          <w:spacing w:val="-5"/>
        </w:rPr>
        <w:t xml:space="preserve"> </w:t>
      </w:r>
      <w:r>
        <w:rPr>
          <w:color w:val="231F20"/>
        </w:rPr>
        <w:t>the government’s response to the COVID-19 pandemic. This year also saw the welcome return of</w:t>
      </w:r>
      <w:r>
        <w:rPr>
          <w:color w:val="231F20"/>
          <w:spacing w:val="-9"/>
        </w:rPr>
        <w:t xml:space="preserve"> </w:t>
      </w:r>
      <w:r>
        <w:rPr>
          <w:color w:val="231F20"/>
        </w:rPr>
        <w:t>some</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pre-pandemic</w:t>
      </w:r>
      <w:r>
        <w:rPr>
          <w:color w:val="231F20"/>
          <w:spacing w:val="-9"/>
        </w:rPr>
        <w:t xml:space="preserve"> </w:t>
      </w:r>
      <w:r>
        <w:rPr>
          <w:color w:val="231F20"/>
        </w:rPr>
        <w:t>traditional</w:t>
      </w:r>
      <w:r>
        <w:rPr>
          <w:color w:val="231F20"/>
          <w:spacing w:val="-10"/>
        </w:rPr>
        <w:t xml:space="preserve"> </w:t>
      </w:r>
      <w:r>
        <w:rPr>
          <w:color w:val="231F20"/>
        </w:rPr>
        <w:t>activities,</w:t>
      </w:r>
      <w:r>
        <w:rPr>
          <w:color w:val="231F20"/>
          <w:spacing w:val="-9"/>
        </w:rPr>
        <w:t xml:space="preserve"> </w:t>
      </w:r>
      <w:r>
        <w:rPr>
          <w:color w:val="231F20"/>
        </w:rPr>
        <w:t>gatherings</w:t>
      </w:r>
      <w:r>
        <w:rPr>
          <w:color w:val="231F20"/>
          <w:spacing w:val="-9"/>
        </w:rPr>
        <w:t xml:space="preserve"> </w:t>
      </w:r>
      <w:r>
        <w:rPr>
          <w:color w:val="231F20"/>
        </w:rPr>
        <w:t>and</w:t>
      </w:r>
      <w:r>
        <w:rPr>
          <w:color w:val="231F20"/>
          <w:spacing w:val="-10"/>
        </w:rPr>
        <w:t xml:space="preserve"> </w:t>
      </w:r>
      <w:r>
        <w:rPr>
          <w:color w:val="231F20"/>
        </w:rPr>
        <w:t>events</w:t>
      </w:r>
      <w:r>
        <w:rPr>
          <w:color w:val="231F20"/>
          <w:spacing w:val="-9"/>
        </w:rPr>
        <w:t xml:space="preserve"> </w:t>
      </w:r>
      <w:r>
        <w:rPr>
          <w:color w:val="231F20"/>
        </w:rPr>
        <w:t>in</w:t>
      </w:r>
      <w:r>
        <w:rPr>
          <w:color w:val="231F20"/>
          <w:spacing w:val="-10"/>
        </w:rPr>
        <w:t xml:space="preserve"> </w:t>
      </w:r>
      <w:r>
        <w:rPr>
          <w:color w:val="231F20"/>
        </w:rPr>
        <w:t>Victoria</w:t>
      </w:r>
      <w:r>
        <w:rPr>
          <w:color w:val="231F20"/>
          <w:spacing w:val="-10"/>
        </w:rPr>
        <w:t xml:space="preserve"> </w:t>
      </w:r>
      <w:r>
        <w:rPr>
          <w:color w:val="231F20"/>
        </w:rPr>
        <w:t>that</w:t>
      </w:r>
      <w:r>
        <w:rPr>
          <w:color w:val="231F20"/>
          <w:spacing w:val="-9"/>
        </w:rPr>
        <w:t xml:space="preserve"> </w:t>
      </w:r>
      <w:r>
        <w:rPr>
          <w:color w:val="231F20"/>
        </w:rPr>
        <w:t>were supported by Victoria Police.</w:t>
      </w:r>
    </w:p>
    <w:p w14:paraId="2F7CA9D4" w14:textId="77777777" w:rsidR="00345EE3" w:rsidRDefault="00345EE3" w:rsidP="00345EE3">
      <w:pPr>
        <w:pStyle w:val="BodyText"/>
        <w:spacing w:before="119"/>
      </w:pPr>
      <w:r>
        <w:rPr>
          <w:color w:val="231F20"/>
        </w:rPr>
        <w:t>This</w:t>
      </w:r>
      <w:r>
        <w:rPr>
          <w:color w:val="231F20"/>
          <w:spacing w:val="-14"/>
        </w:rPr>
        <w:t xml:space="preserve"> </w:t>
      </w:r>
      <w:r>
        <w:rPr>
          <w:color w:val="231F20"/>
        </w:rPr>
        <w:t>chapter</w:t>
      </w:r>
      <w:r>
        <w:rPr>
          <w:color w:val="231F20"/>
          <w:spacing w:val="-11"/>
        </w:rPr>
        <w:t xml:space="preserve"> </w:t>
      </w:r>
      <w:r>
        <w:rPr>
          <w:color w:val="231F20"/>
        </w:rPr>
        <w:t>highlights</w:t>
      </w:r>
      <w:r>
        <w:rPr>
          <w:color w:val="231F20"/>
          <w:spacing w:val="-11"/>
        </w:rPr>
        <w:t xml:space="preserve"> </w:t>
      </w:r>
      <w:r>
        <w:rPr>
          <w:color w:val="231F20"/>
        </w:rPr>
        <w:t>our</w:t>
      </w:r>
      <w:r>
        <w:rPr>
          <w:color w:val="231F20"/>
          <w:spacing w:val="-12"/>
        </w:rPr>
        <w:t xml:space="preserve"> </w:t>
      </w:r>
      <w:r>
        <w:rPr>
          <w:color w:val="231F20"/>
        </w:rPr>
        <w:t>achievements</w:t>
      </w:r>
      <w:r>
        <w:rPr>
          <w:color w:val="231F20"/>
          <w:spacing w:val="-11"/>
        </w:rPr>
        <w:t xml:space="preserve"> </w:t>
      </w:r>
      <w:r>
        <w:rPr>
          <w:color w:val="231F20"/>
        </w:rPr>
        <w:t>during</w:t>
      </w:r>
      <w:r>
        <w:rPr>
          <w:color w:val="231F20"/>
          <w:spacing w:val="-12"/>
        </w:rPr>
        <w:t xml:space="preserve"> </w:t>
      </w:r>
      <w:r>
        <w:rPr>
          <w:color w:val="231F20"/>
        </w:rPr>
        <w:t>2021–22</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following</w:t>
      </w:r>
      <w:r>
        <w:rPr>
          <w:color w:val="231F20"/>
          <w:spacing w:val="-12"/>
        </w:rPr>
        <w:t xml:space="preserve"> </w:t>
      </w:r>
      <w:r>
        <w:rPr>
          <w:color w:val="231F20"/>
          <w:spacing w:val="-2"/>
        </w:rPr>
        <w:t>areas:</w:t>
      </w:r>
    </w:p>
    <w:p w14:paraId="5C8C031B" w14:textId="77777777" w:rsidR="00345EE3" w:rsidRDefault="00345EE3">
      <w:pPr>
        <w:pStyle w:val="ListParagraph"/>
        <w:numPr>
          <w:ilvl w:val="1"/>
          <w:numId w:val="93"/>
        </w:numPr>
        <w:tabs>
          <w:tab w:val="left" w:pos="393"/>
          <w:tab w:val="left" w:pos="394"/>
        </w:tabs>
        <w:rPr>
          <w:sz w:val="24"/>
        </w:rPr>
      </w:pPr>
      <w:r>
        <w:rPr>
          <w:color w:val="231F20"/>
          <w:sz w:val="24"/>
        </w:rPr>
        <w:t>COVID-19</w:t>
      </w:r>
      <w:r>
        <w:rPr>
          <w:color w:val="231F20"/>
          <w:spacing w:val="-16"/>
          <w:sz w:val="24"/>
        </w:rPr>
        <w:t xml:space="preserve"> </w:t>
      </w:r>
      <w:r>
        <w:rPr>
          <w:color w:val="231F20"/>
          <w:sz w:val="24"/>
        </w:rPr>
        <w:t>Response</w:t>
      </w:r>
      <w:r>
        <w:rPr>
          <w:color w:val="231F20"/>
          <w:spacing w:val="-15"/>
          <w:sz w:val="24"/>
        </w:rPr>
        <w:t xml:space="preserve"> </w:t>
      </w:r>
      <w:r>
        <w:rPr>
          <w:color w:val="231F20"/>
          <w:sz w:val="24"/>
        </w:rPr>
        <w:t>in</w:t>
      </w:r>
      <w:r>
        <w:rPr>
          <w:color w:val="231F20"/>
          <w:spacing w:val="-15"/>
          <w:sz w:val="24"/>
        </w:rPr>
        <w:t xml:space="preserve"> </w:t>
      </w:r>
      <w:r>
        <w:rPr>
          <w:color w:val="231F20"/>
          <w:spacing w:val="-2"/>
          <w:sz w:val="24"/>
        </w:rPr>
        <w:t>2021–22</w:t>
      </w:r>
    </w:p>
    <w:p w14:paraId="02601288" w14:textId="77777777" w:rsidR="00345EE3" w:rsidRDefault="00345EE3">
      <w:pPr>
        <w:pStyle w:val="ListParagraph"/>
        <w:numPr>
          <w:ilvl w:val="1"/>
          <w:numId w:val="93"/>
        </w:numPr>
        <w:tabs>
          <w:tab w:val="left" w:pos="393"/>
          <w:tab w:val="left" w:pos="394"/>
        </w:tabs>
        <w:rPr>
          <w:sz w:val="24"/>
        </w:rPr>
      </w:pPr>
      <w:r>
        <w:rPr>
          <w:color w:val="231F20"/>
          <w:sz w:val="24"/>
        </w:rPr>
        <w:t>2021–22</w:t>
      </w:r>
      <w:r>
        <w:rPr>
          <w:color w:val="231F20"/>
          <w:spacing w:val="-11"/>
          <w:sz w:val="24"/>
        </w:rPr>
        <w:t xml:space="preserve"> </w:t>
      </w:r>
      <w:r>
        <w:rPr>
          <w:color w:val="231F20"/>
          <w:sz w:val="24"/>
        </w:rPr>
        <w:t>Annual</w:t>
      </w:r>
      <w:r>
        <w:rPr>
          <w:color w:val="231F20"/>
          <w:spacing w:val="-10"/>
          <w:sz w:val="24"/>
        </w:rPr>
        <w:t xml:space="preserve"> </w:t>
      </w:r>
      <w:r>
        <w:rPr>
          <w:color w:val="231F20"/>
          <w:sz w:val="24"/>
        </w:rPr>
        <w:t>Action</w:t>
      </w:r>
      <w:r>
        <w:rPr>
          <w:color w:val="231F20"/>
          <w:spacing w:val="-10"/>
          <w:sz w:val="24"/>
        </w:rPr>
        <w:t xml:space="preserve"> </w:t>
      </w:r>
      <w:r>
        <w:rPr>
          <w:color w:val="231F20"/>
          <w:sz w:val="24"/>
        </w:rPr>
        <w:t>Plan</w:t>
      </w:r>
      <w:r>
        <w:rPr>
          <w:color w:val="231F20"/>
          <w:spacing w:val="-10"/>
          <w:sz w:val="24"/>
        </w:rPr>
        <w:t xml:space="preserve"> </w:t>
      </w:r>
      <w:r>
        <w:rPr>
          <w:color w:val="231F20"/>
          <w:spacing w:val="-2"/>
          <w:sz w:val="24"/>
        </w:rPr>
        <w:t>outcomes</w:t>
      </w:r>
    </w:p>
    <w:p w14:paraId="3AB39837" w14:textId="77777777" w:rsidR="00345EE3" w:rsidRDefault="00345EE3">
      <w:pPr>
        <w:pStyle w:val="ListParagraph"/>
        <w:numPr>
          <w:ilvl w:val="1"/>
          <w:numId w:val="93"/>
        </w:numPr>
        <w:tabs>
          <w:tab w:val="left" w:pos="393"/>
          <w:tab w:val="left" w:pos="394"/>
        </w:tabs>
        <w:spacing w:before="33"/>
        <w:rPr>
          <w:sz w:val="24"/>
        </w:rPr>
      </w:pPr>
      <w:r>
        <w:rPr>
          <w:color w:val="231F20"/>
          <w:sz w:val="24"/>
        </w:rPr>
        <w:t>Key</w:t>
      </w:r>
      <w:r>
        <w:rPr>
          <w:color w:val="231F20"/>
          <w:spacing w:val="-14"/>
          <w:sz w:val="24"/>
        </w:rPr>
        <w:t xml:space="preserve"> </w:t>
      </w:r>
      <w:r>
        <w:rPr>
          <w:color w:val="231F20"/>
          <w:sz w:val="24"/>
        </w:rPr>
        <w:t>Highlights</w:t>
      </w:r>
      <w:r>
        <w:rPr>
          <w:color w:val="231F20"/>
          <w:spacing w:val="-13"/>
          <w:sz w:val="24"/>
        </w:rPr>
        <w:t xml:space="preserve"> </w:t>
      </w:r>
      <w:r>
        <w:rPr>
          <w:color w:val="231F20"/>
          <w:sz w:val="24"/>
        </w:rPr>
        <w:t>and</w:t>
      </w:r>
      <w:r>
        <w:rPr>
          <w:color w:val="231F20"/>
          <w:spacing w:val="-15"/>
          <w:sz w:val="24"/>
        </w:rPr>
        <w:t xml:space="preserve"> </w:t>
      </w:r>
      <w:r>
        <w:rPr>
          <w:color w:val="231F20"/>
          <w:sz w:val="24"/>
        </w:rPr>
        <w:t>Achievements</w:t>
      </w:r>
      <w:r>
        <w:rPr>
          <w:color w:val="231F20"/>
          <w:spacing w:val="-13"/>
          <w:sz w:val="24"/>
        </w:rPr>
        <w:t xml:space="preserve"> </w:t>
      </w:r>
      <w:r>
        <w:rPr>
          <w:color w:val="231F20"/>
          <w:sz w:val="24"/>
        </w:rPr>
        <w:t>by</w:t>
      </w:r>
      <w:r>
        <w:rPr>
          <w:color w:val="231F20"/>
          <w:spacing w:val="-13"/>
          <w:sz w:val="24"/>
        </w:rPr>
        <w:t xml:space="preserve"> </w:t>
      </w:r>
      <w:r>
        <w:rPr>
          <w:color w:val="231F20"/>
          <w:spacing w:val="-2"/>
          <w:sz w:val="24"/>
        </w:rPr>
        <w:t>portfolio.</w:t>
      </w:r>
    </w:p>
    <w:p w14:paraId="16E3414A" w14:textId="77777777" w:rsidR="00345EE3" w:rsidRDefault="00345EE3" w:rsidP="00345EE3">
      <w:pPr>
        <w:pStyle w:val="BodyText"/>
        <w:spacing w:before="8"/>
        <w:rPr>
          <w:sz w:val="9"/>
        </w:rPr>
      </w:pPr>
      <w:r>
        <w:rPr>
          <w:noProof/>
        </w:rPr>
        <w:drawing>
          <wp:inline distT="0" distB="0" distL="0" distR="0" wp14:anchorId="6EF7F653" wp14:editId="250E2B86">
            <wp:extent cx="6480610" cy="5940552"/>
            <wp:effectExtent l="0" t="0" r="0" b="3175"/>
            <wp:docPr id="9" name="image5.jpeg" descr="A graphical representation of the year's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A graphical representation of the year's highlight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0610" cy="5940552"/>
                    </a:xfrm>
                    <a:prstGeom prst="rect">
                      <a:avLst/>
                    </a:prstGeom>
                  </pic:spPr>
                </pic:pic>
              </a:graphicData>
            </a:graphic>
          </wp:inline>
        </w:drawing>
      </w:r>
    </w:p>
    <w:p w14:paraId="274C6D0E" w14:textId="77777777" w:rsidR="00345EE3" w:rsidRDefault="00345EE3" w:rsidP="00345EE3">
      <w:pPr>
        <w:rPr>
          <w:sz w:val="26"/>
          <w:szCs w:val="24"/>
        </w:rPr>
      </w:pPr>
      <w:r>
        <w:rPr>
          <w:sz w:val="26"/>
        </w:rPr>
        <w:br w:type="page"/>
      </w:r>
    </w:p>
    <w:p w14:paraId="3A007C44" w14:textId="77777777" w:rsidR="00345EE3" w:rsidRPr="00731777" w:rsidRDefault="00345EE3" w:rsidP="00345EE3">
      <w:pPr>
        <w:pStyle w:val="Heading2"/>
        <w:spacing w:before="172"/>
        <w:rPr>
          <w:sz w:val="32"/>
          <w:szCs w:val="32"/>
        </w:rPr>
      </w:pPr>
      <w:r w:rsidRPr="00731777">
        <w:rPr>
          <w:color w:val="00529F"/>
          <w:sz w:val="32"/>
          <w:szCs w:val="32"/>
        </w:rPr>
        <w:t>COVID-19</w:t>
      </w:r>
      <w:r w:rsidRPr="00731777">
        <w:rPr>
          <w:color w:val="00529F"/>
          <w:spacing w:val="-22"/>
          <w:sz w:val="32"/>
          <w:szCs w:val="32"/>
        </w:rPr>
        <w:t xml:space="preserve"> </w:t>
      </w:r>
      <w:r w:rsidRPr="00731777">
        <w:rPr>
          <w:color w:val="00529F"/>
          <w:sz w:val="32"/>
          <w:szCs w:val="32"/>
        </w:rPr>
        <w:t>Response</w:t>
      </w:r>
      <w:r w:rsidRPr="00731777">
        <w:rPr>
          <w:color w:val="00529F"/>
          <w:spacing w:val="-22"/>
          <w:sz w:val="32"/>
          <w:szCs w:val="32"/>
        </w:rPr>
        <w:t xml:space="preserve"> </w:t>
      </w:r>
      <w:r w:rsidRPr="00731777">
        <w:rPr>
          <w:color w:val="00529F"/>
          <w:sz w:val="32"/>
          <w:szCs w:val="32"/>
        </w:rPr>
        <w:t>in</w:t>
      </w:r>
      <w:r w:rsidRPr="00731777">
        <w:rPr>
          <w:color w:val="00529F"/>
          <w:spacing w:val="-22"/>
          <w:sz w:val="32"/>
          <w:szCs w:val="32"/>
        </w:rPr>
        <w:t xml:space="preserve"> </w:t>
      </w:r>
      <w:r w:rsidRPr="00731777">
        <w:rPr>
          <w:color w:val="00529F"/>
          <w:spacing w:val="-2"/>
          <w:sz w:val="32"/>
          <w:szCs w:val="32"/>
        </w:rPr>
        <w:t>2021–22</w:t>
      </w:r>
    </w:p>
    <w:p w14:paraId="3FAC0FCD" w14:textId="77777777" w:rsidR="00345EE3" w:rsidRDefault="00345EE3" w:rsidP="00345EE3">
      <w:pPr>
        <w:pStyle w:val="BodyText"/>
        <w:spacing w:before="73" w:line="242" w:lineRule="auto"/>
        <w:ind w:right="921"/>
      </w:pPr>
      <w:r>
        <w:rPr>
          <w:color w:val="231F20"/>
        </w:rPr>
        <w:t>To support the response to the COVID-19 pandemic and manage public safety risks, Victoria Police</w:t>
      </w:r>
      <w:r>
        <w:rPr>
          <w:color w:val="231F20"/>
          <w:spacing w:val="-12"/>
        </w:rPr>
        <w:t xml:space="preserve"> </w:t>
      </w:r>
      <w:r>
        <w:rPr>
          <w:color w:val="231F20"/>
        </w:rPr>
        <w:t>ran</w:t>
      </w:r>
      <w:r>
        <w:rPr>
          <w:color w:val="231F20"/>
          <w:spacing w:val="-12"/>
        </w:rPr>
        <w:t xml:space="preserve"> </w:t>
      </w:r>
      <w:r>
        <w:rPr>
          <w:color w:val="231F20"/>
        </w:rPr>
        <w:t>a</w:t>
      </w:r>
      <w:r>
        <w:rPr>
          <w:color w:val="231F20"/>
          <w:spacing w:val="-12"/>
        </w:rPr>
        <w:t xml:space="preserve"> </w:t>
      </w:r>
      <w:r>
        <w:rPr>
          <w:color w:val="231F20"/>
        </w:rPr>
        <w:t>number</w:t>
      </w:r>
      <w:r>
        <w:rPr>
          <w:color w:val="231F20"/>
          <w:spacing w:val="-12"/>
        </w:rPr>
        <w:t xml:space="preserve"> </w:t>
      </w:r>
      <w:r>
        <w:rPr>
          <w:color w:val="231F20"/>
        </w:rPr>
        <w:t>of</w:t>
      </w:r>
      <w:r>
        <w:rPr>
          <w:color w:val="231F20"/>
          <w:spacing w:val="-12"/>
        </w:rPr>
        <w:t xml:space="preserve"> </w:t>
      </w:r>
      <w:r>
        <w:rPr>
          <w:color w:val="231F20"/>
        </w:rPr>
        <w:t>operations</w:t>
      </w:r>
      <w:r>
        <w:rPr>
          <w:color w:val="231F20"/>
          <w:spacing w:val="-12"/>
        </w:rPr>
        <w:t xml:space="preserve"> </w:t>
      </w:r>
      <w:r>
        <w:rPr>
          <w:color w:val="231F20"/>
        </w:rPr>
        <w:t>across</w:t>
      </w:r>
      <w:r>
        <w:rPr>
          <w:color w:val="231F20"/>
          <w:spacing w:val="-12"/>
        </w:rPr>
        <w:t xml:space="preserve"> </w:t>
      </w:r>
      <w:r>
        <w:rPr>
          <w:color w:val="231F20"/>
        </w:rPr>
        <w:t>several</w:t>
      </w:r>
      <w:r>
        <w:rPr>
          <w:color w:val="231F20"/>
          <w:spacing w:val="-12"/>
        </w:rPr>
        <w:t xml:space="preserve"> </w:t>
      </w:r>
      <w:r>
        <w:rPr>
          <w:color w:val="231F20"/>
        </w:rPr>
        <w:t>months.</w:t>
      </w:r>
      <w:r>
        <w:rPr>
          <w:color w:val="231F20"/>
          <w:spacing w:val="-12"/>
        </w:rPr>
        <w:t xml:space="preserve"> </w:t>
      </w:r>
      <w:r>
        <w:rPr>
          <w:color w:val="231F20"/>
        </w:rPr>
        <w:t>The</w:t>
      </w:r>
      <w:r>
        <w:rPr>
          <w:color w:val="231F20"/>
          <w:spacing w:val="-12"/>
        </w:rPr>
        <w:t xml:space="preserve"> </w:t>
      </w:r>
      <w:r>
        <w:rPr>
          <w:color w:val="231F20"/>
        </w:rPr>
        <w:t>operations</w:t>
      </w:r>
      <w:r>
        <w:rPr>
          <w:color w:val="231F20"/>
          <w:spacing w:val="-12"/>
        </w:rPr>
        <w:t xml:space="preserve"> </w:t>
      </w:r>
      <w:r>
        <w:rPr>
          <w:color w:val="231F20"/>
        </w:rPr>
        <w:t>involved</w:t>
      </w:r>
      <w:r>
        <w:rPr>
          <w:color w:val="231F20"/>
          <w:spacing w:val="-12"/>
        </w:rPr>
        <w:t xml:space="preserve"> </w:t>
      </w:r>
      <w:r>
        <w:rPr>
          <w:color w:val="231F20"/>
        </w:rPr>
        <w:t>considerable police resources, with up to 2,000 employees involved at the peak of the response.</w:t>
      </w:r>
    </w:p>
    <w:p w14:paraId="46E6EFCF" w14:textId="77777777" w:rsidR="00345EE3" w:rsidRPr="00731777" w:rsidRDefault="00345EE3" w:rsidP="00731777">
      <w:pPr>
        <w:pStyle w:val="Heading5"/>
        <w:spacing w:before="173"/>
        <w:ind w:left="0"/>
        <w:rPr>
          <w:color w:val="000000" w:themeColor="text1"/>
        </w:rPr>
      </w:pPr>
      <w:r w:rsidRPr="00731777">
        <w:rPr>
          <w:color w:val="000000" w:themeColor="text1"/>
        </w:rPr>
        <w:t>Creation</w:t>
      </w:r>
      <w:r w:rsidRPr="00731777">
        <w:rPr>
          <w:color w:val="000000" w:themeColor="text1"/>
          <w:spacing w:val="-6"/>
        </w:rPr>
        <w:t xml:space="preserve"> </w:t>
      </w:r>
      <w:r w:rsidRPr="00731777">
        <w:rPr>
          <w:color w:val="000000" w:themeColor="text1"/>
        </w:rPr>
        <w:t>of</w:t>
      </w:r>
      <w:r w:rsidRPr="00731777">
        <w:rPr>
          <w:color w:val="000000" w:themeColor="text1"/>
          <w:spacing w:val="-5"/>
        </w:rPr>
        <w:t xml:space="preserve"> </w:t>
      </w:r>
      <w:r w:rsidRPr="00731777">
        <w:rPr>
          <w:color w:val="000000" w:themeColor="text1"/>
        </w:rPr>
        <w:t>COVID</w:t>
      </w:r>
      <w:r w:rsidRPr="00731777">
        <w:rPr>
          <w:color w:val="000000" w:themeColor="text1"/>
          <w:spacing w:val="-5"/>
        </w:rPr>
        <w:t xml:space="preserve"> </w:t>
      </w:r>
      <w:r w:rsidRPr="00731777">
        <w:rPr>
          <w:color w:val="000000" w:themeColor="text1"/>
        </w:rPr>
        <w:t>Response</w:t>
      </w:r>
      <w:r w:rsidRPr="00731777">
        <w:rPr>
          <w:color w:val="000000" w:themeColor="text1"/>
          <w:spacing w:val="-5"/>
        </w:rPr>
        <w:t xml:space="preserve"> </w:t>
      </w:r>
      <w:r w:rsidRPr="00731777">
        <w:rPr>
          <w:color w:val="000000" w:themeColor="text1"/>
          <w:spacing w:val="-2"/>
        </w:rPr>
        <w:t>Command</w:t>
      </w:r>
    </w:p>
    <w:p w14:paraId="248AA4DA" w14:textId="77777777" w:rsidR="00345EE3" w:rsidRDefault="00345EE3" w:rsidP="00345EE3">
      <w:pPr>
        <w:pStyle w:val="BodyText"/>
        <w:spacing w:before="5"/>
      </w:pPr>
      <w:r>
        <w:rPr>
          <w:color w:val="231F20"/>
        </w:rPr>
        <w:t>The</w:t>
      </w:r>
      <w:r>
        <w:rPr>
          <w:color w:val="231F20"/>
          <w:spacing w:val="-12"/>
        </w:rPr>
        <w:t xml:space="preserve"> </w:t>
      </w:r>
      <w:r>
        <w:rPr>
          <w:color w:val="231F20"/>
        </w:rPr>
        <w:t>COVID-19</w:t>
      </w:r>
      <w:r>
        <w:rPr>
          <w:color w:val="231F20"/>
          <w:spacing w:val="-9"/>
        </w:rPr>
        <w:t xml:space="preserve"> </w:t>
      </w:r>
      <w:r>
        <w:rPr>
          <w:color w:val="231F20"/>
        </w:rPr>
        <w:t>pandemic</w:t>
      </w:r>
      <w:r>
        <w:rPr>
          <w:color w:val="231F20"/>
          <w:spacing w:val="-8"/>
        </w:rPr>
        <w:t xml:space="preserve"> </w:t>
      </w:r>
      <w:r>
        <w:rPr>
          <w:color w:val="231F20"/>
        </w:rPr>
        <w:t>remained</w:t>
      </w:r>
      <w:r>
        <w:rPr>
          <w:color w:val="231F20"/>
          <w:spacing w:val="-9"/>
        </w:rPr>
        <w:t xml:space="preserve"> </w:t>
      </w:r>
      <w:r>
        <w:rPr>
          <w:color w:val="231F20"/>
        </w:rPr>
        <w:t>a</w:t>
      </w:r>
      <w:r>
        <w:rPr>
          <w:color w:val="231F20"/>
          <w:spacing w:val="-9"/>
        </w:rPr>
        <w:t xml:space="preserve"> </w:t>
      </w:r>
      <w:r>
        <w:rPr>
          <w:color w:val="231F20"/>
        </w:rPr>
        <w:t>major</w:t>
      </w:r>
      <w:r>
        <w:rPr>
          <w:color w:val="231F20"/>
          <w:spacing w:val="-8"/>
        </w:rPr>
        <w:t xml:space="preserve"> </w:t>
      </w:r>
      <w:r>
        <w:rPr>
          <w:color w:val="231F20"/>
        </w:rPr>
        <w:t>challenge</w:t>
      </w:r>
      <w:r>
        <w:rPr>
          <w:color w:val="231F20"/>
          <w:spacing w:val="-9"/>
        </w:rPr>
        <w:t xml:space="preserve"> </w:t>
      </w:r>
      <w:r>
        <w:rPr>
          <w:color w:val="231F20"/>
        </w:rPr>
        <w:t>for</w:t>
      </w:r>
      <w:r>
        <w:rPr>
          <w:color w:val="231F20"/>
          <w:spacing w:val="-8"/>
        </w:rPr>
        <w:t xml:space="preserve"> </w:t>
      </w:r>
      <w:r>
        <w:rPr>
          <w:color w:val="231F20"/>
        </w:rPr>
        <w:t>police</w:t>
      </w:r>
      <w:r>
        <w:rPr>
          <w:color w:val="231F20"/>
          <w:spacing w:val="-9"/>
        </w:rPr>
        <w:t xml:space="preserve"> </w:t>
      </w:r>
      <w:r>
        <w:rPr>
          <w:color w:val="231F20"/>
        </w:rPr>
        <w:t>service</w:t>
      </w:r>
      <w:r>
        <w:rPr>
          <w:color w:val="231F20"/>
          <w:spacing w:val="-9"/>
        </w:rPr>
        <w:t xml:space="preserve"> </w:t>
      </w:r>
      <w:r>
        <w:rPr>
          <w:color w:val="231F20"/>
        </w:rPr>
        <w:t>delivery</w:t>
      </w:r>
      <w:r>
        <w:rPr>
          <w:color w:val="231F20"/>
          <w:spacing w:val="-8"/>
        </w:rPr>
        <w:t xml:space="preserve"> </w:t>
      </w:r>
      <w:r>
        <w:rPr>
          <w:color w:val="231F20"/>
        </w:rPr>
        <w:t>in</w:t>
      </w:r>
      <w:r>
        <w:rPr>
          <w:color w:val="231F20"/>
          <w:spacing w:val="-9"/>
        </w:rPr>
        <w:t xml:space="preserve"> </w:t>
      </w:r>
      <w:r>
        <w:rPr>
          <w:color w:val="231F20"/>
          <w:spacing w:val="-2"/>
        </w:rPr>
        <w:t xml:space="preserve">2021–22. </w:t>
      </w:r>
      <w:r>
        <w:rPr>
          <w:color w:val="231F20"/>
          <w:spacing w:val="-2"/>
        </w:rPr>
        <w:br/>
      </w:r>
      <w:r>
        <w:rPr>
          <w:color w:val="231F20"/>
        </w:rPr>
        <w:t>In</w:t>
      </w:r>
      <w:r>
        <w:rPr>
          <w:color w:val="231F20"/>
          <w:spacing w:val="-8"/>
        </w:rPr>
        <w:t xml:space="preserve"> </w:t>
      </w:r>
      <w:r>
        <w:rPr>
          <w:color w:val="231F20"/>
        </w:rPr>
        <w:t>support</w:t>
      </w:r>
      <w:r>
        <w:rPr>
          <w:color w:val="231F20"/>
          <w:spacing w:val="-7"/>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Department</w:t>
      </w:r>
      <w:r>
        <w:rPr>
          <w:color w:val="231F20"/>
          <w:spacing w:val="-7"/>
        </w:rPr>
        <w:t xml:space="preserve"> </w:t>
      </w:r>
      <w:r>
        <w:rPr>
          <w:color w:val="231F20"/>
        </w:rPr>
        <w:t>of</w:t>
      </w:r>
      <w:r>
        <w:rPr>
          <w:color w:val="231F20"/>
          <w:spacing w:val="-7"/>
        </w:rPr>
        <w:t xml:space="preserve"> </w:t>
      </w:r>
      <w:r>
        <w:rPr>
          <w:color w:val="231F20"/>
        </w:rPr>
        <w:t>Health</w:t>
      </w:r>
      <w:r>
        <w:rPr>
          <w:color w:val="231F20"/>
          <w:spacing w:val="-8"/>
        </w:rPr>
        <w:t xml:space="preserve"> </w:t>
      </w:r>
      <w:r>
        <w:rPr>
          <w:color w:val="231F20"/>
        </w:rPr>
        <w:t>(DH),</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continued</w:t>
      </w:r>
      <w:r>
        <w:rPr>
          <w:color w:val="231F20"/>
          <w:spacing w:val="-8"/>
        </w:rPr>
        <w:t xml:space="preserve"> </w:t>
      </w:r>
      <w:r>
        <w:rPr>
          <w:color w:val="231F20"/>
        </w:rPr>
        <w:t>to</w:t>
      </w:r>
      <w:r>
        <w:rPr>
          <w:color w:val="231F20"/>
          <w:spacing w:val="-8"/>
        </w:rPr>
        <w:t xml:space="preserve"> </w:t>
      </w:r>
      <w:r>
        <w:rPr>
          <w:color w:val="231F20"/>
        </w:rPr>
        <w:t>promote</w:t>
      </w:r>
      <w:r>
        <w:rPr>
          <w:color w:val="231F20"/>
          <w:spacing w:val="-8"/>
        </w:rPr>
        <w:t xml:space="preserve"> </w:t>
      </w:r>
      <w:r>
        <w:rPr>
          <w:color w:val="231F20"/>
        </w:rPr>
        <w:t xml:space="preserve">community </w:t>
      </w:r>
      <w:r>
        <w:rPr>
          <w:color w:val="231F20"/>
        </w:rPr>
        <w:br/>
        <w:t>safety by enforcing the CHO directions and maintaining public order.</w:t>
      </w:r>
    </w:p>
    <w:p w14:paraId="75E31210" w14:textId="77777777" w:rsidR="00345EE3" w:rsidRDefault="00345EE3" w:rsidP="00345EE3">
      <w:pPr>
        <w:pStyle w:val="BodyText"/>
        <w:spacing w:before="116" w:line="242" w:lineRule="auto"/>
        <w:ind w:right="892"/>
      </w:pPr>
      <w:r>
        <w:rPr>
          <w:color w:val="231F20"/>
        </w:rPr>
        <w:t>Victoria Police’s ongoing role in the extended multi-agency response to the pandemic involved integrating</w:t>
      </w:r>
      <w:r>
        <w:rPr>
          <w:color w:val="231F20"/>
          <w:spacing w:val="-14"/>
        </w:rPr>
        <w:t xml:space="preserve"> </w:t>
      </w:r>
      <w:r>
        <w:rPr>
          <w:color w:val="231F20"/>
        </w:rPr>
        <w:t>the</w:t>
      </w:r>
      <w:r>
        <w:rPr>
          <w:color w:val="231F20"/>
          <w:spacing w:val="-14"/>
        </w:rPr>
        <w:t xml:space="preserve"> </w:t>
      </w:r>
      <w:r>
        <w:rPr>
          <w:color w:val="231F20"/>
        </w:rPr>
        <w:t>coordination</w:t>
      </w:r>
      <w:r>
        <w:rPr>
          <w:color w:val="231F20"/>
          <w:spacing w:val="-14"/>
        </w:rPr>
        <w:t xml:space="preserve"> </w:t>
      </w:r>
      <w:r>
        <w:rPr>
          <w:color w:val="231F20"/>
        </w:rPr>
        <w:t>of</w:t>
      </w:r>
      <w:r>
        <w:rPr>
          <w:color w:val="231F20"/>
          <w:spacing w:val="-14"/>
        </w:rPr>
        <w:t xml:space="preserve"> </w:t>
      </w:r>
      <w:r>
        <w:rPr>
          <w:color w:val="231F20"/>
        </w:rPr>
        <w:t>COVID-19</w:t>
      </w:r>
      <w:r>
        <w:rPr>
          <w:color w:val="231F20"/>
          <w:spacing w:val="-14"/>
        </w:rPr>
        <w:t xml:space="preserve"> </w:t>
      </w:r>
      <w:r>
        <w:rPr>
          <w:color w:val="231F20"/>
        </w:rPr>
        <w:t>related</w:t>
      </w:r>
      <w:r>
        <w:rPr>
          <w:color w:val="231F20"/>
          <w:spacing w:val="-14"/>
        </w:rPr>
        <w:t xml:space="preserve"> </w:t>
      </w:r>
      <w:r>
        <w:rPr>
          <w:color w:val="231F20"/>
        </w:rPr>
        <w:t>police</w:t>
      </w:r>
      <w:r>
        <w:rPr>
          <w:color w:val="231F20"/>
          <w:spacing w:val="-14"/>
        </w:rPr>
        <w:t xml:space="preserve"> </w:t>
      </w:r>
      <w:r>
        <w:rPr>
          <w:color w:val="231F20"/>
        </w:rPr>
        <w:t>operations</w:t>
      </w:r>
      <w:r>
        <w:rPr>
          <w:color w:val="231F20"/>
          <w:spacing w:val="-14"/>
        </w:rPr>
        <w:t xml:space="preserve"> </w:t>
      </w:r>
      <w:r>
        <w:rPr>
          <w:color w:val="231F20"/>
        </w:rPr>
        <w:t>with</w:t>
      </w:r>
      <w:r>
        <w:rPr>
          <w:color w:val="231F20"/>
          <w:spacing w:val="-14"/>
        </w:rPr>
        <w:t xml:space="preserve"> </w:t>
      </w:r>
      <w:r>
        <w:rPr>
          <w:color w:val="231F20"/>
        </w:rPr>
        <w:t>cross-agency</w:t>
      </w:r>
      <w:r>
        <w:rPr>
          <w:color w:val="231F20"/>
          <w:spacing w:val="-14"/>
        </w:rPr>
        <w:t xml:space="preserve"> </w:t>
      </w:r>
      <w:r>
        <w:rPr>
          <w:color w:val="231F20"/>
        </w:rPr>
        <w:t>information sharing</w:t>
      </w:r>
      <w:r>
        <w:rPr>
          <w:color w:val="231F20"/>
          <w:spacing w:val="-12"/>
        </w:rPr>
        <w:t xml:space="preserve"> </w:t>
      </w:r>
      <w:r>
        <w:rPr>
          <w:color w:val="231F20"/>
        </w:rPr>
        <w:t>and</w:t>
      </w:r>
      <w:r>
        <w:rPr>
          <w:color w:val="231F20"/>
          <w:spacing w:val="-12"/>
        </w:rPr>
        <w:t xml:space="preserve"> </w:t>
      </w:r>
      <w:r>
        <w:rPr>
          <w:color w:val="231F20"/>
        </w:rPr>
        <w:t>liaison.</w:t>
      </w:r>
      <w:r>
        <w:rPr>
          <w:color w:val="231F20"/>
          <w:spacing w:val="-11"/>
        </w:rPr>
        <w:t xml:space="preserve"> </w:t>
      </w:r>
      <w:r>
        <w:rPr>
          <w:color w:val="231F20"/>
        </w:rPr>
        <w:t>The</w:t>
      </w:r>
      <w:r>
        <w:rPr>
          <w:color w:val="231F20"/>
          <w:spacing w:val="-12"/>
        </w:rPr>
        <w:t xml:space="preserve"> </w:t>
      </w:r>
      <w:r>
        <w:rPr>
          <w:color w:val="231F20"/>
        </w:rPr>
        <w:t>COVID</w:t>
      </w:r>
      <w:r>
        <w:rPr>
          <w:color w:val="231F20"/>
          <w:spacing w:val="-12"/>
        </w:rPr>
        <w:t xml:space="preserve"> </w:t>
      </w:r>
      <w:r>
        <w:rPr>
          <w:color w:val="231F20"/>
        </w:rPr>
        <w:t>Response</w:t>
      </w:r>
      <w:r>
        <w:rPr>
          <w:color w:val="231F20"/>
          <w:spacing w:val="-12"/>
        </w:rPr>
        <w:t xml:space="preserve"> </w:t>
      </w:r>
      <w:r>
        <w:rPr>
          <w:color w:val="231F20"/>
        </w:rPr>
        <w:t>Command</w:t>
      </w:r>
      <w:r>
        <w:rPr>
          <w:color w:val="231F20"/>
          <w:spacing w:val="-12"/>
        </w:rPr>
        <w:t xml:space="preserve"> </w:t>
      </w:r>
      <w:r>
        <w:rPr>
          <w:color w:val="231F20"/>
        </w:rPr>
        <w:t>(CRC)</w:t>
      </w:r>
      <w:r>
        <w:rPr>
          <w:color w:val="231F20"/>
          <w:spacing w:val="-11"/>
        </w:rPr>
        <w:t xml:space="preserve"> </w:t>
      </w:r>
      <w:r>
        <w:rPr>
          <w:color w:val="231F20"/>
        </w:rPr>
        <w:t>was</w:t>
      </w:r>
      <w:r>
        <w:rPr>
          <w:color w:val="231F20"/>
          <w:spacing w:val="-11"/>
        </w:rPr>
        <w:t xml:space="preserve"> </w:t>
      </w:r>
      <w:r>
        <w:rPr>
          <w:color w:val="231F20"/>
        </w:rPr>
        <w:t>established</w:t>
      </w:r>
      <w:r>
        <w:rPr>
          <w:color w:val="231F20"/>
          <w:spacing w:val="-12"/>
        </w:rPr>
        <w:t xml:space="preserve"> </w:t>
      </w:r>
      <w:r>
        <w:rPr>
          <w:color w:val="231F20"/>
        </w:rPr>
        <w:t>in</w:t>
      </w:r>
      <w:r>
        <w:rPr>
          <w:color w:val="231F20"/>
          <w:spacing w:val="-12"/>
        </w:rPr>
        <w:t xml:space="preserve"> </w:t>
      </w:r>
      <w:r>
        <w:rPr>
          <w:color w:val="231F20"/>
        </w:rPr>
        <w:t>2021</w:t>
      </w:r>
      <w:r>
        <w:rPr>
          <w:color w:val="231F20"/>
          <w:spacing w:val="-12"/>
        </w:rPr>
        <w:t xml:space="preserve"> </w:t>
      </w:r>
      <w:r>
        <w:rPr>
          <w:color w:val="231F20"/>
        </w:rPr>
        <w:t>to</w:t>
      </w:r>
      <w:r>
        <w:rPr>
          <w:color w:val="231F20"/>
          <w:spacing w:val="-12"/>
        </w:rPr>
        <w:t xml:space="preserve"> </w:t>
      </w:r>
      <w:r>
        <w:rPr>
          <w:color w:val="231F20"/>
        </w:rPr>
        <w:t>manage COVID-19 related police operations across the state, taking over from the SPOC that had been running uninterrupted for 690 days.</w:t>
      </w:r>
    </w:p>
    <w:p w14:paraId="2338EBF9" w14:textId="77777777" w:rsidR="00345EE3" w:rsidRDefault="00345EE3" w:rsidP="00345EE3">
      <w:pPr>
        <w:pStyle w:val="BodyText"/>
        <w:spacing w:before="120" w:line="242" w:lineRule="auto"/>
        <w:ind w:right="995"/>
      </w:pPr>
      <w:r>
        <w:rPr>
          <w:color w:val="231F20"/>
        </w:rPr>
        <w:t>CRC commenced full operations on 6 December 2021, assuming responsibility for the coordination of policing responses to the pandemic and maintenance of external partner agency engagement. CRC is led by a Commander and is supported by two Superintendents and</w:t>
      </w:r>
      <w:r>
        <w:rPr>
          <w:color w:val="231F20"/>
          <w:spacing w:val="-9"/>
        </w:rPr>
        <w:t xml:space="preserve"> </w:t>
      </w:r>
      <w:r>
        <w:rPr>
          <w:color w:val="231F20"/>
        </w:rPr>
        <w:t>additional</w:t>
      </w:r>
      <w:r>
        <w:rPr>
          <w:color w:val="231F20"/>
          <w:spacing w:val="-9"/>
        </w:rPr>
        <w:t xml:space="preserve"> </w:t>
      </w:r>
      <w:r>
        <w:rPr>
          <w:color w:val="231F20"/>
        </w:rPr>
        <w:t>staff,</w:t>
      </w:r>
      <w:r>
        <w:rPr>
          <w:color w:val="231F20"/>
          <w:spacing w:val="-8"/>
        </w:rPr>
        <w:t xml:space="preserve"> </w:t>
      </w:r>
      <w:r>
        <w:rPr>
          <w:color w:val="231F20"/>
        </w:rPr>
        <w:t>attached</w:t>
      </w:r>
      <w:r>
        <w:rPr>
          <w:color w:val="231F20"/>
          <w:spacing w:val="-9"/>
        </w:rPr>
        <w:t xml:space="preserve"> </w:t>
      </w:r>
      <w:r>
        <w:rPr>
          <w:color w:val="231F20"/>
        </w:rPr>
        <w:t>to</w:t>
      </w:r>
      <w:r>
        <w:rPr>
          <w:color w:val="231F20"/>
          <w:spacing w:val="-9"/>
        </w:rPr>
        <w:t xml:space="preserve"> </w:t>
      </w:r>
      <w:r>
        <w:rPr>
          <w:color w:val="231F20"/>
        </w:rPr>
        <w:t>six</w:t>
      </w:r>
      <w:r>
        <w:rPr>
          <w:color w:val="231F20"/>
          <w:spacing w:val="-8"/>
        </w:rPr>
        <w:t xml:space="preserve"> </w:t>
      </w:r>
      <w:r>
        <w:rPr>
          <w:color w:val="231F20"/>
        </w:rPr>
        <w:t>functional</w:t>
      </w:r>
      <w:r>
        <w:rPr>
          <w:color w:val="231F20"/>
          <w:spacing w:val="-9"/>
        </w:rPr>
        <w:t xml:space="preserve"> </w:t>
      </w:r>
      <w:r>
        <w:rPr>
          <w:color w:val="231F20"/>
        </w:rPr>
        <w:t>areas</w:t>
      </w:r>
      <w:r>
        <w:rPr>
          <w:color w:val="231F20"/>
          <w:spacing w:val="-8"/>
        </w:rPr>
        <w:t xml:space="preserve"> </w:t>
      </w:r>
      <w:r>
        <w:rPr>
          <w:color w:val="231F20"/>
        </w:rPr>
        <w:t>operating</w:t>
      </w:r>
      <w:r>
        <w:rPr>
          <w:color w:val="231F20"/>
          <w:spacing w:val="-9"/>
        </w:rPr>
        <w:t xml:space="preserve"> </w:t>
      </w:r>
      <w:r>
        <w:rPr>
          <w:color w:val="231F20"/>
        </w:rPr>
        <w:t>within</w:t>
      </w:r>
      <w:r>
        <w:rPr>
          <w:color w:val="231F20"/>
          <w:spacing w:val="-9"/>
        </w:rPr>
        <w:t xml:space="preserve"> </w:t>
      </w:r>
      <w:r>
        <w:rPr>
          <w:color w:val="231F20"/>
        </w:rPr>
        <w:t>an</w:t>
      </w:r>
      <w:r>
        <w:rPr>
          <w:color w:val="231F20"/>
          <w:spacing w:val="-9"/>
        </w:rPr>
        <w:t xml:space="preserve"> </w:t>
      </w:r>
      <w:r>
        <w:rPr>
          <w:color w:val="231F20"/>
        </w:rPr>
        <w:t>Incident</w:t>
      </w:r>
      <w:r>
        <w:rPr>
          <w:color w:val="231F20"/>
          <w:spacing w:val="-8"/>
        </w:rPr>
        <w:t xml:space="preserve"> </w:t>
      </w:r>
      <w:r>
        <w:rPr>
          <w:color w:val="231F20"/>
        </w:rPr>
        <w:t>Command</w:t>
      </w:r>
      <w:r>
        <w:rPr>
          <w:color w:val="231F20"/>
          <w:spacing w:val="-9"/>
        </w:rPr>
        <w:t xml:space="preserve"> </w:t>
      </w:r>
      <w:r>
        <w:rPr>
          <w:color w:val="231F20"/>
        </w:rPr>
        <w:t>and</w:t>
      </w:r>
    </w:p>
    <w:p w14:paraId="59C1622F" w14:textId="77777777" w:rsidR="00345EE3" w:rsidRDefault="00345EE3" w:rsidP="00345EE3">
      <w:pPr>
        <w:pStyle w:val="BodyText"/>
        <w:spacing w:before="5" w:line="242" w:lineRule="auto"/>
        <w:ind w:right="884"/>
      </w:pPr>
      <w:r>
        <w:rPr>
          <w:color w:val="231F20"/>
        </w:rPr>
        <w:t>Control</w:t>
      </w:r>
      <w:r>
        <w:rPr>
          <w:color w:val="231F20"/>
          <w:spacing w:val="-9"/>
        </w:rPr>
        <w:t xml:space="preserve"> </w:t>
      </w:r>
      <w:r>
        <w:rPr>
          <w:color w:val="231F20"/>
        </w:rPr>
        <w:t>Structure.</w:t>
      </w:r>
      <w:r>
        <w:rPr>
          <w:color w:val="231F20"/>
          <w:spacing w:val="-8"/>
        </w:rPr>
        <w:t xml:space="preserve"> </w:t>
      </w:r>
      <w:r>
        <w:rPr>
          <w:color w:val="231F20"/>
        </w:rPr>
        <w:t>The</w:t>
      </w:r>
      <w:r>
        <w:rPr>
          <w:color w:val="231F20"/>
          <w:spacing w:val="-9"/>
        </w:rPr>
        <w:t xml:space="preserve"> </w:t>
      </w:r>
      <w:r>
        <w:rPr>
          <w:color w:val="231F20"/>
        </w:rPr>
        <w:t>Command’s</w:t>
      </w:r>
      <w:r>
        <w:rPr>
          <w:color w:val="231F20"/>
          <w:spacing w:val="-8"/>
        </w:rPr>
        <w:t xml:space="preserve"> </w:t>
      </w:r>
      <w:r>
        <w:rPr>
          <w:color w:val="231F20"/>
        </w:rPr>
        <w:t>staffing</w:t>
      </w:r>
      <w:r>
        <w:rPr>
          <w:color w:val="231F20"/>
          <w:spacing w:val="-9"/>
        </w:rPr>
        <w:t xml:space="preserve"> </w:t>
      </w:r>
      <w:r>
        <w:rPr>
          <w:color w:val="231F20"/>
        </w:rPr>
        <w:t>model</w:t>
      </w:r>
      <w:r>
        <w:rPr>
          <w:color w:val="231F20"/>
          <w:spacing w:val="-9"/>
        </w:rPr>
        <w:t xml:space="preserve"> </w:t>
      </w:r>
      <w:r>
        <w:rPr>
          <w:color w:val="231F20"/>
        </w:rPr>
        <w:t>was</w:t>
      </w:r>
      <w:r>
        <w:rPr>
          <w:color w:val="231F20"/>
          <w:spacing w:val="-8"/>
        </w:rPr>
        <w:t xml:space="preserve"> </w:t>
      </w:r>
      <w:r>
        <w:rPr>
          <w:color w:val="231F20"/>
        </w:rPr>
        <w:t>designed</w:t>
      </w:r>
      <w:r>
        <w:rPr>
          <w:color w:val="231F20"/>
          <w:spacing w:val="-9"/>
        </w:rPr>
        <w:t xml:space="preserve"> </w:t>
      </w:r>
      <w:r>
        <w:rPr>
          <w:color w:val="231F20"/>
        </w:rPr>
        <w:t>to</w:t>
      </w:r>
      <w:r>
        <w:rPr>
          <w:color w:val="231F20"/>
          <w:spacing w:val="-9"/>
        </w:rPr>
        <w:t xml:space="preserve"> </w:t>
      </w:r>
      <w:r>
        <w:rPr>
          <w:color w:val="231F20"/>
        </w:rPr>
        <w:t>allow</w:t>
      </w:r>
      <w:r>
        <w:rPr>
          <w:color w:val="231F20"/>
          <w:spacing w:val="-9"/>
        </w:rPr>
        <w:t xml:space="preserve"> </w:t>
      </w:r>
      <w:r>
        <w:rPr>
          <w:color w:val="231F20"/>
        </w:rPr>
        <w:t>for</w:t>
      </w:r>
      <w:r>
        <w:rPr>
          <w:color w:val="231F20"/>
          <w:spacing w:val="-8"/>
        </w:rPr>
        <w:t xml:space="preserve"> </w:t>
      </w:r>
      <w:r>
        <w:rPr>
          <w:color w:val="231F20"/>
        </w:rPr>
        <w:t>rapid</w:t>
      </w:r>
      <w:r>
        <w:rPr>
          <w:color w:val="231F20"/>
          <w:spacing w:val="-9"/>
        </w:rPr>
        <w:t xml:space="preserve"> </w:t>
      </w:r>
      <w:r>
        <w:rPr>
          <w:color w:val="231F20"/>
        </w:rPr>
        <w:t>escalation</w:t>
      </w:r>
      <w:r>
        <w:rPr>
          <w:color w:val="231F20"/>
          <w:spacing w:val="-9"/>
        </w:rPr>
        <w:t xml:space="preserve"> </w:t>
      </w:r>
      <w:r>
        <w:rPr>
          <w:color w:val="231F20"/>
        </w:rPr>
        <w:t>and de-escalation of operations, in line with the required level of police involvement in responding to the health emergency.</w:t>
      </w:r>
    </w:p>
    <w:p w14:paraId="6AE07DC9" w14:textId="77777777" w:rsidR="00345EE3" w:rsidRDefault="00345EE3" w:rsidP="00345EE3">
      <w:pPr>
        <w:pStyle w:val="BodyText"/>
        <w:spacing w:before="118" w:line="242" w:lineRule="auto"/>
        <w:ind w:right="848"/>
      </w:pPr>
      <w:r>
        <w:rPr>
          <w:color w:val="231F20"/>
        </w:rPr>
        <w:t>In conjunction with the State Emergency and Support Command (SESC), CRC maintains the COVID-19</w:t>
      </w:r>
      <w:r>
        <w:rPr>
          <w:color w:val="231F20"/>
          <w:spacing w:val="-12"/>
        </w:rPr>
        <w:t xml:space="preserve"> </w:t>
      </w:r>
      <w:r>
        <w:rPr>
          <w:color w:val="231F20"/>
        </w:rPr>
        <w:t>Hub</w:t>
      </w:r>
      <w:r>
        <w:rPr>
          <w:color w:val="231F20"/>
          <w:spacing w:val="-12"/>
        </w:rPr>
        <w:t xml:space="preserve"> </w:t>
      </w:r>
      <w:r>
        <w:rPr>
          <w:color w:val="231F20"/>
        </w:rPr>
        <w:t>which</w:t>
      </w:r>
      <w:r>
        <w:rPr>
          <w:color w:val="231F20"/>
          <w:spacing w:val="-12"/>
        </w:rPr>
        <w:t xml:space="preserve"> </w:t>
      </w:r>
      <w:r>
        <w:rPr>
          <w:color w:val="231F20"/>
        </w:rPr>
        <w:t>provides</w:t>
      </w:r>
      <w:r>
        <w:rPr>
          <w:color w:val="231F20"/>
          <w:spacing w:val="-12"/>
        </w:rPr>
        <w:t xml:space="preserve"> </w:t>
      </w:r>
      <w:r>
        <w:rPr>
          <w:color w:val="231F20"/>
        </w:rPr>
        <w:t>a</w:t>
      </w:r>
      <w:r>
        <w:rPr>
          <w:color w:val="231F20"/>
          <w:spacing w:val="-12"/>
        </w:rPr>
        <w:t xml:space="preserve"> </w:t>
      </w:r>
      <w:r>
        <w:rPr>
          <w:color w:val="231F20"/>
        </w:rPr>
        <w:t>centralised</w:t>
      </w:r>
      <w:r>
        <w:rPr>
          <w:color w:val="231F20"/>
          <w:spacing w:val="-12"/>
        </w:rPr>
        <w:t xml:space="preserve"> </w:t>
      </w:r>
      <w:r>
        <w:rPr>
          <w:color w:val="231F20"/>
        </w:rPr>
        <w:t>source</w:t>
      </w:r>
      <w:r>
        <w:rPr>
          <w:color w:val="231F20"/>
          <w:spacing w:val="-12"/>
        </w:rPr>
        <w:t xml:space="preserve"> </w:t>
      </w:r>
      <w:r>
        <w:rPr>
          <w:color w:val="231F20"/>
        </w:rPr>
        <w:t>of</w:t>
      </w:r>
      <w:r>
        <w:rPr>
          <w:color w:val="231F20"/>
          <w:spacing w:val="-12"/>
        </w:rPr>
        <w:t xml:space="preserve"> </w:t>
      </w:r>
      <w:r>
        <w:rPr>
          <w:color w:val="231F20"/>
        </w:rPr>
        <w:t>all</w:t>
      </w:r>
      <w:r>
        <w:rPr>
          <w:color w:val="231F20"/>
          <w:spacing w:val="-12"/>
        </w:rPr>
        <w:t xml:space="preserve"> </w:t>
      </w:r>
      <w:r>
        <w:rPr>
          <w:color w:val="231F20"/>
        </w:rPr>
        <w:t>COVID-19</w:t>
      </w:r>
      <w:r>
        <w:rPr>
          <w:color w:val="231F20"/>
          <w:spacing w:val="-12"/>
        </w:rPr>
        <w:t xml:space="preserve"> </w:t>
      </w:r>
      <w:r>
        <w:rPr>
          <w:color w:val="231F20"/>
        </w:rPr>
        <w:t>related</w:t>
      </w:r>
      <w:r>
        <w:rPr>
          <w:color w:val="231F20"/>
          <w:spacing w:val="-12"/>
        </w:rPr>
        <w:t xml:space="preserve"> </w:t>
      </w:r>
      <w:r>
        <w:rPr>
          <w:color w:val="231F20"/>
        </w:rPr>
        <w:t>information</w:t>
      </w:r>
      <w:r>
        <w:rPr>
          <w:color w:val="231F20"/>
          <w:spacing w:val="-12"/>
        </w:rPr>
        <w:t xml:space="preserve"> </w:t>
      </w:r>
      <w:r>
        <w:rPr>
          <w:color w:val="231F20"/>
        </w:rPr>
        <w:t>and</w:t>
      </w:r>
      <w:r>
        <w:rPr>
          <w:color w:val="231F20"/>
          <w:spacing w:val="-12"/>
        </w:rPr>
        <w:t xml:space="preserve"> </w:t>
      </w:r>
      <w:r>
        <w:rPr>
          <w:color w:val="231F20"/>
        </w:rPr>
        <w:t>tools for Victoria Police employees.</w:t>
      </w:r>
    </w:p>
    <w:p w14:paraId="41468A9F" w14:textId="77777777" w:rsidR="00345EE3" w:rsidRDefault="00345EE3" w:rsidP="002A27BA">
      <w:pPr>
        <w:pStyle w:val="Heading3"/>
      </w:pPr>
      <w:r>
        <w:t>COVID-19</w:t>
      </w:r>
      <w:r>
        <w:rPr>
          <w:spacing w:val="-16"/>
        </w:rPr>
        <w:t xml:space="preserve"> </w:t>
      </w:r>
      <w:r>
        <w:t>Related</w:t>
      </w:r>
      <w:r>
        <w:rPr>
          <w:spacing w:val="-15"/>
        </w:rPr>
        <w:t xml:space="preserve"> </w:t>
      </w:r>
      <w:r>
        <w:rPr>
          <w:spacing w:val="-2"/>
        </w:rPr>
        <w:t>Operations</w:t>
      </w:r>
    </w:p>
    <w:p w14:paraId="4A40C051" w14:textId="77777777" w:rsidR="00345EE3" w:rsidRPr="00731777" w:rsidRDefault="00345EE3" w:rsidP="00731777">
      <w:pPr>
        <w:pStyle w:val="Heading5"/>
        <w:spacing w:before="109"/>
        <w:ind w:left="0"/>
        <w:rPr>
          <w:color w:val="000000" w:themeColor="text1"/>
        </w:rPr>
      </w:pPr>
      <w:r w:rsidRPr="00731777">
        <w:rPr>
          <w:color w:val="000000" w:themeColor="text1"/>
        </w:rPr>
        <w:t xml:space="preserve">Operation </w:t>
      </w:r>
      <w:r w:rsidRPr="00731777">
        <w:rPr>
          <w:color w:val="000000" w:themeColor="text1"/>
          <w:spacing w:val="-2"/>
        </w:rPr>
        <w:t>Sentinel</w:t>
      </w:r>
    </w:p>
    <w:p w14:paraId="311EB300" w14:textId="77777777" w:rsidR="00345EE3" w:rsidRDefault="00345EE3" w:rsidP="00345EE3">
      <w:pPr>
        <w:pStyle w:val="BodyText"/>
        <w:spacing w:before="4" w:line="242" w:lineRule="auto"/>
        <w:ind w:right="848"/>
      </w:pPr>
      <w:r>
        <w:rPr>
          <w:color w:val="231F20"/>
        </w:rPr>
        <w:t>Victoria Police’s primary COVID-19 response operation, Operation Sentinel, remained active in 2021–22.</w:t>
      </w:r>
      <w:r>
        <w:rPr>
          <w:color w:val="231F20"/>
          <w:spacing w:val="-9"/>
        </w:rPr>
        <w:t xml:space="preserve"> </w:t>
      </w:r>
      <w:r>
        <w:rPr>
          <w:color w:val="231F20"/>
        </w:rPr>
        <w:t>Operation</w:t>
      </w:r>
      <w:r>
        <w:rPr>
          <w:color w:val="231F20"/>
          <w:spacing w:val="-10"/>
        </w:rPr>
        <w:t xml:space="preserve"> </w:t>
      </w:r>
      <w:r>
        <w:rPr>
          <w:color w:val="231F20"/>
        </w:rPr>
        <w:t>Sentinel</w:t>
      </w:r>
      <w:r>
        <w:rPr>
          <w:color w:val="231F20"/>
          <w:spacing w:val="-10"/>
        </w:rPr>
        <w:t xml:space="preserve"> </w:t>
      </w:r>
      <w:r>
        <w:rPr>
          <w:color w:val="231F20"/>
        </w:rPr>
        <w:t>focused</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conduct</w:t>
      </w:r>
      <w:r>
        <w:rPr>
          <w:color w:val="231F20"/>
          <w:spacing w:val="-9"/>
        </w:rPr>
        <w:t xml:space="preserve"> </w:t>
      </w:r>
      <w:r>
        <w:rPr>
          <w:color w:val="231F20"/>
        </w:rPr>
        <w:t>of</w:t>
      </w:r>
      <w:r>
        <w:rPr>
          <w:color w:val="231F20"/>
          <w:spacing w:val="-9"/>
        </w:rPr>
        <w:t xml:space="preserve"> </w:t>
      </w:r>
      <w:r>
        <w:rPr>
          <w:color w:val="231F20"/>
        </w:rPr>
        <w:t>proactive</w:t>
      </w:r>
      <w:r>
        <w:rPr>
          <w:color w:val="231F20"/>
          <w:spacing w:val="-10"/>
        </w:rPr>
        <w:t xml:space="preserve"> </w:t>
      </w:r>
      <w:r>
        <w:rPr>
          <w:color w:val="231F20"/>
        </w:rPr>
        <w:t>spot</w:t>
      </w:r>
      <w:r>
        <w:rPr>
          <w:color w:val="231F20"/>
          <w:spacing w:val="-9"/>
        </w:rPr>
        <w:t xml:space="preserve"> </w:t>
      </w:r>
      <w:r>
        <w:rPr>
          <w:color w:val="231F20"/>
        </w:rPr>
        <w:t>checks</w:t>
      </w:r>
      <w:r>
        <w:rPr>
          <w:color w:val="231F20"/>
          <w:spacing w:val="-9"/>
        </w:rPr>
        <w:t xml:space="preserve"> </w:t>
      </w:r>
      <w:r>
        <w:rPr>
          <w:color w:val="231F20"/>
        </w:rPr>
        <w:t>of</w:t>
      </w:r>
      <w:r>
        <w:rPr>
          <w:color w:val="231F20"/>
          <w:spacing w:val="-9"/>
        </w:rPr>
        <w:t xml:space="preserve"> </w:t>
      </w:r>
      <w:r>
        <w:rPr>
          <w:color w:val="231F20"/>
        </w:rPr>
        <w:t>people</w:t>
      </w:r>
      <w:r>
        <w:rPr>
          <w:color w:val="231F20"/>
          <w:spacing w:val="-10"/>
        </w:rPr>
        <w:t xml:space="preserve"> </w:t>
      </w:r>
      <w:r>
        <w:rPr>
          <w:color w:val="231F20"/>
        </w:rPr>
        <w:t>required to self-isolate, businesses subject to mandated closure, enforcement of prohibited gathering restrictions and responding to public reports of noncompliance. It also responded to requests made</w:t>
      </w:r>
      <w:r>
        <w:rPr>
          <w:color w:val="231F20"/>
          <w:spacing w:val="-1"/>
        </w:rPr>
        <w:t xml:space="preserve"> </w:t>
      </w:r>
      <w:r>
        <w:rPr>
          <w:color w:val="231F20"/>
        </w:rPr>
        <w:t>through</w:t>
      </w:r>
      <w:r>
        <w:rPr>
          <w:color w:val="231F20"/>
          <w:spacing w:val="-1"/>
        </w:rPr>
        <w:t xml:space="preserve"> </w:t>
      </w:r>
      <w:r>
        <w:rPr>
          <w:color w:val="231F20"/>
        </w:rPr>
        <w:t>the</w:t>
      </w:r>
      <w:r>
        <w:rPr>
          <w:color w:val="231F20"/>
          <w:spacing w:val="-1"/>
        </w:rPr>
        <w:t xml:space="preserve"> </w:t>
      </w:r>
      <w:r>
        <w:rPr>
          <w:color w:val="231F20"/>
        </w:rPr>
        <w:t>Police</w:t>
      </w:r>
      <w:r>
        <w:rPr>
          <w:color w:val="231F20"/>
          <w:spacing w:val="-1"/>
        </w:rPr>
        <w:t xml:space="preserve"> </w:t>
      </w:r>
      <w:r>
        <w:rPr>
          <w:color w:val="231F20"/>
        </w:rPr>
        <w:t>Assistance</w:t>
      </w:r>
      <w:r>
        <w:rPr>
          <w:color w:val="231F20"/>
          <w:spacing w:val="-1"/>
        </w:rPr>
        <w:t xml:space="preserve"> </w:t>
      </w:r>
      <w:r>
        <w:rPr>
          <w:color w:val="231F20"/>
        </w:rPr>
        <w:t>Line</w:t>
      </w:r>
      <w:r>
        <w:rPr>
          <w:color w:val="231F20"/>
          <w:spacing w:val="-1"/>
        </w:rPr>
        <w:t xml:space="preserve"> </w:t>
      </w:r>
      <w:r>
        <w:rPr>
          <w:color w:val="231F20"/>
        </w:rPr>
        <w:t>(PAL) and</w:t>
      </w:r>
      <w:r>
        <w:rPr>
          <w:color w:val="231F20"/>
          <w:spacing w:val="-1"/>
        </w:rPr>
        <w:t xml:space="preserve"> </w:t>
      </w:r>
      <w:r>
        <w:rPr>
          <w:color w:val="231F20"/>
        </w:rPr>
        <w:t>Online</w:t>
      </w:r>
      <w:r>
        <w:rPr>
          <w:color w:val="231F20"/>
          <w:spacing w:val="-1"/>
        </w:rPr>
        <w:t xml:space="preserve"> </w:t>
      </w:r>
      <w:r>
        <w:rPr>
          <w:color w:val="231F20"/>
        </w:rPr>
        <w:t>Reporting</w:t>
      </w:r>
      <w:r>
        <w:rPr>
          <w:color w:val="231F20"/>
          <w:spacing w:val="-1"/>
        </w:rPr>
        <w:t xml:space="preserve"> </w:t>
      </w:r>
      <w:r>
        <w:rPr>
          <w:color w:val="231F20"/>
        </w:rPr>
        <w:t>(OLR) system, with</w:t>
      </w:r>
      <w:r>
        <w:rPr>
          <w:color w:val="231F20"/>
          <w:spacing w:val="-1"/>
        </w:rPr>
        <w:t xml:space="preserve"> </w:t>
      </w:r>
      <w:r>
        <w:rPr>
          <w:color w:val="231F20"/>
        </w:rPr>
        <w:t>over 265,000 COVID-19 related calls received and 62,000 reports logged.</w:t>
      </w:r>
    </w:p>
    <w:p w14:paraId="01C5DD19" w14:textId="77777777" w:rsidR="00345EE3" w:rsidRDefault="00345EE3" w:rsidP="00345EE3">
      <w:pPr>
        <w:pStyle w:val="BodyText"/>
        <w:spacing w:before="121" w:line="242" w:lineRule="auto"/>
        <w:ind w:right="848"/>
      </w:pPr>
      <w:r>
        <w:rPr>
          <w:color w:val="231F20"/>
        </w:rPr>
        <w:t>Operation</w:t>
      </w:r>
      <w:r>
        <w:rPr>
          <w:color w:val="231F20"/>
          <w:spacing w:val="-13"/>
        </w:rPr>
        <w:t xml:space="preserve"> </w:t>
      </w:r>
      <w:r>
        <w:rPr>
          <w:color w:val="231F20"/>
        </w:rPr>
        <w:t>Sentinel</w:t>
      </w:r>
      <w:r>
        <w:rPr>
          <w:color w:val="231F20"/>
          <w:spacing w:val="-13"/>
        </w:rPr>
        <w:t xml:space="preserve"> </w:t>
      </w:r>
      <w:r>
        <w:rPr>
          <w:color w:val="231F20"/>
        </w:rPr>
        <w:t>was</w:t>
      </w:r>
      <w:r>
        <w:rPr>
          <w:color w:val="231F20"/>
          <w:spacing w:val="-13"/>
        </w:rPr>
        <w:t xml:space="preserve"> </w:t>
      </w:r>
      <w:r>
        <w:rPr>
          <w:color w:val="231F20"/>
        </w:rPr>
        <w:t>complemented</w:t>
      </w:r>
      <w:r>
        <w:rPr>
          <w:color w:val="231F20"/>
          <w:spacing w:val="-13"/>
        </w:rPr>
        <w:t xml:space="preserve"> </w:t>
      </w:r>
      <w:r>
        <w:rPr>
          <w:color w:val="231F20"/>
        </w:rPr>
        <w:t>by</w:t>
      </w:r>
      <w:r>
        <w:rPr>
          <w:color w:val="231F20"/>
          <w:spacing w:val="-13"/>
        </w:rPr>
        <w:t xml:space="preserve"> </w:t>
      </w:r>
      <w:r>
        <w:rPr>
          <w:color w:val="231F20"/>
        </w:rPr>
        <w:t>additional</w:t>
      </w:r>
      <w:r>
        <w:rPr>
          <w:color w:val="231F20"/>
          <w:spacing w:val="-13"/>
        </w:rPr>
        <w:t xml:space="preserve"> </w:t>
      </w:r>
      <w:r>
        <w:rPr>
          <w:color w:val="231F20"/>
        </w:rPr>
        <w:t>dedicated</w:t>
      </w:r>
      <w:r>
        <w:rPr>
          <w:color w:val="231F20"/>
          <w:spacing w:val="-13"/>
        </w:rPr>
        <w:t xml:space="preserve"> </w:t>
      </w:r>
      <w:r>
        <w:rPr>
          <w:color w:val="231F20"/>
        </w:rPr>
        <w:t>operations</w:t>
      </w:r>
      <w:r>
        <w:rPr>
          <w:color w:val="231F20"/>
          <w:spacing w:val="-13"/>
        </w:rPr>
        <w:t xml:space="preserve"> </w:t>
      </w:r>
      <w:r>
        <w:rPr>
          <w:color w:val="231F20"/>
        </w:rPr>
        <w:t>established</w:t>
      </w:r>
      <w:r>
        <w:rPr>
          <w:color w:val="231F20"/>
          <w:spacing w:val="-13"/>
        </w:rPr>
        <w:t xml:space="preserve"> </w:t>
      </w:r>
      <w:r>
        <w:rPr>
          <w:color w:val="231F20"/>
        </w:rPr>
        <w:t>to</w:t>
      </w:r>
      <w:r>
        <w:rPr>
          <w:color w:val="231F20"/>
          <w:spacing w:val="-13"/>
        </w:rPr>
        <w:t xml:space="preserve"> </w:t>
      </w:r>
      <w:r>
        <w:rPr>
          <w:color w:val="231F20"/>
        </w:rPr>
        <w:t>support compliance with specific CHO directions. They included Operation Sentinel 6, which supported CHO directions in</w:t>
      </w:r>
      <w:r>
        <w:rPr>
          <w:color w:val="231F20"/>
          <w:spacing w:val="-1"/>
        </w:rPr>
        <w:t xml:space="preserve"> </w:t>
      </w:r>
      <w:r>
        <w:rPr>
          <w:color w:val="231F20"/>
        </w:rPr>
        <w:t>relation</w:t>
      </w:r>
      <w:r>
        <w:rPr>
          <w:color w:val="231F20"/>
          <w:spacing w:val="-1"/>
        </w:rPr>
        <w:t xml:space="preserve"> </w:t>
      </w:r>
      <w:r>
        <w:rPr>
          <w:color w:val="231F20"/>
        </w:rPr>
        <w:t>to</w:t>
      </w:r>
      <w:r>
        <w:rPr>
          <w:color w:val="231F20"/>
          <w:spacing w:val="-1"/>
        </w:rPr>
        <w:t xml:space="preserve"> </w:t>
      </w:r>
      <w:r>
        <w:rPr>
          <w:color w:val="231F20"/>
        </w:rPr>
        <w:t>visiting</w:t>
      </w:r>
      <w:r>
        <w:rPr>
          <w:color w:val="231F20"/>
          <w:spacing w:val="-1"/>
        </w:rPr>
        <w:t xml:space="preserve"> </w:t>
      </w:r>
      <w:r>
        <w:rPr>
          <w:color w:val="231F20"/>
        </w:rPr>
        <w:t>Victoria’s Alpine</w:t>
      </w:r>
      <w:r>
        <w:rPr>
          <w:color w:val="231F20"/>
          <w:spacing w:val="-1"/>
        </w:rPr>
        <w:t xml:space="preserve"> </w:t>
      </w:r>
      <w:r>
        <w:rPr>
          <w:color w:val="231F20"/>
        </w:rPr>
        <w:t>areas during</w:t>
      </w:r>
      <w:r>
        <w:rPr>
          <w:color w:val="231F20"/>
          <w:spacing w:val="-1"/>
        </w:rPr>
        <w:t xml:space="preserve"> </w:t>
      </w:r>
      <w:r>
        <w:rPr>
          <w:color w:val="231F20"/>
        </w:rPr>
        <w:t>July and</w:t>
      </w:r>
      <w:r>
        <w:rPr>
          <w:color w:val="231F20"/>
          <w:spacing w:val="-1"/>
        </w:rPr>
        <w:t xml:space="preserve"> </w:t>
      </w:r>
      <w:r>
        <w:rPr>
          <w:color w:val="231F20"/>
        </w:rPr>
        <w:t>August 2021, and Operation Sentinel 8, (26 June to 8 October 2021) which enforced directed closures at the New South Wales and South Australian boarders.</w:t>
      </w:r>
    </w:p>
    <w:p w14:paraId="1EBFB03F" w14:textId="77777777" w:rsidR="00345EE3" w:rsidRDefault="00345EE3" w:rsidP="00345EE3">
      <w:pPr>
        <w:pStyle w:val="BodyText"/>
        <w:spacing w:before="120" w:line="242" w:lineRule="auto"/>
        <w:ind w:right="848"/>
      </w:pPr>
      <w:r>
        <w:rPr>
          <w:color w:val="231F20"/>
        </w:rPr>
        <w:t>Operation</w:t>
      </w:r>
      <w:r>
        <w:rPr>
          <w:color w:val="231F20"/>
          <w:spacing w:val="-11"/>
        </w:rPr>
        <w:t xml:space="preserve"> </w:t>
      </w:r>
      <w:r>
        <w:rPr>
          <w:color w:val="231F20"/>
        </w:rPr>
        <w:t>Sentinel</w:t>
      </w:r>
      <w:r>
        <w:rPr>
          <w:color w:val="231F20"/>
          <w:spacing w:val="-11"/>
        </w:rPr>
        <w:t xml:space="preserve"> </w:t>
      </w:r>
      <w:r>
        <w:rPr>
          <w:color w:val="231F20"/>
        </w:rPr>
        <w:t>performed</w:t>
      </w:r>
      <w:r>
        <w:rPr>
          <w:color w:val="231F20"/>
          <w:spacing w:val="-11"/>
        </w:rPr>
        <w:t xml:space="preserve"> </w:t>
      </w:r>
      <w:r>
        <w:rPr>
          <w:color w:val="231F20"/>
        </w:rPr>
        <w:t>a</w:t>
      </w:r>
      <w:r>
        <w:rPr>
          <w:color w:val="231F20"/>
          <w:spacing w:val="-11"/>
        </w:rPr>
        <w:t xml:space="preserve"> </w:t>
      </w:r>
      <w:r>
        <w:rPr>
          <w:color w:val="231F20"/>
        </w:rPr>
        <w:t>valuable</w:t>
      </w:r>
      <w:r>
        <w:rPr>
          <w:color w:val="231F20"/>
          <w:spacing w:val="-11"/>
        </w:rPr>
        <w:t xml:space="preserve"> </w:t>
      </w:r>
      <w:r>
        <w:rPr>
          <w:color w:val="231F20"/>
        </w:rPr>
        <w:t>public</w:t>
      </w:r>
      <w:r>
        <w:rPr>
          <w:color w:val="231F20"/>
          <w:spacing w:val="-11"/>
        </w:rPr>
        <w:t xml:space="preserve"> </w:t>
      </w:r>
      <w:r>
        <w:rPr>
          <w:color w:val="231F20"/>
        </w:rPr>
        <w:t>reassurance</w:t>
      </w:r>
      <w:r>
        <w:rPr>
          <w:color w:val="231F20"/>
          <w:spacing w:val="-11"/>
        </w:rPr>
        <w:t xml:space="preserve"> </w:t>
      </w:r>
      <w:r>
        <w:rPr>
          <w:color w:val="231F20"/>
        </w:rPr>
        <w:t>function</w:t>
      </w:r>
      <w:r>
        <w:rPr>
          <w:color w:val="231F20"/>
          <w:spacing w:val="-11"/>
        </w:rPr>
        <w:t xml:space="preserve"> </w:t>
      </w:r>
      <w:r>
        <w:rPr>
          <w:color w:val="231F20"/>
        </w:rPr>
        <w:t>by</w:t>
      </w:r>
      <w:r>
        <w:rPr>
          <w:color w:val="231F20"/>
          <w:spacing w:val="-11"/>
        </w:rPr>
        <w:t xml:space="preserve"> </w:t>
      </w:r>
      <w:r>
        <w:rPr>
          <w:color w:val="231F20"/>
        </w:rPr>
        <w:t>providing</w:t>
      </w:r>
      <w:r>
        <w:rPr>
          <w:color w:val="231F20"/>
          <w:spacing w:val="-11"/>
        </w:rPr>
        <w:t xml:space="preserve"> </w:t>
      </w:r>
      <w:r>
        <w:rPr>
          <w:color w:val="231F20"/>
        </w:rPr>
        <w:t>the</w:t>
      </w:r>
      <w:r>
        <w:rPr>
          <w:color w:val="231F20"/>
          <w:spacing w:val="-11"/>
        </w:rPr>
        <w:t xml:space="preserve"> </w:t>
      </w:r>
      <w:r>
        <w:rPr>
          <w:color w:val="231F20"/>
        </w:rPr>
        <w:t>community with comfort that CHO directions were being upheld. During its peak, Victoria Police committed more than 250 resources a day to this highly visible, community-focused operation.</w:t>
      </w:r>
    </w:p>
    <w:p w14:paraId="3AD92227" w14:textId="77777777" w:rsidR="00345EE3" w:rsidRDefault="00345EE3" w:rsidP="00345EE3">
      <w:pPr>
        <w:pStyle w:val="BodyText"/>
        <w:spacing w:before="117" w:line="242" w:lineRule="auto"/>
        <w:ind w:right="921"/>
      </w:pPr>
      <w:r>
        <w:rPr>
          <w:color w:val="231F20"/>
        </w:rPr>
        <w:t>After</w:t>
      </w:r>
      <w:r>
        <w:rPr>
          <w:color w:val="231F20"/>
          <w:spacing w:val="-6"/>
        </w:rPr>
        <w:t xml:space="preserve"> </w:t>
      </w:r>
      <w:r>
        <w:rPr>
          <w:color w:val="231F20"/>
        </w:rPr>
        <w:t>almost</w:t>
      </w:r>
      <w:r>
        <w:rPr>
          <w:color w:val="231F20"/>
          <w:spacing w:val="-6"/>
        </w:rPr>
        <w:t xml:space="preserve"> </w:t>
      </w:r>
      <w:r>
        <w:rPr>
          <w:color w:val="231F20"/>
        </w:rPr>
        <w:t>two</w:t>
      </w:r>
      <w:r>
        <w:rPr>
          <w:color w:val="231F20"/>
          <w:spacing w:val="-6"/>
        </w:rPr>
        <w:t xml:space="preserve"> </w:t>
      </w:r>
      <w:r>
        <w:rPr>
          <w:color w:val="231F20"/>
        </w:rPr>
        <w:t>years,</w:t>
      </w:r>
      <w:r>
        <w:rPr>
          <w:color w:val="231F20"/>
          <w:spacing w:val="-6"/>
        </w:rPr>
        <w:t xml:space="preserve"> </w:t>
      </w:r>
      <w:r>
        <w:rPr>
          <w:color w:val="231F20"/>
        </w:rPr>
        <w:t>Operation</w:t>
      </w:r>
      <w:r>
        <w:rPr>
          <w:color w:val="231F20"/>
          <w:spacing w:val="-6"/>
        </w:rPr>
        <w:t xml:space="preserve"> </w:t>
      </w:r>
      <w:r>
        <w:rPr>
          <w:color w:val="231F20"/>
        </w:rPr>
        <w:t>Sentinel</w:t>
      </w:r>
      <w:r>
        <w:rPr>
          <w:color w:val="231F20"/>
          <w:spacing w:val="-6"/>
        </w:rPr>
        <w:t xml:space="preserve"> </w:t>
      </w:r>
      <w:r>
        <w:rPr>
          <w:color w:val="231F20"/>
        </w:rPr>
        <w:t>concluded</w:t>
      </w:r>
      <w:r>
        <w:rPr>
          <w:color w:val="231F20"/>
          <w:spacing w:val="-6"/>
        </w:rPr>
        <w:t xml:space="preserve"> </w:t>
      </w:r>
      <w:r>
        <w:rPr>
          <w:color w:val="231F20"/>
        </w:rPr>
        <w:t>on</w:t>
      </w:r>
      <w:r>
        <w:rPr>
          <w:color w:val="231F20"/>
          <w:spacing w:val="-6"/>
        </w:rPr>
        <w:t xml:space="preserve"> </w:t>
      </w:r>
      <w:r>
        <w:rPr>
          <w:color w:val="231F20"/>
        </w:rPr>
        <w:t>5</w:t>
      </w:r>
      <w:r>
        <w:rPr>
          <w:color w:val="231F20"/>
          <w:spacing w:val="-6"/>
        </w:rPr>
        <w:t xml:space="preserve"> </w:t>
      </w:r>
      <w:r>
        <w:rPr>
          <w:color w:val="231F20"/>
        </w:rPr>
        <w:t>March</w:t>
      </w:r>
      <w:r>
        <w:rPr>
          <w:color w:val="231F20"/>
          <w:spacing w:val="-6"/>
        </w:rPr>
        <w:t xml:space="preserve"> </w:t>
      </w:r>
      <w:r>
        <w:rPr>
          <w:color w:val="231F20"/>
        </w:rPr>
        <w:t>2022.</w:t>
      </w:r>
      <w:r>
        <w:rPr>
          <w:color w:val="231F20"/>
          <w:spacing w:val="-6"/>
        </w:rPr>
        <w:t xml:space="preserve"> </w:t>
      </w:r>
      <w:r>
        <w:rPr>
          <w:color w:val="231F20"/>
        </w:rPr>
        <w:t>Over</w:t>
      </w:r>
      <w:r>
        <w:rPr>
          <w:color w:val="231F20"/>
          <w:spacing w:val="-6"/>
        </w:rPr>
        <w:t xml:space="preserve"> </w:t>
      </w:r>
      <w:r>
        <w:rPr>
          <w:color w:val="231F20"/>
        </w:rPr>
        <w:t>the</w:t>
      </w:r>
      <w:r>
        <w:rPr>
          <w:color w:val="231F20"/>
          <w:spacing w:val="-6"/>
        </w:rPr>
        <w:t xml:space="preserve"> </w:t>
      </w:r>
      <w:r>
        <w:rPr>
          <w:color w:val="231F20"/>
        </w:rPr>
        <w:t>course</w:t>
      </w:r>
      <w:r>
        <w:rPr>
          <w:color w:val="231F20"/>
          <w:spacing w:val="-6"/>
        </w:rPr>
        <w:t xml:space="preserve"> </w:t>
      </w:r>
      <w:r>
        <w:rPr>
          <w:color w:val="231F20"/>
        </w:rPr>
        <w:t>of</w:t>
      </w:r>
      <w:r>
        <w:rPr>
          <w:color w:val="231F20"/>
          <w:spacing w:val="-6"/>
        </w:rPr>
        <w:t xml:space="preserve"> </w:t>
      </w:r>
      <w:r>
        <w:rPr>
          <w:color w:val="231F20"/>
        </w:rPr>
        <w:t>the operation, police conducted more than one million compliance checks.</w:t>
      </w:r>
    </w:p>
    <w:p w14:paraId="370004AA" w14:textId="77777777" w:rsidR="00345EE3" w:rsidRDefault="00345EE3" w:rsidP="00345EE3">
      <w:pPr>
        <w:rPr>
          <w:b/>
          <w:bCs/>
          <w:color w:val="58595B"/>
          <w:sz w:val="24"/>
          <w:szCs w:val="24"/>
        </w:rPr>
      </w:pPr>
      <w:r>
        <w:rPr>
          <w:color w:val="58595B"/>
        </w:rPr>
        <w:br w:type="page"/>
      </w:r>
    </w:p>
    <w:p w14:paraId="16BFC713" w14:textId="77777777" w:rsidR="00345EE3" w:rsidRPr="00731777" w:rsidRDefault="00345EE3" w:rsidP="00731777">
      <w:pPr>
        <w:pStyle w:val="Heading5"/>
        <w:spacing w:before="173"/>
        <w:ind w:left="0"/>
        <w:rPr>
          <w:color w:val="000000" w:themeColor="text1"/>
        </w:rPr>
      </w:pPr>
      <w:r w:rsidRPr="00731777">
        <w:rPr>
          <w:color w:val="000000" w:themeColor="text1"/>
        </w:rPr>
        <w:t xml:space="preserve">Operation </w:t>
      </w:r>
      <w:r w:rsidRPr="00731777">
        <w:rPr>
          <w:color w:val="000000" w:themeColor="text1"/>
          <w:spacing w:val="-2"/>
        </w:rPr>
        <w:t>Guardian</w:t>
      </w:r>
    </w:p>
    <w:p w14:paraId="5644EB28" w14:textId="77777777" w:rsidR="00345EE3" w:rsidRDefault="00345EE3" w:rsidP="00345EE3">
      <w:pPr>
        <w:pStyle w:val="BodyText"/>
        <w:spacing w:before="4" w:line="242" w:lineRule="auto"/>
        <w:ind w:right="848"/>
      </w:pPr>
      <w:r>
        <w:rPr>
          <w:color w:val="231F20"/>
        </w:rPr>
        <w:t>Operation Guardian was in force during September and October 2021 to support compliance with</w:t>
      </w:r>
      <w:r>
        <w:rPr>
          <w:color w:val="231F20"/>
          <w:spacing w:val="-11"/>
        </w:rPr>
        <w:t xml:space="preserve"> </w:t>
      </w:r>
      <w:r>
        <w:rPr>
          <w:color w:val="231F20"/>
        </w:rPr>
        <w:t>the</w:t>
      </w:r>
      <w:r>
        <w:rPr>
          <w:color w:val="231F20"/>
          <w:spacing w:val="-11"/>
        </w:rPr>
        <w:t xml:space="preserve"> </w:t>
      </w:r>
      <w:r>
        <w:rPr>
          <w:color w:val="231F20"/>
        </w:rPr>
        <w:t>CHO</w:t>
      </w:r>
      <w:r>
        <w:rPr>
          <w:color w:val="231F20"/>
          <w:spacing w:val="-10"/>
        </w:rPr>
        <w:t xml:space="preserve"> </w:t>
      </w:r>
      <w:r>
        <w:rPr>
          <w:color w:val="231F20"/>
        </w:rPr>
        <w:t>directions</w:t>
      </w:r>
      <w:r>
        <w:rPr>
          <w:color w:val="231F20"/>
          <w:spacing w:val="-10"/>
        </w:rPr>
        <w:t xml:space="preserve"> </w:t>
      </w:r>
      <w:r>
        <w:rPr>
          <w:color w:val="231F20"/>
        </w:rPr>
        <w:t>concerning</w:t>
      </w:r>
      <w:r>
        <w:rPr>
          <w:color w:val="231F20"/>
          <w:spacing w:val="-11"/>
        </w:rPr>
        <w:t xml:space="preserve"> </w:t>
      </w:r>
      <w:r>
        <w:rPr>
          <w:color w:val="231F20"/>
        </w:rPr>
        <w:t>the</w:t>
      </w:r>
      <w:r>
        <w:rPr>
          <w:color w:val="231F20"/>
          <w:spacing w:val="-11"/>
        </w:rPr>
        <w:t xml:space="preserve"> </w:t>
      </w:r>
      <w:r>
        <w:rPr>
          <w:color w:val="231F20"/>
        </w:rPr>
        <w:t>movement</w:t>
      </w:r>
      <w:r>
        <w:rPr>
          <w:color w:val="231F20"/>
          <w:spacing w:val="-10"/>
        </w:rPr>
        <w:t xml:space="preserve"> </w:t>
      </w:r>
      <w:r>
        <w:rPr>
          <w:color w:val="231F20"/>
        </w:rPr>
        <w:t>of</w:t>
      </w:r>
      <w:r>
        <w:rPr>
          <w:color w:val="231F20"/>
          <w:spacing w:val="-10"/>
        </w:rPr>
        <w:t xml:space="preserve"> </w:t>
      </w:r>
      <w:r>
        <w:rPr>
          <w:color w:val="231F20"/>
        </w:rPr>
        <w:t>persons</w:t>
      </w:r>
      <w:r>
        <w:rPr>
          <w:color w:val="231F20"/>
          <w:spacing w:val="-10"/>
        </w:rPr>
        <w:t xml:space="preserve"> </w:t>
      </w:r>
      <w:r>
        <w:rPr>
          <w:color w:val="231F20"/>
        </w:rPr>
        <w:t>from</w:t>
      </w:r>
      <w:r>
        <w:rPr>
          <w:color w:val="231F20"/>
          <w:spacing w:val="-10"/>
        </w:rPr>
        <w:t xml:space="preserve"> </w:t>
      </w:r>
      <w:r>
        <w:rPr>
          <w:color w:val="231F20"/>
        </w:rPr>
        <w:t>restricted</w:t>
      </w:r>
      <w:r>
        <w:rPr>
          <w:color w:val="231F20"/>
          <w:spacing w:val="-11"/>
        </w:rPr>
        <w:t xml:space="preserve"> </w:t>
      </w:r>
      <w:r>
        <w:rPr>
          <w:color w:val="231F20"/>
        </w:rPr>
        <w:t>areas</w:t>
      </w:r>
      <w:r>
        <w:rPr>
          <w:color w:val="231F20"/>
          <w:spacing w:val="-10"/>
        </w:rPr>
        <w:t xml:space="preserve"> </w:t>
      </w:r>
      <w:r>
        <w:rPr>
          <w:color w:val="231F20"/>
        </w:rPr>
        <w:t>(metropolitan Melbourne and the Greater Shepparton Local Government Area) to Regional Victoria.</w:t>
      </w:r>
    </w:p>
    <w:p w14:paraId="2CFE53C5" w14:textId="77777777" w:rsidR="00345EE3" w:rsidRDefault="00345EE3" w:rsidP="00345EE3">
      <w:pPr>
        <w:pStyle w:val="BodyText"/>
        <w:spacing w:before="118" w:line="242" w:lineRule="auto"/>
        <w:ind w:right="921"/>
      </w:pPr>
      <w:r>
        <w:rPr>
          <w:color w:val="231F20"/>
        </w:rPr>
        <w:t>To</w:t>
      </w:r>
      <w:r>
        <w:rPr>
          <w:color w:val="231F20"/>
          <w:spacing w:val="-12"/>
        </w:rPr>
        <w:t xml:space="preserve"> </w:t>
      </w:r>
      <w:r>
        <w:rPr>
          <w:color w:val="231F20"/>
        </w:rPr>
        <w:t>deter</w:t>
      </w:r>
      <w:r>
        <w:rPr>
          <w:color w:val="231F20"/>
          <w:spacing w:val="-11"/>
        </w:rPr>
        <w:t xml:space="preserve"> </w:t>
      </w:r>
      <w:r>
        <w:rPr>
          <w:color w:val="231F20"/>
        </w:rPr>
        <w:t>and</w:t>
      </w:r>
      <w:r>
        <w:rPr>
          <w:color w:val="231F20"/>
          <w:spacing w:val="-12"/>
        </w:rPr>
        <w:t xml:space="preserve"> </w:t>
      </w:r>
      <w:r>
        <w:rPr>
          <w:color w:val="231F20"/>
        </w:rPr>
        <w:t>prevent</w:t>
      </w:r>
      <w:r>
        <w:rPr>
          <w:color w:val="231F20"/>
          <w:spacing w:val="-11"/>
        </w:rPr>
        <w:t xml:space="preserve"> </w:t>
      </w:r>
      <w:r>
        <w:rPr>
          <w:color w:val="231F20"/>
        </w:rPr>
        <w:t>unauthorised</w:t>
      </w:r>
      <w:r>
        <w:rPr>
          <w:color w:val="231F20"/>
          <w:spacing w:val="-12"/>
        </w:rPr>
        <w:t xml:space="preserve"> </w:t>
      </w:r>
      <w:r>
        <w:rPr>
          <w:color w:val="231F20"/>
        </w:rPr>
        <w:t>entry</w:t>
      </w:r>
      <w:r>
        <w:rPr>
          <w:color w:val="231F20"/>
          <w:spacing w:val="-11"/>
        </w:rPr>
        <w:t xml:space="preserve"> </w:t>
      </w:r>
      <w:r>
        <w:rPr>
          <w:color w:val="231F20"/>
        </w:rPr>
        <w:t>into</w:t>
      </w:r>
      <w:r>
        <w:rPr>
          <w:color w:val="231F20"/>
          <w:spacing w:val="-12"/>
        </w:rPr>
        <w:t xml:space="preserve"> </w:t>
      </w:r>
      <w:r>
        <w:rPr>
          <w:color w:val="231F20"/>
        </w:rPr>
        <w:t>Regional</w:t>
      </w:r>
      <w:r>
        <w:rPr>
          <w:color w:val="231F20"/>
          <w:spacing w:val="-12"/>
        </w:rPr>
        <w:t xml:space="preserve"> </w:t>
      </w:r>
      <w:r>
        <w:rPr>
          <w:color w:val="231F20"/>
        </w:rPr>
        <w:t>Victoria,</w:t>
      </w:r>
      <w:r>
        <w:rPr>
          <w:color w:val="231F20"/>
          <w:spacing w:val="-11"/>
        </w:rPr>
        <w:t xml:space="preserve"> </w:t>
      </w:r>
      <w:r>
        <w:rPr>
          <w:color w:val="231F20"/>
        </w:rPr>
        <w:t>Victoria</w:t>
      </w:r>
      <w:r>
        <w:rPr>
          <w:color w:val="231F20"/>
          <w:spacing w:val="-12"/>
        </w:rPr>
        <w:t xml:space="preserve"> </w:t>
      </w:r>
      <w:r>
        <w:rPr>
          <w:color w:val="231F20"/>
        </w:rPr>
        <w:t>Police</w:t>
      </w:r>
      <w:r>
        <w:rPr>
          <w:color w:val="231F20"/>
          <w:spacing w:val="-12"/>
        </w:rPr>
        <w:t xml:space="preserve"> </w:t>
      </w:r>
      <w:r>
        <w:rPr>
          <w:color w:val="231F20"/>
        </w:rPr>
        <w:t>dedicated</w:t>
      </w:r>
      <w:r>
        <w:rPr>
          <w:color w:val="231F20"/>
          <w:spacing w:val="-12"/>
        </w:rPr>
        <w:t xml:space="preserve"> </w:t>
      </w:r>
      <w:r>
        <w:rPr>
          <w:color w:val="231F20"/>
        </w:rPr>
        <w:t>200 police resources to a 24/7 mobile and flexible police operation, which involved:</w:t>
      </w:r>
    </w:p>
    <w:p w14:paraId="33E0782C" w14:textId="77777777" w:rsidR="00345EE3" w:rsidRDefault="00345EE3">
      <w:pPr>
        <w:pStyle w:val="ListParagraph"/>
        <w:numPr>
          <w:ilvl w:val="1"/>
          <w:numId w:val="93"/>
        </w:numPr>
        <w:tabs>
          <w:tab w:val="left" w:pos="393"/>
          <w:tab w:val="left" w:pos="394"/>
        </w:tabs>
        <w:spacing w:before="29"/>
        <w:rPr>
          <w:sz w:val="24"/>
        </w:rPr>
      </w:pPr>
      <w:r>
        <w:rPr>
          <w:color w:val="231F20"/>
          <w:sz w:val="24"/>
        </w:rPr>
        <w:t>Highly</w:t>
      </w:r>
      <w:r>
        <w:rPr>
          <w:color w:val="231F20"/>
          <w:spacing w:val="-10"/>
          <w:sz w:val="24"/>
        </w:rPr>
        <w:t xml:space="preserve"> </w:t>
      </w:r>
      <w:r>
        <w:rPr>
          <w:color w:val="231F20"/>
          <w:sz w:val="24"/>
        </w:rPr>
        <w:t>visible</w:t>
      </w:r>
      <w:r>
        <w:rPr>
          <w:color w:val="231F20"/>
          <w:spacing w:val="-9"/>
          <w:sz w:val="24"/>
        </w:rPr>
        <w:t xml:space="preserve"> </w:t>
      </w:r>
      <w:r>
        <w:rPr>
          <w:color w:val="231F20"/>
          <w:sz w:val="24"/>
        </w:rPr>
        <w:t>police</w:t>
      </w:r>
      <w:r>
        <w:rPr>
          <w:color w:val="231F20"/>
          <w:spacing w:val="-9"/>
          <w:sz w:val="24"/>
        </w:rPr>
        <w:t xml:space="preserve"> </w:t>
      </w:r>
      <w:r>
        <w:rPr>
          <w:color w:val="231F20"/>
          <w:sz w:val="24"/>
        </w:rPr>
        <w:t>presence</w:t>
      </w:r>
      <w:r>
        <w:rPr>
          <w:color w:val="231F20"/>
          <w:spacing w:val="-9"/>
          <w:sz w:val="24"/>
        </w:rPr>
        <w:t xml:space="preserve"> </w:t>
      </w:r>
      <w:r>
        <w:rPr>
          <w:color w:val="231F20"/>
          <w:sz w:val="24"/>
        </w:rPr>
        <w:t>focusing</w:t>
      </w:r>
      <w:r>
        <w:rPr>
          <w:color w:val="231F20"/>
          <w:spacing w:val="-9"/>
          <w:sz w:val="24"/>
        </w:rPr>
        <w:t xml:space="preserve"> </w:t>
      </w:r>
      <w:r>
        <w:rPr>
          <w:color w:val="231F20"/>
          <w:sz w:val="24"/>
        </w:rPr>
        <w:t>on</w:t>
      </w:r>
      <w:r>
        <w:rPr>
          <w:color w:val="231F20"/>
          <w:spacing w:val="-8"/>
          <w:sz w:val="24"/>
        </w:rPr>
        <w:t xml:space="preserve"> </w:t>
      </w:r>
      <w:r>
        <w:rPr>
          <w:color w:val="231F20"/>
          <w:sz w:val="24"/>
        </w:rPr>
        <w:t>major</w:t>
      </w:r>
      <w:r>
        <w:rPr>
          <w:color w:val="231F20"/>
          <w:spacing w:val="-8"/>
          <w:sz w:val="24"/>
        </w:rPr>
        <w:t xml:space="preserve"> </w:t>
      </w:r>
      <w:r>
        <w:rPr>
          <w:color w:val="231F20"/>
          <w:sz w:val="24"/>
        </w:rPr>
        <w:t>arterial</w:t>
      </w:r>
      <w:r>
        <w:rPr>
          <w:color w:val="231F20"/>
          <w:spacing w:val="-9"/>
          <w:sz w:val="24"/>
        </w:rPr>
        <w:t xml:space="preserve"> </w:t>
      </w:r>
      <w:r>
        <w:rPr>
          <w:color w:val="231F20"/>
          <w:sz w:val="24"/>
        </w:rPr>
        <w:t>roads</w:t>
      </w:r>
      <w:r>
        <w:rPr>
          <w:color w:val="231F20"/>
          <w:spacing w:val="-8"/>
          <w:sz w:val="24"/>
        </w:rPr>
        <w:t xml:space="preserve"> </w:t>
      </w:r>
      <w:r>
        <w:rPr>
          <w:color w:val="231F20"/>
          <w:sz w:val="24"/>
        </w:rPr>
        <w:t>to</w:t>
      </w:r>
      <w:r>
        <w:rPr>
          <w:color w:val="231F20"/>
          <w:spacing w:val="-9"/>
          <w:sz w:val="24"/>
        </w:rPr>
        <w:t xml:space="preserve"> </w:t>
      </w:r>
      <w:r>
        <w:rPr>
          <w:color w:val="231F20"/>
          <w:sz w:val="24"/>
        </w:rPr>
        <w:t>safely</w:t>
      </w:r>
      <w:r>
        <w:rPr>
          <w:color w:val="231F20"/>
          <w:spacing w:val="-8"/>
          <w:sz w:val="24"/>
        </w:rPr>
        <w:t xml:space="preserve"> </w:t>
      </w:r>
      <w:r>
        <w:rPr>
          <w:color w:val="231F20"/>
          <w:sz w:val="24"/>
        </w:rPr>
        <w:t>intercept</w:t>
      </w:r>
      <w:r>
        <w:rPr>
          <w:color w:val="231F20"/>
          <w:spacing w:val="-7"/>
          <w:sz w:val="24"/>
        </w:rPr>
        <w:t xml:space="preserve"> </w:t>
      </w:r>
      <w:r>
        <w:rPr>
          <w:color w:val="231F20"/>
          <w:spacing w:val="-2"/>
          <w:sz w:val="24"/>
        </w:rPr>
        <w:t>motorists.</w:t>
      </w:r>
    </w:p>
    <w:p w14:paraId="456EEE06" w14:textId="77777777" w:rsidR="00345EE3" w:rsidRDefault="00345EE3">
      <w:pPr>
        <w:pStyle w:val="ListParagraph"/>
        <w:numPr>
          <w:ilvl w:val="1"/>
          <w:numId w:val="93"/>
        </w:numPr>
        <w:tabs>
          <w:tab w:val="left" w:pos="393"/>
          <w:tab w:val="left" w:pos="394"/>
        </w:tabs>
        <w:spacing w:before="33" w:line="242" w:lineRule="auto"/>
        <w:ind w:right="994"/>
        <w:rPr>
          <w:sz w:val="24"/>
        </w:rPr>
      </w:pPr>
      <w:r>
        <w:rPr>
          <w:color w:val="231F20"/>
          <w:sz w:val="24"/>
        </w:rPr>
        <w:t>Working</w:t>
      </w:r>
      <w:r>
        <w:rPr>
          <w:color w:val="231F20"/>
          <w:spacing w:val="-12"/>
          <w:sz w:val="24"/>
        </w:rPr>
        <w:t xml:space="preserve"> </w:t>
      </w:r>
      <w:r>
        <w:rPr>
          <w:color w:val="231F20"/>
          <w:sz w:val="24"/>
        </w:rPr>
        <w:t>in</w:t>
      </w:r>
      <w:r>
        <w:rPr>
          <w:color w:val="231F20"/>
          <w:spacing w:val="-12"/>
          <w:sz w:val="24"/>
        </w:rPr>
        <w:t xml:space="preserve"> </w:t>
      </w:r>
      <w:r>
        <w:rPr>
          <w:color w:val="231F20"/>
          <w:sz w:val="24"/>
        </w:rPr>
        <w:t>collaboration</w:t>
      </w:r>
      <w:r>
        <w:rPr>
          <w:color w:val="231F20"/>
          <w:spacing w:val="-12"/>
          <w:sz w:val="24"/>
        </w:rPr>
        <w:t xml:space="preserve"> </w:t>
      </w:r>
      <w:r>
        <w:rPr>
          <w:color w:val="231F20"/>
          <w:sz w:val="24"/>
        </w:rPr>
        <w:t>with</w:t>
      </w:r>
      <w:r>
        <w:rPr>
          <w:color w:val="231F20"/>
          <w:spacing w:val="-12"/>
          <w:sz w:val="24"/>
        </w:rPr>
        <w:t xml:space="preserve"> </w:t>
      </w:r>
      <w:r>
        <w:rPr>
          <w:color w:val="231F20"/>
          <w:sz w:val="24"/>
        </w:rPr>
        <w:t>Australian</w:t>
      </w:r>
      <w:r>
        <w:rPr>
          <w:color w:val="231F20"/>
          <w:spacing w:val="-12"/>
          <w:sz w:val="24"/>
        </w:rPr>
        <w:t xml:space="preserve"> </w:t>
      </w:r>
      <w:r>
        <w:rPr>
          <w:color w:val="231F20"/>
          <w:sz w:val="24"/>
        </w:rPr>
        <w:t>Defence</w:t>
      </w:r>
      <w:r>
        <w:rPr>
          <w:color w:val="231F20"/>
          <w:spacing w:val="-12"/>
          <w:sz w:val="24"/>
        </w:rPr>
        <w:t xml:space="preserve"> </w:t>
      </w:r>
      <w:r>
        <w:rPr>
          <w:color w:val="231F20"/>
          <w:sz w:val="24"/>
        </w:rPr>
        <w:t>Force</w:t>
      </w:r>
      <w:r>
        <w:rPr>
          <w:color w:val="231F20"/>
          <w:spacing w:val="-12"/>
          <w:sz w:val="24"/>
        </w:rPr>
        <w:t xml:space="preserve"> </w:t>
      </w:r>
      <w:r>
        <w:rPr>
          <w:color w:val="231F20"/>
          <w:sz w:val="24"/>
        </w:rPr>
        <w:t>personnel</w:t>
      </w:r>
      <w:r>
        <w:rPr>
          <w:color w:val="231F20"/>
          <w:spacing w:val="-12"/>
          <w:sz w:val="24"/>
        </w:rPr>
        <w:t xml:space="preserve"> </w:t>
      </w:r>
      <w:r>
        <w:rPr>
          <w:color w:val="231F20"/>
          <w:sz w:val="24"/>
        </w:rPr>
        <w:t>during</w:t>
      </w:r>
      <w:r>
        <w:rPr>
          <w:color w:val="231F20"/>
          <w:spacing w:val="-12"/>
          <w:sz w:val="24"/>
        </w:rPr>
        <w:t xml:space="preserve"> </w:t>
      </w:r>
      <w:r>
        <w:rPr>
          <w:color w:val="231F20"/>
          <w:sz w:val="24"/>
        </w:rPr>
        <w:t>reassurance</w:t>
      </w:r>
      <w:r>
        <w:rPr>
          <w:color w:val="231F20"/>
          <w:spacing w:val="-12"/>
          <w:sz w:val="24"/>
        </w:rPr>
        <w:t xml:space="preserve"> </w:t>
      </w:r>
      <w:r>
        <w:rPr>
          <w:color w:val="231F20"/>
          <w:sz w:val="24"/>
        </w:rPr>
        <w:t>patrols in regional towns.</w:t>
      </w:r>
    </w:p>
    <w:p w14:paraId="4BAE454E" w14:textId="77777777" w:rsidR="00345EE3" w:rsidRDefault="00345EE3">
      <w:pPr>
        <w:pStyle w:val="ListParagraph"/>
        <w:numPr>
          <w:ilvl w:val="1"/>
          <w:numId w:val="93"/>
        </w:numPr>
        <w:tabs>
          <w:tab w:val="left" w:pos="393"/>
          <w:tab w:val="left" w:pos="394"/>
        </w:tabs>
        <w:spacing w:before="31" w:line="242" w:lineRule="auto"/>
        <w:ind w:right="1544"/>
        <w:rPr>
          <w:sz w:val="24"/>
        </w:rPr>
      </w:pPr>
      <w:r>
        <w:rPr>
          <w:color w:val="231F20"/>
          <w:sz w:val="24"/>
        </w:rPr>
        <w:t>Automated</w:t>
      </w:r>
      <w:r>
        <w:rPr>
          <w:color w:val="231F20"/>
          <w:spacing w:val="-13"/>
          <w:sz w:val="24"/>
        </w:rPr>
        <w:t xml:space="preserve"> </w:t>
      </w:r>
      <w:r>
        <w:rPr>
          <w:color w:val="231F20"/>
          <w:sz w:val="24"/>
        </w:rPr>
        <w:t>Number</w:t>
      </w:r>
      <w:r>
        <w:rPr>
          <w:color w:val="231F20"/>
          <w:spacing w:val="-12"/>
          <w:sz w:val="24"/>
        </w:rPr>
        <w:t xml:space="preserve"> </w:t>
      </w:r>
      <w:r>
        <w:rPr>
          <w:color w:val="231F20"/>
          <w:sz w:val="24"/>
        </w:rPr>
        <w:t>Plate</w:t>
      </w:r>
      <w:r>
        <w:rPr>
          <w:color w:val="231F20"/>
          <w:spacing w:val="-13"/>
          <w:sz w:val="24"/>
        </w:rPr>
        <w:t xml:space="preserve"> </w:t>
      </w:r>
      <w:r>
        <w:rPr>
          <w:color w:val="231F20"/>
          <w:sz w:val="24"/>
        </w:rPr>
        <w:t>Recognition</w:t>
      </w:r>
      <w:r>
        <w:rPr>
          <w:color w:val="231F20"/>
          <w:spacing w:val="-13"/>
          <w:sz w:val="24"/>
        </w:rPr>
        <w:t xml:space="preserve"> </w:t>
      </w:r>
      <w:r>
        <w:rPr>
          <w:color w:val="231F20"/>
          <w:sz w:val="24"/>
        </w:rPr>
        <w:t>(ANPR)</w:t>
      </w:r>
      <w:r>
        <w:rPr>
          <w:color w:val="231F20"/>
          <w:spacing w:val="-12"/>
          <w:sz w:val="24"/>
        </w:rPr>
        <w:t xml:space="preserve"> </w:t>
      </w:r>
      <w:r>
        <w:rPr>
          <w:color w:val="231F20"/>
          <w:sz w:val="24"/>
        </w:rPr>
        <w:t>technology</w:t>
      </w:r>
      <w:r>
        <w:rPr>
          <w:color w:val="231F20"/>
          <w:spacing w:val="-12"/>
          <w:sz w:val="24"/>
        </w:rPr>
        <w:t xml:space="preserve"> </w:t>
      </w:r>
      <w:r>
        <w:rPr>
          <w:color w:val="231F20"/>
          <w:sz w:val="24"/>
        </w:rPr>
        <w:t>to</w:t>
      </w:r>
      <w:r>
        <w:rPr>
          <w:color w:val="231F20"/>
          <w:spacing w:val="-13"/>
          <w:sz w:val="24"/>
        </w:rPr>
        <w:t xml:space="preserve"> </w:t>
      </w:r>
      <w:r>
        <w:rPr>
          <w:color w:val="231F20"/>
          <w:sz w:val="24"/>
        </w:rPr>
        <w:t>assist</w:t>
      </w:r>
      <w:r>
        <w:rPr>
          <w:color w:val="231F20"/>
          <w:spacing w:val="-12"/>
          <w:sz w:val="24"/>
        </w:rPr>
        <w:t xml:space="preserve"> </w:t>
      </w:r>
      <w:r>
        <w:rPr>
          <w:color w:val="231F20"/>
          <w:sz w:val="24"/>
        </w:rPr>
        <w:t>in</w:t>
      </w:r>
      <w:r>
        <w:rPr>
          <w:color w:val="231F20"/>
          <w:spacing w:val="-13"/>
          <w:sz w:val="24"/>
        </w:rPr>
        <w:t xml:space="preserve"> </w:t>
      </w:r>
      <w:r>
        <w:rPr>
          <w:color w:val="231F20"/>
          <w:sz w:val="24"/>
        </w:rPr>
        <w:t>the</w:t>
      </w:r>
      <w:r>
        <w:rPr>
          <w:color w:val="231F20"/>
          <w:spacing w:val="-13"/>
          <w:sz w:val="24"/>
        </w:rPr>
        <w:t xml:space="preserve"> </w:t>
      </w:r>
      <w:r>
        <w:rPr>
          <w:color w:val="231F20"/>
          <w:sz w:val="24"/>
        </w:rPr>
        <w:t>interception</w:t>
      </w:r>
      <w:r>
        <w:rPr>
          <w:color w:val="231F20"/>
          <w:spacing w:val="-13"/>
          <w:sz w:val="24"/>
        </w:rPr>
        <w:t xml:space="preserve"> </w:t>
      </w:r>
      <w:r>
        <w:rPr>
          <w:color w:val="231F20"/>
          <w:sz w:val="24"/>
        </w:rPr>
        <w:t xml:space="preserve">of </w:t>
      </w:r>
      <w:r>
        <w:rPr>
          <w:color w:val="231F20"/>
          <w:spacing w:val="-2"/>
          <w:sz w:val="24"/>
        </w:rPr>
        <w:t>vehicles.</w:t>
      </w:r>
    </w:p>
    <w:p w14:paraId="77A5951A" w14:textId="77777777" w:rsidR="00345EE3" w:rsidRDefault="00345EE3">
      <w:pPr>
        <w:pStyle w:val="ListParagraph"/>
        <w:numPr>
          <w:ilvl w:val="1"/>
          <w:numId w:val="93"/>
        </w:numPr>
        <w:tabs>
          <w:tab w:val="left" w:pos="393"/>
          <w:tab w:val="left" w:pos="394"/>
        </w:tabs>
        <w:spacing w:before="30"/>
        <w:rPr>
          <w:sz w:val="24"/>
        </w:rPr>
      </w:pPr>
      <w:r>
        <w:rPr>
          <w:color w:val="231F20"/>
          <w:sz w:val="24"/>
        </w:rPr>
        <w:t>Positioning</w:t>
      </w:r>
      <w:r>
        <w:rPr>
          <w:color w:val="231F20"/>
          <w:spacing w:val="-9"/>
          <w:sz w:val="24"/>
        </w:rPr>
        <w:t xml:space="preserve"> </w:t>
      </w:r>
      <w:r>
        <w:rPr>
          <w:color w:val="231F20"/>
          <w:sz w:val="24"/>
        </w:rPr>
        <w:t>of</w:t>
      </w:r>
      <w:r>
        <w:rPr>
          <w:color w:val="231F20"/>
          <w:spacing w:val="-8"/>
          <w:sz w:val="24"/>
        </w:rPr>
        <w:t xml:space="preserve"> </w:t>
      </w:r>
      <w:r>
        <w:rPr>
          <w:color w:val="231F20"/>
          <w:sz w:val="24"/>
        </w:rPr>
        <w:t>ADTV</w:t>
      </w:r>
      <w:r>
        <w:rPr>
          <w:color w:val="231F20"/>
          <w:spacing w:val="-9"/>
          <w:sz w:val="24"/>
        </w:rPr>
        <w:t xml:space="preserve"> </w:t>
      </w:r>
      <w:r>
        <w:rPr>
          <w:color w:val="231F20"/>
          <w:sz w:val="24"/>
        </w:rPr>
        <w:t>at</w:t>
      </w:r>
      <w:r>
        <w:rPr>
          <w:color w:val="231F20"/>
          <w:spacing w:val="-8"/>
          <w:sz w:val="24"/>
        </w:rPr>
        <w:t xml:space="preserve"> </w:t>
      </w:r>
      <w:r>
        <w:rPr>
          <w:color w:val="231F20"/>
          <w:sz w:val="24"/>
        </w:rPr>
        <w:t>key</w:t>
      </w:r>
      <w:r>
        <w:rPr>
          <w:color w:val="231F20"/>
          <w:spacing w:val="-9"/>
          <w:sz w:val="24"/>
        </w:rPr>
        <w:t xml:space="preserve"> </w:t>
      </w:r>
      <w:r>
        <w:rPr>
          <w:color w:val="231F20"/>
          <w:sz w:val="24"/>
        </w:rPr>
        <w:t>regional</w:t>
      </w:r>
      <w:r>
        <w:rPr>
          <w:color w:val="231F20"/>
          <w:spacing w:val="-8"/>
          <w:sz w:val="24"/>
        </w:rPr>
        <w:t xml:space="preserve"> </w:t>
      </w:r>
      <w:r>
        <w:rPr>
          <w:color w:val="231F20"/>
          <w:spacing w:val="-2"/>
          <w:sz w:val="24"/>
        </w:rPr>
        <w:t>locations.</w:t>
      </w:r>
    </w:p>
    <w:p w14:paraId="2656097F" w14:textId="77777777" w:rsidR="00345EE3" w:rsidRDefault="00345EE3">
      <w:pPr>
        <w:pStyle w:val="ListParagraph"/>
        <w:numPr>
          <w:ilvl w:val="1"/>
          <w:numId w:val="93"/>
        </w:numPr>
        <w:tabs>
          <w:tab w:val="left" w:pos="393"/>
          <w:tab w:val="left" w:pos="394"/>
        </w:tabs>
        <w:spacing w:before="33"/>
        <w:rPr>
          <w:sz w:val="24"/>
        </w:rPr>
      </w:pPr>
      <w:r>
        <w:rPr>
          <w:color w:val="231F20"/>
          <w:sz w:val="24"/>
        </w:rPr>
        <w:t>Positioning</w:t>
      </w:r>
      <w:r>
        <w:rPr>
          <w:color w:val="231F20"/>
          <w:spacing w:val="-14"/>
          <w:sz w:val="24"/>
        </w:rPr>
        <w:t xml:space="preserve"> </w:t>
      </w:r>
      <w:r>
        <w:rPr>
          <w:color w:val="231F20"/>
          <w:sz w:val="24"/>
        </w:rPr>
        <w:t>pop-up</w:t>
      </w:r>
      <w:r>
        <w:rPr>
          <w:color w:val="231F20"/>
          <w:spacing w:val="-11"/>
          <w:sz w:val="24"/>
        </w:rPr>
        <w:t xml:space="preserve"> </w:t>
      </w:r>
      <w:r>
        <w:rPr>
          <w:color w:val="231F20"/>
          <w:sz w:val="24"/>
        </w:rPr>
        <w:t>Vehicle</w:t>
      </w:r>
      <w:r>
        <w:rPr>
          <w:color w:val="231F20"/>
          <w:spacing w:val="-11"/>
          <w:sz w:val="24"/>
        </w:rPr>
        <w:t xml:space="preserve"> </w:t>
      </w:r>
      <w:r>
        <w:rPr>
          <w:color w:val="231F20"/>
          <w:sz w:val="24"/>
        </w:rPr>
        <w:t>Check</w:t>
      </w:r>
      <w:r>
        <w:rPr>
          <w:color w:val="231F20"/>
          <w:spacing w:val="-10"/>
          <w:sz w:val="24"/>
        </w:rPr>
        <w:t xml:space="preserve"> </w:t>
      </w:r>
      <w:r>
        <w:rPr>
          <w:color w:val="231F20"/>
          <w:sz w:val="24"/>
        </w:rPr>
        <w:t>Points</w:t>
      </w:r>
      <w:r>
        <w:rPr>
          <w:color w:val="231F20"/>
          <w:spacing w:val="-11"/>
          <w:sz w:val="24"/>
        </w:rPr>
        <w:t xml:space="preserve"> </w:t>
      </w:r>
      <w:r>
        <w:rPr>
          <w:color w:val="231F20"/>
          <w:sz w:val="24"/>
        </w:rPr>
        <w:t>in</w:t>
      </w:r>
      <w:r>
        <w:rPr>
          <w:color w:val="231F20"/>
          <w:spacing w:val="-11"/>
          <w:sz w:val="24"/>
        </w:rPr>
        <w:t xml:space="preserve"> </w:t>
      </w:r>
      <w:r>
        <w:rPr>
          <w:color w:val="231F20"/>
          <w:sz w:val="24"/>
        </w:rPr>
        <w:t>various</w:t>
      </w:r>
      <w:r>
        <w:rPr>
          <w:color w:val="231F20"/>
          <w:spacing w:val="-10"/>
          <w:sz w:val="24"/>
        </w:rPr>
        <w:t xml:space="preserve"> </w:t>
      </w:r>
      <w:r>
        <w:rPr>
          <w:color w:val="231F20"/>
          <w:sz w:val="24"/>
        </w:rPr>
        <w:t>key</w:t>
      </w:r>
      <w:r>
        <w:rPr>
          <w:color w:val="231F20"/>
          <w:spacing w:val="-10"/>
          <w:sz w:val="24"/>
        </w:rPr>
        <w:t xml:space="preserve"> </w:t>
      </w:r>
      <w:r>
        <w:rPr>
          <w:color w:val="231F20"/>
          <w:sz w:val="24"/>
        </w:rPr>
        <w:t>regional</w:t>
      </w:r>
      <w:r>
        <w:rPr>
          <w:color w:val="231F20"/>
          <w:spacing w:val="-11"/>
          <w:sz w:val="24"/>
        </w:rPr>
        <w:t xml:space="preserve"> </w:t>
      </w:r>
      <w:r>
        <w:rPr>
          <w:color w:val="231F20"/>
          <w:spacing w:val="-2"/>
          <w:sz w:val="24"/>
        </w:rPr>
        <w:t>locations.</w:t>
      </w:r>
    </w:p>
    <w:p w14:paraId="4DB71B23" w14:textId="77777777" w:rsidR="00345EE3" w:rsidRDefault="00345EE3">
      <w:pPr>
        <w:pStyle w:val="ListParagraph"/>
        <w:numPr>
          <w:ilvl w:val="1"/>
          <w:numId w:val="93"/>
        </w:numPr>
        <w:tabs>
          <w:tab w:val="left" w:pos="393"/>
          <w:tab w:val="left" w:pos="394"/>
        </w:tabs>
        <w:spacing w:before="62"/>
      </w:pPr>
      <w:r w:rsidRPr="00CF52B1">
        <w:rPr>
          <w:color w:val="231F20"/>
          <w:sz w:val="24"/>
        </w:rPr>
        <w:t>Electronic</w:t>
      </w:r>
      <w:r w:rsidRPr="00CF52B1">
        <w:rPr>
          <w:color w:val="231F20"/>
          <w:spacing w:val="-14"/>
          <w:sz w:val="24"/>
        </w:rPr>
        <w:t xml:space="preserve"> </w:t>
      </w:r>
      <w:r w:rsidRPr="00CF52B1">
        <w:rPr>
          <w:color w:val="231F20"/>
          <w:sz w:val="24"/>
        </w:rPr>
        <w:t>variable</w:t>
      </w:r>
      <w:r w:rsidRPr="00CF52B1">
        <w:rPr>
          <w:color w:val="231F20"/>
          <w:spacing w:val="-12"/>
          <w:sz w:val="24"/>
        </w:rPr>
        <w:t xml:space="preserve"> </w:t>
      </w:r>
      <w:r w:rsidRPr="00CF52B1">
        <w:rPr>
          <w:color w:val="231F20"/>
          <w:sz w:val="24"/>
        </w:rPr>
        <w:t>messaging</w:t>
      </w:r>
      <w:r w:rsidRPr="00CF52B1">
        <w:rPr>
          <w:color w:val="231F20"/>
          <w:spacing w:val="-12"/>
          <w:sz w:val="24"/>
        </w:rPr>
        <w:t xml:space="preserve"> </w:t>
      </w:r>
      <w:r w:rsidRPr="00CF52B1">
        <w:rPr>
          <w:color w:val="231F20"/>
          <w:sz w:val="24"/>
        </w:rPr>
        <w:t>boards</w:t>
      </w:r>
      <w:r w:rsidRPr="00CF52B1">
        <w:rPr>
          <w:color w:val="231F20"/>
          <w:spacing w:val="-12"/>
          <w:sz w:val="24"/>
        </w:rPr>
        <w:t xml:space="preserve"> </w:t>
      </w:r>
      <w:r w:rsidRPr="00CF52B1">
        <w:rPr>
          <w:color w:val="231F20"/>
          <w:sz w:val="24"/>
        </w:rPr>
        <w:t>displaying</w:t>
      </w:r>
      <w:r w:rsidRPr="00CF52B1">
        <w:rPr>
          <w:color w:val="231F20"/>
          <w:spacing w:val="-11"/>
          <w:sz w:val="24"/>
        </w:rPr>
        <w:t xml:space="preserve"> </w:t>
      </w:r>
      <w:r w:rsidRPr="00CF52B1">
        <w:rPr>
          <w:color w:val="231F20"/>
          <w:sz w:val="24"/>
        </w:rPr>
        <w:t>roadside</w:t>
      </w:r>
      <w:r w:rsidRPr="00CF52B1">
        <w:rPr>
          <w:color w:val="231F20"/>
          <w:spacing w:val="-12"/>
          <w:sz w:val="24"/>
        </w:rPr>
        <w:t xml:space="preserve"> </w:t>
      </w:r>
      <w:r w:rsidRPr="00CF52B1">
        <w:rPr>
          <w:color w:val="231F20"/>
          <w:sz w:val="24"/>
        </w:rPr>
        <w:t>messaging</w:t>
      </w:r>
      <w:r w:rsidRPr="00CF52B1">
        <w:rPr>
          <w:color w:val="231F20"/>
          <w:spacing w:val="-12"/>
          <w:sz w:val="24"/>
        </w:rPr>
        <w:t xml:space="preserve"> </w:t>
      </w:r>
      <w:r w:rsidRPr="00CF52B1">
        <w:rPr>
          <w:color w:val="231F20"/>
          <w:sz w:val="24"/>
        </w:rPr>
        <w:t>to</w:t>
      </w:r>
      <w:r w:rsidRPr="00CF52B1">
        <w:rPr>
          <w:color w:val="231F20"/>
          <w:spacing w:val="-12"/>
          <w:sz w:val="24"/>
        </w:rPr>
        <w:t xml:space="preserve"> </w:t>
      </w:r>
      <w:r w:rsidRPr="00CF52B1">
        <w:rPr>
          <w:color w:val="231F20"/>
          <w:sz w:val="24"/>
        </w:rPr>
        <w:t>reinforce</w:t>
      </w:r>
      <w:r w:rsidRPr="00CF52B1">
        <w:rPr>
          <w:color w:val="231F20"/>
          <w:spacing w:val="-11"/>
          <w:sz w:val="24"/>
        </w:rPr>
        <w:t xml:space="preserve"> </w:t>
      </w:r>
      <w:r w:rsidRPr="00CF52B1">
        <w:rPr>
          <w:color w:val="231F20"/>
          <w:spacing w:val="-2"/>
          <w:sz w:val="24"/>
        </w:rPr>
        <w:t xml:space="preserve">policing </w:t>
      </w:r>
      <w:r w:rsidRPr="00CF52B1">
        <w:rPr>
          <w:color w:val="231F20"/>
          <w:spacing w:val="-2"/>
        </w:rPr>
        <w:t>efforts.</w:t>
      </w:r>
    </w:p>
    <w:p w14:paraId="0498EAEE" w14:textId="77777777" w:rsidR="00345EE3" w:rsidRPr="00731777" w:rsidRDefault="00345EE3" w:rsidP="00731777">
      <w:pPr>
        <w:pStyle w:val="Heading5"/>
        <w:spacing w:before="174"/>
        <w:ind w:left="0"/>
        <w:rPr>
          <w:color w:val="000000" w:themeColor="text1"/>
        </w:rPr>
      </w:pPr>
      <w:r w:rsidRPr="00731777">
        <w:rPr>
          <w:color w:val="000000" w:themeColor="text1"/>
        </w:rPr>
        <w:t>Operation</w:t>
      </w:r>
      <w:r w:rsidRPr="00731777">
        <w:rPr>
          <w:color w:val="000000" w:themeColor="text1"/>
          <w:spacing w:val="-2"/>
        </w:rPr>
        <w:t xml:space="preserve"> </w:t>
      </w:r>
      <w:r w:rsidRPr="00731777">
        <w:rPr>
          <w:color w:val="000000" w:themeColor="text1"/>
        </w:rPr>
        <w:t>Tidewatch</w:t>
      </w:r>
      <w:r w:rsidRPr="00731777">
        <w:rPr>
          <w:color w:val="000000" w:themeColor="text1"/>
          <w:spacing w:val="-3"/>
        </w:rPr>
        <w:t xml:space="preserve"> </w:t>
      </w:r>
      <w:r w:rsidRPr="00731777">
        <w:rPr>
          <w:color w:val="000000" w:themeColor="text1"/>
        </w:rPr>
        <w:t>and</w:t>
      </w:r>
      <w:r w:rsidRPr="00731777">
        <w:rPr>
          <w:color w:val="000000" w:themeColor="text1"/>
          <w:spacing w:val="-2"/>
        </w:rPr>
        <w:t xml:space="preserve"> </w:t>
      </w:r>
      <w:r w:rsidRPr="00731777">
        <w:rPr>
          <w:color w:val="000000" w:themeColor="text1"/>
        </w:rPr>
        <w:t>the</w:t>
      </w:r>
      <w:r w:rsidRPr="00731777">
        <w:rPr>
          <w:color w:val="000000" w:themeColor="text1"/>
          <w:spacing w:val="-2"/>
        </w:rPr>
        <w:t xml:space="preserve"> </w:t>
      </w:r>
      <w:r w:rsidRPr="00731777">
        <w:rPr>
          <w:color w:val="000000" w:themeColor="text1"/>
        </w:rPr>
        <w:t>Victorian</w:t>
      </w:r>
      <w:r w:rsidRPr="00731777">
        <w:rPr>
          <w:color w:val="000000" w:themeColor="text1"/>
          <w:spacing w:val="-2"/>
        </w:rPr>
        <w:t xml:space="preserve"> </w:t>
      </w:r>
      <w:r w:rsidRPr="00731777">
        <w:rPr>
          <w:color w:val="000000" w:themeColor="text1"/>
        </w:rPr>
        <w:t>Quarantine</w:t>
      </w:r>
      <w:r w:rsidRPr="00731777">
        <w:rPr>
          <w:color w:val="000000" w:themeColor="text1"/>
          <w:spacing w:val="-2"/>
        </w:rPr>
        <w:t xml:space="preserve"> </w:t>
      </w:r>
      <w:r w:rsidRPr="00731777">
        <w:rPr>
          <w:color w:val="000000" w:themeColor="text1"/>
          <w:spacing w:val="-5"/>
        </w:rPr>
        <w:t>Hub</w:t>
      </w:r>
    </w:p>
    <w:p w14:paraId="79795E6F" w14:textId="77777777" w:rsidR="00345EE3" w:rsidRDefault="00345EE3" w:rsidP="00345EE3">
      <w:pPr>
        <w:pStyle w:val="BodyText"/>
        <w:spacing w:before="4" w:line="242" w:lineRule="auto"/>
        <w:ind w:right="848"/>
      </w:pPr>
      <w:r>
        <w:rPr>
          <w:color w:val="231F20"/>
        </w:rPr>
        <w:t>Operation</w:t>
      </w:r>
      <w:r>
        <w:rPr>
          <w:color w:val="231F20"/>
          <w:spacing w:val="-12"/>
        </w:rPr>
        <w:t xml:space="preserve"> </w:t>
      </w:r>
      <w:r>
        <w:rPr>
          <w:color w:val="231F20"/>
        </w:rPr>
        <w:t>Tidewatch</w:t>
      </w:r>
      <w:r>
        <w:rPr>
          <w:color w:val="231F20"/>
          <w:spacing w:val="-12"/>
        </w:rPr>
        <w:t xml:space="preserve"> </w:t>
      </w:r>
      <w:r>
        <w:rPr>
          <w:color w:val="231F20"/>
        </w:rPr>
        <w:t>continued</w:t>
      </w:r>
      <w:r>
        <w:rPr>
          <w:color w:val="231F20"/>
          <w:spacing w:val="-12"/>
        </w:rPr>
        <w:t xml:space="preserve"> </w:t>
      </w:r>
      <w:r>
        <w:rPr>
          <w:color w:val="231F20"/>
        </w:rPr>
        <w:t>to</w:t>
      </w:r>
      <w:r>
        <w:rPr>
          <w:color w:val="231F20"/>
          <w:spacing w:val="-12"/>
        </w:rPr>
        <w:t xml:space="preserve"> </w:t>
      </w:r>
      <w:r>
        <w:rPr>
          <w:color w:val="231F20"/>
        </w:rPr>
        <w:t>support</w:t>
      </w:r>
      <w:r>
        <w:rPr>
          <w:color w:val="231F20"/>
          <w:spacing w:val="-12"/>
        </w:rPr>
        <w:t xml:space="preserve"> </w:t>
      </w:r>
      <w:r>
        <w:rPr>
          <w:color w:val="231F20"/>
        </w:rPr>
        <w:t>the</w:t>
      </w:r>
      <w:r>
        <w:rPr>
          <w:color w:val="231F20"/>
          <w:spacing w:val="-12"/>
        </w:rPr>
        <w:t xml:space="preserve"> </w:t>
      </w:r>
      <w:r>
        <w:rPr>
          <w:color w:val="231F20"/>
        </w:rPr>
        <w:t>Victorian</w:t>
      </w:r>
      <w:r>
        <w:rPr>
          <w:color w:val="231F20"/>
          <w:spacing w:val="-12"/>
        </w:rPr>
        <w:t xml:space="preserve"> </w:t>
      </w:r>
      <w:r>
        <w:rPr>
          <w:color w:val="231F20"/>
        </w:rPr>
        <w:t>Quarantine</w:t>
      </w:r>
      <w:r>
        <w:rPr>
          <w:color w:val="231F20"/>
          <w:spacing w:val="-12"/>
        </w:rPr>
        <w:t xml:space="preserve"> </w:t>
      </w:r>
      <w:r>
        <w:rPr>
          <w:color w:val="231F20"/>
        </w:rPr>
        <w:t>Hub</w:t>
      </w:r>
      <w:r>
        <w:rPr>
          <w:color w:val="231F20"/>
          <w:spacing w:val="-12"/>
        </w:rPr>
        <w:t xml:space="preserve"> </w:t>
      </w:r>
      <w:r>
        <w:rPr>
          <w:color w:val="231F20"/>
        </w:rPr>
        <w:t>with</w:t>
      </w:r>
      <w:r>
        <w:rPr>
          <w:color w:val="231F20"/>
          <w:spacing w:val="-12"/>
        </w:rPr>
        <w:t xml:space="preserve"> </w:t>
      </w:r>
      <w:r>
        <w:rPr>
          <w:color w:val="231F20"/>
        </w:rPr>
        <w:t>COVID-19</w:t>
      </w:r>
      <w:r>
        <w:rPr>
          <w:color w:val="231F20"/>
          <w:spacing w:val="-12"/>
        </w:rPr>
        <w:t xml:space="preserve"> </w:t>
      </w:r>
      <w:r>
        <w:rPr>
          <w:color w:val="231F20"/>
        </w:rPr>
        <w:t>activities in</w:t>
      </w:r>
      <w:r>
        <w:rPr>
          <w:color w:val="231F20"/>
          <w:spacing w:val="-5"/>
        </w:rPr>
        <w:t xml:space="preserve"> </w:t>
      </w:r>
      <w:r>
        <w:rPr>
          <w:color w:val="231F20"/>
        </w:rPr>
        <w:t>relation</w:t>
      </w:r>
      <w:r>
        <w:rPr>
          <w:color w:val="231F20"/>
          <w:spacing w:val="-5"/>
        </w:rPr>
        <w:t xml:space="preserve"> </w:t>
      </w:r>
      <w:r>
        <w:rPr>
          <w:color w:val="231F20"/>
        </w:rPr>
        <w:t>to</w:t>
      </w:r>
      <w:r>
        <w:rPr>
          <w:color w:val="231F20"/>
          <w:spacing w:val="-5"/>
        </w:rPr>
        <w:t xml:space="preserve"> </w:t>
      </w:r>
      <w:r>
        <w:rPr>
          <w:color w:val="231F20"/>
        </w:rPr>
        <w:t>returning</w:t>
      </w:r>
      <w:r>
        <w:rPr>
          <w:color w:val="231F20"/>
          <w:spacing w:val="-5"/>
        </w:rPr>
        <w:t xml:space="preserve"> </w:t>
      </w:r>
      <w:r>
        <w:rPr>
          <w:color w:val="231F20"/>
        </w:rPr>
        <w:t>travellers</w:t>
      </w:r>
      <w:r>
        <w:rPr>
          <w:color w:val="231F20"/>
          <w:spacing w:val="-4"/>
        </w:rPr>
        <w:t xml:space="preserve"> </w:t>
      </w:r>
      <w:r>
        <w:rPr>
          <w:color w:val="231F20"/>
        </w:rPr>
        <w:t>and</w:t>
      </w:r>
      <w:r>
        <w:rPr>
          <w:color w:val="231F20"/>
          <w:spacing w:val="-5"/>
        </w:rPr>
        <w:t xml:space="preserve"> </w:t>
      </w:r>
      <w:r>
        <w:rPr>
          <w:color w:val="231F20"/>
        </w:rPr>
        <w:t>hotel</w:t>
      </w:r>
      <w:r>
        <w:rPr>
          <w:color w:val="231F20"/>
          <w:spacing w:val="-5"/>
        </w:rPr>
        <w:t xml:space="preserve"> </w:t>
      </w:r>
      <w:r>
        <w:rPr>
          <w:color w:val="231F20"/>
        </w:rPr>
        <w:t>security.</w:t>
      </w:r>
      <w:r>
        <w:rPr>
          <w:color w:val="231F20"/>
          <w:spacing w:val="-4"/>
        </w:rPr>
        <w:t xml:space="preserve"> </w:t>
      </w:r>
      <w:r>
        <w:rPr>
          <w:color w:val="231F20"/>
        </w:rPr>
        <w:t>In</w:t>
      </w:r>
      <w:r>
        <w:rPr>
          <w:color w:val="231F20"/>
          <w:spacing w:val="-5"/>
        </w:rPr>
        <w:t xml:space="preserve"> </w:t>
      </w:r>
      <w:r>
        <w:rPr>
          <w:color w:val="231F20"/>
        </w:rPr>
        <w:t>February</w:t>
      </w:r>
      <w:r>
        <w:rPr>
          <w:color w:val="231F20"/>
          <w:spacing w:val="-4"/>
        </w:rPr>
        <w:t xml:space="preserve"> </w:t>
      </w:r>
      <w:r>
        <w:rPr>
          <w:color w:val="231F20"/>
        </w:rPr>
        <w:t>2022,</w:t>
      </w:r>
      <w:r>
        <w:rPr>
          <w:color w:val="231F20"/>
          <w:spacing w:val="-4"/>
        </w:rPr>
        <w:t xml:space="preserve"> </w:t>
      </w:r>
      <w:r>
        <w:rPr>
          <w:color w:val="231F20"/>
        </w:rPr>
        <w:t>Victoria</w:t>
      </w:r>
      <w:r>
        <w:rPr>
          <w:color w:val="231F20"/>
          <w:spacing w:val="-5"/>
        </w:rPr>
        <w:t xml:space="preserve"> </w:t>
      </w:r>
      <w:r>
        <w:rPr>
          <w:color w:val="231F20"/>
        </w:rPr>
        <w:t>Police</w:t>
      </w:r>
      <w:r>
        <w:rPr>
          <w:color w:val="231F20"/>
          <w:spacing w:val="-5"/>
        </w:rPr>
        <w:t xml:space="preserve"> </w:t>
      </w:r>
      <w:r>
        <w:rPr>
          <w:color w:val="231F20"/>
        </w:rPr>
        <w:t>established a police presence at the Quarantine Hub in Mickleham. With changes to Pandemic Orders and associated quarantine requirements, Operation Tidewatch ceased as a dedicated operation</w:t>
      </w:r>
    </w:p>
    <w:p w14:paraId="4028CE72" w14:textId="77777777" w:rsidR="00345EE3" w:rsidRDefault="00345EE3" w:rsidP="00345EE3">
      <w:pPr>
        <w:pStyle w:val="BodyText"/>
        <w:spacing w:before="6" w:line="242" w:lineRule="auto"/>
        <w:ind w:right="999"/>
        <w:jc w:val="both"/>
      </w:pPr>
      <w:r>
        <w:rPr>
          <w:color w:val="231F20"/>
        </w:rPr>
        <w:t>and</w:t>
      </w:r>
      <w:r>
        <w:rPr>
          <w:color w:val="231F20"/>
          <w:spacing w:val="-6"/>
        </w:rPr>
        <w:t xml:space="preserve"> </w:t>
      </w:r>
      <w:r>
        <w:rPr>
          <w:color w:val="231F20"/>
        </w:rPr>
        <w:t>all</w:t>
      </w:r>
      <w:r>
        <w:rPr>
          <w:color w:val="231F20"/>
          <w:spacing w:val="-6"/>
        </w:rPr>
        <w:t xml:space="preserve"> </w:t>
      </w:r>
      <w:r>
        <w:rPr>
          <w:color w:val="231F20"/>
        </w:rPr>
        <w:t>functions</w:t>
      </w:r>
      <w:r>
        <w:rPr>
          <w:color w:val="231F20"/>
          <w:spacing w:val="-5"/>
        </w:rPr>
        <w:t xml:space="preserve"> </w:t>
      </w:r>
      <w:r>
        <w:rPr>
          <w:color w:val="231F20"/>
        </w:rPr>
        <w:t>transferred</w:t>
      </w:r>
      <w:r>
        <w:rPr>
          <w:color w:val="231F20"/>
          <w:spacing w:val="-6"/>
        </w:rPr>
        <w:t xml:space="preserve"> </w:t>
      </w:r>
      <w:r>
        <w:rPr>
          <w:color w:val="231F20"/>
        </w:rPr>
        <w:t>to</w:t>
      </w:r>
      <w:r>
        <w:rPr>
          <w:color w:val="231F20"/>
          <w:spacing w:val="-6"/>
        </w:rPr>
        <w:t xml:space="preserve"> </w:t>
      </w:r>
      <w:r>
        <w:rPr>
          <w:color w:val="231F20"/>
        </w:rPr>
        <w:t>CRC</w:t>
      </w:r>
      <w:r>
        <w:rPr>
          <w:color w:val="231F20"/>
          <w:spacing w:val="-6"/>
        </w:rPr>
        <w:t xml:space="preserve"> </w:t>
      </w:r>
      <w:r>
        <w:rPr>
          <w:color w:val="231F20"/>
        </w:rPr>
        <w:t>on</w:t>
      </w:r>
      <w:r>
        <w:rPr>
          <w:color w:val="231F20"/>
          <w:spacing w:val="-6"/>
        </w:rPr>
        <w:t xml:space="preserve"> </w:t>
      </w:r>
      <w:r>
        <w:rPr>
          <w:color w:val="231F20"/>
        </w:rPr>
        <w:t>30</w:t>
      </w:r>
      <w:r>
        <w:rPr>
          <w:color w:val="231F20"/>
          <w:spacing w:val="-6"/>
        </w:rPr>
        <w:t xml:space="preserve"> </w:t>
      </w:r>
      <w:r>
        <w:rPr>
          <w:color w:val="231F20"/>
        </w:rPr>
        <w:t>April</w:t>
      </w:r>
      <w:r>
        <w:rPr>
          <w:color w:val="231F20"/>
          <w:spacing w:val="-6"/>
        </w:rPr>
        <w:t xml:space="preserve"> </w:t>
      </w:r>
      <w:r>
        <w:rPr>
          <w:color w:val="231F20"/>
        </w:rPr>
        <w:t>2022.</w:t>
      </w:r>
      <w:r>
        <w:rPr>
          <w:color w:val="231F20"/>
          <w:spacing w:val="-5"/>
        </w:rPr>
        <w:t xml:space="preserve"> </w:t>
      </w:r>
      <w:r>
        <w:rPr>
          <w:color w:val="231F20"/>
        </w:rPr>
        <w:t>Subsequently,</w:t>
      </w:r>
      <w:r>
        <w:rPr>
          <w:color w:val="231F20"/>
          <w:spacing w:val="-5"/>
        </w:rPr>
        <w:t xml:space="preserve"> </w:t>
      </w:r>
      <w:r>
        <w:rPr>
          <w:color w:val="231F20"/>
        </w:rPr>
        <w:t>the</w:t>
      </w:r>
      <w:r>
        <w:rPr>
          <w:color w:val="231F20"/>
          <w:spacing w:val="-6"/>
        </w:rPr>
        <w:t xml:space="preserve"> </w:t>
      </w:r>
      <w:r>
        <w:rPr>
          <w:color w:val="231F20"/>
        </w:rPr>
        <w:t>police</w:t>
      </w:r>
      <w:r>
        <w:rPr>
          <w:color w:val="231F20"/>
          <w:spacing w:val="-6"/>
        </w:rPr>
        <w:t xml:space="preserve"> </w:t>
      </w:r>
      <w:r>
        <w:rPr>
          <w:color w:val="231F20"/>
        </w:rPr>
        <w:t>presence</w:t>
      </w:r>
      <w:r>
        <w:rPr>
          <w:color w:val="231F20"/>
          <w:spacing w:val="-6"/>
        </w:rPr>
        <w:t xml:space="preserve"> </w:t>
      </w:r>
      <w:r>
        <w:rPr>
          <w:color w:val="231F20"/>
        </w:rPr>
        <w:t>at</w:t>
      </w:r>
      <w:r>
        <w:rPr>
          <w:color w:val="231F20"/>
          <w:spacing w:val="-5"/>
        </w:rPr>
        <w:t xml:space="preserve"> </w:t>
      </w:r>
      <w:r>
        <w:rPr>
          <w:color w:val="231F20"/>
        </w:rPr>
        <w:t>the Victorian</w:t>
      </w:r>
      <w:r>
        <w:rPr>
          <w:color w:val="231F20"/>
          <w:spacing w:val="-11"/>
        </w:rPr>
        <w:t xml:space="preserve"> </w:t>
      </w:r>
      <w:r>
        <w:rPr>
          <w:color w:val="231F20"/>
        </w:rPr>
        <w:t>Quarantine</w:t>
      </w:r>
      <w:r>
        <w:rPr>
          <w:color w:val="231F20"/>
          <w:spacing w:val="-11"/>
        </w:rPr>
        <w:t xml:space="preserve"> </w:t>
      </w:r>
      <w:r>
        <w:rPr>
          <w:color w:val="231F20"/>
        </w:rPr>
        <w:t>Hub</w:t>
      </w:r>
      <w:r>
        <w:rPr>
          <w:color w:val="231F20"/>
          <w:spacing w:val="-11"/>
        </w:rPr>
        <w:t xml:space="preserve"> </w:t>
      </w:r>
      <w:r>
        <w:rPr>
          <w:color w:val="231F20"/>
        </w:rPr>
        <w:t>was</w:t>
      </w:r>
      <w:r>
        <w:rPr>
          <w:color w:val="231F20"/>
          <w:spacing w:val="-10"/>
        </w:rPr>
        <w:t xml:space="preserve"> </w:t>
      </w:r>
      <w:r>
        <w:rPr>
          <w:color w:val="231F20"/>
        </w:rPr>
        <w:t>discontinued</w:t>
      </w:r>
      <w:r>
        <w:rPr>
          <w:color w:val="231F20"/>
          <w:spacing w:val="-11"/>
        </w:rPr>
        <w:t xml:space="preserve"> </w:t>
      </w:r>
      <w:r>
        <w:rPr>
          <w:color w:val="231F20"/>
        </w:rPr>
        <w:t>on</w:t>
      </w:r>
      <w:r>
        <w:rPr>
          <w:color w:val="231F20"/>
          <w:spacing w:val="-11"/>
        </w:rPr>
        <w:t xml:space="preserve"> </w:t>
      </w:r>
      <w:r>
        <w:rPr>
          <w:color w:val="231F20"/>
        </w:rPr>
        <w:t>14</w:t>
      </w:r>
      <w:r>
        <w:rPr>
          <w:color w:val="231F20"/>
          <w:spacing w:val="-11"/>
        </w:rPr>
        <w:t xml:space="preserve"> </w:t>
      </w:r>
      <w:r>
        <w:rPr>
          <w:color w:val="231F20"/>
        </w:rPr>
        <w:t>May</w:t>
      </w:r>
      <w:r>
        <w:rPr>
          <w:color w:val="231F20"/>
          <w:spacing w:val="-10"/>
        </w:rPr>
        <w:t xml:space="preserve"> </w:t>
      </w:r>
      <w:r>
        <w:rPr>
          <w:color w:val="231F20"/>
        </w:rPr>
        <w:t>2022,</w:t>
      </w:r>
      <w:r>
        <w:rPr>
          <w:color w:val="231F20"/>
          <w:spacing w:val="-10"/>
        </w:rPr>
        <w:t xml:space="preserve"> </w:t>
      </w:r>
      <w:r>
        <w:rPr>
          <w:color w:val="231F20"/>
        </w:rPr>
        <w:t>with</w:t>
      </w:r>
      <w:r>
        <w:rPr>
          <w:color w:val="231F20"/>
          <w:spacing w:val="-11"/>
        </w:rPr>
        <w:t xml:space="preserve"> </w:t>
      </w:r>
      <w:r>
        <w:rPr>
          <w:color w:val="231F20"/>
        </w:rPr>
        <w:t>responsibility</w:t>
      </w:r>
      <w:r>
        <w:rPr>
          <w:color w:val="231F20"/>
          <w:spacing w:val="-10"/>
        </w:rPr>
        <w:t xml:space="preserve"> </w:t>
      </w:r>
      <w:r>
        <w:rPr>
          <w:color w:val="231F20"/>
        </w:rPr>
        <w:t>for</w:t>
      </w:r>
      <w:r>
        <w:rPr>
          <w:color w:val="231F20"/>
          <w:spacing w:val="-10"/>
        </w:rPr>
        <w:t xml:space="preserve"> </w:t>
      </w:r>
      <w:r>
        <w:rPr>
          <w:color w:val="231F20"/>
        </w:rPr>
        <w:t>any</w:t>
      </w:r>
      <w:r>
        <w:rPr>
          <w:color w:val="231F20"/>
          <w:spacing w:val="-10"/>
        </w:rPr>
        <w:t xml:space="preserve"> </w:t>
      </w:r>
      <w:r>
        <w:rPr>
          <w:color w:val="231F20"/>
        </w:rPr>
        <w:t>required police response to be handled by NWMR.</w:t>
      </w:r>
    </w:p>
    <w:p w14:paraId="7884CAA5" w14:textId="77777777" w:rsidR="00345EE3" w:rsidRPr="00731777" w:rsidRDefault="00345EE3" w:rsidP="00731777">
      <w:pPr>
        <w:pStyle w:val="Heading5"/>
        <w:spacing w:before="174"/>
        <w:ind w:left="0"/>
        <w:rPr>
          <w:color w:val="000000" w:themeColor="text1"/>
        </w:rPr>
      </w:pPr>
      <w:r w:rsidRPr="00731777">
        <w:rPr>
          <w:color w:val="000000" w:themeColor="text1"/>
        </w:rPr>
        <w:t xml:space="preserve">Protest </w:t>
      </w:r>
      <w:r w:rsidRPr="00731777">
        <w:rPr>
          <w:color w:val="000000" w:themeColor="text1"/>
          <w:spacing w:val="-2"/>
        </w:rPr>
        <w:t>response</w:t>
      </w:r>
    </w:p>
    <w:p w14:paraId="195F16FA" w14:textId="77777777" w:rsidR="00345EE3" w:rsidRDefault="00345EE3" w:rsidP="00345EE3">
      <w:pPr>
        <w:pStyle w:val="BodyText"/>
        <w:spacing w:before="4" w:line="242" w:lineRule="auto"/>
        <w:ind w:right="995"/>
      </w:pPr>
      <w:r>
        <w:rPr>
          <w:color w:val="231F20"/>
        </w:rPr>
        <w:t>Continued restrictions under CHO directions and Pandemic Orders saw the emergence of issue</w:t>
      </w:r>
      <w:r>
        <w:rPr>
          <w:color w:val="231F20"/>
          <w:spacing w:val="-12"/>
        </w:rPr>
        <w:t xml:space="preserve"> </w:t>
      </w:r>
      <w:r>
        <w:rPr>
          <w:color w:val="231F20"/>
        </w:rPr>
        <w:t>motivated</w:t>
      </w:r>
      <w:r>
        <w:rPr>
          <w:color w:val="231F20"/>
          <w:spacing w:val="-12"/>
        </w:rPr>
        <w:t xml:space="preserve"> </w:t>
      </w:r>
      <w:r>
        <w:rPr>
          <w:color w:val="231F20"/>
        </w:rPr>
        <w:t>groups</w:t>
      </w:r>
      <w:r>
        <w:rPr>
          <w:color w:val="231F20"/>
          <w:spacing w:val="-12"/>
        </w:rPr>
        <w:t xml:space="preserve"> </w:t>
      </w:r>
      <w:r>
        <w:rPr>
          <w:color w:val="231F20"/>
        </w:rPr>
        <w:t>and</w:t>
      </w:r>
      <w:r>
        <w:rPr>
          <w:color w:val="231F20"/>
          <w:spacing w:val="-12"/>
        </w:rPr>
        <w:t xml:space="preserve"> </w:t>
      </w:r>
      <w:r>
        <w:rPr>
          <w:color w:val="231F20"/>
        </w:rPr>
        <w:t>other</w:t>
      </w:r>
      <w:r>
        <w:rPr>
          <w:color w:val="231F20"/>
          <w:spacing w:val="-12"/>
        </w:rPr>
        <w:t xml:space="preserve"> </w:t>
      </w:r>
      <w:r>
        <w:rPr>
          <w:color w:val="231F20"/>
        </w:rPr>
        <w:t>community</w:t>
      </w:r>
      <w:r>
        <w:rPr>
          <w:color w:val="231F20"/>
          <w:spacing w:val="-12"/>
        </w:rPr>
        <w:t xml:space="preserve"> </w:t>
      </w:r>
      <w:r>
        <w:rPr>
          <w:color w:val="231F20"/>
        </w:rPr>
        <w:t>members</w:t>
      </w:r>
      <w:r>
        <w:rPr>
          <w:color w:val="231F20"/>
          <w:spacing w:val="-12"/>
        </w:rPr>
        <w:t xml:space="preserve"> </w:t>
      </w:r>
      <w:r>
        <w:rPr>
          <w:color w:val="231F20"/>
        </w:rPr>
        <w:t>gathering</w:t>
      </w:r>
      <w:r>
        <w:rPr>
          <w:color w:val="231F20"/>
          <w:spacing w:val="-12"/>
        </w:rPr>
        <w:t xml:space="preserve"> </w:t>
      </w:r>
      <w:r>
        <w:rPr>
          <w:color w:val="231F20"/>
        </w:rPr>
        <w:t>to</w:t>
      </w:r>
      <w:r>
        <w:rPr>
          <w:color w:val="231F20"/>
          <w:spacing w:val="-12"/>
        </w:rPr>
        <w:t xml:space="preserve"> </w:t>
      </w:r>
      <w:r>
        <w:rPr>
          <w:color w:val="231F20"/>
        </w:rPr>
        <w:t>display</w:t>
      </w:r>
      <w:r>
        <w:rPr>
          <w:color w:val="231F20"/>
          <w:spacing w:val="-12"/>
        </w:rPr>
        <w:t xml:space="preserve"> </w:t>
      </w:r>
      <w:r>
        <w:rPr>
          <w:color w:val="231F20"/>
        </w:rPr>
        <w:t>dissatisfaction</w:t>
      </w:r>
      <w:r>
        <w:rPr>
          <w:color w:val="231F20"/>
          <w:spacing w:val="-12"/>
        </w:rPr>
        <w:t xml:space="preserve"> </w:t>
      </w:r>
      <w:r>
        <w:rPr>
          <w:color w:val="231F20"/>
        </w:rPr>
        <w:t>with the restrictions, including constrained freedom of movement, mask wearing and vaccination mandates. As a result, a number of large protests and public order incidents occurred, particularly in the second half of 2021.</w:t>
      </w:r>
    </w:p>
    <w:p w14:paraId="7001322F" w14:textId="77777777" w:rsidR="00345EE3" w:rsidRDefault="00345EE3" w:rsidP="00345EE3">
      <w:pPr>
        <w:pStyle w:val="BodyText"/>
        <w:spacing w:before="120" w:line="242" w:lineRule="auto"/>
        <w:ind w:right="921"/>
      </w:pPr>
      <w:r>
        <w:rPr>
          <w:color w:val="231F20"/>
        </w:rPr>
        <w:t>Amendments</w:t>
      </w:r>
      <w:r>
        <w:rPr>
          <w:color w:val="231F20"/>
          <w:spacing w:val="-3"/>
        </w:rPr>
        <w:t xml:space="preserve"> </w:t>
      </w:r>
      <w:r>
        <w:rPr>
          <w:color w:val="231F20"/>
        </w:rPr>
        <w:t>to</w:t>
      </w:r>
      <w:r>
        <w:rPr>
          <w:color w:val="231F20"/>
          <w:spacing w:val="-4"/>
        </w:rPr>
        <w:t xml:space="preserve"> </w:t>
      </w:r>
      <w:r>
        <w:rPr>
          <w:color w:val="231F20"/>
        </w:rPr>
        <w:t>the</w:t>
      </w:r>
      <w:r>
        <w:rPr>
          <w:color w:val="231F20"/>
          <w:spacing w:val="-4"/>
        </w:rPr>
        <w:t xml:space="preserve"> </w:t>
      </w:r>
      <w:r>
        <w:rPr>
          <w:i/>
          <w:color w:val="231F20"/>
        </w:rPr>
        <w:t>Public</w:t>
      </w:r>
      <w:r>
        <w:rPr>
          <w:i/>
          <w:color w:val="231F20"/>
          <w:spacing w:val="-12"/>
        </w:rPr>
        <w:t xml:space="preserve"> </w:t>
      </w:r>
      <w:r>
        <w:rPr>
          <w:i/>
          <w:color w:val="231F20"/>
        </w:rPr>
        <w:t>Health</w:t>
      </w:r>
      <w:r>
        <w:rPr>
          <w:i/>
          <w:color w:val="231F20"/>
          <w:spacing w:val="-12"/>
        </w:rPr>
        <w:t xml:space="preserve"> </w:t>
      </w:r>
      <w:r>
        <w:rPr>
          <w:i/>
          <w:color w:val="231F20"/>
        </w:rPr>
        <w:t>and</w:t>
      </w:r>
      <w:r>
        <w:rPr>
          <w:i/>
          <w:color w:val="231F20"/>
          <w:spacing w:val="-12"/>
        </w:rPr>
        <w:t xml:space="preserve"> </w:t>
      </w:r>
      <w:r>
        <w:rPr>
          <w:i/>
          <w:color w:val="231F20"/>
        </w:rPr>
        <w:t>Wellbeing</w:t>
      </w:r>
      <w:r>
        <w:rPr>
          <w:i/>
          <w:color w:val="231F20"/>
          <w:spacing w:val="-12"/>
        </w:rPr>
        <w:t xml:space="preserve"> </w:t>
      </w:r>
      <w:r>
        <w:rPr>
          <w:i/>
          <w:color w:val="231F20"/>
        </w:rPr>
        <w:t>Act</w:t>
      </w:r>
      <w:r>
        <w:rPr>
          <w:i/>
          <w:color w:val="231F20"/>
          <w:spacing w:val="-12"/>
        </w:rPr>
        <w:t xml:space="preserve"> </w:t>
      </w:r>
      <w:r>
        <w:rPr>
          <w:color w:val="231F20"/>
        </w:rPr>
        <w:t>2008</w:t>
      </w:r>
      <w:r>
        <w:rPr>
          <w:color w:val="231F20"/>
          <w:spacing w:val="-4"/>
        </w:rPr>
        <w:t xml:space="preserve"> </w:t>
      </w:r>
      <w:r>
        <w:rPr>
          <w:color w:val="231F20"/>
        </w:rPr>
        <w:t>to</w:t>
      </w:r>
      <w:r>
        <w:rPr>
          <w:color w:val="231F20"/>
          <w:spacing w:val="-4"/>
        </w:rPr>
        <w:t xml:space="preserve"> </w:t>
      </w:r>
      <w:r>
        <w:rPr>
          <w:color w:val="231F20"/>
        </w:rPr>
        <w:t>specifically</w:t>
      </w:r>
      <w:r>
        <w:rPr>
          <w:color w:val="231F20"/>
          <w:spacing w:val="-3"/>
        </w:rPr>
        <w:t xml:space="preserve"> </w:t>
      </w:r>
      <w:r>
        <w:rPr>
          <w:color w:val="231F20"/>
        </w:rPr>
        <w:t>address</w:t>
      </w:r>
      <w:r>
        <w:rPr>
          <w:color w:val="231F20"/>
          <w:spacing w:val="-3"/>
        </w:rPr>
        <w:t xml:space="preserve"> </w:t>
      </w:r>
      <w:r>
        <w:rPr>
          <w:color w:val="231F20"/>
        </w:rPr>
        <w:t>pandemic management were developed in 2021 and commenced on 7 December 2021. This led to ongoing protest activity in the Melbourne central business district and in other metropolitan divisions. Operation Watch was established between November 2021 and January 2022 to provide</w:t>
      </w:r>
      <w:r>
        <w:rPr>
          <w:color w:val="231F20"/>
          <w:spacing w:val="-8"/>
        </w:rPr>
        <w:t xml:space="preserve"> </w:t>
      </w:r>
      <w:r>
        <w:rPr>
          <w:color w:val="231F20"/>
        </w:rPr>
        <w:t>a</w:t>
      </w:r>
      <w:r>
        <w:rPr>
          <w:color w:val="231F20"/>
          <w:spacing w:val="-8"/>
        </w:rPr>
        <w:t xml:space="preserve"> </w:t>
      </w:r>
      <w:r>
        <w:rPr>
          <w:color w:val="231F20"/>
        </w:rPr>
        <w:t>coordinated,</w:t>
      </w:r>
      <w:r>
        <w:rPr>
          <w:color w:val="231F20"/>
          <w:spacing w:val="-7"/>
        </w:rPr>
        <w:t xml:space="preserve"> </w:t>
      </w:r>
      <w:r>
        <w:rPr>
          <w:color w:val="231F20"/>
        </w:rPr>
        <w:t>flexible</w:t>
      </w:r>
      <w:r>
        <w:rPr>
          <w:color w:val="231F20"/>
          <w:spacing w:val="-8"/>
        </w:rPr>
        <w:t xml:space="preserve"> </w:t>
      </w:r>
      <w:r>
        <w:rPr>
          <w:color w:val="231F20"/>
        </w:rPr>
        <w:t>and</w:t>
      </w:r>
      <w:r>
        <w:rPr>
          <w:color w:val="231F20"/>
          <w:spacing w:val="-8"/>
        </w:rPr>
        <w:t xml:space="preserve"> </w:t>
      </w:r>
      <w:r>
        <w:rPr>
          <w:color w:val="231F20"/>
        </w:rPr>
        <w:t>agile</w:t>
      </w:r>
      <w:r>
        <w:rPr>
          <w:color w:val="231F20"/>
          <w:spacing w:val="-8"/>
        </w:rPr>
        <w:t xml:space="preserve"> </w:t>
      </w:r>
      <w:r>
        <w:rPr>
          <w:color w:val="231F20"/>
        </w:rPr>
        <w:t>response</w:t>
      </w:r>
      <w:r>
        <w:rPr>
          <w:color w:val="231F20"/>
          <w:spacing w:val="-8"/>
        </w:rPr>
        <w:t xml:space="preserve"> </w:t>
      </w:r>
      <w:r>
        <w:rPr>
          <w:color w:val="231F20"/>
        </w:rPr>
        <w:t>while</w:t>
      </w:r>
      <w:r>
        <w:rPr>
          <w:color w:val="231F20"/>
          <w:spacing w:val="-8"/>
        </w:rPr>
        <w:t xml:space="preserve"> </w:t>
      </w:r>
      <w:r>
        <w:rPr>
          <w:color w:val="231F20"/>
        </w:rPr>
        <w:t>maintaining</w:t>
      </w:r>
      <w:r>
        <w:rPr>
          <w:color w:val="231F20"/>
          <w:spacing w:val="-8"/>
        </w:rPr>
        <w:t xml:space="preserve"> </w:t>
      </w:r>
      <w:r>
        <w:rPr>
          <w:color w:val="231F20"/>
        </w:rPr>
        <w:t>public</w:t>
      </w:r>
      <w:r>
        <w:rPr>
          <w:color w:val="231F20"/>
          <w:spacing w:val="-7"/>
        </w:rPr>
        <w:t xml:space="preserve"> </w:t>
      </w:r>
      <w:r>
        <w:rPr>
          <w:color w:val="231F20"/>
        </w:rPr>
        <w:t>order</w:t>
      </w:r>
      <w:r>
        <w:rPr>
          <w:color w:val="231F20"/>
          <w:spacing w:val="-7"/>
        </w:rPr>
        <w:t xml:space="preserve"> </w:t>
      </w:r>
      <w:r>
        <w:rPr>
          <w:color w:val="231F20"/>
        </w:rPr>
        <w:t>and</w:t>
      </w:r>
      <w:r>
        <w:rPr>
          <w:color w:val="231F20"/>
          <w:spacing w:val="-8"/>
        </w:rPr>
        <w:t xml:space="preserve"> </w:t>
      </w:r>
      <w:r>
        <w:rPr>
          <w:color w:val="231F20"/>
        </w:rPr>
        <w:t>amenity across these locations. Operation Watch resources were deployed to almost 200 separate protests</w:t>
      </w:r>
      <w:r>
        <w:rPr>
          <w:color w:val="231F20"/>
          <w:spacing w:val="-9"/>
        </w:rPr>
        <w:t xml:space="preserve"> </w:t>
      </w:r>
      <w:r>
        <w:rPr>
          <w:color w:val="231F20"/>
        </w:rPr>
        <w:t>during</w:t>
      </w:r>
      <w:r>
        <w:rPr>
          <w:color w:val="231F20"/>
          <w:spacing w:val="-10"/>
        </w:rPr>
        <w:t xml:space="preserve"> </w:t>
      </w:r>
      <w:r>
        <w:rPr>
          <w:color w:val="231F20"/>
        </w:rPr>
        <w:t>this</w:t>
      </w:r>
      <w:r>
        <w:rPr>
          <w:color w:val="231F20"/>
          <w:spacing w:val="-9"/>
        </w:rPr>
        <w:t xml:space="preserve"> </w:t>
      </w:r>
      <w:r>
        <w:rPr>
          <w:color w:val="231F20"/>
        </w:rPr>
        <w:t>period,</w:t>
      </w:r>
      <w:r>
        <w:rPr>
          <w:color w:val="231F20"/>
          <w:spacing w:val="-9"/>
        </w:rPr>
        <w:t xml:space="preserve"> </w:t>
      </w:r>
      <w:r>
        <w:rPr>
          <w:color w:val="231F20"/>
        </w:rPr>
        <w:t>with</w:t>
      </w:r>
      <w:r>
        <w:rPr>
          <w:color w:val="231F20"/>
          <w:spacing w:val="-10"/>
        </w:rPr>
        <w:t xml:space="preserve"> </w:t>
      </w:r>
      <w:r>
        <w:rPr>
          <w:color w:val="231F20"/>
        </w:rPr>
        <w:t>around</w:t>
      </w:r>
      <w:r>
        <w:rPr>
          <w:color w:val="231F20"/>
          <w:spacing w:val="-10"/>
        </w:rPr>
        <w:t xml:space="preserve"> </w:t>
      </w:r>
      <w:r>
        <w:rPr>
          <w:color w:val="231F20"/>
        </w:rPr>
        <w:t>half</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protests</w:t>
      </w:r>
      <w:r>
        <w:rPr>
          <w:color w:val="231F20"/>
          <w:spacing w:val="-9"/>
        </w:rPr>
        <w:t xml:space="preserve"> </w:t>
      </w:r>
      <w:r>
        <w:rPr>
          <w:color w:val="231F20"/>
        </w:rPr>
        <w:t>relating</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pandemic</w:t>
      </w:r>
      <w:r>
        <w:rPr>
          <w:color w:val="231F20"/>
          <w:spacing w:val="-9"/>
        </w:rPr>
        <w:t xml:space="preserve"> </w:t>
      </w:r>
      <w:r>
        <w:rPr>
          <w:color w:val="231F20"/>
        </w:rPr>
        <w:t>response.</w:t>
      </w:r>
    </w:p>
    <w:p w14:paraId="78EF2C35" w14:textId="77777777" w:rsidR="00345EE3" w:rsidRPr="00647733" w:rsidRDefault="00345EE3" w:rsidP="00647733">
      <w:pPr>
        <w:pStyle w:val="Heading5"/>
        <w:spacing w:before="179"/>
        <w:ind w:left="0"/>
        <w:rPr>
          <w:color w:val="000000" w:themeColor="text1"/>
        </w:rPr>
      </w:pPr>
      <w:r w:rsidRPr="00647733">
        <w:rPr>
          <w:color w:val="000000" w:themeColor="text1"/>
        </w:rPr>
        <w:t>Organisational</w:t>
      </w:r>
      <w:r w:rsidRPr="00647733">
        <w:rPr>
          <w:color w:val="000000" w:themeColor="text1"/>
          <w:spacing w:val="-7"/>
        </w:rPr>
        <w:t xml:space="preserve"> </w:t>
      </w:r>
      <w:r w:rsidRPr="00647733">
        <w:rPr>
          <w:color w:val="000000" w:themeColor="text1"/>
        </w:rPr>
        <w:t>COVID-19</w:t>
      </w:r>
      <w:r w:rsidRPr="00647733">
        <w:rPr>
          <w:color w:val="000000" w:themeColor="text1"/>
          <w:spacing w:val="-6"/>
        </w:rPr>
        <w:t xml:space="preserve"> </w:t>
      </w:r>
      <w:r w:rsidRPr="00647733">
        <w:rPr>
          <w:color w:val="000000" w:themeColor="text1"/>
        </w:rPr>
        <w:t>exposure</w:t>
      </w:r>
      <w:r w:rsidRPr="00647733">
        <w:rPr>
          <w:color w:val="000000" w:themeColor="text1"/>
          <w:spacing w:val="-5"/>
        </w:rPr>
        <w:t xml:space="preserve"> </w:t>
      </w:r>
      <w:r w:rsidRPr="00647733">
        <w:rPr>
          <w:color w:val="000000" w:themeColor="text1"/>
          <w:spacing w:val="-2"/>
        </w:rPr>
        <w:t>management</w:t>
      </w:r>
    </w:p>
    <w:p w14:paraId="0A7FE644" w14:textId="77777777" w:rsidR="00345EE3" w:rsidRDefault="00345EE3" w:rsidP="00345EE3">
      <w:pPr>
        <w:pStyle w:val="BodyText"/>
        <w:spacing w:before="4" w:line="242" w:lineRule="auto"/>
        <w:ind w:right="848"/>
      </w:pPr>
      <w:r>
        <w:rPr>
          <w:color w:val="231F20"/>
        </w:rPr>
        <w:t>Victoria Police introduced internal workplace COVID-19 exposure management and contact tracing</w:t>
      </w:r>
      <w:r>
        <w:rPr>
          <w:color w:val="231F20"/>
          <w:spacing w:val="-5"/>
        </w:rPr>
        <w:t xml:space="preserve"> </w:t>
      </w:r>
      <w:r>
        <w:rPr>
          <w:color w:val="231F20"/>
        </w:rPr>
        <w:t>capability</w:t>
      </w:r>
      <w:r>
        <w:rPr>
          <w:color w:val="231F20"/>
          <w:spacing w:val="-4"/>
        </w:rPr>
        <w:t xml:space="preserve"> </w:t>
      </w:r>
      <w:r>
        <w:rPr>
          <w:color w:val="231F20"/>
        </w:rPr>
        <w:t>through</w:t>
      </w:r>
      <w:r>
        <w:rPr>
          <w:color w:val="231F20"/>
          <w:spacing w:val="-5"/>
        </w:rPr>
        <w:t xml:space="preserve"> </w:t>
      </w:r>
      <w:r>
        <w:rPr>
          <w:color w:val="231F20"/>
        </w:rPr>
        <w:t>the</w:t>
      </w:r>
      <w:r>
        <w:rPr>
          <w:color w:val="231F20"/>
          <w:spacing w:val="-5"/>
        </w:rPr>
        <w:t xml:space="preserve"> </w:t>
      </w:r>
      <w:r>
        <w:rPr>
          <w:color w:val="231F20"/>
        </w:rPr>
        <w:t>establishment</w:t>
      </w:r>
      <w:r>
        <w:rPr>
          <w:color w:val="231F20"/>
          <w:spacing w:val="-4"/>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Exposure</w:t>
      </w:r>
      <w:r>
        <w:rPr>
          <w:color w:val="231F20"/>
          <w:spacing w:val="-5"/>
        </w:rPr>
        <w:t xml:space="preserve"> </w:t>
      </w:r>
      <w:r>
        <w:rPr>
          <w:color w:val="231F20"/>
        </w:rPr>
        <w:t>Risk</w:t>
      </w:r>
      <w:r>
        <w:rPr>
          <w:color w:val="231F20"/>
          <w:spacing w:val="-4"/>
        </w:rPr>
        <w:t xml:space="preserve"> </w:t>
      </w:r>
      <w:r>
        <w:rPr>
          <w:color w:val="231F20"/>
        </w:rPr>
        <w:t>Assessment</w:t>
      </w:r>
      <w:r>
        <w:rPr>
          <w:color w:val="231F20"/>
          <w:spacing w:val="-4"/>
        </w:rPr>
        <w:t xml:space="preserve"> </w:t>
      </w:r>
      <w:r>
        <w:rPr>
          <w:color w:val="231F20"/>
        </w:rPr>
        <w:t>and</w:t>
      </w:r>
      <w:r>
        <w:rPr>
          <w:color w:val="231F20"/>
          <w:spacing w:val="-5"/>
        </w:rPr>
        <w:t xml:space="preserve"> </w:t>
      </w:r>
      <w:r>
        <w:rPr>
          <w:color w:val="231F20"/>
        </w:rPr>
        <w:t>Management team</w:t>
      </w:r>
      <w:r>
        <w:rPr>
          <w:color w:val="231F20"/>
          <w:spacing w:val="-8"/>
        </w:rPr>
        <w:t xml:space="preserve"> </w:t>
      </w:r>
      <w:r>
        <w:rPr>
          <w:color w:val="231F20"/>
        </w:rPr>
        <w:t>(ERAM).</w:t>
      </w:r>
      <w:r>
        <w:rPr>
          <w:color w:val="231F20"/>
          <w:spacing w:val="-8"/>
        </w:rPr>
        <w:t xml:space="preserve"> </w:t>
      </w:r>
      <w:r>
        <w:rPr>
          <w:color w:val="231F20"/>
        </w:rPr>
        <w:t>Through</w:t>
      </w:r>
      <w:r>
        <w:rPr>
          <w:color w:val="231F20"/>
          <w:spacing w:val="-9"/>
        </w:rPr>
        <w:t xml:space="preserve"> </w:t>
      </w:r>
      <w:r>
        <w:rPr>
          <w:color w:val="231F20"/>
        </w:rPr>
        <w:t>direct</w:t>
      </w:r>
      <w:r>
        <w:rPr>
          <w:color w:val="231F20"/>
          <w:spacing w:val="-8"/>
        </w:rPr>
        <w:t xml:space="preserve"> </w:t>
      </w:r>
      <w:r>
        <w:rPr>
          <w:color w:val="231F20"/>
        </w:rPr>
        <w:t>and</w:t>
      </w:r>
      <w:r>
        <w:rPr>
          <w:color w:val="231F20"/>
          <w:spacing w:val="-9"/>
        </w:rPr>
        <w:t xml:space="preserve"> </w:t>
      </w:r>
      <w:r>
        <w:rPr>
          <w:color w:val="231F20"/>
        </w:rPr>
        <w:t>regular</w:t>
      </w:r>
      <w:r>
        <w:rPr>
          <w:color w:val="231F20"/>
          <w:spacing w:val="-8"/>
        </w:rPr>
        <w:t xml:space="preserve"> </w:t>
      </w:r>
      <w:r>
        <w:rPr>
          <w:color w:val="231F20"/>
        </w:rPr>
        <w:t>engagement</w:t>
      </w:r>
      <w:r>
        <w:rPr>
          <w:color w:val="231F20"/>
          <w:spacing w:val="-8"/>
        </w:rPr>
        <w:t xml:space="preserve"> </w:t>
      </w:r>
      <w:r>
        <w:rPr>
          <w:color w:val="231F20"/>
        </w:rPr>
        <w:t>with</w:t>
      </w:r>
      <w:r>
        <w:rPr>
          <w:color w:val="231F20"/>
          <w:spacing w:val="-9"/>
        </w:rPr>
        <w:t xml:space="preserve"> </w:t>
      </w:r>
      <w:r>
        <w:rPr>
          <w:color w:val="231F20"/>
        </w:rPr>
        <w:t>DH,</w:t>
      </w:r>
      <w:r>
        <w:rPr>
          <w:color w:val="231F20"/>
          <w:spacing w:val="-8"/>
        </w:rPr>
        <w:t xml:space="preserve"> </w:t>
      </w:r>
      <w:r>
        <w:rPr>
          <w:color w:val="231F20"/>
        </w:rPr>
        <w:t>the</w:t>
      </w:r>
      <w:r>
        <w:rPr>
          <w:color w:val="231F20"/>
          <w:spacing w:val="-9"/>
        </w:rPr>
        <w:t xml:space="preserve"> </w:t>
      </w:r>
      <w:r>
        <w:rPr>
          <w:color w:val="231F20"/>
        </w:rPr>
        <w:t>ERAM</w:t>
      </w:r>
      <w:r>
        <w:rPr>
          <w:color w:val="231F20"/>
          <w:spacing w:val="-8"/>
        </w:rPr>
        <w:t xml:space="preserve"> </w:t>
      </w:r>
      <w:r>
        <w:rPr>
          <w:color w:val="231F20"/>
        </w:rPr>
        <w:t>process</w:t>
      </w:r>
      <w:r>
        <w:rPr>
          <w:color w:val="231F20"/>
          <w:spacing w:val="-8"/>
        </w:rPr>
        <w:t xml:space="preserve"> </w:t>
      </w:r>
      <w:r>
        <w:rPr>
          <w:color w:val="231F20"/>
        </w:rPr>
        <w:t>safeguarded the health and safety of Victoria Police employees and workforce capacity to undertake core community safe functions. ERAM function further supported COVID-19 safe police interaction with members of the Victorian community by providing appropriate health guidance to our workforce and limiting the spread of COVID-19 across our workplaces.</w:t>
      </w:r>
    </w:p>
    <w:p w14:paraId="67B17FAA" w14:textId="77777777" w:rsidR="00345EE3" w:rsidRDefault="00345EE3" w:rsidP="00345EE3">
      <w:pPr>
        <w:rPr>
          <w:color w:val="231F20"/>
          <w:sz w:val="24"/>
          <w:szCs w:val="24"/>
        </w:rPr>
      </w:pPr>
      <w:r>
        <w:rPr>
          <w:color w:val="231F20"/>
        </w:rPr>
        <w:br w:type="page"/>
      </w:r>
    </w:p>
    <w:p w14:paraId="1F7B891B" w14:textId="77777777" w:rsidR="00345EE3" w:rsidRDefault="00345EE3" w:rsidP="00345EE3">
      <w:pPr>
        <w:pStyle w:val="BodyText"/>
        <w:spacing w:before="123" w:line="242" w:lineRule="auto"/>
        <w:ind w:right="1576"/>
      </w:pPr>
      <w:r>
        <w:rPr>
          <w:color w:val="231F20"/>
        </w:rPr>
        <w:t>ERAM</w:t>
      </w:r>
      <w:r>
        <w:rPr>
          <w:color w:val="231F20"/>
          <w:spacing w:val="-9"/>
        </w:rPr>
        <w:t xml:space="preserve"> </w:t>
      </w:r>
      <w:r>
        <w:rPr>
          <w:color w:val="231F20"/>
        </w:rPr>
        <w:t>played</w:t>
      </w:r>
      <w:r>
        <w:rPr>
          <w:color w:val="231F20"/>
          <w:spacing w:val="-10"/>
        </w:rPr>
        <w:t xml:space="preserve"> </w:t>
      </w:r>
      <w:r>
        <w:rPr>
          <w:color w:val="231F20"/>
        </w:rPr>
        <w:t>an</w:t>
      </w:r>
      <w:r>
        <w:rPr>
          <w:color w:val="231F20"/>
          <w:spacing w:val="-10"/>
        </w:rPr>
        <w:t xml:space="preserve"> </w:t>
      </w:r>
      <w:r>
        <w:rPr>
          <w:color w:val="231F20"/>
        </w:rPr>
        <w:t>integral</w:t>
      </w:r>
      <w:r>
        <w:rPr>
          <w:color w:val="231F20"/>
          <w:spacing w:val="-10"/>
        </w:rPr>
        <w:t xml:space="preserve"> </w:t>
      </w:r>
      <w:r>
        <w:rPr>
          <w:color w:val="231F20"/>
        </w:rPr>
        <w:t>role</w:t>
      </w:r>
      <w:r>
        <w:rPr>
          <w:color w:val="231F20"/>
          <w:spacing w:val="-10"/>
        </w:rPr>
        <w:t xml:space="preserve"> </w:t>
      </w:r>
      <w:r>
        <w:rPr>
          <w:color w:val="231F20"/>
        </w:rPr>
        <w:t>in</w:t>
      </w:r>
      <w:r>
        <w:rPr>
          <w:color w:val="231F20"/>
          <w:spacing w:val="-10"/>
        </w:rPr>
        <w:t xml:space="preserve"> </w:t>
      </w:r>
      <w:r>
        <w:rPr>
          <w:color w:val="231F20"/>
        </w:rPr>
        <w:t>building</w:t>
      </w:r>
      <w:r>
        <w:rPr>
          <w:color w:val="231F20"/>
          <w:spacing w:val="-10"/>
        </w:rPr>
        <w:t xml:space="preserve"> </w:t>
      </w:r>
      <w:r>
        <w:rPr>
          <w:color w:val="231F20"/>
        </w:rPr>
        <w:t>necessary</w:t>
      </w:r>
      <w:r>
        <w:rPr>
          <w:color w:val="231F20"/>
          <w:spacing w:val="-9"/>
        </w:rPr>
        <w:t xml:space="preserve"> </w:t>
      </w:r>
      <w:r>
        <w:rPr>
          <w:color w:val="231F20"/>
        </w:rPr>
        <w:t>capability</w:t>
      </w:r>
      <w:r>
        <w:rPr>
          <w:color w:val="231F20"/>
          <w:spacing w:val="-9"/>
        </w:rPr>
        <w:t xml:space="preserve"> </w:t>
      </w:r>
      <w:r>
        <w:rPr>
          <w:color w:val="231F20"/>
        </w:rPr>
        <w:t>at</w:t>
      </w:r>
      <w:r>
        <w:rPr>
          <w:color w:val="231F20"/>
          <w:spacing w:val="-9"/>
        </w:rPr>
        <w:t xml:space="preserve"> </w:t>
      </w:r>
      <w:r>
        <w:rPr>
          <w:color w:val="231F20"/>
        </w:rPr>
        <w:t>local</w:t>
      </w:r>
      <w:r>
        <w:rPr>
          <w:color w:val="231F20"/>
          <w:spacing w:val="-10"/>
        </w:rPr>
        <w:t xml:space="preserve"> </w:t>
      </w:r>
      <w:r>
        <w:rPr>
          <w:color w:val="231F20"/>
        </w:rPr>
        <w:t>management</w:t>
      </w:r>
      <w:r>
        <w:rPr>
          <w:color w:val="231F20"/>
          <w:spacing w:val="-9"/>
        </w:rPr>
        <w:t xml:space="preserve"> </w:t>
      </w:r>
      <w:r>
        <w:rPr>
          <w:color w:val="231F20"/>
        </w:rPr>
        <w:t>level, to</w:t>
      </w:r>
      <w:r>
        <w:rPr>
          <w:color w:val="231F20"/>
          <w:spacing w:val="-11"/>
        </w:rPr>
        <w:t xml:space="preserve"> </w:t>
      </w:r>
      <w:r>
        <w:rPr>
          <w:color w:val="231F20"/>
        </w:rPr>
        <w:t>transition</w:t>
      </w:r>
      <w:r>
        <w:rPr>
          <w:color w:val="231F20"/>
          <w:spacing w:val="-10"/>
        </w:rPr>
        <w:t xml:space="preserve"> </w:t>
      </w:r>
      <w:r>
        <w:rPr>
          <w:color w:val="231F20"/>
        </w:rPr>
        <w:t>workplace</w:t>
      </w:r>
      <w:r>
        <w:rPr>
          <w:color w:val="231F20"/>
          <w:spacing w:val="-10"/>
        </w:rPr>
        <w:t xml:space="preserve"> </w:t>
      </w:r>
      <w:r>
        <w:rPr>
          <w:color w:val="231F20"/>
        </w:rPr>
        <w:t>COVID-19</w:t>
      </w:r>
      <w:r>
        <w:rPr>
          <w:color w:val="231F20"/>
          <w:spacing w:val="-11"/>
        </w:rPr>
        <w:t xml:space="preserve"> </w:t>
      </w:r>
      <w:r>
        <w:rPr>
          <w:color w:val="231F20"/>
        </w:rPr>
        <w:t>exposure</w:t>
      </w:r>
      <w:r>
        <w:rPr>
          <w:color w:val="231F20"/>
          <w:spacing w:val="-10"/>
        </w:rPr>
        <w:t xml:space="preserve"> </w:t>
      </w:r>
      <w:r>
        <w:rPr>
          <w:color w:val="231F20"/>
        </w:rPr>
        <w:t>risk</w:t>
      </w:r>
      <w:r>
        <w:rPr>
          <w:color w:val="231F20"/>
          <w:spacing w:val="-9"/>
        </w:rPr>
        <w:t xml:space="preserve"> </w:t>
      </w:r>
      <w:r>
        <w:rPr>
          <w:color w:val="231F20"/>
        </w:rPr>
        <w:t>management</w:t>
      </w:r>
      <w:r>
        <w:rPr>
          <w:color w:val="231F20"/>
          <w:spacing w:val="-10"/>
        </w:rPr>
        <w:t xml:space="preserve"> </w:t>
      </w:r>
      <w:r>
        <w:rPr>
          <w:color w:val="231F20"/>
        </w:rPr>
        <w:t>to</w:t>
      </w:r>
      <w:r>
        <w:rPr>
          <w:color w:val="231F20"/>
          <w:spacing w:val="-10"/>
        </w:rPr>
        <w:t xml:space="preserve"> </w:t>
      </w:r>
      <w:r>
        <w:rPr>
          <w:color w:val="231F20"/>
        </w:rPr>
        <w:t>line</w:t>
      </w:r>
      <w:r>
        <w:rPr>
          <w:color w:val="231F20"/>
          <w:spacing w:val="-10"/>
        </w:rPr>
        <w:t xml:space="preserve"> </w:t>
      </w:r>
      <w:r>
        <w:rPr>
          <w:color w:val="231F20"/>
        </w:rPr>
        <w:t>managers</w:t>
      </w:r>
      <w:r>
        <w:rPr>
          <w:color w:val="231F20"/>
          <w:spacing w:val="-10"/>
        </w:rPr>
        <w:t xml:space="preserve"> </w:t>
      </w:r>
      <w:r>
        <w:rPr>
          <w:color w:val="231F20"/>
        </w:rPr>
        <w:t>as</w:t>
      </w:r>
      <w:r>
        <w:rPr>
          <w:color w:val="231F20"/>
          <w:spacing w:val="-9"/>
        </w:rPr>
        <w:t xml:space="preserve"> </w:t>
      </w:r>
      <w:r>
        <w:rPr>
          <w:color w:val="231F20"/>
        </w:rPr>
        <w:t>part</w:t>
      </w:r>
      <w:r>
        <w:rPr>
          <w:color w:val="231F20"/>
          <w:spacing w:val="-9"/>
        </w:rPr>
        <w:t xml:space="preserve"> </w:t>
      </w:r>
      <w:r>
        <w:rPr>
          <w:color w:val="231F20"/>
          <w:spacing w:val="-5"/>
        </w:rPr>
        <w:t>of</w:t>
      </w:r>
    </w:p>
    <w:p w14:paraId="61479D4F" w14:textId="77777777" w:rsidR="00345EE3" w:rsidRDefault="00345EE3" w:rsidP="00345EE3">
      <w:pPr>
        <w:pStyle w:val="BodyText"/>
        <w:spacing w:before="3" w:line="242" w:lineRule="auto"/>
        <w:ind w:right="1208"/>
      </w:pPr>
      <w:r>
        <w:rPr>
          <w:color w:val="231F20"/>
        </w:rPr>
        <w:t>occupational health and safety. In July 2021 ERAM was staffed by 14 employees to support the</w:t>
      </w:r>
      <w:r>
        <w:rPr>
          <w:color w:val="231F20"/>
          <w:spacing w:val="-8"/>
        </w:rPr>
        <w:t xml:space="preserve"> </w:t>
      </w:r>
      <w:r>
        <w:rPr>
          <w:color w:val="231F20"/>
        </w:rPr>
        <w:t>organisation</w:t>
      </w:r>
      <w:r>
        <w:rPr>
          <w:color w:val="231F20"/>
          <w:spacing w:val="-8"/>
        </w:rPr>
        <w:t xml:space="preserve"> </w:t>
      </w:r>
      <w:r>
        <w:rPr>
          <w:color w:val="231F20"/>
        </w:rPr>
        <w:t>through</w:t>
      </w:r>
      <w:r>
        <w:rPr>
          <w:color w:val="231F20"/>
          <w:spacing w:val="-8"/>
        </w:rPr>
        <w:t xml:space="preserve"> </w:t>
      </w:r>
      <w:r>
        <w:rPr>
          <w:color w:val="231F20"/>
        </w:rPr>
        <w:t>the</w:t>
      </w:r>
      <w:r>
        <w:rPr>
          <w:color w:val="231F20"/>
          <w:spacing w:val="-8"/>
        </w:rPr>
        <w:t xml:space="preserve"> </w:t>
      </w:r>
      <w:r>
        <w:rPr>
          <w:color w:val="231F20"/>
        </w:rPr>
        <w:t>Delta</w:t>
      </w:r>
      <w:r>
        <w:rPr>
          <w:color w:val="231F20"/>
          <w:spacing w:val="-8"/>
        </w:rPr>
        <w:t xml:space="preserve"> </w:t>
      </w:r>
      <w:r>
        <w:rPr>
          <w:color w:val="231F20"/>
        </w:rPr>
        <w:t>wave.</w:t>
      </w:r>
      <w:r>
        <w:rPr>
          <w:color w:val="231F20"/>
          <w:spacing w:val="-7"/>
        </w:rPr>
        <w:t xml:space="preserve"> </w:t>
      </w:r>
      <w:r>
        <w:rPr>
          <w:color w:val="231F20"/>
        </w:rPr>
        <w:t>In</w:t>
      </w:r>
      <w:r>
        <w:rPr>
          <w:color w:val="231F20"/>
          <w:spacing w:val="-8"/>
        </w:rPr>
        <w:t xml:space="preserve"> </w:t>
      </w:r>
      <w:r>
        <w:rPr>
          <w:color w:val="231F20"/>
        </w:rPr>
        <w:t>October</w:t>
      </w:r>
      <w:r>
        <w:rPr>
          <w:color w:val="231F20"/>
          <w:spacing w:val="-7"/>
        </w:rPr>
        <w:t xml:space="preserve"> </w:t>
      </w:r>
      <w:r>
        <w:rPr>
          <w:color w:val="231F20"/>
        </w:rPr>
        <w:t>2021</w:t>
      </w:r>
      <w:r>
        <w:rPr>
          <w:color w:val="231F20"/>
          <w:spacing w:val="-8"/>
        </w:rPr>
        <w:t xml:space="preserve"> </w:t>
      </w:r>
      <w:r>
        <w:rPr>
          <w:color w:val="231F20"/>
        </w:rPr>
        <w:t>due</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sharp</w:t>
      </w:r>
      <w:r>
        <w:rPr>
          <w:color w:val="231F20"/>
          <w:spacing w:val="-8"/>
        </w:rPr>
        <w:t xml:space="preserve"> </w:t>
      </w:r>
      <w:r>
        <w:rPr>
          <w:color w:val="231F20"/>
        </w:rPr>
        <w:t>surge</w:t>
      </w:r>
      <w:r>
        <w:rPr>
          <w:color w:val="231F20"/>
          <w:spacing w:val="-8"/>
        </w:rPr>
        <w:t xml:space="preserve"> </w:t>
      </w:r>
      <w:r>
        <w:rPr>
          <w:color w:val="231F20"/>
        </w:rPr>
        <w:t>in</w:t>
      </w:r>
      <w:r>
        <w:rPr>
          <w:color w:val="231F20"/>
          <w:spacing w:val="-8"/>
        </w:rPr>
        <w:t xml:space="preserve"> </w:t>
      </w:r>
      <w:r>
        <w:rPr>
          <w:color w:val="231F20"/>
        </w:rPr>
        <w:t>cases,</w:t>
      </w:r>
      <w:r>
        <w:rPr>
          <w:color w:val="231F20"/>
          <w:spacing w:val="-7"/>
        </w:rPr>
        <w:t xml:space="preserve"> </w:t>
      </w:r>
      <w:r>
        <w:rPr>
          <w:color w:val="231F20"/>
        </w:rPr>
        <w:t>an additional</w:t>
      </w:r>
      <w:r>
        <w:rPr>
          <w:color w:val="231F20"/>
          <w:spacing w:val="-1"/>
        </w:rPr>
        <w:t xml:space="preserve"> </w:t>
      </w:r>
      <w:r>
        <w:rPr>
          <w:color w:val="231F20"/>
        </w:rPr>
        <w:t>60</w:t>
      </w:r>
      <w:r>
        <w:rPr>
          <w:color w:val="231F20"/>
          <w:spacing w:val="-1"/>
        </w:rPr>
        <w:t xml:space="preserve"> </w:t>
      </w:r>
      <w:r>
        <w:rPr>
          <w:color w:val="231F20"/>
        </w:rPr>
        <w:t>(approx.) internal</w:t>
      </w:r>
      <w:r>
        <w:rPr>
          <w:color w:val="231F20"/>
          <w:spacing w:val="-1"/>
        </w:rPr>
        <w:t xml:space="preserve"> </w:t>
      </w:r>
      <w:r>
        <w:rPr>
          <w:color w:val="231F20"/>
        </w:rPr>
        <w:t>employees were</w:t>
      </w:r>
      <w:r>
        <w:rPr>
          <w:color w:val="231F20"/>
          <w:spacing w:val="-1"/>
        </w:rPr>
        <w:t xml:space="preserve"> </w:t>
      </w:r>
      <w:r>
        <w:rPr>
          <w:color w:val="231F20"/>
        </w:rPr>
        <w:t>seconded</w:t>
      </w:r>
      <w:r>
        <w:rPr>
          <w:color w:val="231F20"/>
          <w:spacing w:val="-1"/>
        </w:rPr>
        <w:t xml:space="preserve"> </w:t>
      </w:r>
      <w:r>
        <w:rPr>
          <w:color w:val="231F20"/>
        </w:rPr>
        <w:t>to</w:t>
      </w:r>
      <w:r>
        <w:rPr>
          <w:color w:val="231F20"/>
          <w:spacing w:val="-1"/>
        </w:rPr>
        <w:t xml:space="preserve"> </w:t>
      </w:r>
      <w:r>
        <w:rPr>
          <w:color w:val="231F20"/>
        </w:rPr>
        <w:t>support the</w:t>
      </w:r>
      <w:r>
        <w:rPr>
          <w:color w:val="231F20"/>
          <w:spacing w:val="-1"/>
        </w:rPr>
        <w:t xml:space="preserve"> </w:t>
      </w:r>
      <w:r>
        <w:rPr>
          <w:color w:val="231F20"/>
        </w:rPr>
        <w:t>response</w:t>
      </w:r>
      <w:r>
        <w:rPr>
          <w:color w:val="231F20"/>
          <w:spacing w:val="-1"/>
        </w:rPr>
        <w:t xml:space="preserve"> </w:t>
      </w:r>
      <w:r>
        <w:rPr>
          <w:color w:val="231F20"/>
        </w:rPr>
        <w:t>for two</w:t>
      </w:r>
      <w:r>
        <w:rPr>
          <w:color w:val="231F20"/>
          <w:spacing w:val="-1"/>
        </w:rPr>
        <w:t xml:space="preserve"> </w:t>
      </w:r>
      <w:r>
        <w:rPr>
          <w:color w:val="231F20"/>
        </w:rPr>
        <w:t>to seven weeks. During the surge period an additional four clinical employees were contracted to</w:t>
      </w:r>
      <w:r>
        <w:rPr>
          <w:color w:val="231F20"/>
          <w:spacing w:val="-8"/>
        </w:rPr>
        <w:t xml:space="preserve"> </w:t>
      </w:r>
      <w:r>
        <w:rPr>
          <w:color w:val="231F20"/>
        </w:rPr>
        <w:t>establish</w:t>
      </w:r>
      <w:r>
        <w:rPr>
          <w:color w:val="231F20"/>
          <w:spacing w:val="-8"/>
        </w:rPr>
        <w:t xml:space="preserve"> </w:t>
      </w:r>
      <w:r>
        <w:rPr>
          <w:color w:val="231F20"/>
        </w:rPr>
        <w:t>a</w:t>
      </w:r>
      <w:r>
        <w:rPr>
          <w:color w:val="231F20"/>
          <w:spacing w:val="-8"/>
        </w:rPr>
        <w:t xml:space="preserve"> </w:t>
      </w:r>
      <w:r>
        <w:rPr>
          <w:color w:val="231F20"/>
        </w:rPr>
        <w:t>clinical</w:t>
      </w:r>
      <w:r>
        <w:rPr>
          <w:color w:val="231F20"/>
          <w:spacing w:val="-8"/>
        </w:rPr>
        <w:t xml:space="preserve"> </w:t>
      </w:r>
      <w:r>
        <w:rPr>
          <w:color w:val="231F20"/>
        </w:rPr>
        <w:t>function</w:t>
      </w:r>
      <w:r>
        <w:rPr>
          <w:color w:val="231F20"/>
          <w:spacing w:val="-8"/>
        </w:rPr>
        <w:t xml:space="preserve"> </w:t>
      </w:r>
      <w:r>
        <w:rPr>
          <w:color w:val="231F20"/>
        </w:rPr>
        <w:t>within</w:t>
      </w:r>
      <w:r>
        <w:rPr>
          <w:color w:val="231F20"/>
          <w:spacing w:val="-8"/>
        </w:rPr>
        <w:t xml:space="preserve"> </w:t>
      </w:r>
      <w:r>
        <w:rPr>
          <w:color w:val="231F20"/>
        </w:rPr>
        <w:t>ERAM.</w:t>
      </w:r>
      <w:r>
        <w:rPr>
          <w:color w:val="231F20"/>
          <w:spacing w:val="-7"/>
        </w:rPr>
        <w:t xml:space="preserve"> </w:t>
      </w:r>
      <w:r>
        <w:rPr>
          <w:color w:val="231F20"/>
        </w:rPr>
        <w:t>In</w:t>
      </w:r>
      <w:r>
        <w:rPr>
          <w:color w:val="231F20"/>
          <w:spacing w:val="-8"/>
        </w:rPr>
        <w:t xml:space="preserve"> </w:t>
      </w:r>
      <w:r>
        <w:rPr>
          <w:color w:val="231F20"/>
        </w:rPr>
        <w:t>line</w:t>
      </w:r>
      <w:r>
        <w:rPr>
          <w:color w:val="231F20"/>
          <w:spacing w:val="-8"/>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easing</w:t>
      </w:r>
      <w:r>
        <w:rPr>
          <w:color w:val="231F20"/>
          <w:spacing w:val="-8"/>
        </w:rPr>
        <w:t xml:space="preserve"> </w:t>
      </w:r>
      <w:r>
        <w:rPr>
          <w:color w:val="231F20"/>
        </w:rPr>
        <w:t>of</w:t>
      </w:r>
      <w:r>
        <w:rPr>
          <w:color w:val="231F20"/>
          <w:spacing w:val="-7"/>
        </w:rPr>
        <w:t xml:space="preserve"> </w:t>
      </w:r>
      <w:r>
        <w:rPr>
          <w:color w:val="231F20"/>
        </w:rPr>
        <w:t>COVID-19</w:t>
      </w:r>
      <w:r>
        <w:rPr>
          <w:color w:val="231F20"/>
          <w:spacing w:val="-8"/>
        </w:rPr>
        <w:t xml:space="preserve"> </w:t>
      </w:r>
      <w:r>
        <w:rPr>
          <w:color w:val="231F20"/>
        </w:rPr>
        <w:t>restrictions</w:t>
      </w:r>
      <w:r>
        <w:rPr>
          <w:color w:val="231F20"/>
          <w:spacing w:val="-7"/>
        </w:rPr>
        <w:t xml:space="preserve"> </w:t>
      </w:r>
      <w:r>
        <w:rPr>
          <w:color w:val="231F20"/>
        </w:rPr>
        <w:t>in Victoria, ERAM was decommissioned in April 2022.</w:t>
      </w:r>
    </w:p>
    <w:p w14:paraId="136ACB00" w14:textId="77777777" w:rsidR="00345EE3" w:rsidRPr="00647733" w:rsidRDefault="00345EE3" w:rsidP="00345EE3">
      <w:pPr>
        <w:pStyle w:val="Heading2"/>
        <w:spacing w:before="217"/>
        <w:jc w:val="both"/>
        <w:rPr>
          <w:sz w:val="32"/>
          <w:szCs w:val="32"/>
        </w:rPr>
      </w:pPr>
      <w:r w:rsidRPr="00647733">
        <w:rPr>
          <w:color w:val="00529F"/>
          <w:sz w:val="32"/>
          <w:szCs w:val="32"/>
        </w:rPr>
        <w:t>2021–22</w:t>
      </w:r>
      <w:r w:rsidRPr="00647733">
        <w:rPr>
          <w:color w:val="00529F"/>
          <w:spacing w:val="-17"/>
          <w:sz w:val="32"/>
          <w:szCs w:val="32"/>
        </w:rPr>
        <w:t xml:space="preserve"> </w:t>
      </w:r>
      <w:r w:rsidRPr="00647733">
        <w:rPr>
          <w:color w:val="00529F"/>
          <w:sz w:val="32"/>
          <w:szCs w:val="32"/>
        </w:rPr>
        <w:t>Annual</w:t>
      </w:r>
      <w:r w:rsidRPr="00647733">
        <w:rPr>
          <w:color w:val="00529F"/>
          <w:spacing w:val="-16"/>
          <w:sz w:val="32"/>
          <w:szCs w:val="32"/>
        </w:rPr>
        <w:t xml:space="preserve"> </w:t>
      </w:r>
      <w:r w:rsidRPr="00647733">
        <w:rPr>
          <w:color w:val="00529F"/>
          <w:sz w:val="32"/>
          <w:szCs w:val="32"/>
        </w:rPr>
        <w:t>Plan</w:t>
      </w:r>
      <w:r w:rsidRPr="00647733">
        <w:rPr>
          <w:color w:val="00529F"/>
          <w:spacing w:val="-16"/>
          <w:sz w:val="32"/>
          <w:szCs w:val="32"/>
        </w:rPr>
        <w:t xml:space="preserve"> </w:t>
      </w:r>
      <w:r w:rsidRPr="00647733">
        <w:rPr>
          <w:color w:val="00529F"/>
          <w:spacing w:val="-2"/>
          <w:sz w:val="32"/>
          <w:szCs w:val="32"/>
        </w:rPr>
        <w:t>Actions</w:t>
      </w:r>
    </w:p>
    <w:p w14:paraId="02FA76AD" w14:textId="77777777" w:rsidR="00345EE3" w:rsidRDefault="00345EE3" w:rsidP="00345EE3">
      <w:pPr>
        <w:pStyle w:val="BodyText"/>
        <w:spacing w:before="72" w:line="242" w:lineRule="auto"/>
        <w:ind w:right="1025"/>
      </w:pPr>
      <w:r>
        <w:rPr>
          <w:color w:val="231F20"/>
        </w:rPr>
        <w:t>The</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10"/>
        </w:rPr>
        <w:t xml:space="preserve"> </w:t>
      </w:r>
      <w:r>
        <w:rPr>
          <w:i/>
          <w:color w:val="231F20"/>
        </w:rPr>
        <w:t>Annual</w:t>
      </w:r>
      <w:r>
        <w:rPr>
          <w:i/>
          <w:color w:val="231F20"/>
          <w:spacing w:val="-17"/>
        </w:rPr>
        <w:t xml:space="preserve"> </w:t>
      </w:r>
      <w:r>
        <w:rPr>
          <w:i/>
          <w:color w:val="231F20"/>
        </w:rPr>
        <w:t>Plan</w:t>
      </w:r>
      <w:r>
        <w:rPr>
          <w:i/>
          <w:color w:val="231F20"/>
          <w:spacing w:val="-17"/>
        </w:rPr>
        <w:t xml:space="preserve"> </w:t>
      </w:r>
      <w:r>
        <w:rPr>
          <w:i/>
          <w:color w:val="231F20"/>
        </w:rPr>
        <w:t>2021–22</w:t>
      </w:r>
      <w:r>
        <w:rPr>
          <w:color w:val="231F20"/>
        </w:rPr>
        <w:t>,</w:t>
      </w:r>
      <w:r>
        <w:rPr>
          <w:color w:val="231F20"/>
          <w:spacing w:val="-9"/>
        </w:rPr>
        <w:t xml:space="preserve"> </w:t>
      </w:r>
      <w:r>
        <w:rPr>
          <w:color w:val="231F20"/>
        </w:rPr>
        <w:t>outlines</w:t>
      </w:r>
      <w:r>
        <w:rPr>
          <w:color w:val="231F20"/>
          <w:spacing w:val="-9"/>
        </w:rPr>
        <w:t xml:space="preserve"> </w:t>
      </w:r>
      <w:r>
        <w:rPr>
          <w:color w:val="231F20"/>
        </w:rPr>
        <w:t>our</w:t>
      </w:r>
      <w:r>
        <w:rPr>
          <w:color w:val="231F20"/>
          <w:spacing w:val="-9"/>
        </w:rPr>
        <w:t xml:space="preserve"> </w:t>
      </w:r>
      <w:r>
        <w:rPr>
          <w:color w:val="231F20"/>
        </w:rPr>
        <w:t>role,</w:t>
      </w:r>
      <w:r>
        <w:rPr>
          <w:color w:val="231F20"/>
          <w:spacing w:val="-9"/>
        </w:rPr>
        <w:t xml:space="preserve"> </w:t>
      </w:r>
      <w:r>
        <w:rPr>
          <w:color w:val="231F20"/>
        </w:rPr>
        <w:t>functions,</w:t>
      </w:r>
      <w:r>
        <w:rPr>
          <w:color w:val="231F20"/>
          <w:spacing w:val="-9"/>
        </w:rPr>
        <w:t xml:space="preserve"> </w:t>
      </w:r>
      <w:r>
        <w:rPr>
          <w:color w:val="231F20"/>
        </w:rPr>
        <w:t>code</w:t>
      </w:r>
      <w:r>
        <w:rPr>
          <w:color w:val="231F20"/>
          <w:spacing w:val="-10"/>
        </w:rPr>
        <w:t xml:space="preserve"> </w:t>
      </w:r>
      <w:r>
        <w:rPr>
          <w:color w:val="231F20"/>
        </w:rPr>
        <w:t>of</w:t>
      </w:r>
      <w:r>
        <w:rPr>
          <w:color w:val="231F20"/>
          <w:spacing w:val="-9"/>
        </w:rPr>
        <w:t xml:space="preserve"> </w:t>
      </w:r>
      <w:r>
        <w:rPr>
          <w:color w:val="231F20"/>
        </w:rPr>
        <w:t>ethics</w:t>
      </w:r>
      <w:r>
        <w:rPr>
          <w:color w:val="231F20"/>
          <w:spacing w:val="-9"/>
        </w:rPr>
        <w:t xml:space="preserve"> </w:t>
      </w:r>
      <w:r>
        <w:rPr>
          <w:color w:val="231F20"/>
        </w:rPr>
        <w:t>and</w:t>
      </w:r>
      <w:r>
        <w:rPr>
          <w:color w:val="231F20"/>
          <w:spacing w:val="-10"/>
        </w:rPr>
        <w:t xml:space="preserve"> </w:t>
      </w:r>
      <w:r>
        <w:rPr>
          <w:color w:val="231F20"/>
        </w:rPr>
        <w:t>values while clearly articulating our objectives, emerging priorities and response to community safety needs. The Plan identifies our commitment to four priority areas: community safety, reduce crime, reduce road trauma and service delivery excellence. Drawn from these four priorities are</w:t>
      </w:r>
      <w:r>
        <w:rPr>
          <w:color w:val="231F20"/>
          <w:spacing w:val="-11"/>
        </w:rPr>
        <w:t xml:space="preserve"> </w:t>
      </w:r>
      <w:r>
        <w:rPr>
          <w:color w:val="231F20"/>
        </w:rPr>
        <w:t>a</w:t>
      </w:r>
      <w:r>
        <w:rPr>
          <w:color w:val="231F20"/>
          <w:spacing w:val="-11"/>
        </w:rPr>
        <w:t xml:space="preserve"> </w:t>
      </w:r>
      <w:r>
        <w:rPr>
          <w:color w:val="231F20"/>
        </w:rPr>
        <w:t>suite</w:t>
      </w:r>
      <w:r>
        <w:rPr>
          <w:color w:val="231F20"/>
          <w:spacing w:val="-11"/>
        </w:rPr>
        <w:t xml:space="preserve"> </w:t>
      </w:r>
      <w:r>
        <w:rPr>
          <w:color w:val="231F20"/>
        </w:rPr>
        <w:t>of</w:t>
      </w:r>
      <w:r>
        <w:rPr>
          <w:color w:val="231F20"/>
          <w:spacing w:val="-10"/>
        </w:rPr>
        <w:t xml:space="preserve"> </w:t>
      </w:r>
      <w:r>
        <w:rPr>
          <w:color w:val="231F20"/>
        </w:rPr>
        <w:t>actions,</w:t>
      </w:r>
      <w:r>
        <w:rPr>
          <w:color w:val="231F20"/>
          <w:spacing w:val="-10"/>
        </w:rPr>
        <w:t xml:space="preserve"> </w:t>
      </w:r>
      <w:r>
        <w:rPr>
          <w:color w:val="231F20"/>
        </w:rPr>
        <w:t>programs</w:t>
      </w:r>
      <w:r>
        <w:rPr>
          <w:color w:val="231F20"/>
          <w:spacing w:val="-10"/>
        </w:rPr>
        <w:t xml:space="preserve"> </w:t>
      </w:r>
      <w:r>
        <w:rPr>
          <w:color w:val="231F20"/>
        </w:rPr>
        <w:t>and</w:t>
      </w:r>
      <w:r>
        <w:rPr>
          <w:color w:val="231F20"/>
          <w:spacing w:val="-11"/>
        </w:rPr>
        <w:t xml:space="preserve"> </w:t>
      </w:r>
      <w:r>
        <w:rPr>
          <w:color w:val="231F20"/>
        </w:rPr>
        <w:t>initiatives,</w:t>
      </w:r>
      <w:r>
        <w:rPr>
          <w:color w:val="231F20"/>
          <w:spacing w:val="-10"/>
        </w:rPr>
        <w:t xml:space="preserve"> </w:t>
      </w:r>
      <w:r>
        <w:rPr>
          <w:color w:val="231F20"/>
        </w:rPr>
        <w:t>that</w:t>
      </w:r>
      <w:r>
        <w:rPr>
          <w:color w:val="231F20"/>
          <w:spacing w:val="-10"/>
        </w:rPr>
        <w:t xml:space="preserve"> </w:t>
      </w:r>
      <w:r>
        <w:rPr>
          <w:color w:val="231F20"/>
        </w:rPr>
        <w:t>ensure</w:t>
      </w:r>
      <w:r>
        <w:rPr>
          <w:color w:val="231F20"/>
          <w:spacing w:val="-11"/>
        </w:rPr>
        <w:t xml:space="preserve"> </w:t>
      </w:r>
      <w:r>
        <w:rPr>
          <w:color w:val="231F20"/>
        </w:rPr>
        <w:t>our</w:t>
      </w:r>
      <w:r>
        <w:rPr>
          <w:color w:val="231F20"/>
          <w:spacing w:val="-10"/>
        </w:rPr>
        <w:t xml:space="preserve"> </w:t>
      </w:r>
      <w:r>
        <w:rPr>
          <w:color w:val="231F20"/>
        </w:rPr>
        <w:t>organisation</w:t>
      </w:r>
      <w:r>
        <w:rPr>
          <w:color w:val="231F20"/>
          <w:spacing w:val="-11"/>
        </w:rPr>
        <w:t xml:space="preserve"> </w:t>
      </w:r>
      <w:r>
        <w:rPr>
          <w:color w:val="231F20"/>
        </w:rPr>
        <w:t>continues</w:t>
      </w:r>
      <w:r>
        <w:rPr>
          <w:color w:val="231F20"/>
          <w:spacing w:val="-10"/>
        </w:rPr>
        <w:t xml:space="preserve"> </w:t>
      </w:r>
      <w:r>
        <w:rPr>
          <w:color w:val="231F20"/>
        </w:rPr>
        <w:t>to</w:t>
      </w:r>
      <w:r>
        <w:rPr>
          <w:color w:val="231F20"/>
          <w:spacing w:val="-11"/>
        </w:rPr>
        <w:t xml:space="preserve"> </w:t>
      </w:r>
      <w:r>
        <w:rPr>
          <w:color w:val="231F20"/>
        </w:rPr>
        <w:t>deliver positive, community-based outcomes for all Victorians.</w:t>
      </w:r>
    </w:p>
    <w:p w14:paraId="5DA77CC0" w14:textId="77777777" w:rsidR="00345EE3" w:rsidRDefault="00345EE3" w:rsidP="00345EE3">
      <w:pPr>
        <w:spacing w:before="127" w:line="360" w:lineRule="auto"/>
        <w:ind w:left="108"/>
        <w:jc w:val="both"/>
        <w:rPr>
          <w:rFonts w:ascii="Arial-BoldItalicMT" w:hAnsi="Arial-BoldItalicMT"/>
          <w:b/>
          <w:i/>
          <w:sz w:val="18"/>
        </w:rPr>
      </w:pPr>
      <w:r>
        <w:rPr>
          <w:color w:val="231F20"/>
          <w:sz w:val="18"/>
        </w:rPr>
        <w:t>Table</w:t>
      </w:r>
      <w:r>
        <w:rPr>
          <w:color w:val="231F20"/>
          <w:spacing w:val="-6"/>
          <w:sz w:val="18"/>
        </w:rPr>
        <w:t xml:space="preserve"> </w:t>
      </w:r>
      <w:r>
        <w:rPr>
          <w:color w:val="231F20"/>
          <w:sz w:val="18"/>
        </w:rPr>
        <w:t>4.1:</w:t>
      </w:r>
      <w:r>
        <w:rPr>
          <w:color w:val="231F20"/>
          <w:spacing w:val="-6"/>
          <w:sz w:val="18"/>
        </w:rPr>
        <w:t xml:space="preserve"> </w:t>
      </w:r>
      <w:r>
        <w:rPr>
          <w:rFonts w:ascii="Arial-BoldItalicMT" w:hAnsi="Arial-BoldItalicMT"/>
          <w:b/>
          <w:i/>
          <w:color w:val="231F20"/>
          <w:sz w:val="18"/>
        </w:rPr>
        <w:t>Annual</w:t>
      </w:r>
      <w:r>
        <w:rPr>
          <w:rFonts w:ascii="Arial-BoldItalicMT" w:hAnsi="Arial-BoldItalicMT"/>
          <w:b/>
          <w:i/>
          <w:color w:val="231F20"/>
          <w:spacing w:val="-9"/>
          <w:sz w:val="18"/>
        </w:rPr>
        <w:t xml:space="preserve"> </w:t>
      </w:r>
      <w:r>
        <w:rPr>
          <w:rFonts w:ascii="Arial-BoldItalicMT" w:hAnsi="Arial-BoldItalicMT"/>
          <w:b/>
          <w:i/>
          <w:color w:val="231F20"/>
          <w:sz w:val="18"/>
        </w:rPr>
        <w:t>Plan</w:t>
      </w:r>
      <w:r>
        <w:rPr>
          <w:rFonts w:ascii="Arial-BoldItalicMT" w:hAnsi="Arial-BoldItalicMT"/>
          <w:b/>
          <w:i/>
          <w:color w:val="231F20"/>
          <w:spacing w:val="-9"/>
          <w:sz w:val="18"/>
        </w:rPr>
        <w:t xml:space="preserve"> </w:t>
      </w:r>
      <w:r>
        <w:rPr>
          <w:rFonts w:ascii="Arial-BoldItalicMT" w:hAnsi="Arial-BoldItalicMT"/>
          <w:b/>
          <w:i/>
          <w:color w:val="231F20"/>
          <w:sz w:val="18"/>
        </w:rPr>
        <w:t>Action</w:t>
      </w:r>
      <w:r>
        <w:rPr>
          <w:rFonts w:ascii="Arial-BoldItalicMT" w:hAnsi="Arial-BoldItalicMT"/>
          <w:b/>
          <w:i/>
          <w:color w:val="231F20"/>
          <w:spacing w:val="-8"/>
          <w:sz w:val="18"/>
        </w:rPr>
        <w:t xml:space="preserve"> </w:t>
      </w:r>
      <w:r>
        <w:rPr>
          <w:rFonts w:ascii="Arial-BoldItalicMT" w:hAnsi="Arial-BoldItalicMT"/>
          <w:b/>
          <w:i/>
          <w:color w:val="231F20"/>
          <w:sz w:val="18"/>
        </w:rPr>
        <w:t>Item</w:t>
      </w:r>
      <w:r>
        <w:rPr>
          <w:rFonts w:ascii="Arial-BoldItalicMT" w:hAnsi="Arial-BoldItalicMT"/>
          <w:b/>
          <w:i/>
          <w:color w:val="231F20"/>
          <w:spacing w:val="-9"/>
          <w:sz w:val="18"/>
        </w:rPr>
        <w:t xml:space="preserve"> </w:t>
      </w:r>
      <w:r>
        <w:rPr>
          <w:rFonts w:ascii="Arial-BoldItalicMT" w:hAnsi="Arial-BoldItalicMT"/>
          <w:b/>
          <w:i/>
          <w:color w:val="231F20"/>
          <w:sz w:val="18"/>
        </w:rPr>
        <w:t>Outcomes</w:t>
      </w:r>
      <w:r>
        <w:rPr>
          <w:rFonts w:ascii="Arial-BoldItalicMT" w:hAnsi="Arial-BoldItalicMT"/>
          <w:b/>
          <w:i/>
          <w:color w:val="231F20"/>
          <w:spacing w:val="-9"/>
          <w:sz w:val="18"/>
        </w:rPr>
        <w:t xml:space="preserve"> </w:t>
      </w:r>
      <w:r>
        <w:rPr>
          <w:rFonts w:ascii="Arial-BoldItalicMT" w:hAnsi="Arial-BoldItalicMT"/>
          <w:b/>
          <w:i/>
          <w:color w:val="231F20"/>
          <w:sz w:val="18"/>
        </w:rPr>
        <w:t>for</w:t>
      </w:r>
      <w:r>
        <w:rPr>
          <w:rFonts w:ascii="Arial-BoldItalicMT" w:hAnsi="Arial-BoldItalicMT"/>
          <w:b/>
          <w:i/>
          <w:color w:val="231F20"/>
          <w:spacing w:val="-8"/>
          <w:sz w:val="18"/>
        </w:rPr>
        <w:t xml:space="preserve"> </w:t>
      </w:r>
      <w:r>
        <w:rPr>
          <w:rFonts w:ascii="Arial-BoldItalicMT" w:hAnsi="Arial-BoldItalicMT"/>
          <w:b/>
          <w:i/>
          <w:color w:val="231F20"/>
          <w:spacing w:val="-2"/>
          <w:sz w:val="18"/>
        </w:rPr>
        <w:t>2021–22</w:t>
      </w: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402"/>
        <w:gridCol w:w="6801"/>
      </w:tblGrid>
      <w:tr w:rsidR="00345EE3" w14:paraId="59C06A57" w14:textId="77777777" w:rsidTr="00D73130">
        <w:trPr>
          <w:trHeight w:val="401"/>
        </w:trPr>
        <w:tc>
          <w:tcPr>
            <w:tcW w:w="10203" w:type="dxa"/>
            <w:gridSpan w:val="2"/>
            <w:tcBorders>
              <w:top w:val="nil"/>
              <w:left w:val="nil"/>
              <w:bottom w:val="nil"/>
              <w:right w:val="nil"/>
            </w:tcBorders>
            <w:shd w:val="clear" w:color="auto" w:fill="00529F"/>
          </w:tcPr>
          <w:p w14:paraId="7D69AA8A" w14:textId="77777777" w:rsidR="00345EE3" w:rsidRDefault="00345EE3" w:rsidP="00D73130">
            <w:pPr>
              <w:pStyle w:val="TableParagraph"/>
              <w:spacing w:before="63"/>
              <w:ind w:left="-1"/>
              <w:jc w:val="left"/>
              <w:rPr>
                <w:b/>
                <w:sz w:val="24"/>
              </w:rPr>
            </w:pPr>
            <w:r>
              <w:rPr>
                <w:b/>
                <w:color w:val="FFFFFF"/>
                <w:sz w:val="24"/>
              </w:rPr>
              <w:t>Community</w:t>
            </w:r>
            <w:r>
              <w:rPr>
                <w:b/>
                <w:color w:val="FFFFFF"/>
                <w:spacing w:val="1"/>
                <w:sz w:val="24"/>
              </w:rPr>
              <w:t xml:space="preserve"> </w:t>
            </w:r>
            <w:r>
              <w:rPr>
                <w:b/>
                <w:color w:val="FFFFFF"/>
                <w:spacing w:val="-2"/>
                <w:sz w:val="24"/>
              </w:rPr>
              <w:t>Safety</w:t>
            </w:r>
          </w:p>
        </w:tc>
      </w:tr>
      <w:tr w:rsidR="00345EE3" w14:paraId="5E230B79" w14:textId="77777777" w:rsidTr="00D73130">
        <w:trPr>
          <w:trHeight w:val="3032"/>
        </w:trPr>
        <w:tc>
          <w:tcPr>
            <w:tcW w:w="3402" w:type="dxa"/>
            <w:tcBorders>
              <w:top w:val="nil"/>
              <w:left w:val="nil"/>
            </w:tcBorders>
          </w:tcPr>
          <w:p w14:paraId="45BC6F56" w14:textId="77777777" w:rsidR="00345EE3" w:rsidRDefault="00345EE3" w:rsidP="00D73130">
            <w:pPr>
              <w:pStyle w:val="TableParagraph"/>
              <w:spacing w:before="63" w:line="242" w:lineRule="auto"/>
              <w:ind w:left="-3"/>
              <w:jc w:val="left"/>
              <w:rPr>
                <w:i/>
                <w:sz w:val="24"/>
              </w:rPr>
            </w:pPr>
            <w:r>
              <w:rPr>
                <w:i/>
                <w:color w:val="231F20"/>
                <w:spacing w:val="-4"/>
                <w:sz w:val="24"/>
              </w:rPr>
              <w:t>Neighbourhood</w:t>
            </w:r>
            <w:r>
              <w:rPr>
                <w:i/>
                <w:color w:val="231F20"/>
                <w:spacing w:val="-13"/>
                <w:sz w:val="24"/>
              </w:rPr>
              <w:t xml:space="preserve"> </w:t>
            </w:r>
            <w:r>
              <w:rPr>
                <w:i/>
                <w:color w:val="231F20"/>
                <w:spacing w:val="-4"/>
                <w:sz w:val="24"/>
              </w:rPr>
              <w:t>Policing</w:t>
            </w:r>
            <w:r>
              <w:rPr>
                <w:i/>
                <w:color w:val="231F20"/>
                <w:spacing w:val="-13"/>
                <w:sz w:val="24"/>
              </w:rPr>
              <w:t xml:space="preserve"> </w:t>
            </w:r>
            <w:r>
              <w:rPr>
                <w:i/>
                <w:color w:val="231F20"/>
                <w:spacing w:val="-4"/>
                <w:sz w:val="24"/>
              </w:rPr>
              <w:t xml:space="preserve">(NHP) </w:t>
            </w:r>
            <w:r>
              <w:rPr>
                <w:i/>
                <w:color w:val="231F20"/>
                <w:spacing w:val="-2"/>
                <w:sz w:val="24"/>
              </w:rPr>
              <w:t>Model</w:t>
            </w:r>
          </w:p>
        </w:tc>
        <w:tc>
          <w:tcPr>
            <w:tcW w:w="6801" w:type="dxa"/>
            <w:tcBorders>
              <w:top w:val="nil"/>
              <w:right w:val="nil"/>
            </w:tcBorders>
          </w:tcPr>
          <w:p w14:paraId="69080703" w14:textId="77777777" w:rsidR="00345EE3" w:rsidRDefault="00345EE3" w:rsidP="00D73130">
            <w:pPr>
              <w:pStyle w:val="TableParagraph"/>
              <w:spacing w:before="63" w:line="242" w:lineRule="auto"/>
              <w:ind w:left="-1"/>
              <w:jc w:val="left"/>
              <w:rPr>
                <w:sz w:val="24"/>
              </w:rPr>
            </w:pPr>
            <w:r>
              <w:rPr>
                <w:color w:val="231F20"/>
                <w:sz w:val="24"/>
              </w:rPr>
              <w:t>The</w:t>
            </w:r>
            <w:r>
              <w:rPr>
                <w:color w:val="231F20"/>
                <w:spacing w:val="-7"/>
                <w:sz w:val="24"/>
              </w:rPr>
              <w:t xml:space="preserve"> </w:t>
            </w:r>
            <w:r>
              <w:rPr>
                <w:color w:val="231F20"/>
                <w:sz w:val="24"/>
              </w:rPr>
              <w:t>Victoria</w:t>
            </w:r>
            <w:r>
              <w:rPr>
                <w:color w:val="231F20"/>
                <w:spacing w:val="-7"/>
                <w:sz w:val="24"/>
              </w:rPr>
              <w:t xml:space="preserve"> </w:t>
            </w:r>
            <w:r>
              <w:rPr>
                <w:color w:val="231F20"/>
                <w:sz w:val="24"/>
              </w:rPr>
              <w:t>Police</w:t>
            </w:r>
            <w:r>
              <w:rPr>
                <w:color w:val="231F20"/>
                <w:spacing w:val="-7"/>
                <w:sz w:val="24"/>
              </w:rPr>
              <w:t xml:space="preserve"> </w:t>
            </w:r>
            <w:r>
              <w:rPr>
                <w:color w:val="231F20"/>
                <w:sz w:val="24"/>
              </w:rPr>
              <w:t>NHP</w:t>
            </w:r>
            <w:r>
              <w:rPr>
                <w:color w:val="231F20"/>
                <w:spacing w:val="-6"/>
                <w:sz w:val="24"/>
              </w:rPr>
              <w:t xml:space="preserve"> </w:t>
            </w:r>
            <w:r>
              <w:rPr>
                <w:color w:val="231F20"/>
                <w:sz w:val="24"/>
              </w:rPr>
              <w:t>model</w:t>
            </w:r>
            <w:r>
              <w:rPr>
                <w:color w:val="231F20"/>
                <w:spacing w:val="-7"/>
                <w:sz w:val="24"/>
              </w:rPr>
              <w:t xml:space="preserve"> </w:t>
            </w:r>
            <w:r>
              <w:rPr>
                <w:color w:val="231F20"/>
                <w:sz w:val="24"/>
              </w:rPr>
              <w:t>is</w:t>
            </w:r>
            <w:r>
              <w:rPr>
                <w:color w:val="231F20"/>
                <w:spacing w:val="-6"/>
                <w:sz w:val="24"/>
              </w:rPr>
              <w:t xml:space="preserve"> </w:t>
            </w:r>
            <w:r>
              <w:rPr>
                <w:color w:val="231F20"/>
                <w:sz w:val="24"/>
              </w:rPr>
              <w:t>a</w:t>
            </w:r>
            <w:r>
              <w:rPr>
                <w:color w:val="231F20"/>
                <w:spacing w:val="-7"/>
                <w:sz w:val="24"/>
              </w:rPr>
              <w:t xml:space="preserve"> </w:t>
            </w:r>
            <w:r>
              <w:rPr>
                <w:color w:val="231F20"/>
                <w:sz w:val="24"/>
              </w:rPr>
              <w:t>new</w:t>
            </w:r>
            <w:r>
              <w:rPr>
                <w:color w:val="231F20"/>
                <w:spacing w:val="-7"/>
                <w:sz w:val="24"/>
              </w:rPr>
              <w:t xml:space="preserve"> </w:t>
            </w:r>
            <w:r>
              <w:rPr>
                <w:color w:val="231F20"/>
                <w:sz w:val="24"/>
              </w:rPr>
              <w:t>community</w:t>
            </w:r>
            <w:r>
              <w:rPr>
                <w:color w:val="231F20"/>
                <w:spacing w:val="-6"/>
                <w:sz w:val="24"/>
              </w:rPr>
              <w:t xml:space="preserve"> </w:t>
            </w:r>
            <w:r>
              <w:rPr>
                <w:color w:val="231F20"/>
                <w:sz w:val="24"/>
              </w:rPr>
              <w:t>policing</w:t>
            </w:r>
            <w:r>
              <w:rPr>
                <w:color w:val="231F20"/>
                <w:spacing w:val="-7"/>
                <w:sz w:val="24"/>
              </w:rPr>
              <w:t xml:space="preserve"> </w:t>
            </w:r>
            <w:r>
              <w:rPr>
                <w:color w:val="231F20"/>
                <w:sz w:val="24"/>
              </w:rPr>
              <w:t>and engagement model aiming to increase Victoria Police’s focus</w:t>
            </w:r>
          </w:p>
          <w:p w14:paraId="7401F6F2" w14:textId="77777777" w:rsidR="00345EE3" w:rsidRDefault="00345EE3" w:rsidP="00D73130">
            <w:pPr>
              <w:pStyle w:val="TableParagraph"/>
              <w:spacing w:before="2" w:line="242" w:lineRule="auto"/>
              <w:ind w:left="-1"/>
              <w:jc w:val="left"/>
              <w:rPr>
                <w:sz w:val="24"/>
              </w:rPr>
            </w:pPr>
            <w:r>
              <w:rPr>
                <w:color w:val="231F20"/>
                <w:sz w:val="24"/>
              </w:rPr>
              <w:t>on</w:t>
            </w:r>
            <w:r>
              <w:rPr>
                <w:color w:val="231F20"/>
                <w:spacing w:val="-9"/>
                <w:sz w:val="24"/>
              </w:rPr>
              <w:t xml:space="preserve"> </w:t>
            </w:r>
            <w:r>
              <w:rPr>
                <w:color w:val="231F20"/>
                <w:sz w:val="24"/>
              </w:rPr>
              <w:t>the</w:t>
            </w:r>
            <w:r>
              <w:rPr>
                <w:color w:val="231F20"/>
                <w:spacing w:val="-9"/>
                <w:sz w:val="24"/>
              </w:rPr>
              <w:t xml:space="preserve"> </w:t>
            </w:r>
            <w:r>
              <w:rPr>
                <w:color w:val="231F20"/>
                <w:sz w:val="24"/>
              </w:rPr>
              <w:t>issues</w:t>
            </w:r>
            <w:r>
              <w:rPr>
                <w:color w:val="231F20"/>
                <w:spacing w:val="-8"/>
                <w:sz w:val="24"/>
              </w:rPr>
              <w:t xml:space="preserve"> </w:t>
            </w:r>
            <w:r>
              <w:rPr>
                <w:color w:val="231F20"/>
                <w:sz w:val="24"/>
              </w:rPr>
              <w:t>that</w:t>
            </w:r>
            <w:r>
              <w:rPr>
                <w:color w:val="231F20"/>
                <w:spacing w:val="-8"/>
                <w:sz w:val="24"/>
              </w:rPr>
              <w:t xml:space="preserve"> </w:t>
            </w:r>
            <w:r>
              <w:rPr>
                <w:color w:val="231F20"/>
                <w:sz w:val="24"/>
              </w:rPr>
              <w:t>matter</w:t>
            </w:r>
            <w:r>
              <w:rPr>
                <w:color w:val="231F20"/>
                <w:spacing w:val="-8"/>
                <w:sz w:val="24"/>
              </w:rPr>
              <w:t xml:space="preserve"> </w:t>
            </w:r>
            <w:r>
              <w:rPr>
                <w:color w:val="231F20"/>
                <w:sz w:val="24"/>
              </w:rPr>
              <w:t>most</w:t>
            </w:r>
            <w:r>
              <w:rPr>
                <w:color w:val="231F20"/>
                <w:spacing w:val="-8"/>
                <w:sz w:val="24"/>
              </w:rPr>
              <w:t xml:space="preserve"> </w:t>
            </w:r>
            <w:r>
              <w:rPr>
                <w:color w:val="231F20"/>
                <w:sz w:val="24"/>
              </w:rPr>
              <w:t>to</w:t>
            </w:r>
            <w:r>
              <w:rPr>
                <w:color w:val="231F20"/>
                <w:spacing w:val="-9"/>
                <w:sz w:val="24"/>
              </w:rPr>
              <w:t xml:space="preserve"> </w:t>
            </w:r>
            <w:r>
              <w:rPr>
                <w:color w:val="231F20"/>
                <w:sz w:val="24"/>
              </w:rPr>
              <w:t>the</w:t>
            </w:r>
            <w:r>
              <w:rPr>
                <w:color w:val="231F20"/>
                <w:spacing w:val="-9"/>
                <w:sz w:val="24"/>
              </w:rPr>
              <w:t xml:space="preserve"> </w:t>
            </w:r>
            <w:r>
              <w:rPr>
                <w:color w:val="231F20"/>
                <w:sz w:val="24"/>
              </w:rPr>
              <w:t>community</w:t>
            </w:r>
            <w:r>
              <w:rPr>
                <w:color w:val="231F20"/>
                <w:spacing w:val="-8"/>
                <w:sz w:val="24"/>
              </w:rPr>
              <w:t xml:space="preserve"> </w:t>
            </w:r>
            <w:r>
              <w:rPr>
                <w:color w:val="231F20"/>
                <w:sz w:val="24"/>
              </w:rPr>
              <w:t>and</w:t>
            </w:r>
            <w:r>
              <w:rPr>
                <w:color w:val="231F20"/>
                <w:spacing w:val="-9"/>
                <w:sz w:val="24"/>
              </w:rPr>
              <w:t xml:space="preserve"> </w:t>
            </w:r>
            <w:r>
              <w:rPr>
                <w:color w:val="231F20"/>
                <w:sz w:val="24"/>
              </w:rPr>
              <w:t>to</w:t>
            </w:r>
            <w:r>
              <w:rPr>
                <w:color w:val="231F20"/>
                <w:spacing w:val="-9"/>
                <w:sz w:val="24"/>
              </w:rPr>
              <w:t xml:space="preserve"> </w:t>
            </w:r>
            <w:r>
              <w:rPr>
                <w:color w:val="231F20"/>
                <w:sz w:val="24"/>
              </w:rPr>
              <w:t>improve safety at the local level. The model was initially trialled across eight Police Service Areas commencing September 2021 and was formally launched state-wide on 1 April 2022.</w:t>
            </w:r>
          </w:p>
          <w:p w14:paraId="0A6BA198" w14:textId="77777777" w:rsidR="00345EE3" w:rsidRDefault="00345EE3" w:rsidP="00D73130">
            <w:pPr>
              <w:pStyle w:val="TableParagraph"/>
              <w:spacing w:before="119" w:line="242" w:lineRule="auto"/>
              <w:ind w:left="-1" w:right="186"/>
              <w:jc w:val="left"/>
              <w:rPr>
                <w:sz w:val="24"/>
              </w:rPr>
            </w:pPr>
            <w:r>
              <w:rPr>
                <w:color w:val="231F20"/>
                <w:sz w:val="24"/>
              </w:rPr>
              <w:t>A</w:t>
            </w:r>
            <w:r>
              <w:rPr>
                <w:color w:val="231F20"/>
                <w:spacing w:val="-6"/>
                <w:sz w:val="24"/>
              </w:rPr>
              <w:t xml:space="preserve"> </w:t>
            </w:r>
            <w:r>
              <w:rPr>
                <w:color w:val="231F20"/>
                <w:sz w:val="24"/>
              </w:rPr>
              <w:t>community</w:t>
            </w:r>
            <w:r>
              <w:rPr>
                <w:color w:val="231F20"/>
                <w:spacing w:val="-6"/>
                <w:sz w:val="24"/>
              </w:rPr>
              <w:t xml:space="preserve"> </w:t>
            </w:r>
            <w:r>
              <w:rPr>
                <w:color w:val="231F20"/>
                <w:sz w:val="24"/>
              </w:rPr>
              <w:t>safety</w:t>
            </w:r>
            <w:r>
              <w:rPr>
                <w:color w:val="231F20"/>
                <w:spacing w:val="-6"/>
                <w:sz w:val="24"/>
              </w:rPr>
              <w:t xml:space="preserve"> </w:t>
            </w:r>
            <w:r>
              <w:rPr>
                <w:color w:val="231F20"/>
                <w:sz w:val="24"/>
              </w:rPr>
              <w:t>survey</w:t>
            </w:r>
            <w:r>
              <w:rPr>
                <w:color w:val="231F20"/>
                <w:spacing w:val="-6"/>
                <w:sz w:val="24"/>
              </w:rPr>
              <w:t xml:space="preserve"> </w:t>
            </w:r>
            <w:r>
              <w:rPr>
                <w:color w:val="231F20"/>
                <w:sz w:val="24"/>
              </w:rPr>
              <w:t>was</w:t>
            </w:r>
            <w:r>
              <w:rPr>
                <w:color w:val="231F20"/>
                <w:spacing w:val="-6"/>
                <w:sz w:val="24"/>
              </w:rPr>
              <w:t xml:space="preserve"> </w:t>
            </w:r>
            <w:r>
              <w:rPr>
                <w:color w:val="231F20"/>
                <w:sz w:val="24"/>
              </w:rPr>
              <w:t>run</w:t>
            </w:r>
            <w:r>
              <w:rPr>
                <w:color w:val="231F20"/>
                <w:spacing w:val="-7"/>
                <w:sz w:val="24"/>
              </w:rPr>
              <w:t xml:space="preserve"> </w:t>
            </w:r>
            <w:r>
              <w:rPr>
                <w:color w:val="231F20"/>
                <w:sz w:val="24"/>
              </w:rPr>
              <w:t>to</w:t>
            </w:r>
            <w:r>
              <w:rPr>
                <w:color w:val="231F20"/>
                <w:spacing w:val="-7"/>
                <w:sz w:val="24"/>
              </w:rPr>
              <w:t xml:space="preserve"> </w:t>
            </w:r>
            <w:r>
              <w:rPr>
                <w:color w:val="231F20"/>
                <w:sz w:val="24"/>
              </w:rPr>
              <w:t>support</w:t>
            </w:r>
            <w:r>
              <w:rPr>
                <w:color w:val="231F20"/>
                <w:spacing w:val="-6"/>
                <w:sz w:val="24"/>
              </w:rPr>
              <w:t xml:space="preserve"> </w:t>
            </w:r>
            <w:r>
              <w:rPr>
                <w:color w:val="231F20"/>
                <w:sz w:val="24"/>
              </w:rPr>
              <w:t>the</w:t>
            </w:r>
            <w:r>
              <w:rPr>
                <w:color w:val="231F20"/>
                <w:spacing w:val="-7"/>
                <w:sz w:val="24"/>
              </w:rPr>
              <w:t xml:space="preserve"> </w:t>
            </w:r>
            <w:r>
              <w:rPr>
                <w:color w:val="231F20"/>
                <w:sz w:val="24"/>
              </w:rPr>
              <w:t>model</w:t>
            </w:r>
            <w:r>
              <w:rPr>
                <w:color w:val="231F20"/>
                <w:spacing w:val="-7"/>
                <w:sz w:val="24"/>
              </w:rPr>
              <w:t xml:space="preserve"> </w:t>
            </w:r>
            <w:r>
              <w:rPr>
                <w:color w:val="231F20"/>
                <w:sz w:val="24"/>
              </w:rPr>
              <w:t>on the Engage Victoria platform. The NHP is going through an evaluation phase, while developing an audit and assurance framework to be delivered across the organisation.</w:t>
            </w:r>
          </w:p>
        </w:tc>
      </w:tr>
      <w:tr w:rsidR="00345EE3" w14:paraId="61A749EF" w14:textId="77777777" w:rsidTr="00D73130">
        <w:trPr>
          <w:trHeight w:val="2749"/>
        </w:trPr>
        <w:tc>
          <w:tcPr>
            <w:tcW w:w="3402" w:type="dxa"/>
            <w:tcBorders>
              <w:left w:val="nil"/>
            </w:tcBorders>
          </w:tcPr>
          <w:p w14:paraId="017C1733" w14:textId="77777777" w:rsidR="00345EE3" w:rsidRDefault="00345EE3" w:rsidP="00D73130">
            <w:pPr>
              <w:pStyle w:val="TableParagraph"/>
              <w:spacing w:before="61"/>
              <w:ind w:left="-3"/>
              <w:jc w:val="left"/>
              <w:rPr>
                <w:i/>
                <w:sz w:val="24"/>
              </w:rPr>
            </w:pPr>
            <w:r>
              <w:rPr>
                <w:i/>
                <w:color w:val="231F20"/>
                <w:spacing w:val="-4"/>
                <w:sz w:val="24"/>
              </w:rPr>
              <w:t>PSO</w:t>
            </w:r>
            <w:r>
              <w:rPr>
                <w:i/>
                <w:color w:val="231F20"/>
                <w:spacing w:val="-9"/>
                <w:sz w:val="24"/>
              </w:rPr>
              <w:t xml:space="preserve"> </w:t>
            </w:r>
            <w:r>
              <w:rPr>
                <w:i/>
                <w:color w:val="231F20"/>
                <w:spacing w:val="-4"/>
                <w:sz w:val="24"/>
              </w:rPr>
              <w:t>Reform</w:t>
            </w:r>
            <w:r>
              <w:rPr>
                <w:i/>
                <w:color w:val="231F20"/>
                <w:spacing w:val="-8"/>
                <w:sz w:val="24"/>
              </w:rPr>
              <w:t xml:space="preserve"> </w:t>
            </w:r>
            <w:r>
              <w:rPr>
                <w:i/>
                <w:color w:val="231F20"/>
                <w:spacing w:val="-4"/>
                <w:sz w:val="24"/>
              </w:rPr>
              <w:t>Model</w:t>
            </w:r>
          </w:p>
        </w:tc>
        <w:tc>
          <w:tcPr>
            <w:tcW w:w="6801" w:type="dxa"/>
            <w:tcBorders>
              <w:right w:val="nil"/>
            </w:tcBorders>
          </w:tcPr>
          <w:p w14:paraId="1092A4C5" w14:textId="77777777" w:rsidR="00345EE3" w:rsidRDefault="00345EE3" w:rsidP="00D73130">
            <w:pPr>
              <w:pStyle w:val="TableParagraph"/>
              <w:spacing w:before="61" w:line="242" w:lineRule="auto"/>
              <w:ind w:left="-1" w:right="186"/>
              <w:jc w:val="left"/>
              <w:rPr>
                <w:sz w:val="24"/>
              </w:rPr>
            </w:pPr>
            <w:r>
              <w:rPr>
                <w:color w:val="231F20"/>
                <w:sz w:val="24"/>
              </w:rPr>
              <w:t xml:space="preserve">In 2021–22, the Victoria Police PSO Reform Project commenced delivery of the workplace changes for PSOs outlined in the 2019 Enterprise Bargaining Agreement, </w:t>
            </w:r>
            <w:r>
              <w:rPr>
                <w:color w:val="231F20"/>
                <w:spacing w:val="-2"/>
                <w:sz w:val="24"/>
              </w:rPr>
              <w:t>Community</w:t>
            </w:r>
            <w:r>
              <w:rPr>
                <w:color w:val="231F20"/>
                <w:spacing w:val="-15"/>
                <w:sz w:val="24"/>
              </w:rPr>
              <w:t xml:space="preserve"> </w:t>
            </w:r>
            <w:r>
              <w:rPr>
                <w:color w:val="231F20"/>
                <w:spacing w:val="-2"/>
                <w:sz w:val="24"/>
              </w:rPr>
              <w:t>Safety</w:t>
            </w:r>
            <w:r>
              <w:rPr>
                <w:color w:val="231F20"/>
                <w:spacing w:val="-10"/>
                <w:sz w:val="24"/>
              </w:rPr>
              <w:t xml:space="preserve"> </w:t>
            </w:r>
            <w:r>
              <w:rPr>
                <w:color w:val="231F20"/>
                <w:spacing w:val="-2"/>
                <w:sz w:val="24"/>
              </w:rPr>
              <w:t>Statement</w:t>
            </w:r>
            <w:r>
              <w:rPr>
                <w:color w:val="231F20"/>
                <w:spacing w:val="-10"/>
                <w:sz w:val="24"/>
              </w:rPr>
              <w:t xml:space="preserve"> </w:t>
            </w:r>
            <w:r>
              <w:rPr>
                <w:color w:val="231F20"/>
                <w:spacing w:val="-2"/>
                <w:sz w:val="24"/>
              </w:rPr>
              <w:t>2018</w:t>
            </w:r>
            <w:r>
              <w:rPr>
                <w:color w:val="231F20"/>
                <w:spacing w:val="-11"/>
                <w:sz w:val="24"/>
              </w:rPr>
              <w:t xml:space="preserve"> </w:t>
            </w:r>
            <w:r>
              <w:rPr>
                <w:color w:val="231F20"/>
                <w:spacing w:val="-2"/>
                <w:sz w:val="24"/>
              </w:rPr>
              <w:t>and</w:t>
            </w:r>
            <w:r>
              <w:rPr>
                <w:color w:val="231F20"/>
                <w:spacing w:val="-11"/>
                <w:sz w:val="24"/>
              </w:rPr>
              <w:t xml:space="preserve"> </w:t>
            </w:r>
            <w:r>
              <w:rPr>
                <w:i/>
                <w:color w:val="231F20"/>
                <w:spacing w:val="-2"/>
                <w:sz w:val="24"/>
              </w:rPr>
              <w:t>Police</w:t>
            </w:r>
            <w:r>
              <w:rPr>
                <w:i/>
                <w:color w:val="231F20"/>
                <w:spacing w:val="-15"/>
                <w:sz w:val="24"/>
              </w:rPr>
              <w:t xml:space="preserve"> </w:t>
            </w:r>
            <w:r>
              <w:rPr>
                <w:i/>
                <w:color w:val="231F20"/>
                <w:spacing w:val="-2"/>
                <w:sz w:val="24"/>
              </w:rPr>
              <w:t>and</w:t>
            </w:r>
            <w:r>
              <w:rPr>
                <w:i/>
                <w:color w:val="231F20"/>
                <w:spacing w:val="-15"/>
                <w:sz w:val="24"/>
              </w:rPr>
              <w:t xml:space="preserve"> </w:t>
            </w:r>
            <w:r>
              <w:rPr>
                <w:i/>
                <w:color w:val="231F20"/>
                <w:spacing w:val="-2"/>
                <w:sz w:val="24"/>
              </w:rPr>
              <w:t xml:space="preserve">Emergency </w:t>
            </w:r>
            <w:r>
              <w:rPr>
                <w:i/>
                <w:color w:val="231F20"/>
                <w:sz w:val="24"/>
              </w:rPr>
              <w:t xml:space="preserve">Legislation Amendment Act </w:t>
            </w:r>
            <w:r>
              <w:rPr>
                <w:color w:val="231F20"/>
                <w:sz w:val="24"/>
              </w:rPr>
              <w:t>2020.</w:t>
            </w:r>
          </w:p>
          <w:p w14:paraId="64C7D79B" w14:textId="77777777" w:rsidR="00345EE3" w:rsidRDefault="00345EE3" w:rsidP="00D73130">
            <w:pPr>
              <w:pStyle w:val="TableParagraph"/>
              <w:spacing w:before="120" w:line="242" w:lineRule="auto"/>
              <w:ind w:left="-1"/>
              <w:jc w:val="left"/>
              <w:rPr>
                <w:sz w:val="24"/>
              </w:rPr>
            </w:pPr>
            <w:r>
              <w:rPr>
                <w:color w:val="231F20"/>
                <w:sz w:val="24"/>
              </w:rPr>
              <w:t>Amendments to the PSO career structure have been implemented, including legislative amendments to support the operationalisation</w:t>
            </w:r>
            <w:r>
              <w:rPr>
                <w:color w:val="231F20"/>
                <w:spacing w:val="-15"/>
                <w:sz w:val="24"/>
              </w:rPr>
              <w:t xml:space="preserve"> </w:t>
            </w:r>
            <w:r>
              <w:rPr>
                <w:color w:val="231F20"/>
                <w:sz w:val="24"/>
              </w:rPr>
              <w:t>of</w:t>
            </w:r>
            <w:r>
              <w:rPr>
                <w:color w:val="231F20"/>
                <w:spacing w:val="-14"/>
                <w:sz w:val="24"/>
              </w:rPr>
              <w:t xml:space="preserve"> </w:t>
            </w:r>
            <w:r>
              <w:rPr>
                <w:color w:val="231F20"/>
                <w:sz w:val="24"/>
              </w:rPr>
              <w:t>the</w:t>
            </w:r>
            <w:r>
              <w:rPr>
                <w:color w:val="231F20"/>
                <w:spacing w:val="-15"/>
                <w:sz w:val="24"/>
              </w:rPr>
              <w:t xml:space="preserve"> </w:t>
            </w:r>
            <w:r>
              <w:rPr>
                <w:color w:val="231F20"/>
                <w:sz w:val="24"/>
              </w:rPr>
              <w:t>model.</w:t>
            </w:r>
            <w:r>
              <w:rPr>
                <w:color w:val="231F20"/>
                <w:spacing w:val="-14"/>
                <w:sz w:val="24"/>
              </w:rPr>
              <w:t xml:space="preserve"> </w:t>
            </w:r>
            <w:r>
              <w:rPr>
                <w:color w:val="231F20"/>
                <w:sz w:val="24"/>
              </w:rPr>
              <w:t>Work</w:t>
            </w:r>
            <w:r>
              <w:rPr>
                <w:color w:val="231F20"/>
                <w:spacing w:val="-14"/>
                <w:sz w:val="24"/>
              </w:rPr>
              <w:t xml:space="preserve"> </w:t>
            </w:r>
            <w:r>
              <w:rPr>
                <w:color w:val="231F20"/>
                <w:sz w:val="24"/>
              </w:rPr>
              <w:t>towards</w:t>
            </w:r>
            <w:r>
              <w:rPr>
                <w:color w:val="231F20"/>
                <w:spacing w:val="-14"/>
                <w:sz w:val="24"/>
              </w:rPr>
              <w:t xml:space="preserve"> </w:t>
            </w:r>
            <w:r>
              <w:rPr>
                <w:color w:val="231F20"/>
                <w:sz w:val="24"/>
              </w:rPr>
              <w:t>a</w:t>
            </w:r>
            <w:r>
              <w:rPr>
                <w:color w:val="231F20"/>
                <w:spacing w:val="-15"/>
                <w:sz w:val="24"/>
              </w:rPr>
              <w:t xml:space="preserve"> </w:t>
            </w:r>
            <w:r>
              <w:rPr>
                <w:color w:val="231F20"/>
                <w:sz w:val="24"/>
              </w:rPr>
              <w:t>fully</w:t>
            </w:r>
            <w:r>
              <w:rPr>
                <w:color w:val="231F20"/>
                <w:spacing w:val="-14"/>
                <w:sz w:val="24"/>
              </w:rPr>
              <w:t xml:space="preserve"> </w:t>
            </w:r>
            <w:r>
              <w:rPr>
                <w:color w:val="231F20"/>
                <w:sz w:val="24"/>
              </w:rPr>
              <w:t>integrated workforce continues and is on track for completion in 2025.</w:t>
            </w:r>
          </w:p>
        </w:tc>
      </w:tr>
      <w:tr w:rsidR="00345EE3" w14:paraId="11CE0CC8" w14:textId="77777777" w:rsidTr="00D73130">
        <w:trPr>
          <w:trHeight w:val="2076"/>
        </w:trPr>
        <w:tc>
          <w:tcPr>
            <w:tcW w:w="3402" w:type="dxa"/>
            <w:tcBorders>
              <w:left w:val="nil"/>
            </w:tcBorders>
          </w:tcPr>
          <w:p w14:paraId="69CC3847" w14:textId="77777777" w:rsidR="00345EE3" w:rsidRDefault="00345EE3" w:rsidP="00D73130">
            <w:pPr>
              <w:pStyle w:val="TableParagraph"/>
              <w:spacing w:before="61"/>
              <w:ind w:left="-3"/>
              <w:jc w:val="left"/>
              <w:rPr>
                <w:i/>
                <w:sz w:val="24"/>
              </w:rPr>
            </w:pPr>
            <w:r>
              <w:rPr>
                <w:i/>
                <w:color w:val="231F20"/>
                <w:spacing w:val="-4"/>
                <w:sz w:val="24"/>
              </w:rPr>
              <w:t>Infrastructure</w:t>
            </w:r>
            <w:r>
              <w:rPr>
                <w:i/>
                <w:color w:val="231F20"/>
                <w:spacing w:val="-8"/>
                <w:sz w:val="24"/>
              </w:rPr>
              <w:t xml:space="preserve"> </w:t>
            </w:r>
            <w:r>
              <w:rPr>
                <w:i/>
                <w:color w:val="231F20"/>
                <w:spacing w:val="-4"/>
                <w:sz w:val="24"/>
              </w:rPr>
              <w:t>Program</w:t>
            </w:r>
            <w:r>
              <w:rPr>
                <w:i/>
                <w:color w:val="231F20"/>
                <w:spacing w:val="-7"/>
                <w:sz w:val="24"/>
              </w:rPr>
              <w:t xml:space="preserve"> </w:t>
            </w:r>
            <w:r>
              <w:rPr>
                <w:i/>
                <w:color w:val="231F20"/>
                <w:spacing w:val="-4"/>
                <w:sz w:val="24"/>
              </w:rPr>
              <w:t>of</w:t>
            </w:r>
            <w:r>
              <w:rPr>
                <w:i/>
                <w:color w:val="231F20"/>
                <w:spacing w:val="-7"/>
                <w:sz w:val="24"/>
              </w:rPr>
              <w:t xml:space="preserve"> </w:t>
            </w:r>
            <w:r>
              <w:rPr>
                <w:i/>
                <w:color w:val="231F20"/>
                <w:spacing w:val="-4"/>
                <w:sz w:val="24"/>
              </w:rPr>
              <w:t>Work</w:t>
            </w:r>
          </w:p>
        </w:tc>
        <w:tc>
          <w:tcPr>
            <w:tcW w:w="6801" w:type="dxa"/>
            <w:tcBorders>
              <w:right w:val="nil"/>
            </w:tcBorders>
          </w:tcPr>
          <w:p w14:paraId="5A97EF8E" w14:textId="77777777" w:rsidR="00345EE3" w:rsidRDefault="00345EE3" w:rsidP="00D73130">
            <w:pPr>
              <w:pStyle w:val="TableParagraph"/>
              <w:spacing w:before="61" w:line="242" w:lineRule="auto"/>
              <w:ind w:left="-1"/>
              <w:jc w:val="left"/>
              <w:rPr>
                <w:sz w:val="24"/>
              </w:rPr>
            </w:pPr>
            <w:r>
              <w:rPr>
                <w:color w:val="231F20"/>
                <w:sz w:val="24"/>
              </w:rPr>
              <w:t>Work to modernise Victoria Police facilities continued over 2021–22</w:t>
            </w:r>
            <w:r>
              <w:rPr>
                <w:color w:val="231F20"/>
                <w:spacing w:val="-16"/>
                <w:sz w:val="24"/>
              </w:rPr>
              <w:t xml:space="preserve"> </w:t>
            </w:r>
            <w:r>
              <w:rPr>
                <w:color w:val="231F20"/>
                <w:sz w:val="24"/>
              </w:rPr>
              <w:t>through</w:t>
            </w:r>
            <w:r>
              <w:rPr>
                <w:color w:val="231F20"/>
                <w:spacing w:val="-16"/>
                <w:sz w:val="24"/>
              </w:rPr>
              <w:t xml:space="preserve"> </w:t>
            </w:r>
            <w:r>
              <w:rPr>
                <w:color w:val="231F20"/>
                <w:sz w:val="24"/>
              </w:rPr>
              <w:t>the</w:t>
            </w:r>
            <w:r>
              <w:rPr>
                <w:color w:val="231F20"/>
                <w:spacing w:val="-16"/>
                <w:sz w:val="24"/>
              </w:rPr>
              <w:t xml:space="preserve"> </w:t>
            </w:r>
            <w:r>
              <w:rPr>
                <w:color w:val="231F20"/>
                <w:sz w:val="24"/>
              </w:rPr>
              <w:t>infrastructure</w:t>
            </w:r>
            <w:r>
              <w:rPr>
                <w:color w:val="231F20"/>
                <w:spacing w:val="-16"/>
                <w:sz w:val="24"/>
              </w:rPr>
              <w:t xml:space="preserve"> </w:t>
            </w:r>
            <w:r>
              <w:rPr>
                <w:color w:val="231F20"/>
                <w:sz w:val="24"/>
              </w:rPr>
              <w:t>program</w:t>
            </w:r>
            <w:r>
              <w:rPr>
                <w:color w:val="231F20"/>
                <w:spacing w:val="-15"/>
                <w:sz w:val="24"/>
              </w:rPr>
              <w:t xml:space="preserve"> </w:t>
            </w:r>
            <w:r>
              <w:rPr>
                <w:color w:val="231F20"/>
                <w:sz w:val="24"/>
              </w:rPr>
              <w:t>of</w:t>
            </w:r>
            <w:r>
              <w:rPr>
                <w:color w:val="231F20"/>
                <w:spacing w:val="-15"/>
                <w:sz w:val="24"/>
              </w:rPr>
              <w:t xml:space="preserve"> </w:t>
            </w:r>
            <w:r>
              <w:rPr>
                <w:color w:val="231F20"/>
                <w:sz w:val="24"/>
              </w:rPr>
              <w:t>works,</w:t>
            </w:r>
            <w:r>
              <w:rPr>
                <w:color w:val="231F20"/>
                <w:spacing w:val="-15"/>
                <w:sz w:val="24"/>
              </w:rPr>
              <w:t xml:space="preserve"> </w:t>
            </w:r>
            <w:r>
              <w:rPr>
                <w:color w:val="231F20"/>
                <w:sz w:val="24"/>
              </w:rPr>
              <w:t>including: establishment of a Steering Committee and Design Review Panel; engagement with external stakeholders including VicRoads, Court Services Victoria and utility authorities; and commencement of detailed design activities. This initiative will continue into 2022–23.</w:t>
            </w:r>
          </w:p>
        </w:tc>
      </w:tr>
      <w:tr w:rsidR="00345EE3" w14:paraId="57E0FBA1" w14:textId="77777777" w:rsidTr="00D73130">
        <w:trPr>
          <w:trHeight w:val="1516"/>
        </w:trPr>
        <w:tc>
          <w:tcPr>
            <w:tcW w:w="3402" w:type="dxa"/>
            <w:tcBorders>
              <w:left w:val="nil"/>
            </w:tcBorders>
          </w:tcPr>
          <w:p w14:paraId="28CD013E" w14:textId="77777777" w:rsidR="00345EE3" w:rsidRDefault="00345EE3" w:rsidP="00D73130">
            <w:pPr>
              <w:pStyle w:val="TableParagraph"/>
              <w:spacing w:before="62"/>
              <w:ind w:left="-3"/>
              <w:jc w:val="left"/>
              <w:rPr>
                <w:i/>
                <w:sz w:val="24"/>
              </w:rPr>
            </w:pPr>
            <w:r>
              <w:rPr>
                <w:i/>
                <w:color w:val="231F20"/>
                <w:spacing w:val="-4"/>
                <w:sz w:val="24"/>
              </w:rPr>
              <w:t>COVID</w:t>
            </w:r>
            <w:r>
              <w:rPr>
                <w:i/>
                <w:color w:val="231F20"/>
                <w:spacing w:val="-11"/>
                <w:sz w:val="24"/>
              </w:rPr>
              <w:t xml:space="preserve"> </w:t>
            </w:r>
            <w:r>
              <w:rPr>
                <w:i/>
                <w:color w:val="231F20"/>
                <w:spacing w:val="-4"/>
                <w:sz w:val="24"/>
              </w:rPr>
              <w:t>Response</w:t>
            </w:r>
            <w:r>
              <w:rPr>
                <w:i/>
                <w:color w:val="231F20"/>
                <w:spacing w:val="-10"/>
                <w:sz w:val="24"/>
              </w:rPr>
              <w:t xml:space="preserve"> </w:t>
            </w:r>
            <w:r>
              <w:rPr>
                <w:i/>
                <w:color w:val="231F20"/>
                <w:spacing w:val="-4"/>
                <w:sz w:val="24"/>
              </w:rPr>
              <w:t>Model</w:t>
            </w:r>
          </w:p>
        </w:tc>
        <w:tc>
          <w:tcPr>
            <w:tcW w:w="6801" w:type="dxa"/>
            <w:tcBorders>
              <w:right w:val="nil"/>
            </w:tcBorders>
          </w:tcPr>
          <w:p w14:paraId="5BB55DEC" w14:textId="77777777" w:rsidR="00345EE3" w:rsidRDefault="00345EE3" w:rsidP="00D73130">
            <w:pPr>
              <w:pStyle w:val="TableParagraph"/>
              <w:spacing w:before="62" w:line="242" w:lineRule="auto"/>
              <w:ind w:left="-1" w:right="186"/>
              <w:jc w:val="left"/>
              <w:rPr>
                <w:sz w:val="24"/>
              </w:rPr>
            </w:pPr>
            <w:r>
              <w:rPr>
                <w:color w:val="231F20"/>
                <w:sz w:val="24"/>
              </w:rPr>
              <w:t>Victoria Police CRC was formally established in December 2021</w:t>
            </w:r>
            <w:r>
              <w:rPr>
                <w:color w:val="231F20"/>
                <w:spacing w:val="-5"/>
                <w:sz w:val="24"/>
              </w:rPr>
              <w:t xml:space="preserve"> </w:t>
            </w:r>
            <w:r>
              <w:rPr>
                <w:color w:val="231F20"/>
                <w:sz w:val="24"/>
              </w:rPr>
              <w:t>in</w:t>
            </w:r>
            <w:r>
              <w:rPr>
                <w:color w:val="231F20"/>
                <w:spacing w:val="-5"/>
                <w:sz w:val="24"/>
              </w:rPr>
              <w:t xml:space="preserve"> </w:t>
            </w:r>
            <w:r>
              <w:rPr>
                <w:color w:val="231F20"/>
                <w:sz w:val="24"/>
              </w:rPr>
              <w:t>response</w:t>
            </w:r>
            <w:r>
              <w:rPr>
                <w:color w:val="231F20"/>
                <w:spacing w:val="-5"/>
                <w:sz w:val="24"/>
              </w:rPr>
              <w:t xml:space="preserve"> </w:t>
            </w:r>
            <w:r>
              <w:rPr>
                <w:color w:val="231F20"/>
                <w:sz w:val="24"/>
              </w:rPr>
              <w:t>to</w:t>
            </w:r>
            <w:r>
              <w:rPr>
                <w:color w:val="231F20"/>
                <w:spacing w:val="-5"/>
                <w:sz w:val="24"/>
              </w:rPr>
              <w:t xml:space="preserve"> </w:t>
            </w:r>
            <w:r>
              <w:rPr>
                <w:color w:val="231F20"/>
                <w:sz w:val="24"/>
              </w:rPr>
              <w:t>the</w:t>
            </w:r>
            <w:r>
              <w:rPr>
                <w:color w:val="231F20"/>
                <w:spacing w:val="-5"/>
                <w:sz w:val="24"/>
              </w:rPr>
              <w:t xml:space="preserve"> </w:t>
            </w:r>
            <w:r>
              <w:rPr>
                <w:color w:val="231F20"/>
                <w:sz w:val="24"/>
              </w:rPr>
              <w:t>COVID-19</w:t>
            </w:r>
            <w:r>
              <w:rPr>
                <w:color w:val="231F20"/>
                <w:spacing w:val="-5"/>
                <w:sz w:val="24"/>
              </w:rPr>
              <w:t xml:space="preserve"> </w:t>
            </w:r>
            <w:r>
              <w:rPr>
                <w:color w:val="231F20"/>
                <w:sz w:val="24"/>
              </w:rPr>
              <w:t>pandemic.</w:t>
            </w:r>
            <w:r>
              <w:rPr>
                <w:color w:val="231F20"/>
                <w:spacing w:val="-4"/>
                <w:sz w:val="24"/>
              </w:rPr>
              <w:t xml:space="preserve"> </w:t>
            </w:r>
            <w:r>
              <w:rPr>
                <w:color w:val="231F20"/>
                <w:sz w:val="24"/>
              </w:rPr>
              <w:t>The</w:t>
            </w:r>
            <w:r>
              <w:rPr>
                <w:color w:val="231F20"/>
                <w:spacing w:val="-5"/>
                <w:sz w:val="24"/>
              </w:rPr>
              <w:t xml:space="preserve"> </w:t>
            </w:r>
            <w:r>
              <w:rPr>
                <w:color w:val="231F20"/>
                <w:sz w:val="24"/>
              </w:rPr>
              <w:t>command replicated</w:t>
            </w:r>
            <w:r>
              <w:rPr>
                <w:color w:val="231F20"/>
                <w:spacing w:val="-12"/>
                <w:sz w:val="24"/>
              </w:rPr>
              <w:t xml:space="preserve"> </w:t>
            </w:r>
            <w:r>
              <w:rPr>
                <w:color w:val="231F20"/>
                <w:sz w:val="24"/>
              </w:rPr>
              <w:t>and</w:t>
            </w:r>
            <w:r>
              <w:rPr>
                <w:color w:val="231F20"/>
                <w:spacing w:val="-12"/>
                <w:sz w:val="24"/>
              </w:rPr>
              <w:t xml:space="preserve"> </w:t>
            </w:r>
            <w:r>
              <w:rPr>
                <w:color w:val="231F20"/>
                <w:sz w:val="24"/>
              </w:rPr>
              <w:t>enhanced</w:t>
            </w:r>
            <w:r>
              <w:rPr>
                <w:color w:val="231F20"/>
                <w:spacing w:val="-12"/>
                <w:sz w:val="24"/>
              </w:rPr>
              <w:t xml:space="preserve"> </w:t>
            </w:r>
            <w:r>
              <w:rPr>
                <w:color w:val="231F20"/>
                <w:sz w:val="24"/>
              </w:rPr>
              <w:t>the</w:t>
            </w:r>
            <w:r>
              <w:rPr>
                <w:color w:val="231F20"/>
                <w:spacing w:val="-12"/>
                <w:sz w:val="24"/>
              </w:rPr>
              <w:t xml:space="preserve"> </w:t>
            </w:r>
            <w:r>
              <w:rPr>
                <w:color w:val="231F20"/>
                <w:sz w:val="24"/>
              </w:rPr>
              <w:t>response</w:t>
            </w:r>
            <w:r>
              <w:rPr>
                <w:color w:val="231F20"/>
                <w:spacing w:val="-12"/>
                <w:sz w:val="24"/>
              </w:rPr>
              <w:t xml:space="preserve"> </w:t>
            </w:r>
            <w:r>
              <w:rPr>
                <w:color w:val="231F20"/>
                <w:sz w:val="24"/>
              </w:rPr>
              <w:t>model</w:t>
            </w:r>
            <w:r>
              <w:rPr>
                <w:color w:val="231F20"/>
                <w:spacing w:val="-12"/>
                <w:sz w:val="24"/>
              </w:rPr>
              <w:t xml:space="preserve"> </w:t>
            </w:r>
            <w:r>
              <w:rPr>
                <w:color w:val="231F20"/>
                <w:sz w:val="24"/>
              </w:rPr>
              <w:t>commenced</w:t>
            </w:r>
            <w:r>
              <w:rPr>
                <w:color w:val="231F20"/>
                <w:spacing w:val="-12"/>
                <w:sz w:val="24"/>
              </w:rPr>
              <w:t xml:space="preserve"> </w:t>
            </w:r>
            <w:r>
              <w:rPr>
                <w:color w:val="231F20"/>
                <w:sz w:val="24"/>
              </w:rPr>
              <w:t>by the</w:t>
            </w:r>
            <w:r>
              <w:rPr>
                <w:color w:val="231F20"/>
                <w:spacing w:val="-1"/>
                <w:sz w:val="24"/>
              </w:rPr>
              <w:t xml:space="preserve"> </w:t>
            </w:r>
            <w:r>
              <w:rPr>
                <w:color w:val="231F20"/>
                <w:sz w:val="24"/>
              </w:rPr>
              <w:t>State</w:t>
            </w:r>
            <w:r>
              <w:rPr>
                <w:color w:val="231F20"/>
                <w:spacing w:val="-1"/>
                <w:sz w:val="24"/>
              </w:rPr>
              <w:t xml:space="preserve"> </w:t>
            </w:r>
            <w:r>
              <w:rPr>
                <w:color w:val="231F20"/>
                <w:sz w:val="24"/>
              </w:rPr>
              <w:t>Police</w:t>
            </w:r>
            <w:r>
              <w:rPr>
                <w:color w:val="231F20"/>
                <w:spacing w:val="-1"/>
                <w:sz w:val="24"/>
              </w:rPr>
              <w:t xml:space="preserve"> </w:t>
            </w:r>
            <w:r>
              <w:rPr>
                <w:color w:val="231F20"/>
                <w:sz w:val="24"/>
              </w:rPr>
              <w:t>Operations Centre</w:t>
            </w:r>
            <w:r>
              <w:rPr>
                <w:color w:val="231F20"/>
                <w:spacing w:val="-1"/>
                <w:sz w:val="24"/>
              </w:rPr>
              <w:t xml:space="preserve"> </w:t>
            </w:r>
            <w:r>
              <w:rPr>
                <w:color w:val="231F20"/>
                <w:sz w:val="24"/>
              </w:rPr>
              <w:t>in</w:t>
            </w:r>
            <w:r>
              <w:rPr>
                <w:color w:val="231F20"/>
                <w:spacing w:val="-1"/>
                <w:sz w:val="24"/>
              </w:rPr>
              <w:t xml:space="preserve"> </w:t>
            </w:r>
            <w:r>
              <w:rPr>
                <w:color w:val="231F20"/>
                <w:sz w:val="24"/>
              </w:rPr>
              <w:t>February 2020. This is now considered complete.</w:t>
            </w:r>
          </w:p>
        </w:tc>
      </w:tr>
      <w:tr w:rsidR="00345EE3" w14:paraId="54AC453A" w14:textId="77777777" w:rsidTr="00D73130">
        <w:trPr>
          <w:trHeight w:val="2916"/>
        </w:trPr>
        <w:tc>
          <w:tcPr>
            <w:tcW w:w="3402" w:type="dxa"/>
            <w:tcBorders>
              <w:left w:val="nil"/>
            </w:tcBorders>
          </w:tcPr>
          <w:p w14:paraId="6D22219B" w14:textId="77777777" w:rsidR="00345EE3" w:rsidRDefault="00345EE3" w:rsidP="00D73130">
            <w:pPr>
              <w:pStyle w:val="TableParagraph"/>
              <w:spacing w:before="62"/>
              <w:ind w:left="-3"/>
              <w:jc w:val="left"/>
              <w:rPr>
                <w:i/>
                <w:sz w:val="24"/>
              </w:rPr>
            </w:pPr>
            <w:r>
              <w:rPr>
                <w:i/>
                <w:color w:val="231F20"/>
                <w:spacing w:val="-4"/>
                <w:sz w:val="24"/>
              </w:rPr>
              <w:t>SHIELD</w:t>
            </w:r>
            <w:r>
              <w:rPr>
                <w:i/>
                <w:color w:val="231F20"/>
                <w:spacing w:val="-10"/>
                <w:sz w:val="24"/>
              </w:rPr>
              <w:t xml:space="preserve"> </w:t>
            </w:r>
            <w:r>
              <w:rPr>
                <w:i/>
                <w:color w:val="231F20"/>
                <w:spacing w:val="-2"/>
                <w:sz w:val="24"/>
              </w:rPr>
              <w:t>Implementation</w:t>
            </w:r>
          </w:p>
        </w:tc>
        <w:tc>
          <w:tcPr>
            <w:tcW w:w="6801" w:type="dxa"/>
            <w:tcBorders>
              <w:right w:val="nil"/>
            </w:tcBorders>
          </w:tcPr>
          <w:p w14:paraId="51703A82" w14:textId="77777777" w:rsidR="00345EE3" w:rsidRDefault="00345EE3" w:rsidP="00D73130">
            <w:pPr>
              <w:pStyle w:val="TableParagraph"/>
              <w:spacing w:before="62" w:line="242" w:lineRule="auto"/>
              <w:ind w:left="-1" w:right="186"/>
              <w:jc w:val="left"/>
              <w:rPr>
                <w:sz w:val="24"/>
              </w:rPr>
            </w:pPr>
            <w:r>
              <w:rPr>
                <w:color w:val="231F20"/>
                <w:sz w:val="24"/>
              </w:rPr>
              <w:t>Victoria</w:t>
            </w:r>
            <w:r>
              <w:rPr>
                <w:color w:val="231F20"/>
                <w:spacing w:val="-9"/>
                <w:sz w:val="24"/>
              </w:rPr>
              <w:t xml:space="preserve"> </w:t>
            </w:r>
            <w:r>
              <w:rPr>
                <w:color w:val="231F20"/>
                <w:sz w:val="24"/>
              </w:rPr>
              <w:t>Police</w:t>
            </w:r>
            <w:r>
              <w:rPr>
                <w:color w:val="231F20"/>
                <w:spacing w:val="-9"/>
                <w:sz w:val="24"/>
              </w:rPr>
              <w:t xml:space="preserve"> </w:t>
            </w:r>
            <w:r>
              <w:rPr>
                <w:color w:val="231F20"/>
                <w:sz w:val="24"/>
              </w:rPr>
              <w:t>SHIELD</w:t>
            </w:r>
            <w:r>
              <w:rPr>
                <w:color w:val="231F20"/>
                <w:spacing w:val="-9"/>
                <w:sz w:val="24"/>
              </w:rPr>
              <w:t xml:space="preserve"> </w:t>
            </w:r>
            <w:r>
              <w:rPr>
                <w:color w:val="231F20"/>
                <w:sz w:val="24"/>
              </w:rPr>
              <w:t>seeks</w:t>
            </w:r>
            <w:r>
              <w:rPr>
                <w:color w:val="231F20"/>
                <w:spacing w:val="-8"/>
                <w:sz w:val="24"/>
              </w:rPr>
              <w:t xml:space="preserve"> </w:t>
            </w:r>
            <w:r>
              <w:rPr>
                <w:color w:val="231F20"/>
                <w:sz w:val="24"/>
              </w:rPr>
              <w:t>to</w:t>
            </w:r>
            <w:r>
              <w:rPr>
                <w:color w:val="231F20"/>
                <w:spacing w:val="-9"/>
                <w:sz w:val="24"/>
              </w:rPr>
              <w:t xml:space="preserve"> </w:t>
            </w:r>
            <w:r>
              <w:rPr>
                <w:color w:val="231F20"/>
                <w:sz w:val="24"/>
              </w:rPr>
              <w:t>strengthen</w:t>
            </w:r>
            <w:r>
              <w:rPr>
                <w:color w:val="231F20"/>
                <w:spacing w:val="-9"/>
                <w:sz w:val="24"/>
              </w:rPr>
              <w:t xml:space="preserve"> </w:t>
            </w:r>
            <w:r>
              <w:rPr>
                <w:color w:val="231F20"/>
                <w:sz w:val="24"/>
              </w:rPr>
              <w:t>partnerships</w:t>
            </w:r>
            <w:r>
              <w:rPr>
                <w:color w:val="231F20"/>
                <w:spacing w:val="-8"/>
                <w:sz w:val="24"/>
              </w:rPr>
              <w:t xml:space="preserve"> </w:t>
            </w:r>
            <w:r>
              <w:rPr>
                <w:color w:val="231F20"/>
                <w:sz w:val="24"/>
              </w:rPr>
              <w:t>with the Victorian public and private sectors through information sharing.</w:t>
            </w:r>
            <w:r>
              <w:rPr>
                <w:color w:val="231F20"/>
                <w:spacing w:val="-9"/>
                <w:sz w:val="24"/>
              </w:rPr>
              <w:t xml:space="preserve"> </w:t>
            </w:r>
            <w:r>
              <w:rPr>
                <w:color w:val="231F20"/>
                <w:sz w:val="24"/>
              </w:rPr>
              <w:t>It</w:t>
            </w:r>
            <w:r>
              <w:rPr>
                <w:color w:val="231F20"/>
                <w:spacing w:val="-9"/>
                <w:sz w:val="24"/>
              </w:rPr>
              <w:t xml:space="preserve"> </w:t>
            </w:r>
            <w:r>
              <w:rPr>
                <w:color w:val="231F20"/>
                <w:sz w:val="24"/>
              </w:rPr>
              <w:t>is</w:t>
            </w:r>
            <w:r>
              <w:rPr>
                <w:color w:val="231F20"/>
                <w:spacing w:val="-9"/>
                <w:sz w:val="24"/>
              </w:rPr>
              <w:t xml:space="preserve"> </w:t>
            </w:r>
            <w:r>
              <w:rPr>
                <w:color w:val="231F20"/>
                <w:sz w:val="24"/>
              </w:rPr>
              <w:t>a</w:t>
            </w:r>
            <w:r>
              <w:rPr>
                <w:color w:val="231F20"/>
                <w:spacing w:val="-10"/>
                <w:sz w:val="24"/>
              </w:rPr>
              <w:t xml:space="preserve"> </w:t>
            </w:r>
            <w:r>
              <w:rPr>
                <w:color w:val="231F20"/>
                <w:sz w:val="24"/>
              </w:rPr>
              <w:t>secure,</w:t>
            </w:r>
            <w:r>
              <w:rPr>
                <w:color w:val="231F20"/>
                <w:spacing w:val="-9"/>
                <w:sz w:val="24"/>
              </w:rPr>
              <w:t xml:space="preserve"> </w:t>
            </w:r>
            <w:r>
              <w:rPr>
                <w:color w:val="231F20"/>
                <w:sz w:val="24"/>
              </w:rPr>
              <w:t>SHIELD</w:t>
            </w:r>
            <w:r>
              <w:rPr>
                <w:color w:val="231F20"/>
                <w:spacing w:val="-10"/>
                <w:sz w:val="24"/>
              </w:rPr>
              <w:t xml:space="preserve"> </w:t>
            </w:r>
            <w:r>
              <w:rPr>
                <w:color w:val="231F20"/>
                <w:sz w:val="24"/>
              </w:rPr>
              <w:t>members-only</w:t>
            </w:r>
            <w:r>
              <w:rPr>
                <w:color w:val="231F20"/>
                <w:spacing w:val="-9"/>
                <w:sz w:val="24"/>
              </w:rPr>
              <w:t xml:space="preserve"> </w:t>
            </w:r>
            <w:r>
              <w:rPr>
                <w:color w:val="231F20"/>
                <w:sz w:val="24"/>
              </w:rPr>
              <w:t>online</w:t>
            </w:r>
            <w:r>
              <w:rPr>
                <w:color w:val="231F20"/>
                <w:spacing w:val="-10"/>
                <w:sz w:val="24"/>
              </w:rPr>
              <w:t xml:space="preserve"> </w:t>
            </w:r>
            <w:r>
              <w:rPr>
                <w:color w:val="231F20"/>
                <w:sz w:val="24"/>
              </w:rPr>
              <w:t>platform primarily involving partners in the Crowded Places Network, major businesses operations and the private security sector, aimed at preventing, disrupting, protecting and responding</w:t>
            </w:r>
          </w:p>
          <w:p w14:paraId="5981692A" w14:textId="77777777" w:rsidR="00345EE3" w:rsidRDefault="00345EE3" w:rsidP="00D73130">
            <w:pPr>
              <w:pStyle w:val="TableParagraph"/>
              <w:spacing w:before="8" w:line="242" w:lineRule="auto"/>
              <w:ind w:left="-1" w:right="395"/>
              <w:jc w:val="left"/>
              <w:rPr>
                <w:sz w:val="24"/>
              </w:rPr>
            </w:pPr>
            <w:r>
              <w:rPr>
                <w:color w:val="231F20"/>
                <w:sz w:val="24"/>
              </w:rPr>
              <w:t>to</w:t>
            </w:r>
            <w:r>
              <w:rPr>
                <w:color w:val="231F20"/>
                <w:spacing w:val="-10"/>
                <w:sz w:val="24"/>
              </w:rPr>
              <w:t xml:space="preserve"> </w:t>
            </w:r>
            <w:r>
              <w:rPr>
                <w:color w:val="231F20"/>
                <w:sz w:val="24"/>
              </w:rPr>
              <w:t>terror</w:t>
            </w:r>
            <w:r>
              <w:rPr>
                <w:color w:val="231F20"/>
                <w:spacing w:val="-9"/>
                <w:sz w:val="24"/>
              </w:rPr>
              <w:t xml:space="preserve"> </w:t>
            </w:r>
            <w:r>
              <w:rPr>
                <w:color w:val="231F20"/>
                <w:sz w:val="24"/>
              </w:rPr>
              <w:t>incidents.</w:t>
            </w:r>
            <w:r>
              <w:rPr>
                <w:color w:val="231F20"/>
                <w:spacing w:val="-9"/>
                <w:sz w:val="24"/>
              </w:rPr>
              <w:t xml:space="preserve"> </w:t>
            </w:r>
            <w:r>
              <w:rPr>
                <w:color w:val="231F20"/>
                <w:sz w:val="24"/>
              </w:rPr>
              <w:t>The</w:t>
            </w:r>
            <w:r>
              <w:rPr>
                <w:color w:val="231F20"/>
                <w:spacing w:val="-10"/>
                <w:sz w:val="24"/>
              </w:rPr>
              <w:t xml:space="preserve"> </w:t>
            </w:r>
            <w:r>
              <w:rPr>
                <w:color w:val="231F20"/>
                <w:sz w:val="24"/>
              </w:rPr>
              <w:t>SHIELD</w:t>
            </w:r>
            <w:r>
              <w:rPr>
                <w:color w:val="231F20"/>
                <w:spacing w:val="-10"/>
                <w:sz w:val="24"/>
              </w:rPr>
              <w:t xml:space="preserve"> </w:t>
            </w:r>
            <w:r>
              <w:rPr>
                <w:color w:val="231F20"/>
                <w:sz w:val="24"/>
              </w:rPr>
              <w:t>platform</w:t>
            </w:r>
            <w:r>
              <w:rPr>
                <w:color w:val="231F20"/>
                <w:spacing w:val="-9"/>
                <w:sz w:val="24"/>
              </w:rPr>
              <w:t xml:space="preserve"> </w:t>
            </w:r>
            <w:r>
              <w:rPr>
                <w:color w:val="231F20"/>
                <w:sz w:val="24"/>
              </w:rPr>
              <w:t>was</w:t>
            </w:r>
            <w:r>
              <w:rPr>
                <w:color w:val="231F20"/>
                <w:spacing w:val="-9"/>
                <w:sz w:val="24"/>
              </w:rPr>
              <w:t xml:space="preserve"> </w:t>
            </w:r>
            <w:r>
              <w:rPr>
                <w:color w:val="231F20"/>
                <w:sz w:val="24"/>
              </w:rPr>
              <w:t>launched</w:t>
            </w:r>
            <w:r>
              <w:rPr>
                <w:color w:val="231F20"/>
                <w:spacing w:val="-10"/>
                <w:sz w:val="24"/>
              </w:rPr>
              <w:t xml:space="preserve"> </w:t>
            </w:r>
            <w:r>
              <w:rPr>
                <w:color w:val="231F20"/>
                <w:sz w:val="24"/>
              </w:rPr>
              <w:t>on</w:t>
            </w:r>
            <w:r>
              <w:rPr>
                <w:color w:val="231F20"/>
                <w:spacing w:val="-10"/>
                <w:sz w:val="24"/>
              </w:rPr>
              <w:t xml:space="preserve"> </w:t>
            </w:r>
            <w:r>
              <w:rPr>
                <w:color w:val="231F20"/>
                <w:sz w:val="24"/>
              </w:rPr>
              <w:t>7 September</w:t>
            </w:r>
            <w:r>
              <w:rPr>
                <w:color w:val="231F20"/>
                <w:spacing w:val="-1"/>
                <w:sz w:val="24"/>
              </w:rPr>
              <w:t xml:space="preserve"> </w:t>
            </w:r>
            <w:r>
              <w:rPr>
                <w:color w:val="231F20"/>
                <w:sz w:val="24"/>
              </w:rPr>
              <w:t>2021,</w:t>
            </w:r>
            <w:r>
              <w:rPr>
                <w:color w:val="231F20"/>
                <w:spacing w:val="-1"/>
                <w:sz w:val="24"/>
              </w:rPr>
              <w:t xml:space="preserve"> </w:t>
            </w:r>
            <w:r>
              <w:rPr>
                <w:color w:val="231F20"/>
                <w:sz w:val="24"/>
              </w:rPr>
              <w:t>providing</w:t>
            </w:r>
            <w:r>
              <w:rPr>
                <w:color w:val="231F20"/>
                <w:spacing w:val="-1"/>
                <w:sz w:val="24"/>
              </w:rPr>
              <w:t xml:space="preserve"> </w:t>
            </w:r>
            <w:r>
              <w:rPr>
                <w:color w:val="231F20"/>
                <w:sz w:val="24"/>
              </w:rPr>
              <w:t>an</w:t>
            </w:r>
            <w:r>
              <w:rPr>
                <w:color w:val="231F20"/>
                <w:spacing w:val="-1"/>
                <w:sz w:val="24"/>
              </w:rPr>
              <w:t xml:space="preserve"> </w:t>
            </w:r>
            <w:r>
              <w:rPr>
                <w:color w:val="231F20"/>
                <w:sz w:val="24"/>
              </w:rPr>
              <w:t>online</w:t>
            </w:r>
            <w:r>
              <w:rPr>
                <w:color w:val="231F20"/>
                <w:spacing w:val="-1"/>
                <w:sz w:val="24"/>
              </w:rPr>
              <w:t xml:space="preserve"> </w:t>
            </w:r>
            <w:r>
              <w:rPr>
                <w:color w:val="231F20"/>
                <w:sz w:val="24"/>
              </w:rPr>
              <w:t>engagement</w:t>
            </w:r>
            <w:r>
              <w:rPr>
                <w:color w:val="231F20"/>
                <w:spacing w:val="-1"/>
                <w:sz w:val="24"/>
              </w:rPr>
              <w:t xml:space="preserve"> </w:t>
            </w:r>
            <w:r>
              <w:rPr>
                <w:color w:val="231F20"/>
                <w:sz w:val="24"/>
              </w:rPr>
              <w:t>platform for police, public and private sector partners. This is now considered complete.</w:t>
            </w:r>
          </w:p>
        </w:tc>
      </w:tr>
    </w:tbl>
    <w:p w14:paraId="6FE89B28" w14:textId="77777777" w:rsidR="00345EE3" w:rsidRDefault="00345EE3" w:rsidP="00345EE3">
      <w:pPr>
        <w:spacing w:line="242" w:lineRule="auto"/>
        <w:rPr>
          <w:sz w:val="24"/>
        </w:rPr>
        <w:sectPr w:rsidR="00345EE3">
          <w:pgSz w:w="11910" w:h="16840"/>
          <w:pgMar w:top="820" w:right="0" w:bottom="280" w:left="740" w:header="720" w:footer="72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3402"/>
        <w:gridCol w:w="6801"/>
      </w:tblGrid>
      <w:tr w:rsidR="00345EE3" w14:paraId="7FA8D8E8" w14:textId="77777777" w:rsidTr="00D73130">
        <w:trPr>
          <w:trHeight w:val="401"/>
        </w:trPr>
        <w:tc>
          <w:tcPr>
            <w:tcW w:w="10203" w:type="dxa"/>
            <w:gridSpan w:val="2"/>
            <w:shd w:val="clear" w:color="auto" w:fill="00529F"/>
          </w:tcPr>
          <w:p w14:paraId="49954C9C" w14:textId="77777777" w:rsidR="00345EE3" w:rsidRDefault="00345EE3" w:rsidP="00D73130">
            <w:pPr>
              <w:pStyle w:val="TableParagraph"/>
              <w:spacing w:before="63"/>
              <w:ind w:left="-1"/>
              <w:jc w:val="left"/>
              <w:rPr>
                <w:b/>
                <w:sz w:val="24"/>
              </w:rPr>
            </w:pPr>
            <w:r>
              <w:rPr>
                <w:b/>
                <w:color w:val="FFFFFF"/>
                <w:sz w:val="24"/>
              </w:rPr>
              <w:t>Community</w:t>
            </w:r>
            <w:r>
              <w:rPr>
                <w:b/>
                <w:color w:val="FFFFFF"/>
                <w:spacing w:val="1"/>
                <w:sz w:val="24"/>
              </w:rPr>
              <w:t xml:space="preserve"> </w:t>
            </w:r>
            <w:r>
              <w:rPr>
                <w:b/>
                <w:color w:val="FFFFFF"/>
                <w:spacing w:val="-2"/>
                <w:sz w:val="24"/>
              </w:rPr>
              <w:t>Safety</w:t>
            </w:r>
          </w:p>
        </w:tc>
      </w:tr>
      <w:tr w:rsidR="00345EE3" w14:paraId="2D9DBDB2" w14:textId="77777777" w:rsidTr="00D73130">
        <w:trPr>
          <w:trHeight w:val="4318"/>
        </w:trPr>
        <w:tc>
          <w:tcPr>
            <w:tcW w:w="3402" w:type="dxa"/>
            <w:tcBorders>
              <w:bottom w:val="single" w:sz="2" w:space="0" w:color="939598"/>
              <w:right w:val="single" w:sz="2" w:space="0" w:color="939598"/>
            </w:tcBorders>
          </w:tcPr>
          <w:p w14:paraId="0B962D20" w14:textId="77777777" w:rsidR="00345EE3" w:rsidRDefault="00345EE3" w:rsidP="00D73130">
            <w:pPr>
              <w:pStyle w:val="TableParagraph"/>
              <w:spacing w:before="63" w:line="242" w:lineRule="auto"/>
              <w:ind w:left="-3"/>
              <w:jc w:val="left"/>
              <w:rPr>
                <w:i/>
                <w:sz w:val="24"/>
              </w:rPr>
            </w:pPr>
            <w:r>
              <w:rPr>
                <w:i/>
                <w:color w:val="231F20"/>
                <w:spacing w:val="-6"/>
                <w:sz w:val="24"/>
              </w:rPr>
              <w:t>Aboriginal</w:t>
            </w:r>
            <w:r>
              <w:rPr>
                <w:i/>
                <w:color w:val="231F20"/>
                <w:spacing w:val="-9"/>
                <w:sz w:val="24"/>
              </w:rPr>
              <w:t xml:space="preserve"> </w:t>
            </w:r>
            <w:r>
              <w:rPr>
                <w:i/>
                <w:color w:val="231F20"/>
                <w:spacing w:val="-6"/>
                <w:sz w:val="24"/>
              </w:rPr>
              <w:t xml:space="preserve">Youth Cautioning </w:t>
            </w:r>
            <w:r>
              <w:rPr>
                <w:i/>
                <w:color w:val="231F20"/>
                <w:sz w:val="24"/>
              </w:rPr>
              <w:t>Program (AYCP)</w:t>
            </w:r>
          </w:p>
        </w:tc>
        <w:tc>
          <w:tcPr>
            <w:tcW w:w="6801" w:type="dxa"/>
            <w:tcBorders>
              <w:left w:val="single" w:sz="2" w:space="0" w:color="939598"/>
              <w:bottom w:val="single" w:sz="2" w:space="0" w:color="939598"/>
            </w:tcBorders>
          </w:tcPr>
          <w:p w14:paraId="1B4DED62" w14:textId="77777777" w:rsidR="00345EE3" w:rsidRDefault="00345EE3" w:rsidP="00D73130">
            <w:pPr>
              <w:pStyle w:val="TableParagraph"/>
              <w:spacing w:before="63" w:line="242" w:lineRule="auto"/>
              <w:ind w:left="-1"/>
              <w:jc w:val="left"/>
              <w:rPr>
                <w:sz w:val="24"/>
              </w:rPr>
            </w:pPr>
            <w:r>
              <w:rPr>
                <w:color w:val="231F20"/>
                <w:sz w:val="24"/>
              </w:rPr>
              <w:t>The</w:t>
            </w:r>
            <w:r>
              <w:rPr>
                <w:color w:val="231F20"/>
                <w:spacing w:val="-14"/>
                <w:sz w:val="24"/>
              </w:rPr>
              <w:t xml:space="preserve"> </w:t>
            </w:r>
            <w:r>
              <w:rPr>
                <w:color w:val="231F20"/>
                <w:sz w:val="24"/>
              </w:rPr>
              <w:t>AYCP</w:t>
            </w:r>
            <w:r>
              <w:rPr>
                <w:color w:val="231F20"/>
                <w:spacing w:val="-14"/>
                <w:sz w:val="24"/>
              </w:rPr>
              <w:t xml:space="preserve"> </w:t>
            </w:r>
            <w:r>
              <w:rPr>
                <w:color w:val="231F20"/>
                <w:sz w:val="24"/>
              </w:rPr>
              <w:t>draws</w:t>
            </w:r>
            <w:r>
              <w:rPr>
                <w:color w:val="231F20"/>
                <w:spacing w:val="-14"/>
                <w:sz w:val="24"/>
              </w:rPr>
              <w:t xml:space="preserve"> </w:t>
            </w:r>
            <w:r>
              <w:rPr>
                <w:color w:val="231F20"/>
                <w:sz w:val="24"/>
              </w:rPr>
              <w:t>upon</w:t>
            </w:r>
            <w:r>
              <w:rPr>
                <w:color w:val="231F20"/>
                <w:spacing w:val="-14"/>
                <w:sz w:val="24"/>
              </w:rPr>
              <w:t xml:space="preserve"> </w:t>
            </w:r>
            <w:r>
              <w:rPr>
                <w:color w:val="231F20"/>
                <w:sz w:val="24"/>
              </w:rPr>
              <w:t>local</w:t>
            </w:r>
            <w:r>
              <w:rPr>
                <w:color w:val="231F20"/>
                <w:spacing w:val="-14"/>
                <w:sz w:val="24"/>
              </w:rPr>
              <w:t xml:space="preserve"> </w:t>
            </w:r>
            <w:r>
              <w:rPr>
                <w:color w:val="231F20"/>
                <w:sz w:val="24"/>
              </w:rPr>
              <w:t>Aboriginal</w:t>
            </w:r>
            <w:r>
              <w:rPr>
                <w:color w:val="231F20"/>
                <w:spacing w:val="-14"/>
                <w:sz w:val="24"/>
              </w:rPr>
              <w:t xml:space="preserve"> </w:t>
            </w:r>
            <w:r>
              <w:rPr>
                <w:color w:val="231F20"/>
                <w:sz w:val="24"/>
              </w:rPr>
              <w:t>culture,</w:t>
            </w:r>
            <w:r>
              <w:rPr>
                <w:color w:val="231F20"/>
                <w:spacing w:val="-14"/>
                <w:sz w:val="24"/>
              </w:rPr>
              <w:t xml:space="preserve"> </w:t>
            </w:r>
            <w:r>
              <w:rPr>
                <w:color w:val="231F20"/>
                <w:sz w:val="24"/>
              </w:rPr>
              <w:t>knowledge</w:t>
            </w:r>
            <w:r>
              <w:rPr>
                <w:color w:val="231F20"/>
                <w:spacing w:val="-14"/>
                <w:sz w:val="24"/>
              </w:rPr>
              <w:t xml:space="preserve"> </w:t>
            </w:r>
            <w:r>
              <w:rPr>
                <w:color w:val="231F20"/>
                <w:sz w:val="24"/>
              </w:rPr>
              <w:t>and community to ensure a tailored response for young people coming into contact with police. The goal of the program</w:t>
            </w:r>
          </w:p>
          <w:p w14:paraId="17988A64" w14:textId="77777777" w:rsidR="00345EE3" w:rsidRDefault="00345EE3" w:rsidP="00D73130">
            <w:pPr>
              <w:pStyle w:val="TableParagraph"/>
              <w:spacing w:before="4" w:line="242" w:lineRule="auto"/>
              <w:ind w:left="-1" w:right="28"/>
              <w:jc w:val="left"/>
              <w:rPr>
                <w:sz w:val="24"/>
              </w:rPr>
            </w:pPr>
            <w:r>
              <w:rPr>
                <w:color w:val="231F20"/>
                <w:sz w:val="24"/>
              </w:rPr>
              <w:t>is to increase and enhance the use of cautions through a community-led</w:t>
            </w:r>
            <w:r>
              <w:rPr>
                <w:color w:val="231F20"/>
                <w:spacing w:val="-10"/>
                <w:sz w:val="24"/>
              </w:rPr>
              <w:t xml:space="preserve"> </w:t>
            </w:r>
            <w:r>
              <w:rPr>
                <w:color w:val="231F20"/>
                <w:sz w:val="24"/>
              </w:rPr>
              <w:t>model,</w:t>
            </w:r>
            <w:r>
              <w:rPr>
                <w:color w:val="231F20"/>
                <w:spacing w:val="-9"/>
                <w:sz w:val="24"/>
              </w:rPr>
              <w:t xml:space="preserve"> </w:t>
            </w:r>
            <w:r>
              <w:rPr>
                <w:color w:val="231F20"/>
                <w:sz w:val="24"/>
              </w:rPr>
              <w:t>based</w:t>
            </w:r>
            <w:r>
              <w:rPr>
                <w:color w:val="231F20"/>
                <w:spacing w:val="-10"/>
                <w:sz w:val="24"/>
              </w:rPr>
              <w:t xml:space="preserve"> </w:t>
            </w:r>
            <w:r>
              <w:rPr>
                <w:color w:val="231F20"/>
                <w:sz w:val="24"/>
              </w:rPr>
              <w:t>on</w:t>
            </w:r>
            <w:r>
              <w:rPr>
                <w:color w:val="231F20"/>
                <w:spacing w:val="-10"/>
                <w:sz w:val="24"/>
              </w:rPr>
              <w:t xml:space="preserve"> </w:t>
            </w:r>
            <w:r>
              <w:rPr>
                <w:color w:val="231F20"/>
                <w:sz w:val="24"/>
              </w:rPr>
              <w:t>the</w:t>
            </w:r>
            <w:r>
              <w:rPr>
                <w:color w:val="231F20"/>
                <w:spacing w:val="-10"/>
                <w:sz w:val="24"/>
              </w:rPr>
              <w:t xml:space="preserve"> </w:t>
            </w:r>
            <w:r>
              <w:rPr>
                <w:color w:val="231F20"/>
                <w:sz w:val="24"/>
              </w:rPr>
              <w:t>principles</w:t>
            </w:r>
            <w:r>
              <w:rPr>
                <w:color w:val="231F20"/>
                <w:spacing w:val="-9"/>
                <w:sz w:val="24"/>
              </w:rPr>
              <w:t xml:space="preserve"> </w:t>
            </w:r>
            <w:r>
              <w:rPr>
                <w:color w:val="231F20"/>
                <w:sz w:val="24"/>
              </w:rPr>
              <w:t>of</w:t>
            </w:r>
            <w:r>
              <w:rPr>
                <w:color w:val="231F20"/>
                <w:spacing w:val="-9"/>
                <w:sz w:val="24"/>
              </w:rPr>
              <w:t xml:space="preserve"> </w:t>
            </w:r>
            <w:r>
              <w:rPr>
                <w:color w:val="231F20"/>
                <w:sz w:val="24"/>
              </w:rPr>
              <w:t>Aboriginal</w:t>
            </w:r>
            <w:r>
              <w:rPr>
                <w:color w:val="231F20"/>
                <w:spacing w:val="-10"/>
                <w:sz w:val="24"/>
              </w:rPr>
              <w:t xml:space="preserve"> </w:t>
            </w:r>
            <w:r>
              <w:rPr>
                <w:color w:val="231F20"/>
                <w:sz w:val="24"/>
              </w:rPr>
              <w:t>self- determination,</w:t>
            </w:r>
            <w:r>
              <w:rPr>
                <w:color w:val="231F20"/>
                <w:spacing w:val="-15"/>
                <w:sz w:val="24"/>
              </w:rPr>
              <w:t xml:space="preserve"> </w:t>
            </w:r>
            <w:r>
              <w:rPr>
                <w:color w:val="231F20"/>
                <w:sz w:val="24"/>
              </w:rPr>
              <w:t>early</w:t>
            </w:r>
            <w:r>
              <w:rPr>
                <w:color w:val="231F20"/>
                <w:spacing w:val="-15"/>
                <w:sz w:val="24"/>
              </w:rPr>
              <w:t xml:space="preserve"> </w:t>
            </w:r>
            <w:r>
              <w:rPr>
                <w:color w:val="231F20"/>
                <w:sz w:val="24"/>
              </w:rPr>
              <w:t>intervention</w:t>
            </w:r>
            <w:r>
              <w:rPr>
                <w:color w:val="231F20"/>
                <w:spacing w:val="-15"/>
                <w:sz w:val="24"/>
              </w:rPr>
              <w:t xml:space="preserve"> </w:t>
            </w:r>
            <w:r>
              <w:rPr>
                <w:color w:val="231F20"/>
                <w:sz w:val="24"/>
              </w:rPr>
              <w:t>and</w:t>
            </w:r>
            <w:r>
              <w:rPr>
                <w:color w:val="231F20"/>
                <w:spacing w:val="-15"/>
                <w:sz w:val="24"/>
              </w:rPr>
              <w:t xml:space="preserve"> </w:t>
            </w:r>
            <w:r>
              <w:rPr>
                <w:color w:val="231F20"/>
                <w:sz w:val="24"/>
              </w:rPr>
              <w:t>harm-reduction,</w:t>
            </w:r>
            <w:r>
              <w:rPr>
                <w:color w:val="231F20"/>
                <w:spacing w:val="-15"/>
                <w:sz w:val="24"/>
              </w:rPr>
              <w:t xml:space="preserve"> </w:t>
            </w:r>
            <w:r>
              <w:rPr>
                <w:color w:val="231F20"/>
                <w:sz w:val="24"/>
              </w:rPr>
              <w:t>to</w:t>
            </w:r>
            <w:r>
              <w:rPr>
                <w:color w:val="231F20"/>
                <w:spacing w:val="-15"/>
                <w:sz w:val="24"/>
              </w:rPr>
              <w:t xml:space="preserve"> </w:t>
            </w:r>
            <w:r>
              <w:rPr>
                <w:color w:val="231F20"/>
                <w:sz w:val="24"/>
              </w:rPr>
              <w:t>address over-representation of Aboriginal young people in the criminal justice system. At the 58th Aboriginal Justice Forum, Victoria Police committed to state-wide expansion of the AYCP. This expansion initially focused on the addition of a further 11 sites</w:t>
            </w:r>
          </w:p>
          <w:p w14:paraId="5201E43C" w14:textId="77777777" w:rsidR="00345EE3" w:rsidRDefault="00345EE3" w:rsidP="00D73130">
            <w:pPr>
              <w:pStyle w:val="TableParagraph"/>
              <w:spacing w:before="9" w:line="242" w:lineRule="auto"/>
              <w:ind w:left="-1" w:right="186"/>
              <w:jc w:val="left"/>
              <w:rPr>
                <w:sz w:val="24"/>
              </w:rPr>
            </w:pPr>
            <w:r>
              <w:rPr>
                <w:color w:val="231F20"/>
                <w:sz w:val="24"/>
              </w:rPr>
              <w:t>in regional and metropolitan locations. Throughout 2021–22, the</w:t>
            </w:r>
            <w:r>
              <w:rPr>
                <w:color w:val="231F20"/>
                <w:spacing w:val="-9"/>
                <w:sz w:val="24"/>
              </w:rPr>
              <w:t xml:space="preserve"> </w:t>
            </w:r>
            <w:r>
              <w:rPr>
                <w:color w:val="231F20"/>
                <w:sz w:val="24"/>
              </w:rPr>
              <w:t>program</w:t>
            </w:r>
            <w:r>
              <w:rPr>
                <w:color w:val="231F20"/>
                <w:spacing w:val="-8"/>
                <w:sz w:val="24"/>
              </w:rPr>
              <w:t xml:space="preserve"> </w:t>
            </w:r>
            <w:r>
              <w:rPr>
                <w:color w:val="231F20"/>
                <w:sz w:val="24"/>
              </w:rPr>
              <w:t>has</w:t>
            </w:r>
            <w:r>
              <w:rPr>
                <w:color w:val="231F20"/>
                <w:spacing w:val="-8"/>
                <w:sz w:val="24"/>
              </w:rPr>
              <w:t xml:space="preserve"> </w:t>
            </w:r>
            <w:r>
              <w:rPr>
                <w:color w:val="231F20"/>
                <w:sz w:val="24"/>
              </w:rPr>
              <w:t>extended</w:t>
            </w:r>
            <w:r>
              <w:rPr>
                <w:color w:val="231F20"/>
                <w:spacing w:val="-9"/>
                <w:sz w:val="24"/>
              </w:rPr>
              <w:t xml:space="preserve"> </w:t>
            </w:r>
            <w:r>
              <w:rPr>
                <w:color w:val="231F20"/>
                <w:sz w:val="24"/>
              </w:rPr>
              <w:t>to</w:t>
            </w:r>
            <w:r>
              <w:rPr>
                <w:color w:val="231F20"/>
                <w:spacing w:val="-9"/>
                <w:sz w:val="24"/>
              </w:rPr>
              <w:t xml:space="preserve"> </w:t>
            </w:r>
            <w:r>
              <w:rPr>
                <w:color w:val="231F20"/>
                <w:sz w:val="24"/>
              </w:rPr>
              <w:t>cover</w:t>
            </w:r>
            <w:r>
              <w:rPr>
                <w:color w:val="231F20"/>
                <w:spacing w:val="-8"/>
                <w:sz w:val="24"/>
              </w:rPr>
              <w:t xml:space="preserve"> </w:t>
            </w:r>
            <w:r>
              <w:rPr>
                <w:color w:val="231F20"/>
                <w:sz w:val="24"/>
              </w:rPr>
              <w:t>over</w:t>
            </w:r>
            <w:r>
              <w:rPr>
                <w:color w:val="231F20"/>
                <w:spacing w:val="-8"/>
                <w:sz w:val="24"/>
              </w:rPr>
              <w:t xml:space="preserve"> </w:t>
            </w:r>
            <w:r>
              <w:rPr>
                <w:color w:val="231F20"/>
                <w:sz w:val="24"/>
              </w:rPr>
              <w:t>20</w:t>
            </w:r>
            <w:r>
              <w:rPr>
                <w:color w:val="231F20"/>
                <w:spacing w:val="-9"/>
                <w:sz w:val="24"/>
              </w:rPr>
              <w:t xml:space="preserve"> </w:t>
            </w:r>
            <w:r>
              <w:rPr>
                <w:color w:val="231F20"/>
                <w:sz w:val="24"/>
              </w:rPr>
              <w:t>local</w:t>
            </w:r>
            <w:r>
              <w:rPr>
                <w:color w:val="231F20"/>
                <w:spacing w:val="-9"/>
                <w:sz w:val="24"/>
              </w:rPr>
              <w:t xml:space="preserve"> </w:t>
            </w:r>
            <w:r>
              <w:rPr>
                <w:color w:val="231F20"/>
                <w:sz w:val="24"/>
              </w:rPr>
              <w:t>government areas.</w:t>
            </w:r>
            <w:r>
              <w:rPr>
                <w:color w:val="231F20"/>
                <w:spacing w:val="-12"/>
                <w:sz w:val="24"/>
              </w:rPr>
              <w:t xml:space="preserve"> </w:t>
            </w:r>
            <w:r>
              <w:rPr>
                <w:color w:val="231F20"/>
                <w:sz w:val="24"/>
              </w:rPr>
              <w:t>Victoria</w:t>
            </w:r>
            <w:r>
              <w:rPr>
                <w:color w:val="231F20"/>
                <w:spacing w:val="-13"/>
                <w:sz w:val="24"/>
              </w:rPr>
              <w:t xml:space="preserve"> </w:t>
            </w:r>
            <w:r>
              <w:rPr>
                <w:color w:val="231F20"/>
                <w:sz w:val="24"/>
              </w:rPr>
              <w:t>Police</w:t>
            </w:r>
            <w:r>
              <w:rPr>
                <w:color w:val="231F20"/>
                <w:spacing w:val="-13"/>
                <w:sz w:val="24"/>
              </w:rPr>
              <w:t xml:space="preserve"> </w:t>
            </w:r>
            <w:r>
              <w:rPr>
                <w:color w:val="231F20"/>
                <w:sz w:val="24"/>
              </w:rPr>
              <w:t>continues</w:t>
            </w:r>
            <w:r>
              <w:rPr>
                <w:color w:val="231F20"/>
                <w:spacing w:val="-12"/>
                <w:sz w:val="24"/>
              </w:rPr>
              <w:t xml:space="preserve"> </w:t>
            </w:r>
            <w:r>
              <w:rPr>
                <w:color w:val="231F20"/>
                <w:sz w:val="24"/>
              </w:rPr>
              <w:t>to</w:t>
            </w:r>
            <w:r>
              <w:rPr>
                <w:color w:val="231F20"/>
                <w:spacing w:val="-13"/>
                <w:sz w:val="24"/>
              </w:rPr>
              <w:t xml:space="preserve"> </w:t>
            </w:r>
            <w:r>
              <w:rPr>
                <w:color w:val="231F20"/>
                <w:sz w:val="24"/>
              </w:rPr>
              <w:t>develop</w:t>
            </w:r>
            <w:r>
              <w:rPr>
                <w:color w:val="231F20"/>
                <w:spacing w:val="-13"/>
                <w:sz w:val="24"/>
              </w:rPr>
              <w:t xml:space="preserve"> </w:t>
            </w:r>
            <w:r>
              <w:rPr>
                <w:color w:val="231F20"/>
                <w:sz w:val="24"/>
              </w:rPr>
              <w:t>materials</w:t>
            </w:r>
            <w:r>
              <w:rPr>
                <w:color w:val="231F20"/>
                <w:spacing w:val="-12"/>
                <w:sz w:val="24"/>
              </w:rPr>
              <w:t xml:space="preserve"> </w:t>
            </w:r>
            <w:r>
              <w:rPr>
                <w:color w:val="231F20"/>
                <w:sz w:val="24"/>
              </w:rPr>
              <w:t>to</w:t>
            </w:r>
            <w:r>
              <w:rPr>
                <w:color w:val="231F20"/>
                <w:spacing w:val="-13"/>
                <w:sz w:val="24"/>
              </w:rPr>
              <w:t xml:space="preserve"> </w:t>
            </w:r>
            <w:r>
              <w:rPr>
                <w:color w:val="231F20"/>
                <w:sz w:val="24"/>
              </w:rPr>
              <w:t>assist police and inform young people, including identifying missed opportunities for cautioning.</w:t>
            </w:r>
          </w:p>
        </w:tc>
      </w:tr>
      <w:tr w:rsidR="00345EE3" w14:paraId="1C3E5682" w14:textId="77777777" w:rsidTr="00D73130">
        <w:trPr>
          <w:trHeight w:val="80"/>
        </w:trPr>
        <w:tc>
          <w:tcPr>
            <w:tcW w:w="10203" w:type="dxa"/>
            <w:gridSpan w:val="2"/>
            <w:tcBorders>
              <w:top w:val="single" w:sz="2" w:space="0" w:color="939598"/>
            </w:tcBorders>
            <w:shd w:val="clear" w:color="auto" w:fill="00529F"/>
          </w:tcPr>
          <w:p w14:paraId="17831EB9" w14:textId="77777777" w:rsidR="00345EE3" w:rsidRDefault="00345EE3" w:rsidP="00D73130">
            <w:pPr>
              <w:pStyle w:val="TableParagraph"/>
              <w:spacing w:before="0"/>
              <w:jc w:val="left"/>
              <w:rPr>
                <w:rFonts w:ascii="Times New Roman"/>
                <w:sz w:val="2"/>
              </w:rPr>
            </w:pPr>
          </w:p>
        </w:tc>
      </w:tr>
      <w:tr w:rsidR="00345EE3" w14:paraId="1966C3B4" w14:textId="77777777" w:rsidTr="00D73130">
        <w:trPr>
          <w:trHeight w:val="401"/>
        </w:trPr>
        <w:tc>
          <w:tcPr>
            <w:tcW w:w="10203" w:type="dxa"/>
            <w:gridSpan w:val="2"/>
            <w:shd w:val="clear" w:color="auto" w:fill="00529F"/>
          </w:tcPr>
          <w:p w14:paraId="1E896EA7" w14:textId="77777777" w:rsidR="00345EE3" w:rsidRDefault="00345EE3" w:rsidP="00D73130">
            <w:pPr>
              <w:pStyle w:val="TableParagraph"/>
              <w:spacing w:before="64"/>
              <w:ind w:left="-1"/>
              <w:jc w:val="left"/>
              <w:rPr>
                <w:b/>
                <w:sz w:val="24"/>
              </w:rPr>
            </w:pPr>
            <w:r>
              <w:rPr>
                <w:b/>
                <w:color w:val="FFFFFF"/>
                <w:sz w:val="24"/>
              </w:rPr>
              <w:t>Reduce</w:t>
            </w:r>
            <w:r>
              <w:rPr>
                <w:b/>
                <w:color w:val="FFFFFF"/>
                <w:spacing w:val="-4"/>
                <w:sz w:val="24"/>
              </w:rPr>
              <w:t xml:space="preserve"> </w:t>
            </w:r>
            <w:r>
              <w:rPr>
                <w:b/>
                <w:color w:val="FFFFFF"/>
                <w:spacing w:val="-2"/>
                <w:sz w:val="24"/>
              </w:rPr>
              <w:t>Crime</w:t>
            </w:r>
          </w:p>
        </w:tc>
      </w:tr>
      <w:tr w:rsidR="00345EE3" w14:paraId="5618593E" w14:textId="77777777" w:rsidTr="00D73130">
        <w:trPr>
          <w:trHeight w:val="2078"/>
        </w:trPr>
        <w:tc>
          <w:tcPr>
            <w:tcW w:w="3402" w:type="dxa"/>
            <w:tcBorders>
              <w:bottom w:val="single" w:sz="2" w:space="0" w:color="939598"/>
              <w:right w:val="single" w:sz="2" w:space="0" w:color="939598"/>
            </w:tcBorders>
          </w:tcPr>
          <w:p w14:paraId="166E8B5D" w14:textId="77777777" w:rsidR="00345EE3" w:rsidRDefault="00345EE3" w:rsidP="00D73130">
            <w:pPr>
              <w:pStyle w:val="TableParagraph"/>
              <w:spacing w:before="64"/>
              <w:ind w:left="-3"/>
              <w:jc w:val="left"/>
              <w:rPr>
                <w:i/>
                <w:sz w:val="24"/>
              </w:rPr>
            </w:pPr>
            <w:r>
              <w:rPr>
                <w:i/>
                <w:color w:val="231F20"/>
                <w:spacing w:val="-5"/>
                <w:sz w:val="24"/>
              </w:rPr>
              <w:t>Cybercrime</w:t>
            </w:r>
            <w:r>
              <w:rPr>
                <w:i/>
                <w:color w:val="231F20"/>
                <w:spacing w:val="-6"/>
                <w:sz w:val="24"/>
              </w:rPr>
              <w:t xml:space="preserve"> </w:t>
            </w:r>
            <w:r>
              <w:rPr>
                <w:i/>
                <w:color w:val="231F20"/>
                <w:spacing w:val="-2"/>
                <w:sz w:val="24"/>
              </w:rPr>
              <w:t>Strategy</w:t>
            </w:r>
          </w:p>
        </w:tc>
        <w:tc>
          <w:tcPr>
            <w:tcW w:w="6801" w:type="dxa"/>
            <w:tcBorders>
              <w:left w:val="single" w:sz="2" w:space="0" w:color="939598"/>
              <w:bottom w:val="single" w:sz="2" w:space="0" w:color="939598"/>
            </w:tcBorders>
          </w:tcPr>
          <w:p w14:paraId="29E52064" w14:textId="77777777" w:rsidR="00345EE3" w:rsidRDefault="00345EE3" w:rsidP="00D73130">
            <w:pPr>
              <w:pStyle w:val="TableParagraph"/>
              <w:spacing w:before="64" w:line="242" w:lineRule="auto"/>
              <w:ind w:left="-1" w:right="186"/>
              <w:jc w:val="left"/>
              <w:rPr>
                <w:sz w:val="24"/>
              </w:rPr>
            </w:pPr>
            <w:r>
              <w:rPr>
                <w:color w:val="231F20"/>
                <w:sz w:val="24"/>
              </w:rPr>
              <w:t>The</w:t>
            </w:r>
            <w:r>
              <w:rPr>
                <w:color w:val="231F20"/>
                <w:spacing w:val="-10"/>
                <w:sz w:val="24"/>
              </w:rPr>
              <w:t xml:space="preserve"> </w:t>
            </w:r>
            <w:r>
              <w:rPr>
                <w:i/>
                <w:color w:val="231F20"/>
                <w:sz w:val="24"/>
              </w:rPr>
              <w:t>Victoria</w:t>
            </w:r>
            <w:r>
              <w:rPr>
                <w:i/>
                <w:color w:val="231F20"/>
                <w:spacing w:val="-17"/>
                <w:sz w:val="24"/>
              </w:rPr>
              <w:t xml:space="preserve"> </w:t>
            </w:r>
            <w:r>
              <w:rPr>
                <w:i/>
                <w:color w:val="231F20"/>
                <w:sz w:val="24"/>
              </w:rPr>
              <w:t>Police</w:t>
            </w:r>
            <w:r>
              <w:rPr>
                <w:i/>
                <w:color w:val="231F20"/>
                <w:spacing w:val="-16"/>
                <w:sz w:val="24"/>
              </w:rPr>
              <w:t xml:space="preserve"> </w:t>
            </w:r>
            <w:r>
              <w:rPr>
                <w:i/>
                <w:color w:val="231F20"/>
                <w:sz w:val="24"/>
              </w:rPr>
              <w:t>Cybercrime</w:t>
            </w:r>
            <w:r>
              <w:rPr>
                <w:i/>
                <w:color w:val="231F20"/>
                <w:spacing w:val="-17"/>
                <w:sz w:val="24"/>
              </w:rPr>
              <w:t xml:space="preserve"> </w:t>
            </w:r>
            <w:r>
              <w:rPr>
                <w:i/>
                <w:color w:val="231F20"/>
                <w:sz w:val="24"/>
              </w:rPr>
              <w:t>Strategy</w:t>
            </w:r>
            <w:r>
              <w:rPr>
                <w:i/>
                <w:color w:val="231F20"/>
                <w:spacing w:val="-16"/>
                <w:sz w:val="24"/>
              </w:rPr>
              <w:t xml:space="preserve"> </w:t>
            </w:r>
            <w:r>
              <w:rPr>
                <w:i/>
                <w:color w:val="231F20"/>
                <w:sz w:val="24"/>
              </w:rPr>
              <w:t>2022–2027</w:t>
            </w:r>
            <w:r>
              <w:rPr>
                <w:i/>
                <w:color w:val="231F20"/>
                <w:spacing w:val="-13"/>
                <w:sz w:val="24"/>
              </w:rPr>
              <w:t xml:space="preserve"> </w:t>
            </w:r>
            <w:r>
              <w:rPr>
                <w:color w:val="231F20"/>
                <w:sz w:val="24"/>
              </w:rPr>
              <w:t>was developed and officially launched in April 2022. The strategy will</w:t>
            </w:r>
            <w:r>
              <w:rPr>
                <w:color w:val="231F20"/>
                <w:spacing w:val="-9"/>
                <w:sz w:val="24"/>
              </w:rPr>
              <w:t xml:space="preserve"> </w:t>
            </w:r>
            <w:r>
              <w:rPr>
                <w:color w:val="231F20"/>
                <w:sz w:val="24"/>
              </w:rPr>
              <w:t>guide</w:t>
            </w:r>
            <w:r>
              <w:rPr>
                <w:color w:val="231F20"/>
                <w:spacing w:val="-9"/>
                <w:sz w:val="24"/>
              </w:rPr>
              <w:t xml:space="preserve"> </w:t>
            </w:r>
            <w:r>
              <w:rPr>
                <w:color w:val="231F20"/>
                <w:sz w:val="24"/>
              </w:rPr>
              <w:t>the</w:t>
            </w:r>
            <w:r>
              <w:rPr>
                <w:color w:val="231F20"/>
                <w:spacing w:val="-9"/>
                <w:sz w:val="24"/>
              </w:rPr>
              <w:t xml:space="preserve"> </w:t>
            </w:r>
            <w:r>
              <w:rPr>
                <w:color w:val="231F20"/>
                <w:sz w:val="24"/>
              </w:rPr>
              <w:t>organisation</w:t>
            </w:r>
            <w:r>
              <w:rPr>
                <w:color w:val="231F20"/>
                <w:spacing w:val="-9"/>
                <w:sz w:val="24"/>
              </w:rPr>
              <w:t xml:space="preserve"> </w:t>
            </w:r>
            <w:r>
              <w:rPr>
                <w:color w:val="231F20"/>
                <w:sz w:val="24"/>
              </w:rPr>
              <w:t>as</w:t>
            </w:r>
            <w:r>
              <w:rPr>
                <w:color w:val="231F20"/>
                <w:spacing w:val="-8"/>
                <w:sz w:val="24"/>
              </w:rPr>
              <w:t xml:space="preserve"> </w:t>
            </w:r>
            <w:r>
              <w:rPr>
                <w:color w:val="231F20"/>
                <w:sz w:val="24"/>
              </w:rPr>
              <w:t>it</w:t>
            </w:r>
            <w:r>
              <w:rPr>
                <w:color w:val="231F20"/>
                <w:spacing w:val="-8"/>
                <w:sz w:val="24"/>
              </w:rPr>
              <w:t xml:space="preserve"> </w:t>
            </w:r>
            <w:r>
              <w:rPr>
                <w:color w:val="231F20"/>
                <w:sz w:val="24"/>
              </w:rPr>
              <w:t>builds</w:t>
            </w:r>
            <w:r>
              <w:rPr>
                <w:color w:val="231F20"/>
                <w:spacing w:val="-8"/>
                <w:sz w:val="24"/>
              </w:rPr>
              <w:t xml:space="preserve"> </w:t>
            </w:r>
            <w:r>
              <w:rPr>
                <w:color w:val="231F20"/>
                <w:sz w:val="24"/>
              </w:rPr>
              <w:t>capacity</w:t>
            </w:r>
            <w:r>
              <w:rPr>
                <w:color w:val="231F20"/>
                <w:spacing w:val="-8"/>
                <w:sz w:val="24"/>
              </w:rPr>
              <w:t xml:space="preserve"> </w:t>
            </w:r>
            <w:r>
              <w:rPr>
                <w:color w:val="231F20"/>
                <w:sz w:val="24"/>
              </w:rPr>
              <w:t>and</w:t>
            </w:r>
            <w:r>
              <w:rPr>
                <w:color w:val="231F20"/>
                <w:spacing w:val="-9"/>
                <w:sz w:val="24"/>
              </w:rPr>
              <w:t xml:space="preserve"> </w:t>
            </w:r>
            <w:r>
              <w:rPr>
                <w:color w:val="231F20"/>
                <w:sz w:val="24"/>
              </w:rPr>
              <w:t>works</w:t>
            </w:r>
            <w:r>
              <w:rPr>
                <w:color w:val="231F20"/>
                <w:spacing w:val="-8"/>
                <w:sz w:val="24"/>
              </w:rPr>
              <w:t xml:space="preserve"> </w:t>
            </w:r>
            <w:r>
              <w:rPr>
                <w:color w:val="231F20"/>
                <w:sz w:val="24"/>
              </w:rPr>
              <w:t>with strategic partners and the community to meet the challenges and impacts of cybercrime. The next phase of the strategy is implementation. To ensure this important work continues this action</w:t>
            </w:r>
            <w:r>
              <w:rPr>
                <w:color w:val="231F20"/>
                <w:spacing w:val="-17"/>
                <w:sz w:val="24"/>
              </w:rPr>
              <w:t xml:space="preserve"> </w:t>
            </w:r>
            <w:r>
              <w:rPr>
                <w:color w:val="231F20"/>
                <w:sz w:val="24"/>
              </w:rPr>
              <w:t>has</w:t>
            </w:r>
            <w:r>
              <w:rPr>
                <w:color w:val="231F20"/>
                <w:spacing w:val="-17"/>
                <w:sz w:val="24"/>
              </w:rPr>
              <w:t xml:space="preserve"> </w:t>
            </w:r>
            <w:r>
              <w:rPr>
                <w:color w:val="231F20"/>
                <w:sz w:val="24"/>
              </w:rPr>
              <w:t>been</w:t>
            </w:r>
            <w:r>
              <w:rPr>
                <w:color w:val="231F20"/>
                <w:spacing w:val="-16"/>
                <w:sz w:val="24"/>
              </w:rPr>
              <w:t xml:space="preserve"> </w:t>
            </w:r>
            <w:r>
              <w:rPr>
                <w:color w:val="231F20"/>
                <w:sz w:val="24"/>
              </w:rPr>
              <w:t>carried</w:t>
            </w:r>
            <w:r>
              <w:rPr>
                <w:color w:val="231F20"/>
                <w:spacing w:val="-17"/>
                <w:sz w:val="24"/>
              </w:rPr>
              <w:t xml:space="preserve"> </w:t>
            </w:r>
            <w:r>
              <w:rPr>
                <w:color w:val="231F20"/>
                <w:sz w:val="24"/>
              </w:rPr>
              <w:t>over</w:t>
            </w:r>
            <w:r>
              <w:rPr>
                <w:color w:val="231F20"/>
                <w:spacing w:val="-17"/>
                <w:sz w:val="24"/>
              </w:rPr>
              <w:t xml:space="preserve"> </w:t>
            </w:r>
            <w:r>
              <w:rPr>
                <w:color w:val="231F20"/>
                <w:sz w:val="24"/>
              </w:rPr>
              <w:t>into</w:t>
            </w:r>
            <w:r>
              <w:rPr>
                <w:color w:val="231F20"/>
                <w:spacing w:val="-17"/>
                <w:sz w:val="24"/>
              </w:rPr>
              <w:t xml:space="preserve"> </w:t>
            </w:r>
            <w:r>
              <w:rPr>
                <w:color w:val="231F20"/>
                <w:sz w:val="24"/>
              </w:rPr>
              <w:t>the</w:t>
            </w:r>
            <w:r>
              <w:rPr>
                <w:color w:val="231F20"/>
                <w:spacing w:val="-16"/>
                <w:sz w:val="24"/>
              </w:rPr>
              <w:t xml:space="preserve"> </w:t>
            </w:r>
            <w:r>
              <w:rPr>
                <w:i/>
                <w:color w:val="231F20"/>
                <w:sz w:val="24"/>
              </w:rPr>
              <w:t>2022–23</w:t>
            </w:r>
            <w:r>
              <w:rPr>
                <w:i/>
                <w:color w:val="231F20"/>
                <w:spacing w:val="-17"/>
                <w:sz w:val="24"/>
              </w:rPr>
              <w:t xml:space="preserve"> </w:t>
            </w:r>
            <w:r>
              <w:rPr>
                <w:i/>
                <w:color w:val="231F20"/>
                <w:sz w:val="24"/>
              </w:rPr>
              <w:t>Corporate</w:t>
            </w:r>
            <w:r>
              <w:rPr>
                <w:i/>
                <w:color w:val="231F20"/>
                <w:spacing w:val="-17"/>
                <w:sz w:val="24"/>
              </w:rPr>
              <w:t xml:space="preserve"> </w:t>
            </w:r>
            <w:r>
              <w:rPr>
                <w:i/>
                <w:color w:val="231F20"/>
                <w:sz w:val="24"/>
              </w:rPr>
              <w:t>Plan</w:t>
            </w:r>
            <w:r>
              <w:rPr>
                <w:color w:val="231F20"/>
                <w:sz w:val="24"/>
              </w:rPr>
              <w:t>.</w:t>
            </w:r>
          </w:p>
        </w:tc>
      </w:tr>
      <w:tr w:rsidR="00345EE3" w14:paraId="091876D2" w14:textId="77777777" w:rsidTr="00D73130">
        <w:trPr>
          <w:trHeight w:val="4149"/>
        </w:trPr>
        <w:tc>
          <w:tcPr>
            <w:tcW w:w="3402" w:type="dxa"/>
            <w:tcBorders>
              <w:top w:val="single" w:sz="2" w:space="0" w:color="939598"/>
              <w:bottom w:val="single" w:sz="2" w:space="0" w:color="939598"/>
              <w:right w:val="single" w:sz="2" w:space="0" w:color="939598"/>
            </w:tcBorders>
          </w:tcPr>
          <w:p w14:paraId="7F249336" w14:textId="77777777" w:rsidR="00345EE3" w:rsidRDefault="00345EE3" w:rsidP="00D73130">
            <w:pPr>
              <w:pStyle w:val="TableParagraph"/>
              <w:spacing w:before="62"/>
              <w:ind w:left="-3"/>
              <w:jc w:val="left"/>
              <w:rPr>
                <w:i/>
                <w:sz w:val="24"/>
              </w:rPr>
            </w:pPr>
            <w:r>
              <w:rPr>
                <w:i/>
                <w:color w:val="231F20"/>
                <w:spacing w:val="-4"/>
                <w:sz w:val="24"/>
              </w:rPr>
              <w:t>Drug</w:t>
            </w:r>
            <w:r>
              <w:rPr>
                <w:i/>
                <w:color w:val="231F20"/>
                <w:spacing w:val="-10"/>
                <w:sz w:val="24"/>
              </w:rPr>
              <w:t xml:space="preserve"> </w:t>
            </w:r>
            <w:r>
              <w:rPr>
                <w:i/>
                <w:color w:val="231F20"/>
                <w:spacing w:val="-4"/>
                <w:sz w:val="24"/>
              </w:rPr>
              <w:t>Strategy</w:t>
            </w:r>
            <w:r>
              <w:rPr>
                <w:i/>
                <w:color w:val="231F20"/>
                <w:spacing w:val="-10"/>
                <w:sz w:val="24"/>
              </w:rPr>
              <w:t xml:space="preserve"> </w:t>
            </w:r>
            <w:r>
              <w:rPr>
                <w:i/>
                <w:color w:val="231F20"/>
                <w:spacing w:val="-4"/>
                <w:sz w:val="24"/>
              </w:rPr>
              <w:t>2020–2025</w:t>
            </w:r>
          </w:p>
        </w:tc>
        <w:tc>
          <w:tcPr>
            <w:tcW w:w="6801" w:type="dxa"/>
            <w:tcBorders>
              <w:top w:val="single" w:sz="2" w:space="0" w:color="939598"/>
              <w:left w:val="single" w:sz="2" w:space="0" w:color="939598"/>
              <w:bottom w:val="single" w:sz="2" w:space="0" w:color="939598"/>
            </w:tcBorders>
          </w:tcPr>
          <w:p w14:paraId="393069D7" w14:textId="77777777" w:rsidR="00345EE3" w:rsidRDefault="00345EE3" w:rsidP="00D73130">
            <w:pPr>
              <w:pStyle w:val="TableParagraph"/>
              <w:spacing w:before="62" w:line="242" w:lineRule="auto"/>
              <w:ind w:left="-1" w:right="395"/>
              <w:jc w:val="left"/>
              <w:rPr>
                <w:sz w:val="24"/>
              </w:rPr>
            </w:pPr>
            <w:r>
              <w:rPr>
                <w:color w:val="231F20"/>
                <w:spacing w:val="-2"/>
                <w:sz w:val="24"/>
              </w:rPr>
              <w:t>The</w:t>
            </w:r>
            <w:r>
              <w:rPr>
                <w:color w:val="231F20"/>
                <w:spacing w:val="-14"/>
                <w:sz w:val="24"/>
              </w:rPr>
              <w:t xml:space="preserve"> </w:t>
            </w:r>
            <w:r>
              <w:rPr>
                <w:color w:val="231F20"/>
                <w:spacing w:val="-2"/>
                <w:sz w:val="24"/>
              </w:rPr>
              <w:t>objective</w:t>
            </w:r>
            <w:r>
              <w:rPr>
                <w:color w:val="231F20"/>
                <w:spacing w:val="-8"/>
                <w:sz w:val="24"/>
              </w:rPr>
              <w:t xml:space="preserve"> </w:t>
            </w:r>
            <w:r>
              <w:rPr>
                <w:color w:val="231F20"/>
                <w:spacing w:val="-2"/>
                <w:sz w:val="24"/>
              </w:rPr>
              <w:t>of</w:t>
            </w:r>
            <w:r>
              <w:rPr>
                <w:color w:val="231F20"/>
                <w:spacing w:val="-8"/>
                <w:sz w:val="24"/>
              </w:rPr>
              <w:t xml:space="preserve"> </w:t>
            </w:r>
            <w:r>
              <w:rPr>
                <w:color w:val="231F20"/>
                <w:spacing w:val="-2"/>
                <w:sz w:val="24"/>
              </w:rPr>
              <w:t>the</w:t>
            </w:r>
            <w:r>
              <w:rPr>
                <w:color w:val="231F20"/>
                <w:spacing w:val="-9"/>
                <w:sz w:val="24"/>
              </w:rPr>
              <w:t xml:space="preserve"> </w:t>
            </w:r>
            <w:r>
              <w:rPr>
                <w:i/>
                <w:color w:val="231F20"/>
                <w:spacing w:val="-2"/>
                <w:sz w:val="24"/>
              </w:rPr>
              <w:t>Victoria</w:t>
            </w:r>
            <w:r>
              <w:rPr>
                <w:i/>
                <w:color w:val="231F20"/>
                <w:spacing w:val="-15"/>
                <w:sz w:val="24"/>
              </w:rPr>
              <w:t xml:space="preserve"> </w:t>
            </w:r>
            <w:r>
              <w:rPr>
                <w:i/>
                <w:color w:val="231F20"/>
                <w:spacing w:val="-2"/>
                <w:sz w:val="24"/>
              </w:rPr>
              <w:t>Police</w:t>
            </w:r>
            <w:r>
              <w:rPr>
                <w:i/>
                <w:color w:val="231F20"/>
                <w:spacing w:val="-15"/>
                <w:sz w:val="24"/>
              </w:rPr>
              <w:t xml:space="preserve"> </w:t>
            </w:r>
            <w:r>
              <w:rPr>
                <w:i/>
                <w:color w:val="231F20"/>
                <w:spacing w:val="-2"/>
                <w:sz w:val="24"/>
              </w:rPr>
              <w:t>Drug</w:t>
            </w:r>
            <w:r>
              <w:rPr>
                <w:i/>
                <w:color w:val="231F20"/>
                <w:spacing w:val="-14"/>
                <w:sz w:val="24"/>
              </w:rPr>
              <w:t xml:space="preserve"> </w:t>
            </w:r>
            <w:r>
              <w:rPr>
                <w:i/>
                <w:color w:val="231F20"/>
                <w:spacing w:val="-2"/>
                <w:sz w:val="24"/>
              </w:rPr>
              <w:t>Strategy</w:t>
            </w:r>
            <w:r>
              <w:rPr>
                <w:i/>
                <w:color w:val="231F20"/>
                <w:spacing w:val="-15"/>
                <w:sz w:val="24"/>
              </w:rPr>
              <w:t xml:space="preserve"> </w:t>
            </w:r>
            <w:r>
              <w:rPr>
                <w:i/>
                <w:color w:val="231F20"/>
                <w:spacing w:val="-2"/>
                <w:sz w:val="24"/>
              </w:rPr>
              <w:t xml:space="preserve">2020–2025 </w:t>
            </w:r>
            <w:r>
              <w:rPr>
                <w:color w:val="231F20"/>
                <w:sz w:val="24"/>
              </w:rPr>
              <w:t>is</w:t>
            </w:r>
            <w:r>
              <w:rPr>
                <w:color w:val="231F20"/>
                <w:spacing w:val="-3"/>
                <w:sz w:val="24"/>
              </w:rPr>
              <w:t xml:space="preserve"> </w:t>
            </w:r>
            <w:r>
              <w:rPr>
                <w:color w:val="231F20"/>
                <w:sz w:val="24"/>
              </w:rPr>
              <w:t>to</w:t>
            </w:r>
            <w:r>
              <w:rPr>
                <w:color w:val="231F20"/>
                <w:spacing w:val="-4"/>
                <w:sz w:val="24"/>
              </w:rPr>
              <w:t xml:space="preserve"> </w:t>
            </w:r>
            <w:r>
              <w:rPr>
                <w:color w:val="231F20"/>
                <w:sz w:val="24"/>
              </w:rPr>
              <w:t>improve</w:t>
            </w:r>
            <w:r>
              <w:rPr>
                <w:color w:val="231F20"/>
                <w:spacing w:val="-4"/>
                <w:sz w:val="24"/>
              </w:rPr>
              <w:t xml:space="preserve"> </w:t>
            </w:r>
            <w:r>
              <w:rPr>
                <w:color w:val="231F20"/>
                <w:sz w:val="24"/>
              </w:rPr>
              <w:t>health</w:t>
            </w:r>
            <w:r>
              <w:rPr>
                <w:color w:val="231F20"/>
                <w:spacing w:val="-4"/>
                <w:sz w:val="24"/>
              </w:rPr>
              <w:t xml:space="preserve"> </w:t>
            </w:r>
            <w:r>
              <w:rPr>
                <w:color w:val="231F20"/>
                <w:sz w:val="24"/>
              </w:rPr>
              <w:t>and</w:t>
            </w:r>
            <w:r>
              <w:rPr>
                <w:color w:val="231F20"/>
                <w:spacing w:val="-4"/>
                <w:sz w:val="24"/>
              </w:rPr>
              <w:t xml:space="preserve"> </w:t>
            </w:r>
            <w:r>
              <w:rPr>
                <w:color w:val="231F20"/>
                <w:sz w:val="24"/>
              </w:rPr>
              <w:t>community</w:t>
            </w:r>
            <w:r>
              <w:rPr>
                <w:color w:val="231F20"/>
                <w:spacing w:val="-3"/>
                <w:sz w:val="24"/>
              </w:rPr>
              <w:t xml:space="preserve"> </w:t>
            </w:r>
            <w:r>
              <w:rPr>
                <w:color w:val="231F20"/>
                <w:sz w:val="24"/>
              </w:rPr>
              <w:t>safety</w:t>
            </w:r>
            <w:r>
              <w:rPr>
                <w:color w:val="231F20"/>
                <w:spacing w:val="-3"/>
                <w:sz w:val="24"/>
              </w:rPr>
              <w:t xml:space="preserve"> </w:t>
            </w:r>
            <w:r>
              <w:rPr>
                <w:color w:val="231F20"/>
                <w:sz w:val="24"/>
              </w:rPr>
              <w:t>for</w:t>
            </w:r>
            <w:r>
              <w:rPr>
                <w:color w:val="231F20"/>
                <w:spacing w:val="-3"/>
                <w:sz w:val="24"/>
              </w:rPr>
              <w:t xml:space="preserve"> </w:t>
            </w:r>
            <w:r>
              <w:rPr>
                <w:color w:val="231F20"/>
                <w:sz w:val="24"/>
              </w:rPr>
              <w:t>all</w:t>
            </w:r>
            <w:r>
              <w:rPr>
                <w:color w:val="231F20"/>
                <w:spacing w:val="-4"/>
                <w:sz w:val="24"/>
              </w:rPr>
              <w:t xml:space="preserve"> </w:t>
            </w:r>
            <w:r>
              <w:rPr>
                <w:color w:val="231F20"/>
                <w:sz w:val="24"/>
              </w:rPr>
              <w:t>Victorians. It articulates our organisation’s commitment to adopting compassionate and targeted responses based on evidence of</w:t>
            </w:r>
            <w:r>
              <w:rPr>
                <w:color w:val="231F20"/>
                <w:spacing w:val="-9"/>
                <w:sz w:val="24"/>
              </w:rPr>
              <w:t xml:space="preserve"> </w:t>
            </w:r>
            <w:r>
              <w:rPr>
                <w:color w:val="231F20"/>
                <w:sz w:val="24"/>
              </w:rPr>
              <w:t>what</w:t>
            </w:r>
            <w:r>
              <w:rPr>
                <w:color w:val="231F20"/>
                <w:spacing w:val="-9"/>
                <w:sz w:val="24"/>
              </w:rPr>
              <w:t xml:space="preserve"> </w:t>
            </w:r>
            <w:r>
              <w:rPr>
                <w:color w:val="231F20"/>
                <w:sz w:val="24"/>
              </w:rPr>
              <w:t>works</w:t>
            </w:r>
            <w:r>
              <w:rPr>
                <w:color w:val="231F20"/>
                <w:spacing w:val="-9"/>
                <w:sz w:val="24"/>
              </w:rPr>
              <w:t xml:space="preserve"> </w:t>
            </w:r>
            <w:r>
              <w:rPr>
                <w:color w:val="231F20"/>
                <w:sz w:val="24"/>
              </w:rPr>
              <w:t>to</w:t>
            </w:r>
            <w:r>
              <w:rPr>
                <w:color w:val="231F20"/>
                <w:spacing w:val="-10"/>
                <w:sz w:val="24"/>
              </w:rPr>
              <w:t xml:space="preserve"> </w:t>
            </w:r>
            <w:r>
              <w:rPr>
                <w:color w:val="231F20"/>
                <w:sz w:val="24"/>
              </w:rPr>
              <w:t>prevent</w:t>
            </w:r>
            <w:r>
              <w:rPr>
                <w:color w:val="231F20"/>
                <w:spacing w:val="-9"/>
                <w:sz w:val="24"/>
              </w:rPr>
              <w:t xml:space="preserve"> </w:t>
            </w:r>
            <w:r>
              <w:rPr>
                <w:color w:val="231F20"/>
                <w:sz w:val="24"/>
              </w:rPr>
              <w:t>harm,</w:t>
            </w:r>
            <w:r>
              <w:rPr>
                <w:color w:val="231F20"/>
                <w:spacing w:val="-9"/>
                <w:sz w:val="24"/>
              </w:rPr>
              <w:t xml:space="preserve"> </w:t>
            </w:r>
            <w:r>
              <w:rPr>
                <w:color w:val="231F20"/>
                <w:sz w:val="24"/>
              </w:rPr>
              <w:t>support</w:t>
            </w:r>
            <w:r>
              <w:rPr>
                <w:color w:val="231F20"/>
                <w:spacing w:val="-9"/>
                <w:sz w:val="24"/>
              </w:rPr>
              <w:t xml:space="preserve"> </w:t>
            </w:r>
            <w:r>
              <w:rPr>
                <w:color w:val="231F20"/>
                <w:sz w:val="24"/>
              </w:rPr>
              <w:t>change</w:t>
            </w:r>
            <w:r>
              <w:rPr>
                <w:color w:val="231F20"/>
                <w:spacing w:val="-10"/>
                <w:sz w:val="24"/>
              </w:rPr>
              <w:t xml:space="preserve"> </w:t>
            </w:r>
            <w:r>
              <w:rPr>
                <w:color w:val="231F20"/>
                <w:sz w:val="24"/>
              </w:rPr>
              <w:t>and</w:t>
            </w:r>
            <w:r>
              <w:rPr>
                <w:color w:val="231F20"/>
                <w:spacing w:val="-10"/>
                <w:sz w:val="24"/>
              </w:rPr>
              <w:t xml:space="preserve"> </w:t>
            </w:r>
            <w:r>
              <w:rPr>
                <w:color w:val="231F20"/>
                <w:sz w:val="24"/>
              </w:rPr>
              <w:t>connect people to treatment and support when they need it.</w:t>
            </w:r>
          </w:p>
          <w:p w14:paraId="11593440" w14:textId="77777777" w:rsidR="00345EE3" w:rsidRDefault="00345EE3" w:rsidP="00D73130">
            <w:pPr>
              <w:pStyle w:val="TableParagraph"/>
              <w:spacing w:before="121" w:line="242" w:lineRule="auto"/>
              <w:ind w:left="-1" w:right="97"/>
              <w:jc w:val="left"/>
              <w:rPr>
                <w:sz w:val="24"/>
              </w:rPr>
            </w:pPr>
            <w:r>
              <w:rPr>
                <w:color w:val="231F20"/>
                <w:sz w:val="24"/>
              </w:rPr>
              <w:t>Implementation of the strategy continues, including convening whole-of-sector music festival forums, supporting the trial of medically</w:t>
            </w:r>
            <w:r>
              <w:rPr>
                <w:color w:val="231F20"/>
                <w:spacing w:val="-13"/>
                <w:sz w:val="24"/>
              </w:rPr>
              <w:t xml:space="preserve"> </w:t>
            </w:r>
            <w:r>
              <w:rPr>
                <w:color w:val="231F20"/>
                <w:sz w:val="24"/>
              </w:rPr>
              <w:t>supervised</w:t>
            </w:r>
            <w:r>
              <w:rPr>
                <w:color w:val="231F20"/>
                <w:spacing w:val="-13"/>
                <w:sz w:val="24"/>
              </w:rPr>
              <w:t xml:space="preserve"> </w:t>
            </w:r>
            <w:r>
              <w:rPr>
                <w:color w:val="231F20"/>
                <w:sz w:val="24"/>
              </w:rPr>
              <w:t>injecting</w:t>
            </w:r>
            <w:r>
              <w:rPr>
                <w:color w:val="231F20"/>
                <w:spacing w:val="-13"/>
                <w:sz w:val="24"/>
              </w:rPr>
              <w:t xml:space="preserve"> </w:t>
            </w:r>
            <w:r>
              <w:rPr>
                <w:color w:val="231F20"/>
                <w:sz w:val="24"/>
              </w:rPr>
              <w:t>room</w:t>
            </w:r>
            <w:r>
              <w:rPr>
                <w:color w:val="231F20"/>
                <w:spacing w:val="-13"/>
                <w:sz w:val="24"/>
              </w:rPr>
              <w:t xml:space="preserve"> </w:t>
            </w:r>
            <w:r>
              <w:rPr>
                <w:color w:val="231F20"/>
                <w:sz w:val="24"/>
              </w:rPr>
              <w:t>sites,</w:t>
            </w:r>
            <w:r>
              <w:rPr>
                <w:color w:val="231F20"/>
                <w:spacing w:val="-13"/>
                <w:sz w:val="24"/>
              </w:rPr>
              <w:t xml:space="preserve"> </w:t>
            </w:r>
            <w:r>
              <w:rPr>
                <w:color w:val="231F20"/>
                <w:sz w:val="24"/>
              </w:rPr>
              <w:t>developing</w:t>
            </w:r>
            <w:r>
              <w:rPr>
                <w:color w:val="231F20"/>
                <w:spacing w:val="-13"/>
                <w:sz w:val="24"/>
              </w:rPr>
              <w:t xml:space="preserve"> </w:t>
            </w:r>
            <w:r>
              <w:rPr>
                <w:color w:val="231F20"/>
                <w:sz w:val="24"/>
              </w:rPr>
              <w:t>a</w:t>
            </w:r>
            <w:r>
              <w:rPr>
                <w:color w:val="231F20"/>
                <w:spacing w:val="-13"/>
                <w:sz w:val="24"/>
              </w:rPr>
              <w:t xml:space="preserve"> </w:t>
            </w:r>
            <w:r>
              <w:rPr>
                <w:color w:val="231F20"/>
                <w:sz w:val="24"/>
              </w:rPr>
              <w:t>practice guide for police when interacting with a person who is drug impaired and exploring options for dedicated drug detectives</w:t>
            </w:r>
          </w:p>
          <w:p w14:paraId="2636383E" w14:textId="77777777" w:rsidR="00345EE3" w:rsidRDefault="00345EE3" w:rsidP="00D73130">
            <w:pPr>
              <w:pStyle w:val="TableParagraph"/>
              <w:spacing w:before="7" w:line="242" w:lineRule="auto"/>
              <w:ind w:left="-1"/>
              <w:jc w:val="left"/>
              <w:rPr>
                <w:sz w:val="24"/>
              </w:rPr>
            </w:pPr>
            <w:r>
              <w:rPr>
                <w:color w:val="231F20"/>
                <w:sz w:val="24"/>
              </w:rPr>
              <w:t>in</w:t>
            </w:r>
            <w:r>
              <w:rPr>
                <w:color w:val="231F20"/>
                <w:spacing w:val="-13"/>
                <w:sz w:val="24"/>
              </w:rPr>
              <w:t xml:space="preserve"> </w:t>
            </w:r>
            <w:r>
              <w:rPr>
                <w:color w:val="231F20"/>
                <w:sz w:val="24"/>
              </w:rPr>
              <w:t>regional</w:t>
            </w:r>
            <w:r>
              <w:rPr>
                <w:color w:val="231F20"/>
                <w:spacing w:val="-13"/>
                <w:sz w:val="24"/>
              </w:rPr>
              <w:t xml:space="preserve"> </w:t>
            </w:r>
            <w:r>
              <w:rPr>
                <w:color w:val="231F20"/>
                <w:sz w:val="24"/>
              </w:rPr>
              <w:t>areas.</w:t>
            </w:r>
            <w:r>
              <w:rPr>
                <w:color w:val="231F20"/>
                <w:spacing w:val="-12"/>
                <w:sz w:val="24"/>
              </w:rPr>
              <w:t xml:space="preserve"> </w:t>
            </w:r>
            <w:r>
              <w:rPr>
                <w:color w:val="231F20"/>
                <w:sz w:val="24"/>
              </w:rPr>
              <w:t>To</w:t>
            </w:r>
            <w:r>
              <w:rPr>
                <w:color w:val="231F20"/>
                <w:spacing w:val="-13"/>
                <w:sz w:val="24"/>
              </w:rPr>
              <w:t xml:space="preserve"> </w:t>
            </w:r>
            <w:r>
              <w:rPr>
                <w:color w:val="231F20"/>
                <w:sz w:val="24"/>
              </w:rPr>
              <w:t>ensure</w:t>
            </w:r>
            <w:r>
              <w:rPr>
                <w:color w:val="231F20"/>
                <w:spacing w:val="-13"/>
                <w:sz w:val="24"/>
              </w:rPr>
              <w:t xml:space="preserve"> </w:t>
            </w:r>
            <w:r>
              <w:rPr>
                <w:color w:val="231F20"/>
                <w:sz w:val="24"/>
              </w:rPr>
              <w:t>this</w:t>
            </w:r>
            <w:r>
              <w:rPr>
                <w:color w:val="231F20"/>
                <w:spacing w:val="-12"/>
                <w:sz w:val="24"/>
              </w:rPr>
              <w:t xml:space="preserve"> </w:t>
            </w:r>
            <w:r>
              <w:rPr>
                <w:color w:val="231F20"/>
                <w:sz w:val="24"/>
              </w:rPr>
              <w:t>important</w:t>
            </w:r>
            <w:r>
              <w:rPr>
                <w:color w:val="231F20"/>
                <w:spacing w:val="-12"/>
                <w:sz w:val="24"/>
              </w:rPr>
              <w:t xml:space="preserve"> </w:t>
            </w:r>
            <w:r>
              <w:rPr>
                <w:color w:val="231F20"/>
                <w:sz w:val="24"/>
              </w:rPr>
              <w:t>work</w:t>
            </w:r>
            <w:r>
              <w:rPr>
                <w:color w:val="231F20"/>
                <w:spacing w:val="-12"/>
                <w:sz w:val="24"/>
              </w:rPr>
              <w:t xml:space="preserve"> </w:t>
            </w:r>
            <w:r>
              <w:rPr>
                <w:color w:val="231F20"/>
                <w:sz w:val="24"/>
              </w:rPr>
              <w:t>continues,</w:t>
            </w:r>
            <w:r>
              <w:rPr>
                <w:color w:val="231F20"/>
                <w:spacing w:val="-12"/>
                <w:sz w:val="24"/>
              </w:rPr>
              <w:t xml:space="preserve"> </w:t>
            </w:r>
            <w:r>
              <w:rPr>
                <w:color w:val="231F20"/>
                <w:sz w:val="24"/>
              </w:rPr>
              <w:t xml:space="preserve">this action item has been carried over into the </w:t>
            </w:r>
            <w:r>
              <w:rPr>
                <w:i/>
                <w:color w:val="231F20"/>
                <w:sz w:val="24"/>
              </w:rPr>
              <w:t>2022–23</w:t>
            </w:r>
            <w:r>
              <w:rPr>
                <w:i/>
                <w:color w:val="231F20"/>
                <w:spacing w:val="-5"/>
                <w:sz w:val="24"/>
              </w:rPr>
              <w:t xml:space="preserve"> </w:t>
            </w:r>
            <w:r>
              <w:rPr>
                <w:i/>
                <w:color w:val="231F20"/>
                <w:sz w:val="24"/>
              </w:rPr>
              <w:t xml:space="preserve">Corporate </w:t>
            </w:r>
            <w:r>
              <w:rPr>
                <w:i/>
                <w:color w:val="231F20"/>
                <w:spacing w:val="-2"/>
                <w:sz w:val="24"/>
              </w:rPr>
              <w:t>Plan</w:t>
            </w:r>
            <w:r>
              <w:rPr>
                <w:color w:val="231F20"/>
                <w:spacing w:val="-2"/>
                <w:sz w:val="24"/>
              </w:rPr>
              <w:t>.</w:t>
            </w:r>
          </w:p>
        </w:tc>
      </w:tr>
      <w:tr w:rsidR="00345EE3" w14:paraId="0D68226A" w14:textId="77777777" w:rsidTr="00D73130">
        <w:trPr>
          <w:trHeight w:val="1236"/>
        </w:trPr>
        <w:tc>
          <w:tcPr>
            <w:tcW w:w="3402" w:type="dxa"/>
            <w:tcBorders>
              <w:top w:val="single" w:sz="2" w:space="0" w:color="939598"/>
              <w:bottom w:val="single" w:sz="2" w:space="0" w:color="939598"/>
              <w:right w:val="single" w:sz="2" w:space="0" w:color="939598"/>
            </w:tcBorders>
          </w:tcPr>
          <w:p w14:paraId="0A931708" w14:textId="77777777" w:rsidR="00345EE3" w:rsidRDefault="00345EE3" w:rsidP="00D73130">
            <w:pPr>
              <w:pStyle w:val="TableParagraph"/>
              <w:spacing w:before="63"/>
              <w:ind w:left="-3"/>
              <w:jc w:val="left"/>
              <w:rPr>
                <w:i/>
                <w:sz w:val="24"/>
              </w:rPr>
            </w:pPr>
            <w:r>
              <w:rPr>
                <w:i/>
                <w:color w:val="231F20"/>
                <w:spacing w:val="-6"/>
                <w:sz w:val="24"/>
              </w:rPr>
              <w:t>Anti-Gangs</w:t>
            </w:r>
            <w:r>
              <w:rPr>
                <w:i/>
                <w:color w:val="231F20"/>
                <w:spacing w:val="6"/>
                <w:sz w:val="24"/>
              </w:rPr>
              <w:t xml:space="preserve"> </w:t>
            </w:r>
            <w:r>
              <w:rPr>
                <w:i/>
                <w:color w:val="231F20"/>
                <w:spacing w:val="-6"/>
                <w:sz w:val="24"/>
              </w:rPr>
              <w:t>Strategy</w:t>
            </w:r>
          </w:p>
        </w:tc>
        <w:tc>
          <w:tcPr>
            <w:tcW w:w="6801" w:type="dxa"/>
            <w:tcBorders>
              <w:top w:val="single" w:sz="2" w:space="0" w:color="939598"/>
              <w:left w:val="single" w:sz="2" w:space="0" w:color="939598"/>
              <w:bottom w:val="single" w:sz="2" w:space="0" w:color="939598"/>
            </w:tcBorders>
          </w:tcPr>
          <w:p w14:paraId="47E73EFC" w14:textId="77777777" w:rsidR="00345EE3" w:rsidRDefault="00345EE3" w:rsidP="00D73130">
            <w:pPr>
              <w:pStyle w:val="TableParagraph"/>
              <w:spacing w:before="63" w:line="242" w:lineRule="auto"/>
              <w:ind w:left="-1"/>
              <w:jc w:val="left"/>
              <w:rPr>
                <w:sz w:val="24"/>
              </w:rPr>
            </w:pPr>
            <w:r>
              <w:rPr>
                <w:color w:val="231F20"/>
                <w:sz w:val="24"/>
              </w:rPr>
              <w:t>The</w:t>
            </w:r>
            <w:r>
              <w:rPr>
                <w:color w:val="231F20"/>
                <w:spacing w:val="-3"/>
                <w:sz w:val="24"/>
              </w:rPr>
              <w:t xml:space="preserve"> </w:t>
            </w:r>
            <w:r>
              <w:rPr>
                <w:i/>
                <w:color w:val="231F20"/>
                <w:sz w:val="24"/>
              </w:rPr>
              <w:t>Victoria</w:t>
            </w:r>
            <w:r>
              <w:rPr>
                <w:i/>
                <w:color w:val="231F20"/>
                <w:spacing w:val="-11"/>
                <w:sz w:val="24"/>
              </w:rPr>
              <w:t xml:space="preserve"> </w:t>
            </w:r>
            <w:r>
              <w:rPr>
                <w:i/>
                <w:color w:val="231F20"/>
                <w:sz w:val="24"/>
              </w:rPr>
              <w:t>Police</w:t>
            </w:r>
            <w:r>
              <w:rPr>
                <w:i/>
                <w:color w:val="231F20"/>
                <w:spacing w:val="-11"/>
                <w:sz w:val="24"/>
              </w:rPr>
              <w:t xml:space="preserve"> </w:t>
            </w:r>
            <w:r>
              <w:rPr>
                <w:i/>
                <w:color w:val="231F20"/>
                <w:sz w:val="24"/>
              </w:rPr>
              <w:t>Anti-Gangs</w:t>
            </w:r>
            <w:r>
              <w:rPr>
                <w:i/>
                <w:color w:val="231F20"/>
                <w:spacing w:val="-11"/>
                <w:sz w:val="24"/>
              </w:rPr>
              <w:t xml:space="preserve"> </w:t>
            </w:r>
            <w:r>
              <w:rPr>
                <w:i/>
                <w:color w:val="231F20"/>
                <w:sz w:val="24"/>
              </w:rPr>
              <w:t>Strategy</w:t>
            </w:r>
            <w:r>
              <w:rPr>
                <w:i/>
                <w:color w:val="231F20"/>
                <w:spacing w:val="-7"/>
                <w:sz w:val="24"/>
              </w:rPr>
              <w:t xml:space="preserve"> </w:t>
            </w:r>
            <w:r>
              <w:rPr>
                <w:color w:val="231F20"/>
                <w:sz w:val="24"/>
              </w:rPr>
              <w:t>aims</w:t>
            </w:r>
            <w:r>
              <w:rPr>
                <w:color w:val="231F20"/>
                <w:spacing w:val="-2"/>
                <w:sz w:val="24"/>
              </w:rPr>
              <w:t xml:space="preserve"> </w:t>
            </w:r>
            <w:r>
              <w:rPr>
                <w:color w:val="231F20"/>
                <w:sz w:val="24"/>
              </w:rPr>
              <w:t>to</w:t>
            </w:r>
            <w:r>
              <w:rPr>
                <w:color w:val="231F20"/>
                <w:spacing w:val="-3"/>
                <w:sz w:val="24"/>
              </w:rPr>
              <w:t xml:space="preserve"> </w:t>
            </w:r>
            <w:r>
              <w:rPr>
                <w:color w:val="231F20"/>
                <w:sz w:val="24"/>
              </w:rPr>
              <w:t>disrupt</w:t>
            </w:r>
            <w:r>
              <w:rPr>
                <w:color w:val="231F20"/>
                <w:spacing w:val="-2"/>
                <w:sz w:val="24"/>
              </w:rPr>
              <w:t xml:space="preserve"> </w:t>
            </w:r>
            <w:r>
              <w:rPr>
                <w:color w:val="231F20"/>
                <w:sz w:val="24"/>
              </w:rPr>
              <w:t>and dismantle the networks, capability and capacity of gangs to cause</w:t>
            </w:r>
            <w:r>
              <w:rPr>
                <w:color w:val="231F20"/>
                <w:spacing w:val="-11"/>
                <w:sz w:val="24"/>
              </w:rPr>
              <w:t xml:space="preserve"> </w:t>
            </w:r>
            <w:r>
              <w:rPr>
                <w:color w:val="231F20"/>
                <w:sz w:val="24"/>
              </w:rPr>
              <w:t>harm</w:t>
            </w:r>
            <w:r>
              <w:rPr>
                <w:color w:val="231F20"/>
                <w:spacing w:val="-10"/>
                <w:sz w:val="24"/>
              </w:rPr>
              <w:t xml:space="preserve"> </w:t>
            </w:r>
            <w:r>
              <w:rPr>
                <w:color w:val="231F20"/>
                <w:sz w:val="24"/>
              </w:rPr>
              <w:t>and</w:t>
            </w:r>
            <w:r>
              <w:rPr>
                <w:color w:val="231F20"/>
                <w:spacing w:val="-11"/>
                <w:sz w:val="24"/>
              </w:rPr>
              <w:t xml:space="preserve"> </w:t>
            </w:r>
            <w:r>
              <w:rPr>
                <w:color w:val="231F20"/>
                <w:sz w:val="24"/>
              </w:rPr>
              <w:t>undermine</w:t>
            </w:r>
            <w:r>
              <w:rPr>
                <w:color w:val="231F20"/>
                <w:spacing w:val="-11"/>
                <w:sz w:val="24"/>
              </w:rPr>
              <w:t xml:space="preserve"> </w:t>
            </w:r>
            <w:r>
              <w:rPr>
                <w:color w:val="231F20"/>
                <w:sz w:val="24"/>
              </w:rPr>
              <w:t>community</w:t>
            </w:r>
            <w:r>
              <w:rPr>
                <w:color w:val="231F20"/>
                <w:spacing w:val="-10"/>
                <w:sz w:val="24"/>
              </w:rPr>
              <w:t xml:space="preserve"> </w:t>
            </w:r>
            <w:r>
              <w:rPr>
                <w:color w:val="231F20"/>
                <w:sz w:val="24"/>
              </w:rPr>
              <w:t>safety.</w:t>
            </w:r>
            <w:r>
              <w:rPr>
                <w:color w:val="231F20"/>
                <w:spacing w:val="-10"/>
                <w:sz w:val="24"/>
              </w:rPr>
              <w:t xml:space="preserve"> </w:t>
            </w:r>
            <w:r>
              <w:rPr>
                <w:color w:val="231F20"/>
                <w:sz w:val="24"/>
              </w:rPr>
              <w:t>The</w:t>
            </w:r>
            <w:r>
              <w:rPr>
                <w:color w:val="231F20"/>
                <w:spacing w:val="-11"/>
                <w:sz w:val="24"/>
              </w:rPr>
              <w:t xml:space="preserve"> </w:t>
            </w:r>
            <w:r>
              <w:rPr>
                <w:color w:val="231F20"/>
                <w:sz w:val="24"/>
              </w:rPr>
              <w:t>strategy</w:t>
            </w:r>
            <w:r>
              <w:rPr>
                <w:color w:val="231F20"/>
                <w:spacing w:val="-10"/>
                <w:sz w:val="24"/>
              </w:rPr>
              <w:t xml:space="preserve"> </w:t>
            </w:r>
            <w:r>
              <w:rPr>
                <w:color w:val="231F20"/>
                <w:sz w:val="24"/>
              </w:rPr>
              <w:t>is</w:t>
            </w:r>
            <w:r>
              <w:rPr>
                <w:color w:val="231F20"/>
                <w:spacing w:val="-10"/>
                <w:sz w:val="24"/>
              </w:rPr>
              <w:t xml:space="preserve"> </w:t>
            </w:r>
            <w:r>
              <w:rPr>
                <w:color w:val="231F20"/>
                <w:sz w:val="24"/>
              </w:rPr>
              <w:t>in the final stages of development for launch in 2022–2023.</w:t>
            </w:r>
          </w:p>
        </w:tc>
      </w:tr>
    </w:tbl>
    <w:p w14:paraId="6EFD0051" w14:textId="77777777" w:rsidR="00345EE3" w:rsidRDefault="00345EE3" w:rsidP="00345EE3">
      <w:pPr>
        <w:spacing w:line="242" w:lineRule="auto"/>
        <w:rPr>
          <w:sz w:val="24"/>
        </w:rPr>
        <w:sectPr w:rsidR="00345EE3">
          <w:pgSz w:w="11910" w:h="16840"/>
          <w:pgMar w:top="820" w:right="0" w:bottom="280" w:left="740" w:header="720" w:footer="72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3402"/>
        <w:gridCol w:w="6801"/>
      </w:tblGrid>
      <w:tr w:rsidR="00345EE3" w14:paraId="189431E7" w14:textId="77777777" w:rsidTr="00D73130">
        <w:trPr>
          <w:trHeight w:val="401"/>
        </w:trPr>
        <w:tc>
          <w:tcPr>
            <w:tcW w:w="10203" w:type="dxa"/>
            <w:gridSpan w:val="2"/>
            <w:shd w:val="clear" w:color="auto" w:fill="00529F"/>
          </w:tcPr>
          <w:p w14:paraId="7B020C06" w14:textId="77777777" w:rsidR="00345EE3" w:rsidRDefault="00345EE3" w:rsidP="00D73130">
            <w:pPr>
              <w:pStyle w:val="TableParagraph"/>
              <w:spacing w:before="63"/>
              <w:ind w:left="-1"/>
              <w:jc w:val="left"/>
              <w:rPr>
                <w:b/>
                <w:sz w:val="24"/>
              </w:rPr>
            </w:pPr>
            <w:r>
              <w:rPr>
                <w:b/>
                <w:color w:val="FFFFFF"/>
                <w:sz w:val="24"/>
              </w:rPr>
              <w:t>Reduce</w:t>
            </w:r>
            <w:r>
              <w:rPr>
                <w:b/>
                <w:color w:val="FFFFFF"/>
                <w:spacing w:val="-4"/>
                <w:sz w:val="24"/>
              </w:rPr>
              <w:t xml:space="preserve"> </w:t>
            </w:r>
            <w:r>
              <w:rPr>
                <w:b/>
                <w:color w:val="FFFFFF"/>
                <w:spacing w:val="-2"/>
                <w:sz w:val="24"/>
              </w:rPr>
              <w:t>Crime</w:t>
            </w:r>
          </w:p>
        </w:tc>
      </w:tr>
      <w:tr w:rsidR="00345EE3" w14:paraId="566729BA" w14:textId="77777777" w:rsidTr="00D73130">
        <w:trPr>
          <w:trHeight w:val="2918"/>
        </w:trPr>
        <w:tc>
          <w:tcPr>
            <w:tcW w:w="3402" w:type="dxa"/>
            <w:tcBorders>
              <w:bottom w:val="single" w:sz="2" w:space="0" w:color="939598"/>
              <w:right w:val="single" w:sz="2" w:space="0" w:color="939598"/>
            </w:tcBorders>
          </w:tcPr>
          <w:p w14:paraId="084B17CE" w14:textId="77777777" w:rsidR="00345EE3" w:rsidRDefault="00345EE3" w:rsidP="00D73130">
            <w:pPr>
              <w:pStyle w:val="TableParagraph"/>
              <w:spacing w:before="63"/>
              <w:ind w:left="-3"/>
              <w:jc w:val="left"/>
              <w:rPr>
                <w:i/>
                <w:sz w:val="24"/>
              </w:rPr>
            </w:pPr>
            <w:r>
              <w:rPr>
                <w:i/>
                <w:color w:val="231F20"/>
                <w:spacing w:val="-4"/>
                <w:sz w:val="24"/>
              </w:rPr>
              <w:t>VIPER</w:t>
            </w:r>
            <w:r>
              <w:rPr>
                <w:i/>
                <w:color w:val="231F20"/>
                <w:spacing w:val="-9"/>
                <w:sz w:val="24"/>
              </w:rPr>
              <w:t xml:space="preserve"> </w:t>
            </w:r>
            <w:r>
              <w:rPr>
                <w:i/>
                <w:color w:val="231F20"/>
                <w:spacing w:val="-2"/>
                <w:sz w:val="24"/>
              </w:rPr>
              <w:t>Taskforce</w:t>
            </w:r>
          </w:p>
        </w:tc>
        <w:tc>
          <w:tcPr>
            <w:tcW w:w="6801" w:type="dxa"/>
            <w:tcBorders>
              <w:left w:val="single" w:sz="2" w:space="0" w:color="939598"/>
              <w:bottom w:val="single" w:sz="2" w:space="0" w:color="939598"/>
            </w:tcBorders>
          </w:tcPr>
          <w:p w14:paraId="43DCE5BE" w14:textId="77777777" w:rsidR="00345EE3" w:rsidRDefault="00345EE3" w:rsidP="00D73130">
            <w:pPr>
              <w:pStyle w:val="TableParagraph"/>
              <w:spacing w:before="63" w:line="242" w:lineRule="auto"/>
              <w:ind w:left="-1"/>
              <w:jc w:val="left"/>
              <w:rPr>
                <w:sz w:val="24"/>
              </w:rPr>
            </w:pPr>
            <w:r>
              <w:rPr>
                <w:color w:val="231F20"/>
                <w:sz w:val="24"/>
              </w:rPr>
              <w:t>The</w:t>
            </w:r>
            <w:r>
              <w:rPr>
                <w:color w:val="231F20"/>
                <w:spacing w:val="-12"/>
                <w:sz w:val="24"/>
              </w:rPr>
              <w:t xml:space="preserve"> </w:t>
            </w:r>
            <w:r>
              <w:rPr>
                <w:color w:val="231F20"/>
                <w:sz w:val="24"/>
              </w:rPr>
              <w:t>VIPER</w:t>
            </w:r>
            <w:r>
              <w:rPr>
                <w:color w:val="231F20"/>
                <w:spacing w:val="-12"/>
                <w:sz w:val="24"/>
              </w:rPr>
              <w:t xml:space="preserve"> </w:t>
            </w:r>
            <w:r>
              <w:rPr>
                <w:color w:val="231F20"/>
                <w:sz w:val="24"/>
              </w:rPr>
              <w:t>Taskforce</w:t>
            </w:r>
            <w:r>
              <w:rPr>
                <w:color w:val="231F20"/>
                <w:spacing w:val="-12"/>
                <w:sz w:val="24"/>
              </w:rPr>
              <w:t xml:space="preserve"> </w:t>
            </w:r>
            <w:r>
              <w:rPr>
                <w:color w:val="231F20"/>
                <w:sz w:val="24"/>
              </w:rPr>
              <w:t>was</w:t>
            </w:r>
            <w:r>
              <w:rPr>
                <w:color w:val="231F20"/>
                <w:spacing w:val="-11"/>
                <w:sz w:val="24"/>
              </w:rPr>
              <w:t xml:space="preserve"> </w:t>
            </w:r>
            <w:r>
              <w:rPr>
                <w:color w:val="231F20"/>
                <w:sz w:val="24"/>
              </w:rPr>
              <w:t>formally</w:t>
            </w:r>
            <w:r>
              <w:rPr>
                <w:color w:val="231F20"/>
                <w:spacing w:val="-11"/>
                <w:sz w:val="24"/>
              </w:rPr>
              <w:t xml:space="preserve"> </w:t>
            </w:r>
            <w:r>
              <w:rPr>
                <w:color w:val="231F20"/>
                <w:sz w:val="24"/>
              </w:rPr>
              <w:t>established</w:t>
            </w:r>
            <w:r>
              <w:rPr>
                <w:color w:val="231F20"/>
                <w:spacing w:val="-12"/>
                <w:sz w:val="24"/>
              </w:rPr>
              <w:t xml:space="preserve"> </w:t>
            </w:r>
            <w:r>
              <w:rPr>
                <w:color w:val="231F20"/>
                <w:sz w:val="24"/>
              </w:rPr>
              <w:t>in</w:t>
            </w:r>
            <w:r>
              <w:rPr>
                <w:color w:val="231F20"/>
                <w:spacing w:val="-12"/>
                <w:sz w:val="24"/>
              </w:rPr>
              <w:t xml:space="preserve"> </w:t>
            </w:r>
            <w:r>
              <w:rPr>
                <w:color w:val="231F20"/>
                <w:sz w:val="24"/>
              </w:rPr>
              <w:t>2021–22,</w:t>
            </w:r>
            <w:r>
              <w:rPr>
                <w:color w:val="231F20"/>
                <w:spacing w:val="-11"/>
                <w:sz w:val="24"/>
              </w:rPr>
              <w:t xml:space="preserve"> </w:t>
            </w:r>
            <w:r>
              <w:rPr>
                <w:color w:val="231F20"/>
                <w:sz w:val="24"/>
              </w:rPr>
              <w:t>with the</w:t>
            </w:r>
            <w:r>
              <w:rPr>
                <w:color w:val="231F20"/>
                <w:spacing w:val="-12"/>
                <w:sz w:val="24"/>
              </w:rPr>
              <w:t xml:space="preserve"> </w:t>
            </w:r>
            <w:r>
              <w:rPr>
                <w:color w:val="231F20"/>
                <w:sz w:val="24"/>
              </w:rPr>
              <w:t>objective</w:t>
            </w:r>
            <w:r>
              <w:rPr>
                <w:color w:val="231F20"/>
                <w:spacing w:val="-12"/>
                <w:sz w:val="24"/>
              </w:rPr>
              <w:t xml:space="preserve"> </w:t>
            </w:r>
            <w:r>
              <w:rPr>
                <w:color w:val="231F20"/>
                <w:sz w:val="24"/>
              </w:rPr>
              <w:t>of</w:t>
            </w:r>
            <w:r>
              <w:rPr>
                <w:color w:val="231F20"/>
                <w:spacing w:val="-11"/>
                <w:sz w:val="24"/>
              </w:rPr>
              <w:t xml:space="preserve"> </w:t>
            </w:r>
            <w:r>
              <w:rPr>
                <w:color w:val="231F20"/>
                <w:sz w:val="24"/>
              </w:rPr>
              <w:t>creating</w:t>
            </w:r>
            <w:r>
              <w:rPr>
                <w:color w:val="231F20"/>
                <w:spacing w:val="-12"/>
                <w:sz w:val="24"/>
              </w:rPr>
              <w:t xml:space="preserve"> </w:t>
            </w:r>
            <w:r>
              <w:rPr>
                <w:color w:val="231F20"/>
                <w:sz w:val="24"/>
              </w:rPr>
              <w:t>a</w:t>
            </w:r>
            <w:r>
              <w:rPr>
                <w:color w:val="231F20"/>
                <w:spacing w:val="-12"/>
                <w:sz w:val="24"/>
              </w:rPr>
              <w:t xml:space="preserve"> </w:t>
            </w:r>
            <w:r>
              <w:rPr>
                <w:color w:val="231F20"/>
                <w:sz w:val="24"/>
              </w:rPr>
              <w:t>tactical</w:t>
            </w:r>
            <w:r>
              <w:rPr>
                <w:color w:val="231F20"/>
                <w:spacing w:val="-12"/>
                <w:sz w:val="24"/>
              </w:rPr>
              <w:t xml:space="preserve"> </w:t>
            </w:r>
            <w:r>
              <w:rPr>
                <w:color w:val="231F20"/>
                <w:sz w:val="24"/>
              </w:rPr>
              <w:t>and</w:t>
            </w:r>
            <w:r>
              <w:rPr>
                <w:color w:val="231F20"/>
                <w:spacing w:val="-12"/>
                <w:sz w:val="24"/>
              </w:rPr>
              <w:t xml:space="preserve"> </w:t>
            </w:r>
            <w:r>
              <w:rPr>
                <w:color w:val="231F20"/>
                <w:sz w:val="24"/>
              </w:rPr>
              <w:t>investigative</w:t>
            </w:r>
            <w:r>
              <w:rPr>
                <w:color w:val="231F20"/>
                <w:spacing w:val="-12"/>
                <w:sz w:val="24"/>
              </w:rPr>
              <w:t xml:space="preserve"> </w:t>
            </w:r>
            <w:r>
              <w:rPr>
                <w:color w:val="231F20"/>
                <w:sz w:val="24"/>
              </w:rPr>
              <w:t>unit,</w:t>
            </w:r>
            <w:r>
              <w:rPr>
                <w:color w:val="231F20"/>
                <w:spacing w:val="-11"/>
                <w:sz w:val="24"/>
              </w:rPr>
              <w:t xml:space="preserve"> </w:t>
            </w:r>
            <w:r>
              <w:rPr>
                <w:color w:val="231F20"/>
                <w:sz w:val="24"/>
              </w:rPr>
              <w:t>focused on preventing, detecting, deterring, disrupting and dismantling criminal activities of groups such as outlaw motorcycle gangs, organised crime networks and street gangs. The role of the VIPER Taskforce will expand into 2022–23 and will involve</w:t>
            </w:r>
          </w:p>
          <w:p w14:paraId="0C6694CD" w14:textId="77777777" w:rsidR="00345EE3" w:rsidRDefault="00345EE3" w:rsidP="00D73130">
            <w:pPr>
              <w:pStyle w:val="TableParagraph"/>
              <w:spacing w:before="8" w:line="242" w:lineRule="auto"/>
              <w:ind w:left="-1"/>
              <w:jc w:val="left"/>
              <w:rPr>
                <w:sz w:val="24"/>
              </w:rPr>
            </w:pPr>
            <w:r>
              <w:rPr>
                <w:color w:val="231F20"/>
                <w:sz w:val="24"/>
              </w:rPr>
              <w:t>a range of enforcement and prevention actions, with the flexibility</w:t>
            </w:r>
            <w:r>
              <w:rPr>
                <w:color w:val="231F20"/>
                <w:spacing w:val="-9"/>
                <w:sz w:val="24"/>
              </w:rPr>
              <w:t xml:space="preserve"> </w:t>
            </w:r>
            <w:r>
              <w:rPr>
                <w:color w:val="231F20"/>
                <w:sz w:val="24"/>
              </w:rPr>
              <w:t>to</w:t>
            </w:r>
            <w:r>
              <w:rPr>
                <w:color w:val="231F20"/>
                <w:spacing w:val="-10"/>
                <w:sz w:val="24"/>
              </w:rPr>
              <w:t xml:space="preserve"> </w:t>
            </w:r>
            <w:r>
              <w:rPr>
                <w:color w:val="231F20"/>
                <w:sz w:val="24"/>
              </w:rPr>
              <w:t>be</w:t>
            </w:r>
            <w:r>
              <w:rPr>
                <w:color w:val="231F20"/>
                <w:spacing w:val="-10"/>
                <w:sz w:val="24"/>
              </w:rPr>
              <w:t xml:space="preserve"> </w:t>
            </w:r>
            <w:r>
              <w:rPr>
                <w:color w:val="231F20"/>
                <w:sz w:val="24"/>
              </w:rPr>
              <w:t>deployed</w:t>
            </w:r>
            <w:r>
              <w:rPr>
                <w:color w:val="231F20"/>
                <w:spacing w:val="-10"/>
                <w:sz w:val="24"/>
              </w:rPr>
              <w:t xml:space="preserve"> </w:t>
            </w:r>
            <w:r>
              <w:rPr>
                <w:color w:val="231F20"/>
                <w:sz w:val="24"/>
              </w:rPr>
              <w:t>anywhere</w:t>
            </w:r>
            <w:r>
              <w:rPr>
                <w:color w:val="231F20"/>
                <w:spacing w:val="-10"/>
                <w:sz w:val="24"/>
              </w:rPr>
              <w:t xml:space="preserve"> </w:t>
            </w:r>
            <w:r>
              <w:rPr>
                <w:color w:val="231F20"/>
                <w:sz w:val="24"/>
              </w:rPr>
              <w:t>in</w:t>
            </w:r>
            <w:r>
              <w:rPr>
                <w:color w:val="231F20"/>
                <w:spacing w:val="-10"/>
                <w:sz w:val="24"/>
              </w:rPr>
              <w:t xml:space="preserve"> </w:t>
            </w:r>
            <w:r>
              <w:rPr>
                <w:color w:val="231F20"/>
                <w:sz w:val="24"/>
              </w:rPr>
              <w:t>the</w:t>
            </w:r>
            <w:r>
              <w:rPr>
                <w:color w:val="231F20"/>
                <w:spacing w:val="-10"/>
                <w:sz w:val="24"/>
              </w:rPr>
              <w:t xml:space="preserve"> </w:t>
            </w:r>
            <w:r>
              <w:rPr>
                <w:color w:val="231F20"/>
                <w:sz w:val="24"/>
              </w:rPr>
              <w:t>state</w:t>
            </w:r>
            <w:r>
              <w:rPr>
                <w:color w:val="231F20"/>
                <w:spacing w:val="-10"/>
                <w:sz w:val="24"/>
              </w:rPr>
              <w:t xml:space="preserve"> </w:t>
            </w:r>
            <w:r>
              <w:rPr>
                <w:color w:val="231F20"/>
                <w:sz w:val="24"/>
              </w:rPr>
              <w:t>at</w:t>
            </w:r>
            <w:r>
              <w:rPr>
                <w:color w:val="231F20"/>
                <w:spacing w:val="-9"/>
                <w:sz w:val="24"/>
              </w:rPr>
              <w:t xml:space="preserve"> </w:t>
            </w:r>
            <w:r>
              <w:rPr>
                <w:color w:val="231F20"/>
                <w:sz w:val="24"/>
              </w:rPr>
              <w:t>short</w:t>
            </w:r>
            <w:r>
              <w:rPr>
                <w:color w:val="231F20"/>
                <w:spacing w:val="-9"/>
                <w:sz w:val="24"/>
              </w:rPr>
              <w:t xml:space="preserve"> </w:t>
            </w:r>
            <w:r>
              <w:rPr>
                <w:color w:val="231F20"/>
                <w:sz w:val="24"/>
              </w:rPr>
              <w:t>notice. The</w:t>
            </w:r>
            <w:r>
              <w:rPr>
                <w:color w:val="231F20"/>
                <w:spacing w:val="-9"/>
                <w:sz w:val="24"/>
              </w:rPr>
              <w:t xml:space="preserve"> </w:t>
            </w:r>
            <w:r>
              <w:rPr>
                <w:color w:val="231F20"/>
                <w:sz w:val="24"/>
              </w:rPr>
              <w:t>Taskforce</w:t>
            </w:r>
            <w:r>
              <w:rPr>
                <w:color w:val="231F20"/>
                <w:spacing w:val="-9"/>
                <w:sz w:val="24"/>
              </w:rPr>
              <w:t xml:space="preserve"> </w:t>
            </w:r>
            <w:r>
              <w:rPr>
                <w:color w:val="231F20"/>
                <w:sz w:val="24"/>
              </w:rPr>
              <w:t>will</w:t>
            </w:r>
            <w:r>
              <w:rPr>
                <w:color w:val="231F20"/>
                <w:spacing w:val="-9"/>
                <w:sz w:val="24"/>
              </w:rPr>
              <w:t xml:space="preserve"> </w:t>
            </w:r>
            <w:r>
              <w:rPr>
                <w:color w:val="231F20"/>
                <w:sz w:val="24"/>
              </w:rPr>
              <w:t>proactively</w:t>
            </w:r>
            <w:r>
              <w:rPr>
                <w:color w:val="231F20"/>
                <w:spacing w:val="-9"/>
                <w:sz w:val="24"/>
              </w:rPr>
              <w:t xml:space="preserve"> </w:t>
            </w:r>
            <w:r>
              <w:rPr>
                <w:color w:val="231F20"/>
                <w:sz w:val="24"/>
              </w:rPr>
              <w:t>target</w:t>
            </w:r>
            <w:r>
              <w:rPr>
                <w:color w:val="231F20"/>
                <w:spacing w:val="-9"/>
                <w:sz w:val="24"/>
              </w:rPr>
              <w:t xml:space="preserve"> </w:t>
            </w:r>
            <w:r>
              <w:rPr>
                <w:color w:val="231F20"/>
                <w:sz w:val="24"/>
              </w:rPr>
              <w:t>criminals</w:t>
            </w:r>
            <w:r>
              <w:rPr>
                <w:color w:val="231F20"/>
                <w:spacing w:val="-9"/>
                <w:sz w:val="24"/>
              </w:rPr>
              <w:t xml:space="preserve"> </w:t>
            </w:r>
            <w:r>
              <w:rPr>
                <w:color w:val="231F20"/>
                <w:sz w:val="24"/>
              </w:rPr>
              <w:t>including</w:t>
            </w:r>
            <w:r>
              <w:rPr>
                <w:color w:val="231F20"/>
                <w:spacing w:val="-9"/>
                <w:sz w:val="24"/>
              </w:rPr>
              <w:t xml:space="preserve"> </w:t>
            </w:r>
            <w:r>
              <w:rPr>
                <w:color w:val="231F20"/>
                <w:sz w:val="24"/>
              </w:rPr>
              <w:t>those involved in incidents such as homicides and shootings.</w:t>
            </w:r>
          </w:p>
        </w:tc>
      </w:tr>
      <w:tr w:rsidR="00090D9E" w14:paraId="7B320283" w14:textId="77777777" w:rsidTr="00D73130">
        <w:trPr>
          <w:trHeight w:val="5976"/>
        </w:trPr>
        <w:tc>
          <w:tcPr>
            <w:tcW w:w="3402" w:type="dxa"/>
            <w:tcBorders>
              <w:top w:val="single" w:sz="2" w:space="0" w:color="939598"/>
              <w:right w:val="single" w:sz="2" w:space="0" w:color="939598"/>
            </w:tcBorders>
          </w:tcPr>
          <w:p w14:paraId="3A83114F" w14:textId="77777777" w:rsidR="00090D9E" w:rsidRDefault="00090D9E" w:rsidP="00D73130">
            <w:pPr>
              <w:pStyle w:val="TableParagraph"/>
              <w:spacing w:before="61" w:line="262" w:lineRule="exact"/>
              <w:ind w:left="-3"/>
              <w:jc w:val="left"/>
              <w:rPr>
                <w:i/>
                <w:sz w:val="24"/>
              </w:rPr>
            </w:pPr>
            <w:r>
              <w:rPr>
                <w:i/>
                <w:color w:val="231F20"/>
                <w:spacing w:val="-4"/>
                <w:sz w:val="24"/>
              </w:rPr>
              <w:t>Family</w:t>
            </w:r>
            <w:r>
              <w:rPr>
                <w:i/>
                <w:color w:val="231F20"/>
                <w:spacing w:val="-11"/>
                <w:sz w:val="24"/>
              </w:rPr>
              <w:t xml:space="preserve"> </w:t>
            </w:r>
            <w:r>
              <w:rPr>
                <w:i/>
                <w:color w:val="231F20"/>
                <w:spacing w:val="-4"/>
                <w:sz w:val="24"/>
              </w:rPr>
              <w:t>Violence</w:t>
            </w:r>
            <w:r>
              <w:rPr>
                <w:i/>
                <w:color w:val="231F20"/>
                <w:spacing w:val="-10"/>
                <w:sz w:val="24"/>
              </w:rPr>
              <w:t xml:space="preserve"> </w:t>
            </w:r>
            <w:r>
              <w:rPr>
                <w:i/>
                <w:color w:val="231F20"/>
                <w:spacing w:val="-4"/>
                <w:sz w:val="24"/>
              </w:rPr>
              <w:t>Response</w:t>
            </w:r>
          </w:p>
          <w:p w14:paraId="4EB8B9AF" w14:textId="513BD18D" w:rsidR="00090D9E" w:rsidRDefault="00090D9E" w:rsidP="00D73130">
            <w:pPr>
              <w:pStyle w:val="TableParagraph"/>
              <w:spacing w:before="0" w:line="274" w:lineRule="exact"/>
              <w:ind w:left="-3"/>
              <w:jc w:val="left"/>
              <w:rPr>
                <w:i/>
                <w:sz w:val="24"/>
              </w:rPr>
            </w:pPr>
            <w:r>
              <w:rPr>
                <w:i/>
                <w:color w:val="231F20"/>
                <w:spacing w:val="-4"/>
                <w:sz w:val="24"/>
              </w:rPr>
              <w:t>Program</w:t>
            </w:r>
            <w:r>
              <w:rPr>
                <w:i/>
                <w:color w:val="231F20"/>
                <w:spacing w:val="-9"/>
                <w:sz w:val="24"/>
              </w:rPr>
              <w:t xml:space="preserve"> </w:t>
            </w:r>
            <w:r>
              <w:rPr>
                <w:i/>
                <w:color w:val="231F20"/>
                <w:spacing w:val="-4"/>
                <w:sz w:val="24"/>
              </w:rPr>
              <w:t>of</w:t>
            </w:r>
            <w:r>
              <w:rPr>
                <w:i/>
                <w:color w:val="231F20"/>
                <w:spacing w:val="-8"/>
                <w:sz w:val="24"/>
              </w:rPr>
              <w:t xml:space="preserve"> </w:t>
            </w:r>
            <w:r>
              <w:rPr>
                <w:i/>
                <w:color w:val="231F20"/>
                <w:spacing w:val="-4"/>
                <w:sz w:val="24"/>
              </w:rPr>
              <w:t>Works</w:t>
            </w:r>
          </w:p>
        </w:tc>
        <w:tc>
          <w:tcPr>
            <w:tcW w:w="6801" w:type="dxa"/>
            <w:tcBorders>
              <w:top w:val="single" w:sz="2" w:space="0" w:color="939598"/>
              <w:left w:val="single" w:sz="2" w:space="0" w:color="939598"/>
            </w:tcBorders>
          </w:tcPr>
          <w:p w14:paraId="0E15C6C9" w14:textId="77777777" w:rsidR="00090D9E" w:rsidRDefault="00090D9E" w:rsidP="00D73130">
            <w:pPr>
              <w:pStyle w:val="TableParagraph"/>
              <w:spacing w:before="61" w:line="262" w:lineRule="exact"/>
              <w:ind w:left="-1"/>
              <w:jc w:val="left"/>
              <w:rPr>
                <w:sz w:val="24"/>
              </w:rPr>
            </w:pPr>
            <w:r>
              <w:rPr>
                <w:color w:val="231F20"/>
                <w:sz w:val="24"/>
              </w:rPr>
              <w:t>During</w:t>
            </w:r>
            <w:r>
              <w:rPr>
                <w:color w:val="231F20"/>
                <w:spacing w:val="-13"/>
                <w:sz w:val="24"/>
              </w:rPr>
              <w:t xml:space="preserve"> </w:t>
            </w:r>
            <w:r>
              <w:rPr>
                <w:color w:val="231F20"/>
                <w:sz w:val="24"/>
              </w:rPr>
              <w:t>2021–22,</w:t>
            </w:r>
            <w:r>
              <w:rPr>
                <w:color w:val="231F20"/>
                <w:spacing w:val="-10"/>
                <w:sz w:val="24"/>
              </w:rPr>
              <w:t xml:space="preserve"> </w:t>
            </w:r>
            <w:r>
              <w:rPr>
                <w:color w:val="231F20"/>
                <w:sz w:val="24"/>
              </w:rPr>
              <w:t>the</w:t>
            </w:r>
            <w:r>
              <w:rPr>
                <w:color w:val="231F20"/>
                <w:spacing w:val="-10"/>
                <w:sz w:val="24"/>
              </w:rPr>
              <w:t xml:space="preserve"> </w:t>
            </w:r>
            <w:r>
              <w:rPr>
                <w:color w:val="231F20"/>
                <w:sz w:val="24"/>
              </w:rPr>
              <w:t>Victoria</w:t>
            </w:r>
            <w:r>
              <w:rPr>
                <w:color w:val="231F20"/>
                <w:spacing w:val="-11"/>
                <w:sz w:val="24"/>
              </w:rPr>
              <w:t xml:space="preserve"> </w:t>
            </w:r>
            <w:r>
              <w:rPr>
                <w:color w:val="231F20"/>
                <w:sz w:val="24"/>
              </w:rPr>
              <w:t>Police</w:t>
            </w:r>
            <w:r>
              <w:rPr>
                <w:color w:val="231F20"/>
                <w:spacing w:val="-10"/>
                <w:sz w:val="24"/>
              </w:rPr>
              <w:t xml:space="preserve"> </w:t>
            </w:r>
            <w:r>
              <w:rPr>
                <w:color w:val="231F20"/>
                <w:sz w:val="24"/>
              </w:rPr>
              <w:t>Family</w:t>
            </w:r>
            <w:r>
              <w:rPr>
                <w:color w:val="231F20"/>
                <w:spacing w:val="-10"/>
                <w:sz w:val="24"/>
              </w:rPr>
              <w:t xml:space="preserve"> </w:t>
            </w:r>
            <w:r>
              <w:rPr>
                <w:color w:val="231F20"/>
                <w:sz w:val="24"/>
              </w:rPr>
              <w:t>Violence</w:t>
            </w:r>
            <w:r>
              <w:rPr>
                <w:color w:val="231F20"/>
                <w:spacing w:val="-10"/>
                <w:sz w:val="24"/>
              </w:rPr>
              <w:t xml:space="preserve"> </w:t>
            </w:r>
            <w:r>
              <w:rPr>
                <w:color w:val="231F20"/>
                <w:spacing w:val="-2"/>
                <w:sz w:val="24"/>
              </w:rPr>
              <w:t>Response</w:t>
            </w:r>
          </w:p>
          <w:p w14:paraId="7477B301" w14:textId="77777777" w:rsidR="00090D9E" w:rsidRDefault="00090D9E" w:rsidP="00D73130">
            <w:pPr>
              <w:pStyle w:val="TableParagraph"/>
              <w:spacing w:before="0" w:line="274" w:lineRule="exact"/>
              <w:ind w:left="-1"/>
              <w:jc w:val="left"/>
              <w:rPr>
                <w:sz w:val="24"/>
              </w:rPr>
            </w:pPr>
            <w:r>
              <w:rPr>
                <w:color w:val="231F20"/>
                <w:sz w:val="24"/>
              </w:rPr>
              <w:t>Program</w:t>
            </w:r>
            <w:r>
              <w:rPr>
                <w:color w:val="231F20"/>
                <w:spacing w:val="-8"/>
                <w:sz w:val="24"/>
              </w:rPr>
              <w:t xml:space="preserve"> </w:t>
            </w:r>
            <w:r>
              <w:rPr>
                <w:color w:val="231F20"/>
                <w:sz w:val="24"/>
              </w:rPr>
              <w:t>of</w:t>
            </w:r>
            <w:r>
              <w:rPr>
                <w:color w:val="231F20"/>
                <w:spacing w:val="-7"/>
                <w:sz w:val="24"/>
              </w:rPr>
              <w:t xml:space="preserve"> </w:t>
            </w:r>
            <w:r>
              <w:rPr>
                <w:color w:val="231F20"/>
                <w:sz w:val="24"/>
              </w:rPr>
              <w:t>Works</w:t>
            </w:r>
            <w:r>
              <w:rPr>
                <w:color w:val="231F20"/>
                <w:spacing w:val="-7"/>
                <w:sz w:val="24"/>
              </w:rPr>
              <w:t xml:space="preserve"> </w:t>
            </w:r>
            <w:r>
              <w:rPr>
                <w:color w:val="231F20"/>
                <w:sz w:val="24"/>
              </w:rPr>
              <w:t>has</w:t>
            </w:r>
            <w:r>
              <w:rPr>
                <w:color w:val="231F20"/>
                <w:spacing w:val="-7"/>
                <w:sz w:val="24"/>
              </w:rPr>
              <w:t xml:space="preserve"> </w:t>
            </w:r>
            <w:r>
              <w:rPr>
                <w:color w:val="231F20"/>
                <w:sz w:val="24"/>
              </w:rPr>
              <w:t>rolled</w:t>
            </w:r>
            <w:r>
              <w:rPr>
                <w:color w:val="231F20"/>
                <w:spacing w:val="-7"/>
                <w:sz w:val="24"/>
              </w:rPr>
              <w:t xml:space="preserve"> </w:t>
            </w:r>
            <w:r>
              <w:rPr>
                <w:color w:val="231F20"/>
                <w:spacing w:val="-4"/>
                <w:sz w:val="24"/>
              </w:rPr>
              <w:t>out:</w:t>
            </w:r>
          </w:p>
          <w:p w14:paraId="2F1B3117" w14:textId="77777777" w:rsidR="00090D9E" w:rsidRDefault="00090D9E">
            <w:pPr>
              <w:pStyle w:val="TableParagraph"/>
              <w:numPr>
                <w:ilvl w:val="0"/>
                <w:numId w:val="86"/>
              </w:numPr>
              <w:tabs>
                <w:tab w:val="left" w:pos="282"/>
                <w:tab w:val="left" w:pos="284"/>
              </w:tabs>
              <w:spacing w:before="31" w:line="242" w:lineRule="auto"/>
              <w:ind w:right="188"/>
              <w:jc w:val="left"/>
              <w:rPr>
                <w:sz w:val="24"/>
              </w:rPr>
            </w:pPr>
            <w:r>
              <w:rPr>
                <w:color w:val="231F20"/>
                <w:sz w:val="24"/>
              </w:rPr>
              <w:t>Training</w:t>
            </w:r>
            <w:r>
              <w:rPr>
                <w:color w:val="231F20"/>
                <w:spacing w:val="-17"/>
                <w:sz w:val="24"/>
              </w:rPr>
              <w:t xml:space="preserve"> </w:t>
            </w:r>
            <w:r>
              <w:rPr>
                <w:color w:val="231F20"/>
                <w:sz w:val="24"/>
              </w:rPr>
              <w:t>to</w:t>
            </w:r>
            <w:r>
              <w:rPr>
                <w:color w:val="231F20"/>
                <w:spacing w:val="-17"/>
                <w:sz w:val="24"/>
              </w:rPr>
              <w:t xml:space="preserve"> </w:t>
            </w:r>
            <w:r>
              <w:rPr>
                <w:color w:val="231F20"/>
                <w:sz w:val="24"/>
              </w:rPr>
              <w:t>improve</w:t>
            </w:r>
            <w:r>
              <w:rPr>
                <w:color w:val="231F20"/>
                <w:spacing w:val="-16"/>
                <w:sz w:val="24"/>
              </w:rPr>
              <w:t xml:space="preserve"> </w:t>
            </w:r>
            <w:r>
              <w:rPr>
                <w:color w:val="231F20"/>
                <w:sz w:val="24"/>
              </w:rPr>
              <w:t>Victoria</w:t>
            </w:r>
            <w:r>
              <w:rPr>
                <w:color w:val="231F20"/>
                <w:spacing w:val="-17"/>
                <w:sz w:val="24"/>
              </w:rPr>
              <w:t xml:space="preserve"> </w:t>
            </w:r>
            <w:r>
              <w:rPr>
                <w:color w:val="231F20"/>
                <w:sz w:val="24"/>
              </w:rPr>
              <w:t>Police</w:t>
            </w:r>
            <w:r>
              <w:rPr>
                <w:color w:val="231F20"/>
                <w:spacing w:val="-17"/>
                <w:sz w:val="24"/>
              </w:rPr>
              <w:t xml:space="preserve"> </w:t>
            </w:r>
            <w:r>
              <w:rPr>
                <w:color w:val="231F20"/>
                <w:sz w:val="24"/>
              </w:rPr>
              <w:t>capability</w:t>
            </w:r>
            <w:r>
              <w:rPr>
                <w:color w:val="231F20"/>
                <w:spacing w:val="-16"/>
                <w:sz w:val="24"/>
              </w:rPr>
              <w:t xml:space="preserve"> </w:t>
            </w:r>
            <w:r>
              <w:rPr>
                <w:color w:val="231F20"/>
                <w:sz w:val="24"/>
              </w:rPr>
              <w:t>and</w:t>
            </w:r>
            <w:r>
              <w:rPr>
                <w:color w:val="231F20"/>
                <w:spacing w:val="-16"/>
                <w:sz w:val="24"/>
              </w:rPr>
              <w:t xml:space="preserve"> </w:t>
            </w:r>
            <w:r>
              <w:rPr>
                <w:color w:val="231F20"/>
                <w:sz w:val="24"/>
              </w:rPr>
              <w:t>awareness of cases of stalking and harassment.</w:t>
            </w:r>
          </w:p>
          <w:p w14:paraId="4136FF6B" w14:textId="77777777" w:rsidR="00090D9E" w:rsidRDefault="00090D9E">
            <w:pPr>
              <w:pStyle w:val="TableParagraph"/>
              <w:numPr>
                <w:ilvl w:val="0"/>
                <w:numId w:val="86"/>
              </w:numPr>
              <w:tabs>
                <w:tab w:val="left" w:pos="282"/>
                <w:tab w:val="left" w:pos="284"/>
              </w:tabs>
              <w:spacing w:before="31" w:line="242" w:lineRule="auto"/>
              <w:ind w:right="301"/>
              <w:jc w:val="left"/>
              <w:rPr>
                <w:sz w:val="24"/>
              </w:rPr>
            </w:pPr>
            <w:r>
              <w:rPr>
                <w:color w:val="231F20"/>
                <w:sz w:val="24"/>
              </w:rPr>
              <w:t>The</w:t>
            </w:r>
            <w:r>
              <w:rPr>
                <w:color w:val="231F20"/>
                <w:spacing w:val="-10"/>
                <w:sz w:val="24"/>
              </w:rPr>
              <w:t xml:space="preserve"> </w:t>
            </w:r>
            <w:r>
              <w:rPr>
                <w:color w:val="231F20"/>
                <w:sz w:val="24"/>
              </w:rPr>
              <w:t>re-fresh</w:t>
            </w:r>
            <w:r>
              <w:rPr>
                <w:color w:val="231F20"/>
                <w:spacing w:val="-10"/>
                <w:sz w:val="24"/>
              </w:rPr>
              <w:t xml:space="preserve"> </w:t>
            </w:r>
            <w:r>
              <w:rPr>
                <w:color w:val="231F20"/>
                <w:sz w:val="24"/>
              </w:rPr>
              <w:t>of</w:t>
            </w:r>
            <w:r>
              <w:rPr>
                <w:color w:val="231F20"/>
                <w:spacing w:val="-10"/>
                <w:sz w:val="24"/>
              </w:rPr>
              <w:t xml:space="preserve"> </w:t>
            </w:r>
            <w:r>
              <w:rPr>
                <w:color w:val="231F20"/>
                <w:sz w:val="24"/>
              </w:rPr>
              <w:t>Police</w:t>
            </w:r>
            <w:r>
              <w:rPr>
                <w:color w:val="231F20"/>
                <w:spacing w:val="-10"/>
                <w:sz w:val="24"/>
              </w:rPr>
              <w:t xml:space="preserve"> </w:t>
            </w:r>
            <w:r>
              <w:rPr>
                <w:color w:val="231F20"/>
                <w:sz w:val="24"/>
              </w:rPr>
              <w:t>and</w:t>
            </w:r>
            <w:r>
              <w:rPr>
                <w:color w:val="231F20"/>
                <w:spacing w:val="-10"/>
                <w:sz w:val="24"/>
              </w:rPr>
              <w:t xml:space="preserve"> </w:t>
            </w:r>
            <w:r>
              <w:rPr>
                <w:color w:val="231F20"/>
                <w:sz w:val="24"/>
              </w:rPr>
              <w:t>Aboriginal</w:t>
            </w:r>
            <w:r>
              <w:rPr>
                <w:color w:val="231F20"/>
                <w:spacing w:val="-10"/>
                <w:sz w:val="24"/>
              </w:rPr>
              <w:t xml:space="preserve"> </w:t>
            </w:r>
            <w:r>
              <w:rPr>
                <w:color w:val="231F20"/>
                <w:sz w:val="24"/>
              </w:rPr>
              <w:t>Community</w:t>
            </w:r>
            <w:r>
              <w:rPr>
                <w:color w:val="231F20"/>
                <w:spacing w:val="-10"/>
                <w:sz w:val="24"/>
              </w:rPr>
              <w:t xml:space="preserve"> </w:t>
            </w:r>
            <w:r>
              <w:rPr>
                <w:color w:val="231F20"/>
                <w:sz w:val="24"/>
              </w:rPr>
              <w:t>Protocols Against Family Violence sites.</w:t>
            </w:r>
          </w:p>
          <w:p w14:paraId="75F19152" w14:textId="77777777" w:rsidR="00090D9E" w:rsidRDefault="00090D9E">
            <w:pPr>
              <w:pStyle w:val="TableParagraph"/>
              <w:numPr>
                <w:ilvl w:val="0"/>
                <w:numId w:val="86"/>
              </w:numPr>
              <w:tabs>
                <w:tab w:val="left" w:pos="282"/>
                <w:tab w:val="left" w:pos="284"/>
              </w:tabs>
              <w:spacing w:before="31" w:line="242" w:lineRule="auto"/>
              <w:ind w:right="1325"/>
              <w:jc w:val="left"/>
              <w:rPr>
                <w:sz w:val="24"/>
              </w:rPr>
            </w:pPr>
            <w:r>
              <w:rPr>
                <w:color w:val="231F20"/>
                <w:sz w:val="24"/>
              </w:rPr>
              <w:t>Work</w:t>
            </w:r>
            <w:r>
              <w:rPr>
                <w:color w:val="231F20"/>
                <w:spacing w:val="-11"/>
                <w:sz w:val="24"/>
              </w:rPr>
              <w:t xml:space="preserve"> </w:t>
            </w:r>
            <w:r>
              <w:rPr>
                <w:color w:val="231F20"/>
                <w:sz w:val="24"/>
              </w:rPr>
              <w:t>to</w:t>
            </w:r>
            <w:r>
              <w:rPr>
                <w:color w:val="231F20"/>
                <w:spacing w:val="-12"/>
                <w:sz w:val="24"/>
              </w:rPr>
              <w:t xml:space="preserve"> </w:t>
            </w:r>
            <w:r>
              <w:rPr>
                <w:color w:val="231F20"/>
                <w:sz w:val="24"/>
              </w:rPr>
              <w:t>address</w:t>
            </w:r>
            <w:r>
              <w:rPr>
                <w:color w:val="231F20"/>
                <w:spacing w:val="-11"/>
                <w:sz w:val="24"/>
              </w:rPr>
              <w:t xml:space="preserve"> </w:t>
            </w:r>
            <w:r>
              <w:rPr>
                <w:color w:val="231F20"/>
                <w:sz w:val="24"/>
              </w:rPr>
              <w:t>the</w:t>
            </w:r>
            <w:r>
              <w:rPr>
                <w:color w:val="231F20"/>
                <w:spacing w:val="-12"/>
                <w:sz w:val="24"/>
              </w:rPr>
              <w:t xml:space="preserve"> </w:t>
            </w:r>
            <w:r>
              <w:rPr>
                <w:color w:val="231F20"/>
                <w:sz w:val="24"/>
              </w:rPr>
              <w:t>impact</w:t>
            </w:r>
            <w:r>
              <w:rPr>
                <w:color w:val="231F20"/>
                <w:spacing w:val="-11"/>
                <w:sz w:val="24"/>
              </w:rPr>
              <w:t xml:space="preserve"> </w:t>
            </w:r>
            <w:r>
              <w:rPr>
                <w:color w:val="231F20"/>
                <w:sz w:val="24"/>
              </w:rPr>
              <w:t>of</w:t>
            </w:r>
            <w:r>
              <w:rPr>
                <w:color w:val="231F20"/>
                <w:spacing w:val="-11"/>
                <w:sz w:val="24"/>
              </w:rPr>
              <w:t xml:space="preserve"> </w:t>
            </w:r>
            <w:r>
              <w:rPr>
                <w:color w:val="231F20"/>
                <w:sz w:val="24"/>
              </w:rPr>
              <w:t>misidentification</w:t>
            </w:r>
            <w:r>
              <w:rPr>
                <w:color w:val="231F20"/>
                <w:spacing w:val="-12"/>
                <w:sz w:val="24"/>
              </w:rPr>
              <w:t xml:space="preserve"> </w:t>
            </w:r>
            <w:r>
              <w:rPr>
                <w:color w:val="231F20"/>
                <w:sz w:val="24"/>
              </w:rPr>
              <w:t>of predominant aggressor.</w:t>
            </w:r>
          </w:p>
          <w:p w14:paraId="4F60F4BE" w14:textId="77777777" w:rsidR="00090D9E" w:rsidRDefault="00090D9E">
            <w:pPr>
              <w:pStyle w:val="TableParagraph"/>
              <w:numPr>
                <w:ilvl w:val="0"/>
                <w:numId w:val="86"/>
              </w:numPr>
              <w:tabs>
                <w:tab w:val="left" w:pos="282"/>
                <w:tab w:val="left" w:pos="284"/>
              </w:tabs>
              <w:spacing w:before="31" w:line="242" w:lineRule="auto"/>
              <w:ind w:right="463"/>
              <w:jc w:val="left"/>
              <w:rPr>
                <w:sz w:val="24"/>
              </w:rPr>
            </w:pPr>
            <w:r>
              <w:rPr>
                <w:color w:val="231F20"/>
                <w:sz w:val="24"/>
              </w:rPr>
              <w:t xml:space="preserve">Work to update the Victoria Police </w:t>
            </w:r>
            <w:r>
              <w:rPr>
                <w:i/>
                <w:color w:val="231F20"/>
                <w:sz w:val="24"/>
              </w:rPr>
              <w:t>Code</w:t>
            </w:r>
            <w:r>
              <w:rPr>
                <w:i/>
                <w:color w:val="231F20"/>
                <w:spacing w:val="-5"/>
                <w:sz w:val="24"/>
              </w:rPr>
              <w:t xml:space="preserve"> </w:t>
            </w:r>
            <w:r>
              <w:rPr>
                <w:i/>
                <w:color w:val="231F20"/>
                <w:sz w:val="24"/>
              </w:rPr>
              <w:t>of</w:t>
            </w:r>
            <w:r>
              <w:rPr>
                <w:i/>
                <w:color w:val="231F20"/>
                <w:spacing w:val="-5"/>
                <w:sz w:val="24"/>
              </w:rPr>
              <w:t xml:space="preserve"> </w:t>
            </w:r>
            <w:r>
              <w:rPr>
                <w:i/>
                <w:color w:val="231F20"/>
                <w:sz w:val="24"/>
              </w:rPr>
              <w:t>Practice</w:t>
            </w:r>
            <w:r>
              <w:rPr>
                <w:i/>
                <w:color w:val="231F20"/>
                <w:spacing w:val="-5"/>
                <w:sz w:val="24"/>
              </w:rPr>
              <w:t xml:space="preserve"> </w:t>
            </w:r>
            <w:r>
              <w:rPr>
                <w:i/>
                <w:color w:val="231F20"/>
                <w:sz w:val="24"/>
              </w:rPr>
              <w:t>for the</w:t>
            </w:r>
            <w:r>
              <w:rPr>
                <w:i/>
                <w:color w:val="231F20"/>
                <w:spacing w:val="-17"/>
                <w:sz w:val="24"/>
              </w:rPr>
              <w:t xml:space="preserve"> </w:t>
            </w:r>
            <w:r>
              <w:rPr>
                <w:i/>
                <w:color w:val="231F20"/>
                <w:sz w:val="24"/>
              </w:rPr>
              <w:t>Investigation</w:t>
            </w:r>
            <w:r>
              <w:rPr>
                <w:i/>
                <w:color w:val="231F20"/>
                <w:spacing w:val="-17"/>
                <w:sz w:val="24"/>
              </w:rPr>
              <w:t xml:space="preserve"> </w:t>
            </w:r>
            <w:r>
              <w:rPr>
                <w:i/>
                <w:color w:val="231F20"/>
                <w:sz w:val="24"/>
              </w:rPr>
              <w:t>of</w:t>
            </w:r>
            <w:r>
              <w:rPr>
                <w:i/>
                <w:color w:val="231F20"/>
                <w:spacing w:val="-16"/>
                <w:sz w:val="24"/>
              </w:rPr>
              <w:t xml:space="preserve"> </w:t>
            </w:r>
            <w:r>
              <w:rPr>
                <w:i/>
                <w:color w:val="231F20"/>
                <w:sz w:val="24"/>
              </w:rPr>
              <w:t>Family</w:t>
            </w:r>
            <w:r>
              <w:rPr>
                <w:i/>
                <w:color w:val="231F20"/>
                <w:spacing w:val="-17"/>
                <w:sz w:val="24"/>
              </w:rPr>
              <w:t xml:space="preserve"> </w:t>
            </w:r>
            <w:r>
              <w:rPr>
                <w:i/>
                <w:color w:val="231F20"/>
                <w:sz w:val="24"/>
              </w:rPr>
              <w:t>Violence</w:t>
            </w:r>
            <w:r>
              <w:rPr>
                <w:i/>
                <w:color w:val="231F20"/>
                <w:spacing w:val="-17"/>
                <w:sz w:val="24"/>
              </w:rPr>
              <w:t xml:space="preserve"> </w:t>
            </w:r>
            <w:r>
              <w:rPr>
                <w:color w:val="231F20"/>
                <w:sz w:val="24"/>
              </w:rPr>
              <w:t>to</w:t>
            </w:r>
            <w:r>
              <w:rPr>
                <w:color w:val="231F20"/>
                <w:spacing w:val="-17"/>
                <w:sz w:val="24"/>
              </w:rPr>
              <w:t xml:space="preserve"> </w:t>
            </w:r>
            <w:r>
              <w:rPr>
                <w:color w:val="231F20"/>
                <w:sz w:val="24"/>
              </w:rPr>
              <w:t>better</w:t>
            </w:r>
            <w:r>
              <w:rPr>
                <w:color w:val="231F20"/>
                <w:spacing w:val="-16"/>
                <w:sz w:val="24"/>
              </w:rPr>
              <w:t xml:space="preserve"> </w:t>
            </w:r>
            <w:r>
              <w:rPr>
                <w:color w:val="231F20"/>
                <w:sz w:val="24"/>
              </w:rPr>
              <w:t>support</w:t>
            </w:r>
            <w:r>
              <w:rPr>
                <w:color w:val="231F20"/>
                <w:spacing w:val="-17"/>
                <w:sz w:val="24"/>
              </w:rPr>
              <w:t xml:space="preserve"> </w:t>
            </w:r>
            <w:r>
              <w:rPr>
                <w:color w:val="231F20"/>
                <w:sz w:val="24"/>
              </w:rPr>
              <w:t>units responding</w:t>
            </w:r>
            <w:r>
              <w:rPr>
                <w:color w:val="231F20"/>
                <w:spacing w:val="-11"/>
                <w:sz w:val="24"/>
              </w:rPr>
              <w:t xml:space="preserve"> </w:t>
            </w:r>
            <w:r>
              <w:rPr>
                <w:color w:val="231F20"/>
                <w:sz w:val="24"/>
              </w:rPr>
              <w:t>to</w:t>
            </w:r>
            <w:r>
              <w:rPr>
                <w:color w:val="231F20"/>
                <w:spacing w:val="-11"/>
                <w:sz w:val="24"/>
              </w:rPr>
              <w:t xml:space="preserve"> </w:t>
            </w:r>
            <w:r>
              <w:rPr>
                <w:color w:val="231F20"/>
                <w:sz w:val="24"/>
              </w:rPr>
              <w:t>incidents</w:t>
            </w:r>
            <w:r>
              <w:rPr>
                <w:color w:val="231F20"/>
                <w:spacing w:val="-10"/>
                <w:sz w:val="24"/>
              </w:rPr>
              <w:t xml:space="preserve"> </w:t>
            </w:r>
            <w:r>
              <w:rPr>
                <w:color w:val="231F20"/>
                <w:sz w:val="24"/>
              </w:rPr>
              <w:t>where</w:t>
            </w:r>
            <w:r>
              <w:rPr>
                <w:color w:val="231F20"/>
                <w:spacing w:val="-11"/>
                <w:sz w:val="24"/>
              </w:rPr>
              <w:t xml:space="preserve"> </w:t>
            </w:r>
            <w:r>
              <w:rPr>
                <w:color w:val="231F20"/>
                <w:sz w:val="24"/>
              </w:rPr>
              <w:t>violence</w:t>
            </w:r>
            <w:r>
              <w:rPr>
                <w:color w:val="231F20"/>
                <w:spacing w:val="-11"/>
                <w:sz w:val="24"/>
              </w:rPr>
              <w:t xml:space="preserve"> </w:t>
            </w:r>
            <w:r>
              <w:rPr>
                <w:color w:val="231F20"/>
                <w:sz w:val="24"/>
              </w:rPr>
              <w:t>has</w:t>
            </w:r>
            <w:r>
              <w:rPr>
                <w:color w:val="231F20"/>
                <w:spacing w:val="-10"/>
                <w:sz w:val="24"/>
              </w:rPr>
              <w:t xml:space="preserve"> </w:t>
            </w:r>
            <w:r>
              <w:rPr>
                <w:color w:val="231F20"/>
                <w:sz w:val="24"/>
              </w:rPr>
              <w:t>been</w:t>
            </w:r>
            <w:r>
              <w:rPr>
                <w:color w:val="231F20"/>
                <w:spacing w:val="-11"/>
                <w:sz w:val="24"/>
              </w:rPr>
              <w:t xml:space="preserve"> </w:t>
            </w:r>
            <w:r>
              <w:rPr>
                <w:color w:val="231F20"/>
                <w:sz w:val="24"/>
              </w:rPr>
              <w:t>used</w:t>
            </w:r>
            <w:r>
              <w:rPr>
                <w:color w:val="231F20"/>
                <w:spacing w:val="-11"/>
                <w:sz w:val="24"/>
              </w:rPr>
              <w:t xml:space="preserve"> </w:t>
            </w:r>
            <w:r>
              <w:rPr>
                <w:color w:val="231F20"/>
                <w:sz w:val="24"/>
              </w:rPr>
              <w:t>by children or adolescents in the home.</w:t>
            </w:r>
          </w:p>
          <w:p w14:paraId="559A03E6" w14:textId="77777777" w:rsidR="00090D9E" w:rsidRDefault="00090D9E">
            <w:pPr>
              <w:pStyle w:val="TableParagraph"/>
              <w:numPr>
                <w:ilvl w:val="0"/>
                <w:numId w:val="86"/>
              </w:numPr>
              <w:tabs>
                <w:tab w:val="left" w:pos="282"/>
                <w:tab w:val="left" w:pos="284"/>
              </w:tabs>
              <w:spacing w:before="33" w:line="242" w:lineRule="auto"/>
              <w:ind w:right="106"/>
              <w:jc w:val="left"/>
              <w:rPr>
                <w:sz w:val="24"/>
              </w:rPr>
            </w:pPr>
            <w:r>
              <w:rPr>
                <w:color w:val="231F20"/>
                <w:sz w:val="24"/>
              </w:rPr>
              <w:t>Implementation</w:t>
            </w:r>
            <w:r>
              <w:rPr>
                <w:color w:val="231F20"/>
                <w:spacing w:val="-15"/>
                <w:sz w:val="24"/>
              </w:rPr>
              <w:t xml:space="preserve"> </w:t>
            </w:r>
            <w:r>
              <w:rPr>
                <w:color w:val="231F20"/>
                <w:sz w:val="24"/>
              </w:rPr>
              <w:t>of</w:t>
            </w:r>
            <w:r>
              <w:rPr>
                <w:color w:val="231F20"/>
                <w:spacing w:val="-15"/>
                <w:sz w:val="24"/>
              </w:rPr>
              <w:t xml:space="preserve"> </w:t>
            </w:r>
            <w:r>
              <w:rPr>
                <w:color w:val="231F20"/>
                <w:sz w:val="24"/>
              </w:rPr>
              <w:t>recommendations</w:t>
            </w:r>
            <w:r>
              <w:rPr>
                <w:color w:val="231F20"/>
                <w:spacing w:val="-15"/>
                <w:sz w:val="24"/>
              </w:rPr>
              <w:t xml:space="preserve"> </w:t>
            </w:r>
            <w:r>
              <w:rPr>
                <w:color w:val="231F20"/>
                <w:sz w:val="24"/>
              </w:rPr>
              <w:t>arising</w:t>
            </w:r>
            <w:r>
              <w:rPr>
                <w:color w:val="231F20"/>
                <w:spacing w:val="-15"/>
                <w:sz w:val="24"/>
              </w:rPr>
              <w:t xml:space="preserve"> </w:t>
            </w:r>
            <w:r>
              <w:rPr>
                <w:color w:val="231F20"/>
                <w:sz w:val="24"/>
              </w:rPr>
              <w:t>from</w:t>
            </w:r>
            <w:r>
              <w:rPr>
                <w:color w:val="231F20"/>
                <w:spacing w:val="-15"/>
                <w:sz w:val="24"/>
              </w:rPr>
              <w:t xml:space="preserve"> </w:t>
            </w:r>
            <w:r>
              <w:rPr>
                <w:color w:val="231F20"/>
                <w:sz w:val="24"/>
              </w:rPr>
              <w:t>the</w:t>
            </w:r>
            <w:r>
              <w:rPr>
                <w:color w:val="231F20"/>
                <w:spacing w:val="-15"/>
                <w:sz w:val="24"/>
              </w:rPr>
              <w:t xml:space="preserve"> </w:t>
            </w:r>
            <w:r>
              <w:rPr>
                <w:color w:val="231F20"/>
                <w:sz w:val="24"/>
              </w:rPr>
              <w:t>internal KPMG Family Violence Audit.</w:t>
            </w:r>
          </w:p>
          <w:p w14:paraId="1FB844BE" w14:textId="10947775" w:rsidR="00090D9E" w:rsidRDefault="00090D9E" w:rsidP="00D73130">
            <w:pPr>
              <w:pStyle w:val="TableParagraph"/>
              <w:spacing w:before="116" w:line="242" w:lineRule="auto"/>
              <w:ind w:left="-1"/>
              <w:jc w:val="left"/>
              <w:rPr>
                <w:sz w:val="24"/>
              </w:rPr>
            </w:pPr>
            <w:r>
              <w:rPr>
                <w:color w:val="231F20"/>
                <w:sz w:val="24"/>
              </w:rPr>
              <w:t>Furthermore, in May 2022 Family Violence Command (FVC) delivered an Aboriginal family violence forum led by the community</w:t>
            </w:r>
            <w:r>
              <w:rPr>
                <w:color w:val="231F20"/>
                <w:spacing w:val="-3"/>
                <w:sz w:val="24"/>
              </w:rPr>
              <w:t xml:space="preserve"> </w:t>
            </w:r>
            <w:r>
              <w:rPr>
                <w:color w:val="231F20"/>
                <w:sz w:val="24"/>
              </w:rPr>
              <w:t>to</w:t>
            </w:r>
            <w:r>
              <w:rPr>
                <w:color w:val="231F20"/>
                <w:spacing w:val="-4"/>
                <w:sz w:val="24"/>
              </w:rPr>
              <w:t xml:space="preserve"> </w:t>
            </w:r>
            <w:r>
              <w:rPr>
                <w:color w:val="231F20"/>
                <w:sz w:val="24"/>
              </w:rPr>
              <w:t>determine</w:t>
            </w:r>
            <w:r>
              <w:rPr>
                <w:color w:val="231F20"/>
                <w:spacing w:val="-4"/>
                <w:sz w:val="24"/>
              </w:rPr>
              <w:t xml:space="preserve"> </w:t>
            </w:r>
            <w:r>
              <w:rPr>
                <w:color w:val="231F20"/>
                <w:sz w:val="24"/>
              </w:rPr>
              <w:t>what</w:t>
            </w:r>
            <w:r>
              <w:rPr>
                <w:color w:val="231F20"/>
                <w:spacing w:val="-3"/>
                <w:sz w:val="24"/>
              </w:rPr>
              <w:t xml:space="preserve"> </w:t>
            </w:r>
            <w:r>
              <w:rPr>
                <w:color w:val="231F20"/>
                <w:sz w:val="24"/>
              </w:rPr>
              <w:t>actions</w:t>
            </w:r>
            <w:r>
              <w:rPr>
                <w:color w:val="231F20"/>
                <w:spacing w:val="-3"/>
                <w:sz w:val="24"/>
              </w:rPr>
              <w:t xml:space="preserve"> </w:t>
            </w:r>
            <w:r>
              <w:rPr>
                <w:color w:val="231F20"/>
                <w:sz w:val="24"/>
              </w:rPr>
              <w:t>are</w:t>
            </w:r>
            <w:r>
              <w:rPr>
                <w:color w:val="231F20"/>
                <w:spacing w:val="-4"/>
                <w:sz w:val="24"/>
              </w:rPr>
              <w:t xml:space="preserve"> </w:t>
            </w:r>
            <w:r>
              <w:rPr>
                <w:color w:val="231F20"/>
                <w:sz w:val="24"/>
              </w:rPr>
              <w:t>required</w:t>
            </w:r>
            <w:r>
              <w:rPr>
                <w:color w:val="231F20"/>
                <w:spacing w:val="-4"/>
                <w:sz w:val="24"/>
              </w:rPr>
              <w:t xml:space="preserve"> </w:t>
            </w:r>
            <w:r>
              <w:rPr>
                <w:color w:val="231F20"/>
                <w:sz w:val="24"/>
              </w:rPr>
              <w:t>to</w:t>
            </w:r>
            <w:r>
              <w:rPr>
                <w:color w:val="231F20"/>
                <w:spacing w:val="-4"/>
                <w:sz w:val="24"/>
              </w:rPr>
              <w:t xml:space="preserve"> </w:t>
            </w:r>
            <w:r>
              <w:rPr>
                <w:color w:val="231F20"/>
                <w:sz w:val="24"/>
              </w:rPr>
              <w:t>reduce</w:t>
            </w:r>
            <w:r>
              <w:rPr>
                <w:color w:val="231F20"/>
                <w:spacing w:val="-4"/>
                <w:sz w:val="24"/>
              </w:rPr>
              <w:t xml:space="preserve"> </w:t>
            </w:r>
            <w:r>
              <w:rPr>
                <w:color w:val="231F20"/>
                <w:sz w:val="24"/>
              </w:rPr>
              <w:t>the incidence</w:t>
            </w:r>
            <w:r>
              <w:rPr>
                <w:color w:val="231F20"/>
                <w:spacing w:val="-11"/>
                <w:sz w:val="24"/>
              </w:rPr>
              <w:t xml:space="preserve"> </w:t>
            </w:r>
            <w:r>
              <w:rPr>
                <w:color w:val="231F20"/>
                <w:sz w:val="24"/>
              </w:rPr>
              <w:t>and</w:t>
            </w:r>
            <w:r>
              <w:rPr>
                <w:color w:val="231F20"/>
                <w:spacing w:val="-11"/>
                <w:sz w:val="24"/>
              </w:rPr>
              <w:t xml:space="preserve"> </w:t>
            </w:r>
            <w:r>
              <w:rPr>
                <w:color w:val="231F20"/>
                <w:sz w:val="24"/>
              </w:rPr>
              <w:t>harm</w:t>
            </w:r>
            <w:r>
              <w:rPr>
                <w:color w:val="231F20"/>
                <w:spacing w:val="-11"/>
                <w:sz w:val="24"/>
              </w:rPr>
              <w:t xml:space="preserve"> </w:t>
            </w:r>
            <w:r>
              <w:rPr>
                <w:color w:val="231F20"/>
                <w:sz w:val="24"/>
              </w:rPr>
              <w:t>of</w:t>
            </w:r>
            <w:r>
              <w:rPr>
                <w:color w:val="231F20"/>
                <w:spacing w:val="-11"/>
                <w:sz w:val="24"/>
              </w:rPr>
              <w:t xml:space="preserve"> </w:t>
            </w:r>
            <w:r>
              <w:rPr>
                <w:color w:val="231F20"/>
                <w:sz w:val="24"/>
              </w:rPr>
              <w:t>family</w:t>
            </w:r>
            <w:r>
              <w:rPr>
                <w:color w:val="231F20"/>
                <w:spacing w:val="-11"/>
                <w:sz w:val="24"/>
              </w:rPr>
              <w:t xml:space="preserve"> </w:t>
            </w:r>
            <w:r>
              <w:rPr>
                <w:color w:val="231F20"/>
                <w:sz w:val="24"/>
              </w:rPr>
              <w:t>violence</w:t>
            </w:r>
            <w:r>
              <w:rPr>
                <w:color w:val="231F20"/>
                <w:spacing w:val="-11"/>
                <w:sz w:val="24"/>
              </w:rPr>
              <w:t xml:space="preserve"> </w:t>
            </w:r>
            <w:r>
              <w:rPr>
                <w:color w:val="231F20"/>
                <w:sz w:val="24"/>
              </w:rPr>
              <w:t>in</w:t>
            </w:r>
            <w:r>
              <w:rPr>
                <w:color w:val="231F20"/>
                <w:spacing w:val="-11"/>
                <w:sz w:val="24"/>
              </w:rPr>
              <w:t xml:space="preserve"> </w:t>
            </w:r>
            <w:r>
              <w:rPr>
                <w:color w:val="231F20"/>
                <w:sz w:val="24"/>
              </w:rPr>
              <w:t>aboriginal</w:t>
            </w:r>
            <w:r>
              <w:rPr>
                <w:color w:val="231F20"/>
                <w:spacing w:val="-11"/>
                <w:sz w:val="24"/>
              </w:rPr>
              <w:t xml:space="preserve"> </w:t>
            </w:r>
            <w:r>
              <w:rPr>
                <w:color w:val="231F20"/>
                <w:sz w:val="24"/>
              </w:rPr>
              <w:t>communities. The outcomes of the forum will be developed into a Program of Works that will be rolled out across 2022–2023.</w:t>
            </w:r>
          </w:p>
        </w:tc>
      </w:tr>
    </w:tbl>
    <w:p w14:paraId="036B3870" w14:textId="77777777" w:rsidR="00345EE3" w:rsidRDefault="00345EE3" w:rsidP="00345EE3">
      <w:pPr>
        <w:pStyle w:val="BodyText"/>
        <w:rPr>
          <w:rFonts w:ascii="Arial-BoldItalicMT"/>
          <w:b/>
          <w:i/>
          <w:sz w:val="8"/>
        </w:rPr>
      </w:pPr>
    </w:p>
    <w:tbl>
      <w:tblPr>
        <w:tblW w:w="0" w:type="auto"/>
        <w:tblInd w:w="117" w:type="dxa"/>
        <w:tblLayout w:type="fixed"/>
        <w:tblCellMar>
          <w:left w:w="0" w:type="dxa"/>
          <w:right w:w="0" w:type="dxa"/>
        </w:tblCellMar>
        <w:tblLook w:val="01E0" w:firstRow="1" w:lastRow="1" w:firstColumn="1" w:lastColumn="1" w:noHBand="0" w:noVBand="0"/>
      </w:tblPr>
      <w:tblGrid>
        <w:gridCol w:w="3402"/>
        <w:gridCol w:w="6801"/>
      </w:tblGrid>
      <w:tr w:rsidR="00345EE3" w14:paraId="74F47E36" w14:textId="77777777" w:rsidTr="00D73130">
        <w:trPr>
          <w:trHeight w:val="401"/>
        </w:trPr>
        <w:tc>
          <w:tcPr>
            <w:tcW w:w="10203" w:type="dxa"/>
            <w:gridSpan w:val="2"/>
            <w:shd w:val="clear" w:color="auto" w:fill="00529F"/>
          </w:tcPr>
          <w:p w14:paraId="4360D5BD" w14:textId="77777777" w:rsidR="00345EE3" w:rsidRDefault="00345EE3" w:rsidP="00D73130">
            <w:pPr>
              <w:pStyle w:val="TableParagraph"/>
              <w:spacing w:before="63"/>
              <w:ind w:left="-1"/>
              <w:jc w:val="left"/>
              <w:rPr>
                <w:b/>
                <w:sz w:val="24"/>
              </w:rPr>
            </w:pPr>
            <w:r>
              <w:rPr>
                <w:b/>
                <w:color w:val="FFFFFF"/>
                <w:sz w:val="24"/>
              </w:rPr>
              <w:t>Reduce</w:t>
            </w:r>
            <w:r>
              <w:rPr>
                <w:b/>
                <w:color w:val="FFFFFF"/>
                <w:spacing w:val="-6"/>
                <w:sz w:val="24"/>
              </w:rPr>
              <w:t xml:space="preserve"> </w:t>
            </w:r>
            <w:r>
              <w:rPr>
                <w:b/>
                <w:color w:val="FFFFFF"/>
                <w:sz w:val="24"/>
              </w:rPr>
              <w:t>Road</w:t>
            </w:r>
            <w:r>
              <w:rPr>
                <w:b/>
                <w:color w:val="FFFFFF"/>
                <w:spacing w:val="-6"/>
                <w:sz w:val="24"/>
              </w:rPr>
              <w:t xml:space="preserve"> </w:t>
            </w:r>
            <w:r>
              <w:rPr>
                <w:b/>
                <w:color w:val="FFFFFF"/>
                <w:spacing w:val="-2"/>
                <w:sz w:val="24"/>
              </w:rPr>
              <w:t>Trauma</w:t>
            </w:r>
          </w:p>
        </w:tc>
      </w:tr>
      <w:tr w:rsidR="00090D9E" w14:paraId="2D35D57B" w14:textId="77777777" w:rsidTr="00D73130">
        <w:trPr>
          <w:trHeight w:val="2358"/>
        </w:trPr>
        <w:tc>
          <w:tcPr>
            <w:tcW w:w="3402" w:type="dxa"/>
            <w:tcBorders>
              <w:right w:val="single" w:sz="2" w:space="0" w:color="939598"/>
            </w:tcBorders>
          </w:tcPr>
          <w:p w14:paraId="50EE2B77" w14:textId="77777777" w:rsidR="00090D9E" w:rsidRDefault="00090D9E" w:rsidP="00D73130">
            <w:pPr>
              <w:pStyle w:val="TableParagraph"/>
              <w:spacing w:before="63" w:line="262" w:lineRule="exact"/>
              <w:ind w:left="-3"/>
              <w:jc w:val="left"/>
              <w:rPr>
                <w:i/>
                <w:sz w:val="24"/>
              </w:rPr>
            </w:pPr>
            <w:r>
              <w:rPr>
                <w:i/>
                <w:color w:val="231F20"/>
                <w:spacing w:val="-4"/>
                <w:sz w:val="24"/>
              </w:rPr>
              <w:t>Road</w:t>
            </w:r>
            <w:r>
              <w:rPr>
                <w:i/>
                <w:color w:val="231F20"/>
                <w:spacing w:val="-9"/>
                <w:sz w:val="24"/>
              </w:rPr>
              <w:t xml:space="preserve"> </w:t>
            </w:r>
            <w:r>
              <w:rPr>
                <w:i/>
                <w:color w:val="231F20"/>
                <w:spacing w:val="-4"/>
                <w:sz w:val="24"/>
              </w:rPr>
              <w:t>Safety</w:t>
            </w:r>
            <w:r>
              <w:rPr>
                <w:i/>
                <w:color w:val="231F20"/>
                <w:spacing w:val="-9"/>
                <w:sz w:val="24"/>
              </w:rPr>
              <w:t xml:space="preserve"> </w:t>
            </w:r>
            <w:r>
              <w:rPr>
                <w:i/>
                <w:color w:val="231F20"/>
                <w:spacing w:val="-4"/>
                <w:sz w:val="24"/>
              </w:rPr>
              <w:t>Strategy</w:t>
            </w:r>
          </w:p>
          <w:p w14:paraId="629AD38D" w14:textId="5C066525" w:rsidR="00090D9E" w:rsidRDefault="00090D9E" w:rsidP="00D73130">
            <w:pPr>
              <w:pStyle w:val="TableParagraph"/>
              <w:spacing w:before="0" w:line="274" w:lineRule="exact"/>
              <w:ind w:left="-3"/>
              <w:jc w:val="left"/>
              <w:rPr>
                <w:i/>
                <w:sz w:val="24"/>
              </w:rPr>
            </w:pPr>
            <w:r>
              <w:rPr>
                <w:i/>
                <w:color w:val="231F20"/>
                <w:spacing w:val="-4"/>
                <w:sz w:val="24"/>
              </w:rPr>
              <w:t>July</w:t>
            </w:r>
            <w:r>
              <w:rPr>
                <w:i/>
                <w:color w:val="231F20"/>
                <w:spacing w:val="-9"/>
                <w:sz w:val="24"/>
              </w:rPr>
              <w:t xml:space="preserve"> </w:t>
            </w:r>
            <w:r>
              <w:rPr>
                <w:i/>
                <w:color w:val="231F20"/>
                <w:spacing w:val="-4"/>
                <w:sz w:val="24"/>
              </w:rPr>
              <w:t>2021–</w:t>
            </w:r>
            <w:r>
              <w:rPr>
                <w:i/>
                <w:color w:val="231F20"/>
                <w:spacing w:val="-8"/>
                <w:sz w:val="24"/>
              </w:rPr>
              <w:t xml:space="preserve"> </w:t>
            </w:r>
            <w:r>
              <w:rPr>
                <w:i/>
                <w:color w:val="231F20"/>
                <w:spacing w:val="-4"/>
                <w:sz w:val="24"/>
              </w:rPr>
              <w:t>June</w:t>
            </w:r>
            <w:r>
              <w:rPr>
                <w:i/>
                <w:color w:val="231F20"/>
                <w:spacing w:val="-8"/>
                <w:sz w:val="24"/>
              </w:rPr>
              <w:t xml:space="preserve"> </w:t>
            </w:r>
            <w:r>
              <w:rPr>
                <w:i/>
                <w:color w:val="231F20"/>
                <w:spacing w:val="-4"/>
                <w:sz w:val="24"/>
              </w:rPr>
              <w:t>2024</w:t>
            </w:r>
          </w:p>
        </w:tc>
        <w:tc>
          <w:tcPr>
            <w:tcW w:w="6801" w:type="dxa"/>
            <w:tcBorders>
              <w:left w:val="single" w:sz="2" w:space="0" w:color="939598"/>
            </w:tcBorders>
          </w:tcPr>
          <w:p w14:paraId="0A4DCA63" w14:textId="77777777" w:rsidR="00090D9E" w:rsidRDefault="00090D9E" w:rsidP="00D73130">
            <w:pPr>
              <w:pStyle w:val="TableParagraph"/>
              <w:spacing w:before="63" w:line="262" w:lineRule="exact"/>
              <w:ind w:left="-1"/>
              <w:jc w:val="left"/>
              <w:rPr>
                <w:sz w:val="24"/>
              </w:rPr>
            </w:pPr>
            <w:r>
              <w:rPr>
                <w:color w:val="231F20"/>
                <w:spacing w:val="-4"/>
                <w:sz w:val="24"/>
              </w:rPr>
              <w:t>The</w:t>
            </w:r>
            <w:r>
              <w:rPr>
                <w:color w:val="231F20"/>
                <w:spacing w:val="-13"/>
                <w:sz w:val="24"/>
              </w:rPr>
              <w:t xml:space="preserve"> </w:t>
            </w:r>
            <w:r>
              <w:rPr>
                <w:i/>
                <w:color w:val="231F20"/>
                <w:spacing w:val="-4"/>
                <w:sz w:val="24"/>
              </w:rPr>
              <w:t>Victoria</w:t>
            </w:r>
            <w:r>
              <w:rPr>
                <w:i/>
                <w:color w:val="231F20"/>
                <w:spacing w:val="-13"/>
                <w:sz w:val="24"/>
              </w:rPr>
              <w:t xml:space="preserve"> </w:t>
            </w:r>
            <w:r>
              <w:rPr>
                <w:i/>
                <w:color w:val="231F20"/>
                <w:spacing w:val="-4"/>
                <w:sz w:val="24"/>
              </w:rPr>
              <w:t>Police</w:t>
            </w:r>
            <w:r>
              <w:rPr>
                <w:i/>
                <w:color w:val="231F20"/>
                <w:spacing w:val="-12"/>
                <w:sz w:val="24"/>
              </w:rPr>
              <w:t xml:space="preserve"> </w:t>
            </w:r>
            <w:r>
              <w:rPr>
                <w:i/>
                <w:color w:val="231F20"/>
                <w:spacing w:val="-4"/>
                <w:sz w:val="24"/>
              </w:rPr>
              <w:t>Road</w:t>
            </w:r>
            <w:r>
              <w:rPr>
                <w:i/>
                <w:color w:val="231F20"/>
                <w:spacing w:val="-13"/>
                <w:sz w:val="24"/>
              </w:rPr>
              <w:t xml:space="preserve"> </w:t>
            </w:r>
            <w:r>
              <w:rPr>
                <w:i/>
                <w:color w:val="231F20"/>
                <w:spacing w:val="-4"/>
                <w:sz w:val="24"/>
              </w:rPr>
              <w:t>Safety</w:t>
            </w:r>
            <w:r>
              <w:rPr>
                <w:i/>
                <w:color w:val="231F20"/>
                <w:spacing w:val="-13"/>
                <w:sz w:val="24"/>
              </w:rPr>
              <w:t xml:space="preserve"> </w:t>
            </w:r>
            <w:r>
              <w:rPr>
                <w:i/>
                <w:color w:val="231F20"/>
                <w:spacing w:val="-4"/>
                <w:sz w:val="24"/>
              </w:rPr>
              <w:t>Strategy</w:t>
            </w:r>
            <w:r>
              <w:rPr>
                <w:i/>
                <w:color w:val="231F20"/>
                <w:spacing w:val="-13"/>
                <w:sz w:val="24"/>
              </w:rPr>
              <w:t xml:space="preserve"> </w:t>
            </w:r>
            <w:r>
              <w:rPr>
                <w:i/>
                <w:color w:val="231F20"/>
                <w:spacing w:val="-4"/>
                <w:sz w:val="24"/>
              </w:rPr>
              <w:t>2021–2024</w:t>
            </w:r>
            <w:r>
              <w:rPr>
                <w:color w:val="231F20"/>
                <w:spacing w:val="-4"/>
                <w:sz w:val="24"/>
              </w:rPr>
              <w:t>,</w:t>
            </w:r>
            <w:r>
              <w:rPr>
                <w:color w:val="231F20"/>
                <w:spacing w:val="-6"/>
                <w:sz w:val="24"/>
              </w:rPr>
              <w:t xml:space="preserve"> </w:t>
            </w:r>
            <w:r>
              <w:rPr>
                <w:color w:val="231F20"/>
                <w:spacing w:val="-5"/>
                <w:sz w:val="24"/>
              </w:rPr>
              <w:t>was</w:t>
            </w:r>
          </w:p>
          <w:p w14:paraId="68B2C4D4" w14:textId="6559E60B" w:rsidR="00090D9E" w:rsidRDefault="00090D9E" w:rsidP="00D73130">
            <w:pPr>
              <w:pStyle w:val="TableParagraph"/>
              <w:spacing w:before="0" w:line="242" w:lineRule="auto"/>
              <w:ind w:left="-1" w:right="97"/>
              <w:jc w:val="left"/>
              <w:rPr>
                <w:sz w:val="24"/>
              </w:rPr>
            </w:pPr>
            <w:r>
              <w:rPr>
                <w:color w:val="231F20"/>
                <w:sz w:val="24"/>
              </w:rPr>
              <w:t>released</w:t>
            </w:r>
            <w:r>
              <w:rPr>
                <w:color w:val="231F20"/>
                <w:spacing w:val="-2"/>
                <w:sz w:val="24"/>
              </w:rPr>
              <w:t xml:space="preserve"> </w:t>
            </w:r>
            <w:r>
              <w:rPr>
                <w:color w:val="231F20"/>
                <w:sz w:val="24"/>
              </w:rPr>
              <w:t>in</w:t>
            </w:r>
            <w:r>
              <w:rPr>
                <w:color w:val="231F20"/>
                <w:spacing w:val="-2"/>
                <w:sz w:val="24"/>
              </w:rPr>
              <w:t xml:space="preserve"> </w:t>
            </w:r>
            <w:r>
              <w:rPr>
                <w:color w:val="231F20"/>
                <w:sz w:val="24"/>
              </w:rPr>
              <w:t>November</w:t>
            </w:r>
            <w:r>
              <w:rPr>
                <w:color w:val="231F20"/>
                <w:spacing w:val="-1"/>
                <w:sz w:val="24"/>
              </w:rPr>
              <w:t xml:space="preserve"> </w:t>
            </w:r>
            <w:r>
              <w:rPr>
                <w:color w:val="231F20"/>
                <w:sz w:val="24"/>
              </w:rPr>
              <w:t>2021</w:t>
            </w:r>
            <w:r>
              <w:rPr>
                <w:color w:val="231F20"/>
                <w:spacing w:val="-2"/>
                <w:sz w:val="24"/>
              </w:rPr>
              <w:t xml:space="preserve"> </w:t>
            </w:r>
            <w:r>
              <w:rPr>
                <w:color w:val="231F20"/>
                <w:sz w:val="24"/>
              </w:rPr>
              <w:t>and</w:t>
            </w:r>
            <w:r>
              <w:rPr>
                <w:color w:val="231F20"/>
                <w:spacing w:val="-2"/>
                <w:sz w:val="24"/>
              </w:rPr>
              <w:t xml:space="preserve"> </w:t>
            </w:r>
            <w:r>
              <w:rPr>
                <w:color w:val="231F20"/>
                <w:sz w:val="24"/>
              </w:rPr>
              <w:t>aligns</w:t>
            </w:r>
            <w:r>
              <w:rPr>
                <w:color w:val="231F20"/>
                <w:spacing w:val="-1"/>
                <w:sz w:val="24"/>
              </w:rPr>
              <w:t xml:space="preserve"> </w:t>
            </w:r>
            <w:r>
              <w:rPr>
                <w:color w:val="231F20"/>
                <w:sz w:val="24"/>
              </w:rPr>
              <w:t>with</w:t>
            </w:r>
            <w:r>
              <w:rPr>
                <w:color w:val="231F20"/>
                <w:spacing w:val="-2"/>
                <w:sz w:val="24"/>
              </w:rPr>
              <w:t xml:space="preserve"> </w:t>
            </w:r>
            <w:r>
              <w:rPr>
                <w:color w:val="231F20"/>
                <w:sz w:val="24"/>
              </w:rPr>
              <w:t>the</w:t>
            </w:r>
            <w:r>
              <w:rPr>
                <w:color w:val="231F20"/>
                <w:spacing w:val="-2"/>
                <w:sz w:val="24"/>
              </w:rPr>
              <w:t xml:space="preserve"> </w:t>
            </w:r>
            <w:r>
              <w:rPr>
                <w:i/>
                <w:color w:val="231F20"/>
                <w:sz w:val="24"/>
              </w:rPr>
              <w:t>Victorian</w:t>
            </w:r>
            <w:r>
              <w:rPr>
                <w:i/>
                <w:color w:val="231F20"/>
                <w:spacing w:val="-10"/>
                <w:sz w:val="24"/>
              </w:rPr>
              <w:t xml:space="preserve"> </w:t>
            </w:r>
            <w:r>
              <w:rPr>
                <w:i/>
                <w:color w:val="231F20"/>
                <w:sz w:val="24"/>
              </w:rPr>
              <w:t>Road Safety</w:t>
            </w:r>
            <w:r>
              <w:rPr>
                <w:i/>
                <w:color w:val="231F20"/>
                <w:spacing w:val="-7"/>
                <w:sz w:val="24"/>
              </w:rPr>
              <w:t xml:space="preserve"> </w:t>
            </w:r>
            <w:r>
              <w:rPr>
                <w:i/>
                <w:color w:val="231F20"/>
                <w:sz w:val="24"/>
              </w:rPr>
              <w:t>Strategy</w:t>
            </w:r>
            <w:r>
              <w:rPr>
                <w:i/>
                <w:color w:val="231F20"/>
                <w:spacing w:val="-7"/>
                <w:sz w:val="24"/>
              </w:rPr>
              <w:t xml:space="preserve"> </w:t>
            </w:r>
            <w:r>
              <w:rPr>
                <w:i/>
                <w:color w:val="231F20"/>
                <w:sz w:val="24"/>
              </w:rPr>
              <w:t>2021–2030</w:t>
            </w:r>
            <w:r>
              <w:rPr>
                <w:i/>
                <w:color w:val="231F20"/>
                <w:spacing w:val="-3"/>
                <w:sz w:val="24"/>
              </w:rPr>
              <w:t xml:space="preserve"> </w:t>
            </w:r>
            <w:r>
              <w:rPr>
                <w:color w:val="231F20"/>
                <w:sz w:val="24"/>
              </w:rPr>
              <w:t>supporting a 50 per cent reduction in road fatalities by 2030. The Victoria Police Strategy outlines our commitment to the safe systems approach (safer roads, safer speeds, safer road users and safer vehicles), as well as our</w:t>
            </w:r>
            <w:r>
              <w:rPr>
                <w:color w:val="231F20"/>
                <w:spacing w:val="-10"/>
                <w:sz w:val="24"/>
              </w:rPr>
              <w:t xml:space="preserve"> </w:t>
            </w:r>
            <w:r>
              <w:rPr>
                <w:color w:val="231F20"/>
                <w:sz w:val="24"/>
              </w:rPr>
              <w:t>key</w:t>
            </w:r>
            <w:r>
              <w:rPr>
                <w:color w:val="231F20"/>
                <w:spacing w:val="-10"/>
                <w:sz w:val="24"/>
              </w:rPr>
              <w:t xml:space="preserve"> </w:t>
            </w:r>
            <w:r>
              <w:rPr>
                <w:color w:val="231F20"/>
                <w:sz w:val="24"/>
              </w:rPr>
              <w:t>principles</w:t>
            </w:r>
            <w:r>
              <w:rPr>
                <w:color w:val="231F20"/>
                <w:spacing w:val="-10"/>
                <w:sz w:val="24"/>
              </w:rPr>
              <w:t xml:space="preserve"> </w:t>
            </w:r>
            <w:r>
              <w:rPr>
                <w:color w:val="231F20"/>
                <w:sz w:val="24"/>
              </w:rPr>
              <w:t>of</w:t>
            </w:r>
            <w:r>
              <w:rPr>
                <w:color w:val="231F20"/>
                <w:spacing w:val="-10"/>
                <w:sz w:val="24"/>
              </w:rPr>
              <w:t xml:space="preserve"> </w:t>
            </w:r>
            <w:r>
              <w:rPr>
                <w:color w:val="231F20"/>
                <w:sz w:val="24"/>
              </w:rPr>
              <w:t>engage,</w:t>
            </w:r>
            <w:r>
              <w:rPr>
                <w:color w:val="231F20"/>
                <w:spacing w:val="-10"/>
                <w:sz w:val="24"/>
              </w:rPr>
              <w:t xml:space="preserve"> </w:t>
            </w:r>
            <w:r>
              <w:rPr>
                <w:color w:val="231F20"/>
                <w:sz w:val="24"/>
              </w:rPr>
              <w:t>enhance</w:t>
            </w:r>
            <w:r>
              <w:rPr>
                <w:color w:val="231F20"/>
                <w:spacing w:val="-11"/>
                <w:sz w:val="24"/>
              </w:rPr>
              <w:t xml:space="preserve"> </w:t>
            </w:r>
            <w:r>
              <w:rPr>
                <w:color w:val="231F20"/>
                <w:sz w:val="24"/>
              </w:rPr>
              <w:t>and</w:t>
            </w:r>
            <w:r>
              <w:rPr>
                <w:color w:val="231F20"/>
                <w:spacing w:val="-11"/>
                <w:sz w:val="24"/>
              </w:rPr>
              <w:t xml:space="preserve"> </w:t>
            </w:r>
            <w:r>
              <w:rPr>
                <w:color w:val="231F20"/>
                <w:sz w:val="24"/>
              </w:rPr>
              <w:t>enforce.</w:t>
            </w:r>
            <w:r>
              <w:rPr>
                <w:color w:val="231F20"/>
                <w:spacing w:val="-10"/>
                <w:sz w:val="24"/>
              </w:rPr>
              <w:t xml:space="preserve"> </w:t>
            </w:r>
            <w:r>
              <w:rPr>
                <w:color w:val="231F20"/>
                <w:sz w:val="24"/>
              </w:rPr>
              <w:t>This</w:t>
            </w:r>
            <w:r>
              <w:rPr>
                <w:color w:val="231F20"/>
                <w:spacing w:val="-10"/>
                <w:sz w:val="24"/>
              </w:rPr>
              <w:t xml:space="preserve"> </w:t>
            </w:r>
            <w:r>
              <w:rPr>
                <w:color w:val="231F20"/>
                <w:sz w:val="24"/>
              </w:rPr>
              <w:t>is</w:t>
            </w:r>
            <w:r>
              <w:rPr>
                <w:color w:val="231F20"/>
                <w:spacing w:val="-10"/>
                <w:sz w:val="24"/>
              </w:rPr>
              <w:t xml:space="preserve"> </w:t>
            </w:r>
            <w:r>
              <w:rPr>
                <w:color w:val="231F20"/>
                <w:sz w:val="24"/>
              </w:rPr>
              <w:t>now considered complete.</w:t>
            </w:r>
          </w:p>
        </w:tc>
      </w:tr>
      <w:tr w:rsidR="00090D9E" w14:paraId="3503D50A" w14:textId="77777777" w:rsidTr="00D73130">
        <w:trPr>
          <w:trHeight w:val="2754"/>
        </w:trPr>
        <w:tc>
          <w:tcPr>
            <w:tcW w:w="3402" w:type="dxa"/>
            <w:tcBorders>
              <w:top w:val="single" w:sz="2" w:space="0" w:color="939598"/>
              <w:right w:val="single" w:sz="2" w:space="0" w:color="939598"/>
            </w:tcBorders>
          </w:tcPr>
          <w:p w14:paraId="2AFA4724" w14:textId="77777777" w:rsidR="00090D9E" w:rsidRDefault="00090D9E" w:rsidP="00D73130">
            <w:pPr>
              <w:pStyle w:val="TableParagraph"/>
              <w:spacing w:before="61" w:line="262" w:lineRule="exact"/>
              <w:ind w:left="-3"/>
              <w:jc w:val="left"/>
              <w:rPr>
                <w:i/>
                <w:sz w:val="24"/>
              </w:rPr>
            </w:pPr>
            <w:r>
              <w:rPr>
                <w:i/>
                <w:color w:val="231F20"/>
                <w:spacing w:val="-4"/>
                <w:sz w:val="24"/>
              </w:rPr>
              <w:t>Roadside</w:t>
            </w:r>
            <w:r>
              <w:rPr>
                <w:i/>
                <w:color w:val="231F20"/>
                <w:spacing w:val="-10"/>
                <w:sz w:val="24"/>
              </w:rPr>
              <w:t xml:space="preserve"> </w:t>
            </w:r>
            <w:r>
              <w:rPr>
                <w:i/>
                <w:color w:val="231F20"/>
                <w:spacing w:val="-4"/>
                <w:sz w:val="24"/>
              </w:rPr>
              <w:t>Drug</w:t>
            </w:r>
            <w:r>
              <w:rPr>
                <w:i/>
                <w:color w:val="231F20"/>
                <w:spacing w:val="-10"/>
                <w:sz w:val="24"/>
              </w:rPr>
              <w:t xml:space="preserve"> </w:t>
            </w:r>
            <w:r>
              <w:rPr>
                <w:i/>
                <w:color w:val="231F20"/>
                <w:spacing w:val="-4"/>
                <w:sz w:val="24"/>
              </w:rPr>
              <w:t>Driving</w:t>
            </w:r>
          </w:p>
          <w:p w14:paraId="69F90267" w14:textId="5E880831" w:rsidR="00090D9E" w:rsidRDefault="00090D9E" w:rsidP="00D73130">
            <w:pPr>
              <w:pStyle w:val="TableParagraph"/>
              <w:spacing w:before="0" w:line="274" w:lineRule="exact"/>
              <w:ind w:left="-3"/>
              <w:jc w:val="left"/>
              <w:rPr>
                <w:i/>
                <w:sz w:val="24"/>
              </w:rPr>
            </w:pPr>
            <w:r>
              <w:rPr>
                <w:i/>
                <w:color w:val="231F20"/>
                <w:spacing w:val="-5"/>
                <w:sz w:val="24"/>
              </w:rPr>
              <w:t>Infringement</w:t>
            </w:r>
            <w:r>
              <w:rPr>
                <w:i/>
                <w:color w:val="231F20"/>
                <w:spacing w:val="7"/>
                <w:sz w:val="24"/>
              </w:rPr>
              <w:t xml:space="preserve"> </w:t>
            </w:r>
            <w:r>
              <w:rPr>
                <w:i/>
                <w:color w:val="231F20"/>
                <w:spacing w:val="-2"/>
                <w:sz w:val="24"/>
              </w:rPr>
              <w:t>trial</w:t>
            </w:r>
          </w:p>
        </w:tc>
        <w:tc>
          <w:tcPr>
            <w:tcW w:w="6801" w:type="dxa"/>
            <w:tcBorders>
              <w:top w:val="single" w:sz="2" w:space="0" w:color="939598"/>
              <w:left w:val="single" w:sz="2" w:space="0" w:color="939598"/>
            </w:tcBorders>
          </w:tcPr>
          <w:p w14:paraId="1408557E" w14:textId="77777777" w:rsidR="00090D9E" w:rsidRDefault="00090D9E" w:rsidP="00D73130">
            <w:pPr>
              <w:pStyle w:val="TableParagraph"/>
              <w:spacing w:before="61" w:line="262" w:lineRule="exact"/>
              <w:ind w:left="-1"/>
              <w:jc w:val="left"/>
              <w:rPr>
                <w:sz w:val="24"/>
              </w:rPr>
            </w:pPr>
            <w:r>
              <w:rPr>
                <w:color w:val="231F20"/>
                <w:sz w:val="24"/>
              </w:rPr>
              <w:t>The</w:t>
            </w:r>
            <w:r>
              <w:rPr>
                <w:color w:val="231F20"/>
                <w:spacing w:val="-11"/>
                <w:sz w:val="24"/>
              </w:rPr>
              <w:t xml:space="preserve"> </w:t>
            </w:r>
            <w:r>
              <w:rPr>
                <w:color w:val="231F20"/>
                <w:sz w:val="24"/>
              </w:rPr>
              <w:t>Victoria</w:t>
            </w:r>
            <w:r>
              <w:rPr>
                <w:color w:val="231F20"/>
                <w:spacing w:val="-9"/>
                <w:sz w:val="24"/>
              </w:rPr>
              <w:t xml:space="preserve"> </w:t>
            </w:r>
            <w:r>
              <w:rPr>
                <w:color w:val="231F20"/>
                <w:sz w:val="24"/>
              </w:rPr>
              <w:t>Police</w:t>
            </w:r>
            <w:r>
              <w:rPr>
                <w:color w:val="231F20"/>
                <w:spacing w:val="-9"/>
                <w:sz w:val="24"/>
              </w:rPr>
              <w:t xml:space="preserve"> </w:t>
            </w:r>
            <w:r>
              <w:rPr>
                <w:color w:val="231F20"/>
                <w:sz w:val="24"/>
              </w:rPr>
              <w:t>Roadside</w:t>
            </w:r>
            <w:r>
              <w:rPr>
                <w:color w:val="231F20"/>
                <w:spacing w:val="-9"/>
                <w:sz w:val="24"/>
              </w:rPr>
              <w:t xml:space="preserve"> </w:t>
            </w:r>
            <w:r>
              <w:rPr>
                <w:color w:val="231F20"/>
                <w:sz w:val="24"/>
              </w:rPr>
              <w:t>Drug</w:t>
            </w:r>
            <w:r>
              <w:rPr>
                <w:color w:val="231F20"/>
                <w:spacing w:val="-9"/>
                <w:sz w:val="24"/>
              </w:rPr>
              <w:t xml:space="preserve"> </w:t>
            </w:r>
            <w:r>
              <w:rPr>
                <w:color w:val="231F20"/>
                <w:sz w:val="24"/>
              </w:rPr>
              <w:t>Driving</w:t>
            </w:r>
            <w:r>
              <w:rPr>
                <w:color w:val="231F20"/>
                <w:spacing w:val="-9"/>
                <w:sz w:val="24"/>
              </w:rPr>
              <w:t xml:space="preserve"> </w:t>
            </w:r>
            <w:r>
              <w:rPr>
                <w:color w:val="231F20"/>
                <w:sz w:val="24"/>
              </w:rPr>
              <w:t>Infringement</w:t>
            </w:r>
            <w:r>
              <w:rPr>
                <w:color w:val="231F20"/>
                <w:spacing w:val="-8"/>
                <w:sz w:val="24"/>
              </w:rPr>
              <w:t xml:space="preserve"> </w:t>
            </w:r>
            <w:r>
              <w:rPr>
                <w:color w:val="231F20"/>
                <w:spacing w:val="-2"/>
                <w:sz w:val="24"/>
              </w:rPr>
              <w:t>trial</w:t>
            </w:r>
          </w:p>
          <w:p w14:paraId="1EC46E16" w14:textId="77777777" w:rsidR="00090D9E" w:rsidRDefault="00090D9E" w:rsidP="00D73130">
            <w:pPr>
              <w:pStyle w:val="TableParagraph"/>
              <w:spacing w:before="0" w:line="242" w:lineRule="auto"/>
              <w:ind w:left="-1" w:right="186"/>
              <w:jc w:val="left"/>
              <w:rPr>
                <w:sz w:val="24"/>
              </w:rPr>
            </w:pPr>
            <w:r>
              <w:rPr>
                <w:color w:val="231F20"/>
                <w:sz w:val="24"/>
              </w:rPr>
              <w:t>was</w:t>
            </w:r>
            <w:r>
              <w:rPr>
                <w:color w:val="231F20"/>
                <w:spacing w:val="-2"/>
                <w:sz w:val="24"/>
              </w:rPr>
              <w:t xml:space="preserve"> </w:t>
            </w:r>
            <w:r>
              <w:rPr>
                <w:color w:val="231F20"/>
                <w:sz w:val="24"/>
              </w:rPr>
              <w:t>completed</w:t>
            </w:r>
            <w:r>
              <w:rPr>
                <w:color w:val="231F20"/>
                <w:spacing w:val="-3"/>
                <w:sz w:val="24"/>
              </w:rPr>
              <w:t xml:space="preserve"> </w:t>
            </w:r>
            <w:r>
              <w:rPr>
                <w:color w:val="231F20"/>
                <w:sz w:val="24"/>
              </w:rPr>
              <w:t>during</w:t>
            </w:r>
            <w:r>
              <w:rPr>
                <w:color w:val="231F20"/>
                <w:spacing w:val="-3"/>
                <w:sz w:val="24"/>
              </w:rPr>
              <w:t xml:space="preserve"> </w:t>
            </w:r>
            <w:r>
              <w:rPr>
                <w:color w:val="231F20"/>
                <w:sz w:val="24"/>
              </w:rPr>
              <w:t>2021–2022.</w:t>
            </w:r>
            <w:r>
              <w:rPr>
                <w:color w:val="231F20"/>
                <w:spacing w:val="-2"/>
                <w:sz w:val="24"/>
              </w:rPr>
              <w:t xml:space="preserve"> </w:t>
            </w:r>
            <w:r>
              <w:rPr>
                <w:color w:val="231F20"/>
                <w:sz w:val="24"/>
              </w:rPr>
              <w:t>The</w:t>
            </w:r>
            <w:r>
              <w:rPr>
                <w:color w:val="231F20"/>
                <w:spacing w:val="-3"/>
                <w:sz w:val="24"/>
              </w:rPr>
              <w:t xml:space="preserve"> </w:t>
            </w:r>
            <w:r>
              <w:rPr>
                <w:color w:val="231F20"/>
                <w:sz w:val="24"/>
              </w:rPr>
              <w:t>‘End</w:t>
            </w:r>
            <w:r>
              <w:rPr>
                <w:color w:val="231F20"/>
                <w:spacing w:val="-3"/>
                <w:sz w:val="24"/>
              </w:rPr>
              <w:t xml:space="preserve"> </w:t>
            </w:r>
            <w:r>
              <w:rPr>
                <w:color w:val="231F20"/>
                <w:sz w:val="24"/>
              </w:rPr>
              <w:t>of</w:t>
            </w:r>
            <w:r>
              <w:rPr>
                <w:color w:val="231F20"/>
                <w:spacing w:val="-2"/>
                <w:sz w:val="24"/>
              </w:rPr>
              <w:t xml:space="preserve"> </w:t>
            </w:r>
            <w:r>
              <w:rPr>
                <w:color w:val="231F20"/>
                <w:sz w:val="24"/>
              </w:rPr>
              <w:t>Trial</w:t>
            </w:r>
            <w:r>
              <w:rPr>
                <w:color w:val="231F20"/>
                <w:spacing w:val="-3"/>
                <w:sz w:val="24"/>
              </w:rPr>
              <w:t xml:space="preserve"> </w:t>
            </w:r>
            <w:r>
              <w:rPr>
                <w:color w:val="231F20"/>
                <w:sz w:val="24"/>
              </w:rPr>
              <w:t>Internal Evaluation’</w:t>
            </w:r>
            <w:r>
              <w:rPr>
                <w:color w:val="231F20"/>
                <w:spacing w:val="-15"/>
                <w:sz w:val="24"/>
              </w:rPr>
              <w:t xml:space="preserve"> </w:t>
            </w:r>
            <w:r>
              <w:rPr>
                <w:color w:val="231F20"/>
                <w:sz w:val="24"/>
              </w:rPr>
              <w:t>confirmed</w:t>
            </w:r>
            <w:r>
              <w:rPr>
                <w:color w:val="231F20"/>
                <w:spacing w:val="-15"/>
                <w:sz w:val="24"/>
              </w:rPr>
              <w:t xml:space="preserve"> </w:t>
            </w:r>
            <w:r>
              <w:rPr>
                <w:color w:val="231F20"/>
                <w:sz w:val="24"/>
              </w:rPr>
              <w:t>processes</w:t>
            </w:r>
            <w:r>
              <w:rPr>
                <w:color w:val="231F20"/>
                <w:spacing w:val="-14"/>
                <w:sz w:val="24"/>
              </w:rPr>
              <w:t xml:space="preserve"> </w:t>
            </w:r>
            <w:r>
              <w:rPr>
                <w:color w:val="231F20"/>
                <w:sz w:val="24"/>
              </w:rPr>
              <w:t>implemented</w:t>
            </w:r>
            <w:r>
              <w:rPr>
                <w:color w:val="231F20"/>
                <w:spacing w:val="-15"/>
                <w:sz w:val="24"/>
              </w:rPr>
              <w:t xml:space="preserve"> </w:t>
            </w:r>
            <w:r>
              <w:rPr>
                <w:color w:val="231F20"/>
                <w:sz w:val="24"/>
              </w:rPr>
              <w:t>to</w:t>
            </w:r>
            <w:r>
              <w:rPr>
                <w:color w:val="231F20"/>
                <w:spacing w:val="-15"/>
                <w:sz w:val="24"/>
              </w:rPr>
              <w:t xml:space="preserve"> </w:t>
            </w:r>
            <w:r>
              <w:rPr>
                <w:color w:val="231F20"/>
                <w:sz w:val="24"/>
              </w:rPr>
              <w:t>support</w:t>
            </w:r>
            <w:r>
              <w:rPr>
                <w:color w:val="231F20"/>
                <w:spacing w:val="-14"/>
                <w:sz w:val="24"/>
              </w:rPr>
              <w:t xml:space="preserve"> </w:t>
            </w:r>
            <w:r>
              <w:rPr>
                <w:color w:val="231F20"/>
                <w:sz w:val="24"/>
              </w:rPr>
              <w:t>the trial were fit for purpose, and risks were mitigated.</w:t>
            </w:r>
          </w:p>
          <w:p w14:paraId="10DE237B" w14:textId="70BFF504" w:rsidR="00090D9E" w:rsidRDefault="00090D9E" w:rsidP="00D73130">
            <w:pPr>
              <w:pStyle w:val="TableParagraph"/>
              <w:spacing w:before="115" w:line="242" w:lineRule="auto"/>
              <w:ind w:left="-1" w:right="282"/>
              <w:jc w:val="left"/>
              <w:rPr>
                <w:sz w:val="24"/>
              </w:rPr>
            </w:pPr>
            <w:r>
              <w:rPr>
                <w:color w:val="231F20"/>
                <w:sz w:val="24"/>
              </w:rPr>
              <w:t>Monash University Accident Research Centre was engaged to estimate the road safety benefits associated with the trial. The</w:t>
            </w:r>
            <w:r>
              <w:rPr>
                <w:color w:val="231F20"/>
                <w:spacing w:val="-8"/>
                <w:sz w:val="24"/>
              </w:rPr>
              <w:t xml:space="preserve"> </w:t>
            </w:r>
            <w:r>
              <w:rPr>
                <w:color w:val="231F20"/>
                <w:sz w:val="24"/>
              </w:rPr>
              <w:t>findings</w:t>
            </w:r>
            <w:r>
              <w:rPr>
                <w:color w:val="231F20"/>
                <w:spacing w:val="-7"/>
                <w:sz w:val="24"/>
              </w:rPr>
              <w:t xml:space="preserve"> </w:t>
            </w:r>
            <w:r>
              <w:rPr>
                <w:color w:val="231F20"/>
                <w:sz w:val="24"/>
              </w:rPr>
              <w:t>identified</w:t>
            </w:r>
            <w:r>
              <w:rPr>
                <w:color w:val="231F20"/>
                <w:spacing w:val="-8"/>
                <w:sz w:val="24"/>
              </w:rPr>
              <w:t xml:space="preserve"> </w:t>
            </w:r>
            <w:r>
              <w:rPr>
                <w:color w:val="231F20"/>
                <w:sz w:val="24"/>
              </w:rPr>
              <w:t>a</w:t>
            </w:r>
            <w:r>
              <w:rPr>
                <w:color w:val="231F20"/>
                <w:spacing w:val="-8"/>
                <w:sz w:val="24"/>
              </w:rPr>
              <w:t xml:space="preserve"> </w:t>
            </w:r>
            <w:r>
              <w:rPr>
                <w:color w:val="231F20"/>
                <w:sz w:val="24"/>
              </w:rPr>
              <w:t>reduction</w:t>
            </w:r>
            <w:r>
              <w:rPr>
                <w:color w:val="231F20"/>
                <w:spacing w:val="-8"/>
                <w:sz w:val="24"/>
              </w:rPr>
              <w:t xml:space="preserve"> </w:t>
            </w:r>
            <w:r>
              <w:rPr>
                <w:color w:val="231F20"/>
                <w:sz w:val="24"/>
              </w:rPr>
              <w:t>in</w:t>
            </w:r>
            <w:r>
              <w:rPr>
                <w:color w:val="231F20"/>
                <w:spacing w:val="-8"/>
                <w:sz w:val="24"/>
              </w:rPr>
              <w:t xml:space="preserve"> </w:t>
            </w:r>
            <w:r>
              <w:rPr>
                <w:color w:val="231F20"/>
                <w:sz w:val="24"/>
              </w:rPr>
              <w:t>traffic</w:t>
            </w:r>
            <w:r>
              <w:rPr>
                <w:color w:val="231F20"/>
                <w:spacing w:val="-7"/>
                <w:sz w:val="24"/>
              </w:rPr>
              <w:t xml:space="preserve"> </w:t>
            </w:r>
            <w:r>
              <w:rPr>
                <w:color w:val="231F20"/>
                <w:sz w:val="24"/>
              </w:rPr>
              <w:t>offences</w:t>
            </w:r>
            <w:r>
              <w:rPr>
                <w:color w:val="231F20"/>
                <w:spacing w:val="-7"/>
                <w:sz w:val="24"/>
              </w:rPr>
              <w:t xml:space="preserve"> </w:t>
            </w:r>
            <w:r>
              <w:rPr>
                <w:color w:val="231F20"/>
                <w:sz w:val="24"/>
              </w:rPr>
              <w:t>and</w:t>
            </w:r>
            <w:r>
              <w:rPr>
                <w:color w:val="231F20"/>
                <w:spacing w:val="-8"/>
                <w:sz w:val="24"/>
              </w:rPr>
              <w:t xml:space="preserve"> </w:t>
            </w:r>
            <w:r>
              <w:rPr>
                <w:color w:val="231F20"/>
                <w:sz w:val="24"/>
              </w:rPr>
              <w:t>road trauma. The findings are subject to the completion of a peer review, managed by the Transport Accident Commission.</w:t>
            </w:r>
          </w:p>
        </w:tc>
      </w:tr>
    </w:tbl>
    <w:p w14:paraId="16DB6FC3" w14:textId="77777777" w:rsidR="00345EE3" w:rsidRDefault="00345EE3" w:rsidP="00345EE3">
      <w:pPr>
        <w:spacing w:line="242" w:lineRule="auto"/>
        <w:rPr>
          <w:sz w:val="24"/>
        </w:rPr>
        <w:sectPr w:rsidR="00345EE3">
          <w:pgSz w:w="11910" w:h="16840"/>
          <w:pgMar w:top="820" w:right="0" w:bottom="909" w:left="740" w:header="720" w:footer="720" w:gutter="0"/>
          <w:cols w:space="720"/>
        </w:sect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402"/>
        <w:gridCol w:w="6801"/>
      </w:tblGrid>
      <w:tr w:rsidR="00345EE3" w14:paraId="78F47CF0" w14:textId="77777777" w:rsidTr="00D73130">
        <w:trPr>
          <w:trHeight w:val="401"/>
        </w:trPr>
        <w:tc>
          <w:tcPr>
            <w:tcW w:w="10203" w:type="dxa"/>
            <w:gridSpan w:val="2"/>
            <w:tcBorders>
              <w:top w:val="nil"/>
              <w:left w:val="nil"/>
              <w:bottom w:val="nil"/>
              <w:right w:val="nil"/>
            </w:tcBorders>
            <w:shd w:val="clear" w:color="auto" w:fill="00529F"/>
          </w:tcPr>
          <w:p w14:paraId="7B5B4F0C" w14:textId="77777777" w:rsidR="00345EE3" w:rsidRDefault="00345EE3" w:rsidP="00D73130">
            <w:pPr>
              <w:pStyle w:val="TableParagraph"/>
              <w:spacing w:before="63"/>
              <w:ind w:left="-1"/>
              <w:jc w:val="left"/>
              <w:rPr>
                <w:b/>
                <w:sz w:val="24"/>
              </w:rPr>
            </w:pPr>
            <w:r>
              <w:rPr>
                <w:b/>
                <w:color w:val="FFFFFF"/>
                <w:sz w:val="24"/>
              </w:rPr>
              <w:t>Reduce</w:t>
            </w:r>
            <w:r>
              <w:rPr>
                <w:b/>
                <w:color w:val="FFFFFF"/>
                <w:spacing w:val="-6"/>
                <w:sz w:val="24"/>
              </w:rPr>
              <w:t xml:space="preserve"> </w:t>
            </w:r>
            <w:r>
              <w:rPr>
                <w:b/>
                <w:color w:val="FFFFFF"/>
                <w:sz w:val="24"/>
              </w:rPr>
              <w:t>Road</w:t>
            </w:r>
            <w:r>
              <w:rPr>
                <w:b/>
                <w:color w:val="FFFFFF"/>
                <w:spacing w:val="-6"/>
                <w:sz w:val="24"/>
              </w:rPr>
              <w:t xml:space="preserve"> </w:t>
            </w:r>
            <w:r>
              <w:rPr>
                <w:b/>
                <w:color w:val="FFFFFF"/>
                <w:spacing w:val="-2"/>
                <w:sz w:val="24"/>
              </w:rPr>
              <w:t>Trauma</w:t>
            </w:r>
          </w:p>
        </w:tc>
      </w:tr>
      <w:tr w:rsidR="00345EE3" w14:paraId="7F8C5B3C" w14:textId="77777777" w:rsidTr="00D73130">
        <w:trPr>
          <w:trHeight w:val="3592"/>
        </w:trPr>
        <w:tc>
          <w:tcPr>
            <w:tcW w:w="3402" w:type="dxa"/>
            <w:tcBorders>
              <w:top w:val="nil"/>
              <w:left w:val="nil"/>
            </w:tcBorders>
          </w:tcPr>
          <w:p w14:paraId="5669ED82" w14:textId="77777777" w:rsidR="00345EE3" w:rsidRDefault="00345EE3" w:rsidP="00D73130">
            <w:pPr>
              <w:pStyle w:val="TableParagraph"/>
              <w:spacing w:before="63" w:line="242" w:lineRule="auto"/>
              <w:ind w:left="-3"/>
              <w:jc w:val="left"/>
              <w:rPr>
                <w:i/>
                <w:sz w:val="24"/>
              </w:rPr>
            </w:pPr>
            <w:r>
              <w:rPr>
                <w:i/>
                <w:color w:val="231F20"/>
                <w:spacing w:val="-4"/>
                <w:sz w:val="24"/>
              </w:rPr>
              <w:t>State-wide</w:t>
            </w:r>
            <w:r>
              <w:rPr>
                <w:i/>
                <w:color w:val="231F20"/>
                <w:spacing w:val="-15"/>
                <w:sz w:val="24"/>
              </w:rPr>
              <w:t xml:space="preserve"> </w:t>
            </w:r>
            <w:r>
              <w:rPr>
                <w:i/>
                <w:color w:val="231F20"/>
                <w:spacing w:val="-4"/>
                <w:sz w:val="24"/>
              </w:rPr>
              <w:t>High</w:t>
            </w:r>
            <w:r>
              <w:rPr>
                <w:i/>
                <w:color w:val="231F20"/>
                <w:spacing w:val="-13"/>
                <w:sz w:val="24"/>
              </w:rPr>
              <w:t xml:space="preserve"> </w:t>
            </w:r>
            <w:r>
              <w:rPr>
                <w:i/>
                <w:color w:val="231F20"/>
                <w:spacing w:val="-4"/>
                <w:sz w:val="24"/>
              </w:rPr>
              <w:t>Risk</w:t>
            </w:r>
            <w:r>
              <w:rPr>
                <w:i/>
                <w:color w:val="231F20"/>
                <w:spacing w:val="-12"/>
                <w:sz w:val="24"/>
              </w:rPr>
              <w:t xml:space="preserve"> </w:t>
            </w:r>
            <w:r>
              <w:rPr>
                <w:i/>
                <w:color w:val="231F20"/>
                <w:spacing w:val="-4"/>
                <w:sz w:val="24"/>
              </w:rPr>
              <w:t xml:space="preserve">Driving </w:t>
            </w:r>
            <w:r>
              <w:rPr>
                <w:i/>
                <w:color w:val="231F20"/>
                <w:sz w:val="24"/>
              </w:rPr>
              <w:t>Response Plan</w:t>
            </w:r>
          </w:p>
        </w:tc>
        <w:tc>
          <w:tcPr>
            <w:tcW w:w="6801" w:type="dxa"/>
            <w:tcBorders>
              <w:top w:val="nil"/>
              <w:right w:val="nil"/>
            </w:tcBorders>
          </w:tcPr>
          <w:p w14:paraId="38C98AD7" w14:textId="77777777" w:rsidR="00345EE3" w:rsidRDefault="00345EE3" w:rsidP="00D73130">
            <w:pPr>
              <w:pStyle w:val="TableParagraph"/>
              <w:spacing w:before="63" w:line="242" w:lineRule="auto"/>
              <w:ind w:left="-1" w:right="64"/>
              <w:jc w:val="left"/>
              <w:rPr>
                <w:sz w:val="24"/>
              </w:rPr>
            </w:pPr>
            <w:r>
              <w:rPr>
                <w:color w:val="231F20"/>
                <w:sz w:val="24"/>
              </w:rPr>
              <w:t>A</w:t>
            </w:r>
            <w:r>
              <w:rPr>
                <w:color w:val="231F20"/>
                <w:spacing w:val="-9"/>
                <w:sz w:val="24"/>
              </w:rPr>
              <w:t xml:space="preserve"> </w:t>
            </w:r>
            <w:r>
              <w:rPr>
                <w:color w:val="231F20"/>
                <w:sz w:val="24"/>
              </w:rPr>
              <w:t>key</w:t>
            </w:r>
            <w:r>
              <w:rPr>
                <w:color w:val="231F20"/>
                <w:spacing w:val="-9"/>
                <w:sz w:val="24"/>
              </w:rPr>
              <w:t xml:space="preserve"> </w:t>
            </w:r>
            <w:r>
              <w:rPr>
                <w:color w:val="231F20"/>
                <w:sz w:val="24"/>
              </w:rPr>
              <w:t>component</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10"/>
                <w:sz w:val="24"/>
              </w:rPr>
              <w:t xml:space="preserve"> </w:t>
            </w:r>
            <w:r>
              <w:rPr>
                <w:color w:val="231F20"/>
                <w:sz w:val="24"/>
              </w:rPr>
              <w:t>State-wide</w:t>
            </w:r>
            <w:r>
              <w:rPr>
                <w:color w:val="231F20"/>
                <w:spacing w:val="-10"/>
                <w:sz w:val="24"/>
              </w:rPr>
              <w:t xml:space="preserve"> </w:t>
            </w:r>
            <w:r>
              <w:rPr>
                <w:color w:val="231F20"/>
                <w:sz w:val="24"/>
              </w:rPr>
              <w:t>High</w:t>
            </w:r>
            <w:r>
              <w:rPr>
                <w:color w:val="231F20"/>
                <w:spacing w:val="-10"/>
                <w:sz w:val="24"/>
              </w:rPr>
              <w:t xml:space="preserve"> </w:t>
            </w:r>
            <w:r>
              <w:rPr>
                <w:color w:val="231F20"/>
                <w:sz w:val="24"/>
              </w:rPr>
              <w:t>Risk</w:t>
            </w:r>
            <w:r>
              <w:rPr>
                <w:color w:val="231F20"/>
                <w:spacing w:val="-9"/>
                <w:sz w:val="24"/>
              </w:rPr>
              <w:t xml:space="preserve"> </w:t>
            </w:r>
            <w:r>
              <w:rPr>
                <w:color w:val="231F20"/>
                <w:sz w:val="24"/>
              </w:rPr>
              <w:t>Driving</w:t>
            </w:r>
            <w:r>
              <w:rPr>
                <w:color w:val="231F20"/>
                <w:spacing w:val="-10"/>
                <w:sz w:val="24"/>
              </w:rPr>
              <w:t xml:space="preserve"> </w:t>
            </w:r>
            <w:r>
              <w:rPr>
                <w:color w:val="231F20"/>
                <w:sz w:val="24"/>
              </w:rPr>
              <w:t>Response Plan is Operation Achillies. Operation Achilles is an integrated state-wide response to high-risk driving, focusing primarily on reducing and disrupting high-risk driving behaviour through a consistent and coordinated police response.</w:t>
            </w:r>
          </w:p>
          <w:p w14:paraId="26E02230" w14:textId="77777777" w:rsidR="00345EE3" w:rsidRDefault="00345EE3" w:rsidP="00D73130">
            <w:pPr>
              <w:pStyle w:val="TableParagraph"/>
              <w:spacing w:before="120" w:line="242" w:lineRule="auto"/>
              <w:ind w:left="-1"/>
              <w:jc w:val="left"/>
              <w:rPr>
                <w:sz w:val="24"/>
              </w:rPr>
            </w:pPr>
            <w:r>
              <w:rPr>
                <w:color w:val="231F20"/>
                <w:sz w:val="24"/>
              </w:rPr>
              <w:t>Activities continue to affirm and enhance Operation Achilles, including</w:t>
            </w:r>
            <w:r>
              <w:rPr>
                <w:color w:val="231F20"/>
                <w:spacing w:val="-15"/>
                <w:sz w:val="24"/>
              </w:rPr>
              <w:t xml:space="preserve"> </w:t>
            </w:r>
            <w:r>
              <w:rPr>
                <w:color w:val="231F20"/>
                <w:sz w:val="24"/>
              </w:rPr>
              <w:t>proposed</w:t>
            </w:r>
            <w:r>
              <w:rPr>
                <w:color w:val="231F20"/>
                <w:spacing w:val="-15"/>
                <w:sz w:val="24"/>
              </w:rPr>
              <w:t xml:space="preserve"> </w:t>
            </w:r>
            <w:r>
              <w:rPr>
                <w:color w:val="231F20"/>
                <w:sz w:val="24"/>
              </w:rPr>
              <w:t>legislative</w:t>
            </w:r>
            <w:r>
              <w:rPr>
                <w:color w:val="231F20"/>
                <w:spacing w:val="-15"/>
                <w:sz w:val="24"/>
              </w:rPr>
              <w:t xml:space="preserve"> </w:t>
            </w:r>
            <w:r>
              <w:rPr>
                <w:color w:val="231F20"/>
                <w:sz w:val="24"/>
              </w:rPr>
              <w:t>amendment</w:t>
            </w:r>
            <w:r>
              <w:rPr>
                <w:color w:val="231F20"/>
                <w:spacing w:val="-14"/>
                <w:sz w:val="24"/>
              </w:rPr>
              <w:t xml:space="preserve"> </w:t>
            </w:r>
            <w:r>
              <w:rPr>
                <w:color w:val="231F20"/>
                <w:sz w:val="24"/>
              </w:rPr>
              <w:t>to</w:t>
            </w:r>
            <w:r>
              <w:rPr>
                <w:color w:val="231F20"/>
                <w:spacing w:val="-15"/>
                <w:sz w:val="24"/>
              </w:rPr>
              <w:t xml:space="preserve"> </w:t>
            </w:r>
            <w:r>
              <w:rPr>
                <w:color w:val="231F20"/>
                <w:sz w:val="24"/>
              </w:rPr>
              <w:t>create</w:t>
            </w:r>
            <w:r>
              <w:rPr>
                <w:color w:val="231F20"/>
                <w:spacing w:val="-15"/>
                <w:sz w:val="24"/>
              </w:rPr>
              <w:t xml:space="preserve"> </w:t>
            </w:r>
            <w:r>
              <w:rPr>
                <w:color w:val="231F20"/>
                <w:sz w:val="24"/>
              </w:rPr>
              <w:t>a</w:t>
            </w:r>
            <w:r>
              <w:rPr>
                <w:color w:val="231F20"/>
                <w:spacing w:val="-15"/>
                <w:sz w:val="24"/>
              </w:rPr>
              <w:t xml:space="preserve"> </w:t>
            </w:r>
            <w:r>
              <w:rPr>
                <w:color w:val="231F20"/>
                <w:sz w:val="24"/>
              </w:rPr>
              <w:t xml:space="preserve">‘spectator’ offence, ongoing operations in high demand areas to prevent and disrupt high-risk driving activities and timely community reassurance by using media opportunities to highlight police successes in prevention and disruption of high-risk driving </w:t>
            </w:r>
            <w:r>
              <w:rPr>
                <w:color w:val="231F20"/>
                <w:spacing w:val="-2"/>
                <w:sz w:val="24"/>
              </w:rPr>
              <w:t>activities.</w:t>
            </w:r>
          </w:p>
        </w:tc>
      </w:tr>
      <w:tr w:rsidR="00345EE3" w14:paraId="5BF30F45" w14:textId="77777777" w:rsidTr="00D73130">
        <w:trPr>
          <w:trHeight w:val="80"/>
        </w:trPr>
        <w:tc>
          <w:tcPr>
            <w:tcW w:w="10203" w:type="dxa"/>
            <w:gridSpan w:val="2"/>
            <w:tcBorders>
              <w:left w:val="nil"/>
              <w:bottom w:val="nil"/>
              <w:right w:val="nil"/>
            </w:tcBorders>
            <w:shd w:val="clear" w:color="auto" w:fill="00529F"/>
          </w:tcPr>
          <w:p w14:paraId="4694F7CB" w14:textId="77777777" w:rsidR="00345EE3" w:rsidRDefault="00345EE3" w:rsidP="00D73130">
            <w:pPr>
              <w:pStyle w:val="TableParagraph"/>
              <w:spacing w:before="0"/>
              <w:jc w:val="left"/>
              <w:rPr>
                <w:rFonts w:ascii="Times New Roman"/>
                <w:sz w:val="2"/>
              </w:rPr>
            </w:pPr>
          </w:p>
        </w:tc>
      </w:tr>
      <w:tr w:rsidR="00345EE3" w14:paraId="3AE1D338" w14:textId="77777777" w:rsidTr="00D73130">
        <w:trPr>
          <w:trHeight w:val="401"/>
        </w:trPr>
        <w:tc>
          <w:tcPr>
            <w:tcW w:w="10203" w:type="dxa"/>
            <w:gridSpan w:val="2"/>
            <w:tcBorders>
              <w:top w:val="nil"/>
              <w:left w:val="nil"/>
              <w:bottom w:val="nil"/>
              <w:right w:val="nil"/>
            </w:tcBorders>
            <w:shd w:val="clear" w:color="auto" w:fill="00529F"/>
          </w:tcPr>
          <w:p w14:paraId="169DB2D2" w14:textId="77777777" w:rsidR="00345EE3" w:rsidRDefault="00345EE3" w:rsidP="00D73130">
            <w:pPr>
              <w:pStyle w:val="TableParagraph"/>
              <w:spacing w:before="64"/>
              <w:ind w:left="-1"/>
              <w:jc w:val="left"/>
              <w:rPr>
                <w:b/>
                <w:sz w:val="24"/>
              </w:rPr>
            </w:pPr>
            <w:r>
              <w:rPr>
                <w:b/>
                <w:color w:val="FFFFFF"/>
                <w:sz w:val="24"/>
              </w:rPr>
              <w:t>Service</w:t>
            </w:r>
            <w:r>
              <w:rPr>
                <w:b/>
                <w:color w:val="FFFFFF"/>
                <w:spacing w:val="4"/>
                <w:sz w:val="24"/>
              </w:rPr>
              <w:t xml:space="preserve"> </w:t>
            </w:r>
            <w:r>
              <w:rPr>
                <w:b/>
                <w:color w:val="FFFFFF"/>
                <w:sz w:val="24"/>
              </w:rPr>
              <w:t>Delivery</w:t>
            </w:r>
            <w:r>
              <w:rPr>
                <w:b/>
                <w:color w:val="FFFFFF"/>
                <w:spacing w:val="5"/>
                <w:sz w:val="24"/>
              </w:rPr>
              <w:t xml:space="preserve"> </w:t>
            </w:r>
            <w:r>
              <w:rPr>
                <w:b/>
                <w:color w:val="FFFFFF"/>
                <w:spacing w:val="-2"/>
                <w:sz w:val="24"/>
              </w:rPr>
              <w:t>Excellence</w:t>
            </w:r>
          </w:p>
        </w:tc>
      </w:tr>
      <w:tr w:rsidR="00345EE3" w14:paraId="28D91552" w14:textId="77777777" w:rsidTr="00D73130">
        <w:trPr>
          <w:trHeight w:val="3312"/>
        </w:trPr>
        <w:tc>
          <w:tcPr>
            <w:tcW w:w="3402" w:type="dxa"/>
            <w:tcBorders>
              <w:top w:val="nil"/>
              <w:left w:val="nil"/>
            </w:tcBorders>
          </w:tcPr>
          <w:p w14:paraId="0470D647" w14:textId="77777777" w:rsidR="00345EE3" w:rsidRDefault="00345EE3" w:rsidP="00D73130">
            <w:pPr>
              <w:pStyle w:val="TableParagraph"/>
              <w:spacing w:before="64"/>
              <w:ind w:left="-3"/>
              <w:jc w:val="left"/>
              <w:rPr>
                <w:i/>
                <w:sz w:val="24"/>
              </w:rPr>
            </w:pPr>
            <w:r>
              <w:rPr>
                <w:i/>
                <w:color w:val="231F20"/>
                <w:spacing w:val="-4"/>
                <w:sz w:val="24"/>
              </w:rPr>
              <w:t>Service</w:t>
            </w:r>
            <w:r>
              <w:rPr>
                <w:i/>
                <w:color w:val="231F20"/>
                <w:spacing w:val="-12"/>
                <w:sz w:val="24"/>
              </w:rPr>
              <w:t xml:space="preserve"> </w:t>
            </w:r>
            <w:r>
              <w:rPr>
                <w:i/>
                <w:color w:val="231F20"/>
                <w:spacing w:val="-4"/>
                <w:sz w:val="24"/>
              </w:rPr>
              <w:t>Delivery</w:t>
            </w:r>
            <w:r>
              <w:rPr>
                <w:i/>
                <w:color w:val="231F20"/>
                <w:spacing w:val="-11"/>
                <w:sz w:val="24"/>
              </w:rPr>
              <w:t xml:space="preserve"> </w:t>
            </w:r>
            <w:r>
              <w:rPr>
                <w:i/>
                <w:color w:val="231F20"/>
                <w:spacing w:val="-4"/>
                <w:sz w:val="24"/>
              </w:rPr>
              <w:t>Transformation</w:t>
            </w:r>
          </w:p>
        </w:tc>
        <w:tc>
          <w:tcPr>
            <w:tcW w:w="6801" w:type="dxa"/>
            <w:tcBorders>
              <w:top w:val="nil"/>
              <w:right w:val="nil"/>
            </w:tcBorders>
          </w:tcPr>
          <w:p w14:paraId="77D9077B" w14:textId="77777777" w:rsidR="00345EE3" w:rsidRDefault="00345EE3" w:rsidP="00D73130">
            <w:pPr>
              <w:pStyle w:val="TableParagraph"/>
              <w:spacing w:before="64" w:line="242" w:lineRule="auto"/>
              <w:ind w:left="-1"/>
              <w:jc w:val="left"/>
              <w:rPr>
                <w:sz w:val="24"/>
              </w:rPr>
            </w:pPr>
            <w:r>
              <w:rPr>
                <w:color w:val="231F20"/>
                <w:sz w:val="24"/>
              </w:rPr>
              <w:t>Over the course of 2021–22, Victoria Police has developed recommendations</w:t>
            </w:r>
            <w:r>
              <w:rPr>
                <w:color w:val="231F20"/>
                <w:spacing w:val="-16"/>
                <w:sz w:val="24"/>
              </w:rPr>
              <w:t xml:space="preserve"> </w:t>
            </w:r>
            <w:r>
              <w:rPr>
                <w:color w:val="231F20"/>
                <w:sz w:val="24"/>
              </w:rPr>
              <w:t>in</w:t>
            </w:r>
            <w:r>
              <w:rPr>
                <w:color w:val="231F20"/>
                <w:spacing w:val="-16"/>
                <w:sz w:val="24"/>
              </w:rPr>
              <w:t xml:space="preserve"> </w:t>
            </w:r>
            <w:r>
              <w:rPr>
                <w:color w:val="231F20"/>
                <w:sz w:val="24"/>
              </w:rPr>
              <w:t>relation</w:t>
            </w:r>
            <w:r>
              <w:rPr>
                <w:color w:val="231F20"/>
                <w:spacing w:val="-16"/>
                <w:sz w:val="24"/>
              </w:rPr>
              <w:t xml:space="preserve"> </w:t>
            </w:r>
            <w:r>
              <w:rPr>
                <w:color w:val="231F20"/>
                <w:sz w:val="24"/>
              </w:rPr>
              <w:t>to</w:t>
            </w:r>
            <w:r>
              <w:rPr>
                <w:color w:val="231F20"/>
                <w:spacing w:val="-16"/>
                <w:sz w:val="24"/>
              </w:rPr>
              <w:t xml:space="preserve"> </w:t>
            </w:r>
            <w:r>
              <w:rPr>
                <w:color w:val="231F20"/>
                <w:sz w:val="24"/>
              </w:rPr>
              <w:t>nine</w:t>
            </w:r>
            <w:r>
              <w:rPr>
                <w:color w:val="231F20"/>
                <w:spacing w:val="-16"/>
                <w:sz w:val="24"/>
              </w:rPr>
              <w:t xml:space="preserve"> </w:t>
            </w:r>
            <w:r>
              <w:rPr>
                <w:color w:val="231F20"/>
                <w:sz w:val="24"/>
              </w:rPr>
              <w:t>strategic</w:t>
            </w:r>
            <w:r>
              <w:rPr>
                <w:color w:val="231F20"/>
                <w:spacing w:val="-16"/>
                <w:sz w:val="24"/>
              </w:rPr>
              <w:t xml:space="preserve"> </w:t>
            </w:r>
            <w:r>
              <w:rPr>
                <w:color w:val="231F20"/>
                <w:sz w:val="24"/>
              </w:rPr>
              <w:t>transformation projects that have significant interdependencies with the transformation of the Victoria Police service delivery and operating models. The projects will be managed under one overarching program of work to streamline stakeholder engagement activity.</w:t>
            </w:r>
          </w:p>
          <w:p w14:paraId="5C00E188" w14:textId="77777777" w:rsidR="00345EE3" w:rsidRDefault="00345EE3" w:rsidP="00D73130">
            <w:pPr>
              <w:pStyle w:val="TableParagraph"/>
              <w:spacing w:before="122" w:line="242" w:lineRule="auto"/>
              <w:ind w:left="-1"/>
              <w:jc w:val="left"/>
              <w:rPr>
                <w:sz w:val="24"/>
              </w:rPr>
            </w:pPr>
            <w:r>
              <w:rPr>
                <w:color w:val="231F20"/>
                <w:sz w:val="24"/>
              </w:rPr>
              <w:t>Two of the nine strategic projects – the NHP model and the CultureWorks</w:t>
            </w:r>
            <w:r>
              <w:rPr>
                <w:color w:val="231F20"/>
                <w:spacing w:val="-14"/>
                <w:sz w:val="24"/>
              </w:rPr>
              <w:t xml:space="preserve"> </w:t>
            </w:r>
            <w:r>
              <w:rPr>
                <w:color w:val="231F20"/>
                <w:sz w:val="24"/>
              </w:rPr>
              <w:t>Program</w:t>
            </w:r>
            <w:r>
              <w:rPr>
                <w:color w:val="231F20"/>
                <w:spacing w:val="-14"/>
                <w:sz w:val="24"/>
              </w:rPr>
              <w:t xml:space="preserve"> </w:t>
            </w:r>
            <w:r>
              <w:rPr>
                <w:color w:val="231F20"/>
                <w:sz w:val="24"/>
              </w:rPr>
              <w:t>–</w:t>
            </w:r>
            <w:r>
              <w:rPr>
                <w:color w:val="231F20"/>
                <w:spacing w:val="-15"/>
                <w:sz w:val="24"/>
              </w:rPr>
              <w:t xml:space="preserve"> </w:t>
            </w:r>
            <w:r>
              <w:rPr>
                <w:color w:val="231F20"/>
                <w:sz w:val="24"/>
              </w:rPr>
              <w:t>were</w:t>
            </w:r>
            <w:r>
              <w:rPr>
                <w:color w:val="231F20"/>
                <w:spacing w:val="-15"/>
                <w:sz w:val="24"/>
              </w:rPr>
              <w:t xml:space="preserve"> </w:t>
            </w:r>
            <w:r>
              <w:rPr>
                <w:color w:val="231F20"/>
                <w:sz w:val="24"/>
              </w:rPr>
              <w:t>implemented</w:t>
            </w:r>
            <w:r>
              <w:rPr>
                <w:color w:val="231F20"/>
                <w:spacing w:val="-15"/>
                <w:sz w:val="24"/>
              </w:rPr>
              <w:t xml:space="preserve"> </w:t>
            </w:r>
            <w:r>
              <w:rPr>
                <w:color w:val="231F20"/>
                <w:sz w:val="24"/>
              </w:rPr>
              <w:t>and</w:t>
            </w:r>
            <w:r>
              <w:rPr>
                <w:color w:val="231F20"/>
                <w:spacing w:val="-15"/>
                <w:sz w:val="24"/>
              </w:rPr>
              <w:t xml:space="preserve"> </w:t>
            </w:r>
            <w:r>
              <w:rPr>
                <w:color w:val="231F20"/>
                <w:sz w:val="24"/>
              </w:rPr>
              <w:t>or</w:t>
            </w:r>
            <w:r>
              <w:rPr>
                <w:color w:val="231F20"/>
                <w:spacing w:val="-14"/>
                <w:sz w:val="24"/>
              </w:rPr>
              <w:t xml:space="preserve"> </w:t>
            </w:r>
            <w:r>
              <w:rPr>
                <w:color w:val="231F20"/>
                <w:sz w:val="24"/>
              </w:rPr>
              <w:t>commenced in 2021–22. Ongoing work to acquit the remaining seven strategic projects will continue into 2022–23.</w:t>
            </w:r>
          </w:p>
        </w:tc>
      </w:tr>
      <w:tr w:rsidR="00345EE3" w14:paraId="607EBE4D" w14:textId="77777777" w:rsidTr="00D73130">
        <w:trPr>
          <w:trHeight w:val="2356"/>
        </w:trPr>
        <w:tc>
          <w:tcPr>
            <w:tcW w:w="3402" w:type="dxa"/>
            <w:tcBorders>
              <w:left w:val="nil"/>
            </w:tcBorders>
          </w:tcPr>
          <w:p w14:paraId="2B13A862" w14:textId="77777777" w:rsidR="00345EE3" w:rsidRDefault="00345EE3" w:rsidP="00D73130">
            <w:pPr>
              <w:pStyle w:val="TableParagraph"/>
              <w:spacing w:before="62" w:line="242" w:lineRule="auto"/>
              <w:ind w:left="-3"/>
              <w:jc w:val="left"/>
              <w:rPr>
                <w:i/>
                <w:sz w:val="24"/>
              </w:rPr>
            </w:pPr>
            <w:r>
              <w:rPr>
                <w:i/>
                <w:color w:val="231F20"/>
                <w:sz w:val="24"/>
              </w:rPr>
              <w:t xml:space="preserve">Integrated Leadership </w:t>
            </w:r>
            <w:r>
              <w:rPr>
                <w:i/>
                <w:color w:val="231F20"/>
                <w:spacing w:val="-4"/>
                <w:sz w:val="24"/>
              </w:rPr>
              <w:t>Development</w:t>
            </w:r>
            <w:r>
              <w:rPr>
                <w:i/>
                <w:color w:val="231F20"/>
                <w:spacing w:val="-13"/>
                <w:sz w:val="24"/>
              </w:rPr>
              <w:t xml:space="preserve"> </w:t>
            </w:r>
            <w:r>
              <w:rPr>
                <w:i/>
                <w:color w:val="231F20"/>
                <w:spacing w:val="-4"/>
                <w:sz w:val="24"/>
              </w:rPr>
              <w:t>Framework</w:t>
            </w:r>
            <w:r>
              <w:rPr>
                <w:i/>
                <w:color w:val="231F20"/>
                <w:spacing w:val="-13"/>
                <w:sz w:val="24"/>
              </w:rPr>
              <w:t xml:space="preserve"> </w:t>
            </w:r>
            <w:r>
              <w:rPr>
                <w:i/>
                <w:color w:val="231F20"/>
                <w:spacing w:val="-4"/>
                <w:sz w:val="24"/>
              </w:rPr>
              <w:t>(ILDF)</w:t>
            </w:r>
          </w:p>
        </w:tc>
        <w:tc>
          <w:tcPr>
            <w:tcW w:w="6801" w:type="dxa"/>
            <w:tcBorders>
              <w:right w:val="nil"/>
            </w:tcBorders>
          </w:tcPr>
          <w:p w14:paraId="2C2F76EB" w14:textId="77777777" w:rsidR="00345EE3" w:rsidRDefault="00345EE3" w:rsidP="00D73130">
            <w:pPr>
              <w:pStyle w:val="TableParagraph"/>
              <w:spacing w:before="62" w:line="242" w:lineRule="auto"/>
              <w:ind w:left="-1" w:right="616"/>
              <w:jc w:val="left"/>
              <w:rPr>
                <w:sz w:val="24"/>
              </w:rPr>
            </w:pPr>
            <w:r>
              <w:rPr>
                <w:color w:val="231F20"/>
                <w:sz w:val="24"/>
              </w:rPr>
              <w:t>Victoria Police has developed and is implementing an ILDF</w:t>
            </w:r>
            <w:r>
              <w:rPr>
                <w:color w:val="231F20"/>
                <w:spacing w:val="-13"/>
                <w:sz w:val="24"/>
              </w:rPr>
              <w:t xml:space="preserve"> </w:t>
            </w:r>
            <w:r>
              <w:rPr>
                <w:color w:val="231F20"/>
                <w:sz w:val="24"/>
              </w:rPr>
              <w:t>for</w:t>
            </w:r>
            <w:r>
              <w:rPr>
                <w:color w:val="231F20"/>
                <w:spacing w:val="-13"/>
                <w:sz w:val="24"/>
              </w:rPr>
              <w:t xml:space="preserve"> </w:t>
            </w:r>
            <w:r>
              <w:rPr>
                <w:color w:val="231F20"/>
                <w:sz w:val="24"/>
              </w:rPr>
              <w:t>selection,</w:t>
            </w:r>
            <w:r>
              <w:rPr>
                <w:color w:val="231F20"/>
                <w:spacing w:val="-13"/>
                <w:sz w:val="24"/>
              </w:rPr>
              <w:t xml:space="preserve"> </w:t>
            </w:r>
            <w:r>
              <w:rPr>
                <w:color w:val="231F20"/>
                <w:sz w:val="24"/>
              </w:rPr>
              <w:t>transfer,</w:t>
            </w:r>
            <w:r>
              <w:rPr>
                <w:color w:val="231F20"/>
                <w:spacing w:val="-13"/>
                <w:sz w:val="24"/>
              </w:rPr>
              <w:t xml:space="preserve"> </w:t>
            </w:r>
            <w:r>
              <w:rPr>
                <w:color w:val="231F20"/>
                <w:sz w:val="24"/>
              </w:rPr>
              <w:t>promotion,</w:t>
            </w:r>
            <w:r>
              <w:rPr>
                <w:color w:val="231F20"/>
                <w:spacing w:val="-13"/>
                <w:sz w:val="24"/>
              </w:rPr>
              <w:t xml:space="preserve"> </w:t>
            </w:r>
            <w:r>
              <w:rPr>
                <w:color w:val="231F20"/>
                <w:sz w:val="24"/>
              </w:rPr>
              <w:t>as</w:t>
            </w:r>
            <w:r>
              <w:rPr>
                <w:color w:val="231F20"/>
                <w:spacing w:val="-13"/>
                <w:sz w:val="24"/>
              </w:rPr>
              <w:t xml:space="preserve"> </w:t>
            </w:r>
            <w:r>
              <w:rPr>
                <w:color w:val="231F20"/>
                <w:sz w:val="24"/>
              </w:rPr>
              <w:t>well</w:t>
            </w:r>
            <w:r>
              <w:rPr>
                <w:color w:val="231F20"/>
                <w:spacing w:val="-14"/>
                <w:sz w:val="24"/>
              </w:rPr>
              <w:t xml:space="preserve"> </w:t>
            </w:r>
            <w:r>
              <w:rPr>
                <w:color w:val="231F20"/>
                <w:sz w:val="24"/>
              </w:rPr>
              <w:t>as</w:t>
            </w:r>
            <w:r>
              <w:rPr>
                <w:color w:val="231F20"/>
                <w:spacing w:val="-13"/>
                <w:sz w:val="24"/>
              </w:rPr>
              <w:t xml:space="preserve"> </w:t>
            </w:r>
            <w:r>
              <w:rPr>
                <w:color w:val="231F20"/>
                <w:sz w:val="24"/>
              </w:rPr>
              <w:t>future development processes to support uplift of leadership capability, professionalism and performance. Six Core Leadership</w:t>
            </w:r>
            <w:r>
              <w:rPr>
                <w:color w:val="231F20"/>
                <w:spacing w:val="-10"/>
                <w:sz w:val="24"/>
              </w:rPr>
              <w:t xml:space="preserve"> </w:t>
            </w:r>
            <w:r>
              <w:rPr>
                <w:color w:val="231F20"/>
                <w:sz w:val="24"/>
              </w:rPr>
              <w:t>Characteristics</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10"/>
                <w:sz w:val="24"/>
              </w:rPr>
              <w:t xml:space="preserve"> </w:t>
            </w:r>
            <w:r>
              <w:rPr>
                <w:color w:val="231F20"/>
                <w:sz w:val="24"/>
              </w:rPr>
              <w:t>ILDF</w:t>
            </w:r>
            <w:r>
              <w:rPr>
                <w:color w:val="231F20"/>
                <w:spacing w:val="-9"/>
                <w:sz w:val="24"/>
              </w:rPr>
              <w:t xml:space="preserve"> </w:t>
            </w:r>
            <w:r>
              <w:rPr>
                <w:color w:val="231F20"/>
                <w:sz w:val="24"/>
              </w:rPr>
              <w:t>now</w:t>
            </w:r>
            <w:r>
              <w:rPr>
                <w:color w:val="231F20"/>
                <w:spacing w:val="-10"/>
                <w:sz w:val="24"/>
              </w:rPr>
              <w:t xml:space="preserve"> </w:t>
            </w:r>
            <w:r>
              <w:rPr>
                <w:color w:val="231F20"/>
                <w:sz w:val="24"/>
              </w:rPr>
              <w:t>replace</w:t>
            </w:r>
            <w:r>
              <w:rPr>
                <w:color w:val="231F20"/>
                <w:spacing w:val="-10"/>
                <w:sz w:val="24"/>
              </w:rPr>
              <w:t xml:space="preserve"> </w:t>
            </w:r>
            <w:r>
              <w:rPr>
                <w:color w:val="231F20"/>
                <w:sz w:val="24"/>
              </w:rPr>
              <w:t>the</w:t>
            </w:r>
          </w:p>
          <w:p w14:paraId="33F1DB81" w14:textId="77777777" w:rsidR="00345EE3" w:rsidRDefault="00345EE3" w:rsidP="00D73130">
            <w:pPr>
              <w:pStyle w:val="TableParagraph"/>
              <w:spacing w:before="7" w:line="242" w:lineRule="auto"/>
              <w:ind w:left="-1"/>
              <w:jc w:val="left"/>
              <w:rPr>
                <w:sz w:val="24"/>
              </w:rPr>
            </w:pPr>
            <w:r>
              <w:rPr>
                <w:color w:val="231F20"/>
                <w:sz w:val="24"/>
              </w:rPr>
              <w:t>previous key selection criteria of the HRC capability framework. Implementation</w:t>
            </w:r>
            <w:r>
              <w:rPr>
                <w:color w:val="231F20"/>
                <w:spacing w:val="-13"/>
                <w:sz w:val="24"/>
              </w:rPr>
              <w:t xml:space="preserve"> </w:t>
            </w:r>
            <w:r>
              <w:rPr>
                <w:color w:val="231F20"/>
                <w:sz w:val="24"/>
              </w:rPr>
              <w:t>of</w:t>
            </w:r>
            <w:r>
              <w:rPr>
                <w:color w:val="231F20"/>
                <w:spacing w:val="-12"/>
                <w:sz w:val="24"/>
              </w:rPr>
              <w:t xml:space="preserve"> </w:t>
            </w:r>
            <w:r>
              <w:rPr>
                <w:color w:val="231F20"/>
                <w:sz w:val="24"/>
              </w:rPr>
              <w:t>the</w:t>
            </w:r>
            <w:r>
              <w:rPr>
                <w:color w:val="231F20"/>
                <w:spacing w:val="-13"/>
                <w:sz w:val="24"/>
              </w:rPr>
              <w:t xml:space="preserve"> </w:t>
            </w:r>
            <w:r>
              <w:rPr>
                <w:color w:val="231F20"/>
                <w:sz w:val="24"/>
              </w:rPr>
              <w:t>whole</w:t>
            </w:r>
            <w:r>
              <w:rPr>
                <w:color w:val="231F20"/>
                <w:spacing w:val="-13"/>
                <w:sz w:val="24"/>
              </w:rPr>
              <w:t xml:space="preserve"> </w:t>
            </w:r>
            <w:r>
              <w:rPr>
                <w:color w:val="231F20"/>
                <w:sz w:val="24"/>
              </w:rPr>
              <w:t>Framework</w:t>
            </w:r>
            <w:r>
              <w:rPr>
                <w:color w:val="231F20"/>
                <w:spacing w:val="-12"/>
                <w:sz w:val="24"/>
              </w:rPr>
              <w:t xml:space="preserve"> </w:t>
            </w:r>
            <w:r>
              <w:rPr>
                <w:color w:val="231F20"/>
                <w:sz w:val="24"/>
              </w:rPr>
              <w:t>will</w:t>
            </w:r>
            <w:r>
              <w:rPr>
                <w:color w:val="231F20"/>
                <w:spacing w:val="-13"/>
                <w:sz w:val="24"/>
              </w:rPr>
              <w:t xml:space="preserve"> </w:t>
            </w:r>
            <w:r>
              <w:rPr>
                <w:color w:val="231F20"/>
                <w:sz w:val="24"/>
              </w:rPr>
              <w:t>continue</w:t>
            </w:r>
            <w:r>
              <w:rPr>
                <w:color w:val="231F20"/>
                <w:spacing w:val="-13"/>
                <w:sz w:val="24"/>
              </w:rPr>
              <w:t xml:space="preserve"> </w:t>
            </w:r>
            <w:r>
              <w:rPr>
                <w:color w:val="231F20"/>
                <w:sz w:val="24"/>
              </w:rPr>
              <w:t>into</w:t>
            </w:r>
            <w:r>
              <w:rPr>
                <w:color w:val="231F20"/>
                <w:spacing w:val="-13"/>
                <w:sz w:val="24"/>
              </w:rPr>
              <w:t xml:space="preserve"> </w:t>
            </w:r>
            <w:r>
              <w:rPr>
                <w:color w:val="231F20"/>
                <w:sz w:val="24"/>
              </w:rPr>
              <w:t xml:space="preserve">2022– </w:t>
            </w:r>
            <w:r>
              <w:rPr>
                <w:color w:val="231F20"/>
                <w:spacing w:val="-4"/>
                <w:sz w:val="24"/>
              </w:rPr>
              <w:t>23.</w:t>
            </w:r>
          </w:p>
        </w:tc>
      </w:tr>
      <w:tr w:rsidR="00345EE3" w14:paraId="0BAA357A" w14:textId="77777777" w:rsidTr="00D73130">
        <w:trPr>
          <w:trHeight w:val="2469"/>
        </w:trPr>
        <w:tc>
          <w:tcPr>
            <w:tcW w:w="3402" w:type="dxa"/>
            <w:tcBorders>
              <w:left w:val="nil"/>
            </w:tcBorders>
          </w:tcPr>
          <w:p w14:paraId="79577306" w14:textId="77777777" w:rsidR="00345EE3" w:rsidRDefault="00345EE3" w:rsidP="00D73130">
            <w:pPr>
              <w:pStyle w:val="TableParagraph"/>
              <w:spacing w:before="62" w:line="242" w:lineRule="auto"/>
              <w:ind w:left="-3"/>
              <w:jc w:val="left"/>
              <w:rPr>
                <w:i/>
                <w:sz w:val="24"/>
              </w:rPr>
            </w:pPr>
            <w:r>
              <w:rPr>
                <w:i/>
                <w:color w:val="231F20"/>
                <w:spacing w:val="-4"/>
                <w:sz w:val="24"/>
              </w:rPr>
              <w:t>Gender</w:t>
            </w:r>
            <w:r>
              <w:rPr>
                <w:i/>
                <w:color w:val="231F20"/>
                <w:spacing w:val="-13"/>
                <w:sz w:val="24"/>
              </w:rPr>
              <w:t xml:space="preserve"> </w:t>
            </w:r>
            <w:r>
              <w:rPr>
                <w:i/>
                <w:color w:val="231F20"/>
                <w:spacing w:val="-4"/>
                <w:sz w:val="24"/>
              </w:rPr>
              <w:t>Equality</w:t>
            </w:r>
            <w:r>
              <w:rPr>
                <w:i/>
                <w:color w:val="231F20"/>
                <w:spacing w:val="-18"/>
                <w:sz w:val="24"/>
              </w:rPr>
              <w:t xml:space="preserve"> </w:t>
            </w:r>
            <w:r>
              <w:rPr>
                <w:i/>
                <w:color w:val="231F20"/>
                <w:spacing w:val="-4"/>
                <w:sz w:val="24"/>
              </w:rPr>
              <w:t>Action</w:t>
            </w:r>
            <w:r>
              <w:rPr>
                <w:i/>
                <w:color w:val="231F20"/>
                <w:spacing w:val="-13"/>
                <w:sz w:val="24"/>
              </w:rPr>
              <w:t xml:space="preserve"> </w:t>
            </w:r>
            <w:r>
              <w:rPr>
                <w:i/>
                <w:color w:val="231F20"/>
                <w:spacing w:val="-4"/>
                <w:sz w:val="24"/>
              </w:rPr>
              <w:t xml:space="preserve">Plan </w:t>
            </w:r>
            <w:r>
              <w:rPr>
                <w:i/>
                <w:color w:val="231F20"/>
                <w:spacing w:val="-2"/>
                <w:sz w:val="24"/>
              </w:rPr>
              <w:t>2021–2024</w:t>
            </w:r>
          </w:p>
        </w:tc>
        <w:tc>
          <w:tcPr>
            <w:tcW w:w="6801" w:type="dxa"/>
            <w:tcBorders>
              <w:right w:val="nil"/>
            </w:tcBorders>
          </w:tcPr>
          <w:p w14:paraId="2AE4B254" w14:textId="77777777" w:rsidR="00345EE3" w:rsidRDefault="00345EE3" w:rsidP="00D73130">
            <w:pPr>
              <w:pStyle w:val="TableParagraph"/>
              <w:spacing w:before="62" w:line="242" w:lineRule="auto"/>
              <w:ind w:left="-1"/>
              <w:jc w:val="left"/>
              <w:rPr>
                <w:sz w:val="24"/>
              </w:rPr>
            </w:pPr>
            <w:r>
              <w:rPr>
                <w:color w:val="231F20"/>
                <w:spacing w:val="-2"/>
                <w:sz w:val="24"/>
              </w:rPr>
              <w:t>The</w:t>
            </w:r>
            <w:r>
              <w:rPr>
                <w:color w:val="231F20"/>
                <w:spacing w:val="-15"/>
                <w:sz w:val="24"/>
              </w:rPr>
              <w:t xml:space="preserve"> </w:t>
            </w:r>
            <w:r>
              <w:rPr>
                <w:color w:val="231F20"/>
                <w:spacing w:val="-2"/>
                <w:sz w:val="24"/>
              </w:rPr>
              <w:t>Victoria</w:t>
            </w:r>
            <w:r>
              <w:rPr>
                <w:color w:val="231F20"/>
                <w:spacing w:val="-15"/>
                <w:sz w:val="24"/>
              </w:rPr>
              <w:t xml:space="preserve"> </w:t>
            </w:r>
            <w:r>
              <w:rPr>
                <w:color w:val="231F20"/>
                <w:spacing w:val="-2"/>
                <w:sz w:val="24"/>
              </w:rPr>
              <w:t>Police</w:t>
            </w:r>
            <w:r>
              <w:rPr>
                <w:color w:val="231F20"/>
                <w:spacing w:val="-14"/>
                <w:sz w:val="24"/>
              </w:rPr>
              <w:t xml:space="preserve"> </w:t>
            </w:r>
            <w:r>
              <w:rPr>
                <w:i/>
                <w:color w:val="231F20"/>
                <w:spacing w:val="-2"/>
                <w:sz w:val="24"/>
              </w:rPr>
              <w:t>Gender</w:t>
            </w:r>
            <w:r>
              <w:rPr>
                <w:i/>
                <w:color w:val="231F20"/>
                <w:spacing w:val="-15"/>
                <w:sz w:val="24"/>
              </w:rPr>
              <w:t xml:space="preserve"> </w:t>
            </w:r>
            <w:r>
              <w:rPr>
                <w:i/>
                <w:color w:val="231F20"/>
                <w:spacing w:val="-2"/>
                <w:sz w:val="24"/>
              </w:rPr>
              <w:t>Equality</w:t>
            </w:r>
            <w:r>
              <w:rPr>
                <w:i/>
                <w:color w:val="231F20"/>
                <w:spacing w:val="-15"/>
                <w:sz w:val="24"/>
              </w:rPr>
              <w:t xml:space="preserve"> </w:t>
            </w:r>
            <w:r>
              <w:rPr>
                <w:i/>
                <w:color w:val="231F20"/>
                <w:spacing w:val="-2"/>
                <w:sz w:val="24"/>
              </w:rPr>
              <w:t>Action</w:t>
            </w:r>
            <w:r>
              <w:rPr>
                <w:i/>
                <w:color w:val="231F20"/>
                <w:spacing w:val="-15"/>
                <w:sz w:val="24"/>
              </w:rPr>
              <w:t xml:space="preserve"> </w:t>
            </w:r>
            <w:r>
              <w:rPr>
                <w:i/>
                <w:color w:val="231F20"/>
                <w:spacing w:val="-2"/>
                <w:sz w:val="24"/>
              </w:rPr>
              <w:t>Plan</w:t>
            </w:r>
            <w:r>
              <w:rPr>
                <w:i/>
                <w:color w:val="231F20"/>
                <w:spacing w:val="-14"/>
                <w:sz w:val="24"/>
              </w:rPr>
              <w:t xml:space="preserve"> </w:t>
            </w:r>
            <w:r>
              <w:rPr>
                <w:i/>
                <w:color w:val="231F20"/>
                <w:spacing w:val="-2"/>
                <w:sz w:val="24"/>
              </w:rPr>
              <w:t>2021–24</w:t>
            </w:r>
            <w:r>
              <w:rPr>
                <w:i/>
                <w:color w:val="231F20"/>
                <w:spacing w:val="-15"/>
                <w:sz w:val="24"/>
              </w:rPr>
              <w:t xml:space="preserve"> </w:t>
            </w:r>
            <w:r>
              <w:rPr>
                <w:color w:val="231F20"/>
                <w:spacing w:val="-2"/>
                <w:sz w:val="24"/>
              </w:rPr>
              <w:t xml:space="preserve">was </w:t>
            </w:r>
            <w:r>
              <w:rPr>
                <w:color w:val="231F20"/>
                <w:sz w:val="24"/>
              </w:rPr>
              <w:t>developed and approved by the Commissioner for Gender Equality in the Public Sector.</w:t>
            </w:r>
          </w:p>
          <w:p w14:paraId="229A11D1" w14:textId="77777777" w:rsidR="00345EE3" w:rsidRDefault="00345EE3" w:rsidP="00D73130">
            <w:pPr>
              <w:pStyle w:val="TableParagraph"/>
              <w:spacing w:before="118" w:line="242" w:lineRule="auto"/>
              <w:ind w:left="-1"/>
              <w:jc w:val="left"/>
              <w:rPr>
                <w:sz w:val="24"/>
              </w:rPr>
            </w:pPr>
            <w:r>
              <w:rPr>
                <w:color w:val="231F20"/>
                <w:sz w:val="24"/>
              </w:rPr>
              <w:t xml:space="preserve">Victoria Police undertook a place-based pilot of the </w:t>
            </w:r>
            <w:r>
              <w:rPr>
                <w:i/>
                <w:color w:val="231F20"/>
                <w:sz w:val="24"/>
              </w:rPr>
              <w:t>Gender Equality</w:t>
            </w:r>
            <w:r>
              <w:rPr>
                <w:i/>
                <w:color w:val="231F20"/>
                <w:spacing w:val="-17"/>
                <w:sz w:val="24"/>
              </w:rPr>
              <w:t xml:space="preserve"> </w:t>
            </w:r>
            <w:r>
              <w:rPr>
                <w:i/>
                <w:color w:val="231F20"/>
                <w:sz w:val="24"/>
              </w:rPr>
              <w:t>Action</w:t>
            </w:r>
            <w:r>
              <w:rPr>
                <w:i/>
                <w:color w:val="231F20"/>
                <w:spacing w:val="-17"/>
                <w:sz w:val="24"/>
              </w:rPr>
              <w:t xml:space="preserve"> </w:t>
            </w:r>
            <w:r>
              <w:rPr>
                <w:i/>
                <w:color w:val="231F20"/>
                <w:sz w:val="24"/>
              </w:rPr>
              <w:t>Plan</w:t>
            </w:r>
            <w:r>
              <w:rPr>
                <w:i/>
                <w:color w:val="231F20"/>
                <w:spacing w:val="-16"/>
                <w:sz w:val="24"/>
              </w:rPr>
              <w:t xml:space="preserve"> </w:t>
            </w:r>
            <w:r>
              <w:rPr>
                <w:i/>
                <w:color w:val="231F20"/>
                <w:sz w:val="24"/>
              </w:rPr>
              <w:t>2021–24</w:t>
            </w:r>
            <w:r>
              <w:rPr>
                <w:i/>
                <w:color w:val="231F20"/>
                <w:spacing w:val="-17"/>
                <w:sz w:val="24"/>
              </w:rPr>
              <w:t xml:space="preserve"> </w:t>
            </w:r>
            <w:r>
              <w:rPr>
                <w:color w:val="231F20"/>
                <w:sz w:val="24"/>
              </w:rPr>
              <w:t>at</w:t>
            </w:r>
            <w:r>
              <w:rPr>
                <w:color w:val="231F20"/>
                <w:spacing w:val="-16"/>
                <w:sz w:val="24"/>
              </w:rPr>
              <w:t xml:space="preserve"> </w:t>
            </w:r>
            <w:r>
              <w:rPr>
                <w:color w:val="231F20"/>
                <w:sz w:val="24"/>
              </w:rPr>
              <w:t>Mill</w:t>
            </w:r>
            <w:r>
              <w:rPr>
                <w:color w:val="231F20"/>
                <w:spacing w:val="-12"/>
                <w:sz w:val="24"/>
              </w:rPr>
              <w:t xml:space="preserve"> </w:t>
            </w:r>
            <w:r>
              <w:rPr>
                <w:color w:val="231F20"/>
                <w:sz w:val="24"/>
              </w:rPr>
              <w:t>Park</w:t>
            </w:r>
            <w:r>
              <w:rPr>
                <w:color w:val="231F20"/>
                <w:spacing w:val="-12"/>
                <w:sz w:val="24"/>
              </w:rPr>
              <w:t xml:space="preserve"> </w:t>
            </w:r>
            <w:r>
              <w:rPr>
                <w:color w:val="231F20"/>
                <w:sz w:val="24"/>
              </w:rPr>
              <w:t>and</w:t>
            </w:r>
            <w:r>
              <w:rPr>
                <w:color w:val="231F20"/>
                <w:spacing w:val="-12"/>
                <w:sz w:val="24"/>
              </w:rPr>
              <w:t xml:space="preserve"> </w:t>
            </w:r>
            <w:r>
              <w:rPr>
                <w:color w:val="231F20"/>
                <w:sz w:val="24"/>
              </w:rPr>
              <w:t>Forrest</w:t>
            </w:r>
            <w:r>
              <w:rPr>
                <w:color w:val="231F20"/>
                <w:spacing w:val="-12"/>
                <w:sz w:val="24"/>
              </w:rPr>
              <w:t xml:space="preserve"> </w:t>
            </w:r>
            <w:r>
              <w:rPr>
                <w:color w:val="231F20"/>
                <w:sz w:val="24"/>
              </w:rPr>
              <w:t>Hill</w:t>
            </w:r>
            <w:r>
              <w:rPr>
                <w:color w:val="231F20"/>
                <w:spacing w:val="-12"/>
                <w:sz w:val="24"/>
              </w:rPr>
              <w:t xml:space="preserve"> </w:t>
            </w:r>
            <w:r>
              <w:rPr>
                <w:color w:val="231F20"/>
                <w:sz w:val="24"/>
              </w:rPr>
              <w:t>police stations,</w:t>
            </w:r>
            <w:r>
              <w:rPr>
                <w:color w:val="231F20"/>
                <w:spacing w:val="-8"/>
                <w:sz w:val="24"/>
              </w:rPr>
              <w:t xml:space="preserve"> </w:t>
            </w:r>
            <w:r>
              <w:rPr>
                <w:color w:val="231F20"/>
                <w:sz w:val="24"/>
              </w:rPr>
              <w:t>which</w:t>
            </w:r>
            <w:r>
              <w:rPr>
                <w:color w:val="231F20"/>
                <w:spacing w:val="-9"/>
                <w:sz w:val="24"/>
              </w:rPr>
              <w:t xml:space="preserve"> </w:t>
            </w:r>
            <w:r>
              <w:rPr>
                <w:color w:val="231F20"/>
                <w:sz w:val="24"/>
              </w:rPr>
              <w:t>was</w:t>
            </w:r>
            <w:r>
              <w:rPr>
                <w:color w:val="231F20"/>
                <w:spacing w:val="-8"/>
                <w:sz w:val="24"/>
              </w:rPr>
              <w:t xml:space="preserve"> </w:t>
            </w:r>
            <w:r>
              <w:rPr>
                <w:color w:val="231F20"/>
                <w:sz w:val="24"/>
              </w:rPr>
              <w:t>completed</w:t>
            </w:r>
            <w:r>
              <w:rPr>
                <w:color w:val="231F20"/>
                <w:spacing w:val="-9"/>
                <w:sz w:val="24"/>
              </w:rPr>
              <w:t xml:space="preserve"> </w:t>
            </w:r>
            <w:r>
              <w:rPr>
                <w:color w:val="231F20"/>
                <w:sz w:val="24"/>
              </w:rPr>
              <w:t>on</w:t>
            </w:r>
            <w:r>
              <w:rPr>
                <w:color w:val="231F20"/>
                <w:spacing w:val="-9"/>
                <w:sz w:val="24"/>
              </w:rPr>
              <w:t xml:space="preserve"> </w:t>
            </w:r>
            <w:r>
              <w:rPr>
                <w:color w:val="231F20"/>
                <w:sz w:val="24"/>
              </w:rPr>
              <w:t>30</w:t>
            </w:r>
            <w:r>
              <w:rPr>
                <w:color w:val="231F20"/>
                <w:spacing w:val="-9"/>
                <w:sz w:val="24"/>
              </w:rPr>
              <w:t xml:space="preserve"> </w:t>
            </w:r>
            <w:r>
              <w:rPr>
                <w:color w:val="231F20"/>
                <w:sz w:val="24"/>
              </w:rPr>
              <w:t>June</w:t>
            </w:r>
            <w:r>
              <w:rPr>
                <w:color w:val="231F20"/>
                <w:spacing w:val="-9"/>
                <w:sz w:val="24"/>
              </w:rPr>
              <w:t xml:space="preserve"> </w:t>
            </w:r>
            <w:r>
              <w:rPr>
                <w:color w:val="231F20"/>
                <w:sz w:val="24"/>
              </w:rPr>
              <w:t>2022.</w:t>
            </w:r>
            <w:r>
              <w:rPr>
                <w:color w:val="231F20"/>
                <w:spacing w:val="-8"/>
                <w:sz w:val="24"/>
              </w:rPr>
              <w:t xml:space="preserve"> </w:t>
            </w:r>
            <w:r>
              <w:rPr>
                <w:color w:val="231F20"/>
                <w:sz w:val="24"/>
              </w:rPr>
              <w:t>Ongoing</w:t>
            </w:r>
            <w:r>
              <w:rPr>
                <w:color w:val="231F20"/>
                <w:spacing w:val="-9"/>
                <w:sz w:val="24"/>
              </w:rPr>
              <w:t xml:space="preserve"> </w:t>
            </w:r>
            <w:r>
              <w:rPr>
                <w:color w:val="231F20"/>
                <w:sz w:val="24"/>
              </w:rPr>
              <w:t>work to</w:t>
            </w:r>
            <w:r>
              <w:rPr>
                <w:color w:val="231F20"/>
                <w:spacing w:val="-7"/>
                <w:sz w:val="24"/>
              </w:rPr>
              <w:t xml:space="preserve"> </w:t>
            </w:r>
            <w:r>
              <w:rPr>
                <w:color w:val="231F20"/>
                <w:sz w:val="24"/>
              </w:rPr>
              <w:t>further</w:t>
            </w:r>
            <w:r>
              <w:rPr>
                <w:color w:val="231F20"/>
                <w:spacing w:val="-6"/>
                <w:sz w:val="24"/>
              </w:rPr>
              <w:t xml:space="preserve"> </w:t>
            </w:r>
            <w:r>
              <w:rPr>
                <w:color w:val="231F20"/>
                <w:sz w:val="24"/>
              </w:rPr>
              <w:t>embed</w:t>
            </w:r>
            <w:r>
              <w:rPr>
                <w:color w:val="231F20"/>
                <w:spacing w:val="-7"/>
                <w:sz w:val="24"/>
              </w:rPr>
              <w:t xml:space="preserve"> </w:t>
            </w:r>
            <w:r>
              <w:rPr>
                <w:color w:val="231F20"/>
                <w:sz w:val="24"/>
              </w:rPr>
              <w:t>gender</w:t>
            </w:r>
            <w:r>
              <w:rPr>
                <w:color w:val="231F20"/>
                <w:spacing w:val="-6"/>
                <w:sz w:val="24"/>
              </w:rPr>
              <w:t xml:space="preserve"> </w:t>
            </w:r>
            <w:r>
              <w:rPr>
                <w:color w:val="231F20"/>
                <w:sz w:val="24"/>
              </w:rPr>
              <w:t>equality</w:t>
            </w:r>
            <w:r>
              <w:rPr>
                <w:color w:val="231F20"/>
                <w:spacing w:val="-6"/>
                <w:sz w:val="24"/>
              </w:rPr>
              <w:t xml:space="preserve"> </w:t>
            </w:r>
            <w:r>
              <w:rPr>
                <w:color w:val="231F20"/>
                <w:sz w:val="24"/>
              </w:rPr>
              <w:t>in</w:t>
            </w:r>
            <w:r>
              <w:rPr>
                <w:color w:val="231F20"/>
                <w:spacing w:val="-7"/>
                <w:sz w:val="24"/>
              </w:rPr>
              <w:t xml:space="preserve"> </w:t>
            </w:r>
            <w:r>
              <w:rPr>
                <w:color w:val="231F20"/>
                <w:sz w:val="24"/>
              </w:rPr>
              <w:t>our</w:t>
            </w:r>
            <w:r>
              <w:rPr>
                <w:color w:val="231F20"/>
                <w:spacing w:val="-6"/>
                <w:sz w:val="24"/>
              </w:rPr>
              <w:t xml:space="preserve"> </w:t>
            </w:r>
            <w:r>
              <w:rPr>
                <w:color w:val="231F20"/>
                <w:sz w:val="24"/>
              </w:rPr>
              <w:t>culture</w:t>
            </w:r>
            <w:r>
              <w:rPr>
                <w:color w:val="231F20"/>
                <w:spacing w:val="-7"/>
                <w:sz w:val="24"/>
              </w:rPr>
              <w:t xml:space="preserve"> </w:t>
            </w:r>
            <w:r>
              <w:rPr>
                <w:color w:val="231F20"/>
                <w:sz w:val="24"/>
              </w:rPr>
              <w:t>and</w:t>
            </w:r>
            <w:r>
              <w:rPr>
                <w:color w:val="231F20"/>
                <w:spacing w:val="-7"/>
                <w:sz w:val="24"/>
              </w:rPr>
              <w:t xml:space="preserve"> </w:t>
            </w:r>
            <w:r>
              <w:rPr>
                <w:color w:val="231F20"/>
                <w:sz w:val="24"/>
              </w:rPr>
              <w:t>practice</w:t>
            </w:r>
            <w:r>
              <w:rPr>
                <w:color w:val="231F20"/>
                <w:spacing w:val="-7"/>
                <w:sz w:val="24"/>
              </w:rPr>
              <w:t xml:space="preserve"> </w:t>
            </w:r>
            <w:r>
              <w:rPr>
                <w:color w:val="231F20"/>
                <w:sz w:val="24"/>
              </w:rPr>
              <w:t>will progress into 2022–23.</w:t>
            </w:r>
          </w:p>
        </w:tc>
      </w:tr>
      <w:tr w:rsidR="00345EE3" w14:paraId="6DFE87EC" w14:textId="77777777" w:rsidTr="00D73130">
        <w:trPr>
          <w:trHeight w:val="1236"/>
        </w:trPr>
        <w:tc>
          <w:tcPr>
            <w:tcW w:w="3402" w:type="dxa"/>
            <w:tcBorders>
              <w:left w:val="nil"/>
            </w:tcBorders>
          </w:tcPr>
          <w:p w14:paraId="1BD245CA" w14:textId="77777777" w:rsidR="00345EE3" w:rsidRDefault="00345EE3" w:rsidP="00D73130">
            <w:pPr>
              <w:pStyle w:val="TableParagraph"/>
              <w:spacing w:before="63" w:line="242" w:lineRule="auto"/>
              <w:ind w:left="-3" w:right="646"/>
              <w:jc w:val="left"/>
              <w:rPr>
                <w:i/>
                <w:sz w:val="24"/>
              </w:rPr>
            </w:pPr>
            <w:r>
              <w:rPr>
                <w:i/>
                <w:color w:val="231F20"/>
                <w:sz w:val="24"/>
              </w:rPr>
              <w:t xml:space="preserve">Royal Commission into </w:t>
            </w:r>
            <w:r>
              <w:rPr>
                <w:i/>
                <w:color w:val="231F20"/>
                <w:spacing w:val="-4"/>
                <w:sz w:val="24"/>
              </w:rPr>
              <w:t>the</w:t>
            </w:r>
            <w:r>
              <w:rPr>
                <w:i/>
                <w:color w:val="231F20"/>
                <w:spacing w:val="-15"/>
                <w:sz w:val="24"/>
              </w:rPr>
              <w:t xml:space="preserve"> </w:t>
            </w:r>
            <w:r>
              <w:rPr>
                <w:i/>
                <w:color w:val="231F20"/>
                <w:spacing w:val="-4"/>
                <w:sz w:val="24"/>
              </w:rPr>
              <w:t>Management</w:t>
            </w:r>
            <w:r>
              <w:rPr>
                <w:i/>
                <w:color w:val="231F20"/>
                <w:spacing w:val="-13"/>
                <w:sz w:val="24"/>
              </w:rPr>
              <w:t xml:space="preserve"> </w:t>
            </w:r>
            <w:r>
              <w:rPr>
                <w:i/>
                <w:color w:val="231F20"/>
                <w:spacing w:val="-4"/>
                <w:sz w:val="24"/>
              </w:rPr>
              <w:t>of</w:t>
            </w:r>
            <w:r>
              <w:rPr>
                <w:i/>
                <w:color w:val="231F20"/>
                <w:spacing w:val="-12"/>
                <w:sz w:val="24"/>
              </w:rPr>
              <w:t xml:space="preserve"> </w:t>
            </w:r>
            <w:r>
              <w:rPr>
                <w:i/>
                <w:color w:val="231F20"/>
                <w:spacing w:val="-4"/>
                <w:sz w:val="24"/>
              </w:rPr>
              <w:t xml:space="preserve">Police </w:t>
            </w:r>
            <w:r>
              <w:rPr>
                <w:i/>
                <w:color w:val="231F20"/>
                <w:sz w:val="24"/>
              </w:rPr>
              <w:t xml:space="preserve">Informants (RCMPI) </w:t>
            </w:r>
            <w:r>
              <w:rPr>
                <w:i/>
                <w:color w:val="231F20"/>
                <w:spacing w:val="-2"/>
                <w:sz w:val="24"/>
              </w:rPr>
              <w:t>Implementation</w:t>
            </w:r>
          </w:p>
        </w:tc>
        <w:tc>
          <w:tcPr>
            <w:tcW w:w="6801" w:type="dxa"/>
            <w:tcBorders>
              <w:right w:val="nil"/>
            </w:tcBorders>
          </w:tcPr>
          <w:p w14:paraId="6CCC2042" w14:textId="77777777" w:rsidR="00345EE3" w:rsidRDefault="00345EE3" w:rsidP="00D73130">
            <w:pPr>
              <w:pStyle w:val="TableParagraph"/>
              <w:spacing w:before="63" w:line="242" w:lineRule="auto"/>
              <w:ind w:left="-1"/>
              <w:jc w:val="left"/>
              <w:rPr>
                <w:sz w:val="24"/>
              </w:rPr>
            </w:pPr>
            <w:r>
              <w:rPr>
                <w:color w:val="231F20"/>
                <w:sz w:val="24"/>
              </w:rPr>
              <w:t>Victoria</w:t>
            </w:r>
            <w:r>
              <w:rPr>
                <w:color w:val="231F20"/>
                <w:spacing w:val="-13"/>
                <w:sz w:val="24"/>
              </w:rPr>
              <w:t xml:space="preserve"> </w:t>
            </w:r>
            <w:r>
              <w:rPr>
                <w:color w:val="231F20"/>
                <w:sz w:val="24"/>
              </w:rPr>
              <w:t>Police</w:t>
            </w:r>
            <w:r>
              <w:rPr>
                <w:color w:val="231F20"/>
                <w:spacing w:val="-13"/>
                <w:sz w:val="24"/>
              </w:rPr>
              <w:t xml:space="preserve"> </w:t>
            </w:r>
            <w:r>
              <w:rPr>
                <w:color w:val="231F20"/>
                <w:sz w:val="24"/>
              </w:rPr>
              <w:t>continues</w:t>
            </w:r>
            <w:r>
              <w:rPr>
                <w:color w:val="231F20"/>
                <w:spacing w:val="-13"/>
                <w:sz w:val="24"/>
              </w:rPr>
              <w:t xml:space="preserve"> </w:t>
            </w:r>
            <w:r>
              <w:rPr>
                <w:color w:val="231F20"/>
                <w:sz w:val="24"/>
              </w:rPr>
              <w:t>to</w:t>
            </w:r>
            <w:r>
              <w:rPr>
                <w:color w:val="231F20"/>
                <w:spacing w:val="-13"/>
                <w:sz w:val="24"/>
              </w:rPr>
              <w:t xml:space="preserve"> </w:t>
            </w:r>
            <w:r>
              <w:rPr>
                <w:color w:val="231F20"/>
                <w:sz w:val="24"/>
              </w:rPr>
              <w:t>progress</w:t>
            </w:r>
            <w:r>
              <w:rPr>
                <w:color w:val="231F20"/>
                <w:spacing w:val="-13"/>
                <w:sz w:val="24"/>
              </w:rPr>
              <w:t xml:space="preserve"> </w:t>
            </w:r>
            <w:r>
              <w:rPr>
                <w:color w:val="231F20"/>
                <w:sz w:val="24"/>
              </w:rPr>
              <w:t>the</w:t>
            </w:r>
            <w:r>
              <w:rPr>
                <w:color w:val="231F20"/>
                <w:spacing w:val="-13"/>
                <w:sz w:val="24"/>
              </w:rPr>
              <w:t xml:space="preserve"> </w:t>
            </w:r>
            <w:r>
              <w:rPr>
                <w:color w:val="231F20"/>
                <w:sz w:val="24"/>
              </w:rPr>
              <w:t>remaining recommendations from the RCMPI in 2022–23.</w:t>
            </w:r>
          </w:p>
        </w:tc>
      </w:tr>
    </w:tbl>
    <w:p w14:paraId="58B163FE" w14:textId="77777777" w:rsidR="00345EE3" w:rsidRDefault="00345EE3" w:rsidP="00345EE3">
      <w:pPr>
        <w:spacing w:line="242" w:lineRule="auto"/>
        <w:rPr>
          <w:sz w:val="24"/>
        </w:rPr>
        <w:sectPr w:rsidR="00345EE3">
          <w:type w:val="continuous"/>
          <w:pgSz w:w="11910" w:h="16840"/>
          <w:pgMar w:top="820" w:right="0" w:bottom="1947" w:left="740" w:header="720" w:footer="720" w:gutter="0"/>
          <w:cols w:space="720"/>
        </w:sect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402"/>
        <w:gridCol w:w="6801"/>
      </w:tblGrid>
      <w:tr w:rsidR="00345EE3" w14:paraId="0084B467" w14:textId="77777777" w:rsidTr="00D73130">
        <w:trPr>
          <w:trHeight w:val="401"/>
        </w:trPr>
        <w:tc>
          <w:tcPr>
            <w:tcW w:w="10203" w:type="dxa"/>
            <w:gridSpan w:val="2"/>
            <w:tcBorders>
              <w:top w:val="nil"/>
              <w:left w:val="nil"/>
              <w:bottom w:val="nil"/>
              <w:right w:val="nil"/>
            </w:tcBorders>
            <w:shd w:val="clear" w:color="auto" w:fill="00529F"/>
          </w:tcPr>
          <w:p w14:paraId="2855D979" w14:textId="77777777" w:rsidR="00345EE3" w:rsidRDefault="00345EE3" w:rsidP="00D73130">
            <w:pPr>
              <w:pStyle w:val="TableParagraph"/>
              <w:spacing w:before="63"/>
              <w:ind w:left="-1"/>
              <w:jc w:val="left"/>
              <w:rPr>
                <w:b/>
                <w:sz w:val="24"/>
              </w:rPr>
            </w:pPr>
            <w:r>
              <w:rPr>
                <w:b/>
                <w:color w:val="FFFFFF"/>
                <w:sz w:val="24"/>
              </w:rPr>
              <w:t>Service</w:t>
            </w:r>
            <w:r>
              <w:rPr>
                <w:b/>
                <w:color w:val="FFFFFF"/>
                <w:spacing w:val="4"/>
                <w:sz w:val="24"/>
              </w:rPr>
              <w:t xml:space="preserve"> </w:t>
            </w:r>
            <w:r>
              <w:rPr>
                <w:b/>
                <w:color w:val="FFFFFF"/>
                <w:sz w:val="24"/>
              </w:rPr>
              <w:t>Delivery</w:t>
            </w:r>
            <w:r>
              <w:rPr>
                <w:b/>
                <w:color w:val="FFFFFF"/>
                <w:spacing w:val="5"/>
                <w:sz w:val="24"/>
              </w:rPr>
              <w:t xml:space="preserve"> </w:t>
            </w:r>
            <w:r>
              <w:rPr>
                <w:b/>
                <w:color w:val="FFFFFF"/>
                <w:spacing w:val="-2"/>
                <w:sz w:val="24"/>
              </w:rPr>
              <w:t>Excellence</w:t>
            </w:r>
          </w:p>
        </w:tc>
      </w:tr>
      <w:tr w:rsidR="00345EE3" w14:paraId="620DFE46" w14:textId="77777777" w:rsidTr="00D73130">
        <w:trPr>
          <w:trHeight w:val="344"/>
        </w:trPr>
        <w:tc>
          <w:tcPr>
            <w:tcW w:w="3402" w:type="dxa"/>
            <w:tcBorders>
              <w:top w:val="nil"/>
              <w:left w:val="nil"/>
              <w:bottom w:val="nil"/>
            </w:tcBorders>
          </w:tcPr>
          <w:p w14:paraId="7E0984CB" w14:textId="77777777" w:rsidR="00345EE3" w:rsidRDefault="00345EE3" w:rsidP="00D73130">
            <w:pPr>
              <w:pStyle w:val="TableParagraph"/>
              <w:spacing w:before="63" w:line="262" w:lineRule="exact"/>
              <w:ind w:left="-3"/>
              <w:jc w:val="left"/>
              <w:rPr>
                <w:i/>
                <w:sz w:val="24"/>
              </w:rPr>
            </w:pPr>
            <w:r>
              <w:rPr>
                <w:i/>
                <w:color w:val="231F20"/>
                <w:spacing w:val="-4"/>
                <w:sz w:val="24"/>
              </w:rPr>
              <w:t>Better</w:t>
            </w:r>
            <w:r>
              <w:rPr>
                <w:i/>
                <w:color w:val="231F20"/>
                <w:spacing w:val="-12"/>
                <w:sz w:val="24"/>
              </w:rPr>
              <w:t xml:space="preserve"> </w:t>
            </w:r>
            <w:r>
              <w:rPr>
                <w:i/>
                <w:color w:val="231F20"/>
                <w:spacing w:val="-4"/>
                <w:sz w:val="24"/>
              </w:rPr>
              <w:t>Mental</w:t>
            </w:r>
            <w:r>
              <w:rPr>
                <w:i/>
                <w:color w:val="231F20"/>
                <w:spacing w:val="-10"/>
                <w:sz w:val="24"/>
              </w:rPr>
              <w:t xml:space="preserve"> </w:t>
            </w:r>
            <w:r>
              <w:rPr>
                <w:i/>
                <w:color w:val="231F20"/>
                <w:spacing w:val="-4"/>
                <w:sz w:val="24"/>
              </w:rPr>
              <w:t>Health</w:t>
            </w:r>
            <w:r>
              <w:rPr>
                <w:i/>
                <w:color w:val="231F20"/>
                <w:spacing w:val="-10"/>
                <w:sz w:val="24"/>
              </w:rPr>
              <w:t xml:space="preserve"> </w:t>
            </w:r>
            <w:r>
              <w:rPr>
                <w:i/>
                <w:color w:val="231F20"/>
                <w:spacing w:val="-5"/>
                <w:sz w:val="24"/>
              </w:rPr>
              <w:t>for</w:t>
            </w:r>
          </w:p>
        </w:tc>
        <w:tc>
          <w:tcPr>
            <w:tcW w:w="6801" w:type="dxa"/>
            <w:tcBorders>
              <w:top w:val="nil"/>
              <w:bottom w:val="nil"/>
              <w:right w:val="nil"/>
            </w:tcBorders>
          </w:tcPr>
          <w:p w14:paraId="4E38547C" w14:textId="77777777" w:rsidR="00345EE3" w:rsidRDefault="00345EE3" w:rsidP="00D73130">
            <w:pPr>
              <w:pStyle w:val="TableParagraph"/>
              <w:spacing w:before="63" w:line="262" w:lineRule="exact"/>
              <w:ind w:left="-1"/>
              <w:jc w:val="left"/>
              <w:rPr>
                <w:i/>
                <w:sz w:val="24"/>
              </w:rPr>
            </w:pPr>
            <w:r>
              <w:rPr>
                <w:color w:val="231F20"/>
                <w:sz w:val="24"/>
              </w:rPr>
              <w:t>Victoria</w:t>
            </w:r>
            <w:r>
              <w:rPr>
                <w:color w:val="231F20"/>
                <w:spacing w:val="-19"/>
                <w:sz w:val="24"/>
              </w:rPr>
              <w:t xml:space="preserve"> </w:t>
            </w:r>
            <w:r>
              <w:rPr>
                <w:color w:val="231F20"/>
                <w:sz w:val="24"/>
              </w:rPr>
              <w:t>Police</w:t>
            </w:r>
            <w:r>
              <w:rPr>
                <w:color w:val="231F20"/>
                <w:spacing w:val="-13"/>
                <w:sz w:val="24"/>
              </w:rPr>
              <w:t xml:space="preserve"> </w:t>
            </w:r>
            <w:r>
              <w:rPr>
                <w:color w:val="231F20"/>
                <w:sz w:val="24"/>
              </w:rPr>
              <w:t>has</w:t>
            </w:r>
            <w:r>
              <w:rPr>
                <w:color w:val="231F20"/>
                <w:spacing w:val="-13"/>
                <w:sz w:val="24"/>
              </w:rPr>
              <w:t xml:space="preserve"> </w:t>
            </w:r>
            <w:r>
              <w:rPr>
                <w:color w:val="231F20"/>
                <w:sz w:val="24"/>
              </w:rPr>
              <w:t>continued</w:t>
            </w:r>
            <w:r>
              <w:rPr>
                <w:color w:val="231F20"/>
                <w:spacing w:val="-13"/>
                <w:sz w:val="24"/>
              </w:rPr>
              <w:t xml:space="preserve"> </w:t>
            </w:r>
            <w:r>
              <w:rPr>
                <w:color w:val="231F20"/>
                <w:sz w:val="24"/>
              </w:rPr>
              <w:t>transitioning</w:t>
            </w:r>
            <w:r>
              <w:rPr>
                <w:color w:val="231F20"/>
                <w:spacing w:val="-13"/>
                <w:sz w:val="24"/>
              </w:rPr>
              <w:t xml:space="preserve"> </w:t>
            </w:r>
            <w:r>
              <w:rPr>
                <w:color w:val="231F20"/>
                <w:sz w:val="24"/>
              </w:rPr>
              <w:t>the</w:t>
            </w:r>
            <w:r>
              <w:rPr>
                <w:color w:val="231F20"/>
                <w:spacing w:val="-14"/>
                <w:sz w:val="24"/>
              </w:rPr>
              <w:t xml:space="preserve"> </w:t>
            </w:r>
            <w:r>
              <w:rPr>
                <w:i/>
                <w:color w:val="231F20"/>
                <w:sz w:val="24"/>
              </w:rPr>
              <w:t>Mental</w:t>
            </w:r>
            <w:r>
              <w:rPr>
                <w:i/>
                <w:color w:val="231F20"/>
                <w:spacing w:val="-16"/>
                <w:sz w:val="24"/>
              </w:rPr>
              <w:t xml:space="preserve"> </w:t>
            </w:r>
            <w:r>
              <w:rPr>
                <w:i/>
                <w:color w:val="231F20"/>
                <w:spacing w:val="-2"/>
                <w:sz w:val="24"/>
              </w:rPr>
              <w:t>Health</w:t>
            </w:r>
          </w:p>
        </w:tc>
      </w:tr>
      <w:tr w:rsidR="00345EE3" w14:paraId="709CF0DA" w14:textId="77777777" w:rsidTr="00D73130">
        <w:trPr>
          <w:trHeight w:val="1734"/>
        </w:trPr>
        <w:tc>
          <w:tcPr>
            <w:tcW w:w="3402" w:type="dxa"/>
            <w:tcBorders>
              <w:top w:val="nil"/>
              <w:left w:val="nil"/>
            </w:tcBorders>
          </w:tcPr>
          <w:p w14:paraId="4DE0AC7B" w14:textId="77777777" w:rsidR="00345EE3" w:rsidRDefault="00345EE3" w:rsidP="00D73130">
            <w:pPr>
              <w:pStyle w:val="TableParagraph"/>
              <w:spacing w:before="0" w:line="274" w:lineRule="exact"/>
              <w:ind w:left="-3"/>
              <w:jc w:val="left"/>
              <w:rPr>
                <w:i/>
                <w:sz w:val="24"/>
              </w:rPr>
            </w:pPr>
            <w:r>
              <w:rPr>
                <w:i/>
                <w:color w:val="231F20"/>
                <w:spacing w:val="-5"/>
                <w:sz w:val="24"/>
              </w:rPr>
              <w:t>Emergency</w:t>
            </w:r>
            <w:r>
              <w:rPr>
                <w:i/>
                <w:color w:val="231F20"/>
                <w:spacing w:val="-4"/>
                <w:sz w:val="24"/>
              </w:rPr>
              <w:t xml:space="preserve"> </w:t>
            </w:r>
            <w:r>
              <w:rPr>
                <w:i/>
                <w:color w:val="231F20"/>
                <w:spacing w:val="-2"/>
                <w:sz w:val="24"/>
              </w:rPr>
              <w:t>Workers</w:t>
            </w:r>
          </w:p>
        </w:tc>
        <w:tc>
          <w:tcPr>
            <w:tcW w:w="6801" w:type="dxa"/>
            <w:tcBorders>
              <w:top w:val="nil"/>
              <w:right w:val="nil"/>
            </w:tcBorders>
          </w:tcPr>
          <w:p w14:paraId="3F45B77C" w14:textId="77777777" w:rsidR="00345EE3" w:rsidRDefault="00345EE3" w:rsidP="00D73130">
            <w:pPr>
              <w:pStyle w:val="TableParagraph"/>
              <w:spacing w:before="0" w:line="242" w:lineRule="auto"/>
              <w:ind w:left="-1" w:right="186"/>
              <w:jc w:val="left"/>
              <w:rPr>
                <w:sz w:val="24"/>
              </w:rPr>
            </w:pPr>
            <w:r>
              <w:rPr>
                <w:i/>
                <w:color w:val="231F20"/>
                <w:spacing w:val="-4"/>
                <w:sz w:val="24"/>
              </w:rPr>
              <w:t>and</w:t>
            </w:r>
            <w:r>
              <w:rPr>
                <w:i/>
                <w:color w:val="231F20"/>
                <w:spacing w:val="-10"/>
                <w:sz w:val="24"/>
              </w:rPr>
              <w:t xml:space="preserve"> </w:t>
            </w:r>
            <w:r>
              <w:rPr>
                <w:i/>
                <w:color w:val="231F20"/>
                <w:spacing w:val="-4"/>
                <w:sz w:val="24"/>
              </w:rPr>
              <w:t>Wellbeing</w:t>
            </w:r>
            <w:r>
              <w:rPr>
                <w:i/>
                <w:color w:val="231F20"/>
                <w:spacing w:val="-10"/>
                <w:sz w:val="24"/>
              </w:rPr>
              <w:t xml:space="preserve"> </w:t>
            </w:r>
            <w:r>
              <w:rPr>
                <w:i/>
                <w:color w:val="231F20"/>
                <w:spacing w:val="-4"/>
                <w:sz w:val="24"/>
              </w:rPr>
              <w:t>Strategy</w:t>
            </w:r>
            <w:r>
              <w:rPr>
                <w:i/>
                <w:color w:val="231F20"/>
                <w:spacing w:val="-10"/>
                <w:sz w:val="24"/>
              </w:rPr>
              <w:t xml:space="preserve"> </w:t>
            </w:r>
            <w:r>
              <w:rPr>
                <w:i/>
                <w:color w:val="231F20"/>
                <w:spacing w:val="-4"/>
                <w:sz w:val="24"/>
              </w:rPr>
              <w:t>and</w:t>
            </w:r>
            <w:r>
              <w:rPr>
                <w:i/>
                <w:color w:val="231F20"/>
                <w:spacing w:val="-10"/>
                <w:sz w:val="24"/>
              </w:rPr>
              <w:t xml:space="preserve"> </w:t>
            </w:r>
            <w:r>
              <w:rPr>
                <w:i/>
                <w:color w:val="231F20"/>
                <w:spacing w:val="-4"/>
                <w:sz w:val="24"/>
              </w:rPr>
              <w:t>Action</w:t>
            </w:r>
            <w:r>
              <w:rPr>
                <w:i/>
                <w:color w:val="231F20"/>
                <w:spacing w:val="-10"/>
                <w:sz w:val="24"/>
              </w:rPr>
              <w:t xml:space="preserve"> </w:t>
            </w:r>
            <w:r>
              <w:rPr>
                <w:i/>
                <w:color w:val="231F20"/>
                <w:spacing w:val="-4"/>
                <w:sz w:val="24"/>
              </w:rPr>
              <w:t>Plan</w:t>
            </w:r>
            <w:r>
              <w:rPr>
                <w:i/>
                <w:color w:val="231F20"/>
                <w:spacing w:val="-10"/>
                <w:sz w:val="24"/>
              </w:rPr>
              <w:t xml:space="preserve"> </w:t>
            </w:r>
            <w:r>
              <w:rPr>
                <w:i/>
                <w:color w:val="231F20"/>
                <w:spacing w:val="-4"/>
                <w:sz w:val="24"/>
              </w:rPr>
              <w:t>2017–2020</w:t>
            </w:r>
            <w:r>
              <w:rPr>
                <w:i/>
                <w:color w:val="231F20"/>
                <w:spacing w:val="-6"/>
                <w:sz w:val="24"/>
              </w:rPr>
              <w:t xml:space="preserve"> </w:t>
            </w:r>
            <w:r>
              <w:rPr>
                <w:color w:val="231F20"/>
                <w:spacing w:val="-4"/>
                <w:sz w:val="24"/>
              </w:rPr>
              <w:t xml:space="preserve">to business </w:t>
            </w:r>
            <w:r>
              <w:rPr>
                <w:color w:val="231F20"/>
                <w:sz w:val="24"/>
              </w:rPr>
              <w:t>as usual. Victoria Police continues to develop a holistic organisational resilience framework to support the ongoing mental health and wellbeing of Victoria Police employees for future</w:t>
            </w:r>
            <w:r>
              <w:rPr>
                <w:color w:val="231F20"/>
                <w:spacing w:val="-11"/>
                <w:sz w:val="24"/>
              </w:rPr>
              <w:t xml:space="preserve"> </w:t>
            </w:r>
            <w:r>
              <w:rPr>
                <w:color w:val="231F20"/>
                <w:sz w:val="24"/>
              </w:rPr>
              <w:t>years.</w:t>
            </w:r>
            <w:r>
              <w:rPr>
                <w:color w:val="231F20"/>
                <w:spacing w:val="-10"/>
                <w:sz w:val="24"/>
              </w:rPr>
              <w:t xml:space="preserve"> </w:t>
            </w:r>
            <w:r>
              <w:rPr>
                <w:color w:val="231F20"/>
                <w:sz w:val="24"/>
              </w:rPr>
              <w:t>The</w:t>
            </w:r>
            <w:r>
              <w:rPr>
                <w:color w:val="231F20"/>
                <w:spacing w:val="-11"/>
                <w:sz w:val="24"/>
              </w:rPr>
              <w:t xml:space="preserve"> </w:t>
            </w:r>
            <w:r>
              <w:rPr>
                <w:color w:val="231F20"/>
                <w:sz w:val="24"/>
              </w:rPr>
              <w:t>framework</w:t>
            </w:r>
            <w:r>
              <w:rPr>
                <w:color w:val="231F20"/>
                <w:spacing w:val="-10"/>
                <w:sz w:val="24"/>
              </w:rPr>
              <w:t xml:space="preserve"> </w:t>
            </w:r>
            <w:r>
              <w:rPr>
                <w:color w:val="231F20"/>
                <w:sz w:val="24"/>
              </w:rPr>
              <w:t>is</w:t>
            </w:r>
            <w:r>
              <w:rPr>
                <w:color w:val="231F20"/>
                <w:spacing w:val="-10"/>
                <w:sz w:val="24"/>
              </w:rPr>
              <w:t xml:space="preserve"> </w:t>
            </w:r>
            <w:r>
              <w:rPr>
                <w:color w:val="231F20"/>
                <w:sz w:val="24"/>
              </w:rPr>
              <w:t>scheduled</w:t>
            </w:r>
            <w:r>
              <w:rPr>
                <w:color w:val="231F20"/>
                <w:spacing w:val="-11"/>
                <w:sz w:val="24"/>
              </w:rPr>
              <w:t xml:space="preserve"> </w:t>
            </w:r>
            <w:r>
              <w:rPr>
                <w:color w:val="231F20"/>
                <w:sz w:val="24"/>
              </w:rPr>
              <w:t>for</w:t>
            </w:r>
            <w:r>
              <w:rPr>
                <w:color w:val="231F20"/>
                <w:spacing w:val="-10"/>
                <w:sz w:val="24"/>
              </w:rPr>
              <w:t xml:space="preserve"> </w:t>
            </w:r>
            <w:r>
              <w:rPr>
                <w:color w:val="231F20"/>
                <w:sz w:val="24"/>
              </w:rPr>
              <w:t>release</w:t>
            </w:r>
            <w:r>
              <w:rPr>
                <w:color w:val="231F20"/>
                <w:spacing w:val="-11"/>
                <w:sz w:val="24"/>
              </w:rPr>
              <w:t xml:space="preserve"> </w:t>
            </w:r>
            <w:r>
              <w:rPr>
                <w:color w:val="231F20"/>
                <w:sz w:val="24"/>
              </w:rPr>
              <w:t>in</w:t>
            </w:r>
            <w:r>
              <w:rPr>
                <w:color w:val="231F20"/>
                <w:spacing w:val="-11"/>
                <w:sz w:val="24"/>
              </w:rPr>
              <w:t xml:space="preserve"> </w:t>
            </w:r>
            <w:r>
              <w:rPr>
                <w:color w:val="231F20"/>
                <w:sz w:val="24"/>
              </w:rPr>
              <w:t xml:space="preserve">2022– </w:t>
            </w:r>
            <w:r>
              <w:rPr>
                <w:color w:val="231F20"/>
                <w:spacing w:val="-4"/>
                <w:sz w:val="24"/>
              </w:rPr>
              <w:t>23.</w:t>
            </w:r>
          </w:p>
        </w:tc>
      </w:tr>
      <w:tr w:rsidR="00345EE3" w14:paraId="3CCC27C3" w14:textId="77777777" w:rsidTr="00D73130">
        <w:trPr>
          <w:trHeight w:val="1796"/>
        </w:trPr>
        <w:tc>
          <w:tcPr>
            <w:tcW w:w="3402" w:type="dxa"/>
            <w:tcBorders>
              <w:left w:val="nil"/>
            </w:tcBorders>
          </w:tcPr>
          <w:p w14:paraId="4FD0CF1C" w14:textId="77777777" w:rsidR="00345EE3" w:rsidRDefault="00345EE3" w:rsidP="00D73130">
            <w:pPr>
              <w:pStyle w:val="TableParagraph"/>
              <w:spacing w:before="61"/>
              <w:ind w:left="-3"/>
              <w:jc w:val="left"/>
              <w:rPr>
                <w:i/>
                <w:sz w:val="24"/>
              </w:rPr>
            </w:pPr>
            <w:r>
              <w:rPr>
                <w:i/>
                <w:color w:val="231F20"/>
                <w:spacing w:val="-4"/>
                <w:sz w:val="24"/>
              </w:rPr>
              <w:t>Financial</w:t>
            </w:r>
            <w:r>
              <w:rPr>
                <w:i/>
                <w:color w:val="231F20"/>
                <w:spacing w:val="-5"/>
                <w:sz w:val="24"/>
              </w:rPr>
              <w:t xml:space="preserve"> </w:t>
            </w:r>
            <w:r>
              <w:rPr>
                <w:i/>
                <w:color w:val="231F20"/>
                <w:spacing w:val="-2"/>
                <w:sz w:val="24"/>
              </w:rPr>
              <w:t>Sustainability</w:t>
            </w:r>
          </w:p>
        </w:tc>
        <w:tc>
          <w:tcPr>
            <w:tcW w:w="6801" w:type="dxa"/>
            <w:tcBorders>
              <w:right w:val="nil"/>
            </w:tcBorders>
          </w:tcPr>
          <w:p w14:paraId="18A63F03" w14:textId="77777777" w:rsidR="00345EE3" w:rsidRDefault="00345EE3" w:rsidP="00D73130">
            <w:pPr>
              <w:pStyle w:val="TableParagraph"/>
              <w:spacing w:before="61" w:line="242" w:lineRule="auto"/>
              <w:ind w:left="-1"/>
              <w:jc w:val="left"/>
              <w:rPr>
                <w:sz w:val="24"/>
              </w:rPr>
            </w:pPr>
            <w:r>
              <w:rPr>
                <w:color w:val="231F20"/>
                <w:sz w:val="24"/>
              </w:rPr>
              <w:t>During 2021–22 Victoria Police implemented various savings and efficiency measures, together with structural reforms to support financial sustainability. Delivery of these measures achieved</w:t>
            </w:r>
            <w:r>
              <w:rPr>
                <w:color w:val="231F20"/>
                <w:spacing w:val="-13"/>
                <w:sz w:val="24"/>
              </w:rPr>
              <w:t xml:space="preserve"> </w:t>
            </w:r>
            <w:r>
              <w:rPr>
                <w:color w:val="231F20"/>
                <w:sz w:val="24"/>
              </w:rPr>
              <w:t>efficiencies</w:t>
            </w:r>
            <w:r>
              <w:rPr>
                <w:color w:val="231F20"/>
                <w:spacing w:val="-12"/>
                <w:sz w:val="24"/>
              </w:rPr>
              <w:t xml:space="preserve"> </w:t>
            </w:r>
            <w:r>
              <w:rPr>
                <w:color w:val="231F20"/>
                <w:sz w:val="24"/>
              </w:rPr>
              <w:t>in</w:t>
            </w:r>
            <w:r>
              <w:rPr>
                <w:color w:val="231F20"/>
                <w:spacing w:val="-13"/>
                <w:sz w:val="24"/>
              </w:rPr>
              <w:t xml:space="preserve"> </w:t>
            </w:r>
            <w:r>
              <w:rPr>
                <w:color w:val="231F20"/>
                <w:sz w:val="24"/>
              </w:rPr>
              <w:t>accordance</w:t>
            </w:r>
            <w:r>
              <w:rPr>
                <w:color w:val="231F20"/>
                <w:spacing w:val="-13"/>
                <w:sz w:val="24"/>
              </w:rPr>
              <w:t xml:space="preserve"> </w:t>
            </w:r>
            <w:r>
              <w:rPr>
                <w:color w:val="231F20"/>
                <w:sz w:val="24"/>
              </w:rPr>
              <w:t>with</w:t>
            </w:r>
            <w:r>
              <w:rPr>
                <w:color w:val="231F20"/>
                <w:spacing w:val="-13"/>
                <w:sz w:val="24"/>
              </w:rPr>
              <w:t xml:space="preserve"> </w:t>
            </w:r>
            <w:r>
              <w:rPr>
                <w:color w:val="231F20"/>
                <w:sz w:val="24"/>
              </w:rPr>
              <w:t>internal</w:t>
            </w:r>
            <w:r>
              <w:rPr>
                <w:color w:val="231F20"/>
                <w:spacing w:val="-13"/>
                <w:sz w:val="24"/>
              </w:rPr>
              <w:t xml:space="preserve"> </w:t>
            </w:r>
            <w:r>
              <w:rPr>
                <w:color w:val="231F20"/>
                <w:sz w:val="24"/>
              </w:rPr>
              <w:t>targets.</w:t>
            </w:r>
            <w:r>
              <w:rPr>
                <w:color w:val="231F20"/>
                <w:spacing w:val="-12"/>
                <w:sz w:val="24"/>
              </w:rPr>
              <w:t xml:space="preserve"> </w:t>
            </w:r>
            <w:r>
              <w:rPr>
                <w:color w:val="231F20"/>
                <w:sz w:val="24"/>
              </w:rPr>
              <w:t>Further savings targets have been established for future years as the result</w:t>
            </w:r>
            <w:r>
              <w:rPr>
                <w:color w:val="231F20"/>
                <w:spacing w:val="-2"/>
                <w:sz w:val="24"/>
              </w:rPr>
              <w:t xml:space="preserve"> </w:t>
            </w:r>
            <w:r>
              <w:rPr>
                <w:color w:val="231F20"/>
                <w:sz w:val="24"/>
              </w:rPr>
              <w:t>of</w:t>
            </w:r>
            <w:r>
              <w:rPr>
                <w:color w:val="231F20"/>
                <w:spacing w:val="-2"/>
                <w:sz w:val="24"/>
              </w:rPr>
              <w:t xml:space="preserve"> </w:t>
            </w:r>
            <w:r>
              <w:rPr>
                <w:color w:val="231F20"/>
                <w:sz w:val="24"/>
              </w:rPr>
              <w:t>the</w:t>
            </w:r>
            <w:r>
              <w:rPr>
                <w:color w:val="231F20"/>
                <w:spacing w:val="-3"/>
                <w:sz w:val="24"/>
              </w:rPr>
              <w:t xml:space="preserve"> </w:t>
            </w:r>
            <w:r>
              <w:rPr>
                <w:color w:val="231F20"/>
                <w:sz w:val="24"/>
              </w:rPr>
              <w:t>inclusion</w:t>
            </w:r>
            <w:r>
              <w:rPr>
                <w:color w:val="231F20"/>
                <w:spacing w:val="-3"/>
                <w:sz w:val="24"/>
              </w:rPr>
              <w:t xml:space="preserve"> </w:t>
            </w:r>
            <w:r>
              <w:rPr>
                <w:color w:val="231F20"/>
                <w:sz w:val="24"/>
              </w:rPr>
              <w:t>of</w:t>
            </w:r>
            <w:r>
              <w:rPr>
                <w:color w:val="231F20"/>
                <w:spacing w:val="-2"/>
                <w:sz w:val="24"/>
              </w:rPr>
              <w:t xml:space="preserve"> </w:t>
            </w:r>
            <w:r>
              <w:rPr>
                <w:color w:val="231F20"/>
                <w:sz w:val="24"/>
              </w:rPr>
              <w:t>a</w:t>
            </w:r>
            <w:r>
              <w:rPr>
                <w:color w:val="231F20"/>
                <w:spacing w:val="-3"/>
                <w:sz w:val="24"/>
              </w:rPr>
              <w:t xml:space="preserve"> </w:t>
            </w:r>
            <w:r>
              <w:rPr>
                <w:color w:val="231F20"/>
                <w:sz w:val="24"/>
              </w:rPr>
              <w:t>range</w:t>
            </w:r>
            <w:r>
              <w:rPr>
                <w:color w:val="231F20"/>
                <w:spacing w:val="-3"/>
                <w:sz w:val="24"/>
              </w:rPr>
              <w:t xml:space="preserve"> </w:t>
            </w:r>
            <w:r>
              <w:rPr>
                <w:color w:val="231F20"/>
                <w:sz w:val="24"/>
              </w:rPr>
              <w:t>of</w:t>
            </w:r>
            <w:r>
              <w:rPr>
                <w:color w:val="231F20"/>
                <w:spacing w:val="-2"/>
                <w:sz w:val="24"/>
              </w:rPr>
              <w:t xml:space="preserve"> </w:t>
            </w:r>
            <w:r>
              <w:rPr>
                <w:color w:val="231F20"/>
                <w:sz w:val="24"/>
              </w:rPr>
              <w:t>additional</w:t>
            </w:r>
            <w:r>
              <w:rPr>
                <w:color w:val="231F20"/>
                <w:spacing w:val="-3"/>
                <w:sz w:val="24"/>
              </w:rPr>
              <w:t xml:space="preserve"> </w:t>
            </w:r>
            <w:r>
              <w:rPr>
                <w:color w:val="231F20"/>
                <w:sz w:val="24"/>
              </w:rPr>
              <w:t>savings</w:t>
            </w:r>
            <w:r>
              <w:rPr>
                <w:color w:val="231F20"/>
                <w:spacing w:val="-2"/>
                <w:sz w:val="24"/>
              </w:rPr>
              <w:t xml:space="preserve"> </w:t>
            </w:r>
            <w:r>
              <w:rPr>
                <w:color w:val="231F20"/>
                <w:sz w:val="24"/>
              </w:rPr>
              <w:t>initiatives.</w:t>
            </w:r>
          </w:p>
        </w:tc>
      </w:tr>
      <w:tr w:rsidR="00345EE3" w14:paraId="47D09F8A" w14:textId="77777777" w:rsidTr="00D73130">
        <w:trPr>
          <w:trHeight w:val="3589"/>
        </w:trPr>
        <w:tc>
          <w:tcPr>
            <w:tcW w:w="3402" w:type="dxa"/>
            <w:tcBorders>
              <w:left w:val="nil"/>
            </w:tcBorders>
          </w:tcPr>
          <w:p w14:paraId="7F1E3D3A" w14:textId="77777777" w:rsidR="00345EE3" w:rsidRDefault="00345EE3" w:rsidP="00D73130">
            <w:pPr>
              <w:pStyle w:val="TableParagraph"/>
              <w:spacing w:before="61"/>
              <w:ind w:left="-3"/>
              <w:jc w:val="left"/>
              <w:rPr>
                <w:i/>
                <w:sz w:val="24"/>
              </w:rPr>
            </w:pPr>
            <w:r>
              <w:rPr>
                <w:i/>
                <w:color w:val="231F20"/>
                <w:spacing w:val="-4"/>
                <w:sz w:val="24"/>
              </w:rPr>
              <w:t>Spent</w:t>
            </w:r>
            <w:r>
              <w:rPr>
                <w:i/>
                <w:color w:val="231F20"/>
                <w:spacing w:val="-12"/>
                <w:sz w:val="24"/>
              </w:rPr>
              <w:t xml:space="preserve"> </w:t>
            </w:r>
            <w:r>
              <w:rPr>
                <w:i/>
                <w:color w:val="231F20"/>
                <w:spacing w:val="-4"/>
                <w:sz w:val="24"/>
              </w:rPr>
              <w:t>Convictions</w:t>
            </w:r>
            <w:r>
              <w:rPr>
                <w:i/>
                <w:color w:val="231F20"/>
                <w:spacing w:val="-12"/>
                <w:sz w:val="24"/>
              </w:rPr>
              <w:t xml:space="preserve"> </w:t>
            </w:r>
            <w:r>
              <w:rPr>
                <w:i/>
                <w:color w:val="231F20"/>
                <w:spacing w:val="-4"/>
                <w:sz w:val="24"/>
              </w:rPr>
              <w:t>Scheme</w:t>
            </w:r>
          </w:p>
        </w:tc>
        <w:tc>
          <w:tcPr>
            <w:tcW w:w="6801" w:type="dxa"/>
            <w:tcBorders>
              <w:right w:val="nil"/>
            </w:tcBorders>
          </w:tcPr>
          <w:p w14:paraId="461FCEA9" w14:textId="77777777" w:rsidR="00345EE3" w:rsidRDefault="00345EE3" w:rsidP="00D73130">
            <w:pPr>
              <w:pStyle w:val="TableParagraph"/>
              <w:spacing w:before="61" w:line="242" w:lineRule="auto"/>
              <w:ind w:left="-1" w:right="-14" w:hanging="1"/>
              <w:jc w:val="left"/>
              <w:rPr>
                <w:sz w:val="24"/>
              </w:rPr>
            </w:pPr>
            <w:r>
              <w:rPr>
                <w:color w:val="231F20"/>
                <w:spacing w:val="-2"/>
                <w:sz w:val="24"/>
              </w:rPr>
              <w:t>The</w:t>
            </w:r>
            <w:r>
              <w:rPr>
                <w:color w:val="231F20"/>
                <w:spacing w:val="-7"/>
                <w:sz w:val="24"/>
              </w:rPr>
              <w:t xml:space="preserve"> </w:t>
            </w:r>
            <w:r>
              <w:rPr>
                <w:i/>
                <w:color w:val="231F20"/>
                <w:spacing w:val="-2"/>
                <w:sz w:val="24"/>
              </w:rPr>
              <w:t>Spent</w:t>
            </w:r>
            <w:r>
              <w:rPr>
                <w:i/>
                <w:color w:val="231F20"/>
                <w:spacing w:val="-15"/>
                <w:sz w:val="24"/>
              </w:rPr>
              <w:t xml:space="preserve"> </w:t>
            </w:r>
            <w:r>
              <w:rPr>
                <w:i/>
                <w:color w:val="231F20"/>
                <w:spacing w:val="-2"/>
                <w:sz w:val="24"/>
              </w:rPr>
              <w:t>Convictions</w:t>
            </w:r>
            <w:r>
              <w:rPr>
                <w:i/>
                <w:color w:val="231F20"/>
                <w:spacing w:val="-14"/>
                <w:sz w:val="24"/>
              </w:rPr>
              <w:t xml:space="preserve"> </w:t>
            </w:r>
            <w:r>
              <w:rPr>
                <w:i/>
                <w:color w:val="231F20"/>
                <w:spacing w:val="-2"/>
                <w:sz w:val="24"/>
              </w:rPr>
              <w:t>Act</w:t>
            </w:r>
            <w:r>
              <w:rPr>
                <w:i/>
                <w:color w:val="231F20"/>
                <w:spacing w:val="-15"/>
                <w:sz w:val="24"/>
              </w:rPr>
              <w:t xml:space="preserve"> </w:t>
            </w:r>
            <w:r>
              <w:rPr>
                <w:color w:val="231F20"/>
                <w:spacing w:val="-2"/>
                <w:sz w:val="24"/>
              </w:rPr>
              <w:t>2021</w:t>
            </w:r>
            <w:r>
              <w:rPr>
                <w:color w:val="231F20"/>
                <w:spacing w:val="-7"/>
                <w:sz w:val="24"/>
              </w:rPr>
              <w:t xml:space="preserve"> </w:t>
            </w:r>
            <w:r>
              <w:rPr>
                <w:color w:val="231F20"/>
                <w:spacing w:val="-2"/>
                <w:sz w:val="24"/>
              </w:rPr>
              <w:t>created</w:t>
            </w:r>
            <w:r>
              <w:rPr>
                <w:color w:val="231F20"/>
                <w:spacing w:val="-6"/>
                <w:sz w:val="24"/>
              </w:rPr>
              <w:t xml:space="preserve"> </w:t>
            </w:r>
            <w:r>
              <w:rPr>
                <w:color w:val="231F20"/>
                <w:spacing w:val="-2"/>
                <w:sz w:val="24"/>
              </w:rPr>
              <w:t>a</w:t>
            </w:r>
            <w:r>
              <w:rPr>
                <w:color w:val="231F20"/>
                <w:spacing w:val="-6"/>
                <w:sz w:val="24"/>
              </w:rPr>
              <w:t xml:space="preserve"> </w:t>
            </w:r>
            <w:r>
              <w:rPr>
                <w:color w:val="231F20"/>
                <w:spacing w:val="-2"/>
                <w:sz w:val="24"/>
              </w:rPr>
              <w:t>new</w:t>
            </w:r>
            <w:r>
              <w:rPr>
                <w:color w:val="231F20"/>
                <w:spacing w:val="-6"/>
                <w:sz w:val="24"/>
              </w:rPr>
              <w:t xml:space="preserve"> </w:t>
            </w:r>
            <w:r>
              <w:rPr>
                <w:color w:val="231F20"/>
                <w:spacing w:val="-2"/>
                <w:sz w:val="24"/>
              </w:rPr>
              <w:t>‘spent</w:t>
            </w:r>
            <w:r>
              <w:rPr>
                <w:color w:val="231F20"/>
                <w:spacing w:val="-6"/>
                <w:sz w:val="24"/>
              </w:rPr>
              <w:t xml:space="preserve"> </w:t>
            </w:r>
            <w:r>
              <w:rPr>
                <w:color w:val="231F20"/>
                <w:spacing w:val="-2"/>
                <w:sz w:val="24"/>
              </w:rPr>
              <w:t xml:space="preserve">convictions </w:t>
            </w:r>
            <w:r>
              <w:rPr>
                <w:color w:val="231F20"/>
                <w:sz w:val="24"/>
              </w:rPr>
              <w:t>scheme’ allowing Victorians who have previously committed an offence,</w:t>
            </w:r>
            <w:r>
              <w:rPr>
                <w:color w:val="231F20"/>
                <w:spacing w:val="-2"/>
                <w:sz w:val="24"/>
              </w:rPr>
              <w:t xml:space="preserve"> </w:t>
            </w:r>
            <w:r>
              <w:rPr>
                <w:color w:val="231F20"/>
                <w:sz w:val="24"/>
              </w:rPr>
              <w:t>but</w:t>
            </w:r>
            <w:r>
              <w:rPr>
                <w:color w:val="231F20"/>
                <w:spacing w:val="-2"/>
                <w:sz w:val="24"/>
              </w:rPr>
              <w:t xml:space="preserve"> </w:t>
            </w:r>
            <w:r>
              <w:rPr>
                <w:color w:val="231F20"/>
                <w:sz w:val="24"/>
              </w:rPr>
              <w:t>have</w:t>
            </w:r>
            <w:r>
              <w:rPr>
                <w:color w:val="231F20"/>
                <w:spacing w:val="-3"/>
                <w:sz w:val="24"/>
              </w:rPr>
              <w:t xml:space="preserve"> </w:t>
            </w:r>
            <w:r>
              <w:rPr>
                <w:color w:val="231F20"/>
                <w:sz w:val="24"/>
              </w:rPr>
              <w:t>since</w:t>
            </w:r>
            <w:r>
              <w:rPr>
                <w:color w:val="231F20"/>
                <w:spacing w:val="-3"/>
                <w:sz w:val="24"/>
              </w:rPr>
              <w:t xml:space="preserve"> </w:t>
            </w:r>
            <w:r>
              <w:rPr>
                <w:color w:val="231F20"/>
                <w:sz w:val="24"/>
              </w:rPr>
              <w:t>demonstrated</w:t>
            </w:r>
            <w:r>
              <w:rPr>
                <w:color w:val="231F20"/>
                <w:spacing w:val="-3"/>
                <w:sz w:val="24"/>
              </w:rPr>
              <w:t xml:space="preserve"> </w:t>
            </w:r>
            <w:r>
              <w:rPr>
                <w:color w:val="231F20"/>
                <w:sz w:val="24"/>
              </w:rPr>
              <w:t>their</w:t>
            </w:r>
            <w:r>
              <w:rPr>
                <w:color w:val="231F20"/>
                <w:spacing w:val="-2"/>
                <w:sz w:val="24"/>
              </w:rPr>
              <w:t xml:space="preserve"> </w:t>
            </w:r>
            <w:r>
              <w:rPr>
                <w:color w:val="231F20"/>
                <w:sz w:val="24"/>
              </w:rPr>
              <w:t>ability</w:t>
            </w:r>
            <w:r>
              <w:rPr>
                <w:color w:val="231F20"/>
                <w:spacing w:val="-2"/>
                <w:sz w:val="24"/>
              </w:rPr>
              <w:t xml:space="preserve"> </w:t>
            </w:r>
            <w:r>
              <w:rPr>
                <w:color w:val="231F20"/>
                <w:sz w:val="24"/>
              </w:rPr>
              <w:t>to</w:t>
            </w:r>
            <w:r>
              <w:rPr>
                <w:color w:val="231F20"/>
                <w:spacing w:val="-3"/>
                <w:sz w:val="24"/>
              </w:rPr>
              <w:t xml:space="preserve"> </w:t>
            </w:r>
            <w:r>
              <w:rPr>
                <w:color w:val="231F20"/>
                <w:sz w:val="24"/>
              </w:rPr>
              <w:t>rehabilitate, to apply to have their convictions spent.</w:t>
            </w:r>
          </w:p>
          <w:p w14:paraId="4D47F526" w14:textId="77777777" w:rsidR="00345EE3" w:rsidRDefault="00345EE3" w:rsidP="00D73130">
            <w:pPr>
              <w:pStyle w:val="TableParagraph"/>
              <w:spacing w:before="119" w:line="242" w:lineRule="auto"/>
              <w:ind w:left="-1"/>
              <w:jc w:val="left"/>
              <w:rPr>
                <w:sz w:val="24"/>
              </w:rPr>
            </w:pPr>
            <w:r>
              <w:rPr>
                <w:color w:val="231F20"/>
                <w:sz w:val="24"/>
              </w:rPr>
              <w:t>In</w:t>
            </w:r>
            <w:r>
              <w:rPr>
                <w:color w:val="231F20"/>
                <w:spacing w:val="-10"/>
                <w:sz w:val="24"/>
              </w:rPr>
              <w:t xml:space="preserve"> </w:t>
            </w:r>
            <w:r>
              <w:rPr>
                <w:color w:val="231F20"/>
                <w:sz w:val="24"/>
              </w:rPr>
              <w:t>2021–22,</w:t>
            </w:r>
            <w:r>
              <w:rPr>
                <w:color w:val="231F20"/>
                <w:spacing w:val="-9"/>
                <w:sz w:val="24"/>
              </w:rPr>
              <w:t xml:space="preserve"> </w:t>
            </w: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completed</w:t>
            </w:r>
            <w:r>
              <w:rPr>
                <w:color w:val="231F20"/>
                <w:spacing w:val="-10"/>
                <w:sz w:val="24"/>
              </w:rPr>
              <w:t xml:space="preserve"> </w:t>
            </w:r>
            <w:r>
              <w:rPr>
                <w:color w:val="231F20"/>
                <w:sz w:val="24"/>
              </w:rPr>
              <w:t>phase</w:t>
            </w:r>
            <w:r>
              <w:rPr>
                <w:color w:val="231F20"/>
                <w:spacing w:val="-10"/>
                <w:sz w:val="24"/>
              </w:rPr>
              <w:t xml:space="preserve"> </w:t>
            </w:r>
            <w:r>
              <w:rPr>
                <w:color w:val="231F20"/>
                <w:sz w:val="24"/>
              </w:rPr>
              <w:t>one</w:t>
            </w:r>
            <w:r>
              <w:rPr>
                <w:color w:val="231F20"/>
                <w:spacing w:val="-10"/>
                <w:sz w:val="24"/>
              </w:rPr>
              <w:t xml:space="preserve"> </w:t>
            </w:r>
            <w:r>
              <w:rPr>
                <w:color w:val="231F20"/>
                <w:sz w:val="24"/>
              </w:rPr>
              <w:t>of</w:t>
            </w:r>
            <w:r>
              <w:rPr>
                <w:color w:val="231F20"/>
                <w:spacing w:val="-9"/>
                <w:sz w:val="24"/>
              </w:rPr>
              <w:t xml:space="preserve"> </w:t>
            </w:r>
            <w:r>
              <w:rPr>
                <w:color w:val="231F20"/>
                <w:sz w:val="24"/>
              </w:rPr>
              <w:t>the</w:t>
            </w:r>
            <w:r>
              <w:rPr>
                <w:color w:val="231F20"/>
                <w:spacing w:val="-10"/>
                <w:sz w:val="24"/>
              </w:rPr>
              <w:t xml:space="preserve"> </w:t>
            </w:r>
            <w:r>
              <w:rPr>
                <w:color w:val="231F20"/>
                <w:sz w:val="24"/>
              </w:rPr>
              <w:t>project which saw the implementation of the controlled disclosure of criminal history information on National Police Checks on 1 December 2021 and is now operating as business as usual.</w:t>
            </w:r>
          </w:p>
          <w:p w14:paraId="5C947EC8" w14:textId="77777777" w:rsidR="00345EE3" w:rsidRDefault="00345EE3" w:rsidP="00D73130">
            <w:pPr>
              <w:pStyle w:val="TableParagraph"/>
              <w:spacing w:before="5" w:line="242" w:lineRule="auto"/>
              <w:ind w:left="-1"/>
              <w:jc w:val="left"/>
              <w:rPr>
                <w:sz w:val="24"/>
              </w:rPr>
            </w:pPr>
            <w:r>
              <w:rPr>
                <w:color w:val="231F20"/>
                <w:sz w:val="24"/>
              </w:rPr>
              <w:t>Work</w:t>
            </w:r>
            <w:r>
              <w:rPr>
                <w:color w:val="231F20"/>
                <w:spacing w:val="-11"/>
                <w:sz w:val="24"/>
              </w:rPr>
              <w:t xml:space="preserve"> </w:t>
            </w:r>
            <w:r>
              <w:rPr>
                <w:color w:val="231F20"/>
                <w:sz w:val="24"/>
              </w:rPr>
              <w:t>continues</w:t>
            </w:r>
            <w:r>
              <w:rPr>
                <w:color w:val="231F20"/>
                <w:spacing w:val="-11"/>
                <w:sz w:val="24"/>
              </w:rPr>
              <w:t xml:space="preserve"> </w:t>
            </w:r>
            <w:r>
              <w:rPr>
                <w:color w:val="231F20"/>
                <w:sz w:val="24"/>
              </w:rPr>
              <w:t>on</w:t>
            </w:r>
            <w:r>
              <w:rPr>
                <w:color w:val="231F20"/>
                <w:spacing w:val="-11"/>
                <w:sz w:val="24"/>
              </w:rPr>
              <w:t xml:space="preserve"> </w:t>
            </w:r>
            <w:r>
              <w:rPr>
                <w:color w:val="231F20"/>
                <w:sz w:val="24"/>
              </w:rPr>
              <w:t>phase</w:t>
            </w:r>
            <w:r>
              <w:rPr>
                <w:color w:val="231F20"/>
                <w:spacing w:val="-11"/>
                <w:sz w:val="24"/>
              </w:rPr>
              <w:t xml:space="preserve"> </w:t>
            </w:r>
            <w:r>
              <w:rPr>
                <w:color w:val="231F20"/>
                <w:sz w:val="24"/>
              </w:rPr>
              <w:t>two</w:t>
            </w:r>
            <w:r>
              <w:rPr>
                <w:color w:val="231F20"/>
                <w:spacing w:val="-11"/>
                <w:sz w:val="24"/>
              </w:rPr>
              <w:t xml:space="preserve"> </w:t>
            </w:r>
            <w:r>
              <w:rPr>
                <w:color w:val="231F20"/>
                <w:sz w:val="24"/>
              </w:rPr>
              <w:t>through</w:t>
            </w:r>
            <w:r>
              <w:rPr>
                <w:color w:val="231F20"/>
                <w:spacing w:val="-11"/>
                <w:sz w:val="24"/>
              </w:rPr>
              <w:t xml:space="preserve"> </w:t>
            </w:r>
            <w:r>
              <w:rPr>
                <w:color w:val="231F20"/>
                <w:sz w:val="24"/>
              </w:rPr>
              <w:t>ongoing</w:t>
            </w:r>
            <w:r>
              <w:rPr>
                <w:color w:val="231F20"/>
                <w:spacing w:val="-11"/>
                <w:sz w:val="24"/>
              </w:rPr>
              <w:t xml:space="preserve"> </w:t>
            </w:r>
            <w:r>
              <w:rPr>
                <w:color w:val="231F20"/>
                <w:sz w:val="24"/>
              </w:rPr>
              <w:t>engagement</w:t>
            </w:r>
            <w:r>
              <w:rPr>
                <w:color w:val="231F20"/>
                <w:spacing w:val="-11"/>
                <w:sz w:val="24"/>
              </w:rPr>
              <w:t xml:space="preserve"> </w:t>
            </w:r>
            <w:r>
              <w:rPr>
                <w:color w:val="231F20"/>
                <w:sz w:val="24"/>
              </w:rPr>
              <w:t>with the courts and other stakeholders to implement the key aspects of the scheme, with continued efforts to develop IT solutions to support the scheme.</w:t>
            </w:r>
          </w:p>
        </w:tc>
      </w:tr>
      <w:tr w:rsidR="00345EE3" w14:paraId="556AFC37" w14:textId="77777777" w:rsidTr="00D73130">
        <w:trPr>
          <w:trHeight w:val="3589"/>
        </w:trPr>
        <w:tc>
          <w:tcPr>
            <w:tcW w:w="3402" w:type="dxa"/>
            <w:tcBorders>
              <w:left w:val="nil"/>
            </w:tcBorders>
          </w:tcPr>
          <w:p w14:paraId="298545A7" w14:textId="77777777" w:rsidR="00345EE3" w:rsidRDefault="00345EE3" w:rsidP="00D73130">
            <w:pPr>
              <w:pStyle w:val="TableParagraph"/>
              <w:spacing w:before="62"/>
              <w:ind w:left="-3"/>
              <w:jc w:val="left"/>
              <w:rPr>
                <w:i/>
                <w:sz w:val="24"/>
              </w:rPr>
            </w:pPr>
            <w:r>
              <w:rPr>
                <w:i/>
                <w:color w:val="231F20"/>
                <w:spacing w:val="-4"/>
                <w:sz w:val="24"/>
              </w:rPr>
              <w:t>Discipline</w:t>
            </w:r>
            <w:r>
              <w:rPr>
                <w:i/>
                <w:color w:val="231F20"/>
                <w:spacing w:val="-12"/>
                <w:sz w:val="24"/>
              </w:rPr>
              <w:t xml:space="preserve"> </w:t>
            </w:r>
            <w:r>
              <w:rPr>
                <w:i/>
                <w:color w:val="231F20"/>
                <w:spacing w:val="-4"/>
                <w:sz w:val="24"/>
              </w:rPr>
              <w:t>System</w:t>
            </w:r>
            <w:r>
              <w:rPr>
                <w:i/>
                <w:color w:val="231F20"/>
                <w:spacing w:val="-12"/>
                <w:sz w:val="24"/>
              </w:rPr>
              <w:t xml:space="preserve"> </w:t>
            </w:r>
            <w:r>
              <w:rPr>
                <w:i/>
                <w:color w:val="231F20"/>
                <w:spacing w:val="-4"/>
                <w:sz w:val="24"/>
              </w:rPr>
              <w:t>Reform</w:t>
            </w:r>
          </w:p>
        </w:tc>
        <w:tc>
          <w:tcPr>
            <w:tcW w:w="6801" w:type="dxa"/>
            <w:tcBorders>
              <w:right w:val="nil"/>
            </w:tcBorders>
          </w:tcPr>
          <w:p w14:paraId="78CDED4F" w14:textId="77777777" w:rsidR="00345EE3" w:rsidRDefault="00345EE3" w:rsidP="00D73130">
            <w:pPr>
              <w:pStyle w:val="TableParagraph"/>
              <w:spacing w:before="62" w:line="242" w:lineRule="auto"/>
              <w:ind w:left="-1" w:right="186"/>
              <w:jc w:val="left"/>
              <w:rPr>
                <w:sz w:val="24"/>
              </w:rPr>
            </w:pPr>
            <w:r>
              <w:rPr>
                <w:color w:val="231F20"/>
                <w:sz w:val="24"/>
              </w:rPr>
              <w:t>In</w:t>
            </w:r>
            <w:r>
              <w:rPr>
                <w:color w:val="231F20"/>
                <w:spacing w:val="-12"/>
                <w:sz w:val="24"/>
              </w:rPr>
              <w:t xml:space="preserve"> </w:t>
            </w:r>
            <w:r>
              <w:rPr>
                <w:color w:val="231F20"/>
                <w:sz w:val="24"/>
              </w:rPr>
              <w:t>2021–22,</w:t>
            </w:r>
            <w:r>
              <w:rPr>
                <w:color w:val="231F20"/>
                <w:spacing w:val="-11"/>
                <w:sz w:val="24"/>
              </w:rPr>
              <w:t xml:space="preserve"> </w:t>
            </w:r>
            <w:r>
              <w:rPr>
                <w:color w:val="231F20"/>
                <w:sz w:val="24"/>
              </w:rPr>
              <w:t>Victoria</w:t>
            </w:r>
            <w:r>
              <w:rPr>
                <w:color w:val="231F20"/>
                <w:spacing w:val="-12"/>
                <w:sz w:val="24"/>
              </w:rPr>
              <w:t xml:space="preserve"> </w:t>
            </w:r>
            <w:r>
              <w:rPr>
                <w:color w:val="231F20"/>
                <w:sz w:val="24"/>
              </w:rPr>
              <w:t>Police</w:t>
            </w:r>
            <w:r>
              <w:rPr>
                <w:color w:val="231F20"/>
                <w:spacing w:val="-12"/>
                <w:sz w:val="24"/>
              </w:rPr>
              <w:t xml:space="preserve"> </w:t>
            </w:r>
            <w:r>
              <w:rPr>
                <w:color w:val="231F20"/>
                <w:sz w:val="24"/>
              </w:rPr>
              <w:t>worked</w:t>
            </w:r>
            <w:r>
              <w:rPr>
                <w:color w:val="231F20"/>
                <w:spacing w:val="-12"/>
                <w:sz w:val="24"/>
              </w:rPr>
              <w:t xml:space="preserve"> </w:t>
            </w:r>
            <w:r>
              <w:rPr>
                <w:color w:val="231F20"/>
                <w:sz w:val="24"/>
              </w:rPr>
              <w:t>to</w:t>
            </w:r>
            <w:r>
              <w:rPr>
                <w:color w:val="231F20"/>
                <w:spacing w:val="-12"/>
                <w:sz w:val="24"/>
              </w:rPr>
              <w:t xml:space="preserve"> </w:t>
            </w:r>
            <w:r>
              <w:rPr>
                <w:color w:val="231F20"/>
                <w:sz w:val="24"/>
              </w:rPr>
              <w:t>enhance</w:t>
            </w:r>
            <w:r>
              <w:rPr>
                <w:color w:val="231F20"/>
                <w:spacing w:val="-12"/>
                <w:sz w:val="24"/>
              </w:rPr>
              <w:t xml:space="preserve"> </w:t>
            </w:r>
            <w:r>
              <w:rPr>
                <w:color w:val="231F20"/>
                <w:sz w:val="24"/>
              </w:rPr>
              <w:t>the</w:t>
            </w:r>
            <w:r>
              <w:rPr>
                <w:color w:val="231F20"/>
                <w:spacing w:val="-12"/>
                <w:sz w:val="24"/>
              </w:rPr>
              <w:t xml:space="preserve"> </w:t>
            </w:r>
            <w:r>
              <w:rPr>
                <w:color w:val="231F20"/>
                <w:sz w:val="24"/>
              </w:rPr>
              <w:t>complaint classification, assessment, allocation and determination system</w:t>
            </w:r>
            <w:r>
              <w:rPr>
                <w:color w:val="231F20"/>
                <w:spacing w:val="-9"/>
                <w:sz w:val="24"/>
              </w:rPr>
              <w:t xml:space="preserve"> </w:t>
            </w:r>
            <w:r>
              <w:rPr>
                <w:color w:val="231F20"/>
                <w:sz w:val="24"/>
              </w:rPr>
              <w:t>and</w:t>
            </w:r>
            <w:r>
              <w:rPr>
                <w:color w:val="231F20"/>
                <w:spacing w:val="-10"/>
                <w:sz w:val="24"/>
              </w:rPr>
              <w:t xml:space="preserve"> </w:t>
            </w:r>
            <w:r>
              <w:rPr>
                <w:color w:val="231F20"/>
                <w:sz w:val="24"/>
              </w:rPr>
              <w:t>enhanced</w:t>
            </w:r>
            <w:r>
              <w:rPr>
                <w:color w:val="231F20"/>
                <w:spacing w:val="-10"/>
                <w:sz w:val="24"/>
              </w:rPr>
              <w:t xml:space="preserve"> </w:t>
            </w:r>
            <w:r>
              <w:rPr>
                <w:color w:val="231F20"/>
                <w:sz w:val="24"/>
              </w:rPr>
              <w:t>internal</w:t>
            </w:r>
            <w:r>
              <w:rPr>
                <w:color w:val="231F20"/>
                <w:spacing w:val="-10"/>
                <w:sz w:val="24"/>
              </w:rPr>
              <w:t xml:space="preserve"> </w:t>
            </w:r>
            <w:r>
              <w:rPr>
                <w:color w:val="231F20"/>
                <w:sz w:val="24"/>
              </w:rPr>
              <w:t>and</w:t>
            </w:r>
            <w:r>
              <w:rPr>
                <w:color w:val="231F20"/>
                <w:spacing w:val="-10"/>
                <w:sz w:val="24"/>
              </w:rPr>
              <w:t xml:space="preserve"> </w:t>
            </w:r>
            <w:r>
              <w:rPr>
                <w:color w:val="231F20"/>
                <w:sz w:val="24"/>
              </w:rPr>
              <w:t>external</w:t>
            </w:r>
            <w:r>
              <w:rPr>
                <w:color w:val="231F20"/>
                <w:spacing w:val="-10"/>
                <w:sz w:val="24"/>
              </w:rPr>
              <w:t xml:space="preserve"> </w:t>
            </w:r>
            <w:r>
              <w:rPr>
                <w:color w:val="231F20"/>
                <w:sz w:val="24"/>
              </w:rPr>
              <w:t>complaint</w:t>
            </w:r>
            <w:r>
              <w:rPr>
                <w:color w:val="231F20"/>
                <w:spacing w:val="-9"/>
                <w:sz w:val="24"/>
              </w:rPr>
              <w:t xml:space="preserve"> </w:t>
            </w:r>
            <w:r>
              <w:rPr>
                <w:color w:val="231F20"/>
                <w:sz w:val="24"/>
              </w:rPr>
              <w:t>forms. Enhancements commenced on 1 July 2022.</w:t>
            </w:r>
          </w:p>
          <w:p w14:paraId="0F15E125" w14:textId="77777777" w:rsidR="00345EE3" w:rsidRDefault="00345EE3" w:rsidP="00D73130">
            <w:pPr>
              <w:pStyle w:val="TableParagraph"/>
              <w:spacing w:before="119" w:line="242" w:lineRule="auto"/>
              <w:ind w:left="-1" w:right="186"/>
              <w:jc w:val="left"/>
              <w:rPr>
                <w:sz w:val="24"/>
              </w:rPr>
            </w:pPr>
            <w:r>
              <w:rPr>
                <w:color w:val="231F20"/>
                <w:sz w:val="24"/>
              </w:rPr>
              <w:t xml:space="preserve">The policy amendments for complaints and discipline are underway and will be the subject of workforce engagement following initial review of the enhanced complaint system. Legislative amendments to the </w:t>
            </w:r>
            <w:r>
              <w:rPr>
                <w:i/>
                <w:color w:val="231F20"/>
                <w:sz w:val="24"/>
              </w:rPr>
              <w:t>Victoria</w:t>
            </w:r>
            <w:r>
              <w:rPr>
                <w:i/>
                <w:color w:val="231F20"/>
                <w:spacing w:val="-9"/>
                <w:sz w:val="24"/>
              </w:rPr>
              <w:t xml:space="preserve"> </w:t>
            </w:r>
            <w:r>
              <w:rPr>
                <w:i/>
                <w:color w:val="231F20"/>
                <w:sz w:val="24"/>
              </w:rPr>
              <w:t>Police</w:t>
            </w:r>
            <w:r>
              <w:rPr>
                <w:i/>
                <w:color w:val="231F20"/>
                <w:spacing w:val="-9"/>
                <w:sz w:val="24"/>
              </w:rPr>
              <w:t xml:space="preserve"> </w:t>
            </w:r>
            <w:r>
              <w:rPr>
                <w:i/>
                <w:color w:val="231F20"/>
                <w:sz w:val="24"/>
              </w:rPr>
              <w:t>Act</w:t>
            </w:r>
            <w:r>
              <w:rPr>
                <w:i/>
                <w:color w:val="231F20"/>
                <w:spacing w:val="-5"/>
                <w:sz w:val="24"/>
              </w:rPr>
              <w:t xml:space="preserve"> </w:t>
            </w:r>
            <w:r>
              <w:rPr>
                <w:color w:val="231F20"/>
                <w:sz w:val="24"/>
              </w:rPr>
              <w:t>2013 are also</w:t>
            </w:r>
            <w:r>
              <w:rPr>
                <w:color w:val="231F20"/>
                <w:spacing w:val="-7"/>
                <w:sz w:val="24"/>
              </w:rPr>
              <w:t xml:space="preserve"> </w:t>
            </w:r>
            <w:r>
              <w:rPr>
                <w:color w:val="231F20"/>
                <w:sz w:val="24"/>
              </w:rPr>
              <w:t>necessary</w:t>
            </w:r>
            <w:r>
              <w:rPr>
                <w:color w:val="231F20"/>
                <w:spacing w:val="-7"/>
                <w:sz w:val="24"/>
              </w:rPr>
              <w:t xml:space="preserve"> </w:t>
            </w:r>
            <w:r>
              <w:rPr>
                <w:color w:val="231F20"/>
                <w:sz w:val="24"/>
              </w:rPr>
              <w:t>and</w:t>
            </w:r>
            <w:r>
              <w:rPr>
                <w:color w:val="231F20"/>
                <w:spacing w:val="-7"/>
                <w:sz w:val="24"/>
              </w:rPr>
              <w:t xml:space="preserve"> </w:t>
            </w:r>
            <w:r>
              <w:rPr>
                <w:color w:val="231F20"/>
                <w:sz w:val="24"/>
              </w:rPr>
              <w:t>Victoria</w:t>
            </w:r>
            <w:r>
              <w:rPr>
                <w:color w:val="231F20"/>
                <w:spacing w:val="-7"/>
                <w:sz w:val="24"/>
              </w:rPr>
              <w:t xml:space="preserve"> </w:t>
            </w:r>
            <w:r>
              <w:rPr>
                <w:color w:val="231F20"/>
                <w:sz w:val="24"/>
              </w:rPr>
              <w:t>Police</w:t>
            </w:r>
            <w:r>
              <w:rPr>
                <w:color w:val="231F20"/>
                <w:spacing w:val="-7"/>
                <w:sz w:val="24"/>
              </w:rPr>
              <w:t xml:space="preserve"> </w:t>
            </w:r>
            <w:r>
              <w:rPr>
                <w:color w:val="231F20"/>
                <w:sz w:val="24"/>
              </w:rPr>
              <w:t>is</w:t>
            </w:r>
            <w:r>
              <w:rPr>
                <w:color w:val="231F20"/>
                <w:spacing w:val="-7"/>
                <w:sz w:val="24"/>
              </w:rPr>
              <w:t xml:space="preserve"> </w:t>
            </w:r>
            <w:r>
              <w:rPr>
                <w:color w:val="231F20"/>
                <w:sz w:val="24"/>
              </w:rPr>
              <w:t>engaged</w:t>
            </w:r>
            <w:r>
              <w:rPr>
                <w:color w:val="231F20"/>
                <w:spacing w:val="-7"/>
                <w:sz w:val="24"/>
              </w:rPr>
              <w:t xml:space="preserve"> </w:t>
            </w:r>
            <w:r>
              <w:rPr>
                <w:color w:val="231F20"/>
                <w:sz w:val="24"/>
              </w:rPr>
              <w:t>with</w:t>
            </w:r>
            <w:r>
              <w:rPr>
                <w:color w:val="231F20"/>
                <w:spacing w:val="-7"/>
                <w:sz w:val="24"/>
              </w:rPr>
              <w:t xml:space="preserve"> </w:t>
            </w:r>
            <w:r>
              <w:rPr>
                <w:color w:val="231F20"/>
                <w:sz w:val="24"/>
              </w:rPr>
              <w:t>DJCS,</w:t>
            </w:r>
            <w:r>
              <w:rPr>
                <w:color w:val="231F20"/>
                <w:spacing w:val="-7"/>
                <w:sz w:val="24"/>
              </w:rPr>
              <w:t xml:space="preserve"> </w:t>
            </w:r>
            <w:r>
              <w:rPr>
                <w:color w:val="231F20"/>
                <w:sz w:val="24"/>
              </w:rPr>
              <w:t>The Police Association Victoria, IBAC and Police Registration and Service Board (PRSB) in respect of these. This item will be carried over into 2022–23.</w:t>
            </w:r>
          </w:p>
        </w:tc>
      </w:tr>
      <w:tr w:rsidR="00345EE3" w14:paraId="08BACD31" w14:textId="77777777" w:rsidTr="00D73130">
        <w:trPr>
          <w:trHeight w:val="3309"/>
        </w:trPr>
        <w:tc>
          <w:tcPr>
            <w:tcW w:w="3402" w:type="dxa"/>
            <w:tcBorders>
              <w:left w:val="nil"/>
            </w:tcBorders>
          </w:tcPr>
          <w:p w14:paraId="045AB788" w14:textId="77777777" w:rsidR="00345EE3" w:rsidRDefault="00345EE3" w:rsidP="00D73130">
            <w:pPr>
              <w:pStyle w:val="TableParagraph"/>
              <w:spacing w:before="63"/>
              <w:ind w:left="-3"/>
              <w:jc w:val="left"/>
              <w:rPr>
                <w:i/>
                <w:sz w:val="24"/>
              </w:rPr>
            </w:pPr>
            <w:r>
              <w:rPr>
                <w:i/>
                <w:color w:val="231F20"/>
                <w:spacing w:val="-4"/>
                <w:sz w:val="24"/>
              </w:rPr>
              <w:t>Victoria</w:t>
            </w:r>
            <w:r>
              <w:rPr>
                <w:i/>
                <w:color w:val="231F20"/>
                <w:spacing w:val="-15"/>
                <w:sz w:val="24"/>
              </w:rPr>
              <w:t xml:space="preserve"> </w:t>
            </w:r>
            <w:r>
              <w:rPr>
                <w:i/>
                <w:color w:val="231F20"/>
                <w:spacing w:val="-4"/>
                <w:sz w:val="24"/>
              </w:rPr>
              <w:t>Police</w:t>
            </w:r>
            <w:r>
              <w:rPr>
                <w:i/>
                <w:color w:val="231F20"/>
                <w:spacing w:val="-12"/>
                <w:sz w:val="24"/>
              </w:rPr>
              <w:t xml:space="preserve"> </w:t>
            </w:r>
            <w:r>
              <w:rPr>
                <w:i/>
                <w:color w:val="231F20"/>
                <w:spacing w:val="-4"/>
                <w:sz w:val="24"/>
              </w:rPr>
              <w:t>Culture</w:t>
            </w:r>
            <w:r>
              <w:rPr>
                <w:i/>
                <w:color w:val="231F20"/>
                <w:spacing w:val="-12"/>
                <w:sz w:val="24"/>
              </w:rPr>
              <w:t xml:space="preserve"> </w:t>
            </w:r>
            <w:r>
              <w:rPr>
                <w:i/>
                <w:color w:val="231F20"/>
                <w:spacing w:val="-4"/>
                <w:sz w:val="24"/>
              </w:rPr>
              <w:t>Review</w:t>
            </w:r>
          </w:p>
        </w:tc>
        <w:tc>
          <w:tcPr>
            <w:tcW w:w="6801" w:type="dxa"/>
            <w:tcBorders>
              <w:right w:val="nil"/>
            </w:tcBorders>
          </w:tcPr>
          <w:p w14:paraId="273F7EF3" w14:textId="77777777" w:rsidR="00345EE3" w:rsidRDefault="00345EE3" w:rsidP="00D73130">
            <w:pPr>
              <w:pStyle w:val="TableParagraph"/>
              <w:spacing w:before="63" w:line="242" w:lineRule="auto"/>
              <w:ind w:left="-1" w:right="395"/>
              <w:jc w:val="left"/>
              <w:rPr>
                <w:sz w:val="24"/>
              </w:rPr>
            </w:pPr>
            <w:r>
              <w:rPr>
                <w:color w:val="231F20"/>
                <w:sz w:val="24"/>
              </w:rPr>
              <w:t>Victoria</w:t>
            </w:r>
            <w:r>
              <w:rPr>
                <w:color w:val="231F20"/>
                <w:spacing w:val="-6"/>
                <w:sz w:val="24"/>
              </w:rPr>
              <w:t xml:space="preserve"> </w:t>
            </w:r>
            <w:r>
              <w:rPr>
                <w:color w:val="231F20"/>
                <w:sz w:val="24"/>
              </w:rPr>
              <w:t>Police</w:t>
            </w:r>
            <w:r>
              <w:rPr>
                <w:color w:val="231F20"/>
                <w:spacing w:val="-6"/>
                <w:sz w:val="24"/>
              </w:rPr>
              <w:t xml:space="preserve"> </w:t>
            </w:r>
            <w:r>
              <w:rPr>
                <w:color w:val="231F20"/>
                <w:sz w:val="24"/>
              </w:rPr>
              <w:t>has</w:t>
            </w:r>
            <w:r>
              <w:rPr>
                <w:color w:val="231F20"/>
                <w:spacing w:val="-5"/>
                <w:sz w:val="24"/>
              </w:rPr>
              <w:t xml:space="preserve"> </w:t>
            </w:r>
            <w:r>
              <w:rPr>
                <w:color w:val="231F20"/>
                <w:sz w:val="24"/>
              </w:rPr>
              <w:t>completed</w:t>
            </w:r>
            <w:r>
              <w:rPr>
                <w:color w:val="231F20"/>
                <w:spacing w:val="-6"/>
                <w:sz w:val="24"/>
              </w:rPr>
              <w:t xml:space="preserve"> </w:t>
            </w:r>
            <w:r>
              <w:rPr>
                <w:color w:val="231F20"/>
                <w:sz w:val="24"/>
              </w:rPr>
              <w:t>several</w:t>
            </w:r>
            <w:r>
              <w:rPr>
                <w:color w:val="231F20"/>
                <w:spacing w:val="-6"/>
                <w:sz w:val="24"/>
              </w:rPr>
              <w:t xml:space="preserve"> </w:t>
            </w:r>
            <w:r>
              <w:rPr>
                <w:color w:val="231F20"/>
                <w:sz w:val="24"/>
              </w:rPr>
              <w:t>activities</w:t>
            </w:r>
            <w:r>
              <w:rPr>
                <w:color w:val="231F20"/>
                <w:spacing w:val="-5"/>
                <w:sz w:val="24"/>
              </w:rPr>
              <w:t xml:space="preserve"> </w:t>
            </w:r>
            <w:r>
              <w:rPr>
                <w:color w:val="231F20"/>
                <w:sz w:val="24"/>
              </w:rPr>
              <w:t>in</w:t>
            </w:r>
            <w:r>
              <w:rPr>
                <w:color w:val="231F20"/>
                <w:spacing w:val="-6"/>
                <w:sz w:val="24"/>
              </w:rPr>
              <w:t xml:space="preserve"> </w:t>
            </w:r>
            <w:r>
              <w:rPr>
                <w:color w:val="231F20"/>
                <w:sz w:val="24"/>
              </w:rPr>
              <w:t>2021–22, including: the appointment of Composure Consultancy to support</w:t>
            </w:r>
            <w:r>
              <w:rPr>
                <w:color w:val="231F20"/>
                <w:spacing w:val="-6"/>
                <w:sz w:val="24"/>
              </w:rPr>
              <w:t xml:space="preserve"> </w:t>
            </w:r>
            <w:r>
              <w:rPr>
                <w:color w:val="231F20"/>
                <w:sz w:val="24"/>
              </w:rPr>
              <w:t>the</w:t>
            </w:r>
            <w:r>
              <w:rPr>
                <w:color w:val="231F20"/>
                <w:spacing w:val="-7"/>
                <w:sz w:val="24"/>
              </w:rPr>
              <w:t xml:space="preserve"> </w:t>
            </w:r>
            <w:r>
              <w:rPr>
                <w:color w:val="231F20"/>
                <w:sz w:val="24"/>
              </w:rPr>
              <w:t>project</w:t>
            </w:r>
            <w:r>
              <w:rPr>
                <w:color w:val="231F20"/>
                <w:spacing w:val="-6"/>
                <w:sz w:val="24"/>
              </w:rPr>
              <w:t xml:space="preserve"> </w:t>
            </w:r>
            <w:r>
              <w:rPr>
                <w:color w:val="231F20"/>
                <w:sz w:val="24"/>
              </w:rPr>
              <w:t>by</w:t>
            </w:r>
            <w:r>
              <w:rPr>
                <w:color w:val="231F20"/>
                <w:spacing w:val="-6"/>
                <w:sz w:val="24"/>
              </w:rPr>
              <w:t xml:space="preserve"> </w:t>
            </w:r>
            <w:r>
              <w:rPr>
                <w:color w:val="231F20"/>
                <w:sz w:val="24"/>
              </w:rPr>
              <w:t>supplying</w:t>
            </w:r>
            <w:r>
              <w:rPr>
                <w:color w:val="231F20"/>
                <w:spacing w:val="-7"/>
                <w:sz w:val="24"/>
              </w:rPr>
              <w:t xml:space="preserve"> </w:t>
            </w:r>
            <w:r>
              <w:rPr>
                <w:color w:val="231F20"/>
                <w:sz w:val="24"/>
              </w:rPr>
              <w:t>guidance</w:t>
            </w:r>
            <w:r>
              <w:rPr>
                <w:color w:val="231F20"/>
                <w:spacing w:val="-7"/>
                <w:sz w:val="24"/>
              </w:rPr>
              <w:t xml:space="preserve"> </w:t>
            </w:r>
            <w:r>
              <w:rPr>
                <w:color w:val="231F20"/>
                <w:sz w:val="24"/>
              </w:rPr>
              <w:t>and</w:t>
            </w:r>
            <w:r>
              <w:rPr>
                <w:color w:val="231F20"/>
                <w:spacing w:val="-7"/>
                <w:sz w:val="24"/>
              </w:rPr>
              <w:t xml:space="preserve"> </w:t>
            </w:r>
            <w:r>
              <w:rPr>
                <w:color w:val="231F20"/>
                <w:sz w:val="24"/>
              </w:rPr>
              <w:t>tools</w:t>
            </w:r>
            <w:r>
              <w:rPr>
                <w:color w:val="231F20"/>
                <w:spacing w:val="-6"/>
                <w:sz w:val="24"/>
              </w:rPr>
              <w:t xml:space="preserve"> </w:t>
            </w:r>
            <w:r>
              <w:rPr>
                <w:color w:val="231F20"/>
                <w:sz w:val="24"/>
              </w:rPr>
              <w:t>to</w:t>
            </w:r>
            <w:r>
              <w:rPr>
                <w:color w:val="231F20"/>
                <w:spacing w:val="-7"/>
                <w:sz w:val="24"/>
              </w:rPr>
              <w:t xml:space="preserve"> </w:t>
            </w:r>
            <w:r>
              <w:rPr>
                <w:color w:val="231F20"/>
                <w:sz w:val="24"/>
              </w:rPr>
              <w:t>shift, shape</w:t>
            </w:r>
            <w:r>
              <w:rPr>
                <w:color w:val="231F20"/>
                <w:spacing w:val="-14"/>
                <w:sz w:val="24"/>
              </w:rPr>
              <w:t xml:space="preserve"> </w:t>
            </w:r>
            <w:r>
              <w:rPr>
                <w:color w:val="231F20"/>
                <w:sz w:val="24"/>
              </w:rPr>
              <w:t>and</w:t>
            </w:r>
            <w:r>
              <w:rPr>
                <w:color w:val="231F20"/>
                <w:spacing w:val="-14"/>
                <w:sz w:val="24"/>
              </w:rPr>
              <w:t xml:space="preserve"> </w:t>
            </w:r>
            <w:r>
              <w:rPr>
                <w:color w:val="231F20"/>
                <w:sz w:val="24"/>
              </w:rPr>
              <w:t>sequence</w:t>
            </w:r>
            <w:r>
              <w:rPr>
                <w:color w:val="231F20"/>
                <w:spacing w:val="-14"/>
                <w:sz w:val="24"/>
              </w:rPr>
              <w:t xml:space="preserve"> </w:t>
            </w:r>
            <w:r>
              <w:rPr>
                <w:color w:val="231F20"/>
                <w:sz w:val="24"/>
              </w:rPr>
              <w:t>the</w:t>
            </w:r>
            <w:r>
              <w:rPr>
                <w:color w:val="231F20"/>
                <w:spacing w:val="-14"/>
                <w:sz w:val="24"/>
              </w:rPr>
              <w:t xml:space="preserve"> </w:t>
            </w:r>
            <w:r>
              <w:rPr>
                <w:color w:val="231F20"/>
                <w:sz w:val="24"/>
              </w:rPr>
              <w:t>change</w:t>
            </w:r>
            <w:r>
              <w:rPr>
                <w:color w:val="231F20"/>
                <w:spacing w:val="-14"/>
                <w:sz w:val="24"/>
              </w:rPr>
              <w:t xml:space="preserve"> </w:t>
            </w:r>
            <w:r>
              <w:rPr>
                <w:color w:val="231F20"/>
                <w:sz w:val="24"/>
              </w:rPr>
              <w:t>program;</w:t>
            </w:r>
            <w:r>
              <w:rPr>
                <w:color w:val="231F20"/>
                <w:spacing w:val="-13"/>
                <w:sz w:val="24"/>
              </w:rPr>
              <w:t xml:space="preserve"> </w:t>
            </w:r>
            <w:r>
              <w:rPr>
                <w:color w:val="231F20"/>
                <w:sz w:val="24"/>
              </w:rPr>
              <w:t>the</w:t>
            </w:r>
            <w:r>
              <w:rPr>
                <w:color w:val="231F20"/>
                <w:spacing w:val="-14"/>
                <w:sz w:val="24"/>
              </w:rPr>
              <w:t xml:space="preserve"> </w:t>
            </w:r>
            <w:r>
              <w:rPr>
                <w:color w:val="231F20"/>
                <w:sz w:val="24"/>
              </w:rPr>
              <w:t>development of an organisational change management plan; and the</w:t>
            </w:r>
          </w:p>
          <w:p w14:paraId="49F60000" w14:textId="77777777" w:rsidR="00345EE3" w:rsidRDefault="00345EE3" w:rsidP="00D73130">
            <w:pPr>
              <w:pStyle w:val="TableParagraph"/>
              <w:spacing w:before="6" w:line="242" w:lineRule="auto"/>
              <w:ind w:left="-1"/>
              <w:jc w:val="left"/>
              <w:rPr>
                <w:sz w:val="24"/>
              </w:rPr>
            </w:pPr>
            <w:r>
              <w:rPr>
                <w:color w:val="231F20"/>
                <w:sz w:val="24"/>
              </w:rPr>
              <w:t>implementation</w:t>
            </w:r>
            <w:r>
              <w:rPr>
                <w:color w:val="231F20"/>
                <w:spacing w:val="-14"/>
                <w:sz w:val="24"/>
              </w:rPr>
              <w:t xml:space="preserve"> </w:t>
            </w:r>
            <w:r>
              <w:rPr>
                <w:color w:val="231F20"/>
                <w:sz w:val="24"/>
              </w:rPr>
              <w:t>of</w:t>
            </w:r>
            <w:r>
              <w:rPr>
                <w:color w:val="231F20"/>
                <w:spacing w:val="-13"/>
                <w:sz w:val="24"/>
              </w:rPr>
              <w:t xml:space="preserve"> </w:t>
            </w:r>
            <w:r>
              <w:rPr>
                <w:color w:val="231F20"/>
                <w:sz w:val="24"/>
              </w:rPr>
              <w:t>an</w:t>
            </w:r>
            <w:r>
              <w:rPr>
                <w:color w:val="231F20"/>
                <w:spacing w:val="-14"/>
                <w:sz w:val="24"/>
              </w:rPr>
              <w:t xml:space="preserve"> </w:t>
            </w:r>
            <w:r>
              <w:rPr>
                <w:color w:val="231F20"/>
                <w:sz w:val="24"/>
              </w:rPr>
              <w:t>organisational</w:t>
            </w:r>
            <w:r>
              <w:rPr>
                <w:color w:val="231F20"/>
                <w:spacing w:val="-14"/>
                <w:sz w:val="24"/>
              </w:rPr>
              <w:t xml:space="preserve"> </w:t>
            </w:r>
            <w:r>
              <w:rPr>
                <w:color w:val="231F20"/>
                <w:sz w:val="24"/>
              </w:rPr>
              <w:t>culture</w:t>
            </w:r>
            <w:r>
              <w:rPr>
                <w:color w:val="231F20"/>
                <w:spacing w:val="-14"/>
                <w:sz w:val="24"/>
              </w:rPr>
              <w:t xml:space="preserve"> </w:t>
            </w:r>
            <w:r>
              <w:rPr>
                <w:color w:val="231F20"/>
                <w:sz w:val="24"/>
              </w:rPr>
              <w:t>aligned</w:t>
            </w:r>
            <w:r>
              <w:rPr>
                <w:color w:val="231F20"/>
                <w:spacing w:val="-14"/>
                <w:sz w:val="24"/>
              </w:rPr>
              <w:t xml:space="preserve"> </w:t>
            </w:r>
            <w:r>
              <w:rPr>
                <w:color w:val="231F20"/>
                <w:sz w:val="24"/>
              </w:rPr>
              <w:t>with</w:t>
            </w:r>
            <w:r>
              <w:rPr>
                <w:color w:val="231F20"/>
                <w:spacing w:val="-14"/>
                <w:sz w:val="24"/>
              </w:rPr>
              <w:t xml:space="preserve"> </w:t>
            </w:r>
            <w:r>
              <w:rPr>
                <w:color w:val="231F20"/>
                <w:sz w:val="24"/>
              </w:rPr>
              <w:t>the</w:t>
            </w:r>
            <w:r>
              <w:rPr>
                <w:color w:val="231F20"/>
                <w:spacing w:val="-14"/>
                <w:sz w:val="24"/>
              </w:rPr>
              <w:t xml:space="preserve"> </w:t>
            </w:r>
            <w:r>
              <w:rPr>
                <w:color w:val="231F20"/>
                <w:sz w:val="24"/>
              </w:rPr>
              <w:t>key values of CultureWorks.</w:t>
            </w:r>
          </w:p>
          <w:p w14:paraId="7D6AE407" w14:textId="77777777" w:rsidR="00345EE3" w:rsidRDefault="00345EE3" w:rsidP="00D73130">
            <w:pPr>
              <w:pStyle w:val="TableParagraph"/>
              <w:spacing w:before="116" w:line="242" w:lineRule="auto"/>
              <w:ind w:left="-1" w:right="186"/>
              <w:jc w:val="left"/>
              <w:rPr>
                <w:sz w:val="24"/>
              </w:rPr>
            </w:pPr>
            <w:r>
              <w:rPr>
                <w:color w:val="231F20"/>
                <w:sz w:val="24"/>
              </w:rPr>
              <w:t>CultureWorks sessions have been delivered as part of the Police</w:t>
            </w:r>
            <w:r>
              <w:rPr>
                <w:color w:val="231F20"/>
                <w:spacing w:val="-12"/>
                <w:sz w:val="24"/>
              </w:rPr>
              <w:t xml:space="preserve"> </w:t>
            </w:r>
            <w:r>
              <w:rPr>
                <w:color w:val="231F20"/>
                <w:sz w:val="24"/>
              </w:rPr>
              <w:t>Management</w:t>
            </w:r>
            <w:r>
              <w:rPr>
                <w:color w:val="231F20"/>
                <w:spacing w:val="-12"/>
                <w:sz w:val="24"/>
              </w:rPr>
              <w:t xml:space="preserve"> </w:t>
            </w:r>
            <w:r>
              <w:rPr>
                <w:color w:val="231F20"/>
                <w:sz w:val="24"/>
              </w:rPr>
              <w:t>Qualifying</w:t>
            </w:r>
            <w:r>
              <w:rPr>
                <w:color w:val="231F20"/>
                <w:spacing w:val="-12"/>
                <w:sz w:val="24"/>
              </w:rPr>
              <w:t xml:space="preserve"> </w:t>
            </w:r>
            <w:r>
              <w:rPr>
                <w:color w:val="231F20"/>
                <w:sz w:val="24"/>
              </w:rPr>
              <w:t>Program</w:t>
            </w:r>
            <w:r>
              <w:rPr>
                <w:color w:val="231F20"/>
                <w:spacing w:val="-12"/>
                <w:sz w:val="24"/>
              </w:rPr>
              <w:t xml:space="preserve"> </w:t>
            </w:r>
            <w:r>
              <w:rPr>
                <w:color w:val="231F20"/>
                <w:sz w:val="24"/>
              </w:rPr>
              <w:t>and</w:t>
            </w:r>
            <w:r>
              <w:rPr>
                <w:color w:val="231F20"/>
                <w:spacing w:val="-12"/>
                <w:sz w:val="24"/>
              </w:rPr>
              <w:t xml:space="preserve"> </w:t>
            </w:r>
            <w:r>
              <w:rPr>
                <w:color w:val="231F20"/>
                <w:sz w:val="24"/>
              </w:rPr>
              <w:t>Superintendents Development</w:t>
            </w:r>
            <w:r>
              <w:rPr>
                <w:color w:val="231F20"/>
                <w:spacing w:val="-14"/>
                <w:sz w:val="24"/>
              </w:rPr>
              <w:t xml:space="preserve"> </w:t>
            </w:r>
            <w:r>
              <w:rPr>
                <w:color w:val="231F20"/>
                <w:sz w:val="24"/>
              </w:rPr>
              <w:t>Program</w:t>
            </w:r>
            <w:r>
              <w:rPr>
                <w:color w:val="231F20"/>
                <w:spacing w:val="-14"/>
                <w:sz w:val="24"/>
              </w:rPr>
              <w:t xml:space="preserve"> </w:t>
            </w:r>
            <w:r>
              <w:rPr>
                <w:color w:val="231F20"/>
                <w:sz w:val="24"/>
              </w:rPr>
              <w:t>to</w:t>
            </w:r>
            <w:r>
              <w:rPr>
                <w:color w:val="231F20"/>
                <w:spacing w:val="-15"/>
                <w:sz w:val="24"/>
              </w:rPr>
              <w:t xml:space="preserve"> </w:t>
            </w:r>
            <w:r>
              <w:rPr>
                <w:color w:val="231F20"/>
                <w:sz w:val="24"/>
              </w:rPr>
              <w:t>build</w:t>
            </w:r>
            <w:r>
              <w:rPr>
                <w:color w:val="231F20"/>
                <w:spacing w:val="-15"/>
                <w:sz w:val="24"/>
              </w:rPr>
              <w:t xml:space="preserve"> </w:t>
            </w:r>
            <w:r>
              <w:rPr>
                <w:color w:val="231F20"/>
                <w:sz w:val="24"/>
              </w:rPr>
              <w:t>engagement</w:t>
            </w:r>
            <w:r>
              <w:rPr>
                <w:color w:val="231F20"/>
                <w:spacing w:val="-14"/>
                <w:sz w:val="24"/>
              </w:rPr>
              <w:t xml:space="preserve"> </w:t>
            </w:r>
            <w:r>
              <w:rPr>
                <w:color w:val="231F20"/>
                <w:sz w:val="24"/>
              </w:rPr>
              <w:t>with</w:t>
            </w:r>
            <w:r>
              <w:rPr>
                <w:color w:val="231F20"/>
                <w:spacing w:val="-15"/>
                <w:sz w:val="24"/>
              </w:rPr>
              <w:t xml:space="preserve"> </w:t>
            </w:r>
            <w:r>
              <w:rPr>
                <w:color w:val="231F20"/>
                <w:sz w:val="24"/>
              </w:rPr>
              <w:t>senior</w:t>
            </w:r>
            <w:r>
              <w:rPr>
                <w:color w:val="231F20"/>
                <w:spacing w:val="-14"/>
                <w:sz w:val="24"/>
              </w:rPr>
              <w:t xml:space="preserve"> </w:t>
            </w:r>
            <w:r>
              <w:rPr>
                <w:color w:val="231F20"/>
                <w:sz w:val="24"/>
              </w:rPr>
              <w:t>sworn managers across Victoria Police.</w:t>
            </w:r>
          </w:p>
        </w:tc>
      </w:tr>
    </w:tbl>
    <w:p w14:paraId="015E92F7" w14:textId="77777777" w:rsidR="00345EE3" w:rsidRPr="007517B3" w:rsidRDefault="00345EE3" w:rsidP="00345EE3">
      <w:pPr>
        <w:spacing w:before="79"/>
        <w:ind w:left="110"/>
        <w:rPr>
          <w:sz w:val="18"/>
          <w:szCs w:val="18"/>
        </w:rPr>
      </w:pPr>
      <w:r w:rsidRPr="007517B3">
        <w:rPr>
          <w:rFonts w:ascii="Arial-BoldItalicMT"/>
          <w:b/>
          <w:i/>
          <w:color w:val="231F20"/>
          <w:sz w:val="18"/>
          <w:szCs w:val="18"/>
        </w:rPr>
        <w:t>Source:</w:t>
      </w:r>
      <w:r w:rsidRPr="007517B3">
        <w:rPr>
          <w:rFonts w:ascii="Arial-BoldItalicMT"/>
          <w:b/>
          <w:i/>
          <w:color w:val="231F20"/>
          <w:spacing w:val="5"/>
          <w:sz w:val="18"/>
          <w:szCs w:val="18"/>
        </w:rPr>
        <w:t xml:space="preserve"> </w:t>
      </w:r>
      <w:r w:rsidRPr="007517B3">
        <w:rPr>
          <w:color w:val="231F20"/>
          <w:sz w:val="18"/>
          <w:szCs w:val="18"/>
        </w:rPr>
        <w:t>Capability</w:t>
      </w:r>
      <w:r w:rsidRPr="007517B3">
        <w:rPr>
          <w:color w:val="231F20"/>
          <w:spacing w:val="5"/>
          <w:sz w:val="18"/>
          <w:szCs w:val="18"/>
        </w:rPr>
        <w:t xml:space="preserve"> </w:t>
      </w:r>
      <w:r w:rsidRPr="007517B3">
        <w:rPr>
          <w:color w:val="231F20"/>
          <w:sz w:val="18"/>
          <w:szCs w:val="18"/>
        </w:rPr>
        <w:t>Department</w:t>
      </w:r>
      <w:r w:rsidRPr="007517B3">
        <w:rPr>
          <w:color w:val="231F20"/>
          <w:spacing w:val="5"/>
          <w:sz w:val="18"/>
          <w:szCs w:val="18"/>
        </w:rPr>
        <w:t xml:space="preserve"> </w:t>
      </w:r>
      <w:r w:rsidRPr="007517B3">
        <w:rPr>
          <w:color w:val="231F20"/>
          <w:sz w:val="18"/>
          <w:szCs w:val="18"/>
        </w:rPr>
        <w:t>Victoria</w:t>
      </w:r>
      <w:r w:rsidRPr="007517B3">
        <w:rPr>
          <w:color w:val="231F20"/>
          <w:spacing w:val="5"/>
          <w:sz w:val="18"/>
          <w:szCs w:val="18"/>
        </w:rPr>
        <w:t xml:space="preserve"> </w:t>
      </w:r>
      <w:r w:rsidRPr="007517B3">
        <w:rPr>
          <w:color w:val="231F20"/>
          <w:spacing w:val="-2"/>
          <w:sz w:val="18"/>
          <w:szCs w:val="18"/>
        </w:rPr>
        <w:t>Police.</w:t>
      </w:r>
    </w:p>
    <w:p w14:paraId="2438D01E" w14:textId="77777777" w:rsidR="00345EE3" w:rsidRPr="00EA50F4" w:rsidRDefault="00345EE3" w:rsidP="00345EE3">
      <w:pPr>
        <w:pStyle w:val="Heading2"/>
        <w:rPr>
          <w:sz w:val="32"/>
          <w:szCs w:val="32"/>
        </w:rPr>
      </w:pPr>
      <w:r w:rsidRPr="00EA50F4">
        <w:rPr>
          <w:color w:val="00529F"/>
          <w:spacing w:val="-12"/>
          <w:sz w:val="32"/>
          <w:szCs w:val="32"/>
        </w:rPr>
        <w:t>Highlights</w:t>
      </w:r>
      <w:r w:rsidRPr="00EA50F4">
        <w:rPr>
          <w:color w:val="00529F"/>
          <w:spacing w:val="-14"/>
          <w:sz w:val="32"/>
          <w:szCs w:val="32"/>
        </w:rPr>
        <w:t xml:space="preserve"> </w:t>
      </w:r>
      <w:r w:rsidRPr="00EA50F4">
        <w:rPr>
          <w:color w:val="00529F"/>
          <w:spacing w:val="-12"/>
          <w:sz w:val="32"/>
          <w:szCs w:val="32"/>
        </w:rPr>
        <w:t>and</w:t>
      </w:r>
      <w:r w:rsidRPr="00EA50F4">
        <w:rPr>
          <w:color w:val="00529F"/>
          <w:spacing w:val="-13"/>
          <w:sz w:val="32"/>
          <w:szCs w:val="32"/>
        </w:rPr>
        <w:t xml:space="preserve"> </w:t>
      </w:r>
      <w:r w:rsidRPr="00EA50F4">
        <w:rPr>
          <w:color w:val="00529F"/>
          <w:spacing w:val="-12"/>
          <w:sz w:val="32"/>
          <w:szCs w:val="32"/>
        </w:rPr>
        <w:t>Achievements</w:t>
      </w:r>
      <w:r w:rsidRPr="00EA50F4">
        <w:rPr>
          <w:color w:val="00529F"/>
          <w:spacing w:val="-13"/>
          <w:sz w:val="32"/>
          <w:szCs w:val="32"/>
        </w:rPr>
        <w:t xml:space="preserve"> </w:t>
      </w:r>
      <w:r w:rsidRPr="00EA50F4">
        <w:rPr>
          <w:color w:val="00529F"/>
          <w:spacing w:val="-12"/>
          <w:sz w:val="32"/>
          <w:szCs w:val="32"/>
        </w:rPr>
        <w:t>by</w:t>
      </w:r>
      <w:r w:rsidRPr="00EA50F4">
        <w:rPr>
          <w:color w:val="00529F"/>
          <w:spacing w:val="-13"/>
          <w:sz w:val="32"/>
          <w:szCs w:val="32"/>
        </w:rPr>
        <w:t xml:space="preserve"> </w:t>
      </w:r>
      <w:r w:rsidRPr="00EA50F4">
        <w:rPr>
          <w:color w:val="00529F"/>
          <w:spacing w:val="-12"/>
          <w:sz w:val="32"/>
          <w:szCs w:val="32"/>
        </w:rPr>
        <w:t>Portfolios</w:t>
      </w:r>
    </w:p>
    <w:p w14:paraId="3294E631" w14:textId="77777777" w:rsidR="00345EE3" w:rsidRDefault="00345EE3" w:rsidP="00345EE3">
      <w:pPr>
        <w:pStyle w:val="BodyText"/>
        <w:spacing w:before="72" w:line="242" w:lineRule="auto"/>
        <w:ind w:right="921"/>
      </w:pPr>
      <w:r>
        <w:rPr>
          <w:color w:val="231F20"/>
        </w:rPr>
        <w:t>The</w:t>
      </w:r>
      <w:r>
        <w:rPr>
          <w:color w:val="231F20"/>
          <w:spacing w:val="-8"/>
        </w:rPr>
        <w:t xml:space="preserve"> </w:t>
      </w:r>
      <w:r>
        <w:rPr>
          <w:color w:val="231F20"/>
        </w:rPr>
        <w:t>Chief</w:t>
      </w:r>
      <w:r>
        <w:rPr>
          <w:color w:val="231F20"/>
          <w:spacing w:val="-7"/>
        </w:rPr>
        <w:t xml:space="preserve"> </w:t>
      </w:r>
      <w:r>
        <w:rPr>
          <w:color w:val="231F20"/>
        </w:rPr>
        <w:t>Commissioner</w:t>
      </w:r>
      <w:r>
        <w:rPr>
          <w:color w:val="231F20"/>
          <w:spacing w:val="-7"/>
        </w:rPr>
        <w:t xml:space="preserve"> </w:t>
      </w:r>
      <w:r>
        <w:rPr>
          <w:color w:val="231F20"/>
        </w:rPr>
        <w:t>of</w:t>
      </w:r>
      <w:r>
        <w:rPr>
          <w:color w:val="231F20"/>
          <w:spacing w:val="-7"/>
        </w:rPr>
        <w:t xml:space="preserve"> </w:t>
      </w:r>
      <w:r>
        <w:rPr>
          <w:color w:val="231F20"/>
        </w:rPr>
        <w:t>Police</w:t>
      </w:r>
      <w:r>
        <w:rPr>
          <w:color w:val="231F20"/>
          <w:spacing w:val="-8"/>
        </w:rPr>
        <w:t xml:space="preserve"> </w:t>
      </w:r>
      <w:r>
        <w:rPr>
          <w:color w:val="231F20"/>
        </w:rPr>
        <w:t>is</w:t>
      </w:r>
      <w:r>
        <w:rPr>
          <w:color w:val="231F20"/>
          <w:spacing w:val="-7"/>
        </w:rPr>
        <w:t xml:space="preserve"> </w:t>
      </w:r>
      <w:r>
        <w:rPr>
          <w:color w:val="231F20"/>
        </w:rPr>
        <w:t>supported</w:t>
      </w:r>
      <w:r>
        <w:rPr>
          <w:color w:val="231F20"/>
          <w:spacing w:val="-8"/>
        </w:rPr>
        <w:t xml:space="preserve"> </w:t>
      </w:r>
      <w:r>
        <w:rPr>
          <w:color w:val="231F20"/>
        </w:rPr>
        <w:t>by</w:t>
      </w:r>
      <w:r>
        <w:rPr>
          <w:color w:val="231F20"/>
          <w:spacing w:val="-7"/>
        </w:rPr>
        <w:t xml:space="preserve"> </w:t>
      </w:r>
      <w:r>
        <w:rPr>
          <w:color w:val="231F20"/>
        </w:rPr>
        <w:t>four</w:t>
      </w:r>
      <w:r>
        <w:rPr>
          <w:color w:val="231F20"/>
          <w:spacing w:val="-7"/>
        </w:rPr>
        <w:t xml:space="preserve"> </w:t>
      </w:r>
      <w:r>
        <w:rPr>
          <w:color w:val="231F20"/>
        </w:rPr>
        <w:t>Deputy</w:t>
      </w:r>
      <w:r>
        <w:rPr>
          <w:color w:val="231F20"/>
          <w:spacing w:val="-7"/>
        </w:rPr>
        <w:t xml:space="preserve"> </w:t>
      </w:r>
      <w:r>
        <w:rPr>
          <w:color w:val="231F20"/>
        </w:rPr>
        <w:t>Commissioners</w:t>
      </w:r>
      <w:r>
        <w:rPr>
          <w:color w:val="231F20"/>
          <w:spacing w:val="-7"/>
        </w:rPr>
        <w:t xml:space="preserve"> </w:t>
      </w:r>
      <w:r>
        <w:rPr>
          <w:color w:val="231F20"/>
        </w:rPr>
        <w:t>and</w:t>
      </w:r>
      <w:r>
        <w:rPr>
          <w:color w:val="231F20"/>
          <w:spacing w:val="-8"/>
        </w:rPr>
        <w:t xml:space="preserve"> </w:t>
      </w:r>
      <w:r>
        <w:rPr>
          <w:color w:val="231F20"/>
        </w:rPr>
        <w:t>two</w:t>
      </w:r>
      <w:r>
        <w:rPr>
          <w:color w:val="231F20"/>
          <w:spacing w:val="-8"/>
        </w:rPr>
        <w:t xml:space="preserve"> </w:t>
      </w:r>
      <w:r>
        <w:rPr>
          <w:color w:val="231F20"/>
        </w:rPr>
        <w:t>Deputy Secretaries who each have responsibility, oversight and management for one of the following portfolios: Regional Operations; Specialist Operations; Public Safety and Security; Corporate and Regulatory Services; Information Technology and Infrastructure Services; and Capability.</w:t>
      </w:r>
    </w:p>
    <w:p w14:paraId="154FBC3C" w14:textId="77777777" w:rsidR="00345EE3" w:rsidRDefault="00345EE3" w:rsidP="00345EE3">
      <w:pPr>
        <w:pStyle w:val="BodyText"/>
        <w:spacing w:before="119" w:line="242" w:lineRule="auto"/>
        <w:ind w:right="921"/>
      </w:pPr>
      <w:r>
        <w:rPr>
          <w:color w:val="231F20"/>
        </w:rPr>
        <w:t>This section highlights the organisation’s key achievements in 2021–22 for each portfolio, to provide</w:t>
      </w:r>
      <w:r>
        <w:rPr>
          <w:color w:val="231F20"/>
          <w:spacing w:val="-9"/>
        </w:rPr>
        <w:t xml:space="preserve"> </w:t>
      </w:r>
      <w:r>
        <w:rPr>
          <w:color w:val="231F20"/>
        </w:rPr>
        <w:t>a</w:t>
      </w:r>
      <w:r>
        <w:rPr>
          <w:color w:val="231F20"/>
          <w:spacing w:val="-9"/>
        </w:rPr>
        <w:t xml:space="preserve"> </w:t>
      </w:r>
      <w:r>
        <w:rPr>
          <w:color w:val="231F20"/>
        </w:rPr>
        <w:t>holistic</w:t>
      </w:r>
      <w:r>
        <w:rPr>
          <w:color w:val="231F20"/>
          <w:spacing w:val="-8"/>
        </w:rPr>
        <w:t xml:space="preserve"> </w:t>
      </w:r>
      <w:r>
        <w:rPr>
          <w:color w:val="231F20"/>
        </w:rPr>
        <w:t>view</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ongoing</w:t>
      </w:r>
      <w:r>
        <w:rPr>
          <w:color w:val="231F20"/>
          <w:spacing w:val="-9"/>
        </w:rPr>
        <w:t xml:space="preserve"> </w:t>
      </w:r>
      <w:r>
        <w:rPr>
          <w:color w:val="231F20"/>
        </w:rPr>
        <w:t>commitment</w:t>
      </w:r>
      <w:r>
        <w:rPr>
          <w:color w:val="231F20"/>
          <w:spacing w:val="-8"/>
        </w:rPr>
        <w:t xml:space="preserve"> </w:t>
      </w:r>
      <w:r>
        <w:rPr>
          <w:color w:val="231F20"/>
        </w:rPr>
        <w:t>of</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to</w:t>
      </w:r>
      <w:r>
        <w:rPr>
          <w:color w:val="231F20"/>
          <w:spacing w:val="-9"/>
        </w:rPr>
        <w:t xml:space="preserve"> </w:t>
      </w:r>
      <w:r>
        <w:rPr>
          <w:color w:val="231F20"/>
        </w:rPr>
        <w:t>keep</w:t>
      </w:r>
      <w:r>
        <w:rPr>
          <w:color w:val="231F20"/>
          <w:spacing w:val="-9"/>
        </w:rPr>
        <w:t xml:space="preserve"> </w:t>
      </w:r>
      <w:r>
        <w:rPr>
          <w:color w:val="231F20"/>
        </w:rPr>
        <w:t>the</w:t>
      </w:r>
      <w:r>
        <w:rPr>
          <w:color w:val="231F20"/>
          <w:spacing w:val="-9"/>
        </w:rPr>
        <w:t xml:space="preserve"> </w:t>
      </w:r>
      <w:r>
        <w:rPr>
          <w:color w:val="231F20"/>
        </w:rPr>
        <w:t>community</w:t>
      </w:r>
      <w:r>
        <w:rPr>
          <w:color w:val="231F20"/>
          <w:spacing w:val="-8"/>
        </w:rPr>
        <w:t xml:space="preserve"> </w:t>
      </w:r>
      <w:r>
        <w:rPr>
          <w:color w:val="231F20"/>
        </w:rPr>
        <w:t>safe.</w:t>
      </w:r>
    </w:p>
    <w:p w14:paraId="2EF4FE23" w14:textId="77777777" w:rsidR="00345EE3" w:rsidRDefault="00345EE3" w:rsidP="002A27BA">
      <w:pPr>
        <w:pStyle w:val="Heading3"/>
      </w:pPr>
      <w:r>
        <w:t>Regional</w:t>
      </w:r>
      <w:r>
        <w:rPr>
          <w:spacing w:val="-9"/>
        </w:rPr>
        <w:t xml:space="preserve"> </w:t>
      </w:r>
      <w:r>
        <w:t>Operations</w:t>
      </w:r>
    </w:p>
    <w:p w14:paraId="07C6469E" w14:textId="77777777" w:rsidR="00345EE3" w:rsidRDefault="00345EE3" w:rsidP="00345EE3">
      <w:pPr>
        <w:pStyle w:val="BodyText"/>
        <w:spacing w:before="53" w:line="242" w:lineRule="auto"/>
        <w:ind w:right="921"/>
      </w:pPr>
      <w:r>
        <w:rPr>
          <w:color w:val="231F20"/>
        </w:rPr>
        <w:t>The</w:t>
      </w:r>
      <w:r>
        <w:rPr>
          <w:color w:val="231F20"/>
          <w:spacing w:val="-11"/>
        </w:rPr>
        <w:t xml:space="preserve"> </w:t>
      </w:r>
      <w:r>
        <w:rPr>
          <w:color w:val="231F20"/>
        </w:rPr>
        <w:t>Deputy</w:t>
      </w:r>
      <w:r>
        <w:rPr>
          <w:color w:val="231F20"/>
          <w:spacing w:val="-11"/>
        </w:rPr>
        <w:t xml:space="preserve"> </w:t>
      </w:r>
      <w:r>
        <w:rPr>
          <w:color w:val="231F20"/>
        </w:rPr>
        <w:t>Commissioner</w:t>
      </w:r>
      <w:r>
        <w:rPr>
          <w:color w:val="231F20"/>
          <w:spacing w:val="-11"/>
        </w:rPr>
        <w:t xml:space="preserve"> </w:t>
      </w:r>
      <w:r>
        <w:rPr>
          <w:color w:val="231F20"/>
        </w:rPr>
        <w:t>of</w:t>
      </w:r>
      <w:r>
        <w:rPr>
          <w:color w:val="231F20"/>
          <w:spacing w:val="-11"/>
        </w:rPr>
        <w:t xml:space="preserve"> </w:t>
      </w:r>
      <w:r>
        <w:rPr>
          <w:color w:val="231F20"/>
        </w:rPr>
        <w:t>Regional</w:t>
      </w:r>
      <w:r>
        <w:rPr>
          <w:color w:val="231F20"/>
          <w:spacing w:val="-11"/>
        </w:rPr>
        <w:t xml:space="preserve"> </w:t>
      </w:r>
      <w:r>
        <w:rPr>
          <w:color w:val="231F20"/>
        </w:rPr>
        <w:t>Operations</w:t>
      </w:r>
      <w:r>
        <w:rPr>
          <w:color w:val="231F20"/>
          <w:spacing w:val="-11"/>
        </w:rPr>
        <w:t xml:space="preserve"> </w:t>
      </w:r>
      <w:r>
        <w:rPr>
          <w:color w:val="231F20"/>
        </w:rPr>
        <w:t>has</w:t>
      </w:r>
      <w:r>
        <w:rPr>
          <w:color w:val="231F20"/>
          <w:spacing w:val="-11"/>
        </w:rPr>
        <w:t xml:space="preserve"> </w:t>
      </w:r>
      <w:r>
        <w:rPr>
          <w:color w:val="231F20"/>
        </w:rPr>
        <w:t>the</w:t>
      </w:r>
      <w:r>
        <w:rPr>
          <w:color w:val="231F20"/>
          <w:spacing w:val="-11"/>
        </w:rPr>
        <w:t xml:space="preserve"> </w:t>
      </w:r>
      <w:r>
        <w:rPr>
          <w:color w:val="231F20"/>
        </w:rPr>
        <w:t>overall</w:t>
      </w:r>
      <w:r>
        <w:rPr>
          <w:color w:val="231F20"/>
          <w:spacing w:val="-11"/>
        </w:rPr>
        <w:t xml:space="preserve"> </w:t>
      </w:r>
      <w:r>
        <w:rPr>
          <w:color w:val="231F20"/>
        </w:rPr>
        <w:t>responsibility</w:t>
      </w:r>
      <w:r>
        <w:rPr>
          <w:color w:val="231F20"/>
          <w:spacing w:val="-11"/>
        </w:rPr>
        <w:t xml:space="preserve"> </w:t>
      </w:r>
      <w:r>
        <w:rPr>
          <w:color w:val="231F20"/>
        </w:rPr>
        <w:t>and</w:t>
      </w:r>
      <w:r>
        <w:rPr>
          <w:color w:val="231F20"/>
          <w:spacing w:val="-11"/>
        </w:rPr>
        <w:t xml:space="preserve"> </w:t>
      </w:r>
      <w:r>
        <w:rPr>
          <w:color w:val="231F20"/>
        </w:rPr>
        <w:t>oversight</w:t>
      </w:r>
      <w:r>
        <w:rPr>
          <w:color w:val="231F20"/>
          <w:spacing w:val="-11"/>
        </w:rPr>
        <w:t xml:space="preserve"> </w:t>
      </w:r>
      <w:r>
        <w:rPr>
          <w:color w:val="231F20"/>
        </w:rPr>
        <w:t>of all four police regions, the SESC and the CRC. Over the past 12 months, Regional Operations continued to enhance its emergency response and management capabilities, coordinate</w:t>
      </w:r>
    </w:p>
    <w:p w14:paraId="5C8FD893" w14:textId="77777777" w:rsidR="00345EE3" w:rsidRDefault="00345EE3" w:rsidP="00345EE3">
      <w:pPr>
        <w:pStyle w:val="BodyText"/>
        <w:spacing w:before="4" w:line="242" w:lineRule="auto"/>
        <w:ind w:right="921"/>
      </w:pPr>
      <w:r>
        <w:rPr>
          <w:color w:val="231F20"/>
        </w:rPr>
        <w:t>state-wide</w:t>
      </w:r>
      <w:r>
        <w:rPr>
          <w:color w:val="231F20"/>
          <w:spacing w:val="-13"/>
        </w:rPr>
        <w:t xml:space="preserve"> </w:t>
      </w:r>
      <w:r>
        <w:rPr>
          <w:color w:val="231F20"/>
        </w:rPr>
        <w:t>operations</w:t>
      </w:r>
      <w:r>
        <w:rPr>
          <w:color w:val="231F20"/>
          <w:spacing w:val="-13"/>
        </w:rPr>
        <w:t xml:space="preserve"> </w:t>
      </w:r>
      <w:r>
        <w:rPr>
          <w:color w:val="231F20"/>
        </w:rPr>
        <w:t>targeting</w:t>
      </w:r>
      <w:r>
        <w:rPr>
          <w:color w:val="231F20"/>
          <w:spacing w:val="-13"/>
        </w:rPr>
        <w:t xml:space="preserve"> </w:t>
      </w:r>
      <w:r>
        <w:rPr>
          <w:color w:val="231F20"/>
        </w:rPr>
        <w:t>illegal</w:t>
      </w:r>
      <w:r>
        <w:rPr>
          <w:color w:val="231F20"/>
          <w:spacing w:val="-13"/>
        </w:rPr>
        <w:t xml:space="preserve"> </w:t>
      </w:r>
      <w:r>
        <w:rPr>
          <w:color w:val="231F20"/>
        </w:rPr>
        <w:t>behaviours</w:t>
      </w:r>
      <w:r>
        <w:rPr>
          <w:color w:val="231F20"/>
          <w:spacing w:val="-13"/>
        </w:rPr>
        <w:t xml:space="preserve"> </w:t>
      </w:r>
      <w:r>
        <w:rPr>
          <w:color w:val="231F20"/>
        </w:rPr>
        <w:t>and</w:t>
      </w:r>
      <w:r>
        <w:rPr>
          <w:color w:val="231F20"/>
          <w:spacing w:val="-13"/>
        </w:rPr>
        <w:t xml:space="preserve"> </w:t>
      </w:r>
      <w:r>
        <w:rPr>
          <w:color w:val="231F20"/>
        </w:rPr>
        <w:t>continued</w:t>
      </w:r>
      <w:r>
        <w:rPr>
          <w:color w:val="231F20"/>
          <w:spacing w:val="-13"/>
        </w:rPr>
        <w:t xml:space="preserve"> </w:t>
      </w:r>
      <w:r>
        <w:rPr>
          <w:color w:val="231F20"/>
        </w:rPr>
        <w:t>stakeholder</w:t>
      </w:r>
      <w:r>
        <w:rPr>
          <w:color w:val="231F20"/>
          <w:spacing w:val="-13"/>
        </w:rPr>
        <w:t xml:space="preserve"> </w:t>
      </w:r>
      <w:r>
        <w:rPr>
          <w:color w:val="231F20"/>
        </w:rPr>
        <w:t>and</w:t>
      </w:r>
      <w:r>
        <w:rPr>
          <w:color w:val="231F20"/>
          <w:spacing w:val="-13"/>
        </w:rPr>
        <w:t xml:space="preserve"> </w:t>
      </w:r>
      <w:r>
        <w:rPr>
          <w:color w:val="231F20"/>
        </w:rPr>
        <w:t>community engagement commitments.</w:t>
      </w:r>
    </w:p>
    <w:p w14:paraId="1574784D" w14:textId="77777777" w:rsidR="00345EE3" w:rsidRPr="00EA50F4" w:rsidRDefault="00345EE3" w:rsidP="00EA50F4">
      <w:pPr>
        <w:pStyle w:val="Heading5"/>
        <w:spacing w:before="172"/>
        <w:ind w:left="0"/>
        <w:rPr>
          <w:color w:val="000000" w:themeColor="text1"/>
        </w:rPr>
      </w:pPr>
      <w:r w:rsidRPr="00EA50F4">
        <w:rPr>
          <w:color w:val="000000" w:themeColor="text1"/>
        </w:rPr>
        <w:t>Emergency</w:t>
      </w:r>
      <w:r w:rsidRPr="00EA50F4">
        <w:rPr>
          <w:color w:val="000000" w:themeColor="text1"/>
          <w:spacing w:val="-5"/>
        </w:rPr>
        <w:t xml:space="preserve"> </w:t>
      </w:r>
      <w:r w:rsidRPr="00EA50F4">
        <w:rPr>
          <w:color w:val="000000" w:themeColor="text1"/>
        </w:rPr>
        <w:t>management</w:t>
      </w:r>
      <w:r w:rsidRPr="00EA50F4">
        <w:rPr>
          <w:color w:val="000000" w:themeColor="text1"/>
          <w:spacing w:val="-5"/>
        </w:rPr>
        <w:t xml:space="preserve"> </w:t>
      </w:r>
      <w:r w:rsidRPr="00EA50F4">
        <w:rPr>
          <w:color w:val="000000" w:themeColor="text1"/>
          <w:spacing w:val="-2"/>
        </w:rPr>
        <w:t>capability</w:t>
      </w:r>
    </w:p>
    <w:p w14:paraId="3037EB8E" w14:textId="77777777" w:rsidR="00345EE3" w:rsidRDefault="00345EE3" w:rsidP="00345EE3">
      <w:pPr>
        <w:pStyle w:val="BodyText"/>
        <w:spacing w:before="4" w:line="242" w:lineRule="auto"/>
        <w:ind w:right="921"/>
      </w:pPr>
      <w:r>
        <w:rPr>
          <w:color w:val="231F20"/>
        </w:rPr>
        <w:t>The</w:t>
      </w:r>
      <w:r>
        <w:rPr>
          <w:color w:val="231F20"/>
          <w:spacing w:val="-11"/>
        </w:rPr>
        <w:t xml:space="preserve"> </w:t>
      </w:r>
      <w:r>
        <w:rPr>
          <w:color w:val="231F20"/>
        </w:rPr>
        <w:t>SPOC</w:t>
      </w:r>
      <w:r>
        <w:rPr>
          <w:color w:val="231F20"/>
          <w:spacing w:val="-11"/>
        </w:rPr>
        <w:t xml:space="preserve"> </w:t>
      </w:r>
      <w:r>
        <w:rPr>
          <w:color w:val="231F20"/>
        </w:rPr>
        <w:t>maintained</w:t>
      </w:r>
      <w:r>
        <w:rPr>
          <w:color w:val="231F20"/>
          <w:spacing w:val="-11"/>
        </w:rPr>
        <w:t xml:space="preserve"> </w:t>
      </w:r>
      <w:r>
        <w:rPr>
          <w:color w:val="231F20"/>
        </w:rPr>
        <w:t>responsibility</w:t>
      </w:r>
      <w:r>
        <w:rPr>
          <w:color w:val="231F20"/>
          <w:spacing w:val="-10"/>
        </w:rPr>
        <w:t xml:space="preserve"> </w:t>
      </w:r>
      <w:r>
        <w:rPr>
          <w:color w:val="231F20"/>
        </w:rPr>
        <w:t>for</w:t>
      </w:r>
      <w:r>
        <w:rPr>
          <w:color w:val="231F20"/>
          <w:spacing w:val="-10"/>
        </w:rPr>
        <w:t xml:space="preserve"> </w:t>
      </w:r>
      <w:r>
        <w:rPr>
          <w:color w:val="231F20"/>
        </w:rPr>
        <w:t>the</w:t>
      </w:r>
      <w:r>
        <w:rPr>
          <w:color w:val="231F20"/>
          <w:spacing w:val="-11"/>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response</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COVID-19</w:t>
      </w:r>
      <w:r>
        <w:rPr>
          <w:color w:val="231F20"/>
          <w:spacing w:val="-11"/>
        </w:rPr>
        <w:t xml:space="preserve"> </w:t>
      </w:r>
      <w:r>
        <w:rPr>
          <w:color w:val="231F20"/>
        </w:rPr>
        <w:t>pandemic until the CRC commenced operations in December 2021. The real-time training and applied learning experience gained by the employees who worked in the SPOC during the COVID-19 response has helped to further develop knowledge and practice in emergency management across the organisation.</w:t>
      </w:r>
    </w:p>
    <w:p w14:paraId="6C54684C" w14:textId="77777777" w:rsidR="00345EE3" w:rsidRDefault="00345EE3" w:rsidP="00345EE3">
      <w:pPr>
        <w:pStyle w:val="BodyText"/>
        <w:spacing w:before="120" w:line="242" w:lineRule="auto"/>
        <w:ind w:right="921"/>
      </w:pPr>
      <w:r>
        <w:rPr>
          <w:color w:val="231F20"/>
        </w:rPr>
        <w:t>Victoria Police continued to implement recommendations from reviews into the 2019–20 bushfires,</w:t>
      </w:r>
      <w:r>
        <w:rPr>
          <w:color w:val="231F20"/>
          <w:spacing w:val="-13"/>
        </w:rPr>
        <w:t xml:space="preserve"> </w:t>
      </w:r>
      <w:r>
        <w:rPr>
          <w:color w:val="231F20"/>
        </w:rPr>
        <w:t>which</w:t>
      </w:r>
      <w:r>
        <w:rPr>
          <w:color w:val="231F20"/>
          <w:spacing w:val="-14"/>
        </w:rPr>
        <w:t xml:space="preserve"> </w:t>
      </w:r>
      <w:r>
        <w:rPr>
          <w:color w:val="231F20"/>
        </w:rPr>
        <w:t>led</w:t>
      </w:r>
      <w:r>
        <w:rPr>
          <w:color w:val="231F20"/>
          <w:spacing w:val="-14"/>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development</w:t>
      </w:r>
      <w:r>
        <w:rPr>
          <w:color w:val="231F20"/>
          <w:spacing w:val="-13"/>
        </w:rPr>
        <w:t xml:space="preserve"> </w:t>
      </w:r>
      <w:r>
        <w:rPr>
          <w:color w:val="231F20"/>
        </w:rPr>
        <w:t>of</w:t>
      </w:r>
      <w:r>
        <w:rPr>
          <w:color w:val="231F20"/>
          <w:spacing w:val="-13"/>
        </w:rPr>
        <w:t xml:space="preserve"> </w:t>
      </w:r>
      <w:r>
        <w:rPr>
          <w:color w:val="231F20"/>
        </w:rPr>
        <w:t>a</w:t>
      </w:r>
      <w:r>
        <w:rPr>
          <w:color w:val="231F20"/>
          <w:spacing w:val="-14"/>
        </w:rPr>
        <w:t xml:space="preserve"> </w:t>
      </w:r>
      <w:r>
        <w:rPr>
          <w:color w:val="231F20"/>
        </w:rPr>
        <w:t>comprehensive</w:t>
      </w:r>
      <w:r>
        <w:rPr>
          <w:color w:val="231F20"/>
          <w:spacing w:val="-14"/>
        </w:rPr>
        <w:t xml:space="preserve"> </w:t>
      </w:r>
      <w:r>
        <w:rPr>
          <w:color w:val="231F20"/>
        </w:rPr>
        <w:t>training</w:t>
      </w:r>
      <w:r>
        <w:rPr>
          <w:color w:val="231F20"/>
          <w:spacing w:val="-14"/>
        </w:rPr>
        <w:t xml:space="preserve"> </w:t>
      </w:r>
      <w:r>
        <w:rPr>
          <w:color w:val="231F20"/>
        </w:rPr>
        <w:t>exercise:</w:t>
      </w:r>
      <w:r>
        <w:rPr>
          <w:color w:val="231F20"/>
          <w:spacing w:val="-13"/>
        </w:rPr>
        <w:t xml:space="preserve"> </w:t>
      </w:r>
      <w:r>
        <w:rPr>
          <w:color w:val="231F20"/>
        </w:rPr>
        <w:t>Exercise</w:t>
      </w:r>
      <w:r>
        <w:rPr>
          <w:color w:val="231F20"/>
          <w:spacing w:val="-14"/>
        </w:rPr>
        <w:t xml:space="preserve"> </w:t>
      </w:r>
      <w:r>
        <w:rPr>
          <w:color w:val="231F20"/>
        </w:rPr>
        <w:t>Ember. The exercise is based around a fire scenario where Victoria Police operates to support a fire control agency. It also includes refresher training on incident and emergency management structures and</w:t>
      </w:r>
      <w:r>
        <w:rPr>
          <w:color w:val="231F20"/>
          <w:spacing w:val="-1"/>
        </w:rPr>
        <w:t xml:space="preserve"> </w:t>
      </w:r>
      <w:r>
        <w:rPr>
          <w:color w:val="231F20"/>
        </w:rPr>
        <w:t>information</w:t>
      </w:r>
      <w:r>
        <w:rPr>
          <w:color w:val="231F20"/>
          <w:spacing w:val="-1"/>
        </w:rPr>
        <w:t xml:space="preserve"> </w:t>
      </w:r>
      <w:r>
        <w:rPr>
          <w:color w:val="231F20"/>
        </w:rPr>
        <w:t>management systems. Exercise</w:t>
      </w:r>
      <w:r>
        <w:rPr>
          <w:color w:val="231F20"/>
          <w:spacing w:val="-1"/>
        </w:rPr>
        <w:t xml:space="preserve"> </w:t>
      </w:r>
      <w:r>
        <w:rPr>
          <w:color w:val="231F20"/>
        </w:rPr>
        <w:t>Ember has been</w:t>
      </w:r>
      <w:r>
        <w:rPr>
          <w:color w:val="231F20"/>
          <w:spacing w:val="-1"/>
        </w:rPr>
        <w:t xml:space="preserve"> </w:t>
      </w:r>
      <w:r>
        <w:rPr>
          <w:color w:val="231F20"/>
        </w:rPr>
        <w:t>incorporated</w:t>
      </w:r>
      <w:r>
        <w:rPr>
          <w:color w:val="231F20"/>
          <w:spacing w:val="-1"/>
        </w:rPr>
        <w:t xml:space="preserve"> </w:t>
      </w:r>
      <w:r>
        <w:rPr>
          <w:color w:val="231F20"/>
        </w:rPr>
        <w:t>into Victoria Police’s promotional programs and has been delivered throughout the regions.</w:t>
      </w:r>
    </w:p>
    <w:p w14:paraId="7D3210E9" w14:textId="77777777" w:rsidR="00345EE3" w:rsidRDefault="00345EE3" w:rsidP="00345EE3">
      <w:pPr>
        <w:pStyle w:val="BodyText"/>
        <w:spacing w:before="122" w:line="242" w:lineRule="auto"/>
        <w:ind w:right="848"/>
      </w:pPr>
      <w:r>
        <w:rPr>
          <w:color w:val="231F20"/>
        </w:rPr>
        <w:t>In September 2021, an online training package on Basic Wildfire Awareness was rolled out across</w:t>
      </w:r>
      <w:r>
        <w:rPr>
          <w:color w:val="231F20"/>
          <w:spacing w:val="-10"/>
        </w:rPr>
        <w:t xml:space="preserve"> </w:t>
      </w:r>
      <w:r>
        <w:rPr>
          <w:color w:val="231F20"/>
        </w:rPr>
        <w:t>the</w:t>
      </w:r>
      <w:r>
        <w:rPr>
          <w:color w:val="231F20"/>
          <w:spacing w:val="-10"/>
        </w:rPr>
        <w:t xml:space="preserve"> </w:t>
      </w:r>
      <w:r>
        <w:rPr>
          <w:color w:val="231F20"/>
        </w:rPr>
        <w:t>organisation.</w:t>
      </w:r>
      <w:r>
        <w:rPr>
          <w:color w:val="231F20"/>
          <w:spacing w:val="-10"/>
        </w:rPr>
        <w:t xml:space="preserve"> </w:t>
      </w:r>
      <w:r>
        <w:rPr>
          <w:color w:val="231F20"/>
        </w:rPr>
        <w:t>The</w:t>
      </w:r>
      <w:r>
        <w:rPr>
          <w:color w:val="231F20"/>
          <w:spacing w:val="-10"/>
        </w:rPr>
        <w:t xml:space="preserve"> </w:t>
      </w:r>
      <w:r>
        <w:rPr>
          <w:color w:val="231F20"/>
        </w:rPr>
        <w:t>package</w:t>
      </w:r>
      <w:r>
        <w:rPr>
          <w:color w:val="231F20"/>
          <w:spacing w:val="-10"/>
        </w:rPr>
        <w:t xml:space="preserve"> </w:t>
      </w:r>
      <w:r>
        <w:rPr>
          <w:color w:val="231F20"/>
        </w:rPr>
        <w:t>is</w:t>
      </w:r>
      <w:r>
        <w:rPr>
          <w:color w:val="231F20"/>
          <w:spacing w:val="-10"/>
        </w:rPr>
        <w:t xml:space="preserve"> </w:t>
      </w:r>
      <w:r>
        <w:rPr>
          <w:color w:val="231F20"/>
        </w:rPr>
        <w:t>designed</w:t>
      </w:r>
      <w:r>
        <w:rPr>
          <w:color w:val="231F20"/>
          <w:spacing w:val="-10"/>
        </w:rPr>
        <w:t xml:space="preserve"> </w:t>
      </w:r>
      <w:r>
        <w:rPr>
          <w:color w:val="231F20"/>
        </w:rPr>
        <w:t>to</w:t>
      </w:r>
      <w:r>
        <w:rPr>
          <w:color w:val="231F20"/>
          <w:spacing w:val="-10"/>
        </w:rPr>
        <w:t xml:space="preserve"> </w:t>
      </w:r>
      <w:r>
        <w:rPr>
          <w:color w:val="231F20"/>
        </w:rPr>
        <w:t>provide</w:t>
      </w:r>
      <w:r>
        <w:rPr>
          <w:color w:val="231F20"/>
          <w:spacing w:val="-10"/>
        </w:rPr>
        <w:t xml:space="preserve"> </w:t>
      </w:r>
      <w:r>
        <w:rPr>
          <w:color w:val="231F20"/>
        </w:rPr>
        <w:t>members</w:t>
      </w:r>
      <w:r>
        <w:rPr>
          <w:color w:val="231F20"/>
          <w:spacing w:val="-10"/>
        </w:rPr>
        <w:t xml:space="preserve"> </w:t>
      </w:r>
      <w:r>
        <w:rPr>
          <w:color w:val="231F20"/>
        </w:rPr>
        <w:t>with</w:t>
      </w:r>
      <w:r>
        <w:rPr>
          <w:color w:val="231F20"/>
          <w:spacing w:val="-10"/>
        </w:rPr>
        <w:t xml:space="preserve"> </w:t>
      </w:r>
      <w:r>
        <w:rPr>
          <w:color w:val="231F20"/>
        </w:rPr>
        <w:t>important</w:t>
      </w:r>
      <w:r>
        <w:rPr>
          <w:color w:val="231F20"/>
          <w:spacing w:val="-10"/>
        </w:rPr>
        <w:t xml:space="preserve"> </w:t>
      </w:r>
      <w:r>
        <w:rPr>
          <w:color w:val="231F20"/>
        </w:rPr>
        <w:t>information for</w:t>
      </w:r>
      <w:r>
        <w:rPr>
          <w:color w:val="231F20"/>
          <w:spacing w:val="-5"/>
        </w:rPr>
        <w:t xml:space="preserve"> </w:t>
      </w:r>
      <w:r>
        <w:rPr>
          <w:color w:val="231F20"/>
        </w:rPr>
        <w:t>working</w:t>
      </w:r>
      <w:r>
        <w:rPr>
          <w:color w:val="231F20"/>
          <w:spacing w:val="-6"/>
        </w:rPr>
        <w:t xml:space="preserve"> </w:t>
      </w:r>
      <w:r>
        <w:rPr>
          <w:color w:val="231F20"/>
        </w:rPr>
        <w:t>within</w:t>
      </w:r>
      <w:r>
        <w:rPr>
          <w:color w:val="231F20"/>
          <w:spacing w:val="-6"/>
        </w:rPr>
        <w:t xml:space="preserve"> </w:t>
      </w:r>
      <w:r>
        <w:rPr>
          <w:color w:val="231F20"/>
        </w:rPr>
        <w:t>fire</w:t>
      </w:r>
      <w:r>
        <w:rPr>
          <w:color w:val="231F20"/>
          <w:spacing w:val="-6"/>
        </w:rPr>
        <w:t xml:space="preserve"> </w:t>
      </w:r>
      <w:r>
        <w:rPr>
          <w:color w:val="231F20"/>
        </w:rPr>
        <w:t>areas,</w:t>
      </w:r>
      <w:r>
        <w:rPr>
          <w:color w:val="231F20"/>
          <w:spacing w:val="-5"/>
        </w:rPr>
        <w:t xml:space="preserve"> </w:t>
      </w:r>
      <w:r>
        <w:rPr>
          <w:color w:val="231F20"/>
        </w:rPr>
        <w:t>such</w:t>
      </w:r>
      <w:r>
        <w:rPr>
          <w:color w:val="231F20"/>
          <w:spacing w:val="-6"/>
        </w:rPr>
        <w:t xml:space="preserve"> </w:t>
      </w:r>
      <w:r>
        <w:rPr>
          <w:color w:val="231F20"/>
        </w:rPr>
        <w:t>as</w:t>
      </w:r>
      <w:r>
        <w:rPr>
          <w:color w:val="231F20"/>
          <w:spacing w:val="-5"/>
        </w:rPr>
        <w:t xml:space="preserve"> </w:t>
      </w:r>
      <w:r>
        <w:rPr>
          <w:color w:val="231F20"/>
        </w:rPr>
        <w:t>at</w:t>
      </w:r>
      <w:r>
        <w:rPr>
          <w:color w:val="231F20"/>
          <w:spacing w:val="-5"/>
        </w:rPr>
        <w:t xml:space="preserve"> </w:t>
      </w:r>
      <w:r>
        <w:rPr>
          <w:color w:val="231F20"/>
        </w:rPr>
        <w:t>traffic</w:t>
      </w:r>
      <w:r>
        <w:rPr>
          <w:color w:val="231F20"/>
          <w:spacing w:val="-5"/>
        </w:rPr>
        <w:t xml:space="preserve"> </w:t>
      </w:r>
      <w:r>
        <w:rPr>
          <w:color w:val="231F20"/>
        </w:rPr>
        <w:t>management</w:t>
      </w:r>
      <w:r>
        <w:rPr>
          <w:color w:val="231F20"/>
          <w:spacing w:val="-5"/>
        </w:rPr>
        <w:t xml:space="preserve"> </w:t>
      </w:r>
      <w:r>
        <w:rPr>
          <w:color w:val="231F20"/>
        </w:rPr>
        <w:t>points</w:t>
      </w:r>
      <w:r>
        <w:rPr>
          <w:color w:val="231F20"/>
          <w:spacing w:val="-5"/>
        </w:rPr>
        <w:t xml:space="preserve"> </w:t>
      </w:r>
      <w:r>
        <w:rPr>
          <w:color w:val="231F20"/>
        </w:rPr>
        <w:t>and</w:t>
      </w:r>
      <w:r>
        <w:rPr>
          <w:color w:val="231F20"/>
          <w:spacing w:val="-6"/>
        </w:rPr>
        <w:t xml:space="preserve"> </w:t>
      </w:r>
      <w:r>
        <w:rPr>
          <w:color w:val="231F20"/>
        </w:rPr>
        <w:t>within</w:t>
      </w:r>
      <w:r>
        <w:rPr>
          <w:color w:val="231F20"/>
          <w:spacing w:val="-6"/>
        </w:rPr>
        <w:t xml:space="preserve"> </w:t>
      </w:r>
      <w:r>
        <w:rPr>
          <w:color w:val="231F20"/>
        </w:rPr>
        <w:t>relief</w:t>
      </w:r>
      <w:r>
        <w:rPr>
          <w:color w:val="231F20"/>
          <w:spacing w:val="-5"/>
        </w:rPr>
        <w:t xml:space="preserve"> </w:t>
      </w:r>
      <w:r>
        <w:rPr>
          <w:color w:val="231F20"/>
        </w:rPr>
        <w:t>centres.</w:t>
      </w:r>
      <w:r>
        <w:rPr>
          <w:color w:val="231F20"/>
          <w:spacing w:val="-5"/>
        </w:rPr>
        <w:t xml:space="preserve"> </w:t>
      </w:r>
      <w:r>
        <w:rPr>
          <w:color w:val="231F20"/>
        </w:rPr>
        <w:t>More than 13,000 Victoria Police members and VPS have completed the online training.</w:t>
      </w:r>
    </w:p>
    <w:p w14:paraId="04BFAAAB" w14:textId="77777777" w:rsidR="00345EE3" w:rsidRDefault="00345EE3" w:rsidP="00345EE3">
      <w:pPr>
        <w:pStyle w:val="BodyText"/>
        <w:spacing w:before="118" w:line="242" w:lineRule="auto"/>
        <w:ind w:right="921"/>
      </w:pPr>
      <w:r>
        <w:rPr>
          <w:color w:val="231F20"/>
        </w:rPr>
        <w:t>Training</w:t>
      </w:r>
      <w:r>
        <w:rPr>
          <w:color w:val="231F20"/>
          <w:spacing w:val="-1"/>
        </w:rPr>
        <w:t xml:space="preserve"> </w:t>
      </w:r>
      <w:r>
        <w:rPr>
          <w:color w:val="231F20"/>
        </w:rPr>
        <w:t>was also</w:t>
      </w:r>
      <w:r>
        <w:rPr>
          <w:color w:val="231F20"/>
          <w:spacing w:val="-1"/>
        </w:rPr>
        <w:t xml:space="preserve"> </w:t>
      </w:r>
      <w:r>
        <w:rPr>
          <w:color w:val="231F20"/>
        </w:rPr>
        <w:t>delivered</w:t>
      </w:r>
      <w:r>
        <w:rPr>
          <w:color w:val="231F20"/>
          <w:spacing w:val="-1"/>
        </w:rPr>
        <w:t xml:space="preserve"> </w:t>
      </w:r>
      <w:r>
        <w:rPr>
          <w:color w:val="231F20"/>
        </w:rPr>
        <w:t>to</w:t>
      </w:r>
      <w:r>
        <w:rPr>
          <w:color w:val="231F20"/>
          <w:spacing w:val="-1"/>
        </w:rPr>
        <w:t xml:space="preserve"> </w:t>
      </w:r>
      <w:r>
        <w:rPr>
          <w:color w:val="231F20"/>
        </w:rPr>
        <w:t>Traffic Management Manager and</w:t>
      </w:r>
      <w:r>
        <w:rPr>
          <w:color w:val="231F20"/>
          <w:spacing w:val="-1"/>
        </w:rPr>
        <w:t xml:space="preserve"> </w:t>
      </w:r>
      <w:r>
        <w:rPr>
          <w:color w:val="231F20"/>
        </w:rPr>
        <w:t>Evacuation</w:t>
      </w:r>
      <w:r>
        <w:rPr>
          <w:color w:val="231F20"/>
          <w:spacing w:val="-1"/>
        </w:rPr>
        <w:t xml:space="preserve"> </w:t>
      </w:r>
      <w:r>
        <w:rPr>
          <w:color w:val="231F20"/>
        </w:rPr>
        <w:t>Manager roles, which</w:t>
      </w:r>
      <w:r>
        <w:rPr>
          <w:color w:val="231F20"/>
          <w:spacing w:val="-9"/>
        </w:rPr>
        <w:t xml:space="preserve"> </w:t>
      </w:r>
      <w:r>
        <w:rPr>
          <w:color w:val="231F20"/>
        </w:rPr>
        <w:t>are</w:t>
      </w:r>
      <w:r>
        <w:rPr>
          <w:color w:val="231F20"/>
          <w:spacing w:val="-9"/>
        </w:rPr>
        <w:t xml:space="preserve"> </w:t>
      </w:r>
      <w:r>
        <w:rPr>
          <w:color w:val="231F20"/>
        </w:rPr>
        <w:t>critical</w:t>
      </w:r>
      <w:r>
        <w:rPr>
          <w:color w:val="231F20"/>
          <w:spacing w:val="-9"/>
        </w:rPr>
        <w:t xml:space="preserve"> </w:t>
      </w:r>
      <w:r>
        <w:rPr>
          <w:color w:val="231F20"/>
        </w:rPr>
        <w:t>roles</w:t>
      </w:r>
      <w:r>
        <w:rPr>
          <w:color w:val="231F20"/>
          <w:spacing w:val="-8"/>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response</w:t>
      </w:r>
      <w:r>
        <w:rPr>
          <w:color w:val="231F20"/>
          <w:spacing w:val="-9"/>
        </w:rPr>
        <w:t xml:space="preserve"> </w:t>
      </w:r>
      <w:r>
        <w:rPr>
          <w:color w:val="231F20"/>
        </w:rPr>
        <w:t>to</w:t>
      </w:r>
      <w:r>
        <w:rPr>
          <w:color w:val="231F20"/>
          <w:spacing w:val="-9"/>
        </w:rPr>
        <w:t xml:space="preserve"> </w:t>
      </w:r>
      <w:r>
        <w:rPr>
          <w:color w:val="231F20"/>
        </w:rPr>
        <w:t>emergencies.</w:t>
      </w:r>
      <w:r>
        <w:rPr>
          <w:color w:val="231F20"/>
          <w:spacing w:val="-8"/>
        </w:rPr>
        <w:t xml:space="preserve"> </w:t>
      </w:r>
      <w:r>
        <w:rPr>
          <w:color w:val="231F20"/>
        </w:rPr>
        <w:t>Commencing</w:t>
      </w:r>
      <w:r>
        <w:rPr>
          <w:color w:val="231F20"/>
          <w:spacing w:val="-9"/>
        </w:rPr>
        <w:t xml:space="preserve"> </w:t>
      </w:r>
      <w:r>
        <w:rPr>
          <w:color w:val="231F20"/>
        </w:rPr>
        <w:t>in</w:t>
      </w:r>
      <w:r>
        <w:rPr>
          <w:color w:val="231F20"/>
          <w:spacing w:val="-9"/>
        </w:rPr>
        <w:t xml:space="preserve"> </w:t>
      </w:r>
      <w:r>
        <w:rPr>
          <w:color w:val="231F20"/>
        </w:rPr>
        <w:t>May</w:t>
      </w:r>
      <w:r>
        <w:rPr>
          <w:color w:val="231F20"/>
          <w:spacing w:val="-8"/>
        </w:rPr>
        <w:t xml:space="preserve"> </w:t>
      </w:r>
      <w:r>
        <w:rPr>
          <w:color w:val="231F20"/>
        </w:rPr>
        <w:t>2021,</w:t>
      </w:r>
      <w:r>
        <w:rPr>
          <w:color w:val="231F20"/>
          <w:spacing w:val="-8"/>
        </w:rPr>
        <w:t xml:space="preserve"> </w:t>
      </w:r>
      <w:r>
        <w:rPr>
          <w:color w:val="231F20"/>
        </w:rPr>
        <w:t>the</w:t>
      </w:r>
      <w:r>
        <w:rPr>
          <w:color w:val="231F20"/>
          <w:spacing w:val="-9"/>
        </w:rPr>
        <w:t xml:space="preserve"> </w:t>
      </w:r>
      <w:r>
        <w:rPr>
          <w:color w:val="231F20"/>
        </w:rPr>
        <w:t>training continued throughout 2021–22. Over 700 members of sergeant rank and above have been trained in the important facets of evacuation and traffic management during emergencies.</w:t>
      </w:r>
    </w:p>
    <w:p w14:paraId="48030483" w14:textId="77777777" w:rsidR="00345EE3" w:rsidRDefault="00345EE3" w:rsidP="00345EE3">
      <w:pPr>
        <w:pStyle w:val="BodyText"/>
        <w:spacing w:before="6" w:line="242" w:lineRule="auto"/>
        <w:ind w:right="1141"/>
      </w:pPr>
      <w:r>
        <w:rPr>
          <w:color w:val="231F20"/>
        </w:rPr>
        <w:t>Comprehensive</w:t>
      </w:r>
      <w:r>
        <w:rPr>
          <w:color w:val="231F20"/>
          <w:spacing w:val="-10"/>
        </w:rPr>
        <w:t xml:space="preserve"> </w:t>
      </w:r>
      <w:r>
        <w:rPr>
          <w:color w:val="231F20"/>
        </w:rPr>
        <w:t>information</w:t>
      </w:r>
      <w:r>
        <w:rPr>
          <w:color w:val="231F20"/>
          <w:spacing w:val="-10"/>
        </w:rPr>
        <w:t xml:space="preserve"> </w:t>
      </w:r>
      <w:r>
        <w:rPr>
          <w:color w:val="231F20"/>
        </w:rPr>
        <w:t>hubs</w:t>
      </w:r>
      <w:r>
        <w:rPr>
          <w:color w:val="231F20"/>
          <w:spacing w:val="-9"/>
        </w:rPr>
        <w:t xml:space="preserve"> </w:t>
      </w:r>
      <w:r>
        <w:rPr>
          <w:color w:val="231F20"/>
        </w:rPr>
        <w:t>on</w:t>
      </w:r>
      <w:r>
        <w:rPr>
          <w:color w:val="231F20"/>
          <w:spacing w:val="-10"/>
        </w:rPr>
        <w:t xml:space="preserve"> </w:t>
      </w:r>
      <w:r>
        <w:rPr>
          <w:color w:val="231F20"/>
        </w:rPr>
        <w:t>these</w:t>
      </w:r>
      <w:r>
        <w:rPr>
          <w:color w:val="231F20"/>
          <w:spacing w:val="-10"/>
        </w:rPr>
        <w:t xml:space="preserve"> </w:t>
      </w:r>
      <w:r>
        <w:rPr>
          <w:color w:val="231F20"/>
        </w:rPr>
        <w:t>topics</w:t>
      </w:r>
      <w:r>
        <w:rPr>
          <w:color w:val="231F20"/>
          <w:spacing w:val="-9"/>
        </w:rPr>
        <w:t xml:space="preserve"> </w:t>
      </w:r>
      <w:r>
        <w:rPr>
          <w:color w:val="231F20"/>
        </w:rPr>
        <w:t>have</w:t>
      </w:r>
      <w:r>
        <w:rPr>
          <w:color w:val="231F20"/>
          <w:spacing w:val="-10"/>
        </w:rPr>
        <w:t xml:space="preserve"> </w:t>
      </w:r>
      <w:r>
        <w:rPr>
          <w:color w:val="231F20"/>
        </w:rPr>
        <w:t>also</w:t>
      </w:r>
      <w:r>
        <w:rPr>
          <w:color w:val="231F20"/>
          <w:spacing w:val="-10"/>
        </w:rPr>
        <w:t xml:space="preserve"> </w:t>
      </w:r>
      <w:r>
        <w:rPr>
          <w:color w:val="231F20"/>
        </w:rPr>
        <w:t>been</w:t>
      </w:r>
      <w:r>
        <w:rPr>
          <w:color w:val="231F20"/>
          <w:spacing w:val="-10"/>
        </w:rPr>
        <w:t xml:space="preserve"> </w:t>
      </w:r>
      <w:r>
        <w:rPr>
          <w:color w:val="231F20"/>
        </w:rPr>
        <w:t>published</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Victoria Police intranet.</w:t>
      </w:r>
    </w:p>
    <w:p w14:paraId="36D0FDBE" w14:textId="77777777" w:rsidR="00345EE3" w:rsidRPr="00EA50F4" w:rsidRDefault="00345EE3" w:rsidP="00EA50F4">
      <w:pPr>
        <w:pStyle w:val="Heading5"/>
        <w:spacing w:before="172"/>
        <w:ind w:left="0"/>
        <w:rPr>
          <w:color w:val="000000" w:themeColor="text1"/>
        </w:rPr>
      </w:pPr>
      <w:r w:rsidRPr="00EA50F4">
        <w:rPr>
          <w:color w:val="000000" w:themeColor="text1"/>
        </w:rPr>
        <w:t>Operation</w:t>
      </w:r>
      <w:r w:rsidRPr="00EA50F4">
        <w:rPr>
          <w:color w:val="000000" w:themeColor="text1"/>
          <w:spacing w:val="-11"/>
        </w:rPr>
        <w:t xml:space="preserve"> </w:t>
      </w:r>
      <w:r w:rsidRPr="00EA50F4">
        <w:rPr>
          <w:color w:val="000000" w:themeColor="text1"/>
          <w:spacing w:val="-2"/>
        </w:rPr>
        <w:t>Achilles</w:t>
      </w:r>
    </w:p>
    <w:p w14:paraId="0AA327EF" w14:textId="77777777" w:rsidR="00345EE3" w:rsidRDefault="00345EE3" w:rsidP="00345EE3">
      <w:pPr>
        <w:pStyle w:val="BodyText"/>
        <w:spacing w:before="5" w:line="242" w:lineRule="auto"/>
      </w:pPr>
      <w:r>
        <w:rPr>
          <w:color w:val="231F20"/>
        </w:rPr>
        <w:t>In</w:t>
      </w:r>
      <w:r>
        <w:rPr>
          <w:color w:val="231F20"/>
          <w:spacing w:val="-12"/>
        </w:rPr>
        <w:t xml:space="preserve"> </w:t>
      </w:r>
      <w:r>
        <w:rPr>
          <w:color w:val="231F20"/>
        </w:rPr>
        <w:t>February</w:t>
      </w:r>
      <w:r>
        <w:rPr>
          <w:color w:val="231F20"/>
          <w:spacing w:val="-11"/>
        </w:rPr>
        <w:t xml:space="preserve"> </w:t>
      </w:r>
      <w:r>
        <w:rPr>
          <w:color w:val="231F20"/>
        </w:rPr>
        <w:t>2021,</w:t>
      </w:r>
      <w:r>
        <w:rPr>
          <w:color w:val="231F20"/>
          <w:spacing w:val="-11"/>
        </w:rPr>
        <w:t xml:space="preserve"> </w:t>
      </w:r>
      <w:r>
        <w:rPr>
          <w:color w:val="231F20"/>
        </w:rPr>
        <w:t>Victoria</w:t>
      </w:r>
      <w:r>
        <w:rPr>
          <w:color w:val="231F20"/>
          <w:spacing w:val="-12"/>
        </w:rPr>
        <w:t xml:space="preserve"> </w:t>
      </w:r>
      <w:r>
        <w:rPr>
          <w:color w:val="231F20"/>
        </w:rPr>
        <w:t>Police</w:t>
      </w:r>
      <w:r>
        <w:rPr>
          <w:color w:val="231F20"/>
          <w:spacing w:val="-12"/>
        </w:rPr>
        <w:t xml:space="preserve"> </w:t>
      </w:r>
      <w:r>
        <w:rPr>
          <w:color w:val="231F20"/>
        </w:rPr>
        <w:t>launched</w:t>
      </w:r>
      <w:r>
        <w:rPr>
          <w:color w:val="231F20"/>
          <w:spacing w:val="-12"/>
        </w:rPr>
        <w:t xml:space="preserve"> </w:t>
      </w:r>
      <w:r>
        <w:rPr>
          <w:color w:val="231F20"/>
        </w:rPr>
        <w:t>Operation</w:t>
      </w:r>
      <w:r>
        <w:rPr>
          <w:color w:val="231F20"/>
          <w:spacing w:val="-12"/>
        </w:rPr>
        <w:t xml:space="preserve"> </w:t>
      </w:r>
      <w:r>
        <w:rPr>
          <w:color w:val="231F20"/>
        </w:rPr>
        <w:t>Achilles,</w:t>
      </w:r>
      <w:r>
        <w:rPr>
          <w:color w:val="231F20"/>
          <w:spacing w:val="-11"/>
        </w:rPr>
        <w:t xml:space="preserve"> </w:t>
      </w:r>
      <w:r>
        <w:rPr>
          <w:color w:val="231F20"/>
        </w:rPr>
        <w:t>an</w:t>
      </w:r>
      <w:r>
        <w:rPr>
          <w:color w:val="231F20"/>
          <w:spacing w:val="-12"/>
        </w:rPr>
        <w:t xml:space="preserve"> </w:t>
      </w:r>
      <w:r>
        <w:rPr>
          <w:color w:val="231F20"/>
        </w:rPr>
        <w:t>ongoing</w:t>
      </w:r>
      <w:r>
        <w:rPr>
          <w:color w:val="231F20"/>
          <w:spacing w:val="-12"/>
        </w:rPr>
        <w:t xml:space="preserve"> </w:t>
      </w:r>
      <w:r>
        <w:rPr>
          <w:color w:val="231F20"/>
        </w:rPr>
        <w:t>state-wide</w:t>
      </w:r>
      <w:r>
        <w:rPr>
          <w:color w:val="231F20"/>
          <w:spacing w:val="-12"/>
        </w:rPr>
        <w:t xml:space="preserve"> </w:t>
      </w:r>
      <w:r>
        <w:rPr>
          <w:color w:val="231F20"/>
        </w:rPr>
        <w:t>operational response targeting an increased in illegal and ‘hoon’ related driving events. These high-</w:t>
      </w:r>
    </w:p>
    <w:p w14:paraId="303FC15C" w14:textId="77777777" w:rsidR="00345EE3" w:rsidRDefault="00345EE3" w:rsidP="00345EE3">
      <w:pPr>
        <w:pStyle w:val="BodyText"/>
        <w:spacing w:before="2" w:line="242" w:lineRule="auto"/>
        <w:ind w:right="921"/>
      </w:pPr>
      <w:r>
        <w:rPr>
          <w:color w:val="231F20"/>
        </w:rPr>
        <w:t>risk</w:t>
      </w:r>
      <w:r>
        <w:rPr>
          <w:color w:val="231F20"/>
          <w:spacing w:val="-9"/>
        </w:rPr>
        <w:t xml:space="preserve"> </w:t>
      </w:r>
      <w:r>
        <w:rPr>
          <w:color w:val="231F20"/>
        </w:rPr>
        <w:t>driving</w:t>
      </w:r>
      <w:r>
        <w:rPr>
          <w:color w:val="231F20"/>
          <w:spacing w:val="-10"/>
        </w:rPr>
        <w:t xml:space="preserve"> </w:t>
      </w:r>
      <w:r>
        <w:rPr>
          <w:color w:val="231F20"/>
        </w:rPr>
        <w:t>events</w:t>
      </w:r>
      <w:r>
        <w:rPr>
          <w:color w:val="231F20"/>
          <w:spacing w:val="-9"/>
        </w:rPr>
        <w:t xml:space="preserve"> </w:t>
      </w:r>
      <w:r>
        <w:rPr>
          <w:color w:val="231F20"/>
        </w:rPr>
        <w:t>include</w:t>
      </w:r>
      <w:r>
        <w:rPr>
          <w:color w:val="231F20"/>
          <w:spacing w:val="-10"/>
        </w:rPr>
        <w:t xml:space="preserve"> </w:t>
      </w:r>
      <w:r>
        <w:rPr>
          <w:color w:val="231F20"/>
        </w:rPr>
        <w:t>drag</w:t>
      </w:r>
      <w:r>
        <w:rPr>
          <w:color w:val="231F20"/>
          <w:spacing w:val="-10"/>
        </w:rPr>
        <w:t xml:space="preserve"> </w:t>
      </w:r>
      <w:r>
        <w:rPr>
          <w:color w:val="231F20"/>
        </w:rPr>
        <w:t>racing,</w:t>
      </w:r>
      <w:r>
        <w:rPr>
          <w:color w:val="231F20"/>
          <w:spacing w:val="-9"/>
        </w:rPr>
        <w:t xml:space="preserve"> </w:t>
      </w:r>
      <w:r>
        <w:rPr>
          <w:color w:val="231F20"/>
        </w:rPr>
        <w:t>speeding,</w:t>
      </w:r>
      <w:r>
        <w:rPr>
          <w:color w:val="231F20"/>
          <w:spacing w:val="-9"/>
        </w:rPr>
        <w:t xml:space="preserve"> </w:t>
      </w:r>
      <w:r>
        <w:rPr>
          <w:color w:val="231F20"/>
        </w:rPr>
        <w:t>burnouts</w:t>
      </w:r>
      <w:r>
        <w:rPr>
          <w:color w:val="231F20"/>
          <w:spacing w:val="-9"/>
        </w:rPr>
        <w:t xml:space="preserve"> </w:t>
      </w:r>
      <w:r>
        <w:rPr>
          <w:color w:val="231F20"/>
        </w:rPr>
        <w:t>and</w:t>
      </w:r>
      <w:r>
        <w:rPr>
          <w:color w:val="231F20"/>
          <w:spacing w:val="-10"/>
        </w:rPr>
        <w:t xml:space="preserve"> </w:t>
      </w:r>
      <w:r>
        <w:rPr>
          <w:color w:val="231F20"/>
        </w:rPr>
        <w:t>other</w:t>
      </w:r>
      <w:r>
        <w:rPr>
          <w:color w:val="231F20"/>
          <w:spacing w:val="-9"/>
        </w:rPr>
        <w:t xml:space="preserve"> </w:t>
      </w:r>
      <w:r>
        <w:rPr>
          <w:color w:val="231F20"/>
        </w:rPr>
        <w:t>forms</w:t>
      </w:r>
      <w:r>
        <w:rPr>
          <w:color w:val="231F20"/>
          <w:spacing w:val="-9"/>
        </w:rPr>
        <w:t xml:space="preserve"> </w:t>
      </w:r>
      <w:r>
        <w:rPr>
          <w:color w:val="231F20"/>
        </w:rPr>
        <w:t>of</w:t>
      </w:r>
      <w:r>
        <w:rPr>
          <w:color w:val="231F20"/>
          <w:spacing w:val="-9"/>
        </w:rPr>
        <w:t xml:space="preserve"> </w:t>
      </w:r>
      <w:r>
        <w:rPr>
          <w:color w:val="231F20"/>
        </w:rPr>
        <w:t>reckless</w:t>
      </w:r>
      <w:r>
        <w:rPr>
          <w:color w:val="231F20"/>
          <w:spacing w:val="-9"/>
        </w:rPr>
        <w:t xml:space="preserve"> </w:t>
      </w:r>
      <w:r>
        <w:rPr>
          <w:color w:val="231F20"/>
        </w:rPr>
        <w:t>and dangerous driving.</w:t>
      </w:r>
    </w:p>
    <w:p w14:paraId="18E9AF7B" w14:textId="77777777" w:rsidR="00345EE3" w:rsidRDefault="00345EE3" w:rsidP="00EA50F4">
      <w:pPr>
        <w:spacing w:before="116" w:line="242" w:lineRule="auto"/>
        <w:ind w:right="848"/>
        <w:rPr>
          <w:sz w:val="24"/>
        </w:rPr>
      </w:pPr>
      <w:r>
        <w:rPr>
          <w:color w:val="231F20"/>
          <w:sz w:val="24"/>
        </w:rPr>
        <w:t>High-risk</w:t>
      </w:r>
      <w:r>
        <w:rPr>
          <w:color w:val="231F20"/>
          <w:spacing w:val="-6"/>
          <w:sz w:val="24"/>
        </w:rPr>
        <w:t xml:space="preserve"> </w:t>
      </w:r>
      <w:r>
        <w:rPr>
          <w:color w:val="231F20"/>
          <w:sz w:val="24"/>
        </w:rPr>
        <w:t>driving</w:t>
      </w:r>
      <w:r>
        <w:rPr>
          <w:color w:val="231F20"/>
          <w:spacing w:val="-6"/>
          <w:sz w:val="24"/>
        </w:rPr>
        <w:t xml:space="preserve"> </w:t>
      </w:r>
      <w:r>
        <w:rPr>
          <w:color w:val="231F20"/>
          <w:sz w:val="24"/>
        </w:rPr>
        <w:t>and</w:t>
      </w:r>
      <w:r>
        <w:rPr>
          <w:color w:val="231F20"/>
          <w:spacing w:val="-6"/>
          <w:sz w:val="24"/>
        </w:rPr>
        <w:t xml:space="preserve"> </w:t>
      </w:r>
      <w:r>
        <w:rPr>
          <w:color w:val="231F20"/>
          <w:sz w:val="24"/>
        </w:rPr>
        <w:t>‘hoon’</w:t>
      </w:r>
      <w:r>
        <w:rPr>
          <w:color w:val="231F20"/>
          <w:spacing w:val="-6"/>
          <w:sz w:val="24"/>
        </w:rPr>
        <w:t xml:space="preserve"> </w:t>
      </w:r>
      <w:r>
        <w:rPr>
          <w:color w:val="231F20"/>
          <w:sz w:val="24"/>
        </w:rPr>
        <w:t>activity</w:t>
      </w:r>
      <w:r>
        <w:rPr>
          <w:color w:val="231F20"/>
          <w:spacing w:val="-6"/>
          <w:sz w:val="24"/>
        </w:rPr>
        <w:t xml:space="preserve"> </w:t>
      </w:r>
      <w:r>
        <w:rPr>
          <w:color w:val="231F20"/>
          <w:sz w:val="24"/>
        </w:rPr>
        <w:t>is</w:t>
      </w:r>
      <w:r>
        <w:rPr>
          <w:color w:val="231F20"/>
          <w:spacing w:val="-6"/>
          <w:sz w:val="24"/>
        </w:rPr>
        <w:t xml:space="preserve"> </w:t>
      </w:r>
      <w:r>
        <w:rPr>
          <w:color w:val="231F20"/>
          <w:sz w:val="24"/>
        </w:rPr>
        <w:t>a</w:t>
      </w:r>
      <w:r>
        <w:rPr>
          <w:color w:val="231F20"/>
          <w:spacing w:val="-6"/>
          <w:sz w:val="24"/>
        </w:rPr>
        <w:t xml:space="preserve"> </w:t>
      </w:r>
      <w:r>
        <w:rPr>
          <w:color w:val="231F20"/>
          <w:sz w:val="24"/>
        </w:rPr>
        <w:t>significant</w:t>
      </w:r>
      <w:r>
        <w:rPr>
          <w:color w:val="231F20"/>
          <w:spacing w:val="-6"/>
          <w:sz w:val="24"/>
        </w:rPr>
        <w:t xml:space="preserve"> </w:t>
      </w:r>
      <w:r>
        <w:rPr>
          <w:color w:val="231F20"/>
          <w:sz w:val="24"/>
        </w:rPr>
        <w:t>community</w:t>
      </w:r>
      <w:r>
        <w:rPr>
          <w:color w:val="231F20"/>
          <w:spacing w:val="-6"/>
          <w:sz w:val="24"/>
        </w:rPr>
        <w:t xml:space="preserve"> </w:t>
      </w:r>
      <w:r>
        <w:rPr>
          <w:color w:val="231F20"/>
          <w:sz w:val="24"/>
        </w:rPr>
        <w:t>safety</w:t>
      </w:r>
      <w:r>
        <w:rPr>
          <w:color w:val="231F20"/>
          <w:spacing w:val="-6"/>
          <w:sz w:val="24"/>
        </w:rPr>
        <w:t xml:space="preserve"> </w:t>
      </w:r>
      <w:r>
        <w:rPr>
          <w:color w:val="231F20"/>
          <w:sz w:val="24"/>
        </w:rPr>
        <w:t>and</w:t>
      </w:r>
      <w:r>
        <w:rPr>
          <w:color w:val="231F20"/>
          <w:spacing w:val="-6"/>
          <w:sz w:val="24"/>
        </w:rPr>
        <w:t xml:space="preserve"> </w:t>
      </w:r>
      <w:r>
        <w:rPr>
          <w:color w:val="231F20"/>
          <w:sz w:val="24"/>
        </w:rPr>
        <w:t>amenity</w:t>
      </w:r>
      <w:r>
        <w:rPr>
          <w:color w:val="231F20"/>
          <w:spacing w:val="-6"/>
          <w:sz w:val="24"/>
        </w:rPr>
        <w:t xml:space="preserve"> </w:t>
      </w:r>
      <w:r>
        <w:rPr>
          <w:color w:val="231F20"/>
          <w:sz w:val="24"/>
        </w:rPr>
        <w:t>concern</w:t>
      </w:r>
      <w:r>
        <w:rPr>
          <w:color w:val="231F20"/>
          <w:spacing w:val="-6"/>
          <w:sz w:val="24"/>
        </w:rPr>
        <w:t xml:space="preserve"> </w:t>
      </w:r>
      <w:r>
        <w:rPr>
          <w:color w:val="231F20"/>
          <w:sz w:val="24"/>
        </w:rPr>
        <w:t>and</w:t>
      </w:r>
      <w:r>
        <w:rPr>
          <w:color w:val="231F20"/>
          <w:spacing w:val="-6"/>
          <w:sz w:val="24"/>
        </w:rPr>
        <w:t xml:space="preserve"> </w:t>
      </w:r>
      <w:r>
        <w:rPr>
          <w:color w:val="231F20"/>
          <w:sz w:val="24"/>
        </w:rPr>
        <w:t>is an</w:t>
      </w:r>
      <w:r>
        <w:rPr>
          <w:color w:val="231F20"/>
          <w:spacing w:val="-8"/>
          <w:sz w:val="24"/>
        </w:rPr>
        <w:t xml:space="preserve"> </w:t>
      </w:r>
      <w:r>
        <w:rPr>
          <w:color w:val="231F20"/>
          <w:sz w:val="24"/>
        </w:rPr>
        <w:t>area</w:t>
      </w:r>
      <w:r>
        <w:rPr>
          <w:color w:val="231F20"/>
          <w:spacing w:val="-8"/>
          <w:sz w:val="24"/>
        </w:rPr>
        <w:t xml:space="preserve"> </w:t>
      </w:r>
      <w:r>
        <w:rPr>
          <w:color w:val="231F20"/>
          <w:sz w:val="24"/>
        </w:rPr>
        <w:t>of</w:t>
      </w:r>
      <w:r>
        <w:rPr>
          <w:color w:val="231F20"/>
          <w:spacing w:val="-7"/>
          <w:sz w:val="24"/>
        </w:rPr>
        <w:t xml:space="preserve"> </w:t>
      </w:r>
      <w:r>
        <w:rPr>
          <w:color w:val="231F20"/>
          <w:sz w:val="24"/>
        </w:rPr>
        <w:t>focus</w:t>
      </w:r>
      <w:r>
        <w:rPr>
          <w:color w:val="231F20"/>
          <w:spacing w:val="-7"/>
          <w:sz w:val="24"/>
        </w:rPr>
        <w:t xml:space="preserve"> </w:t>
      </w:r>
      <w:r>
        <w:rPr>
          <w:color w:val="231F20"/>
          <w:sz w:val="24"/>
        </w:rPr>
        <w:t>in</w:t>
      </w:r>
      <w:r>
        <w:rPr>
          <w:color w:val="231F20"/>
          <w:spacing w:val="-8"/>
          <w:sz w:val="24"/>
        </w:rPr>
        <w:t xml:space="preserve"> </w:t>
      </w:r>
      <w:r>
        <w:rPr>
          <w:color w:val="231F20"/>
          <w:sz w:val="24"/>
        </w:rPr>
        <w:t>the</w:t>
      </w:r>
      <w:r>
        <w:rPr>
          <w:color w:val="231F20"/>
          <w:spacing w:val="-8"/>
          <w:sz w:val="24"/>
        </w:rPr>
        <w:t xml:space="preserve"> </w:t>
      </w:r>
      <w:r>
        <w:rPr>
          <w:i/>
          <w:color w:val="231F20"/>
          <w:sz w:val="24"/>
        </w:rPr>
        <w:t>Victoria</w:t>
      </w:r>
      <w:r>
        <w:rPr>
          <w:i/>
          <w:color w:val="231F20"/>
          <w:spacing w:val="-15"/>
          <w:sz w:val="24"/>
        </w:rPr>
        <w:t xml:space="preserve"> </w:t>
      </w:r>
      <w:r>
        <w:rPr>
          <w:i/>
          <w:color w:val="231F20"/>
          <w:sz w:val="24"/>
        </w:rPr>
        <w:t>Police</w:t>
      </w:r>
      <w:r>
        <w:rPr>
          <w:i/>
          <w:color w:val="231F20"/>
          <w:spacing w:val="-15"/>
          <w:sz w:val="24"/>
        </w:rPr>
        <w:t xml:space="preserve"> </w:t>
      </w:r>
      <w:r>
        <w:rPr>
          <w:i/>
          <w:color w:val="231F20"/>
          <w:sz w:val="24"/>
        </w:rPr>
        <w:t>Road</w:t>
      </w:r>
      <w:r>
        <w:rPr>
          <w:i/>
          <w:color w:val="231F20"/>
          <w:spacing w:val="-15"/>
          <w:sz w:val="24"/>
        </w:rPr>
        <w:t xml:space="preserve"> </w:t>
      </w:r>
      <w:r>
        <w:rPr>
          <w:i/>
          <w:color w:val="231F20"/>
          <w:sz w:val="24"/>
        </w:rPr>
        <w:t>Safety</w:t>
      </w:r>
      <w:r>
        <w:rPr>
          <w:i/>
          <w:color w:val="231F20"/>
          <w:spacing w:val="-15"/>
          <w:sz w:val="24"/>
        </w:rPr>
        <w:t xml:space="preserve"> </w:t>
      </w:r>
      <w:r>
        <w:rPr>
          <w:i/>
          <w:color w:val="231F20"/>
          <w:sz w:val="24"/>
        </w:rPr>
        <w:t>Strategy</w:t>
      </w:r>
      <w:r>
        <w:rPr>
          <w:i/>
          <w:color w:val="231F20"/>
          <w:spacing w:val="-15"/>
          <w:sz w:val="24"/>
        </w:rPr>
        <w:t xml:space="preserve"> </w:t>
      </w:r>
      <w:r>
        <w:rPr>
          <w:i/>
          <w:color w:val="231F20"/>
          <w:sz w:val="24"/>
        </w:rPr>
        <w:t>2021–24</w:t>
      </w:r>
      <w:r>
        <w:rPr>
          <w:color w:val="231F20"/>
          <w:sz w:val="24"/>
        </w:rPr>
        <w:t>.</w:t>
      </w:r>
    </w:p>
    <w:p w14:paraId="57FDB8FB" w14:textId="77777777" w:rsidR="00345EE3" w:rsidRDefault="00345EE3" w:rsidP="00345EE3">
      <w:pPr>
        <w:pStyle w:val="BodyText"/>
        <w:spacing w:before="116" w:line="242" w:lineRule="auto"/>
        <w:ind w:right="848"/>
      </w:pPr>
      <w:r>
        <w:rPr>
          <w:color w:val="231F20"/>
        </w:rPr>
        <w:t>Operation Achilles has provided a framework to enhance community safety by disrupting and dismantling</w:t>
      </w:r>
      <w:r>
        <w:rPr>
          <w:color w:val="231F20"/>
          <w:spacing w:val="-10"/>
        </w:rPr>
        <w:t xml:space="preserve"> </w:t>
      </w:r>
      <w:r>
        <w:rPr>
          <w:color w:val="231F20"/>
        </w:rPr>
        <w:t>individuals</w:t>
      </w:r>
      <w:r>
        <w:rPr>
          <w:color w:val="231F20"/>
          <w:spacing w:val="-9"/>
        </w:rPr>
        <w:t xml:space="preserve"> </w:t>
      </w:r>
      <w:r>
        <w:rPr>
          <w:color w:val="231F20"/>
        </w:rPr>
        <w:t>and</w:t>
      </w:r>
      <w:r>
        <w:rPr>
          <w:color w:val="231F20"/>
          <w:spacing w:val="-10"/>
        </w:rPr>
        <w:t xml:space="preserve"> </w:t>
      </w:r>
      <w:r>
        <w:rPr>
          <w:color w:val="231F20"/>
        </w:rPr>
        <w:t>groups</w:t>
      </w:r>
      <w:r>
        <w:rPr>
          <w:color w:val="231F20"/>
          <w:spacing w:val="-9"/>
        </w:rPr>
        <w:t xml:space="preserve"> </w:t>
      </w:r>
      <w:r>
        <w:rPr>
          <w:color w:val="231F20"/>
        </w:rPr>
        <w:t>who</w:t>
      </w:r>
      <w:r>
        <w:rPr>
          <w:color w:val="231F20"/>
          <w:spacing w:val="-10"/>
        </w:rPr>
        <w:t xml:space="preserve"> </w:t>
      </w:r>
      <w:r>
        <w:rPr>
          <w:color w:val="231F20"/>
        </w:rPr>
        <w:t>seek</w:t>
      </w:r>
      <w:r>
        <w:rPr>
          <w:color w:val="231F20"/>
          <w:spacing w:val="-9"/>
        </w:rPr>
        <w:t xml:space="preserve"> </w:t>
      </w:r>
      <w:r>
        <w:rPr>
          <w:color w:val="231F20"/>
        </w:rPr>
        <w:t>to</w:t>
      </w:r>
      <w:r>
        <w:rPr>
          <w:color w:val="231F20"/>
          <w:spacing w:val="-10"/>
        </w:rPr>
        <w:t xml:space="preserve"> </w:t>
      </w:r>
      <w:r>
        <w:rPr>
          <w:color w:val="231F20"/>
        </w:rPr>
        <w:t>engage</w:t>
      </w:r>
      <w:r>
        <w:rPr>
          <w:color w:val="231F20"/>
          <w:spacing w:val="-10"/>
        </w:rPr>
        <w:t xml:space="preserve"> </w:t>
      </w:r>
      <w:r>
        <w:rPr>
          <w:color w:val="231F20"/>
        </w:rPr>
        <w:t>in</w:t>
      </w:r>
      <w:r>
        <w:rPr>
          <w:color w:val="231F20"/>
          <w:spacing w:val="-10"/>
        </w:rPr>
        <w:t xml:space="preserve"> </w:t>
      </w:r>
      <w:r>
        <w:rPr>
          <w:color w:val="231F20"/>
        </w:rPr>
        <w:t>illegal</w:t>
      </w:r>
      <w:r>
        <w:rPr>
          <w:color w:val="231F20"/>
          <w:spacing w:val="-10"/>
        </w:rPr>
        <w:t xml:space="preserve"> </w:t>
      </w:r>
      <w:r>
        <w:rPr>
          <w:color w:val="231F20"/>
        </w:rPr>
        <w:t>high-risk</w:t>
      </w:r>
      <w:r>
        <w:rPr>
          <w:color w:val="231F20"/>
          <w:spacing w:val="-9"/>
        </w:rPr>
        <w:t xml:space="preserve"> </w:t>
      </w:r>
      <w:r>
        <w:rPr>
          <w:color w:val="231F20"/>
        </w:rPr>
        <w:t>driving</w:t>
      </w:r>
      <w:r>
        <w:rPr>
          <w:color w:val="231F20"/>
          <w:spacing w:val="-10"/>
        </w:rPr>
        <w:t xml:space="preserve"> </w:t>
      </w:r>
      <w:r>
        <w:rPr>
          <w:color w:val="231F20"/>
        </w:rPr>
        <w:t>behaviour</w:t>
      </w:r>
      <w:r>
        <w:rPr>
          <w:color w:val="231F20"/>
          <w:spacing w:val="-9"/>
        </w:rPr>
        <w:t xml:space="preserve"> </w:t>
      </w:r>
      <w:r>
        <w:rPr>
          <w:color w:val="231F20"/>
        </w:rPr>
        <w:t>such as drag racing and performing burnouts on public roads and streets. The strategy’s success is founded</w:t>
      </w:r>
      <w:r>
        <w:rPr>
          <w:color w:val="231F20"/>
          <w:spacing w:val="-7"/>
        </w:rPr>
        <w:t xml:space="preserve"> </w:t>
      </w:r>
      <w:r>
        <w:rPr>
          <w:color w:val="231F20"/>
        </w:rPr>
        <w:t>on</w:t>
      </w:r>
      <w:r>
        <w:rPr>
          <w:color w:val="231F20"/>
          <w:spacing w:val="-7"/>
        </w:rPr>
        <w:t xml:space="preserve"> </w:t>
      </w:r>
      <w:r>
        <w:rPr>
          <w:color w:val="231F20"/>
        </w:rPr>
        <w:t>holding</w:t>
      </w:r>
      <w:r>
        <w:rPr>
          <w:color w:val="231F20"/>
          <w:spacing w:val="-7"/>
        </w:rPr>
        <w:t xml:space="preserve"> </w:t>
      </w:r>
      <w:r>
        <w:rPr>
          <w:color w:val="231F20"/>
        </w:rPr>
        <w:t>drivers</w:t>
      </w:r>
      <w:r>
        <w:rPr>
          <w:color w:val="231F20"/>
          <w:spacing w:val="-6"/>
        </w:rPr>
        <w:t xml:space="preserve"> </w:t>
      </w:r>
      <w:r>
        <w:rPr>
          <w:color w:val="231F20"/>
        </w:rPr>
        <w:t>who</w:t>
      </w:r>
      <w:r>
        <w:rPr>
          <w:color w:val="231F20"/>
          <w:spacing w:val="-7"/>
        </w:rPr>
        <w:t xml:space="preserve"> </w:t>
      </w:r>
      <w:r>
        <w:rPr>
          <w:color w:val="231F20"/>
        </w:rPr>
        <w:t>engage</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reckless</w:t>
      </w:r>
      <w:r>
        <w:rPr>
          <w:color w:val="231F20"/>
          <w:spacing w:val="-6"/>
        </w:rPr>
        <w:t xml:space="preserve"> </w:t>
      </w:r>
      <w:r>
        <w:rPr>
          <w:color w:val="231F20"/>
        </w:rPr>
        <w:t>behaviour</w:t>
      </w:r>
      <w:r>
        <w:rPr>
          <w:color w:val="231F20"/>
          <w:spacing w:val="-6"/>
        </w:rPr>
        <w:t xml:space="preserve"> </w:t>
      </w:r>
      <w:r>
        <w:rPr>
          <w:color w:val="231F20"/>
        </w:rPr>
        <w:t>to</w:t>
      </w:r>
      <w:r>
        <w:rPr>
          <w:color w:val="231F20"/>
          <w:spacing w:val="-7"/>
        </w:rPr>
        <w:t xml:space="preserve"> </w:t>
      </w:r>
      <w:r>
        <w:rPr>
          <w:color w:val="231F20"/>
        </w:rPr>
        <w:t>account</w:t>
      </w:r>
      <w:r>
        <w:rPr>
          <w:color w:val="231F20"/>
          <w:spacing w:val="-6"/>
        </w:rPr>
        <w:t xml:space="preserve"> </w:t>
      </w:r>
      <w:r>
        <w:rPr>
          <w:color w:val="231F20"/>
        </w:rPr>
        <w:t>and</w:t>
      </w:r>
      <w:r>
        <w:rPr>
          <w:color w:val="231F20"/>
          <w:spacing w:val="-7"/>
        </w:rPr>
        <w:t xml:space="preserve"> </w:t>
      </w:r>
      <w:r>
        <w:rPr>
          <w:color w:val="231F20"/>
        </w:rPr>
        <w:t>targeting</w:t>
      </w:r>
      <w:r>
        <w:rPr>
          <w:color w:val="231F20"/>
          <w:spacing w:val="-7"/>
        </w:rPr>
        <w:t xml:space="preserve"> </w:t>
      </w:r>
      <w:r>
        <w:rPr>
          <w:color w:val="231F20"/>
        </w:rPr>
        <w:t>those who organise, promote and attend these events.</w:t>
      </w:r>
    </w:p>
    <w:p w14:paraId="3BAE50F9" w14:textId="77777777" w:rsidR="00345EE3" w:rsidRDefault="00345EE3" w:rsidP="00345EE3">
      <w:pPr>
        <w:pStyle w:val="BodyText"/>
        <w:spacing w:before="120"/>
      </w:pPr>
      <w:r>
        <w:rPr>
          <w:color w:val="231F20"/>
        </w:rPr>
        <w:t>Operation</w:t>
      </w:r>
      <w:r>
        <w:rPr>
          <w:color w:val="231F20"/>
          <w:spacing w:val="-15"/>
        </w:rPr>
        <w:t xml:space="preserve"> </w:t>
      </w:r>
      <w:r>
        <w:rPr>
          <w:color w:val="231F20"/>
        </w:rPr>
        <w:t>Achilles</w:t>
      </w:r>
      <w:r>
        <w:rPr>
          <w:color w:val="231F20"/>
          <w:spacing w:val="-11"/>
        </w:rPr>
        <w:t xml:space="preserve"> </w:t>
      </w:r>
      <w:r>
        <w:rPr>
          <w:color w:val="231F20"/>
        </w:rPr>
        <w:t>has</w:t>
      </w:r>
      <w:r>
        <w:rPr>
          <w:color w:val="231F20"/>
          <w:spacing w:val="-12"/>
        </w:rPr>
        <w:t xml:space="preserve"> </w:t>
      </w:r>
      <w:r>
        <w:rPr>
          <w:color w:val="231F20"/>
        </w:rPr>
        <w:t>provided</w:t>
      </w:r>
      <w:r>
        <w:rPr>
          <w:color w:val="231F20"/>
          <w:spacing w:val="-12"/>
        </w:rPr>
        <w:t xml:space="preserve"> </w:t>
      </w:r>
      <w:r>
        <w:rPr>
          <w:color w:val="231F20"/>
        </w:rPr>
        <w:t>a</w:t>
      </w:r>
      <w:r>
        <w:rPr>
          <w:color w:val="231F20"/>
          <w:spacing w:val="-12"/>
        </w:rPr>
        <w:t xml:space="preserve"> </w:t>
      </w:r>
      <w:r>
        <w:rPr>
          <w:color w:val="231F20"/>
        </w:rPr>
        <w:t>structured</w:t>
      </w:r>
      <w:r>
        <w:rPr>
          <w:color w:val="231F20"/>
          <w:spacing w:val="-13"/>
        </w:rPr>
        <w:t xml:space="preserve"> </w:t>
      </w:r>
      <w:r>
        <w:rPr>
          <w:color w:val="231F20"/>
        </w:rPr>
        <w:t>investigative</w:t>
      </w:r>
      <w:r>
        <w:rPr>
          <w:color w:val="231F20"/>
          <w:spacing w:val="-12"/>
        </w:rPr>
        <w:t xml:space="preserve"> </w:t>
      </w:r>
      <w:r>
        <w:rPr>
          <w:color w:val="231F20"/>
        </w:rPr>
        <w:t>framework</w:t>
      </w:r>
      <w:r>
        <w:rPr>
          <w:color w:val="231F20"/>
          <w:spacing w:val="-11"/>
        </w:rPr>
        <w:t xml:space="preserve"> </w:t>
      </w:r>
      <w:r>
        <w:rPr>
          <w:color w:val="231F20"/>
        </w:rPr>
        <w:t>that</w:t>
      </w:r>
      <w:r>
        <w:rPr>
          <w:color w:val="231F20"/>
          <w:spacing w:val="-12"/>
        </w:rPr>
        <w:t xml:space="preserve"> </w:t>
      </w:r>
      <w:r>
        <w:rPr>
          <w:color w:val="231F20"/>
        </w:rPr>
        <w:t>is</w:t>
      </w:r>
      <w:r>
        <w:rPr>
          <w:color w:val="231F20"/>
          <w:spacing w:val="-11"/>
        </w:rPr>
        <w:t xml:space="preserve"> </w:t>
      </w:r>
      <w:r>
        <w:rPr>
          <w:color w:val="231F20"/>
        </w:rPr>
        <w:t>delivering</w:t>
      </w:r>
      <w:r>
        <w:rPr>
          <w:color w:val="231F20"/>
          <w:spacing w:val="-12"/>
        </w:rPr>
        <w:t xml:space="preserve"> </w:t>
      </w:r>
      <w:r>
        <w:rPr>
          <w:color w:val="231F20"/>
          <w:spacing w:val="-2"/>
        </w:rPr>
        <w:t>results.</w:t>
      </w:r>
    </w:p>
    <w:p w14:paraId="2965277E" w14:textId="77777777" w:rsidR="00345EE3" w:rsidRDefault="00345EE3" w:rsidP="00345EE3">
      <w:pPr>
        <w:pStyle w:val="BodyText"/>
        <w:spacing w:before="62" w:line="242" w:lineRule="auto"/>
        <w:ind w:right="921"/>
      </w:pPr>
      <w:r>
        <w:rPr>
          <w:color w:val="231F20"/>
        </w:rPr>
        <w:t>Between</w:t>
      </w:r>
      <w:r>
        <w:rPr>
          <w:color w:val="231F20"/>
          <w:spacing w:val="-7"/>
        </w:rPr>
        <w:t xml:space="preserve"> </w:t>
      </w:r>
      <w:r>
        <w:rPr>
          <w:color w:val="231F20"/>
        </w:rPr>
        <w:t>July</w:t>
      </w:r>
      <w:r>
        <w:rPr>
          <w:color w:val="231F20"/>
          <w:spacing w:val="-7"/>
        </w:rPr>
        <w:t xml:space="preserve"> </w:t>
      </w:r>
      <w:r>
        <w:rPr>
          <w:color w:val="231F20"/>
        </w:rPr>
        <w:t>2021</w:t>
      </w:r>
      <w:r>
        <w:rPr>
          <w:color w:val="231F20"/>
          <w:spacing w:val="-7"/>
        </w:rPr>
        <w:t xml:space="preserve"> </w:t>
      </w:r>
      <w:r>
        <w:rPr>
          <w:color w:val="231F20"/>
        </w:rPr>
        <w:t>and</w:t>
      </w:r>
      <w:r>
        <w:rPr>
          <w:color w:val="231F20"/>
          <w:spacing w:val="-7"/>
        </w:rPr>
        <w:t xml:space="preserve"> </w:t>
      </w:r>
      <w:r>
        <w:rPr>
          <w:color w:val="231F20"/>
        </w:rPr>
        <w:t>March</w:t>
      </w:r>
      <w:r>
        <w:rPr>
          <w:color w:val="231F20"/>
          <w:spacing w:val="-7"/>
        </w:rPr>
        <w:t xml:space="preserve"> </w:t>
      </w:r>
      <w:r>
        <w:rPr>
          <w:color w:val="231F20"/>
        </w:rPr>
        <w:t>2022,</w:t>
      </w:r>
      <w:r>
        <w:rPr>
          <w:color w:val="231F20"/>
          <w:spacing w:val="-7"/>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charged</w:t>
      </w:r>
      <w:r>
        <w:rPr>
          <w:color w:val="231F20"/>
          <w:spacing w:val="-7"/>
        </w:rPr>
        <w:t xml:space="preserve"> </w:t>
      </w:r>
      <w:r>
        <w:rPr>
          <w:color w:val="231F20"/>
        </w:rPr>
        <w:t>more</w:t>
      </w:r>
      <w:r>
        <w:rPr>
          <w:color w:val="231F20"/>
          <w:spacing w:val="-7"/>
        </w:rPr>
        <w:t xml:space="preserve"> </w:t>
      </w:r>
      <w:r>
        <w:rPr>
          <w:color w:val="231F20"/>
        </w:rPr>
        <w:t>than</w:t>
      </w:r>
      <w:r>
        <w:rPr>
          <w:color w:val="231F20"/>
          <w:spacing w:val="-7"/>
        </w:rPr>
        <w:t xml:space="preserve"> </w:t>
      </w:r>
      <w:r>
        <w:rPr>
          <w:color w:val="231F20"/>
        </w:rPr>
        <w:t>200</w:t>
      </w:r>
      <w:r>
        <w:rPr>
          <w:color w:val="231F20"/>
          <w:spacing w:val="-7"/>
        </w:rPr>
        <w:t xml:space="preserve"> </w:t>
      </w:r>
      <w:r>
        <w:rPr>
          <w:color w:val="231F20"/>
        </w:rPr>
        <w:t>offenders</w:t>
      </w:r>
      <w:r>
        <w:rPr>
          <w:color w:val="231F20"/>
          <w:spacing w:val="-7"/>
        </w:rPr>
        <w:t xml:space="preserve"> </w:t>
      </w:r>
      <w:r>
        <w:rPr>
          <w:color w:val="231F20"/>
        </w:rPr>
        <w:t>with</w:t>
      </w:r>
      <w:r>
        <w:rPr>
          <w:color w:val="231F20"/>
          <w:spacing w:val="-7"/>
        </w:rPr>
        <w:t xml:space="preserve"> </w:t>
      </w:r>
      <w:r>
        <w:rPr>
          <w:color w:val="231F20"/>
        </w:rPr>
        <w:t>over 1,100 charges and impounded more than 140 vehicles.</w:t>
      </w:r>
    </w:p>
    <w:p w14:paraId="28A8C7BE" w14:textId="77777777" w:rsidR="00345EE3" w:rsidRPr="004C0C7F" w:rsidRDefault="00345EE3" w:rsidP="004C0C7F">
      <w:pPr>
        <w:pStyle w:val="Heading5"/>
        <w:spacing w:before="173"/>
        <w:ind w:left="0"/>
        <w:rPr>
          <w:color w:val="000000" w:themeColor="text1"/>
        </w:rPr>
      </w:pPr>
      <w:r w:rsidRPr="004C0C7F">
        <w:rPr>
          <w:color w:val="000000" w:themeColor="text1"/>
        </w:rPr>
        <w:t>CommSafe</w:t>
      </w:r>
      <w:r w:rsidRPr="004C0C7F">
        <w:rPr>
          <w:color w:val="000000" w:themeColor="text1"/>
          <w:spacing w:val="-8"/>
        </w:rPr>
        <w:t xml:space="preserve"> </w:t>
      </w:r>
      <w:r w:rsidRPr="004C0C7F">
        <w:rPr>
          <w:color w:val="000000" w:themeColor="text1"/>
          <w:spacing w:val="-2"/>
        </w:rPr>
        <w:t>forums</w:t>
      </w:r>
    </w:p>
    <w:p w14:paraId="6E039BFD" w14:textId="77777777" w:rsidR="00345EE3" w:rsidRDefault="00345EE3" w:rsidP="00345EE3">
      <w:pPr>
        <w:pStyle w:val="BodyText"/>
        <w:spacing w:before="4" w:line="242" w:lineRule="auto"/>
        <w:ind w:right="921"/>
      </w:pPr>
      <w:r>
        <w:rPr>
          <w:color w:val="231F20"/>
        </w:rPr>
        <w:t>In 2022, Victoria Police was able to resume holding CommSafe forums. CommSafe forums provide</w:t>
      </w:r>
      <w:r>
        <w:rPr>
          <w:color w:val="231F20"/>
          <w:spacing w:val="-9"/>
        </w:rPr>
        <w:t xml:space="preserve"> </w:t>
      </w:r>
      <w:r>
        <w:rPr>
          <w:color w:val="231F20"/>
        </w:rPr>
        <w:t>an</w:t>
      </w:r>
      <w:r>
        <w:rPr>
          <w:color w:val="231F20"/>
          <w:spacing w:val="-9"/>
        </w:rPr>
        <w:t xml:space="preserve"> </w:t>
      </w:r>
      <w:r>
        <w:rPr>
          <w:color w:val="231F20"/>
        </w:rPr>
        <w:t>opportunity</w:t>
      </w:r>
      <w:r>
        <w:rPr>
          <w:color w:val="231F20"/>
          <w:spacing w:val="-8"/>
        </w:rPr>
        <w:t xml:space="preserve"> </w:t>
      </w:r>
      <w:r>
        <w:rPr>
          <w:color w:val="231F20"/>
        </w:rPr>
        <w:t>for</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to</w:t>
      </w:r>
      <w:r>
        <w:rPr>
          <w:color w:val="231F20"/>
          <w:spacing w:val="-9"/>
        </w:rPr>
        <w:t xml:space="preserve"> </w:t>
      </w:r>
      <w:r>
        <w:rPr>
          <w:color w:val="231F20"/>
        </w:rPr>
        <w:t>engage</w:t>
      </w:r>
      <w:r>
        <w:rPr>
          <w:color w:val="231F20"/>
          <w:spacing w:val="-9"/>
        </w:rPr>
        <w:t xml:space="preserve"> </w:t>
      </w:r>
      <w:r>
        <w:rPr>
          <w:color w:val="231F20"/>
        </w:rPr>
        <w:t>with</w:t>
      </w:r>
      <w:r>
        <w:rPr>
          <w:color w:val="231F20"/>
          <w:spacing w:val="-9"/>
        </w:rPr>
        <w:t xml:space="preserve"> </w:t>
      </w:r>
      <w:r>
        <w:rPr>
          <w:color w:val="231F20"/>
        </w:rPr>
        <w:t>stakeholders</w:t>
      </w:r>
      <w:r>
        <w:rPr>
          <w:color w:val="231F20"/>
          <w:spacing w:val="-8"/>
        </w:rPr>
        <w:t xml:space="preserve"> </w:t>
      </w:r>
      <w:r>
        <w:rPr>
          <w:color w:val="231F20"/>
        </w:rPr>
        <w:t>and</w:t>
      </w:r>
      <w:r>
        <w:rPr>
          <w:color w:val="231F20"/>
          <w:spacing w:val="-9"/>
        </w:rPr>
        <w:t xml:space="preserve"> </w:t>
      </w:r>
      <w:r>
        <w:rPr>
          <w:color w:val="231F20"/>
        </w:rPr>
        <w:t>community</w:t>
      </w:r>
      <w:r>
        <w:rPr>
          <w:color w:val="231F20"/>
          <w:spacing w:val="-8"/>
        </w:rPr>
        <w:t xml:space="preserve"> </w:t>
      </w:r>
      <w:r>
        <w:rPr>
          <w:color w:val="231F20"/>
        </w:rPr>
        <w:t>members on its priorities and performance. The forums also support the NHP model, which aims to enhance Victoria Police’s focus on the safety issues that matter to local communities.</w:t>
      </w:r>
    </w:p>
    <w:p w14:paraId="1B841C31" w14:textId="77777777" w:rsidR="00345EE3" w:rsidRDefault="00345EE3" w:rsidP="00345EE3">
      <w:pPr>
        <w:pStyle w:val="BodyText"/>
        <w:spacing w:before="118" w:line="242" w:lineRule="auto"/>
        <w:ind w:right="921"/>
      </w:pPr>
      <w:r>
        <w:rPr>
          <w:color w:val="231F20"/>
        </w:rPr>
        <w:t>CommSafe forums allow Victoria Police to present to the community on topics such as local crime and public order priorities, family violence, road safety, crime prevention, community engagement and emergency management. They are designed to enhance local stakeholder engagement and collaboration. Most importantly, the forums provide the community with an opportunity</w:t>
      </w:r>
      <w:r>
        <w:rPr>
          <w:color w:val="231F20"/>
          <w:spacing w:val="-8"/>
        </w:rPr>
        <w:t xml:space="preserve"> </w:t>
      </w:r>
      <w:r>
        <w:rPr>
          <w:color w:val="231F20"/>
        </w:rPr>
        <w:t>to</w:t>
      </w:r>
      <w:r>
        <w:rPr>
          <w:color w:val="231F20"/>
          <w:spacing w:val="-9"/>
        </w:rPr>
        <w:t xml:space="preserve"> </w:t>
      </w:r>
      <w:r>
        <w:rPr>
          <w:color w:val="231F20"/>
        </w:rPr>
        <w:t>ask</w:t>
      </w:r>
      <w:r>
        <w:rPr>
          <w:color w:val="231F20"/>
          <w:spacing w:val="-8"/>
        </w:rPr>
        <w:t xml:space="preserve"> </w:t>
      </w:r>
      <w:r>
        <w:rPr>
          <w:color w:val="231F20"/>
        </w:rPr>
        <w:t>questions</w:t>
      </w:r>
      <w:r>
        <w:rPr>
          <w:color w:val="231F20"/>
          <w:spacing w:val="-8"/>
        </w:rPr>
        <w:t xml:space="preserve"> </w:t>
      </w:r>
      <w:r>
        <w:rPr>
          <w:color w:val="231F20"/>
        </w:rPr>
        <w:t>and</w:t>
      </w:r>
      <w:r>
        <w:rPr>
          <w:color w:val="231F20"/>
          <w:spacing w:val="-9"/>
        </w:rPr>
        <w:t xml:space="preserve"> </w:t>
      </w:r>
      <w:r>
        <w:rPr>
          <w:color w:val="231F20"/>
        </w:rPr>
        <w:t>provide</w:t>
      </w:r>
      <w:r>
        <w:rPr>
          <w:color w:val="231F20"/>
          <w:spacing w:val="-9"/>
        </w:rPr>
        <w:t xml:space="preserve"> </w:t>
      </w:r>
      <w:r>
        <w:rPr>
          <w:color w:val="231F20"/>
        </w:rPr>
        <w:t>feedback</w:t>
      </w:r>
      <w:r>
        <w:rPr>
          <w:color w:val="231F20"/>
          <w:spacing w:val="-8"/>
        </w:rPr>
        <w:t xml:space="preserve"> </w:t>
      </w:r>
      <w:r>
        <w:rPr>
          <w:color w:val="231F20"/>
        </w:rPr>
        <w:t>to</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directly</w:t>
      </w:r>
      <w:r>
        <w:rPr>
          <w:color w:val="231F20"/>
          <w:spacing w:val="-8"/>
        </w:rPr>
        <w:t xml:space="preserve"> </w:t>
      </w:r>
      <w:r>
        <w:rPr>
          <w:color w:val="231F20"/>
        </w:rPr>
        <w:t>on</w:t>
      </w:r>
      <w:r>
        <w:rPr>
          <w:color w:val="231F20"/>
          <w:spacing w:val="-9"/>
        </w:rPr>
        <w:t xml:space="preserve"> </w:t>
      </w:r>
      <w:r>
        <w:rPr>
          <w:color w:val="231F20"/>
        </w:rPr>
        <w:t>their</w:t>
      </w:r>
      <w:r>
        <w:rPr>
          <w:color w:val="231F20"/>
          <w:spacing w:val="-8"/>
        </w:rPr>
        <w:t xml:space="preserve"> </w:t>
      </w:r>
      <w:r>
        <w:rPr>
          <w:color w:val="231F20"/>
        </w:rPr>
        <w:t>community safety concerns.</w:t>
      </w:r>
    </w:p>
    <w:p w14:paraId="363A5134" w14:textId="77777777" w:rsidR="00345EE3" w:rsidRDefault="00345EE3" w:rsidP="00345EE3">
      <w:pPr>
        <w:pStyle w:val="BodyText"/>
        <w:spacing w:before="122" w:line="242" w:lineRule="auto"/>
        <w:ind w:right="921"/>
      </w:pPr>
      <w:r>
        <w:rPr>
          <w:color w:val="231F20"/>
        </w:rPr>
        <w:t>Forums in Shepparton and Bendigo were held in May 2022 and were attended by a range of people</w:t>
      </w:r>
      <w:r>
        <w:rPr>
          <w:color w:val="231F20"/>
          <w:spacing w:val="-11"/>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communities.</w:t>
      </w:r>
      <w:r>
        <w:rPr>
          <w:color w:val="231F20"/>
          <w:spacing w:val="-11"/>
        </w:rPr>
        <w:t xml:space="preserve"> </w:t>
      </w:r>
      <w:r>
        <w:rPr>
          <w:color w:val="231F20"/>
        </w:rPr>
        <w:t>The</w:t>
      </w:r>
      <w:r>
        <w:rPr>
          <w:color w:val="231F20"/>
          <w:spacing w:val="-11"/>
        </w:rPr>
        <w:t xml:space="preserve"> </w:t>
      </w:r>
      <w:r>
        <w:rPr>
          <w:color w:val="231F20"/>
        </w:rPr>
        <w:t>Deputy</w:t>
      </w:r>
      <w:r>
        <w:rPr>
          <w:color w:val="231F20"/>
          <w:spacing w:val="-11"/>
        </w:rPr>
        <w:t xml:space="preserve"> </w:t>
      </w:r>
      <w:r>
        <w:rPr>
          <w:color w:val="231F20"/>
        </w:rPr>
        <w:t>Commissioner,</w:t>
      </w:r>
      <w:r>
        <w:rPr>
          <w:color w:val="231F20"/>
          <w:spacing w:val="-11"/>
        </w:rPr>
        <w:t xml:space="preserve"> </w:t>
      </w:r>
      <w:r>
        <w:rPr>
          <w:color w:val="231F20"/>
        </w:rPr>
        <w:t>of</w:t>
      </w:r>
      <w:r>
        <w:rPr>
          <w:color w:val="231F20"/>
          <w:spacing w:val="-11"/>
        </w:rPr>
        <w:t xml:space="preserve"> </w:t>
      </w:r>
      <w:r>
        <w:rPr>
          <w:color w:val="231F20"/>
        </w:rPr>
        <w:t>Regional</w:t>
      </w:r>
      <w:r>
        <w:rPr>
          <w:color w:val="231F20"/>
          <w:spacing w:val="-11"/>
        </w:rPr>
        <w:t xml:space="preserve"> </w:t>
      </w:r>
      <w:r>
        <w:rPr>
          <w:color w:val="231F20"/>
        </w:rPr>
        <w:t>Operations,</w:t>
      </w:r>
      <w:r>
        <w:rPr>
          <w:color w:val="231F20"/>
          <w:spacing w:val="-11"/>
        </w:rPr>
        <w:t xml:space="preserve"> </w:t>
      </w:r>
      <w:r>
        <w:rPr>
          <w:color w:val="231F20"/>
        </w:rPr>
        <w:t>local</w:t>
      </w:r>
      <w:r>
        <w:rPr>
          <w:color w:val="231F20"/>
          <w:spacing w:val="-11"/>
        </w:rPr>
        <w:t xml:space="preserve"> </w:t>
      </w:r>
      <w:r>
        <w:rPr>
          <w:color w:val="231F20"/>
        </w:rPr>
        <w:t>regional managers,</w:t>
      </w:r>
      <w:r>
        <w:rPr>
          <w:color w:val="231F20"/>
          <w:spacing w:val="-6"/>
        </w:rPr>
        <w:t xml:space="preserve"> </w:t>
      </w:r>
      <w:r>
        <w:rPr>
          <w:color w:val="231F20"/>
        </w:rPr>
        <w:t>as</w:t>
      </w:r>
      <w:r>
        <w:rPr>
          <w:color w:val="231F20"/>
          <w:spacing w:val="-6"/>
        </w:rPr>
        <w:t xml:space="preserve"> </w:t>
      </w:r>
      <w:r>
        <w:rPr>
          <w:color w:val="231F20"/>
        </w:rPr>
        <w:t>well</w:t>
      </w:r>
      <w:r>
        <w:rPr>
          <w:color w:val="231F20"/>
          <w:spacing w:val="-7"/>
        </w:rPr>
        <w:t xml:space="preserve"> </w:t>
      </w:r>
      <w:r>
        <w:rPr>
          <w:color w:val="231F20"/>
        </w:rPr>
        <w:t>as</w:t>
      </w:r>
      <w:r>
        <w:rPr>
          <w:color w:val="231F20"/>
          <w:spacing w:val="-6"/>
        </w:rPr>
        <w:t xml:space="preserve"> </w:t>
      </w:r>
      <w:r>
        <w:rPr>
          <w:color w:val="231F20"/>
        </w:rPr>
        <w:t>the</w:t>
      </w:r>
      <w:r>
        <w:rPr>
          <w:color w:val="231F20"/>
          <w:spacing w:val="-7"/>
        </w:rPr>
        <w:t xml:space="preserve"> </w:t>
      </w:r>
      <w:r>
        <w:rPr>
          <w:color w:val="231F20"/>
        </w:rPr>
        <w:t>Assistant</w:t>
      </w:r>
      <w:r>
        <w:rPr>
          <w:color w:val="231F20"/>
          <w:spacing w:val="-6"/>
        </w:rPr>
        <w:t xml:space="preserve"> </w:t>
      </w:r>
      <w:r>
        <w:rPr>
          <w:color w:val="231F20"/>
        </w:rPr>
        <w:t>Commissioners</w:t>
      </w:r>
      <w:r>
        <w:rPr>
          <w:color w:val="231F20"/>
          <w:spacing w:val="-6"/>
        </w:rPr>
        <w:t xml:space="preserve"> </w:t>
      </w:r>
      <w:r>
        <w:rPr>
          <w:color w:val="231F20"/>
        </w:rPr>
        <w:t>of</w:t>
      </w:r>
      <w:r>
        <w:rPr>
          <w:color w:val="231F20"/>
          <w:spacing w:val="-6"/>
        </w:rPr>
        <w:t xml:space="preserve"> </w:t>
      </w:r>
      <w:r>
        <w:rPr>
          <w:color w:val="231F20"/>
        </w:rPr>
        <w:t>FVC</w:t>
      </w:r>
      <w:r>
        <w:rPr>
          <w:color w:val="231F20"/>
          <w:spacing w:val="-7"/>
        </w:rPr>
        <w:t xml:space="preserve"> </w:t>
      </w:r>
      <w:r>
        <w:rPr>
          <w:color w:val="231F20"/>
        </w:rPr>
        <w:t>and</w:t>
      </w:r>
      <w:r>
        <w:rPr>
          <w:color w:val="231F20"/>
          <w:spacing w:val="-7"/>
        </w:rPr>
        <w:t xml:space="preserve"> </w:t>
      </w:r>
      <w:r>
        <w:rPr>
          <w:color w:val="231F20"/>
        </w:rPr>
        <w:t>Road</w:t>
      </w:r>
      <w:r>
        <w:rPr>
          <w:color w:val="231F20"/>
          <w:spacing w:val="-7"/>
        </w:rPr>
        <w:t xml:space="preserve"> </w:t>
      </w:r>
      <w:r>
        <w:rPr>
          <w:color w:val="231F20"/>
        </w:rPr>
        <w:t>Policing</w:t>
      </w:r>
      <w:r>
        <w:rPr>
          <w:color w:val="231F20"/>
          <w:spacing w:val="-7"/>
        </w:rPr>
        <w:t xml:space="preserve"> </w:t>
      </w:r>
      <w:r>
        <w:rPr>
          <w:color w:val="231F20"/>
        </w:rPr>
        <w:t>Command</w:t>
      </w:r>
      <w:r>
        <w:rPr>
          <w:color w:val="231F20"/>
          <w:spacing w:val="-7"/>
        </w:rPr>
        <w:t xml:space="preserve"> </w:t>
      </w:r>
      <w:r>
        <w:rPr>
          <w:color w:val="231F20"/>
        </w:rPr>
        <w:t xml:space="preserve">(RPC) presented these forums. Family violence and road safety were highlighted as critical areas of </w:t>
      </w:r>
      <w:r>
        <w:rPr>
          <w:color w:val="231F20"/>
          <w:spacing w:val="-2"/>
        </w:rPr>
        <w:t>concern.</w:t>
      </w:r>
    </w:p>
    <w:p w14:paraId="764A03B7" w14:textId="77777777" w:rsidR="00345EE3" w:rsidRDefault="00345EE3" w:rsidP="00345EE3">
      <w:pPr>
        <w:pStyle w:val="Heading5"/>
        <w:spacing w:before="176"/>
      </w:pPr>
      <w:r>
        <w:rPr>
          <w:color w:val="58595B"/>
        </w:rPr>
        <w:t>Crime</w:t>
      </w:r>
      <w:r>
        <w:rPr>
          <w:color w:val="58595B"/>
          <w:spacing w:val="-5"/>
        </w:rPr>
        <w:t xml:space="preserve"> </w:t>
      </w:r>
      <w:r>
        <w:rPr>
          <w:color w:val="58595B"/>
          <w:spacing w:val="-2"/>
        </w:rPr>
        <w:t>Reviews</w:t>
      </w:r>
    </w:p>
    <w:p w14:paraId="107D7CCB" w14:textId="77777777" w:rsidR="00345EE3" w:rsidRDefault="00345EE3" w:rsidP="00345EE3">
      <w:pPr>
        <w:pStyle w:val="BodyText"/>
        <w:spacing w:before="4" w:line="242" w:lineRule="auto"/>
        <w:ind w:right="921"/>
      </w:pPr>
      <w:r>
        <w:rPr>
          <w:color w:val="231F20"/>
        </w:rPr>
        <w:t>The lifting of CHO restrictions at the end of October 2021 provided Victoria Police with an invaluable opportunity to renew our focus on community safety and reducing crime. Victoria Police recommenced holding Crime Reviews in December 2021. The reviews involved the Deputy</w:t>
      </w:r>
      <w:r>
        <w:rPr>
          <w:color w:val="231F20"/>
          <w:spacing w:val="-15"/>
        </w:rPr>
        <w:t xml:space="preserve"> </w:t>
      </w:r>
      <w:r>
        <w:rPr>
          <w:color w:val="231F20"/>
        </w:rPr>
        <w:t>Commissioner,</w:t>
      </w:r>
      <w:r>
        <w:rPr>
          <w:color w:val="231F20"/>
          <w:spacing w:val="-15"/>
        </w:rPr>
        <w:t xml:space="preserve"> </w:t>
      </w:r>
      <w:r>
        <w:rPr>
          <w:color w:val="231F20"/>
        </w:rPr>
        <w:t>of</w:t>
      </w:r>
      <w:r>
        <w:rPr>
          <w:color w:val="231F20"/>
          <w:spacing w:val="-15"/>
        </w:rPr>
        <w:t xml:space="preserve"> </w:t>
      </w:r>
      <w:r>
        <w:rPr>
          <w:color w:val="231F20"/>
        </w:rPr>
        <w:t>Regional</w:t>
      </w:r>
      <w:r>
        <w:rPr>
          <w:color w:val="231F20"/>
          <w:spacing w:val="-16"/>
        </w:rPr>
        <w:t xml:space="preserve"> </w:t>
      </w:r>
      <w:r>
        <w:rPr>
          <w:color w:val="231F20"/>
        </w:rPr>
        <w:t>Operations</w:t>
      </w:r>
      <w:r>
        <w:rPr>
          <w:color w:val="231F20"/>
          <w:spacing w:val="-15"/>
        </w:rPr>
        <w:t xml:space="preserve"> </w:t>
      </w:r>
      <w:r>
        <w:rPr>
          <w:color w:val="231F20"/>
        </w:rPr>
        <w:t>and</w:t>
      </w:r>
      <w:r>
        <w:rPr>
          <w:color w:val="231F20"/>
          <w:spacing w:val="-16"/>
        </w:rPr>
        <w:t xml:space="preserve"> </w:t>
      </w:r>
      <w:r>
        <w:rPr>
          <w:color w:val="231F20"/>
        </w:rPr>
        <w:t>relevant</w:t>
      </w:r>
      <w:r>
        <w:rPr>
          <w:color w:val="231F20"/>
          <w:spacing w:val="-15"/>
        </w:rPr>
        <w:t xml:space="preserve"> </w:t>
      </w:r>
      <w:r>
        <w:rPr>
          <w:color w:val="231F20"/>
        </w:rPr>
        <w:t>Regional</w:t>
      </w:r>
      <w:r>
        <w:rPr>
          <w:color w:val="231F20"/>
          <w:spacing w:val="-16"/>
        </w:rPr>
        <w:t xml:space="preserve"> </w:t>
      </w:r>
      <w:r>
        <w:rPr>
          <w:color w:val="231F20"/>
        </w:rPr>
        <w:t>Assistant</w:t>
      </w:r>
      <w:r>
        <w:rPr>
          <w:color w:val="231F20"/>
          <w:spacing w:val="-15"/>
        </w:rPr>
        <w:t xml:space="preserve"> </w:t>
      </w:r>
      <w:r>
        <w:rPr>
          <w:color w:val="231F20"/>
        </w:rPr>
        <w:t>Commissioner engaging</w:t>
      </w:r>
      <w:r>
        <w:rPr>
          <w:color w:val="231F20"/>
          <w:spacing w:val="-6"/>
        </w:rPr>
        <w:t xml:space="preserve"> </w:t>
      </w:r>
      <w:r>
        <w:rPr>
          <w:color w:val="231F20"/>
        </w:rPr>
        <w:t>with</w:t>
      </w:r>
      <w:r>
        <w:rPr>
          <w:color w:val="231F20"/>
          <w:spacing w:val="-6"/>
        </w:rPr>
        <w:t xml:space="preserve"> </w:t>
      </w:r>
      <w:r>
        <w:rPr>
          <w:color w:val="231F20"/>
        </w:rPr>
        <w:t>divisional</w:t>
      </w:r>
      <w:r>
        <w:rPr>
          <w:color w:val="231F20"/>
          <w:spacing w:val="-6"/>
        </w:rPr>
        <w:t xml:space="preserve"> </w:t>
      </w:r>
      <w:r>
        <w:rPr>
          <w:color w:val="231F20"/>
        </w:rPr>
        <w:t>managers</w:t>
      </w:r>
      <w:r>
        <w:rPr>
          <w:color w:val="231F20"/>
          <w:spacing w:val="-5"/>
        </w:rPr>
        <w:t xml:space="preserve"> </w:t>
      </w:r>
      <w:r>
        <w:rPr>
          <w:color w:val="231F20"/>
        </w:rPr>
        <w:t>and</w:t>
      </w:r>
      <w:r>
        <w:rPr>
          <w:color w:val="231F20"/>
          <w:spacing w:val="-6"/>
        </w:rPr>
        <w:t xml:space="preserve"> </w:t>
      </w:r>
      <w:r>
        <w:rPr>
          <w:color w:val="231F20"/>
        </w:rPr>
        <w:t>their</w:t>
      </w:r>
      <w:r>
        <w:rPr>
          <w:color w:val="231F20"/>
          <w:spacing w:val="-5"/>
        </w:rPr>
        <w:t xml:space="preserve"> </w:t>
      </w:r>
      <w:r>
        <w:rPr>
          <w:color w:val="231F20"/>
        </w:rPr>
        <w:t>teams</w:t>
      </w:r>
      <w:r>
        <w:rPr>
          <w:color w:val="231F20"/>
          <w:spacing w:val="-5"/>
        </w:rPr>
        <w:t xml:space="preserve"> </w:t>
      </w:r>
      <w:r>
        <w:rPr>
          <w:color w:val="231F20"/>
        </w:rPr>
        <w:t>about</w:t>
      </w:r>
      <w:r>
        <w:rPr>
          <w:color w:val="231F20"/>
          <w:spacing w:val="-5"/>
        </w:rPr>
        <w:t xml:space="preserve"> </w:t>
      </w:r>
      <w:r>
        <w:rPr>
          <w:color w:val="231F20"/>
        </w:rPr>
        <w:t>the</w:t>
      </w:r>
      <w:r>
        <w:rPr>
          <w:color w:val="231F20"/>
          <w:spacing w:val="-6"/>
        </w:rPr>
        <w:t xml:space="preserve"> </w:t>
      </w:r>
      <w:r>
        <w:rPr>
          <w:color w:val="231F20"/>
        </w:rPr>
        <w:t>current</w:t>
      </w:r>
      <w:r>
        <w:rPr>
          <w:color w:val="231F20"/>
          <w:spacing w:val="-5"/>
        </w:rPr>
        <w:t xml:space="preserve"> </w:t>
      </w:r>
      <w:r>
        <w:rPr>
          <w:color w:val="231F20"/>
        </w:rPr>
        <w:t>crime</w:t>
      </w:r>
      <w:r>
        <w:rPr>
          <w:color w:val="231F20"/>
          <w:spacing w:val="-6"/>
        </w:rPr>
        <w:t xml:space="preserve"> </w:t>
      </w:r>
      <w:r>
        <w:rPr>
          <w:color w:val="231F20"/>
        </w:rPr>
        <w:t>challenges</w:t>
      </w:r>
      <w:r>
        <w:rPr>
          <w:color w:val="231F20"/>
          <w:spacing w:val="-5"/>
        </w:rPr>
        <w:t xml:space="preserve"> </w:t>
      </w:r>
      <w:r>
        <w:rPr>
          <w:color w:val="231F20"/>
        </w:rPr>
        <w:t>in</w:t>
      </w:r>
      <w:r>
        <w:rPr>
          <w:color w:val="231F20"/>
          <w:spacing w:val="-6"/>
        </w:rPr>
        <w:t xml:space="preserve"> </w:t>
      </w:r>
      <w:r>
        <w:rPr>
          <w:color w:val="231F20"/>
        </w:rPr>
        <w:t xml:space="preserve">their </w:t>
      </w:r>
      <w:r>
        <w:rPr>
          <w:color w:val="231F20"/>
          <w:spacing w:val="-4"/>
        </w:rPr>
        <w:t>area.</w:t>
      </w:r>
    </w:p>
    <w:p w14:paraId="39292E38" w14:textId="77777777" w:rsidR="00345EE3" w:rsidRDefault="00345EE3" w:rsidP="00345EE3">
      <w:pPr>
        <w:pStyle w:val="BodyText"/>
        <w:spacing w:before="122" w:line="242" w:lineRule="auto"/>
        <w:ind w:right="921"/>
      </w:pPr>
      <w:r>
        <w:rPr>
          <w:color w:val="231F20"/>
        </w:rPr>
        <w:t>Crime</w:t>
      </w:r>
      <w:r>
        <w:rPr>
          <w:color w:val="231F20"/>
          <w:spacing w:val="-10"/>
        </w:rPr>
        <w:t xml:space="preserve"> </w:t>
      </w:r>
      <w:r>
        <w:rPr>
          <w:color w:val="231F20"/>
        </w:rPr>
        <w:t>Reviews</w:t>
      </w:r>
      <w:r>
        <w:rPr>
          <w:color w:val="231F20"/>
          <w:spacing w:val="-9"/>
        </w:rPr>
        <w:t xml:space="preserve"> </w:t>
      </w:r>
      <w:r>
        <w:rPr>
          <w:color w:val="231F20"/>
        </w:rPr>
        <w:t>provide</w:t>
      </w:r>
      <w:r>
        <w:rPr>
          <w:color w:val="231F20"/>
          <w:spacing w:val="-10"/>
        </w:rPr>
        <w:t xml:space="preserve"> </w:t>
      </w:r>
      <w:r>
        <w:rPr>
          <w:color w:val="231F20"/>
        </w:rPr>
        <w:t>divisions</w:t>
      </w:r>
      <w:r>
        <w:rPr>
          <w:color w:val="231F20"/>
          <w:spacing w:val="-9"/>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opportunity</w:t>
      </w:r>
      <w:r>
        <w:rPr>
          <w:color w:val="231F20"/>
          <w:spacing w:val="-9"/>
        </w:rPr>
        <w:t xml:space="preserve"> </w:t>
      </w:r>
      <w:r>
        <w:rPr>
          <w:color w:val="231F20"/>
        </w:rPr>
        <w:t>to</w:t>
      </w:r>
      <w:r>
        <w:rPr>
          <w:color w:val="231F20"/>
          <w:spacing w:val="-10"/>
        </w:rPr>
        <w:t xml:space="preserve"> </w:t>
      </w:r>
      <w:r>
        <w:rPr>
          <w:color w:val="231F20"/>
        </w:rPr>
        <w:t>demonstrate</w:t>
      </w:r>
      <w:r>
        <w:rPr>
          <w:color w:val="231F20"/>
          <w:spacing w:val="-10"/>
        </w:rPr>
        <w:t xml:space="preserve"> </w:t>
      </w:r>
      <w:r>
        <w:rPr>
          <w:color w:val="231F20"/>
        </w:rPr>
        <w:t>understanding</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crime issues and underlying drivers impacting their area, and to share good practices. The reviews also allow for bottom-up reporting from the frontline to senior management on crime trends, issues</w:t>
      </w:r>
      <w:r>
        <w:rPr>
          <w:color w:val="231F20"/>
          <w:spacing w:val="-8"/>
        </w:rPr>
        <w:t xml:space="preserve"> </w:t>
      </w:r>
      <w:r>
        <w:rPr>
          <w:color w:val="231F20"/>
        </w:rPr>
        <w:t>or</w:t>
      </w:r>
      <w:r>
        <w:rPr>
          <w:color w:val="231F20"/>
          <w:spacing w:val="-8"/>
        </w:rPr>
        <w:t xml:space="preserve"> </w:t>
      </w:r>
      <w:r>
        <w:rPr>
          <w:color w:val="231F20"/>
        </w:rPr>
        <w:t>opportunities.</w:t>
      </w:r>
      <w:r>
        <w:rPr>
          <w:color w:val="231F20"/>
          <w:spacing w:val="-8"/>
        </w:rPr>
        <w:t xml:space="preserve"> </w:t>
      </w:r>
      <w:r>
        <w:rPr>
          <w:color w:val="231F20"/>
        </w:rPr>
        <w:t>Divisions</w:t>
      </w:r>
      <w:r>
        <w:rPr>
          <w:color w:val="231F20"/>
          <w:spacing w:val="-8"/>
        </w:rPr>
        <w:t xml:space="preserve"> </w:t>
      </w:r>
      <w:r>
        <w:rPr>
          <w:color w:val="231F20"/>
        </w:rPr>
        <w:t>discuss</w:t>
      </w:r>
      <w:r>
        <w:rPr>
          <w:color w:val="231F20"/>
          <w:spacing w:val="-8"/>
        </w:rPr>
        <w:t xml:space="preserve"> </w:t>
      </w:r>
      <w:r>
        <w:rPr>
          <w:color w:val="231F20"/>
        </w:rPr>
        <w:t>engagement</w:t>
      </w:r>
      <w:r>
        <w:rPr>
          <w:color w:val="231F20"/>
          <w:spacing w:val="-8"/>
        </w:rPr>
        <w:t xml:space="preserve"> </w:t>
      </w:r>
      <w:r>
        <w:rPr>
          <w:color w:val="231F20"/>
        </w:rPr>
        <w:t>with</w:t>
      </w:r>
      <w:r>
        <w:rPr>
          <w:color w:val="231F20"/>
          <w:spacing w:val="-9"/>
        </w:rPr>
        <w:t xml:space="preserve"> </w:t>
      </w:r>
      <w:r>
        <w:rPr>
          <w:color w:val="231F20"/>
        </w:rPr>
        <w:t>local</w:t>
      </w:r>
      <w:r>
        <w:rPr>
          <w:color w:val="231F20"/>
          <w:spacing w:val="-9"/>
        </w:rPr>
        <w:t xml:space="preserve"> </w:t>
      </w:r>
      <w:r>
        <w:rPr>
          <w:color w:val="231F20"/>
        </w:rPr>
        <w:t>community</w:t>
      </w:r>
      <w:r>
        <w:rPr>
          <w:color w:val="231F20"/>
          <w:spacing w:val="-8"/>
        </w:rPr>
        <w:t xml:space="preserve"> </w:t>
      </w:r>
      <w:r>
        <w:rPr>
          <w:color w:val="231F20"/>
        </w:rPr>
        <w:t>members</w:t>
      </w:r>
      <w:r>
        <w:rPr>
          <w:color w:val="231F20"/>
          <w:spacing w:val="-8"/>
        </w:rPr>
        <w:t xml:space="preserve"> </w:t>
      </w:r>
      <w:r>
        <w:rPr>
          <w:color w:val="231F20"/>
        </w:rPr>
        <w:t>on</w:t>
      </w:r>
      <w:r>
        <w:rPr>
          <w:color w:val="231F20"/>
          <w:spacing w:val="-9"/>
        </w:rPr>
        <w:t xml:space="preserve"> </w:t>
      </w:r>
      <w:r>
        <w:rPr>
          <w:color w:val="231F20"/>
        </w:rPr>
        <w:t>safety issues,</w:t>
      </w:r>
      <w:r>
        <w:rPr>
          <w:color w:val="231F20"/>
          <w:spacing w:val="-10"/>
        </w:rPr>
        <w:t xml:space="preserve"> </w:t>
      </w:r>
      <w:r>
        <w:rPr>
          <w:color w:val="231F20"/>
        </w:rPr>
        <w:t>which</w:t>
      </w:r>
      <w:r>
        <w:rPr>
          <w:color w:val="231F20"/>
          <w:spacing w:val="-10"/>
        </w:rPr>
        <w:t xml:space="preserve"> </w:t>
      </w:r>
      <w:r>
        <w:rPr>
          <w:color w:val="231F20"/>
        </w:rPr>
        <w:t>underpin</w:t>
      </w:r>
      <w:r>
        <w:rPr>
          <w:color w:val="231F20"/>
          <w:spacing w:val="-10"/>
        </w:rPr>
        <w:t xml:space="preserve"> </w:t>
      </w:r>
      <w:r>
        <w:rPr>
          <w:color w:val="231F20"/>
        </w:rPr>
        <w:t>the</w:t>
      </w:r>
      <w:r>
        <w:rPr>
          <w:color w:val="231F20"/>
          <w:spacing w:val="-10"/>
        </w:rPr>
        <w:t xml:space="preserve"> </w:t>
      </w:r>
      <w:r>
        <w:rPr>
          <w:color w:val="231F20"/>
        </w:rPr>
        <w:t>NHP</w:t>
      </w:r>
      <w:r>
        <w:rPr>
          <w:color w:val="231F20"/>
          <w:spacing w:val="-10"/>
        </w:rPr>
        <w:t xml:space="preserve"> </w:t>
      </w:r>
      <w:r>
        <w:rPr>
          <w:color w:val="231F20"/>
        </w:rPr>
        <w:t>model.</w:t>
      </w:r>
      <w:r>
        <w:rPr>
          <w:color w:val="231F20"/>
          <w:spacing w:val="-10"/>
        </w:rPr>
        <w:t xml:space="preserve"> </w:t>
      </w:r>
      <w:r>
        <w:rPr>
          <w:color w:val="231F20"/>
        </w:rPr>
        <w:t>Throughout</w:t>
      </w:r>
      <w:r>
        <w:rPr>
          <w:color w:val="231F20"/>
          <w:spacing w:val="-10"/>
        </w:rPr>
        <w:t xml:space="preserve"> </w:t>
      </w:r>
      <w:r>
        <w:rPr>
          <w:color w:val="231F20"/>
        </w:rPr>
        <w:t>2021–22,</w:t>
      </w:r>
      <w:r>
        <w:rPr>
          <w:color w:val="231F20"/>
          <w:spacing w:val="-10"/>
        </w:rPr>
        <w:t xml:space="preserve"> </w:t>
      </w:r>
      <w:r>
        <w:rPr>
          <w:color w:val="231F20"/>
        </w:rPr>
        <w:t>Crime</w:t>
      </w:r>
      <w:r>
        <w:rPr>
          <w:color w:val="231F20"/>
          <w:spacing w:val="-10"/>
        </w:rPr>
        <w:t xml:space="preserve"> </w:t>
      </w:r>
      <w:r>
        <w:rPr>
          <w:color w:val="231F20"/>
        </w:rPr>
        <w:t>Reviews</w:t>
      </w:r>
      <w:r>
        <w:rPr>
          <w:color w:val="231F20"/>
          <w:spacing w:val="-10"/>
        </w:rPr>
        <w:t xml:space="preserve"> </w:t>
      </w:r>
      <w:r>
        <w:rPr>
          <w:color w:val="231F20"/>
        </w:rPr>
        <w:t>have</w:t>
      </w:r>
      <w:r>
        <w:rPr>
          <w:color w:val="231F20"/>
          <w:spacing w:val="-10"/>
        </w:rPr>
        <w:t xml:space="preserve"> </w:t>
      </w:r>
      <w:r>
        <w:rPr>
          <w:color w:val="231F20"/>
        </w:rPr>
        <w:t>been</w:t>
      </w:r>
      <w:r>
        <w:rPr>
          <w:color w:val="231F20"/>
          <w:spacing w:val="-10"/>
        </w:rPr>
        <w:t xml:space="preserve"> </w:t>
      </w:r>
      <w:r>
        <w:rPr>
          <w:color w:val="231F20"/>
        </w:rPr>
        <w:t>held</w:t>
      </w:r>
      <w:r>
        <w:rPr>
          <w:color w:val="231F20"/>
          <w:spacing w:val="-10"/>
        </w:rPr>
        <w:t xml:space="preserve"> </w:t>
      </w:r>
      <w:r>
        <w:rPr>
          <w:color w:val="231F20"/>
        </w:rPr>
        <w:t>in eight divisions.</w:t>
      </w:r>
    </w:p>
    <w:p w14:paraId="7BDEF634" w14:textId="77777777" w:rsidR="00345EE3" w:rsidRDefault="00345EE3" w:rsidP="002A27BA">
      <w:pPr>
        <w:pStyle w:val="Heading3"/>
      </w:pPr>
      <w:r>
        <w:t>Specialist</w:t>
      </w:r>
      <w:r>
        <w:rPr>
          <w:spacing w:val="-5"/>
        </w:rPr>
        <w:t xml:space="preserve"> </w:t>
      </w:r>
      <w:r>
        <w:rPr>
          <w:spacing w:val="-2"/>
        </w:rPr>
        <w:t>Operations</w:t>
      </w:r>
    </w:p>
    <w:p w14:paraId="33981D41" w14:textId="77777777" w:rsidR="00345EE3" w:rsidRDefault="00345EE3" w:rsidP="00345EE3">
      <w:pPr>
        <w:pStyle w:val="BodyText"/>
        <w:spacing w:before="52" w:line="242" w:lineRule="auto"/>
        <w:ind w:right="848"/>
      </w:pPr>
      <w:r>
        <w:rPr>
          <w:color w:val="231F20"/>
        </w:rPr>
        <w:t>The</w:t>
      </w:r>
      <w:r>
        <w:rPr>
          <w:color w:val="231F20"/>
          <w:spacing w:val="-11"/>
        </w:rPr>
        <w:t xml:space="preserve"> </w:t>
      </w:r>
      <w:r>
        <w:rPr>
          <w:color w:val="231F20"/>
        </w:rPr>
        <w:t>Deputy</w:t>
      </w:r>
      <w:r>
        <w:rPr>
          <w:color w:val="231F20"/>
          <w:spacing w:val="-11"/>
        </w:rPr>
        <w:t xml:space="preserve"> </w:t>
      </w:r>
      <w:r>
        <w:rPr>
          <w:color w:val="231F20"/>
        </w:rPr>
        <w:t>Commissioner</w:t>
      </w:r>
      <w:r>
        <w:rPr>
          <w:color w:val="231F20"/>
          <w:spacing w:val="-11"/>
        </w:rPr>
        <w:t xml:space="preserve"> </w:t>
      </w:r>
      <w:r>
        <w:rPr>
          <w:color w:val="231F20"/>
        </w:rPr>
        <w:t>of</w:t>
      </w:r>
      <w:r>
        <w:rPr>
          <w:color w:val="231F20"/>
          <w:spacing w:val="-11"/>
        </w:rPr>
        <w:t xml:space="preserve"> </w:t>
      </w:r>
      <w:r>
        <w:rPr>
          <w:color w:val="231F20"/>
        </w:rPr>
        <w:t>Specialist</w:t>
      </w:r>
      <w:r>
        <w:rPr>
          <w:color w:val="231F20"/>
          <w:spacing w:val="-11"/>
        </w:rPr>
        <w:t xml:space="preserve"> </w:t>
      </w:r>
      <w:r>
        <w:rPr>
          <w:color w:val="231F20"/>
        </w:rPr>
        <w:t>Operations</w:t>
      </w:r>
      <w:r>
        <w:rPr>
          <w:color w:val="231F20"/>
          <w:spacing w:val="-11"/>
        </w:rPr>
        <w:t xml:space="preserve"> </w:t>
      </w:r>
      <w:r>
        <w:rPr>
          <w:color w:val="231F20"/>
        </w:rPr>
        <w:t>has</w:t>
      </w:r>
      <w:r>
        <w:rPr>
          <w:color w:val="231F20"/>
          <w:spacing w:val="-11"/>
        </w:rPr>
        <w:t xml:space="preserve"> </w:t>
      </w:r>
      <w:r>
        <w:rPr>
          <w:color w:val="231F20"/>
        </w:rPr>
        <w:t>overall</w:t>
      </w:r>
      <w:r>
        <w:rPr>
          <w:color w:val="231F20"/>
          <w:spacing w:val="-11"/>
        </w:rPr>
        <w:t xml:space="preserve"> </w:t>
      </w:r>
      <w:r>
        <w:rPr>
          <w:color w:val="231F20"/>
        </w:rPr>
        <w:t>responsibility</w:t>
      </w:r>
      <w:r>
        <w:rPr>
          <w:color w:val="231F20"/>
          <w:spacing w:val="-11"/>
        </w:rPr>
        <w:t xml:space="preserve"> </w:t>
      </w:r>
      <w:r>
        <w:rPr>
          <w:color w:val="231F20"/>
        </w:rPr>
        <w:t>and</w:t>
      </w:r>
      <w:r>
        <w:rPr>
          <w:color w:val="231F20"/>
          <w:spacing w:val="-11"/>
        </w:rPr>
        <w:t xml:space="preserve"> </w:t>
      </w:r>
      <w:r>
        <w:rPr>
          <w:color w:val="231F20"/>
        </w:rPr>
        <w:t>oversight</w:t>
      </w:r>
      <w:r>
        <w:rPr>
          <w:color w:val="231F20"/>
          <w:spacing w:val="-11"/>
        </w:rPr>
        <w:t xml:space="preserve"> </w:t>
      </w:r>
      <w:r>
        <w:rPr>
          <w:color w:val="231F20"/>
        </w:rPr>
        <w:t>of</w:t>
      </w:r>
      <w:r>
        <w:rPr>
          <w:color w:val="231F20"/>
          <w:spacing w:val="-11"/>
        </w:rPr>
        <w:t xml:space="preserve"> </w:t>
      </w:r>
      <w:r>
        <w:rPr>
          <w:color w:val="231F20"/>
        </w:rPr>
        <w:t>the Forensic Services Department, FVC, Intelligence and Covert Support Command (ICSC), Legal Services</w:t>
      </w:r>
      <w:r>
        <w:rPr>
          <w:color w:val="231F20"/>
          <w:spacing w:val="-11"/>
        </w:rPr>
        <w:t xml:space="preserve"> </w:t>
      </w:r>
      <w:r>
        <w:rPr>
          <w:color w:val="231F20"/>
        </w:rPr>
        <w:t>Department</w:t>
      </w:r>
      <w:r>
        <w:rPr>
          <w:color w:val="231F20"/>
          <w:spacing w:val="-11"/>
        </w:rPr>
        <w:t xml:space="preserve"> </w:t>
      </w:r>
      <w:r>
        <w:rPr>
          <w:color w:val="231F20"/>
        </w:rPr>
        <w:t>(LSD),</w:t>
      </w:r>
      <w:r>
        <w:rPr>
          <w:color w:val="231F20"/>
          <w:spacing w:val="-11"/>
        </w:rPr>
        <w:t xml:space="preserve"> </w:t>
      </w:r>
      <w:r>
        <w:rPr>
          <w:color w:val="231F20"/>
        </w:rPr>
        <w:t>Road</w:t>
      </w:r>
      <w:r>
        <w:rPr>
          <w:color w:val="231F20"/>
          <w:spacing w:val="-12"/>
        </w:rPr>
        <w:t xml:space="preserve"> </w:t>
      </w:r>
      <w:r>
        <w:rPr>
          <w:color w:val="231F20"/>
        </w:rPr>
        <w:t>Policing</w:t>
      </w:r>
      <w:r>
        <w:rPr>
          <w:color w:val="231F20"/>
          <w:spacing w:val="-12"/>
        </w:rPr>
        <w:t xml:space="preserve"> </w:t>
      </w:r>
      <w:r>
        <w:rPr>
          <w:color w:val="231F20"/>
        </w:rPr>
        <w:t>Command</w:t>
      </w:r>
      <w:r>
        <w:rPr>
          <w:color w:val="231F20"/>
          <w:spacing w:val="-12"/>
        </w:rPr>
        <w:t xml:space="preserve"> </w:t>
      </w:r>
      <w:r>
        <w:rPr>
          <w:color w:val="231F20"/>
        </w:rPr>
        <w:t>(RPC),</w:t>
      </w:r>
      <w:r>
        <w:rPr>
          <w:color w:val="231F20"/>
          <w:spacing w:val="-11"/>
        </w:rPr>
        <w:t xml:space="preserve"> </w:t>
      </w:r>
      <w:r>
        <w:rPr>
          <w:color w:val="231F20"/>
        </w:rPr>
        <w:t>Commonwealth</w:t>
      </w:r>
      <w:r>
        <w:rPr>
          <w:color w:val="231F20"/>
          <w:spacing w:val="-12"/>
        </w:rPr>
        <w:t xml:space="preserve"> </w:t>
      </w:r>
      <w:r>
        <w:rPr>
          <w:color w:val="231F20"/>
        </w:rPr>
        <w:t>Games</w:t>
      </w:r>
      <w:r>
        <w:rPr>
          <w:color w:val="231F20"/>
          <w:spacing w:val="-11"/>
        </w:rPr>
        <w:t xml:space="preserve"> </w:t>
      </w:r>
      <w:r>
        <w:rPr>
          <w:color w:val="231F20"/>
        </w:rPr>
        <w:t>Command and</w:t>
      </w:r>
      <w:r>
        <w:rPr>
          <w:color w:val="231F20"/>
          <w:spacing w:val="-1"/>
        </w:rPr>
        <w:t xml:space="preserve"> </w:t>
      </w:r>
      <w:r>
        <w:rPr>
          <w:color w:val="231F20"/>
        </w:rPr>
        <w:t>Taskforce</w:t>
      </w:r>
      <w:r>
        <w:rPr>
          <w:color w:val="231F20"/>
          <w:spacing w:val="-1"/>
        </w:rPr>
        <w:t xml:space="preserve"> </w:t>
      </w:r>
      <w:r>
        <w:rPr>
          <w:color w:val="231F20"/>
        </w:rPr>
        <w:t>Reset which</w:t>
      </w:r>
      <w:r>
        <w:rPr>
          <w:color w:val="231F20"/>
          <w:spacing w:val="-1"/>
        </w:rPr>
        <w:t xml:space="preserve"> </w:t>
      </w:r>
      <w:r>
        <w:rPr>
          <w:color w:val="231F20"/>
        </w:rPr>
        <w:t>coordinates Victoria</w:t>
      </w:r>
      <w:r>
        <w:rPr>
          <w:color w:val="231F20"/>
          <w:spacing w:val="-1"/>
        </w:rPr>
        <w:t xml:space="preserve"> </w:t>
      </w:r>
      <w:r>
        <w:rPr>
          <w:color w:val="231F20"/>
        </w:rPr>
        <w:t>Police’s response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RCMPI. Over the</w:t>
      </w:r>
      <w:r>
        <w:rPr>
          <w:color w:val="231F20"/>
          <w:spacing w:val="-1"/>
        </w:rPr>
        <w:t xml:space="preserve"> </w:t>
      </w:r>
      <w:r>
        <w:rPr>
          <w:color w:val="231F20"/>
        </w:rPr>
        <w:t>past 12 months, the dedicated staff of the portfolio have worked closely with internal and external stakeholders on both strategic and operational priorities for Victoria Police to improve service delivery and to help keep the community safe.</w:t>
      </w:r>
    </w:p>
    <w:p w14:paraId="6DA723E6" w14:textId="77777777" w:rsidR="00345EE3" w:rsidRPr="004C0C7F" w:rsidRDefault="00345EE3" w:rsidP="004C0C7F">
      <w:pPr>
        <w:pStyle w:val="Heading5"/>
        <w:spacing w:before="180"/>
        <w:ind w:left="0"/>
        <w:rPr>
          <w:color w:val="000000" w:themeColor="text1"/>
        </w:rPr>
      </w:pPr>
      <w:r w:rsidRPr="004C0C7F">
        <w:rPr>
          <w:color w:val="000000" w:themeColor="text1"/>
        </w:rPr>
        <w:t>Creation</w:t>
      </w:r>
      <w:r w:rsidRPr="004C0C7F">
        <w:rPr>
          <w:color w:val="000000" w:themeColor="text1"/>
          <w:spacing w:val="-5"/>
        </w:rPr>
        <w:t xml:space="preserve"> </w:t>
      </w:r>
      <w:r w:rsidRPr="004C0C7F">
        <w:rPr>
          <w:color w:val="000000" w:themeColor="text1"/>
        </w:rPr>
        <w:t>of</w:t>
      </w:r>
      <w:r w:rsidRPr="004C0C7F">
        <w:rPr>
          <w:color w:val="000000" w:themeColor="text1"/>
          <w:spacing w:val="-4"/>
        </w:rPr>
        <w:t xml:space="preserve"> </w:t>
      </w:r>
      <w:r w:rsidRPr="004C0C7F">
        <w:rPr>
          <w:color w:val="000000" w:themeColor="text1"/>
        </w:rPr>
        <w:t>the</w:t>
      </w:r>
      <w:r w:rsidRPr="004C0C7F">
        <w:rPr>
          <w:color w:val="000000" w:themeColor="text1"/>
          <w:spacing w:val="-3"/>
        </w:rPr>
        <w:t xml:space="preserve"> </w:t>
      </w:r>
      <w:r w:rsidRPr="004C0C7F">
        <w:rPr>
          <w:color w:val="000000" w:themeColor="text1"/>
        </w:rPr>
        <w:t>Commonwealth</w:t>
      </w:r>
      <w:r w:rsidRPr="004C0C7F">
        <w:rPr>
          <w:color w:val="000000" w:themeColor="text1"/>
          <w:spacing w:val="-5"/>
        </w:rPr>
        <w:t xml:space="preserve"> </w:t>
      </w:r>
      <w:r w:rsidRPr="004C0C7F">
        <w:rPr>
          <w:color w:val="000000" w:themeColor="text1"/>
        </w:rPr>
        <w:t>Games</w:t>
      </w:r>
      <w:r w:rsidRPr="004C0C7F">
        <w:rPr>
          <w:color w:val="000000" w:themeColor="text1"/>
          <w:spacing w:val="-3"/>
        </w:rPr>
        <w:t xml:space="preserve"> </w:t>
      </w:r>
      <w:r w:rsidRPr="004C0C7F">
        <w:rPr>
          <w:color w:val="000000" w:themeColor="text1"/>
          <w:spacing w:val="-2"/>
        </w:rPr>
        <w:t>Command</w:t>
      </w:r>
    </w:p>
    <w:p w14:paraId="40190DDD" w14:textId="77777777" w:rsidR="00345EE3" w:rsidRDefault="00345EE3" w:rsidP="00345EE3">
      <w:pPr>
        <w:pStyle w:val="BodyText"/>
        <w:spacing w:before="4" w:line="242" w:lineRule="auto"/>
        <w:ind w:right="848"/>
      </w:pPr>
      <w:r>
        <w:rPr>
          <w:color w:val="231F20"/>
        </w:rPr>
        <w:t>Victoria is set to host the 2026 Commonwealth Games across four regional hubs. In April 2022, the</w:t>
      </w:r>
      <w:r>
        <w:rPr>
          <w:color w:val="231F20"/>
          <w:spacing w:val="-13"/>
        </w:rPr>
        <w:t xml:space="preserve"> </w:t>
      </w:r>
      <w:r>
        <w:rPr>
          <w:color w:val="231F20"/>
        </w:rPr>
        <w:t>new</w:t>
      </w:r>
      <w:r>
        <w:rPr>
          <w:color w:val="231F20"/>
          <w:spacing w:val="-13"/>
        </w:rPr>
        <w:t xml:space="preserve"> </w:t>
      </w:r>
      <w:r>
        <w:rPr>
          <w:color w:val="231F20"/>
        </w:rPr>
        <w:t>Commonwealth</w:t>
      </w:r>
      <w:r>
        <w:rPr>
          <w:color w:val="231F20"/>
          <w:spacing w:val="-13"/>
        </w:rPr>
        <w:t xml:space="preserve"> </w:t>
      </w:r>
      <w:r>
        <w:rPr>
          <w:color w:val="231F20"/>
        </w:rPr>
        <w:t>Games</w:t>
      </w:r>
      <w:r>
        <w:rPr>
          <w:color w:val="231F20"/>
          <w:spacing w:val="-12"/>
        </w:rPr>
        <w:t xml:space="preserve"> </w:t>
      </w:r>
      <w:r>
        <w:rPr>
          <w:color w:val="231F20"/>
        </w:rPr>
        <w:t>Command</w:t>
      </w:r>
      <w:r>
        <w:rPr>
          <w:color w:val="231F20"/>
          <w:spacing w:val="-13"/>
        </w:rPr>
        <w:t xml:space="preserve"> </w:t>
      </w:r>
      <w:r>
        <w:rPr>
          <w:color w:val="231F20"/>
        </w:rPr>
        <w:t>was</w:t>
      </w:r>
      <w:r>
        <w:rPr>
          <w:color w:val="231F20"/>
          <w:spacing w:val="-12"/>
        </w:rPr>
        <w:t xml:space="preserve"> </w:t>
      </w:r>
      <w:r>
        <w:rPr>
          <w:color w:val="231F20"/>
        </w:rPr>
        <w:t>established</w:t>
      </w:r>
      <w:r>
        <w:rPr>
          <w:color w:val="231F20"/>
          <w:spacing w:val="-13"/>
        </w:rPr>
        <w:t xml:space="preserve"> </w:t>
      </w:r>
      <w:r>
        <w:rPr>
          <w:color w:val="231F20"/>
        </w:rPr>
        <w:t>to</w:t>
      </w:r>
      <w:r>
        <w:rPr>
          <w:color w:val="231F20"/>
          <w:spacing w:val="-13"/>
        </w:rPr>
        <w:t xml:space="preserve"> </w:t>
      </w:r>
      <w:r>
        <w:rPr>
          <w:color w:val="231F20"/>
        </w:rPr>
        <w:t>oversee</w:t>
      </w:r>
      <w:r>
        <w:rPr>
          <w:color w:val="231F20"/>
          <w:spacing w:val="-13"/>
        </w:rPr>
        <w:t xml:space="preserve"> </w:t>
      </w:r>
      <w:r>
        <w:rPr>
          <w:color w:val="231F20"/>
        </w:rPr>
        <w:t>Victoria</w:t>
      </w:r>
      <w:r>
        <w:rPr>
          <w:color w:val="231F20"/>
          <w:spacing w:val="-13"/>
        </w:rPr>
        <w:t xml:space="preserve"> </w:t>
      </w:r>
      <w:r>
        <w:rPr>
          <w:color w:val="231F20"/>
        </w:rPr>
        <w:t>Police’s</w:t>
      </w:r>
      <w:r>
        <w:rPr>
          <w:color w:val="231F20"/>
          <w:spacing w:val="-12"/>
        </w:rPr>
        <w:t xml:space="preserve"> </w:t>
      </w:r>
      <w:r>
        <w:rPr>
          <w:color w:val="231F20"/>
        </w:rPr>
        <w:t>planning and management role. The games will be the first held under a multi-city model, with sporting hubs and athletes’ villages to be set up in Geelong, Bendigo, Ballarat and Gippsland. The planning</w:t>
      </w:r>
      <w:r>
        <w:rPr>
          <w:color w:val="231F20"/>
          <w:spacing w:val="-6"/>
        </w:rPr>
        <w:t xml:space="preserve"> </w:t>
      </w:r>
      <w:r>
        <w:rPr>
          <w:color w:val="231F20"/>
        </w:rPr>
        <w:t>and</w:t>
      </w:r>
      <w:r>
        <w:rPr>
          <w:color w:val="231F20"/>
          <w:spacing w:val="-6"/>
        </w:rPr>
        <w:t xml:space="preserve"> </w:t>
      </w:r>
      <w:r>
        <w:rPr>
          <w:color w:val="231F20"/>
        </w:rPr>
        <w:t>management</w:t>
      </w:r>
      <w:r>
        <w:rPr>
          <w:color w:val="231F20"/>
          <w:spacing w:val="-5"/>
        </w:rPr>
        <w:t xml:space="preserve"> </w:t>
      </w:r>
      <w:r>
        <w:rPr>
          <w:color w:val="231F20"/>
        </w:rPr>
        <w:t>for</w:t>
      </w:r>
      <w:r>
        <w:rPr>
          <w:color w:val="231F20"/>
          <w:spacing w:val="-5"/>
        </w:rPr>
        <w:t xml:space="preserve"> </w:t>
      </w:r>
      <w:r>
        <w:rPr>
          <w:color w:val="231F20"/>
        </w:rPr>
        <w:t>security,</w:t>
      </w:r>
      <w:r>
        <w:rPr>
          <w:color w:val="231F20"/>
          <w:spacing w:val="-5"/>
        </w:rPr>
        <w:t xml:space="preserve"> </w:t>
      </w:r>
      <w:r>
        <w:rPr>
          <w:color w:val="231F20"/>
        </w:rPr>
        <w:t>traffic</w:t>
      </w:r>
      <w:r>
        <w:rPr>
          <w:color w:val="231F20"/>
          <w:spacing w:val="-5"/>
        </w:rPr>
        <w:t xml:space="preserve"> </w:t>
      </w:r>
      <w:r>
        <w:rPr>
          <w:color w:val="231F20"/>
        </w:rPr>
        <w:t>and</w:t>
      </w:r>
      <w:r>
        <w:rPr>
          <w:color w:val="231F20"/>
          <w:spacing w:val="-6"/>
        </w:rPr>
        <w:t xml:space="preserve"> </w:t>
      </w:r>
      <w:r>
        <w:rPr>
          <w:color w:val="231F20"/>
        </w:rPr>
        <w:t>community</w:t>
      </w:r>
      <w:r>
        <w:rPr>
          <w:color w:val="231F20"/>
          <w:spacing w:val="-5"/>
        </w:rPr>
        <w:t xml:space="preserve"> </w:t>
      </w:r>
      <w:r>
        <w:rPr>
          <w:color w:val="231F20"/>
        </w:rPr>
        <w:t>safety</w:t>
      </w:r>
      <w:r>
        <w:rPr>
          <w:color w:val="231F20"/>
          <w:spacing w:val="-5"/>
        </w:rPr>
        <w:t xml:space="preserve"> </w:t>
      </w:r>
      <w:r>
        <w:rPr>
          <w:color w:val="231F20"/>
        </w:rPr>
        <w:t>for</w:t>
      </w:r>
      <w:r>
        <w:rPr>
          <w:color w:val="231F20"/>
          <w:spacing w:val="-5"/>
        </w:rPr>
        <w:t xml:space="preserve"> </w:t>
      </w:r>
      <w:r>
        <w:rPr>
          <w:color w:val="231F20"/>
        </w:rPr>
        <w:t>such</w:t>
      </w:r>
      <w:r>
        <w:rPr>
          <w:color w:val="231F20"/>
          <w:spacing w:val="-6"/>
        </w:rPr>
        <w:t xml:space="preserve"> </w:t>
      </w:r>
      <w:r>
        <w:rPr>
          <w:color w:val="231F20"/>
        </w:rPr>
        <w:t>a</w:t>
      </w:r>
      <w:r>
        <w:rPr>
          <w:color w:val="231F20"/>
          <w:spacing w:val="-6"/>
        </w:rPr>
        <w:t xml:space="preserve"> </w:t>
      </w:r>
      <w:r>
        <w:rPr>
          <w:color w:val="231F20"/>
        </w:rPr>
        <w:t>large-scale</w:t>
      </w:r>
      <w:r>
        <w:rPr>
          <w:color w:val="231F20"/>
          <w:spacing w:val="-6"/>
        </w:rPr>
        <w:t xml:space="preserve"> </w:t>
      </w:r>
      <w:r>
        <w:rPr>
          <w:color w:val="231F20"/>
        </w:rPr>
        <w:t>event across four different hubs requires a large-scale operation from the organisation.</w:t>
      </w:r>
    </w:p>
    <w:p w14:paraId="1C35B2ED" w14:textId="77777777" w:rsidR="00345EE3" w:rsidRPr="004C0C7F" w:rsidRDefault="00345EE3" w:rsidP="004C0C7F">
      <w:pPr>
        <w:pStyle w:val="Heading5"/>
        <w:spacing w:before="178"/>
        <w:ind w:left="0"/>
        <w:rPr>
          <w:color w:val="000000" w:themeColor="text1"/>
        </w:rPr>
      </w:pPr>
      <w:r w:rsidRPr="004C0C7F">
        <w:rPr>
          <w:color w:val="000000" w:themeColor="text1"/>
        </w:rPr>
        <w:t>Development</w:t>
      </w:r>
      <w:r w:rsidRPr="004C0C7F">
        <w:rPr>
          <w:color w:val="000000" w:themeColor="text1"/>
          <w:spacing w:val="-7"/>
        </w:rPr>
        <w:t xml:space="preserve"> </w:t>
      </w:r>
      <w:r w:rsidRPr="004C0C7F">
        <w:rPr>
          <w:color w:val="000000" w:themeColor="text1"/>
        </w:rPr>
        <w:t>of</w:t>
      </w:r>
      <w:r w:rsidRPr="004C0C7F">
        <w:rPr>
          <w:color w:val="000000" w:themeColor="text1"/>
          <w:spacing w:val="-4"/>
        </w:rPr>
        <w:t xml:space="preserve"> </w:t>
      </w:r>
      <w:r w:rsidRPr="004C0C7F">
        <w:rPr>
          <w:color w:val="000000" w:themeColor="text1"/>
        </w:rPr>
        <w:t>the</w:t>
      </w:r>
      <w:r w:rsidRPr="004C0C7F">
        <w:rPr>
          <w:color w:val="000000" w:themeColor="text1"/>
          <w:spacing w:val="-5"/>
        </w:rPr>
        <w:t xml:space="preserve"> </w:t>
      </w:r>
      <w:r w:rsidRPr="004C0C7F">
        <w:rPr>
          <w:color w:val="000000" w:themeColor="text1"/>
        </w:rPr>
        <w:t>National</w:t>
      </w:r>
      <w:r w:rsidRPr="004C0C7F">
        <w:rPr>
          <w:color w:val="000000" w:themeColor="text1"/>
          <w:spacing w:val="-4"/>
        </w:rPr>
        <w:t xml:space="preserve"> </w:t>
      </w:r>
      <w:r w:rsidRPr="004C0C7F">
        <w:rPr>
          <w:color w:val="000000" w:themeColor="text1"/>
        </w:rPr>
        <w:t>Criminal</w:t>
      </w:r>
      <w:r w:rsidRPr="004C0C7F">
        <w:rPr>
          <w:color w:val="000000" w:themeColor="text1"/>
          <w:spacing w:val="-5"/>
        </w:rPr>
        <w:t xml:space="preserve"> </w:t>
      </w:r>
      <w:r w:rsidRPr="004C0C7F">
        <w:rPr>
          <w:color w:val="000000" w:themeColor="text1"/>
        </w:rPr>
        <w:t>Intelligence</w:t>
      </w:r>
      <w:r w:rsidRPr="004C0C7F">
        <w:rPr>
          <w:color w:val="000000" w:themeColor="text1"/>
          <w:spacing w:val="-4"/>
        </w:rPr>
        <w:t xml:space="preserve"> </w:t>
      </w:r>
      <w:r w:rsidRPr="004C0C7F">
        <w:rPr>
          <w:color w:val="000000" w:themeColor="text1"/>
          <w:spacing w:val="-2"/>
        </w:rPr>
        <w:t>System</w:t>
      </w:r>
    </w:p>
    <w:p w14:paraId="531DE731" w14:textId="77777777" w:rsidR="00345EE3" w:rsidRDefault="00345EE3" w:rsidP="00345EE3">
      <w:pPr>
        <w:pStyle w:val="BodyText"/>
        <w:spacing w:before="4" w:line="242" w:lineRule="auto"/>
        <w:ind w:right="921"/>
      </w:pPr>
      <w:r>
        <w:rPr>
          <w:color w:val="231F20"/>
        </w:rPr>
        <w:t>The National Criminal Intelligence System (NCIS) is a joint project between Federal and State police</w:t>
      </w:r>
      <w:r>
        <w:rPr>
          <w:color w:val="231F20"/>
          <w:spacing w:val="-10"/>
        </w:rPr>
        <w:t xml:space="preserve"> </w:t>
      </w:r>
      <w:r>
        <w:rPr>
          <w:color w:val="231F20"/>
        </w:rPr>
        <w:t>agencies,</w:t>
      </w:r>
      <w:r>
        <w:rPr>
          <w:color w:val="231F20"/>
          <w:spacing w:val="-10"/>
        </w:rPr>
        <w:t xml:space="preserve"> </w:t>
      </w:r>
      <w:r>
        <w:rPr>
          <w:color w:val="231F20"/>
        </w:rPr>
        <w:t>the</w:t>
      </w:r>
      <w:r>
        <w:rPr>
          <w:color w:val="231F20"/>
          <w:spacing w:val="-10"/>
        </w:rPr>
        <w:t xml:space="preserve"> </w:t>
      </w:r>
      <w:r>
        <w:rPr>
          <w:color w:val="231F20"/>
        </w:rPr>
        <w:t>Australian</w:t>
      </w:r>
      <w:r>
        <w:rPr>
          <w:color w:val="231F20"/>
          <w:spacing w:val="-10"/>
        </w:rPr>
        <w:t xml:space="preserve"> </w:t>
      </w:r>
      <w:r>
        <w:rPr>
          <w:color w:val="231F20"/>
        </w:rPr>
        <w:t>Criminal</w:t>
      </w:r>
      <w:r>
        <w:rPr>
          <w:color w:val="231F20"/>
          <w:spacing w:val="-10"/>
        </w:rPr>
        <w:t xml:space="preserve"> </w:t>
      </w:r>
      <w:r>
        <w:rPr>
          <w:color w:val="231F20"/>
        </w:rPr>
        <w:t>Intelligence</w:t>
      </w:r>
      <w:r>
        <w:rPr>
          <w:color w:val="231F20"/>
          <w:spacing w:val="-10"/>
        </w:rPr>
        <w:t xml:space="preserve"> </w:t>
      </w:r>
      <w:r>
        <w:rPr>
          <w:color w:val="231F20"/>
        </w:rPr>
        <w:t>Commission,</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Department</w:t>
      </w:r>
      <w:r>
        <w:rPr>
          <w:color w:val="231F20"/>
          <w:spacing w:val="-10"/>
        </w:rPr>
        <w:t xml:space="preserve"> </w:t>
      </w:r>
      <w:r>
        <w:rPr>
          <w:color w:val="231F20"/>
        </w:rPr>
        <w:t>of</w:t>
      </w:r>
      <w:r>
        <w:rPr>
          <w:color w:val="231F20"/>
          <w:spacing w:val="-10"/>
        </w:rPr>
        <w:t xml:space="preserve"> </w:t>
      </w:r>
      <w:r>
        <w:rPr>
          <w:color w:val="231F20"/>
        </w:rPr>
        <w:t>Home</w:t>
      </w:r>
    </w:p>
    <w:p w14:paraId="3D3B2C60" w14:textId="77777777" w:rsidR="00345EE3" w:rsidRDefault="00345EE3" w:rsidP="00345EE3">
      <w:pPr>
        <w:spacing w:line="242" w:lineRule="auto"/>
        <w:sectPr w:rsidR="00345EE3">
          <w:pgSz w:w="11910" w:h="16840"/>
          <w:pgMar w:top="720" w:right="0" w:bottom="280" w:left="740" w:header="720" w:footer="720" w:gutter="0"/>
          <w:cols w:space="720"/>
        </w:sectPr>
      </w:pPr>
    </w:p>
    <w:p w14:paraId="22223618" w14:textId="77777777" w:rsidR="00345EE3" w:rsidRDefault="00345EE3" w:rsidP="00345EE3">
      <w:pPr>
        <w:pStyle w:val="BodyText"/>
        <w:spacing w:before="62" w:line="242" w:lineRule="auto"/>
        <w:ind w:right="921"/>
      </w:pPr>
      <w:r>
        <w:rPr>
          <w:color w:val="231F20"/>
        </w:rPr>
        <w:t>Affairs.</w:t>
      </w:r>
      <w:r>
        <w:rPr>
          <w:color w:val="231F20"/>
          <w:spacing w:val="-1"/>
        </w:rPr>
        <w:t xml:space="preserve"> </w:t>
      </w:r>
      <w:r>
        <w:rPr>
          <w:color w:val="231F20"/>
        </w:rPr>
        <w:t>It</w:t>
      </w:r>
      <w:r>
        <w:rPr>
          <w:color w:val="231F20"/>
          <w:spacing w:val="-1"/>
        </w:rPr>
        <w:t xml:space="preserve"> </w:t>
      </w:r>
      <w:r>
        <w:rPr>
          <w:color w:val="231F20"/>
        </w:rPr>
        <w:t>will</w:t>
      </w:r>
      <w:r>
        <w:rPr>
          <w:color w:val="231F20"/>
          <w:spacing w:val="-2"/>
        </w:rPr>
        <w:t xml:space="preserve"> </w:t>
      </w:r>
      <w:r>
        <w:rPr>
          <w:color w:val="231F20"/>
        </w:rPr>
        <w:t>securely</w:t>
      </w:r>
      <w:r>
        <w:rPr>
          <w:color w:val="231F20"/>
          <w:spacing w:val="-1"/>
        </w:rPr>
        <w:t xml:space="preserve"> </w:t>
      </w:r>
      <w:r>
        <w:rPr>
          <w:color w:val="231F20"/>
        </w:rPr>
        <w:t>connect</w:t>
      </w:r>
      <w:r>
        <w:rPr>
          <w:color w:val="231F20"/>
          <w:spacing w:val="-1"/>
        </w:rPr>
        <w:t xml:space="preserve"> </w:t>
      </w:r>
      <w:r>
        <w:rPr>
          <w:color w:val="231F20"/>
        </w:rPr>
        <w:t>law</w:t>
      </w:r>
      <w:r>
        <w:rPr>
          <w:color w:val="231F20"/>
          <w:spacing w:val="-2"/>
        </w:rPr>
        <w:t xml:space="preserve"> </w:t>
      </w:r>
      <w:r>
        <w:rPr>
          <w:color w:val="231F20"/>
        </w:rPr>
        <w:t>enforcement</w:t>
      </w:r>
      <w:r>
        <w:rPr>
          <w:color w:val="231F20"/>
          <w:spacing w:val="-1"/>
        </w:rPr>
        <w:t xml:space="preserve"> </w:t>
      </w:r>
      <w:r>
        <w:rPr>
          <w:color w:val="231F20"/>
        </w:rPr>
        <w:t>and</w:t>
      </w:r>
      <w:r>
        <w:rPr>
          <w:color w:val="231F20"/>
          <w:spacing w:val="-2"/>
        </w:rPr>
        <w:t xml:space="preserve"> </w:t>
      </w:r>
      <w:r>
        <w:rPr>
          <w:color w:val="231F20"/>
        </w:rPr>
        <w:t>intelligence</w:t>
      </w:r>
      <w:r>
        <w:rPr>
          <w:color w:val="231F20"/>
          <w:spacing w:val="-2"/>
        </w:rPr>
        <w:t xml:space="preserve"> </w:t>
      </w:r>
      <w:r>
        <w:rPr>
          <w:color w:val="231F20"/>
        </w:rPr>
        <w:t>agencies</w:t>
      </w:r>
      <w:r>
        <w:rPr>
          <w:color w:val="231F20"/>
          <w:spacing w:val="-1"/>
        </w:rPr>
        <w:t xml:space="preserve"> </w:t>
      </w:r>
      <w:r>
        <w:rPr>
          <w:color w:val="231F20"/>
        </w:rPr>
        <w:t>to</w:t>
      </w:r>
      <w:r>
        <w:rPr>
          <w:color w:val="231F20"/>
          <w:spacing w:val="-2"/>
        </w:rPr>
        <w:t xml:space="preserve"> </w:t>
      </w:r>
      <w:r>
        <w:rPr>
          <w:color w:val="231F20"/>
        </w:rPr>
        <w:t>share</w:t>
      </w:r>
      <w:r>
        <w:rPr>
          <w:color w:val="231F20"/>
          <w:spacing w:val="-2"/>
        </w:rPr>
        <w:t xml:space="preserve"> </w:t>
      </w:r>
      <w:r>
        <w:rPr>
          <w:color w:val="231F20"/>
        </w:rPr>
        <w:t>information nationally</w:t>
      </w:r>
      <w:r>
        <w:rPr>
          <w:color w:val="231F20"/>
          <w:spacing w:val="-12"/>
        </w:rPr>
        <w:t xml:space="preserve"> </w:t>
      </w:r>
      <w:r>
        <w:rPr>
          <w:color w:val="231F20"/>
        </w:rPr>
        <w:t>in</w:t>
      </w:r>
      <w:r>
        <w:rPr>
          <w:color w:val="231F20"/>
          <w:spacing w:val="-13"/>
        </w:rPr>
        <w:t xml:space="preserve"> </w:t>
      </w:r>
      <w:r>
        <w:rPr>
          <w:color w:val="231F20"/>
        </w:rPr>
        <w:t>a</w:t>
      </w:r>
      <w:r>
        <w:rPr>
          <w:color w:val="231F20"/>
          <w:spacing w:val="-13"/>
        </w:rPr>
        <w:t xml:space="preserve"> </w:t>
      </w:r>
      <w:r>
        <w:rPr>
          <w:color w:val="231F20"/>
        </w:rPr>
        <w:t>targeted,</w:t>
      </w:r>
      <w:r>
        <w:rPr>
          <w:color w:val="231F20"/>
          <w:spacing w:val="-12"/>
        </w:rPr>
        <w:t xml:space="preserve"> </w:t>
      </w:r>
      <w:r>
        <w:rPr>
          <w:color w:val="231F20"/>
        </w:rPr>
        <w:t>timely,</w:t>
      </w:r>
      <w:r>
        <w:rPr>
          <w:color w:val="231F20"/>
          <w:spacing w:val="-12"/>
        </w:rPr>
        <w:t xml:space="preserve"> </w:t>
      </w:r>
      <w:r>
        <w:rPr>
          <w:color w:val="231F20"/>
        </w:rPr>
        <w:t>relevant</w:t>
      </w:r>
      <w:r>
        <w:rPr>
          <w:color w:val="231F20"/>
          <w:spacing w:val="-12"/>
        </w:rPr>
        <w:t xml:space="preserve"> </w:t>
      </w:r>
      <w:r>
        <w:rPr>
          <w:color w:val="231F20"/>
        </w:rPr>
        <w:t>and</w:t>
      </w:r>
      <w:r>
        <w:rPr>
          <w:color w:val="231F20"/>
          <w:spacing w:val="-13"/>
        </w:rPr>
        <w:t xml:space="preserve"> </w:t>
      </w:r>
      <w:r>
        <w:rPr>
          <w:color w:val="231F20"/>
        </w:rPr>
        <w:t>prioritised</w:t>
      </w:r>
      <w:r>
        <w:rPr>
          <w:color w:val="231F20"/>
          <w:spacing w:val="-13"/>
        </w:rPr>
        <w:t xml:space="preserve"> </w:t>
      </w:r>
      <w:r>
        <w:rPr>
          <w:color w:val="231F20"/>
        </w:rPr>
        <w:t>way.</w:t>
      </w:r>
      <w:r>
        <w:rPr>
          <w:color w:val="231F20"/>
          <w:spacing w:val="-12"/>
        </w:rPr>
        <w:t xml:space="preserve"> </w:t>
      </w:r>
      <w:r>
        <w:rPr>
          <w:color w:val="231F20"/>
        </w:rPr>
        <w:t>NCIS</w:t>
      </w:r>
      <w:r>
        <w:rPr>
          <w:color w:val="231F20"/>
          <w:spacing w:val="-12"/>
        </w:rPr>
        <w:t xml:space="preserve"> </w:t>
      </w:r>
      <w:r>
        <w:rPr>
          <w:color w:val="231F20"/>
        </w:rPr>
        <w:t>will</w:t>
      </w:r>
      <w:r>
        <w:rPr>
          <w:color w:val="231F20"/>
          <w:spacing w:val="-13"/>
        </w:rPr>
        <w:t xml:space="preserve"> </w:t>
      </w:r>
      <w:r>
        <w:rPr>
          <w:color w:val="231F20"/>
        </w:rPr>
        <w:t>address</w:t>
      </w:r>
      <w:r>
        <w:rPr>
          <w:color w:val="231F20"/>
          <w:spacing w:val="-12"/>
        </w:rPr>
        <w:t xml:space="preserve"> </w:t>
      </w:r>
      <w:r>
        <w:rPr>
          <w:color w:val="231F20"/>
        </w:rPr>
        <w:t>the</w:t>
      </w:r>
      <w:r>
        <w:rPr>
          <w:color w:val="231F20"/>
          <w:spacing w:val="-13"/>
        </w:rPr>
        <w:t xml:space="preserve"> </w:t>
      </w:r>
      <w:r>
        <w:rPr>
          <w:color w:val="231F20"/>
        </w:rPr>
        <w:t>challenges</w:t>
      </w:r>
      <w:r>
        <w:rPr>
          <w:color w:val="231F20"/>
          <w:spacing w:val="-12"/>
        </w:rPr>
        <w:t xml:space="preserve"> </w:t>
      </w:r>
      <w:r>
        <w:rPr>
          <w:color w:val="231F20"/>
        </w:rPr>
        <w:t>of the</w:t>
      </w:r>
      <w:r>
        <w:rPr>
          <w:color w:val="231F20"/>
          <w:spacing w:val="-2"/>
        </w:rPr>
        <w:t xml:space="preserve"> </w:t>
      </w:r>
      <w:r>
        <w:rPr>
          <w:color w:val="231F20"/>
        </w:rPr>
        <w:t>current</w:t>
      </w:r>
      <w:r>
        <w:rPr>
          <w:color w:val="231F20"/>
          <w:spacing w:val="-1"/>
        </w:rPr>
        <w:t xml:space="preserve"> </w:t>
      </w:r>
      <w:r>
        <w:rPr>
          <w:color w:val="231F20"/>
        </w:rPr>
        <w:t>information</w:t>
      </w:r>
      <w:r>
        <w:rPr>
          <w:color w:val="231F20"/>
          <w:spacing w:val="-2"/>
        </w:rPr>
        <w:t xml:space="preserve"> </w:t>
      </w:r>
      <w:r>
        <w:rPr>
          <w:color w:val="231F20"/>
        </w:rPr>
        <w:t>sharing</w:t>
      </w:r>
      <w:r>
        <w:rPr>
          <w:color w:val="231F20"/>
          <w:spacing w:val="-2"/>
        </w:rPr>
        <w:t xml:space="preserve"> </w:t>
      </w:r>
      <w:r>
        <w:rPr>
          <w:color w:val="231F20"/>
        </w:rPr>
        <w:t>arrangements</w:t>
      </w:r>
      <w:r>
        <w:rPr>
          <w:color w:val="231F20"/>
          <w:spacing w:val="-1"/>
        </w:rPr>
        <w:t xml:space="preserve"> </w:t>
      </w:r>
      <w:r>
        <w:rPr>
          <w:color w:val="231F20"/>
        </w:rPr>
        <w:t>and</w:t>
      </w:r>
      <w:r>
        <w:rPr>
          <w:color w:val="231F20"/>
          <w:spacing w:val="-2"/>
        </w:rPr>
        <w:t xml:space="preserve"> </w:t>
      </w:r>
      <w:r>
        <w:rPr>
          <w:color w:val="231F20"/>
        </w:rPr>
        <w:t>will</w:t>
      </w:r>
      <w:r>
        <w:rPr>
          <w:color w:val="231F20"/>
          <w:spacing w:val="-2"/>
        </w:rPr>
        <w:t xml:space="preserve"> </w:t>
      </w:r>
      <w:r>
        <w:rPr>
          <w:color w:val="231F20"/>
        </w:rPr>
        <w:t>unify</w:t>
      </w:r>
      <w:r>
        <w:rPr>
          <w:color w:val="231F20"/>
          <w:spacing w:val="-1"/>
        </w:rPr>
        <w:t xml:space="preserve"> </w:t>
      </w:r>
      <w:r>
        <w:rPr>
          <w:color w:val="231F20"/>
        </w:rPr>
        <w:t>information</w:t>
      </w:r>
      <w:r>
        <w:rPr>
          <w:color w:val="231F20"/>
          <w:spacing w:val="-2"/>
        </w:rPr>
        <w:t xml:space="preserve"> </w:t>
      </w:r>
      <w:r>
        <w:rPr>
          <w:color w:val="231F20"/>
        </w:rPr>
        <w:t>from</w:t>
      </w:r>
      <w:r>
        <w:rPr>
          <w:color w:val="231F20"/>
          <w:spacing w:val="-1"/>
        </w:rPr>
        <w:t xml:space="preserve"> </w:t>
      </w:r>
      <w:r>
        <w:rPr>
          <w:color w:val="231F20"/>
        </w:rPr>
        <w:t>separate</w:t>
      </w:r>
      <w:r>
        <w:rPr>
          <w:color w:val="231F20"/>
          <w:spacing w:val="-2"/>
        </w:rPr>
        <w:t xml:space="preserve"> </w:t>
      </w:r>
      <w:r>
        <w:rPr>
          <w:color w:val="231F20"/>
        </w:rPr>
        <w:t>systems across</w:t>
      </w:r>
      <w:r>
        <w:rPr>
          <w:color w:val="231F20"/>
          <w:spacing w:val="-2"/>
        </w:rPr>
        <w:t xml:space="preserve"> </w:t>
      </w:r>
      <w:r>
        <w:rPr>
          <w:color w:val="231F20"/>
        </w:rPr>
        <w:t>multiple</w:t>
      </w:r>
      <w:r>
        <w:rPr>
          <w:color w:val="231F20"/>
          <w:spacing w:val="-3"/>
        </w:rPr>
        <w:t xml:space="preserve"> </w:t>
      </w:r>
      <w:r>
        <w:rPr>
          <w:color w:val="231F20"/>
        </w:rPr>
        <w:t>agencies.</w:t>
      </w:r>
      <w:r>
        <w:rPr>
          <w:color w:val="231F20"/>
          <w:spacing w:val="-2"/>
        </w:rPr>
        <w:t xml:space="preserve"> </w:t>
      </w:r>
      <w:r>
        <w:rPr>
          <w:color w:val="231F20"/>
        </w:rPr>
        <w:t>The</w:t>
      </w:r>
      <w:r>
        <w:rPr>
          <w:color w:val="231F20"/>
          <w:spacing w:val="-3"/>
        </w:rPr>
        <w:t xml:space="preserve"> </w:t>
      </w:r>
      <w:r>
        <w:rPr>
          <w:color w:val="231F20"/>
        </w:rPr>
        <w:t>delivery</w:t>
      </w:r>
      <w:r>
        <w:rPr>
          <w:color w:val="231F20"/>
          <w:spacing w:val="-2"/>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NCIS</w:t>
      </w:r>
      <w:r>
        <w:rPr>
          <w:color w:val="231F20"/>
          <w:spacing w:val="-2"/>
        </w:rPr>
        <w:t xml:space="preserve"> </w:t>
      </w:r>
      <w:r>
        <w:rPr>
          <w:color w:val="231F20"/>
        </w:rPr>
        <w:t>project</w:t>
      </w:r>
      <w:r>
        <w:rPr>
          <w:color w:val="231F20"/>
          <w:spacing w:val="-2"/>
        </w:rPr>
        <w:t xml:space="preserve"> </w:t>
      </w:r>
      <w:r>
        <w:rPr>
          <w:color w:val="231F20"/>
        </w:rPr>
        <w:t>continued</w:t>
      </w:r>
      <w:r>
        <w:rPr>
          <w:color w:val="231F20"/>
          <w:spacing w:val="-3"/>
        </w:rPr>
        <w:t xml:space="preserve"> </w:t>
      </w:r>
      <w:r>
        <w:rPr>
          <w:color w:val="231F20"/>
        </w:rPr>
        <w:t>to</w:t>
      </w:r>
      <w:r>
        <w:rPr>
          <w:color w:val="231F20"/>
          <w:spacing w:val="-3"/>
        </w:rPr>
        <w:t xml:space="preserve"> </w:t>
      </w:r>
      <w:r>
        <w:rPr>
          <w:color w:val="231F20"/>
        </w:rPr>
        <w:t>progress</w:t>
      </w:r>
      <w:r>
        <w:rPr>
          <w:color w:val="231F20"/>
          <w:spacing w:val="-2"/>
        </w:rPr>
        <w:t xml:space="preserve"> </w:t>
      </w:r>
      <w:r>
        <w:rPr>
          <w:color w:val="231F20"/>
        </w:rPr>
        <w:t>during</w:t>
      </w:r>
      <w:r>
        <w:rPr>
          <w:color w:val="231F20"/>
          <w:spacing w:val="-3"/>
        </w:rPr>
        <w:t xml:space="preserve"> </w:t>
      </w:r>
      <w:r>
        <w:rPr>
          <w:color w:val="231F20"/>
        </w:rPr>
        <w:t>2021– 22 with the provision of Victoria Police data to the system, and intelligence practitioners and investigators being</w:t>
      </w:r>
      <w:r>
        <w:rPr>
          <w:color w:val="231F20"/>
          <w:spacing w:val="-1"/>
        </w:rPr>
        <w:t xml:space="preserve"> </w:t>
      </w:r>
      <w:r>
        <w:rPr>
          <w:color w:val="231F20"/>
        </w:rPr>
        <w:t>provided</w:t>
      </w:r>
      <w:r>
        <w:rPr>
          <w:color w:val="231F20"/>
          <w:spacing w:val="-1"/>
        </w:rPr>
        <w:t xml:space="preserve"> </w:t>
      </w:r>
      <w:r>
        <w:rPr>
          <w:color w:val="231F20"/>
        </w:rPr>
        <w:t>with</w:t>
      </w:r>
      <w:r>
        <w:rPr>
          <w:color w:val="231F20"/>
          <w:spacing w:val="-1"/>
        </w:rPr>
        <w:t xml:space="preserve"> </w:t>
      </w:r>
      <w:r>
        <w:rPr>
          <w:color w:val="231F20"/>
        </w:rPr>
        <w:t>access to</w:t>
      </w:r>
      <w:r>
        <w:rPr>
          <w:color w:val="231F20"/>
          <w:spacing w:val="-1"/>
        </w:rPr>
        <w:t xml:space="preserve"> </w:t>
      </w:r>
      <w:r>
        <w:rPr>
          <w:color w:val="231F20"/>
        </w:rPr>
        <w:t>NCIS. This capability will</w:t>
      </w:r>
      <w:r>
        <w:rPr>
          <w:color w:val="231F20"/>
          <w:spacing w:val="-1"/>
        </w:rPr>
        <w:t xml:space="preserve"> </w:t>
      </w:r>
      <w:r>
        <w:rPr>
          <w:color w:val="231F20"/>
        </w:rPr>
        <w:t>increasingly contribute</w:t>
      </w:r>
      <w:r>
        <w:rPr>
          <w:color w:val="231F20"/>
          <w:spacing w:val="-1"/>
        </w:rPr>
        <w:t xml:space="preserve"> </w:t>
      </w:r>
      <w:r>
        <w:rPr>
          <w:color w:val="231F20"/>
        </w:rPr>
        <w:t>to intelligence and community safety outcomes as data from the remaining policing jurisdictions and Commonwealth agencies are incorporated into NCIS in the future.</w:t>
      </w:r>
    </w:p>
    <w:p w14:paraId="1581FAAE" w14:textId="77777777" w:rsidR="00345EE3" w:rsidRDefault="00345EE3" w:rsidP="00345EE3">
      <w:pPr>
        <w:pStyle w:val="Heading5"/>
        <w:spacing w:before="181"/>
      </w:pPr>
      <w:r>
        <w:rPr>
          <w:color w:val="58595B"/>
        </w:rPr>
        <w:t>Forensic Legal</w:t>
      </w:r>
      <w:r>
        <w:rPr>
          <w:color w:val="58595B"/>
          <w:spacing w:val="-9"/>
        </w:rPr>
        <w:t xml:space="preserve"> </w:t>
      </w:r>
      <w:r>
        <w:rPr>
          <w:color w:val="58595B"/>
          <w:spacing w:val="-2"/>
        </w:rPr>
        <w:t>Annexures</w:t>
      </w:r>
    </w:p>
    <w:p w14:paraId="367AB563" w14:textId="77777777" w:rsidR="00345EE3" w:rsidRDefault="00345EE3" w:rsidP="00345EE3">
      <w:pPr>
        <w:pStyle w:val="BodyText"/>
        <w:spacing w:before="4" w:line="242" w:lineRule="auto"/>
        <w:ind w:right="921"/>
      </w:pPr>
      <w:r>
        <w:rPr>
          <w:color w:val="231F20"/>
        </w:rPr>
        <w:t>Forensic Services Department has developed a comprehensive suite of 55 annexures, one for each area of analysis performed by Forensic Services Department experts across all forensic disciplines.</w:t>
      </w:r>
      <w:r>
        <w:rPr>
          <w:color w:val="231F20"/>
          <w:spacing w:val="-1"/>
        </w:rPr>
        <w:t xml:space="preserve"> </w:t>
      </w:r>
      <w:r>
        <w:rPr>
          <w:color w:val="231F20"/>
        </w:rPr>
        <w:t>The</w:t>
      </w:r>
      <w:r>
        <w:rPr>
          <w:color w:val="231F20"/>
          <w:spacing w:val="-2"/>
        </w:rPr>
        <w:t xml:space="preserve"> </w:t>
      </w:r>
      <w:r>
        <w:rPr>
          <w:color w:val="231F20"/>
        </w:rPr>
        <w:t>content</w:t>
      </w:r>
      <w:r>
        <w:rPr>
          <w:color w:val="231F20"/>
          <w:spacing w:val="-1"/>
        </w:rPr>
        <w:t xml:space="preserve"> </w:t>
      </w:r>
      <w:r>
        <w:rPr>
          <w:color w:val="231F20"/>
        </w:rPr>
        <w:t>of</w:t>
      </w:r>
      <w:r>
        <w:rPr>
          <w:color w:val="231F20"/>
          <w:spacing w:val="-1"/>
        </w:rPr>
        <w:t xml:space="preserve"> </w:t>
      </w:r>
      <w:r>
        <w:rPr>
          <w:color w:val="231F20"/>
        </w:rPr>
        <w:t>each</w:t>
      </w:r>
      <w:r>
        <w:rPr>
          <w:color w:val="231F20"/>
          <w:spacing w:val="-2"/>
        </w:rPr>
        <w:t xml:space="preserve"> </w:t>
      </w:r>
      <w:r>
        <w:rPr>
          <w:color w:val="231F20"/>
        </w:rPr>
        <w:t>annexure</w:t>
      </w:r>
      <w:r>
        <w:rPr>
          <w:color w:val="231F20"/>
          <w:spacing w:val="-2"/>
        </w:rPr>
        <w:t xml:space="preserve"> </w:t>
      </w:r>
      <w:r>
        <w:rPr>
          <w:color w:val="231F20"/>
        </w:rPr>
        <w:t>broadly</w:t>
      </w:r>
      <w:r>
        <w:rPr>
          <w:color w:val="231F20"/>
          <w:spacing w:val="-1"/>
        </w:rPr>
        <w:t xml:space="preserve"> </w:t>
      </w:r>
      <w:r>
        <w:rPr>
          <w:color w:val="231F20"/>
        </w:rPr>
        <w:t>covers</w:t>
      </w:r>
      <w:r>
        <w:rPr>
          <w:color w:val="231F20"/>
          <w:spacing w:val="-1"/>
        </w:rPr>
        <w:t xml:space="preserve"> </w:t>
      </w:r>
      <w:r>
        <w:rPr>
          <w:color w:val="231F20"/>
        </w:rPr>
        <w:t>fundamental</w:t>
      </w:r>
      <w:r>
        <w:rPr>
          <w:color w:val="231F20"/>
          <w:spacing w:val="-2"/>
        </w:rPr>
        <w:t xml:space="preserve"> </w:t>
      </w:r>
      <w:r>
        <w:rPr>
          <w:color w:val="231F20"/>
        </w:rPr>
        <w:t>principles,</w:t>
      </w:r>
      <w:r>
        <w:rPr>
          <w:color w:val="231F20"/>
          <w:spacing w:val="-1"/>
        </w:rPr>
        <w:t xml:space="preserve"> </w:t>
      </w:r>
      <w:r>
        <w:rPr>
          <w:color w:val="231F20"/>
        </w:rPr>
        <w:t>methodology, assumptions, limitations, validity and error rates for each specific forensic discipline. This provides</w:t>
      </w:r>
      <w:r>
        <w:rPr>
          <w:color w:val="231F20"/>
          <w:spacing w:val="-4"/>
        </w:rPr>
        <w:t xml:space="preserve"> </w:t>
      </w:r>
      <w:r>
        <w:rPr>
          <w:color w:val="231F20"/>
        </w:rPr>
        <w:t>the</w:t>
      </w:r>
      <w:r>
        <w:rPr>
          <w:color w:val="231F20"/>
          <w:spacing w:val="-5"/>
        </w:rPr>
        <w:t xml:space="preserve"> </w:t>
      </w:r>
      <w:r>
        <w:rPr>
          <w:color w:val="231F20"/>
        </w:rPr>
        <w:t>court</w:t>
      </w:r>
      <w:r>
        <w:rPr>
          <w:color w:val="231F20"/>
          <w:spacing w:val="-4"/>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information</w:t>
      </w:r>
      <w:r>
        <w:rPr>
          <w:color w:val="231F20"/>
          <w:spacing w:val="-5"/>
        </w:rPr>
        <w:t xml:space="preserve"> </w:t>
      </w:r>
      <w:r>
        <w:rPr>
          <w:color w:val="231F20"/>
        </w:rPr>
        <w:t>required</w:t>
      </w:r>
      <w:r>
        <w:rPr>
          <w:color w:val="231F20"/>
          <w:spacing w:val="-5"/>
        </w:rPr>
        <w:t xml:space="preserve"> </w:t>
      </w:r>
      <w:r>
        <w:rPr>
          <w:color w:val="231F20"/>
        </w:rPr>
        <w:t>to</w:t>
      </w:r>
      <w:r>
        <w:rPr>
          <w:color w:val="231F20"/>
          <w:spacing w:val="-5"/>
        </w:rPr>
        <w:t xml:space="preserve"> </w:t>
      </w:r>
      <w:r>
        <w:rPr>
          <w:color w:val="231F20"/>
        </w:rPr>
        <w:t>correctly</w:t>
      </w:r>
      <w:r>
        <w:rPr>
          <w:color w:val="231F20"/>
          <w:spacing w:val="-4"/>
        </w:rPr>
        <w:t xml:space="preserve"> </w:t>
      </w:r>
      <w:r>
        <w:rPr>
          <w:color w:val="231F20"/>
        </w:rPr>
        <w:t>use</w:t>
      </w:r>
      <w:r>
        <w:rPr>
          <w:color w:val="231F20"/>
          <w:spacing w:val="-5"/>
        </w:rPr>
        <w:t xml:space="preserve"> </w:t>
      </w:r>
      <w:r>
        <w:rPr>
          <w:color w:val="231F20"/>
        </w:rPr>
        <w:t>and</w:t>
      </w:r>
      <w:r>
        <w:rPr>
          <w:color w:val="231F20"/>
          <w:spacing w:val="-5"/>
        </w:rPr>
        <w:t xml:space="preserve"> </w:t>
      </w:r>
      <w:r>
        <w:rPr>
          <w:color w:val="231F20"/>
        </w:rPr>
        <w:t>interpret</w:t>
      </w:r>
      <w:r>
        <w:rPr>
          <w:color w:val="231F20"/>
          <w:spacing w:val="-4"/>
        </w:rPr>
        <w:t xml:space="preserve"> </w:t>
      </w:r>
      <w:r>
        <w:rPr>
          <w:color w:val="231F20"/>
        </w:rPr>
        <w:t>the</w:t>
      </w:r>
      <w:r>
        <w:rPr>
          <w:color w:val="231F20"/>
          <w:spacing w:val="-5"/>
        </w:rPr>
        <w:t xml:space="preserve"> </w:t>
      </w:r>
      <w:r>
        <w:rPr>
          <w:color w:val="231F20"/>
        </w:rPr>
        <w:t>expert</w:t>
      </w:r>
      <w:r>
        <w:rPr>
          <w:color w:val="231F20"/>
          <w:spacing w:val="-4"/>
        </w:rPr>
        <w:t xml:space="preserve"> </w:t>
      </w:r>
      <w:r>
        <w:rPr>
          <w:color w:val="231F20"/>
        </w:rPr>
        <w:t>forensic evidence. Forensic Services Department understands that these</w:t>
      </w:r>
      <w:r>
        <w:rPr>
          <w:color w:val="231F20"/>
          <w:spacing w:val="-1"/>
        </w:rPr>
        <w:t xml:space="preserve"> </w:t>
      </w:r>
      <w:r>
        <w:rPr>
          <w:color w:val="231F20"/>
        </w:rPr>
        <w:t>annexures are</w:t>
      </w:r>
      <w:r>
        <w:rPr>
          <w:color w:val="231F20"/>
          <w:spacing w:val="-1"/>
        </w:rPr>
        <w:t xml:space="preserve"> </w:t>
      </w:r>
      <w:r>
        <w:rPr>
          <w:color w:val="231F20"/>
        </w:rPr>
        <w:t>the</w:t>
      </w:r>
      <w:r>
        <w:rPr>
          <w:color w:val="231F20"/>
          <w:spacing w:val="-1"/>
        </w:rPr>
        <w:t xml:space="preserve"> </w:t>
      </w:r>
      <w:r>
        <w:rPr>
          <w:color w:val="231F20"/>
        </w:rPr>
        <w:t>first of their kind</w:t>
      </w:r>
      <w:r>
        <w:rPr>
          <w:color w:val="231F20"/>
          <w:spacing w:val="-12"/>
        </w:rPr>
        <w:t xml:space="preserve"> </w:t>
      </w:r>
      <w:r>
        <w:rPr>
          <w:color w:val="231F20"/>
        </w:rPr>
        <w:t>internationally</w:t>
      </w:r>
      <w:r>
        <w:rPr>
          <w:color w:val="231F20"/>
          <w:spacing w:val="-12"/>
        </w:rPr>
        <w:t xml:space="preserve"> </w:t>
      </w:r>
      <w:r>
        <w:rPr>
          <w:color w:val="231F20"/>
        </w:rPr>
        <w:t>and</w:t>
      </w:r>
      <w:r>
        <w:rPr>
          <w:color w:val="231F20"/>
          <w:spacing w:val="-12"/>
        </w:rPr>
        <w:t xml:space="preserve"> </w:t>
      </w:r>
      <w:r>
        <w:rPr>
          <w:color w:val="231F20"/>
        </w:rPr>
        <w:t>represent</w:t>
      </w:r>
      <w:r>
        <w:rPr>
          <w:color w:val="231F20"/>
          <w:spacing w:val="-12"/>
        </w:rPr>
        <w:t xml:space="preserve"> </w:t>
      </w:r>
      <w:r>
        <w:rPr>
          <w:color w:val="231F20"/>
        </w:rPr>
        <w:t>a</w:t>
      </w:r>
      <w:r>
        <w:rPr>
          <w:color w:val="231F20"/>
          <w:spacing w:val="-12"/>
        </w:rPr>
        <w:t xml:space="preserve"> </w:t>
      </w:r>
      <w:r>
        <w:rPr>
          <w:color w:val="231F20"/>
        </w:rPr>
        <w:t>significant</w:t>
      </w:r>
      <w:r>
        <w:rPr>
          <w:color w:val="231F20"/>
          <w:spacing w:val="-12"/>
        </w:rPr>
        <w:t xml:space="preserve"> </w:t>
      </w:r>
      <w:r>
        <w:rPr>
          <w:color w:val="231F20"/>
        </w:rPr>
        <w:t>step</w:t>
      </w:r>
      <w:r>
        <w:rPr>
          <w:color w:val="231F20"/>
          <w:spacing w:val="-12"/>
        </w:rPr>
        <w:t xml:space="preserve"> </w:t>
      </w:r>
      <w:r>
        <w:rPr>
          <w:color w:val="231F20"/>
        </w:rPr>
        <w:t>in</w:t>
      </w:r>
      <w:r>
        <w:rPr>
          <w:color w:val="231F20"/>
          <w:spacing w:val="-12"/>
        </w:rPr>
        <w:t xml:space="preserve"> </w:t>
      </w:r>
      <w:r>
        <w:rPr>
          <w:color w:val="231F20"/>
        </w:rPr>
        <w:t>promoting</w:t>
      </w:r>
      <w:r>
        <w:rPr>
          <w:color w:val="231F20"/>
          <w:spacing w:val="-12"/>
        </w:rPr>
        <w:t xml:space="preserve"> </w:t>
      </w:r>
      <w:r>
        <w:rPr>
          <w:color w:val="231F20"/>
        </w:rPr>
        <w:t>transparency</w:t>
      </w:r>
      <w:r>
        <w:rPr>
          <w:color w:val="231F20"/>
          <w:spacing w:val="-12"/>
        </w:rPr>
        <w:t xml:space="preserve"> </w:t>
      </w:r>
      <w:r>
        <w:rPr>
          <w:color w:val="231F20"/>
        </w:rPr>
        <w:t>and</w:t>
      </w:r>
      <w:r>
        <w:rPr>
          <w:color w:val="231F20"/>
          <w:spacing w:val="-12"/>
        </w:rPr>
        <w:t xml:space="preserve"> </w:t>
      </w:r>
      <w:r>
        <w:rPr>
          <w:color w:val="231F20"/>
        </w:rPr>
        <w:t>accountability in relation to forensic science practices.</w:t>
      </w:r>
    </w:p>
    <w:p w14:paraId="1C8D5814" w14:textId="77777777" w:rsidR="00345EE3" w:rsidRDefault="00345EE3" w:rsidP="00345EE3">
      <w:pPr>
        <w:pStyle w:val="Heading5"/>
        <w:spacing w:before="180"/>
      </w:pPr>
      <w:r>
        <w:rPr>
          <w:color w:val="58595B"/>
        </w:rPr>
        <w:t>Focus</w:t>
      </w:r>
      <w:r>
        <w:rPr>
          <w:color w:val="58595B"/>
          <w:spacing w:val="-3"/>
        </w:rPr>
        <w:t xml:space="preserve"> </w:t>
      </w:r>
      <w:r>
        <w:rPr>
          <w:color w:val="58595B"/>
        </w:rPr>
        <w:t>on</w:t>
      </w:r>
      <w:r>
        <w:rPr>
          <w:color w:val="58595B"/>
          <w:spacing w:val="-1"/>
        </w:rPr>
        <w:t xml:space="preserve"> </w:t>
      </w:r>
      <w:r>
        <w:rPr>
          <w:color w:val="58595B"/>
        </w:rPr>
        <w:t>Gendered</w:t>
      </w:r>
      <w:r>
        <w:rPr>
          <w:color w:val="58595B"/>
          <w:spacing w:val="-1"/>
        </w:rPr>
        <w:t xml:space="preserve"> </w:t>
      </w:r>
      <w:r>
        <w:rPr>
          <w:color w:val="58595B"/>
        </w:rPr>
        <w:t>Harm</w:t>
      </w:r>
      <w:r>
        <w:rPr>
          <w:color w:val="58595B"/>
          <w:spacing w:val="-1"/>
        </w:rPr>
        <w:t xml:space="preserve"> </w:t>
      </w:r>
      <w:r>
        <w:rPr>
          <w:color w:val="58595B"/>
          <w:spacing w:val="-2"/>
        </w:rPr>
        <w:t>Crime</w:t>
      </w:r>
    </w:p>
    <w:p w14:paraId="7578CB2F" w14:textId="77777777" w:rsidR="00345EE3" w:rsidRDefault="00345EE3" w:rsidP="00345EE3">
      <w:pPr>
        <w:pStyle w:val="BodyText"/>
        <w:spacing w:before="5" w:line="242" w:lineRule="auto"/>
        <w:ind w:right="921"/>
      </w:pPr>
      <w:r>
        <w:rPr>
          <w:color w:val="231F20"/>
        </w:rPr>
        <w:t>In 2021–22, FVC focused on tackling gendered harm crimes through innovative policing practices. FVC has developed and delivered priority projects on specific gendered harm crime including stalking, technology-facilitated abuse, employee family violence and misidentification of</w:t>
      </w:r>
      <w:r>
        <w:rPr>
          <w:color w:val="231F20"/>
          <w:spacing w:val="-11"/>
        </w:rPr>
        <w:t xml:space="preserve"> </w:t>
      </w:r>
      <w:r>
        <w:rPr>
          <w:color w:val="231F20"/>
        </w:rPr>
        <w:t>the</w:t>
      </w:r>
      <w:r>
        <w:rPr>
          <w:color w:val="231F20"/>
          <w:spacing w:val="-12"/>
        </w:rPr>
        <w:t xml:space="preserve"> </w:t>
      </w:r>
      <w:r>
        <w:rPr>
          <w:color w:val="231F20"/>
        </w:rPr>
        <w:t>predominant</w:t>
      </w:r>
      <w:r>
        <w:rPr>
          <w:color w:val="231F20"/>
          <w:spacing w:val="-11"/>
        </w:rPr>
        <w:t xml:space="preserve"> </w:t>
      </w:r>
      <w:r>
        <w:rPr>
          <w:color w:val="231F20"/>
        </w:rPr>
        <w:t>aggressor</w:t>
      </w:r>
      <w:r>
        <w:rPr>
          <w:color w:val="231F20"/>
          <w:spacing w:val="-11"/>
        </w:rPr>
        <w:t xml:space="preserve"> </w:t>
      </w:r>
      <w:r>
        <w:rPr>
          <w:color w:val="231F20"/>
        </w:rPr>
        <w:t>at</w:t>
      </w:r>
      <w:r>
        <w:rPr>
          <w:color w:val="231F20"/>
          <w:spacing w:val="-11"/>
        </w:rPr>
        <w:t xml:space="preserve"> </w:t>
      </w:r>
      <w:r>
        <w:rPr>
          <w:color w:val="231F20"/>
        </w:rPr>
        <w:t>family</w:t>
      </w:r>
      <w:r>
        <w:rPr>
          <w:color w:val="231F20"/>
          <w:spacing w:val="-11"/>
        </w:rPr>
        <w:t xml:space="preserve"> </w:t>
      </w:r>
      <w:r>
        <w:rPr>
          <w:color w:val="231F20"/>
        </w:rPr>
        <w:t>violence</w:t>
      </w:r>
      <w:r>
        <w:rPr>
          <w:color w:val="231F20"/>
          <w:spacing w:val="-12"/>
        </w:rPr>
        <w:t xml:space="preserve"> </w:t>
      </w:r>
      <w:r>
        <w:rPr>
          <w:color w:val="231F20"/>
        </w:rPr>
        <w:t>incidents,</w:t>
      </w:r>
      <w:r>
        <w:rPr>
          <w:color w:val="231F20"/>
          <w:spacing w:val="-11"/>
        </w:rPr>
        <w:t xml:space="preserve"> </w:t>
      </w:r>
      <w:r>
        <w:rPr>
          <w:color w:val="231F20"/>
        </w:rPr>
        <w:t>into</w:t>
      </w:r>
      <w:r>
        <w:rPr>
          <w:color w:val="231F20"/>
          <w:spacing w:val="-12"/>
        </w:rPr>
        <w:t xml:space="preserve"> </w:t>
      </w:r>
      <w:r>
        <w:rPr>
          <w:color w:val="231F20"/>
        </w:rPr>
        <w:t>the</w:t>
      </w:r>
      <w:r>
        <w:rPr>
          <w:color w:val="231F20"/>
          <w:spacing w:val="-12"/>
        </w:rPr>
        <w:t xml:space="preserve"> </w:t>
      </w:r>
      <w:r>
        <w:rPr>
          <w:color w:val="231F20"/>
        </w:rPr>
        <w:t>frontline</w:t>
      </w:r>
      <w:r>
        <w:rPr>
          <w:color w:val="231F20"/>
          <w:spacing w:val="-12"/>
        </w:rPr>
        <w:t xml:space="preserve"> </w:t>
      </w:r>
      <w:r>
        <w:rPr>
          <w:color w:val="231F20"/>
        </w:rPr>
        <w:t>policing</w:t>
      </w:r>
      <w:r>
        <w:rPr>
          <w:color w:val="231F20"/>
          <w:spacing w:val="-12"/>
        </w:rPr>
        <w:t xml:space="preserve"> </w:t>
      </w:r>
      <w:r>
        <w:rPr>
          <w:color w:val="231F20"/>
        </w:rPr>
        <w:t>environment. These projects are building a contemporary evidence base to inform the next wave of policing reform, following on from two Royal Commissions into family violence and institutional child sexual abuse.</w:t>
      </w:r>
    </w:p>
    <w:p w14:paraId="3617B4B3" w14:textId="77777777" w:rsidR="00345EE3" w:rsidRDefault="00345EE3" w:rsidP="00345EE3">
      <w:pPr>
        <w:pStyle w:val="Heading5"/>
        <w:spacing w:before="179"/>
      </w:pPr>
      <w:r>
        <w:rPr>
          <w:color w:val="58595B"/>
        </w:rPr>
        <w:t>Digitally</w:t>
      </w:r>
      <w:r>
        <w:rPr>
          <w:color w:val="58595B"/>
          <w:spacing w:val="-5"/>
        </w:rPr>
        <w:t xml:space="preserve"> </w:t>
      </w:r>
      <w:r>
        <w:rPr>
          <w:color w:val="58595B"/>
        </w:rPr>
        <w:t>Recorded</w:t>
      </w:r>
      <w:r>
        <w:rPr>
          <w:color w:val="58595B"/>
          <w:spacing w:val="-5"/>
        </w:rPr>
        <w:t xml:space="preserve"> </w:t>
      </w:r>
      <w:r>
        <w:rPr>
          <w:color w:val="58595B"/>
        </w:rPr>
        <w:t>Evidence</w:t>
      </w:r>
      <w:r>
        <w:rPr>
          <w:color w:val="58595B"/>
          <w:spacing w:val="-4"/>
        </w:rPr>
        <w:t xml:space="preserve"> </w:t>
      </w:r>
      <w:r>
        <w:rPr>
          <w:color w:val="58595B"/>
        </w:rPr>
        <w:t>in</w:t>
      </w:r>
      <w:r>
        <w:rPr>
          <w:color w:val="58595B"/>
          <w:spacing w:val="-4"/>
        </w:rPr>
        <w:t xml:space="preserve"> </w:t>
      </w:r>
      <w:r>
        <w:rPr>
          <w:color w:val="58595B"/>
        </w:rPr>
        <w:t>Chief</w:t>
      </w:r>
      <w:r>
        <w:rPr>
          <w:color w:val="58595B"/>
          <w:spacing w:val="-4"/>
        </w:rPr>
        <w:t xml:space="preserve"> </w:t>
      </w:r>
      <w:r>
        <w:rPr>
          <w:color w:val="58595B"/>
          <w:spacing w:val="-2"/>
        </w:rPr>
        <w:t>Pilot</w:t>
      </w:r>
    </w:p>
    <w:p w14:paraId="467BFCC9" w14:textId="77777777" w:rsidR="00345EE3" w:rsidRDefault="00345EE3" w:rsidP="00345EE3">
      <w:pPr>
        <w:pStyle w:val="BodyText"/>
        <w:spacing w:before="4" w:line="242" w:lineRule="auto"/>
        <w:ind w:right="921"/>
      </w:pPr>
      <w:r>
        <w:rPr>
          <w:color w:val="231F20"/>
        </w:rPr>
        <w:t>In an ongoing effort to acquit the 2016 Royal Commission into Family Violence recommendations, the expansion of the Digitally Recorded Evidence in Chief (DREC) pilot, including a trial of serving Family Violence Intervention Orders by Sheriffs as an alternative model,</w:t>
      </w:r>
      <w:r>
        <w:rPr>
          <w:color w:val="231F20"/>
          <w:spacing w:val="-10"/>
        </w:rPr>
        <w:t xml:space="preserve"> </w:t>
      </w:r>
      <w:r>
        <w:rPr>
          <w:color w:val="231F20"/>
        </w:rPr>
        <w:t>progressed</w:t>
      </w:r>
      <w:r>
        <w:rPr>
          <w:color w:val="231F20"/>
          <w:spacing w:val="-11"/>
        </w:rPr>
        <w:t xml:space="preserve"> </w:t>
      </w:r>
      <w:r>
        <w:rPr>
          <w:color w:val="231F20"/>
        </w:rPr>
        <w:t>in</w:t>
      </w:r>
      <w:r>
        <w:rPr>
          <w:color w:val="231F20"/>
          <w:spacing w:val="-11"/>
        </w:rPr>
        <w:t xml:space="preserve"> </w:t>
      </w:r>
      <w:r>
        <w:rPr>
          <w:color w:val="231F20"/>
        </w:rPr>
        <w:t>2021–22</w:t>
      </w:r>
      <w:r>
        <w:rPr>
          <w:color w:val="231F20"/>
          <w:spacing w:val="-11"/>
        </w:rPr>
        <w:t xml:space="preserve"> </w:t>
      </w:r>
      <w:r>
        <w:rPr>
          <w:color w:val="231F20"/>
        </w:rPr>
        <w:t>across</w:t>
      </w:r>
      <w:r>
        <w:rPr>
          <w:color w:val="231F20"/>
          <w:spacing w:val="-10"/>
        </w:rPr>
        <w:t xml:space="preserve"> </w:t>
      </w:r>
      <w:r>
        <w:rPr>
          <w:color w:val="231F20"/>
        </w:rPr>
        <w:t>multiple</w:t>
      </w:r>
      <w:r>
        <w:rPr>
          <w:color w:val="231F20"/>
          <w:spacing w:val="-11"/>
        </w:rPr>
        <w:t xml:space="preserve"> </w:t>
      </w:r>
      <w:r>
        <w:rPr>
          <w:color w:val="231F20"/>
        </w:rPr>
        <w:t>police</w:t>
      </w:r>
      <w:r>
        <w:rPr>
          <w:color w:val="231F20"/>
          <w:spacing w:val="-11"/>
        </w:rPr>
        <w:t xml:space="preserve"> </w:t>
      </w:r>
      <w:r>
        <w:rPr>
          <w:color w:val="231F20"/>
        </w:rPr>
        <w:t>divisions.</w:t>
      </w:r>
      <w:r>
        <w:rPr>
          <w:color w:val="231F20"/>
          <w:spacing w:val="-10"/>
        </w:rPr>
        <w:t xml:space="preserve"> </w:t>
      </w:r>
      <w:r>
        <w:rPr>
          <w:color w:val="231F20"/>
        </w:rPr>
        <w:t>The</w:t>
      </w:r>
      <w:r>
        <w:rPr>
          <w:color w:val="231F20"/>
          <w:spacing w:val="-11"/>
        </w:rPr>
        <w:t xml:space="preserve"> </w:t>
      </w:r>
      <w:r>
        <w:rPr>
          <w:color w:val="231F20"/>
        </w:rPr>
        <w:t>recorded</w:t>
      </w:r>
      <w:r>
        <w:rPr>
          <w:color w:val="231F20"/>
          <w:spacing w:val="-11"/>
        </w:rPr>
        <w:t xml:space="preserve"> </w:t>
      </w:r>
      <w:r>
        <w:rPr>
          <w:color w:val="231F20"/>
        </w:rPr>
        <w:t>statement</w:t>
      </w:r>
      <w:r>
        <w:rPr>
          <w:color w:val="231F20"/>
          <w:spacing w:val="-10"/>
        </w:rPr>
        <w:t xml:space="preserve"> </w:t>
      </w:r>
      <w:r>
        <w:rPr>
          <w:color w:val="231F20"/>
        </w:rPr>
        <w:t>is</w:t>
      </w:r>
      <w:r>
        <w:rPr>
          <w:color w:val="231F20"/>
          <w:spacing w:val="-10"/>
        </w:rPr>
        <w:t xml:space="preserve"> </w:t>
      </w:r>
      <w:r>
        <w:rPr>
          <w:color w:val="231F20"/>
        </w:rPr>
        <w:t xml:space="preserve">taken via a police-issued Body-Worn Camera (BWC) and is used to replace all, or part of a formal written statement and may be played in court as the victim’s evidence-in-chief in the criminal prosecution of a family violence offence or in family violence intervention order application </w:t>
      </w:r>
      <w:r>
        <w:rPr>
          <w:color w:val="231F20"/>
          <w:spacing w:val="-2"/>
        </w:rPr>
        <w:t>proceedings.</w:t>
      </w:r>
    </w:p>
    <w:p w14:paraId="1D9D88FB" w14:textId="77777777" w:rsidR="00345EE3" w:rsidRDefault="00345EE3" w:rsidP="00345EE3">
      <w:pPr>
        <w:pStyle w:val="BodyText"/>
        <w:spacing w:before="124" w:line="242" w:lineRule="auto"/>
        <w:ind w:right="1208"/>
      </w:pPr>
      <w:r>
        <w:rPr>
          <w:color w:val="231F20"/>
        </w:rPr>
        <w:t>Approximately</w:t>
      </w:r>
      <w:r>
        <w:rPr>
          <w:color w:val="231F20"/>
          <w:spacing w:val="-8"/>
        </w:rPr>
        <w:t xml:space="preserve"> </w:t>
      </w:r>
      <w:r>
        <w:rPr>
          <w:color w:val="231F20"/>
        </w:rPr>
        <w:t>2,562</w:t>
      </w:r>
      <w:r>
        <w:rPr>
          <w:color w:val="231F20"/>
          <w:spacing w:val="-8"/>
        </w:rPr>
        <w:t xml:space="preserve"> </w:t>
      </w:r>
      <w:r>
        <w:rPr>
          <w:color w:val="231F20"/>
        </w:rPr>
        <w:t>DRECs</w:t>
      </w:r>
      <w:r>
        <w:rPr>
          <w:color w:val="231F20"/>
          <w:spacing w:val="-8"/>
        </w:rPr>
        <w:t xml:space="preserve"> </w:t>
      </w:r>
      <w:r>
        <w:rPr>
          <w:color w:val="231F20"/>
        </w:rPr>
        <w:t>were</w:t>
      </w:r>
      <w:r>
        <w:rPr>
          <w:color w:val="231F20"/>
          <w:spacing w:val="-8"/>
        </w:rPr>
        <w:t xml:space="preserve"> </w:t>
      </w:r>
      <w:r>
        <w:rPr>
          <w:color w:val="231F20"/>
        </w:rPr>
        <w:t>taken</w:t>
      </w:r>
      <w:r>
        <w:rPr>
          <w:color w:val="231F20"/>
          <w:spacing w:val="-8"/>
        </w:rPr>
        <w:t xml:space="preserve"> </w:t>
      </w:r>
      <w:r>
        <w:rPr>
          <w:color w:val="231F20"/>
        </w:rPr>
        <w:t>in</w:t>
      </w:r>
      <w:r>
        <w:rPr>
          <w:color w:val="231F20"/>
          <w:spacing w:val="-8"/>
        </w:rPr>
        <w:t xml:space="preserve"> </w:t>
      </w:r>
      <w:r>
        <w:rPr>
          <w:color w:val="231F20"/>
        </w:rPr>
        <w:t>2021–22,</w:t>
      </w:r>
      <w:r>
        <w:rPr>
          <w:color w:val="231F20"/>
          <w:spacing w:val="-8"/>
        </w:rPr>
        <w:t xml:space="preserve"> </w:t>
      </w:r>
      <w:r>
        <w:rPr>
          <w:color w:val="231F20"/>
        </w:rPr>
        <w:t>eliminating</w:t>
      </w:r>
      <w:r>
        <w:rPr>
          <w:color w:val="231F20"/>
          <w:spacing w:val="-8"/>
        </w:rPr>
        <w:t xml:space="preserve"> </w:t>
      </w:r>
      <w:r>
        <w:rPr>
          <w:color w:val="231F20"/>
        </w:rPr>
        <w:t>the</w:t>
      </w:r>
      <w:r>
        <w:rPr>
          <w:color w:val="231F20"/>
          <w:spacing w:val="-8"/>
        </w:rPr>
        <w:t xml:space="preserve"> </w:t>
      </w:r>
      <w:r>
        <w:rPr>
          <w:color w:val="231F20"/>
        </w:rPr>
        <w:t>need</w:t>
      </w:r>
      <w:r>
        <w:rPr>
          <w:color w:val="231F20"/>
          <w:spacing w:val="-8"/>
        </w:rPr>
        <w:t xml:space="preserve"> </w:t>
      </w:r>
      <w:r>
        <w:rPr>
          <w:color w:val="231F20"/>
        </w:rPr>
        <w:t>for</w:t>
      </w:r>
      <w:r>
        <w:rPr>
          <w:color w:val="231F20"/>
          <w:spacing w:val="-8"/>
        </w:rPr>
        <w:t xml:space="preserve"> </w:t>
      </w:r>
      <w:r>
        <w:rPr>
          <w:color w:val="231F20"/>
        </w:rPr>
        <w:t>victim</w:t>
      </w:r>
      <w:r>
        <w:rPr>
          <w:color w:val="231F20"/>
          <w:spacing w:val="-8"/>
        </w:rPr>
        <w:t xml:space="preserve"> </w:t>
      </w:r>
      <w:r>
        <w:rPr>
          <w:color w:val="231F20"/>
        </w:rPr>
        <w:t>survivors to recount incidents of family violence multiple times in legal proceedings. An evaluation of the</w:t>
      </w:r>
      <w:r>
        <w:rPr>
          <w:color w:val="231F20"/>
          <w:spacing w:val="-9"/>
        </w:rPr>
        <w:t xml:space="preserve"> </w:t>
      </w:r>
      <w:r>
        <w:rPr>
          <w:color w:val="231F20"/>
        </w:rPr>
        <w:t>pilot</w:t>
      </w:r>
      <w:r>
        <w:rPr>
          <w:color w:val="231F20"/>
          <w:spacing w:val="-8"/>
        </w:rPr>
        <w:t xml:space="preserve"> </w:t>
      </w:r>
      <w:r>
        <w:rPr>
          <w:color w:val="231F20"/>
        </w:rPr>
        <w:t>to</w:t>
      </w:r>
      <w:r>
        <w:rPr>
          <w:color w:val="231F20"/>
          <w:spacing w:val="-9"/>
        </w:rPr>
        <w:t xml:space="preserve"> </w:t>
      </w:r>
      <w:r>
        <w:rPr>
          <w:color w:val="231F20"/>
        </w:rPr>
        <w:t>capture</w:t>
      </w:r>
      <w:r>
        <w:rPr>
          <w:color w:val="231F20"/>
          <w:spacing w:val="-9"/>
        </w:rPr>
        <w:t xml:space="preserve"> </w:t>
      </w:r>
      <w:r>
        <w:rPr>
          <w:color w:val="231F20"/>
        </w:rPr>
        <w:t>victim</w:t>
      </w:r>
      <w:r>
        <w:rPr>
          <w:color w:val="231F20"/>
          <w:spacing w:val="-8"/>
        </w:rPr>
        <w:t xml:space="preserve"> </w:t>
      </w:r>
      <w:r>
        <w:rPr>
          <w:color w:val="231F20"/>
        </w:rPr>
        <w:t>survivor</w:t>
      </w:r>
      <w:r>
        <w:rPr>
          <w:color w:val="231F20"/>
          <w:spacing w:val="-8"/>
        </w:rPr>
        <w:t xml:space="preserve"> </w:t>
      </w:r>
      <w:r>
        <w:rPr>
          <w:color w:val="231F20"/>
        </w:rPr>
        <w:t>experience</w:t>
      </w:r>
      <w:r>
        <w:rPr>
          <w:color w:val="231F20"/>
          <w:spacing w:val="-9"/>
        </w:rPr>
        <w:t xml:space="preserve"> </w:t>
      </w:r>
      <w:r>
        <w:rPr>
          <w:color w:val="231F20"/>
        </w:rPr>
        <w:t>and</w:t>
      </w:r>
      <w:r>
        <w:rPr>
          <w:color w:val="231F20"/>
          <w:spacing w:val="-9"/>
        </w:rPr>
        <w:t xml:space="preserve"> </w:t>
      </w:r>
      <w:r>
        <w:rPr>
          <w:color w:val="231F20"/>
        </w:rPr>
        <w:t>evaluate</w:t>
      </w:r>
      <w:r>
        <w:rPr>
          <w:color w:val="231F20"/>
          <w:spacing w:val="-9"/>
        </w:rPr>
        <w:t xml:space="preserve"> </w:t>
      </w:r>
      <w:r>
        <w:rPr>
          <w:color w:val="231F20"/>
        </w:rPr>
        <w:t>the</w:t>
      </w:r>
      <w:r>
        <w:rPr>
          <w:color w:val="231F20"/>
          <w:spacing w:val="-9"/>
        </w:rPr>
        <w:t xml:space="preserve"> </w:t>
      </w:r>
      <w:r>
        <w:rPr>
          <w:color w:val="231F20"/>
        </w:rPr>
        <w:t>impact</w:t>
      </w:r>
      <w:r>
        <w:rPr>
          <w:color w:val="231F20"/>
          <w:spacing w:val="-8"/>
        </w:rPr>
        <w:t xml:space="preserve"> </w:t>
      </w:r>
      <w:r>
        <w:rPr>
          <w:color w:val="231F20"/>
        </w:rPr>
        <w:t>of</w:t>
      </w:r>
      <w:r>
        <w:rPr>
          <w:color w:val="231F20"/>
          <w:spacing w:val="-8"/>
        </w:rPr>
        <w:t xml:space="preserve"> </w:t>
      </w:r>
      <w:r>
        <w:rPr>
          <w:color w:val="231F20"/>
        </w:rPr>
        <w:t>DREC</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justice and policing systems will conclude the project with a sunset date for the enabling legislative provisions. This is currently scheduled for October 2024.</w:t>
      </w:r>
    </w:p>
    <w:p w14:paraId="3F9CD67B" w14:textId="77777777" w:rsidR="00345EE3" w:rsidRDefault="00345EE3" w:rsidP="00345EE3">
      <w:pPr>
        <w:pStyle w:val="Heading5"/>
        <w:spacing w:before="177"/>
      </w:pPr>
      <w:r>
        <w:rPr>
          <w:color w:val="58595B"/>
        </w:rPr>
        <w:t>Focus</w:t>
      </w:r>
      <w:r>
        <w:rPr>
          <w:color w:val="58595B"/>
          <w:spacing w:val="-3"/>
        </w:rPr>
        <w:t xml:space="preserve"> </w:t>
      </w:r>
      <w:r>
        <w:rPr>
          <w:color w:val="58595B"/>
        </w:rPr>
        <w:t>on</w:t>
      </w:r>
      <w:r>
        <w:rPr>
          <w:color w:val="58595B"/>
          <w:spacing w:val="-2"/>
        </w:rPr>
        <w:t xml:space="preserve"> </w:t>
      </w:r>
      <w:r>
        <w:rPr>
          <w:color w:val="58595B"/>
        </w:rPr>
        <w:t>crimes</w:t>
      </w:r>
      <w:r>
        <w:rPr>
          <w:color w:val="58595B"/>
          <w:spacing w:val="-3"/>
        </w:rPr>
        <w:t xml:space="preserve"> </w:t>
      </w:r>
      <w:r>
        <w:rPr>
          <w:color w:val="58595B"/>
        </w:rPr>
        <w:t>against</w:t>
      </w:r>
      <w:r>
        <w:rPr>
          <w:color w:val="58595B"/>
          <w:spacing w:val="-3"/>
        </w:rPr>
        <w:t xml:space="preserve"> </w:t>
      </w:r>
      <w:r>
        <w:rPr>
          <w:color w:val="58595B"/>
        </w:rPr>
        <w:t>women</w:t>
      </w:r>
      <w:r>
        <w:rPr>
          <w:color w:val="58595B"/>
          <w:spacing w:val="-2"/>
        </w:rPr>
        <w:t xml:space="preserve"> </w:t>
      </w:r>
      <w:r>
        <w:rPr>
          <w:color w:val="58595B"/>
        </w:rPr>
        <w:t>and</w:t>
      </w:r>
      <w:r>
        <w:rPr>
          <w:color w:val="58595B"/>
          <w:spacing w:val="-3"/>
        </w:rPr>
        <w:t xml:space="preserve"> </w:t>
      </w:r>
      <w:r>
        <w:rPr>
          <w:color w:val="58595B"/>
          <w:spacing w:val="-2"/>
        </w:rPr>
        <w:t>children</w:t>
      </w:r>
    </w:p>
    <w:p w14:paraId="7EDD0997" w14:textId="77777777" w:rsidR="00345EE3" w:rsidRDefault="00345EE3" w:rsidP="00345EE3">
      <w:pPr>
        <w:pStyle w:val="BodyText"/>
        <w:spacing w:before="4" w:line="242" w:lineRule="auto"/>
        <w:ind w:right="921"/>
      </w:pPr>
      <w:r>
        <w:rPr>
          <w:color w:val="231F20"/>
        </w:rPr>
        <w:t>Victoria Police recognises that women and children continue to be over-represented in crimes that</w:t>
      </w:r>
      <w:r>
        <w:rPr>
          <w:color w:val="231F20"/>
          <w:spacing w:val="-1"/>
        </w:rPr>
        <w:t xml:space="preserve"> </w:t>
      </w:r>
      <w:r>
        <w:rPr>
          <w:color w:val="231F20"/>
        </w:rPr>
        <w:t>are</w:t>
      </w:r>
      <w:r>
        <w:rPr>
          <w:color w:val="231F20"/>
          <w:spacing w:val="-2"/>
        </w:rPr>
        <w:t xml:space="preserve"> </w:t>
      </w:r>
      <w:r>
        <w:rPr>
          <w:color w:val="231F20"/>
        </w:rPr>
        <w:t>violent,</w:t>
      </w:r>
      <w:r>
        <w:rPr>
          <w:color w:val="231F20"/>
          <w:spacing w:val="-1"/>
        </w:rPr>
        <w:t xml:space="preserve"> </w:t>
      </w:r>
      <w:r>
        <w:rPr>
          <w:color w:val="231F20"/>
        </w:rPr>
        <w:t>stigmatising</w:t>
      </w:r>
      <w:r>
        <w:rPr>
          <w:color w:val="231F20"/>
          <w:spacing w:val="-2"/>
        </w:rPr>
        <w:t xml:space="preserve"> </w:t>
      </w:r>
      <w:r>
        <w:rPr>
          <w:color w:val="231F20"/>
        </w:rPr>
        <w:t>and</w:t>
      </w:r>
      <w:r>
        <w:rPr>
          <w:color w:val="231F20"/>
          <w:spacing w:val="-2"/>
        </w:rPr>
        <w:t xml:space="preserve"> </w:t>
      </w:r>
      <w:r>
        <w:rPr>
          <w:color w:val="231F20"/>
        </w:rPr>
        <w:t>harmful,</w:t>
      </w:r>
      <w:r>
        <w:rPr>
          <w:color w:val="231F20"/>
          <w:spacing w:val="-1"/>
        </w:rPr>
        <w:t xml:space="preserve"> </w:t>
      </w:r>
      <w:r>
        <w:rPr>
          <w:color w:val="231F20"/>
        </w:rPr>
        <w:t>often</w:t>
      </w:r>
      <w:r>
        <w:rPr>
          <w:color w:val="231F20"/>
          <w:spacing w:val="-2"/>
        </w:rPr>
        <w:t xml:space="preserve"> </w:t>
      </w:r>
      <w:r>
        <w:rPr>
          <w:color w:val="231F20"/>
        </w:rPr>
        <w:t>perpetrated</w:t>
      </w:r>
      <w:r>
        <w:rPr>
          <w:color w:val="231F20"/>
          <w:spacing w:val="-2"/>
        </w:rPr>
        <w:t xml:space="preserve"> </w:t>
      </w:r>
      <w:r>
        <w:rPr>
          <w:color w:val="231F20"/>
        </w:rPr>
        <w:t>by</w:t>
      </w:r>
      <w:r>
        <w:rPr>
          <w:color w:val="231F20"/>
          <w:spacing w:val="-1"/>
        </w:rPr>
        <w:t xml:space="preserve"> </w:t>
      </w:r>
      <w:r>
        <w:rPr>
          <w:color w:val="231F20"/>
        </w:rPr>
        <w:t>people</w:t>
      </w:r>
      <w:r>
        <w:rPr>
          <w:color w:val="231F20"/>
          <w:spacing w:val="-2"/>
        </w:rPr>
        <w:t xml:space="preserve"> </w:t>
      </w:r>
      <w:r>
        <w:rPr>
          <w:color w:val="231F20"/>
        </w:rPr>
        <w:t>known</w:t>
      </w:r>
      <w:r>
        <w:rPr>
          <w:color w:val="231F20"/>
          <w:spacing w:val="-2"/>
        </w:rPr>
        <w:t xml:space="preserve"> </w:t>
      </w:r>
      <w:r>
        <w:rPr>
          <w:color w:val="231F20"/>
        </w:rPr>
        <w:t>or</w:t>
      </w:r>
      <w:r>
        <w:rPr>
          <w:color w:val="231F20"/>
          <w:spacing w:val="-1"/>
        </w:rPr>
        <w:t xml:space="preserve"> </w:t>
      </w:r>
      <w:r>
        <w:rPr>
          <w:color w:val="231F20"/>
        </w:rPr>
        <w:t>close</w:t>
      </w:r>
      <w:r>
        <w:rPr>
          <w:color w:val="231F20"/>
          <w:spacing w:val="-2"/>
        </w:rPr>
        <w:t xml:space="preserve"> </w:t>
      </w:r>
      <w:r>
        <w:rPr>
          <w:color w:val="231F20"/>
        </w:rPr>
        <w:t>to</w:t>
      </w:r>
      <w:r>
        <w:rPr>
          <w:color w:val="231F20"/>
          <w:spacing w:val="-2"/>
        </w:rPr>
        <w:t xml:space="preserve"> </w:t>
      </w:r>
      <w:r>
        <w:rPr>
          <w:color w:val="231F20"/>
        </w:rPr>
        <w:t>them. The impacts of these crimes are far-reaching, traumatising families and individuals in different ways. FVC is committed to deepening its understanding of the intersectionality of trauma, enhancing</w:t>
      </w:r>
      <w:r>
        <w:rPr>
          <w:color w:val="231F20"/>
          <w:spacing w:val="-8"/>
        </w:rPr>
        <w:t xml:space="preserve"> </w:t>
      </w:r>
      <w:r>
        <w:rPr>
          <w:color w:val="231F20"/>
        </w:rPr>
        <w:t>our</w:t>
      </w:r>
      <w:r>
        <w:rPr>
          <w:color w:val="231F20"/>
          <w:spacing w:val="-7"/>
        </w:rPr>
        <w:t xml:space="preserve"> </w:t>
      </w:r>
      <w:r>
        <w:rPr>
          <w:color w:val="231F20"/>
        </w:rPr>
        <w:t>responses</w:t>
      </w:r>
      <w:r>
        <w:rPr>
          <w:color w:val="231F20"/>
          <w:spacing w:val="-7"/>
        </w:rPr>
        <w:t xml:space="preserve"> </w:t>
      </w:r>
      <w:r>
        <w:rPr>
          <w:color w:val="231F20"/>
        </w:rPr>
        <w:t>to</w:t>
      </w:r>
      <w:r>
        <w:rPr>
          <w:color w:val="231F20"/>
          <w:spacing w:val="-8"/>
        </w:rPr>
        <w:t xml:space="preserve"> </w:t>
      </w:r>
      <w:r>
        <w:rPr>
          <w:color w:val="231F20"/>
        </w:rPr>
        <w:t>all</w:t>
      </w:r>
      <w:r>
        <w:rPr>
          <w:color w:val="231F20"/>
          <w:spacing w:val="-8"/>
        </w:rPr>
        <w:t xml:space="preserve"> </w:t>
      </w:r>
      <w:r>
        <w:rPr>
          <w:color w:val="231F20"/>
        </w:rPr>
        <w:t>victim</w:t>
      </w:r>
      <w:r>
        <w:rPr>
          <w:color w:val="231F20"/>
          <w:spacing w:val="-7"/>
        </w:rPr>
        <w:t xml:space="preserve"> </w:t>
      </w:r>
      <w:r>
        <w:rPr>
          <w:color w:val="231F20"/>
        </w:rPr>
        <w:t>survivors,</w:t>
      </w:r>
      <w:r>
        <w:rPr>
          <w:color w:val="231F20"/>
          <w:spacing w:val="-7"/>
        </w:rPr>
        <w:t xml:space="preserve"> </w:t>
      </w:r>
      <w:r>
        <w:rPr>
          <w:color w:val="231F20"/>
        </w:rPr>
        <w:t>especially</w:t>
      </w:r>
      <w:r>
        <w:rPr>
          <w:color w:val="231F20"/>
          <w:spacing w:val="-7"/>
        </w:rPr>
        <w:t xml:space="preserve"> </w:t>
      </w:r>
      <w:r>
        <w:rPr>
          <w:color w:val="231F20"/>
        </w:rPr>
        <w:t>those</w:t>
      </w:r>
      <w:r>
        <w:rPr>
          <w:color w:val="231F20"/>
          <w:spacing w:val="-8"/>
        </w:rPr>
        <w:t xml:space="preserve"> </w:t>
      </w:r>
      <w:r>
        <w:rPr>
          <w:color w:val="231F20"/>
        </w:rPr>
        <w:t>who</w:t>
      </w:r>
      <w:r>
        <w:rPr>
          <w:color w:val="231F20"/>
          <w:spacing w:val="-8"/>
        </w:rPr>
        <w:t xml:space="preserve"> </w:t>
      </w:r>
      <w:r>
        <w:rPr>
          <w:color w:val="231F20"/>
        </w:rPr>
        <w:t>come</w:t>
      </w:r>
      <w:r>
        <w:rPr>
          <w:color w:val="231F20"/>
          <w:spacing w:val="-8"/>
        </w:rPr>
        <w:t xml:space="preserve"> </w:t>
      </w:r>
      <w:r>
        <w:rPr>
          <w:color w:val="231F20"/>
        </w:rPr>
        <w:t>from</w:t>
      </w:r>
      <w:r>
        <w:rPr>
          <w:color w:val="231F20"/>
          <w:spacing w:val="-7"/>
        </w:rPr>
        <w:t xml:space="preserve"> </w:t>
      </w:r>
      <w:r>
        <w:rPr>
          <w:color w:val="231F20"/>
        </w:rPr>
        <w:t>the</w:t>
      </w:r>
      <w:r>
        <w:rPr>
          <w:color w:val="231F20"/>
          <w:spacing w:val="-8"/>
        </w:rPr>
        <w:t xml:space="preserve"> </w:t>
      </w:r>
      <w:r>
        <w:rPr>
          <w:color w:val="231F20"/>
        </w:rPr>
        <w:t>Aboriginal and Torres Strait Island communities, multi-cultural communities, the LGBTIQ+ community, people with a disability, elders and young people.</w:t>
      </w:r>
    </w:p>
    <w:p w14:paraId="00C5EF0E" w14:textId="77777777" w:rsidR="00345EE3" w:rsidRDefault="00345EE3" w:rsidP="00345EE3">
      <w:pPr>
        <w:pStyle w:val="BodyText"/>
        <w:spacing w:before="122" w:line="242" w:lineRule="auto"/>
        <w:ind w:right="921"/>
      </w:pPr>
      <w:r>
        <w:rPr>
          <w:color w:val="231F20"/>
        </w:rPr>
        <w:t>In 2021–22, Victoria Police engaged with key stakeholders to continue to strengthen our response</w:t>
      </w:r>
      <w:r>
        <w:rPr>
          <w:color w:val="231F20"/>
          <w:spacing w:val="-3"/>
        </w:rPr>
        <w:t xml:space="preserve"> </w:t>
      </w:r>
      <w:r>
        <w:rPr>
          <w:color w:val="231F20"/>
        </w:rPr>
        <w:t>to</w:t>
      </w:r>
      <w:r>
        <w:rPr>
          <w:color w:val="231F20"/>
          <w:spacing w:val="-3"/>
        </w:rPr>
        <w:t xml:space="preserve"> </w:t>
      </w:r>
      <w:r>
        <w:rPr>
          <w:color w:val="231F20"/>
        </w:rPr>
        <w:t>crimes</w:t>
      </w:r>
      <w:r>
        <w:rPr>
          <w:color w:val="231F20"/>
          <w:spacing w:val="-2"/>
        </w:rPr>
        <w:t xml:space="preserve"> </w:t>
      </w:r>
      <w:r>
        <w:rPr>
          <w:color w:val="231F20"/>
        </w:rPr>
        <w:t>against</w:t>
      </w:r>
      <w:r>
        <w:rPr>
          <w:color w:val="231F20"/>
          <w:spacing w:val="-2"/>
        </w:rPr>
        <w:t xml:space="preserve"> </w:t>
      </w:r>
      <w:r>
        <w:rPr>
          <w:color w:val="231F20"/>
        </w:rPr>
        <w:t>women</w:t>
      </w:r>
      <w:r>
        <w:rPr>
          <w:color w:val="231F20"/>
          <w:spacing w:val="-3"/>
        </w:rPr>
        <w:t xml:space="preserve"> </w:t>
      </w:r>
      <w:r>
        <w:rPr>
          <w:color w:val="231F20"/>
        </w:rPr>
        <w:t>and</w:t>
      </w:r>
      <w:r>
        <w:rPr>
          <w:color w:val="231F20"/>
          <w:spacing w:val="-3"/>
        </w:rPr>
        <w:t xml:space="preserve"> </w:t>
      </w:r>
      <w:r>
        <w:rPr>
          <w:color w:val="231F20"/>
        </w:rPr>
        <w:t>children.</w:t>
      </w:r>
      <w:r>
        <w:rPr>
          <w:color w:val="231F20"/>
          <w:spacing w:val="-2"/>
        </w:rPr>
        <w:t xml:space="preserve"> </w:t>
      </w:r>
      <w:r>
        <w:rPr>
          <w:color w:val="231F20"/>
        </w:rPr>
        <w:t>This</w:t>
      </w:r>
      <w:r>
        <w:rPr>
          <w:color w:val="231F20"/>
          <w:spacing w:val="-2"/>
        </w:rPr>
        <w:t xml:space="preserve"> </w:t>
      </w:r>
      <w:r>
        <w:rPr>
          <w:color w:val="231F20"/>
        </w:rPr>
        <w:t>includes</w:t>
      </w:r>
      <w:r>
        <w:rPr>
          <w:color w:val="231F20"/>
          <w:spacing w:val="-2"/>
        </w:rPr>
        <w:t xml:space="preserve"> </w:t>
      </w:r>
      <w:r>
        <w:rPr>
          <w:color w:val="231F20"/>
        </w:rPr>
        <w:t>projects</w:t>
      </w:r>
      <w:r>
        <w:rPr>
          <w:color w:val="231F20"/>
          <w:spacing w:val="-2"/>
        </w:rPr>
        <w:t xml:space="preserve"> </w:t>
      </w:r>
      <w:r>
        <w:rPr>
          <w:color w:val="231F20"/>
        </w:rPr>
        <w:t>such</w:t>
      </w:r>
      <w:r>
        <w:rPr>
          <w:color w:val="231F20"/>
          <w:spacing w:val="-3"/>
        </w:rPr>
        <w:t xml:space="preserve"> </w:t>
      </w:r>
      <w:r>
        <w:rPr>
          <w:color w:val="231F20"/>
        </w:rPr>
        <w:t>as</w:t>
      </w:r>
      <w:r>
        <w:rPr>
          <w:color w:val="231F20"/>
          <w:spacing w:val="-2"/>
        </w:rPr>
        <w:t xml:space="preserve"> </w:t>
      </w:r>
      <w:r>
        <w:rPr>
          <w:color w:val="231F20"/>
        </w:rPr>
        <w:t>the</w:t>
      </w:r>
      <w:r>
        <w:rPr>
          <w:color w:val="231F20"/>
          <w:spacing w:val="-3"/>
        </w:rPr>
        <w:t xml:space="preserve"> </w:t>
      </w:r>
      <w:r>
        <w:rPr>
          <w:color w:val="231F20"/>
        </w:rPr>
        <w:t>state-wide expansion of the Police and Aboriginal Community Protocols Against Family Violence, the revision</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Code</w:t>
      </w:r>
      <w:r>
        <w:rPr>
          <w:color w:val="231F20"/>
          <w:spacing w:val="-9"/>
        </w:rPr>
        <w:t xml:space="preserve"> </w:t>
      </w:r>
      <w:r>
        <w:rPr>
          <w:color w:val="231F20"/>
        </w:rPr>
        <w:t>of</w:t>
      </w:r>
      <w:r>
        <w:rPr>
          <w:color w:val="231F20"/>
          <w:spacing w:val="-8"/>
        </w:rPr>
        <w:t xml:space="preserve"> </w:t>
      </w:r>
      <w:r>
        <w:rPr>
          <w:color w:val="231F20"/>
        </w:rPr>
        <w:t>Practice</w:t>
      </w:r>
      <w:r>
        <w:rPr>
          <w:color w:val="231F20"/>
          <w:spacing w:val="-9"/>
        </w:rPr>
        <w:t xml:space="preserve"> </w:t>
      </w:r>
      <w:r>
        <w:rPr>
          <w:color w:val="231F20"/>
        </w:rPr>
        <w:t>for</w:t>
      </w:r>
      <w:r>
        <w:rPr>
          <w:color w:val="231F20"/>
          <w:spacing w:val="-8"/>
        </w:rPr>
        <w:t xml:space="preserve"> </w:t>
      </w:r>
      <w:r>
        <w:rPr>
          <w:color w:val="231F20"/>
        </w:rPr>
        <w:t>the</w:t>
      </w:r>
      <w:r>
        <w:rPr>
          <w:color w:val="231F20"/>
          <w:spacing w:val="-9"/>
        </w:rPr>
        <w:t xml:space="preserve"> </w:t>
      </w:r>
      <w:r>
        <w:rPr>
          <w:color w:val="231F20"/>
        </w:rPr>
        <w:t>Investigation</w:t>
      </w:r>
      <w:r>
        <w:rPr>
          <w:color w:val="231F20"/>
          <w:spacing w:val="-9"/>
        </w:rPr>
        <w:t xml:space="preserve"> </w:t>
      </w:r>
      <w:r>
        <w:rPr>
          <w:color w:val="231F20"/>
        </w:rPr>
        <w:t>of</w:t>
      </w:r>
      <w:r>
        <w:rPr>
          <w:color w:val="231F20"/>
          <w:spacing w:val="-8"/>
        </w:rPr>
        <w:t xml:space="preserve"> </w:t>
      </w:r>
      <w:r>
        <w:rPr>
          <w:color w:val="231F20"/>
        </w:rPr>
        <w:t>Family</w:t>
      </w:r>
      <w:r>
        <w:rPr>
          <w:color w:val="231F20"/>
          <w:spacing w:val="-8"/>
        </w:rPr>
        <w:t xml:space="preserve"> </w:t>
      </w:r>
      <w:r>
        <w:rPr>
          <w:color w:val="231F20"/>
        </w:rPr>
        <w:t>Violence</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rollout</w:t>
      </w:r>
      <w:r>
        <w:rPr>
          <w:color w:val="231F20"/>
          <w:spacing w:val="-8"/>
        </w:rPr>
        <w:t xml:space="preserve"> </w:t>
      </w:r>
      <w:r>
        <w:rPr>
          <w:color w:val="231F20"/>
        </w:rPr>
        <w:t>of</w:t>
      </w:r>
      <w:r>
        <w:rPr>
          <w:color w:val="231F20"/>
          <w:spacing w:val="-8"/>
        </w:rPr>
        <w:t xml:space="preserve"> </w:t>
      </w:r>
      <w:r>
        <w:rPr>
          <w:color w:val="231F20"/>
        </w:rPr>
        <w:t>online learning</w:t>
      </w:r>
      <w:r>
        <w:rPr>
          <w:color w:val="231F20"/>
          <w:spacing w:val="-11"/>
        </w:rPr>
        <w:t xml:space="preserve"> </w:t>
      </w:r>
      <w:r>
        <w:rPr>
          <w:color w:val="231F20"/>
        </w:rPr>
        <w:t>in</w:t>
      </w:r>
      <w:r>
        <w:rPr>
          <w:color w:val="231F20"/>
          <w:spacing w:val="-8"/>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on</w:t>
      </w:r>
      <w:r>
        <w:rPr>
          <w:color w:val="231F20"/>
          <w:spacing w:val="-8"/>
        </w:rPr>
        <w:t xml:space="preserve"> </w:t>
      </w:r>
      <w:r>
        <w:rPr>
          <w:color w:val="231F20"/>
        </w:rPr>
        <w:t>Child</w:t>
      </w:r>
      <w:r>
        <w:rPr>
          <w:color w:val="231F20"/>
          <w:spacing w:val="-8"/>
        </w:rPr>
        <w:t xml:space="preserve"> </w:t>
      </w:r>
      <w:r>
        <w:rPr>
          <w:color w:val="231F20"/>
        </w:rPr>
        <w:t>Sexual</w:t>
      </w:r>
      <w:r>
        <w:rPr>
          <w:color w:val="231F20"/>
          <w:spacing w:val="-8"/>
        </w:rPr>
        <w:t xml:space="preserve"> </w:t>
      </w:r>
      <w:r>
        <w:rPr>
          <w:color w:val="231F20"/>
          <w:spacing w:val="-2"/>
        </w:rPr>
        <w:t>Exploitation.</w:t>
      </w:r>
    </w:p>
    <w:p w14:paraId="44708FAD" w14:textId="77777777" w:rsidR="00345EE3" w:rsidRDefault="00345EE3" w:rsidP="00345EE3">
      <w:pPr>
        <w:pStyle w:val="Heading5"/>
        <w:spacing w:before="174"/>
      </w:pPr>
      <w:r>
        <w:rPr>
          <w:color w:val="58595B"/>
        </w:rPr>
        <w:t xml:space="preserve">Operation </w:t>
      </w:r>
      <w:r>
        <w:rPr>
          <w:color w:val="58595B"/>
          <w:spacing w:val="-2"/>
        </w:rPr>
        <w:t>Sayer</w:t>
      </w:r>
    </w:p>
    <w:p w14:paraId="2D44C467" w14:textId="77777777" w:rsidR="00345EE3" w:rsidRDefault="00345EE3" w:rsidP="00345EE3">
      <w:pPr>
        <w:pStyle w:val="BodyText"/>
        <w:spacing w:before="4" w:line="242" w:lineRule="auto"/>
        <w:ind w:right="921"/>
      </w:pPr>
      <w:r>
        <w:rPr>
          <w:color w:val="231F20"/>
        </w:rPr>
        <w:t>The ICSC implemented Operation Sayer in 2021, in response to a targeted Supervision Order Specialist Response Unit investigation into a Victorian Registered Sex Offender (RSO) and Serious Sex Supervision Order offender. The offender was producing and facilitating child abuse material and was subsequently arrested and charged. As a result of the investigation, a further 117</w:t>
      </w:r>
      <w:r>
        <w:rPr>
          <w:color w:val="231F20"/>
          <w:spacing w:val="-1"/>
        </w:rPr>
        <w:t xml:space="preserve"> </w:t>
      </w:r>
      <w:r>
        <w:rPr>
          <w:color w:val="231F20"/>
        </w:rPr>
        <w:t>persons of interest were</w:t>
      </w:r>
      <w:r>
        <w:rPr>
          <w:color w:val="231F20"/>
          <w:spacing w:val="-1"/>
        </w:rPr>
        <w:t xml:space="preserve"> </w:t>
      </w:r>
      <w:r>
        <w:rPr>
          <w:color w:val="231F20"/>
        </w:rPr>
        <w:t>identified</w:t>
      </w:r>
      <w:r>
        <w:rPr>
          <w:color w:val="231F20"/>
          <w:spacing w:val="-1"/>
        </w:rPr>
        <w:t xml:space="preserve"> </w:t>
      </w:r>
      <w:r>
        <w:rPr>
          <w:color w:val="231F20"/>
        </w:rPr>
        <w:t>across Australia</w:t>
      </w:r>
      <w:r>
        <w:rPr>
          <w:color w:val="231F20"/>
          <w:spacing w:val="-1"/>
        </w:rPr>
        <w:t xml:space="preserve"> </w:t>
      </w:r>
      <w:r>
        <w:rPr>
          <w:color w:val="231F20"/>
        </w:rPr>
        <w:t>resulting</w:t>
      </w:r>
      <w:r>
        <w:rPr>
          <w:color w:val="231F20"/>
          <w:spacing w:val="-1"/>
        </w:rPr>
        <w:t xml:space="preserve"> </w:t>
      </w:r>
      <w:r>
        <w:rPr>
          <w:color w:val="231F20"/>
        </w:rPr>
        <w:t>in</w:t>
      </w:r>
      <w:r>
        <w:rPr>
          <w:color w:val="231F20"/>
          <w:spacing w:val="-1"/>
        </w:rPr>
        <w:t xml:space="preserve"> </w:t>
      </w:r>
      <w:r>
        <w:rPr>
          <w:color w:val="231F20"/>
        </w:rPr>
        <w:t>multiple</w:t>
      </w:r>
      <w:r>
        <w:rPr>
          <w:color w:val="231F20"/>
          <w:spacing w:val="-1"/>
        </w:rPr>
        <w:t xml:space="preserve"> </w:t>
      </w:r>
      <w:r>
        <w:rPr>
          <w:color w:val="231F20"/>
        </w:rPr>
        <w:t>arrests. The operation involved consultation with interstate law enforcement agencies and assistance from several</w:t>
      </w:r>
      <w:r>
        <w:rPr>
          <w:color w:val="231F20"/>
          <w:spacing w:val="-13"/>
        </w:rPr>
        <w:t xml:space="preserve"> </w:t>
      </w:r>
      <w:r>
        <w:rPr>
          <w:color w:val="231F20"/>
        </w:rPr>
        <w:t>areas</w:t>
      </w:r>
      <w:r>
        <w:rPr>
          <w:color w:val="231F20"/>
          <w:spacing w:val="-12"/>
        </w:rPr>
        <w:t xml:space="preserve"> </w:t>
      </w:r>
      <w:r>
        <w:rPr>
          <w:color w:val="231F20"/>
        </w:rPr>
        <w:t>across</w:t>
      </w:r>
      <w:r>
        <w:rPr>
          <w:color w:val="231F20"/>
          <w:spacing w:val="-12"/>
        </w:rPr>
        <w:t xml:space="preserve"> </w:t>
      </w:r>
      <w:r>
        <w:rPr>
          <w:color w:val="231F20"/>
        </w:rPr>
        <w:t>Victoria</w:t>
      </w:r>
      <w:r>
        <w:rPr>
          <w:color w:val="231F20"/>
          <w:spacing w:val="-13"/>
        </w:rPr>
        <w:t xml:space="preserve"> </w:t>
      </w:r>
      <w:r>
        <w:rPr>
          <w:color w:val="231F20"/>
        </w:rPr>
        <w:t>Police.</w:t>
      </w:r>
      <w:r>
        <w:rPr>
          <w:color w:val="231F20"/>
          <w:spacing w:val="-12"/>
        </w:rPr>
        <w:t xml:space="preserve"> </w:t>
      </w:r>
      <w:r>
        <w:rPr>
          <w:color w:val="231F20"/>
        </w:rPr>
        <w:t>This</w:t>
      </w:r>
      <w:r>
        <w:rPr>
          <w:color w:val="231F20"/>
          <w:spacing w:val="-12"/>
        </w:rPr>
        <w:t xml:space="preserve"> </w:t>
      </w:r>
      <w:r>
        <w:rPr>
          <w:color w:val="231F20"/>
        </w:rPr>
        <w:t>operation</w:t>
      </w:r>
      <w:r>
        <w:rPr>
          <w:color w:val="231F20"/>
          <w:spacing w:val="-13"/>
        </w:rPr>
        <w:t xml:space="preserve"> </w:t>
      </w:r>
      <w:r>
        <w:rPr>
          <w:color w:val="231F20"/>
        </w:rPr>
        <w:t>highlights</w:t>
      </w:r>
      <w:r>
        <w:rPr>
          <w:color w:val="231F20"/>
          <w:spacing w:val="-12"/>
        </w:rPr>
        <w:t xml:space="preserve"> </w:t>
      </w:r>
      <w:r>
        <w:rPr>
          <w:color w:val="231F20"/>
        </w:rPr>
        <w:t>the</w:t>
      </w:r>
      <w:r>
        <w:rPr>
          <w:color w:val="231F20"/>
          <w:spacing w:val="-13"/>
        </w:rPr>
        <w:t xml:space="preserve"> </w:t>
      </w:r>
      <w:r>
        <w:rPr>
          <w:color w:val="231F20"/>
        </w:rPr>
        <w:t>high</w:t>
      </w:r>
      <w:r>
        <w:rPr>
          <w:color w:val="231F20"/>
          <w:spacing w:val="-13"/>
        </w:rPr>
        <w:t xml:space="preserve"> </w:t>
      </w:r>
      <w:r>
        <w:rPr>
          <w:color w:val="231F20"/>
        </w:rPr>
        <w:t>quality,</w:t>
      </w:r>
      <w:r>
        <w:rPr>
          <w:color w:val="231F20"/>
          <w:spacing w:val="-12"/>
        </w:rPr>
        <w:t xml:space="preserve"> </w:t>
      </w:r>
      <w:r>
        <w:rPr>
          <w:color w:val="231F20"/>
        </w:rPr>
        <w:t>timely</w:t>
      </w:r>
      <w:r>
        <w:rPr>
          <w:color w:val="231F20"/>
          <w:spacing w:val="-12"/>
        </w:rPr>
        <w:t xml:space="preserve"> </w:t>
      </w:r>
      <w:r>
        <w:rPr>
          <w:color w:val="231F20"/>
        </w:rPr>
        <w:t>intelligence and risk-focused management of RSOs coordinated by Victoria Police.</w:t>
      </w:r>
    </w:p>
    <w:p w14:paraId="422F7F94" w14:textId="77777777" w:rsidR="00345EE3" w:rsidRDefault="00345EE3" w:rsidP="00345EE3">
      <w:pPr>
        <w:pStyle w:val="Heading5"/>
        <w:spacing w:before="181"/>
      </w:pPr>
      <w:r>
        <w:rPr>
          <w:color w:val="58595B"/>
        </w:rPr>
        <w:t>Enhancing</w:t>
      </w:r>
      <w:r>
        <w:rPr>
          <w:color w:val="58595B"/>
          <w:spacing w:val="-3"/>
        </w:rPr>
        <w:t xml:space="preserve"> </w:t>
      </w:r>
      <w:r>
        <w:rPr>
          <w:color w:val="58595B"/>
        </w:rPr>
        <w:t>Registered</w:t>
      </w:r>
      <w:r>
        <w:rPr>
          <w:color w:val="58595B"/>
          <w:spacing w:val="-3"/>
        </w:rPr>
        <w:t xml:space="preserve"> </w:t>
      </w:r>
      <w:r>
        <w:rPr>
          <w:color w:val="58595B"/>
        </w:rPr>
        <w:t>Sex</w:t>
      </w:r>
      <w:r>
        <w:rPr>
          <w:color w:val="58595B"/>
          <w:spacing w:val="-2"/>
        </w:rPr>
        <w:t xml:space="preserve"> </w:t>
      </w:r>
      <w:r>
        <w:rPr>
          <w:color w:val="58595B"/>
        </w:rPr>
        <w:t>Offender</w:t>
      </w:r>
      <w:r>
        <w:rPr>
          <w:color w:val="58595B"/>
          <w:spacing w:val="-2"/>
        </w:rPr>
        <w:t xml:space="preserve"> Management</w:t>
      </w:r>
    </w:p>
    <w:p w14:paraId="333E3AA4" w14:textId="77777777" w:rsidR="00345EE3" w:rsidRDefault="00345EE3" w:rsidP="00345EE3">
      <w:pPr>
        <w:pStyle w:val="BodyText"/>
        <w:spacing w:before="4" w:line="242" w:lineRule="auto"/>
        <w:ind w:right="848"/>
      </w:pPr>
      <w:r>
        <w:rPr>
          <w:color w:val="231F20"/>
        </w:rPr>
        <w:t>A suite of enhanced training packages was developed, and delivery commenced for Police officers</w:t>
      </w:r>
      <w:r>
        <w:rPr>
          <w:color w:val="231F20"/>
          <w:spacing w:val="-5"/>
        </w:rPr>
        <w:t xml:space="preserve"> </w:t>
      </w:r>
      <w:r>
        <w:rPr>
          <w:color w:val="231F20"/>
        </w:rPr>
        <w:t>and</w:t>
      </w:r>
      <w:r>
        <w:rPr>
          <w:color w:val="231F20"/>
          <w:spacing w:val="-6"/>
        </w:rPr>
        <w:t xml:space="preserve"> </w:t>
      </w:r>
      <w:r>
        <w:rPr>
          <w:color w:val="231F20"/>
        </w:rPr>
        <w:t>PSOs</w:t>
      </w:r>
      <w:r>
        <w:rPr>
          <w:color w:val="231F20"/>
          <w:spacing w:val="-5"/>
        </w:rPr>
        <w:t xml:space="preserve"> </w:t>
      </w:r>
      <w:r>
        <w:rPr>
          <w:color w:val="231F20"/>
        </w:rPr>
        <w:t>in</w:t>
      </w:r>
      <w:r>
        <w:rPr>
          <w:color w:val="231F20"/>
          <w:spacing w:val="-6"/>
        </w:rPr>
        <w:t xml:space="preserve"> </w:t>
      </w:r>
      <w:r>
        <w:rPr>
          <w:color w:val="231F20"/>
        </w:rPr>
        <w:t>response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2019</w:t>
      </w:r>
      <w:r>
        <w:rPr>
          <w:color w:val="231F20"/>
          <w:spacing w:val="-6"/>
        </w:rPr>
        <w:t xml:space="preserve"> </w:t>
      </w:r>
      <w:r>
        <w:rPr>
          <w:color w:val="231F20"/>
        </w:rPr>
        <w:t>VAGO</w:t>
      </w:r>
      <w:r>
        <w:rPr>
          <w:color w:val="231F20"/>
          <w:spacing w:val="-5"/>
        </w:rPr>
        <w:t xml:space="preserve"> </w:t>
      </w:r>
      <w:r>
        <w:rPr>
          <w:color w:val="231F20"/>
        </w:rPr>
        <w:t>review</w:t>
      </w:r>
      <w:r>
        <w:rPr>
          <w:color w:val="231F20"/>
          <w:spacing w:val="-6"/>
        </w:rPr>
        <w:t xml:space="preserve"> </w:t>
      </w:r>
      <w:r>
        <w:rPr>
          <w:color w:val="231F20"/>
        </w:rPr>
        <w:t>of</w:t>
      </w:r>
      <w:r>
        <w:rPr>
          <w:color w:val="231F20"/>
          <w:spacing w:val="-5"/>
        </w:rPr>
        <w:t xml:space="preserve"> </w:t>
      </w:r>
      <w:r>
        <w:rPr>
          <w:color w:val="231F20"/>
        </w:rPr>
        <w:t>RSO</w:t>
      </w:r>
      <w:r>
        <w:rPr>
          <w:color w:val="231F20"/>
          <w:spacing w:val="-5"/>
        </w:rPr>
        <w:t xml:space="preserve"> </w:t>
      </w:r>
      <w:r>
        <w:rPr>
          <w:color w:val="231F20"/>
        </w:rPr>
        <w:t>management.</w:t>
      </w:r>
      <w:r>
        <w:rPr>
          <w:color w:val="231F20"/>
          <w:spacing w:val="-5"/>
        </w:rPr>
        <w:t xml:space="preserve"> </w:t>
      </w:r>
      <w:r>
        <w:rPr>
          <w:color w:val="231F20"/>
        </w:rPr>
        <w:t>During</w:t>
      </w:r>
      <w:r>
        <w:rPr>
          <w:color w:val="231F20"/>
          <w:spacing w:val="-6"/>
        </w:rPr>
        <w:t xml:space="preserve"> </w:t>
      </w:r>
      <w:r>
        <w:rPr>
          <w:color w:val="231F20"/>
        </w:rPr>
        <w:t>2021–22 approximately 13,700 police completed the e-Learning package and approximately 250 police completed</w:t>
      </w:r>
      <w:r>
        <w:rPr>
          <w:color w:val="231F20"/>
          <w:spacing w:val="-9"/>
        </w:rPr>
        <w:t xml:space="preserve"> </w:t>
      </w:r>
      <w:r>
        <w:rPr>
          <w:color w:val="231F20"/>
        </w:rPr>
        <w:t>specialist</w:t>
      </w:r>
      <w:r>
        <w:rPr>
          <w:color w:val="231F20"/>
          <w:spacing w:val="-8"/>
        </w:rPr>
        <w:t xml:space="preserve"> </w:t>
      </w:r>
      <w:r>
        <w:rPr>
          <w:color w:val="231F20"/>
        </w:rPr>
        <w:t>training.</w:t>
      </w:r>
      <w:r>
        <w:rPr>
          <w:color w:val="231F20"/>
          <w:spacing w:val="-8"/>
        </w:rPr>
        <w:t xml:space="preserve"> </w:t>
      </w:r>
      <w:r>
        <w:rPr>
          <w:color w:val="231F20"/>
        </w:rPr>
        <w:t>As</w:t>
      </w:r>
      <w:r>
        <w:rPr>
          <w:color w:val="231F20"/>
          <w:spacing w:val="-8"/>
        </w:rPr>
        <w:t xml:space="preserve"> </w:t>
      </w:r>
      <w:r>
        <w:rPr>
          <w:color w:val="231F20"/>
        </w:rPr>
        <w:t>a</w:t>
      </w:r>
      <w:r>
        <w:rPr>
          <w:color w:val="231F20"/>
          <w:spacing w:val="-9"/>
        </w:rPr>
        <w:t xml:space="preserve"> </w:t>
      </w:r>
      <w:r>
        <w:rPr>
          <w:color w:val="231F20"/>
        </w:rPr>
        <w:t>result</w:t>
      </w:r>
      <w:r>
        <w:rPr>
          <w:color w:val="231F20"/>
          <w:spacing w:val="-8"/>
        </w:rPr>
        <w:t xml:space="preserve"> </w:t>
      </w:r>
      <w:r>
        <w:rPr>
          <w:color w:val="231F20"/>
        </w:rPr>
        <w:t>of</w:t>
      </w:r>
      <w:r>
        <w:rPr>
          <w:color w:val="231F20"/>
          <w:spacing w:val="-8"/>
        </w:rPr>
        <w:t xml:space="preserve"> </w:t>
      </w:r>
      <w:r>
        <w:rPr>
          <w:color w:val="231F20"/>
        </w:rPr>
        <w:t>this</w:t>
      </w:r>
      <w:r>
        <w:rPr>
          <w:color w:val="231F20"/>
          <w:spacing w:val="-8"/>
        </w:rPr>
        <w:t xml:space="preserve"> </w:t>
      </w:r>
      <w:r>
        <w:rPr>
          <w:color w:val="231F20"/>
        </w:rPr>
        <w:t>training</w:t>
      </w:r>
      <w:r>
        <w:rPr>
          <w:color w:val="231F20"/>
          <w:spacing w:val="-9"/>
        </w:rPr>
        <w:t xml:space="preserve"> </w:t>
      </w:r>
      <w:r>
        <w:rPr>
          <w:color w:val="231F20"/>
        </w:rPr>
        <w:t>uplift</w:t>
      </w:r>
      <w:r>
        <w:rPr>
          <w:color w:val="231F20"/>
          <w:spacing w:val="-8"/>
        </w:rPr>
        <w:t xml:space="preserve"> </w:t>
      </w:r>
      <w:r>
        <w:rPr>
          <w:color w:val="231F20"/>
        </w:rPr>
        <w:t>there</w:t>
      </w:r>
      <w:r>
        <w:rPr>
          <w:color w:val="231F20"/>
          <w:spacing w:val="-9"/>
        </w:rPr>
        <w:t xml:space="preserve"> </w:t>
      </w:r>
      <w:r>
        <w:rPr>
          <w:color w:val="231F20"/>
        </w:rPr>
        <w:t>has</w:t>
      </w:r>
      <w:r>
        <w:rPr>
          <w:color w:val="231F20"/>
          <w:spacing w:val="-8"/>
        </w:rPr>
        <w:t xml:space="preserve"> </w:t>
      </w:r>
      <w:r>
        <w:rPr>
          <w:color w:val="231F20"/>
        </w:rPr>
        <w:t>been</w:t>
      </w:r>
      <w:r>
        <w:rPr>
          <w:color w:val="231F20"/>
          <w:spacing w:val="-9"/>
        </w:rPr>
        <w:t xml:space="preserve"> </w:t>
      </w:r>
      <w:r>
        <w:rPr>
          <w:color w:val="231F20"/>
        </w:rPr>
        <w:t>an</w:t>
      </w:r>
      <w:r>
        <w:rPr>
          <w:color w:val="231F20"/>
          <w:spacing w:val="-9"/>
        </w:rPr>
        <w:t xml:space="preserve"> </w:t>
      </w:r>
      <w:r>
        <w:rPr>
          <w:color w:val="231F20"/>
        </w:rPr>
        <w:t>increased</w:t>
      </w:r>
      <w:r>
        <w:rPr>
          <w:color w:val="231F20"/>
          <w:spacing w:val="-9"/>
        </w:rPr>
        <w:t xml:space="preserve"> </w:t>
      </w:r>
      <w:r>
        <w:rPr>
          <w:color w:val="231F20"/>
        </w:rPr>
        <w:t>profile of RSO management across Victoria Police and an increase in the quality of intelligence that frontline police are reporting when interacting with RSOs in the community. This has enhanced Victoria Police’s capability to support the monitoring of RSOs in the community.</w:t>
      </w:r>
    </w:p>
    <w:p w14:paraId="755C724D" w14:textId="77777777" w:rsidR="00345EE3" w:rsidRDefault="00345EE3" w:rsidP="00345EE3">
      <w:pPr>
        <w:pStyle w:val="BodyText"/>
        <w:spacing w:before="179" w:line="242" w:lineRule="auto"/>
        <w:ind w:right="962"/>
      </w:pPr>
      <w:r>
        <w:rPr>
          <w:b/>
          <w:color w:val="58595B"/>
        </w:rPr>
        <w:t>Victoria Police collaboration with the Office of the Racing Integrity Commissioner</w:t>
      </w:r>
      <w:r>
        <w:rPr>
          <w:b/>
          <w:color w:val="58595B"/>
          <w:spacing w:val="40"/>
        </w:rPr>
        <w:t xml:space="preserve"> </w:t>
      </w:r>
      <w:r>
        <w:rPr>
          <w:color w:val="231F20"/>
        </w:rPr>
        <w:t>Victoria Police secondments to the Office of the Racing Integrity Commissioner to assess the nature</w:t>
      </w:r>
      <w:r>
        <w:rPr>
          <w:color w:val="231F20"/>
          <w:spacing w:val="-9"/>
        </w:rPr>
        <w:t xml:space="preserve"> </w:t>
      </w:r>
      <w:r>
        <w:rPr>
          <w:color w:val="231F20"/>
        </w:rPr>
        <w:t>and</w:t>
      </w:r>
      <w:r>
        <w:rPr>
          <w:color w:val="231F20"/>
          <w:spacing w:val="-9"/>
        </w:rPr>
        <w:t xml:space="preserve"> </w:t>
      </w:r>
      <w:r>
        <w:rPr>
          <w:color w:val="231F20"/>
        </w:rPr>
        <w:t>extent</w:t>
      </w:r>
      <w:r>
        <w:rPr>
          <w:color w:val="231F20"/>
          <w:spacing w:val="-8"/>
        </w:rPr>
        <w:t xml:space="preserve"> </w:t>
      </w:r>
      <w:r>
        <w:rPr>
          <w:color w:val="231F20"/>
        </w:rPr>
        <w:t>of</w:t>
      </w:r>
      <w:r>
        <w:rPr>
          <w:color w:val="231F20"/>
          <w:spacing w:val="-8"/>
        </w:rPr>
        <w:t xml:space="preserve"> </w:t>
      </w:r>
      <w:r>
        <w:rPr>
          <w:color w:val="231F20"/>
        </w:rPr>
        <w:t>criminal</w:t>
      </w:r>
      <w:r>
        <w:rPr>
          <w:color w:val="231F20"/>
          <w:spacing w:val="-9"/>
        </w:rPr>
        <w:t xml:space="preserve"> </w:t>
      </w:r>
      <w:r>
        <w:rPr>
          <w:color w:val="231F20"/>
        </w:rPr>
        <w:t>activity</w:t>
      </w:r>
      <w:r>
        <w:rPr>
          <w:color w:val="231F20"/>
          <w:spacing w:val="-8"/>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Victorian</w:t>
      </w:r>
      <w:r>
        <w:rPr>
          <w:color w:val="231F20"/>
          <w:spacing w:val="-9"/>
        </w:rPr>
        <w:t xml:space="preserve"> </w:t>
      </w:r>
      <w:r>
        <w:rPr>
          <w:color w:val="231F20"/>
        </w:rPr>
        <w:t>racing</w:t>
      </w:r>
      <w:r>
        <w:rPr>
          <w:color w:val="231F20"/>
          <w:spacing w:val="-9"/>
        </w:rPr>
        <w:t xml:space="preserve"> </w:t>
      </w:r>
      <w:r>
        <w:rPr>
          <w:color w:val="231F20"/>
        </w:rPr>
        <w:t>industry</w:t>
      </w:r>
      <w:r>
        <w:rPr>
          <w:color w:val="231F20"/>
          <w:spacing w:val="-8"/>
        </w:rPr>
        <w:t xml:space="preserve"> </w:t>
      </w:r>
      <w:r>
        <w:rPr>
          <w:color w:val="231F20"/>
        </w:rPr>
        <w:t>were</w:t>
      </w:r>
      <w:r>
        <w:rPr>
          <w:color w:val="231F20"/>
          <w:spacing w:val="-9"/>
        </w:rPr>
        <w:t xml:space="preserve"> </w:t>
      </w:r>
      <w:r>
        <w:rPr>
          <w:color w:val="231F20"/>
        </w:rPr>
        <w:t>concluded</w:t>
      </w:r>
      <w:r>
        <w:rPr>
          <w:color w:val="231F20"/>
          <w:spacing w:val="-9"/>
        </w:rPr>
        <w:t xml:space="preserve"> </w:t>
      </w:r>
      <w:r>
        <w:rPr>
          <w:color w:val="231F20"/>
        </w:rPr>
        <w:t>in</w:t>
      </w:r>
      <w:r>
        <w:rPr>
          <w:color w:val="231F20"/>
          <w:spacing w:val="-9"/>
        </w:rPr>
        <w:t xml:space="preserve"> </w:t>
      </w:r>
      <w:r>
        <w:rPr>
          <w:color w:val="231F20"/>
        </w:rPr>
        <w:t>2021–22. This included consultation with key stakeholders in the racing industry such as Greyhound Racing Victoria, Harness Racing Victoria and Racing Victoria. The resulting report was shared with industry members and will be used for ongoing collaboration and enhanced information sharing to prevent criminal infiltration of the industry.</w:t>
      </w:r>
    </w:p>
    <w:p w14:paraId="7699F42C" w14:textId="77777777" w:rsidR="00345EE3" w:rsidRDefault="00345EE3" w:rsidP="00345EE3">
      <w:pPr>
        <w:pStyle w:val="Heading5"/>
        <w:spacing w:before="179"/>
      </w:pPr>
      <w:r>
        <w:rPr>
          <w:color w:val="58595B"/>
        </w:rPr>
        <w:t>Collaboration</w:t>
      </w:r>
      <w:r>
        <w:rPr>
          <w:color w:val="58595B"/>
          <w:spacing w:val="-7"/>
        </w:rPr>
        <w:t xml:space="preserve"> </w:t>
      </w:r>
      <w:r>
        <w:rPr>
          <w:color w:val="58595B"/>
        </w:rPr>
        <w:t>with</w:t>
      </w:r>
      <w:r>
        <w:rPr>
          <w:color w:val="58595B"/>
          <w:spacing w:val="-4"/>
        </w:rPr>
        <w:t xml:space="preserve"> </w:t>
      </w:r>
      <w:r>
        <w:rPr>
          <w:color w:val="58595B"/>
        </w:rPr>
        <w:t>Crime</w:t>
      </w:r>
      <w:r>
        <w:rPr>
          <w:color w:val="58595B"/>
          <w:spacing w:val="-5"/>
        </w:rPr>
        <w:t xml:space="preserve"> </w:t>
      </w:r>
      <w:r>
        <w:rPr>
          <w:color w:val="58595B"/>
        </w:rPr>
        <w:t>Stoppers</w:t>
      </w:r>
      <w:r>
        <w:rPr>
          <w:color w:val="58595B"/>
          <w:spacing w:val="-4"/>
        </w:rPr>
        <w:t xml:space="preserve"> </w:t>
      </w:r>
      <w:r>
        <w:rPr>
          <w:color w:val="58595B"/>
          <w:spacing w:val="-2"/>
        </w:rPr>
        <w:t>Victoria</w:t>
      </w:r>
    </w:p>
    <w:p w14:paraId="0B393419" w14:textId="77777777" w:rsidR="00345EE3" w:rsidRDefault="00345EE3" w:rsidP="00345EE3">
      <w:pPr>
        <w:pStyle w:val="BodyText"/>
        <w:spacing w:before="4" w:line="242" w:lineRule="auto"/>
        <w:ind w:right="1141"/>
      </w:pPr>
      <w:r>
        <w:rPr>
          <w:color w:val="231F20"/>
        </w:rPr>
        <w:t>Throughout 2021–22, Victoria Police continued to work in partnership with Crime Stoppers Victoria to develop community awareness campaigns with a focus this year on knife crime, cyber</w:t>
      </w:r>
      <w:r>
        <w:rPr>
          <w:color w:val="231F20"/>
          <w:spacing w:val="-4"/>
        </w:rPr>
        <w:t xml:space="preserve"> </w:t>
      </w:r>
      <w:r>
        <w:rPr>
          <w:color w:val="231F20"/>
        </w:rPr>
        <w:t>crime,</w:t>
      </w:r>
      <w:r>
        <w:rPr>
          <w:color w:val="231F20"/>
          <w:spacing w:val="-4"/>
        </w:rPr>
        <w:t xml:space="preserve"> </w:t>
      </w:r>
      <w:r>
        <w:rPr>
          <w:color w:val="231F20"/>
        </w:rPr>
        <w:t>and</w:t>
      </w:r>
      <w:r>
        <w:rPr>
          <w:color w:val="231F20"/>
          <w:spacing w:val="-5"/>
        </w:rPr>
        <w:t xml:space="preserve"> </w:t>
      </w:r>
      <w:r>
        <w:rPr>
          <w:color w:val="231F20"/>
        </w:rPr>
        <w:t>farm</w:t>
      </w:r>
      <w:r>
        <w:rPr>
          <w:color w:val="231F20"/>
          <w:spacing w:val="-4"/>
        </w:rPr>
        <w:t xml:space="preserve"> </w:t>
      </w:r>
      <w:r>
        <w:rPr>
          <w:color w:val="231F20"/>
        </w:rPr>
        <w:t>crime.</w:t>
      </w:r>
      <w:r>
        <w:rPr>
          <w:color w:val="231F20"/>
          <w:spacing w:val="-4"/>
        </w:rPr>
        <w:t xml:space="preserve"> </w:t>
      </w:r>
      <w:r>
        <w:rPr>
          <w:color w:val="231F20"/>
        </w:rPr>
        <w:t>In</w:t>
      </w:r>
      <w:r>
        <w:rPr>
          <w:color w:val="231F20"/>
          <w:spacing w:val="-5"/>
        </w:rPr>
        <w:t xml:space="preserve"> </w:t>
      </w:r>
      <w:r>
        <w:rPr>
          <w:color w:val="231F20"/>
        </w:rPr>
        <w:t>2021–22,</w:t>
      </w:r>
      <w:r>
        <w:rPr>
          <w:color w:val="231F20"/>
          <w:spacing w:val="-4"/>
        </w:rPr>
        <w:t xml:space="preserve"> </w:t>
      </w:r>
      <w:r>
        <w:rPr>
          <w:color w:val="231F20"/>
        </w:rPr>
        <w:t>106,413</w:t>
      </w:r>
      <w:r>
        <w:rPr>
          <w:color w:val="231F20"/>
          <w:spacing w:val="-5"/>
        </w:rPr>
        <w:t xml:space="preserve"> </w:t>
      </w:r>
      <w:r>
        <w:rPr>
          <w:color w:val="231F20"/>
        </w:rPr>
        <w:t>reports</w:t>
      </w:r>
      <w:r>
        <w:rPr>
          <w:color w:val="231F20"/>
          <w:spacing w:val="-4"/>
        </w:rPr>
        <w:t xml:space="preserve"> </w:t>
      </w:r>
      <w:r>
        <w:rPr>
          <w:color w:val="231F20"/>
        </w:rPr>
        <w:t>were</w:t>
      </w:r>
      <w:r>
        <w:rPr>
          <w:color w:val="231F20"/>
          <w:spacing w:val="-5"/>
        </w:rPr>
        <w:t xml:space="preserve"> </w:t>
      </w:r>
      <w:r>
        <w:rPr>
          <w:color w:val="231F20"/>
        </w:rPr>
        <w:t>received</w:t>
      </w:r>
      <w:r>
        <w:rPr>
          <w:color w:val="231F20"/>
          <w:spacing w:val="-5"/>
        </w:rPr>
        <w:t xml:space="preserve"> </w:t>
      </w:r>
      <w:r>
        <w:rPr>
          <w:color w:val="231F20"/>
        </w:rPr>
        <w:t>from</w:t>
      </w:r>
      <w:r>
        <w:rPr>
          <w:color w:val="231F20"/>
          <w:spacing w:val="-4"/>
        </w:rPr>
        <w:t xml:space="preserve"> </w:t>
      </w:r>
      <w:r>
        <w:rPr>
          <w:color w:val="231F20"/>
        </w:rPr>
        <w:t>the</w:t>
      </w:r>
      <w:r>
        <w:rPr>
          <w:color w:val="231F20"/>
          <w:spacing w:val="-5"/>
        </w:rPr>
        <w:t xml:space="preserve"> </w:t>
      </w:r>
      <w:r>
        <w:rPr>
          <w:color w:val="231F20"/>
        </w:rPr>
        <w:t>community, which</w:t>
      </w:r>
      <w:r>
        <w:rPr>
          <w:color w:val="231F20"/>
          <w:spacing w:val="-6"/>
        </w:rPr>
        <w:t xml:space="preserve"> </w:t>
      </w:r>
      <w:r>
        <w:rPr>
          <w:color w:val="231F20"/>
        </w:rPr>
        <w:t>contributed</w:t>
      </w:r>
      <w:r>
        <w:rPr>
          <w:color w:val="231F20"/>
          <w:spacing w:val="-6"/>
        </w:rPr>
        <w:t xml:space="preserve"> </w:t>
      </w:r>
      <w:r>
        <w:rPr>
          <w:color w:val="231F20"/>
        </w:rPr>
        <w:t>to</w:t>
      </w:r>
      <w:r>
        <w:rPr>
          <w:color w:val="231F20"/>
          <w:spacing w:val="-6"/>
        </w:rPr>
        <w:t xml:space="preserve"> </w:t>
      </w:r>
      <w:r>
        <w:rPr>
          <w:color w:val="231F20"/>
        </w:rPr>
        <w:t>733</w:t>
      </w:r>
      <w:r>
        <w:rPr>
          <w:color w:val="231F20"/>
          <w:spacing w:val="-6"/>
        </w:rPr>
        <w:t xml:space="preserve"> </w:t>
      </w:r>
      <w:r>
        <w:rPr>
          <w:color w:val="231F20"/>
        </w:rPr>
        <w:t>arrests.</w:t>
      </w:r>
      <w:r>
        <w:rPr>
          <w:color w:val="231F20"/>
          <w:spacing w:val="-5"/>
        </w:rPr>
        <w:t xml:space="preserve"> </w:t>
      </w:r>
      <w:r>
        <w:rPr>
          <w:color w:val="231F20"/>
        </w:rPr>
        <w:t>Information</w:t>
      </w:r>
      <w:r>
        <w:rPr>
          <w:color w:val="231F20"/>
          <w:spacing w:val="-6"/>
        </w:rPr>
        <w:t xml:space="preserve"> </w:t>
      </w:r>
      <w:r>
        <w:rPr>
          <w:color w:val="231F20"/>
        </w:rPr>
        <w:t>provided</w:t>
      </w:r>
      <w:r>
        <w:rPr>
          <w:color w:val="231F20"/>
          <w:spacing w:val="-6"/>
        </w:rPr>
        <w:t xml:space="preserve"> </w:t>
      </w:r>
      <w:r>
        <w:rPr>
          <w:color w:val="231F20"/>
        </w:rPr>
        <w:t>via</w:t>
      </w:r>
      <w:r>
        <w:rPr>
          <w:color w:val="231F20"/>
          <w:spacing w:val="-6"/>
        </w:rPr>
        <w:t xml:space="preserve"> </w:t>
      </w:r>
      <w:r>
        <w:rPr>
          <w:color w:val="231F20"/>
        </w:rPr>
        <w:t>Crime</w:t>
      </w:r>
      <w:r>
        <w:rPr>
          <w:color w:val="231F20"/>
          <w:spacing w:val="-6"/>
        </w:rPr>
        <w:t xml:space="preserve"> </w:t>
      </w:r>
      <w:r>
        <w:rPr>
          <w:color w:val="231F20"/>
        </w:rPr>
        <w:t>Stoppers</w:t>
      </w:r>
      <w:r>
        <w:rPr>
          <w:color w:val="231F20"/>
          <w:spacing w:val="-5"/>
        </w:rPr>
        <w:t xml:space="preserve"> </w:t>
      </w:r>
      <w:r>
        <w:rPr>
          <w:color w:val="231F20"/>
        </w:rPr>
        <w:t>Victoria</w:t>
      </w:r>
      <w:r>
        <w:rPr>
          <w:color w:val="231F20"/>
          <w:spacing w:val="-6"/>
        </w:rPr>
        <w:t xml:space="preserve"> </w:t>
      </w:r>
      <w:r>
        <w:rPr>
          <w:color w:val="231F20"/>
        </w:rPr>
        <w:t>was</w:t>
      </w:r>
      <w:r>
        <w:rPr>
          <w:color w:val="231F20"/>
          <w:spacing w:val="-5"/>
        </w:rPr>
        <w:t xml:space="preserve"> </w:t>
      </w:r>
      <w:r>
        <w:rPr>
          <w:color w:val="231F20"/>
        </w:rPr>
        <w:t>critical in identifying and progressing the investigation of several serious offenders. Victoria Police investigators identified and arrested nine people for involvement in drug trafficking and the exchange of stolen goods for drugs. A person identified via a Crime Stoppers report was subsequently</w:t>
      </w:r>
      <w:r>
        <w:rPr>
          <w:color w:val="231F20"/>
          <w:spacing w:val="-16"/>
        </w:rPr>
        <w:t xml:space="preserve"> </w:t>
      </w:r>
      <w:r>
        <w:rPr>
          <w:color w:val="231F20"/>
        </w:rPr>
        <w:t>arrested</w:t>
      </w:r>
      <w:r>
        <w:rPr>
          <w:color w:val="231F20"/>
          <w:spacing w:val="-17"/>
        </w:rPr>
        <w:t xml:space="preserve"> </w:t>
      </w:r>
      <w:r>
        <w:rPr>
          <w:color w:val="231F20"/>
        </w:rPr>
        <w:t>for</w:t>
      </w:r>
      <w:r>
        <w:rPr>
          <w:color w:val="231F20"/>
          <w:spacing w:val="-16"/>
        </w:rPr>
        <w:t xml:space="preserve"> </w:t>
      </w:r>
      <w:r>
        <w:rPr>
          <w:color w:val="231F20"/>
        </w:rPr>
        <w:t>manufacturing</w:t>
      </w:r>
      <w:r>
        <w:rPr>
          <w:color w:val="231F20"/>
          <w:spacing w:val="-17"/>
        </w:rPr>
        <w:t xml:space="preserve"> </w:t>
      </w:r>
      <w:r>
        <w:rPr>
          <w:color w:val="231F20"/>
        </w:rPr>
        <w:t>explosive</w:t>
      </w:r>
      <w:r>
        <w:rPr>
          <w:color w:val="231F20"/>
          <w:spacing w:val="-17"/>
        </w:rPr>
        <w:t xml:space="preserve"> </w:t>
      </w:r>
      <w:r>
        <w:rPr>
          <w:color w:val="231F20"/>
        </w:rPr>
        <w:t>devices,</w:t>
      </w:r>
      <w:r>
        <w:rPr>
          <w:color w:val="231F20"/>
          <w:spacing w:val="-15"/>
        </w:rPr>
        <w:t xml:space="preserve"> </w:t>
      </w:r>
      <w:r>
        <w:rPr>
          <w:color w:val="231F20"/>
        </w:rPr>
        <w:t>possession</w:t>
      </w:r>
      <w:r>
        <w:rPr>
          <w:color w:val="231F20"/>
          <w:spacing w:val="-17"/>
        </w:rPr>
        <w:t xml:space="preserve"> </w:t>
      </w:r>
      <w:r>
        <w:rPr>
          <w:color w:val="231F20"/>
        </w:rPr>
        <w:t>of</w:t>
      </w:r>
      <w:r>
        <w:rPr>
          <w:color w:val="231F20"/>
          <w:spacing w:val="-16"/>
        </w:rPr>
        <w:t xml:space="preserve"> </w:t>
      </w:r>
      <w:r>
        <w:rPr>
          <w:color w:val="231F20"/>
        </w:rPr>
        <w:t>explosives</w:t>
      </w:r>
      <w:r>
        <w:rPr>
          <w:color w:val="231F20"/>
          <w:spacing w:val="-16"/>
        </w:rPr>
        <w:t xml:space="preserve"> </w:t>
      </w:r>
      <w:r>
        <w:rPr>
          <w:color w:val="231F20"/>
        </w:rPr>
        <w:t>material, unlicensed</w:t>
      </w:r>
      <w:r>
        <w:rPr>
          <w:color w:val="231F20"/>
          <w:spacing w:val="-5"/>
        </w:rPr>
        <w:t xml:space="preserve"> </w:t>
      </w:r>
      <w:r>
        <w:rPr>
          <w:color w:val="231F20"/>
        </w:rPr>
        <w:t>firearm</w:t>
      </w:r>
      <w:r>
        <w:rPr>
          <w:color w:val="231F20"/>
          <w:spacing w:val="-4"/>
        </w:rPr>
        <w:t xml:space="preserve"> </w:t>
      </w:r>
      <w:r>
        <w:rPr>
          <w:color w:val="231F20"/>
        </w:rPr>
        <w:t>holder</w:t>
      </w:r>
      <w:r>
        <w:rPr>
          <w:color w:val="231F20"/>
          <w:spacing w:val="-4"/>
        </w:rPr>
        <w:t xml:space="preserve"> </w:t>
      </w:r>
      <w:r>
        <w:rPr>
          <w:color w:val="231F20"/>
        </w:rPr>
        <w:t>in</w:t>
      </w:r>
      <w:r>
        <w:rPr>
          <w:color w:val="231F20"/>
          <w:spacing w:val="-5"/>
        </w:rPr>
        <w:t xml:space="preserve"> </w:t>
      </w:r>
      <w:r>
        <w:rPr>
          <w:color w:val="231F20"/>
        </w:rPr>
        <w:t>possession</w:t>
      </w:r>
      <w:r>
        <w:rPr>
          <w:color w:val="231F20"/>
          <w:spacing w:val="-5"/>
        </w:rPr>
        <w:t xml:space="preserve"> </w:t>
      </w:r>
      <w:r>
        <w:rPr>
          <w:color w:val="231F20"/>
        </w:rPr>
        <w:t>of</w:t>
      </w:r>
      <w:r>
        <w:rPr>
          <w:color w:val="231F20"/>
          <w:spacing w:val="-4"/>
        </w:rPr>
        <w:t xml:space="preserve"> </w:t>
      </w:r>
      <w:r>
        <w:rPr>
          <w:color w:val="231F20"/>
        </w:rPr>
        <w:t>registered</w:t>
      </w:r>
      <w:r>
        <w:rPr>
          <w:color w:val="231F20"/>
          <w:spacing w:val="-5"/>
        </w:rPr>
        <w:t xml:space="preserve"> </w:t>
      </w:r>
      <w:r>
        <w:rPr>
          <w:color w:val="231F20"/>
        </w:rPr>
        <w:t>firearms</w:t>
      </w:r>
      <w:r>
        <w:rPr>
          <w:color w:val="231F20"/>
          <w:spacing w:val="-4"/>
        </w:rPr>
        <w:t xml:space="preserve"> </w:t>
      </w:r>
      <w:r>
        <w:rPr>
          <w:color w:val="231F20"/>
        </w:rPr>
        <w:t>and</w:t>
      </w:r>
      <w:r>
        <w:rPr>
          <w:color w:val="231F20"/>
          <w:spacing w:val="-5"/>
        </w:rPr>
        <w:t xml:space="preserve"> </w:t>
      </w:r>
      <w:r>
        <w:rPr>
          <w:color w:val="231F20"/>
        </w:rPr>
        <w:t>causing</w:t>
      </w:r>
      <w:r>
        <w:rPr>
          <w:color w:val="231F20"/>
          <w:spacing w:val="-5"/>
        </w:rPr>
        <w:t xml:space="preserve"> </w:t>
      </w:r>
      <w:r>
        <w:rPr>
          <w:color w:val="231F20"/>
        </w:rPr>
        <w:t>an</w:t>
      </w:r>
      <w:r>
        <w:rPr>
          <w:color w:val="231F20"/>
          <w:spacing w:val="-5"/>
        </w:rPr>
        <w:t xml:space="preserve"> </w:t>
      </w:r>
      <w:r>
        <w:rPr>
          <w:color w:val="231F20"/>
        </w:rPr>
        <w:t>explosion</w:t>
      </w:r>
      <w:r>
        <w:rPr>
          <w:color w:val="231F20"/>
          <w:spacing w:val="-5"/>
        </w:rPr>
        <w:t xml:space="preserve"> </w:t>
      </w:r>
      <w:r>
        <w:rPr>
          <w:color w:val="231F20"/>
        </w:rPr>
        <w:t>likely to endanger life. Four offenders were arrested after police executed a drug search warrant and discovered quantities of methylamphetamine, cannabis, weapons and cash. Without the</w:t>
      </w:r>
    </w:p>
    <w:p w14:paraId="2C905D27" w14:textId="77777777" w:rsidR="00345EE3" w:rsidRDefault="00345EE3" w:rsidP="00345EE3">
      <w:pPr>
        <w:pStyle w:val="BodyText"/>
        <w:spacing w:before="15" w:line="242" w:lineRule="auto"/>
        <w:ind w:right="848"/>
      </w:pPr>
      <w:r>
        <w:rPr>
          <w:color w:val="231F20"/>
        </w:rPr>
        <w:t>assistance</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community</w:t>
      </w:r>
      <w:r>
        <w:rPr>
          <w:color w:val="231F20"/>
          <w:spacing w:val="-12"/>
        </w:rPr>
        <w:t xml:space="preserve"> </w:t>
      </w:r>
      <w:r>
        <w:rPr>
          <w:color w:val="231F20"/>
        </w:rPr>
        <w:t>to</w:t>
      </w:r>
      <w:r>
        <w:rPr>
          <w:color w:val="231F20"/>
          <w:spacing w:val="-13"/>
        </w:rPr>
        <w:t xml:space="preserve"> </w:t>
      </w:r>
      <w:r>
        <w:rPr>
          <w:color w:val="231F20"/>
        </w:rPr>
        <w:t>provide</w:t>
      </w:r>
      <w:r>
        <w:rPr>
          <w:color w:val="231F20"/>
          <w:spacing w:val="-13"/>
        </w:rPr>
        <w:t xml:space="preserve"> </w:t>
      </w:r>
      <w:r>
        <w:rPr>
          <w:color w:val="231F20"/>
        </w:rPr>
        <w:t>key</w:t>
      </w:r>
      <w:r>
        <w:rPr>
          <w:color w:val="231F20"/>
          <w:spacing w:val="-12"/>
        </w:rPr>
        <w:t xml:space="preserve"> </w:t>
      </w:r>
      <w:r>
        <w:rPr>
          <w:color w:val="231F20"/>
        </w:rPr>
        <w:t>information,</w:t>
      </w:r>
      <w:r>
        <w:rPr>
          <w:color w:val="231F20"/>
          <w:spacing w:val="-12"/>
        </w:rPr>
        <w:t xml:space="preserve"> </w:t>
      </w:r>
      <w:r>
        <w:rPr>
          <w:color w:val="231F20"/>
        </w:rPr>
        <w:t>these</w:t>
      </w:r>
      <w:r>
        <w:rPr>
          <w:color w:val="231F20"/>
          <w:spacing w:val="-13"/>
        </w:rPr>
        <w:t xml:space="preserve"> </w:t>
      </w:r>
      <w:r>
        <w:rPr>
          <w:color w:val="231F20"/>
        </w:rPr>
        <w:t>investigations</w:t>
      </w:r>
      <w:r>
        <w:rPr>
          <w:color w:val="231F20"/>
          <w:spacing w:val="-12"/>
        </w:rPr>
        <w:t xml:space="preserve"> </w:t>
      </w:r>
      <w:r>
        <w:rPr>
          <w:color w:val="231F20"/>
        </w:rPr>
        <w:t>may</w:t>
      </w:r>
      <w:r>
        <w:rPr>
          <w:color w:val="231F20"/>
          <w:spacing w:val="-12"/>
        </w:rPr>
        <w:t xml:space="preserve"> </w:t>
      </w:r>
      <w:r>
        <w:rPr>
          <w:color w:val="231F20"/>
        </w:rPr>
        <w:t>have</w:t>
      </w:r>
      <w:r>
        <w:rPr>
          <w:color w:val="231F20"/>
          <w:spacing w:val="-13"/>
        </w:rPr>
        <w:t xml:space="preserve"> </w:t>
      </w:r>
      <w:r>
        <w:rPr>
          <w:color w:val="231F20"/>
        </w:rPr>
        <w:t>continued to go unsolved.</w:t>
      </w:r>
    </w:p>
    <w:p w14:paraId="3952723E" w14:textId="77777777" w:rsidR="00345EE3" w:rsidRDefault="00345EE3" w:rsidP="00345EE3">
      <w:pPr>
        <w:pStyle w:val="Heading5"/>
        <w:spacing w:before="173"/>
      </w:pPr>
      <w:r>
        <w:rPr>
          <w:color w:val="58595B"/>
        </w:rPr>
        <w:t>Brief</w:t>
      </w:r>
      <w:r>
        <w:rPr>
          <w:color w:val="58595B"/>
          <w:spacing w:val="-5"/>
        </w:rPr>
        <w:t xml:space="preserve"> </w:t>
      </w:r>
      <w:r>
        <w:rPr>
          <w:color w:val="58595B"/>
        </w:rPr>
        <w:t>of</w:t>
      </w:r>
      <w:r>
        <w:rPr>
          <w:color w:val="58595B"/>
          <w:spacing w:val="-3"/>
        </w:rPr>
        <w:t xml:space="preserve"> </w:t>
      </w:r>
      <w:r>
        <w:rPr>
          <w:color w:val="58595B"/>
        </w:rPr>
        <w:t>Evidence</w:t>
      </w:r>
      <w:r>
        <w:rPr>
          <w:color w:val="58595B"/>
          <w:spacing w:val="-3"/>
        </w:rPr>
        <w:t xml:space="preserve"> </w:t>
      </w:r>
      <w:r>
        <w:rPr>
          <w:color w:val="58595B"/>
        </w:rPr>
        <w:t>Disclosure</w:t>
      </w:r>
      <w:r>
        <w:rPr>
          <w:color w:val="58595B"/>
          <w:spacing w:val="-4"/>
        </w:rPr>
        <w:t xml:space="preserve"> </w:t>
      </w:r>
      <w:r>
        <w:rPr>
          <w:color w:val="58595B"/>
          <w:spacing w:val="-2"/>
        </w:rPr>
        <w:t>Service</w:t>
      </w:r>
    </w:p>
    <w:p w14:paraId="2AF57C88" w14:textId="77777777" w:rsidR="00345EE3" w:rsidRDefault="00345EE3" w:rsidP="00345EE3">
      <w:pPr>
        <w:pStyle w:val="BodyText"/>
        <w:spacing w:before="4" w:line="242" w:lineRule="auto"/>
        <w:ind w:right="1122"/>
      </w:pPr>
      <w:r>
        <w:rPr>
          <w:color w:val="231F20"/>
        </w:rPr>
        <w:t>In 2021–22, LSD initiated the Victoria Police Brief of Evidence Disclosure Service to meet the requirements</w:t>
      </w:r>
      <w:r>
        <w:rPr>
          <w:color w:val="231F20"/>
          <w:spacing w:val="-2"/>
        </w:rPr>
        <w:t xml:space="preserve"> </w:t>
      </w:r>
      <w:r>
        <w:rPr>
          <w:color w:val="231F20"/>
        </w:rPr>
        <w:t>under</w:t>
      </w:r>
      <w:r>
        <w:rPr>
          <w:color w:val="231F20"/>
          <w:spacing w:val="-2"/>
        </w:rPr>
        <w:t xml:space="preserve"> </w:t>
      </w:r>
      <w:r>
        <w:rPr>
          <w:color w:val="231F20"/>
        </w:rPr>
        <w:t>the</w:t>
      </w:r>
      <w:r>
        <w:rPr>
          <w:color w:val="231F20"/>
          <w:spacing w:val="-3"/>
        </w:rPr>
        <w:t xml:space="preserve"> </w:t>
      </w:r>
      <w:r>
        <w:rPr>
          <w:i/>
          <w:color w:val="231F20"/>
        </w:rPr>
        <w:t>Criminal</w:t>
      </w:r>
      <w:r>
        <w:rPr>
          <w:i/>
          <w:color w:val="231F20"/>
          <w:spacing w:val="-11"/>
        </w:rPr>
        <w:t xml:space="preserve"> </w:t>
      </w:r>
      <w:r>
        <w:rPr>
          <w:i/>
          <w:color w:val="231F20"/>
        </w:rPr>
        <w:t>Procedure</w:t>
      </w:r>
      <w:r>
        <w:rPr>
          <w:i/>
          <w:color w:val="231F20"/>
          <w:spacing w:val="-11"/>
        </w:rPr>
        <w:t xml:space="preserve"> </w:t>
      </w:r>
      <w:r>
        <w:rPr>
          <w:i/>
          <w:color w:val="231F20"/>
        </w:rPr>
        <w:t>Act</w:t>
      </w:r>
      <w:r>
        <w:rPr>
          <w:i/>
          <w:color w:val="231F20"/>
          <w:spacing w:val="-11"/>
        </w:rPr>
        <w:t xml:space="preserve"> </w:t>
      </w:r>
      <w:r>
        <w:rPr>
          <w:color w:val="231F20"/>
        </w:rPr>
        <w:t>2009,</w:t>
      </w:r>
      <w:r>
        <w:rPr>
          <w:color w:val="231F20"/>
          <w:spacing w:val="-2"/>
        </w:rPr>
        <w:t xml:space="preserve"> </w:t>
      </w:r>
      <w:r>
        <w:rPr>
          <w:color w:val="231F20"/>
        </w:rPr>
        <w:t>whereby</w:t>
      </w:r>
      <w:r>
        <w:rPr>
          <w:color w:val="231F20"/>
          <w:spacing w:val="-2"/>
        </w:rPr>
        <w:t xml:space="preserve"> </w:t>
      </w:r>
      <w:r>
        <w:rPr>
          <w:color w:val="231F20"/>
        </w:rPr>
        <w:t>police</w:t>
      </w:r>
      <w:r>
        <w:rPr>
          <w:color w:val="231F20"/>
          <w:spacing w:val="-3"/>
        </w:rPr>
        <w:t xml:space="preserve"> </w:t>
      </w:r>
      <w:r>
        <w:rPr>
          <w:color w:val="231F20"/>
        </w:rPr>
        <w:t>informants</w:t>
      </w:r>
      <w:r>
        <w:rPr>
          <w:color w:val="231F20"/>
          <w:spacing w:val="-2"/>
        </w:rPr>
        <w:t xml:space="preserve"> </w:t>
      </w:r>
      <w:r>
        <w:rPr>
          <w:color w:val="231F20"/>
        </w:rPr>
        <w:t>are</w:t>
      </w:r>
      <w:r>
        <w:rPr>
          <w:color w:val="231F20"/>
          <w:spacing w:val="-3"/>
        </w:rPr>
        <w:t xml:space="preserve"> </w:t>
      </w:r>
      <w:r>
        <w:rPr>
          <w:color w:val="231F20"/>
        </w:rPr>
        <w:t>required to disclose Briefs of Evidence (BoE) in a timely manner in summary criminal proceedings to an</w:t>
      </w:r>
      <w:r>
        <w:rPr>
          <w:color w:val="231F20"/>
          <w:spacing w:val="-11"/>
        </w:rPr>
        <w:t xml:space="preserve"> </w:t>
      </w:r>
      <w:r>
        <w:rPr>
          <w:color w:val="231F20"/>
        </w:rPr>
        <w:t>accused,</w:t>
      </w:r>
      <w:r>
        <w:rPr>
          <w:color w:val="231F20"/>
          <w:spacing w:val="-10"/>
        </w:rPr>
        <w:t xml:space="preserve"> </w:t>
      </w:r>
      <w:r>
        <w:rPr>
          <w:color w:val="231F20"/>
        </w:rPr>
        <w:t>or</w:t>
      </w:r>
      <w:r>
        <w:rPr>
          <w:color w:val="231F20"/>
          <w:spacing w:val="-10"/>
        </w:rPr>
        <w:t xml:space="preserve"> </w:t>
      </w:r>
      <w:r>
        <w:rPr>
          <w:color w:val="231F20"/>
        </w:rPr>
        <w:t>their</w:t>
      </w:r>
      <w:r>
        <w:rPr>
          <w:color w:val="231F20"/>
          <w:spacing w:val="-10"/>
        </w:rPr>
        <w:t xml:space="preserve"> </w:t>
      </w:r>
      <w:r>
        <w:rPr>
          <w:color w:val="231F20"/>
        </w:rPr>
        <w:t>legal</w:t>
      </w:r>
      <w:r>
        <w:rPr>
          <w:color w:val="231F20"/>
          <w:spacing w:val="-11"/>
        </w:rPr>
        <w:t xml:space="preserve"> </w:t>
      </w:r>
      <w:r>
        <w:rPr>
          <w:color w:val="231F20"/>
        </w:rPr>
        <w:t>representatives.</w:t>
      </w:r>
      <w:r>
        <w:rPr>
          <w:color w:val="231F20"/>
          <w:spacing w:val="-10"/>
        </w:rPr>
        <w:t xml:space="preserve"> </w:t>
      </w:r>
      <w:r>
        <w:rPr>
          <w:color w:val="231F20"/>
        </w:rPr>
        <w:t>The</w:t>
      </w:r>
      <w:r>
        <w:rPr>
          <w:color w:val="231F20"/>
          <w:spacing w:val="-11"/>
        </w:rPr>
        <w:t xml:space="preserve"> </w:t>
      </w:r>
      <w:r>
        <w:rPr>
          <w:color w:val="231F20"/>
        </w:rPr>
        <w:t>initiative</w:t>
      </w:r>
      <w:r>
        <w:rPr>
          <w:color w:val="231F20"/>
          <w:spacing w:val="-11"/>
        </w:rPr>
        <w:t xml:space="preserve"> </w:t>
      </w:r>
      <w:r>
        <w:rPr>
          <w:color w:val="231F20"/>
        </w:rPr>
        <w:t>introduced</w:t>
      </w:r>
      <w:r>
        <w:rPr>
          <w:color w:val="231F20"/>
          <w:spacing w:val="-11"/>
        </w:rPr>
        <w:t xml:space="preserve"> </w:t>
      </w:r>
      <w:r>
        <w:rPr>
          <w:color w:val="231F20"/>
        </w:rPr>
        <w:t>by</w:t>
      </w:r>
      <w:r>
        <w:rPr>
          <w:color w:val="231F20"/>
          <w:spacing w:val="-10"/>
        </w:rPr>
        <w:t xml:space="preserve"> </w:t>
      </w:r>
      <w:r>
        <w:rPr>
          <w:color w:val="231F20"/>
        </w:rPr>
        <w:t>Victoria</w:t>
      </w:r>
      <w:r>
        <w:rPr>
          <w:color w:val="231F20"/>
          <w:spacing w:val="-11"/>
        </w:rPr>
        <w:t xml:space="preserve"> </w:t>
      </w:r>
      <w:r>
        <w:rPr>
          <w:color w:val="231F20"/>
        </w:rPr>
        <w:t>Police,</w:t>
      </w:r>
      <w:r>
        <w:rPr>
          <w:color w:val="231F20"/>
          <w:spacing w:val="-10"/>
        </w:rPr>
        <w:t xml:space="preserve"> </w:t>
      </w:r>
      <w:r>
        <w:rPr>
          <w:color w:val="231F20"/>
        </w:rPr>
        <w:t>utilises</w:t>
      </w:r>
      <w:r>
        <w:rPr>
          <w:color w:val="231F20"/>
          <w:spacing w:val="-10"/>
        </w:rPr>
        <w:t xml:space="preserve"> </w:t>
      </w:r>
      <w:r>
        <w:rPr>
          <w:color w:val="231F20"/>
        </w:rPr>
        <w:t>a</w:t>
      </w:r>
    </w:p>
    <w:p w14:paraId="26B7363D" w14:textId="77777777" w:rsidR="00345EE3" w:rsidRDefault="00345EE3" w:rsidP="00345EE3">
      <w:pPr>
        <w:pStyle w:val="BodyText"/>
        <w:spacing w:before="5" w:line="242" w:lineRule="auto"/>
        <w:ind w:right="995"/>
      </w:pPr>
      <w:r>
        <w:rPr>
          <w:color w:val="231F20"/>
        </w:rPr>
        <w:t>Central</w:t>
      </w:r>
      <w:r>
        <w:rPr>
          <w:color w:val="231F20"/>
          <w:spacing w:val="-8"/>
        </w:rPr>
        <w:t xml:space="preserve"> </w:t>
      </w:r>
      <w:r>
        <w:rPr>
          <w:color w:val="231F20"/>
        </w:rPr>
        <w:t>Brief</w:t>
      </w:r>
      <w:r>
        <w:rPr>
          <w:color w:val="231F20"/>
          <w:spacing w:val="-7"/>
        </w:rPr>
        <w:t xml:space="preserve"> </w:t>
      </w:r>
      <w:r>
        <w:rPr>
          <w:color w:val="231F20"/>
        </w:rPr>
        <w:t>Storage</w:t>
      </w:r>
      <w:r>
        <w:rPr>
          <w:color w:val="231F20"/>
          <w:spacing w:val="-8"/>
        </w:rPr>
        <w:t xml:space="preserve"> </w:t>
      </w:r>
      <w:r>
        <w:rPr>
          <w:color w:val="231F20"/>
        </w:rPr>
        <w:t>System</w:t>
      </w:r>
      <w:r>
        <w:rPr>
          <w:color w:val="231F20"/>
          <w:spacing w:val="-7"/>
        </w:rPr>
        <w:t xml:space="preserve"> </w:t>
      </w:r>
      <w:r>
        <w:rPr>
          <w:color w:val="231F20"/>
        </w:rPr>
        <w:t>to</w:t>
      </w:r>
      <w:r>
        <w:rPr>
          <w:color w:val="231F20"/>
          <w:spacing w:val="-8"/>
        </w:rPr>
        <w:t xml:space="preserve"> </w:t>
      </w:r>
      <w:r>
        <w:rPr>
          <w:color w:val="231F20"/>
        </w:rPr>
        <w:t>provide</w:t>
      </w:r>
      <w:r>
        <w:rPr>
          <w:color w:val="231F20"/>
          <w:spacing w:val="-8"/>
        </w:rPr>
        <w:t xml:space="preserve"> </w:t>
      </w:r>
      <w:r>
        <w:rPr>
          <w:color w:val="231F20"/>
        </w:rPr>
        <w:t>swift</w:t>
      </w:r>
      <w:r>
        <w:rPr>
          <w:color w:val="231F20"/>
          <w:spacing w:val="-7"/>
        </w:rPr>
        <w:t xml:space="preserve"> </w:t>
      </w:r>
      <w:r>
        <w:rPr>
          <w:color w:val="231F20"/>
        </w:rPr>
        <w:t>access</w:t>
      </w:r>
      <w:r>
        <w:rPr>
          <w:color w:val="231F20"/>
          <w:spacing w:val="-7"/>
        </w:rPr>
        <w:t xml:space="preserve"> </w:t>
      </w:r>
      <w:r>
        <w:rPr>
          <w:color w:val="231F20"/>
        </w:rPr>
        <w:t>to</w:t>
      </w:r>
      <w:r>
        <w:rPr>
          <w:color w:val="231F20"/>
          <w:spacing w:val="-8"/>
        </w:rPr>
        <w:t xml:space="preserve"> </w:t>
      </w:r>
      <w:r>
        <w:rPr>
          <w:color w:val="231F20"/>
        </w:rPr>
        <w:t>BoE</w:t>
      </w:r>
      <w:r>
        <w:rPr>
          <w:color w:val="231F20"/>
          <w:spacing w:val="-7"/>
        </w:rPr>
        <w:t xml:space="preserve"> </w:t>
      </w:r>
      <w:r>
        <w:rPr>
          <w:color w:val="231F20"/>
        </w:rPr>
        <w:t>and</w:t>
      </w:r>
      <w:r>
        <w:rPr>
          <w:color w:val="231F20"/>
          <w:spacing w:val="-8"/>
        </w:rPr>
        <w:t xml:space="preserve"> </w:t>
      </w:r>
      <w:r>
        <w:rPr>
          <w:color w:val="231F20"/>
        </w:rPr>
        <w:t>to</w:t>
      </w:r>
      <w:r>
        <w:rPr>
          <w:color w:val="231F20"/>
          <w:spacing w:val="-8"/>
        </w:rPr>
        <w:t xml:space="preserve"> </w:t>
      </w:r>
      <w:r>
        <w:rPr>
          <w:color w:val="231F20"/>
        </w:rPr>
        <w:t>facilitate</w:t>
      </w:r>
      <w:r>
        <w:rPr>
          <w:color w:val="231F20"/>
          <w:spacing w:val="-8"/>
        </w:rPr>
        <w:t xml:space="preserve"> </w:t>
      </w:r>
      <w:r>
        <w:rPr>
          <w:color w:val="231F20"/>
        </w:rPr>
        <w:t>timely</w:t>
      </w:r>
      <w:r>
        <w:rPr>
          <w:color w:val="231F20"/>
          <w:spacing w:val="-7"/>
        </w:rPr>
        <w:t xml:space="preserve"> </w:t>
      </w:r>
      <w:r>
        <w:rPr>
          <w:color w:val="231F20"/>
        </w:rPr>
        <w:t>service.</w:t>
      </w:r>
      <w:r>
        <w:rPr>
          <w:color w:val="231F20"/>
          <w:spacing w:val="-7"/>
        </w:rPr>
        <w:t xml:space="preserve"> </w:t>
      </w:r>
      <w:r>
        <w:rPr>
          <w:color w:val="231F20"/>
        </w:rPr>
        <w:t>The service</w:t>
      </w:r>
      <w:r>
        <w:rPr>
          <w:color w:val="231F20"/>
          <w:spacing w:val="-8"/>
        </w:rPr>
        <w:t xml:space="preserve"> </w:t>
      </w:r>
      <w:r>
        <w:rPr>
          <w:color w:val="231F20"/>
        </w:rPr>
        <w:t>ensures</w:t>
      </w:r>
      <w:r>
        <w:rPr>
          <w:color w:val="231F20"/>
          <w:spacing w:val="-7"/>
        </w:rPr>
        <w:t xml:space="preserve"> </w:t>
      </w:r>
      <w:r>
        <w:rPr>
          <w:color w:val="231F20"/>
        </w:rPr>
        <w:t>that</w:t>
      </w:r>
      <w:r>
        <w:rPr>
          <w:color w:val="231F20"/>
          <w:spacing w:val="-7"/>
        </w:rPr>
        <w:t xml:space="preserve"> </w:t>
      </w:r>
      <w:r>
        <w:rPr>
          <w:color w:val="231F20"/>
        </w:rPr>
        <w:t>Victoria</w:t>
      </w:r>
      <w:r>
        <w:rPr>
          <w:color w:val="231F20"/>
          <w:spacing w:val="-8"/>
        </w:rPr>
        <w:t xml:space="preserve"> </w:t>
      </w:r>
      <w:r>
        <w:rPr>
          <w:color w:val="231F20"/>
        </w:rPr>
        <w:t>Police’s</w:t>
      </w:r>
      <w:r>
        <w:rPr>
          <w:color w:val="231F20"/>
          <w:spacing w:val="-7"/>
        </w:rPr>
        <w:t xml:space="preserve"> </w:t>
      </w:r>
      <w:r>
        <w:rPr>
          <w:color w:val="231F20"/>
        </w:rPr>
        <w:t>disclosure</w:t>
      </w:r>
      <w:r>
        <w:rPr>
          <w:color w:val="231F20"/>
          <w:spacing w:val="-8"/>
        </w:rPr>
        <w:t xml:space="preserve"> </w:t>
      </w:r>
      <w:r>
        <w:rPr>
          <w:color w:val="231F20"/>
        </w:rPr>
        <w:t>obligations</w:t>
      </w:r>
      <w:r>
        <w:rPr>
          <w:color w:val="231F20"/>
          <w:spacing w:val="-7"/>
        </w:rPr>
        <w:t xml:space="preserve"> </w:t>
      </w:r>
      <w:r>
        <w:rPr>
          <w:color w:val="231F20"/>
        </w:rPr>
        <w:t>are</w:t>
      </w:r>
      <w:r>
        <w:rPr>
          <w:color w:val="231F20"/>
          <w:spacing w:val="-8"/>
        </w:rPr>
        <w:t xml:space="preserve"> </w:t>
      </w:r>
      <w:r>
        <w:rPr>
          <w:color w:val="231F20"/>
        </w:rPr>
        <w:t>efficiently</w:t>
      </w:r>
      <w:r>
        <w:rPr>
          <w:color w:val="231F20"/>
          <w:spacing w:val="-7"/>
        </w:rPr>
        <w:t xml:space="preserve"> </w:t>
      </w:r>
      <w:r>
        <w:rPr>
          <w:color w:val="231F20"/>
        </w:rPr>
        <w:t>met</w:t>
      </w:r>
      <w:r>
        <w:rPr>
          <w:color w:val="231F20"/>
          <w:spacing w:val="-7"/>
        </w:rPr>
        <w:t xml:space="preserve"> </w:t>
      </w:r>
      <w:r>
        <w:rPr>
          <w:color w:val="231F20"/>
        </w:rPr>
        <w:t>and</w:t>
      </w:r>
      <w:r>
        <w:rPr>
          <w:color w:val="231F20"/>
          <w:spacing w:val="-8"/>
        </w:rPr>
        <w:t xml:space="preserve"> </w:t>
      </w:r>
      <w:r>
        <w:rPr>
          <w:color w:val="231F20"/>
        </w:rPr>
        <w:t>that</w:t>
      </w:r>
      <w:r>
        <w:rPr>
          <w:color w:val="231F20"/>
          <w:spacing w:val="-7"/>
        </w:rPr>
        <w:t xml:space="preserve"> </w:t>
      </w:r>
      <w:r>
        <w:rPr>
          <w:color w:val="231F20"/>
        </w:rPr>
        <w:t>accused persons can obtain timely legal advice and representation. This in turn provides opportunities for early engagement, consultation, and resolution – all of which assist to reduce backlogs and delays currently impacting the Courts. Recent statistics reveal that in more than 99 per cent of cases, the service responds to a request for a BoE within 30 minutes of receipt.</w:t>
      </w:r>
    </w:p>
    <w:p w14:paraId="5DA88AEA" w14:textId="77777777" w:rsidR="00345EE3" w:rsidRDefault="00345EE3" w:rsidP="00345EE3">
      <w:pPr>
        <w:pStyle w:val="BodyText"/>
        <w:spacing w:before="62" w:line="242" w:lineRule="auto"/>
        <w:ind w:right="1141"/>
      </w:pPr>
      <w:r>
        <w:rPr>
          <w:color w:val="231F20"/>
        </w:rPr>
        <w:t>The Brief of Evidence Disclosure Service initiative has fundamentally supported justice stakeholders,</w:t>
      </w:r>
      <w:r>
        <w:rPr>
          <w:color w:val="231F20"/>
          <w:spacing w:val="-6"/>
        </w:rPr>
        <w:t xml:space="preserve"> </w:t>
      </w:r>
      <w:r>
        <w:rPr>
          <w:color w:val="231F20"/>
        </w:rPr>
        <w:t>particularly</w:t>
      </w:r>
      <w:r>
        <w:rPr>
          <w:color w:val="231F20"/>
          <w:spacing w:val="-6"/>
        </w:rPr>
        <w:t xml:space="preserve"> </w:t>
      </w:r>
      <w:r>
        <w:rPr>
          <w:color w:val="231F20"/>
        </w:rPr>
        <w:t>Victoria</w:t>
      </w:r>
      <w:r>
        <w:rPr>
          <w:color w:val="231F20"/>
          <w:spacing w:val="-7"/>
        </w:rPr>
        <w:t xml:space="preserve"> </w:t>
      </w:r>
      <w:r>
        <w:rPr>
          <w:color w:val="231F20"/>
        </w:rPr>
        <w:t>Legal</w:t>
      </w:r>
      <w:r>
        <w:rPr>
          <w:color w:val="231F20"/>
          <w:spacing w:val="-7"/>
        </w:rPr>
        <w:t xml:space="preserve"> </w:t>
      </w:r>
      <w:r>
        <w:rPr>
          <w:color w:val="231F20"/>
        </w:rPr>
        <w:t>Aid</w:t>
      </w:r>
      <w:r>
        <w:rPr>
          <w:color w:val="231F20"/>
          <w:spacing w:val="-7"/>
        </w:rPr>
        <w:t xml:space="preserve"> </w:t>
      </w:r>
      <w:r>
        <w:rPr>
          <w:color w:val="231F20"/>
        </w:rPr>
        <w:t>Help</w:t>
      </w:r>
      <w:r>
        <w:rPr>
          <w:color w:val="231F20"/>
          <w:spacing w:val="-7"/>
        </w:rPr>
        <w:t xml:space="preserve"> </w:t>
      </w:r>
      <w:r>
        <w:rPr>
          <w:color w:val="231F20"/>
        </w:rPr>
        <w:t>Before</w:t>
      </w:r>
      <w:r>
        <w:rPr>
          <w:color w:val="231F20"/>
          <w:spacing w:val="-7"/>
        </w:rPr>
        <w:t xml:space="preserve"> </w:t>
      </w:r>
      <w:r>
        <w:rPr>
          <w:color w:val="231F20"/>
        </w:rPr>
        <w:t>Court</w:t>
      </w:r>
      <w:r>
        <w:rPr>
          <w:color w:val="231F20"/>
          <w:spacing w:val="-6"/>
        </w:rPr>
        <w:t xml:space="preserve"> </w:t>
      </w:r>
      <w:r>
        <w:rPr>
          <w:color w:val="231F20"/>
        </w:rPr>
        <w:t>initiative,</w:t>
      </w:r>
      <w:r>
        <w:rPr>
          <w:color w:val="231F20"/>
          <w:spacing w:val="-6"/>
        </w:rPr>
        <w:t xml:space="preserve"> </w:t>
      </w:r>
      <w:r>
        <w:rPr>
          <w:color w:val="231F20"/>
        </w:rPr>
        <w:t>which</w:t>
      </w:r>
      <w:r>
        <w:rPr>
          <w:color w:val="231F20"/>
          <w:spacing w:val="-7"/>
        </w:rPr>
        <w:t xml:space="preserve"> </w:t>
      </w:r>
      <w:r>
        <w:rPr>
          <w:color w:val="231F20"/>
        </w:rPr>
        <w:t>was</w:t>
      </w:r>
      <w:r>
        <w:rPr>
          <w:color w:val="231F20"/>
          <w:spacing w:val="-6"/>
        </w:rPr>
        <w:t xml:space="preserve"> </w:t>
      </w:r>
      <w:r>
        <w:rPr>
          <w:color w:val="231F20"/>
        </w:rPr>
        <w:t>introduced in</w:t>
      </w:r>
      <w:r>
        <w:rPr>
          <w:color w:val="231F20"/>
          <w:spacing w:val="-8"/>
        </w:rPr>
        <w:t xml:space="preserve"> </w:t>
      </w:r>
      <w:r>
        <w:rPr>
          <w:color w:val="231F20"/>
        </w:rPr>
        <w:t>2020</w:t>
      </w:r>
      <w:r>
        <w:rPr>
          <w:color w:val="231F20"/>
          <w:spacing w:val="-8"/>
        </w:rPr>
        <w:t xml:space="preserve"> </w:t>
      </w:r>
      <w:r>
        <w:rPr>
          <w:color w:val="231F20"/>
        </w:rPr>
        <w:t>to</w:t>
      </w:r>
      <w:r>
        <w:rPr>
          <w:color w:val="231F20"/>
          <w:spacing w:val="-8"/>
        </w:rPr>
        <w:t xml:space="preserve"> </w:t>
      </w:r>
      <w:r>
        <w:rPr>
          <w:color w:val="231F20"/>
        </w:rPr>
        <w:t>enable</w:t>
      </w:r>
      <w:r>
        <w:rPr>
          <w:color w:val="231F20"/>
          <w:spacing w:val="-8"/>
        </w:rPr>
        <w:t xml:space="preserve"> </w:t>
      </w:r>
      <w:r>
        <w:rPr>
          <w:color w:val="231F20"/>
        </w:rPr>
        <w:t>accused</w:t>
      </w:r>
      <w:r>
        <w:rPr>
          <w:color w:val="231F20"/>
          <w:spacing w:val="-8"/>
        </w:rPr>
        <w:t xml:space="preserve"> </w:t>
      </w:r>
      <w:r>
        <w:rPr>
          <w:color w:val="231F20"/>
        </w:rPr>
        <w:t>persons</w:t>
      </w:r>
      <w:r>
        <w:rPr>
          <w:color w:val="231F20"/>
          <w:spacing w:val="-7"/>
        </w:rPr>
        <w:t xml:space="preserve"> </w:t>
      </w:r>
      <w:r>
        <w:rPr>
          <w:color w:val="231F20"/>
        </w:rPr>
        <w:t>timely</w:t>
      </w:r>
      <w:r>
        <w:rPr>
          <w:color w:val="231F20"/>
          <w:spacing w:val="-7"/>
        </w:rPr>
        <w:t xml:space="preserve"> </w:t>
      </w:r>
      <w:r>
        <w:rPr>
          <w:color w:val="231F20"/>
        </w:rPr>
        <w:t>access</w:t>
      </w:r>
      <w:r>
        <w:rPr>
          <w:color w:val="231F20"/>
          <w:spacing w:val="-7"/>
        </w:rPr>
        <w:t xml:space="preserve"> </w:t>
      </w:r>
      <w:r>
        <w:rPr>
          <w:color w:val="231F20"/>
        </w:rPr>
        <w:t>to</w:t>
      </w:r>
      <w:r>
        <w:rPr>
          <w:color w:val="231F20"/>
          <w:spacing w:val="-8"/>
        </w:rPr>
        <w:t xml:space="preserve"> </w:t>
      </w:r>
      <w:r>
        <w:rPr>
          <w:color w:val="231F20"/>
        </w:rPr>
        <w:t>legal</w:t>
      </w:r>
      <w:r>
        <w:rPr>
          <w:color w:val="231F20"/>
          <w:spacing w:val="-8"/>
        </w:rPr>
        <w:t xml:space="preserve"> </w:t>
      </w:r>
      <w:r>
        <w:rPr>
          <w:color w:val="231F20"/>
        </w:rPr>
        <w:t>assistance</w:t>
      </w:r>
      <w:r>
        <w:rPr>
          <w:color w:val="231F20"/>
          <w:spacing w:val="-8"/>
        </w:rPr>
        <w:t xml:space="preserve"> </w:t>
      </w:r>
      <w:r>
        <w:rPr>
          <w:color w:val="231F20"/>
        </w:rPr>
        <w:t>prior</w:t>
      </w:r>
      <w:r>
        <w:rPr>
          <w:color w:val="231F20"/>
          <w:spacing w:val="-7"/>
        </w:rPr>
        <w:t xml:space="preserve"> </w:t>
      </w:r>
      <w:r>
        <w:rPr>
          <w:color w:val="231F20"/>
        </w:rPr>
        <w:t>to</w:t>
      </w:r>
      <w:r>
        <w:rPr>
          <w:color w:val="231F20"/>
          <w:spacing w:val="-8"/>
        </w:rPr>
        <w:t xml:space="preserve"> </w:t>
      </w:r>
      <w:r>
        <w:rPr>
          <w:color w:val="231F20"/>
        </w:rPr>
        <w:t>appearing</w:t>
      </w:r>
      <w:r>
        <w:rPr>
          <w:color w:val="231F20"/>
          <w:spacing w:val="-8"/>
        </w:rPr>
        <w:t xml:space="preserve"> </w:t>
      </w:r>
      <w:r>
        <w:rPr>
          <w:color w:val="231F20"/>
        </w:rPr>
        <w:t>before a court. Critically, the service has been essential in supporting Victoria Police, and its justice partners and stakeholders during the COVID-19 pandemic.</w:t>
      </w:r>
    </w:p>
    <w:p w14:paraId="25E61B29" w14:textId="77777777" w:rsidR="00345EE3" w:rsidRDefault="00345EE3" w:rsidP="00345EE3">
      <w:pPr>
        <w:pStyle w:val="Heading5"/>
        <w:spacing w:before="177"/>
      </w:pPr>
      <w:r>
        <w:rPr>
          <w:color w:val="58595B"/>
        </w:rPr>
        <w:t>Victoria</w:t>
      </w:r>
      <w:r>
        <w:rPr>
          <w:color w:val="58595B"/>
          <w:spacing w:val="-4"/>
        </w:rPr>
        <w:t xml:space="preserve"> </w:t>
      </w:r>
      <w:r>
        <w:rPr>
          <w:color w:val="58595B"/>
        </w:rPr>
        <w:t>Police</w:t>
      </w:r>
      <w:r>
        <w:rPr>
          <w:color w:val="58595B"/>
          <w:spacing w:val="-2"/>
        </w:rPr>
        <w:t xml:space="preserve"> </w:t>
      </w:r>
      <w:r>
        <w:rPr>
          <w:color w:val="58595B"/>
        </w:rPr>
        <w:t>Road</w:t>
      </w:r>
      <w:r>
        <w:rPr>
          <w:color w:val="58595B"/>
          <w:spacing w:val="-3"/>
        </w:rPr>
        <w:t xml:space="preserve"> </w:t>
      </w:r>
      <w:r>
        <w:rPr>
          <w:color w:val="58595B"/>
        </w:rPr>
        <w:t>Safety</w:t>
      </w:r>
      <w:r>
        <w:rPr>
          <w:color w:val="58595B"/>
          <w:spacing w:val="-2"/>
        </w:rPr>
        <w:t xml:space="preserve"> </w:t>
      </w:r>
      <w:r>
        <w:rPr>
          <w:color w:val="58595B"/>
        </w:rPr>
        <w:t>Strategy</w:t>
      </w:r>
      <w:r>
        <w:rPr>
          <w:color w:val="58595B"/>
          <w:spacing w:val="-2"/>
        </w:rPr>
        <w:t xml:space="preserve"> </w:t>
      </w:r>
      <w:r>
        <w:rPr>
          <w:color w:val="58595B"/>
        </w:rPr>
        <w:t>July</w:t>
      </w:r>
      <w:r>
        <w:rPr>
          <w:color w:val="58595B"/>
          <w:spacing w:val="-3"/>
        </w:rPr>
        <w:t xml:space="preserve"> </w:t>
      </w:r>
      <w:r>
        <w:rPr>
          <w:color w:val="58595B"/>
        </w:rPr>
        <w:t>2021</w:t>
      </w:r>
      <w:r>
        <w:rPr>
          <w:color w:val="58595B"/>
          <w:spacing w:val="-3"/>
        </w:rPr>
        <w:t xml:space="preserve"> </w:t>
      </w:r>
      <w:r>
        <w:rPr>
          <w:color w:val="58595B"/>
        </w:rPr>
        <w:t>–</w:t>
      </w:r>
      <w:r>
        <w:rPr>
          <w:color w:val="58595B"/>
          <w:spacing w:val="-3"/>
        </w:rPr>
        <w:t xml:space="preserve"> </w:t>
      </w:r>
      <w:r>
        <w:rPr>
          <w:color w:val="58595B"/>
        </w:rPr>
        <w:t>June</w:t>
      </w:r>
      <w:r>
        <w:rPr>
          <w:color w:val="58595B"/>
          <w:spacing w:val="-2"/>
        </w:rPr>
        <w:t xml:space="preserve"> </w:t>
      </w:r>
      <w:r>
        <w:rPr>
          <w:color w:val="58595B"/>
          <w:spacing w:val="-4"/>
        </w:rPr>
        <w:t>2024</w:t>
      </w:r>
    </w:p>
    <w:p w14:paraId="07ACB9CE" w14:textId="77777777" w:rsidR="00345EE3" w:rsidRDefault="00345EE3" w:rsidP="00345EE3">
      <w:pPr>
        <w:pStyle w:val="BodyText"/>
        <w:spacing w:before="4" w:line="242" w:lineRule="auto"/>
        <w:ind w:right="921"/>
      </w:pPr>
      <w:r>
        <w:rPr>
          <w:color w:val="231F20"/>
        </w:rPr>
        <w:t>RPC</w:t>
      </w:r>
      <w:r>
        <w:rPr>
          <w:color w:val="231F20"/>
          <w:spacing w:val="-1"/>
        </w:rPr>
        <w:t xml:space="preserve"> </w:t>
      </w:r>
      <w:r>
        <w:rPr>
          <w:color w:val="231F20"/>
        </w:rPr>
        <w:t>continues to</w:t>
      </w:r>
      <w:r>
        <w:rPr>
          <w:color w:val="231F20"/>
          <w:spacing w:val="-1"/>
        </w:rPr>
        <w:t xml:space="preserve"> </w:t>
      </w:r>
      <w:r>
        <w:rPr>
          <w:color w:val="231F20"/>
        </w:rPr>
        <w:t>work with</w:t>
      </w:r>
      <w:r>
        <w:rPr>
          <w:color w:val="231F20"/>
          <w:spacing w:val="-1"/>
        </w:rPr>
        <w:t xml:space="preserve"> </w:t>
      </w:r>
      <w:r>
        <w:rPr>
          <w:color w:val="231F20"/>
        </w:rPr>
        <w:t>its Road</w:t>
      </w:r>
      <w:r>
        <w:rPr>
          <w:color w:val="231F20"/>
          <w:spacing w:val="-1"/>
        </w:rPr>
        <w:t xml:space="preserve"> </w:t>
      </w:r>
      <w:r>
        <w:rPr>
          <w:color w:val="231F20"/>
        </w:rPr>
        <w:t>Safety Partners and</w:t>
      </w:r>
      <w:r>
        <w:rPr>
          <w:color w:val="231F20"/>
          <w:spacing w:val="-1"/>
        </w:rPr>
        <w:t xml:space="preserve"> </w:t>
      </w:r>
      <w:r>
        <w:rPr>
          <w:color w:val="231F20"/>
        </w:rPr>
        <w:t>the</w:t>
      </w:r>
      <w:r>
        <w:rPr>
          <w:color w:val="231F20"/>
          <w:spacing w:val="-1"/>
        </w:rPr>
        <w:t xml:space="preserve"> </w:t>
      </w:r>
      <w:r>
        <w:rPr>
          <w:color w:val="231F20"/>
        </w:rPr>
        <w:t>Victorian</w:t>
      </w:r>
      <w:r>
        <w:rPr>
          <w:color w:val="231F20"/>
          <w:spacing w:val="-1"/>
        </w:rPr>
        <w:t xml:space="preserve"> </w:t>
      </w:r>
      <w:r>
        <w:rPr>
          <w:color w:val="231F20"/>
        </w:rPr>
        <w:t>community to</w:t>
      </w:r>
      <w:r>
        <w:rPr>
          <w:color w:val="231F20"/>
          <w:spacing w:val="-1"/>
        </w:rPr>
        <w:t xml:space="preserve"> </w:t>
      </w:r>
      <w:r>
        <w:rPr>
          <w:color w:val="231F20"/>
        </w:rPr>
        <w:t>keep</w:t>
      </w:r>
      <w:r>
        <w:rPr>
          <w:color w:val="231F20"/>
          <w:spacing w:val="-1"/>
        </w:rPr>
        <w:t xml:space="preserve"> </w:t>
      </w:r>
      <w:r>
        <w:rPr>
          <w:color w:val="231F20"/>
        </w:rPr>
        <w:t xml:space="preserve">our </w:t>
      </w:r>
      <w:r>
        <w:rPr>
          <w:color w:val="231F20"/>
          <w:spacing w:val="-2"/>
        </w:rPr>
        <w:t>roads</w:t>
      </w:r>
      <w:r>
        <w:rPr>
          <w:color w:val="231F20"/>
          <w:spacing w:val="-10"/>
        </w:rPr>
        <w:t xml:space="preserve"> </w:t>
      </w:r>
      <w:r>
        <w:rPr>
          <w:color w:val="231F20"/>
          <w:spacing w:val="-2"/>
        </w:rPr>
        <w:t>safe.</w:t>
      </w:r>
      <w:r>
        <w:rPr>
          <w:color w:val="231F20"/>
          <w:spacing w:val="-7"/>
        </w:rPr>
        <w:t xml:space="preserve"> </w:t>
      </w:r>
      <w:r>
        <w:rPr>
          <w:color w:val="231F20"/>
          <w:spacing w:val="-2"/>
        </w:rPr>
        <w:t>In</w:t>
      </w:r>
      <w:r>
        <w:rPr>
          <w:color w:val="231F20"/>
          <w:spacing w:val="-8"/>
        </w:rPr>
        <w:t xml:space="preserve"> </w:t>
      </w:r>
      <w:r>
        <w:rPr>
          <w:color w:val="231F20"/>
          <w:spacing w:val="-2"/>
        </w:rPr>
        <w:t>2021–22,</w:t>
      </w:r>
      <w:r>
        <w:rPr>
          <w:color w:val="231F20"/>
          <w:spacing w:val="-7"/>
        </w:rPr>
        <w:t xml:space="preserve"> </w:t>
      </w:r>
      <w:r>
        <w:rPr>
          <w:color w:val="231F20"/>
          <w:spacing w:val="-2"/>
        </w:rPr>
        <w:t>RPC</w:t>
      </w:r>
      <w:r>
        <w:rPr>
          <w:color w:val="231F20"/>
          <w:spacing w:val="-8"/>
        </w:rPr>
        <w:t xml:space="preserve"> </w:t>
      </w:r>
      <w:r>
        <w:rPr>
          <w:color w:val="231F20"/>
          <w:spacing w:val="-2"/>
        </w:rPr>
        <w:t>released</w:t>
      </w:r>
      <w:r>
        <w:rPr>
          <w:color w:val="231F20"/>
          <w:spacing w:val="-8"/>
        </w:rPr>
        <w:t xml:space="preserve"> </w:t>
      </w:r>
      <w:r>
        <w:rPr>
          <w:color w:val="231F20"/>
          <w:spacing w:val="-2"/>
        </w:rPr>
        <w:t>the</w:t>
      </w:r>
      <w:r>
        <w:rPr>
          <w:color w:val="231F20"/>
          <w:spacing w:val="-8"/>
        </w:rPr>
        <w:t xml:space="preserve"> </w:t>
      </w:r>
      <w:r>
        <w:rPr>
          <w:i/>
          <w:color w:val="231F20"/>
          <w:spacing w:val="-2"/>
        </w:rPr>
        <w:t>Victoria</w:t>
      </w:r>
      <w:r>
        <w:rPr>
          <w:i/>
          <w:color w:val="231F20"/>
          <w:spacing w:val="-15"/>
        </w:rPr>
        <w:t xml:space="preserve"> </w:t>
      </w:r>
      <w:r>
        <w:rPr>
          <w:i/>
          <w:color w:val="231F20"/>
          <w:spacing w:val="-2"/>
        </w:rPr>
        <w:t>Police</w:t>
      </w:r>
      <w:r>
        <w:rPr>
          <w:i/>
          <w:color w:val="231F20"/>
          <w:spacing w:val="-15"/>
        </w:rPr>
        <w:t xml:space="preserve"> </w:t>
      </w:r>
      <w:r>
        <w:rPr>
          <w:i/>
          <w:color w:val="231F20"/>
          <w:spacing w:val="-2"/>
        </w:rPr>
        <w:t>Road</w:t>
      </w:r>
      <w:r>
        <w:rPr>
          <w:i/>
          <w:color w:val="231F20"/>
          <w:spacing w:val="-14"/>
        </w:rPr>
        <w:t xml:space="preserve"> </w:t>
      </w:r>
      <w:r>
        <w:rPr>
          <w:i/>
          <w:color w:val="231F20"/>
          <w:spacing w:val="-2"/>
        </w:rPr>
        <w:t>Safety</w:t>
      </w:r>
      <w:r>
        <w:rPr>
          <w:i/>
          <w:color w:val="231F20"/>
          <w:spacing w:val="-15"/>
        </w:rPr>
        <w:t xml:space="preserve"> </w:t>
      </w:r>
      <w:r>
        <w:rPr>
          <w:i/>
          <w:color w:val="231F20"/>
          <w:spacing w:val="-2"/>
        </w:rPr>
        <w:t>Strategy</w:t>
      </w:r>
      <w:r>
        <w:rPr>
          <w:i/>
          <w:color w:val="231F20"/>
          <w:spacing w:val="-15"/>
        </w:rPr>
        <w:t xml:space="preserve"> </w:t>
      </w:r>
      <w:r>
        <w:rPr>
          <w:i/>
          <w:color w:val="231F20"/>
          <w:spacing w:val="-2"/>
        </w:rPr>
        <w:t>July</w:t>
      </w:r>
      <w:r>
        <w:rPr>
          <w:i/>
          <w:color w:val="231F20"/>
          <w:spacing w:val="-15"/>
        </w:rPr>
        <w:t xml:space="preserve"> </w:t>
      </w:r>
      <w:r>
        <w:rPr>
          <w:i/>
          <w:color w:val="231F20"/>
          <w:spacing w:val="-2"/>
        </w:rPr>
        <w:t>2021</w:t>
      </w:r>
      <w:r>
        <w:rPr>
          <w:i/>
          <w:color w:val="231F20"/>
          <w:spacing w:val="-14"/>
        </w:rPr>
        <w:t xml:space="preserve"> </w:t>
      </w:r>
      <w:r>
        <w:rPr>
          <w:i/>
          <w:color w:val="231F20"/>
          <w:spacing w:val="-2"/>
        </w:rPr>
        <w:t>–</w:t>
      </w:r>
      <w:r>
        <w:rPr>
          <w:i/>
          <w:color w:val="231F20"/>
          <w:spacing w:val="-15"/>
        </w:rPr>
        <w:t xml:space="preserve"> </w:t>
      </w:r>
      <w:r>
        <w:rPr>
          <w:i/>
          <w:color w:val="231F20"/>
          <w:spacing w:val="-2"/>
        </w:rPr>
        <w:t xml:space="preserve">June </w:t>
      </w:r>
      <w:r>
        <w:rPr>
          <w:i/>
          <w:color w:val="231F20"/>
        </w:rPr>
        <w:t>2024</w:t>
      </w:r>
      <w:r>
        <w:rPr>
          <w:color w:val="231F20"/>
        </w:rPr>
        <w:t>, recognising the importance of actively contributing to a strong road safety culture. The strategy targets intentional high-risk driving, rural roads, speed, impaired driving, wearing of seatbelts and restraints, distraction and unauthorised driving.</w:t>
      </w:r>
    </w:p>
    <w:p w14:paraId="0860D960" w14:textId="77777777" w:rsidR="00345EE3" w:rsidRDefault="00345EE3" w:rsidP="00345EE3">
      <w:pPr>
        <w:pStyle w:val="Heading5"/>
        <w:spacing w:before="176"/>
      </w:pPr>
      <w:r>
        <w:rPr>
          <w:color w:val="58595B"/>
        </w:rPr>
        <w:t>Focus</w:t>
      </w:r>
      <w:r>
        <w:rPr>
          <w:color w:val="58595B"/>
          <w:spacing w:val="-3"/>
        </w:rPr>
        <w:t xml:space="preserve"> </w:t>
      </w:r>
      <w:r>
        <w:rPr>
          <w:color w:val="58595B"/>
        </w:rPr>
        <w:t>on</w:t>
      </w:r>
      <w:r>
        <w:rPr>
          <w:color w:val="58595B"/>
          <w:spacing w:val="-3"/>
        </w:rPr>
        <w:t xml:space="preserve"> </w:t>
      </w:r>
      <w:r>
        <w:rPr>
          <w:color w:val="58595B"/>
        </w:rPr>
        <w:t>Drug</w:t>
      </w:r>
      <w:r>
        <w:rPr>
          <w:color w:val="58595B"/>
          <w:spacing w:val="-12"/>
        </w:rPr>
        <w:t xml:space="preserve"> </w:t>
      </w:r>
      <w:r>
        <w:rPr>
          <w:color w:val="58595B"/>
        </w:rPr>
        <w:t>Affected</w:t>
      </w:r>
      <w:r>
        <w:rPr>
          <w:color w:val="58595B"/>
          <w:spacing w:val="-3"/>
        </w:rPr>
        <w:t xml:space="preserve"> </w:t>
      </w:r>
      <w:r>
        <w:rPr>
          <w:color w:val="58595B"/>
          <w:spacing w:val="-2"/>
        </w:rPr>
        <w:t>Drivers</w:t>
      </w:r>
    </w:p>
    <w:p w14:paraId="067FDA92" w14:textId="77777777" w:rsidR="00345EE3" w:rsidRDefault="00345EE3" w:rsidP="00345EE3">
      <w:pPr>
        <w:pStyle w:val="BodyText"/>
        <w:spacing w:before="4" w:line="242" w:lineRule="auto"/>
        <w:ind w:right="921"/>
      </w:pPr>
      <w:r>
        <w:rPr>
          <w:color w:val="231F20"/>
        </w:rPr>
        <w:t>Removing impaired drivers from the roads is a major focus for RPC, with analysis showing that drug affected drivers involved in road trauma is increasing. The total number of drug driving- related collisions in 2021–22 was 12.5 per cent higher than the five-year average. RPC is continuing</w:t>
      </w:r>
      <w:r>
        <w:rPr>
          <w:color w:val="231F20"/>
          <w:spacing w:val="-9"/>
        </w:rPr>
        <w:t xml:space="preserve"> </w:t>
      </w:r>
      <w:r>
        <w:rPr>
          <w:color w:val="231F20"/>
        </w:rPr>
        <w:t>to</w:t>
      </w:r>
      <w:r>
        <w:rPr>
          <w:color w:val="231F20"/>
          <w:spacing w:val="-9"/>
        </w:rPr>
        <w:t xml:space="preserve"> </w:t>
      </w:r>
      <w:r>
        <w:rPr>
          <w:color w:val="231F20"/>
        </w:rPr>
        <w:t>build</w:t>
      </w:r>
      <w:r>
        <w:rPr>
          <w:color w:val="231F20"/>
          <w:spacing w:val="-9"/>
        </w:rPr>
        <w:t xml:space="preserve"> </w:t>
      </w:r>
      <w:r>
        <w:rPr>
          <w:color w:val="231F20"/>
        </w:rPr>
        <w:t>the</w:t>
      </w:r>
      <w:r>
        <w:rPr>
          <w:color w:val="231F20"/>
          <w:spacing w:val="-9"/>
        </w:rPr>
        <w:t xml:space="preserve"> </w:t>
      </w:r>
      <w:r>
        <w:rPr>
          <w:color w:val="231F20"/>
        </w:rPr>
        <w:t>capacity</w:t>
      </w:r>
      <w:r>
        <w:rPr>
          <w:color w:val="231F20"/>
          <w:spacing w:val="-8"/>
        </w:rPr>
        <w:t xml:space="preserve"> </w:t>
      </w:r>
      <w:r>
        <w:rPr>
          <w:color w:val="231F20"/>
        </w:rPr>
        <w:t>and</w:t>
      </w:r>
      <w:r>
        <w:rPr>
          <w:color w:val="231F20"/>
          <w:spacing w:val="-9"/>
        </w:rPr>
        <w:t xml:space="preserve"> </w:t>
      </w:r>
      <w:r>
        <w:rPr>
          <w:color w:val="231F20"/>
        </w:rPr>
        <w:t>capability</w:t>
      </w:r>
      <w:r>
        <w:rPr>
          <w:color w:val="231F20"/>
          <w:spacing w:val="-8"/>
        </w:rPr>
        <w:t xml:space="preserve"> </w:t>
      </w:r>
      <w:r>
        <w:rPr>
          <w:color w:val="231F20"/>
        </w:rPr>
        <w:t>of</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to</w:t>
      </w:r>
      <w:r>
        <w:rPr>
          <w:color w:val="231F20"/>
          <w:spacing w:val="-9"/>
        </w:rPr>
        <w:t xml:space="preserve"> </w:t>
      </w:r>
      <w:r>
        <w:rPr>
          <w:color w:val="231F20"/>
        </w:rPr>
        <w:t>detect</w:t>
      </w:r>
      <w:r>
        <w:rPr>
          <w:color w:val="231F20"/>
          <w:spacing w:val="-8"/>
        </w:rPr>
        <w:t xml:space="preserve"> </w:t>
      </w:r>
      <w:r>
        <w:rPr>
          <w:color w:val="231F20"/>
        </w:rPr>
        <w:t>and</w:t>
      </w:r>
      <w:r>
        <w:rPr>
          <w:color w:val="231F20"/>
          <w:spacing w:val="-9"/>
        </w:rPr>
        <w:t xml:space="preserve"> </w:t>
      </w:r>
      <w:r>
        <w:rPr>
          <w:color w:val="231F20"/>
        </w:rPr>
        <w:t>remove</w:t>
      </w:r>
      <w:r>
        <w:rPr>
          <w:color w:val="231F20"/>
          <w:spacing w:val="-9"/>
        </w:rPr>
        <w:t xml:space="preserve"> </w:t>
      </w:r>
      <w:r>
        <w:rPr>
          <w:color w:val="231F20"/>
        </w:rPr>
        <w:t>dangerous drivers from our roads through the Roadside Drug Testing (RDT) trials and expanding the number</w:t>
      </w:r>
      <w:r>
        <w:rPr>
          <w:color w:val="231F20"/>
          <w:spacing w:val="-4"/>
        </w:rPr>
        <w:t xml:space="preserve"> </w:t>
      </w:r>
      <w:r>
        <w:rPr>
          <w:color w:val="231F20"/>
        </w:rPr>
        <w:t>of</w:t>
      </w:r>
      <w:r>
        <w:rPr>
          <w:color w:val="231F20"/>
          <w:spacing w:val="-4"/>
        </w:rPr>
        <w:t xml:space="preserve"> </w:t>
      </w:r>
      <w:r>
        <w:rPr>
          <w:color w:val="231F20"/>
        </w:rPr>
        <w:t>approved</w:t>
      </w:r>
      <w:r>
        <w:rPr>
          <w:color w:val="231F20"/>
          <w:spacing w:val="-5"/>
        </w:rPr>
        <w:t xml:space="preserve"> </w:t>
      </w:r>
      <w:r>
        <w:rPr>
          <w:color w:val="231F20"/>
        </w:rPr>
        <w:t>work</w:t>
      </w:r>
      <w:r>
        <w:rPr>
          <w:color w:val="231F20"/>
          <w:spacing w:val="-4"/>
        </w:rPr>
        <w:t xml:space="preserve"> </w:t>
      </w:r>
      <w:r>
        <w:rPr>
          <w:color w:val="231F20"/>
        </w:rPr>
        <w:t>locations</w:t>
      </w:r>
      <w:r>
        <w:rPr>
          <w:color w:val="231F20"/>
          <w:spacing w:val="-4"/>
        </w:rPr>
        <w:t xml:space="preserve"> </w:t>
      </w:r>
      <w:r>
        <w:rPr>
          <w:color w:val="231F20"/>
        </w:rPr>
        <w:t>able</w:t>
      </w:r>
      <w:r>
        <w:rPr>
          <w:color w:val="231F20"/>
          <w:spacing w:val="-5"/>
        </w:rPr>
        <w:t xml:space="preserve"> </w:t>
      </w:r>
      <w:r>
        <w:rPr>
          <w:color w:val="231F20"/>
        </w:rPr>
        <w:t>to</w:t>
      </w:r>
      <w:r>
        <w:rPr>
          <w:color w:val="231F20"/>
          <w:spacing w:val="-5"/>
        </w:rPr>
        <w:t xml:space="preserve"> </w:t>
      </w:r>
      <w:r>
        <w:rPr>
          <w:color w:val="231F20"/>
        </w:rPr>
        <w:t>conduct</w:t>
      </w:r>
      <w:r>
        <w:rPr>
          <w:color w:val="231F20"/>
          <w:spacing w:val="-4"/>
        </w:rPr>
        <w:t xml:space="preserve"> </w:t>
      </w:r>
      <w:r>
        <w:rPr>
          <w:color w:val="231F20"/>
        </w:rPr>
        <w:t>RDT.</w:t>
      </w:r>
      <w:r>
        <w:rPr>
          <w:color w:val="231F20"/>
          <w:spacing w:val="-4"/>
        </w:rPr>
        <w:t xml:space="preserve"> </w:t>
      </w:r>
      <w:r>
        <w:rPr>
          <w:color w:val="231F20"/>
        </w:rPr>
        <w:t>In</w:t>
      </w:r>
      <w:r>
        <w:rPr>
          <w:color w:val="231F20"/>
          <w:spacing w:val="-5"/>
        </w:rPr>
        <w:t xml:space="preserve"> </w:t>
      </w:r>
      <w:r>
        <w:rPr>
          <w:color w:val="231F20"/>
        </w:rPr>
        <w:t>2021–22,</w:t>
      </w:r>
      <w:r>
        <w:rPr>
          <w:color w:val="231F20"/>
          <w:spacing w:val="-4"/>
        </w:rPr>
        <w:t xml:space="preserve"> </w:t>
      </w:r>
      <w:r>
        <w:rPr>
          <w:color w:val="231F20"/>
        </w:rPr>
        <w:t>the</w:t>
      </w:r>
      <w:r>
        <w:rPr>
          <w:color w:val="231F20"/>
          <w:spacing w:val="-5"/>
        </w:rPr>
        <w:t xml:space="preserve"> </w:t>
      </w:r>
      <w:r>
        <w:rPr>
          <w:color w:val="231F20"/>
        </w:rPr>
        <w:t>total</w:t>
      </w:r>
      <w:r>
        <w:rPr>
          <w:color w:val="231F20"/>
          <w:spacing w:val="-5"/>
        </w:rPr>
        <w:t xml:space="preserve"> </w:t>
      </w:r>
      <w:r>
        <w:rPr>
          <w:color w:val="231F20"/>
        </w:rPr>
        <w:t>number</w:t>
      </w:r>
      <w:r>
        <w:rPr>
          <w:color w:val="231F20"/>
          <w:spacing w:val="-4"/>
        </w:rPr>
        <w:t xml:space="preserve"> </w:t>
      </w:r>
      <w:r>
        <w:rPr>
          <w:color w:val="231F20"/>
        </w:rPr>
        <w:t>of</w:t>
      </w:r>
      <w:r>
        <w:rPr>
          <w:color w:val="231F20"/>
          <w:spacing w:val="-4"/>
        </w:rPr>
        <w:t xml:space="preserve"> </w:t>
      </w:r>
      <w:r>
        <w:rPr>
          <w:color w:val="231F20"/>
        </w:rPr>
        <w:t>RDTs conducted across the state was 151,328.</w:t>
      </w:r>
    </w:p>
    <w:p w14:paraId="71F0CA55" w14:textId="77777777" w:rsidR="00345EE3" w:rsidRDefault="00345EE3" w:rsidP="00345EE3">
      <w:pPr>
        <w:pStyle w:val="Heading5"/>
        <w:spacing w:before="180"/>
      </w:pPr>
      <w:r>
        <w:rPr>
          <w:color w:val="58595B"/>
        </w:rPr>
        <w:t>Mobile</w:t>
      </w:r>
      <w:r>
        <w:rPr>
          <w:color w:val="58595B"/>
          <w:spacing w:val="-15"/>
        </w:rPr>
        <w:t xml:space="preserve"> </w:t>
      </w:r>
      <w:r>
        <w:rPr>
          <w:color w:val="58595B"/>
        </w:rPr>
        <w:t>Automated</w:t>
      </w:r>
      <w:r>
        <w:rPr>
          <w:color w:val="58595B"/>
          <w:spacing w:val="-5"/>
        </w:rPr>
        <w:t xml:space="preserve"> </w:t>
      </w:r>
      <w:r>
        <w:rPr>
          <w:color w:val="58595B"/>
        </w:rPr>
        <w:t>Number</w:t>
      </w:r>
      <w:r>
        <w:rPr>
          <w:color w:val="58595B"/>
          <w:spacing w:val="-6"/>
        </w:rPr>
        <w:t xml:space="preserve"> </w:t>
      </w:r>
      <w:r>
        <w:rPr>
          <w:color w:val="58595B"/>
        </w:rPr>
        <w:t>Plate</w:t>
      </w:r>
      <w:r>
        <w:rPr>
          <w:color w:val="58595B"/>
          <w:spacing w:val="-5"/>
        </w:rPr>
        <w:t xml:space="preserve"> </w:t>
      </w:r>
      <w:r>
        <w:rPr>
          <w:color w:val="58595B"/>
        </w:rPr>
        <w:t>Recognition</w:t>
      </w:r>
      <w:r>
        <w:rPr>
          <w:color w:val="58595B"/>
          <w:spacing w:val="-5"/>
        </w:rPr>
        <w:t xml:space="preserve"> </w:t>
      </w:r>
      <w:r>
        <w:rPr>
          <w:color w:val="58595B"/>
          <w:spacing w:val="-2"/>
        </w:rPr>
        <w:t>Project</w:t>
      </w:r>
    </w:p>
    <w:p w14:paraId="3D8F2108" w14:textId="77777777" w:rsidR="00345EE3" w:rsidRDefault="00345EE3" w:rsidP="00345EE3">
      <w:pPr>
        <w:pStyle w:val="BodyText"/>
        <w:spacing w:before="4" w:line="242" w:lineRule="auto"/>
        <w:ind w:right="1141"/>
      </w:pPr>
      <w:r>
        <w:rPr>
          <w:color w:val="231F20"/>
        </w:rPr>
        <w:t>The mobile ANPR project was successfully completed in December 2021.</w:t>
      </w:r>
      <w:r>
        <w:rPr>
          <w:color w:val="231F20"/>
          <w:spacing w:val="-9"/>
        </w:rPr>
        <w:t xml:space="preserve"> </w:t>
      </w:r>
      <w:r>
        <w:rPr>
          <w:color w:val="231F20"/>
        </w:rPr>
        <w:t>In total, 221 highway</w:t>
      </w:r>
      <w:r>
        <w:rPr>
          <w:color w:val="231F20"/>
          <w:spacing w:val="-8"/>
        </w:rPr>
        <w:t xml:space="preserve"> </w:t>
      </w:r>
      <w:r>
        <w:rPr>
          <w:color w:val="231F20"/>
        </w:rPr>
        <w:t>patrol</w:t>
      </w:r>
      <w:r>
        <w:rPr>
          <w:color w:val="231F20"/>
          <w:spacing w:val="-9"/>
        </w:rPr>
        <w:t xml:space="preserve"> </w:t>
      </w:r>
      <w:r>
        <w:rPr>
          <w:color w:val="231F20"/>
        </w:rPr>
        <w:t>vehicles</w:t>
      </w:r>
      <w:r>
        <w:rPr>
          <w:color w:val="231F20"/>
          <w:spacing w:val="-8"/>
        </w:rPr>
        <w:t xml:space="preserve"> </w:t>
      </w:r>
      <w:r>
        <w:rPr>
          <w:color w:val="231F20"/>
        </w:rPr>
        <w:t>were</w:t>
      </w:r>
      <w:r>
        <w:rPr>
          <w:color w:val="231F20"/>
          <w:spacing w:val="-9"/>
        </w:rPr>
        <w:t xml:space="preserve"> </w:t>
      </w:r>
      <w:r>
        <w:rPr>
          <w:color w:val="231F20"/>
        </w:rPr>
        <w:t>fitted</w:t>
      </w:r>
      <w:r>
        <w:rPr>
          <w:color w:val="231F20"/>
          <w:spacing w:val="-9"/>
        </w:rPr>
        <w:t xml:space="preserve"> </w:t>
      </w:r>
      <w:r>
        <w:rPr>
          <w:color w:val="231F20"/>
        </w:rPr>
        <w:t>with</w:t>
      </w:r>
      <w:r>
        <w:rPr>
          <w:color w:val="231F20"/>
          <w:spacing w:val="-9"/>
        </w:rPr>
        <w:t xml:space="preserve"> </w:t>
      </w:r>
      <w:r>
        <w:rPr>
          <w:color w:val="231F20"/>
        </w:rPr>
        <w:t>mobile</w:t>
      </w:r>
      <w:r>
        <w:rPr>
          <w:color w:val="231F20"/>
          <w:spacing w:val="-9"/>
        </w:rPr>
        <w:t xml:space="preserve"> </w:t>
      </w:r>
      <w:r>
        <w:rPr>
          <w:color w:val="231F20"/>
        </w:rPr>
        <w:t>ANPR</w:t>
      </w:r>
      <w:r>
        <w:rPr>
          <w:color w:val="231F20"/>
          <w:spacing w:val="-9"/>
        </w:rPr>
        <w:t xml:space="preserve"> </w:t>
      </w:r>
      <w:r>
        <w:rPr>
          <w:color w:val="231F20"/>
        </w:rPr>
        <w:t>and</w:t>
      </w:r>
      <w:r>
        <w:rPr>
          <w:color w:val="231F20"/>
          <w:spacing w:val="-9"/>
        </w:rPr>
        <w:t xml:space="preserve"> </w:t>
      </w:r>
      <w:r>
        <w:rPr>
          <w:color w:val="231F20"/>
        </w:rPr>
        <w:t>in-car</w:t>
      </w:r>
      <w:r>
        <w:rPr>
          <w:color w:val="231F20"/>
          <w:spacing w:val="-8"/>
        </w:rPr>
        <w:t xml:space="preserve"> </w:t>
      </w:r>
      <w:r>
        <w:rPr>
          <w:color w:val="231F20"/>
        </w:rPr>
        <w:t>video</w:t>
      </w:r>
      <w:r>
        <w:rPr>
          <w:color w:val="231F20"/>
          <w:spacing w:val="-9"/>
        </w:rPr>
        <w:t xml:space="preserve"> </w:t>
      </w:r>
      <w:r>
        <w:rPr>
          <w:color w:val="231F20"/>
        </w:rPr>
        <w:t>systems.</w:t>
      </w:r>
      <w:r>
        <w:rPr>
          <w:color w:val="231F20"/>
          <w:spacing w:val="-8"/>
        </w:rPr>
        <w:t xml:space="preserve"> </w:t>
      </w:r>
      <w:r>
        <w:rPr>
          <w:color w:val="231F20"/>
        </w:rPr>
        <w:t>The</w:t>
      </w:r>
      <w:r>
        <w:rPr>
          <w:color w:val="231F20"/>
          <w:spacing w:val="-9"/>
        </w:rPr>
        <w:t xml:space="preserve"> </w:t>
      </w:r>
      <w:r>
        <w:rPr>
          <w:color w:val="231F20"/>
        </w:rPr>
        <w:t>vehicle</w:t>
      </w:r>
    </w:p>
    <w:p w14:paraId="36F2F704" w14:textId="77777777" w:rsidR="00345EE3" w:rsidRDefault="00345EE3" w:rsidP="00345EE3">
      <w:pPr>
        <w:pStyle w:val="BodyText"/>
        <w:spacing w:before="3" w:line="242" w:lineRule="auto"/>
        <w:ind w:right="848"/>
      </w:pPr>
      <w:r>
        <w:rPr>
          <w:color w:val="231F20"/>
        </w:rPr>
        <w:t>enhancements</w:t>
      </w:r>
      <w:r>
        <w:rPr>
          <w:color w:val="231F20"/>
          <w:spacing w:val="-10"/>
        </w:rPr>
        <w:t xml:space="preserve"> </w:t>
      </w:r>
      <w:r>
        <w:rPr>
          <w:color w:val="231F20"/>
        </w:rPr>
        <w:t>provide</w:t>
      </w:r>
      <w:r>
        <w:rPr>
          <w:color w:val="231F20"/>
          <w:spacing w:val="-11"/>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ability</w:t>
      </w:r>
      <w:r>
        <w:rPr>
          <w:color w:val="231F20"/>
          <w:spacing w:val="-10"/>
        </w:rPr>
        <w:t xml:space="preserve"> </w:t>
      </w:r>
      <w:r>
        <w:rPr>
          <w:color w:val="231F20"/>
        </w:rPr>
        <w:t>to</w:t>
      </w:r>
      <w:r>
        <w:rPr>
          <w:color w:val="231F20"/>
          <w:spacing w:val="-11"/>
        </w:rPr>
        <w:t xml:space="preserve"> </w:t>
      </w:r>
      <w:r>
        <w:rPr>
          <w:color w:val="231F20"/>
        </w:rPr>
        <w:t>facilitate</w:t>
      </w:r>
      <w:r>
        <w:rPr>
          <w:color w:val="231F20"/>
          <w:spacing w:val="-11"/>
        </w:rPr>
        <w:t xml:space="preserve"> </w:t>
      </w:r>
      <w:r>
        <w:rPr>
          <w:color w:val="231F20"/>
        </w:rPr>
        <w:t>faster</w:t>
      </w:r>
      <w:r>
        <w:rPr>
          <w:color w:val="231F20"/>
          <w:spacing w:val="-10"/>
        </w:rPr>
        <w:t xml:space="preserve"> </w:t>
      </w:r>
      <w:r>
        <w:rPr>
          <w:color w:val="231F20"/>
        </w:rPr>
        <w:t>detection</w:t>
      </w:r>
      <w:r>
        <w:rPr>
          <w:color w:val="231F20"/>
          <w:spacing w:val="-11"/>
        </w:rPr>
        <w:t xml:space="preserve"> </w:t>
      </w:r>
      <w:r>
        <w:rPr>
          <w:color w:val="231F20"/>
        </w:rPr>
        <w:t>of</w:t>
      </w:r>
      <w:r>
        <w:rPr>
          <w:color w:val="231F20"/>
          <w:spacing w:val="-10"/>
        </w:rPr>
        <w:t xml:space="preserve"> </w:t>
      </w:r>
      <w:r>
        <w:rPr>
          <w:color w:val="231F20"/>
        </w:rPr>
        <w:t>unauthorised drivers and perform other policing functions through the sharing of intelligence and information via the ANPR and in-car video systems.</w:t>
      </w:r>
    </w:p>
    <w:p w14:paraId="21FB1664" w14:textId="77777777" w:rsidR="00345EE3" w:rsidRDefault="00345EE3" w:rsidP="00345EE3">
      <w:pPr>
        <w:pStyle w:val="Heading5"/>
        <w:spacing w:before="174"/>
      </w:pPr>
      <w:r>
        <w:rPr>
          <w:color w:val="58595B"/>
          <w:spacing w:val="-2"/>
        </w:rPr>
        <w:t>Taskforce</w:t>
      </w:r>
      <w:r>
        <w:rPr>
          <w:color w:val="58595B"/>
          <w:spacing w:val="-8"/>
        </w:rPr>
        <w:t xml:space="preserve"> </w:t>
      </w:r>
      <w:r>
        <w:rPr>
          <w:color w:val="58595B"/>
          <w:spacing w:val="-2"/>
        </w:rPr>
        <w:t>Reset</w:t>
      </w:r>
    </w:p>
    <w:p w14:paraId="3896CE2C" w14:textId="77777777" w:rsidR="00345EE3" w:rsidRDefault="00345EE3" w:rsidP="00345EE3">
      <w:pPr>
        <w:pStyle w:val="BodyText"/>
        <w:spacing w:before="4" w:line="242" w:lineRule="auto"/>
        <w:ind w:right="848"/>
      </w:pPr>
      <w:r>
        <w:rPr>
          <w:color w:val="231F20"/>
        </w:rPr>
        <w:t>Throughout 2021–22, Victoria Police through the support of Taskforce Reset, has continued to meet</w:t>
      </w:r>
      <w:r>
        <w:rPr>
          <w:color w:val="231F20"/>
          <w:spacing w:val="-7"/>
        </w:rPr>
        <w:t xml:space="preserve"> </w:t>
      </w:r>
      <w:r>
        <w:rPr>
          <w:color w:val="231F20"/>
        </w:rPr>
        <w:t>our</w:t>
      </w:r>
      <w:r>
        <w:rPr>
          <w:color w:val="231F20"/>
          <w:spacing w:val="-7"/>
        </w:rPr>
        <w:t xml:space="preserve"> </w:t>
      </w:r>
      <w:r>
        <w:rPr>
          <w:color w:val="231F20"/>
        </w:rPr>
        <w:t>commitment</w:t>
      </w:r>
      <w:r>
        <w:rPr>
          <w:color w:val="231F20"/>
          <w:spacing w:val="-7"/>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RCMPI,</w:t>
      </w:r>
      <w:r>
        <w:rPr>
          <w:color w:val="231F20"/>
          <w:spacing w:val="-7"/>
        </w:rPr>
        <w:t xml:space="preserve"> </w:t>
      </w:r>
      <w:r>
        <w:rPr>
          <w:color w:val="231F20"/>
        </w:rPr>
        <w:t>with</w:t>
      </w:r>
      <w:r>
        <w:rPr>
          <w:color w:val="231F20"/>
          <w:spacing w:val="-8"/>
        </w:rPr>
        <w:t xml:space="preserve"> </w:t>
      </w:r>
      <w:r>
        <w:rPr>
          <w:color w:val="231F20"/>
        </w:rPr>
        <w:t>30</w:t>
      </w:r>
      <w:r>
        <w:rPr>
          <w:color w:val="231F20"/>
          <w:spacing w:val="-8"/>
        </w:rPr>
        <w:t xml:space="preserve"> </w:t>
      </w:r>
      <w:r>
        <w:rPr>
          <w:color w:val="231F20"/>
        </w:rPr>
        <w:t>recommendations</w:t>
      </w:r>
      <w:r>
        <w:rPr>
          <w:color w:val="231F20"/>
          <w:spacing w:val="-7"/>
        </w:rPr>
        <w:t xml:space="preserve"> </w:t>
      </w:r>
      <w:r>
        <w:rPr>
          <w:color w:val="231F20"/>
        </w:rPr>
        <w:t>delivered</w:t>
      </w:r>
      <w:r>
        <w:rPr>
          <w:color w:val="231F20"/>
          <w:spacing w:val="-8"/>
        </w:rPr>
        <w:t xml:space="preserve"> </w:t>
      </w:r>
      <w:r>
        <w:rPr>
          <w:color w:val="231F20"/>
        </w:rPr>
        <w:t>on</w:t>
      </w:r>
      <w:r>
        <w:rPr>
          <w:color w:val="231F20"/>
          <w:spacing w:val="-8"/>
        </w:rPr>
        <w:t xml:space="preserve"> </w:t>
      </w:r>
      <w:r>
        <w:rPr>
          <w:color w:val="231F20"/>
        </w:rPr>
        <w:t>time</w:t>
      </w:r>
      <w:r>
        <w:rPr>
          <w:color w:val="231F20"/>
          <w:spacing w:val="-8"/>
        </w:rPr>
        <w:t xml:space="preserve"> </w:t>
      </w:r>
      <w:r>
        <w:rPr>
          <w:color w:val="231F20"/>
        </w:rPr>
        <w:t>and</w:t>
      </w:r>
      <w:r>
        <w:rPr>
          <w:color w:val="231F20"/>
          <w:spacing w:val="-8"/>
        </w:rPr>
        <w:t xml:space="preserve"> </w:t>
      </w:r>
      <w:r>
        <w:rPr>
          <w:color w:val="231F20"/>
        </w:rPr>
        <w:t>in</w:t>
      </w:r>
      <w:r>
        <w:rPr>
          <w:color w:val="231F20"/>
          <w:spacing w:val="-8"/>
        </w:rPr>
        <w:t xml:space="preserve"> </w:t>
      </w:r>
      <w:r>
        <w:rPr>
          <w:color w:val="231F20"/>
        </w:rPr>
        <w:t>line</w:t>
      </w:r>
      <w:r>
        <w:rPr>
          <w:color w:val="231F20"/>
          <w:spacing w:val="-8"/>
        </w:rPr>
        <w:t xml:space="preserve"> </w:t>
      </w:r>
      <w:r>
        <w:rPr>
          <w:color w:val="231F20"/>
        </w:rPr>
        <w:t>with the Royal Commission’s expectations. Assessments completed by the Implementation Monitor acknowledged</w:t>
      </w:r>
      <w:r>
        <w:rPr>
          <w:color w:val="231F20"/>
          <w:spacing w:val="-3"/>
        </w:rPr>
        <w:t xml:space="preserve"> </w:t>
      </w:r>
      <w:r>
        <w:rPr>
          <w:color w:val="231F20"/>
        </w:rPr>
        <w:t>the</w:t>
      </w:r>
      <w:r>
        <w:rPr>
          <w:color w:val="231F20"/>
          <w:spacing w:val="-3"/>
        </w:rPr>
        <w:t xml:space="preserve"> </w:t>
      </w:r>
      <w:r>
        <w:rPr>
          <w:color w:val="231F20"/>
        </w:rPr>
        <w:t>efforts</w:t>
      </w:r>
      <w:r>
        <w:rPr>
          <w:color w:val="231F20"/>
          <w:spacing w:val="-2"/>
        </w:rPr>
        <w:t xml:space="preserve"> </w:t>
      </w:r>
      <w:r>
        <w:rPr>
          <w:color w:val="231F20"/>
        </w:rPr>
        <w:t>of</w:t>
      </w:r>
      <w:r>
        <w:rPr>
          <w:color w:val="231F20"/>
          <w:spacing w:val="-2"/>
        </w:rPr>
        <w:t xml:space="preserve"> </w:t>
      </w:r>
      <w:r>
        <w:rPr>
          <w:color w:val="231F20"/>
        </w:rPr>
        <w:t>Victoria</w:t>
      </w:r>
      <w:r>
        <w:rPr>
          <w:color w:val="231F20"/>
          <w:spacing w:val="-3"/>
        </w:rPr>
        <w:t xml:space="preserve"> </w:t>
      </w:r>
      <w:r>
        <w:rPr>
          <w:color w:val="231F20"/>
        </w:rPr>
        <w:t>Police</w:t>
      </w:r>
      <w:r>
        <w:rPr>
          <w:color w:val="231F20"/>
          <w:spacing w:val="-3"/>
        </w:rPr>
        <w:t xml:space="preserve"> </w:t>
      </w:r>
      <w:r>
        <w:rPr>
          <w:color w:val="231F20"/>
        </w:rPr>
        <w:t>(and</w:t>
      </w:r>
      <w:r>
        <w:rPr>
          <w:color w:val="231F20"/>
          <w:spacing w:val="-3"/>
        </w:rPr>
        <w:t xml:space="preserve"> </w:t>
      </w:r>
      <w:r>
        <w:rPr>
          <w:color w:val="231F20"/>
        </w:rPr>
        <w:t>partner</w:t>
      </w:r>
      <w:r>
        <w:rPr>
          <w:color w:val="231F20"/>
          <w:spacing w:val="-2"/>
        </w:rPr>
        <w:t xml:space="preserve"> </w:t>
      </w:r>
      <w:r>
        <w:rPr>
          <w:color w:val="231F20"/>
        </w:rPr>
        <w:t>agencies)</w:t>
      </w:r>
      <w:r>
        <w:rPr>
          <w:color w:val="231F20"/>
          <w:spacing w:val="-2"/>
        </w:rPr>
        <w:t xml:space="preserve"> </w:t>
      </w:r>
      <w:r>
        <w:rPr>
          <w:color w:val="231F20"/>
        </w:rPr>
        <w:t>in</w:t>
      </w:r>
      <w:r>
        <w:rPr>
          <w:color w:val="231F20"/>
          <w:spacing w:val="-3"/>
        </w:rPr>
        <w:t xml:space="preserve"> </w:t>
      </w:r>
      <w:r>
        <w:rPr>
          <w:color w:val="231F20"/>
        </w:rPr>
        <w:t>taking</w:t>
      </w:r>
      <w:r>
        <w:rPr>
          <w:color w:val="231F20"/>
          <w:spacing w:val="-3"/>
        </w:rPr>
        <w:t xml:space="preserve"> </w:t>
      </w:r>
      <w:r>
        <w:rPr>
          <w:color w:val="231F20"/>
        </w:rPr>
        <w:t>all</w:t>
      </w:r>
      <w:r>
        <w:rPr>
          <w:color w:val="231F20"/>
          <w:spacing w:val="-3"/>
        </w:rPr>
        <w:t xml:space="preserve"> </w:t>
      </w:r>
      <w:r>
        <w:rPr>
          <w:color w:val="231F20"/>
        </w:rPr>
        <w:t>reasonable</w:t>
      </w:r>
      <w:r>
        <w:rPr>
          <w:color w:val="231F20"/>
          <w:spacing w:val="-3"/>
        </w:rPr>
        <w:t xml:space="preserve"> </w:t>
      </w:r>
      <w:r>
        <w:rPr>
          <w:color w:val="231F20"/>
        </w:rPr>
        <w:t>steps and</w:t>
      </w:r>
      <w:r>
        <w:rPr>
          <w:color w:val="231F20"/>
          <w:spacing w:val="-9"/>
        </w:rPr>
        <w:t xml:space="preserve"> </w:t>
      </w:r>
      <w:r>
        <w:rPr>
          <w:color w:val="231F20"/>
        </w:rPr>
        <w:t>actions</w:t>
      </w:r>
      <w:r>
        <w:rPr>
          <w:color w:val="231F20"/>
          <w:spacing w:val="-8"/>
        </w:rPr>
        <w:t xml:space="preserve"> </w:t>
      </w:r>
      <w:r>
        <w:rPr>
          <w:color w:val="231F20"/>
        </w:rPr>
        <w:t>to</w:t>
      </w:r>
      <w:r>
        <w:rPr>
          <w:color w:val="231F20"/>
          <w:spacing w:val="-9"/>
        </w:rPr>
        <w:t xml:space="preserve"> </w:t>
      </w:r>
      <w:r>
        <w:rPr>
          <w:color w:val="231F20"/>
        </w:rPr>
        <w:t>deliver</w:t>
      </w:r>
      <w:r>
        <w:rPr>
          <w:color w:val="231F20"/>
          <w:spacing w:val="-8"/>
        </w:rPr>
        <w:t xml:space="preserve"> </w:t>
      </w:r>
      <w:r>
        <w:rPr>
          <w:color w:val="231F20"/>
        </w:rPr>
        <w:t>the</w:t>
      </w:r>
      <w:r>
        <w:rPr>
          <w:color w:val="231F20"/>
          <w:spacing w:val="-9"/>
        </w:rPr>
        <w:t xml:space="preserve"> </w:t>
      </w:r>
      <w:r>
        <w:rPr>
          <w:color w:val="231F20"/>
        </w:rPr>
        <w:t>recommendations.</w:t>
      </w:r>
      <w:r>
        <w:rPr>
          <w:color w:val="231F20"/>
          <w:spacing w:val="-8"/>
        </w:rPr>
        <w:t xml:space="preserve"> </w:t>
      </w:r>
      <w:r>
        <w:rPr>
          <w:color w:val="231F20"/>
        </w:rPr>
        <w:t>Delivery</w:t>
      </w:r>
      <w:r>
        <w:rPr>
          <w:color w:val="231F20"/>
          <w:spacing w:val="-8"/>
        </w:rPr>
        <w:t xml:space="preserve"> </w:t>
      </w:r>
      <w:r>
        <w:rPr>
          <w:color w:val="231F20"/>
        </w:rPr>
        <w:t>of</w:t>
      </w:r>
      <w:r>
        <w:rPr>
          <w:color w:val="231F20"/>
          <w:spacing w:val="-8"/>
        </w:rPr>
        <w:t xml:space="preserve"> </w:t>
      </w:r>
      <w:r>
        <w:rPr>
          <w:color w:val="231F20"/>
        </w:rPr>
        <w:t>these</w:t>
      </w:r>
      <w:r>
        <w:rPr>
          <w:color w:val="231F20"/>
          <w:spacing w:val="-9"/>
        </w:rPr>
        <w:t xml:space="preserve"> </w:t>
      </w:r>
      <w:r>
        <w:rPr>
          <w:color w:val="231F20"/>
        </w:rPr>
        <w:t>recommendations</w:t>
      </w:r>
      <w:r>
        <w:rPr>
          <w:color w:val="231F20"/>
          <w:spacing w:val="-8"/>
        </w:rPr>
        <w:t xml:space="preserve"> </w:t>
      </w:r>
      <w:r>
        <w:rPr>
          <w:color w:val="231F20"/>
        </w:rPr>
        <w:t>has</w:t>
      </w:r>
      <w:r>
        <w:rPr>
          <w:color w:val="231F20"/>
          <w:spacing w:val="-8"/>
        </w:rPr>
        <w:t xml:space="preserve"> </w:t>
      </w:r>
      <w:r>
        <w:rPr>
          <w:color w:val="231F20"/>
        </w:rPr>
        <w:t>culminated in: the publication of three enhanced policies, a new Chief Commissioner Instruction on disclosure, reviews of IT system capabilities, an</w:t>
      </w:r>
      <w:r>
        <w:rPr>
          <w:color w:val="231F20"/>
          <w:spacing w:val="-1"/>
        </w:rPr>
        <w:t xml:space="preserve"> </w:t>
      </w:r>
      <w:r>
        <w:rPr>
          <w:color w:val="231F20"/>
        </w:rPr>
        <w:t>upgrade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Interpose</w:t>
      </w:r>
      <w:r>
        <w:rPr>
          <w:color w:val="231F20"/>
          <w:spacing w:val="-1"/>
        </w:rPr>
        <w:t xml:space="preserve"> </w:t>
      </w:r>
      <w:r>
        <w:rPr>
          <w:color w:val="231F20"/>
        </w:rPr>
        <w:t>system and</w:t>
      </w:r>
      <w:r>
        <w:rPr>
          <w:color w:val="231F20"/>
          <w:spacing w:val="-1"/>
        </w:rPr>
        <w:t xml:space="preserve"> </w:t>
      </w:r>
      <w:r>
        <w:rPr>
          <w:color w:val="231F20"/>
        </w:rPr>
        <w:t>refreshed human source management training programs, along with streamlined risk assessment processes. Delivery of these reforms has been supported with readily available resources, training materials and communications.</w:t>
      </w:r>
    </w:p>
    <w:p w14:paraId="0C7051A4" w14:textId="77777777" w:rsidR="00345EE3" w:rsidRDefault="00345EE3" w:rsidP="00345EE3">
      <w:pPr>
        <w:pStyle w:val="BodyText"/>
        <w:spacing w:before="126" w:line="242" w:lineRule="auto"/>
        <w:ind w:right="921"/>
      </w:pPr>
      <w:r>
        <w:rPr>
          <w:color w:val="231F20"/>
        </w:rPr>
        <w:t>Victoria</w:t>
      </w:r>
      <w:r>
        <w:rPr>
          <w:color w:val="231F20"/>
          <w:spacing w:val="-10"/>
        </w:rPr>
        <w:t xml:space="preserve"> </w:t>
      </w:r>
      <w:r>
        <w:rPr>
          <w:color w:val="231F20"/>
        </w:rPr>
        <w:t>Police</w:t>
      </w:r>
      <w:r>
        <w:rPr>
          <w:color w:val="231F20"/>
          <w:spacing w:val="-10"/>
        </w:rPr>
        <w:t xml:space="preserve"> </w:t>
      </w:r>
      <w:r>
        <w:rPr>
          <w:color w:val="231F20"/>
        </w:rPr>
        <w:t>has</w:t>
      </w:r>
      <w:r>
        <w:rPr>
          <w:color w:val="231F20"/>
          <w:spacing w:val="-9"/>
        </w:rPr>
        <w:t xml:space="preserve"> </w:t>
      </w:r>
      <w:r>
        <w:rPr>
          <w:color w:val="231F20"/>
        </w:rPr>
        <w:t>worked</w:t>
      </w:r>
      <w:r>
        <w:rPr>
          <w:color w:val="231F20"/>
          <w:spacing w:val="-10"/>
        </w:rPr>
        <w:t xml:space="preserve"> </w:t>
      </w:r>
      <w:r>
        <w:rPr>
          <w:color w:val="231F20"/>
        </w:rPr>
        <w:t>collaboratively</w:t>
      </w:r>
      <w:r>
        <w:rPr>
          <w:color w:val="231F20"/>
          <w:spacing w:val="-9"/>
        </w:rPr>
        <w:t xml:space="preserve"> </w:t>
      </w:r>
      <w:r>
        <w:rPr>
          <w:color w:val="231F20"/>
        </w:rPr>
        <w:t>to</w:t>
      </w:r>
      <w:r>
        <w:rPr>
          <w:color w:val="231F20"/>
          <w:spacing w:val="-10"/>
        </w:rPr>
        <w:t xml:space="preserve"> </w:t>
      </w:r>
      <w:r>
        <w:rPr>
          <w:color w:val="231F20"/>
        </w:rPr>
        <w:t>fulfil</w:t>
      </w:r>
      <w:r>
        <w:rPr>
          <w:color w:val="231F20"/>
          <w:spacing w:val="-10"/>
        </w:rPr>
        <w:t xml:space="preserve"> </w:t>
      </w:r>
      <w:r>
        <w:rPr>
          <w:color w:val="231F20"/>
        </w:rPr>
        <w:t>its</w:t>
      </w:r>
      <w:r>
        <w:rPr>
          <w:color w:val="231F20"/>
          <w:spacing w:val="-9"/>
        </w:rPr>
        <w:t xml:space="preserve"> </w:t>
      </w:r>
      <w:r>
        <w:rPr>
          <w:color w:val="231F20"/>
        </w:rPr>
        <w:t>ongoing</w:t>
      </w:r>
      <w:r>
        <w:rPr>
          <w:color w:val="231F20"/>
          <w:spacing w:val="-10"/>
        </w:rPr>
        <w:t xml:space="preserve"> </w:t>
      </w:r>
      <w:r>
        <w:rPr>
          <w:color w:val="231F20"/>
        </w:rPr>
        <w:t>duty</w:t>
      </w:r>
      <w:r>
        <w:rPr>
          <w:color w:val="231F20"/>
          <w:spacing w:val="-9"/>
        </w:rPr>
        <w:t xml:space="preserve"> </w:t>
      </w:r>
      <w:r>
        <w:rPr>
          <w:color w:val="231F20"/>
        </w:rPr>
        <w:t>of</w:t>
      </w:r>
      <w:r>
        <w:rPr>
          <w:color w:val="231F20"/>
          <w:spacing w:val="-9"/>
        </w:rPr>
        <w:t xml:space="preserve"> </w:t>
      </w:r>
      <w:r>
        <w:rPr>
          <w:color w:val="231F20"/>
        </w:rPr>
        <w:t>disclosure</w:t>
      </w:r>
      <w:r>
        <w:rPr>
          <w:color w:val="231F20"/>
          <w:spacing w:val="-10"/>
        </w:rPr>
        <w:t xml:space="preserve"> </w:t>
      </w:r>
      <w:r>
        <w:rPr>
          <w:color w:val="231F20"/>
        </w:rPr>
        <w:t>and</w:t>
      </w:r>
      <w:r>
        <w:rPr>
          <w:color w:val="231F20"/>
          <w:spacing w:val="-10"/>
        </w:rPr>
        <w:t xml:space="preserve"> </w:t>
      </w:r>
      <w:r>
        <w:rPr>
          <w:color w:val="231F20"/>
        </w:rPr>
        <w:t>expectations of the RCMPI as well as servicing active Court of Appeal matters to ensure that disclosure obligations are met. Partnerships between Victoria Police the Office of the Special Investigator and the Implementation Monitor have been firmly established.</w:t>
      </w:r>
    </w:p>
    <w:p w14:paraId="4BF8CA62" w14:textId="5478B444" w:rsidR="00345EE3" w:rsidRDefault="004C0C7F" w:rsidP="002A27BA">
      <w:pPr>
        <w:pStyle w:val="Heading3"/>
      </w:pPr>
      <w:r>
        <w:t xml:space="preserve"> </w:t>
      </w:r>
    </w:p>
    <w:p w14:paraId="2278E839" w14:textId="77777777" w:rsidR="00345EE3" w:rsidRDefault="00345EE3" w:rsidP="00345EE3">
      <w:pPr>
        <w:pStyle w:val="BodyText"/>
        <w:spacing w:before="53" w:line="242" w:lineRule="auto"/>
        <w:ind w:right="1178"/>
      </w:pPr>
      <w:r>
        <w:rPr>
          <w:color w:val="231F20"/>
        </w:rPr>
        <w:t>The Deputy Commissioner, Public Safety and Security, has the overall responsibility and oversight of Counter Terrorism Command, Crime</w:t>
      </w:r>
      <w:r>
        <w:rPr>
          <w:color w:val="231F20"/>
          <w:spacing w:val="-1"/>
        </w:rPr>
        <w:t xml:space="preserve"> </w:t>
      </w:r>
      <w:r>
        <w:rPr>
          <w:color w:val="231F20"/>
        </w:rPr>
        <w:t>Command</w:t>
      </w:r>
      <w:r>
        <w:rPr>
          <w:color w:val="231F20"/>
          <w:spacing w:val="-1"/>
        </w:rPr>
        <w:t xml:space="preserve"> </w:t>
      </w:r>
      <w:r>
        <w:rPr>
          <w:color w:val="231F20"/>
        </w:rPr>
        <w:t>and</w:t>
      </w:r>
      <w:r>
        <w:rPr>
          <w:color w:val="231F20"/>
          <w:spacing w:val="-1"/>
        </w:rPr>
        <w:t xml:space="preserve"> </w:t>
      </w:r>
      <w:r>
        <w:rPr>
          <w:color w:val="231F20"/>
        </w:rPr>
        <w:t>Transit and</w:t>
      </w:r>
      <w:r>
        <w:rPr>
          <w:color w:val="231F20"/>
          <w:spacing w:val="-1"/>
        </w:rPr>
        <w:t xml:space="preserve"> </w:t>
      </w:r>
      <w:r>
        <w:rPr>
          <w:color w:val="231F20"/>
        </w:rPr>
        <w:t>Public Safety Command. Over the past 12 months, commands have focused on improving community safety</w:t>
      </w:r>
      <w:r>
        <w:rPr>
          <w:color w:val="231F20"/>
          <w:spacing w:val="-12"/>
        </w:rPr>
        <w:t xml:space="preserve"> </w:t>
      </w:r>
      <w:r>
        <w:rPr>
          <w:color w:val="231F20"/>
        </w:rPr>
        <w:t>through</w:t>
      </w:r>
      <w:r>
        <w:rPr>
          <w:color w:val="231F20"/>
          <w:spacing w:val="-12"/>
        </w:rPr>
        <w:t xml:space="preserve"> </w:t>
      </w:r>
      <w:r>
        <w:rPr>
          <w:color w:val="231F20"/>
        </w:rPr>
        <w:t>specialist</w:t>
      </w:r>
      <w:r>
        <w:rPr>
          <w:color w:val="231F20"/>
          <w:spacing w:val="-12"/>
        </w:rPr>
        <w:t xml:space="preserve"> </w:t>
      </w:r>
      <w:r>
        <w:rPr>
          <w:color w:val="231F20"/>
        </w:rPr>
        <w:t>collaboration</w:t>
      </w:r>
      <w:r>
        <w:rPr>
          <w:color w:val="231F20"/>
          <w:spacing w:val="-12"/>
        </w:rPr>
        <w:t xml:space="preserve"> </w:t>
      </w:r>
      <w:r>
        <w:rPr>
          <w:color w:val="231F20"/>
        </w:rPr>
        <w:t>with</w:t>
      </w:r>
      <w:r>
        <w:rPr>
          <w:color w:val="231F20"/>
          <w:spacing w:val="-12"/>
        </w:rPr>
        <w:t xml:space="preserve"> </w:t>
      </w:r>
      <w:r>
        <w:rPr>
          <w:color w:val="231F20"/>
        </w:rPr>
        <w:t>partner</w:t>
      </w:r>
      <w:r>
        <w:rPr>
          <w:color w:val="231F20"/>
          <w:spacing w:val="-12"/>
        </w:rPr>
        <w:t xml:space="preserve"> </w:t>
      </w:r>
      <w:r>
        <w:rPr>
          <w:color w:val="231F20"/>
        </w:rPr>
        <w:t>agencies,</w:t>
      </w:r>
      <w:r>
        <w:rPr>
          <w:color w:val="231F20"/>
          <w:spacing w:val="-12"/>
        </w:rPr>
        <w:t xml:space="preserve"> </w:t>
      </w:r>
      <w:r>
        <w:rPr>
          <w:color w:val="231F20"/>
        </w:rPr>
        <w:t>improving</w:t>
      </w:r>
      <w:r>
        <w:rPr>
          <w:color w:val="231F20"/>
          <w:spacing w:val="-12"/>
        </w:rPr>
        <w:t xml:space="preserve"> </w:t>
      </w:r>
      <w:r>
        <w:rPr>
          <w:color w:val="231F20"/>
        </w:rPr>
        <w:t>police</w:t>
      </w:r>
      <w:r>
        <w:rPr>
          <w:color w:val="231F20"/>
          <w:spacing w:val="-12"/>
        </w:rPr>
        <w:t xml:space="preserve"> </w:t>
      </w:r>
      <w:r>
        <w:rPr>
          <w:color w:val="231F20"/>
        </w:rPr>
        <w:t>training</w:t>
      </w:r>
      <w:r>
        <w:rPr>
          <w:color w:val="231F20"/>
          <w:spacing w:val="-12"/>
        </w:rPr>
        <w:t xml:space="preserve"> </w:t>
      </w:r>
      <w:r>
        <w:rPr>
          <w:color w:val="231F20"/>
        </w:rPr>
        <w:t>through world-class facilities, continuing to investigate and apprehend offenders and implementing organisational-wide strategies to align policing focus to the community’s needs.</w:t>
      </w:r>
    </w:p>
    <w:p w14:paraId="13718549" w14:textId="77777777" w:rsidR="00345EE3" w:rsidRDefault="00345EE3" w:rsidP="00345EE3">
      <w:pPr>
        <w:rPr>
          <w:b/>
          <w:bCs/>
          <w:color w:val="58595B"/>
          <w:sz w:val="24"/>
          <w:szCs w:val="24"/>
        </w:rPr>
      </w:pPr>
      <w:r>
        <w:rPr>
          <w:color w:val="58595B"/>
        </w:rPr>
        <w:br w:type="page"/>
      </w:r>
    </w:p>
    <w:p w14:paraId="05130C4D" w14:textId="77777777" w:rsidR="00345EE3" w:rsidRDefault="00345EE3" w:rsidP="00345EE3">
      <w:pPr>
        <w:pStyle w:val="Heading5"/>
        <w:spacing w:before="178"/>
      </w:pPr>
      <w:r>
        <w:rPr>
          <w:color w:val="58595B"/>
        </w:rPr>
        <w:t>Fixated</w:t>
      </w:r>
      <w:r>
        <w:rPr>
          <w:color w:val="58595B"/>
          <w:spacing w:val="-4"/>
        </w:rPr>
        <w:t xml:space="preserve"> </w:t>
      </w:r>
      <w:r>
        <w:rPr>
          <w:color w:val="58595B"/>
        </w:rPr>
        <w:t>Threat</w:t>
      </w:r>
      <w:r>
        <w:rPr>
          <w:color w:val="58595B"/>
          <w:spacing w:val="-11"/>
        </w:rPr>
        <w:t xml:space="preserve"> </w:t>
      </w:r>
      <w:r>
        <w:rPr>
          <w:color w:val="58595B"/>
        </w:rPr>
        <w:t>Assessment</w:t>
      </w:r>
      <w:r>
        <w:rPr>
          <w:color w:val="58595B"/>
          <w:spacing w:val="-4"/>
        </w:rPr>
        <w:t xml:space="preserve"> </w:t>
      </w:r>
      <w:r>
        <w:rPr>
          <w:color w:val="58595B"/>
          <w:spacing w:val="-2"/>
        </w:rPr>
        <w:t>Centre</w:t>
      </w:r>
    </w:p>
    <w:p w14:paraId="46CBA417" w14:textId="77777777" w:rsidR="00345EE3" w:rsidRDefault="00345EE3" w:rsidP="00345EE3">
      <w:pPr>
        <w:pStyle w:val="BodyText"/>
        <w:spacing w:before="4"/>
      </w:pPr>
      <w:r>
        <w:rPr>
          <w:color w:val="231F20"/>
        </w:rPr>
        <w:t>The</w:t>
      </w:r>
      <w:r>
        <w:rPr>
          <w:color w:val="231F20"/>
          <w:spacing w:val="-13"/>
        </w:rPr>
        <w:t xml:space="preserve"> </w:t>
      </w:r>
      <w:r>
        <w:rPr>
          <w:color w:val="231F20"/>
        </w:rPr>
        <w:t>Victorian</w:t>
      </w:r>
      <w:r>
        <w:rPr>
          <w:color w:val="231F20"/>
          <w:spacing w:val="-10"/>
        </w:rPr>
        <w:t xml:space="preserve"> </w:t>
      </w:r>
      <w:r>
        <w:rPr>
          <w:color w:val="231F20"/>
        </w:rPr>
        <w:t>Fixated</w:t>
      </w:r>
      <w:r>
        <w:rPr>
          <w:color w:val="231F20"/>
          <w:spacing w:val="-10"/>
        </w:rPr>
        <w:t xml:space="preserve"> </w:t>
      </w:r>
      <w:r>
        <w:rPr>
          <w:color w:val="231F20"/>
        </w:rPr>
        <w:t>Threat</w:t>
      </w:r>
      <w:r>
        <w:rPr>
          <w:color w:val="231F20"/>
          <w:spacing w:val="-9"/>
        </w:rPr>
        <w:t xml:space="preserve"> </w:t>
      </w:r>
      <w:r>
        <w:rPr>
          <w:color w:val="231F20"/>
        </w:rPr>
        <w:t>Assessment</w:t>
      </w:r>
      <w:r>
        <w:rPr>
          <w:color w:val="231F20"/>
          <w:spacing w:val="-10"/>
        </w:rPr>
        <w:t xml:space="preserve"> </w:t>
      </w:r>
      <w:r>
        <w:rPr>
          <w:color w:val="231F20"/>
        </w:rPr>
        <w:t>Centre</w:t>
      </w:r>
      <w:r>
        <w:rPr>
          <w:color w:val="231F20"/>
          <w:spacing w:val="-10"/>
        </w:rPr>
        <w:t xml:space="preserve"> </w:t>
      </w:r>
      <w:r>
        <w:rPr>
          <w:color w:val="231F20"/>
        </w:rPr>
        <w:t>was</w:t>
      </w:r>
      <w:r>
        <w:rPr>
          <w:color w:val="231F20"/>
          <w:spacing w:val="-9"/>
        </w:rPr>
        <w:t xml:space="preserve"> </w:t>
      </w:r>
      <w:r>
        <w:rPr>
          <w:color w:val="231F20"/>
        </w:rPr>
        <w:t>established</w:t>
      </w:r>
      <w:r>
        <w:rPr>
          <w:color w:val="231F20"/>
          <w:spacing w:val="-10"/>
        </w:rPr>
        <w:t xml:space="preserve"> </w:t>
      </w:r>
      <w:r>
        <w:rPr>
          <w:color w:val="231F20"/>
        </w:rPr>
        <w:t>in</w:t>
      </w:r>
      <w:r>
        <w:rPr>
          <w:color w:val="231F20"/>
          <w:spacing w:val="-11"/>
        </w:rPr>
        <w:t xml:space="preserve"> </w:t>
      </w:r>
      <w:r>
        <w:rPr>
          <w:color w:val="231F20"/>
        </w:rPr>
        <w:t>2018</w:t>
      </w:r>
      <w:r>
        <w:rPr>
          <w:color w:val="231F20"/>
          <w:spacing w:val="-10"/>
        </w:rPr>
        <w:t xml:space="preserve"> </w:t>
      </w:r>
      <w:r>
        <w:rPr>
          <w:color w:val="231F20"/>
        </w:rPr>
        <w:t>to</w:t>
      </w:r>
      <w:r>
        <w:rPr>
          <w:color w:val="231F20"/>
          <w:spacing w:val="-10"/>
        </w:rPr>
        <w:t xml:space="preserve"> </w:t>
      </w:r>
      <w:r>
        <w:rPr>
          <w:color w:val="231F20"/>
        </w:rPr>
        <w:t>assess</w:t>
      </w:r>
      <w:r>
        <w:rPr>
          <w:color w:val="231F20"/>
          <w:spacing w:val="-9"/>
        </w:rPr>
        <w:t xml:space="preserve"> </w:t>
      </w:r>
      <w:r>
        <w:rPr>
          <w:color w:val="231F20"/>
        </w:rPr>
        <w:t>and</w:t>
      </w:r>
      <w:r>
        <w:rPr>
          <w:color w:val="231F20"/>
          <w:spacing w:val="-10"/>
        </w:rPr>
        <w:t xml:space="preserve"> </w:t>
      </w:r>
      <w:r>
        <w:rPr>
          <w:color w:val="231F20"/>
          <w:spacing w:val="-2"/>
        </w:rPr>
        <w:t xml:space="preserve">respond </w:t>
      </w:r>
      <w:r>
        <w:rPr>
          <w:color w:val="231F20"/>
          <w:spacing w:val="-2"/>
        </w:rPr>
        <w:br/>
      </w:r>
      <w:r>
        <w:rPr>
          <w:color w:val="231F20"/>
        </w:rPr>
        <w:t>to</w:t>
      </w:r>
      <w:r>
        <w:rPr>
          <w:color w:val="231F20"/>
          <w:spacing w:val="-3"/>
        </w:rPr>
        <w:t xml:space="preserve"> </w:t>
      </w:r>
      <w:r>
        <w:rPr>
          <w:color w:val="231F20"/>
        </w:rPr>
        <w:t>serious</w:t>
      </w:r>
      <w:r>
        <w:rPr>
          <w:color w:val="231F20"/>
          <w:spacing w:val="-2"/>
        </w:rPr>
        <w:t xml:space="preserve"> </w:t>
      </w:r>
      <w:r>
        <w:rPr>
          <w:color w:val="231F20"/>
        </w:rPr>
        <w:t>threats</w:t>
      </w:r>
      <w:r>
        <w:rPr>
          <w:color w:val="231F20"/>
          <w:spacing w:val="-2"/>
        </w:rPr>
        <w:t xml:space="preserve"> </w:t>
      </w:r>
      <w:r>
        <w:rPr>
          <w:color w:val="231F20"/>
        </w:rPr>
        <w:t>of</w:t>
      </w:r>
      <w:r>
        <w:rPr>
          <w:color w:val="231F20"/>
          <w:spacing w:val="-2"/>
        </w:rPr>
        <w:t xml:space="preserve"> </w:t>
      </w:r>
      <w:r>
        <w:rPr>
          <w:color w:val="231F20"/>
        </w:rPr>
        <w:t>violence</w:t>
      </w:r>
      <w:r>
        <w:rPr>
          <w:color w:val="231F20"/>
          <w:spacing w:val="-3"/>
        </w:rPr>
        <w:t xml:space="preserve"> </w:t>
      </w:r>
      <w:r>
        <w:rPr>
          <w:color w:val="231F20"/>
        </w:rPr>
        <w:t>posed</w:t>
      </w:r>
      <w:r>
        <w:rPr>
          <w:color w:val="231F20"/>
          <w:spacing w:val="-3"/>
        </w:rPr>
        <w:t xml:space="preserve"> </w:t>
      </w:r>
      <w:r>
        <w:rPr>
          <w:color w:val="231F20"/>
        </w:rPr>
        <w:t>by</w:t>
      </w:r>
      <w:r>
        <w:rPr>
          <w:color w:val="231F20"/>
          <w:spacing w:val="-2"/>
        </w:rPr>
        <w:t xml:space="preserve"> </w:t>
      </w:r>
      <w:r>
        <w:rPr>
          <w:color w:val="231F20"/>
        </w:rPr>
        <w:t>fixated</w:t>
      </w:r>
      <w:r>
        <w:rPr>
          <w:color w:val="231F20"/>
          <w:spacing w:val="-3"/>
        </w:rPr>
        <w:t xml:space="preserve"> </w:t>
      </w:r>
      <w:r>
        <w:rPr>
          <w:color w:val="231F20"/>
        </w:rPr>
        <w:t>individuals</w:t>
      </w:r>
      <w:r>
        <w:rPr>
          <w:color w:val="231F20"/>
          <w:spacing w:val="-2"/>
        </w:rPr>
        <w:t xml:space="preserve"> </w:t>
      </w:r>
      <w:r>
        <w:rPr>
          <w:color w:val="231F20"/>
        </w:rPr>
        <w:t>with</w:t>
      </w:r>
      <w:r>
        <w:rPr>
          <w:color w:val="231F20"/>
          <w:spacing w:val="-3"/>
        </w:rPr>
        <w:t xml:space="preserve"> </w:t>
      </w:r>
      <w:r>
        <w:rPr>
          <w:color w:val="231F20"/>
        </w:rPr>
        <w:t>complex</w:t>
      </w:r>
      <w:r>
        <w:rPr>
          <w:color w:val="231F20"/>
          <w:spacing w:val="-2"/>
        </w:rPr>
        <w:t xml:space="preserve"> </w:t>
      </w:r>
      <w:r>
        <w:rPr>
          <w:color w:val="231F20"/>
        </w:rPr>
        <w:t>needs,</w:t>
      </w:r>
      <w:r>
        <w:rPr>
          <w:color w:val="231F20"/>
          <w:spacing w:val="-2"/>
        </w:rPr>
        <w:t xml:space="preserve"> </w:t>
      </w:r>
      <w:r>
        <w:rPr>
          <w:color w:val="231F20"/>
        </w:rPr>
        <w:t>including</w:t>
      </w:r>
      <w:r>
        <w:rPr>
          <w:color w:val="231F20"/>
          <w:spacing w:val="-3"/>
        </w:rPr>
        <w:t xml:space="preserve"> </w:t>
      </w:r>
      <w:r>
        <w:rPr>
          <w:color w:val="231F20"/>
        </w:rPr>
        <w:t xml:space="preserve">mental </w:t>
      </w:r>
      <w:r>
        <w:rPr>
          <w:color w:val="231F20"/>
        </w:rPr>
        <w:br/>
        <w:t>illness</w:t>
      </w:r>
      <w:r>
        <w:rPr>
          <w:color w:val="231F20"/>
          <w:spacing w:val="-8"/>
        </w:rPr>
        <w:t xml:space="preserve"> </w:t>
      </w:r>
      <w:r>
        <w:rPr>
          <w:color w:val="231F20"/>
        </w:rPr>
        <w:t>and</w:t>
      </w:r>
      <w:r>
        <w:rPr>
          <w:color w:val="231F20"/>
          <w:spacing w:val="-9"/>
        </w:rPr>
        <w:t xml:space="preserve"> </w:t>
      </w:r>
      <w:r>
        <w:rPr>
          <w:color w:val="231F20"/>
        </w:rPr>
        <w:t>those</w:t>
      </w:r>
      <w:r>
        <w:rPr>
          <w:color w:val="231F20"/>
          <w:spacing w:val="-9"/>
        </w:rPr>
        <w:t xml:space="preserve"> </w:t>
      </w:r>
      <w:r>
        <w:rPr>
          <w:color w:val="231F20"/>
        </w:rPr>
        <w:t>presenting</w:t>
      </w:r>
      <w:r>
        <w:rPr>
          <w:color w:val="231F20"/>
          <w:spacing w:val="-9"/>
        </w:rPr>
        <w:t xml:space="preserve"> </w:t>
      </w:r>
      <w:r>
        <w:rPr>
          <w:color w:val="231F20"/>
        </w:rPr>
        <w:t>with</w:t>
      </w:r>
      <w:r>
        <w:rPr>
          <w:color w:val="231F20"/>
          <w:spacing w:val="-9"/>
        </w:rPr>
        <w:t xml:space="preserve"> </w:t>
      </w:r>
      <w:r>
        <w:rPr>
          <w:color w:val="231F20"/>
        </w:rPr>
        <w:t>extremist</w:t>
      </w:r>
      <w:r>
        <w:rPr>
          <w:color w:val="231F20"/>
          <w:spacing w:val="-8"/>
        </w:rPr>
        <w:t xml:space="preserve"> </w:t>
      </w:r>
      <w:r>
        <w:rPr>
          <w:color w:val="231F20"/>
        </w:rPr>
        <w:t>views</w:t>
      </w:r>
      <w:r>
        <w:rPr>
          <w:color w:val="231F20"/>
          <w:spacing w:val="-8"/>
        </w:rPr>
        <w:t xml:space="preserve"> </w:t>
      </w:r>
      <w:r>
        <w:rPr>
          <w:color w:val="231F20"/>
        </w:rPr>
        <w:t>due</w:t>
      </w:r>
      <w:r>
        <w:rPr>
          <w:color w:val="231F20"/>
          <w:spacing w:val="-9"/>
        </w:rPr>
        <w:t xml:space="preserve"> </w:t>
      </w:r>
      <w:r>
        <w:rPr>
          <w:color w:val="231F20"/>
        </w:rPr>
        <w:t>to</w:t>
      </w:r>
      <w:r>
        <w:rPr>
          <w:color w:val="231F20"/>
          <w:spacing w:val="-9"/>
        </w:rPr>
        <w:t xml:space="preserve"> </w:t>
      </w:r>
      <w:r>
        <w:rPr>
          <w:color w:val="231F20"/>
        </w:rPr>
        <w:t>their</w:t>
      </w:r>
      <w:r>
        <w:rPr>
          <w:color w:val="231F20"/>
          <w:spacing w:val="-8"/>
        </w:rPr>
        <w:t xml:space="preserve"> </w:t>
      </w:r>
      <w:r>
        <w:rPr>
          <w:color w:val="231F20"/>
        </w:rPr>
        <w:t>declining</w:t>
      </w:r>
      <w:r>
        <w:rPr>
          <w:color w:val="231F20"/>
          <w:spacing w:val="-9"/>
        </w:rPr>
        <w:t xml:space="preserve"> </w:t>
      </w:r>
      <w:r>
        <w:rPr>
          <w:color w:val="231F20"/>
        </w:rPr>
        <w:t>mental</w:t>
      </w:r>
      <w:r>
        <w:rPr>
          <w:color w:val="231F20"/>
          <w:spacing w:val="-9"/>
        </w:rPr>
        <w:t xml:space="preserve"> </w:t>
      </w:r>
      <w:r>
        <w:rPr>
          <w:color w:val="231F20"/>
        </w:rPr>
        <w:t>health.</w:t>
      </w:r>
      <w:r>
        <w:rPr>
          <w:color w:val="231F20"/>
          <w:spacing w:val="-8"/>
        </w:rPr>
        <w:t xml:space="preserve"> </w:t>
      </w:r>
      <w:r>
        <w:rPr>
          <w:color w:val="231F20"/>
        </w:rPr>
        <w:t>The</w:t>
      </w:r>
      <w:r>
        <w:rPr>
          <w:color w:val="231F20"/>
          <w:spacing w:val="-9"/>
        </w:rPr>
        <w:t xml:space="preserve"> </w:t>
      </w:r>
      <w:r>
        <w:rPr>
          <w:color w:val="231F20"/>
        </w:rPr>
        <w:t>unit</w:t>
      </w:r>
      <w:r>
        <w:rPr>
          <w:color w:val="231F20"/>
          <w:spacing w:val="-8"/>
        </w:rPr>
        <w:t xml:space="preserve"> </w:t>
      </w:r>
      <w:r>
        <w:rPr>
          <w:color w:val="231F20"/>
        </w:rPr>
        <w:t xml:space="preserve">is a successful collaboration between DH (Forensicare) and Victoria Police. Between 1 July 2021 and </w:t>
      </w:r>
      <w:r>
        <w:rPr>
          <w:color w:val="231F20"/>
        </w:rPr>
        <w:br/>
        <w:t>7 June 2022, the unit received 272 referrals and accepted 65 cases, with comprehensive advice provided in those cases not accepted.</w:t>
      </w:r>
    </w:p>
    <w:p w14:paraId="0D62D017" w14:textId="77777777" w:rsidR="00345EE3" w:rsidRDefault="00345EE3" w:rsidP="00345EE3">
      <w:pPr>
        <w:pStyle w:val="Heading5"/>
        <w:spacing w:before="176"/>
      </w:pPr>
      <w:r>
        <w:rPr>
          <w:color w:val="58595B"/>
        </w:rPr>
        <w:t>Specialist</w:t>
      </w:r>
      <w:r>
        <w:rPr>
          <w:color w:val="58595B"/>
          <w:spacing w:val="-13"/>
        </w:rPr>
        <w:t xml:space="preserve"> </w:t>
      </w:r>
      <w:r>
        <w:rPr>
          <w:color w:val="58595B"/>
        </w:rPr>
        <w:t>Training</w:t>
      </w:r>
      <w:r>
        <w:rPr>
          <w:color w:val="58595B"/>
          <w:spacing w:val="-10"/>
        </w:rPr>
        <w:t xml:space="preserve"> </w:t>
      </w:r>
      <w:r>
        <w:rPr>
          <w:color w:val="58595B"/>
          <w:spacing w:val="-2"/>
        </w:rPr>
        <w:t>Facility</w:t>
      </w:r>
    </w:p>
    <w:p w14:paraId="22D5ABA5" w14:textId="77777777" w:rsidR="00345EE3" w:rsidRDefault="00345EE3" w:rsidP="00345EE3">
      <w:pPr>
        <w:pStyle w:val="BodyText"/>
        <w:spacing w:before="4" w:line="242" w:lineRule="auto"/>
        <w:ind w:right="1189"/>
      </w:pPr>
      <w:r>
        <w:rPr>
          <w:color w:val="231F20"/>
        </w:rPr>
        <w:t>In April 2022, Victoria Police officially opened its new Specialist Training Facility, which is being</w:t>
      </w:r>
      <w:r>
        <w:rPr>
          <w:color w:val="231F20"/>
          <w:spacing w:val="-7"/>
        </w:rPr>
        <w:t xml:space="preserve"> </w:t>
      </w:r>
      <w:r>
        <w:rPr>
          <w:color w:val="231F20"/>
        </w:rPr>
        <w:t>used</w:t>
      </w:r>
      <w:r>
        <w:rPr>
          <w:color w:val="231F20"/>
          <w:spacing w:val="-7"/>
        </w:rPr>
        <w:t xml:space="preserve"> </w:t>
      </w:r>
      <w:r>
        <w:rPr>
          <w:color w:val="231F20"/>
        </w:rPr>
        <w:t>to</w:t>
      </w:r>
      <w:r>
        <w:rPr>
          <w:color w:val="231F20"/>
          <w:spacing w:val="-7"/>
        </w:rPr>
        <w:t xml:space="preserve"> </w:t>
      </w:r>
      <w:r>
        <w:rPr>
          <w:color w:val="231F20"/>
        </w:rPr>
        <w:t>train</w:t>
      </w:r>
      <w:r>
        <w:rPr>
          <w:color w:val="231F20"/>
          <w:spacing w:val="-7"/>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members</w:t>
      </w:r>
      <w:r>
        <w:rPr>
          <w:color w:val="231F20"/>
          <w:spacing w:val="-6"/>
        </w:rPr>
        <w:t xml:space="preserve"> </w:t>
      </w:r>
      <w:r>
        <w:rPr>
          <w:color w:val="231F20"/>
        </w:rPr>
        <w:t>from</w:t>
      </w:r>
      <w:r>
        <w:rPr>
          <w:color w:val="231F20"/>
          <w:spacing w:val="-6"/>
        </w:rPr>
        <w:t xml:space="preserve"> </w:t>
      </w:r>
      <w:r>
        <w:rPr>
          <w:color w:val="231F20"/>
        </w:rPr>
        <w:t>several</w:t>
      </w:r>
      <w:r>
        <w:rPr>
          <w:color w:val="231F20"/>
          <w:spacing w:val="-7"/>
        </w:rPr>
        <w:t xml:space="preserve"> </w:t>
      </w:r>
      <w:r>
        <w:rPr>
          <w:color w:val="231F20"/>
        </w:rPr>
        <w:t>specialist</w:t>
      </w:r>
      <w:r>
        <w:rPr>
          <w:color w:val="231F20"/>
          <w:spacing w:val="-6"/>
        </w:rPr>
        <w:t xml:space="preserve"> </w:t>
      </w:r>
      <w:r>
        <w:rPr>
          <w:color w:val="231F20"/>
        </w:rPr>
        <w:t>units</w:t>
      </w:r>
      <w:r>
        <w:rPr>
          <w:color w:val="231F20"/>
          <w:spacing w:val="-6"/>
        </w:rPr>
        <w:t xml:space="preserve"> </w:t>
      </w:r>
      <w:r>
        <w:rPr>
          <w:color w:val="231F20"/>
        </w:rPr>
        <w:t>including</w:t>
      </w:r>
      <w:r>
        <w:rPr>
          <w:color w:val="231F20"/>
          <w:spacing w:val="-7"/>
        </w:rPr>
        <w:t xml:space="preserve"> </w:t>
      </w:r>
      <w:r>
        <w:rPr>
          <w:color w:val="231F20"/>
        </w:rPr>
        <w:t>the</w:t>
      </w:r>
      <w:r>
        <w:rPr>
          <w:color w:val="231F20"/>
          <w:spacing w:val="-7"/>
        </w:rPr>
        <w:t xml:space="preserve"> </w:t>
      </w:r>
      <w:r>
        <w:rPr>
          <w:color w:val="231F20"/>
        </w:rPr>
        <w:t>Special Operations</w:t>
      </w:r>
      <w:r>
        <w:rPr>
          <w:color w:val="231F20"/>
          <w:spacing w:val="-12"/>
        </w:rPr>
        <w:t xml:space="preserve"> </w:t>
      </w:r>
      <w:r>
        <w:rPr>
          <w:color w:val="231F20"/>
        </w:rPr>
        <w:t>Group,</w:t>
      </w:r>
      <w:r>
        <w:rPr>
          <w:color w:val="231F20"/>
          <w:spacing w:val="-12"/>
        </w:rPr>
        <w:t xml:space="preserve"> </w:t>
      </w:r>
      <w:r>
        <w:rPr>
          <w:color w:val="231F20"/>
        </w:rPr>
        <w:t>Critical</w:t>
      </w:r>
      <w:r>
        <w:rPr>
          <w:color w:val="231F20"/>
          <w:spacing w:val="-13"/>
        </w:rPr>
        <w:t xml:space="preserve"> </w:t>
      </w:r>
      <w:r>
        <w:rPr>
          <w:color w:val="231F20"/>
        </w:rPr>
        <w:t>Incident</w:t>
      </w:r>
      <w:r>
        <w:rPr>
          <w:color w:val="231F20"/>
          <w:spacing w:val="-12"/>
        </w:rPr>
        <w:t xml:space="preserve"> </w:t>
      </w:r>
      <w:r>
        <w:rPr>
          <w:color w:val="231F20"/>
        </w:rPr>
        <w:t>Response</w:t>
      </w:r>
      <w:r>
        <w:rPr>
          <w:color w:val="231F20"/>
          <w:spacing w:val="-13"/>
        </w:rPr>
        <w:t xml:space="preserve"> </w:t>
      </w:r>
      <w:r>
        <w:rPr>
          <w:color w:val="231F20"/>
        </w:rPr>
        <w:t>Team</w:t>
      </w:r>
      <w:r>
        <w:rPr>
          <w:color w:val="231F20"/>
          <w:spacing w:val="-12"/>
        </w:rPr>
        <w:t xml:space="preserve"> </w:t>
      </w:r>
      <w:r>
        <w:rPr>
          <w:color w:val="231F20"/>
        </w:rPr>
        <w:t>and</w:t>
      </w:r>
      <w:r>
        <w:rPr>
          <w:color w:val="231F20"/>
          <w:spacing w:val="-13"/>
        </w:rPr>
        <w:t xml:space="preserve"> </w:t>
      </w:r>
      <w:r>
        <w:rPr>
          <w:color w:val="231F20"/>
        </w:rPr>
        <w:t>Bomb</w:t>
      </w:r>
      <w:r>
        <w:rPr>
          <w:color w:val="231F20"/>
          <w:spacing w:val="-13"/>
        </w:rPr>
        <w:t xml:space="preserve"> </w:t>
      </w:r>
      <w:r>
        <w:rPr>
          <w:color w:val="231F20"/>
        </w:rPr>
        <w:t>Response</w:t>
      </w:r>
      <w:r>
        <w:rPr>
          <w:color w:val="231F20"/>
          <w:spacing w:val="-13"/>
        </w:rPr>
        <w:t xml:space="preserve"> </w:t>
      </w:r>
      <w:r>
        <w:rPr>
          <w:color w:val="231F20"/>
        </w:rPr>
        <w:t>Unit.</w:t>
      </w:r>
      <w:r>
        <w:rPr>
          <w:color w:val="231F20"/>
          <w:spacing w:val="-12"/>
        </w:rPr>
        <w:t xml:space="preserve"> </w:t>
      </w:r>
      <w:r>
        <w:rPr>
          <w:color w:val="231F20"/>
        </w:rPr>
        <w:t>The</w:t>
      </w:r>
      <w:r>
        <w:rPr>
          <w:color w:val="231F20"/>
          <w:spacing w:val="-13"/>
        </w:rPr>
        <w:t xml:space="preserve"> </w:t>
      </w:r>
      <w:r>
        <w:rPr>
          <w:color w:val="231F20"/>
        </w:rPr>
        <w:t>dedicated world-class facility in Victoria will allow police officers to regularly maintain their skills and practice specialist tactics and techniques, rather than travelling to use facilities that have previously only been available interstate or overseas.</w:t>
      </w:r>
    </w:p>
    <w:p w14:paraId="7A268FA3" w14:textId="77777777" w:rsidR="00345EE3" w:rsidRDefault="00345EE3" w:rsidP="00345EE3">
      <w:pPr>
        <w:pStyle w:val="BodyText"/>
        <w:spacing w:before="122" w:line="242" w:lineRule="auto"/>
        <w:ind w:right="921"/>
      </w:pPr>
      <w:r>
        <w:rPr>
          <w:color w:val="231F20"/>
        </w:rPr>
        <w:t>The facility contains three world-class firing ranges and a combat range that can replicate a house</w:t>
      </w:r>
      <w:r>
        <w:rPr>
          <w:color w:val="231F20"/>
          <w:spacing w:val="-9"/>
        </w:rPr>
        <w:t xml:space="preserve"> </w:t>
      </w:r>
      <w:r>
        <w:rPr>
          <w:color w:val="231F20"/>
        </w:rPr>
        <w:t>or</w:t>
      </w:r>
      <w:r>
        <w:rPr>
          <w:color w:val="231F20"/>
          <w:spacing w:val="-8"/>
        </w:rPr>
        <w:t xml:space="preserve"> </w:t>
      </w:r>
      <w:r>
        <w:rPr>
          <w:color w:val="231F20"/>
        </w:rPr>
        <w:t>office</w:t>
      </w:r>
      <w:r>
        <w:rPr>
          <w:color w:val="231F20"/>
          <w:spacing w:val="-9"/>
        </w:rPr>
        <w:t xml:space="preserve"> </w:t>
      </w:r>
      <w:r>
        <w:rPr>
          <w:color w:val="231F20"/>
        </w:rPr>
        <w:t>situation.</w:t>
      </w:r>
      <w:r>
        <w:rPr>
          <w:color w:val="231F20"/>
          <w:spacing w:val="-8"/>
        </w:rPr>
        <w:t xml:space="preserve"> </w:t>
      </w:r>
      <w:r>
        <w:rPr>
          <w:color w:val="231F20"/>
        </w:rPr>
        <w:t>The</w:t>
      </w:r>
      <w:r>
        <w:rPr>
          <w:color w:val="231F20"/>
          <w:spacing w:val="-9"/>
        </w:rPr>
        <w:t xml:space="preserve"> </w:t>
      </w:r>
      <w:r>
        <w:rPr>
          <w:color w:val="231F20"/>
        </w:rPr>
        <w:t>training</w:t>
      </w:r>
      <w:r>
        <w:rPr>
          <w:color w:val="231F20"/>
          <w:spacing w:val="-9"/>
        </w:rPr>
        <w:t xml:space="preserve"> </w:t>
      </w:r>
      <w:r>
        <w:rPr>
          <w:color w:val="231F20"/>
        </w:rPr>
        <w:t>emulates</w:t>
      </w:r>
      <w:r>
        <w:rPr>
          <w:color w:val="231F20"/>
          <w:spacing w:val="-8"/>
        </w:rPr>
        <w:t xml:space="preserve"> </w:t>
      </w:r>
      <w:r>
        <w:rPr>
          <w:color w:val="231F20"/>
        </w:rPr>
        <w:t>real-life</w:t>
      </w:r>
      <w:r>
        <w:rPr>
          <w:color w:val="231F20"/>
          <w:spacing w:val="-9"/>
        </w:rPr>
        <w:t xml:space="preserve"> </w:t>
      </w:r>
      <w:r>
        <w:rPr>
          <w:color w:val="231F20"/>
        </w:rPr>
        <w:t>scenarios</w:t>
      </w:r>
      <w:r>
        <w:rPr>
          <w:color w:val="231F20"/>
          <w:spacing w:val="-8"/>
        </w:rPr>
        <w:t xml:space="preserve"> </w:t>
      </w:r>
      <w:r>
        <w:rPr>
          <w:color w:val="231F20"/>
        </w:rPr>
        <w:t>to</w:t>
      </w:r>
      <w:r>
        <w:rPr>
          <w:color w:val="231F20"/>
          <w:spacing w:val="-9"/>
        </w:rPr>
        <w:t xml:space="preserve"> </w:t>
      </w:r>
      <w:r>
        <w:rPr>
          <w:color w:val="231F20"/>
        </w:rPr>
        <w:t>ensure</w:t>
      </w:r>
      <w:r>
        <w:rPr>
          <w:color w:val="231F20"/>
          <w:spacing w:val="-9"/>
        </w:rPr>
        <w:t xml:space="preserve"> </w:t>
      </w:r>
      <w:r>
        <w:rPr>
          <w:color w:val="231F20"/>
        </w:rPr>
        <w:t>police</w:t>
      </w:r>
      <w:r>
        <w:rPr>
          <w:color w:val="231F20"/>
          <w:spacing w:val="-9"/>
        </w:rPr>
        <w:t xml:space="preserve"> </w:t>
      </w:r>
      <w:r>
        <w:rPr>
          <w:color w:val="231F20"/>
        </w:rPr>
        <w:t>members</w:t>
      </w:r>
      <w:r>
        <w:rPr>
          <w:color w:val="231F20"/>
          <w:spacing w:val="-8"/>
        </w:rPr>
        <w:t xml:space="preserve"> </w:t>
      </w:r>
      <w:r>
        <w:rPr>
          <w:color w:val="231F20"/>
        </w:rPr>
        <w:t>are equipped and prepared to respond to critical incidents.</w:t>
      </w:r>
    </w:p>
    <w:p w14:paraId="346150FC" w14:textId="77777777" w:rsidR="00345EE3" w:rsidRDefault="00345EE3" w:rsidP="00345EE3">
      <w:pPr>
        <w:pStyle w:val="Heading5"/>
        <w:spacing w:before="174"/>
      </w:pPr>
      <w:r>
        <w:rPr>
          <w:color w:val="58595B"/>
        </w:rPr>
        <w:t xml:space="preserve">Sex Industry </w:t>
      </w:r>
      <w:r>
        <w:rPr>
          <w:color w:val="58595B"/>
          <w:spacing w:val="-2"/>
        </w:rPr>
        <w:t>Decriminalisation</w:t>
      </w:r>
    </w:p>
    <w:p w14:paraId="146C9543" w14:textId="77777777" w:rsidR="00345EE3" w:rsidRDefault="00345EE3" w:rsidP="00345EE3">
      <w:pPr>
        <w:pStyle w:val="BodyText"/>
        <w:spacing w:before="4" w:line="242" w:lineRule="auto"/>
        <w:ind w:right="921"/>
      </w:pPr>
      <w:r>
        <w:rPr>
          <w:color w:val="231F20"/>
        </w:rPr>
        <w:t>The</w:t>
      </w:r>
      <w:r>
        <w:rPr>
          <w:color w:val="231F20"/>
          <w:spacing w:val="-8"/>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Sex</w:t>
      </w:r>
      <w:r>
        <w:rPr>
          <w:color w:val="231F20"/>
          <w:spacing w:val="-7"/>
        </w:rPr>
        <w:t xml:space="preserve"> </w:t>
      </w:r>
      <w:r>
        <w:rPr>
          <w:color w:val="231F20"/>
        </w:rPr>
        <w:t>Work</w:t>
      </w:r>
      <w:r>
        <w:rPr>
          <w:color w:val="231F20"/>
          <w:spacing w:val="-7"/>
        </w:rPr>
        <w:t xml:space="preserve"> </w:t>
      </w:r>
      <w:r>
        <w:rPr>
          <w:color w:val="231F20"/>
        </w:rPr>
        <w:t>Decriminalisation</w:t>
      </w:r>
      <w:r>
        <w:rPr>
          <w:color w:val="231F20"/>
          <w:spacing w:val="-8"/>
        </w:rPr>
        <w:t xml:space="preserve"> </w:t>
      </w:r>
      <w:r>
        <w:rPr>
          <w:color w:val="231F20"/>
        </w:rPr>
        <w:t>Reform</w:t>
      </w:r>
      <w:r>
        <w:rPr>
          <w:color w:val="231F20"/>
          <w:spacing w:val="-7"/>
        </w:rPr>
        <w:t xml:space="preserve"> </w:t>
      </w:r>
      <w:r>
        <w:rPr>
          <w:color w:val="231F20"/>
        </w:rPr>
        <w:t>Unit</w:t>
      </w:r>
      <w:r>
        <w:rPr>
          <w:color w:val="231F20"/>
          <w:spacing w:val="-7"/>
        </w:rPr>
        <w:t xml:space="preserve"> </w:t>
      </w:r>
      <w:r>
        <w:rPr>
          <w:color w:val="231F20"/>
        </w:rPr>
        <w:t>commenced</w:t>
      </w:r>
      <w:r>
        <w:rPr>
          <w:color w:val="231F20"/>
          <w:spacing w:val="-8"/>
        </w:rPr>
        <w:t xml:space="preserve"> </w:t>
      </w:r>
      <w:r>
        <w:rPr>
          <w:color w:val="231F20"/>
        </w:rPr>
        <w:t>on</w:t>
      </w:r>
      <w:r>
        <w:rPr>
          <w:color w:val="231F20"/>
          <w:spacing w:val="-8"/>
        </w:rPr>
        <w:t xml:space="preserve"> </w:t>
      </w:r>
      <w:r>
        <w:rPr>
          <w:color w:val="231F20"/>
        </w:rPr>
        <w:t>1</w:t>
      </w:r>
      <w:r>
        <w:rPr>
          <w:color w:val="231F20"/>
          <w:spacing w:val="-8"/>
        </w:rPr>
        <w:t xml:space="preserve"> </w:t>
      </w:r>
      <w:r>
        <w:rPr>
          <w:color w:val="231F20"/>
        </w:rPr>
        <w:t>February</w:t>
      </w:r>
      <w:r>
        <w:rPr>
          <w:color w:val="231F20"/>
          <w:spacing w:val="-7"/>
        </w:rPr>
        <w:t xml:space="preserve"> </w:t>
      </w:r>
      <w:r>
        <w:rPr>
          <w:color w:val="231F20"/>
        </w:rPr>
        <w:t>2022</w:t>
      </w:r>
      <w:r>
        <w:rPr>
          <w:color w:val="231F20"/>
          <w:spacing w:val="-8"/>
        </w:rPr>
        <w:t xml:space="preserve"> </w:t>
      </w:r>
      <w:r>
        <w:rPr>
          <w:color w:val="231F20"/>
        </w:rPr>
        <w:t>to manage Victoria Police’s response to the decriminalisation of the sex work industry in Victoria. The reforms recognise that sex work is legitimate work and allows industry regulation to be managed through existing government agencies.</w:t>
      </w:r>
    </w:p>
    <w:p w14:paraId="24A6EA48" w14:textId="77777777" w:rsidR="00345EE3" w:rsidRDefault="00345EE3" w:rsidP="00345EE3">
      <w:pPr>
        <w:pStyle w:val="BodyText"/>
        <w:spacing w:before="118" w:line="242" w:lineRule="auto"/>
        <w:ind w:right="995"/>
      </w:pPr>
      <w:r>
        <w:rPr>
          <w:color w:val="231F20"/>
        </w:rPr>
        <w:t>The first tranche of legislative change commenced on 10 May 2022 and included the decriminalisation of street-based sex work. Consultations were held to assess the impacts of tranche</w:t>
      </w:r>
      <w:r>
        <w:rPr>
          <w:color w:val="231F20"/>
          <w:spacing w:val="-2"/>
        </w:rPr>
        <w:t xml:space="preserve"> </w:t>
      </w:r>
      <w:r>
        <w:rPr>
          <w:color w:val="231F20"/>
        </w:rPr>
        <w:t>one</w:t>
      </w:r>
      <w:r>
        <w:rPr>
          <w:color w:val="231F20"/>
          <w:spacing w:val="-2"/>
        </w:rPr>
        <w:t xml:space="preserve"> </w:t>
      </w:r>
      <w:r>
        <w:rPr>
          <w:color w:val="231F20"/>
        </w:rPr>
        <w:t>reforms</w:t>
      </w:r>
      <w:r>
        <w:rPr>
          <w:color w:val="231F20"/>
          <w:spacing w:val="-1"/>
        </w:rPr>
        <w:t xml:space="preserve"> </w:t>
      </w:r>
      <w:r>
        <w:rPr>
          <w:color w:val="231F20"/>
        </w:rPr>
        <w:t>on</w:t>
      </w:r>
      <w:r>
        <w:rPr>
          <w:color w:val="231F20"/>
          <w:spacing w:val="-2"/>
        </w:rPr>
        <w:t xml:space="preserve"> </w:t>
      </w:r>
      <w:r>
        <w:rPr>
          <w:color w:val="231F20"/>
        </w:rPr>
        <w:t>Victoria</w:t>
      </w:r>
      <w:r>
        <w:rPr>
          <w:color w:val="231F20"/>
          <w:spacing w:val="-2"/>
        </w:rPr>
        <w:t xml:space="preserve"> </w:t>
      </w:r>
      <w:r>
        <w:rPr>
          <w:color w:val="231F20"/>
        </w:rPr>
        <w:t>Police.</w:t>
      </w:r>
      <w:r>
        <w:rPr>
          <w:color w:val="231F20"/>
          <w:spacing w:val="-1"/>
        </w:rPr>
        <w:t xml:space="preserve"> </w:t>
      </w:r>
      <w:r>
        <w:rPr>
          <w:color w:val="231F20"/>
        </w:rPr>
        <w:t>This</w:t>
      </w:r>
      <w:r>
        <w:rPr>
          <w:color w:val="231F20"/>
          <w:spacing w:val="-1"/>
        </w:rPr>
        <w:t xml:space="preserve"> </w:t>
      </w:r>
      <w:r>
        <w:rPr>
          <w:color w:val="231F20"/>
        </w:rPr>
        <w:t>assessment</w:t>
      </w:r>
      <w:r>
        <w:rPr>
          <w:color w:val="231F20"/>
          <w:spacing w:val="-1"/>
        </w:rPr>
        <w:t xml:space="preserve"> </w:t>
      </w:r>
      <w:r>
        <w:rPr>
          <w:color w:val="231F20"/>
        </w:rPr>
        <w:t>informed</w:t>
      </w:r>
      <w:r>
        <w:rPr>
          <w:color w:val="231F20"/>
          <w:spacing w:val="-2"/>
        </w:rPr>
        <w:t xml:space="preserve"> </w:t>
      </w:r>
      <w:r>
        <w:rPr>
          <w:color w:val="231F20"/>
        </w:rPr>
        <w:t>the</w:t>
      </w:r>
      <w:r>
        <w:rPr>
          <w:color w:val="231F20"/>
          <w:spacing w:val="-2"/>
        </w:rPr>
        <w:t xml:space="preserve"> </w:t>
      </w:r>
      <w:r>
        <w:rPr>
          <w:color w:val="231F20"/>
        </w:rPr>
        <w:t>development</w:t>
      </w:r>
      <w:r>
        <w:rPr>
          <w:color w:val="231F20"/>
          <w:spacing w:val="-1"/>
        </w:rPr>
        <w:t xml:space="preserve"> </w:t>
      </w:r>
      <w:r>
        <w:rPr>
          <w:color w:val="231F20"/>
        </w:rPr>
        <w:t>of</w:t>
      </w:r>
      <w:r>
        <w:rPr>
          <w:color w:val="231F20"/>
          <w:spacing w:val="-1"/>
        </w:rPr>
        <w:t xml:space="preserve"> </w:t>
      </w:r>
      <w:r>
        <w:rPr>
          <w:color w:val="231F20"/>
        </w:rPr>
        <w:t>training and communications that ensure police members understand the nature of the changes and are prepared for the transition. The Victoria Police Manual and other policy instruments were updated to support frontline Victoria Police members and police operations. Work was also undertaken to ensure intelligence and IT systems are reflective of the new legislation. The changing role of Victoria Police has been communicated through the creation of an external website.</w:t>
      </w:r>
      <w:r>
        <w:rPr>
          <w:color w:val="231F20"/>
          <w:spacing w:val="-9"/>
        </w:rPr>
        <w:t xml:space="preserve"> </w:t>
      </w:r>
      <w:r>
        <w:rPr>
          <w:color w:val="231F20"/>
        </w:rPr>
        <w:t>While</w:t>
      </w:r>
      <w:r>
        <w:rPr>
          <w:color w:val="231F20"/>
          <w:spacing w:val="-10"/>
        </w:rPr>
        <w:t xml:space="preserve"> </w:t>
      </w:r>
      <w:r>
        <w:rPr>
          <w:color w:val="231F20"/>
        </w:rPr>
        <w:t>the</w:t>
      </w:r>
      <w:r>
        <w:rPr>
          <w:color w:val="231F20"/>
          <w:spacing w:val="-10"/>
        </w:rPr>
        <w:t xml:space="preserve"> </w:t>
      </w:r>
      <w:r>
        <w:rPr>
          <w:color w:val="231F20"/>
        </w:rPr>
        <w:t>organisation’s</w:t>
      </w:r>
      <w:r>
        <w:rPr>
          <w:color w:val="231F20"/>
          <w:spacing w:val="-9"/>
        </w:rPr>
        <w:t xml:space="preserve"> </w:t>
      </w:r>
      <w:r>
        <w:rPr>
          <w:color w:val="231F20"/>
        </w:rPr>
        <w:t>role</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sex</w:t>
      </w:r>
      <w:r>
        <w:rPr>
          <w:color w:val="231F20"/>
          <w:spacing w:val="-9"/>
        </w:rPr>
        <w:t xml:space="preserve"> </w:t>
      </w:r>
      <w:r>
        <w:rPr>
          <w:color w:val="231F20"/>
        </w:rPr>
        <w:t>work</w:t>
      </w:r>
      <w:r>
        <w:rPr>
          <w:color w:val="231F20"/>
          <w:spacing w:val="-9"/>
        </w:rPr>
        <w:t xml:space="preserve"> </w:t>
      </w:r>
      <w:r>
        <w:rPr>
          <w:color w:val="231F20"/>
        </w:rPr>
        <w:t>industry</w:t>
      </w:r>
      <w:r>
        <w:rPr>
          <w:color w:val="231F20"/>
          <w:spacing w:val="-9"/>
        </w:rPr>
        <w:t xml:space="preserve"> </w:t>
      </w:r>
      <w:r>
        <w:rPr>
          <w:color w:val="231F20"/>
        </w:rPr>
        <w:t>is</w:t>
      </w:r>
      <w:r>
        <w:rPr>
          <w:color w:val="231F20"/>
          <w:spacing w:val="-9"/>
        </w:rPr>
        <w:t xml:space="preserve"> </w:t>
      </w:r>
      <w:r>
        <w:rPr>
          <w:color w:val="231F20"/>
        </w:rPr>
        <w:t>changing,</w:t>
      </w:r>
      <w:r>
        <w:rPr>
          <w:color w:val="231F20"/>
          <w:spacing w:val="-9"/>
        </w:rPr>
        <w:t xml:space="preserve"> </w:t>
      </w:r>
      <w:r>
        <w:rPr>
          <w:color w:val="231F20"/>
        </w:rPr>
        <w:t>this</w:t>
      </w:r>
      <w:r>
        <w:rPr>
          <w:color w:val="231F20"/>
          <w:spacing w:val="-9"/>
        </w:rPr>
        <w:t xml:space="preserve"> </w:t>
      </w:r>
      <w:r>
        <w:rPr>
          <w:color w:val="231F20"/>
        </w:rPr>
        <w:t>does</w:t>
      </w:r>
      <w:r>
        <w:rPr>
          <w:color w:val="231F20"/>
          <w:spacing w:val="-9"/>
        </w:rPr>
        <w:t xml:space="preserve"> </w:t>
      </w:r>
      <w:r>
        <w:rPr>
          <w:color w:val="231F20"/>
        </w:rPr>
        <w:t>not</w:t>
      </w:r>
      <w:r>
        <w:rPr>
          <w:color w:val="231F20"/>
          <w:spacing w:val="-9"/>
        </w:rPr>
        <w:t xml:space="preserve"> </w:t>
      </w:r>
      <w:r>
        <w:rPr>
          <w:color w:val="231F20"/>
        </w:rPr>
        <w:t>impact Victoria Police’s obligation and commitment to ensuring community safety.</w:t>
      </w:r>
    </w:p>
    <w:p w14:paraId="327695D0" w14:textId="77777777" w:rsidR="00345EE3" w:rsidRDefault="00345EE3" w:rsidP="00345EE3">
      <w:pPr>
        <w:pStyle w:val="Heading5"/>
        <w:spacing w:before="184"/>
      </w:pPr>
      <w:r>
        <w:rPr>
          <w:color w:val="58595B"/>
        </w:rPr>
        <w:t>Drug</w:t>
      </w:r>
      <w:r>
        <w:rPr>
          <w:color w:val="58595B"/>
          <w:spacing w:val="-6"/>
        </w:rPr>
        <w:t xml:space="preserve"> </w:t>
      </w:r>
      <w:r>
        <w:rPr>
          <w:color w:val="58595B"/>
          <w:spacing w:val="-2"/>
        </w:rPr>
        <w:t>Seizures</w:t>
      </w:r>
    </w:p>
    <w:p w14:paraId="0A5E153F" w14:textId="77777777" w:rsidR="00345EE3" w:rsidRDefault="00345EE3" w:rsidP="00345EE3">
      <w:pPr>
        <w:pStyle w:val="BodyText"/>
        <w:spacing w:before="4" w:line="242" w:lineRule="auto"/>
        <w:ind w:right="921"/>
      </w:pPr>
      <w:r>
        <w:rPr>
          <w:color w:val="231F20"/>
        </w:rPr>
        <w:t>Crime Command led the successful identification, disruption and dismantling of serious and organised crime syndicates resulting in prosecutions for high-level drug offending and seized over</w:t>
      </w:r>
      <w:r>
        <w:rPr>
          <w:color w:val="231F20"/>
          <w:spacing w:val="-14"/>
        </w:rPr>
        <w:t xml:space="preserve"> </w:t>
      </w:r>
      <w:r>
        <w:rPr>
          <w:color w:val="231F20"/>
        </w:rPr>
        <w:t>900</w:t>
      </w:r>
      <w:r>
        <w:rPr>
          <w:color w:val="231F20"/>
          <w:spacing w:val="-14"/>
        </w:rPr>
        <w:t xml:space="preserve"> </w:t>
      </w:r>
      <w:r>
        <w:rPr>
          <w:color w:val="231F20"/>
        </w:rPr>
        <w:t>kilograms</w:t>
      </w:r>
      <w:r>
        <w:rPr>
          <w:color w:val="231F20"/>
          <w:spacing w:val="-14"/>
        </w:rPr>
        <w:t xml:space="preserve"> </w:t>
      </w:r>
      <w:r>
        <w:rPr>
          <w:color w:val="231F20"/>
        </w:rPr>
        <w:t>of</w:t>
      </w:r>
      <w:r>
        <w:rPr>
          <w:color w:val="231F20"/>
          <w:spacing w:val="-14"/>
        </w:rPr>
        <w:t xml:space="preserve"> </w:t>
      </w:r>
      <w:r>
        <w:rPr>
          <w:color w:val="231F20"/>
        </w:rPr>
        <w:t>illicit</w:t>
      </w:r>
      <w:r>
        <w:rPr>
          <w:color w:val="231F20"/>
          <w:spacing w:val="-14"/>
        </w:rPr>
        <w:t xml:space="preserve"> </w:t>
      </w:r>
      <w:r>
        <w:rPr>
          <w:color w:val="231F20"/>
        </w:rPr>
        <w:t>drugs,</w:t>
      </w:r>
      <w:r>
        <w:rPr>
          <w:color w:val="231F20"/>
          <w:spacing w:val="-14"/>
        </w:rPr>
        <w:t xml:space="preserve"> </w:t>
      </w:r>
      <w:r>
        <w:rPr>
          <w:color w:val="231F20"/>
        </w:rPr>
        <w:t>including</w:t>
      </w:r>
      <w:r>
        <w:rPr>
          <w:color w:val="231F20"/>
          <w:spacing w:val="-14"/>
        </w:rPr>
        <w:t xml:space="preserve"> </w:t>
      </w:r>
      <w:r>
        <w:rPr>
          <w:color w:val="231F20"/>
        </w:rPr>
        <w:t>cannabis,</w:t>
      </w:r>
      <w:r>
        <w:rPr>
          <w:color w:val="231F20"/>
          <w:spacing w:val="-14"/>
        </w:rPr>
        <w:t xml:space="preserve"> </w:t>
      </w:r>
      <w:r>
        <w:rPr>
          <w:color w:val="231F20"/>
        </w:rPr>
        <w:t>1,4-butanediol,</w:t>
      </w:r>
      <w:r>
        <w:rPr>
          <w:color w:val="231F20"/>
          <w:spacing w:val="-14"/>
        </w:rPr>
        <w:t xml:space="preserve"> </w:t>
      </w:r>
      <w:r>
        <w:rPr>
          <w:color w:val="231F20"/>
        </w:rPr>
        <w:t>methamphetamine,</w:t>
      </w:r>
      <w:r>
        <w:rPr>
          <w:color w:val="231F20"/>
          <w:spacing w:val="-14"/>
        </w:rPr>
        <w:t xml:space="preserve"> </w:t>
      </w:r>
      <w:r>
        <w:rPr>
          <w:color w:val="231F20"/>
        </w:rPr>
        <w:t>heroin and</w:t>
      </w:r>
      <w:r>
        <w:rPr>
          <w:color w:val="231F20"/>
          <w:spacing w:val="-9"/>
        </w:rPr>
        <w:t xml:space="preserve"> </w:t>
      </w:r>
      <w:r>
        <w:rPr>
          <w:color w:val="231F20"/>
        </w:rPr>
        <w:t>cocaine.</w:t>
      </w:r>
      <w:r>
        <w:rPr>
          <w:color w:val="231F20"/>
          <w:spacing w:val="-8"/>
        </w:rPr>
        <w:t xml:space="preserve"> </w:t>
      </w:r>
      <w:r>
        <w:rPr>
          <w:color w:val="231F20"/>
        </w:rPr>
        <w:t>Crime</w:t>
      </w:r>
      <w:r>
        <w:rPr>
          <w:color w:val="231F20"/>
          <w:spacing w:val="-9"/>
        </w:rPr>
        <w:t xml:space="preserve"> </w:t>
      </w:r>
      <w:r>
        <w:rPr>
          <w:color w:val="231F20"/>
        </w:rPr>
        <w:t>Command’s</w:t>
      </w:r>
      <w:r>
        <w:rPr>
          <w:color w:val="231F20"/>
          <w:spacing w:val="-8"/>
        </w:rPr>
        <w:t xml:space="preserve"> </w:t>
      </w:r>
      <w:r>
        <w:rPr>
          <w:color w:val="231F20"/>
        </w:rPr>
        <w:t>agility</w:t>
      </w:r>
      <w:r>
        <w:rPr>
          <w:color w:val="231F20"/>
          <w:spacing w:val="-8"/>
        </w:rPr>
        <w:t xml:space="preserve"> </w:t>
      </w:r>
      <w:r>
        <w:rPr>
          <w:color w:val="231F20"/>
        </w:rPr>
        <w:t>was</w:t>
      </w:r>
      <w:r>
        <w:rPr>
          <w:color w:val="231F20"/>
          <w:spacing w:val="-8"/>
        </w:rPr>
        <w:t xml:space="preserve"> </w:t>
      </w:r>
      <w:r>
        <w:rPr>
          <w:color w:val="231F20"/>
        </w:rPr>
        <w:t>key</w:t>
      </w:r>
      <w:r>
        <w:rPr>
          <w:color w:val="231F20"/>
          <w:spacing w:val="-8"/>
        </w:rPr>
        <w:t xml:space="preserve"> </w:t>
      </w:r>
      <w:r>
        <w:rPr>
          <w:color w:val="231F20"/>
        </w:rPr>
        <w:t>to</w:t>
      </w:r>
      <w:r>
        <w:rPr>
          <w:color w:val="231F20"/>
          <w:spacing w:val="-9"/>
        </w:rPr>
        <w:t xml:space="preserve"> </w:t>
      </w:r>
      <w:r>
        <w:rPr>
          <w:color w:val="231F20"/>
        </w:rPr>
        <w:t>this</w:t>
      </w:r>
      <w:r>
        <w:rPr>
          <w:color w:val="231F20"/>
          <w:spacing w:val="-8"/>
        </w:rPr>
        <w:t xml:space="preserve"> </w:t>
      </w:r>
      <w:r>
        <w:rPr>
          <w:color w:val="231F20"/>
        </w:rPr>
        <w:t>success</w:t>
      </w:r>
      <w:r>
        <w:rPr>
          <w:color w:val="231F20"/>
          <w:spacing w:val="-8"/>
        </w:rPr>
        <w:t xml:space="preserve"> </w:t>
      </w:r>
      <w:r>
        <w:rPr>
          <w:color w:val="231F20"/>
        </w:rPr>
        <w:t>through</w:t>
      </w:r>
      <w:r>
        <w:rPr>
          <w:color w:val="231F20"/>
          <w:spacing w:val="-9"/>
        </w:rPr>
        <w:t xml:space="preserve"> </w:t>
      </w:r>
      <w:r>
        <w:rPr>
          <w:color w:val="231F20"/>
        </w:rPr>
        <w:t>its</w:t>
      </w:r>
      <w:r>
        <w:rPr>
          <w:color w:val="231F20"/>
          <w:spacing w:val="-8"/>
        </w:rPr>
        <w:t xml:space="preserve"> </w:t>
      </w:r>
      <w:r>
        <w:rPr>
          <w:color w:val="231F20"/>
        </w:rPr>
        <w:t>ability</w:t>
      </w:r>
      <w:r>
        <w:rPr>
          <w:color w:val="231F20"/>
          <w:spacing w:val="-8"/>
        </w:rPr>
        <w:t xml:space="preserve"> </w:t>
      </w:r>
      <w:r>
        <w:rPr>
          <w:color w:val="231F20"/>
        </w:rPr>
        <w:t>to</w:t>
      </w:r>
      <w:r>
        <w:rPr>
          <w:color w:val="231F20"/>
          <w:spacing w:val="-9"/>
        </w:rPr>
        <w:t xml:space="preserve"> </w:t>
      </w:r>
      <w:r>
        <w:rPr>
          <w:color w:val="231F20"/>
        </w:rPr>
        <w:t>quickly</w:t>
      </w:r>
      <w:r>
        <w:rPr>
          <w:color w:val="231F20"/>
          <w:spacing w:val="-8"/>
        </w:rPr>
        <w:t xml:space="preserve"> </w:t>
      </w:r>
      <w:r>
        <w:rPr>
          <w:color w:val="231F20"/>
        </w:rPr>
        <w:t>form specialist taskforces to address specific high-harm serious and organised crime.</w:t>
      </w:r>
    </w:p>
    <w:p w14:paraId="5661CCB4" w14:textId="77777777" w:rsidR="00345EE3" w:rsidRDefault="00345EE3" w:rsidP="00345EE3">
      <w:pPr>
        <w:pStyle w:val="Heading5"/>
        <w:spacing w:before="177"/>
      </w:pPr>
      <w:r>
        <w:rPr>
          <w:color w:val="58595B"/>
        </w:rPr>
        <w:t>Asset</w:t>
      </w:r>
      <w:r>
        <w:rPr>
          <w:color w:val="58595B"/>
          <w:spacing w:val="-5"/>
        </w:rPr>
        <w:t xml:space="preserve"> </w:t>
      </w:r>
      <w:r>
        <w:rPr>
          <w:color w:val="58595B"/>
          <w:spacing w:val="-2"/>
        </w:rPr>
        <w:t>Confiscation</w:t>
      </w:r>
    </w:p>
    <w:p w14:paraId="00F705CA" w14:textId="77777777" w:rsidR="00345EE3" w:rsidRDefault="00345EE3" w:rsidP="00345EE3">
      <w:pPr>
        <w:pStyle w:val="BodyText"/>
        <w:spacing w:before="4" w:line="242" w:lineRule="auto"/>
        <w:ind w:right="921"/>
      </w:pPr>
      <w:r>
        <w:rPr>
          <w:color w:val="231F20"/>
        </w:rPr>
        <w:t>In 2021–22, Crime Command identified money laundering activity and unexplained wealth generated by organised crime which resulted in the seizure of over $40 million and largest seizure</w:t>
      </w:r>
      <w:r>
        <w:rPr>
          <w:color w:val="231F20"/>
          <w:spacing w:val="-7"/>
        </w:rPr>
        <w:t xml:space="preserve"> </w:t>
      </w:r>
      <w:r>
        <w:rPr>
          <w:color w:val="231F20"/>
        </w:rPr>
        <w:t>of</w:t>
      </w:r>
      <w:r>
        <w:rPr>
          <w:color w:val="231F20"/>
          <w:spacing w:val="-7"/>
        </w:rPr>
        <w:t xml:space="preserve"> </w:t>
      </w:r>
      <w:r>
        <w:rPr>
          <w:color w:val="231F20"/>
        </w:rPr>
        <w:t>cryptocurrency</w:t>
      </w:r>
      <w:r>
        <w:rPr>
          <w:color w:val="231F20"/>
          <w:spacing w:val="-7"/>
        </w:rPr>
        <w:t xml:space="preserve"> </w:t>
      </w:r>
      <w:r>
        <w:rPr>
          <w:color w:val="231F20"/>
        </w:rPr>
        <w:t>worth</w:t>
      </w:r>
      <w:r>
        <w:rPr>
          <w:color w:val="231F20"/>
          <w:spacing w:val="-7"/>
        </w:rPr>
        <w:t xml:space="preserve"> </w:t>
      </w:r>
      <w:r>
        <w:rPr>
          <w:color w:val="231F20"/>
        </w:rPr>
        <w:t>$8.5</w:t>
      </w:r>
      <w:r>
        <w:rPr>
          <w:color w:val="231F20"/>
          <w:spacing w:val="-7"/>
        </w:rPr>
        <w:t xml:space="preserve"> </w:t>
      </w:r>
      <w:r>
        <w:rPr>
          <w:color w:val="231F20"/>
        </w:rPr>
        <w:t>million.</w:t>
      </w:r>
      <w:r>
        <w:rPr>
          <w:color w:val="231F20"/>
          <w:spacing w:val="-7"/>
        </w:rPr>
        <w:t xml:space="preserve"> </w:t>
      </w:r>
      <w:r>
        <w:rPr>
          <w:color w:val="231F20"/>
        </w:rPr>
        <w:t>This</w:t>
      </w:r>
      <w:r>
        <w:rPr>
          <w:color w:val="231F20"/>
          <w:spacing w:val="-7"/>
        </w:rPr>
        <w:t xml:space="preserve"> </w:t>
      </w:r>
      <w:r>
        <w:rPr>
          <w:color w:val="231F20"/>
        </w:rPr>
        <w:t>is</w:t>
      </w:r>
      <w:r>
        <w:rPr>
          <w:color w:val="231F20"/>
          <w:spacing w:val="-7"/>
        </w:rPr>
        <w:t xml:space="preserve"> </w:t>
      </w:r>
      <w:r>
        <w:rPr>
          <w:color w:val="231F20"/>
        </w:rPr>
        <w:t>the</w:t>
      </w:r>
      <w:r>
        <w:rPr>
          <w:color w:val="231F20"/>
          <w:spacing w:val="-7"/>
        </w:rPr>
        <w:t xml:space="preserve"> </w:t>
      </w:r>
      <w:r>
        <w:rPr>
          <w:color w:val="231F20"/>
        </w:rPr>
        <w:t>largest</w:t>
      </w:r>
      <w:r>
        <w:rPr>
          <w:color w:val="231F20"/>
          <w:spacing w:val="-7"/>
        </w:rPr>
        <w:t xml:space="preserve"> </w:t>
      </w:r>
      <w:r>
        <w:rPr>
          <w:color w:val="231F20"/>
        </w:rPr>
        <w:t>amount</w:t>
      </w:r>
      <w:r>
        <w:rPr>
          <w:color w:val="231F20"/>
          <w:spacing w:val="-7"/>
        </w:rPr>
        <w:t xml:space="preserve"> </w:t>
      </w:r>
      <w:r>
        <w:rPr>
          <w:color w:val="231F20"/>
        </w:rPr>
        <w:t>of</w:t>
      </w:r>
      <w:r>
        <w:rPr>
          <w:color w:val="231F20"/>
          <w:spacing w:val="-7"/>
        </w:rPr>
        <w:t xml:space="preserve"> </w:t>
      </w:r>
      <w:r>
        <w:rPr>
          <w:color w:val="231F20"/>
        </w:rPr>
        <w:t>forfeited</w:t>
      </w:r>
      <w:r>
        <w:rPr>
          <w:color w:val="231F20"/>
          <w:spacing w:val="-7"/>
        </w:rPr>
        <w:t xml:space="preserve"> </w:t>
      </w:r>
      <w:r>
        <w:rPr>
          <w:color w:val="231F20"/>
        </w:rPr>
        <w:t>funds</w:t>
      </w:r>
      <w:r>
        <w:rPr>
          <w:color w:val="231F20"/>
          <w:spacing w:val="-7"/>
        </w:rPr>
        <w:t xml:space="preserve"> </w:t>
      </w:r>
      <w:r>
        <w:rPr>
          <w:color w:val="231F20"/>
        </w:rPr>
        <w:t>in</w:t>
      </w:r>
      <w:r>
        <w:rPr>
          <w:color w:val="231F20"/>
          <w:spacing w:val="-7"/>
        </w:rPr>
        <w:t xml:space="preserve"> </w:t>
      </w:r>
      <w:r>
        <w:rPr>
          <w:color w:val="231F20"/>
        </w:rPr>
        <w:t>the Asset Confiscation Scheme’s history.</w:t>
      </w:r>
    </w:p>
    <w:p w14:paraId="1FA5B52E" w14:textId="77777777" w:rsidR="00345EE3" w:rsidRDefault="00345EE3" w:rsidP="00345EE3">
      <w:pPr>
        <w:rPr>
          <w:b/>
          <w:bCs/>
          <w:color w:val="58595B"/>
          <w:sz w:val="24"/>
          <w:szCs w:val="24"/>
        </w:rPr>
      </w:pPr>
      <w:r>
        <w:rPr>
          <w:color w:val="58595B"/>
        </w:rPr>
        <w:br w:type="page"/>
      </w:r>
    </w:p>
    <w:p w14:paraId="3324724A" w14:textId="77777777" w:rsidR="00345EE3" w:rsidRDefault="00345EE3" w:rsidP="00345EE3">
      <w:pPr>
        <w:pStyle w:val="Heading5"/>
        <w:spacing w:before="175"/>
      </w:pPr>
      <w:r>
        <w:rPr>
          <w:color w:val="58595B"/>
        </w:rPr>
        <w:t>Victoria</w:t>
      </w:r>
      <w:r>
        <w:rPr>
          <w:color w:val="58595B"/>
          <w:spacing w:val="-2"/>
        </w:rPr>
        <w:t xml:space="preserve"> </w:t>
      </w:r>
      <w:r>
        <w:rPr>
          <w:color w:val="58595B"/>
        </w:rPr>
        <w:t>Police</w:t>
      </w:r>
      <w:r>
        <w:rPr>
          <w:color w:val="58595B"/>
          <w:spacing w:val="-2"/>
        </w:rPr>
        <w:t xml:space="preserve"> </w:t>
      </w:r>
      <w:r>
        <w:rPr>
          <w:color w:val="58595B"/>
        </w:rPr>
        <w:t>Serious</w:t>
      </w:r>
      <w:r>
        <w:rPr>
          <w:color w:val="58595B"/>
          <w:spacing w:val="-1"/>
        </w:rPr>
        <w:t xml:space="preserve"> </w:t>
      </w:r>
      <w:r>
        <w:rPr>
          <w:color w:val="58595B"/>
        </w:rPr>
        <w:t>and</w:t>
      </w:r>
      <w:r>
        <w:rPr>
          <w:color w:val="58595B"/>
          <w:spacing w:val="-3"/>
        </w:rPr>
        <w:t xml:space="preserve"> </w:t>
      </w:r>
      <w:r>
        <w:rPr>
          <w:color w:val="58595B"/>
        </w:rPr>
        <w:t>Organised</w:t>
      </w:r>
      <w:r>
        <w:rPr>
          <w:color w:val="58595B"/>
          <w:spacing w:val="-1"/>
        </w:rPr>
        <w:t xml:space="preserve"> </w:t>
      </w:r>
      <w:r>
        <w:rPr>
          <w:color w:val="58595B"/>
        </w:rPr>
        <w:t>Crime</w:t>
      </w:r>
      <w:r>
        <w:rPr>
          <w:color w:val="58595B"/>
          <w:spacing w:val="-3"/>
        </w:rPr>
        <w:t xml:space="preserve"> </w:t>
      </w:r>
      <w:r>
        <w:rPr>
          <w:color w:val="58595B"/>
        </w:rPr>
        <w:t>Strategy</w:t>
      </w:r>
      <w:r>
        <w:rPr>
          <w:color w:val="58595B"/>
          <w:spacing w:val="-1"/>
        </w:rPr>
        <w:t xml:space="preserve"> </w:t>
      </w:r>
      <w:r>
        <w:rPr>
          <w:color w:val="58595B"/>
          <w:spacing w:val="-2"/>
        </w:rPr>
        <w:t>2022–2025</w:t>
      </w:r>
    </w:p>
    <w:p w14:paraId="1841584A" w14:textId="77777777" w:rsidR="00345EE3" w:rsidRDefault="00345EE3" w:rsidP="00345EE3">
      <w:pPr>
        <w:pStyle w:val="BodyText"/>
        <w:spacing w:before="4" w:line="242" w:lineRule="auto"/>
        <w:ind w:right="921"/>
      </w:pPr>
      <w:r>
        <w:rPr>
          <w:color w:val="231F20"/>
        </w:rPr>
        <w:t>In</w:t>
      </w:r>
      <w:r>
        <w:rPr>
          <w:color w:val="231F20"/>
          <w:spacing w:val="-6"/>
        </w:rPr>
        <w:t xml:space="preserve"> </w:t>
      </w:r>
      <w:r>
        <w:rPr>
          <w:color w:val="231F20"/>
        </w:rPr>
        <w:t>March</w:t>
      </w:r>
      <w:r>
        <w:rPr>
          <w:color w:val="231F20"/>
          <w:spacing w:val="-6"/>
        </w:rPr>
        <w:t xml:space="preserve"> </w:t>
      </w:r>
      <w:r>
        <w:rPr>
          <w:color w:val="231F20"/>
        </w:rPr>
        <w:t>2022,</w:t>
      </w:r>
      <w:r>
        <w:rPr>
          <w:color w:val="231F20"/>
          <w:spacing w:val="-5"/>
        </w:rPr>
        <w:t xml:space="preserve"> </w:t>
      </w:r>
      <w:r>
        <w:rPr>
          <w:color w:val="231F20"/>
        </w:rPr>
        <w:t>Crime</w:t>
      </w:r>
      <w:r>
        <w:rPr>
          <w:color w:val="231F20"/>
          <w:spacing w:val="-6"/>
        </w:rPr>
        <w:t xml:space="preserve"> </w:t>
      </w:r>
      <w:r>
        <w:rPr>
          <w:color w:val="231F20"/>
        </w:rPr>
        <w:t>Command</w:t>
      </w:r>
      <w:r>
        <w:rPr>
          <w:color w:val="231F20"/>
          <w:spacing w:val="-6"/>
        </w:rPr>
        <w:t xml:space="preserve"> </w:t>
      </w:r>
      <w:r>
        <w:rPr>
          <w:color w:val="231F20"/>
        </w:rPr>
        <w:t>launched</w:t>
      </w:r>
      <w:r>
        <w:rPr>
          <w:color w:val="231F20"/>
          <w:spacing w:val="-6"/>
        </w:rPr>
        <w:t xml:space="preserve"> </w:t>
      </w:r>
      <w:r>
        <w:rPr>
          <w:color w:val="231F20"/>
        </w:rPr>
        <w:t>the</w:t>
      </w:r>
      <w:r>
        <w:rPr>
          <w:color w:val="231F20"/>
          <w:spacing w:val="-6"/>
        </w:rPr>
        <w:t xml:space="preserve"> </w:t>
      </w:r>
      <w:r>
        <w:rPr>
          <w:i/>
          <w:color w:val="231F20"/>
        </w:rPr>
        <w:t>Victoria</w:t>
      </w:r>
      <w:r>
        <w:rPr>
          <w:i/>
          <w:color w:val="231F20"/>
          <w:spacing w:val="-13"/>
        </w:rPr>
        <w:t xml:space="preserve"> </w:t>
      </w:r>
      <w:r>
        <w:rPr>
          <w:i/>
          <w:color w:val="231F20"/>
        </w:rPr>
        <w:t>Police</w:t>
      </w:r>
      <w:r>
        <w:rPr>
          <w:i/>
          <w:color w:val="231F20"/>
          <w:spacing w:val="-13"/>
        </w:rPr>
        <w:t xml:space="preserve"> </w:t>
      </w:r>
      <w:r>
        <w:rPr>
          <w:i/>
          <w:color w:val="231F20"/>
        </w:rPr>
        <w:t>Serious</w:t>
      </w:r>
      <w:r>
        <w:rPr>
          <w:i/>
          <w:color w:val="231F20"/>
          <w:spacing w:val="-13"/>
        </w:rPr>
        <w:t xml:space="preserve"> </w:t>
      </w:r>
      <w:r>
        <w:rPr>
          <w:i/>
          <w:color w:val="231F20"/>
        </w:rPr>
        <w:t>and</w:t>
      </w:r>
      <w:r>
        <w:rPr>
          <w:i/>
          <w:color w:val="231F20"/>
          <w:spacing w:val="-13"/>
        </w:rPr>
        <w:t xml:space="preserve"> </w:t>
      </w:r>
      <w:r>
        <w:rPr>
          <w:i/>
          <w:color w:val="231F20"/>
        </w:rPr>
        <w:t>Organised</w:t>
      </w:r>
      <w:r>
        <w:rPr>
          <w:i/>
          <w:color w:val="231F20"/>
          <w:spacing w:val="-13"/>
        </w:rPr>
        <w:t xml:space="preserve"> </w:t>
      </w:r>
      <w:r>
        <w:rPr>
          <w:i/>
          <w:color w:val="231F20"/>
        </w:rPr>
        <w:t>Crime Strategy</w:t>
      </w:r>
      <w:r>
        <w:rPr>
          <w:i/>
          <w:color w:val="231F20"/>
          <w:spacing w:val="-17"/>
        </w:rPr>
        <w:t xml:space="preserve"> </w:t>
      </w:r>
      <w:r>
        <w:rPr>
          <w:i/>
          <w:color w:val="231F20"/>
        </w:rPr>
        <w:t>2022–2025</w:t>
      </w:r>
      <w:r>
        <w:rPr>
          <w:color w:val="231F20"/>
        </w:rPr>
        <w:t>.</w:t>
      </w:r>
      <w:r>
        <w:rPr>
          <w:color w:val="231F20"/>
          <w:spacing w:val="-17"/>
        </w:rPr>
        <w:t xml:space="preserve"> </w:t>
      </w:r>
      <w:r>
        <w:rPr>
          <w:color w:val="231F20"/>
        </w:rPr>
        <w:t>This</w:t>
      </w:r>
      <w:r>
        <w:rPr>
          <w:color w:val="231F20"/>
          <w:spacing w:val="-16"/>
        </w:rPr>
        <w:t xml:space="preserve"> </w:t>
      </w:r>
      <w:r>
        <w:rPr>
          <w:color w:val="231F20"/>
        </w:rPr>
        <w:t>strategy</w:t>
      </w:r>
      <w:r>
        <w:rPr>
          <w:color w:val="231F20"/>
          <w:spacing w:val="-16"/>
        </w:rPr>
        <w:t xml:space="preserve"> </w:t>
      </w:r>
      <w:r>
        <w:rPr>
          <w:color w:val="231F20"/>
        </w:rPr>
        <w:t>sets</w:t>
      </w:r>
      <w:r>
        <w:rPr>
          <w:color w:val="231F20"/>
          <w:spacing w:val="-15"/>
        </w:rPr>
        <w:t xml:space="preserve"> </w:t>
      </w:r>
      <w:r>
        <w:rPr>
          <w:color w:val="231F20"/>
        </w:rPr>
        <w:t>out</w:t>
      </w:r>
      <w:r>
        <w:rPr>
          <w:color w:val="231F20"/>
          <w:spacing w:val="-15"/>
        </w:rPr>
        <w:t xml:space="preserve"> </w:t>
      </w:r>
      <w:r>
        <w:rPr>
          <w:color w:val="231F20"/>
        </w:rPr>
        <w:t>a</w:t>
      </w:r>
      <w:r>
        <w:rPr>
          <w:color w:val="231F20"/>
          <w:spacing w:val="-16"/>
        </w:rPr>
        <w:t xml:space="preserve"> </w:t>
      </w:r>
      <w:r>
        <w:rPr>
          <w:color w:val="231F20"/>
        </w:rPr>
        <w:t>framework</w:t>
      </w:r>
      <w:r>
        <w:rPr>
          <w:color w:val="231F20"/>
          <w:spacing w:val="-15"/>
        </w:rPr>
        <w:t xml:space="preserve"> </w:t>
      </w:r>
      <w:r>
        <w:rPr>
          <w:color w:val="231F20"/>
        </w:rPr>
        <w:t>to</w:t>
      </w:r>
      <w:r>
        <w:rPr>
          <w:color w:val="231F20"/>
          <w:spacing w:val="-16"/>
        </w:rPr>
        <w:t xml:space="preserve"> </w:t>
      </w:r>
      <w:r>
        <w:rPr>
          <w:color w:val="231F20"/>
        </w:rPr>
        <w:t>support</w:t>
      </w:r>
      <w:r>
        <w:rPr>
          <w:color w:val="231F20"/>
          <w:spacing w:val="-15"/>
        </w:rPr>
        <w:t xml:space="preserve"> </w:t>
      </w:r>
      <w:r>
        <w:rPr>
          <w:color w:val="231F20"/>
        </w:rPr>
        <w:t>a</w:t>
      </w:r>
      <w:r>
        <w:rPr>
          <w:color w:val="231F20"/>
          <w:spacing w:val="-16"/>
        </w:rPr>
        <w:t xml:space="preserve"> </w:t>
      </w:r>
      <w:r>
        <w:rPr>
          <w:color w:val="231F20"/>
        </w:rPr>
        <w:t>coordinated</w:t>
      </w:r>
      <w:r>
        <w:rPr>
          <w:color w:val="231F20"/>
          <w:spacing w:val="-16"/>
        </w:rPr>
        <w:t xml:space="preserve"> </w:t>
      </w:r>
      <w:r>
        <w:rPr>
          <w:color w:val="231F20"/>
        </w:rPr>
        <w:t>organisational response to continue the disruption and dismantlement of networked criminal groups through five</w:t>
      </w:r>
      <w:r>
        <w:rPr>
          <w:color w:val="231F20"/>
          <w:spacing w:val="-1"/>
        </w:rPr>
        <w:t xml:space="preserve"> </w:t>
      </w:r>
      <w:r>
        <w:rPr>
          <w:color w:val="231F20"/>
        </w:rPr>
        <w:t>key pillars of action</w:t>
      </w:r>
      <w:r>
        <w:rPr>
          <w:color w:val="231F20"/>
          <w:spacing w:val="-1"/>
        </w:rPr>
        <w:t xml:space="preserve"> </w:t>
      </w:r>
      <w:r>
        <w:rPr>
          <w:color w:val="231F20"/>
        </w:rPr>
        <w:t>–</w:t>
      </w:r>
      <w:r>
        <w:rPr>
          <w:color w:val="231F20"/>
          <w:spacing w:val="-1"/>
        </w:rPr>
        <w:t xml:space="preserve"> </w:t>
      </w:r>
      <w:r>
        <w:rPr>
          <w:color w:val="231F20"/>
        </w:rPr>
        <w:t>Partnerships, Intelligence, Legislation, Technology and</w:t>
      </w:r>
      <w:r>
        <w:rPr>
          <w:color w:val="231F20"/>
          <w:spacing w:val="-1"/>
        </w:rPr>
        <w:t xml:space="preserve"> </w:t>
      </w:r>
      <w:r>
        <w:rPr>
          <w:color w:val="231F20"/>
        </w:rPr>
        <w:t>People. The strategy will enable Victoria Police to prevent and deter people joining or becoming victims</w:t>
      </w:r>
    </w:p>
    <w:p w14:paraId="1DE4D116" w14:textId="77777777" w:rsidR="00345EE3" w:rsidRDefault="00345EE3" w:rsidP="00345EE3">
      <w:pPr>
        <w:pStyle w:val="BodyText"/>
        <w:spacing w:before="7" w:line="242" w:lineRule="auto"/>
        <w:ind w:right="921"/>
      </w:pPr>
      <w:r>
        <w:rPr>
          <w:color w:val="231F20"/>
        </w:rPr>
        <w:t>of organised crime, develop better approaches to detecting serious and organised criminal activities,</w:t>
      </w:r>
      <w:r>
        <w:rPr>
          <w:color w:val="231F20"/>
          <w:spacing w:val="-11"/>
        </w:rPr>
        <w:t xml:space="preserve"> </w:t>
      </w:r>
      <w:r>
        <w:rPr>
          <w:color w:val="231F20"/>
        </w:rPr>
        <w:t>disrupting</w:t>
      </w:r>
      <w:r>
        <w:rPr>
          <w:color w:val="231F20"/>
          <w:spacing w:val="-12"/>
        </w:rPr>
        <w:t xml:space="preserve"> </w:t>
      </w:r>
      <w:r>
        <w:rPr>
          <w:color w:val="231F20"/>
        </w:rPr>
        <w:t>criminals’</w:t>
      </w:r>
      <w:r>
        <w:rPr>
          <w:color w:val="231F20"/>
          <w:spacing w:val="-12"/>
        </w:rPr>
        <w:t xml:space="preserve"> </w:t>
      </w:r>
      <w:r>
        <w:rPr>
          <w:color w:val="231F20"/>
        </w:rPr>
        <w:t>daily</w:t>
      </w:r>
      <w:r>
        <w:rPr>
          <w:color w:val="231F20"/>
          <w:spacing w:val="-11"/>
        </w:rPr>
        <w:t xml:space="preserve"> </w:t>
      </w:r>
      <w:r>
        <w:rPr>
          <w:color w:val="231F20"/>
        </w:rPr>
        <w:t>lives</w:t>
      </w:r>
      <w:r>
        <w:rPr>
          <w:color w:val="231F20"/>
          <w:spacing w:val="-11"/>
        </w:rPr>
        <w:t xml:space="preserve"> </w:t>
      </w:r>
      <w:r>
        <w:rPr>
          <w:color w:val="231F20"/>
        </w:rPr>
        <w:t>and</w:t>
      </w:r>
      <w:r>
        <w:rPr>
          <w:color w:val="231F20"/>
          <w:spacing w:val="-12"/>
        </w:rPr>
        <w:t xml:space="preserve"> </w:t>
      </w:r>
      <w:r>
        <w:rPr>
          <w:color w:val="231F20"/>
        </w:rPr>
        <w:t>dismantling</w:t>
      </w:r>
      <w:r>
        <w:rPr>
          <w:color w:val="231F20"/>
          <w:spacing w:val="-12"/>
        </w:rPr>
        <w:t xml:space="preserve"> </w:t>
      </w:r>
      <w:r>
        <w:rPr>
          <w:color w:val="231F20"/>
        </w:rPr>
        <w:t>their</w:t>
      </w:r>
      <w:r>
        <w:rPr>
          <w:color w:val="231F20"/>
          <w:spacing w:val="-11"/>
        </w:rPr>
        <w:t xml:space="preserve"> </w:t>
      </w:r>
      <w:r>
        <w:rPr>
          <w:color w:val="231F20"/>
        </w:rPr>
        <w:t>networks</w:t>
      </w:r>
      <w:r>
        <w:rPr>
          <w:color w:val="231F20"/>
          <w:spacing w:val="-11"/>
        </w:rPr>
        <w:t xml:space="preserve"> </w:t>
      </w:r>
      <w:r>
        <w:rPr>
          <w:color w:val="231F20"/>
        </w:rPr>
        <w:t>and</w:t>
      </w:r>
      <w:r>
        <w:rPr>
          <w:color w:val="231F20"/>
          <w:spacing w:val="-12"/>
        </w:rPr>
        <w:t xml:space="preserve"> </w:t>
      </w:r>
      <w:r>
        <w:rPr>
          <w:color w:val="231F20"/>
        </w:rPr>
        <w:t>bringing</w:t>
      </w:r>
      <w:r>
        <w:rPr>
          <w:color w:val="231F20"/>
          <w:spacing w:val="-12"/>
        </w:rPr>
        <w:t xml:space="preserve"> </w:t>
      </w:r>
      <w:r>
        <w:rPr>
          <w:color w:val="231F20"/>
        </w:rPr>
        <w:t>them</w:t>
      </w:r>
      <w:r>
        <w:rPr>
          <w:color w:val="231F20"/>
          <w:spacing w:val="-11"/>
        </w:rPr>
        <w:t xml:space="preserve"> </w:t>
      </w:r>
      <w:r>
        <w:rPr>
          <w:color w:val="231F20"/>
        </w:rPr>
        <w:t xml:space="preserve">to </w:t>
      </w:r>
      <w:r>
        <w:rPr>
          <w:color w:val="231F20"/>
          <w:spacing w:val="-2"/>
        </w:rPr>
        <w:t>justice.</w:t>
      </w:r>
    </w:p>
    <w:p w14:paraId="6E35EBAE" w14:textId="77777777" w:rsidR="00345EE3" w:rsidRDefault="00345EE3" w:rsidP="00345EE3">
      <w:pPr>
        <w:spacing w:before="62" w:line="242" w:lineRule="auto"/>
        <w:ind w:left="110" w:right="917"/>
        <w:jc w:val="both"/>
        <w:rPr>
          <w:sz w:val="24"/>
        </w:rPr>
      </w:pPr>
      <w:r>
        <w:rPr>
          <w:color w:val="231F20"/>
          <w:spacing w:val="-2"/>
          <w:sz w:val="24"/>
        </w:rPr>
        <w:t>The</w:t>
      </w:r>
      <w:r>
        <w:rPr>
          <w:color w:val="231F20"/>
          <w:spacing w:val="-15"/>
          <w:sz w:val="24"/>
        </w:rPr>
        <w:t xml:space="preserve"> </w:t>
      </w:r>
      <w:r>
        <w:rPr>
          <w:i/>
          <w:color w:val="231F20"/>
          <w:spacing w:val="-2"/>
          <w:sz w:val="24"/>
        </w:rPr>
        <w:t>Victoria</w:t>
      </w:r>
      <w:r>
        <w:rPr>
          <w:i/>
          <w:color w:val="231F20"/>
          <w:spacing w:val="-15"/>
          <w:sz w:val="24"/>
        </w:rPr>
        <w:t xml:space="preserve"> </w:t>
      </w:r>
      <w:r>
        <w:rPr>
          <w:i/>
          <w:color w:val="231F20"/>
          <w:spacing w:val="-2"/>
          <w:sz w:val="24"/>
        </w:rPr>
        <w:t>Police</w:t>
      </w:r>
      <w:r>
        <w:rPr>
          <w:i/>
          <w:color w:val="231F20"/>
          <w:spacing w:val="-14"/>
          <w:sz w:val="24"/>
        </w:rPr>
        <w:t xml:space="preserve"> </w:t>
      </w:r>
      <w:r>
        <w:rPr>
          <w:i/>
          <w:color w:val="231F20"/>
          <w:spacing w:val="-2"/>
          <w:sz w:val="24"/>
        </w:rPr>
        <w:t>Serious</w:t>
      </w:r>
      <w:r>
        <w:rPr>
          <w:i/>
          <w:color w:val="231F20"/>
          <w:spacing w:val="-15"/>
          <w:sz w:val="24"/>
        </w:rPr>
        <w:t xml:space="preserve"> </w:t>
      </w:r>
      <w:r>
        <w:rPr>
          <w:i/>
          <w:color w:val="231F20"/>
          <w:spacing w:val="-2"/>
          <w:sz w:val="24"/>
        </w:rPr>
        <w:t>and</w:t>
      </w:r>
      <w:r>
        <w:rPr>
          <w:i/>
          <w:color w:val="231F20"/>
          <w:spacing w:val="-15"/>
          <w:sz w:val="24"/>
        </w:rPr>
        <w:t xml:space="preserve"> </w:t>
      </w:r>
      <w:r>
        <w:rPr>
          <w:i/>
          <w:color w:val="231F20"/>
          <w:spacing w:val="-2"/>
          <w:sz w:val="24"/>
        </w:rPr>
        <w:t>Organised</w:t>
      </w:r>
      <w:r>
        <w:rPr>
          <w:i/>
          <w:color w:val="231F20"/>
          <w:spacing w:val="-15"/>
          <w:sz w:val="24"/>
        </w:rPr>
        <w:t xml:space="preserve"> </w:t>
      </w:r>
      <w:r>
        <w:rPr>
          <w:i/>
          <w:color w:val="231F20"/>
          <w:spacing w:val="-2"/>
          <w:sz w:val="24"/>
        </w:rPr>
        <w:t>Crime</w:t>
      </w:r>
      <w:r>
        <w:rPr>
          <w:i/>
          <w:color w:val="231F20"/>
          <w:spacing w:val="-14"/>
          <w:sz w:val="24"/>
        </w:rPr>
        <w:t xml:space="preserve"> </w:t>
      </w:r>
      <w:r>
        <w:rPr>
          <w:i/>
          <w:color w:val="231F20"/>
          <w:spacing w:val="-2"/>
          <w:sz w:val="24"/>
        </w:rPr>
        <w:t>Strategy</w:t>
      </w:r>
      <w:r>
        <w:rPr>
          <w:i/>
          <w:color w:val="231F20"/>
          <w:spacing w:val="-15"/>
          <w:sz w:val="24"/>
        </w:rPr>
        <w:t xml:space="preserve"> </w:t>
      </w:r>
      <w:r>
        <w:rPr>
          <w:i/>
          <w:color w:val="231F20"/>
          <w:spacing w:val="-2"/>
          <w:sz w:val="24"/>
        </w:rPr>
        <w:t>2022–2025</w:t>
      </w:r>
      <w:r>
        <w:rPr>
          <w:i/>
          <w:color w:val="231F20"/>
          <w:spacing w:val="-15"/>
          <w:sz w:val="24"/>
        </w:rPr>
        <w:t xml:space="preserve"> </w:t>
      </w:r>
      <w:r>
        <w:rPr>
          <w:color w:val="231F20"/>
          <w:spacing w:val="-2"/>
          <w:sz w:val="24"/>
        </w:rPr>
        <w:t>supports</w:t>
      </w:r>
      <w:r>
        <w:rPr>
          <w:color w:val="231F20"/>
          <w:spacing w:val="-8"/>
          <w:sz w:val="24"/>
        </w:rPr>
        <w:t xml:space="preserve"> </w:t>
      </w:r>
      <w:r>
        <w:rPr>
          <w:color w:val="231F20"/>
          <w:spacing w:val="-2"/>
          <w:sz w:val="24"/>
        </w:rPr>
        <w:t>the</w:t>
      </w:r>
      <w:r>
        <w:rPr>
          <w:color w:val="231F20"/>
          <w:spacing w:val="-9"/>
          <w:sz w:val="24"/>
        </w:rPr>
        <w:t xml:space="preserve"> </w:t>
      </w:r>
      <w:r>
        <w:rPr>
          <w:i/>
          <w:color w:val="231F20"/>
          <w:spacing w:val="-2"/>
          <w:sz w:val="24"/>
        </w:rPr>
        <w:t>Victoria</w:t>
      </w:r>
      <w:r>
        <w:rPr>
          <w:i/>
          <w:color w:val="231F20"/>
          <w:spacing w:val="-15"/>
          <w:sz w:val="24"/>
        </w:rPr>
        <w:t xml:space="preserve"> </w:t>
      </w:r>
      <w:r>
        <w:rPr>
          <w:i/>
          <w:color w:val="231F20"/>
          <w:spacing w:val="-2"/>
          <w:sz w:val="24"/>
        </w:rPr>
        <w:t xml:space="preserve">Police </w:t>
      </w:r>
      <w:r>
        <w:rPr>
          <w:i/>
          <w:color w:val="231F20"/>
          <w:spacing w:val="-4"/>
          <w:sz w:val="24"/>
        </w:rPr>
        <w:t>Drug</w:t>
      </w:r>
      <w:r>
        <w:rPr>
          <w:i/>
          <w:color w:val="231F20"/>
          <w:spacing w:val="-12"/>
          <w:sz w:val="24"/>
        </w:rPr>
        <w:t xml:space="preserve"> </w:t>
      </w:r>
      <w:r>
        <w:rPr>
          <w:i/>
          <w:color w:val="231F20"/>
          <w:spacing w:val="-4"/>
          <w:sz w:val="24"/>
        </w:rPr>
        <w:t>Strategy</w:t>
      </w:r>
      <w:r>
        <w:rPr>
          <w:i/>
          <w:color w:val="231F20"/>
          <w:spacing w:val="-12"/>
          <w:sz w:val="24"/>
        </w:rPr>
        <w:t xml:space="preserve"> </w:t>
      </w:r>
      <w:r>
        <w:rPr>
          <w:i/>
          <w:color w:val="231F20"/>
          <w:spacing w:val="-4"/>
          <w:sz w:val="24"/>
        </w:rPr>
        <w:t>2021–2025</w:t>
      </w:r>
      <w:r>
        <w:rPr>
          <w:color w:val="231F20"/>
          <w:spacing w:val="-4"/>
          <w:sz w:val="24"/>
        </w:rPr>
        <w:t xml:space="preserve">, the </w:t>
      </w:r>
      <w:r>
        <w:rPr>
          <w:i/>
          <w:color w:val="231F20"/>
          <w:spacing w:val="-4"/>
          <w:sz w:val="24"/>
        </w:rPr>
        <w:t>Victoria</w:t>
      </w:r>
      <w:r>
        <w:rPr>
          <w:i/>
          <w:color w:val="231F20"/>
          <w:spacing w:val="-12"/>
          <w:sz w:val="24"/>
        </w:rPr>
        <w:t xml:space="preserve"> </w:t>
      </w:r>
      <w:r>
        <w:rPr>
          <w:i/>
          <w:color w:val="231F20"/>
          <w:spacing w:val="-4"/>
          <w:sz w:val="24"/>
        </w:rPr>
        <w:t>Police</w:t>
      </w:r>
      <w:r>
        <w:rPr>
          <w:i/>
          <w:color w:val="231F20"/>
          <w:spacing w:val="-12"/>
          <w:sz w:val="24"/>
        </w:rPr>
        <w:t xml:space="preserve"> </w:t>
      </w:r>
      <w:r>
        <w:rPr>
          <w:i/>
          <w:color w:val="231F20"/>
          <w:spacing w:val="-4"/>
          <w:sz w:val="24"/>
        </w:rPr>
        <w:t>Illicit</w:t>
      </w:r>
      <w:r>
        <w:rPr>
          <w:i/>
          <w:color w:val="231F20"/>
          <w:spacing w:val="-12"/>
          <w:sz w:val="24"/>
        </w:rPr>
        <w:t xml:space="preserve"> </w:t>
      </w:r>
      <w:r>
        <w:rPr>
          <w:i/>
          <w:color w:val="231F20"/>
          <w:spacing w:val="-4"/>
          <w:sz w:val="24"/>
        </w:rPr>
        <w:t>Firearms</w:t>
      </w:r>
      <w:r>
        <w:rPr>
          <w:i/>
          <w:color w:val="231F20"/>
          <w:spacing w:val="-12"/>
          <w:sz w:val="24"/>
        </w:rPr>
        <w:t xml:space="preserve"> </w:t>
      </w:r>
      <w:r>
        <w:rPr>
          <w:i/>
          <w:color w:val="231F20"/>
          <w:spacing w:val="-4"/>
          <w:sz w:val="24"/>
        </w:rPr>
        <w:t>Strategy</w:t>
      </w:r>
      <w:r>
        <w:rPr>
          <w:i/>
          <w:color w:val="231F20"/>
          <w:spacing w:val="-12"/>
          <w:sz w:val="24"/>
        </w:rPr>
        <w:t xml:space="preserve"> </w:t>
      </w:r>
      <w:r>
        <w:rPr>
          <w:i/>
          <w:color w:val="231F20"/>
          <w:spacing w:val="-4"/>
          <w:sz w:val="24"/>
        </w:rPr>
        <w:t>2022–2025</w:t>
      </w:r>
      <w:r>
        <w:rPr>
          <w:i/>
          <w:color w:val="231F20"/>
          <w:spacing w:val="-8"/>
          <w:sz w:val="24"/>
        </w:rPr>
        <w:t xml:space="preserve"> </w:t>
      </w:r>
      <w:r>
        <w:rPr>
          <w:color w:val="231F20"/>
          <w:spacing w:val="-4"/>
          <w:sz w:val="24"/>
        </w:rPr>
        <w:t xml:space="preserve">the </w:t>
      </w:r>
      <w:r>
        <w:rPr>
          <w:i/>
          <w:color w:val="231F20"/>
          <w:spacing w:val="-4"/>
          <w:sz w:val="24"/>
        </w:rPr>
        <w:t>Victoria</w:t>
      </w:r>
      <w:r>
        <w:rPr>
          <w:i/>
          <w:color w:val="231F20"/>
          <w:spacing w:val="-12"/>
          <w:sz w:val="24"/>
        </w:rPr>
        <w:t xml:space="preserve"> </w:t>
      </w:r>
      <w:r>
        <w:rPr>
          <w:i/>
          <w:color w:val="231F20"/>
          <w:spacing w:val="-4"/>
          <w:sz w:val="24"/>
        </w:rPr>
        <w:t xml:space="preserve">Police </w:t>
      </w:r>
      <w:r>
        <w:rPr>
          <w:i/>
          <w:color w:val="231F20"/>
          <w:sz w:val="24"/>
        </w:rPr>
        <w:t>Cybercrime</w:t>
      </w:r>
      <w:r>
        <w:rPr>
          <w:i/>
          <w:color w:val="231F20"/>
          <w:spacing w:val="-17"/>
          <w:sz w:val="24"/>
        </w:rPr>
        <w:t xml:space="preserve"> </w:t>
      </w:r>
      <w:r>
        <w:rPr>
          <w:i/>
          <w:color w:val="231F20"/>
          <w:sz w:val="24"/>
        </w:rPr>
        <w:t>Strategy</w:t>
      </w:r>
      <w:r>
        <w:rPr>
          <w:i/>
          <w:color w:val="231F20"/>
          <w:spacing w:val="-17"/>
          <w:sz w:val="24"/>
        </w:rPr>
        <w:t xml:space="preserve"> </w:t>
      </w:r>
      <w:r>
        <w:rPr>
          <w:color w:val="231F20"/>
          <w:sz w:val="24"/>
        </w:rPr>
        <w:t>and</w:t>
      </w:r>
      <w:r>
        <w:rPr>
          <w:color w:val="231F20"/>
          <w:spacing w:val="-16"/>
          <w:sz w:val="24"/>
        </w:rPr>
        <w:t xml:space="preserve"> </w:t>
      </w:r>
      <w:r>
        <w:rPr>
          <w:color w:val="231F20"/>
          <w:sz w:val="24"/>
        </w:rPr>
        <w:t>the</w:t>
      </w:r>
      <w:r>
        <w:rPr>
          <w:color w:val="231F20"/>
          <w:spacing w:val="-17"/>
          <w:sz w:val="24"/>
        </w:rPr>
        <w:t xml:space="preserve"> </w:t>
      </w:r>
      <w:r>
        <w:rPr>
          <w:i/>
          <w:color w:val="231F20"/>
          <w:sz w:val="24"/>
        </w:rPr>
        <w:t>Victoria</w:t>
      </w:r>
      <w:r>
        <w:rPr>
          <w:i/>
          <w:color w:val="231F20"/>
          <w:spacing w:val="-17"/>
          <w:sz w:val="24"/>
        </w:rPr>
        <w:t xml:space="preserve"> </w:t>
      </w:r>
      <w:r>
        <w:rPr>
          <w:i/>
          <w:color w:val="231F20"/>
          <w:sz w:val="24"/>
        </w:rPr>
        <w:t>Police</w:t>
      </w:r>
      <w:r>
        <w:rPr>
          <w:i/>
          <w:color w:val="231F20"/>
          <w:spacing w:val="-17"/>
          <w:sz w:val="24"/>
        </w:rPr>
        <w:t xml:space="preserve"> </w:t>
      </w:r>
      <w:r>
        <w:rPr>
          <w:i/>
          <w:color w:val="231F20"/>
          <w:sz w:val="24"/>
        </w:rPr>
        <w:t>Anti-Gangs</w:t>
      </w:r>
      <w:r>
        <w:rPr>
          <w:i/>
          <w:color w:val="231F20"/>
          <w:spacing w:val="-16"/>
          <w:sz w:val="24"/>
        </w:rPr>
        <w:t xml:space="preserve"> </w:t>
      </w:r>
      <w:r>
        <w:rPr>
          <w:i/>
          <w:color w:val="231F20"/>
          <w:sz w:val="24"/>
        </w:rPr>
        <w:t>Strategy</w:t>
      </w:r>
      <w:r>
        <w:rPr>
          <w:color w:val="231F20"/>
          <w:sz w:val="24"/>
        </w:rPr>
        <w:t>.</w:t>
      </w:r>
    </w:p>
    <w:p w14:paraId="259F5AA0" w14:textId="77777777" w:rsidR="00345EE3" w:rsidRDefault="00345EE3" w:rsidP="00345EE3">
      <w:pPr>
        <w:pStyle w:val="Heading5"/>
        <w:spacing w:before="174"/>
      </w:pPr>
      <w:r>
        <w:rPr>
          <w:color w:val="58595B"/>
        </w:rPr>
        <w:t>Victoria</w:t>
      </w:r>
      <w:r>
        <w:rPr>
          <w:color w:val="58595B"/>
          <w:spacing w:val="-1"/>
        </w:rPr>
        <w:t xml:space="preserve"> </w:t>
      </w:r>
      <w:r>
        <w:rPr>
          <w:color w:val="58595B"/>
        </w:rPr>
        <w:t>Police</w:t>
      </w:r>
      <w:r>
        <w:rPr>
          <w:color w:val="58595B"/>
          <w:spacing w:val="-1"/>
        </w:rPr>
        <w:t xml:space="preserve"> </w:t>
      </w:r>
      <w:r>
        <w:rPr>
          <w:color w:val="58595B"/>
        </w:rPr>
        <w:t>Illicit</w:t>
      </w:r>
      <w:r>
        <w:rPr>
          <w:color w:val="58595B"/>
          <w:spacing w:val="-1"/>
        </w:rPr>
        <w:t xml:space="preserve"> </w:t>
      </w:r>
      <w:r>
        <w:rPr>
          <w:color w:val="58595B"/>
        </w:rPr>
        <w:t>Firearms</w:t>
      </w:r>
      <w:r>
        <w:rPr>
          <w:color w:val="58595B"/>
          <w:spacing w:val="-1"/>
        </w:rPr>
        <w:t xml:space="preserve"> </w:t>
      </w:r>
      <w:r>
        <w:rPr>
          <w:color w:val="58595B"/>
        </w:rPr>
        <w:t>Strategy</w:t>
      </w:r>
      <w:r>
        <w:rPr>
          <w:color w:val="58595B"/>
          <w:spacing w:val="-1"/>
        </w:rPr>
        <w:t xml:space="preserve"> </w:t>
      </w:r>
      <w:r>
        <w:rPr>
          <w:color w:val="58595B"/>
          <w:spacing w:val="-2"/>
        </w:rPr>
        <w:t>2022–2025</w:t>
      </w:r>
    </w:p>
    <w:p w14:paraId="6D647747" w14:textId="77777777" w:rsidR="00345EE3" w:rsidRDefault="00345EE3" w:rsidP="00345EE3">
      <w:pPr>
        <w:pStyle w:val="BodyText"/>
        <w:spacing w:before="4" w:line="242" w:lineRule="auto"/>
        <w:ind w:right="921"/>
      </w:pPr>
      <w:r>
        <w:rPr>
          <w:color w:val="231F20"/>
          <w:spacing w:val="-2"/>
        </w:rPr>
        <w:t>In</w:t>
      </w:r>
      <w:r>
        <w:rPr>
          <w:color w:val="231F20"/>
          <w:spacing w:val="-15"/>
        </w:rPr>
        <w:t xml:space="preserve"> </w:t>
      </w:r>
      <w:r>
        <w:rPr>
          <w:color w:val="231F20"/>
          <w:spacing w:val="-2"/>
        </w:rPr>
        <w:t>March</w:t>
      </w:r>
      <w:r>
        <w:rPr>
          <w:color w:val="231F20"/>
          <w:spacing w:val="-9"/>
        </w:rPr>
        <w:t xml:space="preserve"> </w:t>
      </w:r>
      <w:r>
        <w:rPr>
          <w:color w:val="231F20"/>
          <w:spacing w:val="-2"/>
        </w:rPr>
        <w:t>2022,</w:t>
      </w:r>
      <w:r>
        <w:rPr>
          <w:color w:val="231F20"/>
          <w:spacing w:val="-8"/>
        </w:rPr>
        <w:t xml:space="preserve"> </w:t>
      </w:r>
      <w:r>
        <w:rPr>
          <w:color w:val="231F20"/>
          <w:spacing w:val="-2"/>
        </w:rPr>
        <w:t>Crime</w:t>
      </w:r>
      <w:r>
        <w:rPr>
          <w:color w:val="231F20"/>
          <w:spacing w:val="-9"/>
        </w:rPr>
        <w:t xml:space="preserve"> </w:t>
      </w:r>
      <w:r>
        <w:rPr>
          <w:color w:val="231F20"/>
          <w:spacing w:val="-2"/>
        </w:rPr>
        <w:t>Command</w:t>
      </w:r>
      <w:r>
        <w:rPr>
          <w:color w:val="231F20"/>
          <w:spacing w:val="-9"/>
        </w:rPr>
        <w:t xml:space="preserve"> </w:t>
      </w:r>
      <w:r>
        <w:rPr>
          <w:color w:val="231F20"/>
          <w:spacing w:val="-2"/>
        </w:rPr>
        <w:t>launched</w:t>
      </w:r>
      <w:r>
        <w:rPr>
          <w:color w:val="231F20"/>
          <w:spacing w:val="-9"/>
        </w:rPr>
        <w:t xml:space="preserve"> </w:t>
      </w:r>
      <w:r>
        <w:rPr>
          <w:color w:val="231F20"/>
          <w:spacing w:val="-2"/>
        </w:rPr>
        <w:t>the</w:t>
      </w:r>
      <w:r>
        <w:rPr>
          <w:color w:val="231F20"/>
          <w:spacing w:val="-9"/>
        </w:rPr>
        <w:t xml:space="preserve"> </w:t>
      </w:r>
      <w:r>
        <w:rPr>
          <w:i/>
          <w:color w:val="231F20"/>
          <w:spacing w:val="-2"/>
        </w:rPr>
        <w:t>Victoria</w:t>
      </w:r>
      <w:r>
        <w:rPr>
          <w:i/>
          <w:color w:val="231F20"/>
          <w:spacing w:val="-15"/>
        </w:rPr>
        <w:t xml:space="preserve"> </w:t>
      </w:r>
      <w:r>
        <w:rPr>
          <w:i/>
          <w:color w:val="231F20"/>
          <w:spacing w:val="-2"/>
        </w:rPr>
        <w:t>Police</w:t>
      </w:r>
      <w:r>
        <w:rPr>
          <w:i/>
          <w:color w:val="231F20"/>
          <w:spacing w:val="-15"/>
        </w:rPr>
        <w:t xml:space="preserve"> </w:t>
      </w:r>
      <w:r>
        <w:rPr>
          <w:i/>
          <w:color w:val="231F20"/>
          <w:spacing w:val="-2"/>
        </w:rPr>
        <w:t>Illicit</w:t>
      </w:r>
      <w:r>
        <w:rPr>
          <w:i/>
          <w:color w:val="231F20"/>
          <w:spacing w:val="-14"/>
        </w:rPr>
        <w:t xml:space="preserve"> </w:t>
      </w:r>
      <w:r>
        <w:rPr>
          <w:i/>
          <w:color w:val="231F20"/>
          <w:spacing w:val="-2"/>
        </w:rPr>
        <w:t>Firearms</w:t>
      </w:r>
      <w:r>
        <w:rPr>
          <w:i/>
          <w:color w:val="231F20"/>
          <w:spacing w:val="-15"/>
        </w:rPr>
        <w:t xml:space="preserve"> </w:t>
      </w:r>
      <w:r>
        <w:rPr>
          <w:i/>
          <w:color w:val="231F20"/>
          <w:spacing w:val="-2"/>
        </w:rPr>
        <w:t>Strategy</w:t>
      </w:r>
      <w:r>
        <w:rPr>
          <w:i/>
          <w:color w:val="231F20"/>
          <w:spacing w:val="-15"/>
        </w:rPr>
        <w:t xml:space="preserve"> </w:t>
      </w:r>
      <w:r>
        <w:rPr>
          <w:i/>
          <w:color w:val="231F20"/>
          <w:spacing w:val="-2"/>
        </w:rPr>
        <w:t>2022–2025</w:t>
      </w:r>
      <w:r>
        <w:rPr>
          <w:color w:val="231F20"/>
          <w:spacing w:val="-2"/>
        </w:rPr>
        <w:t xml:space="preserve">, </w:t>
      </w:r>
      <w:r>
        <w:rPr>
          <w:color w:val="231F20"/>
        </w:rPr>
        <w:t>the</w:t>
      </w:r>
      <w:r>
        <w:rPr>
          <w:color w:val="231F20"/>
          <w:spacing w:val="-5"/>
        </w:rPr>
        <w:t xml:space="preserve"> </w:t>
      </w:r>
      <w:r>
        <w:rPr>
          <w:color w:val="231F20"/>
        </w:rPr>
        <w:t>framework</w:t>
      </w:r>
      <w:r>
        <w:rPr>
          <w:color w:val="231F20"/>
          <w:spacing w:val="-4"/>
        </w:rPr>
        <w:t xml:space="preserve"> </w:t>
      </w:r>
      <w:r>
        <w:rPr>
          <w:color w:val="231F20"/>
        </w:rPr>
        <w:t>of</w:t>
      </w:r>
      <w:r>
        <w:rPr>
          <w:color w:val="231F20"/>
          <w:spacing w:val="-4"/>
        </w:rPr>
        <w:t xml:space="preserve"> </w:t>
      </w:r>
      <w:r>
        <w:rPr>
          <w:color w:val="231F20"/>
        </w:rPr>
        <w:t>which</w:t>
      </w:r>
      <w:r>
        <w:rPr>
          <w:color w:val="231F20"/>
          <w:spacing w:val="-5"/>
        </w:rPr>
        <w:t xml:space="preserve"> </w:t>
      </w:r>
      <w:r>
        <w:rPr>
          <w:color w:val="231F20"/>
        </w:rPr>
        <w:t>supports</w:t>
      </w:r>
      <w:r>
        <w:rPr>
          <w:color w:val="231F20"/>
          <w:spacing w:val="-4"/>
        </w:rPr>
        <w:t xml:space="preserve"> </w:t>
      </w:r>
      <w:r>
        <w:rPr>
          <w:color w:val="231F20"/>
        </w:rPr>
        <w:t>a</w:t>
      </w:r>
      <w:r>
        <w:rPr>
          <w:color w:val="231F20"/>
          <w:spacing w:val="-5"/>
        </w:rPr>
        <w:t xml:space="preserve"> </w:t>
      </w:r>
      <w:r>
        <w:rPr>
          <w:color w:val="231F20"/>
        </w:rPr>
        <w:t>coordinated</w:t>
      </w:r>
      <w:r>
        <w:rPr>
          <w:color w:val="231F20"/>
          <w:spacing w:val="-5"/>
        </w:rPr>
        <w:t xml:space="preserve"> </w:t>
      </w:r>
      <w:r>
        <w:rPr>
          <w:color w:val="231F20"/>
        </w:rPr>
        <w:t>response</w:t>
      </w:r>
      <w:r>
        <w:rPr>
          <w:color w:val="231F20"/>
          <w:spacing w:val="-5"/>
        </w:rPr>
        <w:t xml:space="preserve"> </w:t>
      </w:r>
      <w:r>
        <w:rPr>
          <w:color w:val="231F20"/>
        </w:rPr>
        <w:t>to</w:t>
      </w:r>
      <w:r>
        <w:rPr>
          <w:color w:val="231F20"/>
          <w:spacing w:val="-5"/>
        </w:rPr>
        <w:t xml:space="preserve"> </w:t>
      </w:r>
      <w:r>
        <w:rPr>
          <w:color w:val="231F20"/>
        </w:rPr>
        <w:t>tackling</w:t>
      </w:r>
      <w:r>
        <w:rPr>
          <w:color w:val="231F20"/>
          <w:spacing w:val="-5"/>
        </w:rPr>
        <w:t xml:space="preserve"> </w:t>
      </w:r>
      <w:r>
        <w:rPr>
          <w:color w:val="231F20"/>
        </w:rPr>
        <w:t>illicit</w:t>
      </w:r>
      <w:r>
        <w:rPr>
          <w:color w:val="231F20"/>
          <w:spacing w:val="-4"/>
        </w:rPr>
        <w:t xml:space="preserve"> </w:t>
      </w:r>
      <w:r>
        <w:rPr>
          <w:color w:val="231F20"/>
        </w:rPr>
        <w:t>firearms.</w:t>
      </w:r>
      <w:r>
        <w:rPr>
          <w:color w:val="231F20"/>
          <w:spacing w:val="-4"/>
        </w:rPr>
        <w:t xml:space="preserve"> </w:t>
      </w:r>
      <w:r>
        <w:rPr>
          <w:color w:val="231F20"/>
        </w:rPr>
        <w:t>The</w:t>
      </w:r>
      <w:r>
        <w:rPr>
          <w:color w:val="231F20"/>
          <w:spacing w:val="-5"/>
        </w:rPr>
        <w:t xml:space="preserve"> </w:t>
      </w:r>
      <w:r>
        <w:rPr>
          <w:color w:val="231F20"/>
        </w:rPr>
        <w:t>strategy is underpinned by the following key themes: intelligence, supply reduction, demand reduction and response enhancement.</w:t>
      </w:r>
    </w:p>
    <w:p w14:paraId="4240BFC0" w14:textId="77777777" w:rsidR="00345EE3" w:rsidRDefault="00345EE3" w:rsidP="00345EE3">
      <w:pPr>
        <w:pStyle w:val="BodyText"/>
        <w:spacing w:before="119" w:line="242" w:lineRule="auto"/>
        <w:ind w:right="848"/>
      </w:pPr>
      <w:r>
        <w:rPr>
          <w:color w:val="231F20"/>
        </w:rPr>
        <w:t>The Illicit Firearms Squad (IFS) in Crime Command continues to target the harm and violence associated with the criminal use of illicit firearms. In 2021–22, a total of 934 illicit firearms were recovered,</w:t>
      </w:r>
      <w:r>
        <w:rPr>
          <w:color w:val="231F20"/>
          <w:spacing w:val="-9"/>
        </w:rPr>
        <w:t xml:space="preserve"> </w:t>
      </w:r>
      <w:r>
        <w:rPr>
          <w:color w:val="231F20"/>
        </w:rPr>
        <w:t>the</w:t>
      </w:r>
      <w:r>
        <w:rPr>
          <w:color w:val="231F20"/>
          <w:spacing w:val="-10"/>
        </w:rPr>
        <w:t xml:space="preserve"> </w:t>
      </w:r>
      <w:r>
        <w:rPr>
          <w:color w:val="231F20"/>
        </w:rPr>
        <w:t>highest</w:t>
      </w:r>
      <w:r>
        <w:rPr>
          <w:color w:val="231F20"/>
          <w:spacing w:val="-9"/>
        </w:rPr>
        <w:t xml:space="preserve"> </w:t>
      </w:r>
      <w:r>
        <w:rPr>
          <w:color w:val="231F20"/>
        </w:rPr>
        <w:t>total</w:t>
      </w:r>
      <w:r>
        <w:rPr>
          <w:color w:val="231F20"/>
          <w:spacing w:val="-10"/>
        </w:rPr>
        <w:t xml:space="preserve"> </w:t>
      </w:r>
      <w:r>
        <w:rPr>
          <w:color w:val="231F20"/>
        </w:rPr>
        <w:t>recoveries</w:t>
      </w:r>
      <w:r>
        <w:rPr>
          <w:color w:val="231F20"/>
          <w:spacing w:val="-9"/>
        </w:rPr>
        <w:t xml:space="preserve"> </w:t>
      </w:r>
      <w:r>
        <w:rPr>
          <w:color w:val="231F20"/>
        </w:rPr>
        <w:t>for</w:t>
      </w:r>
      <w:r>
        <w:rPr>
          <w:color w:val="231F20"/>
          <w:spacing w:val="-9"/>
        </w:rPr>
        <w:t xml:space="preserve"> </w:t>
      </w:r>
      <w:r>
        <w:rPr>
          <w:color w:val="231F20"/>
        </w:rPr>
        <w:t>a</w:t>
      </w:r>
      <w:r>
        <w:rPr>
          <w:color w:val="231F20"/>
          <w:spacing w:val="-10"/>
        </w:rPr>
        <w:t xml:space="preserve"> </w:t>
      </w:r>
      <w:r>
        <w:rPr>
          <w:color w:val="231F20"/>
        </w:rPr>
        <w:t>financial</w:t>
      </w:r>
      <w:r>
        <w:rPr>
          <w:color w:val="231F20"/>
          <w:spacing w:val="-10"/>
        </w:rPr>
        <w:t xml:space="preserve"> </w:t>
      </w:r>
      <w:r>
        <w:rPr>
          <w:color w:val="231F20"/>
        </w:rPr>
        <w:t>year</w:t>
      </w:r>
      <w:r>
        <w:rPr>
          <w:color w:val="231F20"/>
          <w:spacing w:val="-9"/>
        </w:rPr>
        <w:t xml:space="preserve"> </w:t>
      </w:r>
      <w:r>
        <w:rPr>
          <w:color w:val="231F20"/>
        </w:rPr>
        <w:t>period.</w:t>
      </w:r>
      <w:r>
        <w:rPr>
          <w:color w:val="231F20"/>
          <w:spacing w:val="-9"/>
        </w:rPr>
        <w:t xml:space="preserve"> </w:t>
      </w:r>
      <w:r>
        <w:rPr>
          <w:color w:val="231F20"/>
        </w:rPr>
        <w:t>The</w:t>
      </w:r>
      <w:r>
        <w:rPr>
          <w:color w:val="231F20"/>
          <w:spacing w:val="-10"/>
        </w:rPr>
        <w:t xml:space="preserve"> </w:t>
      </w:r>
      <w:r>
        <w:rPr>
          <w:color w:val="231F20"/>
        </w:rPr>
        <w:t>squad</w:t>
      </w:r>
      <w:r>
        <w:rPr>
          <w:color w:val="231F20"/>
          <w:spacing w:val="-10"/>
        </w:rPr>
        <w:t xml:space="preserve"> </w:t>
      </w:r>
      <w:r>
        <w:rPr>
          <w:color w:val="231F20"/>
        </w:rPr>
        <w:t>focuses</w:t>
      </w:r>
      <w:r>
        <w:rPr>
          <w:color w:val="231F20"/>
          <w:spacing w:val="-9"/>
        </w:rPr>
        <w:t xml:space="preserve"> </w:t>
      </w:r>
      <w:r>
        <w:rPr>
          <w:color w:val="231F20"/>
        </w:rPr>
        <w:t>on</w:t>
      </w:r>
      <w:r>
        <w:rPr>
          <w:color w:val="231F20"/>
          <w:spacing w:val="-10"/>
        </w:rPr>
        <w:t xml:space="preserve"> </w:t>
      </w:r>
      <w:r>
        <w:rPr>
          <w:color w:val="231F20"/>
        </w:rPr>
        <w:t>targeted disruption, investigation, the</w:t>
      </w:r>
      <w:r>
        <w:rPr>
          <w:color w:val="231F20"/>
          <w:spacing w:val="-1"/>
        </w:rPr>
        <w:t xml:space="preserve"> </w:t>
      </w:r>
      <w:r>
        <w:rPr>
          <w:color w:val="231F20"/>
        </w:rPr>
        <w:t>capability uplift of regional</w:t>
      </w:r>
      <w:r>
        <w:rPr>
          <w:color w:val="231F20"/>
          <w:spacing w:val="-1"/>
        </w:rPr>
        <w:t xml:space="preserve"> </w:t>
      </w:r>
      <w:r>
        <w:rPr>
          <w:color w:val="231F20"/>
        </w:rPr>
        <w:t>work units and</w:t>
      </w:r>
      <w:r>
        <w:rPr>
          <w:color w:val="231F20"/>
          <w:spacing w:val="-1"/>
        </w:rPr>
        <w:t xml:space="preserve"> </w:t>
      </w:r>
      <w:r>
        <w:rPr>
          <w:color w:val="231F20"/>
        </w:rPr>
        <w:t>the</w:t>
      </w:r>
      <w:r>
        <w:rPr>
          <w:color w:val="231F20"/>
          <w:spacing w:val="-1"/>
        </w:rPr>
        <w:t xml:space="preserve"> </w:t>
      </w:r>
      <w:r>
        <w:rPr>
          <w:color w:val="231F20"/>
        </w:rPr>
        <w:t>ongoing</w:t>
      </w:r>
      <w:r>
        <w:rPr>
          <w:color w:val="231F20"/>
          <w:spacing w:val="-1"/>
        </w:rPr>
        <w:t xml:space="preserve"> </w:t>
      </w:r>
      <w:r>
        <w:rPr>
          <w:color w:val="231F20"/>
        </w:rPr>
        <w:t>use</w:t>
      </w:r>
      <w:r>
        <w:rPr>
          <w:color w:val="231F20"/>
          <w:spacing w:val="-1"/>
        </w:rPr>
        <w:t xml:space="preserve"> </w:t>
      </w:r>
      <w:r>
        <w:rPr>
          <w:color w:val="231F20"/>
        </w:rPr>
        <w:t>of police powers under the Firearm Prohibition Order (FPO) Scheme. These efforts have contributed to</w:t>
      </w:r>
    </w:p>
    <w:p w14:paraId="49090463" w14:textId="77777777" w:rsidR="00345EE3" w:rsidRDefault="00345EE3" w:rsidP="00345EE3">
      <w:pPr>
        <w:pStyle w:val="BodyText"/>
        <w:spacing w:before="7" w:line="242" w:lineRule="auto"/>
        <w:ind w:right="921"/>
      </w:pPr>
      <w:r>
        <w:rPr>
          <w:color w:val="231F20"/>
        </w:rPr>
        <w:t>a</w:t>
      </w:r>
      <w:r>
        <w:rPr>
          <w:color w:val="231F20"/>
          <w:spacing w:val="-12"/>
        </w:rPr>
        <w:t xml:space="preserve"> </w:t>
      </w:r>
      <w:r>
        <w:rPr>
          <w:color w:val="231F20"/>
        </w:rPr>
        <w:t>steady</w:t>
      </w:r>
      <w:r>
        <w:rPr>
          <w:color w:val="231F20"/>
          <w:spacing w:val="-11"/>
        </w:rPr>
        <w:t xml:space="preserve"> </w:t>
      </w:r>
      <w:r>
        <w:rPr>
          <w:color w:val="231F20"/>
        </w:rPr>
        <w:t>decline</w:t>
      </w:r>
      <w:r>
        <w:rPr>
          <w:color w:val="231F20"/>
          <w:spacing w:val="-12"/>
        </w:rPr>
        <w:t xml:space="preserve"> </w:t>
      </w:r>
      <w:r>
        <w:rPr>
          <w:color w:val="231F20"/>
        </w:rPr>
        <w:t>of</w:t>
      </w:r>
      <w:r>
        <w:rPr>
          <w:color w:val="231F20"/>
          <w:spacing w:val="-11"/>
        </w:rPr>
        <w:t xml:space="preserve"> </w:t>
      </w:r>
      <w:r>
        <w:rPr>
          <w:color w:val="231F20"/>
        </w:rPr>
        <w:t>non-fatal</w:t>
      </w:r>
      <w:r>
        <w:rPr>
          <w:color w:val="231F20"/>
          <w:spacing w:val="-12"/>
        </w:rPr>
        <w:t xml:space="preserve"> </w:t>
      </w:r>
      <w:r>
        <w:rPr>
          <w:color w:val="231F20"/>
        </w:rPr>
        <w:t>shooting</w:t>
      </w:r>
      <w:r>
        <w:rPr>
          <w:color w:val="231F20"/>
          <w:spacing w:val="-12"/>
        </w:rPr>
        <w:t xml:space="preserve"> </w:t>
      </w:r>
      <w:r>
        <w:rPr>
          <w:color w:val="231F20"/>
        </w:rPr>
        <w:t>(injury)</w:t>
      </w:r>
      <w:r>
        <w:rPr>
          <w:color w:val="231F20"/>
          <w:spacing w:val="-11"/>
        </w:rPr>
        <w:t xml:space="preserve"> </w:t>
      </w:r>
      <w:r>
        <w:rPr>
          <w:color w:val="231F20"/>
        </w:rPr>
        <w:t>incidents,</w:t>
      </w:r>
      <w:r>
        <w:rPr>
          <w:color w:val="231F20"/>
          <w:spacing w:val="-11"/>
        </w:rPr>
        <w:t xml:space="preserve"> </w:t>
      </w:r>
      <w:r>
        <w:rPr>
          <w:color w:val="231F20"/>
        </w:rPr>
        <w:t>which</w:t>
      </w:r>
      <w:r>
        <w:rPr>
          <w:color w:val="231F20"/>
          <w:spacing w:val="-12"/>
        </w:rPr>
        <w:t xml:space="preserve"> </w:t>
      </w:r>
      <w:r>
        <w:rPr>
          <w:color w:val="231F20"/>
        </w:rPr>
        <w:t>improved</w:t>
      </w:r>
      <w:r>
        <w:rPr>
          <w:color w:val="231F20"/>
          <w:spacing w:val="-12"/>
        </w:rPr>
        <w:t xml:space="preserve"> </w:t>
      </w:r>
      <w:r>
        <w:rPr>
          <w:color w:val="231F20"/>
        </w:rPr>
        <w:t>Victorian</w:t>
      </w:r>
      <w:r>
        <w:rPr>
          <w:color w:val="231F20"/>
          <w:spacing w:val="-12"/>
        </w:rPr>
        <w:t xml:space="preserve"> </w:t>
      </w:r>
      <w:r>
        <w:rPr>
          <w:color w:val="231F20"/>
        </w:rPr>
        <w:t>community safety outcomes through reduced gun violence.</w:t>
      </w:r>
    </w:p>
    <w:p w14:paraId="79FA296C" w14:textId="77777777" w:rsidR="00345EE3" w:rsidRDefault="00345EE3" w:rsidP="002A27BA">
      <w:pPr>
        <w:pStyle w:val="Heading3"/>
      </w:pPr>
      <w:r>
        <w:t>Corporate</w:t>
      </w:r>
      <w:r>
        <w:rPr>
          <w:spacing w:val="-2"/>
        </w:rPr>
        <w:t xml:space="preserve"> </w:t>
      </w:r>
      <w:r>
        <w:t>and Regulatory</w:t>
      </w:r>
      <w:r>
        <w:rPr>
          <w:spacing w:val="-1"/>
        </w:rPr>
        <w:t xml:space="preserve"> </w:t>
      </w:r>
      <w:r>
        <w:rPr>
          <w:spacing w:val="-2"/>
        </w:rPr>
        <w:t>Services</w:t>
      </w:r>
    </w:p>
    <w:p w14:paraId="0D13FDD0" w14:textId="77777777" w:rsidR="00345EE3" w:rsidRDefault="00345EE3" w:rsidP="00345EE3">
      <w:pPr>
        <w:pStyle w:val="BodyText"/>
        <w:spacing w:before="53" w:line="242" w:lineRule="auto"/>
        <w:ind w:right="921"/>
      </w:pPr>
      <w:r>
        <w:rPr>
          <w:color w:val="231F20"/>
        </w:rPr>
        <w:t>The Deputy Secretary, Corporate and Regulatory Services, has the overall responsibility and oversight of Financial Services Department (FSD), Investment Management and Reporting Department</w:t>
      </w:r>
      <w:r>
        <w:rPr>
          <w:color w:val="231F20"/>
          <w:spacing w:val="-13"/>
        </w:rPr>
        <w:t xml:space="preserve"> </w:t>
      </w:r>
      <w:r>
        <w:rPr>
          <w:color w:val="231F20"/>
        </w:rPr>
        <w:t>(IMRD),</w:t>
      </w:r>
      <w:r>
        <w:rPr>
          <w:color w:val="231F20"/>
          <w:spacing w:val="-13"/>
        </w:rPr>
        <w:t xml:space="preserve"> </w:t>
      </w:r>
      <w:r>
        <w:rPr>
          <w:color w:val="231F20"/>
        </w:rPr>
        <w:t>Governance</w:t>
      </w:r>
      <w:r>
        <w:rPr>
          <w:color w:val="231F20"/>
          <w:spacing w:val="-14"/>
        </w:rPr>
        <w:t xml:space="preserve"> </w:t>
      </w:r>
      <w:r>
        <w:rPr>
          <w:color w:val="231F20"/>
        </w:rPr>
        <w:t>and</w:t>
      </w:r>
      <w:r>
        <w:rPr>
          <w:color w:val="231F20"/>
          <w:spacing w:val="-14"/>
        </w:rPr>
        <w:t xml:space="preserve"> </w:t>
      </w:r>
      <w:r>
        <w:rPr>
          <w:color w:val="231F20"/>
        </w:rPr>
        <w:t>Assurance</w:t>
      </w:r>
      <w:r>
        <w:rPr>
          <w:color w:val="231F20"/>
          <w:spacing w:val="-14"/>
        </w:rPr>
        <w:t xml:space="preserve"> </w:t>
      </w:r>
      <w:r>
        <w:rPr>
          <w:color w:val="231F20"/>
        </w:rPr>
        <w:t>Department</w:t>
      </w:r>
      <w:r>
        <w:rPr>
          <w:color w:val="231F20"/>
          <w:spacing w:val="-13"/>
        </w:rPr>
        <w:t xml:space="preserve"> </w:t>
      </w:r>
      <w:r>
        <w:rPr>
          <w:color w:val="231F20"/>
        </w:rPr>
        <w:t>(GAD),</w:t>
      </w:r>
      <w:r>
        <w:rPr>
          <w:color w:val="231F20"/>
          <w:spacing w:val="-13"/>
        </w:rPr>
        <w:t xml:space="preserve"> </w:t>
      </w:r>
      <w:r>
        <w:rPr>
          <w:color w:val="231F20"/>
        </w:rPr>
        <w:t>HRC,</w:t>
      </w:r>
      <w:r>
        <w:rPr>
          <w:color w:val="231F20"/>
          <w:spacing w:val="-13"/>
        </w:rPr>
        <w:t xml:space="preserve"> </w:t>
      </w:r>
      <w:r>
        <w:rPr>
          <w:color w:val="231F20"/>
        </w:rPr>
        <w:t>Regulatory</w:t>
      </w:r>
      <w:r>
        <w:rPr>
          <w:color w:val="231F20"/>
          <w:spacing w:val="-13"/>
        </w:rPr>
        <w:t xml:space="preserve"> </w:t>
      </w:r>
      <w:r>
        <w:rPr>
          <w:color w:val="231F20"/>
        </w:rPr>
        <w:t>Services Department and Police Enquiry and Data Sharing Department (PEDSD). Over the past 12 months, the portfolio areas have focused on improving corporate services provided across the organisation, promoting the health and wellbeing of our staff, developing and implementing strategic financial and budget management initiatives to support organisational objectives and supporting frontline police members.</w:t>
      </w:r>
    </w:p>
    <w:p w14:paraId="52FCC57D" w14:textId="77777777" w:rsidR="00345EE3" w:rsidRDefault="00345EE3" w:rsidP="00345EE3">
      <w:pPr>
        <w:pStyle w:val="Heading5"/>
        <w:spacing w:before="180"/>
      </w:pPr>
      <w:r>
        <w:rPr>
          <w:color w:val="58595B"/>
        </w:rPr>
        <w:t>Assistant</w:t>
      </w:r>
      <w:r>
        <w:rPr>
          <w:color w:val="58595B"/>
          <w:spacing w:val="-7"/>
        </w:rPr>
        <w:t xml:space="preserve"> </w:t>
      </w:r>
      <w:r>
        <w:rPr>
          <w:color w:val="58595B"/>
        </w:rPr>
        <w:t>Commissioner</w:t>
      </w:r>
      <w:r>
        <w:rPr>
          <w:color w:val="58595B"/>
          <w:spacing w:val="-7"/>
        </w:rPr>
        <w:t xml:space="preserve"> </w:t>
      </w:r>
      <w:r>
        <w:rPr>
          <w:color w:val="58595B"/>
        </w:rPr>
        <w:t>appointment</w:t>
      </w:r>
      <w:r>
        <w:rPr>
          <w:color w:val="58595B"/>
          <w:spacing w:val="-7"/>
        </w:rPr>
        <w:t xml:space="preserve"> </w:t>
      </w:r>
      <w:r>
        <w:rPr>
          <w:color w:val="58595B"/>
        </w:rPr>
        <w:t>to</w:t>
      </w:r>
      <w:r>
        <w:rPr>
          <w:color w:val="58595B"/>
          <w:spacing w:val="-6"/>
        </w:rPr>
        <w:t xml:space="preserve"> </w:t>
      </w:r>
      <w:r>
        <w:rPr>
          <w:color w:val="58595B"/>
        </w:rPr>
        <w:t>newly</w:t>
      </w:r>
      <w:r>
        <w:rPr>
          <w:color w:val="58595B"/>
          <w:spacing w:val="-6"/>
        </w:rPr>
        <w:t xml:space="preserve"> </w:t>
      </w:r>
      <w:r>
        <w:rPr>
          <w:color w:val="58595B"/>
        </w:rPr>
        <w:t>created</w:t>
      </w:r>
      <w:r>
        <w:rPr>
          <w:color w:val="58595B"/>
          <w:spacing w:val="-7"/>
        </w:rPr>
        <w:t xml:space="preserve"> </w:t>
      </w:r>
      <w:r>
        <w:rPr>
          <w:color w:val="58595B"/>
        </w:rPr>
        <w:t>Human</w:t>
      </w:r>
      <w:r>
        <w:rPr>
          <w:color w:val="58595B"/>
          <w:spacing w:val="-7"/>
        </w:rPr>
        <w:t xml:space="preserve"> </w:t>
      </w:r>
      <w:r>
        <w:rPr>
          <w:color w:val="58595B"/>
        </w:rPr>
        <w:t>Resources</w:t>
      </w:r>
      <w:r>
        <w:rPr>
          <w:color w:val="58595B"/>
          <w:spacing w:val="-6"/>
        </w:rPr>
        <w:t xml:space="preserve"> </w:t>
      </w:r>
      <w:r>
        <w:rPr>
          <w:color w:val="58595B"/>
          <w:spacing w:val="-2"/>
        </w:rPr>
        <w:t>Command</w:t>
      </w:r>
    </w:p>
    <w:p w14:paraId="46313DB4" w14:textId="77777777" w:rsidR="00345EE3" w:rsidRDefault="00345EE3" w:rsidP="00345EE3">
      <w:pPr>
        <w:pStyle w:val="BodyText"/>
        <w:spacing w:before="4" w:line="242" w:lineRule="auto"/>
        <w:ind w:right="848"/>
      </w:pPr>
      <w:r>
        <w:rPr>
          <w:color w:val="231F20"/>
        </w:rPr>
        <w:t>In February 2022, the Human Resources Department transitioned to the HRC, headed by an Assistant Commissioner. The Gender Equality and Inclusion Command also became a Division within HRC, reporting directly to the Assistant Commissioner. These changes allow for the incorporation</w:t>
      </w:r>
      <w:r>
        <w:rPr>
          <w:color w:val="231F20"/>
          <w:spacing w:val="-10"/>
        </w:rPr>
        <w:t xml:space="preserve"> </w:t>
      </w:r>
      <w:r>
        <w:rPr>
          <w:color w:val="231F20"/>
        </w:rPr>
        <w:t>of</w:t>
      </w:r>
      <w:r>
        <w:rPr>
          <w:color w:val="231F20"/>
          <w:spacing w:val="-9"/>
        </w:rPr>
        <w:t xml:space="preserve"> </w:t>
      </w:r>
      <w:r>
        <w:rPr>
          <w:color w:val="231F20"/>
        </w:rPr>
        <w:t>gender</w:t>
      </w:r>
      <w:r>
        <w:rPr>
          <w:color w:val="231F20"/>
          <w:spacing w:val="-9"/>
        </w:rPr>
        <w:t xml:space="preserve"> </w:t>
      </w:r>
      <w:r>
        <w:rPr>
          <w:color w:val="231F20"/>
        </w:rPr>
        <w:t>equality,</w:t>
      </w:r>
      <w:r>
        <w:rPr>
          <w:color w:val="231F20"/>
          <w:spacing w:val="-9"/>
        </w:rPr>
        <w:t xml:space="preserve"> </w:t>
      </w:r>
      <w:r>
        <w:rPr>
          <w:color w:val="231F20"/>
        </w:rPr>
        <w:t>diversity</w:t>
      </w:r>
      <w:r>
        <w:rPr>
          <w:color w:val="231F20"/>
          <w:spacing w:val="-9"/>
        </w:rPr>
        <w:t xml:space="preserve"> </w:t>
      </w:r>
      <w:r>
        <w:rPr>
          <w:color w:val="231F20"/>
        </w:rPr>
        <w:t>and</w:t>
      </w:r>
      <w:r>
        <w:rPr>
          <w:color w:val="231F20"/>
          <w:spacing w:val="-10"/>
        </w:rPr>
        <w:t xml:space="preserve"> </w:t>
      </w:r>
      <w:r>
        <w:rPr>
          <w:color w:val="231F20"/>
        </w:rPr>
        <w:t>inclusion</w:t>
      </w:r>
      <w:r>
        <w:rPr>
          <w:color w:val="231F20"/>
          <w:spacing w:val="-10"/>
        </w:rPr>
        <w:t xml:space="preserve"> </w:t>
      </w:r>
      <w:r>
        <w:rPr>
          <w:color w:val="231F20"/>
        </w:rPr>
        <w:t>as</w:t>
      </w:r>
      <w:r>
        <w:rPr>
          <w:color w:val="231F20"/>
          <w:spacing w:val="-9"/>
        </w:rPr>
        <w:t xml:space="preserve"> </w:t>
      </w:r>
      <w:r>
        <w:rPr>
          <w:color w:val="231F20"/>
        </w:rPr>
        <w:t>core</w:t>
      </w:r>
      <w:r>
        <w:rPr>
          <w:color w:val="231F20"/>
          <w:spacing w:val="-10"/>
        </w:rPr>
        <w:t xml:space="preserve"> </w:t>
      </w:r>
      <w:r>
        <w:rPr>
          <w:color w:val="231F20"/>
        </w:rPr>
        <w:t>HR</w:t>
      </w:r>
      <w:r>
        <w:rPr>
          <w:color w:val="231F20"/>
          <w:spacing w:val="-10"/>
        </w:rPr>
        <w:t xml:space="preserve"> </w:t>
      </w:r>
      <w:r>
        <w:rPr>
          <w:color w:val="231F20"/>
        </w:rPr>
        <w:t>functions.</w:t>
      </w:r>
      <w:r>
        <w:rPr>
          <w:color w:val="231F20"/>
          <w:spacing w:val="-9"/>
        </w:rPr>
        <w:t xml:space="preserve"> </w:t>
      </w:r>
      <w:r>
        <w:rPr>
          <w:color w:val="231F20"/>
        </w:rPr>
        <w:t>The</w:t>
      </w:r>
      <w:r>
        <w:rPr>
          <w:color w:val="231F20"/>
          <w:spacing w:val="-10"/>
        </w:rPr>
        <w:t xml:space="preserve"> </w:t>
      </w:r>
      <w:r>
        <w:rPr>
          <w:color w:val="231F20"/>
        </w:rPr>
        <w:t>Health,</w:t>
      </w:r>
      <w:r>
        <w:rPr>
          <w:color w:val="231F20"/>
          <w:spacing w:val="-9"/>
        </w:rPr>
        <w:t xml:space="preserve"> </w:t>
      </w:r>
      <w:r>
        <w:rPr>
          <w:color w:val="231F20"/>
        </w:rPr>
        <w:t>Safety and</w:t>
      </w:r>
      <w:r>
        <w:rPr>
          <w:color w:val="231F20"/>
          <w:spacing w:val="-2"/>
        </w:rPr>
        <w:t xml:space="preserve"> </w:t>
      </w:r>
      <w:r>
        <w:rPr>
          <w:color w:val="231F20"/>
        </w:rPr>
        <w:t>Wellbeing</w:t>
      </w:r>
      <w:r>
        <w:rPr>
          <w:color w:val="231F20"/>
          <w:spacing w:val="-2"/>
        </w:rPr>
        <w:t xml:space="preserve"> </w:t>
      </w:r>
      <w:r>
        <w:rPr>
          <w:color w:val="231F20"/>
        </w:rPr>
        <w:t>Division</w:t>
      </w:r>
      <w:r>
        <w:rPr>
          <w:color w:val="231F20"/>
          <w:spacing w:val="-2"/>
        </w:rPr>
        <w:t xml:space="preserve"> </w:t>
      </w:r>
      <w:r>
        <w:rPr>
          <w:color w:val="231F20"/>
        </w:rPr>
        <w:t>was</w:t>
      </w:r>
      <w:r>
        <w:rPr>
          <w:color w:val="231F20"/>
          <w:spacing w:val="-1"/>
        </w:rPr>
        <w:t xml:space="preserve"> </w:t>
      </w:r>
      <w:r>
        <w:rPr>
          <w:color w:val="231F20"/>
        </w:rPr>
        <w:t>also</w:t>
      </w:r>
      <w:r>
        <w:rPr>
          <w:color w:val="231F20"/>
          <w:spacing w:val="-2"/>
        </w:rPr>
        <w:t xml:space="preserve"> </w:t>
      </w:r>
      <w:r>
        <w:rPr>
          <w:color w:val="231F20"/>
        </w:rPr>
        <w:t>expanded</w:t>
      </w:r>
      <w:r>
        <w:rPr>
          <w:color w:val="231F20"/>
          <w:spacing w:val="-2"/>
        </w:rPr>
        <w:t xml:space="preserve"> </w:t>
      </w:r>
      <w:r>
        <w:rPr>
          <w:color w:val="231F20"/>
        </w:rPr>
        <w:t>to</w:t>
      </w:r>
      <w:r>
        <w:rPr>
          <w:color w:val="231F20"/>
          <w:spacing w:val="-2"/>
        </w:rPr>
        <w:t xml:space="preserve"> </w:t>
      </w:r>
      <w:r>
        <w:rPr>
          <w:color w:val="231F20"/>
        </w:rPr>
        <w:t>include</w:t>
      </w:r>
      <w:r>
        <w:rPr>
          <w:color w:val="231F20"/>
          <w:spacing w:val="-2"/>
        </w:rPr>
        <w:t xml:space="preserve"> </w:t>
      </w:r>
      <w:r>
        <w:rPr>
          <w:color w:val="231F20"/>
        </w:rPr>
        <w:t>the</w:t>
      </w:r>
      <w:r>
        <w:rPr>
          <w:color w:val="231F20"/>
          <w:spacing w:val="-2"/>
        </w:rPr>
        <w:t xml:space="preserve"> </w:t>
      </w:r>
      <w:r>
        <w:rPr>
          <w:color w:val="231F20"/>
        </w:rPr>
        <w:t>addition</w:t>
      </w:r>
      <w:r>
        <w:rPr>
          <w:color w:val="231F20"/>
          <w:spacing w:val="-2"/>
        </w:rPr>
        <w:t xml:space="preserve"> </w:t>
      </w:r>
      <w:r>
        <w:rPr>
          <w:color w:val="231F20"/>
        </w:rPr>
        <w:t>of</w:t>
      </w:r>
      <w:r>
        <w:rPr>
          <w:color w:val="231F20"/>
          <w:spacing w:val="-1"/>
        </w:rPr>
        <w:t xml:space="preserve"> </w:t>
      </w:r>
      <w:r>
        <w:rPr>
          <w:color w:val="231F20"/>
        </w:rPr>
        <w:t>a</w:t>
      </w:r>
      <w:r>
        <w:rPr>
          <w:color w:val="231F20"/>
          <w:spacing w:val="-2"/>
        </w:rPr>
        <w:t xml:space="preserve"> </w:t>
      </w:r>
      <w:r>
        <w:rPr>
          <w:color w:val="231F20"/>
        </w:rPr>
        <w:t>Commander</w:t>
      </w:r>
      <w:r>
        <w:rPr>
          <w:color w:val="231F20"/>
          <w:spacing w:val="-1"/>
        </w:rPr>
        <w:t xml:space="preserve"> </w:t>
      </w:r>
      <w:r>
        <w:rPr>
          <w:color w:val="231F20"/>
        </w:rPr>
        <w:t>position</w:t>
      </w:r>
      <w:r>
        <w:rPr>
          <w:color w:val="231F20"/>
          <w:spacing w:val="-2"/>
        </w:rPr>
        <w:t xml:space="preserve"> </w:t>
      </w:r>
      <w:r>
        <w:rPr>
          <w:color w:val="231F20"/>
        </w:rPr>
        <w:t>and project team dedicated to developing and driving initiatives to support the health and safety of our people.</w:t>
      </w:r>
    </w:p>
    <w:p w14:paraId="6A18EE71" w14:textId="77777777" w:rsidR="00345EE3" w:rsidRDefault="00345EE3" w:rsidP="00345EE3">
      <w:pPr>
        <w:pStyle w:val="Heading5"/>
        <w:spacing w:before="180"/>
      </w:pPr>
      <w:r>
        <w:rPr>
          <w:color w:val="58595B"/>
        </w:rPr>
        <w:t>Staff</w:t>
      </w:r>
      <w:r>
        <w:rPr>
          <w:color w:val="58595B"/>
          <w:spacing w:val="-14"/>
        </w:rPr>
        <w:t xml:space="preserve"> </w:t>
      </w:r>
      <w:r>
        <w:rPr>
          <w:color w:val="58595B"/>
        </w:rPr>
        <w:t>Allocation</w:t>
      </w:r>
      <w:r>
        <w:rPr>
          <w:color w:val="58595B"/>
          <w:spacing w:val="-4"/>
        </w:rPr>
        <w:t xml:space="preserve"> </w:t>
      </w:r>
      <w:r>
        <w:rPr>
          <w:color w:val="58595B"/>
        </w:rPr>
        <w:t>Model</w:t>
      </w:r>
      <w:r>
        <w:rPr>
          <w:color w:val="58595B"/>
          <w:spacing w:val="-3"/>
        </w:rPr>
        <w:t xml:space="preserve"> </w:t>
      </w:r>
      <w:r>
        <w:rPr>
          <w:color w:val="58595B"/>
        </w:rPr>
        <w:t>2729</w:t>
      </w:r>
      <w:r>
        <w:rPr>
          <w:color w:val="58595B"/>
          <w:spacing w:val="-4"/>
        </w:rPr>
        <w:t xml:space="preserve"> </w:t>
      </w:r>
      <w:r>
        <w:rPr>
          <w:color w:val="58595B"/>
          <w:spacing w:val="-2"/>
        </w:rPr>
        <w:t>Project</w:t>
      </w:r>
    </w:p>
    <w:p w14:paraId="59804CE6" w14:textId="77777777" w:rsidR="00345EE3" w:rsidRDefault="00345EE3" w:rsidP="00345EE3">
      <w:pPr>
        <w:pStyle w:val="BodyText"/>
        <w:spacing w:before="4" w:line="242" w:lineRule="auto"/>
        <w:ind w:right="848"/>
      </w:pPr>
      <w:r>
        <w:rPr>
          <w:color w:val="231F20"/>
        </w:rPr>
        <w:t>The Staff Allocation Model (SAM) is used by Victoria Police to prioritise the allocation of resources to meet agreed baseline and ultimately strengthen frontline capacity and capability that supports community safety and NHP. The last of the additional 2,729 police officers have been trained at the Academy, and graduations for these recruits occurred in June 2021. This completes the recruitment for the 2,729 project. In December 2021, the responsibility and management</w:t>
      </w:r>
      <w:r>
        <w:rPr>
          <w:color w:val="231F20"/>
          <w:spacing w:val="-14"/>
        </w:rPr>
        <w:t xml:space="preserve"> </w:t>
      </w:r>
      <w:r>
        <w:rPr>
          <w:color w:val="231F20"/>
        </w:rPr>
        <w:t>of</w:t>
      </w:r>
      <w:r>
        <w:rPr>
          <w:color w:val="231F20"/>
          <w:spacing w:val="-14"/>
        </w:rPr>
        <w:t xml:space="preserve"> </w:t>
      </w:r>
      <w:r>
        <w:rPr>
          <w:color w:val="231F20"/>
        </w:rPr>
        <w:t>SAM</w:t>
      </w:r>
      <w:r>
        <w:rPr>
          <w:color w:val="231F20"/>
          <w:spacing w:val="-14"/>
        </w:rPr>
        <w:t xml:space="preserve"> </w:t>
      </w:r>
      <w:r>
        <w:rPr>
          <w:color w:val="231F20"/>
        </w:rPr>
        <w:t>was</w:t>
      </w:r>
      <w:r>
        <w:rPr>
          <w:color w:val="231F20"/>
          <w:spacing w:val="-14"/>
        </w:rPr>
        <w:t xml:space="preserve"> </w:t>
      </w:r>
      <w:r>
        <w:rPr>
          <w:color w:val="231F20"/>
        </w:rPr>
        <w:t>realigned</w:t>
      </w:r>
      <w:r>
        <w:rPr>
          <w:color w:val="231F20"/>
          <w:spacing w:val="-14"/>
        </w:rPr>
        <w:t xml:space="preserve"> </w:t>
      </w:r>
      <w:r>
        <w:rPr>
          <w:color w:val="231F20"/>
        </w:rPr>
        <w:t>to</w:t>
      </w:r>
      <w:r>
        <w:rPr>
          <w:color w:val="231F20"/>
          <w:spacing w:val="-14"/>
        </w:rPr>
        <w:t xml:space="preserve"> </w:t>
      </w:r>
      <w:r>
        <w:rPr>
          <w:color w:val="231F20"/>
        </w:rPr>
        <w:t>Service</w:t>
      </w:r>
      <w:r>
        <w:rPr>
          <w:color w:val="231F20"/>
          <w:spacing w:val="-14"/>
        </w:rPr>
        <w:t xml:space="preserve"> </w:t>
      </w:r>
      <w:r>
        <w:rPr>
          <w:color w:val="231F20"/>
        </w:rPr>
        <w:t>Delivery</w:t>
      </w:r>
      <w:r>
        <w:rPr>
          <w:color w:val="231F20"/>
          <w:spacing w:val="-14"/>
        </w:rPr>
        <w:t xml:space="preserve"> </w:t>
      </w:r>
      <w:r>
        <w:rPr>
          <w:color w:val="231F20"/>
        </w:rPr>
        <w:t>Transformation</w:t>
      </w:r>
      <w:r>
        <w:rPr>
          <w:color w:val="231F20"/>
          <w:spacing w:val="-14"/>
        </w:rPr>
        <w:t xml:space="preserve"> </w:t>
      </w:r>
      <w:r>
        <w:rPr>
          <w:color w:val="231F20"/>
        </w:rPr>
        <w:t>Command</w:t>
      </w:r>
      <w:r>
        <w:rPr>
          <w:color w:val="231F20"/>
          <w:spacing w:val="-14"/>
        </w:rPr>
        <w:t xml:space="preserve"> </w:t>
      </w:r>
      <w:r>
        <w:rPr>
          <w:color w:val="231F20"/>
        </w:rPr>
        <w:t>(SDTC)</w:t>
      </w:r>
      <w:r>
        <w:rPr>
          <w:color w:val="231F20"/>
          <w:spacing w:val="-14"/>
        </w:rPr>
        <w:t xml:space="preserve"> </w:t>
      </w:r>
      <w:r>
        <w:rPr>
          <w:color w:val="231F20"/>
        </w:rPr>
        <w:t>within the Capability Portfolio for all future strategic decision and planning.</w:t>
      </w:r>
    </w:p>
    <w:p w14:paraId="2A130A51" w14:textId="77777777" w:rsidR="00345EE3" w:rsidRDefault="00345EE3" w:rsidP="00345EE3">
      <w:pPr>
        <w:rPr>
          <w:b/>
          <w:bCs/>
          <w:color w:val="58595B"/>
          <w:sz w:val="24"/>
          <w:szCs w:val="24"/>
        </w:rPr>
      </w:pPr>
      <w:r>
        <w:rPr>
          <w:color w:val="58595B"/>
        </w:rPr>
        <w:br w:type="page"/>
      </w:r>
    </w:p>
    <w:p w14:paraId="377F9B72" w14:textId="77777777" w:rsidR="00345EE3" w:rsidRDefault="00345EE3" w:rsidP="00345EE3">
      <w:pPr>
        <w:pStyle w:val="Heading5"/>
        <w:spacing w:before="179" w:line="242" w:lineRule="auto"/>
        <w:ind w:right="921"/>
      </w:pPr>
      <w:r>
        <w:rPr>
          <w:color w:val="58595B"/>
        </w:rPr>
        <w:t>Random</w:t>
      </w:r>
      <w:r>
        <w:rPr>
          <w:color w:val="58595B"/>
          <w:spacing w:val="-4"/>
        </w:rPr>
        <w:t xml:space="preserve"> </w:t>
      </w:r>
      <w:r>
        <w:rPr>
          <w:color w:val="58595B"/>
        </w:rPr>
        <w:t>Drug</w:t>
      </w:r>
      <w:r>
        <w:rPr>
          <w:color w:val="58595B"/>
          <w:spacing w:val="-4"/>
        </w:rPr>
        <w:t xml:space="preserve"> </w:t>
      </w:r>
      <w:r>
        <w:rPr>
          <w:color w:val="58595B"/>
        </w:rPr>
        <w:t>and</w:t>
      </w:r>
      <w:r>
        <w:rPr>
          <w:color w:val="58595B"/>
          <w:spacing w:val="-13"/>
        </w:rPr>
        <w:t xml:space="preserve"> </w:t>
      </w:r>
      <w:r>
        <w:rPr>
          <w:color w:val="58595B"/>
        </w:rPr>
        <w:t>Alcohol</w:t>
      </w:r>
      <w:r>
        <w:rPr>
          <w:color w:val="58595B"/>
          <w:spacing w:val="-4"/>
        </w:rPr>
        <w:t xml:space="preserve"> </w:t>
      </w:r>
      <w:r>
        <w:rPr>
          <w:color w:val="58595B"/>
        </w:rPr>
        <w:t>testing</w:t>
      </w:r>
      <w:r>
        <w:rPr>
          <w:color w:val="58595B"/>
          <w:spacing w:val="-3"/>
        </w:rPr>
        <w:t xml:space="preserve"> </w:t>
      </w:r>
      <w:r>
        <w:rPr>
          <w:color w:val="58595B"/>
        </w:rPr>
        <w:t>of</w:t>
      </w:r>
      <w:r>
        <w:rPr>
          <w:color w:val="58595B"/>
          <w:spacing w:val="-3"/>
        </w:rPr>
        <w:t xml:space="preserve"> </w:t>
      </w:r>
      <w:r>
        <w:rPr>
          <w:color w:val="58595B"/>
        </w:rPr>
        <w:t>Police,</w:t>
      </w:r>
      <w:r>
        <w:rPr>
          <w:color w:val="58595B"/>
          <w:spacing w:val="-3"/>
        </w:rPr>
        <w:t xml:space="preserve"> </w:t>
      </w:r>
      <w:r>
        <w:rPr>
          <w:color w:val="58595B"/>
        </w:rPr>
        <w:t>Protective</w:t>
      </w:r>
      <w:r>
        <w:rPr>
          <w:color w:val="58595B"/>
          <w:spacing w:val="-3"/>
        </w:rPr>
        <w:t xml:space="preserve"> </w:t>
      </w:r>
      <w:r>
        <w:rPr>
          <w:color w:val="58595B"/>
        </w:rPr>
        <w:t>Services</w:t>
      </w:r>
      <w:r>
        <w:rPr>
          <w:color w:val="58595B"/>
          <w:spacing w:val="-3"/>
        </w:rPr>
        <w:t xml:space="preserve"> </w:t>
      </w:r>
      <w:r>
        <w:rPr>
          <w:color w:val="58595B"/>
        </w:rPr>
        <w:t>Officers</w:t>
      </w:r>
      <w:r>
        <w:rPr>
          <w:color w:val="58595B"/>
          <w:spacing w:val="-3"/>
        </w:rPr>
        <w:t xml:space="preserve"> </w:t>
      </w:r>
      <w:r>
        <w:rPr>
          <w:color w:val="58595B"/>
        </w:rPr>
        <w:t>and</w:t>
      </w:r>
      <w:r>
        <w:rPr>
          <w:color w:val="58595B"/>
          <w:spacing w:val="-4"/>
        </w:rPr>
        <w:t xml:space="preserve"> </w:t>
      </w:r>
      <w:r>
        <w:rPr>
          <w:color w:val="58595B"/>
        </w:rPr>
        <w:t>Police Custody Officers</w:t>
      </w:r>
    </w:p>
    <w:p w14:paraId="357B2BF9" w14:textId="77777777" w:rsidR="00345EE3" w:rsidRDefault="00345EE3" w:rsidP="00345EE3">
      <w:pPr>
        <w:pStyle w:val="BodyText"/>
        <w:spacing w:before="3" w:line="242" w:lineRule="auto"/>
        <w:ind w:right="848"/>
      </w:pPr>
      <w:r>
        <w:rPr>
          <w:color w:val="231F20"/>
        </w:rPr>
        <w:t>In response to recommendations from IBAC, Victoria Police has transitioned from a small-scale random</w:t>
      </w:r>
      <w:r>
        <w:rPr>
          <w:color w:val="231F20"/>
          <w:spacing w:val="-6"/>
        </w:rPr>
        <w:t xml:space="preserve"> </w:t>
      </w:r>
      <w:r>
        <w:rPr>
          <w:color w:val="231F20"/>
        </w:rPr>
        <w:t>and</w:t>
      </w:r>
      <w:r>
        <w:rPr>
          <w:color w:val="231F20"/>
          <w:spacing w:val="-7"/>
        </w:rPr>
        <w:t xml:space="preserve"> </w:t>
      </w:r>
      <w:r>
        <w:rPr>
          <w:color w:val="231F20"/>
        </w:rPr>
        <w:t>targeted</w:t>
      </w:r>
      <w:r>
        <w:rPr>
          <w:color w:val="231F20"/>
          <w:spacing w:val="-7"/>
        </w:rPr>
        <w:t xml:space="preserve"> </w:t>
      </w:r>
      <w:r>
        <w:rPr>
          <w:color w:val="231F20"/>
        </w:rPr>
        <w:t>drug</w:t>
      </w:r>
      <w:r>
        <w:rPr>
          <w:color w:val="231F20"/>
          <w:spacing w:val="-7"/>
        </w:rPr>
        <w:t xml:space="preserve"> </w:t>
      </w:r>
      <w:r>
        <w:rPr>
          <w:color w:val="231F20"/>
        </w:rPr>
        <w:t>and</w:t>
      </w:r>
      <w:r>
        <w:rPr>
          <w:color w:val="231F20"/>
          <w:spacing w:val="-7"/>
        </w:rPr>
        <w:t xml:space="preserve"> </w:t>
      </w:r>
      <w:r>
        <w:rPr>
          <w:color w:val="231F20"/>
        </w:rPr>
        <w:t>alcohol</w:t>
      </w:r>
      <w:r>
        <w:rPr>
          <w:color w:val="231F20"/>
          <w:spacing w:val="-7"/>
        </w:rPr>
        <w:t xml:space="preserve"> </w:t>
      </w:r>
      <w:r>
        <w:rPr>
          <w:color w:val="231F20"/>
        </w:rPr>
        <w:t>testing</w:t>
      </w:r>
      <w:r>
        <w:rPr>
          <w:color w:val="231F20"/>
          <w:spacing w:val="-7"/>
        </w:rPr>
        <w:t xml:space="preserve"> </w:t>
      </w:r>
      <w:r>
        <w:rPr>
          <w:color w:val="231F20"/>
        </w:rPr>
        <w:t>scheme</w:t>
      </w:r>
      <w:r>
        <w:rPr>
          <w:color w:val="231F20"/>
          <w:spacing w:val="-7"/>
        </w:rPr>
        <w:t xml:space="preserve"> </w:t>
      </w:r>
      <w:r>
        <w:rPr>
          <w:color w:val="231F20"/>
        </w:rPr>
        <w:t>to</w:t>
      </w:r>
      <w:r>
        <w:rPr>
          <w:color w:val="231F20"/>
          <w:spacing w:val="-7"/>
        </w:rPr>
        <w:t xml:space="preserve"> </w:t>
      </w:r>
      <w:r>
        <w:rPr>
          <w:color w:val="231F20"/>
        </w:rPr>
        <w:t>a</w:t>
      </w:r>
      <w:r>
        <w:rPr>
          <w:color w:val="231F20"/>
          <w:spacing w:val="-7"/>
        </w:rPr>
        <w:t xml:space="preserve"> </w:t>
      </w:r>
      <w:r>
        <w:rPr>
          <w:color w:val="231F20"/>
        </w:rPr>
        <w:t>whole</w:t>
      </w:r>
      <w:r>
        <w:rPr>
          <w:color w:val="231F20"/>
          <w:spacing w:val="-7"/>
        </w:rPr>
        <w:t xml:space="preserve"> </w:t>
      </w:r>
      <w:r>
        <w:rPr>
          <w:color w:val="231F20"/>
        </w:rPr>
        <w:t>of</w:t>
      </w:r>
      <w:r>
        <w:rPr>
          <w:color w:val="231F20"/>
          <w:spacing w:val="-6"/>
        </w:rPr>
        <w:t xml:space="preserve"> </w:t>
      </w:r>
      <w:r>
        <w:rPr>
          <w:color w:val="231F20"/>
        </w:rPr>
        <w:t>workplace</w:t>
      </w:r>
      <w:r>
        <w:rPr>
          <w:color w:val="231F20"/>
          <w:spacing w:val="-7"/>
        </w:rPr>
        <w:t xml:space="preserve"> </w:t>
      </w:r>
      <w:r>
        <w:rPr>
          <w:color w:val="231F20"/>
        </w:rPr>
        <w:t>random</w:t>
      </w:r>
      <w:r>
        <w:rPr>
          <w:color w:val="231F20"/>
          <w:spacing w:val="-6"/>
        </w:rPr>
        <w:t xml:space="preserve"> </w:t>
      </w:r>
      <w:r>
        <w:rPr>
          <w:color w:val="231F20"/>
        </w:rPr>
        <w:t>drug</w:t>
      </w:r>
      <w:r>
        <w:rPr>
          <w:color w:val="231F20"/>
          <w:spacing w:val="-7"/>
        </w:rPr>
        <w:t xml:space="preserve"> </w:t>
      </w:r>
      <w:r>
        <w:rPr>
          <w:color w:val="231F20"/>
        </w:rPr>
        <w:t xml:space="preserve">and alcohol testing scheme in which approximately one-third of the workforce will be tested each </w:t>
      </w:r>
      <w:r>
        <w:rPr>
          <w:color w:val="231F20"/>
          <w:spacing w:val="-4"/>
        </w:rPr>
        <w:t>year.</w:t>
      </w:r>
    </w:p>
    <w:p w14:paraId="5152B4D7" w14:textId="77777777" w:rsidR="00345EE3" w:rsidRDefault="00345EE3" w:rsidP="00345EE3">
      <w:pPr>
        <w:pStyle w:val="BodyText"/>
        <w:spacing w:before="118" w:line="242" w:lineRule="auto"/>
        <w:ind w:right="839"/>
      </w:pPr>
      <w:r>
        <w:rPr>
          <w:color w:val="231F20"/>
        </w:rPr>
        <w:t>From</w:t>
      </w:r>
      <w:r>
        <w:rPr>
          <w:color w:val="231F20"/>
          <w:spacing w:val="-4"/>
        </w:rPr>
        <w:t xml:space="preserve"> </w:t>
      </w:r>
      <w:r>
        <w:rPr>
          <w:color w:val="231F20"/>
        </w:rPr>
        <w:t>22</w:t>
      </w:r>
      <w:r>
        <w:rPr>
          <w:color w:val="231F20"/>
          <w:spacing w:val="-5"/>
        </w:rPr>
        <w:t xml:space="preserve"> </w:t>
      </w:r>
      <w:r>
        <w:rPr>
          <w:color w:val="231F20"/>
        </w:rPr>
        <w:t>November</w:t>
      </w:r>
      <w:r>
        <w:rPr>
          <w:color w:val="231F20"/>
          <w:spacing w:val="-4"/>
        </w:rPr>
        <w:t xml:space="preserve"> </w:t>
      </w:r>
      <w:r>
        <w:rPr>
          <w:color w:val="231F20"/>
        </w:rPr>
        <w:t>2021,</w:t>
      </w:r>
      <w:r>
        <w:rPr>
          <w:color w:val="231F20"/>
          <w:spacing w:val="-4"/>
        </w:rPr>
        <w:t xml:space="preserve"> </w:t>
      </w:r>
      <w:r>
        <w:rPr>
          <w:color w:val="231F20"/>
        </w:rPr>
        <w:t>random</w:t>
      </w:r>
      <w:r>
        <w:rPr>
          <w:color w:val="231F20"/>
          <w:spacing w:val="-4"/>
        </w:rPr>
        <w:t xml:space="preserve"> </w:t>
      </w:r>
      <w:r>
        <w:rPr>
          <w:color w:val="231F20"/>
        </w:rPr>
        <w:t>testing</w:t>
      </w:r>
      <w:r>
        <w:rPr>
          <w:color w:val="231F20"/>
          <w:spacing w:val="-5"/>
        </w:rPr>
        <w:t xml:space="preserve"> </w:t>
      </w:r>
      <w:r>
        <w:rPr>
          <w:color w:val="231F20"/>
        </w:rPr>
        <w:t>increased</w:t>
      </w:r>
      <w:r>
        <w:rPr>
          <w:color w:val="231F20"/>
          <w:spacing w:val="-5"/>
        </w:rPr>
        <w:t xml:space="preserve"> </w:t>
      </w:r>
      <w:r>
        <w:rPr>
          <w:color w:val="231F20"/>
        </w:rPr>
        <w:t>from</w:t>
      </w:r>
      <w:r>
        <w:rPr>
          <w:color w:val="231F20"/>
          <w:spacing w:val="-4"/>
        </w:rPr>
        <w:t xml:space="preserve"> </w:t>
      </w:r>
      <w:r>
        <w:rPr>
          <w:color w:val="231F20"/>
        </w:rPr>
        <w:t>5</w:t>
      </w:r>
      <w:r>
        <w:rPr>
          <w:color w:val="231F20"/>
          <w:spacing w:val="-14"/>
        </w:rPr>
        <w:t xml:space="preserve"> </w:t>
      </w:r>
      <w:r>
        <w:rPr>
          <w:color w:val="231F20"/>
        </w:rPr>
        <w:t>per</w:t>
      </w:r>
      <w:r>
        <w:rPr>
          <w:color w:val="231F20"/>
          <w:spacing w:val="-14"/>
        </w:rPr>
        <w:t xml:space="preserve"> </w:t>
      </w:r>
      <w:r>
        <w:rPr>
          <w:color w:val="231F20"/>
        </w:rPr>
        <w:t>cent</w:t>
      </w:r>
      <w:r>
        <w:rPr>
          <w:color w:val="231F20"/>
          <w:spacing w:val="-14"/>
        </w:rPr>
        <w:t xml:space="preserve"> </w:t>
      </w:r>
      <w:r>
        <w:rPr>
          <w:color w:val="231F20"/>
        </w:rPr>
        <w:t>to</w:t>
      </w:r>
      <w:r>
        <w:rPr>
          <w:color w:val="231F20"/>
          <w:spacing w:val="-14"/>
        </w:rPr>
        <w:t xml:space="preserve"> </w:t>
      </w:r>
      <w:r>
        <w:rPr>
          <w:color w:val="231F20"/>
        </w:rPr>
        <w:t>30</w:t>
      </w:r>
      <w:r>
        <w:rPr>
          <w:color w:val="231F20"/>
          <w:spacing w:val="-14"/>
        </w:rPr>
        <w:t xml:space="preserve"> </w:t>
      </w:r>
      <w:r>
        <w:rPr>
          <w:color w:val="231F20"/>
        </w:rPr>
        <w:t>per</w:t>
      </w:r>
      <w:r>
        <w:rPr>
          <w:color w:val="231F20"/>
          <w:spacing w:val="-14"/>
        </w:rPr>
        <w:t xml:space="preserve"> </w:t>
      </w:r>
      <w:r>
        <w:rPr>
          <w:color w:val="231F20"/>
        </w:rPr>
        <w:t>cent</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Police officers,</w:t>
      </w:r>
      <w:r>
        <w:rPr>
          <w:color w:val="231F20"/>
          <w:spacing w:val="-17"/>
        </w:rPr>
        <w:t xml:space="preserve"> </w:t>
      </w:r>
      <w:r>
        <w:rPr>
          <w:color w:val="231F20"/>
        </w:rPr>
        <w:t>PSOs</w:t>
      </w:r>
      <w:r>
        <w:rPr>
          <w:color w:val="231F20"/>
          <w:spacing w:val="-17"/>
        </w:rPr>
        <w:t xml:space="preserve"> </w:t>
      </w:r>
      <w:r>
        <w:rPr>
          <w:color w:val="231F20"/>
        </w:rPr>
        <w:t>and</w:t>
      </w:r>
      <w:r>
        <w:rPr>
          <w:color w:val="231F20"/>
          <w:spacing w:val="-16"/>
        </w:rPr>
        <w:t xml:space="preserve"> </w:t>
      </w:r>
      <w:r>
        <w:rPr>
          <w:color w:val="231F20"/>
        </w:rPr>
        <w:t>PCOs.</w:t>
      </w:r>
      <w:r>
        <w:rPr>
          <w:color w:val="231F20"/>
          <w:spacing w:val="-17"/>
        </w:rPr>
        <w:t xml:space="preserve"> </w:t>
      </w:r>
      <w:r>
        <w:rPr>
          <w:color w:val="231F20"/>
        </w:rPr>
        <w:t>This</w:t>
      </w:r>
      <w:r>
        <w:rPr>
          <w:color w:val="231F20"/>
          <w:spacing w:val="-17"/>
        </w:rPr>
        <w:t xml:space="preserve"> </w:t>
      </w:r>
      <w:r>
        <w:rPr>
          <w:color w:val="231F20"/>
        </w:rPr>
        <w:t>means</w:t>
      </w:r>
      <w:r>
        <w:rPr>
          <w:color w:val="231F20"/>
          <w:spacing w:val="-17"/>
        </w:rPr>
        <w:t xml:space="preserve"> </w:t>
      </w:r>
      <w:r>
        <w:rPr>
          <w:color w:val="231F20"/>
        </w:rPr>
        <w:t>approximately</w:t>
      </w:r>
      <w:r>
        <w:rPr>
          <w:color w:val="231F20"/>
          <w:spacing w:val="-16"/>
        </w:rPr>
        <w:t xml:space="preserve"> </w:t>
      </w:r>
      <w:r>
        <w:rPr>
          <w:color w:val="231F20"/>
        </w:rPr>
        <w:t>6,000</w:t>
      </w:r>
      <w:r>
        <w:rPr>
          <w:color w:val="231F20"/>
          <w:spacing w:val="-17"/>
        </w:rPr>
        <w:t xml:space="preserve"> </w:t>
      </w:r>
      <w:r>
        <w:rPr>
          <w:color w:val="231F20"/>
        </w:rPr>
        <w:t>Victoria</w:t>
      </w:r>
      <w:r>
        <w:rPr>
          <w:color w:val="231F20"/>
          <w:spacing w:val="-17"/>
        </w:rPr>
        <w:t xml:space="preserve"> </w:t>
      </w:r>
      <w:r>
        <w:rPr>
          <w:color w:val="231F20"/>
        </w:rPr>
        <w:t>Police</w:t>
      </w:r>
      <w:r>
        <w:rPr>
          <w:color w:val="231F20"/>
          <w:spacing w:val="-16"/>
        </w:rPr>
        <w:t xml:space="preserve"> </w:t>
      </w:r>
      <w:r>
        <w:rPr>
          <w:color w:val="231F20"/>
        </w:rPr>
        <w:t>members</w:t>
      </w:r>
      <w:r>
        <w:rPr>
          <w:color w:val="231F20"/>
          <w:spacing w:val="-17"/>
        </w:rPr>
        <w:t xml:space="preserve"> </w:t>
      </w:r>
      <w:r>
        <w:rPr>
          <w:color w:val="231F20"/>
        </w:rPr>
        <w:t>will</w:t>
      </w:r>
      <w:r>
        <w:rPr>
          <w:color w:val="231F20"/>
          <w:spacing w:val="-17"/>
        </w:rPr>
        <w:t xml:space="preserve"> </w:t>
      </w:r>
      <w:r>
        <w:rPr>
          <w:color w:val="231F20"/>
        </w:rPr>
        <w:t>be</w:t>
      </w:r>
      <w:r>
        <w:rPr>
          <w:color w:val="231F20"/>
          <w:spacing w:val="-16"/>
        </w:rPr>
        <w:t xml:space="preserve"> </w:t>
      </w:r>
      <w:r>
        <w:rPr>
          <w:color w:val="231F20"/>
        </w:rPr>
        <w:t>tested each</w:t>
      </w:r>
      <w:r>
        <w:rPr>
          <w:color w:val="231F20"/>
          <w:spacing w:val="-3"/>
        </w:rPr>
        <w:t xml:space="preserve"> </w:t>
      </w:r>
      <w:r>
        <w:rPr>
          <w:color w:val="231F20"/>
        </w:rPr>
        <w:t>year</w:t>
      </w:r>
      <w:r>
        <w:rPr>
          <w:color w:val="231F20"/>
          <w:spacing w:val="-2"/>
        </w:rPr>
        <w:t xml:space="preserve"> </w:t>
      </w:r>
      <w:r>
        <w:rPr>
          <w:color w:val="231F20"/>
        </w:rPr>
        <w:t>across</w:t>
      </w:r>
      <w:r>
        <w:rPr>
          <w:color w:val="231F20"/>
          <w:spacing w:val="-2"/>
        </w:rPr>
        <w:t xml:space="preserve"> </w:t>
      </w:r>
      <w:r>
        <w:rPr>
          <w:color w:val="231F20"/>
        </w:rPr>
        <w:t>the</w:t>
      </w:r>
      <w:r>
        <w:rPr>
          <w:color w:val="231F20"/>
          <w:spacing w:val="-3"/>
        </w:rPr>
        <w:t xml:space="preserve"> </w:t>
      </w:r>
      <w:r>
        <w:rPr>
          <w:color w:val="231F20"/>
        </w:rPr>
        <w:t>state</w:t>
      </w:r>
      <w:r>
        <w:rPr>
          <w:color w:val="231F20"/>
          <w:spacing w:val="-3"/>
        </w:rPr>
        <w:t xml:space="preserve"> </w:t>
      </w:r>
      <w:r>
        <w:rPr>
          <w:color w:val="231F20"/>
        </w:rPr>
        <w:t>to</w:t>
      </w:r>
      <w:r>
        <w:rPr>
          <w:color w:val="231F20"/>
          <w:spacing w:val="-3"/>
        </w:rPr>
        <w:t xml:space="preserve"> </w:t>
      </w:r>
      <w:r>
        <w:rPr>
          <w:color w:val="231F20"/>
        </w:rPr>
        <w:t>support</w:t>
      </w:r>
      <w:r>
        <w:rPr>
          <w:color w:val="231F20"/>
          <w:spacing w:val="-2"/>
        </w:rPr>
        <w:t xml:space="preserve"> </w:t>
      </w:r>
      <w:r>
        <w:rPr>
          <w:color w:val="231F20"/>
        </w:rPr>
        <w:t>a</w:t>
      </w:r>
      <w:r>
        <w:rPr>
          <w:color w:val="231F20"/>
          <w:spacing w:val="-3"/>
        </w:rPr>
        <w:t xml:space="preserve"> </w:t>
      </w:r>
      <w:r>
        <w:rPr>
          <w:color w:val="231F20"/>
        </w:rPr>
        <w:t>healthy</w:t>
      </w:r>
      <w:r>
        <w:rPr>
          <w:color w:val="231F20"/>
          <w:spacing w:val="-2"/>
        </w:rPr>
        <w:t xml:space="preserve"> </w:t>
      </w:r>
      <w:r>
        <w:rPr>
          <w:color w:val="231F20"/>
        </w:rPr>
        <w:t>and</w:t>
      </w:r>
      <w:r>
        <w:rPr>
          <w:color w:val="231F20"/>
          <w:spacing w:val="-3"/>
        </w:rPr>
        <w:t xml:space="preserve"> </w:t>
      </w:r>
      <w:r>
        <w:rPr>
          <w:color w:val="231F20"/>
        </w:rPr>
        <w:t>safe</w:t>
      </w:r>
      <w:r>
        <w:rPr>
          <w:color w:val="231F20"/>
          <w:spacing w:val="-3"/>
        </w:rPr>
        <w:t xml:space="preserve"> </w:t>
      </w:r>
      <w:r>
        <w:rPr>
          <w:color w:val="231F20"/>
        </w:rPr>
        <w:t>workforce</w:t>
      </w:r>
      <w:r>
        <w:rPr>
          <w:color w:val="231F20"/>
          <w:spacing w:val="-3"/>
        </w:rPr>
        <w:t xml:space="preserve"> </w:t>
      </w:r>
      <w:r>
        <w:rPr>
          <w:color w:val="231F20"/>
        </w:rPr>
        <w:t>that</w:t>
      </w:r>
      <w:r>
        <w:rPr>
          <w:color w:val="231F20"/>
          <w:spacing w:val="-12"/>
        </w:rPr>
        <w:t xml:space="preserve"> </w:t>
      </w:r>
      <w:r>
        <w:rPr>
          <w:color w:val="231F20"/>
        </w:rPr>
        <w:t>is</w:t>
      </w:r>
      <w:r>
        <w:rPr>
          <w:color w:val="231F20"/>
          <w:spacing w:val="-12"/>
        </w:rPr>
        <w:t xml:space="preserve"> </w:t>
      </w:r>
      <w:r>
        <w:rPr>
          <w:color w:val="231F20"/>
        </w:rPr>
        <w:t>demonstrably</w:t>
      </w:r>
      <w:r>
        <w:rPr>
          <w:color w:val="231F20"/>
          <w:spacing w:val="-12"/>
        </w:rPr>
        <w:t xml:space="preserve"> </w:t>
      </w:r>
      <w:r>
        <w:rPr>
          <w:color w:val="231F20"/>
        </w:rPr>
        <w:t>fit</w:t>
      </w:r>
      <w:r>
        <w:rPr>
          <w:color w:val="231F20"/>
          <w:spacing w:val="-12"/>
        </w:rPr>
        <w:t xml:space="preserve"> </w:t>
      </w:r>
      <w:r>
        <w:rPr>
          <w:color w:val="231F20"/>
        </w:rPr>
        <w:t>for duty.</w:t>
      </w:r>
      <w:r>
        <w:rPr>
          <w:color w:val="231F20"/>
          <w:spacing w:val="-17"/>
        </w:rPr>
        <w:t xml:space="preserve"> </w:t>
      </w:r>
      <w:r>
        <w:rPr>
          <w:color w:val="231F20"/>
        </w:rPr>
        <w:t>Any</w:t>
      </w:r>
      <w:r>
        <w:rPr>
          <w:color w:val="231F20"/>
          <w:spacing w:val="-17"/>
        </w:rPr>
        <w:t xml:space="preserve"> </w:t>
      </w:r>
      <w:r>
        <w:rPr>
          <w:color w:val="231F20"/>
        </w:rPr>
        <w:t>alcohol</w:t>
      </w:r>
      <w:r>
        <w:rPr>
          <w:color w:val="231F20"/>
          <w:spacing w:val="-16"/>
        </w:rPr>
        <w:t xml:space="preserve"> </w:t>
      </w:r>
      <w:r>
        <w:rPr>
          <w:color w:val="231F20"/>
        </w:rPr>
        <w:t>consumption</w:t>
      </w:r>
      <w:r>
        <w:rPr>
          <w:color w:val="231F20"/>
          <w:spacing w:val="-17"/>
        </w:rPr>
        <w:t xml:space="preserve"> </w:t>
      </w:r>
      <w:r>
        <w:rPr>
          <w:color w:val="231F20"/>
        </w:rPr>
        <w:t>or</w:t>
      </w:r>
      <w:r>
        <w:rPr>
          <w:color w:val="231F20"/>
          <w:spacing w:val="-17"/>
        </w:rPr>
        <w:t xml:space="preserve"> </w:t>
      </w:r>
      <w:r>
        <w:rPr>
          <w:color w:val="231F20"/>
        </w:rPr>
        <w:t>illicit</w:t>
      </w:r>
      <w:r>
        <w:rPr>
          <w:color w:val="231F20"/>
          <w:spacing w:val="-17"/>
        </w:rPr>
        <w:t xml:space="preserve"> </w:t>
      </w:r>
      <w:r>
        <w:rPr>
          <w:color w:val="231F20"/>
        </w:rPr>
        <w:t>drug</w:t>
      </w:r>
      <w:r>
        <w:rPr>
          <w:color w:val="231F20"/>
          <w:spacing w:val="-16"/>
        </w:rPr>
        <w:t xml:space="preserve"> </w:t>
      </w:r>
      <w:r>
        <w:rPr>
          <w:color w:val="231F20"/>
        </w:rPr>
        <w:t>use</w:t>
      </w:r>
      <w:r>
        <w:rPr>
          <w:color w:val="231F20"/>
          <w:spacing w:val="-10"/>
        </w:rPr>
        <w:t xml:space="preserve"> </w:t>
      </w:r>
      <w:r>
        <w:rPr>
          <w:color w:val="231F20"/>
        </w:rPr>
        <w:t>by</w:t>
      </w:r>
      <w:r>
        <w:rPr>
          <w:color w:val="231F20"/>
          <w:spacing w:val="-8"/>
        </w:rPr>
        <w:t xml:space="preserve"> </w:t>
      </w:r>
      <w:r>
        <w:rPr>
          <w:color w:val="231F20"/>
        </w:rPr>
        <w:t>members</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workplace</w:t>
      </w:r>
      <w:r>
        <w:rPr>
          <w:color w:val="231F20"/>
          <w:spacing w:val="-9"/>
        </w:rPr>
        <w:t xml:space="preserve"> </w:t>
      </w:r>
      <w:r>
        <w:rPr>
          <w:color w:val="231F20"/>
        </w:rPr>
        <w:t>impacts</w:t>
      </w:r>
      <w:r>
        <w:rPr>
          <w:color w:val="231F20"/>
          <w:spacing w:val="-8"/>
        </w:rPr>
        <w:t xml:space="preserve"> </w:t>
      </w:r>
      <w:r>
        <w:rPr>
          <w:color w:val="231F20"/>
        </w:rPr>
        <w:t>workplace health</w:t>
      </w:r>
      <w:r>
        <w:rPr>
          <w:color w:val="231F20"/>
          <w:spacing w:val="-11"/>
        </w:rPr>
        <w:t xml:space="preserve"> </w:t>
      </w:r>
      <w:r>
        <w:rPr>
          <w:color w:val="231F20"/>
        </w:rPr>
        <w:t>and</w:t>
      </w:r>
      <w:r>
        <w:rPr>
          <w:color w:val="231F20"/>
          <w:spacing w:val="-11"/>
        </w:rPr>
        <w:t xml:space="preserve"> </w:t>
      </w:r>
      <w:r>
        <w:rPr>
          <w:color w:val="231F20"/>
        </w:rPr>
        <w:t>safety</w:t>
      </w:r>
      <w:r>
        <w:rPr>
          <w:color w:val="231F20"/>
          <w:spacing w:val="-10"/>
        </w:rPr>
        <w:t xml:space="preserve"> </w:t>
      </w:r>
      <w:r>
        <w:rPr>
          <w:color w:val="231F20"/>
        </w:rPr>
        <w:t>and</w:t>
      </w:r>
      <w:r>
        <w:rPr>
          <w:color w:val="231F20"/>
          <w:spacing w:val="-11"/>
        </w:rPr>
        <w:t xml:space="preserve"> </w:t>
      </w:r>
      <w:r>
        <w:rPr>
          <w:color w:val="231F20"/>
        </w:rPr>
        <w:t>is</w:t>
      </w:r>
      <w:r>
        <w:rPr>
          <w:color w:val="231F20"/>
          <w:spacing w:val="-10"/>
        </w:rPr>
        <w:t xml:space="preserve"> </w:t>
      </w:r>
      <w:r>
        <w:rPr>
          <w:color w:val="231F20"/>
        </w:rPr>
        <w:t>taken</w:t>
      </w:r>
      <w:r>
        <w:rPr>
          <w:color w:val="231F20"/>
          <w:spacing w:val="-11"/>
        </w:rPr>
        <w:t xml:space="preserve"> </w:t>
      </w:r>
      <w:r>
        <w:rPr>
          <w:color w:val="231F20"/>
        </w:rPr>
        <w:t>seriously.</w:t>
      </w:r>
      <w:r>
        <w:rPr>
          <w:color w:val="231F20"/>
          <w:spacing w:val="-10"/>
        </w:rPr>
        <w:t xml:space="preserve"> </w:t>
      </w:r>
      <w:r>
        <w:rPr>
          <w:color w:val="231F20"/>
        </w:rPr>
        <w:t>Victoria</w:t>
      </w:r>
      <w:r>
        <w:rPr>
          <w:color w:val="231F20"/>
          <w:spacing w:val="-11"/>
        </w:rPr>
        <w:t xml:space="preserve"> </w:t>
      </w:r>
      <w:r>
        <w:rPr>
          <w:color w:val="231F20"/>
        </w:rPr>
        <w:t>Police’s</w:t>
      </w:r>
      <w:r>
        <w:rPr>
          <w:color w:val="231F20"/>
          <w:spacing w:val="-10"/>
        </w:rPr>
        <w:t xml:space="preserve"> </w:t>
      </w:r>
      <w:r>
        <w:rPr>
          <w:color w:val="231F20"/>
        </w:rPr>
        <w:t>commitment</w:t>
      </w:r>
      <w:r>
        <w:rPr>
          <w:color w:val="231F20"/>
          <w:spacing w:val="-10"/>
        </w:rPr>
        <w:t xml:space="preserve"> </w:t>
      </w:r>
      <w:r>
        <w:rPr>
          <w:color w:val="231F20"/>
        </w:rPr>
        <w:t>to</w:t>
      </w:r>
      <w:r>
        <w:rPr>
          <w:color w:val="231F20"/>
          <w:spacing w:val="-11"/>
        </w:rPr>
        <w:t xml:space="preserve"> </w:t>
      </w:r>
      <w:r>
        <w:rPr>
          <w:color w:val="231F20"/>
        </w:rPr>
        <w:t>drug</w:t>
      </w:r>
      <w:r>
        <w:rPr>
          <w:color w:val="231F20"/>
          <w:spacing w:val="-11"/>
        </w:rPr>
        <w:t xml:space="preserve"> </w:t>
      </w:r>
      <w:r>
        <w:rPr>
          <w:color w:val="231F20"/>
        </w:rPr>
        <w:t>and</w:t>
      </w:r>
      <w:r>
        <w:rPr>
          <w:color w:val="231F20"/>
          <w:spacing w:val="-11"/>
        </w:rPr>
        <w:t xml:space="preserve"> </w:t>
      </w:r>
      <w:r>
        <w:rPr>
          <w:color w:val="231F20"/>
        </w:rPr>
        <w:t>alcohol</w:t>
      </w:r>
      <w:r>
        <w:rPr>
          <w:color w:val="231F20"/>
          <w:spacing w:val="-11"/>
        </w:rPr>
        <w:t xml:space="preserve"> </w:t>
      </w:r>
      <w:r>
        <w:rPr>
          <w:color w:val="231F20"/>
        </w:rPr>
        <w:t>testing is essential for maintaining the trust and confidence the Victorian community requires of us in upholding the law.</w:t>
      </w:r>
    </w:p>
    <w:p w14:paraId="6CF07D96" w14:textId="77777777" w:rsidR="00345EE3" w:rsidRDefault="00345EE3" w:rsidP="00345EE3">
      <w:pPr>
        <w:pStyle w:val="Heading5"/>
        <w:spacing w:before="174"/>
      </w:pPr>
      <w:r>
        <w:rPr>
          <w:color w:val="58595B"/>
        </w:rPr>
        <w:t>School</w:t>
      </w:r>
      <w:r>
        <w:rPr>
          <w:color w:val="58595B"/>
          <w:spacing w:val="-10"/>
        </w:rPr>
        <w:t xml:space="preserve"> </w:t>
      </w:r>
      <w:r>
        <w:rPr>
          <w:color w:val="58595B"/>
        </w:rPr>
        <w:t>Based</w:t>
      </w:r>
      <w:r>
        <w:rPr>
          <w:color w:val="58595B"/>
          <w:spacing w:val="-10"/>
        </w:rPr>
        <w:t xml:space="preserve"> </w:t>
      </w:r>
      <w:r>
        <w:rPr>
          <w:color w:val="58595B"/>
        </w:rPr>
        <w:t>Traineeship</w:t>
      </w:r>
      <w:r>
        <w:rPr>
          <w:color w:val="58595B"/>
          <w:spacing w:val="-9"/>
        </w:rPr>
        <w:t xml:space="preserve"> </w:t>
      </w:r>
      <w:r>
        <w:rPr>
          <w:color w:val="58595B"/>
          <w:spacing w:val="-2"/>
        </w:rPr>
        <w:t>Program</w:t>
      </w:r>
    </w:p>
    <w:p w14:paraId="610EC965" w14:textId="77777777" w:rsidR="00345EE3" w:rsidRDefault="00345EE3" w:rsidP="00345EE3">
      <w:pPr>
        <w:pStyle w:val="BodyText"/>
        <w:spacing w:before="4"/>
      </w:pPr>
      <w:r>
        <w:rPr>
          <w:color w:val="231F20"/>
        </w:rPr>
        <w:t>Victoria</w:t>
      </w:r>
      <w:r>
        <w:rPr>
          <w:color w:val="231F20"/>
          <w:spacing w:val="-14"/>
        </w:rPr>
        <w:t xml:space="preserve"> </w:t>
      </w:r>
      <w:r>
        <w:rPr>
          <w:color w:val="231F20"/>
        </w:rPr>
        <w:t>Police</w:t>
      </w:r>
      <w:r>
        <w:rPr>
          <w:color w:val="231F20"/>
          <w:spacing w:val="-12"/>
        </w:rPr>
        <w:t xml:space="preserve"> </w:t>
      </w:r>
      <w:r>
        <w:rPr>
          <w:color w:val="231F20"/>
        </w:rPr>
        <w:t>has</w:t>
      </w:r>
      <w:r>
        <w:rPr>
          <w:color w:val="231F20"/>
          <w:spacing w:val="-10"/>
        </w:rPr>
        <w:t xml:space="preserve"> </w:t>
      </w:r>
      <w:r>
        <w:rPr>
          <w:color w:val="231F20"/>
        </w:rPr>
        <w:t>participated</w:t>
      </w:r>
      <w:r>
        <w:rPr>
          <w:color w:val="231F20"/>
          <w:spacing w:val="-12"/>
        </w:rPr>
        <w:t xml:space="preserve"> </w:t>
      </w:r>
      <w:r>
        <w:rPr>
          <w:color w:val="231F20"/>
        </w:rPr>
        <w:t>in</w:t>
      </w:r>
      <w:r>
        <w:rPr>
          <w:color w:val="231F20"/>
          <w:spacing w:val="-11"/>
        </w:rPr>
        <w:t xml:space="preserve"> </w:t>
      </w:r>
      <w:r>
        <w:rPr>
          <w:color w:val="231F20"/>
        </w:rPr>
        <w:t>the</w:t>
      </w:r>
      <w:r>
        <w:rPr>
          <w:color w:val="231F20"/>
          <w:spacing w:val="-12"/>
        </w:rPr>
        <w:t xml:space="preserve"> </w:t>
      </w:r>
      <w:r>
        <w:rPr>
          <w:color w:val="231F20"/>
        </w:rPr>
        <w:t>School</w:t>
      </w:r>
      <w:r>
        <w:rPr>
          <w:color w:val="231F20"/>
          <w:spacing w:val="-11"/>
        </w:rPr>
        <w:t xml:space="preserve"> </w:t>
      </w:r>
      <w:r>
        <w:rPr>
          <w:color w:val="231F20"/>
        </w:rPr>
        <w:t>Based</w:t>
      </w:r>
      <w:r>
        <w:rPr>
          <w:color w:val="231F20"/>
          <w:spacing w:val="-12"/>
        </w:rPr>
        <w:t xml:space="preserve"> </w:t>
      </w:r>
      <w:r>
        <w:rPr>
          <w:color w:val="231F20"/>
        </w:rPr>
        <w:t>Traineeship</w:t>
      </w:r>
      <w:r>
        <w:rPr>
          <w:color w:val="231F20"/>
          <w:spacing w:val="-12"/>
        </w:rPr>
        <w:t xml:space="preserve"> </w:t>
      </w:r>
      <w:r>
        <w:rPr>
          <w:color w:val="231F20"/>
        </w:rPr>
        <w:t>Program</w:t>
      </w:r>
      <w:r>
        <w:rPr>
          <w:color w:val="231F20"/>
          <w:spacing w:val="-10"/>
        </w:rPr>
        <w:t xml:space="preserve"> </w:t>
      </w:r>
      <w:r>
        <w:rPr>
          <w:color w:val="231F20"/>
        </w:rPr>
        <w:t>(SBTP)</w:t>
      </w:r>
      <w:r>
        <w:rPr>
          <w:color w:val="231F20"/>
          <w:spacing w:val="-11"/>
        </w:rPr>
        <w:t xml:space="preserve"> </w:t>
      </w:r>
      <w:r>
        <w:rPr>
          <w:color w:val="231F20"/>
        </w:rPr>
        <w:t>since</w:t>
      </w:r>
      <w:r>
        <w:rPr>
          <w:color w:val="231F20"/>
          <w:spacing w:val="-11"/>
        </w:rPr>
        <w:t xml:space="preserve"> </w:t>
      </w:r>
      <w:r>
        <w:rPr>
          <w:color w:val="231F20"/>
          <w:spacing w:val="-2"/>
        </w:rPr>
        <w:t>2016.</w:t>
      </w:r>
    </w:p>
    <w:p w14:paraId="0F5102BC" w14:textId="77777777" w:rsidR="00345EE3" w:rsidRDefault="00345EE3" w:rsidP="00345EE3">
      <w:pPr>
        <w:pStyle w:val="BodyText"/>
        <w:spacing w:before="4" w:line="242" w:lineRule="auto"/>
        <w:ind w:right="1393"/>
      </w:pPr>
      <w:r>
        <w:rPr>
          <w:color w:val="231F20"/>
        </w:rPr>
        <w:t>The</w:t>
      </w:r>
      <w:r>
        <w:rPr>
          <w:color w:val="231F20"/>
          <w:spacing w:val="-9"/>
        </w:rPr>
        <w:t xml:space="preserve"> </w:t>
      </w:r>
      <w:r>
        <w:rPr>
          <w:color w:val="231F20"/>
        </w:rPr>
        <w:t>program</w:t>
      </w:r>
      <w:r>
        <w:rPr>
          <w:color w:val="231F20"/>
          <w:spacing w:val="-8"/>
        </w:rPr>
        <w:t xml:space="preserve"> </w:t>
      </w:r>
      <w:r>
        <w:rPr>
          <w:color w:val="231F20"/>
        </w:rPr>
        <w:t>is</w:t>
      </w:r>
      <w:r>
        <w:rPr>
          <w:color w:val="231F20"/>
          <w:spacing w:val="-8"/>
        </w:rPr>
        <w:t xml:space="preserve"> </w:t>
      </w:r>
      <w:r>
        <w:rPr>
          <w:color w:val="231F20"/>
        </w:rPr>
        <w:t>open</w:t>
      </w:r>
      <w:r>
        <w:rPr>
          <w:color w:val="231F20"/>
          <w:spacing w:val="-9"/>
        </w:rPr>
        <w:t xml:space="preserve"> </w:t>
      </w:r>
      <w:r>
        <w:rPr>
          <w:color w:val="231F20"/>
        </w:rPr>
        <w:t>to</w:t>
      </w:r>
      <w:r>
        <w:rPr>
          <w:color w:val="231F20"/>
          <w:spacing w:val="-9"/>
        </w:rPr>
        <w:t xml:space="preserve"> </w:t>
      </w:r>
      <w:r>
        <w:rPr>
          <w:color w:val="231F20"/>
        </w:rPr>
        <w:t>year</w:t>
      </w:r>
      <w:r>
        <w:rPr>
          <w:color w:val="231F20"/>
          <w:spacing w:val="-8"/>
        </w:rPr>
        <w:t xml:space="preserve"> </w:t>
      </w:r>
      <w:r>
        <w:rPr>
          <w:color w:val="231F20"/>
        </w:rPr>
        <w:t>10–12</w:t>
      </w:r>
      <w:r>
        <w:rPr>
          <w:color w:val="231F20"/>
          <w:spacing w:val="-9"/>
        </w:rPr>
        <w:t xml:space="preserve"> </w:t>
      </w:r>
      <w:r>
        <w:rPr>
          <w:color w:val="231F20"/>
        </w:rPr>
        <w:t>students</w:t>
      </w:r>
      <w:r>
        <w:rPr>
          <w:color w:val="231F20"/>
          <w:spacing w:val="-8"/>
        </w:rPr>
        <w:t xml:space="preserve"> </w:t>
      </w:r>
      <w:r>
        <w:rPr>
          <w:color w:val="231F20"/>
        </w:rPr>
        <w:t>who</w:t>
      </w:r>
      <w:r>
        <w:rPr>
          <w:color w:val="231F20"/>
          <w:spacing w:val="-9"/>
        </w:rPr>
        <w:t xml:space="preserve"> </w:t>
      </w:r>
      <w:r>
        <w:rPr>
          <w:color w:val="231F20"/>
        </w:rPr>
        <w:t>are</w:t>
      </w:r>
      <w:r>
        <w:rPr>
          <w:color w:val="231F20"/>
          <w:spacing w:val="-9"/>
        </w:rPr>
        <w:t xml:space="preserve"> </w:t>
      </w:r>
      <w:r>
        <w:rPr>
          <w:color w:val="231F20"/>
        </w:rPr>
        <w:t>of</w:t>
      </w:r>
      <w:r>
        <w:rPr>
          <w:color w:val="231F20"/>
          <w:spacing w:val="-8"/>
        </w:rPr>
        <w:t xml:space="preserve"> </w:t>
      </w:r>
      <w:r>
        <w:rPr>
          <w:color w:val="231F20"/>
        </w:rPr>
        <w:t>Aboriginal</w:t>
      </w:r>
      <w:r>
        <w:rPr>
          <w:color w:val="231F20"/>
          <w:spacing w:val="-9"/>
        </w:rPr>
        <w:t xml:space="preserve"> </w:t>
      </w:r>
      <w:r>
        <w:rPr>
          <w:color w:val="231F20"/>
        </w:rPr>
        <w:t>or</w:t>
      </w:r>
      <w:r>
        <w:rPr>
          <w:color w:val="231F20"/>
          <w:spacing w:val="-8"/>
        </w:rPr>
        <w:t xml:space="preserve"> </w:t>
      </w:r>
      <w:r>
        <w:rPr>
          <w:color w:val="231F20"/>
        </w:rPr>
        <w:t>Torres</w:t>
      </w:r>
      <w:r>
        <w:rPr>
          <w:color w:val="231F20"/>
          <w:spacing w:val="-8"/>
        </w:rPr>
        <w:t xml:space="preserve"> </w:t>
      </w:r>
      <w:r>
        <w:rPr>
          <w:color w:val="231F20"/>
        </w:rPr>
        <w:t>Strait</w:t>
      </w:r>
      <w:r>
        <w:rPr>
          <w:color w:val="231F20"/>
          <w:spacing w:val="-8"/>
        </w:rPr>
        <w:t xml:space="preserve"> </w:t>
      </w:r>
      <w:r>
        <w:rPr>
          <w:color w:val="231F20"/>
        </w:rPr>
        <w:t>Islander or</w:t>
      </w:r>
      <w:r>
        <w:rPr>
          <w:color w:val="231F20"/>
          <w:spacing w:val="-10"/>
        </w:rPr>
        <w:t xml:space="preserve"> </w:t>
      </w:r>
      <w:r>
        <w:rPr>
          <w:color w:val="231F20"/>
        </w:rPr>
        <w:t>CALD</w:t>
      </w:r>
      <w:r>
        <w:rPr>
          <w:color w:val="231F20"/>
          <w:spacing w:val="-8"/>
        </w:rPr>
        <w:t xml:space="preserve"> </w:t>
      </w:r>
      <w:r>
        <w:rPr>
          <w:color w:val="231F20"/>
        </w:rPr>
        <w:t>heritage.</w:t>
      </w:r>
      <w:r>
        <w:rPr>
          <w:color w:val="231F20"/>
          <w:spacing w:val="-8"/>
        </w:rPr>
        <w:t xml:space="preserve"> </w:t>
      </w:r>
      <w:r>
        <w:rPr>
          <w:color w:val="231F20"/>
        </w:rPr>
        <w:t>The</w:t>
      </w:r>
      <w:r>
        <w:rPr>
          <w:color w:val="231F20"/>
          <w:spacing w:val="-8"/>
        </w:rPr>
        <w:t xml:space="preserve"> </w:t>
      </w:r>
      <w:r>
        <w:rPr>
          <w:color w:val="231F20"/>
        </w:rPr>
        <w:t>duration</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traineeship</w:t>
      </w:r>
      <w:r>
        <w:rPr>
          <w:color w:val="231F20"/>
          <w:spacing w:val="-9"/>
        </w:rPr>
        <w:t xml:space="preserve"> </w:t>
      </w:r>
      <w:r>
        <w:rPr>
          <w:color w:val="231F20"/>
        </w:rPr>
        <w:t>is</w:t>
      </w:r>
      <w:r>
        <w:rPr>
          <w:color w:val="231F20"/>
          <w:spacing w:val="-7"/>
        </w:rPr>
        <w:t xml:space="preserve"> </w:t>
      </w:r>
      <w:r>
        <w:rPr>
          <w:color w:val="231F20"/>
        </w:rPr>
        <w:t>12–24</w:t>
      </w:r>
      <w:r>
        <w:rPr>
          <w:color w:val="231F20"/>
          <w:spacing w:val="-8"/>
        </w:rPr>
        <w:t xml:space="preserve"> </w:t>
      </w:r>
      <w:r>
        <w:rPr>
          <w:color w:val="231F20"/>
        </w:rPr>
        <w:t>months</w:t>
      </w:r>
      <w:r>
        <w:rPr>
          <w:color w:val="231F20"/>
          <w:spacing w:val="-8"/>
        </w:rPr>
        <w:t xml:space="preserve"> </w:t>
      </w:r>
      <w:r>
        <w:rPr>
          <w:color w:val="231F20"/>
        </w:rPr>
        <w:t>and</w:t>
      </w:r>
      <w:r>
        <w:rPr>
          <w:color w:val="231F20"/>
          <w:spacing w:val="-8"/>
        </w:rPr>
        <w:t xml:space="preserve"> </w:t>
      </w:r>
      <w:r>
        <w:rPr>
          <w:color w:val="231F20"/>
        </w:rPr>
        <w:t>during</w:t>
      </w:r>
      <w:r>
        <w:rPr>
          <w:color w:val="231F20"/>
          <w:spacing w:val="-9"/>
        </w:rPr>
        <w:t xml:space="preserve"> </w:t>
      </w:r>
      <w:r>
        <w:rPr>
          <w:color w:val="231F20"/>
        </w:rPr>
        <w:t>this</w:t>
      </w:r>
      <w:r>
        <w:rPr>
          <w:color w:val="231F20"/>
          <w:spacing w:val="-7"/>
        </w:rPr>
        <w:t xml:space="preserve"> </w:t>
      </w:r>
      <w:r>
        <w:rPr>
          <w:color w:val="231F20"/>
        </w:rPr>
        <w:t>time</w:t>
      </w:r>
      <w:r>
        <w:rPr>
          <w:color w:val="231F20"/>
          <w:spacing w:val="-8"/>
        </w:rPr>
        <w:t xml:space="preserve"> </w:t>
      </w:r>
      <w:r>
        <w:rPr>
          <w:color w:val="231F20"/>
          <w:spacing w:val="-5"/>
        </w:rPr>
        <w:t>the</w:t>
      </w:r>
    </w:p>
    <w:p w14:paraId="31E28E03" w14:textId="77777777" w:rsidR="00345EE3" w:rsidRDefault="00345EE3" w:rsidP="00345EE3">
      <w:pPr>
        <w:pStyle w:val="BodyText"/>
        <w:spacing w:before="3" w:line="242" w:lineRule="auto"/>
        <w:ind w:right="921"/>
      </w:pPr>
      <w:r>
        <w:rPr>
          <w:color w:val="231F20"/>
        </w:rPr>
        <w:t>students</w:t>
      </w:r>
      <w:r>
        <w:rPr>
          <w:color w:val="231F20"/>
          <w:spacing w:val="-6"/>
        </w:rPr>
        <w:t xml:space="preserve"> </w:t>
      </w:r>
      <w:r>
        <w:rPr>
          <w:color w:val="231F20"/>
        </w:rPr>
        <w:t>complete</w:t>
      </w:r>
      <w:r>
        <w:rPr>
          <w:color w:val="231F20"/>
          <w:spacing w:val="-7"/>
        </w:rPr>
        <w:t xml:space="preserve"> </w:t>
      </w:r>
      <w:r>
        <w:rPr>
          <w:color w:val="231F20"/>
        </w:rPr>
        <w:t>a</w:t>
      </w:r>
      <w:r>
        <w:rPr>
          <w:color w:val="231F20"/>
          <w:spacing w:val="-7"/>
        </w:rPr>
        <w:t xml:space="preserve"> </w:t>
      </w:r>
      <w:r>
        <w:rPr>
          <w:color w:val="231F20"/>
        </w:rPr>
        <w:t>Certificate</w:t>
      </w:r>
      <w:r>
        <w:rPr>
          <w:color w:val="231F20"/>
          <w:spacing w:val="-7"/>
        </w:rPr>
        <w:t xml:space="preserve"> </w:t>
      </w:r>
      <w:r>
        <w:rPr>
          <w:color w:val="231F20"/>
        </w:rPr>
        <w:t>III</w:t>
      </w:r>
      <w:r>
        <w:rPr>
          <w:color w:val="231F20"/>
          <w:spacing w:val="-6"/>
        </w:rPr>
        <w:t xml:space="preserve"> </w:t>
      </w:r>
      <w:r>
        <w:rPr>
          <w:color w:val="231F20"/>
        </w:rPr>
        <w:t>in</w:t>
      </w:r>
      <w:r>
        <w:rPr>
          <w:color w:val="231F20"/>
          <w:spacing w:val="-7"/>
        </w:rPr>
        <w:t xml:space="preserve"> </w:t>
      </w:r>
      <w:r>
        <w:rPr>
          <w:color w:val="231F20"/>
        </w:rPr>
        <w:t>Business</w:t>
      </w:r>
      <w:r>
        <w:rPr>
          <w:color w:val="231F20"/>
          <w:spacing w:val="-6"/>
        </w:rPr>
        <w:t xml:space="preserve"> </w:t>
      </w:r>
      <w:r>
        <w:rPr>
          <w:color w:val="231F20"/>
        </w:rPr>
        <w:t>while</w:t>
      </w:r>
      <w:r>
        <w:rPr>
          <w:color w:val="231F20"/>
          <w:spacing w:val="-7"/>
        </w:rPr>
        <w:t xml:space="preserve"> </w:t>
      </w:r>
      <w:r>
        <w:rPr>
          <w:color w:val="231F20"/>
        </w:rPr>
        <w:t>working</w:t>
      </w:r>
      <w:r>
        <w:rPr>
          <w:color w:val="231F20"/>
          <w:spacing w:val="-7"/>
        </w:rPr>
        <w:t xml:space="preserve"> </w:t>
      </w:r>
      <w:r>
        <w:rPr>
          <w:color w:val="231F20"/>
        </w:rPr>
        <w:t>one</w:t>
      </w:r>
      <w:r>
        <w:rPr>
          <w:color w:val="231F20"/>
          <w:spacing w:val="-7"/>
        </w:rPr>
        <w:t xml:space="preserve"> </w:t>
      </w:r>
      <w:r>
        <w:rPr>
          <w:color w:val="231F20"/>
        </w:rPr>
        <w:t>day</w:t>
      </w:r>
      <w:r>
        <w:rPr>
          <w:color w:val="231F20"/>
          <w:spacing w:val="-6"/>
        </w:rPr>
        <w:t xml:space="preserve"> </w:t>
      </w:r>
      <w:r>
        <w:rPr>
          <w:color w:val="231F20"/>
        </w:rPr>
        <w:t>a</w:t>
      </w:r>
      <w:r>
        <w:rPr>
          <w:color w:val="231F20"/>
          <w:spacing w:val="-7"/>
        </w:rPr>
        <w:t xml:space="preserve"> </w:t>
      </w:r>
      <w:r>
        <w:rPr>
          <w:color w:val="231F20"/>
        </w:rPr>
        <w:t>week</w:t>
      </w:r>
      <w:r>
        <w:rPr>
          <w:color w:val="231F20"/>
          <w:spacing w:val="-6"/>
        </w:rPr>
        <w:t xml:space="preserve"> </w:t>
      </w:r>
      <w:r>
        <w:rPr>
          <w:color w:val="231F20"/>
        </w:rPr>
        <w:t>in</w:t>
      </w:r>
      <w:r>
        <w:rPr>
          <w:color w:val="231F20"/>
          <w:spacing w:val="-7"/>
        </w:rPr>
        <w:t xml:space="preserve"> </w:t>
      </w:r>
      <w:r>
        <w:rPr>
          <w:color w:val="231F20"/>
        </w:rPr>
        <w:t>a</w:t>
      </w:r>
      <w:r>
        <w:rPr>
          <w:color w:val="231F20"/>
          <w:spacing w:val="-7"/>
        </w:rPr>
        <w:t xml:space="preserve"> </w:t>
      </w:r>
      <w:r>
        <w:rPr>
          <w:color w:val="231F20"/>
        </w:rPr>
        <w:t>police</w:t>
      </w:r>
      <w:r>
        <w:rPr>
          <w:color w:val="231F20"/>
          <w:spacing w:val="-7"/>
        </w:rPr>
        <w:t xml:space="preserve"> </w:t>
      </w:r>
      <w:r>
        <w:rPr>
          <w:color w:val="231F20"/>
        </w:rPr>
        <w:t>station during school term. The program forms a component of the student’s Victorian Certificate of Education/Victorian Certificate of Applied Learning qualification.</w:t>
      </w:r>
    </w:p>
    <w:p w14:paraId="5B6EC6E8" w14:textId="77777777" w:rsidR="00345EE3" w:rsidRDefault="00345EE3" w:rsidP="00345EE3">
      <w:pPr>
        <w:pStyle w:val="BodyText"/>
        <w:spacing w:before="117" w:line="242" w:lineRule="auto"/>
        <w:ind w:right="848"/>
      </w:pPr>
      <w:r>
        <w:rPr>
          <w:color w:val="231F20"/>
        </w:rPr>
        <w:t>In</w:t>
      </w:r>
      <w:r>
        <w:rPr>
          <w:color w:val="231F20"/>
          <w:spacing w:val="-2"/>
        </w:rPr>
        <w:t xml:space="preserve"> </w:t>
      </w:r>
      <w:r>
        <w:rPr>
          <w:color w:val="231F20"/>
        </w:rPr>
        <w:t>2021,</w:t>
      </w:r>
      <w:r>
        <w:rPr>
          <w:color w:val="231F20"/>
          <w:spacing w:val="-1"/>
        </w:rPr>
        <w:t xml:space="preserve"> </w:t>
      </w:r>
      <w:r>
        <w:rPr>
          <w:color w:val="231F20"/>
        </w:rPr>
        <w:t>19</w:t>
      </w:r>
      <w:r>
        <w:rPr>
          <w:color w:val="231F20"/>
          <w:spacing w:val="-2"/>
        </w:rPr>
        <w:t xml:space="preserve"> </w:t>
      </w:r>
      <w:r>
        <w:rPr>
          <w:color w:val="231F20"/>
        </w:rPr>
        <w:t>students</w:t>
      </w:r>
      <w:r>
        <w:rPr>
          <w:color w:val="231F20"/>
          <w:spacing w:val="-1"/>
        </w:rPr>
        <w:t xml:space="preserve"> </w:t>
      </w:r>
      <w:r>
        <w:rPr>
          <w:color w:val="231F20"/>
        </w:rPr>
        <w:t>were</w:t>
      </w:r>
      <w:r>
        <w:rPr>
          <w:color w:val="231F20"/>
          <w:spacing w:val="-2"/>
        </w:rPr>
        <w:t xml:space="preserve"> </w:t>
      </w:r>
      <w:r>
        <w:rPr>
          <w:color w:val="231F20"/>
        </w:rPr>
        <w:t>engaged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SBTP,</w:t>
      </w:r>
      <w:r>
        <w:rPr>
          <w:color w:val="231F20"/>
          <w:spacing w:val="-1"/>
        </w:rPr>
        <w:t xml:space="preserve"> </w:t>
      </w:r>
      <w:r>
        <w:rPr>
          <w:color w:val="231F20"/>
        </w:rPr>
        <w:t>hosted</w:t>
      </w:r>
      <w:r>
        <w:rPr>
          <w:color w:val="231F20"/>
          <w:spacing w:val="-2"/>
        </w:rPr>
        <w:t xml:space="preserve"> </w:t>
      </w:r>
      <w:r>
        <w:rPr>
          <w:color w:val="231F20"/>
        </w:rPr>
        <w:t>by</w:t>
      </w:r>
      <w:r>
        <w:rPr>
          <w:color w:val="231F20"/>
          <w:spacing w:val="-1"/>
        </w:rPr>
        <w:t xml:space="preserve"> </w:t>
      </w:r>
      <w:r>
        <w:rPr>
          <w:color w:val="231F20"/>
        </w:rPr>
        <w:t>18</w:t>
      </w:r>
      <w:r>
        <w:rPr>
          <w:color w:val="231F20"/>
          <w:spacing w:val="-2"/>
        </w:rPr>
        <w:t xml:space="preserve"> </w:t>
      </w:r>
      <w:r>
        <w:rPr>
          <w:color w:val="231F20"/>
        </w:rPr>
        <w:t>police</w:t>
      </w:r>
      <w:r>
        <w:rPr>
          <w:color w:val="231F20"/>
          <w:spacing w:val="-2"/>
        </w:rPr>
        <w:t xml:space="preserve"> </w:t>
      </w:r>
      <w:r>
        <w:rPr>
          <w:color w:val="231F20"/>
        </w:rPr>
        <w:t>stations</w:t>
      </w:r>
      <w:r>
        <w:rPr>
          <w:color w:val="231F20"/>
          <w:spacing w:val="-1"/>
        </w:rPr>
        <w:t xml:space="preserve"> </w:t>
      </w:r>
      <w:r>
        <w:rPr>
          <w:color w:val="231F20"/>
        </w:rPr>
        <w:t>across</w:t>
      </w:r>
      <w:r>
        <w:rPr>
          <w:color w:val="231F20"/>
          <w:spacing w:val="-1"/>
        </w:rPr>
        <w:t xml:space="preserve"> </w:t>
      </w:r>
      <w:r>
        <w:rPr>
          <w:color w:val="231F20"/>
        </w:rPr>
        <w:t>metro</w:t>
      </w:r>
      <w:r>
        <w:rPr>
          <w:color w:val="231F20"/>
          <w:spacing w:val="-2"/>
        </w:rPr>
        <w:t xml:space="preserve"> </w:t>
      </w:r>
      <w:r>
        <w:rPr>
          <w:color w:val="231F20"/>
        </w:rPr>
        <w:t>and regional Victoria. Seven of these students completed their Certificate III in Business and their placement</w:t>
      </w:r>
      <w:r>
        <w:rPr>
          <w:color w:val="231F20"/>
          <w:spacing w:val="-9"/>
        </w:rPr>
        <w:t xml:space="preserve"> </w:t>
      </w:r>
      <w:r>
        <w:rPr>
          <w:color w:val="231F20"/>
        </w:rPr>
        <w:t>with</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In</w:t>
      </w:r>
      <w:r>
        <w:rPr>
          <w:color w:val="231F20"/>
          <w:spacing w:val="-9"/>
        </w:rPr>
        <w:t xml:space="preserve"> </w:t>
      </w:r>
      <w:r>
        <w:rPr>
          <w:color w:val="231F20"/>
        </w:rPr>
        <w:t>2022,</w:t>
      </w:r>
      <w:r>
        <w:rPr>
          <w:color w:val="231F20"/>
          <w:spacing w:val="-9"/>
        </w:rPr>
        <w:t xml:space="preserve"> </w:t>
      </w:r>
      <w:r>
        <w:rPr>
          <w:color w:val="231F20"/>
        </w:rPr>
        <w:t>18</w:t>
      </w:r>
      <w:r>
        <w:rPr>
          <w:color w:val="231F20"/>
          <w:spacing w:val="-9"/>
        </w:rPr>
        <w:t xml:space="preserve"> </w:t>
      </w:r>
      <w:r>
        <w:rPr>
          <w:color w:val="231F20"/>
        </w:rPr>
        <w:t>students</w:t>
      </w:r>
      <w:r>
        <w:rPr>
          <w:color w:val="231F20"/>
          <w:spacing w:val="-9"/>
        </w:rPr>
        <w:t xml:space="preserve"> </w:t>
      </w:r>
      <w:r>
        <w:rPr>
          <w:color w:val="231F20"/>
        </w:rPr>
        <w:t>participated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SBTP</w:t>
      </w:r>
      <w:r>
        <w:rPr>
          <w:color w:val="231F20"/>
          <w:spacing w:val="-9"/>
        </w:rPr>
        <w:t xml:space="preserve"> </w:t>
      </w:r>
      <w:r>
        <w:rPr>
          <w:color w:val="231F20"/>
        </w:rPr>
        <w:t>hosted</w:t>
      </w:r>
      <w:r>
        <w:rPr>
          <w:color w:val="231F20"/>
          <w:spacing w:val="-9"/>
        </w:rPr>
        <w:t xml:space="preserve"> </w:t>
      </w:r>
      <w:r>
        <w:rPr>
          <w:color w:val="231F20"/>
        </w:rPr>
        <w:t>by</w:t>
      </w:r>
      <w:r>
        <w:rPr>
          <w:color w:val="231F20"/>
          <w:spacing w:val="-9"/>
        </w:rPr>
        <w:t xml:space="preserve"> </w:t>
      </w:r>
      <w:r>
        <w:rPr>
          <w:color w:val="231F20"/>
        </w:rPr>
        <w:t>18</w:t>
      </w:r>
      <w:r>
        <w:rPr>
          <w:color w:val="231F20"/>
          <w:spacing w:val="-9"/>
        </w:rPr>
        <w:t xml:space="preserve"> </w:t>
      </w:r>
      <w:r>
        <w:rPr>
          <w:color w:val="231F20"/>
        </w:rPr>
        <w:t>police stations. Since inception of the program, three participants have gained further employment within Victoria Police through another traineeship program and/or obtained an ongoing role at a police station.</w:t>
      </w:r>
    </w:p>
    <w:p w14:paraId="43D18680" w14:textId="77777777" w:rsidR="00345EE3" w:rsidRDefault="00345EE3" w:rsidP="00345EE3">
      <w:pPr>
        <w:pStyle w:val="Heading5"/>
        <w:spacing w:before="178"/>
      </w:pPr>
      <w:r>
        <w:rPr>
          <w:color w:val="58595B"/>
        </w:rPr>
        <w:t xml:space="preserve">Firearm </w:t>
      </w:r>
      <w:r>
        <w:rPr>
          <w:color w:val="58595B"/>
          <w:spacing w:val="-2"/>
        </w:rPr>
        <w:t>Licensing</w:t>
      </w:r>
    </w:p>
    <w:p w14:paraId="5821BCA2" w14:textId="77777777" w:rsidR="00345EE3" w:rsidRDefault="00345EE3" w:rsidP="00345EE3">
      <w:pPr>
        <w:pStyle w:val="BodyText"/>
        <w:spacing w:before="4" w:line="242" w:lineRule="auto"/>
        <w:ind w:right="921"/>
      </w:pPr>
      <w:r>
        <w:rPr>
          <w:color w:val="231F20"/>
        </w:rPr>
        <w:t>The</w:t>
      </w:r>
      <w:r>
        <w:rPr>
          <w:color w:val="231F20"/>
          <w:spacing w:val="-5"/>
        </w:rPr>
        <w:t xml:space="preserve"> </w:t>
      </w:r>
      <w:r>
        <w:rPr>
          <w:color w:val="231F20"/>
        </w:rPr>
        <w:t>Ministerial</w:t>
      </w:r>
      <w:r>
        <w:rPr>
          <w:color w:val="231F20"/>
          <w:spacing w:val="-5"/>
        </w:rPr>
        <w:t xml:space="preserve"> </w:t>
      </w:r>
      <w:r>
        <w:rPr>
          <w:color w:val="231F20"/>
        </w:rPr>
        <w:t>Council</w:t>
      </w:r>
      <w:r>
        <w:rPr>
          <w:color w:val="231F20"/>
          <w:spacing w:val="-5"/>
        </w:rPr>
        <w:t xml:space="preserve"> </w:t>
      </w:r>
      <w:r>
        <w:rPr>
          <w:color w:val="231F20"/>
        </w:rPr>
        <w:t>for</w:t>
      </w:r>
      <w:r>
        <w:rPr>
          <w:color w:val="231F20"/>
          <w:spacing w:val="-4"/>
        </w:rPr>
        <w:t xml:space="preserve"> </w:t>
      </w:r>
      <w:r>
        <w:rPr>
          <w:color w:val="231F20"/>
        </w:rPr>
        <w:t>Police</w:t>
      </w:r>
      <w:r>
        <w:rPr>
          <w:color w:val="231F20"/>
          <w:spacing w:val="-5"/>
        </w:rPr>
        <w:t xml:space="preserve"> </w:t>
      </w:r>
      <w:r>
        <w:rPr>
          <w:color w:val="231F20"/>
        </w:rPr>
        <w:t>and</w:t>
      </w:r>
      <w:r>
        <w:rPr>
          <w:color w:val="231F20"/>
          <w:spacing w:val="-5"/>
        </w:rPr>
        <w:t xml:space="preserve"> </w:t>
      </w:r>
      <w:r>
        <w:rPr>
          <w:color w:val="231F20"/>
        </w:rPr>
        <w:t>Emergency</w:t>
      </w:r>
      <w:r>
        <w:rPr>
          <w:color w:val="231F20"/>
          <w:spacing w:val="-4"/>
        </w:rPr>
        <w:t xml:space="preserve"> </w:t>
      </w:r>
      <w:r>
        <w:rPr>
          <w:color w:val="231F20"/>
        </w:rPr>
        <w:t>Management</w:t>
      </w:r>
      <w:r>
        <w:rPr>
          <w:color w:val="231F20"/>
          <w:spacing w:val="-4"/>
        </w:rPr>
        <w:t xml:space="preserve"> </w:t>
      </w:r>
      <w:r>
        <w:rPr>
          <w:color w:val="231F20"/>
        </w:rPr>
        <w:t>approved</w:t>
      </w:r>
      <w:r>
        <w:rPr>
          <w:color w:val="231F20"/>
          <w:spacing w:val="-5"/>
        </w:rPr>
        <w:t xml:space="preserve"> </w:t>
      </w:r>
      <w:r>
        <w:rPr>
          <w:color w:val="231F20"/>
        </w:rPr>
        <w:t>a</w:t>
      </w:r>
      <w:r>
        <w:rPr>
          <w:color w:val="231F20"/>
          <w:spacing w:val="-5"/>
        </w:rPr>
        <w:t xml:space="preserve"> </w:t>
      </w:r>
      <w:r>
        <w:rPr>
          <w:color w:val="231F20"/>
        </w:rPr>
        <w:t>permanent</w:t>
      </w:r>
      <w:r>
        <w:rPr>
          <w:color w:val="231F20"/>
          <w:spacing w:val="-4"/>
        </w:rPr>
        <w:t xml:space="preserve"> </w:t>
      </w:r>
      <w:r>
        <w:rPr>
          <w:color w:val="231F20"/>
        </w:rPr>
        <w:t>National Firearms</w:t>
      </w:r>
      <w:r>
        <w:rPr>
          <w:color w:val="231F20"/>
          <w:spacing w:val="-1"/>
        </w:rPr>
        <w:t xml:space="preserve"> </w:t>
      </w:r>
      <w:r>
        <w:rPr>
          <w:color w:val="231F20"/>
        </w:rPr>
        <w:t>Amnesty</w:t>
      </w:r>
      <w:r>
        <w:rPr>
          <w:color w:val="231F20"/>
          <w:spacing w:val="-1"/>
        </w:rPr>
        <w:t xml:space="preserve"> </w:t>
      </w:r>
      <w:r>
        <w:rPr>
          <w:color w:val="231F20"/>
        </w:rPr>
        <w:t>in</w:t>
      </w:r>
      <w:r>
        <w:rPr>
          <w:color w:val="231F20"/>
          <w:spacing w:val="-2"/>
        </w:rPr>
        <w:t xml:space="preserve"> </w:t>
      </w:r>
      <w:r>
        <w:rPr>
          <w:color w:val="231F20"/>
        </w:rPr>
        <w:t>November</w:t>
      </w:r>
      <w:r>
        <w:rPr>
          <w:color w:val="231F20"/>
          <w:spacing w:val="-1"/>
        </w:rPr>
        <w:t xml:space="preserve"> </w:t>
      </w:r>
      <w:r>
        <w:rPr>
          <w:color w:val="231F20"/>
        </w:rPr>
        <w:t>2019.</w:t>
      </w:r>
      <w:r>
        <w:rPr>
          <w:color w:val="231F20"/>
          <w:spacing w:val="-1"/>
        </w:rPr>
        <w:t xml:space="preserve"> </w:t>
      </w:r>
      <w:r>
        <w:rPr>
          <w:color w:val="231F20"/>
        </w:rPr>
        <w:t>The</w:t>
      </w:r>
      <w:r>
        <w:rPr>
          <w:color w:val="231F20"/>
          <w:spacing w:val="-2"/>
        </w:rPr>
        <w:t xml:space="preserve"> </w:t>
      </w:r>
      <w:r>
        <w:rPr>
          <w:color w:val="231F20"/>
        </w:rPr>
        <w:t>amnesty</w:t>
      </w:r>
      <w:r>
        <w:rPr>
          <w:color w:val="231F20"/>
          <w:spacing w:val="-1"/>
        </w:rPr>
        <w:t xml:space="preserve"> </w:t>
      </w:r>
      <w:r>
        <w:rPr>
          <w:color w:val="231F20"/>
        </w:rPr>
        <w:t>was</w:t>
      </w:r>
      <w:r>
        <w:rPr>
          <w:color w:val="231F20"/>
          <w:spacing w:val="-1"/>
        </w:rPr>
        <w:t xml:space="preserve"> </w:t>
      </w:r>
      <w:r>
        <w:rPr>
          <w:color w:val="231F20"/>
        </w:rPr>
        <w:t>initially</w:t>
      </w:r>
      <w:r>
        <w:rPr>
          <w:color w:val="231F20"/>
          <w:spacing w:val="-1"/>
        </w:rPr>
        <w:t xml:space="preserve"> </w:t>
      </w:r>
      <w:r>
        <w:rPr>
          <w:color w:val="231F20"/>
        </w:rPr>
        <w:t>planned</w:t>
      </w:r>
      <w:r>
        <w:rPr>
          <w:color w:val="231F20"/>
          <w:spacing w:val="-2"/>
        </w:rPr>
        <w:t xml:space="preserve"> </w:t>
      </w:r>
      <w:r>
        <w:rPr>
          <w:color w:val="231F20"/>
        </w:rPr>
        <w:t>for</w:t>
      </w:r>
      <w:r>
        <w:rPr>
          <w:color w:val="231F20"/>
          <w:spacing w:val="-1"/>
        </w:rPr>
        <w:t xml:space="preserve"> </w:t>
      </w:r>
      <w:r>
        <w:rPr>
          <w:color w:val="231F20"/>
        </w:rPr>
        <w:t>2020,</w:t>
      </w:r>
      <w:r>
        <w:rPr>
          <w:color w:val="231F20"/>
          <w:spacing w:val="-1"/>
        </w:rPr>
        <w:t xml:space="preserve"> </w:t>
      </w:r>
      <w:r>
        <w:rPr>
          <w:color w:val="231F20"/>
        </w:rPr>
        <w:t>however,</w:t>
      </w:r>
      <w:r>
        <w:rPr>
          <w:color w:val="231F20"/>
          <w:spacing w:val="-1"/>
        </w:rPr>
        <w:t xml:space="preserve"> </w:t>
      </w:r>
      <w:r>
        <w:rPr>
          <w:color w:val="231F20"/>
        </w:rPr>
        <w:t>it was postponed due to the COVID-19 pandemic and officially commenced on 1 July 2021. In Victoria, firearms can be surrendered to both Licenced Firearms Dealers (LFDs) and police stations. However, preference</w:t>
      </w:r>
      <w:r>
        <w:rPr>
          <w:color w:val="231F20"/>
          <w:spacing w:val="-1"/>
        </w:rPr>
        <w:t xml:space="preserve"> </w:t>
      </w:r>
      <w:r>
        <w:rPr>
          <w:color w:val="231F20"/>
        </w:rPr>
        <w:t>is for surrender to</w:t>
      </w:r>
      <w:r>
        <w:rPr>
          <w:color w:val="231F20"/>
          <w:spacing w:val="-1"/>
        </w:rPr>
        <w:t xml:space="preserve"> </w:t>
      </w:r>
      <w:r>
        <w:rPr>
          <w:color w:val="231F20"/>
        </w:rPr>
        <w:t>LFDs. A permanent national</w:t>
      </w:r>
      <w:r>
        <w:rPr>
          <w:color w:val="231F20"/>
          <w:spacing w:val="-1"/>
        </w:rPr>
        <w:t xml:space="preserve"> </w:t>
      </w:r>
      <w:r>
        <w:rPr>
          <w:color w:val="231F20"/>
        </w:rPr>
        <w:t>firearms amnesty will</w:t>
      </w:r>
      <w:r>
        <w:rPr>
          <w:color w:val="231F20"/>
          <w:spacing w:val="-11"/>
        </w:rPr>
        <w:t xml:space="preserve"> </w:t>
      </w:r>
      <w:r>
        <w:rPr>
          <w:color w:val="231F20"/>
        </w:rPr>
        <w:t>improve</w:t>
      </w:r>
      <w:r>
        <w:rPr>
          <w:color w:val="231F20"/>
          <w:spacing w:val="-11"/>
        </w:rPr>
        <w:t xml:space="preserve"> </w:t>
      </w:r>
      <w:r>
        <w:rPr>
          <w:color w:val="231F20"/>
        </w:rPr>
        <w:t>public</w:t>
      </w:r>
      <w:r>
        <w:rPr>
          <w:color w:val="231F20"/>
          <w:spacing w:val="-10"/>
        </w:rPr>
        <w:t xml:space="preserve"> </w:t>
      </w:r>
      <w:r>
        <w:rPr>
          <w:color w:val="231F20"/>
        </w:rPr>
        <w:t>safety</w:t>
      </w:r>
      <w:r>
        <w:rPr>
          <w:color w:val="231F20"/>
          <w:spacing w:val="-10"/>
        </w:rPr>
        <w:t xml:space="preserve"> </w:t>
      </w:r>
      <w:r>
        <w:rPr>
          <w:color w:val="231F20"/>
        </w:rPr>
        <w:t>by</w:t>
      </w:r>
      <w:r>
        <w:rPr>
          <w:color w:val="231F20"/>
          <w:spacing w:val="-10"/>
        </w:rPr>
        <w:t xml:space="preserve"> </w:t>
      </w:r>
      <w:r>
        <w:rPr>
          <w:color w:val="231F20"/>
        </w:rPr>
        <w:t>reducing</w:t>
      </w:r>
      <w:r>
        <w:rPr>
          <w:color w:val="231F20"/>
          <w:spacing w:val="-11"/>
        </w:rPr>
        <w:t xml:space="preserve"> </w:t>
      </w:r>
      <w:r>
        <w:rPr>
          <w:color w:val="231F20"/>
        </w:rPr>
        <w:t>the</w:t>
      </w:r>
      <w:r>
        <w:rPr>
          <w:color w:val="231F20"/>
          <w:spacing w:val="-11"/>
        </w:rPr>
        <w:t xml:space="preserve"> </w:t>
      </w:r>
      <w:r>
        <w:rPr>
          <w:color w:val="231F20"/>
        </w:rPr>
        <w:t>number</w:t>
      </w:r>
      <w:r>
        <w:rPr>
          <w:color w:val="231F20"/>
          <w:spacing w:val="-10"/>
        </w:rPr>
        <w:t xml:space="preserve"> </w:t>
      </w:r>
      <w:r>
        <w:rPr>
          <w:color w:val="231F20"/>
        </w:rPr>
        <w:t>of</w:t>
      </w:r>
      <w:r>
        <w:rPr>
          <w:color w:val="231F20"/>
          <w:spacing w:val="-10"/>
        </w:rPr>
        <w:t xml:space="preserve"> </w:t>
      </w:r>
      <w:r>
        <w:rPr>
          <w:color w:val="231F20"/>
        </w:rPr>
        <w:t>illicit</w:t>
      </w:r>
      <w:r>
        <w:rPr>
          <w:color w:val="231F20"/>
          <w:spacing w:val="-10"/>
        </w:rPr>
        <w:t xml:space="preserve"> </w:t>
      </w:r>
      <w:r>
        <w:rPr>
          <w:color w:val="231F20"/>
        </w:rPr>
        <w:t>firearms</w:t>
      </w:r>
      <w:r>
        <w:rPr>
          <w:color w:val="231F20"/>
          <w:spacing w:val="-10"/>
        </w:rPr>
        <w:t xml:space="preserve"> </w:t>
      </w:r>
      <w:r>
        <w:rPr>
          <w:color w:val="231F20"/>
        </w:rPr>
        <w:t>in</w:t>
      </w:r>
      <w:r>
        <w:rPr>
          <w:color w:val="231F20"/>
          <w:spacing w:val="-11"/>
        </w:rPr>
        <w:t xml:space="preserve"> </w:t>
      </w:r>
      <w:r>
        <w:rPr>
          <w:color w:val="231F20"/>
        </w:rPr>
        <w:t>Australian</w:t>
      </w:r>
      <w:r>
        <w:rPr>
          <w:color w:val="231F20"/>
          <w:spacing w:val="-11"/>
        </w:rPr>
        <w:t xml:space="preserve"> </w:t>
      </w:r>
      <w:r>
        <w:rPr>
          <w:color w:val="231F20"/>
        </w:rPr>
        <w:t>communities</w:t>
      </w:r>
      <w:r>
        <w:rPr>
          <w:color w:val="231F20"/>
          <w:spacing w:val="-10"/>
        </w:rPr>
        <w:t xml:space="preserve"> </w:t>
      </w:r>
      <w:r>
        <w:rPr>
          <w:color w:val="231F20"/>
        </w:rPr>
        <w:t>and is strongly supported by both the firearms community and gun safety advocates.</w:t>
      </w:r>
    </w:p>
    <w:p w14:paraId="214E6E6B" w14:textId="77777777" w:rsidR="00345EE3" w:rsidRDefault="00345EE3" w:rsidP="00345EE3">
      <w:pPr>
        <w:pStyle w:val="BodyText"/>
        <w:spacing w:before="123" w:line="242" w:lineRule="auto"/>
        <w:ind w:right="995"/>
      </w:pPr>
      <w:r>
        <w:rPr>
          <w:color w:val="231F20"/>
        </w:rPr>
        <w:t xml:space="preserve">Victoria Police provided advice to licence holders regarding the amendments to the </w:t>
      </w:r>
      <w:r>
        <w:rPr>
          <w:i/>
          <w:color w:val="231F20"/>
        </w:rPr>
        <w:t>Firearms Act</w:t>
      </w:r>
      <w:r>
        <w:rPr>
          <w:i/>
          <w:color w:val="231F20"/>
          <w:spacing w:val="-5"/>
        </w:rPr>
        <w:t xml:space="preserve"> </w:t>
      </w:r>
      <w:r>
        <w:rPr>
          <w:color w:val="231F20"/>
        </w:rPr>
        <w:t>1996 which will commence in August 2022. These changes also include more robust firearm</w:t>
      </w:r>
      <w:r>
        <w:rPr>
          <w:color w:val="231F20"/>
          <w:spacing w:val="-8"/>
        </w:rPr>
        <w:t xml:space="preserve"> </w:t>
      </w:r>
      <w:r>
        <w:rPr>
          <w:color w:val="231F20"/>
        </w:rPr>
        <w:t>storage</w:t>
      </w:r>
      <w:r>
        <w:rPr>
          <w:color w:val="231F20"/>
          <w:spacing w:val="-9"/>
        </w:rPr>
        <w:t xml:space="preserve"> </w:t>
      </w:r>
      <w:r>
        <w:rPr>
          <w:color w:val="231F20"/>
        </w:rPr>
        <w:t>requirements,</w:t>
      </w:r>
      <w:r>
        <w:rPr>
          <w:color w:val="231F20"/>
          <w:spacing w:val="-8"/>
        </w:rPr>
        <w:t xml:space="preserve"> </w:t>
      </w:r>
      <w:r>
        <w:rPr>
          <w:color w:val="231F20"/>
        </w:rPr>
        <w:t>which</w:t>
      </w:r>
      <w:r>
        <w:rPr>
          <w:color w:val="231F20"/>
          <w:spacing w:val="-9"/>
        </w:rPr>
        <w:t xml:space="preserve"> </w:t>
      </w:r>
      <w:r>
        <w:rPr>
          <w:color w:val="231F20"/>
        </w:rPr>
        <w:t>are</w:t>
      </w:r>
      <w:r>
        <w:rPr>
          <w:color w:val="231F20"/>
          <w:spacing w:val="-9"/>
        </w:rPr>
        <w:t xml:space="preserve"> </w:t>
      </w:r>
      <w:r>
        <w:rPr>
          <w:color w:val="231F20"/>
        </w:rPr>
        <w:t>intended</w:t>
      </w:r>
      <w:r>
        <w:rPr>
          <w:color w:val="231F20"/>
          <w:spacing w:val="-9"/>
        </w:rPr>
        <w:t xml:space="preserve"> </w:t>
      </w:r>
      <w:r>
        <w:rPr>
          <w:color w:val="231F20"/>
        </w:rPr>
        <w:t>to</w:t>
      </w:r>
      <w:r>
        <w:rPr>
          <w:color w:val="231F20"/>
          <w:spacing w:val="-9"/>
        </w:rPr>
        <w:t xml:space="preserve"> </w:t>
      </w:r>
      <w:r>
        <w:rPr>
          <w:color w:val="231F20"/>
        </w:rPr>
        <w:t>reduce</w:t>
      </w:r>
      <w:r>
        <w:rPr>
          <w:color w:val="231F20"/>
          <w:spacing w:val="-9"/>
        </w:rPr>
        <w:t xml:space="preserve"> </w:t>
      </w:r>
      <w:r>
        <w:rPr>
          <w:color w:val="231F20"/>
        </w:rPr>
        <w:t>the</w:t>
      </w:r>
      <w:r>
        <w:rPr>
          <w:color w:val="231F20"/>
          <w:spacing w:val="-9"/>
        </w:rPr>
        <w:t xml:space="preserve"> </w:t>
      </w:r>
      <w:r>
        <w:rPr>
          <w:color w:val="231F20"/>
        </w:rPr>
        <w:t>risk</w:t>
      </w:r>
      <w:r>
        <w:rPr>
          <w:color w:val="231F20"/>
          <w:spacing w:val="-8"/>
        </w:rPr>
        <w:t xml:space="preserve"> </w:t>
      </w:r>
      <w:r>
        <w:rPr>
          <w:color w:val="231F20"/>
        </w:rPr>
        <w:t>of</w:t>
      </w:r>
      <w:r>
        <w:rPr>
          <w:color w:val="231F20"/>
          <w:spacing w:val="-8"/>
        </w:rPr>
        <w:t xml:space="preserve"> </w:t>
      </w:r>
      <w:r>
        <w:rPr>
          <w:color w:val="231F20"/>
        </w:rPr>
        <w:t>firearm</w:t>
      </w:r>
      <w:r>
        <w:rPr>
          <w:color w:val="231F20"/>
          <w:spacing w:val="-8"/>
        </w:rPr>
        <w:t xml:space="preserve"> </w:t>
      </w:r>
      <w:r>
        <w:rPr>
          <w:color w:val="231F20"/>
        </w:rPr>
        <w:t>theft</w:t>
      </w:r>
      <w:r>
        <w:rPr>
          <w:color w:val="231F20"/>
          <w:spacing w:val="-8"/>
        </w:rPr>
        <w:t xml:space="preserve"> </w:t>
      </w:r>
      <w:r>
        <w:rPr>
          <w:color w:val="231F20"/>
        </w:rPr>
        <w:t>and</w:t>
      </w:r>
      <w:r>
        <w:rPr>
          <w:color w:val="231F20"/>
          <w:spacing w:val="-9"/>
        </w:rPr>
        <w:t xml:space="preserve"> </w:t>
      </w:r>
      <w:r>
        <w:rPr>
          <w:color w:val="231F20"/>
        </w:rPr>
        <w:t>improve guidance to firearm owners to ensure firearms are kept safe.</w:t>
      </w:r>
    </w:p>
    <w:p w14:paraId="58EEB0FF" w14:textId="77777777" w:rsidR="00345EE3" w:rsidRDefault="00345EE3" w:rsidP="00345EE3">
      <w:pPr>
        <w:pStyle w:val="Heading5"/>
        <w:spacing w:before="175"/>
      </w:pPr>
      <w:r>
        <w:rPr>
          <w:color w:val="58595B"/>
        </w:rPr>
        <w:t xml:space="preserve">Information Sharing </w:t>
      </w:r>
      <w:r>
        <w:rPr>
          <w:color w:val="58595B"/>
          <w:spacing w:val="-2"/>
        </w:rPr>
        <w:t>Entities</w:t>
      </w:r>
    </w:p>
    <w:p w14:paraId="58091455" w14:textId="77777777" w:rsidR="00345EE3" w:rsidRDefault="00345EE3" w:rsidP="00345EE3">
      <w:pPr>
        <w:pStyle w:val="BodyText"/>
        <w:spacing w:before="4" w:line="242" w:lineRule="auto"/>
        <w:ind w:right="921"/>
      </w:pPr>
      <w:r>
        <w:rPr>
          <w:color w:val="231F20"/>
        </w:rPr>
        <w:t>The Inter-Agency Information Sharing Service (IISS) within Police Enquiry and Data Sharing Department (PEDSD) has worked to engage additional Information Sharing Entities (ISEs) prescribed under phase two of implementation of the Family Violence Multi-Agency Risk Assessment</w:t>
      </w:r>
      <w:r>
        <w:rPr>
          <w:color w:val="231F20"/>
          <w:spacing w:val="-14"/>
        </w:rPr>
        <w:t xml:space="preserve"> </w:t>
      </w:r>
      <w:r>
        <w:rPr>
          <w:color w:val="231F20"/>
        </w:rPr>
        <w:t>and</w:t>
      </w:r>
      <w:r>
        <w:rPr>
          <w:color w:val="231F20"/>
          <w:spacing w:val="-14"/>
        </w:rPr>
        <w:t xml:space="preserve"> </w:t>
      </w:r>
      <w:r>
        <w:rPr>
          <w:color w:val="231F20"/>
        </w:rPr>
        <w:t>Management</w:t>
      </w:r>
      <w:r>
        <w:rPr>
          <w:color w:val="231F20"/>
          <w:spacing w:val="-14"/>
        </w:rPr>
        <w:t xml:space="preserve"> </w:t>
      </w:r>
      <w:r>
        <w:rPr>
          <w:color w:val="231F20"/>
        </w:rPr>
        <w:t>Framework,</w:t>
      </w:r>
      <w:r>
        <w:rPr>
          <w:color w:val="231F20"/>
          <w:spacing w:val="-14"/>
        </w:rPr>
        <w:t xml:space="preserve"> </w:t>
      </w:r>
      <w:r>
        <w:rPr>
          <w:color w:val="231F20"/>
        </w:rPr>
        <w:t>which</w:t>
      </w:r>
      <w:r>
        <w:rPr>
          <w:color w:val="231F20"/>
          <w:spacing w:val="-14"/>
        </w:rPr>
        <w:t xml:space="preserve"> </w:t>
      </w:r>
      <w:r>
        <w:rPr>
          <w:color w:val="231F20"/>
        </w:rPr>
        <w:t>incorporates</w:t>
      </w:r>
      <w:r>
        <w:rPr>
          <w:color w:val="231F20"/>
          <w:spacing w:val="-14"/>
        </w:rPr>
        <w:t xml:space="preserve"> </w:t>
      </w:r>
      <w:r>
        <w:rPr>
          <w:color w:val="231F20"/>
        </w:rPr>
        <w:t>the</w:t>
      </w:r>
      <w:r>
        <w:rPr>
          <w:color w:val="231F20"/>
          <w:spacing w:val="-14"/>
        </w:rPr>
        <w:t xml:space="preserve"> </w:t>
      </w:r>
      <w:r>
        <w:rPr>
          <w:color w:val="231F20"/>
        </w:rPr>
        <w:t>Family</w:t>
      </w:r>
      <w:r>
        <w:rPr>
          <w:color w:val="231F20"/>
          <w:spacing w:val="-14"/>
        </w:rPr>
        <w:t xml:space="preserve"> </w:t>
      </w:r>
      <w:r>
        <w:rPr>
          <w:color w:val="231F20"/>
        </w:rPr>
        <w:t>Violence</w:t>
      </w:r>
      <w:r>
        <w:rPr>
          <w:color w:val="231F20"/>
          <w:spacing w:val="-14"/>
        </w:rPr>
        <w:t xml:space="preserve"> </w:t>
      </w:r>
      <w:r>
        <w:rPr>
          <w:color w:val="231F20"/>
        </w:rPr>
        <w:t>Information Sharing Scheme (FVISS), and the Child Information Sharing Scheme (CISS). This has led to increases in the volume of requests made under the FVISS and the CISS. New requestors include schools and health care professionals.</w:t>
      </w:r>
    </w:p>
    <w:p w14:paraId="6F5DD7B8" w14:textId="77777777" w:rsidR="00345EE3" w:rsidRDefault="00345EE3" w:rsidP="00345EE3">
      <w:pPr>
        <w:pStyle w:val="BodyText"/>
        <w:spacing w:before="123" w:line="242" w:lineRule="auto"/>
        <w:ind w:right="921"/>
      </w:pPr>
      <w:r>
        <w:rPr>
          <w:color w:val="231F20"/>
        </w:rPr>
        <w:t>The IISS works to engage new ISEs with the service, as well as holding workshops and presentations to educate and enhance collaboration within the schemes. In 2021–22, PEDSD processed</w:t>
      </w:r>
      <w:r>
        <w:rPr>
          <w:color w:val="231F20"/>
          <w:spacing w:val="-9"/>
        </w:rPr>
        <w:t xml:space="preserve"> </w:t>
      </w:r>
      <w:r>
        <w:rPr>
          <w:color w:val="231F20"/>
        </w:rPr>
        <w:t>6,879</w:t>
      </w:r>
      <w:r>
        <w:rPr>
          <w:color w:val="231F20"/>
          <w:spacing w:val="-9"/>
        </w:rPr>
        <w:t xml:space="preserve"> </w:t>
      </w:r>
      <w:r>
        <w:rPr>
          <w:color w:val="231F20"/>
        </w:rPr>
        <w:t>requests,</w:t>
      </w:r>
      <w:r>
        <w:rPr>
          <w:color w:val="231F20"/>
          <w:spacing w:val="-8"/>
        </w:rPr>
        <w:t xml:space="preserve"> </w:t>
      </w:r>
      <w:r>
        <w:rPr>
          <w:color w:val="231F20"/>
        </w:rPr>
        <w:t>which</w:t>
      </w:r>
      <w:r>
        <w:rPr>
          <w:color w:val="231F20"/>
          <w:spacing w:val="-9"/>
        </w:rPr>
        <w:t xml:space="preserve"> </w:t>
      </w:r>
      <w:r>
        <w:rPr>
          <w:color w:val="231F20"/>
        </w:rPr>
        <w:t>represents</w:t>
      </w:r>
      <w:r>
        <w:rPr>
          <w:color w:val="231F20"/>
          <w:spacing w:val="-8"/>
        </w:rPr>
        <w:t xml:space="preserve"> </w:t>
      </w:r>
      <w:r>
        <w:rPr>
          <w:color w:val="231F20"/>
        </w:rPr>
        <w:t>a</w:t>
      </w:r>
      <w:r>
        <w:rPr>
          <w:color w:val="231F20"/>
          <w:spacing w:val="-9"/>
        </w:rPr>
        <w:t xml:space="preserve"> </w:t>
      </w:r>
      <w:r>
        <w:rPr>
          <w:color w:val="231F20"/>
        </w:rPr>
        <w:t>30</w:t>
      </w:r>
      <w:r>
        <w:rPr>
          <w:color w:val="231F20"/>
          <w:spacing w:val="-9"/>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increase</w:t>
      </w:r>
      <w:r>
        <w:rPr>
          <w:color w:val="231F20"/>
          <w:spacing w:val="-9"/>
        </w:rPr>
        <w:t xml:space="preserve"> </w:t>
      </w:r>
      <w:r>
        <w:rPr>
          <w:color w:val="231F20"/>
        </w:rPr>
        <w:t>in</w:t>
      </w:r>
      <w:r>
        <w:rPr>
          <w:color w:val="231F20"/>
          <w:spacing w:val="-9"/>
        </w:rPr>
        <w:t xml:space="preserve"> </w:t>
      </w:r>
      <w:r>
        <w:rPr>
          <w:color w:val="231F20"/>
        </w:rPr>
        <w:t>requests</w:t>
      </w:r>
      <w:r>
        <w:rPr>
          <w:color w:val="231F20"/>
          <w:spacing w:val="-8"/>
        </w:rPr>
        <w:t xml:space="preserve"> </w:t>
      </w:r>
      <w:r>
        <w:rPr>
          <w:color w:val="231F20"/>
        </w:rPr>
        <w:t>when</w:t>
      </w:r>
      <w:r>
        <w:rPr>
          <w:color w:val="231F20"/>
          <w:spacing w:val="-9"/>
        </w:rPr>
        <w:t xml:space="preserve"> </w:t>
      </w:r>
      <w:r>
        <w:rPr>
          <w:color w:val="231F20"/>
        </w:rPr>
        <w:t>compared to the previous financial year.</w:t>
      </w:r>
    </w:p>
    <w:p w14:paraId="7E299BAF" w14:textId="77777777" w:rsidR="00345EE3" w:rsidRDefault="00345EE3" w:rsidP="00345EE3">
      <w:pPr>
        <w:pStyle w:val="Heading5"/>
        <w:spacing w:before="175"/>
      </w:pPr>
      <w:r>
        <w:rPr>
          <w:color w:val="58595B"/>
        </w:rPr>
        <w:t xml:space="preserve">Financial Sustainability </w:t>
      </w:r>
      <w:r>
        <w:rPr>
          <w:color w:val="58595B"/>
          <w:spacing w:val="-2"/>
        </w:rPr>
        <w:t>Program</w:t>
      </w:r>
    </w:p>
    <w:p w14:paraId="1D4693DE" w14:textId="77777777" w:rsidR="00345EE3" w:rsidRDefault="00345EE3" w:rsidP="00345EE3">
      <w:pPr>
        <w:pStyle w:val="BodyText"/>
        <w:spacing w:before="4" w:line="242" w:lineRule="auto"/>
        <w:ind w:right="921"/>
      </w:pPr>
      <w:r>
        <w:rPr>
          <w:color w:val="231F20"/>
        </w:rPr>
        <w:t>The Victoria Police Financial Sustainability Program Office (FSPO) supports government commitments by implementing initiatives to achieve savings and efficiencies across Victoria Police, including systems investments that will enhance organisational efficiency and effectiveness.</w:t>
      </w:r>
      <w:r>
        <w:rPr>
          <w:color w:val="231F20"/>
          <w:spacing w:val="-11"/>
        </w:rPr>
        <w:t xml:space="preserve"> </w:t>
      </w:r>
      <w:r>
        <w:rPr>
          <w:color w:val="231F20"/>
        </w:rPr>
        <w:t>FSPO</w:t>
      </w:r>
      <w:r>
        <w:rPr>
          <w:color w:val="231F20"/>
          <w:spacing w:val="-11"/>
        </w:rPr>
        <w:t xml:space="preserve"> </w:t>
      </w:r>
      <w:r>
        <w:rPr>
          <w:color w:val="231F20"/>
        </w:rPr>
        <w:t>maintained</w:t>
      </w:r>
      <w:r>
        <w:rPr>
          <w:color w:val="231F20"/>
          <w:spacing w:val="-12"/>
        </w:rPr>
        <w:t xml:space="preserve"> </w:t>
      </w:r>
      <w:r>
        <w:rPr>
          <w:color w:val="231F20"/>
        </w:rPr>
        <w:t>high-level</w:t>
      </w:r>
      <w:r>
        <w:rPr>
          <w:color w:val="231F20"/>
          <w:spacing w:val="-12"/>
        </w:rPr>
        <w:t xml:space="preserve"> </w:t>
      </w:r>
      <w:r>
        <w:rPr>
          <w:color w:val="231F20"/>
        </w:rPr>
        <w:t>service</w:t>
      </w:r>
      <w:r>
        <w:rPr>
          <w:color w:val="231F20"/>
          <w:spacing w:val="-12"/>
        </w:rPr>
        <w:t xml:space="preserve"> </w:t>
      </w:r>
      <w:r>
        <w:rPr>
          <w:color w:val="231F20"/>
        </w:rPr>
        <w:t>by</w:t>
      </w:r>
      <w:r>
        <w:rPr>
          <w:color w:val="231F20"/>
          <w:spacing w:val="-11"/>
        </w:rPr>
        <w:t xml:space="preserve"> </w:t>
      </w:r>
      <w:r>
        <w:rPr>
          <w:color w:val="231F20"/>
        </w:rPr>
        <w:t>providing</w:t>
      </w:r>
      <w:r>
        <w:rPr>
          <w:color w:val="231F20"/>
          <w:spacing w:val="-12"/>
        </w:rPr>
        <w:t xml:space="preserve"> </w:t>
      </w:r>
      <w:r>
        <w:rPr>
          <w:color w:val="231F20"/>
        </w:rPr>
        <w:t>advice</w:t>
      </w:r>
      <w:r>
        <w:rPr>
          <w:color w:val="231F20"/>
          <w:spacing w:val="-12"/>
        </w:rPr>
        <w:t xml:space="preserve"> </w:t>
      </w:r>
      <w:r>
        <w:rPr>
          <w:color w:val="231F20"/>
        </w:rPr>
        <w:t>and</w:t>
      </w:r>
      <w:r>
        <w:rPr>
          <w:color w:val="231F20"/>
          <w:spacing w:val="-12"/>
        </w:rPr>
        <w:t xml:space="preserve"> </w:t>
      </w:r>
      <w:r>
        <w:rPr>
          <w:color w:val="231F20"/>
        </w:rPr>
        <w:t>support</w:t>
      </w:r>
      <w:r>
        <w:rPr>
          <w:color w:val="231F20"/>
          <w:spacing w:val="-11"/>
        </w:rPr>
        <w:t xml:space="preserve"> </w:t>
      </w:r>
      <w:r>
        <w:rPr>
          <w:color w:val="231F20"/>
        </w:rPr>
        <w:t>regarding:</w:t>
      </w:r>
    </w:p>
    <w:p w14:paraId="37A378E6" w14:textId="77777777" w:rsidR="00345EE3" w:rsidRDefault="00345EE3">
      <w:pPr>
        <w:pStyle w:val="ListParagraph"/>
        <w:numPr>
          <w:ilvl w:val="0"/>
          <w:numId w:val="85"/>
        </w:numPr>
        <w:tabs>
          <w:tab w:val="left" w:pos="393"/>
          <w:tab w:val="left" w:pos="394"/>
        </w:tabs>
        <w:spacing w:before="31"/>
        <w:rPr>
          <w:sz w:val="24"/>
        </w:rPr>
      </w:pPr>
      <w:r>
        <w:rPr>
          <w:color w:val="231F20"/>
          <w:spacing w:val="-2"/>
          <w:sz w:val="24"/>
        </w:rPr>
        <w:t>initiative development and</w:t>
      </w:r>
      <w:r>
        <w:rPr>
          <w:color w:val="231F20"/>
          <w:spacing w:val="-1"/>
          <w:sz w:val="24"/>
        </w:rPr>
        <w:t xml:space="preserve"> </w:t>
      </w:r>
      <w:r>
        <w:rPr>
          <w:color w:val="231F20"/>
          <w:spacing w:val="-2"/>
          <w:sz w:val="24"/>
        </w:rPr>
        <w:t>management</w:t>
      </w:r>
    </w:p>
    <w:p w14:paraId="1561F3D0" w14:textId="77777777" w:rsidR="00345EE3" w:rsidRDefault="00345EE3">
      <w:pPr>
        <w:pStyle w:val="ListParagraph"/>
        <w:numPr>
          <w:ilvl w:val="0"/>
          <w:numId w:val="85"/>
        </w:numPr>
        <w:tabs>
          <w:tab w:val="left" w:pos="393"/>
          <w:tab w:val="left" w:pos="394"/>
        </w:tabs>
        <w:spacing w:before="33"/>
        <w:rPr>
          <w:sz w:val="24"/>
        </w:rPr>
      </w:pPr>
      <w:r>
        <w:rPr>
          <w:color w:val="231F20"/>
          <w:spacing w:val="-2"/>
          <w:sz w:val="24"/>
        </w:rPr>
        <w:t>implementation</w:t>
      </w:r>
      <w:r>
        <w:rPr>
          <w:color w:val="231F20"/>
          <w:spacing w:val="6"/>
          <w:sz w:val="24"/>
        </w:rPr>
        <w:t xml:space="preserve"> </w:t>
      </w:r>
      <w:r>
        <w:rPr>
          <w:color w:val="231F20"/>
          <w:spacing w:val="-2"/>
          <w:sz w:val="24"/>
        </w:rPr>
        <w:t>planning</w:t>
      </w:r>
    </w:p>
    <w:p w14:paraId="69D32762" w14:textId="77777777" w:rsidR="00345EE3" w:rsidRDefault="00345EE3">
      <w:pPr>
        <w:pStyle w:val="ListParagraph"/>
        <w:numPr>
          <w:ilvl w:val="0"/>
          <w:numId w:val="85"/>
        </w:numPr>
        <w:tabs>
          <w:tab w:val="left" w:pos="393"/>
          <w:tab w:val="left" w:pos="394"/>
        </w:tabs>
        <w:rPr>
          <w:sz w:val="24"/>
        </w:rPr>
      </w:pPr>
      <w:r>
        <w:rPr>
          <w:color w:val="231F20"/>
          <w:sz w:val="24"/>
        </w:rPr>
        <w:t>change</w:t>
      </w:r>
      <w:r>
        <w:rPr>
          <w:color w:val="231F20"/>
          <w:spacing w:val="-10"/>
          <w:sz w:val="24"/>
        </w:rPr>
        <w:t xml:space="preserve"> </w:t>
      </w:r>
      <w:r>
        <w:rPr>
          <w:color w:val="231F20"/>
          <w:sz w:val="24"/>
        </w:rPr>
        <w:t>management</w:t>
      </w:r>
      <w:r>
        <w:rPr>
          <w:color w:val="231F20"/>
          <w:spacing w:val="-10"/>
          <w:sz w:val="24"/>
        </w:rPr>
        <w:t xml:space="preserve"> </w:t>
      </w:r>
      <w:r>
        <w:rPr>
          <w:color w:val="231F20"/>
          <w:sz w:val="24"/>
        </w:rPr>
        <w:t>and</w:t>
      </w:r>
      <w:r>
        <w:rPr>
          <w:color w:val="231F20"/>
          <w:spacing w:val="-9"/>
          <w:sz w:val="24"/>
        </w:rPr>
        <w:t xml:space="preserve"> </w:t>
      </w:r>
      <w:r>
        <w:rPr>
          <w:color w:val="231F20"/>
          <w:spacing w:val="-2"/>
          <w:sz w:val="24"/>
        </w:rPr>
        <w:t>communications</w:t>
      </w:r>
    </w:p>
    <w:p w14:paraId="649ADCFA" w14:textId="77777777" w:rsidR="00345EE3" w:rsidRDefault="00345EE3">
      <w:pPr>
        <w:pStyle w:val="ListParagraph"/>
        <w:numPr>
          <w:ilvl w:val="0"/>
          <w:numId w:val="85"/>
        </w:numPr>
        <w:tabs>
          <w:tab w:val="left" w:pos="393"/>
          <w:tab w:val="left" w:pos="394"/>
        </w:tabs>
        <w:rPr>
          <w:sz w:val="24"/>
        </w:rPr>
      </w:pPr>
      <w:r>
        <w:rPr>
          <w:color w:val="231F20"/>
          <w:sz w:val="24"/>
        </w:rPr>
        <w:t>financial</w:t>
      </w:r>
      <w:r>
        <w:rPr>
          <w:color w:val="231F20"/>
          <w:spacing w:val="-10"/>
          <w:sz w:val="24"/>
        </w:rPr>
        <w:t xml:space="preserve"> </w:t>
      </w:r>
      <w:r>
        <w:rPr>
          <w:color w:val="231F20"/>
          <w:spacing w:val="-2"/>
          <w:sz w:val="24"/>
        </w:rPr>
        <w:t>modelling</w:t>
      </w:r>
    </w:p>
    <w:p w14:paraId="241C3EC2" w14:textId="77777777" w:rsidR="00345EE3" w:rsidRDefault="00345EE3">
      <w:pPr>
        <w:pStyle w:val="ListParagraph"/>
        <w:numPr>
          <w:ilvl w:val="0"/>
          <w:numId w:val="85"/>
        </w:numPr>
        <w:tabs>
          <w:tab w:val="left" w:pos="393"/>
          <w:tab w:val="left" w:pos="394"/>
        </w:tabs>
        <w:spacing w:before="33"/>
        <w:rPr>
          <w:sz w:val="24"/>
        </w:rPr>
      </w:pPr>
      <w:r>
        <w:rPr>
          <w:color w:val="231F20"/>
          <w:sz w:val="24"/>
        </w:rPr>
        <w:t>benefits</w:t>
      </w:r>
      <w:r>
        <w:rPr>
          <w:color w:val="231F20"/>
          <w:spacing w:val="-11"/>
          <w:sz w:val="24"/>
        </w:rPr>
        <w:t xml:space="preserve"> </w:t>
      </w:r>
      <w:r>
        <w:rPr>
          <w:color w:val="231F20"/>
          <w:spacing w:val="-2"/>
          <w:sz w:val="24"/>
        </w:rPr>
        <w:t>reporting</w:t>
      </w:r>
    </w:p>
    <w:p w14:paraId="6AA06D71" w14:textId="77777777" w:rsidR="00345EE3" w:rsidRDefault="00345EE3">
      <w:pPr>
        <w:pStyle w:val="ListParagraph"/>
        <w:numPr>
          <w:ilvl w:val="0"/>
          <w:numId w:val="85"/>
        </w:numPr>
        <w:tabs>
          <w:tab w:val="left" w:pos="393"/>
          <w:tab w:val="left" w:pos="394"/>
        </w:tabs>
        <w:spacing w:before="62"/>
        <w:rPr>
          <w:sz w:val="24"/>
        </w:rPr>
      </w:pPr>
      <w:r>
        <w:rPr>
          <w:color w:val="231F20"/>
          <w:sz w:val="24"/>
        </w:rPr>
        <w:t>collaboration</w:t>
      </w:r>
      <w:r>
        <w:rPr>
          <w:color w:val="231F20"/>
          <w:spacing w:val="-7"/>
          <w:sz w:val="24"/>
        </w:rPr>
        <w:t xml:space="preserve"> </w:t>
      </w:r>
      <w:r>
        <w:rPr>
          <w:color w:val="231F20"/>
          <w:sz w:val="24"/>
        </w:rPr>
        <w:t>with</w:t>
      </w:r>
      <w:r>
        <w:rPr>
          <w:color w:val="231F20"/>
          <w:spacing w:val="-7"/>
          <w:sz w:val="24"/>
        </w:rPr>
        <w:t xml:space="preserve"> </w:t>
      </w:r>
      <w:r>
        <w:rPr>
          <w:color w:val="231F20"/>
          <w:sz w:val="24"/>
        </w:rPr>
        <w:t>partner</w:t>
      </w:r>
      <w:r>
        <w:rPr>
          <w:color w:val="231F20"/>
          <w:spacing w:val="-7"/>
          <w:sz w:val="24"/>
        </w:rPr>
        <w:t xml:space="preserve"> </w:t>
      </w:r>
      <w:r>
        <w:rPr>
          <w:color w:val="231F20"/>
          <w:spacing w:val="-2"/>
          <w:sz w:val="24"/>
        </w:rPr>
        <w:t>agencies</w:t>
      </w:r>
    </w:p>
    <w:p w14:paraId="27938781" w14:textId="77777777" w:rsidR="00345EE3" w:rsidRDefault="00345EE3">
      <w:pPr>
        <w:pStyle w:val="ListParagraph"/>
        <w:numPr>
          <w:ilvl w:val="0"/>
          <w:numId w:val="85"/>
        </w:numPr>
        <w:tabs>
          <w:tab w:val="left" w:pos="393"/>
          <w:tab w:val="left" w:pos="394"/>
        </w:tabs>
        <w:rPr>
          <w:sz w:val="24"/>
        </w:rPr>
      </w:pPr>
      <w:r>
        <w:rPr>
          <w:color w:val="231F20"/>
          <w:sz w:val="24"/>
        </w:rPr>
        <w:t>submissions</w:t>
      </w:r>
      <w:r>
        <w:rPr>
          <w:color w:val="231F20"/>
          <w:spacing w:val="-11"/>
          <w:sz w:val="24"/>
        </w:rPr>
        <w:t xml:space="preserve"> </w:t>
      </w:r>
      <w:r>
        <w:rPr>
          <w:color w:val="231F20"/>
          <w:sz w:val="24"/>
        </w:rPr>
        <w:t>to</w:t>
      </w:r>
      <w:r>
        <w:rPr>
          <w:color w:val="231F20"/>
          <w:spacing w:val="-10"/>
          <w:sz w:val="24"/>
        </w:rPr>
        <w:t xml:space="preserve"> </w:t>
      </w:r>
      <w:r>
        <w:rPr>
          <w:color w:val="231F20"/>
          <w:sz w:val="24"/>
        </w:rPr>
        <w:t>state</w:t>
      </w:r>
      <w:r>
        <w:rPr>
          <w:color w:val="231F20"/>
          <w:spacing w:val="-10"/>
          <w:sz w:val="24"/>
        </w:rPr>
        <w:t xml:space="preserve"> </w:t>
      </w:r>
      <w:r>
        <w:rPr>
          <w:color w:val="231F20"/>
          <w:spacing w:val="-2"/>
          <w:sz w:val="24"/>
        </w:rPr>
        <w:t>government</w:t>
      </w:r>
    </w:p>
    <w:p w14:paraId="61C23894" w14:textId="77777777" w:rsidR="00345EE3" w:rsidRDefault="00345EE3">
      <w:pPr>
        <w:pStyle w:val="ListParagraph"/>
        <w:numPr>
          <w:ilvl w:val="0"/>
          <w:numId w:val="85"/>
        </w:numPr>
        <w:tabs>
          <w:tab w:val="left" w:pos="393"/>
          <w:tab w:val="left" w:pos="394"/>
        </w:tabs>
        <w:spacing w:before="33" w:line="242" w:lineRule="auto"/>
        <w:ind w:right="1419"/>
        <w:rPr>
          <w:sz w:val="24"/>
        </w:rPr>
      </w:pPr>
      <w:r>
        <w:rPr>
          <w:color w:val="231F20"/>
          <w:sz w:val="24"/>
        </w:rPr>
        <w:t>ongoing</w:t>
      </w:r>
      <w:r>
        <w:rPr>
          <w:color w:val="231F20"/>
          <w:spacing w:val="-8"/>
          <w:sz w:val="24"/>
        </w:rPr>
        <w:t xml:space="preserve"> </w:t>
      </w:r>
      <w:r>
        <w:rPr>
          <w:color w:val="231F20"/>
          <w:sz w:val="24"/>
        </w:rPr>
        <w:t>monitoring</w:t>
      </w:r>
      <w:r>
        <w:rPr>
          <w:color w:val="231F20"/>
          <w:spacing w:val="-8"/>
          <w:sz w:val="24"/>
        </w:rPr>
        <w:t xml:space="preserve"> </w:t>
      </w:r>
      <w:r>
        <w:rPr>
          <w:color w:val="231F20"/>
          <w:sz w:val="24"/>
        </w:rPr>
        <w:t>and</w:t>
      </w:r>
      <w:r>
        <w:rPr>
          <w:color w:val="231F20"/>
          <w:spacing w:val="-8"/>
          <w:sz w:val="24"/>
        </w:rPr>
        <w:t xml:space="preserve"> </w:t>
      </w:r>
      <w:r>
        <w:rPr>
          <w:color w:val="231F20"/>
          <w:sz w:val="24"/>
        </w:rPr>
        <w:t>performance</w:t>
      </w:r>
      <w:r>
        <w:rPr>
          <w:color w:val="231F20"/>
          <w:spacing w:val="-8"/>
          <w:sz w:val="24"/>
        </w:rPr>
        <w:t xml:space="preserve"> </w:t>
      </w:r>
      <w:r>
        <w:rPr>
          <w:color w:val="231F20"/>
          <w:sz w:val="24"/>
        </w:rPr>
        <w:t>reporting</w:t>
      </w:r>
      <w:r>
        <w:rPr>
          <w:color w:val="231F20"/>
          <w:spacing w:val="-8"/>
          <w:sz w:val="24"/>
        </w:rPr>
        <w:t xml:space="preserve"> </w:t>
      </w:r>
      <w:r>
        <w:rPr>
          <w:color w:val="231F20"/>
          <w:sz w:val="24"/>
        </w:rPr>
        <w:t>to</w:t>
      </w:r>
      <w:r>
        <w:rPr>
          <w:color w:val="231F20"/>
          <w:spacing w:val="-8"/>
          <w:sz w:val="24"/>
        </w:rPr>
        <w:t xml:space="preserve"> </w:t>
      </w:r>
      <w:r>
        <w:rPr>
          <w:color w:val="231F20"/>
          <w:sz w:val="24"/>
        </w:rPr>
        <w:t>various</w:t>
      </w:r>
      <w:r>
        <w:rPr>
          <w:color w:val="231F20"/>
          <w:spacing w:val="-7"/>
          <w:sz w:val="24"/>
        </w:rPr>
        <w:t xml:space="preserve"> </w:t>
      </w:r>
      <w:r>
        <w:rPr>
          <w:color w:val="231F20"/>
          <w:sz w:val="24"/>
        </w:rPr>
        <w:t>Victoria</w:t>
      </w:r>
      <w:r>
        <w:rPr>
          <w:color w:val="231F20"/>
          <w:spacing w:val="-8"/>
          <w:sz w:val="24"/>
        </w:rPr>
        <w:t xml:space="preserve"> </w:t>
      </w:r>
      <w:r>
        <w:rPr>
          <w:color w:val="231F20"/>
          <w:sz w:val="24"/>
        </w:rPr>
        <w:t>Police</w:t>
      </w:r>
      <w:r>
        <w:rPr>
          <w:color w:val="231F20"/>
          <w:spacing w:val="-8"/>
          <w:sz w:val="24"/>
        </w:rPr>
        <w:t xml:space="preserve"> </w:t>
      </w:r>
      <w:r>
        <w:rPr>
          <w:color w:val="231F20"/>
          <w:sz w:val="24"/>
        </w:rPr>
        <w:t>committees</w:t>
      </w:r>
      <w:r>
        <w:rPr>
          <w:color w:val="231F20"/>
          <w:spacing w:val="-7"/>
          <w:sz w:val="24"/>
        </w:rPr>
        <w:t xml:space="preserve"> </w:t>
      </w:r>
      <w:r>
        <w:rPr>
          <w:color w:val="231F20"/>
          <w:sz w:val="24"/>
        </w:rPr>
        <w:t>and boards, and government.</w:t>
      </w:r>
    </w:p>
    <w:p w14:paraId="73016200" w14:textId="77777777" w:rsidR="00345EE3" w:rsidRDefault="00345EE3" w:rsidP="002A27BA">
      <w:pPr>
        <w:pStyle w:val="Heading3"/>
      </w:pPr>
      <w:r>
        <w:t>Information</w:t>
      </w:r>
      <w:r>
        <w:rPr>
          <w:spacing w:val="-11"/>
        </w:rPr>
        <w:t xml:space="preserve"> </w:t>
      </w:r>
      <w:r>
        <w:t>Technology</w:t>
      </w:r>
      <w:r>
        <w:rPr>
          <w:spacing w:val="-9"/>
        </w:rPr>
        <w:t xml:space="preserve"> </w:t>
      </w:r>
      <w:r>
        <w:t>and</w:t>
      </w:r>
      <w:r>
        <w:rPr>
          <w:spacing w:val="-8"/>
        </w:rPr>
        <w:t xml:space="preserve"> </w:t>
      </w:r>
      <w:r>
        <w:t>Infrastructure</w:t>
      </w:r>
      <w:r>
        <w:rPr>
          <w:spacing w:val="-9"/>
        </w:rPr>
        <w:t xml:space="preserve"> </w:t>
      </w:r>
      <w:r>
        <w:rPr>
          <w:spacing w:val="-2"/>
        </w:rPr>
        <w:t>Services</w:t>
      </w:r>
    </w:p>
    <w:p w14:paraId="17198AD8" w14:textId="77777777" w:rsidR="00345EE3" w:rsidRDefault="00345EE3" w:rsidP="00345EE3">
      <w:pPr>
        <w:pStyle w:val="BodyText"/>
        <w:spacing w:before="53" w:line="242" w:lineRule="auto"/>
        <w:ind w:right="848"/>
      </w:pPr>
      <w:r>
        <w:rPr>
          <w:color w:val="231F20"/>
        </w:rPr>
        <w:t>The</w:t>
      </w:r>
      <w:r>
        <w:rPr>
          <w:color w:val="231F20"/>
          <w:spacing w:val="-11"/>
        </w:rPr>
        <w:t xml:space="preserve"> </w:t>
      </w:r>
      <w:r>
        <w:rPr>
          <w:color w:val="231F20"/>
        </w:rPr>
        <w:t>Deputy</w:t>
      </w:r>
      <w:r>
        <w:rPr>
          <w:color w:val="231F20"/>
          <w:spacing w:val="-11"/>
        </w:rPr>
        <w:t xml:space="preserve"> </w:t>
      </w:r>
      <w:r>
        <w:rPr>
          <w:color w:val="231F20"/>
        </w:rPr>
        <w:t>Secretary,</w:t>
      </w:r>
      <w:r>
        <w:rPr>
          <w:color w:val="231F20"/>
          <w:spacing w:val="-11"/>
        </w:rPr>
        <w:t xml:space="preserve"> </w:t>
      </w:r>
      <w:r>
        <w:rPr>
          <w:color w:val="231F20"/>
        </w:rPr>
        <w:t>Information</w:t>
      </w:r>
      <w:r>
        <w:rPr>
          <w:color w:val="231F20"/>
          <w:spacing w:val="-11"/>
        </w:rPr>
        <w:t xml:space="preserve"> </w:t>
      </w:r>
      <w:r>
        <w:rPr>
          <w:color w:val="231F20"/>
        </w:rPr>
        <w:t>Technology</w:t>
      </w:r>
      <w:r>
        <w:rPr>
          <w:color w:val="231F20"/>
          <w:spacing w:val="-11"/>
        </w:rPr>
        <w:t xml:space="preserve"> </w:t>
      </w:r>
      <w:r>
        <w:rPr>
          <w:color w:val="231F20"/>
        </w:rPr>
        <w:t>and</w:t>
      </w:r>
      <w:r>
        <w:rPr>
          <w:color w:val="231F20"/>
          <w:spacing w:val="-11"/>
        </w:rPr>
        <w:t xml:space="preserve"> </w:t>
      </w:r>
      <w:r>
        <w:rPr>
          <w:color w:val="231F20"/>
        </w:rPr>
        <w:t>Infrastructure</w:t>
      </w:r>
      <w:r>
        <w:rPr>
          <w:color w:val="231F20"/>
          <w:spacing w:val="-11"/>
        </w:rPr>
        <w:t xml:space="preserve"> </w:t>
      </w:r>
      <w:r>
        <w:rPr>
          <w:color w:val="231F20"/>
        </w:rPr>
        <w:t>Services</w:t>
      </w:r>
      <w:r>
        <w:rPr>
          <w:color w:val="231F20"/>
          <w:spacing w:val="-11"/>
        </w:rPr>
        <w:t xml:space="preserve"> </w:t>
      </w:r>
      <w:r>
        <w:rPr>
          <w:color w:val="231F20"/>
        </w:rPr>
        <w:t>(ITIS),</w:t>
      </w:r>
      <w:r>
        <w:rPr>
          <w:color w:val="231F20"/>
          <w:spacing w:val="-11"/>
        </w:rPr>
        <w:t xml:space="preserve"> </w:t>
      </w:r>
      <w:r>
        <w:rPr>
          <w:color w:val="231F20"/>
        </w:rPr>
        <w:t>has</w:t>
      </w:r>
      <w:r>
        <w:rPr>
          <w:color w:val="231F20"/>
          <w:spacing w:val="-11"/>
        </w:rPr>
        <w:t xml:space="preserve"> </w:t>
      </w:r>
      <w:r>
        <w:rPr>
          <w:color w:val="231F20"/>
        </w:rPr>
        <w:t>the</w:t>
      </w:r>
      <w:r>
        <w:rPr>
          <w:color w:val="231F20"/>
          <w:spacing w:val="-11"/>
        </w:rPr>
        <w:t xml:space="preserve"> </w:t>
      </w:r>
      <w:r>
        <w:rPr>
          <w:color w:val="231F20"/>
        </w:rPr>
        <w:t>overall responsibility</w:t>
      </w:r>
      <w:r>
        <w:rPr>
          <w:color w:val="231F20"/>
          <w:spacing w:val="-9"/>
        </w:rPr>
        <w:t xml:space="preserve"> </w:t>
      </w:r>
      <w:r>
        <w:rPr>
          <w:color w:val="231F20"/>
        </w:rPr>
        <w:t>and</w:t>
      </w:r>
      <w:r>
        <w:rPr>
          <w:color w:val="231F20"/>
          <w:spacing w:val="-10"/>
        </w:rPr>
        <w:t xml:space="preserve"> </w:t>
      </w:r>
      <w:r>
        <w:rPr>
          <w:color w:val="231F20"/>
        </w:rPr>
        <w:t>oversight</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Operational</w:t>
      </w:r>
      <w:r>
        <w:rPr>
          <w:color w:val="231F20"/>
          <w:spacing w:val="-10"/>
        </w:rPr>
        <w:t xml:space="preserve"> </w:t>
      </w:r>
      <w:r>
        <w:rPr>
          <w:color w:val="231F20"/>
        </w:rPr>
        <w:t>Infrastructure</w:t>
      </w:r>
      <w:r>
        <w:rPr>
          <w:color w:val="231F20"/>
          <w:spacing w:val="-10"/>
        </w:rPr>
        <w:t xml:space="preserve"> </w:t>
      </w:r>
      <w:r>
        <w:rPr>
          <w:color w:val="231F20"/>
        </w:rPr>
        <w:t>Department</w:t>
      </w:r>
      <w:r>
        <w:rPr>
          <w:color w:val="231F20"/>
          <w:spacing w:val="-9"/>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Digital</w:t>
      </w:r>
      <w:r>
        <w:rPr>
          <w:color w:val="231F20"/>
          <w:spacing w:val="-10"/>
        </w:rPr>
        <w:t xml:space="preserve"> </w:t>
      </w:r>
      <w:r>
        <w:rPr>
          <w:color w:val="231F20"/>
        </w:rPr>
        <w:t>Services and Security Department. Over the past 12 months, the portfolio has focused on supporting operational</w:t>
      </w:r>
      <w:r>
        <w:rPr>
          <w:color w:val="231F20"/>
          <w:spacing w:val="-2"/>
        </w:rPr>
        <w:t xml:space="preserve"> </w:t>
      </w:r>
      <w:r>
        <w:rPr>
          <w:color w:val="231F20"/>
        </w:rPr>
        <w:t>policing</w:t>
      </w:r>
      <w:r>
        <w:rPr>
          <w:color w:val="231F20"/>
          <w:spacing w:val="-2"/>
        </w:rPr>
        <w:t xml:space="preserve"> </w:t>
      </w:r>
      <w:r>
        <w:rPr>
          <w:color w:val="231F20"/>
        </w:rPr>
        <w:t>and</w:t>
      </w:r>
      <w:r>
        <w:rPr>
          <w:color w:val="231F20"/>
          <w:spacing w:val="-2"/>
        </w:rPr>
        <w:t xml:space="preserve"> </w:t>
      </w:r>
      <w:r>
        <w:rPr>
          <w:color w:val="231F20"/>
        </w:rPr>
        <w:t>corporate</w:t>
      </w:r>
      <w:r>
        <w:rPr>
          <w:color w:val="231F20"/>
          <w:spacing w:val="-2"/>
        </w:rPr>
        <w:t xml:space="preserve"> </w:t>
      </w:r>
      <w:r>
        <w:rPr>
          <w:color w:val="231F20"/>
        </w:rPr>
        <w:t>departments</w:t>
      </w:r>
      <w:r>
        <w:rPr>
          <w:color w:val="231F20"/>
          <w:spacing w:val="-1"/>
        </w:rPr>
        <w:t xml:space="preserve"> </w:t>
      </w:r>
      <w:r>
        <w:rPr>
          <w:color w:val="231F20"/>
        </w:rPr>
        <w:t>through</w:t>
      </w:r>
      <w:r>
        <w:rPr>
          <w:color w:val="231F20"/>
          <w:spacing w:val="-2"/>
        </w:rPr>
        <w:t xml:space="preserve"> </w:t>
      </w:r>
      <w:r>
        <w:rPr>
          <w:color w:val="231F20"/>
        </w:rPr>
        <w:t>modernising</w:t>
      </w:r>
      <w:r>
        <w:rPr>
          <w:color w:val="231F20"/>
          <w:spacing w:val="-2"/>
        </w:rPr>
        <w:t xml:space="preserve"> </w:t>
      </w:r>
      <w:r>
        <w:rPr>
          <w:color w:val="231F20"/>
        </w:rPr>
        <w:t>and</w:t>
      </w:r>
      <w:r>
        <w:rPr>
          <w:color w:val="231F20"/>
          <w:spacing w:val="-2"/>
        </w:rPr>
        <w:t xml:space="preserve"> </w:t>
      </w:r>
      <w:r>
        <w:rPr>
          <w:color w:val="231F20"/>
        </w:rPr>
        <w:t>enhancing</w:t>
      </w:r>
      <w:r>
        <w:rPr>
          <w:color w:val="231F20"/>
          <w:spacing w:val="-2"/>
        </w:rPr>
        <w:t xml:space="preserve"> </w:t>
      </w:r>
      <w:r>
        <w:rPr>
          <w:color w:val="231F20"/>
        </w:rPr>
        <w:t>information technology assets and services and delivering new police stations, vehicles and Mobile Policing Units (MPU).</w:t>
      </w:r>
    </w:p>
    <w:p w14:paraId="49F04939" w14:textId="77777777" w:rsidR="00345EE3" w:rsidRDefault="00345EE3" w:rsidP="00345EE3">
      <w:pPr>
        <w:pStyle w:val="Heading5"/>
        <w:spacing w:before="178"/>
      </w:pPr>
      <w:r>
        <w:rPr>
          <w:color w:val="58595B"/>
        </w:rPr>
        <w:t>Equipment</w:t>
      </w:r>
      <w:r>
        <w:rPr>
          <w:color w:val="58595B"/>
          <w:spacing w:val="-4"/>
        </w:rPr>
        <w:t xml:space="preserve"> </w:t>
      </w:r>
      <w:r>
        <w:rPr>
          <w:color w:val="58595B"/>
        </w:rPr>
        <w:t>tracking</w:t>
      </w:r>
      <w:r>
        <w:rPr>
          <w:color w:val="58595B"/>
          <w:spacing w:val="-2"/>
        </w:rPr>
        <w:t xml:space="preserve"> </w:t>
      </w:r>
      <w:r>
        <w:rPr>
          <w:color w:val="58595B"/>
        </w:rPr>
        <w:t>system</w:t>
      </w:r>
      <w:r>
        <w:rPr>
          <w:color w:val="58595B"/>
          <w:spacing w:val="-2"/>
        </w:rPr>
        <w:t xml:space="preserve"> launched</w:t>
      </w:r>
    </w:p>
    <w:p w14:paraId="2235F7DC" w14:textId="77777777" w:rsidR="00345EE3" w:rsidRDefault="00345EE3" w:rsidP="00345EE3">
      <w:pPr>
        <w:pStyle w:val="BodyText"/>
        <w:spacing w:before="4" w:line="242" w:lineRule="auto"/>
        <w:ind w:right="995"/>
      </w:pPr>
      <w:r>
        <w:rPr>
          <w:color w:val="231F20"/>
        </w:rPr>
        <w:t>Victoria</w:t>
      </w:r>
      <w:r>
        <w:rPr>
          <w:color w:val="231F20"/>
          <w:spacing w:val="-1"/>
        </w:rPr>
        <w:t xml:space="preserve"> </w:t>
      </w:r>
      <w:r>
        <w:rPr>
          <w:color w:val="231F20"/>
        </w:rPr>
        <w:t>Police</w:t>
      </w:r>
      <w:r>
        <w:rPr>
          <w:color w:val="231F20"/>
          <w:spacing w:val="-1"/>
        </w:rPr>
        <w:t xml:space="preserve"> </w:t>
      </w:r>
      <w:r>
        <w:rPr>
          <w:color w:val="231F20"/>
        </w:rPr>
        <w:t>implemented</w:t>
      </w:r>
      <w:r>
        <w:rPr>
          <w:color w:val="231F20"/>
          <w:spacing w:val="-1"/>
        </w:rPr>
        <w:t xml:space="preserve"> </w:t>
      </w:r>
      <w:r>
        <w:rPr>
          <w:color w:val="231F20"/>
        </w:rPr>
        <w:t>a</w:t>
      </w:r>
      <w:r>
        <w:rPr>
          <w:color w:val="231F20"/>
          <w:spacing w:val="-1"/>
        </w:rPr>
        <w:t xml:space="preserve"> </w:t>
      </w:r>
      <w:r>
        <w:rPr>
          <w:color w:val="231F20"/>
        </w:rPr>
        <w:t>new</w:t>
      </w:r>
      <w:r>
        <w:rPr>
          <w:color w:val="231F20"/>
          <w:spacing w:val="-1"/>
        </w:rPr>
        <w:t xml:space="preserve"> </w:t>
      </w:r>
      <w:r>
        <w:rPr>
          <w:color w:val="231F20"/>
        </w:rPr>
        <w:t>online</w:t>
      </w:r>
      <w:r>
        <w:rPr>
          <w:color w:val="231F20"/>
          <w:spacing w:val="-1"/>
        </w:rPr>
        <w:t xml:space="preserve"> </w:t>
      </w:r>
      <w:r>
        <w:rPr>
          <w:color w:val="231F20"/>
        </w:rPr>
        <w:t>Equipment Tracking</w:t>
      </w:r>
      <w:r>
        <w:rPr>
          <w:color w:val="231F20"/>
          <w:spacing w:val="-1"/>
        </w:rPr>
        <w:t xml:space="preserve"> </w:t>
      </w:r>
      <w:r>
        <w:rPr>
          <w:color w:val="231F20"/>
        </w:rPr>
        <w:t>Management System (ETMS) designed to uplift police member safety and assist with the tracking and management of Operational Safety Equipment (OSE), compliance/controlled items and other equipment items that are routinely issued and returned from an Equipment Issue Office at a local police station or</w:t>
      </w:r>
      <w:r>
        <w:rPr>
          <w:color w:val="231F20"/>
          <w:spacing w:val="-10"/>
        </w:rPr>
        <w:t xml:space="preserve"> </w:t>
      </w:r>
      <w:r>
        <w:rPr>
          <w:color w:val="231F20"/>
        </w:rPr>
        <w:t>speciality</w:t>
      </w:r>
      <w:r>
        <w:rPr>
          <w:color w:val="231F20"/>
          <w:spacing w:val="-10"/>
        </w:rPr>
        <w:t xml:space="preserve"> </w:t>
      </w:r>
      <w:r>
        <w:rPr>
          <w:color w:val="231F20"/>
        </w:rPr>
        <w:t>unit.</w:t>
      </w:r>
      <w:r>
        <w:rPr>
          <w:color w:val="231F20"/>
          <w:spacing w:val="-10"/>
        </w:rPr>
        <w:t xml:space="preserve"> </w:t>
      </w:r>
      <w:r>
        <w:rPr>
          <w:color w:val="231F20"/>
        </w:rPr>
        <w:t>The</w:t>
      </w:r>
      <w:r>
        <w:rPr>
          <w:color w:val="231F20"/>
          <w:spacing w:val="-11"/>
        </w:rPr>
        <w:t xml:space="preserve"> </w:t>
      </w:r>
      <w:r>
        <w:rPr>
          <w:color w:val="231F20"/>
        </w:rPr>
        <w:t>objective</w:t>
      </w:r>
      <w:r>
        <w:rPr>
          <w:color w:val="231F20"/>
          <w:spacing w:val="-11"/>
        </w:rPr>
        <w:t xml:space="preserve"> </w:t>
      </w:r>
      <w:r>
        <w:rPr>
          <w:color w:val="231F20"/>
        </w:rPr>
        <w:t>was</w:t>
      </w:r>
      <w:r>
        <w:rPr>
          <w:color w:val="231F20"/>
          <w:spacing w:val="-10"/>
        </w:rPr>
        <w:t xml:space="preserve"> </w:t>
      </w:r>
      <w:r>
        <w:rPr>
          <w:color w:val="231F20"/>
        </w:rPr>
        <w:t>to</w:t>
      </w:r>
      <w:r>
        <w:rPr>
          <w:color w:val="231F20"/>
          <w:spacing w:val="-11"/>
        </w:rPr>
        <w:t xml:space="preserve"> </w:t>
      </w:r>
      <w:r>
        <w:rPr>
          <w:color w:val="231F20"/>
        </w:rPr>
        <w:t>replace</w:t>
      </w:r>
      <w:r>
        <w:rPr>
          <w:color w:val="231F20"/>
          <w:spacing w:val="-11"/>
        </w:rPr>
        <w:t xml:space="preserve"> </w:t>
      </w:r>
      <w:r>
        <w:rPr>
          <w:color w:val="231F20"/>
        </w:rPr>
        <w:t>existing</w:t>
      </w:r>
      <w:r>
        <w:rPr>
          <w:color w:val="231F20"/>
          <w:spacing w:val="-11"/>
        </w:rPr>
        <w:t xml:space="preserve"> </w:t>
      </w:r>
      <w:r>
        <w:rPr>
          <w:color w:val="231F20"/>
        </w:rPr>
        <w:t>multiple</w:t>
      </w:r>
      <w:r>
        <w:rPr>
          <w:color w:val="231F20"/>
          <w:spacing w:val="-11"/>
        </w:rPr>
        <w:t xml:space="preserve"> </w:t>
      </w:r>
      <w:r>
        <w:rPr>
          <w:color w:val="231F20"/>
        </w:rPr>
        <w:t>systems</w:t>
      </w:r>
      <w:r>
        <w:rPr>
          <w:color w:val="231F20"/>
          <w:spacing w:val="-10"/>
        </w:rPr>
        <w:t xml:space="preserve"> </w:t>
      </w:r>
      <w:r>
        <w:rPr>
          <w:color w:val="231F20"/>
        </w:rPr>
        <w:t>with</w:t>
      </w:r>
      <w:r>
        <w:rPr>
          <w:color w:val="231F20"/>
          <w:spacing w:val="-11"/>
        </w:rPr>
        <w:t xml:space="preserve"> </w:t>
      </w:r>
      <w:r>
        <w:rPr>
          <w:color w:val="231F20"/>
        </w:rPr>
        <w:t>an</w:t>
      </w:r>
      <w:r>
        <w:rPr>
          <w:color w:val="231F20"/>
          <w:spacing w:val="-11"/>
        </w:rPr>
        <w:t xml:space="preserve"> </w:t>
      </w:r>
      <w:r>
        <w:rPr>
          <w:color w:val="231F20"/>
        </w:rPr>
        <w:t>enterprise</w:t>
      </w:r>
      <w:r>
        <w:rPr>
          <w:color w:val="231F20"/>
          <w:spacing w:val="-11"/>
        </w:rPr>
        <w:t xml:space="preserve"> </w:t>
      </w:r>
      <w:r>
        <w:rPr>
          <w:color w:val="231F20"/>
        </w:rPr>
        <w:t>level system providing state-wide visibility of all OSE equipment movements across 24-hour, 16- hour, and 8-hour stations, together with specialist sites. The ETMS Project was completed in November 2021.</w:t>
      </w:r>
    </w:p>
    <w:p w14:paraId="0B7278D5" w14:textId="77777777" w:rsidR="00345EE3" w:rsidRDefault="00345EE3" w:rsidP="00345EE3">
      <w:pPr>
        <w:pStyle w:val="Heading5"/>
        <w:spacing w:before="180"/>
      </w:pPr>
      <w:r>
        <w:rPr>
          <w:color w:val="58595B"/>
        </w:rPr>
        <w:t>Technology</w:t>
      </w:r>
      <w:r>
        <w:rPr>
          <w:color w:val="58595B"/>
          <w:spacing w:val="-8"/>
        </w:rPr>
        <w:t xml:space="preserve"> </w:t>
      </w:r>
      <w:r>
        <w:rPr>
          <w:color w:val="58595B"/>
        </w:rPr>
        <w:t>upgrades</w:t>
      </w:r>
      <w:r>
        <w:rPr>
          <w:color w:val="58595B"/>
          <w:spacing w:val="-7"/>
        </w:rPr>
        <w:t xml:space="preserve"> </w:t>
      </w:r>
      <w:r>
        <w:rPr>
          <w:color w:val="58595B"/>
        </w:rPr>
        <w:t>at</w:t>
      </w:r>
      <w:r>
        <w:rPr>
          <w:color w:val="58595B"/>
          <w:spacing w:val="-8"/>
        </w:rPr>
        <w:t xml:space="preserve"> </w:t>
      </w:r>
      <w:r>
        <w:rPr>
          <w:color w:val="58595B"/>
        </w:rPr>
        <w:t>police</w:t>
      </w:r>
      <w:r>
        <w:rPr>
          <w:color w:val="58595B"/>
          <w:spacing w:val="-6"/>
        </w:rPr>
        <w:t xml:space="preserve"> </w:t>
      </w:r>
      <w:r>
        <w:rPr>
          <w:color w:val="58595B"/>
          <w:spacing w:val="-2"/>
        </w:rPr>
        <w:t>stations</w:t>
      </w:r>
    </w:p>
    <w:p w14:paraId="419248EA" w14:textId="77777777" w:rsidR="00345EE3" w:rsidRDefault="00345EE3" w:rsidP="00345EE3">
      <w:pPr>
        <w:pStyle w:val="BodyText"/>
        <w:spacing w:before="5" w:line="242" w:lineRule="auto"/>
        <w:ind w:right="921"/>
      </w:pPr>
      <w:r>
        <w:rPr>
          <w:color w:val="231F20"/>
        </w:rPr>
        <w:t>The continued rollout of the Modern Workplace program has actively enabled new ways of working for our members in frontline stations. This includes an uplift in the network capacity across</w:t>
      </w:r>
      <w:r>
        <w:rPr>
          <w:color w:val="231F20"/>
          <w:spacing w:val="-9"/>
        </w:rPr>
        <w:t xml:space="preserve"> </w:t>
      </w:r>
      <w:r>
        <w:rPr>
          <w:color w:val="231F20"/>
        </w:rPr>
        <w:t>the</w:t>
      </w:r>
      <w:r>
        <w:rPr>
          <w:color w:val="231F20"/>
          <w:spacing w:val="-10"/>
        </w:rPr>
        <w:t xml:space="preserve"> </w:t>
      </w:r>
      <w:r>
        <w:rPr>
          <w:color w:val="231F20"/>
        </w:rPr>
        <w:t>state</w:t>
      </w:r>
      <w:r>
        <w:rPr>
          <w:color w:val="231F20"/>
          <w:spacing w:val="-10"/>
        </w:rPr>
        <w:t xml:space="preserve"> </w:t>
      </w:r>
      <w:r>
        <w:rPr>
          <w:color w:val="231F20"/>
        </w:rPr>
        <w:t>to</w:t>
      </w:r>
      <w:r>
        <w:rPr>
          <w:color w:val="231F20"/>
          <w:spacing w:val="-10"/>
        </w:rPr>
        <w:t xml:space="preserve"> </w:t>
      </w:r>
      <w:r>
        <w:rPr>
          <w:color w:val="231F20"/>
        </w:rPr>
        <w:t>address</w:t>
      </w:r>
      <w:r>
        <w:rPr>
          <w:color w:val="231F20"/>
          <w:spacing w:val="-9"/>
        </w:rPr>
        <w:t xml:space="preserve"> </w:t>
      </w:r>
      <w:r>
        <w:rPr>
          <w:color w:val="231F20"/>
        </w:rPr>
        <w:t>constraints</w:t>
      </w:r>
      <w:r>
        <w:rPr>
          <w:color w:val="231F20"/>
          <w:spacing w:val="-9"/>
        </w:rPr>
        <w:t xml:space="preserve"> </w:t>
      </w:r>
      <w:r>
        <w:rPr>
          <w:color w:val="231F20"/>
        </w:rPr>
        <w:t>and</w:t>
      </w:r>
      <w:r>
        <w:rPr>
          <w:color w:val="231F20"/>
          <w:spacing w:val="-10"/>
        </w:rPr>
        <w:t xml:space="preserve"> </w:t>
      </w:r>
      <w:r>
        <w:rPr>
          <w:color w:val="231F20"/>
        </w:rPr>
        <w:t>support</w:t>
      </w:r>
      <w:r>
        <w:rPr>
          <w:color w:val="231F20"/>
          <w:spacing w:val="-9"/>
        </w:rPr>
        <w:t xml:space="preserve"> </w:t>
      </w:r>
      <w:r>
        <w:rPr>
          <w:color w:val="231F20"/>
        </w:rPr>
        <w:t>new</w:t>
      </w:r>
      <w:r>
        <w:rPr>
          <w:color w:val="231F20"/>
          <w:spacing w:val="-10"/>
        </w:rPr>
        <w:t xml:space="preserve"> </w:t>
      </w:r>
      <w:r>
        <w:rPr>
          <w:color w:val="231F20"/>
        </w:rPr>
        <w:t>capabilities.</w:t>
      </w:r>
      <w:r>
        <w:rPr>
          <w:color w:val="231F20"/>
          <w:spacing w:val="-9"/>
        </w:rPr>
        <w:t xml:space="preserve"> </w:t>
      </w:r>
      <w:r>
        <w:rPr>
          <w:color w:val="231F20"/>
        </w:rPr>
        <w:t>During</w:t>
      </w:r>
      <w:r>
        <w:rPr>
          <w:color w:val="231F20"/>
          <w:spacing w:val="-10"/>
        </w:rPr>
        <w:t xml:space="preserve"> </w:t>
      </w:r>
      <w:r>
        <w:rPr>
          <w:color w:val="231F20"/>
        </w:rPr>
        <w:t>2021–22,</w:t>
      </w:r>
      <w:r>
        <w:rPr>
          <w:color w:val="231F20"/>
          <w:spacing w:val="-9"/>
        </w:rPr>
        <w:t xml:space="preserve"> </w:t>
      </w:r>
      <w:r>
        <w:rPr>
          <w:color w:val="231F20"/>
        </w:rPr>
        <w:t>Victoria Police rolled out the Modern Workplace program across 87 stations, three campuses (VPC, Forensics and the Academy) and six specialist sites across Victoria.</w:t>
      </w:r>
    </w:p>
    <w:p w14:paraId="24040211" w14:textId="77777777" w:rsidR="00345EE3" w:rsidRDefault="00345EE3" w:rsidP="00345EE3">
      <w:pPr>
        <w:pStyle w:val="BodyText"/>
        <w:spacing w:before="120" w:line="242" w:lineRule="auto"/>
        <w:ind w:right="921"/>
      </w:pPr>
      <w:r>
        <w:rPr>
          <w:color w:val="231F20"/>
        </w:rPr>
        <w:t>Real-time</w:t>
      </w:r>
      <w:r>
        <w:rPr>
          <w:color w:val="231F20"/>
          <w:spacing w:val="-9"/>
        </w:rPr>
        <w:t xml:space="preserve"> </w:t>
      </w:r>
      <w:r>
        <w:rPr>
          <w:color w:val="231F20"/>
        </w:rPr>
        <w:t>collaboration</w:t>
      </w:r>
      <w:r>
        <w:rPr>
          <w:color w:val="231F20"/>
          <w:spacing w:val="-9"/>
        </w:rPr>
        <w:t xml:space="preserve"> </w:t>
      </w:r>
      <w:r>
        <w:rPr>
          <w:color w:val="231F20"/>
        </w:rPr>
        <w:t>for</w:t>
      </w:r>
      <w:r>
        <w:rPr>
          <w:color w:val="231F20"/>
          <w:spacing w:val="-8"/>
        </w:rPr>
        <w:t xml:space="preserve"> </w:t>
      </w:r>
      <w:r>
        <w:rPr>
          <w:color w:val="231F20"/>
        </w:rPr>
        <w:t>members</w:t>
      </w:r>
      <w:r>
        <w:rPr>
          <w:color w:val="231F20"/>
          <w:spacing w:val="-8"/>
        </w:rPr>
        <w:t xml:space="preserve"> </w:t>
      </w:r>
      <w:r>
        <w:rPr>
          <w:color w:val="231F20"/>
        </w:rPr>
        <w:t>from</w:t>
      </w:r>
      <w:r>
        <w:rPr>
          <w:color w:val="231F20"/>
          <w:spacing w:val="-8"/>
        </w:rPr>
        <w:t xml:space="preserve"> </w:t>
      </w:r>
      <w:r>
        <w:rPr>
          <w:color w:val="231F20"/>
        </w:rPr>
        <w:t>any</w:t>
      </w:r>
      <w:r>
        <w:rPr>
          <w:color w:val="231F20"/>
          <w:spacing w:val="-8"/>
        </w:rPr>
        <w:t xml:space="preserve"> </w:t>
      </w:r>
      <w:r>
        <w:rPr>
          <w:color w:val="231F20"/>
        </w:rPr>
        <w:t>location</w:t>
      </w:r>
      <w:r>
        <w:rPr>
          <w:color w:val="231F20"/>
          <w:spacing w:val="-9"/>
        </w:rPr>
        <w:t xml:space="preserve"> </w:t>
      </w:r>
      <w:r>
        <w:rPr>
          <w:color w:val="231F20"/>
        </w:rPr>
        <w:t>on</w:t>
      </w:r>
      <w:r>
        <w:rPr>
          <w:color w:val="231F20"/>
          <w:spacing w:val="-9"/>
        </w:rPr>
        <w:t xml:space="preserve"> </w:t>
      </w:r>
      <w:r>
        <w:rPr>
          <w:color w:val="231F20"/>
        </w:rPr>
        <w:t>any</w:t>
      </w:r>
      <w:r>
        <w:rPr>
          <w:color w:val="231F20"/>
          <w:spacing w:val="-8"/>
        </w:rPr>
        <w:t xml:space="preserve"> </w:t>
      </w:r>
      <w:r>
        <w:rPr>
          <w:color w:val="231F20"/>
        </w:rPr>
        <w:t>corporate</w:t>
      </w:r>
      <w:r>
        <w:rPr>
          <w:color w:val="231F20"/>
          <w:spacing w:val="-9"/>
        </w:rPr>
        <w:t xml:space="preserve"> </w:t>
      </w:r>
      <w:r>
        <w:rPr>
          <w:color w:val="231F20"/>
        </w:rPr>
        <w:t>device</w:t>
      </w:r>
      <w:r>
        <w:rPr>
          <w:color w:val="231F20"/>
          <w:spacing w:val="-9"/>
        </w:rPr>
        <w:t xml:space="preserve"> </w:t>
      </w:r>
      <w:r>
        <w:rPr>
          <w:color w:val="231F20"/>
        </w:rPr>
        <w:t>using</w:t>
      </w:r>
      <w:r>
        <w:rPr>
          <w:color w:val="231F20"/>
          <w:spacing w:val="-9"/>
        </w:rPr>
        <w:t xml:space="preserve"> </w:t>
      </w:r>
      <w:r>
        <w:rPr>
          <w:color w:val="231F20"/>
        </w:rPr>
        <w:t>Microsoft Teams for chat, voice and video conferencing enabled frontline employees to sustain safe operations during COVID-19 restrictions.</w:t>
      </w:r>
    </w:p>
    <w:p w14:paraId="48CFFD79" w14:textId="77777777" w:rsidR="00345EE3" w:rsidRDefault="00345EE3" w:rsidP="00345EE3">
      <w:pPr>
        <w:pStyle w:val="BodyText"/>
        <w:spacing w:before="117" w:line="242" w:lineRule="auto"/>
        <w:ind w:right="921"/>
      </w:pPr>
      <w:r>
        <w:rPr>
          <w:color w:val="231F20"/>
        </w:rPr>
        <w:t>Digital</w:t>
      </w:r>
      <w:r>
        <w:rPr>
          <w:color w:val="231F20"/>
          <w:spacing w:val="-8"/>
        </w:rPr>
        <w:t xml:space="preserve"> </w:t>
      </w:r>
      <w:r>
        <w:rPr>
          <w:color w:val="231F20"/>
        </w:rPr>
        <w:t>fax</w:t>
      </w:r>
      <w:r>
        <w:rPr>
          <w:color w:val="231F20"/>
          <w:spacing w:val="-7"/>
        </w:rPr>
        <w:t xml:space="preserve"> </w:t>
      </w:r>
      <w:r>
        <w:rPr>
          <w:color w:val="231F20"/>
        </w:rPr>
        <w:t>functionality</w:t>
      </w:r>
      <w:r>
        <w:rPr>
          <w:color w:val="231F20"/>
          <w:spacing w:val="-7"/>
        </w:rPr>
        <w:t xml:space="preserve"> </w:t>
      </w:r>
      <w:r>
        <w:rPr>
          <w:color w:val="231F20"/>
        </w:rPr>
        <w:t>removed</w:t>
      </w:r>
      <w:r>
        <w:rPr>
          <w:color w:val="231F20"/>
          <w:spacing w:val="-8"/>
        </w:rPr>
        <w:t xml:space="preserve"> </w:t>
      </w:r>
      <w:r>
        <w:rPr>
          <w:color w:val="231F20"/>
        </w:rPr>
        <w:t>the</w:t>
      </w:r>
      <w:r>
        <w:rPr>
          <w:color w:val="231F20"/>
          <w:spacing w:val="-8"/>
        </w:rPr>
        <w:t xml:space="preserve"> </w:t>
      </w:r>
      <w:r>
        <w:rPr>
          <w:color w:val="231F20"/>
        </w:rPr>
        <w:t>need</w:t>
      </w:r>
      <w:r>
        <w:rPr>
          <w:color w:val="231F20"/>
          <w:spacing w:val="-8"/>
        </w:rPr>
        <w:t xml:space="preserve"> </w:t>
      </w:r>
      <w:r>
        <w:rPr>
          <w:color w:val="231F20"/>
        </w:rPr>
        <w:t>for</w:t>
      </w:r>
      <w:r>
        <w:rPr>
          <w:color w:val="231F20"/>
          <w:spacing w:val="-7"/>
        </w:rPr>
        <w:t xml:space="preserve"> </w:t>
      </w:r>
      <w:r>
        <w:rPr>
          <w:color w:val="231F20"/>
        </w:rPr>
        <w:t>access</w:t>
      </w:r>
      <w:r>
        <w:rPr>
          <w:color w:val="231F20"/>
          <w:spacing w:val="-7"/>
        </w:rPr>
        <w:t xml:space="preserve"> </w:t>
      </w:r>
      <w:r>
        <w:rPr>
          <w:color w:val="231F20"/>
        </w:rPr>
        <w:t>to</w:t>
      </w:r>
      <w:r>
        <w:rPr>
          <w:color w:val="231F20"/>
          <w:spacing w:val="-8"/>
        </w:rPr>
        <w:t xml:space="preserve"> </w:t>
      </w:r>
      <w:r>
        <w:rPr>
          <w:color w:val="231F20"/>
        </w:rPr>
        <w:t>legacy</w:t>
      </w:r>
      <w:r>
        <w:rPr>
          <w:color w:val="231F20"/>
          <w:spacing w:val="-7"/>
        </w:rPr>
        <w:t xml:space="preserve"> </w:t>
      </w:r>
      <w:r>
        <w:rPr>
          <w:color w:val="231F20"/>
        </w:rPr>
        <w:t>fax</w:t>
      </w:r>
      <w:r>
        <w:rPr>
          <w:color w:val="231F20"/>
          <w:spacing w:val="-7"/>
        </w:rPr>
        <w:t xml:space="preserve"> </w:t>
      </w:r>
      <w:r>
        <w:rPr>
          <w:color w:val="231F20"/>
        </w:rPr>
        <w:t>devices</w:t>
      </w:r>
      <w:r>
        <w:rPr>
          <w:color w:val="231F20"/>
          <w:spacing w:val="-7"/>
        </w:rPr>
        <w:t xml:space="preserve"> </w:t>
      </w:r>
      <w:r>
        <w:rPr>
          <w:color w:val="231F20"/>
        </w:rPr>
        <w:t>and</w:t>
      </w:r>
      <w:r>
        <w:rPr>
          <w:color w:val="231F20"/>
          <w:spacing w:val="-8"/>
        </w:rPr>
        <w:t xml:space="preserve"> </w:t>
      </w:r>
      <w:r>
        <w:rPr>
          <w:color w:val="231F20"/>
        </w:rPr>
        <w:t>has</w:t>
      </w:r>
      <w:r>
        <w:rPr>
          <w:color w:val="231F20"/>
          <w:spacing w:val="-7"/>
        </w:rPr>
        <w:t xml:space="preserve"> </w:t>
      </w:r>
      <w:r>
        <w:rPr>
          <w:color w:val="231F20"/>
        </w:rPr>
        <w:t>simplified processes, along with Follow You Printing services that enable frontline employees to print securely from any Victoria Police facility.</w:t>
      </w:r>
    </w:p>
    <w:p w14:paraId="6E3BE6BE" w14:textId="77777777" w:rsidR="00345EE3" w:rsidRDefault="00345EE3" w:rsidP="00345EE3">
      <w:pPr>
        <w:pStyle w:val="Heading5"/>
        <w:spacing w:before="174"/>
      </w:pPr>
      <w:r>
        <w:rPr>
          <w:color w:val="58595B"/>
        </w:rPr>
        <w:t>Body-Worn</w:t>
      </w:r>
      <w:r>
        <w:rPr>
          <w:color w:val="58595B"/>
          <w:spacing w:val="-8"/>
        </w:rPr>
        <w:t xml:space="preserve"> </w:t>
      </w:r>
      <w:r>
        <w:rPr>
          <w:color w:val="58595B"/>
        </w:rPr>
        <w:t>Camera</w:t>
      </w:r>
      <w:r>
        <w:rPr>
          <w:color w:val="58595B"/>
          <w:spacing w:val="-8"/>
        </w:rPr>
        <w:t xml:space="preserve"> </w:t>
      </w:r>
      <w:r>
        <w:rPr>
          <w:color w:val="58595B"/>
          <w:spacing w:val="-2"/>
        </w:rPr>
        <w:t>dashboard</w:t>
      </w:r>
    </w:p>
    <w:p w14:paraId="0B0FF46C" w14:textId="77777777" w:rsidR="00345EE3" w:rsidRDefault="00345EE3" w:rsidP="00345EE3">
      <w:pPr>
        <w:pStyle w:val="BodyText"/>
        <w:spacing w:before="4" w:line="242" w:lineRule="auto"/>
        <w:ind w:right="848"/>
      </w:pPr>
      <w:r>
        <w:rPr>
          <w:color w:val="231F20"/>
        </w:rPr>
        <w:t>The</w:t>
      </w:r>
      <w:r>
        <w:rPr>
          <w:color w:val="231F20"/>
          <w:spacing w:val="-9"/>
        </w:rPr>
        <w:t xml:space="preserve"> </w:t>
      </w:r>
      <w:r>
        <w:rPr>
          <w:color w:val="231F20"/>
        </w:rPr>
        <w:t>BWC</w:t>
      </w:r>
      <w:r>
        <w:rPr>
          <w:color w:val="231F20"/>
          <w:spacing w:val="-9"/>
        </w:rPr>
        <w:t xml:space="preserve"> </w:t>
      </w:r>
      <w:r>
        <w:rPr>
          <w:color w:val="231F20"/>
        </w:rPr>
        <w:t>reporting</w:t>
      </w:r>
      <w:r>
        <w:rPr>
          <w:color w:val="231F20"/>
          <w:spacing w:val="-9"/>
        </w:rPr>
        <w:t xml:space="preserve"> </w:t>
      </w:r>
      <w:r>
        <w:rPr>
          <w:color w:val="231F20"/>
        </w:rPr>
        <w:t>dashboard</w:t>
      </w:r>
      <w:r>
        <w:rPr>
          <w:color w:val="231F20"/>
          <w:spacing w:val="-9"/>
        </w:rPr>
        <w:t xml:space="preserve"> </w:t>
      </w:r>
      <w:r>
        <w:rPr>
          <w:color w:val="231F20"/>
        </w:rPr>
        <w:t>was</w:t>
      </w:r>
      <w:r>
        <w:rPr>
          <w:color w:val="231F20"/>
          <w:spacing w:val="-8"/>
        </w:rPr>
        <w:t xml:space="preserve"> </w:t>
      </w:r>
      <w:r>
        <w:rPr>
          <w:color w:val="231F20"/>
        </w:rPr>
        <w:t>initiated</w:t>
      </w:r>
      <w:r>
        <w:rPr>
          <w:color w:val="231F20"/>
          <w:spacing w:val="-9"/>
        </w:rPr>
        <w:t xml:space="preserve"> </w:t>
      </w:r>
      <w:r>
        <w:rPr>
          <w:color w:val="231F20"/>
        </w:rPr>
        <w:t>to</w:t>
      </w:r>
      <w:r>
        <w:rPr>
          <w:color w:val="231F20"/>
          <w:spacing w:val="-9"/>
        </w:rPr>
        <w:t xml:space="preserve"> </w:t>
      </w:r>
      <w:r>
        <w:rPr>
          <w:color w:val="231F20"/>
        </w:rPr>
        <w:t>provide</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supervisors</w:t>
      </w:r>
      <w:r>
        <w:rPr>
          <w:color w:val="231F20"/>
          <w:spacing w:val="-8"/>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ability to monitor the creation and categorisation of BWC recordings. The dashboard platform was launched</w:t>
      </w:r>
      <w:r>
        <w:rPr>
          <w:color w:val="231F20"/>
          <w:spacing w:val="-10"/>
        </w:rPr>
        <w:t xml:space="preserve"> </w:t>
      </w:r>
      <w:r>
        <w:rPr>
          <w:color w:val="231F20"/>
        </w:rPr>
        <w:t>in</w:t>
      </w:r>
      <w:r>
        <w:rPr>
          <w:color w:val="231F20"/>
          <w:spacing w:val="-10"/>
        </w:rPr>
        <w:t xml:space="preserve"> </w:t>
      </w:r>
      <w:r>
        <w:rPr>
          <w:color w:val="231F20"/>
        </w:rPr>
        <w:t>October</w:t>
      </w:r>
      <w:r>
        <w:rPr>
          <w:color w:val="231F20"/>
          <w:spacing w:val="-9"/>
        </w:rPr>
        <w:t xml:space="preserve"> </w:t>
      </w:r>
      <w:r>
        <w:rPr>
          <w:color w:val="231F20"/>
        </w:rPr>
        <w:t>2021</w:t>
      </w:r>
      <w:r>
        <w:rPr>
          <w:color w:val="231F20"/>
          <w:spacing w:val="-10"/>
        </w:rPr>
        <w:t xml:space="preserve"> </w:t>
      </w:r>
      <w:r>
        <w:rPr>
          <w:color w:val="231F20"/>
        </w:rPr>
        <w:t>and</w:t>
      </w:r>
      <w:r>
        <w:rPr>
          <w:color w:val="231F20"/>
          <w:spacing w:val="-10"/>
        </w:rPr>
        <w:t xml:space="preserve"> </w:t>
      </w:r>
      <w:r>
        <w:rPr>
          <w:color w:val="231F20"/>
        </w:rPr>
        <w:t>provides</w:t>
      </w:r>
      <w:r>
        <w:rPr>
          <w:color w:val="231F20"/>
          <w:spacing w:val="-9"/>
        </w:rPr>
        <w:t xml:space="preserve"> </w:t>
      </w:r>
      <w:r>
        <w:rPr>
          <w:color w:val="231F20"/>
        </w:rPr>
        <w:t>insights</w:t>
      </w:r>
      <w:r>
        <w:rPr>
          <w:color w:val="231F20"/>
          <w:spacing w:val="-9"/>
        </w:rPr>
        <w:t xml:space="preserve"> </w:t>
      </w:r>
      <w:r>
        <w:rPr>
          <w:color w:val="231F20"/>
        </w:rPr>
        <w:t>for</w:t>
      </w:r>
      <w:r>
        <w:rPr>
          <w:color w:val="231F20"/>
          <w:spacing w:val="-9"/>
        </w:rPr>
        <w:t xml:space="preserve"> </w:t>
      </w:r>
      <w:r>
        <w:rPr>
          <w:color w:val="231F20"/>
        </w:rPr>
        <w:t>supervisors</w:t>
      </w:r>
      <w:r>
        <w:rPr>
          <w:color w:val="231F20"/>
          <w:spacing w:val="-9"/>
        </w:rPr>
        <w:t xml:space="preserve"> </w:t>
      </w:r>
      <w:r>
        <w:rPr>
          <w:color w:val="231F20"/>
        </w:rPr>
        <w:t>into</w:t>
      </w:r>
      <w:r>
        <w:rPr>
          <w:color w:val="231F20"/>
          <w:spacing w:val="-10"/>
        </w:rPr>
        <w:t xml:space="preserve"> </w:t>
      </w:r>
      <w:r>
        <w:rPr>
          <w:color w:val="231F20"/>
        </w:rPr>
        <w:t>the</w:t>
      </w:r>
      <w:r>
        <w:rPr>
          <w:color w:val="231F20"/>
          <w:spacing w:val="-10"/>
        </w:rPr>
        <w:t xml:space="preserve"> </w:t>
      </w:r>
      <w:r>
        <w:rPr>
          <w:color w:val="231F20"/>
        </w:rPr>
        <w:t>way</w:t>
      </w:r>
      <w:r>
        <w:rPr>
          <w:color w:val="231F20"/>
          <w:spacing w:val="-9"/>
        </w:rPr>
        <w:t xml:space="preserve"> </w:t>
      </w:r>
      <w:r>
        <w:rPr>
          <w:color w:val="231F20"/>
        </w:rPr>
        <w:t>their</w:t>
      </w:r>
      <w:r>
        <w:rPr>
          <w:color w:val="231F20"/>
          <w:spacing w:val="-9"/>
        </w:rPr>
        <w:t xml:space="preserve"> </w:t>
      </w:r>
      <w:r>
        <w:rPr>
          <w:color w:val="231F20"/>
        </w:rPr>
        <w:t>employees</w:t>
      </w:r>
      <w:r>
        <w:rPr>
          <w:color w:val="231F20"/>
          <w:spacing w:val="-9"/>
        </w:rPr>
        <w:t xml:space="preserve"> </w:t>
      </w:r>
      <w:r>
        <w:rPr>
          <w:color w:val="231F20"/>
        </w:rPr>
        <w:t>are creating and categorising data and how this compares to similar users across the organisation.</w:t>
      </w:r>
    </w:p>
    <w:p w14:paraId="7E208E33" w14:textId="77777777" w:rsidR="00345EE3" w:rsidRDefault="00345EE3" w:rsidP="00345EE3">
      <w:pPr>
        <w:rPr>
          <w:b/>
          <w:bCs/>
          <w:color w:val="58595B"/>
          <w:sz w:val="24"/>
          <w:szCs w:val="24"/>
        </w:rPr>
      </w:pPr>
      <w:r>
        <w:rPr>
          <w:color w:val="58595B"/>
        </w:rPr>
        <w:br w:type="page"/>
      </w:r>
    </w:p>
    <w:p w14:paraId="41FC38DB" w14:textId="77777777" w:rsidR="00345EE3" w:rsidRDefault="00345EE3" w:rsidP="00345EE3">
      <w:pPr>
        <w:pStyle w:val="Heading5"/>
        <w:spacing w:before="175"/>
      </w:pPr>
      <w:r>
        <w:rPr>
          <w:color w:val="58595B"/>
        </w:rPr>
        <w:t>Vehicle</w:t>
      </w:r>
      <w:r>
        <w:rPr>
          <w:color w:val="58595B"/>
          <w:spacing w:val="-8"/>
        </w:rPr>
        <w:t xml:space="preserve"> </w:t>
      </w:r>
      <w:r>
        <w:rPr>
          <w:color w:val="58595B"/>
        </w:rPr>
        <w:t>Safety</w:t>
      </w:r>
      <w:r>
        <w:rPr>
          <w:color w:val="58595B"/>
          <w:spacing w:val="-8"/>
        </w:rPr>
        <w:t xml:space="preserve"> </w:t>
      </w:r>
      <w:r>
        <w:rPr>
          <w:color w:val="58595B"/>
        </w:rPr>
        <w:t>and</w:t>
      </w:r>
      <w:r>
        <w:rPr>
          <w:color w:val="58595B"/>
          <w:spacing w:val="-7"/>
        </w:rPr>
        <w:t xml:space="preserve"> </w:t>
      </w:r>
      <w:r>
        <w:rPr>
          <w:color w:val="58595B"/>
          <w:spacing w:val="-2"/>
        </w:rPr>
        <w:t>Capability</w:t>
      </w:r>
    </w:p>
    <w:p w14:paraId="041E0CFE" w14:textId="77777777" w:rsidR="00345EE3" w:rsidRDefault="00345EE3" w:rsidP="00345EE3">
      <w:pPr>
        <w:pStyle w:val="BodyText"/>
        <w:spacing w:before="4" w:line="242" w:lineRule="auto"/>
        <w:ind w:right="921"/>
      </w:pPr>
      <w:r>
        <w:rPr>
          <w:color w:val="231F20"/>
        </w:rPr>
        <w:t>Victoria</w:t>
      </w:r>
      <w:r>
        <w:rPr>
          <w:color w:val="231F20"/>
          <w:spacing w:val="-6"/>
        </w:rPr>
        <w:t xml:space="preserve"> </w:t>
      </w:r>
      <w:r>
        <w:rPr>
          <w:color w:val="231F20"/>
        </w:rPr>
        <w:t>Police</w:t>
      </w:r>
      <w:r>
        <w:rPr>
          <w:color w:val="231F20"/>
          <w:spacing w:val="-6"/>
        </w:rPr>
        <w:t xml:space="preserve"> </w:t>
      </w:r>
      <w:r>
        <w:rPr>
          <w:color w:val="231F20"/>
        </w:rPr>
        <w:t>consistently</w:t>
      </w:r>
      <w:r>
        <w:rPr>
          <w:color w:val="231F20"/>
          <w:spacing w:val="-5"/>
        </w:rPr>
        <w:t xml:space="preserve"> </w:t>
      </w:r>
      <w:r>
        <w:rPr>
          <w:color w:val="231F20"/>
        </w:rPr>
        <w:t>endeavours</w:t>
      </w:r>
      <w:r>
        <w:rPr>
          <w:color w:val="231F20"/>
          <w:spacing w:val="-5"/>
        </w:rPr>
        <w:t xml:space="preserve"> </w:t>
      </w:r>
      <w:r>
        <w:rPr>
          <w:color w:val="231F20"/>
        </w:rPr>
        <w:t>to</w:t>
      </w:r>
      <w:r>
        <w:rPr>
          <w:color w:val="231F20"/>
          <w:spacing w:val="-6"/>
        </w:rPr>
        <w:t xml:space="preserve"> </w:t>
      </w:r>
      <w:r>
        <w:rPr>
          <w:color w:val="231F20"/>
        </w:rPr>
        <w:t>integrate</w:t>
      </w:r>
      <w:r>
        <w:rPr>
          <w:color w:val="231F20"/>
          <w:spacing w:val="-6"/>
        </w:rPr>
        <w:t xml:space="preserve"> </w:t>
      </w:r>
      <w:r>
        <w:rPr>
          <w:color w:val="231F20"/>
        </w:rPr>
        <w:t>safety</w:t>
      </w:r>
      <w:r>
        <w:rPr>
          <w:color w:val="231F20"/>
          <w:spacing w:val="-5"/>
        </w:rPr>
        <w:t xml:space="preserve"> </w:t>
      </w:r>
      <w:r>
        <w:rPr>
          <w:color w:val="231F20"/>
        </w:rPr>
        <w:t>measures</w:t>
      </w:r>
      <w:r>
        <w:rPr>
          <w:color w:val="231F20"/>
          <w:spacing w:val="-5"/>
        </w:rPr>
        <w:t xml:space="preserve"> </w:t>
      </w:r>
      <w:r>
        <w:rPr>
          <w:color w:val="231F20"/>
        </w:rPr>
        <w:t>into</w:t>
      </w:r>
      <w:r>
        <w:rPr>
          <w:color w:val="231F20"/>
          <w:spacing w:val="-6"/>
        </w:rPr>
        <w:t xml:space="preserve"> </w:t>
      </w:r>
      <w:r>
        <w:rPr>
          <w:color w:val="231F20"/>
        </w:rPr>
        <w:t>our</w:t>
      </w:r>
      <w:r>
        <w:rPr>
          <w:color w:val="231F20"/>
          <w:spacing w:val="-5"/>
        </w:rPr>
        <w:t xml:space="preserve"> </w:t>
      </w:r>
      <w:r>
        <w:rPr>
          <w:color w:val="231F20"/>
        </w:rPr>
        <w:t>fleet</w:t>
      </w:r>
      <w:r>
        <w:rPr>
          <w:color w:val="231F20"/>
          <w:spacing w:val="-5"/>
        </w:rPr>
        <w:t xml:space="preserve"> </w:t>
      </w:r>
      <w:r>
        <w:rPr>
          <w:color w:val="231F20"/>
        </w:rPr>
        <w:t>and</w:t>
      </w:r>
      <w:r>
        <w:rPr>
          <w:color w:val="231F20"/>
          <w:spacing w:val="-6"/>
        </w:rPr>
        <w:t xml:space="preserve"> </w:t>
      </w:r>
      <w:r>
        <w:rPr>
          <w:color w:val="231F20"/>
        </w:rPr>
        <w:t>improve capability</w:t>
      </w:r>
      <w:r>
        <w:rPr>
          <w:color w:val="231F20"/>
          <w:spacing w:val="-11"/>
        </w:rPr>
        <w:t xml:space="preserve"> </w:t>
      </w:r>
      <w:r>
        <w:rPr>
          <w:color w:val="231F20"/>
        </w:rPr>
        <w:t>by</w:t>
      </w:r>
      <w:r>
        <w:rPr>
          <w:color w:val="231F20"/>
          <w:spacing w:val="-11"/>
        </w:rPr>
        <w:t xml:space="preserve"> </w:t>
      </w:r>
      <w:r>
        <w:rPr>
          <w:color w:val="231F20"/>
        </w:rPr>
        <w:t>constantly</w:t>
      </w:r>
      <w:r>
        <w:rPr>
          <w:color w:val="231F20"/>
          <w:spacing w:val="-11"/>
        </w:rPr>
        <w:t xml:space="preserve"> </w:t>
      </w:r>
      <w:r>
        <w:rPr>
          <w:color w:val="231F20"/>
        </w:rPr>
        <w:t>reviewing</w:t>
      </w:r>
      <w:r>
        <w:rPr>
          <w:color w:val="231F20"/>
          <w:spacing w:val="-12"/>
        </w:rPr>
        <w:t xml:space="preserve"> </w:t>
      </w:r>
      <w:r>
        <w:rPr>
          <w:color w:val="231F20"/>
        </w:rPr>
        <w:t>the</w:t>
      </w:r>
      <w:r>
        <w:rPr>
          <w:color w:val="231F20"/>
          <w:spacing w:val="-12"/>
        </w:rPr>
        <w:t xml:space="preserve"> </w:t>
      </w:r>
      <w:r>
        <w:rPr>
          <w:color w:val="231F20"/>
        </w:rPr>
        <w:t>market</w:t>
      </w:r>
      <w:r>
        <w:rPr>
          <w:color w:val="231F20"/>
          <w:spacing w:val="-11"/>
        </w:rPr>
        <w:t xml:space="preserve"> </w:t>
      </w:r>
      <w:r>
        <w:rPr>
          <w:color w:val="231F20"/>
        </w:rPr>
        <w:t>and</w:t>
      </w:r>
      <w:r>
        <w:rPr>
          <w:color w:val="231F20"/>
          <w:spacing w:val="-12"/>
        </w:rPr>
        <w:t xml:space="preserve"> </w:t>
      </w:r>
      <w:r>
        <w:rPr>
          <w:color w:val="231F20"/>
        </w:rPr>
        <w:t>working</w:t>
      </w:r>
      <w:r>
        <w:rPr>
          <w:color w:val="231F20"/>
          <w:spacing w:val="-12"/>
        </w:rPr>
        <w:t xml:space="preserve"> </w:t>
      </w:r>
      <w:r>
        <w:rPr>
          <w:color w:val="231F20"/>
        </w:rPr>
        <w:t>directly</w:t>
      </w:r>
      <w:r>
        <w:rPr>
          <w:color w:val="231F20"/>
          <w:spacing w:val="-11"/>
        </w:rPr>
        <w:t xml:space="preserve"> </w:t>
      </w:r>
      <w:r>
        <w:rPr>
          <w:color w:val="231F20"/>
        </w:rPr>
        <w:t>with</w:t>
      </w:r>
      <w:r>
        <w:rPr>
          <w:color w:val="231F20"/>
          <w:spacing w:val="-12"/>
        </w:rPr>
        <w:t xml:space="preserve"> </w:t>
      </w:r>
      <w:r>
        <w:rPr>
          <w:color w:val="231F20"/>
        </w:rPr>
        <w:t>manufacturers</w:t>
      </w:r>
      <w:r>
        <w:rPr>
          <w:color w:val="231F20"/>
          <w:spacing w:val="-11"/>
        </w:rPr>
        <w:t xml:space="preserve"> </w:t>
      </w:r>
      <w:r>
        <w:rPr>
          <w:color w:val="231F20"/>
        </w:rPr>
        <w:t>to</w:t>
      </w:r>
      <w:r>
        <w:rPr>
          <w:color w:val="231F20"/>
          <w:spacing w:val="-12"/>
        </w:rPr>
        <w:t xml:space="preserve"> </w:t>
      </w:r>
      <w:r>
        <w:rPr>
          <w:color w:val="231F20"/>
        </w:rPr>
        <w:t>ensure the safest vehicles are provided for our members.</w:t>
      </w:r>
    </w:p>
    <w:p w14:paraId="0FE5212D" w14:textId="77777777" w:rsidR="00345EE3" w:rsidRDefault="00345EE3" w:rsidP="00345EE3">
      <w:pPr>
        <w:pStyle w:val="Heading5"/>
        <w:spacing w:before="174"/>
      </w:pPr>
      <w:r>
        <w:rPr>
          <w:color w:val="58595B"/>
        </w:rPr>
        <w:t>Ford</w:t>
      </w:r>
      <w:r>
        <w:rPr>
          <w:color w:val="58595B"/>
          <w:spacing w:val="-5"/>
        </w:rPr>
        <w:t xml:space="preserve"> </w:t>
      </w:r>
      <w:r>
        <w:rPr>
          <w:color w:val="58595B"/>
        </w:rPr>
        <w:t>Ranger</w:t>
      </w:r>
      <w:r>
        <w:rPr>
          <w:color w:val="58595B"/>
          <w:spacing w:val="-6"/>
        </w:rPr>
        <w:t xml:space="preserve"> </w:t>
      </w:r>
      <w:r>
        <w:rPr>
          <w:color w:val="58595B"/>
        </w:rPr>
        <w:t>Divisional</w:t>
      </w:r>
      <w:r>
        <w:rPr>
          <w:color w:val="58595B"/>
          <w:spacing w:val="-5"/>
        </w:rPr>
        <w:t xml:space="preserve"> Van</w:t>
      </w:r>
    </w:p>
    <w:p w14:paraId="643677F6" w14:textId="77777777" w:rsidR="00345EE3" w:rsidRDefault="00345EE3" w:rsidP="00345EE3">
      <w:pPr>
        <w:pStyle w:val="BodyText"/>
        <w:spacing w:before="4" w:line="242" w:lineRule="auto"/>
        <w:ind w:right="1328"/>
      </w:pPr>
      <w:r>
        <w:rPr>
          <w:color w:val="231F20"/>
        </w:rPr>
        <w:t>With</w:t>
      </w:r>
      <w:r>
        <w:rPr>
          <w:color w:val="231F20"/>
          <w:spacing w:val="-8"/>
        </w:rPr>
        <w:t xml:space="preserve"> </w:t>
      </w:r>
      <w:r>
        <w:rPr>
          <w:color w:val="231F20"/>
        </w:rPr>
        <w:t>the</w:t>
      </w:r>
      <w:r>
        <w:rPr>
          <w:color w:val="231F20"/>
          <w:spacing w:val="-8"/>
        </w:rPr>
        <w:t xml:space="preserve"> </w:t>
      </w:r>
      <w:r>
        <w:rPr>
          <w:color w:val="231F20"/>
        </w:rPr>
        <w:t>closure</w:t>
      </w:r>
      <w:r>
        <w:rPr>
          <w:color w:val="231F20"/>
          <w:spacing w:val="-8"/>
        </w:rPr>
        <w:t xml:space="preserve"> </w:t>
      </w:r>
      <w:r>
        <w:rPr>
          <w:color w:val="231F20"/>
        </w:rPr>
        <w:t>of</w:t>
      </w:r>
      <w:r>
        <w:rPr>
          <w:color w:val="231F20"/>
          <w:spacing w:val="-8"/>
        </w:rPr>
        <w:t xml:space="preserve"> </w:t>
      </w:r>
      <w:r>
        <w:rPr>
          <w:color w:val="231F20"/>
        </w:rPr>
        <w:t>car</w:t>
      </w:r>
      <w:r>
        <w:rPr>
          <w:color w:val="231F20"/>
          <w:spacing w:val="-8"/>
        </w:rPr>
        <w:t xml:space="preserve"> </w:t>
      </w:r>
      <w:r>
        <w:rPr>
          <w:color w:val="231F20"/>
        </w:rPr>
        <w:t>manufacturing</w:t>
      </w:r>
      <w:r>
        <w:rPr>
          <w:color w:val="231F20"/>
          <w:spacing w:val="-8"/>
        </w:rPr>
        <w:t xml:space="preserve"> </w:t>
      </w:r>
      <w:r>
        <w:rPr>
          <w:color w:val="231F20"/>
        </w:rPr>
        <w:t>in</w:t>
      </w:r>
      <w:r>
        <w:rPr>
          <w:color w:val="231F20"/>
          <w:spacing w:val="-8"/>
        </w:rPr>
        <w:t xml:space="preserve"> </w:t>
      </w:r>
      <w:r>
        <w:rPr>
          <w:color w:val="231F20"/>
        </w:rPr>
        <w:t>Australia,</w:t>
      </w:r>
      <w:r>
        <w:rPr>
          <w:color w:val="231F20"/>
          <w:spacing w:val="-8"/>
        </w:rPr>
        <w:t xml:space="preserve"> </w:t>
      </w:r>
      <w:r>
        <w:rPr>
          <w:color w:val="231F20"/>
        </w:rPr>
        <w:t>Holden</w:t>
      </w:r>
      <w:r>
        <w:rPr>
          <w:color w:val="231F20"/>
          <w:spacing w:val="-8"/>
        </w:rPr>
        <w:t xml:space="preserve"> </w:t>
      </w:r>
      <w:r>
        <w:rPr>
          <w:color w:val="231F20"/>
        </w:rPr>
        <w:t>is</w:t>
      </w:r>
      <w:r>
        <w:rPr>
          <w:color w:val="231F20"/>
          <w:spacing w:val="-8"/>
        </w:rPr>
        <w:t xml:space="preserve"> </w:t>
      </w:r>
      <w:r>
        <w:rPr>
          <w:color w:val="231F20"/>
        </w:rPr>
        <w:t>no</w:t>
      </w:r>
      <w:r>
        <w:rPr>
          <w:color w:val="231F20"/>
          <w:spacing w:val="-8"/>
        </w:rPr>
        <w:t xml:space="preserve"> </w:t>
      </w:r>
      <w:r>
        <w:rPr>
          <w:color w:val="231F20"/>
        </w:rPr>
        <w:t>longer</w:t>
      </w:r>
      <w:r>
        <w:rPr>
          <w:color w:val="231F20"/>
          <w:spacing w:val="-8"/>
        </w:rPr>
        <w:t xml:space="preserve"> </w:t>
      </w:r>
      <w:r>
        <w:rPr>
          <w:color w:val="231F20"/>
        </w:rPr>
        <w:t>manufacturing</w:t>
      </w:r>
      <w:r>
        <w:rPr>
          <w:color w:val="231F20"/>
          <w:spacing w:val="-8"/>
        </w:rPr>
        <w:t xml:space="preserve"> </w:t>
      </w:r>
      <w:r>
        <w:rPr>
          <w:color w:val="231F20"/>
        </w:rPr>
        <w:t>for</w:t>
      </w:r>
      <w:r>
        <w:rPr>
          <w:color w:val="231F20"/>
          <w:spacing w:val="-8"/>
        </w:rPr>
        <w:t xml:space="preserve"> </w:t>
      </w:r>
      <w:r>
        <w:rPr>
          <w:color w:val="231F20"/>
        </w:rPr>
        <w:t>the Australian market, leaving Victoria Police with the need to replace the Holden Colorado. As a</w:t>
      </w:r>
      <w:r>
        <w:rPr>
          <w:color w:val="231F20"/>
          <w:spacing w:val="-1"/>
        </w:rPr>
        <w:t xml:space="preserve"> </w:t>
      </w:r>
      <w:r>
        <w:rPr>
          <w:color w:val="231F20"/>
        </w:rPr>
        <w:t>result, the</w:t>
      </w:r>
      <w:r>
        <w:rPr>
          <w:color w:val="231F20"/>
          <w:spacing w:val="-1"/>
        </w:rPr>
        <w:t xml:space="preserve"> </w:t>
      </w:r>
      <w:r>
        <w:rPr>
          <w:color w:val="231F20"/>
        </w:rPr>
        <w:t>Ford</w:t>
      </w:r>
      <w:r>
        <w:rPr>
          <w:color w:val="231F20"/>
          <w:spacing w:val="-1"/>
        </w:rPr>
        <w:t xml:space="preserve"> </w:t>
      </w:r>
      <w:r>
        <w:rPr>
          <w:color w:val="231F20"/>
        </w:rPr>
        <w:t>Ranger was adapted</w:t>
      </w:r>
      <w:r>
        <w:rPr>
          <w:color w:val="231F20"/>
          <w:spacing w:val="-1"/>
        </w:rPr>
        <w:t xml:space="preserve"> </w:t>
      </w:r>
      <w:r>
        <w:rPr>
          <w:color w:val="231F20"/>
        </w:rPr>
        <w:t>to</w:t>
      </w:r>
      <w:r>
        <w:rPr>
          <w:color w:val="231F20"/>
          <w:spacing w:val="-1"/>
        </w:rPr>
        <w:t xml:space="preserve"> </w:t>
      </w:r>
      <w:r>
        <w:rPr>
          <w:color w:val="231F20"/>
        </w:rPr>
        <w:t>become</w:t>
      </w:r>
      <w:r>
        <w:rPr>
          <w:color w:val="231F20"/>
          <w:spacing w:val="-1"/>
        </w:rPr>
        <w:t xml:space="preserve"> </w:t>
      </w:r>
      <w:r>
        <w:rPr>
          <w:color w:val="231F20"/>
        </w:rPr>
        <w:t>the</w:t>
      </w:r>
      <w:r>
        <w:rPr>
          <w:color w:val="231F20"/>
          <w:spacing w:val="-1"/>
        </w:rPr>
        <w:t xml:space="preserve"> </w:t>
      </w:r>
      <w:r>
        <w:rPr>
          <w:color w:val="231F20"/>
        </w:rPr>
        <w:t>new</w:t>
      </w:r>
      <w:r>
        <w:rPr>
          <w:color w:val="231F20"/>
          <w:spacing w:val="-1"/>
        </w:rPr>
        <w:t xml:space="preserve"> </w:t>
      </w:r>
      <w:r>
        <w:rPr>
          <w:color w:val="231F20"/>
        </w:rPr>
        <w:t>Divisional</w:t>
      </w:r>
      <w:r>
        <w:rPr>
          <w:color w:val="231F20"/>
          <w:spacing w:val="-1"/>
        </w:rPr>
        <w:t xml:space="preserve"> </w:t>
      </w:r>
      <w:r>
        <w:rPr>
          <w:color w:val="231F20"/>
        </w:rPr>
        <w:t>Van. In</w:t>
      </w:r>
      <w:r>
        <w:rPr>
          <w:color w:val="231F20"/>
          <w:spacing w:val="-1"/>
        </w:rPr>
        <w:t xml:space="preserve"> </w:t>
      </w:r>
      <w:r>
        <w:rPr>
          <w:color w:val="231F20"/>
        </w:rPr>
        <w:t>2021–22, 116 divisional vans were rolled out state-wide.</w:t>
      </w:r>
    </w:p>
    <w:p w14:paraId="18A5168D" w14:textId="77777777" w:rsidR="00345EE3" w:rsidRDefault="00345EE3" w:rsidP="00345EE3">
      <w:pPr>
        <w:spacing w:before="119" w:line="242" w:lineRule="auto"/>
        <w:ind w:left="110" w:right="921"/>
      </w:pPr>
      <w:r>
        <w:rPr>
          <w:color w:val="231F20"/>
          <w:sz w:val="24"/>
        </w:rPr>
        <w:t>The</w:t>
      </w:r>
      <w:r>
        <w:rPr>
          <w:color w:val="231F20"/>
          <w:spacing w:val="-5"/>
          <w:sz w:val="24"/>
        </w:rPr>
        <w:t xml:space="preserve"> </w:t>
      </w:r>
      <w:r>
        <w:rPr>
          <w:color w:val="231F20"/>
          <w:sz w:val="24"/>
        </w:rPr>
        <w:t>addition</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z w:val="24"/>
        </w:rPr>
        <w:t>new</w:t>
      </w:r>
      <w:r>
        <w:rPr>
          <w:color w:val="231F20"/>
          <w:spacing w:val="-5"/>
          <w:sz w:val="24"/>
        </w:rPr>
        <w:t xml:space="preserve"> </w:t>
      </w:r>
      <w:r>
        <w:rPr>
          <w:color w:val="231F20"/>
          <w:sz w:val="24"/>
        </w:rPr>
        <w:t>divisional</w:t>
      </w:r>
      <w:r>
        <w:rPr>
          <w:color w:val="231F20"/>
          <w:spacing w:val="-5"/>
          <w:sz w:val="24"/>
        </w:rPr>
        <w:t xml:space="preserve"> </w:t>
      </w:r>
      <w:r>
        <w:rPr>
          <w:color w:val="231F20"/>
          <w:sz w:val="24"/>
        </w:rPr>
        <w:t>van</w:t>
      </w:r>
      <w:r>
        <w:rPr>
          <w:color w:val="231F20"/>
          <w:spacing w:val="-5"/>
          <w:sz w:val="24"/>
        </w:rPr>
        <w:t xml:space="preserve"> </w:t>
      </w:r>
      <w:r>
        <w:rPr>
          <w:color w:val="231F20"/>
          <w:sz w:val="24"/>
        </w:rPr>
        <w:t>is</w:t>
      </w:r>
      <w:r>
        <w:rPr>
          <w:color w:val="231F20"/>
          <w:spacing w:val="-5"/>
          <w:sz w:val="24"/>
        </w:rPr>
        <w:t xml:space="preserve"> </w:t>
      </w:r>
      <w:r>
        <w:rPr>
          <w:color w:val="231F20"/>
          <w:sz w:val="24"/>
        </w:rPr>
        <w:t>both</w:t>
      </w:r>
      <w:r>
        <w:rPr>
          <w:color w:val="231F20"/>
          <w:spacing w:val="-5"/>
          <w:sz w:val="24"/>
        </w:rPr>
        <w:t xml:space="preserve"> </w:t>
      </w:r>
      <w:r>
        <w:rPr>
          <w:color w:val="231F20"/>
          <w:sz w:val="24"/>
        </w:rPr>
        <w:t>consistent</w:t>
      </w:r>
      <w:r>
        <w:rPr>
          <w:color w:val="231F20"/>
          <w:spacing w:val="-5"/>
          <w:sz w:val="24"/>
        </w:rPr>
        <w:t xml:space="preserve"> </w:t>
      </w:r>
      <w:r>
        <w:rPr>
          <w:color w:val="231F20"/>
          <w:sz w:val="24"/>
        </w:rPr>
        <w:t>with</w:t>
      </w:r>
      <w:r>
        <w:rPr>
          <w:color w:val="231F20"/>
          <w:spacing w:val="-5"/>
          <w:sz w:val="24"/>
        </w:rPr>
        <w:t xml:space="preserve"> </w:t>
      </w:r>
      <w:r>
        <w:rPr>
          <w:color w:val="231F20"/>
          <w:sz w:val="24"/>
        </w:rPr>
        <w:t>the</w:t>
      </w:r>
      <w:r>
        <w:rPr>
          <w:color w:val="231F20"/>
          <w:spacing w:val="-5"/>
          <w:sz w:val="24"/>
        </w:rPr>
        <w:t xml:space="preserve"> </w:t>
      </w:r>
      <w:r>
        <w:rPr>
          <w:i/>
          <w:color w:val="231F20"/>
          <w:sz w:val="24"/>
        </w:rPr>
        <w:t>Victoria</w:t>
      </w:r>
      <w:r>
        <w:rPr>
          <w:i/>
          <w:color w:val="231F20"/>
          <w:spacing w:val="-13"/>
          <w:sz w:val="24"/>
        </w:rPr>
        <w:t xml:space="preserve"> </w:t>
      </w:r>
      <w:r>
        <w:rPr>
          <w:i/>
          <w:color w:val="231F20"/>
          <w:sz w:val="24"/>
        </w:rPr>
        <w:t>Police</w:t>
      </w:r>
      <w:r>
        <w:rPr>
          <w:i/>
          <w:color w:val="231F20"/>
          <w:spacing w:val="-13"/>
          <w:sz w:val="24"/>
        </w:rPr>
        <w:t xml:space="preserve"> </w:t>
      </w:r>
      <w:r>
        <w:rPr>
          <w:i/>
          <w:color w:val="231F20"/>
          <w:sz w:val="24"/>
        </w:rPr>
        <w:t>Vehicle</w:t>
      </w:r>
      <w:r>
        <w:rPr>
          <w:i/>
          <w:color w:val="231F20"/>
          <w:spacing w:val="-13"/>
          <w:sz w:val="24"/>
        </w:rPr>
        <w:t xml:space="preserve"> </w:t>
      </w:r>
      <w:r>
        <w:rPr>
          <w:i/>
          <w:color w:val="231F20"/>
          <w:sz w:val="24"/>
        </w:rPr>
        <w:t>Safety Strategy</w:t>
      </w:r>
      <w:r>
        <w:rPr>
          <w:i/>
          <w:color w:val="231F20"/>
          <w:spacing w:val="-16"/>
          <w:sz w:val="24"/>
        </w:rPr>
        <w:t xml:space="preserve"> </w:t>
      </w:r>
      <w:r>
        <w:rPr>
          <w:color w:val="231F20"/>
          <w:sz w:val="24"/>
        </w:rPr>
        <w:t>and</w:t>
      </w:r>
      <w:r>
        <w:rPr>
          <w:color w:val="231F20"/>
          <w:spacing w:val="-13"/>
          <w:sz w:val="24"/>
        </w:rPr>
        <w:t xml:space="preserve"> </w:t>
      </w:r>
      <w:r>
        <w:rPr>
          <w:color w:val="231F20"/>
          <w:sz w:val="24"/>
        </w:rPr>
        <w:t>increases</w:t>
      </w:r>
      <w:r>
        <w:rPr>
          <w:color w:val="231F20"/>
          <w:spacing w:val="-12"/>
          <w:sz w:val="24"/>
        </w:rPr>
        <w:t xml:space="preserve"> </w:t>
      </w:r>
      <w:r>
        <w:rPr>
          <w:color w:val="231F20"/>
          <w:sz w:val="24"/>
        </w:rPr>
        <w:t>our</w:t>
      </w:r>
      <w:r>
        <w:rPr>
          <w:color w:val="231F20"/>
          <w:spacing w:val="-12"/>
          <w:sz w:val="24"/>
        </w:rPr>
        <w:t xml:space="preserve"> </w:t>
      </w:r>
      <w:r>
        <w:rPr>
          <w:color w:val="231F20"/>
          <w:sz w:val="24"/>
        </w:rPr>
        <w:t>vehicle</w:t>
      </w:r>
      <w:r>
        <w:rPr>
          <w:color w:val="231F20"/>
          <w:spacing w:val="-13"/>
          <w:sz w:val="24"/>
        </w:rPr>
        <w:t xml:space="preserve"> </w:t>
      </w:r>
      <w:r>
        <w:rPr>
          <w:color w:val="231F20"/>
          <w:sz w:val="24"/>
        </w:rPr>
        <w:t>safety</w:t>
      </w:r>
      <w:r>
        <w:rPr>
          <w:color w:val="231F20"/>
          <w:spacing w:val="-12"/>
          <w:sz w:val="24"/>
        </w:rPr>
        <w:t xml:space="preserve"> </w:t>
      </w:r>
      <w:r>
        <w:rPr>
          <w:color w:val="231F20"/>
          <w:sz w:val="24"/>
        </w:rPr>
        <w:t>capabilities</w:t>
      </w:r>
      <w:r>
        <w:rPr>
          <w:color w:val="231F20"/>
          <w:spacing w:val="-12"/>
          <w:sz w:val="24"/>
        </w:rPr>
        <w:t xml:space="preserve"> </w:t>
      </w:r>
      <w:r>
        <w:rPr>
          <w:color w:val="231F20"/>
          <w:sz w:val="24"/>
        </w:rPr>
        <w:t>with</w:t>
      </w:r>
      <w:r>
        <w:rPr>
          <w:color w:val="231F20"/>
          <w:spacing w:val="-13"/>
          <w:sz w:val="24"/>
        </w:rPr>
        <w:t xml:space="preserve"> </w:t>
      </w:r>
      <w:r>
        <w:rPr>
          <w:color w:val="231F20"/>
          <w:sz w:val="24"/>
        </w:rPr>
        <w:t>improvement</w:t>
      </w:r>
      <w:r>
        <w:rPr>
          <w:color w:val="231F20"/>
          <w:spacing w:val="-12"/>
          <w:sz w:val="24"/>
        </w:rPr>
        <w:t xml:space="preserve"> </w:t>
      </w:r>
      <w:r>
        <w:rPr>
          <w:color w:val="231F20"/>
          <w:sz w:val="24"/>
        </w:rPr>
        <w:t>to</w:t>
      </w:r>
      <w:r>
        <w:rPr>
          <w:color w:val="231F20"/>
          <w:spacing w:val="-13"/>
          <w:sz w:val="24"/>
        </w:rPr>
        <w:t xml:space="preserve"> </w:t>
      </w:r>
      <w:r>
        <w:rPr>
          <w:color w:val="231F20"/>
          <w:sz w:val="24"/>
        </w:rPr>
        <w:t>the</w:t>
      </w:r>
      <w:r>
        <w:rPr>
          <w:color w:val="231F20"/>
          <w:spacing w:val="-13"/>
          <w:sz w:val="24"/>
        </w:rPr>
        <w:t xml:space="preserve"> </w:t>
      </w:r>
      <w:r>
        <w:rPr>
          <w:color w:val="231F20"/>
          <w:sz w:val="24"/>
        </w:rPr>
        <w:t>internal</w:t>
      </w:r>
      <w:r>
        <w:rPr>
          <w:color w:val="231F20"/>
          <w:spacing w:val="-13"/>
          <w:sz w:val="24"/>
        </w:rPr>
        <w:t xml:space="preserve"> </w:t>
      </w:r>
      <w:r>
        <w:rPr>
          <w:color w:val="231F20"/>
          <w:sz w:val="24"/>
        </w:rPr>
        <w:t>fit-out</w:t>
      </w:r>
      <w:r>
        <w:rPr>
          <w:color w:val="231F20"/>
          <w:spacing w:val="-12"/>
          <w:sz w:val="24"/>
        </w:rPr>
        <w:t xml:space="preserve"> </w:t>
      </w:r>
      <w:r>
        <w:rPr>
          <w:color w:val="231F20"/>
          <w:sz w:val="24"/>
        </w:rPr>
        <w:t xml:space="preserve">and </w:t>
      </w:r>
      <w:r>
        <w:rPr>
          <w:color w:val="231F20"/>
        </w:rPr>
        <w:t>capacity</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vehicles.</w:t>
      </w:r>
      <w:r>
        <w:rPr>
          <w:color w:val="231F20"/>
          <w:spacing w:val="-9"/>
        </w:rPr>
        <w:t xml:space="preserve"> </w:t>
      </w:r>
      <w:r>
        <w:rPr>
          <w:color w:val="231F20"/>
        </w:rPr>
        <w:t>Safety</w:t>
      </w:r>
      <w:r>
        <w:rPr>
          <w:color w:val="231F20"/>
          <w:spacing w:val="-9"/>
        </w:rPr>
        <w:t xml:space="preserve"> </w:t>
      </w:r>
      <w:r>
        <w:rPr>
          <w:color w:val="231F20"/>
        </w:rPr>
        <w:t>features</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Ford</w:t>
      </w:r>
      <w:r>
        <w:rPr>
          <w:color w:val="231F20"/>
          <w:spacing w:val="-10"/>
        </w:rPr>
        <w:t xml:space="preserve"> </w:t>
      </w:r>
      <w:r>
        <w:rPr>
          <w:color w:val="231F20"/>
        </w:rPr>
        <w:t>Ranger</w:t>
      </w:r>
      <w:r>
        <w:rPr>
          <w:color w:val="231F20"/>
          <w:spacing w:val="-9"/>
        </w:rPr>
        <w:t xml:space="preserve"> </w:t>
      </w:r>
      <w:r>
        <w:rPr>
          <w:color w:val="231F20"/>
        </w:rPr>
        <w:t>include</w:t>
      </w:r>
      <w:r>
        <w:rPr>
          <w:color w:val="231F20"/>
          <w:spacing w:val="-10"/>
        </w:rPr>
        <w:t xml:space="preserve"> </w:t>
      </w:r>
      <w:r>
        <w:rPr>
          <w:color w:val="231F20"/>
        </w:rPr>
        <w:t>monitoring</w:t>
      </w:r>
      <w:r>
        <w:rPr>
          <w:color w:val="231F20"/>
          <w:spacing w:val="-10"/>
        </w:rPr>
        <w:t xml:space="preserve"> </w:t>
      </w:r>
      <w:r>
        <w:rPr>
          <w:color w:val="231F20"/>
        </w:rPr>
        <w:t>for</w:t>
      </w:r>
      <w:r>
        <w:rPr>
          <w:color w:val="231F20"/>
          <w:spacing w:val="-9"/>
        </w:rPr>
        <w:t xml:space="preserve"> </w:t>
      </w:r>
      <w:r>
        <w:rPr>
          <w:color w:val="231F20"/>
        </w:rPr>
        <w:t>driver</w:t>
      </w:r>
      <w:r>
        <w:rPr>
          <w:color w:val="231F20"/>
          <w:spacing w:val="-9"/>
        </w:rPr>
        <w:t xml:space="preserve"> </w:t>
      </w:r>
      <w:r>
        <w:rPr>
          <w:color w:val="231F20"/>
        </w:rPr>
        <w:t>fatigue and accessories to integrate visual monitoring into the rear-view mirror for improved prisoner management capability.</w:t>
      </w:r>
    </w:p>
    <w:p w14:paraId="105ECE35" w14:textId="77777777" w:rsidR="00345EE3" w:rsidRDefault="00345EE3" w:rsidP="00345EE3">
      <w:pPr>
        <w:pStyle w:val="Heading5"/>
        <w:spacing w:before="174"/>
      </w:pPr>
      <w:r>
        <w:rPr>
          <w:color w:val="58595B"/>
        </w:rPr>
        <w:t xml:space="preserve">Mobile Policing </w:t>
      </w:r>
      <w:r>
        <w:rPr>
          <w:color w:val="58595B"/>
          <w:spacing w:val="-2"/>
        </w:rPr>
        <w:t>Units</w:t>
      </w:r>
    </w:p>
    <w:p w14:paraId="20197676" w14:textId="77777777" w:rsidR="00345EE3" w:rsidRDefault="00345EE3" w:rsidP="00345EE3">
      <w:pPr>
        <w:pStyle w:val="BodyText"/>
        <w:spacing w:before="4" w:line="242" w:lineRule="auto"/>
        <w:ind w:right="1248"/>
      </w:pPr>
      <w:r>
        <w:rPr>
          <w:color w:val="231F20"/>
        </w:rPr>
        <w:t>Six MPUs have been deployed and are actively in use. MPUs provide increased capability for</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to</w:t>
      </w:r>
      <w:r>
        <w:rPr>
          <w:color w:val="231F20"/>
          <w:spacing w:val="-8"/>
        </w:rPr>
        <w:t xml:space="preserve"> </w:t>
      </w:r>
      <w:r>
        <w:rPr>
          <w:color w:val="231F20"/>
        </w:rPr>
        <w:t>tackle</w:t>
      </w:r>
      <w:r>
        <w:rPr>
          <w:color w:val="231F20"/>
          <w:spacing w:val="-8"/>
        </w:rPr>
        <w:t xml:space="preserve"> </w:t>
      </w:r>
      <w:r>
        <w:rPr>
          <w:color w:val="231F20"/>
        </w:rPr>
        <w:t>crime</w:t>
      </w:r>
      <w:r>
        <w:rPr>
          <w:color w:val="231F20"/>
          <w:spacing w:val="-8"/>
        </w:rPr>
        <w:t xml:space="preserve"> </w:t>
      </w:r>
      <w:r>
        <w:rPr>
          <w:color w:val="231F20"/>
        </w:rPr>
        <w:t>hotspots,</w:t>
      </w:r>
      <w:r>
        <w:rPr>
          <w:color w:val="231F20"/>
          <w:spacing w:val="-7"/>
        </w:rPr>
        <w:t xml:space="preserve"> </w:t>
      </w:r>
      <w:r>
        <w:rPr>
          <w:color w:val="231F20"/>
        </w:rPr>
        <w:t>manage</w:t>
      </w:r>
      <w:r>
        <w:rPr>
          <w:color w:val="231F20"/>
          <w:spacing w:val="-8"/>
        </w:rPr>
        <w:t xml:space="preserve"> </w:t>
      </w:r>
      <w:r>
        <w:rPr>
          <w:color w:val="231F20"/>
        </w:rPr>
        <w:t>critical</w:t>
      </w:r>
      <w:r>
        <w:rPr>
          <w:color w:val="231F20"/>
          <w:spacing w:val="-8"/>
        </w:rPr>
        <w:t xml:space="preserve"> </w:t>
      </w:r>
      <w:r>
        <w:rPr>
          <w:color w:val="231F20"/>
        </w:rPr>
        <w:t>incidents,</w:t>
      </w:r>
      <w:r>
        <w:rPr>
          <w:color w:val="231F20"/>
          <w:spacing w:val="-7"/>
        </w:rPr>
        <w:t xml:space="preserve"> </w:t>
      </w:r>
      <w:r>
        <w:rPr>
          <w:color w:val="231F20"/>
        </w:rPr>
        <w:t>lead</w:t>
      </w:r>
      <w:r>
        <w:rPr>
          <w:color w:val="231F20"/>
          <w:spacing w:val="-8"/>
        </w:rPr>
        <w:t xml:space="preserve"> </w:t>
      </w:r>
      <w:r>
        <w:rPr>
          <w:color w:val="231F20"/>
        </w:rPr>
        <w:t>large-scale</w:t>
      </w:r>
      <w:r>
        <w:rPr>
          <w:color w:val="231F20"/>
          <w:spacing w:val="-8"/>
        </w:rPr>
        <w:t xml:space="preserve"> </w:t>
      </w:r>
      <w:r>
        <w:rPr>
          <w:color w:val="231F20"/>
        </w:rPr>
        <w:t>search and rescue efforts, make time-critical strategic decisions on location and respond to natural</w:t>
      </w:r>
    </w:p>
    <w:p w14:paraId="0BE250FB" w14:textId="77777777" w:rsidR="00345EE3" w:rsidRDefault="00345EE3" w:rsidP="00345EE3">
      <w:pPr>
        <w:pStyle w:val="BodyText"/>
        <w:spacing w:before="4" w:line="242" w:lineRule="auto"/>
        <w:ind w:right="1170"/>
        <w:jc w:val="both"/>
      </w:pPr>
      <w:r>
        <w:rPr>
          <w:color w:val="231F20"/>
        </w:rPr>
        <w:t>disasters.</w:t>
      </w:r>
      <w:r>
        <w:rPr>
          <w:color w:val="231F20"/>
          <w:spacing w:val="-8"/>
        </w:rPr>
        <w:t xml:space="preserve"> </w:t>
      </w:r>
      <w:r>
        <w:rPr>
          <w:color w:val="231F20"/>
        </w:rPr>
        <w:t>MPUs</w:t>
      </w:r>
      <w:r>
        <w:rPr>
          <w:color w:val="231F20"/>
          <w:spacing w:val="-8"/>
        </w:rPr>
        <w:t xml:space="preserve"> </w:t>
      </w:r>
      <w:r>
        <w:rPr>
          <w:color w:val="231F20"/>
        </w:rPr>
        <w:t>are</w:t>
      </w:r>
      <w:r>
        <w:rPr>
          <w:color w:val="231F20"/>
          <w:spacing w:val="-9"/>
        </w:rPr>
        <w:t xml:space="preserve"> </w:t>
      </w:r>
      <w:r>
        <w:rPr>
          <w:color w:val="231F20"/>
        </w:rPr>
        <w:t>fitted</w:t>
      </w:r>
      <w:r>
        <w:rPr>
          <w:color w:val="231F20"/>
          <w:spacing w:val="-9"/>
        </w:rPr>
        <w:t xml:space="preserve"> </w:t>
      </w:r>
      <w:r>
        <w:rPr>
          <w:color w:val="231F20"/>
        </w:rPr>
        <w:t>with</w:t>
      </w:r>
      <w:r>
        <w:rPr>
          <w:color w:val="231F20"/>
          <w:spacing w:val="-9"/>
        </w:rPr>
        <w:t xml:space="preserve"> </w:t>
      </w:r>
      <w:r>
        <w:rPr>
          <w:color w:val="231F20"/>
        </w:rPr>
        <w:t>infrastructure</w:t>
      </w:r>
      <w:r>
        <w:rPr>
          <w:color w:val="231F20"/>
          <w:spacing w:val="-9"/>
        </w:rPr>
        <w:t xml:space="preserve"> </w:t>
      </w:r>
      <w:r>
        <w:rPr>
          <w:color w:val="231F20"/>
        </w:rPr>
        <w:t>to</w:t>
      </w:r>
      <w:r>
        <w:rPr>
          <w:color w:val="231F20"/>
          <w:spacing w:val="-9"/>
        </w:rPr>
        <w:t xml:space="preserve"> </w:t>
      </w:r>
      <w:r>
        <w:rPr>
          <w:color w:val="231F20"/>
        </w:rPr>
        <w:t>provide</w:t>
      </w:r>
      <w:r>
        <w:rPr>
          <w:color w:val="231F20"/>
          <w:spacing w:val="-9"/>
        </w:rPr>
        <w:t xml:space="preserve"> </w:t>
      </w:r>
      <w:r>
        <w:rPr>
          <w:color w:val="231F20"/>
        </w:rPr>
        <w:t>police</w:t>
      </w:r>
      <w:r>
        <w:rPr>
          <w:color w:val="231F20"/>
          <w:spacing w:val="-9"/>
        </w:rPr>
        <w:t xml:space="preserve"> </w:t>
      </w:r>
      <w:r>
        <w:rPr>
          <w:color w:val="231F20"/>
        </w:rPr>
        <w:t>members</w:t>
      </w:r>
      <w:r>
        <w:rPr>
          <w:color w:val="231F20"/>
          <w:spacing w:val="-8"/>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same</w:t>
      </w:r>
      <w:r>
        <w:rPr>
          <w:color w:val="231F20"/>
          <w:spacing w:val="-9"/>
        </w:rPr>
        <w:t xml:space="preserve"> </w:t>
      </w:r>
      <w:r>
        <w:rPr>
          <w:color w:val="231F20"/>
        </w:rPr>
        <w:t>level</w:t>
      </w:r>
      <w:r>
        <w:rPr>
          <w:color w:val="231F20"/>
          <w:spacing w:val="-9"/>
        </w:rPr>
        <w:t xml:space="preserve"> </w:t>
      </w:r>
      <w:r>
        <w:rPr>
          <w:color w:val="231F20"/>
        </w:rPr>
        <w:t>of access</w:t>
      </w:r>
      <w:r>
        <w:rPr>
          <w:color w:val="231F20"/>
          <w:spacing w:val="-8"/>
        </w:rPr>
        <w:t xml:space="preserve"> </w:t>
      </w:r>
      <w:r>
        <w:rPr>
          <w:color w:val="231F20"/>
        </w:rPr>
        <w:t>to</w:t>
      </w:r>
      <w:r>
        <w:rPr>
          <w:color w:val="231F20"/>
          <w:spacing w:val="-9"/>
        </w:rPr>
        <w:t xml:space="preserve"> </w:t>
      </w:r>
      <w:r>
        <w:rPr>
          <w:color w:val="231F20"/>
        </w:rPr>
        <w:t>critical</w:t>
      </w:r>
      <w:r>
        <w:rPr>
          <w:color w:val="231F20"/>
          <w:spacing w:val="-9"/>
        </w:rPr>
        <w:t xml:space="preserve"> </w:t>
      </w:r>
      <w:r>
        <w:rPr>
          <w:color w:val="231F20"/>
        </w:rPr>
        <w:t>information</w:t>
      </w:r>
      <w:r>
        <w:rPr>
          <w:color w:val="231F20"/>
          <w:spacing w:val="-9"/>
        </w:rPr>
        <w:t xml:space="preserve"> </w:t>
      </w:r>
      <w:r>
        <w:rPr>
          <w:color w:val="231F20"/>
        </w:rPr>
        <w:t>as</w:t>
      </w:r>
      <w:r>
        <w:rPr>
          <w:color w:val="231F20"/>
          <w:spacing w:val="-8"/>
        </w:rPr>
        <w:t xml:space="preserve"> </w:t>
      </w:r>
      <w:r>
        <w:rPr>
          <w:color w:val="231F20"/>
        </w:rPr>
        <w:t>they</w:t>
      </w:r>
      <w:r>
        <w:rPr>
          <w:color w:val="231F20"/>
          <w:spacing w:val="-8"/>
        </w:rPr>
        <w:t xml:space="preserve"> </w:t>
      </w:r>
      <w:r>
        <w:rPr>
          <w:color w:val="231F20"/>
        </w:rPr>
        <w:t>would</w:t>
      </w:r>
      <w:r>
        <w:rPr>
          <w:color w:val="231F20"/>
          <w:spacing w:val="-9"/>
        </w:rPr>
        <w:t xml:space="preserve"> </w:t>
      </w:r>
      <w:r>
        <w:rPr>
          <w:color w:val="231F20"/>
        </w:rPr>
        <w:t>have</w:t>
      </w:r>
      <w:r>
        <w:rPr>
          <w:color w:val="231F20"/>
          <w:spacing w:val="-9"/>
        </w:rPr>
        <w:t xml:space="preserve"> </w:t>
      </w:r>
      <w:r>
        <w:rPr>
          <w:color w:val="231F20"/>
        </w:rPr>
        <w:t>at</w:t>
      </w:r>
      <w:r>
        <w:rPr>
          <w:color w:val="231F20"/>
          <w:spacing w:val="-8"/>
        </w:rPr>
        <w:t xml:space="preserve"> </w:t>
      </w:r>
      <w:r>
        <w:rPr>
          <w:color w:val="231F20"/>
        </w:rPr>
        <w:t>their</w:t>
      </w:r>
      <w:r>
        <w:rPr>
          <w:color w:val="231F20"/>
          <w:spacing w:val="-8"/>
        </w:rPr>
        <w:t xml:space="preserve"> </w:t>
      </w:r>
      <w:r>
        <w:rPr>
          <w:color w:val="231F20"/>
        </w:rPr>
        <w:t>station.</w:t>
      </w:r>
      <w:r>
        <w:rPr>
          <w:color w:val="231F20"/>
          <w:spacing w:val="-8"/>
        </w:rPr>
        <w:t xml:space="preserve"> </w:t>
      </w:r>
      <w:r>
        <w:rPr>
          <w:color w:val="231F20"/>
        </w:rPr>
        <w:t>MPUs</w:t>
      </w:r>
      <w:r>
        <w:rPr>
          <w:color w:val="231F20"/>
          <w:spacing w:val="-8"/>
        </w:rPr>
        <w:t xml:space="preserve"> </w:t>
      </w:r>
      <w:r>
        <w:rPr>
          <w:color w:val="231F20"/>
        </w:rPr>
        <w:t>provide</w:t>
      </w:r>
      <w:r>
        <w:rPr>
          <w:color w:val="231F20"/>
          <w:spacing w:val="-9"/>
        </w:rPr>
        <w:t xml:space="preserve"> </w:t>
      </w:r>
      <w:r>
        <w:rPr>
          <w:color w:val="231F20"/>
        </w:rPr>
        <w:t>a</w:t>
      </w:r>
      <w:r>
        <w:rPr>
          <w:color w:val="231F20"/>
          <w:spacing w:val="-9"/>
        </w:rPr>
        <w:t xml:space="preserve"> </w:t>
      </w:r>
      <w:r>
        <w:rPr>
          <w:color w:val="231F20"/>
        </w:rPr>
        <w:t>strong</w:t>
      </w:r>
      <w:r>
        <w:rPr>
          <w:color w:val="231F20"/>
          <w:spacing w:val="-9"/>
        </w:rPr>
        <w:t xml:space="preserve"> </w:t>
      </w:r>
      <w:r>
        <w:rPr>
          <w:color w:val="231F20"/>
        </w:rPr>
        <w:t>visual presence and reassurance to the community that Victoria Police is in attendance.</w:t>
      </w:r>
    </w:p>
    <w:p w14:paraId="044964EF" w14:textId="77777777" w:rsidR="00345EE3" w:rsidRDefault="00345EE3" w:rsidP="00345EE3">
      <w:pPr>
        <w:pStyle w:val="BodyText"/>
        <w:spacing w:before="117" w:line="242" w:lineRule="auto"/>
        <w:ind w:right="1581"/>
        <w:jc w:val="both"/>
      </w:pPr>
      <w:r>
        <w:rPr>
          <w:color w:val="231F20"/>
        </w:rPr>
        <w:t>Other</w:t>
      </w:r>
      <w:r>
        <w:rPr>
          <w:color w:val="231F20"/>
          <w:spacing w:val="-10"/>
        </w:rPr>
        <w:t xml:space="preserve"> </w:t>
      </w:r>
      <w:r>
        <w:rPr>
          <w:color w:val="231F20"/>
        </w:rPr>
        <w:t>enhancements</w:t>
      </w:r>
      <w:r>
        <w:rPr>
          <w:color w:val="231F20"/>
          <w:spacing w:val="-10"/>
        </w:rPr>
        <w:t xml:space="preserve"> </w:t>
      </w:r>
      <w:r>
        <w:rPr>
          <w:color w:val="231F20"/>
        </w:rPr>
        <w:t>in</w:t>
      </w:r>
      <w:r>
        <w:rPr>
          <w:color w:val="231F20"/>
          <w:spacing w:val="-11"/>
        </w:rPr>
        <w:t xml:space="preserve"> </w:t>
      </w:r>
      <w:r>
        <w:rPr>
          <w:color w:val="231F20"/>
        </w:rPr>
        <w:t>2021–22</w:t>
      </w:r>
      <w:r>
        <w:rPr>
          <w:color w:val="231F20"/>
          <w:spacing w:val="-11"/>
        </w:rPr>
        <w:t xml:space="preserve"> </w:t>
      </w:r>
      <w:r>
        <w:rPr>
          <w:color w:val="231F20"/>
        </w:rPr>
        <w:t>include</w:t>
      </w:r>
      <w:r>
        <w:rPr>
          <w:color w:val="231F20"/>
          <w:spacing w:val="-11"/>
        </w:rPr>
        <w:t xml:space="preserve"> </w:t>
      </w:r>
      <w:r>
        <w:rPr>
          <w:color w:val="231F20"/>
        </w:rPr>
        <w:t>the</w:t>
      </w:r>
      <w:r>
        <w:rPr>
          <w:color w:val="231F20"/>
          <w:spacing w:val="-11"/>
        </w:rPr>
        <w:t xml:space="preserve"> </w:t>
      </w:r>
      <w:r>
        <w:rPr>
          <w:color w:val="231F20"/>
        </w:rPr>
        <w:t>refurbishment</w:t>
      </w:r>
      <w:r>
        <w:rPr>
          <w:color w:val="231F20"/>
          <w:spacing w:val="-10"/>
        </w:rPr>
        <w:t xml:space="preserve"> </w:t>
      </w:r>
      <w:r>
        <w:rPr>
          <w:color w:val="231F20"/>
        </w:rPr>
        <w:t>of</w:t>
      </w:r>
      <w:r>
        <w:rPr>
          <w:color w:val="231F20"/>
          <w:spacing w:val="-10"/>
        </w:rPr>
        <w:t xml:space="preserve"> </w:t>
      </w:r>
      <w:r>
        <w:rPr>
          <w:color w:val="231F20"/>
        </w:rPr>
        <w:t>three</w:t>
      </w:r>
      <w:r>
        <w:rPr>
          <w:color w:val="231F20"/>
          <w:spacing w:val="-11"/>
        </w:rPr>
        <w:t xml:space="preserve"> </w:t>
      </w:r>
      <w:r>
        <w:rPr>
          <w:color w:val="231F20"/>
        </w:rPr>
        <w:t>regional</w:t>
      </w:r>
      <w:r>
        <w:rPr>
          <w:color w:val="231F20"/>
          <w:spacing w:val="-11"/>
        </w:rPr>
        <w:t xml:space="preserve"> </w:t>
      </w:r>
      <w:r>
        <w:rPr>
          <w:color w:val="231F20"/>
        </w:rPr>
        <w:t>Mobile</w:t>
      </w:r>
      <w:r>
        <w:rPr>
          <w:color w:val="231F20"/>
          <w:spacing w:val="-11"/>
        </w:rPr>
        <w:t xml:space="preserve"> </w:t>
      </w:r>
      <w:r>
        <w:rPr>
          <w:color w:val="231F20"/>
        </w:rPr>
        <w:t>Police Facilities into Events Units and the Victoria Police Mobile Command Trailer.</w:t>
      </w:r>
    </w:p>
    <w:p w14:paraId="0EB1DDB3" w14:textId="77777777" w:rsidR="00345EE3" w:rsidRDefault="00345EE3" w:rsidP="00345EE3">
      <w:pPr>
        <w:pStyle w:val="Heading5"/>
        <w:spacing w:before="173"/>
      </w:pPr>
      <w:r>
        <w:rPr>
          <w:color w:val="58595B"/>
        </w:rPr>
        <w:t>In-Vehicle</w:t>
      </w:r>
      <w:r>
        <w:rPr>
          <w:color w:val="58595B"/>
          <w:spacing w:val="-14"/>
        </w:rPr>
        <w:t xml:space="preserve"> </w:t>
      </w:r>
      <w:r>
        <w:rPr>
          <w:color w:val="58595B"/>
        </w:rPr>
        <w:t>Data</w:t>
      </w:r>
      <w:r>
        <w:rPr>
          <w:color w:val="58595B"/>
          <w:spacing w:val="-12"/>
        </w:rPr>
        <w:t xml:space="preserve"> </w:t>
      </w:r>
      <w:r>
        <w:rPr>
          <w:color w:val="58595B"/>
          <w:spacing w:val="-2"/>
        </w:rPr>
        <w:t>Recorders</w:t>
      </w:r>
    </w:p>
    <w:p w14:paraId="5892CA55" w14:textId="77777777" w:rsidR="00345EE3" w:rsidRDefault="00345EE3" w:rsidP="00345EE3">
      <w:pPr>
        <w:pStyle w:val="BodyText"/>
        <w:spacing w:before="4" w:line="242" w:lineRule="auto"/>
        <w:ind w:right="921"/>
      </w:pPr>
      <w:r>
        <w:rPr>
          <w:color w:val="231F20"/>
        </w:rPr>
        <w:t>The In-Vehicle Data Recorders (IVDRs) pilot commenced in 2021–22. The rollout of IVDRs is underway</w:t>
      </w:r>
      <w:r>
        <w:rPr>
          <w:color w:val="231F20"/>
          <w:spacing w:val="-8"/>
        </w:rPr>
        <w:t xml:space="preserve"> </w:t>
      </w:r>
      <w:r>
        <w:rPr>
          <w:color w:val="231F20"/>
        </w:rPr>
        <w:t>with</w:t>
      </w:r>
      <w:r>
        <w:rPr>
          <w:color w:val="231F20"/>
          <w:spacing w:val="-9"/>
        </w:rPr>
        <w:t xml:space="preserve"> </w:t>
      </w:r>
      <w:r>
        <w:rPr>
          <w:color w:val="231F20"/>
        </w:rPr>
        <w:t>improved</w:t>
      </w:r>
      <w:r>
        <w:rPr>
          <w:color w:val="231F20"/>
          <w:spacing w:val="-9"/>
        </w:rPr>
        <w:t xml:space="preserve"> </w:t>
      </w:r>
      <w:r>
        <w:rPr>
          <w:color w:val="231F20"/>
        </w:rPr>
        <w:t>vehicle</w:t>
      </w:r>
      <w:r>
        <w:rPr>
          <w:color w:val="231F20"/>
          <w:spacing w:val="-9"/>
        </w:rPr>
        <w:t xml:space="preserve"> </w:t>
      </w:r>
      <w:r>
        <w:rPr>
          <w:color w:val="231F20"/>
        </w:rPr>
        <w:t>safety</w:t>
      </w:r>
      <w:r>
        <w:rPr>
          <w:color w:val="231F20"/>
          <w:spacing w:val="-8"/>
        </w:rPr>
        <w:t xml:space="preserve"> </w:t>
      </w:r>
      <w:r>
        <w:rPr>
          <w:color w:val="231F20"/>
        </w:rPr>
        <w:t>capabilities.</w:t>
      </w:r>
      <w:r>
        <w:rPr>
          <w:color w:val="231F20"/>
          <w:spacing w:val="-8"/>
        </w:rPr>
        <w:t xml:space="preserve"> </w:t>
      </w:r>
      <w:r>
        <w:rPr>
          <w:color w:val="231F20"/>
        </w:rPr>
        <w:t>The</w:t>
      </w:r>
      <w:r>
        <w:rPr>
          <w:color w:val="231F20"/>
          <w:spacing w:val="-9"/>
        </w:rPr>
        <w:t xml:space="preserve"> </w:t>
      </w:r>
      <w:r>
        <w:rPr>
          <w:color w:val="231F20"/>
        </w:rPr>
        <w:t>introduction</w:t>
      </w:r>
      <w:r>
        <w:rPr>
          <w:color w:val="231F20"/>
          <w:spacing w:val="-9"/>
        </w:rPr>
        <w:t xml:space="preserve"> </w:t>
      </w:r>
      <w:r>
        <w:rPr>
          <w:color w:val="231F20"/>
        </w:rPr>
        <w:t>of</w:t>
      </w:r>
      <w:r>
        <w:rPr>
          <w:color w:val="231F20"/>
          <w:spacing w:val="-8"/>
        </w:rPr>
        <w:t xml:space="preserve"> </w:t>
      </w:r>
      <w:r>
        <w:rPr>
          <w:color w:val="231F20"/>
        </w:rPr>
        <w:t>IVDRs</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fleet</w:t>
      </w:r>
      <w:r>
        <w:rPr>
          <w:color w:val="231F20"/>
          <w:spacing w:val="-8"/>
        </w:rPr>
        <w:t xml:space="preserve"> </w:t>
      </w:r>
      <w:r>
        <w:rPr>
          <w:color w:val="231F20"/>
        </w:rPr>
        <w:t>further integrates safety into vehicles, providing the technical capability to capture, track and report on the real-time movements and performance of police vehicles, including speed, location, route taken and when lights and sirens are activated.</w:t>
      </w:r>
    </w:p>
    <w:p w14:paraId="12690276" w14:textId="77777777" w:rsidR="00345EE3" w:rsidRDefault="00345EE3" w:rsidP="00345EE3">
      <w:pPr>
        <w:pStyle w:val="BodyText"/>
        <w:spacing w:before="120" w:line="242" w:lineRule="auto"/>
        <w:ind w:right="921"/>
      </w:pPr>
      <w:r>
        <w:rPr>
          <w:color w:val="231F20"/>
        </w:rPr>
        <w:t>IVDR data increase safety measures by supporting urgent duty driving/pursuit management, offering</w:t>
      </w:r>
      <w:r>
        <w:rPr>
          <w:color w:val="231F20"/>
          <w:spacing w:val="-11"/>
        </w:rPr>
        <w:t xml:space="preserve"> </w:t>
      </w:r>
      <w:r>
        <w:rPr>
          <w:color w:val="231F20"/>
        </w:rPr>
        <w:t>debriefing</w:t>
      </w:r>
      <w:r>
        <w:rPr>
          <w:color w:val="231F20"/>
          <w:spacing w:val="-11"/>
        </w:rPr>
        <w:t xml:space="preserve"> </w:t>
      </w:r>
      <w:r>
        <w:rPr>
          <w:color w:val="231F20"/>
        </w:rPr>
        <w:t>and</w:t>
      </w:r>
      <w:r>
        <w:rPr>
          <w:color w:val="231F20"/>
          <w:spacing w:val="-11"/>
        </w:rPr>
        <w:t xml:space="preserve"> </w:t>
      </w:r>
      <w:r>
        <w:rPr>
          <w:color w:val="231F20"/>
        </w:rPr>
        <w:t>driver</w:t>
      </w:r>
      <w:r>
        <w:rPr>
          <w:color w:val="231F20"/>
          <w:spacing w:val="-10"/>
        </w:rPr>
        <w:t xml:space="preserve"> </w:t>
      </w:r>
      <w:r>
        <w:rPr>
          <w:color w:val="231F20"/>
        </w:rPr>
        <w:t>learning</w:t>
      </w:r>
      <w:r>
        <w:rPr>
          <w:color w:val="231F20"/>
          <w:spacing w:val="-11"/>
        </w:rPr>
        <w:t xml:space="preserve"> </w:t>
      </w:r>
      <w:r>
        <w:rPr>
          <w:color w:val="231F20"/>
        </w:rPr>
        <w:t>opportunities,</w:t>
      </w:r>
      <w:r>
        <w:rPr>
          <w:color w:val="231F20"/>
          <w:spacing w:val="-10"/>
        </w:rPr>
        <w:t xml:space="preserve"> </w:t>
      </w:r>
      <w:r>
        <w:rPr>
          <w:color w:val="231F20"/>
        </w:rPr>
        <w:t>providing</w:t>
      </w:r>
      <w:r>
        <w:rPr>
          <w:color w:val="231F20"/>
          <w:spacing w:val="-11"/>
        </w:rPr>
        <w:t xml:space="preserve"> </w:t>
      </w:r>
      <w:r>
        <w:rPr>
          <w:color w:val="231F20"/>
        </w:rPr>
        <w:t>operational</w:t>
      </w:r>
      <w:r>
        <w:rPr>
          <w:color w:val="231F20"/>
          <w:spacing w:val="-11"/>
        </w:rPr>
        <w:t xml:space="preserve"> </w:t>
      </w:r>
      <w:r>
        <w:rPr>
          <w:color w:val="231F20"/>
        </w:rPr>
        <w:t>support</w:t>
      </w:r>
      <w:r>
        <w:rPr>
          <w:color w:val="231F20"/>
          <w:spacing w:val="-10"/>
        </w:rPr>
        <w:t xml:space="preserve"> </w:t>
      </w:r>
      <w:r>
        <w:rPr>
          <w:color w:val="231F20"/>
        </w:rPr>
        <w:t>for</w:t>
      </w:r>
      <w:r>
        <w:rPr>
          <w:color w:val="231F20"/>
          <w:spacing w:val="-10"/>
        </w:rPr>
        <w:t xml:space="preserve"> </w:t>
      </w:r>
      <w:r>
        <w:rPr>
          <w:color w:val="231F20"/>
        </w:rPr>
        <w:t>specialist units and improving Victoria Police’s vehicle fleet management. The pilot will continue until November 2022.</w:t>
      </w:r>
    </w:p>
    <w:p w14:paraId="61902BB4" w14:textId="77777777" w:rsidR="00345EE3" w:rsidRDefault="00345EE3" w:rsidP="00345EE3">
      <w:pPr>
        <w:pStyle w:val="Heading5"/>
        <w:spacing w:before="175"/>
      </w:pPr>
      <w:r>
        <w:rPr>
          <w:color w:val="58595B"/>
        </w:rPr>
        <w:t xml:space="preserve">Police </w:t>
      </w:r>
      <w:r>
        <w:rPr>
          <w:color w:val="58595B"/>
          <w:spacing w:val="-2"/>
        </w:rPr>
        <w:t>Stations</w:t>
      </w:r>
    </w:p>
    <w:p w14:paraId="72E97320" w14:textId="77777777" w:rsidR="00345EE3" w:rsidRDefault="00345EE3" w:rsidP="00345EE3">
      <w:pPr>
        <w:pStyle w:val="BodyText"/>
        <w:spacing w:before="4" w:line="242" w:lineRule="auto"/>
        <w:ind w:right="921"/>
      </w:pPr>
      <w:r>
        <w:rPr>
          <w:color w:val="231F20"/>
        </w:rPr>
        <w:t>Victoria</w:t>
      </w:r>
      <w:r>
        <w:rPr>
          <w:color w:val="231F20"/>
          <w:spacing w:val="-3"/>
        </w:rPr>
        <w:t xml:space="preserve"> </w:t>
      </w:r>
      <w:r>
        <w:rPr>
          <w:color w:val="231F20"/>
        </w:rPr>
        <w:t>Police</w:t>
      </w:r>
      <w:r>
        <w:rPr>
          <w:color w:val="231F20"/>
          <w:spacing w:val="-3"/>
        </w:rPr>
        <w:t xml:space="preserve"> </w:t>
      </w:r>
      <w:r>
        <w:rPr>
          <w:color w:val="231F20"/>
        </w:rPr>
        <w:t>continued</w:t>
      </w:r>
      <w:r>
        <w:rPr>
          <w:color w:val="231F20"/>
          <w:spacing w:val="-3"/>
        </w:rPr>
        <w:t xml:space="preserve"> </w:t>
      </w:r>
      <w:r>
        <w:rPr>
          <w:color w:val="231F20"/>
        </w:rPr>
        <w:t>to</w:t>
      </w:r>
      <w:r>
        <w:rPr>
          <w:color w:val="231F20"/>
          <w:spacing w:val="-3"/>
        </w:rPr>
        <w:t xml:space="preserve"> </w:t>
      </w:r>
      <w:r>
        <w:rPr>
          <w:color w:val="231F20"/>
        </w:rPr>
        <w:t>modernise</w:t>
      </w:r>
      <w:r>
        <w:rPr>
          <w:color w:val="231F20"/>
          <w:spacing w:val="-3"/>
        </w:rPr>
        <w:t xml:space="preserve"> </w:t>
      </w:r>
      <w:r>
        <w:rPr>
          <w:color w:val="231F20"/>
        </w:rPr>
        <w:t>police</w:t>
      </w:r>
      <w:r>
        <w:rPr>
          <w:color w:val="231F20"/>
          <w:spacing w:val="-3"/>
        </w:rPr>
        <w:t xml:space="preserve"> </w:t>
      </w:r>
      <w:r>
        <w:rPr>
          <w:color w:val="231F20"/>
        </w:rPr>
        <w:t>facilities</w:t>
      </w:r>
      <w:r>
        <w:rPr>
          <w:color w:val="231F20"/>
          <w:spacing w:val="-2"/>
        </w:rPr>
        <w:t xml:space="preserve"> </w:t>
      </w:r>
      <w:r>
        <w:rPr>
          <w:color w:val="231F20"/>
        </w:rPr>
        <w:t>in</w:t>
      </w:r>
      <w:r>
        <w:rPr>
          <w:color w:val="231F20"/>
          <w:spacing w:val="-3"/>
        </w:rPr>
        <w:t xml:space="preserve"> </w:t>
      </w:r>
      <w:r>
        <w:rPr>
          <w:color w:val="231F20"/>
        </w:rPr>
        <w:t>2021–22.</w:t>
      </w:r>
      <w:r>
        <w:rPr>
          <w:color w:val="231F20"/>
          <w:spacing w:val="-2"/>
        </w:rPr>
        <w:t xml:space="preserve"> </w:t>
      </w:r>
      <w:r>
        <w:rPr>
          <w:color w:val="231F20"/>
        </w:rPr>
        <w:t>Upgrade</w:t>
      </w:r>
      <w:r>
        <w:rPr>
          <w:color w:val="231F20"/>
          <w:spacing w:val="-3"/>
        </w:rPr>
        <w:t xml:space="preserve"> </w:t>
      </w:r>
      <w:r>
        <w:rPr>
          <w:color w:val="231F20"/>
        </w:rPr>
        <w:t>works</w:t>
      </w:r>
      <w:r>
        <w:rPr>
          <w:color w:val="231F20"/>
          <w:spacing w:val="-2"/>
        </w:rPr>
        <w:t xml:space="preserve"> </w:t>
      </w:r>
      <w:r>
        <w:rPr>
          <w:color w:val="231F20"/>
        </w:rPr>
        <w:t>have</w:t>
      </w:r>
      <w:r>
        <w:rPr>
          <w:color w:val="231F20"/>
          <w:spacing w:val="-3"/>
        </w:rPr>
        <w:t xml:space="preserve"> </w:t>
      </w:r>
      <w:r>
        <w:rPr>
          <w:color w:val="231F20"/>
        </w:rPr>
        <w:t>been completed</w:t>
      </w:r>
      <w:r>
        <w:rPr>
          <w:color w:val="231F20"/>
          <w:spacing w:val="-8"/>
        </w:rPr>
        <w:t xml:space="preserve"> </w:t>
      </w:r>
      <w:r>
        <w:rPr>
          <w:color w:val="231F20"/>
        </w:rPr>
        <w:t>at</w:t>
      </w:r>
      <w:r>
        <w:rPr>
          <w:color w:val="231F20"/>
          <w:spacing w:val="-7"/>
        </w:rPr>
        <w:t xml:space="preserve"> </w:t>
      </w:r>
      <w:r>
        <w:rPr>
          <w:color w:val="231F20"/>
        </w:rPr>
        <w:t>various</w:t>
      </w:r>
      <w:r>
        <w:rPr>
          <w:color w:val="231F20"/>
          <w:spacing w:val="-7"/>
        </w:rPr>
        <w:t xml:space="preserve"> </w:t>
      </w:r>
      <w:r>
        <w:rPr>
          <w:color w:val="231F20"/>
        </w:rPr>
        <w:t>police</w:t>
      </w:r>
      <w:r>
        <w:rPr>
          <w:color w:val="231F20"/>
          <w:spacing w:val="-8"/>
        </w:rPr>
        <w:t xml:space="preserve"> </w:t>
      </w:r>
      <w:r>
        <w:rPr>
          <w:color w:val="231F20"/>
        </w:rPr>
        <w:t>stations</w:t>
      </w:r>
      <w:r>
        <w:rPr>
          <w:color w:val="231F20"/>
          <w:spacing w:val="-7"/>
        </w:rPr>
        <w:t xml:space="preserve"> </w:t>
      </w:r>
      <w:r>
        <w:rPr>
          <w:color w:val="231F20"/>
        </w:rPr>
        <w:t>to</w:t>
      </w:r>
      <w:r>
        <w:rPr>
          <w:color w:val="231F20"/>
          <w:spacing w:val="-8"/>
        </w:rPr>
        <w:t xml:space="preserve"> </w:t>
      </w:r>
      <w:r>
        <w:rPr>
          <w:color w:val="231F20"/>
        </w:rPr>
        <w:t>provide</w:t>
      </w:r>
      <w:r>
        <w:rPr>
          <w:color w:val="231F20"/>
          <w:spacing w:val="-8"/>
        </w:rPr>
        <w:t xml:space="preserve"> </w:t>
      </w:r>
      <w:r>
        <w:rPr>
          <w:color w:val="231F20"/>
        </w:rPr>
        <w:t>more</w:t>
      </w:r>
      <w:r>
        <w:rPr>
          <w:color w:val="231F20"/>
          <w:spacing w:val="-8"/>
        </w:rPr>
        <w:t xml:space="preserve"> </w:t>
      </w:r>
      <w:r>
        <w:rPr>
          <w:color w:val="231F20"/>
        </w:rPr>
        <w:t>efficient</w:t>
      </w:r>
      <w:r>
        <w:rPr>
          <w:color w:val="231F20"/>
          <w:spacing w:val="-7"/>
        </w:rPr>
        <w:t xml:space="preserve"> </w:t>
      </w:r>
      <w:r>
        <w:rPr>
          <w:color w:val="231F20"/>
        </w:rPr>
        <w:t>and</w:t>
      </w:r>
      <w:r>
        <w:rPr>
          <w:color w:val="231F20"/>
          <w:spacing w:val="-8"/>
        </w:rPr>
        <w:t xml:space="preserve"> </w:t>
      </w:r>
      <w:r>
        <w:rPr>
          <w:color w:val="231F20"/>
        </w:rPr>
        <w:t>effective</w:t>
      </w:r>
      <w:r>
        <w:rPr>
          <w:color w:val="231F20"/>
          <w:spacing w:val="-8"/>
        </w:rPr>
        <w:t xml:space="preserve"> </w:t>
      </w:r>
      <w:r>
        <w:rPr>
          <w:color w:val="231F20"/>
        </w:rPr>
        <w:t>policing</w:t>
      </w:r>
      <w:r>
        <w:rPr>
          <w:color w:val="231F20"/>
          <w:spacing w:val="-8"/>
        </w:rPr>
        <w:t xml:space="preserve"> </w:t>
      </w:r>
      <w:r>
        <w:rPr>
          <w:color w:val="231F20"/>
        </w:rPr>
        <w:t>services</w:t>
      </w:r>
      <w:r>
        <w:rPr>
          <w:color w:val="231F20"/>
          <w:spacing w:val="-7"/>
        </w:rPr>
        <w:t xml:space="preserve"> </w:t>
      </w:r>
      <w:r>
        <w:rPr>
          <w:color w:val="231F20"/>
        </w:rPr>
        <w:t>to the Victorian community.</w:t>
      </w:r>
    </w:p>
    <w:p w14:paraId="00F2918F" w14:textId="77777777" w:rsidR="00345EE3" w:rsidRDefault="00345EE3" w:rsidP="00345EE3">
      <w:pPr>
        <w:pStyle w:val="BodyText"/>
        <w:spacing w:before="118" w:line="242" w:lineRule="auto"/>
        <w:ind w:right="883"/>
      </w:pPr>
      <w:r>
        <w:rPr>
          <w:color w:val="231F20"/>
          <w:spacing w:val="-4"/>
        </w:rPr>
        <w:t>The</w:t>
      </w:r>
      <w:r>
        <w:rPr>
          <w:color w:val="231F20"/>
          <w:spacing w:val="-13"/>
        </w:rPr>
        <w:t xml:space="preserve"> </w:t>
      </w:r>
      <w:r>
        <w:rPr>
          <w:color w:val="231F20"/>
          <w:spacing w:val="-4"/>
        </w:rPr>
        <w:t>following</w:t>
      </w:r>
      <w:r>
        <w:rPr>
          <w:color w:val="231F20"/>
          <w:spacing w:val="-13"/>
        </w:rPr>
        <w:t xml:space="preserve"> </w:t>
      </w:r>
      <w:r>
        <w:rPr>
          <w:color w:val="231F20"/>
          <w:spacing w:val="-4"/>
        </w:rPr>
        <w:t>stations</w:t>
      </w:r>
      <w:r>
        <w:rPr>
          <w:color w:val="231F20"/>
          <w:spacing w:val="-12"/>
        </w:rPr>
        <w:t xml:space="preserve"> </w:t>
      </w:r>
      <w:r>
        <w:rPr>
          <w:color w:val="231F20"/>
          <w:spacing w:val="-4"/>
        </w:rPr>
        <w:t>were</w:t>
      </w:r>
      <w:r>
        <w:rPr>
          <w:color w:val="231F20"/>
          <w:spacing w:val="-13"/>
        </w:rPr>
        <w:t xml:space="preserve"> </w:t>
      </w:r>
      <w:r>
        <w:rPr>
          <w:color w:val="231F20"/>
          <w:spacing w:val="-4"/>
        </w:rPr>
        <w:t>upgraded</w:t>
      </w:r>
      <w:r>
        <w:rPr>
          <w:color w:val="231F20"/>
          <w:spacing w:val="-13"/>
        </w:rPr>
        <w:t xml:space="preserve"> </w:t>
      </w:r>
      <w:r>
        <w:rPr>
          <w:color w:val="231F20"/>
          <w:spacing w:val="-4"/>
        </w:rPr>
        <w:t>and</w:t>
      </w:r>
      <w:r>
        <w:rPr>
          <w:color w:val="231F20"/>
          <w:spacing w:val="-13"/>
        </w:rPr>
        <w:t xml:space="preserve"> </w:t>
      </w:r>
      <w:r>
        <w:rPr>
          <w:color w:val="231F20"/>
          <w:spacing w:val="-4"/>
        </w:rPr>
        <w:t>modernised</w:t>
      </w:r>
      <w:r>
        <w:rPr>
          <w:color w:val="231F20"/>
          <w:spacing w:val="-12"/>
        </w:rPr>
        <w:t xml:space="preserve"> </w:t>
      </w:r>
      <w:r>
        <w:rPr>
          <w:color w:val="231F20"/>
          <w:spacing w:val="-4"/>
        </w:rPr>
        <w:t>as</w:t>
      </w:r>
      <w:r>
        <w:rPr>
          <w:color w:val="231F20"/>
          <w:spacing w:val="-13"/>
        </w:rPr>
        <w:t xml:space="preserve"> </w:t>
      </w:r>
      <w:r>
        <w:rPr>
          <w:color w:val="231F20"/>
          <w:spacing w:val="-4"/>
        </w:rPr>
        <w:t>part</w:t>
      </w:r>
      <w:r>
        <w:rPr>
          <w:color w:val="231F20"/>
          <w:spacing w:val="-13"/>
        </w:rPr>
        <w:t xml:space="preserve"> </w:t>
      </w:r>
      <w:r>
        <w:rPr>
          <w:color w:val="231F20"/>
          <w:spacing w:val="-4"/>
        </w:rPr>
        <w:t>of</w:t>
      </w:r>
      <w:r>
        <w:rPr>
          <w:color w:val="231F20"/>
          <w:spacing w:val="-12"/>
        </w:rPr>
        <w:t xml:space="preserve"> </w:t>
      </w:r>
      <w:r>
        <w:rPr>
          <w:color w:val="231F20"/>
          <w:spacing w:val="-4"/>
        </w:rPr>
        <w:t>the</w:t>
      </w:r>
      <w:r>
        <w:rPr>
          <w:color w:val="231F20"/>
          <w:spacing w:val="-13"/>
        </w:rPr>
        <w:t xml:space="preserve"> </w:t>
      </w:r>
      <w:r>
        <w:rPr>
          <w:color w:val="231F20"/>
          <w:spacing w:val="-4"/>
        </w:rPr>
        <w:t>2729-100</w:t>
      </w:r>
      <w:r>
        <w:rPr>
          <w:color w:val="231F20"/>
          <w:spacing w:val="-13"/>
        </w:rPr>
        <w:t xml:space="preserve"> </w:t>
      </w:r>
      <w:r>
        <w:rPr>
          <w:color w:val="231F20"/>
          <w:spacing w:val="-4"/>
        </w:rPr>
        <w:t>Program,</w:t>
      </w:r>
      <w:r>
        <w:rPr>
          <w:color w:val="231F20"/>
          <w:spacing w:val="-12"/>
        </w:rPr>
        <w:t xml:space="preserve"> </w:t>
      </w:r>
      <w:r>
        <w:rPr>
          <w:color w:val="231F20"/>
          <w:spacing w:val="-4"/>
        </w:rPr>
        <w:t>Community Safety</w:t>
      </w:r>
      <w:r>
        <w:rPr>
          <w:color w:val="231F20"/>
          <w:spacing w:val="-11"/>
        </w:rPr>
        <w:t xml:space="preserve"> </w:t>
      </w:r>
      <w:r>
        <w:rPr>
          <w:color w:val="231F20"/>
          <w:spacing w:val="-4"/>
        </w:rPr>
        <w:t>Statement</w:t>
      </w:r>
      <w:r>
        <w:rPr>
          <w:color w:val="231F20"/>
          <w:spacing w:val="-11"/>
        </w:rPr>
        <w:t xml:space="preserve"> </w:t>
      </w:r>
      <w:r>
        <w:rPr>
          <w:color w:val="231F20"/>
          <w:spacing w:val="-4"/>
        </w:rPr>
        <w:t>initiative:</w:t>
      </w:r>
      <w:r>
        <w:rPr>
          <w:color w:val="231F20"/>
          <w:spacing w:val="-11"/>
        </w:rPr>
        <w:t xml:space="preserve"> </w:t>
      </w:r>
      <w:r>
        <w:rPr>
          <w:color w:val="231F20"/>
          <w:spacing w:val="-4"/>
        </w:rPr>
        <w:t>Broadmeadows,</w:t>
      </w:r>
      <w:r>
        <w:rPr>
          <w:color w:val="231F20"/>
          <w:spacing w:val="-11"/>
        </w:rPr>
        <w:t xml:space="preserve"> </w:t>
      </w:r>
      <w:r>
        <w:rPr>
          <w:color w:val="231F20"/>
          <w:spacing w:val="-4"/>
        </w:rPr>
        <w:t>Sunshine,</w:t>
      </w:r>
      <w:r>
        <w:rPr>
          <w:color w:val="231F20"/>
          <w:spacing w:val="-11"/>
        </w:rPr>
        <w:t xml:space="preserve"> </w:t>
      </w:r>
      <w:r>
        <w:rPr>
          <w:color w:val="231F20"/>
          <w:spacing w:val="-4"/>
        </w:rPr>
        <w:t>Footscray,</w:t>
      </w:r>
      <w:r>
        <w:rPr>
          <w:color w:val="231F20"/>
          <w:spacing w:val="-11"/>
        </w:rPr>
        <w:t xml:space="preserve"> </w:t>
      </w:r>
      <w:r>
        <w:rPr>
          <w:color w:val="231F20"/>
          <w:spacing w:val="-4"/>
        </w:rPr>
        <w:t>Road</w:t>
      </w:r>
      <w:r>
        <w:rPr>
          <w:color w:val="231F20"/>
          <w:spacing w:val="-11"/>
        </w:rPr>
        <w:t xml:space="preserve"> </w:t>
      </w:r>
      <w:r>
        <w:rPr>
          <w:color w:val="231F20"/>
          <w:spacing w:val="-4"/>
        </w:rPr>
        <w:t>Policing,</w:t>
      </w:r>
      <w:r>
        <w:rPr>
          <w:color w:val="231F20"/>
          <w:spacing w:val="-11"/>
        </w:rPr>
        <w:t xml:space="preserve"> </w:t>
      </w:r>
      <w:r>
        <w:rPr>
          <w:color w:val="231F20"/>
          <w:spacing w:val="-4"/>
        </w:rPr>
        <w:t xml:space="preserve">Wangaratta, </w:t>
      </w:r>
      <w:r>
        <w:rPr>
          <w:color w:val="231F20"/>
          <w:spacing w:val="-6"/>
        </w:rPr>
        <w:t xml:space="preserve">Benalla, Seymour, Sale, Preston, Wonthaggi, VPC Tower 2, Bacchus Marsh, Ballarat, Warrnambool, </w:t>
      </w:r>
      <w:r>
        <w:rPr>
          <w:color w:val="231F20"/>
        </w:rPr>
        <w:t>Colac,</w:t>
      </w:r>
      <w:r>
        <w:rPr>
          <w:color w:val="231F20"/>
          <w:spacing w:val="-4"/>
        </w:rPr>
        <w:t xml:space="preserve"> </w:t>
      </w:r>
      <w:r>
        <w:rPr>
          <w:color w:val="231F20"/>
        </w:rPr>
        <w:t>Bendigo</w:t>
      </w:r>
      <w:r>
        <w:rPr>
          <w:color w:val="231F20"/>
          <w:spacing w:val="-4"/>
        </w:rPr>
        <w:t xml:space="preserve"> </w:t>
      </w:r>
      <w:r>
        <w:rPr>
          <w:color w:val="231F20"/>
        </w:rPr>
        <w:t>and</w:t>
      </w:r>
      <w:r>
        <w:rPr>
          <w:color w:val="231F20"/>
          <w:spacing w:val="-4"/>
        </w:rPr>
        <w:t xml:space="preserve"> </w:t>
      </w:r>
      <w:r>
        <w:rPr>
          <w:color w:val="231F20"/>
        </w:rPr>
        <w:t>Geelong</w:t>
      </w:r>
      <w:r>
        <w:rPr>
          <w:color w:val="231F20"/>
          <w:spacing w:val="-4"/>
        </w:rPr>
        <w:t xml:space="preserve"> </w:t>
      </w:r>
      <w:r>
        <w:rPr>
          <w:color w:val="231F20"/>
        </w:rPr>
        <w:t>West.</w:t>
      </w:r>
    </w:p>
    <w:p w14:paraId="74C6C308" w14:textId="77777777" w:rsidR="00345EE3" w:rsidRDefault="00345EE3" w:rsidP="00345EE3">
      <w:pPr>
        <w:pStyle w:val="BodyText"/>
        <w:spacing w:before="118" w:line="242" w:lineRule="auto"/>
        <w:ind w:right="921"/>
      </w:pPr>
      <w:r>
        <w:rPr>
          <w:color w:val="231F20"/>
        </w:rPr>
        <w:t>Other</w:t>
      </w:r>
      <w:r>
        <w:rPr>
          <w:color w:val="231F20"/>
          <w:spacing w:val="-10"/>
        </w:rPr>
        <w:t xml:space="preserve"> </w:t>
      </w:r>
      <w:r>
        <w:rPr>
          <w:color w:val="231F20"/>
        </w:rPr>
        <w:t>significant</w:t>
      </w:r>
      <w:r>
        <w:rPr>
          <w:color w:val="231F20"/>
          <w:spacing w:val="-10"/>
        </w:rPr>
        <w:t xml:space="preserve"> </w:t>
      </w:r>
      <w:r>
        <w:rPr>
          <w:color w:val="231F20"/>
        </w:rPr>
        <w:t>milestone</w:t>
      </w:r>
      <w:r>
        <w:rPr>
          <w:color w:val="231F20"/>
          <w:spacing w:val="-11"/>
        </w:rPr>
        <w:t xml:space="preserve"> </w:t>
      </w:r>
      <w:r>
        <w:rPr>
          <w:color w:val="231F20"/>
        </w:rPr>
        <w:t>achievements</w:t>
      </w:r>
      <w:r>
        <w:rPr>
          <w:color w:val="231F20"/>
          <w:spacing w:val="-10"/>
        </w:rPr>
        <w:t xml:space="preserve"> </w:t>
      </w:r>
      <w:r>
        <w:rPr>
          <w:color w:val="231F20"/>
        </w:rPr>
        <w:t>to</w:t>
      </w:r>
      <w:r>
        <w:rPr>
          <w:color w:val="231F20"/>
          <w:spacing w:val="-11"/>
        </w:rPr>
        <w:t xml:space="preserve"> </w:t>
      </w:r>
      <w:r>
        <w:rPr>
          <w:color w:val="231F20"/>
        </w:rPr>
        <w:t>deliver</w:t>
      </w:r>
      <w:r>
        <w:rPr>
          <w:color w:val="231F20"/>
          <w:spacing w:val="-10"/>
        </w:rPr>
        <w:t xml:space="preserve"> </w:t>
      </w:r>
      <w:r>
        <w:rPr>
          <w:color w:val="231F20"/>
        </w:rPr>
        <w:t>new</w:t>
      </w:r>
      <w:r>
        <w:rPr>
          <w:color w:val="231F20"/>
          <w:spacing w:val="-11"/>
        </w:rPr>
        <w:t xml:space="preserve"> </w:t>
      </w:r>
      <w:r>
        <w:rPr>
          <w:color w:val="231F20"/>
        </w:rPr>
        <w:t>and</w:t>
      </w:r>
      <w:r>
        <w:rPr>
          <w:color w:val="231F20"/>
          <w:spacing w:val="-11"/>
        </w:rPr>
        <w:t xml:space="preserve"> </w:t>
      </w:r>
      <w:r>
        <w:rPr>
          <w:color w:val="231F20"/>
        </w:rPr>
        <w:t>modern</w:t>
      </w:r>
      <w:r>
        <w:rPr>
          <w:color w:val="231F20"/>
          <w:spacing w:val="-11"/>
        </w:rPr>
        <w:t xml:space="preserve"> </w:t>
      </w:r>
      <w:r>
        <w:rPr>
          <w:color w:val="231F20"/>
        </w:rPr>
        <w:t>police</w:t>
      </w:r>
      <w:r>
        <w:rPr>
          <w:color w:val="231F20"/>
          <w:spacing w:val="-11"/>
        </w:rPr>
        <w:t xml:space="preserve"> </w:t>
      </w:r>
      <w:r>
        <w:rPr>
          <w:color w:val="231F20"/>
        </w:rPr>
        <w:t>facilities</w:t>
      </w:r>
      <w:r>
        <w:rPr>
          <w:color w:val="231F20"/>
          <w:spacing w:val="-10"/>
        </w:rPr>
        <w:t xml:space="preserve"> </w:t>
      </w:r>
      <w:r>
        <w:rPr>
          <w:color w:val="231F20"/>
        </w:rPr>
        <w:t>for</w:t>
      </w:r>
      <w:r>
        <w:rPr>
          <w:color w:val="231F20"/>
          <w:spacing w:val="-10"/>
        </w:rPr>
        <w:t xml:space="preserve"> </w:t>
      </w:r>
      <w:r>
        <w:rPr>
          <w:color w:val="231F20"/>
        </w:rPr>
        <w:t>the community include the design completion for a modern police station at Benalla and land purchased for new police buildings in Clyde North and Clifton Hill (Yarra Police Precinct).</w:t>
      </w:r>
    </w:p>
    <w:p w14:paraId="083510EF" w14:textId="77777777" w:rsidR="00345EE3" w:rsidRDefault="00345EE3" w:rsidP="00345EE3">
      <w:pPr>
        <w:rPr>
          <w:b/>
          <w:bCs/>
          <w:color w:val="3D68AD"/>
          <w:spacing w:val="-2"/>
          <w:sz w:val="28"/>
          <w:szCs w:val="28"/>
        </w:rPr>
      </w:pPr>
      <w:r>
        <w:rPr>
          <w:color w:val="3D68AD"/>
          <w:spacing w:val="-2"/>
        </w:rPr>
        <w:br w:type="page"/>
      </w:r>
    </w:p>
    <w:p w14:paraId="76D7459C" w14:textId="77777777" w:rsidR="00345EE3" w:rsidRDefault="00345EE3" w:rsidP="002A27BA">
      <w:pPr>
        <w:pStyle w:val="Heading3"/>
      </w:pPr>
      <w:r>
        <w:t>Capability</w:t>
      </w:r>
    </w:p>
    <w:p w14:paraId="3B9678FE" w14:textId="77777777" w:rsidR="00345EE3" w:rsidRDefault="00345EE3" w:rsidP="00345EE3">
      <w:pPr>
        <w:pStyle w:val="BodyText"/>
        <w:spacing w:before="52" w:line="242" w:lineRule="auto"/>
        <w:ind w:right="848"/>
      </w:pPr>
      <w:r>
        <w:rPr>
          <w:color w:val="231F20"/>
        </w:rPr>
        <w:t>The</w:t>
      </w:r>
      <w:r>
        <w:rPr>
          <w:color w:val="231F20"/>
          <w:spacing w:val="-1"/>
        </w:rPr>
        <w:t xml:space="preserve"> </w:t>
      </w:r>
      <w:r>
        <w:rPr>
          <w:color w:val="231F20"/>
        </w:rPr>
        <w:t>Deputy Commissioner, Capability, has the</w:t>
      </w:r>
      <w:r>
        <w:rPr>
          <w:color w:val="231F20"/>
          <w:spacing w:val="-1"/>
        </w:rPr>
        <w:t xml:space="preserve"> </w:t>
      </w:r>
      <w:r>
        <w:rPr>
          <w:color w:val="231F20"/>
        </w:rPr>
        <w:t>overall</w:t>
      </w:r>
      <w:r>
        <w:rPr>
          <w:color w:val="231F20"/>
          <w:spacing w:val="-1"/>
        </w:rPr>
        <w:t xml:space="preserve"> </w:t>
      </w:r>
      <w:r>
        <w:rPr>
          <w:color w:val="231F20"/>
        </w:rPr>
        <w:t>responsibility and</w:t>
      </w:r>
      <w:r>
        <w:rPr>
          <w:color w:val="231F20"/>
          <w:spacing w:val="-1"/>
        </w:rPr>
        <w:t xml:space="preserve"> </w:t>
      </w:r>
      <w:r>
        <w:rPr>
          <w:color w:val="231F20"/>
        </w:rPr>
        <w:t>oversight of Capability Department; Media, Communications and Engagement Department (MCED); People Development Command</w:t>
      </w:r>
      <w:r>
        <w:rPr>
          <w:color w:val="231F20"/>
          <w:spacing w:val="-1"/>
        </w:rPr>
        <w:t xml:space="preserve"> </w:t>
      </w:r>
      <w:r>
        <w:rPr>
          <w:color w:val="231F20"/>
        </w:rPr>
        <w:t>(PDC); Professional</w:t>
      </w:r>
      <w:r>
        <w:rPr>
          <w:color w:val="231F20"/>
          <w:spacing w:val="-1"/>
        </w:rPr>
        <w:t xml:space="preserve"> </w:t>
      </w:r>
      <w:r>
        <w:rPr>
          <w:color w:val="231F20"/>
        </w:rPr>
        <w:t>Standards Command</w:t>
      </w:r>
      <w:r>
        <w:rPr>
          <w:color w:val="231F20"/>
          <w:spacing w:val="-1"/>
        </w:rPr>
        <w:t xml:space="preserve"> </w:t>
      </w:r>
      <w:r>
        <w:rPr>
          <w:color w:val="231F20"/>
        </w:rPr>
        <w:t>(PSC) and</w:t>
      </w:r>
      <w:r>
        <w:rPr>
          <w:color w:val="231F20"/>
          <w:spacing w:val="-1"/>
        </w:rPr>
        <w:t xml:space="preserve"> </w:t>
      </w:r>
      <w:r>
        <w:rPr>
          <w:color w:val="231F20"/>
        </w:rPr>
        <w:t>SDTC. Over the past 12 months, the portfolio has delivered multiple training courses to upskill police members including</w:t>
      </w:r>
      <w:r>
        <w:rPr>
          <w:color w:val="231F20"/>
          <w:spacing w:val="-5"/>
        </w:rPr>
        <w:t xml:space="preserve"> </w:t>
      </w:r>
      <w:r>
        <w:rPr>
          <w:color w:val="231F20"/>
        </w:rPr>
        <w:t>Aboriginal</w:t>
      </w:r>
      <w:r>
        <w:rPr>
          <w:color w:val="231F20"/>
          <w:spacing w:val="-5"/>
        </w:rPr>
        <w:t xml:space="preserve"> </w:t>
      </w:r>
      <w:r>
        <w:rPr>
          <w:color w:val="231F20"/>
        </w:rPr>
        <w:t>Cultural</w:t>
      </w:r>
      <w:r>
        <w:rPr>
          <w:color w:val="231F20"/>
          <w:spacing w:val="-5"/>
        </w:rPr>
        <w:t xml:space="preserve"> </w:t>
      </w:r>
      <w:r>
        <w:rPr>
          <w:color w:val="231F20"/>
        </w:rPr>
        <w:t>Awareness</w:t>
      </w:r>
      <w:r>
        <w:rPr>
          <w:color w:val="231F20"/>
          <w:spacing w:val="-5"/>
        </w:rPr>
        <w:t xml:space="preserve"> </w:t>
      </w:r>
      <w:r>
        <w:rPr>
          <w:color w:val="231F20"/>
        </w:rPr>
        <w:t>Training</w:t>
      </w:r>
      <w:r>
        <w:rPr>
          <w:color w:val="231F20"/>
          <w:spacing w:val="-5"/>
        </w:rPr>
        <w:t xml:space="preserve"> </w:t>
      </w:r>
      <w:r>
        <w:rPr>
          <w:color w:val="231F20"/>
        </w:rPr>
        <w:t>(ACAT),</w:t>
      </w:r>
      <w:r>
        <w:rPr>
          <w:color w:val="231F20"/>
          <w:spacing w:val="-5"/>
        </w:rPr>
        <w:t xml:space="preserve"> </w:t>
      </w:r>
      <w:r>
        <w:rPr>
          <w:color w:val="231F20"/>
        </w:rPr>
        <w:t>Mental</w:t>
      </w:r>
      <w:r>
        <w:rPr>
          <w:color w:val="231F20"/>
          <w:spacing w:val="-5"/>
        </w:rPr>
        <w:t xml:space="preserve"> </w:t>
      </w:r>
      <w:r>
        <w:rPr>
          <w:color w:val="231F20"/>
        </w:rPr>
        <w:t>Health</w:t>
      </w:r>
      <w:r>
        <w:rPr>
          <w:color w:val="231F20"/>
          <w:spacing w:val="-5"/>
        </w:rPr>
        <w:t xml:space="preserve"> </w:t>
      </w:r>
      <w:r>
        <w:rPr>
          <w:color w:val="231F20"/>
        </w:rPr>
        <w:t>Events</w:t>
      </w:r>
      <w:r>
        <w:rPr>
          <w:color w:val="231F20"/>
          <w:spacing w:val="-5"/>
        </w:rPr>
        <w:t xml:space="preserve"> </w:t>
      </w:r>
      <w:r>
        <w:rPr>
          <w:color w:val="231F20"/>
        </w:rPr>
        <w:t>Training</w:t>
      </w:r>
      <w:r>
        <w:rPr>
          <w:color w:val="231F20"/>
          <w:spacing w:val="-5"/>
        </w:rPr>
        <w:t xml:space="preserve"> </w:t>
      </w:r>
      <w:r>
        <w:rPr>
          <w:color w:val="231F20"/>
        </w:rPr>
        <w:t>and Remote Bail Justice Hearing training. Capability continues to undertake a range of projects, initiatives</w:t>
      </w:r>
      <w:r>
        <w:rPr>
          <w:color w:val="231F20"/>
          <w:spacing w:val="-17"/>
        </w:rPr>
        <w:t xml:space="preserve"> </w:t>
      </w:r>
      <w:r>
        <w:rPr>
          <w:color w:val="231F20"/>
        </w:rPr>
        <w:t>and</w:t>
      </w:r>
      <w:r>
        <w:rPr>
          <w:color w:val="231F20"/>
          <w:spacing w:val="-17"/>
        </w:rPr>
        <w:t xml:space="preserve"> </w:t>
      </w:r>
      <w:r>
        <w:rPr>
          <w:color w:val="231F20"/>
        </w:rPr>
        <w:t>programs</w:t>
      </w:r>
      <w:r>
        <w:rPr>
          <w:color w:val="231F20"/>
          <w:spacing w:val="-16"/>
        </w:rPr>
        <w:t xml:space="preserve"> </w:t>
      </w:r>
      <w:r>
        <w:rPr>
          <w:color w:val="231F20"/>
        </w:rPr>
        <w:t>to</w:t>
      </w:r>
      <w:r>
        <w:rPr>
          <w:color w:val="231F20"/>
          <w:spacing w:val="-17"/>
        </w:rPr>
        <w:t xml:space="preserve"> </w:t>
      </w:r>
      <w:r>
        <w:rPr>
          <w:color w:val="231F20"/>
        </w:rPr>
        <w:t>assist</w:t>
      </w:r>
      <w:r>
        <w:rPr>
          <w:color w:val="231F20"/>
          <w:spacing w:val="-17"/>
        </w:rPr>
        <w:t xml:space="preserve"> </w:t>
      </w:r>
      <w:r>
        <w:rPr>
          <w:color w:val="231F20"/>
        </w:rPr>
        <w:t>in</w:t>
      </w:r>
      <w:r>
        <w:rPr>
          <w:color w:val="231F20"/>
          <w:spacing w:val="-17"/>
        </w:rPr>
        <w:t xml:space="preserve"> </w:t>
      </w:r>
      <w:r>
        <w:rPr>
          <w:color w:val="231F20"/>
        </w:rPr>
        <w:t>transitioning</w:t>
      </w:r>
      <w:r>
        <w:rPr>
          <w:color w:val="231F20"/>
          <w:spacing w:val="-16"/>
        </w:rPr>
        <w:t xml:space="preserve"> </w:t>
      </w:r>
      <w:r>
        <w:rPr>
          <w:color w:val="231F20"/>
        </w:rPr>
        <w:t>to</w:t>
      </w:r>
      <w:r>
        <w:rPr>
          <w:color w:val="231F20"/>
          <w:spacing w:val="-17"/>
        </w:rPr>
        <w:t xml:space="preserve"> </w:t>
      </w:r>
      <w:r>
        <w:rPr>
          <w:color w:val="231F20"/>
        </w:rPr>
        <w:t>an</w:t>
      </w:r>
      <w:r>
        <w:rPr>
          <w:color w:val="231F20"/>
          <w:spacing w:val="-17"/>
        </w:rPr>
        <w:t xml:space="preserve"> </w:t>
      </w:r>
      <w:r>
        <w:rPr>
          <w:color w:val="231F20"/>
        </w:rPr>
        <w:t>improved</w:t>
      </w:r>
      <w:r>
        <w:rPr>
          <w:color w:val="231F20"/>
          <w:spacing w:val="-16"/>
        </w:rPr>
        <w:t xml:space="preserve"> </w:t>
      </w:r>
      <w:r>
        <w:rPr>
          <w:color w:val="231F20"/>
        </w:rPr>
        <w:t>service</w:t>
      </w:r>
      <w:r>
        <w:rPr>
          <w:color w:val="231F20"/>
          <w:spacing w:val="-17"/>
        </w:rPr>
        <w:t xml:space="preserve"> </w:t>
      </w:r>
      <w:r>
        <w:rPr>
          <w:color w:val="231F20"/>
        </w:rPr>
        <w:t>delivery</w:t>
      </w:r>
      <w:r>
        <w:rPr>
          <w:color w:val="231F20"/>
          <w:spacing w:val="-17"/>
        </w:rPr>
        <w:t xml:space="preserve"> </w:t>
      </w:r>
      <w:r>
        <w:rPr>
          <w:color w:val="231F20"/>
        </w:rPr>
        <w:t>model</w:t>
      </w:r>
      <w:r>
        <w:rPr>
          <w:color w:val="231F20"/>
          <w:spacing w:val="-16"/>
        </w:rPr>
        <w:t xml:space="preserve"> </w:t>
      </w:r>
      <w:r>
        <w:rPr>
          <w:color w:val="231F20"/>
        </w:rPr>
        <w:t>by</w:t>
      </w:r>
      <w:r>
        <w:rPr>
          <w:color w:val="231F20"/>
          <w:spacing w:val="-17"/>
        </w:rPr>
        <w:t xml:space="preserve"> </w:t>
      </w:r>
      <w:r>
        <w:rPr>
          <w:color w:val="231F20"/>
        </w:rPr>
        <w:t>2025. Victoria</w:t>
      </w:r>
      <w:r>
        <w:rPr>
          <w:color w:val="231F20"/>
          <w:spacing w:val="-8"/>
        </w:rPr>
        <w:t xml:space="preserve"> </w:t>
      </w:r>
      <w:r>
        <w:rPr>
          <w:color w:val="231F20"/>
        </w:rPr>
        <w:t>Police is focused on uplifting leadership capability, professionalism and performance which will be realised as part of the ILDF with development underway. Capability has continued to</w:t>
      </w:r>
      <w:r>
        <w:rPr>
          <w:color w:val="231F20"/>
          <w:spacing w:val="-8"/>
        </w:rPr>
        <w:t xml:space="preserve"> </w:t>
      </w:r>
      <w:r>
        <w:rPr>
          <w:color w:val="231F20"/>
        </w:rPr>
        <w:t>drive</w:t>
      </w:r>
      <w:r>
        <w:rPr>
          <w:color w:val="231F20"/>
          <w:spacing w:val="-8"/>
        </w:rPr>
        <w:t xml:space="preserve"> </w:t>
      </w:r>
      <w:r>
        <w:rPr>
          <w:color w:val="231F20"/>
        </w:rPr>
        <w:t>reform</w:t>
      </w:r>
      <w:r>
        <w:rPr>
          <w:color w:val="231F20"/>
          <w:spacing w:val="-7"/>
        </w:rPr>
        <w:t xml:space="preserve"> </w:t>
      </w:r>
      <w:r>
        <w:rPr>
          <w:color w:val="231F20"/>
        </w:rPr>
        <w:t>in</w:t>
      </w:r>
      <w:r>
        <w:rPr>
          <w:color w:val="231F20"/>
          <w:spacing w:val="-8"/>
        </w:rPr>
        <w:t xml:space="preserve"> </w:t>
      </w:r>
      <w:r>
        <w:rPr>
          <w:color w:val="231F20"/>
        </w:rPr>
        <w:t>policy</w:t>
      </w:r>
      <w:r>
        <w:rPr>
          <w:color w:val="231F20"/>
          <w:spacing w:val="-7"/>
        </w:rPr>
        <w:t xml:space="preserve"> </w:t>
      </w:r>
      <w:r>
        <w:rPr>
          <w:color w:val="231F20"/>
        </w:rPr>
        <w:t>and</w:t>
      </w:r>
      <w:r>
        <w:rPr>
          <w:color w:val="231F20"/>
          <w:spacing w:val="-8"/>
        </w:rPr>
        <w:t xml:space="preserve"> </w:t>
      </w:r>
      <w:r>
        <w:rPr>
          <w:color w:val="231F20"/>
        </w:rPr>
        <w:t>legislation</w:t>
      </w:r>
      <w:r>
        <w:rPr>
          <w:color w:val="231F20"/>
          <w:spacing w:val="-8"/>
        </w:rPr>
        <w:t xml:space="preserve"> </w:t>
      </w:r>
      <w:r>
        <w:rPr>
          <w:color w:val="231F20"/>
        </w:rPr>
        <w:t>and</w:t>
      </w:r>
      <w:r>
        <w:rPr>
          <w:color w:val="231F20"/>
          <w:spacing w:val="-8"/>
        </w:rPr>
        <w:t xml:space="preserve"> </w:t>
      </w:r>
      <w:r>
        <w:rPr>
          <w:color w:val="231F20"/>
        </w:rPr>
        <w:t>to</w:t>
      </w:r>
      <w:r>
        <w:rPr>
          <w:color w:val="231F20"/>
          <w:spacing w:val="-8"/>
        </w:rPr>
        <w:t xml:space="preserve"> </w:t>
      </w:r>
      <w:r>
        <w:rPr>
          <w:color w:val="231F20"/>
        </w:rPr>
        <w:t>build</w:t>
      </w:r>
      <w:r>
        <w:rPr>
          <w:color w:val="231F20"/>
          <w:spacing w:val="-8"/>
        </w:rPr>
        <w:t xml:space="preserve"> </w:t>
      </w:r>
      <w:r>
        <w:rPr>
          <w:color w:val="231F20"/>
        </w:rPr>
        <w:t>the</w:t>
      </w:r>
      <w:r>
        <w:rPr>
          <w:color w:val="231F20"/>
          <w:spacing w:val="-8"/>
        </w:rPr>
        <w:t xml:space="preserve"> </w:t>
      </w:r>
      <w:r>
        <w:rPr>
          <w:color w:val="231F20"/>
        </w:rPr>
        <w:t>relationship</w:t>
      </w:r>
      <w:r>
        <w:rPr>
          <w:color w:val="231F20"/>
          <w:spacing w:val="-8"/>
        </w:rPr>
        <w:t xml:space="preserve"> </w:t>
      </w:r>
      <w:r>
        <w:rPr>
          <w:color w:val="231F20"/>
        </w:rPr>
        <w:t>between</w:t>
      </w:r>
      <w:r>
        <w:rPr>
          <w:color w:val="231F20"/>
          <w:spacing w:val="-8"/>
        </w:rPr>
        <w:t xml:space="preserve"> </w:t>
      </w:r>
      <w:r>
        <w:rPr>
          <w:color w:val="231F20"/>
        </w:rPr>
        <w:t>police</w:t>
      </w:r>
      <w:r>
        <w:rPr>
          <w:color w:val="231F20"/>
          <w:spacing w:val="-8"/>
        </w:rPr>
        <w:t xml:space="preserve"> </w:t>
      </w:r>
      <w:r>
        <w:rPr>
          <w:color w:val="231F20"/>
        </w:rPr>
        <w:t>and</w:t>
      </w:r>
      <w:r>
        <w:rPr>
          <w:color w:val="231F20"/>
          <w:spacing w:val="-8"/>
        </w:rPr>
        <w:t xml:space="preserve"> </w:t>
      </w:r>
      <w:r>
        <w:rPr>
          <w:color w:val="231F20"/>
        </w:rPr>
        <w:t>youth</w:t>
      </w:r>
      <w:r>
        <w:rPr>
          <w:color w:val="231F20"/>
          <w:spacing w:val="-8"/>
        </w:rPr>
        <w:t xml:space="preserve"> </w:t>
      </w:r>
      <w:r>
        <w:rPr>
          <w:color w:val="231F20"/>
        </w:rPr>
        <w:t>via the Schools Engagement Model (SEM).</w:t>
      </w:r>
    </w:p>
    <w:p w14:paraId="16AC83EA" w14:textId="77777777" w:rsidR="00345EE3" w:rsidRDefault="00345EE3" w:rsidP="00345EE3">
      <w:pPr>
        <w:pStyle w:val="Heading5"/>
        <w:spacing w:before="185"/>
      </w:pPr>
      <w:r>
        <w:rPr>
          <w:color w:val="58595B"/>
        </w:rPr>
        <w:t>Remote</w:t>
      </w:r>
      <w:r>
        <w:rPr>
          <w:color w:val="58595B"/>
          <w:spacing w:val="-6"/>
        </w:rPr>
        <w:t xml:space="preserve"> </w:t>
      </w:r>
      <w:r>
        <w:rPr>
          <w:color w:val="58595B"/>
        </w:rPr>
        <w:t>Bail</w:t>
      </w:r>
      <w:r>
        <w:rPr>
          <w:color w:val="58595B"/>
          <w:spacing w:val="-6"/>
        </w:rPr>
        <w:t xml:space="preserve"> </w:t>
      </w:r>
      <w:r>
        <w:rPr>
          <w:color w:val="58595B"/>
        </w:rPr>
        <w:t>Justice</w:t>
      </w:r>
      <w:r>
        <w:rPr>
          <w:color w:val="58595B"/>
          <w:spacing w:val="-5"/>
        </w:rPr>
        <w:t xml:space="preserve"> </w:t>
      </w:r>
      <w:r>
        <w:rPr>
          <w:color w:val="58595B"/>
          <w:spacing w:val="-2"/>
        </w:rPr>
        <w:t>Hearings</w:t>
      </w:r>
    </w:p>
    <w:p w14:paraId="734D611A" w14:textId="77777777" w:rsidR="00345EE3" w:rsidRDefault="00345EE3" w:rsidP="00345EE3">
      <w:pPr>
        <w:pStyle w:val="BodyText"/>
        <w:spacing w:before="4" w:line="242" w:lineRule="auto"/>
        <w:ind w:right="921"/>
      </w:pPr>
      <w:r>
        <w:rPr>
          <w:color w:val="231F20"/>
        </w:rPr>
        <w:t>During 2021–22, Victoria Police collaborated with the DJCS, to roll out Audio-Visual Link (AVL) facilities</w:t>
      </w:r>
      <w:r>
        <w:rPr>
          <w:color w:val="231F20"/>
          <w:spacing w:val="-8"/>
        </w:rPr>
        <w:t xml:space="preserve"> </w:t>
      </w:r>
      <w:r>
        <w:rPr>
          <w:color w:val="231F20"/>
        </w:rPr>
        <w:t>to</w:t>
      </w:r>
      <w:r>
        <w:rPr>
          <w:color w:val="231F20"/>
          <w:spacing w:val="-9"/>
        </w:rPr>
        <w:t xml:space="preserve"> </w:t>
      </w:r>
      <w:r>
        <w:rPr>
          <w:color w:val="231F20"/>
        </w:rPr>
        <w:t>26</w:t>
      </w:r>
      <w:r>
        <w:rPr>
          <w:color w:val="231F20"/>
          <w:spacing w:val="-9"/>
        </w:rPr>
        <w:t xml:space="preserve"> </w:t>
      </w:r>
      <w:r>
        <w:rPr>
          <w:color w:val="231F20"/>
        </w:rPr>
        <w:t>police</w:t>
      </w:r>
      <w:r>
        <w:rPr>
          <w:color w:val="231F20"/>
          <w:spacing w:val="-9"/>
        </w:rPr>
        <w:t xml:space="preserve"> </w:t>
      </w:r>
      <w:r>
        <w:rPr>
          <w:color w:val="231F20"/>
        </w:rPr>
        <w:t>stations</w:t>
      </w:r>
      <w:r>
        <w:rPr>
          <w:color w:val="231F20"/>
          <w:spacing w:val="-8"/>
        </w:rPr>
        <w:t xml:space="preserve"> </w:t>
      </w:r>
      <w:r>
        <w:rPr>
          <w:color w:val="231F20"/>
        </w:rPr>
        <w:t>across</w:t>
      </w:r>
      <w:r>
        <w:rPr>
          <w:color w:val="231F20"/>
          <w:spacing w:val="-8"/>
        </w:rPr>
        <w:t xml:space="preserve"> </w:t>
      </w:r>
      <w:r>
        <w:rPr>
          <w:color w:val="231F20"/>
        </w:rPr>
        <w:t>the</w:t>
      </w:r>
      <w:r>
        <w:rPr>
          <w:color w:val="231F20"/>
          <w:spacing w:val="-9"/>
        </w:rPr>
        <w:t xml:space="preserve"> </w:t>
      </w:r>
      <w:r>
        <w:rPr>
          <w:color w:val="231F20"/>
        </w:rPr>
        <w:t>state</w:t>
      </w:r>
      <w:r>
        <w:rPr>
          <w:color w:val="231F20"/>
          <w:spacing w:val="-9"/>
        </w:rPr>
        <w:t xml:space="preserve"> </w:t>
      </w:r>
      <w:r>
        <w:rPr>
          <w:color w:val="231F20"/>
        </w:rPr>
        <w:t>to</w:t>
      </w:r>
      <w:r>
        <w:rPr>
          <w:color w:val="231F20"/>
          <w:spacing w:val="-9"/>
        </w:rPr>
        <w:t xml:space="preserve"> </w:t>
      </w:r>
      <w:r>
        <w:rPr>
          <w:color w:val="231F20"/>
        </w:rPr>
        <w:t>enhance</w:t>
      </w:r>
      <w:r>
        <w:rPr>
          <w:color w:val="231F20"/>
          <w:spacing w:val="-9"/>
        </w:rPr>
        <w:t xml:space="preserve"> </w:t>
      </w:r>
      <w:r>
        <w:rPr>
          <w:color w:val="231F20"/>
        </w:rPr>
        <w:t>the</w:t>
      </w:r>
      <w:r>
        <w:rPr>
          <w:color w:val="231F20"/>
          <w:spacing w:val="-9"/>
        </w:rPr>
        <w:t xml:space="preserve"> </w:t>
      </w:r>
      <w:r>
        <w:rPr>
          <w:color w:val="231F20"/>
        </w:rPr>
        <w:t>bail</w:t>
      </w:r>
      <w:r>
        <w:rPr>
          <w:color w:val="231F20"/>
          <w:spacing w:val="-9"/>
        </w:rPr>
        <w:t xml:space="preserve"> </w:t>
      </w:r>
      <w:r>
        <w:rPr>
          <w:color w:val="231F20"/>
        </w:rPr>
        <w:t>system.</w:t>
      </w:r>
      <w:r>
        <w:rPr>
          <w:color w:val="231F20"/>
          <w:spacing w:val="-8"/>
        </w:rPr>
        <w:t xml:space="preserve"> </w:t>
      </w:r>
      <w:r>
        <w:rPr>
          <w:color w:val="231F20"/>
        </w:rPr>
        <w:t>The</w:t>
      </w:r>
      <w:r>
        <w:rPr>
          <w:color w:val="231F20"/>
          <w:spacing w:val="-9"/>
        </w:rPr>
        <w:t xml:space="preserve"> </w:t>
      </w:r>
      <w:r>
        <w:rPr>
          <w:color w:val="231F20"/>
        </w:rPr>
        <w:t>infrastructure</w:t>
      </w:r>
      <w:r>
        <w:rPr>
          <w:color w:val="231F20"/>
          <w:spacing w:val="-9"/>
        </w:rPr>
        <w:t xml:space="preserve"> </w:t>
      </w:r>
      <w:r>
        <w:rPr>
          <w:color w:val="231F20"/>
        </w:rPr>
        <w:t>and technology modifications to the stations enable the conduct of remote Bail and Remand Court hearings</w:t>
      </w:r>
      <w:r>
        <w:rPr>
          <w:color w:val="231F20"/>
          <w:spacing w:val="-7"/>
        </w:rPr>
        <w:t xml:space="preserve"> </w:t>
      </w:r>
      <w:r>
        <w:rPr>
          <w:color w:val="231F20"/>
        </w:rPr>
        <w:t>via</w:t>
      </w:r>
      <w:r>
        <w:rPr>
          <w:color w:val="231F20"/>
          <w:spacing w:val="-8"/>
        </w:rPr>
        <w:t xml:space="preserve"> </w:t>
      </w:r>
      <w:r>
        <w:rPr>
          <w:color w:val="231F20"/>
        </w:rPr>
        <w:t>AVL.</w:t>
      </w:r>
      <w:r>
        <w:rPr>
          <w:color w:val="231F20"/>
          <w:spacing w:val="-7"/>
        </w:rPr>
        <w:t xml:space="preserve"> </w:t>
      </w:r>
      <w:r>
        <w:rPr>
          <w:color w:val="231F20"/>
        </w:rPr>
        <w:t>This</w:t>
      </w:r>
      <w:r>
        <w:rPr>
          <w:color w:val="231F20"/>
          <w:spacing w:val="-7"/>
        </w:rPr>
        <w:t xml:space="preserve"> </w:t>
      </w:r>
      <w:r>
        <w:rPr>
          <w:color w:val="231F20"/>
        </w:rPr>
        <w:t>includes</w:t>
      </w:r>
      <w:r>
        <w:rPr>
          <w:color w:val="231F20"/>
          <w:spacing w:val="-7"/>
        </w:rPr>
        <w:t xml:space="preserve"> </w:t>
      </w:r>
      <w:r>
        <w:rPr>
          <w:color w:val="231F20"/>
        </w:rPr>
        <w:t>affording</w:t>
      </w:r>
      <w:r>
        <w:rPr>
          <w:color w:val="231F20"/>
          <w:spacing w:val="-8"/>
        </w:rPr>
        <w:t xml:space="preserve"> </w:t>
      </w:r>
      <w:r>
        <w:rPr>
          <w:color w:val="231F20"/>
        </w:rPr>
        <w:t>bail</w:t>
      </w:r>
      <w:r>
        <w:rPr>
          <w:color w:val="231F20"/>
          <w:spacing w:val="-8"/>
        </w:rPr>
        <w:t xml:space="preserve"> </w:t>
      </w:r>
      <w:r>
        <w:rPr>
          <w:color w:val="231F20"/>
        </w:rPr>
        <w:t>justices</w:t>
      </w:r>
      <w:r>
        <w:rPr>
          <w:color w:val="231F20"/>
          <w:spacing w:val="-7"/>
        </w:rPr>
        <w:t xml:space="preserve"> </w:t>
      </w:r>
      <w:r>
        <w:rPr>
          <w:color w:val="231F20"/>
        </w:rPr>
        <w:t>the</w:t>
      </w:r>
      <w:r>
        <w:rPr>
          <w:color w:val="231F20"/>
          <w:spacing w:val="-8"/>
        </w:rPr>
        <w:t xml:space="preserve"> </w:t>
      </w:r>
      <w:r>
        <w:rPr>
          <w:color w:val="231F20"/>
        </w:rPr>
        <w:t>opportunity</w:t>
      </w:r>
      <w:r>
        <w:rPr>
          <w:color w:val="231F20"/>
          <w:spacing w:val="-7"/>
        </w:rPr>
        <w:t xml:space="preserve"> </w:t>
      </w:r>
      <w:r>
        <w:rPr>
          <w:color w:val="231F20"/>
        </w:rPr>
        <w:t>to</w:t>
      </w:r>
      <w:r>
        <w:rPr>
          <w:color w:val="231F20"/>
          <w:spacing w:val="-8"/>
        </w:rPr>
        <w:t xml:space="preserve"> </w:t>
      </w:r>
      <w:r>
        <w:rPr>
          <w:color w:val="231F20"/>
        </w:rPr>
        <w:t>connect</w:t>
      </w:r>
      <w:r>
        <w:rPr>
          <w:color w:val="231F20"/>
          <w:spacing w:val="-7"/>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remand application remotely, without having to physically attend the police station.</w:t>
      </w:r>
    </w:p>
    <w:p w14:paraId="7A930C04" w14:textId="77777777" w:rsidR="00345EE3" w:rsidRDefault="00345EE3" w:rsidP="00345EE3">
      <w:pPr>
        <w:pStyle w:val="BodyText"/>
        <w:spacing w:before="116" w:line="242" w:lineRule="auto"/>
        <w:ind w:right="1019"/>
      </w:pPr>
      <w:r>
        <w:rPr>
          <w:color w:val="231F20"/>
        </w:rPr>
        <w:t>The</w:t>
      </w:r>
      <w:r>
        <w:rPr>
          <w:color w:val="231F20"/>
          <w:spacing w:val="-3"/>
        </w:rPr>
        <w:t xml:space="preserve"> </w:t>
      </w:r>
      <w:r>
        <w:rPr>
          <w:color w:val="231F20"/>
        </w:rPr>
        <w:t>state-wide</w:t>
      </w:r>
      <w:r>
        <w:rPr>
          <w:color w:val="231F20"/>
          <w:spacing w:val="-3"/>
        </w:rPr>
        <w:t xml:space="preserve"> </w:t>
      </w:r>
      <w:r>
        <w:rPr>
          <w:color w:val="231F20"/>
        </w:rPr>
        <w:t>rollout</w:t>
      </w:r>
      <w:r>
        <w:rPr>
          <w:color w:val="231F20"/>
          <w:spacing w:val="-2"/>
        </w:rPr>
        <w:t xml:space="preserve"> </w:t>
      </w:r>
      <w:r>
        <w:rPr>
          <w:color w:val="231F20"/>
        </w:rPr>
        <w:t>has</w:t>
      </w:r>
      <w:r>
        <w:rPr>
          <w:color w:val="231F20"/>
          <w:spacing w:val="-2"/>
        </w:rPr>
        <w:t xml:space="preserve"> </w:t>
      </w:r>
      <w:r>
        <w:rPr>
          <w:color w:val="231F20"/>
        </w:rPr>
        <w:t>been</w:t>
      </w:r>
      <w:r>
        <w:rPr>
          <w:color w:val="231F20"/>
          <w:spacing w:val="-3"/>
        </w:rPr>
        <w:t xml:space="preserve"> </w:t>
      </w:r>
      <w:r>
        <w:rPr>
          <w:color w:val="231F20"/>
        </w:rPr>
        <w:t>supported</w:t>
      </w:r>
      <w:r>
        <w:rPr>
          <w:color w:val="231F20"/>
          <w:spacing w:val="-3"/>
        </w:rPr>
        <w:t xml:space="preserve"> </w:t>
      </w:r>
      <w:r>
        <w:rPr>
          <w:color w:val="231F20"/>
        </w:rPr>
        <w:t>by</w:t>
      </w:r>
      <w:r>
        <w:rPr>
          <w:color w:val="231F20"/>
          <w:spacing w:val="-2"/>
        </w:rPr>
        <w:t xml:space="preserve"> </w:t>
      </w:r>
      <w:r>
        <w:rPr>
          <w:color w:val="231F20"/>
        </w:rPr>
        <w:t>a</w:t>
      </w:r>
      <w:r>
        <w:rPr>
          <w:color w:val="231F20"/>
          <w:spacing w:val="-3"/>
        </w:rPr>
        <w:t xml:space="preserve"> </w:t>
      </w:r>
      <w:r>
        <w:rPr>
          <w:color w:val="231F20"/>
        </w:rPr>
        <w:t>new</w:t>
      </w:r>
      <w:r>
        <w:rPr>
          <w:color w:val="231F20"/>
          <w:spacing w:val="-3"/>
        </w:rPr>
        <w:t xml:space="preserve"> </w:t>
      </w:r>
      <w:r>
        <w:rPr>
          <w:color w:val="231F20"/>
        </w:rPr>
        <w:t>online</w:t>
      </w:r>
      <w:r>
        <w:rPr>
          <w:color w:val="231F20"/>
          <w:spacing w:val="-3"/>
        </w:rPr>
        <w:t xml:space="preserve"> </w:t>
      </w:r>
      <w:r>
        <w:rPr>
          <w:color w:val="231F20"/>
        </w:rPr>
        <w:t>training</w:t>
      </w:r>
      <w:r>
        <w:rPr>
          <w:color w:val="231F20"/>
          <w:spacing w:val="-3"/>
        </w:rPr>
        <w:t xml:space="preserve"> </w:t>
      </w:r>
      <w:r>
        <w:rPr>
          <w:color w:val="231F20"/>
        </w:rPr>
        <w:t>package</w:t>
      </w:r>
      <w:r>
        <w:rPr>
          <w:color w:val="231F20"/>
          <w:spacing w:val="-3"/>
        </w:rPr>
        <w:t xml:space="preserve"> </w:t>
      </w:r>
      <w:r>
        <w:rPr>
          <w:color w:val="231F20"/>
        </w:rPr>
        <w:t>for</w:t>
      </w:r>
      <w:r>
        <w:rPr>
          <w:color w:val="231F20"/>
          <w:spacing w:val="-2"/>
        </w:rPr>
        <w:t xml:space="preserve"> </w:t>
      </w:r>
      <w:r>
        <w:rPr>
          <w:color w:val="231F20"/>
        </w:rPr>
        <w:t>frontline</w:t>
      </w:r>
      <w:r>
        <w:rPr>
          <w:color w:val="231F20"/>
          <w:spacing w:val="-3"/>
        </w:rPr>
        <w:t xml:space="preserve"> </w:t>
      </w:r>
      <w:r>
        <w:rPr>
          <w:color w:val="231F20"/>
        </w:rPr>
        <w:t>Police officers on the process for conducting a remote bail justice hearing. Approximately 6,000 Police</w:t>
      </w:r>
      <w:r>
        <w:rPr>
          <w:color w:val="231F20"/>
          <w:spacing w:val="-12"/>
        </w:rPr>
        <w:t xml:space="preserve"> </w:t>
      </w:r>
      <w:r>
        <w:rPr>
          <w:color w:val="231F20"/>
        </w:rPr>
        <w:t>officers</w:t>
      </w:r>
      <w:r>
        <w:rPr>
          <w:color w:val="231F20"/>
          <w:spacing w:val="-11"/>
        </w:rPr>
        <w:t xml:space="preserve"> </w:t>
      </w:r>
      <w:r>
        <w:rPr>
          <w:color w:val="231F20"/>
        </w:rPr>
        <w:t>have</w:t>
      </w:r>
      <w:r>
        <w:rPr>
          <w:color w:val="231F20"/>
          <w:spacing w:val="-12"/>
        </w:rPr>
        <w:t xml:space="preserve"> </w:t>
      </w:r>
      <w:r>
        <w:rPr>
          <w:color w:val="231F20"/>
        </w:rPr>
        <w:t>completed</w:t>
      </w:r>
      <w:r>
        <w:rPr>
          <w:color w:val="231F20"/>
          <w:spacing w:val="-12"/>
        </w:rPr>
        <w:t xml:space="preserve"> </w:t>
      </w:r>
      <w:r>
        <w:rPr>
          <w:color w:val="231F20"/>
        </w:rPr>
        <w:t>the</w:t>
      </w:r>
      <w:r>
        <w:rPr>
          <w:color w:val="231F20"/>
          <w:spacing w:val="-12"/>
        </w:rPr>
        <w:t xml:space="preserve"> </w:t>
      </w:r>
      <w:r>
        <w:rPr>
          <w:color w:val="231F20"/>
        </w:rPr>
        <w:t>package</w:t>
      </w:r>
      <w:r>
        <w:rPr>
          <w:color w:val="231F20"/>
          <w:spacing w:val="-12"/>
        </w:rPr>
        <w:t xml:space="preserve"> </w:t>
      </w:r>
      <w:r>
        <w:rPr>
          <w:color w:val="231F20"/>
        </w:rPr>
        <w:t>since</w:t>
      </w:r>
      <w:r>
        <w:rPr>
          <w:color w:val="231F20"/>
          <w:spacing w:val="-12"/>
        </w:rPr>
        <w:t xml:space="preserve"> </w:t>
      </w:r>
      <w:r>
        <w:rPr>
          <w:color w:val="231F20"/>
        </w:rPr>
        <w:t>its</w:t>
      </w:r>
      <w:r>
        <w:rPr>
          <w:color w:val="231F20"/>
          <w:spacing w:val="-11"/>
        </w:rPr>
        <w:t xml:space="preserve"> </w:t>
      </w:r>
      <w:r>
        <w:rPr>
          <w:color w:val="231F20"/>
        </w:rPr>
        <w:t>launch</w:t>
      </w:r>
      <w:r>
        <w:rPr>
          <w:color w:val="231F20"/>
          <w:spacing w:val="-12"/>
        </w:rPr>
        <w:t xml:space="preserve"> </w:t>
      </w:r>
      <w:r>
        <w:rPr>
          <w:color w:val="231F20"/>
        </w:rPr>
        <w:t>in</w:t>
      </w:r>
      <w:r>
        <w:rPr>
          <w:color w:val="231F20"/>
          <w:spacing w:val="-12"/>
        </w:rPr>
        <w:t xml:space="preserve"> </w:t>
      </w:r>
      <w:r>
        <w:rPr>
          <w:color w:val="231F20"/>
        </w:rPr>
        <w:t>November</w:t>
      </w:r>
      <w:r>
        <w:rPr>
          <w:color w:val="231F20"/>
          <w:spacing w:val="-11"/>
        </w:rPr>
        <w:t xml:space="preserve"> </w:t>
      </w:r>
      <w:r>
        <w:rPr>
          <w:color w:val="231F20"/>
        </w:rPr>
        <w:t>2021.</w:t>
      </w:r>
      <w:r>
        <w:rPr>
          <w:color w:val="231F20"/>
          <w:spacing w:val="-11"/>
        </w:rPr>
        <w:t xml:space="preserve"> </w:t>
      </w:r>
      <w:r>
        <w:rPr>
          <w:color w:val="231F20"/>
        </w:rPr>
        <w:t>To</w:t>
      </w:r>
      <w:r>
        <w:rPr>
          <w:color w:val="231F20"/>
          <w:spacing w:val="-12"/>
        </w:rPr>
        <w:t xml:space="preserve"> </w:t>
      </w:r>
      <w:r>
        <w:rPr>
          <w:color w:val="231F20"/>
        </w:rPr>
        <w:t>complement this reform and to support frontline operational members, Victoria Police policies have been</w:t>
      </w:r>
    </w:p>
    <w:p w14:paraId="7640F31B" w14:textId="77777777" w:rsidR="00345EE3" w:rsidRDefault="00345EE3" w:rsidP="00345EE3">
      <w:pPr>
        <w:pStyle w:val="BodyText"/>
        <w:spacing w:before="5" w:line="242" w:lineRule="auto"/>
        <w:ind w:right="848"/>
      </w:pPr>
      <w:r>
        <w:rPr>
          <w:color w:val="231F20"/>
        </w:rPr>
        <w:t>amended</w:t>
      </w:r>
      <w:r>
        <w:rPr>
          <w:color w:val="231F20"/>
          <w:spacing w:val="-10"/>
        </w:rPr>
        <w:t xml:space="preserve"> </w:t>
      </w:r>
      <w:r>
        <w:rPr>
          <w:color w:val="231F20"/>
        </w:rPr>
        <w:t>and</w:t>
      </w:r>
      <w:r>
        <w:rPr>
          <w:color w:val="231F20"/>
          <w:spacing w:val="-10"/>
        </w:rPr>
        <w:t xml:space="preserve"> </w:t>
      </w:r>
      <w:r>
        <w:rPr>
          <w:color w:val="231F20"/>
        </w:rPr>
        <w:t>a</w:t>
      </w:r>
      <w:r>
        <w:rPr>
          <w:color w:val="231F20"/>
          <w:spacing w:val="-10"/>
        </w:rPr>
        <w:t xml:space="preserve"> </w:t>
      </w:r>
      <w:r>
        <w:rPr>
          <w:color w:val="231F20"/>
        </w:rPr>
        <w:t>new</w:t>
      </w:r>
      <w:r>
        <w:rPr>
          <w:color w:val="231F20"/>
          <w:spacing w:val="-10"/>
        </w:rPr>
        <w:t xml:space="preserve"> </w:t>
      </w:r>
      <w:r>
        <w:rPr>
          <w:color w:val="231F20"/>
        </w:rPr>
        <w:t>practice</w:t>
      </w:r>
      <w:r>
        <w:rPr>
          <w:color w:val="231F20"/>
          <w:spacing w:val="-10"/>
        </w:rPr>
        <w:t xml:space="preserve"> </w:t>
      </w:r>
      <w:r>
        <w:rPr>
          <w:color w:val="231F20"/>
        </w:rPr>
        <w:t>guide</w:t>
      </w:r>
      <w:r>
        <w:rPr>
          <w:color w:val="231F20"/>
          <w:spacing w:val="-10"/>
        </w:rPr>
        <w:t xml:space="preserve"> </w:t>
      </w:r>
      <w:r>
        <w:rPr>
          <w:color w:val="231F20"/>
        </w:rPr>
        <w:t>has</w:t>
      </w:r>
      <w:r>
        <w:rPr>
          <w:color w:val="231F20"/>
          <w:spacing w:val="-9"/>
        </w:rPr>
        <w:t xml:space="preserve"> </w:t>
      </w:r>
      <w:r>
        <w:rPr>
          <w:color w:val="231F20"/>
        </w:rPr>
        <w:t>been</w:t>
      </w:r>
      <w:r>
        <w:rPr>
          <w:color w:val="231F20"/>
          <w:spacing w:val="-10"/>
        </w:rPr>
        <w:t xml:space="preserve"> </w:t>
      </w:r>
      <w:r>
        <w:rPr>
          <w:color w:val="231F20"/>
        </w:rPr>
        <w:t>developed</w:t>
      </w:r>
      <w:r>
        <w:rPr>
          <w:color w:val="231F20"/>
          <w:spacing w:val="-10"/>
        </w:rPr>
        <w:t xml:space="preserve"> </w:t>
      </w:r>
      <w:r>
        <w:rPr>
          <w:color w:val="231F20"/>
        </w:rPr>
        <w:t>by</w:t>
      </w:r>
      <w:r>
        <w:rPr>
          <w:color w:val="231F20"/>
          <w:spacing w:val="-9"/>
        </w:rPr>
        <w:t xml:space="preserve"> </w:t>
      </w:r>
      <w:r>
        <w:rPr>
          <w:color w:val="231F20"/>
        </w:rPr>
        <w:t>LSD.</w:t>
      </w:r>
      <w:r>
        <w:rPr>
          <w:color w:val="231F20"/>
          <w:spacing w:val="-9"/>
        </w:rPr>
        <w:t xml:space="preserve"> </w:t>
      </w:r>
      <w:r>
        <w:rPr>
          <w:color w:val="231F20"/>
        </w:rPr>
        <w:t>These</w:t>
      </w:r>
      <w:r>
        <w:rPr>
          <w:color w:val="231F20"/>
          <w:spacing w:val="-10"/>
        </w:rPr>
        <w:t xml:space="preserve"> </w:t>
      </w:r>
      <w:r>
        <w:rPr>
          <w:color w:val="231F20"/>
        </w:rPr>
        <w:t>changes</w:t>
      </w:r>
      <w:r>
        <w:rPr>
          <w:color w:val="231F20"/>
          <w:spacing w:val="-9"/>
        </w:rPr>
        <w:t xml:space="preserve"> </w:t>
      </w:r>
      <w:r>
        <w:rPr>
          <w:color w:val="231F20"/>
        </w:rPr>
        <w:t>have</w:t>
      </w:r>
      <w:r>
        <w:rPr>
          <w:color w:val="231F20"/>
          <w:spacing w:val="-10"/>
        </w:rPr>
        <w:t xml:space="preserve"> </w:t>
      </w:r>
      <w:r>
        <w:rPr>
          <w:color w:val="231F20"/>
        </w:rPr>
        <w:t>increased availability of, and accessibility to, the bail justice cohort and has strengthened Victoria Police’s compliance</w:t>
      </w:r>
      <w:r>
        <w:rPr>
          <w:color w:val="231F20"/>
          <w:spacing w:val="-8"/>
        </w:rPr>
        <w:t xml:space="preserve"> </w:t>
      </w:r>
      <w:r>
        <w:rPr>
          <w:color w:val="231F20"/>
        </w:rPr>
        <w:t>with</w:t>
      </w:r>
      <w:r>
        <w:rPr>
          <w:color w:val="231F20"/>
          <w:spacing w:val="-8"/>
        </w:rPr>
        <w:t xml:space="preserve"> </w:t>
      </w:r>
      <w:r>
        <w:rPr>
          <w:color w:val="231F20"/>
        </w:rPr>
        <w:t>legislation,</w:t>
      </w:r>
      <w:r>
        <w:rPr>
          <w:color w:val="231F20"/>
          <w:spacing w:val="-8"/>
        </w:rPr>
        <w:t xml:space="preserve"> </w:t>
      </w:r>
      <w:r>
        <w:rPr>
          <w:color w:val="231F20"/>
        </w:rPr>
        <w:t>particularly</w:t>
      </w:r>
      <w:r>
        <w:rPr>
          <w:color w:val="231F20"/>
          <w:spacing w:val="-8"/>
        </w:rPr>
        <w:t xml:space="preserve"> </w:t>
      </w:r>
      <w:r>
        <w:rPr>
          <w:color w:val="231F20"/>
        </w:rPr>
        <w:t>the</w:t>
      </w:r>
      <w:r>
        <w:rPr>
          <w:color w:val="231F20"/>
          <w:spacing w:val="-8"/>
        </w:rPr>
        <w:t xml:space="preserve"> </w:t>
      </w:r>
      <w:r>
        <w:rPr>
          <w:i/>
          <w:color w:val="231F20"/>
        </w:rPr>
        <w:t>Charter</w:t>
      </w:r>
      <w:r>
        <w:rPr>
          <w:i/>
          <w:color w:val="231F20"/>
          <w:spacing w:val="-16"/>
        </w:rPr>
        <w:t xml:space="preserve"> </w:t>
      </w:r>
      <w:r>
        <w:rPr>
          <w:i/>
          <w:color w:val="231F20"/>
        </w:rPr>
        <w:t>of</w:t>
      </w:r>
      <w:r>
        <w:rPr>
          <w:i/>
          <w:color w:val="231F20"/>
          <w:spacing w:val="-16"/>
        </w:rPr>
        <w:t xml:space="preserve"> </w:t>
      </w:r>
      <w:r>
        <w:rPr>
          <w:i/>
          <w:color w:val="231F20"/>
        </w:rPr>
        <w:t>Human</w:t>
      </w:r>
      <w:r>
        <w:rPr>
          <w:i/>
          <w:color w:val="231F20"/>
          <w:spacing w:val="-16"/>
        </w:rPr>
        <w:t xml:space="preserve"> </w:t>
      </w:r>
      <w:r>
        <w:rPr>
          <w:i/>
          <w:color w:val="231F20"/>
        </w:rPr>
        <w:t>Rights</w:t>
      </w:r>
      <w:r>
        <w:rPr>
          <w:i/>
          <w:color w:val="231F20"/>
          <w:spacing w:val="-16"/>
        </w:rPr>
        <w:t xml:space="preserve"> </w:t>
      </w:r>
      <w:r>
        <w:rPr>
          <w:i/>
          <w:color w:val="231F20"/>
        </w:rPr>
        <w:t>and</w:t>
      </w:r>
      <w:r>
        <w:rPr>
          <w:i/>
          <w:color w:val="231F20"/>
          <w:spacing w:val="-16"/>
        </w:rPr>
        <w:t xml:space="preserve"> </w:t>
      </w:r>
      <w:r>
        <w:rPr>
          <w:i/>
          <w:color w:val="231F20"/>
        </w:rPr>
        <w:t>Responsibilities</w:t>
      </w:r>
      <w:r>
        <w:rPr>
          <w:i/>
          <w:color w:val="231F20"/>
          <w:spacing w:val="-16"/>
        </w:rPr>
        <w:t xml:space="preserve"> </w:t>
      </w:r>
      <w:r>
        <w:rPr>
          <w:i/>
          <w:color w:val="231F20"/>
        </w:rPr>
        <w:t xml:space="preserve">Act </w:t>
      </w:r>
      <w:r>
        <w:rPr>
          <w:color w:val="231F20"/>
        </w:rPr>
        <w:t>2006. Remote hearings have markedly reduced the unavailability of bail justices, ensuring access is more timely, especially in rural and remote locations.</w:t>
      </w:r>
    </w:p>
    <w:p w14:paraId="34BB442D" w14:textId="77777777" w:rsidR="00345EE3" w:rsidRDefault="00345EE3" w:rsidP="00345EE3">
      <w:pPr>
        <w:pStyle w:val="Heading5"/>
        <w:spacing w:before="177"/>
      </w:pPr>
      <w:r>
        <w:rPr>
          <w:color w:val="58595B"/>
        </w:rPr>
        <w:t xml:space="preserve">Schools Engagement </w:t>
      </w:r>
      <w:r>
        <w:rPr>
          <w:color w:val="58595B"/>
          <w:spacing w:val="-2"/>
        </w:rPr>
        <w:t>Model</w:t>
      </w:r>
    </w:p>
    <w:p w14:paraId="0F334572" w14:textId="77777777" w:rsidR="00345EE3" w:rsidRDefault="00345EE3" w:rsidP="00345EE3">
      <w:pPr>
        <w:pStyle w:val="BodyText"/>
        <w:spacing w:before="4" w:line="242" w:lineRule="auto"/>
        <w:ind w:right="921"/>
      </w:pPr>
      <w:r>
        <w:rPr>
          <w:color w:val="231F20"/>
        </w:rPr>
        <w:t>On 10 December 2021, Victoria Police released new guidance to support positive engagement between police and schools. The SEM aims to ensure that engagement is planned, purposeful and meets the needs of schools, police and the local community. The SEM also reaffirms Victoria</w:t>
      </w:r>
      <w:r>
        <w:rPr>
          <w:color w:val="231F20"/>
          <w:spacing w:val="-10"/>
        </w:rPr>
        <w:t xml:space="preserve"> </w:t>
      </w:r>
      <w:r>
        <w:rPr>
          <w:color w:val="231F20"/>
        </w:rPr>
        <w:t>Police’s</w:t>
      </w:r>
      <w:r>
        <w:rPr>
          <w:color w:val="231F20"/>
          <w:spacing w:val="-9"/>
        </w:rPr>
        <w:t xml:space="preserve"> </w:t>
      </w:r>
      <w:r>
        <w:rPr>
          <w:color w:val="231F20"/>
        </w:rPr>
        <w:t>commitment</w:t>
      </w:r>
      <w:r>
        <w:rPr>
          <w:color w:val="231F20"/>
          <w:spacing w:val="-9"/>
        </w:rPr>
        <w:t xml:space="preserve"> </w:t>
      </w:r>
      <w:r>
        <w:rPr>
          <w:color w:val="231F20"/>
        </w:rPr>
        <w:t>to</w:t>
      </w:r>
      <w:r>
        <w:rPr>
          <w:color w:val="231F20"/>
          <w:spacing w:val="-10"/>
        </w:rPr>
        <w:t xml:space="preserve"> </w:t>
      </w:r>
      <w:r>
        <w:rPr>
          <w:color w:val="231F20"/>
        </w:rPr>
        <w:t>supporting</w:t>
      </w:r>
      <w:r>
        <w:rPr>
          <w:color w:val="231F20"/>
          <w:spacing w:val="-10"/>
        </w:rPr>
        <w:t xml:space="preserve"> </w:t>
      </w:r>
      <w:r>
        <w:rPr>
          <w:color w:val="231F20"/>
        </w:rPr>
        <w:t>schools</w:t>
      </w:r>
      <w:r>
        <w:rPr>
          <w:color w:val="231F20"/>
          <w:spacing w:val="-9"/>
        </w:rPr>
        <w:t xml:space="preserve"> </w:t>
      </w:r>
      <w:r>
        <w:rPr>
          <w:color w:val="231F20"/>
        </w:rPr>
        <w:t>to</w:t>
      </w:r>
      <w:r>
        <w:rPr>
          <w:color w:val="231F20"/>
          <w:spacing w:val="-10"/>
        </w:rPr>
        <w:t xml:space="preserve"> </w:t>
      </w:r>
      <w:r>
        <w:rPr>
          <w:color w:val="231F20"/>
        </w:rPr>
        <w:t>keep</w:t>
      </w:r>
      <w:r>
        <w:rPr>
          <w:color w:val="231F20"/>
          <w:spacing w:val="-10"/>
        </w:rPr>
        <w:t xml:space="preserve"> </w:t>
      </w:r>
      <w:r>
        <w:rPr>
          <w:color w:val="231F20"/>
        </w:rPr>
        <w:t>children</w:t>
      </w:r>
      <w:r>
        <w:rPr>
          <w:color w:val="231F20"/>
          <w:spacing w:val="-10"/>
        </w:rPr>
        <w:t xml:space="preserve"> </w:t>
      </w:r>
      <w:r>
        <w:rPr>
          <w:color w:val="231F20"/>
        </w:rPr>
        <w:t>and</w:t>
      </w:r>
      <w:r>
        <w:rPr>
          <w:color w:val="231F20"/>
          <w:spacing w:val="-10"/>
        </w:rPr>
        <w:t xml:space="preserve"> </w:t>
      </w:r>
      <w:r>
        <w:rPr>
          <w:color w:val="231F20"/>
        </w:rPr>
        <w:t>young</w:t>
      </w:r>
      <w:r>
        <w:rPr>
          <w:color w:val="231F20"/>
          <w:spacing w:val="-10"/>
        </w:rPr>
        <w:t xml:space="preserve"> </w:t>
      </w:r>
      <w:r>
        <w:rPr>
          <w:color w:val="231F20"/>
        </w:rPr>
        <w:t>people</w:t>
      </w:r>
      <w:r>
        <w:rPr>
          <w:color w:val="231F20"/>
          <w:spacing w:val="-10"/>
        </w:rPr>
        <w:t xml:space="preserve"> </w:t>
      </w:r>
      <w:r>
        <w:rPr>
          <w:color w:val="231F20"/>
        </w:rPr>
        <w:t>safe</w:t>
      </w:r>
      <w:r>
        <w:rPr>
          <w:color w:val="231F20"/>
          <w:spacing w:val="-10"/>
        </w:rPr>
        <w:t xml:space="preserve"> </w:t>
      </w:r>
      <w:r>
        <w:rPr>
          <w:color w:val="231F20"/>
        </w:rPr>
        <w:t>from harm and to build their confidence and trust in police. Victoria Police has participated in a wide range of school-based activities in settings ranging from kindergartens through to secondary schools. This has included delivery of road and cyber safety presentations, attendance at careers days and involvement in the National Walk Safely to School Day. Victoria Police also assisted</w:t>
      </w:r>
      <w:r>
        <w:rPr>
          <w:color w:val="231F20"/>
          <w:spacing w:val="-5"/>
        </w:rPr>
        <w:t xml:space="preserve"> </w:t>
      </w:r>
      <w:r>
        <w:rPr>
          <w:color w:val="231F20"/>
        </w:rPr>
        <w:t>schools</w:t>
      </w:r>
      <w:r>
        <w:rPr>
          <w:color w:val="231F20"/>
          <w:spacing w:val="-4"/>
        </w:rPr>
        <w:t xml:space="preserve"> </w:t>
      </w:r>
      <w:r>
        <w:rPr>
          <w:color w:val="231F20"/>
        </w:rPr>
        <w:t>in</w:t>
      </w:r>
      <w:r>
        <w:rPr>
          <w:color w:val="231F20"/>
          <w:spacing w:val="-5"/>
        </w:rPr>
        <w:t xml:space="preserve"> </w:t>
      </w:r>
      <w:r>
        <w:rPr>
          <w:color w:val="231F20"/>
        </w:rPr>
        <w:t>identifying</w:t>
      </w:r>
      <w:r>
        <w:rPr>
          <w:color w:val="231F20"/>
          <w:spacing w:val="-5"/>
        </w:rPr>
        <w:t xml:space="preserve"> </w:t>
      </w:r>
      <w:r>
        <w:rPr>
          <w:color w:val="231F20"/>
        </w:rPr>
        <w:t>and</w:t>
      </w:r>
      <w:r>
        <w:rPr>
          <w:color w:val="231F20"/>
          <w:spacing w:val="-5"/>
        </w:rPr>
        <w:t xml:space="preserve"> </w:t>
      </w:r>
      <w:r>
        <w:rPr>
          <w:color w:val="231F20"/>
        </w:rPr>
        <w:t>responding</w:t>
      </w:r>
      <w:r>
        <w:rPr>
          <w:color w:val="231F20"/>
          <w:spacing w:val="-5"/>
        </w:rPr>
        <w:t xml:space="preserve"> </w:t>
      </w:r>
      <w:r>
        <w:rPr>
          <w:color w:val="231F20"/>
        </w:rPr>
        <w:t>to</w:t>
      </w:r>
      <w:r>
        <w:rPr>
          <w:color w:val="231F20"/>
          <w:spacing w:val="-5"/>
        </w:rPr>
        <w:t xml:space="preserve"> </w:t>
      </w:r>
      <w:r>
        <w:rPr>
          <w:color w:val="231F20"/>
        </w:rPr>
        <w:t>community</w:t>
      </w:r>
      <w:r>
        <w:rPr>
          <w:color w:val="231F20"/>
          <w:spacing w:val="-4"/>
        </w:rPr>
        <w:t xml:space="preserve"> </w:t>
      </w:r>
      <w:r>
        <w:rPr>
          <w:color w:val="231F20"/>
        </w:rPr>
        <w:t>safety</w:t>
      </w:r>
      <w:r>
        <w:rPr>
          <w:color w:val="231F20"/>
          <w:spacing w:val="-4"/>
        </w:rPr>
        <w:t xml:space="preserve"> </w:t>
      </w:r>
      <w:r>
        <w:rPr>
          <w:color w:val="231F20"/>
        </w:rPr>
        <w:t>issues</w:t>
      </w:r>
      <w:r>
        <w:rPr>
          <w:color w:val="231F20"/>
          <w:spacing w:val="-4"/>
        </w:rPr>
        <w:t xml:space="preserve"> </w:t>
      </w:r>
      <w:r>
        <w:rPr>
          <w:color w:val="231F20"/>
        </w:rPr>
        <w:t>within</w:t>
      </w:r>
      <w:r>
        <w:rPr>
          <w:color w:val="231F20"/>
          <w:spacing w:val="-5"/>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rPr>
        <w:t>and surrounding areas. These activities strengthened relationships and provided a very rewarding experience for both police and students.</w:t>
      </w:r>
    </w:p>
    <w:p w14:paraId="3CFBEAC0" w14:textId="77777777" w:rsidR="00345EE3" w:rsidRDefault="00345EE3" w:rsidP="00345EE3">
      <w:pPr>
        <w:pStyle w:val="Heading5"/>
        <w:spacing w:before="185"/>
      </w:pPr>
      <w:r>
        <w:rPr>
          <w:color w:val="58595B"/>
        </w:rPr>
        <w:t>Creation</w:t>
      </w:r>
      <w:r>
        <w:rPr>
          <w:color w:val="58595B"/>
          <w:spacing w:val="-11"/>
        </w:rPr>
        <w:t xml:space="preserve"> </w:t>
      </w:r>
      <w:r>
        <w:rPr>
          <w:color w:val="58595B"/>
        </w:rPr>
        <w:t>of</w:t>
      </w:r>
      <w:r>
        <w:rPr>
          <w:color w:val="58595B"/>
          <w:spacing w:val="-13"/>
        </w:rPr>
        <w:t xml:space="preserve"> </w:t>
      </w:r>
      <w:r>
        <w:rPr>
          <w:color w:val="58595B"/>
        </w:rPr>
        <w:t>Yoorrook</w:t>
      </w:r>
      <w:r>
        <w:rPr>
          <w:color w:val="58595B"/>
          <w:spacing w:val="-8"/>
        </w:rPr>
        <w:t xml:space="preserve"> </w:t>
      </w:r>
      <w:r>
        <w:rPr>
          <w:color w:val="58595B"/>
        </w:rPr>
        <w:t>Justice</w:t>
      </w:r>
      <w:r>
        <w:rPr>
          <w:color w:val="58595B"/>
          <w:spacing w:val="-9"/>
        </w:rPr>
        <w:t xml:space="preserve"> </w:t>
      </w:r>
      <w:r>
        <w:rPr>
          <w:color w:val="58595B"/>
        </w:rPr>
        <w:t>Commission</w:t>
      </w:r>
      <w:r>
        <w:rPr>
          <w:color w:val="58595B"/>
          <w:spacing w:val="-9"/>
        </w:rPr>
        <w:t xml:space="preserve"> </w:t>
      </w:r>
      <w:r>
        <w:rPr>
          <w:color w:val="58595B"/>
        </w:rPr>
        <w:t>Response</w:t>
      </w:r>
      <w:r>
        <w:rPr>
          <w:color w:val="58595B"/>
          <w:spacing w:val="-8"/>
        </w:rPr>
        <w:t xml:space="preserve"> </w:t>
      </w:r>
      <w:r>
        <w:rPr>
          <w:color w:val="58595B"/>
          <w:spacing w:val="-2"/>
        </w:rPr>
        <w:t>Taskforce</w:t>
      </w:r>
    </w:p>
    <w:p w14:paraId="27699467" w14:textId="77777777" w:rsidR="00345EE3" w:rsidRDefault="00345EE3" w:rsidP="00345EE3">
      <w:pPr>
        <w:pStyle w:val="BodyText"/>
        <w:spacing w:before="4" w:line="242" w:lineRule="auto"/>
        <w:ind w:right="1068"/>
      </w:pPr>
      <w:r>
        <w:rPr>
          <w:color w:val="231F20"/>
        </w:rPr>
        <w:t>First</w:t>
      </w:r>
      <w:r>
        <w:rPr>
          <w:color w:val="231F20"/>
          <w:spacing w:val="-9"/>
        </w:rPr>
        <w:t xml:space="preserve"> </w:t>
      </w:r>
      <w:r>
        <w:rPr>
          <w:color w:val="231F20"/>
        </w:rPr>
        <w:t>Nations</w:t>
      </w:r>
      <w:r>
        <w:rPr>
          <w:color w:val="231F20"/>
          <w:spacing w:val="-9"/>
        </w:rPr>
        <w:t xml:space="preserve"> </w:t>
      </w:r>
      <w:r>
        <w:rPr>
          <w:color w:val="231F20"/>
        </w:rPr>
        <w:t>Peoples</w:t>
      </w:r>
      <w:r>
        <w:rPr>
          <w:color w:val="231F20"/>
          <w:spacing w:val="-9"/>
        </w:rPr>
        <w:t xml:space="preserve"> </w:t>
      </w:r>
      <w:r>
        <w:rPr>
          <w:color w:val="231F20"/>
        </w:rPr>
        <w:t>have</w:t>
      </w:r>
      <w:r>
        <w:rPr>
          <w:color w:val="231F20"/>
          <w:spacing w:val="-10"/>
        </w:rPr>
        <w:t xml:space="preserve"> </w:t>
      </w:r>
      <w:r>
        <w:rPr>
          <w:color w:val="231F20"/>
        </w:rPr>
        <w:t>been</w:t>
      </w:r>
      <w:r>
        <w:rPr>
          <w:color w:val="231F20"/>
          <w:spacing w:val="-10"/>
        </w:rPr>
        <w:t xml:space="preserve"> </w:t>
      </w:r>
      <w:r>
        <w:rPr>
          <w:color w:val="231F20"/>
        </w:rPr>
        <w:t>calling</w:t>
      </w:r>
      <w:r>
        <w:rPr>
          <w:color w:val="231F20"/>
          <w:spacing w:val="-10"/>
        </w:rPr>
        <w:t xml:space="preserve"> </w:t>
      </w:r>
      <w:r>
        <w:rPr>
          <w:color w:val="231F20"/>
        </w:rPr>
        <w:t>for</w:t>
      </w:r>
      <w:r>
        <w:rPr>
          <w:color w:val="231F20"/>
          <w:spacing w:val="-9"/>
        </w:rPr>
        <w:t xml:space="preserve"> </w:t>
      </w:r>
      <w:r>
        <w:rPr>
          <w:color w:val="231F20"/>
        </w:rPr>
        <w:t>a</w:t>
      </w:r>
      <w:r>
        <w:rPr>
          <w:color w:val="231F20"/>
          <w:spacing w:val="-10"/>
        </w:rPr>
        <w:t xml:space="preserve"> </w:t>
      </w:r>
      <w:r>
        <w:rPr>
          <w:color w:val="231F20"/>
        </w:rPr>
        <w:t>truth-telling</w:t>
      </w:r>
      <w:r>
        <w:rPr>
          <w:color w:val="231F20"/>
          <w:spacing w:val="-10"/>
        </w:rPr>
        <w:t xml:space="preserve"> </w:t>
      </w:r>
      <w:r>
        <w:rPr>
          <w:color w:val="231F20"/>
        </w:rPr>
        <w:t>process</w:t>
      </w:r>
      <w:r>
        <w:rPr>
          <w:color w:val="231F20"/>
          <w:spacing w:val="-9"/>
        </w:rPr>
        <w:t xml:space="preserve"> </w:t>
      </w:r>
      <w:r>
        <w:rPr>
          <w:color w:val="231F20"/>
        </w:rPr>
        <w:t>for</w:t>
      </w:r>
      <w:r>
        <w:rPr>
          <w:color w:val="231F20"/>
          <w:spacing w:val="-9"/>
        </w:rPr>
        <w:t xml:space="preserve"> </w:t>
      </w:r>
      <w:r>
        <w:rPr>
          <w:color w:val="231F20"/>
        </w:rPr>
        <w:t>generations.</w:t>
      </w:r>
      <w:r>
        <w:rPr>
          <w:color w:val="231F20"/>
          <w:spacing w:val="-9"/>
        </w:rPr>
        <w:t xml:space="preserve"> </w:t>
      </w:r>
      <w:r>
        <w:rPr>
          <w:color w:val="231F20"/>
        </w:rPr>
        <w:t>In</w:t>
      </w:r>
      <w:r>
        <w:rPr>
          <w:color w:val="231F20"/>
          <w:spacing w:val="-10"/>
        </w:rPr>
        <w:t xml:space="preserve"> </w:t>
      </w:r>
      <w:r>
        <w:rPr>
          <w:color w:val="231F20"/>
        </w:rPr>
        <w:t>response, the</w:t>
      </w:r>
      <w:r>
        <w:rPr>
          <w:color w:val="231F20"/>
          <w:spacing w:val="-5"/>
        </w:rPr>
        <w:t xml:space="preserve"> </w:t>
      </w:r>
      <w:r>
        <w:rPr>
          <w:color w:val="231F20"/>
        </w:rPr>
        <w:t>Victorian</w:t>
      </w:r>
      <w:r>
        <w:rPr>
          <w:color w:val="231F20"/>
          <w:spacing w:val="-5"/>
        </w:rPr>
        <w:t xml:space="preserve"> </w:t>
      </w:r>
      <w:r>
        <w:rPr>
          <w:color w:val="231F20"/>
        </w:rPr>
        <w:t>Government</w:t>
      </w:r>
      <w:r>
        <w:rPr>
          <w:color w:val="231F20"/>
          <w:spacing w:val="-4"/>
        </w:rPr>
        <w:t xml:space="preserve"> </w:t>
      </w:r>
      <w:r>
        <w:rPr>
          <w:color w:val="231F20"/>
        </w:rPr>
        <w:t>established</w:t>
      </w:r>
      <w:r>
        <w:rPr>
          <w:color w:val="231F20"/>
          <w:spacing w:val="-5"/>
        </w:rPr>
        <w:t xml:space="preserve"> </w:t>
      </w:r>
      <w:r>
        <w:rPr>
          <w:color w:val="231F20"/>
        </w:rPr>
        <w:t>the</w:t>
      </w:r>
      <w:r>
        <w:rPr>
          <w:color w:val="231F20"/>
          <w:spacing w:val="-5"/>
        </w:rPr>
        <w:t xml:space="preserve"> </w:t>
      </w:r>
      <w:r>
        <w:rPr>
          <w:color w:val="231F20"/>
        </w:rPr>
        <w:t>Yoorrook</w:t>
      </w:r>
      <w:r>
        <w:rPr>
          <w:color w:val="231F20"/>
          <w:spacing w:val="-4"/>
        </w:rPr>
        <w:t xml:space="preserve"> </w:t>
      </w:r>
      <w:r>
        <w:rPr>
          <w:color w:val="231F20"/>
        </w:rPr>
        <w:t>Justice</w:t>
      </w:r>
      <w:r>
        <w:rPr>
          <w:color w:val="231F20"/>
          <w:spacing w:val="-5"/>
        </w:rPr>
        <w:t xml:space="preserve"> </w:t>
      </w:r>
      <w:r>
        <w:rPr>
          <w:color w:val="231F20"/>
        </w:rPr>
        <w:t>Commission</w:t>
      </w:r>
      <w:r>
        <w:rPr>
          <w:color w:val="231F20"/>
          <w:spacing w:val="-5"/>
        </w:rPr>
        <w:t xml:space="preserve"> </w:t>
      </w:r>
      <w:r>
        <w:rPr>
          <w:color w:val="231F20"/>
        </w:rPr>
        <w:t>on</w:t>
      </w:r>
      <w:r>
        <w:rPr>
          <w:color w:val="231F20"/>
          <w:spacing w:val="-5"/>
        </w:rPr>
        <w:t xml:space="preserve"> </w:t>
      </w:r>
      <w:r>
        <w:rPr>
          <w:color w:val="231F20"/>
        </w:rPr>
        <w:t>12</w:t>
      </w:r>
      <w:r>
        <w:rPr>
          <w:color w:val="231F20"/>
          <w:spacing w:val="-5"/>
        </w:rPr>
        <w:t xml:space="preserve"> </w:t>
      </w:r>
      <w:r>
        <w:rPr>
          <w:color w:val="231F20"/>
        </w:rPr>
        <w:t>May</w:t>
      </w:r>
      <w:r>
        <w:rPr>
          <w:color w:val="231F20"/>
          <w:spacing w:val="-4"/>
        </w:rPr>
        <w:t xml:space="preserve"> </w:t>
      </w:r>
      <w:r>
        <w:rPr>
          <w:color w:val="231F20"/>
        </w:rPr>
        <w:t>2021.</w:t>
      </w:r>
      <w:r>
        <w:rPr>
          <w:color w:val="231F20"/>
          <w:spacing w:val="-4"/>
        </w:rPr>
        <w:t xml:space="preserve"> </w:t>
      </w:r>
      <w:r>
        <w:rPr>
          <w:color w:val="231F20"/>
        </w:rPr>
        <w:t>The Commission</w:t>
      </w:r>
      <w:r>
        <w:rPr>
          <w:color w:val="231F20"/>
          <w:spacing w:val="-5"/>
        </w:rPr>
        <w:t xml:space="preserve"> </w:t>
      </w:r>
      <w:r>
        <w:rPr>
          <w:color w:val="231F20"/>
        </w:rPr>
        <w:t>is</w:t>
      </w:r>
      <w:r>
        <w:rPr>
          <w:color w:val="231F20"/>
          <w:spacing w:val="-4"/>
        </w:rPr>
        <w:t xml:space="preserve"> </w:t>
      </w:r>
      <w:r>
        <w:rPr>
          <w:color w:val="231F20"/>
        </w:rPr>
        <w:t>the</w:t>
      </w:r>
      <w:r>
        <w:rPr>
          <w:color w:val="231F20"/>
          <w:spacing w:val="-5"/>
        </w:rPr>
        <w:t xml:space="preserve"> </w:t>
      </w:r>
      <w:r>
        <w:rPr>
          <w:color w:val="231F20"/>
        </w:rPr>
        <w:t>first</w:t>
      </w:r>
      <w:r>
        <w:rPr>
          <w:color w:val="231F20"/>
          <w:spacing w:val="-4"/>
        </w:rPr>
        <w:t xml:space="preserve"> </w:t>
      </w:r>
      <w:r>
        <w:rPr>
          <w:color w:val="231F20"/>
        </w:rPr>
        <w:t>formal</w:t>
      </w:r>
      <w:r>
        <w:rPr>
          <w:color w:val="231F20"/>
          <w:spacing w:val="-5"/>
        </w:rPr>
        <w:t xml:space="preserve"> </w:t>
      </w:r>
      <w:r>
        <w:rPr>
          <w:color w:val="231F20"/>
        </w:rPr>
        <w:t>truth-telling</w:t>
      </w:r>
      <w:r>
        <w:rPr>
          <w:color w:val="231F20"/>
          <w:spacing w:val="-5"/>
        </w:rPr>
        <w:t xml:space="preserve"> </w:t>
      </w:r>
      <w:r>
        <w:rPr>
          <w:color w:val="231F20"/>
        </w:rPr>
        <w:t>process</w:t>
      </w:r>
      <w:r>
        <w:rPr>
          <w:color w:val="231F20"/>
          <w:spacing w:val="-4"/>
        </w:rPr>
        <w:t xml:space="preserve"> </w:t>
      </w:r>
      <w:r>
        <w:rPr>
          <w:color w:val="231F20"/>
        </w:rPr>
        <w:t>into</w:t>
      </w:r>
      <w:r>
        <w:rPr>
          <w:color w:val="231F20"/>
          <w:spacing w:val="-5"/>
        </w:rPr>
        <w:t xml:space="preserve"> </w:t>
      </w:r>
      <w:r>
        <w:rPr>
          <w:color w:val="231F20"/>
        </w:rPr>
        <w:t>injustices</w:t>
      </w:r>
      <w:r>
        <w:rPr>
          <w:color w:val="231F20"/>
          <w:spacing w:val="-4"/>
        </w:rPr>
        <w:t xml:space="preserve"> </w:t>
      </w:r>
      <w:r>
        <w:rPr>
          <w:color w:val="231F20"/>
        </w:rPr>
        <w:t>experienced</w:t>
      </w:r>
      <w:r>
        <w:rPr>
          <w:color w:val="231F20"/>
          <w:spacing w:val="-5"/>
        </w:rPr>
        <w:t xml:space="preserve"> </w:t>
      </w:r>
      <w:r>
        <w:rPr>
          <w:color w:val="231F20"/>
        </w:rPr>
        <w:t>by</w:t>
      </w:r>
      <w:r>
        <w:rPr>
          <w:color w:val="231F20"/>
          <w:spacing w:val="-4"/>
        </w:rPr>
        <w:t xml:space="preserve"> </w:t>
      </w:r>
      <w:r>
        <w:rPr>
          <w:color w:val="231F20"/>
        </w:rPr>
        <w:t>First</w:t>
      </w:r>
      <w:r>
        <w:rPr>
          <w:color w:val="231F20"/>
          <w:spacing w:val="-4"/>
        </w:rPr>
        <w:t xml:space="preserve"> </w:t>
      </w:r>
      <w:r>
        <w:rPr>
          <w:color w:val="231F20"/>
        </w:rPr>
        <w:t>Peoples in Victoria. Victoria Police has acknowledged the important work that needs to be done and has</w:t>
      </w:r>
      <w:r>
        <w:rPr>
          <w:color w:val="231F20"/>
          <w:spacing w:val="-5"/>
        </w:rPr>
        <w:t xml:space="preserve"> </w:t>
      </w:r>
      <w:r>
        <w:rPr>
          <w:color w:val="231F20"/>
        </w:rPr>
        <w:t>established</w:t>
      </w:r>
      <w:r>
        <w:rPr>
          <w:color w:val="231F20"/>
          <w:spacing w:val="-6"/>
        </w:rPr>
        <w:t xml:space="preserve"> </w:t>
      </w:r>
      <w:r>
        <w:rPr>
          <w:color w:val="231F20"/>
        </w:rPr>
        <w:t>the</w:t>
      </w:r>
      <w:r>
        <w:rPr>
          <w:color w:val="231F20"/>
          <w:spacing w:val="-6"/>
        </w:rPr>
        <w:t xml:space="preserve"> </w:t>
      </w:r>
      <w:r>
        <w:rPr>
          <w:color w:val="231F20"/>
        </w:rPr>
        <w:t>Yoorrook</w:t>
      </w:r>
      <w:r>
        <w:rPr>
          <w:color w:val="231F20"/>
          <w:spacing w:val="-5"/>
        </w:rPr>
        <w:t xml:space="preserve"> </w:t>
      </w:r>
      <w:r>
        <w:rPr>
          <w:color w:val="231F20"/>
        </w:rPr>
        <w:t>Justice</w:t>
      </w:r>
      <w:r>
        <w:rPr>
          <w:color w:val="231F20"/>
          <w:spacing w:val="-6"/>
        </w:rPr>
        <w:t xml:space="preserve"> </w:t>
      </w:r>
      <w:r>
        <w:rPr>
          <w:color w:val="231F20"/>
        </w:rPr>
        <w:t>Commission</w:t>
      </w:r>
      <w:r>
        <w:rPr>
          <w:color w:val="231F20"/>
          <w:spacing w:val="-6"/>
        </w:rPr>
        <w:t xml:space="preserve"> </w:t>
      </w:r>
      <w:r>
        <w:rPr>
          <w:color w:val="231F20"/>
        </w:rPr>
        <w:t>Response</w:t>
      </w:r>
      <w:r>
        <w:rPr>
          <w:color w:val="231F20"/>
          <w:spacing w:val="-6"/>
        </w:rPr>
        <w:t xml:space="preserve"> </w:t>
      </w:r>
      <w:r>
        <w:rPr>
          <w:color w:val="231F20"/>
        </w:rPr>
        <w:t>Taskforce</w:t>
      </w:r>
      <w:r>
        <w:rPr>
          <w:color w:val="231F20"/>
          <w:spacing w:val="-6"/>
        </w:rPr>
        <w:t xml:space="preserve"> </w:t>
      </w:r>
      <w:r>
        <w:rPr>
          <w:color w:val="231F20"/>
        </w:rPr>
        <w:t>to</w:t>
      </w:r>
      <w:r>
        <w:rPr>
          <w:color w:val="231F20"/>
          <w:spacing w:val="-6"/>
        </w:rPr>
        <w:t xml:space="preserve"> </w:t>
      </w:r>
      <w:r>
        <w:rPr>
          <w:color w:val="231F20"/>
        </w:rPr>
        <w:t>lead</w:t>
      </w:r>
      <w:r>
        <w:rPr>
          <w:color w:val="231F20"/>
          <w:spacing w:val="-6"/>
        </w:rPr>
        <w:t xml:space="preserve"> </w:t>
      </w:r>
      <w:r>
        <w:rPr>
          <w:color w:val="231F20"/>
        </w:rPr>
        <w:t>our</w:t>
      </w:r>
      <w:r>
        <w:rPr>
          <w:color w:val="231F20"/>
          <w:spacing w:val="-5"/>
        </w:rPr>
        <w:t xml:space="preserve"> </w:t>
      </w:r>
      <w:r>
        <w:rPr>
          <w:color w:val="231F20"/>
        </w:rPr>
        <w:t>support</w:t>
      </w:r>
      <w:r>
        <w:rPr>
          <w:color w:val="231F20"/>
          <w:spacing w:val="-5"/>
        </w:rPr>
        <w:t xml:space="preserve"> </w:t>
      </w:r>
      <w:r>
        <w:rPr>
          <w:color w:val="231F20"/>
        </w:rPr>
        <w:t>for this significant Royal Commission. The Taskforce will comprise sworn members, archivists,</w:t>
      </w:r>
    </w:p>
    <w:p w14:paraId="186F064B" w14:textId="77777777" w:rsidR="00345EE3" w:rsidRDefault="00345EE3" w:rsidP="00345EE3">
      <w:pPr>
        <w:pStyle w:val="BodyText"/>
        <w:spacing w:before="8" w:line="242" w:lineRule="auto"/>
      </w:pPr>
      <w:r>
        <w:rPr>
          <w:color w:val="231F20"/>
        </w:rPr>
        <w:t>lawyers</w:t>
      </w:r>
      <w:r>
        <w:rPr>
          <w:color w:val="231F20"/>
          <w:spacing w:val="-9"/>
        </w:rPr>
        <w:t xml:space="preserve"> </w:t>
      </w:r>
      <w:r>
        <w:rPr>
          <w:color w:val="231F20"/>
        </w:rPr>
        <w:t>and</w:t>
      </w:r>
      <w:r>
        <w:rPr>
          <w:color w:val="231F20"/>
          <w:spacing w:val="-10"/>
        </w:rPr>
        <w:t xml:space="preserve"> </w:t>
      </w:r>
      <w:r>
        <w:rPr>
          <w:color w:val="231F20"/>
        </w:rPr>
        <w:t>policy</w:t>
      </w:r>
      <w:r>
        <w:rPr>
          <w:color w:val="231F20"/>
          <w:spacing w:val="-9"/>
        </w:rPr>
        <w:t xml:space="preserve"> </w:t>
      </w:r>
      <w:r>
        <w:rPr>
          <w:color w:val="231F20"/>
        </w:rPr>
        <w:t>and</w:t>
      </w:r>
      <w:r>
        <w:rPr>
          <w:color w:val="231F20"/>
          <w:spacing w:val="-10"/>
        </w:rPr>
        <w:t xml:space="preserve"> </w:t>
      </w:r>
      <w:r>
        <w:rPr>
          <w:color w:val="231F20"/>
        </w:rPr>
        <w:t>projects</w:t>
      </w:r>
      <w:r>
        <w:rPr>
          <w:color w:val="231F20"/>
          <w:spacing w:val="-9"/>
        </w:rPr>
        <w:t xml:space="preserve"> </w:t>
      </w:r>
      <w:r>
        <w:rPr>
          <w:color w:val="231F20"/>
        </w:rPr>
        <w:t>officers.</w:t>
      </w:r>
      <w:r>
        <w:rPr>
          <w:color w:val="231F20"/>
          <w:spacing w:val="-9"/>
        </w:rPr>
        <w:t xml:space="preserve"> </w:t>
      </w:r>
      <w:r>
        <w:rPr>
          <w:color w:val="231F20"/>
        </w:rPr>
        <w:t>Some</w:t>
      </w:r>
      <w:r>
        <w:rPr>
          <w:color w:val="231F20"/>
          <w:spacing w:val="-10"/>
        </w:rPr>
        <w:t xml:space="preserve"> </w:t>
      </w:r>
      <w:r>
        <w:rPr>
          <w:color w:val="231F20"/>
        </w:rPr>
        <w:t>positions</w:t>
      </w:r>
      <w:r>
        <w:rPr>
          <w:color w:val="231F20"/>
          <w:spacing w:val="-9"/>
        </w:rPr>
        <w:t xml:space="preserve"> </w:t>
      </w:r>
      <w:r>
        <w:rPr>
          <w:color w:val="231F20"/>
        </w:rPr>
        <w:t>are</w:t>
      </w:r>
      <w:r>
        <w:rPr>
          <w:color w:val="231F20"/>
          <w:spacing w:val="-10"/>
        </w:rPr>
        <w:t xml:space="preserve"> </w:t>
      </w:r>
      <w:r>
        <w:rPr>
          <w:color w:val="231F20"/>
        </w:rPr>
        <w:t>designated</w:t>
      </w:r>
      <w:r>
        <w:rPr>
          <w:color w:val="231F20"/>
          <w:spacing w:val="-10"/>
        </w:rPr>
        <w:t xml:space="preserve"> </w:t>
      </w:r>
      <w:r>
        <w:rPr>
          <w:color w:val="231F20"/>
        </w:rPr>
        <w:t>positions,</w:t>
      </w:r>
      <w:r>
        <w:rPr>
          <w:color w:val="231F20"/>
          <w:spacing w:val="-9"/>
        </w:rPr>
        <w:t xml:space="preserve"> </w:t>
      </w:r>
      <w:r>
        <w:rPr>
          <w:color w:val="231F20"/>
        </w:rPr>
        <w:t>whereby</w:t>
      </w:r>
      <w:r>
        <w:rPr>
          <w:color w:val="231F20"/>
          <w:spacing w:val="-9"/>
        </w:rPr>
        <w:t xml:space="preserve"> </w:t>
      </w:r>
      <w:r>
        <w:rPr>
          <w:color w:val="231F20"/>
        </w:rPr>
        <w:t>only Aboriginal and Torres Strait Islander people are eligible to apply.</w:t>
      </w:r>
    </w:p>
    <w:p w14:paraId="76511AAC" w14:textId="77777777" w:rsidR="00345EE3" w:rsidRDefault="00345EE3" w:rsidP="00345EE3">
      <w:pPr>
        <w:rPr>
          <w:b/>
          <w:bCs/>
          <w:color w:val="58595B"/>
          <w:sz w:val="24"/>
          <w:szCs w:val="24"/>
        </w:rPr>
      </w:pPr>
      <w:r>
        <w:rPr>
          <w:color w:val="58595B"/>
        </w:rPr>
        <w:br w:type="page"/>
      </w:r>
    </w:p>
    <w:p w14:paraId="207937DD" w14:textId="77777777" w:rsidR="00345EE3" w:rsidRDefault="00345EE3" w:rsidP="00345EE3">
      <w:pPr>
        <w:pStyle w:val="Heading5"/>
        <w:spacing w:before="172"/>
      </w:pPr>
      <w:r>
        <w:rPr>
          <w:color w:val="58595B"/>
        </w:rPr>
        <w:t>Victoria</w:t>
      </w:r>
      <w:r>
        <w:rPr>
          <w:color w:val="58595B"/>
          <w:spacing w:val="-3"/>
        </w:rPr>
        <w:t xml:space="preserve"> </w:t>
      </w:r>
      <w:r>
        <w:rPr>
          <w:color w:val="58595B"/>
        </w:rPr>
        <w:t>Police</w:t>
      </w:r>
      <w:r>
        <w:rPr>
          <w:color w:val="58595B"/>
          <w:spacing w:val="-2"/>
        </w:rPr>
        <w:t xml:space="preserve"> Museum</w:t>
      </w:r>
    </w:p>
    <w:p w14:paraId="6560EB08" w14:textId="77777777" w:rsidR="00345EE3" w:rsidRDefault="00345EE3" w:rsidP="00345EE3">
      <w:pPr>
        <w:pStyle w:val="BodyText"/>
        <w:spacing w:before="5" w:line="242" w:lineRule="auto"/>
        <w:ind w:right="921"/>
      </w:pPr>
      <w:r>
        <w:rPr>
          <w:color w:val="231F20"/>
        </w:rPr>
        <w:t>The</w:t>
      </w:r>
      <w:r>
        <w:rPr>
          <w:color w:val="231F20"/>
          <w:spacing w:val="-2"/>
        </w:rPr>
        <w:t xml:space="preserve"> </w:t>
      </w:r>
      <w:r>
        <w:rPr>
          <w:color w:val="231F20"/>
        </w:rPr>
        <w:t>Victoria</w:t>
      </w:r>
      <w:r>
        <w:rPr>
          <w:color w:val="231F20"/>
          <w:spacing w:val="-2"/>
        </w:rPr>
        <w:t xml:space="preserve"> </w:t>
      </w:r>
      <w:r>
        <w:rPr>
          <w:color w:val="231F20"/>
        </w:rPr>
        <w:t>Police</w:t>
      </w:r>
      <w:r>
        <w:rPr>
          <w:color w:val="231F20"/>
          <w:spacing w:val="-2"/>
        </w:rPr>
        <w:t xml:space="preserve"> </w:t>
      </w:r>
      <w:r>
        <w:rPr>
          <w:color w:val="231F20"/>
        </w:rPr>
        <w:t>Museum</w:t>
      </w:r>
      <w:r>
        <w:rPr>
          <w:color w:val="231F20"/>
          <w:spacing w:val="-1"/>
        </w:rPr>
        <w:t xml:space="preserve"> </w:t>
      </w:r>
      <w:r>
        <w:rPr>
          <w:color w:val="231F20"/>
        </w:rPr>
        <w:t>was</w:t>
      </w:r>
      <w:r>
        <w:rPr>
          <w:color w:val="231F20"/>
          <w:spacing w:val="-1"/>
        </w:rPr>
        <w:t xml:space="preserve"> </w:t>
      </w:r>
      <w:r>
        <w:rPr>
          <w:color w:val="231F20"/>
        </w:rPr>
        <w:t>relocated</w:t>
      </w:r>
      <w:r>
        <w:rPr>
          <w:color w:val="231F20"/>
          <w:spacing w:val="-2"/>
        </w:rPr>
        <w:t xml:space="preserve"> </w:t>
      </w:r>
      <w:r>
        <w:rPr>
          <w:color w:val="231F20"/>
        </w:rPr>
        <w:t>from</w:t>
      </w:r>
      <w:r>
        <w:rPr>
          <w:color w:val="231F20"/>
          <w:spacing w:val="-1"/>
        </w:rPr>
        <w:t xml:space="preserve"> </w:t>
      </w:r>
      <w:r>
        <w:rPr>
          <w:color w:val="231F20"/>
        </w:rPr>
        <w:t>the</w:t>
      </w:r>
      <w:r>
        <w:rPr>
          <w:color w:val="231F20"/>
          <w:spacing w:val="-2"/>
        </w:rPr>
        <w:t xml:space="preserve"> </w:t>
      </w:r>
      <w:r>
        <w:rPr>
          <w:color w:val="231F20"/>
        </w:rPr>
        <w:t>former</w:t>
      </w:r>
      <w:r>
        <w:rPr>
          <w:color w:val="231F20"/>
          <w:spacing w:val="-1"/>
        </w:rPr>
        <w:t xml:space="preserve"> </w:t>
      </w:r>
      <w:r>
        <w:rPr>
          <w:color w:val="231F20"/>
        </w:rPr>
        <w:t>VPC</w:t>
      </w:r>
      <w:r>
        <w:rPr>
          <w:color w:val="231F20"/>
          <w:spacing w:val="-2"/>
        </w:rPr>
        <w:t xml:space="preserve"> </w:t>
      </w:r>
      <w:r>
        <w:rPr>
          <w:color w:val="231F20"/>
        </w:rPr>
        <w:t>at</w:t>
      </w:r>
      <w:r>
        <w:rPr>
          <w:color w:val="231F20"/>
          <w:spacing w:val="-1"/>
        </w:rPr>
        <w:t xml:space="preserve"> </w:t>
      </w:r>
      <w:r>
        <w:rPr>
          <w:color w:val="231F20"/>
        </w:rPr>
        <w:t>Flinders</w:t>
      </w:r>
      <w:r>
        <w:rPr>
          <w:color w:val="231F20"/>
          <w:spacing w:val="-1"/>
        </w:rPr>
        <w:t xml:space="preserve"> </w:t>
      </w:r>
      <w:r>
        <w:rPr>
          <w:color w:val="231F20"/>
        </w:rPr>
        <w:t>Street</w:t>
      </w:r>
      <w:r>
        <w:rPr>
          <w:color w:val="231F20"/>
          <w:spacing w:val="-1"/>
        </w:rPr>
        <w:t xml:space="preserve"> </w:t>
      </w:r>
      <w:r>
        <w:rPr>
          <w:color w:val="231F20"/>
        </w:rPr>
        <w:t>and</w:t>
      </w:r>
      <w:r>
        <w:rPr>
          <w:color w:val="231F20"/>
          <w:spacing w:val="-2"/>
        </w:rPr>
        <w:t xml:space="preserve"> </w:t>
      </w:r>
      <w:r>
        <w:rPr>
          <w:color w:val="231F20"/>
        </w:rPr>
        <w:t>is</w:t>
      </w:r>
      <w:r>
        <w:rPr>
          <w:color w:val="231F20"/>
          <w:spacing w:val="-1"/>
        </w:rPr>
        <w:t xml:space="preserve"> </w:t>
      </w:r>
      <w:r>
        <w:rPr>
          <w:color w:val="231F20"/>
        </w:rPr>
        <w:t>being built on the ground floor of the new VPC at 313 Spencer Street. This world-class accredited Museum</w:t>
      </w:r>
      <w:r>
        <w:rPr>
          <w:color w:val="231F20"/>
          <w:spacing w:val="-7"/>
        </w:rPr>
        <w:t xml:space="preserve"> </w:t>
      </w:r>
      <w:r>
        <w:rPr>
          <w:color w:val="231F20"/>
        </w:rPr>
        <w:t>has</w:t>
      </w:r>
      <w:r>
        <w:rPr>
          <w:color w:val="231F20"/>
          <w:spacing w:val="-7"/>
        </w:rPr>
        <w:t xml:space="preserve"> </w:t>
      </w:r>
      <w:r>
        <w:rPr>
          <w:color w:val="231F20"/>
        </w:rPr>
        <w:t>been</w:t>
      </w:r>
      <w:r>
        <w:rPr>
          <w:color w:val="231F20"/>
          <w:spacing w:val="-8"/>
        </w:rPr>
        <w:t xml:space="preserve"> </w:t>
      </w:r>
      <w:r>
        <w:rPr>
          <w:color w:val="231F20"/>
        </w:rPr>
        <w:t>designed</w:t>
      </w:r>
      <w:r>
        <w:rPr>
          <w:color w:val="231F20"/>
          <w:spacing w:val="-8"/>
        </w:rPr>
        <w:t xml:space="preserve"> </w:t>
      </w:r>
      <w:r>
        <w:rPr>
          <w:color w:val="231F20"/>
        </w:rPr>
        <w:t>according</w:t>
      </w:r>
      <w:r>
        <w:rPr>
          <w:color w:val="231F20"/>
          <w:spacing w:val="-8"/>
        </w:rPr>
        <w:t xml:space="preserve"> </w:t>
      </w:r>
      <w:r>
        <w:rPr>
          <w:color w:val="231F20"/>
        </w:rPr>
        <w:t>to</w:t>
      </w:r>
      <w:r>
        <w:rPr>
          <w:color w:val="231F20"/>
          <w:spacing w:val="-8"/>
        </w:rPr>
        <w:t xml:space="preserve"> </w:t>
      </w:r>
      <w:r>
        <w:rPr>
          <w:color w:val="231F20"/>
        </w:rPr>
        <w:t>museum</w:t>
      </w:r>
      <w:r>
        <w:rPr>
          <w:color w:val="231F20"/>
          <w:spacing w:val="-7"/>
        </w:rPr>
        <w:t xml:space="preserve"> </w:t>
      </w:r>
      <w:r>
        <w:rPr>
          <w:color w:val="231F20"/>
        </w:rPr>
        <w:t>standards</w:t>
      </w:r>
      <w:r>
        <w:rPr>
          <w:color w:val="231F20"/>
          <w:spacing w:val="-7"/>
        </w:rPr>
        <w:t xml:space="preserve"> </w:t>
      </w:r>
      <w:r>
        <w:rPr>
          <w:color w:val="231F20"/>
        </w:rPr>
        <w:t>and</w:t>
      </w:r>
      <w:r>
        <w:rPr>
          <w:color w:val="231F20"/>
          <w:spacing w:val="-8"/>
        </w:rPr>
        <w:t xml:space="preserve"> </w:t>
      </w:r>
      <w:r>
        <w:rPr>
          <w:color w:val="231F20"/>
        </w:rPr>
        <w:t>will</w:t>
      </w:r>
      <w:r>
        <w:rPr>
          <w:color w:val="231F20"/>
          <w:spacing w:val="-8"/>
        </w:rPr>
        <w:t xml:space="preserve"> </w:t>
      </w:r>
      <w:r>
        <w:rPr>
          <w:color w:val="231F20"/>
        </w:rPr>
        <w:t>offer</w:t>
      </w:r>
      <w:r>
        <w:rPr>
          <w:color w:val="231F20"/>
          <w:spacing w:val="-7"/>
        </w:rPr>
        <w:t xml:space="preserve"> </w:t>
      </w:r>
      <w:r>
        <w:rPr>
          <w:color w:val="231F20"/>
        </w:rPr>
        <w:t>a</w:t>
      </w:r>
      <w:r>
        <w:rPr>
          <w:color w:val="231F20"/>
          <w:spacing w:val="-8"/>
        </w:rPr>
        <w:t xml:space="preserve"> </w:t>
      </w:r>
      <w:r>
        <w:rPr>
          <w:color w:val="231F20"/>
        </w:rPr>
        <w:t>range</w:t>
      </w:r>
      <w:r>
        <w:rPr>
          <w:color w:val="231F20"/>
          <w:spacing w:val="-8"/>
        </w:rPr>
        <w:t xml:space="preserve"> </w:t>
      </w:r>
      <w:r>
        <w:rPr>
          <w:color w:val="231F20"/>
        </w:rPr>
        <w:t>of</w:t>
      </w:r>
      <w:r>
        <w:rPr>
          <w:color w:val="231F20"/>
          <w:spacing w:val="-7"/>
        </w:rPr>
        <w:t xml:space="preserve"> </w:t>
      </w:r>
      <w:r>
        <w:rPr>
          <w:color w:val="231F20"/>
        </w:rPr>
        <w:t>static</w:t>
      </w:r>
      <w:r>
        <w:rPr>
          <w:color w:val="231F20"/>
          <w:spacing w:val="-7"/>
        </w:rPr>
        <w:t xml:space="preserve"> </w:t>
      </w:r>
      <w:r>
        <w:rPr>
          <w:color w:val="231F20"/>
        </w:rPr>
        <w:t>and dynamic</w:t>
      </w:r>
      <w:r>
        <w:rPr>
          <w:color w:val="231F20"/>
          <w:spacing w:val="-7"/>
        </w:rPr>
        <w:t xml:space="preserve"> </w:t>
      </w:r>
      <w:r>
        <w:rPr>
          <w:color w:val="231F20"/>
        </w:rPr>
        <w:t>exhibits</w:t>
      </w:r>
      <w:r>
        <w:rPr>
          <w:color w:val="231F20"/>
          <w:spacing w:val="-7"/>
        </w:rPr>
        <w:t xml:space="preserve"> </w:t>
      </w:r>
      <w:r>
        <w:rPr>
          <w:color w:val="231F20"/>
        </w:rPr>
        <w:t>and</w:t>
      </w:r>
      <w:r>
        <w:rPr>
          <w:color w:val="231F20"/>
          <w:spacing w:val="-8"/>
        </w:rPr>
        <w:t xml:space="preserve"> </w:t>
      </w:r>
      <w:r>
        <w:rPr>
          <w:color w:val="231F20"/>
        </w:rPr>
        <w:t>public</w:t>
      </w:r>
      <w:r>
        <w:rPr>
          <w:color w:val="231F20"/>
          <w:spacing w:val="-7"/>
        </w:rPr>
        <w:t xml:space="preserve"> </w:t>
      </w:r>
      <w:r>
        <w:rPr>
          <w:color w:val="231F20"/>
        </w:rPr>
        <w:t>programs</w:t>
      </w:r>
      <w:r>
        <w:rPr>
          <w:color w:val="231F20"/>
          <w:spacing w:val="-7"/>
        </w:rPr>
        <w:t xml:space="preserve"> </w:t>
      </w:r>
      <w:r>
        <w:rPr>
          <w:color w:val="231F20"/>
        </w:rPr>
        <w:t>representing</w:t>
      </w:r>
      <w:r>
        <w:rPr>
          <w:color w:val="231F20"/>
          <w:spacing w:val="-8"/>
        </w:rPr>
        <w:t xml:space="preserve"> </w:t>
      </w:r>
      <w:r>
        <w:rPr>
          <w:color w:val="231F20"/>
        </w:rPr>
        <w:t>over</w:t>
      </w:r>
      <w:r>
        <w:rPr>
          <w:color w:val="231F20"/>
          <w:spacing w:val="-7"/>
        </w:rPr>
        <w:t xml:space="preserve"> </w:t>
      </w:r>
      <w:r>
        <w:rPr>
          <w:color w:val="231F20"/>
        </w:rPr>
        <w:t>170</w:t>
      </w:r>
      <w:r>
        <w:rPr>
          <w:color w:val="231F20"/>
          <w:spacing w:val="-8"/>
        </w:rPr>
        <w:t xml:space="preserve"> </w:t>
      </w:r>
      <w:r>
        <w:rPr>
          <w:color w:val="231F20"/>
        </w:rPr>
        <w:t>years</w:t>
      </w:r>
      <w:r>
        <w:rPr>
          <w:color w:val="231F20"/>
          <w:spacing w:val="-7"/>
        </w:rPr>
        <w:t xml:space="preserve"> </w:t>
      </w:r>
      <w:r>
        <w:rPr>
          <w:color w:val="231F20"/>
        </w:rPr>
        <w:t>of</w:t>
      </w:r>
      <w:r>
        <w:rPr>
          <w:color w:val="231F20"/>
          <w:spacing w:val="-7"/>
        </w:rPr>
        <w:t xml:space="preserve"> </w:t>
      </w:r>
      <w:r>
        <w:rPr>
          <w:color w:val="231F20"/>
        </w:rPr>
        <w:t>policing,</w:t>
      </w:r>
      <w:r>
        <w:rPr>
          <w:color w:val="231F20"/>
          <w:spacing w:val="-7"/>
        </w:rPr>
        <w:t xml:space="preserve"> </w:t>
      </w:r>
      <w:r>
        <w:rPr>
          <w:color w:val="231F20"/>
        </w:rPr>
        <w:t>supported</w:t>
      </w:r>
      <w:r>
        <w:rPr>
          <w:color w:val="231F20"/>
          <w:spacing w:val="-8"/>
        </w:rPr>
        <w:t xml:space="preserve"> </w:t>
      </w:r>
      <w:r>
        <w:rPr>
          <w:color w:val="231F20"/>
        </w:rPr>
        <w:t>by</w:t>
      </w:r>
      <w:r>
        <w:rPr>
          <w:color w:val="231F20"/>
          <w:spacing w:val="-7"/>
        </w:rPr>
        <w:t xml:space="preserve"> </w:t>
      </w:r>
      <w:r>
        <w:rPr>
          <w:color w:val="231F20"/>
        </w:rPr>
        <w:t>the gift shop and temperature- and humidity-controlled museum storerooms.</w:t>
      </w:r>
    </w:p>
    <w:p w14:paraId="52257243" w14:textId="77777777" w:rsidR="00345EE3" w:rsidRDefault="00345EE3" w:rsidP="00345EE3">
      <w:pPr>
        <w:pStyle w:val="Heading5"/>
        <w:spacing w:before="176"/>
      </w:pPr>
      <w:r>
        <w:rPr>
          <w:color w:val="58595B"/>
        </w:rPr>
        <w:t>Aboriginal</w:t>
      </w:r>
      <w:r>
        <w:rPr>
          <w:color w:val="58595B"/>
          <w:spacing w:val="-9"/>
        </w:rPr>
        <w:t xml:space="preserve"> </w:t>
      </w:r>
      <w:r>
        <w:rPr>
          <w:color w:val="58595B"/>
        </w:rPr>
        <w:t>Cultural</w:t>
      </w:r>
      <w:r>
        <w:rPr>
          <w:color w:val="58595B"/>
          <w:spacing w:val="-16"/>
        </w:rPr>
        <w:t xml:space="preserve"> </w:t>
      </w:r>
      <w:r>
        <w:rPr>
          <w:color w:val="58595B"/>
        </w:rPr>
        <w:t>Awareness</w:t>
      </w:r>
      <w:r>
        <w:rPr>
          <w:color w:val="58595B"/>
          <w:spacing w:val="-7"/>
        </w:rPr>
        <w:t xml:space="preserve"> </w:t>
      </w:r>
      <w:r>
        <w:rPr>
          <w:color w:val="58595B"/>
          <w:spacing w:val="-2"/>
        </w:rPr>
        <w:t>Training</w:t>
      </w:r>
    </w:p>
    <w:p w14:paraId="019D64D0" w14:textId="77777777" w:rsidR="00345EE3" w:rsidRDefault="00345EE3" w:rsidP="00345EE3">
      <w:pPr>
        <w:pStyle w:val="BodyText"/>
        <w:spacing w:before="4" w:line="242" w:lineRule="auto"/>
        <w:ind w:right="1068"/>
      </w:pPr>
      <w:r>
        <w:rPr>
          <w:color w:val="231F20"/>
        </w:rPr>
        <w:t>Victoria Police’s ACAT courses are delivered by the Divisional Training Officer Network with the</w:t>
      </w:r>
      <w:r>
        <w:rPr>
          <w:color w:val="231F20"/>
          <w:spacing w:val="-8"/>
        </w:rPr>
        <w:t xml:space="preserve"> </w:t>
      </w:r>
      <w:r>
        <w:rPr>
          <w:color w:val="231F20"/>
        </w:rPr>
        <w:t>assistance</w:t>
      </w:r>
      <w:r>
        <w:rPr>
          <w:color w:val="231F20"/>
          <w:spacing w:val="-8"/>
        </w:rPr>
        <w:t xml:space="preserve"> </w:t>
      </w:r>
      <w:r>
        <w:rPr>
          <w:color w:val="231F20"/>
        </w:rPr>
        <w:t>of</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Aboriginal</w:t>
      </w:r>
      <w:r>
        <w:rPr>
          <w:color w:val="231F20"/>
          <w:spacing w:val="-8"/>
        </w:rPr>
        <w:t xml:space="preserve"> </w:t>
      </w:r>
      <w:r>
        <w:rPr>
          <w:color w:val="231F20"/>
        </w:rPr>
        <w:t>Community</w:t>
      </w:r>
      <w:r>
        <w:rPr>
          <w:color w:val="231F20"/>
          <w:spacing w:val="-7"/>
        </w:rPr>
        <w:t xml:space="preserve"> </w:t>
      </w:r>
      <w:r>
        <w:rPr>
          <w:color w:val="231F20"/>
        </w:rPr>
        <w:t>Liaison</w:t>
      </w:r>
      <w:r>
        <w:rPr>
          <w:color w:val="231F20"/>
          <w:spacing w:val="-8"/>
        </w:rPr>
        <w:t xml:space="preserve"> </w:t>
      </w:r>
      <w:r>
        <w:rPr>
          <w:color w:val="231F20"/>
        </w:rPr>
        <w:t>Officers,</w:t>
      </w:r>
      <w:r>
        <w:rPr>
          <w:color w:val="231F20"/>
          <w:spacing w:val="-7"/>
        </w:rPr>
        <w:t xml:space="preserve"> </w:t>
      </w:r>
      <w:r>
        <w:rPr>
          <w:color w:val="231F20"/>
        </w:rPr>
        <w:t>and</w:t>
      </w:r>
      <w:r>
        <w:rPr>
          <w:color w:val="231F20"/>
          <w:spacing w:val="-8"/>
        </w:rPr>
        <w:t xml:space="preserve"> </w:t>
      </w:r>
      <w:r>
        <w:rPr>
          <w:color w:val="231F20"/>
        </w:rPr>
        <w:t>include</w:t>
      </w:r>
      <w:r>
        <w:rPr>
          <w:color w:val="231F20"/>
          <w:spacing w:val="-8"/>
        </w:rPr>
        <w:t xml:space="preserve"> </w:t>
      </w:r>
      <w:r>
        <w:rPr>
          <w:color w:val="231F20"/>
        </w:rPr>
        <w:t>Aboriginal community</w:t>
      </w:r>
      <w:r>
        <w:rPr>
          <w:color w:val="231F20"/>
          <w:spacing w:val="-6"/>
        </w:rPr>
        <w:t xml:space="preserve"> </w:t>
      </w:r>
      <w:r>
        <w:rPr>
          <w:color w:val="231F20"/>
        </w:rPr>
        <w:t>members,</w:t>
      </w:r>
      <w:r>
        <w:rPr>
          <w:color w:val="231F20"/>
          <w:spacing w:val="-6"/>
        </w:rPr>
        <w:t xml:space="preserve"> </w:t>
      </w:r>
      <w:r>
        <w:rPr>
          <w:color w:val="231F20"/>
        </w:rPr>
        <w:t>and</w:t>
      </w:r>
      <w:r>
        <w:rPr>
          <w:color w:val="231F20"/>
          <w:spacing w:val="-7"/>
        </w:rPr>
        <w:t xml:space="preserve"> </w:t>
      </w:r>
      <w:r>
        <w:rPr>
          <w:color w:val="231F20"/>
        </w:rPr>
        <w:t>respected</w:t>
      </w:r>
      <w:r>
        <w:rPr>
          <w:color w:val="231F20"/>
          <w:spacing w:val="-7"/>
        </w:rPr>
        <w:t xml:space="preserve"> </w:t>
      </w:r>
      <w:r>
        <w:rPr>
          <w:color w:val="231F20"/>
        </w:rPr>
        <w:t>Elders</w:t>
      </w:r>
      <w:r>
        <w:rPr>
          <w:color w:val="231F20"/>
          <w:spacing w:val="-6"/>
        </w:rPr>
        <w:t xml:space="preserve"> </w:t>
      </w:r>
      <w:r>
        <w:rPr>
          <w:color w:val="231F20"/>
        </w:rPr>
        <w:t>to</w:t>
      </w:r>
      <w:r>
        <w:rPr>
          <w:color w:val="231F20"/>
          <w:spacing w:val="-7"/>
        </w:rPr>
        <w:t xml:space="preserve"> </w:t>
      </w:r>
      <w:r>
        <w:rPr>
          <w:color w:val="231F20"/>
        </w:rPr>
        <w:t>contribute</w:t>
      </w:r>
      <w:r>
        <w:rPr>
          <w:color w:val="231F20"/>
          <w:spacing w:val="-7"/>
        </w:rPr>
        <w:t xml:space="preserve"> </w:t>
      </w:r>
      <w:r>
        <w:rPr>
          <w:color w:val="231F20"/>
        </w:rPr>
        <w:t>local</w:t>
      </w:r>
      <w:r>
        <w:rPr>
          <w:color w:val="231F20"/>
          <w:spacing w:val="-7"/>
        </w:rPr>
        <w:t xml:space="preserve"> </w:t>
      </w:r>
      <w:r>
        <w:rPr>
          <w:color w:val="231F20"/>
        </w:rPr>
        <w:t>cultural</w:t>
      </w:r>
      <w:r>
        <w:rPr>
          <w:color w:val="231F20"/>
          <w:spacing w:val="-7"/>
        </w:rPr>
        <w:t xml:space="preserve"> </w:t>
      </w:r>
      <w:r>
        <w:rPr>
          <w:color w:val="231F20"/>
        </w:rPr>
        <w:t>content</w:t>
      </w:r>
      <w:r>
        <w:rPr>
          <w:color w:val="231F20"/>
          <w:spacing w:val="-6"/>
        </w:rPr>
        <w:t xml:space="preserve"> </w:t>
      </w:r>
      <w:r>
        <w:rPr>
          <w:color w:val="231F20"/>
        </w:rPr>
        <w:t>where</w:t>
      </w:r>
      <w:r>
        <w:rPr>
          <w:color w:val="231F20"/>
          <w:spacing w:val="-7"/>
        </w:rPr>
        <w:t xml:space="preserve"> </w:t>
      </w:r>
      <w:r>
        <w:rPr>
          <w:color w:val="231F20"/>
        </w:rPr>
        <w:t>required. All Police recruits undertake cultural awareness training in the first phase of their training program, which includes the ACAT program. The Centre for Professional Policing based at</w:t>
      </w:r>
    </w:p>
    <w:p w14:paraId="0E312554" w14:textId="77777777" w:rsidR="00345EE3" w:rsidRDefault="00345EE3" w:rsidP="00345EE3">
      <w:pPr>
        <w:pStyle w:val="BodyText"/>
        <w:spacing w:before="7" w:line="242" w:lineRule="auto"/>
        <w:ind w:right="921"/>
      </w:pPr>
      <w:r>
        <w:rPr>
          <w:color w:val="231F20"/>
        </w:rPr>
        <w:t>the Victoria Police Academy conducted two ACAT courses in May 2022, delivering to 50 staff members with a further session planned in July 2022. An Aboriginal Student Network is also available</w:t>
      </w:r>
      <w:r>
        <w:rPr>
          <w:color w:val="231F20"/>
          <w:spacing w:val="-13"/>
        </w:rPr>
        <w:t xml:space="preserve"> </w:t>
      </w:r>
      <w:r>
        <w:rPr>
          <w:color w:val="231F20"/>
        </w:rPr>
        <w:t>for</w:t>
      </w:r>
      <w:r>
        <w:rPr>
          <w:color w:val="231F20"/>
          <w:spacing w:val="-12"/>
        </w:rPr>
        <w:t xml:space="preserve"> </w:t>
      </w:r>
      <w:r>
        <w:rPr>
          <w:color w:val="231F20"/>
        </w:rPr>
        <w:t>students</w:t>
      </w:r>
      <w:r>
        <w:rPr>
          <w:color w:val="231F20"/>
          <w:spacing w:val="-12"/>
        </w:rPr>
        <w:t xml:space="preserve"> </w:t>
      </w:r>
      <w:r>
        <w:rPr>
          <w:color w:val="231F20"/>
        </w:rPr>
        <w:t>who</w:t>
      </w:r>
      <w:r>
        <w:rPr>
          <w:color w:val="231F20"/>
          <w:spacing w:val="-13"/>
        </w:rPr>
        <w:t xml:space="preserve"> </w:t>
      </w:r>
      <w:r>
        <w:rPr>
          <w:color w:val="231F20"/>
        </w:rPr>
        <w:t>identify</w:t>
      </w:r>
      <w:r>
        <w:rPr>
          <w:color w:val="231F20"/>
          <w:spacing w:val="-12"/>
        </w:rPr>
        <w:t xml:space="preserve"> </w:t>
      </w:r>
      <w:r>
        <w:rPr>
          <w:color w:val="231F20"/>
        </w:rPr>
        <w:t>as</w:t>
      </w:r>
      <w:r>
        <w:rPr>
          <w:color w:val="231F20"/>
          <w:spacing w:val="-12"/>
        </w:rPr>
        <w:t xml:space="preserve"> </w:t>
      </w:r>
      <w:r>
        <w:rPr>
          <w:color w:val="231F20"/>
        </w:rPr>
        <w:t>Aboriginal</w:t>
      </w:r>
      <w:r>
        <w:rPr>
          <w:color w:val="231F20"/>
          <w:spacing w:val="-13"/>
        </w:rPr>
        <w:t xml:space="preserve"> </w:t>
      </w:r>
      <w:r>
        <w:rPr>
          <w:color w:val="231F20"/>
        </w:rPr>
        <w:t>or</w:t>
      </w:r>
      <w:r>
        <w:rPr>
          <w:color w:val="231F20"/>
          <w:spacing w:val="-12"/>
        </w:rPr>
        <w:t xml:space="preserve"> </w:t>
      </w:r>
      <w:r>
        <w:rPr>
          <w:color w:val="231F20"/>
        </w:rPr>
        <w:t>Torres</w:t>
      </w:r>
      <w:r>
        <w:rPr>
          <w:color w:val="231F20"/>
          <w:spacing w:val="-12"/>
        </w:rPr>
        <w:t xml:space="preserve"> </w:t>
      </w:r>
      <w:r>
        <w:rPr>
          <w:color w:val="231F20"/>
        </w:rPr>
        <w:t>Strait</w:t>
      </w:r>
      <w:r>
        <w:rPr>
          <w:color w:val="231F20"/>
          <w:spacing w:val="-12"/>
        </w:rPr>
        <w:t xml:space="preserve"> </w:t>
      </w:r>
      <w:r>
        <w:rPr>
          <w:color w:val="231F20"/>
        </w:rPr>
        <w:t>Islander.</w:t>
      </w:r>
      <w:r>
        <w:rPr>
          <w:color w:val="231F20"/>
          <w:spacing w:val="-12"/>
        </w:rPr>
        <w:t xml:space="preserve"> </w:t>
      </w:r>
      <w:r>
        <w:rPr>
          <w:color w:val="231F20"/>
        </w:rPr>
        <w:t>ACAT</w:t>
      </w:r>
      <w:r>
        <w:rPr>
          <w:color w:val="231F20"/>
          <w:spacing w:val="-12"/>
        </w:rPr>
        <w:t xml:space="preserve"> </w:t>
      </w:r>
      <w:r>
        <w:rPr>
          <w:color w:val="231F20"/>
        </w:rPr>
        <w:t>is</w:t>
      </w:r>
      <w:r>
        <w:rPr>
          <w:color w:val="231F20"/>
          <w:spacing w:val="-12"/>
        </w:rPr>
        <w:t xml:space="preserve"> </w:t>
      </w:r>
      <w:r>
        <w:rPr>
          <w:color w:val="231F20"/>
        </w:rPr>
        <w:t>mandatory</w:t>
      </w:r>
      <w:r>
        <w:rPr>
          <w:color w:val="231F20"/>
          <w:spacing w:val="-12"/>
        </w:rPr>
        <w:t xml:space="preserve"> </w:t>
      </w:r>
      <w:r>
        <w:rPr>
          <w:color w:val="231F20"/>
        </w:rPr>
        <w:t>for sworn members and the state-wide rollout of ACAT commenced in July 2022.</w:t>
      </w:r>
    </w:p>
    <w:p w14:paraId="0E71CFFA" w14:textId="77777777" w:rsidR="00345EE3" w:rsidRDefault="00345EE3" w:rsidP="00345EE3">
      <w:pPr>
        <w:pStyle w:val="BodyText"/>
        <w:spacing w:before="119" w:line="242" w:lineRule="auto"/>
        <w:ind w:right="921"/>
      </w:pPr>
      <w:r>
        <w:rPr>
          <w:color w:val="231F20"/>
        </w:rPr>
        <w:t>The</w:t>
      </w:r>
      <w:r>
        <w:rPr>
          <w:color w:val="231F20"/>
          <w:spacing w:val="-11"/>
        </w:rPr>
        <w:t xml:space="preserve"> </w:t>
      </w:r>
      <w:r>
        <w:rPr>
          <w:color w:val="231F20"/>
        </w:rPr>
        <w:t>development</w:t>
      </w:r>
      <w:r>
        <w:rPr>
          <w:color w:val="231F20"/>
          <w:spacing w:val="-10"/>
        </w:rPr>
        <w:t xml:space="preserve"> </w:t>
      </w:r>
      <w:r>
        <w:rPr>
          <w:color w:val="231F20"/>
        </w:rPr>
        <w:t>of</w:t>
      </w:r>
      <w:r>
        <w:rPr>
          <w:color w:val="231F20"/>
          <w:spacing w:val="-10"/>
        </w:rPr>
        <w:t xml:space="preserve"> </w:t>
      </w:r>
      <w:r>
        <w:rPr>
          <w:color w:val="231F20"/>
        </w:rPr>
        <w:t>ACAT</w:t>
      </w:r>
      <w:r>
        <w:rPr>
          <w:color w:val="231F20"/>
          <w:spacing w:val="-10"/>
        </w:rPr>
        <w:t xml:space="preserve"> </w:t>
      </w:r>
      <w:r>
        <w:rPr>
          <w:color w:val="231F20"/>
        </w:rPr>
        <w:t>highlights</w:t>
      </w:r>
      <w:r>
        <w:rPr>
          <w:color w:val="231F20"/>
          <w:spacing w:val="-10"/>
        </w:rPr>
        <w:t xml:space="preserve"> </w:t>
      </w:r>
      <w:r>
        <w:rPr>
          <w:color w:val="231F20"/>
        </w:rPr>
        <w:t>the</w:t>
      </w:r>
      <w:r>
        <w:rPr>
          <w:color w:val="231F20"/>
          <w:spacing w:val="-11"/>
        </w:rPr>
        <w:t xml:space="preserve"> </w:t>
      </w:r>
      <w:r>
        <w:rPr>
          <w:color w:val="231F20"/>
        </w:rPr>
        <w:t>importance</w:t>
      </w:r>
      <w:r>
        <w:rPr>
          <w:color w:val="231F20"/>
          <w:spacing w:val="-11"/>
        </w:rPr>
        <w:t xml:space="preserve"> </w:t>
      </w:r>
      <w:r>
        <w:rPr>
          <w:color w:val="231F20"/>
        </w:rPr>
        <w:t>of</w:t>
      </w:r>
      <w:r>
        <w:rPr>
          <w:color w:val="231F20"/>
          <w:spacing w:val="-10"/>
        </w:rPr>
        <w:t xml:space="preserve"> </w:t>
      </w:r>
      <w:r>
        <w:rPr>
          <w:color w:val="231F20"/>
        </w:rPr>
        <w:t>working</w:t>
      </w:r>
      <w:r>
        <w:rPr>
          <w:color w:val="231F20"/>
          <w:spacing w:val="-11"/>
        </w:rPr>
        <w:t xml:space="preserve"> </w:t>
      </w:r>
      <w:r>
        <w:rPr>
          <w:color w:val="231F20"/>
        </w:rPr>
        <w:t>in</w:t>
      </w:r>
      <w:r>
        <w:rPr>
          <w:color w:val="231F20"/>
          <w:spacing w:val="-11"/>
        </w:rPr>
        <w:t xml:space="preserve"> </w:t>
      </w:r>
      <w:r>
        <w:rPr>
          <w:color w:val="231F20"/>
        </w:rPr>
        <w:t>partnership</w:t>
      </w:r>
      <w:r>
        <w:rPr>
          <w:color w:val="231F20"/>
          <w:spacing w:val="-11"/>
        </w:rPr>
        <w:t xml:space="preserve"> </w:t>
      </w:r>
      <w:r>
        <w:rPr>
          <w:color w:val="231F20"/>
        </w:rPr>
        <w:t>with</w:t>
      </w:r>
      <w:r>
        <w:rPr>
          <w:color w:val="231F20"/>
          <w:spacing w:val="-11"/>
        </w:rPr>
        <w:t xml:space="preserve"> </w:t>
      </w:r>
      <w:r>
        <w:rPr>
          <w:color w:val="231F20"/>
        </w:rPr>
        <w:t>Aboriginal communities to enhance culturally competent policing responses. It demonstrates the commitments of Victoria Police to the Victorian Aboriginal Affairs Framework and the Burra Loptja</w:t>
      </w:r>
      <w:r>
        <w:rPr>
          <w:color w:val="231F20"/>
          <w:spacing w:val="-12"/>
        </w:rPr>
        <w:t xml:space="preserve"> </w:t>
      </w:r>
      <w:r>
        <w:rPr>
          <w:color w:val="231F20"/>
        </w:rPr>
        <w:t>Dunguludja</w:t>
      </w:r>
      <w:r>
        <w:rPr>
          <w:color w:val="231F20"/>
          <w:spacing w:val="-12"/>
        </w:rPr>
        <w:t xml:space="preserve"> </w:t>
      </w:r>
      <w:r>
        <w:rPr>
          <w:color w:val="231F20"/>
        </w:rPr>
        <w:t>Victorian</w:t>
      </w:r>
      <w:r>
        <w:rPr>
          <w:color w:val="231F20"/>
          <w:spacing w:val="-12"/>
        </w:rPr>
        <w:t xml:space="preserve"> </w:t>
      </w:r>
      <w:r>
        <w:rPr>
          <w:color w:val="231F20"/>
        </w:rPr>
        <w:t>Aboriginal</w:t>
      </w:r>
      <w:r>
        <w:rPr>
          <w:color w:val="231F20"/>
          <w:spacing w:val="-12"/>
        </w:rPr>
        <w:t xml:space="preserve"> </w:t>
      </w:r>
      <w:r>
        <w:rPr>
          <w:color w:val="231F20"/>
        </w:rPr>
        <w:t>Justice</w:t>
      </w:r>
      <w:r>
        <w:rPr>
          <w:color w:val="231F20"/>
          <w:spacing w:val="-12"/>
        </w:rPr>
        <w:t xml:space="preserve"> </w:t>
      </w:r>
      <w:r>
        <w:rPr>
          <w:color w:val="231F20"/>
        </w:rPr>
        <w:t>Agreement</w:t>
      </w:r>
      <w:r>
        <w:rPr>
          <w:color w:val="231F20"/>
          <w:spacing w:val="-11"/>
        </w:rPr>
        <w:t xml:space="preserve"> </w:t>
      </w:r>
      <w:r>
        <w:rPr>
          <w:color w:val="231F20"/>
        </w:rPr>
        <w:t>Phase</w:t>
      </w:r>
      <w:r>
        <w:rPr>
          <w:color w:val="231F20"/>
          <w:spacing w:val="-12"/>
        </w:rPr>
        <w:t xml:space="preserve"> </w:t>
      </w:r>
      <w:r>
        <w:rPr>
          <w:color w:val="231F20"/>
        </w:rPr>
        <w:t>four.</w:t>
      </w:r>
      <w:r>
        <w:rPr>
          <w:color w:val="231F20"/>
          <w:spacing w:val="-11"/>
        </w:rPr>
        <w:t xml:space="preserve"> </w:t>
      </w:r>
      <w:r>
        <w:rPr>
          <w:color w:val="231F20"/>
        </w:rPr>
        <w:t>Data</w:t>
      </w:r>
      <w:r>
        <w:rPr>
          <w:color w:val="231F20"/>
          <w:spacing w:val="-12"/>
        </w:rPr>
        <w:t xml:space="preserve"> </w:t>
      </w:r>
      <w:r>
        <w:rPr>
          <w:color w:val="231F20"/>
        </w:rPr>
        <w:t>on</w:t>
      </w:r>
      <w:r>
        <w:rPr>
          <w:color w:val="231F20"/>
          <w:spacing w:val="-12"/>
        </w:rPr>
        <w:t xml:space="preserve"> </w:t>
      </w:r>
      <w:r>
        <w:rPr>
          <w:color w:val="231F20"/>
        </w:rPr>
        <w:t>Victoria</w:t>
      </w:r>
      <w:r>
        <w:rPr>
          <w:color w:val="231F20"/>
          <w:spacing w:val="-12"/>
        </w:rPr>
        <w:t xml:space="preserve"> </w:t>
      </w:r>
      <w:r>
        <w:rPr>
          <w:color w:val="231F20"/>
        </w:rPr>
        <w:t>Police employee participation in ACAT will be collected through our human resources system and reported annually.</w:t>
      </w:r>
    </w:p>
    <w:p w14:paraId="3F445B3C" w14:textId="77777777" w:rsidR="00345EE3" w:rsidRDefault="00345EE3" w:rsidP="00345EE3">
      <w:pPr>
        <w:pStyle w:val="BodyText"/>
        <w:spacing w:before="117" w:line="242" w:lineRule="auto"/>
        <w:ind w:right="995"/>
      </w:pPr>
      <w:r>
        <w:rPr>
          <w:color w:val="231F20"/>
        </w:rPr>
        <w:t>Data will be reported to the Aboriginal Justice Caucus via the Aboriginal Justice Forum, as per a</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commitment</w:t>
      </w:r>
      <w:r>
        <w:rPr>
          <w:color w:val="231F20"/>
          <w:spacing w:val="-8"/>
        </w:rPr>
        <w:t xml:space="preserve"> </w:t>
      </w:r>
      <w:r>
        <w:rPr>
          <w:color w:val="231F20"/>
        </w:rPr>
        <w:t>under</w:t>
      </w:r>
      <w:r>
        <w:rPr>
          <w:color w:val="231F20"/>
          <w:spacing w:val="-8"/>
        </w:rPr>
        <w:t xml:space="preserve"> </w:t>
      </w:r>
      <w:r>
        <w:rPr>
          <w:color w:val="231F20"/>
        </w:rPr>
        <w:t>the</w:t>
      </w:r>
      <w:r>
        <w:rPr>
          <w:color w:val="231F20"/>
          <w:spacing w:val="-9"/>
        </w:rPr>
        <w:t xml:space="preserve"> </w:t>
      </w:r>
      <w:r>
        <w:rPr>
          <w:color w:val="231F20"/>
        </w:rPr>
        <w:t>Aboriginal</w:t>
      </w:r>
      <w:r>
        <w:rPr>
          <w:color w:val="231F20"/>
          <w:spacing w:val="-9"/>
        </w:rPr>
        <w:t xml:space="preserve"> </w:t>
      </w:r>
      <w:r>
        <w:rPr>
          <w:color w:val="231F20"/>
        </w:rPr>
        <w:t>Justice</w:t>
      </w:r>
      <w:r>
        <w:rPr>
          <w:color w:val="231F20"/>
          <w:spacing w:val="-9"/>
        </w:rPr>
        <w:t xml:space="preserve"> </w:t>
      </w:r>
      <w:r>
        <w:rPr>
          <w:color w:val="231F20"/>
        </w:rPr>
        <w:t>Agreement</w:t>
      </w:r>
      <w:r>
        <w:rPr>
          <w:color w:val="231F20"/>
          <w:spacing w:val="-8"/>
        </w:rPr>
        <w:t xml:space="preserve"> </w:t>
      </w:r>
      <w:r>
        <w:rPr>
          <w:color w:val="231F20"/>
        </w:rPr>
        <w:t>(AJA</w:t>
      </w:r>
      <w:r>
        <w:rPr>
          <w:color w:val="231F20"/>
          <w:spacing w:val="-8"/>
        </w:rPr>
        <w:t xml:space="preserve"> </w:t>
      </w:r>
      <w:r>
        <w:rPr>
          <w:color w:val="231F20"/>
        </w:rPr>
        <w:t>4)</w:t>
      </w:r>
      <w:r>
        <w:rPr>
          <w:color w:val="231F20"/>
          <w:spacing w:val="-8"/>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Victorian Aboriginal Affairs Framework, and recommendation of the Royal Commission into Aboriginal Deaths in Custody.</w:t>
      </w:r>
    </w:p>
    <w:p w14:paraId="3C6CF1D7" w14:textId="77777777" w:rsidR="00345EE3" w:rsidRDefault="00345EE3" w:rsidP="00345EE3">
      <w:pPr>
        <w:pStyle w:val="Heading5"/>
        <w:spacing w:before="176"/>
      </w:pPr>
      <w:r>
        <w:rPr>
          <w:color w:val="58595B"/>
        </w:rPr>
        <w:t>Police</w:t>
      </w:r>
      <w:r>
        <w:rPr>
          <w:color w:val="58595B"/>
          <w:spacing w:val="-12"/>
        </w:rPr>
        <w:t xml:space="preserve"> </w:t>
      </w:r>
      <w:r>
        <w:rPr>
          <w:color w:val="58595B"/>
        </w:rPr>
        <w:t>Academy</w:t>
      </w:r>
      <w:r>
        <w:rPr>
          <w:color w:val="58595B"/>
          <w:spacing w:val="-3"/>
        </w:rPr>
        <w:t xml:space="preserve"> </w:t>
      </w:r>
      <w:r>
        <w:rPr>
          <w:color w:val="58595B"/>
          <w:spacing w:val="-2"/>
        </w:rPr>
        <w:t>Graduations</w:t>
      </w:r>
    </w:p>
    <w:p w14:paraId="3A868997" w14:textId="77777777" w:rsidR="00345EE3" w:rsidRDefault="00345EE3" w:rsidP="00345EE3">
      <w:pPr>
        <w:pStyle w:val="BodyText"/>
        <w:spacing w:before="4" w:line="242" w:lineRule="auto"/>
        <w:ind w:right="848"/>
      </w:pPr>
      <w:r>
        <w:rPr>
          <w:color w:val="231F20"/>
        </w:rPr>
        <w:t>A total of 693 police members and 101 PSOs graduated from the Victoria Police Academy in 2021–22.</w:t>
      </w:r>
      <w:r>
        <w:rPr>
          <w:color w:val="231F20"/>
          <w:spacing w:val="-6"/>
        </w:rPr>
        <w:t xml:space="preserve"> </w:t>
      </w:r>
      <w:r>
        <w:rPr>
          <w:color w:val="231F20"/>
        </w:rPr>
        <w:t>In</w:t>
      </w:r>
      <w:r>
        <w:rPr>
          <w:color w:val="231F20"/>
          <w:spacing w:val="-7"/>
        </w:rPr>
        <w:t xml:space="preserve"> </w:t>
      </w:r>
      <w:r>
        <w:rPr>
          <w:color w:val="231F20"/>
        </w:rPr>
        <w:t>February</w:t>
      </w:r>
      <w:r>
        <w:rPr>
          <w:color w:val="231F20"/>
          <w:spacing w:val="-6"/>
        </w:rPr>
        <w:t xml:space="preserve"> </w:t>
      </w:r>
      <w:r>
        <w:rPr>
          <w:color w:val="231F20"/>
        </w:rPr>
        <w:t>2022,</w:t>
      </w:r>
      <w:r>
        <w:rPr>
          <w:color w:val="231F20"/>
          <w:spacing w:val="-6"/>
        </w:rPr>
        <w:t xml:space="preserve"> </w:t>
      </w:r>
      <w:r>
        <w:rPr>
          <w:color w:val="231F20"/>
        </w:rPr>
        <w:t>with</w:t>
      </w:r>
      <w:r>
        <w:rPr>
          <w:color w:val="231F20"/>
          <w:spacing w:val="-7"/>
        </w:rPr>
        <w:t xml:space="preserve"> </w:t>
      </w:r>
      <w:r>
        <w:rPr>
          <w:color w:val="231F20"/>
        </w:rPr>
        <w:t>the</w:t>
      </w:r>
      <w:r>
        <w:rPr>
          <w:color w:val="231F20"/>
          <w:spacing w:val="-7"/>
        </w:rPr>
        <w:t xml:space="preserve"> </w:t>
      </w:r>
      <w:r>
        <w:rPr>
          <w:color w:val="231F20"/>
        </w:rPr>
        <w:t>easing</w:t>
      </w:r>
      <w:r>
        <w:rPr>
          <w:color w:val="231F20"/>
          <w:spacing w:val="-7"/>
        </w:rPr>
        <w:t xml:space="preserve"> </w:t>
      </w:r>
      <w:r>
        <w:rPr>
          <w:color w:val="231F20"/>
        </w:rPr>
        <w:t>of</w:t>
      </w:r>
      <w:r>
        <w:rPr>
          <w:color w:val="231F20"/>
          <w:spacing w:val="-6"/>
        </w:rPr>
        <w:t xml:space="preserve"> </w:t>
      </w:r>
      <w:r>
        <w:rPr>
          <w:color w:val="231F20"/>
        </w:rPr>
        <w:t>COVID-19</w:t>
      </w:r>
      <w:r>
        <w:rPr>
          <w:color w:val="231F20"/>
          <w:spacing w:val="-7"/>
        </w:rPr>
        <w:t xml:space="preserve"> </w:t>
      </w:r>
      <w:r>
        <w:rPr>
          <w:color w:val="231F20"/>
        </w:rPr>
        <w:t>restrictions,</w:t>
      </w:r>
      <w:r>
        <w:rPr>
          <w:color w:val="231F20"/>
          <w:spacing w:val="-6"/>
        </w:rPr>
        <w:t xml:space="preserve"> </w:t>
      </w:r>
      <w:r>
        <w:rPr>
          <w:color w:val="231F20"/>
        </w:rPr>
        <w:t>full</w:t>
      </w:r>
      <w:r>
        <w:rPr>
          <w:color w:val="231F20"/>
          <w:spacing w:val="-7"/>
        </w:rPr>
        <w:t xml:space="preserve"> </w:t>
      </w:r>
      <w:r>
        <w:rPr>
          <w:color w:val="231F20"/>
        </w:rPr>
        <w:t>graduation</w:t>
      </w:r>
      <w:r>
        <w:rPr>
          <w:color w:val="231F20"/>
          <w:spacing w:val="-7"/>
        </w:rPr>
        <w:t xml:space="preserve"> </w:t>
      </w:r>
      <w:r>
        <w:rPr>
          <w:color w:val="231F20"/>
        </w:rPr>
        <w:t>ceremonies were</w:t>
      </w:r>
      <w:r>
        <w:rPr>
          <w:color w:val="231F20"/>
          <w:spacing w:val="-13"/>
        </w:rPr>
        <w:t xml:space="preserve"> </w:t>
      </w:r>
      <w:r>
        <w:rPr>
          <w:color w:val="231F20"/>
        </w:rPr>
        <w:t>reintroduced.</w:t>
      </w:r>
      <w:r>
        <w:rPr>
          <w:color w:val="231F20"/>
          <w:spacing w:val="-13"/>
        </w:rPr>
        <w:t xml:space="preserve"> </w:t>
      </w:r>
      <w:r>
        <w:rPr>
          <w:color w:val="231F20"/>
        </w:rPr>
        <w:t>Graduations</w:t>
      </w:r>
      <w:r>
        <w:rPr>
          <w:color w:val="231F20"/>
          <w:spacing w:val="-13"/>
        </w:rPr>
        <w:t xml:space="preserve"> </w:t>
      </w:r>
      <w:r>
        <w:rPr>
          <w:color w:val="231F20"/>
        </w:rPr>
        <w:t>were</w:t>
      </w:r>
      <w:r>
        <w:rPr>
          <w:color w:val="231F20"/>
          <w:spacing w:val="-13"/>
        </w:rPr>
        <w:t xml:space="preserve"> </w:t>
      </w:r>
      <w:r>
        <w:rPr>
          <w:color w:val="231F20"/>
        </w:rPr>
        <w:t>suspended</w:t>
      </w:r>
      <w:r>
        <w:rPr>
          <w:color w:val="231F20"/>
          <w:spacing w:val="-13"/>
        </w:rPr>
        <w:t xml:space="preserve"> </w:t>
      </w:r>
      <w:r>
        <w:rPr>
          <w:color w:val="231F20"/>
        </w:rPr>
        <w:t>during</w:t>
      </w:r>
      <w:r>
        <w:rPr>
          <w:color w:val="231F20"/>
          <w:spacing w:val="-13"/>
        </w:rPr>
        <w:t xml:space="preserve"> </w:t>
      </w:r>
      <w:r>
        <w:rPr>
          <w:color w:val="231F20"/>
        </w:rPr>
        <w:t>COVID-19</w:t>
      </w:r>
      <w:r>
        <w:rPr>
          <w:color w:val="231F20"/>
          <w:spacing w:val="-13"/>
        </w:rPr>
        <w:t xml:space="preserve"> </w:t>
      </w:r>
      <w:r>
        <w:rPr>
          <w:color w:val="231F20"/>
        </w:rPr>
        <w:t>and</w:t>
      </w:r>
      <w:r>
        <w:rPr>
          <w:color w:val="231F20"/>
          <w:spacing w:val="-13"/>
        </w:rPr>
        <w:t xml:space="preserve"> </w:t>
      </w:r>
      <w:r>
        <w:rPr>
          <w:color w:val="231F20"/>
        </w:rPr>
        <w:t>for</w:t>
      </w:r>
      <w:r>
        <w:rPr>
          <w:color w:val="231F20"/>
          <w:spacing w:val="-13"/>
        </w:rPr>
        <w:t xml:space="preserve"> </w:t>
      </w:r>
      <w:r>
        <w:rPr>
          <w:color w:val="231F20"/>
        </w:rPr>
        <w:t>those</w:t>
      </w:r>
      <w:r>
        <w:rPr>
          <w:color w:val="231F20"/>
          <w:spacing w:val="-13"/>
        </w:rPr>
        <w:t xml:space="preserve"> </w:t>
      </w:r>
      <w:r>
        <w:rPr>
          <w:color w:val="231F20"/>
        </w:rPr>
        <w:t>members,</w:t>
      </w:r>
      <w:r>
        <w:rPr>
          <w:color w:val="231F20"/>
          <w:spacing w:val="-13"/>
        </w:rPr>
        <w:t xml:space="preserve"> </w:t>
      </w:r>
      <w:r>
        <w:rPr>
          <w:color w:val="231F20"/>
        </w:rPr>
        <w:t>three super graduation ceremonies were held at the Victoria Police Academy over the weekend of 30 April</w:t>
      </w:r>
      <w:r>
        <w:rPr>
          <w:color w:val="231F20"/>
          <w:spacing w:val="-6"/>
        </w:rPr>
        <w:t xml:space="preserve"> </w:t>
      </w:r>
      <w:r>
        <w:rPr>
          <w:color w:val="231F20"/>
        </w:rPr>
        <w:t>to</w:t>
      </w:r>
      <w:r>
        <w:rPr>
          <w:color w:val="231F20"/>
          <w:spacing w:val="-6"/>
        </w:rPr>
        <w:t xml:space="preserve"> </w:t>
      </w:r>
      <w:r>
        <w:rPr>
          <w:color w:val="231F20"/>
        </w:rPr>
        <w:t>1</w:t>
      </w:r>
      <w:r>
        <w:rPr>
          <w:color w:val="231F20"/>
          <w:spacing w:val="-6"/>
        </w:rPr>
        <w:t xml:space="preserve"> </w:t>
      </w:r>
      <w:r>
        <w:rPr>
          <w:color w:val="231F20"/>
        </w:rPr>
        <w:t>May</w:t>
      </w:r>
      <w:r>
        <w:rPr>
          <w:color w:val="231F20"/>
          <w:spacing w:val="-5"/>
        </w:rPr>
        <w:t xml:space="preserve"> </w:t>
      </w:r>
      <w:r>
        <w:rPr>
          <w:color w:val="231F20"/>
        </w:rPr>
        <w:t>2022,</w:t>
      </w:r>
      <w:r>
        <w:rPr>
          <w:color w:val="231F20"/>
          <w:spacing w:val="-5"/>
        </w:rPr>
        <w:t xml:space="preserve"> </w:t>
      </w:r>
      <w:r>
        <w:rPr>
          <w:color w:val="231F20"/>
        </w:rPr>
        <w:t>in</w:t>
      </w:r>
      <w:r>
        <w:rPr>
          <w:color w:val="231F20"/>
          <w:spacing w:val="-6"/>
        </w:rPr>
        <w:t xml:space="preserve"> </w:t>
      </w:r>
      <w:r>
        <w:rPr>
          <w:color w:val="231F20"/>
        </w:rPr>
        <w:t>which</w:t>
      </w:r>
      <w:r>
        <w:rPr>
          <w:color w:val="231F20"/>
          <w:spacing w:val="-6"/>
        </w:rPr>
        <w:t xml:space="preserve"> </w:t>
      </w:r>
      <w:r>
        <w:rPr>
          <w:color w:val="231F20"/>
        </w:rPr>
        <w:t>282</w:t>
      </w:r>
      <w:r>
        <w:rPr>
          <w:color w:val="231F20"/>
          <w:spacing w:val="-6"/>
        </w:rPr>
        <w:t xml:space="preserve"> </w:t>
      </w:r>
      <w:r>
        <w:rPr>
          <w:color w:val="231F20"/>
        </w:rPr>
        <w:t>constables</w:t>
      </w:r>
      <w:r>
        <w:rPr>
          <w:color w:val="231F20"/>
          <w:spacing w:val="-5"/>
        </w:rPr>
        <w:t xml:space="preserve"> </w:t>
      </w:r>
      <w:r>
        <w:rPr>
          <w:color w:val="231F20"/>
        </w:rPr>
        <w:t>and</w:t>
      </w:r>
      <w:r>
        <w:rPr>
          <w:color w:val="231F20"/>
          <w:spacing w:val="-6"/>
        </w:rPr>
        <w:t xml:space="preserve"> </w:t>
      </w:r>
      <w:r>
        <w:rPr>
          <w:color w:val="231F20"/>
        </w:rPr>
        <w:t>first</w:t>
      </w:r>
      <w:r>
        <w:rPr>
          <w:color w:val="231F20"/>
          <w:spacing w:val="-5"/>
        </w:rPr>
        <w:t xml:space="preserve"> </w:t>
      </w:r>
      <w:r>
        <w:rPr>
          <w:color w:val="231F20"/>
        </w:rPr>
        <w:t>constables</w:t>
      </w:r>
      <w:r>
        <w:rPr>
          <w:color w:val="231F20"/>
          <w:spacing w:val="-5"/>
        </w:rPr>
        <w:t xml:space="preserve"> </w:t>
      </w:r>
      <w:r>
        <w:rPr>
          <w:color w:val="231F20"/>
        </w:rPr>
        <w:t>‘marched</w:t>
      </w:r>
      <w:r>
        <w:rPr>
          <w:color w:val="231F20"/>
          <w:spacing w:val="-6"/>
        </w:rPr>
        <w:t xml:space="preserve"> </w:t>
      </w:r>
      <w:r>
        <w:rPr>
          <w:color w:val="231F20"/>
        </w:rPr>
        <w:t>out’.</w:t>
      </w:r>
      <w:r>
        <w:rPr>
          <w:color w:val="231F20"/>
          <w:spacing w:val="-5"/>
        </w:rPr>
        <w:t xml:space="preserve"> </w:t>
      </w:r>
      <w:r>
        <w:rPr>
          <w:color w:val="231F20"/>
        </w:rPr>
        <w:t>The</w:t>
      </w:r>
      <w:r>
        <w:rPr>
          <w:color w:val="231F20"/>
          <w:spacing w:val="-6"/>
        </w:rPr>
        <w:t xml:space="preserve"> </w:t>
      </w:r>
      <w:r>
        <w:rPr>
          <w:color w:val="231F20"/>
        </w:rPr>
        <w:t>ceremonies provided an opportunity for the participants to be formally acknowledged in front of the Victoria Police Command, as well as family and friends.</w:t>
      </w:r>
    </w:p>
    <w:p w14:paraId="56594071" w14:textId="77777777" w:rsidR="00345EE3" w:rsidRDefault="00345EE3" w:rsidP="00345EE3">
      <w:pPr>
        <w:pStyle w:val="Heading5"/>
        <w:spacing w:before="179"/>
      </w:pPr>
      <w:r>
        <w:rPr>
          <w:color w:val="58595B"/>
        </w:rPr>
        <w:t>Policy</w:t>
      </w:r>
      <w:r>
        <w:rPr>
          <w:color w:val="58595B"/>
          <w:spacing w:val="-1"/>
        </w:rPr>
        <w:t xml:space="preserve"> </w:t>
      </w:r>
      <w:r>
        <w:rPr>
          <w:color w:val="58595B"/>
        </w:rPr>
        <w:t>and</w:t>
      </w:r>
      <w:r>
        <w:rPr>
          <w:color w:val="58595B"/>
          <w:spacing w:val="-2"/>
        </w:rPr>
        <w:t xml:space="preserve"> Legislation</w:t>
      </w:r>
    </w:p>
    <w:p w14:paraId="390A200B" w14:textId="77777777" w:rsidR="00345EE3" w:rsidRDefault="00345EE3" w:rsidP="00345EE3">
      <w:pPr>
        <w:pStyle w:val="BodyText"/>
        <w:spacing w:before="4" w:line="242" w:lineRule="auto"/>
        <w:ind w:right="921"/>
      </w:pPr>
      <w:r>
        <w:rPr>
          <w:color w:val="231F20"/>
        </w:rPr>
        <w:t>Many proactive legislative reforms have progressed with the Victorian Government that are aimed</w:t>
      </w:r>
      <w:r>
        <w:rPr>
          <w:color w:val="231F20"/>
          <w:spacing w:val="-8"/>
        </w:rPr>
        <w:t xml:space="preserve"> </w:t>
      </w:r>
      <w:r>
        <w:rPr>
          <w:color w:val="231F20"/>
        </w:rPr>
        <w:t>at</w:t>
      </w:r>
      <w:r>
        <w:rPr>
          <w:color w:val="231F20"/>
          <w:spacing w:val="-7"/>
        </w:rPr>
        <w:t xml:space="preserve"> </w:t>
      </w:r>
      <w:r>
        <w:rPr>
          <w:color w:val="231F20"/>
        </w:rPr>
        <w:t>improving</w:t>
      </w:r>
      <w:r>
        <w:rPr>
          <w:color w:val="231F20"/>
          <w:spacing w:val="-8"/>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service</w:t>
      </w:r>
      <w:r>
        <w:rPr>
          <w:color w:val="231F20"/>
          <w:spacing w:val="-8"/>
        </w:rPr>
        <w:t xml:space="preserve"> </w:t>
      </w:r>
      <w:r>
        <w:rPr>
          <w:color w:val="231F20"/>
        </w:rPr>
        <w:t>delivery</w:t>
      </w:r>
      <w:r>
        <w:rPr>
          <w:color w:val="231F20"/>
          <w:spacing w:val="-7"/>
        </w:rPr>
        <w:t xml:space="preserve"> </w:t>
      </w:r>
      <w:r>
        <w:rPr>
          <w:color w:val="231F20"/>
        </w:rPr>
        <w:t>and</w:t>
      </w:r>
      <w:r>
        <w:rPr>
          <w:color w:val="231F20"/>
          <w:spacing w:val="-8"/>
        </w:rPr>
        <w:t xml:space="preserve"> </w:t>
      </w:r>
      <w:r>
        <w:rPr>
          <w:color w:val="231F20"/>
        </w:rPr>
        <w:t>enhancing</w:t>
      </w:r>
      <w:r>
        <w:rPr>
          <w:color w:val="231F20"/>
          <w:spacing w:val="-8"/>
        </w:rPr>
        <w:t xml:space="preserve"> </w:t>
      </w:r>
      <w:r>
        <w:rPr>
          <w:color w:val="231F20"/>
        </w:rPr>
        <w:t>the</w:t>
      </w:r>
      <w:r>
        <w:rPr>
          <w:color w:val="231F20"/>
          <w:spacing w:val="-8"/>
        </w:rPr>
        <w:t xml:space="preserve"> </w:t>
      </w:r>
      <w:r>
        <w:rPr>
          <w:color w:val="231F20"/>
        </w:rPr>
        <w:t>safety</w:t>
      </w:r>
      <w:r>
        <w:rPr>
          <w:color w:val="231F20"/>
          <w:spacing w:val="-7"/>
        </w:rPr>
        <w:t xml:space="preserve"> </w:t>
      </w:r>
      <w:r>
        <w:rPr>
          <w:color w:val="231F20"/>
        </w:rPr>
        <w:t>of</w:t>
      </w:r>
      <w:r>
        <w:rPr>
          <w:color w:val="231F20"/>
          <w:spacing w:val="-8"/>
        </w:rPr>
        <w:t xml:space="preserve"> </w:t>
      </w:r>
      <w:r>
        <w:rPr>
          <w:color w:val="231F20"/>
        </w:rPr>
        <w:t>all</w:t>
      </w:r>
      <w:r>
        <w:rPr>
          <w:color w:val="231F20"/>
          <w:spacing w:val="-8"/>
        </w:rPr>
        <w:t xml:space="preserve"> </w:t>
      </w:r>
      <w:r>
        <w:rPr>
          <w:color w:val="231F20"/>
        </w:rPr>
        <w:t>Victorians. Some notable items include:</w:t>
      </w:r>
    </w:p>
    <w:p w14:paraId="547C1C8A" w14:textId="77777777" w:rsidR="00345EE3" w:rsidRDefault="00345EE3">
      <w:pPr>
        <w:pStyle w:val="ListParagraph"/>
        <w:numPr>
          <w:ilvl w:val="0"/>
          <w:numId w:val="84"/>
        </w:numPr>
        <w:tabs>
          <w:tab w:val="left" w:pos="393"/>
          <w:tab w:val="left" w:pos="394"/>
        </w:tabs>
        <w:spacing w:before="31"/>
        <w:rPr>
          <w:sz w:val="24"/>
        </w:rPr>
      </w:pPr>
      <w:r>
        <w:rPr>
          <w:color w:val="231F20"/>
          <w:sz w:val="24"/>
        </w:rPr>
        <w:t>improvements</w:t>
      </w:r>
      <w:r>
        <w:rPr>
          <w:color w:val="231F20"/>
          <w:spacing w:val="-11"/>
          <w:sz w:val="24"/>
        </w:rPr>
        <w:t xml:space="preserve"> </w:t>
      </w:r>
      <w:r>
        <w:rPr>
          <w:color w:val="231F20"/>
          <w:sz w:val="24"/>
        </w:rPr>
        <w:t>in</w:t>
      </w:r>
      <w:r>
        <w:rPr>
          <w:color w:val="231F20"/>
          <w:spacing w:val="-11"/>
          <w:sz w:val="24"/>
        </w:rPr>
        <w:t xml:space="preserve"> </w:t>
      </w:r>
      <w:r>
        <w:rPr>
          <w:color w:val="231F20"/>
          <w:sz w:val="24"/>
        </w:rPr>
        <w:t>the</w:t>
      </w:r>
      <w:r>
        <w:rPr>
          <w:color w:val="231F20"/>
          <w:spacing w:val="-12"/>
          <w:sz w:val="24"/>
        </w:rPr>
        <w:t xml:space="preserve"> </w:t>
      </w:r>
      <w:r>
        <w:rPr>
          <w:color w:val="231F20"/>
          <w:sz w:val="24"/>
        </w:rPr>
        <w:t>regulation</w:t>
      </w:r>
      <w:r>
        <w:rPr>
          <w:color w:val="231F20"/>
          <w:spacing w:val="-11"/>
          <w:sz w:val="24"/>
        </w:rPr>
        <w:t xml:space="preserve"> </w:t>
      </w:r>
      <w:r>
        <w:rPr>
          <w:color w:val="231F20"/>
          <w:sz w:val="24"/>
        </w:rPr>
        <w:t>of</w:t>
      </w:r>
      <w:r>
        <w:rPr>
          <w:color w:val="231F20"/>
          <w:spacing w:val="-10"/>
          <w:sz w:val="24"/>
        </w:rPr>
        <w:t xml:space="preserve"> </w:t>
      </w:r>
      <w:r>
        <w:rPr>
          <w:color w:val="231F20"/>
          <w:spacing w:val="-2"/>
          <w:sz w:val="24"/>
        </w:rPr>
        <w:t>firearms</w:t>
      </w:r>
    </w:p>
    <w:p w14:paraId="385FAC1B" w14:textId="77777777" w:rsidR="00345EE3" w:rsidRDefault="00345EE3">
      <w:pPr>
        <w:pStyle w:val="ListParagraph"/>
        <w:numPr>
          <w:ilvl w:val="0"/>
          <w:numId w:val="84"/>
        </w:numPr>
        <w:tabs>
          <w:tab w:val="left" w:pos="393"/>
          <w:tab w:val="left" w:pos="394"/>
        </w:tabs>
        <w:spacing w:before="33"/>
        <w:rPr>
          <w:sz w:val="24"/>
        </w:rPr>
      </w:pPr>
      <w:r>
        <w:rPr>
          <w:color w:val="231F20"/>
          <w:sz w:val="24"/>
        </w:rPr>
        <w:t>modernising</w:t>
      </w:r>
      <w:r>
        <w:rPr>
          <w:color w:val="231F20"/>
          <w:spacing w:val="-6"/>
          <w:sz w:val="24"/>
        </w:rPr>
        <w:t xml:space="preserve"> </w:t>
      </w:r>
      <w:r>
        <w:rPr>
          <w:color w:val="231F20"/>
          <w:sz w:val="24"/>
        </w:rPr>
        <w:t>laws</w:t>
      </w:r>
      <w:r>
        <w:rPr>
          <w:color w:val="231F20"/>
          <w:spacing w:val="-5"/>
          <w:sz w:val="24"/>
        </w:rPr>
        <w:t xml:space="preserve"> </w:t>
      </w:r>
      <w:r>
        <w:rPr>
          <w:color w:val="231F20"/>
          <w:sz w:val="24"/>
        </w:rPr>
        <w:t>to</w:t>
      </w:r>
      <w:r>
        <w:rPr>
          <w:color w:val="231F20"/>
          <w:spacing w:val="-6"/>
          <w:sz w:val="24"/>
        </w:rPr>
        <w:t xml:space="preserve"> </w:t>
      </w:r>
      <w:r>
        <w:rPr>
          <w:color w:val="231F20"/>
          <w:sz w:val="24"/>
        </w:rPr>
        <w:t>tackle</w:t>
      </w:r>
      <w:r>
        <w:rPr>
          <w:color w:val="231F20"/>
          <w:spacing w:val="-5"/>
          <w:sz w:val="24"/>
        </w:rPr>
        <w:t xml:space="preserve"> </w:t>
      </w:r>
      <w:r>
        <w:rPr>
          <w:color w:val="231F20"/>
          <w:sz w:val="24"/>
        </w:rPr>
        <w:t>e-</w:t>
      </w:r>
      <w:r>
        <w:rPr>
          <w:color w:val="231F20"/>
          <w:spacing w:val="-4"/>
          <w:sz w:val="24"/>
        </w:rPr>
        <w:t>crime</w:t>
      </w:r>
    </w:p>
    <w:p w14:paraId="495A56B5" w14:textId="77777777" w:rsidR="00345EE3" w:rsidRDefault="00345EE3">
      <w:pPr>
        <w:pStyle w:val="ListParagraph"/>
        <w:numPr>
          <w:ilvl w:val="0"/>
          <w:numId w:val="84"/>
        </w:numPr>
        <w:tabs>
          <w:tab w:val="left" w:pos="393"/>
          <w:tab w:val="left" w:pos="394"/>
        </w:tabs>
        <w:rPr>
          <w:sz w:val="24"/>
        </w:rPr>
      </w:pPr>
      <w:r>
        <w:rPr>
          <w:color w:val="231F20"/>
          <w:sz w:val="24"/>
        </w:rPr>
        <w:t>improving</w:t>
      </w:r>
      <w:r>
        <w:rPr>
          <w:color w:val="231F20"/>
          <w:spacing w:val="-12"/>
          <w:sz w:val="24"/>
        </w:rPr>
        <w:t xml:space="preserve"> </w:t>
      </w:r>
      <w:r>
        <w:rPr>
          <w:color w:val="231F20"/>
          <w:sz w:val="24"/>
        </w:rPr>
        <w:t>the</w:t>
      </w:r>
      <w:r>
        <w:rPr>
          <w:color w:val="231F20"/>
          <w:spacing w:val="-11"/>
          <w:sz w:val="24"/>
        </w:rPr>
        <w:t xml:space="preserve"> </w:t>
      </w:r>
      <w:r>
        <w:rPr>
          <w:color w:val="231F20"/>
          <w:sz w:val="24"/>
        </w:rPr>
        <w:t>operation</w:t>
      </w:r>
      <w:r>
        <w:rPr>
          <w:color w:val="231F20"/>
          <w:spacing w:val="-11"/>
          <w:sz w:val="24"/>
        </w:rPr>
        <w:t xml:space="preserve"> </w:t>
      </w:r>
      <w:r>
        <w:rPr>
          <w:color w:val="231F20"/>
          <w:sz w:val="24"/>
        </w:rPr>
        <w:t>of</w:t>
      </w:r>
      <w:r>
        <w:rPr>
          <w:color w:val="231F20"/>
          <w:spacing w:val="-10"/>
          <w:sz w:val="24"/>
        </w:rPr>
        <w:t xml:space="preserve"> </w:t>
      </w:r>
      <w:r>
        <w:rPr>
          <w:color w:val="231F20"/>
          <w:sz w:val="24"/>
        </w:rPr>
        <w:t>sex</w:t>
      </w:r>
      <w:r>
        <w:rPr>
          <w:color w:val="231F20"/>
          <w:spacing w:val="-10"/>
          <w:sz w:val="24"/>
        </w:rPr>
        <w:t xml:space="preserve"> </w:t>
      </w:r>
      <w:r>
        <w:rPr>
          <w:color w:val="231F20"/>
          <w:sz w:val="24"/>
        </w:rPr>
        <w:t>offender</w:t>
      </w:r>
      <w:r>
        <w:rPr>
          <w:color w:val="231F20"/>
          <w:spacing w:val="-10"/>
          <w:sz w:val="24"/>
        </w:rPr>
        <w:t xml:space="preserve"> </w:t>
      </w:r>
      <w:r>
        <w:rPr>
          <w:color w:val="231F20"/>
          <w:sz w:val="24"/>
        </w:rPr>
        <w:t>registration</w:t>
      </w:r>
      <w:r>
        <w:rPr>
          <w:color w:val="231F20"/>
          <w:spacing w:val="-11"/>
          <w:sz w:val="24"/>
        </w:rPr>
        <w:t xml:space="preserve"> </w:t>
      </w:r>
      <w:r>
        <w:rPr>
          <w:color w:val="231F20"/>
          <w:spacing w:val="-4"/>
          <w:sz w:val="24"/>
        </w:rPr>
        <w:t>laws</w:t>
      </w:r>
    </w:p>
    <w:p w14:paraId="29BD41DC" w14:textId="77777777" w:rsidR="00345EE3" w:rsidRDefault="00345EE3">
      <w:pPr>
        <w:pStyle w:val="ListParagraph"/>
        <w:numPr>
          <w:ilvl w:val="0"/>
          <w:numId w:val="84"/>
        </w:numPr>
        <w:tabs>
          <w:tab w:val="left" w:pos="393"/>
          <w:tab w:val="left" w:pos="394"/>
        </w:tabs>
        <w:spacing w:line="242" w:lineRule="auto"/>
        <w:ind w:right="1066"/>
        <w:rPr>
          <w:sz w:val="24"/>
        </w:rPr>
      </w:pPr>
      <w:r>
        <w:rPr>
          <w:color w:val="231F20"/>
          <w:sz w:val="24"/>
        </w:rPr>
        <w:t>retrospective</w:t>
      </w:r>
      <w:r>
        <w:rPr>
          <w:color w:val="231F20"/>
          <w:spacing w:val="-10"/>
          <w:sz w:val="24"/>
        </w:rPr>
        <w:t xml:space="preserve"> </w:t>
      </w:r>
      <w:r>
        <w:rPr>
          <w:color w:val="231F20"/>
          <w:sz w:val="24"/>
        </w:rPr>
        <w:t>law</w:t>
      </w:r>
      <w:r>
        <w:rPr>
          <w:color w:val="231F20"/>
          <w:spacing w:val="-10"/>
          <w:sz w:val="24"/>
        </w:rPr>
        <w:t xml:space="preserve"> </w:t>
      </w:r>
      <w:r>
        <w:rPr>
          <w:color w:val="231F20"/>
          <w:sz w:val="24"/>
        </w:rPr>
        <w:t>to</w:t>
      </w:r>
      <w:r>
        <w:rPr>
          <w:color w:val="231F20"/>
          <w:spacing w:val="-10"/>
          <w:sz w:val="24"/>
        </w:rPr>
        <w:t xml:space="preserve"> </w:t>
      </w:r>
      <w:r>
        <w:rPr>
          <w:color w:val="231F20"/>
          <w:sz w:val="24"/>
        </w:rPr>
        <w:t>cure</w:t>
      </w:r>
      <w:r>
        <w:rPr>
          <w:color w:val="231F20"/>
          <w:spacing w:val="-10"/>
          <w:sz w:val="24"/>
        </w:rPr>
        <w:t xml:space="preserve"> </w:t>
      </w:r>
      <w:r>
        <w:rPr>
          <w:color w:val="231F20"/>
          <w:sz w:val="24"/>
        </w:rPr>
        <w:t>delegation</w:t>
      </w:r>
      <w:r>
        <w:rPr>
          <w:color w:val="231F20"/>
          <w:spacing w:val="-10"/>
          <w:sz w:val="24"/>
        </w:rPr>
        <w:t xml:space="preserve"> </w:t>
      </w:r>
      <w:r>
        <w:rPr>
          <w:color w:val="231F20"/>
          <w:sz w:val="24"/>
        </w:rPr>
        <w:t>defects</w:t>
      </w:r>
      <w:r>
        <w:rPr>
          <w:color w:val="231F20"/>
          <w:spacing w:val="-9"/>
          <w:sz w:val="24"/>
        </w:rPr>
        <w:t xml:space="preserve"> </w:t>
      </w:r>
      <w:r>
        <w:rPr>
          <w:color w:val="231F20"/>
          <w:sz w:val="24"/>
        </w:rPr>
        <w:t>and</w:t>
      </w:r>
      <w:r>
        <w:rPr>
          <w:color w:val="231F20"/>
          <w:spacing w:val="-10"/>
          <w:sz w:val="24"/>
        </w:rPr>
        <w:t xml:space="preserve"> </w:t>
      </w:r>
      <w:r>
        <w:rPr>
          <w:color w:val="231F20"/>
          <w:sz w:val="24"/>
        </w:rPr>
        <w:t>validate</w:t>
      </w:r>
      <w:r>
        <w:rPr>
          <w:color w:val="231F20"/>
          <w:spacing w:val="-10"/>
          <w:sz w:val="24"/>
        </w:rPr>
        <w:t xml:space="preserve"> </w:t>
      </w:r>
      <w:r>
        <w:rPr>
          <w:color w:val="231F20"/>
          <w:sz w:val="24"/>
        </w:rPr>
        <w:t>the</w:t>
      </w:r>
      <w:r>
        <w:rPr>
          <w:color w:val="231F20"/>
          <w:spacing w:val="-10"/>
          <w:sz w:val="24"/>
        </w:rPr>
        <w:t xml:space="preserve"> </w:t>
      </w:r>
      <w:r>
        <w:rPr>
          <w:color w:val="231F20"/>
          <w:sz w:val="24"/>
        </w:rPr>
        <w:t>use</w:t>
      </w:r>
      <w:r>
        <w:rPr>
          <w:color w:val="231F20"/>
          <w:spacing w:val="-10"/>
          <w:sz w:val="24"/>
        </w:rPr>
        <w:t xml:space="preserve"> </w:t>
      </w:r>
      <w:r>
        <w:rPr>
          <w:color w:val="231F20"/>
          <w:sz w:val="24"/>
        </w:rPr>
        <w:t>of</w:t>
      </w:r>
      <w:r>
        <w:rPr>
          <w:color w:val="231F20"/>
          <w:spacing w:val="-9"/>
          <w:sz w:val="24"/>
        </w:rPr>
        <w:t xml:space="preserve"> </w:t>
      </w:r>
      <w:r>
        <w:rPr>
          <w:color w:val="231F20"/>
          <w:sz w:val="24"/>
        </w:rPr>
        <w:t>oleoresin</w:t>
      </w:r>
      <w:r>
        <w:rPr>
          <w:color w:val="231F20"/>
          <w:spacing w:val="-10"/>
          <w:sz w:val="24"/>
        </w:rPr>
        <w:t xml:space="preserve"> </w:t>
      </w:r>
      <w:r>
        <w:rPr>
          <w:color w:val="231F20"/>
          <w:sz w:val="24"/>
        </w:rPr>
        <w:t>spray</w:t>
      </w:r>
      <w:r>
        <w:rPr>
          <w:color w:val="231F20"/>
          <w:spacing w:val="-9"/>
          <w:sz w:val="24"/>
        </w:rPr>
        <w:t xml:space="preserve"> </w:t>
      </w:r>
      <w:r>
        <w:rPr>
          <w:color w:val="231F20"/>
          <w:sz w:val="24"/>
        </w:rPr>
        <w:t>by</w:t>
      </w:r>
      <w:r>
        <w:rPr>
          <w:color w:val="231F20"/>
          <w:spacing w:val="-10"/>
          <w:sz w:val="24"/>
        </w:rPr>
        <w:t xml:space="preserve"> </w:t>
      </w:r>
      <w:r>
        <w:rPr>
          <w:color w:val="231F20"/>
          <w:sz w:val="24"/>
        </w:rPr>
        <w:t>PSOs engaged in official duties</w:t>
      </w:r>
    </w:p>
    <w:p w14:paraId="5C94622C" w14:textId="77777777" w:rsidR="00345EE3" w:rsidRDefault="00345EE3">
      <w:pPr>
        <w:pStyle w:val="ListParagraph"/>
        <w:numPr>
          <w:ilvl w:val="0"/>
          <w:numId w:val="84"/>
        </w:numPr>
        <w:tabs>
          <w:tab w:val="left" w:pos="393"/>
          <w:tab w:val="left" w:pos="394"/>
        </w:tabs>
        <w:spacing w:before="31"/>
        <w:rPr>
          <w:sz w:val="24"/>
        </w:rPr>
      </w:pPr>
      <w:r>
        <w:rPr>
          <w:color w:val="231F20"/>
          <w:sz w:val="24"/>
        </w:rPr>
        <w:t>hoon</w:t>
      </w:r>
      <w:r>
        <w:rPr>
          <w:color w:val="231F20"/>
          <w:spacing w:val="-7"/>
          <w:sz w:val="24"/>
        </w:rPr>
        <w:t xml:space="preserve"> </w:t>
      </w:r>
      <w:r>
        <w:rPr>
          <w:color w:val="231F20"/>
          <w:sz w:val="24"/>
        </w:rPr>
        <w:t>driving</w:t>
      </w:r>
      <w:r>
        <w:rPr>
          <w:color w:val="231F20"/>
          <w:spacing w:val="-6"/>
          <w:sz w:val="24"/>
        </w:rPr>
        <w:t xml:space="preserve"> </w:t>
      </w:r>
      <w:r>
        <w:rPr>
          <w:color w:val="231F20"/>
          <w:spacing w:val="-2"/>
          <w:sz w:val="24"/>
        </w:rPr>
        <w:t>reforms</w:t>
      </w:r>
    </w:p>
    <w:p w14:paraId="4387163D" w14:textId="77777777" w:rsidR="00345EE3" w:rsidRDefault="00345EE3">
      <w:pPr>
        <w:pStyle w:val="ListParagraph"/>
        <w:numPr>
          <w:ilvl w:val="0"/>
          <w:numId w:val="84"/>
        </w:numPr>
        <w:tabs>
          <w:tab w:val="left" w:pos="393"/>
          <w:tab w:val="left" w:pos="394"/>
        </w:tabs>
        <w:spacing w:before="33" w:line="242" w:lineRule="auto"/>
        <w:ind w:right="1173"/>
        <w:rPr>
          <w:sz w:val="24"/>
        </w:rPr>
      </w:pPr>
      <w:r>
        <w:rPr>
          <w:color w:val="231F20"/>
          <w:sz w:val="24"/>
        </w:rPr>
        <w:t>enabling</w:t>
      </w:r>
      <w:r>
        <w:rPr>
          <w:color w:val="231F20"/>
          <w:spacing w:val="-11"/>
          <w:sz w:val="24"/>
        </w:rPr>
        <w:t xml:space="preserve"> </w:t>
      </w:r>
      <w:r>
        <w:rPr>
          <w:color w:val="231F20"/>
          <w:sz w:val="24"/>
        </w:rPr>
        <w:t>first</w:t>
      </w:r>
      <w:r>
        <w:rPr>
          <w:color w:val="231F20"/>
          <w:spacing w:val="-10"/>
          <w:sz w:val="24"/>
        </w:rPr>
        <w:t xml:space="preserve"> </w:t>
      </w:r>
      <w:r>
        <w:rPr>
          <w:color w:val="231F20"/>
          <w:sz w:val="24"/>
        </w:rPr>
        <w:t>remand</w:t>
      </w:r>
      <w:r>
        <w:rPr>
          <w:color w:val="231F20"/>
          <w:spacing w:val="-11"/>
          <w:sz w:val="24"/>
        </w:rPr>
        <w:t xml:space="preserve"> </w:t>
      </w:r>
      <w:r>
        <w:rPr>
          <w:color w:val="231F20"/>
          <w:sz w:val="24"/>
        </w:rPr>
        <w:t>hearing</w:t>
      </w:r>
      <w:r>
        <w:rPr>
          <w:color w:val="231F20"/>
          <w:spacing w:val="-11"/>
          <w:sz w:val="24"/>
        </w:rPr>
        <w:t xml:space="preserve"> </w:t>
      </w:r>
      <w:r>
        <w:rPr>
          <w:color w:val="231F20"/>
          <w:sz w:val="24"/>
        </w:rPr>
        <w:t>appearances</w:t>
      </w:r>
      <w:r>
        <w:rPr>
          <w:color w:val="231F20"/>
          <w:spacing w:val="-10"/>
          <w:sz w:val="24"/>
        </w:rPr>
        <w:t xml:space="preserve"> </w:t>
      </w:r>
      <w:r>
        <w:rPr>
          <w:color w:val="231F20"/>
          <w:sz w:val="24"/>
        </w:rPr>
        <w:t>via</w:t>
      </w:r>
      <w:r>
        <w:rPr>
          <w:color w:val="231F20"/>
          <w:spacing w:val="-11"/>
          <w:sz w:val="24"/>
        </w:rPr>
        <w:t xml:space="preserve"> </w:t>
      </w:r>
      <w:r>
        <w:rPr>
          <w:color w:val="231F20"/>
          <w:sz w:val="24"/>
        </w:rPr>
        <w:t>an</w:t>
      </w:r>
      <w:r>
        <w:rPr>
          <w:color w:val="231F20"/>
          <w:spacing w:val="-11"/>
          <w:sz w:val="24"/>
        </w:rPr>
        <w:t xml:space="preserve"> </w:t>
      </w:r>
      <w:r>
        <w:rPr>
          <w:color w:val="231F20"/>
          <w:sz w:val="24"/>
        </w:rPr>
        <w:t>AVL</w:t>
      </w:r>
      <w:r>
        <w:rPr>
          <w:color w:val="231F20"/>
          <w:spacing w:val="-11"/>
          <w:sz w:val="24"/>
        </w:rPr>
        <w:t xml:space="preserve"> </w:t>
      </w:r>
      <w:r>
        <w:rPr>
          <w:color w:val="231F20"/>
          <w:sz w:val="24"/>
        </w:rPr>
        <w:t>in</w:t>
      </w:r>
      <w:r>
        <w:rPr>
          <w:color w:val="231F20"/>
          <w:spacing w:val="-11"/>
          <w:sz w:val="24"/>
        </w:rPr>
        <w:t xml:space="preserve"> </w:t>
      </w:r>
      <w:r>
        <w:rPr>
          <w:color w:val="231F20"/>
          <w:sz w:val="24"/>
        </w:rPr>
        <w:t>limited</w:t>
      </w:r>
      <w:r>
        <w:rPr>
          <w:color w:val="231F20"/>
          <w:spacing w:val="-11"/>
          <w:sz w:val="24"/>
        </w:rPr>
        <w:t xml:space="preserve"> </w:t>
      </w:r>
      <w:r>
        <w:rPr>
          <w:color w:val="231F20"/>
          <w:sz w:val="24"/>
        </w:rPr>
        <w:t>circumstances</w:t>
      </w:r>
      <w:r>
        <w:rPr>
          <w:color w:val="231F20"/>
          <w:spacing w:val="-10"/>
          <w:sz w:val="24"/>
        </w:rPr>
        <w:t xml:space="preserve"> </w:t>
      </w:r>
      <w:r>
        <w:rPr>
          <w:color w:val="231F20"/>
          <w:sz w:val="24"/>
        </w:rPr>
        <w:t>to</w:t>
      </w:r>
      <w:r>
        <w:rPr>
          <w:color w:val="231F20"/>
          <w:spacing w:val="-11"/>
          <w:sz w:val="24"/>
        </w:rPr>
        <w:t xml:space="preserve"> </w:t>
      </w:r>
      <w:r>
        <w:rPr>
          <w:color w:val="231F20"/>
          <w:sz w:val="24"/>
        </w:rPr>
        <w:t>minimise public health risks and manage occupational health and safety risks to Victoria Police.</w:t>
      </w:r>
    </w:p>
    <w:p w14:paraId="306CFD59" w14:textId="77777777" w:rsidR="00345EE3" w:rsidRDefault="00345EE3" w:rsidP="00345EE3">
      <w:pPr>
        <w:pStyle w:val="BodyText"/>
        <w:spacing w:before="116" w:line="242" w:lineRule="auto"/>
        <w:ind w:right="1186"/>
      </w:pPr>
      <w:r>
        <w:rPr>
          <w:color w:val="231F20"/>
        </w:rPr>
        <w:t>The</w:t>
      </w:r>
      <w:r>
        <w:rPr>
          <w:color w:val="231F20"/>
          <w:spacing w:val="-11"/>
        </w:rPr>
        <w:t xml:space="preserve"> </w:t>
      </w:r>
      <w:r>
        <w:rPr>
          <w:color w:val="231F20"/>
        </w:rPr>
        <w:t>2021–22</w:t>
      </w:r>
      <w:r>
        <w:rPr>
          <w:color w:val="231F20"/>
          <w:spacing w:val="-11"/>
        </w:rPr>
        <w:t xml:space="preserve"> </w:t>
      </w:r>
      <w:r>
        <w:rPr>
          <w:color w:val="231F20"/>
        </w:rPr>
        <w:t>financial</w:t>
      </w:r>
      <w:r>
        <w:rPr>
          <w:color w:val="231F20"/>
          <w:spacing w:val="-11"/>
        </w:rPr>
        <w:t xml:space="preserve"> </w:t>
      </w:r>
      <w:r>
        <w:rPr>
          <w:color w:val="231F20"/>
        </w:rPr>
        <w:t>year</w:t>
      </w:r>
      <w:r>
        <w:rPr>
          <w:color w:val="231F20"/>
          <w:spacing w:val="-10"/>
        </w:rPr>
        <w:t xml:space="preserve"> </w:t>
      </w:r>
      <w:r>
        <w:rPr>
          <w:color w:val="231F20"/>
        </w:rPr>
        <w:t>has</w:t>
      </w:r>
      <w:r>
        <w:rPr>
          <w:color w:val="231F20"/>
          <w:spacing w:val="-10"/>
        </w:rPr>
        <w:t xml:space="preserve"> </w:t>
      </w:r>
      <w:r>
        <w:rPr>
          <w:color w:val="231F20"/>
        </w:rPr>
        <w:t>seen</w:t>
      </w:r>
      <w:r>
        <w:rPr>
          <w:color w:val="231F20"/>
          <w:spacing w:val="-11"/>
        </w:rPr>
        <w:t xml:space="preserve"> </w:t>
      </w:r>
      <w:r>
        <w:rPr>
          <w:color w:val="231F20"/>
        </w:rPr>
        <w:t>the</w:t>
      </w:r>
      <w:r>
        <w:rPr>
          <w:color w:val="231F20"/>
          <w:spacing w:val="-11"/>
        </w:rPr>
        <w:t xml:space="preserve"> </w:t>
      </w:r>
      <w:r>
        <w:rPr>
          <w:color w:val="231F20"/>
        </w:rPr>
        <w:t>coordination</w:t>
      </w:r>
      <w:r>
        <w:rPr>
          <w:color w:val="231F20"/>
          <w:spacing w:val="-11"/>
        </w:rPr>
        <w:t xml:space="preserve"> </w:t>
      </w:r>
      <w:r>
        <w:rPr>
          <w:color w:val="231F20"/>
        </w:rPr>
        <w:t>of</w:t>
      </w:r>
      <w:r>
        <w:rPr>
          <w:color w:val="231F20"/>
          <w:spacing w:val="-10"/>
        </w:rPr>
        <w:t xml:space="preserve"> </w:t>
      </w:r>
      <w:r>
        <w:rPr>
          <w:color w:val="231F20"/>
        </w:rPr>
        <w:t>Victoria</w:t>
      </w:r>
      <w:r>
        <w:rPr>
          <w:color w:val="231F20"/>
          <w:spacing w:val="-11"/>
        </w:rPr>
        <w:t xml:space="preserve"> </w:t>
      </w:r>
      <w:r>
        <w:rPr>
          <w:color w:val="231F20"/>
        </w:rPr>
        <w:t>Police’s</w:t>
      </w:r>
      <w:r>
        <w:rPr>
          <w:color w:val="231F20"/>
          <w:spacing w:val="-10"/>
        </w:rPr>
        <w:t xml:space="preserve"> </w:t>
      </w:r>
      <w:r>
        <w:rPr>
          <w:color w:val="231F20"/>
        </w:rPr>
        <w:t>contribution</w:t>
      </w:r>
      <w:r>
        <w:rPr>
          <w:color w:val="231F20"/>
          <w:spacing w:val="-11"/>
        </w:rPr>
        <w:t xml:space="preserve"> </w:t>
      </w:r>
      <w:r>
        <w:rPr>
          <w:color w:val="231F20"/>
        </w:rPr>
        <w:t>to</w:t>
      </w:r>
      <w:r>
        <w:rPr>
          <w:color w:val="231F20"/>
          <w:spacing w:val="-11"/>
        </w:rPr>
        <w:t xml:space="preserve"> </w:t>
      </w:r>
      <w:r>
        <w:rPr>
          <w:color w:val="231F20"/>
        </w:rPr>
        <w:t>many government-led reforms and reviews, including:</w:t>
      </w:r>
    </w:p>
    <w:p w14:paraId="60401B58" w14:textId="77777777" w:rsidR="00345EE3" w:rsidRDefault="00345EE3">
      <w:pPr>
        <w:pStyle w:val="ListParagraph"/>
        <w:numPr>
          <w:ilvl w:val="0"/>
          <w:numId w:val="84"/>
        </w:numPr>
        <w:tabs>
          <w:tab w:val="left" w:pos="393"/>
          <w:tab w:val="left" w:pos="394"/>
        </w:tabs>
        <w:spacing w:before="30"/>
        <w:rPr>
          <w:sz w:val="24"/>
        </w:rPr>
      </w:pPr>
      <w:r>
        <w:rPr>
          <w:color w:val="231F20"/>
          <w:sz w:val="24"/>
        </w:rPr>
        <w:t>organised</w:t>
      </w:r>
      <w:r>
        <w:rPr>
          <w:color w:val="231F20"/>
          <w:spacing w:val="-14"/>
          <w:sz w:val="24"/>
        </w:rPr>
        <w:t xml:space="preserve"> </w:t>
      </w:r>
      <w:r>
        <w:rPr>
          <w:color w:val="231F20"/>
          <w:spacing w:val="-4"/>
          <w:sz w:val="24"/>
        </w:rPr>
        <w:t>crime</w:t>
      </w:r>
    </w:p>
    <w:p w14:paraId="1665DAE9" w14:textId="77777777" w:rsidR="00345EE3" w:rsidRDefault="00345EE3">
      <w:pPr>
        <w:pStyle w:val="ListParagraph"/>
        <w:numPr>
          <w:ilvl w:val="0"/>
          <w:numId w:val="84"/>
        </w:numPr>
        <w:tabs>
          <w:tab w:val="left" w:pos="393"/>
          <w:tab w:val="left" w:pos="394"/>
        </w:tabs>
        <w:spacing w:before="33"/>
        <w:rPr>
          <w:sz w:val="24"/>
        </w:rPr>
      </w:pPr>
      <w:r>
        <w:rPr>
          <w:color w:val="231F20"/>
          <w:sz w:val="24"/>
        </w:rPr>
        <w:t>youth</w:t>
      </w:r>
      <w:r>
        <w:rPr>
          <w:color w:val="231F20"/>
          <w:spacing w:val="-11"/>
          <w:sz w:val="24"/>
        </w:rPr>
        <w:t xml:space="preserve"> </w:t>
      </w:r>
      <w:r>
        <w:rPr>
          <w:color w:val="231F20"/>
          <w:spacing w:val="-2"/>
          <w:sz w:val="24"/>
        </w:rPr>
        <w:t>justice</w:t>
      </w:r>
    </w:p>
    <w:p w14:paraId="5C8BCB40" w14:textId="77777777" w:rsidR="00345EE3" w:rsidRDefault="00345EE3">
      <w:pPr>
        <w:pStyle w:val="ListParagraph"/>
        <w:numPr>
          <w:ilvl w:val="0"/>
          <w:numId w:val="84"/>
        </w:numPr>
        <w:tabs>
          <w:tab w:val="left" w:pos="393"/>
          <w:tab w:val="left" w:pos="394"/>
        </w:tabs>
        <w:rPr>
          <w:sz w:val="24"/>
        </w:rPr>
      </w:pPr>
      <w:r>
        <w:rPr>
          <w:color w:val="231F20"/>
          <w:sz w:val="24"/>
        </w:rPr>
        <w:t>sexual</w:t>
      </w:r>
      <w:r>
        <w:rPr>
          <w:color w:val="231F20"/>
          <w:spacing w:val="-15"/>
          <w:sz w:val="24"/>
        </w:rPr>
        <w:t xml:space="preserve"> </w:t>
      </w:r>
      <w:r>
        <w:rPr>
          <w:color w:val="231F20"/>
          <w:spacing w:val="-2"/>
          <w:sz w:val="24"/>
        </w:rPr>
        <w:t>offences</w:t>
      </w:r>
    </w:p>
    <w:p w14:paraId="7A012F56" w14:textId="77777777" w:rsidR="00345EE3" w:rsidRDefault="00345EE3">
      <w:pPr>
        <w:pStyle w:val="ListParagraph"/>
        <w:numPr>
          <w:ilvl w:val="0"/>
          <w:numId w:val="84"/>
        </w:numPr>
        <w:tabs>
          <w:tab w:val="left" w:pos="393"/>
          <w:tab w:val="left" w:pos="394"/>
        </w:tabs>
        <w:spacing w:before="33"/>
        <w:rPr>
          <w:sz w:val="24"/>
        </w:rPr>
      </w:pPr>
      <w:r>
        <w:rPr>
          <w:color w:val="231F20"/>
          <w:spacing w:val="-2"/>
          <w:sz w:val="24"/>
        </w:rPr>
        <w:t>stalking</w:t>
      </w:r>
    </w:p>
    <w:p w14:paraId="1A81F553" w14:textId="77777777" w:rsidR="00345EE3" w:rsidRDefault="00345EE3">
      <w:pPr>
        <w:pStyle w:val="ListParagraph"/>
        <w:numPr>
          <w:ilvl w:val="0"/>
          <w:numId w:val="84"/>
        </w:numPr>
        <w:tabs>
          <w:tab w:val="left" w:pos="393"/>
          <w:tab w:val="left" w:pos="394"/>
        </w:tabs>
        <w:rPr>
          <w:sz w:val="24"/>
        </w:rPr>
      </w:pPr>
      <w:r>
        <w:rPr>
          <w:color w:val="231F20"/>
          <w:sz w:val="24"/>
        </w:rPr>
        <w:t>road</w:t>
      </w:r>
      <w:r>
        <w:rPr>
          <w:color w:val="231F20"/>
          <w:spacing w:val="-5"/>
          <w:sz w:val="24"/>
        </w:rPr>
        <w:t xml:space="preserve"> </w:t>
      </w:r>
      <w:r>
        <w:rPr>
          <w:color w:val="231F20"/>
          <w:spacing w:val="-2"/>
          <w:sz w:val="24"/>
        </w:rPr>
        <w:t>safety</w:t>
      </w:r>
    </w:p>
    <w:p w14:paraId="06AD2708" w14:textId="77777777" w:rsidR="00345EE3" w:rsidRDefault="00345EE3">
      <w:pPr>
        <w:pStyle w:val="ListParagraph"/>
        <w:numPr>
          <w:ilvl w:val="0"/>
          <w:numId w:val="84"/>
        </w:numPr>
        <w:tabs>
          <w:tab w:val="left" w:pos="393"/>
          <w:tab w:val="left" w:pos="394"/>
        </w:tabs>
        <w:rPr>
          <w:sz w:val="24"/>
        </w:rPr>
      </w:pPr>
      <w:r>
        <w:rPr>
          <w:color w:val="231F20"/>
          <w:spacing w:val="-2"/>
          <w:sz w:val="24"/>
        </w:rPr>
        <w:t>anti-vilification</w:t>
      </w:r>
    </w:p>
    <w:p w14:paraId="3BBF0206" w14:textId="77777777" w:rsidR="00345EE3" w:rsidRDefault="00345EE3">
      <w:pPr>
        <w:pStyle w:val="ListParagraph"/>
        <w:numPr>
          <w:ilvl w:val="0"/>
          <w:numId w:val="84"/>
        </w:numPr>
        <w:tabs>
          <w:tab w:val="left" w:pos="393"/>
          <w:tab w:val="left" w:pos="394"/>
        </w:tabs>
        <w:spacing w:before="33"/>
        <w:rPr>
          <w:sz w:val="24"/>
        </w:rPr>
      </w:pPr>
      <w:r>
        <w:rPr>
          <w:color w:val="231F20"/>
          <w:sz w:val="24"/>
        </w:rPr>
        <w:t>mental</w:t>
      </w:r>
      <w:r>
        <w:rPr>
          <w:color w:val="231F20"/>
          <w:spacing w:val="-8"/>
          <w:sz w:val="24"/>
        </w:rPr>
        <w:t xml:space="preserve"> </w:t>
      </w:r>
      <w:r>
        <w:rPr>
          <w:color w:val="231F20"/>
          <w:spacing w:val="-2"/>
          <w:sz w:val="24"/>
        </w:rPr>
        <w:t>health</w:t>
      </w:r>
    </w:p>
    <w:p w14:paraId="29BD68C9" w14:textId="77777777" w:rsidR="00345EE3" w:rsidRDefault="00345EE3">
      <w:pPr>
        <w:pStyle w:val="ListParagraph"/>
        <w:numPr>
          <w:ilvl w:val="0"/>
          <w:numId w:val="84"/>
        </w:numPr>
        <w:tabs>
          <w:tab w:val="left" w:pos="393"/>
          <w:tab w:val="left" w:pos="394"/>
        </w:tabs>
        <w:rPr>
          <w:sz w:val="24"/>
        </w:rPr>
      </w:pPr>
      <w:r>
        <w:rPr>
          <w:color w:val="231F20"/>
          <w:spacing w:val="-2"/>
          <w:sz w:val="24"/>
        </w:rPr>
        <w:t>public</w:t>
      </w:r>
      <w:r>
        <w:rPr>
          <w:color w:val="231F20"/>
          <w:spacing w:val="-1"/>
          <w:sz w:val="24"/>
        </w:rPr>
        <w:t xml:space="preserve"> </w:t>
      </w:r>
      <w:r>
        <w:rPr>
          <w:color w:val="231F20"/>
          <w:spacing w:val="-2"/>
          <w:sz w:val="24"/>
        </w:rPr>
        <w:t>drunkenness</w:t>
      </w:r>
      <w:r>
        <w:rPr>
          <w:color w:val="231F20"/>
          <w:sz w:val="24"/>
        </w:rPr>
        <w:t xml:space="preserve"> </w:t>
      </w:r>
      <w:r>
        <w:rPr>
          <w:color w:val="231F20"/>
          <w:spacing w:val="-2"/>
          <w:sz w:val="24"/>
        </w:rPr>
        <w:t>decriminalisation</w:t>
      </w:r>
    </w:p>
    <w:p w14:paraId="6269C13B" w14:textId="77777777" w:rsidR="00345EE3" w:rsidRDefault="00345EE3">
      <w:pPr>
        <w:pStyle w:val="ListParagraph"/>
        <w:numPr>
          <w:ilvl w:val="0"/>
          <w:numId w:val="84"/>
        </w:numPr>
        <w:tabs>
          <w:tab w:val="left" w:pos="393"/>
          <w:tab w:val="left" w:pos="394"/>
        </w:tabs>
        <w:rPr>
          <w:sz w:val="24"/>
        </w:rPr>
      </w:pPr>
      <w:r>
        <w:rPr>
          <w:color w:val="231F20"/>
          <w:sz w:val="24"/>
        </w:rPr>
        <w:t>the</w:t>
      </w:r>
      <w:r>
        <w:rPr>
          <w:color w:val="231F20"/>
          <w:spacing w:val="-16"/>
          <w:sz w:val="24"/>
        </w:rPr>
        <w:t xml:space="preserve"> </w:t>
      </w:r>
      <w:r>
        <w:rPr>
          <w:color w:val="231F20"/>
          <w:sz w:val="24"/>
        </w:rPr>
        <w:t>COVID-19</w:t>
      </w:r>
      <w:r>
        <w:rPr>
          <w:color w:val="231F20"/>
          <w:spacing w:val="-16"/>
          <w:sz w:val="24"/>
        </w:rPr>
        <w:t xml:space="preserve"> </w:t>
      </w:r>
      <w:r>
        <w:rPr>
          <w:color w:val="231F20"/>
          <w:sz w:val="24"/>
        </w:rPr>
        <w:t>pandemic</w:t>
      </w:r>
      <w:r>
        <w:rPr>
          <w:color w:val="231F20"/>
          <w:spacing w:val="-15"/>
          <w:sz w:val="24"/>
        </w:rPr>
        <w:t xml:space="preserve"> </w:t>
      </w:r>
      <w:r>
        <w:rPr>
          <w:color w:val="231F20"/>
          <w:spacing w:val="-2"/>
          <w:sz w:val="24"/>
        </w:rPr>
        <w:t>response</w:t>
      </w:r>
    </w:p>
    <w:p w14:paraId="0E26E8F3" w14:textId="77777777" w:rsidR="00345EE3" w:rsidRDefault="00345EE3">
      <w:pPr>
        <w:pStyle w:val="ListParagraph"/>
        <w:numPr>
          <w:ilvl w:val="0"/>
          <w:numId w:val="84"/>
        </w:numPr>
        <w:tabs>
          <w:tab w:val="left" w:pos="393"/>
          <w:tab w:val="left" w:pos="394"/>
        </w:tabs>
        <w:spacing w:before="33"/>
        <w:rPr>
          <w:sz w:val="24"/>
        </w:rPr>
      </w:pPr>
      <w:r>
        <w:rPr>
          <w:color w:val="231F20"/>
          <w:sz w:val="24"/>
        </w:rPr>
        <w:t>implementing</w:t>
      </w:r>
      <w:r>
        <w:rPr>
          <w:color w:val="231F20"/>
          <w:spacing w:val="-14"/>
          <w:sz w:val="24"/>
        </w:rPr>
        <w:t xml:space="preserve"> </w:t>
      </w:r>
      <w:r>
        <w:rPr>
          <w:color w:val="231F20"/>
          <w:sz w:val="24"/>
        </w:rPr>
        <w:t>recommendations</w:t>
      </w:r>
      <w:r>
        <w:rPr>
          <w:color w:val="231F20"/>
          <w:spacing w:val="-11"/>
          <w:sz w:val="24"/>
        </w:rPr>
        <w:t xml:space="preserve"> </w:t>
      </w:r>
      <w:r>
        <w:rPr>
          <w:color w:val="231F20"/>
          <w:sz w:val="24"/>
        </w:rPr>
        <w:t>of</w:t>
      </w:r>
      <w:r>
        <w:rPr>
          <w:color w:val="231F20"/>
          <w:spacing w:val="-11"/>
          <w:sz w:val="24"/>
        </w:rPr>
        <w:t xml:space="preserve"> </w:t>
      </w:r>
      <w:r>
        <w:rPr>
          <w:color w:val="231F20"/>
          <w:sz w:val="24"/>
        </w:rPr>
        <w:t>the</w:t>
      </w:r>
      <w:r>
        <w:rPr>
          <w:color w:val="231F20"/>
          <w:spacing w:val="-12"/>
          <w:sz w:val="24"/>
        </w:rPr>
        <w:t xml:space="preserve"> </w:t>
      </w:r>
      <w:r>
        <w:rPr>
          <w:color w:val="231F20"/>
          <w:sz w:val="24"/>
        </w:rPr>
        <w:t>RCMPI</w:t>
      </w:r>
      <w:r>
        <w:rPr>
          <w:color w:val="231F20"/>
          <w:spacing w:val="-11"/>
          <w:sz w:val="24"/>
        </w:rPr>
        <w:t xml:space="preserve"> </w:t>
      </w:r>
      <w:r>
        <w:rPr>
          <w:color w:val="231F20"/>
          <w:sz w:val="24"/>
        </w:rPr>
        <w:t>including</w:t>
      </w:r>
      <w:r>
        <w:rPr>
          <w:color w:val="231F20"/>
          <w:spacing w:val="-12"/>
          <w:sz w:val="24"/>
        </w:rPr>
        <w:t xml:space="preserve"> </w:t>
      </w:r>
      <w:r>
        <w:rPr>
          <w:color w:val="231F20"/>
          <w:sz w:val="24"/>
        </w:rPr>
        <w:t>reform</w:t>
      </w:r>
      <w:r>
        <w:rPr>
          <w:color w:val="231F20"/>
          <w:spacing w:val="-11"/>
          <w:sz w:val="24"/>
        </w:rPr>
        <w:t xml:space="preserve"> </w:t>
      </w:r>
      <w:r>
        <w:rPr>
          <w:color w:val="231F20"/>
          <w:sz w:val="24"/>
        </w:rPr>
        <w:t>to</w:t>
      </w:r>
      <w:r>
        <w:rPr>
          <w:color w:val="231F20"/>
          <w:spacing w:val="-12"/>
          <w:sz w:val="24"/>
        </w:rPr>
        <w:t xml:space="preserve"> </w:t>
      </w:r>
      <w:r>
        <w:rPr>
          <w:color w:val="231F20"/>
          <w:sz w:val="24"/>
        </w:rPr>
        <w:t>disclosure</w:t>
      </w:r>
      <w:r>
        <w:rPr>
          <w:color w:val="231F20"/>
          <w:spacing w:val="-11"/>
          <w:sz w:val="24"/>
        </w:rPr>
        <w:t xml:space="preserve"> </w:t>
      </w:r>
      <w:r>
        <w:rPr>
          <w:color w:val="231F20"/>
          <w:spacing w:val="-2"/>
          <w:sz w:val="24"/>
        </w:rPr>
        <w:t>obligations</w:t>
      </w:r>
    </w:p>
    <w:p w14:paraId="05C37711" w14:textId="77777777" w:rsidR="00345EE3" w:rsidRDefault="00345EE3">
      <w:pPr>
        <w:pStyle w:val="ListParagraph"/>
        <w:numPr>
          <w:ilvl w:val="0"/>
          <w:numId w:val="84"/>
        </w:numPr>
        <w:tabs>
          <w:tab w:val="left" w:pos="393"/>
          <w:tab w:val="left" w:pos="394"/>
        </w:tabs>
        <w:rPr>
          <w:sz w:val="24"/>
        </w:rPr>
      </w:pPr>
      <w:r>
        <w:rPr>
          <w:color w:val="231F20"/>
          <w:spacing w:val="-2"/>
          <w:sz w:val="24"/>
        </w:rPr>
        <w:t>change or suppression (conversion)</w:t>
      </w:r>
      <w:r>
        <w:rPr>
          <w:color w:val="231F20"/>
          <w:spacing w:val="-1"/>
          <w:sz w:val="24"/>
        </w:rPr>
        <w:t xml:space="preserve"> </w:t>
      </w:r>
      <w:r>
        <w:rPr>
          <w:color w:val="231F20"/>
          <w:spacing w:val="-2"/>
          <w:sz w:val="24"/>
        </w:rPr>
        <w:t>practices</w:t>
      </w:r>
    </w:p>
    <w:p w14:paraId="36BB70E9" w14:textId="77777777" w:rsidR="00345EE3" w:rsidRDefault="00345EE3">
      <w:pPr>
        <w:pStyle w:val="ListParagraph"/>
        <w:numPr>
          <w:ilvl w:val="0"/>
          <w:numId w:val="84"/>
        </w:numPr>
        <w:tabs>
          <w:tab w:val="left" w:pos="393"/>
          <w:tab w:val="left" w:pos="394"/>
        </w:tabs>
        <w:spacing w:before="33"/>
        <w:rPr>
          <w:sz w:val="24"/>
        </w:rPr>
      </w:pPr>
      <w:r>
        <w:rPr>
          <w:color w:val="231F20"/>
          <w:sz w:val="24"/>
        </w:rPr>
        <w:t>the</w:t>
      </w:r>
      <w:r>
        <w:rPr>
          <w:color w:val="231F20"/>
          <w:spacing w:val="-11"/>
          <w:sz w:val="24"/>
        </w:rPr>
        <w:t xml:space="preserve"> </w:t>
      </w:r>
      <w:r>
        <w:rPr>
          <w:color w:val="231F20"/>
          <w:sz w:val="24"/>
        </w:rPr>
        <w:t>decriminalisation</w:t>
      </w:r>
      <w:r>
        <w:rPr>
          <w:color w:val="231F20"/>
          <w:spacing w:val="-10"/>
          <w:sz w:val="24"/>
        </w:rPr>
        <w:t xml:space="preserve"> </w:t>
      </w:r>
      <w:r>
        <w:rPr>
          <w:color w:val="231F20"/>
          <w:sz w:val="24"/>
        </w:rPr>
        <w:t>of</w:t>
      </w:r>
      <w:r>
        <w:rPr>
          <w:color w:val="231F20"/>
          <w:spacing w:val="-10"/>
          <w:sz w:val="24"/>
        </w:rPr>
        <w:t xml:space="preserve"> </w:t>
      </w:r>
      <w:r>
        <w:rPr>
          <w:color w:val="231F20"/>
          <w:sz w:val="24"/>
        </w:rPr>
        <w:t>sex</w:t>
      </w:r>
      <w:r>
        <w:rPr>
          <w:color w:val="231F20"/>
          <w:spacing w:val="-9"/>
          <w:sz w:val="24"/>
        </w:rPr>
        <w:t xml:space="preserve"> </w:t>
      </w:r>
      <w:r>
        <w:rPr>
          <w:color w:val="231F20"/>
          <w:spacing w:val="-4"/>
          <w:sz w:val="24"/>
        </w:rPr>
        <w:t>work</w:t>
      </w:r>
    </w:p>
    <w:p w14:paraId="4FE77B27" w14:textId="77777777" w:rsidR="00345EE3" w:rsidRDefault="00345EE3">
      <w:pPr>
        <w:pStyle w:val="ListParagraph"/>
        <w:numPr>
          <w:ilvl w:val="0"/>
          <w:numId w:val="84"/>
        </w:numPr>
        <w:tabs>
          <w:tab w:val="left" w:pos="393"/>
          <w:tab w:val="left" w:pos="394"/>
        </w:tabs>
        <w:spacing w:line="242" w:lineRule="auto"/>
        <w:ind w:right="976"/>
        <w:rPr>
          <w:sz w:val="24"/>
        </w:rPr>
      </w:pPr>
      <w:r>
        <w:rPr>
          <w:color w:val="231F20"/>
          <w:sz w:val="24"/>
        </w:rPr>
        <w:t>DNA</w:t>
      </w:r>
      <w:r>
        <w:rPr>
          <w:color w:val="231F20"/>
          <w:spacing w:val="-11"/>
          <w:sz w:val="24"/>
        </w:rPr>
        <w:t xml:space="preserve"> </w:t>
      </w:r>
      <w:r>
        <w:rPr>
          <w:color w:val="231F20"/>
          <w:sz w:val="24"/>
        </w:rPr>
        <w:t>(collection,</w:t>
      </w:r>
      <w:r>
        <w:rPr>
          <w:color w:val="231F20"/>
          <w:spacing w:val="-11"/>
          <w:sz w:val="24"/>
        </w:rPr>
        <w:t xml:space="preserve"> </w:t>
      </w:r>
      <w:r>
        <w:rPr>
          <w:color w:val="231F20"/>
          <w:sz w:val="24"/>
        </w:rPr>
        <w:t>retention,</w:t>
      </w:r>
      <w:r>
        <w:rPr>
          <w:color w:val="231F20"/>
          <w:spacing w:val="-11"/>
          <w:sz w:val="24"/>
        </w:rPr>
        <w:t xml:space="preserve"> </w:t>
      </w:r>
      <w:r>
        <w:rPr>
          <w:color w:val="231F20"/>
          <w:sz w:val="24"/>
        </w:rPr>
        <w:t>use</w:t>
      </w:r>
      <w:r>
        <w:rPr>
          <w:color w:val="231F20"/>
          <w:spacing w:val="-11"/>
          <w:sz w:val="24"/>
        </w:rPr>
        <w:t xml:space="preserve"> </w:t>
      </w:r>
      <w:r>
        <w:rPr>
          <w:color w:val="231F20"/>
          <w:sz w:val="24"/>
        </w:rPr>
        <w:t>and</w:t>
      </w:r>
      <w:r>
        <w:rPr>
          <w:color w:val="231F20"/>
          <w:spacing w:val="-11"/>
          <w:sz w:val="24"/>
        </w:rPr>
        <w:t xml:space="preserve"> </w:t>
      </w:r>
      <w:r>
        <w:rPr>
          <w:color w:val="231F20"/>
          <w:sz w:val="24"/>
        </w:rPr>
        <w:t>destruction</w:t>
      </w:r>
      <w:r>
        <w:rPr>
          <w:color w:val="231F20"/>
          <w:spacing w:val="-11"/>
          <w:sz w:val="24"/>
        </w:rPr>
        <w:t xml:space="preserve"> </w:t>
      </w:r>
      <w:r>
        <w:rPr>
          <w:color w:val="231F20"/>
          <w:sz w:val="24"/>
        </w:rPr>
        <w:t>in</w:t>
      </w:r>
      <w:r>
        <w:rPr>
          <w:color w:val="231F20"/>
          <w:spacing w:val="-11"/>
          <w:sz w:val="24"/>
        </w:rPr>
        <w:t xml:space="preserve"> </w:t>
      </w:r>
      <w:r>
        <w:rPr>
          <w:color w:val="231F20"/>
          <w:sz w:val="24"/>
        </w:rPr>
        <w:t>criminal</w:t>
      </w:r>
      <w:r>
        <w:rPr>
          <w:color w:val="231F20"/>
          <w:spacing w:val="-11"/>
          <w:sz w:val="24"/>
        </w:rPr>
        <w:t xml:space="preserve"> </w:t>
      </w:r>
      <w:r>
        <w:rPr>
          <w:color w:val="231F20"/>
          <w:sz w:val="24"/>
        </w:rPr>
        <w:t>investigations</w:t>
      </w:r>
      <w:r>
        <w:rPr>
          <w:color w:val="231F20"/>
          <w:spacing w:val="-11"/>
          <w:sz w:val="24"/>
        </w:rPr>
        <w:t xml:space="preserve"> </w:t>
      </w:r>
      <w:r>
        <w:rPr>
          <w:color w:val="231F20"/>
          <w:sz w:val="24"/>
        </w:rPr>
        <w:t>and</w:t>
      </w:r>
      <w:r>
        <w:rPr>
          <w:color w:val="231F20"/>
          <w:spacing w:val="-11"/>
          <w:sz w:val="24"/>
        </w:rPr>
        <w:t xml:space="preserve"> </w:t>
      </w:r>
      <w:r>
        <w:rPr>
          <w:color w:val="231F20"/>
          <w:sz w:val="24"/>
        </w:rPr>
        <w:t>police</w:t>
      </w:r>
      <w:r>
        <w:rPr>
          <w:color w:val="231F20"/>
          <w:spacing w:val="-11"/>
          <w:sz w:val="24"/>
        </w:rPr>
        <w:t xml:space="preserve"> </w:t>
      </w:r>
      <w:r>
        <w:rPr>
          <w:color w:val="231F20"/>
          <w:sz w:val="24"/>
        </w:rPr>
        <w:t>powers</w:t>
      </w:r>
      <w:r>
        <w:rPr>
          <w:color w:val="231F20"/>
          <w:spacing w:val="-11"/>
          <w:sz w:val="24"/>
        </w:rPr>
        <w:t xml:space="preserve"> </w:t>
      </w:r>
      <w:r>
        <w:rPr>
          <w:color w:val="231F20"/>
          <w:sz w:val="24"/>
        </w:rPr>
        <w:t xml:space="preserve">to </w:t>
      </w:r>
      <w:r>
        <w:rPr>
          <w:color w:val="231F20"/>
          <w:spacing w:val="-2"/>
          <w:sz w:val="24"/>
        </w:rPr>
        <w:t>collect).</w:t>
      </w:r>
    </w:p>
    <w:p w14:paraId="7E6C5F35" w14:textId="77777777" w:rsidR="00345EE3" w:rsidRDefault="00345EE3" w:rsidP="00345EE3">
      <w:pPr>
        <w:pStyle w:val="BodyText"/>
        <w:spacing w:before="116" w:line="242" w:lineRule="auto"/>
        <w:ind w:right="1068"/>
      </w:pPr>
      <w:r>
        <w:rPr>
          <w:color w:val="231F20"/>
        </w:rPr>
        <w:t>The Capability Department has coordinated Victoria Police’s contributions to legislative amendments</w:t>
      </w:r>
      <w:r>
        <w:rPr>
          <w:color w:val="231F20"/>
          <w:spacing w:val="-10"/>
        </w:rPr>
        <w:t xml:space="preserve"> </w:t>
      </w:r>
      <w:r>
        <w:rPr>
          <w:color w:val="231F20"/>
        </w:rPr>
        <w:t>relating</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use</w:t>
      </w:r>
      <w:r>
        <w:rPr>
          <w:color w:val="231F20"/>
          <w:spacing w:val="-11"/>
        </w:rPr>
        <w:t xml:space="preserve"> </w:t>
      </w:r>
      <w:r>
        <w:rPr>
          <w:color w:val="231F20"/>
        </w:rPr>
        <w:t>of</w:t>
      </w:r>
      <w:r>
        <w:rPr>
          <w:color w:val="231F20"/>
          <w:spacing w:val="-10"/>
        </w:rPr>
        <w:t xml:space="preserve"> </w:t>
      </w:r>
      <w:r>
        <w:rPr>
          <w:color w:val="231F20"/>
        </w:rPr>
        <w:t>BWC,</w:t>
      </w:r>
      <w:r>
        <w:rPr>
          <w:color w:val="231F20"/>
          <w:spacing w:val="-10"/>
        </w:rPr>
        <w:t xml:space="preserve"> </w:t>
      </w:r>
      <w:r>
        <w:rPr>
          <w:color w:val="231F20"/>
        </w:rPr>
        <w:t>spent</w:t>
      </w:r>
      <w:r>
        <w:rPr>
          <w:color w:val="231F20"/>
          <w:spacing w:val="-10"/>
        </w:rPr>
        <w:t xml:space="preserve"> </w:t>
      </w:r>
      <w:r>
        <w:rPr>
          <w:color w:val="231F20"/>
        </w:rPr>
        <w:t>convictions,</w:t>
      </w:r>
      <w:r>
        <w:rPr>
          <w:color w:val="231F20"/>
          <w:spacing w:val="-10"/>
        </w:rPr>
        <w:t xml:space="preserve"> </w:t>
      </w:r>
      <w:r>
        <w:rPr>
          <w:color w:val="231F20"/>
        </w:rPr>
        <w:t>the</w:t>
      </w:r>
      <w:r>
        <w:rPr>
          <w:color w:val="231F20"/>
          <w:spacing w:val="-11"/>
        </w:rPr>
        <w:t xml:space="preserve"> </w:t>
      </w:r>
      <w:r>
        <w:rPr>
          <w:color w:val="231F20"/>
        </w:rPr>
        <w:t>control</w:t>
      </w:r>
      <w:r>
        <w:rPr>
          <w:color w:val="231F20"/>
          <w:spacing w:val="-11"/>
        </w:rPr>
        <w:t xml:space="preserve"> </w:t>
      </w:r>
      <w:r>
        <w:rPr>
          <w:color w:val="231F20"/>
        </w:rPr>
        <w:t>of</w:t>
      </w:r>
      <w:r>
        <w:rPr>
          <w:color w:val="231F20"/>
          <w:spacing w:val="-10"/>
        </w:rPr>
        <w:t xml:space="preserve"> </w:t>
      </w:r>
      <w:r>
        <w:rPr>
          <w:color w:val="231F20"/>
        </w:rPr>
        <w:t>weapons</w:t>
      </w:r>
      <w:r>
        <w:rPr>
          <w:color w:val="231F20"/>
          <w:spacing w:val="-10"/>
        </w:rPr>
        <w:t xml:space="preserve"> </w:t>
      </w:r>
      <w:r>
        <w:rPr>
          <w:color w:val="231F20"/>
        </w:rPr>
        <w:t>regulations, and has contributed to Whole of Victorian Government consultation processes in relation to Commonwealth-led legislative reforms.</w:t>
      </w:r>
    </w:p>
    <w:p w14:paraId="1E8D5E81" w14:textId="77777777" w:rsidR="00345EE3" w:rsidRDefault="00345EE3" w:rsidP="00345EE3">
      <w:pPr>
        <w:pStyle w:val="Heading5"/>
        <w:spacing w:before="175"/>
      </w:pPr>
      <w:r>
        <w:rPr>
          <w:color w:val="58595B"/>
        </w:rPr>
        <w:t>Expansion</w:t>
      </w:r>
      <w:r>
        <w:rPr>
          <w:color w:val="58595B"/>
          <w:spacing w:val="-5"/>
        </w:rPr>
        <w:t xml:space="preserve"> </w:t>
      </w:r>
      <w:r>
        <w:rPr>
          <w:color w:val="58595B"/>
        </w:rPr>
        <w:t>of</w:t>
      </w:r>
      <w:r>
        <w:rPr>
          <w:color w:val="58595B"/>
          <w:spacing w:val="-2"/>
        </w:rPr>
        <w:t xml:space="preserve"> </w:t>
      </w:r>
      <w:r>
        <w:rPr>
          <w:color w:val="58595B"/>
        </w:rPr>
        <w:t>current</w:t>
      </w:r>
      <w:r>
        <w:rPr>
          <w:color w:val="58595B"/>
          <w:spacing w:val="-3"/>
        </w:rPr>
        <w:t xml:space="preserve"> </w:t>
      </w:r>
      <w:r>
        <w:rPr>
          <w:color w:val="58595B"/>
        </w:rPr>
        <w:t>Police</w:t>
      </w:r>
      <w:r>
        <w:rPr>
          <w:color w:val="58595B"/>
          <w:spacing w:val="-2"/>
        </w:rPr>
        <w:t xml:space="preserve"> </w:t>
      </w:r>
      <w:r>
        <w:rPr>
          <w:color w:val="58595B"/>
        </w:rPr>
        <w:t>Responding</w:t>
      </w:r>
      <w:r>
        <w:rPr>
          <w:color w:val="58595B"/>
          <w:spacing w:val="-4"/>
        </w:rPr>
        <w:t xml:space="preserve"> </w:t>
      </w:r>
      <w:r>
        <w:rPr>
          <w:color w:val="58595B"/>
        </w:rPr>
        <w:t>in</w:t>
      </w:r>
      <w:r>
        <w:rPr>
          <w:color w:val="58595B"/>
          <w:spacing w:val="-2"/>
        </w:rPr>
        <w:t xml:space="preserve"> </w:t>
      </w:r>
      <w:r>
        <w:rPr>
          <w:color w:val="58595B"/>
        </w:rPr>
        <w:t>Mental</w:t>
      </w:r>
      <w:r>
        <w:rPr>
          <w:color w:val="58595B"/>
          <w:spacing w:val="-2"/>
        </w:rPr>
        <w:t xml:space="preserve"> </w:t>
      </w:r>
      <w:r>
        <w:rPr>
          <w:color w:val="58595B"/>
        </w:rPr>
        <w:t>Health</w:t>
      </w:r>
      <w:r>
        <w:rPr>
          <w:color w:val="58595B"/>
          <w:spacing w:val="-3"/>
        </w:rPr>
        <w:t xml:space="preserve"> </w:t>
      </w:r>
      <w:r>
        <w:rPr>
          <w:color w:val="58595B"/>
        </w:rPr>
        <w:t>Events</w:t>
      </w:r>
      <w:r>
        <w:rPr>
          <w:color w:val="58595B"/>
          <w:spacing w:val="-2"/>
        </w:rPr>
        <w:t xml:space="preserve"> training</w:t>
      </w:r>
    </w:p>
    <w:p w14:paraId="306F4438" w14:textId="77777777" w:rsidR="00345EE3" w:rsidRDefault="00345EE3" w:rsidP="00345EE3">
      <w:pPr>
        <w:pStyle w:val="BodyText"/>
        <w:spacing w:before="4"/>
      </w:pPr>
      <w:r>
        <w:rPr>
          <w:color w:val="231F20"/>
        </w:rPr>
        <w:t>Police</w:t>
      </w:r>
      <w:r>
        <w:rPr>
          <w:color w:val="231F20"/>
          <w:spacing w:val="-14"/>
        </w:rPr>
        <w:t xml:space="preserve"> </w:t>
      </w:r>
      <w:r>
        <w:rPr>
          <w:color w:val="231F20"/>
        </w:rPr>
        <w:t>Responding</w:t>
      </w:r>
      <w:r>
        <w:rPr>
          <w:color w:val="231F20"/>
          <w:spacing w:val="-11"/>
        </w:rPr>
        <w:t xml:space="preserve"> </w:t>
      </w:r>
      <w:r>
        <w:rPr>
          <w:color w:val="231F20"/>
        </w:rPr>
        <w:t>in</w:t>
      </w:r>
      <w:r>
        <w:rPr>
          <w:color w:val="231F20"/>
          <w:spacing w:val="-11"/>
        </w:rPr>
        <w:t xml:space="preserve"> </w:t>
      </w:r>
      <w:r>
        <w:rPr>
          <w:color w:val="231F20"/>
        </w:rPr>
        <w:t>Mental</w:t>
      </w:r>
      <w:r>
        <w:rPr>
          <w:color w:val="231F20"/>
          <w:spacing w:val="-11"/>
        </w:rPr>
        <w:t xml:space="preserve"> </w:t>
      </w:r>
      <w:r>
        <w:rPr>
          <w:color w:val="231F20"/>
        </w:rPr>
        <w:t>Health</w:t>
      </w:r>
      <w:r>
        <w:rPr>
          <w:color w:val="231F20"/>
          <w:spacing w:val="-11"/>
        </w:rPr>
        <w:t xml:space="preserve"> </w:t>
      </w:r>
      <w:r>
        <w:rPr>
          <w:color w:val="231F20"/>
        </w:rPr>
        <w:t>Events</w:t>
      </w:r>
      <w:r>
        <w:rPr>
          <w:color w:val="231F20"/>
          <w:spacing w:val="-10"/>
        </w:rPr>
        <w:t xml:space="preserve"> </w:t>
      </w:r>
      <w:r>
        <w:rPr>
          <w:color w:val="231F20"/>
        </w:rPr>
        <w:t>(PRIME)</w:t>
      </w:r>
      <w:r>
        <w:rPr>
          <w:color w:val="231F20"/>
          <w:spacing w:val="-11"/>
        </w:rPr>
        <w:t xml:space="preserve"> </w:t>
      </w:r>
      <w:r>
        <w:rPr>
          <w:color w:val="231F20"/>
        </w:rPr>
        <w:t>training</w:t>
      </w:r>
      <w:r>
        <w:rPr>
          <w:color w:val="231F20"/>
          <w:spacing w:val="-11"/>
        </w:rPr>
        <w:t xml:space="preserve"> </w:t>
      </w:r>
      <w:r>
        <w:rPr>
          <w:color w:val="231F20"/>
        </w:rPr>
        <w:t>was</w:t>
      </w:r>
      <w:r>
        <w:rPr>
          <w:color w:val="231F20"/>
          <w:spacing w:val="-10"/>
        </w:rPr>
        <w:t xml:space="preserve"> </w:t>
      </w:r>
      <w:r>
        <w:rPr>
          <w:color w:val="231F20"/>
        </w:rPr>
        <w:t>launched</w:t>
      </w:r>
      <w:r>
        <w:rPr>
          <w:color w:val="231F20"/>
          <w:spacing w:val="-11"/>
        </w:rPr>
        <w:t xml:space="preserve"> </w:t>
      </w:r>
      <w:r>
        <w:rPr>
          <w:color w:val="231F20"/>
        </w:rPr>
        <w:t>in</w:t>
      </w:r>
      <w:r>
        <w:rPr>
          <w:color w:val="231F20"/>
          <w:spacing w:val="-11"/>
        </w:rPr>
        <w:t xml:space="preserve"> </w:t>
      </w:r>
      <w:r>
        <w:rPr>
          <w:color w:val="231F20"/>
        </w:rPr>
        <w:t>October</w:t>
      </w:r>
      <w:r>
        <w:rPr>
          <w:color w:val="231F20"/>
          <w:spacing w:val="-10"/>
        </w:rPr>
        <w:t xml:space="preserve"> </w:t>
      </w:r>
      <w:r>
        <w:rPr>
          <w:color w:val="231F20"/>
          <w:spacing w:val="-4"/>
        </w:rPr>
        <w:t xml:space="preserve">2020 </w:t>
      </w:r>
      <w:r>
        <w:rPr>
          <w:color w:val="231F20"/>
        </w:rPr>
        <w:t xml:space="preserve">and </w:t>
      </w:r>
      <w:r>
        <w:rPr>
          <w:color w:val="231F20"/>
        </w:rPr>
        <w:br/>
        <w:t xml:space="preserve">aims to enhance the capability of first responders to ensure better outcomes for the person </w:t>
      </w:r>
      <w:r>
        <w:rPr>
          <w:color w:val="231F20"/>
        </w:rPr>
        <w:br/>
        <w:t>experiencing</w:t>
      </w:r>
      <w:r>
        <w:rPr>
          <w:color w:val="231F20"/>
          <w:spacing w:val="-9"/>
        </w:rPr>
        <w:t xml:space="preserve"> </w:t>
      </w:r>
      <w:r>
        <w:rPr>
          <w:color w:val="231F20"/>
        </w:rPr>
        <w:t>a</w:t>
      </w:r>
      <w:r>
        <w:rPr>
          <w:color w:val="231F20"/>
          <w:spacing w:val="-9"/>
        </w:rPr>
        <w:t xml:space="preserve"> </w:t>
      </w:r>
      <w:r>
        <w:rPr>
          <w:color w:val="231F20"/>
        </w:rPr>
        <w:t>mental</w:t>
      </w:r>
      <w:r>
        <w:rPr>
          <w:color w:val="231F20"/>
          <w:spacing w:val="-9"/>
        </w:rPr>
        <w:t xml:space="preserve"> </w:t>
      </w:r>
      <w:r>
        <w:rPr>
          <w:color w:val="231F20"/>
        </w:rPr>
        <w:t>health</w:t>
      </w:r>
      <w:r>
        <w:rPr>
          <w:color w:val="231F20"/>
          <w:spacing w:val="-9"/>
        </w:rPr>
        <w:t xml:space="preserve"> </w:t>
      </w:r>
      <w:r>
        <w:rPr>
          <w:color w:val="231F20"/>
        </w:rPr>
        <w:t>crisis,</w:t>
      </w:r>
      <w:r>
        <w:rPr>
          <w:color w:val="231F20"/>
          <w:spacing w:val="-8"/>
        </w:rPr>
        <w:t xml:space="preserve"> </w:t>
      </w:r>
      <w:r>
        <w:rPr>
          <w:color w:val="231F20"/>
        </w:rPr>
        <w:t>the</w:t>
      </w:r>
      <w:r>
        <w:rPr>
          <w:color w:val="231F20"/>
          <w:spacing w:val="-9"/>
        </w:rPr>
        <w:t xml:space="preserve"> </w:t>
      </w:r>
      <w:r>
        <w:rPr>
          <w:color w:val="231F20"/>
        </w:rPr>
        <w:t>mental</w:t>
      </w:r>
      <w:r>
        <w:rPr>
          <w:color w:val="231F20"/>
          <w:spacing w:val="-9"/>
        </w:rPr>
        <w:t xml:space="preserve"> </w:t>
      </w:r>
      <w:r>
        <w:rPr>
          <w:color w:val="231F20"/>
        </w:rPr>
        <w:t>health</w:t>
      </w:r>
      <w:r>
        <w:rPr>
          <w:color w:val="231F20"/>
          <w:spacing w:val="-9"/>
        </w:rPr>
        <w:t xml:space="preserve"> </w:t>
      </w:r>
      <w:r>
        <w:rPr>
          <w:color w:val="231F20"/>
        </w:rPr>
        <w:t>system,</w:t>
      </w:r>
      <w:r>
        <w:rPr>
          <w:color w:val="231F20"/>
          <w:spacing w:val="-8"/>
        </w:rPr>
        <w:t xml:space="preserve"> </w:t>
      </w:r>
      <w:r>
        <w:rPr>
          <w:color w:val="231F20"/>
        </w:rPr>
        <w:t>the</w:t>
      </w:r>
      <w:r>
        <w:rPr>
          <w:color w:val="231F20"/>
          <w:spacing w:val="-9"/>
        </w:rPr>
        <w:t xml:space="preserve"> </w:t>
      </w:r>
      <w:r>
        <w:rPr>
          <w:color w:val="231F20"/>
        </w:rPr>
        <w:t>community</w:t>
      </w:r>
      <w:r>
        <w:rPr>
          <w:color w:val="231F20"/>
          <w:spacing w:val="-8"/>
        </w:rPr>
        <w:t xml:space="preserve"> </w:t>
      </w:r>
      <w:r>
        <w:rPr>
          <w:color w:val="231F20"/>
        </w:rPr>
        <w:t>and</w:t>
      </w:r>
      <w:r>
        <w:rPr>
          <w:color w:val="231F20"/>
          <w:spacing w:val="-9"/>
        </w:rPr>
        <w:t xml:space="preserve"> </w:t>
      </w:r>
      <w:r>
        <w:rPr>
          <w:color w:val="231F20"/>
        </w:rPr>
        <w:t>Victoria</w:t>
      </w:r>
      <w:r>
        <w:rPr>
          <w:color w:val="231F20"/>
          <w:spacing w:val="-9"/>
        </w:rPr>
        <w:t xml:space="preserve"> </w:t>
      </w:r>
      <w:r>
        <w:rPr>
          <w:color w:val="231F20"/>
        </w:rPr>
        <w:t xml:space="preserve">Police </w:t>
      </w:r>
      <w:r>
        <w:rPr>
          <w:color w:val="231F20"/>
          <w:spacing w:val="-2"/>
        </w:rPr>
        <w:t>staff.</w:t>
      </w:r>
    </w:p>
    <w:p w14:paraId="3798EB84" w14:textId="77777777" w:rsidR="00345EE3" w:rsidRDefault="00345EE3" w:rsidP="00345EE3">
      <w:pPr>
        <w:pStyle w:val="BodyText"/>
        <w:spacing w:before="117" w:line="242" w:lineRule="auto"/>
        <w:ind w:right="897"/>
      </w:pPr>
      <w:r>
        <w:rPr>
          <w:color w:val="231F20"/>
        </w:rPr>
        <w:t>PRIME is a high priority training course and has targeted a cohort of 14,000 Victoria Police frontline</w:t>
      </w:r>
      <w:r>
        <w:rPr>
          <w:color w:val="231F20"/>
          <w:spacing w:val="-8"/>
        </w:rPr>
        <w:t xml:space="preserve"> </w:t>
      </w:r>
      <w:r>
        <w:rPr>
          <w:color w:val="231F20"/>
        </w:rPr>
        <w:t>Police</w:t>
      </w:r>
      <w:r>
        <w:rPr>
          <w:color w:val="231F20"/>
          <w:spacing w:val="-8"/>
        </w:rPr>
        <w:t xml:space="preserve"> </w:t>
      </w:r>
      <w:r>
        <w:rPr>
          <w:color w:val="231F20"/>
        </w:rPr>
        <w:t>officers</w:t>
      </w:r>
      <w:r>
        <w:rPr>
          <w:color w:val="231F20"/>
          <w:spacing w:val="-7"/>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rank</w:t>
      </w:r>
      <w:r>
        <w:rPr>
          <w:color w:val="231F20"/>
          <w:spacing w:val="-7"/>
        </w:rPr>
        <w:t xml:space="preserve"> </w:t>
      </w:r>
      <w:r>
        <w:rPr>
          <w:color w:val="231F20"/>
        </w:rPr>
        <w:t>of</w:t>
      </w:r>
      <w:r>
        <w:rPr>
          <w:color w:val="231F20"/>
          <w:spacing w:val="-7"/>
        </w:rPr>
        <w:t xml:space="preserve"> </w:t>
      </w:r>
      <w:r>
        <w:rPr>
          <w:color w:val="231F20"/>
        </w:rPr>
        <w:t>sergeant,</w:t>
      </w:r>
      <w:r>
        <w:rPr>
          <w:color w:val="231F20"/>
          <w:spacing w:val="-7"/>
        </w:rPr>
        <w:t xml:space="preserve"> </w:t>
      </w:r>
      <w:r>
        <w:rPr>
          <w:color w:val="231F20"/>
        </w:rPr>
        <w:t>along</w:t>
      </w:r>
      <w:r>
        <w:rPr>
          <w:color w:val="231F20"/>
          <w:spacing w:val="-8"/>
        </w:rPr>
        <w:t xml:space="preserve"> </w:t>
      </w:r>
      <w:r>
        <w:rPr>
          <w:color w:val="231F20"/>
        </w:rPr>
        <w:t>with</w:t>
      </w:r>
      <w:r>
        <w:rPr>
          <w:color w:val="231F20"/>
          <w:spacing w:val="-8"/>
        </w:rPr>
        <w:t xml:space="preserve"> </w:t>
      </w:r>
      <w:r>
        <w:rPr>
          <w:color w:val="231F20"/>
        </w:rPr>
        <w:t>PSOs</w:t>
      </w:r>
      <w:r>
        <w:rPr>
          <w:color w:val="231F20"/>
          <w:spacing w:val="-7"/>
        </w:rPr>
        <w:t xml:space="preserve"> </w:t>
      </w:r>
      <w:r>
        <w:rPr>
          <w:color w:val="231F20"/>
        </w:rPr>
        <w:t>and</w:t>
      </w:r>
      <w:r>
        <w:rPr>
          <w:color w:val="231F20"/>
          <w:spacing w:val="-8"/>
        </w:rPr>
        <w:t xml:space="preserve"> </w:t>
      </w:r>
      <w:r>
        <w:rPr>
          <w:color w:val="231F20"/>
        </w:rPr>
        <w:t>PCOs.</w:t>
      </w:r>
      <w:r>
        <w:rPr>
          <w:color w:val="231F20"/>
          <w:spacing w:val="-7"/>
        </w:rPr>
        <w:t xml:space="preserve"> </w:t>
      </w:r>
      <w:r>
        <w:rPr>
          <w:color w:val="231F20"/>
        </w:rPr>
        <w:t>The</w:t>
      </w:r>
      <w:r>
        <w:rPr>
          <w:color w:val="231F20"/>
          <w:spacing w:val="-8"/>
        </w:rPr>
        <w:t xml:space="preserve"> </w:t>
      </w:r>
      <w:r>
        <w:rPr>
          <w:color w:val="231F20"/>
        </w:rPr>
        <w:t>course</w:t>
      </w:r>
      <w:r>
        <w:rPr>
          <w:color w:val="231F20"/>
          <w:spacing w:val="-8"/>
        </w:rPr>
        <w:t xml:space="preserve"> </w:t>
      </w:r>
      <w:r>
        <w:rPr>
          <w:color w:val="231F20"/>
        </w:rPr>
        <w:t>involves face-to-face learning over two days. PRIME is considered highly relevant with over 90 per cent of participants stating</w:t>
      </w:r>
      <w:r>
        <w:rPr>
          <w:color w:val="231F20"/>
          <w:spacing w:val="-1"/>
        </w:rPr>
        <w:t xml:space="preserve"> </w:t>
      </w:r>
      <w:r>
        <w:rPr>
          <w:color w:val="231F20"/>
        </w:rPr>
        <w:t>the</w:t>
      </w:r>
      <w:r>
        <w:rPr>
          <w:color w:val="231F20"/>
          <w:spacing w:val="-1"/>
        </w:rPr>
        <w:t xml:space="preserve"> </w:t>
      </w:r>
      <w:r>
        <w:rPr>
          <w:color w:val="231F20"/>
        </w:rPr>
        <w:t>training</w:t>
      </w:r>
      <w:r>
        <w:rPr>
          <w:color w:val="231F20"/>
          <w:spacing w:val="-1"/>
        </w:rPr>
        <w:t xml:space="preserve"> </w:t>
      </w:r>
      <w:r>
        <w:rPr>
          <w:color w:val="231F20"/>
        </w:rPr>
        <w:t>increased</w:t>
      </w:r>
      <w:r>
        <w:rPr>
          <w:color w:val="231F20"/>
          <w:spacing w:val="-1"/>
        </w:rPr>
        <w:t xml:space="preserve"> </w:t>
      </w:r>
      <w:r>
        <w:rPr>
          <w:color w:val="231F20"/>
        </w:rPr>
        <w:t>their knowledge</w:t>
      </w:r>
      <w:r>
        <w:rPr>
          <w:color w:val="231F20"/>
          <w:spacing w:val="-1"/>
        </w:rPr>
        <w:t xml:space="preserve"> </w:t>
      </w:r>
      <w:r>
        <w:rPr>
          <w:color w:val="231F20"/>
        </w:rPr>
        <w:t>and</w:t>
      </w:r>
      <w:r>
        <w:rPr>
          <w:color w:val="231F20"/>
          <w:spacing w:val="-1"/>
        </w:rPr>
        <w:t xml:space="preserve"> </w:t>
      </w:r>
      <w:r>
        <w:rPr>
          <w:color w:val="231F20"/>
        </w:rPr>
        <w:t>would</w:t>
      </w:r>
      <w:r>
        <w:rPr>
          <w:color w:val="231F20"/>
          <w:spacing w:val="-1"/>
        </w:rPr>
        <w:t xml:space="preserve"> </w:t>
      </w:r>
      <w:r>
        <w:rPr>
          <w:color w:val="231F20"/>
        </w:rPr>
        <w:t>recommend</w:t>
      </w:r>
      <w:r>
        <w:rPr>
          <w:color w:val="231F20"/>
          <w:spacing w:val="-1"/>
        </w:rPr>
        <w:t xml:space="preserve"> </w:t>
      </w:r>
      <w:r>
        <w:rPr>
          <w:color w:val="231F20"/>
        </w:rPr>
        <w:t>it to</w:t>
      </w:r>
      <w:r>
        <w:rPr>
          <w:color w:val="231F20"/>
          <w:spacing w:val="-1"/>
        </w:rPr>
        <w:t xml:space="preserve"> </w:t>
      </w:r>
      <w:r>
        <w:rPr>
          <w:color w:val="231F20"/>
        </w:rPr>
        <w:t>others. During</w:t>
      </w:r>
      <w:r>
        <w:rPr>
          <w:color w:val="231F20"/>
          <w:spacing w:val="-2"/>
        </w:rPr>
        <w:t xml:space="preserve"> </w:t>
      </w:r>
      <w:r>
        <w:rPr>
          <w:color w:val="231F20"/>
        </w:rPr>
        <w:t>2021–22,</w:t>
      </w:r>
      <w:r>
        <w:rPr>
          <w:color w:val="231F20"/>
          <w:spacing w:val="-1"/>
        </w:rPr>
        <w:t xml:space="preserve"> </w:t>
      </w:r>
      <w:r>
        <w:rPr>
          <w:color w:val="231F20"/>
        </w:rPr>
        <w:t>171</w:t>
      </w:r>
      <w:r>
        <w:rPr>
          <w:color w:val="231F20"/>
          <w:spacing w:val="-2"/>
        </w:rPr>
        <w:t xml:space="preserve"> </w:t>
      </w:r>
      <w:r>
        <w:rPr>
          <w:color w:val="231F20"/>
        </w:rPr>
        <w:t>courses</w:t>
      </w:r>
      <w:r>
        <w:rPr>
          <w:color w:val="231F20"/>
          <w:spacing w:val="-1"/>
        </w:rPr>
        <w:t xml:space="preserve"> </w:t>
      </w:r>
      <w:r>
        <w:rPr>
          <w:color w:val="231F20"/>
        </w:rPr>
        <w:t>were</w:t>
      </w:r>
      <w:r>
        <w:rPr>
          <w:color w:val="231F20"/>
          <w:spacing w:val="-2"/>
        </w:rPr>
        <w:t xml:space="preserve"> </w:t>
      </w:r>
      <w:r>
        <w:rPr>
          <w:color w:val="231F20"/>
        </w:rPr>
        <w:t>delivered</w:t>
      </w:r>
      <w:r>
        <w:rPr>
          <w:color w:val="231F20"/>
          <w:spacing w:val="-2"/>
        </w:rPr>
        <w:t xml:space="preserve"> </w:t>
      </w:r>
      <w:r>
        <w:rPr>
          <w:color w:val="231F20"/>
        </w:rPr>
        <w:t>with</w:t>
      </w:r>
      <w:r>
        <w:rPr>
          <w:color w:val="231F20"/>
          <w:spacing w:val="-2"/>
        </w:rPr>
        <w:t xml:space="preserve"> </w:t>
      </w:r>
      <w:r>
        <w:rPr>
          <w:color w:val="231F20"/>
        </w:rPr>
        <w:t>an</w:t>
      </w:r>
      <w:r>
        <w:rPr>
          <w:color w:val="231F20"/>
          <w:spacing w:val="-2"/>
        </w:rPr>
        <w:t xml:space="preserve"> </w:t>
      </w:r>
      <w:r>
        <w:rPr>
          <w:color w:val="231F20"/>
        </w:rPr>
        <w:t>average</w:t>
      </w:r>
      <w:r>
        <w:rPr>
          <w:color w:val="231F20"/>
          <w:spacing w:val="-2"/>
        </w:rPr>
        <w:t xml:space="preserve"> </w:t>
      </w:r>
      <w:r>
        <w:rPr>
          <w:color w:val="231F20"/>
        </w:rPr>
        <w:t>monthly</w:t>
      </w:r>
      <w:r>
        <w:rPr>
          <w:color w:val="231F20"/>
          <w:spacing w:val="-1"/>
        </w:rPr>
        <w:t xml:space="preserve"> </w:t>
      </w:r>
      <w:r>
        <w:rPr>
          <w:color w:val="231F20"/>
        </w:rPr>
        <w:t>participation</w:t>
      </w:r>
      <w:r>
        <w:rPr>
          <w:color w:val="231F20"/>
          <w:spacing w:val="-2"/>
        </w:rPr>
        <w:t xml:space="preserve"> </w:t>
      </w:r>
      <w:r>
        <w:rPr>
          <w:color w:val="231F20"/>
        </w:rPr>
        <w:t>rate</w:t>
      </w:r>
      <w:r>
        <w:rPr>
          <w:color w:val="231F20"/>
          <w:spacing w:val="-2"/>
        </w:rPr>
        <w:t xml:space="preserve"> </w:t>
      </w:r>
      <w:r>
        <w:rPr>
          <w:color w:val="231F20"/>
        </w:rPr>
        <w:t>of</w:t>
      </w:r>
      <w:r>
        <w:rPr>
          <w:color w:val="231F20"/>
          <w:spacing w:val="-1"/>
        </w:rPr>
        <w:t xml:space="preserve"> </w:t>
      </w:r>
      <w:r>
        <w:rPr>
          <w:color w:val="231F20"/>
        </w:rPr>
        <w:t>214 Victoria</w:t>
      </w:r>
      <w:r>
        <w:rPr>
          <w:color w:val="231F20"/>
          <w:spacing w:val="-6"/>
        </w:rPr>
        <w:t xml:space="preserve"> </w:t>
      </w:r>
      <w:r>
        <w:rPr>
          <w:color w:val="231F20"/>
        </w:rPr>
        <w:t>Police</w:t>
      </w:r>
      <w:r>
        <w:rPr>
          <w:color w:val="231F20"/>
          <w:spacing w:val="-6"/>
        </w:rPr>
        <w:t xml:space="preserve"> </w:t>
      </w:r>
      <w:r>
        <w:rPr>
          <w:color w:val="231F20"/>
        </w:rPr>
        <w:t>officers.</w:t>
      </w:r>
      <w:r>
        <w:rPr>
          <w:color w:val="231F20"/>
          <w:spacing w:val="-5"/>
        </w:rPr>
        <w:t xml:space="preserve"> </w:t>
      </w:r>
      <w:r>
        <w:rPr>
          <w:color w:val="231F20"/>
        </w:rPr>
        <w:t>As</w:t>
      </w:r>
      <w:r>
        <w:rPr>
          <w:color w:val="231F20"/>
          <w:spacing w:val="-5"/>
        </w:rPr>
        <w:t xml:space="preserve"> </w:t>
      </w:r>
      <w:r>
        <w:rPr>
          <w:color w:val="231F20"/>
        </w:rPr>
        <w:t>of</w:t>
      </w:r>
      <w:r>
        <w:rPr>
          <w:color w:val="231F20"/>
          <w:spacing w:val="-5"/>
        </w:rPr>
        <w:t xml:space="preserve"> </w:t>
      </w:r>
      <w:r>
        <w:rPr>
          <w:color w:val="231F20"/>
        </w:rPr>
        <w:t>May</w:t>
      </w:r>
      <w:r>
        <w:rPr>
          <w:color w:val="231F20"/>
          <w:spacing w:val="-5"/>
        </w:rPr>
        <w:t xml:space="preserve"> </w:t>
      </w:r>
      <w:r>
        <w:rPr>
          <w:color w:val="231F20"/>
        </w:rPr>
        <w:t>2022,</w:t>
      </w:r>
      <w:r>
        <w:rPr>
          <w:color w:val="231F20"/>
          <w:spacing w:val="-5"/>
        </w:rPr>
        <w:t xml:space="preserve"> </w:t>
      </w:r>
      <w:r>
        <w:rPr>
          <w:color w:val="231F20"/>
        </w:rPr>
        <w:t>PRIME</w:t>
      </w:r>
      <w:r>
        <w:rPr>
          <w:color w:val="231F20"/>
          <w:spacing w:val="-5"/>
        </w:rPr>
        <w:t xml:space="preserve"> </w:t>
      </w:r>
      <w:r>
        <w:rPr>
          <w:color w:val="231F20"/>
        </w:rPr>
        <w:t>training</w:t>
      </w:r>
      <w:r>
        <w:rPr>
          <w:color w:val="231F20"/>
          <w:spacing w:val="-6"/>
        </w:rPr>
        <w:t xml:space="preserve"> </w:t>
      </w:r>
      <w:r>
        <w:rPr>
          <w:color w:val="231F20"/>
        </w:rPr>
        <w:t>has</w:t>
      </w:r>
      <w:r>
        <w:rPr>
          <w:color w:val="231F20"/>
          <w:spacing w:val="-5"/>
        </w:rPr>
        <w:t xml:space="preserve"> </w:t>
      </w:r>
      <w:r>
        <w:rPr>
          <w:color w:val="231F20"/>
        </w:rPr>
        <w:t>been</w:t>
      </w:r>
      <w:r>
        <w:rPr>
          <w:color w:val="231F20"/>
          <w:spacing w:val="-6"/>
        </w:rPr>
        <w:t xml:space="preserve"> </w:t>
      </w:r>
      <w:r>
        <w:rPr>
          <w:color w:val="231F20"/>
        </w:rPr>
        <w:t>delivered</w:t>
      </w:r>
      <w:r>
        <w:rPr>
          <w:color w:val="231F20"/>
          <w:spacing w:val="-6"/>
        </w:rPr>
        <w:t xml:space="preserve"> </w:t>
      </w:r>
      <w:r>
        <w:rPr>
          <w:color w:val="231F20"/>
        </w:rPr>
        <w:t>to</w:t>
      </w:r>
      <w:r>
        <w:rPr>
          <w:color w:val="231F20"/>
          <w:spacing w:val="-6"/>
        </w:rPr>
        <w:t xml:space="preserve"> </w:t>
      </w:r>
      <w:r>
        <w:rPr>
          <w:color w:val="231F20"/>
        </w:rPr>
        <w:t>23</w:t>
      </w:r>
      <w:r>
        <w:rPr>
          <w:color w:val="231F20"/>
          <w:spacing w:val="-6"/>
        </w:rPr>
        <w:t xml:space="preserve"> </w:t>
      </w:r>
      <w:r>
        <w:rPr>
          <w:color w:val="231F20"/>
        </w:rPr>
        <w:t>per</w:t>
      </w:r>
      <w:r>
        <w:rPr>
          <w:color w:val="231F20"/>
          <w:spacing w:val="-5"/>
        </w:rPr>
        <w:t xml:space="preserve"> </w:t>
      </w:r>
      <w:r>
        <w:rPr>
          <w:color w:val="231F20"/>
        </w:rPr>
        <w:t>cent</w:t>
      </w:r>
      <w:r>
        <w:rPr>
          <w:color w:val="231F20"/>
          <w:spacing w:val="-5"/>
        </w:rPr>
        <w:t xml:space="preserve"> </w:t>
      </w:r>
      <w:r>
        <w:rPr>
          <w:color w:val="231F20"/>
        </w:rPr>
        <w:t>of</w:t>
      </w:r>
      <w:r>
        <w:rPr>
          <w:color w:val="231F20"/>
          <w:spacing w:val="-5"/>
        </w:rPr>
        <w:t xml:space="preserve"> </w:t>
      </w:r>
      <w:r>
        <w:rPr>
          <w:color w:val="231F20"/>
        </w:rPr>
        <w:t>the target, with participants totalling 3,293.</w:t>
      </w:r>
    </w:p>
    <w:p w14:paraId="008FF243" w14:textId="77777777" w:rsidR="00345EE3" w:rsidRDefault="00345EE3" w:rsidP="00345EE3">
      <w:pPr>
        <w:pStyle w:val="Heading5"/>
        <w:spacing w:before="180"/>
      </w:pPr>
      <w:r>
        <w:rPr>
          <w:color w:val="58595B"/>
        </w:rPr>
        <w:t>Progressing</w:t>
      </w:r>
      <w:r>
        <w:rPr>
          <w:color w:val="58595B"/>
          <w:spacing w:val="-9"/>
        </w:rPr>
        <w:t xml:space="preserve"> </w:t>
      </w:r>
      <w:r>
        <w:rPr>
          <w:color w:val="58595B"/>
        </w:rPr>
        <w:t>remote/accessible</w:t>
      </w:r>
      <w:r>
        <w:rPr>
          <w:color w:val="58595B"/>
          <w:spacing w:val="-8"/>
        </w:rPr>
        <w:t xml:space="preserve"> </w:t>
      </w:r>
      <w:r>
        <w:rPr>
          <w:color w:val="58595B"/>
          <w:spacing w:val="-2"/>
        </w:rPr>
        <w:t>learning</w:t>
      </w:r>
    </w:p>
    <w:p w14:paraId="2D4D9682" w14:textId="77777777" w:rsidR="00345EE3" w:rsidRDefault="00345EE3" w:rsidP="00345EE3">
      <w:pPr>
        <w:pStyle w:val="BodyText"/>
        <w:spacing w:before="4" w:line="242" w:lineRule="auto"/>
        <w:ind w:right="1208"/>
      </w:pPr>
      <w:r>
        <w:rPr>
          <w:color w:val="231F20"/>
        </w:rPr>
        <w:t>PDC recognises that the future of educating Victoria Police employees is to take learning opportunities</w:t>
      </w:r>
      <w:r>
        <w:rPr>
          <w:color w:val="231F20"/>
          <w:spacing w:val="-7"/>
        </w:rPr>
        <w:t xml:space="preserve"> </w:t>
      </w:r>
      <w:r>
        <w:rPr>
          <w:color w:val="231F20"/>
        </w:rPr>
        <w:t>to</w:t>
      </w:r>
      <w:r>
        <w:rPr>
          <w:color w:val="231F20"/>
          <w:spacing w:val="-8"/>
        </w:rPr>
        <w:t xml:space="preserve"> </w:t>
      </w:r>
      <w:r>
        <w:rPr>
          <w:color w:val="231F20"/>
        </w:rPr>
        <w:t>them,</w:t>
      </w:r>
      <w:r>
        <w:rPr>
          <w:color w:val="231F20"/>
          <w:spacing w:val="-7"/>
        </w:rPr>
        <w:t xml:space="preserve"> </w:t>
      </w:r>
      <w:r>
        <w:rPr>
          <w:color w:val="231F20"/>
        </w:rPr>
        <w:t>making</w:t>
      </w:r>
      <w:r>
        <w:rPr>
          <w:color w:val="231F20"/>
          <w:spacing w:val="-8"/>
        </w:rPr>
        <w:t xml:space="preserve"> </w:t>
      </w:r>
      <w:r>
        <w:rPr>
          <w:color w:val="231F20"/>
        </w:rPr>
        <w:t>it</w:t>
      </w:r>
      <w:r>
        <w:rPr>
          <w:color w:val="231F20"/>
          <w:spacing w:val="-7"/>
        </w:rPr>
        <w:t xml:space="preserve"> </w:t>
      </w:r>
      <w:r>
        <w:rPr>
          <w:color w:val="231F20"/>
        </w:rPr>
        <w:t>easier</w:t>
      </w:r>
      <w:r>
        <w:rPr>
          <w:color w:val="231F20"/>
          <w:spacing w:val="-7"/>
        </w:rPr>
        <w:t xml:space="preserve"> </w:t>
      </w:r>
      <w:r>
        <w:rPr>
          <w:color w:val="231F20"/>
        </w:rPr>
        <w:t>for</w:t>
      </w:r>
      <w:r>
        <w:rPr>
          <w:color w:val="231F20"/>
          <w:spacing w:val="-7"/>
        </w:rPr>
        <w:t xml:space="preserve"> </w:t>
      </w:r>
      <w:r>
        <w:rPr>
          <w:color w:val="231F20"/>
        </w:rPr>
        <w:t>people</w:t>
      </w:r>
      <w:r>
        <w:rPr>
          <w:color w:val="231F20"/>
          <w:spacing w:val="-8"/>
        </w:rPr>
        <w:t xml:space="preserve"> </w:t>
      </w:r>
      <w:r>
        <w:rPr>
          <w:color w:val="231F20"/>
        </w:rPr>
        <w:t>to</w:t>
      </w:r>
      <w:r>
        <w:rPr>
          <w:color w:val="231F20"/>
          <w:spacing w:val="-8"/>
        </w:rPr>
        <w:t xml:space="preserve"> </w:t>
      </w:r>
      <w:r>
        <w:rPr>
          <w:color w:val="231F20"/>
        </w:rPr>
        <w:t>engage</w:t>
      </w:r>
      <w:r>
        <w:rPr>
          <w:color w:val="231F20"/>
          <w:spacing w:val="-8"/>
        </w:rPr>
        <w:t xml:space="preserve"> </w:t>
      </w:r>
      <w:r>
        <w:rPr>
          <w:color w:val="231F20"/>
        </w:rPr>
        <w:t>in</w:t>
      </w:r>
      <w:r>
        <w:rPr>
          <w:color w:val="231F20"/>
          <w:spacing w:val="-8"/>
        </w:rPr>
        <w:t xml:space="preserve"> </w:t>
      </w:r>
      <w:r>
        <w:rPr>
          <w:color w:val="231F20"/>
        </w:rPr>
        <w:t>training,</w:t>
      </w:r>
      <w:r>
        <w:rPr>
          <w:color w:val="231F20"/>
          <w:spacing w:val="-7"/>
        </w:rPr>
        <w:t xml:space="preserve"> </w:t>
      </w:r>
      <w:r>
        <w:rPr>
          <w:color w:val="231F20"/>
        </w:rPr>
        <w:t>courses,</w:t>
      </w:r>
      <w:r>
        <w:rPr>
          <w:color w:val="231F20"/>
          <w:spacing w:val="-7"/>
        </w:rPr>
        <w:t xml:space="preserve"> </w:t>
      </w:r>
      <w:r>
        <w:rPr>
          <w:color w:val="231F20"/>
        </w:rPr>
        <w:t>learning</w:t>
      </w:r>
      <w:r>
        <w:rPr>
          <w:color w:val="231F20"/>
          <w:spacing w:val="-8"/>
        </w:rPr>
        <w:t xml:space="preserve"> </w:t>
      </w:r>
      <w:r>
        <w:rPr>
          <w:color w:val="231F20"/>
        </w:rPr>
        <w:t>and development. PDC identified both best practice and greater opportunities to deliver learning in new and more engaging mediums to support access to learning. Working with the Digital Services</w:t>
      </w:r>
      <w:r>
        <w:rPr>
          <w:color w:val="231F20"/>
          <w:spacing w:val="-6"/>
        </w:rPr>
        <w:t xml:space="preserve"> </w:t>
      </w:r>
      <w:r>
        <w:rPr>
          <w:color w:val="231F20"/>
        </w:rPr>
        <w:t>and</w:t>
      </w:r>
      <w:r>
        <w:rPr>
          <w:color w:val="231F20"/>
          <w:spacing w:val="-7"/>
        </w:rPr>
        <w:t xml:space="preserve"> </w:t>
      </w:r>
      <w:r>
        <w:rPr>
          <w:color w:val="231F20"/>
        </w:rPr>
        <w:t>Security</w:t>
      </w:r>
      <w:r>
        <w:rPr>
          <w:color w:val="231F20"/>
          <w:spacing w:val="-6"/>
        </w:rPr>
        <w:t xml:space="preserve"> </w:t>
      </w:r>
      <w:r>
        <w:rPr>
          <w:color w:val="231F20"/>
        </w:rPr>
        <w:t>Department,</w:t>
      </w:r>
      <w:r>
        <w:rPr>
          <w:color w:val="231F20"/>
          <w:spacing w:val="-6"/>
        </w:rPr>
        <w:t xml:space="preserve"> </w:t>
      </w:r>
      <w:r>
        <w:rPr>
          <w:color w:val="231F20"/>
        </w:rPr>
        <w:t>PDC</w:t>
      </w:r>
      <w:r>
        <w:rPr>
          <w:color w:val="231F20"/>
          <w:spacing w:val="-7"/>
        </w:rPr>
        <w:t xml:space="preserve"> </w:t>
      </w:r>
      <w:r>
        <w:rPr>
          <w:color w:val="231F20"/>
        </w:rPr>
        <w:t>upgraded</w:t>
      </w:r>
      <w:r>
        <w:rPr>
          <w:color w:val="231F20"/>
          <w:spacing w:val="-7"/>
        </w:rPr>
        <w:t xml:space="preserve"> </w:t>
      </w:r>
      <w:r>
        <w:rPr>
          <w:color w:val="231F20"/>
        </w:rPr>
        <w:t>the</w:t>
      </w:r>
      <w:r>
        <w:rPr>
          <w:color w:val="231F20"/>
          <w:spacing w:val="-7"/>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Learning</w:t>
      </w:r>
      <w:r>
        <w:rPr>
          <w:color w:val="231F20"/>
          <w:spacing w:val="-7"/>
        </w:rPr>
        <w:t xml:space="preserve"> </w:t>
      </w:r>
      <w:r>
        <w:rPr>
          <w:color w:val="231F20"/>
        </w:rPr>
        <w:t>Hub,</w:t>
      </w:r>
      <w:r>
        <w:rPr>
          <w:color w:val="231F20"/>
          <w:spacing w:val="-6"/>
        </w:rPr>
        <w:t xml:space="preserve"> </w:t>
      </w:r>
      <w:r>
        <w:rPr>
          <w:color w:val="231F20"/>
        </w:rPr>
        <w:t>to</w:t>
      </w:r>
      <w:r>
        <w:rPr>
          <w:color w:val="231F20"/>
          <w:spacing w:val="-7"/>
        </w:rPr>
        <w:t xml:space="preserve"> </w:t>
      </w:r>
      <w:r>
        <w:rPr>
          <w:color w:val="231F20"/>
        </w:rPr>
        <w:t>use</w:t>
      </w:r>
      <w:r>
        <w:rPr>
          <w:color w:val="231F20"/>
          <w:spacing w:val="-7"/>
        </w:rPr>
        <w:t xml:space="preserve"> </w:t>
      </w:r>
      <w:r>
        <w:rPr>
          <w:color w:val="231F20"/>
        </w:rPr>
        <w:t>a</w:t>
      </w:r>
    </w:p>
    <w:p w14:paraId="1493CC7A" w14:textId="77777777" w:rsidR="00345EE3" w:rsidRDefault="00345EE3" w:rsidP="00345EE3">
      <w:pPr>
        <w:pStyle w:val="BodyText"/>
        <w:spacing w:before="6" w:line="242" w:lineRule="auto"/>
        <w:ind w:right="921"/>
      </w:pPr>
      <w:r>
        <w:rPr>
          <w:color w:val="231F20"/>
        </w:rPr>
        <w:t>broader</w:t>
      </w:r>
      <w:r>
        <w:rPr>
          <w:color w:val="231F20"/>
          <w:spacing w:val="-7"/>
        </w:rPr>
        <w:t xml:space="preserve"> </w:t>
      </w:r>
      <w:r>
        <w:rPr>
          <w:color w:val="231F20"/>
        </w:rPr>
        <w:t>range</w:t>
      </w:r>
      <w:r>
        <w:rPr>
          <w:color w:val="231F20"/>
          <w:spacing w:val="-8"/>
        </w:rPr>
        <w:t xml:space="preserve"> </w:t>
      </w:r>
      <w:r>
        <w:rPr>
          <w:color w:val="231F20"/>
        </w:rPr>
        <w:t>of</w:t>
      </w:r>
      <w:r>
        <w:rPr>
          <w:color w:val="231F20"/>
          <w:spacing w:val="-7"/>
        </w:rPr>
        <w:t xml:space="preserve"> </w:t>
      </w:r>
      <w:r>
        <w:rPr>
          <w:color w:val="231F20"/>
        </w:rPr>
        <w:t>technology</w:t>
      </w:r>
      <w:r>
        <w:rPr>
          <w:color w:val="231F20"/>
          <w:spacing w:val="-7"/>
        </w:rPr>
        <w:t xml:space="preserve"> </w:t>
      </w:r>
      <w:r>
        <w:rPr>
          <w:color w:val="231F20"/>
        </w:rPr>
        <w:t>and</w:t>
      </w:r>
      <w:r>
        <w:rPr>
          <w:color w:val="231F20"/>
          <w:spacing w:val="-8"/>
        </w:rPr>
        <w:t xml:space="preserve"> </w:t>
      </w:r>
      <w:r>
        <w:rPr>
          <w:color w:val="231F20"/>
        </w:rPr>
        <w:t>delivery</w:t>
      </w:r>
      <w:r>
        <w:rPr>
          <w:color w:val="231F20"/>
          <w:spacing w:val="-7"/>
        </w:rPr>
        <w:t xml:space="preserve"> </w:t>
      </w:r>
      <w:r>
        <w:rPr>
          <w:color w:val="231F20"/>
        </w:rPr>
        <w:t>methods,</w:t>
      </w:r>
      <w:r>
        <w:rPr>
          <w:color w:val="231F20"/>
          <w:spacing w:val="-7"/>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ability</w:t>
      </w:r>
      <w:r>
        <w:rPr>
          <w:color w:val="231F20"/>
          <w:spacing w:val="-7"/>
        </w:rPr>
        <w:t xml:space="preserve"> </w:t>
      </w:r>
      <w:r>
        <w:rPr>
          <w:color w:val="231F20"/>
        </w:rPr>
        <w:t>to</w:t>
      </w:r>
      <w:r>
        <w:rPr>
          <w:color w:val="231F20"/>
          <w:spacing w:val="-8"/>
        </w:rPr>
        <w:t xml:space="preserve"> </w:t>
      </w:r>
      <w:r>
        <w:rPr>
          <w:color w:val="231F20"/>
        </w:rPr>
        <w:t>transition</w:t>
      </w:r>
      <w:r>
        <w:rPr>
          <w:color w:val="231F20"/>
          <w:spacing w:val="-8"/>
        </w:rPr>
        <w:t xml:space="preserve"> </w:t>
      </w:r>
      <w:r>
        <w:rPr>
          <w:color w:val="231F20"/>
        </w:rPr>
        <w:t>parts</w:t>
      </w:r>
      <w:r>
        <w:rPr>
          <w:color w:val="231F20"/>
          <w:spacing w:val="-7"/>
        </w:rPr>
        <w:t xml:space="preserve"> </w:t>
      </w:r>
      <w:r>
        <w:rPr>
          <w:color w:val="231F20"/>
        </w:rPr>
        <w:t>of</w:t>
      </w:r>
      <w:r>
        <w:rPr>
          <w:color w:val="231F20"/>
          <w:spacing w:val="-7"/>
        </w:rPr>
        <w:t xml:space="preserve"> </w:t>
      </w:r>
      <w:r>
        <w:rPr>
          <w:color w:val="231F20"/>
        </w:rPr>
        <w:t>course delivery to online methods, for programs such as managing family violence, leadership uplift, respectful workplaces and mentoring.</w:t>
      </w:r>
    </w:p>
    <w:p w14:paraId="05181BBC" w14:textId="77777777" w:rsidR="00345EE3" w:rsidRDefault="00345EE3" w:rsidP="00345EE3">
      <w:pPr>
        <w:pStyle w:val="Heading5"/>
        <w:spacing w:before="174"/>
      </w:pPr>
      <w:r>
        <w:rPr>
          <w:color w:val="58595B"/>
        </w:rPr>
        <w:t>Partnerships</w:t>
      </w:r>
      <w:r>
        <w:rPr>
          <w:color w:val="58595B"/>
          <w:spacing w:val="-4"/>
        </w:rPr>
        <w:t xml:space="preserve"> </w:t>
      </w:r>
      <w:r>
        <w:rPr>
          <w:color w:val="58595B"/>
        </w:rPr>
        <w:t>with</w:t>
      </w:r>
      <w:r>
        <w:rPr>
          <w:color w:val="58595B"/>
          <w:spacing w:val="-3"/>
        </w:rPr>
        <w:t xml:space="preserve"> </w:t>
      </w:r>
      <w:r>
        <w:rPr>
          <w:color w:val="58595B"/>
        </w:rPr>
        <w:t>Universities</w:t>
      </w:r>
      <w:r>
        <w:rPr>
          <w:color w:val="58595B"/>
          <w:spacing w:val="-4"/>
        </w:rPr>
        <w:t xml:space="preserve"> </w:t>
      </w:r>
      <w:r>
        <w:rPr>
          <w:color w:val="58595B"/>
        </w:rPr>
        <w:t>and</w:t>
      </w:r>
      <w:r>
        <w:rPr>
          <w:color w:val="58595B"/>
          <w:spacing w:val="-4"/>
        </w:rPr>
        <w:t xml:space="preserve"> TAFE</w:t>
      </w:r>
    </w:p>
    <w:p w14:paraId="08ECA7FF" w14:textId="77777777" w:rsidR="00345EE3" w:rsidRDefault="00345EE3" w:rsidP="00345EE3">
      <w:pPr>
        <w:pStyle w:val="BodyText"/>
        <w:spacing w:before="4" w:line="242" w:lineRule="auto"/>
        <w:ind w:right="921"/>
      </w:pPr>
      <w:r>
        <w:rPr>
          <w:color w:val="231F20"/>
        </w:rPr>
        <w:t>Victoria Police secured a higher education promotional pathway for senior sergeants and inspectors</w:t>
      </w:r>
      <w:r>
        <w:rPr>
          <w:color w:val="231F20"/>
          <w:spacing w:val="-14"/>
        </w:rPr>
        <w:t xml:space="preserve"> </w:t>
      </w:r>
      <w:r>
        <w:rPr>
          <w:color w:val="231F20"/>
        </w:rPr>
        <w:t>with</w:t>
      </w:r>
      <w:r>
        <w:rPr>
          <w:color w:val="231F20"/>
          <w:spacing w:val="-14"/>
        </w:rPr>
        <w:t xml:space="preserve"> </w:t>
      </w:r>
      <w:r>
        <w:rPr>
          <w:color w:val="231F20"/>
        </w:rPr>
        <w:t>the</w:t>
      </w:r>
      <w:r>
        <w:rPr>
          <w:color w:val="231F20"/>
          <w:spacing w:val="-14"/>
        </w:rPr>
        <w:t xml:space="preserve"> </w:t>
      </w:r>
      <w:r>
        <w:rPr>
          <w:color w:val="231F20"/>
        </w:rPr>
        <w:t>University</w:t>
      </w:r>
      <w:r>
        <w:rPr>
          <w:color w:val="231F20"/>
          <w:spacing w:val="-14"/>
        </w:rPr>
        <w:t xml:space="preserve"> </w:t>
      </w:r>
      <w:r>
        <w:rPr>
          <w:color w:val="231F20"/>
        </w:rPr>
        <w:t>of</w:t>
      </w:r>
      <w:r>
        <w:rPr>
          <w:color w:val="231F20"/>
          <w:spacing w:val="-14"/>
        </w:rPr>
        <w:t xml:space="preserve"> </w:t>
      </w:r>
      <w:r>
        <w:rPr>
          <w:color w:val="231F20"/>
        </w:rPr>
        <w:t>Tasmania</w:t>
      </w:r>
      <w:r>
        <w:rPr>
          <w:color w:val="231F20"/>
          <w:spacing w:val="-14"/>
        </w:rPr>
        <w:t xml:space="preserve"> </w:t>
      </w:r>
      <w:r>
        <w:rPr>
          <w:color w:val="231F20"/>
        </w:rPr>
        <w:t>(UTAS)</w:t>
      </w:r>
      <w:r>
        <w:rPr>
          <w:color w:val="231F20"/>
          <w:spacing w:val="-14"/>
        </w:rPr>
        <w:t xml:space="preserve"> </w:t>
      </w:r>
      <w:r>
        <w:rPr>
          <w:color w:val="231F20"/>
        </w:rPr>
        <w:t>for</w:t>
      </w:r>
      <w:r>
        <w:rPr>
          <w:color w:val="231F20"/>
          <w:spacing w:val="-14"/>
        </w:rPr>
        <w:t xml:space="preserve"> </w:t>
      </w:r>
      <w:r>
        <w:rPr>
          <w:color w:val="231F20"/>
        </w:rPr>
        <w:t>three</w:t>
      </w:r>
      <w:r>
        <w:rPr>
          <w:color w:val="231F20"/>
          <w:spacing w:val="-14"/>
        </w:rPr>
        <w:t xml:space="preserve"> </w:t>
      </w:r>
      <w:r>
        <w:rPr>
          <w:color w:val="231F20"/>
        </w:rPr>
        <w:t>years</w:t>
      </w:r>
      <w:r>
        <w:rPr>
          <w:color w:val="231F20"/>
          <w:spacing w:val="-14"/>
        </w:rPr>
        <w:t xml:space="preserve"> </w:t>
      </w:r>
      <w:r>
        <w:rPr>
          <w:color w:val="231F20"/>
        </w:rPr>
        <w:t>commencing</w:t>
      </w:r>
      <w:r>
        <w:rPr>
          <w:color w:val="231F20"/>
          <w:spacing w:val="-14"/>
        </w:rPr>
        <w:t xml:space="preserve"> </w:t>
      </w:r>
      <w:r>
        <w:rPr>
          <w:color w:val="231F20"/>
        </w:rPr>
        <w:t>in</w:t>
      </w:r>
      <w:r>
        <w:rPr>
          <w:color w:val="231F20"/>
          <w:spacing w:val="-14"/>
        </w:rPr>
        <w:t xml:space="preserve"> </w:t>
      </w:r>
      <w:r>
        <w:rPr>
          <w:color w:val="231F20"/>
        </w:rPr>
        <w:t>2022.</w:t>
      </w:r>
      <w:r>
        <w:rPr>
          <w:color w:val="231F20"/>
          <w:spacing w:val="-14"/>
        </w:rPr>
        <w:t xml:space="preserve"> </w:t>
      </w:r>
      <w:r>
        <w:rPr>
          <w:color w:val="231F20"/>
        </w:rPr>
        <w:t>UTAS was successful following a competitive procurement process involving eight Victorian and Interstate higher education institutions.</w:t>
      </w:r>
    </w:p>
    <w:p w14:paraId="79F58F4D" w14:textId="77777777" w:rsidR="00345EE3" w:rsidRDefault="00345EE3" w:rsidP="00345EE3">
      <w:pPr>
        <w:pStyle w:val="BodyText"/>
        <w:spacing w:before="119" w:line="242" w:lineRule="auto"/>
        <w:ind w:right="1141"/>
      </w:pPr>
      <w:r>
        <w:rPr>
          <w:color w:val="231F20"/>
        </w:rPr>
        <w:t>Monash University has introduced a Bachelor of Criminology/Police Degree. This is a new pathway for those interested in a career with Victoria Police. Monash University students will undertake the current BCrim program in years one and two, and upon successful application to</w:t>
      </w:r>
      <w:r>
        <w:rPr>
          <w:color w:val="231F20"/>
          <w:spacing w:val="-13"/>
        </w:rPr>
        <w:t xml:space="preserve"> </w:t>
      </w:r>
      <w:r>
        <w:rPr>
          <w:color w:val="231F20"/>
        </w:rPr>
        <w:t>join</w:t>
      </w:r>
      <w:r>
        <w:rPr>
          <w:color w:val="231F20"/>
          <w:spacing w:val="-13"/>
        </w:rPr>
        <w:t xml:space="preserve"> </w:t>
      </w:r>
      <w:r>
        <w:rPr>
          <w:color w:val="231F20"/>
        </w:rPr>
        <w:t>Victoria</w:t>
      </w:r>
      <w:r>
        <w:rPr>
          <w:color w:val="231F20"/>
          <w:spacing w:val="-13"/>
        </w:rPr>
        <w:t xml:space="preserve"> </w:t>
      </w:r>
      <w:r>
        <w:rPr>
          <w:color w:val="231F20"/>
        </w:rPr>
        <w:t>Police,</w:t>
      </w:r>
      <w:r>
        <w:rPr>
          <w:color w:val="231F20"/>
          <w:spacing w:val="-12"/>
        </w:rPr>
        <w:t xml:space="preserve"> </w:t>
      </w:r>
      <w:r>
        <w:rPr>
          <w:color w:val="231F20"/>
        </w:rPr>
        <w:t>undertake</w:t>
      </w:r>
      <w:r>
        <w:rPr>
          <w:color w:val="231F20"/>
          <w:spacing w:val="-13"/>
        </w:rPr>
        <w:t xml:space="preserve"> </w:t>
      </w:r>
      <w:r>
        <w:rPr>
          <w:color w:val="231F20"/>
        </w:rPr>
        <w:t>the</w:t>
      </w:r>
      <w:r>
        <w:rPr>
          <w:color w:val="231F20"/>
          <w:spacing w:val="-13"/>
        </w:rPr>
        <w:t xml:space="preserve"> </w:t>
      </w:r>
      <w:r>
        <w:rPr>
          <w:color w:val="231F20"/>
        </w:rPr>
        <w:t>Diploma</w:t>
      </w:r>
      <w:r>
        <w:rPr>
          <w:color w:val="231F20"/>
          <w:spacing w:val="-13"/>
        </w:rPr>
        <w:t xml:space="preserve"> </w:t>
      </w:r>
      <w:r>
        <w:rPr>
          <w:color w:val="231F20"/>
        </w:rPr>
        <w:t>(Policing)</w:t>
      </w:r>
      <w:r>
        <w:rPr>
          <w:color w:val="231F20"/>
          <w:spacing w:val="-12"/>
        </w:rPr>
        <w:t xml:space="preserve"> </w:t>
      </w:r>
      <w:r>
        <w:rPr>
          <w:color w:val="231F20"/>
        </w:rPr>
        <w:t>(Recruit</w:t>
      </w:r>
      <w:r>
        <w:rPr>
          <w:color w:val="231F20"/>
          <w:spacing w:val="-12"/>
        </w:rPr>
        <w:t xml:space="preserve"> </w:t>
      </w:r>
      <w:r>
        <w:rPr>
          <w:color w:val="231F20"/>
        </w:rPr>
        <w:t>Training)</w:t>
      </w:r>
      <w:r>
        <w:rPr>
          <w:color w:val="231F20"/>
          <w:spacing w:val="-12"/>
        </w:rPr>
        <w:t xml:space="preserve"> </w:t>
      </w:r>
      <w:r>
        <w:rPr>
          <w:color w:val="231F20"/>
        </w:rPr>
        <w:t>at</w:t>
      </w:r>
      <w:r>
        <w:rPr>
          <w:color w:val="231F20"/>
          <w:spacing w:val="-12"/>
        </w:rPr>
        <w:t xml:space="preserve"> </w:t>
      </w:r>
      <w:r>
        <w:rPr>
          <w:color w:val="231F20"/>
        </w:rPr>
        <w:t>the</w:t>
      </w:r>
      <w:r>
        <w:rPr>
          <w:color w:val="231F20"/>
          <w:spacing w:val="-13"/>
        </w:rPr>
        <w:t xml:space="preserve"> </w:t>
      </w:r>
      <w:r>
        <w:rPr>
          <w:color w:val="231F20"/>
        </w:rPr>
        <w:t>Victoria</w:t>
      </w:r>
      <w:r>
        <w:rPr>
          <w:color w:val="231F20"/>
          <w:spacing w:val="-13"/>
        </w:rPr>
        <w:t xml:space="preserve"> </w:t>
      </w:r>
      <w:r>
        <w:rPr>
          <w:color w:val="231F20"/>
        </w:rPr>
        <w:t>Police Academy. This will form the third year Criminology Degree requirements with a mix of core</w:t>
      </w:r>
    </w:p>
    <w:p w14:paraId="5C87853A" w14:textId="77777777" w:rsidR="00345EE3" w:rsidRDefault="00345EE3" w:rsidP="00345EE3">
      <w:pPr>
        <w:pStyle w:val="BodyText"/>
        <w:spacing w:before="7" w:line="242" w:lineRule="auto"/>
        <w:ind w:right="921"/>
      </w:pPr>
      <w:r>
        <w:rPr>
          <w:color w:val="231F20"/>
        </w:rPr>
        <w:t>units</w:t>
      </w:r>
      <w:r>
        <w:rPr>
          <w:color w:val="231F20"/>
          <w:spacing w:val="-8"/>
        </w:rPr>
        <w:t xml:space="preserve"> </w:t>
      </w:r>
      <w:r>
        <w:rPr>
          <w:color w:val="231F20"/>
        </w:rPr>
        <w:t>from</w:t>
      </w:r>
      <w:r>
        <w:rPr>
          <w:color w:val="231F20"/>
          <w:spacing w:val="-8"/>
        </w:rPr>
        <w:t xml:space="preserve"> </w:t>
      </w:r>
      <w:r>
        <w:rPr>
          <w:color w:val="231F20"/>
        </w:rPr>
        <w:t>both</w:t>
      </w:r>
      <w:r>
        <w:rPr>
          <w:color w:val="231F20"/>
          <w:spacing w:val="-9"/>
        </w:rPr>
        <w:t xml:space="preserve"> </w:t>
      </w:r>
      <w:r>
        <w:rPr>
          <w:color w:val="231F20"/>
        </w:rPr>
        <w:t>Monash</w:t>
      </w:r>
      <w:r>
        <w:rPr>
          <w:color w:val="231F20"/>
          <w:spacing w:val="-9"/>
        </w:rPr>
        <w:t xml:space="preserve"> </w:t>
      </w:r>
      <w:r>
        <w:rPr>
          <w:color w:val="231F20"/>
        </w:rPr>
        <w:t>and</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8"/>
        </w:rPr>
        <w:t xml:space="preserve"> </w:t>
      </w:r>
      <w:r>
        <w:rPr>
          <w:color w:val="231F20"/>
        </w:rPr>
        <w:t>This</w:t>
      </w:r>
      <w:r>
        <w:rPr>
          <w:color w:val="231F20"/>
          <w:spacing w:val="-8"/>
        </w:rPr>
        <w:t xml:space="preserve"> </w:t>
      </w:r>
      <w:r>
        <w:rPr>
          <w:color w:val="231F20"/>
        </w:rPr>
        <w:t>is</w:t>
      </w:r>
      <w:r>
        <w:rPr>
          <w:color w:val="231F20"/>
          <w:spacing w:val="-8"/>
        </w:rPr>
        <w:t xml:space="preserve"> </w:t>
      </w:r>
      <w:r>
        <w:rPr>
          <w:color w:val="231F20"/>
        </w:rPr>
        <w:t>a</w:t>
      </w:r>
      <w:r>
        <w:rPr>
          <w:color w:val="231F20"/>
          <w:spacing w:val="-9"/>
        </w:rPr>
        <w:t xml:space="preserve"> </w:t>
      </w:r>
      <w:r>
        <w:rPr>
          <w:color w:val="231F20"/>
        </w:rPr>
        <w:t>unique</w:t>
      </w:r>
      <w:r>
        <w:rPr>
          <w:color w:val="231F20"/>
          <w:spacing w:val="-9"/>
        </w:rPr>
        <w:t xml:space="preserve"> </w:t>
      </w:r>
      <w:r>
        <w:rPr>
          <w:color w:val="231F20"/>
        </w:rPr>
        <w:t>degree</w:t>
      </w:r>
      <w:r>
        <w:rPr>
          <w:color w:val="231F20"/>
          <w:spacing w:val="-9"/>
        </w:rPr>
        <w:t xml:space="preserve"> </w:t>
      </w:r>
      <w:r>
        <w:rPr>
          <w:color w:val="231F20"/>
        </w:rPr>
        <w:t>pathway</w:t>
      </w:r>
      <w:r>
        <w:rPr>
          <w:color w:val="231F20"/>
          <w:spacing w:val="-8"/>
        </w:rPr>
        <w:t xml:space="preserve"> </w:t>
      </w:r>
      <w:r>
        <w:rPr>
          <w:color w:val="231F20"/>
        </w:rPr>
        <w:t>that</w:t>
      </w:r>
      <w:r>
        <w:rPr>
          <w:color w:val="231F20"/>
          <w:spacing w:val="-8"/>
        </w:rPr>
        <w:t xml:space="preserve"> </w:t>
      </w:r>
      <w:r>
        <w:rPr>
          <w:color w:val="231F20"/>
        </w:rPr>
        <w:t>should</w:t>
      </w:r>
      <w:r>
        <w:rPr>
          <w:color w:val="231F20"/>
          <w:spacing w:val="-9"/>
        </w:rPr>
        <w:t xml:space="preserve"> </w:t>
      </w:r>
      <w:r>
        <w:rPr>
          <w:color w:val="231F20"/>
        </w:rPr>
        <w:t>attract students with a diverse background to our organisation.</w:t>
      </w:r>
    </w:p>
    <w:p w14:paraId="560EFB3A" w14:textId="77777777" w:rsidR="00345EE3" w:rsidRDefault="00345EE3" w:rsidP="00345EE3">
      <w:pPr>
        <w:rPr>
          <w:color w:val="231F20"/>
          <w:sz w:val="24"/>
          <w:szCs w:val="24"/>
        </w:rPr>
      </w:pPr>
      <w:r>
        <w:rPr>
          <w:color w:val="231F20"/>
        </w:rPr>
        <w:br w:type="page"/>
      </w:r>
    </w:p>
    <w:p w14:paraId="17C8D543" w14:textId="77777777" w:rsidR="00345EE3" w:rsidRDefault="00345EE3" w:rsidP="00345EE3">
      <w:pPr>
        <w:pStyle w:val="BodyText"/>
        <w:spacing w:before="116" w:line="242" w:lineRule="auto"/>
        <w:ind w:right="848"/>
      </w:pPr>
      <w:r>
        <w:rPr>
          <w:color w:val="231F20"/>
        </w:rPr>
        <w:t>Victoria Police educators and trainers, who are qualified in Certificate IV in Training and Assessment</w:t>
      </w:r>
      <w:r>
        <w:rPr>
          <w:color w:val="231F20"/>
          <w:spacing w:val="-10"/>
        </w:rPr>
        <w:t xml:space="preserve"> </w:t>
      </w:r>
      <w:r>
        <w:rPr>
          <w:color w:val="231F20"/>
        </w:rPr>
        <w:t>and</w:t>
      </w:r>
      <w:r>
        <w:rPr>
          <w:color w:val="231F20"/>
          <w:spacing w:val="-11"/>
        </w:rPr>
        <w:t xml:space="preserve"> </w:t>
      </w:r>
      <w:r>
        <w:rPr>
          <w:color w:val="231F20"/>
        </w:rPr>
        <w:t>deliver</w:t>
      </w:r>
      <w:r>
        <w:rPr>
          <w:color w:val="231F20"/>
          <w:spacing w:val="-10"/>
        </w:rPr>
        <w:t xml:space="preserve"> </w:t>
      </w:r>
      <w:r>
        <w:rPr>
          <w:color w:val="231F20"/>
        </w:rPr>
        <w:t>accredited</w:t>
      </w:r>
      <w:r>
        <w:rPr>
          <w:color w:val="231F20"/>
          <w:spacing w:val="-11"/>
        </w:rPr>
        <w:t xml:space="preserve"> </w:t>
      </w:r>
      <w:r>
        <w:rPr>
          <w:color w:val="231F20"/>
        </w:rPr>
        <w:t>and</w:t>
      </w:r>
      <w:r>
        <w:rPr>
          <w:color w:val="231F20"/>
          <w:spacing w:val="-11"/>
        </w:rPr>
        <w:t xml:space="preserve"> </w:t>
      </w:r>
      <w:r>
        <w:rPr>
          <w:color w:val="231F20"/>
        </w:rPr>
        <w:t>non-accredited</w:t>
      </w:r>
      <w:r>
        <w:rPr>
          <w:color w:val="231F20"/>
          <w:spacing w:val="-11"/>
        </w:rPr>
        <w:t xml:space="preserve"> </w:t>
      </w:r>
      <w:r>
        <w:rPr>
          <w:color w:val="231F20"/>
        </w:rPr>
        <w:t>training,</w:t>
      </w:r>
      <w:r>
        <w:rPr>
          <w:color w:val="231F20"/>
          <w:spacing w:val="-10"/>
        </w:rPr>
        <w:t xml:space="preserve"> </w:t>
      </w:r>
      <w:r>
        <w:rPr>
          <w:color w:val="231F20"/>
        </w:rPr>
        <w:t>will</w:t>
      </w:r>
      <w:r>
        <w:rPr>
          <w:color w:val="231F20"/>
          <w:spacing w:val="-11"/>
        </w:rPr>
        <w:t xml:space="preserve"> </w:t>
      </w:r>
      <w:r>
        <w:rPr>
          <w:color w:val="231F20"/>
        </w:rPr>
        <w:t>participate</w:t>
      </w:r>
      <w:r>
        <w:rPr>
          <w:color w:val="231F20"/>
          <w:spacing w:val="-11"/>
        </w:rPr>
        <w:t xml:space="preserve"> </w:t>
      </w:r>
      <w:r>
        <w:rPr>
          <w:color w:val="231F20"/>
        </w:rPr>
        <w:t>in</w:t>
      </w:r>
      <w:r>
        <w:rPr>
          <w:color w:val="231F20"/>
          <w:spacing w:val="-11"/>
        </w:rPr>
        <w:t xml:space="preserve"> </w:t>
      </w:r>
      <w:r>
        <w:rPr>
          <w:color w:val="231F20"/>
        </w:rPr>
        <w:t>an</w:t>
      </w:r>
      <w:r>
        <w:rPr>
          <w:color w:val="231F20"/>
          <w:spacing w:val="-11"/>
        </w:rPr>
        <w:t xml:space="preserve"> </w:t>
      </w:r>
      <w:r>
        <w:rPr>
          <w:color w:val="231F20"/>
        </w:rPr>
        <w:t>observation program designed to outline opportunities for the professional development of Victoria Police educators. They will set a quality benchmark standard for education delivery and student assessment of police recruits and specialist programs. PDC partnered with the Chisholm Institute to engage with over 250 of Victoria Police educators and trainers on this initiative.</w:t>
      </w:r>
    </w:p>
    <w:p w14:paraId="0EAA221E" w14:textId="77777777" w:rsidR="00345EE3" w:rsidRDefault="00345EE3" w:rsidP="00345EE3">
      <w:pPr>
        <w:spacing w:line="242" w:lineRule="auto"/>
        <w:sectPr w:rsidR="00345EE3">
          <w:pgSz w:w="11910" w:h="16840"/>
          <w:pgMar w:top="720" w:right="0" w:bottom="280" w:left="740" w:header="720" w:footer="720" w:gutter="0"/>
          <w:cols w:space="720"/>
        </w:sectPr>
      </w:pPr>
    </w:p>
    <w:p w14:paraId="2FEB83E9" w14:textId="77777777" w:rsidR="00345EE3" w:rsidRPr="00E97908" w:rsidRDefault="00345EE3" w:rsidP="00E97908">
      <w:pPr>
        <w:pStyle w:val="Heading1"/>
        <w:numPr>
          <w:ilvl w:val="0"/>
          <w:numId w:val="93"/>
        </w:numPr>
        <w:tabs>
          <w:tab w:val="left" w:pos="1002"/>
          <w:tab w:val="left" w:pos="1004"/>
        </w:tabs>
        <w:ind w:left="709" w:hanging="709"/>
        <w:rPr>
          <w:b w:val="0"/>
          <w:bCs/>
          <w:sz w:val="56"/>
          <w:szCs w:val="56"/>
        </w:rPr>
      </w:pPr>
      <w:bookmarkStart w:id="5" w:name="_TOC_250002"/>
      <w:r w:rsidRPr="00E97908">
        <w:rPr>
          <w:b w:val="0"/>
          <w:bCs/>
          <w:color w:val="00529F"/>
          <w:sz w:val="56"/>
          <w:szCs w:val="56"/>
        </w:rPr>
        <w:t>Other</w:t>
      </w:r>
      <w:r w:rsidRPr="00E97908">
        <w:rPr>
          <w:b w:val="0"/>
          <w:bCs/>
          <w:color w:val="00529F"/>
          <w:spacing w:val="-15"/>
          <w:sz w:val="56"/>
          <w:szCs w:val="56"/>
        </w:rPr>
        <w:t xml:space="preserve"> </w:t>
      </w:r>
      <w:bookmarkEnd w:id="5"/>
      <w:r w:rsidRPr="00E97908">
        <w:rPr>
          <w:b w:val="0"/>
          <w:bCs/>
          <w:color w:val="00529F"/>
          <w:spacing w:val="-2"/>
          <w:sz w:val="56"/>
          <w:szCs w:val="56"/>
        </w:rPr>
        <w:t>Disclosures</w:t>
      </w:r>
    </w:p>
    <w:p w14:paraId="79303F28" w14:textId="77777777" w:rsidR="00345EE3" w:rsidRPr="00E97908" w:rsidRDefault="00345EE3" w:rsidP="00345EE3">
      <w:pPr>
        <w:pStyle w:val="Heading2"/>
        <w:spacing w:before="204"/>
        <w:rPr>
          <w:sz w:val="32"/>
          <w:szCs w:val="32"/>
        </w:rPr>
      </w:pPr>
      <w:r w:rsidRPr="00E97908">
        <w:rPr>
          <w:color w:val="00529F"/>
          <w:sz w:val="32"/>
          <w:szCs w:val="32"/>
        </w:rPr>
        <w:t>Local</w:t>
      </w:r>
      <w:r w:rsidRPr="00E97908">
        <w:rPr>
          <w:color w:val="00529F"/>
          <w:spacing w:val="-9"/>
          <w:sz w:val="32"/>
          <w:szCs w:val="32"/>
        </w:rPr>
        <w:t xml:space="preserve"> </w:t>
      </w:r>
      <w:r w:rsidRPr="00E97908">
        <w:rPr>
          <w:color w:val="00529F"/>
          <w:sz w:val="32"/>
          <w:szCs w:val="32"/>
        </w:rPr>
        <w:t>Jobs</w:t>
      </w:r>
      <w:r w:rsidRPr="00E97908">
        <w:rPr>
          <w:color w:val="00529F"/>
          <w:spacing w:val="-5"/>
          <w:sz w:val="32"/>
          <w:szCs w:val="32"/>
        </w:rPr>
        <w:t xml:space="preserve"> </w:t>
      </w:r>
      <w:r w:rsidRPr="00E97908">
        <w:rPr>
          <w:color w:val="00529F"/>
          <w:spacing w:val="-4"/>
          <w:sz w:val="32"/>
          <w:szCs w:val="32"/>
        </w:rPr>
        <w:t>First</w:t>
      </w:r>
    </w:p>
    <w:p w14:paraId="4AF3E69B" w14:textId="77777777" w:rsidR="00345EE3" w:rsidRDefault="00345EE3" w:rsidP="00345EE3">
      <w:pPr>
        <w:pStyle w:val="BodyText"/>
        <w:spacing w:before="72" w:line="242" w:lineRule="auto"/>
        <w:ind w:right="921"/>
      </w:pPr>
      <w:r>
        <w:rPr>
          <w:color w:val="231F20"/>
        </w:rPr>
        <w:t>The</w:t>
      </w:r>
      <w:r>
        <w:rPr>
          <w:color w:val="231F20"/>
          <w:spacing w:val="-17"/>
        </w:rPr>
        <w:t xml:space="preserve"> </w:t>
      </w:r>
      <w:r>
        <w:rPr>
          <w:i/>
          <w:color w:val="231F20"/>
        </w:rPr>
        <w:t>Local</w:t>
      </w:r>
      <w:r>
        <w:rPr>
          <w:i/>
          <w:color w:val="231F20"/>
          <w:spacing w:val="-17"/>
        </w:rPr>
        <w:t xml:space="preserve"> </w:t>
      </w:r>
      <w:r>
        <w:rPr>
          <w:i/>
          <w:color w:val="231F20"/>
        </w:rPr>
        <w:t>Jobs</w:t>
      </w:r>
      <w:r>
        <w:rPr>
          <w:i/>
          <w:color w:val="231F20"/>
          <w:spacing w:val="-16"/>
        </w:rPr>
        <w:t xml:space="preserve"> </w:t>
      </w:r>
      <w:r>
        <w:rPr>
          <w:i/>
          <w:color w:val="231F20"/>
        </w:rPr>
        <w:t>First</w:t>
      </w:r>
      <w:r>
        <w:rPr>
          <w:i/>
          <w:color w:val="231F20"/>
          <w:spacing w:val="-17"/>
        </w:rPr>
        <w:t xml:space="preserve"> </w:t>
      </w:r>
      <w:r>
        <w:rPr>
          <w:i/>
          <w:color w:val="231F20"/>
        </w:rPr>
        <w:t>Act</w:t>
      </w:r>
      <w:r>
        <w:rPr>
          <w:i/>
          <w:color w:val="231F20"/>
          <w:spacing w:val="-17"/>
        </w:rPr>
        <w:t xml:space="preserve"> </w:t>
      </w:r>
      <w:r>
        <w:rPr>
          <w:color w:val="231F20"/>
        </w:rPr>
        <w:t>2003</w:t>
      </w:r>
      <w:r>
        <w:rPr>
          <w:color w:val="231F20"/>
          <w:spacing w:val="-12"/>
        </w:rPr>
        <w:t xml:space="preserve"> </w:t>
      </w:r>
      <w:r>
        <w:rPr>
          <w:color w:val="231F20"/>
        </w:rPr>
        <w:t>introduced</w:t>
      </w:r>
      <w:r>
        <w:rPr>
          <w:color w:val="231F20"/>
          <w:spacing w:val="-12"/>
        </w:rPr>
        <w:t xml:space="preserve"> </w:t>
      </w:r>
      <w:r>
        <w:rPr>
          <w:color w:val="231F20"/>
        </w:rPr>
        <w:t>in</w:t>
      </w:r>
      <w:r>
        <w:rPr>
          <w:color w:val="231F20"/>
          <w:spacing w:val="-12"/>
        </w:rPr>
        <w:t xml:space="preserve"> </w:t>
      </w:r>
      <w:r>
        <w:rPr>
          <w:color w:val="231F20"/>
        </w:rPr>
        <w:t>August</w:t>
      </w:r>
      <w:r>
        <w:rPr>
          <w:color w:val="231F20"/>
          <w:spacing w:val="-12"/>
        </w:rPr>
        <w:t xml:space="preserve"> </w:t>
      </w:r>
      <w:r>
        <w:rPr>
          <w:color w:val="231F20"/>
        </w:rPr>
        <w:t>2018</w:t>
      </w:r>
      <w:r>
        <w:rPr>
          <w:color w:val="231F20"/>
          <w:spacing w:val="-12"/>
        </w:rPr>
        <w:t xml:space="preserve"> </w:t>
      </w:r>
      <w:r>
        <w:rPr>
          <w:color w:val="231F20"/>
        </w:rPr>
        <w:t>brings</w:t>
      </w:r>
      <w:r>
        <w:rPr>
          <w:color w:val="231F20"/>
          <w:spacing w:val="-12"/>
        </w:rPr>
        <w:t xml:space="preserve"> </w:t>
      </w:r>
      <w:r>
        <w:rPr>
          <w:color w:val="231F20"/>
        </w:rPr>
        <w:t>together</w:t>
      </w:r>
      <w:r>
        <w:rPr>
          <w:color w:val="231F20"/>
          <w:spacing w:val="-12"/>
        </w:rPr>
        <w:t xml:space="preserve"> </w:t>
      </w:r>
      <w:r>
        <w:rPr>
          <w:color w:val="231F20"/>
        </w:rPr>
        <w:t>the</w:t>
      </w:r>
      <w:r>
        <w:rPr>
          <w:color w:val="231F20"/>
          <w:spacing w:val="-12"/>
        </w:rPr>
        <w:t xml:space="preserve"> </w:t>
      </w:r>
      <w:r>
        <w:rPr>
          <w:color w:val="231F20"/>
        </w:rPr>
        <w:t>Victorian</w:t>
      </w:r>
      <w:r>
        <w:rPr>
          <w:color w:val="231F20"/>
          <w:spacing w:val="-12"/>
        </w:rPr>
        <w:t xml:space="preserve"> </w:t>
      </w:r>
      <w:r>
        <w:rPr>
          <w:color w:val="231F20"/>
        </w:rPr>
        <w:t>Industry Participation Policy (VIPP) and Major Project Skills Guarantee (MPSG) policy that were previously administered separately.</w:t>
      </w:r>
    </w:p>
    <w:p w14:paraId="09E29291" w14:textId="77777777" w:rsidR="00345EE3" w:rsidRDefault="00345EE3" w:rsidP="00345EE3">
      <w:pPr>
        <w:pStyle w:val="BodyText"/>
        <w:spacing w:before="118" w:line="242" w:lineRule="auto"/>
        <w:ind w:right="921"/>
      </w:pPr>
      <w:r>
        <w:rPr>
          <w:color w:val="231F20"/>
        </w:rPr>
        <w:t>Departments and public sector bodies are required to apply the Local Jobs First policy in all procurement</w:t>
      </w:r>
      <w:r>
        <w:rPr>
          <w:color w:val="231F20"/>
          <w:spacing w:val="-8"/>
        </w:rPr>
        <w:t xml:space="preserve"> </w:t>
      </w:r>
      <w:r>
        <w:rPr>
          <w:color w:val="231F20"/>
        </w:rPr>
        <w:t>activities</w:t>
      </w:r>
      <w:r>
        <w:rPr>
          <w:color w:val="231F20"/>
          <w:spacing w:val="-8"/>
        </w:rPr>
        <w:t xml:space="preserve"> </w:t>
      </w:r>
      <w:r>
        <w:rPr>
          <w:color w:val="231F20"/>
        </w:rPr>
        <w:t>valued</w:t>
      </w:r>
      <w:r>
        <w:rPr>
          <w:color w:val="231F20"/>
          <w:spacing w:val="-9"/>
        </w:rPr>
        <w:t xml:space="preserve"> </w:t>
      </w:r>
      <w:r>
        <w:rPr>
          <w:color w:val="231F20"/>
        </w:rPr>
        <w:t>at</w:t>
      </w:r>
      <w:r>
        <w:rPr>
          <w:color w:val="231F20"/>
          <w:spacing w:val="-8"/>
        </w:rPr>
        <w:t xml:space="preserve"> </w:t>
      </w:r>
      <w:r>
        <w:rPr>
          <w:color w:val="231F20"/>
        </w:rPr>
        <w:t>$3</w:t>
      </w:r>
      <w:r>
        <w:rPr>
          <w:color w:val="231F20"/>
          <w:spacing w:val="-9"/>
        </w:rPr>
        <w:t xml:space="preserve"> </w:t>
      </w:r>
      <w:r>
        <w:rPr>
          <w:color w:val="231F20"/>
        </w:rPr>
        <w:t>million</w:t>
      </w:r>
      <w:r>
        <w:rPr>
          <w:color w:val="231F20"/>
          <w:spacing w:val="-9"/>
        </w:rPr>
        <w:t xml:space="preserve"> </w:t>
      </w:r>
      <w:r>
        <w:rPr>
          <w:color w:val="231F20"/>
        </w:rPr>
        <w:t>or</w:t>
      </w:r>
      <w:r>
        <w:rPr>
          <w:color w:val="231F20"/>
          <w:spacing w:val="-8"/>
        </w:rPr>
        <w:t xml:space="preserve"> </w:t>
      </w:r>
      <w:r>
        <w:rPr>
          <w:color w:val="231F20"/>
        </w:rPr>
        <w:t>more</w:t>
      </w:r>
      <w:r>
        <w:rPr>
          <w:color w:val="231F20"/>
          <w:spacing w:val="-9"/>
        </w:rPr>
        <w:t xml:space="preserve"> </w:t>
      </w:r>
      <w:r>
        <w:rPr>
          <w:color w:val="231F20"/>
        </w:rPr>
        <w:t>in</w:t>
      </w:r>
      <w:r>
        <w:rPr>
          <w:color w:val="231F20"/>
          <w:spacing w:val="-9"/>
        </w:rPr>
        <w:t xml:space="preserve"> </w:t>
      </w:r>
      <w:r>
        <w:rPr>
          <w:color w:val="231F20"/>
        </w:rPr>
        <w:t>Metropolitan</w:t>
      </w:r>
      <w:r>
        <w:rPr>
          <w:color w:val="231F20"/>
          <w:spacing w:val="-9"/>
        </w:rPr>
        <w:t xml:space="preserve"> </w:t>
      </w:r>
      <w:r>
        <w:rPr>
          <w:color w:val="231F20"/>
        </w:rPr>
        <w:t>Melbourne</w:t>
      </w:r>
      <w:r>
        <w:rPr>
          <w:color w:val="231F20"/>
          <w:spacing w:val="-9"/>
        </w:rPr>
        <w:t xml:space="preserve"> </w:t>
      </w:r>
      <w:r>
        <w:rPr>
          <w:color w:val="231F20"/>
        </w:rPr>
        <w:t>or</w:t>
      </w:r>
      <w:r>
        <w:rPr>
          <w:color w:val="231F20"/>
          <w:spacing w:val="-8"/>
        </w:rPr>
        <w:t xml:space="preserve"> </w:t>
      </w:r>
      <w:r>
        <w:rPr>
          <w:color w:val="231F20"/>
        </w:rPr>
        <w:t>state-wide;</w:t>
      </w:r>
      <w:r>
        <w:rPr>
          <w:color w:val="231F20"/>
          <w:spacing w:val="-8"/>
        </w:rPr>
        <w:t xml:space="preserve"> </w:t>
      </w:r>
      <w:r>
        <w:rPr>
          <w:color w:val="231F20"/>
        </w:rPr>
        <w:t>or valued at $1 million or more for procurement activities in regional Victoria.</w:t>
      </w:r>
    </w:p>
    <w:p w14:paraId="541D7860" w14:textId="77777777" w:rsidR="00345EE3" w:rsidRDefault="00345EE3" w:rsidP="00345EE3">
      <w:pPr>
        <w:pStyle w:val="BodyText"/>
        <w:spacing w:before="117"/>
      </w:pPr>
      <w:r>
        <w:rPr>
          <w:color w:val="231F20"/>
        </w:rPr>
        <w:t>MPSG</w:t>
      </w:r>
      <w:r>
        <w:rPr>
          <w:color w:val="231F20"/>
          <w:spacing w:val="-9"/>
        </w:rPr>
        <w:t xml:space="preserve"> </w:t>
      </w:r>
      <w:r>
        <w:rPr>
          <w:color w:val="231F20"/>
        </w:rPr>
        <w:t>applies</w:t>
      </w:r>
      <w:r>
        <w:rPr>
          <w:color w:val="231F20"/>
          <w:spacing w:val="-7"/>
        </w:rPr>
        <w:t xml:space="preserve"> </w:t>
      </w:r>
      <w:r>
        <w:rPr>
          <w:color w:val="231F20"/>
        </w:rPr>
        <w:t>to</w:t>
      </w:r>
      <w:r>
        <w:rPr>
          <w:color w:val="231F20"/>
          <w:spacing w:val="-7"/>
        </w:rPr>
        <w:t xml:space="preserve"> </w:t>
      </w:r>
      <w:r>
        <w:rPr>
          <w:color w:val="231F20"/>
        </w:rPr>
        <w:t>all</w:t>
      </w:r>
      <w:r>
        <w:rPr>
          <w:color w:val="231F20"/>
          <w:spacing w:val="-8"/>
        </w:rPr>
        <w:t xml:space="preserve"> </w:t>
      </w:r>
      <w:r>
        <w:rPr>
          <w:color w:val="231F20"/>
        </w:rPr>
        <w:t>construction</w:t>
      </w:r>
      <w:r>
        <w:rPr>
          <w:color w:val="231F20"/>
          <w:spacing w:val="-7"/>
        </w:rPr>
        <w:t xml:space="preserve"> </w:t>
      </w:r>
      <w:r>
        <w:rPr>
          <w:color w:val="231F20"/>
        </w:rPr>
        <w:t>projects</w:t>
      </w:r>
      <w:r>
        <w:rPr>
          <w:color w:val="231F20"/>
          <w:spacing w:val="-7"/>
        </w:rPr>
        <w:t xml:space="preserve"> </w:t>
      </w:r>
      <w:r>
        <w:rPr>
          <w:color w:val="231F20"/>
        </w:rPr>
        <w:t>valued</w:t>
      </w:r>
      <w:r>
        <w:rPr>
          <w:color w:val="231F20"/>
          <w:spacing w:val="-7"/>
        </w:rPr>
        <w:t xml:space="preserve"> </w:t>
      </w:r>
      <w:r>
        <w:rPr>
          <w:color w:val="231F20"/>
        </w:rPr>
        <w:t>at</w:t>
      </w:r>
      <w:r>
        <w:rPr>
          <w:color w:val="231F20"/>
          <w:spacing w:val="-7"/>
        </w:rPr>
        <w:t xml:space="preserve"> </w:t>
      </w:r>
      <w:r>
        <w:rPr>
          <w:color w:val="231F20"/>
        </w:rPr>
        <w:t>$20</w:t>
      </w:r>
      <w:r>
        <w:rPr>
          <w:color w:val="231F20"/>
          <w:spacing w:val="-7"/>
        </w:rPr>
        <w:t xml:space="preserve"> </w:t>
      </w:r>
      <w:r>
        <w:rPr>
          <w:color w:val="231F20"/>
        </w:rPr>
        <w:t>million</w:t>
      </w:r>
      <w:r>
        <w:rPr>
          <w:color w:val="231F20"/>
          <w:spacing w:val="-8"/>
        </w:rPr>
        <w:t xml:space="preserve"> </w:t>
      </w:r>
      <w:r>
        <w:rPr>
          <w:color w:val="231F20"/>
        </w:rPr>
        <w:t>or</w:t>
      </w:r>
      <w:r>
        <w:rPr>
          <w:color w:val="231F20"/>
          <w:spacing w:val="-6"/>
        </w:rPr>
        <w:t xml:space="preserve"> </w:t>
      </w:r>
      <w:r>
        <w:rPr>
          <w:color w:val="231F20"/>
          <w:spacing w:val="-2"/>
        </w:rPr>
        <w:t>more.</w:t>
      </w:r>
    </w:p>
    <w:p w14:paraId="099FE175" w14:textId="77777777" w:rsidR="00345EE3" w:rsidRDefault="00345EE3" w:rsidP="00345EE3">
      <w:pPr>
        <w:pStyle w:val="BodyText"/>
        <w:spacing w:before="117" w:line="242" w:lineRule="auto"/>
      </w:pPr>
      <w:r>
        <w:rPr>
          <w:color w:val="231F20"/>
        </w:rPr>
        <w:t>The</w:t>
      </w:r>
      <w:r>
        <w:rPr>
          <w:color w:val="231F20"/>
          <w:spacing w:val="-9"/>
        </w:rPr>
        <w:t xml:space="preserve"> </w:t>
      </w:r>
      <w:r>
        <w:rPr>
          <w:color w:val="231F20"/>
        </w:rPr>
        <w:t>MPSG</w:t>
      </w:r>
      <w:r>
        <w:rPr>
          <w:color w:val="231F20"/>
          <w:spacing w:val="-8"/>
        </w:rPr>
        <w:t xml:space="preserve"> </w:t>
      </w:r>
      <w:r>
        <w:rPr>
          <w:color w:val="231F20"/>
        </w:rPr>
        <w:t>guidelines</w:t>
      </w:r>
      <w:r>
        <w:rPr>
          <w:color w:val="231F20"/>
          <w:spacing w:val="-8"/>
        </w:rPr>
        <w:t xml:space="preserve"> </w:t>
      </w:r>
      <w:r>
        <w:rPr>
          <w:color w:val="231F20"/>
        </w:rPr>
        <w:t>and</w:t>
      </w:r>
      <w:r>
        <w:rPr>
          <w:color w:val="231F20"/>
          <w:spacing w:val="-9"/>
        </w:rPr>
        <w:t xml:space="preserve"> </w:t>
      </w:r>
      <w:r>
        <w:rPr>
          <w:color w:val="231F20"/>
        </w:rPr>
        <w:t>VIPP</w:t>
      </w:r>
      <w:r>
        <w:rPr>
          <w:color w:val="231F20"/>
          <w:spacing w:val="-8"/>
        </w:rPr>
        <w:t xml:space="preserve"> </w:t>
      </w:r>
      <w:r>
        <w:rPr>
          <w:color w:val="231F20"/>
        </w:rPr>
        <w:t>guidelines</w:t>
      </w:r>
      <w:r>
        <w:rPr>
          <w:color w:val="231F20"/>
          <w:spacing w:val="-8"/>
        </w:rPr>
        <w:t xml:space="preserve"> </w:t>
      </w:r>
      <w:r>
        <w:rPr>
          <w:color w:val="231F20"/>
        </w:rPr>
        <w:t>will</w:t>
      </w:r>
      <w:r>
        <w:rPr>
          <w:color w:val="231F20"/>
          <w:spacing w:val="-9"/>
        </w:rPr>
        <w:t xml:space="preserve"> </w:t>
      </w:r>
      <w:r>
        <w:rPr>
          <w:color w:val="231F20"/>
        </w:rPr>
        <w:t>continue</w:t>
      </w:r>
      <w:r>
        <w:rPr>
          <w:color w:val="231F20"/>
          <w:spacing w:val="-9"/>
        </w:rPr>
        <w:t xml:space="preserve"> </w:t>
      </w:r>
      <w:r>
        <w:rPr>
          <w:color w:val="231F20"/>
        </w:rPr>
        <w:t>to</w:t>
      </w:r>
      <w:r>
        <w:rPr>
          <w:color w:val="231F20"/>
          <w:spacing w:val="-9"/>
        </w:rPr>
        <w:t xml:space="preserve"> </w:t>
      </w:r>
      <w:r>
        <w:rPr>
          <w:color w:val="231F20"/>
        </w:rPr>
        <w:t>apply</w:t>
      </w:r>
      <w:r>
        <w:rPr>
          <w:color w:val="231F20"/>
          <w:spacing w:val="-8"/>
        </w:rPr>
        <w:t xml:space="preserve"> </w:t>
      </w:r>
      <w:r>
        <w:rPr>
          <w:color w:val="231F20"/>
        </w:rPr>
        <w:t>to</w:t>
      </w:r>
      <w:r>
        <w:rPr>
          <w:color w:val="231F20"/>
          <w:spacing w:val="-9"/>
        </w:rPr>
        <w:t xml:space="preserve"> </w:t>
      </w:r>
      <w:r>
        <w:rPr>
          <w:color w:val="231F20"/>
        </w:rPr>
        <w:t>MPSG-applicable</w:t>
      </w:r>
      <w:r>
        <w:rPr>
          <w:color w:val="231F20"/>
          <w:spacing w:val="-9"/>
        </w:rPr>
        <w:t xml:space="preserve"> </w:t>
      </w:r>
      <w:r>
        <w:rPr>
          <w:color w:val="231F20"/>
        </w:rPr>
        <w:t>and</w:t>
      </w:r>
      <w:r>
        <w:rPr>
          <w:color w:val="231F20"/>
          <w:spacing w:val="-9"/>
        </w:rPr>
        <w:t xml:space="preserve"> </w:t>
      </w:r>
      <w:r>
        <w:rPr>
          <w:color w:val="231F20"/>
        </w:rPr>
        <w:t>VIPP- applicable</w:t>
      </w:r>
      <w:r>
        <w:rPr>
          <w:color w:val="231F20"/>
          <w:spacing w:val="-13"/>
        </w:rPr>
        <w:t xml:space="preserve"> </w:t>
      </w:r>
      <w:r>
        <w:rPr>
          <w:color w:val="231F20"/>
        </w:rPr>
        <w:t>projects</w:t>
      </w:r>
      <w:r>
        <w:rPr>
          <w:color w:val="231F20"/>
          <w:spacing w:val="-10"/>
        </w:rPr>
        <w:t xml:space="preserve"> </w:t>
      </w:r>
      <w:r>
        <w:rPr>
          <w:color w:val="231F20"/>
        </w:rPr>
        <w:t>respectively</w:t>
      </w:r>
      <w:r>
        <w:rPr>
          <w:color w:val="231F20"/>
          <w:spacing w:val="-10"/>
        </w:rPr>
        <w:t xml:space="preserve"> </w:t>
      </w:r>
      <w:r>
        <w:rPr>
          <w:color w:val="231F20"/>
        </w:rPr>
        <w:t>where</w:t>
      </w:r>
      <w:r>
        <w:rPr>
          <w:color w:val="231F20"/>
          <w:spacing w:val="-11"/>
        </w:rPr>
        <w:t xml:space="preserve"> </w:t>
      </w:r>
      <w:r>
        <w:rPr>
          <w:color w:val="231F20"/>
        </w:rPr>
        <w:t>contracts</w:t>
      </w:r>
      <w:r>
        <w:rPr>
          <w:color w:val="231F20"/>
          <w:spacing w:val="-9"/>
        </w:rPr>
        <w:t xml:space="preserve"> </w:t>
      </w:r>
      <w:r>
        <w:rPr>
          <w:color w:val="231F20"/>
        </w:rPr>
        <w:t>have</w:t>
      </w:r>
      <w:r>
        <w:rPr>
          <w:color w:val="231F20"/>
          <w:spacing w:val="-11"/>
        </w:rPr>
        <w:t xml:space="preserve"> </w:t>
      </w:r>
      <w:r>
        <w:rPr>
          <w:color w:val="231F20"/>
        </w:rPr>
        <w:t>been</w:t>
      </w:r>
      <w:r>
        <w:rPr>
          <w:color w:val="231F20"/>
          <w:spacing w:val="-11"/>
        </w:rPr>
        <w:t xml:space="preserve"> </w:t>
      </w:r>
      <w:r>
        <w:rPr>
          <w:color w:val="231F20"/>
        </w:rPr>
        <w:t>entered</w:t>
      </w:r>
      <w:r>
        <w:rPr>
          <w:color w:val="231F20"/>
          <w:spacing w:val="-11"/>
        </w:rPr>
        <w:t xml:space="preserve"> </w:t>
      </w:r>
      <w:r>
        <w:rPr>
          <w:color w:val="231F20"/>
        </w:rPr>
        <w:t>into</w:t>
      </w:r>
      <w:r>
        <w:rPr>
          <w:color w:val="231F20"/>
          <w:spacing w:val="-10"/>
        </w:rPr>
        <w:t xml:space="preserve"> </w:t>
      </w:r>
      <w:r>
        <w:rPr>
          <w:color w:val="231F20"/>
        </w:rPr>
        <w:t>prior</w:t>
      </w:r>
      <w:r>
        <w:rPr>
          <w:color w:val="231F20"/>
          <w:spacing w:val="-10"/>
        </w:rPr>
        <w:t xml:space="preserve"> </w:t>
      </w:r>
      <w:r>
        <w:rPr>
          <w:color w:val="231F20"/>
        </w:rPr>
        <w:t>to</w:t>
      </w:r>
      <w:r>
        <w:rPr>
          <w:color w:val="231F20"/>
          <w:spacing w:val="-11"/>
        </w:rPr>
        <w:t xml:space="preserve"> </w:t>
      </w:r>
      <w:r>
        <w:rPr>
          <w:color w:val="231F20"/>
        </w:rPr>
        <w:t>15</w:t>
      </w:r>
      <w:r>
        <w:rPr>
          <w:color w:val="231F20"/>
          <w:spacing w:val="-11"/>
        </w:rPr>
        <w:t xml:space="preserve"> </w:t>
      </w:r>
      <w:r>
        <w:rPr>
          <w:color w:val="231F20"/>
        </w:rPr>
        <w:t>August</w:t>
      </w:r>
      <w:r>
        <w:rPr>
          <w:color w:val="231F20"/>
          <w:spacing w:val="-9"/>
        </w:rPr>
        <w:t xml:space="preserve"> </w:t>
      </w:r>
      <w:r>
        <w:rPr>
          <w:color w:val="231F20"/>
          <w:spacing w:val="-2"/>
        </w:rPr>
        <w:t>2018.</w:t>
      </w:r>
    </w:p>
    <w:p w14:paraId="5598EC2A" w14:textId="77777777" w:rsidR="00345EE3" w:rsidRDefault="00345EE3" w:rsidP="00345EE3">
      <w:pPr>
        <w:pStyle w:val="Heading5"/>
        <w:spacing w:before="173"/>
      </w:pPr>
      <w:r>
        <w:rPr>
          <w:color w:val="58595B"/>
        </w:rPr>
        <w:t>Projects</w:t>
      </w:r>
      <w:r>
        <w:rPr>
          <w:color w:val="58595B"/>
          <w:spacing w:val="-2"/>
        </w:rPr>
        <w:t xml:space="preserve"> </w:t>
      </w:r>
      <w:r>
        <w:rPr>
          <w:color w:val="58595B"/>
        </w:rPr>
        <w:t>Commenced</w:t>
      </w:r>
      <w:r>
        <w:rPr>
          <w:color w:val="58595B"/>
          <w:spacing w:val="-3"/>
        </w:rPr>
        <w:t xml:space="preserve"> </w:t>
      </w:r>
      <w:r>
        <w:rPr>
          <w:color w:val="58595B"/>
        </w:rPr>
        <w:t>–</w:t>
      </w:r>
      <w:r>
        <w:rPr>
          <w:color w:val="58595B"/>
          <w:spacing w:val="-3"/>
        </w:rPr>
        <w:t xml:space="preserve"> </w:t>
      </w:r>
      <w:r>
        <w:rPr>
          <w:color w:val="58595B"/>
        </w:rPr>
        <w:t>Local</w:t>
      </w:r>
      <w:r>
        <w:rPr>
          <w:color w:val="58595B"/>
          <w:spacing w:val="-2"/>
        </w:rPr>
        <w:t xml:space="preserve"> </w:t>
      </w:r>
      <w:r>
        <w:rPr>
          <w:color w:val="58595B"/>
        </w:rPr>
        <w:t>Jobs</w:t>
      </w:r>
      <w:r>
        <w:rPr>
          <w:color w:val="58595B"/>
          <w:spacing w:val="-3"/>
        </w:rPr>
        <w:t xml:space="preserve"> </w:t>
      </w:r>
      <w:r>
        <w:rPr>
          <w:color w:val="58595B"/>
        </w:rPr>
        <w:t>First</w:t>
      </w:r>
      <w:r>
        <w:rPr>
          <w:color w:val="58595B"/>
          <w:spacing w:val="-1"/>
        </w:rPr>
        <w:t xml:space="preserve"> </w:t>
      </w:r>
      <w:r>
        <w:rPr>
          <w:color w:val="58595B"/>
          <w:spacing w:val="-2"/>
        </w:rPr>
        <w:t>Standard</w:t>
      </w:r>
    </w:p>
    <w:p w14:paraId="66A8FCF8" w14:textId="77777777" w:rsidR="00345EE3" w:rsidRDefault="00345EE3" w:rsidP="00345EE3">
      <w:pPr>
        <w:pStyle w:val="BodyText"/>
        <w:spacing w:before="4" w:line="242" w:lineRule="auto"/>
        <w:ind w:right="921"/>
      </w:pPr>
      <w:r>
        <w:rPr>
          <w:color w:val="231F20"/>
        </w:rPr>
        <w:t>During</w:t>
      </w:r>
      <w:r>
        <w:rPr>
          <w:color w:val="231F20"/>
          <w:spacing w:val="-3"/>
        </w:rPr>
        <w:t xml:space="preserve"> </w:t>
      </w:r>
      <w:r>
        <w:rPr>
          <w:color w:val="231F20"/>
        </w:rPr>
        <w:t>2021–22,</w:t>
      </w:r>
      <w:r>
        <w:rPr>
          <w:color w:val="231F20"/>
          <w:spacing w:val="-2"/>
        </w:rPr>
        <w:t xml:space="preserve"> </w:t>
      </w:r>
      <w:r>
        <w:rPr>
          <w:color w:val="231F20"/>
        </w:rPr>
        <w:t>Victoria</w:t>
      </w:r>
      <w:r>
        <w:rPr>
          <w:color w:val="231F20"/>
          <w:spacing w:val="-3"/>
        </w:rPr>
        <w:t xml:space="preserve"> </w:t>
      </w:r>
      <w:r>
        <w:rPr>
          <w:color w:val="231F20"/>
        </w:rPr>
        <w:t>Police</w:t>
      </w:r>
      <w:r>
        <w:rPr>
          <w:color w:val="231F20"/>
          <w:spacing w:val="-3"/>
        </w:rPr>
        <w:t xml:space="preserve"> </w:t>
      </w:r>
      <w:r>
        <w:rPr>
          <w:color w:val="231F20"/>
        </w:rPr>
        <w:t>commenced</w:t>
      </w:r>
      <w:r>
        <w:rPr>
          <w:color w:val="231F20"/>
          <w:spacing w:val="-3"/>
        </w:rPr>
        <w:t xml:space="preserve"> </w:t>
      </w:r>
      <w:r>
        <w:rPr>
          <w:color w:val="231F20"/>
        </w:rPr>
        <w:t>four</w:t>
      </w:r>
      <w:r>
        <w:rPr>
          <w:color w:val="231F20"/>
          <w:spacing w:val="-2"/>
        </w:rPr>
        <w:t xml:space="preserve"> </w:t>
      </w:r>
      <w:r>
        <w:rPr>
          <w:color w:val="231F20"/>
        </w:rPr>
        <w:t>contracts</w:t>
      </w:r>
      <w:r>
        <w:rPr>
          <w:color w:val="231F20"/>
          <w:spacing w:val="-2"/>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commercial</w:t>
      </w:r>
      <w:r>
        <w:rPr>
          <w:color w:val="231F20"/>
          <w:spacing w:val="-3"/>
        </w:rPr>
        <w:t xml:space="preserve"> </w:t>
      </w:r>
      <w:r>
        <w:rPr>
          <w:color w:val="231F20"/>
        </w:rPr>
        <w:t>value</w:t>
      </w:r>
      <w:r>
        <w:rPr>
          <w:color w:val="231F20"/>
          <w:spacing w:val="-3"/>
        </w:rPr>
        <w:t xml:space="preserve"> </w:t>
      </w:r>
      <w:r>
        <w:rPr>
          <w:color w:val="231F20"/>
        </w:rPr>
        <w:t>for</w:t>
      </w:r>
      <w:r>
        <w:rPr>
          <w:color w:val="231F20"/>
          <w:spacing w:val="-2"/>
        </w:rPr>
        <w:t xml:space="preserve"> </w:t>
      </w:r>
      <w:r>
        <w:rPr>
          <w:color w:val="231F20"/>
        </w:rPr>
        <w:t>$41.8 million</w:t>
      </w:r>
      <w:r>
        <w:rPr>
          <w:color w:val="231F20"/>
          <w:spacing w:val="-2"/>
        </w:rPr>
        <w:t xml:space="preserve"> </w:t>
      </w:r>
      <w:r>
        <w:rPr>
          <w:color w:val="231F20"/>
        </w:rPr>
        <w:t>where</w:t>
      </w:r>
      <w:r>
        <w:rPr>
          <w:color w:val="231F20"/>
          <w:spacing w:val="-2"/>
        </w:rPr>
        <w:t xml:space="preserve"> </w:t>
      </w:r>
      <w:r>
        <w:rPr>
          <w:color w:val="231F20"/>
        </w:rPr>
        <w:t>Local</w:t>
      </w:r>
      <w:r>
        <w:rPr>
          <w:color w:val="231F20"/>
          <w:spacing w:val="-2"/>
        </w:rPr>
        <w:t xml:space="preserve"> </w:t>
      </w:r>
      <w:r>
        <w:rPr>
          <w:color w:val="231F20"/>
        </w:rPr>
        <w:t>Jobs</w:t>
      </w:r>
      <w:r>
        <w:rPr>
          <w:color w:val="231F20"/>
          <w:spacing w:val="-1"/>
        </w:rPr>
        <w:t xml:space="preserve"> </w:t>
      </w:r>
      <w:r>
        <w:rPr>
          <w:color w:val="231F20"/>
        </w:rPr>
        <w:t>First</w:t>
      </w:r>
      <w:r>
        <w:rPr>
          <w:color w:val="231F20"/>
          <w:spacing w:val="-1"/>
        </w:rPr>
        <w:t xml:space="preserve"> </w:t>
      </w:r>
      <w:r>
        <w:rPr>
          <w:color w:val="231F20"/>
        </w:rPr>
        <w:t>commitments</w:t>
      </w:r>
      <w:r>
        <w:rPr>
          <w:color w:val="231F20"/>
          <w:spacing w:val="-1"/>
        </w:rPr>
        <w:t xml:space="preserve"> </w:t>
      </w:r>
      <w:r>
        <w:rPr>
          <w:color w:val="231F20"/>
        </w:rPr>
        <w:t>applied.</w:t>
      </w:r>
      <w:r>
        <w:rPr>
          <w:color w:val="231F20"/>
          <w:spacing w:val="-1"/>
        </w:rPr>
        <w:t xml:space="preserve"> </w:t>
      </w:r>
      <w:r>
        <w:rPr>
          <w:color w:val="231F20"/>
        </w:rPr>
        <w:t>Two</w:t>
      </w:r>
      <w:r>
        <w:rPr>
          <w:color w:val="231F20"/>
          <w:spacing w:val="-2"/>
        </w:rPr>
        <w:t xml:space="preserve"> </w:t>
      </w:r>
      <w:r>
        <w:rPr>
          <w:color w:val="231F20"/>
        </w:rPr>
        <w:t>were</w:t>
      </w:r>
      <w:r>
        <w:rPr>
          <w:color w:val="231F20"/>
          <w:spacing w:val="-2"/>
        </w:rPr>
        <w:t xml:space="preserve"> </w:t>
      </w:r>
      <w:r>
        <w:rPr>
          <w:color w:val="231F20"/>
        </w:rPr>
        <w:t>classified</w:t>
      </w:r>
      <w:r>
        <w:rPr>
          <w:color w:val="231F20"/>
          <w:spacing w:val="-2"/>
        </w:rPr>
        <w:t xml:space="preserve"> </w:t>
      </w:r>
      <w:r>
        <w:rPr>
          <w:color w:val="231F20"/>
        </w:rPr>
        <w:t>as</w:t>
      </w:r>
      <w:r>
        <w:rPr>
          <w:color w:val="231F20"/>
          <w:spacing w:val="-1"/>
        </w:rPr>
        <w:t xml:space="preserve"> </w:t>
      </w:r>
      <w:r>
        <w:rPr>
          <w:color w:val="231F20"/>
        </w:rPr>
        <w:t>metropolitan</w:t>
      </w:r>
      <w:r>
        <w:rPr>
          <w:color w:val="231F20"/>
          <w:spacing w:val="-2"/>
        </w:rPr>
        <w:t xml:space="preserve"> </w:t>
      </w:r>
      <w:r>
        <w:rPr>
          <w:color w:val="231F20"/>
        </w:rPr>
        <w:t>and two</w:t>
      </w:r>
      <w:r>
        <w:rPr>
          <w:color w:val="231F20"/>
          <w:spacing w:val="-9"/>
        </w:rPr>
        <w:t xml:space="preserve"> </w:t>
      </w:r>
      <w:r>
        <w:rPr>
          <w:color w:val="231F20"/>
        </w:rPr>
        <w:t>were</w:t>
      </w:r>
      <w:r>
        <w:rPr>
          <w:color w:val="231F20"/>
          <w:spacing w:val="-9"/>
        </w:rPr>
        <w:t xml:space="preserve"> </w:t>
      </w:r>
      <w:r>
        <w:rPr>
          <w:color w:val="231F20"/>
        </w:rPr>
        <w:t>state-wide.</w:t>
      </w:r>
      <w:r>
        <w:rPr>
          <w:color w:val="231F20"/>
          <w:spacing w:val="-8"/>
        </w:rPr>
        <w:t xml:space="preserve"> </w:t>
      </w:r>
      <w:r>
        <w:rPr>
          <w:color w:val="231F20"/>
        </w:rPr>
        <w:t>Commitments</w:t>
      </w:r>
      <w:r>
        <w:rPr>
          <w:color w:val="231F20"/>
          <w:spacing w:val="-8"/>
        </w:rPr>
        <w:t xml:space="preserve"> </w:t>
      </w:r>
      <w:r>
        <w:rPr>
          <w:color w:val="231F20"/>
        </w:rPr>
        <w:t>included</w:t>
      </w:r>
      <w:r>
        <w:rPr>
          <w:color w:val="231F20"/>
          <w:spacing w:val="-9"/>
        </w:rPr>
        <w:t xml:space="preserve"> </w:t>
      </w:r>
      <w:r>
        <w:rPr>
          <w:color w:val="231F20"/>
        </w:rPr>
        <w:t>local</w:t>
      </w:r>
      <w:r>
        <w:rPr>
          <w:color w:val="231F20"/>
          <w:spacing w:val="-9"/>
        </w:rPr>
        <w:t xml:space="preserve"> </w:t>
      </w:r>
      <w:r>
        <w:rPr>
          <w:color w:val="231F20"/>
        </w:rPr>
        <w:t>content,</w:t>
      </w:r>
      <w:r>
        <w:rPr>
          <w:color w:val="231F20"/>
          <w:spacing w:val="-8"/>
        </w:rPr>
        <w:t xml:space="preserve"> </w:t>
      </w:r>
      <w:r>
        <w:rPr>
          <w:color w:val="231F20"/>
        </w:rPr>
        <w:t>local</w:t>
      </w:r>
      <w:r>
        <w:rPr>
          <w:color w:val="231F20"/>
          <w:spacing w:val="-9"/>
        </w:rPr>
        <w:t xml:space="preserve"> </w:t>
      </w:r>
      <w:r>
        <w:rPr>
          <w:color w:val="231F20"/>
        </w:rPr>
        <w:t>jobs</w:t>
      </w:r>
      <w:r>
        <w:rPr>
          <w:color w:val="231F20"/>
          <w:spacing w:val="-8"/>
        </w:rPr>
        <w:t xml:space="preserve"> </w:t>
      </w:r>
      <w:r>
        <w:rPr>
          <w:color w:val="231F20"/>
        </w:rPr>
        <w:t>created</w:t>
      </w:r>
      <w:r>
        <w:rPr>
          <w:color w:val="231F20"/>
          <w:spacing w:val="-9"/>
        </w:rPr>
        <w:t xml:space="preserve"> </w:t>
      </w:r>
      <w:r>
        <w:rPr>
          <w:color w:val="231F20"/>
        </w:rPr>
        <w:t>and</w:t>
      </w:r>
      <w:r>
        <w:rPr>
          <w:color w:val="231F20"/>
          <w:spacing w:val="-9"/>
        </w:rPr>
        <w:t xml:space="preserve"> </w:t>
      </w:r>
      <w:r>
        <w:rPr>
          <w:color w:val="231F20"/>
        </w:rPr>
        <w:t>retained</w:t>
      </w:r>
      <w:r>
        <w:rPr>
          <w:color w:val="231F20"/>
          <w:spacing w:val="-9"/>
        </w:rPr>
        <w:t xml:space="preserve"> </w:t>
      </w:r>
      <w:r>
        <w:rPr>
          <w:color w:val="231F20"/>
        </w:rPr>
        <w:t>and the use of Small to Medium Enterprises (SMEs) in the supply chain.</w:t>
      </w:r>
    </w:p>
    <w:p w14:paraId="7BFD9DA4" w14:textId="77777777" w:rsidR="00345EE3" w:rsidRDefault="00345EE3" w:rsidP="00345EE3">
      <w:pPr>
        <w:pStyle w:val="BodyText"/>
        <w:spacing w:before="119" w:line="242" w:lineRule="auto"/>
        <w:ind w:right="921"/>
      </w:pPr>
      <w:r>
        <w:rPr>
          <w:color w:val="231F20"/>
        </w:rPr>
        <w:t>The</w:t>
      </w:r>
      <w:r>
        <w:rPr>
          <w:color w:val="231F20"/>
          <w:spacing w:val="-8"/>
        </w:rPr>
        <w:t xml:space="preserve"> </w:t>
      </w:r>
      <w:r>
        <w:rPr>
          <w:color w:val="231F20"/>
        </w:rPr>
        <w:t>outcomes</w:t>
      </w:r>
      <w:r>
        <w:rPr>
          <w:color w:val="231F20"/>
          <w:spacing w:val="-7"/>
        </w:rPr>
        <w:t xml:space="preserve"> </w:t>
      </w:r>
      <w:r>
        <w:rPr>
          <w:color w:val="231F20"/>
        </w:rPr>
        <w:t>expected</w:t>
      </w:r>
      <w:r>
        <w:rPr>
          <w:color w:val="231F20"/>
          <w:spacing w:val="-8"/>
        </w:rPr>
        <w:t xml:space="preserve"> </w:t>
      </w:r>
      <w:r>
        <w:rPr>
          <w:color w:val="231F20"/>
        </w:rPr>
        <w:t>from</w:t>
      </w:r>
      <w:r>
        <w:rPr>
          <w:color w:val="231F20"/>
          <w:spacing w:val="-7"/>
        </w:rPr>
        <w:t xml:space="preserve"> </w:t>
      </w:r>
      <w:r>
        <w:rPr>
          <w:color w:val="231F20"/>
        </w:rPr>
        <w:t>the</w:t>
      </w:r>
      <w:r>
        <w:rPr>
          <w:color w:val="231F20"/>
          <w:spacing w:val="-8"/>
        </w:rPr>
        <w:t xml:space="preserve"> </w:t>
      </w:r>
      <w:r>
        <w:rPr>
          <w:color w:val="231F20"/>
        </w:rPr>
        <w:t>implementation</w:t>
      </w:r>
      <w:r>
        <w:rPr>
          <w:color w:val="231F20"/>
          <w:spacing w:val="-8"/>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Local</w:t>
      </w:r>
      <w:r>
        <w:rPr>
          <w:color w:val="231F20"/>
          <w:spacing w:val="-8"/>
        </w:rPr>
        <w:t xml:space="preserve"> </w:t>
      </w:r>
      <w:r>
        <w:rPr>
          <w:color w:val="231F20"/>
        </w:rPr>
        <w:t>Jobs</w:t>
      </w:r>
      <w:r>
        <w:rPr>
          <w:color w:val="231F20"/>
          <w:spacing w:val="-7"/>
        </w:rPr>
        <w:t xml:space="preserve"> </w:t>
      </w:r>
      <w:r>
        <w:rPr>
          <w:color w:val="231F20"/>
        </w:rPr>
        <w:t>First</w:t>
      </w:r>
      <w:r>
        <w:rPr>
          <w:color w:val="231F20"/>
          <w:spacing w:val="-7"/>
        </w:rPr>
        <w:t xml:space="preserve"> </w:t>
      </w:r>
      <w:r>
        <w:rPr>
          <w:color w:val="231F20"/>
        </w:rPr>
        <w:t>policy</w:t>
      </w:r>
      <w:r>
        <w:rPr>
          <w:color w:val="231F20"/>
          <w:spacing w:val="-7"/>
        </w:rPr>
        <w:t xml:space="preserve"> </w:t>
      </w:r>
      <w:r>
        <w:rPr>
          <w:color w:val="231F20"/>
        </w:rPr>
        <w:t>to</w:t>
      </w:r>
      <w:r>
        <w:rPr>
          <w:color w:val="231F20"/>
          <w:spacing w:val="-8"/>
        </w:rPr>
        <w:t xml:space="preserve"> </w:t>
      </w:r>
      <w:r>
        <w:rPr>
          <w:color w:val="231F20"/>
        </w:rPr>
        <w:t>these</w:t>
      </w:r>
      <w:r>
        <w:rPr>
          <w:color w:val="231F20"/>
          <w:spacing w:val="-8"/>
        </w:rPr>
        <w:t xml:space="preserve"> </w:t>
      </w:r>
      <w:r>
        <w:rPr>
          <w:color w:val="231F20"/>
        </w:rPr>
        <w:t xml:space="preserve">projects </w:t>
      </w:r>
      <w:r>
        <w:rPr>
          <w:color w:val="231F20"/>
          <w:spacing w:val="-2"/>
        </w:rPr>
        <w:t>were:</w:t>
      </w:r>
    </w:p>
    <w:p w14:paraId="4B959DD4" w14:textId="77777777" w:rsidR="00345EE3" w:rsidRDefault="00345EE3">
      <w:pPr>
        <w:pStyle w:val="ListParagraph"/>
        <w:numPr>
          <w:ilvl w:val="0"/>
          <w:numId w:val="83"/>
        </w:numPr>
        <w:tabs>
          <w:tab w:val="left" w:pos="393"/>
          <w:tab w:val="left" w:pos="394"/>
        </w:tabs>
        <w:spacing w:before="30"/>
        <w:rPr>
          <w:sz w:val="24"/>
        </w:rPr>
      </w:pPr>
      <w:r>
        <w:rPr>
          <w:color w:val="231F20"/>
          <w:sz w:val="24"/>
        </w:rPr>
        <w:t>An</w:t>
      </w:r>
      <w:r>
        <w:rPr>
          <w:color w:val="231F20"/>
          <w:spacing w:val="-8"/>
          <w:sz w:val="24"/>
        </w:rPr>
        <w:t xml:space="preserve"> </w:t>
      </w:r>
      <w:r>
        <w:rPr>
          <w:color w:val="231F20"/>
          <w:sz w:val="24"/>
        </w:rPr>
        <w:t>average</w:t>
      </w:r>
      <w:r>
        <w:rPr>
          <w:color w:val="231F20"/>
          <w:spacing w:val="-7"/>
          <w:sz w:val="24"/>
        </w:rPr>
        <w:t xml:space="preserve"> </w:t>
      </w:r>
      <w:r>
        <w:rPr>
          <w:color w:val="231F20"/>
          <w:sz w:val="24"/>
        </w:rPr>
        <w:t>local</w:t>
      </w:r>
      <w:r>
        <w:rPr>
          <w:color w:val="231F20"/>
          <w:spacing w:val="-8"/>
          <w:sz w:val="24"/>
        </w:rPr>
        <w:t xml:space="preserve"> </w:t>
      </w:r>
      <w:r>
        <w:rPr>
          <w:color w:val="231F20"/>
          <w:sz w:val="24"/>
        </w:rPr>
        <w:t>content</w:t>
      </w:r>
      <w:r>
        <w:rPr>
          <w:color w:val="231F20"/>
          <w:spacing w:val="-6"/>
          <w:sz w:val="24"/>
        </w:rPr>
        <w:t xml:space="preserve"> </w:t>
      </w:r>
      <w:r>
        <w:rPr>
          <w:color w:val="231F20"/>
          <w:sz w:val="24"/>
        </w:rPr>
        <w:t>commitment</w:t>
      </w:r>
      <w:r>
        <w:rPr>
          <w:color w:val="231F20"/>
          <w:spacing w:val="-7"/>
          <w:sz w:val="24"/>
        </w:rPr>
        <w:t xml:space="preserve"> </w:t>
      </w:r>
      <w:r>
        <w:rPr>
          <w:color w:val="231F20"/>
          <w:sz w:val="24"/>
        </w:rPr>
        <w:t>of</w:t>
      </w:r>
      <w:r>
        <w:rPr>
          <w:color w:val="231F20"/>
          <w:spacing w:val="-6"/>
          <w:sz w:val="24"/>
        </w:rPr>
        <w:t xml:space="preserve"> </w:t>
      </w:r>
      <w:r>
        <w:rPr>
          <w:color w:val="231F20"/>
          <w:sz w:val="24"/>
        </w:rPr>
        <w:t>82</w:t>
      </w:r>
      <w:r>
        <w:rPr>
          <w:color w:val="231F20"/>
          <w:spacing w:val="-8"/>
          <w:sz w:val="24"/>
        </w:rPr>
        <w:t xml:space="preserve"> </w:t>
      </w:r>
      <w:r>
        <w:rPr>
          <w:color w:val="231F20"/>
          <w:sz w:val="24"/>
        </w:rPr>
        <w:t>per</w:t>
      </w:r>
      <w:r>
        <w:rPr>
          <w:color w:val="231F20"/>
          <w:spacing w:val="-6"/>
          <w:sz w:val="24"/>
        </w:rPr>
        <w:t xml:space="preserve"> </w:t>
      </w:r>
      <w:r>
        <w:rPr>
          <w:color w:val="231F20"/>
          <w:spacing w:val="-2"/>
          <w:sz w:val="24"/>
        </w:rPr>
        <w:t>cent.</w:t>
      </w:r>
    </w:p>
    <w:p w14:paraId="45D4B498" w14:textId="77777777" w:rsidR="00345EE3" w:rsidRDefault="00345EE3">
      <w:pPr>
        <w:pStyle w:val="ListParagraph"/>
        <w:numPr>
          <w:ilvl w:val="0"/>
          <w:numId w:val="83"/>
        </w:numPr>
        <w:tabs>
          <w:tab w:val="left" w:pos="393"/>
          <w:tab w:val="left" w:pos="394"/>
        </w:tabs>
        <w:spacing w:before="33"/>
        <w:rPr>
          <w:sz w:val="24"/>
        </w:rPr>
      </w:pPr>
      <w:r>
        <w:rPr>
          <w:color w:val="231F20"/>
          <w:sz w:val="24"/>
        </w:rPr>
        <w:t>67</w:t>
      </w:r>
      <w:r>
        <w:rPr>
          <w:color w:val="231F20"/>
          <w:spacing w:val="-6"/>
          <w:sz w:val="24"/>
        </w:rPr>
        <w:t xml:space="preserve"> </w:t>
      </w:r>
      <w:r>
        <w:rPr>
          <w:color w:val="231F20"/>
          <w:sz w:val="24"/>
        </w:rPr>
        <w:t>SMEs</w:t>
      </w:r>
      <w:r>
        <w:rPr>
          <w:color w:val="231F20"/>
          <w:spacing w:val="-5"/>
          <w:sz w:val="24"/>
        </w:rPr>
        <w:t xml:space="preserve"> </w:t>
      </w:r>
      <w:r>
        <w:rPr>
          <w:color w:val="231F20"/>
          <w:sz w:val="24"/>
        </w:rPr>
        <w:t>in</w:t>
      </w:r>
      <w:r>
        <w:rPr>
          <w:color w:val="231F20"/>
          <w:spacing w:val="-5"/>
          <w:sz w:val="24"/>
        </w:rPr>
        <w:t xml:space="preserve"> </w:t>
      </w:r>
      <w:r>
        <w:rPr>
          <w:color w:val="231F20"/>
          <w:sz w:val="24"/>
        </w:rPr>
        <w:t>the</w:t>
      </w:r>
      <w:r>
        <w:rPr>
          <w:color w:val="231F20"/>
          <w:spacing w:val="-6"/>
          <w:sz w:val="24"/>
        </w:rPr>
        <w:t xml:space="preserve"> </w:t>
      </w:r>
      <w:r>
        <w:rPr>
          <w:color w:val="231F20"/>
          <w:sz w:val="24"/>
        </w:rPr>
        <w:t>supply</w:t>
      </w:r>
      <w:r>
        <w:rPr>
          <w:color w:val="231F20"/>
          <w:spacing w:val="-4"/>
          <w:sz w:val="24"/>
        </w:rPr>
        <w:t xml:space="preserve"> </w:t>
      </w:r>
      <w:r>
        <w:rPr>
          <w:color w:val="231F20"/>
          <w:spacing w:val="-2"/>
          <w:sz w:val="24"/>
        </w:rPr>
        <w:t>chain.</w:t>
      </w:r>
    </w:p>
    <w:p w14:paraId="0C20F840" w14:textId="77777777" w:rsidR="00345EE3" w:rsidRDefault="00345EE3">
      <w:pPr>
        <w:pStyle w:val="ListParagraph"/>
        <w:numPr>
          <w:ilvl w:val="0"/>
          <w:numId w:val="83"/>
        </w:numPr>
        <w:tabs>
          <w:tab w:val="left" w:pos="393"/>
          <w:tab w:val="left" w:pos="394"/>
        </w:tabs>
        <w:rPr>
          <w:sz w:val="24"/>
        </w:rPr>
      </w:pPr>
      <w:r>
        <w:rPr>
          <w:color w:val="231F20"/>
          <w:sz w:val="24"/>
        </w:rPr>
        <w:t>No</w:t>
      </w:r>
      <w:r>
        <w:rPr>
          <w:color w:val="231F20"/>
          <w:spacing w:val="-10"/>
          <w:sz w:val="24"/>
        </w:rPr>
        <w:t xml:space="preserve"> </w:t>
      </w:r>
      <w:r>
        <w:rPr>
          <w:color w:val="231F20"/>
          <w:sz w:val="24"/>
        </w:rPr>
        <w:t>application</w:t>
      </w:r>
      <w:r>
        <w:rPr>
          <w:color w:val="231F20"/>
          <w:spacing w:val="-8"/>
          <w:sz w:val="24"/>
        </w:rPr>
        <w:t xml:space="preserve"> </w:t>
      </w:r>
      <w:r>
        <w:rPr>
          <w:color w:val="231F20"/>
          <w:sz w:val="24"/>
        </w:rPr>
        <w:t>of</w:t>
      </w:r>
      <w:r>
        <w:rPr>
          <w:color w:val="231F20"/>
          <w:spacing w:val="-7"/>
          <w:sz w:val="24"/>
        </w:rPr>
        <w:t xml:space="preserve"> </w:t>
      </w:r>
      <w:r>
        <w:rPr>
          <w:color w:val="231F20"/>
          <w:sz w:val="24"/>
        </w:rPr>
        <w:t>MPSG</w:t>
      </w:r>
      <w:r>
        <w:rPr>
          <w:color w:val="231F20"/>
          <w:spacing w:val="-8"/>
          <w:sz w:val="24"/>
        </w:rPr>
        <w:t xml:space="preserve"> </w:t>
      </w:r>
      <w:r>
        <w:rPr>
          <w:color w:val="231F20"/>
          <w:sz w:val="24"/>
        </w:rPr>
        <w:t>to</w:t>
      </w:r>
      <w:r>
        <w:rPr>
          <w:color w:val="231F20"/>
          <w:spacing w:val="-7"/>
          <w:sz w:val="24"/>
        </w:rPr>
        <w:t xml:space="preserve"> </w:t>
      </w:r>
      <w:r>
        <w:rPr>
          <w:color w:val="231F20"/>
          <w:sz w:val="24"/>
        </w:rPr>
        <w:t>these</w:t>
      </w:r>
      <w:r>
        <w:rPr>
          <w:color w:val="231F20"/>
          <w:spacing w:val="-8"/>
          <w:sz w:val="24"/>
        </w:rPr>
        <w:t xml:space="preserve"> </w:t>
      </w:r>
      <w:r>
        <w:rPr>
          <w:color w:val="231F20"/>
          <w:sz w:val="24"/>
        </w:rPr>
        <w:t>procurement</w:t>
      </w:r>
      <w:r>
        <w:rPr>
          <w:color w:val="231F20"/>
          <w:spacing w:val="-7"/>
          <w:sz w:val="24"/>
        </w:rPr>
        <w:t xml:space="preserve"> </w:t>
      </w:r>
      <w:r>
        <w:rPr>
          <w:color w:val="231F20"/>
          <w:spacing w:val="-2"/>
          <w:sz w:val="24"/>
        </w:rPr>
        <w:t>activities.</w:t>
      </w:r>
    </w:p>
    <w:p w14:paraId="67E0583C" w14:textId="77777777" w:rsidR="00345EE3" w:rsidRDefault="00345EE3">
      <w:pPr>
        <w:pStyle w:val="ListParagraph"/>
        <w:numPr>
          <w:ilvl w:val="0"/>
          <w:numId w:val="83"/>
        </w:numPr>
        <w:tabs>
          <w:tab w:val="left" w:pos="393"/>
          <w:tab w:val="left" w:pos="394"/>
        </w:tabs>
        <w:spacing w:line="242" w:lineRule="auto"/>
        <w:ind w:right="1163"/>
        <w:rPr>
          <w:sz w:val="24"/>
        </w:rPr>
      </w:pPr>
      <w:r>
        <w:rPr>
          <w:color w:val="231F20"/>
          <w:sz w:val="24"/>
        </w:rPr>
        <w:t>A</w:t>
      </w:r>
      <w:r>
        <w:rPr>
          <w:color w:val="231F20"/>
          <w:spacing w:val="-11"/>
          <w:sz w:val="24"/>
        </w:rPr>
        <w:t xml:space="preserve"> </w:t>
      </w:r>
      <w:r>
        <w:rPr>
          <w:color w:val="231F20"/>
          <w:sz w:val="24"/>
        </w:rPr>
        <w:t>total</w:t>
      </w:r>
      <w:r>
        <w:rPr>
          <w:color w:val="231F20"/>
          <w:spacing w:val="-11"/>
          <w:sz w:val="24"/>
        </w:rPr>
        <w:t xml:space="preserve"> </w:t>
      </w:r>
      <w:r>
        <w:rPr>
          <w:color w:val="231F20"/>
          <w:sz w:val="24"/>
        </w:rPr>
        <w:t>of</w:t>
      </w:r>
      <w:r>
        <w:rPr>
          <w:color w:val="231F20"/>
          <w:spacing w:val="-11"/>
          <w:sz w:val="24"/>
        </w:rPr>
        <w:t xml:space="preserve"> </w:t>
      </w:r>
      <w:r>
        <w:rPr>
          <w:color w:val="231F20"/>
          <w:sz w:val="24"/>
        </w:rPr>
        <w:t>14</w:t>
      </w:r>
      <w:r>
        <w:rPr>
          <w:color w:val="231F20"/>
          <w:spacing w:val="-11"/>
          <w:sz w:val="24"/>
        </w:rPr>
        <w:t xml:space="preserve"> </w:t>
      </w:r>
      <w:r>
        <w:rPr>
          <w:color w:val="231F20"/>
          <w:sz w:val="24"/>
        </w:rPr>
        <w:t>apprenticeships</w:t>
      </w:r>
      <w:r>
        <w:rPr>
          <w:color w:val="231F20"/>
          <w:spacing w:val="-11"/>
          <w:sz w:val="24"/>
        </w:rPr>
        <w:t xml:space="preserve"> </w:t>
      </w:r>
      <w:r>
        <w:rPr>
          <w:color w:val="231F20"/>
          <w:sz w:val="24"/>
        </w:rPr>
        <w:t>committed,</w:t>
      </w:r>
      <w:r>
        <w:rPr>
          <w:color w:val="231F20"/>
          <w:spacing w:val="-11"/>
          <w:sz w:val="24"/>
        </w:rPr>
        <w:t xml:space="preserve"> </w:t>
      </w:r>
      <w:r>
        <w:rPr>
          <w:color w:val="231F20"/>
          <w:sz w:val="24"/>
        </w:rPr>
        <w:t>including</w:t>
      </w:r>
      <w:r>
        <w:rPr>
          <w:color w:val="231F20"/>
          <w:spacing w:val="-11"/>
          <w:sz w:val="24"/>
        </w:rPr>
        <w:t xml:space="preserve"> </w:t>
      </w:r>
      <w:r>
        <w:rPr>
          <w:color w:val="231F20"/>
          <w:sz w:val="24"/>
        </w:rPr>
        <w:t>the</w:t>
      </w:r>
      <w:r>
        <w:rPr>
          <w:color w:val="231F20"/>
          <w:spacing w:val="-11"/>
          <w:sz w:val="24"/>
        </w:rPr>
        <w:t xml:space="preserve"> </w:t>
      </w:r>
      <w:r>
        <w:rPr>
          <w:color w:val="231F20"/>
          <w:sz w:val="24"/>
        </w:rPr>
        <w:t>creation</w:t>
      </w:r>
      <w:r>
        <w:rPr>
          <w:color w:val="231F20"/>
          <w:spacing w:val="-11"/>
          <w:sz w:val="24"/>
        </w:rPr>
        <w:t xml:space="preserve"> </w:t>
      </w:r>
      <w:r>
        <w:rPr>
          <w:color w:val="231F20"/>
          <w:sz w:val="24"/>
        </w:rPr>
        <w:t>of</w:t>
      </w:r>
      <w:r>
        <w:rPr>
          <w:color w:val="231F20"/>
          <w:spacing w:val="-11"/>
          <w:sz w:val="24"/>
        </w:rPr>
        <w:t xml:space="preserve"> </w:t>
      </w:r>
      <w:r>
        <w:rPr>
          <w:color w:val="231F20"/>
          <w:sz w:val="24"/>
        </w:rPr>
        <w:t>three</w:t>
      </w:r>
      <w:r>
        <w:rPr>
          <w:color w:val="231F20"/>
          <w:spacing w:val="-11"/>
          <w:sz w:val="24"/>
        </w:rPr>
        <w:t xml:space="preserve"> </w:t>
      </w:r>
      <w:r>
        <w:rPr>
          <w:color w:val="231F20"/>
          <w:sz w:val="24"/>
        </w:rPr>
        <w:t>apprenticeships</w:t>
      </w:r>
      <w:r>
        <w:rPr>
          <w:color w:val="231F20"/>
          <w:spacing w:val="-11"/>
          <w:sz w:val="24"/>
        </w:rPr>
        <w:t xml:space="preserve"> </w:t>
      </w:r>
      <w:r>
        <w:rPr>
          <w:color w:val="231F20"/>
          <w:sz w:val="24"/>
        </w:rPr>
        <w:t>and the retention of 11 existing apprenticeships.</w:t>
      </w:r>
    </w:p>
    <w:p w14:paraId="24A5DD5A" w14:textId="77777777" w:rsidR="00345EE3" w:rsidRDefault="00345EE3">
      <w:pPr>
        <w:pStyle w:val="ListParagraph"/>
        <w:numPr>
          <w:ilvl w:val="0"/>
          <w:numId w:val="83"/>
        </w:numPr>
        <w:tabs>
          <w:tab w:val="left" w:pos="393"/>
          <w:tab w:val="left" w:pos="394"/>
        </w:tabs>
        <w:spacing w:before="31"/>
        <w:rPr>
          <w:sz w:val="24"/>
        </w:rPr>
      </w:pPr>
      <w:r>
        <w:rPr>
          <w:color w:val="231F20"/>
          <w:sz w:val="24"/>
        </w:rPr>
        <w:t>A</w:t>
      </w:r>
      <w:r>
        <w:rPr>
          <w:color w:val="231F20"/>
          <w:spacing w:val="-10"/>
          <w:sz w:val="24"/>
        </w:rPr>
        <w:t xml:space="preserve"> </w:t>
      </w:r>
      <w:r>
        <w:rPr>
          <w:color w:val="231F20"/>
          <w:sz w:val="24"/>
        </w:rPr>
        <w:t>total</w:t>
      </w:r>
      <w:r>
        <w:rPr>
          <w:color w:val="231F20"/>
          <w:spacing w:val="-8"/>
          <w:sz w:val="24"/>
        </w:rPr>
        <w:t xml:space="preserve"> </w:t>
      </w:r>
      <w:r>
        <w:rPr>
          <w:color w:val="231F20"/>
          <w:sz w:val="24"/>
        </w:rPr>
        <w:t>of</w:t>
      </w:r>
      <w:r>
        <w:rPr>
          <w:color w:val="231F20"/>
          <w:spacing w:val="-7"/>
          <w:sz w:val="24"/>
        </w:rPr>
        <w:t xml:space="preserve"> </w:t>
      </w:r>
      <w:r>
        <w:rPr>
          <w:color w:val="231F20"/>
          <w:sz w:val="24"/>
        </w:rPr>
        <w:t>two</w:t>
      </w:r>
      <w:r>
        <w:rPr>
          <w:color w:val="231F20"/>
          <w:spacing w:val="-9"/>
          <w:sz w:val="24"/>
        </w:rPr>
        <w:t xml:space="preserve"> </w:t>
      </w:r>
      <w:r>
        <w:rPr>
          <w:color w:val="231F20"/>
          <w:sz w:val="24"/>
        </w:rPr>
        <w:t>Traineeships</w:t>
      </w:r>
      <w:r>
        <w:rPr>
          <w:color w:val="231F20"/>
          <w:spacing w:val="-7"/>
          <w:sz w:val="24"/>
        </w:rPr>
        <w:t xml:space="preserve"> </w:t>
      </w:r>
      <w:r>
        <w:rPr>
          <w:color w:val="231F20"/>
          <w:sz w:val="24"/>
        </w:rPr>
        <w:t>and</w:t>
      </w:r>
      <w:r>
        <w:rPr>
          <w:color w:val="231F20"/>
          <w:spacing w:val="-8"/>
          <w:sz w:val="24"/>
        </w:rPr>
        <w:t xml:space="preserve"> </w:t>
      </w:r>
      <w:r>
        <w:rPr>
          <w:color w:val="231F20"/>
          <w:sz w:val="24"/>
        </w:rPr>
        <w:t>five</w:t>
      </w:r>
      <w:r>
        <w:rPr>
          <w:color w:val="231F20"/>
          <w:spacing w:val="-9"/>
          <w:sz w:val="24"/>
        </w:rPr>
        <w:t xml:space="preserve"> </w:t>
      </w:r>
      <w:r>
        <w:rPr>
          <w:color w:val="231F20"/>
          <w:sz w:val="24"/>
        </w:rPr>
        <w:t>Cadets</w:t>
      </w:r>
      <w:r>
        <w:rPr>
          <w:color w:val="231F20"/>
          <w:spacing w:val="-7"/>
          <w:sz w:val="24"/>
        </w:rPr>
        <w:t xml:space="preserve"> </w:t>
      </w:r>
      <w:r>
        <w:rPr>
          <w:color w:val="231F20"/>
          <w:sz w:val="24"/>
        </w:rPr>
        <w:t>to</w:t>
      </w:r>
      <w:r>
        <w:rPr>
          <w:color w:val="231F20"/>
          <w:spacing w:val="-8"/>
          <w:sz w:val="24"/>
        </w:rPr>
        <w:t xml:space="preserve"> </w:t>
      </w:r>
      <w:r>
        <w:rPr>
          <w:color w:val="231F20"/>
          <w:sz w:val="24"/>
        </w:rPr>
        <w:t>be</w:t>
      </w:r>
      <w:r>
        <w:rPr>
          <w:color w:val="231F20"/>
          <w:spacing w:val="-8"/>
          <w:sz w:val="24"/>
        </w:rPr>
        <w:t xml:space="preserve"> </w:t>
      </w:r>
      <w:r>
        <w:rPr>
          <w:color w:val="231F20"/>
          <w:spacing w:val="-2"/>
          <w:sz w:val="24"/>
        </w:rPr>
        <w:t>retained.</w:t>
      </w:r>
    </w:p>
    <w:p w14:paraId="0A297A39" w14:textId="77777777" w:rsidR="00345EE3" w:rsidRDefault="00345EE3">
      <w:pPr>
        <w:pStyle w:val="ListParagraph"/>
        <w:numPr>
          <w:ilvl w:val="0"/>
          <w:numId w:val="83"/>
        </w:numPr>
        <w:tabs>
          <w:tab w:val="left" w:pos="393"/>
          <w:tab w:val="left" w:pos="394"/>
        </w:tabs>
        <w:spacing w:before="33" w:line="242" w:lineRule="auto"/>
        <w:ind w:right="1633"/>
        <w:rPr>
          <w:sz w:val="24"/>
        </w:rPr>
      </w:pPr>
      <w:r>
        <w:rPr>
          <w:color w:val="231F20"/>
          <w:sz w:val="24"/>
        </w:rPr>
        <w:t>No</w:t>
      </w:r>
      <w:r>
        <w:rPr>
          <w:color w:val="231F20"/>
          <w:spacing w:val="-9"/>
          <w:sz w:val="24"/>
        </w:rPr>
        <w:t xml:space="preserve"> </w:t>
      </w:r>
      <w:r>
        <w:rPr>
          <w:color w:val="231F20"/>
          <w:sz w:val="24"/>
        </w:rPr>
        <w:t>Labour</w:t>
      </w:r>
      <w:r>
        <w:rPr>
          <w:color w:val="231F20"/>
          <w:spacing w:val="-8"/>
          <w:sz w:val="24"/>
        </w:rPr>
        <w:t xml:space="preserve"> </w:t>
      </w:r>
      <w:r>
        <w:rPr>
          <w:color w:val="231F20"/>
          <w:sz w:val="24"/>
        </w:rPr>
        <w:t>Hours</w:t>
      </w:r>
      <w:r>
        <w:rPr>
          <w:color w:val="231F20"/>
          <w:spacing w:val="-8"/>
          <w:sz w:val="24"/>
        </w:rPr>
        <w:t xml:space="preserve"> </w:t>
      </w:r>
      <w:r>
        <w:rPr>
          <w:color w:val="231F20"/>
          <w:sz w:val="24"/>
        </w:rPr>
        <w:t>to</w:t>
      </w:r>
      <w:r>
        <w:rPr>
          <w:color w:val="231F20"/>
          <w:spacing w:val="-9"/>
          <w:sz w:val="24"/>
        </w:rPr>
        <w:t xml:space="preserve"> </w:t>
      </w:r>
      <w:r>
        <w:rPr>
          <w:color w:val="231F20"/>
          <w:sz w:val="24"/>
        </w:rPr>
        <w:t>be</w:t>
      </w:r>
      <w:r>
        <w:rPr>
          <w:color w:val="231F20"/>
          <w:spacing w:val="-9"/>
          <w:sz w:val="24"/>
        </w:rPr>
        <w:t xml:space="preserve"> </w:t>
      </w:r>
      <w:r>
        <w:rPr>
          <w:color w:val="231F20"/>
          <w:sz w:val="24"/>
        </w:rPr>
        <w:t>worked</w:t>
      </w:r>
      <w:r>
        <w:rPr>
          <w:color w:val="231F20"/>
          <w:spacing w:val="-9"/>
          <w:sz w:val="24"/>
        </w:rPr>
        <w:t xml:space="preserve"> </w:t>
      </w:r>
      <w:r>
        <w:rPr>
          <w:color w:val="231F20"/>
          <w:sz w:val="24"/>
        </w:rPr>
        <w:t>by</w:t>
      </w:r>
      <w:r>
        <w:rPr>
          <w:color w:val="231F20"/>
          <w:spacing w:val="-8"/>
          <w:sz w:val="24"/>
        </w:rPr>
        <w:t xml:space="preserve"> </w:t>
      </w:r>
      <w:r>
        <w:rPr>
          <w:color w:val="231F20"/>
          <w:sz w:val="24"/>
        </w:rPr>
        <w:t>apprentices,</w:t>
      </w:r>
      <w:r>
        <w:rPr>
          <w:color w:val="231F20"/>
          <w:spacing w:val="-8"/>
          <w:sz w:val="24"/>
        </w:rPr>
        <w:t xml:space="preserve"> </w:t>
      </w:r>
      <w:r>
        <w:rPr>
          <w:color w:val="231F20"/>
          <w:sz w:val="24"/>
        </w:rPr>
        <w:t>trainees</w:t>
      </w:r>
      <w:r>
        <w:rPr>
          <w:color w:val="231F20"/>
          <w:spacing w:val="-8"/>
          <w:sz w:val="24"/>
        </w:rPr>
        <w:t xml:space="preserve"> </w:t>
      </w:r>
      <w:r>
        <w:rPr>
          <w:color w:val="231F20"/>
          <w:sz w:val="24"/>
        </w:rPr>
        <w:t>and</w:t>
      </w:r>
      <w:r>
        <w:rPr>
          <w:color w:val="231F20"/>
          <w:spacing w:val="-9"/>
          <w:sz w:val="24"/>
        </w:rPr>
        <w:t xml:space="preserve"> </w:t>
      </w:r>
      <w:r>
        <w:rPr>
          <w:color w:val="231F20"/>
          <w:sz w:val="24"/>
        </w:rPr>
        <w:t>cadets</w:t>
      </w:r>
      <w:r>
        <w:rPr>
          <w:color w:val="231F20"/>
          <w:spacing w:val="-8"/>
          <w:sz w:val="24"/>
        </w:rPr>
        <w:t xml:space="preserve"> </w:t>
      </w:r>
      <w:r>
        <w:rPr>
          <w:color w:val="231F20"/>
          <w:sz w:val="24"/>
        </w:rPr>
        <w:t>were</w:t>
      </w:r>
      <w:r>
        <w:rPr>
          <w:color w:val="231F20"/>
          <w:spacing w:val="-9"/>
          <w:sz w:val="24"/>
        </w:rPr>
        <w:t xml:space="preserve"> </w:t>
      </w:r>
      <w:r>
        <w:rPr>
          <w:color w:val="231F20"/>
          <w:sz w:val="24"/>
        </w:rPr>
        <w:t>committed</w:t>
      </w:r>
      <w:r>
        <w:rPr>
          <w:color w:val="231F20"/>
          <w:spacing w:val="-9"/>
          <w:sz w:val="24"/>
        </w:rPr>
        <w:t xml:space="preserve"> </w:t>
      </w:r>
      <w:r>
        <w:rPr>
          <w:color w:val="231F20"/>
          <w:sz w:val="24"/>
        </w:rPr>
        <w:t xml:space="preserve">by </w:t>
      </w:r>
      <w:r>
        <w:rPr>
          <w:color w:val="231F20"/>
          <w:spacing w:val="-2"/>
          <w:sz w:val="24"/>
        </w:rPr>
        <w:t>suppliers.</w:t>
      </w:r>
    </w:p>
    <w:p w14:paraId="74429CD8" w14:textId="77777777" w:rsidR="00345EE3" w:rsidRDefault="00345EE3" w:rsidP="00345EE3">
      <w:pPr>
        <w:pStyle w:val="Heading5"/>
        <w:spacing w:before="172"/>
      </w:pPr>
      <w:r>
        <w:rPr>
          <w:color w:val="58595B"/>
        </w:rPr>
        <w:t>Projects</w:t>
      </w:r>
      <w:r>
        <w:rPr>
          <w:color w:val="58595B"/>
          <w:spacing w:val="-2"/>
        </w:rPr>
        <w:t xml:space="preserve"> </w:t>
      </w:r>
      <w:r>
        <w:rPr>
          <w:color w:val="58595B"/>
        </w:rPr>
        <w:t>Completed</w:t>
      </w:r>
      <w:r>
        <w:rPr>
          <w:color w:val="58595B"/>
          <w:spacing w:val="-3"/>
        </w:rPr>
        <w:t xml:space="preserve"> </w:t>
      </w:r>
      <w:r>
        <w:rPr>
          <w:color w:val="58595B"/>
        </w:rPr>
        <w:t>–</w:t>
      </w:r>
      <w:r>
        <w:rPr>
          <w:color w:val="58595B"/>
          <w:spacing w:val="-3"/>
        </w:rPr>
        <w:t xml:space="preserve"> </w:t>
      </w:r>
      <w:r>
        <w:rPr>
          <w:color w:val="58595B"/>
        </w:rPr>
        <w:t>Local</w:t>
      </w:r>
      <w:r>
        <w:rPr>
          <w:color w:val="58595B"/>
          <w:spacing w:val="-2"/>
        </w:rPr>
        <w:t xml:space="preserve"> </w:t>
      </w:r>
      <w:r>
        <w:rPr>
          <w:color w:val="58595B"/>
        </w:rPr>
        <w:t>Jobs</w:t>
      </w:r>
      <w:r>
        <w:rPr>
          <w:color w:val="58595B"/>
          <w:spacing w:val="-3"/>
        </w:rPr>
        <w:t xml:space="preserve"> </w:t>
      </w:r>
      <w:r>
        <w:rPr>
          <w:color w:val="58595B"/>
        </w:rPr>
        <w:t>First</w:t>
      </w:r>
      <w:r>
        <w:rPr>
          <w:color w:val="58595B"/>
          <w:spacing w:val="-1"/>
        </w:rPr>
        <w:t xml:space="preserve"> </w:t>
      </w:r>
      <w:r>
        <w:rPr>
          <w:color w:val="58595B"/>
          <w:spacing w:val="-2"/>
        </w:rPr>
        <w:t>Standard</w:t>
      </w:r>
    </w:p>
    <w:p w14:paraId="3A87F6E4" w14:textId="77777777" w:rsidR="00345EE3" w:rsidRDefault="00345EE3" w:rsidP="00345EE3">
      <w:pPr>
        <w:pStyle w:val="BodyText"/>
        <w:spacing w:before="4" w:line="242" w:lineRule="auto"/>
        <w:ind w:right="1248"/>
      </w:pPr>
      <w:r>
        <w:rPr>
          <w:color w:val="231F20"/>
        </w:rPr>
        <w:t>During 2021–22, two contracts with a commercial value of $4.7 million where Local Jobs First</w:t>
      </w:r>
      <w:r>
        <w:rPr>
          <w:color w:val="231F20"/>
          <w:spacing w:val="-9"/>
        </w:rPr>
        <w:t xml:space="preserve"> </w:t>
      </w:r>
      <w:r>
        <w:rPr>
          <w:color w:val="231F20"/>
        </w:rPr>
        <w:t>commitments</w:t>
      </w:r>
      <w:r>
        <w:rPr>
          <w:color w:val="231F20"/>
          <w:spacing w:val="-9"/>
        </w:rPr>
        <w:t xml:space="preserve"> </w:t>
      </w:r>
      <w:r>
        <w:rPr>
          <w:color w:val="231F20"/>
        </w:rPr>
        <w:t>applied</w:t>
      </w:r>
      <w:r>
        <w:rPr>
          <w:color w:val="231F20"/>
          <w:spacing w:val="-10"/>
        </w:rPr>
        <w:t xml:space="preserve"> </w:t>
      </w:r>
      <w:r>
        <w:rPr>
          <w:color w:val="231F20"/>
        </w:rPr>
        <w:t>were</w:t>
      </w:r>
      <w:r>
        <w:rPr>
          <w:color w:val="231F20"/>
          <w:spacing w:val="-10"/>
        </w:rPr>
        <w:t xml:space="preserve"> </w:t>
      </w:r>
      <w:r>
        <w:rPr>
          <w:color w:val="231F20"/>
        </w:rPr>
        <w:t>completed.</w:t>
      </w:r>
      <w:r>
        <w:rPr>
          <w:color w:val="231F20"/>
          <w:spacing w:val="-9"/>
        </w:rPr>
        <w:t xml:space="preserve"> </w:t>
      </w:r>
      <w:r>
        <w:rPr>
          <w:color w:val="231F20"/>
        </w:rPr>
        <w:t>One</w:t>
      </w:r>
      <w:r>
        <w:rPr>
          <w:color w:val="231F20"/>
          <w:spacing w:val="-10"/>
        </w:rPr>
        <w:t xml:space="preserve"> </w:t>
      </w:r>
      <w:r>
        <w:rPr>
          <w:color w:val="231F20"/>
        </w:rPr>
        <w:t>was</w:t>
      </w:r>
      <w:r>
        <w:rPr>
          <w:color w:val="231F20"/>
          <w:spacing w:val="-9"/>
        </w:rPr>
        <w:t xml:space="preserve"> </w:t>
      </w:r>
      <w:r>
        <w:rPr>
          <w:color w:val="231F20"/>
        </w:rPr>
        <w:t>classified</w:t>
      </w:r>
      <w:r>
        <w:rPr>
          <w:color w:val="231F20"/>
          <w:spacing w:val="-10"/>
        </w:rPr>
        <w:t xml:space="preserve"> </w:t>
      </w:r>
      <w:r>
        <w:rPr>
          <w:color w:val="231F20"/>
        </w:rPr>
        <w:t>as</w:t>
      </w:r>
      <w:r>
        <w:rPr>
          <w:color w:val="231F20"/>
          <w:spacing w:val="-9"/>
        </w:rPr>
        <w:t xml:space="preserve"> </w:t>
      </w:r>
      <w:r>
        <w:rPr>
          <w:color w:val="231F20"/>
        </w:rPr>
        <w:t>metropolitan</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 xml:space="preserve">other </w:t>
      </w:r>
      <w:r>
        <w:rPr>
          <w:color w:val="231F20"/>
          <w:spacing w:val="-2"/>
        </w:rPr>
        <w:t>regional.</w:t>
      </w:r>
    </w:p>
    <w:p w14:paraId="0D175C60" w14:textId="77777777" w:rsidR="00345EE3" w:rsidRDefault="00345EE3" w:rsidP="00345EE3">
      <w:pPr>
        <w:pStyle w:val="BodyText"/>
        <w:spacing w:before="118" w:line="242" w:lineRule="auto"/>
        <w:ind w:right="921"/>
      </w:pPr>
      <w:r>
        <w:rPr>
          <w:color w:val="231F20"/>
        </w:rPr>
        <w:t>The</w:t>
      </w:r>
      <w:r>
        <w:rPr>
          <w:color w:val="231F20"/>
          <w:spacing w:val="-9"/>
        </w:rPr>
        <w:t xml:space="preserve"> </w:t>
      </w:r>
      <w:r>
        <w:rPr>
          <w:color w:val="231F20"/>
        </w:rPr>
        <w:t>outcomes</w:t>
      </w:r>
      <w:r>
        <w:rPr>
          <w:color w:val="231F20"/>
          <w:spacing w:val="-8"/>
        </w:rPr>
        <w:t xml:space="preserve"> </w:t>
      </w:r>
      <w:r>
        <w:rPr>
          <w:color w:val="231F20"/>
        </w:rPr>
        <w:t>achieved</w:t>
      </w:r>
      <w:r>
        <w:rPr>
          <w:color w:val="231F20"/>
          <w:spacing w:val="-9"/>
        </w:rPr>
        <w:t xml:space="preserve"> </w:t>
      </w:r>
      <w:r>
        <w:rPr>
          <w:color w:val="231F20"/>
        </w:rPr>
        <w:t>from</w:t>
      </w:r>
      <w:r>
        <w:rPr>
          <w:color w:val="231F20"/>
          <w:spacing w:val="-8"/>
        </w:rPr>
        <w:t xml:space="preserve"> </w:t>
      </w:r>
      <w:r>
        <w:rPr>
          <w:color w:val="231F20"/>
        </w:rPr>
        <w:t>the</w:t>
      </w:r>
      <w:r>
        <w:rPr>
          <w:color w:val="231F20"/>
          <w:spacing w:val="-9"/>
        </w:rPr>
        <w:t xml:space="preserve"> </w:t>
      </w:r>
      <w:r>
        <w:rPr>
          <w:color w:val="231F20"/>
        </w:rPr>
        <w:t>implementation</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Local</w:t>
      </w:r>
      <w:r>
        <w:rPr>
          <w:color w:val="231F20"/>
          <w:spacing w:val="-9"/>
        </w:rPr>
        <w:t xml:space="preserve"> </w:t>
      </w:r>
      <w:r>
        <w:rPr>
          <w:color w:val="231F20"/>
        </w:rPr>
        <w:t>Jobs</w:t>
      </w:r>
      <w:r>
        <w:rPr>
          <w:color w:val="231F20"/>
          <w:spacing w:val="-8"/>
        </w:rPr>
        <w:t xml:space="preserve"> </w:t>
      </w:r>
      <w:r>
        <w:rPr>
          <w:color w:val="231F20"/>
        </w:rPr>
        <w:t>First</w:t>
      </w:r>
      <w:r>
        <w:rPr>
          <w:color w:val="231F20"/>
          <w:spacing w:val="-8"/>
        </w:rPr>
        <w:t xml:space="preserve"> </w:t>
      </w:r>
      <w:r>
        <w:rPr>
          <w:color w:val="231F20"/>
        </w:rPr>
        <w:t>policy</w:t>
      </w:r>
      <w:r>
        <w:rPr>
          <w:color w:val="231F20"/>
          <w:spacing w:val="-8"/>
        </w:rPr>
        <w:t xml:space="preserve"> </w:t>
      </w:r>
      <w:r>
        <w:rPr>
          <w:color w:val="231F20"/>
        </w:rPr>
        <w:t>to</w:t>
      </w:r>
      <w:r>
        <w:rPr>
          <w:color w:val="231F20"/>
          <w:spacing w:val="-9"/>
        </w:rPr>
        <w:t xml:space="preserve"> </w:t>
      </w:r>
      <w:r>
        <w:rPr>
          <w:color w:val="231F20"/>
        </w:rPr>
        <w:t>these</w:t>
      </w:r>
      <w:r>
        <w:rPr>
          <w:color w:val="231F20"/>
          <w:spacing w:val="-9"/>
        </w:rPr>
        <w:t xml:space="preserve"> </w:t>
      </w:r>
      <w:r>
        <w:rPr>
          <w:color w:val="231F20"/>
        </w:rPr>
        <w:t xml:space="preserve">projects </w:t>
      </w:r>
      <w:r>
        <w:rPr>
          <w:color w:val="231F20"/>
          <w:spacing w:val="-2"/>
        </w:rPr>
        <w:t>were:</w:t>
      </w:r>
    </w:p>
    <w:p w14:paraId="543F96A8" w14:textId="77777777" w:rsidR="00345EE3" w:rsidRDefault="00345EE3">
      <w:pPr>
        <w:pStyle w:val="ListParagraph"/>
        <w:numPr>
          <w:ilvl w:val="0"/>
          <w:numId w:val="83"/>
        </w:numPr>
        <w:tabs>
          <w:tab w:val="left" w:pos="393"/>
          <w:tab w:val="left" w:pos="394"/>
        </w:tabs>
        <w:spacing w:before="30"/>
        <w:rPr>
          <w:sz w:val="24"/>
        </w:rPr>
      </w:pPr>
      <w:r>
        <w:rPr>
          <w:color w:val="231F20"/>
          <w:sz w:val="24"/>
        </w:rPr>
        <w:t>An</w:t>
      </w:r>
      <w:r>
        <w:rPr>
          <w:color w:val="231F20"/>
          <w:spacing w:val="-11"/>
          <w:sz w:val="24"/>
        </w:rPr>
        <w:t xml:space="preserve"> </w:t>
      </w:r>
      <w:r>
        <w:rPr>
          <w:color w:val="231F20"/>
          <w:sz w:val="24"/>
        </w:rPr>
        <w:t>average</w:t>
      </w:r>
      <w:r>
        <w:rPr>
          <w:color w:val="231F20"/>
          <w:spacing w:val="-9"/>
          <w:sz w:val="24"/>
        </w:rPr>
        <w:t xml:space="preserve"> </w:t>
      </w:r>
      <w:r>
        <w:rPr>
          <w:color w:val="231F20"/>
          <w:sz w:val="24"/>
        </w:rPr>
        <w:t>of</w:t>
      </w:r>
      <w:r>
        <w:rPr>
          <w:color w:val="231F20"/>
          <w:spacing w:val="-7"/>
          <w:sz w:val="24"/>
        </w:rPr>
        <w:t xml:space="preserve"> </w:t>
      </w:r>
      <w:r>
        <w:rPr>
          <w:color w:val="231F20"/>
          <w:sz w:val="24"/>
        </w:rPr>
        <w:t>88.1</w:t>
      </w:r>
      <w:r>
        <w:rPr>
          <w:color w:val="231F20"/>
          <w:spacing w:val="-9"/>
          <w:sz w:val="24"/>
        </w:rPr>
        <w:t xml:space="preserve"> </w:t>
      </w:r>
      <w:r>
        <w:rPr>
          <w:color w:val="231F20"/>
          <w:sz w:val="24"/>
        </w:rPr>
        <w:t>per</w:t>
      </w:r>
      <w:r>
        <w:rPr>
          <w:color w:val="231F20"/>
          <w:spacing w:val="-8"/>
          <w:sz w:val="24"/>
        </w:rPr>
        <w:t xml:space="preserve"> </w:t>
      </w:r>
      <w:r>
        <w:rPr>
          <w:color w:val="231F20"/>
          <w:sz w:val="24"/>
        </w:rPr>
        <w:t>cent</w:t>
      </w:r>
      <w:r>
        <w:rPr>
          <w:color w:val="231F20"/>
          <w:spacing w:val="-7"/>
          <w:sz w:val="24"/>
        </w:rPr>
        <w:t xml:space="preserve"> </w:t>
      </w:r>
      <w:r>
        <w:rPr>
          <w:color w:val="231F20"/>
          <w:sz w:val="24"/>
        </w:rPr>
        <w:t>of</w:t>
      </w:r>
      <w:r>
        <w:rPr>
          <w:color w:val="231F20"/>
          <w:spacing w:val="-8"/>
          <w:sz w:val="24"/>
        </w:rPr>
        <w:t xml:space="preserve"> </w:t>
      </w:r>
      <w:r>
        <w:rPr>
          <w:color w:val="231F20"/>
          <w:sz w:val="24"/>
        </w:rPr>
        <w:t>local</w:t>
      </w:r>
      <w:r>
        <w:rPr>
          <w:color w:val="231F20"/>
          <w:spacing w:val="-9"/>
          <w:sz w:val="24"/>
        </w:rPr>
        <w:t xml:space="preserve"> </w:t>
      </w:r>
      <w:r>
        <w:rPr>
          <w:color w:val="231F20"/>
          <w:sz w:val="24"/>
        </w:rPr>
        <w:t>content</w:t>
      </w:r>
      <w:r>
        <w:rPr>
          <w:color w:val="231F20"/>
          <w:spacing w:val="-7"/>
          <w:sz w:val="24"/>
        </w:rPr>
        <w:t xml:space="preserve"> </w:t>
      </w:r>
      <w:r>
        <w:rPr>
          <w:color w:val="231F20"/>
          <w:spacing w:val="-2"/>
          <w:sz w:val="24"/>
        </w:rPr>
        <w:t>commitment.</w:t>
      </w:r>
    </w:p>
    <w:p w14:paraId="26838552" w14:textId="77777777" w:rsidR="00345EE3" w:rsidRDefault="00345EE3">
      <w:pPr>
        <w:pStyle w:val="ListParagraph"/>
        <w:numPr>
          <w:ilvl w:val="0"/>
          <w:numId w:val="83"/>
        </w:numPr>
        <w:tabs>
          <w:tab w:val="left" w:pos="393"/>
          <w:tab w:val="left" w:pos="394"/>
        </w:tabs>
        <w:spacing w:before="33"/>
        <w:rPr>
          <w:sz w:val="24"/>
        </w:rPr>
      </w:pPr>
      <w:r>
        <w:rPr>
          <w:color w:val="231F20"/>
          <w:sz w:val="24"/>
        </w:rPr>
        <w:t>77.4</w:t>
      </w:r>
      <w:r>
        <w:rPr>
          <w:color w:val="231F20"/>
          <w:spacing w:val="-17"/>
          <w:sz w:val="24"/>
        </w:rPr>
        <w:t xml:space="preserve"> </w:t>
      </w:r>
      <w:r>
        <w:rPr>
          <w:color w:val="231F20"/>
          <w:sz w:val="24"/>
        </w:rPr>
        <w:t>local</w:t>
      </w:r>
      <w:r>
        <w:rPr>
          <w:color w:val="231F20"/>
          <w:spacing w:val="-16"/>
          <w:sz w:val="24"/>
        </w:rPr>
        <w:t xml:space="preserve"> </w:t>
      </w:r>
      <w:r>
        <w:rPr>
          <w:color w:val="231F20"/>
          <w:sz w:val="24"/>
        </w:rPr>
        <w:t>jobs</w:t>
      </w:r>
      <w:r>
        <w:rPr>
          <w:color w:val="231F20"/>
          <w:spacing w:val="-16"/>
          <w:sz w:val="24"/>
        </w:rPr>
        <w:t xml:space="preserve"> </w:t>
      </w:r>
      <w:r>
        <w:rPr>
          <w:color w:val="231F20"/>
          <w:sz w:val="24"/>
        </w:rPr>
        <w:t>retained</w:t>
      </w:r>
      <w:r>
        <w:rPr>
          <w:color w:val="231F20"/>
          <w:spacing w:val="-16"/>
          <w:sz w:val="24"/>
        </w:rPr>
        <w:t xml:space="preserve"> </w:t>
      </w:r>
      <w:r>
        <w:rPr>
          <w:color w:val="231F20"/>
          <w:sz w:val="24"/>
        </w:rPr>
        <w:t>and</w:t>
      </w:r>
      <w:r>
        <w:rPr>
          <w:color w:val="231F20"/>
          <w:spacing w:val="-16"/>
          <w:sz w:val="24"/>
        </w:rPr>
        <w:t xml:space="preserve"> </w:t>
      </w:r>
      <w:r>
        <w:rPr>
          <w:color w:val="231F20"/>
          <w:sz w:val="24"/>
        </w:rPr>
        <w:t>10.1</w:t>
      </w:r>
      <w:r>
        <w:rPr>
          <w:color w:val="231F20"/>
          <w:spacing w:val="-16"/>
          <w:sz w:val="24"/>
        </w:rPr>
        <w:t xml:space="preserve"> </w:t>
      </w:r>
      <w:r>
        <w:rPr>
          <w:color w:val="231F20"/>
          <w:spacing w:val="-2"/>
          <w:sz w:val="24"/>
        </w:rPr>
        <w:t>created.</w:t>
      </w:r>
    </w:p>
    <w:p w14:paraId="1E9E6FE9" w14:textId="77777777" w:rsidR="00345EE3" w:rsidRDefault="00345EE3">
      <w:pPr>
        <w:pStyle w:val="ListParagraph"/>
        <w:numPr>
          <w:ilvl w:val="0"/>
          <w:numId w:val="83"/>
        </w:numPr>
        <w:tabs>
          <w:tab w:val="left" w:pos="393"/>
          <w:tab w:val="left" w:pos="394"/>
        </w:tabs>
        <w:rPr>
          <w:sz w:val="24"/>
        </w:rPr>
      </w:pPr>
      <w:r>
        <w:rPr>
          <w:color w:val="231F20"/>
          <w:sz w:val="24"/>
        </w:rPr>
        <w:t>A</w:t>
      </w:r>
      <w:r>
        <w:rPr>
          <w:color w:val="231F20"/>
          <w:spacing w:val="-6"/>
          <w:sz w:val="24"/>
        </w:rPr>
        <w:t xml:space="preserve"> </w:t>
      </w:r>
      <w:r>
        <w:rPr>
          <w:color w:val="231F20"/>
          <w:sz w:val="24"/>
        </w:rPr>
        <w:t>total</w:t>
      </w:r>
      <w:r>
        <w:rPr>
          <w:color w:val="231F20"/>
          <w:spacing w:val="-6"/>
          <w:sz w:val="24"/>
        </w:rPr>
        <w:t xml:space="preserve"> </w:t>
      </w:r>
      <w:r>
        <w:rPr>
          <w:color w:val="231F20"/>
          <w:sz w:val="24"/>
        </w:rPr>
        <w:t>of</w:t>
      </w:r>
      <w:r>
        <w:rPr>
          <w:color w:val="231F20"/>
          <w:spacing w:val="-5"/>
          <w:sz w:val="24"/>
        </w:rPr>
        <w:t xml:space="preserve"> </w:t>
      </w:r>
      <w:r>
        <w:rPr>
          <w:color w:val="231F20"/>
          <w:sz w:val="24"/>
        </w:rPr>
        <w:t>130</w:t>
      </w:r>
      <w:r>
        <w:rPr>
          <w:color w:val="231F20"/>
          <w:spacing w:val="-6"/>
          <w:sz w:val="24"/>
        </w:rPr>
        <w:t xml:space="preserve"> </w:t>
      </w:r>
      <w:r>
        <w:rPr>
          <w:color w:val="231F20"/>
          <w:sz w:val="24"/>
        </w:rPr>
        <w:t>SMEs</w:t>
      </w:r>
      <w:r>
        <w:rPr>
          <w:color w:val="231F20"/>
          <w:spacing w:val="-6"/>
          <w:sz w:val="24"/>
        </w:rPr>
        <w:t xml:space="preserve"> </w:t>
      </w:r>
      <w:r>
        <w:rPr>
          <w:color w:val="231F20"/>
          <w:sz w:val="24"/>
        </w:rPr>
        <w:t>in</w:t>
      </w:r>
      <w:r>
        <w:rPr>
          <w:color w:val="231F20"/>
          <w:spacing w:val="-6"/>
          <w:sz w:val="24"/>
        </w:rPr>
        <w:t xml:space="preserve"> </w:t>
      </w:r>
      <w:r>
        <w:rPr>
          <w:color w:val="231F20"/>
          <w:sz w:val="24"/>
        </w:rPr>
        <w:t>the</w:t>
      </w:r>
      <w:r>
        <w:rPr>
          <w:color w:val="231F20"/>
          <w:spacing w:val="-6"/>
          <w:sz w:val="24"/>
        </w:rPr>
        <w:t xml:space="preserve"> </w:t>
      </w:r>
      <w:r>
        <w:rPr>
          <w:color w:val="231F20"/>
          <w:sz w:val="24"/>
        </w:rPr>
        <w:t>supply</w:t>
      </w:r>
      <w:r>
        <w:rPr>
          <w:color w:val="231F20"/>
          <w:spacing w:val="-5"/>
          <w:sz w:val="24"/>
        </w:rPr>
        <w:t xml:space="preserve"> </w:t>
      </w:r>
      <w:r>
        <w:rPr>
          <w:color w:val="231F20"/>
          <w:spacing w:val="-2"/>
          <w:sz w:val="24"/>
        </w:rPr>
        <w:t>chain.</w:t>
      </w:r>
    </w:p>
    <w:p w14:paraId="3F37FE4F" w14:textId="77777777" w:rsidR="00345EE3" w:rsidRDefault="00345EE3">
      <w:pPr>
        <w:pStyle w:val="ListParagraph"/>
        <w:numPr>
          <w:ilvl w:val="0"/>
          <w:numId w:val="83"/>
        </w:numPr>
        <w:tabs>
          <w:tab w:val="left" w:pos="393"/>
          <w:tab w:val="left" w:pos="394"/>
        </w:tabs>
        <w:rPr>
          <w:sz w:val="24"/>
        </w:rPr>
      </w:pPr>
      <w:r>
        <w:rPr>
          <w:color w:val="231F20"/>
          <w:sz w:val="24"/>
        </w:rPr>
        <w:t>A</w:t>
      </w:r>
      <w:r>
        <w:rPr>
          <w:color w:val="231F20"/>
          <w:spacing w:val="-12"/>
          <w:sz w:val="24"/>
        </w:rPr>
        <w:t xml:space="preserve"> </w:t>
      </w:r>
      <w:r>
        <w:rPr>
          <w:color w:val="231F20"/>
          <w:sz w:val="24"/>
        </w:rPr>
        <w:t>total</w:t>
      </w:r>
      <w:r>
        <w:rPr>
          <w:color w:val="231F20"/>
          <w:spacing w:val="-11"/>
          <w:sz w:val="24"/>
        </w:rPr>
        <w:t xml:space="preserve"> </w:t>
      </w:r>
      <w:r>
        <w:rPr>
          <w:color w:val="231F20"/>
          <w:sz w:val="24"/>
        </w:rPr>
        <w:t>of</w:t>
      </w:r>
      <w:r>
        <w:rPr>
          <w:color w:val="231F20"/>
          <w:spacing w:val="-10"/>
          <w:sz w:val="24"/>
        </w:rPr>
        <w:t xml:space="preserve"> </w:t>
      </w:r>
      <w:r>
        <w:rPr>
          <w:color w:val="231F20"/>
          <w:sz w:val="24"/>
        </w:rPr>
        <w:t>25</w:t>
      </w:r>
      <w:r>
        <w:rPr>
          <w:color w:val="231F20"/>
          <w:spacing w:val="-10"/>
          <w:sz w:val="24"/>
        </w:rPr>
        <w:t xml:space="preserve"> </w:t>
      </w:r>
      <w:r>
        <w:rPr>
          <w:color w:val="231F20"/>
          <w:sz w:val="24"/>
        </w:rPr>
        <w:t>opportunities</w:t>
      </w:r>
      <w:r>
        <w:rPr>
          <w:color w:val="231F20"/>
          <w:spacing w:val="-10"/>
          <w:sz w:val="24"/>
        </w:rPr>
        <w:t xml:space="preserve"> </w:t>
      </w:r>
      <w:r>
        <w:rPr>
          <w:color w:val="231F20"/>
          <w:sz w:val="24"/>
        </w:rPr>
        <w:t>created</w:t>
      </w:r>
      <w:r>
        <w:rPr>
          <w:color w:val="231F20"/>
          <w:spacing w:val="-11"/>
          <w:sz w:val="24"/>
        </w:rPr>
        <w:t xml:space="preserve"> </w:t>
      </w:r>
      <w:r>
        <w:rPr>
          <w:color w:val="231F20"/>
          <w:sz w:val="24"/>
        </w:rPr>
        <w:t>for</w:t>
      </w:r>
      <w:r>
        <w:rPr>
          <w:color w:val="231F20"/>
          <w:spacing w:val="-10"/>
          <w:sz w:val="24"/>
        </w:rPr>
        <w:t xml:space="preserve"> </w:t>
      </w:r>
      <w:r>
        <w:rPr>
          <w:color w:val="231F20"/>
          <w:sz w:val="24"/>
        </w:rPr>
        <w:t>apprentices</w:t>
      </w:r>
      <w:r>
        <w:rPr>
          <w:color w:val="231F20"/>
          <w:spacing w:val="-10"/>
          <w:sz w:val="24"/>
        </w:rPr>
        <w:t xml:space="preserve"> </w:t>
      </w:r>
      <w:r>
        <w:rPr>
          <w:color w:val="231F20"/>
          <w:sz w:val="24"/>
        </w:rPr>
        <w:t>(24)</w:t>
      </w:r>
      <w:r>
        <w:rPr>
          <w:color w:val="231F20"/>
          <w:spacing w:val="-9"/>
          <w:sz w:val="24"/>
        </w:rPr>
        <w:t xml:space="preserve"> </w:t>
      </w:r>
      <w:r>
        <w:rPr>
          <w:color w:val="231F20"/>
          <w:sz w:val="24"/>
        </w:rPr>
        <w:t>and</w:t>
      </w:r>
      <w:r>
        <w:rPr>
          <w:color w:val="231F20"/>
          <w:spacing w:val="-11"/>
          <w:sz w:val="24"/>
        </w:rPr>
        <w:t xml:space="preserve"> </w:t>
      </w:r>
      <w:r>
        <w:rPr>
          <w:color w:val="231F20"/>
          <w:sz w:val="24"/>
        </w:rPr>
        <w:t>trainee</w:t>
      </w:r>
      <w:r>
        <w:rPr>
          <w:color w:val="231F20"/>
          <w:spacing w:val="-11"/>
          <w:sz w:val="24"/>
        </w:rPr>
        <w:t xml:space="preserve"> </w:t>
      </w:r>
      <w:r>
        <w:rPr>
          <w:color w:val="231F20"/>
          <w:sz w:val="24"/>
        </w:rPr>
        <w:t>one</w:t>
      </w:r>
      <w:r>
        <w:rPr>
          <w:color w:val="231F20"/>
          <w:spacing w:val="-10"/>
          <w:sz w:val="24"/>
        </w:rPr>
        <w:t xml:space="preserve"> </w:t>
      </w:r>
      <w:r>
        <w:rPr>
          <w:color w:val="231F20"/>
          <w:sz w:val="24"/>
        </w:rPr>
        <w:t>(1)</w:t>
      </w:r>
      <w:r>
        <w:rPr>
          <w:color w:val="231F20"/>
          <w:spacing w:val="-10"/>
          <w:sz w:val="24"/>
        </w:rPr>
        <w:t xml:space="preserve"> </w:t>
      </w:r>
      <w:r>
        <w:rPr>
          <w:color w:val="231F20"/>
          <w:sz w:val="24"/>
        </w:rPr>
        <w:t>on</w:t>
      </w:r>
      <w:r>
        <w:rPr>
          <w:color w:val="231F20"/>
          <w:spacing w:val="-11"/>
          <w:sz w:val="24"/>
        </w:rPr>
        <w:t xml:space="preserve"> </w:t>
      </w:r>
      <w:r>
        <w:rPr>
          <w:color w:val="231F20"/>
          <w:sz w:val="24"/>
        </w:rPr>
        <w:t>these</w:t>
      </w:r>
      <w:r>
        <w:rPr>
          <w:color w:val="231F20"/>
          <w:spacing w:val="-10"/>
          <w:sz w:val="24"/>
        </w:rPr>
        <w:t xml:space="preserve"> </w:t>
      </w:r>
      <w:r>
        <w:rPr>
          <w:color w:val="231F20"/>
          <w:spacing w:val="-2"/>
          <w:sz w:val="24"/>
        </w:rPr>
        <w:t>projects.</w:t>
      </w:r>
    </w:p>
    <w:p w14:paraId="6223ED2C" w14:textId="77777777" w:rsidR="00345EE3" w:rsidRDefault="00345EE3">
      <w:pPr>
        <w:pStyle w:val="ListParagraph"/>
        <w:numPr>
          <w:ilvl w:val="0"/>
          <w:numId w:val="83"/>
        </w:numPr>
        <w:tabs>
          <w:tab w:val="left" w:pos="393"/>
          <w:tab w:val="left" w:pos="394"/>
        </w:tabs>
        <w:spacing w:before="33"/>
        <w:rPr>
          <w:sz w:val="24"/>
        </w:rPr>
      </w:pPr>
      <w:r>
        <w:rPr>
          <w:color w:val="231F20"/>
          <w:sz w:val="24"/>
        </w:rPr>
        <w:t>A</w:t>
      </w:r>
      <w:r>
        <w:rPr>
          <w:color w:val="231F20"/>
          <w:spacing w:val="-9"/>
          <w:sz w:val="24"/>
        </w:rPr>
        <w:t xml:space="preserve"> </w:t>
      </w:r>
      <w:r>
        <w:rPr>
          <w:color w:val="231F20"/>
          <w:sz w:val="24"/>
        </w:rPr>
        <w:t>total</w:t>
      </w:r>
      <w:r>
        <w:rPr>
          <w:color w:val="231F20"/>
          <w:spacing w:val="-7"/>
          <w:sz w:val="24"/>
        </w:rPr>
        <w:t xml:space="preserve"> </w:t>
      </w:r>
      <w:r>
        <w:rPr>
          <w:color w:val="231F20"/>
          <w:sz w:val="24"/>
        </w:rPr>
        <w:t>of</w:t>
      </w:r>
      <w:r>
        <w:rPr>
          <w:color w:val="231F20"/>
          <w:spacing w:val="-7"/>
          <w:sz w:val="24"/>
        </w:rPr>
        <w:t xml:space="preserve"> </w:t>
      </w:r>
      <w:r>
        <w:rPr>
          <w:color w:val="231F20"/>
          <w:sz w:val="24"/>
        </w:rPr>
        <w:t>48</w:t>
      </w:r>
      <w:r>
        <w:rPr>
          <w:color w:val="231F20"/>
          <w:spacing w:val="-7"/>
          <w:sz w:val="24"/>
        </w:rPr>
        <w:t xml:space="preserve"> </w:t>
      </w:r>
      <w:r>
        <w:rPr>
          <w:color w:val="231F20"/>
          <w:sz w:val="24"/>
        </w:rPr>
        <w:t>apprenticeships</w:t>
      </w:r>
      <w:r>
        <w:rPr>
          <w:color w:val="231F20"/>
          <w:spacing w:val="-7"/>
          <w:sz w:val="24"/>
        </w:rPr>
        <w:t xml:space="preserve"> </w:t>
      </w:r>
      <w:r>
        <w:rPr>
          <w:color w:val="231F20"/>
          <w:sz w:val="24"/>
        </w:rPr>
        <w:t>and</w:t>
      </w:r>
      <w:r>
        <w:rPr>
          <w:color w:val="231F20"/>
          <w:spacing w:val="-7"/>
          <w:sz w:val="24"/>
        </w:rPr>
        <w:t xml:space="preserve"> </w:t>
      </w:r>
      <w:r>
        <w:rPr>
          <w:color w:val="231F20"/>
          <w:sz w:val="24"/>
        </w:rPr>
        <w:t>5</w:t>
      </w:r>
      <w:r>
        <w:rPr>
          <w:color w:val="231F20"/>
          <w:spacing w:val="-7"/>
          <w:sz w:val="24"/>
        </w:rPr>
        <w:t xml:space="preserve"> </w:t>
      </w:r>
      <w:r>
        <w:rPr>
          <w:color w:val="231F20"/>
          <w:sz w:val="24"/>
        </w:rPr>
        <w:t>cadets</w:t>
      </w:r>
      <w:r>
        <w:rPr>
          <w:color w:val="231F20"/>
          <w:spacing w:val="-7"/>
          <w:sz w:val="24"/>
        </w:rPr>
        <w:t xml:space="preserve"> </w:t>
      </w:r>
      <w:r>
        <w:rPr>
          <w:color w:val="231F20"/>
          <w:sz w:val="24"/>
        </w:rPr>
        <w:t>retained</w:t>
      </w:r>
      <w:r>
        <w:rPr>
          <w:color w:val="231F20"/>
          <w:spacing w:val="-7"/>
          <w:sz w:val="24"/>
        </w:rPr>
        <w:t xml:space="preserve"> </w:t>
      </w:r>
      <w:r>
        <w:rPr>
          <w:color w:val="231F20"/>
          <w:sz w:val="24"/>
        </w:rPr>
        <w:t>from</w:t>
      </w:r>
      <w:r>
        <w:rPr>
          <w:color w:val="231F20"/>
          <w:spacing w:val="-7"/>
          <w:sz w:val="24"/>
        </w:rPr>
        <w:t xml:space="preserve"> </w:t>
      </w:r>
      <w:r>
        <w:rPr>
          <w:color w:val="231F20"/>
          <w:sz w:val="24"/>
        </w:rPr>
        <w:t>the</w:t>
      </w:r>
      <w:r>
        <w:rPr>
          <w:color w:val="231F20"/>
          <w:spacing w:val="-7"/>
          <w:sz w:val="24"/>
        </w:rPr>
        <w:t xml:space="preserve"> </w:t>
      </w:r>
      <w:r>
        <w:rPr>
          <w:color w:val="231F20"/>
          <w:sz w:val="24"/>
        </w:rPr>
        <w:t>previous</w:t>
      </w:r>
      <w:r>
        <w:rPr>
          <w:color w:val="231F20"/>
          <w:spacing w:val="-6"/>
          <w:sz w:val="24"/>
        </w:rPr>
        <w:t xml:space="preserve"> </w:t>
      </w:r>
      <w:r>
        <w:rPr>
          <w:color w:val="231F20"/>
          <w:spacing w:val="-2"/>
          <w:sz w:val="24"/>
        </w:rPr>
        <w:t>year.</w:t>
      </w:r>
    </w:p>
    <w:p w14:paraId="174E8DF9" w14:textId="77777777" w:rsidR="00345EE3" w:rsidRDefault="00345EE3">
      <w:pPr>
        <w:pStyle w:val="ListParagraph"/>
        <w:numPr>
          <w:ilvl w:val="0"/>
          <w:numId w:val="83"/>
        </w:numPr>
        <w:tabs>
          <w:tab w:val="left" w:pos="393"/>
          <w:tab w:val="left" w:pos="394"/>
        </w:tabs>
        <w:spacing w:line="242" w:lineRule="auto"/>
        <w:ind w:right="1663"/>
        <w:rPr>
          <w:sz w:val="24"/>
        </w:rPr>
      </w:pPr>
      <w:r>
        <w:rPr>
          <w:color w:val="231F20"/>
          <w:sz w:val="24"/>
        </w:rPr>
        <w:t>A</w:t>
      </w:r>
      <w:r>
        <w:rPr>
          <w:color w:val="231F20"/>
          <w:spacing w:val="-16"/>
          <w:sz w:val="24"/>
        </w:rPr>
        <w:t xml:space="preserve"> </w:t>
      </w:r>
      <w:r>
        <w:rPr>
          <w:color w:val="231F20"/>
          <w:sz w:val="24"/>
        </w:rPr>
        <w:t>total</w:t>
      </w:r>
      <w:r>
        <w:rPr>
          <w:color w:val="231F20"/>
          <w:spacing w:val="-17"/>
          <w:sz w:val="24"/>
        </w:rPr>
        <w:t xml:space="preserve"> </w:t>
      </w:r>
      <w:r>
        <w:rPr>
          <w:color w:val="231F20"/>
          <w:sz w:val="24"/>
        </w:rPr>
        <w:t>of</w:t>
      </w:r>
      <w:r>
        <w:rPr>
          <w:color w:val="231F20"/>
          <w:spacing w:val="-15"/>
          <w:sz w:val="24"/>
        </w:rPr>
        <w:t xml:space="preserve"> </w:t>
      </w:r>
      <w:r>
        <w:rPr>
          <w:color w:val="231F20"/>
          <w:sz w:val="24"/>
        </w:rPr>
        <w:t>157,955.70</w:t>
      </w:r>
      <w:r>
        <w:rPr>
          <w:color w:val="231F20"/>
          <w:spacing w:val="-16"/>
          <w:sz w:val="24"/>
        </w:rPr>
        <w:t xml:space="preserve"> </w:t>
      </w:r>
      <w:r>
        <w:rPr>
          <w:color w:val="231F20"/>
          <w:sz w:val="24"/>
        </w:rPr>
        <w:t>labour</w:t>
      </w:r>
      <w:r>
        <w:rPr>
          <w:color w:val="231F20"/>
          <w:spacing w:val="-16"/>
          <w:sz w:val="24"/>
        </w:rPr>
        <w:t xml:space="preserve"> </w:t>
      </w:r>
      <w:r>
        <w:rPr>
          <w:color w:val="231F20"/>
          <w:sz w:val="24"/>
        </w:rPr>
        <w:t>hours</w:t>
      </w:r>
      <w:r>
        <w:rPr>
          <w:color w:val="231F20"/>
          <w:spacing w:val="-16"/>
          <w:sz w:val="24"/>
        </w:rPr>
        <w:t xml:space="preserve"> </w:t>
      </w:r>
      <w:r>
        <w:rPr>
          <w:color w:val="231F20"/>
          <w:sz w:val="24"/>
        </w:rPr>
        <w:t>achieved</w:t>
      </w:r>
      <w:r>
        <w:rPr>
          <w:color w:val="231F20"/>
          <w:spacing w:val="-17"/>
          <w:sz w:val="24"/>
        </w:rPr>
        <w:t xml:space="preserve"> </w:t>
      </w:r>
      <w:r>
        <w:rPr>
          <w:color w:val="231F20"/>
          <w:sz w:val="24"/>
        </w:rPr>
        <w:t>for</w:t>
      </w:r>
      <w:r>
        <w:rPr>
          <w:color w:val="231F20"/>
          <w:spacing w:val="-15"/>
          <w:sz w:val="24"/>
        </w:rPr>
        <w:t xml:space="preserve"> </w:t>
      </w:r>
      <w:r>
        <w:rPr>
          <w:color w:val="231F20"/>
          <w:sz w:val="24"/>
        </w:rPr>
        <w:t>Apprentices,</w:t>
      </w:r>
      <w:r>
        <w:rPr>
          <w:color w:val="231F20"/>
          <w:spacing w:val="-16"/>
          <w:sz w:val="24"/>
        </w:rPr>
        <w:t xml:space="preserve"> </w:t>
      </w:r>
      <w:r>
        <w:rPr>
          <w:color w:val="231F20"/>
          <w:sz w:val="24"/>
        </w:rPr>
        <w:t>Trainees</w:t>
      </w:r>
      <w:r>
        <w:rPr>
          <w:color w:val="231F20"/>
          <w:spacing w:val="-16"/>
          <w:sz w:val="24"/>
        </w:rPr>
        <w:t xml:space="preserve"> </w:t>
      </w:r>
      <w:r>
        <w:rPr>
          <w:color w:val="231F20"/>
          <w:sz w:val="24"/>
        </w:rPr>
        <w:t>or</w:t>
      </w:r>
      <w:r>
        <w:rPr>
          <w:color w:val="231F20"/>
          <w:spacing w:val="-16"/>
          <w:sz w:val="24"/>
        </w:rPr>
        <w:t xml:space="preserve"> </w:t>
      </w:r>
      <w:r>
        <w:rPr>
          <w:color w:val="231F20"/>
          <w:sz w:val="24"/>
        </w:rPr>
        <w:t>Cadets</w:t>
      </w:r>
      <w:r>
        <w:rPr>
          <w:color w:val="231F20"/>
          <w:spacing w:val="-16"/>
          <w:sz w:val="24"/>
        </w:rPr>
        <w:t xml:space="preserve"> </w:t>
      </w:r>
      <w:r>
        <w:rPr>
          <w:color w:val="231F20"/>
          <w:sz w:val="24"/>
        </w:rPr>
        <w:t>mainly contributed to the construction projects such as the VPC Complex.</w:t>
      </w:r>
    </w:p>
    <w:p w14:paraId="3BA94CE5" w14:textId="77777777" w:rsidR="00345EE3" w:rsidRDefault="00345EE3">
      <w:pPr>
        <w:pStyle w:val="ListParagraph"/>
        <w:numPr>
          <w:ilvl w:val="0"/>
          <w:numId w:val="83"/>
        </w:numPr>
        <w:tabs>
          <w:tab w:val="left" w:pos="393"/>
          <w:tab w:val="left" w:pos="394"/>
        </w:tabs>
        <w:spacing w:before="31"/>
        <w:rPr>
          <w:sz w:val="24"/>
        </w:rPr>
      </w:pPr>
      <w:r>
        <w:rPr>
          <w:color w:val="231F20"/>
          <w:sz w:val="24"/>
        </w:rPr>
        <w:t>MPSG</w:t>
      </w:r>
      <w:r>
        <w:rPr>
          <w:color w:val="231F20"/>
          <w:spacing w:val="-8"/>
          <w:sz w:val="24"/>
        </w:rPr>
        <w:t xml:space="preserve"> </w:t>
      </w:r>
      <w:r>
        <w:rPr>
          <w:color w:val="231F20"/>
          <w:sz w:val="24"/>
        </w:rPr>
        <w:t>applied</w:t>
      </w:r>
      <w:r>
        <w:rPr>
          <w:color w:val="231F20"/>
          <w:spacing w:val="-7"/>
          <w:sz w:val="24"/>
        </w:rPr>
        <w:t xml:space="preserve"> </w:t>
      </w:r>
      <w:r>
        <w:rPr>
          <w:color w:val="231F20"/>
          <w:sz w:val="24"/>
        </w:rPr>
        <w:t>to</w:t>
      </w:r>
      <w:r>
        <w:rPr>
          <w:color w:val="231F20"/>
          <w:spacing w:val="-7"/>
          <w:sz w:val="24"/>
        </w:rPr>
        <w:t xml:space="preserve"> </w:t>
      </w:r>
      <w:r>
        <w:rPr>
          <w:color w:val="231F20"/>
          <w:sz w:val="24"/>
        </w:rPr>
        <w:t>two</w:t>
      </w:r>
      <w:r>
        <w:rPr>
          <w:color w:val="231F20"/>
          <w:spacing w:val="-7"/>
          <w:sz w:val="24"/>
        </w:rPr>
        <w:t xml:space="preserve"> </w:t>
      </w:r>
      <w:r>
        <w:rPr>
          <w:color w:val="231F20"/>
          <w:sz w:val="24"/>
        </w:rPr>
        <w:t>projects</w:t>
      </w:r>
      <w:r>
        <w:rPr>
          <w:color w:val="231F20"/>
          <w:spacing w:val="-6"/>
          <w:sz w:val="24"/>
        </w:rPr>
        <w:t xml:space="preserve"> </w:t>
      </w:r>
      <w:r>
        <w:rPr>
          <w:color w:val="231F20"/>
          <w:sz w:val="24"/>
        </w:rPr>
        <w:t>that</w:t>
      </w:r>
      <w:r>
        <w:rPr>
          <w:color w:val="231F20"/>
          <w:spacing w:val="-6"/>
          <w:sz w:val="24"/>
        </w:rPr>
        <w:t xml:space="preserve"> </w:t>
      </w:r>
      <w:r>
        <w:rPr>
          <w:color w:val="231F20"/>
          <w:sz w:val="24"/>
        </w:rPr>
        <w:t>were</w:t>
      </w:r>
      <w:r>
        <w:rPr>
          <w:color w:val="231F20"/>
          <w:spacing w:val="-7"/>
          <w:sz w:val="24"/>
        </w:rPr>
        <w:t xml:space="preserve"> </w:t>
      </w:r>
      <w:r>
        <w:rPr>
          <w:color w:val="231F20"/>
          <w:sz w:val="24"/>
        </w:rPr>
        <w:t>completed</w:t>
      </w:r>
      <w:r>
        <w:rPr>
          <w:color w:val="231F20"/>
          <w:spacing w:val="-7"/>
          <w:sz w:val="24"/>
        </w:rPr>
        <w:t xml:space="preserve"> </w:t>
      </w:r>
      <w:r>
        <w:rPr>
          <w:color w:val="231F20"/>
          <w:sz w:val="24"/>
        </w:rPr>
        <w:t>in</w:t>
      </w:r>
      <w:r>
        <w:rPr>
          <w:color w:val="231F20"/>
          <w:spacing w:val="-7"/>
          <w:sz w:val="24"/>
        </w:rPr>
        <w:t xml:space="preserve"> </w:t>
      </w:r>
      <w:r>
        <w:rPr>
          <w:color w:val="231F20"/>
          <w:sz w:val="24"/>
        </w:rPr>
        <w:t>the</w:t>
      </w:r>
      <w:r>
        <w:rPr>
          <w:color w:val="231F20"/>
          <w:spacing w:val="-7"/>
          <w:sz w:val="24"/>
        </w:rPr>
        <w:t xml:space="preserve"> </w:t>
      </w:r>
      <w:r>
        <w:rPr>
          <w:color w:val="231F20"/>
          <w:sz w:val="24"/>
        </w:rPr>
        <w:t>year</w:t>
      </w:r>
      <w:r>
        <w:rPr>
          <w:color w:val="231F20"/>
          <w:spacing w:val="-6"/>
          <w:sz w:val="24"/>
        </w:rPr>
        <w:t xml:space="preserve"> </w:t>
      </w:r>
      <w:r>
        <w:rPr>
          <w:color w:val="231F20"/>
          <w:sz w:val="24"/>
        </w:rPr>
        <w:t>with</w:t>
      </w:r>
      <w:r>
        <w:rPr>
          <w:color w:val="231F20"/>
          <w:spacing w:val="-7"/>
          <w:sz w:val="24"/>
        </w:rPr>
        <w:t xml:space="preserve"> </w:t>
      </w:r>
      <w:r>
        <w:rPr>
          <w:color w:val="231F20"/>
          <w:sz w:val="24"/>
        </w:rPr>
        <w:t>100</w:t>
      </w:r>
      <w:r>
        <w:rPr>
          <w:color w:val="231F20"/>
          <w:spacing w:val="-6"/>
          <w:sz w:val="24"/>
        </w:rPr>
        <w:t xml:space="preserve"> </w:t>
      </w:r>
      <w:r>
        <w:rPr>
          <w:color w:val="231F20"/>
          <w:spacing w:val="-2"/>
          <w:sz w:val="24"/>
        </w:rPr>
        <w:t>hours.</w:t>
      </w:r>
    </w:p>
    <w:p w14:paraId="68F7B2F3" w14:textId="77777777" w:rsidR="00345EE3" w:rsidRDefault="00345EE3" w:rsidP="00345EE3">
      <w:pPr>
        <w:pStyle w:val="Heading5"/>
        <w:spacing w:before="174"/>
      </w:pPr>
      <w:r>
        <w:rPr>
          <w:color w:val="58595B"/>
        </w:rPr>
        <w:t>Local</w:t>
      </w:r>
      <w:r>
        <w:rPr>
          <w:color w:val="58595B"/>
          <w:spacing w:val="-1"/>
        </w:rPr>
        <w:t xml:space="preserve"> </w:t>
      </w:r>
      <w:r>
        <w:rPr>
          <w:color w:val="58595B"/>
        </w:rPr>
        <w:t>Jobs</w:t>
      </w:r>
      <w:r>
        <w:rPr>
          <w:color w:val="58595B"/>
          <w:spacing w:val="-2"/>
        </w:rPr>
        <w:t xml:space="preserve"> </w:t>
      </w:r>
      <w:r>
        <w:rPr>
          <w:color w:val="58595B"/>
        </w:rPr>
        <w:t>First</w:t>
      </w:r>
      <w:r>
        <w:rPr>
          <w:color w:val="58595B"/>
          <w:spacing w:val="-1"/>
        </w:rPr>
        <w:t xml:space="preserve"> </w:t>
      </w:r>
      <w:r>
        <w:rPr>
          <w:color w:val="58595B"/>
        </w:rPr>
        <w:t xml:space="preserve">Strategic </w:t>
      </w:r>
      <w:r>
        <w:rPr>
          <w:color w:val="58595B"/>
          <w:spacing w:val="-2"/>
        </w:rPr>
        <w:t>Projects</w:t>
      </w:r>
    </w:p>
    <w:p w14:paraId="0198F23E" w14:textId="77777777" w:rsidR="00345EE3" w:rsidRDefault="00345EE3" w:rsidP="00345EE3">
      <w:pPr>
        <w:pStyle w:val="BodyText"/>
        <w:spacing w:before="4" w:line="242" w:lineRule="auto"/>
        <w:ind w:right="921"/>
      </w:pPr>
      <w:r>
        <w:rPr>
          <w:color w:val="231F20"/>
        </w:rPr>
        <w:t>A</w:t>
      </w:r>
      <w:r>
        <w:rPr>
          <w:color w:val="231F20"/>
          <w:spacing w:val="-6"/>
        </w:rPr>
        <w:t xml:space="preserve"> </w:t>
      </w:r>
      <w:r>
        <w:rPr>
          <w:color w:val="231F20"/>
        </w:rPr>
        <w:t>Local</w:t>
      </w:r>
      <w:r>
        <w:rPr>
          <w:color w:val="231F20"/>
          <w:spacing w:val="-7"/>
        </w:rPr>
        <w:t xml:space="preserve"> </w:t>
      </w:r>
      <w:r>
        <w:rPr>
          <w:color w:val="231F20"/>
        </w:rPr>
        <w:t>Jobs</w:t>
      </w:r>
      <w:r>
        <w:rPr>
          <w:color w:val="231F20"/>
          <w:spacing w:val="-6"/>
        </w:rPr>
        <w:t xml:space="preserve"> </w:t>
      </w:r>
      <w:r>
        <w:rPr>
          <w:color w:val="231F20"/>
        </w:rPr>
        <w:t>First</w:t>
      </w:r>
      <w:r>
        <w:rPr>
          <w:color w:val="231F20"/>
          <w:spacing w:val="-6"/>
        </w:rPr>
        <w:t xml:space="preserve"> </w:t>
      </w:r>
      <w:r>
        <w:rPr>
          <w:color w:val="231F20"/>
        </w:rPr>
        <w:t>Strategic</w:t>
      </w:r>
      <w:r>
        <w:rPr>
          <w:color w:val="231F20"/>
          <w:spacing w:val="-6"/>
        </w:rPr>
        <w:t xml:space="preserve"> </w:t>
      </w:r>
      <w:r>
        <w:rPr>
          <w:color w:val="231F20"/>
        </w:rPr>
        <w:t>project</w:t>
      </w:r>
      <w:r>
        <w:rPr>
          <w:color w:val="231F20"/>
          <w:spacing w:val="-6"/>
        </w:rPr>
        <w:t xml:space="preserve"> </w:t>
      </w:r>
      <w:r>
        <w:rPr>
          <w:color w:val="231F20"/>
        </w:rPr>
        <w:t>is</w:t>
      </w:r>
      <w:r>
        <w:rPr>
          <w:color w:val="231F20"/>
          <w:spacing w:val="-6"/>
        </w:rPr>
        <w:t xml:space="preserve"> </w:t>
      </w:r>
      <w:r>
        <w:rPr>
          <w:color w:val="231F20"/>
        </w:rPr>
        <w:t>a</w:t>
      </w:r>
      <w:r>
        <w:rPr>
          <w:color w:val="231F20"/>
          <w:spacing w:val="-7"/>
        </w:rPr>
        <w:t xml:space="preserve"> </w:t>
      </w:r>
      <w:r>
        <w:rPr>
          <w:color w:val="231F20"/>
        </w:rPr>
        <w:t>project</w:t>
      </w:r>
      <w:r>
        <w:rPr>
          <w:color w:val="231F20"/>
          <w:spacing w:val="-6"/>
        </w:rPr>
        <w:t xml:space="preserve"> </w:t>
      </w:r>
      <w:r>
        <w:rPr>
          <w:color w:val="231F20"/>
        </w:rPr>
        <w:t>with</w:t>
      </w:r>
      <w:r>
        <w:rPr>
          <w:color w:val="231F20"/>
          <w:spacing w:val="-7"/>
        </w:rPr>
        <w:t xml:space="preserve"> </w:t>
      </w:r>
      <w:r>
        <w:rPr>
          <w:color w:val="231F20"/>
        </w:rPr>
        <w:t>a</w:t>
      </w:r>
      <w:r>
        <w:rPr>
          <w:color w:val="231F20"/>
          <w:spacing w:val="-7"/>
        </w:rPr>
        <w:t xml:space="preserve"> </w:t>
      </w:r>
      <w:r>
        <w:rPr>
          <w:color w:val="231F20"/>
        </w:rPr>
        <w:t>budget</w:t>
      </w:r>
      <w:r>
        <w:rPr>
          <w:color w:val="231F20"/>
          <w:spacing w:val="-6"/>
        </w:rPr>
        <w:t xml:space="preserve"> </w:t>
      </w:r>
      <w:r>
        <w:rPr>
          <w:color w:val="231F20"/>
        </w:rPr>
        <w:t>of</w:t>
      </w:r>
      <w:r>
        <w:rPr>
          <w:color w:val="231F20"/>
          <w:spacing w:val="-6"/>
        </w:rPr>
        <w:t xml:space="preserve"> </w:t>
      </w:r>
      <w:r>
        <w:rPr>
          <w:color w:val="231F20"/>
        </w:rPr>
        <w:t>$50</w:t>
      </w:r>
      <w:r>
        <w:rPr>
          <w:color w:val="231F20"/>
          <w:spacing w:val="-7"/>
        </w:rPr>
        <w:t xml:space="preserve"> </w:t>
      </w:r>
      <w:r>
        <w:rPr>
          <w:color w:val="231F20"/>
        </w:rPr>
        <w:t>million</w:t>
      </w:r>
      <w:r>
        <w:rPr>
          <w:color w:val="231F20"/>
          <w:spacing w:val="-7"/>
        </w:rPr>
        <w:t xml:space="preserve"> </w:t>
      </w:r>
      <w:r>
        <w:rPr>
          <w:color w:val="231F20"/>
        </w:rPr>
        <w:t>or</w:t>
      </w:r>
      <w:r>
        <w:rPr>
          <w:color w:val="231F20"/>
          <w:spacing w:val="-6"/>
        </w:rPr>
        <w:t xml:space="preserve"> </w:t>
      </w:r>
      <w:r>
        <w:rPr>
          <w:color w:val="231F20"/>
        </w:rPr>
        <w:t>more</w:t>
      </w:r>
      <w:r>
        <w:rPr>
          <w:color w:val="231F20"/>
          <w:spacing w:val="-7"/>
        </w:rPr>
        <w:t xml:space="preserve"> </w:t>
      </w:r>
      <w:r>
        <w:rPr>
          <w:color w:val="231F20"/>
        </w:rPr>
        <w:t>or</w:t>
      </w:r>
      <w:r>
        <w:rPr>
          <w:color w:val="231F20"/>
          <w:spacing w:val="-6"/>
        </w:rPr>
        <w:t xml:space="preserve"> </w:t>
      </w:r>
      <w:r>
        <w:rPr>
          <w:color w:val="231F20"/>
        </w:rPr>
        <w:t>any</w:t>
      </w:r>
      <w:r>
        <w:rPr>
          <w:color w:val="231F20"/>
          <w:spacing w:val="-6"/>
        </w:rPr>
        <w:t xml:space="preserve"> </w:t>
      </w:r>
      <w:r>
        <w:rPr>
          <w:color w:val="231F20"/>
        </w:rPr>
        <w:t>other project declared</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a</w:t>
      </w:r>
      <w:r>
        <w:rPr>
          <w:color w:val="231F20"/>
          <w:spacing w:val="-1"/>
        </w:rPr>
        <w:t xml:space="preserve"> </w:t>
      </w:r>
      <w:r>
        <w:rPr>
          <w:color w:val="231F20"/>
        </w:rPr>
        <w:t>Strategic project by the</w:t>
      </w:r>
      <w:r>
        <w:rPr>
          <w:color w:val="231F20"/>
          <w:spacing w:val="-1"/>
        </w:rPr>
        <w:t xml:space="preserve"> </w:t>
      </w:r>
      <w:r>
        <w:rPr>
          <w:color w:val="231F20"/>
        </w:rPr>
        <w:t>Minister under section</w:t>
      </w:r>
      <w:r>
        <w:rPr>
          <w:color w:val="231F20"/>
          <w:spacing w:val="-1"/>
        </w:rPr>
        <w:t xml:space="preserve"> </w:t>
      </w:r>
      <w:r>
        <w:rPr>
          <w:color w:val="231F20"/>
        </w:rPr>
        <w:t>7A (2) of the</w:t>
      </w:r>
      <w:r>
        <w:rPr>
          <w:color w:val="231F20"/>
          <w:spacing w:val="-1"/>
        </w:rPr>
        <w:t xml:space="preserve"> </w:t>
      </w:r>
      <w:r>
        <w:rPr>
          <w:color w:val="231F20"/>
        </w:rPr>
        <w:t>Act. There were no strategic projects where Local Jobs First commitments applied.</w:t>
      </w:r>
    </w:p>
    <w:p w14:paraId="6391DF75" w14:textId="77777777" w:rsidR="00345EE3" w:rsidRDefault="00345EE3" w:rsidP="00345EE3">
      <w:pPr>
        <w:rPr>
          <w:b/>
          <w:bCs/>
          <w:color w:val="58595B"/>
          <w:sz w:val="24"/>
          <w:szCs w:val="24"/>
        </w:rPr>
      </w:pPr>
      <w:r>
        <w:rPr>
          <w:color w:val="58595B"/>
        </w:rPr>
        <w:br w:type="page"/>
      </w:r>
    </w:p>
    <w:p w14:paraId="6E36686A" w14:textId="77777777" w:rsidR="00345EE3" w:rsidRDefault="00345EE3" w:rsidP="00345EE3">
      <w:pPr>
        <w:pStyle w:val="Heading5"/>
        <w:spacing w:before="174"/>
      </w:pPr>
      <w:r>
        <w:rPr>
          <w:color w:val="58595B"/>
        </w:rPr>
        <w:t>All</w:t>
      </w:r>
      <w:r>
        <w:rPr>
          <w:color w:val="58595B"/>
          <w:spacing w:val="-5"/>
        </w:rPr>
        <w:t xml:space="preserve"> </w:t>
      </w:r>
      <w:r>
        <w:rPr>
          <w:color w:val="58595B"/>
          <w:spacing w:val="-2"/>
        </w:rPr>
        <w:t>Projects</w:t>
      </w:r>
    </w:p>
    <w:p w14:paraId="385098CE" w14:textId="77777777" w:rsidR="00345EE3" w:rsidRDefault="00345EE3" w:rsidP="00345EE3">
      <w:pPr>
        <w:pStyle w:val="BodyText"/>
        <w:spacing w:before="4"/>
      </w:pPr>
      <w:r>
        <w:rPr>
          <w:color w:val="231F20"/>
        </w:rPr>
        <w:t>During</w:t>
      </w:r>
      <w:r>
        <w:rPr>
          <w:color w:val="231F20"/>
          <w:spacing w:val="-12"/>
        </w:rPr>
        <w:t xml:space="preserve"> </w:t>
      </w:r>
      <w:r>
        <w:rPr>
          <w:color w:val="231F20"/>
        </w:rPr>
        <w:t>2021–22,</w:t>
      </w:r>
      <w:r>
        <w:rPr>
          <w:color w:val="231F20"/>
          <w:spacing w:val="-8"/>
        </w:rPr>
        <w:t xml:space="preserve"> </w:t>
      </w:r>
      <w:r>
        <w:rPr>
          <w:color w:val="231F20"/>
        </w:rPr>
        <w:t>there</w:t>
      </w:r>
      <w:r>
        <w:rPr>
          <w:color w:val="231F20"/>
          <w:spacing w:val="-10"/>
        </w:rPr>
        <w:t xml:space="preserve"> </w:t>
      </w:r>
      <w:r>
        <w:rPr>
          <w:color w:val="231F20"/>
        </w:rPr>
        <w:t>were</w:t>
      </w:r>
      <w:r>
        <w:rPr>
          <w:color w:val="231F20"/>
          <w:spacing w:val="-9"/>
        </w:rPr>
        <w:t xml:space="preserve"> </w:t>
      </w:r>
      <w:r>
        <w:rPr>
          <w:color w:val="231F20"/>
        </w:rPr>
        <w:t>10</w:t>
      </w:r>
      <w:r>
        <w:rPr>
          <w:color w:val="231F20"/>
          <w:spacing w:val="-9"/>
        </w:rPr>
        <w:t xml:space="preserve"> </w:t>
      </w:r>
      <w:r>
        <w:rPr>
          <w:color w:val="231F20"/>
        </w:rPr>
        <w:t>suppliers</w:t>
      </w:r>
      <w:r>
        <w:rPr>
          <w:color w:val="231F20"/>
          <w:spacing w:val="-9"/>
        </w:rPr>
        <w:t xml:space="preserve"> </w:t>
      </w:r>
      <w:r>
        <w:rPr>
          <w:color w:val="231F20"/>
        </w:rPr>
        <w:t>that</w:t>
      </w:r>
      <w:r>
        <w:rPr>
          <w:color w:val="231F20"/>
          <w:spacing w:val="-8"/>
        </w:rPr>
        <w:t xml:space="preserve"> </w:t>
      </w:r>
      <w:r>
        <w:rPr>
          <w:color w:val="231F20"/>
        </w:rPr>
        <w:t>applied</w:t>
      </w:r>
      <w:r>
        <w:rPr>
          <w:color w:val="231F20"/>
          <w:spacing w:val="-9"/>
        </w:rPr>
        <w:t xml:space="preserve"> </w:t>
      </w:r>
      <w:r>
        <w:rPr>
          <w:color w:val="231F20"/>
        </w:rPr>
        <w:t>to</w:t>
      </w:r>
      <w:r>
        <w:rPr>
          <w:color w:val="231F20"/>
          <w:spacing w:val="-10"/>
        </w:rPr>
        <w:t xml:space="preserve"> </w:t>
      </w:r>
      <w:r>
        <w:rPr>
          <w:color w:val="231F20"/>
        </w:rPr>
        <w:t>the</w:t>
      </w:r>
      <w:r>
        <w:rPr>
          <w:color w:val="231F20"/>
          <w:spacing w:val="-9"/>
        </w:rPr>
        <w:t xml:space="preserve"> </w:t>
      </w:r>
      <w:r>
        <w:rPr>
          <w:color w:val="231F20"/>
        </w:rPr>
        <w:t>Industry</w:t>
      </w:r>
      <w:r>
        <w:rPr>
          <w:color w:val="231F20"/>
          <w:spacing w:val="-9"/>
        </w:rPr>
        <w:t xml:space="preserve"> </w:t>
      </w:r>
      <w:r>
        <w:rPr>
          <w:color w:val="231F20"/>
        </w:rPr>
        <w:t>Capability</w:t>
      </w:r>
      <w:r>
        <w:rPr>
          <w:color w:val="231F20"/>
          <w:spacing w:val="-8"/>
        </w:rPr>
        <w:t xml:space="preserve"> </w:t>
      </w:r>
      <w:r>
        <w:rPr>
          <w:color w:val="231F20"/>
        </w:rPr>
        <w:t>Network</w:t>
      </w:r>
      <w:r>
        <w:rPr>
          <w:color w:val="231F20"/>
          <w:spacing w:val="-8"/>
        </w:rPr>
        <w:t xml:space="preserve"> </w:t>
      </w:r>
      <w:r>
        <w:rPr>
          <w:color w:val="231F20"/>
          <w:spacing w:val="-5"/>
        </w:rPr>
        <w:t xml:space="preserve">for </w:t>
      </w:r>
      <w:r>
        <w:rPr>
          <w:color w:val="231F20"/>
          <w:spacing w:val="-5"/>
        </w:rPr>
        <w:br/>
      </w:r>
      <w:r>
        <w:rPr>
          <w:color w:val="231F20"/>
        </w:rPr>
        <w:t>a</w:t>
      </w:r>
      <w:r>
        <w:rPr>
          <w:color w:val="231F20"/>
          <w:spacing w:val="-10"/>
        </w:rPr>
        <w:t xml:space="preserve"> </w:t>
      </w:r>
      <w:r>
        <w:rPr>
          <w:color w:val="231F20"/>
        </w:rPr>
        <w:t>Local</w:t>
      </w:r>
      <w:r>
        <w:rPr>
          <w:color w:val="231F20"/>
          <w:spacing w:val="-10"/>
        </w:rPr>
        <w:t xml:space="preserve"> </w:t>
      </w:r>
      <w:r>
        <w:rPr>
          <w:color w:val="231F20"/>
        </w:rPr>
        <w:t>Industry</w:t>
      </w:r>
      <w:r>
        <w:rPr>
          <w:color w:val="231F20"/>
          <w:spacing w:val="-9"/>
        </w:rPr>
        <w:t xml:space="preserve"> </w:t>
      </w:r>
      <w:r>
        <w:rPr>
          <w:color w:val="231F20"/>
        </w:rPr>
        <w:t>Development</w:t>
      </w:r>
      <w:r>
        <w:rPr>
          <w:color w:val="231F20"/>
          <w:spacing w:val="-9"/>
        </w:rPr>
        <w:t xml:space="preserve"> </w:t>
      </w:r>
      <w:r>
        <w:rPr>
          <w:color w:val="231F20"/>
        </w:rPr>
        <w:t>Plan</w:t>
      </w:r>
      <w:r>
        <w:rPr>
          <w:color w:val="231F20"/>
          <w:spacing w:val="-10"/>
        </w:rPr>
        <w:t xml:space="preserve"> </w:t>
      </w:r>
      <w:r>
        <w:rPr>
          <w:color w:val="231F20"/>
        </w:rPr>
        <w:t>to</w:t>
      </w:r>
      <w:r>
        <w:rPr>
          <w:color w:val="231F20"/>
          <w:spacing w:val="-10"/>
        </w:rPr>
        <w:t xml:space="preserve"> </w:t>
      </w:r>
      <w:r>
        <w:rPr>
          <w:color w:val="231F20"/>
        </w:rPr>
        <w:t>accompany</w:t>
      </w:r>
      <w:r>
        <w:rPr>
          <w:color w:val="231F20"/>
          <w:spacing w:val="-9"/>
        </w:rPr>
        <w:t xml:space="preserve"> </w:t>
      </w:r>
      <w:r>
        <w:rPr>
          <w:color w:val="231F20"/>
        </w:rPr>
        <w:t>a</w:t>
      </w:r>
      <w:r>
        <w:rPr>
          <w:color w:val="231F20"/>
          <w:spacing w:val="-10"/>
        </w:rPr>
        <w:t xml:space="preserve"> </w:t>
      </w:r>
      <w:r>
        <w:rPr>
          <w:color w:val="231F20"/>
        </w:rPr>
        <w:t>contract.</w:t>
      </w:r>
      <w:r>
        <w:rPr>
          <w:color w:val="231F20"/>
          <w:spacing w:val="-9"/>
        </w:rPr>
        <w:t xml:space="preserve"> </w:t>
      </w:r>
      <w:r>
        <w:rPr>
          <w:color w:val="231F20"/>
        </w:rPr>
        <w:t>This</w:t>
      </w:r>
      <w:r>
        <w:rPr>
          <w:color w:val="231F20"/>
          <w:spacing w:val="-9"/>
        </w:rPr>
        <w:t xml:space="preserve"> </w:t>
      </w:r>
      <w:r>
        <w:rPr>
          <w:color w:val="231F20"/>
        </w:rPr>
        <w:t>included</w:t>
      </w:r>
      <w:r>
        <w:rPr>
          <w:color w:val="231F20"/>
          <w:spacing w:val="-10"/>
        </w:rPr>
        <w:t xml:space="preserve"> </w:t>
      </w:r>
      <w:r>
        <w:rPr>
          <w:color w:val="231F20"/>
        </w:rPr>
        <w:t>employment</w:t>
      </w:r>
      <w:r>
        <w:rPr>
          <w:color w:val="231F20"/>
          <w:spacing w:val="-9"/>
        </w:rPr>
        <w:t xml:space="preserve"> </w:t>
      </w:r>
      <w:r>
        <w:rPr>
          <w:color w:val="231F20"/>
        </w:rPr>
        <w:t>and engagement of apprentices, trainees and cadets.</w:t>
      </w:r>
    </w:p>
    <w:p w14:paraId="0702D8B4" w14:textId="77777777" w:rsidR="00345EE3" w:rsidRDefault="00345EE3" w:rsidP="00345EE3">
      <w:pPr>
        <w:pStyle w:val="Heading5"/>
        <w:spacing w:before="173"/>
      </w:pPr>
      <w:r>
        <w:rPr>
          <w:color w:val="58595B"/>
        </w:rPr>
        <w:t>Reporting</w:t>
      </w:r>
      <w:r>
        <w:rPr>
          <w:color w:val="58595B"/>
          <w:spacing w:val="-8"/>
        </w:rPr>
        <w:t xml:space="preserve"> </w:t>
      </w:r>
      <w:r>
        <w:rPr>
          <w:color w:val="58595B"/>
        </w:rPr>
        <w:t>requirements</w:t>
      </w:r>
      <w:r>
        <w:rPr>
          <w:color w:val="58595B"/>
          <w:spacing w:val="-7"/>
        </w:rPr>
        <w:t xml:space="preserve"> </w:t>
      </w:r>
      <w:r>
        <w:rPr>
          <w:color w:val="58595B"/>
        </w:rPr>
        <w:t>–</w:t>
      </w:r>
      <w:r>
        <w:rPr>
          <w:color w:val="58595B"/>
          <w:spacing w:val="-7"/>
        </w:rPr>
        <w:t xml:space="preserve"> </w:t>
      </w:r>
      <w:r>
        <w:rPr>
          <w:color w:val="58595B"/>
          <w:spacing w:val="-2"/>
        </w:rPr>
        <w:t>Grants</w:t>
      </w:r>
    </w:p>
    <w:p w14:paraId="134017E8" w14:textId="77777777" w:rsidR="00345EE3" w:rsidRDefault="00345EE3" w:rsidP="00345EE3">
      <w:pPr>
        <w:pStyle w:val="BodyText"/>
        <w:spacing w:before="4"/>
      </w:pPr>
      <w:r>
        <w:rPr>
          <w:color w:val="231F20"/>
        </w:rPr>
        <w:t>Nil</w:t>
      </w:r>
      <w:r>
        <w:rPr>
          <w:color w:val="231F20"/>
          <w:spacing w:val="-6"/>
        </w:rPr>
        <w:t xml:space="preserve"> </w:t>
      </w:r>
      <w:r>
        <w:rPr>
          <w:color w:val="231F20"/>
        </w:rPr>
        <w:t>during</w:t>
      </w:r>
      <w:r>
        <w:rPr>
          <w:color w:val="231F20"/>
          <w:spacing w:val="-6"/>
        </w:rPr>
        <w:t xml:space="preserve"> </w:t>
      </w:r>
      <w:r>
        <w:rPr>
          <w:color w:val="231F20"/>
        </w:rPr>
        <w:t>this</w:t>
      </w:r>
      <w:r>
        <w:rPr>
          <w:color w:val="231F20"/>
          <w:spacing w:val="-6"/>
        </w:rPr>
        <w:t xml:space="preserve"> </w:t>
      </w:r>
      <w:r>
        <w:rPr>
          <w:color w:val="231F20"/>
        </w:rPr>
        <w:t>reporting</w:t>
      </w:r>
      <w:r>
        <w:rPr>
          <w:color w:val="231F20"/>
          <w:spacing w:val="-5"/>
        </w:rPr>
        <w:t xml:space="preserve"> </w:t>
      </w:r>
      <w:r>
        <w:rPr>
          <w:color w:val="231F20"/>
          <w:spacing w:val="-2"/>
        </w:rPr>
        <w:t>period.</w:t>
      </w:r>
    </w:p>
    <w:p w14:paraId="1CE1E0B2" w14:textId="77777777" w:rsidR="00345EE3" w:rsidRPr="00E97908" w:rsidRDefault="00345EE3" w:rsidP="00345EE3">
      <w:pPr>
        <w:pStyle w:val="Heading2"/>
        <w:spacing w:before="215"/>
        <w:rPr>
          <w:sz w:val="32"/>
          <w:szCs w:val="32"/>
        </w:rPr>
      </w:pPr>
      <w:r w:rsidRPr="00E97908">
        <w:rPr>
          <w:color w:val="00529F"/>
          <w:spacing w:val="-2"/>
          <w:sz w:val="32"/>
          <w:szCs w:val="32"/>
        </w:rPr>
        <w:t>Information</w:t>
      </w:r>
      <w:r w:rsidRPr="00E97908">
        <w:rPr>
          <w:color w:val="00529F"/>
          <w:spacing w:val="-10"/>
          <w:sz w:val="32"/>
          <w:szCs w:val="32"/>
        </w:rPr>
        <w:t xml:space="preserve"> </w:t>
      </w:r>
      <w:r w:rsidRPr="00E97908">
        <w:rPr>
          <w:color w:val="00529F"/>
          <w:spacing w:val="-2"/>
          <w:sz w:val="32"/>
          <w:szCs w:val="32"/>
        </w:rPr>
        <w:t>and</w:t>
      </w:r>
      <w:r w:rsidRPr="00E97908">
        <w:rPr>
          <w:color w:val="00529F"/>
          <w:spacing w:val="-7"/>
          <w:sz w:val="32"/>
          <w:szCs w:val="32"/>
        </w:rPr>
        <w:t xml:space="preserve"> </w:t>
      </w:r>
      <w:r w:rsidRPr="00E97908">
        <w:rPr>
          <w:color w:val="00529F"/>
          <w:spacing w:val="-2"/>
          <w:sz w:val="32"/>
          <w:szCs w:val="32"/>
        </w:rPr>
        <w:t>Communication</w:t>
      </w:r>
      <w:r w:rsidRPr="00E97908">
        <w:rPr>
          <w:color w:val="00529F"/>
          <w:spacing w:val="-7"/>
          <w:sz w:val="32"/>
          <w:szCs w:val="32"/>
        </w:rPr>
        <w:t xml:space="preserve"> </w:t>
      </w:r>
      <w:r w:rsidRPr="00E97908">
        <w:rPr>
          <w:color w:val="00529F"/>
          <w:spacing w:val="-2"/>
          <w:sz w:val="32"/>
          <w:szCs w:val="32"/>
        </w:rPr>
        <w:t>Technology</w:t>
      </w:r>
      <w:r w:rsidRPr="00E97908">
        <w:rPr>
          <w:color w:val="00529F"/>
          <w:spacing w:val="-6"/>
          <w:sz w:val="32"/>
          <w:szCs w:val="32"/>
        </w:rPr>
        <w:t xml:space="preserve"> </w:t>
      </w:r>
      <w:r w:rsidRPr="00E97908">
        <w:rPr>
          <w:color w:val="00529F"/>
          <w:spacing w:val="-2"/>
          <w:sz w:val="32"/>
          <w:szCs w:val="32"/>
        </w:rPr>
        <w:t>Expenditure</w:t>
      </w:r>
    </w:p>
    <w:p w14:paraId="2075D619" w14:textId="77777777" w:rsidR="00345EE3" w:rsidRDefault="00345EE3" w:rsidP="00345EE3">
      <w:pPr>
        <w:spacing w:before="79"/>
        <w:ind w:left="110"/>
        <w:rPr>
          <w:rFonts w:ascii="Arial-BoldItalicMT"/>
          <w:b/>
          <w:i/>
          <w:sz w:val="18"/>
        </w:rPr>
      </w:pPr>
      <w:r>
        <w:rPr>
          <w:color w:val="231F20"/>
          <w:sz w:val="18"/>
        </w:rPr>
        <w:t>Table</w:t>
      </w:r>
      <w:r>
        <w:rPr>
          <w:color w:val="231F20"/>
          <w:spacing w:val="-9"/>
          <w:sz w:val="18"/>
        </w:rPr>
        <w:t xml:space="preserve"> </w:t>
      </w:r>
      <w:r>
        <w:rPr>
          <w:color w:val="231F20"/>
          <w:sz w:val="18"/>
        </w:rPr>
        <w:t>5.1:</w:t>
      </w:r>
      <w:r>
        <w:rPr>
          <w:color w:val="231F20"/>
          <w:spacing w:val="-6"/>
          <w:sz w:val="18"/>
        </w:rPr>
        <w:t xml:space="preserve"> </w:t>
      </w:r>
      <w:r>
        <w:rPr>
          <w:rFonts w:ascii="Arial-BoldItalicMT"/>
          <w:b/>
          <w:i/>
          <w:color w:val="231F20"/>
          <w:sz w:val="18"/>
        </w:rPr>
        <w:t>Details</w:t>
      </w:r>
      <w:r>
        <w:rPr>
          <w:rFonts w:ascii="Arial-BoldItalicMT"/>
          <w:b/>
          <w:i/>
          <w:color w:val="231F20"/>
          <w:spacing w:val="-8"/>
          <w:sz w:val="18"/>
        </w:rPr>
        <w:t xml:space="preserve"> </w:t>
      </w:r>
      <w:r>
        <w:rPr>
          <w:rFonts w:ascii="Arial-BoldItalicMT"/>
          <w:b/>
          <w:i/>
          <w:color w:val="231F20"/>
          <w:sz w:val="18"/>
        </w:rPr>
        <w:t>of</w:t>
      </w:r>
      <w:r>
        <w:rPr>
          <w:rFonts w:ascii="Arial-BoldItalicMT"/>
          <w:b/>
          <w:i/>
          <w:color w:val="231F20"/>
          <w:spacing w:val="-9"/>
          <w:sz w:val="18"/>
        </w:rPr>
        <w:t xml:space="preserve"> </w:t>
      </w:r>
      <w:r>
        <w:rPr>
          <w:rFonts w:ascii="Arial-BoldItalicMT"/>
          <w:b/>
          <w:i/>
          <w:color w:val="231F20"/>
          <w:sz w:val="18"/>
        </w:rPr>
        <w:t>information</w:t>
      </w:r>
      <w:r>
        <w:rPr>
          <w:rFonts w:ascii="Arial-BoldItalicMT"/>
          <w:b/>
          <w:i/>
          <w:color w:val="231F20"/>
          <w:spacing w:val="-9"/>
          <w:sz w:val="18"/>
        </w:rPr>
        <w:t xml:space="preserve"> </w:t>
      </w:r>
      <w:r>
        <w:rPr>
          <w:rFonts w:ascii="Arial-BoldItalicMT"/>
          <w:b/>
          <w:i/>
          <w:color w:val="231F20"/>
          <w:sz w:val="18"/>
        </w:rPr>
        <w:t>and</w:t>
      </w:r>
      <w:r>
        <w:rPr>
          <w:rFonts w:ascii="Arial-BoldItalicMT"/>
          <w:b/>
          <w:i/>
          <w:color w:val="231F20"/>
          <w:spacing w:val="-8"/>
          <w:sz w:val="18"/>
        </w:rPr>
        <w:t xml:space="preserve"> </w:t>
      </w:r>
      <w:r>
        <w:rPr>
          <w:rFonts w:ascii="Arial-BoldItalicMT"/>
          <w:b/>
          <w:i/>
          <w:color w:val="231F20"/>
          <w:sz w:val="18"/>
        </w:rPr>
        <w:t>communication</w:t>
      </w:r>
      <w:r>
        <w:rPr>
          <w:rFonts w:ascii="Arial-BoldItalicMT"/>
          <w:b/>
          <w:i/>
          <w:color w:val="231F20"/>
          <w:spacing w:val="-9"/>
          <w:sz w:val="18"/>
        </w:rPr>
        <w:t xml:space="preserve"> </w:t>
      </w:r>
      <w:r>
        <w:rPr>
          <w:rFonts w:ascii="Arial-BoldItalicMT"/>
          <w:b/>
          <w:i/>
          <w:color w:val="231F20"/>
          <w:sz w:val="18"/>
        </w:rPr>
        <w:t>technology</w:t>
      </w:r>
      <w:r>
        <w:rPr>
          <w:rFonts w:ascii="Arial-BoldItalicMT"/>
          <w:b/>
          <w:i/>
          <w:color w:val="231F20"/>
          <w:spacing w:val="-9"/>
          <w:sz w:val="18"/>
        </w:rPr>
        <w:t xml:space="preserve"> </w:t>
      </w:r>
      <w:r>
        <w:rPr>
          <w:rFonts w:ascii="Arial-BoldItalicMT"/>
          <w:b/>
          <w:i/>
          <w:color w:val="231F20"/>
          <w:sz w:val="18"/>
        </w:rPr>
        <w:t>(ICT)</w:t>
      </w:r>
      <w:r>
        <w:rPr>
          <w:rFonts w:ascii="Arial-BoldItalicMT"/>
          <w:b/>
          <w:i/>
          <w:color w:val="231F20"/>
          <w:spacing w:val="-8"/>
          <w:sz w:val="18"/>
        </w:rPr>
        <w:t xml:space="preserve"> </w:t>
      </w:r>
      <w:r>
        <w:rPr>
          <w:rFonts w:ascii="Arial-BoldItalicMT"/>
          <w:b/>
          <w:i/>
          <w:color w:val="231F20"/>
          <w:spacing w:val="-2"/>
          <w:sz w:val="18"/>
        </w:rPr>
        <w:t>expenditure</w:t>
      </w:r>
    </w:p>
    <w:p w14:paraId="63A330DB" w14:textId="77777777" w:rsidR="00345EE3" w:rsidRDefault="00345EE3" w:rsidP="00345EE3">
      <w:pPr>
        <w:pStyle w:val="BodyText"/>
        <w:spacing w:before="45" w:line="242" w:lineRule="auto"/>
        <w:ind w:right="921"/>
      </w:pPr>
      <w:r>
        <w:rPr>
          <w:color w:val="231F20"/>
        </w:rPr>
        <w:t>For</w:t>
      </w:r>
      <w:r>
        <w:rPr>
          <w:color w:val="231F20"/>
          <w:spacing w:val="-9"/>
        </w:rPr>
        <w:t xml:space="preserve"> </w:t>
      </w:r>
      <w:r>
        <w:rPr>
          <w:color w:val="231F20"/>
        </w:rPr>
        <w:t>the</w:t>
      </w:r>
      <w:r>
        <w:rPr>
          <w:color w:val="231F20"/>
          <w:spacing w:val="-10"/>
        </w:rPr>
        <w:t xml:space="preserve"> </w:t>
      </w:r>
      <w:r>
        <w:rPr>
          <w:color w:val="231F20"/>
        </w:rPr>
        <w:t>2021-22</w:t>
      </w:r>
      <w:r>
        <w:rPr>
          <w:color w:val="231F20"/>
          <w:spacing w:val="-10"/>
        </w:rPr>
        <w:t xml:space="preserve"> </w:t>
      </w:r>
      <w:r>
        <w:rPr>
          <w:color w:val="231F20"/>
        </w:rPr>
        <w:t>reporting</w:t>
      </w:r>
      <w:r>
        <w:rPr>
          <w:color w:val="231F20"/>
          <w:spacing w:val="-10"/>
        </w:rPr>
        <w:t xml:space="preserve"> </w:t>
      </w:r>
      <w:r>
        <w:rPr>
          <w:color w:val="231F20"/>
        </w:rPr>
        <w:t>period,</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had</w:t>
      </w:r>
      <w:r>
        <w:rPr>
          <w:color w:val="231F20"/>
          <w:spacing w:val="-10"/>
        </w:rPr>
        <w:t xml:space="preserve"> </w:t>
      </w:r>
      <w:r>
        <w:rPr>
          <w:color w:val="231F20"/>
        </w:rPr>
        <w:t>a</w:t>
      </w:r>
      <w:r>
        <w:rPr>
          <w:color w:val="231F20"/>
          <w:spacing w:val="-10"/>
        </w:rPr>
        <w:t xml:space="preserve"> </w:t>
      </w:r>
      <w:r>
        <w:rPr>
          <w:color w:val="231F20"/>
        </w:rPr>
        <w:t>total</w:t>
      </w:r>
      <w:r>
        <w:rPr>
          <w:color w:val="231F20"/>
          <w:spacing w:val="-10"/>
        </w:rPr>
        <w:t xml:space="preserve"> </w:t>
      </w:r>
      <w:r>
        <w:rPr>
          <w:color w:val="231F20"/>
        </w:rPr>
        <w:t>ICT</w:t>
      </w:r>
      <w:r>
        <w:rPr>
          <w:color w:val="231F20"/>
          <w:spacing w:val="-9"/>
        </w:rPr>
        <w:t xml:space="preserve"> </w:t>
      </w:r>
      <w:r>
        <w:rPr>
          <w:color w:val="231F20"/>
        </w:rPr>
        <w:t>expenditure</w:t>
      </w:r>
      <w:r>
        <w:rPr>
          <w:color w:val="231F20"/>
          <w:spacing w:val="-10"/>
        </w:rPr>
        <w:t xml:space="preserve"> </w:t>
      </w:r>
      <w:r>
        <w:rPr>
          <w:color w:val="231F20"/>
        </w:rPr>
        <w:t>of</w:t>
      </w:r>
      <w:r>
        <w:rPr>
          <w:color w:val="231F20"/>
          <w:spacing w:val="-9"/>
        </w:rPr>
        <w:t xml:space="preserve"> </w:t>
      </w:r>
      <w:r>
        <w:rPr>
          <w:color w:val="231F20"/>
        </w:rPr>
        <w:t>$322.9</w:t>
      </w:r>
      <w:r>
        <w:rPr>
          <w:color w:val="231F20"/>
          <w:spacing w:val="-10"/>
        </w:rPr>
        <w:t xml:space="preserve"> </w:t>
      </w:r>
      <w:r>
        <w:rPr>
          <w:color w:val="231F20"/>
        </w:rPr>
        <w:t>million, with the details shown below.</w:t>
      </w:r>
    </w:p>
    <w:p w14:paraId="06962F1C" w14:textId="77777777" w:rsidR="00345EE3" w:rsidRDefault="00345EE3" w:rsidP="00345EE3">
      <w:pPr>
        <w:pStyle w:val="BodyText"/>
        <w:spacing w:before="7"/>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2948"/>
        <w:gridCol w:w="4422"/>
        <w:gridCol w:w="1417"/>
        <w:gridCol w:w="1417"/>
      </w:tblGrid>
      <w:tr w:rsidR="00345EE3" w14:paraId="18D4F6FB" w14:textId="77777777" w:rsidTr="00D73130">
        <w:trPr>
          <w:trHeight w:val="681"/>
        </w:trPr>
        <w:tc>
          <w:tcPr>
            <w:tcW w:w="2948" w:type="dxa"/>
            <w:shd w:val="clear" w:color="auto" w:fill="00529F"/>
          </w:tcPr>
          <w:p w14:paraId="4A99E7B7" w14:textId="77777777" w:rsidR="00345EE3" w:rsidRDefault="00345EE3" w:rsidP="00D73130">
            <w:pPr>
              <w:pStyle w:val="TableParagraph"/>
              <w:spacing w:before="63" w:line="242" w:lineRule="auto"/>
              <w:ind w:left="-1"/>
              <w:jc w:val="left"/>
              <w:rPr>
                <w:b/>
                <w:sz w:val="24"/>
              </w:rPr>
            </w:pPr>
            <w:r>
              <w:rPr>
                <w:b/>
                <w:color w:val="FFFFFF"/>
                <w:sz w:val="24"/>
              </w:rPr>
              <w:t>All</w:t>
            </w:r>
            <w:r>
              <w:rPr>
                <w:b/>
                <w:color w:val="FFFFFF"/>
                <w:spacing w:val="-17"/>
                <w:sz w:val="24"/>
              </w:rPr>
              <w:t xml:space="preserve"> </w:t>
            </w:r>
            <w:r>
              <w:rPr>
                <w:b/>
                <w:color w:val="FFFFFF"/>
                <w:sz w:val="24"/>
              </w:rPr>
              <w:t>operational</w:t>
            </w:r>
            <w:r>
              <w:rPr>
                <w:b/>
                <w:color w:val="FFFFFF"/>
                <w:spacing w:val="-17"/>
                <w:sz w:val="24"/>
              </w:rPr>
              <w:t xml:space="preserve"> </w:t>
            </w:r>
            <w:r>
              <w:rPr>
                <w:b/>
                <w:color w:val="FFFFFF"/>
                <w:sz w:val="24"/>
              </w:rPr>
              <w:t xml:space="preserve">ICT </w:t>
            </w:r>
            <w:r>
              <w:rPr>
                <w:b/>
                <w:color w:val="FFFFFF"/>
                <w:spacing w:val="-2"/>
                <w:sz w:val="24"/>
              </w:rPr>
              <w:t>expenditure</w:t>
            </w:r>
          </w:p>
        </w:tc>
        <w:tc>
          <w:tcPr>
            <w:tcW w:w="4422" w:type="dxa"/>
            <w:shd w:val="clear" w:color="auto" w:fill="00529F"/>
          </w:tcPr>
          <w:p w14:paraId="0D5B2735" w14:textId="77777777" w:rsidR="00345EE3" w:rsidRDefault="00345EE3" w:rsidP="00D73130">
            <w:pPr>
              <w:pStyle w:val="TableParagraph"/>
              <w:spacing w:before="63"/>
              <w:ind w:left="2"/>
              <w:jc w:val="left"/>
              <w:rPr>
                <w:b/>
                <w:sz w:val="24"/>
              </w:rPr>
            </w:pPr>
            <w:r>
              <w:rPr>
                <w:b/>
                <w:color w:val="FFFFFF"/>
                <w:sz w:val="24"/>
              </w:rPr>
              <w:t>ICT</w:t>
            </w:r>
            <w:r>
              <w:rPr>
                <w:b/>
                <w:color w:val="FFFFFF"/>
                <w:spacing w:val="-4"/>
                <w:sz w:val="24"/>
              </w:rPr>
              <w:t xml:space="preserve"> </w:t>
            </w:r>
            <w:r>
              <w:rPr>
                <w:b/>
                <w:color w:val="FFFFFF"/>
                <w:sz w:val="24"/>
              </w:rPr>
              <w:t>expenditure</w:t>
            </w:r>
            <w:r>
              <w:rPr>
                <w:b/>
                <w:color w:val="FFFFFF"/>
                <w:spacing w:val="-3"/>
                <w:sz w:val="24"/>
              </w:rPr>
              <w:t xml:space="preserve"> </w:t>
            </w:r>
            <w:r>
              <w:rPr>
                <w:b/>
                <w:color w:val="FFFFFF"/>
                <w:sz w:val="24"/>
              </w:rPr>
              <w:t>related</w:t>
            </w:r>
            <w:r>
              <w:rPr>
                <w:b/>
                <w:color w:val="FFFFFF"/>
                <w:spacing w:val="-3"/>
                <w:sz w:val="24"/>
              </w:rPr>
              <w:t xml:space="preserve"> </w:t>
            </w:r>
            <w:r>
              <w:rPr>
                <w:b/>
                <w:color w:val="FFFFFF"/>
                <w:sz w:val="24"/>
              </w:rPr>
              <w:t>to</w:t>
            </w:r>
            <w:r>
              <w:rPr>
                <w:b/>
                <w:color w:val="FFFFFF"/>
                <w:spacing w:val="-3"/>
                <w:sz w:val="24"/>
              </w:rPr>
              <w:t xml:space="preserve"> </w:t>
            </w:r>
            <w:r>
              <w:rPr>
                <w:b/>
                <w:color w:val="FFFFFF"/>
                <w:spacing w:val="-2"/>
                <w:sz w:val="24"/>
              </w:rPr>
              <w:t>projects</w:t>
            </w:r>
          </w:p>
        </w:tc>
        <w:tc>
          <w:tcPr>
            <w:tcW w:w="1417" w:type="dxa"/>
            <w:shd w:val="clear" w:color="auto" w:fill="00529F"/>
          </w:tcPr>
          <w:p w14:paraId="7CFBD9EB" w14:textId="77777777" w:rsidR="00345EE3" w:rsidRDefault="00345EE3" w:rsidP="00D73130">
            <w:pPr>
              <w:pStyle w:val="TableParagraph"/>
              <w:spacing w:before="0"/>
              <w:jc w:val="left"/>
              <w:rPr>
                <w:rFonts w:ascii="Times New Roman"/>
              </w:rPr>
            </w:pPr>
          </w:p>
        </w:tc>
        <w:tc>
          <w:tcPr>
            <w:tcW w:w="1417" w:type="dxa"/>
            <w:shd w:val="clear" w:color="auto" w:fill="00529F"/>
          </w:tcPr>
          <w:p w14:paraId="64E3F904" w14:textId="77777777" w:rsidR="00345EE3" w:rsidRDefault="00345EE3" w:rsidP="00D73130">
            <w:pPr>
              <w:pStyle w:val="TableParagraph"/>
              <w:spacing w:before="0"/>
              <w:jc w:val="left"/>
              <w:rPr>
                <w:rFonts w:ascii="Times New Roman"/>
              </w:rPr>
            </w:pPr>
          </w:p>
        </w:tc>
      </w:tr>
      <w:tr w:rsidR="00345EE3" w14:paraId="3796C57D" w14:textId="77777777" w:rsidTr="00D73130">
        <w:trPr>
          <w:trHeight w:val="1349"/>
        </w:trPr>
        <w:tc>
          <w:tcPr>
            <w:tcW w:w="2948" w:type="dxa"/>
            <w:tcBorders>
              <w:bottom w:val="single" w:sz="2" w:space="0" w:color="939598"/>
              <w:right w:val="single" w:sz="2" w:space="0" w:color="939598"/>
            </w:tcBorders>
          </w:tcPr>
          <w:p w14:paraId="3D13BD92" w14:textId="2D33F835" w:rsidR="00345EE3" w:rsidRDefault="00345EE3" w:rsidP="00D73130">
            <w:pPr>
              <w:pStyle w:val="TableParagraph"/>
              <w:spacing w:line="242" w:lineRule="auto"/>
              <w:ind w:left="-3"/>
              <w:jc w:val="left"/>
              <w:rPr>
                <w:b/>
                <w:sz w:val="24"/>
              </w:rPr>
            </w:pPr>
            <w:r>
              <w:rPr>
                <w:b/>
                <w:color w:val="231F20"/>
                <w:sz w:val="24"/>
              </w:rPr>
              <w:t>Business</w:t>
            </w:r>
            <w:r>
              <w:rPr>
                <w:b/>
                <w:color w:val="231F20"/>
                <w:spacing w:val="-12"/>
                <w:sz w:val="24"/>
              </w:rPr>
              <w:t xml:space="preserve"> </w:t>
            </w:r>
            <w:r>
              <w:rPr>
                <w:b/>
                <w:color w:val="231F20"/>
                <w:sz w:val="24"/>
              </w:rPr>
              <w:t>as</w:t>
            </w:r>
            <w:r>
              <w:rPr>
                <w:b/>
                <w:color w:val="231F20"/>
                <w:spacing w:val="-12"/>
                <w:sz w:val="24"/>
              </w:rPr>
              <w:t xml:space="preserve"> </w:t>
            </w:r>
            <w:r w:rsidR="00D24A56">
              <w:rPr>
                <w:b/>
                <w:color w:val="231F20"/>
                <w:sz w:val="24"/>
              </w:rPr>
              <w:t>Usual</w:t>
            </w:r>
            <w:r>
              <w:rPr>
                <w:b/>
                <w:color w:val="231F20"/>
                <w:spacing w:val="-12"/>
                <w:sz w:val="24"/>
              </w:rPr>
              <w:t xml:space="preserve"> </w:t>
            </w:r>
            <w:r>
              <w:rPr>
                <w:b/>
                <w:color w:val="231F20"/>
                <w:sz w:val="24"/>
              </w:rPr>
              <w:t>ICT Expenditure (Total)</w:t>
            </w:r>
          </w:p>
        </w:tc>
        <w:tc>
          <w:tcPr>
            <w:tcW w:w="4422" w:type="dxa"/>
            <w:tcBorders>
              <w:left w:val="single" w:sz="2" w:space="0" w:color="939598"/>
              <w:bottom w:val="single" w:sz="2" w:space="0" w:color="939598"/>
              <w:right w:val="single" w:sz="2" w:space="0" w:color="939598"/>
            </w:tcBorders>
          </w:tcPr>
          <w:p w14:paraId="395C6155" w14:textId="69C5D6FC" w:rsidR="00345EE3" w:rsidRDefault="00345EE3" w:rsidP="00D73130">
            <w:pPr>
              <w:pStyle w:val="TableParagraph"/>
              <w:jc w:val="left"/>
              <w:rPr>
                <w:b/>
                <w:sz w:val="24"/>
              </w:rPr>
            </w:pPr>
            <w:r>
              <w:rPr>
                <w:b/>
                <w:color w:val="231F20"/>
                <w:sz w:val="24"/>
              </w:rPr>
              <w:t>Non-Business</w:t>
            </w:r>
            <w:r>
              <w:rPr>
                <w:b/>
                <w:color w:val="231F20"/>
                <w:spacing w:val="-7"/>
                <w:sz w:val="24"/>
              </w:rPr>
              <w:t xml:space="preserve"> </w:t>
            </w:r>
            <w:r>
              <w:rPr>
                <w:b/>
                <w:color w:val="231F20"/>
                <w:sz w:val="24"/>
              </w:rPr>
              <w:t>as</w:t>
            </w:r>
            <w:r>
              <w:rPr>
                <w:b/>
                <w:color w:val="231F20"/>
                <w:spacing w:val="-7"/>
                <w:sz w:val="24"/>
              </w:rPr>
              <w:t xml:space="preserve"> </w:t>
            </w:r>
            <w:r w:rsidR="00D24A56">
              <w:rPr>
                <w:b/>
                <w:color w:val="231F20"/>
                <w:sz w:val="24"/>
              </w:rPr>
              <w:t>Usual</w:t>
            </w:r>
            <w:r>
              <w:rPr>
                <w:b/>
                <w:color w:val="231F20"/>
                <w:spacing w:val="-6"/>
                <w:sz w:val="24"/>
              </w:rPr>
              <w:t xml:space="preserve"> </w:t>
            </w:r>
            <w:r>
              <w:rPr>
                <w:b/>
                <w:color w:val="231F20"/>
                <w:sz w:val="24"/>
              </w:rPr>
              <w:t>(non-</w:t>
            </w:r>
            <w:r>
              <w:rPr>
                <w:b/>
                <w:color w:val="231F20"/>
                <w:spacing w:val="-4"/>
                <w:sz w:val="24"/>
              </w:rPr>
              <w:t>BAU)</w:t>
            </w:r>
          </w:p>
          <w:p w14:paraId="280EC4CF" w14:textId="77777777" w:rsidR="00345EE3" w:rsidRDefault="00345EE3" w:rsidP="00D73130">
            <w:pPr>
              <w:pStyle w:val="TableParagraph"/>
              <w:spacing w:before="61"/>
              <w:jc w:val="left"/>
              <w:rPr>
                <w:sz w:val="24"/>
              </w:rPr>
            </w:pPr>
            <w:r>
              <w:rPr>
                <w:color w:val="231F20"/>
                <w:sz w:val="24"/>
              </w:rPr>
              <w:t>ICT</w:t>
            </w:r>
            <w:r>
              <w:rPr>
                <w:color w:val="231F20"/>
                <w:spacing w:val="-5"/>
                <w:sz w:val="24"/>
              </w:rPr>
              <w:t xml:space="preserve"> </w:t>
            </w:r>
            <w:r>
              <w:rPr>
                <w:color w:val="231F20"/>
                <w:spacing w:val="-2"/>
                <w:sz w:val="24"/>
              </w:rPr>
              <w:t>expenditure</w:t>
            </w:r>
          </w:p>
          <w:p w14:paraId="59A10540" w14:textId="77777777" w:rsidR="00345EE3" w:rsidRDefault="00345EE3" w:rsidP="00D73130">
            <w:pPr>
              <w:pStyle w:val="TableParagraph"/>
              <w:spacing w:before="61" w:line="242" w:lineRule="auto"/>
              <w:jc w:val="left"/>
              <w:rPr>
                <w:b/>
                <w:sz w:val="24"/>
              </w:rPr>
            </w:pPr>
            <w:r>
              <w:rPr>
                <w:b/>
                <w:color w:val="231F20"/>
                <w:sz w:val="24"/>
              </w:rPr>
              <w:t>(Total</w:t>
            </w:r>
            <w:r>
              <w:rPr>
                <w:b/>
                <w:color w:val="231F20"/>
                <w:spacing w:val="-14"/>
                <w:sz w:val="24"/>
              </w:rPr>
              <w:t xml:space="preserve"> </w:t>
            </w:r>
            <w:r>
              <w:rPr>
                <w:b/>
                <w:color w:val="231F20"/>
                <w:sz w:val="24"/>
              </w:rPr>
              <w:t>=</w:t>
            </w:r>
            <w:r>
              <w:rPr>
                <w:b/>
                <w:color w:val="231F20"/>
                <w:spacing w:val="-14"/>
                <w:sz w:val="24"/>
              </w:rPr>
              <w:t xml:space="preserve"> </w:t>
            </w:r>
            <w:r>
              <w:rPr>
                <w:b/>
                <w:color w:val="231F20"/>
                <w:sz w:val="24"/>
              </w:rPr>
              <w:t>Operational</w:t>
            </w:r>
            <w:r>
              <w:rPr>
                <w:b/>
                <w:color w:val="231F20"/>
                <w:spacing w:val="-14"/>
                <w:sz w:val="24"/>
              </w:rPr>
              <w:t xml:space="preserve"> </w:t>
            </w:r>
            <w:r>
              <w:rPr>
                <w:b/>
                <w:color w:val="231F20"/>
                <w:sz w:val="24"/>
              </w:rPr>
              <w:t>expenditure</w:t>
            </w:r>
            <w:r>
              <w:rPr>
                <w:b/>
                <w:color w:val="231F20"/>
                <w:spacing w:val="-15"/>
                <w:sz w:val="24"/>
              </w:rPr>
              <w:t xml:space="preserve"> </w:t>
            </w:r>
            <w:r>
              <w:rPr>
                <w:b/>
                <w:color w:val="231F20"/>
                <w:sz w:val="24"/>
              </w:rPr>
              <w:t>and capital expenditure)</w:t>
            </w:r>
          </w:p>
        </w:tc>
        <w:tc>
          <w:tcPr>
            <w:tcW w:w="1417" w:type="dxa"/>
            <w:tcBorders>
              <w:left w:val="single" w:sz="2" w:space="0" w:color="939598"/>
              <w:bottom w:val="single" w:sz="2" w:space="0" w:color="939598"/>
              <w:right w:val="single" w:sz="2" w:space="0" w:color="939598"/>
            </w:tcBorders>
            <w:shd w:val="clear" w:color="auto" w:fill="E6E7E8"/>
          </w:tcPr>
          <w:p w14:paraId="1153501B" w14:textId="77777777" w:rsidR="00345EE3" w:rsidRDefault="00345EE3" w:rsidP="00D73130">
            <w:pPr>
              <w:pStyle w:val="TableParagraph"/>
              <w:spacing w:line="242" w:lineRule="auto"/>
              <w:jc w:val="left"/>
              <w:rPr>
                <w:i/>
                <w:sz w:val="24"/>
              </w:rPr>
            </w:pPr>
            <w:r>
              <w:rPr>
                <w:i/>
                <w:color w:val="231F20"/>
                <w:spacing w:val="-2"/>
                <w:sz w:val="24"/>
              </w:rPr>
              <w:t xml:space="preserve">Operational </w:t>
            </w:r>
            <w:r>
              <w:rPr>
                <w:i/>
                <w:color w:val="231F20"/>
                <w:spacing w:val="-6"/>
                <w:sz w:val="24"/>
              </w:rPr>
              <w:t>Expenditure</w:t>
            </w:r>
          </w:p>
        </w:tc>
        <w:tc>
          <w:tcPr>
            <w:tcW w:w="1417" w:type="dxa"/>
            <w:tcBorders>
              <w:left w:val="single" w:sz="2" w:space="0" w:color="939598"/>
              <w:bottom w:val="single" w:sz="2" w:space="0" w:color="939598"/>
            </w:tcBorders>
            <w:shd w:val="clear" w:color="auto" w:fill="E6E7E8"/>
          </w:tcPr>
          <w:p w14:paraId="4434C5D8" w14:textId="77777777" w:rsidR="00345EE3" w:rsidRDefault="00345EE3" w:rsidP="00D73130">
            <w:pPr>
              <w:pStyle w:val="TableParagraph"/>
              <w:spacing w:line="242" w:lineRule="auto"/>
              <w:jc w:val="left"/>
              <w:rPr>
                <w:i/>
                <w:sz w:val="24"/>
              </w:rPr>
            </w:pPr>
            <w:r>
              <w:rPr>
                <w:i/>
                <w:color w:val="231F20"/>
                <w:spacing w:val="-2"/>
                <w:sz w:val="24"/>
              </w:rPr>
              <w:t xml:space="preserve">Capital </w:t>
            </w:r>
            <w:r>
              <w:rPr>
                <w:i/>
                <w:color w:val="231F20"/>
                <w:spacing w:val="-6"/>
                <w:sz w:val="24"/>
              </w:rPr>
              <w:t>Expenditure</w:t>
            </w:r>
          </w:p>
        </w:tc>
      </w:tr>
      <w:tr w:rsidR="00345EE3" w14:paraId="061D02EB" w14:textId="77777777" w:rsidTr="00D73130">
        <w:trPr>
          <w:trHeight w:val="391"/>
        </w:trPr>
        <w:tc>
          <w:tcPr>
            <w:tcW w:w="2948" w:type="dxa"/>
            <w:tcBorders>
              <w:top w:val="single" w:sz="2" w:space="0" w:color="939598"/>
              <w:bottom w:val="single" w:sz="6" w:space="0" w:color="231F20"/>
              <w:right w:val="single" w:sz="2" w:space="0" w:color="939598"/>
            </w:tcBorders>
          </w:tcPr>
          <w:p w14:paraId="2E2313F8" w14:textId="77777777" w:rsidR="00345EE3" w:rsidRDefault="00345EE3" w:rsidP="00D73130">
            <w:pPr>
              <w:pStyle w:val="TableParagraph"/>
              <w:spacing w:before="61"/>
              <w:rPr>
                <w:sz w:val="24"/>
              </w:rPr>
            </w:pPr>
            <w:r>
              <w:rPr>
                <w:color w:val="231F20"/>
                <w:spacing w:val="-2"/>
                <w:sz w:val="24"/>
              </w:rPr>
              <w:t>306,462</w:t>
            </w:r>
          </w:p>
        </w:tc>
        <w:tc>
          <w:tcPr>
            <w:tcW w:w="4422" w:type="dxa"/>
            <w:tcBorders>
              <w:top w:val="single" w:sz="2" w:space="0" w:color="939598"/>
              <w:left w:val="single" w:sz="2" w:space="0" w:color="939598"/>
              <w:bottom w:val="single" w:sz="6" w:space="0" w:color="231F20"/>
              <w:right w:val="single" w:sz="2" w:space="0" w:color="939598"/>
            </w:tcBorders>
          </w:tcPr>
          <w:p w14:paraId="12C1D67B" w14:textId="77777777" w:rsidR="00345EE3" w:rsidRDefault="00345EE3" w:rsidP="00D73130">
            <w:pPr>
              <w:pStyle w:val="TableParagraph"/>
              <w:spacing w:before="61"/>
              <w:rPr>
                <w:sz w:val="24"/>
              </w:rPr>
            </w:pPr>
            <w:r>
              <w:rPr>
                <w:color w:val="231F20"/>
                <w:spacing w:val="-2"/>
                <w:sz w:val="24"/>
              </w:rPr>
              <w:t>16,520</w:t>
            </w:r>
          </w:p>
        </w:tc>
        <w:tc>
          <w:tcPr>
            <w:tcW w:w="1417" w:type="dxa"/>
            <w:tcBorders>
              <w:top w:val="single" w:sz="2" w:space="0" w:color="939598"/>
              <w:left w:val="single" w:sz="2" w:space="0" w:color="939598"/>
              <w:bottom w:val="single" w:sz="6" w:space="0" w:color="231F20"/>
              <w:right w:val="single" w:sz="2" w:space="0" w:color="939598"/>
            </w:tcBorders>
          </w:tcPr>
          <w:p w14:paraId="314DE7CE" w14:textId="77777777" w:rsidR="00345EE3" w:rsidRDefault="00345EE3" w:rsidP="00D73130">
            <w:pPr>
              <w:pStyle w:val="TableParagraph"/>
              <w:spacing w:before="61"/>
              <w:ind w:left="671"/>
              <w:jc w:val="left"/>
              <w:rPr>
                <w:sz w:val="24"/>
              </w:rPr>
            </w:pPr>
            <w:r>
              <w:rPr>
                <w:color w:val="231F20"/>
                <w:spacing w:val="-2"/>
                <w:sz w:val="24"/>
              </w:rPr>
              <w:t>11,118</w:t>
            </w:r>
          </w:p>
        </w:tc>
        <w:tc>
          <w:tcPr>
            <w:tcW w:w="1417" w:type="dxa"/>
            <w:tcBorders>
              <w:top w:val="single" w:sz="2" w:space="0" w:color="939598"/>
              <w:left w:val="single" w:sz="2" w:space="0" w:color="939598"/>
              <w:bottom w:val="single" w:sz="6" w:space="0" w:color="231F20"/>
            </w:tcBorders>
          </w:tcPr>
          <w:p w14:paraId="14C28961" w14:textId="77777777" w:rsidR="00345EE3" w:rsidRDefault="00345EE3" w:rsidP="00D73130">
            <w:pPr>
              <w:pStyle w:val="TableParagraph"/>
              <w:spacing w:before="61"/>
              <w:ind w:left="767"/>
              <w:jc w:val="left"/>
              <w:rPr>
                <w:sz w:val="24"/>
              </w:rPr>
            </w:pPr>
            <w:r>
              <w:rPr>
                <w:color w:val="231F20"/>
                <w:spacing w:val="-2"/>
                <w:sz w:val="24"/>
              </w:rPr>
              <w:t>5,402</w:t>
            </w:r>
          </w:p>
        </w:tc>
      </w:tr>
    </w:tbl>
    <w:p w14:paraId="22059916" w14:textId="77777777" w:rsidR="00345EE3" w:rsidRDefault="00345EE3" w:rsidP="00345EE3">
      <w:pPr>
        <w:pStyle w:val="BodyText"/>
        <w:spacing w:before="98" w:line="242" w:lineRule="auto"/>
        <w:ind w:right="921"/>
      </w:pPr>
      <w:r>
        <w:rPr>
          <w:color w:val="231F20"/>
        </w:rPr>
        <w:t>ICT</w:t>
      </w:r>
      <w:r>
        <w:rPr>
          <w:color w:val="231F20"/>
          <w:spacing w:val="-9"/>
        </w:rPr>
        <w:t xml:space="preserve"> </w:t>
      </w:r>
      <w:r>
        <w:rPr>
          <w:color w:val="231F20"/>
        </w:rPr>
        <w:t>expenditure</w:t>
      </w:r>
      <w:r>
        <w:rPr>
          <w:color w:val="231F20"/>
          <w:spacing w:val="-10"/>
        </w:rPr>
        <w:t xml:space="preserve"> </w:t>
      </w:r>
      <w:r>
        <w:rPr>
          <w:color w:val="231F20"/>
        </w:rPr>
        <w:t>refers</w:t>
      </w:r>
      <w:r>
        <w:rPr>
          <w:color w:val="231F20"/>
          <w:spacing w:val="-9"/>
        </w:rPr>
        <w:t xml:space="preserve"> </w:t>
      </w:r>
      <w:r>
        <w:rPr>
          <w:color w:val="231F20"/>
        </w:rPr>
        <w:t>to</w:t>
      </w:r>
      <w:r>
        <w:rPr>
          <w:color w:val="231F20"/>
          <w:spacing w:val="-10"/>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cost</w:t>
      </w:r>
      <w:r>
        <w:rPr>
          <w:color w:val="231F20"/>
          <w:spacing w:val="-9"/>
        </w:rPr>
        <w:t xml:space="preserve"> </w:t>
      </w:r>
      <w:r>
        <w:rPr>
          <w:color w:val="231F20"/>
        </w:rPr>
        <w:t>in</w:t>
      </w:r>
      <w:r>
        <w:rPr>
          <w:color w:val="231F20"/>
          <w:spacing w:val="-10"/>
        </w:rPr>
        <w:t xml:space="preserve"> </w:t>
      </w:r>
      <w:r>
        <w:rPr>
          <w:color w:val="231F20"/>
        </w:rPr>
        <w:t>providing</w:t>
      </w:r>
      <w:r>
        <w:rPr>
          <w:color w:val="231F20"/>
          <w:spacing w:val="-10"/>
        </w:rPr>
        <w:t xml:space="preserve"> </w:t>
      </w:r>
      <w:r>
        <w:rPr>
          <w:color w:val="231F20"/>
        </w:rPr>
        <w:t>business</w:t>
      </w:r>
      <w:r>
        <w:rPr>
          <w:color w:val="231F20"/>
          <w:spacing w:val="-9"/>
        </w:rPr>
        <w:t xml:space="preserve"> </w:t>
      </w:r>
      <w:r>
        <w:rPr>
          <w:color w:val="231F20"/>
        </w:rPr>
        <w:t>enabling</w:t>
      </w:r>
      <w:r>
        <w:rPr>
          <w:color w:val="231F20"/>
          <w:spacing w:val="-10"/>
        </w:rPr>
        <w:t xml:space="preserve"> </w:t>
      </w:r>
      <w:r>
        <w:rPr>
          <w:color w:val="231F20"/>
        </w:rPr>
        <w:t>ICT</w:t>
      </w:r>
      <w:r>
        <w:rPr>
          <w:color w:val="231F20"/>
          <w:spacing w:val="-9"/>
        </w:rPr>
        <w:t xml:space="preserve"> </w:t>
      </w:r>
      <w:r>
        <w:rPr>
          <w:color w:val="231F20"/>
        </w:rPr>
        <w:t>services</w:t>
      </w:r>
      <w:r>
        <w:rPr>
          <w:color w:val="231F20"/>
          <w:spacing w:val="-9"/>
        </w:rPr>
        <w:t xml:space="preserve"> </w:t>
      </w:r>
      <w:r>
        <w:rPr>
          <w:color w:val="231F20"/>
        </w:rPr>
        <w:t>within the current reporting period. It comprises Business as Usual (BAU) ICT expenditure and Non- Business as Usual (Non-BAU) ICT expenditure.</w:t>
      </w:r>
    </w:p>
    <w:p w14:paraId="4BCE9ECF" w14:textId="4A751935" w:rsidR="00345EE3" w:rsidRDefault="00345EE3" w:rsidP="00345EE3">
      <w:pPr>
        <w:pStyle w:val="BodyText"/>
        <w:spacing w:before="117" w:line="242" w:lineRule="auto"/>
        <w:ind w:right="921"/>
      </w:pPr>
      <w:r>
        <w:rPr>
          <w:color w:val="231F20"/>
        </w:rPr>
        <w:t>Non-BAU ICT expenditure relates to extending or enhancing Victoria Police current ICT capabilities.</w:t>
      </w:r>
      <w:r>
        <w:rPr>
          <w:color w:val="231F20"/>
          <w:spacing w:val="-12"/>
        </w:rPr>
        <w:t xml:space="preserve"> </w:t>
      </w:r>
      <w:r>
        <w:rPr>
          <w:color w:val="231F20"/>
        </w:rPr>
        <w:t>BAU</w:t>
      </w:r>
      <w:r>
        <w:rPr>
          <w:color w:val="231F20"/>
          <w:spacing w:val="-13"/>
        </w:rPr>
        <w:t xml:space="preserve"> </w:t>
      </w:r>
      <w:r>
        <w:rPr>
          <w:color w:val="231F20"/>
        </w:rPr>
        <w:t>ICT</w:t>
      </w:r>
      <w:r>
        <w:rPr>
          <w:color w:val="231F20"/>
          <w:spacing w:val="-12"/>
        </w:rPr>
        <w:t xml:space="preserve"> </w:t>
      </w:r>
      <w:r>
        <w:rPr>
          <w:color w:val="231F20"/>
        </w:rPr>
        <w:t>expenditure</w:t>
      </w:r>
      <w:r>
        <w:rPr>
          <w:color w:val="231F20"/>
          <w:spacing w:val="-13"/>
        </w:rPr>
        <w:t xml:space="preserve"> </w:t>
      </w:r>
      <w:r>
        <w:rPr>
          <w:color w:val="231F20"/>
        </w:rPr>
        <w:t>is</w:t>
      </w:r>
      <w:r>
        <w:rPr>
          <w:color w:val="231F20"/>
          <w:spacing w:val="-12"/>
        </w:rPr>
        <w:t xml:space="preserve"> </w:t>
      </w:r>
      <w:r>
        <w:rPr>
          <w:color w:val="231F20"/>
        </w:rPr>
        <w:t>all</w:t>
      </w:r>
      <w:r>
        <w:rPr>
          <w:color w:val="231F20"/>
          <w:spacing w:val="-13"/>
        </w:rPr>
        <w:t xml:space="preserve"> </w:t>
      </w:r>
      <w:r>
        <w:rPr>
          <w:color w:val="231F20"/>
        </w:rPr>
        <w:t>remaining</w:t>
      </w:r>
      <w:r>
        <w:rPr>
          <w:color w:val="231F20"/>
          <w:spacing w:val="-13"/>
        </w:rPr>
        <w:t xml:space="preserve"> </w:t>
      </w:r>
      <w:r>
        <w:rPr>
          <w:color w:val="231F20"/>
        </w:rPr>
        <w:t>ICT</w:t>
      </w:r>
      <w:r>
        <w:rPr>
          <w:color w:val="231F20"/>
          <w:spacing w:val="-12"/>
        </w:rPr>
        <w:t xml:space="preserve"> </w:t>
      </w:r>
      <w:r>
        <w:rPr>
          <w:color w:val="231F20"/>
        </w:rPr>
        <w:t>expenditure</w:t>
      </w:r>
      <w:r>
        <w:rPr>
          <w:color w:val="231F20"/>
          <w:spacing w:val="-13"/>
        </w:rPr>
        <w:t xml:space="preserve"> </w:t>
      </w:r>
      <w:r>
        <w:rPr>
          <w:color w:val="231F20"/>
        </w:rPr>
        <w:t>that</w:t>
      </w:r>
      <w:r>
        <w:rPr>
          <w:color w:val="231F20"/>
          <w:spacing w:val="-12"/>
        </w:rPr>
        <w:t xml:space="preserve"> </w:t>
      </w:r>
      <w:r>
        <w:rPr>
          <w:color w:val="231F20"/>
        </w:rPr>
        <w:t>primarily</w:t>
      </w:r>
      <w:r>
        <w:rPr>
          <w:color w:val="231F20"/>
          <w:spacing w:val="-12"/>
        </w:rPr>
        <w:t xml:space="preserve"> </w:t>
      </w:r>
      <w:r>
        <w:rPr>
          <w:color w:val="231F20"/>
        </w:rPr>
        <w:t>relates</w:t>
      </w:r>
      <w:r>
        <w:rPr>
          <w:color w:val="231F20"/>
          <w:spacing w:val="-12"/>
        </w:rPr>
        <w:t xml:space="preserve"> </w:t>
      </w:r>
      <w:r>
        <w:rPr>
          <w:color w:val="231F20"/>
        </w:rPr>
        <w:t xml:space="preserve">to ongoing activities to operate and maintain the current ICT </w:t>
      </w:r>
      <w:r w:rsidR="00D24A56">
        <w:rPr>
          <w:color w:val="231F20"/>
        </w:rPr>
        <w:t>capability</w:t>
      </w:r>
      <w:r>
        <w:rPr>
          <w:color w:val="231F20"/>
        </w:rPr>
        <w:t>.</w:t>
      </w:r>
    </w:p>
    <w:p w14:paraId="50AF3F6B" w14:textId="77777777" w:rsidR="00345EE3" w:rsidRDefault="00345EE3" w:rsidP="00345EE3">
      <w:pPr>
        <w:rPr>
          <w:color w:val="00529F"/>
          <w:spacing w:val="-2"/>
          <w:sz w:val="32"/>
          <w:szCs w:val="32"/>
        </w:rPr>
        <w:sectPr w:rsidR="00345EE3">
          <w:pgSz w:w="11910" w:h="16840"/>
          <w:pgMar w:top="720" w:right="0" w:bottom="280" w:left="740" w:header="720" w:footer="720" w:gutter="0"/>
          <w:cols w:space="720"/>
        </w:sectPr>
      </w:pPr>
    </w:p>
    <w:p w14:paraId="6E20CC00" w14:textId="77777777" w:rsidR="00345EE3" w:rsidRPr="00E97908" w:rsidRDefault="00345EE3" w:rsidP="00345EE3">
      <w:pPr>
        <w:pStyle w:val="Heading2"/>
        <w:spacing w:before="215"/>
        <w:rPr>
          <w:sz w:val="32"/>
          <w:szCs w:val="32"/>
        </w:rPr>
      </w:pPr>
      <w:r w:rsidRPr="00E97908">
        <w:rPr>
          <w:color w:val="00529F"/>
          <w:spacing w:val="-2"/>
          <w:sz w:val="32"/>
          <w:szCs w:val="32"/>
        </w:rPr>
        <w:t>Government</w:t>
      </w:r>
      <w:r w:rsidRPr="00E97908">
        <w:rPr>
          <w:color w:val="00529F"/>
          <w:spacing w:val="-6"/>
          <w:sz w:val="32"/>
          <w:szCs w:val="32"/>
        </w:rPr>
        <w:t xml:space="preserve"> </w:t>
      </w:r>
      <w:r w:rsidRPr="00E97908">
        <w:rPr>
          <w:color w:val="00529F"/>
          <w:spacing w:val="-2"/>
          <w:sz w:val="32"/>
          <w:szCs w:val="32"/>
        </w:rPr>
        <w:t>Advertising</w:t>
      </w:r>
      <w:r w:rsidRPr="00E97908">
        <w:rPr>
          <w:color w:val="00529F"/>
          <w:spacing w:val="-3"/>
          <w:sz w:val="32"/>
          <w:szCs w:val="32"/>
        </w:rPr>
        <w:t xml:space="preserve"> </w:t>
      </w:r>
      <w:r w:rsidRPr="00E97908">
        <w:rPr>
          <w:color w:val="00529F"/>
          <w:spacing w:val="-2"/>
          <w:sz w:val="32"/>
          <w:szCs w:val="32"/>
        </w:rPr>
        <w:t>Expenditure</w:t>
      </w:r>
    </w:p>
    <w:p w14:paraId="7B3F1DEC" w14:textId="77777777" w:rsidR="00345EE3" w:rsidRDefault="00345EE3" w:rsidP="00345EE3">
      <w:pPr>
        <w:spacing w:before="78" w:after="120"/>
        <w:ind w:left="110"/>
        <w:rPr>
          <w:rFonts w:ascii="Arial-BoldItalicMT"/>
          <w:b/>
          <w:i/>
          <w:color w:val="231F20"/>
          <w:spacing w:val="-2"/>
          <w:sz w:val="18"/>
        </w:rPr>
      </w:pPr>
      <w:r>
        <w:rPr>
          <w:color w:val="231F20"/>
          <w:sz w:val="18"/>
        </w:rPr>
        <w:t>Table</w:t>
      </w:r>
      <w:r>
        <w:rPr>
          <w:color w:val="231F20"/>
          <w:spacing w:val="-6"/>
          <w:sz w:val="18"/>
        </w:rPr>
        <w:t xml:space="preserve"> </w:t>
      </w:r>
      <w:r>
        <w:rPr>
          <w:color w:val="231F20"/>
          <w:sz w:val="18"/>
        </w:rPr>
        <w:t>5.2:</w:t>
      </w:r>
      <w:r>
        <w:rPr>
          <w:color w:val="231F20"/>
          <w:spacing w:val="-6"/>
          <w:sz w:val="18"/>
        </w:rPr>
        <w:t xml:space="preserve"> </w:t>
      </w:r>
      <w:r>
        <w:rPr>
          <w:rFonts w:ascii="Arial-BoldItalicMT"/>
          <w:b/>
          <w:i/>
          <w:color w:val="231F20"/>
          <w:sz w:val="18"/>
        </w:rPr>
        <w:t>Details</w:t>
      </w:r>
      <w:r>
        <w:rPr>
          <w:rFonts w:ascii="Arial-BoldItalicMT"/>
          <w:b/>
          <w:i/>
          <w:color w:val="231F20"/>
          <w:spacing w:val="-9"/>
          <w:sz w:val="18"/>
        </w:rPr>
        <w:t xml:space="preserve"> </w:t>
      </w:r>
      <w:r>
        <w:rPr>
          <w:rFonts w:ascii="Arial-BoldItalicMT"/>
          <w:b/>
          <w:i/>
          <w:color w:val="231F20"/>
          <w:sz w:val="18"/>
        </w:rPr>
        <w:t>of</w:t>
      </w:r>
      <w:r>
        <w:rPr>
          <w:rFonts w:ascii="Arial-BoldItalicMT"/>
          <w:b/>
          <w:i/>
          <w:color w:val="231F20"/>
          <w:spacing w:val="-9"/>
          <w:sz w:val="18"/>
        </w:rPr>
        <w:t xml:space="preserve"> </w:t>
      </w:r>
      <w:r>
        <w:rPr>
          <w:rFonts w:ascii="Arial-BoldItalicMT"/>
          <w:b/>
          <w:i/>
          <w:color w:val="231F20"/>
          <w:sz w:val="18"/>
        </w:rPr>
        <w:t>Victoria</w:t>
      </w:r>
      <w:r>
        <w:rPr>
          <w:rFonts w:ascii="Arial-BoldItalicMT"/>
          <w:b/>
          <w:i/>
          <w:color w:val="231F20"/>
          <w:spacing w:val="-8"/>
          <w:sz w:val="18"/>
        </w:rPr>
        <w:t xml:space="preserve"> </w:t>
      </w:r>
      <w:r>
        <w:rPr>
          <w:rFonts w:ascii="Arial-BoldItalicMT"/>
          <w:b/>
          <w:i/>
          <w:color w:val="231F20"/>
          <w:sz w:val="18"/>
        </w:rPr>
        <w:t>Police</w:t>
      </w:r>
      <w:r>
        <w:rPr>
          <w:rFonts w:ascii="Arial-BoldItalicMT"/>
          <w:b/>
          <w:i/>
          <w:color w:val="231F20"/>
          <w:spacing w:val="-9"/>
          <w:sz w:val="18"/>
        </w:rPr>
        <w:t xml:space="preserve"> </w:t>
      </w:r>
      <w:r>
        <w:rPr>
          <w:rFonts w:ascii="Arial-BoldItalicMT"/>
          <w:b/>
          <w:i/>
          <w:color w:val="231F20"/>
          <w:sz w:val="18"/>
        </w:rPr>
        <w:t>Advertising</w:t>
      </w:r>
      <w:r>
        <w:rPr>
          <w:rFonts w:ascii="Arial-BoldItalicMT"/>
          <w:b/>
          <w:i/>
          <w:color w:val="231F20"/>
          <w:spacing w:val="-8"/>
          <w:sz w:val="18"/>
        </w:rPr>
        <w:t xml:space="preserve"> </w:t>
      </w:r>
      <w:r>
        <w:rPr>
          <w:rFonts w:ascii="Arial-BoldItalicMT"/>
          <w:b/>
          <w:i/>
          <w:color w:val="231F20"/>
          <w:spacing w:val="-2"/>
          <w:sz w:val="18"/>
        </w:rPr>
        <w:t>Expenditure</w:t>
      </w:r>
    </w:p>
    <w:tbl>
      <w:tblPr>
        <w:tblW w:w="12359" w:type="dxa"/>
        <w:tblInd w:w="-8" w:type="dxa"/>
        <w:tblLayout w:type="fixed"/>
        <w:tblCellMar>
          <w:left w:w="0" w:type="dxa"/>
          <w:right w:w="0" w:type="dxa"/>
        </w:tblCellMar>
        <w:tblLook w:val="0000" w:firstRow="0" w:lastRow="0" w:firstColumn="0" w:lastColumn="0" w:noHBand="0" w:noVBand="0"/>
      </w:tblPr>
      <w:tblGrid>
        <w:gridCol w:w="1361"/>
        <w:gridCol w:w="1644"/>
        <w:gridCol w:w="1190"/>
        <w:gridCol w:w="1361"/>
        <w:gridCol w:w="1531"/>
        <w:gridCol w:w="1304"/>
        <w:gridCol w:w="1303"/>
        <w:gridCol w:w="1304"/>
        <w:gridCol w:w="1361"/>
      </w:tblGrid>
      <w:tr w:rsidR="00345EE3" w:rsidRPr="00FB2BBE" w14:paraId="29595901" w14:textId="77777777" w:rsidTr="00E97908">
        <w:trPr>
          <w:trHeight w:val="60"/>
          <w:tblHeader/>
        </w:trPr>
        <w:tc>
          <w:tcPr>
            <w:tcW w:w="12359" w:type="dxa"/>
            <w:gridSpan w:val="9"/>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3F6BE5BD" w14:textId="77777777" w:rsidR="00345EE3" w:rsidRPr="00FB2BBE"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FB2BBE">
              <w:rPr>
                <w:rFonts w:eastAsiaTheme="minorHAnsi"/>
                <w:b/>
                <w:bCs/>
                <w:color w:val="FFFFFF"/>
                <w:sz w:val="24"/>
                <w:szCs w:val="24"/>
                <w:lang w:val="en-GB"/>
              </w:rPr>
              <w:t>2021-22</w:t>
            </w:r>
          </w:p>
        </w:tc>
      </w:tr>
      <w:tr w:rsidR="00345EE3" w:rsidRPr="00FB2BBE" w14:paraId="7A0527D6" w14:textId="77777777" w:rsidTr="00E97908">
        <w:trPr>
          <w:trHeight w:val="60"/>
          <w:tblHeader/>
        </w:trPr>
        <w:tc>
          <w:tcPr>
            <w:tcW w:w="1361"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63B850EE" w14:textId="77777777" w:rsidR="00345EE3" w:rsidRPr="00FB2BB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B2BBE">
              <w:rPr>
                <w:rFonts w:eastAsiaTheme="minorHAnsi"/>
                <w:b/>
                <w:bCs/>
                <w:color w:val="FFFFFF"/>
                <w:lang w:val="en-GB"/>
              </w:rPr>
              <w:t>Name of campaign</w:t>
            </w:r>
          </w:p>
        </w:tc>
        <w:tc>
          <w:tcPr>
            <w:tcW w:w="164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105A4EF" w14:textId="77777777" w:rsidR="00345EE3" w:rsidRPr="00FB2BB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B2BBE">
              <w:rPr>
                <w:rFonts w:eastAsiaTheme="minorHAnsi"/>
                <w:b/>
                <w:bCs/>
                <w:color w:val="FFFFFF"/>
                <w:lang w:val="en-GB"/>
              </w:rPr>
              <w:t>Campaign Summary</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09542EF"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B2BBE">
              <w:rPr>
                <w:rFonts w:eastAsiaTheme="minorHAnsi"/>
                <w:b/>
                <w:bCs/>
                <w:color w:val="FFFFFF"/>
                <w:spacing w:val="-2"/>
                <w:lang w:val="en-GB"/>
              </w:rPr>
              <w:t>Start/end date</w:t>
            </w:r>
          </w:p>
        </w:tc>
        <w:tc>
          <w:tcPr>
            <w:tcW w:w="136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935AA0F"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B2BBE">
              <w:rPr>
                <w:rFonts w:eastAsiaTheme="minorHAnsi"/>
                <w:b/>
                <w:bCs/>
                <w:color w:val="FFFFFF"/>
                <w:spacing w:val="-2"/>
                <w:lang w:val="en-GB"/>
              </w:rPr>
              <w:t>Advertising (media) expenditure (excl. GST)</w:t>
            </w:r>
          </w:p>
        </w:tc>
        <w:tc>
          <w:tcPr>
            <w:tcW w:w="153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AC9D61E" w14:textId="17EF2CDA"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B2BBE">
              <w:rPr>
                <w:rFonts w:eastAsiaTheme="minorHAnsi"/>
                <w:b/>
                <w:bCs/>
                <w:color w:val="FFFFFF"/>
                <w:spacing w:val="-2"/>
                <w:lang w:val="en-GB"/>
              </w:rPr>
              <w:t xml:space="preserve">Creative and campaign development </w:t>
            </w:r>
            <w:r w:rsidR="00D24A56" w:rsidRPr="00FB2BBE">
              <w:rPr>
                <w:rFonts w:eastAsiaTheme="minorHAnsi"/>
                <w:b/>
                <w:bCs/>
                <w:color w:val="FFFFFF"/>
                <w:spacing w:val="-2"/>
                <w:lang w:val="en-GB"/>
              </w:rPr>
              <w:t>expenditure</w:t>
            </w:r>
            <w:r w:rsidRPr="00FB2BBE">
              <w:rPr>
                <w:rFonts w:eastAsiaTheme="minorHAnsi"/>
                <w:b/>
                <w:bCs/>
                <w:color w:val="FFFFFF"/>
                <w:spacing w:val="-2"/>
                <w:lang w:val="en-GB"/>
              </w:rPr>
              <w:t xml:space="preserve"> (excl. GST)</w:t>
            </w:r>
          </w:p>
        </w:tc>
        <w:tc>
          <w:tcPr>
            <w:tcW w:w="130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C28207B"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B2BBE">
              <w:rPr>
                <w:rFonts w:eastAsiaTheme="minorHAnsi"/>
                <w:b/>
                <w:bCs/>
                <w:color w:val="FFFFFF"/>
                <w:spacing w:val="-2"/>
                <w:lang w:val="en-GB"/>
              </w:rPr>
              <w:t>Research and evaluation expenditure (excl. GST)</w:t>
            </w:r>
          </w:p>
        </w:tc>
        <w:tc>
          <w:tcPr>
            <w:tcW w:w="1303"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A72D184"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B2BBE">
              <w:rPr>
                <w:rFonts w:eastAsiaTheme="minorHAnsi"/>
                <w:b/>
                <w:bCs/>
                <w:color w:val="FFFFFF"/>
                <w:spacing w:val="-2"/>
                <w:lang w:val="en-GB"/>
              </w:rPr>
              <w:t>Print and collateral expenditure (excl. GST)</w:t>
            </w:r>
          </w:p>
        </w:tc>
        <w:tc>
          <w:tcPr>
            <w:tcW w:w="130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1DCB60F" w14:textId="6906683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B2BBE">
              <w:rPr>
                <w:rFonts w:eastAsiaTheme="minorHAnsi"/>
                <w:b/>
                <w:bCs/>
                <w:color w:val="FFFFFF"/>
                <w:spacing w:val="-2"/>
                <w:lang w:val="en-GB"/>
              </w:rPr>
              <w:t xml:space="preserve">Other campaign </w:t>
            </w:r>
            <w:r w:rsidR="00D24A56" w:rsidRPr="00FB2BBE">
              <w:rPr>
                <w:rFonts w:eastAsiaTheme="minorHAnsi"/>
                <w:b/>
                <w:bCs/>
                <w:color w:val="FFFFFF"/>
                <w:spacing w:val="-2"/>
                <w:lang w:val="en-GB"/>
              </w:rPr>
              <w:t>expenditure</w:t>
            </w:r>
            <w:r w:rsidRPr="00FB2BBE">
              <w:rPr>
                <w:rFonts w:eastAsiaTheme="minorHAnsi"/>
                <w:b/>
                <w:bCs/>
                <w:color w:val="FFFFFF"/>
                <w:spacing w:val="-2"/>
                <w:lang w:val="en-GB"/>
              </w:rPr>
              <w:t xml:space="preserve"> (excl. GST)</w:t>
            </w:r>
          </w:p>
        </w:tc>
        <w:tc>
          <w:tcPr>
            <w:tcW w:w="136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B410FBA"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B2BBE">
              <w:rPr>
                <w:rFonts w:eastAsiaTheme="minorHAnsi"/>
                <w:b/>
                <w:bCs/>
                <w:color w:val="FFFFFF"/>
                <w:spacing w:val="-2"/>
                <w:lang w:val="en-GB"/>
              </w:rPr>
              <w:t>Total</w:t>
            </w:r>
          </w:p>
        </w:tc>
      </w:tr>
      <w:tr w:rsidR="00345EE3" w:rsidRPr="00FB2BBE" w14:paraId="7904642C" w14:textId="77777777" w:rsidTr="00E97908">
        <w:trPr>
          <w:trHeight w:val="60"/>
        </w:trPr>
        <w:tc>
          <w:tcPr>
            <w:tcW w:w="136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2D631B5" w14:textId="5E3A1400" w:rsidR="00345EE3" w:rsidRPr="00FB2BB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B2BBE">
              <w:rPr>
                <w:rFonts w:eastAsiaTheme="minorHAnsi"/>
                <w:color w:val="000000"/>
                <w:sz w:val="24"/>
                <w:szCs w:val="24"/>
                <w:lang w:val="en-GB"/>
              </w:rPr>
              <w:t xml:space="preserve">Police </w:t>
            </w:r>
            <w:r w:rsidR="00D24A56" w:rsidRPr="00FB2BBE">
              <w:rPr>
                <w:rFonts w:eastAsiaTheme="minorHAnsi"/>
                <w:color w:val="000000"/>
                <w:sz w:val="24"/>
                <w:szCs w:val="24"/>
                <w:lang w:val="en-GB"/>
              </w:rPr>
              <w:t>Recruitment</w:t>
            </w:r>
          </w:p>
        </w:tc>
        <w:tc>
          <w:tcPr>
            <w:tcW w:w="164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E3DB50F" w14:textId="77777777" w:rsidR="00345EE3" w:rsidRPr="00FB2BB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B2BBE">
              <w:rPr>
                <w:rFonts w:eastAsiaTheme="minorHAnsi"/>
                <w:color w:val="000000"/>
                <w:sz w:val="24"/>
                <w:szCs w:val="24"/>
                <w:lang w:val="en-GB"/>
              </w:rPr>
              <w:t>Advertising, communication and marketing activities for the recruitment of police.</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057E528"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1 July 2021– 30 June 2022</w:t>
            </w:r>
          </w:p>
        </w:tc>
        <w:tc>
          <w:tcPr>
            <w:tcW w:w="136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6FEE7CD"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$300,000 </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0F8D20"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$110,000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A5CAD5"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$138,000 </w:t>
            </w:r>
          </w:p>
        </w:tc>
        <w:tc>
          <w:tcPr>
            <w:tcW w:w="13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2632EC9"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06B3F5"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$64,000 </w:t>
            </w:r>
          </w:p>
        </w:tc>
        <w:tc>
          <w:tcPr>
            <w:tcW w:w="136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3276CD"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$612,000 </w:t>
            </w:r>
          </w:p>
        </w:tc>
      </w:tr>
      <w:tr w:rsidR="00345EE3" w:rsidRPr="00FB2BBE" w14:paraId="4A5F48DB" w14:textId="77777777" w:rsidTr="00E97908">
        <w:trPr>
          <w:trHeight w:val="60"/>
        </w:trPr>
        <w:tc>
          <w:tcPr>
            <w:tcW w:w="136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883D3B0" w14:textId="77777777" w:rsidR="00345EE3" w:rsidRPr="00FB2BB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B2BBE">
              <w:rPr>
                <w:rFonts w:eastAsiaTheme="minorHAnsi"/>
                <w:color w:val="000000"/>
                <w:sz w:val="24"/>
                <w:szCs w:val="24"/>
                <w:lang w:val="en-GB"/>
              </w:rPr>
              <w:t xml:space="preserve">Police Assistance Line and </w:t>
            </w:r>
            <w:r w:rsidRPr="00FB2BBE">
              <w:rPr>
                <w:rFonts w:eastAsiaTheme="minorHAnsi"/>
                <w:color w:val="000000"/>
                <w:sz w:val="24"/>
                <w:szCs w:val="24"/>
                <w:lang w:val="en-GB"/>
              </w:rPr>
              <w:br/>
              <w:t xml:space="preserve">Online Reporting </w:t>
            </w:r>
            <w:r w:rsidRPr="00FB2BBE">
              <w:rPr>
                <w:rFonts w:eastAsiaTheme="minorHAnsi"/>
                <w:color w:val="000000"/>
                <w:sz w:val="24"/>
                <w:szCs w:val="24"/>
                <w:lang w:val="en-GB"/>
              </w:rPr>
              <w:br/>
              <w:t>(PAL and OLR)</w:t>
            </w:r>
          </w:p>
        </w:tc>
        <w:tc>
          <w:tcPr>
            <w:tcW w:w="164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45CC966" w14:textId="20E421D6" w:rsidR="00345EE3" w:rsidRPr="00FB2BB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B2BBE">
              <w:rPr>
                <w:rFonts w:eastAsiaTheme="minorHAnsi"/>
                <w:color w:val="000000"/>
                <w:sz w:val="24"/>
                <w:szCs w:val="24"/>
                <w:lang w:val="en-GB"/>
              </w:rPr>
              <w:t xml:space="preserve">Advertising communication and marketing </w:t>
            </w:r>
            <w:r w:rsidR="00D24A56" w:rsidRPr="00FB2BBE">
              <w:rPr>
                <w:rFonts w:eastAsiaTheme="minorHAnsi"/>
                <w:color w:val="000000"/>
                <w:sz w:val="24"/>
                <w:szCs w:val="24"/>
                <w:lang w:val="en-GB"/>
              </w:rPr>
              <w:t>activities</w:t>
            </w:r>
            <w:r w:rsidRPr="00FB2BBE">
              <w:rPr>
                <w:rFonts w:eastAsiaTheme="minorHAnsi"/>
                <w:color w:val="000000"/>
                <w:sz w:val="24"/>
                <w:szCs w:val="24"/>
                <w:lang w:val="en-GB"/>
              </w:rPr>
              <w:t xml:space="preserve"> for the promotion of the Police Assistance Line and Online Reporting services. </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A72C50"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1 July 2021– 30 June 2022</w:t>
            </w:r>
          </w:p>
        </w:tc>
        <w:tc>
          <w:tcPr>
            <w:tcW w:w="136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65BE63C"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$2,900,000 </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E9C5838"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$200,000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F16709"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$82,000 </w:t>
            </w:r>
          </w:p>
        </w:tc>
        <w:tc>
          <w:tcPr>
            <w:tcW w:w="13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0AA681"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$101,500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9A25B5D"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$7,500 </w:t>
            </w:r>
          </w:p>
        </w:tc>
        <w:tc>
          <w:tcPr>
            <w:tcW w:w="136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97B09E"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$3,291,000</w:t>
            </w:r>
          </w:p>
        </w:tc>
      </w:tr>
    </w:tbl>
    <w:p w14:paraId="447AE0E2" w14:textId="77777777" w:rsidR="00345EE3" w:rsidRDefault="00345EE3" w:rsidP="00345EE3">
      <w:pPr>
        <w:spacing w:before="78"/>
        <w:ind w:left="110"/>
        <w:rPr>
          <w:rFonts w:ascii="Arial-BoldItalicMT"/>
          <w:b/>
          <w:i/>
          <w:sz w:val="18"/>
        </w:rPr>
      </w:pPr>
    </w:p>
    <w:p w14:paraId="39122A73" w14:textId="77777777" w:rsidR="00345EE3" w:rsidRDefault="00345EE3" w:rsidP="00345EE3">
      <w:pPr>
        <w:rPr>
          <w:sz w:val="24"/>
        </w:rPr>
        <w:sectPr w:rsidR="00345EE3" w:rsidSect="00D73130">
          <w:pgSz w:w="16840" w:h="11910" w:orient="landscape"/>
          <w:pgMar w:top="1440" w:right="1440" w:bottom="1440" w:left="1440" w:header="720" w:footer="720" w:gutter="0"/>
          <w:cols w:space="720"/>
          <w:docGrid w:linePitch="299"/>
        </w:sectPr>
      </w:pPr>
    </w:p>
    <w:p w14:paraId="08F34A48" w14:textId="77777777" w:rsidR="00345EE3" w:rsidRPr="00E97908" w:rsidRDefault="00345EE3" w:rsidP="00345EE3">
      <w:pPr>
        <w:pStyle w:val="Heading2"/>
        <w:rPr>
          <w:sz w:val="32"/>
          <w:szCs w:val="32"/>
        </w:rPr>
      </w:pPr>
      <w:r w:rsidRPr="00E97908">
        <w:rPr>
          <w:color w:val="00529F"/>
          <w:spacing w:val="-2"/>
          <w:sz w:val="32"/>
          <w:szCs w:val="32"/>
        </w:rPr>
        <w:t>Consultancy</w:t>
      </w:r>
      <w:r w:rsidRPr="00E97908">
        <w:rPr>
          <w:color w:val="00529F"/>
          <w:spacing w:val="-4"/>
          <w:sz w:val="32"/>
          <w:szCs w:val="32"/>
        </w:rPr>
        <w:t xml:space="preserve"> </w:t>
      </w:r>
      <w:r w:rsidRPr="00E97908">
        <w:rPr>
          <w:color w:val="00529F"/>
          <w:spacing w:val="-2"/>
          <w:sz w:val="32"/>
          <w:szCs w:val="32"/>
        </w:rPr>
        <w:t>Expenditure</w:t>
      </w:r>
    </w:p>
    <w:p w14:paraId="78757116" w14:textId="77777777" w:rsidR="00345EE3" w:rsidRDefault="00345EE3" w:rsidP="00345EE3">
      <w:pPr>
        <w:pStyle w:val="BodyText"/>
        <w:spacing w:before="72"/>
      </w:pPr>
      <w:r>
        <w:rPr>
          <w:color w:val="231F20"/>
        </w:rPr>
        <w:t>In</w:t>
      </w:r>
      <w:r>
        <w:rPr>
          <w:color w:val="231F20"/>
          <w:spacing w:val="-11"/>
        </w:rPr>
        <w:t xml:space="preserve"> </w:t>
      </w:r>
      <w:r>
        <w:rPr>
          <w:color w:val="231F20"/>
        </w:rPr>
        <w:t>accordance</w:t>
      </w:r>
      <w:r>
        <w:rPr>
          <w:color w:val="231F20"/>
          <w:spacing w:val="-8"/>
        </w:rPr>
        <w:t xml:space="preserve"> </w:t>
      </w:r>
      <w:r>
        <w:rPr>
          <w:color w:val="231F20"/>
        </w:rPr>
        <w:t>with</w:t>
      </w:r>
      <w:r>
        <w:rPr>
          <w:color w:val="231F20"/>
          <w:spacing w:val="-8"/>
        </w:rPr>
        <w:t xml:space="preserve"> </w:t>
      </w:r>
      <w:r>
        <w:rPr>
          <w:color w:val="231F20"/>
        </w:rPr>
        <w:t>FRD</w:t>
      </w:r>
      <w:r>
        <w:rPr>
          <w:color w:val="231F20"/>
          <w:spacing w:val="-8"/>
        </w:rPr>
        <w:t xml:space="preserve"> </w:t>
      </w:r>
      <w:r>
        <w:rPr>
          <w:color w:val="231F20"/>
        </w:rPr>
        <w:t>22,</w:t>
      </w:r>
      <w:r>
        <w:rPr>
          <w:color w:val="231F20"/>
          <w:spacing w:val="-7"/>
        </w:rPr>
        <w:t xml:space="preserve"> </w:t>
      </w:r>
      <w:r>
        <w:rPr>
          <w:color w:val="231F20"/>
        </w:rPr>
        <w:t>information</w:t>
      </w:r>
      <w:r>
        <w:rPr>
          <w:color w:val="231F20"/>
          <w:spacing w:val="-8"/>
        </w:rPr>
        <w:t xml:space="preserve"> </w:t>
      </w:r>
      <w:r>
        <w:rPr>
          <w:color w:val="231F20"/>
        </w:rPr>
        <w:t>below</w:t>
      </w:r>
      <w:r>
        <w:rPr>
          <w:color w:val="231F20"/>
          <w:spacing w:val="-9"/>
        </w:rPr>
        <w:t xml:space="preserve"> </w:t>
      </w:r>
      <w:r>
        <w:rPr>
          <w:color w:val="231F20"/>
        </w:rPr>
        <w:t>pertains</w:t>
      </w:r>
      <w:r>
        <w:rPr>
          <w:color w:val="231F20"/>
          <w:spacing w:val="-7"/>
        </w:rPr>
        <w:t xml:space="preserve"> </w:t>
      </w:r>
      <w:r>
        <w:rPr>
          <w:color w:val="231F20"/>
        </w:rPr>
        <w:t>to</w:t>
      </w:r>
      <w:r>
        <w:rPr>
          <w:color w:val="231F20"/>
          <w:spacing w:val="-8"/>
        </w:rPr>
        <w:t xml:space="preserve"> </w:t>
      </w:r>
      <w:r>
        <w:rPr>
          <w:color w:val="231F20"/>
        </w:rPr>
        <w:t>consultancy</w:t>
      </w:r>
      <w:r>
        <w:rPr>
          <w:color w:val="231F20"/>
          <w:spacing w:val="-7"/>
        </w:rPr>
        <w:t xml:space="preserve"> </w:t>
      </w:r>
      <w:r>
        <w:rPr>
          <w:color w:val="231F20"/>
        </w:rPr>
        <w:t>expenditure</w:t>
      </w:r>
      <w:r>
        <w:rPr>
          <w:color w:val="231F20"/>
          <w:spacing w:val="-8"/>
        </w:rPr>
        <w:t xml:space="preserve"> </w:t>
      </w:r>
      <w:r>
        <w:rPr>
          <w:color w:val="231F20"/>
        </w:rPr>
        <w:t>in</w:t>
      </w:r>
      <w:r>
        <w:rPr>
          <w:color w:val="231F20"/>
          <w:spacing w:val="-8"/>
        </w:rPr>
        <w:t xml:space="preserve"> </w:t>
      </w:r>
      <w:r>
        <w:rPr>
          <w:color w:val="231F20"/>
          <w:spacing w:val="-2"/>
        </w:rPr>
        <w:t>2021–22.</w:t>
      </w:r>
    </w:p>
    <w:p w14:paraId="4C805D64" w14:textId="77777777" w:rsidR="00345EE3" w:rsidRDefault="00345EE3" w:rsidP="002A27BA">
      <w:pPr>
        <w:pStyle w:val="Heading3"/>
      </w:pPr>
      <w:r>
        <w:t>Details</w:t>
      </w:r>
      <w:r>
        <w:rPr>
          <w:spacing w:val="-9"/>
        </w:rPr>
        <w:t xml:space="preserve"> </w:t>
      </w:r>
      <w:r>
        <w:t>of</w:t>
      </w:r>
      <w:r>
        <w:rPr>
          <w:spacing w:val="-6"/>
        </w:rPr>
        <w:t xml:space="preserve"> </w:t>
      </w:r>
      <w:r>
        <w:t>consultancies</w:t>
      </w:r>
      <w:r>
        <w:rPr>
          <w:spacing w:val="-7"/>
        </w:rPr>
        <w:t xml:space="preserve"> </w:t>
      </w:r>
      <w:r>
        <w:t>valued</w:t>
      </w:r>
      <w:r>
        <w:rPr>
          <w:spacing w:val="-6"/>
        </w:rPr>
        <w:t xml:space="preserve"> </w:t>
      </w:r>
      <w:r>
        <w:t>at</w:t>
      </w:r>
      <w:r>
        <w:rPr>
          <w:spacing w:val="-6"/>
        </w:rPr>
        <w:t xml:space="preserve"> </w:t>
      </w:r>
      <w:r>
        <w:t>$10,000</w:t>
      </w:r>
      <w:r>
        <w:rPr>
          <w:spacing w:val="-7"/>
        </w:rPr>
        <w:t xml:space="preserve"> </w:t>
      </w:r>
      <w:r>
        <w:t>or</w:t>
      </w:r>
      <w:r>
        <w:rPr>
          <w:spacing w:val="-6"/>
        </w:rPr>
        <w:t xml:space="preserve"> </w:t>
      </w:r>
      <w:r>
        <w:rPr>
          <w:spacing w:val="-2"/>
        </w:rPr>
        <w:t>greater</w:t>
      </w:r>
    </w:p>
    <w:p w14:paraId="738B9DAA" w14:textId="77777777" w:rsidR="00345EE3" w:rsidRDefault="00345EE3" w:rsidP="00345EE3">
      <w:pPr>
        <w:pStyle w:val="BodyText"/>
        <w:spacing w:before="53"/>
      </w:pPr>
      <w:r>
        <w:rPr>
          <w:color w:val="231F20"/>
        </w:rPr>
        <w:t>In</w:t>
      </w:r>
      <w:r>
        <w:rPr>
          <w:color w:val="231F20"/>
          <w:spacing w:val="-12"/>
        </w:rPr>
        <w:t xml:space="preserve"> </w:t>
      </w:r>
      <w:r>
        <w:rPr>
          <w:color w:val="231F20"/>
        </w:rPr>
        <w:t>2021–22,</w:t>
      </w:r>
      <w:r>
        <w:rPr>
          <w:color w:val="231F20"/>
          <w:spacing w:val="-8"/>
        </w:rPr>
        <w:t xml:space="preserve"> </w:t>
      </w:r>
      <w:r>
        <w:rPr>
          <w:color w:val="231F20"/>
        </w:rPr>
        <w:t>there</w:t>
      </w:r>
      <w:r>
        <w:rPr>
          <w:color w:val="231F20"/>
          <w:spacing w:val="-9"/>
        </w:rPr>
        <w:t xml:space="preserve"> </w:t>
      </w:r>
      <w:r>
        <w:rPr>
          <w:color w:val="231F20"/>
        </w:rPr>
        <w:t>were</w:t>
      </w:r>
      <w:r>
        <w:rPr>
          <w:color w:val="231F20"/>
          <w:spacing w:val="-9"/>
        </w:rPr>
        <w:t xml:space="preserve"> </w:t>
      </w:r>
      <w:r>
        <w:rPr>
          <w:color w:val="231F20"/>
        </w:rPr>
        <w:t>49</w:t>
      </w:r>
      <w:r>
        <w:rPr>
          <w:color w:val="231F20"/>
          <w:spacing w:val="-10"/>
        </w:rPr>
        <w:t xml:space="preserve"> </w:t>
      </w:r>
      <w:r>
        <w:rPr>
          <w:color w:val="231F20"/>
        </w:rPr>
        <w:t>consultancies</w:t>
      </w:r>
      <w:r>
        <w:rPr>
          <w:color w:val="231F20"/>
          <w:spacing w:val="-8"/>
        </w:rPr>
        <w:t xml:space="preserve"> </w:t>
      </w:r>
      <w:r>
        <w:rPr>
          <w:color w:val="231F20"/>
        </w:rPr>
        <w:t>where</w:t>
      </w:r>
      <w:r>
        <w:rPr>
          <w:color w:val="231F20"/>
          <w:spacing w:val="-9"/>
        </w:rPr>
        <w:t xml:space="preserve"> </w:t>
      </w:r>
      <w:r>
        <w:rPr>
          <w:color w:val="231F20"/>
        </w:rPr>
        <w:t>the</w:t>
      </w:r>
      <w:r>
        <w:rPr>
          <w:color w:val="231F20"/>
          <w:spacing w:val="-9"/>
        </w:rPr>
        <w:t xml:space="preserve"> </w:t>
      </w:r>
      <w:r>
        <w:rPr>
          <w:color w:val="231F20"/>
        </w:rPr>
        <w:t>total</w:t>
      </w:r>
      <w:r>
        <w:rPr>
          <w:color w:val="231F20"/>
          <w:spacing w:val="-9"/>
        </w:rPr>
        <w:t xml:space="preserve"> </w:t>
      </w:r>
      <w:r>
        <w:rPr>
          <w:color w:val="231F20"/>
        </w:rPr>
        <w:t>fees</w:t>
      </w:r>
      <w:r>
        <w:rPr>
          <w:color w:val="231F20"/>
          <w:spacing w:val="-9"/>
        </w:rPr>
        <w:t xml:space="preserve"> </w:t>
      </w:r>
      <w:r>
        <w:rPr>
          <w:color w:val="231F20"/>
        </w:rPr>
        <w:t>payable</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consultancies</w:t>
      </w:r>
      <w:r>
        <w:rPr>
          <w:color w:val="231F20"/>
          <w:spacing w:val="-8"/>
        </w:rPr>
        <w:t xml:space="preserve"> </w:t>
      </w:r>
      <w:r>
        <w:rPr>
          <w:color w:val="231F20"/>
          <w:spacing w:val="-4"/>
        </w:rPr>
        <w:t>were</w:t>
      </w:r>
    </w:p>
    <w:p w14:paraId="4E2C88E1" w14:textId="77777777" w:rsidR="00345EE3" w:rsidRDefault="00345EE3" w:rsidP="00345EE3">
      <w:pPr>
        <w:pStyle w:val="BodyText"/>
        <w:spacing w:before="4"/>
      </w:pPr>
      <w:r>
        <w:rPr>
          <w:color w:val="231F20"/>
        </w:rPr>
        <w:t>$10,000</w:t>
      </w:r>
      <w:r>
        <w:rPr>
          <w:color w:val="231F20"/>
          <w:spacing w:val="-11"/>
        </w:rPr>
        <w:t xml:space="preserve"> </w:t>
      </w:r>
      <w:r>
        <w:rPr>
          <w:color w:val="231F20"/>
        </w:rPr>
        <w:t>or</w:t>
      </w:r>
      <w:r>
        <w:rPr>
          <w:color w:val="231F20"/>
          <w:spacing w:val="-11"/>
        </w:rPr>
        <w:t xml:space="preserve"> </w:t>
      </w:r>
      <w:r>
        <w:rPr>
          <w:color w:val="231F20"/>
          <w:spacing w:val="-2"/>
        </w:rPr>
        <w:t>greater.</w:t>
      </w:r>
    </w:p>
    <w:p w14:paraId="1D8BFEF9" w14:textId="77777777" w:rsidR="00345EE3" w:rsidRDefault="00345EE3" w:rsidP="00345EE3">
      <w:pPr>
        <w:pStyle w:val="BodyText"/>
        <w:spacing w:before="117" w:line="242" w:lineRule="auto"/>
        <w:ind w:right="921"/>
      </w:pPr>
      <w:r>
        <w:rPr>
          <w:color w:val="231F20"/>
        </w:rPr>
        <w:t>The</w:t>
      </w:r>
      <w:r>
        <w:rPr>
          <w:color w:val="231F20"/>
          <w:spacing w:val="-11"/>
        </w:rPr>
        <w:t xml:space="preserve"> </w:t>
      </w:r>
      <w:r>
        <w:rPr>
          <w:color w:val="231F20"/>
        </w:rPr>
        <w:t>total</w:t>
      </w:r>
      <w:r>
        <w:rPr>
          <w:color w:val="231F20"/>
          <w:spacing w:val="-11"/>
        </w:rPr>
        <w:t xml:space="preserve"> </w:t>
      </w:r>
      <w:r>
        <w:rPr>
          <w:color w:val="231F20"/>
        </w:rPr>
        <w:t>expenditure</w:t>
      </w:r>
      <w:r>
        <w:rPr>
          <w:color w:val="231F20"/>
          <w:spacing w:val="-11"/>
        </w:rPr>
        <w:t xml:space="preserve"> </w:t>
      </w:r>
      <w:r>
        <w:rPr>
          <w:color w:val="231F20"/>
        </w:rPr>
        <w:t>incurred</w:t>
      </w:r>
      <w:r>
        <w:rPr>
          <w:color w:val="231F20"/>
          <w:spacing w:val="-11"/>
        </w:rPr>
        <w:t xml:space="preserve"> </w:t>
      </w:r>
      <w:r>
        <w:rPr>
          <w:color w:val="231F20"/>
        </w:rPr>
        <w:t>during</w:t>
      </w:r>
      <w:r>
        <w:rPr>
          <w:color w:val="231F20"/>
          <w:spacing w:val="-11"/>
        </w:rPr>
        <w:t xml:space="preserve"> </w:t>
      </w:r>
      <w:r>
        <w:rPr>
          <w:color w:val="231F20"/>
        </w:rPr>
        <w:t>2021–22</w:t>
      </w:r>
      <w:r>
        <w:rPr>
          <w:color w:val="231F20"/>
          <w:spacing w:val="-11"/>
        </w:rPr>
        <w:t xml:space="preserve"> </w:t>
      </w:r>
      <w:r>
        <w:rPr>
          <w:color w:val="231F20"/>
        </w:rPr>
        <w:t>in</w:t>
      </w:r>
      <w:r>
        <w:rPr>
          <w:color w:val="231F20"/>
          <w:spacing w:val="-11"/>
        </w:rPr>
        <w:t xml:space="preserve"> </w:t>
      </w:r>
      <w:r>
        <w:rPr>
          <w:color w:val="231F20"/>
        </w:rPr>
        <w:t>relation</w:t>
      </w:r>
      <w:r>
        <w:rPr>
          <w:color w:val="231F20"/>
          <w:spacing w:val="-11"/>
        </w:rPr>
        <w:t xml:space="preserve"> </w:t>
      </w:r>
      <w:r>
        <w:rPr>
          <w:color w:val="231F20"/>
        </w:rPr>
        <w:t>to</w:t>
      </w:r>
      <w:r>
        <w:rPr>
          <w:color w:val="231F20"/>
          <w:spacing w:val="-11"/>
        </w:rPr>
        <w:t xml:space="preserve"> </w:t>
      </w:r>
      <w:r>
        <w:rPr>
          <w:color w:val="231F20"/>
        </w:rPr>
        <w:t>these</w:t>
      </w:r>
      <w:r>
        <w:rPr>
          <w:color w:val="231F20"/>
          <w:spacing w:val="-11"/>
        </w:rPr>
        <w:t xml:space="preserve"> </w:t>
      </w:r>
      <w:r>
        <w:rPr>
          <w:color w:val="231F20"/>
        </w:rPr>
        <w:t>consultancies</w:t>
      </w:r>
      <w:r>
        <w:rPr>
          <w:color w:val="231F20"/>
          <w:spacing w:val="-10"/>
        </w:rPr>
        <w:t xml:space="preserve"> </w:t>
      </w:r>
      <w:r>
        <w:rPr>
          <w:color w:val="231F20"/>
        </w:rPr>
        <w:t>is</w:t>
      </w:r>
      <w:r>
        <w:rPr>
          <w:color w:val="231F20"/>
          <w:spacing w:val="-10"/>
        </w:rPr>
        <w:t xml:space="preserve"> </w:t>
      </w:r>
      <w:r>
        <w:rPr>
          <w:color w:val="231F20"/>
        </w:rPr>
        <w:t>$6.76</w:t>
      </w:r>
      <w:r>
        <w:rPr>
          <w:color w:val="231F20"/>
          <w:spacing w:val="-11"/>
        </w:rPr>
        <w:t xml:space="preserve"> </w:t>
      </w:r>
      <w:r>
        <w:rPr>
          <w:color w:val="231F20"/>
        </w:rPr>
        <w:t>million (excluding GST).</w:t>
      </w:r>
    </w:p>
    <w:p w14:paraId="1EC16B21" w14:textId="77777777" w:rsidR="00345EE3" w:rsidRDefault="00345EE3" w:rsidP="00345EE3">
      <w:pPr>
        <w:spacing w:before="116" w:line="242" w:lineRule="auto"/>
        <w:ind w:left="110" w:right="921"/>
        <w:rPr>
          <w:b/>
          <w:sz w:val="24"/>
        </w:rPr>
      </w:pPr>
      <w:r>
        <w:rPr>
          <w:color w:val="231F20"/>
          <w:sz w:val="24"/>
        </w:rPr>
        <w:t>As</w:t>
      </w:r>
      <w:r>
        <w:rPr>
          <w:color w:val="231F20"/>
          <w:spacing w:val="-9"/>
          <w:sz w:val="24"/>
        </w:rPr>
        <w:t xml:space="preserve"> </w:t>
      </w:r>
      <w:r>
        <w:rPr>
          <w:color w:val="231F20"/>
          <w:sz w:val="24"/>
        </w:rPr>
        <w:t>required</w:t>
      </w:r>
      <w:r>
        <w:rPr>
          <w:color w:val="231F20"/>
          <w:spacing w:val="-10"/>
          <w:sz w:val="24"/>
        </w:rPr>
        <w:t xml:space="preserve"> </w:t>
      </w:r>
      <w:r>
        <w:rPr>
          <w:color w:val="231F20"/>
          <w:sz w:val="24"/>
        </w:rPr>
        <w:t>by</w:t>
      </w:r>
      <w:r>
        <w:rPr>
          <w:color w:val="231F20"/>
          <w:spacing w:val="-9"/>
          <w:sz w:val="24"/>
        </w:rPr>
        <w:t xml:space="preserve"> </w:t>
      </w:r>
      <w:r>
        <w:rPr>
          <w:color w:val="231F20"/>
          <w:sz w:val="24"/>
        </w:rPr>
        <w:t>FRD</w:t>
      </w:r>
      <w:r>
        <w:rPr>
          <w:color w:val="231F20"/>
          <w:spacing w:val="-10"/>
          <w:sz w:val="24"/>
        </w:rPr>
        <w:t xml:space="preserve"> </w:t>
      </w:r>
      <w:r>
        <w:rPr>
          <w:color w:val="231F20"/>
          <w:sz w:val="24"/>
        </w:rPr>
        <w:t>22,</w:t>
      </w:r>
      <w:r>
        <w:rPr>
          <w:color w:val="231F20"/>
          <w:spacing w:val="-9"/>
          <w:sz w:val="24"/>
        </w:rPr>
        <w:t xml:space="preserve"> </w:t>
      </w:r>
      <w:r>
        <w:rPr>
          <w:color w:val="231F20"/>
          <w:sz w:val="24"/>
        </w:rPr>
        <w:t>details</w:t>
      </w:r>
      <w:r>
        <w:rPr>
          <w:color w:val="231F20"/>
          <w:spacing w:val="-9"/>
          <w:sz w:val="24"/>
        </w:rPr>
        <w:t xml:space="preserve"> </w:t>
      </w:r>
      <w:r>
        <w:rPr>
          <w:color w:val="231F20"/>
          <w:sz w:val="24"/>
        </w:rPr>
        <w:t>of</w:t>
      </w:r>
      <w:r>
        <w:rPr>
          <w:color w:val="231F20"/>
          <w:spacing w:val="-9"/>
          <w:sz w:val="24"/>
        </w:rPr>
        <w:t xml:space="preserve"> </w:t>
      </w:r>
      <w:r>
        <w:rPr>
          <w:color w:val="231F20"/>
          <w:sz w:val="24"/>
        </w:rPr>
        <w:t>individual</w:t>
      </w:r>
      <w:r>
        <w:rPr>
          <w:color w:val="231F20"/>
          <w:spacing w:val="-10"/>
          <w:sz w:val="24"/>
        </w:rPr>
        <w:t xml:space="preserve"> </w:t>
      </w:r>
      <w:r>
        <w:rPr>
          <w:color w:val="231F20"/>
          <w:sz w:val="24"/>
        </w:rPr>
        <w:t>consultancies</w:t>
      </w:r>
      <w:r>
        <w:rPr>
          <w:color w:val="231F20"/>
          <w:spacing w:val="-9"/>
          <w:sz w:val="24"/>
        </w:rPr>
        <w:t xml:space="preserve"> </w:t>
      </w:r>
      <w:r>
        <w:rPr>
          <w:color w:val="231F20"/>
          <w:sz w:val="24"/>
        </w:rPr>
        <w:t>valued</w:t>
      </w:r>
      <w:r>
        <w:rPr>
          <w:color w:val="231F20"/>
          <w:spacing w:val="-10"/>
          <w:sz w:val="24"/>
        </w:rPr>
        <w:t xml:space="preserve"> </w:t>
      </w:r>
      <w:r>
        <w:rPr>
          <w:color w:val="231F20"/>
          <w:sz w:val="24"/>
        </w:rPr>
        <w:t>at</w:t>
      </w:r>
      <w:r>
        <w:rPr>
          <w:color w:val="231F20"/>
          <w:spacing w:val="-9"/>
          <w:sz w:val="24"/>
        </w:rPr>
        <w:t xml:space="preserve"> </w:t>
      </w:r>
      <w:r>
        <w:rPr>
          <w:color w:val="231F20"/>
          <w:sz w:val="24"/>
        </w:rPr>
        <w:t>$10,000</w:t>
      </w:r>
      <w:r>
        <w:rPr>
          <w:color w:val="231F20"/>
          <w:spacing w:val="-10"/>
          <w:sz w:val="24"/>
        </w:rPr>
        <w:t xml:space="preserve"> </w:t>
      </w:r>
      <w:r>
        <w:rPr>
          <w:color w:val="231F20"/>
          <w:sz w:val="24"/>
        </w:rPr>
        <w:t>or</w:t>
      </w:r>
      <w:r>
        <w:rPr>
          <w:color w:val="231F20"/>
          <w:spacing w:val="-9"/>
          <w:sz w:val="24"/>
        </w:rPr>
        <w:t xml:space="preserve"> </w:t>
      </w:r>
      <w:r>
        <w:rPr>
          <w:color w:val="231F20"/>
          <w:sz w:val="24"/>
        </w:rPr>
        <w:t>greater</w:t>
      </w:r>
      <w:r>
        <w:rPr>
          <w:color w:val="231F20"/>
          <w:spacing w:val="-9"/>
          <w:sz w:val="24"/>
        </w:rPr>
        <w:t xml:space="preserve"> </w:t>
      </w:r>
      <w:r>
        <w:rPr>
          <w:color w:val="231F20"/>
          <w:sz w:val="24"/>
        </w:rPr>
        <w:t>can</w:t>
      </w:r>
      <w:r>
        <w:rPr>
          <w:color w:val="231F20"/>
          <w:spacing w:val="-10"/>
          <w:sz w:val="24"/>
        </w:rPr>
        <w:t xml:space="preserve"> </w:t>
      </w:r>
      <w:r>
        <w:rPr>
          <w:color w:val="231F20"/>
          <w:sz w:val="24"/>
        </w:rPr>
        <w:t xml:space="preserve">be viewed at </w:t>
      </w:r>
      <w:hyperlink r:id="rId23">
        <w:r>
          <w:rPr>
            <w:b/>
            <w:color w:val="00529F"/>
            <w:sz w:val="24"/>
            <w:u w:val="single" w:color="00529F"/>
          </w:rPr>
          <w:t>www.police.vic.gov.au/annual-report</w:t>
        </w:r>
      </w:hyperlink>
    </w:p>
    <w:p w14:paraId="7D378E34" w14:textId="77777777" w:rsidR="00345EE3" w:rsidRDefault="00345EE3" w:rsidP="002A27BA">
      <w:pPr>
        <w:pStyle w:val="Heading3"/>
      </w:pPr>
      <w:r>
        <w:t>Details</w:t>
      </w:r>
      <w:r>
        <w:rPr>
          <w:spacing w:val="-4"/>
        </w:rPr>
        <w:t xml:space="preserve"> </w:t>
      </w:r>
      <w:r>
        <w:t>of</w:t>
      </w:r>
      <w:r>
        <w:rPr>
          <w:spacing w:val="-3"/>
        </w:rPr>
        <w:t xml:space="preserve"> </w:t>
      </w:r>
      <w:r>
        <w:t>consultancies</w:t>
      </w:r>
      <w:r>
        <w:rPr>
          <w:spacing w:val="-3"/>
        </w:rPr>
        <w:t xml:space="preserve"> </w:t>
      </w:r>
      <w:r>
        <w:t>under</w:t>
      </w:r>
      <w:r>
        <w:rPr>
          <w:spacing w:val="-3"/>
        </w:rPr>
        <w:t xml:space="preserve"> </w:t>
      </w:r>
      <w:r>
        <w:rPr>
          <w:spacing w:val="-2"/>
        </w:rPr>
        <w:t>$10,000</w:t>
      </w:r>
    </w:p>
    <w:p w14:paraId="57574A17" w14:textId="77777777" w:rsidR="00345EE3" w:rsidRDefault="00345EE3" w:rsidP="00345EE3">
      <w:pPr>
        <w:pStyle w:val="BodyText"/>
        <w:spacing w:before="52" w:line="242" w:lineRule="auto"/>
        <w:ind w:right="921"/>
      </w:pPr>
      <w:r>
        <w:rPr>
          <w:color w:val="231F20"/>
        </w:rPr>
        <w:t>In</w:t>
      </w:r>
      <w:r>
        <w:rPr>
          <w:color w:val="231F20"/>
          <w:spacing w:val="-11"/>
        </w:rPr>
        <w:t xml:space="preserve"> </w:t>
      </w:r>
      <w:r>
        <w:rPr>
          <w:color w:val="231F20"/>
        </w:rPr>
        <w:t>2021–22,</w:t>
      </w:r>
      <w:r>
        <w:rPr>
          <w:color w:val="231F20"/>
          <w:spacing w:val="-10"/>
        </w:rPr>
        <w:t xml:space="preserve"> </w:t>
      </w:r>
      <w:r>
        <w:rPr>
          <w:color w:val="231F20"/>
        </w:rPr>
        <w:t>there</w:t>
      </w:r>
      <w:r>
        <w:rPr>
          <w:color w:val="231F20"/>
          <w:spacing w:val="-11"/>
        </w:rPr>
        <w:t xml:space="preserve"> </w:t>
      </w:r>
      <w:r>
        <w:rPr>
          <w:color w:val="231F20"/>
        </w:rPr>
        <w:t>were</w:t>
      </w:r>
      <w:r>
        <w:rPr>
          <w:color w:val="231F20"/>
          <w:spacing w:val="-11"/>
        </w:rPr>
        <w:t xml:space="preserve"> </w:t>
      </w:r>
      <w:r>
        <w:rPr>
          <w:color w:val="231F20"/>
        </w:rPr>
        <w:t>three</w:t>
      </w:r>
      <w:r>
        <w:rPr>
          <w:color w:val="231F20"/>
          <w:spacing w:val="-11"/>
        </w:rPr>
        <w:t xml:space="preserve"> </w:t>
      </w:r>
      <w:r>
        <w:rPr>
          <w:color w:val="231F20"/>
        </w:rPr>
        <w:t>consultancies</w:t>
      </w:r>
      <w:r>
        <w:rPr>
          <w:color w:val="231F20"/>
          <w:spacing w:val="-10"/>
        </w:rPr>
        <w:t xml:space="preserve"> </w:t>
      </w:r>
      <w:r>
        <w:rPr>
          <w:color w:val="231F20"/>
        </w:rPr>
        <w:t>engaged</w:t>
      </w:r>
      <w:r>
        <w:rPr>
          <w:color w:val="231F20"/>
          <w:spacing w:val="-11"/>
        </w:rPr>
        <w:t xml:space="preserve"> </w:t>
      </w:r>
      <w:r>
        <w:rPr>
          <w:color w:val="231F20"/>
        </w:rPr>
        <w:t>during</w:t>
      </w:r>
      <w:r>
        <w:rPr>
          <w:color w:val="231F20"/>
          <w:spacing w:val="-11"/>
        </w:rPr>
        <w:t xml:space="preserve"> </w:t>
      </w:r>
      <w:r>
        <w:rPr>
          <w:color w:val="231F20"/>
        </w:rPr>
        <w:t>the</w:t>
      </w:r>
      <w:r>
        <w:rPr>
          <w:color w:val="231F20"/>
          <w:spacing w:val="-11"/>
        </w:rPr>
        <w:t xml:space="preserve"> </w:t>
      </w:r>
      <w:r>
        <w:rPr>
          <w:color w:val="231F20"/>
        </w:rPr>
        <w:t>year,</w:t>
      </w:r>
      <w:r>
        <w:rPr>
          <w:color w:val="231F20"/>
          <w:spacing w:val="-10"/>
        </w:rPr>
        <w:t xml:space="preserve"> </w:t>
      </w:r>
      <w:r>
        <w:rPr>
          <w:color w:val="231F20"/>
        </w:rPr>
        <w:t>where</w:t>
      </w:r>
      <w:r>
        <w:rPr>
          <w:color w:val="231F20"/>
          <w:spacing w:val="-11"/>
        </w:rPr>
        <w:t xml:space="preserve"> </w:t>
      </w:r>
      <w:r>
        <w:rPr>
          <w:color w:val="231F20"/>
        </w:rPr>
        <w:t>the</w:t>
      </w:r>
      <w:r>
        <w:rPr>
          <w:color w:val="231F20"/>
          <w:spacing w:val="-11"/>
        </w:rPr>
        <w:t xml:space="preserve"> </w:t>
      </w:r>
      <w:r>
        <w:rPr>
          <w:color w:val="231F20"/>
        </w:rPr>
        <w:t>total</w:t>
      </w:r>
      <w:r>
        <w:rPr>
          <w:color w:val="231F20"/>
          <w:spacing w:val="-11"/>
        </w:rPr>
        <w:t xml:space="preserve"> </w:t>
      </w:r>
      <w:r>
        <w:rPr>
          <w:color w:val="231F20"/>
        </w:rPr>
        <w:t>fees payable to the individual consultancies was less than $10,000.</w:t>
      </w:r>
    </w:p>
    <w:p w14:paraId="4AC22F18" w14:textId="77777777" w:rsidR="00345EE3" w:rsidRDefault="00345EE3" w:rsidP="00345EE3">
      <w:pPr>
        <w:pStyle w:val="BodyText"/>
        <w:spacing w:before="116" w:line="242" w:lineRule="auto"/>
        <w:ind w:right="921"/>
      </w:pPr>
      <w:r>
        <w:rPr>
          <w:color w:val="231F20"/>
        </w:rPr>
        <w:t>The</w:t>
      </w:r>
      <w:r>
        <w:rPr>
          <w:color w:val="231F20"/>
          <w:spacing w:val="-11"/>
        </w:rPr>
        <w:t xml:space="preserve"> </w:t>
      </w:r>
      <w:r>
        <w:rPr>
          <w:color w:val="231F20"/>
        </w:rPr>
        <w:t>total</w:t>
      </w:r>
      <w:r>
        <w:rPr>
          <w:color w:val="231F20"/>
          <w:spacing w:val="-11"/>
        </w:rPr>
        <w:t xml:space="preserve"> </w:t>
      </w:r>
      <w:r>
        <w:rPr>
          <w:color w:val="231F20"/>
        </w:rPr>
        <w:t>expenditure</w:t>
      </w:r>
      <w:r>
        <w:rPr>
          <w:color w:val="231F20"/>
          <w:spacing w:val="-11"/>
        </w:rPr>
        <w:t xml:space="preserve"> </w:t>
      </w:r>
      <w:r>
        <w:rPr>
          <w:color w:val="231F20"/>
        </w:rPr>
        <w:t>incurred</w:t>
      </w:r>
      <w:r>
        <w:rPr>
          <w:color w:val="231F20"/>
          <w:spacing w:val="-11"/>
        </w:rPr>
        <w:t xml:space="preserve"> </w:t>
      </w:r>
      <w:r>
        <w:rPr>
          <w:color w:val="231F20"/>
        </w:rPr>
        <w:t>during</w:t>
      </w:r>
      <w:r>
        <w:rPr>
          <w:color w:val="231F20"/>
          <w:spacing w:val="-11"/>
        </w:rPr>
        <w:t xml:space="preserve"> </w:t>
      </w:r>
      <w:r>
        <w:rPr>
          <w:color w:val="231F20"/>
        </w:rPr>
        <w:t>2021–22</w:t>
      </w:r>
      <w:r>
        <w:rPr>
          <w:color w:val="231F20"/>
          <w:spacing w:val="-11"/>
        </w:rPr>
        <w:t xml:space="preserve"> </w:t>
      </w:r>
      <w:r>
        <w:rPr>
          <w:color w:val="231F20"/>
        </w:rPr>
        <w:t>in</w:t>
      </w:r>
      <w:r>
        <w:rPr>
          <w:color w:val="231F20"/>
          <w:spacing w:val="-11"/>
        </w:rPr>
        <w:t xml:space="preserve"> </w:t>
      </w:r>
      <w:r>
        <w:rPr>
          <w:color w:val="231F20"/>
        </w:rPr>
        <w:t>relation</w:t>
      </w:r>
      <w:r>
        <w:rPr>
          <w:color w:val="231F20"/>
          <w:spacing w:val="-11"/>
        </w:rPr>
        <w:t xml:space="preserve"> </w:t>
      </w:r>
      <w:r>
        <w:rPr>
          <w:color w:val="231F20"/>
        </w:rPr>
        <w:t>to</w:t>
      </w:r>
      <w:r>
        <w:rPr>
          <w:color w:val="231F20"/>
          <w:spacing w:val="-11"/>
        </w:rPr>
        <w:t xml:space="preserve"> </w:t>
      </w:r>
      <w:r>
        <w:rPr>
          <w:color w:val="231F20"/>
        </w:rPr>
        <w:t>these</w:t>
      </w:r>
      <w:r>
        <w:rPr>
          <w:color w:val="231F20"/>
          <w:spacing w:val="-11"/>
        </w:rPr>
        <w:t xml:space="preserve"> </w:t>
      </w:r>
      <w:r>
        <w:rPr>
          <w:color w:val="231F20"/>
        </w:rPr>
        <w:t>consultancies</w:t>
      </w:r>
      <w:r>
        <w:rPr>
          <w:color w:val="231F20"/>
          <w:spacing w:val="-10"/>
        </w:rPr>
        <w:t xml:space="preserve"> </w:t>
      </w:r>
      <w:r>
        <w:rPr>
          <w:color w:val="231F20"/>
        </w:rPr>
        <w:t>was</w:t>
      </w:r>
      <w:r>
        <w:rPr>
          <w:color w:val="231F20"/>
          <w:spacing w:val="-10"/>
        </w:rPr>
        <w:t xml:space="preserve"> </w:t>
      </w:r>
      <w:r>
        <w:rPr>
          <w:color w:val="231F20"/>
        </w:rPr>
        <w:t>$0.02 million (excl. GST).</w:t>
      </w:r>
    </w:p>
    <w:p w14:paraId="16958449" w14:textId="77777777" w:rsidR="00345EE3" w:rsidRPr="00E97908" w:rsidRDefault="00345EE3" w:rsidP="00345EE3">
      <w:pPr>
        <w:pStyle w:val="Heading2"/>
        <w:spacing w:before="214"/>
        <w:rPr>
          <w:sz w:val="32"/>
          <w:szCs w:val="32"/>
        </w:rPr>
      </w:pPr>
      <w:r w:rsidRPr="00E97908">
        <w:rPr>
          <w:color w:val="00529F"/>
          <w:sz w:val="32"/>
          <w:szCs w:val="32"/>
        </w:rPr>
        <w:t>Disclosure</w:t>
      </w:r>
      <w:r w:rsidRPr="00E97908">
        <w:rPr>
          <w:color w:val="00529F"/>
          <w:spacing w:val="-12"/>
          <w:sz w:val="32"/>
          <w:szCs w:val="32"/>
        </w:rPr>
        <w:t xml:space="preserve"> </w:t>
      </w:r>
      <w:r w:rsidRPr="00E97908">
        <w:rPr>
          <w:color w:val="00529F"/>
          <w:sz w:val="32"/>
          <w:szCs w:val="32"/>
        </w:rPr>
        <w:t>of</w:t>
      </w:r>
      <w:r w:rsidRPr="00E97908">
        <w:rPr>
          <w:color w:val="00529F"/>
          <w:spacing w:val="-11"/>
          <w:sz w:val="32"/>
          <w:szCs w:val="32"/>
        </w:rPr>
        <w:t xml:space="preserve"> </w:t>
      </w:r>
      <w:r w:rsidRPr="00E97908">
        <w:rPr>
          <w:color w:val="00529F"/>
          <w:sz w:val="32"/>
          <w:szCs w:val="32"/>
        </w:rPr>
        <w:t>Major</w:t>
      </w:r>
      <w:r w:rsidRPr="00E97908">
        <w:rPr>
          <w:color w:val="00529F"/>
          <w:spacing w:val="-10"/>
          <w:sz w:val="32"/>
          <w:szCs w:val="32"/>
        </w:rPr>
        <w:t xml:space="preserve"> </w:t>
      </w:r>
      <w:r w:rsidRPr="00E97908">
        <w:rPr>
          <w:color w:val="00529F"/>
          <w:spacing w:val="-2"/>
          <w:sz w:val="32"/>
          <w:szCs w:val="32"/>
        </w:rPr>
        <w:t>Contracts</w:t>
      </w:r>
    </w:p>
    <w:p w14:paraId="0100B2D3" w14:textId="77777777" w:rsidR="00345EE3" w:rsidRDefault="00345EE3" w:rsidP="00345EE3">
      <w:pPr>
        <w:pStyle w:val="BodyText"/>
        <w:spacing w:before="72" w:line="242" w:lineRule="auto"/>
        <w:ind w:right="921"/>
        <w:rPr>
          <w:b/>
        </w:rPr>
      </w:pPr>
      <w:r>
        <w:rPr>
          <w:color w:val="231F20"/>
        </w:rPr>
        <w:t>Victoria Police has disclosed, in accordance with the requirements of government policy and accompanying guidelines, all contracts greater than $10 million in value entered during the financial</w:t>
      </w:r>
      <w:r>
        <w:rPr>
          <w:color w:val="231F20"/>
          <w:spacing w:val="-7"/>
        </w:rPr>
        <w:t xml:space="preserve"> </w:t>
      </w:r>
      <w:r>
        <w:rPr>
          <w:color w:val="231F20"/>
        </w:rPr>
        <w:t>year</w:t>
      </w:r>
      <w:r>
        <w:rPr>
          <w:color w:val="231F20"/>
          <w:spacing w:val="-6"/>
        </w:rPr>
        <w:t xml:space="preserve"> </w:t>
      </w:r>
      <w:r>
        <w:rPr>
          <w:color w:val="231F20"/>
        </w:rPr>
        <w:t>ending</w:t>
      </w:r>
      <w:r>
        <w:rPr>
          <w:color w:val="231F20"/>
          <w:spacing w:val="-7"/>
        </w:rPr>
        <w:t xml:space="preserve"> </w:t>
      </w:r>
      <w:r>
        <w:rPr>
          <w:color w:val="231F20"/>
        </w:rPr>
        <w:t>30</w:t>
      </w:r>
      <w:r>
        <w:rPr>
          <w:color w:val="231F20"/>
          <w:spacing w:val="-7"/>
        </w:rPr>
        <w:t xml:space="preserve"> </w:t>
      </w:r>
      <w:r>
        <w:rPr>
          <w:color w:val="231F20"/>
        </w:rPr>
        <w:t>June</w:t>
      </w:r>
      <w:r>
        <w:rPr>
          <w:color w:val="231F20"/>
          <w:spacing w:val="-7"/>
        </w:rPr>
        <w:t xml:space="preserve"> </w:t>
      </w:r>
      <w:r>
        <w:rPr>
          <w:color w:val="231F20"/>
        </w:rPr>
        <w:t>2022.</w:t>
      </w:r>
      <w:r>
        <w:rPr>
          <w:color w:val="231F20"/>
          <w:spacing w:val="-6"/>
        </w:rPr>
        <w:t xml:space="preserve"> </w:t>
      </w:r>
      <w:r>
        <w:rPr>
          <w:color w:val="231F20"/>
        </w:rPr>
        <w:t>These</w:t>
      </w:r>
      <w:r>
        <w:rPr>
          <w:color w:val="231F20"/>
          <w:spacing w:val="-7"/>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viewed</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Buying</w:t>
      </w:r>
      <w:r>
        <w:rPr>
          <w:color w:val="231F20"/>
          <w:spacing w:val="-7"/>
        </w:rPr>
        <w:t xml:space="preserve"> </w:t>
      </w:r>
      <w:r>
        <w:rPr>
          <w:color w:val="231F20"/>
        </w:rPr>
        <w:t>for</w:t>
      </w:r>
      <w:r>
        <w:rPr>
          <w:color w:val="231F20"/>
          <w:spacing w:val="-6"/>
        </w:rPr>
        <w:t xml:space="preserve"> </w:t>
      </w:r>
      <w:r>
        <w:rPr>
          <w:color w:val="231F20"/>
        </w:rPr>
        <w:t>Victoria</w:t>
      </w:r>
      <w:r>
        <w:rPr>
          <w:color w:val="231F20"/>
          <w:spacing w:val="-7"/>
        </w:rPr>
        <w:t xml:space="preserve"> </w:t>
      </w:r>
      <w:r>
        <w:rPr>
          <w:color w:val="231F20"/>
        </w:rPr>
        <w:t>website</w:t>
      </w:r>
      <w:r>
        <w:rPr>
          <w:color w:val="231F20"/>
          <w:spacing w:val="-7"/>
        </w:rPr>
        <w:t xml:space="preserve"> </w:t>
      </w:r>
      <w:r>
        <w:rPr>
          <w:color w:val="231F20"/>
        </w:rPr>
        <w:t xml:space="preserve">at: </w:t>
      </w:r>
      <w:hyperlink r:id="rId24">
        <w:r>
          <w:rPr>
            <w:b/>
            <w:color w:val="00529F"/>
            <w:spacing w:val="-2"/>
            <w:u w:val="single" w:color="00529F"/>
          </w:rPr>
          <w:t>tenders.vic.gov.au</w:t>
        </w:r>
      </w:hyperlink>
    </w:p>
    <w:p w14:paraId="12D8F503" w14:textId="77777777" w:rsidR="00345EE3" w:rsidRDefault="00345EE3" w:rsidP="00345EE3">
      <w:pPr>
        <w:pStyle w:val="BodyText"/>
        <w:spacing w:before="119" w:line="242" w:lineRule="auto"/>
        <w:ind w:right="921"/>
      </w:pPr>
      <w:r>
        <w:rPr>
          <w:color w:val="231F20"/>
        </w:rPr>
        <w:t>Contractual details have not been disclosed for contracts where disclosure may be exempted under</w:t>
      </w:r>
      <w:r>
        <w:rPr>
          <w:color w:val="231F20"/>
          <w:spacing w:val="-5"/>
        </w:rPr>
        <w:t xml:space="preserve"> </w:t>
      </w:r>
      <w:r>
        <w:rPr>
          <w:color w:val="231F20"/>
        </w:rPr>
        <w:t>the</w:t>
      </w:r>
      <w:r>
        <w:rPr>
          <w:color w:val="231F20"/>
          <w:spacing w:val="-5"/>
        </w:rPr>
        <w:t xml:space="preserve"> </w:t>
      </w:r>
      <w:r>
        <w:rPr>
          <w:i/>
          <w:color w:val="231F20"/>
        </w:rPr>
        <w:t>Freedom</w:t>
      </w:r>
      <w:r>
        <w:rPr>
          <w:i/>
          <w:color w:val="231F20"/>
          <w:spacing w:val="-13"/>
        </w:rPr>
        <w:t xml:space="preserve"> </w:t>
      </w:r>
      <w:r>
        <w:rPr>
          <w:i/>
          <w:color w:val="231F20"/>
        </w:rPr>
        <w:t>of</w:t>
      </w:r>
      <w:r>
        <w:rPr>
          <w:i/>
          <w:color w:val="231F20"/>
          <w:spacing w:val="-13"/>
        </w:rPr>
        <w:t xml:space="preserve"> </w:t>
      </w:r>
      <w:r>
        <w:rPr>
          <w:i/>
          <w:color w:val="231F20"/>
        </w:rPr>
        <w:t>Information</w:t>
      </w:r>
      <w:r>
        <w:rPr>
          <w:i/>
          <w:color w:val="231F20"/>
          <w:spacing w:val="-13"/>
        </w:rPr>
        <w:t xml:space="preserve"> </w:t>
      </w:r>
      <w:r>
        <w:rPr>
          <w:i/>
          <w:color w:val="231F20"/>
        </w:rPr>
        <w:t>Act</w:t>
      </w:r>
      <w:r>
        <w:rPr>
          <w:i/>
          <w:color w:val="231F20"/>
          <w:spacing w:val="-13"/>
        </w:rPr>
        <w:t xml:space="preserve"> </w:t>
      </w:r>
      <w:r>
        <w:rPr>
          <w:color w:val="231F20"/>
        </w:rPr>
        <w:t>1982</w:t>
      </w:r>
      <w:r>
        <w:rPr>
          <w:color w:val="231F20"/>
          <w:spacing w:val="-6"/>
        </w:rPr>
        <w:t xml:space="preserve"> </w:t>
      </w:r>
      <w:r>
        <w:rPr>
          <w:color w:val="231F20"/>
        </w:rPr>
        <w:t>and/or</w:t>
      </w:r>
      <w:r>
        <w:rPr>
          <w:color w:val="231F20"/>
          <w:spacing w:val="-5"/>
        </w:rPr>
        <w:t xml:space="preserve"> </w:t>
      </w:r>
      <w:r>
        <w:rPr>
          <w:color w:val="231F20"/>
        </w:rPr>
        <w:t>government</w:t>
      </w:r>
      <w:r>
        <w:rPr>
          <w:color w:val="231F20"/>
          <w:spacing w:val="-5"/>
        </w:rPr>
        <w:t xml:space="preserve"> </w:t>
      </w:r>
      <w:r>
        <w:rPr>
          <w:color w:val="231F20"/>
        </w:rPr>
        <w:t>guidelines.</w:t>
      </w:r>
      <w:r>
        <w:rPr>
          <w:color w:val="231F20"/>
          <w:spacing w:val="-5"/>
        </w:rPr>
        <w:t xml:space="preserve"> </w:t>
      </w:r>
      <w:r>
        <w:rPr>
          <w:color w:val="231F20"/>
        </w:rPr>
        <w:t>Pursuant</w:t>
      </w:r>
      <w:r>
        <w:rPr>
          <w:color w:val="231F20"/>
          <w:spacing w:val="-5"/>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Act and</w:t>
      </w:r>
      <w:r>
        <w:rPr>
          <w:color w:val="231F20"/>
          <w:spacing w:val="-14"/>
        </w:rPr>
        <w:t xml:space="preserve"> </w:t>
      </w:r>
      <w:r>
        <w:rPr>
          <w:color w:val="231F20"/>
        </w:rPr>
        <w:t>guidelines,</w:t>
      </w:r>
      <w:r>
        <w:rPr>
          <w:color w:val="231F20"/>
          <w:spacing w:val="-14"/>
        </w:rPr>
        <w:t xml:space="preserve"> </w:t>
      </w:r>
      <w:r>
        <w:rPr>
          <w:color w:val="231F20"/>
        </w:rPr>
        <w:t>the</w:t>
      </w:r>
      <w:r>
        <w:rPr>
          <w:color w:val="231F20"/>
          <w:spacing w:val="-14"/>
        </w:rPr>
        <w:t xml:space="preserve"> </w:t>
      </w:r>
      <w:r>
        <w:rPr>
          <w:color w:val="231F20"/>
        </w:rPr>
        <w:t>contractual</w:t>
      </w:r>
      <w:r>
        <w:rPr>
          <w:color w:val="231F20"/>
          <w:spacing w:val="-14"/>
        </w:rPr>
        <w:t xml:space="preserve"> </w:t>
      </w:r>
      <w:r>
        <w:rPr>
          <w:color w:val="231F20"/>
        </w:rPr>
        <w:t>details</w:t>
      </w:r>
      <w:r>
        <w:rPr>
          <w:color w:val="231F20"/>
          <w:spacing w:val="-14"/>
        </w:rPr>
        <w:t xml:space="preserve"> </w:t>
      </w:r>
      <w:r>
        <w:rPr>
          <w:color w:val="231F20"/>
        </w:rPr>
        <w:t>for</w:t>
      </w:r>
      <w:r>
        <w:rPr>
          <w:color w:val="231F20"/>
          <w:spacing w:val="-14"/>
        </w:rPr>
        <w:t xml:space="preserve"> </w:t>
      </w:r>
      <w:r>
        <w:rPr>
          <w:color w:val="231F20"/>
        </w:rPr>
        <w:t>our</w:t>
      </w:r>
      <w:r>
        <w:rPr>
          <w:color w:val="231F20"/>
          <w:spacing w:val="-14"/>
        </w:rPr>
        <w:t xml:space="preserve"> </w:t>
      </w:r>
      <w:r>
        <w:rPr>
          <w:color w:val="231F20"/>
        </w:rPr>
        <w:t>Telecommunication</w:t>
      </w:r>
      <w:r>
        <w:rPr>
          <w:color w:val="231F20"/>
          <w:spacing w:val="-14"/>
        </w:rPr>
        <w:t xml:space="preserve"> </w:t>
      </w:r>
      <w:r>
        <w:rPr>
          <w:color w:val="231F20"/>
        </w:rPr>
        <w:t>Interception</w:t>
      </w:r>
      <w:r>
        <w:rPr>
          <w:color w:val="231F20"/>
          <w:spacing w:val="-14"/>
        </w:rPr>
        <w:t xml:space="preserve"> </w:t>
      </w:r>
      <w:r>
        <w:rPr>
          <w:color w:val="231F20"/>
        </w:rPr>
        <w:t>system</w:t>
      </w:r>
      <w:r>
        <w:rPr>
          <w:color w:val="231F20"/>
          <w:spacing w:val="-14"/>
        </w:rPr>
        <w:t xml:space="preserve"> </w:t>
      </w:r>
      <w:r>
        <w:rPr>
          <w:color w:val="231F20"/>
        </w:rPr>
        <w:t>signed</w:t>
      </w:r>
      <w:r>
        <w:rPr>
          <w:color w:val="231F20"/>
          <w:spacing w:val="-14"/>
        </w:rPr>
        <w:t xml:space="preserve"> </w:t>
      </w:r>
      <w:r>
        <w:rPr>
          <w:color w:val="231F20"/>
        </w:rPr>
        <w:t>in July 2021 were not disclosed.</w:t>
      </w:r>
    </w:p>
    <w:p w14:paraId="283C3BF3" w14:textId="77777777" w:rsidR="00345EE3" w:rsidRDefault="00345EE3" w:rsidP="00E97908">
      <w:pPr>
        <w:spacing w:before="217"/>
        <w:rPr>
          <w:sz w:val="32"/>
        </w:rPr>
      </w:pPr>
      <w:r>
        <w:rPr>
          <w:i/>
          <w:color w:val="00529F"/>
          <w:sz w:val="32"/>
        </w:rPr>
        <w:t>Freedom</w:t>
      </w:r>
      <w:r>
        <w:rPr>
          <w:i/>
          <w:color w:val="00529F"/>
          <w:spacing w:val="-12"/>
          <w:sz w:val="32"/>
        </w:rPr>
        <w:t xml:space="preserve"> </w:t>
      </w:r>
      <w:r>
        <w:rPr>
          <w:i/>
          <w:color w:val="00529F"/>
          <w:sz w:val="32"/>
        </w:rPr>
        <w:t>of</w:t>
      </w:r>
      <w:r>
        <w:rPr>
          <w:i/>
          <w:color w:val="00529F"/>
          <w:spacing w:val="-11"/>
          <w:sz w:val="32"/>
        </w:rPr>
        <w:t xml:space="preserve"> </w:t>
      </w:r>
      <w:r>
        <w:rPr>
          <w:i/>
          <w:color w:val="00529F"/>
          <w:sz w:val="32"/>
        </w:rPr>
        <w:t>Information</w:t>
      </w:r>
      <w:r>
        <w:rPr>
          <w:i/>
          <w:color w:val="00529F"/>
          <w:spacing w:val="-12"/>
          <w:sz w:val="32"/>
        </w:rPr>
        <w:t xml:space="preserve"> </w:t>
      </w:r>
      <w:r>
        <w:rPr>
          <w:i/>
          <w:color w:val="00529F"/>
          <w:sz w:val="32"/>
        </w:rPr>
        <w:t>Act</w:t>
      </w:r>
      <w:r>
        <w:rPr>
          <w:i/>
          <w:color w:val="00529F"/>
          <w:spacing w:val="-12"/>
          <w:sz w:val="32"/>
        </w:rPr>
        <w:t xml:space="preserve"> </w:t>
      </w:r>
      <w:r>
        <w:rPr>
          <w:color w:val="00529F"/>
          <w:spacing w:val="-4"/>
          <w:sz w:val="32"/>
        </w:rPr>
        <w:t>1982</w:t>
      </w:r>
    </w:p>
    <w:p w14:paraId="29D49FAD" w14:textId="77777777" w:rsidR="00345EE3" w:rsidRDefault="00345EE3" w:rsidP="00345EE3">
      <w:pPr>
        <w:pStyle w:val="BodyText"/>
        <w:spacing w:before="72" w:line="242" w:lineRule="auto"/>
        <w:ind w:right="848"/>
      </w:pPr>
      <w:r>
        <w:rPr>
          <w:color w:val="231F20"/>
        </w:rPr>
        <w:t>The</w:t>
      </w:r>
      <w:r>
        <w:rPr>
          <w:color w:val="231F20"/>
          <w:spacing w:val="-17"/>
        </w:rPr>
        <w:t xml:space="preserve"> </w:t>
      </w:r>
      <w:r>
        <w:rPr>
          <w:i/>
          <w:color w:val="231F20"/>
        </w:rPr>
        <w:t>Freedom</w:t>
      </w:r>
      <w:r>
        <w:rPr>
          <w:i/>
          <w:color w:val="231F20"/>
          <w:spacing w:val="-17"/>
        </w:rPr>
        <w:t xml:space="preserve"> </w:t>
      </w:r>
      <w:r>
        <w:rPr>
          <w:i/>
          <w:color w:val="231F20"/>
        </w:rPr>
        <w:t>of</w:t>
      </w:r>
      <w:r>
        <w:rPr>
          <w:i/>
          <w:color w:val="231F20"/>
          <w:spacing w:val="-16"/>
        </w:rPr>
        <w:t xml:space="preserve"> </w:t>
      </w:r>
      <w:r>
        <w:rPr>
          <w:i/>
          <w:color w:val="231F20"/>
        </w:rPr>
        <w:t>Information</w:t>
      </w:r>
      <w:r>
        <w:rPr>
          <w:i/>
          <w:color w:val="231F20"/>
          <w:spacing w:val="-17"/>
        </w:rPr>
        <w:t xml:space="preserve"> </w:t>
      </w:r>
      <w:r>
        <w:rPr>
          <w:i/>
          <w:color w:val="231F20"/>
        </w:rPr>
        <w:t>Act</w:t>
      </w:r>
      <w:r>
        <w:rPr>
          <w:i/>
          <w:color w:val="231F20"/>
          <w:spacing w:val="-17"/>
        </w:rPr>
        <w:t xml:space="preserve"> </w:t>
      </w:r>
      <w:r>
        <w:rPr>
          <w:color w:val="231F20"/>
        </w:rPr>
        <w:t>1982</w:t>
      </w:r>
      <w:r>
        <w:rPr>
          <w:color w:val="231F20"/>
          <w:spacing w:val="-17"/>
        </w:rPr>
        <w:t xml:space="preserve"> </w:t>
      </w:r>
      <w:r>
        <w:rPr>
          <w:color w:val="231F20"/>
        </w:rPr>
        <w:t>gives</w:t>
      </w:r>
      <w:r>
        <w:rPr>
          <w:color w:val="231F20"/>
          <w:spacing w:val="-16"/>
        </w:rPr>
        <w:t xml:space="preserve"> </w:t>
      </w:r>
      <w:r>
        <w:rPr>
          <w:color w:val="231F20"/>
        </w:rPr>
        <w:t>people</w:t>
      </w:r>
      <w:r>
        <w:rPr>
          <w:color w:val="231F20"/>
          <w:spacing w:val="-15"/>
        </w:rPr>
        <w:t xml:space="preserve"> </w:t>
      </w:r>
      <w:r>
        <w:rPr>
          <w:color w:val="231F20"/>
        </w:rPr>
        <w:t>the</w:t>
      </w:r>
      <w:r>
        <w:rPr>
          <w:color w:val="231F20"/>
          <w:spacing w:val="-14"/>
        </w:rPr>
        <w:t xml:space="preserve"> </w:t>
      </w:r>
      <w:r>
        <w:rPr>
          <w:color w:val="231F20"/>
        </w:rPr>
        <w:t>right</w:t>
      </w:r>
      <w:r>
        <w:rPr>
          <w:color w:val="231F20"/>
          <w:spacing w:val="-13"/>
        </w:rPr>
        <w:t xml:space="preserve"> </w:t>
      </w:r>
      <w:r>
        <w:rPr>
          <w:color w:val="231F20"/>
        </w:rPr>
        <w:t>to</w:t>
      </w:r>
      <w:r>
        <w:rPr>
          <w:color w:val="231F20"/>
          <w:spacing w:val="-14"/>
        </w:rPr>
        <w:t xml:space="preserve"> </w:t>
      </w:r>
      <w:r>
        <w:rPr>
          <w:color w:val="231F20"/>
        </w:rPr>
        <w:t>request</w:t>
      </w:r>
      <w:r>
        <w:rPr>
          <w:color w:val="231F20"/>
          <w:spacing w:val="-13"/>
        </w:rPr>
        <w:t xml:space="preserve"> </w:t>
      </w:r>
      <w:r>
        <w:rPr>
          <w:color w:val="231F20"/>
        </w:rPr>
        <w:t>access</w:t>
      </w:r>
      <w:r>
        <w:rPr>
          <w:color w:val="231F20"/>
          <w:spacing w:val="-13"/>
        </w:rPr>
        <w:t xml:space="preserve"> </w:t>
      </w:r>
      <w:r>
        <w:rPr>
          <w:color w:val="231F20"/>
        </w:rPr>
        <w:t>to</w:t>
      </w:r>
      <w:r>
        <w:rPr>
          <w:color w:val="231F20"/>
          <w:spacing w:val="-14"/>
        </w:rPr>
        <w:t xml:space="preserve"> </w:t>
      </w:r>
      <w:r>
        <w:rPr>
          <w:color w:val="231F20"/>
        </w:rPr>
        <w:t>information</w:t>
      </w:r>
      <w:r>
        <w:rPr>
          <w:color w:val="231F20"/>
          <w:spacing w:val="-14"/>
        </w:rPr>
        <w:t xml:space="preserve"> </w:t>
      </w:r>
      <w:r>
        <w:rPr>
          <w:color w:val="231F20"/>
        </w:rPr>
        <w:t>held by the Victorian Government and its agencies, including personal documents and documents relating</w:t>
      </w:r>
      <w:r>
        <w:rPr>
          <w:color w:val="231F20"/>
          <w:spacing w:val="-4"/>
        </w:rPr>
        <w:t xml:space="preserve"> </w:t>
      </w:r>
      <w:r>
        <w:rPr>
          <w:color w:val="231F20"/>
        </w:rPr>
        <w:t>to</w:t>
      </w:r>
      <w:r>
        <w:rPr>
          <w:color w:val="231F20"/>
          <w:spacing w:val="-4"/>
        </w:rPr>
        <w:t xml:space="preserve"> </w:t>
      </w:r>
      <w:r>
        <w:rPr>
          <w:color w:val="231F20"/>
        </w:rPr>
        <w:t>government</w:t>
      </w:r>
      <w:r>
        <w:rPr>
          <w:color w:val="231F20"/>
          <w:spacing w:val="-4"/>
        </w:rPr>
        <w:t xml:space="preserve"> </w:t>
      </w:r>
      <w:r>
        <w:rPr>
          <w:color w:val="231F20"/>
        </w:rPr>
        <w:t>activities.</w:t>
      </w:r>
      <w:r>
        <w:rPr>
          <w:color w:val="231F20"/>
          <w:spacing w:val="-4"/>
        </w:rPr>
        <w:t xml:space="preserve"> </w:t>
      </w:r>
      <w:r>
        <w:rPr>
          <w:color w:val="231F20"/>
        </w:rPr>
        <w:t>The</w:t>
      </w:r>
      <w:r>
        <w:rPr>
          <w:color w:val="231F20"/>
          <w:spacing w:val="-5"/>
        </w:rPr>
        <w:t xml:space="preserve"> </w:t>
      </w:r>
      <w:r>
        <w:rPr>
          <w:i/>
          <w:color w:val="231F20"/>
        </w:rPr>
        <w:t>Freedom</w:t>
      </w:r>
      <w:r>
        <w:rPr>
          <w:i/>
          <w:color w:val="231F20"/>
          <w:spacing w:val="-12"/>
        </w:rPr>
        <w:t xml:space="preserve"> </w:t>
      </w:r>
      <w:r>
        <w:rPr>
          <w:i/>
          <w:color w:val="231F20"/>
        </w:rPr>
        <w:t>of</w:t>
      </w:r>
      <w:r>
        <w:rPr>
          <w:i/>
          <w:color w:val="231F20"/>
          <w:spacing w:val="-12"/>
        </w:rPr>
        <w:t xml:space="preserve"> </w:t>
      </w:r>
      <w:r>
        <w:rPr>
          <w:i/>
          <w:color w:val="231F20"/>
        </w:rPr>
        <w:t>Information</w:t>
      </w:r>
      <w:r>
        <w:rPr>
          <w:i/>
          <w:color w:val="231F20"/>
          <w:spacing w:val="-12"/>
        </w:rPr>
        <w:t xml:space="preserve"> </w:t>
      </w:r>
      <w:r>
        <w:rPr>
          <w:i/>
          <w:color w:val="231F20"/>
        </w:rPr>
        <w:t>Act</w:t>
      </w:r>
      <w:r>
        <w:rPr>
          <w:i/>
          <w:color w:val="231F20"/>
          <w:spacing w:val="-12"/>
        </w:rPr>
        <w:t xml:space="preserve"> </w:t>
      </w:r>
      <w:r>
        <w:rPr>
          <w:color w:val="231F20"/>
        </w:rPr>
        <w:t>1982</w:t>
      </w:r>
      <w:r>
        <w:rPr>
          <w:color w:val="231F20"/>
          <w:spacing w:val="-5"/>
        </w:rPr>
        <w:t xml:space="preserve"> </w:t>
      </w:r>
      <w:r>
        <w:rPr>
          <w:color w:val="231F20"/>
        </w:rPr>
        <w:t>also</w:t>
      </w:r>
      <w:r>
        <w:rPr>
          <w:color w:val="231F20"/>
          <w:spacing w:val="-5"/>
        </w:rPr>
        <w:t xml:space="preserve"> </w:t>
      </w:r>
      <w:r>
        <w:rPr>
          <w:color w:val="231F20"/>
        </w:rPr>
        <w:t>allows</w:t>
      </w:r>
      <w:r>
        <w:rPr>
          <w:color w:val="231F20"/>
          <w:spacing w:val="-4"/>
        </w:rPr>
        <w:t xml:space="preserve"> </w:t>
      </w:r>
      <w:r>
        <w:rPr>
          <w:color w:val="231F20"/>
        </w:rPr>
        <w:t>people</w:t>
      </w:r>
      <w:r>
        <w:rPr>
          <w:color w:val="231F20"/>
          <w:spacing w:val="-5"/>
        </w:rPr>
        <w:t xml:space="preserve"> </w:t>
      </w:r>
      <w:r>
        <w:rPr>
          <w:color w:val="231F20"/>
        </w:rPr>
        <w:t>to request that incorrect or misleading</w:t>
      </w:r>
      <w:r>
        <w:rPr>
          <w:color w:val="231F20"/>
          <w:spacing w:val="-1"/>
        </w:rPr>
        <w:t xml:space="preserve"> </w:t>
      </w:r>
      <w:r>
        <w:rPr>
          <w:color w:val="231F20"/>
        </w:rPr>
        <w:t>information</w:t>
      </w:r>
      <w:r>
        <w:rPr>
          <w:color w:val="231F20"/>
          <w:spacing w:val="-1"/>
        </w:rPr>
        <w:t xml:space="preserve"> </w:t>
      </w:r>
      <w:r>
        <w:rPr>
          <w:color w:val="231F20"/>
        </w:rPr>
        <w:t>held</w:t>
      </w:r>
      <w:r>
        <w:rPr>
          <w:color w:val="231F20"/>
          <w:spacing w:val="-1"/>
        </w:rPr>
        <w:t xml:space="preserve"> </w:t>
      </w:r>
      <w:r>
        <w:rPr>
          <w:color w:val="231F20"/>
        </w:rPr>
        <w:t>by an</w:t>
      </w:r>
      <w:r>
        <w:rPr>
          <w:color w:val="231F20"/>
          <w:spacing w:val="-1"/>
        </w:rPr>
        <w:t xml:space="preserve"> </w:t>
      </w:r>
      <w:r>
        <w:rPr>
          <w:color w:val="231F20"/>
        </w:rPr>
        <w:t>agency is amended</w:t>
      </w:r>
      <w:r>
        <w:rPr>
          <w:color w:val="231F20"/>
          <w:spacing w:val="-1"/>
        </w:rPr>
        <w:t xml:space="preserve"> </w:t>
      </w:r>
      <w:r>
        <w:rPr>
          <w:color w:val="231F20"/>
        </w:rPr>
        <w:t>and</w:t>
      </w:r>
      <w:r>
        <w:rPr>
          <w:color w:val="231F20"/>
          <w:spacing w:val="-1"/>
        </w:rPr>
        <w:t xml:space="preserve"> </w:t>
      </w:r>
      <w:r>
        <w:rPr>
          <w:color w:val="231F20"/>
        </w:rPr>
        <w:t>provides an appeal process to review access decisions.</w:t>
      </w:r>
    </w:p>
    <w:p w14:paraId="5CFE6921" w14:textId="77777777" w:rsidR="00345EE3" w:rsidRDefault="00345EE3" w:rsidP="00345EE3">
      <w:pPr>
        <w:pStyle w:val="BodyText"/>
        <w:spacing w:before="120" w:line="242" w:lineRule="auto"/>
        <w:ind w:right="862"/>
      </w:pPr>
      <w:r>
        <w:rPr>
          <w:color w:val="231F20"/>
        </w:rPr>
        <w:t>In</w:t>
      </w:r>
      <w:r>
        <w:rPr>
          <w:color w:val="231F20"/>
          <w:spacing w:val="-9"/>
        </w:rPr>
        <w:t xml:space="preserve"> </w:t>
      </w:r>
      <w:r>
        <w:rPr>
          <w:color w:val="231F20"/>
        </w:rPr>
        <w:t>2021–22,</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received</w:t>
      </w:r>
      <w:r>
        <w:rPr>
          <w:color w:val="231F20"/>
          <w:spacing w:val="-9"/>
        </w:rPr>
        <w:t xml:space="preserve"> </w:t>
      </w:r>
      <w:r>
        <w:rPr>
          <w:color w:val="231F20"/>
        </w:rPr>
        <w:t>3,986</w:t>
      </w:r>
      <w:r>
        <w:rPr>
          <w:color w:val="231F20"/>
          <w:spacing w:val="-9"/>
        </w:rPr>
        <w:t xml:space="preserve"> </w:t>
      </w:r>
      <w:r>
        <w:rPr>
          <w:color w:val="231F20"/>
        </w:rPr>
        <w:t>requests</w:t>
      </w:r>
      <w:r>
        <w:rPr>
          <w:color w:val="231F20"/>
          <w:spacing w:val="-8"/>
        </w:rPr>
        <w:t xml:space="preserve"> </w:t>
      </w:r>
      <w:r>
        <w:rPr>
          <w:color w:val="231F20"/>
        </w:rPr>
        <w:t>for</w:t>
      </w:r>
      <w:r>
        <w:rPr>
          <w:color w:val="231F20"/>
          <w:spacing w:val="-8"/>
        </w:rPr>
        <w:t xml:space="preserve"> </w:t>
      </w:r>
      <w:r>
        <w:rPr>
          <w:color w:val="231F20"/>
        </w:rPr>
        <w:t>access</w:t>
      </w:r>
      <w:r>
        <w:rPr>
          <w:color w:val="231F20"/>
          <w:spacing w:val="-8"/>
        </w:rPr>
        <w:t xml:space="preserve"> </w:t>
      </w:r>
      <w:r>
        <w:rPr>
          <w:color w:val="231F20"/>
        </w:rPr>
        <w:t>to</w:t>
      </w:r>
      <w:r>
        <w:rPr>
          <w:color w:val="231F20"/>
          <w:spacing w:val="-9"/>
        </w:rPr>
        <w:t xml:space="preserve"> </w:t>
      </w:r>
      <w:r>
        <w:rPr>
          <w:color w:val="231F20"/>
        </w:rPr>
        <w:t>documents</w:t>
      </w:r>
      <w:r>
        <w:rPr>
          <w:color w:val="231F20"/>
          <w:spacing w:val="-8"/>
        </w:rPr>
        <w:t xml:space="preserve"> </w:t>
      </w:r>
      <w:r>
        <w:rPr>
          <w:color w:val="231F20"/>
        </w:rPr>
        <w:t>under</w:t>
      </w:r>
      <w:r>
        <w:rPr>
          <w:color w:val="231F20"/>
          <w:spacing w:val="-8"/>
        </w:rPr>
        <w:t xml:space="preserve"> </w:t>
      </w:r>
      <w:r>
        <w:rPr>
          <w:color w:val="231F20"/>
        </w:rPr>
        <w:t>the</w:t>
      </w:r>
      <w:r>
        <w:rPr>
          <w:color w:val="231F20"/>
          <w:spacing w:val="-8"/>
        </w:rPr>
        <w:t xml:space="preserve"> </w:t>
      </w:r>
      <w:r>
        <w:rPr>
          <w:i/>
          <w:color w:val="231F20"/>
        </w:rPr>
        <w:t>Freedom of</w:t>
      </w:r>
      <w:r>
        <w:rPr>
          <w:i/>
          <w:color w:val="231F20"/>
          <w:spacing w:val="-10"/>
        </w:rPr>
        <w:t xml:space="preserve"> </w:t>
      </w:r>
      <w:r>
        <w:rPr>
          <w:i/>
          <w:color w:val="231F20"/>
        </w:rPr>
        <w:t>Information</w:t>
      </w:r>
      <w:r>
        <w:rPr>
          <w:i/>
          <w:color w:val="231F20"/>
          <w:spacing w:val="-10"/>
        </w:rPr>
        <w:t xml:space="preserve"> </w:t>
      </w:r>
      <w:r>
        <w:rPr>
          <w:i/>
          <w:color w:val="231F20"/>
        </w:rPr>
        <w:t>Act</w:t>
      </w:r>
      <w:r>
        <w:rPr>
          <w:i/>
          <w:color w:val="231F20"/>
          <w:spacing w:val="-6"/>
        </w:rPr>
        <w:t xml:space="preserve"> </w:t>
      </w:r>
      <w:r>
        <w:rPr>
          <w:color w:val="231F20"/>
        </w:rPr>
        <w:t>1982,</w:t>
      </w:r>
      <w:r>
        <w:rPr>
          <w:color w:val="231F20"/>
          <w:spacing w:val="-1"/>
        </w:rPr>
        <w:t xml:space="preserve"> </w:t>
      </w:r>
      <w:r>
        <w:rPr>
          <w:color w:val="231F20"/>
        </w:rPr>
        <w:t>including</w:t>
      </w:r>
      <w:r>
        <w:rPr>
          <w:color w:val="231F20"/>
          <w:spacing w:val="-2"/>
        </w:rPr>
        <w:t xml:space="preserve"> </w:t>
      </w:r>
      <w:r>
        <w:rPr>
          <w:color w:val="231F20"/>
        </w:rPr>
        <w:t>requests</w:t>
      </w:r>
      <w:r>
        <w:rPr>
          <w:color w:val="231F20"/>
          <w:spacing w:val="-1"/>
        </w:rPr>
        <w:t xml:space="preserve"> </w:t>
      </w:r>
      <w:r>
        <w:rPr>
          <w:color w:val="231F20"/>
        </w:rPr>
        <w:t>from</w:t>
      </w:r>
      <w:r>
        <w:rPr>
          <w:color w:val="231F20"/>
          <w:spacing w:val="-1"/>
        </w:rPr>
        <w:t xml:space="preserve"> </w:t>
      </w:r>
      <w:r>
        <w:rPr>
          <w:color w:val="231F20"/>
        </w:rPr>
        <w:t>applicants</w:t>
      </w:r>
      <w:r>
        <w:rPr>
          <w:color w:val="231F20"/>
          <w:spacing w:val="-1"/>
        </w:rPr>
        <w:t xml:space="preserve"> </w:t>
      </w:r>
      <w:r>
        <w:rPr>
          <w:color w:val="231F20"/>
        </w:rPr>
        <w:t>to</w:t>
      </w:r>
      <w:r>
        <w:rPr>
          <w:color w:val="231F20"/>
          <w:spacing w:val="-2"/>
        </w:rPr>
        <w:t xml:space="preserve"> </w:t>
      </w:r>
      <w:r>
        <w:rPr>
          <w:color w:val="231F20"/>
        </w:rPr>
        <w:t>amend</w:t>
      </w:r>
      <w:r>
        <w:rPr>
          <w:color w:val="231F20"/>
          <w:spacing w:val="-2"/>
        </w:rPr>
        <w:t xml:space="preserve"> </w:t>
      </w:r>
      <w:r>
        <w:rPr>
          <w:color w:val="231F20"/>
        </w:rPr>
        <w:t>personal</w:t>
      </w:r>
      <w:r>
        <w:rPr>
          <w:color w:val="231F20"/>
          <w:spacing w:val="-2"/>
        </w:rPr>
        <w:t xml:space="preserve"> </w:t>
      </w:r>
      <w:r>
        <w:rPr>
          <w:color w:val="231F20"/>
        </w:rPr>
        <w:t>information.</w:t>
      </w:r>
      <w:r>
        <w:rPr>
          <w:color w:val="231F20"/>
          <w:spacing w:val="-1"/>
        </w:rPr>
        <w:t xml:space="preserve"> </w:t>
      </w:r>
      <w:r>
        <w:rPr>
          <w:color w:val="231F20"/>
        </w:rPr>
        <w:t>Of those</w:t>
      </w:r>
      <w:r>
        <w:rPr>
          <w:color w:val="231F20"/>
          <w:spacing w:val="-10"/>
        </w:rPr>
        <w:t xml:space="preserve"> </w:t>
      </w:r>
      <w:r>
        <w:rPr>
          <w:color w:val="231F20"/>
        </w:rPr>
        <w:t>applications,</w:t>
      </w:r>
      <w:r>
        <w:rPr>
          <w:color w:val="231F20"/>
          <w:spacing w:val="-9"/>
        </w:rPr>
        <w:t xml:space="preserve"> </w:t>
      </w:r>
      <w:r>
        <w:rPr>
          <w:color w:val="231F20"/>
        </w:rPr>
        <w:t>3,399</w:t>
      </w:r>
      <w:r>
        <w:rPr>
          <w:color w:val="231F20"/>
          <w:spacing w:val="-10"/>
        </w:rPr>
        <w:t xml:space="preserve"> </w:t>
      </w:r>
      <w:r>
        <w:rPr>
          <w:color w:val="231F20"/>
        </w:rPr>
        <w:t>related</w:t>
      </w:r>
      <w:r>
        <w:rPr>
          <w:color w:val="231F20"/>
          <w:spacing w:val="-10"/>
        </w:rPr>
        <w:t xml:space="preserve"> </w:t>
      </w:r>
      <w:r>
        <w:rPr>
          <w:color w:val="231F20"/>
        </w:rPr>
        <w:t>to</w:t>
      </w:r>
      <w:r>
        <w:rPr>
          <w:color w:val="231F20"/>
          <w:spacing w:val="-10"/>
        </w:rPr>
        <w:t xml:space="preserve"> </w:t>
      </w:r>
      <w:r>
        <w:rPr>
          <w:color w:val="231F20"/>
        </w:rPr>
        <w:t>personal</w:t>
      </w:r>
      <w:r>
        <w:rPr>
          <w:color w:val="231F20"/>
          <w:spacing w:val="-10"/>
        </w:rPr>
        <w:t xml:space="preserve"> </w:t>
      </w:r>
      <w:r>
        <w:rPr>
          <w:color w:val="231F20"/>
        </w:rPr>
        <w:t>requests</w:t>
      </w:r>
      <w:r>
        <w:rPr>
          <w:color w:val="231F20"/>
          <w:spacing w:val="-9"/>
        </w:rPr>
        <w:t xml:space="preserve"> </w:t>
      </w:r>
      <w:r>
        <w:rPr>
          <w:color w:val="231F20"/>
        </w:rPr>
        <w:t>and</w:t>
      </w:r>
      <w:r>
        <w:rPr>
          <w:color w:val="231F20"/>
          <w:spacing w:val="-10"/>
        </w:rPr>
        <w:t xml:space="preserve"> </w:t>
      </w:r>
      <w:r>
        <w:rPr>
          <w:color w:val="231F20"/>
        </w:rPr>
        <w:t>587</w:t>
      </w:r>
      <w:r>
        <w:rPr>
          <w:color w:val="231F20"/>
          <w:spacing w:val="-10"/>
        </w:rPr>
        <w:t xml:space="preserve"> </w:t>
      </w:r>
      <w:r>
        <w:rPr>
          <w:color w:val="231F20"/>
        </w:rPr>
        <w:t>were</w:t>
      </w:r>
      <w:r>
        <w:rPr>
          <w:color w:val="231F20"/>
          <w:spacing w:val="-10"/>
        </w:rPr>
        <w:t xml:space="preserve"> </w:t>
      </w:r>
      <w:r>
        <w:rPr>
          <w:color w:val="231F20"/>
        </w:rPr>
        <w:t>non-personal</w:t>
      </w:r>
      <w:r>
        <w:rPr>
          <w:color w:val="231F20"/>
          <w:spacing w:val="-10"/>
        </w:rPr>
        <w:t xml:space="preserve"> </w:t>
      </w:r>
      <w:r>
        <w:rPr>
          <w:color w:val="231F20"/>
        </w:rPr>
        <w:t>requests.</w:t>
      </w:r>
      <w:r>
        <w:rPr>
          <w:color w:val="231F20"/>
          <w:spacing w:val="-9"/>
        </w:rPr>
        <w:t xml:space="preserve"> </w:t>
      </w:r>
      <w:r>
        <w:rPr>
          <w:color w:val="231F20"/>
        </w:rPr>
        <w:t>One application was received from a Member of Parliament, 38 were received from the media and the remaining 3,947 were from the public.</w:t>
      </w:r>
    </w:p>
    <w:p w14:paraId="2713FECE" w14:textId="77777777" w:rsidR="00345EE3" w:rsidRDefault="00345EE3" w:rsidP="00345EE3">
      <w:pPr>
        <w:pStyle w:val="BodyText"/>
        <w:spacing w:before="120" w:line="242" w:lineRule="auto"/>
        <w:ind w:right="848"/>
      </w:pPr>
      <w:r>
        <w:rPr>
          <w:color w:val="231F20"/>
        </w:rPr>
        <w:t>Reviews of decisions made since 1 December 2012 are the responsibility of the Office of the Victorian Information Commissioner. Details of the number of applications for review and the decisions</w:t>
      </w:r>
      <w:r>
        <w:rPr>
          <w:color w:val="231F20"/>
          <w:spacing w:val="-7"/>
        </w:rPr>
        <w:t xml:space="preserve"> </w:t>
      </w:r>
      <w:r>
        <w:rPr>
          <w:color w:val="231F20"/>
        </w:rPr>
        <w:t>are</w:t>
      </w:r>
      <w:r>
        <w:rPr>
          <w:color w:val="231F20"/>
          <w:spacing w:val="-8"/>
        </w:rPr>
        <w:t xml:space="preserve"> </w:t>
      </w:r>
      <w:r>
        <w:rPr>
          <w:color w:val="231F20"/>
        </w:rPr>
        <w:t>published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Office</w:t>
      </w:r>
      <w:r>
        <w:rPr>
          <w:color w:val="231F20"/>
          <w:spacing w:val="-8"/>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Victorian</w:t>
      </w:r>
      <w:r>
        <w:rPr>
          <w:color w:val="231F20"/>
          <w:spacing w:val="-8"/>
        </w:rPr>
        <w:t xml:space="preserve"> </w:t>
      </w:r>
      <w:r>
        <w:rPr>
          <w:color w:val="231F20"/>
        </w:rPr>
        <w:t>Information</w:t>
      </w:r>
      <w:r>
        <w:rPr>
          <w:color w:val="231F20"/>
          <w:spacing w:val="-8"/>
        </w:rPr>
        <w:t xml:space="preserve"> </w:t>
      </w:r>
      <w:r>
        <w:rPr>
          <w:color w:val="231F20"/>
        </w:rPr>
        <w:t>Commissioner’s</w:t>
      </w:r>
      <w:r>
        <w:rPr>
          <w:color w:val="231F20"/>
          <w:spacing w:val="-7"/>
        </w:rPr>
        <w:t xml:space="preserve"> </w:t>
      </w:r>
      <w:r>
        <w:rPr>
          <w:color w:val="231F20"/>
        </w:rPr>
        <w:t>Annual</w:t>
      </w:r>
      <w:r>
        <w:rPr>
          <w:color w:val="231F20"/>
          <w:spacing w:val="-8"/>
        </w:rPr>
        <w:t xml:space="preserve"> </w:t>
      </w:r>
      <w:r>
        <w:rPr>
          <w:color w:val="231F20"/>
        </w:rPr>
        <w:t>Report.</w:t>
      </w:r>
    </w:p>
    <w:p w14:paraId="4522DE88" w14:textId="77777777" w:rsidR="00345EE3" w:rsidRDefault="00345EE3" w:rsidP="00345EE3">
      <w:pPr>
        <w:pStyle w:val="BodyText"/>
        <w:spacing w:before="117" w:line="242" w:lineRule="auto"/>
        <w:ind w:right="921"/>
        <w:rPr>
          <w:color w:val="231F20"/>
        </w:rPr>
      </w:pPr>
      <w:r>
        <w:rPr>
          <w:color w:val="231F20"/>
        </w:rPr>
        <w:t>In</w:t>
      </w:r>
      <w:r>
        <w:rPr>
          <w:color w:val="231F20"/>
          <w:spacing w:val="-13"/>
        </w:rPr>
        <w:t xml:space="preserve"> </w:t>
      </w:r>
      <w:r>
        <w:rPr>
          <w:color w:val="231F20"/>
        </w:rPr>
        <w:t>2021–22,</w:t>
      </w:r>
      <w:r>
        <w:rPr>
          <w:color w:val="231F20"/>
          <w:spacing w:val="-12"/>
        </w:rPr>
        <w:t xml:space="preserve"> </w:t>
      </w:r>
      <w:r>
        <w:rPr>
          <w:color w:val="231F20"/>
        </w:rPr>
        <w:t>56</w:t>
      </w:r>
      <w:r>
        <w:rPr>
          <w:color w:val="231F20"/>
          <w:spacing w:val="-13"/>
        </w:rPr>
        <w:t xml:space="preserve"> </w:t>
      </w:r>
      <w:r>
        <w:rPr>
          <w:color w:val="231F20"/>
        </w:rPr>
        <w:t>appeals</w:t>
      </w:r>
      <w:r>
        <w:rPr>
          <w:color w:val="231F20"/>
          <w:spacing w:val="-12"/>
        </w:rPr>
        <w:t xml:space="preserve"> </w:t>
      </w:r>
      <w:r>
        <w:rPr>
          <w:color w:val="231F20"/>
        </w:rPr>
        <w:t>were</w:t>
      </w:r>
      <w:r>
        <w:rPr>
          <w:color w:val="231F20"/>
          <w:spacing w:val="-13"/>
        </w:rPr>
        <w:t xml:space="preserve"> </w:t>
      </w:r>
      <w:r>
        <w:rPr>
          <w:color w:val="231F20"/>
        </w:rPr>
        <w:t>lodged</w:t>
      </w:r>
      <w:r>
        <w:rPr>
          <w:color w:val="231F20"/>
          <w:spacing w:val="-13"/>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Victorian</w:t>
      </w:r>
      <w:r>
        <w:rPr>
          <w:color w:val="231F20"/>
          <w:spacing w:val="-13"/>
        </w:rPr>
        <w:t xml:space="preserve"> </w:t>
      </w:r>
      <w:r>
        <w:rPr>
          <w:color w:val="231F20"/>
        </w:rPr>
        <w:t>Civil</w:t>
      </w:r>
      <w:r>
        <w:rPr>
          <w:color w:val="231F20"/>
          <w:spacing w:val="-13"/>
        </w:rPr>
        <w:t xml:space="preserve"> </w:t>
      </w:r>
      <w:r>
        <w:rPr>
          <w:color w:val="231F20"/>
        </w:rPr>
        <w:t>and</w:t>
      </w:r>
      <w:r>
        <w:rPr>
          <w:color w:val="231F20"/>
          <w:spacing w:val="-13"/>
        </w:rPr>
        <w:t xml:space="preserve"> </w:t>
      </w:r>
      <w:r>
        <w:rPr>
          <w:color w:val="231F20"/>
        </w:rPr>
        <w:t>Administrative</w:t>
      </w:r>
      <w:r>
        <w:rPr>
          <w:color w:val="231F20"/>
          <w:spacing w:val="-13"/>
        </w:rPr>
        <w:t xml:space="preserve"> </w:t>
      </w:r>
      <w:r>
        <w:rPr>
          <w:color w:val="231F20"/>
        </w:rPr>
        <w:t>Tribunal</w:t>
      </w:r>
      <w:r>
        <w:rPr>
          <w:color w:val="231F20"/>
          <w:spacing w:val="-13"/>
        </w:rPr>
        <w:t xml:space="preserve"> </w:t>
      </w:r>
      <w:r>
        <w:rPr>
          <w:color w:val="231F20"/>
        </w:rPr>
        <w:t>(VCAT) for final determination, with one confirmed and 27 cases withdrawn.</w:t>
      </w:r>
    </w:p>
    <w:p w14:paraId="65BFDC00" w14:textId="77777777" w:rsidR="00345EE3" w:rsidRDefault="00345EE3" w:rsidP="00345EE3">
      <w:pPr>
        <w:rPr>
          <w:color w:val="231F20"/>
          <w:sz w:val="24"/>
          <w:szCs w:val="24"/>
        </w:rPr>
      </w:pPr>
      <w:r>
        <w:rPr>
          <w:color w:val="231F20"/>
        </w:rPr>
        <w:br w:type="page"/>
      </w:r>
    </w:p>
    <w:p w14:paraId="0C67C89D" w14:textId="77777777" w:rsidR="00345EE3" w:rsidRDefault="00345EE3" w:rsidP="00345EE3">
      <w:pPr>
        <w:spacing w:before="121"/>
        <w:ind w:left="110"/>
        <w:rPr>
          <w:rFonts w:ascii="Arial-BoldItalicMT"/>
          <w:b/>
          <w:i/>
          <w:color w:val="231F20"/>
          <w:spacing w:val="-2"/>
          <w:sz w:val="18"/>
        </w:rPr>
      </w:pPr>
      <w:r>
        <w:rPr>
          <w:color w:val="231F20"/>
          <w:sz w:val="18"/>
        </w:rPr>
        <w:t>Table</w:t>
      </w:r>
      <w:r>
        <w:rPr>
          <w:color w:val="231F20"/>
          <w:spacing w:val="-5"/>
          <w:sz w:val="18"/>
        </w:rPr>
        <w:t xml:space="preserve"> </w:t>
      </w:r>
      <w:r>
        <w:rPr>
          <w:color w:val="231F20"/>
          <w:sz w:val="18"/>
        </w:rPr>
        <w:t>5.3:</w:t>
      </w:r>
      <w:r>
        <w:rPr>
          <w:color w:val="231F20"/>
          <w:spacing w:val="-5"/>
          <w:sz w:val="18"/>
        </w:rPr>
        <w:t xml:space="preserve"> </w:t>
      </w:r>
      <w:r>
        <w:rPr>
          <w:rFonts w:ascii="Arial-BoldItalicMT"/>
          <w:b/>
          <w:i/>
          <w:color w:val="231F20"/>
          <w:sz w:val="18"/>
        </w:rPr>
        <w:t>Requests</w:t>
      </w:r>
      <w:r>
        <w:rPr>
          <w:rFonts w:ascii="Arial-BoldItalicMT"/>
          <w:b/>
          <w:i/>
          <w:color w:val="231F20"/>
          <w:spacing w:val="-8"/>
          <w:sz w:val="18"/>
        </w:rPr>
        <w:t xml:space="preserve"> </w:t>
      </w:r>
      <w:r>
        <w:rPr>
          <w:rFonts w:ascii="Arial-BoldItalicMT"/>
          <w:b/>
          <w:i/>
          <w:color w:val="231F20"/>
          <w:sz w:val="18"/>
        </w:rPr>
        <w:t>for</w:t>
      </w:r>
      <w:r>
        <w:rPr>
          <w:rFonts w:ascii="Arial-BoldItalicMT"/>
          <w:b/>
          <w:i/>
          <w:color w:val="231F20"/>
          <w:spacing w:val="-7"/>
          <w:sz w:val="18"/>
        </w:rPr>
        <w:t xml:space="preserve"> </w:t>
      </w:r>
      <w:r>
        <w:rPr>
          <w:rFonts w:ascii="Arial-BoldItalicMT"/>
          <w:b/>
          <w:i/>
          <w:color w:val="231F20"/>
          <w:sz w:val="18"/>
        </w:rPr>
        <w:t>Access</w:t>
      </w:r>
      <w:r>
        <w:rPr>
          <w:rFonts w:ascii="Arial-BoldItalicMT"/>
          <w:b/>
          <w:i/>
          <w:color w:val="231F20"/>
          <w:spacing w:val="-8"/>
          <w:sz w:val="18"/>
        </w:rPr>
        <w:t xml:space="preserve"> </w:t>
      </w:r>
      <w:r>
        <w:rPr>
          <w:rFonts w:ascii="Arial-BoldItalicMT"/>
          <w:b/>
          <w:i/>
          <w:color w:val="231F20"/>
          <w:sz w:val="18"/>
        </w:rPr>
        <w:t>to</w:t>
      </w:r>
      <w:r>
        <w:rPr>
          <w:rFonts w:ascii="Arial-BoldItalicMT"/>
          <w:b/>
          <w:i/>
          <w:color w:val="231F20"/>
          <w:spacing w:val="-7"/>
          <w:sz w:val="18"/>
        </w:rPr>
        <w:t xml:space="preserve"> </w:t>
      </w:r>
      <w:r>
        <w:rPr>
          <w:rFonts w:ascii="Arial-BoldItalicMT"/>
          <w:b/>
          <w:i/>
          <w:color w:val="231F20"/>
          <w:spacing w:val="-2"/>
          <w:sz w:val="18"/>
        </w:rPr>
        <w:t>Documents</w:t>
      </w:r>
    </w:p>
    <w:tbl>
      <w:tblPr>
        <w:tblW w:w="0" w:type="auto"/>
        <w:tblInd w:w="156" w:type="dxa"/>
        <w:tblLayout w:type="fixed"/>
        <w:tblCellMar>
          <w:left w:w="0" w:type="dxa"/>
          <w:right w:w="0" w:type="dxa"/>
        </w:tblCellMar>
        <w:tblLook w:val="0000" w:firstRow="0" w:lastRow="0" w:firstColumn="0" w:lastColumn="0" w:noHBand="0" w:noVBand="0"/>
      </w:tblPr>
      <w:tblGrid>
        <w:gridCol w:w="3713"/>
        <w:gridCol w:w="1248"/>
      </w:tblGrid>
      <w:tr w:rsidR="00345EE3" w:rsidRPr="00E600DE" w14:paraId="4500A84D" w14:textId="77777777" w:rsidTr="00D73130">
        <w:trPr>
          <w:trHeight w:val="60"/>
          <w:tblHeader/>
        </w:trPr>
        <w:tc>
          <w:tcPr>
            <w:tcW w:w="3713" w:type="dxa"/>
            <w:tcBorders>
              <w:top w:val="single" w:sz="6" w:space="0" w:color="000000"/>
              <w:left w:val="single" w:sz="6" w:space="0" w:color="000000"/>
              <w:bottom w:val="single" w:sz="6" w:space="0" w:color="9D9C9C"/>
              <w:right w:val="single" w:sz="6" w:space="0" w:color="auto"/>
            </w:tcBorders>
            <w:shd w:val="solid" w:color="004996" w:fill="auto"/>
            <w:tcMar>
              <w:top w:w="113" w:type="dxa"/>
              <w:left w:w="14" w:type="dxa"/>
              <w:bottom w:w="113" w:type="dxa"/>
              <w:right w:w="14" w:type="dxa"/>
            </w:tcMar>
          </w:tcPr>
          <w:p w14:paraId="0487F5FF" w14:textId="77777777" w:rsidR="00345EE3" w:rsidRPr="00E600D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E600DE">
              <w:rPr>
                <w:rFonts w:eastAsiaTheme="minorHAnsi"/>
                <w:b/>
                <w:bCs/>
                <w:color w:val="FFFFFF"/>
                <w:sz w:val="24"/>
                <w:szCs w:val="24"/>
                <w:lang w:val="en-GB"/>
              </w:rPr>
              <w:t>Type of Request</w:t>
            </w:r>
          </w:p>
        </w:tc>
        <w:tc>
          <w:tcPr>
            <w:tcW w:w="1248" w:type="dxa"/>
            <w:tcBorders>
              <w:top w:val="single" w:sz="6" w:space="0" w:color="auto"/>
              <w:left w:val="single" w:sz="6" w:space="0" w:color="auto"/>
              <w:bottom w:val="single" w:sz="6" w:space="0" w:color="auto"/>
              <w:right w:val="single" w:sz="6" w:space="0" w:color="auto"/>
            </w:tcBorders>
            <w:shd w:val="solid" w:color="004996" w:fill="auto"/>
            <w:tcMar>
              <w:top w:w="113" w:type="dxa"/>
              <w:left w:w="14" w:type="dxa"/>
              <w:bottom w:w="113" w:type="dxa"/>
              <w:right w:w="14" w:type="dxa"/>
            </w:tcMar>
          </w:tcPr>
          <w:p w14:paraId="6EF4EBA2" w14:textId="77777777" w:rsidR="00345EE3" w:rsidRPr="00E600D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E600DE">
              <w:rPr>
                <w:rFonts w:eastAsiaTheme="minorHAnsi"/>
                <w:b/>
                <w:bCs/>
                <w:color w:val="FFFFFF"/>
                <w:spacing w:val="-2"/>
                <w:sz w:val="24"/>
                <w:szCs w:val="24"/>
                <w:lang w:val="en-GB"/>
              </w:rPr>
              <w:t>Number</w:t>
            </w:r>
          </w:p>
        </w:tc>
      </w:tr>
      <w:tr w:rsidR="00345EE3" w:rsidRPr="00E600DE" w14:paraId="07AD39DA" w14:textId="77777777" w:rsidTr="00D73130">
        <w:trPr>
          <w:trHeight w:val="60"/>
        </w:trPr>
        <w:tc>
          <w:tcPr>
            <w:tcW w:w="371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54574F4" w14:textId="77777777" w:rsidR="00345EE3" w:rsidRPr="00E600D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E600DE">
              <w:rPr>
                <w:rFonts w:eastAsiaTheme="minorHAnsi"/>
                <w:color w:val="000000"/>
                <w:sz w:val="24"/>
                <w:szCs w:val="24"/>
                <w:lang w:val="en-GB"/>
              </w:rPr>
              <w:t>Personal</w:t>
            </w:r>
          </w:p>
        </w:tc>
        <w:tc>
          <w:tcPr>
            <w:tcW w:w="1248"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4A48C76" w14:textId="77777777" w:rsidR="00345EE3" w:rsidRPr="00E600D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E600DE">
              <w:rPr>
                <w:rFonts w:eastAsiaTheme="minorHAnsi"/>
                <w:color w:val="000000"/>
                <w:spacing w:val="-2"/>
                <w:sz w:val="24"/>
                <w:szCs w:val="24"/>
                <w:lang w:val="en-GB"/>
              </w:rPr>
              <w:t>3,399</w:t>
            </w:r>
          </w:p>
        </w:tc>
      </w:tr>
      <w:tr w:rsidR="00345EE3" w:rsidRPr="00E600DE" w14:paraId="11E96728" w14:textId="77777777" w:rsidTr="00D73130">
        <w:trPr>
          <w:trHeight w:val="60"/>
        </w:trPr>
        <w:tc>
          <w:tcPr>
            <w:tcW w:w="371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B910F67" w14:textId="77777777" w:rsidR="00345EE3" w:rsidRPr="00E600D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E600DE">
              <w:rPr>
                <w:rFonts w:eastAsiaTheme="minorHAnsi"/>
                <w:color w:val="000000"/>
                <w:sz w:val="24"/>
                <w:szCs w:val="24"/>
                <w:lang w:val="en-GB"/>
              </w:rPr>
              <w:t>Non-Personal</w:t>
            </w:r>
          </w:p>
        </w:tc>
        <w:tc>
          <w:tcPr>
            <w:tcW w:w="1248"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708A688" w14:textId="77777777" w:rsidR="00345EE3" w:rsidRPr="00E600D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E600DE">
              <w:rPr>
                <w:rFonts w:eastAsiaTheme="minorHAnsi"/>
                <w:color w:val="000000"/>
                <w:spacing w:val="-2"/>
                <w:sz w:val="24"/>
                <w:szCs w:val="24"/>
                <w:lang w:val="en-GB"/>
              </w:rPr>
              <w:t>587</w:t>
            </w:r>
          </w:p>
        </w:tc>
      </w:tr>
      <w:tr w:rsidR="00345EE3" w:rsidRPr="00E600DE" w14:paraId="59409592" w14:textId="77777777" w:rsidTr="00D73130">
        <w:trPr>
          <w:trHeight w:val="60"/>
        </w:trPr>
        <w:tc>
          <w:tcPr>
            <w:tcW w:w="3713"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42272267" w14:textId="77777777" w:rsidR="00345EE3" w:rsidRPr="00E600D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E600DE">
              <w:rPr>
                <w:rFonts w:eastAsiaTheme="minorHAnsi"/>
                <w:b/>
                <w:bCs/>
                <w:color w:val="000000"/>
                <w:sz w:val="24"/>
                <w:szCs w:val="24"/>
                <w:lang w:val="en-GB"/>
              </w:rPr>
              <w:t>Total</w:t>
            </w:r>
          </w:p>
        </w:tc>
        <w:tc>
          <w:tcPr>
            <w:tcW w:w="1248" w:type="dxa"/>
            <w:tcBorders>
              <w:top w:val="single" w:sz="2" w:space="0" w:color="9D9C9C"/>
              <w:left w:val="single" w:sz="2" w:space="0" w:color="9D9C9C"/>
              <w:bottom w:val="single" w:sz="6" w:space="0" w:color="000000"/>
              <w:right w:val="single" w:sz="6" w:space="0" w:color="9D9C9C"/>
            </w:tcBorders>
            <w:tcMar>
              <w:top w:w="113" w:type="dxa"/>
              <w:left w:w="14" w:type="dxa"/>
              <w:bottom w:w="113" w:type="dxa"/>
              <w:right w:w="14" w:type="dxa"/>
            </w:tcMar>
          </w:tcPr>
          <w:p w14:paraId="725F9E16" w14:textId="77777777" w:rsidR="00345EE3" w:rsidRPr="00E600D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E600DE">
              <w:rPr>
                <w:rFonts w:eastAsiaTheme="minorHAnsi"/>
                <w:b/>
                <w:bCs/>
                <w:color w:val="000000"/>
                <w:sz w:val="24"/>
                <w:szCs w:val="24"/>
                <w:lang w:val="en-GB"/>
              </w:rPr>
              <w:t>3,986</w:t>
            </w:r>
          </w:p>
        </w:tc>
      </w:tr>
    </w:tbl>
    <w:p w14:paraId="1DB6EB51" w14:textId="77777777" w:rsidR="00345EE3" w:rsidRDefault="00345EE3" w:rsidP="00345EE3">
      <w:pPr>
        <w:pStyle w:val="BodyText"/>
        <w:spacing w:before="2"/>
        <w:rPr>
          <w:rFonts w:ascii="Arial-BoldItalicMT"/>
          <w:b/>
          <w:i/>
          <w:sz w:val="2"/>
        </w:rPr>
      </w:pPr>
    </w:p>
    <w:p w14:paraId="0D6E3DC6" w14:textId="77777777" w:rsidR="00345EE3" w:rsidRDefault="00345EE3" w:rsidP="00345EE3">
      <w:pPr>
        <w:spacing w:before="70"/>
        <w:ind w:left="110"/>
        <w:rPr>
          <w:sz w:val="14"/>
        </w:rPr>
      </w:pPr>
      <w:r>
        <w:rPr>
          <w:rFonts w:ascii="Arial-BoldItalicMT"/>
          <w:b/>
          <w:i/>
          <w:color w:val="231F20"/>
          <w:sz w:val="14"/>
        </w:rPr>
        <w:t xml:space="preserve">Source: </w:t>
      </w:r>
      <w:r>
        <w:rPr>
          <w:color w:val="231F20"/>
          <w:sz w:val="14"/>
        </w:rPr>
        <w:t>Freedom</w:t>
      </w:r>
      <w:r>
        <w:rPr>
          <w:color w:val="231F20"/>
          <w:spacing w:val="-1"/>
          <w:sz w:val="14"/>
        </w:rPr>
        <w:t xml:space="preserve"> </w:t>
      </w:r>
      <w:r>
        <w:rPr>
          <w:color w:val="231F20"/>
          <w:sz w:val="14"/>
        </w:rPr>
        <w:t>of Information</w:t>
      </w:r>
      <w:r>
        <w:rPr>
          <w:color w:val="231F20"/>
          <w:spacing w:val="-1"/>
          <w:sz w:val="14"/>
        </w:rPr>
        <w:t xml:space="preserve"> </w:t>
      </w:r>
      <w:r>
        <w:rPr>
          <w:color w:val="231F20"/>
          <w:sz w:val="14"/>
        </w:rPr>
        <w:t>Division.</w:t>
      </w:r>
      <w:r>
        <w:rPr>
          <w:color w:val="231F20"/>
          <w:spacing w:val="-1"/>
          <w:sz w:val="14"/>
        </w:rPr>
        <w:t xml:space="preserve"> </w:t>
      </w:r>
      <w:r>
        <w:rPr>
          <w:color w:val="231F20"/>
          <w:sz w:val="14"/>
        </w:rPr>
        <w:t>Data extracted</w:t>
      </w:r>
      <w:r>
        <w:rPr>
          <w:color w:val="231F20"/>
          <w:spacing w:val="-1"/>
          <w:sz w:val="14"/>
        </w:rPr>
        <w:t xml:space="preserve"> </w:t>
      </w:r>
      <w:r>
        <w:rPr>
          <w:color w:val="231F20"/>
          <w:sz w:val="14"/>
        </w:rPr>
        <w:t>from</w:t>
      </w:r>
      <w:r>
        <w:rPr>
          <w:color w:val="231F20"/>
          <w:spacing w:val="-1"/>
          <w:sz w:val="14"/>
        </w:rPr>
        <w:t xml:space="preserve"> </w:t>
      </w:r>
      <w:r>
        <w:rPr>
          <w:color w:val="231F20"/>
          <w:sz w:val="14"/>
        </w:rPr>
        <w:t>Freedom of</w:t>
      </w:r>
      <w:r>
        <w:rPr>
          <w:color w:val="231F20"/>
          <w:spacing w:val="-1"/>
          <w:sz w:val="14"/>
        </w:rPr>
        <w:t xml:space="preserve"> </w:t>
      </w:r>
      <w:r>
        <w:rPr>
          <w:color w:val="231F20"/>
          <w:sz w:val="14"/>
        </w:rPr>
        <w:t>Information</w:t>
      </w:r>
      <w:r>
        <w:rPr>
          <w:color w:val="231F20"/>
          <w:spacing w:val="38"/>
          <w:sz w:val="14"/>
        </w:rPr>
        <w:t xml:space="preserve"> </w:t>
      </w:r>
      <w:r>
        <w:rPr>
          <w:color w:val="231F20"/>
          <w:sz w:val="14"/>
        </w:rPr>
        <w:t>and</w:t>
      </w:r>
      <w:r>
        <w:rPr>
          <w:color w:val="231F20"/>
          <w:spacing w:val="-1"/>
          <w:sz w:val="14"/>
        </w:rPr>
        <w:t xml:space="preserve"> </w:t>
      </w:r>
      <w:r>
        <w:rPr>
          <w:color w:val="231F20"/>
          <w:sz w:val="14"/>
        </w:rPr>
        <w:t>Legal Services</w:t>
      </w:r>
      <w:r>
        <w:rPr>
          <w:color w:val="231F20"/>
          <w:spacing w:val="-1"/>
          <w:sz w:val="14"/>
        </w:rPr>
        <w:t xml:space="preserve"> </w:t>
      </w:r>
      <w:r>
        <w:rPr>
          <w:color w:val="231F20"/>
          <w:sz w:val="14"/>
        </w:rPr>
        <w:t>Databases</w:t>
      </w:r>
      <w:r>
        <w:rPr>
          <w:color w:val="231F20"/>
          <w:spacing w:val="-1"/>
          <w:sz w:val="14"/>
        </w:rPr>
        <w:t xml:space="preserve"> </w:t>
      </w:r>
      <w:r>
        <w:rPr>
          <w:color w:val="231F20"/>
          <w:sz w:val="14"/>
        </w:rPr>
        <w:t>on 15</w:t>
      </w:r>
      <w:r>
        <w:rPr>
          <w:color w:val="231F20"/>
          <w:spacing w:val="-1"/>
          <w:sz w:val="14"/>
        </w:rPr>
        <w:t xml:space="preserve"> </w:t>
      </w:r>
      <w:r>
        <w:rPr>
          <w:color w:val="231F20"/>
          <w:sz w:val="14"/>
        </w:rPr>
        <w:t xml:space="preserve">July </w:t>
      </w:r>
      <w:r>
        <w:rPr>
          <w:color w:val="231F20"/>
          <w:spacing w:val="-2"/>
          <w:sz w:val="14"/>
        </w:rPr>
        <w:t>2022.</w:t>
      </w:r>
    </w:p>
    <w:p w14:paraId="59448302" w14:textId="77777777" w:rsidR="00345EE3" w:rsidRDefault="00345EE3" w:rsidP="00345EE3">
      <w:pPr>
        <w:pStyle w:val="BodyText"/>
        <w:rPr>
          <w:sz w:val="13"/>
        </w:rPr>
      </w:pPr>
    </w:p>
    <w:p w14:paraId="3462D8C4" w14:textId="77777777" w:rsidR="00345EE3" w:rsidRDefault="00345EE3" w:rsidP="002A27BA">
      <w:pPr>
        <w:pStyle w:val="Heading3"/>
      </w:pPr>
      <w:r>
        <w:t>Compliance</w:t>
      </w:r>
    </w:p>
    <w:p w14:paraId="4F22A667" w14:textId="77777777" w:rsidR="00345EE3" w:rsidRDefault="00345EE3" w:rsidP="00345EE3">
      <w:pPr>
        <w:pStyle w:val="BodyText"/>
        <w:spacing w:before="53" w:line="242" w:lineRule="auto"/>
        <w:ind w:right="990"/>
      </w:pPr>
      <w:r>
        <w:rPr>
          <w:color w:val="231F20"/>
        </w:rPr>
        <w:t>In 2021–22, Victoria Police processed 26 per cent of requests within the statutory time period, 3</w:t>
      </w:r>
      <w:r>
        <w:rPr>
          <w:color w:val="231F20"/>
          <w:spacing w:val="-7"/>
        </w:rPr>
        <w:t xml:space="preserve"> </w:t>
      </w:r>
      <w:r>
        <w:rPr>
          <w:color w:val="231F20"/>
        </w:rPr>
        <w:t>per</w:t>
      </w:r>
      <w:r>
        <w:rPr>
          <w:color w:val="231F20"/>
          <w:spacing w:val="-6"/>
        </w:rPr>
        <w:t xml:space="preserve"> </w:t>
      </w:r>
      <w:r>
        <w:rPr>
          <w:color w:val="231F20"/>
        </w:rPr>
        <w:t>cent</w:t>
      </w:r>
      <w:r>
        <w:rPr>
          <w:color w:val="231F20"/>
          <w:spacing w:val="-6"/>
        </w:rPr>
        <w:t xml:space="preserve"> </w:t>
      </w:r>
      <w:r>
        <w:rPr>
          <w:color w:val="231F20"/>
        </w:rPr>
        <w:t>within</w:t>
      </w:r>
      <w:r>
        <w:rPr>
          <w:color w:val="231F20"/>
          <w:spacing w:val="-7"/>
        </w:rPr>
        <w:t xml:space="preserve"> </w:t>
      </w:r>
      <w:r>
        <w:rPr>
          <w:color w:val="231F20"/>
        </w:rPr>
        <w:t>one</w:t>
      </w:r>
      <w:r>
        <w:rPr>
          <w:color w:val="231F20"/>
          <w:spacing w:val="-7"/>
        </w:rPr>
        <w:t xml:space="preserve"> </w:t>
      </w:r>
      <w:r>
        <w:rPr>
          <w:color w:val="231F20"/>
        </w:rPr>
        <w:t>to</w:t>
      </w:r>
      <w:r>
        <w:rPr>
          <w:color w:val="231F20"/>
          <w:spacing w:val="-7"/>
        </w:rPr>
        <w:t xml:space="preserve"> </w:t>
      </w:r>
      <w:r>
        <w:rPr>
          <w:color w:val="231F20"/>
        </w:rPr>
        <w:t>45</w:t>
      </w:r>
      <w:r>
        <w:rPr>
          <w:color w:val="231F20"/>
          <w:spacing w:val="-7"/>
        </w:rPr>
        <w:t xml:space="preserve"> </w:t>
      </w:r>
      <w:r>
        <w:rPr>
          <w:color w:val="231F20"/>
        </w:rPr>
        <w:t>days</w:t>
      </w:r>
      <w:r>
        <w:rPr>
          <w:color w:val="231F20"/>
          <w:spacing w:val="-6"/>
        </w:rPr>
        <w:t xml:space="preserve"> </w:t>
      </w:r>
      <w:r>
        <w:rPr>
          <w:color w:val="231F20"/>
        </w:rPr>
        <w:t>after</w:t>
      </w:r>
      <w:r>
        <w:rPr>
          <w:color w:val="231F20"/>
          <w:spacing w:val="-6"/>
        </w:rPr>
        <w:t xml:space="preserve"> </w:t>
      </w:r>
      <w:r>
        <w:rPr>
          <w:color w:val="231F20"/>
        </w:rPr>
        <w:t>the</w:t>
      </w:r>
      <w:r>
        <w:rPr>
          <w:color w:val="231F20"/>
          <w:spacing w:val="-7"/>
        </w:rPr>
        <w:t xml:space="preserve"> </w:t>
      </w:r>
      <w:r>
        <w:rPr>
          <w:color w:val="231F20"/>
        </w:rPr>
        <w:t>statutory</w:t>
      </w:r>
      <w:r>
        <w:rPr>
          <w:color w:val="231F20"/>
          <w:spacing w:val="-6"/>
        </w:rPr>
        <w:t xml:space="preserve"> </w:t>
      </w:r>
      <w:r>
        <w:rPr>
          <w:color w:val="231F20"/>
        </w:rPr>
        <w:t>time</w:t>
      </w:r>
      <w:r>
        <w:rPr>
          <w:color w:val="231F20"/>
          <w:spacing w:val="-7"/>
        </w:rPr>
        <w:t xml:space="preserve"> </w:t>
      </w:r>
      <w:r>
        <w:rPr>
          <w:color w:val="231F20"/>
        </w:rPr>
        <w:t>period,</w:t>
      </w:r>
      <w:r>
        <w:rPr>
          <w:color w:val="231F20"/>
          <w:spacing w:val="-6"/>
        </w:rPr>
        <w:t xml:space="preserve"> </w:t>
      </w:r>
      <w:r>
        <w:rPr>
          <w:color w:val="231F20"/>
        </w:rPr>
        <w:t>and</w:t>
      </w:r>
      <w:r>
        <w:rPr>
          <w:color w:val="231F20"/>
          <w:spacing w:val="-7"/>
        </w:rPr>
        <w:t xml:space="preserve"> </w:t>
      </w:r>
      <w:r>
        <w:rPr>
          <w:color w:val="231F20"/>
        </w:rPr>
        <w:t>71</w:t>
      </w:r>
      <w:r>
        <w:rPr>
          <w:color w:val="231F20"/>
          <w:spacing w:val="-7"/>
        </w:rPr>
        <w:t xml:space="preserve"> </w:t>
      </w:r>
      <w:r>
        <w:rPr>
          <w:color w:val="231F20"/>
        </w:rPr>
        <w:t>per</w:t>
      </w:r>
      <w:r>
        <w:rPr>
          <w:color w:val="231F20"/>
          <w:spacing w:val="-6"/>
        </w:rPr>
        <w:t xml:space="preserve"> </w:t>
      </w:r>
      <w:r>
        <w:rPr>
          <w:color w:val="231F20"/>
        </w:rPr>
        <w:t>cent</w:t>
      </w:r>
      <w:r>
        <w:rPr>
          <w:color w:val="231F20"/>
          <w:spacing w:val="-6"/>
        </w:rPr>
        <w:t xml:space="preserve"> </w:t>
      </w:r>
      <w:r>
        <w:rPr>
          <w:color w:val="231F20"/>
        </w:rPr>
        <w:t>were</w:t>
      </w:r>
      <w:r>
        <w:rPr>
          <w:color w:val="231F20"/>
          <w:spacing w:val="-7"/>
        </w:rPr>
        <w:t xml:space="preserve"> </w:t>
      </w:r>
      <w:r>
        <w:rPr>
          <w:color w:val="231F20"/>
        </w:rPr>
        <w:t>completed in</w:t>
      </w:r>
      <w:r>
        <w:rPr>
          <w:color w:val="231F20"/>
          <w:spacing w:val="-8"/>
        </w:rPr>
        <w:t xml:space="preserve"> </w:t>
      </w:r>
      <w:r>
        <w:rPr>
          <w:color w:val="231F20"/>
        </w:rPr>
        <w:t>46</w:t>
      </w:r>
      <w:r>
        <w:rPr>
          <w:color w:val="231F20"/>
          <w:spacing w:val="-8"/>
        </w:rPr>
        <w:t xml:space="preserve"> </w:t>
      </w:r>
      <w:r>
        <w:rPr>
          <w:color w:val="231F20"/>
        </w:rPr>
        <w:t>or</w:t>
      </w:r>
      <w:r>
        <w:rPr>
          <w:color w:val="231F20"/>
          <w:spacing w:val="-7"/>
        </w:rPr>
        <w:t xml:space="preserve"> </w:t>
      </w:r>
      <w:r>
        <w:rPr>
          <w:color w:val="231F20"/>
        </w:rPr>
        <w:t>more</w:t>
      </w:r>
      <w:r>
        <w:rPr>
          <w:color w:val="231F20"/>
          <w:spacing w:val="-8"/>
        </w:rPr>
        <w:t xml:space="preserve"> </w:t>
      </w:r>
      <w:r>
        <w:rPr>
          <w:color w:val="231F20"/>
        </w:rPr>
        <w:t>days</w:t>
      </w:r>
      <w:r>
        <w:rPr>
          <w:color w:val="231F20"/>
          <w:spacing w:val="-7"/>
        </w:rPr>
        <w:t xml:space="preserve"> </w:t>
      </w:r>
      <w:r>
        <w:rPr>
          <w:color w:val="231F20"/>
        </w:rPr>
        <w:t>after</w:t>
      </w:r>
      <w:r>
        <w:rPr>
          <w:color w:val="231F20"/>
          <w:spacing w:val="-7"/>
        </w:rPr>
        <w:t xml:space="preserve"> </w:t>
      </w:r>
      <w:r>
        <w:rPr>
          <w:color w:val="231F20"/>
        </w:rPr>
        <w:t>the</w:t>
      </w:r>
      <w:r>
        <w:rPr>
          <w:color w:val="231F20"/>
          <w:spacing w:val="-8"/>
        </w:rPr>
        <w:t xml:space="preserve"> </w:t>
      </w:r>
      <w:r>
        <w:rPr>
          <w:color w:val="231F20"/>
        </w:rPr>
        <w:t>statutory</w:t>
      </w:r>
      <w:r>
        <w:rPr>
          <w:color w:val="231F20"/>
          <w:spacing w:val="-7"/>
        </w:rPr>
        <w:t xml:space="preserve"> </w:t>
      </w:r>
      <w:r>
        <w:rPr>
          <w:color w:val="231F20"/>
        </w:rPr>
        <w:t>time</w:t>
      </w:r>
      <w:r>
        <w:rPr>
          <w:color w:val="231F20"/>
          <w:spacing w:val="-8"/>
        </w:rPr>
        <w:t xml:space="preserve"> </w:t>
      </w:r>
      <w:r>
        <w:rPr>
          <w:color w:val="231F20"/>
        </w:rPr>
        <w:t>period.</w:t>
      </w:r>
      <w:r>
        <w:rPr>
          <w:color w:val="231F20"/>
          <w:spacing w:val="-7"/>
        </w:rPr>
        <w:t xml:space="preserve"> </w:t>
      </w:r>
      <w:r>
        <w:rPr>
          <w:color w:val="231F20"/>
        </w:rPr>
        <w:t>The</w:t>
      </w:r>
      <w:r>
        <w:rPr>
          <w:color w:val="231F20"/>
          <w:spacing w:val="-8"/>
        </w:rPr>
        <w:t xml:space="preserve"> </w:t>
      </w:r>
      <w:r>
        <w:rPr>
          <w:color w:val="231F20"/>
        </w:rPr>
        <w:t>average</w:t>
      </w:r>
      <w:r>
        <w:rPr>
          <w:color w:val="231F20"/>
          <w:spacing w:val="-8"/>
        </w:rPr>
        <w:t xml:space="preserve"> </w:t>
      </w:r>
      <w:r>
        <w:rPr>
          <w:color w:val="231F20"/>
        </w:rPr>
        <w:t>processing</w:t>
      </w:r>
      <w:r>
        <w:rPr>
          <w:color w:val="231F20"/>
          <w:spacing w:val="-8"/>
        </w:rPr>
        <w:t xml:space="preserve"> </w:t>
      </w:r>
      <w:r>
        <w:rPr>
          <w:color w:val="231F20"/>
        </w:rPr>
        <w:t>time</w:t>
      </w:r>
      <w:r>
        <w:rPr>
          <w:color w:val="231F20"/>
          <w:spacing w:val="-8"/>
        </w:rPr>
        <w:t xml:space="preserve"> </w:t>
      </w:r>
      <w:r>
        <w:rPr>
          <w:color w:val="231F20"/>
        </w:rPr>
        <w:t>taken</w:t>
      </w:r>
      <w:r>
        <w:rPr>
          <w:color w:val="231F20"/>
          <w:spacing w:val="-8"/>
        </w:rPr>
        <w:t xml:space="preserve"> </w:t>
      </w:r>
      <w:r>
        <w:rPr>
          <w:color w:val="231F20"/>
        </w:rPr>
        <w:t>to</w:t>
      </w:r>
      <w:r>
        <w:rPr>
          <w:color w:val="231F20"/>
          <w:spacing w:val="-8"/>
        </w:rPr>
        <w:t xml:space="preserve"> </w:t>
      </w:r>
      <w:r>
        <w:rPr>
          <w:color w:val="231F20"/>
        </w:rPr>
        <w:t>finalise requests was 195 days. Compliance performance was impacted by factors related to the COVID-19 pandemic.</w:t>
      </w:r>
    </w:p>
    <w:p w14:paraId="7F569707" w14:textId="77777777" w:rsidR="00345EE3" w:rsidRDefault="00345EE3" w:rsidP="002A27BA">
      <w:pPr>
        <w:pStyle w:val="Heading3"/>
      </w:pPr>
      <w:r>
        <w:t>Application</w:t>
      </w:r>
      <w:r>
        <w:rPr>
          <w:spacing w:val="-2"/>
        </w:rPr>
        <w:t xml:space="preserve"> Procedure</w:t>
      </w:r>
    </w:p>
    <w:p w14:paraId="37ECF10A" w14:textId="77777777" w:rsidR="00345EE3" w:rsidRDefault="00345EE3" w:rsidP="00345EE3">
      <w:pPr>
        <w:pStyle w:val="BodyText"/>
        <w:spacing w:before="52" w:line="242" w:lineRule="auto"/>
        <w:ind w:right="921"/>
      </w:pPr>
      <w:r>
        <w:rPr>
          <w:color w:val="231F20"/>
        </w:rPr>
        <w:t>Since 27 June 2020, the Principal Officer for the purpose of administering the requirements of the</w:t>
      </w:r>
      <w:r>
        <w:rPr>
          <w:color w:val="231F20"/>
          <w:spacing w:val="-17"/>
        </w:rPr>
        <w:t xml:space="preserve"> </w:t>
      </w:r>
      <w:r>
        <w:rPr>
          <w:i/>
          <w:color w:val="231F20"/>
        </w:rPr>
        <w:t>Freedom</w:t>
      </w:r>
      <w:r>
        <w:rPr>
          <w:i/>
          <w:color w:val="231F20"/>
          <w:spacing w:val="-17"/>
        </w:rPr>
        <w:t xml:space="preserve"> </w:t>
      </w:r>
      <w:r>
        <w:rPr>
          <w:i/>
          <w:color w:val="231F20"/>
        </w:rPr>
        <w:t>of</w:t>
      </w:r>
      <w:r>
        <w:rPr>
          <w:i/>
          <w:color w:val="231F20"/>
          <w:spacing w:val="-16"/>
        </w:rPr>
        <w:t xml:space="preserve"> </w:t>
      </w:r>
      <w:r>
        <w:rPr>
          <w:i/>
          <w:color w:val="231F20"/>
        </w:rPr>
        <w:t>Information</w:t>
      </w:r>
      <w:r>
        <w:rPr>
          <w:i/>
          <w:color w:val="231F20"/>
          <w:spacing w:val="-17"/>
        </w:rPr>
        <w:t xml:space="preserve"> </w:t>
      </w:r>
      <w:r>
        <w:rPr>
          <w:i/>
          <w:color w:val="231F20"/>
        </w:rPr>
        <w:t>Act</w:t>
      </w:r>
      <w:r>
        <w:rPr>
          <w:i/>
          <w:color w:val="231F20"/>
          <w:spacing w:val="-17"/>
        </w:rPr>
        <w:t xml:space="preserve"> </w:t>
      </w:r>
      <w:r>
        <w:rPr>
          <w:color w:val="231F20"/>
        </w:rPr>
        <w:t>1982</w:t>
      </w:r>
      <w:r>
        <w:rPr>
          <w:color w:val="231F20"/>
          <w:spacing w:val="-17"/>
        </w:rPr>
        <w:t xml:space="preserve"> </w:t>
      </w:r>
      <w:r>
        <w:rPr>
          <w:color w:val="231F20"/>
        </w:rPr>
        <w:t>is</w:t>
      </w:r>
      <w:r>
        <w:rPr>
          <w:color w:val="231F20"/>
          <w:spacing w:val="-16"/>
        </w:rPr>
        <w:t xml:space="preserve"> </w:t>
      </w:r>
      <w:r>
        <w:rPr>
          <w:color w:val="231F20"/>
        </w:rPr>
        <w:t>the</w:t>
      </w:r>
      <w:r>
        <w:rPr>
          <w:color w:val="231F20"/>
          <w:spacing w:val="-17"/>
        </w:rPr>
        <w:t xml:space="preserve"> </w:t>
      </w:r>
      <w:r>
        <w:rPr>
          <w:color w:val="231F20"/>
        </w:rPr>
        <w:t>Chief</w:t>
      </w:r>
      <w:r>
        <w:rPr>
          <w:color w:val="231F20"/>
          <w:spacing w:val="-14"/>
        </w:rPr>
        <w:t xml:space="preserve"> </w:t>
      </w:r>
      <w:r>
        <w:rPr>
          <w:color w:val="231F20"/>
        </w:rPr>
        <w:t>Commissioner</w:t>
      </w:r>
      <w:r>
        <w:rPr>
          <w:color w:val="231F20"/>
          <w:spacing w:val="-13"/>
        </w:rPr>
        <w:t xml:space="preserve"> </w:t>
      </w:r>
      <w:r>
        <w:rPr>
          <w:color w:val="231F20"/>
        </w:rPr>
        <w:t>of</w:t>
      </w:r>
      <w:r>
        <w:rPr>
          <w:color w:val="231F20"/>
          <w:spacing w:val="-13"/>
        </w:rPr>
        <w:t xml:space="preserve"> </w:t>
      </w:r>
      <w:r>
        <w:rPr>
          <w:color w:val="231F20"/>
        </w:rPr>
        <w:t>Police.</w:t>
      </w:r>
      <w:r>
        <w:rPr>
          <w:color w:val="231F20"/>
          <w:spacing w:val="-13"/>
        </w:rPr>
        <w:t xml:space="preserve"> </w:t>
      </w:r>
      <w:r>
        <w:rPr>
          <w:color w:val="231F20"/>
        </w:rPr>
        <w:t>The</w:t>
      </w:r>
      <w:r>
        <w:rPr>
          <w:color w:val="231F20"/>
          <w:spacing w:val="-14"/>
        </w:rPr>
        <w:t xml:space="preserve"> </w:t>
      </w:r>
      <w:r>
        <w:rPr>
          <w:color w:val="231F20"/>
        </w:rPr>
        <w:t>authorised</w:t>
      </w:r>
      <w:r>
        <w:rPr>
          <w:color w:val="231F20"/>
          <w:spacing w:val="-14"/>
        </w:rPr>
        <w:t xml:space="preserve"> </w:t>
      </w:r>
      <w:r>
        <w:rPr>
          <w:color w:val="231F20"/>
        </w:rPr>
        <w:t>officer is</w:t>
      </w:r>
      <w:r>
        <w:rPr>
          <w:color w:val="231F20"/>
          <w:spacing w:val="-7"/>
        </w:rPr>
        <w:t xml:space="preserve"> </w:t>
      </w:r>
      <w:r>
        <w:rPr>
          <w:color w:val="231F20"/>
        </w:rPr>
        <w:t>the</w:t>
      </w:r>
      <w:r>
        <w:rPr>
          <w:color w:val="231F20"/>
          <w:spacing w:val="-8"/>
        </w:rPr>
        <w:t xml:space="preserve"> </w:t>
      </w:r>
      <w:r>
        <w:rPr>
          <w:color w:val="231F20"/>
        </w:rPr>
        <w:t>Manager</w:t>
      </w:r>
      <w:r>
        <w:rPr>
          <w:color w:val="231F20"/>
          <w:spacing w:val="-7"/>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Freedom</w:t>
      </w:r>
      <w:r>
        <w:rPr>
          <w:color w:val="231F20"/>
          <w:spacing w:val="-7"/>
        </w:rPr>
        <w:t xml:space="preserve"> </w:t>
      </w:r>
      <w:r>
        <w:rPr>
          <w:color w:val="231F20"/>
        </w:rPr>
        <w:t>of</w:t>
      </w:r>
      <w:r>
        <w:rPr>
          <w:color w:val="231F20"/>
          <w:spacing w:val="-7"/>
        </w:rPr>
        <w:t xml:space="preserve"> </w:t>
      </w:r>
      <w:r>
        <w:rPr>
          <w:color w:val="231F20"/>
        </w:rPr>
        <w:t>Information</w:t>
      </w:r>
      <w:r>
        <w:rPr>
          <w:color w:val="231F20"/>
          <w:spacing w:val="-8"/>
        </w:rPr>
        <w:t xml:space="preserve"> </w:t>
      </w:r>
      <w:r>
        <w:rPr>
          <w:color w:val="231F20"/>
        </w:rPr>
        <w:t>(FOI)</w:t>
      </w:r>
      <w:r>
        <w:rPr>
          <w:color w:val="231F20"/>
          <w:spacing w:val="-7"/>
        </w:rPr>
        <w:t xml:space="preserve"> </w:t>
      </w:r>
      <w:r>
        <w:rPr>
          <w:color w:val="231F20"/>
        </w:rPr>
        <w:t>Division</w:t>
      </w:r>
      <w:r>
        <w:rPr>
          <w:color w:val="231F20"/>
          <w:spacing w:val="-8"/>
        </w:rPr>
        <w:t xml:space="preserve"> </w:t>
      </w:r>
      <w:r>
        <w:rPr>
          <w:color w:val="231F20"/>
        </w:rPr>
        <w:t>who</w:t>
      </w:r>
      <w:r>
        <w:rPr>
          <w:color w:val="231F20"/>
          <w:spacing w:val="-8"/>
        </w:rPr>
        <w:t xml:space="preserve"> </w:t>
      </w:r>
      <w:r>
        <w:rPr>
          <w:color w:val="231F20"/>
        </w:rPr>
        <w:t>is</w:t>
      </w:r>
      <w:r>
        <w:rPr>
          <w:color w:val="231F20"/>
          <w:spacing w:val="-7"/>
        </w:rPr>
        <w:t xml:space="preserve"> </w:t>
      </w:r>
      <w:r>
        <w:rPr>
          <w:color w:val="231F20"/>
        </w:rPr>
        <w:t>responsible</w:t>
      </w:r>
      <w:r>
        <w:rPr>
          <w:color w:val="231F20"/>
          <w:spacing w:val="-8"/>
        </w:rPr>
        <w:t xml:space="preserve"> </w:t>
      </w:r>
      <w:r>
        <w:rPr>
          <w:color w:val="231F20"/>
        </w:rPr>
        <w:t>for</w:t>
      </w:r>
      <w:r>
        <w:rPr>
          <w:color w:val="231F20"/>
          <w:spacing w:val="-7"/>
        </w:rPr>
        <w:t xml:space="preserve"> </w:t>
      </w:r>
      <w:r>
        <w:rPr>
          <w:color w:val="231F20"/>
        </w:rPr>
        <w:t>all</w:t>
      </w:r>
      <w:r>
        <w:rPr>
          <w:color w:val="231F20"/>
          <w:spacing w:val="-8"/>
        </w:rPr>
        <w:t xml:space="preserve"> </w:t>
      </w:r>
      <w:r>
        <w:rPr>
          <w:color w:val="231F20"/>
        </w:rPr>
        <w:t>decisions relating to FOI applications received by Victoria Police.</w:t>
      </w:r>
    </w:p>
    <w:p w14:paraId="17E7CC1A" w14:textId="77777777" w:rsidR="00345EE3" w:rsidRDefault="00345EE3" w:rsidP="00345EE3">
      <w:pPr>
        <w:spacing w:before="119" w:line="242" w:lineRule="auto"/>
        <w:ind w:left="110" w:right="921"/>
        <w:rPr>
          <w:b/>
          <w:sz w:val="24"/>
        </w:rPr>
      </w:pPr>
      <w:r>
        <w:rPr>
          <w:color w:val="231F20"/>
          <w:sz w:val="24"/>
        </w:rPr>
        <w:t>Applications</w:t>
      </w:r>
      <w:r>
        <w:rPr>
          <w:color w:val="231F20"/>
          <w:spacing w:val="-17"/>
          <w:sz w:val="24"/>
        </w:rPr>
        <w:t xml:space="preserve"> </w:t>
      </w:r>
      <w:r>
        <w:rPr>
          <w:color w:val="231F20"/>
          <w:sz w:val="24"/>
        </w:rPr>
        <w:t>for</w:t>
      </w:r>
      <w:r>
        <w:rPr>
          <w:color w:val="231F20"/>
          <w:spacing w:val="-17"/>
          <w:sz w:val="24"/>
        </w:rPr>
        <w:t xml:space="preserve"> </w:t>
      </w:r>
      <w:r>
        <w:rPr>
          <w:color w:val="231F20"/>
          <w:sz w:val="24"/>
        </w:rPr>
        <w:t>documents</w:t>
      </w:r>
      <w:r>
        <w:rPr>
          <w:color w:val="231F20"/>
          <w:spacing w:val="-16"/>
          <w:sz w:val="24"/>
        </w:rPr>
        <w:t xml:space="preserve"> </w:t>
      </w:r>
      <w:r>
        <w:rPr>
          <w:color w:val="231F20"/>
          <w:sz w:val="24"/>
        </w:rPr>
        <w:t>under</w:t>
      </w:r>
      <w:r>
        <w:rPr>
          <w:color w:val="231F20"/>
          <w:spacing w:val="-17"/>
          <w:sz w:val="24"/>
        </w:rPr>
        <w:t xml:space="preserve"> </w:t>
      </w:r>
      <w:r>
        <w:rPr>
          <w:color w:val="231F20"/>
          <w:sz w:val="24"/>
        </w:rPr>
        <w:t>the</w:t>
      </w:r>
      <w:r>
        <w:rPr>
          <w:color w:val="231F20"/>
          <w:spacing w:val="-16"/>
          <w:sz w:val="24"/>
        </w:rPr>
        <w:t xml:space="preserve"> </w:t>
      </w:r>
      <w:r>
        <w:rPr>
          <w:color w:val="231F20"/>
          <w:sz w:val="24"/>
        </w:rPr>
        <w:t>provisions</w:t>
      </w:r>
      <w:r>
        <w:rPr>
          <w:color w:val="231F20"/>
          <w:spacing w:val="-13"/>
          <w:sz w:val="24"/>
        </w:rPr>
        <w:t xml:space="preserve"> </w:t>
      </w:r>
      <w:r>
        <w:rPr>
          <w:color w:val="231F20"/>
          <w:sz w:val="24"/>
        </w:rPr>
        <w:t>of</w:t>
      </w:r>
      <w:r>
        <w:rPr>
          <w:color w:val="231F20"/>
          <w:spacing w:val="-14"/>
          <w:sz w:val="24"/>
        </w:rPr>
        <w:t xml:space="preserve"> </w:t>
      </w:r>
      <w:r>
        <w:rPr>
          <w:color w:val="231F20"/>
          <w:sz w:val="24"/>
        </w:rPr>
        <w:t>the</w:t>
      </w:r>
      <w:r>
        <w:rPr>
          <w:color w:val="231F20"/>
          <w:spacing w:val="-15"/>
          <w:sz w:val="24"/>
        </w:rPr>
        <w:t xml:space="preserve"> </w:t>
      </w:r>
      <w:r>
        <w:rPr>
          <w:i/>
          <w:color w:val="231F20"/>
          <w:sz w:val="24"/>
        </w:rPr>
        <w:t>Freedom</w:t>
      </w:r>
      <w:r>
        <w:rPr>
          <w:i/>
          <w:color w:val="231F20"/>
          <w:spacing w:val="-17"/>
          <w:sz w:val="24"/>
        </w:rPr>
        <w:t xml:space="preserve"> </w:t>
      </w:r>
      <w:r>
        <w:rPr>
          <w:i/>
          <w:color w:val="231F20"/>
          <w:sz w:val="24"/>
        </w:rPr>
        <w:t>of</w:t>
      </w:r>
      <w:r>
        <w:rPr>
          <w:i/>
          <w:color w:val="231F20"/>
          <w:spacing w:val="-17"/>
          <w:sz w:val="24"/>
        </w:rPr>
        <w:t xml:space="preserve"> </w:t>
      </w:r>
      <w:r>
        <w:rPr>
          <w:i/>
          <w:color w:val="231F20"/>
          <w:sz w:val="24"/>
        </w:rPr>
        <w:t>Information</w:t>
      </w:r>
      <w:r>
        <w:rPr>
          <w:i/>
          <w:color w:val="231F20"/>
          <w:spacing w:val="-16"/>
          <w:sz w:val="24"/>
        </w:rPr>
        <w:t xml:space="preserve"> </w:t>
      </w:r>
      <w:r>
        <w:rPr>
          <w:i/>
          <w:color w:val="231F20"/>
          <w:sz w:val="24"/>
        </w:rPr>
        <w:t>Act</w:t>
      </w:r>
      <w:r>
        <w:rPr>
          <w:i/>
          <w:color w:val="231F20"/>
          <w:spacing w:val="-17"/>
          <w:sz w:val="24"/>
        </w:rPr>
        <w:t xml:space="preserve"> </w:t>
      </w:r>
      <w:r>
        <w:rPr>
          <w:color w:val="231F20"/>
          <w:sz w:val="24"/>
        </w:rPr>
        <w:t>1982</w:t>
      </w:r>
      <w:r>
        <w:rPr>
          <w:color w:val="231F20"/>
          <w:spacing w:val="-14"/>
          <w:sz w:val="24"/>
        </w:rPr>
        <w:t xml:space="preserve"> </w:t>
      </w:r>
      <w:r>
        <w:rPr>
          <w:color w:val="231F20"/>
          <w:sz w:val="24"/>
        </w:rPr>
        <w:t>can</w:t>
      </w:r>
      <w:r>
        <w:rPr>
          <w:color w:val="231F20"/>
          <w:spacing w:val="-15"/>
          <w:sz w:val="24"/>
        </w:rPr>
        <w:t xml:space="preserve"> </w:t>
      </w:r>
      <w:r>
        <w:rPr>
          <w:color w:val="231F20"/>
          <w:sz w:val="24"/>
        </w:rPr>
        <w:t xml:space="preserve">be submitted online at </w:t>
      </w:r>
      <w:hyperlink r:id="rId25">
        <w:r>
          <w:rPr>
            <w:b/>
            <w:color w:val="00529F"/>
            <w:sz w:val="24"/>
            <w:u w:val="single" w:color="00529F"/>
          </w:rPr>
          <w:t>online.foi.vic.gov.au</w:t>
        </w:r>
      </w:hyperlink>
    </w:p>
    <w:p w14:paraId="328DAF27" w14:textId="77777777" w:rsidR="00345EE3" w:rsidRDefault="00345EE3" w:rsidP="00345EE3">
      <w:pPr>
        <w:pStyle w:val="BodyText"/>
        <w:spacing w:before="116" w:line="268" w:lineRule="auto"/>
        <w:ind w:left="393" w:right="5672" w:hanging="284"/>
      </w:pPr>
      <w:r>
        <w:rPr>
          <w:color w:val="231F20"/>
        </w:rPr>
        <w:t>Alternatively,</w:t>
      </w:r>
      <w:r>
        <w:rPr>
          <w:color w:val="231F20"/>
          <w:spacing w:val="-17"/>
        </w:rPr>
        <w:t xml:space="preserve"> </w:t>
      </w:r>
      <w:r>
        <w:rPr>
          <w:color w:val="231F20"/>
        </w:rPr>
        <w:t>applications</w:t>
      </w:r>
      <w:r>
        <w:rPr>
          <w:color w:val="231F20"/>
          <w:spacing w:val="-17"/>
        </w:rPr>
        <w:t xml:space="preserve"> </w:t>
      </w:r>
      <w:r>
        <w:rPr>
          <w:color w:val="231F20"/>
        </w:rPr>
        <w:t>can</w:t>
      </w:r>
      <w:r>
        <w:rPr>
          <w:color w:val="231F20"/>
          <w:spacing w:val="-16"/>
        </w:rPr>
        <w:t xml:space="preserve"> </w:t>
      </w:r>
      <w:r>
        <w:rPr>
          <w:color w:val="231F20"/>
        </w:rPr>
        <w:t>be</w:t>
      </w:r>
      <w:r>
        <w:rPr>
          <w:color w:val="231F20"/>
          <w:spacing w:val="-17"/>
        </w:rPr>
        <w:t xml:space="preserve"> </w:t>
      </w:r>
      <w:r>
        <w:rPr>
          <w:color w:val="231F20"/>
        </w:rPr>
        <w:t>posted</w:t>
      </w:r>
      <w:r>
        <w:rPr>
          <w:color w:val="231F20"/>
          <w:spacing w:val="-17"/>
        </w:rPr>
        <w:t xml:space="preserve"> </w:t>
      </w:r>
      <w:r>
        <w:rPr>
          <w:color w:val="231F20"/>
        </w:rPr>
        <w:t>to: Freedom of Information Division</w:t>
      </w:r>
    </w:p>
    <w:p w14:paraId="00853D5E" w14:textId="77777777" w:rsidR="00345EE3" w:rsidRDefault="00345EE3" w:rsidP="00345EE3">
      <w:pPr>
        <w:pStyle w:val="BodyText"/>
        <w:spacing w:line="246" w:lineRule="exact"/>
        <w:ind w:left="393"/>
      </w:pPr>
      <w:r>
        <w:rPr>
          <w:color w:val="231F20"/>
        </w:rPr>
        <w:t>GPO</w:t>
      </w:r>
      <w:r>
        <w:rPr>
          <w:color w:val="231F20"/>
          <w:spacing w:val="-16"/>
        </w:rPr>
        <w:t xml:space="preserve"> </w:t>
      </w:r>
      <w:r>
        <w:rPr>
          <w:color w:val="231F20"/>
        </w:rPr>
        <w:t>Box</w:t>
      </w:r>
      <w:r>
        <w:rPr>
          <w:color w:val="231F20"/>
          <w:spacing w:val="-16"/>
        </w:rPr>
        <w:t xml:space="preserve"> </w:t>
      </w:r>
      <w:r>
        <w:rPr>
          <w:color w:val="231F20"/>
          <w:spacing w:val="-5"/>
        </w:rPr>
        <w:t>913</w:t>
      </w:r>
    </w:p>
    <w:p w14:paraId="128FFC98" w14:textId="77777777" w:rsidR="00345EE3" w:rsidRDefault="00345EE3" w:rsidP="00345EE3">
      <w:pPr>
        <w:pStyle w:val="BodyText"/>
        <w:spacing w:before="4"/>
        <w:ind w:left="393"/>
      </w:pPr>
      <w:r>
        <w:rPr>
          <w:color w:val="231F20"/>
          <w:spacing w:val="-4"/>
        </w:rPr>
        <w:t>MELBOURNE VIC 3001</w:t>
      </w:r>
    </w:p>
    <w:p w14:paraId="38DA0499" w14:textId="0358B33D" w:rsidR="00345EE3" w:rsidRDefault="00345EE3" w:rsidP="00345EE3">
      <w:pPr>
        <w:pStyle w:val="BodyText"/>
        <w:spacing w:before="117" w:line="242" w:lineRule="auto"/>
        <w:ind w:right="921"/>
        <w:rPr>
          <w:b/>
        </w:rPr>
      </w:pPr>
      <w:r>
        <w:rPr>
          <w:color w:val="231F20"/>
        </w:rPr>
        <w:t>When making an FOI request, applicants should ensure the request is in writing and clearly identify</w:t>
      </w:r>
      <w:r>
        <w:rPr>
          <w:color w:val="231F20"/>
          <w:spacing w:val="-9"/>
        </w:rPr>
        <w:t xml:space="preserve"> </w:t>
      </w:r>
      <w:r>
        <w:rPr>
          <w:color w:val="231F20"/>
        </w:rPr>
        <w:t>what</w:t>
      </w:r>
      <w:r>
        <w:rPr>
          <w:color w:val="231F20"/>
          <w:spacing w:val="-9"/>
        </w:rPr>
        <w:t xml:space="preserve"> </w:t>
      </w:r>
      <w:r>
        <w:rPr>
          <w:color w:val="231F20"/>
        </w:rPr>
        <w:t>types</w:t>
      </w:r>
      <w:r>
        <w:rPr>
          <w:color w:val="231F20"/>
          <w:spacing w:val="-9"/>
        </w:rPr>
        <w:t xml:space="preserve"> </w:t>
      </w:r>
      <w:r>
        <w:rPr>
          <w:color w:val="231F20"/>
        </w:rPr>
        <w:t>of</w:t>
      </w:r>
      <w:r>
        <w:rPr>
          <w:color w:val="231F20"/>
          <w:spacing w:val="-9"/>
        </w:rPr>
        <w:t xml:space="preserve"> </w:t>
      </w:r>
      <w:r>
        <w:rPr>
          <w:color w:val="231F20"/>
        </w:rPr>
        <w:t>material</w:t>
      </w:r>
      <w:r>
        <w:rPr>
          <w:color w:val="231F20"/>
          <w:spacing w:val="-9"/>
        </w:rPr>
        <w:t xml:space="preserve"> </w:t>
      </w:r>
      <w:r>
        <w:rPr>
          <w:color w:val="231F20"/>
        </w:rPr>
        <w:t>or</w:t>
      </w:r>
      <w:r>
        <w:rPr>
          <w:color w:val="231F20"/>
          <w:spacing w:val="-9"/>
        </w:rPr>
        <w:t xml:space="preserve"> </w:t>
      </w:r>
      <w:r>
        <w:rPr>
          <w:color w:val="231F20"/>
        </w:rPr>
        <w:t>documents</w:t>
      </w:r>
      <w:r>
        <w:rPr>
          <w:color w:val="231F20"/>
          <w:spacing w:val="-9"/>
        </w:rPr>
        <w:t xml:space="preserve"> </w:t>
      </w:r>
      <w:r>
        <w:rPr>
          <w:color w:val="231F20"/>
        </w:rPr>
        <w:t>are</w:t>
      </w:r>
      <w:r>
        <w:rPr>
          <w:color w:val="231F20"/>
          <w:spacing w:val="-9"/>
        </w:rPr>
        <w:t xml:space="preserve"> </w:t>
      </w:r>
      <w:r>
        <w:rPr>
          <w:color w:val="231F20"/>
        </w:rPr>
        <w:t>being</w:t>
      </w:r>
      <w:r>
        <w:rPr>
          <w:color w:val="231F20"/>
          <w:spacing w:val="-9"/>
        </w:rPr>
        <w:t xml:space="preserve"> </w:t>
      </w:r>
      <w:r>
        <w:rPr>
          <w:color w:val="231F20"/>
        </w:rPr>
        <w:t>sought.</w:t>
      </w:r>
      <w:r>
        <w:rPr>
          <w:color w:val="231F20"/>
          <w:spacing w:val="-9"/>
        </w:rPr>
        <w:t xml:space="preserve"> </w:t>
      </w:r>
      <w:r>
        <w:rPr>
          <w:color w:val="231F20"/>
        </w:rPr>
        <w:t>Further</w:t>
      </w:r>
      <w:r>
        <w:rPr>
          <w:color w:val="231F20"/>
          <w:spacing w:val="-9"/>
        </w:rPr>
        <w:t xml:space="preserve"> </w:t>
      </w:r>
      <w:r>
        <w:rPr>
          <w:color w:val="231F20"/>
        </w:rPr>
        <w:t>information</w:t>
      </w:r>
      <w:r>
        <w:rPr>
          <w:color w:val="231F20"/>
          <w:spacing w:val="-9"/>
        </w:rPr>
        <w:t xml:space="preserve"> </w:t>
      </w:r>
      <w:r>
        <w:rPr>
          <w:color w:val="231F20"/>
        </w:rPr>
        <w:t>regarding</w:t>
      </w:r>
      <w:r>
        <w:rPr>
          <w:color w:val="231F20"/>
          <w:spacing w:val="-9"/>
        </w:rPr>
        <w:t xml:space="preserve"> </w:t>
      </w:r>
      <w:r>
        <w:rPr>
          <w:color w:val="231F20"/>
        </w:rPr>
        <w:t xml:space="preserve">the FOI process can be found on the </w:t>
      </w:r>
      <w:r w:rsidR="00D24A56">
        <w:rPr>
          <w:color w:val="231F20"/>
        </w:rPr>
        <w:t>Office</w:t>
      </w:r>
      <w:r>
        <w:rPr>
          <w:color w:val="231F20"/>
        </w:rPr>
        <w:t xml:space="preserve"> of the Victorian Information Commissioner website at </w:t>
      </w:r>
      <w:hyperlink r:id="rId26">
        <w:r>
          <w:rPr>
            <w:b/>
            <w:color w:val="00529F"/>
            <w:spacing w:val="-2"/>
            <w:u w:val="single" w:color="00529F"/>
          </w:rPr>
          <w:t>ovic.vic.gov.au</w:t>
        </w:r>
      </w:hyperlink>
    </w:p>
    <w:p w14:paraId="1EEF3B76" w14:textId="4C8F789E" w:rsidR="00345EE3" w:rsidRDefault="00345EE3" w:rsidP="00345EE3">
      <w:pPr>
        <w:pStyle w:val="BodyText"/>
        <w:spacing w:before="119" w:line="242" w:lineRule="auto"/>
        <w:ind w:right="1126"/>
        <w:jc w:val="both"/>
        <w:rPr>
          <w:b/>
        </w:rPr>
      </w:pPr>
      <w:r>
        <w:rPr>
          <w:color w:val="231F20"/>
        </w:rPr>
        <w:t>Further</w:t>
      </w:r>
      <w:r>
        <w:rPr>
          <w:color w:val="231F20"/>
          <w:spacing w:val="-12"/>
        </w:rPr>
        <w:t xml:space="preserve"> </w:t>
      </w:r>
      <w:r>
        <w:rPr>
          <w:color w:val="231F20"/>
        </w:rPr>
        <w:t>details</w:t>
      </w:r>
      <w:r>
        <w:rPr>
          <w:color w:val="231F20"/>
          <w:spacing w:val="-12"/>
        </w:rPr>
        <w:t xml:space="preserve"> </w:t>
      </w:r>
      <w:r>
        <w:rPr>
          <w:color w:val="231F20"/>
        </w:rPr>
        <w:t>as</w:t>
      </w:r>
      <w:r>
        <w:rPr>
          <w:color w:val="231F20"/>
          <w:spacing w:val="-12"/>
        </w:rPr>
        <w:t xml:space="preserve"> </w:t>
      </w:r>
      <w:r>
        <w:rPr>
          <w:color w:val="231F20"/>
        </w:rPr>
        <w:t>to</w:t>
      </w:r>
      <w:r>
        <w:rPr>
          <w:color w:val="231F20"/>
          <w:spacing w:val="-13"/>
        </w:rPr>
        <w:t xml:space="preserve"> </w:t>
      </w:r>
      <w:r>
        <w:rPr>
          <w:color w:val="231F20"/>
        </w:rPr>
        <w:t>Victoria</w:t>
      </w:r>
      <w:r>
        <w:rPr>
          <w:color w:val="231F20"/>
          <w:spacing w:val="-13"/>
        </w:rPr>
        <w:t xml:space="preserve"> </w:t>
      </w:r>
      <w:r>
        <w:rPr>
          <w:color w:val="231F20"/>
        </w:rPr>
        <w:t>Police’s</w:t>
      </w:r>
      <w:r>
        <w:rPr>
          <w:color w:val="231F20"/>
          <w:spacing w:val="-12"/>
        </w:rPr>
        <w:t xml:space="preserve"> </w:t>
      </w:r>
      <w:r>
        <w:rPr>
          <w:color w:val="231F20"/>
        </w:rPr>
        <w:t>organisation</w:t>
      </w:r>
      <w:r>
        <w:rPr>
          <w:color w:val="231F20"/>
          <w:spacing w:val="-13"/>
        </w:rPr>
        <w:t xml:space="preserve"> </w:t>
      </w:r>
      <w:r>
        <w:rPr>
          <w:color w:val="231F20"/>
        </w:rPr>
        <w:t>and</w:t>
      </w:r>
      <w:r>
        <w:rPr>
          <w:color w:val="231F20"/>
          <w:spacing w:val="-13"/>
        </w:rPr>
        <w:t xml:space="preserve"> </w:t>
      </w:r>
      <w:r>
        <w:rPr>
          <w:color w:val="231F20"/>
        </w:rPr>
        <w:t>functions;</w:t>
      </w:r>
      <w:r>
        <w:rPr>
          <w:color w:val="231F20"/>
          <w:spacing w:val="-12"/>
        </w:rPr>
        <w:t xml:space="preserve"> </w:t>
      </w:r>
      <w:r>
        <w:rPr>
          <w:color w:val="231F20"/>
        </w:rPr>
        <w:t>categories</w:t>
      </w:r>
      <w:r>
        <w:rPr>
          <w:color w:val="231F20"/>
          <w:spacing w:val="-12"/>
        </w:rPr>
        <w:t xml:space="preserve"> </w:t>
      </w:r>
      <w:r>
        <w:rPr>
          <w:color w:val="231F20"/>
        </w:rPr>
        <w:t>of</w:t>
      </w:r>
      <w:r>
        <w:rPr>
          <w:color w:val="231F20"/>
          <w:spacing w:val="-12"/>
        </w:rPr>
        <w:t xml:space="preserve"> </w:t>
      </w:r>
      <w:r>
        <w:rPr>
          <w:color w:val="231F20"/>
        </w:rPr>
        <w:t>documents;</w:t>
      </w:r>
      <w:r>
        <w:rPr>
          <w:color w:val="231F20"/>
          <w:spacing w:val="-12"/>
        </w:rPr>
        <w:t xml:space="preserve"> </w:t>
      </w:r>
      <w:r>
        <w:rPr>
          <w:color w:val="231F20"/>
        </w:rPr>
        <w:t xml:space="preserve">FOI </w:t>
      </w:r>
      <w:r w:rsidR="00D24A56">
        <w:rPr>
          <w:color w:val="231F20"/>
        </w:rPr>
        <w:t>arrangements</w:t>
      </w:r>
      <w:r>
        <w:rPr>
          <w:color w:val="231F20"/>
        </w:rPr>
        <w:t>;</w:t>
      </w:r>
      <w:r>
        <w:rPr>
          <w:color w:val="231F20"/>
          <w:spacing w:val="-9"/>
        </w:rPr>
        <w:t xml:space="preserve"> </w:t>
      </w:r>
      <w:r>
        <w:rPr>
          <w:color w:val="231F20"/>
        </w:rPr>
        <w:t>publications;</w:t>
      </w:r>
      <w:r>
        <w:rPr>
          <w:color w:val="231F20"/>
          <w:spacing w:val="-9"/>
        </w:rPr>
        <w:t xml:space="preserve"> </w:t>
      </w:r>
      <w:r>
        <w:rPr>
          <w:color w:val="231F20"/>
        </w:rPr>
        <w:t>rules,</w:t>
      </w:r>
      <w:r>
        <w:rPr>
          <w:color w:val="231F20"/>
          <w:spacing w:val="-9"/>
        </w:rPr>
        <w:t xml:space="preserve"> </w:t>
      </w:r>
      <w:r>
        <w:rPr>
          <w:color w:val="231F20"/>
        </w:rPr>
        <w:t>policies</w:t>
      </w:r>
      <w:r>
        <w:rPr>
          <w:color w:val="231F20"/>
          <w:spacing w:val="-9"/>
        </w:rPr>
        <w:t xml:space="preserve"> </w:t>
      </w:r>
      <w:r>
        <w:rPr>
          <w:color w:val="231F20"/>
        </w:rPr>
        <w:t>and</w:t>
      </w:r>
      <w:r>
        <w:rPr>
          <w:color w:val="231F20"/>
          <w:spacing w:val="-10"/>
        </w:rPr>
        <w:t xml:space="preserve"> </w:t>
      </w:r>
      <w:r>
        <w:rPr>
          <w:color w:val="231F20"/>
        </w:rPr>
        <w:t>procedures;</w:t>
      </w:r>
      <w:r>
        <w:rPr>
          <w:color w:val="231F20"/>
          <w:spacing w:val="-9"/>
        </w:rPr>
        <w:t xml:space="preserve"> </w:t>
      </w:r>
      <w:r>
        <w:rPr>
          <w:color w:val="231F20"/>
        </w:rPr>
        <w:t>and</w:t>
      </w:r>
      <w:r>
        <w:rPr>
          <w:color w:val="231F20"/>
          <w:spacing w:val="-10"/>
        </w:rPr>
        <w:t xml:space="preserve"> </w:t>
      </w:r>
      <w:r>
        <w:rPr>
          <w:color w:val="231F20"/>
        </w:rPr>
        <w:t>report</w:t>
      </w:r>
      <w:r>
        <w:rPr>
          <w:color w:val="231F20"/>
          <w:spacing w:val="-9"/>
        </w:rPr>
        <w:t xml:space="preserve"> </w:t>
      </w:r>
      <w:r>
        <w:rPr>
          <w:color w:val="231F20"/>
        </w:rPr>
        <w:t>literature</w:t>
      </w:r>
      <w:r>
        <w:rPr>
          <w:color w:val="231F20"/>
          <w:spacing w:val="-10"/>
        </w:rPr>
        <w:t xml:space="preserve"> </w:t>
      </w:r>
      <w:r>
        <w:rPr>
          <w:color w:val="231F20"/>
        </w:rPr>
        <w:t>can</w:t>
      </w:r>
      <w:r>
        <w:rPr>
          <w:color w:val="231F20"/>
          <w:spacing w:val="-10"/>
        </w:rPr>
        <w:t xml:space="preserve"> </w:t>
      </w:r>
      <w:r>
        <w:rPr>
          <w:color w:val="231F20"/>
        </w:rPr>
        <w:t>be</w:t>
      </w:r>
      <w:r>
        <w:rPr>
          <w:color w:val="231F20"/>
          <w:spacing w:val="-10"/>
        </w:rPr>
        <w:t xml:space="preserve"> </w:t>
      </w:r>
      <w:r>
        <w:rPr>
          <w:color w:val="231F20"/>
        </w:rPr>
        <w:t>found</w:t>
      </w:r>
      <w:r>
        <w:rPr>
          <w:color w:val="231F20"/>
          <w:spacing w:val="-10"/>
        </w:rPr>
        <w:t xml:space="preserve"> </w:t>
      </w:r>
      <w:r>
        <w:rPr>
          <w:color w:val="231F20"/>
        </w:rPr>
        <w:t xml:space="preserve">in our Part II statements at </w:t>
      </w:r>
      <w:hyperlink r:id="rId27">
        <w:r>
          <w:rPr>
            <w:b/>
            <w:color w:val="00529F"/>
            <w:u w:val="single" w:color="00529F"/>
          </w:rPr>
          <w:t>police.vic.gov.au/freedom-information</w:t>
        </w:r>
      </w:hyperlink>
    </w:p>
    <w:p w14:paraId="5AC8DFCE" w14:textId="77777777" w:rsidR="00345EE3" w:rsidRDefault="00345EE3" w:rsidP="002A27BA">
      <w:pPr>
        <w:pStyle w:val="Heading3"/>
      </w:pPr>
      <w:r>
        <w:t>Categories</w:t>
      </w:r>
      <w:r>
        <w:rPr>
          <w:spacing w:val="-3"/>
        </w:rPr>
        <w:t xml:space="preserve"> </w:t>
      </w:r>
      <w:r>
        <w:t>of</w:t>
      </w:r>
      <w:r>
        <w:rPr>
          <w:spacing w:val="-1"/>
        </w:rPr>
        <w:t xml:space="preserve"> </w:t>
      </w:r>
      <w:r>
        <w:rPr>
          <w:spacing w:val="-2"/>
        </w:rPr>
        <w:t>Documents</w:t>
      </w:r>
    </w:p>
    <w:p w14:paraId="673EB5AE" w14:textId="77777777" w:rsidR="00345EE3" w:rsidRDefault="00345EE3" w:rsidP="00345EE3">
      <w:pPr>
        <w:pStyle w:val="BodyText"/>
        <w:spacing w:before="53" w:line="242" w:lineRule="auto"/>
        <w:ind w:right="1138"/>
        <w:jc w:val="both"/>
      </w:pPr>
      <w:r>
        <w:rPr>
          <w:color w:val="231F20"/>
        </w:rPr>
        <w:t>The</w:t>
      </w:r>
      <w:r>
        <w:rPr>
          <w:color w:val="231F20"/>
          <w:spacing w:val="-8"/>
        </w:rPr>
        <w:t xml:space="preserve"> </w:t>
      </w:r>
      <w:r>
        <w:rPr>
          <w:color w:val="231F20"/>
        </w:rPr>
        <w:t>general</w:t>
      </w:r>
      <w:r>
        <w:rPr>
          <w:color w:val="231F20"/>
          <w:spacing w:val="-8"/>
        </w:rPr>
        <w:t xml:space="preserve"> </w:t>
      </w:r>
      <w:r>
        <w:rPr>
          <w:color w:val="231F20"/>
        </w:rPr>
        <w:t>types</w:t>
      </w:r>
      <w:r>
        <w:rPr>
          <w:color w:val="231F20"/>
          <w:spacing w:val="-7"/>
        </w:rPr>
        <w:t xml:space="preserve"> </w:t>
      </w:r>
      <w:r>
        <w:rPr>
          <w:color w:val="231F20"/>
        </w:rPr>
        <w:t>of</w:t>
      </w:r>
      <w:r>
        <w:rPr>
          <w:color w:val="231F20"/>
          <w:spacing w:val="-7"/>
        </w:rPr>
        <w:t xml:space="preserve"> </w:t>
      </w:r>
      <w:r>
        <w:rPr>
          <w:color w:val="231F20"/>
        </w:rPr>
        <w:t>documents</w:t>
      </w:r>
      <w:r>
        <w:rPr>
          <w:color w:val="231F20"/>
          <w:spacing w:val="-7"/>
        </w:rPr>
        <w:t xml:space="preserve"> </w:t>
      </w:r>
      <w:r>
        <w:rPr>
          <w:color w:val="231F20"/>
        </w:rPr>
        <w:t>that</w:t>
      </w:r>
      <w:r>
        <w:rPr>
          <w:color w:val="231F20"/>
          <w:spacing w:val="-7"/>
        </w:rPr>
        <w:t xml:space="preserve"> </w:t>
      </w:r>
      <w:r>
        <w:rPr>
          <w:color w:val="231F20"/>
        </w:rPr>
        <w:t>may</w:t>
      </w:r>
      <w:r>
        <w:rPr>
          <w:color w:val="231F20"/>
          <w:spacing w:val="-7"/>
        </w:rPr>
        <w:t xml:space="preserve"> </w:t>
      </w:r>
      <w:r>
        <w:rPr>
          <w:color w:val="231F20"/>
        </w:rPr>
        <w:t>be</w:t>
      </w:r>
      <w:r>
        <w:rPr>
          <w:color w:val="231F20"/>
          <w:spacing w:val="-8"/>
        </w:rPr>
        <w:t xml:space="preserve"> </w:t>
      </w:r>
      <w:r>
        <w:rPr>
          <w:color w:val="231F20"/>
        </w:rPr>
        <w:t>the</w:t>
      </w:r>
      <w:r>
        <w:rPr>
          <w:color w:val="231F20"/>
          <w:spacing w:val="-8"/>
        </w:rPr>
        <w:t xml:space="preserve"> </w:t>
      </w:r>
      <w:r>
        <w:rPr>
          <w:color w:val="231F20"/>
        </w:rPr>
        <w:t>subject</w:t>
      </w:r>
      <w:r>
        <w:rPr>
          <w:color w:val="231F20"/>
          <w:spacing w:val="-7"/>
        </w:rPr>
        <w:t xml:space="preserve"> </w:t>
      </w:r>
      <w:r>
        <w:rPr>
          <w:color w:val="231F20"/>
        </w:rPr>
        <w:t>of</w:t>
      </w:r>
      <w:r>
        <w:rPr>
          <w:color w:val="231F20"/>
          <w:spacing w:val="-7"/>
        </w:rPr>
        <w:t xml:space="preserve"> </w:t>
      </w:r>
      <w:r>
        <w:rPr>
          <w:color w:val="231F20"/>
        </w:rPr>
        <w:t>an</w:t>
      </w:r>
      <w:r>
        <w:rPr>
          <w:color w:val="231F20"/>
          <w:spacing w:val="-8"/>
        </w:rPr>
        <w:t xml:space="preserve"> </w:t>
      </w:r>
      <w:r>
        <w:rPr>
          <w:color w:val="231F20"/>
        </w:rPr>
        <w:t>FOI</w:t>
      </w:r>
      <w:r>
        <w:rPr>
          <w:color w:val="231F20"/>
          <w:spacing w:val="-7"/>
        </w:rPr>
        <w:t xml:space="preserve"> </w:t>
      </w:r>
      <w:r>
        <w:rPr>
          <w:color w:val="231F20"/>
        </w:rPr>
        <w:t>request</w:t>
      </w:r>
      <w:r>
        <w:rPr>
          <w:color w:val="231F20"/>
          <w:spacing w:val="-7"/>
        </w:rPr>
        <w:t xml:space="preserve"> </w:t>
      </w:r>
      <w:r>
        <w:rPr>
          <w:color w:val="231F20"/>
        </w:rPr>
        <w:t>include</w:t>
      </w:r>
      <w:r>
        <w:rPr>
          <w:color w:val="231F20"/>
          <w:spacing w:val="-8"/>
        </w:rPr>
        <w:t xml:space="preserve"> </w:t>
      </w:r>
      <w:r>
        <w:rPr>
          <w:color w:val="231F20"/>
        </w:rPr>
        <w:t>BoE,</w:t>
      </w:r>
      <w:r>
        <w:rPr>
          <w:color w:val="231F20"/>
          <w:spacing w:val="-7"/>
        </w:rPr>
        <w:t xml:space="preserve"> </w:t>
      </w:r>
      <w:r>
        <w:rPr>
          <w:color w:val="231F20"/>
        </w:rPr>
        <w:t>patrol duty returns and incident reports.</w:t>
      </w:r>
    </w:p>
    <w:p w14:paraId="6BCCB7DD" w14:textId="77777777" w:rsidR="00345EE3" w:rsidRDefault="00345EE3" w:rsidP="002A27BA">
      <w:pPr>
        <w:pStyle w:val="Heading3"/>
      </w:pPr>
      <w:r>
        <w:t>Additional</w:t>
      </w:r>
      <w:r>
        <w:rPr>
          <w:spacing w:val="-6"/>
        </w:rPr>
        <w:t xml:space="preserve"> </w:t>
      </w:r>
      <w:r>
        <w:rPr>
          <w:spacing w:val="-2"/>
        </w:rPr>
        <w:t>Information</w:t>
      </w:r>
    </w:p>
    <w:p w14:paraId="27B68974" w14:textId="77777777" w:rsidR="00345EE3" w:rsidRDefault="00345EE3" w:rsidP="00345EE3">
      <w:pPr>
        <w:spacing w:before="52"/>
        <w:ind w:left="110"/>
        <w:rPr>
          <w:b/>
          <w:sz w:val="24"/>
        </w:rPr>
      </w:pPr>
      <w:r>
        <w:rPr>
          <w:color w:val="231F20"/>
          <w:sz w:val="24"/>
        </w:rPr>
        <w:t>Additional</w:t>
      </w:r>
      <w:r>
        <w:rPr>
          <w:color w:val="231F20"/>
          <w:spacing w:val="-13"/>
          <w:sz w:val="24"/>
        </w:rPr>
        <w:t xml:space="preserve"> </w:t>
      </w:r>
      <w:r>
        <w:rPr>
          <w:color w:val="231F20"/>
          <w:sz w:val="24"/>
        </w:rPr>
        <w:t>information</w:t>
      </w:r>
      <w:r>
        <w:rPr>
          <w:color w:val="231F20"/>
          <w:spacing w:val="-11"/>
          <w:sz w:val="24"/>
        </w:rPr>
        <w:t xml:space="preserve"> </w:t>
      </w:r>
      <w:r>
        <w:rPr>
          <w:color w:val="231F20"/>
          <w:sz w:val="24"/>
        </w:rPr>
        <w:t>about</w:t>
      </w:r>
      <w:r>
        <w:rPr>
          <w:color w:val="231F20"/>
          <w:spacing w:val="-10"/>
          <w:sz w:val="24"/>
        </w:rPr>
        <w:t xml:space="preserve"> </w:t>
      </w:r>
      <w:r>
        <w:rPr>
          <w:color w:val="231F20"/>
          <w:sz w:val="24"/>
        </w:rPr>
        <w:t>Victoria</w:t>
      </w:r>
      <w:r>
        <w:rPr>
          <w:color w:val="231F20"/>
          <w:spacing w:val="-11"/>
          <w:sz w:val="24"/>
        </w:rPr>
        <w:t xml:space="preserve"> </w:t>
      </w:r>
      <w:r>
        <w:rPr>
          <w:color w:val="231F20"/>
          <w:sz w:val="24"/>
        </w:rPr>
        <w:t>Police</w:t>
      </w:r>
      <w:r>
        <w:rPr>
          <w:color w:val="231F20"/>
          <w:spacing w:val="-11"/>
          <w:sz w:val="24"/>
        </w:rPr>
        <w:t xml:space="preserve"> </w:t>
      </w:r>
      <w:r>
        <w:rPr>
          <w:color w:val="231F20"/>
          <w:sz w:val="24"/>
        </w:rPr>
        <w:t>is</w:t>
      </w:r>
      <w:r>
        <w:rPr>
          <w:color w:val="231F20"/>
          <w:spacing w:val="-10"/>
          <w:sz w:val="24"/>
        </w:rPr>
        <w:t xml:space="preserve"> </w:t>
      </w:r>
      <w:r>
        <w:rPr>
          <w:color w:val="231F20"/>
          <w:sz w:val="24"/>
        </w:rPr>
        <w:t>available</w:t>
      </w:r>
      <w:r>
        <w:rPr>
          <w:color w:val="231F20"/>
          <w:spacing w:val="-11"/>
          <w:sz w:val="24"/>
        </w:rPr>
        <w:t xml:space="preserve"> </w:t>
      </w:r>
      <w:r>
        <w:rPr>
          <w:color w:val="231F20"/>
          <w:sz w:val="24"/>
        </w:rPr>
        <w:t>at</w:t>
      </w:r>
      <w:r>
        <w:rPr>
          <w:color w:val="231F20"/>
          <w:spacing w:val="-11"/>
          <w:sz w:val="24"/>
        </w:rPr>
        <w:t xml:space="preserve"> </w:t>
      </w:r>
      <w:hyperlink r:id="rId28">
        <w:r>
          <w:rPr>
            <w:b/>
            <w:color w:val="00529F"/>
            <w:spacing w:val="-2"/>
            <w:sz w:val="24"/>
            <w:u w:val="single" w:color="00529F"/>
          </w:rPr>
          <w:t>police.vic.gov.au</w:t>
        </w:r>
      </w:hyperlink>
    </w:p>
    <w:p w14:paraId="20C3FDD6" w14:textId="77777777" w:rsidR="00345EE3" w:rsidRDefault="00345EE3" w:rsidP="002A27BA">
      <w:pPr>
        <w:pStyle w:val="Heading3"/>
      </w:pPr>
      <w:r>
        <w:t>Publication</w:t>
      </w:r>
      <w:r>
        <w:rPr>
          <w:spacing w:val="-9"/>
        </w:rPr>
        <w:t xml:space="preserve"> </w:t>
      </w:r>
      <w:r>
        <w:rPr>
          <w:spacing w:val="-2"/>
        </w:rPr>
        <w:t>Requirements</w:t>
      </w:r>
    </w:p>
    <w:p w14:paraId="19EDB44A" w14:textId="77777777" w:rsidR="00345EE3" w:rsidRDefault="00345EE3" w:rsidP="00345EE3">
      <w:pPr>
        <w:pStyle w:val="BodyText"/>
        <w:spacing w:before="52" w:line="242" w:lineRule="auto"/>
        <w:ind w:right="1142"/>
        <w:jc w:val="both"/>
        <w:rPr>
          <w:b/>
        </w:rPr>
      </w:pPr>
      <w:r>
        <w:rPr>
          <w:color w:val="231F20"/>
        </w:rPr>
        <w:t>Victoria</w:t>
      </w:r>
      <w:r>
        <w:rPr>
          <w:color w:val="231F20"/>
          <w:spacing w:val="-10"/>
        </w:rPr>
        <w:t xml:space="preserve"> </w:t>
      </w:r>
      <w:r>
        <w:rPr>
          <w:color w:val="231F20"/>
        </w:rPr>
        <w:t>Police</w:t>
      </w:r>
      <w:r>
        <w:rPr>
          <w:color w:val="231F20"/>
          <w:spacing w:val="-10"/>
        </w:rPr>
        <w:t xml:space="preserve"> </w:t>
      </w:r>
      <w:r>
        <w:rPr>
          <w:color w:val="231F20"/>
        </w:rPr>
        <w:t>publishes</w:t>
      </w:r>
      <w:r>
        <w:rPr>
          <w:color w:val="231F20"/>
          <w:spacing w:val="-9"/>
        </w:rPr>
        <w:t xml:space="preserve"> </w:t>
      </w:r>
      <w:r>
        <w:rPr>
          <w:color w:val="231F20"/>
        </w:rPr>
        <w:t>a</w:t>
      </w:r>
      <w:r>
        <w:rPr>
          <w:color w:val="231F20"/>
          <w:spacing w:val="-10"/>
        </w:rPr>
        <w:t xml:space="preserve"> </w:t>
      </w:r>
      <w:r>
        <w:rPr>
          <w:color w:val="231F20"/>
        </w:rPr>
        <w:t>range</w:t>
      </w:r>
      <w:r>
        <w:rPr>
          <w:color w:val="231F20"/>
          <w:spacing w:val="-10"/>
        </w:rPr>
        <w:t xml:space="preserve"> </w:t>
      </w:r>
      <w:r>
        <w:rPr>
          <w:color w:val="231F20"/>
        </w:rPr>
        <w:t>of</w:t>
      </w:r>
      <w:r>
        <w:rPr>
          <w:color w:val="231F20"/>
          <w:spacing w:val="-9"/>
        </w:rPr>
        <w:t xml:space="preserve"> </w:t>
      </w:r>
      <w:r>
        <w:rPr>
          <w:color w:val="231F20"/>
        </w:rPr>
        <w:t>material</w:t>
      </w:r>
      <w:r>
        <w:rPr>
          <w:color w:val="231F20"/>
          <w:spacing w:val="-10"/>
        </w:rPr>
        <w:t xml:space="preserve"> </w:t>
      </w:r>
      <w:r>
        <w:rPr>
          <w:color w:val="231F20"/>
        </w:rPr>
        <w:t>regarding</w:t>
      </w:r>
      <w:r>
        <w:rPr>
          <w:color w:val="231F20"/>
          <w:spacing w:val="-10"/>
        </w:rPr>
        <w:t xml:space="preserve"> </w:t>
      </w:r>
      <w:r>
        <w:rPr>
          <w:color w:val="231F20"/>
        </w:rPr>
        <w:t>crime</w:t>
      </w:r>
      <w:r>
        <w:rPr>
          <w:color w:val="231F20"/>
          <w:spacing w:val="-10"/>
        </w:rPr>
        <w:t xml:space="preserve"> </w:t>
      </w:r>
      <w:r>
        <w:rPr>
          <w:color w:val="231F20"/>
        </w:rPr>
        <w:t>prevention</w:t>
      </w:r>
      <w:r>
        <w:rPr>
          <w:color w:val="231F20"/>
          <w:spacing w:val="-10"/>
        </w:rPr>
        <w:t xml:space="preserve"> </w:t>
      </w:r>
      <w:r>
        <w:rPr>
          <w:color w:val="231F20"/>
        </w:rPr>
        <w:t>and</w:t>
      </w:r>
      <w:r>
        <w:rPr>
          <w:color w:val="231F20"/>
          <w:spacing w:val="-10"/>
        </w:rPr>
        <w:t xml:space="preserve"> </w:t>
      </w:r>
      <w:r>
        <w:rPr>
          <w:color w:val="231F20"/>
        </w:rPr>
        <w:t>community</w:t>
      </w:r>
      <w:r>
        <w:rPr>
          <w:color w:val="231F20"/>
          <w:spacing w:val="-9"/>
        </w:rPr>
        <w:t xml:space="preserve"> </w:t>
      </w:r>
      <w:r>
        <w:rPr>
          <w:color w:val="231F20"/>
        </w:rPr>
        <w:t xml:space="preserve">safety issues. Further information is available at </w:t>
      </w:r>
      <w:hyperlink r:id="rId29">
        <w:r>
          <w:rPr>
            <w:b/>
            <w:color w:val="00529F"/>
            <w:u w:val="single" w:color="00529F"/>
          </w:rPr>
          <w:t>police.vic.gov.au</w:t>
        </w:r>
      </w:hyperlink>
    </w:p>
    <w:p w14:paraId="4F2A418A" w14:textId="77777777" w:rsidR="00345EE3" w:rsidRDefault="00345EE3" w:rsidP="002A27BA">
      <w:pPr>
        <w:pStyle w:val="Heading3"/>
      </w:pPr>
      <w:r>
        <w:t>Documents</w:t>
      </w:r>
      <w:r>
        <w:rPr>
          <w:spacing w:val="-7"/>
        </w:rPr>
        <w:t xml:space="preserve"> </w:t>
      </w:r>
      <w:r>
        <w:t>Available</w:t>
      </w:r>
      <w:r>
        <w:rPr>
          <w:spacing w:val="-7"/>
        </w:rPr>
        <w:t xml:space="preserve"> </w:t>
      </w:r>
      <w:r>
        <w:t>for</w:t>
      </w:r>
      <w:r>
        <w:rPr>
          <w:spacing w:val="-7"/>
        </w:rPr>
        <w:t xml:space="preserve"> </w:t>
      </w:r>
      <w:r>
        <w:rPr>
          <w:spacing w:val="-2"/>
        </w:rPr>
        <w:t>Purchase</w:t>
      </w:r>
    </w:p>
    <w:p w14:paraId="23212FFD" w14:textId="77777777" w:rsidR="00345EE3" w:rsidRDefault="00345EE3" w:rsidP="00345EE3">
      <w:pPr>
        <w:spacing w:before="52" w:line="242" w:lineRule="auto"/>
        <w:ind w:left="110" w:right="1131"/>
        <w:rPr>
          <w:b/>
          <w:sz w:val="24"/>
        </w:rPr>
      </w:pPr>
      <w:r>
        <w:rPr>
          <w:color w:val="231F20"/>
          <w:sz w:val="24"/>
        </w:rPr>
        <w:t>The</w:t>
      </w:r>
      <w:r>
        <w:rPr>
          <w:color w:val="231F20"/>
          <w:spacing w:val="-11"/>
          <w:sz w:val="24"/>
        </w:rPr>
        <w:t xml:space="preserve"> </w:t>
      </w:r>
      <w:r>
        <w:rPr>
          <w:color w:val="231F20"/>
          <w:sz w:val="24"/>
        </w:rPr>
        <w:t>Victoria</w:t>
      </w:r>
      <w:r>
        <w:rPr>
          <w:color w:val="231F20"/>
          <w:spacing w:val="-11"/>
          <w:sz w:val="24"/>
        </w:rPr>
        <w:t xml:space="preserve"> </w:t>
      </w:r>
      <w:r>
        <w:rPr>
          <w:color w:val="231F20"/>
          <w:sz w:val="24"/>
        </w:rPr>
        <w:t>Police</w:t>
      </w:r>
      <w:r>
        <w:rPr>
          <w:color w:val="231F20"/>
          <w:spacing w:val="-11"/>
          <w:sz w:val="24"/>
        </w:rPr>
        <w:t xml:space="preserve"> </w:t>
      </w:r>
      <w:r>
        <w:rPr>
          <w:color w:val="231F20"/>
          <w:sz w:val="24"/>
        </w:rPr>
        <w:t>Manual</w:t>
      </w:r>
      <w:r>
        <w:rPr>
          <w:color w:val="231F20"/>
          <w:spacing w:val="-11"/>
          <w:sz w:val="24"/>
        </w:rPr>
        <w:t xml:space="preserve"> </w:t>
      </w:r>
      <w:r>
        <w:rPr>
          <w:color w:val="231F20"/>
          <w:sz w:val="24"/>
        </w:rPr>
        <w:t>is</w:t>
      </w:r>
      <w:r>
        <w:rPr>
          <w:color w:val="231F20"/>
          <w:spacing w:val="-10"/>
          <w:sz w:val="24"/>
        </w:rPr>
        <w:t xml:space="preserve"> </w:t>
      </w:r>
      <w:r>
        <w:rPr>
          <w:color w:val="231F20"/>
          <w:sz w:val="24"/>
        </w:rPr>
        <w:t>available</w:t>
      </w:r>
      <w:r>
        <w:rPr>
          <w:color w:val="231F20"/>
          <w:spacing w:val="-11"/>
          <w:sz w:val="24"/>
        </w:rPr>
        <w:t xml:space="preserve"> </w:t>
      </w:r>
      <w:r>
        <w:rPr>
          <w:color w:val="231F20"/>
          <w:sz w:val="24"/>
        </w:rPr>
        <w:t>for</w:t>
      </w:r>
      <w:r>
        <w:rPr>
          <w:color w:val="231F20"/>
          <w:spacing w:val="-10"/>
          <w:sz w:val="24"/>
        </w:rPr>
        <w:t xml:space="preserve"> </w:t>
      </w:r>
      <w:r>
        <w:rPr>
          <w:color w:val="231F20"/>
          <w:sz w:val="24"/>
        </w:rPr>
        <w:t>purchase.</w:t>
      </w:r>
      <w:r>
        <w:rPr>
          <w:color w:val="231F20"/>
          <w:spacing w:val="-10"/>
          <w:sz w:val="24"/>
        </w:rPr>
        <w:t xml:space="preserve"> </w:t>
      </w:r>
      <w:r>
        <w:rPr>
          <w:color w:val="231F20"/>
          <w:sz w:val="24"/>
        </w:rPr>
        <w:t>Further</w:t>
      </w:r>
      <w:r>
        <w:rPr>
          <w:color w:val="231F20"/>
          <w:spacing w:val="-10"/>
          <w:sz w:val="24"/>
        </w:rPr>
        <w:t xml:space="preserve"> </w:t>
      </w:r>
      <w:r>
        <w:rPr>
          <w:color w:val="231F20"/>
          <w:sz w:val="24"/>
        </w:rPr>
        <w:t>information</w:t>
      </w:r>
      <w:r>
        <w:rPr>
          <w:color w:val="231F20"/>
          <w:spacing w:val="-11"/>
          <w:sz w:val="24"/>
        </w:rPr>
        <w:t xml:space="preserve"> </w:t>
      </w:r>
      <w:r>
        <w:rPr>
          <w:color w:val="231F20"/>
          <w:sz w:val="24"/>
        </w:rPr>
        <w:t>is</w:t>
      </w:r>
      <w:r>
        <w:rPr>
          <w:color w:val="231F20"/>
          <w:spacing w:val="-10"/>
          <w:sz w:val="24"/>
        </w:rPr>
        <w:t xml:space="preserve"> </w:t>
      </w:r>
      <w:r>
        <w:rPr>
          <w:color w:val="231F20"/>
          <w:sz w:val="24"/>
        </w:rPr>
        <w:t>available</w:t>
      </w:r>
      <w:r>
        <w:rPr>
          <w:color w:val="231F20"/>
          <w:spacing w:val="-11"/>
          <w:sz w:val="24"/>
        </w:rPr>
        <w:t xml:space="preserve"> </w:t>
      </w:r>
      <w:r>
        <w:rPr>
          <w:color w:val="231F20"/>
          <w:sz w:val="24"/>
        </w:rPr>
        <w:t>at</w:t>
      </w:r>
      <w:r>
        <w:rPr>
          <w:color w:val="231F20"/>
          <w:spacing w:val="-10"/>
          <w:sz w:val="24"/>
        </w:rPr>
        <w:t xml:space="preserve"> </w:t>
      </w:r>
      <w:hyperlink r:id="rId30">
        <w:r>
          <w:rPr>
            <w:b/>
            <w:color w:val="00529F"/>
            <w:sz w:val="24"/>
            <w:u w:val="single" w:color="00529F"/>
          </w:rPr>
          <w:t>police.</w:t>
        </w:r>
      </w:hyperlink>
      <w:r>
        <w:rPr>
          <w:b/>
          <w:color w:val="00529F"/>
          <w:sz w:val="24"/>
        </w:rPr>
        <w:t xml:space="preserve"> </w:t>
      </w:r>
      <w:hyperlink r:id="rId31">
        <w:r>
          <w:rPr>
            <w:b/>
            <w:color w:val="00529F"/>
            <w:spacing w:val="-2"/>
            <w:sz w:val="24"/>
            <w:u w:val="single" w:color="00529F"/>
          </w:rPr>
          <w:t>vic.gov.au/procedures-and-legislation</w:t>
        </w:r>
      </w:hyperlink>
    </w:p>
    <w:p w14:paraId="4B3AC31E" w14:textId="77777777" w:rsidR="00345EE3" w:rsidRDefault="00345EE3" w:rsidP="00345EE3">
      <w:pPr>
        <w:pStyle w:val="BodyText"/>
        <w:spacing w:before="116" w:line="242" w:lineRule="auto"/>
        <w:ind w:right="921"/>
        <w:rPr>
          <w:b/>
        </w:rPr>
      </w:pPr>
      <w:r>
        <w:rPr>
          <w:color w:val="231F20"/>
        </w:rPr>
        <w:t>Accident</w:t>
      </w:r>
      <w:r>
        <w:rPr>
          <w:color w:val="231F20"/>
          <w:spacing w:val="-10"/>
        </w:rPr>
        <w:t xml:space="preserve"> </w:t>
      </w:r>
      <w:r>
        <w:rPr>
          <w:color w:val="231F20"/>
        </w:rPr>
        <w:t>reports</w:t>
      </w:r>
      <w:r>
        <w:rPr>
          <w:color w:val="231F20"/>
          <w:spacing w:val="-10"/>
        </w:rPr>
        <w:t xml:space="preserve"> </w:t>
      </w:r>
      <w:r>
        <w:rPr>
          <w:color w:val="231F20"/>
        </w:rPr>
        <w:t>and</w:t>
      </w:r>
      <w:r>
        <w:rPr>
          <w:color w:val="231F20"/>
          <w:spacing w:val="-11"/>
        </w:rPr>
        <w:t xml:space="preserve"> </w:t>
      </w:r>
      <w:r>
        <w:rPr>
          <w:color w:val="231F20"/>
        </w:rPr>
        <w:t>crime</w:t>
      </w:r>
      <w:r>
        <w:rPr>
          <w:color w:val="231F20"/>
          <w:spacing w:val="-11"/>
        </w:rPr>
        <w:t xml:space="preserve"> </w:t>
      </w:r>
      <w:r>
        <w:rPr>
          <w:color w:val="231F20"/>
        </w:rPr>
        <w:t>reports</w:t>
      </w:r>
      <w:r>
        <w:rPr>
          <w:color w:val="231F20"/>
          <w:spacing w:val="-10"/>
        </w:rPr>
        <w:t xml:space="preserve"> </w:t>
      </w:r>
      <w:r>
        <w:rPr>
          <w:color w:val="231F20"/>
        </w:rPr>
        <w:t>(insurance)</w:t>
      </w:r>
      <w:r>
        <w:rPr>
          <w:color w:val="231F20"/>
          <w:spacing w:val="-10"/>
        </w:rPr>
        <w:t xml:space="preserve"> </w:t>
      </w:r>
      <w:r>
        <w:rPr>
          <w:color w:val="231F20"/>
        </w:rPr>
        <w:t>are</w:t>
      </w:r>
      <w:r>
        <w:rPr>
          <w:color w:val="231F20"/>
          <w:spacing w:val="-11"/>
        </w:rPr>
        <w:t xml:space="preserve"> </w:t>
      </w:r>
      <w:r>
        <w:rPr>
          <w:color w:val="231F20"/>
        </w:rPr>
        <w:t>also</w:t>
      </w:r>
      <w:r>
        <w:rPr>
          <w:color w:val="231F20"/>
          <w:spacing w:val="-11"/>
        </w:rPr>
        <w:t xml:space="preserve"> </w:t>
      </w:r>
      <w:r>
        <w:rPr>
          <w:color w:val="231F20"/>
        </w:rPr>
        <w:t>available</w:t>
      </w:r>
      <w:r>
        <w:rPr>
          <w:color w:val="231F20"/>
          <w:spacing w:val="-11"/>
        </w:rPr>
        <w:t xml:space="preserve"> </w:t>
      </w:r>
      <w:r>
        <w:rPr>
          <w:color w:val="231F20"/>
        </w:rPr>
        <w:t>for</w:t>
      </w:r>
      <w:r>
        <w:rPr>
          <w:color w:val="231F20"/>
          <w:spacing w:val="-10"/>
        </w:rPr>
        <w:t xml:space="preserve"> </w:t>
      </w:r>
      <w:r>
        <w:rPr>
          <w:color w:val="231F20"/>
        </w:rPr>
        <w:t>purchase.</w:t>
      </w:r>
      <w:r>
        <w:rPr>
          <w:color w:val="231F20"/>
          <w:spacing w:val="-10"/>
        </w:rPr>
        <w:t xml:space="preserve"> </w:t>
      </w:r>
      <w:r>
        <w:rPr>
          <w:color w:val="231F20"/>
        </w:rPr>
        <w:t xml:space="preserve">Further information is available at </w:t>
      </w:r>
      <w:hyperlink r:id="rId32">
        <w:r>
          <w:rPr>
            <w:b/>
            <w:color w:val="00529F"/>
            <w:u w:val="single" w:color="00529F"/>
          </w:rPr>
          <w:t>police.vic.gov.au</w:t>
        </w:r>
      </w:hyperlink>
    </w:p>
    <w:p w14:paraId="285C374F" w14:textId="77777777" w:rsidR="00345EE3" w:rsidRDefault="00345EE3" w:rsidP="00345EE3">
      <w:pPr>
        <w:pStyle w:val="BodyText"/>
        <w:spacing w:before="116" w:line="242" w:lineRule="auto"/>
        <w:ind w:right="848"/>
        <w:rPr>
          <w:b/>
        </w:rPr>
      </w:pPr>
      <w:r>
        <w:rPr>
          <w:color w:val="231F20"/>
        </w:rPr>
        <w:t>The Corporate Statistics Unit collects, collates, analyses and disseminates statistical data collected</w:t>
      </w:r>
      <w:r>
        <w:rPr>
          <w:color w:val="231F20"/>
          <w:spacing w:val="-10"/>
        </w:rPr>
        <w:t xml:space="preserve"> </w:t>
      </w:r>
      <w:r>
        <w:rPr>
          <w:color w:val="231F20"/>
        </w:rPr>
        <w:t>by</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9"/>
        </w:rPr>
        <w:t xml:space="preserve"> </w:t>
      </w:r>
      <w:r>
        <w:rPr>
          <w:color w:val="231F20"/>
        </w:rPr>
        <w:t>Reports</w:t>
      </w:r>
      <w:r>
        <w:rPr>
          <w:color w:val="231F20"/>
          <w:spacing w:val="-9"/>
        </w:rPr>
        <w:t xml:space="preserve"> </w:t>
      </w:r>
      <w:r>
        <w:rPr>
          <w:color w:val="231F20"/>
        </w:rPr>
        <w:t>that</w:t>
      </w:r>
      <w:r>
        <w:rPr>
          <w:color w:val="231F20"/>
          <w:spacing w:val="-9"/>
        </w:rPr>
        <w:t xml:space="preserve"> </w:t>
      </w:r>
      <w:r>
        <w:rPr>
          <w:color w:val="231F20"/>
        </w:rPr>
        <w:t>provide</w:t>
      </w:r>
      <w:r>
        <w:rPr>
          <w:color w:val="231F20"/>
          <w:spacing w:val="-10"/>
        </w:rPr>
        <w:t xml:space="preserve"> </w:t>
      </w:r>
      <w:r>
        <w:rPr>
          <w:color w:val="231F20"/>
        </w:rPr>
        <w:t>non-crime</w:t>
      </w:r>
      <w:r>
        <w:rPr>
          <w:color w:val="231F20"/>
          <w:spacing w:val="-10"/>
        </w:rPr>
        <w:t xml:space="preserve"> </w:t>
      </w:r>
      <w:r>
        <w:rPr>
          <w:color w:val="231F20"/>
        </w:rPr>
        <w:t>statistics</w:t>
      </w:r>
      <w:r>
        <w:rPr>
          <w:color w:val="231F20"/>
          <w:spacing w:val="-9"/>
        </w:rPr>
        <w:t xml:space="preserve"> </w:t>
      </w:r>
      <w:r>
        <w:rPr>
          <w:color w:val="231F20"/>
        </w:rPr>
        <w:t>are</w:t>
      </w:r>
      <w:r>
        <w:rPr>
          <w:color w:val="231F20"/>
          <w:spacing w:val="-10"/>
        </w:rPr>
        <w:t xml:space="preserve"> </w:t>
      </w:r>
      <w:r>
        <w:rPr>
          <w:color w:val="231F20"/>
        </w:rPr>
        <w:t>available</w:t>
      </w:r>
      <w:r>
        <w:rPr>
          <w:color w:val="231F20"/>
          <w:spacing w:val="-10"/>
        </w:rPr>
        <w:t xml:space="preserve"> </w:t>
      </w:r>
      <w:r>
        <w:rPr>
          <w:color w:val="231F20"/>
        </w:rPr>
        <w:t>upon</w:t>
      </w:r>
      <w:r>
        <w:rPr>
          <w:color w:val="231F20"/>
          <w:spacing w:val="-10"/>
        </w:rPr>
        <w:t xml:space="preserve"> </w:t>
      </w:r>
      <w:r>
        <w:rPr>
          <w:color w:val="231F20"/>
        </w:rPr>
        <w:t xml:space="preserve">request. Further information is available at </w:t>
      </w:r>
      <w:hyperlink r:id="rId33">
        <w:r>
          <w:rPr>
            <w:b/>
            <w:color w:val="00529F"/>
            <w:u w:val="single" w:color="00529F"/>
          </w:rPr>
          <w:t>police.vic.gov.au</w:t>
        </w:r>
      </w:hyperlink>
    </w:p>
    <w:p w14:paraId="74C28A44" w14:textId="77777777" w:rsidR="00345EE3" w:rsidRDefault="00345EE3" w:rsidP="002A27BA">
      <w:pPr>
        <w:pStyle w:val="Heading3"/>
      </w:pPr>
      <w:r>
        <w:t>Documents</w:t>
      </w:r>
      <w:r>
        <w:rPr>
          <w:spacing w:val="-10"/>
        </w:rPr>
        <w:t xml:space="preserve"> </w:t>
      </w:r>
      <w:r>
        <w:t>Available</w:t>
      </w:r>
      <w:r>
        <w:rPr>
          <w:spacing w:val="-8"/>
        </w:rPr>
        <w:t xml:space="preserve"> </w:t>
      </w:r>
      <w:r>
        <w:t>for</w:t>
      </w:r>
      <w:r>
        <w:rPr>
          <w:spacing w:val="-8"/>
        </w:rPr>
        <w:t xml:space="preserve"> </w:t>
      </w:r>
      <w:r>
        <w:t>Public</w:t>
      </w:r>
      <w:r>
        <w:rPr>
          <w:spacing w:val="-7"/>
        </w:rPr>
        <w:t xml:space="preserve"> </w:t>
      </w:r>
      <w:r>
        <w:rPr>
          <w:spacing w:val="-2"/>
        </w:rPr>
        <w:t>Inspection</w:t>
      </w:r>
    </w:p>
    <w:p w14:paraId="663F5839" w14:textId="77777777" w:rsidR="00345EE3" w:rsidRDefault="00345EE3" w:rsidP="00345EE3">
      <w:pPr>
        <w:pStyle w:val="BodyText"/>
        <w:spacing w:before="52" w:line="242" w:lineRule="auto"/>
        <w:ind w:right="921"/>
      </w:pPr>
      <w:r>
        <w:rPr>
          <w:color w:val="231F20"/>
        </w:rPr>
        <w:t>The</w:t>
      </w:r>
      <w:r>
        <w:rPr>
          <w:color w:val="231F20"/>
          <w:spacing w:val="-7"/>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Manual</w:t>
      </w:r>
      <w:r>
        <w:rPr>
          <w:color w:val="231F20"/>
          <w:spacing w:val="-7"/>
        </w:rPr>
        <w:t xml:space="preserve"> </w:t>
      </w:r>
      <w:r>
        <w:rPr>
          <w:color w:val="231F20"/>
        </w:rPr>
        <w:t>is</w:t>
      </w:r>
      <w:r>
        <w:rPr>
          <w:color w:val="231F20"/>
          <w:spacing w:val="-6"/>
        </w:rPr>
        <w:t xml:space="preserve"> </w:t>
      </w:r>
      <w:r>
        <w:rPr>
          <w:color w:val="231F20"/>
        </w:rPr>
        <w:t>available</w:t>
      </w:r>
      <w:r>
        <w:rPr>
          <w:color w:val="231F20"/>
          <w:spacing w:val="-7"/>
        </w:rPr>
        <w:t xml:space="preserve"> </w:t>
      </w:r>
      <w:r>
        <w:rPr>
          <w:color w:val="231F20"/>
        </w:rPr>
        <w:t>for</w:t>
      </w:r>
      <w:r>
        <w:rPr>
          <w:color w:val="231F20"/>
          <w:spacing w:val="-6"/>
        </w:rPr>
        <w:t xml:space="preserve"> </w:t>
      </w:r>
      <w:r>
        <w:rPr>
          <w:color w:val="231F20"/>
        </w:rPr>
        <w:t>perusal</w:t>
      </w:r>
      <w:r>
        <w:rPr>
          <w:color w:val="231F20"/>
          <w:spacing w:val="-7"/>
        </w:rPr>
        <w:t xml:space="preserve"> </w:t>
      </w:r>
      <w:r>
        <w:rPr>
          <w:color w:val="231F20"/>
        </w:rPr>
        <w:t>at</w:t>
      </w:r>
      <w:r>
        <w:rPr>
          <w:color w:val="231F20"/>
          <w:spacing w:val="-6"/>
        </w:rPr>
        <w:t xml:space="preserve"> </w:t>
      </w:r>
      <w:r>
        <w:rPr>
          <w:color w:val="231F20"/>
        </w:rPr>
        <w:t>the</w:t>
      </w:r>
      <w:r>
        <w:rPr>
          <w:color w:val="231F20"/>
          <w:spacing w:val="-7"/>
        </w:rPr>
        <w:t xml:space="preserve"> </w:t>
      </w:r>
      <w:r>
        <w:rPr>
          <w:color w:val="231F20"/>
        </w:rPr>
        <w:t>Supreme</w:t>
      </w:r>
      <w:r>
        <w:rPr>
          <w:color w:val="231F20"/>
          <w:spacing w:val="-7"/>
        </w:rPr>
        <w:t xml:space="preserve"> </w:t>
      </w:r>
      <w:r>
        <w:rPr>
          <w:color w:val="231F20"/>
        </w:rPr>
        <w:t>Court</w:t>
      </w:r>
      <w:r>
        <w:rPr>
          <w:color w:val="231F20"/>
          <w:spacing w:val="-6"/>
        </w:rPr>
        <w:t xml:space="preserve"> </w:t>
      </w:r>
      <w:r>
        <w:rPr>
          <w:color w:val="231F20"/>
        </w:rPr>
        <w:t>Library</w:t>
      </w:r>
      <w:r>
        <w:rPr>
          <w:color w:val="231F20"/>
          <w:spacing w:val="-6"/>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State Law Library, Melbourne.</w:t>
      </w:r>
    </w:p>
    <w:p w14:paraId="272876EC" w14:textId="77777777" w:rsidR="00345EE3" w:rsidRDefault="00345EE3" w:rsidP="00E97908">
      <w:pPr>
        <w:spacing w:before="214"/>
        <w:rPr>
          <w:sz w:val="32"/>
        </w:rPr>
      </w:pPr>
      <w:r>
        <w:rPr>
          <w:color w:val="00529F"/>
          <w:sz w:val="32"/>
        </w:rPr>
        <w:t>Compliance</w:t>
      </w:r>
      <w:r>
        <w:rPr>
          <w:color w:val="00529F"/>
          <w:spacing w:val="-9"/>
          <w:sz w:val="32"/>
        </w:rPr>
        <w:t xml:space="preserve"> </w:t>
      </w:r>
      <w:r>
        <w:rPr>
          <w:color w:val="00529F"/>
          <w:sz w:val="32"/>
        </w:rPr>
        <w:t>with</w:t>
      </w:r>
      <w:r>
        <w:rPr>
          <w:color w:val="00529F"/>
          <w:spacing w:val="-9"/>
          <w:sz w:val="32"/>
        </w:rPr>
        <w:t xml:space="preserve"> </w:t>
      </w:r>
      <w:r>
        <w:rPr>
          <w:color w:val="00529F"/>
          <w:sz w:val="32"/>
        </w:rPr>
        <w:t>the</w:t>
      </w:r>
      <w:r>
        <w:rPr>
          <w:color w:val="00529F"/>
          <w:spacing w:val="-9"/>
          <w:sz w:val="32"/>
        </w:rPr>
        <w:t xml:space="preserve"> </w:t>
      </w:r>
      <w:r>
        <w:rPr>
          <w:i/>
          <w:color w:val="00529F"/>
          <w:sz w:val="32"/>
        </w:rPr>
        <w:t>Building</w:t>
      </w:r>
      <w:r>
        <w:rPr>
          <w:i/>
          <w:color w:val="00529F"/>
          <w:spacing w:val="-9"/>
          <w:sz w:val="32"/>
        </w:rPr>
        <w:t xml:space="preserve"> </w:t>
      </w:r>
      <w:r>
        <w:rPr>
          <w:i/>
          <w:color w:val="00529F"/>
          <w:sz w:val="32"/>
        </w:rPr>
        <w:t>Act</w:t>
      </w:r>
      <w:r>
        <w:rPr>
          <w:i/>
          <w:color w:val="00529F"/>
          <w:spacing w:val="-8"/>
          <w:sz w:val="32"/>
        </w:rPr>
        <w:t xml:space="preserve"> </w:t>
      </w:r>
      <w:r>
        <w:rPr>
          <w:color w:val="00529F"/>
          <w:spacing w:val="-4"/>
          <w:sz w:val="32"/>
        </w:rPr>
        <w:t>1993</w:t>
      </w:r>
    </w:p>
    <w:p w14:paraId="56670B02" w14:textId="77777777" w:rsidR="00345EE3" w:rsidRDefault="00345EE3" w:rsidP="00345EE3">
      <w:pPr>
        <w:pStyle w:val="BodyText"/>
        <w:spacing w:before="72" w:line="242" w:lineRule="auto"/>
        <w:ind w:right="848"/>
      </w:pPr>
      <w:r>
        <w:rPr>
          <w:color w:val="231F20"/>
        </w:rPr>
        <w:t>Victoria</w:t>
      </w:r>
      <w:r>
        <w:rPr>
          <w:color w:val="231F20"/>
          <w:spacing w:val="-6"/>
        </w:rPr>
        <w:t xml:space="preserve"> </w:t>
      </w:r>
      <w:r>
        <w:rPr>
          <w:color w:val="231F20"/>
        </w:rPr>
        <w:t>Police</w:t>
      </w:r>
      <w:r>
        <w:rPr>
          <w:color w:val="231F20"/>
          <w:spacing w:val="-6"/>
        </w:rPr>
        <w:t xml:space="preserve"> </w:t>
      </w:r>
      <w:r>
        <w:rPr>
          <w:color w:val="231F20"/>
        </w:rPr>
        <w:t>complies</w:t>
      </w:r>
      <w:r>
        <w:rPr>
          <w:color w:val="231F20"/>
          <w:spacing w:val="-5"/>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requirements</w:t>
      </w:r>
      <w:r>
        <w:rPr>
          <w:color w:val="231F20"/>
          <w:spacing w:val="-5"/>
        </w:rPr>
        <w:t xml:space="preserve"> </w:t>
      </w:r>
      <w:r>
        <w:rPr>
          <w:color w:val="231F20"/>
        </w:rPr>
        <w:t>of</w:t>
      </w:r>
      <w:r>
        <w:rPr>
          <w:color w:val="231F20"/>
          <w:spacing w:val="-5"/>
        </w:rPr>
        <w:t xml:space="preserve"> </w:t>
      </w:r>
      <w:r>
        <w:rPr>
          <w:color w:val="231F20"/>
        </w:rPr>
        <w:t>the</w:t>
      </w:r>
      <w:r>
        <w:rPr>
          <w:color w:val="231F20"/>
          <w:spacing w:val="-6"/>
        </w:rPr>
        <w:t xml:space="preserve"> </w:t>
      </w:r>
      <w:r>
        <w:rPr>
          <w:i/>
          <w:color w:val="231F20"/>
        </w:rPr>
        <w:t>Building</w:t>
      </w:r>
      <w:r>
        <w:rPr>
          <w:i/>
          <w:color w:val="231F20"/>
          <w:spacing w:val="-14"/>
        </w:rPr>
        <w:t xml:space="preserve"> </w:t>
      </w:r>
      <w:r>
        <w:rPr>
          <w:i/>
          <w:color w:val="231F20"/>
        </w:rPr>
        <w:t>Act</w:t>
      </w:r>
      <w:r>
        <w:rPr>
          <w:i/>
          <w:color w:val="231F20"/>
          <w:spacing w:val="-14"/>
        </w:rPr>
        <w:t xml:space="preserve"> </w:t>
      </w:r>
      <w:r>
        <w:rPr>
          <w:color w:val="231F20"/>
        </w:rPr>
        <w:t>1993,</w:t>
      </w:r>
      <w:r>
        <w:rPr>
          <w:color w:val="231F20"/>
          <w:spacing w:val="-6"/>
        </w:rPr>
        <w:t xml:space="preserve"> </w:t>
      </w:r>
      <w:r>
        <w:rPr>
          <w:color w:val="231F20"/>
        </w:rPr>
        <w:t>the</w:t>
      </w:r>
      <w:r>
        <w:rPr>
          <w:color w:val="231F20"/>
          <w:spacing w:val="-5"/>
        </w:rPr>
        <w:t xml:space="preserve"> </w:t>
      </w:r>
      <w:r>
        <w:rPr>
          <w:color w:val="231F20"/>
        </w:rPr>
        <w:t>Building</w:t>
      </w:r>
      <w:r>
        <w:rPr>
          <w:color w:val="231F20"/>
          <w:spacing w:val="-5"/>
        </w:rPr>
        <w:t xml:space="preserve"> </w:t>
      </w:r>
      <w:r>
        <w:rPr>
          <w:color w:val="231F20"/>
        </w:rPr>
        <w:t>Regulations 2018</w:t>
      </w:r>
      <w:r>
        <w:rPr>
          <w:color w:val="231F20"/>
          <w:spacing w:val="-12"/>
        </w:rPr>
        <w:t xml:space="preserve"> </w:t>
      </w:r>
      <w:r>
        <w:rPr>
          <w:color w:val="231F20"/>
        </w:rPr>
        <w:t>and</w:t>
      </w:r>
      <w:r>
        <w:rPr>
          <w:color w:val="231F20"/>
          <w:spacing w:val="-12"/>
        </w:rPr>
        <w:t xml:space="preserve"> </w:t>
      </w:r>
      <w:r>
        <w:rPr>
          <w:color w:val="231F20"/>
        </w:rPr>
        <w:t>other</w:t>
      </w:r>
      <w:r>
        <w:rPr>
          <w:color w:val="231F20"/>
          <w:spacing w:val="-12"/>
        </w:rPr>
        <w:t xml:space="preserve"> </w:t>
      </w:r>
      <w:r>
        <w:rPr>
          <w:color w:val="231F20"/>
        </w:rPr>
        <w:t>Victorian</w:t>
      </w:r>
      <w:r>
        <w:rPr>
          <w:color w:val="231F20"/>
          <w:spacing w:val="-12"/>
        </w:rPr>
        <w:t xml:space="preserve"> </w:t>
      </w:r>
      <w:r>
        <w:rPr>
          <w:color w:val="231F20"/>
        </w:rPr>
        <w:t>legislation</w:t>
      </w:r>
      <w:r>
        <w:rPr>
          <w:color w:val="231F20"/>
          <w:spacing w:val="-12"/>
        </w:rPr>
        <w:t xml:space="preserve"> </w:t>
      </w:r>
      <w:r>
        <w:rPr>
          <w:color w:val="231F20"/>
        </w:rPr>
        <w:t>referenced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Victorian</w:t>
      </w:r>
      <w:r>
        <w:rPr>
          <w:color w:val="231F20"/>
          <w:spacing w:val="-12"/>
        </w:rPr>
        <w:t xml:space="preserve"> </w:t>
      </w:r>
      <w:r>
        <w:rPr>
          <w:color w:val="231F20"/>
        </w:rPr>
        <w:t>Building</w:t>
      </w:r>
      <w:r>
        <w:rPr>
          <w:color w:val="231F20"/>
          <w:spacing w:val="-12"/>
        </w:rPr>
        <w:t xml:space="preserve"> </w:t>
      </w:r>
      <w:r>
        <w:rPr>
          <w:color w:val="231F20"/>
        </w:rPr>
        <w:t>Authority.</w:t>
      </w:r>
      <w:r>
        <w:rPr>
          <w:color w:val="231F20"/>
          <w:spacing w:val="-12"/>
        </w:rPr>
        <w:t xml:space="preserve"> </w:t>
      </w:r>
      <w:r>
        <w:rPr>
          <w:color w:val="231F20"/>
        </w:rPr>
        <w:t>Victoria</w:t>
      </w:r>
      <w:r>
        <w:rPr>
          <w:color w:val="231F20"/>
          <w:spacing w:val="-12"/>
        </w:rPr>
        <w:t xml:space="preserve"> </w:t>
      </w:r>
      <w:r>
        <w:rPr>
          <w:color w:val="231F20"/>
        </w:rPr>
        <w:t>Police controls a large property portfolio comprised of police stations, police residences, educational, administrative and training complexes, forensic laboratories and other special purpose facilities.</w:t>
      </w:r>
    </w:p>
    <w:p w14:paraId="4A1E2C4F" w14:textId="77777777" w:rsidR="00345EE3" w:rsidRDefault="00345EE3" w:rsidP="002A27BA">
      <w:pPr>
        <w:pStyle w:val="Heading3"/>
      </w:pPr>
      <w:r>
        <w:t>New</w:t>
      </w:r>
      <w:r>
        <w:rPr>
          <w:spacing w:val="-6"/>
        </w:rPr>
        <w:t xml:space="preserve"> </w:t>
      </w:r>
      <w:r>
        <w:t>Buildings</w:t>
      </w:r>
      <w:r>
        <w:rPr>
          <w:spacing w:val="-5"/>
        </w:rPr>
        <w:t xml:space="preserve"> </w:t>
      </w:r>
      <w:r>
        <w:t>Conforming</w:t>
      </w:r>
      <w:r>
        <w:rPr>
          <w:spacing w:val="-5"/>
        </w:rPr>
        <w:t xml:space="preserve"> </w:t>
      </w:r>
      <w:r>
        <w:t>to</w:t>
      </w:r>
      <w:r>
        <w:rPr>
          <w:spacing w:val="-5"/>
        </w:rPr>
        <w:t xml:space="preserve"> </w:t>
      </w:r>
      <w:r>
        <w:rPr>
          <w:spacing w:val="-2"/>
        </w:rPr>
        <w:t>Standards</w:t>
      </w:r>
    </w:p>
    <w:p w14:paraId="0296B1B6" w14:textId="77777777" w:rsidR="00345EE3" w:rsidRDefault="00345EE3" w:rsidP="00345EE3">
      <w:pPr>
        <w:pStyle w:val="BodyText"/>
        <w:spacing w:before="53" w:line="242" w:lineRule="auto"/>
        <w:ind w:right="921"/>
      </w:pPr>
      <w:r>
        <w:rPr>
          <w:color w:val="231F20"/>
        </w:rPr>
        <w:t>Capital commitments completed during the year included major refurbishments at Ballarat, Portland,</w:t>
      </w:r>
      <w:r>
        <w:rPr>
          <w:color w:val="231F20"/>
          <w:spacing w:val="-14"/>
        </w:rPr>
        <w:t xml:space="preserve"> </w:t>
      </w:r>
      <w:r>
        <w:rPr>
          <w:color w:val="231F20"/>
        </w:rPr>
        <w:t>Warrnambool,</w:t>
      </w:r>
      <w:r>
        <w:rPr>
          <w:color w:val="231F20"/>
          <w:spacing w:val="-14"/>
        </w:rPr>
        <w:t xml:space="preserve"> </w:t>
      </w:r>
      <w:r>
        <w:rPr>
          <w:color w:val="231F20"/>
        </w:rPr>
        <w:t>Sale,</w:t>
      </w:r>
      <w:r>
        <w:rPr>
          <w:color w:val="231F20"/>
          <w:spacing w:val="-14"/>
        </w:rPr>
        <w:t xml:space="preserve"> </w:t>
      </w:r>
      <w:r>
        <w:rPr>
          <w:color w:val="231F20"/>
        </w:rPr>
        <w:t>Wangaratta,</w:t>
      </w:r>
      <w:r>
        <w:rPr>
          <w:color w:val="231F20"/>
          <w:spacing w:val="-14"/>
        </w:rPr>
        <w:t xml:space="preserve"> </w:t>
      </w:r>
      <w:r>
        <w:rPr>
          <w:color w:val="231F20"/>
        </w:rPr>
        <w:t>Shepparton,</w:t>
      </w:r>
      <w:r>
        <w:rPr>
          <w:color w:val="231F20"/>
          <w:spacing w:val="-14"/>
        </w:rPr>
        <w:t xml:space="preserve"> </w:t>
      </w:r>
      <w:r>
        <w:rPr>
          <w:color w:val="231F20"/>
        </w:rPr>
        <w:t>Springvale</w:t>
      </w:r>
      <w:r>
        <w:rPr>
          <w:color w:val="231F20"/>
          <w:spacing w:val="-15"/>
        </w:rPr>
        <w:t xml:space="preserve"> </w:t>
      </w:r>
      <w:r>
        <w:rPr>
          <w:color w:val="231F20"/>
        </w:rPr>
        <w:t>Police</w:t>
      </w:r>
      <w:r>
        <w:rPr>
          <w:color w:val="231F20"/>
          <w:spacing w:val="-15"/>
        </w:rPr>
        <w:t xml:space="preserve"> </w:t>
      </w:r>
      <w:r>
        <w:rPr>
          <w:color w:val="231F20"/>
        </w:rPr>
        <w:t>Stations,</w:t>
      </w:r>
      <w:r>
        <w:rPr>
          <w:color w:val="231F20"/>
          <w:spacing w:val="-14"/>
        </w:rPr>
        <w:t xml:space="preserve"> </w:t>
      </w:r>
      <w:r>
        <w:rPr>
          <w:color w:val="231F20"/>
        </w:rPr>
        <w:t>Geelong Multidisciplinary Centres (MDCs) and Dawson Street Facility.</w:t>
      </w:r>
    </w:p>
    <w:p w14:paraId="6A2C52E1" w14:textId="77777777" w:rsidR="00345EE3" w:rsidRDefault="00345EE3" w:rsidP="002A27BA">
      <w:pPr>
        <w:pStyle w:val="Heading3"/>
      </w:pPr>
      <w:r>
        <w:t>Maintenance</w:t>
      </w:r>
      <w:r>
        <w:rPr>
          <w:spacing w:val="-4"/>
        </w:rPr>
        <w:t xml:space="preserve"> </w:t>
      </w:r>
      <w:r>
        <w:t>of</w:t>
      </w:r>
      <w:r>
        <w:rPr>
          <w:spacing w:val="-2"/>
        </w:rPr>
        <w:t xml:space="preserve"> </w:t>
      </w:r>
      <w:r>
        <w:t>Buildings</w:t>
      </w:r>
      <w:r>
        <w:rPr>
          <w:spacing w:val="-2"/>
        </w:rPr>
        <w:t xml:space="preserve"> </w:t>
      </w:r>
      <w:r>
        <w:t>in</w:t>
      </w:r>
      <w:r>
        <w:rPr>
          <w:spacing w:val="-1"/>
        </w:rPr>
        <w:t xml:space="preserve"> </w:t>
      </w:r>
      <w:r>
        <w:t>Safe</w:t>
      </w:r>
      <w:r>
        <w:rPr>
          <w:spacing w:val="-2"/>
        </w:rPr>
        <w:t xml:space="preserve"> </w:t>
      </w:r>
      <w:r>
        <w:t>and</w:t>
      </w:r>
      <w:r>
        <w:rPr>
          <w:spacing w:val="-2"/>
        </w:rPr>
        <w:t xml:space="preserve"> </w:t>
      </w:r>
      <w:r>
        <w:t>Serviceable</w:t>
      </w:r>
      <w:r>
        <w:rPr>
          <w:spacing w:val="-1"/>
        </w:rPr>
        <w:t xml:space="preserve"> </w:t>
      </w:r>
      <w:r>
        <w:rPr>
          <w:spacing w:val="-2"/>
        </w:rPr>
        <w:t>Condition</w:t>
      </w:r>
    </w:p>
    <w:p w14:paraId="417471AF" w14:textId="77777777" w:rsidR="00345EE3" w:rsidRDefault="00345EE3" w:rsidP="00345EE3">
      <w:pPr>
        <w:pStyle w:val="BodyText"/>
        <w:spacing w:before="52" w:line="242" w:lineRule="auto"/>
        <w:ind w:right="921"/>
      </w:pPr>
      <w:r>
        <w:rPr>
          <w:color w:val="231F20"/>
        </w:rPr>
        <w:t>Maintenance</w:t>
      </w:r>
      <w:r>
        <w:rPr>
          <w:color w:val="231F20"/>
          <w:spacing w:val="-4"/>
        </w:rPr>
        <w:t xml:space="preserve"> </w:t>
      </w:r>
      <w:r>
        <w:rPr>
          <w:color w:val="231F20"/>
        </w:rPr>
        <w:t>of</w:t>
      </w:r>
      <w:r>
        <w:rPr>
          <w:color w:val="231F20"/>
          <w:spacing w:val="-3"/>
        </w:rPr>
        <w:t xml:space="preserve"> </w:t>
      </w:r>
      <w:r>
        <w:rPr>
          <w:color w:val="231F20"/>
        </w:rPr>
        <w:t>Victoria</w:t>
      </w:r>
      <w:r>
        <w:rPr>
          <w:color w:val="231F20"/>
          <w:spacing w:val="-4"/>
        </w:rPr>
        <w:t xml:space="preserve"> </w:t>
      </w:r>
      <w:r>
        <w:rPr>
          <w:color w:val="231F20"/>
        </w:rPr>
        <w:t>Police-owned</w:t>
      </w:r>
      <w:r>
        <w:rPr>
          <w:color w:val="231F20"/>
          <w:spacing w:val="-4"/>
        </w:rPr>
        <w:t xml:space="preserve"> </w:t>
      </w:r>
      <w:r>
        <w:rPr>
          <w:color w:val="231F20"/>
        </w:rPr>
        <w:t>buildings,</w:t>
      </w:r>
      <w:r>
        <w:rPr>
          <w:color w:val="231F20"/>
          <w:spacing w:val="-3"/>
        </w:rPr>
        <w:t xml:space="preserve"> </w:t>
      </w:r>
      <w:r>
        <w:rPr>
          <w:color w:val="231F20"/>
        </w:rPr>
        <w:t>including</w:t>
      </w:r>
      <w:r>
        <w:rPr>
          <w:color w:val="231F20"/>
          <w:spacing w:val="-4"/>
        </w:rPr>
        <w:t xml:space="preserve"> </w:t>
      </w:r>
      <w:r>
        <w:rPr>
          <w:color w:val="231F20"/>
        </w:rPr>
        <w:t>Essential</w:t>
      </w:r>
      <w:r>
        <w:rPr>
          <w:color w:val="231F20"/>
          <w:spacing w:val="-4"/>
        </w:rPr>
        <w:t xml:space="preserve"> </w:t>
      </w:r>
      <w:r>
        <w:rPr>
          <w:color w:val="231F20"/>
        </w:rPr>
        <w:t>Safety</w:t>
      </w:r>
      <w:r>
        <w:rPr>
          <w:color w:val="231F20"/>
          <w:spacing w:val="-3"/>
        </w:rPr>
        <w:t xml:space="preserve"> </w:t>
      </w:r>
      <w:r>
        <w:rPr>
          <w:color w:val="231F20"/>
        </w:rPr>
        <w:t>Measures</w:t>
      </w:r>
      <w:r>
        <w:rPr>
          <w:color w:val="231F20"/>
          <w:spacing w:val="-3"/>
        </w:rPr>
        <w:t xml:space="preserve"> </w:t>
      </w:r>
      <w:r>
        <w:rPr>
          <w:color w:val="231F20"/>
        </w:rPr>
        <w:t>(ESM), was</w:t>
      </w:r>
      <w:r>
        <w:rPr>
          <w:color w:val="231F20"/>
          <w:spacing w:val="-8"/>
        </w:rPr>
        <w:t xml:space="preserve"> </w:t>
      </w:r>
      <w:r>
        <w:rPr>
          <w:color w:val="231F20"/>
        </w:rPr>
        <w:t>arranged</w:t>
      </w:r>
      <w:r>
        <w:rPr>
          <w:color w:val="231F20"/>
          <w:spacing w:val="-9"/>
        </w:rPr>
        <w:t xml:space="preserve"> </w:t>
      </w:r>
      <w:r>
        <w:rPr>
          <w:color w:val="231F20"/>
        </w:rPr>
        <w:t>through</w:t>
      </w:r>
      <w:r>
        <w:rPr>
          <w:color w:val="231F20"/>
          <w:spacing w:val="-9"/>
        </w:rPr>
        <w:t xml:space="preserve"> </w:t>
      </w:r>
      <w:r>
        <w:rPr>
          <w:color w:val="231F20"/>
        </w:rPr>
        <w:t>internal</w:t>
      </w:r>
      <w:r>
        <w:rPr>
          <w:color w:val="231F20"/>
          <w:spacing w:val="-9"/>
        </w:rPr>
        <w:t xml:space="preserve"> </w:t>
      </w:r>
      <w:r>
        <w:rPr>
          <w:color w:val="231F20"/>
        </w:rPr>
        <w:t>resources</w:t>
      </w:r>
      <w:r>
        <w:rPr>
          <w:color w:val="231F20"/>
          <w:spacing w:val="-8"/>
        </w:rPr>
        <w:t xml:space="preserve"> </w:t>
      </w:r>
      <w:r>
        <w:rPr>
          <w:color w:val="231F20"/>
        </w:rPr>
        <w:t>and</w:t>
      </w:r>
      <w:r>
        <w:rPr>
          <w:color w:val="231F20"/>
          <w:spacing w:val="-9"/>
        </w:rPr>
        <w:t xml:space="preserve"> </w:t>
      </w:r>
      <w:r>
        <w:rPr>
          <w:color w:val="231F20"/>
        </w:rPr>
        <w:t>external</w:t>
      </w:r>
      <w:r>
        <w:rPr>
          <w:color w:val="231F20"/>
          <w:spacing w:val="-9"/>
        </w:rPr>
        <w:t xml:space="preserve"> </w:t>
      </w:r>
      <w:r>
        <w:rPr>
          <w:color w:val="231F20"/>
        </w:rPr>
        <w:t>contractors.</w:t>
      </w:r>
      <w:r>
        <w:rPr>
          <w:color w:val="231F20"/>
          <w:spacing w:val="-8"/>
        </w:rPr>
        <w:t xml:space="preserve"> </w:t>
      </w:r>
      <w:r>
        <w:rPr>
          <w:color w:val="231F20"/>
        </w:rPr>
        <w:t>The</w:t>
      </w:r>
      <w:r>
        <w:rPr>
          <w:color w:val="231F20"/>
          <w:spacing w:val="-9"/>
        </w:rPr>
        <w:t xml:space="preserve"> </w:t>
      </w:r>
      <w:r>
        <w:rPr>
          <w:color w:val="231F20"/>
        </w:rPr>
        <w:t>Victorian</w:t>
      </w:r>
      <w:r>
        <w:rPr>
          <w:color w:val="231F20"/>
          <w:spacing w:val="-9"/>
        </w:rPr>
        <w:t xml:space="preserve"> </w:t>
      </w:r>
      <w:r>
        <w:rPr>
          <w:color w:val="231F20"/>
        </w:rPr>
        <w:t>Government Shared Services Provider continues to manage all maintenance, including ESM, for leased facilities.</w:t>
      </w:r>
      <w:r>
        <w:rPr>
          <w:color w:val="231F20"/>
          <w:spacing w:val="-10"/>
        </w:rPr>
        <w:t xml:space="preserve"> </w:t>
      </w:r>
      <w:r>
        <w:rPr>
          <w:color w:val="231F20"/>
        </w:rPr>
        <w:t>Occupational</w:t>
      </w:r>
      <w:r>
        <w:rPr>
          <w:color w:val="231F20"/>
          <w:spacing w:val="-11"/>
        </w:rPr>
        <w:t xml:space="preserve"> </w:t>
      </w:r>
      <w:r>
        <w:rPr>
          <w:color w:val="231F20"/>
        </w:rPr>
        <w:t>health</w:t>
      </w:r>
      <w:r>
        <w:rPr>
          <w:color w:val="231F20"/>
          <w:spacing w:val="-11"/>
        </w:rPr>
        <w:t xml:space="preserve"> </w:t>
      </w:r>
      <w:r>
        <w:rPr>
          <w:color w:val="231F20"/>
        </w:rPr>
        <w:t>and</w:t>
      </w:r>
      <w:r>
        <w:rPr>
          <w:color w:val="231F20"/>
          <w:spacing w:val="-11"/>
        </w:rPr>
        <w:t xml:space="preserve"> </w:t>
      </w:r>
      <w:r>
        <w:rPr>
          <w:color w:val="231F20"/>
        </w:rPr>
        <w:t>safety,</w:t>
      </w:r>
      <w:r>
        <w:rPr>
          <w:color w:val="231F20"/>
          <w:spacing w:val="-10"/>
        </w:rPr>
        <w:t xml:space="preserve"> </w:t>
      </w:r>
      <w:r>
        <w:rPr>
          <w:color w:val="231F20"/>
        </w:rPr>
        <w:t>functionality</w:t>
      </w:r>
      <w:r>
        <w:rPr>
          <w:color w:val="231F20"/>
          <w:spacing w:val="-10"/>
        </w:rPr>
        <w:t xml:space="preserve"> </w:t>
      </w:r>
      <w:r>
        <w:rPr>
          <w:color w:val="231F20"/>
        </w:rPr>
        <w:t>for</w:t>
      </w:r>
      <w:r>
        <w:rPr>
          <w:color w:val="231F20"/>
          <w:spacing w:val="-10"/>
        </w:rPr>
        <w:t xml:space="preserve"> </w:t>
      </w:r>
      <w:r>
        <w:rPr>
          <w:color w:val="231F20"/>
        </w:rPr>
        <w:t>service</w:t>
      </w:r>
      <w:r>
        <w:rPr>
          <w:color w:val="231F20"/>
          <w:spacing w:val="-11"/>
        </w:rPr>
        <w:t xml:space="preserve"> </w:t>
      </w:r>
      <w:r>
        <w:rPr>
          <w:color w:val="231F20"/>
        </w:rPr>
        <w:t>delivery</w:t>
      </w:r>
      <w:r>
        <w:rPr>
          <w:color w:val="231F20"/>
          <w:spacing w:val="-10"/>
        </w:rPr>
        <w:t xml:space="preserve"> </w:t>
      </w:r>
      <w:r>
        <w:rPr>
          <w:color w:val="231F20"/>
        </w:rPr>
        <w:t>and</w:t>
      </w:r>
      <w:r>
        <w:rPr>
          <w:color w:val="231F20"/>
          <w:spacing w:val="-11"/>
        </w:rPr>
        <w:t xml:space="preserve"> </w:t>
      </w:r>
      <w:r>
        <w:rPr>
          <w:color w:val="231F20"/>
        </w:rPr>
        <w:t>upkeep</w:t>
      </w:r>
      <w:r>
        <w:rPr>
          <w:color w:val="231F20"/>
          <w:spacing w:val="-11"/>
        </w:rPr>
        <w:t xml:space="preserve"> </w:t>
      </w:r>
      <w:r>
        <w:rPr>
          <w:color w:val="231F20"/>
        </w:rPr>
        <w:t>of</w:t>
      </w:r>
      <w:r>
        <w:rPr>
          <w:color w:val="231F20"/>
          <w:spacing w:val="-10"/>
        </w:rPr>
        <w:t xml:space="preserve"> </w:t>
      </w:r>
      <w:r>
        <w:rPr>
          <w:color w:val="231F20"/>
        </w:rPr>
        <w:t>plant and equipment are key priorities for the allocation of funding for maintenance. All legislative requirements for asbestos inspections and monitoring have been met. Victoria Police has no cooling towers at its owned premises.</w:t>
      </w:r>
    </w:p>
    <w:p w14:paraId="2B3A1F4A" w14:textId="77777777" w:rsidR="00345EE3" w:rsidRDefault="00345EE3" w:rsidP="002A27BA">
      <w:pPr>
        <w:pStyle w:val="Heading3"/>
      </w:pPr>
      <w:r>
        <w:t>Registered</w:t>
      </w:r>
      <w:r>
        <w:rPr>
          <w:spacing w:val="-10"/>
        </w:rPr>
        <w:t xml:space="preserve"> </w:t>
      </w:r>
      <w:r>
        <w:t>Building</w:t>
      </w:r>
      <w:r>
        <w:rPr>
          <w:spacing w:val="-9"/>
        </w:rPr>
        <w:t xml:space="preserve"> </w:t>
      </w:r>
      <w:r>
        <w:rPr>
          <w:spacing w:val="-2"/>
        </w:rPr>
        <w:t>Practitioners</w:t>
      </w:r>
    </w:p>
    <w:p w14:paraId="6FCF361E" w14:textId="77777777" w:rsidR="00345EE3" w:rsidRDefault="00345EE3" w:rsidP="00345EE3">
      <w:pPr>
        <w:pStyle w:val="BodyText"/>
        <w:spacing w:before="52" w:line="242" w:lineRule="auto"/>
        <w:ind w:right="892"/>
      </w:pPr>
      <w:r>
        <w:rPr>
          <w:color w:val="231F20"/>
        </w:rPr>
        <w:t xml:space="preserve">Victoria Police maintains a contractor list to ensure that only registered building practitioners perform work on its properties. Victoria Police also complies with the Ministerial Directions </w:t>
      </w:r>
      <w:r>
        <w:rPr>
          <w:color w:val="231F20"/>
          <w:spacing w:val="-2"/>
        </w:rPr>
        <w:t>issued</w:t>
      </w:r>
      <w:r>
        <w:rPr>
          <w:color w:val="231F20"/>
          <w:spacing w:val="-15"/>
        </w:rPr>
        <w:t xml:space="preserve"> </w:t>
      </w:r>
      <w:r>
        <w:rPr>
          <w:color w:val="231F20"/>
          <w:spacing w:val="-2"/>
        </w:rPr>
        <w:t>pursuant</w:t>
      </w:r>
      <w:r>
        <w:rPr>
          <w:color w:val="231F20"/>
          <w:spacing w:val="-15"/>
        </w:rPr>
        <w:t xml:space="preserve"> </w:t>
      </w:r>
      <w:r>
        <w:rPr>
          <w:color w:val="231F20"/>
          <w:spacing w:val="-2"/>
        </w:rPr>
        <w:t>to</w:t>
      </w:r>
      <w:r>
        <w:rPr>
          <w:color w:val="231F20"/>
          <w:spacing w:val="-14"/>
        </w:rPr>
        <w:t xml:space="preserve"> </w:t>
      </w:r>
      <w:r>
        <w:rPr>
          <w:color w:val="231F20"/>
          <w:spacing w:val="-2"/>
        </w:rPr>
        <w:t>the</w:t>
      </w:r>
      <w:r>
        <w:rPr>
          <w:color w:val="231F20"/>
          <w:spacing w:val="-15"/>
        </w:rPr>
        <w:t xml:space="preserve"> </w:t>
      </w:r>
      <w:r>
        <w:rPr>
          <w:i/>
          <w:color w:val="231F20"/>
          <w:spacing w:val="-2"/>
        </w:rPr>
        <w:t>Project</w:t>
      </w:r>
      <w:r>
        <w:rPr>
          <w:i/>
          <w:color w:val="231F20"/>
          <w:spacing w:val="-15"/>
        </w:rPr>
        <w:t xml:space="preserve"> </w:t>
      </w:r>
      <w:r>
        <w:rPr>
          <w:i/>
          <w:color w:val="231F20"/>
          <w:spacing w:val="-2"/>
        </w:rPr>
        <w:t>Development</w:t>
      </w:r>
      <w:r>
        <w:rPr>
          <w:i/>
          <w:color w:val="231F20"/>
          <w:spacing w:val="-15"/>
        </w:rPr>
        <w:t xml:space="preserve"> </w:t>
      </w:r>
      <w:r>
        <w:rPr>
          <w:i/>
          <w:color w:val="231F20"/>
          <w:spacing w:val="-2"/>
        </w:rPr>
        <w:t>and</w:t>
      </w:r>
      <w:r>
        <w:rPr>
          <w:i/>
          <w:color w:val="231F20"/>
          <w:spacing w:val="-14"/>
        </w:rPr>
        <w:t xml:space="preserve"> </w:t>
      </w:r>
      <w:r>
        <w:rPr>
          <w:i/>
          <w:color w:val="231F20"/>
          <w:spacing w:val="-2"/>
        </w:rPr>
        <w:t>Construction</w:t>
      </w:r>
      <w:r>
        <w:rPr>
          <w:i/>
          <w:color w:val="231F20"/>
          <w:spacing w:val="-15"/>
        </w:rPr>
        <w:t xml:space="preserve"> </w:t>
      </w:r>
      <w:r>
        <w:rPr>
          <w:i/>
          <w:color w:val="231F20"/>
          <w:spacing w:val="-2"/>
        </w:rPr>
        <w:t>Management</w:t>
      </w:r>
      <w:r>
        <w:rPr>
          <w:i/>
          <w:color w:val="231F20"/>
          <w:spacing w:val="-15"/>
        </w:rPr>
        <w:t xml:space="preserve"> </w:t>
      </w:r>
      <w:r>
        <w:rPr>
          <w:i/>
          <w:color w:val="231F20"/>
          <w:spacing w:val="-2"/>
        </w:rPr>
        <w:t>Act</w:t>
      </w:r>
      <w:r>
        <w:rPr>
          <w:i/>
          <w:color w:val="231F20"/>
          <w:spacing w:val="-14"/>
        </w:rPr>
        <w:t xml:space="preserve"> </w:t>
      </w:r>
      <w:r>
        <w:rPr>
          <w:color w:val="231F20"/>
          <w:spacing w:val="-2"/>
        </w:rPr>
        <w:t>1994,</w:t>
      </w:r>
      <w:r>
        <w:rPr>
          <w:color w:val="231F20"/>
          <w:spacing w:val="-15"/>
        </w:rPr>
        <w:t xml:space="preserve"> </w:t>
      </w:r>
      <w:r>
        <w:rPr>
          <w:color w:val="231F20"/>
          <w:spacing w:val="-2"/>
        </w:rPr>
        <w:t>by</w:t>
      </w:r>
      <w:r>
        <w:rPr>
          <w:color w:val="231F20"/>
          <w:spacing w:val="-15"/>
        </w:rPr>
        <w:t xml:space="preserve"> </w:t>
      </w:r>
      <w:r>
        <w:rPr>
          <w:color w:val="231F20"/>
          <w:spacing w:val="-2"/>
        </w:rPr>
        <w:t xml:space="preserve">engaging </w:t>
      </w:r>
      <w:r>
        <w:rPr>
          <w:color w:val="231F20"/>
        </w:rPr>
        <w:t>contractors and consultants from the DTF Construction Supplier Register, where required.</w:t>
      </w:r>
    </w:p>
    <w:p w14:paraId="7B5C0DBD" w14:textId="77777777" w:rsidR="00345EE3" w:rsidRPr="00E97908" w:rsidRDefault="00345EE3" w:rsidP="00345EE3">
      <w:pPr>
        <w:pStyle w:val="Heading2"/>
        <w:spacing w:before="217"/>
        <w:rPr>
          <w:sz w:val="32"/>
          <w:szCs w:val="32"/>
        </w:rPr>
      </w:pPr>
      <w:r w:rsidRPr="00E97908">
        <w:rPr>
          <w:color w:val="00529F"/>
          <w:sz w:val="32"/>
          <w:szCs w:val="32"/>
        </w:rPr>
        <w:t>National</w:t>
      </w:r>
      <w:r w:rsidRPr="00E97908">
        <w:rPr>
          <w:color w:val="00529F"/>
          <w:spacing w:val="-19"/>
          <w:sz w:val="32"/>
          <w:szCs w:val="32"/>
        </w:rPr>
        <w:t xml:space="preserve"> </w:t>
      </w:r>
      <w:r w:rsidRPr="00E97908">
        <w:rPr>
          <w:color w:val="00529F"/>
          <w:sz w:val="32"/>
          <w:szCs w:val="32"/>
        </w:rPr>
        <w:t>Competition</w:t>
      </w:r>
      <w:r w:rsidRPr="00E97908">
        <w:rPr>
          <w:color w:val="00529F"/>
          <w:spacing w:val="-18"/>
          <w:sz w:val="32"/>
          <w:szCs w:val="32"/>
        </w:rPr>
        <w:t xml:space="preserve"> </w:t>
      </w:r>
      <w:r w:rsidRPr="00E97908">
        <w:rPr>
          <w:color w:val="00529F"/>
          <w:spacing w:val="-2"/>
          <w:sz w:val="32"/>
          <w:szCs w:val="32"/>
        </w:rPr>
        <w:t>Policy</w:t>
      </w:r>
    </w:p>
    <w:p w14:paraId="1587FAC8" w14:textId="77777777" w:rsidR="00345EE3" w:rsidRDefault="00345EE3" w:rsidP="00345EE3">
      <w:pPr>
        <w:pStyle w:val="BodyText"/>
        <w:spacing w:before="72" w:line="242" w:lineRule="auto"/>
        <w:ind w:right="921"/>
      </w:pPr>
      <w:r>
        <w:rPr>
          <w:color w:val="231F20"/>
        </w:rPr>
        <w:t>Victoria Police complies with the State Competitive Neutrality Policy that requires government businesses</w:t>
      </w:r>
      <w:r>
        <w:rPr>
          <w:color w:val="231F20"/>
          <w:spacing w:val="-11"/>
        </w:rPr>
        <w:t xml:space="preserve"> </w:t>
      </w:r>
      <w:r>
        <w:rPr>
          <w:color w:val="231F20"/>
        </w:rPr>
        <w:t>to</w:t>
      </w:r>
      <w:r>
        <w:rPr>
          <w:color w:val="231F20"/>
          <w:spacing w:val="-11"/>
        </w:rPr>
        <w:t xml:space="preserve"> </w:t>
      </w:r>
      <w:r>
        <w:rPr>
          <w:color w:val="231F20"/>
        </w:rPr>
        <w:t>ensure,</w:t>
      </w:r>
      <w:r>
        <w:rPr>
          <w:color w:val="231F20"/>
          <w:spacing w:val="-11"/>
        </w:rPr>
        <w:t xml:space="preserve"> </w:t>
      </w:r>
      <w:r>
        <w:rPr>
          <w:color w:val="231F20"/>
        </w:rPr>
        <w:t>where</w:t>
      </w:r>
      <w:r>
        <w:rPr>
          <w:color w:val="231F20"/>
          <w:spacing w:val="-11"/>
        </w:rPr>
        <w:t xml:space="preserve"> </w:t>
      </w:r>
      <w:r>
        <w:rPr>
          <w:color w:val="231F20"/>
        </w:rPr>
        <w:t>services</w:t>
      </w:r>
      <w:r>
        <w:rPr>
          <w:color w:val="231F20"/>
          <w:spacing w:val="-11"/>
        </w:rPr>
        <w:t xml:space="preserve"> </w:t>
      </w:r>
      <w:r>
        <w:rPr>
          <w:color w:val="231F20"/>
        </w:rPr>
        <w:t>compete</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private</w:t>
      </w:r>
      <w:r>
        <w:rPr>
          <w:color w:val="231F20"/>
          <w:spacing w:val="-11"/>
        </w:rPr>
        <w:t xml:space="preserve"> </w:t>
      </w:r>
      <w:r>
        <w:rPr>
          <w:color w:val="231F20"/>
        </w:rPr>
        <w:t>sector,</w:t>
      </w:r>
      <w:r>
        <w:rPr>
          <w:color w:val="231F20"/>
          <w:spacing w:val="-11"/>
        </w:rPr>
        <w:t xml:space="preserve"> </w:t>
      </w:r>
      <w:r>
        <w:rPr>
          <w:color w:val="231F20"/>
        </w:rPr>
        <w:t>advantages</w:t>
      </w:r>
      <w:r>
        <w:rPr>
          <w:color w:val="231F20"/>
          <w:spacing w:val="-11"/>
        </w:rPr>
        <w:t xml:space="preserve"> </w:t>
      </w:r>
      <w:r>
        <w:rPr>
          <w:color w:val="231F20"/>
        </w:rPr>
        <w:t>arising</w:t>
      </w:r>
      <w:r>
        <w:rPr>
          <w:color w:val="231F20"/>
          <w:spacing w:val="-11"/>
        </w:rPr>
        <w:t xml:space="preserve"> </w:t>
      </w:r>
      <w:r>
        <w:rPr>
          <w:color w:val="231F20"/>
        </w:rPr>
        <w:t>from their government ownership are removed if they are not in the public interest.</w:t>
      </w:r>
    </w:p>
    <w:p w14:paraId="1CAC8C85" w14:textId="77777777" w:rsidR="00345EE3" w:rsidRDefault="00345EE3" w:rsidP="00345EE3">
      <w:pPr>
        <w:pStyle w:val="BodyText"/>
        <w:spacing w:before="117"/>
      </w:pPr>
      <w:r>
        <w:rPr>
          <w:color w:val="231F20"/>
        </w:rPr>
        <w:t>There</w:t>
      </w:r>
      <w:r>
        <w:rPr>
          <w:color w:val="231F20"/>
          <w:spacing w:val="-11"/>
        </w:rPr>
        <w:t xml:space="preserve"> </w:t>
      </w:r>
      <w:r>
        <w:rPr>
          <w:color w:val="231F20"/>
        </w:rPr>
        <w:t>were</w:t>
      </w:r>
      <w:r>
        <w:rPr>
          <w:color w:val="231F20"/>
          <w:spacing w:val="-9"/>
        </w:rPr>
        <w:t xml:space="preserve"> </w:t>
      </w:r>
      <w:r>
        <w:rPr>
          <w:color w:val="231F20"/>
        </w:rPr>
        <w:t>no</w:t>
      </w:r>
      <w:r>
        <w:rPr>
          <w:color w:val="231F20"/>
          <w:spacing w:val="-9"/>
        </w:rPr>
        <w:t xml:space="preserve"> </w:t>
      </w:r>
      <w:r>
        <w:rPr>
          <w:color w:val="231F20"/>
        </w:rPr>
        <w:t>procurement</w:t>
      </w:r>
      <w:r>
        <w:rPr>
          <w:color w:val="231F20"/>
          <w:spacing w:val="-8"/>
        </w:rPr>
        <w:t xml:space="preserve"> </w:t>
      </w:r>
      <w:r>
        <w:rPr>
          <w:color w:val="231F20"/>
        </w:rPr>
        <w:t>activities</w:t>
      </w:r>
      <w:r>
        <w:rPr>
          <w:color w:val="231F20"/>
          <w:spacing w:val="-9"/>
        </w:rPr>
        <w:t xml:space="preserve"> </w:t>
      </w:r>
      <w:r>
        <w:rPr>
          <w:color w:val="231F20"/>
        </w:rPr>
        <w:t>that</w:t>
      </w:r>
      <w:r>
        <w:rPr>
          <w:color w:val="231F20"/>
          <w:spacing w:val="-8"/>
        </w:rPr>
        <w:t xml:space="preserve"> </w:t>
      </w:r>
      <w:r>
        <w:rPr>
          <w:color w:val="231F20"/>
        </w:rPr>
        <w:t>fell</w:t>
      </w:r>
      <w:r>
        <w:rPr>
          <w:color w:val="231F20"/>
          <w:spacing w:val="-9"/>
        </w:rPr>
        <w:t xml:space="preserve"> </w:t>
      </w:r>
      <w:r>
        <w:rPr>
          <w:color w:val="231F20"/>
        </w:rPr>
        <w:t>into</w:t>
      </w:r>
      <w:r>
        <w:rPr>
          <w:color w:val="231F20"/>
          <w:spacing w:val="-9"/>
        </w:rPr>
        <w:t xml:space="preserve"> </w:t>
      </w:r>
      <w:r>
        <w:rPr>
          <w:color w:val="231F20"/>
        </w:rPr>
        <w:t>this</w:t>
      </w:r>
      <w:r>
        <w:rPr>
          <w:color w:val="231F20"/>
          <w:spacing w:val="-8"/>
        </w:rPr>
        <w:t xml:space="preserve"> </w:t>
      </w:r>
      <w:r>
        <w:rPr>
          <w:color w:val="231F20"/>
        </w:rPr>
        <w:t>category</w:t>
      </w:r>
      <w:r>
        <w:rPr>
          <w:color w:val="231F20"/>
          <w:spacing w:val="-8"/>
        </w:rPr>
        <w:t xml:space="preserve"> </w:t>
      </w:r>
      <w:r>
        <w:rPr>
          <w:color w:val="231F20"/>
        </w:rPr>
        <w:t>within</w:t>
      </w:r>
      <w:r>
        <w:rPr>
          <w:color w:val="231F20"/>
          <w:spacing w:val="-9"/>
        </w:rPr>
        <w:t xml:space="preserve"> </w:t>
      </w:r>
      <w:r>
        <w:rPr>
          <w:color w:val="231F20"/>
        </w:rPr>
        <w:t>the</w:t>
      </w:r>
      <w:r>
        <w:rPr>
          <w:color w:val="231F20"/>
          <w:spacing w:val="-9"/>
        </w:rPr>
        <w:t xml:space="preserve"> </w:t>
      </w:r>
      <w:r>
        <w:rPr>
          <w:color w:val="231F20"/>
        </w:rPr>
        <w:t>2021–22</w:t>
      </w:r>
      <w:r>
        <w:rPr>
          <w:color w:val="231F20"/>
          <w:spacing w:val="-9"/>
        </w:rPr>
        <w:t xml:space="preserve"> </w:t>
      </w:r>
      <w:r>
        <w:rPr>
          <w:color w:val="231F20"/>
        </w:rPr>
        <w:t>financial</w:t>
      </w:r>
      <w:r>
        <w:rPr>
          <w:color w:val="231F20"/>
          <w:spacing w:val="-8"/>
        </w:rPr>
        <w:t xml:space="preserve"> </w:t>
      </w:r>
      <w:r>
        <w:rPr>
          <w:color w:val="231F20"/>
          <w:spacing w:val="-2"/>
        </w:rPr>
        <w:t>year.</w:t>
      </w:r>
    </w:p>
    <w:p w14:paraId="22979732" w14:textId="77777777" w:rsidR="00345EE3" w:rsidRDefault="00345EE3" w:rsidP="00E97908">
      <w:pPr>
        <w:spacing w:before="216"/>
        <w:rPr>
          <w:sz w:val="32"/>
        </w:rPr>
      </w:pPr>
      <w:r>
        <w:rPr>
          <w:color w:val="00529F"/>
          <w:sz w:val="32"/>
        </w:rPr>
        <w:t>Compliance</w:t>
      </w:r>
      <w:r>
        <w:rPr>
          <w:color w:val="00529F"/>
          <w:spacing w:val="-11"/>
          <w:sz w:val="32"/>
        </w:rPr>
        <w:t xml:space="preserve"> </w:t>
      </w:r>
      <w:r>
        <w:rPr>
          <w:color w:val="00529F"/>
          <w:sz w:val="32"/>
        </w:rPr>
        <w:t>with</w:t>
      </w:r>
      <w:r>
        <w:rPr>
          <w:color w:val="00529F"/>
          <w:spacing w:val="-11"/>
          <w:sz w:val="32"/>
        </w:rPr>
        <w:t xml:space="preserve"> </w:t>
      </w:r>
      <w:r>
        <w:rPr>
          <w:color w:val="00529F"/>
          <w:sz w:val="32"/>
        </w:rPr>
        <w:t>the</w:t>
      </w:r>
      <w:r>
        <w:rPr>
          <w:color w:val="00529F"/>
          <w:spacing w:val="-11"/>
          <w:sz w:val="32"/>
        </w:rPr>
        <w:t xml:space="preserve"> </w:t>
      </w:r>
      <w:r>
        <w:rPr>
          <w:i/>
          <w:color w:val="00529F"/>
          <w:sz w:val="32"/>
        </w:rPr>
        <w:t>Public</w:t>
      </w:r>
      <w:r>
        <w:rPr>
          <w:i/>
          <w:color w:val="00529F"/>
          <w:spacing w:val="-11"/>
          <w:sz w:val="32"/>
        </w:rPr>
        <w:t xml:space="preserve"> </w:t>
      </w:r>
      <w:r>
        <w:rPr>
          <w:i/>
          <w:color w:val="00529F"/>
          <w:sz w:val="32"/>
        </w:rPr>
        <w:t>Interest</w:t>
      </w:r>
      <w:r>
        <w:rPr>
          <w:i/>
          <w:color w:val="00529F"/>
          <w:spacing w:val="-11"/>
          <w:sz w:val="32"/>
        </w:rPr>
        <w:t xml:space="preserve"> </w:t>
      </w:r>
      <w:r>
        <w:rPr>
          <w:i/>
          <w:color w:val="00529F"/>
          <w:sz w:val="32"/>
        </w:rPr>
        <w:t>Disclosure</w:t>
      </w:r>
      <w:r>
        <w:rPr>
          <w:i/>
          <w:color w:val="00529F"/>
          <w:spacing w:val="-11"/>
          <w:sz w:val="32"/>
        </w:rPr>
        <w:t xml:space="preserve"> </w:t>
      </w:r>
      <w:r>
        <w:rPr>
          <w:i/>
          <w:color w:val="00529F"/>
          <w:sz w:val="32"/>
        </w:rPr>
        <w:t>Act</w:t>
      </w:r>
      <w:r>
        <w:rPr>
          <w:i/>
          <w:color w:val="00529F"/>
          <w:spacing w:val="-11"/>
          <w:sz w:val="32"/>
        </w:rPr>
        <w:t xml:space="preserve"> </w:t>
      </w:r>
      <w:r>
        <w:rPr>
          <w:color w:val="00529F"/>
          <w:spacing w:val="-4"/>
          <w:sz w:val="32"/>
        </w:rPr>
        <w:t>2012</w:t>
      </w:r>
    </w:p>
    <w:p w14:paraId="2C901A94" w14:textId="77777777" w:rsidR="00345EE3" w:rsidRDefault="00345EE3" w:rsidP="00345EE3">
      <w:pPr>
        <w:pStyle w:val="BodyText"/>
        <w:spacing w:before="72" w:line="242" w:lineRule="auto"/>
        <w:ind w:right="921"/>
      </w:pPr>
      <w:r>
        <w:rPr>
          <w:color w:val="231F20"/>
        </w:rPr>
        <w:t>The</w:t>
      </w:r>
      <w:r>
        <w:rPr>
          <w:color w:val="231F20"/>
          <w:spacing w:val="-17"/>
        </w:rPr>
        <w:t xml:space="preserve"> </w:t>
      </w:r>
      <w:r>
        <w:rPr>
          <w:color w:val="231F20"/>
        </w:rPr>
        <w:t>purpose</w:t>
      </w:r>
      <w:r>
        <w:rPr>
          <w:color w:val="231F20"/>
          <w:spacing w:val="-17"/>
        </w:rPr>
        <w:t xml:space="preserve"> </w:t>
      </w:r>
      <w:r>
        <w:rPr>
          <w:color w:val="231F20"/>
        </w:rPr>
        <w:t>of</w:t>
      </w:r>
      <w:r>
        <w:rPr>
          <w:color w:val="231F20"/>
          <w:spacing w:val="-16"/>
        </w:rPr>
        <w:t xml:space="preserve"> </w:t>
      </w:r>
      <w:r>
        <w:rPr>
          <w:color w:val="231F20"/>
        </w:rPr>
        <w:t>the</w:t>
      </w:r>
      <w:r>
        <w:rPr>
          <w:color w:val="231F20"/>
          <w:spacing w:val="-17"/>
        </w:rPr>
        <w:t xml:space="preserve"> </w:t>
      </w:r>
      <w:r>
        <w:rPr>
          <w:i/>
          <w:color w:val="231F20"/>
        </w:rPr>
        <w:t>Public</w:t>
      </w:r>
      <w:r>
        <w:rPr>
          <w:i/>
          <w:color w:val="231F20"/>
          <w:spacing w:val="-17"/>
        </w:rPr>
        <w:t xml:space="preserve"> </w:t>
      </w:r>
      <w:r>
        <w:rPr>
          <w:i/>
          <w:color w:val="231F20"/>
        </w:rPr>
        <w:t>Interest</w:t>
      </w:r>
      <w:r>
        <w:rPr>
          <w:i/>
          <w:color w:val="231F20"/>
          <w:spacing w:val="-17"/>
        </w:rPr>
        <w:t xml:space="preserve"> </w:t>
      </w:r>
      <w:r>
        <w:rPr>
          <w:i/>
          <w:color w:val="231F20"/>
        </w:rPr>
        <w:t>Disclosure</w:t>
      </w:r>
      <w:r>
        <w:rPr>
          <w:i/>
          <w:color w:val="231F20"/>
          <w:spacing w:val="-16"/>
        </w:rPr>
        <w:t xml:space="preserve"> </w:t>
      </w:r>
      <w:r>
        <w:rPr>
          <w:i/>
          <w:color w:val="231F20"/>
        </w:rPr>
        <w:t>Act</w:t>
      </w:r>
      <w:r>
        <w:rPr>
          <w:i/>
          <w:color w:val="231F20"/>
          <w:spacing w:val="-17"/>
        </w:rPr>
        <w:t xml:space="preserve"> </w:t>
      </w:r>
      <w:r>
        <w:rPr>
          <w:color w:val="231F20"/>
        </w:rPr>
        <w:t>2012</w:t>
      </w:r>
      <w:r>
        <w:rPr>
          <w:color w:val="231F20"/>
          <w:spacing w:val="-17"/>
        </w:rPr>
        <w:t xml:space="preserve"> </w:t>
      </w:r>
      <w:r>
        <w:rPr>
          <w:color w:val="231F20"/>
        </w:rPr>
        <w:t>is</w:t>
      </w:r>
      <w:r>
        <w:rPr>
          <w:color w:val="231F20"/>
          <w:spacing w:val="-16"/>
        </w:rPr>
        <w:t xml:space="preserve"> </w:t>
      </w:r>
      <w:r>
        <w:rPr>
          <w:color w:val="231F20"/>
        </w:rPr>
        <w:t>to</w:t>
      </w:r>
      <w:r>
        <w:rPr>
          <w:color w:val="231F20"/>
          <w:spacing w:val="-17"/>
        </w:rPr>
        <w:t xml:space="preserve"> </w:t>
      </w:r>
      <w:r>
        <w:rPr>
          <w:color w:val="231F20"/>
        </w:rPr>
        <w:t>encourage</w:t>
      </w:r>
      <w:r>
        <w:rPr>
          <w:color w:val="231F20"/>
          <w:spacing w:val="-17"/>
        </w:rPr>
        <w:t xml:space="preserve"> </w:t>
      </w:r>
      <w:r>
        <w:rPr>
          <w:color w:val="231F20"/>
        </w:rPr>
        <w:t>and</w:t>
      </w:r>
      <w:r>
        <w:rPr>
          <w:color w:val="231F20"/>
          <w:spacing w:val="-15"/>
        </w:rPr>
        <w:t xml:space="preserve"> </w:t>
      </w:r>
      <w:r>
        <w:rPr>
          <w:color w:val="231F20"/>
        </w:rPr>
        <w:t>facilitate</w:t>
      </w:r>
      <w:r>
        <w:rPr>
          <w:color w:val="231F20"/>
          <w:spacing w:val="-14"/>
        </w:rPr>
        <w:t xml:space="preserve"> </w:t>
      </w:r>
      <w:r>
        <w:rPr>
          <w:color w:val="231F20"/>
        </w:rPr>
        <w:t>the</w:t>
      </w:r>
      <w:r>
        <w:rPr>
          <w:color w:val="231F20"/>
          <w:spacing w:val="-15"/>
        </w:rPr>
        <w:t xml:space="preserve"> </w:t>
      </w:r>
      <w:r>
        <w:rPr>
          <w:color w:val="231F20"/>
        </w:rPr>
        <w:t xml:space="preserve">reporting of improper conduct by public officers and public bodies. The Act provides protection to people who make disclosures in accordance with the Act and establishes a system for the matters disclosed to be assessed and, where necessary, investigated so that rectifying action can be </w:t>
      </w:r>
      <w:r>
        <w:rPr>
          <w:color w:val="231F20"/>
          <w:spacing w:val="-2"/>
        </w:rPr>
        <w:t>taken.</w:t>
      </w:r>
    </w:p>
    <w:p w14:paraId="2F586932" w14:textId="77777777" w:rsidR="00345EE3" w:rsidRDefault="00345EE3" w:rsidP="00345EE3">
      <w:pPr>
        <w:pStyle w:val="BodyText"/>
        <w:spacing w:before="120" w:line="242" w:lineRule="auto"/>
        <w:ind w:right="921"/>
      </w:pPr>
      <w:r>
        <w:rPr>
          <w:color w:val="231F20"/>
        </w:rPr>
        <w:t>Victoria Police does not tolerate improper conduct by employees, nor the taking of reprisals against those who come forward to disclose such conduct. Victoria Police is committed to ensuring</w:t>
      </w:r>
      <w:r>
        <w:rPr>
          <w:color w:val="231F20"/>
          <w:spacing w:val="-13"/>
        </w:rPr>
        <w:t xml:space="preserve"> </w:t>
      </w:r>
      <w:r>
        <w:rPr>
          <w:color w:val="231F20"/>
        </w:rPr>
        <w:t>transparency</w:t>
      </w:r>
      <w:r>
        <w:rPr>
          <w:color w:val="231F20"/>
          <w:spacing w:val="-13"/>
        </w:rPr>
        <w:t xml:space="preserve"> </w:t>
      </w:r>
      <w:r>
        <w:rPr>
          <w:color w:val="231F20"/>
        </w:rPr>
        <w:t>and</w:t>
      </w:r>
      <w:r>
        <w:rPr>
          <w:color w:val="231F20"/>
          <w:spacing w:val="-13"/>
        </w:rPr>
        <w:t xml:space="preserve"> </w:t>
      </w:r>
      <w:r>
        <w:rPr>
          <w:color w:val="231F20"/>
        </w:rPr>
        <w:t>accountability</w:t>
      </w:r>
      <w:r>
        <w:rPr>
          <w:color w:val="231F20"/>
          <w:spacing w:val="-13"/>
        </w:rPr>
        <w:t xml:space="preserve"> </w:t>
      </w:r>
      <w:r>
        <w:rPr>
          <w:color w:val="231F20"/>
        </w:rPr>
        <w:t>in</w:t>
      </w:r>
      <w:r>
        <w:rPr>
          <w:color w:val="231F20"/>
          <w:spacing w:val="-13"/>
        </w:rPr>
        <w:t xml:space="preserve"> </w:t>
      </w:r>
      <w:r>
        <w:rPr>
          <w:color w:val="231F20"/>
        </w:rPr>
        <w:t>its</w:t>
      </w:r>
      <w:r>
        <w:rPr>
          <w:color w:val="231F20"/>
          <w:spacing w:val="-13"/>
        </w:rPr>
        <w:t xml:space="preserve"> </w:t>
      </w:r>
      <w:r>
        <w:rPr>
          <w:color w:val="231F20"/>
        </w:rPr>
        <w:t>administrative</w:t>
      </w:r>
      <w:r>
        <w:rPr>
          <w:color w:val="231F20"/>
          <w:spacing w:val="-13"/>
        </w:rPr>
        <w:t xml:space="preserve"> </w:t>
      </w:r>
      <w:r>
        <w:rPr>
          <w:color w:val="231F20"/>
        </w:rPr>
        <w:t>and</w:t>
      </w:r>
      <w:r>
        <w:rPr>
          <w:color w:val="231F20"/>
          <w:spacing w:val="-13"/>
        </w:rPr>
        <w:t xml:space="preserve"> </w:t>
      </w:r>
      <w:r>
        <w:rPr>
          <w:color w:val="231F20"/>
        </w:rPr>
        <w:t>management</w:t>
      </w:r>
      <w:r>
        <w:rPr>
          <w:color w:val="231F20"/>
          <w:spacing w:val="-13"/>
        </w:rPr>
        <w:t xml:space="preserve"> </w:t>
      </w:r>
      <w:r>
        <w:rPr>
          <w:color w:val="231F20"/>
        </w:rPr>
        <w:t>practices</w:t>
      </w:r>
      <w:r>
        <w:rPr>
          <w:color w:val="231F20"/>
          <w:spacing w:val="-13"/>
        </w:rPr>
        <w:t xml:space="preserve"> </w:t>
      </w:r>
      <w:r>
        <w:rPr>
          <w:color w:val="231F20"/>
        </w:rPr>
        <w:t>and supports the making of disclosures that reveal improper conduct that may include corrupt conduct, criminal offences or serious professional misconduct.</w:t>
      </w:r>
    </w:p>
    <w:p w14:paraId="6DC87D4D" w14:textId="77777777" w:rsidR="00345EE3" w:rsidRDefault="00345EE3" w:rsidP="00345EE3">
      <w:pPr>
        <w:pStyle w:val="BodyText"/>
        <w:spacing w:before="120" w:line="242" w:lineRule="auto"/>
        <w:ind w:right="848"/>
      </w:pPr>
      <w:r>
        <w:rPr>
          <w:color w:val="231F20"/>
        </w:rPr>
        <w:t>Victoria Police will take all reasonable steps to protect people who make such disclosures from any</w:t>
      </w:r>
      <w:r>
        <w:rPr>
          <w:color w:val="231F20"/>
          <w:spacing w:val="-7"/>
        </w:rPr>
        <w:t xml:space="preserve"> </w:t>
      </w:r>
      <w:r>
        <w:rPr>
          <w:color w:val="231F20"/>
        </w:rPr>
        <w:t>detrimental</w:t>
      </w:r>
      <w:r>
        <w:rPr>
          <w:color w:val="231F20"/>
          <w:spacing w:val="-8"/>
        </w:rPr>
        <w:t xml:space="preserve"> </w:t>
      </w:r>
      <w:r>
        <w:rPr>
          <w:color w:val="231F20"/>
        </w:rPr>
        <w:t>action</w:t>
      </w:r>
      <w:r>
        <w:rPr>
          <w:color w:val="231F20"/>
          <w:spacing w:val="-8"/>
        </w:rPr>
        <w:t xml:space="preserve"> </w:t>
      </w:r>
      <w:r>
        <w:rPr>
          <w:color w:val="231F20"/>
        </w:rPr>
        <w:t>in</w:t>
      </w:r>
      <w:r>
        <w:rPr>
          <w:color w:val="231F20"/>
          <w:spacing w:val="-8"/>
        </w:rPr>
        <w:t xml:space="preserve"> </w:t>
      </w:r>
      <w:r>
        <w:rPr>
          <w:color w:val="231F20"/>
        </w:rPr>
        <w:t>reprisal</w:t>
      </w:r>
      <w:r>
        <w:rPr>
          <w:color w:val="231F20"/>
          <w:spacing w:val="-8"/>
        </w:rPr>
        <w:t xml:space="preserve"> </w:t>
      </w:r>
      <w:r>
        <w:rPr>
          <w:color w:val="231F20"/>
        </w:rPr>
        <w:t>for</w:t>
      </w:r>
      <w:r>
        <w:rPr>
          <w:color w:val="231F20"/>
          <w:spacing w:val="-7"/>
        </w:rPr>
        <w:t xml:space="preserve"> </w:t>
      </w:r>
      <w:r>
        <w:rPr>
          <w:color w:val="231F20"/>
        </w:rPr>
        <w:t>making</w:t>
      </w:r>
      <w:r>
        <w:rPr>
          <w:color w:val="231F20"/>
          <w:spacing w:val="-8"/>
        </w:rPr>
        <w:t xml:space="preserve"> </w:t>
      </w:r>
      <w:r>
        <w:rPr>
          <w:color w:val="231F20"/>
        </w:rPr>
        <w:t>the</w:t>
      </w:r>
      <w:r>
        <w:rPr>
          <w:color w:val="231F20"/>
          <w:spacing w:val="-8"/>
        </w:rPr>
        <w:t xml:space="preserve"> </w:t>
      </w:r>
      <w:r>
        <w:rPr>
          <w:color w:val="231F20"/>
        </w:rPr>
        <w:t>disclosure.</w:t>
      </w:r>
      <w:r>
        <w:rPr>
          <w:color w:val="231F20"/>
          <w:spacing w:val="-7"/>
        </w:rPr>
        <w:t xml:space="preserve"> </w:t>
      </w:r>
      <w:r>
        <w:rPr>
          <w:color w:val="231F20"/>
        </w:rPr>
        <w:t>It</w:t>
      </w:r>
      <w:r>
        <w:rPr>
          <w:color w:val="231F20"/>
          <w:spacing w:val="-7"/>
        </w:rPr>
        <w:t xml:space="preserve"> </w:t>
      </w:r>
      <w:r>
        <w:rPr>
          <w:color w:val="231F20"/>
        </w:rPr>
        <w:t>will</w:t>
      </w:r>
      <w:r>
        <w:rPr>
          <w:color w:val="231F20"/>
          <w:spacing w:val="-8"/>
        </w:rPr>
        <w:t xml:space="preserve"> </w:t>
      </w:r>
      <w:r>
        <w:rPr>
          <w:color w:val="231F20"/>
        </w:rPr>
        <w:t>also</w:t>
      </w:r>
      <w:r>
        <w:rPr>
          <w:color w:val="231F20"/>
          <w:spacing w:val="-8"/>
        </w:rPr>
        <w:t xml:space="preserve"> </w:t>
      </w:r>
      <w:r>
        <w:rPr>
          <w:color w:val="231F20"/>
        </w:rPr>
        <w:t>afford</w:t>
      </w:r>
      <w:r>
        <w:rPr>
          <w:color w:val="231F20"/>
          <w:spacing w:val="-8"/>
        </w:rPr>
        <w:t xml:space="preserve"> </w:t>
      </w:r>
      <w:r>
        <w:rPr>
          <w:color w:val="231F20"/>
        </w:rPr>
        <w:t>natural</w:t>
      </w:r>
      <w:r>
        <w:rPr>
          <w:color w:val="231F20"/>
          <w:spacing w:val="-8"/>
        </w:rPr>
        <w:t xml:space="preserve"> </w:t>
      </w:r>
      <w:r>
        <w:rPr>
          <w:color w:val="231F20"/>
        </w:rPr>
        <w:t>justice</w:t>
      </w:r>
      <w:r>
        <w:rPr>
          <w:color w:val="231F20"/>
          <w:spacing w:val="-8"/>
        </w:rPr>
        <w:t xml:space="preserve"> </w:t>
      </w:r>
      <w:r>
        <w:rPr>
          <w:color w:val="231F20"/>
        </w:rPr>
        <w:t>to</w:t>
      </w:r>
      <w:r>
        <w:rPr>
          <w:color w:val="231F20"/>
          <w:spacing w:val="-8"/>
        </w:rPr>
        <w:t xml:space="preserve"> </w:t>
      </w:r>
      <w:r>
        <w:rPr>
          <w:color w:val="231F20"/>
        </w:rPr>
        <w:t>the person who is the subject of the disclosure to the extent it is legally possible.</w:t>
      </w:r>
    </w:p>
    <w:p w14:paraId="3F7BE085" w14:textId="77777777" w:rsidR="00345EE3" w:rsidRDefault="00345EE3" w:rsidP="002A27BA">
      <w:pPr>
        <w:pStyle w:val="Heading3"/>
      </w:pPr>
      <w:r>
        <w:t>Reporting</w:t>
      </w:r>
      <w:r>
        <w:rPr>
          <w:spacing w:val="5"/>
        </w:rPr>
        <w:t xml:space="preserve"> </w:t>
      </w:r>
      <w:r>
        <w:rPr>
          <w:spacing w:val="-2"/>
        </w:rPr>
        <w:t>procedures</w:t>
      </w:r>
    </w:p>
    <w:p w14:paraId="0E611760" w14:textId="77777777" w:rsidR="00345EE3" w:rsidRDefault="00345EE3" w:rsidP="00345EE3">
      <w:pPr>
        <w:pStyle w:val="BodyText"/>
        <w:spacing w:before="52"/>
      </w:pPr>
      <w:r>
        <w:rPr>
          <w:color w:val="231F20"/>
        </w:rPr>
        <w:t>Any</w:t>
      </w:r>
      <w:r>
        <w:rPr>
          <w:color w:val="231F20"/>
          <w:spacing w:val="-9"/>
        </w:rPr>
        <w:t xml:space="preserve"> </w:t>
      </w:r>
      <w:r>
        <w:rPr>
          <w:color w:val="231F20"/>
        </w:rPr>
        <w:t>person</w:t>
      </w:r>
      <w:r>
        <w:rPr>
          <w:color w:val="231F20"/>
          <w:spacing w:val="-8"/>
        </w:rPr>
        <w:t xml:space="preserve"> </w:t>
      </w:r>
      <w:r>
        <w:rPr>
          <w:color w:val="231F20"/>
        </w:rPr>
        <w:t>may</w:t>
      </w:r>
      <w:r>
        <w:rPr>
          <w:color w:val="231F20"/>
          <w:spacing w:val="-7"/>
        </w:rPr>
        <w:t xml:space="preserve"> </w:t>
      </w:r>
      <w:r>
        <w:rPr>
          <w:color w:val="231F20"/>
        </w:rPr>
        <w:t>make</w:t>
      </w:r>
      <w:r>
        <w:rPr>
          <w:color w:val="231F20"/>
          <w:spacing w:val="-7"/>
        </w:rPr>
        <w:t xml:space="preserve"> </w:t>
      </w:r>
      <w:r>
        <w:rPr>
          <w:color w:val="231F20"/>
        </w:rPr>
        <w:t>a</w:t>
      </w:r>
      <w:r>
        <w:rPr>
          <w:color w:val="231F20"/>
          <w:spacing w:val="-8"/>
        </w:rPr>
        <w:t xml:space="preserve"> </w:t>
      </w:r>
      <w:r>
        <w:rPr>
          <w:color w:val="231F20"/>
        </w:rPr>
        <w:t>disclosure</w:t>
      </w:r>
      <w:r>
        <w:rPr>
          <w:color w:val="231F20"/>
          <w:spacing w:val="-7"/>
        </w:rPr>
        <w:t xml:space="preserve"> </w:t>
      </w:r>
      <w:r>
        <w:rPr>
          <w:color w:val="231F20"/>
        </w:rPr>
        <w:t>about</w:t>
      </w:r>
      <w:r>
        <w:rPr>
          <w:color w:val="231F20"/>
          <w:spacing w:val="-7"/>
        </w:rPr>
        <w:t xml:space="preserve"> </w:t>
      </w:r>
      <w:r>
        <w:rPr>
          <w:color w:val="231F20"/>
        </w:rPr>
        <w:t>the</w:t>
      </w:r>
      <w:r>
        <w:rPr>
          <w:color w:val="231F20"/>
          <w:spacing w:val="-8"/>
        </w:rPr>
        <w:t xml:space="preserve"> </w:t>
      </w:r>
      <w:r>
        <w:rPr>
          <w:color w:val="231F20"/>
        </w:rPr>
        <w:t>conduct</w:t>
      </w:r>
      <w:r>
        <w:rPr>
          <w:color w:val="231F20"/>
          <w:spacing w:val="-7"/>
        </w:rPr>
        <w:t xml:space="preserve"> </w:t>
      </w:r>
      <w:r>
        <w:rPr>
          <w:color w:val="231F20"/>
        </w:rPr>
        <w:t>of</w:t>
      </w:r>
      <w:r>
        <w:rPr>
          <w:color w:val="231F20"/>
          <w:spacing w:val="-6"/>
        </w:rPr>
        <w:t xml:space="preserve"> </w:t>
      </w:r>
      <w:r>
        <w:rPr>
          <w:color w:val="231F20"/>
        </w:rPr>
        <w:t>Victoria</w:t>
      </w:r>
      <w:r>
        <w:rPr>
          <w:color w:val="231F20"/>
          <w:spacing w:val="-8"/>
        </w:rPr>
        <w:t xml:space="preserve"> </w:t>
      </w:r>
      <w:r>
        <w:rPr>
          <w:color w:val="231F20"/>
        </w:rPr>
        <w:t>Police</w:t>
      </w:r>
      <w:r>
        <w:rPr>
          <w:color w:val="231F20"/>
          <w:spacing w:val="-7"/>
        </w:rPr>
        <w:t xml:space="preserve"> </w:t>
      </w:r>
      <w:r>
        <w:rPr>
          <w:color w:val="231F20"/>
          <w:spacing w:val="-2"/>
        </w:rPr>
        <w:t>employees.</w:t>
      </w:r>
    </w:p>
    <w:p w14:paraId="3DCA752C" w14:textId="77777777" w:rsidR="00345EE3" w:rsidRDefault="00345EE3" w:rsidP="00345EE3">
      <w:pPr>
        <w:pStyle w:val="BodyText"/>
        <w:spacing w:before="117" w:line="242" w:lineRule="auto"/>
        <w:ind w:right="921"/>
      </w:pPr>
      <w:r>
        <w:rPr>
          <w:color w:val="231F20"/>
        </w:rPr>
        <w:t>A</w:t>
      </w:r>
      <w:r>
        <w:rPr>
          <w:color w:val="231F20"/>
          <w:spacing w:val="-7"/>
        </w:rPr>
        <w:t xml:space="preserve"> </w:t>
      </w:r>
      <w:r>
        <w:rPr>
          <w:color w:val="231F20"/>
        </w:rPr>
        <w:t>complaint</w:t>
      </w:r>
      <w:r>
        <w:rPr>
          <w:color w:val="231F20"/>
          <w:spacing w:val="-7"/>
        </w:rPr>
        <w:t xml:space="preserve"> </w:t>
      </w:r>
      <w:r>
        <w:rPr>
          <w:color w:val="231F20"/>
        </w:rPr>
        <w:t>may</w:t>
      </w:r>
      <w:r>
        <w:rPr>
          <w:color w:val="231F20"/>
          <w:spacing w:val="-7"/>
        </w:rPr>
        <w:t xml:space="preserve"> </w:t>
      </w:r>
      <w:r>
        <w:rPr>
          <w:color w:val="231F20"/>
        </w:rPr>
        <w:t>be</w:t>
      </w:r>
      <w:r>
        <w:rPr>
          <w:color w:val="231F20"/>
          <w:spacing w:val="-8"/>
        </w:rPr>
        <w:t xml:space="preserve"> </w:t>
      </w:r>
      <w:r>
        <w:rPr>
          <w:color w:val="231F20"/>
        </w:rPr>
        <w:t>made</w:t>
      </w:r>
      <w:r>
        <w:rPr>
          <w:color w:val="231F20"/>
          <w:spacing w:val="-8"/>
        </w:rPr>
        <w:t xml:space="preserve"> </w:t>
      </w:r>
      <w:r>
        <w:rPr>
          <w:color w:val="231F20"/>
        </w:rPr>
        <w:t>orally</w:t>
      </w:r>
      <w:r>
        <w:rPr>
          <w:color w:val="231F20"/>
          <w:spacing w:val="-7"/>
        </w:rPr>
        <w:t xml:space="preserve"> </w:t>
      </w:r>
      <w:r>
        <w:rPr>
          <w:color w:val="231F20"/>
        </w:rPr>
        <w:t>or</w:t>
      </w:r>
      <w:r>
        <w:rPr>
          <w:color w:val="231F20"/>
          <w:spacing w:val="-7"/>
        </w:rPr>
        <w:t xml:space="preserve"> </w:t>
      </w:r>
      <w:r>
        <w:rPr>
          <w:color w:val="231F20"/>
        </w:rPr>
        <w:t>in</w:t>
      </w:r>
      <w:r>
        <w:rPr>
          <w:color w:val="231F20"/>
          <w:spacing w:val="-8"/>
        </w:rPr>
        <w:t xml:space="preserve"> </w:t>
      </w:r>
      <w:r>
        <w:rPr>
          <w:color w:val="231F20"/>
        </w:rPr>
        <w:t>writing</w:t>
      </w:r>
      <w:r>
        <w:rPr>
          <w:color w:val="231F20"/>
          <w:spacing w:val="-8"/>
        </w:rPr>
        <w:t xml:space="preserve"> </w:t>
      </w:r>
      <w:r>
        <w:rPr>
          <w:color w:val="231F20"/>
        </w:rPr>
        <w:t>(by</w:t>
      </w:r>
      <w:r>
        <w:rPr>
          <w:color w:val="231F20"/>
          <w:spacing w:val="-7"/>
        </w:rPr>
        <w:t xml:space="preserve"> </w:t>
      </w:r>
      <w:r>
        <w:rPr>
          <w:color w:val="231F20"/>
        </w:rPr>
        <w:t>post</w:t>
      </w:r>
      <w:r>
        <w:rPr>
          <w:color w:val="231F20"/>
          <w:spacing w:val="-7"/>
        </w:rPr>
        <w:t xml:space="preserve"> </w:t>
      </w:r>
      <w:r>
        <w:rPr>
          <w:color w:val="231F20"/>
        </w:rPr>
        <w:t>or</w:t>
      </w:r>
      <w:r>
        <w:rPr>
          <w:color w:val="231F20"/>
          <w:spacing w:val="-7"/>
        </w:rPr>
        <w:t xml:space="preserve"> </w:t>
      </w:r>
      <w:r>
        <w:rPr>
          <w:color w:val="231F20"/>
        </w:rPr>
        <w:t>electronically)</w:t>
      </w:r>
      <w:r>
        <w:rPr>
          <w:color w:val="231F20"/>
          <w:spacing w:val="-7"/>
        </w:rPr>
        <w:t xml:space="preserve"> </w:t>
      </w:r>
      <w:r>
        <w:rPr>
          <w:color w:val="231F20"/>
        </w:rPr>
        <w:t>to</w:t>
      </w:r>
      <w:r>
        <w:rPr>
          <w:color w:val="231F20"/>
          <w:spacing w:val="-8"/>
        </w:rPr>
        <w:t xml:space="preserve"> </w:t>
      </w:r>
      <w:r>
        <w:rPr>
          <w:color w:val="231F20"/>
        </w:rPr>
        <w:t>a</w:t>
      </w:r>
      <w:r>
        <w:rPr>
          <w:color w:val="231F20"/>
          <w:spacing w:val="-8"/>
        </w:rPr>
        <w:t xml:space="preserve"> </w:t>
      </w:r>
      <w:r>
        <w:rPr>
          <w:color w:val="231F20"/>
        </w:rPr>
        <w:t>member</w:t>
      </w:r>
      <w:r>
        <w:rPr>
          <w:color w:val="231F20"/>
          <w:spacing w:val="-7"/>
        </w:rPr>
        <w:t xml:space="preserve"> </w:t>
      </w:r>
      <w:r>
        <w:rPr>
          <w:color w:val="231F20"/>
        </w:rPr>
        <w:t>of</w:t>
      </w:r>
      <w:r>
        <w:rPr>
          <w:color w:val="231F20"/>
          <w:spacing w:val="-7"/>
        </w:rPr>
        <w:t xml:space="preserve"> </w:t>
      </w:r>
      <w:r>
        <w:rPr>
          <w:color w:val="231F20"/>
        </w:rPr>
        <w:t>Victoria Police personnel with a rank, including an acting rank, of sergeant or above.</w:t>
      </w:r>
    </w:p>
    <w:p w14:paraId="1AFDF4C6" w14:textId="77777777" w:rsidR="00345EE3" w:rsidRDefault="00345EE3" w:rsidP="00345EE3">
      <w:pPr>
        <w:pStyle w:val="BodyText"/>
        <w:spacing w:before="116" w:line="242" w:lineRule="auto"/>
        <w:ind w:right="921"/>
      </w:pPr>
      <w:r>
        <w:rPr>
          <w:color w:val="231F20"/>
        </w:rPr>
        <w:t>In</w:t>
      </w:r>
      <w:r>
        <w:rPr>
          <w:color w:val="231F20"/>
          <w:spacing w:val="-6"/>
        </w:rPr>
        <w:t xml:space="preserve"> </w:t>
      </w:r>
      <w:r>
        <w:rPr>
          <w:color w:val="231F20"/>
        </w:rPr>
        <w:t>the</w:t>
      </w:r>
      <w:r>
        <w:rPr>
          <w:color w:val="231F20"/>
          <w:spacing w:val="-6"/>
        </w:rPr>
        <w:t xml:space="preserve"> </w:t>
      </w:r>
      <w:r>
        <w:rPr>
          <w:color w:val="231F20"/>
        </w:rPr>
        <w:t>case</w:t>
      </w:r>
      <w:r>
        <w:rPr>
          <w:color w:val="231F20"/>
          <w:spacing w:val="-6"/>
        </w:rPr>
        <w:t xml:space="preserve"> </w:t>
      </w:r>
      <w:r>
        <w:rPr>
          <w:color w:val="231F20"/>
        </w:rPr>
        <w:t>of</w:t>
      </w:r>
      <w:r>
        <w:rPr>
          <w:color w:val="231F20"/>
          <w:spacing w:val="-5"/>
        </w:rPr>
        <w:t xml:space="preserve"> </w:t>
      </w:r>
      <w:r>
        <w:rPr>
          <w:color w:val="231F20"/>
        </w:rPr>
        <w:t>a</w:t>
      </w:r>
      <w:r>
        <w:rPr>
          <w:color w:val="231F20"/>
          <w:spacing w:val="-6"/>
        </w:rPr>
        <w:t xml:space="preserve"> </w:t>
      </w:r>
      <w:r>
        <w:rPr>
          <w:color w:val="231F20"/>
        </w:rPr>
        <w:t>disclosure</w:t>
      </w:r>
      <w:r>
        <w:rPr>
          <w:color w:val="231F20"/>
          <w:spacing w:val="-6"/>
        </w:rPr>
        <w:t xml:space="preserve"> </w:t>
      </w:r>
      <w:r>
        <w:rPr>
          <w:color w:val="231F20"/>
        </w:rPr>
        <w:t>made</w:t>
      </w:r>
      <w:r>
        <w:rPr>
          <w:color w:val="231F20"/>
          <w:spacing w:val="-6"/>
        </w:rPr>
        <w:t xml:space="preserve"> </w:t>
      </w:r>
      <w:r>
        <w:rPr>
          <w:color w:val="231F20"/>
        </w:rPr>
        <w:t>by</w:t>
      </w:r>
      <w:r>
        <w:rPr>
          <w:color w:val="231F20"/>
          <w:spacing w:val="-5"/>
        </w:rPr>
        <w:t xml:space="preserve"> </w:t>
      </w:r>
      <w:r>
        <w:rPr>
          <w:color w:val="231F20"/>
        </w:rPr>
        <w:t>a</w:t>
      </w:r>
      <w:r>
        <w:rPr>
          <w:color w:val="231F20"/>
          <w:spacing w:val="-6"/>
        </w:rPr>
        <w:t xml:space="preserve"> </w:t>
      </w:r>
      <w:r>
        <w:rPr>
          <w:color w:val="231F20"/>
        </w:rPr>
        <w:t>person</w:t>
      </w:r>
      <w:r>
        <w:rPr>
          <w:color w:val="231F20"/>
          <w:spacing w:val="-6"/>
        </w:rPr>
        <w:t xml:space="preserve"> </w:t>
      </w:r>
      <w:r>
        <w:rPr>
          <w:color w:val="231F20"/>
        </w:rPr>
        <w:t>who</w:t>
      </w:r>
      <w:r>
        <w:rPr>
          <w:color w:val="231F20"/>
          <w:spacing w:val="-6"/>
        </w:rPr>
        <w:t xml:space="preserve"> </w:t>
      </w:r>
      <w:r>
        <w:rPr>
          <w:color w:val="231F20"/>
        </w:rPr>
        <w:t>is</w:t>
      </w:r>
      <w:r>
        <w:rPr>
          <w:color w:val="231F20"/>
          <w:spacing w:val="-5"/>
        </w:rPr>
        <w:t xml:space="preserve"> </w:t>
      </w:r>
      <w:r>
        <w:rPr>
          <w:color w:val="231F20"/>
        </w:rPr>
        <w:t>a</w:t>
      </w:r>
      <w:r>
        <w:rPr>
          <w:color w:val="231F20"/>
          <w:spacing w:val="-6"/>
        </w:rPr>
        <w:t xml:space="preserve"> </w:t>
      </w:r>
      <w:r>
        <w:rPr>
          <w:color w:val="231F20"/>
        </w:rPr>
        <w:t>member</w:t>
      </w:r>
      <w:r>
        <w:rPr>
          <w:color w:val="231F20"/>
          <w:spacing w:val="-5"/>
        </w:rPr>
        <w:t xml:space="preserve"> </w:t>
      </w:r>
      <w:r>
        <w:rPr>
          <w:color w:val="231F20"/>
        </w:rPr>
        <w:t>of</w:t>
      </w:r>
      <w:r>
        <w:rPr>
          <w:color w:val="231F20"/>
          <w:spacing w:val="-5"/>
        </w:rPr>
        <w:t xml:space="preserve"> </w:t>
      </w:r>
      <w:r>
        <w:rPr>
          <w:color w:val="231F20"/>
        </w:rPr>
        <w:t>Victoria</w:t>
      </w:r>
      <w:r>
        <w:rPr>
          <w:color w:val="231F20"/>
          <w:spacing w:val="-6"/>
        </w:rPr>
        <w:t xml:space="preserve"> </w:t>
      </w:r>
      <w:r>
        <w:rPr>
          <w:color w:val="231F20"/>
        </w:rPr>
        <w:t>Police</w:t>
      </w:r>
      <w:r>
        <w:rPr>
          <w:color w:val="231F20"/>
          <w:spacing w:val="-6"/>
        </w:rPr>
        <w:t xml:space="preserve"> </w:t>
      </w:r>
      <w:r>
        <w:rPr>
          <w:color w:val="231F20"/>
        </w:rPr>
        <w:t>personnel</w:t>
      </w:r>
      <w:r>
        <w:rPr>
          <w:color w:val="231F20"/>
          <w:spacing w:val="-6"/>
        </w:rPr>
        <w:t xml:space="preserve"> </w:t>
      </w:r>
      <w:r>
        <w:rPr>
          <w:color w:val="231F20"/>
        </w:rPr>
        <w:t>–</w:t>
      </w:r>
      <w:r>
        <w:rPr>
          <w:color w:val="231F20"/>
          <w:spacing w:val="-6"/>
        </w:rPr>
        <w:t xml:space="preserve"> </w:t>
      </w:r>
      <w:r>
        <w:rPr>
          <w:color w:val="231F20"/>
        </w:rPr>
        <w:t>a direct or indirect manager or supervisor of that person.</w:t>
      </w:r>
    </w:p>
    <w:p w14:paraId="1BA416F7" w14:textId="77777777" w:rsidR="00345EE3" w:rsidRDefault="00345EE3" w:rsidP="00345EE3">
      <w:pPr>
        <w:spacing w:before="116" w:line="242" w:lineRule="auto"/>
        <w:ind w:left="110" w:right="921"/>
        <w:rPr>
          <w:b/>
          <w:sz w:val="24"/>
        </w:rPr>
      </w:pPr>
      <w:r>
        <w:rPr>
          <w:color w:val="231F20"/>
          <w:sz w:val="24"/>
        </w:rPr>
        <w:t>To</w:t>
      </w:r>
      <w:r>
        <w:rPr>
          <w:color w:val="231F20"/>
          <w:spacing w:val="-17"/>
          <w:sz w:val="24"/>
        </w:rPr>
        <w:t xml:space="preserve"> </w:t>
      </w:r>
      <w:r>
        <w:rPr>
          <w:color w:val="231F20"/>
          <w:sz w:val="24"/>
        </w:rPr>
        <w:t>make</w:t>
      </w:r>
      <w:r>
        <w:rPr>
          <w:color w:val="231F20"/>
          <w:spacing w:val="-17"/>
          <w:sz w:val="24"/>
        </w:rPr>
        <w:t xml:space="preserve"> </w:t>
      </w:r>
      <w:r>
        <w:rPr>
          <w:color w:val="231F20"/>
          <w:sz w:val="24"/>
        </w:rPr>
        <w:t>a</w:t>
      </w:r>
      <w:r>
        <w:rPr>
          <w:color w:val="231F20"/>
          <w:spacing w:val="-16"/>
          <w:sz w:val="24"/>
        </w:rPr>
        <w:t xml:space="preserve"> </w:t>
      </w:r>
      <w:r>
        <w:rPr>
          <w:color w:val="231F20"/>
          <w:sz w:val="24"/>
        </w:rPr>
        <w:t>public</w:t>
      </w:r>
      <w:r>
        <w:rPr>
          <w:color w:val="231F20"/>
          <w:spacing w:val="-17"/>
          <w:sz w:val="24"/>
        </w:rPr>
        <w:t xml:space="preserve"> </w:t>
      </w:r>
      <w:r>
        <w:rPr>
          <w:color w:val="231F20"/>
          <w:sz w:val="24"/>
        </w:rPr>
        <w:t>interest</w:t>
      </w:r>
      <w:r>
        <w:rPr>
          <w:color w:val="231F20"/>
          <w:spacing w:val="-17"/>
          <w:sz w:val="24"/>
        </w:rPr>
        <w:t xml:space="preserve"> </w:t>
      </w:r>
      <w:r>
        <w:rPr>
          <w:color w:val="231F20"/>
          <w:sz w:val="24"/>
        </w:rPr>
        <w:t>complaint,</w:t>
      </w:r>
      <w:r>
        <w:rPr>
          <w:color w:val="231F20"/>
          <w:spacing w:val="-17"/>
          <w:sz w:val="24"/>
        </w:rPr>
        <w:t xml:space="preserve"> </w:t>
      </w:r>
      <w:r>
        <w:rPr>
          <w:color w:val="231F20"/>
          <w:sz w:val="24"/>
        </w:rPr>
        <w:t>please</w:t>
      </w:r>
      <w:r>
        <w:rPr>
          <w:color w:val="231F20"/>
          <w:spacing w:val="-16"/>
          <w:sz w:val="24"/>
        </w:rPr>
        <w:t xml:space="preserve"> </w:t>
      </w:r>
      <w:r>
        <w:rPr>
          <w:color w:val="231F20"/>
          <w:sz w:val="24"/>
        </w:rPr>
        <w:t>visit</w:t>
      </w:r>
      <w:r>
        <w:rPr>
          <w:color w:val="231F20"/>
          <w:spacing w:val="-17"/>
          <w:sz w:val="24"/>
        </w:rPr>
        <w:t xml:space="preserve"> </w:t>
      </w:r>
      <w:hyperlink r:id="rId34">
        <w:r>
          <w:rPr>
            <w:b/>
            <w:color w:val="00529F"/>
            <w:sz w:val="24"/>
            <w:u w:val="single" w:color="00529F"/>
          </w:rPr>
          <w:t>police.vic.gov.au/compliments-and-</w:t>
        </w:r>
      </w:hyperlink>
      <w:r>
        <w:rPr>
          <w:b/>
          <w:color w:val="00529F"/>
          <w:sz w:val="24"/>
        </w:rPr>
        <w:t xml:space="preserve"> </w:t>
      </w:r>
      <w:hyperlink r:id="rId35">
        <w:r>
          <w:rPr>
            <w:b/>
            <w:color w:val="00529F"/>
            <w:spacing w:val="-2"/>
            <w:sz w:val="24"/>
            <w:u w:val="single" w:color="00529F"/>
          </w:rPr>
          <w:t>complaints</w:t>
        </w:r>
      </w:hyperlink>
    </w:p>
    <w:p w14:paraId="0111BCB4" w14:textId="77777777" w:rsidR="00345EE3" w:rsidRDefault="00345EE3" w:rsidP="00345EE3">
      <w:pPr>
        <w:pStyle w:val="BodyText"/>
        <w:spacing w:before="116" w:line="242" w:lineRule="auto"/>
      </w:pPr>
      <w:r>
        <w:rPr>
          <w:color w:val="231F20"/>
        </w:rPr>
        <w:t>Alternatively,</w:t>
      </w:r>
      <w:r>
        <w:rPr>
          <w:color w:val="231F20"/>
          <w:spacing w:val="-12"/>
        </w:rPr>
        <w:t xml:space="preserve"> </w:t>
      </w:r>
      <w:r>
        <w:rPr>
          <w:color w:val="231F20"/>
        </w:rPr>
        <w:t>disclosures</w:t>
      </w:r>
      <w:r>
        <w:rPr>
          <w:color w:val="231F20"/>
          <w:spacing w:val="-12"/>
        </w:rPr>
        <w:t xml:space="preserve"> </w:t>
      </w:r>
      <w:r>
        <w:rPr>
          <w:color w:val="231F20"/>
        </w:rPr>
        <w:t>may</w:t>
      </w:r>
      <w:r>
        <w:rPr>
          <w:color w:val="231F20"/>
          <w:spacing w:val="-12"/>
        </w:rPr>
        <w:t xml:space="preserve"> </w:t>
      </w:r>
      <w:r>
        <w:rPr>
          <w:color w:val="231F20"/>
        </w:rPr>
        <w:t>be</w:t>
      </w:r>
      <w:r>
        <w:rPr>
          <w:color w:val="231F20"/>
          <w:spacing w:val="-13"/>
        </w:rPr>
        <w:t xml:space="preserve"> </w:t>
      </w:r>
      <w:r>
        <w:rPr>
          <w:color w:val="231F20"/>
        </w:rPr>
        <w:t>made</w:t>
      </w:r>
      <w:r>
        <w:rPr>
          <w:color w:val="231F20"/>
          <w:spacing w:val="-13"/>
        </w:rPr>
        <w:t xml:space="preserve"> </w:t>
      </w:r>
      <w:r>
        <w:rPr>
          <w:color w:val="231F20"/>
        </w:rPr>
        <w:t>directly</w:t>
      </w:r>
      <w:r>
        <w:rPr>
          <w:color w:val="231F20"/>
          <w:spacing w:val="-12"/>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Independent</w:t>
      </w:r>
      <w:r>
        <w:rPr>
          <w:color w:val="231F20"/>
          <w:spacing w:val="-12"/>
        </w:rPr>
        <w:t xml:space="preserve"> </w:t>
      </w:r>
      <w:r>
        <w:rPr>
          <w:color w:val="231F20"/>
        </w:rPr>
        <w:t>Broad-based</w:t>
      </w:r>
      <w:r>
        <w:rPr>
          <w:color w:val="231F20"/>
          <w:spacing w:val="-13"/>
        </w:rPr>
        <w:t xml:space="preserve"> </w:t>
      </w:r>
      <w:r>
        <w:rPr>
          <w:color w:val="231F20"/>
        </w:rPr>
        <w:t xml:space="preserve">Anti-corruption </w:t>
      </w:r>
      <w:r>
        <w:rPr>
          <w:color w:val="231F20"/>
          <w:spacing w:val="-2"/>
        </w:rPr>
        <w:t>Commission:</w:t>
      </w:r>
    </w:p>
    <w:p w14:paraId="2080F6FF" w14:textId="77777777" w:rsidR="00345EE3" w:rsidRDefault="00345EE3" w:rsidP="00345EE3">
      <w:pPr>
        <w:pStyle w:val="BodyText"/>
        <w:spacing w:before="31" w:line="242" w:lineRule="auto"/>
        <w:ind w:left="393" w:right="8346"/>
      </w:pPr>
      <w:r>
        <w:rPr>
          <w:color w:val="231F20"/>
          <w:spacing w:val="-6"/>
        </w:rPr>
        <w:t>Level</w:t>
      </w:r>
      <w:r>
        <w:rPr>
          <w:color w:val="231F20"/>
          <w:spacing w:val="-11"/>
        </w:rPr>
        <w:t xml:space="preserve"> </w:t>
      </w:r>
      <w:r>
        <w:rPr>
          <w:color w:val="231F20"/>
          <w:spacing w:val="-6"/>
        </w:rPr>
        <w:t>1,</w:t>
      </w:r>
      <w:r>
        <w:rPr>
          <w:color w:val="231F20"/>
          <w:spacing w:val="-11"/>
        </w:rPr>
        <w:t xml:space="preserve"> </w:t>
      </w:r>
      <w:r>
        <w:rPr>
          <w:color w:val="231F20"/>
          <w:spacing w:val="-6"/>
        </w:rPr>
        <w:t>North</w:t>
      </w:r>
      <w:r>
        <w:rPr>
          <w:color w:val="231F20"/>
          <w:spacing w:val="-12"/>
        </w:rPr>
        <w:t xml:space="preserve"> </w:t>
      </w:r>
      <w:r>
        <w:rPr>
          <w:color w:val="231F20"/>
          <w:spacing w:val="-6"/>
        </w:rPr>
        <w:t xml:space="preserve">Tower, </w:t>
      </w:r>
      <w:r>
        <w:rPr>
          <w:color w:val="231F20"/>
        </w:rPr>
        <w:t>459 Collins Street</w:t>
      </w:r>
    </w:p>
    <w:p w14:paraId="0E90518F" w14:textId="77777777" w:rsidR="00345EE3" w:rsidRDefault="00345EE3" w:rsidP="00345EE3">
      <w:pPr>
        <w:pStyle w:val="BodyText"/>
        <w:spacing w:before="3"/>
        <w:ind w:left="393"/>
      </w:pPr>
      <w:r>
        <w:rPr>
          <w:color w:val="231F20"/>
          <w:spacing w:val="-4"/>
        </w:rPr>
        <w:t>Melbourne, VIC 3000</w:t>
      </w:r>
    </w:p>
    <w:p w14:paraId="51958D6A" w14:textId="77777777" w:rsidR="00345EE3" w:rsidRDefault="00345EE3" w:rsidP="00345EE3">
      <w:pPr>
        <w:pStyle w:val="BodyText"/>
        <w:spacing w:before="32"/>
        <w:ind w:left="393"/>
      </w:pPr>
      <w:r>
        <w:rPr>
          <w:color w:val="231F20"/>
          <w:spacing w:val="-2"/>
        </w:rPr>
        <w:t>Phone:</w:t>
      </w:r>
      <w:r>
        <w:rPr>
          <w:color w:val="231F20"/>
          <w:spacing w:val="-15"/>
        </w:rPr>
        <w:t xml:space="preserve"> </w:t>
      </w:r>
      <w:r>
        <w:rPr>
          <w:color w:val="231F20"/>
          <w:spacing w:val="-2"/>
        </w:rPr>
        <w:t>1300</w:t>
      </w:r>
      <w:r>
        <w:rPr>
          <w:color w:val="231F20"/>
          <w:spacing w:val="-13"/>
        </w:rPr>
        <w:t xml:space="preserve"> </w:t>
      </w:r>
      <w:r>
        <w:rPr>
          <w:color w:val="231F20"/>
          <w:spacing w:val="-2"/>
        </w:rPr>
        <w:t>735</w:t>
      </w:r>
      <w:r>
        <w:rPr>
          <w:color w:val="231F20"/>
          <w:spacing w:val="-12"/>
        </w:rPr>
        <w:t xml:space="preserve"> </w:t>
      </w:r>
      <w:r>
        <w:rPr>
          <w:color w:val="231F20"/>
          <w:spacing w:val="-4"/>
        </w:rPr>
        <w:t>135;</w:t>
      </w:r>
    </w:p>
    <w:p w14:paraId="715EEF03" w14:textId="77777777" w:rsidR="00345EE3" w:rsidRDefault="00345EE3" w:rsidP="00345EE3">
      <w:pPr>
        <w:spacing w:before="4"/>
        <w:ind w:left="393"/>
        <w:rPr>
          <w:b/>
          <w:sz w:val="24"/>
        </w:rPr>
      </w:pPr>
      <w:r>
        <w:rPr>
          <w:color w:val="231F20"/>
          <w:spacing w:val="-4"/>
          <w:sz w:val="24"/>
        </w:rPr>
        <w:t>Internet:</w:t>
      </w:r>
      <w:r>
        <w:rPr>
          <w:color w:val="231F20"/>
          <w:spacing w:val="-6"/>
          <w:sz w:val="24"/>
        </w:rPr>
        <w:t xml:space="preserve"> </w:t>
      </w:r>
      <w:hyperlink r:id="rId36">
        <w:r>
          <w:rPr>
            <w:b/>
            <w:color w:val="00529F"/>
            <w:spacing w:val="-2"/>
            <w:sz w:val="24"/>
            <w:u w:val="single" w:color="00529F"/>
          </w:rPr>
          <w:t>ibac.vic.gov.au</w:t>
        </w:r>
      </w:hyperlink>
    </w:p>
    <w:p w14:paraId="620443F8" w14:textId="77777777" w:rsidR="00345EE3" w:rsidRDefault="00345EE3" w:rsidP="00345EE3">
      <w:pPr>
        <w:rPr>
          <w:sz w:val="24"/>
        </w:rPr>
      </w:pPr>
    </w:p>
    <w:p w14:paraId="58B060ED" w14:textId="77777777" w:rsidR="00345EE3" w:rsidRDefault="00345EE3" w:rsidP="00345EE3">
      <w:pPr>
        <w:spacing w:before="75" w:after="120"/>
        <w:ind w:left="110"/>
        <w:rPr>
          <w:color w:val="231F20"/>
          <w:spacing w:val="-4"/>
          <w:sz w:val="18"/>
        </w:rPr>
      </w:pPr>
      <w:r>
        <w:rPr>
          <w:color w:val="231F20"/>
          <w:sz w:val="18"/>
        </w:rPr>
        <w:t>Table</w:t>
      </w:r>
      <w:r>
        <w:rPr>
          <w:color w:val="231F20"/>
          <w:spacing w:val="-6"/>
          <w:sz w:val="18"/>
        </w:rPr>
        <w:t xml:space="preserve"> </w:t>
      </w:r>
      <w:r>
        <w:rPr>
          <w:color w:val="231F20"/>
          <w:sz w:val="18"/>
        </w:rPr>
        <w:t>5.4:</w:t>
      </w:r>
      <w:r>
        <w:rPr>
          <w:color w:val="231F20"/>
          <w:spacing w:val="-6"/>
          <w:sz w:val="18"/>
        </w:rPr>
        <w:t xml:space="preserve"> </w:t>
      </w:r>
      <w:r>
        <w:rPr>
          <w:color w:val="231F20"/>
          <w:sz w:val="18"/>
        </w:rPr>
        <w:t>Disclosures</w:t>
      </w:r>
      <w:r>
        <w:rPr>
          <w:color w:val="231F20"/>
          <w:spacing w:val="-6"/>
          <w:sz w:val="18"/>
        </w:rPr>
        <w:t xml:space="preserve"> </w:t>
      </w:r>
      <w:r>
        <w:rPr>
          <w:color w:val="231F20"/>
          <w:sz w:val="18"/>
        </w:rPr>
        <w:t>under</w:t>
      </w:r>
      <w:r>
        <w:rPr>
          <w:color w:val="231F20"/>
          <w:spacing w:val="-6"/>
          <w:sz w:val="18"/>
        </w:rPr>
        <w:t xml:space="preserve"> </w:t>
      </w:r>
      <w:r>
        <w:rPr>
          <w:color w:val="231F20"/>
          <w:sz w:val="18"/>
        </w:rPr>
        <w:t>the</w:t>
      </w:r>
      <w:r>
        <w:rPr>
          <w:color w:val="231F20"/>
          <w:spacing w:val="-5"/>
          <w:sz w:val="18"/>
        </w:rPr>
        <w:t xml:space="preserve"> </w:t>
      </w:r>
      <w:r>
        <w:rPr>
          <w:rFonts w:ascii="Arial-BoldItalicMT"/>
          <w:b/>
          <w:i/>
          <w:color w:val="231F20"/>
          <w:sz w:val="18"/>
        </w:rPr>
        <w:t>Public</w:t>
      </w:r>
      <w:r>
        <w:rPr>
          <w:rFonts w:ascii="Arial-BoldItalicMT"/>
          <w:b/>
          <w:i/>
          <w:color w:val="231F20"/>
          <w:spacing w:val="-8"/>
          <w:sz w:val="18"/>
        </w:rPr>
        <w:t xml:space="preserve"> </w:t>
      </w:r>
      <w:r>
        <w:rPr>
          <w:rFonts w:ascii="Arial-BoldItalicMT"/>
          <w:b/>
          <w:i/>
          <w:color w:val="231F20"/>
          <w:sz w:val="18"/>
        </w:rPr>
        <w:t>Interest</w:t>
      </w:r>
      <w:r>
        <w:rPr>
          <w:rFonts w:ascii="Arial-BoldItalicMT"/>
          <w:b/>
          <w:i/>
          <w:color w:val="231F20"/>
          <w:spacing w:val="-9"/>
          <w:sz w:val="18"/>
        </w:rPr>
        <w:t xml:space="preserve"> </w:t>
      </w:r>
      <w:r>
        <w:rPr>
          <w:rFonts w:ascii="Arial-BoldItalicMT"/>
          <w:b/>
          <w:i/>
          <w:color w:val="231F20"/>
          <w:sz w:val="18"/>
        </w:rPr>
        <w:t>Disclosures</w:t>
      </w:r>
      <w:r>
        <w:rPr>
          <w:rFonts w:ascii="Arial-BoldItalicMT"/>
          <w:b/>
          <w:i/>
          <w:color w:val="231F20"/>
          <w:spacing w:val="-9"/>
          <w:sz w:val="18"/>
        </w:rPr>
        <w:t xml:space="preserve"> </w:t>
      </w:r>
      <w:r>
        <w:rPr>
          <w:rFonts w:ascii="Arial-BoldItalicMT"/>
          <w:b/>
          <w:i/>
          <w:color w:val="231F20"/>
          <w:sz w:val="18"/>
        </w:rPr>
        <w:t>Act</w:t>
      </w:r>
      <w:r>
        <w:rPr>
          <w:rFonts w:ascii="Arial-BoldItalicMT"/>
          <w:b/>
          <w:i/>
          <w:color w:val="231F20"/>
          <w:spacing w:val="-6"/>
          <w:sz w:val="18"/>
        </w:rPr>
        <w:t xml:space="preserve"> </w:t>
      </w:r>
      <w:r>
        <w:rPr>
          <w:color w:val="231F20"/>
          <w:spacing w:val="-4"/>
          <w:sz w:val="18"/>
        </w:rPr>
        <w:t>2012</w:t>
      </w:r>
    </w:p>
    <w:tbl>
      <w:tblPr>
        <w:tblW w:w="0" w:type="auto"/>
        <w:tblInd w:w="156" w:type="dxa"/>
        <w:tblLayout w:type="fixed"/>
        <w:tblCellMar>
          <w:left w:w="0" w:type="dxa"/>
          <w:right w:w="0" w:type="dxa"/>
        </w:tblCellMar>
        <w:tblLook w:val="0000" w:firstRow="0" w:lastRow="0" w:firstColumn="0" w:lastColumn="0" w:noHBand="0" w:noVBand="0"/>
      </w:tblPr>
      <w:tblGrid>
        <w:gridCol w:w="4876"/>
        <w:gridCol w:w="1190"/>
        <w:gridCol w:w="4139"/>
      </w:tblGrid>
      <w:tr w:rsidR="00345EE3" w:rsidRPr="00454B9E" w14:paraId="4C880DD7" w14:textId="77777777" w:rsidTr="00D73130">
        <w:trPr>
          <w:trHeight w:val="60"/>
          <w:tblHeader/>
        </w:trPr>
        <w:tc>
          <w:tcPr>
            <w:tcW w:w="4876"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01834A27"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54B9E">
              <w:rPr>
                <w:rFonts w:eastAsiaTheme="minorHAnsi"/>
                <w:b/>
                <w:bCs/>
                <w:color w:val="FFFFFF"/>
                <w:sz w:val="24"/>
                <w:szCs w:val="24"/>
                <w:lang w:val="en-GB"/>
              </w:rPr>
              <w:t>Reporting requirement for the financial year 2021–2022</w:t>
            </w:r>
          </w:p>
        </w:tc>
        <w:tc>
          <w:tcPr>
            <w:tcW w:w="1190"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4C07CC8"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54B9E">
              <w:rPr>
                <w:rFonts w:eastAsiaTheme="minorHAnsi"/>
                <w:b/>
                <w:bCs/>
                <w:color w:val="FFFFFF"/>
                <w:sz w:val="24"/>
                <w:szCs w:val="24"/>
                <w:lang w:val="en-GB"/>
              </w:rPr>
              <w:t>Number</w:t>
            </w:r>
          </w:p>
        </w:tc>
        <w:tc>
          <w:tcPr>
            <w:tcW w:w="4139"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077FCA7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54B9E">
              <w:rPr>
                <w:rFonts w:eastAsiaTheme="minorHAnsi"/>
                <w:b/>
                <w:bCs/>
                <w:color w:val="FFFFFF"/>
                <w:sz w:val="24"/>
                <w:szCs w:val="24"/>
                <w:lang w:val="en-GB"/>
              </w:rPr>
              <w:t>Type</w:t>
            </w:r>
          </w:p>
        </w:tc>
      </w:tr>
      <w:tr w:rsidR="00345EE3" w:rsidRPr="00454B9E" w14:paraId="39725CF4" w14:textId="77777777" w:rsidTr="00D73130">
        <w:trPr>
          <w:trHeight w:val="60"/>
        </w:trPr>
        <w:tc>
          <w:tcPr>
            <w:tcW w:w="4876"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A87CCE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Section 69(1)(b)(i) the number and types of disclosures notified to IBAC under section 21(2) or 22;</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CDA41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114</w:t>
            </w:r>
          </w:p>
        </w:tc>
        <w:tc>
          <w:tcPr>
            <w:tcW w:w="4139"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A1E150C" w14:textId="77777777" w:rsidR="00345EE3" w:rsidRPr="00454B9E" w:rsidRDefault="00345EE3" w:rsidP="00D73130">
            <w:pPr>
              <w:widowControl/>
              <w:suppressAutoHyphens/>
              <w:adjustRightInd w:val="0"/>
              <w:spacing w:after="28"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Includes allegations of:</w:t>
            </w:r>
          </w:p>
          <w:p w14:paraId="6F1A5AC1"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Predatory behaviour</w:t>
            </w:r>
          </w:p>
          <w:p w14:paraId="61187F72"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Excessive use of force </w:t>
            </w:r>
          </w:p>
          <w:p w14:paraId="03DE1075"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Improper behaviour </w:t>
            </w:r>
          </w:p>
          <w:p w14:paraId="792A1C63"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Information disclosure </w:t>
            </w:r>
          </w:p>
          <w:p w14:paraId="5F8FF188"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Duty failure </w:t>
            </w:r>
          </w:p>
          <w:p w14:paraId="3031DA14"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Workplace conflict </w:t>
            </w:r>
          </w:p>
          <w:p w14:paraId="03880BC8"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Sexual assault </w:t>
            </w:r>
          </w:p>
          <w:p w14:paraId="1538BB52"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Family violence</w:t>
            </w:r>
          </w:p>
          <w:p w14:paraId="3C76ED17" w14:textId="77777777" w:rsidR="00345EE3" w:rsidRPr="00454B9E" w:rsidRDefault="00345EE3" w:rsidP="00D73130">
            <w:pPr>
              <w:widowControl/>
              <w:suppressAutoHyphens/>
              <w:adjustRightInd w:val="0"/>
              <w:spacing w:after="113"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Assault </w:t>
            </w:r>
          </w:p>
        </w:tc>
      </w:tr>
      <w:tr w:rsidR="00345EE3" w:rsidRPr="00454B9E" w14:paraId="446170BF" w14:textId="77777777" w:rsidTr="00D73130">
        <w:trPr>
          <w:trHeight w:val="60"/>
        </w:trPr>
        <w:tc>
          <w:tcPr>
            <w:tcW w:w="4876"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364CF0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Section 69(1)(b)(ii) the number and types of public interest complaints referred to the investigating entity by IBAC;</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686B28"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175</w:t>
            </w:r>
          </w:p>
        </w:tc>
        <w:tc>
          <w:tcPr>
            <w:tcW w:w="4139"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9E3CF59" w14:textId="77777777" w:rsidR="00345EE3" w:rsidRPr="00454B9E" w:rsidRDefault="00345EE3" w:rsidP="00D73130">
            <w:pPr>
              <w:widowControl/>
              <w:suppressAutoHyphens/>
              <w:adjustRightInd w:val="0"/>
              <w:spacing w:after="28"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Includes allegations of:</w:t>
            </w:r>
          </w:p>
          <w:p w14:paraId="23965FE0"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Improper behaviour </w:t>
            </w:r>
          </w:p>
          <w:p w14:paraId="5AE8E658"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Predatory behaviour </w:t>
            </w:r>
          </w:p>
          <w:p w14:paraId="33D9B33C"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Duty failure </w:t>
            </w:r>
          </w:p>
          <w:p w14:paraId="41BDC28A"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Family violence </w:t>
            </w:r>
          </w:p>
          <w:p w14:paraId="27DCF563"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Excessive use of force </w:t>
            </w:r>
          </w:p>
          <w:p w14:paraId="62BE94DB" w14:textId="77777777" w:rsidR="00345EE3" w:rsidRPr="00454B9E" w:rsidRDefault="00345EE3" w:rsidP="00D73130">
            <w:pPr>
              <w:widowControl/>
              <w:suppressAutoHyphens/>
              <w:adjustRightInd w:val="0"/>
              <w:spacing w:after="113"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Assault</w:t>
            </w:r>
          </w:p>
        </w:tc>
      </w:tr>
      <w:tr w:rsidR="00345EE3" w:rsidRPr="00454B9E" w14:paraId="38D06010" w14:textId="77777777" w:rsidTr="00D73130">
        <w:trPr>
          <w:trHeight w:val="60"/>
        </w:trPr>
        <w:tc>
          <w:tcPr>
            <w:tcW w:w="4876"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92F2B65"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Section 69(1)(b)(iii) the number and types of public interest complaints investigated by the investigating entity;</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A0C3FE"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175</w:t>
            </w:r>
          </w:p>
        </w:tc>
        <w:tc>
          <w:tcPr>
            <w:tcW w:w="4139"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F8BBC3F" w14:textId="77777777" w:rsidR="00345EE3" w:rsidRPr="00454B9E" w:rsidRDefault="00345EE3" w:rsidP="00D73130">
            <w:pPr>
              <w:widowControl/>
              <w:suppressAutoHyphens/>
              <w:adjustRightInd w:val="0"/>
              <w:spacing w:after="28"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Includes allegations of:</w:t>
            </w:r>
          </w:p>
          <w:p w14:paraId="4EC16F9D"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Improper behaviour </w:t>
            </w:r>
          </w:p>
          <w:p w14:paraId="6DE3B2BF"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Predatory behaviour </w:t>
            </w:r>
          </w:p>
          <w:p w14:paraId="534D4BFC"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Duty failure </w:t>
            </w:r>
          </w:p>
          <w:p w14:paraId="5768F376"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Family violence </w:t>
            </w:r>
          </w:p>
          <w:p w14:paraId="7050EBCD"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Excessive use of force </w:t>
            </w:r>
          </w:p>
          <w:p w14:paraId="6B7313ED" w14:textId="77777777" w:rsidR="00345EE3" w:rsidRPr="00454B9E" w:rsidRDefault="00345EE3" w:rsidP="00D73130">
            <w:pPr>
              <w:widowControl/>
              <w:suppressAutoHyphens/>
              <w:adjustRightInd w:val="0"/>
              <w:spacing w:after="113"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Assault</w:t>
            </w:r>
          </w:p>
        </w:tc>
      </w:tr>
      <w:tr w:rsidR="00345EE3" w:rsidRPr="00454B9E" w14:paraId="46D6026A" w14:textId="77777777" w:rsidTr="00D73130">
        <w:trPr>
          <w:trHeight w:val="60"/>
        </w:trPr>
        <w:tc>
          <w:tcPr>
            <w:tcW w:w="4876"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D020E1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Section 69(1)(b)(iv) the number and types of public interest complaints dismissed by the investigating entity;</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2E4799A"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Nil</w:t>
            </w:r>
          </w:p>
        </w:tc>
        <w:tc>
          <w:tcPr>
            <w:tcW w:w="4139"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219E794"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Victoria Police is not an investigating entity that can dismiss a public interest disclosure.</w:t>
            </w:r>
          </w:p>
        </w:tc>
      </w:tr>
      <w:tr w:rsidR="00345EE3" w:rsidRPr="00454B9E" w14:paraId="290D3F1A" w14:textId="77777777" w:rsidTr="00D73130">
        <w:trPr>
          <w:trHeight w:val="60"/>
        </w:trPr>
        <w:tc>
          <w:tcPr>
            <w:tcW w:w="4876"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1B277AB2"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Section 69(c) the number of applications for an injunction made by the investigating entity under section 50 during the financial year</w:t>
            </w:r>
          </w:p>
        </w:tc>
        <w:tc>
          <w:tcPr>
            <w:tcW w:w="119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549ABE81"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Nil</w:t>
            </w:r>
          </w:p>
        </w:tc>
        <w:tc>
          <w:tcPr>
            <w:tcW w:w="4139" w:type="dxa"/>
            <w:tcBorders>
              <w:top w:val="single" w:sz="2" w:space="0" w:color="9D9C9C"/>
              <w:left w:val="single" w:sz="2" w:space="0" w:color="9D9C9C"/>
              <w:bottom w:val="single" w:sz="6" w:space="0" w:color="000000"/>
              <w:right w:val="single" w:sz="6" w:space="0" w:color="9D9C9C"/>
            </w:tcBorders>
            <w:tcMar>
              <w:top w:w="113" w:type="dxa"/>
              <w:left w:w="14" w:type="dxa"/>
              <w:bottom w:w="113" w:type="dxa"/>
              <w:right w:w="14" w:type="dxa"/>
            </w:tcMar>
          </w:tcPr>
          <w:p w14:paraId="4F8B2B69"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N/A</w:t>
            </w:r>
          </w:p>
        </w:tc>
      </w:tr>
    </w:tbl>
    <w:p w14:paraId="7C3A87C2" w14:textId="77777777" w:rsidR="00345EE3" w:rsidRDefault="00345EE3" w:rsidP="00345EE3">
      <w:pPr>
        <w:pStyle w:val="BodyText"/>
        <w:spacing w:before="5"/>
        <w:rPr>
          <w:sz w:val="5"/>
        </w:rPr>
      </w:pPr>
    </w:p>
    <w:p w14:paraId="6C7709F8" w14:textId="77777777" w:rsidR="00345EE3" w:rsidRPr="007517B3" w:rsidRDefault="00345EE3" w:rsidP="00345EE3">
      <w:pPr>
        <w:spacing w:before="73"/>
        <w:ind w:left="110"/>
        <w:rPr>
          <w:sz w:val="18"/>
          <w:szCs w:val="18"/>
        </w:rPr>
      </w:pPr>
      <w:r w:rsidRPr="007517B3">
        <w:rPr>
          <w:rFonts w:ascii="Arial-BoldItalicMT"/>
          <w:b/>
          <w:i/>
          <w:color w:val="231F20"/>
          <w:sz w:val="18"/>
          <w:szCs w:val="18"/>
        </w:rPr>
        <w:t xml:space="preserve">Source: </w:t>
      </w:r>
      <w:r w:rsidRPr="007517B3">
        <w:rPr>
          <w:color w:val="231F20"/>
          <w:sz w:val="18"/>
          <w:szCs w:val="18"/>
        </w:rPr>
        <w:t>Professional Standards</w:t>
      </w:r>
      <w:r w:rsidRPr="007517B3">
        <w:rPr>
          <w:color w:val="231F20"/>
          <w:spacing w:val="-1"/>
          <w:sz w:val="18"/>
          <w:szCs w:val="18"/>
        </w:rPr>
        <w:t xml:space="preserve"> </w:t>
      </w:r>
      <w:r w:rsidRPr="007517B3">
        <w:rPr>
          <w:color w:val="231F20"/>
          <w:sz w:val="18"/>
          <w:szCs w:val="18"/>
        </w:rPr>
        <w:t>Command. Data extracted</w:t>
      </w:r>
      <w:r w:rsidRPr="007517B3">
        <w:rPr>
          <w:color w:val="231F20"/>
          <w:spacing w:val="-1"/>
          <w:sz w:val="18"/>
          <w:szCs w:val="18"/>
        </w:rPr>
        <w:t xml:space="preserve"> </w:t>
      </w:r>
      <w:r w:rsidRPr="007517B3">
        <w:rPr>
          <w:color w:val="231F20"/>
          <w:sz w:val="18"/>
          <w:szCs w:val="18"/>
        </w:rPr>
        <w:t>from public interest</w:t>
      </w:r>
      <w:r w:rsidRPr="007517B3">
        <w:rPr>
          <w:color w:val="231F20"/>
          <w:spacing w:val="-1"/>
          <w:sz w:val="18"/>
          <w:szCs w:val="18"/>
        </w:rPr>
        <w:t xml:space="preserve"> </w:t>
      </w:r>
      <w:r w:rsidRPr="007517B3">
        <w:rPr>
          <w:color w:val="231F20"/>
          <w:sz w:val="18"/>
          <w:szCs w:val="18"/>
        </w:rPr>
        <w:t>disclosures database on</w:t>
      </w:r>
      <w:r w:rsidRPr="007517B3">
        <w:rPr>
          <w:color w:val="231F20"/>
          <w:spacing w:val="-1"/>
          <w:sz w:val="18"/>
          <w:szCs w:val="18"/>
        </w:rPr>
        <w:t xml:space="preserve"> </w:t>
      </w:r>
      <w:r w:rsidRPr="007517B3">
        <w:rPr>
          <w:color w:val="231F20"/>
          <w:sz w:val="18"/>
          <w:szCs w:val="18"/>
        </w:rPr>
        <w:t xml:space="preserve">18 July </w:t>
      </w:r>
      <w:r w:rsidRPr="007517B3">
        <w:rPr>
          <w:color w:val="231F20"/>
          <w:spacing w:val="-2"/>
          <w:sz w:val="18"/>
          <w:szCs w:val="18"/>
        </w:rPr>
        <w:t>2022.</w:t>
      </w:r>
    </w:p>
    <w:p w14:paraId="2DC66FE6" w14:textId="77777777" w:rsidR="00345EE3" w:rsidRPr="007517B3" w:rsidRDefault="00345EE3" w:rsidP="00345EE3">
      <w:pPr>
        <w:spacing w:before="27"/>
        <w:ind w:left="110"/>
        <w:rPr>
          <w:rFonts w:ascii="Arial-BoldItalicMT"/>
          <w:b/>
          <w:i/>
          <w:sz w:val="18"/>
          <w:szCs w:val="18"/>
        </w:rPr>
      </w:pPr>
      <w:r w:rsidRPr="007517B3">
        <w:rPr>
          <w:rFonts w:ascii="Arial-BoldItalicMT"/>
          <w:b/>
          <w:i/>
          <w:color w:val="231F20"/>
          <w:spacing w:val="-2"/>
          <w:sz w:val="18"/>
          <w:szCs w:val="18"/>
        </w:rPr>
        <w:t>Notes:</w:t>
      </w:r>
    </w:p>
    <w:p w14:paraId="30BF8753" w14:textId="77777777" w:rsidR="00345EE3" w:rsidRPr="007517B3" w:rsidRDefault="00345EE3">
      <w:pPr>
        <w:pStyle w:val="ListParagraph"/>
        <w:numPr>
          <w:ilvl w:val="0"/>
          <w:numId w:val="82"/>
        </w:numPr>
        <w:tabs>
          <w:tab w:val="left" w:pos="338"/>
        </w:tabs>
        <w:spacing w:before="27"/>
        <w:ind w:right="1277"/>
        <w:rPr>
          <w:sz w:val="18"/>
          <w:szCs w:val="18"/>
        </w:rPr>
      </w:pPr>
      <w:r w:rsidRPr="007517B3">
        <w:rPr>
          <w:color w:val="231F20"/>
          <w:sz w:val="18"/>
          <w:szCs w:val="18"/>
        </w:rPr>
        <w:t>COVID-19</w:t>
      </w:r>
      <w:r w:rsidRPr="007517B3">
        <w:rPr>
          <w:color w:val="231F20"/>
          <w:spacing w:val="-1"/>
          <w:sz w:val="18"/>
          <w:szCs w:val="18"/>
        </w:rPr>
        <w:t xml:space="preserve"> </w:t>
      </w:r>
      <w:r w:rsidRPr="007517B3">
        <w:rPr>
          <w:color w:val="231F20"/>
          <w:sz w:val="18"/>
          <w:szCs w:val="18"/>
        </w:rPr>
        <w:t>pandemic</w:t>
      </w:r>
      <w:r w:rsidRPr="007517B3">
        <w:rPr>
          <w:color w:val="231F20"/>
          <w:spacing w:val="-1"/>
          <w:sz w:val="18"/>
          <w:szCs w:val="18"/>
        </w:rPr>
        <w:t xml:space="preserve"> </w:t>
      </w:r>
      <w:r w:rsidRPr="007517B3">
        <w:rPr>
          <w:color w:val="231F20"/>
          <w:sz w:val="18"/>
          <w:szCs w:val="18"/>
        </w:rPr>
        <w:t>has</w:t>
      </w:r>
      <w:r w:rsidRPr="007517B3">
        <w:rPr>
          <w:color w:val="231F20"/>
          <w:spacing w:val="-1"/>
          <w:sz w:val="18"/>
          <w:szCs w:val="18"/>
        </w:rPr>
        <w:t xml:space="preserve"> </w:t>
      </w:r>
      <w:r w:rsidRPr="007517B3">
        <w:rPr>
          <w:color w:val="231F20"/>
          <w:sz w:val="18"/>
          <w:szCs w:val="18"/>
        </w:rPr>
        <w:t>had</w:t>
      </w:r>
      <w:r w:rsidRPr="007517B3">
        <w:rPr>
          <w:color w:val="231F20"/>
          <w:spacing w:val="-1"/>
          <w:sz w:val="18"/>
          <w:szCs w:val="18"/>
        </w:rPr>
        <w:t xml:space="preserve"> </w:t>
      </w:r>
      <w:r w:rsidRPr="007517B3">
        <w:rPr>
          <w:color w:val="231F20"/>
          <w:sz w:val="18"/>
          <w:szCs w:val="18"/>
        </w:rPr>
        <w:t>significant</w:t>
      </w:r>
      <w:r w:rsidRPr="007517B3">
        <w:rPr>
          <w:color w:val="231F20"/>
          <w:spacing w:val="-1"/>
          <w:sz w:val="18"/>
          <w:szCs w:val="18"/>
        </w:rPr>
        <w:t xml:space="preserve"> </w:t>
      </w:r>
      <w:r w:rsidRPr="007517B3">
        <w:rPr>
          <w:color w:val="231F20"/>
          <w:sz w:val="18"/>
          <w:szCs w:val="18"/>
        </w:rPr>
        <w:t>impacts</w:t>
      </w:r>
      <w:r w:rsidRPr="007517B3">
        <w:rPr>
          <w:color w:val="231F20"/>
          <w:spacing w:val="-1"/>
          <w:sz w:val="18"/>
          <w:szCs w:val="18"/>
        </w:rPr>
        <w:t xml:space="preserve"> </w:t>
      </w:r>
      <w:r w:rsidRPr="007517B3">
        <w:rPr>
          <w:color w:val="231F20"/>
          <w:sz w:val="18"/>
          <w:szCs w:val="18"/>
        </w:rPr>
        <w:t>on</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color w:val="231F20"/>
          <w:sz w:val="18"/>
          <w:szCs w:val="18"/>
        </w:rPr>
        <w:t>service</w:t>
      </w:r>
      <w:r w:rsidRPr="007517B3">
        <w:rPr>
          <w:color w:val="231F20"/>
          <w:spacing w:val="-1"/>
          <w:sz w:val="18"/>
          <w:szCs w:val="18"/>
        </w:rPr>
        <w:t xml:space="preserve"> </w:t>
      </w:r>
      <w:r w:rsidRPr="007517B3">
        <w:rPr>
          <w:color w:val="231F20"/>
          <w:sz w:val="18"/>
          <w:szCs w:val="18"/>
        </w:rPr>
        <w:t>delivery</w:t>
      </w:r>
      <w:r w:rsidRPr="007517B3">
        <w:rPr>
          <w:color w:val="231F20"/>
          <w:spacing w:val="-1"/>
          <w:sz w:val="18"/>
          <w:szCs w:val="18"/>
        </w:rPr>
        <w:t xml:space="preserve"> </w:t>
      </w:r>
      <w:r w:rsidRPr="007517B3">
        <w:rPr>
          <w:color w:val="231F20"/>
          <w:sz w:val="18"/>
          <w:szCs w:val="18"/>
        </w:rPr>
        <w:t>of</w:t>
      </w:r>
      <w:r w:rsidRPr="007517B3">
        <w:rPr>
          <w:color w:val="231F20"/>
          <w:spacing w:val="-1"/>
          <w:sz w:val="18"/>
          <w:szCs w:val="18"/>
        </w:rPr>
        <w:t xml:space="preserve"> </w:t>
      </w:r>
      <w:r w:rsidRPr="007517B3">
        <w:rPr>
          <w:color w:val="231F20"/>
          <w:sz w:val="18"/>
          <w:szCs w:val="18"/>
        </w:rPr>
        <w:t>all</w:t>
      </w:r>
      <w:r w:rsidRPr="007517B3">
        <w:rPr>
          <w:color w:val="231F20"/>
          <w:spacing w:val="-1"/>
          <w:sz w:val="18"/>
          <w:szCs w:val="18"/>
        </w:rPr>
        <w:t xml:space="preserve"> </w:t>
      </w:r>
      <w:r w:rsidRPr="007517B3">
        <w:rPr>
          <w:color w:val="231F20"/>
          <w:sz w:val="18"/>
          <w:szCs w:val="18"/>
        </w:rPr>
        <w:t>government</w:t>
      </w:r>
      <w:r w:rsidRPr="007517B3">
        <w:rPr>
          <w:color w:val="231F20"/>
          <w:spacing w:val="-1"/>
          <w:sz w:val="18"/>
          <w:szCs w:val="18"/>
        </w:rPr>
        <w:t xml:space="preserve"> </w:t>
      </w:r>
      <w:r w:rsidRPr="007517B3">
        <w:rPr>
          <w:color w:val="231F20"/>
          <w:sz w:val="18"/>
          <w:szCs w:val="18"/>
        </w:rPr>
        <w:t>organisations.</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color w:val="231F20"/>
          <w:sz w:val="18"/>
          <w:szCs w:val="18"/>
        </w:rPr>
        <w:t>recording</w:t>
      </w:r>
      <w:r w:rsidRPr="007517B3">
        <w:rPr>
          <w:color w:val="231F20"/>
          <w:spacing w:val="-1"/>
          <w:sz w:val="18"/>
          <w:szCs w:val="18"/>
        </w:rPr>
        <w:t xml:space="preserve"> </w:t>
      </w:r>
      <w:r w:rsidRPr="007517B3">
        <w:rPr>
          <w:color w:val="231F20"/>
          <w:sz w:val="18"/>
          <w:szCs w:val="18"/>
        </w:rPr>
        <w:t>of</w:t>
      </w:r>
      <w:r w:rsidRPr="007517B3">
        <w:rPr>
          <w:color w:val="231F20"/>
          <w:spacing w:val="-1"/>
          <w:sz w:val="18"/>
          <w:szCs w:val="18"/>
        </w:rPr>
        <w:t xml:space="preserve"> </w:t>
      </w:r>
      <w:r w:rsidRPr="007517B3">
        <w:rPr>
          <w:color w:val="231F20"/>
          <w:sz w:val="18"/>
          <w:szCs w:val="18"/>
        </w:rPr>
        <w:t>referrals</w:t>
      </w:r>
      <w:r w:rsidRPr="007517B3">
        <w:rPr>
          <w:color w:val="231F20"/>
          <w:spacing w:val="-1"/>
          <w:sz w:val="18"/>
          <w:szCs w:val="18"/>
        </w:rPr>
        <w:t xml:space="preserve"> </w:t>
      </w:r>
      <w:r w:rsidRPr="007517B3">
        <w:rPr>
          <w:color w:val="231F20"/>
          <w:sz w:val="18"/>
          <w:szCs w:val="18"/>
        </w:rPr>
        <w:t>between</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color w:val="231F20"/>
          <w:sz w:val="18"/>
          <w:szCs w:val="18"/>
        </w:rPr>
        <w:t>IBAC</w:t>
      </w:r>
      <w:r w:rsidRPr="007517B3">
        <w:rPr>
          <w:color w:val="231F20"/>
          <w:spacing w:val="-1"/>
          <w:sz w:val="18"/>
          <w:szCs w:val="18"/>
        </w:rPr>
        <w:t xml:space="preserve"> </w:t>
      </w:r>
      <w:r w:rsidRPr="007517B3">
        <w:rPr>
          <w:color w:val="231F20"/>
          <w:sz w:val="18"/>
          <w:szCs w:val="18"/>
        </w:rPr>
        <w:t>and</w:t>
      </w:r>
      <w:r w:rsidRPr="007517B3">
        <w:rPr>
          <w:color w:val="231F20"/>
          <w:spacing w:val="40"/>
          <w:sz w:val="18"/>
          <w:szCs w:val="18"/>
        </w:rPr>
        <w:t xml:space="preserve"> </w:t>
      </w:r>
      <w:r w:rsidRPr="007517B3">
        <w:rPr>
          <w:color w:val="231F20"/>
          <w:sz w:val="18"/>
          <w:szCs w:val="18"/>
        </w:rPr>
        <w:t>Victoria Police between the financial years of 2020–2021 and 2021–2022 have experienced some delays.</w:t>
      </w:r>
    </w:p>
    <w:p w14:paraId="3EB73A8B" w14:textId="77777777" w:rsidR="00345EE3" w:rsidRPr="007517B3" w:rsidRDefault="00345EE3">
      <w:pPr>
        <w:pStyle w:val="ListParagraph"/>
        <w:numPr>
          <w:ilvl w:val="0"/>
          <w:numId w:val="82"/>
        </w:numPr>
        <w:tabs>
          <w:tab w:val="left" w:pos="338"/>
        </w:tabs>
        <w:spacing w:before="27"/>
        <w:ind w:hanging="228"/>
        <w:rPr>
          <w:sz w:val="18"/>
          <w:szCs w:val="18"/>
        </w:rPr>
      </w:pPr>
      <w:r w:rsidRPr="007517B3">
        <w:rPr>
          <w:color w:val="231F20"/>
          <w:sz w:val="18"/>
          <w:szCs w:val="18"/>
        </w:rPr>
        <w:t>One</w:t>
      </w:r>
      <w:r w:rsidRPr="007517B3">
        <w:rPr>
          <w:color w:val="231F20"/>
          <w:spacing w:val="-3"/>
          <w:sz w:val="18"/>
          <w:szCs w:val="18"/>
        </w:rPr>
        <w:t xml:space="preserve"> </w:t>
      </w:r>
      <w:r w:rsidRPr="007517B3">
        <w:rPr>
          <w:color w:val="231F20"/>
          <w:sz w:val="18"/>
          <w:szCs w:val="18"/>
        </w:rPr>
        <w:t>disclosure</w:t>
      </w:r>
      <w:r w:rsidRPr="007517B3">
        <w:rPr>
          <w:color w:val="231F20"/>
          <w:spacing w:val="-1"/>
          <w:sz w:val="18"/>
          <w:szCs w:val="18"/>
        </w:rPr>
        <w:t xml:space="preserve"> </w:t>
      </w:r>
      <w:r w:rsidRPr="007517B3">
        <w:rPr>
          <w:color w:val="231F20"/>
          <w:sz w:val="18"/>
          <w:szCs w:val="18"/>
        </w:rPr>
        <w:t>may</w:t>
      </w:r>
      <w:r w:rsidRPr="007517B3">
        <w:rPr>
          <w:color w:val="231F20"/>
          <w:spacing w:val="-1"/>
          <w:sz w:val="18"/>
          <w:szCs w:val="18"/>
        </w:rPr>
        <w:t xml:space="preserve"> </w:t>
      </w:r>
      <w:r w:rsidRPr="007517B3">
        <w:rPr>
          <w:color w:val="231F20"/>
          <w:sz w:val="18"/>
          <w:szCs w:val="18"/>
        </w:rPr>
        <w:t>contain</w:t>
      </w:r>
      <w:r w:rsidRPr="007517B3">
        <w:rPr>
          <w:color w:val="231F20"/>
          <w:spacing w:val="-1"/>
          <w:sz w:val="18"/>
          <w:szCs w:val="18"/>
        </w:rPr>
        <w:t xml:space="preserve"> </w:t>
      </w:r>
      <w:r w:rsidRPr="007517B3">
        <w:rPr>
          <w:color w:val="231F20"/>
          <w:sz w:val="18"/>
          <w:szCs w:val="18"/>
        </w:rPr>
        <w:t>multiple</w:t>
      </w:r>
      <w:r w:rsidRPr="007517B3">
        <w:rPr>
          <w:color w:val="231F20"/>
          <w:spacing w:val="-1"/>
          <w:sz w:val="18"/>
          <w:szCs w:val="18"/>
        </w:rPr>
        <w:t xml:space="preserve"> </w:t>
      </w:r>
      <w:r w:rsidRPr="007517B3">
        <w:rPr>
          <w:color w:val="231F20"/>
          <w:spacing w:val="-2"/>
          <w:sz w:val="18"/>
          <w:szCs w:val="18"/>
        </w:rPr>
        <w:t>allegations.</w:t>
      </w:r>
    </w:p>
    <w:p w14:paraId="164DB39A" w14:textId="77777777" w:rsidR="00345EE3" w:rsidRPr="007517B3" w:rsidRDefault="00345EE3">
      <w:pPr>
        <w:pStyle w:val="ListParagraph"/>
        <w:numPr>
          <w:ilvl w:val="0"/>
          <w:numId w:val="82"/>
        </w:numPr>
        <w:tabs>
          <w:tab w:val="left" w:pos="338"/>
        </w:tabs>
        <w:spacing w:before="27"/>
        <w:ind w:right="918"/>
        <w:rPr>
          <w:sz w:val="18"/>
          <w:szCs w:val="18"/>
        </w:rPr>
      </w:pPr>
      <w:r w:rsidRPr="007517B3">
        <w:rPr>
          <w:color w:val="231F20"/>
          <w:sz w:val="18"/>
          <w:szCs w:val="18"/>
        </w:rPr>
        <w:t>Section</w:t>
      </w:r>
      <w:r w:rsidRPr="007517B3">
        <w:rPr>
          <w:color w:val="231F20"/>
          <w:spacing w:val="-2"/>
          <w:sz w:val="18"/>
          <w:szCs w:val="18"/>
        </w:rPr>
        <w:t xml:space="preserve"> </w:t>
      </w:r>
      <w:r w:rsidRPr="007517B3">
        <w:rPr>
          <w:color w:val="231F20"/>
          <w:sz w:val="18"/>
          <w:szCs w:val="18"/>
        </w:rPr>
        <w:t>69(1)(b)(i)</w:t>
      </w:r>
      <w:r w:rsidRPr="007517B3">
        <w:rPr>
          <w:color w:val="231F20"/>
          <w:spacing w:val="-2"/>
          <w:sz w:val="18"/>
          <w:szCs w:val="18"/>
        </w:rPr>
        <w:t xml:space="preserve"> </w:t>
      </w:r>
      <w:r w:rsidRPr="007517B3">
        <w:rPr>
          <w:color w:val="231F20"/>
          <w:sz w:val="18"/>
          <w:szCs w:val="18"/>
        </w:rPr>
        <w:t>the</w:t>
      </w:r>
      <w:r w:rsidRPr="007517B3">
        <w:rPr>
          <w:color w:val="231F20"/>
          <w:spacing w:val="-2"/>
          <w:sz w:val="18"/>
          <w:szCs w:val="18"/>
        </w:rPr>
        <w:t xml:space="preserve"> </w:t>
      </w:r>
      <w:r w:rsidRPr="007517B3">
        <w:rPr>
          <w:color w:val="231F20"/>
          <w:sz w:val="18"/>
          <w:szCs w:val="18"/>
        </w:rPr>
        <w:t>number</w:t>
      </w:r>
      <w:r w:rsidRPr="007517B3">
        <w:rPr>
          <w:color w:val="231F20"/>
          <w:spacing w:val="-2"/>
          <w:sz w:val="18"/>
          <w:szCs w:val="18"/>
        </w:rPr>
        <w:t xml:space="preserve"> </w:t>
      </w:r>
      <w:r w:rsidRPr="007517B3">
        <w:rPr>
          <w:color w:val="231F20"/>
          <w:sz w:val="18"/>
          <w:szCs w:val="18"/>
        </w:rPr>
        <w:t>and</w:t>
      </w:r>
      <w:r w:rsidRPr="007517B3">
        <w:rPr>
          <w:color w:val="231F20"/>
          <w:spacing w:val="-2"/>
          <w:sz w:val="18"/>
          <w:szCs w:val="18"/>
        </w:rPr>
        <w:t xml:space="preserve"> </w:t>
      </w:r>
      <w:r w:rsidRPr="007517B3">
        <w:rPr>
          <w:color w:val="231F20"/>
          <w:sz w:val="18"/>
          <w:szCs w:val="18"/>
        </w:rPr>
        <w:t>types</w:t>
      </w:r>
      <w:r w:rsidRPr="007517B3">
        <w:rPr>
          <w:color w:val="231F20"/>
          <w:spacing w:val="-2"/>
          <w:sz w:val="18"/>
          <w:szCs w:val="18"/>
        </w:rPr>
        <w:t xml:space="preserve"> </w:t>
      </w:r>
      <w:r w:rsidRPr="007517B3">
        <w:rPr>
          <w:color w:val="231F20"/>
          <w:sz w:val="18"/>
          <w:szCs w:val="18"/>
        </w:rPr>
        <w:t>of</w:t>
      </w:r>
      <w:r w:rsidRPr="007517B3">
        <w:rPr>
          <w:color w:val="231F20"/>
          <w:spacing w:val="-2"/>
          <w:sz w:val="18"/>
          <w:szCs w:val="18"/>
        </w:rPr>
        <w:t xml:space="preserve"> </w:t>
      </w:r>
      <w:r w:rsidRPr="007517B3">
        <w:rPr>
          <w:color w:val="231F20"/>
          <w:sz w:val="18"/>
          <w:szCs w:val="18"/>
        </w:rPr>
        <w:t>disclosures</w:t>
      </w:r>
      <w:r w:rsidRPr="007517B3">
        <w:rPr>
          <w:color w:val="231F20"/>
          <w:spacing w:val="-2"/>
          <w:sz w:val="18"/>
          <w:szCs w:val="18"/>
        </w:rPr>
        <w:t xml:space="preserve"> </w:t>
      </w:r>
      <w:r w:rsidRPr="007517B3">
        <w:rPr>
          <w:color w:val="231F20"/>
          <w:sz w:val="18"/>
          <w:szCs w:val="18"/>
        </w:rPr>
        <w:t>notified</w:t>
      </w:r>
      <w:r w:rsidRPr="007517B3">
        <w:rPr>
          <w:color w:val="231F20"/>
          <w:spacing w:val="-2"/>
          <w:sz w:val="18"/>
          <w:szCs w:val="18"/>
        </w:rPr>
        <w:t xml:space="preserve"> </w:t>
      </w:r>
      <w:r w:rsidRPr="007517B3">
        <w:rPr>
          <w:color w:val="231F20"/>
          <w:sz w:val="18"/>
          <w:szCs w:val="18"/>
        </w:rPr>
        <w:t>to</w:t>
      </w:r>
      <w:r w:rsidRPr="007517B3">
        <w:rPr>
          <w:color w:val="231F20"/>
          <w:spacing w:val="-2"/>
          <w:sz w:val="18"/>
          <w:szCs w:val="18"/>
        </w:rPr>
        <w:t xml:space="preserve"> </w:t>
      </w:r>
      <w:r w:rsidRPr="007517B3">
        <w:rPr>
          <w:color w:val="231F20"/>
          <w:sz w:val="18"/>
          <w:szCs w:val="18"/>
        </w:rPr>
        <w:t>the</w:t>
      </w:r>
      <w:r w:rsidRPr="007517B3">
        <w:rPr>
          <w:color w:val="231F20"/>
          <w:spacing w:val="-2"/>
          <w:sz w:val="18"/>
          <w:szCs w:val="18"/>
        </w:rPr>
        <w:t xml:space="preserve"> </w:t>
      </w:r>
      <w:r w:rsidRPr="007517B3">
        <w:rPr>
          <w:color w:val="231F20"/>
          <w:sz w:val="18"/>
          <w:szCs w:val="18"/>
        </w:rPr>
        <w:t>IBAC</w:t>
      </w:r>
      <w:r w:rsidRPr="007517B3">
        <w:rPr>
          <w:color w:val="231F20"/>
          <w:spacing w:val="-2"/>
          <w:sz w:val="18"/>
          <w:szCs w:val="18"/>
        </w:rPr>
        <w:t xml:space="preserve"> </w:t>
      </w:r>
      <w:r w:rsidRPr="007517B3">
        <w:rPr>
          <w:color w:val="231F20"/>
          <w:sz w:val="18"/>
          <w:szCs w:val="18"/>
        </w:rPr>
        <w:t>under</w:t>
      </w:r>
      <w:r w:rsidRPr="007517B3">
        <w:rPr>
          <w:color w:val="231F20"/>
          <w:spacing w:val="-2"/>
          <w:sz w:val="18"/>
          <w:szCs w:val="18"/>
        </w:rPr>
        <w:t xml:space="preserve"> </w:t>
      </w:r>
      <w:r w:rsidRPr="007517B3">
        <w:rPr>
          <w:color w:val="231F20"/>
          <w:sz w:val="18"/>
          <w:szCs w:val="18"/>
        </w:rPr>
        <w:t>section</w:t>
      </w:r>
      <w:r w:rsidRPr="007517B3">
        <w:rPr>
          <w:color w:val="231F20"/>
          <w:spacing w:val="-2"/>
          <w:sz w:val="18"/>
          <w:szCs w:val="18"/>
        </w:rPr>
        <w:t xml:space="preserve"> </w:t>
      </w:r>
      <w:r w:rsidRPr="007517B3">
        <w:rPr>
          <w:color w:val="231F20"/>
          <w:sz w:val="18"/>
          <w:szCs w:val="18"/>
        </w:rPr>
        <w:t>21(2)</w:t>
      </w:r>
      <w:r w:rsidRPr="007517B3">
        <w:rPr>
          <w:color w:val="231F20"/>
          <w:spacing w:val="-2"/>
          <w:sz w:val="18"/>
          <w:szCs w:val="18"/>
        </w:rPr>
        <w:t xml:space="preserve"> </w:t>
      </w:r>
      <w:r w:rsidRPr="007517B3">
        <w:rPr>
          <w:color w:val="231F20"/>
          <w:sz w:val="18"/>
          <w:szCs w:val="18"/>
        </w:rPr>
        <w:t>or</w:t>
      </w:r>
      <w:r w:rsidRPr="007517B3">
        <w:rPr>
          <w:color w:val="231F20"/>
          <w:spacing w:val="-2"/>
          <w:sz w:val="18"/>
          <w:szCs w:val="18"/>
        </w:rPr>
        <w:t xml:space="preserve"> </w:t>
      </w:r>
      <w:r w:rsidRPr="007517B3">
        <w:rPr>
          <w:color w:val="231F20"/>
          <w:sz w:val="18"/>
          <w:szCs w:val="18"/>
        </w:rPr>
        <w:t>22;</w:t>
      </w:r>
      <w:r w:rsidRPr="007517B3">
        <w:rPr>
          <w:color w:val="231F20"/>
          <w:spacing w:val="-2"/>
          <w:sz w:val="18"/>
          <w:szCs w:val="18"/>
        </w:rPr>
        <w:t xml:space="preserve"> </w:t>
      </w:r>
      <w:r w:rsidRPr="007517B3">
        <w:rPr>
          <w:color w:val="231F20"/>
          <w:sz w:val="18"/>
          <w:szCs w:val="18"/>
        </w:rPr>
        <w:t>this</w:t>
      </w:r>
      <w:r w:rsidRPr="007517B3">
        <w:rPr>
          <w:color w:val="231F20"/>
          <w:spacing w:val="-2"/>
          <w:sz w:val="18"/>
          <w:szCs w:val="18"/>
        </w:rPr>
        <w:t xml:space="preserve"> </w:t>
      </w:r>
      <w:r w:rsidRPr="007517B3">
        <w:rPr>
          <w:color w:val="231F20"/>
          <w:sz w:val="18"/>
          <w:szCs w:val="18"/>
        </w:rPr>
        <w:t>relates</w:t>
      </w:r>
      <w:r w:rsidRPr="007517B3">
        <w:rPr>
          <w:color w:val="231F20"/>
          <w:spacing w:val="-2"/>
          <w:sz w:val="18"/>
          <w:szCs w:val="18"/>
        </w:rPr>
        <w:t xml:space="preserve"> </w:t>
      </w:r>
      <w:r w:rsidRPr="007517B3">
        <w:rPr>
          <w:color w:val="231F20"/>
          <w:sz w:val="18"/>
          <w:szCs w:val="18"/>
        </w:rPr>
        <w:t>to</w:t>
      </w:r>
      <w:r w:rsidRPr="007517B3">
        <w:rPr>
          <w:color w:val="231F20"/>
          <w:spacing w:val="-2"/>
          <w:sz w:val="18"/>
          <w:szCs w:val="18"/>
        </w:rPr>
        <w:t xml:space="preserve"> </w:t>
      </w:r>
      <w:r w:rsidRPr="007517B3">
        <w:rPr>
          <w:color w:val="231F20"/>
          <w:sz w:val="18"/>
          <w:szCs w:val="18"/>
        </w:rPr>
        <w:t>files</w:t>
      </w:r>
      <w:r w:rsidRPr="007517B3">
        <w:rPr>
          <w:color w:val="231F20"/>
          <w:spacing w:val="-2"/>
          <w:sz w:val="18"/>
          <w:szCs w:val="18"/>
        </w:rPr>
        <w:t xml:space="preserve"> </w:t>
      </w:r>
      <w:r w:rsidRPr="007517B3">
        <w:rPr>
          <w:color w:val="231F20"/>
          <w:sz w:val="18"/>
          <w:szCs w:val="18"/>
        </w:rPr>
        <w:t>that</w:t>
      </w:r>
      <w:r w:rsidRPr="007517B3">
        <w:rPr>
          <w:color w:val="231F20"/>
          <w:spacing w:val="-2"/>
          <w:sz w:val="18"/>
          <w:szCs w:val="18"/>
        </w:rPr>
        <w:t xml:space="preserve"> </w:t>
      </w:r>
      <w:r w:rsidRPr="007517B3">
        <w:rPr>
          <w:color w:val="231F20"/>
          <w:sz w:val="18"/>
          <w:szCs w:val="18"/>
        </w:rPr>
        <w:t>Victoria</w:t>
      </w:r>
      <w:r w:rsidRPr="007517B3">
        <w:rPr>
          <w:color w:val="231F20"/>
          <w:spacing w:val="-2"/>
          <w:sz w:val="18"/>
          <w:szCs w:val="18"/>
        </w:rPr>
        <w:t xml:space="preserve"> </w:t>
      </w:r>
      <w:r w:rsidRPr="007517B3">
        <w:rPr>
          <w:color w:val="231F20"/>
          <w:sz w:val="18"/>
          <w:szCs w:val="18"/>
        </w:rPr>
        <w:t>Police</w:t>
      </w:r>
      <w:r w:rsidRPr="007517B3">
        <w:rPr>
          <w:color w:val="231F20"/>
          <w:spacing w:val="-2"/>
          <w:sz w:val="18"/>
          <w:szCs w:val="18"/>
        </w:rPr>
        <w:t xml:space="preserve"> </w:t>
      </w:r>
      <w:r w:rsidRPr="007517B3">
        <w:rPr>
          <w:color w:val="231F20"/>
          <w:sz w:val="18"/>
          <w:szCs w:val="18"/>
        </w:rPr>
        <w:t>refer</w:t>
      </w:r>
      <w:r w:rsidRPr="007517B3">
        <w:rPr>
          <w:color w:val="231F20"/>
          <w:spacing w:val="-2"/>
          <w:sz w:val="18"/>
          <w:szCs w:val="18"/>
        </w:rPr>
        <w:t xml:space="preserve"> </w:t>
      </w:r>
      <w:r w:rsidRPr="007517B3">
        <w:rPr>
          <w:color w:val="231F20"/>
          <w:sz w:val="18"/>
          <w:szCs w:val="18"/>
        </w:rPr>
        <w:t>to</w:t>
      </w:r>
      <w:r w:rsidRPr="007517B3">
        <w:rPr>
          <w:color w:val="231F20"/>
          <w:spacing w:val="-2"/>
          <w:sz w:val="18"/>
          <w:szCs w:val="18"/>
        </w:rPr>
        <w:t xml:space="preserve"> </w:t>
      </w:r>
      <w:r w:rsidRPr="007517B3">
        <w:rPr>
          <w:color w:val="231F20"/>
          <w:sz w:val="18"/>
          <w:szCs w:val="18"/>
        </w:rPr>
        <w:t>the</w:t>
      </w:r>
      <w:r w:rsidRPr="007517B3">
        <w:rPr>
          <w:color w:val="231F20"/>
          <w:spacing w:val="-2"/>
          <w:sz w:val="18"/>
          <w:szCs w:val="18"/>
        </w:rPr>
        <w:t xml:space="preserve"> </w:t>
      </w:r>
      <w:r w:rsidRPr="007517B3">
        <w:rPr>
          <w:color w:val="231F20"/>
          <w:sz w:val="18"/>
          <w:szCs w:val="18"/>
        </w:rPr>
        <w:t>IBAC</w:t>
      </w:r>
      <w:r w:rsidRPr="007517B3">
        <w:rPr>
          <w:color w:val="231F20"/>
          <w:spacing w:val="-2"/>
          <w:sz w:val="18"/>
          <w:szCs w:val="18"/>
        </w:rPr>
        <w:t xml:space="preserve"> </w:t>
      </w:r>
      <w:r w:rsidRPr="007517B3">
        <w:rPr>
          <w:color w:val="231F20"/>
          <w:sz w:val="18"/>
          <w:szCs w:val="18"/>
        </w:rPr>
        <w:t>as</w:t>
      </w:r>
      <w:r w:rsidRPr="007517B3">
        <w:rPr>
          <w:color w:val="231F20"/>
          <w:spacing w:val="40"/>
          <w:sz w:val="18"/>
          <w:szCs w:val="18"/>
        </w:rPr>
        <w:t xml:space="preserve"> </w:t>
      </w:r>
      <w:r w:rsidRPr="007517B3">
        <w:rPr>
          <w:color w:val="231F20"/>
          <w:sz w:val="18"/>
          <w:szCs w:val="18"/>
        </w:rPr>
        <w:t>assessable disclosures. The two sections differentiate between who made the complaint:</w:t>
      </w:r>
    </w:p>
    <w:p w14:paraId="3DEFCAE6" w14:textId="77777777" w:rsidR="00345EE3" w:rsidRPr="007517B3" w:rsidRDefault="00345EE3">
      <w:pPr>
        <w:pStyle w:val="ListParagraph"/>
        <w:numPr>
          <w:ilvl w:val="1"/>
          <w:numId w:val="82"/>
        </w:numPr>
        <w:tabs>
          <w:tab w:val="left" w:pos="451"/>
        </w:tabs>
        <w:spacing w:before="0"/>
        <w:ind w:right="963"/>
        <w:rPr>
          <w:color w:val="231F20"/>
          <w:sz w:val="18"/>
          <w:szCs w:val="18"/>
        </w:rPr>
      </w:pPr>
      <w:r w:rsidRPr="007517B3">
        <w:rPr>
          <w:color w:val="231F20"/>
          <w:sz w:val="18"/>
          <w:szCs w:val="18"/>
        </w:rPr>
        <w:t>Section 21 ‘Disclosures’ relates to complaints from civilians/VPS (employee/PCO) – these complaints may be about Police or other employees within Victoria</w:t>
      </w:r>
      <w:r w:rsidRPr="007517B3">
        <w:rPr>
          <w:color w:val="231F20"/>
          <w:spacing w:val="40"/>
          <w:sz w:val="18"/>
          <w:szCs w:val="18"/>
        </w:rPr>
        <w:t xml:space="preserve"> </w:t>
      </w:r>
      <w:r w:rsidRPr="007517B3">
        <w:rPr>
          <w:color w:val="231F20"/>
          <w:spacing w:val="-2"/>
          <w:sz w:val="18"/>
          <w:szCs w:val="18"/>
        </w:rPr>
        <w:t>Police.</w:t>
      </w:r>
    </w:p>
    <w:p w14:paraId="3347BCFC" w14:textId="77777777" w:rsidR="00345EE3" w:rsidRPr="007517B3" w:rsidRDefault="00345EE3">
      <w:pPr>
        <w:pStyle w:val="ListParagraph"/>
        <w:numPr>
          <w:ilvl w:val="1"/>
          <w:numId w:val="82"/>
        </w:numPr>
        <w:tabs>
          <w:tab w:val="left" w:pos="451"/>
        </w:tabs>
        <w:spacing w:before="0" w:line="159" w:lineRule="exact"/>
        <w:rPr>
          <w:color w:val="231F20"/>
          <w:sz w:val="18"/>
          <w:szCs w:val="18"/>
        </w:rPr>
      </w:pPr>
      <w:r w:rsidRPr="007517B3">
        <w:rPr>
          <w:color w:val="231F20"/>
          <w:sz w:val="18"/>
          <w:szCs w:val="18"/>
        </w:rPr>
        <w:t>Section</w:t>
      </w:r>
      <w:r w:rsidRPr="007517B3">
        <w:rPr>
          <w:color w:val="231F20"/>
          <w:spacing w:val="-1"/>
          <w:sz w:val="18"/>
          <w:szCs w:val="18"/>
        </w:rPr>
        <w:t xml:space="preserve"> </w:t>
      </w:r>
      <w:r w:rsidRPr="007517B3">
        <w:rPr>
          <w:color w:val="231F20"/>
          <w:sz w:val="18"/>
          <w:szCs w:val="18"/>
        </w:rPr>
        <w:t>22</w:t>
      </w:r>
      <w:r w:rsidRPr="007517B3">
        <w:rPr>
          <w:color w:val="231F20"/>
          <w:spacing w:val="-1"/>
          <w:sz w:val="18"/>
          <w:szCs w:val="18"/>
        </w:rPr>
        <w:t xml:space="preserve"> </w:t>
      </w:r>
      <w:r w:rsidRPr="007517B3">
        <w:rPr>
          <w:color w:val="231F20"/>
          <w:sz w:val="18"/>
          <w:szCs w:val="18"/>
        </w:rPr>
        <w:t>‘Police complaints’</w:t>
      </w:r>
      <w:r w:rsidRPr="007517B3">
        <w:rPr>
          <w:color w:val="231F20"/>
          <w:spacing w:val="-1"/>
          <w:sz w:val="18"/>
          <w:szCs w:val="18"/>
        </w:rPr>
        <w:t xml:space="preserve"> </w:t>
      </w:r>
      <w:r w:rsidRPr="007517B3">
        <w:rPr>
          <w:color w:val="231F20"/>
          <w:sz w:val="18"/>
          <w:szCs w:val="18"/>
        </w:rPr>
        <w:t>relates to</w:t>
      </w:r>
      <w:r w:rsidRPr="007517B3">
        <w:rPr>
          <w:color w:val="231F20"/>
          <w:spacing w:val="-1"/>
          <w:sz w:val="18"/>
          <w:szCs w:val="18"/>
        </w:rPr>
        <w:t xml:space="preserve"> </w:t>
      </w:r>
      <w:r w:rsidRPr="007517B3">
        <w:rPr>
          <w:color w:val="231F20"/>
          <w:sz w:val="18"/>
          <w:szCs w:val="18"/>
        </w:rPr>
        <w:t>complaints</w:t>
      </w:r>
      <w:r w:rsidRPr="007517B3">
        <w:rPr>
          <w:color w:val="231F20"/>
          <w:spacing w:val="-1"/>
          <w:sz w:val="18"/>
          <w:szCs w:val="18"/>
        </w:rPr>
        <w:t xml:space="preserve"> </w:t>
      </w:r>
      <w:r w:rsidRPr="007517B3">
        <w:rPr>
          <w:color w:val="231F20"/>
          <w:sz w:val="18"/>
          <w:szCs w:val="18"/>
        </w:rPr>
        <w:t>about Police</w:t>
      </w:r>
      <w:r w:rsidRPr="007517B3">
        <w:rPr>
          <w:color w:val="231F20"/>
          <w:spacing w:val="-1"/>
          <w:sz w:val="18"/>
          <w:szCs w:val="18"/>
        </w:rPr>
        <w:t xml:space="preserve"> </w:t>
      </w:r>
      <w:r w:rsidRPr="007517B3">
        <w:rPr>
          <w:color w:val="231F20"/>
          <w:sz w:val="18"/>
          <w:szCs w:val="18"/>
        </w:rPr>
        <w:t>against Police/Police</w:t>
      </w:r>
      <w:r w:rsidRPr="007517B3">
        <w:rPr>
          <w:color w:val="231F20"/>
          <w:spacing w:val="-1"/>
          <w:sz w:val="18"/>
          <w:szCs w:val="18"/>
        </w:rPr>
        <w:t xml:space="preserve"> </w:t>
      </w:r>
      <w:r w:rsidRPr="007517B3">
        <w:rPr>
          <w:color w:val="231F20"/>
          <w:sz w:val="18"/>
          <w:szCs w:val="18"/>
        </w:rPr>
        <w:t xml:space="preserve">against </w:t>
      </w:r>
      <w:r w:rsidRPr="007517B3">
        <w:rPr>
          <w:color w:val="231F20"/>
          <w:spacing w:val="-4"/>
          <w:sz w:val="18"/>
          <w:szCs w:val="18"/>
        </w:rPr>
        <w:t>PSO.</w:t>
      </w:r>
    </w:p>
    <w:p w14:paraId="6229EACF" w14:textId="77777777" w:rsidR="00345EE3" w:rsidRPr="007517B3" w:rsidRDefault="00345EE3">
      <w:pPr>
        <w:pStyle w:val="ListParagraph"/>
        <w:numPr>
          <w:ilvl w:val="0"/>
          <w:numId w:val="82"/>
        </w:numPr>
        <w:tabs>
          <w:tab w:val="left" w:pos="338"/>
        </w:tabs>
        <w:spacing w:before="25"/>
        <w:ind w:right="900"/>
        <w:rPr>
          <w:sz w:val="18"/>
          <w:szCs w:val="18"/>
        </w:rPr>
      </w:pPr>
      <w:r w:rsidRPr="007517B3">
        <w:rPr>
          <w:color w:val="231F20"/>
          <w:sz w:val="18"/>
          <w:szCs w:val="18"/>
        </w:rPr>
        <w:t>Section 69(1)(b)(ii) the number and types of public interest complaints referred to the investigating entity by the IBAC; relates to files that the IBAC refer back to</w:t>
      </w:r>
      <w:r w:rsidRPr="007517B3">
        <w:rPr>
          <w:color w:val="231F20"/>
          <w:spacing w:val="40"/>
          <w:sz w:val="18"/>
          <w:szCs w:val="18"/>
        </w:rPr>
        <w:t xml:space="preserve"> </w:t>
      </w:r>
      <w:r w:rsidRPr="007517B3">
        <w:rPr>
          <w:color w:val="231F20"/>
          <w:sz w:val="18"/>
          <w:szCs w:val="18"/>
        </w:rPr>
        <w:t xml:space="preserve">Victoria Police for investigation – referrals are made to Victoria Police under Section 73 of the </w:t>
      </w:r>
      <w:r w:rsidRPr="007517B3">
        <w:rPr>
          <w:b/>
          <w:color w:val="231F20"/>
          <w:sz w:val="18"/>
          <w:szCs w:val="18"/>
        </w:rPr>
        <w:t>Independent</w:t>
      </w:r>
      <w:r w:rsidRPr="007517B3">
        <w:rPr>
          <w:b/>
          <w:color w:val="231F20"/>
          <w:spacing w:val="7"/>
          <w:sz w:val="18"/>
          <w:szCs w:val="18"/>
        </w:rPr>
        <w:t xml:space="preserve"> </w:t>
      </w:r>
      <w:r w:rsidRPr="007517B3">
        <w:rPr>
          <w:b/>
          <w:color w:val="231F20"/>
          <w:sz w:val="18"/>
          <w:szCs w:val="18"/>
        </w:rPr>
        <w:t>Broad-based</w:t>
      </w:r>
      <w:r w:rsidRPr="007517B3">
        <w:rPr>
          <w:b/>
          <w:color w:val="231F20"/>
          <w:spacing w:val="7"/>
          <w:sz w:val="18"/>
          <w:szCs w:val="18"/>
        </w:rPr>
        <w:t xml:space="preserve"> </w:t>
      </w:r>
      <w:r w:rsidRPr="007517B3">
        <w:rPr>
          <w:b/>
          <w:color w:val="231F20"/>
          <w:sz w:val="18"/>
          <w:szCs w:val="18"/>
        </w:rPr>
        <w:t>Anti-corruption</w:t>
      </w:r>
      <w:r w:rsidRPr="007517B3">
        <w:rPr>
          <w:b/>
          <w:color w:val="231F20"/>
          <w:spacing w:val="7"/>
          <w:sz w:val="18"/>
          <w:szCs w:val="18"/>
        </w:rPr>
        <w:t xml:space="preserve"> </w:t>
      </w:r>
      <w:r w:rsidRPr="007517B3">
        <w:rPr>
          <w:b/>
          <w:color w:val="231F20"/>
          <w:sz w:val="18"/>
          <w:szCs w:val="18"/>
        </w:rPr>
        <w:t xml:space="preserve">Act </w:t>
      </w:r>
      <w:r w:rsidRPr="007517B3">
        <w:rPr>
          <w:color w:val="231F20"/>
          <w:sz w:val="18"/>
          <w:szCs w:val="18"/>
        </w:rPr>
        <w:t>2011 (Referral</w:t>
      </w:r>
      <w:r w:rsidRPr="007517B3">
        <w:rPr>
          <w:color w:val="231F20"/>
          <w:spacing w:val="40"/>
          <w:sz w:val="18"/>
          <w:szCs w:val="18"/>
        </w:rPr>
        <w:t xml:space="preserve"> </w:t>
      </w:r>
      <w:r w:rsidRPr="007517B3">
        <w:rPr>
          <w:color w:val="231F20"/>
          <w:sz w:val="18"/>
          <w:szCs w:val="18"/>
        </w:rPr>
        <w:t>of complaint or notification for investigation by another person or body). This will include matters that Victoria Police has referred to the IBAC as ‘assessable</w:t>
      </w:r>
      <w:r w:rsidRPr="007517B3">
        <w:rPr>
          <w:color w:val="231F20"/>
          <w:spacing w:val="40"/>
          <w:sz w:val="18"/>
          <w:szCs w:val="18"/>
        </w:rPr>
        <w:t xml:space="preserve"> </w:t>
      </w:r>
      <w:r w:rsidRPr="007517B3">
        <w:rPr>
          <w:color w:val="231F20"/>
          <w:sz w:val="18"/>
          <w:szCs w:val="18"/>
        </w:rPr>
        <w:t>disclosures’. These referrals have been classified as public interest complaints by IBAC. This will also include complaints made directly to the IBAC about the</w:t>
      </w:r>
      <w:r w:rsidRPr="007517B3">
        <w:rPr>
          <w:color w:val="231F20"/>
          <w:spacing w:val="40"/>
          <w:sz w:val="18"/>
          <w:szCs w:val="18"/>
        </w:rPr>
        <w:t xml:space="preserve"> </w:t>
      </w:r>
      <w:r w:rsidRPr="007517B3">
        <w:rPr>
          <w:color w:val="231F20"/>
          <w:sz w:val="18"/>
          <w:szCs w:val="18"/>
        </w:rPr>
        <w:t>IBAC, these matters will be classified as public interest complaints and referred to Victoria Police for investigation (as opposed to the IBAC investigating or</w:t>
      </w:r>
      <w:r w:rsidRPr="007517B3">
        <w:rPr>
          <w:color w:val="231F20"/>
          <w:spacing w:val="40"/>
          <w:sz w:val="18"/>
          <w:szCs w:val="18"/>
        </w:rPr>
        <w:t xml:space="preserve"> </w:t>
      </w:r>
      <w:r w:rsidRPr="007517B3">
        <w:rPr>
          <w:color w:val="231F20"/>
          <w:sz w:val="18"/>
          <w:szCs w:val="18"/>
        </w:rPr>
        <w:t>dismissing</w:t>
      </w:r>
      <w:r w:rsidRPr="007517B3">
        <w:rPr>
          <w:color w:val="231F20"/>
          <w:spacing w:val="-8"/>
          <w:sz w:val="18"/>
          <w:szCs w:val="18"/>
        </w:rPr>
        <w:t xml:space="preserve"> </w:t>
      </w:r>
      <w:r w:rsidRPr="007517B3">
        <w:rPr>
          <w:color w:val="231F20"/>
          <w:sz w:val="18"/>
          <w:szCs w:val="18"/>
        </w:rPr>
        <w:t>it).</w:t>
      </w:r>
    </w:p>
    <w:p w14:paraId="7D21EA2D" w14:textId="77777777" w:rsidR="00345EE3" w:rsidRPr="007517B3" w:rsidRDefault="00345EE3">
      <w:pPr>
        <w:pStyle w:val="ListParagraph"/>
        <w:numPr>
          <w:ilvl w:val="0"/>
          <w:numId w:val="82"/>
        </w:numPr>
        <w:tabs>
          <w:tab w:val="left" w:pos="338"/>
        </w:tabs>
        <w:spacing w:before="23"/>
        <w:ind w:right="1055"/>
        <w:rPr>
          <w:sz w:val="18"/>
          <w:szCs w:val="18"/>
        </w:rPr>
      </w:pPr>
      <w:r w:rsidRPr="007517B3">
        <w:rPr>
          <w:color w:val="231F20"/>
          <w:sz w:val="18"/>
          <w:szCs w:val="18"/>
        </w:rPr>
        <w:t>Section 69(1)(b)(iii) the number and types of public interest complaints investigated by the investigating entity; this is the number of complaints that Victoria</w:t>
      </w:r>
      <w:r w:rsidRPr="007517B3">
        <w:rPr>
          <w:color w:val="231F20"/>
          <w:spacing w:val="40"/>
          <w:sz w:val="18"/>
          <w:szCs w:val="18"/>
        </w:rPr>
        <w:t xml:space="preserve"> </w:t>
      </w:r>
      <w:r w:rsidRPr="007517B3">
        <w:rPr>
          <w:color w:val="231F20"/>
          <w:sz w:val="18"/>
          <w:szCs w:val="18"/>
        </w:rPr>
        <w:t>Police</w:t>
      </w:r>
      <w:r w:rsidRPr="007517B3">
        <w:rPr>
          <w:color w:val="231F20"/>
          <w:spacing w:val="-1"/>
          <w:sz w:val="18"/>
          <w:szCs w:val="18"/>
        </w:rPr>
        <w:t xml:space="preserve"> </w:t>
      </w:r>
      <w:r w:rsidRPr="007517B3">
        <w:rPr>
          <w:color w:val="231F20"/>
          <w:sz w:val="18"/>
          <w:szCs w:val="18"/>
        </w:rPr>
        <w:t>investigates</w:t>
      </w:r>
      <w:r w:rsidRPr="007517B3">
        <w:rPr>
          <w:color w:val="231F20"/>
          <w:spacing w:val="-1"/>
          <w:sz w:val="18"/>
          <w:szCs w:val="18"/>
        </w:rPr>
        <w:t xml:space="preserve"> </w:t>
      </w:r>
      <w:r w:rsidRPr="007517B3">
        <w:rPr>
          <w:color w:val="231F20"/>
          <w:sz w:val="18"/>
          <w:szCs w:val="18"/>
        </w:rPr>
        <w:t>once</w:t>
      </w:r>
      <w:r w:rsidRPr="007517B3">
        <w:rPr>
          <w:color w:val="231F20"/>
          <w:spacing w:val="-1"/>
          <w:sz w:val="18"/>
          <w:szCs w:val="18"/>
        </w:rPr>
        <w:t xml:space="preserve"> </w:t>
      </w:r>
      <w:r w:rsidRPr="007517B3">
        <w:rPr>
          <w:color w:val="231F20"/>
          <w:sz w:val="18"/>
          <w:szCs w:val="18"/>
        </w:rPr>
        <w:t>they</w:t>
      </w:r>
      <w:r w:rsidRPr="007517B3">
        <w:rPr>
          <w:color w:val="231F20"/>
          <w:spacing w:val="-1"/>
          <w:sz w:val="18"/>
          <w:szCs w:val="18"/>
        </w:rPr>
        <w:t xml:space="preserve"> </w:t>
      </w:r>
      <w:r w:rsidRPr="007517B3">
        <w:rPr>
          <w:color w:val="231F20"/>
          <w:sz w:val="18"/>
          <w:szCs w:val="18"/>
        </w:rPr>
        <w:t>have</w:t>
      </w:r>
      <w:r w:rsidRPr="007517B3">
        <w:rPr>
          <w:color w:val="231F20"/>
          <w:spacing w:val="-1"/>
          <w:sz w:val="18"/>
          <w:szCs w:val="18"/>
        </w:rPr>
        <w:t xml:space="preserve"> </w:t>
      </w:r>
      <w:r w:rsidRPr="007517B3">
        <w:rPr>
          <w:color w:val="231F20"/>
          <w:sz w:val="18"/>
          <w:szCs w:val="18"/>
        </w:rPr>
        <w:t>been</w:t>
      </w:r>
      <w:r w:rsidRPr="007517B3">
        <w:rPr>
          <w:color w:val="231F20"/>
          <w:spacing w:val="-1"/>
          <w:sz w:val="18"/>
          <w:szCs w:val="18"/>
        </w:rPr>
        <w:t xml:space="preserve"> </w:t>
      </w:r>
      <w:r w:rsidRPr="007517B3">
        <w:rPr>
          <w:color w:val="231F20"/>
          <w:sz w:val="18"/>
          <w:szCs w:val="18"/>
        </w:rPr>
        <w:t>referred</w:t>
      </w:r>
      <w:r w:rsidRPr="007517B3">
        <w:rPr>
          <w:color w:val="231F20"/>
          <w:spacing w:val="-1"/>
          <w:sz w:val="18"/>
          <w:szCs w:val="18"/>
        </w:rPr>
        <w:t xml:space="preserve"> </w:t>
      </w:r>
      <w:r w:rsidRPr="007517B3">
        <w:rPr>
          <w:color w:val="231F20"/>
          <w:sz w:val="18"/>
          <w:szCs w:val="18"/>
        </w:rPr>
        <w:t>to</w:t>
      </w:r>
      <w:r w:rsidRPr="007517B3">
        <w:rPr>
          <w:color w:val="231F20"/>
          <w:spacing w:val="-1"/>
          <w:sz w:val="18"/>
          <w:szCs w:val="18"/>
        </w:rPr>
        <w:t xml:space="preserve"> </w:t>
      </w:r>
      <w:r w:rsidRPr="007517B3">
        <w:rPr>
          <w:color w:val="231F20"/>
          <w:sz w:val="18"/>
          <w:szCs w:val="18"/>
        </w:rPr>
        <w:t>Victoria</w:t>
      </w:r>
      <w:r w:rsidRPr="007517B3">
        <w:rPr>
          <w:color w:val="231F20"/>
          <w:spacing w:val="-1"/>
          <w:sz w:val="18"/>
          <w:szCs w:val="18"/>
        </w:rPr>
        <w:t xml:space="preserve"> </w:t>
      </w:r>
      <w:r w:rsidRPr="007517B3">
        <w:rPr>
          <w:color w:val="231F20"/>
          <w:sz w:val="18"/>
          <w:szCs w:val="18"/>
        </w:rPr>
        <w:t>Police</w:t>
      </w:r>
      <w:r w:rsidRPr="007517B3">
        <w:rPr>
          <w:color w:val="231F20"/>
          <w:spacing w:val="-1"/>
          <w:sz w:val="18"/>
          <w:szCs w:val="18"/>
        </w:rPr>
        <w:t xml:space="preserve"> </w:t>
      </w:r>
      <w:r w:rsidRPr="007517B3">
        <w:rPr>
          <w:color w:val="231F20"/>
          <w:sz w:val="18"/>
          <w:szCs w:val="18"/>
        </w:rPr>
        <w:t>from</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color w:val="231F20"/>
          <w:sz w:val="18"/>
          <w:szCs w:val="18"/>
        </w:rPr>
        <w:t>IBAC.</w:t>
      </w:r>
      <w:r w:rsidRPr="007517B3">
        <w:rPr>
          <w:color w:val="231F20"/>
          <w:spacing w:val="-1"/>
          <w:sz w:val="18"/>
          <w:szCs w:val="18"/>
        </w:rPr>
        <w:t xml:space="preserve"> </w:t>
      </w:r>
      <w:r w:rsidRPr="007517B3">
        <w:rPr>
          <w:color w:val="231F20"/>
          <w:sz w:val="18"/>
          <w:szCs w:val="18"/>
        </w:rPr>
        <w:t>Victoria</w:t>
      </w:r>
      <w:r w:rsidRPr="007517B3">
        <w:rPr>
          <w:color w:val="231F20"/>
          <w:spacing w:val="-1"/>
          <w:sz w:val="18"/>
          <w:szCs w:val="18"/>
        </w:rPr>
        <w:t xml:space="preserve"> </w:t>
      </w:r>
      <w:r w:rsidRPr="007517B3">
        <w:rPr>
          <w:color w:val="231F20"/>
          <w:sz w:val="18"/>
          <w:szCs w:val="18"/>
        </w:rPr>
        <w:t>Police</w:t>
      </w:r>
      <w:r w:rsidRPr="007517B3">
        <w:rPr>
          <w:color w:val="231F20"/>
          <w:spacing w:val="-1"/>
          <w:sz w:val="18"/>
          <w:szCs w:val="18"/>
        </w:rPr>
        <w:t xml:space="preserve"> </w:t>
      </w:r>
      <w:r w:rsidRPr="007517B3">
        <w:rPr>
          <w:color w:val="231F20"/>
          <w:sz w:val="18"/>
          <w:szCs w:val="18"/>
        </w:rPr>
        <w:t>investigates</w:t>
      </w:r>
      <w:r w:rsidRPr="007517B3">
        <w:rPr>
          <w:color w:val="231F20"/>
          <w:spacing w:val="-1"/>
          <w:sz w:val="18"/>
          <w:szCs w:val="18"/>
        </w:rPr>
        <w:t xml:space="preserve"> </w:t>
      </w:r>
      <w:r w:rsidRPr="007517B3">
        <w:rPr>
          <w:color w:val="231F20"/>
          <w:sz w:val="18"/>
          <w:szCs w:val="18"/>
        </w:rPr>
        <w:t>all</w:t>
      </w:r>
      <w:r w:rsidRPr="007517B3">
        <w:rPr>
          <w:color w:val="231F20"/>
          <w:spacing w:val="-1"/>
          <w:sz w:val="18"/>
          <w:szCs w:val="18"/>
        </w:rPr>
        <w:t xml:space="preserve"> </w:t>
      </w:r>
      <w:r w:rsidRPr="007517B3">
        <w:rPr>
          <w:color w:val="231F20"/>
          <w:sz w:val="18"/>
          <w:szCs w:val="18"/>
        </w:rPr>
        <w:t>referrals</w:t>
      </w:r>
      <w:r w:rsidRPr="007517B3">
        <w:rPr>
          <w:color w:val="231F20"/>
          <w:spacing w:val="-1"/>
          <w:sz w:val="18"/>
          <w:szCs w:val="18"/>
        </w:rPr>
        <w:t xml:space="preserve"> </w:t>
      </w:r>
      <w:r w:rsidRPr="007517B3">
        <w:rPr>
          <w:color w:val="231F20"/>
          <w:sz w:val="18"/>
          <w:szCs w:val="18"/>
        </w:rPr>
        <w:t>as</w:t>
      </w:r>
      <w:r w:rsidRPr="007517B3">
        <w:rPr>
          <w:color w:val="231F20"/>
          <w:spacing w:val="-1"/>
          <w:sz w:val="18"/>
          <w:szCs w:val="18"/>
        </w:rPr>
        <w:t xml:space="preserve"> </w:t>
      </w:r>
      <w:r w:rsidRPr="007517B3">
        <w:rPr>
          <w:color w:val="231F20"/>
          <w:sz w:val="18"/>
          <w:szCs w:val="18"/>
        </w:rPr>
        <w:t>Victoria</w:t>
      </w:r>
      <w:r w:rsidRPr="007517B3">
        <w:rPr>
          <w:color w:val="231F20"/>
          <w:spacing w:val="-1"/>
          <w:sz w:val="18"/>
          <w:szCs w:val="18"/>
        </w:rPr>
        <w:t xml:space="preserve"> </w:t>
      </w:r>
      <w:r w:rsidRPr="007517B3">
        <w:rPr>
          <w:color w:val="231F20"/>
          <w:sz w:val="18"/>
          <w:szCs w:val="18"/>
        </w:rPr>
        <w:t>Police</w:t>
      </w:r>
      <w:r w:rsidRPr="007517B3">
        <w:rPr>
          <w:color w:val="231F20"/>
          <w:spacing w:val="-1"/>
          <w:sz w:val="18"/>
          <w:szCs w:val="18"/>
        </w:rPr>
        <w:t xml:space="preserve"> </w:t>
      </w:r>
      <w:r w:rsidRPr="007517B3">
        <w:rPr>
          <w:color w:val="231F20"/>
          <w:sz w:val="18"/>
          <w:szCs w:val="18"/>
        </w:rPr>
        <w:t>cannot</w:t>
      </w:r>
      <w:r w:rsidRPr="007517B3">
        <w:rPr>
          <w:color w:val="231F20"/>
          <w:spacing w:val="-1"/>
          <w:sz w:val="18"/>
          <w:szCs w:val="18"/>
        </w:rPr>
        <w:t xml:space="preserve"> </w:t>
      </w:r>
      <w:r w:rsidRPr="007517B3">
        <w:rPr>
          <w:color w:val="231F20"/>
          <w:sz w:val="18"/>
          <w:szCs w:val="18"/>
        </w:rPr>
        <w:t>dismiss</w:t>
      </w:r>
      <w:r w:rsidRPr="007517B3">
        <w:rPr>
          <w:color w:val="231F20"/>
          <w:spacing w:val="-1"/>
          <w:sz w:val="18"/>
          <w:szCs w:val="18"/>
        </w:rPr>
        <w:t xml:space="preserve"> </w:t>
      </w:r>
      <w:r w:rsidRPr="007517B3">
        <w:rPr>
          <w:color w:val="231F20"/>
          <w:sz w:val="18"/>
          <w:szCs w:val="18"/>
        </w:rPr>
        <w:t>or</w:t>
      </w:r>
      <w:r w:rsidRPr="007517B3">
        <w:rPr>
          <w:color w:val="231F20"/>
          <w:spacing w:val="40"/>
          <w:sz w:val="18"/>
          <w:szCs w:val="18"/>
        </w:rPr>
        <w:t xml:space="preserve"> </w:t>
      </w:r>
      <w:r w:rsidRPr="007517B3">
        <w:rPr>
          <w:color w:val="231F20"/>
          <w:sz w:val="18"/>
          <w:szCs w:val="18"/>
        </w:rPr>
        <w:t>refer to another agency for investigation.</w:t>
      </w:r>
    </w:p>
    <w:p w14:paraId="1921BE88" w14:textId="77777777" w:rsidR="00345EE3" w:rsidRDefault="00345EE3" w:rsidP="00345EE3">
      <w:pPr>
        <w:rPr>
          <w:sz w:val="13"/>
          <w:szCs w:val="24"/>
        </w:rPr>
      </w:pPr>
      <w:r>
        <w:rPr>
          <w:sz w:val="13"/>
        </w:rPr>
        <w:br w:type="page"/>
      </w:r>
    </w:p>
    <w:p w14:paraId="3E971663" w14:textId="77777777" w:rsidR="00345EE3" w:rsidRDefault="00345EE3" w:rsidP="00E97908">
      <w:pPr>
        <w:rPr>
          <w:sz w:val="32"/>
        </w:rPr>
      </w:pPr>
      <w:r>
        <w:rPr>
          <w:color w:val="00529F"/>
          <w:sz w:val="32"/>
        </w:rPr>
        <w:t>Compliance</w:t>
      </w:r>
      <w:r>
        <w:rPr>
          <w:color w:val="00529F"/>
          <w:spacing w:val="-11"/>
          <w:sz w:val="32"/>
        </w:rPr>
        <w:t xml:space="preserve"> </w:t>
      </w:r>
      <w:r>
        <w:rPr>
          <w:color w:val="00529F"/>
          <w:sz w:val="32"/>
        </w:rPr>
        <w:t>with</w:t>
      </w:r>
      <w:r>
        <w:rPr>
          <w:color w:val="00529F"/>
          <w:spacing w:val="-10"/>
          <w:sz w:val="32"/>
        </w:rPr>
        <w:t xml:space="preserve"> </w:t>
      </w:r>
      <w:r>
        <w:rPr>
          <w:color w:val="00529F"/>
          <w:sz w:val="32"/>
        </w:rPr>
        <w:t>the</w:t>
      </w:r>
      <w:r>
        <w:rPr>
          <w:color w:val="00529F"/>
          <w:spacing w:val="-10"/>
          <w:sz w:val="32"/>
        </w:rPr>
        <w:t xml:space="preserve"> </w:t>
      </w:r>
      <w:r>
        <w:rPr>
          <w:i/>
          <w:color w:val="00529F"/>
          <w:sz w:val="32"/>
        </w:rPr>
        <w:t>Carers</w:t>
      </w:r>
      <w:r>
        <w:rPr>
          <w:i/>
          <w:color w:val="00529F"/>
          <w:spacing w:val="-10"/>
          <w:sz w:val="32"/>
        </w:rPr>
        <w:t xml:space="preserve"> </w:t>
      </w:r>
      <w:r>
        <w:rPr>
          <w:i/>
          <w:color w:val="00529F"/>
          <w:sz w:val="32"/>
        </w:rPr>
        <w:t>Recognition</w:t>
      </w:r>
      <w:r>
        <w:rPr>
          <w:i/>
          <w:color w:val="00529F"/>
          <w:spacing w:val="-11"/>
          <w:sz w:val="32"/>
        </w:rPr>
        <w:t xml:space="preserve"> </w:t>
      </w:r>
      <w:r>
        <w:rPr>
          <w:i/>
          <w:color w:val="00529F"/>
          <w:sz w:val="32"/>
        </w:rPr>
        <w:t>Act</w:t>
      </w:r>
      <w:r>
        <w:rPr>
          <w:i/>
          <w:color w:val="00529F"/>
          <w:spacing w:val="-11"/>
          <w:sz w:val="32"/>
        </w:rPr>
        <w:t xml:space="preserve"> </w:t>
      </w:r>
      <w:r>
        <w:rPr>
          <w:color w:val="00529F"/>
          <w:spacing w:val="-4"/>
          <w:sz w:val="32"/>
        </w:rPr>
        <w:t>2012</w:t>
      </w:r>
    </w:p>
    <w:p w14:paraId="4542A988" w14:textId="77777777" w:rsidR="00345EE3" w:rsidRDefault="00345EE3" w:rsidP="00345EE3">
      <w:pPr>
        <w:pStyle w:val="BodyText"/>
        <w:spacing w:before="72" w:line="242" w:lineRule="auto"/>
        <w:ind w:right="848"/>
      </w:pPr>
      <w:r>
        <w:rPr>
          <w:color w:val="231F20"/>
        </w:rPr>
        <w:t>Victoria</w:t>
      </w:r>
      <w:r>
        <w:rPr>
          <w:color w:val="231F20"/>
          <w:spacing w:val="-8"/>
        </w:rPr>
        <w:t xml:space="preserve"> </w:t>
      </w:r>
      <w:r>
        <w:rPr>
          <w:color w:val="231F20"/>
        </w:rPr>
        <w:t>Police</w:t>
      </w:r>
      <w:r>
        <w:rPr>
          <w:color w:val="231F20"/>
          <w:spacing w:val="-8"/>
        </w:rPr>
        <w:t xml:space="preserve"> </w:t>
      </w:r>
      <w:r>
        <w:rPr>
          <w:color w:val="231F20"/>
        </w:rPr>
        <w:t>recognises</w:t>
      </w:r>
      <w:r>
        <w:rPr>
          <w:color w:val="231F20"/>
          <w:spacing w:val="-7"/>
        </w:rPr>
        <w:t xml:space="preserve"> </w:t>
      </w:r>
      <w:r>
        <w:rPr>
          <w:color w:val="231F20"/>
        </w:rPr>
        <w:t>the</w:t>
      </w:r>
      <w:r>
        <w:rPr>
          <w:color w:val="231F20"/>
          <w:spacing w:val="-8"/>
        </w:rPr>
        <w:t xml:space="preserve"> </w:t>
      </w:r>
      <w:r>
        <w:rPr>
          <w:color w:val="231F20"/>
        </w:rPr>
        <w:t>contribution</w:t>
      </w:r>
      <w:r>
        <w:rPr>
          <w:color w:val="231F20"/>
          <w:spacing w:val="-8"/>
        </w:rPr>
        <w:t xml:space="preserve"> </w:t>
      </w:r>
      <w:r>
        <w:rPr>
          <w:color w:val="231F20"/>
        </w:rPr>
        <w:t>made</w:t>
      </w:r>
      <w:r>
        <w:rPr>
          <w:color w:val="231F20"/>
          <w:spacing w:val="-8"/>
        </w:rPr>
        <w:t xml:space="preserve"> </w:t>
      </w:r>
      <w:r>
        <w:rPr>
          <w:color w:val="231F20"/>
        </w:rPr>
        <w:t>to</w:t>
      </w:r>
      <w:r>
        <w:rPr>
          <w:color w:val="231F20"/>
          <w:spacing w:val="-8"/>
        </w:rPr>
        <w:t xml:space="preserve"> </w:t>
      </w:r>
      <w:r>
        <w:rPr>
          <w:color w:val="231F20"/>
        </w:rPr>
        <w:t>society</w:t>
      </w:r>
      <w:r>
        <w:rPr>
          <w:color w:val="231F20"/>
          <w:spacing w:val="-7"/>
        </w:rPr>
        <w:t xml:space="preserve"> </w:t>
      </w:r>
      <w:r>
        <w:rPr>
          <w:color w:val="231F20"/>
        </w:rPr>
        <w:t>by</w:t>
      </w:r>
      <w:r>
        <w:rPr>
          <w:color w:val="231F20"/>
          <w:spacing w:val="-7"/>
        </w:rPr>
        <w:t xml:space="preserve"> </w:t>
      </w:r>
      <w:r>
        <w:rPr>
          <w:color w:val="231F20"/>
        </w:rPr>
        <w:t>carers</w:t>
      </w:r>
      <w:r>
        <w:rPr>
          <w:color w:val="231F20"/>
          <w:spacing w:val="-7"/>
        </w:rPr>
        <w:t xml:space="preserve"> </w:t>
      </w:r>
      <w:r>
        <w:rPr>
          <w:color w:val="231F20"/>
        </w:rPr>
        <w:t>and</w:t>
      </w:r>
      <w:r>
        <w:rPr>
          <w:color w:val="231F20"/>
          <w:spacing w:val="-8"/>
        </w:rPr>
        <w:t xml:space="preserve"> </w:t>
      </w:r>
      <w:r>
        <w:rPr>
          <w:color w:val="231F20"/>
        </w:rPr>
        <w:t>has</w:t>
      </w:r>
      <w:r>
        <w:rPr>
          <w:color w:val="231F20"/>
          <w:spacing w:val="-7"/>
        </w:rPr>
        <w:t xml:space="preserve"> </w:t>
      </w:r>
      <w:r>
        <w:rPr>
          <w:color w:val="231F20"/>
        </w:rPr>
        <w:t>taken</w:t>
      </w:r>
      <w:r>
        <w:rPr>
          <w:color w:val="231F20"/>
          <w:spacing w:val="-8"/>
        </w:rPr>
        <w:t xml:space="preserve"> </w:t>
      </w:r>
      <w:r>
        <w:rPr>
          <w:color w:val="231F20"/>
        </w:rPr>
        <w:t>measures</w:t>
      </w:r>
      <w:r>
        <w:rPr>
          <w:color w:val="231F20"/>
          <w:spacing w:val="-7"/>
        </w:rPr>
        <w:t xml:space="preserve"> </w:t>
      </w:r>
      <w:r>
        <w:rPr>
          <w:color w:val="231F20"/>
        </w:rPr>
        <w:t>to promote</w:t>
      </w:r>
      <w:r>
        <w:rPr>
          <w:color w:val="231F20"/>
          <w:spacing w:val="-4"/>
        </w:rPr>
        <w:t xml:space="preserve"> </w:t>
      </w:r>
      <w:r>
        <w:rPr>
          <w:color w:val="231F20"/>
        </w:rPr>
        <w:t>recognition</w:t>
      </w:r>
      <w:r>
        <w:rPr>
          <w:color w:val="231F20"/>
          <w:spacing w:val="-4"/>
        </w:rPr>
        <w:t xml:space="preserve"> </w:t>
      </w:r>
      <w:r>
        <w:rPr>
          <w:color w:val="231F20"/>
        </w:rPr>
        <w:t>of</w:t>
      </w:r>
      <w:r>
        <w:rPr>
          <w:color w:val="231F20"/>
          <w:spacing w:val="-3"/>
        </w:rPr>
        <w:t xml:space="preserve"> </w:t>
      </w:r>
      <w:r>
        <w:rPr>
          <w:color w:val="231F20"/>
        </w:rPr>
        <w:t>those</w:t>
      </w:r>
      <w:r>
        <w:rPr>
          <w:color w:val="231F20"/>
          <w:spacing w:val="-4"/>
        </w:rPr>
        <w:t xml:space="preserve"> </w:t>
      </w:r>
      <w:r>
        <w:rPr>
          <w:color w:val="231F20"/>
        </w:rPr>
        <w:t>with</w:t>
      </w:r>
      <w:r>
        <w:rPr>
          <w:color w:val="231F20"/>
          <w:spacing w:val="-4"/>
        </w:rPr>
        <w:t xml:space="preserve"> </w:t>
      </w:r>
      <w:r>
        <w:rPr>
          <w:color w:val="231F20"/>
        </w:rPr>
        <w:t>caring</w:t>
      </w:r>
      <w:r>
        <w:rPr>
          <w:color w:val="231F20"/>
          <w:spacing w:val="-4"/>
        </w:rPr>
        <w:t xml:space="preserve"> </w:t>
      </w:r>
      <w:r>
        <w:rPr>
          <w:color w:val="231F20"/>
        </w:rPr>
        <w:t>responsibilities</w:t>
      </w:r>
      <w:r>
        <w:rPr>
          <w:color w:val="231F20"/>
          <w:spacing w:val="-3"/>
        </w:rPr>
        <w:t xml:space="preserve"> </w:t>
      </w:r>
      <w:r>
        <w:rPr>
          <w:color w:val="231F20"/>
        </w:rPr>
        <w:t>under</w:t>
      </w:r>
      <w:r>
        <w:rPr>
          <w:color w:val="231F20"/>
          <w:spacing w:val="-3"/>
        </w:rPr>
        <w:t xml:space="preserve"> </w:t>
      </w:r>
      <w:r>
        <w:rPr>
          <w:color w:val="231F20"/>
        </w:rPr>
        <w:t>the</w:t>
      </w:r>
      <w:r>
        <w:rPr>
          <w:color w:val="231F20"/>
          <w:spacing w:val="-4"/>
        </w:rPr>
        <w:t xml:space="preserve"> </w:t>
      </w:r>
      <w:r>
        <w:rPr>
          <w:i/>
          <w:color w:val="231F20"/>
        </w:rPr>
        <w:t>Carers</w:t>
      </w:r>
      <w:r>
        <w:rPr>
          <w:i/>
          <w:color w:val="231F20"/>
          <w:spacing w:val="-12"/>
        </w:rPr>
        <w:t xml:space="preserve"> </w:t>
      </w:r>
      <w:r>
        <w:rPr>
          <w:i/>
          <w:color w:val="231F20"/>
        </w:rPr>
        <w:t>Recognition</w:t>
      </w:r>
      <w:r>
        <w:rPr>
          <w:i/>
          <w:color w:val="231F20"/>
          <w:spacing w:val="-12"/>
        </w:rPr>
        <w:t xml:space="preserve"> </w:t>
      </w:r>
      <w:r>
        <w:rPr>
          <w:i/>
          <w:color w:val="231F20"/>
        </w:rPr>
        <w:t>Act</w:t>
      </w:r>
      <w:r>
        <w:rPr>
          <w:i/>
          <w:color w:val="231F20"/>
          <w:spacing w:val="-11"/>
        </w:rPr>
        <w:t xml:space="preserve"> </w:t>
      </w:r>
      <w:r>
        <w:rPr>
          <w:color w:val="231F20"/>
        </w:rPr>
        <w:t>2012.</w:t>
      </w:r>
    </w:p>
    <w:p w14:paraId="296EB0E2" w14:textId="77777777" w:rsidR="00345EE3" w:rsidRDefault="00345EE3" w:rsidP="00345EE3">
      <w:pPr>
        <w:pStyle w:val="BodyText"/>
        <w:spacing w:before="62"/>
      </w:pPr>
      <w:r>
        <w:rPr>
          <w:color w:val="231F20"/>
        </w:rPr>
        <w:t>This</w:t>
      </w:r>
      <w:r>
        <w:rPr>
          <w:color w:val="231F20"/>
          <w:spacing w:val="-5"/>
        </w:rPr>
        <w:t xml:space="preserve"> </w:t>
      </w:r>
      <w:r>
        <w:rPr>
          <w:color w:val="231F20"/>
          <w:spacing w:val="-2"/>
        </w:rPr>
        <w:t>includes:</w:t>
      </w:r>
    </w:p>
    <w:p w14:paraId="168485DA" w14:textId="77777777" w:rsidR="00345EE3" w:rsidRDefault="00345EE3">
      <w:pPr>
        <w:pStyle w:val="ListParagraph"/>
        <w:numPr>
          <w:ilvl w:val="1"/>
          <w:numId w:val="82"/>
        </w:numPr>
        <w:tabs>
          <w:tab w:val="left" w:pos="393"/>
          <w:tab w:val="left" w:pos="394"/>
        </w:tabs>
        <w:spacing w:line="242" w:lineRule="auto"/>
        <w:ind w:left="393" w:right="1242" w:hanging="284"/>
        <w:rPr>
          <w:color w:val="3D68AD"/>
          <w:sz w:val="14"/>
        </w:rPr>
      </w:pPr>
      <w:r>
        <w:rPr>
          <w:color w:val="231F20"/>
          <w:sz w:val="24"/>
        </w:rPr>
        <w:t>Promoting</w:t>
      </w:r>
      <w:r>
        <w:rPr>
          <w:color w:val="231F20"/>
          <w:spacing w:val="-13"/>
          <w:sz w:val="24"/>
        </w:rPr>
        <w:t xml:space="preserve"> </w:t>
      </w:r>
      <w:r>
        <w:rPr>
          <w:color w:val="231F20"/>
          <w:sz w:val="24"/>
        </w:rPr>
        <w:t>the</w:t>
      </w:r>
      <w:r>
        <w:rPr>
          <w:color w:val="231F20"/>
          <w:spacing w:val="-13"/>
          <w:sz w:val="24"/>
        </w:rPr>
        <w:t xml:space="preserve"> </w:t>
      </w:r>
      <w:r>
        <w:rPr>
          <w:color w:val="231F20"/>
          <w:sz w:val="24"/>
        </w:rPr>
        <w:t>availability</w:t>
      </w:r>
      <w:r>
        <w:rPr>
          <w:color w:val="231F20"/>
          <w:spacing w:val="-12"/>
          <w:sz w:val="24"/>
        </w:rPr>
        <w:t xml:space="preserve"> </w:t>
      </w:r>
      <w:r>
        <w:rPr>
          <w:color w:val="231F20"/>
          <w:sz w:val="24"/>
        </w:rPr>
        <w:t>of</w:t>
      </w:r>
      <w:r>
        <w:rPr>
          <w:color w:val="231F20"/>
          <w:spacing w:val="-12"/>
          <w:sz w:val="24"/>
        </w:rPr>
        <w:t xml:space="preserve"> </w:t>
      </w:r>
      <w:r>
        <w:rPr>
          <w:color w:val="231F20"/>
          <w:sz w:val="24"/>
        </w:rPr>
        <w:t>flexible</w:t>
      </w:r>
      <w:r>
        <w:rPr>
          <w:color w:val="231F20"/>
          <w:spacing w:val="-13"/>
          <w:sz w:val="24"/>
        </w:rPr>
        <w:t xml:space="preserve"> </w:t>
      </w:r>
      <w:r>
        <w:rPr>
          <w:color w:val="231F20"/>
          <w:sz w:val="24"/>
        </w:rPr>
        <w:t>work</w:t>
      </w:r>
      <w:r>
        <w:rPr>
          <w:color w:val="231F20"/>
          <w:spacing w:val="-12"/>
          <w:sz w:val="24"/>
        </w:rPr>
        <w:t xml:space="preserve"> </w:t>
      </w:r>
      <w:r>
        <w:rPr>
          <w:color w:val="231F20"/>
          <w:sz w:val="24"/>
        </w:rPr>
        <w:t>arrangements</w:t>
      </w:r>
      <w:r>
        <w:rPr>
          <w:color w:val="231F20"/>
          <w:spacing w:val="-12"/>
          <w:sz w:val="24"/>
        </w:rPr>
        <w:t xml:space="preserve"> </w:t>
      </w:r>
      <w:r>
        <w:rPr>
          <w:color w:val="231F20"/>
          <w:sz w:val="24"/>
        </w:rPr>
        <w:t>and</w:t>
      </w:r>
      <w:r>
        <w:rPr>
          <w:color w:val="231F20"/>
          <w:spacing w:val="-13"/>
          <w:sz w:val="24"/>
        </w:rPr>
        <w:t xml:space="preserve"> </w:t>
      </w:r>
      <w:r>
        <w:rPr>
          <w:color w:val="231F20"/>
          <w:sz w:val="24"/>
        </w:rPr>
        <w:t>providing</w:t>
      </w:r>
      <w:r>
        <w:rPr>
          <w:color w:val="231F20"/>
          <w:spacing w:val="-13"/>
          <w:sz w:val="24"/>
        </w:rPr>
        <w:t xml:space="preserve"> </w:t>
      </w:r>
      <w:r>
        <w:rPr>
          <w:color w:val="231F20"/>
          <w:sz w:val="24"/>
        </w:rPr>
        <w:t>enhanced</w:t>
      </w:r>
      <w:r>
        <w:rPr>
          <w:color w:val="231F20"/>
          <w:spacing w:val="-13"/>
          <w:sz w:val="24"/>
        </w:rPr>
        <w:t xml:space="preserve"> </w:t>
      </w:r>
      <w:r>
        <w:rPr>
          <w:color w:val="231F20"/>
          <w:sz w:val="24"/>
        </w:rPr>
        <w:t>resources that embed the attitude of ‘How can we make this work?’ to support flexibility without adversely impacting productivity.</w:t>
      </w:r>
    </w:p>
    <w:p w14:paraId="750FB510" w14:textId="77777777" w:rsidR="00345EE3" w:rsidRDefault="00345EE3">
      <w:pPr>
        <w:pStyle w:val="ListParagraph"/>
        <w:numPr>
          <w:ilvl w:val="1"/>
          <w:numId w:val="82"/>
        </w:numPr>
        <w:tabs>
          <w:tab w:val="left" w:pos="393"/>
          <w:tab w:val="left" w:pos="394"/>
        </w:tabs>
        <w:spacing w:line="242" w:lineRule="auto"/>
        <w:ind w:left="393" w:right="849" w:hanging="284"/>
        <w:rPr>
          <w:color w:val="3D68AD"/>
          <w:sz w:val="14"/>
        </w:rPr>
      </w:pPr>
      <w:r>
        <w:rPr>
          <w:color w:val="231F20"/>
          <w:sz w:val="24"/>
        </w:rPr>
        <w:t>Promoting carer’s leave entitlements, along with other leave entitlements, as per enterprise agreements,</w:t>
      </w:r>
      <w:r>
        <w:rPr>
          <w:color w:val="231F20"/>
          <w:spacing w:val="-14"/>
          <w:sz w:val="24"/>
        </w:rPr>
        <w:t xml:space="preserve"> </w:t>
      </w:r>
      <w:r>
        <w:rPr>
          <w:color w:val="231F20"/>
          <w:sz w:val="24"/>
        </w:rPr>
        <w:t>policy</w:t>
      </w:r>
      <w:r>
        <w:rPr>
          <w:color w:val="231F20"/>
          <w:spacing w:val="-11"/>
          <w:sz w:val="24"/>
        </w:rPr>
        <w:t xml:space="preserve"> </w:t>
      </w:r>
      <w:r>
        <w:rPr>
          <w:color w:val="231F20"/>
          <w:sz w:val="24"/>
        </w:rPr>
        <w:t>and</w:t>
      </w:r>
      <w:r>
        <w:rPr>
          <w:color w:val="231F20"/>
          <w:spacing w:val="-11"/>
          <w:sz w:val="24"/>
        </w:rPr>
        <w:t xml:space="preserve"> </w:t>
      </w:r>
      <w:r>
        <w:rPr>
          <w:color w:val="231F20"/>
          <w:sz w:val="24"/>
        </w:rPr>
        <w:t>the</w:t>
      </w:r>
      <w:r>
        <w:rPr>
          <w:color w:val="231F20"/>
          <w:spacing w:val="-11"/>
          <w:sz w:val="24"/>
        </w:rPr>
        <w:t xml:space="preserve"> </w:t>
      </w:r>
      <w:r>
        <w:rPr>
          <w:i/>
          <w:color w:val="231F20"/>
          <w:sz w:val="24"/>
        </w:rPr>
        <w:t>Fair</w:t>
      </w:r>
      <w:r>
        <w:rPr>
          <w:i/>
          <w:color w:val="231F20"/>
          <w:spacing w:val="-17"/>
          <w:sz w:val="24"/>
        </w:rPr>
        <w:t xml:space="preserve"> </w:t>
      </w:r>
      <w:r>
        <w:rPr>
          <w:i/>
          <w:color w:val="231F20"/>
          <w:sz w:val="24"/>
        </w:rPr>
        <w:t>Work</w:t>
      </w:r>
      <w:r>
        <w:rPr>
          <w:i/>
          <w:color w:val="231F20"/>
          <w:spacing w:val="-17"/>
          <w:sz w:val="24"/>
        </w:rPr>
        <w:t xml:space="preserve"> </w:t>
      </w:r>
      <w:r>
        <w:rPr>
          <w:i/>
          <w:color w:val="231F20"/>
          <w:sz w:val="24"/>
        </w:rPr>
        <w:t>Act</w:t>
      </w:r>
      <w:r>
        <w:rPr>
          <w:i/>
          <w:color w:val="231F20"/>
          <w:spacing w:val="-14"/>
          <w:sz w:val="24"/>
        </w:rPr>
        <w:t xml:space="preserve"> </w:t>
      </w:r>
      <w:r>
        <w:rPr>
          <w:color w:val="231F20"/>
          <w:sz w:val="24"/>
        </w:rPr>
        <w:t>2009</w:t>
      </w:r>
      <w:r>
        <w:rPr>
          <w:color w:val="231F20"/>
          <w:spacing w:val="-11"/>
          <w:sz w:val="24"/>
        </w:rPr>
        <w:t xml:space="preserve"> </w:t>
      </w:r>
      <w:r>
        <w:rPr>
          <w:color w:val="231F20"/>
          <w:sz w:val="24"/>
        </w:rPr>
        <w:t>and</w:t>
      </w:r>
      <w:r>
        <w:rPr>
          <w:color w:val="231F20"/>
          <w:spacing w:val="-11"/>
          <w:sz w:val="24"/>
        </w:rPr>
        <w:t xml:space="preserve"> </w:t>
      </w:r>
      <w:r>
        <w:rPr>
          <w:color w:val="231F20"/>
          <w:sz w:val="24"/>
        </w:rPr>
        <w:t>ensure</w:t>
      </w:r>
      <w:r>
        <w:rPr>
          <w:color w:val="231F20"/>
          <w:spacing w:val="-11"/>
          <w:sz w:val="24"/>
        </w:rPr>
        <w:t xml:space="preserve"> </w:t>
      </w:r>
      <w:r>
        <w:rPr>
          <w:color w:val="231F20"/>
          <w:sz w:val="24"/>
        </w:rPr>
        <w:t>compliance</w:t>
      </w:r>
      <w:r>
        <w:rPr>
          <w:color w:val="231F20"/>
          <w:spacing w:val="-11"/>
          <w:sz w:val="24"/>
        </w:rPr>
        <w:t xml:space="preserve"> </w:t>
      </w:r>
      <w:r>
        <w:rPr>
          <w:color w:val="231F20"/>
          <w:sz w:val="24"/>
        </w:rPr>
        <w:t>with</w:t>
      </w:r>
      <w:r>
        <w:rPr>
          <w:color w:val="231F20"/>
          <w:spacing w:val="-11"/>
          <w:sz w:val="24"/>
        </w:rPr>
        <w:t xml:space="preserve"> </w:t>
      </w:r>
      <w:r>
        <w:rPr>
          <w:color w:val="231F20"/>
          <w:sz w:val="24"/>
        </w:rPr>
        <w:t>these</w:t>
      </w:r>
      <w:r>
        <w:rPr>
          <w:color w:val="231F20"/>
          <w:spacing w:val="-11"/>
          <w:sz w:val="24"/>
        </w:rPr>
        <w:t xml:space="preserve"> </w:t>
      </w:r>
      <w:r>
        <w:rPr>
          <w:color w:val="231F20"/>
          <w:sz w:val="24"/>
        </w:rPr>
        <w:t>by</w:t>
      </w:r>
      <w:r>
        <w:rPr>
          <w:color w:val="231F20"/>
          <w:spacing w:val="-11"/>
          <w:sz w:val="24"/>
        </w:rPr>
        <w:t xml:space="preserve"> </w:t>
      </w:r>
      <w:r>
        <w:rPr>
          <w:color w:val="231F20"/>
          <w:sz w:val="24"/>
        </w:rPr>
        <w:t>providing clear and consistent advice.</w:t>
      </w:r>
    </w:p>
    <w:p w14:paraId="76A221D7" w14:textId="77777777" w:rsidR="00345EE3" w:rsidRDefault="00345EE3">
      <w:pPr>
        <w:pStyle w:val="ListParagraph"/>
        <w:numPr>
          <w:ilvl w:val="1"/>
          <w:numId w:val="82"/>
        </w:numPr>
        <w:tabs>
          <w:tab w:val="left" w:pos="393"/>
          <w:tab w:val="left" w:pos="394"/>
        </w:tabs>
        <w:spacing w:before="33"/>
        <w:ind w:left="393" w:hanging="284"/>
        <w:rPr>
          <w:color w:val="3D68AD"/>
          <w:sz w:val="14"/>
        </w:rPr>
      </w:pPr>
      <w:r>
        <w:rPr>
          <w:color w:val="231F20"/>
          <w:sz w:val="24"/>
        </w:rPr>
        <w:t>Building</w:t>
      </w:r>
      <w:r>
        <w:rPr>
          <w:color w:val="231F20"/>
          <w:spacing w:val="-16"/>
          <w:sz w:val="24"/>
        </w:rPr>
        <w:t xml:space="preserve"> </w:t>
      </w:r>
      <w:r>
        <w:rPr>
          <w:color w:val="231F20"/>
          <w:sz w:val="24"/>
        </w:rPr>
        <w:t>awareness</w:t>
      </w:r>
      <w:r>
        <w:rPr>
          <w:color w:val="231F20"/>
          <w:spacing w:val="-13"/>
          <w:sz w:val="24"/>
        </w:rPr>
        <w:t xml:space="preserve"> </w:t>
      </w:r>
      <w:r>
        <w:rPr>
          <w:color w:val="231F20"/>
          <w:sz w:val="24"/>
        </w:rPr>
        <w:t>of</w:t>
      </w:r>
      <w:r>
        <w:rPr>
          <w:color w:val="231F20"/>
          <w:spacing w:val="-13"/>
          <w:sz w:val="24"/>
        </w:rPr>
        <w:t xml:space="preserve"> </w:t>
      </w:r>
      <w:r>
        <w:rPr>
          <w:color w:val="231F20"/>
          <w:sz w:val="24"/>
        </w:rPr>
        <w:t>available</w:t>
      </w:r>
      <w:r>
        <w:rPr>
          <w:color w:val="231F20"/>
          <w:spacing w:val="-14"/>
          <w:sz w:val="24"/>
        </w:rPr>
        <w:t xml:space="preserve"> </w:t>
      </w:r>
      <w:r>
        <w:rPr>
          <w:color w:val="231F20"/>
          <w:sz w:val="24"/>
        </w:rPr>
        <w:t>support</w:t>
      </w:r>
      <w:r>
        <w:rPr>
          <w:color w:val="231F20"/>
          <w:spacing w:val="-13"/>
          <w:sz w:val="24"/>
        </w:rPr>
        <w:t xml:space="preserve"> </w:t>
      </w:r>
      <w:r>
        <w:rPr>
          <w:color w:val="231F20"/>
          <w:sz w:val="24"/>
        </w:rPr>
        <w:t>programs</w:t>
      </w:r>
      <w:r>
        <w:rPr>
          <w:color w:val="231F20"/>
          <w:spacing w:val="-13"/>
          <w:sz w:val="24"/>
        </w:rPr>
        <w:t xml:space="preserve"> </w:t>
      </w:r>
      <w:r>
        <w:rPr>
          <w:color w:val="231F20"/>
          <w:sz w:val="24"/>
        </w:rPr>
        <w:t>through</w:t>
      </w:r>
      <w:r>
        <w:rPr>
          <w:color w:val="231F20"/>
          <w:spacing w:val="-14"/>
          <w:sz w:val="24"/>
        </w:rPr>
        <w:t xml:space="preserve"> </w:t>
      </w:r>
      <w:r>
        <w:rPr>
          <w:color w:val="231F20"/>
          <w:sz w:val="24"/>
        </w:rPr>
        <w:t>Victoria</w:t>
      </w:r>
      <w:r>
        <w:rPr>
          <w:color w:val="231F20"/>
          <w:spacing w:val="-14"/>
          <w:sz w:val="24"/>
        </w:rPr>
        <w:t xml:space="preserve"> </w:t>
      </w:r>
      <w:r>
        <w:rPr>
          <w:color w:val="231F20"/>
          <w:sz w:val="24"/>
        </w:rPr>
        <w:t>Police’s</w:t>
      </w:r>
      <w:r>
        <w:rPr>
          <w:color w:val="231F20"/>
          <w:spacing w:val="-13"/>
          <w:sz w:val="24"/>
        </w:rPr>
        <w:t xml:space="preserve"> </w:t>
      </w:r>
      <w:r>
        <w:rPr>
          <w:color w:val="231F20"/>
          <w:sz w:val="24"/>
        </w:rPr>
        <w:t>induction</w:t>
      </w:r>
      <w:r>
        <w:rPr>
          <w:color w:val="231F20"/>
          <w:spacing w:val="-13"/>
          <w:sz w:val="24"/>
        </w:rPr>
        <w:t xml:space="preserve"> </w:t>
      </w:r>
      <w:r>
        <w:rPr>
          <w:color w:val="231F20"/>
          <w:spacing w:val="-2"/>
          <w:sz w:val="24"/>
        </w:rPr>
        <w:t>program.</w:t>
      </w:r>
    </w:p>
    <w:p w14:paraId="44F93F33" w14:textId="77777777" w:rsidR="00345EE3" w:rsidRDefault="00345EE3">
      <w:pPr>
        <w:pStyle w:val="ListParagraph"/>
        <w:numPr>
          <w:ilvl w:val="1"/>
          <w:numId w:val="82"/>
        </w:numPr>
        <w:tabs>
          <w:tab w:val="left" w:pos="393"/>
          <w:tab w:val="left" w:pos="394"/>
        </w:tabs>
        <w:spacing w:line="242" w:lineRule="auto"/>
        <w:ind w:left="393" w:right="968" w:hanging="284"/>
        <w:rPr>
          <w:color w:val="3D68AD"/>
          <w:sz w:val="14"/>
        </w:rPr>
      </w:pPr>
      <w:r>
        <w:rPr>
          <w:color w:val="231F20"/>
          <w:sz w:val="24"/>
        </w:rPr>
        <w:t>Providing</w:t>
      </w:r>
      <w:r>
        <w:rPr>
          <w:color w:val="231F20"/>
          <w:spacing w:val="-7"/>
          <w:sz w:val="24"/>
        </w:rPr>
        <w:t xml:space="preserve"> </w:t>
      </w:r>
      <w:r>
        <w:rPr>
          <w:color w:val="231F20"/>
          <w:sz w:val="24"/>
        </w:rPr>
        <w:t>support</w:t>
      </w:r>
      <w:r>
        <w:rPr>
          <w:color w:val="231F20"/>
          <w:spacing w:val="-6"/>
          <w:sz w:val="24"/>
        </w:rPr>
        <w:t xml:space="preserve"> </w:t>
      </w:r>
      <w:r>
        <w:rPr>
          <w:color w:val="231F20"/>
          <w:sz w:val="24"/>
        </w:rPr>
        <w:t>to</w:t>
      </w:r>
      <w:r>
        <w:rPr>
          <w:color w:val="231F20"/>
          <w:spacing w:val="-7"/>
          <w:sz w:val="24"/>
        </w:rPr>
        <w:t xml:space="preserve"> </w:t>
      </w:r>
      <w:r>
        <w:rPr>
          <w:color w:val="231F20"/>
          <w:sz w:val="24"/>
        </w:rPr>
        <w:t>all</w:t>
      </w:r>
      <w:r>
        <w:rPr>
          <w:color w:val="231F20"/>
          <w:spacing w:val="-7"/>
          <w:sz w:val="24"/>
        </w:rPr>
        <w:t xml:space="preserve"> </w:t>
      </w:r>
      <w:r>
        <w:rPr>
          <w:color w:val="231F20"/>
          <w:sz w:val="24"/>
        </w:rPr>
        <w:t>employees</w:t>
      </w:r>
      <w:r>
        <w:rPr>
          <w:color w:val="231F20"/>
          <w:spacing w:val="-6"/>
          <w:sz w:val="24"/>
        </w:rPr>
        <w:t xml:space="preserve"> </w:t>
      </w:r>
      <w:r>
        <w:rPr>
          <w:color w:val="231F20"/>
          <w:sz w:val="24"/>
        </w:rPr>
        <w:t>through</w:t>
      </w:r>
      <w:r>
        <w:rPr>
          <w:color w:val="231F20"/>
          <w:spacing w:val="-7"/>
          <w:sz w:val="24"/>
        </w:rPr>
        <w:t xml:space="preserve"> </w:t>
      </w:r>
      <w:r>
        <w:rPr>
          <w:color w:val="231F20"/>
          <w:sz w:val="24"/>
        </w:rPr>
        <w:t>the</w:t>
      </w:r>
      <w:r>
        <w:rPr>
          <w:color w:val="231F20"/>
          <w:spacing w:val="-7"/>
          <w:sz w:val="24"/>
        </w:rPr>
        <w:t xml:space="preserve"> </w:t>
      </w:r>
      <w:r>
        <w:rPr>
          <w:color w:val="231F20"/>
          <w:sz w:val="24"/>
        </w:rPr>
        <w:t>Employee</w:t>
      </w:r>
      <w:r>
        <w:rPr>
          <w:color w:val="231F20"/>
          <w:spacing w:val="-7"/>
          <w:sz w:val="24"/>
        </w:rPr>
        <w:t xml:space="preserve"> </w:t>
      </w:r>
      <w:r>
        <w:rPr>
          <w:color w:val="231F20"/>
          <w:sz w:val="24"/>
        </w:rPr>
        <w:t>Assistance</w:t>
      </w:r>
      <w:r>
        <w:rPr>
          <w:color w:val="231F20"/>
          <w:spacing w:val="-7"/>
          <w:sz w:val="24"/>
        </w:rPr>
        <w:t xml:space="preserve"> </w:t>
      </w:r>
      <w:r>
        <w:rPr>
          <w:color w:val="231F20"/>
          <w:sz w:val="24"/>
        </w:rPr>
        <w:t>Program</w:t>
      </w:r>
      <w:r>
        <w:rPr>
          <w:color w:val="231F20"/>
          <w:spacing w:val="-6"/>
          <w:sz w:val="24"/>
        </w:rPr>
        <w:t xml:space="preserve"> </w:t>
      </w:r>
      <w:r>
        <w:rPr>
          <w:color w:val="231F20"/>
          <w:sz w:val="24"/>
        </w:rPr>
        <w:t>and</w:t>
      </w:r>
      <w:r>
        <w:rPr>
          <w:color w:val="231F20"/>
          <w:spacing w:val="-7"/>
          <w:sz w:val="24"/>
        </w:rPr>
        <w:t xml:space="preserve"> </w:t>
      </w:r>
      <w:r>
        <w:rPr>
          <w:color w:val="231F20"/>
          <w:sz w:val="24"/>
        </w:rPr>
        <w:t>access</w:t>
      </w:r>
      <w:r>
        <w:rPr>
          <w:color w:val="231F20"/>
          <w:spacing w:val="-6"/>
          <w:sz w:val="24"/>
        </w:rPr>
        <w:t xml:space="preserve"> </w:t>
      </w:r>
      <w:r>
        <w:rPr>
          <w:color w:val="231F20"/>
          <w:sz w:val="24"/>
        </w:rPr>
        <w:t>to the</w:t>
      </w:r>
      <w:r>
        <w:rPr>
          <w:color w:val="231F20"/>
          <w:spacing w:val="-11"/>
          <w:sz w:val="24"/>
        </w:rPr>
        <w:t xml:space="preserve"> </w:t>
      </w:r>
      <w:r>
        <w:rPr>
          <w:color w:val="231F20"/>
          <w:sz w:val="24"/>
        </w:rPr>
        <w:t>Childcare,</w:t>
      </w:r>
      <w:r>
        <w:rPr>
          <w:color w:val="231F20"/>
          <w:spacing w:val="-11"/>
          <w:sz w:val="24"/>
        </w:rPr>
        <w:t xml:space="preserve"> </w:t>
      </w:r>
      <w:r>
        <w:rPr>
          <w:color w:val="231F20"/>
          <w:sz w:val="24"/>
        </w:rPr>
        <w:t>Parenting</w:t>
      </w:r>
      <w:r>
        <w:rPr>
          <w:color w:val="231F20"/>
          <w:spacing w:val="-11"/>
          <w:sz w:val="24"/>
        </w:rPr>
        <w:t xml:space="preserve"> </w:t>
      </w:r>
      <w:r>
        <w:rPr>
          <w:color w:val="231F20"/>
          <w:sz w:val="24"/>
        </w:rPr>
        <w:t>and</w:t>
      </w:r>
      <w:r>
        <w:rPr>
          <w:color w:val="231F20"/>
          <w:spacing w:val="-11"/>
          <w:sz w:val="24"/>
        </w:rPr>
        <w:t xml:space="preserve"> </w:t>
      </w:r>
      <w:r>
        <w:rPr>
          <w:color w:val="231F20"/>
          <w:sz w:val="24"/>
        </w:rPr>
        <w:t>Eldercare</w:t>
      </w:r>
      <w:r>
        <w:rPr>
          <w:color w:val="231F20"/>
          <w:spacing w:val="-11"/>
          <w:sz w:val="24"/>
        </w:rPr>
        <w:t xml:space="preserve"> </w:t>
      </w:r>
      <w:r>
        <w:rPr>
          <w:color w:val="231F20"/>
          <w:sz w:val="24"/>
        </w:rPr>
        <w:t>information</w:t>
      </w:r>
      <w:r>
        <w:rPr>
          <w:color w:val="231F20"/>
          <w:spacing w:val="-11"/>
          <w:sz w:val="24"/>
        </w:rPr>
        <w:t xml:space="preserve"> </w:t>
      </w:r>
      <w:r>
        <w:rPr>
          <w:color w:val="231F20"/>
          <w:sz w:val="24"/>
        </w:rPr>
        <w:t>kits.</w:t>
      </w:r>
      <w:r>
        <w:rPr>
          <w:color w:val="231F20"/>
          <w:spacing w:val="-11"/>
          <w:sz w:val="24"/>
        </w:rPr>
        <w:t xml:space="preserve"> </w:t>
      </w:r>
      <w:r>
        <w:rPr>
          <w:color w:val="231F20"/>
          <w:sz w:val="24"/>
        </w:rPr>
        <w:t>Each</w:t>
      </w:r>
      <w:r>
        <w:rPr>
          <w:color w:val="231F20"/>
          <w:spacing w:val="-11"/>
          <w:sz w:val="24"/>
        </w:rPr>
        <w:t xml:space="preserve"> </w:t>
      </w:r>
      <w:r>
        <w:rPr>
          <w:color w:val="231F20"/>
          <w:sz w:val="24"/>
        </w:rPr>
        <w:t>kit</w:t>
      </w:r>
      <w:r>
        <w:rPr>
          <w:color w:val="231F20"/>
          <w:spacing w:val="-11"/>
          <w:sz w:val="24"/>
        </w:rPr>
        <w:t xml:space="preserve"> </w:t>
      </w:r>
      <w:r>
        <w:rPr>
          <w:color w:val="231F20"/>
          <w:sz w:val="24"/>
        </w:rPr>
        <w:t>contains</w:t>
      </w:r>
      <w:r>
        <w:rPr>
          <w:color w:val="231F20"/>
          <w:spacing w:val="-11"/>
          <w:sz w:val="24"/>
        </w:rPr>
        <w:t xml:space="preserve"> </w:t>
      </w:r>
      <w:r>
        <w:rPr>
          <w:color w:val="231F20"/>
          <w:sz w:val="24"/>
        </w:rPr>
        <w:t>specific</w:t>
      </w:r>
      <w:r>
        <w:rPr>
          <w:color w:val="231F20"/>
          <w:spacing w:val="-11"/>
          <w:sz w:val="24"/>
        </w:rPr>
        <w:t xml:space="preserve"> </w:t>
      </w:r>
      <w:r>
        <w:rPr>
          <w:color w:val="231F20"/>
          <w:sz w:val="24"/>
        </w:rPr>
        <w:t>information tailored to the needs and responsibilities of the carer and provides practical guidance and further resources to help manage carer responsibilities and work.</w:t>
      </w:r>
    </w:p>
    <w:p w14:paraId="28FA5860" w14:textId="77777777" w:rsidR="00345EE3" w:rsidRDefault="00345EE3" w:rsidP="00E97908">
      <w:pPr>
        <w:spacing w:before="217"/>
        <w:rPr>
          <w:sz w:val="32"/>
        </w:rPr>
      </w:pPr>
      <w:r>
        <w:rPr>
          <w:color w:val="00529F"/>
          <w:spacing w:val="-8"/>
          <w:sz w:val="32"/>
        </w:rPr>
        <w:t>Compliance</w:t>
      </w:r>
      <w:r>
        <w:rPr>
          <w:color w:val="00529F"/>
          <w:spacing w:val="-16"/>
          <w:sz w:val="32"/>
        </w:rPr>
        <w:t xml:space="preserve"> </w:t>
      </w:r>
      <w:r>
        <w:rPr>
          <w:color w:val="00529F"/>
          <w:spacing w:val="-8"/>
          <w:sz w:val="32"/>
        </w:rPr>
        <w:t>with</w:t>
      </w:r>
      <w:r>
        <w:rPr>
          <w:color w:val="00529F"/>
          <w:spacing w:val="-16"/>
          <w:sz w:val="32"/>
        </w:rPr>
        <w:t xml:space="preserve"> </w:t>
      </w:r>
      <w:r>
        <w:rPr>
          <w:color w:val="00529F"/>
          <w:spacing w:val="-8"/>
          <w:sz w:val="32"/>
        </w:rPr>
        <w:t>the</w:t>
      </w:r>
      <w:r>
        <w:rPr>
          <w:color w:val="00529F"/>
          <w:spacing w:val="-15"/>
          <w:sz w:val="32"/>
        </w:rPr>
        <w:t xml:space="preserve"> </w:t>
      </w:r>
      <w:r>
        <w:rPr>
          <w:i/>
          <w:color w:val="00529F"/>
          <w:spacing w:val="-8"/>
          <w:sz w:val="32"/>
        </w:rPr>
        <w:t>Disability</w:t>
      </w:r>
      <w:r>
        <w:rPr>
          <w:i/>
          <w:color w:val="00529F"/>
          <w:spacing w:val="-16"/>
          <w:sz w:val="32"/>
        </w:rPr>
        <w:t xml:space="preserve"> </w:t>
      </w:r>
      <w:r>
        <w:rPr>
          <w:i/>
          <w:color w:val="00529F"/>
          <w:spacing w:val="-8"/>
          <w:sz w:val="32"/>
        </w:rPr>
        <w:t>Act</w:t>
      </w:r>
      <w:r>
        <w:rPr>
          <w:i/>
          <w:color w:val="00529F"/>
          <w:spacing w:val="-15"/>
          <w:sz w:val="32"/>
        </w:rPr>
        <w:t xml:space="preserve"> </w:t>
      </w:r>
      <w:r>
        <w:rPr>
          <w:color w:val="00529F"/>
          <w:spacing w:val="-8"/>
          <w:sz w:val="32"/>
        </w:rPr>
        <w:t>2006</w:t>
      </w:r>
    </w:p>
    <w:p w14:paraId="271D3457" w14:textId="77777777" w:rsidR="00345EE3" w:rsidRDefault="00345EE3" w:rsidP="00345EE3">
      <w:pPr>
        <w:pStyle w:val="BodyText"/>
        <w:spacing w:before="72" w:line="242" w:lineRule="auto"/>
        <w:ind w:right="921"/>
      </w:pPr>
      <w:r>
        <w:rPr>
          <w:color w:val="231F20"/>
        </w:rPr>
        <w:t>Victoria Police acknowledges that people with disability face significant barriers in their access to</w:t>
      </w:r>
      <w:r>
        <w:rPr>
          <w:color w:val="231F20"/>
          <w:spacing w:val="-9"/>
        </w:rPr>
        <w:t xml:space="preserve"> </w:t>
      </w:r>
      <w:r>
        <w:rPr>
          <w:color w:val="231F20"/>
        </w:rPr>
        <w:t>justice</w:t>
      </w:r>
      <w:r>
        <w:rPr>
          <w:color w:val="231F20"/>
          <w:spacing w:val="-9"/>
        </w:rPr>
        <w:t xml:space="preserve"> </w:t>
      </w:r>
      <w:r>
        <w:rPr>
          <w:color w:val="231F20"/>
        </w:rPr>
        <w:t>and</w:t>
      </w:r>
      <w:r>
        <w:rPr>
          <w:color w:val="231F20"/>
          <w:spacing w:val="-9"/>
        </w:rPr>
        <w:t xml:space="preserve"> </w:t>
      </w:r>
      <w:r>
        <w:rPr>
          <w:color w:val="231F20"/>
        </w:rPr>
        <w:t>often</w:t>
      </w:r>
      <w:r>
        <w:rPr>
          <w:color w:val="231F20"/>
          <w:spacing w:val="-9"/>
        </w:rPr>
        <w:t xml:space="preserve"> </w:t>
      </w:r>
      <w:r>
        <w:rPr>
          <w:color w:val="231F20"/>
        </w:rPr>
        <w:t>experience</w:t>
      </w:r>
      <w:r>
        <w:rPr>
          <w:color w:val="231F20"/>
          <w:spacing w:val="-9"/>
        </w:rPr>
        <w:t xml:space="preserve"> </w:t>
      </w:r>
      <w:r>
        <w:rPr>
          <w:color w:val="231F20"/>
        </w:rPr>
        <w:t>discrimination</w:t>
      </w:r>
      <w:r>
        <w:rPr>
          <w:color w:val="231F20"/>
          <w:spacing w:val="-9"/>
        </w:rPr>
        <w:t xml:space="preserve"> </w:t>
      </w:r>
      <w:r>
        <w:rPr>
          <w:color w:val="231F20"/>
        </w:rPr>
        <w:t>and</w:t>
      </w:r>
      <w:r>
        <w:rPr>
          <w:color w:val="231F20"/>
          <w:spacing w:val="-9"/>
        </w:rPr>
        <w:t xml:space="preserve"> </w:t>
      </w:r>
      <w:r>
        <w:rPr>
          <w:color w:val="231F20"/>
        </w:rPr>
        <w:t>harm.</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is</w:t>
      </w:r>
      <w:r>
        <w:rPr>
          <w:color w:val="231F20"/>
          <w:spacing w:val="-8"/>
        </w:rPr>
        <w:t xml:space="preserve"> </w:t>
      </w:r>
      <w:r>
        <w:rPr>
          <w:color w:val="231F20"/>
        </w:rPr>
        <w:t>dedicated</w:t>
      </w:r>
      <w:r>
        <w:rPr>
          <w:color w:val="231F20"/>
          <w:spacing w:val="-9"/>
        </w:rPr>
        <w:t xml:space="preserve"> </w:t>
      </w:r>
      <w:r>
        <w:rPr>
          <w:color w:val="231F20"/>
        </w:rPr>
        <w:t>to</w:t>
      </w:r>
      <w:r>
        <w:rPr>
          <w:color w:val="231F20"/>
          <w:spacing w:val="-9"/>
        </w:rPr>
        <w:t xml:space="preserve"> </w:t>
      </w:r>
      <w:r>
        <w:rPr>
          <w:color w:val="231F20"/>
        </w:rPr>
        <w:t>ensuring that it is an organisation that is inclusive and accessible to the Victorian community.</w:t>
      </w:r>
    </w:p>
    <w:p w14:paraId="266DC2CD" w14:textId="77777777" w:rsidR="00345EE3" w:rsidRDefault="00345EE3" w:rsidP="00345EE3">
      <w:pPr>
        <w:pStyle w:val="BodyText"/>
        <w:spacing w:before="117" w:line="242" w:lineRule="auto"/>
        <w:ind w:right="921"/>
      </w:pPr>
      <w:r>
        <w:rPr>
          <w:color w:val="231F20"/>
          <w:spacing w:val="-2"/>
        </w:rPr>
        <w:t xml:space="preserve">The </w:t>
      </w:r>
      <w:r>
        <w:rPr>
          <w:i/>
          <w:color w:val="231F20"/>
          <w:spacing w:val="-2"/>
        </w:rPr>
        <w:t>Victoria</w:t>
      </w:r>
      <w:r>
        <w:rPr>
          <w:i/>
          <w:color w:val="231F20"/>
          <w:spacing w:val="-9"/>
        </w:rPr>
        <w:t xml:space="preserve"> </w:t>
      </w:r>
      <w:r>
        <w:rPr>
          <w:i/>
          <w:color w:val="231F20"/>
          <w:spacing w:val="-2"/>
        </w:rPr>
        <w:t>Police</w:t>
      </w:r>
      <w:r>
        <w:rPr>
          <w:i/>
          <w:color w:val="231F20"/>
          <w:spacing w:val="-9"/>
        </w:rPr>
        <w:t xml:space="preserve"> </w:t>
      </w:r>
      <w:r>
        <w:rPr>
          <w:i/>
          <w:color w:val="231F20"/>
          <w:spacing w:val="-2"/>
        </w:rPr>
        <w:t>Accessibility</w:t>
      </w:r>
      <w:r>
        <w:rPr>
          <w:i/>
          <w:color w:val="231F20"/>
          <w:spacing w:val="-9"/>
        </w:rPr>
        <w:t xml:space="preserve"> </w:t>
      </w:r>
      <w:r>
        <w:rPr>
          <w:i/>
          <w:color w:val="231F20"/>
          <w:spacing w:val="-2"/>
        </w:rPr>
        <w:t>Action</w:t>
      </w:r>
      <w:r>
        <w:rPr>
          <w:i/>
          <w:color w:val="231F20"/>
          <w:spacing w:val="-9"/>
        </w:rPr>
        <w:t xml:space="preserve"> </w:t>
      </w:r>
      <w:r>
        <w:rPr>
          <w:i/>
          <w:color w:val="231F20"/>
          <w:spacing w:val="-2"/>
        </w:rPr>
        <w:t>Plan</w:t>
      </w:r>
      <w:r>
        <w:rPr>
          <w:i/>
          <w:color w:val="231F20"/>
          <w:spacing w:val="-9"/>
        </w:rPr>
        <w:t xml:space="preserve"> </w:t>
      </w:r>
      <w:r>
        <w:rPr>
          <w:i/>
          <w:color w:val="231F20"/>
          <w:spacing w:val="-2"/>
        </w:rPr>
        <w:t>2021–23</w:t>
      </w:r>
      <w:r>
        <w:rPr>
          <w:color w:val="231F20"/>
          <w:spacing w:val="-2"/>
        </w:rPr>
        <w:t xml:space="preserve">, highlights Victoria Police’s commitment to </w:t>
      </w:r>
      <w:r>
        <w:rPr>
          <w:color w:val="231F20"/>
        </w:rPr>
        <w:t>equality of access to policing services for people with disability in the community. The actions within</w:t>
      </w:r>
      <w:r>
        <w:rPr>
          <w:color w:val="231F20"/>
          <w:spacing w:val="-8"/>
        </w:rPr>
        <w:t xml:space="preserve"> </w:t>
      </w:r>
      <w:r>
        <w:rPr>
          <w:color w:val="231F20"/>
        </w:rPr>
        <w:t>the</w:t>
      </w:r>
      <w:r>
        <w:rPr>
          <w:color w:val="231F20"/>
          <w:spacing w:val="-8"/>
        </w:rPr>
        <w:t xml:space="preserve"> </w:t>
      </w:r>
      <w:r>
        <w:rPr>
          <w:color w:val="231F20"/>
        </w:rPr>
        <w:t>plan</w:t>
      </w:r>
      <w:r>
        <w:rPr>
          <w:color w:val="231F20"/>
          <w:spacing w:val="-8"/>
        </w:rPr>
        <w:t xml:space="preserve"> </w:t>
      </w:r>
      <w:r>
        <w:rPr>
          <w:color w:val="231F20"/>
        </w:rPr>
        <w:t>aim</w:t>
      </w:r>
      <w:r>
        <w:rPr>
          <w:color w:val="231F20"/>
          <w:spacing w:val="-7"/>
        </w:rPr>
        <w:t xml:space="preserve"> </w:t>
      </w:r>
      <w:r>
        <w:rPr>
          <w:color w:val="231F20"/>
        </w:rPr>
        <w:t>to</w:t>
      </w:r>
      <w:r>
        <w:rPr>
          <w:color w:val="231F20"/>
          <w:spacing w:val="-8"/>
        </w:rPr>
        <w:t xml:space="preserve"> </w:t>
      </w:r>
      <w:r>
        <w:rPr>
          <w:color w:val="231F20"/>
        </w:rPr>
        <w:t>improve</w:t>
      </w:r>
      <w:r>
        <w:rPr>
          <w:color w:val="231F20"/>
          <w:spacing w:val="-8"/>
        </w:rPr>
        <w:t xml:space="preserve"> </w:t>
      </w:r>
      <w:r>
        <w:rPr>
          <w:color w:val="231F20"/>
        </w:rPr>
        <w:t>accessibility</w:t>
      </w:r>
      <w:r>
        <w:rPr>
          <w:color w:val="231F20"/>
          <w:spacing w:val="-7"/>
        </w:rPr>
        <w:t xml:space="preserve"> </w:t>
      </w:r>
      <w:r>
        <w:rPr>
          <w:color w:val="231F20"/>
        </w:rPr>
        <w:t>and</w:t>
      </w:r>
      <w:r>
        <w:rPr>
          <w:color w:val="231F20"/>
          <w:spacing w:val="-8"/>
        </w:rPr>
        <w:t xml:space="preserve"> </w:t>
      </w:r>
      <w:r>
        <w:rPr>
          <w:color w:val="231F20"/>
        </w:rPr>
        <w:t>equitability</w:t>
      </w:r>
      <w:r>
        <w:rPr>
          <w:color w:val="231F20"/>
          <w:spacing w:val="-7"/>
        </w:rPr>
        <w:t xml:space="preserve"> </w:t>
      </w:r>
      <w:r>
        <w:rPr>
          <w:color w:val="231F20"/>
        </w:rPr>
        <w:t>of</w:t>
      </w:r>
      <w:r>
        <w:rPr>
          <w:color w:val="231F20"/>
          <w:spacing w:val="-7"/>
        </w:rPr>
        <w:t xml:space="preserve"> </w:t>
      </w:r>
      <w:r>
        <w:rPr>
          <w:color w:val="231F20"/>
        </w:rPr>
        <w:t>police</w:t>
      </w:r>
      <w:r>
        <w:rPr>
          <w:color w:val="231F20"/>
          <w:spacing w:val="-8"/>
        </w:rPr>
        <w:t xml:space="preserve"> </w:t>
      </w:r>
      <w:r>
        <w:rPr>
          <w:color w:val="231F20"/>
        </w:rPr>
        <w:t>services</w:t>
      </w:r>
      <w:r>
        <w:rPr>
          <w:color w:val="231F20"/>
          <w:spacing w:val="-7"/>
        </w:rPr>
        <w:t xml:space="preserve"> </w:t>
      </w:r>
      <w:r>
        <w:rPr>
          <w:color w:val="231F20"/>
        </w:rPr>
        <w:t>and</w:t>
      </w:r>
      <w:r>
        <w:rPr>
          <w:color w:val="231F20"/>
          <w:spacing w:val="-8"/>
        </w:rPr>
        <w:t xml:space="preserve"> </w:t>
      </w:r>
      <w:r>
        <w:rPr>
          <w:color w:val="231F20"/>
        </w:rPr>
        <w:t>to</w:t>
      </w:r>
      <w:r>
        <w:rPr>
          <w:color w:val="231F20"/>
          <w:spacing w:val="-8"/>
        </w:rPr>
        <w:t xml:space="preserve"> </w:t>
      </w:r>
      <w:r>
        <w:rPr>
          <w:color w:val="231F20"/>
        </w:rPr>
        <w:t>ensure</w:t>
      </w:r>
      <w:r>
        <w:rPr>
          <w:color w:val="231F20"/>
          <w:spacing w:val="-8"/>
        </w:rPr>
        <w:t xml:space="preserve"> </w:t>
      </w:r>
      <w:r>
        <w:rPr>
          <w:color w:val="231F20"/>
        </w:rPr>
        <w:t>that police</w:t>
      </w:r>
      <w:r>
        <w:rPr>
          <w:color w:val="231F20"/>
          <w:spacing w:val="-4"/>
        </w:rPr>
        <w:t xml:space="preserve"> </w:t>
      </w:r>
      <w:r>
        <w:rPr>
          <w:color w:val="231F20"/>
        </w:rPr>
        <w:t>have</w:t>
      </w:r>
      <w:r>
        <w:rPr>
          <w:color w:val="231F20"/>
          <w:spacing w:val="-4"/>
        </w:rPr>
        <w:t xml:space="preserve"> </w:t>
      </w:r>
      <w:r>
        <w:rPr>
          <w:color w:val="231F20"/>
        </w:rPr>
        <w:t>the</w:t>
      </w:r>
      <w:r>
        <w:rPr>
          <w:color w:val="231F20"/>
          <w:spacing w:val="-4"/>
        </w:rPr>
        <w:t xml:space="preserve"> </w:t>
      </w:r>
      <w:r>
        <w:rPr>
          <w:color w:val="231F20"/>
        </w:rPr>
        <w:t>right</w:t>
      </w:r>
      <w:r>
        <w:rPr>
          <w:color w:val="231F20"/>
          <w:spacing w:val="-3"/>
        </w:rPr>
        <w:t xml:space="preserve"> </w:t>
      </w:r>
      <w:r>
        <w:rPr>
          <w:color w:val="231F20"/>
        </w:rPr>
        <w:t>knowledge</w:t>
      </w:r>
      <w:r>
        <w:rPr>
          <w:color w:val="231F20"/>
          <w:spacing w:val="-4"/>
        </w:rPr>
        <w:t xml:space="preserve"> </w:t>
      </w:r>
      <w:r>
        <w:rPr>
          <w:color w:val="231F20"/>
        </w:rPr>
        <w:t>and</w:t>
      </w:r>
      <w:r>
        <w:rPr>
          <w:color w:val="231F20"/>
          <w:spacing w:val="-4"/>
        </w:rPr>
        <w:t xml:space="preserve"> </w:t>
      </w:r>
      <w:r>
        <w:rPr>
          <w:color w:val="231F20"/>
        </w:rPr>
        <w:t>capability</w:t>
      </w:r>
      <w:r>
        <w:rPr>
          <w:color w:val="231F20"/>
          <w:spacing w:val="-3"/>
        </w:rPr>
        <w:t xml:space="preserve"> </w:t>
      </w:r>
      <w:r>
        <w:rPr>
          <w:color w:val="231F20"/>
        </w:rPr>
        <w:t>to</w:t>
      </w:r>
      <w:r>
        <w:rPr>
          <w:color w:val="231F20"/>
          <w:spacing w:val="-4"/>
        </w:rPr>
        <w:t xml:space="preserve"> </w:t>
      </w:r>
      <w:r>
        <w:rPr>
          <w:color w:val="231F20"/>
        </w:rPr>
        <w:t>serve</w:t>
      </w:r>
      <w:r>
        <w:rPr>
          <w:color w:val="231F20"/>
          <w:spacing w:val="-4"/>
        </w:rPr>
        <w:t xml:space="preserve"> </w:t>
      </w:r>
      <w:r>
        <w:rPr>
          <w:color w:val="231F20"/>
        </w:rPr>
        <w:t>people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community</w:t>
      </w:r>
      <w:r>
        <w:rPr>
          <w:color w:val="231F20"/>
          <w:spacing w:val="-3"/>
        </w:rPr>
        <w:t xml:space="preserve"> </w:t>
      </w:r>
      <w:r>
        <w:rPr>
          <w:color w:val="231F20"/>
        </w:rPr>
        <w:t>with</w:t>
      </w:r>
      <w:r>
        <w:rPr>
          <w:color w:val="231F20"/>
          <w:spacing w:val="-4"/>
        </w:rPr>
        <w:t xml:space="preserve"> </w:t>
      </w:r>
      <w:r>
        <w:rPr>
          <w:color w:val="231F20"/>
        </w:rPr>
        <w:t>disability. Victoria Police has achieved the following in line with the plan’s goals:</w:t>
      </w:r>
    </w:p>
    <w:p w14:paraId="5BD6FA1A" w14:textId="77777777" w:rsidR="00345EE3" w:rsidRDefault="00345EE3">
      <w:pPr>
        <w:pStyle w:val="ListParagraph"/>
        <w:numPr>
          <w:ilvl w:val="1"/>
          <w:numId w:val="82"/>
        </w:numPr>
        <w:tabs>
          <w:tab w:val="left" w:pos="393"/>
          <w:tab w:val="left" w:pos="394"/>
        </w:tabs>
        <w:spacing w:before="35" w:line="242" w:lineRule="auto"/>
        <w:ind w:left="393" w:right="914" w:hanging="284"/>
        <w:rPr>
          <w:color w:val="3D68AD"/>
          <w:sz w:val="14"/>
        </w:rPr>
      </w:pPr>
      <w:r>
        <w:rPr>
          <w:color w:val="231F20"/>
          <w:sz w:val="24"/>
        </w:rPr>
        <w:t>In partnership with Scope Australia, Box Hill, Geelong and Preston Police Stations received accreditation</w:t>
      </w:r>
      <w:r>
        <w:rPr>
          <w:color w:val="231F20"/>
          <w:spacing w:val="-11"/>
          <w:sz w:val="24"/>
        </w:rPr>
        <w:t xml:space="preserve"> </w:t>
      </w:r>
      <w:r>
        <w:rPr>
          <w:color w:val="231F20"/>
          <w:sz w:val="24"/>
        </w:rPr>
        <w:t>with</w:t>
      </w:r>
      <w:r>
        <w:rPr>
          <w:color w:val="231F20"/>
          <w:spacing w:val="-11"/>
          <w:sz w:val="24"/>
        </w:rPr>
        <w:t xml:space="preserve"> </w:t>
      </w:r>
      <w:r>
        <w:rPr>
          <w:color w:val="231F20"/>
          <w:sz w:val="24"/>
        </w:rPr>
        <w:t>the</w:t>
      </w:r>
      <w:r>
        <w:rPr>
          <w:color w:val="231F20"/>
          <w:spacing w:val="-11"/>
          <w:sz w:val="24"/>
        </w:rPr>
        <w:t xml:space="preserve"> </w:t>
      </w:r>
      <w:r>
        <w:rPr>
          <w:color w:val="231F20"/>
          <w:sz w:val="24"/>
        </w:rPr>
        <w:t>Communication</w:t>
      </w:r>
      <w:r>
        <w:rPr>
          <w:color w:val="231F20"/>
          <w:spacing w:val="-11"/>
          <w:sz w:val="24"/>
        </w:rPr>
        <w:t xml:space="preserve"> </w:t>
      </w:r>
      <w:r>
        <w:rPr>
          <w:color w:val="231F20"/>
          <w:sz w:val="24"/>
        </w:rPr>
        <w:t>Access</w:t>
      </w:r>
      <w:r>
        <w:rPr>
          <w:color w:val="231F20"/>
          <w:spacing w:val="-10"/>
          <w:sz w:val="24"/>
        </w:rPr>
        <w:t xml:space="preserve"> </w:t>
      </w:r>
      <w:r>
        <w:rPr>
          <w:color w:val="231F20"/>
          <w:sz w:val="24"/>
        </w:rPr>
        <w:t>Symbol.</w:t>
      </w:r>
      <w:r>
        <w:rPr>
          <w:color w:val="231F20"/>
          <w:spacing w:val="-10"/>
          <w:sz w:val="24"/>
        </w:rPr>
        <w:t xml:space="preserve"> </w:t>
      </w:r>
      <w:r>
        <w:rPr>
          <w:color w:val="231F20"/>
          <w:sz w:val="24"/>
        </w:rPr>
        <w:t>This</w:t>
      </w:r>
      <w:r>
        <w:rPr>
          <w:color w:val="231F20"/>
          <w:spacing w:val="-10"/>
          <w:sz w:val="24"/>
        </w:rPr>
        <w:t xml:space="preserve"> </w:t>
      </w:r>
      <w:r>
        <w:rPr>
          <w:color w:val="231F20"/>
          <w:sz w:val="24"/>
        </w:rPr>
        <w:t>accreditation</w:t>
      </w:r>
      <w:r>
        <w:rPr>
          <w:color w:val="231F20"/>
          <w:spacing w:val="-11"/>
          <w:sz w:val="24"/>
        </w:rPr>
        <w:t xml:space="preserve"> </w:t>
      </w:r>
      <w:r>
        <w:rPr>
          <w:color w:val="231F20"/>
          <w:sz w:val="24"/>
        </w:rPr>
        <w:t>provides</w:t>
      </w:r>
      <w:r>
        <w:rPr>
          <w:color w:val="231F20"/>
          <w:spacing w:val="-10"/>
          <w:sz w:val="24"/>
        </w:rPr>
        <w:t xml:space="preserve"> </w:t>
      </w:r>
      <w:r>
        <w:rPr>
          <w:color w:val="231F20"/>
          <w:sz w:val="24"/>
        </w:rPr>
        <w:t>confidence to members of the public with communication disability that when they engage with police from that station, they will receive an accessible service.</w:t>
      </w:r>
    </w:p>
    <w:p w14:paraId="6145AA29" w14:textId="77777777" w:rsidR="00345EE3" w:rsidRDefault="00345EE3">
      <w:pPr>
        <w:pStyle w:val="ListParagraph"/>
        <w:numPr>
          <w:ilvl w:val="1"/>
          <w:numId w:val="82"/>
        </w:numPr>
        <w:tabs>
          <w:tab w:val="left" w:pos="393"/>
          <w:tab w:val="left" w:pos="394"/>
        </w:tabs>
        <w:spacing w:before="33" w:line="242" w:lineRule="auto"/>
        <w:ind w:left="393" w:right="2048" w:hanging="284"/>
        <w:rPr>
          <w:color w:val="3D68AD"/>
          <w:sz w:val="14"/>
        </w:rPr>
      </w:pPr>
      <w:r>
        <w:rPr>
          <w:color w:val="231F20"/>
          <w:sz w:val="24"/>
        </w:rPr>
        <w:t>The</w:t>
      </w:r>
      <w:r>
        <w:rPr>
          <w:color w:val="231F20"/>
          <w:spacing w:val="-11"/>
          <w:sz w:val="24"/>
        </w:rPr>
        <w:t xml:space="preserve"> </w:t>
      </w:r>
      <w:r>
        <w:rPr>
          <w:color w:val="231F20"/>
          <w:sz w:val="24"/>
        </w:rPr>
        <w:t>Victoria</w:t>
      </w:r>
      <w:r>
        <w:rPr>
          <w:color w:val="231F20"/>
          <w:spacing w:val="-11"/>
          <w:sz w:val="24"/>
        </w:rPr>
        <w:t xml:space="preserve"> </w:t>
      </w:r>
      <w:r>
        <w:rPr>
          <w:color w:val="231F20"/>
          <w:sz w:val="24"/>
        </w:rPr>
        <w:t>Police</w:t>
      </w:r>
      <w:r>
        <w:rPr>
          <w:color w:val="231F20"/>
          <w:spacing w:val="-11"/>
          <w:sz w:val="24"/>
        </w:rPr>
        <w:t xml:space="preserve"> </w:t>
      </w:r>
      <w:r>
        <w:rPr>
          <w:color w:val="231F20"/>
          <w:sz w:val="24"/>
        </w:rPr>
        <w:t>Accessible</w:t>
      </w:r>
      <w:r>
        <w:rPr>
          <w:color w:val="231F20"/>
          <w:spacing w:val="-11"/>
          <w:sz w:val="24"/>
        </w:rPr>
        <w:t xml:space="preserve"> </w:t>
      </w:r>
      <w:r>
        <w:rPr>
          <w:color w:val="231F20"/>
          <w:sz w:val="24"/>
        </w:rPr>
        <w:t>Events</w:t>
      </w:r>
      <w:r>
        <w:rPr>
          <w:color w:val="231F20"/>
          <w:spacing w:val="-11"/>
          <w:sz w:val="24"/>
        </w:rPr>
        <w:t xml:space="preserve"> </w:t>
      </w:r>
      <w:r>
        <w:rPr>
          <w:color w:val="231F20"/>
          <w:sz w:val="24"/>
        </w:rPr>
        <w:t>Guide</w:t>
      </w:r>
      <w:r>
        <w:rPr>
          <w:color w:val="231F20"/>
          <w:spacing w:val="-11"/>
          <w:sz w:val="24"/>
        </w:rPr>
        <w:t xml:space="preserve"> </w:t>
      </w:r>
      <w:r>
        <w:rPr>
          <w:color w:val="231F20"/>
          <w:sz w:val="24"/>
        </w:rPr>
        <w:t>ensures</w:t>
      </w:r>
      <w:r>
        <w:rPr>
          <w:color w:val="231F20"/>
          <w:spacing w:val="-11"/>
          <w:sz w:val="24"/>
        </w:rPr>
        <w:t xml:space="preserve"> </w:t>
      </w:r>
      <w:r>
        <w:rPr>
          <w:color w:val="231F20"/>
          <w:sz w:val="24"/>
        </w:rPr>
        <w:t>that</w:t>
      </w:r>
      <w:r>
        <w:rPr>
          <w:color w:val="231F20"/>
          <w:spacing w:val="-11"/>
          <w:sz w:val="24"/>
        </w:rPr>
        <w:t xml:space="preserve"> </w:t>
      </w:r>
      <w:r>
        <w:rPr>
          <w:color w:val="231F20"/>
          <w:sz w:val="24"/>
        </w:rPr>
        <w:t>meetings</w:t>
      </w:r>
      <w:r>
        <w:rPr>
          <w:color w:val="231F20"/>
          <w:spacing w:val="-11"/>
          <w:sz w:val="24"/>
        </w:rPr>
        <w:t xml:space="preserve"> </w:t>
      </w:r>
      <w:r>
        <w:rPr>
          <w:color w:val="231F20"/>
          <w:sz w:val="24"/>
        </w:rPr>
        <w:t>and</w:t>
      </w:r>
      <w:r>
        <w:rPr>
          <w:color w:val="231F20"/>
          <w:spacing w:val="-11"/>
          <w:sz w:val="24"/>
        </w:rPr>
        <w:t xml:space="preserve"> </w:t>
      </w:r>
      <w:r>
        <w:rPr>
          <w:color w:val="231F20"/>
          <w:sz w:val="24"/>
        </w:rPr>
        <w:t>events</w:t>
      </w:r>
      <w:r>
        <w:rPr>
          <w:color w:val="231F20"/>
          <w:spacing w:val="-11"/>
          <w:sz w:val="24"/>
        </w:rPr>
        <w:t xml:space="preserve"> </w:t>
      </w:r>
      <w:r>
        <w:rPr>
          <w:color w:val="231F20"/>
          <w:sz w:val="24"/>
        </w:rPr>
        <w:t>are accessible, both in person and virtually.</w:t>
      </w:r>
    </w:p>
    <w:p w14:paraId="489DC441" w14:textId="77777777" w:rsidR="00345EE3" w:rsidRDefault="00345EE3">
      <w:pPr>
        <w:pStyle w:val="ListParagraph"/>
        <w:numPr>
          <w:ilvl w:val="1"/>
          <w:numId w:val="82"/>
        </w:numPr>
        <w:tabs>
          <w:tab w:val="left" w:pos="393"/>
          <w:tab w:val="left" w:pos="394"/>
        </w:tabs>
        <w:spacing w:before="31" w:line="242" w:lineRule="auto"/>
        <w:ind w:left="393" w:right="1351" w:hanging="284"/>
        <w:rPr>
          <w:color w:val="3D68AD"/>
          <w:sz w:val="14"/>
        </w:rPr>
      </w:pPr>
      <w:r>
        <w:rPr>
          <w:color w:val="231F20"/>
          <w:sz w:val="24"/>
        </w:rPr>
        <w:t>Introduced</w:t>
      </w:r>
      <w:r>
        <w:rPr>
          <w:color w:val="231F20"/>
          <w:spacing w:val="-10"/>
          <w:sz w:val="24"/>
        </w:rPr>
        <w:t xml:space="preserve"> </w:t>
      </w:r>
      <w:r>
        <w:rPr>
          <w:color w:val="231F20"/>
          <w:sz w:val="24"/>
        </w:rPr>
        <w:t>disability</w:t>
      </w:r>
      <w:r>
        <w:rPr>
          <w:color w:val="231F20"/>
          <w:spacing w:val="-9"/>
          <w:sz w:val="24"/>
        </w:rPr>
        <w:t xml:space="preserve"> </w:t>
      </w:r>
      <w:r>
        <w:rPr>
          <w:color w:val="231F20"/>
          <w:sz w:val="24"/>
        </w:rPr>
        <w:t>resources</w:t>
      </w:r>
      <w:r>
        <w:rPr>
          <w:color w:val="231F20"/>
          <w:spacing w:val="-9"/>
          <w:sz w:val="24"/>
        </w:rPr>
        <w:t xml:space="preserve"> </w:t>
      </w:r>
      <w:r>
        <w:rPr>
          <w:color w:val="231F20"/>
          <w:sz w:val="24"/>
        </w:rPr>
        <w:t>for</w:t>
      </w:r>
      <w:r>
        <w:rPr>
          <w:color w:val="231F20"/>
          <w:spacing w:val="-9"/>
          <w:sz w:val="24"/>
        </w:rPr>
        <w:t xml:space="preserve"> </w:t>
      </w:r>
      <w:r>
        <w:rPr>
          <w:color w:val="231F20"/>
          <w:sz w:val="24"/>
        </w:rPr>
        <w:t>police,</w:t>
      </w:r>
      <w:r>
        <w:rPr>
          <w:color w:val="231F20"/>
          <w:spacing w:val="-9"/>
          <w:sz w:val="24"/>
        </w:rPr>
        <w:t xml:space="preserve"> </w:t>
      </w:r>
      <w:r>
        <w:rPr>
          <w:color w:val="231F20"/>
          <w:sz w:val="24"/>
        </w:rPr>
        <w:t>to</w:t>
      </w:r>
      <w:r>
        <w:rPr>
          <w:color w:val="231F20"/>
          <w:spacing w:val="-10"/>
          <w:sz w:val="24"/>
        </w:rPr>
        <w:t xml:space="preserve"> </w:t>
      </w:r>
      <w:r>
        <w:rPr>
          <w:color w:val="231F20"/>
          <w:sz w:val="24"/>
        </w:rPr>
        <w:t>raise</w:t>
      </w:r>
      <w:r>
        <w:rPr>
          <w:color w:val="231F20"/>
          <w:spacing w:val="-10"/>
          <w:sz w:val="24"/>
        </w:rPr>
        <w:t xml:space="preserve"> </w:t>
      </w:r>
      <w:r>
        <w:rPr>
          <w:color w:val="231F20"/>
          <w:sz w:val="24"/>
        </w:rPr>
        <w:t>capability</w:t>
      </w:r>
      <w:r>
        <w:rPr>
          <w:color w:val="231F20"/>
          <w:spacing w:val="-9"/>
          <w:sz w:val="24"/>
        </w:rPr>
        <w:t xml:space="preserve"> </w:t>
      </w:r>
      <w:r>
        <w:rPr>
          <w:color w:val="231F20"/>
          <w:sz w:val="24"/>
        </w:rPr>
        <w:t>and</w:t>
      </w:r>
      <w:r>
        <w:rPr>
          <w:color w:val="231F20"/>
          <w:spacing w:val="-10"/>
          <w:sz w:val="24"/>
        </w:rPr>
        <w:t xml:space="preserve"> </w:t>
      </w:r>
      <w:r>
        <w:rPr>
          <w:color w:val="231F20"/>
          <w:sz w:val="24"/>
        </w:rPr>
        <w:t>knowledge</w:t>
      </w:r>
      <w:r>
        <w:rPr>
          <w:color w:val="231F20"/>
          <w:spacing w:val="-10"/>
          <w:sz w:val="24"/>
        </w:rPr>
        <w:t xml:space="preserve"> </w:t>
      </w:r>
      <w:r>
        <w:rPr>
          <w:color w:val="231F20"/>
          <w:sz w:val="24"/>
        </w:rPr>
        <w:t>on</w:t>
      </w:r>
      <w:r>
        <w:rPr>
          <w:color w:val="231F20"/>
          <w:spacing w:val="-10"/>
          <w:sz w:val="24"/>
        </w:rPr>
        <w:t xml:space="preserve"> </w:t>
      </w:r>
      <w:r>
        <w:rPr>
          <w:color w:val="231F20"/>
          <w:sz w:val="24"/>
        </w:rPr>
        <w:t>assistance animals, referral pathways for disability supports, considerations around disability within custody settings and use of language to promote inclusion.</w:t>
      </w:r>
    </w:p>
    <w:p w14:paraId="677ED7E3" w14:textId="77777777" w:rsidR="00345EE3" w:rsidRDefault="00345EE3">
      <w:pPr>
        <w:pStyle w:val="ListParagraph"/>
        <w:numPr>
          <w:ilvl w:val="1"/>
          <w:numId w:val="82"/>
        </w:numPr>
        <w:tabs>
          <w:tab w:val="left" w:pos="393"/>
          <w:tab w:val="left" w:pos="394"/>
        </w:tabs>
        <w:spacing w:line="242" w:lineRule="auto"/>
        <w:ind w:left="393" w:right="1035" w:hanging="284"/>
        <w:rPr>
          <w:color w:val="3D68AD"/>
          <w:sz w:val="14"/>
        </w:rPr>
      </w:pPr>
      <w:r>
        <w:rPr>
          <w:color w:val="231F20"/>
          <w:sz w:val="24"/>
        </w:rPr>
        <w:t>A</w:t>
      </w:r>
      <w:r>
        <w:rPr>
          <w:color w:val="231F20"/>
          <w:spacing w:val="-6"/>
          <w:sz w:val="24"/>
        </w:rPr>
        <w:t xml:space="preserve"> </w:t>
      </w:r>
      <w:r>
        <w:rPr>
          <w:color w:val="231F20"/>
          <w:sz w:val="24"/>
        </w:rPr>
        <w:t>Disability</w:t>
      </w:r>
      <w:r>
        <w:rPr>
          <w:color w:val="231F20"/>
          <w:spacing w:val="-6"/>
          <w:sz w:val="24"/>
        </w:rPr>
        <w:t xml:space="preserve"> </w:t>
      </w:r>
      <w:r>
        <w:rPr>
          <w:color w:val="231F20"/>
          <w:sz w:val="24"/>
        </w:rPr>
        <w:t>Practice</w:t>
      </w:r>
      <w:r>
        <w:rPr>
          <w:color w:val="231F20"/>
          <w:spacing w:val="-7"/>
          <w:sz w:val="24"/>
        </w:rPr>
        <w:t xml:space="preserve"> </w:t>
      </w:r>
      <w:r>
        <w:rPr>
          <w:color w:val="231F20"/>
          <w:sz w:val="24"/>
        </w:rPr>
        <w:t>Guide</w:t>
      </w:r>
      <w:r>
        <w:rPr>
          <w:color w:val="231F20"/>
          <w:spacing w:val="-7"/>
          <w:sz w:val="24"/>
        </w:rPr>
        <w:t xml:space="preserve"> </w:t>
      </w:r>
      <w:r>
        <w:rPr>
          <w:color w:val="231F20"/>
          <w:sz w:val="24"/>
        </w:rPr>
        <w:t>detailing</w:t>
      </w:r>
      <w:r>
        <w:rPr>
          <w:color w:val="231F20"/>
          <w:spacing w:val="-7"/>
          <w:sz w:val="24"/>
        </w:rPr>
        <w:t xml:space="preserve"> </w:t>
      </w:r>
      <w:r>
        <w:rPr>
          <w:color w:val="231F20"/>
          <w:sz w:val="24"/>
        </w:rPr>
        <w:t>good</w:t>
      </w:r>
      <w:r>
        <w:rPr>
          <w:color w:val="231F20"/>
          <w:spacing w:val="-7"/>
          <w:sz w:val="24"/>
        </w:rPr>
        <w:t xml:space="preserve"> </w:t>
      </w:r>
      <w:r>
        <w:rPr>
          <w:color w:val="231F20"/>
          <w:sz w:val="24"/>
        </w:rPr>
        <w:t>policing</w:t>
      </w:r>
      <w:r>
        <w:rPr>
          <w:color w:val="231F20"/>
          <w:spacing w:val="-7"/>
          <w:sz w:val="24"/>
        </w:rPr>
        <w:t xml:space="preserve"> </w:t>
      </w:r>
      <w:r>
        <w:rPr>
          <w:color w:val="231F20"/>
          <w:sz w:val="24"/>
        </w:rPr>
        <w:t>practice</w:t>
      </w:r>
      <w:r>
        <w:rPr>
          <w:color w:val="231F20"/>
          <w:spacing w:val="-7"/>
          <w:sz w:val="24"/>
        </w:rPr>
        <w:t xml:space="preserve"> </w:t>
      </w:r>
      <w:r>
        <w:rPr>
          <w:color w:val="231F20"/>
          <w:sz w:val="24"/>
        </w:rPr>
        <w:t>to</w:t>
      </w:r>
      <w:r>
        <w:rPr>
          <w:color w:val="231F20"/>
          <w:spacing w:val="-7"/>
          <w:sz w:val="24"/>
        </w:rPr>
        <w:t xml:space="preserve"> </w:t>
      </w:r>
      <w:r>
        <w:rPr>
          <w:color w:val="231F20"/>
          <w:sz w:val="24"/>
        </w:rPr>
        <w:t>further</w:t>
      </w:r>
      <w:r>
        <w:rPr>
          <w:color w:val="231F20"/>
          <w:spacing w:val="-6"/>
          <w:sz w:val="24"/>
        </w:rPr>
        <w:t xml:space="preserve"> </w:t>
      </w:r>
      <w:r>
        <w:rPr>
          <w:color w:val="231F20"/>
          <w:sz w:val="24"/>
        </w:rPr>
        <w:t>support</w:t>
      </w:r>
      <w:r>
        <w:rPr>
          <w:color w:val="231F20"/>
          <w:spacing w:val="-6"/>
          <w:sz w:val="24"/>
        </w:rPr>
        <w:t xml:space="preserve"> </w:t>
      </w:r>
      <w:r>
        <w:rPr>
          <w:color w:val="231F20"/>
          <w:sz w:val="24"/>
        </w:rPr>
        <w:t>members</w:t>
      </w:r>
      <w:r>
        <w:rPr>
          <w:color w:val="231F20"/>
          <w:spacing w:val="-6"/>
          <w:sz w:val="24"/>
        </w:rPr>
        <w:t xml:space="preserve"> </w:t>
      </w:r>
      <w:r>
        <w:rPr>
          <w:color w:val="231F20"/>
          <w:sz w:val="24"/>
        </w:rPr>
        <w:t>when providing a service that is accessible in practical situations.</w:t>
      </w:r>
    </w:p>
    <w:p w14:paraId="082D1D59" w14:textId="77777777" w:rsidR="00345EE3" w:rsidRDefault="00345EE3">
      <w:pPr>
        <w:pStyle w:val="ListParagraph"/>
        <w:numPr>
          <w:ilvl w:val="1"/>
          <w:numId w:val="82"/>
        </w:numPr>
        <w:tabs>
          <w:tab w:val="left" w:pos="393"/>
          <w:tab w:val="left" w:pos="394"/>
        </w:tabs>
        <w:spacing w:before="31"/>
        <w:ind w:left="393" w:hanging="284"/>
        <w:rPr>
          <w:color w:val="3D68AD"/>
          <w:sz w:val="14"/>
        </w:rPr>
      </w:pPr>
      <w:r>
        <w:rPr>
          <w:color w:val="231F20"/>
          <w:sz w:val="24"/>
        </w:rPr>
        <w:t>All</w:t>
      </w:r>
      <w:r>
        <w:rPr>
          <w:color w:val="231F20"/>
          <w:spacing w:val="-10"/>
          <w:sz w:val="24"/>
        </w:rPr>
        <w:t xml:space="preserve"> </w:t>
      </w:r>
      <w:r>
        <w:rPr>
          <w:color w:val="231F20"/>
          <w:sz w:val="24"/>
        </w:rPr>
        <w:t>content</w:t>
      </w:r>
      <w:r>
        <w:rPr>
          <w:color w:val="231F20"/>
          <w:spacing w:val="-6"/>
          <w:sz w:val="24"/>
        </w:rPr>
        <w:t xml:space="preserve"> </w:t>
      </w:r>
      <w:r>
        <w:rPr>
          <w:color w:val="231F20"/>
          <w:sz w:val="24"/>
        </w:rPr>
        <w:t>on</w:t>
      </w:r>
      <w:r>
        <w:rPr>
          <w:color w:val="231F20"/>
          <w:spacing w:val="-7"/>
          <w:sz w:val="24"/>
        </w:rPr>
        <w:t xml:space="preserve"> </w:t>
      </w:r>
      <w:r>
        <w:rPr>
          <w:color w:val="231F20"/>
          <w:sz w:val="24"/>
        </w:rPr>
        <w:t>the</w:t>
      </w:r>
      <w:r>
        <w:rPr>
          <w:color w:val="231F20"/>
          <w:spacing w:val="-7"/>
          <w:sz w:val="24"/>
        </w:rPr>
        <w:t xml:space="preserve"> </w:t>
      </w:r>
      <w:r>
        <w:rPr>
          <w:color w:val="231F20"/>
          <w:sz w:val="24"/>
        </w:rPr>
        <w:t>Victoria</w:t>
      </w:r>
      <w:r>
        <w:rPr>
          <w:color w:val="231F20"/>
          <w:spacing w:val="-8"/>
          <w:sz w:val="24"/>
        </w:rPr>
        <w:t xml:space="preserve"> </w:t>
      </w:r>
      <w:r>
        <w:rPr>
          <w:color w:val="231F20"/>
          <w:sz w:val="24"/>
        </w:rPr>
        <w:t>Police</w:t>
      </w:r>
      <w:r>
        <w:rPr>
          <w:color w:val="231F20"/>
          <w:spacing w:val="-7"/>
          <w:sz w:val="24"/>
        </w:rPr>
        <w:t xml:space="preserve"> </w:t>
      </w:r>
      <w:r>
        <w:rPr>
          <w:color w:val="231F20"/>
          <w:sz w:val="24"/>
        </w:rPr>
        <w:t>website</w:t>
      </w:r>
      <w:r>
        <w:rPr>
          <w:color w:val="231F20"/>
          <w:spacing w:val="-7"/>
          <w:sz w:val="24"/>
        </w:rPr>
        <w:t xml:space="preserve"> </w:t>
      </w:r>
      <w:r>
        <w:rPr>
          <w:color w:val="231F20"/>
          <w:sz w:val="24"/>
        </w:rPr>
        <w:t>is</w:t>
      </w:r>
      <w:r>
        <w:rPr>
          <w:color w:val="231F20"/>
          <w:spacing w:val="-6"/>
          <w:sz w:val="24"/>
        </w:rPr>
        <w:t xml:space="preserve"> </w:t>
      </w:r>
      <w:r>
        <w:rPr>
          <w:color w:val="231F20"/>
          <w:spacing w:val="-2"/>
          <w:sz w:val="24"/>
        </w:rPr>
        <w:t>accessible.</w:t>
      </w:r>
    </w:p>
    <w:p w14:paraId="45CB98CD" w14:textId="77777777" w:rsidR="00345EE3" w:rsidRDefault="00345EE3">
      <w:pPr>
        <w:pStyle w:val="ListParagraph"/>
        <w:numPr>
          <w:ilvl w:val="1"/>
          <w:numId w:val="82"/>
        </w:numPr>
        <w:tabs>
          <w:tab w:val="left" w:pos="393"/>
          <w:tab w:val="left" w:pos="394"/>
        </w:tabs>
        <w:spacing w:line="242" w:lineRule="auto"/>
        <w:ind w:left="393" w:right="1148" w:hanging="284"/>
        <w:rPr>
          <w:color w:val="3D68AD"/>
          <w:sz w:val="14"/>
        </w:rPr>
      </w:pPr>
      <w:r>
        <w:rPr>
          <w:color w:val="231F20"/>
          <w:sz w:val="24"/>
        </w:rPr>
        <w:t>The</w:t>
      </w:r>
      <w:r>
        <w:rPr>
          <w:color w:val="231F20"/>
          <w:spacing w:val="-10"/>
          <w:sz w:val="24"/>
        </w:rPr>
        <w:t xml:space="preserve"> </w:t>
      </w: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Disability</w:t>
      </w:r>
      <w:r>
        <w:rPr>
          <w:color w:val="231F20"/>
          <w:spacing w:val="-9"/>
          <w:sz w:val="24"/>
        </w:rPr>
        <w:t xml:space="preserve"> </w:t>
      </w:r>
      <w:r>
        <w:rPr>
          <w:color w:val="231F20"/>
          <w:sz w:val="24"/>
        </w:rPr>
        <w:t>Portfolio</w:t>
      </w:r>
      <w:r>
        <w:rPr>
          <w:color w:val="231F20"/>
          <w:spacing w:val="-10"/>
          <w:sz w:val="24"/>
        </w:rPr>
        <w:t xml:space="preserve"> </w:t>
      </w:r>
      <w:r>
        <w:rPr>
          <w:color w:val="231F20"/>
          <w:sz w:val="24"/>
        </w:rPr>
        <w:t>Reference</w:t>
      </w:r>
      <w:r>
        <w:rPr>
          <w:color w:val="231F20"/>
          <w:spacing w:val="-10"/>
          <w:sz w:val="24"/>
        </w:rPr>
        <w:t xml:space="preserve"> </w:t>
      </w:r>
      <w:r>
        <w:rPr>
          <w:color w:val="231F20"/>
          <w:sz w:val="24"/>
        </w:rPr>
        <w:t>Group</w:t>
      </w:r>
      <w:r>
        <w:rPr>
          <w:color w:val="231F20"/>
          <w:spacing w:val="-10"/>
          <w:sz w:val="24"/>
        </w:rPr>
        <w:t xml:space="preserve"> </w:t>
      </w:r>
      <w:r>
        <w:rPr>
          <w:color w:val="231F20"/>
          <w:sz w:val="24"/>
        </w:rPr>
        <w:t>continued</w:t>
      </w:r>
      <w:r>
        <w:rPr>
          <w:color w:val="231F20"/>
          <w:spacing w:val="-10"/>
          <w:sz w:val="24"/>
        </w:rPr>
        <w:t xml:space="preserve"> </w:t>
      </w:r>
      <w:r>
        <w:rPr>
          <w:color w:val="231F20"/>
          <w:sz w:val="24"/>
        </w:rPr>
        <w:t>its</w:t>
      </w:r>
      <w:r>
        <w:rPr>
          <w:color w:val="231F20"/>
          <w:spacing w:val="-9"/>
          <w:sz w:val="24"/>
        </w:rPr>
        <w:t xml:space="preserve"> </w:t>
      </w:r>
      <w:r>
        <w:rPr>
          <w:color w:val="231F20"/>
          <w:sz w:val="24"/>
        </w:rPr>
        <w:t>engagement</w:t>
      </w:r>
      <w:r>
        <w:rPr>
          <w:color w:val="231F20"/>
          <w:spacing w:val="-9"/>
          <w:sz w:val="24"/>
        </w:rPr>
        <w:t xml:space="preserve"> </w:t>
      </w:r>
      <w:r>
        <w:rPr>
          <w:color w:val="231F20"/>
          <w:sz w:val="24"/>
        </w:rPr>
        <w:t>activities with members of the community with disability, to gain advice from their lived-experience perspective, to inform Victoria Police’s policies, processes and initiatives.</w:t>
      </w:r>
    </w:p>
    <w:p w14:paraId="2EB1D687" w14:textId="77777777" w:rsidR="00345EE3" w:rsidRDefault="00345EE3" w:rsidP="002A27BA">
      <w:pPr>
        <w:pStyle w:val="Heading3"/>
      </w:pPr>
      <w:r>
        <w:t>Compliance</w:t>
      </w:r>
      <w:r>
        <w:rPr>
          <w:spacing w:val="-7"/>
        </w:rPr>
        <w:t xml:space="preserve"> </w:t>
      </w:r>
      <w:r>
        <w:t>with</w:t>
      </w:r>
      <w:r>
        <w:rPr>
          <w:spacing w:val="-6"/>
        </w:rPr>
        <w:t xml:space="preserve"> </w:t>
      </w:r>
      <w:r>
        <w:t>the</w:t>
      </w:r>
      <w:r>
        <w:rPr>
          <w:spacing w:val="-7"/>
        </w:rPr>
        <w:t xml:space="preserve"> </w:t>
      </w:r>
      <w:r>
        <w:rPr>
          <w:rFonts w:ascii="Arial-BoldItalicMT" w:hAnsi="Arial-BoldItalicMT"/>
          <w:i/>
        </w:rPr>
        <w:t>Disability</w:t>
      </w:r>
      <w:r>
        <w:rPr>
          <w:rFonts w:ascii="Arial-BoldItalicMT" w:hAnsi="Arial-BoldItalicMT"/>
          <w:i/>
          <w:spacing w:val="-11"/>
        </w:rPr>
        <w:t xml:space="preserve"> </w:t>
      </w:r>
      <w:r>
        <w:rPr>
          <w:rFonts w:ascii="Arial-BoldItalicMT" w:hAnsi="Arial-BoldItalicMT"/>
          <w:i/>
        </w:rPr>
        <w:t>Act</w:t>
      </w:r>
      <w:r>
        <w:rPr>
          <w:rFonts w:ascii="Arial-BoldItalicMT" w:hAnsi="Arial-BoldItalicMT"/>
          <w:i/>
          <w:spacing w:val="-11"/>
        </w:rPr>
        <w:t xml:space="preserve"> </w:t>
      </w:r>
      <w:r>
        <w:t>2006</w:t>
      </w:r>
      <w:r>
        <w:rPr>
          <w:spacing w:val="-7"/>
        </w:rPr>
        <w:t xml:space="preserve"> </w:t>
      </w:r>
      <w:r>
        <w:t>–</w:t>
      </w:r>
      <w:r>
        <w:rPr>
          <w:spacing w:val="-7"/>
        </w:rPr>
        <w:t xml:space="preserve"> </w:t>
      </w:r>
      <w:r>
        <w:t>accessibility</w:t>
      </w:r>
      <w:r>
        <w:rPr>
          <w:spacing w:val="-7"/>
        </w:rPr>
        <w:t xml:space="preserve"> </w:t>
      </w:r>
      <w:r>
        <w:t>and</w:t>
      </w:r>
      <w:r>
        <w:rPr>
          <w:spacing w:val="-6"/>
        </w:rPr>
        <w:t xml:space="preserve"> </w:t>
      </w:r>
      <w:r>
        <w:t>inclusion</w:t>
      </w:r>
      <w:r>
        <w:rPr>
          <w:spacing w:val="-6"/>
        </w:rPr>
        <w:t xml:space="preserve"> </w:t>
      </w:r>
      <w:r>
        <w:t>for</w:t>
      </w:r>
      <w:r>
        <w:rPr>
          <w:spacing w:val="-7"/>
        </w:rPr>
        <w:t xml:space="preserve"> </w:t>
      </w:r>
      <w:r>
        <w:t xml:space="preserve">our </w:t>
      </w:r>
      <w:r>
        <w:rPr>
          <w:spacing w:val="-2"/>
        </w:rPr>
        <w:t>employees</w:t>
      </w:r>
    </w:p>
    <w:p w14:paraId="777FBBA7" w14:textId="77777777" w:rsidR="00345EE3" w:rsidRDefault="00345EE3" w:rsidP="00345EE3">
      <w:pPr>
        <w:pStyle w:val="BodyText"/>
        <w:spacing w:before="57" w:line="242" w:lineRule="auto"/>
        <w:ind w:right="848"/>
      </w:pPr>
      <w:r>
        <w:rPr>
          <w:color w:val="231F20"/>
        </w:rPr>
        <w:t>Victoria Police recognises our responsibility to continue improving inclusion for employees with disability</w:t>
      </w:r>
      <w:r>
        <w:rPr>
          <w:color w:val="231F20"/>
          <w:spacing w:val="-9"/>
        </w:rPr>
        <w:t xml:space="preserve"> </w:t>
      </w:r>
      <w:r>
        <w:rPr>
          <w:color w:val="231F20"/>
        </w:rPr>
        <w:t>in</w:t>
      </w:r>
      <w:r>
        <w:rPr>
          <w:color w:val="231F20"/>
          <w:spacing w:val="-10"/>
        </w:rPr>
        <w:t xml:space="preserve"> </w:t>
      </w:r>
      <w:r>
        <w:rPr>
          <w:color w:val="231F20"/>
        </w:rPr>
        <w:t>all</w:t>
      </w:r>
      <w:r>
        <w:rPr>
          <w:color w:val="231F20"/>
          <w:spacing w:val="-10"/>
        </w:rPr>
        <w:t xml:space="preserve"> </w:t>
      </w:r>
      <w:r>
        <w:rPr>
          <w:color w:val="231F20"/>
        </w:rPr>
        <w:t>areas</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organisation.</w:t>
      </w:r>
      <w:r>
        <w:rPr>
          <w:color w:val="231F20"/>
          <w:spacing w:val="-9"/>
        </w:rPr>
        <w:t xml:space="preserve"> </w:t>
      </w:r>
      <w:r>
        <w:rPr>
          <w:color w:val="231F20"/>
        </w:rPr>
        <w:t>We</w:t>
      </w:r>
      <w:r>
        <w:rPr>
          <w:color w:val="231F20"/>
          <w:spacing w:val="-10"/>
        </w:rPr>
        <w:t xml:space="preserve"> </w:t>
      </w:r>
      <w:r>
        <w:rPr>
          <w:color w:val="231F20"/>
        </w:rPr>
        <w:t>aim</w:t>
      </w:r>
      <w:r>
        <w:rPr>
          <w:color w:val="231F20"/>
          <w:spacing w:val="-9"/>
        </w:rPr>
        <w:t xml:space="preserve"> </w:t>
      </w:r>
      <w:r>
        <w:rPr>
          <w:color w:val="231F20"/>
        </w:rPr>
        <w:t>to</w:t>
      </w:r>
      <w:r>
        <w:rPr>
          <w:color w:val="231F20"/>
          <w:spacing w:val="-10"/>
        </w:rPr>
        <w:t xml:space="preserve"> </w:t>
      </w:r>
      <w:r>
        <w:rPr>
          <w:color w:val="231F20"/>
        </w:rPr>
        <w:t>create</w:t>
      </w:r>
      <w:r>
        <w:rPr>
          <w:color w:val="231F20"/>
          <w:spacing w:val="-10"/>
        </w:rPr>
        <w:t xml:space="preserve"> </w:t>
      </w:r>
      <w:r>
        <w:rPr>
          <w:color w:val="231F20"/>
        </w:rPr>
        <w:t>an</w:t>
      </w:r>
      <w:r>
        <w:rPr>
          <w:color w:val="231F20"/>
          <w:spacing w:val="-10"/>
        </w:rPr>
        <w:t xml:space="preserve"> </w:t>
      </w:r>
      <w:r>
        <w:rPr>
          <w:color w:val="231F20"/>
        </w:rPr>
        <w:t>inclusive,</w:t>
      </w:r>
      <w:r>
        <w:rPr>
          <w:color w:val="231F20"/>
          <w:spacing w:val="-9"/>
        </w:rPr>
        <w:t xml:space="preserve"> </w:t>
      </w:r>
      <w:r>
        <w:rPr>
          <w:color w:val="231F20"/>
        </w:rPr>
        <w:t>accessible</w:t>
      </w:r>
      <w:r>
        <w:rPr>
          <w:color w:val="231F20"/>
          <w:spacing w:val="-10"/>
        </w:rPr>
        <w:t xml:space="preserve"> </w:t>
      </w:r>
      <w:r>
        <w:rPr>
          <w:color w:val="231F20"/>
        </w:rPr>
        <w:t>and</w:t>
      </w:r>
      <w:r>
        <w:rPr>
          <w:color w:val="231F20"/>
          <w:spacing w:val="-10"/>
        </w:rPr>
        <w:t xml:space="preserve"> </w:t>
      </w:r>
      <w:r>
        <w:rPr>
          <w:color w:val="231F20"/>
        </w:rPr>
        <w:t>disability- confident</w:t>
      </w:r>
      <w:r>
        <w:rPr>
          <w:color w:val="231F20"/>
          <w:spacing w:val="-7"/>
        </w:rPr>
        <w:t xml:space="preserve"> </w:t>
      </w:r>
      <w:r>
        <w:rPr>
          <w:color w:val="231F20"/>
        </w:rPr>
        <w:t>workforce,</w:t>
      </w:r>
      <w:r>
        <w:rPr>
          <w:color w:val="231F20"/>
          <w:spacing w:val="-7"/>
        </w:rPr>
        <w:t xml:space="preserve"> </w:t>
      </w:r>
      <w:r>
        <w:rPr>
          <w:color w:val="231F20"/>
        </w:rPr>
        <w:t>and</w:t>
      </w:r>
      <w:r>
        <w:rPr>
          <w:color w:val="231F20"/>
          <w:spacing w:val="-8"/>
        </w:rPr>
        <w:t xml:space="preserve"> </w:t>
      </w:r>
      <w:r>
        <w:rPr>
          <w:color w:val="231F20"/>
        </w:rPr>
        <w:t>a</w:t>
      </w:r>
      <w:r>
        <w:rPr>
          <w:color w:val="231F20"/>
          <w:spacing w:val="-8"/>
        </w:rPr>
        <w:t xml:space="preserve"> </w:t>
      </w:r>
      <w:r>
        <w:rPr>
          <w:color w:val="231F20"/>
        </w:rPr>
        <w:t>culture</w:t>
      </w:r>
      <w:r>
        <w:rPr>
          <w:color w:val="231F20"/>
          <w:spacing w:val="-8"/>
        </w:rPr>
        <w:t xml:space="preserve"> </w:t>
      </w:r>
      <w:r>
        <w:rPr>
          <w:color w:val="231F20"/>
        </w:rPr>
        <w:t>in</w:t>
      </w:r>
      <w:r>
        <w:rPr>
          <w:color w:val="231F20"/>
          <w:spacing w:val="-8"/>
        </w:rPr>
        <w:t xml:space="preserve"> </w:t>
      </w:r>
      <w:r>
        <w:rPr>
          <w:color w:val="231F20"/>
        </w:rPr>
        <w:t>which</w:t>
      </w:r>
      <w:r>
        <w:rPr>
          <w:color w:val="231F20"/>
          <w:spacing w:val="-8"/>
        </w:rPr>
        <w:t xml:space="preserve"> </w:t>
      </w:r>
      <w:r>
        <w:rPr>
          <w:color w:val="231F20"/>
        </w:rPr>
        <w:t>people</w:t>
      </w:r>
      <w:r>
        <w:rPr>
          <w:color w:val="231F20"/>
          <w:spacing w:val="-8"/>
        </w:rPr>
        <w:t xml:space="preserve"> </w:t>
      </w:r>
      <w:r>
        <w:rPr>
          <w:color w:val="231F20"/>
        </w:rPr>
        <w:t>with</w:t>
      </w:r>
      <w:r>
        <w:rPr>
          <w:color w:val="231F20"/>
          <w:spacing w:val="-8"/>
        </w:rPr>
        <w:t xml:space="preserve"> </w:t>
      </w:r>
      <w:r>
        <w:rPr>
          <w:color w:val="231F20"/>
        </w:rPr>
        <w:t>disability</w:t>
      </w:r>
      <w:r>
        <w:rPr>
          <w:color w:val="231F20"/>
          <w:spacing w:val="-7"/>
        </w:rPr>
        <w:t xml:space="preserve"> </w:t>
      </w:r>
      <w:r>
        <w:rPr>
          <w:color w:val="231F20"/>
        </w:rPr>
        <w:t>feel</w:t>
      </w:r>
      <w:r>
        <w:rPr>
          <w:color w:val="231F20"/>
          <w:spacing w:val="-8"/>
        </w:rPr>
        <w:t xml:space="preserve"> </w:t>
      </w:r>
      <w:r>
        <w:rPr>
          <w:color w:val="231F20"/>
        </w:rPr>
        <w:t>safe,</w:t>
      </w:r>
      <w:r>
        <w:rPr>
          <w:color w:val="231F20"/>
          <w:spacing w:val="-7"/>
        </w:rPr>
        <w:t xml:space="preserve"> </w:t>
      </w:r>
      <w:r>
        <w:rPr>
          <w:color w:val="231F20"/>
        </w:rPr>
        <w:t>valued</w:t>
      </w:r>
      <w:r>
        <w:rPr>
          <w:color w:val="231F20"/>
          <w:spacing w:val="-8"/>
        </w:rPr>
        <w:t xml:space="preserve"> </w:t>
      </w:r>
      <w:r>
        <w:rPr>
          <w:color w:val="231F20"/>
        </w:rPr>
        <w:t>and</w:t>
      </w:r>
      <w:r>
        <w:rPr>
          <w:color w:val="231F20"/>
          <w:spacing w:val="-8"/>
        </w:rPr>
        <w:t xml:space="preserve"> </w:t>
      </w:r>
      <w:r>
        <w:rPr>
          <w:color w:val="231F20"/>
        </w:rPr>
        <w:t>respected at work.</w:t>
      </w:r>
    </w:p>
    <w:p w14:paraId="7A4EE1DC" w14:textId="77777777" w:rsidR="00345EE3" w:rsidRDefault="00345EE3" w:rsidP="00345EE3">
      <w:pPr>
        <w:pStyle w:val="BodyText"/>
        <w:spacing w:before="118" w:line="242" w:lineRule="auto"/>
        <w:ind w:right="848"/>
      </w:pPr>
      <w:r>
        <w:rPr>
          <w:color w:val="231F20"/>
          <w:spacing w:val="-4"/>
        </w:rPr>
        <w:t xml:space="preserve">The </w:t>
      </w:r>
      <w:r>
        <w:rPr>
          <w:i/>
          <w:color w:val="231F20"/>
          <w:spacing w:val="-4"/>
        </w:rPr>
        <w:t>Accessibility</w:t>
      </w:r>
      <w:r>
        <w:rPr>
          <w:i/>
          <w:color w:val="231F20"/>
          <w:spacing w:val="-7"/>
        </w:rPr>
        <w:t xml:space="preserve"> </w:t>
      </w:r>
      <w:r>
        <w:rPr>
          <w:i/>
          <w:color w:val="231F20"/>
          <w:spacing w:val="-4"/>
        </w:rPr>
        <w:t>and</w:t>
      </w:r>
      <w:r>
        <w:rPr>
          <w:i/>
          <w:color w:val="231F20"/>
          <w:spacing w:val="-7"/>
        </w:rPr>
        <w:t xml:space="preserve"> </w:t>
      </w:r>
      <w:r>
        <w:rPr>
          <w:i/>
          <w:color w:val="231F20"/>
          <w:spacing w:val="-4"/>
        </w:rPr>
        <w:t>Inclusion</w:t>
      </w:r>
      <w:r>
        <w:rPr>
          <w:i/>
          <w:color w:val="231F20"/>
          <w:spacing w:val="-7"/>
        </w:rPr>
        <w:t xml:space="preserve"> </w:t>
      </w:r>
      <w:r>
        <w:rPr>
          <w:i/>
          <w:color w:val="231F20"/>
          <w:spacing w:val="-4"/>
        </w:rPr>
        <w:t>Strategy</w:t>
      </w:r>
      <w:r>
        <w:rPr>
          <w:i/>
          <w:color w:val="231F20"/>
          <w:spacing w:val="-7"/>
        </w:rPr>
        <w:t xml:space="preserve"> </w:t>
      </w:r>
      <w:r>
        <w:rPr>
          <w:i/>
          <w:color w:val="231F20"/>
          <w:spacing w:val="-4"/>
        </w:rPr>
        <w:t>and</w:t>
      </w:r>
      <w:r>
        <w:rPr>
          <w:i/>
          <w:color w:val="231F20"/>
          <w:spacing w:val="-7"/>
        </w:rPr>
        <w:t xml:space="preserve"> </w:t>
      </w:r>
      <w:r>
        <w:rPr>
          <w:i/>
          <w:color w:val="231F20"/>
          <w:spacing w:val="-4"/>
        </w:rPr>
        <w:t>Action</w:t>
      </w:r>
      <w:r>
        <w:rPr>
          <w:i/>
          <w:color w:val="231F20"/>
          <w:spacing w:val="-7"/>
        </w:rPr>
        <w:t xml:space="preserve"> </w:t>
      </w:r>
      <w:r>
        <w:rPr>
          <w:i/>
          <w:color w:val="231F20"/>
          <w:spacing w:val="-4"/>
        </w:rPr>
        <w:t>Plan</w:t>
      </w:r>
      <w:r>
        <w:rPr>
          <w:i/>
          <w:color w:val="231F20"/>
          <w:spacing w:val="-7"/>
        </w:rPr>
        <w:t xml:space="preserve"> </w:t>
      </w:r>
      <w:r>
        <w:rPr>
          <w:i/>
          <w:color w:val="231F20"/>
          <w:spacing w:val="-4"/>
        </w:rPr>
        <w:t xml:space="preserve">2018–2021 </w:t>
      </w:r>
      <w:r>
        <w:rPr>
          <w:color w:val="231F20"/>
          <w:spacing w:val="-4"/>
        </w:rPr>
        <w:t xml:space="preserve">demonstrated Victoria Police’s </w:t>
      </w:r>
      <w:r>
        <w:rPr>
          <w:color w:val="231F20"/>
        </w:rPr>
        <w:t>commitment to creating a workplace that is welcoming and accessible for employees with a disability. The action plan sets out the specific actions Victoria Police must take to achieve our goal of having a diverse workforce and being an inclusive organisation.</w:t>
      </w:r>
    </w:p>
    <w:p w14:paraId="3F3BC037" w14:textId="77777777" w:rsidR="00345EE3" w:rsidRDefault="00345EE3" w:rsidP="00345EE3">
      <w:pPr>
        <w:pStyle w:val="BodyText"/>
        <w:spacing w:before="119" w:line="242" w:lineRule="auto"/>
        <w:ind w:right="921"/>
      </w:pPr>
      <w:r>
        <w:rPr>
          <w:color w:val="231F20"/>
        </w:rPr>
        <w:t>In 2021, Victoria Police engaged the Australian Network on Disability (AND) to conduct an independent</w:t>
      </w:r>
      <w:r>
        <w:rPr>
          <w:color w:val="231F20"/>
          <w:spacing w:val="-10"/>
        </w:rPr>
        <w:t xml:space="preserve"> </w:t>
      </w:r>
      <w:r>
        <w:rPr>
          <w:color w:val="231F20"/>
        </w:rPr>
        <w:t>evaluation</w:t>
      </w:r>
      <w:r>
        <w:rPr>
          <w:color w:val="231F20"/>
          <w:spacing w:val="-10"/>
        </w:rPr>
        <w:t xml:space="preserve"> </w:t>
      </w:r>
      <w:r>
        <w:rPr>
          <w:color w:val="231F20"/>
        </w:rPr>
        <w:t>of</w:t>
      </w:r>
      <w:r>
        <w:rPr>
          <w:color w:val="231F20"/>
          <w:spacing w:val="-10"/>
        </w:rPr>
        <w:t xml:space="preserve"> </w:t>
      </w:r>
      <w:r>
        <w:rPr>
          <w:color w:val="231F20"/>
        </w:rPr>
        <w:t>our</w:t>
      </w:r>
      <w:r>
        <w:rPr>
          <w:color w:val="231F20"/>
          <w:spacing w:val="-10"/>
        </w:rPr>
        <w:t xml:space="preserve"> </w:t>
      </w:r>
      <w:r>
        <w:rPr>
          <w:color w:val="231F20"/>
        </w:rPr>
        <w:t>performance</w:t>
      </w:r>
      <w:r>
        <w:rPr>
          <w:color w:val="231F20"/>
          <w:spacing w:val="-10"/>
        </w:rPr>
        <w:t xml:space="preserve"> </w:t>
      </w:r>
      <w:r>
        <w:rPr>
          <w:color w:val="231F20"/>
        </w:rPr>
        <w:t>against</w:t>
      </w:r>
      <w:r>
        <w:rPr>
          <w:color w:val="231F20"/>
          <w:spacing w:val="-10"/>
        </w:rPr>
        <w:t xml:space="preserve"> </w:t>
      </w:r>
      <w:r>
        <w:rPr>
          <w:color w:val="231F20"/>
        </w:rPr>
        <w:t>our</w:t>
      </w:r>
      <w:r>
        <w:rPr>
          <w:color w:val="231F20"/>
          <w:spacing w:val="-10"/>
        </w:rPr>
        <w:t xml:space="preserve"> </w:t>
      </w:r>
      <w:r>
        <w:rPr>
          <w:color w:val="231F20"/>
        </w:rPr>
        <w:t>strategy</w:t>
      </w:r>
      <w:r>
        <w:rPr>
          <w:color w:val="231F20"/>
          <w:spacing w:val="-10"/>
        </w:rPr>
        <w:t xml:space="preserve"> </w:t>
      </w:r>
      <w:r>
        <w:rPr>
          <w:color w:val="231F20"/>
        </w:rPr>
        <w:t>and</w:t>
      </w:r>
      <w:r>
        <w:rPr>
          <w:color w:val="231F20"/>
          <w:spacing w:val="-10"/>
        </w:rPr>
        <w:t xml:space="preserve"> </w:t>
      </w:r>
      <w:r>
        <w:rPr>
          <w:color w:val="231F20"/>
        </w:rPr>
        <w:t>action</w:t>
      </w:r>
      <w:r>
        <w:rPr>
          <w:color w:val="231F20"/>
          <w:spacing w:val="-10"/>
        </w:rPr>
        <w:t xml:space="preserve"> </w:t>
      </w:r>
      <w:r>
        <w:rPr>
          <w:color w:val="231F20"/>
        </w:rPr>
        <w:t>plan.</w:t>
      </w:r>
      <w:r>
        <w:rPr>
          <w:color w:val="231F20"/>
          <w:spacing w:val="-10"/>
        </w:rPr>
        <w:t xml:space="preserve"> </w:t>
      </w:r>
      <w:r>
        <w:rPr>
          <w:color w:val="231F20"/>
        </w:rPr>
        <w:t>This</w:t>
      </w:r>
      <w:r>
        <w:rPr>
          <w:color w:val="231F20"/>
          <w:spacing w:val="-10"/>
        </w:rPr>
        <w:t xml:space="preserve"> </w:t>
      </w:r>
      <w:r>
        <w:rPr>
          <w:color w:val="231F20"/>
        </w:rPr>
        <w:t>coincided with the organisation’s inaugural participation in AND’s Access and Inclusion Index. The evaluation</w:t>
      </w:r>
      <w:r>
        <w:rPr>
          <w:color w:val="231F20"/>
          <w:spacing w:val="-9"/>
        </w:rPr>
        <w:t xml:space="preserve"> </w:t>
      </w:r>
      <w:r>
        <w:rPr>
          <w:color w:val="231F20"/>
        </w:rPr>
        <w:t>and</w:t>
      </w:r>
      <w:r>
        <w:rPr>
          <w:color w:val="231F20"/>
          <w:spacing w:val="-9"/>
        </w:rPr>
        <w:t xml:space="preserve"> </w:t>
      </w:r>
      <w:r>
        <w:rPr>
          <w:color w:val="231F20"/>
        </w:rPr>
        <w:t>index</w:t>
      </w:r>
      <w:r>
        <w:rPr>
          <w:color w:val="231F20"/>
          <w:spacing w:val="-8"/>
        </w:rPr>
        <w:t xml:space="preserve"> </w:t>
      </w:r>
      <w:r>
        <w:rPr>
          <w:color w:val="231F20"/>
        </w:rPr>
        <w:t>resulted</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commendation</w:t>
      </w:r>
      <w:r>
        <w:rPr>
          <w:color w:val="231F20"/>
          <w:spacing w:val="-9"/>
        </w:rPr>
        <w:t xml:space="preserve"> </w:t>
      </w:r>
      <w:r>
        <w:rPr>
          <w:color w:val="231F20"/>
        </w:rPr>
        <w:t>for</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for</w:t>
      </w:r>
      <w:r>
        <w:rPr>
          <w:color w:val="231F20"/>
          <w:spacing w:val="-8"/>
        </w:rPr>
        <w:t xml:space="preserve"> </w:t>
      </w:r>
      <w:r>
        <w:rPr>
          <w:color w:val="231F20"/>
        </w:rPr>
        <w:t>progress</w:t>
      </w:r>
      <w:r>
        <w:rPr>
          <w:color w:val="231F20"/>
          <w:spacing w:val="-8"/>
        </w:rPr>
        <w:t xml:space="preserve"> </w:t>
      </w:r>
      <w:r>
        <w:rPr>
          <w:color w:val="231F20"/>
        </w:rPr>
        <w:t>made</w:t>
      </w:r>
      <w:r>
        <w:rPr>
          <w:color w:val="231F20"/>
          <w:spacing w:val="-9"/>
        </w:rPr>
        <w:t xml:space="preserve"> </w:t>
      </w:r>
      <w:r>
        <w:rPr>
          <w:color w:val="231F20"/>
        </w:rPr>
        <w:t>and</w:t>
      </w:r>
      <w:r>
        <w:rPr>
          <w:color w:val="231F20"/>
          <w:spacing w:val="-9"/>
        </w:rPr>
        <w:t xml:space="preserve"> </w:t>
      </w:r>
      <w:r>
        <w:rPr>
          <w:color w:val="231F20"/>
        </w:rPr>
        <w:t>some notable achievements including:</w:t>
      </w:r>
    </w:p>
    <w:p w14:paraId="7249CB3B" w14:textId="77777777" w:rsidR="00345EE3" w:rsidRDefault="00345EE3">
      <w:pPr>
        <w:pStyle w:val="ListParagraph"/>
        <w:numPr>
          <w:ilvl w:val="1"/>
          <w:numId w:val="82"/>
        </w:numPr>
        <w:tabs>
          <w:tab w:val="left" w:pos="393"/>
          <w:tab w:val="left" w:pos="394"/>
        </w:tabs>
        <w:spacing w:before="31" w:line="242" w:lineRule="auto"/>
        <w:ind w:left="393" w:right="932" w:hanging="284"/>
        <w:rPr>
          <w:color w:val="3D68AD"/>
          <w:sz w:val="14"/>
        </w:rPr>
      </w:pPr>
      <w:r>
        <w:rPr>
          <w:color w:val="231F20"/>
          <w:sz w:val="24"/>
        </w:rPr>
        <w:t>All</w:t>
      </w:r>
      <w:r>
        <w:rPr>
          <w:color w:val="231F20"/>
          <w:spacing w:val="-10"/>
          <w:sz w:val="24"/>
        </w:rPr>
        <w:t xml:space="preserve"> </w:t>
      </w: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Command</w:t>
      </w:r>
      <w:r>
        <w:rPr>
          <w:color w:val="231F20"/>
          <w:spacing w:val="-10"/>
          <w:sz w:val="24"/>
        </w:rPr>
        <w:t xml:space="preserve"> </w:t>
      </w:r>
      <w:r>
        <w:rPr>
          <w:color w:val="231F20"/>
          <w:sz w:val="24"/>
        </w:rPr>
        <w:t>members</w:t>
      </w:r>
      <w:r>
        <w:rPr>
          <w:color w:val="231F20"/>
          <w:spacing w:val="-9"/>
          <w:sz w:val="24"/>
        </w:rPr>
        <w:t xml:space="preserve"> </w:t>
      </w:r>
      <w:r>
        <w:rPr>
          <w:color w:val="231F20"/>
          <w:sz w:val="24"/>
        </w:rPr>
        <w:t>participated</w:t>
      </w:r>
      <w:r>
        <w:rPr>
          <w:color w:val="231F20"/>
          <w:spacing w:val="-10"/>
          <w:sz w:val="24"/>
        </w:rPr>
        <w:t xml:space="preserve"> </w:t>
      </w:r>
      <w:r>
        <w:rPr>
          <w:color w:val="231F20"/>
          <w:sz w:val="24"/>
        </w:rPr>
        <w:t>in</w:t>
      </w:r>
      <w:r>
        <w:rPr>
          <w:color w:val="231F20"/>
          <w:spacing w:val="-10"/>
          <w:sz w:val="24"/>
        </w:rPr>
        <w:t xml:space="preserve"> </w:t>
      </w:r>
      <w:r>
        <w:rPr>
          <w:color w:val="231F20"/>
          <w:sz w:val="24"/>
        </w:rPr>
        <w:t>Disability</w:t>
      </w:r>
      <w:r>
        <w:rPr>
          <w:color w:val="231F20"/>
          <w:spacing w:val="-9"/>
          <w:sz w:val="24"/>
        </w:rPr>
        <w:t xml:space="preserve"> </w:t>
      </w:r>
      <w:r>
        <w:rPr>
          <w:color w:val="231F20"/>
          <w:sz w:val="24"/>
        </w:rPr>
        <w:t>Confidence</w:t>
      </w:r>
      <w:r>
        <w:rPr>
          <w:color w:val="231F20"/>
          <w:spacing w:val="-10"/>
          <w:sz w:val="24"/>
        </w:rPr>
        <w:t xml:space="preserve"> </w:t>
      </w:r>
      <w:r>
        <w:rPr>
          <w:color w:val="231F20"/>
          <w:sz w:val="24"/>
        </w:rPr>
        <w:t>training</w:t>
      </w:r>
      <w:r>
        <w:rPr>
          <w:color w:val="231F20"/>
          <w:spacing w:val="-10"/>
          <w:sz w:val="24"/>
        </w:rPr>
        <w:t xml:space="preserve"> </w:t>
      </w:r>
      <w:r>
        <w:rPr>
          <w:color w:val="231F20"/>
          <w:sz w:val="24"/>
        </w:rPr>
        <w:t>facilitated by AND in partnership with the Victoria Police Disability Enablers Network (VP Enablers).</w:t>
      </w:r>
    </w:p>
    <w:p w14:paraId="14067AB1" w14:textId="77777777" w:rsidR="00345EE3" w:rsidRDefault="00345EE3">
      <w:pPr>
        <w:pStyle w:val="ListParagraph"/>
        <w:numPr>
          <w:ilvl w:val="1"/>
          <w:numId w:val="82"/>
        </w:numPr>
        <w:tabs>
          <w:tab w:val="left" w:pos="393"/>
          <w:tab w:val="left" w:pos="394"/>
        </w:tabs>
        <w:spacing w:before="31"/>
        <w:ind w:left="393" w:hanging="284"/>
        <w:rPr>
          <w:color w:val="3D68AD"/>
          <w:sz w:val="14"/>
        </w:rPr>
      </w:pPr>
      <w:r>
        <w:rPr>
          <w:color w:val="231F20"/>
          <w:sz w:val="24"/>
        </w:rPr>
        <w:t>A</w:t>
      </w:r>
      <w:r>
        <w:rPr>
          <w:color w:val="231F20"/>
          <w:spacing w:val="-13"/>
          <w:sz w:val="24"/>
        </w:rPr>
        <w:t xml:space="preserve"> </w:t>
      </w:r>
      <w:r>
        <w:rPr>
          <w:color w:val="231F20"/>
          <w:sz w:val="24"/>
        </w:rPr>
        <w:t>Workplace</w:t>
      </w:r>
      <w:r>
        <w:rPr>
          <w:color w:val="231F20"/>
          <w:spacing w:val="-11"/>
          <w:sz w:val="24"/>
        </w:rPr>
        <w:t xml:space="preserve"> </w:t>
      </w:r>
      <w:r>
        <w:rPr>
          <w:color w:val="231F20"/>
          <w:sz w:val="24"/>
        </w:rPr>
        <w:t>Adjustment</w:t>
      </w:r>
      <w:r>
        <w:rPr>
          <w:color w:val="231F20"/>
          <w:spacing w:val="-11"/>
          <w:sz w:val="24"/>
        </w:rPr>
        <w:t xml:space="preserve"> </w:t>
      </w:r>
      <w:r>
        <w:rPr>
          <w:color w:val="231F20"/>
          <w:sz w:val="24"/>
        </w:rPr>
        <w:t>Passport</w:t>
      </w:r>
      <w:r>
        <w:rPr>
          <w:color w:val="231F20"/>
          <w:spacing w:val="-11"/>
          <w:sz w:val="24"/>
        </w:rPr>
        <w:t xml:space="preserve"> </w:t>
      </w:r>
      <w:r>
        <w:rPr>
          <w:color w:val="231F20"/>
          <w:sz w:val="24"/>
        </w:rPr>
        <w:t>was</w:t>
      </w:r>
      <w:r>
        <w:rPr>
          <w:color w:val="231F20"/>
          <w:spacing w:val="-10"/>
          <w:sz w:val="24"/>
        </w:rPr>
        <w:t xml:space="preserve"> </w:t>
      </w:r>
      <w:r>
        <w:rPr>
          <w:color w:val="231F20"/>
          <w:sz w:val="24"/>
        </w:rPr>
        <w:t>developed,</w:t>
      </w:r>
      <w:r>
        <w:rPr>
          <w:color w:val="231F20"/>
          <w:spacing w:val="-11"/>
          <w:sz w:val="24"/>
        </w:rPr>
        <w:t xml:space="preserve"> </w:t>
      </w:r>
      <w:r>
        <w:rPr>
          <w:color w:val="231F20"/>
          <w:sz w:val="24"/>
        </w:rPr>
        <w:t>piloted</w:t>
      </w:r>
      <w:r>
        <w:rPr>
          <w:color w:val="231F20"/>
          <w:spacing w:val="-11"/>
          <w:sz w:val="24"/>
        </w:rPr>
        <w:t xml:space="preserve"> </w:t>
      </w:r>
      <w:r>
        <w:rPr>
          <w:color w:val="231F20"/>
          <w:sz w:val="24"/>
        </w:rPr>
        <w:t>and</w:t>
      </w:r>
      <w:r>
        <w:rPr>
          <w:color w:val="231F20"/>
          <w:spacing w:val="-11"/>
          <w:sz w:val="24"/>
        </w:rPr>
        <w:t xml:space="preserve"> </w:t>
      </w:r>
      <w:r>
        <w:rPr>
          <w:color w:val="231F20"/>
          <w:spacing w:val="-2"/>
          <w:sz w:val="24"/>
        </w:rPr>
        <w:t>launched.</w:t>
      </w:r>
    </w:p>
    <w:p w14:paraId="579D8D46" w14:textId="77777777" w:rsidR="00345EE3" w:rsidRDefault="00345EE3">
      <w:pPr>
        <w:pStyle w:val="ListParagraph"/>
        <w:numPr>
          <w:ilvl w:val="1"/>
          <w:numId w:val="82"/>
        </w:numPr>
        <w:tabs>
          <w:tab w:val="left" w:pos="393"/>
          <w:tab w:val="left" w:pos="394"/>
        </w:tabs>
        <w:ind w:left="393" w:hanging="284"/>
        <w:rPr>
          <w:color w:val="3D68AD"/>
          <w:sz w:val="14"/>
        </w:rPr>
      </w:pPr>
      <w:r>
        <w:rPr>
          <w:color w:val="231F20"/>
          <w:sz w:val="24"/>
        </w:rPr>
        <w:t>Victoria</w:t>
      </w:r>
      <w:r>
        <w:rPr>
          <w:color w:val="231F20"/>
          <w:spacing w:val="-14"/>
          <w:sz w:val="24"/>
        </w:rPr>
        <w:t xml:space="preserve"> </w:t>
      </w:r>
      <w:r>
        <w:rPr>
          <w:color w:val="231F20"/>
          <w:sz w:val="24"/>
        </w:rPr>
        <w:t>Police</w:t>
      </w:r>
      <w:r>
        <w:rPr>
          <w:color w:val="231F20"/>
          <w:spacing w:val="-12"/>
          <w:sz w:val="24"/>
        </w:rPr>
        <w:t xml:space="preserve"> </w:t>
      </w:r>
      <w:r>
        <w:rPr>
          <w:color w:val="231F20"/>
          <w:sz w:val="24"/>
        </w:rPr>
        <w:t>appointed</w:t>
      </w:r>
      <w:r>
        <w:rPr>
          <w:color w:val="231F20"/>
          <w:spacing w:val="-12"/>
          <w:sz w:val="24"/>
        </w:rPr>
        <w:t xml:space="preserve"> </w:t>
      </w:r>
      <w:r>
        <w:rPr>
          <w:color w:val="231F20"/>
          <w:sz w:val="24"/>
        </w:rPr>
        <w:t>four</w:t>
      </w:r>
      <w:r>
        <w:rPr>
          <w:color w:val="231F20"/>
          <w:spacing w:val="-12"/>
          <w:sz w:val="24"/>
        </w:rPr>
        <w:t xml:space="preserve"> </w:t>
      </w:r>
      <w:r>
        <w:rPr>
          <w:color w:val="231F20"/>
          <w:sz w:val="24"/>
        </w:rPr>
        <w:t>Command-level</w:t>
      </w:r>
      <w:r>
        <w:rPr>
          <w:color w:val="231F20"/>
          <w:spacing w:val="-12"/>
          <w:sz w:val="24"/>
        </w:rPr>
        <w:t xml:space="preserve"> </w:t>
      </w:r>
      <w:r>
        <w:rPr>
          <w:color w:val="231F20"/>
          <w:sz w:val="24"/>
        </w:rPr>
        <w:t>disability</w:t>
      </w:r>
      <w:r>
        <w:rPr>
          <w:color w:val="231F20"/>
          <w:spacing w:val="-11"/>
          <w:sz w:val="24"/>
        </w:rPr>
        <w:t xml:space="preserve"> </w:t>
      </w:r>
      <w:r>
        <w:rPr>
          <w:color w:val="231F20"/>
          <w:spacing w:val="-2"/>
          <w:sz w:val="24"/>
        </w:rPr>
        <w:t>champions.</w:t>
      </w:r>
    </w:p>
    <w:p w14:paraId="5241A061" w14:textId="77777777" w:rsidR="00345EE3" w:rsidRDefault="00345EE3">
      <w:pPr>
        <w:pStyle w:val="ListParagraph"/>
        <w:numPr>
          <w:ilvl w:val="1"/>
          <w:numId w:val="82"/>
        </w:numPr>
        <w:tabs>
          <w:tab w:val="left" w:pos="393"/>
          <w:tab w:val="left" w:pos="394"/>
        </w:tabs>
        <w:spacing w:line="242" w:lineRule="auto"/>
        <w:ind w:left="393" w:right="1437" w:hanging="284"/>
        <w:rPr>
          <w:color w:val="3D68AD"/>
          <w:sz w:val="14"/>
        </w:rPr>
      </w:pPr>
      <w:r>
        <w:rPr>
          <w:color w:val="231F20"/>
          <w:sz w:val="24"/>
        </w:rPr>
        <w:t>VPS</w:t>
      </w:r>
      <w:r>
        <w:rPr>
          <w:color w:val="231F20"/>
          <w:spacing w:val="-11"/>
          <w:sz w:val="24"/>
        </w:rPr>
        <w:t xml:space="preserve"> </w:t>
      </w:r>
      <w:r>
        <w:rPr>
          <w:color w:val="231F20"/>
          <w:sz w:val="24"/>
        </w:rPr>
        <w:t>candidates</w:t>
      </w:r>
      <w:r>
        <w:rPr>
          <w:color w:val="231F20"/>
          <w:spacing w:val="-11"/>
          <w:sz w:val="24"/>
        </w:rPr>
        <w:t xml:space="preserve"> </w:t>
      </w:r>
      <w:r>
        <w:rPr>
          <w:color w:val="231F20"/>
          <w:sz w:val="24"/>
        </w:rPr>
        <w:t>with</w:t>
      </w:r>
      <w:r>
        <w:rPr>
          <w:color w:val="231F20"/>
          <w:spacing w:val="-12"/>
          <w:sz w:val="24"/>
        </w:rPr>
        <w:t xml:space="preserve"> </w:t>
      </w:r>
      <w:r>
        <w:rPr>
          <w:color w:val="231F20"/>
          <w:sz w:val="24"/>
        </w:rPr>
        <w:t>disability</w:t>
      </w:r>
      <w:r>
        <w:rPr>
          <w:color w:val="231F20"/>
          <w:spacing w:val="-11"/>
          <w:sz w:val="24"/>
        </w:rPr>
        <w:t xml:space="preserve"> </w:t>
      </w:r>
      <w:r>
        <w:rPr>
          <w:color w:val="231F20"/>
          <w:sz w:val="24"/>
        </w:rPr>
        <w:t>were</w:t>
      </w:r>
      <w:r>
        <w:rPr>
          <w:color w:val="231F20"/>
          <w:spacing w:val="-12"/>
          <w:sz w:val="24"/>
        </w:rPr>
        <w:t xml:space="preserve"> </w:t>
      </w:r>
      <w:r>
        <w:rPr>
          <w:color w:val="231F20"/>
          <w:sz w:val="24"/>
        </w:rPr>
        <w:t>sourced</w:t>
      </w:r>
      <w:r>
        <w:rPr>
          <w:color w:val="231F20"/>
          <w:spacing w:val="-12"/>
          <w:sz w:val="24"/>
        </w:rPr>
        <w:t xml:space="preserve"> </w:t>
      </w:r>
      <w:r>
        <w:rPr>
          <w:color w:val="231F20"/>
          <w:sz w:val="24"/>
        </w:rPr>
        <w:t>for</w:t>
      </w:r>
      <w:r>
        <w:rPr>
          <w:color w:val="231F20"/>
          <w:spacing w:val="-11"/>
          <w:sz w:val="24"/>
        </w:rPr>
        <w:t xml:space="preserve"> </w:t>
      </w:r>
      <w:r>
        <w:rPr>
          <w:color w:val="231F20"/>
          <w:sz w:val="24"/>
        </w:rPr>
        <w:t>recruitment</w:t>
      </w:r>
      <w:r>
        <w:rPr>
          <w:color w:val="231F20"/>
          <w:spacing w:val="-11"/>
          <w:sz w:val="24"/>
        </w:rPr>
        <w:t xml:space="preserve"> </w:t>
      </w:r>
      <w:r>
        <w:rPr>
          <w:color w:val="231F20"/>
          <w:sz w:val="24"/>
        </w:rPr>
        <w:t>through</w:t>
      </w:r>
      <w:r>
        <w:rPr>
          <w:color w:val="231F20"/>
          <w:spacing w:val="-12"/>
          <w:sz w:val="24"/>
        </w:rPr>
        <w:t xml:space="preserve"> </w:t>
      </w:r>
      <w:r>
        <w:rPr>
          <w:color w:val="231F20"/>
          <w:sz w:val="24"/>
        </w:rPr>
        <w:t>AND’s</w:t>
      </w:r>
      <w:r>
        <w:rPr>
          <w:color w:val="231F20"/>
          <w:spacing w:val="-11"/>
          <w:sz w:val="24"/>
        </w:rPr>
        <w:t xml:space="preserve"> </w:t>
      </w:r>
      <w:r>
        <w:rPr>
          <w:color w:val="231F20"/>
          <w:sz w:val="24"/>
        </w:rPr>
        <w:t>Stepping</w:t>
      </w:r>
      <w:r>
        <w:rPr>
          <w:color w:val="231F20"/>
          <w:spacing w:val="-12"/>
          <w:sz w:val="24"/>
        </w:rPr>
        <w:t xml:space="preserve"> </w:t>
      </w:r>
      <w:r>
        <w:rPr>
          <w:color w:val="231F20"/>
          <w:sz w:val="24"/>
        </w:rPr>
        <w:t xml:space="preserve">Into Program, the Victorian Government Graduate Disability Stream, and the Youth Cadet </w:t>
      </w:r>
      <w:r>
        <w:rPr>
          <w:color w:val="231F20"/>
          <w:spacing w:val="-2"/>
          <w:sz w:val="24"/>
        </w:rPr>
        <w:t>Scheme.</w:t>
      </w:r>
    </w:p>
    <w:p w14:paraId="3AB27CEF" w14:textId="77777777" w:rsidR="00345EE3" w:rsidRDefault="00345EE3">
      <w:pPr>
        <w:pStyle w:val="ListParagraph"/>
        <w:numPr>
          <w:ilvl w:val="1"/>
          <w:numId w:val="82"/>
        </w:numPr>
        <w:tabs>
          <w:tab w:val="left" w:pos="393"/>
          <w:tab w:val="left" w:pos="394"/>
        </w:tabs>
        <w:spacing w:before="33" w:line="242" w:lineRule="auto"/>
        <w:ind w:left="393" w:right="1154" w:hanging="284"/>
        <w:rPr>
          <w:color w:val="3D68AD"/>
          <w:sz w:val="14"/>
        </w:rPr>
      </w:pPr>
      <w:r>
        <w:rPr>
          <w:color w:val="231F20"/>
          <w:sz w:val="24"/>
        </w:rPr>
        <w:t>Victoria</w:t>
      </w:r>
      <w:r>
        <w:rPr>
          <w:color w:val="231F20"/>
          <w:spacing w:val="-9"/>
          <w:sz w:val="24"/>
        </w:rPr>
        <w:t xml:space="preserve"> </w:t>
      </w:r>
      <w:r>
        <w:rPr>
          <w:color w:val="231F20"/>
          <w:sz w:val="24"/>
        </w:rPr>
        <w:t>Police</w:t>
      </w:r>
      <w:r>
        <w:rPr>
          <w:color w:val="231F20"/>
          <w:spacing w:val="-9"/>
          <w:sz w:val="24"/>
        </w:rPr>
        <w:t xml:space="preserve"> </w:t>
      </w:r>
      <w:r>
        <w:rPr>
          <w:color w:val="231F20"/>
          <w:sz w:val="24"/>
        </w:rPr>
        <w:t>incorporated</w:t>
      </w:r>
      <w:r>
        <w:rPr>
          <w:color w:val="231F20"/>
          <w:spacing w:val="-9"/>
          <w:sz w:val="24"/>
        </w:rPr>
        <w:t xml:space="preserve"> </w:t>
      </w:r>
      <w:r>
        <w:rPr>
          <w:color w:val="231F20"/>
          <w:sz w:val="24"/>
        </w:rPr>
        <w:t>universal</w:t>
      </w:r>
      <w:r>
        <w:rPr>
          <w:color w:val="231F20"/>
          <w:spacing w:val="-9"/>
          <w:sz w:val="24"/>
        </w:rPr>
        <w:t xml:space="preserve"> </w:t>
      </w:r>
      <w:r>
        <w:rPr>
          <w:color w:val="231F20"/>
          <w:sz w:val="24"/>
        </w:rPr>
        <w:t>design</w:t>
      </w:r>
      <w:r>
        <w:rPr>
          <w:color w:val="231F20"/>
          <w:spacing w:val="-9"/>
          <w:sz w:val="24"/>
        </w:rPr>
        <w:t xml:space="preserve"> </w:t>
      </w:r>
      <w:r>
        <w:rPr>
          <w:color w:val="231F20"/>
          <w:sz w:val="24"/>
        </w:rPr>
        <w:t>principles</w:t>
      </w:r>
      <w:r>
        <w:rPr>
          <w:color w:val="231F20"/>
          <w:spacing w:val="-8"/>
          <w:sz w:val="24"/>
        </w:rPr>
        <w:t xml:space="preserve"> </w:t>
      </w:r>
      <w:r>
        <w:rPr>
          <w:color w:val="231F20"/>
          <w:sz w:val="24"/>
        </w:rPr>
        <w:t>on</w:t>
      </w:r>
      <w:r>
        <w:rPr>
          <w:color w:val="231F20"/>
          <w:spacing w:val="-9"/>
          <w:sz w:val="24"/>
        </w:rPr>
        <w:t xml:space="preserve"> </w:t>
      </w:r>
      <w:r>
        <w:rPr>
          <w:color w:val="231F20"/>
          <w:sz w:val="24"/>
        </w:rPr>
        <w:t>access</w:t>
      </w:r>
      <w:r>
        <w:rPr>
          <w:color w:val="231F20"/>
          <w:spacing w:val="-8"/>
          <w:sz w:val="24"/>
        </w:rPr>
        <w:t xml:space="preserve"> </w:t>
      </w:r>
      <w:r>
        <w:rPr>
          <w:color w:val="231F20"/>
          <w:sz w:val="24"/>
        </w:rPr>
        <w:t>and</w:t>
      </w:r>
      <w:r>
        <w:rPr>
          <w:color w:val="231F20"/>
          <w:spacing w:val="-9"/>
          <w:sz w:val="24"/>
        </w:rPr>
        <w:t xml:space="preserve"> </w:t>
      </w:r>
      <w:r>
        <w:rPr>
          <w:color w:val="231F20"/>
          <w:sz w:val="24"/>
        </w:rPr>
        <w:t>inclusion</w:t>
      </w:r>
      <w:r>
        <w:rPr>
          <w:color w:val="231F20"/>
          <w:spacing w:val="-9"/>
          <w:sz w:val="24"/>
        </w:rPr>
        <w:t xml:space="preserve"> </w:t>
      </w:r>
      <w:r>
        <w:rPr>
          <w:color w:val="231F20"/>
          <w:sz w:val="24"/>
        </w:rPr>
        <w:t>into</w:t>
      </w:r>
      <w:r>
        <w:rPr>
          <w:color w:val="231F20"/>
          <w:spacing w:val="-9"/>
          <w:sz w:val="24"/>
        </w:rPr>
        <w:t xml:space="preserve"> </w:t>
      </w:r>
      <w:r>
        <w:rPr>
          <w:color w:val="231F20"/>
          <w:sz w:val="24"/>
        </w:rPr>
        <w:t>all</w:t>
      </w:r>
      <w:r>
        <w:rPr>
          <w:color w:val="231F20"/>
          <w:spacing w:val="-9"/>
          <w:sz w:val="24"/>
        </w:rPr>
        <w:t xml:space="preserve"> </w:t>
      </w:r>
      <w:r>
        <w:rPr>
          <w:color w:val="231F20"/>
          <w:sz w:val="24"/>
        </w:rPr>
        <w:t>new buildings and facilities.</w:t>
      </w:r>
    </w:p>
    <w:p w14:paraId="6C6FB28A" w14:textId="77777777" w:rsidR="00345EE3" w:rsidRDefault="00345EE3">
      <w:pPr>
        <w:pStyle w:val="ListParagraph"/>
        <w:numPr>
          <w:ilvl w:val="1"/>
          <w:numId w:val="82"/>
        </w:numPr>
        <w:tabs>
          <w:tab w:val="left" w:pos="393"/>
          <w:tab w:val="left" w:pos="394"/>
        </w:tabs>
        <w:spacing w:before="30" w:line="242" w:lineRule="auto"/>
        <w:ind w:left="393" w:right="1651" w:hanging="284"/>
        <w:rPr>
          <w:color w:val="3D68AD"/>
          <w:sz w:val="14"/>
        </w:rPr>
      </w:pPr>
      <w:r>
        <w:rPr>
          <w:color w:val="231F20"/>
          <w:sz w:val="24"/>
        </w:rPr>
        <w:t>An</w:t>
      </w:r>
      <w:r>
        <w:rPr>
          <w:color w:val="231F20"/>
          <w:spacing w:val="-13"/>
          <w:sz w:val="24"/>
        </w:rPr>
        <w:t xml:space="preserve"> </w:t>
      </w:r>
      <w:r>
        <w:rPr>
          <w:color w:val="231F20"/>
          <w:sz w:val="24"/>
        </w:rPr>
        <w:t>IT</w:t>
      </w:r>
      <w:r>
        <w:rPr>
          <w:color w:val="231F20"/>
          <w:spacing w:val="-12"/>
          <w:sz w:val="24"/>
        </w:rPr>
        <w:t xml:space="preserve"> </w:t>
      </w:r>
      <w:r>
        <w:rPr>
          <w:color w:val="231F20"/>
          <w:sz w:val="24"/>
        </w:rPr>
        <w:t>Reasonable</w:t>
      </w:r>
      <w:r>
        <w:rPr>
          <w:color w:val="231F20"/>
          <w:spacing w:val="-13"/>
          <w:sz w:val="24"/>
        </w:rPr>
        <w:t xml:space="preserve"> </w:t>
      </w:r>
      <w:r>
        <w:rPr>
          <w:color w:val="231F20"/>
          <w:sz w:val="24"/>
        </w:rPr>
        <w:t>Adjustments</w:t>
      </w:r>
      <w:r>
        <w:rPr>
          <w:color w:val="231F20"/>
          <w:spacing w:val="-12"/>
          <w:sz w:val="24"/>
        </w:rPr>
        <w:t xml:space="preserve"> </w:t>
      </w:r>
      <w:r>
        <w:rPr>
          <w:color w:val="231F20"/>
          <w:sz w:val="24"/>
        </w:rPr>
        <w:t>Working</w:t>
      </w:r>
      <w:r>
        <w:rPr>
          <w:color w:val="231F20"/>
          <w:spacing w:val="-13"/>
          <w:sz w:val="24"/>
        </w:rPr>
        <w:t xml:space="preserve"> </w:t>
      </w:r>
      <w:r>
        <w:rPr>
          <w:color w:val="231F20"/>
          <w:sz w:val="24"/>
        </w:rPr>
        <w:t>Group</w:t>
      </w:r>
      <w:r>
        <w:rPr>
          <w:color w:val="231F20"/>
          <w:spacing w:val="-13"/>
          <w:sz w:val="24"/>
        </w:rPr>
        <w:t xml:space="preserve"> </w:t>
      </w:r>
      <w:r>
        <w:rPr>
          <w:color w:val="231F20"/>
          <w:sz w:val="24"/>
        </w:rPr>
        <w:t>was</w:t>
      </w:r>
      <w:r>
        <w:rPr>
          <w:color w:val="231F20"/>
          <w:spacing w:val="-12"/>
          <w:sz w:val="24"/>
        </w:rPr>
        <w:t xml:space="preserve"> </w:t>
      </w:r>
      <w:r>
        <w:rPr>
          <w:color w:val="231F20"/>
          <w:sz w:val="24"/>
        </w:rPr>
        <w:t>established</w:t>
      </w:r>
      <w:r>
        <w:rPr>
          <w:color w:val="231F20"/>
          <w:spacing w:val="-13"/>
          <w:sz w:val="24"/>
        </w:rPr>
        <w:t xml:space="preserve"> </w:t>
      </w:r>
      <w:r>
        <w:rPr>
          <w:color w:val="231F20"/>
          <w:sz w:val="24"/>
        </w:rPr>
        <w:t>to</w:t>
      </w:r>
      <w:r>
        <w:rPr>
          <w:color w:val="231F20"/>
          <w:spacing w:val="-13"/>
          <w:sz w:val="24"/>
        </w:rPr>
        <w:t xml:space="preserve"> </w:t>
      </w:r>
      <w:r>
        <w:rPr>
          <w:color w:val="231F20"/>
          <w:sz w:val="24"/>
        </w:rPr>
        <w:t>facilitate</w:t>
      </w:r>
      <w:r>
        <w:rPr>
          <w:color w:val="231F20"/>
          <w:spacing w:val="-13"/>
          <w:sz w:val="24"/>
        </w:rPr>
        <w:t xml:space="preserve"> </w:t>
      </w:r>
      <w:r>
        <w:rPr>
          <w:color w:val="231F20"/>
          <w:sz w:val="24"/>
        </w:rPr>
        <w:t>technology adjustments for employees with disability.</w:t>
      </w:r>
    </w:p>
    <w:p w14:paraId="1421508C" w14:textId="77777777" w:rsidR="00345EE3" w:rsidRDefault="00345EE3">
      <w:pPr>
        <w:pStyle w:val="ListParagraph"/>
        <w:numPr>
          <w:ilvl w:val="1"/>
          <w:numId w:val="82"/>
        </w:numPr>
        <w:tabs>
          <w:tab w:val="left" w:pos="393"/>
          <w:tab w:val="left" w:pos="394"/>
        </w:tabs>
        <w:spacing w:before="31" w:line="242" w:lineRule="auto"/>
        <w:ind w:left="393" w:right="1125" w:hanging="284"/>
        <w:rPr>
          <w:color w:val="3D68AD"/>
          <w:sz w:val="14"/>
        </w:rPr>
      </w:pP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led</w:t>
      </w:r>
      <w:r>
        <w:rPr>
          <w:color w:val="231F20"/>
          <w:spacing w:val="-10"/>
          <w:sz w:val="24"/>
        </w:rPr>
        <w:t xml:space="preserve"> </w:t>
      </w:r>
      <w:r>
        <w:rPr>
          <w:color w:val="231F20"/>
          <w:sz w:val="24"/>
        </w:rPr>
        <w:t>the</w:t>
      </w:r>
      <w:r>
        <w:rPr>
          <w:color w:val="231F20"/>
          <w:spacing w:val="-10"/>
          <w:sz w:val="24"/>
        </w:rPr>
        <w:t xml:space="preserve"> </w:t>
      </w:r>
      <w:r>
        <w:rPr>
          <w:color w:val="231F20"/>
          <w:sz w:val="24"/>
        </w:rPr>
        <w:t>establishment</w:t>
      </w:r>
      <w:r>
        <w:rPr>
          <w:color w:val="231F20"/>
          <w:spacing w:val="-9"/>
          <w:sz w:val="24"/>
        </w:rPr>
        <w:t xml:space="preserve"> </w:t>
      </w:r>
      <w:r>
        <w:rPr>
          <w:color w:val="231F20"/>
          <w:sz w:val="24"/>
        </w:rPr>
        <w:t>of</w:t>
      </w:r>
      <w:r>
        <w:rPr>
          <w:color w:val="231F20"/>
          <w:spacing w:val="-9"/>
          <w:sz w:val="24"/>
        </w:rPr>
        <w:t xml:space="preserve"> </w:t>
      </w:r>
      <w:r>
        <w:rPr>
          <w:color w:val="231F20"/>
          <w:sz w:val="24"/>
        </w:rPr>
        <w:t>a</w:t>
      </w:r>
      <w:r>
        <w:rPr>
          <w:color w:val="231F20"/>
          <w:spacing w:val="-10"/>
          <w:sz w:val="24"/>
        </w:rPr>
        <w:t xml:space="preserve"> </w:t>
      </w:r>
      <w:r>
        <w:rPr>
          <w:color w:val="231F20"/>
          <w:sz w:val="24"/>
        </w:rPr>
        <w:t>Whole</w:t>
      </w:r>
      <w:r>
        <w:rPr>
          <w:color w:val="231F20"/>
          <w:spacing w:val="-10"/>
          <w:sz w:val="24"/>
        </w:rPr>
        <w:t xml:space="preserve"> </w:t>
      </w:r>
      <w:r>
        <w:rPr>
          <w:color w:val="231F20"/>
          <w:sz w:val="24"/>
        </w:rPr>
        <w:t>of</w:t>
      </w:r>
      <w:r>
        <w:rPr>
          <w:color w:val="231F20"/>
          <w:spacing w:val="-9"/>
          <w:sz w:val="24"/>
        </w:rPr>
        <w:t xml:space="preserve"> </w:t>
      </w:r>
      <w:r>
        <w:rPr>
          <w:color w:val="231F20"/>
          <w:sz w:val="24"/>
        </w:rPr>
        <w:t>Government</w:t>
      </w:r>
      <w:r>
        <w:rPr>
          <w:color w:val="231F20"/>
          <w:spacing w:val="-9"/>
          <w:sz w:val="24"/>
        </w:rPr>
        <w:t xml:space="preserve"> </w:t>
      </w:r>
      <w:r>
        <w:rPr>
          <w:color w:val="231F20"/>
          <w:sz w:val="24"/>
        </w:rPr>
        <w:t>Mentoring</w:t>
      </w:r>
      <w:r>
        <w:rPr>
          <w:color w:val="231F20"/>
          <w:spacing w:val="-10"/>
          <w:sz w:val="24"/>
        </w:rPr>
        <w:t xml:space="preserve"> </w:t>
      </w:r>
      <w:r>
        <w:rPr>
          <w:color w:val="231F20"/>
          <w:sz w:val="24"/>
        </w:rPr>
        <w:t>Program</w:t>
      </w:r>
      <w:r>
        <w:rPr>
          <w:color w:val="231F20"/>
          <w:spacing w:val="-9"/>
          <w:sz w:val="24"/>
        </w:rPr>
        <w:t xml:space="preserve"> </w:t>
      </w:r>
      <w:r>
        <w:rPr>
          <w:color w:val="231F20"/>
          <w:sz w:val="24"/>
        </w:rPr>
        <w:t>Pilot</w:t>
      </w:r>
      <w:r>
        <w:rPr>
          <w:color w:val="231F20"/>
          <w:spacing w:val="-9"/>
          <w:sz w:val="24"/>
        </w:rPr>
        <w:t xml:space="preserve"> </w:t>
      </w:r>
      <w:r>
        <w:rPr>
          <w:color w:val="231F20"/>
          <w:sz w:val="24"/>
        </w:rPr>
        <w:t>for employees with disability.</w:t>
      </w:r>
    </w:p>
    <w:p w14:paraId="5D1BBA70" w14:textId="77777777" w:rsidR="00345EE3" w:rsidRDefault="00345EE3">
      <w:pPr>
        <w:pStyle w:val="ListParagraph"/>
        <w:numPr>
          <w:ilvl w:val="1"/>
          <w:numId w:val="82"/>
        </w:numPr>
        <w:tabs>
          <w:tab w:val="left" w:pos="393"/>
          <w:tab w:val="left" w:pos="394"/>
        </w:tabs>
        <w:spacing w:before="31" w:line="242" w:lineRule="auto"/>
        <w:ind w:left="393" w:right="1613" w:hanging="284"/>
        <w:rPr>
          <w:color w:val="3D68AD"/>
          <w:sz w:val="14"/>
        </w:rPr>
      </w:pPr>
      <w:r>
        <w:rPr>
          <w:color w:val="231F20"/>
          <w:sz w:val="24"/>
        </w:rPr>
        <w:t>The</w:t>
      </w:r>
      <w:r>
        <w:rPr>
          <w:color w:val="231F20"/>
          <w:spacing w:val="-10"/>
          <w:sz w:val="24"/>
        </w:rPr>
        <w:t xml:space="preserve"> </w:t>
      </w:r>
      <w:r>
        <w:rPr>
          <w:color w:val="231F20"/>
          <w:sz w:val="24"/>
        </w:rPr>
        <w:t>intranet</w:t>
      </w:r>
      <w:r>
        <w:rPr>
          <w:color w:val="231F20"/>
          <w:spacing w:val="-9"/>
          <w:sz w:val="24"/>
        </w:rPr>
        <w:t xml:space="preserve"> </w:t>
      </w:r>
      <w:r>
        <w:rPr>
          <w:color w:val="231F20"/>
          <w:sz w:val="24"/>
        </w:rPr>
        <w:t>Accessibility</w:t>
      </w:r>
      <w:r>
        <w:rPr>
          <w:color w:val="231F20"/>
          <w:spacing w:val="-9"/>
          <w:sz w:val="24"/>
        </w:rPr>
        <w:t xml:space="preserve"> </w:t>
      </w:r>
      <w:r>
        <w:rPr>
          <w:color w:val="231F20"/>
          <w:sz w:val="24"/>
        </w:rPr>
        <w:t>Hub</w:t>
      </w:r>
      <w:r>
        <w:rPr>
          <w:color w:val="231F20"/>
          <w:spacing w:val="-10"/>
          <w:sz w:val="24"/>
        </w:rPr>
        <w:t xml:space="preserve"> </w:t>
      </w:r>
      <w:r>
        <w:rPr>
          <w:color w:val="231F20"/>
          <w:sz w:val="24"/>
        </w:rPr>
        <w:t>was</w:t>
      </w:r>
      <w:r>
        <w:rPr>
          <w:color w:val="231F20"/>
          <w:spacing w:val="-9"/>
          <w:sz w:val="24"/>
        </w:rPr>
        <w:t xml:space="preserve"> </w:t>
      </w:r>
      <w:r>
        <w:rPr>
          <w:color w:val="231F20"/>
          <w:sz w:val="24"/>
        </w:rPr>
        <w:t>launched</w:t>
      </w:r>
      <w:r>
        <w:rPr>
          <w:color w:val="231F20"/>
          <w:spacing w:val="-10"/>
          <w:sz w:val="24"/>
        </w:rPr>
        <w:t xml:space="preserve"> </w:t>
      </w:r>
      <w:r>
        <w:rPr>
          <w:color w:val="231F20"/>
          <w:sz w:val="24"/>
        </w:rPr>
        <w:t>to</w:t>
      </w:r>
      <w:r>
        <w:rPr>
          <w:color w:val="231F20"/>
          <w:spacing w:val="-10"/>
          <w:sz w:val="24"/>
        </w:rPr>
        <w:t xml:space="preserve"> </w:t>
      </w:r>
      <w:r>
        <w:rPr>
          <w:color w:val="231F20"/>
          <w:sz w:val="24"/>
        </w:rPr>
        <w:t>provide</w:t>
      </w:r>
      <w:r>
        <w:rPr>
          <w:color w:val="231F20"/>
          <w:spacing w:val="-10"/>
          <w:sz w:val="24"/>
        </w:rPr>
        <w:t xml:space="preserve"> </w:t>
      </w:r>
      <w:r>
        <w:rPr>
          <w:color w:val="231F20"/>
          <w:sz w:val="24"/>
        </w:rPr>
        <w:t>guidance</w:t>
      </w:r>
      <w:r>
        <w:rPr>
          <w:color w:val="231F20"/>
          <w:spacing w:val="-10"/>
          <w:sz w:val="24"/>
        </w:rPr>
        <w:t xml:space="preserve"> </w:t>
      </w:r>
      <w:r>
        <w:rPr>
          <w:color w:val="231F20"/>
          <w:sz w:val="24"/>
        </w:rPr>
        <w:t>and</w:t>
      </w:r>
      <w:r>
        <w:rPr>
          <w:color w:val="231F20"/>
          <w:spacing w:val="-10"/>
          <w:sz w:val="24"/>
        </w:rPr>
        <w:t xml:space="preserve"> </w:t>
      </w:r>
      <w:r>
        <w:rPr>
          <w:color w:val="231F20"/>
          <w:sz w:val="24"/>
        </w:rPr>
        <w:t>resources</w:t>
      </w:r>
      <w:r>
        <w:rPr>
          <w:color w:val="231F20"/>
          <w:spacing w:val="-9"/>
          <w:sz w:val="24"/>
        </w:rPr>
        <w:t xml:space="preserve"> </w:t>
      </w:r>
      <w:r>
        <w:rPr>
          <w:color w:val="231F20"/>
          <w:sz w:val="24"/>
        </w:rPr>
        <w:t>to</w:t>
      </w:r>
      <w:r>
        <w:rPr>
          <w:color w:val="231F20"/>
          <w:spacing w:val="-10"/>
          <w:sz w:val="24"/>
        </w:rPr>
        <w:t xml:space="preserve"> </w:t>
      </w:r>
      <w:r>
        <w:rPr>
          <w:color w:val="231F20"/>
          <w:sz w:val="24"/>
        </w:rPr>
        <w:t>help employees and workplaces create accessible digital content.</w:t>
      </w:r>
    </w:p>
    <w:p w14:paraId="0BCC41A4" w14:textId="77777777" w:rsidR="00345EE3" w:rsidRDefault="00345EE3" w:rsidP="00345EE3">
      <w:pPr>
        <w:pStyle w:val="BodyText"/>
        <w:spacing w:before="116" w:line="242" w:lineRule="auto"/>
        <w:ind w:right="848"/>
      </w:pPr>
      <w:r>
        <w:rPr>
          <w:color w:val="231F20"/>
        </w:rPr>
        <w:t>The</w:t>
      </w:r>
      <w:r>
        <w:rPr>
          <w:color w:val="231F20"/>
          <w:spacing w:val="-10"/>
        </w:rPr>
        <w:t xml:space="preserve"> </w:t>
      </w:r>
      <w:r>
        <w:rPr>
          <w:color w:val="231F20"/>
        </w:rPr>
        <w:t>2022–2024</w:t>
      </w:r>
      <w:r>
        <w:rPr>
          <w:color w:val="231F20"/>
          <w:spacing w:val="-10"/>
        </w:rPr>
        <w:t xml:space="preserve"> </w:t>
      </w:r>
      <w:r>
        <w:rPr>
          <w:color w:val="231F20"/>
        </w:rPr>
        <w:t>Diversity</w:t>
      </w:r>
      <w:r>
        <w:rPr>
          <w:color w:val="231F20"/>
          <w:spacing w:val="-9"/>
        </w:rPr>
        <w:t xml:space="preserve"> </w:t>
      </w:r>
      <w:r>
        <w:rPr>
          <w:color w:val="231F20"/>
        </w:rPr>
        <w:t>and</w:t>
      </w:r>
      <w:r>
        <w:rPr>
          <w:color w:val="231F20"/>
          <w:spacing w:val="-10"/>
        </w:rPr>
        <w:t xml:space="preserve"> </w:t>
      </w:r>
      <w:r>
        <w:rPr>
          <w:color w:val="231F20"/>
        </w:rPr>
        <w:t>Inclusion</w:t>
      </w:r>
      <w:r>
        <w:rPr>
          <w:color w:val="231F20"/>
          <w:spacing w:val="-10"/>
        </w:rPr>
        <w:t xml:space="preserve"> </w:t>
      </w:r>
      <w:r>
        <w:rPr>
          <w:color w:val="231F20"/>
        </w:rPr>
        <w:t>Framework</w:t>
      </w:r>
      <w:r>
        <w:rPr>
          <w:color w:val="231F20"/>
          <w:spacing w:val="-9"/>
        </w:rPr>
        <w:t xml:space="preserve"> </w:t>
      </w:r>
      <w:r>
        <w:rPr>
          <w:color w:val="231F20"/>
        </w:rPr>
        <w:t>and</w:t>
      </w:r>
      <w:r>
        <w:rPr>
          <w:color w:val="231F20"/>
          <w:spacing w:val="-10"/>
        </w:rPr>
        <w:t xml:space="preserve"> </w:t>
      </w:r>
      <w:r>
        <w:rPr>
          <w:color w:val="231F20"/>
        </w:rPr>
        <w:t>a</w:t>
      </w:r>
      <w:r>
        <w:rPr>
          <w:color w:val="231F20"/>
          <w:spacing w:val="-10"/>
        </w:rPr>
        <w:t xml:space="preserve"> </w:t>
      </w:r>
      <w:r>
        <w:rPr>
          <w:color w:val="231F20"/>
        </w:rPr>
        <w:t>refreshed</w:t>
      </w:r>
      <w:r>
        <w:rPr>
          <w:color w:val="231F20"/>
          <w:spacing w:val="-10"/>
        </w:rPr>
        <w:t xml:space="preserve"> </w:t>
      </w:r>
      <w:r>
        <w:rPr>
          <w:color w:val="231F20"/>
        </w:rPr>
        <w:t>Accessibility</w:t>
      </w:r>
      <w:r>
        <w:rPr>
          <w:color w:val="231F20"/>
          <w:spacing w:val="-9"/>
        </w:rPr>
        <w:t xml:space="preserve"> </w:t>
      </w:r>
      <w:r>
        <w:rPr>
          <w:color w:val="231F20"/>
        </w:rPr>
        <w:t>Action</w:t>
      </w:r>
      <w:r>
        <w:rPr>
          <w:color w:val="231F20"/>
          <w:spacing w:val="-10"/>
        </w:rPr>
        <w:t xml:space="preserve"> </w:t>
      </w:r>
      <w:r>
        <w:rPr>
          <w:color w:val="231F20"/>
        </w:rPr>
        <w:t>Plan</w:t>
      </w:r>
      <w:r>
        <w:rPr>
          <w:color w:val="231F20"/>
          <w:spacing w:val="-10"/>
        </w:rPr>
        <w:t xml:space="preserve"> </w:t>
      </w:r>
      <w:r>
        <w:rPr>
          <w:color w:val="231F20"/>
        </w:rPr>
        <w:t>are in development and due for release in late 2022.</w:t>
      </w:r>
    </w:p>
    <w:p w14:paraId="35FEFA15" w14:textId="77777777" w:rsidR="00345EE3" w:rsidRDefault="00345EE3" w:rsidP="00345EE3">
      <w:pPr>
        <w:rPr>
          <w:color w:val="00529F"/>
          <w:sz w:val="32"/>
          <w:szCs w:val="32"/>
        </w:rPr>
      </w:pPr>
      <w:r>
        <w:rPr>
          <w:color w:val="00529F"/>
        </w:rPr>
        <w:br w:type="page"/>
      </w:r>
    </w:p>
    <w:p w14:paraId="11CCD8BD" w14:textId="77777777" w:rsidR="00345EE3" w:rsidRPr="00404045" w:rsidRDefault="00345EE3" w:rsidP="00404045">
      <w:pPr>
        <w:pStyle w:val="Heading2"/>
        <w:spacing w:before="214"/>
        <w:rPr>
          <w:sz w:val="32"/>
          <w:szCs w:val="32"/>
        </w:rPr>
      </w:pPr>
      <w:r w:rsidRPr="00404045">
        <w:rPr>
          <w:color w:val="00529F"/>
          <w:sz w:val="32"/>
          <w:szCs w:val="32"/>
        </w:rPr>
        <w:t>Compliance</w:t>
      </w:r>
      <w:r w:rsidRPr="00404045">
        <w:rPr>
          <w:color w:val="00529F"/>
          <w:spacing w:val="-10"/>
          <w:sz w:val="32"/>
          <w:szCs w:val="32"/>
        </w:rPr>
        <w:t xml:space="preserve"> </w:t>
      </w:r>
      <w:r w:rsidRPr="00404045">
        <w:rPr>
          <w:color w:val="00529F"/>
          <w:sz w:val="32"/>
          <w:szCs w:val="32"/>
        </w:rPr>
        <w:t>with</w:t>
      </w:r>
      <w:r w:rsidRPr="00404045">
        <w:rPr>
          <w:color w:val="00529F"/>
          <w:spacing w:val="-10"/>
          <w:sz w:val="32"/>
          <w:szCs w:val="32"/>
        </w:rPr>
        <w:t xml:space="preserve"> </w:t>
      </w:r>
      <w:r w:rsidRPr="00404045">
        <w:rPr>
          <w:color w:val="00529F"/>
          <w:sz w:val="32"/>
          <w:szCs w:val="32"/>
        </w:rPr>
        <w:t>Other</w:t>
      </w:r>
      <w:r w:rsidRPr="00404045">
        <w:rPr>
          <w:color w:val="00529F"/>
          <w:spacing w:val="-9"/>
          <w:sz w:val="32"/>
          <w:szCs w:val="32"/>
        </w:rPr>
        <w:t xml:space="preserve"> </w:t>
      </w:r>
      <w:r w:rsidRPr="00404045">
        <w:rPr>
          <w:color w:val="00529F"/>
          <w:spacing w:val="-2"/>
          <w:sz w:val="32"/>
          <w:szCs w:val="32"/>
        </w:rPr>
        <w:t>Legislation</w:t>
      </w:r>
    </w:p>
    <w:p w14:paraId="7AA38DB8" w14:textId="77777777" w:rsidR="00345EE3" w:rsidRDefault="00345EE3" w:rsidP="00404045">
      <w:pPr>
        <w:pStyle w:val="Heading4"/>
        <w:spacing w:before="168"/>
        <w:ind w:left="0"/>
        <w:rPr>
          <w:rFonts w:ascii="Arial"/>
          <w:i w:val="0"/>
        </w:rPr>
      </w:pPr>
      <w:r>
        <w:rPr>
          <w:color w:val="3D68AD"/>
          <w:spacing w:val="-2"/>
        </w:rPr>
        <w:t>Victoria</w:t>
      </w:r>
      <w:r>
        <w:rPr>
          <w:color w:val="3D68AD"/>
          <w:spacing w:val="-14"/>
        </w:rPr>
        <w:t xml:space="preserve"> </w:t>
      </w:r>
      <w:r>
        <w:rPr>
          <w:color w:val="3D68AD"/>
          <w:spacing w:val="-2"/>
        </w:rPr>
        <w:t>Police</w:t>
      </w:r>
      <w:r>
        <w:rPr>
          <w:color w:val="3D68AD"/>
          <w:spacing w:val="-13"/>
        </w:rPr>
        <w:t xml:space="preserve"> </w:t>
      </w:r>
      <w:r>
        <w:rPr>
          <w:color w:val="3D68AD"/>
          <w:spacing w:val="-2"/>
        </w:rPr>
        <w:t>Act</w:t>
      </w:r>
      <w:r>
        <w:rPr>
          <w:color w:val="3D68AD"/>
          <w:spacing w:val="-13"/>
        </w:rPr>
        <w:t xml:space="preserve"> </w:t>
      </w:r>
      <w:r>
        <w:rPr>
          <w:rFonts w:ascii="Arial"/>
          <w:i w:val="0"/>
          <w:color w:val="3D68AD"/>
          <w:spacing w:val="-4"/>
        </w:rPr>
        <w:t>2013</w:t>
      </w:r>
    </w:p>
    <w:p w14:paraId="6F80BB7C" w14:textId="77777777" w:rsidR="00345EE3" w:rsidRDefault="00345EE3" w:rsidP="00404045">
      <w:pPr>
        <w:pStyle w:val="Heading5"/>
        <w:spacing w:before="109"/>
        <w:ind w:left="0"/>
      </w:pPr>
      <w:r>
        <w:rPr>
          <w:color w:val="58595B"/>
        </w:rPr>
        <w:t xml:space="preserve">Section </w:t>
      </w:r>
      <w:r>
        <w:rPr>
          <w:color w:val="58595B"/>
          <w:spacing w:val="-2"/>
        </w:rPr>
        <w:t>12(1)(a)</w:t>
      </w:r>
    </w:p>
    <w:p w14:paraId="38A576C3" w14:textId="77777777" w:rsidR="00345EE3" w:rsidRDefault="00345EE3" w:rsidP="00345EE3">
      <w:pPr>
        <w:pStyle w:val="BodyText"/>
        <w:spacing w:before="4" w:line="242" w:lineRule="auto"/>
        <w:ind w:right="921"/>
      </w:pPr>
      <w:r>
        <w:rPr>
          <w:color w:val="231F20"/>
        </w:rPr>
        <w:t>Any</w:t>
      </w:r>
      <w:r>
        <w:rPr>
          <w:color w:val="231F20"/>
          <w:spacing w:val="-10"/>
        </w:rPr>
        <w:t xml:space="preserve"> </w:t>
      </w:r>
      <w:r>
        <w:rPr>
          <w:color w:val="231F20"/>
        </w:rPr>
        <w:t>action</w:t>
      </w:r>
      <w:r>
        <w:rPr>
          <w:color w:val="231F20"/>
          <w:spacing w:val="-10"/>
        </w:rPr>
        <w:t xml:space="preserve"> </w:t>
      </w:r>
      <w:r>
        <w:rPr>
          <w:color w:val="231F20"/>
        </w:rPr>
        <w:t>taken</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Chief</w:t>
      </w:r>
      <w:r>
        <w:rPr>
          <w:color w:val="231F20"/>
          <w:spacing w:val="-10"/>
        </w:rPr>
        <w:t xml:space="preserve"> </w:t>
      </w:r>
      <w:r>
        <w:rPr>
          <w:color w:val="231F20"/>
        </w:rPr>
        <w:t>Commissioner</w:t>
      </w:r>
      <w:r>
        <w:rPr>
          <w:color w:val="231F20"/>
          <w:spacing w:val="-10"/>
        </w:rPr>
        <w:t xml:space="preserve"> </w:t>
      </w:r>
      <w:r>
        <w:rPr>
          <w:color w:val="231F20"/>
        </w:rPr>
        <w:t>of</w:t>
      </w:r>
      <w:r>
        <w:rPr>
          <w:color w:val="231F20"/>
          <w:spacing w:val="-10"/>
        </w:rPr>
        <w:t xml:space="preserve"> </w:t>
      </w:r>
      <w:r>
        <w:rPr>
          <w:color w:val="231F20"/>
        </w:rPr>
        <w:t>Police</w:t>
      </w:r>
      <w:r>
        <w:rPr>
          <w:color w:val="231F20"/>
          <w:spacing w:val="-10"/>
        </w:rPr>
        <w:t xml:space="preserve"> </w:t>
      </w:r>
      <w:r>
        <w:rPr>
          <w:color w:val="231F20"/>
        </w:rPr>
        <w:t>under</w:t>
      </w:r>
      <w:r>
        <w:rPr>
          <w:color w:val="231F20"/>
          <w:spacing w:val="-10"/>
        </w:rPr>
        <w:t xml:space="preserve"> </w:t>
      </w:r>
      <w:r>
        <w:rPr>
          <w:color w:val="231F20"/>
        </w:rPr>
        <w:t>Division</w:t>
      </w:r>
      <w:r>
        <w:rPr>
          <w:color w:val="231F20"/>
          <w:spacing w:val="-10"/>
        </w:rPr>
        <w:t xml:space="preserve"> </w:t>
      </w:r>
      <w:r>
        <w:rPr>
          <w:color w:val="231F20"/>
        </w:rPr>
        <w:t>6</w:t>
      </w:r>
      <w:r>
        <w:rPr>
          <w:color w:val="231F20"/>
          <w:spacing w:val="-10"/>
        </w:rPr>
        <w:t xml:space="preserve"> </w:t>
      </w:r>
      <w:r>
        <w:rPr>
          <w:color w:val="231F20"/>
        </w:rPr>
        <w:t>of</w:t>
      </w:r>
      <w:r>
        <w:rPr>
          <w:color w:val="231F20"/>
          <w:spacing w:val="-10"/>
        </w:rPr>
        <w:t xml:space="preserve"> </w:t>
      </w:r>
      <w:r>
        <w:rPr>
          <w:color w:val="231F20"/>
        </w:rPr>
        <w:t>Part</w:t>
      </w:r>
      <w:r>
        <w:rPr>
          <w:color w:val="231F20"/>
          <w:spacing w:val="-10"/>
        </w:rPr>
        <w:t xml:space="preserve"> </w:t>
      </w:r>
      <w:r>
        <w:rPr>
          <w:color w:val="231F20"/>
        </w:rPr>
        <w:t>4</w:t>
      </w:r>
      <w:r>
        <w:rPr>
          <w:color w:val="231F20"/>
          <w:spacing w:val="-10"/>
        </w:rPr>
        <w:t xml:space="preserve"> </w:t>
      </w:r>
      <w:r>
        <w:rPr>
          <w:i/>
          <w:color w:val="231F20"/>
        </w:rPr>
        <w:t>[incapacity</w:t>
      </w:r>
      <w:r>
        <w:rPr>
          <w:i/>
          <w:color w:val="231F20"/>
          <w:spacing w:val="-17"/>
        </w:rPr>
        <w:t xml:space="preserve"> </w:t>
      </w:r>
      <w:r>
        <w:rPr>
          <w:i/>
          <w:color w:val="231F20"/>
        </w:rPr>
        <w:t>for duty]</w:t>
      </w:r>
      <w:r>
        <w:rPr>
          <w:i/>
          <w:color w:val="231F20"/>
          <w:spacing w:val="-5"/>
        </w:rPr>
        <w:t xml:space="preserve"> </w:t>
      </w:r>
      <w:r>
        <w:rPr>
          <w:color w:val="231F20"/>
        </w:rPr>
        <w:t>during</w:t>
      </w:r>
      <w:r>
        <w:rPr>
          <w:color w:val="231F20"/>
          <w:spacing w:val="-1"/>
        </w:rPr>
        <w:t xml:space="preserve"> </w:t>
      </w:r>
      <w:r>
        <w:rPr>
          <w:color w:val="231F20"/>
        </w:rPr>
        <w:t>that year and</w:t>
      </w:r>
      <w:r>
        <w:rPr>
          <w:color w:val="231F20"/>
          <w:spacing w:val="-1"/>
        </w:rPr>
        <w:t xml:space="preserve"> </w:t>
      </w:r>
      <w:r>
        <w:rPr>
          <w:color w:val="231F20"/>
        </w:rPr>
        <w:t>the</w:t>
      </w:r>
      <w:r>
        <w:rPr>
          <w:color w:val="231F20"/>
          <w:spacing w:val="-1"/>
        </w:rPr>
        <w:t xml:space="preserve"> </w:t>
      </w:r>
      <w:r>
        <w:rPr>
          <w:color w:val="231F20"/>
        </w:rPr>
        <w:t>outcome</w:t>
      </w:r>
      <w:r>
        <w:rPr>
          <w:color w:val="231F20"/>
          <w:spacing w:val="-1"/>
        </w:rPr>
        <w:t xml:space="preserve"> </w:t>
      </w:r>
      <w:r>
        <w:rPr>
          <w:color w:val="231F20"/>
        </w:rPr>
        <w:t>of that action</w:t>
      </w:r>
      <w:r>
        <w:rPr>
          <w:color w:val="231F20"/>
          <w:spacing w:val="-1"/>
        </w:rPr>
        <w:t xml:space="preserve"> </w:t>
      </w:r>
      <w:r>
        <w:rPr>
          <w:color w:val="231F20"/>
        </w:rPr>
        <w:t>including</w:t>
      </w:r>
      <w:r>
        <w:rPr>
          <w:color w:val="231F20"/>
          <w:spacing w:val="-1"/>
        </w:rPr>
        <w:t xml:space="preserve"> </w:t>
      </w:r>
      <w:r>
        <w:rPr>
          <w:color w:val="231F20"/>
        </w:rPr>
        <w:t>the</w:t>
      </w:r>
      <w:r>
        <w:rPr>
          <w:color w:val="231F20"/>
          <w:spacing w:val="-1"/>
        </w:rPr>
        <w:t xml:space="preserve"> </w:t>
      </w:r>
      <w:r>
        <w:rPr>
          <w:color w:val="231F20"/>
        </w:rPr>
        <w:t>result of any review</w:t>
      </w:r>
      <w:r>
        <w:rPr>
          <w:color w:val="231F20"/>
          <w:spacing w:val="-1"/>
        </w:rPr>
        <w:t xml:space="preserve"> </w:t>
      </w:r>
      <w:r>
        <w:rPr>
          <w:color w:val="231F20"/>
        </w:rPr>
        <w:t>of that action by the PRSB.</w:t>
      </w:r>
    </w:p>
    <w:p w14:paraId="3EC9F447" w14:textId="77777777" w:rsidR="00345EE3" w:rsidRDefault="00345EE3" w:rsidP="00404045">
      <w:pPr>
        <w:pStyle w:val="Heading5"/>
        <w:spacing w:before="174"/>
        <w:ind w:left="0"/>
      </w:pPr>
      <w:r>
        <w:rPr>
          <w:color w:val="58595B"/>
        </w:rPr>
        <w:t xml:space="preserve">Section </w:t>
      </w:r>
      <w:r>
        <w:rPr>
          <w:color w:val="58595B"/>
          <w:spacing w:val="-2"/>
        </w:rPr>
        <w:t>12(1)(b)</w:t>
      </w:r>
    </w:p>
    <w:p w14:paraId="64AD0EAC" w14:textId="77777777" w:rsidR="00345EE3" w:rsidRDefault="00345EE3" w:rsidP="00345EE3">
      <w:pPr>
        <w:pStyle w:val="BodyText"/>
        <w:spacing w:before="4" w:line="242" w:lineRule="auto"/>
        <w:ind w:right="921"/>
      </w:pPr>
      <w:r>
        <w:rPr>
          <w:color w:val="231F20"/>
        </w:rPr>
        <w:t>Any</w:t>
      </w:r>
      <w:r>
        <w:rPr>
          <w:color w:val="231F20"/>
          <w:spacing w:val="-11"/>
        </w:rPr>
        <w:t xml:space="preserve"> </w:t>
      </w:r>
      <w:r>
        <w:rPr>
          <w:color w:val="231F20"/>
        </w:rPr>
        <w:t>action</w:t>
      </w:r>
      <w:r>
        <w:rPr>
          <w:color w:val="231F20"/>
          <w:spacing w:val="-12"/>
        </w:rPr>
        <w:t xml:space="preserve"> </w:t>
      </w:r>
      <w:r>
        <w:rPr>
          <w:color w:val="231F20"/>
        </w:rPr>
        <w:t>taken</w:t>
      </w:r>
      <w:r>
        <w:rPr>
          <w:color w:val="231F20"/>
          <w:spacing w:val="-12"/>
        </w:rPr>
        <w:t xml:space="preserve"> </w:t>
      </w:r>
      <w:r>
        <w:rPr>
          <w:color w:val="231F20"/>
        </w:rPr>
        <w:t>by</w:t>
      </w:r>
      <w:r>
        <w:rPr>
          <w:color w:val="231F20"/>
          <w:spacing w:val="-11"/>
        </w:rPr>
        <w:t xml:space="preserve"> </w:t>
      </w:r>
      <w:r>
        <w:rPr>
          <w:color w:val="231F20"/>
        </w:rPr>
        <w:t>the</w:t>
      </w:r>
      <w:r>
        <w:rPr>
          <w:color w:val="231F20"/>
          <w:spacing w:val="-12"/>
        </w:rPr>
        <w:t xml:space="preserve"> </w:t>
      </w:r>
      <w:r>
        <w:rPr>
          <w:color w:val="231F20"/>
        </w:rPr>
        <w:t>Chief</w:t>
      </w:r>
      <w:r>
        <w:rPr>
          <w:color w:val="231F20"/>
          <w:spacing w:val="-11"/>
        </w:rPr>
        <w:t xml:space="preserve"> </w:t>
      </w:r>
      <w:r>
        <w:rPr>
          <w:color w:val="231F20"/>
        </w:rPr>
        <w:t>Commissioner</w:t>
      </w:r>
      <w:r>
        <w:rPr>
          <w:color w:val="231F20"/>
          <w:spacing w:val="-11"/>
        </w:rPr>
        <w:t xml:space="preserve"> </w:t>
      </w:r>
      <w:r>
        <w:rPr>
          <w:color w:val="231F20"/>
        </w:rPr>
        <w:t>of</w:t>
      </w:r>
      <w:r>
        <w:rPr>
          <w:color w:val="231F20"/>
          <w:spacing w:val="-11"/>
        </w:rPr>
        <w:t xml:space="preserve"> </w:t>
      </w:r>
      <w:r>
        <w:rPr>
          <w:color w:val="231F20"/>
        </w:rPr>
        <w:t>Police</w:t>
      </w:r>
      <w:r>
        <w:rPr>
          <w:color w:val="231F20"/>
          <w:spacing w:val="-12"/>
        </w:rPr>
        <w:t xml:space="preserve"> </w:t>
      </w:r>
      <w:r>
        <w:rPr>
          <w:color w:val="231F20"/>
        </w:rPr>
        <w:t>under</w:t>
      </w:r>
      <w:r>
        <w:rPr>
          <w:color w:val="231F20"/>
          <w:spacing w:val="-11"/>
        </w:rPr>
        <w:t xml:space="preserve"> </w:t>
      </w:r>
      <w:r>
        <w:rPr>
          <w:color w:val="231F20"/>
        </w:rPr>
        <w:t>Part</w:t>
      </w:r>
      <w:r>
        <w:rPr>
          <w:color w:val="231F20"/>
          <w:spacing w:val="-11"/>
        </w:rPr>
        <w:t xml:space="preserve"> </w:t>
      </w:r>
      <w:r>
        <w:rPr>
          <w:color w:val="231F20"/>
        </w:rPr>
        <w:t>7</w:t>
      </w:r>
      <w:r>
        <w:rPr>
          <w:color w:val="231F20"/>
          <w:spacing w:val="-12"/>
        </w:rPr>
        <w:t xml:space="preserve"> </w:t>
      </w:r>
      <w:r>
        <w:rPr>
          <w:i/>
          <w:color w:val="231F20"/>
        </w:rPr>
        <w:t>[Discipline]</w:t>
      </w:r>
      <w:r>
        <w:rPr>
          <w:i/>
          <w:color w:val="231F20"/>
          <w:spacing w:val="-15"/>
        </w:rPr>
        <w:t xml:space="preserve"> </w:t>
      </w:r>
      <w:r>
        <w:rPr>
          <w:color w:val="231F20"/>
        </w:rPr>
        <w:t>during</w:t>
      </w:r>
      <w:r>
        <w:rPr>
          <w:color w:val="231F20"/>
          <w:spacing w:val="-12"/>
        </w:rPr>
        <w:t xml:space="preserve"> </w:t>
      </w:r>
      <w:r>
        <w:rPr>
          <w:color w:val="231F20"/>
        </w:rPr>
        <w:t>that</w:t>
      </w:r>
      <w:r>
        <w:rPr>
          <w:color w:val="231F20"/>
          <w:spacing w:val="-11"/>
        </w:rPr>
        <w:t xml:space="preserve"> </w:t>
      </w:r>
      <w:r>
        <w:rPr>
          <w:color w:val="231F20"/>
        </w:rPr>
        <w:t>year and the outcome of that action including the result of any review of that action by the PRSB.</w:t>
      </w:r>
    </w:p>
    <w:p w14:paraId="5E18D63E" w14:textId="77777777" w:rsidR="00345EE3" w:rsidRDefault="00345EE3" w:rsidP="00345EE3">
      <w:pPr>
        <w:spacing w:before="122"/>
        <w:ind w:left="110"/>
        <w:rPr>
          <w:rFonts w:ascii="Arial-BoldItalicMT" w:hAnsi="Arial-BoldItalicMT"/>
          <w:b/>
          <w:i/>
          <w:sz w:val="18"/>
        </w:rPr>
      </w:pPr>
      <w:r>
        <w:rPr>
          <w:color w:val="231F20"/>
          <w:sz w:val="18"/>
        </w:rPr>
        <w:t>Table</w:t>
      </w:r>
      <w:r>
        <w:rPr>
          <w:color w:val="231F20"/>
          <w:spacing w:val="-4"/>
          <w:sz w:val="18"/>
        </w:rPr>
        <w:t xml:space="preserve"> </w:t>
      </w:r>
      <w:r>
        <w:rPr>
          <w:color w:val="231F20"/>
          <w:sz w:val="18"/>
        </w:rPr>
        <w:t>5.5:</w:t>
      </w:r>
      <w:r>
        <w:rPr>
          <w:color w:val="231F20"/>
          <w:spacing w:val="-3"/>
          <w:sz w:val="18"/>
        </w:rPr>
        <w:t xml:space="preserve"> </w:t>
      </w:r>
      <w:r>
        <w:rPr>
          <w:rFonts w:ascii="Arial-BoldItalicMT" w:hAnsi="Arial-BoldItalicMT"/>
          <w:b/>
          <w:i/>
          <w:color w:val="231F20"/>
          <w:sz w:val="18"/>
        </w:rPr>
        <w:t>Results</w:t>
      </w:r>
      <w:r>
        <w:rPr>
          <w:rFonts w:ascii="Arial-BoldItalicMT" w:hAnsi="Arial-BoldItalicMT"/>
          <w:b/>
          <w:i/>
          <w:color w:val="231F20"/>
          <w:spacing w:val="-6"/>
          <w:sz w:val="18"/>
        </w:rPr>
        <w:t xml:space="preserve"> </w:t>
      </w:r>
      <w:r>
        <w:rPr>
          <w:rFonts w:ascii="Arial-BoldItalicMT" w:hAnsi="Arial-BoldItalicMT"/>
          <w:b/>
          <w:i/>
          <w:color w:val="231F20"/>
          <w:sz w:val="18"/>
        </w:rPr>
        <w:t>of</w:t>
      </w:r>
      <w:r>
        <w:rPr>
          <w:rFonts w:ascii="Arial-BoldItalicMT" w:hAnsi="Arial-BoldItalicMT"/>
          <w:b/>
          <w:i/>
          <w:color w:val="231F20"/>
          <w:spacing w:val="-6"/>
          <w:sz w:val="18"/>
        </w:rPr>
        <w:t xml:space="preserve"> </w:t>
      </w:r>
      <w:r>
        <w:rPr>
          <w:rFonts w:ascii="Arial-BoldItalicMT" w:hAnsi="Arial-BoldItalicMT"/>
          <w:b/>
          <w:i/>
          <w:color w:val="231F20"/>
          <w:sz w:val="18"/>
        </w:rPr>
        <w:t>discipline</w:t>
      </w:r>
      <w:r>
        <w:rPr>
          <w:rFonts w:ascii="Arial-BoldItalicMT" w:hAnsi="Arial-BoldItalicMT"/>
          <w:b/>
          <w:i/>
          <w:color w:val="231F20"/>
          <w:spacing w:val="-6"/>
          <w:sz w:val="18"/>
        </w:rPr>
        <w:t xml:space="preserve"> </w:t>
      </w:r>
      <w:r>
        <w:rPr>
          <w:rFonts w:ascii="Arial-BoldItalicMT" w:hAnsi="Arial-BoldItalicMT"/>
          <w:b/>
          <w:i/>
          <w:color w:val="231F20"/>
          <w:sz w:val="18"/>
        </w:rPr>
        <w:t>charges</w:t>
      </w:r>
      <w:r>
        <w:rPr>
          <w:rFonts w:ascii="Arial-BoldItalicMT" w:hAnsi="Arial-BoldItalicMT"/>
          <w:b/>
          <w:i/>
          <w:color w:val="231F20"/>
          <w:spacing w:val="-6"/>
          <w:sz w:val="18"/>
        </w:rPr>
        <w:t xml:space="preserve"> </w:t>
      </w:r>
      <w:r>
        <w:rPr>
          <w:rFonts w:ascii="Arial-BoldItalicMT" w:hAnsi="Arial-BoldItalicMT"/>
          <w:b/>
          <w:i/>
          <w:color w:val="231F20"/>
          <w:sz w:val="18"/>
        </w:rPr>
        <w:t>determined</w:t>
      </w:r>
      <w:r>
        <w:rPr>
          <w:rFonts w:ascii="Arial-BoldItalicMT" w:hAnsi="Arial-BoldItalicMT"/>
          <w:b/>
          <w:i/>
          <w:color w:val="231F20"/>
          <w:spacing w:val="-6"/>
          <w:sz w:val="18"/>
        </w:rPr>
        <w:t xml:space="preserve"> </w:t>
      </w:r>
      <w:r>
        <w:rPr>
          <w:rFonts w:ascii="Arial-BoldItalicMT" w:hAnsi="Arial-BoldItalicMT"/>
          <w:b/>
          <w:i/>
          <w:color w:val="231F20"/>
          <w:sz w:val="18"/>
        </w:rPr>
        <w:t>by</w:t>
      </w:r>
      <w:r>
        <w:rPr>
          <w:rFonts w:ascii="Arial-BoldItalicMT" w:hAnsi="Arial-BoldItalicMT"/>
          <w:b/>
          <w:i/>
          <w:color w:val="231F20"/>
          <w:spacing w:val="-6"/>
          <w:sz w:val="18"/>
        </w:rPr>
        <w:t xml:space="preserve"> </w:t>
      </w:r>
      <w:r>
        <w:rPr>
          <w:rFonts w:ascii="Arial-BoldItalicMT" w:hAnsi="Arial-BoldItalicMT"/>
          <w:b/>
          <w:i/>
          <w:color w:val="231F20"/>
          <w:sz w:val="18"/>
        </w:rPr>
        <w:t>Inquiry</w:t>
      </w:r>
      <w:r>
        <w:rPr>
          <w:rFonts w:ascii="Arial-BoldItalicMT" w:hAnsi="Arial-BoldItalicMT"/>
          <w:b/>
          <w:i/>
          <w:color w:val="231F20"/>
          <w:spacing w:val="-6"/>
          <w:sz w:val="18"/>
        </w:rPr>
        <w:t xml:space="preserve"> </w:t>
      </w:r>
      <w:r>
        <w:rPr>
          <w:rFonts w:ascii="Arial-BoldItalicMT" w:hAnsi="Arial-BoldItalicMT"/>
          <w:b/>
          <w:i/>
          <w:color w:val="231F20"/>
          <w:sz w:val="18"/>
        </w:rPr>
        <w:t>Officers</w:t>
      </w:r>
      <w:r>
        <w:rPr>
          <w:rFonts w:ascii="Arial-BoldItalicMT" w:hAnsi="Arial-BoldItalicMT"/>
          <w:b/>
          <w:i/>
          <w:color w:val="231F20"/>
          <w:spacing w:val="-6"/>
          <w:sz w:val="18"/>
        </w:rPr>
        <w:t xml:space="preserve"> </w:t>
      </w:r>
      <w:r>
        <w:rPr>
          <w:rFonts w:ascii="Arial-BoldItalicMT" w:hAnsi="Arial-BoldItalicMT"/>
          <w:b/>
          <w:i/>
          <w:color w:val="231F20"/>
          <w:sz w:val="18"/>
        </w:rPr>
        <w:t>Part</w:t>
      </w:r>
      <w:r>
        <w:rPr>
          <w:rFonts w:ascii="Arial-BoldItalicMT" w:hAnsi="Arial-BoldItalicMT"/>
          <w:b/>
          <w:i/>
          <w:color w:val="231F20"/>
          <w:spacing w:val="-6"/>
          <w:sz w:val="18"/>
        </w:rPr>
        <w:t xml:space="preserve"> </w:t>
      </w:r>
      <w:r>
        <w:rPr>
          <w:rFonts w:ascii="Arial-BoldItalicMT" w:hAnsi="Arial-BoldItalicMT"/>
          <w:b/>
          <w:i/>
          <w:color w:val="231F20"/>
          <w:sz w:val="18"/>
        </w:rPr>
        <w:t>1:</w:t>
      </w:r>
      <w:r>
        <w:rPr>
          <w:rFonts w:ascii="Arial-BoldItalicMT" w:hAnsi="Arial-BoldItalicMT"/>
          <w:b/>
          <w:i/>
          <w:color w:val="231F20"/>
          <w:spacing w:val="-5"/>
          <w:sz w:val="18"/>
        </w:rPr>
        <w:t xml:space="preserve"> </w:t>
      </w:r>
      <w:r>
        <w:rPr>
          <w:rFonts w:ascii="Arial-BoldItalicMT" w:hAnsi="Arial-BoldItalicMT"/>
          <w:b/>
          <w:i/>
          <w:color w:val="231F20"/>
          <w:spacing w:val="-2"/>
          <w:sz w:val="18"/>
        </w:rPr>
        <w:t>2021–22</w:t>
      </w:r>
    </w:p>
    <w:p w14:paraId="79DFE8BA" w14:textId="77777777" w:rsidR="00345EE3" w:rsidRDefault="00345EE3" w:rsidP="00345EE3">
      <w:pPr>
        <w:pStyle w:val="BodyText"/>
        <w:spacing w:before="5"/>
        <w:rPr>
          <w:rFonts w:ascii="Arial-BoldItalicMT"/>
          <w:b/>
          <w:i/>
          <w:sz w:val="5"/>
        </w:rPr>
      </w:pP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556"/>
        <w:gridCol w:w="2098"/>
        <w:gridCol w:w="2552"/>
      </w:tblGrid>
      <w:tr w:rsidR="00345EE3" w14:paraId="157157D4" w14:textId="77777777" w:rsidTr="00404045">
        <w:trPr>
          <w:trHeight w:val="1521"/>
        </w:trPr>
        <w:tc>
          <w:tcPr>
            <w:tcW w:w="5556" w:type="dxa"/>
            <w:tcBorders>
              <w:top w:val="nil"/>
              <w:left w:val="nil"/>
              <w:bottom w:val="nil"/>
              <w:right w:val="nil"/>
            </w:tcBorders>
            <w:shd w:val="clear" w:color="auto" w:fill="00529F"/>
          </w:tcPr>
          <w:p w14:paraId="1DF03077" w14:textId="77777777" w:rsidR="00345EE3" w:rsidRDefault="00345EE3" w:rsidP="00404045">
            <w:pPr>
              <w:pStyle w:val="TableParagraph"/>
              <w:spacing w:before="63" w:line="242" w:lineRule="auto"/>
              <w:ind w:left="32"/>
              <w:jc w:val="left"/>
              <w:rPr>
                <w:b/>
                <w:sz w:val="24"/>
              </w:rPr>
            </w:pPr>
            <w:r>
              <w:rPr>
                <w:b/>
                <w:color w:val="FFFFFF"/>
                <w:sz w:val="24"/>
              </w:rPr>
              <w:t>Victoria</w:t>
            </w:r>
            <w:r>
              <w:rPr>
                <w:b/>
                <w:color w:val="FFFFFF"/>
                <w:spacing w:val="-6"/>
                <w:sz w:val="24"/>
              </w:rPr>
              <w:t xml:space="preserve"> </w:t>
            </w:r>
            <w:r>
              <w:rPr>
                <w:b/>
                <w:color w:val="FFFFFF"/>
                <w:sz w:val="24"/>
              </w:rPr>
              <w:t>Police</w:t>
            </w:r>
            <w:r>
              <w:rPr>
                <w:b/>
                <w:color w:val="FFFFFF"/>
                <w:spacing w:val="-6"/>
                <w:sz w:val="24"/>
              </w:rPr>
              <w:t xml:space="preserve"> </w:t>
            </w:r>
            <w:r>
              <w:rPr>
                <w:b/>
                <w:color w:val="FFFFFF"/>
                <w:sz w:val="24"/>
              </w:rPr>
              <w:t>Officers/PSO</w:t>
            </w:r>
            <w:r>
              <w:rPr>
                <w:b/>
                <w:color w:val="FFFFFF"/>
                <w:spacing w:val="-5"/>
                <w:sz w:val="24"/>
              </w:rPr>
              <w:t xml:space="preserve"> </w:t>
            </w:r>
            <w:r>
              <w:rPr>
                <w:b/>
                <w:color w:val="FFFFFF"/>
                <w:sz w:val="24"/>
              </w:rPr>
              <w:t>charges</w:t>
            </w:r>
            <w:r>
              <w:rPr>
                <w:b/>
                <w:color w:val="FFFFFF"/>
                <w:spacing w:val="-6"/>
                <w:sz w:val="24"/>
              </w:rPr>
              <w:t xml:space="preserve"> </w:t>
            </w:r>
            <w:r>
              <w:rPr>
                <w:b/>
                <w:color w:val="FFFFFF"/>
                <w:sz w:val="24"/>
              </w:rPr>
              <w:t>and</w:t>
            </w:r>
            <w:r>
              <w:rPr>
                <w:b/>
                <w:color w:val="FFFFFF"/>
                <w:spacing w:val="-5"/>
                <w:sz w:val="24"/>
              </w:rPr>
              <w:t xml:space="preserve"> </w:t>
            </w:r>
            <w:r>
              <w:rPr>
                <w:b/>
                <w:color w:val="FFFFFF"/>
                <w:sz w:val="24"/>
              </w:rPr>
              <w:t>results of inquiries</w:t>
            </w:r>
          </w:p>
        </w:tc>
        <w:tc>
          <w:tcPr>
            <w:tcW w:w="2098" w:type="dxa"/>
            <w:tcBorders>
              <w:top w:val="nil"/>
              <w:left w:val="nil"/>
              <w:bottom w:val="nil"/>
              <w:right w:val="nil"/>
            </w:tcBorders>
            <w:shd w:val="clear" w:color="auto" w:fill="00529F"/>
          </w:tcPr>
          <w:p w14:paraId="228019AD" w14:textId="77777777" w:rsidR="00345EE3" w:rsidRDefault="00345EE3" w:rsidP="00D73130">
            <w:pPr>
              <w:pStyle w:val="TableParagraph"/>
              <w:spacing w:before="63" w:line="242" w:lineRule="auto"/>
              <w:ind w:left="180" w:firstLine="802"/>
              <w:rPr>
                <w:b/>
                <w:sz w:val="24"/>
              </w:rPr>
            </w:pPr>
            <w:r>
              <w:rPr>
                <w:b/>
                <w:color w:val="FFFFFF"/>
                <w:spacing w:val="-4"/>
                <w:sz w:val="24"/>
              </w:rPr>
              <w:t xml:space="preserve">Discipline </w:t>
            </w:r>
            <w:r>
              <w:rPr>
                <w:b/>
                <w:color w:val="FFFFFF"/>
                <w:spacing w:val="-2"/>
                <w:sz w:val="24"/>
              </w:rPr>
              <w:t>Inquiries</w:t>
            </w:r>
            <w:r>
              <w:rPr>
                <w:b/>
                <w:color w:val="FFFFFF"/>
                <w:spacing w:val="-15"/>
                <w:sz w:val="24"/>
              </w:rPr>
              <w:t xml:space="preserve"> </w:t>
            </w:r>
            <w:r>
              <w:rPr>
                <w:rFonts w:ascii="Arial-BoldItalicMT"/>
                <w:b/>
                <w:i/>
                <w:color w:val="FFFFFF"/>
                <w:spacing w:val="-2"/>
                <w:sz w:val="24"/>
              </w:rPr>
              <w:t xml:space="preserve">Victoria </w:t>
            </w:r>
            <w:r>
              <w:rPr>
                <w:rFonts w:ascii="Arial-BoldItalicMT"/>
                <w:b/>
                <w:i/>
                <w:color w:val="FFFFFF"/>
                <w:sz w:val="24"/>
              </w:rPr>
              <w:t xml:space="preserve">Police Act </w:t>
            </w:r>
            <w:r>
              <w:rPr>
                <w:b/>
                <w:color w:val="FFFFFF"/>
                <w:sz w:val="24"/>
              </w:rPr>
              <w:t>2013</w:t>
            </w:r>
          </w:p>
          <w:p w14:paraId="2765D086" w14:textId="77777777" w:rsidR="00345EE3" w:rsidRDefault="00345EE3" w:rsidP="00D73130">
            <w:pPr>
              <w:pStyle w:val="TableParagraph"/>
              <w:spacing w:before="4"/>
              <w:ind w:right="3"/>
              <w:rPr>
                <w:b/>
                <w:sz w:val="24"/>
              </w:rPr>
            </w:pPr>
            <w:r>
              <w:rPr>
                <w:b/>
                <w:color w:val="FFFFFF"/>
                <w:spacing w:val="-2"/>
                <w:sz w:val="24"/>
              </w:rPr>
              <w:t>(section</w:t>
            </w:r>
            <w:r>
              <w:rPr>
                <w:b/>
                <w:color w:val="FFFFFF"/>
                <w:spacing w:val="-10"/>
                <w:sz w:val="24"/>
              </w:rPr>
              <w:t xml:space="preserve"> </w:t>
            </w:r>
            <w:r>
              <w:rPr>
                <w:b/>
                <w:color w:val="FFFFFF"/>
                <w:spacing w:val="-4"/>
                <w:sz w:val="24"/>
              </w:rPr>
              <w:t>125)</w:t>
            </w:r>
          </w:p>
        </w:tc>
        <w:tc>
          <w:tcPr>
            <w:tcW w:w="2552" w:type="dxa"/>
            <w:tcBorders>
              <w:top w:val="nil"/>
              <w:left w:val="nil"/>
              <w:bottom w:val="nil"/>
              <w:right w:val="nil"/>
            </w:tcBorders>
            <w:shd w:val="clear" w:color="auto" w:fill="00529F"/>
          </w:tcPr>
          <w:p w14:paraId="07FD73E2" w14:textId="77777777" w:rsidR="00345EE3" w:rsidRDefault="00345EE3" w:rsidP="00D73130">
            <w:pPr>
              <w:pStyle w:val="TableParagraph"/>
              <w:spacing w:before="63" w:line="242" w:lineRule="auto"/>
              <w:ind w:left="110" w:firstLine="964"/>
              <w:rPr>
                <w:b/>
                <w:sz w:val="24"/>
              </w:rPr>
            </w:pPr>
            <w:r>
              <w:rPr>
                <w:b/>
                <w:color w:val="FFFFFF"/>
                <w:spacing w:val="-2"/>
                <w:sz w:val="24"/>
              </w:rPr>
              <w:t>Inquiries</w:t>
            </w:r>
            <w:r>
              <w:rPr>
                <w:b/>
                <w:color w:val="FFFFFF"/>
                <w:spacing w:val="-15"/>
                <w:sz w:val="24"/>
              </w:rPr>
              <w:t xml:space="preserve"> </w:t>
            </w:r>
            <w:r>
              <w:rPr>
                <w:b/>
                <w:color w:val="FFFFFF"/>
                <w:spacing w:val="-2"/>
                <w:sz w:val="24"/>
              </w:rPr>
              <w:t xml:space="preserve">into </w:t>
            </w:r>
            <w:r>
              <w:rPr>
                <w:b/>
                <w:color w:val="FFFFFF"/>
                <w:sz w:val="24"/>
              </w:rPr>
              <w:t xml:space="preserve">important matters </w:t>
            </w:r>
            <w:r>
              <w:rPr>
                <w:b/>
                <w:color w:val="FFFFFF"/>
                <w:spacing w:val="-2"/>
                <w:sz w:val="24"/>
              </w:rPr>
              <w:t>found</w:t>
            </w:r>
            <w:r>
              <w:rPr>
                <w:b/>
                <w:color w:val="FFFFFF"/>
                <w:spacing w:val="-15"/>
                <w:sz w:val="24"/>
              </w:rPr>
              <w:t xml:space="preserve"> </w:t>
            </w:r>
            <w:r>
              <w:rPr>
                <w:b/>
                <w:color w:val="FFFFFF"/>
                <w:spacing w:val="-2"/>
                <w:sz w:val="24"/>
              </w:rPr>
              <w:t>proven</w:t>
            </w:r>
            <w:r>
              <w:rPr>
                <w:b/>
                <w:color w:val="FFFFFF"/>
                <w:spacing w:val="-15"/>
                <w:sz w:val="24"/>
              </w:rPr>
              <w:t xml:space="preserve"> </w:t>
            </w:r>
            <w:r>
              <w:rPr>
                <w:rFonts w:ascii="Arial-BoldItalicMT"/>
                <w:b/>
                <w:i/>
                <w:color w:val="FFFFFF"/>
                <w:spacing w:val="-2"/>
                <w:sz w:val="24"/>
              </w:rPr>
              <w:t xml:space="preserve">Victoria </w:t>
            </w:r>
            <w:r>
              <w:rPr>
                <w:rFonts w:ascii="Arial-BoldItalicMT"/>
                <w:b/>
                <w:i/>
                <w:color w:val="FFFFFF"/>
                <w:sz w:val="24"/>
              </w:rPr>
              <w:t xml:space="preserve">Police Act </w:t>
            </w:r>
            <w:r>
              <w:rPr>
                <w:b/>
                <w:color w:val="FFFFFF"/>
                <w:sz w:val="24"/>
              </w:rPr>
              <w:t>2013</w:t>
            </w:r>
          </w:p>
          <w:p w14:paraId="2153585B" w14:textId="77777777" w:rsidR="00345EE3" w:rsidRDefault="00345EE3" w:rsidP="00D73130">
            <w:pPr>
              <w:pStyle w:val="TableParagraph"/>
              <w:spacing w:before="5"/>
              <w:ind w:right="1"/>
              <w:rPr>
                <w:b/>
                <w:sz w:val="24"/>
              </w:rPr>
            </w:pPr>
            <w:r>
              <w:rPr>
                <w:b/>
                <w:color w:val="FFFFFF"/>
                <w:spacing w:val="-2"/>
                <w:sz w:val="24"/>
              </w:rPr>
              <w:t>(section</w:t>
            </w:r>
            <w:r>
              <w:rPr>
                <w:b/>
                <w:color w:val="FFFFFF"/>
                <w:spacing w:val="-10"/>
                <w:sz w:val="24"/>
              </w:rPr>
              <w:t xml:space="preserve"> </w:t>
            </w:r>
            <w:r>
              <w:rPr>
                <w:b/>
                <w:color w:val="FFFFFF"/>
                <w:spacing w:val="-4"/>
                <w:sz w:val="24"/>
              </w:rPr>
              <w:t>136)</w:t>
            </w:r>
          </w:p>
        </w:tc>
      </w:tr>
      <w:tr w:rsidR="00345EE3" w14:paraId="5BF6DD4D" w14:textId="77777777" w:rsidTr="00404045">
        <w:trPr>
          <w:trHeight w:val="676"/>
        </w:trPr>
        <w:tc>
          <w:tcPr>
            <w:tcW w:w="5556" w:type="dxa"/>
            <w:tcBorders>
              <w:top w:val="nil"/>
              <w:left w:val="nil"/>
            </w:tcBorders>
          </w:tcPr>
          <w:p w14:paraId="38431F68" w14:textId="77777777" w:rsidR="00345EE3" w:rsidRDefault="00345EE3" w:rsidP="00404045">
            <w:pPr>
              <w:pStyle w:val="TableParagraph"/>
              <w:spacing w:before="61" w:line="242" w:lineRule="auto"/>
              <w:ind w:left="32"/>
              <w:jc w:val="left"/>
              <w:rPr>
                <w:sz w:val="24"/>
              </w:rPr>
            </w:pPr>
            <w:r>
              <w:rPr>
                <w:color w:val="231F20"/>
                <w:sz w:val="24"/>
              </w:rPr>
              <w:t>Total</w:t>
            </w:r>
            <w:r>
              <w:rPr>
                <w:color w:val="231F20"/>
                <w:spacing w:val="-12"/>
                <w:sz w:val="24"/>
              </w:rPr>
              <w:t xml:space="preserve"> </w:t>
            </w:r>
            <w:r>
              <w:rPr>
                <w:color w:val="231F20"/>
                <w:sz w:val="24"/>
              </w:rPr>
              <w:t>discipline</w:t>
            </w:r>
            <w:r>
              <w:rPr>
                <w:color w:val="231F20"/>
                <w:spacing w:val="-12"/>
                <w:sz w:val="24"/>
              </w:rPr>
              <w:t xml:space="preserve"> </w:t>
            </w:r>
            <w:r>
              <w:rPr>
                <w:color w:val="231F20"/>
                <w:sz w:val="24"/>
              </w:rPr>
              <w:t>charges</w:t>
            </w:r>
            <w:r>
              <w:rPr>
                <w:color w:val="231F20"/>
                <w:spacing w:val="-11"/>
                <w:sz w:val="24"/>
              </w:rPr>
              <w:t xml:space="preserve"> </w:t>
            </w:r>
            <w:r>
              <w:rPr>
                <w:color w:val="231F20"/>
                <w:sz w:val="24"/>
              </w:rPr>
              <w:t>laid</w:t>
            </w:r>
            <w:r>
              <w:rPr>
                <w:color w:val="231F20"/>
                <w:spacing w:val="-12"/>
                <w:sz w:val="24"/>
              </w:rPr>
              <w:t xml:space="preserve"> </w:t>
            </w:r>
            <w:r>
              <w:rPr>
                <w:color w:val="231F20"/>
                <w:sz w:val="24"/>
              </w:rPr>
              <w:t>against</w:t>
            </w:r>
            <w:r>
              <w:rPr>
                <w:color w:val="231F20"/>
                <w:spacing w:val="-12"/>
                <w:sz w:val="24"/>
              </w:rPr>
              <w:t xml:space="preserve"> </w:t>
            </w:r>
            <w:r>
              <w:rPr>
                <w:color w:val="231F20"/>
                <w:sz w:val="24"/>
              </w:rPr>
              <w:t>Victoria</w:t>
            </w:r>
            <w:r>
              <w:rPr>
                <w:color w:val="231F20"/>
                <w:spacing w:val="-12"/>
                <w:sz w:val="24"/>
              </w:rPr>
              <w:t xml:space="preserve"> </w:t>
            </w:r>
            <w:r>
              <w:rPr>
                <w:color w:val="231F20"/>
                <w:sz w:val="24"/>
              </w:rPr>
              <w:t>Police Officers/PSOs (Date Charge was Authorised)</w:t>
            </w:r>
          </w:p>
        </w:tc>
        <w:tc>
          <w:tcPr>
            <w:tcW w:w="2098" w:type="dxa"/>
            <w:tcBorders>
              <w:top w:val="nil"/>
            </w:tcBorders>
          </w:tcPr>
          <w:p w14:paraId="0218A5E3" w14:textId="77777777" w:rsidR="00345EE3" w:rsidRDefault="00345EE3" w:rsidP="00D73130">
            <w:pPr>
              <w:pStyle w:val="TableParagraph"/>
              <w:spacing w:before="61"/>
              <w:rPr>
                <w:sz w:val="24"/>
              </w:rPr>
            </w:pPr>
            <w:r>
              <w:rPr>
                <w:color w:val="231F20"/>
                <w:spacing w:val="-5"/>
                <w:sz w:val="24"/>
              </w:rPr>
              <w:t>192</w:t>
            </w:r>
          </w:p>
        </w:tc>
        <w:tc>
          <w:tcPr>
            <w:tcW w:w="2552" w:type="dxa"/>
            <w:tcBorders>
              <w:top w:val="nil"/>
              <w:right w:val="nil"/>
            </w:tcBorders>
          </w:tcPr>
          <w:p w14:paraId="06A0A56C" w14:textId="77777777" w:rsidR="00345EE3" w:rsidRDefault="00345EE3" w:rsidP="00D73130">
            <w:pPr>
              <w:pStyle w:val="TableParagraph"/>
              <w:spacing w:before="61"/>
              <w:ind w:right="-15"/>
              <w:rPr>
                <w:sz w:val="24"/>
              </w:rPr>
            </w:pPr>
            <w:r>
              <w:rPr>
                <w:color w:val="231F20"/>
                <w:sz w:val="24"/>
              </w:rPr>
              <w:t>6</w:t>
            </w:r>
          </w:p>
        </w:tc>
      </w:tr>
      <w:tr w:rsidR="00345EE3" w14:paraId="30F14C1B" w14:textId="77777777" w:rsidTr="00404045">
        <w:trPr>
          <w:trHeight w:val="676"/>
        </w:trPr>
        <w:tc>
          <w:tcPr>
            <w:tcW w:w="5556" w:type="dxa"/>
            <w:tcBorders>
              <w:left w:val="nil"/>
            </w:tcBorders>
          </w:tcPr>
          <w:p w14:paraId="2894C53B" w14:textId="77777777" w:rsidR="00345EE3" w:rsidRDefault="00345EE3" w:rsidP="00404045">
            <w:pPr>
              <w:pStyle w:val="TableParagraph"/>
              <w:spacing w:before="61" w:line="242" w:lineRule="auto"/>
              <w:ind w:left="32"/>
              <w:jc w:val="left"/>
              <w:rPr>
                <w:sz w:val="24"/>
              </w:rPr>
            </w:pPr>
            <w:r>
              <w:rPr>
                <w:color w:val="231F20"/>
                <w:sz w:val="24"/>
              </w:rPr>
              <w:t>Total</w:t>
            </w:r>
            <w:r>
              <w:rPr>
                <w:color w:val="231F20"/>
                <w:spacing w:val="-14"/>
                <w:sz w:val="24"/>
              </w:rPr>
              <w:t xml:space="preserve"> </w:t>
            </w:r>
            <w:r>
              <w:rPr>
                <w:color w:val="231F20"/>
                <w:sz w:val="24"/>
              </w:rPr>
              <w:t>Victoria</w:t>
            </w:r>
            <w:r>
              <w:rPr>
                <w:color w:val="231F20"/>
                <w:spacing w:val="-14"/>
                <w:sz w:val="24"/>
              </w:rPr>
              <w:t xml:space="preserve"> </w:t>
            </w:r>
            <w:r>
              <w:rPr>
                <w:color w:val="231F20"/>
                <w:sz w:val="24"/>
              </w:rPr>
              <w:t>Police</w:t>
            </w:r>
            <w:r>
              <w:rPr>
                <w:color w:val="231F20"/>
                <w:spacing w:val="-13"/>
                <w:sz w:val="24"/>
              </w:rPr>
              <w:t xml:space="preserve"> </w:t>
            </w:r>
            <w:r>
              <w:rPr>
                <w:color w:val="231F20"/>
                <w:sz w:val="24"/>
              </w:rPr>
              <w:t>Officers/PSOs</w:t>
            </w:r>
            <w:r>
              <w:rPr>
                <w:color w:val="231F20"/>
                <w:spacing w:val="-13"/>
                <w:sz w:val="24"/>
              </w:rPr>
              <w:t xml:space="preserve"> </w:t>
            </w:r>
            <w:r>
              <w:rPr>
                <w:color w:val="231F20"/>
                <w:sz w:val="24"/>
              </w:rPr>
              <w:t>charged</w:t>
            </w:r>
            <w:r>
              <w:rPr>
                <w:color w:val="231F20"/>
                <w:spacing w:val="-13"/>
                <w:sz w:val="24"/>
              </w:rPr>
              <w:t xml:space="preserve"> </w:t>
            </w:r>
            <w:r>
              <w:rPr>
                <w:color w:val="231F20"/>
                <w:sz w:val="24"/>
              </w:rPr>
              <w:t>(Date Charge was Authorised)</w:t>
            </w:r>
          </w:p>
        </w:tc>
        <w:tc>
          <w:tcPr>
            <w:tcW w:w="2098" w:type="dxa"/>
          </w:tcPr>
          <w:p w14:paraId="6E5F330F" w14:textId="77777777" w:rsidR="00345EE3" w:rsidRDefault="00345EE3" w:rsidP="00D73130">
            <w:pPr>
              <w:pStyle w:val="TableParagraph"/>
              <w:spacing w:before="61"/>
              <w:rPr>
                <w:sz w:val="24"/>
              </w:rPr>
            </w:pPr>
            <w:r>
              <w:rPr>
                <w:color w:val="231F20"/>
                <w:spacing w:val="-5"/>
                <w:sz w:val="24"/>
              </w:rPr>
              <w:t>149</w:t>
            </w:r>
          </w:p>
        </w:tc>
        <w:tc>
          <w:tcPr>
            <w:tcW w:w="2552" w:type="dxa"/>
            <w:tcBorders>
              <w:right w:val="nil"/>
            </w:tcBorders>
          </w:tcPr>
          <w:p w14:paraId="5536C35B" w14:textId="77777777" w:rsidR="00345EE3" w:rsidRDefault="00345EE3" w:rsidP="00D73130">
            <w:pPr>
              <w:pStyle w:val="TableParagraph"/>
              <w:spacing w:before="61"/>
              <w:ind w:right="-15"/>
              <w:rPr>
                <w:sz w:val="24"/>
              </w:rPr>
            </w:pPr>
            <w:r>
              <w:rPr>
                <w:color w:val="231F20"/>
                <w:sz w:val="24"/>
              </w:rPr>
              <w:t>6</w:t>
            </w:r>
          </w:p>
        </w:tc>
      </w:tr>
      <w:tr w:rsidR="00345EE3" w14:paraId="7C83D918" w14:textId="77777777" w:rsidTr="00404045">
        <w:trPr>
          <w:trHeight w:val="676"/>
        </w:trPr>
        <w:tc>
          <w:tcPr>
            <w:tcW w:w="5556" w:type="dxa"/>
            <w:tcBorders>
              <w:left w:val="nil"/>
            </w:tcBorders>
          </w:tcPr>
          <w:p w14:paraId="34017DAD" w14:textId="77777777" w:rsidR="00345EE3" w:rsidRDefault="00345EE3" w:rsidP="00404045">
            <w:pPr>
              <w:pStyle w:val="TableParagraph"/>
              <w:spacing w:before="61" w:line="242" w:lineRule="auto"/>
              <w:ind w:left="32"/>
              <w:jc w:val="left"/>
              <w:rPr>
                <w:sz w:val="24"/>
              </w:rPr>
            </w:pPr>
            <w:r>
              <w:rPr>
                <w:color w:val="231F20"/>
                <w:sz w:val="24"/>
              </w:rPr>
              <w:t>Victoria</w:t>
            </w:r>
            <w:r>
              <w:rPr>
                <w:color w:val="231F20"/>
                <w:spacing w:val="-9"/>
                <w:sz w:val="24"/>
              </w:rPr>
              <w:t xml:space="preserve"> </w:t>
            </w:r>
            <w:r>
              <w:rPr>
                <w:color w:val="231F20"/>
                <w:sz w:val="24"/>
              </w:rPr>
              <w:t>Police</w:t>
            </w:r>
            <w:r>
              <w:rPr>
                <w:color w:val="231F20"/>
                <w:spacing w:val="-8"/>
                <w:sz w:val="24"/>
              </w:rPr>
              <w:t xml:space="preserve"> </w:t>
            </w:r>
            <w:r>
              <w:rPr>
                <w:color w:val="231F20"/>
                <w:sz w:val="24"/>
              </w:rPr>
              <w:t>Officers/PSOs</w:t>
            </w:r>
            <w:r>
              <w:rPr>
                <w:color w:val="231F20"/>
                <w:spacing w:val="-8"/>
                <w:sz w:val="24"/>
              </w:rPr>
              <w:t xml:space="preserve"> </w:t>
            </w:r>
            <w:r>
              <w:rPr>
                <w:color w:val="231F20"/>
                <w:sz w:val="24"/>
              </w:rPr>
              <w:t>appearing</w:t>
            </w:r>
            <w:r>
              <w:rPr>
                <w:color w:val="231F20"/>
                <w:spacing w:val="-9"/>
                <w:sz w:val="24"/>
              </w:rPr>
              <w:t xml:space="preserve"> </w:t>
            </w:r>
            <w:r>
              <w:rPr>
                <w:color w:val="231F20"/>
                <w:sz w:val="24"/>
              </w:rPr>
              <w:t>before</w:t>
            </w:r>
            <w:r>
              <w:rPr>
                <w:color w:val="231F20"/>
                <w:spacing w:val="-9"/>
                <w:sz w:val="24"/>
              </w:rPr>
              <w:t xml:space="preserve"> </w:t>
            </w:r>
            <w:r>
              <w:rPr>
                <w:color w:val="231F20"/>
                <w:sz w:val="24"/>
              </w:rPr>
              <w:t>an inquiry officer (Last Hearing Date)</w:t>
            </w:r>
          </w:p>
        </w:tc>
        <w:tc>
          <w:tcPr>
            <w:tcW w:w="2098" w:type="dxa"/>
          </w:tcPr>
          <w:p w14:paraId="383F35D5" w14:textId="77777777" w:rsidR="00345EE3" w:rsidRDefault="00345EE3" w:rsidP="00D73130">
            <w:pPr>
              <w:pStyle w:val="TableParagraph"/>
              <w:spacing w:before="61"/>
              <w:rPr>
                <w:sz w:val="24"/>
              </w:rPr>
            </w:pPr>
            <w:r>
              <w:rPr>
                <w:color w:val="231F20"/>
                <w:spacing w:val="-5"/>
                <w:sz w:val="24"/>
              </w:rPr>
              <w:t>122</w:t>
            </w:r>
          </w:p>
        </w:tc>
        <w:tc>
          <w:tcPr>
            <w:tcW w:w="2552" w:type="dxa"/>
            <w:tcBorders>
              <w:right w:val="nil"/>
            </w:tcBorders>
          </w:tcPr>
          <w:p w14:paraId="6C00FA01" w14:textId="77777777" w:rsidR="00345EE3" w:rsidRDefault="00345EE3" w:rsidP="00D73130">
            <w:pPr>
              <w:pStyle w:val="TableParagraph"/>
              <w:spacing w:before="61"/>
              <w:ind w:right="-15"/>
              <w:rPr>
                <w:sz w:val="24"/>
              </w:rPr>
            </w:pPr>
            <w:r>
              <w:rPr>
                <w:color w:val="231F20"/>
                <w:sz w:val="24"/>
              </w:rPr>
              <w:t>5</w:t>
            </w:r>
          </w:p>
        </w:tc>
      </w:tr>
      <w:tr w:rsidR="00345EE3" w14:paraId="6565F731" w14:textId="77777777" w:rsidTr="00404045">
        <w:trPr>
          <w:trHeight w:val="676"/>
        </w:trPr>
        <w:tc>
          <w:tcPr>
            <w:tcW w:w="5556" w:type="dxa"/>
            <w:tcBorders>
              <w:left w:val="nil"/>
            </w:tcBorders>
          </w:tcPr>
          <w:p w14:paraId="692C5ABD" w14:textId="77777777" w:rsidR="00345EE3" w:rsidRDefault="00345EE3" w:rsidP="00404045">
            <w:pPr>
              <w:pStyle w:val="TableParagraph"/>
              <w:spacing w:before="61" w:line="242" w:lineRule="auto"/>
              <w:ind w:left="32"/>
              <w:jc w:val="left"/>
              <w:rPr>
                <w:sz w:val="24"/>
              </w:rPr>
            </w:pPr>
            <w:r>
              <w:rPr>
                <w:color w:val="231F20"/>
                <w:sz w:val="24"/>
              </w:rPr>
              <w:t>Victoria</w:t>
            </w:r>
            <w:r>
              <w:rPr>
                <w:color w:val="231F20"/>
                <w:spacing w:val="-9"/>
                <w:sz w:val="24"/>
              </w:rPr>
              <w:t xml:space="preserve"> </w:t>
            </w:r>
            <w:r>
              <w:rPr>
                <w:color w:val="231F20"/>
                <w:sz w:val="24"/>
              </w:rPr>
              <w:t>Police</w:t>
            </w:r>
            <w:r>
              <w:rPr>
                <w:color w:val="231F20"/>
                <w:spacing w:val="-8"/>
                <w:sz w:val="24"/>
              </w:rPr>
              <w:t xml:space="preserve"> </w:t>
            </w:r>
            <w:r>
              <w:rPr>
                <w:color w:val="231F20"/>
                <w:sz w:val="24"/>
              </w:rPr>
              <w:t>Officers/PSOs</w:t>
            </w:r>
            <w:r>
              <w:rPr>
                <w:color w:val="231F20"/>
                <w:spacing w:val="-8"/>
                <w:sz w:val="24"/>
              </w:rPr>
              <w:t xml:space="preserve"> </w:t>
            </w:r>
            <w:r>
              <w:rPr>
                <w:color w:val="231F20"/>
                <w:sz w:val="24"/>
              </w:rPr>
              <w:t>dismissed</w:t>
            </w:r>
            <w:r>
              <w:rPr>
                <w:color w:val="231F20"/>
                <w:spacing w:val="-9"/>
                <w:sz w:val="24"/>
              </w:rPr>
              <w:t xml:space="preserve"> </w:t>
            </w:r>
            <w:r>
              <w:rPr>
                <w:color w:val="231F20"/>
                <w:sz w:val="24"/>
              </w:rPr>
              <w:t>from</w:t>
            </w:r>
            <w:r>
              <w:rPr>
                <w:color w:val="231F20"/>
                <w:spacing w:val="-8"/>
                <w:sz w:val="24"/>
              </w:rPr>
              <w:t xml:space="preserve"> </w:t>
            </w:r>
            <w:r>
              <w:rPr>
                <w:color w:val="231F20"/>
                <w:sz w:val="24"/>
              </w:rPr>
              <w:t>force (Date Dismissed)</w:t>
            </w:r>
          </w:p>
        </w:tc>
        <w:tc>
          <w:tcPr>
            <w:tcW w:w="2098" w:type="dxa"/>
          </w:tcPr>
          <w:p w14:paraId="65A1E996" w14:textId="77777777" w:rsidR="00345EE3" w:rsidRDefault="00345EE3" w:rsidP="00D73130">
            <w:pPr>
              <w:pStyle w:val="TableParagraph"/>
              <w:spacing w:before="61"/>
              <w:rPr>
                <w:sz w:val="24"/>
              </w:rPr>
            </w:pPr>
            <w:r>
              <w:rPr>
                <w:color w:val="231F20"/>
                <w:spacing w:val="-5"/>
                <w:sz w:val="24"/>
              </w:rPr>
              <w:t>30</w:t>
            </w:r>
          </w:p>
        </w:tc>
        <w:tc>
          <w:tcPr>
            <w:tcW w:w="2552" w:type="dxa"/>
            <w:tcBorders>
              <w:right w:val="nil"/>
            </w:tcBorders>
          </w:tcPr>
          <w:p w14:paraId="0F8B1309" w14:textId="77777777" w:rsidR="00345EE3" w:rsidRDefault="00345EE3" w:rsidP="00D73130">
            <w:pPr>
              <w:pStyle w:val="TableParagraph"/>
              <w:spacing w:before="61"/>
              <w:ind w:right="-15"/>
              <w:rPr>
                <w:sz w:val="24"/>
              </w:rPr>
            </w:pPr>
            <w:r>
              <w:rPr>
                <w:color w:val="231F20"/>
                <w:sz w:val="24"/>
              </w:rPr>
              <w:t>1</w:t>
            </w:r>
          </w:p>
        </w:tc>
      </w:tr>
      <w:tr w:rsidR="00345EE3" w14:paraId="5DE8D99B" w14:textId="77777777" w:rsidTr="00404045">
        <w:trPr>
          <w:trHeight w:val="671"/>
        </w:trPr>
        <w:tc>
          <w:tcPr>
            <w:tcW w:w="5556" w:type="dxa"/>
            <w:tcBorders>
              <w:left w:val="nil"/>
              <w:bottom w:val="single" w:sz="6" w:space="0" w:color="231F20"/>
              <w:right w:val="nil"/>
            </w:tcBorders>
          </w:tcPr>
          <w:p w14:paraId="13C8F21D" w14:textId="77777777" w:rsidR="00345EE3" w:rsidRDefault="00345EE3" w:rsidP="00404045">
            <w:pPr>
              <w:pStyle w:val="TableParagraph"/>
              <w:spacing w:before="61" w:line="242" w:lineRule="auto"/>
              <w:ind w:left="32"/>
              <w:jc w:val="left"/>
              <w:rPr>
                <w:sz w:val="24"/>
              </w:rPr>
            </w:pPr>
            <w:r>
              <w:rPr>
                <w:color w:val="231F20"/>
                <w:sz w:val="24"/>
              </w:rPr>
              <w:t>Victoria</w:t>
            </w:r>
            <w:r>
              <w:rPr>
                <w:color w:val="231F20"/>
                <w:spacing w:val="-14"/>
                <w:sz w:val="24"/>
              </w:rPr>
              <w:t xml:space="preserve"> </w:t>
            </w:r>
            <w:r>
              <w:rPr>
                <w:color w:val="231F20"/>
                <w:sz w:val="24"/>
              </w:rPr>
              <w:t>Police</w:t>
            </w:r>
            <w:r>
              <w:rPr>
                <w:color w:val="231F20"/>
                <w:spacing w:val="-9"/>
                <w:sz w:val="24"/>
              </w:rPr>
              <w:t xml:space="preserve"> </w:t>
            </w:r>
            <w:r>
              <w:rPr>
                <w:color w:val="231F20"/>
                <w:sz w:val="24"/>
              </w:rPr>
              <w:t>Officers/PSOs</w:t>
            </w:r>
            <w:r>
              <w:rPr>
                <w:color w:val="231F20"/>
                <w:spacing w:val="-17"/>
                <w:sz w:val="24"/>
              </w:rPr>
              <w:t xml:space="preserve"> </w:t>
            </w:r>
            <w:r>
              <w:rPr>
                <w:color w:val="231F20"/>
                <w:sz w:val="24"/>
              </w:rPr>
              <w:t>All</w:t>
            </w:r>
            <w:r>
              <w:rPr>
                <w:color w:val="231F20"/>
                <w:spacing w:val="-9"/>
                <w:sz w:val="24"/>
              </w:rPr>
              <w:t xml:space="preserve"> </w:t>
            </w:r>
            <w:r>
              <w:rPr>
                <w:color w:val="231F20"/>
                <w:sz w:val="24"/>
              </w:rPr>
              <w:t>charges</w:t>
            </w:r>
            <w:r>
              <w:rPr>
                <w:color w:val="231F20"/>
                <w:spacing w:val="-9"/>
                <w:sz w:val="24"/>
              </w:rPr>
              <w:t xml:space="preserve"> </w:t>
            </w:r>
            <w:r>
              <w:rPr>
                <w:color w:val="231F20"/>
                <w:sz w:val="24"/>
              </w:rPr>
              <w:t>dismissed after a discipline inquiry (Last Inquiry Date)</w:t>
            </w:r>
          </w:p>
        </w:tc>
        <w:tc>
          <w:tcPr>
            <w:tcW w:w="2098" w:type="dxa"/>
            <w:tcBorders>
              <w:left w:val="nil"/>
              <w:bottom w:val="single" w:sz="6" w:space="0" w:color="231F20"/>
            </w:tcBorders>
          </w:tcPr>
          <w:p w14:paraId="1EFCF7D0" w14:textId="77777777" w:rsidR="00345EE3" w:rsidRDefault="00345EE3" w:rsidP="00D73130">
            <w:pPr>
              <w:pStyle w:val="TableParagraph"/>
              <w:spacing w:before="61"/>
              <w:rPr>
                <w:sz w:val="24"/>
              </w:rPr>
            </w:pPr>
            <w:r>
              <w:rPr>
                <w:color w:val="231F20"/>
                <w:sz w:val="24"/>
              </w:rPr>
              <w:t>4</w:t>
            </w:r>
          </w:p>
        </w:tc>
        <w:tc>
          <w:tcPr>
            <w:tcW w:w="2552" w:type="dxa"/>
            <w:tcBorders>
              <w:bottom w:val="single" w:sz="6" w:space="0" w:color="231F20"/>
              <w:right w:val="nil"/>
            </w:tcBorders>
          </w:tcPr>
          <w:p w14:paraId="69BB9FA8" w14:textId="77777777" w:rsidR="00345EE3" w:rsidRDefault="00345EE3" w:rsidP="00D73130">
            <w:pPr>
              <w:pStyle w:val="TableParagraph"/>
              <w:spacing w:before="61"/>
              <w:ind w:right="-15"/>
              <w:rPr>
                <w:sz w:val="24"/>
              </w:rPr>
            </w:pPr>
            <w:r>
              <w:rPr>
                <w:color w:val="231F20"/>
                <w:sz w:val="24"/>
              </w:rPr>
              <w:t>0</w:t>
            </w:r>
          </w:p>
        </w:tc>
      </w:tr>
    </w:tbl>
    <w:p w14:paraId="48F0E686" w14:textId="77777777" w:rsidR="00345EE3" w:rsidRPr="007517B3" w:rsidRDefault="00345EE3" w:rsidP="00345EE3">
      <w:pPr>
        <w:spacing w:before="73"/>
        <w:ind w:left="110"/>
        <w:rPr>
          <w:sz w:val="18"/>
          <w:szCs w:val="18"/>
        </w:rPr>
      </w:pPr>
      <w:r w:rsidRPr="007517B3">
        <w:rPr>
          <w:rFonts w:ascii="Arial-BoldItalicMT"/>
          <w:b/>
          <w:i/>
          <w:color w:val="231F20"/>
          <w:sz w:val="18"/>
          <w:szCs w:val="18"/>
        </w:rPr>
        <w:t xml:space="preserve">Source: </w:t>
      </w:r>
      <w:r w:rsidRPr="007517B3">
        <w:rPr>
          <w:color w:val="231F20"/>
          <w:sz w:val="18"/>
          <w:szCs w:val="18"/>
        </w:rPr>
        <w:t>Professional Standards</w:t>
      </w:r>
      <w:r w:rsidRPr="007517B3">
        <w:rPr>
          <w:color w:val="231F20"/>
          <w:spacing w:val="-1"/>
          <w:sz w:val="18"/>
          <w:szCs w:val="18"/>
        </w:rPr>
        <w:t xml:space="preserve"> </w:t>
      </w:r>
      <w:r w:rsidRPr="007517B3">
        <w:rPr>
          <w:color w:val="231F20"/>
          <w:sz w:val="18"/>
          <w:szCs w:val="18"/>
        </w:rPr>
        <w:t>Command. Data</w:t>
      </w:r>
      <w:r w:rsidRPr="007517B3">
        <w:rPr>
          <w:color w:val="231F20"/>
          <w:spacing w:val="-1"/>
          <w:sz w:val="18"/>
          <w:szCs w:val="18"/>
        </w:rPr>
        <w:t xml:space="preserve"> </w:t>
      </w:r>
      <w:r w:rsidRPr="007517B3">
        <w:rPr>
          <w:color w:val="231F20"/>
          <w:sz w:val="18"/>
          <w:szCs w:val="18"/>
        </w:rPr>
        <w:t>extracted from</w:t>
      </w:r>
      <w:r w:rsidRPr="007517B3">
        <w:rPr>
          <w:color w:val="231F20"/>
          <w:spacing w:val="-1"/>
          <w:sz w:val="18"/>
          <w:szCs w:val="18"/>
        </w:rPr>
        <w:t xml:space="preserve"> </w:t>
      </w:r>
      <w:r w:rsidRPr="007517B3">
        <w:rPr>
          <w:color w:val="231F20"/>
          <w:sz w:val="18"/>
          <w:szCs w:val="18"/>
        </w:rPr>
        <w:t>Register of Complaints</w:t>
      </w:r>
      <w:r w:rsidRPr="007517B3">
        <w:rPr>
          <w:color w:val="231F20"/>
          <w:spacing w:val="-1"/>
          <w:sz w:val="18"/>
          <w:szCs w:val="18"/>
        </w:rPr>
        <w:t xml:space="preserve"> </w:t>
      </w:r>
      <w:r w:rsidRPr="007517B3">
        <w:rPr>
          <w:color w:val="231F20"/>
          <w:sz w:val="18"/>
          <w:szCs w:val="18"/>
        </w:rPr>
        <w:t>Serious Incidents</w:t>
      </w:r>
      <w:r w:rsidRPr="007517B3">
        <w:rPr>
          <w:color w:val="231F20"/>
          <w:spacing w:val="-1"/>
          <w:sz w:val="18"/>
          <w:szCs w:val="18"/>
        </w:rPr>
        <w:t xml:space="preserve"> </w:t>
      </w:r>
      <w:r w:rsidRPr="007517B3">
        <w:rPr>
          <w:color w:val="231F20"/>
          <w:sz w:val="18"/>
          <w:szCs w:val="18"/>
        </w:rPr>
        <w:t>and Discipline</w:t>
      </w:r>
      <w:r w:rsidRPr="007517B3">
        <w:rPr>
          <w:color w:val="231F20"/>
          <w:spacing w:val="-1"/>
          <w:sz w:val="18"/>
          <w:szCs w:val="18"/>
        </w:rPr>
        <w:t xml:space="preserve"> </w:t>
      </w:r>
      <w:r w:rsidRPr="007517B3">
        <w:rPr>
          <w:color w:val="231F20"/>
          <w:sz w:val="18"/>
          <w:szCs w:val="18"/>
        </w:rPr>
        <w:t xml:space="preserve">System </w:t>
      </w:r>
      <w:r>
        <w:rPr>
          <w:color w:val="231F20"/>
          <w:sz w:val="18"/>
          <w:szCs w:val="18"/>
        </w:rPr>
        <w:br/>
      </w:r>
      <w:r w:rsidRPr="007517B3">
        <w:rPr>
          <w:color w:val="231F20"/>
          <w:sz w:val="18"/>
          <w:szCs w:val="18"/>
        </w:rPr>
        <w:t>on</w:t>
      </w:r>
      <w:r w:rsidRPr="007517B3">
        <w:rPr>
          <w:color w:val="231F20"/>
          <w:spacing w:val="-1"/>
          <w:sz w:val="18"/>
          <w:szCs w:val="18"/>
        </w:rPr>
        <w:t xml:space="preserve"> </w:t>
      </w:r>
      <w:r w:rsidRPr="007517B3">
        <w:rPr>
          <w:color w:val="231F20"/>
          <w:sz w:val="18"/>
          <w:szCs w:val="18"/>
        </w:rPr>
        <w:t xml:space="preserve">18 July </w:t>
      </w:r>
      <w:r w:rsidRPr="007517B3">
        <w:rPr>
          <w:color w:val="231F20"/>
          <w:spacing w:val="-2"/>
          <w:sz w:val="18"/>
          <w:szCs w:val="18"/>
        </w:rPr>
        <w:t>2022.</w:t>
      </w:r>
    </w:p>
    <w:p w14:paraId="5CC88D00" w14:textId="77777777" w:rsidR="00345EE3" w:rsidRPr="007517B3" w:rsidRDefault="00345EE3" w:rsidP="00345EE3">
      <w:pPr>
        <w:spacing w:before="27"/>
        <w:ind w:left="110"/>
        <w:rPr>
          <w:rFonts w:ascii="Arial-BoldItalicMT"/>
          <w:b/>
          <w:i/>
          <w:sz w:val="18"/>
          <w:szCs w:val="18"/>
        </w:rPr>
      </w:pPr>
      <w:r w:rsidRPr="007517B3">
        <w:rPr>
          <w:rFonts w:ascii="Arial-BoldItalicMT"/>
          <w:b/>
          <w:i/>
          <w:color w:val="231F20"/>
          <w:spacing w:val="-2"/>
          <w:sz w:val="18"/>
          <w:szCs w:val="18"/>
        </w:rPr>
        <w:t>Notes:</w:t>
      </w:r>
    </w:p>
    <w:p w14:paraId="14D62F8A" w14:textId="77777777" w:rsidR="00345EE3" w:rsidRPr="007517B3" w:rsidRDefault="00345EE3">
      <w:pPr>
        <w:pStyle w:val="ListParagraph"/>
        <w:numPr>
          <w:ilvl w:val="0"/>
          <w:numId w:val="81"/>
        </w:numPr>
        <w:tabs>
          <w:tab w:val="left" w:pos="338"/>
        </w:tabs>
        <w:spacing w:before="28"/>
        <w:ind w:right="936"/>
        <w:rPr>
          <w:sz w:val="18"/>
          <w:szCs w:val="18"/>
        </w:rPr>
      </w:pPr>
      <w:r w:rsidRPr="007517B3">
        <w:rPr>
          <w:color w:val="231F20"/>
          <w:sz w:val="18"/>
          <w:szCs w:val="18"/>
        </w:rPr>
        <w:t>These data only include discipline outcomes under the Victoria Police Act 2013 Part 7 that occurred during 2021–2022. A Victoria Police officer can be charged</w:t>
      </w:r>
      <w:r w:rsidRPr="007517B3">
        <w:rPr>
          <w:color w:val="231F20"/>
          <w:spacing w:val="40"/>
          <w:sz w:val="18"/>
          <w:szCs w:val="18"/>
        </w:rPr>
        <w:t xml:space="preserve"> </w:t>
      </w:r>
      <w:r w:rsidRPr="007517B3">
        <w:rPr>
          <w:color w:val="231F20"/>
          <w:sz w:val="18"/>
          <w:szCs w:val="18"/>
        </w:rPr>
        <w:t>with one or more discipline charges.</w:t>
      </w:r>
    </w:p>
    <w:p w14:paraId="77EA823E" w14:textId="77777777" w:rsidR="00345EE3" w:rsidRPr="007517B3" w:rsidRDefault="00345EE3">
      <w:pPr>
        <w:pStyle w:val="ListParagraph"/>
        <w:numPr>
          <w:ilvl w:val="0"/>
          <w:numId w:val="81"/>
        </w:numPr>
        <w:tabs>
          <w:tab w:val="left" w:pos="338"/>
        </w:tabs>
        <w:spacing w:before="40" w:after="40"/>
        <w:ind w:right="994"/>
        <w:rPr>
          <w:sz w:val="18"/>
          <w:szCs w:val="18"/>
        </w:rPr>
      </w:pPr>
      <w:r w:rsidRPr="007517B3">
        <w:rPr>
          <w:color w:val="231F20"/>
          <w:sz w:val="18"/>
          <w:szCs w:val="18"/>
        </w:rPr>
        <w:t>The</w:t>
      </w:r>
      <w:r w:rsidRPr="007517B3">
        <w:rPr>
          <w:color w:val="231F20"/>
          <w:spacing w:val="-1"/>
          <w:sz w:val="18"/>
          <w:szCs w:val="18"/>
        </w:rPr>
        <w:t xml:space="preserve"> </w:t>
      </w:r>
      <w:r w:rsidRPr="007517B3">
        <w:rPr>
          <w:color w:val="231F20"/>
          <w:sz w:val="18"/>
          <w:szCs w:val="18"/>
        </w:rPr>
        <w:t>data</w:t>
      </w:r>
      <w:r w:rsidRPr="007517B3">
        <w:rPr>
          <w:color w:val="231F20"/>
          <w:spacing w:val="-1"/>
          <w:sz w:val="18"/>
          <w:szCs w:val="18"/>
        </w:rPr>
        <w:t xml:space="preserve"> </w:t>
      </w:r>
      <w:r w:rsidRPr="007517B3">
        <w:rPr>
          <w:color w:val="231F20"/>
          <w:sz w:val="18"/>
          <w:szCs w:val="18"/>
        </w:rPr>
        <w:t>can</w:t>
      </w:r>
      <w:r w:rsidRPr="007517B3">
        <w:rPr>
          <w:color w:val="231F20"/>
          <w:spacing w:val="-1"/>
          <w:sz w:val="18"/>
          <w:szCs w:val="18"/>
        </w:rPr>
        <w:t xml:space="preserve"> </w:t>
      </w:r>
      <w:r w:rsidRPr="007517B3">
        <w:rPr>
          <w:color w:val="231F20"/>
          <w:sz w:val="18"/>
          <w:szCs w:val="18"/>
        </w:rPr>
        <w:t>include</w:t>
      </w:r>
      <w:r w:rsidRPr="007517B3">
        <w:rPr>
          <w:color w:val="231F20"/>
          <w:spacing w:val="-1"/>
          <w:sz w:val="18"/>
          <w:szCs w:val="18"/>
        </w:rPr>
        <w:t xml:space="preserve"> </w:t>
      </w:r>
      <w:r w:rsidRPr="007517B3">
        <w:rPr>
          <w:color w:val="231F20"/>
          <w:sz w:val="18"/>
          <w:szCs w:val="18"/>
        </w:rPr>
        <w:t>a</w:t>
      </w:r>
      <w:r w:rsidRPr="007517B3">
        <w:rPr>
          <w:color w:val="231F20"/>
          <w:spacing w:val="-1"/>
          <w:sz w:val="18"/>
          <w:szCs w:val="18"/>
        </w:rPr>
        <w:t xml:space="preserve"> </w:t>
      </w:r>
      <w:r w:rsidRPr="007517B3">
        <w:rPr>
          <w:color w:val="231F20"/>
          <w:sz w:val="18"/>
          <w:szCs w:val="18"/>
        </w:rPr>
        <w:t>police</w:t>
      </w:r>
      <w:r w:rsidRPr="007517B3">
        <w:rPr>
          <w:color w:val="231F20"/>
          <w:spacing w:val="-1"/>
          <w:sz w:val="18"/>
          <w:szCs w:val="18"/>
        </w:rPr>
        <w:t xml:space="preserve"> </w:t>
      </w:r>
      <w:r w:rsidRPr="007517B3">
        <w:rPr>
          <w:color w:val="231F20"/>
          <w:sz w:val="18"/>
          <w:szCs w:val="18"/>
        </w:rPr>
        <w:t>officer</w:t>
      </w:r>
      <w:r w:rsidRPr="007517B3">
        <w:rPr>
          <w:color w:val="231F20"/>
          <w:spacing w:val="-1"/>
          <w:sz w:val="18"/>
          <w:szCs w:val="18"/>
        </w:rPr>
        <w:t xml:space="preserve"> </w:t>
      </w:r>
      <w:r w:rsidRPr="007517B3">
        <w:rPr>
          <w:color w:val="231F20"/>
          <w:sz w:val="18"/>
          <w:szCs w:val="18"/>
        </w:rPr>
        <w:t>who</w:t>
      </w:r>
      <w:r w:rsidRPr="007517B3">
        <w:rPr>
          <w:color w:val="231F20"/>
          <w:spacing w:val="-1"/>
          <w:sz w:val="18"/>
          <w:szCs w:val="18"/>
        </w:rPr>
        <w:t xml:space="preserve"> </w:t>
      </w:r>
      <w:r w:rsidRPr="007517B3">
        <w:rPr>
          <w:color w:val="231F20"/>
          <w:sz w:val="18"/>
          <w:szCs w:val="18"/>
        </w:rPr>
        <w:t>has</w:t>
      </w:r>
      <w:r w:rsidRPr="007517B3">
        <w:rPr>
          <w:color w:val="231F20"/>
          <w:spacing w:val="-1"/>
          <w:sz w:val="18"/>
          <w:szCs w:val="18"/>
        </w:rPr>
        <w:t xml:space="preserve"> </w:t>
      </w:r>
      <w:r w:rsidRPr="007517B3">
        <w:rPr>
          <w:color w:val="231F20"/>
          <w:sz w:val="18"/>
          <w:szCs w:val="18"/>
        </w:rPr>
        <w:t>charges/outcomes</w:t>
      </w:r>
      <w:r w:rsidRPr="007517B3">
        <w:rPr>
          <w:color w:val="231F20"/>
          <w:spacing w:val="-1"/>
          <w:sz w:val="18"/>
          <w:szCs w:val="18"/>
        </w:rPr>
        <w:t xml:space="preserve"> </w:t>
      </w:r>
      <w:r w:rsidRPr="007517B3">
        <w:rPr>
          <w:color w:val="231F20"/>
          <w:sz w:val="18"/>
          <w:szCs w:val="18"/>
        </w:rPr>
        <w:t>from</w:t>
      </w:r>
      <w:r w:rsidRPr="007517B3">
        <w:rPr>
          <w:color w:val="231F20"/>
          <w:spacing w:val="-1"/>
          <w:sz w:val="18"/>
          <w:szCs w:val="18"/>
        </w:rPr>
        <w:t xml:space="preserve"> </w:t>
      </w:r>
      <w:r w:rsidRPr="007517B3">
        <w:rPr>
          <w:color w:val="231F20"/>
          <w:sz w:val="18"/>
          <w:szCs w:val="18"/>
        </w:rPr>
        <w:t>both</w:t>
      </w:r>
      <w:r w:rsidRPr="007517B3">
        <w:rPr>
          <w:color w:val="231F20"/>
          <w:spacing w:val="-1"/>
          <w:sz w:val="18"/>
          <w:szCs w:val="18"/>
        </w:rPr>
        <w:t xml:space="preserve"> </w:t>
      </w:r>
      <w:r w:rsidRPr="007517B3">
        <w:rPr>
          <w:color w:val="231F20"/>
          <w:sz w:val="18"/>
          <w:szCs w:val="18"/>
        </w:rPr>
        <w:t>section</w:t>
      </w:r>
      <w:r w:rsidRPr="007517B3">
        <w:rPr>
          <w:color w:val="231F20"/>
          <w:spacing w:val="-1"/>
          <w:sz w:val="18"/>
          <w:szCs w:val="18"/>
        </w:rPr>
        <w:t xml:space="preserve"> </w:t>
      </w:r>
      <w:r w:rsidRPr="007517B3">
        <w:rPr>
          <w:color w:val="231F20"/>
          <w:sz w:val="18"/>
          <w:szCs w:val="18"/>
        </w:rPr>
        <w:t>125</w:t>
      </w:r>
      <w:r w:rsidRPr="007517B3">
        <w:rPr>
          <w:color w:val="231F20"/>
          <w:spacing w:val="-1"/>
          <w:sz w:val="18"/>
          <w:szCs w:val="18"/>
        </w:rPr>
        <w:t xml:space="preserve"> </w:t>
      </w:r>
      <w:r w:rsidRPr="007517B3">
        <w:rPr>
          <w:color w:val="231F20"/>
          <w:sz w:val="18"/>
          <w:szCs w:val="18"/>
        </w:rPr>
        <w:t>and</w:t>
      </w:r>
      <w:r w:rsidRPr="007517B3">
        <w:rPr>
          <w:color w:val="231F20"/>
          <w:spacing w:val="-1"/>
          <w:sz w:val="18"/>
          <w:szCs w:val="18"/>
        </w:rPr>
        <w:t xml:space="preserve"> </w:t>
      </w:r>
      <w:r w:rsidRPr="007517B3">
        <w:rPr>
          <w:color w:val="231F20"/>
          <w:sz w:val="18"/>
          <w:szCs w:val="18"/>
        </w:rPr>
        <w:t>section</w:t>
      </w:r>
      <w:r w:rsidRPr="007517B3">
        <w:rPr>
          <w:color w:val="231F20"/>
          <w:spacing w:val="-1"/>
          <w:sz w:val="18"/>
          <w:szCs w:val="18"/>
        </w:rPr>
        <w:t xml:space="preserve"> </w:t>
      </w:r>
      <w:r w:rsidRPr="007517B3">
        <w:rPr>
          <w:color w:val="231F20"/>
          <w:sz w:val="18"/>
          <w:szCs w:val="18"/>
        </w:rPr>
        <w:t>136</w:t>
      </w:r>
      <w:r w:rsidRPr="007517B3">
        <w:rPr>
          <w:color w:val="231F20"/>
          <w:spacing w:val="-1"/>
          <w:sz w:val="18"/>
          <w:szCs w:val="18"/>
        </w:rPr>
        <w:t xml:space="preserve"> </w:t>
      </w:r>
      <w:r w:rsidRPr="007517B3">
        <w:rPr>
          <w:color w:val="231F20"/>
          <w:sz w:val="18"/>
          <w:szCs w:val="18"/>
        </w:rPr>
        <w:t>proceeding,</w:t>
      </w:r>
      <w:r w:rsidRPr="007517B3">
        <w:rPr>
          <w:color w:val="231F20"/>
          <w:spacing w:val="-1"/>
          <w:sz w:val="18"/>
          <w:szCs w:val="18"/>
        </w:rPr>
        <w:t xml:space="preserve"> </w:t>
      </w:r>
      <w:r w:rsidRPr="007517B3">
        <w:rPr>
          <w:color w:val="231F20"/>
          <w:sz w:val="18"/>
          <w:szCs w:val="18"/>
        </w:rPr>
        <w:t>i.e.</w:t>
      </w:r>
      <w:r w:rsidRPr="007517B3">
        <w:rPr>
          <w:color w:val="231F20"/>
          <w:spacing w:val="-1"/>
          <w:sz w:val="18"/>
          <w:szCs w:val="18"/>
        </w:rPr>
        <w:t xml:space="preserve"> </w:t>
      </w:r>
      <w:r w:rsidRPr="007517B3">
        <w:rPr>
          <w:color w:val="231F20"/>
          <w:sz w:val="18"/>
          <w:szCs w:val="18"/>
        </w:rPr>
        <w:t>they</w:t>
      </w:r>
      <w:r w:rsidRPr="007517B3">
        <w:rPr>
          <w:color w:val="231F20"/>
          <w:spacing w:val="-1"/>
          <w:sz w:val="18"/>
          <w:szCs w:val="18"/>
        </w:rPr>
        <w:t xml:space="preserve"> </w:t>
      </w:r>
      <w:r w:rsidRPr="007517B3">
        <w:rPr>
          <w:color w:val="231F20"/>
          <w:sz w:val="18"/>
          <w:szCs w:val="18"/>
        </w:rPr>
        <w:t>may</w:t>
      </w:r>
      <w:r w:rsidRPr="007517B3">
        <w:rPr>
          <w:color w:val="231F20"/>
          <w:spacing w:val="-1"/>
          <w:sz w:val="18"/>
          <w:szCs w:val="18"/>
        </w:rPr>
        <w:t xml:space="preserve"> </w:t>
      </w:r>
      <w:r w:rsidRPr="007517B3">
        <w:rPr>
          <w:color w:val="231F20"/>
          <w:sz w:val="18"/>
          <w:szCs w:val="18"/>
        </w:rPr>
        <w:t>appear</w:t>
      </w:r>
      <w:r w:rsidRPr="007517B3">
        <w:rPr>
          <w:color w:val="231F20"/>
          <w:spacing w:val="-1"/>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both</w:t>
      </w:r>
      <w:r w:rsidRPr="007517B3">
        <w:rPr>
          <w:color w:val="231F20"/>
          <w:spacing w:val="-1"/>
          <w:sz w:val="18"/>
          <w:szCs w:val="18"/>
        </w:rPr>
        <w:t xml:space="preserve"> </w:t>
      </w:r>
      <w:r w:rsidRPr="007517B3">
        <w:rPr>
          <w:color w:val="231F20"/>
          <w:sz w:val="18"/>
          <w:szCs w:val="18"/>
        </w:rPr>
        <w:t>columns.</w:t>
      </w:r>
      <w:r w:rsidRPr="007517B3">
        <w:rPr>
          <w:color w:val="231F20"/>
          <w:spacing w:val="-1"/>
          <w:sz w:val="18"/>
          <w:szCs w:val="18"/>
        </w:rPr>
        <w:t xml:space="preserve"> </w:t>
      </w:r>
      <w:r w:rsidRPr="007517B3">
        <w:rPr>
          <w:color w:val="231F20"/>
          <w:sz w:val="18"/>
          <w:szCs w:val="18"/>
        </w:rPr>
        <w:t>The</w:t>
      </w:r>
      <w:r w:rsidRPr="007517B3">
        <w:rPr>
          <w:color w:val="231F20"/>
          <w:spacing w:val="40"/>
          <w:sz w:val="18"/>
          <w:szCs w:val="18"/>
        </w:rPr>
        <w:t xml:space="preserve"> </w:t>
      </w:r>
      <w:r w:rsidRPr="007517B3">
        <w:rPr>
          <w:color w:val="231F20"/>
          <w:sz w:val="18"/>
          <w:szCs w:val="18"/>
        </w:rPr>
        <w:t>initial charges related to these outcomes may have been laid in 2021–2022, or previous reporting period(s).</w:t>
      </w:r>
    </w:p>
    <w:p w14:paraId="7A937ECE" w14:textId="77777777" w:rsidR="00345EE3" w:rsidRDefault="00345EE3" w:rsidP="00345EE3">
      <w:pPr>
        <w:ind w:left="110"/>
        <w:rPr>
          <w:rFonts w:ascii="Arial-BoldItalicMT" w:hAnsi="Arial-BoldItalicMT"/>
          <w:b/>
          <w:i/>
          <w:sz w:val="18"/>
        </w:rPr>
      </w:pPr>
      <w:r>
        <w:rPr>
          <w:color w:val="231F20"/>
          <w:sz w:val="18"/>
        </w:rPr>
        <w:t>Table</w:t>
      </w:r>
      <w:r>
        <w:rPr>
          <w:color w:val="231F20"/>
          <w:spacing w:val="-3"/>
          <w:sz w:val="18"/>
        </w:rPr>
        <w:t xml:space="preserve"> </w:t>
      </w:r>
      <w:r>
        <w:rPr>
          <w:color w:val="231F20"/>
          <w:sz w:val="18"/>
        </w:rPr>
        <w:t>5.6:</w:t>
      </w:r>
      <w:r>
        <w:rPr>
          <w:color w:val="231F20"/>
          <w:spacing w:val="-3"/>
          <w:sz w:val="18"/>
        </w:rPr>
        <w:t xml:space="preserve"> </w:t>
      </w:r>
      <w:r>
        <w:rPr>
          <w:rFonts w:ascii="Arial-BoldItalicMT" w:hAnsi="Arial-BoldItalicMT"/>
          <w:b/>
          <w:i/>
          <w:color w:val="231F20"/>
          <w:sz w:val="18"/>
        </w:rPr>
        <w:t>Results</w:t>
      </w:r>
      <w:r>
        <w:rPr>
          <w:rFonts w:ascii="Arial-BoldItalicMT" w:hAnsi="Arial-BoldItalicMT"/>
          <w:b/>
          <w:i/>
          <w:color w:val="231F20"/>
          <w:spacing w:val="-6"/>
          <w:sz w:val="18"/>
        </w:rPr>
        <w:t xml:space="preserve"> </w:t>
      </w:r>
      <w:r>
        <w:rPr>
          <w:rFonts w:ascii="Arial-BoldItalicMT" w:hAnsi="Arial-BoldItalicMT"/>
          <w:b/>
          <w:i/>
          <w:color w:val="231F20"/>
          <w:sz w:val="18"/>
        </w:rPr>
        <w:t>of</w:t>
      </w:r>
      <w:r>
        <w:rPr>
          <w:rFonts w:ascii="Arial-BoldItalicMT" w:hAnsi="Arial-BoldItalicMT"/>
          <w:b/>
          <w:i/>
          <w:color w:val="231F20"/>
          <w:spacing w:val="-5"/>
          <w:sz w:val="18"/>
        </w:rPr>
        <w:t xml:space="preserve"> </w:t>
      </w:r>
      <w:r>
        <w:rPr>
          <w:rFonts w:ascii="Arial-BoldItalicMT" w:hAnsi="Arial-BoldItalicMT"/>
          <w:b/>
          <w:i/>
          <w:color w:val="231F20"/>
          <w:sz w:val="18"/>
        </w:rPr>
        <w:t>Discipline</w:t>
      </w:r>
      <w:r>
        <w:rPr>
          <w:rFonts w:ascii="Arial-BoldItalicMT" w:hAnsi="Arial-BoldItalicMT"/>
          <w:b/>
          <w:i/>
          <w:color w:val="231F20"/>
          <w:spacing w:val="-6"/>
          <w:sz w:val="18"/>
        </w:rPr>
        <w:t xml:space="preserve"> </w:t>
      </w:r>
      <w:r>
        <w:rPr>
          <w:rFonts w:ascii="Arial-BoldItalicMT" w:hAnsi="Arial-BoldItalicMT"/>
          <w:b/>
          <w:i/>
          <w:color w:val="231F20"/>
          <w:sz w:val="18"/>
        </w:rPr>
        <w:t>charges</w:t>
      </w:r>
      <w:r>
        <w:rPr>
          <w:rFonts w:ascii="Arial-BoldItalicMT" w:hAnsi="Arial-BoldItalicMT"/>
          <w:b/>
          <w:i/>
          <w:color w:val="231F20"/>
          <w:spacing w:val="-6"/>
          <w:sz w:val="18"/>
        </w:rPr>
        <w:t xml:space="preserve"> </w:t>
      </w:r>
      <w:r>
        <w:rPr>
          <w:rFonts w:ascii="Arial-BoldItalicMT" w:hAnsi="Arial-BoldItalicMT"/>
          <w:b/>
          <w:i/>
          <w:color w:val="231F20"/>
          <w:sz w:val="18"/>
        </w:rPr>
        <w:t>determined</w:t>
      </w:r>
      <w:r>
        <w:rPr>
          <w:rFonts w:ascii="Arial-BoldItalicMT" w:hAnsi="Arial-BoldItalicMT"/>
          <w:b/>
          <w:i/>
          <w:color w:val="231F20"/>
          <w:spacing w:val="-5"/>
          <w:sz w:val="18"/>
        </w:rPr>
        <w:t xml:space="preserve"> </w:t>
      </w:r>
      <w:r>
        <w:rPr>
          <w:rFonts w:ascii="Arial-BoldItalicMT" w:hAnsi="Arial-BoldItalicMT"/>
          <w:b/>
          <w:i/>
          <w:color w:val="231F20"/>
          <w:sz w:val="18"/>
        </w:rPr>
        <w:t>by</w:t>
      </w:r>
      <w:r>
        <w:rPr>
          <w:rFonts w:ascii="Arial-BoldItalicMT" w:hAnsi="Arial-BoldItalicMT"/>
          <w:b/>
          <w:i/>
          <w:color w:val="231F20"/>
          <w:spacing w:val="-6"/>
          <w:sz w:val="18"/>
        </w:rPr>
        <w:t xml:space="preserve"> </w:t>
      </w:r>
      <w:r>
        <w:rPr>
          <w:rFonts w:ascii="Arial-BoldItalicMT" w:hAnsi="Arial-BoldItalicMT"/>
          <w:b/>
          <w:i/>
          <w:color w:val="231F20"/>
          <w:sz w:val="18"/>
        </w:rPr>
        <w:t>Inquiry</w:t>
      </w:r>
      <w:r>
        <w:rPr>
          <w:rFonts w:ascii="Arial-BoldItalicMT" w:hAnsi="Arial-BoldItalicMT"/>
          <w:b/>
          <w:i/>
          <w:color w:val="231F20"/>
          <w:spacing w:val="-6"/>
          <w:sz w:val="18"/>
        </w:rPr>
        <w:t xml:space="preserve"> </w:t>
      </w:r>
      <w:r>
        <w:rPr>
          <w:rFonts w:ascii="Arial-BoldItalicMT" w:hAnsi="Arial-BoldItalicMT"/>
          <w:b/>
          <w:i/>
          <w:color w:val="231F20"/>
          <w:sz w:val="18"/>
        </w:rPr>
        <w:t>Officers</w:t>
      </w:r>
      <w:r>
        <w:rPr>
          <w:rFonts w:ascii="Arial-BoldItalicMT" w:hAnsi="Arial-BoldItalicMT"/>
          <w:b/>
          <w:i/>
          <w:color w:val="231F20"/>
          <w:spacing w:val="-5"/>
          <w:sz w:val="18"/>
        </w:rPr>
        <w:t xml:space="preserve"> </w:t>
      </w:r>
      <w:r>
        <w:rPr>
          <w:rFonts w:ascii="Arial-BoldItalicMT" w:hAnsi="Arial-BoldItalicMT"/>
          <w:b/>
          <w:i/>
          <w:color w:val="231F20"/>
          <w:sz w:val="18"/>
        </w:rPr>
        <w:t>review</w:t>
      </w:r>
      <w:r>
        <w:rPr>
          <w:rFonts w:ascii="Arial-BoldItalicMT" w:hAnsi="Arial-BoldItalicMT"/>
          <w:b/>
          <w:i/>
          <w:color w:val="231F20"/>
          <w:spacing w:val="-6"/>
          <w:sz w:val="18"/>
        </w:rPr>
        <w:t xml:space="preserve"> </w:t>
      </w:r>
      <w:r>
        <w:rPr>
          <w:rFonts w:ascii="Arial-BoldItalicMT" w:hAnsi="Arial-BoldItalicMT"/>
          <w:b/>
          <w:i/>
          <w:color w:val="231F20"/>
          <w:sz w:val="18"/>
        </w:rPr>
        <w:t>of</w:t>
      </w:r>
      <w:r>
        <w:rPr>
          <w:rFonts w:ascii="Arial-BoldItalicMT" w:hAnsi="Arial-BoldItalicMT"/>
          <w:b/>
          <w:i/>
          <w:color w:val="231F20"/>
          <w:spacing w:val="-6"/>
          <w:sz w:val="18"/>
        </w:rPr>
        <w:t xml:space="preserve"> </w:t>
      </w:r>
      <w:r>
        <w:rPr>
          <w:rFonts w:ascii="Arial-BoldItalicMT" w:hAnsi="Arial-BoldItalicMT"/>
          <w:b/>
          <w:i/>
          <w:color w:val="231F20"/>
          <w:sz w:val="18"/>
        </w:rPr>
        <w:t>sanctions</w:t>
      </w:r>
      <w:r>
        <w:rPr>
          <w:rFonts w:ascii="Arial-BoldItalicMT" w:hAnsi="Arial-BoldItalicMT"/>
          <w:b/>
          <w:i/>
          <w:color w:val="231F20"/>
          <w:spacing w:val="-5"/>
          <w:sz w:val="18"/>
        </w:rPr>
        <w:t xml:space="preserve"> </w:t>
      </w:r>
      <w:r>
        <w:rPr>
          <w:rFonts w:ascii="Arial-BoldItalicMT" w:hAnsi="Arial-BoldItalicMT"/>
          <w:b/>
          <w:i/>
          <w:color w:val="231F20"/>
          <w:sz w:val="18"/>
        </w:rPr>
        <w:t>Part</w:t>
      </w:r>
      <w:r>
        <w:rPr>
          <w:rFonts w:ascii="Arial-BoldItalicMT" w:hAnsi="Arial-BoldItalicMT"/>
          <w:b/>
          <w:i/>
          <w:color w:val="231F20"/>
          <w:spacing w:val="-6"/>
          <w:sz w:val="18"/>
        </w:rPr>
        <w:t xml:space="preserve"> </w:t>
      </w:r>
      <w:r>
        <w:rPr>
          <w:rFonts w:ascii="Arial-BoldItalicMT" w:hAnsi="Arial-BoldItalicMT"/>
          <w:b/>
          <w:i/>
          <w:color w:val="231F20"/>
          <w:sz w:val="18"/>
        </w:rPr>
        <w:t>2:</w:t>
      </w:r>
      <w:r>
        <w:rPr>
          <w:rFonts w:ascii="Arial-BoldItalicMT" w:hAnsi="Arial-BoldItalicMT"/>
          <w:b/>
          <w:i/>
          <w:color w:val="231F20"/>
          <w:spacing w:val="-5"/>
          <w:sz w:val="18"/>
        </w:rPr>
        <w:t xml:space="preserve"> </w:t>
      </w:r>
      <w:r>
        <w:rPr>
          <w:rFonts w:ascii="Arial-BoldItalicMT" w:hAnsi="Arial-BoldItalicMT"/>
          <w:b/>
          <w:i/>
          <w:color w:val="231F20"/>
          <w:spacing w:val="-2"/>
          <w:sz w:val="18"/>
        </w:rPr>
        <w:t>2021–22</w:t>
      </w:r>
    </w:p>
    <w:p w14:paraId="07748F76" w14:textId="77777777" w:rsidR="00345EE3" w:rsidRDefault="00345EE3" w:rsidP="00345EE3">
      <w:pPr>
        <w:pStyle w:val="BodyText"/>
        <w:spacing w:before="5"/>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3969"/>
        <w:gridCol w:w="1361"/>
        <w:gridCol w:w="1248"/>
        <w:gridCol w:w="2382"/>
        <w:gridCol w:w="1248"/>
      </w:tblGrid>
      <w:tr w:rsidR="00345EE3" w14:paraId="13844317" w14:textId="77777777" w:rsidTr="00D73130">
        <w:trPr>
          <w:trHeight w:val="405"/>
        </w:trPr>
        <w:tc>
          <w:tcPr>
            <w:tcW w:w="10208" w:type="dxa"/>
            <w:gridSpan w:val="5"/>
            <w:shd w:val="clear" w:color="auto" w:fill="00529F"/>
          </w:tcPr>
          <w:p w14:paraId="1DB067A1" w14:textId="77777777" w:rsidR="00345EE3" w:rsidRDefault="00345EE3" w:rsidP="00D73130">
            <w:pPr>
              <w:pStyle w:val="TableParagraph"/>
              <w:spacing w:before="63"/>
              <w:ind w:left="5916"/>
              <w:jc w:val="left"/>
              <w:rPr>
                <w:b/>
                <w:sz w:val="24"/>
              </w:rPr>
            </w:pPr>
            <w:r>
              <w:rPr>
                <w:b/>
                <w:color w:val="FFFFFF"/>
                <w:sz w:val="24"/>
              </w:rPr>
              <w:t>PRSB</w:t>
            </w:r>
            <w:r>
              <w:rPr>
                <w:b/>
                <w:color w:val="FFFFFF"/>
                <w:spacing w:val="-12"/>
                <w:sz w:val="24"/>
              </w:rPr>
              <w:t xml:space="preserve"> </w:t>
            </w:r>
            <w:r>
              <w:rPr>
                <w:b/>
                <w:color w:val="FFFFFF"/>
                <w:sz w:val="24"/>
              </w:rPr>
              <w:t>Review</w:t>
            </w:r>
            <w:r>
              <w:rPr>
                <w:b/>
                <w:color w:val="FFFFFF"/>
                <w:spacing w:val="-11"/>
                <w:sz w:val="24"/>
              </w:rPr>
              <w:t xml:space="preserve"> </w:t>
            </w:r>
            <w:r>
              <w:rPr>
                <w:b/>
                <w:color w:val="FFFFFF"/>
                <w:spacing w:val="-2"/>
                <w:sz w:val="24"/>
              </w:rPr>
              <w:t>Result</w:t>
            </w:r>
          </w:p>
        </w:tc>
      </w:tr>
      <w:tr w:rsidR="00345EE3" w14:paraId="02AE26DE" w14:textId="77777777" w:rsidTr="00D73130">
        <w:trPr>
          <w:trHeight w:val="957"/>
        </w:trPr>
        <w:tc>
          <w:tcPr>
            <w:tcW w:w="3969" w:type="dxa"/>
            <w:shd w:val="clear" w:color="auto" w:fill="00529F"/>
          </w:tcPr>
          <w:p w14:paraId="540E744A" w14:textId="77777777" w:rsidR="00345EE3" w:rsidRDefault="00345EE3" w:rsidP="00D73130">
            <w:pPr>
              <w:pStyle w:val="TableParagraph"/>
              <w:spacing w:before="0"/>
              <w:jc w:val="left"/>
              <w:rPr>
                <w:rFonts w:ascii="Times New Roman"/>
                <w:sz w:val="16"/>
              </w:rPr>
            </w:pPr>
          </w:p>
        </w:tc>
        <w:tc>
          <w:tcPr>
            <w:tcW w:w="1361" w:type="dxa"/>
            <w:shd w:val="clear" w:color="auto" w:fill="00529F"/>
          </w:tcPr>
          <w:p w14:paraId="499017CB" w14:textId="77777777" w:rsidR="00345EE3" w:rsidRDefault="00345EE3" w:rsidP="00D73130">
            <w:pPr>
              <w:pStyle w:val="TableParagraph"/>
              <w:spacing w:before="59" w:line="242" w:lineRule="auto"/>
              <w:ind w:left="229" w:right="3" w:hanging="54"/>
              <w:jc w:val="both"/>
              <w:rPr>
                <w:b/>
                <w:sz w:val="24"/>
              </w:rPr>
            </w:pPr>
            <w:r>
              <w:rPr>
                <w:b/>
                <w:color w:val="FFFFFF"/>
                <w:spacing w:val="-2"/>
                <w:sz w:val="24"/>
              </w:rPr>
              <w:t>Number</w:t>
            </w:r>
            <w:r>
              <w:rPr>
                <w:b/>
                <w:color w:val="FFFFFF"/>
                <w:spacing w:val="-15"/>
                <w:sz w:val="24"/>
              </w:rPr>
              <w:t xml:space="preserve"> </w:t>
            </w:r>
            <w:r>
              <w:rPr>
                <w:b/>
                <w:color w:val="FFFFFF"/>
                <w:spacing w:val="-2"/>
                <w:sz w:val="24"/>
              </w:rPr>
              <w:t xml:space="preserve">of </w:t>
            </w:r>
            <w:r>
              <w:rPr>
                <w:b/>
                <w:color w:val="FFFFFF"/>
                <w:spacing w:val="-4"/>
                <w:sz w:val="24"/>
              </w:rPr>
              <w:t xml:space="preserve">Sanctions </w:t>
            </w:r>
            <w:r>
              <w:rPr>
                <w:b/>
                <w:color w:val="FFFFFF"/>
                <w:spacing w:val="-2"/>
                <w:sz w:val="24"/>
              </w:rPr>
              <w:t>Reviewed</w:t>
            </w:r>
          </w:p>
        </w:tc>
        <w:tc>
          <w:tcPr>
            <w:tcW w:w="1248" w:type="dxa"/>
            <w:shd w:val="clear" w:color="auto" w:fill="00529F"/>
          </w:tcPr>
          <w:p w14:paraId="37EDA994" w14:textId="77777777" w:rsidR="00345EE3" w:rsidRDefault="00345EE3" w:rsidP="00D73130">
            <w:pPr>
              <w:pStyle w:val="TableParagraph"/>
              <w:spacing w:before="59" w:line="242" w:lineRule="auto"/>
              <w:ind w:left="271" w:hanging="25"/>
              <w:jc w:val="left"/>
              <w:rPr>
                <w:b/>
                <w:sz w:val="24"/>
              </w:rPr>
            </w:pPr>
            <w:r>
              <w:rPr>
                <w:b/>
                <w:color w:val="FFFFFF"/>
                <w:spacing w:val="-4"/>
                <w:sz w:val="24"/>
              </w:rPr>
              <w:t>Sanction Affirmed</w:t>
            </w:r>
          </w:p>
        </w:tc>
        <w:tc>
          <w:tcPr>
            <w:tcW w:w="2382" w:type="dxa"/>
            <w:shd w:val="clear" w:color="auto" w:fill="00529F"/>
          </w:tcPr>
          <w:p w14:paraId="338F5CA5" w14:textId="77777777" w:rsidR="00345EE3" w:rsidRDefault="00345EE3" w:rsidP="00D73130">
            <w:pPr>
              <w:pStyle w:val="TableParagraph"/>
              <w:spacing w:before="59" w:line="242" w:lineRule="auto"/>
              <w:ind w:left="243" w:right="5" w:firstLine="144"/>
              <w:rPr>
                <w:b/>
                <w:sz w:val="24"/>
              </w:rPr>
            </w:pPr>
            <w:r>
              <w:rPr>
                <w:b/>
                <w:color w:val="FFFFFF"/>
                <w:spacing w:val="-4"/>
                <w:sz w:val="24"/>
              </w:rPr>
              <w:t>Sanction</w:t>
            </w:r>
            <w:r>
              <w:rPr>
                <w:b/>
                <w:color w:val="FFFFFF"/>
                <w:spacing w:val="-13"/>
                <w:sz w:val="24"/>
              </w:rPr>
              <w:t xml:space="preserve"> </w:t>
            </w:r>
            <w:r>
              <w:rPr>
                <w:b/>
                <w:color w:val="FFFFFF"/>
                <w:spacing w:val="-4"/>
                <w:sz w:val="24"/>
              </w:rPr>
              <w:t xml:space="preserve">(charge) </w:t>
            </w:r>
            <w:r>
              <w:rPr>
                <w:b/>
                <w:color w:val="FFFFFF"/>
                <w:spacing w:val="-2"/>
                <w:sz w:val="24"/>
              </w:rPr>
              <w:t>Dismissed</w:t>
            </w:r>
            <w:r>
              <w:rPr>
                <w:b/>
                <w:color w:val="FFFFFF"/>
                <w:spacing w:val="-15"/>
                <w:sz w:val="24"/>
              </w:rPr>
              <w:t xml:space="preserve"> </w:t>
            </w:r>
            <w:r>
              <w:rPr>
                <w:b/>
                <w:color w:val="FFFFFF"/>
                <w:spacing w:val="-2"/>
                <w:sz w:val="24"/>
              </w:rPr>
              <w:t>/</w:t>
            </w:r>
            <w:r>
              <w:rPr>
                <w:b/>
                <w:color w:val="FFFFFF"/>
                <w:spacing w:val="-15"/>
                <w:sz w:val="24"/>
              </w:rPr>
              <w:t xml:space="preserve"> </w:t>
            </w:r>
            <w:r>
              <w:rPr>
                <w:b/>
                <w:color w:val="FFFFFF"/>
                <w:spacing w:val="-2"/>
                <w:sz w:val="24"/>
              </w:rPr>
              <w:t xml:space="preserve">Officer </w:t>
            </w:r>
            <w:r>
              <w:rPr>
                <w:b/>
                <w:color w:val="FFFFFF"/>
                <w:sz w:val="24"/>
              </w:rPr>
              <w:t>withdrew appeal</w:t>
            </w:r>
          </w:p>
        </w:tc>
        <w:tc>
          <w:tcPr>
            <w:tcW w:w="1248" w:type="dxa"/>
            <w:shd w:val="clear" w:color="auto" w:fill="00529F"/>
          </w:tcPr>
          <w:p w14:paraId="1DE20387" w14:textId="77777777" w:rsidR="00345EE3" w:rsidRDefault="00345EE3" w:rsidP="00D73130">
            <w:pPr>
              <w:pStyle w:val="TableParagraph"/>
              <w:spacing w:before="59" w:line="242" w:lineRule="auto"/>
              <w:ind w:left="533" w:right="2" w:hanging="289"/>
              <w:jc w:val="left"/>
              <w:rPr>
                <w:b/>
                <w:sz w:val="24"/>
              </w:rPr>
            </w:pPr>
            <w:r>
              <w:rPr>
                <w:b/>
                <w:color w:val="FFFFFF"/>
                <w:spacing w:val="-4"/>
                <w:sz w:val="24"/>
              </w:rPr>
              <w:t xml:space="preserve">Sanction </w:t>
            </w:r>
            <w:r>
              <w:rPr>
                <w:b/>
                <w:color w:val="FFFFFF"/>
                <w:spacing w:val="-7"/>
                <w:sz w:val="24"/>
              </w:rPr>
              <w:t>Varied</w:t>
            </w:r>
          </w:p>
        </w:tc>
      </w:tr>
      <w:tr w:rsidR="00345EE3" w14:paraId="1849256C" w14:textId="77777777" w:rsidTr="00D73130">
        <w:trPr>
          <w:trHeight w:val="956"/>
        </w:trPr>
        <w:tc>
          <w:tcPr>
            <w:tcW w:w="3969" w:type="dxa"/>
            <w:tcBorders>
              <w:bottom w:val="single" w:sz="2" w:space="0" w:color="939598"/>
              <w:right w:val="single" w:sz="2" w:space="0" w:color="939598"/>
            </w:tcBorders>
          </w:tcPr>
          <w:p w14:paraId="6E15B770" w14:textId="77777777" w:rsidR="00345EE3" w:rsidRDefault="00345EE3" w:rsidP="00D73130">
            <w:pPr>
              <w:pStyle w:val="TableParagraph"/>
              <w:spacing w:before="61" w:line="242" w:lineRule="auto"/>
              <w:ind w:left="-3"/>
              <w:jc w:val="left"/>
              <w:rPr>
                <w:sz w:val="24"/>
              </w:rPr>
            </w:pPr>
            <w:r>
              <w:rPr>
                <w:color w:val="231F20"/>
                <w:sz w:val="24"/>
              </w:rPr>
              <w:t xml:space="preserve">Discipline Sanctions section 125 </w:t>
            </w:r>
            <w:r>
              <w:rPr>
                <w:color w:val="231F20"/>
                <w:spacing w:val="-2"/>
                <w:sz w:val="24"/>
              </w:rPr>
              <w:t>(section</w:t>
            </w:r>
            <w:r>
              <w:rPr>
                <w:color w:val="231F20"/>
                <w:spacing w:val="-13"/>
                <w:sz w:val="24"/>
              </w:rPr>
              <w:t xml:space="preserve"> </w:t>
            </w:r>
            <w:r>
              <w:rPr>
                <w:color w:val="231F20"/>
                <w:spacing w:val="-2"/>
                <w:sz w:val="24"/>
              </w:rPr>
              <w:t>132</w:t>
            </w:r>
            <w:r>
              <w:rPr>
                <w:color w:val="231F20"/>
                <w:spacing w:val="-7"/>
                <w:sz w:val="24"/>
              </w:rPr>
              <w:t xml:space="preserve"> </w:t>
            </w:r>
            <w:r>
              <w:rPr>
                <w:i/>
                <w:color w:val="231F20"/>
                <w:spacing w:val="-2"/>
                <w:sz w:val="24"/>
              </w:rPr>
              <w:t>Victoria</w:t>
            </w:r>
            <w:r>
              <w:rPr>
                <w:i/>
                <w:color w:val="231F20"/>
                <w:spacing w:val="-15"/>
                <w:sz w:val="24"/>
              </w:rPr>
              <w:t xml:space="preserve"> </w:t>
            </w:r>
            <w:r>
              <w:rPr>
                <w:i/>
                <w:color w:val="231F20"/>
                <w:spacing w:val="-2"/>
                <w:sz w:val="24"/>
              </w:rPr>
              <w:t>Police</w:t>
            </w:r>
            <w:r>
              <w:rPr>
                <w:i/>
                <w:color w:val="231F20"/>
                <w:spacing w:val="-17"/>
                <w:sz w:val="24"/>
              </w:rPr>
              <w:t xml:space="preserve"> </w:t>
            </w:r>
            <w:r>
              <w:rPr>
                <w:i/>
                <w:color w:val="231F20"/>
                <w:spacing w:val="-2"/>
                <w:sz w:val="24"/>
              </w:rPr>
              <w:t>Act</w:t>
            </w:r>
            <w:r>
              <w:rPr>
                <w:i/>
                <w:color w:val="231F20"/>
                <w:spacing w:val="-14"/>
                <w:sz w:val="24"/>
              </w:rPr>
              <w:t xml:space="preserve"> </w:t>
            </w:r>
            <w:r>
              <w:rPr>
                <w:color w:val="231F20"/>
                <w:spacing w:val="-2"/>
                <w:sz w:val="24"/>
              </w:rPr>
              <w:t xml:space="preserve">2013) </w:t>
            </w:r>
            <w:r>
              <w:rPr>
                <w:color w:val="231F20"/>
                <w:sz w:val="24"/>
              </w:rPr>
              <w:t>(Last Review Date)</w:t>
            </w:r>
          </w:p>
        </w:tc>
        <w:tc>
          <w:tcPr>
            <w:tcW w:w="1361" w:type="dxa"/>
            <w:tcBorders>
              <w:left w:val="single" w:sz="2" w:space="0" w:color="939598"/>
              <w:bottom w:val="single" w:sz="2" w:space="0" w:color="939598"/>
              <w:right w:val="single" w:sz="2" w:space="0" w:color="939598"/>
            </w:tcBorders>
          </w:tcPr>
          <w:p w14:paraId="522B24A5" w14:textId="77777777" w:rsidR="00345EE3" w:rsidRDefault="00345EE3" w:rsidP="00D73130">
            <w:pPr>
              <w:pStyle w:val="TableParagraph"/>
              <w:spacing w:before="61"/>
              <w:rPr>
                <w:sz w:val="24"/>
              </w:rPr>
            </w:pPr>
            <w:r>
              <w:rPr>
                <w:color w:val="231F20"/>
                <w:sz w:val="24"/>
              </w:rPr>
              <w:t>7</w:t>
            </w:r>
          </w:p>
        </w:tc>
        <w:tc>
          <w:tcPr>
            <w:tcW w:w="1248" w:type="dxa"/>
            <w:tcBorders>
              <w:left w:val="single" w:sz="2" w:space="0" w:color="939598"/>
              <w:bottom w:val="single" w:sz="2" w:space="0" w:color="939598"/>
              <w:right w:val="single" w:sz="2" w:space="0" w:color="939598"/>
            </w:tcBorders>
          </w:tcPr>
          <w:p w14:paraId="5C29C081" w14:textId="77777777" w:rsidR="00345EE3" w:rsidRDefault="00345EE3" w:rsidP="00D73130">
            <w:pPr>
              <w:pStyle w:val="TableParagraph"/>
              <w:spacing w:before="61"/>
              <w:ind w:right="1"/>
              <w:rPr>
                <w:sz w:val="24"/>
              </w:rPr>
            </w:pPr>
            <w:r>
              <w:rPr>
                <w:color w:val="231F20"/>
                <w:sz w:val="24"/>
              </w:rPr>
              <w:t>2</w:t>
            </w:r>
          </w:p>
        </w:tc>
        <w:tc>
          <w:tcPr>
            <w:tcW w:w="2382" w:type="dxa"/>
            <w:tcBorders>
              <w:left w:val="single" w:sz="2" w:space="0" w:color="939598"/>
              <w:bottom w:val="single" w:sz="2" w:space="0" w:color="939598"/>
              <w:right w:val="single" w:sz="2" w:space="0" w:color="939598"/>
            </w:tcBorders>
          </w:tcPr>
          <w:p w14:paraId="48CB0AA6" w14:textId="77777777" w:rsidR="00345EE3" w:rsidRDefault="00345EE3" w:rsidP="00D73130">
            <w:pPr>
              <w:pStyle w:val="TableParagraph"/>
              <w:spacing w:before="61"/>
              <w:rPr>
                <w:sz w:val="24"/>
              </w:rPr>
            </w:pPr>
            <w:r>
              <w:rPr>
                <w:color w:val="231F20"/>
                <w:sz w:val="24"/>
              </w:rPr>
              <w:t>1</w:t>
            </w:r>
          </w:p>
        </w:tc>
        <w:tc>
          <w:tcPr>
            <w:tcW w:w="1248" w:type="dxa"/>
            <w:tcBorders>
              <w:left w:val="single" w:sz="2" w:space="0" w:color="939598"/>
              <w:bottom w:val="single" w:sz="2" w:space="0" w:color="939598"/>
            </w:tcBorders>
          </w:tcPr>
          <w:p w14:paraId="306470D3" w14:textId="77777777" w:rsidR="00345EE3" w:rsidRDefault="00345EE3" w:rsidP="00D73130">
            <w:pPr>
              <w:pStyle w:val="TableParagraph"/>
              <w:spacing w:before="61"/>
              <w:rPr>
                <w:sz w:val="24"/>
              </w:rPr>
            </w:pPr>
            <w:r>
              <w:rPr>
                <w:color w:val="231F20"/>
                <w:sz w:val="24"/>
              </w:rPr>
              <w:t>4</w:t>
            </w:r>
          </w:p>
        </w:tc>
      </w:tr>
      <w:tr w:rsidR="00345EE3" w14:paraId="25480043" w14:textId="77777777" w:rsidTr="00D73130">
        <w:trPr>
          <w:trHeight w:val="951"/>
        </w:trPr>
        <w:tc>
          <w:tcPr>
            <w:tcW w:w="3969" w:type="dxa"/>
            <w:tcBorders>
              <w:top w:val="single" w:sz="2" w:space="0" w:color="939598"/>
              <w:bottom w:val="single" w:sz="6" w:space="0" w:color="231F20"/>
              <w:right w:val="single" w:sz="2" w:space="0" w:color="939598"/>
            </w:tcBorders>
          </w:tcPr>
          <w:p w14:paraId="492D60BF" w14:textId="77777777" w:rsidR="00345EE3" w:rsidRDefault="00345EE3" w:rsidP="00D73130">
            <w:pPr>
              <w:pStyle w:val="TableParagraph"/>
              <w:spacing w:before="61" w:line="242" w:lineRule="auto"/>
              <w:ind w:left="-3"/>
              <w:jc w:val="left"/>
              <w:rPr>
                <w:sz w:val="24"/>
              </w:rPr>
            </w:pPr>
            <w:r>
              <w:rPr>
                <w:color w:val="231F20"/>
                <w:sz w:val="24"/>
              </w:rPr>
              <w:t>Inquiry</w:t>
            </w:r>
            <w:r>
              <w:rPr>
                <w:color w:val="231F20"/>
                <w:spacing w:val="-9"/>
                <w:sz w:val="24"/>
              </w:rPr>
              <w:t xml:space="preserve"> </w:t>
            </w:r>
            <w:r>
              <w:rPr>
                <w:color w:val="231F20"/>
                <w:sz w:val="24"/>
              </w:rPr>
              <w:t>into</w:t>
            </w:r>
            <w:r>
              <w:rPr>
                <w:color w:val="231F20"/>
                <w:spacing w:val="-10"/>
                <w:sz w:val="24"/>
              </w:rPr>
              <w:t xml:space="preserve"> </w:t>
            </w:r>
            <w:r>
              <w:rPr>
                <w:color w:val="231F20"/>
                <w:sz w:val="24"/>
              </w:rPr>
              <w:t>important</w:t>
            </w:r>
            <w:r>
              <w:rPr>
                <w:color w:val="231F20"/>
                <w:spacing w:val="-10"/>
                <w:sz w:val="24"/>
              </w:rPr>
              <w:t xml:space="preserve"> </w:t>
            </w:r>
            <w:r>
              <w:rPr>
                <w:color w:val="231F20"/>
                <w:sz w:val="24"/>
              </w:rPr>
              <w:t>Matters</w:t>
            </w:r>
            <w:r>
              <w:rPr>
                <w:color w:val="231F20"/>
                <w:spacing w:val="-9"/>
                <w:sz w:val="24"/>
              </w:rPr>
              <w:t xml:space="preserve"> </w:t>
            </w:r>
            <w:r>
              <w:rPr>
                <w:color w:val="231F20"/>
                <w:sz w:val="24"/>
              </w:rPr>
              <w:t xml:space="preserve">section 136 (section 136 </w:t>
            </w:r>
            <w:r>
              <w:rPr>
                <w:i/>
                <w:color w:val="231F20"/>
                <w:sz w:val="24"/>
              </w:rPr>
              <w:t>Victoria Police</w:t>
            </w:r>
            <w:r>
              <w:rPr>
                <w:i/>
                <w:color w:val="231F20"/>
                <w:spacing w:val="-5"/>
                <w:sz w:val="24"/>
              </w:rPr>
              <w:t xml:space="preserve"> </w:t>
            </w:r>
            <w:r>
              <w:rPr>
                <w:i/>
                <w:color w:val="231F20"/>
                <w:sz w:val="24"/>
              </w:rPr>
              <w:t xml:space="preserve">Act </w:t>
            </w:r>
            <w:r>
              <w:rPr>
                <w:color w:val="231F20"/>
                <w:sz w:val="24"/>
              </w:rPr>
              <w:t>2013) (Last Review Date)</w:t>
            </w:r>
          </w:p>
        </w:tc>
        <w:tc>
          <w:tcPr>
            <w:tcW w:w="1361" w:type="dxa"/>
            <w:tcBorders>
              <w:top w:val="single" w:sz="2" w:space="0" w:color="939598"/>
              <w:left w:val="single" w:sz="2" w:space="0" w:color="939598"/>
              <w:bottom w:val="single" w:sz="6" w:space="0" w:color="231F20"/>
              <w:right w:val="single" w:sz="2" w:space="0" w:color="939598"/>
            </w:tcBorders>
          </w:tcPr>
          <w:p w14:paraId="6CE56849" w14:textId="77777777" w:rsidR="00345EE3" w:rsidRDefault="00345EE3" w:rsidP="00D73130">
            <w:pPr>
              <w:pStyle w:val="TableParagraph"/>
              <w:spacing w:before="61"/>
              <w:ind w:right="1"/>
              <w:rPr>
                <w:sz w:val="24"/>
              </w:rPr>
            </w:pPr>
            <w:r>
              <w:rPr>
                <w:color w:val="231F20"/>
                <w:sz w:val="24"/>
              </w:rPr>
              <w:t>1</w:t>
            </w:r>
          </w:p>
        </w:tc>
        <w:tc>
          <w:tcPr>
            <w:tcW w:w="1248" w:type="dxa"/>
            <w:tcBorders>
              <w:top w:val="single" w:sz="2" w:space="0" w:color="939598"/>
              <w:left w:val="single" w:sz="2" w:space="0" w:color="939598"/>
              <w:bottom w:val="single" w:sz="6" w:space="0" w:color="231F20"/>
              <w:right w:val="single" w:sz="2" w:space="0" w:color="939598"/>
            </w:tcBorders>
          </w:tcPr>
          <w:p w14:paraId="37DE9DC0" w14:textId="77777777" w:rsidR="00345EE3" w:rsidRDefault="00345EE3" w:rsidP="00D73130">
            <w:pPr>
              <w:pStyle w:val="TableParagraph"/>
              <w:spacing w:before="61"/>
              <w:ind w:right="1"/>
              <w:rPr>
                <w:sz w:val="24"/>
              </w:rPr>
            </w:pPr>
            <w:r>
              <w:rPr>
                <w:color w:val="231F20"/>
                <w:sz w:val="24"/>
              </w:rPr>
              <w:t>0</w:t>
            </w:r>
          </w:p>
        </w:tc>
        <w:tc>
          <w:tcPr>
            <w:tcW w:w="2382" w:type="dxa"/>
            <w:tcBorders>
              <w:top w:val="single" w:sz="2" w:space="0" w:color="939598"/>
              <w:left w:val="single" w:sz="2" w:space="0" w:color="939598"/>
              <w:bottom w:val="single" w:sz="6" w:space="0" w:color="231F20"/>
              <w:right w:val="single" w:sz="2" w:space="0" w:color="939598"/>
            </w:tcBorders>
          </w:tcPr>
          <w:p w14:paraId="72569182" w14:textId="77777777" w:rsidR="00345EE3" w:rsidRDefault="00345EE3" w:rsidP="00D73130">
            <w:pPr>
              <w:pStyle w:val="TableParagraph"/>
              <w:spacing w:before="61"/>
              <w:rPr>
                <w:sz w:val="24"/>
              </w:rPr>
            </w:pPr>
            <w:r>
              <w:rPr>
                <w:color w:val="231F20"/>
                <w:sz w:val="24"/>
              </w:rPr>
              <w:t>0</w:t>
            </w:r>
          </w:p>
        </w:tc>
        <w:tc>
          <w:tcPr>
            <w:tcW w:w="1248" w:type="dxa"/>
            <w:tcBorders>
              <w:top w:val="single" w:sz="2" w:space="0" w:color="939598"/>
              <w:left w:val="single" w:sz="2" w:space="0" w:color="939598"/>
              <w:bottom w:val="single" w:sz="6" w:space="0" w:color="231F20"/>
            </w:tcBorders>
          </w:tcPr>
          <w:p w14:paraId="7E19225B" w14:textId="77777777" w:rsidR="00345EE3" w:rsidRDefault="00345EE3" w:rsidP="00D73130">
            <w:pPr>
              <w:pStyle w:val="TableParagraph"/>
              <w:spacing w:before="61"/>
              <w:ind w:right="1"/>
              <w:rPr>
                <w:sz w:val="24"/>
              </w:rPr>
            </w:pPr>
            <w:r>
              <w:rPr>
                <w:color w:val="231F20"/>
                <w:sz w:val="24"/>
              </w:rPr>
              <w:t>1</w:t>
            </w:r>
          </w:p>
        </w:tc>
      </w:tr>
    </w:tbl>
    <w:p w14:paraId="563EBFEA" w14:textId="77777777" w:rsidR="00345EE3" w:rsidRPr="007517B3" w:rsidRDefault="00345EE3" w:rsidP="00345EE3">
      <w:pPr>
        <w:spacing w:before="72"/>
        <w:ind w:left="110"/>
        <w:rPr>
          <w:sz w:val="18"/>
          <w:szCs w:val="18"/>
        </w:rPr>
      </w:pPr>
      <w:r w:rsidRPr="007517B3">
        <w:rPr>
          <w:rFonts w:ascii="Arial-BoldItalicMT"/>
          <w:b/>
          <w:i/>
          <w:color w:val="231F20"/>
          <w:sz w:val="18"/>
          <w:szCs w:val="18"/>
        </w:rPr>
        <w:t xml:space="preserve">Source: </w:t>
      </w:r>
      <w:r w:rsidRPr="007517B3">
        <w:rPr>
          <w:color w:val="231F20"/>
          <w:sz w:val="18"/>
          <w:szCs w:val="18"/>
        </w:rPr>
        <w:t>Professional Standards</w:t>
      </w:r>
      <w:r w:rsidRPr="007517B3">
        <w:rPr>
          <w:color w:val="231F20"/>
          <w:spacing w:val="-1"/>
          <w:sz w:val="18"/>
          <w:szCs w:val="18"/>
        </w:rPr>
        <w:t xml:space="preserve"> </w:t>
      </w:r>
      <w:r w:rsidRPr="007517B3">
        <w:rPr>
          <w:color w:val="231F20"/>
          <w:sz w:val="18"/>
          <w:szCs w:val="18"/>
        </w:rPr>
        <w:t>Command. Data</w:t>
      </w:r>
      <w:r w:rsidRPr="007517B3">
        <w:rPr>
          <w:color w:val="231F20"/>
          <w:spacing w:val="-1"/>
          <w:sz w:val="18"/>
          <w:szCs w:val="18"/>
        </w:rPr>
        <w:t xml:space="preserve"> </w:t>
      </w:r>
      <w:r w:rsidRPr="007517B3">
        <w:rPr>
          <w:color w:val="231F20"/>
          <w:sz w:val="18"/>
          <w:szCs w:val="18"/>
        </w:rPr>
        <w:t>extracted from</w:t>
      </w:r>
      <w:r w:rsidRPr="007517B3">
        <w:rPr>
          <w:color w:val="231F20"/>
          <w:spacing w:val="-1"/>
          <w:sz w:val="18"/>
          <w:szCs w:val="18"/>
        </w:rPr>
        <w:t xml:space="preserve"> </w:t>
      </w:r>
      <w:r w:rsidRPr="007517B3">
        <w:rPr>
          <w:color w:val="231F20"/>
          <w:sz w:val="18"/>
          <w:szCs w:val="18"/>
        </w:rPr>
        <w:t>Register of Complaints</w:t>
      </w:r>
      <w:r w:rsidRPr="007517B3">
        <w:rPr>
          <w:color w:val="231F20"/>
          <w:spacing w:val="-1"/>
          <w:sz w:val="18"/>
          <w:szCs w:val="18"/>
        </w:rPr>
        <w:t xml:space="preserve"> </w:t>
      </w:r>
      <w:r w:rsidRPr="007517B3">
        <w:rPr>
          <w:color w:val="231F20"/>
          <w:sz w:val="18"/>
          <w:szCs w:val="18"/>
        </w:rPr>
        <w:t>Serious Incidents</w:t>
      </w:r>
      <w:r w:rsidRPr="007517B3">
        <w:rPr>
          <w:color w:val="231F20"/>
          <w:spacing w:val="-1"/>
          <w:sz w:val="18"/>
          <w:szCs w:val="18"/>
        </w:rPr>
        <w:t xml:space="preserve"> </w:t>
      </w:r>
      <w:r w:rsidRPr="007517B3">
        <w:rPr>
          <w:color w:val="231F20"/>
          <w:sz w:val="18"/>
          <w:szCs w:val="18"/>
        </w:rPr>
        <w:t>and Discipline</w:t>
      </w:r>
      <w:r w:rsidRPr="007517B3">
        <w:rPr>
          <w:color w:val="231F20"/>
          <w:spacing w:val="-1"/>
          <w:sz w:val="18"/>
          <w:szCs w:val="18"/>
        </w:rPr>
        <w:t xml:space="preserve"> </w:t>
      </w:r>
      <w:r w:rsidRPr="007517B3">
        <w:rPr>
          <w:color w:val="231F20"/>
          <w:sz w:val="18"/>
          <w:szCs w:val="18"/>
        </w:rPr>
        <w:t>System on</w:t>
      </w:r>
      <w:r w:rsidRPr="007517B3">
        <w:rPr>
          <w:color w:val="231F20"/>
          <w:spacing w:val="-1"/>
          <w:sz w:val="18"/>
          <w:szCs w:val="18"/>
        </w:rPr>
        <w:t xml:space="preserve"> </w:t>
      </w:r>
      <w:r w:rsidRPr="007517B3">
        <w:rPr>
          <w:color w:val="231F20"/>
          <w:sz w:val="18"/>
          <w:szCs w:val="18"/>
        </w:rPr>
        <w:t xml:space="preserve">18 July </w:t>
      </w:r>
      <w:r w:rsidRPr="007517B3">
        <w:rPr>
          <w:color w:val="231F20"/>
          <w:spacing w:val="-2"/>
          <w:sz w:val="18"/>
          <w:szCs w:val="18"/>
        </w:rPr>
        <w:t>2022.</w:t>
      </w:r>
    </w:p>
    <w:p w14:paraId="405548FA" w14:textId="77777777" w:rsidR="00345EE3" w:rsidRPr="007517B3" w:rsidRDefault="00345EE3" w:rsidP="00345EE3">
      <w:pPr>
        <w:spacing w:before="27"/>
        <w:ind w:left="110"/>
        <w:rPr>
          <w:rFonts w:ascii="Arial-BoldItalicMT"/>
          <w:b/>
          <w:i/>
          <w:sz w:val="18"/>
          <w:szCs w:val="18"/>
        </w:rPr>
      </w:pPr>
      <w:r w:rsidRPr="007517B3">
        <w:rPr>
          <w:rFonts w:ascii="Arial-BoldItalicMT"/>
          <w:b/>
          <w:i/>
          <w:color w:val="231F20"/>
          <w:spacing w:val="-2"/>
          <w:sz w:val="18"/>
          <w:szCs w:val="18"/>
        </w:rPr>
        <w:t>Notes:</w:t>
      </w:r>
    </w:p>
    <w:p w14:paraId="22DD77EA" w14:textId="77777777" w:rsidR="00345EE3" w:rsidRPr="007517B3" w:rsidRDefault="00345EE3">
      <w:pPr>
        <w:pStyle w:val="ListParagraph"/>
        <w:numPr>
          <w:ilvl w:val="0"/>
          <w:numId w:val="80"/>
        </w:numPr>
        <w:tabs>
          <w:tab w:val="left" w:pos="338"/>
        </w:tabs>
        <w:spacing w:before="27"/>
        <w:ind w:right="1130"/>
        <w:rPr>
          <w:sz w:val="18"/>
          <w:szCs w:val="18"/>
        </w:rPr>
      </w:pPr>
      <w:r w:rsidRPr="007517B3">
        <w:rPr>
          <w:color w:val="231F20"/>
          <w:sz w:val="18"/>
          <w:szCs w:val="18"/>
        </w:rPr>
        <w:t>Section</w:t>
      </w:r>
      <w:r w:rsidRPr="007517B3">
        <w:rPr>
          <w:color w:val="231F20"/>
          <w:spacing w:val="-1"/>
          <w:sz w:val="18"/>
          <w:szCs w:val="18"/>
        </w:rPr>
        <w:t xml:space="preserve"> </w:t>
      </w:r>
      <w:r w:rsidRPr="007517B3">
        <w:rPr>
          <w:color w:val="231F20"/>
          <w:sz w:val="18"/>
          <w:szCs w:val="18"/>
        </w:rPr>
        <w:t>146</w:t>
      </w:r>
      <w:r w:rsidRPr="007517B3">
        <w:rPr>
          <w:color w:val="231F20"/>
          <w:spacing w:val="-1"/>
          <w:sz w:val="18"/>
          <w:szCs w:val="18"/>
        </w:rPr>
        <w:t xml:space="preserve"> </w:t>
      </w:r>
      <w:r w:rsidRPr="007517B3">
        <w:rPr>
          <w:color w:val="231F20"/>
          <w:sz w:val="18"/>
          <w:szCs w:val="18"/>
        </w:rPr>
        <w:t>of</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b/>
          <w:color w:val="231F20"/>
          <w:sz w:val="18"/>
          <w:szCs w:val="18"/>
        </w:rPr>
        <w:t xml:space="preserve">Victoria Police Act </w:t>
      </w:r>
      <w:r w:rsidRPr="007517B3">
        <w:rPr>
          <w:color w:val="231F20"/>
          <w:sz w:val="18"/>
          <w:szCs w:val="18"/>
        </w:rPr>
        <w:t>2013</w:t>
      </w:r>
      <w:r w:rsidRPr="007517B3">
        <w:rPr>
          <w:color w:val="231F20"/>
          <w:spacing w:val="-1"/>
          <w:sz w:val="18"/>
          <w:szCs w:val="18"/>
        </w:rPr>
        <w:t xml:space="preserve"> </w:t>
      </w:r>
      <w:r w:rsidRPr="007517B3">
        <w:rPr>
          <w:color w:val="231F20"/>
          <w:sz w:val="18"/>
          <w:szCs w:val="18"/>
        </w:rPr>
        <w:t>only</w:t>
      </w:r>
      <w:r w:rsidRPr="007517B3">
        <w:rPr>
          <w:color w:val="231F20"/>
          <w:spacing w:val="-1"/>
          <w:sz w:val="18"/>
          <w:szCs w:val="18"/>
        </w:rPr>
        <w:t xml:space="preserve"> </w:t>
      </w:r>
      <w:r w:rsidRPr="007517B3">
        <w:rPr>
          <w:color w:val="231F20"/>
          <w:sz w:val="18"/>
          <w:szCs w:val="18"/>
        </w:rPr>
        <w:t>permits</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color w:val="231F20"/>
          <w:sz w:val="18"/>
          <w:szCs w:val="18"/>
        </w:rPr>
        <w:t>PRSB</w:t>
      </w:r>
      <w:r w:rsidRPr="007517B3">
        <w:rPr>
          <w:color w:val="231F20"/>
          <w:spacing w:val="-1"/>
          <w:sz w:val="18"/>
          <w:szCs w:val="18"/>
        </w:rPr>
        <w:t xml:space="preserve"> </w:t>
      </w:r>
      <w:r w:rsidRPr="007517B3">
        <w:rPr>
          <w:color w:val="231F20"/>
          <w:sz w:val="18"/>
          <w:szCs w:val="18"/>
        </w:rPr>
        <w:t>to</w:t>
      </w:r>
      <w:r w:rsidRPr="007517B3">
        <w:rPr>
          <w:color w:val="231F20"/>
          <w:spacing w:val="-1"/>
          <w:sz w:val="18"/>
          <w:szCs w:val="18"/>
        </w:rPr>
        <w:t xml:space="preserve"> </w:t>
      </w:r>
      <w:r w:rsidRPr="007517B3">
        <w:rPr>
          <w:color w:val="231F20"/>
          <w:sz w:val="18"/>
          <w:szCs w:val="18"/>
        </w:rPr>
        <w:t>review</w:t>
      </w:r>
      <w:r w:rsidRPr="007517B3">
        <w:rPr>
          <w:color w:val="231F20"/>
          <w:spacing w:val="-1"/>
          <w:sz w:val="18"/>
          <w:szCs w:val="18"/>
        </w:rPr>
        <w:t xml:space="preserve"> </w:t>
      </w:r>
      <w:r w:rsidRPr="007517B3">
        <w:rPr>
          <w:color w:val="231F20"/>
          <w:sz w:val="18"/>
          <w:szCs w:val="18"/>
        </w:rPr>
        <w:t>specific</w:t>
      </w:r>
      <w:r w:rsidRPr="007517B3">
        <w:rPr>
          <w:color w:val="231F20"/>
          <w:spacing w:val="-1"/>
          <w:sz w:val="18"/>
          <w:szCs w:val="18"/>
        </w:rPr>
        <w:t xml:space="preserve"> </w:t>
      </w:r>
      <w:r w:rsidRPr="007517B3">
        <w:rPr>
          <w:color w:val="231F20"/>
          <w:sz w:val="18"/>
          <w:szCs w:val="18"/>
        </w:rPr>
        <w:t>sanctions</w:t>
      </w:r>
      <w:r w:rsidRPr="007517B3">
        <w:rPr>
          <w:color w:val="231F20"/>
          <w:spacing w:val="-1"/>
          <w:sz w:val="18"/>
          <w:szCs w:val="18"/>
        </w:rPr>
        <w:t xml:space="preserve"> </w:t>
      </w:r>
      <w:r w:rsidRPr="007517B3">
        <w:rPr>
          <w:color w:val="231F20"/>
          <w:sz w:val="18"/>
          <w:szCs w:val="18"/>
        </w:rPr>
        <w:t>(i.e.</w:t>
      </w:r>
      <w:r w:rsidRPr="007517B3">
        <w:rPr>
          <w:color w:val="231F20"/>
          <w:spacing w:val="-1"/>
          <w:sz w:val="18"/>
          <w:szCs w:val="18"/>
        </w:rPr>
        <w:t xml:space="preserve"> </w:t>
      </w:r>
      <w:r w:rsidRPr="007517B3">
        <w:rPr>
          <w:color w:val="231F20"/>
          <w:sz w:val="18"/>
          <w:szCs w:val="18"/>
        </w:rPr>
        <w:t>a</w:t>
      </w:r>
      <w:r w:rsidRPr="007517B3">
        <w:rPr>
          <w:color w:val="231F20"/>
          <w:spacing w:val="-1"/>
          <w:sz w:val="18"/>
          <w:szCs w:val="18"/>
        </w:rPr>
        <w:t xml:space="preserve"> </w:t>
      </w:r>
      <w:r w:rsidRPr="007517B3">
        <w:rPr>
          <w:color w:val="231F20"/>
          <w:sz w:val="18"/>
          <w:szCs w:val="18"/>
        </w:rPr>
        <w:t>fine</w:t>
      </w:r>
      <w:r w:rsidRPr="007517B3">
        <w:rPr>
          <w:color w:val="231F20"/>
          <w:spacing w:val="-1"/>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excess</w:t>
      </w:r>
      <w:r w:rsidRPr="007517B3">
        <w:rPr>
          <w:color w:val="231F20"/>
          <w:spacing w:val="-1"/>
          <w:sz w:val="18"/>
          <w:szCs w:val="18"/>
        </w:rPr>
        <w:t xml:space="preserve"> </w:t>
      </w:r>
      <w:r w:rsidRPr="007517B3">
        <w:rPr>
          <w:color w:val="231F20"/>
          <w:sz w:val="18"/>
          <w:szCs w:val="18"/>
        </w:rPr>
        <w:t>of</w:t>
      </w:r>
      <w:r w:rsidRPr="007517B3">
        <w:rPr>
          <w:color w:val="231F20"/>
          <w:spacing w:val="-1"/>
          <w:sz w:val="18"/>
          <w:szCs w:val="18"/>
        </w:rPr>
        <w:t xml:space="preserve"> </w:t>
      </w:r>
      <w:r w:rsidRPr="007517B3">
        <w:rPr>
          <w:color w:val="231F20"/>
          <w:sz w:val="18"/>
          <w:szCs w:val="18"/>
        </w:rPr>
        <w:t>five</w:t>
      </w:r>
      <w:r w:rsidRPr="007517B3">
        <w:rPr>
          <w:color w:val="231F20"/>
          <w:spacing w:val="-1"/>
          <w:sz w:val="18"/>
          <w:szCs w:val="18"/>
        </w:rPr>
        <w:t xml:space="preserve"> </w:t>
      </w:r>
      <w:r w:rsidRPr="007517B3">
        <w:rPr>
          <w:color w:val="231F20"/>
          <w:sz w:val="18"/>
          <w:szCs w:val="18"/>
        </w:rPr>
        <w:t>times</w:t>
      </w:r>
      <w:r w:rsidRPr="007517B3">
        <w:rPr>
          <w:color w:val="231F20"/>
          <w:spacing w:val="-1"/>
          <w:sz w:val="18"/>
          <w:szCs w:val="18"/>
        </w:rPr>
        <w:t xml:space="preserve"> </w:t>
      </w:r>
      <w:r w:rsidRPr="007517B3">
        <w:rPr>
          <w:color w:val="231F20"/>
          <w:sz w:val="18"/>
          <w:szCs w:val="18"/>
        </w:rPr>
        <w:t>a</w:t>
      </w:r>
      <w:r w:rsidRPr="007517B3">
        <w:rPr>
          <w:color w:val="231F20"/>
          <w:spacing w:val="-1"/>
          <w:sz w:val="18"/>
          <w:szCs w:val="18"/>
        </w:rPr>
        <w:t xml:space="preserve"> </w:t>
      </w:r>
      <w:r w:rsidRPr="007517B3">
        <w:rPr>
          <w:color w:val="231F20"/>
          <w:sz w:val="18"/>
          <w:szCs w:val="18"/>
        </w:rPr>
        <w:t>penalty</w:t>
      </w:r>
      <w:r w:rsidRPr="007517B3">
        <w:rPr>
          <w:color w:val="231F20"/>
          <w:spacing w:val="-1"/>
          <w:sz w:val="18"/>
          <w:szCs w:val="18"/>
        </w:rPr>
        <w:t xml:space="preserve"> </w:t>
      </w:r>
      <w:r w:rsidRPr="007517B3">
        <w:rPr>
          <w:color w:val="231F20"/>
          <w:sz w:val="18"/>
          <w:szCs w:val="18"/>
        </w:rPr>
        <w:t>unit,</w:t>
      </w:r>
      <w:r w:rsidRPr="007517B3">
        <w:rPr>
          <w:color w:val="231F20"/>
          <w:spacing w:val="-1"/>
          <w:sz w:val="18"/>
          <w:szCs w:val="18"/>
        </w:rPr>
        <w:t xml:space="preserve"> </w:t>
      </w:r>
      <w:r w:rsidRPr="007517B3">
        <w:rPr>
          <w:color w:val="231F20"/>
          <w:sz w:val="18"/>
          <w:szCs w:val="18"/>
        </w:rPr>
        <w:t>reduction</w:t>
      </w:r>
      <w:r w:rsidRPr="007517B3">
        <w:rPr>
          <w:color w:val="231F20"/>
          <w:spacing w:val="-1"/>
          <w:sz w:val="18"/>
          <w:szCs w:val="18"/>
        </w:rPr>
        <w:t xml:space="preserve"> </w:t>
      </w:r>
      <w:r w:rsidRPr="007517B3">
        <w:rPr>
          <w:color w:val="231F20"/>
          <w:sz w:val="18"/>
          <w:szCs w:val="18"/>
        </w:rPr>
        <w:t>in</w:t>
      </w:r>
      <w:r w:rsidRPr="007517B3">
        <w:rPr>
          <w:color w:val="231F20"/>
          <w:spacing w:val="40"/>
          <w:sz w:val="18"/>
          <w:szCs w:val="18"/>
        </w:rPr>
        <w:t xml:space="preserve"> </w:t>
      </w:r>
      <w:r w:rsidRPr="007517B3">
        <w:rPr>
          <w:color w:val="231F20"/>
          <w:sz w:val="18"/>
          <w:szCs w:val="18"/>
        </w:rPr>
        <w:t>rank, seniority, remuneration; transfer to other duties, or dismissal from Victoria Police).</w:t>
      </w:r>
    </w:p>
    <w:p w14:paraId="254DFE5D" w14:textId="77777777" w:rsidR="00345EE3" w:rsidRPr="007517B3" w:rsidRDefault="00345EE3">
      <w:pPr>
        <w:pStyle w:val="ListParagraph"/>
        <w:numPr>
          <w:ilvl w:val="0"/>
          <w:numId w:val="80"/>
        </w:numPr>
        <w:tabs>
          <w:tab w:val="left" w:pos="338"/>
        </w:tabs>
        <w:spacing w:before="27"/>
        <w:ind w:hanging="228"/>
        <w:rPr>
          <w:sz w:val="18"/>
          <w:szCs w:val="18"/>
        </w:rPr>
      </w:pPr>
      <w:r w:rsidRPr="007517B3">
        <w:rPr>
          <w:color w:val="231F20"/>
          <w:sz w:val="18"/>
          <w:szCs w:val="18"/>
        </w:rPr>
        <w:t>Data</w:t>
      </w:r>
      <w:r w:rsidRPr="007517B3">
        <w:rPr>
          <w:color w:val="231F20"/>
          <w:spacing w:val="-1"/>
          <w:sz w:val="18"/>
          <w:szCs w:val="18"/>
        </w:rPr>
        <w:t xml:space="preserve"> </w:t>
      </w:r>
      <w:r w:rsidRPr="007517B3">
        <w:rPr>
          <w:color w:val="231F20"/>
          <w:sz w:val="18"/>
          <w:szCs w:val="18"/>
        </w:rPr>
        <w:t>are from each discipline</w:t>
      </w:r>
      <w:r w:rsidRPr="007517B3">
        <w:rPr>
          <w:color w:val="231F20"/>
          <w:spacing w:val="-1"/>
          <w:sz w:val="18"/>
          <w:szCs w:val="18"/>
        </w:rPr>
        <w:t xml:space="preserve"> </w:t>
      </w:r>
      <w:r w:rsidRPr="007517B3">
        <w:rPr>
          <w:color w:val="231F20"/>
          <w:sz w:val="18"/>
          <w:szCs w:val="18"/>
        </w:rPr>
        <w:t>charge or criminal charge</w:t>
      </w:r>
      <w:r w:rsidRPr="007517B3">
        <w:rPr>
          <w:color w:val="231F20"/>
          <w:spacing w:val="-1"/>
          <w:sz w:val="18"/>
          <w:szCs w:val="18"/>
        </w:rPr>
        <w:t xml:space="preserve"> </w:t>
      </w:r>
      <w:r w:rsidRPr="007517B3">
        <w:rPr>
          <w:color w:val="231F20"/>
          <w:sz w:val="18"/>
          <w:szCs w:val="18"/>
        </w:rPr>
        <w:t>that received a sanction</w:t>
      </w:r>
      <w:r w:rsidRPr="007517B3">
        <w:rPr>
          <w:color w:val="231F20"/>
          <w:spacing w:val="-1"/>
          <w:sz w:val="18"/>
          <w:szCs w:val="18"/>
        </w:rPr>
        <w:t xml:space="preserve"> </w:t>
      </w:r>
      <w:r w:rsidRPr="007517B3">
        <w:rPr>
          <w:color w:val="231F20"/>
          <w:sz w:val="18"/>
          <w:szCs w:val="18"/>
        </w:rPr>
        <w:t>and was appealed (it</w:t>
      </w:r>
      <w:r w:rsidRPr="007517B3">
        <w:rPr>
          <w:color w:val="231F20"/>
          <w:spacing w:val="-1"/>
          <w:sz w:val="18"/>
          <w:szCs w:val="18"/>
        </w:rPr>
        <w:t xml:space="preserve"> </w:t>
      </w:r>
      <w:r w:rsidRPr="007517B3">
        <w:rPr>
          <w:color w:val="231F20"/>
          <w:sz w:val="18"/>
          <w:szCs w:val="18"/>
        </w:rPr>
        <w:t xml:space="preserve">is not person-centric but </w:t>
      </w:r>
      <w:r>
        <w:rPr>
          <w:color w:val="231F20"/>
          <w:sz w:val="18"/>
          <w:szCs w:val="18"/>
        </w:rPr>
        <w:br/>
      </w:r>
      <w:r w:rsidRPr="007517B3">
        <w:rPr>
          <w:color w:val="231F20"/>
          <w:sz w:val="18"/>
          <w:szCs w:val="18"/>
        </w:rPr>
        <w:t>charge-</w:t>
      </w:r>
      <w:r w:rsidRPr="007517B3">
        <w:rPr>
          <w:color w:val="231F20"/>
          <w:spacing w:val="-2"/>
          <w:sz w:val="18"/>
          <w:szCs w:val="18"/>
        </w:rPr>
        <w:t>centric).</w:t>
      </w:r>
    </w:p>
    <w:p w14:paraId="3C23EBA9" w14:textId="77777777" w:rsidR="00345EE3" w:rsidRPr="007517B3" w:rsidRDefault="00345EE3">
      <w:pPr>
        <w:pStyle w:val="ListParagraph"/>
        <w:numPr>
          <w:ilvl w:val="0"/>
          <w:numId w:val="80"/>
        </w:numPr>
        <w:tabs>
          <w:tab w:val="left" w:pos="338"/>
        </w:tabs>
        <w:spacing w:before="27"/>
        <w:ind w:right="1156"/>
        <w:rPr>
          <w:sz w:val="18"/>
          <w:szCs w:val="18"/>
        </w:rPr>
      </w:pPr>
      <w:r w:rsidRPr="007517B3">
        <w:rPr>
          <w:color w:val="231F20"/>
          <w:sz w:val="18"/>
          <w:szCs w:val="18"/>
        </w:rPr>
        <w:t>Data</w:t>
      </w:r>
      <w:r w:rsidRPr="007517B3">
        <w:rPr>
          <w:color w:val="231F20"/>
          <w:spacing w:val="-1"/>
          <w:sz w:val="18"/>
          <w:szCs w:val="18"/>
        </w:rPr>
        <w:t xml:space="preserve"> </w:t>
      </w:r>
      <w:r w:rsidRPr="007517B3">
        <w:rPr>
          <w:color w:val="231F20"/>
          <w:sz w:val="18"/>
          <w:szCs w:val="18"/>
        </w:rPr>
        <w:t>relate</w:t>
      </w:r>
      <w:r w:rsidRPr="007517B3">
        <w:rPr>
          <w:color w:val="231F20"/>
          <w:spacing w:val="-1"/>
          <w:sz w:val="18"/>
          <w:szCs w:val="18"/>
        </w:rPr>
        <w:t xml:space="preserve"> </w:t>
      </w:r>
      <w:r w:rsidRPr="007517B3">
        <w:rPr>
          <w:color w:val="231F20"/>
          <w:sz w:val="18"/>
          <w:szCs w:val="18"/>
        </w:rPr>
        <w:t>to</w:t>
      </w:r>
      <w:r w:rsidRPr="007517B3">
        <w:rPr>
          <w:color w:val="231F20"/>
          <w:spacing w:val="-1"/>
          <w:sz w:val="18"/>
          <w:szCs w:val="18"/>
        </w:rPr>
        <w:t xml:space="preserve"> </w:t>
      </w:r>
      <w:r w:rsidRPr="007517B3">
        <w:rPr>
          <w:color w:val="231F20"/>
          <w:sz w:val="18"/>
          <w:szCs w:val="18"/>
        </w:rPr>
        <w:t>reviews</w:t>
      </w:r>
      <w:r w:rsidRPr="007517B3">
        <w:rPr>
          <w:color w:val="231F20"/>
          <w:spacing w:val="-1"/>
          <w:sz w:val="18"/>
          <w:szCs w:val="18"/>
        </w:rPr>
        <w:t xml:space="preserve"> </w:t>
      </w:r>
      <w:r w:rsidRPr="007517B3">
        <w:rPr>
          <w:color w:val="231F20"/>
          <w:sz w:val="18"/>
          <w:szCs w:val="18"/>
        </w:rPr>
        <w:t>completed</w:t>
      </w:r>
      <w:r w:rsidRPr="007517B3">
        <w:rPr>
          <w:color w:val="231F20"/>
          <w:spacing w:val="-1"/>
          <w:sz w:val="18"/>
          <w:szCs w:val="18"/>
        </w:rPr>
        <w:t xml:space="preserve"> </w:t>
      </w:r>
      <w:r w:rsidRPr="007517B3">
        <w:rPr>
          <w:color w:val="231F20"/>
          <w:sz w:val="18"/>
          <w:szCs w:val="18"/>
        </w:rPr>
        <w:t>during</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color w:val="231F20"/>
          <w:sz w:val="18"/>
          <w:szCs w:val="18"/>
        </w:rPr>
        <w:t>reporting</w:t>
      </w:r>
      <w:r w:rsidRPr="007517B3">
        <w:rPr>
          <w:color w:val="231F20"/>
          <w:spacing w:val="-1"/>
          <w:sz w:val="18"/>
          <w:szCs w:val="18"/>
        </w:rPr>
        <w:t xml:space="preserve"> </w:t>
      </w:r>
      <w:r w:rsidRPr="007517B3">
        <w:rPr>
          <w:color w:val="231F20"/>
          <w:sz w:val="18"/>
          <w:szCs w:val="18"/>
        </w:rPr>
        <w:t>period.</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color w:val="231F20"/>
          <w:sz w:val="18"/>
          <w:szCs w:val="18"/>
        </w:rPr>
        <w:t>initial</w:t>
      </w:r>
      <w:r w:rsidRPr="007517B3">
        <w:rPr>
          <w:color w:val="231F20"/>
          <w:spacing w:val="-1"/>
          <w:sz w:val="18"/>
          <w:szCs w:val="18"/>
        </w:rPr>
        <w:t xml:space="preserve"> </w:t>
      </w:r>
      <w:r w:rsidRPr="007517B3">
        <w:rPr>
          <w:color w:val="231F20"/>
          <w:sz w:val="18"/>
          <w:szCs w:val="18"/>
        </w:rPr>
        <w:t>sanctions</w:t>
      </w:r>
      <w:r w:rsidRPr="007517B3">
        <w:rPr>
          <w:color w:val="231F20"/>
          <w:spacing w:val="-1"/>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relation</w:t>
      </w:r>
      <w:r w:rsidRPr="007517B3">
        <w:rPr>
          <w:color w:val="231F20"/>
          <w:spacing w:val="-1"/>
          <w:sz w:val="18"/>
          <w:szCs w:val="18"/>
        </w:rPr>
        <w:t xml:space="preserve"> </w:t>
      </w:r>
      <w:r w:rsidRPr="007517B3">
        <w:rPr>
          <w:color w:val="231F20"/>
          <w:sz w:val="18"/>
          <w:szCs w:val="18"/>
        </w:rPr>
        <w:t>to</w:t>
      </w:r>
      <w:r w:rsidRPr="007517B3">
        <w:rPr>
          <w:color w:val="231F20"/>
          <w:spacing w:val="-1"/>
          <w:sz w:val="18"/>
          <w:szCs w:val="18"/>
        </w:rPr>
        <w:t xml:space="preserve"> </w:t>
      </w:r>
      <w:r w:rsidRPr="007517B3">
        <w:rPr>
          <w:color w:val="231F20"/>
          <w:sz w:val="18"/>
          <w:szCs w:val="18"/>
        </w:rPr>
        <w:t>these</w:t>
      </w:r>
      <w:r w:rsidRPr="007517B3">
        <w:rPr>
          <w:color w:val="231F20"/>
          <w:spacing w:val="-1"/>
          <w:sz w:val="18"/>
          <w:szCs w:val="18"/>
        </w:rPr>
        <w:t xml:space="preserve"> </w:t>
      </w:r>
      <w:r w:rsidRPr="007517B3">
        <w:rPr>
          <w:color w:val="231F20"/>
          <w:sz w:val="18"/>
          <w:szCs w:val="18"/>
        </w:rPr>
        <w:t>reviews</w:t>
      </w:r>
      <w:r w:rsidRPr="007517B3">
        <w:rPr>
          <w:color w:val="231F20"/>
          <w:spacing w:val="-1"/>
          <w:sz w:val="18"/>
          <w:szCs w:val="18"/>
        </w:rPr>
        <w:t xml:space="preserve"> </w:t>
      </w:r>
      <w:r w:rsidRPr="007517B3">
        <w:rPr>
          <w:color w:val="231F20"/>
          <w:sz w:val="18"/>
          <w:szCs w:val="18"/>
        </w:rPr>
        <w:t>may</w:t>
      </w:r>
      <w:r w:rsidRPr="007517B3">
        <w:rPr>
          <w:color w:val="231F20"/>
          <w:spacing w:val="-1"/>
          <w:sz w:val="18"/>
          <w:szCs w:val="18"/>
        </w:rPr>
        <w:t xml:space="preserve"> </w:t>
      </w:r>
      <w:r w:rsidRPr="007517B3">
        <w:rPr>
          <w:color w:val="231F20"/>
          <w:sz w:val="18"/>
          <w:szCs w:val="18"/>
        </w:rPr>
        <w:t>have</w:t>
      </w:r>
      <w:r w:rsidRPr="007517B3">
        <w:rPr>
          <w:color w:val="231F20"/>
          <w:spacing w:val="-1"/>
          <w:sz w:val="18"/>
          <w:szCs w:val="18"/>
        </w:rPr>
        <w:t xml:space="preserve"> </w:t>
      </w:r>
      <w:r w:rsidRPr="007517B3">
        <w:rPr>
          <w:color w:val="231F20"/>
          <w:sz w:val="18"/>
          <w:szCs w:val="18"/>
        </w:rPr>
        <w:t>been</w:t>
      </w:r>
      <w:r w:rsidRPr="007517B3">
        <w:rPr>
          <w:color w:val="231F20"/>
          <w:spacing w:val="-1"/>
          <w:sz w:val="18"/>
          <w:szCs w:val="18"/>
        </w:rPr>
        <w:t xml:space="preserve"> </w:t>
      </w:r>
      <w:r w:rsidRPr="007517B3">
        <w:rPr>
          <w:color w:val="231F20"/>
          <w:sz w:val="18"/>
          <w:szCs w:val="18"/>
        </w:rPr>
        <w:t>handed</w:t>
      </w:r>
      <w:r w:rsidRPr="007517B3">
        <w:rPr>
          <w:color w:val="231F20"/>
          <w:spacing w:val="-1"/>
          <w:sz w:val="18"/>
          <w:szCs w:val="18"/>
        </w:rPr>
        <w:t xml:space="preserve"> </w:t>
      </w:r>
      <w:r w:rsidRPr="007517B3">
        <w:rPr>
          <w:color w:val="231F20"/>
          <w:sz w:val="18"/>
          <w:szCs w:val="18"/>
        </w:rPr>
        <w:t>down</w:t>
      </w:r>
      <w:r w:rsidRPr="007517B3">
        <w:rPr>
          <w:color w:val="231F20"/>
          <w:spacing w:val="-1"/>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2021-2022,</w:t>
      </w:r>
      <w:r w:rsidRPr="007517B3">
        <w:rPr>
          <w:color w:val="231F20"/>
          <w:spacing w:val="-1"/>
          <w:sz w:val="18"/>
          <w:szCs w:val="18"/>
        </w:rPr>
        <w:t xml:space="preserve"> </w:t>
      </w:r>
      <w:r w:rsidRPr="007517B3">
        <w:rPr>
          <w:color w:val="231F20"/>
          <w:sz w:val="18"/>
          <w:szCs w:val="18"/>
        </w:rPr>
        <w:t>or</w:t>
      </w:r>
      <w:r w:rsidRPr="007517B3">
        <w:rPr>
          <w:color w:val="231F20"/>
          <w:spacing w:val="40"/>
          <w:sz w:val="18"/>
          <w:szCs w:val="18"/>
        </w:rPr>
        <w:t xml:space="preserve"> </w:t>
      </w:r>
      <w:r w:rsidRPr="007517B3">
        <w:rPr>
          <w:color w:val="231F20"/>
          <w:sz w:val="18"/>
          <w:szCs w:val="18"/>
        </w:rPr>
        <w:t>previous reporting period(s).</w:t>
      </w:r>
    </w:p>
    <w:p w14:paraId="49147CDF" w14:textId="77777777" w:rsidR="00345EE3" w:rsidRPr="007517B3" w:rsidRDefault="00345EE3">
      <w:pPr>
        <w:pStyle w:val="ListParagraph"/>
        <w:numPr>
          <w:ilvl w:val="0"/>
          <w:numId w:val="80"/>
        </w:numPr>
        <w:tabs>
          <w:tab w:val="left" w:pos="338"/>
        </w:tabs>
        <w:spacing w:before="26" w:after="120"/>
        <w:ind w:right="991"/>
        <w:rPr>
          <w:sz w:val="18"/>
          <w:szCs w:val="18"/>
        </w:rPr>
      </w:pPr>
      <w:r w:rsidRPr="007517B3">
        <w:rPr>
          <w:color w:val="231F20"/>
          <w:sz w:val="18"/>
          <w:szCs w:val="18"/>
        </w:rPr>
        <w:t xml:space="preserve">Discipline sanctions (section 132 </w:t>
      </w:r>
      <w:r w:rsidRPr="007517B3">
        <w:rPr>
          <w:b/>
          <w:color w:val="231F20"/>
          <w:sz w:val="18"/>
          <w:szCs w:val="18"/>
        </w:rPr>
        <w:t xml:space="preserve">Victoria Police Act </w:t>
      </w:r>
      <w:r w:rsidRPr="007517B3">
        <w:rPr>
          <w:color w:val="231F20"/>
          <w:sz w:val="18"/>
          <w:szCs w:val="18"/>
        </w:rPr>
        <w:t>2013) relate to sanctions imposed if a Victoria Police officer/PSO is charged with a breach of discipline</w:t>
      </w:r>
      <w:r w:rsidRPr="007517B3">
        <w:rPr>
          <w:color w:val="231F20"/>
          <w:spacing w:val="40"/>
          <w:sz w:val="18"/>
          <w:szCs w:val="18"/>
        </w:rPr>
        <w:t xml:space="preserve"> </w:t>
      </w:r>
      <w:r w:rsidRPr="007517B3">
        <w:rPr>
          <w:color w:val="231F20"/>
          <w:sz w:val="18"/>
          <w:szCs w:val="18"/>
        </w:rPr>
        <w:t xml:space="preserve">under section 125 </w:t>
      </w:r>
      <w:r w:rsidRPr="007517B3">
        <w:rPr>
          <w:b/>
          <w:color w:val="231F20"/>
          <w:sz w:val="18"/>
          <w:szCs w:val="18"/>
        </w:rPr>
        <w:t xml:space="preserve">Victoria Police Act </w:t>
      </w:r>
      <w:r w:rsidRPr="007517B3">
        <w:rPr>
          <w:color w:val="231F20"/>
          <w:sz w:val="18"/>
          <w:szCs w:val="18"/>
        </w:rPr>
        <w:t xml:space="preserve">2013, whereas inquiry into imprisonment matter (section 136 </w:t>
      </w:r>
      <w:r w:rsidRPr="007517B3">
        <w:rPr>
          <w:b/>
          <w:color w:val="231F20"/>
          <w:sz w:val="18"/>
          <w:szCs w:val="18"/>
        </w:rPr>
        <w:t xml:space="preserve">Victoria Police Act </w:t>
      </w:r>
      <w:r w:rsidRPr="007517B3">
        <w:rPr>
          <w:color w:val="231F20"/>
          <w:sz w:val="18"/>
          <w:szCs w:val="18"/>
        </w:rPr>
        <w:t>2013) relates to sanctions imposed if</w:t>
      </w:r>
      <w:r w:rsidRPr="007517B3">
        <w:rPr>
          <w:color w:val="231F20"/>
          <w:spacing w:val="40"/>
          <w:sz w:val="18"/>
          <w:szCs w:val="18"/>
        </w:rPr>
        <w:t xml:space="preserve"> </w:t>
      </w:r>
      <w:r w:rsidRPr="007517B3">
        <w:rPr>
          <w:color w:val="231F20"/>
          <w:sz w:val="18"/>
          <w:szCs w:val="18"/>
        </w:rPr>
        <w:t>a Victoria Police officer/PSO has been charged under the criminal law with an offence punishable by imprisonment (whether in Victoria or elsewhere) and the</w:t>
      </w:r>
      <w:r w:rsidRPr="007517B3">
        <w:rPr>
          <w:color w:val="231F20"/>
          <w:spacing w:val="40"/>
          <w:sz w:val="18"/>
          <w:szCs w:val="18"/>
        </w:rPr>
        <w:t xml:space="preserve"> </w:t>
      </w:r>
      <w:r w:rsidRPr="007517B3">
        <w:rPr>
          <w:color w:val="231F20"/>
          <w:sz w:val="18"/>
          <w:szCs w:val="18"/>
        </w:rPr>
        <w:t>offence has been found proven.</w:t>
      </w:r>
    </w:p>
    <w:p w14:paraId="320765FB" w14:textId="77777777" w:rsidR="00345EE3" w:rsidRDefault="00345EE3" w:rsidP="00345EE3">
      <w:pPr>
        <w:pStyle w:val="Heading5"/>
        <w:spacing w:before="0"/>
      </w:pPr>
      <w:r>
        <w:rPr>
          <w:color w:val="58595B"/>
        </w:rPr>
        <w:t xml:space="preserve">Section </w:t>
      </w:r>
      <w:r>
        <w:rPr>
          <w:color w:val="58595B"/>
          <w:spacing w:val="-2"/>
        </w:rPr>
        <w:t>12(1)(c)</w:t>
      </w:r>
    </w:p>
    <w:p w14:paraId="60E02865" w14:textId="77777777" w:rsidR="00345EE3" w:rsidRDefault="00345EE3" w:rsidP="00345EE3">
      <w:pPr>
        <w:spacing w:before="4" w:line="242" w:lineRule="auto"/>
        <w:ind w:left="110" w:right="921"/>
        <w:rPr>
          <w:sz w:val="24"/>
        </w:rPr>
      </w:pPr>
      <w:r>
        <w:rPr>
          <w:color w:val="231F20"/>
          <w:sz w:val="24"/>
        </w:rPr>
        <w:t>Any</w:t>
      </w:r>
      <w:r>
        <w:rPr>
          <w:color w:val="231F20"/>
          <w:spacing w:val="-2"/>
          <w:sz w:val="24"/>
        </w:rPr>
        <w:t xml:space="preserve"> </w:t>
      </w:r>
      <w:r>
        <w:rPr>
          <w:color w:val="231F20"/>
          <w:sz w:val="24"/>
        </w:rPr>
        <w:t>action</w:t>
      </w:r>
      <w:r>
        <w:rPr>
          <w:color w:val="231F20"/>
          <w:spacing w:val="-3"/>
          <w:sz w:val="24"/>
        </w:rPr>
        <w:t xml:space="preserve"> </w:t>
      </w:r>
      <w:r>
        <w:rPr>
          <w:color w:val="231F20"/>
          <w:sz w:val="24"/>
        </w:rPr>
        <w:t>taken</w:t>
      </w:r>
      <w:r>
        <w:rPr>
          <w:color w:val="231F20"/>
          <w:spacing w:val="-3"/>
          <w:sz w:val="24"/>
        </w:rPr>
        <w:t xml:space="preserve"> </w:t>
      </w:r>
      <w:r>
        <w:rPr>
          <w:color w:val="231F20"/>
          <w:sz w:val="24"/>
        </w:rPr>
        <w:t>by</w:t>
      </w:r>
      <w:r>
        <w:rPr>
          <w:color w:val="231F20"/>
          <w:spacing w:val="-2"/>
          <w:sz w:val="24"/>
        </w:rPr>
        <w:t xml:space="preserve"> </w:t>
      </w:r>
      <w:r>
        <w:rPr>
          <w:color w:val="231F20"/>
          <w:sz w:val="24"/>
        </w:rPr>
        <w:t>the</w:t>
      </w:r>
      <w:r>
        <w:rPr>
          <w:color w:val="231F20"/>
          <w:spacing w:val="-3"/>
          <w:sz w:val="24"/>
        </w:rPr>
        <w:t xml:space="preserve"> </w:t>
      </w:r>
      <w:r>
        <w:rPr>
          <w:color w:val="231F20"/>
          <w:sz w:val="24"/>
        </w:rPr>
        <w:t>Chief</w:t>
      </w:r>
      <w:r>
        <w:rPr>
          <w:color w:val="231F20"/>
          <w:spacing w:val="-2"/>
          <w:sz w:val="24"/>
        </w:rPr>
        <w:t xml:space="preserve"> </w:t>
      </w:r>
      <w:r>
        <w:rPr>
          <w:color w:val="231F20"/>
          <w:sz w:val="24"/>
        </w:rPr>
        <w:t>Commissioner</w:t>
      </w:r>
      <w:r>
        <w:rPr>
          <w:color w:val="231F20"/>
          <w:spacing w:val="-2"/>
          <w:sz w:val="24"/>
        </w:rPr>
        <w:t xml:space="preserve"> </w:t>
      </w:r>
      <w:r>
        <w:rPr>
          <w:color w:val="231F20"/>
          <w:sz w:val="24"/>
        </w:rPr>
        <w:t>of</w:t>
      </w:r>
      <w:r>
        <w:rPr>
          <w:color w:val="231F20"/>
          <w:spacing w:val="-2"/>
          <w:sz w:val="24"/>
        </w:rPr>
        <w:t xml:space="preserve"> </w:t>
      </w:r>
      <w:r>
        <w:rPr>
          <w:color w:val="231F20"/>
          <w:sz w:val="24"/>
        </w:rPr>
        <w:t>Police</w:t>
      </w:r>
      <w:r>
        <w:rPr>
          <w:color w:val="231F20"/>
          <w:spacing w:val="-3"/>
          <w:sz w:val="24"/>
        </w:rPr>
        <w:t xml:space="preserve"> </w:t>
      </w:r>
      <w:r>
        <w:rPr>
          <w:color w:val="231F20"/>
          <w:sz w:val="24"/>
        </w:rPr>
        <w:t>under</w:t>
      </w:r>
      <w:r>
        <w:rPr>
          <w:color w:val="231F20"/>
          <w:spacing w:val="-2"/>
          <w:sz w:val="24"/>
        </w:rPr>
        <w:t xml:space="preserve"> </w:t>
      </w:r>
      <w:r>
        <w:rPr>
          <w:color w:val="231F20"/>
          <w:sz w:val="24"/>
        </w:rPr>
        <w:t>section</w:t>
      </w:r>
      <w:r>
        <w:rPr>
          <w:color w:val="231F20"/>
          <w:spacing w:val="-3"/>
          <w:sz w:val="24"/>
        </w:rPr>
        <w:t xml:space="preserve"> </w:t>
      </w:r>
      <w:r>
        <w:rPr>
          <w:color w:val="231F20"/>
          <w:sz w:val="24"/>
        </w:rPr>
        <w:t>195</w:t>
      </w:r>
      <w:r>
        <w:rPr>
          <w:color w:val="231F20"/>
          <w:spacing w:val="-3"/>
          <w:sz w:val="24"/>
        </w:rPr>
        <w:t xml:space="preserve"> </w:t>
      </w:r>
      <w:r>
        <w:rPr>
          <w:i/>
          <w:color w:val="231F20"/>
          <w:sz w:val="24"/>
        </w:rPr>
        <w:t>[disciplinary</w:t>
      </w:r>
      <w:r>
        <w:rPr>
          <w:i/>
          <w:color w:val="231F20"/>
          <w:spacing w:val="-11"/>
          <w:sz w:val="24"/>
        </w:rPr>
        <w:t xml:space="preserve"> </w:t>
      </w:r>
      <w:r>
        <w:rPr>
          <w:i/>
          <w:color w:val="231F20"/>
          <w:sz w:val="24"/>
        </w:rPr>
        <w:t>action against</w:t>
      </w:r>
      <w:r>
        <w:rPr>
          <w:i/>
          <w:color w:val="231F20"/>
          <w:spacing w:val="-17"/>
          <w:sz w:val="24"/>
        </w:rPr>
        <w:t xml:space="preserve"> </w:t>
      </w:r>
      <w:r>
        <w:rPr>
          <w:i/>
          <w:color w:val="231F20"/>
          <w:sz w:val="24"/>
        </w:rPr>
        <w:t>Special</w:t>
      </w:r>
      <w:r>
        <w:rPr>
          <w:i/>
          <w:color w:val="231F20"/>
          <w:spacing w:val="-17"/>
          <w:sz w:val="24"/>
        </w:rPr>
        <w:t xml:space="preserve"> </w:t>
      </w:r>
      <w:r>
        <w:rPr>
          <w:i/>
          <w:color w:val="231F20"/>
          <w:sz w:val="24"/>
        </w:rPr>
        <w:t>Constables]</w:t>
      </w:r>
      <w:r>
        <w:rPr>
          <w:i/>
          <w:color w:val="231F20"/>
          <w:spacing w:val="-16"/>
          <w:sz w:val="24"/>
        </w:rPr>
        <w:t xml:space="preserve"> </w:t>
      </w:r>
      <w:r>
        <w:rPr>
          <w:color w:val="231F20"/>
          <w:sz w:val="24"/>
        </w:rPr>
        <w:t>during</w:t>
      </w:r>
      <w:r>
        <w:rPr>
          <w:color w:val="231F20"/>
          <w:spacing w:val="-17"/>
          <w:sz w:val="24"/>
        </w:rPr>
        <w:t xml:space="preserve"> </w:t>
      </w:r>
      <w:r>
        <w:rPr>
          <w:color w:val="231F20"/>
          <w:sz w:val="24"/>
        </w:rPr>
        <w:t>that</w:t>
      </w:r>
      <w:r>
        <w:rPr>
          <w:color w:val="231F20"/>
          <w:spacing w:val="-17"/>
          <w:sz w:val="24"/>
        </w:rPr>
        <w:t xml:space="preserve"> </w:t>
      </w:r>
      <w:r>
        <w:rPr>
          <w:color w:val="231F20"/>
          <w:sz w:val="24"/>
        </w:rPr>
        <w:t>year.</w:t>
      </w:r>
      <w:r>
        <w:rPr>
          <w:color w:val="231F20"/>
          <w:spacing w:val="-17"/>
          <w:sz w:val="24"/>
        </w:rPr>
        <w:t xml:space="preserve"> </w:t>
      </w:r>
      <w:r>
        <w:rPr>
          <w:color w:val="231F20"/>
          <w:sz w:val="24"/>
        </w:rPr>
        <w:t>No</w:t>
      </w:r>
      <w:r>
        <w:rPr>
          <w:color w:val="231F20"/>
          <w:spacing w:val="-16"/>
          <w:sz w:val="24"/>
        </w:rPr>
        <w:t xml:space="preserve"> </w:t>
      </w:r>
      <w:r>
        <w:rPr>
          <w:color w:val="231F20"/>
          <w:sz w:val="24"/>
        </w:rPr>
        <w:t>action</w:t>
      </w:r>
      <w:r>
        <w:rPr>
          <w:color w:val="231F20"/>
          <w:spacing w:val="-17"/>
          <w:sz w:val="24"/>
        </w:rPr>
        <w:t xml:space="preserve"> </w:t>
      </w:r>
      <w:r>
        <w:rPr>
          <w:color w:val="231F20"/>
          <w:sz w:val="24"/>
        </w:rPr>
        <w:t>was</w:t>
      </w:r>
      <w:r>
        <w:rPr>
          <w:color w:val="231F20"/>
          <w:spacing w:val="-17"/>
          <w:sz w:val="24"/>
        </w:rPr>
        <w:t xml:space="preserve"> </w:t>
      </w:r>
      <w:r>
        <w:rPr>
          <w:color w:val="231F20"/>
          <w:sz w:val="24"/>
        </w:rPr>
        <w:t>undertaken</w:t>
      </w:r>
      <w:r>
        <w:rPr>
          <w:color w:val="231F20"/>
          <w:spacing w:val="-16"/>
          <w:sz w:val="24"/>
        </w:rPr>
        <w:t xml:space="preserve"> </w:t>
      </w:r>
      <w:r>
        <w:rPr>
          <w:color w:val="231F20"/>
          <w:sz w:val="24"/>
        </w:rPr>
        <w:t>in</w:t>
      </w:r>
      <w:r>
        <w:rPr>
          <w:color w:val="231F20"/>
          <w:spacing w:val="-17"/>
          <w:sz w:val="24"/>
        </w:rPr>
        <w:t xml:space="preserve"> </w:t>
      </w:r>
      <w:r>
        <w:rPr>
          <w:color w:val="231F20"/>
          <w:sz w:val="24"/>
        </w:rPr>
        <w:t>accordance</w:t>
      </w:r>
      <w:r>
        <w:rPr>
          <w:color w:val="231F20"/>
          <w:spacing w:val="-17"/>
          <w:sz w:val="24"/>
        </w:rPr>
        <w:t xml:space="preserve"> </w:t>
      </w:r>
      <w:r>
        <w:rPr>
          <w:color w:val="231F20"/>
          <w:sz w:val="24"/>
        </w:rPr>
        <w:t>with</w:t>
      </w:r>
      <w:r>
        <w:rPr>
          <w:color w:val="231F20"/>
          <w:spacing w:val="-16"/>
          <w:sz w:val="24"/>
        </w:rPr>
        <w:t xml:space="preserve"> </w:t>
      </w:r>
      <w:r>
        <w:rPr>
          <w:color w:val="231F20"/>
          <w:sz w:val="24"/>
        </w:rPr>
        <w:t>this section of the Act in 2021–2022.</w:t>
      </w:r>
    </w:p>
    <w:p w14:paraId="127A9F35" w14:textId="77777777" w:rsidR="00345EE3" w:rsidRDefault="00345EE3" w:rsidP="00345EE3">
      <w:pPr>
        <w:pStyle w:val="Heading5"/>
        <w:spacing w:before="174"/>
      </w:pPr>
      <w:r>
        <w:rPr>
          <w:color w:val="58595B"/>
        </w:rPr>
        <w:t xml:space="preserve">Section </w:t>
      </w:r>
      <w:r>
        <w:rPr>
          <w:color w:val="58595B"/>
          <w:spacing w:val="-2"/>
        </w:rPr>
        <w:t>12(1)(d)</w:t>
      </w:r>
    </w:p>
    <w:p w14:paraId="053A790B" w14:textId="77777777" w:rsidR="00345EE3" w:rsidRDefault="00345EE3" w:rsidP="00345EE3">
      <w:pPr>
        <w:spacing w:before="10"/>
        <w:ind w:left="110"/>
        <w:rPr>
          <w:rFonts w:ascii="Arial-BoldItalicMT"/>
          <w:b/>
          <w:i/>
          <w:sz w:val="18"/>
        </w:rPr>
      </w:pPr>
      <w:r>
        <w:rPr>
          <w:color w:val="231F20"/>
          <w:sz w:val="18"/>
        </w:rPr>
        <w:t>Table</w:t>
      </w:r>
      <w:r>
        <w:rPr>
          <w:color w:val="231F20"/>
          <w:spacing w:val="-8"/>
          <w:sz w:val="18"/>
        </w:rPr>
        <w:t xml:space="preserve"> </w:t>
      </w:r>
      <w:r>
        <w:rPr>
          <w:color w:val="231F20"/>
          <w:sz w:val="18"/>
        </w:rPr>
        <w:t>5.7:</w:t>
      </w:r>
      <w:r>
        <w:rPr>
          <w:color w:val="231F20"/>
          <w:spacing w:val="-8"/>
          <w:sz w:val="18"/>
        </w:rPr>
        <w:t xml:space="preserve"> </w:t>
      </w:r>
      <w:r>
        <w:rPr>
          <w:rFonts w:ascii="Arial-BoldItalicMT"/>
          <w:b/>
          <w:i/>
          <w:color w:val="231F20"/>
          <w:sz w:val="18"/>
        </w:rPr>
        <w:t>Drug</w:t>
      </w:r>
      <w:r>
        <w:rPr>
          <w:rFonts w:ascii="Arial-BoldItalicMT"/>
          <w:b/>
          <w:i/>
          <w:color w:val="231F20"/>
          <w:spacing w:val="-11"/>
          <w:sz w:val="18"/>
        </w:rPr>
        <w:t xml:space="preserve"> </w:t>
      </w:r>
      <w:r>
        <w:rPr>
          <w:rFonts w:ascii="Arial-BoldItalicMT"/>
          <w:b/>
          <w:i/>
          <w:color w:val="231F20"/>
          <w:sz w:val="18"/>
        </w:rPr>
        <w:t>and</w:t>
      </w:r>
      <w:r>
        <w:rPr>
          <w:rFonts w:ascii="Arial-BoldItalicMT"/>
          <w:b/>
          <w:i/>
          <w:color w:val="231F20"/>
          <w:spacing w:val="-10"/>
          <w:sz w:val="18"/>
        </w:rPr>
        <w:t xml:space="preserve"> </w:t>
      </w:r>
      <w:r>
        <w:rPr>
          <w:rFonts w:ascii="Arial-BoldItalicMT"/>
          <w:b/>
          <w:i/>
          <w:color w:val="231F20"/>
          <w:sz w:val="18"/>
        </w:rPr>
        <w:t>Alcohol</w:t>
      </w:r>
      <w:r>
        <w:rPr>
          <w:rFonts w:ascii="Arial-BoldItalicMT"/>
          <w:b/>
          <w:i/>
          <w:color w:val="231F20"/>
          <w:spacing w:val="-11"/>
          <w:sz w:val="18"/>
        </w:rPr>
        <w:t xml:space="preserve"> </w:t>
      </w:r>
      <w:r>
        <w:rPr>
          <w:rFonts w:ascii="Arial-BoldItalicMT"/>
          <w:b/>
          <w:i/>
          <w:color w:val="231F20"/>
          <w:sz w:val="18"/>
        </w:rPr>
        <w:t>Testing</w:t>
      </w:r>
      <w:r>
        <w:rPr>
          <w:rFonts w:ascii="Arial-BoldItalicMT"/>
          <w:b/>
          <w:i/>
          <w:color w:val="231F20"/>
          <w:spacing w:val="-10"/>
          <w:sz w:val="18"/>
        </w:rPr>
        <w:t xml:space="preserve"> </w:t>
      </w:r>
      <w:r>
        <w:rPr>
          <w:rFonts w:ascii="Arial-BoldItalicMT"/>
          <w:b/>
          <w:i/>
          <w:color w:val="231F20"/>
          <w:sz w:val="18"/>
        </w:rPr>
        <w:t>of</w:t>
      </w:r>
      <w:r>
        <w:rPr>
          <w:rFonts w:ascii="Arial-BoldItalicMT"/>
          <w:b/>
          <w:i/>
          <w:color w:val="231F20"/>
          <w:spacing w:val="-10"/>
          <w:sz w:val="18"/>
        </w:rPr>
        <w:t xml:space="preserve"> </w:t>
      </w:r>
      <w:r>
        <w:rPr>
          <w:rFonts w:ascii="Arial-BoldItalicMT"/>
          <w:b/>
          <w:i/>
          <w:color w:val="231F20"/>
          <w:spacing w:val="-2"/>
          <w:sz w:val="18"/>
        </w:rPr>
        <w:t>Officers</w:t>
      </w:r>
    </w:p>
    <w:p w14:paraId="2F4244BC" w14:textId="77777777" w:rsidR="00345EE3" w:rsidRDefault="00345EE3" w:rsidP="00345EE3">
      <w:pPr>
        <w:pStyle w:val="BodyText"/>
        <w:spacing w:before="5"/>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8504"/>
        <w:gridCol w:w="1701"/>
      </w:tblGrid>
      <w:tr w:rsidR="00345EE3" w14:paraId="3CC1919B" w14:textId="77777777" w:rsidTr="00D73130">
        <w:trPr>
          <w:trHeight w:val="401"/>
        </w:trPr>
        <w:tc>
          <w:tcPr>
            <w:tcW w:w="8504" w:type="dxa"/>
            <w:shd w:val="clear" w:color="auto" w:fill="00529F"/>
          </w:tcPr>
          <w:p w14:paraId="1C539A72" w14:textId="77777777" w:rsidR="00345EE3" w:rsidRDefault="00345EE3" w:rsidP="00D73130">
            <w:pPr>
              <w:pStyle w:val="TableParagraph"/>
              <w:spacing w:before="63"/>
              <w:jc w:val="left"/>
              <w:rPr>
                <w:b/>
                <w:sz w:val="24"/>
              </w:rPr>
            </w:pPr>
            <w:r>
              <w:rPr>
                <w:b/>
                <w:color w:val="FFFFFF"/>
                <w:sz w:val="24"/>
              </w:rPr>
              <w:t>Prescribed</w:t>
            </w:r>
            <w:r>
              <w:rPr>
                <w:b/>
                <w:color w:val="FFFFFF"/>
                <w:spacing w:val="-2"/>
                <w:sz w:val="24"/>
              </w:rPr>
              <w:t xml:space="preserve"> </w:t>
            </w:r>
            <w:r>
              <w:rPr>
                <w:b/>
                <w:color w:val="FFFFFF"/>
                <w:sz w:val="24"/>
              </w:rPr>
              <w:t>information</w:t>
            </w:r>
            <w:r>
              <w:rPr>
                <w:b/>
                <w:color w:val="FFFFFF"/>
                <w:spacing w:val="-1"/>
                <w:sz w:val="24"/>
              </w:rPr>
              <w:t xml:space="preserve"> </w:t>
            </w:r>
            <w:r>
              <w:rPr>
                <w:b/>
                <w:color w:val="FFFFFF"/>
                <w:sz w:val="24"/>
              </w:rPr>
              <w:t>in</w:t>
            </w:r>
            <w:r>
              <w:rPr>
                <w:b/>
                <w:color w:val="FFFFFF"/>
                <w:spacing w:val="-2"/>
                <w:sz w:val="24"/>
              </w:rPr>
              <w:t xml:space="preserve"> </w:t>
            </w:r>
            <w:r>
              <w:rPr>
                <w:b/>
                <w:color w:val="FFFFFF"/>
                <w:sz w:val="24"/>
              </w:rPr>
              <w:t>relation</w:t>
            </w:r>
            <w:r>
              <w:rPr>
                <w:b/>
                <w:color w:val="FFFFFF"/>
                <w:spacing w:val="-1"/>
                <w:sz w:val="24"/>
              </w:rPr>
              <w:t xml:space="preserve"> </w:t>
            </w:r>
            <w:r>
              <w:rPr>
                <w:b/>
                <w:color w:val="FFFFFF"/>
                <w:sz w:val="24"/>
              </w:rPr>
              <w:t>to</w:t>
            </w:r>
            <w:r>
              <w:rPr>
                <w:b/>
                <w:color w:val="FFFFFF"/>
                <w:spacing w:val="-2"/>
                <w:sz w:val="24"/>
              </w:rPr>
              <w:t xml:space="preserve"> </w:t>
            </w:r>
            <w:r>
              <w:rPr>
                <w:b/>
                <w:color w:val="FFFFFF"/>
                <w:sz w:val="24"/>
              </w:rPr>
              <w:t>Part</w:t>
            </w:r>
            <w:r>
              <w:rPr>
                <w:b/>
                <w:color w:val="FFFFFF"/>
                <w:spacing w:val="-1"/>
                <w:sz w:val="24"/>
              </w:rPr>
              <w:t xml:space="preserve"> </w:t>
            </w:r>
            <w:r>
              <w:rPr>
                <w:b/>
                <w:color w:val="FFFFFF"/>
                <w:spacing w:val="-10"/>
                <w:sz w:val="24"/>
              </w:rPr>
              <w:t>5</w:t>
            </w:r>
          </w:p>
        </w:tc>
        <w:tc>
          <w:tcPr>
            <w:tcW w:w="1701" w:type="dxa"/>
            <w:shd w:val="clear" w:color="auto" w:fill="00529F"/>
          </w:tcPr>
          <w:p w14:paraId="4E58B917" w14:textId="77777777" w:rsidR="00345EE3" w:rsidRDefault="00345EE3" w:rsidP="00D73130">
            <w:pPr>
              <w:pStyle w:val="TableParagraph"/>
              <w:spacing w:before="63"/>
              <w:ind w:right="1"/>
              <w:rPr>
                <w:b/>
                <w:sz w:val="24"/>
              </w:rPr>
            </w:pPr>
            <w:r>
              <w:rPr>
                <w:b/>
                <w:color w:val="FFFFFF"/>
                <w:spacing w:val="-2"/>
                <w:sz w:val="24"/>
              </w:rPr>
              <w:t>Number</w:t>
            </w:r>
          </w:p>
        </w:tc>
      </w:tr>
      <w:tr w:rsidR="00345EE3" w14:paraId="59626DFB" w14:textId="77777777" w:rsidTr="00D73130">
        <w:trPr>
          <w:trHeight w:val="676"/>
        </w:trPr>
        <w:tc>
          <w:tcPr>
            <w:tcW w:w="8504" w:type="dxa"/>
            <w:tcBorders>
              <w:bottom w:val="single" w:sz="2" w:space="0" w:color="939598"/>
              <w:right w:val="single" w:sz="2" w:space="0" w:color="939598"/>
            </w:tcBorders>
          </w:tcPr>
          <w:p w14:paraId="68FBB083" w14:textId="77777777" w:rsidR="00345EE3" w:rsidRDefault="00345EE3" w:rsidP="00D73130">
            <w:pPr>
              <w:pStyle w:val="TableParagraph"/>
              <w:spacing w:line="242" w:lineRule="auto"/>
              <w:ind w:left="-3"/>
              <w:jc w:val="left"/>
              <w:rPr>
                <w:sz w:val="24"/>
              </w:rPr>
            </w:pPr>
            <w:r>
              <w:rPr>
                <w:color w:val="231F20"/>
                <w:sz w:val="24"/>
              </w:rPr>
              <w:t>The</w:t>
            </w:r>
            <w:r>
              <w:rPr>
                <w:color w:val="231F20"/>
                <w:spacing w:val="-3"/>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tests</w:t>
            </w:r>
            <w:r>
              <w:rPr>
                <w:color w:val="231F20"/>
                <w:spacing w:val="-3"/>
                <w:sz w:val="24"/>
              </w:rPr>
              <w:t xml:space="preserve"> </w:t>
            </w:r>
            <w:r>
              <w:rPr>
                <w:color w:val="231F20"/>
                <w:sz w:val="24"/>
              </w:rPr>
              <w:t>involved</w:t>
            </w:r>
            <w:r>
              <w:rPr>
                <w:color w:val="231F20"/>
                <w:spacing w:val="-4"/>
                <w:sz w:val="24"/>
              </w:rPr>
              <w:t xml:space="preserve"> </w:t>
            </w:r>
            <w:r>
              <w:rPr>
                <w:color w:val="231F20"/>
                <w:sz w:val="24"/>
              </w:rPr>
              <w:t>taking</w:t>
            </w:r>
            <w:r>
              <w:rPr>
                <w:color w:val="231F20"/>
                <w:spacing w:val="-3"/>
                <w:sz w:val="24"/>
              </w:rPr>
              <w:t xml:space="preserve"> </w:t>
            </w:r>
            <w:r>
              <w:rPr>
                <w:color w:val="231F20"/>
                <w:sz w:val="24"/>
              </w:rPr>
              <w:t>of</w:t>
            </w:r>
            <w:r>
              <w:rPr>
                <w:color w:val="231F20"/>
                <w:spacing w:val="-4"/>
                <w:sz w:val="24"/>
              </w:rPr>
              <w:t xml:space="preserve"> </w:t>
            </w:r>
            <w:r>
              <w:rPr>
                <w:color w:val="231F20"/>
                <w:sz w:val="24"/>
              </w:rPr>
              <w:t>samples</w:t>
            </w:r>
            <w:r>
              <w:rPr>
                <w:color w:val="231F20"/>
                <w:spacing w:val="-3"/>
                <w:sz w:val="24"/>
              </w:rPr>
              <w:t xml:space="preserve"> </w:t>
            </w:r>
            <w:r>
              <w:rPr>
                <w:color w:val="231F20"/>
                <w:sz w:val="24"/>
              </w:rPr>
              <w:t>conducted</w:t>
            </w:r>
            <w:r>
              <w:rPr>
                <w:color w:val="231F20"/>
                <w:spacing w:val="-3"/>
                <w:sz w:val="24"/>
              </w:rPr>
              <w:t xml:space="preserve"> </w:t>
            </w:r>
            <w:r>
              <w:rPr>
                <w:color w:val="231F20"/>
                <w:sz w:val="24"/>
              </w:rPr>
              <w:t>during</w:t>
            </w:r>
            <w:r>
              <w:rPr>
                <w:color w:val="231F20"/>
                <w:spacing w:val="-4"/>
                <w:sz w:val="24"/>
              </w:rPr>
              <w:t xml:space="preserve"> </w:t>
            </w:r>
            <w:r>
              <w:rPr>
                <w:color w:val="231F20"/>
                <w:sz w:val="24"/>
              </w:rPr>
              <w:t>the</w:t>
            </w:r>
            <w:r>
              <w:rPr>
                <w:color w:val="231F20"/>
                <w:spacing w:val="-3"/>
                <w:sz w:val="24"/>
              </w:rPr>
              <w:t xml:space="preserve"> </w:t>
            </w:r>
            <w:r>
              <w:rPr>
                <w:color w:val="231F20"/>
                <w:sz w:val="24"/>
              </w:rPr>
              <w:t xml:space="preserve">relevant </w:t>
            </w:r>
            <w:r>
              <w:rPr>
                <w:color w:val="231F20"/>
                <w:spacing w:val="-4"/>
                <w:sz w:val="24"/>
              </w:rPr>
              <w:t>year</w:t>
            </w:r>
          </w:p>
        </w:tc>
        <w:tc>
          <w:tcPr>
            <w:tcW w:w="1701" w:type="dxa"/>
            <w:tcBorders>
              <w:left w:val="single" w:sz="2" w:space="0" w:color="939598"/>
              <w:bottom w:val="single" w:sz="2" w:space="0" w:color="939598"/>
            </w:tcBorders>
          </w:tcPr>
          <w:p w14:paraId="1AAF7D31" w14:textId="77777777" w:rsidR="00345EE3" w:rsidRDefault="00345EE3" w:rsidP="00D73130">
            <w:pPr>
              <w:pStyle w:val="TableParagraph"/>
              <w:rPr>
                <w:sz w:val="24"/>
              </w:rPr>
            </w:pPr>
            <w:r>
              <w:rPr>
                <w:color w:val="231F20"/>
                <w:spacing w:val="-2"/>
                <w:sz w:val="24"/>
              </w:rPr>
              <w:t>8,693</w:t>
            </w:r>
          </w:p>
        </w:tc>
      </w:tr>
      <w:tr w:rsidR="00345EE3" w14:paraId="156BA7F5" w14:textId="77777777" w:rsidTr="00D73130">
        <w:trPr>
          <w:trHeight w:val="396"/>
        </w:trPr>
        <w:tc>
          <w:tcPr>
            <w:tcW w:w="8504" w:type="dxa"/>
            <w:tcBorders>
              <w:top w:val="single" w:sz="2" w:space="0" w:color="939598"/>
              <w:bottom w:val="single" w:sz="2" w:space="0" w:color="939598"/>
              <w:right w:val="single" w:sz="2" w:space="0" w:color="939598"/>
            </w:tcBorders>
          </w:tcPr>
          <w:p w14:paraId="30222454" w14:textId="77777777" w:rsidR="00345EE3" w:rsidRDefault="00345EE3" w:rsidP="00D73130">
            <w:pPr>
              <w:pStyle w:val="TableParagraph"/>
              <w:ind w:left="-3"/>
              <w:jc w:val="left"/>
              <w:rPr>
                <w:sz w:val="24"/>
              </w:rPr>
            </w:pPr>
            <w:r>
              <w:rPr>
                <w:color w:val="231F20"/>
                <w:sz w:val="24"/>
              </w:rPr>
              <w:t>The</w:t>
            </w:r>
            <w:r>
              <w:rPr>
                <w:color w:val="231F20"/>
                <w:spacing w:val="-4"/>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persons</w:t>
            </w:r>
            <w:r>
              <w:rPr>
                <w:color w:val="231F20"/>
                <w:spacing w:val="-3"/>
                <w:sz w:val="24"/>
              </w:rPr>
              <w:t xml:space="preserve"> </w:t>
            </w:r>
            <w:r>
              <w:rPr>
                <w:color w:val="231F20"/>
                <w:spacing w:val="-2"/>
                <w:sz w:val="24"/>
              </w:rPr>
              <w:t>tested</w:t>
            </w:r>
          </w:p>
        </w:tc>
        <w:tc>
          <w:tcPr>
            <w:tcW w:w="1701" w:type="dxa"/>
            <w:tcBorders>
              <w:top w:val="single" w:sz="2" w:space="0" w:color="939598"/>
              <w:left w:val="single" w:sz="2" w:space="0" w:color="939598"/>
              <w:bottom w:val="single" w:sz="2" w:space="0" w:color="939598"/>
            </w:tcBorders>
          </w:tcPr>
          <w:p w14:paraId="28D884CE" w14:textId="77777777" w:rsidR="00345EE3" w:rsidRDefault="00345EE3" w:rsidP="00D73130">
            <w:pPr>
              <w:pStyle w:val="TableParagraph"/>
              <w:rPr>
                <w:sz w:val="24"/>
              </w:rPr>
            </w:pPr>
            <w:r>
              <w:rPr>
                <w:color w:val="231F20"/>
                <w:spacing w:val="-2"/>
                <w:sz w:val="24"/>
              </w:rPr>
              <w:t>4,348</w:t>
            </w:r>
          </w:p>
        </w:tc>
      </w:tr>
      <w:tr w:rsidR="00345EE3" w14:paraId="7EFE0634" w14:textId="77777777" w:rsidTr="00D73130">
        <w:trPr>
          <w:trHeight w:val="671"/>
        </w:trPr>
        <w:tc>
          <w:tcPr>
            <w:tcW w:w="8504" w:type="dxa"/>
            <w:tcBorders>
              <w:top w:val="single" w:sz="2" w:space="0" w:color="939598"/>
              <w:bottom w:val="single" w:sz="6" w:space="0" w:color="231F20"/>
              <w:right w:val="single" w:sz="2" w:space="0" w:color="939598"/>
            </w:tcBorders>
          </w:tcPr>
          <w:p w14:paraId="5E1722AA" w14:textId="77777777" w:rsidR="00345EE3" w:rsidRDefault="00345EE3" w:rsidP="00D73130">
            <w:pPr>
              <w:pStyle w:val="TableParagraph"/>
              <w:spacing w:line="242" w:lineRule="auto"/>
              <w:ind w:left="-3"/>
              <w:jc w:val="left"/>
              <w:rPr>
                <w:sz w:val="24"/>
              </w:rPr>
            </w:pPr>
            <w:r>
              <w:rPr>
                <w:color w:val="231F20"/>
                <w:sz w:val="24"/>
              </w:rPr>
              <w:t>The</w:t>
            </w:r>
            <w:r>
              <w:rPr>
                <w:color w:val="231F20"/>
                <w:spacing w:val="-3"/>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those</w:t>
            </w:r>
            <w:r>
              <w:rPr>
                <w:color w:val="231F20"/>
                <w:spacing w:val="-3"/>
                <w:sz w:val="24"/>
              </w:rPr>
              <w:t xml:space="preserve"> </w:t>
            </w:r>
            <w:r>
              <w:rPr>
                <w:color w:val="231F20"/>
                <w:sz w:val="24"/>
              </w:rPr>
              <w:t>tests</w:t>
            </w:r>
            <w:r>
              <w:rPr>
                <w:color w:val="231F20"/>
                <w:spacing w:val="-3"/>
                <w:sz w:val="24"/>
              </w:rPr>
              <w:t xml:space="preserve"> </w:t>
            </w:r>
            <w:r>
              <w:rPr>
                <w:color w:val="231F20"/>
                <w:sz w:val="24"/>
              </w:rPr>
              <w:t>that</w:t>
            </w:r>
            <w:r>
              <w:rPr>
                <w:color w:val="231F20"/>
                <w:spacing w:val="-3"/>
                <w:sz w:val="24"/>
              </w:rPr>
              <w:t xml:space="preserve"> </w:t>
            </w:r>
            <w:r>
              <w:rPr>
                <w:color w:val="231F20"/>
                <w:sz w:val="24"/>
              </w:rPr>
              <w:t>indicated</w:t>
            </w:r>
            <w:r>
              <w:rPr>
                <w:color w:val="231F20"/>
                <w:spacing w:val="-4"/>
                <w:sz w:val="24"/>
              </w:rPr>
              <w:t xml:space="preserve"> </w:t>
            </w:r>
            <w:r>
              <w:rPr>
                <w:color w:val="231F20"/>
                <w:sz w:val="24"/>
              </w:rPr>
              <w:t>the</w:t>
            </w:r>
            <w:r>
              <w:rPr>
                <w:color w:val="231F20"/>
                <w:spacing w:val="-3"/>
                <w:sz w:val="24"/>
              </w:rPr>
              <w:t xml:space="preserve"> </w:t>
            </w:r>
            <w:r>
              <w:rPr>
                <w:color w:val="231F20"/>
                <w:sz w:val="24"/>
              </w:rPr>
              <w:t>presence</w:t>
            </w:r>
            <w:r>
              <w:rPr>
                <w:color w:val="231F20"/>
                <w:spacing w:val="-4"/>
                <w:sz w:val="24"/>
              </w:rPr>
              <w:t xml:space="preserve"> </w:t>
            </w:r>
            <w:r>
              <w:rPr>
                <w:color w:val="231F20"/>
                <w:sz w:val="24"/>
              </w:rPr>
              <w:t>of</w:t>
            </w:r>
            <w:r>
              <w:rPr>
                <w:color w:val="231F20"/>
                <w:spacing w:val="-4"/>
                <w:sz w:val="24"/>
              </w:rPr>
              <w:t xml:space="preserve"> </w:t>
            </w:r>
            <w:r>
              <w:rPr>
                <w:color w:val="231F20"/>
                <w:sz w:val="24"/>
              </w:rPr>
              <w:t>a</w:t>
            </w:r>
            <w:r>
              <w:rPr>
                <w:color w:val="231F20"/>
                <w:spacing w:val="-4"/>
                <w:sz w:val="24"/>
              </w:rPr>
              <w:t xml:space="preserve"> </w:t>
            </w:r>
            <w:r>
              <w:rPr>
                <w:color w:val="231F20"/>
                <w:sz w:val="24"/>
              </w:rPr>
              <w:t>drug</w:t>
            </w:r>
            <w:r>
              <w:rPr>
                <w:color w:val="231F20"/>
                <w:spacing w:val="-4"/>
                <w:sz w:val="24"/>
              </w:rPr>
              <w:t xml:space="preserve"> </w:t>
            </w:r>
            <w:r>
              <w:rPr>
                <w:color w:val="231F20"/>
                <w:sz w:val="24"/>
              </w:rPr>
              <w:t>of</w:t>
            </w:r>
            <w:r>
              <w:rPr>
                <w:color w:val="231F20"/>
                <w:spacing w:val="-4"/>
                <w:sz w:val="24"/>
              </w:rPr>
              <w:t xml:space="preserve"> </w:t>
            </w:r>
            <w:r>
              <w:rPr>
                <w:color w:val="231F20"/>
                <w:sz w:val="24"/>
              </w:rPr>
              <w:t>dependence or alcohol in a person’s body</w:t>
            </w:r>
          </w:p>
        </w:tc>
        <w:tc>
          <w:tcPr>
            <w:tcW w:w="1701" w:type="dxa"/>
            <w:tcBorders>
              <w:top w:val="single" w:sz="2" w:space="0" w:color="939598"/>
              <w:left w:val="single" w:sz="2" w:space="0" w:color="939598"/>
              <w:bottom w:val="single" w:sz="6" w:space="0" w:color="231F20"/>
            </w:tcBorders>
          </w:tcPr>
          <w:p w14:paraId="3899CA98" w14:textId="77777777" w:rsidR="00345EE3" w:rsidRDefault="00345EE3" w:rsidP="00D73130">
            <w:pPr>
              <w:pStyle w:val="TableParagraph"/>
              <w:rPr>
                <w:sz w:val="24"/>
              </w:rPr>
            </w:pPr>
            <w:r>
              <w:rPr>
                <w:color w:val="231F20"/>
                <w:spacing w:val="-5"/>
                <w:sz w:val="24"/>
              </w:rPr>
              <w:t>26</w:t>
            </w:r>
          </w:p>
        </w:tc>
      </w:tr>
    </w:tbl>
    <w:p w14:paraId="7240E2B0" w14:textId="77777777" w:rsidR="00345EE3" w:rsidRPr="007517B3" w:rsidRDefault="00345EE3" w:rsidP="00345EE3">
      <w:pPr>
        <w:spacing w:before="72"/>
        <w:ind w:left="110"/>
        <w:rPr>
          <w:sz w:val="18"/>
          <w:szCs w:val="18"/>
        </w:rPr>
      </w:pPr>
      <w:r w:rsidRPr="007517B3">
        <w:rPr>
          <w:rFonts w:ascii="Arial-BoldItalicMT"/>
          <w:b/>
          <w:i/>
          <w:color w:val="231F20"/>
          <w:sz w:val="18"/>
          <w:szCs w:val="18"/>
        </w:rPr>
        <w:t>Source:</w:t>
      </w:r>
      <w:r w:rsidRPr="007517B3">
        <w:rPr>
          <w:rFonts w:ascii="Arial-BoldItalicMT"/>
          <w:b/>
          <w:i/>
          <w:color w:val="231F20"/>
          <w:spacing w:val="1"/>
          <w:sz w:val="18"/>
          <w:szCs w:val="18"/>
        </w:rPr>
        <w:t xml:space="preserve"> </w:t>
      </w:r>
      <w:r w:rsidRPr="007517B3">
        <w:rPr>
          <w:color w:val="231F20"/>
          <w:sz w:val="18"/>
          <w:szCs w:val="18"/>
        </w:rPr>
        <w:t>Drug</w:t>
      </w:r>
      <w:r w:rsidRPr="007517B3">
        <w:rPr>
          <w:color w:val="231F20"/>
          <w:spacing w:val="-2"/>
          <w:sz w:val="18"/>
          <w:szCs w:val="18"/>
        </w:rPr>
        <w:t xml:space="preserve"> </w:t>
      </w:r>
      <w:r w:rsidRPr="007517B3">
        <w:rPr>
          <w:color w:val="231F20"/>
          <w:sz w:val="18"/>
          <w:szCs w:val="18"/>
        </w:rPr>
        <w:t>and</w:t>
      </w:r>
      <w:r w:rsidRPr="007517B3">
        <w:rPr>
          <w:color w:val="231F20"/>
          <w:spacing w:val="-1"/>
          <w:sz w:val="18"/>
          <w:szCs w:val="18"/>
        </w:rPr>
        <w:t xml:space="preserve"> </w:t>
      </w:r>
      <w:r w:rsidRPr="007517B3">
        <w:rPr>
          <w:color w:val="231F20"/>
          <w:sz w:val="18"/>
          <w:szCs w:val="18"/>
        </w:rPr>
        <w:t>Alcohol</w:t>
      </w:r>
      <w:r w:rsidRPr="007517B3">
        <w:rPr>
          <w:color w:val="231F20"/>
          <w:spacing w:val="-1"/>
          <w:sz w:val="18"/>
          <w:szCs w:val="18"/>
        </w:rPr>
        <w:t xml:space="preserve"> </w:t>
      </w:r>
      <w:r w:rsidRPr="007517B3">
        <w:rPr>
          <w:color w:val="231F20"/>
          <w:sz w:val="18"/>
          <w:szCs w:val="18"/>
        </w:rPr>
        <w:t>Testing</w:t>
      </w:r>
      <w:r w:rsidRPr="007517B3">
        <w:rPr>
          <w:color w:val="231F20"/>
          <w:spacing w:val="-1"/>
          <w:sz w:val="18"/>
          <w:szCs w:val="18"/>
        </w:rPr>
        <w:t xml:space="preserve"> </w:t>
      </w:r>
      <w:r w:rsidRPr="007517B3">
        <w:rPr>
          <w:color w:val="231F20"/>
          <w:sz w:val="18"/>
          <w:szCs w:val="18"/>
        </w:rPr>
        <w:t>Unit,</w:t>
      </w:r>
      <w:r w:rsidRPr="007517B3">
        <w:rPr>
          <w:color w:val="231F20"/>
          <w:spacing w:val="-1"/>
          <w:sz w:val="18"/>
          <w:szCs w:val="18"/>
        </w:rPr>
        <w:t xml:space="preserve"> </w:t>
      </w:r>
      <w:r w:rsidRPr="007517B3">
        <w:rPr>
          <w:color w:val="231F20"/>
          <w:sz w:val="18"/>
          <w:szCs w:val="18"/>
        </w:rPr>
        <w:t>Human</w:t>
      </w:r>
      <w:r w:rsidRPr="007517B3">
        <w:rPr>
          <w:color w:val="231F20"/>
          <w:spacing w:val="-1"/>
          <w:sz w:val="18"/>
          <w:szCs w:val="18"/>
        </w:rPr>
        <w:t xml:space="preserve"> </w:t>
      </w:r>
      <w:r w:rsidRPr="007517B3">
        <w:rPr>
          <w:color w:val="231F20"/>
          <w:sz w:val="18"/>
          <w:szCs w:val="18"/>
        </w:rPr>
        <w:t>Resource</w:t>
      </w:r>
      <w:r w:rsidRPr="007517B3">
        <w:rPr>
          <w:color w:val="231F20"/>
          <w:spacing w:val="-1"/>
          <w:sz w:val="18"/>
          <w:szCs w:val="18"/>
        </w:rPr>
        <w:t xml:space="preserve"> </w:t>
      </w:r>
      <w:r w:rsidRPr="007517B3">
        <w:rPr>
          <w:color w:val="231F20"/>
          <w:sz w:val="18"/>
          <w:szCs w:val="18"/>
        </w:rPr>
        <w:t>Command.</w:t>
      </w:r>
      <w:r w:rsidRPr="007517B3">
        <w:rPr>
          <w:color w:val="231F20"/>
          <w:spacing w:val="-1"/>
          <w:sz w:val="18"/>
          <w:szCs w:val="18"/>
        </w:rPr>
        <w:t xml:space="preserve"> </w:t>
      </w:r>
      <w:r w:rsidRPr="007517B3">
        <w:rPr>
          <w:color w:val="231F20"/>
          <w:sz w:val="18"/>
          <w:szCs w:val="18"/>
        </w:rPr>
        <w:t>Data</w:t>
      </w:r>
      <w:r w:rsidRPr="007517B3">
        <w:rPr>
          <w:color w:val="231F20"/>
          <w:spacing w:val="-1"/>
          <w:sz w:val="18"/>
          <w:szCs w:val="18"/>
        </w:rPr>
        <w:t xml:space="preserve"> </w:t>
      </w:r>
      <w:r w:rsidRPr="007517B3">
        <w:rPr>
          <w:color w:val="231F20"/>
          <w:sz w:val="18"/>
          <w:szCs w:val="18"/>
        </w:rPr>
        <w:t>extracted</w:t>
      </w:r>
      <w:r w:rsidRPr="007517B3">
        <w:rPr>
          <w:color w:val="231F20"/>
          <w:spacing w:val="-1"/>
          <w:sz w:val="18"/>
          <w:szCs w:val="18"/>
        </w:rPr>
        <w:t xml:space="preserve"> </w:t>
      </w:r>
      <w:r w:rsidRPr="007517B3">
        <w:rPr>
          <w:color w:val="231F20"/>
          <w:sz w:val="18"/>
          <w:szCs w:val="18"/>
        </w:rPr>
        <w:t>18</w:t>
      </w:r>
      <w:r w:rsidRPr="007517B3">
        <w:rPr>
          <w:color w:val="231F20"/>
          <w:spacing w:val="-1"/>
          <w:sz w:val="18"/>
          <w:szCs w:val="18"/>
        </w:rPr>
        <w:t xml:space="preserve"> </w:t>
      </w:r>
      <w:r w:rsidRPr="007517B3">
        <w:rPr>
          <w:color w:val="231F20"/>
          <w:sz w:val="18"/>
          <w:szCs w:val="18"/>
        </w:rPr>
        <w:t>July</w:t>
      </w:r>
      <w:r w:rsidRPr="007517B3">
        <w:rPr>
          <w:color w:val="231F20"/>
          <w:spacing w:val="-1"/>
          <w:sz w:val="18"/>
          <w:szCs w:val="18"/>
        </w:rPr>
        <w:t xml:space="preserve"> </w:t>
      </w:r>
      <w:r w:rsidRPr="007517B3">
        <w:rPr>
          <w:color w:val="231F20"/>
          <w:spacing w:val="-2"/>
          <w:sz w:val="18"/>
          <w:szCs w:val="18"/>
        </w:rPr>
        <w:t>2022.</w:t>
      </w:r>
    </w:p>
    <w:p w14:paraId="3E45660F" w14:textId="77777777" w:rsidR="00345EE3" w:rsidRPr="007517B3" w:rsidRDefault="00345EE3" w:rsidP="00345EE3">
      <w:pPr>
        <w:spacing w:before="27"/>
        <w:ind w:left="110"/>
        <w:rPr>
          <w:rFonts w:ascii="Arial-BoldItalicMT"/>
          <w:b/>
          <w:i/>
          <w:sz w:val="18"/>
          <w:szCs w:val="18"/>
        </w:rPr>
      </w:pPr>
      <w:r w:rsidRPr="007517B3">
        <w:rPr>
          <w:rFonts w:ascii="Arial-BoldItalicMT"/>
          <w:b/>
          <w:i/>
          <w:color w:val="231F20"/>
          <w:spacing w:val="-2"/>
          <w:sz w:val="18"/>
          <w:szCs w:val="18"/>
        </w:rPr>
        <w:t>Notes:</w:t>
      </w:r>
    </w:p>
    <w:p w14:paraId="07692B7D" w14:textId="77777777" w:rsidR="00345EE3" w:rsidRPr="007517B3" w:rsidRDefault="00345EE3">
      <w:pPr>
        <w:pStyle w:val="ListParagraph"/>
        <w:numPr>
          <w:ilvl w:val="0"/>
          <w:numId w:val="79"/>
        </w:numPr>
        <w:tabs>
          <w:tab w:val="left" w:pos="338"/>
        </w:tabs>
        <w:spacing w:before="27"/>
        <w:ind w:right="1057"/>
        <w:rPr>
          <w:sz w:val="18"/>
          <w:szCs w:val="18"/>
        </w:rPr>
      </w:pPr>
      <w:r w:rsidRPr="007517B3">
        <w:rPr>
          <w:color w:val="231F20"/>
          <w:sz w:val="18"/>
          <w:szCs w:val="18"/>
        </w:rPr>
        <w:t>Victoria</w:t>
      </w:r>
      <w:r w:rsidRPr="007517B3">
        <w:rPr>
          <w:color w:val="231F20"/>
          <w:spacing w:val="-1"/>
          <w:sz w:val="18"/>
          <w:szCs w:val="18"/>
        </w:rPr>
        <w:t xml:space="preserve"> </w:t>
      </w:r>
      <w:r w:rsidRPr="007517B3">
        <w:rPr>
          <w:color w:val="231F20"/>
          <w:sz w:val="18"/>
          <w:szCs w:val="18"/>
        </w:rPr>
        <w:t>Police’s</w:t>
      </w:r>
      <w:r w:rsidRPr="007517B3">
        <w:rPr>
          <w:color w:val="231F20"/>
          <w:spacing w:val="-1"/>
          <w:sz w:val="18"/>
          <w:szCs w:val="18"/>
        </w:rPr>
        <w:t xml:space="preserve"> </w:t>
      </w:r>
      <w:r w:rsidRPr="007517B3">
        <w:rPr>
          <w:color w:val="231F20"/>
          <w:sz w:val="18"/>
          <w:szCs w:val="18"/>
        </w:rPr>
        <w:t>drug</w:t>
      </w:r>
      <w:r w:rsidRPr="007517B3">
        <w:rPr>
          <w:color w:val="231F20"/>
          <w:spacing w:val="-1"/>
          <w:sz w:val="18"/>
          <w:szCs w:val="18"/>
        </w:rPr>
        <w:t xml:space="preserve"> </w:t>
      </w:r>
      <w:r w:rsidRPr="007517B3">
        <w:rPr>
          <w:color w:val="231F20"/>
          <w:sz w:val="18"/>
          <w:szCs w:val="18"/>
        </w:rPr>
        <w:t>and</w:t>
      </w:r>
      <w:r w:rsidRPr="007517B3">
        <w:rPr>
          <w:color w:val="231F20"/>
          <w:spacing w:val="-1"/>
          <w:sz w:val="18"/>
          <w:szCs w:val="18"/>
        </w:rPr>
        <w:t xml:space="preserve"> </w:t>
      </w:r>
      <w:r w:rsidRPr="007517B3">
        <w:rPr>
          <w:color w:val="231F20"/>
          <w:sz w:val="18"/>
          <w:szCs w:val="18"/>
        </w:rPr>
        <w:t>alcohol</w:t>
      </w:r>
      <w:r w:rsidRPr="007517B3">
        <w:rPr>
          <w:color w:val="231F20"/>
          <w:spacing w:val="-1"/>
          <w:sz w:val="18"/>
          <w:szCs w:val="18"/>
        </w:rPr>
        <w:t xml:space="preserve"> </w:t>
      </w:r>
      <w:r w:rsidRPr="007517B3">
        <w:rPr>
          <w:color w:val="231F20"/>
          <w:sz w:val="18"/>
          <w:szCs w:val="18"/>
        </w:rPr>
        <w:t>testing</w:t>
      </w:r>
      <w:r w:rsidRPr="007517B3">
        <w:rPr>
          <w:color w:val="231F20"/>
          <w:spacing w:val="-1"/>
          <w:sz w:val="18"/>
          <w:szCs w:val="18"/>
        </w:rPr>
        <w:t xml:space="preserve"> </w:t>
      </w:r>
      <w:r w:rsidRPr="007517B3">
        <w:rPr>
          <w:color w:val="231F20"/>
          <w:sz w:val="18"/>
          <w:szCs w:val="18"/>
        </w:rPr>
        <w:t>numbers</w:t>
      </w:r>
      <w:r w:rsidRPr="007517B3">
        <w:rPr>
          <w:color w:val="231F20"/>
          <w:spacing w:val="-1"/>
          <w:sz w:val="18"/>
          <w:szCs w:val="18"/>
        </w:rPr>
        <w:t xml:space="preserve"> </w:t>
      </w:r>
      <w:r w:rsidRPr="007517B3">
        <w:rPr>
          <w:color w:val="231F20"/>
          <w:sz w:val="18"/>
          <w:szCs w:val="18"/>
        </w:rPr>
        <w:t>have</w:t>
      </w:r>
      <w:r w:rsidRPr="007517B3">
        <w:rPr>
          <w:color w:val="231F20"/>
          <w:spacing w:val="-1"/>
          <w:sz w:val="18"/>
          <w:szCs w:val="18"/>
        </w:rPr>
        <w:t xml:space="preserve"> </w:t>
      </w:r>
      <w:r w:rsidRPr="007517B3">
        <w:rPr>
          <w:color w:val="231F20"/>
          <w:sz w:val="18"/>
          <w:szCs w:val="18"/>
        </w:rPr>
        <w:t>significantly</w:t>
      </w:r>
      <w:r w:rsidRPr="007517B3">
        <w:rPr>
          <w:color w:val="231F20"/>
          <w:spacing w:val="-1"/>
          <w:sz w:val="18"/>
          <w:szCs w:val="18"/>
        </w:rPr>
        <w:t xml:space="preserve"> </w:t>
      </w:r>
      <w:r w:rsidRPr="007517B3">
        <w:rPr>
          <w:color w:val="231F20"/>
          <w:sz w:val="18"/>
          <w:szCs w:val="18"/>
        </w:rPr>
        <w:t>increased</w:t>
      </w:r>
      <w:r w:rsidRPr="007517B3">
        <w:rPr>
          <w:color w:val="231F20"/>
          <w:spacing w:val="-1"/>
          <w:sz w:val="18"/>
          <w:szCs w:val="18"/>
        </w:rPr>
        <w:t xml:space="preserve"> </w:t>
      </w:r>
      <w:r w:rsidRPr="007517B3">
        <w:rPr>
          <w:color w:val="231F20"/>
          <w:sz w:val="18"/>
          <w:szCs w:val="18"/>
        </w:rPr>
        <w:t>from</w:t>
      </w:r>
      <w:r w:rsidRPr="007517B3">
        <w:rPr>
          <w:color w:val="231F20"/>
          <w:spacing w:val="-1"/>
          <w:sz w:val="18"/>
          <w:szCs w:val="18"/>
        </w:rPr>
        <w:t xml:space="preserve"> </w:t>
      </w:r>
      <w:r w:rsidRPr="007517B3">
        <w:rPr>
          <w:color w:val="231F20"/>
          <w:sz w:val="18"/>
          <w:szCs w:val="18"/>
        </w:rPr>
        <w:t>previous</w:t>
      </w:r>
      <w:r w:rsidRPr="007517B3">
        <w:rPr>
          <w:color w:val="231F20"/>
          <w:spacing w:val="-1"/>
          <w:sz w:val="18"/>
          <w:szCs w:val="18"/>
        </w:rPr>
        <w:t xml:space="preserve"> </w:t>
      </w:r>
      <w:r w:rsidRPr="007517B3">
        <w:rPr>
          <w:color w:val="231F20"/>
          <w:sz w:val="18"/>
          <w:szCs w:val="18"/>
        </w:rPr>
        <w:t>years.</w:t>
      </w:r>
      <w:r w:rsidRPr="007517B3">
        <w:rPr>
          <w:color w:val="231F20"/>
          <w:spacing w:val="-1"/>
          <w:sz w:val="18"/>
          <w:szCs w:val="18"/>
        </w:rPr>
        <w:t xml:space="preserve"> </w:t>
      </w:r>
      <w:r w:rsidRPr="007517B3">
        <w:rPr>
          <w:color w:val="231F20"/>
          <w:sz w:val="18"/>
          <w:szCs w:val="18"/>
        </w:rPr>
        <w:t>This</w:t>
      </w:r>
      <w:r w:rsidRPr="007517B3">
        <w:rPr>
          <w:color w:val="231F20"/>
          <w:spacing w:val="-1"/>
          <w:sz w:val="18"/>
          <w:szCs w:val="18"/>
        </w:rPr>
        <w:t xml:space="preserve"> </w:t>
      </w:r>
      <w:r w:rsidRPr="007517B3">
        <w:rPr>
          <w:color w:val="231F20"/>
          <w:sz w:val="18"/>
          <w:szCs w:val="18"/>
        </w:rPr>
        <w:t>is</w:t>
      </w:r>
      <w:r w:rsidRPr="007517B3">
        <w:rPr>
          <w:color w:val="231F20"/>
          <w:spacing w:val="-1"/>
          <w:sz w:val="18"/>
          <w:szCs w:val="18"/>
        </w:rPr>
        <w:t xml:space="preserve"> </w:t>
      </w:r>
      <w:r w:rsidRPr="007517B3">
        <w:rPr>
          <w:color w:val="231F20"/>
          <w:sz w:val="18"/>
          <w:szCs w:val="18"/>
        </w:rPr>
        <w:t>due</w:t>
      </w:r>
      <w:r w:rsidRPr="007517B3">
        <w:rPr>
          <w:color w:val="231F20"/>
          <w:spacing w:val="-1"/>
          <w:sz w:val="18"/>
          <w:szCs w:val="18"/>
        </w:rPr>
        <w:t xml:space="preserve"> </w:t>
      </w:r>
      <w:r w:rsidRPr="007517B3">
        <w:rPr>
          <w:color w:val="231F20"/>
          <w:sz w:val="18"/>
          <w:szCs w:val="18"/>
        </w:rPr>
        <w:t>to</w:t>
      </w:r>
      <w:r w:rsidRPr="007517B3">
        <w:rPr>
          <w:color w:val="231F20"/>
          <w:spacing w:val="-1"/>
          <w:sz w:val="18"/>
          <w:szCs w:val="18"/>
        </w:rPr>
        <w:t xml:space="preserve"> </w:t>
      </w:r>
      <w:r w:rsidRPr="007517B3">
        <w:rPr>
          <w:color w:val="231F20"/>
          <w:sz w:val="18"/>
          <w:szCs w:val="18"/>
        </w:rPr>
        <w:t>an</w:t>
      </w:r>
      <w:r w:rsidRPr="007517B3">
        <w:rPr>
          <w:color w:val="231F20"/>
          <w:spacing w:val="-1"/>
          <w:sz w:val="18"/>
          <w:szCs w:val="18"/>
        </w:rPr>
        <w:t xml:space="preserve"> </w:t>
      </w:r>
      <w:r w:rsidRPr="007517B3">
        <w:rPr>
          <w:color w:val="231F20"/>
          <w:sz w:val="18"/>
          <w:szCs w:val="18"/>
        </w:rPr>
        <w:t>uplift</w:t>
      </w:r>
      <w:r w:rsidRPr="007517B3">
        <w:rPr>
          <w:color w:val="231F20"/>
          <w:spacing w:val="-1"/>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random</w:t>
      </w:r>
      <w:r w:rsidRPr="007517B3">
        <w:rPr>
          <w:color w:val="231F20"/>
          <w:spacing w:val="-1"/>
          <w:sz w:val="18"/>
          <w:szCs w:val="18"/>
        </w:rPr>
        <w:t xml:space="preserve"> </w:t>
      </w:r>
      <w:r w:rsidRPr="007517B3">
        <w:rPr>
          <w:color w:val="231F20"/>
          <w:sz w:val="18"/>
          <w:szCs w:val="18"/>
        </w:rPr>
        <w:t>drug</w:t>
      </w:r>
      <w:r w:rsidRPr="007517B3">
        <w:rPr>
          <w:color w:val="231F20"/>
          <w:spacing w:val="-1"/>
          <w:sz w:val="18"/>
          <w:szCs w:val="18"/>
        </w:rPr>
        <w:t xml:space="preserve"> </w:t>
      </w:r>
      <w:r w:rsidRPr="007517B3">
        <w:rPr>
          <w:color w:val="231F20"/>
          <w:sz w:val="18"/>
          <w:szCs w:val="18"/>
        </w:rPr>
        <w:t>and</w:t>
      </w:r>
      <w:r w:rsidRPr="007517B3">
        <w:rPr>
          <w:color w:val="231F20"/>
          <w:spacing w:val="-1"/>
          <w:sz w:val="18"/>
          <w:szCs w:val="18"/>
        </w:rPr>
        <w:t xml:space="preserve"> </w:t>
      </w:r>
      <w:r w:rsidRPr="007517B3">
        <w:rPr>
          <w:color w:val="231F20"/>
          <w:sz w:val="18"/>
          <w:szCs w:val="18"/>
        </w:rPr>
        <w:t>alcohol</w:t>
      </w:r>
      <w:r w:rsidRPr="007517B3">
        <w:rPr>
          <w:color w:val="231F20"/>
          <w:spacing w:val="-1"/>
          <w:sz w:val="18"/>
          <w:szCs w:val="18"/>
        </w:rPr>
        <w:t xml:space="preserve"> </w:t>
      </w:r>
      <w:r w:rsidRPr="007517B3">
        <w:rPr>
          <w:color w:val="231F20"/>
          <w:sz w:val="18"/>
          <w:szCs w:val="18"/>
        </w:rPr>
        <w:t>testing</w:t>
      </w:r>
      <w:r w:rsidRPr="007517B3">
        <w:rPr>
          <w:color w:val="231F20"/>
          <w:spacing w:val="40"/>
          <w:sz w:val="18"/>
          <w:szCs w:val="18"/>
        </w:rPr>
        <w:t xml:space="preserve"> </w:t>
      </w:r>
      <w:r w:rsidRPr="007517B3">
        <w:rPr>
          <w:color w:val="231F20"/>
          <w:sz w:val="18"/>
          <w:szCs w:val="18"/>
        </w:rPr>
        <w:t>from 5 percent to 30 percent of the organisation following reviews and recommendations by IBAC and Ernst &amp; Young concerning illicit drug use.</w:t>
      </w:r>
    </w:p>
    <w:p w14:paraId="68B60C4F" w14:textId="77777777" w:rsidR="00345EE3" w:rsidRPr="007517B3" w:rsidRDefault="00345EE3">
      <w:pPr>
        <w:pStyle w:val="ListParagraph"/>
        <w:numPr>
          <w:ilvl w:val="0"/>
          <w:numId w:val="79"/>
        </w:numPr>
        <w:tabs>
          <w:tab w:val="left" w:pos="338"/>
        </w:tabs>
        <w:spacing w:before="27"/>
        <w:ind w:right="1069"/>
        <w:rPr>
          <w:sz w:val="18"/>
          <w:szCs w:val="18"/>
        </w:rPr>
      </w:pPr>
      <w:r w:rsidRPr="007517B3">
        <w:rPr>
          <w:color w:val="231F20"/>
          <w:sz w:val="18"/>
          <w:szCs w:val="18"/>
        </w:rPr>
        <w:t>Due</w:t>
      </w:r>
      <w:r w:rsidRPr="007517B3">
        <w:rPr>
          <w:color w:val="231F20"/>
          <w:spacing w:val="-2"/>
          <w:sz w:val="18"/>
          <w:szCs w:val="18"/>
        </w:rPr>
        <w:t xml:space="preserve"> </w:t>
      </w:r>
      <w:r w:rsidRPr="007517B3">
        <w:rPr>
          <w:color w:val="231F20"/>
          <w:sz w:val="18"/>
          <w:szCs w:val="18"/>
        </w:rPr>
        <w:t>to</w:t>
      </w:r>
      <w:r w:rsidRPr="007517B3">
        <w:rPr>
          <w:color w:val="231F20"/>
          <w:spacing w:val="-2"/>
          <w:sz w:val="18"/>
          <w:szCs w:val="18"/>
        </w:rPr>
        <w:t xml:space="preserve"> </w:t>
      </w:r>
      <w:r w:rsidRPr="007517B3">
        <w:rPr>
          <w:color w:val="231F20"/>
          <w:sz w:val="18"/>
          <w:szCs w:val="18"/>
        </w:rPr>
        <w:t>timing</w:t>
      </w:r>
      <w:r w:rsidRPr="007517B3">
        <w:rPr>
          <w:color w:val="231F20"/>
          <w:spacing w:val="-2"/>
          <w:sz w:val="18"/>
          <w:szCs w:val="18"/>
        </w:rPr>
        <w:t xml:space="preserve"> </w:t>
      </w:r>
      <w:r w:rsidRPr="007517B3">
        <w:rPr>
          <w:color w:val="231F20"/>
          <w:sz w:val="18"/>
          <w:szCs w:val="18"/>
        </w:rPr>
        <w:t>of</w:t>
      </w:r>
      <w:r w:rsidRPr="007517B3">
        <w:rPr>
          <w:color w:val="231F20"/>
          <w:spacing w:val="-2"/>
          <w:sz w:val="18"/>
          <w:szCs w:val="18"/>
        </w:rPr>
        <w:t xml:space="preserve"> </w:t>
      </w:r>
      <w:r w:rsidRPr="007517B3">
        <w:rPr>
          <w:color w:val="231F20"/>
          <w:sz w:val="18"/>
          <w:szCs w:val="18"/>
        </w:rPr>
        <w:t>the</w:t>
      </w:r>
      <w:r w:rsidRPr="007517B3">
        <w:rPr>
          <w:color w:val="231F20"/>
          <w:spacing w:val="-2"/>
          <w:sz w:val="18"/>
          <w:szCs w:val="18"/>
        </w:rPr>
        <w:t xml:space="preserve"> </w:t>
      </w:r>
      <w:r w:rsidRPr="007517B3">
        <w:rPr>
          <w:color w:val="231F20"/>
          <w:sz w:val="18"/>
          <w:szCs w:val="18"/>
        </w:rPr>
        <w:t>data</w:t>
      </w:r>
      <w:r w:rsidRPr="007517B3">
        <w:rPr>
          <w:color w:val="231F20"/>
          <w:spacing w:val="-2"/>
          <w:sz w:val="18"/>
          <w:szCs w:val="18"/>
        </w:rPr>
        <w:t xml:space="preserve"> </w:t>
      </w:r>
      <w:r w:rsidRPr="007517B3">
        <w:rPr>
          <w:color w:val="231F20"/>
          <w:sz w:val="18"/>
          <w:szCs w:val="18"/>
        </w:rPr>
        <w:t>being</w:t>
      </w:r>
      <w:r w:rsidRPr="007517B3">
        <w:rPr>
          <w:color w:val="231F20"/>
          <w:spacing w:val="-2"/>
          <w:sz w:val="18"/>
          <w:szCs w:val="18"/>
        </w:rPr>
        <w:t xml:space="preserve"> </w:t>
      </w:r>
      <w:r w:rsidRPr="007517B3">
        <w:rPr>
          <w:color w:val="231F20"/>
          <w:sz w:val="18"/>
          <w:szCs w:val="18"/>
        </w:rPr>
        <w:t>provided</w:t>
      </w:r>
      <w:r w:rsidRPr="007517B3">
        <w:rPr>
          <w:color w:val="231F20"/>
          <w:spacing w:val="-2"/>
          <w:sz w:val="18"/>
          <w:szCs w:val="18"/>
        </w:rPr>
        <w:t xml:space="preserve"> </w:t>
      </w:r>
      <w:r w:rsidRPr="007517B3">
        <w:rPr>
          <w:color w:val="231F20"/>
          <w:sz w:val="18"/>
          <w:szCs w:val="18"/>
        </w:rPr>
        <w:t>for</w:t>
      </w:r>
      <w:r w:rsidRPr="007517B3">
        <w:rPr>
          <w:color w:val="231F20"/>
          <w:spacing w:val="-2"/>
          <w:sz w:val="18"/>
          <w:szCs w:val="18"/>
        </w:rPr>
        <w:t xml:space="preserve"> </w:t>
      </w:r>
      <w:r w:rsidRPr="007517B3">
        <w:rPr>
          <w:color w:val="231F20"/>
          <w:sz w:val="18"/>
          <w:szCs w:val="18"/>
        </w:rPr>
        <w:t>2021–22,</w:t>
      </w:r>
      <w:r w:rsidRPr="007517B3">
        <w:rPr>
          <w:color w:val="231F20"/>
          <w:spacing w:val="-2"/>
          <w:sz w:val="18"/>
          <w:szCs w:val="18"/>
        </w:rPr>
        <w:t xml:space="preserve"> </w:t>
      </w:r>
      <w:r w:rsidRPr="007517B3">
        <w:rPr>
          <w:color w:val="231F20"/>
          <w:sz w:val="18"/>
          <w:szCs w:val="18"/>
        </w:rPr>
        <w:t>two</w:t>
      </w:r>
      <w:r w:rsidRPr="007517B3">
        <w:rPr>
          <w:color w:val="231F20"/>
          <w:spacing w:val="-2"/>
          <w:sz w:val="18"/>
          <w:szCs w:val="18"/>
        </w:rPr>
        <w:t xml:space="preserve"> </w:t>
      </w:r>
      <w:r w:rsidRPr="007517B3">
        <w:rPr>
          <w:color w:val="231F20"/>
          <w:sz w:val="18"/>
          <w:szCs w:val="18"/>
        </w:rPr>
        <w:t>persons</w:t>
      </w:r>
      <w:r w:rsidRPr="007517B3">
        <w:rPr>
          <w:color w:val="231F20"/>
          <w:spacing w:val="-2"/>
          <w:sz w:val="18"/>
          <w:szCs w:val="18"/>
        </w:rPr>
        <w:t xml:space="preserve"> </w:t>
      </w:r>
      <w:r w:rsidRPr="007517B3">
        <w:rPr>
          <w:color w:val="231F20"/>
          <w:sz w:val="18"/>
          <w:szCs w:val="18"/>
        </w:rPr>
        <w:t>that</w:t>
      </w:r>
      <w:r w:rsidRPr="007517B3">
        <w:rPr>
          <w:color w:val="231F20"/>
          <w:spacing w:val="-2"/>
          <w:sz w:val="18"/>
          <w:szCs w:val="18"/>
        </w:rPr>
        <w:t xml:space="preserve"> </w:t>
      </w:r>
      <w:r w:rsidRPr="007517B3">
        <w:rPr>
          <w:color w:val="231F20"/>
          <w:sz w:val="18"/>
          <w:szCs w:val="18"/>
        </w:rPr>
        <w:t>were</w:t>
      </w:r>
      <w:r w:rsidRPr="007517B3">
        <w:rPr>
          <w:color w:val="231F20"/>
          <w:spacing w:val="-2"/>
          <w:sz w:val="18"/>
          <w:szCs w:val="18"/>
        </w:rPr>
        <w:t xml:space="preserve"> </w:t>
      </w:r>
      <w:r w:rsidRPr="007517B3">
        <w:rPr>
          <w:color w:val="231F20"/>
          <w:sz w:val="18"/>
          <w:szCs w:val="18"/>
        </w:rPr>
        <w:t>tested,</w:t>
      </w:r>
      <w:r w:rsidRPr="007517B3">
        <w:rPr>
          <w:color w:val="231F20"/>
          <w:spacing w:val="-2"/>
          <w:sz w:val="18"/>
          <w:szCs w:val="18"/>
        </w:rPr>
        <w:t xml:space="preserve"> </w:t>
      </w:r>
      <w:r w:rsidRPr="007517B3">
        <w:rPr>
          <w:color w:val="231F20"/>
          <w:sz w:val="18"/>
          <w:szCs w:val="18"/>
        </w:rPr>
        <w:t>and</w:t>
      </w:r>
      <w:r w:rsidRPr="007517B3">
        <w:rPr>
          <w:color w:val="231F20"/>
          <w:spacing w:val="-2"/>
          <w:sz w:val="18"/>
          <w:szCs w:val="18"/>
        </w:rPr>
        <w:t xml:space="preserve"> </w:t>
      </w:r>
      <w:r w:rsidRPr="007517B3">
        <w:rPr>
          <w:color w:val="231F20"/>
          <w:sz w:val="18"/>
          <w:szCs w:val="18"/>
        </w:rPr>
        <w:t>the</w:t>
      </w:r>
      <w:r w:rsidRPr="007517B3">
        <w:rPr>
          <w:color w:val="231F20"/>
          <w:spacing w:val="-2"/>
          <w:sz w:val="18"/>
          <w:szCs w:val="18"/>
        </w:rPr>
        <w:t xml:space="preserve"> </w:t>
      </w:r>
      <w:r w:rsidRPr="007517B3">
        <w:rPr>
          <w:color w:val="231F20"/>
          <w:sz w:val="18"/>
          <w:szCs w:val="18"/>
        </w:rPr>
        <w:t>number</w:t>
      </w:r>
      <w:r w:rsidRPr="007517B3">
        <w:rPr>
          <w:color w:val="231F20"/>
          <w:spacing w:val="-2"/>
          <w:sz w:val="18"/>
          <w:szCs w:val="18"/>
        </w:rPr>
        <w:t xml:space="preserve"> </w:t>
      </w:r>
      <w:r w:rsidRPr="007517B3">
        <w:rPr>
          <w:color w:val="231F20"/>
          <w:sz w:val="18"/>
          <w:szCs w:val="18"/>
        </w:rPr>
        <w:t>of</w:t>
      </w:r>
      <w:r w:rsidRPr="007517B3">
        <w:rPr>
          <w:color w:val="231F20"/>
          <w:spacing w:val="-2"/>
          <w:sz w:val="18"/>
          <w:szCs w:val="18"/>
        </w:rPr>
        <w:t xml:space="preserve"> </w:t>
      </w:r>
      <w:r w:rsidRPr="007517B3">
        <w:rPr>
          <w:color w:val="231F20"/>
          <w:sz w:val="18"/>
          <w:szCs w:val="18"/>
        </w:rPr>
        <w:t>samples</w:t>
      </w:r>
      <w:r w:rsidRPr="007517B3">
        <w:rPr>
          <w:color w:val="231F20"/>
          <w:spacing w:val="-2"/>
          <w:sz w:val="18"/>
          <w:szCs w:val="18"/>
        </w:rPr>
        <w:t xml:space="preserve"> </w:t>
      </w:r>
      <w:r w:rsidRPr="007517B3">
        <w:rPr>
          <w:color w:val="231F20"/>
          <w:sz w:val="18"/>
          <w:szCs w:val="18"/>
        </w:rPr>
        <w:t>taken</w:t>
      </w:r>
      <w:r w:rsidRPr="007517B3">
        <w:rPr>
          <w:color w:val="231F20"/>
          <w:spacing w:val="-2"/>
          <w:sz w:val="18"/>
          <w:szCs w:val="18"/>
        </w:rPr>
        <w:t xml:space="preserve"> </w:t>
      </w:r>
      <w:r w:rsidRPr="007517B3">
        <w:rPr>
          <w:color w:val="231F20"/>
          <w:sz w:val="18"/>
          <w:szCs w:val="18"/>
        </w:rPr>
        <w:t>are</w:t>
      </w:r>
      <w:r w:rsidRPr="007517B3">
        <w:rPr>
          <w:color w:val="231F20"/>
          <w:spacing w:val="-2"/>
          <w:sz w:val="18"/>
          <w:szCs w:val="18"/>
        </w:rPr>
        <w:t xml:space="preserve"> </w:t>
      </w:r>
      <w:r w:rsidRPr="007517B3">
        <w:rPr>
          <w:color w:val="231F20"/>
          <w:sz w:val="18"/>
          <w:szCs w:val="18"/>
        </w:rPr>
        <w:t>included</w:t>
      </w:r>
      <w:r w:rsidRPr="007517B3">
        <w:rPr>
          <w:color w:val="231F20"/>
          <w:spacing w:val="-2"/>
          <w:sz w:val="18"/>
          <w:szCs w:val="18"/>
        </w:rPr>
        <w:t xml:space="preserve"> </w:t>
      </w:r>
      <w:r w:rsidRPr="007517B3">
        <w:rPr>
          <w:color w:val="231F20"/>
          <w:sz w:val="18"/>
          <w:szCs w:val="18"/>
        </w:rPr>
        <w:t>in</w:t>
      </w:r>
      <w:r w:rsidRPr="007517B3">
        <w:rPr>
          <w:color w:val="231F20"/>
          <w:spacing w:val="-2"/>
          <w:sz w:val="18"/>
          <w:szCs w:val="18"/>
        </w:rPr>
        <w:t xml:space="preserve"> </w:t>
      </w:r>
      <w:r w:rsidRPr="007517B3">
        <w:rPr>
          <w:color w:val="231F20"/>
          <w:sz w:val="18"/>
          <w:szCs w:val="18"/>
        </w:rPr>
        <w:t>the</w:t>
      </w:r>
      <w:r w:rsidRPr="007517B3">
        <w:rPr>
          <w:color w:val="231F20"/>
          <w:spacing w:val="-2"/>
          <w:sz w:val="18"/>
          <w:szCs w:val="18"/>
        </w:rPr>
        <w:t xml:space="preserve"> </w:t>
      </w:r>
      <w:r w:rsidRPr="007517B3">
        <w:rPr>
          <w:color w:val="231F20"/>
          <w:sz w:val="18"/>
          <w:szCs w:val="18"/>
        </w:rPr>
        <w:t>data.</w:t>
      </w:r>
      <w:r w:rsidRPr="007517B3">
        <w:rPr>
          <w:color w:val="231F20"/>
          <w:spacing w:val="-2"/>
          <w:sz w:val="18"/>
          <w:szCs w:val="18"/>
        </w:rPr>
        <w:t xml:space="preserve"> </w:t>
      </w:r>
      <w:r w:rsidRPr="007517B3">
        <w:rPr>
          <w:color w:val="231F20"/>
          <w:sz w:val="18"/>
          <w:szCs w:val="18"/>
        </w:rPr>
        <w:t>However,</w:t>
      </w:r>
      <w:r w:rsidRPr="007517B3">
        <w:rPr>
          <w:color w:val="231F20"/>
          <w:spacing w:val="-2"/>
          <w:sz w:val="18"/>
          <w:szCs w:val="18"/>
        </w:rPr>
        <w:t xml:space="preserve"> </w:t>
      </w:r>
      <w:r w:rsidRPr="007517B3">
        <w:rPr>
          <w:color w:val="231F20"/>
          <w:sz w:val="18"/>
          <w:szCs w:val="18"/>
        </w:rPr>
        <w:t>their</w:t>
      </w:r>
      <w:r w:rsidRPr="007517B3">
        <w:rPr>
          <w:color w:val="231F20"/>
          <w:spacing w:val="40"/>
          <w:sz w:val="18"/>
          <w:szCs w:val="18"/>
        </w:rPr>
        <w:t xml:space="preserve"> </w:t>
      </w:r>
      <w:r w:rsidRPr="007517B3">
        <w:rPr>
          <w:color w:val="231F20"/>
          <w:sz w:val="18"/>
          <w:szCs w:val="18"/>
        </w:rPr>
        <w:t>test results are pending and are not included in the data.</w:t>
      </w:r>
    </w:p>
    <w:p w14:paraId="2B0331DB" w14:textId="77777777" w:rsidR="00345EE3" w:rsidRDefault="00345EE3" w:rsidP="00345EE3">
      <w:pPr>
        <w:rPr>
          <w:sz w:val="20"/>
          <w:szCs w:val="24"/>
        </w:rPr>
      </w:pPr>
      <w:r>
        <w:rPr>
          <w:sz w:val="20"/>
        </w:rPr>
        <w:br w:type="page"/>
      </w:r>
    </w:p>
    <w:p w14:paraId="349C5B67" w14:textId="77777777" w:rsidR="00345EE3" w:rsidRDefault="00345EE3" w:rsidP="00345EE3">
      <w:pPr>
        <w:pStyle w:val="Heading4"/>
        <w:rPr>
          <w:rFonts w:ascii="Arial"/>
          <w:i w:val="0"/>
        </w:rPr>
      </w:pPr>
      <w:r>
        <w:rPr>
          <w:color w:val="3D68AD"/>
          <w:spacing w:val="-2"/>
        </w:rPr>
        <w:t>Control</w:t>
      </w:r>
      <w:r>
        <w:rPr>
          <w:color w:val="3D68AD"/>
          <w:spacing w:val="-14"/>
        </w:rPr>
        <w:t xml:space="preserve"> </w:t>
      </w:r>
      <w:r>
        <w:rPr>
          <w:color w:val="3D68AD"/>
          <w:spacing w:val="-2"/>
        </w:rPr>
        <w:t>of</w:t>
      </w:r>
      <w:r>
        <w:rPr>
          <w:color w:val="3D68AD"/>
          <w:spacing w:val="-13"/>
        </w:rPr>
        <w:t xml:space="preserve"> </w:t>
      </w:r>
      <w:r>
        <w:rPr>
          <w:color w:val="3D68AD"/>
          <w:spacing w:val="-2"/>
        </w:rPr>
        <w:t>Weapons</w:t>
      </w:r>
      <w:r>
        <w:rPr>
          <w:color w:val="3D68AD"/>
          <w:spacing w:val="-13"/>
        </w:rPr>
        <w:t xml:space="preserve"> </w:t>
      </w:r>
      <w:r>
        <w:rPr>
          <w:color w:val="3D68AD"/>
          <w:spacing w:val="-2"/>
        </w:rPr>
        <w:t>Act</w:t>
      </w:r>
      <w:r>
        <w:rPr>
          <w:color w:val="3D68AD"/>
          <w:spacing w:val="-13"/>
        </w:rPr>
        <w:t xml:space="preserve"> </w:t>
      </w:r>
      <w:r>
        <w:rPr>
          <w:rFonts w:ascii="Arial"/>
          <w:i w:val="0"/>
          <w:color w:val="3D68AD"/>
          <w:spacing w:val="-4"/>
        </w:rPr>
        <w:t>1990</w:t>
      </w:r>
    </w:p>
    <w:p w14:paraId="6D6B44C6" w14:textId="77777777" w:rsidR="00345EE3" w:rsidRDefault="00345EE3" w:rsidP="00345EE3">
      <w:pPr>
        <w:pStyle w:val="Heading5"/>
        <w:spacing w:before="109"/>
      </w:pPr>
      <w:r>
        <w:rPr>
          <w:color w:val="58595B"/>
        </w:rPr>
        <w:t xml:space="preserve">Section </w:t>
      </w:r>
      <w:r>
        <w:rPr>
          <w:color w:val="58595B"/>
          <w:spacing w:val="-5"/>
        </w:rPr>
        <w:t>10B</w:t>
      </w:r>
    </w:p>
    <w:p w14:paraId="473A4F46" w14:textId="77777777" w:rsidR="00345EE3" w:rsidRDefault="00345EE3" w:rsidP="00404045">
      <w:pPr>
        <w:pStyle w:val="BodyText"/>
        <w:spacing w:before="4" w:line="242" w:lineRule="auto"/>
        <w:ind w:left="142" w:right="921"/>
      </w:pPr>
      <w:r>
        <w:rPr>
          <w:color w:val="231F20"/>
        </w:rPr>
        <w:t>Section</w:t>
      </w:r>
      <w:r>
        <w:rPr>
          <w:color w:val="231F20"/>
          <w:spacing w:val="-4"/>
        </w:rPr>
        <w:t xml:space="preserve"> </w:t>
      </w:r>
      <w:r>
        <w:rPr>
          <w:color w:val="231F20"/>
        </w:rPr>
        <w:t>10B</w:t>
      </w:r>
      <w:r>
        <w:rPr>
          <w:color w:val="231F20"/>
          <w:spacing w:val="-3"/>
        </w:rPr>
        <w:t xml:space="preserve"> </w:t>
      </w:r>
      <w:r>
        <w:rPr>
          <w:color w:val="231F20"/>
        </w:rPr>
        <w:t>of</w:t>
      </w:r>
      <w:r>
        <w:rPr>
          <w:color w:val="231F20"/>
          <w:spacing w:val="-3"/>
        </w:rPr>
        <w:t xml:space="preserve"> </w:t>
      </w:r>
      <w:r>
        <w:rPr>
          <w:color w:val="231F20"/>
        </w:rPr>
        <w:t>the</w:t>
      </w:r>
      <w:r>
        <w:rPr>
          <w:color w:val="231F20"/>
          <w:spacing w:val="-4"/>
        </w:rPr>
        <w:t xml:space="preserve"> </w:t>
      </w:r>
      <w:r>
        <w:rPr>
          <w:i/>
          <w:color w:val="231F20"/>
        </w:rPr>
        <w:t>Control</w:t>
      </w:r>
      <w:r>
        <w:rPr>
          <w:i/>
          <w:color w:val="231F20"/>
          <w:spacing w:val="-12"/>
        </w:rPr>
        <w:t xml:space="preserve"> </w:t>
      </w:r>
      <w:r>
        <w:rPr>
          <w:i/>
          <w:color w:val="231F20"/>
        </w:rPr>
        <w:t>of</w:t>
      </w:r>
      <w:r>
        <w:rPr>
          <w:i/>
          <w:color w:val="231F20"/>
          <w:spacing w:val="-12"/>
        </w:rPr>
        <w:t xml:space="preserve"> </w:t>
      </w:r>
      <w:r>
        <w:rPr>
          <w:i/>
          <w:color w:val="231F20"/>
        </w:rPr>
        <w:t>Weapons</w:t>
      </w:r>
      <w:r>
        <w:rPr>
          <w:i/>
          <w:color w:val="231F20"/>
          <w:spacing w:val="-12"/>
        </w:rPr>
        <w:t xml:space="preserve"> </w:t>
      </w:r>
      <w:r>
        <w:rPr>
          <w:i/>
          <w:color w:val="231F20"/>
        </w:rPr>
        <w:t>Act</w:t>
      </w:r>
      <w:r>
        <w:rPr>
          <w:i/>
          <w:color w:val="231F20"/>
          <w:spacing w:val="-8"/>
        </w:rPr>
        <w:t xml:space="preserve"> </w:t>
      </w:r>
      <w:r>
        <w:rPr>
          <w:color w:val="231F20"/>
        </w:rPr>
        <w:t>1990</w:t>
      </w:r>
      <w:r>
        <w:rPr>
          <w:color w:val="231F20"/>
          <w:spacing w:val="-4"/>
        </w:rPr>
        <w:t xml:space="preserve"> </w:t>
      </w:r>
      <w:r>
        <w:rPr>
          <w:color w:val="231F20"/>
        </w:rPr>
        <w:t>states</w:t>
      </w:r>
      <w:r>
        <w:rPr>
          <w:color w:val="231F20"/>
          <w:spacing w:val="-3"/>
        </w:rPr>
        <w:t xml:space="preserve"> </w:t>
      </w:r>
      <w:r>
        <w:rPr>
          <w:color w:val="231F20"/>
        </w:rPr>
        <w:t>that</w:t>
      </w:r>
      <w:r>
        <w:rPr>
          <w:color w:val="231F20"/>
          <w:spacing w:val="-3"/>
        </w:rPr>
        <w:t xml:space="preserve"> </w:t>
      </w:r>
      <w:r>
        <w:rPr>
          <w:color w:val="231F20"/>
        </w:rPr>
        <w:t>the</w:t>
      </w:r>
      <w:r>
        <w:rPr>
          <w:color w:val="231F20"/>
          <w:spacing w:val="-4"/>
        </w:rPr>
        <w:t xml:space="preserve"> </w:t>
      </w:r>
      <w:r>
        <w:rPr>
          <w:color w:val="231F20"/>
        </w:rPr>
        <w:t>Chief</w:t>
      </w:r>
      <w:r>
        <w:rPr>
          <w:color w:val="231F20"/>
          <w:spacing w:val="-3"/>
        </w:rPr>
        <w:t xml:space="preserve"> </w:t>
      </w:r>
      <w:r>
        <w:rPr>
          <w:color w:val="231F20"/>
        </w:rPr>
        <w:t>Commissioner</w:t>
      </w:r>
      <w:r>
        <w:rPr>
          <w:color w:val="231F20"/>
          <w:spacing w:val="-3"/>
        </w:rPr>
        <w:t xml:space="preserve"> </w:t>
      </w:r>
      <w:r>
        <w:rPr>
          <w:color w:val="231F20"/>
        </w:rPr>
        <w:t>of</w:t>
      </w:r>
      <w:r>
        <w:rPr>
          <w:color w:val="231F20"/>
          <w:spacing w:val="-3"/>
        </w:rPr>
        <w:t xml:space="preserve"> </w:t>
      </w:r>
      <w:r>
        <w:rPr>
          <w:color w:val="231F20"/>
        </w:rPr>
        <w:t>Police must</w:t>
      </w:r>
      <w:r>
        <w:rPr>
          <w:color w:val="231F20"/>
          <w:spacing w:val="-7"/>
        </w:rPr>
        <w:t xml:space="preserve"> </w:t>
      </w:r>
      <w:r>
        <w:rPr>
          <w:color w:val="231F20"/>
        </w:rPr>
        <w:t>provide</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Minister,</w:t>
      </w:r>
      <w:r>
        <w:rPr>
          <w:color w:val="231F20"/>
          <w:spacing w:val="-7"/>
        </w:rPr>
        <w:t xml:space="preserve"> </w:t>
      </w:r>
      <w:r>
        <w:rPr>
          <w:color w:val="231F20"/>
        </w:rPr>
        <w:t>for</w:t>
      </w:r>
      <w:r>
        <w:rPr>
          <w:color w:val="231F20"/>
          <w:spacing w:val="-7"/>
        </w:rPr>
        <w:t xml:space="preserve"> </w:t>
      </w:r>
      <w:r>
        <w:rPr>
          <w:color w:val="231F20"/>
        </w:rPr>
        <w:t>inclusion</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annual</w:t>
      </w:r>
      <w:r>
        <w:rPr>
          <w:color w:val="231F20"/>
          <w:spacing w:val="-8"/>
        </w:rPr>
        <w:t xml:space="preserve"> </w:t>
      </w:r>
      <w:r>
        <w:rPr>
          <w:color w:val="231F20"/>
        </w:rPr>
        <w:t>report</w:t>
      </w:r>
      <w:r>
        <w:rPr>
          <w:color w:val="231F20"/>
          <w:spacing w:val="-7"/>
        </w:rPr>
        <w:t xml:space="preserve"> </w:t>
      </w:r>
      <w:r>
        <w:rPr>
          <w:color w:val="231F20"/>
        </w:rPr>
        <w:t>of</w:t>
      </w:r>
      <w:r>
        <w:rPr>
          <w:color w:val="231F20"/>
          <w:spacing w:val="-7"/>
        </w:rPr>
        <w:t xml:space="preserve"> </w:t>
      </w:r>
      <w:r>
        <w:rPr>
          <w:color w:val="231F20"/>
        </w:rPr>
        <w:t>operations</w:t>
      </w:r>
      <w:r>
        <w:rPr>
          <w:color w:val="231F20"/>
          <w:spacing w:val="-7"/>
        </w:rPr>
        <w:t xml:space="preserve"> </w:t>
      </w:r>
      <w:r>
        <w:rPr>
          <w:color w:val="231F20"/>
        </w:rPr>
        <w:t>under</w:t>
      </w:r>
      <w:r>
        <w:rPr>
          <w:color w:val="231F20"/>
          <w:spacing w:val="-7"/>
        </w:rPr>
        <w:t xml:space="preserve"> </w:t>
      </w:r>
      <w:r>
        <w:rPr>
          <w:color w:val="231F20"/>
        </w:rPr>
        <w:t>Part</w:t>
      </w:r>
      <w:r>
        <w:rPr>
          <w:color w:val="231F20"/>
          <w:spacing w:val="-7"/>
        </w:rPr>
        <w:t xml:space="preserve"> </w:t>
      </w:r>
      <w:r>
        <w:rPr>
          <w:color w:val="231F20"/>
        </w:rPr>
        <w:t>7</w:t>
      </w:r>
      <w:r>
        <w:rPr>
          <w:color w:val="231F20"/>
          <w:spacing w:val="-8"/>
        </w:rPr>
        <w:t xml:space="preserve"> </w:t>
      </w:r>
      <w:r>
        <w:rPr>
          <w:color w:val="231F20"/>
        </w:rPr>
        <w:t>of</w:t>
      </w:r>
      <w:r>
        <w:rPr>
          <w:color w:val="231F20"/>
          <w:spacing w:val="-7"/>
        </w:rPr>
        <w:t xml:space="preserve"> </w:t>
      </w:r>
      <w:r>
        <w:rPr>
          <w:color w:val="231F20"/>
        </w:rPr>
        <w:t xml:space="preserve">the </w:t>
      </w:r>
      <w:r>
        <w:rPr>
          <w:i/>
          <w:color w:val="231F20"/>
        </w:rPr>
        <w:t>Financial</w:t>
      </w:r>
      <w:r>
        <w:rPr>
          <w:i/>
          <w:color w:val="231F20"/>
          <w:spacing w:val="-9"/>
        </w:rPr>
        <w:t xml:space="preserve"> </w:t>
      </w:r>
      <w:r>
        <w:rPr>
          <w:i/>
          <w:color w:val="231F20"/>
        </w:rPr>
        <w:t>Management</w:t>
      </w:r>
      <w:r>
        <w:rPr>
          <w:i/>
          <w:color w:val="231F20"/>
          <w:spacing w:val="-9"/>
        </w:rPr>
        <w:t xml:space="preserve"> </w:t>
      </w:r>
      <w:r>
        <w:rPr>
          <w:i/>
          <w:color w:val="231F20"/>
        </w:rPr>
        <w:t>Act</w:t>
      </w:r>
      <w:r>
        <w:rPr>
          <w:i/>
          <w:color w:val="231F20"/>
          <w:spacing w:val="-9"/>
        </w:rPr>
        <w:t xml:space="preserve"> </w:t>
      </w:r>
      <w:r>
        <w:rPr>
          <w:color w:val="231F20"/>
        </w:rPr>
        <w:t>1994, a</w:t>
      </w:r>
      <w:r>
        <w:rPr>
          <w:color w:val="231F20"/>
          <w:spacing w:val="-1"/>
        </w:rPr>
        <w:t xml:space="preserve"> </w:t>
      </w:r>
      <w:r>
        <w:rPr>
          <w:color w:val="231F20"/>
        </w:rPr>
        <w:t>report on</w:t>
      </w:r>
      <w:r>
        <w:rPr>
          <w:color w:val="231F20"/>
          <w:spacing w:val="-1"/>
        </w:rPr>
        <w:t xml:space="preserve"> </w:t>
      </w:r>
      <w:r>
        <w:rPr>
          <w:color w:val="231F20"/>
        </w:rPr>
        <w:t>searches without warrant.</w:t>
      </w:r>
    </w:p>
    <w:p w14:paraId="23000746" w14:textId="77777777" w:rsidR="00345EE3" w:rsidRDefault="00345EE3" w:rsidP="00345EE3">
      <w:pPr>
        <w:spacing w:before="124" w:after="120"/>
        <w:ind w:left="110"/>
        <w:rPr>
          <w:rFonts w:ascii="Arial-BoldItalicMT"/>
          <w:b/>
          <w:i/>
          <w:color w:val="231F20"/>
          <w:spacing w:val="-5"/>
          <w:sz w:val="18"/>
        </w:rPr>
      </w:pPr>
      <w:r>
        <w:rPr>
          <w:color w:val="231F20"/>
          <w:sz w:val="18"/>
        </w:rPr>
        <w:t>Table</w:t>
      </w:r>
      <w:r>
        <w:rPr>
          <w:color w:val="231F20"/>
          <w:spacing w:val="-8"/>
          <w:sz w:val="18"/>
        </w:rPr>
        <w:t xml:space="preserve"> </w:t>
      </w:r>
      <w:r>
        <w:rPr>
          <w:color w:val="231F20"/>
          <w:sz w:val="18"/>
        </w:rPr>
        <w:t>5.8:</w:t>
      </w:r>
      <w:r>
        <w:rPr>
          <w:color w:val="231F20"/>
          <w:spacing w:val="-7"/>
          <w:sz w:val="18"/>
        </w:rPr>
        <w:t xml:space="preserve"> </w:t>
      </w:r>
      <w:r>
        <w:rPr>
          <w:rFonts w:ascii="Arial-BoldItalicMT"/>
          <w:b/>
          <w:i/>
          <w:color w:val="231F20"/>
          <w:sz w:val="18"/>
        </w:rPr>
        <w:t>Total</w:t>
      </w:r>
      <w:r>
        <w:rPr>
          <w:rFonts w:ascii="Arial-BoldItalicMT"/>
          <w:b/>
          <w:i/>
          <w:color w:val="231F20"/>
          <w:spacing w:val="-8"/>
          <w:sz w:val="18"/>
        </w:rPr>
        <w:t xml:space="preserve"> </w:t>
      </w:r>
      <w:r>
        <w:rPr>
          <w:rFonts w:ascii="Arial-BoldItalicMT"/>
          <w:b/>
          <w:i/>
          <w:color w:val="231F20"/>
          <w:sz w:val="18"/>
        </w:rPr>
        <w:t>number</w:t>
      </w:r>
      <w:r>
        <w:rPr>
          <w:rFonts w:ascii="Arial-BoldItalicMT"/>
          <w:b/>
          <w:i/>
          <w:color w:val="231F20"/>
          <w:spacing w:val="-9"/>
          <w:sz w:val="18"/>
        </w:rPr>
        <w:t xml:space="preserve"> </w:t>
      </w:r>
      <w:r>
        <w:rPr>
          <w:rFonts w:ascii="Arial-BoldItalicMT"/>
          <w:b/>
          <w:i/>
          <w:color w:val="231F20"/>
          <w:sz w:val="18"/>
        </w:rPr>
        <w:t>of</w:t>
      </w:r>
      <w:r>
        <w:rPr>
          <w:rFonts w:ascii="Arial-BoldItalicMT"/>
          <w:b/>
          <w:i/>
          <w:color w:val="231F20"/>
          <w:spacing w:val="-9"/>
          <w:sz w:val="18"/>
        </w:rPr>
        <w:t xml:space="preserve"> </w:t>
      </w:r>
      <w:r>
        <w:rPr>
          <w:rFonts w:ascii="Arial-BoldItalicMT"/>
          <w:b/>
          <w:i/>
          <w:color w:val="231F20"/>
          <w:sz w:val="18"/>
        </w:rPr>
        <w:t>Searches</w:t>
      </w:r>
      <w:r>
        <w:rPr>
          <w:rFonts w:ascii="Arial-BoldItalicMT"/>
          <w:b/>
          <w:i/>
          <w:color w:val="231F20"/>
          <w:spacing w:val="-8"/>
          <w:sz w:val="18"/>
        </w:rPr>
        <w:t xml:space="preserve"> </w:t>
      </w:r>
      <w:r>
        <w:rPr>
          <w:rFonts w:ascii="Arial-BoldItalicMT"/>
          <w:b/>
          <w:i/>
          <w:color w:val="231F20"/>
          <w:sz w:val="18"/>
        </w:rPr>
        <w:t>Without</w:t>
      </w:r>
      <w:r>
        <w:rPr>
          <w:rFonts w:ascii="Arial-BoldItalicMT"/>
          <w:b/>
          <w:i/>
          <w:color w:val="231F20"/>
          <w:spacing w:val="-9"/>
          <w:sz w:val="18"/>
        </w:rPr>
        <w:t xml:space="preserve"> </w:t>
      </w:r>
      <w:r>
        <w:rPr>
          <w:rFonts w:ascii="Arial-BoldItalicMT"/>
          <w:b/>
          <w:i/>
          <w:color w:val="231F20"/>
          <w:sz w:val="18"/>
        </w:rPr>
        <w:t>Warrant</w:t>
      </w:r>
      <w:r>
        <w:rPr>
          <w:rFonts w:ascii="Arial-BoldItalicMT"/>
          <w:b/>
          <w:i/>
          <w:color w:val="231F20"/>
          <w:spacing w:val="-9"/>
          <w:sz w:val="18"/>
        </w:rPr>
        <w:t xml:space="preserve"> </w:t>
      </w:r>
      <w:r>
        <w:rPr>
          <w:rFonts w:ascii="Arial-BoldItalicMT"/>
          <w:b/>
          <w:i/>
          <w:color w:val="231F20"/>
          <w:sz w:val="18"/>
        </w:rPr>
        <w:t>under</w:t>
      </w:r>
      <w:r>
        <w:rPr>
          <w:rFonts w:ascii="Arial-BoldItalicMT"/>
          <w:b/>
          <w:i/>
          <w:color w:val="231F20"/>
          <w:spacing w:val="-8"/>
          <w:sz w:val="18"/>
        </w:rPr>
        <w:t xml:space="preserve"> </w:t>
      </w:r>
      <w:r>
        <w:rPr>
          <w:rFonts w:ascii="Arial-BoldItalicMT"/>
          <w:b/>
          <w:i/>
          <w:color w:val="231F20"/>
          <w:sz w:val="18"/>
        </w:rPr>
        <w:t>section</w:t>
      </w:r>
      <w:r>
        <w:rPr>
          <w:rFonts w:ascii="Arial-BoldItalicMT"/>
          <w:b/>
          <w:i/>
          <w:color w:val="231F20"/>
          <w:spacing w:val="-9"/>
          <w:sz w:val="18"/>
        </w:rPr>
        <w:t xml:space="preserve"> </w:t>
      </w:r>
      <w:r>
        <w:rPr>
          <w:rFonts w:ascii="Arial-BoldItalicMT"/>
          <w:b/>
          <w:i/>
          <w:color w:val="231F20"/>
          <w:sz w:val="18"/>
        </w:rPr>
        <w:t>10B</w:t>
      </w:r>
      <w:r>
        <w:rPr>
          <w:rFonts w:ascii="Arial-BoldItalicMT"/>
          <w:b/>
          <w:i/>
          <w:color w:val="231F20"/>
          <w:spacing w:val="-9"/>
          <w:sz w:val="18"/>
        </w:rPr>
        <w:t xml:space="preserve"> </w:t>
      </w:r>
      <w:r>
        <w:rPr>
          <w:rFonts w:ascii="Arial-BoldItalicMT"/>
          <w:b/>
          <w:i/>
          <w:color w:val="231F20"/>
          <w:sz w:val="18"/>
        </w:rPr>
        <w:t>and</w:t>
      </w:r>
      <w:r>
        <w:rPr>
          <w:rFonts w:ascii="Arial-BoldItalicMT"/>
          <w:b/>
          <w:i/>
          <w:color w:val="231F20"/>
          <w:spacing w:val="-8"/>
          <w:sz w:val="18"/>
        </w:rPr>
        <w:t xml:space="preserve"> </w:t>
      </w:r>
      <w:r>
        <w:rPr>
          <w:rFonts w:ascii="Arial-BoldItalicMT"/>
          <w:b/>
          <w:i/>
          <w:color w:val="231F20"/>
          <w:spacing w:val="-5"/>
          <w:sz w:val="18"/>
        </w:rPr>
        <w:t>10G</w:t>
      </w:r>
    </w:p>
    <w:tbl>
      <w:tblPr>
        <w:tblW w:w="0" w:type="auto"/>
        <w:tblInd w:w="156" w:type="dxa"/>
        <w:tblLayout w:type="fixed"/>
        <w:tblCellMar>
          <w:left w:w="0" w:type="dxa"/>
          <w:right w:w="0" w:type="dxa"/>
        </w:tblCellMar>
        <w:tblLook w:val="0000" w:firstRow="0" w:lastRow="0" w:firstColumn="0" w:lastColumn="0" w:noHBand="0" w:noVBand="0"/>
      </w:tblPr>
      <w:tblGrid>
        <w:gridCol w:w="1134"/>
        <w:gridCol w:w="7370"/>
        <w:gridCol w:w="1701"/>
      </w:tblGrid>
      <w:tr w:rsidR="00345EE3" w:rsidRPr="00454B9E" w14:paraId="3C25CED6" w14:textId="77777777" w:rsidTr="00D73130">
        <w:trPr>
          <w:trHeight w:val="60"/>
        </w:trPr>
        <w:tc>
          <w:tcPr>
            <w:tcW w:w="8504" w:type="dxa"/>
            <w:gridSpan w:val="2"/>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323CFE9"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54B9E">
              <w:rPr>
                <w:rFonts w:eastAsiaTheme="minorHAnsi"/>
                <w:b/>
                <w:bCs/>
                <w:color w:val="FFFFFF"/>
                <w:sz w:val="24"/>
                <w:szCs w:val="24"/>
                <w:lang w:val="en-GB"/>
              </w:rPr>
              <w:t>Searches without warrant</w:t>
            </w:r>
          </w:p>
        </w:tc>
        <w:tc>
          <w:tcPr>
            <w:tcW w:w="1701" w:type="dxa"/>
            <w:tcBorders>
              <w:top w:val="single" w:sz="6" w:space="0" w:color="auto"/>
              <w:left w:val="single" w:sz="2" w:space="0" w:color="FFFFFF"/>
              <w:bottom w:val="single" w:sz="2" w:space="0" w:color="9D9C9C"/>
              <w:right w:val="single" w:sz="6" w:space="0" w:color="auto"/>
            </w:tcBorders>
            <w:shd w:val="solid" w:color="004996" w:fill="auto"/>
            <w:tcMar>
              <w:top w:w="113" w:type="dxa"/>
              <w:left w:w="14" w:type="dxa"/>
              <w:bottom w:w="113" w:type="dxa"/>
              <w:right w:w="14" w:type="dxa"/>
            </w:tcMar>
          </w:tcPr>
          <w:p w14:paraId="1FEC026D"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454B9E">
              <w:rPr>
                <w:rFonts w:eastAsiaTheme="minorHAnsi"/>
                <w:b/>
                <w:bCs/>
                <w:color w:val="FFFFFF"/>
                <w:spacing w:val="-2"/>
                <w:sz w:val="24"/>
                <w:szCs w:val="24"/>
                <w:lang w:val="en-GB"/>
              </w:rPr>
              <w:t>Number</w:t>
            </w:r>
          </w:p>
        </w:tc>
      </w:tr>
      <w:tr w:rsidR="00345EE3" w:rsidRPr="00454B9E" w14:paraId="31294B38" w14:textId="77777777" w:rsidTr="00D73130">
        <w:trPr>
          <w:trHeight w:val="60"/>
        </w:trPr>
        <w:tc>
          <w:tcPr>
            <w:tcW w:w="1134"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117CCD46"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10B(a)</w:t>
            </w:r>
          </w:p>
        </w:tc>
        <w:tc>
          <w:tcPr>
            <w:tcW w:w="7370" w:type="dxa"/>
            <w:tcBorders>
              <w:top w:val="single" w:sz="6" w:space="0" w:color="9D9C9C"/>
              <w:left w:val="single" w:sz="2" w:space="0" w:color="9D9C9C"/>
              <w:bottom w:val="single" w:sz="6" w:space="0" w:color="9D9C9C"/>
              <w:right w:val="single" w:sz="2" w:space="0" w:color="9D9C9C"/>
            </w:tcBorders>
            <w:tcMar>
              <w:top w:w="113" w:type="dxa"/>
              <w:left w:w="14" w:type="dxa"/>
              <w:bottom w:w="113" w:type="dxa"/>
              <w:right w:w="14" w:type="dxa"/>
            </w:tcMar>
          </w:tcPr>
          <w:p w14:paraId="7BDBAE9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the number of searches without warrant under section 10 or 10AA conducted during that financial year</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5C712CE"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1,184</w:t>
            </w:r>
          </w:p>
        </w:tc>
      </w:tr>
      <w:tr w:rsidR="00345EE3" w:rsidRPr="00454B9E" w14:paraId="10A56819" w14:textId="77777777" w:rsidTr="00D73130">
        <w:trPr>
          <w:trHeight w:val="60"/>
        </w:trPr>
        <w:tc>
          <w:tcPr>
            <w:tcW w:w="8504" w:type="dxa"/>
            <w:gridSpan w:val="2"/>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83769C7"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54B9E">
              <w:rPr>
                <w:rFonts w:eastAsiaTheme="minorHAnsi"/>
                <w:b/>
                <w:bCs/>
                <w:color w:val="FFFFFF"/>
                <w:sz w:val="24"/>
                <w:szCs w:val="24"/>
                <w:lang w:val="en-GB"/>
              </w:rPr>
              <w:t>Section 10G Power to search persons in designated areas</w:t>
            </w:r>
          </w:p>
        </w:tc>
        <w:tc>
          <w:tcPr>
            <w:tcW w:w="1701" w:type="dxa"/>
            <w:tcBorders>
              <w:top w:val="single" w:sz="2" w:space="0" w:color="9D9C9C"/>
              <w:left w:val="single" w:sz="2" w:space="0" w:color="FFFFFF"/>
              <w:bottom w:val="single" w:sz="2" w:space="0" w:color="9D9C9C"/>
              <w:right w:val="single" w:sz="6" w:space="0" w:color="auto"/>
            </w:tcBorders>
            <w:shd w:val="solid" w:color="004996" w:fill="auto"/>
            <w:tcMar>
              <w:top w:w="113" w:type="dxa"/>
              <w:left w:w="14" w:type="dxa"/>
              <w:bottom w:w="113" w:type="dxa"/>
              <w:right w:w="14" w:type="dxa"/>
            </w:tcMar>
          </w:tcPr>
          <w:p w14:paraId="20E1C73E"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454B9E">
              <w:rPr>
                <w:rFonts w:eastAsiaTheme="minorHAnsi"/>
                <w:b/>
                <w:bCs/>
                <w:color w:val="FFFFFF"/>
                <w:spacing w:val="-2"/>
                <w:sz w:val="24"/>
                <w:szCs w:val="24"/>
                <w:lang w:val="en-GB"/>
              </w:rPr>
              <w:t>Number</w:t>
            </w:r>
          </w:p>
        </w:tc>
      </w:tr>
      <w:tr w:rsidR="00345EE3" w:rsidRPr="00454B9E" w14:paraId="166109D5" w14:textId="77777777" w:rsidTr="00D73130">
        <w:trPr>
          <w:trHeight w:val="60"/>
        </w:trPr>
        <w:tc>
          <w:tcPr>
            <w:tcW w:w="1134" w:type="dxa"/>
            <w:tcBorders>
              <w:top w:val="single" w:sz="6"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4974101"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10B(ab)</w:t>
            </w:r>
          </w:p>
        </w:tc>
        <w:tc>
          <w:tcPr>
            <w:tcW w:w="7370"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A58680"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the number of strip searches conducted under section 10G during that financial year</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E25ACBF"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8</w:t>
            </w:r>
          </w:p>
        </w:tc>
      </w:tr>
      <w:tr w:rsidR="00345EE3" w:rsidRPr="00454B9E" w14:paraId="3B2E3386"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3C3002E"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10B(ac)</w:t>
            </w:r>
          </w:p>
        </w:tc>
        <w:tc>
          <w:tcPr>
            <w:tcW w:w="737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EAA959"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the number of strip searches conducted under section 10G during that financial year in any area in respect of which a declaration under section 10D [Planned designated area] was in effect at the time of the search</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76F7D7E"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8</w:t>
            </w:r>
          </w:p>
        </w:tc>
      </w:tr>
      <w:tr w:rsidR="00345EE3" w:rsidRPr="00454B9E" w14:paraId="42E2C861" w14:textId="77777777" w:rsidTr="00D73130">
        <w:trPr>
          <w:trHeight w:val="60"/>
        </w:trPr>
        <w:tc>
          <w:tcPr>
            <w:tcW w:w="1134"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767B72F8"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10B(ad)</w:t>
            </w:r>
          </w:p>
        </w:tc>
        <w:tc>
          <w:tcPr>
            <w:tcW w:w="737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78F68562"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the number of strip searches conducted under section 10G during that financial year in any area in respect of which a declaration under section 10E [Unplanned designated area] was in effect at the time of the search</w:t>
            </w:r>
          </w:p>
        </w:tc>
        <w:tc>
          <w:tcPr>
            <w:tcW w:w="1701" w:type="dxa"/>
            <w:tcBorders>
              <w:top w:val="single" w:sz="2" w:space="0" w:color="9D9C9C"/>
              <w:left w:val="single" w:sz="2" w:space="0" w:color="9D9C9C"/>
              <w:bottom w:val="single" w:sz="6" w:space="0" w:color="000000"/>
              <w:right w:val="single" w:sz="6" w:space="0" w:color="9D9C9C"/>
            </w:tcBorders>
            <w:tcMar>
              <w:top w:w="113" w:type="dxa"/>
              <w:left w:w="14" w:type="dxa"/>
              <w:bottom w:w="113" w:type="dxa"/>
              <w:right w:w="14" w:type="dxa"/>
            </w:tcMar>
          </w:tcPr>
          <w:p w14:paraId="2467F305"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Not reported</w:t>
            </w:r>
            <w:r w:rsidRPr="00454B9E">
              <w:rPr>
                <w:rFonts w:eastAsiaTheme="minorHAnsi"/>
                <w:color w:val="000000"/>
                <w:spacing w:val="-2"/>
                <w:sz w:val="24"/>
                <w:szCs w:val="24"/>
                <w:vertAlign w:val="superscript"/>
                <w:lang w:val="en-GB"/>
              </w:rPr>
              <w:t>1</w:t>
            </w:r>
          </w:p>
        </w:tc>
      </w:tr>
    </w:tbl>
    <w:p w14:paraId="112E089C" w14:textId="77777777" w:rsidR="00345EE3" w:rsidRDefault="00345EE3" w:rsidP="00345EE3">
      <w:pPr>
        <w:pStyle w:val="BodyText"/>
        <w:spacing w:before="2"/>
        <w:rPr>
          <w:rFonts w:ascii="Arial-BoldItalicMT"/>
          <w:b/>
          <w:i/>
          <w:sz w:val="2"/>
        </w:rPr>
      </w:pPr>
    </w:p>
    <w:p w14:paraId="2E0CF435" w14:textId="77777777" w:rsidR="00345EE3" w:rsidRPr="007517B3" w:rsidRDefault="00345EE3" w:rsidP="00345EE3">
      <w:pPr>
        <w:spacing w:before="72"/>
        <w:ind w:left="110"/>
        <w:rPr>
          <w:sz w:val="18"/>
          <w:szCs w:val="18"/>
        </w:rPr>
      </w:pPr>
      <w:r w:rsidRPr="007517B3">
        <w:rPr>
          <w:rFonts w:ascii="Arial-BoldItalicMT"/>
          <w:b/>
          <w:i/>
          <w:color w:val="231F20"/>
          <w:sz w:val="18"/>
          <w:szCs w:val="18"/>
        </w:rPr>
        <w:t xml:space="preserve">Source: </w:t>
      </w:r>
      <w:r w:rsidRPr="007517B3">
        <w:rPr>
          <w:color w:val="231F20"/>
          <w:sz w:val="18"/>
          <w:szCs w:val="18"/>
        </w:rPr>
        <w:t>Corporate</w:t>
      </w:r>
      <w:r w:rsidRPr="007517B3">
        <w:rPr>
          <w:color w:val="231F20"/>
          <w:spacing w:val="1"/>
          <w:sz w:val="18"/>
          <w:szCs w:val="18"/>
        </w:rPr>
        <w:t xml:space="preserve"> </w:t>
      </w:r>
      <w:r w:rsidRPr="007517B3">
        <w:rPr>
          <w:color w:val="231F20"/>
          <w:sz w:val="18"/>
          <w:szCs w:val="18"/>
        </w:rPr>
        <w:t>Statistics</w:t>
      </w:r>
      <w:r w:rsidRPr="007517B3">
        <w:rPr>
          <w:color w:val="231F20"/>
          <w:spacing w:val="1"/>
          <w:sz w:val="18"/>
          <w:szCs w:val="18"/>
        </w:rPr>
        <w:t xml:space="preserve"> </w:t>
      </w:r>
      <w:r w:rsidRPr="007517B3">
        <w:rPr>
          <w:color w:val="231F20"/>
          <w:sz w:val="18"/>
          <w:szCs w:val="18"/>
        </w:rPr>
        <w:t>Unit.</w:t>
      </w:r>
      <w:r w:rsidRPr="007517B3">
        <w:rPr>
          <w:color w:val="231F20"/>
          <w:spacing w:val="1"/>
          <w:sz w:val="18"/>
          <w:szCs w:val="18"/>
        </w:rPr>
        <w:t xml:space="preserve"> </w:t>
      </w:r>
      <w:r w:rsidRPr="007517B3">
        <w:rPr>
          <w:color w:val="231F20"/>
          <w:sz w:val="18"/>
          <w:szCs w:val="18"/>
        </w:rPr>
        <w:t>Data</w:t>
      </w:r>
      <w:r w:rsidRPr="007517B3">
        <w:rPr>
          <w:color w:val="231F20"/>
          <w:spacing w:val="1"/>
          <w:sz w:val="18"/>
          <w:szCs w:val="18"/>
        </w:rPr>
        <w:t xml:space="preserve"> </w:t>
      </w:r>
      <w:r w:rsidRPr="007517B3">
        <w:rPr>
          <w:color w:val="231F20"/>
          <w:sz w:val="18"/>
          <w:szCs w:val="18"/>
        </w:rPr>
        <w:t>extracted</w:t>
      </w:r>
      <w:r w:rsidRPr="007517B3">
        <w:rPr>
          <w:color w:val="231F20"/>
          <w:spacing w:val="2"/>
          <w:sz w:val="18"/>
          <w:szCs w:val="18"/>
        </w:rPr>
        <w:t xml:space="preserve"> </w:t>
      </w:r>
      <w:r w:rsidRPr="007517B3">
        <w:rPr>
          <w:color w:val="231F20"/>
          <w:sz w:val="18"/>
          <w:szCs w:val="18"/>
        </w:rPr>
        <w:t>from</w:t>
      </w:r>
      <w:r w:rsidRPr="007517B3">
        <w:rPr>
          <w:color w:val="231F20"/>
          <w:spacing w:val="1"/>
          <w:sz w:val="18"/>
          <w:szCs w:val="18"/>
        </w:rPr>
        <w:t xml:space="preserve"> </w:t>
      </w:r>
      <w:r w:rsidRPr="007517B3">
        <w:rPr>
          <w:color w:val="231F20"/>
          <w:sz w:val="18"/>
          <w:szCs w:val="18"/>
        </w:rPr>
        <w:t>LEAP</w:t>
      </w:r>
      <w:r w:rsidRPr="007517B3">
        <w:rPr>
          <w:color w:val="231F20"/>
          <w:spacing w:val="1"/>
          <w:sz w:val="18"/>
          <w:szCs w:val="18"/>
        </w:rPr>
        <w:t xml:space="preserve"> </w:t>
      </w:r>
      <w:r w:rsidRPr="007517B3">
        <w:rPr>
          <w:color w:val="231F20"/>
          <w:sz w:val="18"/>
          <w:szCs w:val="18"/>
        </w:rPr>
        <w:t>on</w:t>
      </w:r>
      <w:r w:rsidRPr="007517B3">
        <w:rPr>
          <w:color w:val="231F20"/>
          <w:spacing w:val="1"/>
          <w:sz w:val="18"/>
          <w:szCs w:val="18"/>
        </w:rPr>
        <w:t xml:space="preserve"> </w:t>
      </w:r>
      <w:r w:rsidRPr="007517B3">
        <w:rPr>
          <w:color w:val="231F20"/>
          <w:sz w:val="18"/>
          <w:szCs w:val="18"/>
        </w:rPr>
        <w:t>5</w:t>
      </w:r>
      <w:r w:rsidRPr="007517B3">
        <w:rPr>
          <w:color w:val="231F20"/>
          <w:spacing w:val="1"/>
          <w:sz w:val="18"/>
          <w:szCs w:val="18"/>
        </w:rPr>
        <w:t xml:space="preserve"> </w:t>
      </w:r>
      <w:r w:rsidRPr="007517B3">
        <w:rPr>
          <w:color w:val="231F20"/>
          <w:sz w:val="18"/>
          <w:szCs w:val="18"/>
        </w:rPr>
        <w:t>July</w:t>
      </w:r>
      <w:r w:rsidRPr="007517B3">
        <w:rPr>
          <w:color w:val="231F20"/>
          <w:spacing w:val="2"/>
          <w:sz w:val="18"/>
          <w:szCs w:val="18"/>
        </w:rPr>
        <w:t xml:space="preserve"> </w:t>
      </w:r>
      <w:r w:rsidRPr="007517B3">
        <w:rPr>
          <w:color w:val="231F20"/>
          <w:spacing w:val="-2"/>
          <w:sz w:val="18"/>
          <w:szCs w:val="18"/>
        </w:rPr>
        <w:t>2022.</w:t>
      </w:r>
    </w:p>
    <w:p w14:paraId="42015D2F" w14:textId="77777777" w:rsidR="00345EE3" w:rsidRPr="007517B3" w:rsidRDefault="00345EE3" w:rsidP="00345EE3">
      <w:pPr>
        <w:spacing w:before="27"/>
        <w:ind w:left="110" w:right="921"/>
        <w:rPr>
          <w:sz w:val="18"/>
          <w:szCs w:val="18"/>
        </w:rPr>
      </w:pPr>
      <w:r w:rsidRPr="007517B3">
        <w:rPr>
          <w:rFonts w:ascii="Arial-BoldItalicMT"/>
          <w:b/>
          <w:i/>
          <w:color w:val="231F20"/>
          <w:sz w:val="18"/>
          <w:szCs w:val="18"/>
        </w:rPr>
        <w:t>Notes:</w:t>
      </w:r>
      <w:r w:rsidRPr="007517B3">
        <w:rPr>
          <w:rFonts w:ascii="Arial-BoldItalicMT"/>
          <w:b/>
          <w:i/>
          <w:color w:val="231F20"/>
          <w:spacing w:val="40"/>
          <w:sz w:val="18"/>
          <w:szCs w:val="18"/>
        </w:rPr>
        <w:t xml:space="preserve"> </w:t>
      </w:r>
      <w:r w:rsidRPr="007517B3">
        <w:rPr>
          <w:color w:val="231F20"/>
          <w:sz w:val="18"/>
          <w:szCs w:val="18"/>
        </w:rPr>
        <w:t>Data</w:t>
      </w:r>
      <w:r w:rsidRPr="007517B3">
        <w:rPr>
          <w:color w:val="231F20"/>
          <w:spacing w:val="-1"/>
          <w:sz w:val="18"/>
          <w:szCs w:val="18"/>
        </w:rPr>
        <w:t xml:space="preserve"> </w:t>
      </w:r>
      <w:r w:rsidRPr="007517B3">
        <w:rPr>
          <w:color w:val="231F20"/>
          <w:sz w:val="18"/>
          <w:szCs w:val="18"/>
        </w:rPr>
        <w:t>shown</w:t>
      </w:r>
      <w:r w:rsidRPr="007517B3">
        <w:rPr>
          <w:color w:val="231F20"/>
          <w:spacing w:val="-1"/>
          <w:sz w:val="18"/>
          <w:szCs w:val="18"/>
        </w:rPr>
        <w:t xml:space="preserve"> </w:t>
      </w:r>
      <w:r w:rsidRPr="007517B3">
        <w:rPr>
          <w:color w:val="231F20"/>
          <w:sz w:val="18"/>
          <w:szCs w:val="18"/>
        </w:rPr>
        <w:t>above</w:t>
      </w:r>
      <w:r w:rsidRPr="007517B3">
        <w:rPr>
          <w:color w:val="231F20"/>
          <w:spacing w:val="-1"/>
          <w:sz w:val="18"/>
          <w:szCs w:val="18"/>
        </w:rPr>
        <w:t xml:space="preserve"> </w:t>
      </w:r>
      <w:r w:rsidRPr="007517B3">
        <w:rPr>
          <w:color w:val="231F20"/>
          <w:sz w:val="18"/>
          <w:szCs w:val="18"/>
        </w:rPr>
        <w:t>include</w:t>
      </w:r>
      <w:r w:rsidRPr="007517B3">
        <w:rPr>
          <w:color w:val="231F20"/>
          <w:spacing w:val="-1"/>
          <w:sz w:val="18"/>
          <w:szCs w:val="18"/>
        </w:rPr>
        <w:t xml:space="preserve"> </w:t>
      </w:r>
      <w:r w:rsidRPr="007517B3">
        <w:rPr>
          <w:color w:val="231F20"/>
          <w:sz w:val="18"/>
          <w:szCs w:val="18"/>
        </w:rPr>
        <w:t>all</w:t>
      </w:r>
      <w:r w:rsidRPr="007517B3">
        <w:rPr>
          <w:color w:val="231F20"/>
          <w:spacing w:val="-1"/>
          <w:sz w:val="18"/>
          <w:szCs w:val="18"/>
        </w:rPr>
        <w:t xml:space="preserve"> </w:t>
      </w:r>
      <w:r w:rsidRPr="007517B3">
        <w:rPr>
          <w:color w:val="231F20"/>
          <w:sz w:val="18"/>
          <w:szCs w:val="18"/>
        </w:rPr>
        <w:t>searches</w:t>
      </w:r>
      <w:r w:rsidRPr="007517B3">
        <w:rPr>
          <w:color w:val="231F20"/>
          <w:spacing w:val="-1"/>
          <w:sz w:val="18"/>
          <w:szCs w:val="18"/>
        </w:rPr>
        <w:t xml:space="preserve"> </w:t>
      </w:r>
      <w:r w:rsidRPr="007517B3">
        <w:rPr>
          <w:color w:val="231F20"/>
          <w:sz w:val="18"/>
          <w:szCs w:val="18"/>
        </w:rPr>
        <w:t>conducted</w:t>
      </w:r>
      <w:r w:rsidRPr="007517B3">
        <w:rPr>
          <w:color w:val="231F20"/>
          <w:spacing w:val="-1"/>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planned</w:t>
      </w:r>
      <w:r w:rsidRPr="007517B3">
        <w:rPr>
          <w:color w:val="231F20"/>
          <w:spacing w:val="-1"/>
          <w:sz w:val="18"/>
          <w:szCs w:val="18"/>
        </w:rPr>
        <w:t xml:space="preserve"> </w:t>
      </w:r>
      <w:r w:rsidRPr="007517B3">
        <w:rPr>
          <w:color w:val="231F20"/>
          <w:sz w:val="18"/>
          <w:szCs w:val="18"/>
        </w:rPr>
        <w:t>designated</w:t>
      </w:r>
      <w:r w:rsidRPr="007517B3">
        <w:rPr>
          <w:color w:val="231F20"/>
          <w:spacing w:val="-1"/>
          <w:sz w:val="18"/>
          <w:szCs w:val="18"/>
        </w:rPr>
        <w:t xml:space="preserve"> </w:t>
      </w:r>
      <w:r w:rsidRPr="007517B3">
        <w:rPr>
          <w:color w:val="231F20"/>
          <w:sz w:val="18"/>
          <w:szCs w:val="18"/>
        </w:rPr>
        <w:t>areas</w:t>
      </w:r>
      <w:r w:rsidRPr="007517B3">
        <w:rPr>
          <w:color w:val="231F20"/>
          <w:spacing w:val="-1"/>
          <w:sz w:val="18"/>
          <w:szCs w:val="18"/>
        </w:rPr>
        <w:t xml:space="preserve"> </w:t>
      </w:r>
      <w:r w:rsidRPr="007517B3">
        <w:rPr>
          <w:color w:val="231F20"/>
          <w:sz w:val="18"/>
          <w:szCs w:val="18"/>
        </w:rPr>
        <w:t>and</w:t>
      </w:r>
      <w:r w:rsidRPr="007517B3">
        <w:rPr>
          <w:color w:val="231F20"/>
          <w:spacing w:val="-1"/>
          <w:sz w:val="18"/>
          <w:szCs w:val="18"/>
        </w:rPr>
        <w:t xml:space="preserve"> </w:t>
      </w:r>
      <w:r w:rsidRPr="007517B3">
        <w:rPr>
          <w:color w:val="231F20"/>
          <w:sz w:val="18"/>
          <w:szCs w:val="18"/>
        </w:rPr>
        <w:t>may</w:t>
      </w:r>
      <w:r w:rsidRPr="007517B3">
        <w:rPr>
          <w:color w:val="231F20"/>
          <w:spacing w:val="-1"/>
          <w:sz w:val="18"/>
          <w:szCs w:val="18"/>
        </w:rPr>
        <w:t xml:space="preserve"> </w:t>
      </w:r>
      <w:r w:rsidRPr="007517B3">
        <w:rPr>
          <w:color w:val="231F20"/>
          <w:sz w:val="18"/>
          <w:szCs w:val="18"/>
        </w:rPr>
        <w:t>also</w:t>
      </w:r>
      <w:r w:rsidRPr="007517B3">
        <w:rPr>
          <w:color w:val="231F20"/>
          <w:spacing w:val="-1"/>
          <w:sz w:val="18"/>
          <w:szCs w:val="18"/>
        </w:rPr>
        <w:t xml:space="preserve"> </w:t>
      </w:r>
      <w:r w:rsidRPr="007517B3">
        <w:rPr>
          <w:color w:val="231F20"/>
          <w:sz w:val="18"/>
          <w:szCs w:val="18"/>
        </w:rPr>
        <w:t>include</w:t>
      </w:r>
      <w:r w:rsidRPr="007517B3">
        <w:rPr>
          <w:color w:val="231F20"/>
          <w:spacing w:val="-1"/>
          <w:sz w:val="18"/>
          <w:szCs w:val="18"/>
        </w:rPr>
        <w:t xml:space="preserve"> </w:t>
      </w:r>
      <w:r w:rsidRPr="007517B3">
        <w:rPr>
          <w:color w:val="231F20"/>
          <w:sz w:val="18"/>
          <w:szCs w:val="18"/>
        </w:rPr>
        <w:t>some</w:t>
      </w:r>
      <w:r w:rsidRPr="007517B3">
        <w:rPr>
          <w:color w:val="231F20"/>
          <w:spacing w:val="-1"/>
          <w:sz w:val="18"/>
          <w:szCs w:val="18"/>
        </w:rPr>
        <w:t xml:space="preserve"> </w:t>
      </w:r>
      <w:r w:rsidRPr="007517B3">
        <w:rPr>
          <w:color w:val="231F20"/>
          <w:sz w:val="18"/>
          <w:szCs w:val="18"/>
        </w:rPr>
        <w:t>searches</w:t>
      </w:r>
      <w:r w:rsidRPr="007517B3">
        <w:rPr>
          <w:color w:val="231F20"/>
          <w:spacing w:val="-1"/>
          <w:sz w:val="18"/>
          <w:szCs w:val="18"/>
        </w:rPr>
        <w:t xml:space="preserve"> </w:t>
      </w:r>
      <w:r w:rsidRPr="007517B3">
        <w:rPr>
          <w:color w:val="231F20"/>
          <w:sz w:val="18"/>
          <w:szCs w:val="18"/>
        </w:rPr>
        <w:t>conducted</w:t>
      </w:r>
      <w:r w:rsidRPr="007517B3">
        <w:rPr>
          <w:color w:val="231F20"/>
          <w:spacing w:val="-1"/>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unplanned</w:t>
      </w:r>
      <w:r w:rsidRPr="007517B3">
        <w:rPr>
          <w:color w:val="231F20"/>
          <w:spacing w:val="-1"/>
          <w:sz w:val="18"/>
          <w:szCs w:val="18"/>
        </w:rPr>
        <w:t xml:space="preserve"> </w:t>
      </w:r>
      <w:r w:rsidRPr="007517B3">
        <w:rPr>
          <w:color w:val="231F20"/>
          <w:sz w:val="18"/>
          <w:szCs w:val="18"/>
        </w:rPr>
        <w:t>designated</w:t>
      </w:r>
      <w:r w:rsidRPr="007517B3">
        <w:rPr>
          <w:color w:val="231F20"/>
          <w:spacing w:val="40"/>
          <w:sz w:val="18"/>
          <w:szCs w:val="18"/>
        </w:rPr>
        <w:t xml:space="preserve"> </w:t>
      </w:r>
      <w:r w:rsidRPr="007517B3">
        <w:rPr>
          <w:color w:val="231F20"/>
          <w:spacing w:val="-2"/>
          <w:sz w:val="18"/>
          <w:szCs w:val="18"/>
        </w:rPr>
        <w:t>areas.</w:t>
      </w:r>
    </w:p>
    <w:p w14:paraId="4960BC4D" w14:textId="77777777" w:rsidR="00345EE3" w:rsidRPr="007517B3" w:rsidRDefault="00345EE3">
      <w:pPr>
        <w:pStyle w:val="ListParagraph"/>
        <w:numPr>
          <w:ilvl w:val="0"/>
          <w:numId w:val="78"/>
        </w:numPr>
        <w:tabs>
          <w:tab w:val="left" w:pos="338"/>
        </w:tabs>
        <w:spacing w:before="112"/>
        <w:ind w:hanging="228"/>
        <w:rPr>
          <w:sz w:val="18"/>
          <w:szCs w:val="18"/>
        </w:rPr>
      </w:pPr>
      <w:r w:rsidRPr="007517B3">
        <w:rPr>
          <w:color w:val="231F20"/>
          <w:sz w:val="18"/>
          <w:szCs w:val="18"/>
        </w:rPr>
        <w:t>It</w:t>
      </w:r>
      <w:r w:rsidRPr="007517B3">
        <w:rPr>
          <w:color w:val="231F20"/>
          <w:spacing w:val="-2"/>
          <w:sz w:val="18"/>
          <w:szCs w:val="18"/>
        </w:rPr>
        <w:t xml:space="preserve"> </w:t>
      </w:r>
      <w:r w:rsidRPr="007517B3">
        <w:rPr>
          <w:color w:val="231F20"/>
          <w:sz w:val="18"/>
          <w:szCs w:val="18"/>
        </w:rPr>
        <w:t>is</w:t>
      </w:r>
      <w:r w:rsidRPr="007517B3">
        <w:rPr>
          <w:color w:val="231F20"/>
          <w:spacing w:val="-2"/>
          <w:sz w:val="18"/>
          <w:szCs w:val="18"/>
        </w:rPr>
        <w:t xml:space="preserve"> </w:t>
      </w:r>
      <w:r w:rsidRPr="007517B3">
        <w:rPr>
          <w:color w:val="231F20"/>
          <w:sz w:val="18"/>
          <w:szCs w:val="18"/>
        </w:rPr>
        <w:t>not</w:t>
      </w:r>
      <w:r w:rsidRPr="007517B3">
        <w:rPr>
          <w:color w:val="231F20"/>
          <w:spacing w:val="-1"/>
          <w:sz w:val="18"/>
          <w:szCs w:val="18"/>
        </w:rPr>
        <w:t xml:space="preserve"> </w:t>
      </w:r>
      <w:r w:rsidRPr="007517B3">
        <w:rPr>
          <w:color w:val="231F20"/>
          <w:sz w:val="18"/>
          <w:szCs w:val="18"/>
        </w:rPr>
        <w:t>possible</w:t>
      </w:r>
      <w:r w:rsidRPr="007517B3">
        <w:rPr>
          <w:color w:val="231F20"/>
          <w:spacing w:val="-2"/>
          <w:sz w:val="18"/>
          <w:szCs w:val="18"/>
        </w:rPr>
        <w:t xml:space="preserve"> </w:t>
      </w:r>
      <w:r w:rsidRPr="007517B3">
        <w:rPr>
          <w:color w:val="231F20"/>
          <w:sz w:val="18"/>
          <w:szCs w:val="18"/>
        </w:rPr>
        <w:t>to</w:t>
      </w:r>
      <w:r w:rsidRPr="007517B3">
        <w:rPr>
          <w:color w:val="231F20"/>
          <w:spacing w:val="-1"/>
          <w:sz w:val="18"/>
          <w:szCs w:val="18"/>
        </w:rPr>
        <w:t xml:space="preserve"> </w:t>
      </w:r>
      <w:r w:rsidRPr="007517B3">
        <w:rPr>
          <w:color w:val="231F20"/>
          <w:sz w:val="18"/>
          <w:szCs w:val="18"/>
        </w:rPr>
        <w:t>separate</w:t>
      </w:r>
      <w:r w:rsidRPr="007517B3">
        <w:rPr>
          <w:color w:val="231F20"/>
          <w:spacing w:val="-2"/>
          <w:sz w:val="18"/>
          <w:szCs w:val="18"/>
        </w:rPr>
        <w:t xml:space="preserve"> </w:t>
      </w:r>
      <w:r w:rsidRPr="007517B3">
        <w:rPr>
          <w:color w:val="231F20"/>
          <w:sz w:val="18"/>
          <w:szCs w:val="18"/>
        </w:rPr>
        <w:t>data</w:t>
      </w:r>
      <w:r w:rsidRPr="007517B3">
        <w:rPr>
          <w:color w:val="231F20"/>
          <w:spacing w:val="-2"/>
          <w:sz w:val="18"/>
          <w:szCs w:val="18"/>
        </w:rPr>
        <w:t xml:space="preserve"> </w:t>
      </w:r>
      <w:r w:rsidRPr="007517B3">
        <w:rPr>
          <w:color w:val="231F20"/>
          <w:sz w:val="18"/>
          <w:szCs w:val="18"/>
        </w:rPr>
        <w:t>on</w:t>
      </w:r>
      <w:r w:rsidRPr="007517B3">
        <w:rPr>
          <w:color w:val="231F20"/>
          <w:spacing w:val="-1"/>
          <w:sz w:val="18"/>
          <w:szCs w:val="18"/>
        </w:rPr>
        <w:t xml:space="preserve"> </w:t>
      </w:r>
      <w:r w:rsidRPr="007517B3">
        <w:rPr>
          <w:color w:val="231F20"/>
          <w:sz w:val="18"/>
          <w:szCs w:val="18"/>
        </w:rPr>
        <w:t>searches</w:t>
      </w:r>
      <w:r w:rsidRPr="007517B3">
        <w:rPr>
          <w:color w:val="231F20"/>
          <w:spacing w:val="-2"/>
          <w:sz w:val="18"/>
          <w:szCs w:val="18"/>
        </w:rPr>
        <w:t xml:space="preserve"> </w:t>
      </w:r>
      <w:r w:rsidRPr="007517B3">
        <w:rPr>
          <w:color w:val="231F20"/>
          <w:sz w:val="18"/>
          <w:szCs w:val="18"/>
        </w:rPr>
        <w:t>conducted</w:t>
      </w:r>
      <w:r w:rsidRPr="007517B3">
        <w:rPr>
          <w:color w:val="231F20"/>
          <w:spacing w:val="-1"/>
          <w:sz w:val="18"/>
          <w:szCs w:val="18"/>
        </w:rPr>
        <w:t xml:space="preserve"> </w:t>
      </w:r>
      <w:r w:rsidRPr="007517B3">
        <w:rPr>
          <w:color w:val="231F20"/>
          <w:sz w:val="18"/>
          <w:szCs w:val="18"/>
        </w:rPr>
        <w:t>in</w:t>
      </w:r>
      <w:r w:rsidRPr="007517B3">
        <w:rPr>
          <w:color w:val="231F20"/>
          <w:spacing w:val="-2"/>
          <w:sz w:val="18"/>
          <w:szCs w:val="18"/>
        </w:rPr>
        <w:t xml:space="preserve"> </w:t>
      </w:r>
      <w:r w:rsidRPr="007517B3">
        <w:rPr>
          <w:color w:val="231F20"/>
          <w:sz w:val="18"/>
          <w:szCs w:val="18"/>
        </w:rPr>
        <w:t>unplanned</w:t>
      </w:r>
      <w:r w:rsidRPr="007517B3">
        <w:rPr>
          <w:color w:val="231F20"/>
          <w:spacing w:val="-2"/>
          <w:sz w:val="18"/>
          <w:szCs w:val="18"/>
        </w:rPr>
        <w:t xml:space="preserve"> </w:t>
      </w:r>
      <w:r w:rsidRPr="007517B3">
        <w:rPr>
          <w:color w:val="231F20"/>
          <w:sz w:val="18"/>
          <w:szCs w:val="18"/>
        </w:rPr>
        <w:t>designated</w:t>
      </w:r>
      <w:r w:rsidRPr="007517B3">
        <w:rPr>
          <w:color w:val="231F20"/>
          <w:spacing w:val="-1"/>
          <w:sz w:val="18"/>
          <w:szCs w:val="18"/>
        </w:rPr>
        <w:t xml:space="preserve"> </w:t>
      </w:r>
      <w:r w:rsidRPr="007517B3">
        <w:rPr>
          <w:color w:val="231F20"/>
          <w:sz w:val="18"/>
          <w:szCs w:val="18"/>
        </w:rPr>
        <w:t>areas</w:t>
      </w:r>
      <w:r w:rsidRPr="007517B3">
        <w:rPr>
          <w:color w:val="231F20"/>
          <w:spacing w:val="-2"/>
          <w:sz w:val="18"/>
          <w:szCs w:val="18"/>
        </w:rPr>
        <w:t xml:space="preserve"> </w:t>
      </w:r>
      <w:r w:rsidRPr="007517B3">
        <w:rPr>
          <w:color w:val="231F20"/>
          <w:sz w:val="18"/>
          <w:szCs w:val="18"/>
        </w:rPr>
        <w:t>from</w:t>
      </w:r>
      <w:r w:rsidRPr="007517B3">
        <w:rPr>
          <w:color w:val="231F20"/>
          <w:spacing w:val="-1"/>
          <w:sz w:val="18"/>
          <w:szCs w:val="18"/>
        </w:rPr>
        <w:t xml:space="preserve"> </w:t>
      </w:r>
      <w:r w:rsidRPr="007517B3">
        <w:rPr>
          <w:color w:val="231F20"/>
          <w:sz w:val="18"/>
          <w:szCs w:val="18"/>
        </w:rPr>
        <w:t>searches</w:t>
      </w:r>
      <w:r w:rsidRPr="007517B3">
        <w:rPr>
          <w:color w:val="231F20"/>
          <w:spacing w:val="-2"/>
          <w:sz w:val="18"/>
          <w:szCs w:val="18"/>
        </w:rPr>
        <w:t xml:space="preserve"> </w:t>
      </w:r>
      <w:r w:rsidRPr="007517B3">
        <w:rPr>
          <w:color w:val="231F20"/>
          <w:sz w:val="18"/>
          <w:szCs w:val="18"/>
        </w:rPr>
        <w:t>conducted</w:t>
      </w:r>
      <w:r w:rsidRPr="007517B3">
        <w:rPr>
          <w:color w:val="231F20"/>
          <w:spacing w:val="-2"/>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planned</w:t>
      </w:r>
      <w:r w:rsidRPr="007517B3">
        <w:rPr>
          <w:color w:val="231F20"/>
          <w:spacing w:val="-2"/>
          <w:sz w:val="18"/>
          <w:szCs w:val="18"/>
        </w:rPr>
        <w:t xml:space="preserve"> </w:t>
      </w:r>
      <w:r w:rsidRPr="007517B3">
        <w:rPr>
          <w:color w:val="231F20"/>
          <w:sz w:val="18"/>
          <w:szCs w:val="18"/>
        </w:rPr>
        <w:t>designated</w:t>
      </w:r>
      <w:r w:rsidRPr="007517B3">
        <w:rPr>
          <w:color w:val="231F20"/>
          <w:spacing w:val="-1"/>
          <w:sz w:val="18"/>
          <w:szCs w:val="18"/>
        </w:rPr>
        <w:t xml:space="preserve"> </w:t>
      </w:r>
      <w:r w:rsidRPr="007517B3">
        <w:rPr>
          <w:color w:val="231F20"/>
          <w:spacing w:val="-2"/>
          <w:sz w:val="18"/>
          <w:szCs w:val="18"/>
        </w:rPr>
        <w:t>areas.</w:t>
      </w:r>
    </w:p>
    <w:p w14:paraId="1F24A2DA" w14:textId="77777777" w:rsidR="00345EE3" w:rsidRDefault="00345EE3" w:rsidP="00345EE3">
      <w:pPr>
        <w:rPr>
          <w:sz w:val="12"/>
          <w:szCs w:val="24"/>
        </w:rPr>
      </w:pPr>
      <w:r>
        <w:rPr>
          <w:sz w:val="12"/>
        </w:rPr>
        <w:br w:type="page"/>
      </w:r>
    </w:p>
    <w:p w14:paraId="5B88469B" w14:textId="77777777" w:rsidR="00345EE3" w:rsidRDefault="00345EE3" w:rsidP="00345EE3">
      <w:pPr>
        <w:spacing w:before="1" w:after="120"/>
        <w:ind w:left="110"/>
        <w:rPr>
          <w:color w:val="231F20"/>
          <w:sz w:val="18"/>
        </w:rPr>
      </w:pPr>
    </w:p>
    <w:p w14:paraId="1609981B" w14:textId="77777777" w:rsidR="00345EE3" w:rsidRDefault="00345EE3" w:rsidP="00345EE3">
      <w:pPr>
        <w:spacing w:before="1" w:after="120"/>
        <w:ind w:left="110"/>
        <w:rPr>
          <w:color w:val="231F20"/>
          <w:sz w:val="18"/>
        </w:rPr>
      </w:pPr>
    </w:p>
    <w:p w14:paraId="091CF796" w14:textId="77777777" w:rsidR="00345EE3" w:rsidRDefault="00345EE3" w:rsidP="00345EE3">
      <w:pPr>
        <w:spacing w:before="1" w:after="120"/>
        <w:ind w:left="110"/>
        <w:rPr>
          <w:rFonts w:ascii="Arial-BoldItalicMT"/>
          <w:b/>
          <w:i/>
          <w:color w:val="231F20"/>
          <w:spacing w:val="-2"/>
          <w:sz w:val="18"/>
        </w:rPr>
      </w:pPr>
      <w:r>
        <w:rPr>
          <w:color w:val="231F20"/>
          <w:sz w:val="18"/>
        </w:rPr>
        <w:t>Table</w:t>
      </w:r>
      <w:r>
        <w:rPr>
          <w:color w:val="231F20"/>
          <w:spacing w:val="-4"/>
          <w:sz w:val="18"/>
        </w:rPr>
        <w:t xml:space="preserve"> </w:t>
      </w:r>
      <w:r>
        <w:rPr>
          <w:color w:val="231F20"/>
          <w:sz w:val="18"/>
        </w:rPr>
        <w:t>5.9:</w:t>
      </w:r>
      <w:r>
        <w:rPr>
          <w:color w:val="231F20"/>
          <w:spacing w:val="-4"/>
          <w:sz w:val="18"/>
        </w:rPr>
        <w:t xml:space="preserve"> </w:t>
      </w:r>
      <w:r>
        <w:rPr>
          <w:rFonts w:ascii="Arial-BoldItalicMT"/>
          <w:b/>
          <w:i/>
          <w:color w:val="231F20"/>
          <w:sz w:val="18"/>
        </w:rPr>
        <w:t>Prohibited,</w:t>
      </w:r>
      <w:r>
        <w:rPr>
          <w:rFonts w:ascii="Arial-BoldItalicMT"/>
          <w:b/>
          <w:i/>
          <w:color w:val="231F20"/>
          <w:spacing w:val="-7"/>
          <w:sz w:val="18"/>
        </w:rPr>
        <w:t xml:space="preserve"> </w:t>
      </w:r>
      <w:r>
        <w:rPr>
          <w:rFonts w:ascii="Arial-BoldItalicMT"/>
          <w:b/>
          <w:i/>
          <w:color w:val="231F20"/>
          <w:sz w:val="18"/>
        </w:rPr>
        <w:t>Dangerous</w:t>
      </w:r>
      <w:r>
        <w:rPr>
          <w:rFonts w:ascii="Arial-BoldItalicMT"/>
          <w:b/>
          <w:i/>
          <w:color w:val="231F20"/>
          <w:spacing w:val="-6"/>
          <w:sz w:val="18"/>
        </w:rPr>
        <w:t xml:space="preserve"> </w:t>
      </w:r>
      <w:r>
        <w:rPr>
          <w:rFonts w:ascii="Arial-BoldItalicMT"/>
          <w:b/>
          <w:i/>
          <w:color w:val="231F20"/>
          <w:sz w:val="18"/>
        </w:rPr>
        <w:t>and</w:t>
      </w:r>
      <w:r>
        <w:rPr>
          <w:rFonts w:ascii="Arial-BoldItalicMT"/>
          <w:b/>
          <w:i/>
          <w:color w:val="231F20"/>
          <w:spacing w:val="-6"/>
          <w:sz w:val="18"/>
        </w:rPr>
        <w:t xml:space="preserve"> </w:t>
      </w:r>
      <w:r>
        <w:rPr>
          <w:rFonts w:ascii="Arial-BoldItalicMT"/>
          <w:b/>
          <w:i/>
          <w:color w:val="231F20"/>
          <w:sz w:val="18"/>
        </w:rPr>
        <w:t>Controlled</w:t>
      </w:r>
      <w:r>
        <w:rPr>
          <w:rFonts w:ascii="Arial-BoldItalicMT"/>
          <w:b/>
          <w:i/>
          <w:color w:val="231F20"/>
          <w:spacing w:val="-6"/>
          <w:sz w:val="18"/>
        </w:rPr>
        <w:t xml:space="preserve"> </w:t>
      </w:r>
      <w:r>
        <w:rPr>
          <w:rFonts w:ascii="Arial-BoldItalicMT"/>
          <w:b/>
          <w:i/>
          <w:color w:val="231F20"/>
          <w:sz w:val="18"/>
        </w:rPr>
        <w:t>weapons</w:t>
      </w:r>
      <w:r>
        <w:rPr>
          <w:rFonts w:ascii="Arial-BoldItalicMT"/>
          <w:b/>
          <w:i/>
          <w:color w:val="231F20"/>
          <w:spacing w:val="-7"/>
          <w:sz w:val="18"/>
        </w:rPr>
        <w:t xml:space="preserve"> </w:t>
      </w:r>
      <w:r>
        <w:rPr>
          <w:rFonts w:ascii="Arial-BoldItalicMT"/>
          <w:b/>
          <w:i/>
          <w:color w:val="231F20"/>
          <w:sz w:val="18"/>
        </w:rPr>
        <w:t>found</w:t>
      </w:r>
      <w:r>
        <w:rPr>
          <w:rFonts w:ascii="Arial-BoldItalicMT"/>
          <w:b/>
          <w:i/>
          <w:color w:val="231F20"/>
          <w:spacing w:val="-6"/>
          <w:sz w:val="18"/>
        </w:rPr>
        <w:t xml:space="preserve"> </w:t>
      </w:r>
      <w:r>
        <w:rPr>
          <w:rFonts w:ascii="Arial-BoldItalicMT"/>
          <w:b/>
          <w:i/>
          <w:color w:val="231F20"/>
          <w:sz w:val="18"/>
        </w:rPr>
        <w:t>as</w:t>
      </w:r>
      <w:r>
        <w:rPr>
          <w:rFonts w:ascii="Arial-BoldItalicMT"/>
          <w:b/>
          <w:i/>
          <w:color w:val="231F20"/>
          <w:spacing w:val="-6"/>
          <w:sz w:val="18"/>
        </w:rPr>
        <w:t xml:space="preserve"> </w:t>
      </w:r>
      <w:r>
        <w:rPr>
          <w:rFonts w:ascii="Arial-BoldItalicMT"/>
          <w:b/>
          <w:i/>
          <w:color w:val="231F20"/>
          <w:sz w:val="18"/>
        </w:rPr>
        <w:t>result</w:t>
      </w:r>
      <w:r>
        <w:rPr>
          <w:rFonts w:ascii="Arial-BoldItalicMT"/>
          <w:b/>
          <w:i/>
          <w:color w:val="231F20"/>
          <w:spacing w:val="-7"/>
          <w:sz w:val="18"/>
        </w:rPr>
        <w:t xml:space="preserve"> </w:t>
      </w:r>
      <w:r>
        <w:rPr>
          <w:rFonts w:ascii="Arial-BoldItalicMT"/>
          <w:b/>
          <w:i/>
          <w:color w:val="231F20"/>
          <w:sz w:val="18"/>
        </w:rPr>
        <w:t>of</w:t>
      </w:r>
      <w:r>
        <w:rPr>
          <w:rFonts w:ascii="Arial-BoldItalicMT"/>
          <w:b/>
          <w:i/>
          <w:color w:val="231F20"/>
          <w:spacing w:val="-6"/>
          <w:sz w:val="18"/>
        </w:rPr>
        <w:t xml:space="preserve"> </w:t>
      </w:r>
      <w:r>
        <w:rPr>
          <w:rFonts w:ascii="Arial-BoldItalicMT"/>
          <w:b/>
          <w:i/>
          <w:color w:val="231F20"/>
          <w:sz w:val="18"/>
        </w:rPr>
        <w:t>a</w:t>
      </w:r>
      <w:r>
        <w:rPr>
          <w:rFonts w:ascii="Arial-BoldItalicMT"/>
          <w:b/>
          <w:i/>
          <w:color w:val="231F20"/>
          <w:spacing w:val="-6"/>
          <w:sz w:val="18"/>
        </w:rPr>
        <w:t xml:space="preserve"> </w:t>
      </w:r>
      <w:r>
        <w:rPr>
          <w:rFonts w:ascii="Arial-BoldItalicMT"/>
          <w:b/>
          <w:i/>
          <w:color w:val="231F20"/>
          <w:sz w:val="18"/>
        </w:rPr>
        <w:t>search</w:t>
      </w:r>
      <w:r>
        <w:rPr>
          <w:rFonts w:ascii="Arial-BoldItalicMT"/>
          <w:b/>
          <w:i/>
          <w:color w:val="231F20"/>
          <w:spacing w:val="-6"/>
          <w:sz w:val="18"/>
        </w:rPr>
        <w:t xml:space="preserve"> </w:t>
      </w:r>
      <w:r>
        <w:rPr>
          <w:rFonts w:ascii="Arial-BoldItalicMT"/>
          <w:b/>
          <w:i/>
          <w:color w:val="231F20"/>
          <w:sz w:val="18"/>
        </w:rPr>
        <w:t>referred</w:t>
      </w:r>
      <w:r>
        <w:rPr>
          <w:rFonts w:ascii="Arial-BoldItalicMT"/>
          <w:b/>
          <w:i/>
          <w:color w:val="231F20"/>
          <w:spacing w:val="-7"/>
          <w:sz w:val="18"/>
        </w:rPr>
        <w:t xml:space="preserve"> </w:t>
      </w:r>
      <w:r>
        <w:rPr>
          <w:rFonts w:ascii="Arial-BoldItalicMT"/>
          <w:b/>
          <w:i/>
          <w:color w:val="231F20"/>
          <w:sz w:val="18"/>
        </w:rPr>
        <w:t>to</w:t>
      </w:r>
      <w:r>
        <w:rPr>
          <w:rFonts w:ascii="Arial-BoldItalicMT"/>
          <w:b/>
          <w:i/>
          <w:color w:val="231F20"/>
          <w:spacing w:val="-6"/>
          <w:sz w:val="18"/>
        </w:rPr>
        <w:t xml:space="preserve"> </w:t>
      </w:r>
      <w:r>
        <w:rPr>
          <w:rFonts w:ascii="Arial-BoldItalicMT"/>
          <w:b/>
          <w:i/>
          <w:color w:val="231F20"/>
          <w:sz w:val="18"/>
        </w:rPr>
        <w:t>in</w:t>
      </w:r>
      <w:r>
        <w:rPr>
          <w:rFonts w:ascii="Arial-BoldItalicMT"/>
          <w:b/>
          <w:i/>
          <w:color w:val="231F20"/>
          <w:spacing w:val="-6"/>
          <w:sz w:val="18"/>
        </w:rPr>
        <w:t xml:space="preserve"> </w:t>
      </w:r>
      <w:r>
        <w:rPr>
          <w:rFonts w:ascii="Arial-BoldItalicMT"/>
          <w:b/>
          <w:i/>
          <w:color w:val="231F20"/>
          <w:sz w:val="18"/>
        </w:rPr>
        <w:t>section</w:t>
      </w:r>
      <w:r>
        <w:rPr>
          <w:rFonts w:ascii="Arial-BoldItalicMT"/>
          <w:b/>
          <w:i/>
          <w:color w:val="231F20"/>
          <w:spacing w:val="-6"/>
          <w:sz w:val="18"/>
        </w:rPr>
        <w:t xml:space="preserve"> </w:t>
      </w:r>
      <w:r>
        <w:rPr>
          <w:rFonts w:ascii="Arial-BoldItalicMT"/>
          <w:b/>
          <w:i/>
          <w:color w:val="231F20"/>
          <w:spacing w:val="-2"/>
          <w:sz w:val="18"/>
        </w:rPr>
        <w:t>10B(a)</w:t>
      </w:r>
    </w:p>
    <w:tbl>
      <w:tblPr>
        <w:tblW w:w="0" w:type="auto"/>
        <w:tblInd w:w="156" w:type="dxa"/>
        <w:tblLayout w:type="fixed"/>
        <w:tblCellMar>
          <w:left w:w="0" w:type="dxa"/>
          <w:right w:w="0" w:type="dxa"/>
        </w:tblCellMar>
        <w:tblLook w:val="0000" w:firstRow="0" w:lastRow="0" w:firstColumn="0" w:lastColumn="0" w:noHBand="0" w:noVBand="0"/>
      </w:tblPr>
      <w:tblGrid>
        <w:gridCol w:w="3997"/>
        <w:gridCol w:w="1701"/>
      </w:tblGrid>
      <w:tr w:rsidR="00345EE3" w:rsidRPr="00454B9E" w14:paraId="6F4B58D6" w14:textId="77777777" w:rsidTr="00D73130">
        <w:trPr>
          <w:trHeight w:val="60"/>
          <w:tblHeader/>
        </w:trPr>
        <w:tc>
          <w:tcPr>
            <w:tcW w:w="3997" w:type="dxa"/>
            <w:tcBorders>
              <w:top w:val="single" w:sz="2" w:space="0" w:color="FFFFFF"/>
              <w:left w:val="single" w:sz="6" w:space="0" w:color="000000"/>
              <w:bottom w:val="single" w:sz="6" w:space="0" w:color="9D9C9C"/>
              <w:right w:val="single" w:sz="2" w:space="0" w:color="FFFFFF"/>
            </w:tcBorders>
            <w:shd w:val="solid" w:color="004996" w:fill="auto"/>
            <w:tcMar>
              <w:top w:w="105" w:type="dxa"/>
              <w:left w:w="14" w:type="dxa"/>
              <w:bottom w:w="105" w:type="dxa"/>
              <w:right w:w="14" w:type="dxa"/>
            </w:tcMar>
          </w:tcPr>
          <w:p w14:paraId="3752FCAD"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54B9E">
              <w:rPr>
                <w:rFonts w:eastAsiaTheme="minorHAnsi"/>
                <w:b/>
                <w:bCs/>
                <w:color w:val="FFFFFF"/>
                <w:sz w:val="24"/>
                <w:szCs w:val="24"/>
                <w:lang w:val="en-GB"/>
              </w:rPr>
              <w:t>Weapon Type</w:t>
            </w:r>
          </w:p>
        </w:tc>
        <w:tc>
          <w:tcPr>
            <w:tcW w:w="1701" w:type="dxa"/>
            <w:tcBorders>
              <w:top w:val="single" w:sz="2" w:space="0" w:color="FFFFFF"/>
              <w:left w:val="single" w:sz="2" w:space="0" w:color="FFFFFF"/>
              <w:bottom w:val="single" w:sz="6" w:space="0" w:color="9D9C9C"/>
              <w:right w:val="single" w:sz="2" w:space="0" w:color="FFFFFF"/>
            </w:tcBorders>
            <w:shd w:val="solid" w:color="004996" w:fill="auto"/>
            <w:tcMar>
              <w:top w:w="105" w:type="dxa"/>
              <w:left w:w="14" w:type="dxa"/>
              <w:bottom w:w="105" w:type="dxa"/>
              <w:right w:w="14" w:type="dxa"/>
            </w:tcMar>
          </w:tcPr>
          <w:p w14:paraId="05B441C2"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454B9E">
              <w:rPr>
                <w:rFonts w:eastAsiaTheme="minorHAnsi"/>
                <w:b/>
                <w:bCs/>
                <w:color w:val="FFFFFF"/>
                <w:spacing w:val="-2"/>
                <w:sz w:val="24"/>
                <w:szCs w:val="24"/>
                <w:lang w:val="en-GB"/>
              </w:rPr>
              <w:t>Number</w:t>
            </w:r>
          </w:p>
        </w:tc>
      </w:tr>
      <w:tr w:rsidR="00345EE3" w:rsidRPr="00454B9E" w14:paraId="50FD8B49" w14:textId="77777777" w:rsidTr="00D73130">
        <w:trPr>
          <w:trHeight w:val="60"/>
        </w:trPr>
        <w:tc>
          <w:tcPr>
            <w:tcW w:w="5698" w:type="dxa"/>
            <w:gridSpan w:val="2"/>
            <w:tcBorders>
              <w:top w:val="single" w:sz="2" w:space="0" w:color="9D9C9C"/>
              <w:left w:val="single" w:sz="6" w:space="0" w:color="000000"/>
              <w:bottom w:val="single" w:sz="2" w:space="0" w:color="9D9C9C"/>
              <w:right w:val="single" w:sz="2" w:space="0" w:color="9D9C9C"/>
            </w:tcBorders>
            <w:shd w:val="clear" w:color="auto" w:fill="D9D9D9" w:themeFill="background1" w:themeFillShade="D9"/>
            <w:tcMar>
              <w:top w:w="105" w:type="dxa"/>
              <w:left w:w="14" w:type="dxa"/>
              <w:bottom w:w="105" w:type="dxa"/>
              <w:right w:w="14" w:type="dxa"/>
            </w:tcMar>
          </w:tcPr>
          <w:p w14:paraId="389BEDC6"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t xml:space="preserve">Prohibited Weapons </w:t>
            </w:r>
          </w:p>
        </w:tc>
      </w:tr>
      <w:tr w:rsidR="00345EE3" w:rsidRPr="00454B9E" w14:paraId="4E08C8BA"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29D55EDD"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Slingshot</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79A51AF9"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3</w:t>
            </w:r>
          </w:p>
        </w:tc>
      </w:tr>
      <w:tr w:rsidR="00345EE3" w:rsidRPr="00454B9E" w14:paraId="1CDD7154"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42097497"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Capsicum Spray</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7FCAA9B5"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w:t>
            </w:r>
          </w:p>
        </w:tc>
      </w:tr>
      <w:tr w:rsidR="00345EE3" w:rsidRPr="00454B9E" w14:paraId="167B9127"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76515EA2"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Electric Current Emit Article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2AA852C1"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5</w:t>
            </w:r>
          </w:p>
        </w:tc>
      </w:tr>
      <w:tr w:rsidR="00345EE3" w:rsidRPr="00454B9E" w14:paraId="19EEAE9D"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1D7C533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Baton/Bo-Chucks</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459255B4"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w:t>
            </w:r>
          </w:p>
        </w:tc>
      </w:tr>
      <w:tr w:rsidR="00345EE3" w:rsidRPr="00454B9E" w14:paraId="2DEA59B2"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74AD76CD"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Nunchaku</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3DB39866"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w:t>
            </w:r>
          </w:p>
        </w:tc>
      </w:tr>
      <w:tr w:rsidR="00345EE3" w:rsidRPr="00454B9E" w14:paraId="44BDE6D4"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127FD6F0"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Throwing Star</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4D655D6C"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153CF624"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444D30C0"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Flick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60541881"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10</w:t>
            </w:r>
          </w:p>
        </w:tc>
      </w:tr>
      <w:tr w:rsidR="00345EE3" w:rsidRPr="00454B9E" w14:paraId="125EE6E4"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5EBB7E6B"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Dagger</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59EDC9AD"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3</w:t>
            </w:r>
          </w:p>
        </w:tc>
      </w:tr>
      <w:tr w:rsidR="00345EE3" w:rsidRPr="00454B9E" w14:paraId="106E6FA5"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5DCC61AA"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Knuckle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04CB9060"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w:t>
            </w:r>
          </w:p>
        </w:tc>
      </w:tr>
      <w:tr w:rsidR="00345EE3" w:rsidRPr="00454B9E" w14:paraId="15706494"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77BDCC54"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Swordstick</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4754A5FB"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7FDF8A63"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13CF45CE"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Butterfly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11B5A09E"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4DB86999"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3DCCF29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Double-End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7A84A4EF"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w:t>
            </w:r>
          </w:p>
        </w:tc>
      </w:tr>
      <w:tr w:rsidR="00345EE3" w:rsidRPr="00454B9E" w14:paraId="4BA8C91B"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36B7E754"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Black Eagle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483245B3"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w:t>
            </w:r>
          </w:p>
        </w:tc>
      </w:tr>
      <w:tr w:rsidR="00345EE3" w:rsidRPr="00454B9E" w14:paraId="797F5F59"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2537EBEC"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Push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6D6291C7"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30A03DBF"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2679D471"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Trench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2AD7B750"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67800691"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0E6D9F62"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Throwing Blade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1E8821A9"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7A3BCE41"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3588CF07"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Ballistic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5C7B1E07"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50417E74"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63647A0A"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Shark Dart</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20AAB72A"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044B390D"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7B9D0AD1"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Extendable Baton</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52B4FC98"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11</w:t>
            </w:r>
          </w:p>
        </w:tc>
      </w:tr>
      <w:tr w:rsidR="00345EE3" w:rsidRPr="00454B9E" w14:paraId="0DE7F557"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54D8556E"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Knuckle Duster</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0A522F29"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16</w:t>
            </w:r>
          </w:p>
        </w:tc>
      </w:tr>
      <w:tr w:rsidR="00345EE3" w:rsidRPr="00454B9E" w14:paraId="7589B76C"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16BBBBFC"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Imitation Handgun</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3B2780EC"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7</w:t>
            </w:r>
          </w:p>
        </w:tc>
      </w:tr>
      <w:tr w:rsidR="00345EE3" w:rsidRPr="00454B9E" w14:paraId="64D90910"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3F4E9455"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Imitation Longarm</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449D6283"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7</w:t>
            </w:r>
          </w:p>
        </w:tc>
      </w:tr>
      <w:tr w:rsidR="00345EE3" w:rsidRPr="00454B9E" w14:paraId="18A2E54B"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753DA3F8"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Sword</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58C85648"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9</w:t>
            </w:r>
          </w:p>
        </w:tc>
      </w:tr>
      <w:tr w:rsidR="00345EE3" w:rsidRPr="00454B9E" w14:paraId="7AEC7446" w14:textId="77777777" w:rsidTr="00D73130">
        <w:trPr>
          <w:trHeight w:val="60"/>
        </w:trPr>
        <w:tc>
          <w:tcPr>
            <w:tcW w:w="5698" w:type="dxa"/>
            <w:gridSpan w:val="2"/>
            <w:tcBorders>
              <w:top w:val="single" w:sz="2" w:space="0" w:color="9D9C9C"/>
              <w:left w:val="single" w:sz="6" w:space="0" w:color="000000"/>
              <w:bottom w:val="single" w:sz="2" w:space="0" w:color="9D9C9C"/>
              <w:right w:val="single" w:sz="2" w:space="0" w:color="9D9C9C"/>
            </w:tcBorders>
            <w:shd w:val="clear" w:color="auto" w:fill="D9D9D9" w:themeFill="background1" w:themeFillShade="D9"/>
            <w:tcMar>
              <w:top w:w="105" w:type="dxa"/>
              <w:left w:w="14" w:type="dxa"/>
              <w:bottom w:w="105" w:type="dxa"/>
              <w:right w:w="14" w:type="dxa"/>
            </w:tcMar>
          </w:tcPr>
          <w:p w14:paraId="3C433F9E"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t>Dangerous Articles</w:t>
            </w:r>
          </w:p>
        </w:tc>
      </w:tr>
      <w:tr w:rsidR="00345EE3" w:rsidRPr="00454B9E" w14:paraId="1603F1F7"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5C35A680"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Axe/Tomahawk</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11416D1F"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14</w:t>
            </w:r>
          </w:p>
        </w:tc>
      </w:tr>
      <w:tr w:rsidR="00345EE3" w:rsidRPr="00454B9E" w14:paraId="7DC88CE5"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306650F2"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Bat/Bar/Club</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603C20F0"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19</w:t>
            </w:r>
          </w:p>
        </w:tc>
      </w:tr>
      <w:tr w:rsidR="00345EE3" w:rsidRPr="00454B9E" w14:paraId="2B1433E9"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11D23B1C"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Syringe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493255D9"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6</w:t>
            </w:r>
          </w:p>
        </w:tc>
      </w:tr>
      <w:tr w:rsidR="00345EE3" w:rsidRPr="00454B9E" w14:paraId="0447AA21"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41182F76"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Other Weapon</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57E19616"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32</w:t>
            </w:r>
          </w:p>
        </w:tc>
      </w:tr>
      <w:tr w:rsidR="00345EE3" w:rsidRPr="00454B9E" w14:paraId="2A0E2EEE" w14:textId="77777777" w:rsidTr="00D73130">
        <w:trPr>
          <w:trHeight w:val="60"/>
        </w:trPr>
        <w:tc>
          <w:tcPr>
            <w:tcW w:w="5698" w:type="dxa"/>
            <w:gridSpan w:val="2"/>
            <w:tcBorders>
              <w:top w:val="single" w:sz="2" w:space="0" w:color="9D9C9C"/>
              <w:left w:val="single" w:sz="6" w:space="0" w:color="000000"/>
              <w:bottom w:val="single" w:sz="2" w:space="0" w:color="9D9C9C"/>
              <w:right w:val="single" w:sz="2" w:space="0" w:color="9D9C9C"/>
            </w:tcBorders>
            <w:shd w:val="clear" w:color="auto" w:fill="D9D9D9" w:themeFill="background1" w:themeFillShade="D9"/>
            <w:tcMar>
              <w:top w:w="105" w:type="dxa"/>
              <w:left w:w="14" w:type="dxa"/>
              <w:bottom w:w="105" w:type="dxa"/>
              <w:right w:w="14" w:type="dxa"/>
            </w:tcMar>
          </w:tcPr>
          <w:p w14:paraId="4C566930"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t>Controlled Weapons</w:t>
            </w:r>
          </w:p>
        </w:tc>
      </w:tr>
      <w:tr w:rsidR="00345EE3" w:rsidRPr="00454B9E" w14:paraId="2153016A"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7D2B27CA"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7BA26D96"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244</w:t>
            </w:r>
          </w:p>
        </w:tc>
      </w:tr>
      <w:tr w:rsidR="00345EE3" w:rsidRPr="00454B9E" w14:paraId="416FA67E"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086A04F8"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Baton or Cudgel</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664D602E"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3</w:t>
            </w:r>
          </w:p>
        </w:tc>
      </w:tr>
      <w:tr w:rsidR="00345EE3" w:rsidRPr="00454B9E" w14:paraId="7909B1EB"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73530B2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Bayonet</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53E0FAFE"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w:t>
            </w:r>
          </w:p>
        </w:tc>
      </w:tr>
      <w:tr w:rsidR="00345EE3" w:rsidRPr="00454B9E" w14:paraId="75B6B454" w14:textId="77777777" w:rsidTr="00D73130">
        <w:trPr>
          <w:trHeight w:val="60"/>
        </w:trPr>
        <w:tc>
          <w:tcPr>
            <w:tcW w:w="3997" w:type="dxa"/>
            <w:tcBorders>
              <w:top w:val="single" w:sz="2" w:space="0" w:color="9D9C9C"/>
              <w:left w:val="single" w:sz="6" w:space="0" w:color="000000"/>
              <w:bottom w:val="single" w:sz="6" w:space="0" w:color="000000"/>
              <w:right w:val="single" w:sz="2" w:space="0" w:color="9D9C9C"/>
            </w:tcBorders>
            <w:tcMar>
              <w:top w:w="105" w:type="dxa"/>
              <w:left w:w="14" w:type="dxa"/>
              <w:bottom w:w="105" w:type="dxa"/>
              <w:right w:w="14" w:type="dxa"/>
            </w:tcMar>
          </w:tcPr>
          <w:p w14:paraId="03FB87CD"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t>Total</w:t>
            </w:r>
          </w:p>
        </w:tc>
        <w:tc>
          <w:tcPr>
            <w:tcW w:w="1701" w:type="dxa"/>
            <w:tcBorders>
              <w:top w:val="single" w:sz="2" w:space="0" w:color="9D9C9C"/>
              <w:left w:val="single" w:sz="2" w:space="0" w:color="9D9C9C"/>
              <w:bottom w:val="single" w:sz="6" w:space="0" w:color="000000"/>
              <w:right w:val="single" w:sz="6" w:space="0" w:color="9D9C9C"/>
            </w:tcBorders>
            <w:tcMar>
              <w:top w:w="105" w:type="dxa"/>
              <w:left w:w="14" w:type="dxa"/>
              <w:bottom w:w="105" w:type="dxa"/>
              <w:right w:w="14" w:type="dxa"/>
            </w:tcMar>
          </w:tcPr>
          <w:p w14:paraId="639567A9"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b/>
                <w:bCs/>
                <w:color w:val="000000"/>
                <w:sz w:val="24"/>
                <w:szCs w:val="24"/>
                <w:lang w:val="en-GB"/>
              </w:rPr>
              <w:t>411</w:t>
            </w:r>
          </w:p>
        </w:tc>
      </w:tr>
    </w:tbl>
    <w:p w14:paraId="7D30F6F8" w14:textId="77777777" w:rsidR="00345EE3" w:rsidRDefault="00345EE3" w:rsidP="00345EE3">
      <w:pPr>
        <w:pStyle w:val="BodyText"/>
        <w:spacing w:before="4"/>
        <w:rPr>
          <w:rFonts w:ascii="Arial-BoldItalicMT"/>
          <w:b/>
          <w:i/>
          <w:sz w:val="2"/>
        </w:rPr>
      </w:pPr>
    </w:p>
    <w:p w14:paraId="5A7F7D0E" w14:textId="77777777" w:rsidR="00345EE3" w:rsidRPr="007517B3" w:rsidRDefault="00345EE3" w:rsidP="00345EE3">
      <w:pPr>
        <w:spacing w:before="75"/>
        <w:ind w:left="110"/>
        <w:rPr>
          <w:sz w:val="18"/>
          <w:szCs w:val="18"/>
        </w:rPr>
      </w:pPr>
      <w:r w:rsidRPr="007517B3">
        <w:rPr>
          <w:rFonts w:ascii="Arial-BoldItalicMT"/>
          <w:b/>
          <w:i/>
          <w:color w:val="231F20"/>
          <w:sz w:val="18"/>
          <w:szCs w:val="18"/>
        </w:rPr>
        <w:t xml:space="preserve">Source: </w:t>
      </w:r>
      <w:r w:rsidRPr="007517B3">
        <w:rPr>
          <w:color w:val="231F20"/>
          <w:sz w:val="18"/>
          <w:szCs w:val="18"/>
        </w:rPr>
        <w:t>Corporate</w:t>
      </w:r>
      <w:r w:rsidRPr="007517B3">
        <w:rPr>
          <w:color w:val="231F20"/>
          <w:spacing w:val="1"/>
          <w:sz w:val="18"/>
          <w:szCs w:val="18"/>
        </w:rPr>
        <w:t xml:space="preserve"> </w:t>
      </w:r>
      <w:r w:rsidRPr="007517B3">
        <w:rPr>
          <w:color w:val="231F20"/>
          <w:sz w:val="18"/>
          <w:szCs w:val="18"/>
        </w:rPr>
        <w:t>Statistics Unit.</w:t>
      </w:r>
      <w:r w:rsidRPr="007517B3">
        <w:rPr>
          <w:color w:val="231F20"/>
          <w:spacing w:val="1"/>
          <w:sz w:val="18"/>
          <w:szCs w:val="18"/>
        </w:rPr>
        <w:t xml:space="preserve"> </w:t>
      </w:r>
      <w:r w:rsidRPr="007517B3">
        <w:rPr>
          <w:color w:val="231F20"/>
          <w:sz w:val="18"/>
          <w:szCs w:val="18"/>
        </w:rPr>
        <w:t>Data extracted from</w:t>
      </w:r>
      <w:r w:rsidRPr="007517B3">
        <w:rPr>
          <w:color w:val="231F20"/>
          <w:spacing w:val="1"/>
          <w:sz w:val="18"/>
          <w:szCs w:val="18"/>
        </w:rPr>
        <w:t xml:space="preserve"> </w:t>
      </w:r>
      <w:r w:rsidRPr="007517B3">
        <w:rPr>
          <w:color w:val="231F20"/>
          <w:sz w:val="18"/>
          <w:szCs w:val="18"/>
        </w:rPr>
        <w:t>LEAP on</w:t>
      </w:r>
      <w:r w:rsidRPr="007517B3">
        <w:rPr>
          <w:color w:val="231F20"/>
          <w:spacing w:val="1"/>
          <w:sz w:val="18"/>
          <w:szCs w:val="18"/>
        </w:rPr>
        <w:t xml:space="preserve"> </w:t>
      </w:r>
      <w:r w:rsidRPr="007517B3">
        <w:rPr>
          <w:color w:val="231F20"/>
          <w:sz w:val="18"/>
          <w:szCs w:val="18"/>
        </w:rPr>
        <w:t>5 July</w:t>
      </w:r>
      <w:r w:rsidRPr="007517B3">
        <w:rPr>
          <w:color w:val="231F20"/>
          <w:spacing w:val="1"/>
          <w:sz w:val="18"/>
          <w:szCs w:val="18"/>
        </w:rPr>
        <w:t xml:space="preserve"> </w:t>
      </w:r>
      <w:r w:rsidRPr="007517B3">
        <w:rPr>
          <w:color w:val="231F20"/>
          <w:sz w:val="18"/>
          <w:szCs w:val="18"/>
        </w:rPr>
        <w:t>2022 and</w:t>
      </w:r>
      <w:r w:rsidRPr="007517B3">
        <w:rPr>
          <w:color w:val="231F20"/>
          <w:spacing w:val="1"/>
          <w:sz w:val="18"/>
          <w:szCs w:val="18"/>
        </w:rPr>
        <w:t xml:space="preserve"> </w:t>
      </w:r>
      <w:r w:rsidRPr="007517B3">
        <w:rPr>
          <w:color w:val="231F20"/>
          <w:sz w:val="18"/>
          <w:szCs w:val="18"/>
        </w:rPr>
        <w:t>based on</w:t>
      </w:r>
      <w:r w:rsidRPr="007517B3">
        <w:rPr>
          <w:color w:val="231F20"/>
          <w:spacing w:val="1"/>
          <w:sz w:val="18"/>
          <w:szCs w:val="18"/>
        </w:rPr>
        <w:t xml:space="preserve"> </w:t>
      </w:r>
      <w:r w:rsidRPr="007517B3">
        <w:rPr>
          <w:color w:val="231F20"/>
          <w:sz w:val="18"/>
          <w:szCs w:val="18"/>
        </w:rPr>
        <w:t>Field Contact</w:t>
      </w:r>
      <w:r w:rsidRPr="007517B3">
        <w:rPr>
          <w:color w:val="231F20"/>
          <w:spacing w:val="1"/>
          <w:sz w:val="18"/>
          <w:szCs w:val="18"/>
        </w:rPr>
        <w:t xml:space="preserve"> </w:t>
      </w:r>
      <w:r w:rsidRPr="007517B3">
        <w:rPr>
          <w:color w:val="231F20"/>
          <w:spacing w:val="-2"/>
          <w:sz w:val="18"/>
          <w:szCs w:val="18"/>
        </w:rPr>
        <w:t>data.</w:t>
      </w:r>
    </w:p>
    <w:p w14:paraId="67ED70C1" w14:textId="77777777" w:rsidR="00345EE3" w:rsidRPr="007517B3" w:rsidRDefault="00345EE3" w:rsidP="00345EE3">
      <w:pPr>
        <w:spacing w:before="27"/>
        <w:ind w:left="110"/>
        <w:rPr>
          <w:sz w:val="18"/>
          <w:szCs w:val="18"/>
        </w:rPr>
      </w:pPr>
      <w:r w:rsidRPr="007517B3">
        <w:rPr>
          <w:rFonts w:ascii="Arial-BoldItalicMT" w:hAnsi="Arial-BoldItalicMT"/>
          <w:b/>
          <w:i/>
          <w:color w:val="231F20"/>
          <w:sz w:val="18"/>
          <w:szCs w:val="18"/>
        </w:rPr>
        <w:t>Notes:</w:t>
      </w:r>
      <w:r w:rsidRPr="007517B3">
        <w:rPr>
          <w:rFonts w:ascii="Arial-BoldItalicMT" w:hAnsi="Arial-BoldItalicMT"/>
          <w:b/>
          <w:i/>
          <w:color w:val="231F20"/>
          <w:spacing w:val="-3"/>
          <w:sz w:val="18"/>
          <w:szCs w:val="18"/>
        </w:rPr>
        <w:t xml:space="preserve"> </w:t>
      </w:r>
      <w:r w:rsidRPr="007517B3">
        <w:rPr>
          <w:color w:val="231F20"/>
          <w:sz w:val="18"/>
          <w:szCs w:val="18"/>
        </w:rPr>
        <w:t>Weapons</w:t>
      </w:r>
      <w:r w:rsidRPr="007517B3">
        <w:rPr>
          <w:color w:val="231F20"/>
          <w:spacing w:val="-1"/>
          <w:sz w:val="18"/>
          <w:szCs w:val="18"/>
        </w:rPr>
        <w:t xml:space="preserve"> </w:t>
      </w:r>
      <w:r w:rsidRPr="007517B3">
        <w:rPr>
          <w:color w:val="231F20"/>
          <w:sz w:val="18"/>
          <w:szCs w:val="18"/>
        </w:rPr>
        <w:t>data</w:t>
      </w:r>
      <w:r w:rsidRPr="007517B3">
        <w:rPr>
          <w:color w:val="231F20"/>
          <w:spacing w:val="-1"/>
          <w:sz w:val="18"/>
          <w:szCs w:val="18"/>
        </w:rPr>
        <w:t xml:space="preserve"> </w:t>
      </w:r>
      <w:r w:rsidRPr="007517B3">
        <w:rPr>
          <w:color w:val="231F20"/>
          <w:sz w:val="18"/>
          <w:szCs w:val="18"/>
        </w:rPr>
        <w:t>based</w:t>
      </w:r>
      <w:r w:rsidRPr="007517B3">
        <w:rPr>
          <w:color w:val="231F20"/>
          <w:spacing w:val="-2"/>
          <w:sz w:val="18"/>
          <w:szCs w:val="18"/>
        </w:rPr>
        <w:t xml:space="preserve"> </w:t>
      </w:r>
      <w:r w:rsidRPr="007517B3">
        <w:rPr>
          <w:color w:val="231F20"/>
          <w:sz w:val="18"/>
          <w:szCs w:val="18"/>
        </w:rPr>
        <w:t>on</w:t>
      </w:r>
      <w:r w:rsidRPr="007517B3">
        <w:rPr>
          <w:color w:val="231F20"/>
          <w:spacing w:val="-1"/>
          <w:sz w:val="18"/>
          <w:szCs w:val="18"/>
        </w:rPr>
        <w:t xml:space="preserve"> </w:t>
      </w:r>
      <w:r w:rsidRPr="007517B3">
        <w:rPr>
          <w:color w:val="231F20"/>
          <w:sz w:val="18"/>
          <w:szCs w:val="18"/>
        </w:rPr>
        <w:t>Modus</w:t>
      </w:r>
      <w:r w:rsidRPr="007517B3">
        <w:rPr>
          <w:color w:val="231F20"/>
          <w:spacing w:val="-1"/>
          <w:sz w:val="18"/>
          <w:szCs w:val="18"/>
        </w:rPr>
        <w:t xml:space="preserve"> </w:t>
      </w:r>
      <w:r w:rsidRPr="007517B3">
        <w:rPr>
          <w:color w:val="231F20"/>
          <w:sz w:val="18"/>
          <w:szCs w:val="18"/>
        </w:rPr>
        <w:t>Operandi</w:t>
      </w:r>
      <w:r w:rsidRPr="007517B3">
        <w:rPr>
          <w:color w:val="231F20"/>
          <w:spacing w:val="-2"/>
          <w:sz w:val="18"/>
          <w:szCs w:val="18"/>
        </w:rPr>
        <w:t xml:space="preserve"> </w:t>
      </w:r>
      <w:r w:rsidRPr="007517B3">
        <w:rPr>
          <w:color w:val="231F20"/>
          <w:sz w:val="18"/>
          <w:szCs w:val="18"/>
        </w:rPr>
        <w:t>(MO)</w:t>
      </w:r>
      <w:r w:rsidRPr="007517B3">
        <w:rPr>
          <w:color w:val="231F20"/>
          <w:spacing w:val="-1"/>
          <w:sz w:val="18"/>
          <w:szCs w:val="18"/>
        </w:rPr>
        <w:t xml:space="preserve"> </w:t>
      </w:r>
      <w:r w:rsidRPr="007517B3">
        <w:rPr>
          <w:color w:val="231F20"/>
          <w:sz w:val="18"/>
          <w:szCs w:val="18"/>
        </w:rPr>
        <w:t>data</w:t>
      </w:r>
      <w:r w:rsidRPr="007517B3">
        <w:rPr>
          <w:color w:val="231F20"/>
          <w:spacing w:val="-1"/>
          <w:sz w:val="18"/>
          <w:szCs w:val="18"/>
        </w:rPr>
        <w:t xml:space="preserve"> </w:t>
      </w:r>
      <w:r w:rsidRPr="007517B3">
        <w:rPr>
          <w:color w:val="231F20"/>
          <w:sz w:val="18"/>
          <w:szCs w:val="18"/>
        </w:rPr>
        <w:t>–</w:t>
      </w:r>
      <w:r w:rsidRPr="007517B3">
        <w:rPr>
          <w:color w:val="231F20"/>
          <w:spacing w:val="-1"/>
          <w:sz w:val="18"/>
          <w:szCs w:val="18"/>
        </w:rPr>
        <w:t xml:space="preserve"> </w:t>
      </w:r>
      <w:r w:rsidRPr="007517B3">
        <w:rPr>
          <w:color w:val="231F20"/>
          <w:sz w:val="18"/>
          <w:szCs w:val="18"/>
        </w:rPr>
        <w:t>not</w:t>
      </w:r>
      <w:r w:rsidRPr="007517B3">
        <w:rPr>
          <w:color w:val="231F20"/>
          <w:spacing w:val="-2"/>
          <w:sz w:val="18"/>
          <w:szCs w:val="18"/>
        </w:rPr>
        <w:t xml:space="preserve"> </w:t>
      </w:r>
      <w:r w:rsidRPr="007517B3">
        <w:rPr>
          <w:color w:val="231F20"/>
          <w:sz w:val="18"/>
          <w:szCs w:val="18"/>
        </w:rPr>
        <w:t>a</w:t>
      </w:r>
      <w:r w:rsidRPr="007517B3">
        <w:rPr>
          <w:color w:val="231F20"/>
          <w:spacing w:val="-1"/>
          <w:sz w:val="18"/>
          <w:szCs w:val="18"/>
        </w:rPr>
        <w:t xml:space="preserve"> </w:t>
      </w:r>
      <w:r w:rsidRPr="007517B3">
        <w:rPr>
          <w:color w:val="231F20"/>
          <w:sz w:val="18"/>
          <w:szCs w:val="18"/>
        </w:rPr>
        <w:t>mandatory</w:t>
      </w:r>
      <w:r w:rsidRPr="007517B3">
        <w:rPr>
          <w:color w:val="231F20"/>
          <w:spacing w:val="-1"/>
          <w:sz w:val="18"/>
          <w:szCs w:val="18"/>
        </w:rPr>
        <w:t xml:space="preserve"> </w:t>
      </w:r>
      <w:r w:rsidRPr="007517B3">
        <w:rPr>
          <w:color w:val="231F20"/>
          <w:sz w:val="18"/>
          <w:szCs w:val="18"/>
        </w:rPr>
        <w:t>field</w:t>
      </w:r>
      <w:r w:rsidRPr="007517B3">
        <w:rPr>
          <w:color w:val="231F20"/>
          <w:spacing w:val="-2"/>
          <w:sz w:val="18"/>
          <w:szCs w:val="18"/>
        </w:rPr>
        <w:t xml:space="preserve"> </w:t>
      </w:r>
      <w:r w:rsidRPr="007517B3">
        <w:rPr>
          <w:color w:val="231F20"/>
          <w:sz w:val="18"/>
          <w:szCs w:val="18"/>
        </w:rPr>
        <w:t>and</w:t>
      </w:r>
      <w:r w:rsidRPr="007517B3">
        <w:rPr>
          <w:color w:val="231F20"/>
          <w:spacing w:val="-1"/>
          <w:sz w:val="18"/>
          <w:szCs w:val="18"/>
        </w:rPr>
        <w:t xml:space="preserve"> </w:t>
      </w:r>
      <w:r w:rsidRPr="007517B3">
        <w:rPr>
          <w:color w:val="231F20"/>
          <w:sz w:val="18"/>
          <w:szCs w:val="18"/>
        </w:rPr>
        <w:t>can</w:t>
      </w:r>
      <w:r w:rsidRPr="007517B3">
        <w:rPr>
          <w:color w:val="231F20"/>
          <w:spacing w:val="-1"/>
          <w:sz w:val="18"/>
          <w:szCs w:val="18"/>
        </w:rPr>
        <w:t xml:space="preserve"> </w:t>
      </w:r>
      <w:r w:rsidRPr="007517B3">
        <w:rPr>
          <w:color w:val="231F20"/>
          <w:sz w:val="18"/>
          <w:szCs w:val="18"/>
        </w:rPr>
        <w:t>be</w:t>
      </w:r>
      <w:r w:rsidRPr="007517B3">
        <w:rPr>
          <w:color w:val="231F20"/>
          <w:spacing w:val="-1"/>
          <w:sz w:val="18"/>
          <w:szCs w:val="18"/>
        </w:rPr>
        <w:t xml:space="preserve"> </w:t>
      </w:r>
      <w:r w:rsidRPr="007517B3">
        <w:rPr>
          <w:color w:val="231F20"/>
          <w:spacing w:val="-2"/>
          <w:sz w:val="18"/>
          <w:szCs w:val="18"/>
        </w:rPr>
        <w:t>subjective.</w:t>
      </w:r>
    </w:p>
    <w:p w14:paraId="1B0B80D2" w14:textId="77777777" w:rsidR="00345EE3" w:rsidRDefault="00345EE3" w:rsidP="00345EE3">
      <w:pPr>
        <w:spacing w:before="240"/>
        <w:ind w:left="110"/>
        <w:rPr>
          <w:rFonts w:ascii="Arial-BoldItalicMT"/>
          <w:b/>
          <w:i/>
          <w:sz w:val="18"/>
        </w:rPr>
      </w:pPr>
      <w:r>
        <w:rPr>
          <w:color w:val="231F20"/>
          <w:sz w:val="18"/>
        </w:rPr>
        <w:t>Table</w:t>
      </w:r>
      <w:r>
        <w:rPr>
          <w:color w:val="231F20"/>
          <w:spacing w:val="-4"/>
          <w:sz w:val="18"/>
        </w:rPr>
        <w:t xml:space="preserve"> </w:t>
      </w:r>
      <w:r>
        <w:rPr>
          <w:color w:val="231F20"/>
          <w:sz w:val="18"/>
        </w:rPr>
        <w:t>5.10:</w:t>
      </w:r>
      <w:r>
        <w:rPr>
          <w:color w:val="231F20"/>
          <w:spacing w:val="-3"/>
          <w:sz w:val="18"/>
        </w:rPr>
        <w:t xml:space="preserve"> </w:t>
      </w:r>
      <w:r>
        <w:rPr>
          <w:rFonts w:ascii="Arial-BoldItalicMT"/>
          <w:b/>
          <w:i/>
          <w:color w:val="231F20"/>
          <w:sz w:val="18"/>
        </w:rPr>
        <w:t>Prohibited,</w:t>
      </w:r>
      <w:r>
        <w:rPr>
          <w:rFonts w:ascii="Arial-BoldItalicMT"/>
          <w:b/>
          <w:i/>
          <w:color w:val="231F20"/>
          <w:spacing w:val="-7"/>
          <w:sz w:val="18"/>
        </w:rPr>
        <w:t xml:space="preserve"> </w:t>
      </w:r>
      <w:r>
        <w:rPr>
          <w:rFonts w:ascii="Arial-BoldItalicMT"/>
          <w:b/>
          <w:i/>
          <w:color w:val="231F20"/>
          <w:sz w:val="18"/>
        </w:rPr>
        <w:t>Dangerous</w:t>
      </w:r>
      <w:r>
        <w:rPr>
          <w:rFonts w:ascii="Arial-BoldItalicMT"/>
          <w:b/>
          <w:i/>
          <w:color w:val="231F20"/>
          <w:spacing w:val="-6"/>
          <w:sz w:val="18"/>
        </w:rPr>
        <w:t xml:space="preserve"> </w:t>
      </w:r>
      <w:r>
        <w:rPr>
          <w:rFonts w:ascii="Arial-BoldItalicMT"/>
          <w:b/>
          <w:i/>
          <w:color w:val="231F20"/>
          <w:sz w:val="18"/>
        </w:rPr>
        <w:t>and</w:t>
      </w:r>
      <w:r>
        <w:rPr>
          <w:rFonts w:ascii="Arial-BoldItalicMT"/>
          <w:b/>
          <w:i/>
          <w:color w:val="231F20"/>
          <w:spacing w:val="-6"/>
          <w:sz w:val="18"/>
        </w:rPr>
        <w:t xml:space="preserve"> </w:t>
      </w:r>
      <w:r>
        <w:rPr>
          <w:rFonts w:ascii="Arial-BoldItalicMT"/>
          <w:b/>
          <w:i/>
          <w:color w:val="231F20"/>
          <w:sz w:val="18"/>
        </w:rPr>
        <w:t>Controlled</w:t>
      </w:r>
      <w:r>
        <w:rPr>
          <w:rFonts w:ascii="Arial-BoldItalicMT"/>
          <w:b/>
          <w:i/>
          <w:color w:val="231F20"/>
          <w:spacing w:val="-7"/>
          <w:sz w:val="18"/>
        </w:rPr>
        <w:t xml:space="preserve"> </w:t>
      </w:r>
      <w:r>
        <w:rPr>
          <w:rFonts w:ascii="Arial-BoldItalicMT"/>
          <w:b/>
          <w:i/>
          <w:color w:val="231F20"/>
          <w:sz w:val="18"/>
        </w:rPr>
        <w:t>weapons</w:t>
      </w:r>
      <w:r>
        <w:rPr>
          <w:rFonts w:ascii="Arial-BoldItalicMT"/>
          <w:b/>
          <w:i/>
          <w:color w:val="231F20"/>
          <w:spacing w:val="-6"/>
          <w:sz w:val="18"/>
        </w:rPr>
        <w:t xml:space="preserve"> </w:t>
      </w:r>
      <w:r>
        <w:rPr>
          <w:rFonts w:ascii="Arial-BoldItalicMT"/>
          <w:b/>
          <w:i/>
          <w:color w:val="231F20"/>
          <w:sz w:val="18"/>
        </w:rPr>
        <w:t>found</w:t>
      </w:r>
      <w:r>
        <w:rPr>
          <w:rFonts w:ascii="Arial-BoldItalicMT"/>
          <w:b/>
          <w:i/>
          <w:color w:val="231F20"/>
          <w:spacing w:val="-6"/>
          <w:sz w:val="18"/>
        </w:rPr>
        <w:t xml:space="preserve"> </w:t>
      </w:r>
      <w:r>
        <w:rPr>
          <w:rFonts w:ascii="Arial-BoldItalicMT"/>
          <w:b/>
          <w:i/>
          <w:color w:val="231F20"/>
          <w:sz w:val="18"/>
        </w:rPr>
        <w:t>as</w:t>
      </w:r>
      <w:r>
        <w:rPr>
          <w:rFonts w:ascii="Arial-BoldItalicMT"/>
          <w:b/>
          <w:i/>
          <w:color w:val="231F20"/>
          <w:spacing w:val="-7"/>
          <w:sz w:val="18"/>
        </w:rPr>
        <w:t xml:space="preserve"> </w:t>
      </w:r>
      <w:r>
        <w:rPr>
          <w:rFonts w:ascii="Arial-BoldItalicMT"/>
          <w:b/>
          <w:i/>
          <w:color w:val="231F20"/>
          <w:sz w:val="18"/>
        </w:rPr>
        <w:t>result</w:t>
      </w:r>
      <w:r>
        <w:rPr>
          <w:rFonts w:ascii="Arial-BoldItalicMT"/>
          <w:b/>
          <w:i/>
          <w:color w:val="231F20"/>
          <w:spacing w:val="-6"/>
          <w:sz w:val="18"/>
        </w:rPr>
        <w:t xml:space="preserve"> </w:t>
      </w:r>
      <w:r>
        <w:rPr>
          <w:rFonts w:ascii="Arial-BoldItalicMT"/>
          <w:b/>
          <w:i/>
          <w:color w:val="231F20"/>
          <w:sz w:val="18"/>
        </w:rPr>
        <w:t>of</w:t>
      </w:r>
      <w:r>
        <w:rPr>
          <w:rFonts w:ascii="Arial-BoldItalicMT"/>
          <w:b/>
          <w:i/>
          <w:color w:val="231F20"/>
          <w:spacing w:val="-6"/>
          <w:sz w:val="18"/>
        </w:rPr>
        <w:t xml:space="preserve"> </w:t>
      </w:r>
      <w:r>
        <w:rPr>
          <w:rFonts w:ascii="Arial-BoldItalicMT"/>
          <w:b/>
          <w:i/>
          <w:color w:val="231F20"/>
          <w:sz w:val="18"/>
        </w:rPr>
        <w:t>a</w:t>
      </w:r>
      <w:r>
        <w:rPr>
          <w:rFonts w:ascii="Arial-BoldItalicMT"/>
          <w:b/>
          <w:i/>
          <w:color w:val="231F20"/>
          <w:spacing w:val="-7"/>
          <w:sz w:val="18"/>
        </w:rPr>
        <w:t xml:space="preserve"> </w:t>
      </w:r>
      <w:r>
        <w:rPr>
          <w:rFonts w:ascii="Arial-BoldItalicMT"/>
          <w:b/>
          <w:i/>
          <w:color w:val="231F20"/>
          <w:sz w:val="18"/>
        </w:rPr>
        <w:t>search</w:t>
      </w:r>
      <w:r>
        <w:rPr>
          <w:rFonts w:ascii="Arial-BoldItalicMT"/>
          <w:b/>
          <w:i/>
          <w:color w:val="231F20"/>
          <w:spacing w:val="-6"/>
          <w:sz w:val="18"/>
        </w:rPr>
        <w:t xml:space="preserve"> </w:t>
      </w:r>
      <w:r>
        <w:rPr>
          <w:rFonts w:ascii="Arial-BoldItalicMT"/>
          <w:b/>
          <w:i/>
          <w:color w:val="231F20"/>
          <w:sz w:val="18"/>
        </w:rPr>
        <w:t>referred</w:t>
      </w:r>
      <w:r>
        <w:rPr>
          <w:rFonts w:ascii="Arial-BoldItalicMT"/>
          <w:b/>
          <w:i/>
          <w:color w:val="231F20"/>
          <w:spacing w:val="-6"/>
          <w:sz w:val="18"/>
        </w:rPr>
        <w:t xml:space="preserve"> </w:t>
      </w:r>
      <w:r>
        <w:rPr>
          <w:rFonts w:ascii="Arial-BoldItalicMT"/>
          <w:b/>
          <w:i/>
          <w:color w:val="231F20"/>
          <w:sz w:val="18"/>
        </w:rPr>
        <w:t>to</w:t>
      </w:r>
      <w:r>
        <w:rPr>
          <w:rFonts w:ascii="Arial-BoldItalicMT"/>
          <w:b/>
          <w:i/>
          <w:color w:val="231F20"/>
          <w:spacing w:val="-7"/>
          <w:sz w:val="18"/>
        </w:rPr>
        <w:t xml:space="preserve"> </w:t>
      </w:r>
      <w:r>
        <w:rPr>
          <w:rFonts w:ascii="Arial-BoldItalicMT"/>
          <w:b/>
          <w:i/>
          <w:color w:val="231F20"/>
          <w:sz w:val="18"/>
        </w:rPr>
        <w:t>in</w:t>
      </w:r>
      <w:r>
        <w:rPr>
          <w:rFonts w:ascii="Arial-BoldItalicMT"/>
          <w:b/>
          <w:i/>
          <w:color w:val="231F20"/>
          <w:spacing w:val="-6"/>
          <w:sz w:val="18"/>
        </w:rPr>
        <w:t xml:space="preserve"> </w:t>
      </w:r>
      <w:r>
        <w:rPr>
          <w:rFonts w:ascii="Arial-BoldItalicMT"/>
          <w:b/>
          <w:i/>
          <w:color w:val="231F20"/>
          <w:sz w:val="18"/>
        </w:rPr>
        <w:t>section</w:t>
      </w:r>
      <w:r>
        <w:rPr>
          <w:rFonts w:ascii="Arial-BoldItalicMT"/>
          <w:b/>
          <w:i/>
          <w:color w:val="231F20"/>
          <w:spacing w:val="-6"/>
          <w:sz w:val="18"/>
        </w:rPr>
        <w:t xml:space="preserve"> </w:t>
      </w:r>
      <w:r>
        <w:rPr>
          <w:rFonts w:ascii="Arial-BoldItalicMT"/>
          <w:b/>
          <w:i/>
          <w:color w:val="231F20"/>
          <w:spacing w:val="-2"/>
          <w:sz w:val="18"/>
        </w:rPr>
        <w:t>10B(ab)</w:t>
      </w:r>
    </w:p>
    <w:p w14:paraId="2359B090" w14:textId="77777777" w:rsidR="00345EE3" w:rsidRDefault="00345EE3" w:rsidP="00345EE3">
      <w:pPr>
        <w:pStyle w:val="BodyText"/>
        <w:spacing w:before="7"/>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3997"/>
        <w:gridCol w:w="1701"/>
      </w:tblGrid>
      <w:tr w:rsidR="00345EE3" w14:paraId="2ABEC368" w14:textId="77777777" w:rsidTr="00D73130">
        <w:trPr>
          <w:trHeight w:val="373"/>
        </w:trPr>
        <w:tc>
          <w:tcPr>
            <w:tcW w:w="3997" w:type="dxa"/>
            <w:shd w:val="clear" w:color="auto" w:fill="00529F"/>
          </w:tcPr>
          <w:p w14:paraId="42D74799" w14:textId="77777777" w:rsidR="00345EE3" w:rsidRDefault="00345EE3" w:rsidP="00D73130">
            <w:pPr>
              <w:pStyle w:val="TableParagraph"/>
              <w:spacing w:before="49"/>
              <w:ind w:left="-1"/>
              <w:jc w:val="left"/>
              <w:rPr>
                <w:b/>
                <w:sz w:val="24"/>
              </w:rPr>
            </w:pPr>
            <w:r>
              <w:rPr>
                <w:b/>
                <w:color w:val="FFFFFF"/>
                <w:sz w:val="24"/>
              </w:rPr>
              <w:t>Weapon</w:t>
            </w:r>
            <w:r>
              <w:rPr>
                <w:b/>
                <w:color w:val="FFFFFF"/>
                <w:spacing w:val="-8"/>
                <w:sz w:val="24"/>
              </w:rPr>
              <w:t xml:space="preserve"> </w:t>
            </w:r>
            <w:r>
              <w:rPr>
                <w:b/>
                <w:color w:val="FFFFFF"/>
                <w:spacing w:val="-4"/>
                <w:sz w:val="24"/>
              </w:rPr>
              <w:t>Type</w:t>
            </w:r>
          </w:p>
        </w:tc>
        <w:tc>
          <w:tcPr>
            <w:tcW w:w="1701" w:type="dxa"/>
            <w:shd w:val="clear" w:color="auto" w:fill="00529F"/>
          </w:tcPr>
          <w:p w14:paraId="57E296C4" w14:textId="77777777" w:rsidR="00345EE3" w:rsidRDefault="00345EE3" w:rsidP="00D73130">
            <w:pPr>
              <w:pStyle w:val="TableParagraph"/>
              <w:spacing w:before="49"/>
              <w:ind w:right="3"/>
              <w:rPr>
                <w:b/>
                <w:sz w:val="24"/>
              </w:rPr>
            </w:pPr>
            <w:r>
              <w:rPr>
                <w:b/>
                <w:color w:val="FFFFFF"/>
                <w:spacing w:val="-2"/>
                <w:sz w:val="24"/>
              </w:rPr>
              <w:t>Number</w:t>
            </w:r>
          </w:p>
        </w:tc>
      </w:tr>
      <w:tr w:rsidR="00345EE3" w14:paraId="2D28186C" w14:textId="77777777" w:rsidTr="00D73130">
        <w:trPr>
          <w:trHeight w:val="368"/>
        </w:trPr>
        <w:tc>
          <w:tcPr>
            <w:tcW w:w="3997" w:type="dxa"/>
            <w:tcBorders>
              <w:bottom w:val="single" w:sz="2" w:space="0" w:color="939598"/>
              <w:right w:val="single" w:sz="2" w:space="0" w:color="939598"/>
            </w:tcBorders>
          </w:tcPr>
          <w:p w14:paraId="735B3D54" w14:textId="77777777" w:rsidR="00345EE3" w:rsidRDefault="00345EE3" w:rsidP="00D73130">
            <w:pPr>
              <w:pStyle w:val="TableParagraph"/>
              <w:spacing w:before="46"/>
              <w:ind w:left="-3"/>
              <w:jc w:val="left"/>
              <w:rPr>
                <w:sz w:val="24"/>
              </w:rPr>
            </w:pPr>
            <w:r>
              <w:rPr>
                <w:color w:val="231F20"/>
                <w:sz w:val="24"/>
              </w:rPr>
              <w:t xml:space="preserve">Other </w:t>
            </w:r>
            <w:r>
              <w:rPr>
                <w:color w:val="231F20"/>
                <w:spacing w:val="-2"/>
                <w:sz w:val="24"/>
              </w:rPr>
              <w:t>Weapon</w:t>
            </w:r>
          </w:p>
        </w:tc>
        <w:tc>
          <w:tcPr>
            <w:tcW w:w="1701" w:type="dxa"/>
            <w:tcBorders>
              <w:left w:val="single" w:sz="2" w:space="0" w:color="939598"/>
              <w:bottom w:val="single" w:sz="2" w:space="0" w:color="939598"/>
            </w:tcBorders>
          </w:tcPr>
          <w:p w14:paraId="0E4CA379" w14:textId="77777777" w:rsidR="00345EE3" w:rsidRDefault="00345EE3" w:rsidP="00D73130">
            <w:pPr>
              <w:pStyle w:val="TableParagraph"/>
              <w:spacing w:before="46"/>
              <w:ind w:right="-15"/>
              <w:rPr>
                <w:sz w:val="24"/>
              </w:rPr>
            </w:pPr>
            <w:r>
              <w:rPr>
                <w:color w:val="231F20"/>
                <w:sz w:val="24"/>
              </w:rPr>
              <w:t>2</w:t>
            </w:r>
          </w:p>
        </w:tc>
      </w:tr>
      <w:tr w:rsidR="00345EE3" w14:paraId="04DB524A" w14:textId="77777777" w:rsidTr="00D73130">
        <w:trPr>
          <w:trHeight w:val="368"/>
        </w:trPr>
        <w:tc>
          <w:tcPr>
            <w:tcW w:w="3997" w:type="dxa"/>
            <w:tcBorders>
              <w:top w:val="single" w:sz="2" w:space="0" w:color="939598"/>
              <w:bottom w:val="single" w:sz="2" w:space="0" w:color="939598"/>
              <w:right w:val="single" w:sz="2" w:space="0" w:color="939598"/>
            </w:tcBorders>
          </w:tcPr>
          <w:p w14:paraId="763DBB4D" w14:textId="77777777" w:rsidR="00345EE3" w:rsidRDefault="00345EE3" w:rsidP="00D73130">
            <w:pPr>
              <w:pStyle w:val="TableParagraph"/>
              <w:spacing w:before="46"/>
              <w:ind w:left="-3"/>
              <w:jc w:val="left"/>
              <w:rPr>
                <w:sz w:val="24"/>
              </w:rPr>
            </w:pPr>
            <w:r>
              <w:rPr>
                <w:color w:val="231F20"/>
                <w:spacing w:val="-2"/>
                <w:sz w:val="24"/>
              </w:rPr>
              <w:t>Knife</w:t>
            </w:r>
          </w:p>
        </w:tc>
        <w:tc>
          <w:tcPr>
            <w:tcW w:w="1701" w:type="dxa"/>
            <w:tcBorders>
              <w:top w:val="single" w:sz="2" w:space="0" w:color="939598"/>
              <w:left w:val="single" w:sz="2" w:space="0" w:color="939598"/>
              <w:bottom w:val="single" w:sz="2" w:space="0" w:color="939598"/>
            </w:tcBorders>
          </w:tcPr>
          <w:p w14:paraId="39477188" w14:textId="77777777" w:rsidR="00345EE3" w:rsidRDefault="00345EE3" w:rsidP="00D73130">
            <w:pPr>
              <w:pStyle w:val="TableParagraph"/>
              <w:spacing w:before="46"/>
              <w:ind w:right="-15"/>
              <w:rPr>
                <w:sz w:val="24"/>
              </w:rPr>
            </w:pPr>
            <w:r>
              <w:rPr>
                <w:color w:val="231F20"/>
                <w:sz w:val="24"/>
              </w:rPr>
              <w:t>2</w:t>
            </w:r>
          </w:p>
        </w:tc>
      </w:tr>
      <w:tr w:rsidR="00345EE3" w14:paraId="78C5D813" w14:textId="77777777" w:rsidTr="00D73130">
        <w:trPr>
          <w:trHeight w:val="363"/>
        </w:trPr>
        <w:tc>
          <w:tcPr>
            <w:tcW w:w="3997" w:type="dxa"/>
            <w:tcBorders>
              <w:top w:val="single" w:sz="2" w:space="0" w:color="939598"/>
              <w:bottom w:val="single" w:sz="6" w:space="0" w:color="231F20"/>
              <w:right w:val="single" w:sz="2" w:space="0" w:color="939598"/>
            </w:tcBorders>
          </w:tcPr>
          <w:p w14:paraId="6CF0993A" w14:textId="77777777" w:rsidR="00345EE3" w:rsidRDefault="00345EE3" w:rsidP="00D73130">
            <w:pPr>
              <w:pStyle w:val="TableParagraph"/>
              <w:spacing w:before="46"/>
              <w:ind w:left="-3"/>
              <w:jc w:val="left"/>
              <w:rPr>
                <w:b/>
                <w:sz w:val="24"/>
              </w:rPr>
            </w:pPr>
            <w:r>
              <w:rPr>
                <w:b/>
                <w:color w:val="231F20"/>
                <w:spacing w:val="-2"/>
                <w:sz w:val="24"/>
              </w:rPr>
              <w:t>Total</w:t>
            </w:r>
          </w:p>
        </w:tc>
        <w:tc>
          <w:tcPr>
            <w:tcW w:w="1701" w:type="dxa"/>
            <w:tcBorders>
              <w:top w:val="single" w:sz="2" w:space="0" w:color="939598"/>
              <w:left w:val="single" w:sz="2" w:space="0" w:color="939598"/>
              <w:bottom w:val="single" w:sz="6" w:space="0" w:color="231F20"/>
            </w:tcBorders>
          </w:tcPr>
          <w:p w14:paraId="653336B0" w14:textId="77777777" w:rsidR="00345EE3" w:rsidRDefault="00345EE3" w:rsidP="00D73130">
            <w:pPr>
              <w:pStyle w:val="TableParagraph"/>
              <w:spacing w:before="46"/>
              <w:ind w:right="-15"/>
              <w:rPr>
                <w:b/>
                <w:sz w:val="24"/>
              </w:rPr>
            </w:pPr>
            <w:r>
              <w:rPr>
                <w:b/>
                <w:color w:val="231F20"/>
                <w:sz w:val="24"/>
              </w:rPr>
              <w:t>4</w:t>
            </w:r>
          </w:p>
        </w:tc>
      </w:tr>
    </w:tbl>
    <w:p w14:paraId="58FF3E72" w14:textId="77777777" w:rsidR="00345EE3" w:rsidRDefault="00345EE3" w:rsidP="00345EE3">
      <w:pPr>
        <w:spacing w:before="71"/>
        <w:ind w:left="110"/>
        <w:rPr>
          <w:sz w:val="14"/>
        </w:rPr>
      </w:pPr>
      <w:r>
        <w:rPr>
          <w:rFonts w:ascii="Arial-BoldItalicMT"/>
          <w:b/>
          <w:i/>
          <w:color w:val="231F20"/>
          <w:sz w:val="14"/>
        </w:rPr>
        <w:t xml:space="preserve">Source: </w:t>
      </w:r>
      <w:r>
        <w:rPr>
          <w:color w:val="231F20"/>
          <w:sz w:val="14"/>
        </w:rPr>
        <w:t>Corporate</w:t>
      </w:r>
      <w:r>
        <w:rPr>
          <w:color w:val="231F20"/>
          <w:spacing w:val="1"/>
          <w:sz w:val="14"/>
        </w:rPr>
        <w:t xml:space="preserve"> </w:t>
      </w:r>
      <w:r>
        <w:rPr>
          <w:color w:val="231F20"/>
          <w:sz w:val="14"/>
        </w:rPr>
        <w:t>Statistics Unit.</w:t>
      </w:r>
      <w:r>
        <w:rPr>
          <w:color w:val="231F20"/>
          <w:spacing w:val="1"/>
          <w:sz w:val="14"/>
        </w:rPr>
        <w:t xml:space="preserve"> </w:t>
      </w:r>
      <w:r>
        <w:rPr>
          <w:color w:val="231F20"/>
          <w:sz w:val="14"/>
        </w:rPr>
        <w:t>Data extracted from</w:t>
      </w:r>
      <w:r>
        <w:rPr>
          <w:color w:val="231F20"/>
          <w:spacing w:val="1"/>
          <w:sz w:val="14"/>
        </w:rPr>
        <w:t xml:space="preserve"> </w:t>
      </w:r>
      <w:r>
        <w:rPr>
          <w:color w:val="231F20"/>
          <w:sz w:val="14"/>
        </w:rPr>
        <w:t>LEAP on</w:t>
      </w:r>
      <w:r>
        <w:rPr>
          <w:color w:val="231F20"/>
          <w:spacing w:val="1"/>
          <w:sz w:val="14"/>
        </w:rPr>
        <w:t xml:space="preserve"> </w:t>
      </w:r>
      <w:r>
        <w:rPr>
          <w:color w:val="231F20"/>
          <w:sz w:val="14"/>
        </w:rPr>
        <w:t>5 July</w:t>
      </w:r>
      <w:r>
        <w:rPr>
          <w:color w:val="231F20"/>
          <w:spacing w:val="1"/>
          <w:sz w:val="14"/>
        </w:rPr>
        <w:t xml:space="preserve"> </w:t>
      </w:r>
      <w:r>
        <w:rPr>
          <w:color w:val="231F20"/>
          <w:sz w:val="14"/>
        </w:rPr>
        <w:t>2022 and</w:t>
      </w:r>
      <w:r>
        <w:rPr>
          <w:color w:val="231F20"/>
          <w:spacing w:val="1"/>
          <w:sz w:val="14"/>
        </w:rPr>
        <w:t xml:space="preserve"> </w:t>
      </w:r>
      <w:r>
        <w:rPr>
          <w:color w:val="231F20"/>
          <w:sz w:val="14"/>
        </w:rPr>
        <w:t>based on</w:t>
      </w:r>
      <w:r>
        <w:rPr>
          <w:color w:val="231F20"/>
          <w:spacing w:val="1"/>
          <w:sz w:val="14"/>
        </w:rPr>
        <w:t xml:space="preserve"> </w:t>
      </w:r>
      <w:r>
        <w:rPr>
          <w:color w:val="231F20"/>
          <w:sz w:val="14"/>
        </w:rPr>
        <w:t>Field Contact</w:t>
      </w:r>
      <w:r>
        <w:rPr>
          <w:color w:val="231F20"/>
          <w:spacing w:val="1"/>
          <w:sz w:val="14"/>
        </w:rPr>
        <w:t xml:space="preserve"> </w:t>
      </w:r>
      <w:r>
        <w:rPr>
          <w:color w:val="231F20"/>
          <w:spacing w:val="-2"/>
          <w:sz w:val="14"/>
        </w:rPr>
        <w:t>data.</w:t>
      </w:r>
    </w:p>
    <w:p w14:paraId="530B8AD5" w14:textId="77777777" w:rsidR="00345EE3" w:rsidRDefault="00345EE3" w:rsidP="00345EE3">
      <w:pPr>
        <w:spacing w:before="27"/>
        <w:ind w:left="110"/>
        <w:rPr>
          <w:sz w:val="14"/>
        </w:rPr>
      </w:pPr>
      <w:r>
        <w:rPr>
          <w:rFonts w:ascii="Arial-BoldItalicMT" w:hAnsi="Arial-BoldItalicMT"/>
          <w:b/>
          <w:i/>
          <w:color w:val="231F20"/>
          <w:sz w:val="14"/>
        </w:rPr>
        <w:t>Notes:</w:t>
      </w:r>
      <w:r>
        <w:rPr>
          <w:rFonts w:ascii="Arial-BoldItalicMT" w:hAnsi="Arial-BoldItalicMT"/>
          <w:b/>
          <w:i/>
          <w:color w:val="231F20"/>
          <w:spacing w:val="3"/>
          <w:sz w:val="14"/>
        </w:rPr>
        <w:t xml:space="preserve"> </w:t>
      </w:r>
      <w:r>
        <w:rPr>
          <w:color w:val="231F20"/>
          <w:sz w:val="14"/>
        </w:rPr>
        <w:t>Field Contact MO</w:t>
      </w:r>
      <w:r>
        <w:rPr>
          <w:color w:val="231F20"/>
          <w:spacing w:val="1"/>
          <w:sz w:val="14"/>
        </w:rPr>
        <w:t xml:space="preserve"> </w:t>
      </w:r>
      <w:r>
        <w:rPr>
          <w:color w:val="231F20"/>
          <w:sz w:val="14"/>
        </w:rPr>
        <w:t>types selected are ‘Prohibited Weapons’,</w:t>
      </w:r>
      <w:r>
        <w:rPr>
          <w:color w:val="231F20"/>
          <w:spacing w:val="1"/>
          <w:sz w:val="14"/>
        </w:rPr>
        <w:t xml:space="preserve"> </w:t>
      </w:r>
      <w:r>
        <w:rPr>
          <w:color w:val="231F20"/>
          <w:sz w:val="14"/>
        </w:rPr>
        <w:t>‘Dangerous Articles’ and ‘Controlled</w:t>
      </w:r>
      <w:r>
        <w:rPr>
          <w:color w:val="231F20"/>
          <w:spacing w:val="1"/>
          <w:sz w:val="14"/>
        </w:rPr>
        <w:t xml:space="preserve"> </w:t>
      </w:r>
      <w:r>
        <w:rPr>
          <w:color w:val="231F20"/>
          <w:spacing w:val="-2"/>
          <w:sz w:val="14"/>
        </w:rPr>
        <w:t>Weapons’.</w:t>
      </w:r>
    </w:p>
    <w:p w14:paraId="7CD9EB09" w14:textId="77777777" w:rsidR="00345EE3" w:rsidRDefault="00345EE3" w:rsidP="00345EE3">
      <w:pPr>
        <w:rPr>
          <w:sz w:val="12"/>
          <w:szCs w:val="24"/>
        </w:rPr>
      </w:pPr>
      <w:r>
        <w:rPr>
          <w:sz w:val="12"/>
        </w:rPr>
        <w:br w:type="page"/>
      </w:r>
    </w:p>
    <w:p w14:paraId="4F1ABA6B" w14:textId="77777777" w:rsidR="00345EE3" w:rsidRDefault="00345EE3" w:rsidP="00345EE3">
      <w:pPr>
        <w:spacing w:after="120"/>
        <w:ind w:left="110"/>
        <w:rPr>
          <w:rFonts w:ascii="Arial-BoldItalicMT"/>
          <w:b/>
          <w:i/>
          <w:color w:val="231F20"/>
          <w:spacing w:val="-2"/>
          <w:sz w:val="18"/>
        </w:rPr>
      </w:pPr>
      <w:r>
        <w:rPr>
          <w:color w:val="231F20"/>
          <w:sz w:val="18"/>
        </w:rPr>
        <w:t>Table</w:t>
      </w:r>
      <w:r>
        <w:rPr>
          <w:color w:val="231F20"/>
          <w:spacing w:val="-5"/>
          <w:sz w:val="18"/>
        </w:rPr>
        <w:t xml:space="preserve"> </w:t>
      </w:r>
      <w:r>
        <w:rPr>
          <w:color w:val="231F20"/>
          <w:sz w:val="18"/>
        </w:rPr>
        <w:t>5.11:</w:t>
      </w:r>
      <w:r>
        <w:rPr>
          <w:color w:val="231F20"/>
          <w:spacing w:val="-4"/>
          <w:sz w:val="18"/>
        </w:rPr>
        <w:t xml:space="preserve"> </w:t>
      </w:r>
      <w:r>
        <w:rPr>
          <w:rFonts w:ascii="Arial-BoldItalicMT"/>
          <w:b/>
          <w:i/>
          <w:color w:val="231F20"/>
          <w:sz w:val="18"/>
        </w:rPr>
        <w:t>Charges</w:t>
      </w:r>
      <w:r>
        <w:rPr>
          <w:rFonts w:ascii="Arial-BoldItalicMT"/>
          <w:b/>
          <w:i/>
          <w:color w:val="231F20"/>
          <w:spacing w:val="-8"/>
          <w:sz w:val="18"/>
        </w:rPr>
        <w:t xml:space="preserve"> </w:t>
      </w:r>
      <w:r>
        <w:rPr>
          <w:rFonts w:ascii="Arial-BoldItalicMT"/>
          <w:b/>
          <w:i/>
          <w:color w:val="231F20"/>
          <w:sz w:val="18"/>
        </w:rPr>
        <w:t>resulting</w:t>
      </w:r>
      <w:r>
        <w:rPr>
          <w:rFonts w:ascii="Arial-BoldItalicMT"/>
          <w:b/>
          <w:i/>
          <w:color w:val="231F20"/>
          <w:spacing w:val="-7"/>
          <w:sz w:val="18"/>
        </w:rPr>
        <w:t xml:space="preserve"> </w:t>
      </w:r>
      <w:r>
        <w:rPr>
          <w:rFonts w:ascii="Arial-BoldItalicMT"/>
          <w:b/>
          <w:i/>
          <w:color w:val="231F20"/>
          <w:sz w:val="18"/>
        </w:rPr>
        <w:t>from</w:t>
      </w:r>
      <w:r>
        <w:rPr>
          <w:rFonts w:ascii="Arial-BoldItalicMT"/>
          <w:b/>
          <w:i/>
          <w:color w:val="231F20"/>
          <w:spacing w:val="-7"/>
          <w:sz w:val="18"/>
        </w:rPr>
        <w:t xml:space="preserve"> </w:t>
      </w:r>
      <w:r>
        <w:rPr>
          <w:rFonts w:ascii="Arial-BoldItalicMT"/>
          <w:b/>
          <w:i/>
          <w:color w:val="231F20"/>
          <w:sz w:val="18"/>
        </w:rPr>
        <w:t>weapons</w:t>
      </w:r>
      <w:r>
        <w:rPr>
          <w:rFonts w:ascii="Arial-BoldItalicMT"/>
          <w:b/>
          <w:i/>
          <w:color w:val="231F20"/>
          <w:spacing w:val="-7"/>
          <w:sz w:val="18"/>
        </w:rPr>
        <w:t xml:space="preserve"> </w:t>
      </w:r>
      <w:r>
        <w:rPr>
          <w:rFonts w:ascii="Arial-BoldItalicMT"/>
          <w:b/>
          <w:i/>
          <w:color w:val="231F20"/>
          <w:sz w:val="18"/>
        </w:rPr>
        <w:t>or</w:t>
      </w:r>
      <w:r>
        <w:rPr>
          <w:rFonts w:ascii="Arial-BoldItalicMT"/>
          <w:b/>
          <w:i/>
          <w:color w:val="231F20"/>
          <w:spacing w:val="-8"/>
          <w:sz w:val="18"/>
        </w:rPr>
        <w:t xml:space="preserve"> </w:t>
      </w:r>
      <w:r>
        <w:rPr>
          <w:rFonts w:ascii="Arial-BoldItalicMT"/>
          <w:b/>
          <w:i/>
          <w:color w:val="231F20"/>
          <w:sz w:val="18"/>
        </w:rPr>
        <w:t>dangerous</w:t>
      </w:r>
      <w:r>
        <w:rPr>
          <w:rFonts w:ascii="Arial-BoldItalicMT"/>
          <w:b/>
          <w:i/>
          <w:color w:val="231F20"/>
          <w:spacing w:val="-7"/>
          <w:sz w:val="18"/>
        </w:rPr>
        <w:t xml:space="preserve"> </w:t>
      </w:r>
      <w:r>
        <w:rPr>
          <w:rFonts w:ascii="Arial-BoldItalicMT"/>
          <w:b/>
          <w:i/>
          <w:color w:val="231F20"/>
          <w:sz w:val="18"/>
        </w:rPr>
        <w:t>articles</w:t>
      </w:r>
      <w:r>
        <w:rPr>
          <w:rFonts w:ascii="Arial-BoldItalicMT"/>
          <w:b/>
          <w:i/>
          <w:color w:val="231F20"/>
          <w:spacing w:val="-7"/>
          <w:sz w:val="18"/>
        </w:rPr>
        <w:t xml:space="preserve"> </w:t>
      </w:r>
      <w:r>
        <w:rPr>
          <w:rFonts w:ascii="Arial-BoldItalicMT"/>
          <w:b/>
          <w:i/>
          <w:color w:val="231F20"/>
          <w:sz w:val="18"/>
        </w:rPr>
        <w:t>found</w:t>
      </w:r>
      <w:r>
        <w:rPr>
          <w:rFonts w:ascii="Arial-BoldItalicMT"/>
          <w:b/>
          <w:i/>
          <w:color w:val="231F20"/>
          <w:spacing w:val="-7"/>
          <w:sz w:val="18"/>
        </w:rPr>
        <w:t xml:space="preserve"> </w:t>
      </w:r>
      <w:r>
        <w:rPr>
          <w:rFonts w:ascii="Arial-BoldItalicMT"/>
          <w:b/>
          <w:i/>
          <w:color w:val="231F20"/>
          <w:sz w:val="18"/>
        </w:rPr>
        <w:t>during</w:t>
      </w:r>
      <w:r>
        <w:rPr>
          <w:rFonts w:ascii="Arial-BoldItalicMT"/>
          <w:b/>
          <w:i/>
          <w:color w:val="231F20"/>
          <w:spacing w:val="-8"/>
          <w:sz w:val="18"/>
        </w:rPr>
        <w:t xml:space="preserve"> </w:t>
      </w:r>
      <w:r>
        <w:rPr>
          <w:rFonts w:ascii="Arial-BoldItalicMT"/>
          <w:b/>
          <w:i/>
          <w:color w:val="231F20"/>
          <w:sz w:val="18"/>
        </w:rPr>
        <w:t>searches</w:t>
      </w:r>
      <w:r>
        <w:rPr>
          <w:rFonts w:ascii="Arial-BoldItalicMT"/>
          <w:b/>
          <w:i/>
          <w:color w:val="231F20"/>
          <w:spacing w:val="-7"/>
          <w:sz w:val="18"/>
        </w:rPr>
        <w:t xml:space="preserve"> </w:t>
      </w:r>
      <w:r>
        <w:rPr>
          <w:rFonts w:ascii="Arial-BoldItalicMT"/>
          <w:b/>
          <w:i/>
          <w:color w:val="231F20"/>
          <w:sz w:val="18"/>
        </w:rPr>
        <w:t>and</w:t>
      </w:r>
      <w:r>
        <w:rPr>
          <w:rFonts w:ascii="Arial-BoldItalicMT"/>
          <w:b/>
          <w:i/>
          <w:color w:val="231F20"/>
          <w:spacing w:val="-7"/>
          <w:sz w:val="18"/>
        </w:rPr>
        <w:t xml:space="preserve"> </w:t>
      </w:r>
      <w:r>
        <w:rPr>
          <w:rFonts w:ascii="Arial-BoldItalicMT"/>
          <w:b/>
          <w:i/>
          <w:color w:val="231F20"/>
          <w:sz w:val="18"/>
        </w:rPr>
        <w:t>other</w:t>
      </w:r>
      <w:r>
        <w:rPr>
          <w:rFonts w:ascii="Arial-BoldItalicMT"/>
          <w:b/>
          <w:i/>
          <w:color w:val="231F20"/>
          <w:spacing w:val="-7"/>
          <w:sz w:val="18"/>
        </w:rPr>
        <w:t xml:space="preserve"> </w:t>
      </w:r>
      <w:r>
        <w:rPr>
          <w:rFonts w:ascii="Arial-BoldItalicMT"/>
          <w:b/>
          <w:i/>
          <w:color w:val="231F20"/>
          <w:sz w:val="18"/>
        </w:rPr>
        <w:t>Minister</w:t>
      </w:r>
      <w:r>
        <w:rPr>
          <w:rFonts w:ascii="Arial-BoldItalicMT"/>
          <w:b/>
          <w:i/>
          <w:color w:val="231F20"/>
          <w:spacing w:val="-7"/>
          <w:sz w:val="18"/>
        </w:rPr>
        <w:t xml:space="preserve"> </w:t>
      </w:r>
      <w:r>
        <w:rPr>
          <w:rFonts w:ascii="Arial-BoldItalicMT"/>
          <w:b/>
          <w:i/>
          <w:color w:val="231F20"/>
          <w:spacing w:val="-2"/>
          <w:sz w:val="18"/>
        </w:rPr>
        <w:t>requests</w:t>
      </w:r>
    </w:p>
    <w:tbl>
      <w:tblPr>
        <w:tblW w:w="0" w:type="auto"/>
        <w:tblInd w:w="156" w:type="dxa"/>
        <w:tblLayout w:type="fixed"/>
        <w:tblCellMar>
          <w:left w:w="0" w:type="dxa"/>
          <w:right w:w="0" w:type="dxa"/>
        </w:tblCellMar>
        <w:tblLook w:val="0000" w:firstRow="0" w:lastRow="0" w:firstColumn="0" w:lastColumn="0" w:noHBand="0" w:noVBand="0"/>
      </w:tblPr>
      <w:tblGrid>
        <w:gridCol w:w="8504"/>
        <w:gridCol w:w="1701"/>
      </w:tblGrid>
      <w:tr w:rsidR="00345EE3" w:rsidRPr="00454B9E" w14:paraId="3D92ED20" w14:textId="77777777" w:rsidTr="00D73130">
        <w:trPr>
          <w:trHeight w:val="60"/>
          <w:tblHeader/>
        </w:trPr>
        <w:tc>
          <w:tcPr>
            <w:tcW w:w="8504" w:type="dxa"/>
            <w:tcBorders>
              <w:top w:val="single" w:sz="6" w:space="0" w:color="000000"/>
              <w:left w:val="single" w:sz="6" w:space="0" w:color="000000"/>
              <w:bottom w:val="single" w:sz="6" w:space="0" w:color="9D9C9C"/>
              <w:right w:val="single" w:sz="2" w:space="0" w:color="FFFFFF"/>
            </w:tcBorders>
            <w:shd w:val="solid" w:color="004996" w:fill="auto"/>
            <w:tcMar>
              <w:top w:w="99" w:type="dxa"/>
              <w:left w:w="14" w:type="dxa"/>
              <w:bottom w:w="99" w:type="dxa"/>
              <w:right w:w="14" w:type="dxa"/>
            </w:tcMar>
          </w:tcPr>
          <w:p w14:paraId="4F6E8857" w14:textId="77777777" w:rsidR="00345EE3" w:rsidRPr="00454B9E" w:rsidRDefault="00345EE3" w:rsidP="00D73130">
            <w:pPr>
              <w:widowControl/>
              <w:adjustRightInd w:val="0"/>
              <w:rPr>
                <w:rFonts w:eastAsiaTheme="minorHAnsi"/>
                <w:sz w:val="24"/>
                <w:szCs w:val="24"/>
                <w:lang w:val="en-GB"/>
              </w:rPr>
            </w:pPr>
          </w:p>
        </w:tc>
        <w:tc>
          <w:tcPr>
            <w:tcW w:w="1701" w:type="dxa"/>
            <w:tcBorders>
              <w:top w:val="single" w:sz="6" w:space="0" w:color="auto"/>
              <w:left w:val="single" w:sz="2" w:space="0" w:color="FFFFFF"/>
              <w:bottom w:val="single" w:sz="6" w:space="0" w:color="auto"/>
              <w:right w:val="single" w:sz="6" w:space="0" w:color="auto"/>
            </w:tcBorders>
            <w:shd w:val="solid" w:color="004996" w:fill="auto"/>
            <w:tcMar>
              <w:top w:w="99" w:type="dxa"/>
              <w:left w:w="14" w:type="dxa"/>
              <w:bottom w:w="99" w:type="dxa"/>
              <w:right w:w="14" w:type="dxa"/>
            </w:tcMar>
          </w:tcPr>
          <w:p w14:paraId="5E7159E7"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454B9E">
              <w:rPr>
                <w:rFonts w:eastAsiaTheme="minorHAnsi"/>
                <w:b/>
                <w:bCs/>
                <w:color w:val="FFFFFF"/>
                <w:spacing w:val="-2"/>
                <w:sz w:val="24"/>
                <w:szCs w:val="24"/>
                <w:lang w:val="en-GB"/>
              </w:rPr>
              <w:t>Number</w:t>
            </w:r>
          </w:p>
        </w:tc>
      </w:tr>
      <w:tr w:rsidR="00345EE3" w:rsidRPr="00454B9E" w14:paraId="34D33BF6" w14:textId="77777777" w:rsidTr="00D73130">
        <w:trPr>
          <w:trHeight w:val="60"/>
        </w:trPr>
        <w:tc>
          <w:tcPr>
            <w:tcW w:w="10205" w:type="dxa"/>
            <w:gridSpan w:val="2"/>
            <w:tcBorders>
              <w:top w:val="single" w:sz="2" w:space="0" w:color="9D9C9C"/>
              <w:left w:val="single" w:sz="6" w:space="0" w:color="000000"/>
              <w:bottom w:val="single" w:sz="2" w:space="0" w:color="9D9C9C"/>
              <w:right w:val="single" w:sz="2" w:space="0" w:color="9D9C9C"/>
            </w:tcBorders>
            <w:shd w:val="clear" w:color="auto" w:fill="D9D9D9" w:themeFill="background1" w:themeFillShade="D9"/>
            <w:tcMar>
              <w:top w:w="99" w:type="dxa"/>
              <w:left w:w="14" w:type="dxa"/>
              <w:bottom w:w="99" w:type="dxa"/>
              <w:right w:w="14" w:type="dxa"/>
            </w:tcMar>
          </w:tcPr>
          <w:p w14:paraId="489FC848"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t>The number of persons who were:</w:t>
            </w:r>
          </w:p>
        </w:tc>
      </w:tr>
      <w:tr w:rsidR="00345EE3" w:rsidRPr="00454B9E" w14:paraId="470EE430"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26B022FC"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w:t>
            </w:r>
            <w:r w:rsidRPr="00454B9E">
              <w:rPr>
                <w:rFonts w:eastAsiaTheme="minorHAnsi"/>
                <w:color w:val="000000"/>
                <w:sz w:val="24"/>
                <w:szCs w:val="24"/>
                <w:lang w:val="en-GB"/>
              </w:rPr>
              <w:tab/>
              <w:t>the subject of a strip search referred to in paragraph (ab); and</w:t>
            </w:r>
          </w:p>
        </w:tc>
        <w:tc>
          <w:tcPr>
            <w:tcW w:w="1701"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4E3AF67C"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8</w:t>
            </w:r>
          </w:p>
        </w:tc>
      </w:tr>
      <w:tr w:rsidR="00345EE3" w:rsidRPr="00454B9E" w14:paraId="4E570318"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2154E9EB"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(ii)</w:t>
            </w:r>
            <w:r w:rsidRPr="00454B9E">
              <w:rPr>
                <w:rFonts w:eastAsiaTheme="minorHAnsi"/>
                <w:color w:val="000000"/>
                <w:sz w:val="24"/>
                <w:szCs w:val="24"/>
                <w:lang w:val="en-GB"/>
              </w:rPr>
              <w:tab/>
              <w:t>charged with offences against this Act in relation to a weapon or dangerous article found during the course of that search; and</w:t>
            </w:r>
          </w:p>
        </w:tc>
        <w:tc>
          <w:tcPr>
            <w:tcW w:w="1701"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519EA61A"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Not reported</w:t>
            </w:r>
            <w:r w:rsidRPr="00454B9E">
              <w:rPr>
                <w:rFonts w:eastAsiaTheme="minorHAnsi"/>
                <w:color w:val="000000"/>
                <w:spacing w:val="-2"/>
                <w:sz w:val="24"/>
                <w:szCs w:val="24"/>
                <w:vertAlign w:val="superscript"/>
                <w:lang w:val="en-GB"/>
              </w:rPr>
              <w:t>2</w:t>
            </w:r>
          </w:p>
        </w:tc>
      </w:tr>
      <w:tr w:rsidR="00345EE3" w:rsidRPr="00454B9E" w14:paraId="7EE1EA85" w14:textId="77777777" w:rsidTr="00D73130">
        <w:trPr>
          <w:trHeight w:val="60"/>
        </w:trPr>
        <w:tc>
          <w:tcPr>
            <w:tcW w:w="8504" w:type="dxa"/>
            <w:tcBorders>
              <w:top w:val="single" w:sz="2" w:space="0" w:color="9D9C9C"/>
              <w:left w:val="single" w:sz="6" w:space="0" w:color="000000"/>
              <w:bottom w:val="single" w:sz="2" w:space="0" w:color="9D9C9C"/>
              <w:right w:val="single" w:sz="6" w:space="0" w:color="9D9C9C"/>
            </w:tcBorders>
            <w:shd w:val="solid" w:color="DADAD9" w:fill="auto"/>
            <w:tcMar>
              <w:top w:w="99" w:type="dxa"/>
              <w:left w:w="14" w:type="dxa"/>
              <w:bottom w:w="99" w:type="dxa"/>
              <w:right w:w="14" w:type="dxa"/>
            </w:tcMar>
          </w:tcPr>
          <w:p w14:paraId="7B1E8CC7"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t xml:space="preserve">The number of persons who were: </w:t>
            </w:r>
          </w:p>
        </w:tc>
        <w:tc>
          <w:tcPr>
            <w:tcW w:w="1701" w:type="dxa"/>
            <w:tcBorders>
              <w:top w:val="single" w:sz="2" w:space="0" w:color="9D9C9C"/>
              <w:left w:val="single" w:sz="6" w:space="0" w:color="9D9C9C"/>
              <w:bottom w:val="single" w:sz="2" w:space="0" w:color="9D9C9C"/>
              <w:right w:val="single" w:sz="6" w:space="0" w:color="9D9C9C"/>
            </w:tcBorders>
            <w:shd w:val="solid" w:color="DADAD9" w:fill="auto"/>
            <w:tcMar>
              <w:top w:w="99" w:type="dxa"/>
              <w:left w:w="14" w:type="dxa"/>
              <w:bottom w:w="99" w:type="dxa"/>
              <w:right w:w="14" w:type="dxa"/>
            </w:tcMar>
          </w:tcPr>
          <w:p w14:paraId="5E0B9F0F" w14:textId="77777777" w:rsidR="00345EE3" w:rsidRPr="00454B9E" w:rsidRDefault="00345EE3" w:rsidP="00D73130">
            <w:pPr>
              <w:widowControl/>
              <w:adjustRightInd w:val="0"/>
              <w:rPr>
                <w:rFonts w:eastAsiaTheme="minorHAnsi"/>
                <w:sz w:val="24"/>
                <w:szCs w:val="24"/>
                <w:lang w:val="en-GB"/>
              </w:rPr>
            </w:pPr>
          </w:p>
        </w:tc>
      </w:tr>
      <w:tr w:rsidR="00345EE3" w:rsidRPr="00454B9E" w14:paraId="4051DF92"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3BEEFBFC"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w:t>
            </w:r>
            <w:r w:rsidRPr="00454B9E">
              <w:rPr>
                <w:rFonts w:eastAsiaTheme="minorHAnsi"/>
                <w:color w:val="000000"/>
                <w:sz w:val="24"/>
                <w:szCs w:val="24"/>
                <w:lang w:val="en-GB"/>
              </w:rPr>
              <w:tab/>
              <w:t>the subject of a strip search referred to in paragraph (ac); and</w:t>
            </w:r>
          </w:p>
        </w:tc>
        <w:tc>
          <w:tcPr>
            <w:tcW w:w="1701"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5A45BC33"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8</w:t>
            </w:r>
          </w:p>
        </w:tc>
      </w:tr>
      <w:tr w:rsidR="00345EE3" w:rsidRPr="00454B9E" w14:paraId="56B648D1"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1FFAC539"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(ii)</w:t>
            </w:r>
            <w:r w:rsidRPr="00454B9E">
              <w:rPr>
                <w:rFonts w:eastAsiaTheme="minorHAnsi"/>
                <w:color w:val="000000"/>
                <w:sz w:val="24"/>
                <w:szCs w:val="24"/>
                <w:lang w:val="en-GB"/>
              </w:rPr>
              <w:tab/>
              <w:t>charged with offences against this Act in relation to a weapon or dangerous article found during the course of that search; and</w:t>
            </w:r>
          </w:p>
        </w:tc>
        <w:tc>
          <w:tcPr>
            <w:tcW w:w="1701"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726CE5BC"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Not reported</w:t>
            </w:r>
            <w:r w:rsidRPr="00454B9E">
              <w:rPr>
                <w:rFonts w:eastAsiaTheme="minorHAnsi"/>
                <w:color w:val="000000"/>
                <w:spacing w:val="-2"/>
                <w:sz w:val="24"/>
                <w:szCs w:val="24"/>
                <w:vertAlign w:val="superscript"/>
                <w:lang w:val="en-GB"/>
              </w:rPr>
              <w:t>3</w:t>
            </w:r>
          </w:p>
        </w:tc>
      </w:tr>
      <w:tr w:rsidR="00345EE3" w:rsidRPr="00454B9E" w14:paraId="71490106" w14:textId="77777777" w:rsidTr="00D73130">
        <w:trPr>
          <w:trHeight w:val="60"/>
        </w:trPr>
        <w:tc>
          <w:tcPr>
            <w:tcW w:w="8504" w:type="dxa"/>
            <w:tcBorders>
              <w:top w:val="single" w:sz="2" w:space="0" w:color="9D9C9C"/>
              <w:left w:val="single" w:sz="6" w:space="0" w:color="000000"/>
              <w:bottom w:val="single" w:sz="2" w:space="0" w:color="9D9C9C"/>
              <w:right w:val="single" w:sz="6" w:space="0" w:color="9D9C9C"/>
            </w:tcBorders>
            <w:shd w:val="solid" w:color="DADAD9" w:fill="auto"/>
            <w:tcMar>
              <w:top w:w="99" w:type="dxa"/>
              <w:left w:w="14" w:type="dxa"/>
              <w:bottom w:w="99" w:type="dxa"/>
              <w:right w:w="14" w:type="dxa"/>
            </w:tcMar>
          </w:tcPr>
          <w:p w14:paraId="2A146CF1"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t>The number of persons who were:</w:t>
            </w:r>
          </w:p>
        </w:tc>
        <w:tc>
          <w:tcPr>
            <w:tcW w:w="1701" w:type="dxa"/>
            <w:tcBorders>
              <w:top w:val="single" w:sz="2" w:space="0" w:color="9D9C9C"/>
              <w:left w:val="single" w:sz="6" w:space="0" w:color="9D9C9C"/>
              <w:bottom w:val="single" w:sz="2" w:space="0" w:color="9D9C9C"/>
              <w:right w:val="single" w:sz="6" w:space="0" w:color="9D9C9C"/>
            </w:tcBorders>
            <w:shd w:val="solid" w:color="DADAD9" w:fill="auto"/>
            <w:tcMar>
              <w:top w:w="99" w:type="dxa"/>
              <w:left w:w="14" w:type="dxa"/>
              <w:bottom w:w="99" w:type="dxa"/>
              <w:right w:w="14" w:type="dxa"/>
            </w:tcMar>
          </w:tcPr>
          <w:p w14:paraId="6CA42C6B" w14:textId="77777777" w:rsidR="00345EE3" w:rsidRPr="00454B9E" w:rsidRDefault="00345EE3" w:rsidP="00D73130">
            <w:pPr>
              <w:widowControl/>
              <w:adjustRightInd w:val="0"/>
              <w:rPr>
                <w:rFonts w:eastAsiaTheme="minorHAnsi"/>
                <w:sz w:val="24"/>
                <w:szCs w:val="24"/>
                <w:lang w:val="en-GB"/>
              </w:rPr>
            </w:pPr>
          </w:p>
        </w:tc>
      </w:tr>
      <w:tr w:rsidR="00345EE3" w:rsidRPr="00454B9E" w14:paraId="676A8BC8"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18B942A3"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w:t>
            </w:r>
            <w:r w:rsidRPr="00454B9E">
              <w:rPr>
                <w:rFonts w:eastAsiaTheme="minorHAnsi"/>
                <w:color w:val="000000"/>
                <w:sz w:val="24"/>
                <w:szCs w:val="24"/>
                <w:lang w:val="en-GB"/>
              </w:rPr>
              <w:tab/>
              <w:t>the subject of a strip search referred to in paragraph (ad); and</w:t>
            </w:r>
          </w:p>
        </w:tc>
        <w:tc>
          <w:tcPr>
            <w:tcW w:w="1701"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163E19A5"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Not reported</w:t>
            </w:r>
            <w:r w:rsidRPr="00454B9E">
              <w:rPr>
                <w:rFonts w:eastAsiaTheme="minorHAnsi"/>
                <w:color w:val="000000"/>
                <w:spacing w:val="-2"/>
                <w:sz w:val="24"/>
                <w:szCs w:val="24"/>
                <w:vertAlign w:val="superscript"/>
                <w:lang w:val="en-GB"/>
              </w:rPr>
              <w:t>4</w:t>
            </w:r>
          </w:p>
        </w:tc>
      </w:tr>
      <w:tr w:rsidR="00345EE3" w:rsidRPr="00454B9E" w14:paraId="2F998930"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7D816460"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(ii)</w:t>
            </w:r>
            <w:r w:rsidRPr="00454B9E">
              <w:rPr>
                <w:rFonts w:eastAsiaTheme="minorHAnsi"/>
                <w:color w:val="000000"/>
                <w:sz w:val="24"/>
                <w:szCs w:val="24"/>
                <w:lang w:val="en-GB"/>
              </w:rPr>
              <w:tab/>
              <w:t>charged with offences against this Act in relation to a weapon or dangerous article found during the course of that search; and</w:t>
            </w:r>
          </w:p>
        </w:tc>
        <w:tc>
          <w:tcPr>
            <w:tcW w:w="1701"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67F4A637"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Not reported</w:t>
            </w:r>
            <w:r w:rsidRPr="00454B9E">
              <w:rPr>
                <w:rFonts w:eastAsiaTheme="minorHAnsi"/>
                <w:color w:val="000000"/>
                <w:spacing w:val="-2"/>
                <w:sz w:val="24"/>
                <w:szCs w:val="24"/>
                <w:vertAlign w:val="superscript"/>
                <w:lang w:val="en-GB"/>
              </w:rPr>
              <w:t>5</w:t>
            </w:r>
          </w:p>
        </w:tc>
      </w:tr>
      <w:tr w:rsidR="00345EE3" w:rsidRPr="00454B9E" w14:paraId="74822868" w14:textId="77777777" w:rsidTr="00D73130">
        <w:trPr>
          <w:trHeight w:val="60"/>
        </w:trPr>
        <w:tc>
          <w:tcPr>
            <w:tcW w:w="8504" w:type="dxa"/>
            <w:tcBorders>
              <w:top w:val="single" w:sz="2" w:space="0" w:color="9D9C9C"/>
              <w:left w:val="single" w:sz="6" w:space="0" w:color="000000"/>
              <w:bottom w:val="single" w:sz="2" w:space="0" w:color="9D9C9C"/>
              <w:right w:val="single" w:sz="6" w:space="0" w:color="auto"/>
            </w:tcBorders>
            <w:shd w:val="solid" w:color="DADAD9" w:fill="auto"/>
            <w:tcMar>
              <w:top w:w="99" w:type="dxa"/>
              <w:left w:w="14" w:type="dxa"/>
              <w:bottom w:w="99" w:type="dxa"/>
              <w:right w:w="14" w:type="dxa"/>
            </w:tcMar>
          </w:tcPr>
          <w:p w14:paraId="3030BDEC"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t>The number of persons who were:</w:t>
            </w:r>
          </w:p>
        </w:tc>
        <w:tc>
          <w:tcPr>
            <w:tcW w:w="1701" w:type="dxa"/>
            <w:tcBorders>
              <w:top w:val="single" w:sz="2" w:space="0" w:color="9D9C9C"/>
              <w:left w:val="single" w:sz="6" w:space="0" w:color="auto"/>
              <w:bottom w:val="single" w:sz="2" w:space="0" w:color="9D9C9C"/>
              <w:right w:val="single" w:sz="6" w:space="0" w:color="9D9C9C"/>
            </w:tcBorders>
            <w:shd w:val="solid" w:color="DADAD9" w:fill="auto"/>
            <w:tcMar>
              <w:top w:w="99" w:type="dxa"/>
              <w:left w:w="14" w:type="dxa"/>
              <w:bottom w:w="99" w:type="dxa"/>
              <w:right w:w="14" w:type="dxa"/>
            </w:tcMar>
          </w:tcPr>
          <w:p w14:paraId="58F2C526" w14:textId="77777777" w:rsidR="00345EE3" w:rsidRPr="00454B9E" w:rsidRDefault="00345EE3" w:rsidP="00D73130">
            <w:pPr>
              <w:widowControl/>
              <w:adjustRightInd w:val="0"/>
              <w:rPr>
                <w:rFonts w:eastAsiaTheme="minorHAnsi"/>
                <w:sz w:val="24"/>
                <w:szCs w:val="24"/>
                <w:lang w:val="en-GB"/>
              </w:rPr>
            </w:pPr>
          </w:p>
        </w:tc>
      </w:tr>
      <w:tr w:rsidR="00345EE3" w:rsidRPr="00454B9E" w14:paraId="20E7C288"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055034F"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w:t>
            </w:r>
            <w:r w:rsidRPr="00454B9E">
              <w:rPr>
                <w:rFonts w:eastAsiaTheme="minorHAnsi"/>
                <w:color w:val="000000"/>
                <w:sz w:val="24"/>
                <w:szCs w:val="24"/>
                <w:lang w:val="en-GB"/>
              </w:rPr>
              <w:tab/>
              <w:t>the subject of a search conducted under section 10G; and</w:t>
            </w:r>
          </w:p>
        </w:tc>
        <w:tc>
          <w:tcPr>
            <w:tcW w:w="1701"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186CCC56"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Not reported</w:t>
            </w:r>
            <w:r w:rsidRPr="00454B9E">
              <w:rPr>
                <w:rFonts w:eastAsiaTheme="minorHAnsi"/>
                <w:color w:val="000000"/>
                <w:spacing w:val="-2"/>
                <w:sz w:val="24"/>
                <w:szCs w:val="24"/>
                <w:vertAlign w:val="superscript"/>
                <w:lang w:val="en-GB"/>
              </w:rPr>
              <w:t>6</w:t>
            </w:r>
          </w:p>
        </w:tc>
      </w:tr>
      <w:tr w:rsidR="00345EE3" w:rsidRPr="00454B9E" w14:paraId="23E193FB" w14:textId="77777777" w:rsidTr="00D73130">
        <w:trPr>
          <w:trHeight w:val="60"/>
        </w:trPr>
        <w:tc>
          <w:tcPr>
            <w:tcW w:w="8504" w:type="dxa"/>
            <w:tcBorders>
              <w:top w:val="single" w:sz="2" w:space="0" w:color="9D9C9C"/>
              <w:left w:val="single" w:sz="6" w:space="0" w:color="000000"/>
              <w:bottom w:val="single" w:sz="6" w:space="0" w:color="000000"/>
              <w:right w:val="single" w:sz="2" w:space="0" w:color="9D9C9C"/>
            </w:tcBorders>
            <w:tcMar>
              <w:top w:w="99" w:type="dxa"/>
              <w:left w:w="14" w:type="dxa"/>
              <w:bottom w:w="99" w:type="dxa"/>
              <w:right w:w="14" w:type="dxa"/>
            </w:tcMar>
          </w:tcPr>
          <w:p w14:paraId="761E933A"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(ii)</w:t>
            </w:r>
            <w:r w:rsidRPr="00454B9E">
              <w:rPr>
                <w:rFonts w:eastAsiaTheme="minorHAnsi"/>
                <w:color w:val="000000"/>
                <w:sz w:val="24"/>
                <w:szCs w:val="24"/>
                <w:lang w:val="en-GB"/>
              </w:rPr>
              <w:tab/>
              <w:t>charged with offences against this Act in relation to a weapon or dangerous article found</w:t>
            </w:r>
          </w:p>
        </w:tc>
        <w:tc>
          <w:tcPr>
            <w:tcW w:w="1701" w:type="dxa"/>
            <w:tcBorders>
              <w:top w:val="single" w:sz="2" w:space="0" w:color="9D9C9C"/>
              <w:left w:val="single" w:sz="2" w:space="0" w:color="9D9C9C"/>
              <w:bottom w:val="single" w:sz="6" w:space="0" w:color="000000"/>
              <w:right w:val="single" w:sz="6" w:space="0" w:color="9D9C9C"/>
            </w:tcBorders>
            <w:tcMar>
              <w:top w:w="99" w:type="dxa"/>
              <w:left w:w="14" w:type="dxa"/>
              <w:bottom w:w="99" w:type="dxa"/>
              <w:right w:w="14" w:type="dxa"/>
            </w:tcMar>
          </w:tcPr>
          <w:p w14:paraId="0E02FE47"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Not reported</w:t>
            </w:r>
            <w:r w:rsidRPr="00454B9E">
              <w:rPr>
                <w:rFonts w:eastAsiaTheme="minorHAnsi"/>
                <w:color w:val="000000"/>
                <w:spacing w:val="-2"/>
                <w:sz w:val="24"/>
                <w:szCs w:val="24"/>
                <w:vertAlign w:val="superscript"/>
                <w:lang w:val="en-GB"/>
              </w:rPr>
              <w:t>7</w:t>
            </w:r>
          </w:p>
        </w:tc>
      </w:tr>
    </w:tbl>
    <w:p w14:paraId="1FF6C1C7" w14:textId="77777777" w:rsidR="00345EE3" w:rsidRPr="00BD27F9" w:rsidRDefault="00345EE3" w:rsidP="00345EE3">
      <w:pPr>
        <w:spacing w:before="72"/>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Corporate</w:t>
      </w:r>
      <w:r w:rsidRPr="00BD27F9">
        <w:rPr>
          <w:color w:val="231F20"/>
          <w:spacing w:val="1"/>
          <w:sz w:val="18"/>
          <w:szCs w:val="18"/>
        </w:rPr>
        <w:t xml:space="preserve"> </w:t>
      </w:r>
      <w:r w:rsidRPr="00BD27F9">
        <w:rPr>
          <w:color w:val="231F20"/>
          <w:sz w:val="18"/>
          <w:szCs w:val="18"/>
        </w:rPr>
        <w:t>Statistics Unit.</w:t>
      </w:r>
      <w:r w:rsidRPr="00BD27F9">
        <w:rPr>
          <w:color w:val="231F20"/>
          <w:spacing w:val="1"/>
          <w:sz w:val="18"/>
          <w:szCs w:val="18"/>
        </w:rPr>
        <w:t xml:space="preserve"> </w:t>
      </w:r>
      <w:r w:rsidRPr="00BD27F9">
        <w:rPr>
          <w:color w:val="231F20"/>
          <w:sz w:val="18"/>
          <w:szCs w:val="18"/>
        </w:rPr>
        <w:t>Data extracted</w:t>
      </w:r>
      <w:r w:rsidRPr="00BD27F9">
        <w:rPr>
          <w:color w:val="231F20"/>
          <w:spacing w:val="1"/>
          <w:sz w:val="18"/>
          <w:szCs w:val="18"/>
        </w:rPr>
        <w:t xml:space="preserve"> </w:t>
      </w:r>
      <w:r w:rsidRPr="00BD27F9">
        <w:rPr>
          <w:color w:val="231F20"/>
          <w:sz w:val="18"/>
          <w:szCs w:val="18"/>
        </w:rPr>
        <w:t>from LEAP</w:t>
      </w:r>
      <w:r w:rsidRPr="00BD27F9">
        <w:rPr>
          <w:color w:val="231F20"/>
          <w:spacing w:val="1"/>
          <w:sz w:val="18"/>
          <w:szCs w:val="18"/>
        </w:rPr>
        <w:t xml:space="preserve"> </w:t>
      </w:r>
      <w:r w:rsidRPr="00BD27F9">
        <w:rPr>
          <w:color w:val="231F20"/>
          <w:sz w:val="18"/>
          <w:szCs w:val="18"/>
        </w:rPr>
        <w:t>on 5</w:t>
      </w:r>
      <w:r w:rsidRPr="00BD27F9">
        <w:rPr>
          <w:color w:val="231F20"/>
          <w:spacing w:val="1"/>
          <w:sz w:val="18"/>
          <w:szCs w:val="18"/>
        </w:rPr>
        <w:t xml:space="preserve"> </w:t>
      </w:r>
      <w:r w:rsidRPr="00BD27F9">
        <w:rPr>
          <w:color w:val="231F20"/>
          <w:sz w:val="18"/>
          <w:szCs w:val="18"/>
        </w:rPr>
        <w:t>July 2022</w:t>
      </w:r>
      <w:r w:rsidRPr="00BD27F9">
        <w:rPr>
          <w:color w:val="231F20"/>
          <w:spacing w:val="1"/>
          <w:sz w:val="18"/>
          <w:szCs w:val="18"/>
        </w:rPr>
        <w:t xml:space="preserve"> </w:t>
      </w:r>
      <w:r w:rsidRPr="00BD27F9">
        <w:rPr>
          <w:color w:val="231F20"/>
          <w:sz w:val="18"/>
          <w:szCs w:val="18"/>
        </w:rPr>
        <w:t>and based</w:t>
      </w:r>
      <w:r w:rsidRPr="00BD27F9">
        <w:rPr>
          <w:color w:val="231F20"/>
          <w:spacing w:val="1"/>
          <w:sz w:val="18"/>
          <w:szCs w:val="18"/>
        </w:rPr>
        <w:t xml:space="preserve"> </w:t>
      </w:r>
      <w:r w:rsidRPr="00BD27F9">
        <w:rPr>
          <w:color w:val="231F20"/>
          <w:sz w:val="18"/>
          <w:szCs w:val="18"/>
        </w:rPr>
        <w:t>on Field</w:t>
      </w:r>
      <w:r w:rsidRPr="00BD27F9">
        <w:rPr>
          <w:color w:val="231F20"/>
          <w:spacing w:val="1"/>
          <w:sz w:val="18"/>
          <w:szCs w:val="18"/>
        </w:rPr>
        <w:t xml:space="preserve"> </w:t>
      </w:r>
      <w:r w:rsidRPr="00BD27F9">
        <w:rPr>
          <w:color w:val="231F20"/>
          <w:sz w:val="18"/>
          <w:szCs w:val="18"/>
        </w:rPr>
        <w:t>Contact</w:t>
      </w:r>
      <w:r w:rsidRPr="00BD27F9">
        <w:rPr>
          <w:color w:val="231F20"/>
          <w:spacing w:val="1"/>
          <w:sz w:val="18"/>
          <w:szCs w:val="18"/>
        </w:rPr>
        <w:t xml:space="preserve"> </w:t>
      </w:r>
      <w:r w:rsidRPr="00BD27F9">
        <w:rPr>
          <w:color w:val="231F20"/>
          <w:spacing w:val="-2"/>
          <w:sz w:val="18"/>
          <w:szCs w:val="18"/>
        </w:rPr>
        <w:t>data.</w:t>
      </w:r>
    </w:p>
    <w:p w14:paraId="5874AE9B" w14:textId="77777777" w:rsidR="00345EE3" w:rsidRPr="00BD27F9" w:rsidRDefault="00345EE3">
      <w:pPr>
        <w:pStyle w:val="ListParagraph"/>
        <w:numPr>
          <w:ilvl w:val="0"/>
          <w:numId w:val="78"/>
        </w:numPr>
        <w:tabs>
          <w:tab w:val="left" w:pos="338"/>
        </w:tabs>
        <w:spacing w:before="112"/>
        <w:ind w:right="1214"/>
        <w:rPr>
          <w:sz w:val="18"/>
          <w:szCs w:val="18"/>
        </w:rPr>
      </w:pPr>
      <w:r w:rsidRPr="00BD27F9">
        <w:rPr>
          <w:color w:val="231F20"/>
          <w:sz w:val="18"/>
          <w:szCs w:val="18"/>
        </w:rPr>
        <w:t>Victoria</w:t>
      </w:r>
      <w:r w:rsidRPr="00BD27F9">
        <w:rPr>
          <w:color w:val="231F20"/>
          <w:spacing w:val="-1"/>
          <w:sz w:val="18"/>
          <w:szCs w:val="18"/>
        </w:rPr>
        <w:t xml:space="preserve"> </w:t>
      </w:r>
      <w:r w:rsidRPr="00BD27F9">
        <w:rPr>
          <w:color w:val="231F20"/>
          <w:sz w:val="18"/>
          <w:szCs w:val="18"/>
        </w:rPr>
        <w:t>Police</w:t>
      </w:r>
      <w:r w:rsidRPr="00BD27F9">
        <w:rPr>
          <w:color w:val="231F20"/>
          <w:spacing w:val="-1"/>
          <w:sz w:val="18"/>
          <w:szCs w:val="18"/>
        </w:rPr>
        <w:t xml:space="preserve"> </w:t>
      </w:r>
      <w:r w:rsidRPr="00BD27F9">
        <w:rPr>
          <w:color w:val="231F20"/>
          <w:sz w:val="18"/>
          <w:szCs w:val="18"/>
        </w:rPr>
        <w:t>records</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persons</w:t>
      </w:r>
      <w:r w:rsidRPr="00BD27F9">
        <w:rPr>
          <w:color w:val="231F20"/>
          <w:spacing w:val="-1"/>
          <w:sz w:val="18"/>
          <w:szCs w:val="18"/>
        </w:rPr>
        <w:t xml:space="preserve"> </w:t>
      </w:r>
      <w:r w:rsidRPr="00BD27F9">
        <w:rPr>
          <w:color w:val="231F20"/>
          <w:sz w:val="18"/>
          <w:szCs w:val="18"/>
        </w:rPr>
        <w:t>charged</w:t>
      </w:r>
      <w:r w:rsidRPr="00BD27F9">
        <w:rPr>
          <w:color w:val="231F20"/>
          <w:spacing w:val="-1"/>
          <w:sz w:val="18"/>
          <w:szCs w:val="18"/>
        </w:rPr>
        <w:t xml:space="preserve"> </w:t>
      </w:r>
      <w:r w:rsidRPr="00BD27F9">
        <w:rPr>
          <w:color w:val="231F20"/>
          <w:sz w:val="18"/>
          <w:szCs w:val="18"/>
        </w:rPr>
        <w:t>with</w:t>
      </w:r>
      <w:r w:rsidRPr="00BD27F9">
        <w:rPr>
          <w:color w:val="231F20"/>
          <w:spacing w:val="-1"/>
          <w:sz w:val="18"/>
          <w:szCs w:val="18"/>
        </w:rPr>
        <w:t xml:space="preserve"> </w:t>
      </w:r>
      <w:r w:rsidRPr="00BD27F9">
        <w:rPr>
          <w:color w:val="231F20"/>
          <w:sz w:val="18"/>
          <w:szCs w:val="18"/>
        </w:rPr>
        <w:t>offences</w:t>
      </w:r>
      <w:r w:rsidRPr="00BD27F9">
        <w:rPr>
          <w:color w:val="231F20"/>
          <w:spacing w:val="-1"/>
          <w:sz w:val="18"/>
          <w:szCs w:val="18"/>
        </w:rPr>
        <w:t xml:space="preserve"> </w:t>
      </w:r>
      <w:r w:rsidRPr="00BD27F9">
        <w:rPr>
          <w:color w:val="231F20"/>
          <w:sz w:val="18"/>
          <w:szCs w:val="18"/>
        </w:rPr>
        <w:t>under</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Act</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dangerous</w:t>
      </w:r>
      <w:r w:rsidRPr="00BD27F9">
        <w:rPr>
          <w:color w:val="231F20"/>
          <w:spacing w:val="-1"/>
          <w:sz w:val="18"/>
          <w:szCs w:val="18"/>
        </w:rPr>
        <w:t xml:space="preserve"> </w:t>
      </w:r>
      <w:r w:rsidRPr="00BD27F9">
        <w:rPr>
          <w:color w:val="231F20"/>
          <w:sz w:val="18"/>
          <w:szCs w:val="18"/>
        </w:rPr>
        <w:t>articles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but</w:t>
      </w:r>
      <w:r w:rsidRPr="00BD27F9">
        <w:rPr>
          <w:color w:val="231F20"/>
          <w:spacing w:val="-1"/>
          <w:sz w:val="18"/>
          <w:szCs w:val="18"/>
        </w:rPr>
        <w:t xml:space="preserve"> </w:t>
      </w:r>
      <w:r w:rsidRPr="00BD27F9">
        <w:rPr>
          <w:color w:val="231F20"/>
          <w:sz w:val="18"/>
          <w:szCs w:val="18"/>
        </w:rPr>
        <w:t>is</w:t>
      </w:r>
      <w:r w:rsidRPr="00BD27F9">
        <w:rPr>
          <w:color w:val="231F20"/>
          <w:spacing w:val="-1"/>
          <w:sz w:val="18"/>
          <w:szCs w:val="18"/>
        </w:rPr>
        <w:t xml:space="preserve"> </w:t>
      </w:r>
      <w:r w:rsidRPr="00BD27F9">
        <w:rPr>
          <w:color w:val="231F20"/>
          <w:sz w:val="18"/>
          <w:szCs w:val="18"/>
        </w:rPr>
        <w:t>unable</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link</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two</w:t>
      </w:r>
      <w:r w:rsidRPr="00BD27F9">
        <w:rPr>
          <w:color w:val="231F20"/>
          <w:spacing w:val="40"/>
          <w:sz w:val="18"/>
          <w:szCs w:val="18"/>
        </w:rPr>
        <w:t xml:space="preserve"> </w:t>
      </w:r>
      <w:r w:rsidRPr="00BD27F9">
        <w:rPr>
          <w:color w:val="231F20"/>
          <w:sz w:val="18"/>
          <w:szCs w:val="18"/>
        </w:rPr>
        <w:t>datasets to provide the number of persons charged in relation to a weapon or dangerous article found.</w:t>
      </w:r>
    </w:p>
    <w:p w14:paraId="0F5B5CCF" w14:textId="77777777" w:rsidR="00345EE3" w:rsidRPr="00BD27F9" w:rsidRDefault="00345EE3">
      <w:pPr>
        <w:pStyle w:val="ListParagraph"/>
        <w:numPr>
          <w:ilvl w:val="0"/>
          <w:numId w:val="78"/>
        </w:numPr>
        <w:tabs>
          <w:tab w:val="left" w:pos="338"/>
        </w:tabs>
        <w:spacing w:before="27"/>
        <w:ind w:right="1214"/>
        <w:rPr>
          <w:sz w:val="18"/>
          <w:szCs w:val="18"/>
        </w:rPr>
      </w:pPr>
      <w:r w:rsidRPr="00BD27F9">
        <w:rPr>
          <w:color w:val="231F20"/>
          <w:sz w:val="18"/>
          <w:szCs w:val="18"/>
        </w:rPr>
        <w:t>Victoria</w:t>
      </w:r>
      <w:r w:rsidRPr="00BD27F9">
        <w:rPr>
          <w:color w:val="231F20"/>
          <w:spacing w:val="-1"/>
          <w:sz w:val="18"/>
          <w:szCs w:val="18"/>
        </w:rPr>
        <w:t xml:space="preserve"> </w:t>
      </w:r>
      <w:r w:rsidRPr="00BD27F9">
        <w:rPr>
          <w:color w:val="231F20"/>
          <w:sz w:val="18"/>
          <w:szCs w:val="18"/>
        </w:rPr>
        <w:t>Police</w:t>
      </w:r>
      <w:r w:rsidRPr="00BD27F9">
        <w:rPr>
          <w:color w:val="231F20"/>
          <w:spacing w:val="-1"/>
          <w:sz w:val="18"/>
          <w:szCs w:val="18"/>
        </w:rPr>
        <w:t xml:space="preserve"> </w:t>
      </w:r>
      <w:r w:rsidRPr="00BD27F9">
        <w:rPr>
          <w:color w:val="231F20"/>
          <w:sz w:val="18"/>
          <w:szCs w:val="18"/>
        </w:rPr>
        <w:t>records</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persons</w:t>
      </w:r>
      <w:r w:rsidRPr="00BD27F9">
        <w:rPr>
          <w:color w:val="231F20"/>
          <w:spacing w:val="-1"/>
          <w:sz w:val="18"/>
          <w:szCs w:val="18"/>
        </w:rPr>
        <w:t xml:space="preserve"> </w:t>
      </w:r>
      <w:r w:rsidRPr="00BD27F9">
        <w:rPr>
          <w:color w:val="231F20"/>
          <w:sz w:val="18"/>
          <w:szCs w:val="18"/>
        </w:rPr>
        <w:t>charged</w:t>
      </w:r>
      <w:r w:rsidRPr="00BD27F9">
        <w:rPr>
          <w:color w:val="231F20"/>
          <w:spacing w:val="-1"/>
          <w:sz w:val="18"/>
          <w:szCs w:val="18"/>
        </w:rPr>
        <w:t xml:space="preserve"> </w:t>
      </w:r>
      <w:r w:rsidRPr="00BD27F9">
        <w:rPr>
          <w:color w:val="231F20"/>
          <w:sz w:val="18"/>
          <w:szCs w:val="18"/>
        </w:rPr>
        <w:t>with</w:t>
      </w:r>
      <w:r w:rsidRPr="00BD27F9">
        <w:rPr>
          <w:color w:val="231F20"/>
          <w:spacing w:val="-1"/>
          <w:sz w:val="18"/>
          <w:szCs w:val="18"/>
        </w:rPr>
        <w:t xml:space="preserve"> </w:t>
      </w:r>
      <w:r w:rsidRPr="00BD27F9">
        <w:rPr>
          <w:color w:val="231F20"/>
          <w:sz w:val="18"/>
          <w:szCs w:val="18"/>
        </w:rPr>
        <w:t>offences</w:t>
      </w:r>
      <w:r w:rsidRPr="00BD27F9">
        <w:rPr>
          <w:color w:val="231F20"/>
          <w:spacing w:val="-1"/>
          <w:sz w:val="18"/>
          <w:szCs w:val="18"/>
        </w:rPr>
        <w:t xml:space="preserve"> </w:t>
      </w:r>
      <w:r w:rsidRPr="00BD27F9">
        <w:rPr>
          <w:color w:val="231F20"/>
          <w:sz w:val="18"/>
          <w:szCs w:val="18"/>
        </w:rPr>
        <w:t>under</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Act</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dangerous</w:t>
      </w:r>
      <w:r w:rsidRPr="00BD27F9">
        <w:rPr>
          <w:color w:val="231F20"/>
          <w:spacing w:val="-1"/>
          <w:sz w:val="18"/>
          <w:szCs w:val="18"/>
        </w:rPr>
        <w:t xml:space="preserve"> </w:t>
      </w:r>
      <w:r w:rsidRPr="00BD27F9">
        <w:rPr>
          <w:color w:val="231F20"/>
          <w:sz w:val="18"/>
          <w:szCs w:val="18"/>
        </w:rPr>
        <w:t>articles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but</w:t>
      </w:r>
      <w:r w:rsidRPr="00BD27F9">
        <w:rPr>
          <w:color w:val="231F20"/>
          <w:spacing w:val="-1"/>
          <w:sz w:val="18"/>
          <w:szCs w:val="18"/>
        </w:rPr>
        <w:t xml:space="preserve"> </w:t>
      </w:r>
      <w:r w:rsidRPr="00BD27F9">
        <w:rPr>
          <w:color w:val="231F20"/>
          <w:sz w:val="18"/>
          <w:szCs w:val="18"/>
        </w:rPr>
        <w:t>is</w:t>
      </w:r>
      <w:r w:rsidRPr="00BD27F9">
        <w:rPr>
          <w:color w:val="231F20"/>
          <w:spacing w:val="-1"/>
          <w:sz w:val="18"/>
          <w:szCs w:val="18"/>
        </w:rPr>
        <w:t xml:space="preserve"> </w:t>
      </w:r>
      <w:r w:rsidRPr="00BD27F9">
        <w:rPr>
          <w:color w:val="231F20"/>
          <w:sz w:val="18"/>
          <w:szCs w:val="18"/>
        </w:rPr>
        <w:t>unable</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link</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two</w:t>
      </w:r>
      <w:r w:rsidRPr="00BD27F9">
        <w:rPr>
          <w:color w:val="231F20"/>
          <w:spacing w:val="40"/>
          <w:sz w:val="18"/>
          <w:szCs w:val="18"/>
        </w:rPr>
        <w:t xml:space="preserve"> </w:t>
      </w:r>
      <w:r w:rsidRPr="00BD27F9">
        <w:rPr>
          <w:color w:val="231F20"/>
          <w:sz w:val="18"/>
          <w:szCs w:val="18"/>
        </w:rPr>
        <w:t>datasets to provide the number of persons charged in relation to a weapon or dangerous article found.</w:t>
      </w:r>
    </w:p>
    <w:p w14:paraId="3F042546" w14:textId="77777777" w:rsidR="00345EE3" w:rsidRPr="00BD27F9" w:rsidRDefault="00345EE3">
      <w:pPr>
        <w:pStyle w:val="ListParagraph"/>
        <w:numPr>
          <w:ilvl w:val="0"/>
          <w:numId w:val="78"/>
        </w:numPr>
        <w:tabs>
          <w:tab w:val="left" w:pos="338"/>
        </w:tabs>
        <w:spacing w:before="26"/>
        <w:ind w:hanging="228"/>
        <w:rPr>
          <w:sz w:val="18"/>
          <w:szCs w:val="18"/>
        </w:rPr>
      </w:pPr>
      <w:r w:rsidRPr="00BD27F9">
        <w:rPr>
          <w:color w:val="231F20"/>
          <w:spacing w:val="-2"/>
          <w:sz w:val="18"/>
          <w:szCs w:val="18"/>
        </w:rPr>
        <w:t>Victoria</w:t>
      </w:r>
      <w:r w:rsidRPr="00BD27F9">
        <w:rPr>
          <w:color w:val="231F20"/>
          <w:spacing w:val="-7"/>
          <w:sz w:val="18"/>
          <w:szCs w:val="18"/>
        </w:rPr>
        <w:t xml:space="preserve"> </w:t>
      </w:r>
      <w:r w:rsidRPr="00BD27F9">
        <w:rPr>
          <w:color w:val="231F20"/>
          <w:spacing w:val="-2"/>
          <w:sz w:val="18"/>
          <w:szCs w:val="18"/>
        </w:rPr>
        <w:t>Police</w:t>
      </w:r>
      <w:r w:rsidRPr="00BD27F9">
        <w:rPr>
          <w:color w:val="231F20"/>
          <w:spacing w:val="-4"/>
          <w:sz w:val="18"/>
          <w:szCs w:val="18"/>
        </w:rPr>
        <w:t xml:space="preserve"> </w:t>
      </w:r>
      <w:r w:rsidRPr="00BD27F9">
        <w:rPr>
          <w:color w:val="231F20"/>
          <w:spacing w:val="-2"/>
          <w:sz w:val="18"/>
          <w:szCs w:val="18"/>
        </w:rPr>
        <w:t>search</w:t>
      </w:r>
      <w:r w:rsidRPr="00BD27F9">
        <w:rPr>
          <w:color w:val="231F20"/>
          <w:spacing w:val="-5"/>
          <w:sz w:val="18"/>
          <w:szCs w:val="18"/>
        </w:rPr>
        <w:t xml:space="preserve"> </w:t>
      </w:r>
      <w:r w:rsidRPr="00BD27F9">
        <w:rPr>
          <w:color w:val="231F20"/>
          <w:spacing w:val="-2"/>
          <w:sz w:val="18"/>
          <w:szCs w:val="18"/>
        </w:rPr>
        <w:t>data</w:t>
      </w:r>
      <w:r w:rsidRPr="00BD27F9">
        <w:rPr>
          <w:color w:val="231F20"/>
          <w:spacing w:val="-4"/>
          <w:sz w:val="18"/>
          <w:szCs w:val="18"/>
        </w:rPr>
        <w:t xml:space="preserve"> </w:t>
      </w:r>
      <w:r w:rsidRPr="00BD27F9">
        <w:rPr>
          <w:color w:val="231F20"/>
          <w:spacing w:val="-2"/>
          <w:sz w:val="18"/>
          <w:szCs w:val="18"/>
        </w:rPr>
        <w:t>include</w:t>
      </w:r>
      <w:r w:rsidRPr="00BD27F9">
        <w:rPr>
          <w:color w:val="231F20"/>
          <w:spacing w:val="-5"/>
          <w:sz w:val="18"/>
          <w:szCs w:val="18"/>
        </w:rPr>
        <w:t xml:space="preserve"> </w:t>
      </w:r>
      <w:r w:rsidRPr="00BD27F9">
        <w:rPr>
          <w:color w:val="231F20"/>
          <w:spacing w:val="-2"/>
          <w:sz w:val="18"/>
          <w:szCs w:val="18"/>
        </w:rPr>
        <w:t>strip</w:t>
      </w:r>
      <w:r w:rsidRPr="00BD27F9">
        <w:rPr>
          <w:color w:val="231F20"/>
          <w:spacing w:val="-4"/>
          <w:sz w:val="18"/>
          <w:szCs w:val="18"/>
        </w:rPr>
        <w:t xml:space="preserve"> </w:t>
      </w:r>
      <w:r w:rsidRPr="00BD27F9">
        <w:rPr>
          <w:color w:val="231F20"/>
          <w:spacing w:val="-2"/>
          <w:sz w:val="18"/>
          <w:szCs w:val="18"/>
        </w:rPr>
        <w:t>searches</w:t>
      </w:r>
      <w:r w:rsidRPr="00BD27F9">
        <w:rPr>
          <w:color w:val="231F20"/>
          <w:spacing w:val="-3"/>
          <w:sz w:val="18"/>
          <w:szCs w:val="18"/>
        </w:rPr>
        <w:t xml:space="preserve"> </w:t>
      </w:r>
      <w:r w:rsidRPr="00BD27F9">
        <w:rPr>
          <w:color w:val="231F20"/>
          <w:spacing w:val="-2"/>
          <w:sz w:val="18"/>
          <w:szCs w:val="18"/>
        </w:rPr>
        <w:t>and</w:t>
      </w:r>
      <w:r w:rsidRPr="00BD27F9">
        <w:rPr>
          <w:color w:val="231F20"/>
          <w:spacing w:val="-5"/>
          <w:sz w:val="18"/>
          <w:szCs w:val="18"/>
        </w:rPr>
        <w:t xml:space="preserve"> </w:t>
      </w:r>
      <w:r w:rsidRPr="00BD27F9">
        <w:rPr>
          <w:color w:val="231F20"/>
          <w:spacing w:val="-2"/>
          <w:sz w:val="18"/>
          <w:szCs w:val="18"/>
        </w:rPr>
        <w:t>other</w:t>
      </w:r>
      <w:r w:rsidRPr="00BD27F9">
        <w:rPr>
          <w:color w:val="231F20"/>
          <w:spacing w:val="-3"/>
          <w:sz w:val="18"/>
          <w:szCs w:val="18"/>
        </w:rPr>
        <w:t xml:space="preserve"> </w:t>
      </w:r>
      <w:r w:rsidRPr="00BD27F9">
        <w:rPr>
          <w:color w:val="231F20"/>
          <w:spacing w:val="-2"/>
          <w:sz w:val="18"/>
          <w:szCs w:val="18"/>
        </w:rPr>
        <w:t>searches</w:t>
      </w:r>
      <w:r w:rsidRPr="00BD27F9">
        <w:rPr>
          <w:color w:val="231F20"/>
          <w:spacing w:val="-3"/>
          <w:sz w:val="18"/>
          <w:szCs w:val="18"/>
        </w:rPr>
        <w:t xml:space="preserve"> </w:t>
      </w:r>
      <w:r w:rsidRPr="00BD27F9">
        <w:rPr>
          <w:color w:val="231F20"/>
          <w:spacing w:val="-2"/>
          <w:sz w:val="18"/>
          <w:szCs w:val="18"/>
        </w:rPr>
        <w:t>of</w:t>
      </w:r>
      <w:r w:rsidRPr="00BD27F9">
        <w:rPr>
          <w:color w:val="231F20"/>
          <w:spacing w:val="-4"/>
          <w:sz w:val="18"/>
          <w:szCs w:val="18"/>
        </w:rPr>
        <w:t xml:space="preserve"> </w:t>
      </w:r>
      <w:r w:rsidRPr="00BD27F9">
        <w:rPr>
          <w:color w:val="231F20"/>
          <w:spacing w:val="-2"/>
          <w:sz w:val="18"/>
          <w:szCs w:val="18"/>
        </w:rPr>
        <w:t>persons,</w:t>
      </w:r>
      <w:r w:rsidRPr="00BD27F9">
        <w:rPr>
          <w:color w:val="231F20"/>
          <w:spacing w:val="-3"/>
          <w:sz w:val="18"/>
          <w:szCs w:val="18"/>
        </w:rPr>
        <w:t xml:space="preserve"> </w:t>
      </w:r>
      <w:r w:rsidRPr="00BD27F9">
        <w:rPr>
          <w:color w:val="231F20"/>
          <w:spacing w:val="-2"/>
          <w:sz w:val="18"/>
          <w:szCs w:val="18"/>
        </w:rPr>
        <w:t>things,</w:t>
      </w:r>
      <w:r w:rsidRPr="00BD27F9">
        <w:rPr>
          <w:color w:val="231F20"/>
          <w:spacing w:val="-3"/>
          <w:sz w:val="18"/>
          <w:szCs w:val="18"/>
        </w:rPr>
        <w:t xml:space="preserve"> </w:t>
      </w:r>
      <w:r w:rsidRPr="00BD27F9">
        <w:rPr>
          <w:color w:val="231F20"/>
          <w:spacing w:val="-2"/>
          <w:sz w:val="18"/>
          <w:szCs w:val="18"/>
        </w:rPr>
        <w:t>or</w:t>
      </w:r>
      <w:r w:rsidRPr="00BD27F9">
        <w:rPr>
          <w:color w:val="231F20"/>
          <w:spacing w:val="-3"/>
          <w:sz w:val="18"/>
          <w:szCs w:val="18"/>
        </w:rPr>
        <w:t xml:space="preserve"> </w:t>
      </w:r>
      <w:r w:rsidRPr="00BD27F9">
        <w:rPr>
          <w:color w:val="231F20"/>
          <w:spacing w:val="-2"/>
          <w:sz w:val="18"/>
          <w:szCs w:val="18"/>
        </w:rPr>
        <w:t>vehicles.</w:t>
      </w:r>
      <w:r w:rsidRPr="00BD27F9">
        <w:rPr>
          <w:color w:val="231F20"/>
          <w:spacing w:val="-4"/>
          <w:sz w:val="18"/>
          <w:szCs w:val="18"/>
        </w:rPr>
        <w:t xml:space="preserve"> </w:t>
      </w:r>
      <w:r w:rsidRPr="00BD27F9">
        <w:rPr>
          <w:color w:val="231F20"/>
          <w:spacing w:val="-2"/>
          <w:sz w:val="18"/>
          <w:szCs w:val="18"/>
        </w:rPr>
        <w:t>It</w:t>
      </w:r>
      <w:r w:rsidRPr="00BD27F9">
        <w:rPr>
          <w:color w:val="231F20"/>
          <w:spacing w:val="-3"/>
          <w:sz w:val="18"/>
          <w:szCs w:val="18"/>
        </w:rPr>
        <w:t xml:space="preserve"> </w:t>
      </w:r>
      <w:r w:rsidRPr="00BD27F9">
        <w:rPr>
          <w:color w:val="231F20"/>
          <w:spacing w:val="-2"/>
          <w:sz w:val="18"/>
          <w:szCs w:val="18"/>
        </w:rPr>
        <w:t>is</w:t>
      </w:r>
      <w:r w:rsidRPr="00BD27F9">
        <w:rPr>
          <w:color w:val="231F20"/>
          <w:spacing w:val="-3"/>
          <w:sz w:val="18"/>
          <w:szCs w:val="18"/>
        </w:rPr>
        <w:t xml:space="preserve"> </w:t>
      </w:r>
      <w:r w:rsidRPr="00BD27F9">
        <w:rPr>
          <w:color w:val="231F20"/>
          <w:spacing w:val="-2"/>
          <w:sz w:val="18"/>
          <w:szCs w:val="18"/>
        </w:rPr>
        <w:t>not</w:t>
      </w:r>
      <w:r w:rsidRPr="00BD27F9">
        <w:rPr>
          <w:color w:val="231F20"/>
          <w:spacing w:val="-4"/>
          <w:sz w:val="18"/>
          <w:szCs w:val="18"/>
        </w:rPr>
        <w:t xml:space="preserve"> </w:t>
      </w:r>
      <w:r w:rsidRPr="00BD27F9">
        <w:rPr>
          <w:color w:val="231F20"/>
          <w:spacing w:val="-2"/>
          <w:sz w:val="18"/>
          <w:szCs w:val="18"/>
        </w:rPr>
        <w:t>possible</w:t>
      </w:r>
      <w:r w:rsidRPr="00BD27F9">
        <w:rPr>
          <w:color w:val="231F20"/>
          <w:spacing w:val="-4"/>
          <w:sz w:val="18"/>
          <w:szCs w:val="18"/>
        </w:rPr>
        <w:t xml:space="preserve"> </w:t>
      </w:r>
      <w:r w:rsidRPr="00BD27F9">
        <w:rPr>
          <w:color w:val="231F20"/>
          <w:spacing w:val="-2"/>
          <w:sz w:val="18"/>
          <w:szCs w:val="18"/>
        </w:rPr>
        <w:t>to</w:t>
      </w:r>
      <w:r w:rsidRPr="00BD27F9">
        <w:rPr>
          <w:color w:val="231F20"/>
          <w:spacing w:val="-4"/>
          <w:sz w:val="18"/>
          <w:szCs w:val="18"/>
        </w:rPr>
        <w:t xml:space="preserve"> </w:t>
      </w:r>
      <w:r w:rsidRPr="00BD27F9">
        <w:rPr>
          <w:color w:val="231F20"/>
          <w:spacing w:val="-2"/>
          <w:sz w:val="18"/>
          <w:szCs w:val="18"/>
        </w:rPr>
        <w:t>report</w:t>
      </w:r>
      <w:r w:rsidRPr="00BD27F9">
        <w:rPr>
          <w:color w:val="231F20"/>
          <w:spacing w:val="-4"/>
          <w:sz w:val="18"/>
          <w:szCs w:val="18"/>
        </w:rPr>
        <w:t xml:space="preserve"> </w:t>
      </w:r>
      <w:r w:rsidRPr="00BD27F9">
        <w:rPr>
          <w:color w:val="231F20"/>
          <w:spacing w:val="-2"/>
          <w:sz w:val="18"/>
          <w:szCs w:val="18"/>
        </w:rPr>
        <w:t>on</w:t>
      </w:r>
      <w:r w:rsidRPr="00BD27F9">
        <w:rPr>
          <w:color w:val="231F20"/>
          <w:spacing w:val="-4"/>
          <w:sz w:val="18"/>
          <w:szCs w:val="18"/>
        </w:rPr>
        <w:t xml:space="preserve"> </w:t>
      </w:r>
      <w:r w:rsidRPr="00BD27F9">
        <w:rPr>
          <w:color w:val="231F20"/>
          <w:spacing w:val="-2"/>
          <w:sz w:val="18"/>
          <w:szCs w:val="18"/>
        </w:rPr>
        <w:t>strip</w:t>
      </w:r>
      <w:r w:rsidRPr="00BD27F9">
        <w:rPr>
          <w:color w:val="231F20"/>
          <w:spacing w:val="-4"/>
          <w:sz w:val="18"/>
          <w:szCs w:val="18"/>
        </w:rPr>
        <w:t xml:space="preserve"> </w:t>
      </w:r>
      <w:r w:rsidRPr="00BD27F9">
        <w:rPr>
          <w:color w:val="231F20"/>
          <w:spacing w:val="-2"/>
          <w:sz w:val="18"/>
          <w:szCs w:val="18"/>
        </w:rPr>
        <w:t>searches</w:t>
      </w:r>
      <w:r w:rsidRPr="00BD27F9">
        <w:rPr>
          <w:color w:val="231F20"/>
          <w:spacing w:val="-4"/>
          <w:sz w:val="18"/>
          <w:szCs w:val="18"/>
        </w:rPr>
        <w:t xml:space="preserve"> </w:t>
      </w:r>
      <w:r w:rsidRPr="00BD27F9">
        <w:rPr>
          <w:color w:val="231F20"/>
          <w:spacing w:val="-2"/>
          <w:sz w:val="18"/>
          <w:szCs w:val="18"/>
        </w:rPr>
        <w:t>on</w:t>
      </w:r>
      <w:r w:rsidRPr="00BD27F9">
        <w:rPr>
          <w:color w:val="231F20"/>
          <w:spacing w:val="-4"/>
          <w:sz w:val="18"/>
          <w:szCs w:val="18"/>
        </w:rPr>
        <w:t xml:space="preserve"> </w:t>
      </w:r>
      <w:r w:rsidRPr="00BD27F9">
        <w:rPr>
          <w:color w:val="231F20"/>
          <w:spacing w:val="-2"/>
          <w:sz w:val="18"/>
          <w:szCs w:val="18"/>
        </w:rPr>
        <w:t>persons</w:t>
      </w:r>
      <w:r w:rsidRPr="00BD27F9">
        <w:rPr>
          <w:color w:val="231F20"/>
          <w:spacing w:val="-3"/>
          <w:sz w:val="18"/>
          <w:szCs w:val="18"/>
        </w:rPr>
        <w:t xml:space="preserve"> </w:t>
      </w:r>
      <w:r w:rsidRPr="00BD27F9">
        <w:rPr>
          <w:color w:val="231F20"/>
          <w:spacing w:val="-2"/>
          <w:sz w:val="18"/>
          <w:szCs w:val="18"/>
        </w:rPr>
        <w:t>alone.</w:t>
      </w:r>
    </w:p>
    <w:p w14:paraId="1D16D17D" w14:textId="77777777" w:rsidR="00345EE3" w:rsidRPr="00BD27F9" w:rsidRDefault="00345EE3">
      <w:pPr>
        <w:pStyle w:val="ListParagraph"/>
        <w:numPr>
          <w:ilvl w:val="0"/>
          <w:numId w:val="78"/>
        </w:numPr>
        <w:tabs>
          <w:tab w:val="left" w:pos="338"/>
        </w:tabs>
        <w:spacing w:before="27"/>
        <w:ind w:right="1214"/>
        <w:rPr>
          <w:sz w:val="18"/>
          <w:szCs w:val="18"/>
        </w:rPr>
      </w:pPr>
      <w:r w:rsidRPr="00BD27F9">
        <w:rPr>
          <w:color w:val="231F20"/>
          <w:sz w:val="18"/>
          <w:szCs w:val="18"/>
        </w:rPr>
        <w:t>Victoria</w:t>
      </w:r>
      <w:r w:rsidRPr="00BD27F9">
        <w:rPr>
          <w:color w:val="231F20"/>
          <w:spacing w:val="-1"/>
          <w:sz w:val="18"/>
          <w:szCs w:val="18"/>
        </w:rPr>
        <w:t xml:space="preserve"> </w:t>
      </w:r>
      <w:r w:rsidRPr="00BD27F9">
        <w:rPr>
          <w:color w:val="231F20"/>
          <w:sz w:val="18"/>
          <w:szCs w:val="18"/>
        </w:rPr>
        <w:t>Police</w:t>
      </w:r>
      <w:r w:rsidRPr="00BD27F9">
        <w:rPr>
          <w:color w:val="231F20"/>
          <w:spacing w:val="-1"/>
          <w:sz w:val="18"/>
          <w:szCs w:val="18"/>
        </w:rPr>
        <w:t xml:space="preserve"> </w:t>
      </w:r>
      <w:r w:rsidRPr="00BD27F9">
        <w:rPr>
          <w:color w:val="231F20"/>
          <w:sz w:val="18"/>
          <w:szCs w:val="18"/>
        </w:rPr>
        <w:t>records</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persons</w:t>
      </w:r>
      <w:r w:rsidRPr="00BD27F9">
        <w:rPr>
          <w:color w:val="231F20"/>
          <w:spacing w:val="-1"/>
          <w:sz w:val="18"/>
          <w:szCs w:val="18"/>
        </w:rPr>
        <w:t xml:space="preserve"> </w:t>
      </w:r>
      <w:r w:rsidRPr="00BD27F9">
        <w:rPr>
          <w:color w:val="231F20"/>
          <w:sz w:val="18"/>
          <w:szCs w:val="18"/>
        </w:rPr>
        <w:t>charged</w:t>
      </w:r>
      <w:r w:rsidRPr="00BD27F9">
        <w:rPr>
          <w:color w:val="231F20"/>
          <w:spacing w:val="-1"/>
          <w:sz w:val="18"/>
          <w:szCs w:val="18"/>
        </w:rPr>
        <w:t xml:space="preserve"> </w:t>
      </w:r>
      <w:r w:rsidRPr="00BD27F9">
        <w:rPr>
          <w:color w:val="231F20"/>
          <w:sz w:val="18"/>
          <w:szCs w:val="18"/>
        </w:rPr>
        <w:t>with</w:t>
      </w:r>
      <w:r w:rsidRPr="00BD27F9">
        <w:rPr>
          <w:color w:val="231F20"/>
          <w:spacing w:val="-1"/>
          <w:sz w:val="18"/>
          <w:szCs w:val="18"/>
        </w:rPr>
        <w:t xml:space="preserve"> </w:t>
      </w:r>
      <w:r w:rsidRPr="00BD27F9">
        <w:rPr>
          <w:color w:val="231F20"/>
          <w:sz w:val="18"/>
          <w:szCs w:val="18"/>
        </w:rPr>
        <w:t>offences</w:t>
      </w:r>
      <w:r w:rsidRPr="00BD27F9">
        <w:rPr>
          <w:color w:val="231F20"/>
          <w:spacing w:val="-1"/>
          <w:sz w:val="18"/>
          <w:szCs w:val="18"/>
        </w:rPr>
        <w:t xml:space="preserve"> </w:t>
      </w:r>
      <w:r w:rsidRPr="00BD27F9">
        <w:rPr>
          <w:color w:val="231F20"/>
          <w:sz w:val="18"/>
          <w:szCs w:val="18"/>
        </w:rPr>
        <w:t>under</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Act</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dangerous</w:t>
      </w:r>
      <w:r w:rsidRPr="00BD27F9">
        <w:rPr>
          <w:color w:val="231F20"/>
          <w:spacing w:val="-1"/>
          <w:sz w:val="18"/>
          <w:szCs w:val="18"/>
        </w:rPr>
        <w:t xml:space="preserve"> </w:t>
      </w:r>
      <w:r w:rsidRPr="00BD27F9">
        <w:rPr>
          <w:color w:val="231F20"/>
          <w:sz w:val="18"/>
          <w:szCs w:val="18"/>
        </w:rPr>
        <w:t>articles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but</w:t>
      </w:r>
      <w:r w:rsidRPr="00BD27F9">
        <w:rPr>
          <w:color w:val="231F20"/>
          <w:spacing w:val="-1"/>
          <w:sz w:val="18"/>
          <w:szCs w:val="18"/>
        </w:rPr>
        <w:t xml:space="preserve"> </w:t>
      </w:r>
      <w:r w:rsidRPr="00BD27F9">
        <w:rPr>
          <w:color w:val="231F20"/>
          <w:sz w:val="18"/>
          <w:szCs w:val="18"/>
        </w:rPr>
        <w:t>is</w:t>
      </w:r>
      <w:r w:rsidRPr="00BD27F9">
        <w:rPr>
          <w:color w:val="231F20"/>
          <w:spacing w:val="-1"/>
          <w:sz w:val="18"/>
          <w:szCs w:val="18"/>
        </w:rPr>
        <w:t xml:space="preserve"> </w:t>
      </w:r>
      <w:r w:rsidRPr="00BD27F9">
        <w:rPr>
          <w:color w:val="231F20"/>
          <w:sz w:val="18"/>
          <w:szCs w:val="18"/>
        </w:rPr>
        <w:t>unable</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link</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two</w:t>
      </w:r>
      <w:r w:rsidRPr="00BD27F9">
        <w:rPr>
          <w:color w:val="231F20"/>
          <w:spacing w:val="40"/>
          <w:sz w:val="18"/>
          <w:szCs w:val="18"/>
        </w:rPr>
        <w:t xml:space="preserve"> </w:t>
      </w:r>
      <w:r w:rsidRPr="00BD27F9">
        <w:rPr>
          <w:color w:val="231F20"/>
          <w:sz w:val="18"/>
          <w:szCs w:val="18"/>
        </w:rPr>
        <w:t>datasets to provide the number of persons charged in relation to a weapon or dangerous article found.</w:t>
      </w:r>
    </w:p>
    <w:p w14:paraId="0F6F60D6" w14:textId="77777777" w:rsidR="00345EE3" w:rsidRPr="00BD27F9" w:rsidRDefault="00345EE3">
      <w:pPr>
        <w:pStyle w:val="ListParagraph"/>
        <w:numPr>
          <w:ilvl w:val="0"/>
          <w:numId w:val="78"/>
        </w:numPr>
        <w:tabs>
          <w:tab w:val="left" w:pos="338"/>
        </w:tabs>
        <w:spacing w:before="27"/>
        <w:ind w:hanging="228"/>
        <w:rPr>
          <w:sz w:val="18"/>
          <w:szCs w:val="18"/>
        </w:rPr>
      </w:pPr>
      <w:r w:rsidRPr="00BD27F9">
        <w:rPr>
          <w:color w:val="231F20"/>
          <w:spacing w:val="-2"/>
          <w:sz w:val="18"/>
          <w:szCs w:val="18"/>
        </w:rPr>
        <w:t>Victoria</w:t>
      </w:r>
      <w:r w:rsidRPr="00BD27F9">
        <w:rPr>
          <w:color w:val="231F20"/>
          <w:spacing w:val="-7"/>
          <w:sz w:val="18"/>
          <w:szCs w:val="18"/>
        </w:rPr>
        <w:t xml:space="preserve"> </w:t>
      </w:r>
      <w:r w:rsidRPr="00BD27F9">
        <w:rPr>
          <w:color w:val="231F20"/>
          <w:spacing w:val="-2"/>
          <w:sz w:val="18"/>
          <w:szCs w:val="18"/>
        </w:rPr>
        <w:t>Police</w:t>
      </w:r>
      <w:r w:rsidRPr="00BD27F9">
        <w:rPr>
          <w:color w:val="231F20"/>
          <w:spacing w:val="-4"/>
          <w:sz w:val="18"/>
          <w:szCs w:val="18"/>
        </w:rPr>
        <w:t xml:space="preserve"> </w:t>
      </w:r>
      <w:r w:rsidRPr="00BD27F9">
        <w:rPr>
          <w:color w:val="231F20"/>
          <w:spacing w:val="-2"/>
          <w:sz w:val="18"/>
          <w:szCs w:val="18"/>
        </w:rPr>
        <w:t>search</w:t>
      </w:r>
      <w:r w:rsidRPr="00BD27F9">
        <w:rPr>
          <w:color w:val="231F20"/>
          <w:spacing w:val="-5"/>
          <w:sz w:val="18"/>
          <w:szCs w:val="18"/>
        </w:rPr>
        <w:t xml:space="preserve"> </w:t>
      </w:r>
      <w:r w:rsidRPr="00BD27F9">
        <w:rPr>
          <w:color w:val="231F20"/>
          <w:spacing w:val="-2"/>
          <w:sz w:val="18"/>
          <w:szCs w:val="18"/>
        </w:rPr>
        <w:t>data</w:t>
      </w:r>
      <w:r w:rsidRPr="00BD27F9">
        <w:rPr>
          <w:color w:val="231F20"/>
          <w:spacing w:val="-4"/>
          <w:sz w:val="18"/>
          <w:szCs w:val="18"/>
        </w:rPr>
        <w:t xml:space="preserve"> </w:t>
      </w:r>
      <w:r w:rsidRPr="00BD27F9">
        <w:rPr>
          <w:color w:val="231F20"/>
          <w:spacing w:val="-2"/>
          <w:sz w:val="18"/>
          <w:szCs w:val="18"/>
        </w:rPr>
        <w:t>include</w:t>
      </w:r>
      <w:r w:rsidRPr="00BD27F9">
        <w:rPr>
          <w:color w:val="231F20"/>
          <w:spacing w:val="-5"/>
          <w:sz w:val="18"/>
          <w:szCs w:val="18"/>
        </w:rPr>
        <w:t xml:space="preserve"> </w:t>
      </w:r>
      <w:r w:rsidRPr="00BD27F9">
        <w:rPr>
          <w:color w:val="231F20"/>
          <w:spacing w:val="-2"/>
          <w:sz w:val="18"/>
          <w:szCs w:val="18"/>
        </w:rPr>
        <w:t>strip</w:t>
      </w:r>
      <w:r w:rsidRPr="00BD27F9">
        <w:rPr>
          <w:color w:val="231F20"/>
          <w:spacing w:val="-4"/>
          <w:sz w:val="18"/>
          <w:szCs w:val="18"/>
        </w:rPr>
        <w:t xml:space="preserve"> </w:t>
      </w:r>
      <w:r w:rsidRPr="00BD27F9">
        <w:rPr>
          <w:color w:val="231F20"/>
          <w:spacing w:val="-2"/>
          <w:sz w:val="18"/>
          <w:szCs w:val="18"/>
        </w:rPr>
        <w:t>searches</w:t>
      </w:r>
      <w:r w:rsidRPr="00BD27F9">
        <w:rPr>
          <w:color w:val="231F20"/>
          <w:spacing w:val="-3"/>
          <w:sz w:val="18"/>
          <w:szCs w:val="18"/>
        </w:rPr>
        <w:t xml:space="preserve"> </w:t>
      </w:r>
      <w:r w:rsidRPr="00BD27F9">
        <w:rPr>
          <w:color w:val="231F20"/>
          <w:spacing w:val="-2"/>
          <w:sz w:val="18"/>
          <w:szCs w:val="18"/>
        </w:rPr>
        <w:t>and</w:t>
      </w:r>
      <w:r w:rsidRPr="00BD27F9">
        <w:rPr>
          <w:color w:val="231F20"/>
          <w:spacing w:val="-5"/>
          <w:sz w:val="18"/>
          <w:szCs w:val="18"/>
        </w:rPr>
        <w:t xml:space="preserve"> </w:t>
      </w:r>
      <w:r w:rsidRPr="00BD27F9">
        <w:rPr>
          <w:color w:val="231F20"/>
          <w:spacing w:val="-2"/>
          <w:sz w:val="18"/>
          <w:szCs w:val="18"/>
        </w:rPr>
        <w:t>other</w:t>
      </w:r>
      <w:r w:rsidRPr="00BD27F9">
        <w:rPr>
          <w:color w:val="231F20"/>
          <w:spacing w:val="-3"/>
          <w:sz w:val="18"/>
          <w:szCs w:val="18"/>
        </w:rPr>
        <w:t xml:space="preserve"> </w:t>
      </w:r>
      <w:r w:rsidRPr="00BD27F9">
        <w:rPr>
          <w:color w:val="231F20"/>
          <w:spacing w:val="-2"/>
          <w:sz w:val="18"/>
          <w:szCs w:val="18"/>
        </w:rPr>
        <w:t>searches</w:t>
      </w:r>
      <w:r w:rsidRPr="00BD27F9">
        <w:rPr>
          <w:color w:val="231F20"/>
          <w:spacing w:val="-3"/>
          <w:sz w:val="18"/>
          <w:szCs w:val="18"/>
        </w:rPr>
        <w:t xml:space="preserve"> </w:t>
      </w:r>
      <w:r w:rsidRPr="00BD27F9">
        <w:rPr>
          <w:color w:val="231F20"/>
          <w:spacing w:val="-2"/>
          <w:sz w:val="18"/>
          <w:szCs w:val="18"/>
        </w:rPr>
        <w:t>of</w:t>
      </w:r>
      <w:r w:rsidRPr="00BD27F9">
        <w:rPr>
          <w:color w:val="231F20"/>
          <w:spacing w:val="-4"/>
          <w:sz w:val="18"/>
          <w:szCs w:val="18"/>
        </w:rPr>
        <w:t xml:space="preserve"> </w:t>
      </w:r>
      <w:r w:rsidRPr="00BD27F9">
        <w:rPr>
          <w:color w:val="231F20"/>
          <w:spacing w:val="-2"/>
          <w:sz w:val="18"/>
          <w:szCs w:val="18"/>
        </w:rPr>
        <w:t>persons,</w:t>
      </w:r>
      <w:r w:rsidRPr="00BD27F9">
        <w:rPr>
          <w:color w:val="231F20"/>
          <w:spacing w:val="-3"/>
          <w:sz w:val="18"/>
          <w:szCs w:val="18"/>
        </w:rPr>
        <w:t xml:space="preserve"> </w:t>
      </w:r>
      <w:r w:rsidRPr="00BD27F9">
        <w:rPr>
          <w:color w:val="231F20"/>
          <w:spacing w:val="-2"/>
          <w:sz w:val="18"/>
          <w:szCs w:val="18"/>
        </w:rPr>
        <w:t>things,</w:t>
      </w:r>
      <w:r w:rsidRPr="00BD27F9">
        <w:rPr>
          <w:color w:val="231F20"/>
          <w:spacing w:val="-3"/>
          <w:sz w:val="18"/>
          <w:szCs w:val="18"/>
        </w:rPr>
        <w:t xml:space="preserve"> </w:t>
      </w:r>
      <w:r w:rsidRPr="00BD27F9">
        <w:rPr>
          <w:color w:val="231F20"/>
          <w:spacing w:val="-2"/>
          <w:sz w:val="18"/>
          <w:szCs w:val="18"/>
        </w:rPr>
        <w:t>or</w:t>
      </w:r>
      <w:r w:rsidRPr="00BD27F9">
        <w:rPr>
          <w:color w:val="231F20"/>
          <w:spacing w:val="-3"/>
          <w:sz w:val="18"/>
          <w:szCs w:val="18"/>
        </w:rPr>
        <w:t xml:space="preserve"> </w:t>
      </w:r>
      <w:r w:rsidRPr="00BD27F9">
        <w:rPr>
          <w:color w:val="231F20"/>
          <w:spacing w:val="-2"/>
          <w:sz w:val="18"/>
          <w:szCs w:val="18"/>
        </w:rPr>
        <w:t>vehicles.</w:t>
      </w:r>
      <w:r w:rsidRPr="00BD27F9">
        <w:rPr>
          <w:color w:val="231F20"/>
          <w:spacing w:val="-4"/>
          <w:sz w:val="18"/>
          <w:szCs w:val="18"/>
        </w:rPr>
        <w:t xml:space="preserve"> </w:t>
      </w:r>
      <w:r w:rsidRPr="00BD27F9">
        <w:rPr>
          <w:color w:val="231F20"/>
          <w:spacing w:val="-2"/>
          <w:sz w:val="18"/>
          <w:szCs w:val="18"/>
        </w:rPr>
        <w:t>It</w:t>
      </w:r>
      <w:r w:rsidRPr="00BD27F9">
        <w:rPr>
          <w:color w:val="231F20"/>
          <w:spacing w:val="-3"/>
          <w:sz w:val="18"/>
          <w:szCs w:val="18"/>
        </w:rPr>
        <w:t xml:space="preserve"> </w:t>
      </w:r>
      <w:r w:rsidRPr="00BD27F9">
        <w:rPr>
          <w:color w:val="231F20"/>
          <w:spacing w:val="-2"/>
          <w:sz w:val="18"/>
          <w:szCs w:val="18"/>
        </w:rPr>
        <w:t>is</w:t>
      </w:r>
      <w:r w:rsidRPr="00BD27F9">
        <w:rPr>
          <w:color w:val="231F20"/>
          <w:spacing w:val="-3"/>
          <w:sz w:val="18"/>
          <w:szCs w:val="18"/>
        </w:rPr>
        <w:t xml:space="preserve"> </w:t>
      </w:r>
      <w:r w:rsidRPr="00BD27F9">
        <w:rPr>
          <w:color w:val="231F20"/>
          <w:spacing w:val="-2"/>
          <w:sz w:val="18"/>
          <w:szCs w:val="18"/>
        </w:rPr>
        <w:t>not</w:t>
      </w:r>
      <w:r w:rsidRPr="00BD27F9">
        <w:rPr>
          <w:color w:val="231F20"/>
          <w:spacing w:val="-4"/>
          <w:sz w:val="18"/>
          <w:szCs w:val="18"/>
        </w:rPr>
        <w:t xml:space="preserve"> </w:t>
      </w:r>
      <w:r w:rsidRPr="00BD27F9">
        <w:rPr>
          <w:color w:val="231F20"/>
          <w:spacing w:val="-2"/>
          <w:sz w:val="18"/>
          <w:szCs w:val="18"/>
        </w:rPr>
        <w:t>possible</w:t>
      </w:r>
      <w:r w:rsidRPr="00BD27F9">
        <w:rPr>
          <w:color w:val="231F20"/>
          <w:spacing w:val="-4"/>
          <w:sz w:val="18"/>
          <w:szCs w:val="18"/>
        </w:rPr>
        <w:t xml:space="preserve"> </w:t>
      </w:r>
      <w:r w:rsidRPr="00BD27F9">
        <w:rPr>
          <w:color w:val="231F20"/>
          <w:spacing w:val="-2"/>
          <w:sz w:val="18"/>
          <w:szCs w:val="18"/>
        </w:rPr>
        <w:t>to</w:t>
      </w:r>
      <w:r w:rsidRPr="00BD27F9">
        <w:rPr>
          <w:color w:val="231F20"/>
          <w:spacing w:val="-4"/>
          <w:sz w:val="18"/>
          <w:szCs w:val="18"/>
        </w:rPr>
        <w:t xml:space="preserve"> </w:t>
      </w:r>
      <w:r w:rsidRPr="00BD27F9">
        <w:rPr>
          <w:color w:val="231F20"/>
          <w:spacing w:val="-2"/>
          <w:sz w:val="18"/>
          <w:szCs w:val="18"/>
        </w:rPr>
        <w:t>report</w:t>
      </w:r>
      <w:r w:rsidRPr="00BD27F9">
        <w:rPr>
          <w:color w:val="231F20"/>
          <w:spacing w:val="-4"/>
          <w:sz w:val="18"/>
          <w:szCs w:val="18"/>
        </w:rPr>
        <w:t xml:space="preserve"> </w:t>
      </w:r>
      <w:r w:rsidRPr="00BD27F9">
        <w:rPr>
          <w:color w:val="231F20"/>
          <w:spacing w:val="-2"/>
          <w:sz w:val="18"/>
          <w:szCs w:val="18"/>
        </w:rPr>
        <w:t>on</w:t>
      </w:r>
      <w:r w:rsidRPr="00BD27F9">
        <w:rPr>
          <w:color w:val="231F20"/>
          <w:spacing w:val="-4"/>
          <w:sz w:val="18"/>
          <w:szCs w:val="18"/>
        </w:rPr>
        <w:t xml:space="preserve"> </w:t>
      </w:r>
      <w:r w:rsidRPr="00BD27F9">
        <w:rPr>
          <w:color w:val="231F20"/>
          <w:spacing w:val="-2"/>
          <w:sz w:val="18"/>
          <w:szCs w:val="18"/>
        </w:rPr>
        <w:t>strip</w:t>
      </w:r>
      <w:r w:rsidRPr="00BD27F9">
        <w:rPr>
          <w:color w:val="231F20"/>
          <w:spacing w:val="-4"/>
          <w:sz w:val="18"/>
          <w:szCs w:val="18"/>
        </w:rPr>
        <w:t xml:space="preserve"> </w:t>
      </w:r>
      <w:r w:rsidRPr="00BD27F9">
        <w:rPr>
          <w:color w:val="231F20"/>
          <w:spacing w:val="-2"/>
          <w:sz w:val="18"/>
          <w:szCs w:val="18"/>
        </w:rPr>
        <w:t>searches</w:t>
      </w:r>
      <w:r w:rsidRPr="00BD27F9">
        <w:rPr>
          <w:color w:val="231F20"/>
          <w:spacing w:val="-4"/>
          <w:sz w:val="18"/>
          <w:szCs w:val="18"/>
        </w:rPr>
        <w:t xml:space="preserve"> </w:t>
      </w:r>
      <w:r w:rsidRPr="00BD27F9">
        <w:rPr>
          <w:color w:val="231F20"/>
          <w:spacing w:val="-2"/>
          <w:sz w:val="18"/>
          <w:szCs w:val="18"/>
        </w:rPr>
        <w:t>on</w:t>
      </w:r>
      <w:r w:rsidRPr="00BD27F9">
        <w:rPr>
          <w:color w:val="231F20"/>
          <w:spacing w:val="-4"/>
          <w:sz w:val="18"/>
          <w:szCs w:val="18"/>
        </w:rPr>
        <w:t xml:space="preserve"> </w:t>
      </w:r>
      <w:r w:rsidRPr="00BD27F9">
        <w:rPr>
          <w:color w:val="231F20"/>
          <w:spacing w:val="-2"/>
          <w:sz w:val="18"/>
          <w:szCs w:val="18"/>
        </w:rPr>
        <w:t>persons</w:t>
      </w:r>
      <w:r w:rsidRPr="00BD27F9">
        <w:rPr>
          <w:color w:val="231F20"/>
          <w:spacing w:val="-3"/>
          <w:sz w:val="18"/>
          <w:szCs w:val="18"/>
        </w:rPr>
        <w:t xml:space="preserve"> </w:t>
      </w:r>
      <w:r w:rsidRPr="00BD27F9">
        <w:rPr>
          <w:color w:val="231F20"/>
          <w:spacing w:val="-2"/>
          <w:sz w:val="18"/>
          <w:szCs w:val="18"/>
        </w:rPr>
        <w:t>alone.</w:t>
      </w:r>
    </w:p>
    <w:p w14:paraId="3EE29C9A" w14:textId="77777777" w:rsidR="00345EE3" w:rsidRPr="00BD27F9" w:rsidRDefault="00345EE3">
      <w:pPr>
        <w:pStyle w:val="ListParagraph"/>
        <w:numPr>
          <w:ilvl w:val="0"/>
          <w:numId w:val="78"/>
        </w:numPr>
        <w:tabs>
          <w:tab w:val="left" w:pos="338"/>
        </w:tabs>
        <w:spacing w:before="27"/>
        <w:ind w:right="1214"/>
        <w:rPr>
          <w:sz w:val="18"/>
          <w:szCs w:val="18"/>
        </w:rPr>
      </w:pPr>
      <w:r w:rsidRPr="00BD27F9">
        <w:rPr>
          <w:color w:val="231F20"/>
          <w:sz w:val="18"/>
          <w:szCs w:val="18"/>
        </w:rPr>
        <w:t>Victoria</w:t>
      </w:r>
      <w:r w:rsidRPr="00BD27F9">
        <w:rPr>
          <w:color w:val="231F20"/>
          <w:spacing w:val="-1"/>
          <w:sz w:val="18"/>
          <w:szCs w:val="18"/>
        </w:rPr>
        <w:t xml:space="preserve"> </w:t>
      </w:r>
      <w:r w:rsidRPr="00BD27F9">
        <w:rPr>
          <w:color w:val="231F20"/>
          <w:sz w:val="18"/>
          <w:szCs w:val="18"/>
        </w:rPr>
        <w:t>Police</w:t>
      </w:r>
      <w:r w:rsidRPr="00BD27F9">
        <w:rPr>
          <w:color w:val="231F20"/>
          <w:spacing w:val="-1"/>
          <w:sz w:val="18"/>
          <w:szCs w:val="18"/>
        </w:rPr>
        <w:t xml:space="preserve"> </w:t>
      </w:r>
      <w:r w:rsidRPr="00BD27F9">
        <w:rPr>
          <w:color w:val="231F20"/>
          <w:sz w:val="18"/>
          <w:szCs w:val="18"/>
        </w:rPr>
        <w:t>records</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persons</w:t>
      </w:r>
      <w:r w:rsidRPr="00BD27F9">
        <w:rPr>
          <w:color w:val="231F20"/>
          <w:spacing w:val="-1"/>
          <w:sz w:val="18"/>
          <w:szCs w:val="18"/>
        </w:rPr>
        <w:t xml:space="preserve"> </w:t>
      </w:r>
      <w:r w:rsidRPr="00BD27F9">
        <w:rPr>
          <w:color w:val="231F20"/>
          <w:sz w:val="18"/>
          <w:szCs w:val="18"/>
        </w:rPr>
        <w:t>charged</w:t>
      </w:r>
      <w:r w:rsidRPr="00BD27F9">
        <w:rPr>
          <w:color w:val="231F20"/>
          <w:spacing w:val="-1"/>
          <w:sz w:val="18"/>
          <w:szCs w:val="18"/>
        </w:rPr>
        <w:t xml:space="preserve"> </w:t>
      </w:r>
      <w:r w:rsidRPr="00BD27F9">
        <w:rPr>
          <w:color w:val="231F20"/>
          <w:sz w:val="18"/>
          <w:szCs w:val="18"/>
        </w:rPr>
        <w:t>with</w:t>
      </w:r>
      <w:r w:rsidRPr="00BD27F9">
        <w:rPr>
          <w:color w:val="231F20"/>
          <w:spacing w:val="-1"/>
          <w:sz w:val="18"/>
          <w:szCs w:val="18"/>
        </w:rPr>
        <w:t xml:space="preserve"> </w:t>
      </w:r>
      <w:r w:rsidRPr="00BD27F9">
        <w:rPr>
          <w:color w:val="231F20"/>
          <w:sz w:val="18"/>
          <w:szCs w:val="18"/>
        </w:rPr>
        <w:t>offences</w:t>
      </w:r>
      <w:r w:rsidRPr="00BD27F9">
        <w:rPr>
          <w:color w:val="231F20"/>
          <w:spacing w:val="-1"/>
          <w:sz w:val="18"/>
          <w:szCs w:val="18"/>
        </w:rPr>
        <w:t xml:space="preserve"> </w:t>
      </w:r>
      <w:r w:rsidRPr="00BD27F9">
        <w:rPr>
          <w:color w:val="231F20"/>
          <w:sz w:val="18"/>
          <w:szCs w:val="18"/>
        </w:rPr>
        <w:t>under</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Act</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dangerous</w:t>
      </w:r>
      <w:r w:rsidRPr="00BD27F9">
        <w:rPr>
          <w:color w:val="231F20"/>
          <w:spacing w:val="-1"/>
          <w:sz w:val="18"/>
          <w:szCs w:val="18"/>
        </w:rPr>
        <w:t xml:space="preserve"> </w:t>
      </w:r>
      <w:r w:rsidRPr="00BD27F9">
        <w:rPr>
          <w:color w:val="231F20"/>
          <w:sz w:val="18"/>
          <w:szCs w:val="18"/>
        </w:rPr>
        <w:t>articles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but</w:t>
      </w:r>
      <w:r w:rsidRPr="00BD27F9">
        <w:rPr>
          <w:color w:val="231F20"/>
          <w:spacing w:val="-1"/>
          <w:sz w:val="18"/>
          <w:szCs w:val="18"/>
        </w:rPr>
        <w:t xml:space="preserve"> </w:t>
      </w:r>
      <w:r w:rsidRPr="00BD27F9">
        <w:rPr>
          <w:color w:val="231F20"/>
          <w:sz w:val="18"/>
          <w:szCs w:val="18"/>
        </w:rPr>
        <w:t>is</w:t>
      </w:r>
      <w:r w:rsidRPr="00BD27F9">
        <w:rPr>
          <w:color w:val="231F20"/>
          <w:spacing w:val="-1"/>
          <w:sz w:val="18"/>
          <w:szCs w:val="18"/>
        </w:rPr>
        <w:t xml:space="preserve"> </w:t>
      </w:r>
      <w:r w:rsidRPr="00BD27F9">
        <w:rPr>
          <w:color w:val="231F20"/>
          <w:sz w:val="18"/>
          <w:szCs w:val="18"/>
        </w:rPr>
        <w:t>unable</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link</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two</w:t>
      </w:r>
      <w:r w:rsidRPr="00BD27F9">
        <w:rPr>
          <w:color w:val="231F20"/>
          <w:spacing w:val="40"/>
          <w:sz w:val="18"/>
          <w:szCs w:val="18"/>
        </w:rPr>
        <w:t xml:space="preserve"> </w:t>
      </w:r>
      <w:r w:rsidRPr="00BD27F9">
        <w:rPr>
          <w:color w:val="231F20"/>
          <w:sz w:val="18"/>
          <w:szCs w:val="18"/>
        </w:rPr>
        <w:t>datasets to provide the number of persons charged in relation to a weapon or dangerous article found.</w:t>
      </w:r>
    </w:p>
    <w:p w14:paraId="169E95E4" w14:textId="77777777" w:rsidR="00345EE3" w:rsidRDefault="00345EE3" w:rsidP="00345EE3">
      <w:pPr>
        <w:rPr>
          <w:sz w:val="24"/>
          <w:szCs w:val="24"/>
        </w:rPr>
      </w:pPr>
      <w:r>
        <w:br w:type="page"/>
      </w:r>
    </w:p>
    <w:p w14:paraId="5CE90C6A" w14:textId="77777777" w:rsidR="00345EE3" w:rsidRDefault="00345EE3" w:rsidP="00345EE3">
      <w:pPr>
        <w:pStyle w:val="BodyText"/>
      </w:pPr>
      <w:r>
        <w:t>In</w:t>
      </w:r>
      <w:r>
        <w:rPr>
          <w:spacing w:val="-5"/>
        </w:rPr>
        <w:t xml:space="preserve"> </w:t>
      </w:r>
      <w:r>
        <w:t>reference</w:t>
      </w:r>
      <w:r>
        <w:rPr>
          <w:spacing w:val="-2"/>
        </w:rPr>
        <w:t xml:space="preserve"> </w:t>
      </w:r>
      <w:r>
        <w:t>to</w:t>
      </w:r>
      <w:r>
        <w:rPr>
          <w:spacing w:val="-3"/>
        </w:rPr>
        <w:t xml:space="preserve"> </w:t>
      </w:r>
      <w:r>
        <w:t>section</w:t>
      </w:r>
      <w:r>
        <w:rPr>
          <w:spacing w:val="-2"/>
        </w:rPr>
        <w:t xml:space="preserve"> </w:t>
      </w:r>
      <w:r>
        <w:t>10B(c)</w:t>
      </w:r>
      <w:r>
        <w:rPr>
          <w:spacing w:val="-2"/>
        </w:rPr>
        <w:t xml:space="preserve"> </w:t>
      </w:r>
      <w:r>
        <w:t>of</w:t>
      </w:r>
      <w:r>
        <w:rPr>
          <w:spacing w:val="-3"/>
        </w:rPr>
        <w:t xml:space="preserve"> </w:t>
      </w:r>
      <w:r>
        <w:t>the</w:t>
      </w:r>
      <w:r>
        <w:rPr>
          <w:spacing w:val="-12"/>
        </w:rPr>
        <w:t xml:space="preserve"> </w:t>
      </w:r>
      <w:r>
        <w:t>Act,</w:t>
      </w:r>
      <w:r>
        <w:rPr>
          <w:spacing w:val="-3"/>
        </w:rPr>
        <w:t xml:space="preserve"> </w:t>
      </w:r>
      <w:r>
        <w:t>no</w:t>
      </w:r>
      <w:r>
        <w:rPr>
          <w:spacing w:val="-2"/>
        </w:rPr>
        <w:t xml:space="preserve"> </w:t>
      </w:r>
      <w:r>
        <w:t>information</w:t>
      </w:r>
      <w:r>
        <w:rPr>
          <w:spacing w:val="-2"/>
        </w:rPr>
        <w:t xml:space="preserve"> </w:t>
      </w:r>
      <w:r>
        <w:t>was</w:t>
      </w:r>
      <w:r>
        <w:rPr>
          <w:spacing w:val="-3"/>
        </w:rPr>
        <w:t xml:space="preserve"> </w:t>
      </w:r>
      <w:r>
        <w:t>requested</w:t>
      </w:r>
      <w:r>
        <w:rPr>
          <w:spacing w:val="-2"/>
        </w:rPr>
        <w:t xml:space="preserve"> </w:t>
      </w:r>
      <w:r>
        <w:t>by</w:t>
      </w:r>
      <w:r>
        <w:rPr>
          <w:spacing w:val="-3"/>
        </w:rPr>
        <w:t xml:space="preserve"> </w:t>
      </w:r>
      <w:r>
        <w:t>the</w:t>
      </w:r>
      <w:r>
        <w:rPr>
          <w:spacing w:val="-2"/>
        </w:rPr>
        <w:t xml:space="preserve"> </w:t>
      </w:r>
      <w:r>
        <w:t>Minister</w:t>
      </w:r>
      <w:r>
        <w:rPr>
          <w:spacing w:val="-2"/>
        </w:rPr>
        <w:t xml:space="preserve"> </w:t>
      </w:r>
      <w:r>
        <w:t>in</w:t>
      </w:r>
      <w:r>
        <w:rPr>
          <w:spacing w:val="-3"/>
        </w:rPr>
        <w:t xml:space="preserve"> </w:t>
      </w:r>
      <w:r>
        <w:t>2021–22</w:t>
      </w:r>
      <w:r>
        <w:rPr>
          <w:spacing w:val="-2"/>
        </w:rPr>
        <w:t xml:space="preserve"> </w:t>
      </w:r>
      <w:r>
        <w:t>financial</w:t>
      </w:r>
      <w:r>
        <w:rPr>
          <w:spacing w:val="-2"/>
        </w:rPr>
        <w:t xml:space="preserve"> </w:t>
      </w:r>
      <w:r>
        <w:t>year.</w:t>
      </w:r>
    </w:p>
    <w:p w14:paraId="738E2E5F" w14:textId="77777777" w:rsidR="00345EE3" w:rsidRDefault="00345EE3" w:rsidP="00345EE3">
      <w:pPr>
        <w:pStyle w:val="Heading5"/>
        <w:spacing w:before="101"/>
      </w:pPr>
      <w:r>
        <w:rPr>
          <w:color w:val="58595B"/>
        </w:rPr>
        <w:t xml:space="preserve">Section </w:t>
      </w:r>
      <w:r>
        <w:rPr>
          <w:color w:val="58595B"/>
          <w:spacing w:val="-4"/>
        </w:rPr>
        <w:t>10KB</w:t>
      </w:r>
    </w:p>
    <w:p w14:paraId="3095F9FC" w14:textId="77777777" w:rsidR="00345EE3" w:rsidRDefault="00345EE3" w:rsidP="00345EE3">
      <w:pPr>
        <w:pStyle w:val="BodyText"/>
        <w:spacing w:before="4" w:line="242" w:lineRule="auto"/>
        <w:ind w:right="921"/>
      </w:pPr>
      <w:r>
        <w:rPr>
          <w:color w:val="231F20"/>
        </w:rPr>
        <w:t>In</w:t>
      </w:r>
      <w:r>
        <w:rPr>
          <w:color w:val="231F20"/>
          <w:spacing w:val="-16"/>
        </w:rPr>
        <w:t xml:space="preserve"> </w:t>
      </w:r>
      <w:r>
        <w:rPr>
          <w:color w:val="231F20"/>
        </w:rPr>
        <w:t>accordance</w:t>
      </w:r>
      <w:r>
        <w:rPr>
          <w:color w:val="231F20"/>
          <w:spacing w:val="-11"/>
        </w:rPr>
        <w:t xml:space="preserve"> </w:t>
      </w:r>
      <w:r>
        <w:rPr>
          <w:color w:val="231F20"/>
        </w:rPr>
        <w:t>with</w:t>
      </w:r>
      <w:r>
        <w:rPr>
          <w:color w:val="231F20"/>
          <w:spacing w:val="-12"/>
        </w:rPr>
        <w:t xml:space="preserve"> </w:t>
      </w:r>
      <w:r>
        <w:rPr>
          <w:color w:val="231F20"/>
        </w:rPr>
        <w:t>section</w:t>
      </w:r>
      <w:r>
        <w:rPr>
          <w:color w:val="231F20"/>
          <w:spacing w:val="-12"/>
        </w:rPr>
        <w:t xml:space="preserve"> </w:t>
      </w:r>
      <w:r>
        <w:rPr>
          <w:color w:val="231F20"/>
        </w:rPr>
        <w:t>10KB</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i/>
          <w:color w:val="231F20"/>
        </w:rPr>
        <w:t>Control</w:t>
      </w:r>
      <w:r>
        <w:rPr>
          <w:i/>
          <w:color w:val="231F20"/>
          <w:spacing w:val="-17"/>
        </w:rPr>
        <w:t xml:space="preserve"> </w:t>
      </w:r>
      <w:r>
        <w:rPr>
          <w:i/>
          <w:color w:val="231F20"/>
        </w:rPr>
        <w:t>of</w:t>
      </w:r>
      <w:r>
        <w:rPr>
          <w:i/>
          <w:color w:val="231F20"/>
          <w:spacing w:val="-17"/>
        </w:rPr>
        <w:t xml:space="preserve"> </w:t>
      </w:r>
      <w:r>
        <w:rPr>
          <w:i/>
          <w:color w:val="231F20"/>
        </w:rPr>
        <w:t>Weapons</w:t>
      </w:r>
      <w:r>
        <w:rPr>
          <w:i/>
          <w:color w:val="231F20"/>
          <w:spacing w:val="-16"/>
        </w:rPr>
        <w:t xml:space="preserve"> </w:t>
      </w:r>
      <w:r>
        <w:rPr>
          <w:i/>
          <w:color w:val="231F20"/>
        </w:rPr>
        <w:t>Act</w:t>
      </w:r>
      <w:r>
        <w:rPr>
          <w:i/>
          <w:color w:val="231F20"/>
          <w:spacing w:val="-17"/>
        </w:rPr>
        <w:t xml:space="preserve"> </w:t>
      </w:r>
      <w:r>
        <w:rPr>
          <w:color w:val="231F20"/>
        </w:rPr>
        <w:t>1990</w:t>
      </w:r>
      <w:r>
        <w:rPr>
          <w:color w:val="231F20"/>
          <w:spacing w:val="-11"/>
        </w:rPr>
        <w:t xml:space="preserve"> </w:t>
      </w:r>
      <w:r>
        <w:rPr>
          <w:color w:val="231F20"/>
        </w:rPr>
        <w:t>the</w:t>
      </w:r>
      <w:r>
        <w:rPr>
          <w:color w:val="231F20"/>
          <w:spacing w:val="-12"/>
        </w:rPr>
        <w:t xml:space="preserve"> </w:t>
      </w:r>
      <w:r>
        <w:rPr>
          <w:color w:val="231F20"/>
        </w:rPr>
        <w:t>Chief</w:t>
      </w:r>
      <w:r>
        <w:rPr>
          <w:color w:val="231F20"/>
          <w:spacing w:val="-11"/>
        </w:rPr>
        <w:t xml:space="preserve"> </w:t>
      </w:r>
      <w:r>
        <w:rPr>
          <w:color w:val="231F20"/>
        </w:rPr>
        <w:t>Commissioner</w:t>
      </w:r>
      <w:r>
        <w:rPr>
          <w:color w:val="231F20"/>
          <w:spacing w:val="-11"/>
        </w:rPr>
        <w:t xml:space="preserve"> </w:t>
      </w:r>
      <w:r>
        <w:rPr>
          <w:color w:val="231F20"/>
        </w:rPr>
        <w:t>of Police</w:t>
      </w:r>
      <w:r>
        <w:rPr>
          <w:color w:val="231F20"/>
          <w:spacing w:val="-1"/>
        </w:rPr>
        <w:t xml:space="preserve"> </w:t>
      </w:r>
      <w:r>
        <w:rPr>
          <w:color w:val="231F20"/>
        </w:rPr>
        <w:t>must provide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Minister, for inclusion</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annual</w:t>
      </w:r>
      <w:r>
        <w:rPr>
          <w:color w:val="231F20"/>
          <w:spacing w:val="-1"/>
        </w:rPr>
        <w:t xml:space="preserve"> </w:t>
      </w:r>
      <w:r>
        <w:rPr>
          <w:color w:val="231F20"/>
        </w:rPr>
        <w:t xml:space="preserve">report of operations under Part 7 of the </w:t>
      </w:r>
      <w:r>
        <w:rPr>
          <w:i/>
          <w:color w:val="231F20"/>
        </w:rPr>
        <w:t>Financial</w:t>
      </w:r>
      <w:r>
        <w:rPr>
          <w:i/>
          <w:color w:val="231F20"/>
          <w:spacing w:val="-8"/>
        </w:rPr>
        <w:t xml:space="preserve"> </w:t>
      </w:r>
      <w:r>
        <w:rPr>
          <w:i/>
          <w:color w:val="231F20"/>
        </w:rPr>
        <w:t>Management</w:t>
      </w:r>
      <w:r>
        <w:rPr>
          <w:i/>
          <w:color w:val="231F20"/>
          <w:spacing w:val="-8"/>
        </w:rPr>
        <w:t xml:space="preserve"> </w:t>
      </w:r>
      <w:r>
        <w:rPr>
          <w:i/>
          <w:color w:val="231F20"/>
        </w:rPr>
        <w:t>Act</w:t>
      </w:r>
      <w:r>
        <w:rPr>
          <w:i/>
          <w:color w:val="231F20"/>
          <w:spacing w:val="-8"/>
        </w:rPr>
        <w:t xml:space="preserve"> </w:t>
      </w:r>
      <w:r>
        <w:rPr>
          <w:color w:val="231F20"/>
        </w:rPr>
        <w:t>1994, a report containing:</w:t>
      </w:r>
    </w:p>
    <w:p w14:paraId="04A3FB9D" w14:textId="77777777" w:rsidR="00345EE3" w:rsidRDefault="00345EE3">
      <w:pPr>
        <w:pStyle w:val="ListParagraph"/>
        <w:numPr>
          <w:ilvl w:val="0"/>
          <w:numId w:val="77"/>
        </w:numPr>
        <w:tabs>
          <w:tab w:val="left" w:pos="398"/>
        </w:tabs>
        <w:spacing w:before="33" w:line="242" w:lineRule="auto"/>
        <w:ind w:right="1386" w:hanging="284"/>
        <w:rPr>
          <w:sz w:val="24"/>
        </w:rPr>
      </w:pPr>
      <w:r>
        <w:rPr>
          <w:color w:val="231F20"/>
          <w:spacing w:val="-2"/>
          <w:sz w:val="24"/>
        </w:rPr>
        <w:t>the</w:t>
      </w:r>
      <w:r>
        <w:rPr>
          <w:color w:val="231F20"/>
          <w:spacing w:val="-15"/>
          <w:sz w:val="24"/>
        </w:rPr>
        <w:t xml:space="preserve"> </w:t>
      </w:r>
      <w:r>
        <w:rPr>
          <w:color w:val="231F20"/>
          <w:spacing w:val="-2"/>
          <w:sz w:val="24"/>
        </w:rPr>
        <w:t>number</w:t>
      </w:r>
      <w:r>
        <w:rPr>
          <w:color w:val="231F20"/>
          <w:spacing w:val="-15"/>
          <w:sz w:val="24"/>
        </w:rPr>
        <w:t xml:space="preserve"> </w:t>
      </w:r>
      <w:r>
        <w:rPr>
          <w:color w:val="231F20"/>
          <w:spacing w:val="-2"/>
          <w:sz w:val="24"/>
        </w:rPr>
        <w:t>of</w:t>
      </w:r>
      <w:r>
        <w:rPr>
          <w:color w:val="231F20"/>
          <w:spacing w:val="-14"/>
          <w:sz w:val="24"/>
        </w:rPr>
        <w:t xml:space="preserve"> </w:t>
      </w:r>
      <w:r>
        <w:rPr>
          <w:color w:val="231F20"/>
          <w:spacing w:val="-2"/>
          <w:sz w:val="24"/>
        </w:rPr>
        <w:t>declarations</w:t>
      </w:r>
      <w:r>
        <w:rPr>
          <w:color w:val="231F20"/>
          <w:spacing w:val="-15"/>
          <w:sz w:val="24"/>
        </w:rPr>
        <w:t xml:space="preserve"> </w:t>
      </w:r>
      <w:r>
        <w:rPr>
          <w:color w:val="231F20"/>
          <w:spacing w:val="-2"/>
          <w:sz w:val="24"/>
        </w:rPr>
        <w:t>made</w:t>
      </w:r>
      <w:r>
        <w:rPr>
          <w:color w:val="231F20"/>
          <w:spacing w:val="-15"/>
          <w:sz w:val="24"/>
        </w:rPr>
        <w:t xml:space="preserve"> </w:t>
      </w:r>
      <w:r>
        <w:rPr>
          <w:color w:val="231F20"/>
          <w:spacing w:val="-2"/>
          <w:sz w:val="24"/>
        </w:rPr>
        <w:t>under</w:t>
      </w:r>
      <w:r>
        <w:rPr>
          <w:color w:val="231F20"/>
          <w:spacing w:val="-15"/>
          <w:sz w:val="24"/>
        </w:rPr>
        <w:t xml:space="preserve"> </w:t>
      </w:r>
      <w:r>
        <w:rPr>
          <w:color w:val="231F20"/>
          <w:spacing w:val="-2"/>
          <w:sz w:val="24"/>
        </w:rPr>
        <w:t>section</w:t>
      </w:r>
      <w:r>
        <w:rPr>
          <w:color w:val="231F20"/>
          <w:spacing w:val="-14"/>
          <w:sz w:val="24"/>
        </w:rPr>
        <w:t xml:space="preserve"> </w:t>
      </w:r>
      <w:r>
        <w:rPr>
          <w:color w:val="231F20"/>
          <w:spacing w:val="-2"/>
          <w:sz w:val="24"/>
        </w:rPr>
        <w:t>10D</w:t>
      </w:r>
      <w:r>
        <w:rPr>
          <w:color w:val="231F20"/>
          <w:spacing w:val="-15"/>
          <w:sz w:val="24"/>
        </w:rPr>
        <w:t xml:space="preserve"> </w:t>
      </w:r>
      <w:r>
        <w:rPr>
          <w:color w:val="231F20"/>
          <w:spacing w:val="-2"/>
          <w:sz w:val="24"/>
        </w:rPr>
        <w:t>(Planned</w:t>
      </w:r>
      <w:r>
        <w:rPr>
          <w:color w:val="231F20"/>
          <w:spacing w:val="-15"/>
          <w:sz w:val="24"/>
        </w:rPr>
        <w:t xml:space="preserve"> </w:t>
      </w:r>
      <w:r>
        <w:rPr>
          <w:color w:val="231F20"/>
          <w:spacing w:val="-2"/>
          <w:sz w:val="24"/>
        </w:rPr>
        <w:t>designation</w:t>
      </w:r>
      <w:r>
        <w:rPr>
          <w:color w:val="231F20"/>
          <w:spacing w:val="-14"/>
          <w:sz w:val="24"/>
        </w:rPr>
        <w:t xml:space="preserve"> </w:t>
      </w:r>
      <w:r>
        <w:rPr>
          <w:color w:val="231F20"/>
          <w:spacing w:val="-2"/>
          <w:sz w:val="24"/>
        </w:rPr>
        <w:t>of</w:t>
      </w:r>
      <w:r>
        <w:rPr>
          <w:color w:val="231F20"/>
          <w:spacing w:val="-15"/>
          <w:sz w:val="24"/>
        </w:rPr>
        <w:t xml:space="preserve"> </w:t>
      </w:r>
      <w:r>
        <w:rPr>
          <w:color w:val="231F20"/>
          <w:spacing w:val="-2"/>
          <w:sz w:val="24"/>
        </w:rPr>
        <w:t>area)</w:t>
      </w:r>
      <w:r>
        <w:rPr>
          <w:color w:val="231F20"/>
          <w:spacing w:val="-15"/>
          <w:sz w:val="24"/>
        </w:rPr>
        <w:t xml:space="preserve"> </w:t>
      </w:r>
      <w:r>
        <w:rPr>
          <w:color w:val="231F20"/>
          <w:spacing w:val="-2"/>
          <w:sz w:val="24"/>
        </w:rPr>
        <w:t>and</w:t>
      </w:r>
      <w:r>
        <w:rPr>
          <w:color w:val="231F20"/>
          <w:spacing w:val="-14"/>
          <w:sz w:val="24"/>
        </w:rPr>
        <w:t xml:space="preserve"> </w:t>
      </w:r>
      <w:r>
        <w:rPr>
          <w:color w:val="231F20"/>
          <w:spacing w:val="-2"/>
          <w:sz w:val="24"/>
        </w:rPr>
        <w:t xml:space="preserve">10E </w:t>
      </w:r>
      <w:r>
        <w:rPr>
          <w:color w:val="231F20"/>
          <w:sz w:val="24"/>
        </w:rPr>
        <w:t>(Unplanned</w:t>
      </w:r>
      <w:r>
        <w:rPr>
          <w:color w:val="231F20"/>
          <w:spacing w:val="-10"/>
          <w:sz w:val="24"/>
        </w:rPr>
        <w:t xml:space="preserve"> </w:t>
      </w:r>
      <w:r>
        <w:rPr>
          <w:color w:val="231F20"/>
          <w:sz w:val="24"/>
        </w:rPr>
        <w:t>designation</w:t>
      </w:r>
      <w:r>
        <w:rPr>
          <w:color w:val="231F20"/>
          <w:spacing w:val="-10"/>
          <w:sz w:val="24"/>
        </w:rPr>
        <w:t xml:space="preserve"> </w:t>
      </w:r>
      <w:r>
        <w:rPr>
          <w:color w:val="231F20"/>
          <w:sz w:val="24"/>
        </w:rPr>
        <w:t>of</w:t>
      </w:r>
      <w:r>
        <w:rPr>
          <w:color w:val="231F20"/>
          <w:spacing w:val="-10"/>
          <w:sz w:val="24"/>
        </w:rPr>
        <w:t xml:space="preserve"> </w:t>
      </w:r>
      <w:r>
        <w:rPr>
          <w:color w:val="231F20"/>
          <w:sz w:val="24"/>
        </w:rPr>
        <w:t>area)</w:t>
      </w:r>
      <w:r>
        <w:rPr>
          <w:color w:val="231F20"/>
          <w:spacing w:val="-10"/>
          <w:sz w:val="24"/>
        </w:rPr>
        <w:t xml:space="preserve"> </w:t>
      </w:r>
      <w:r>
        <w:rPr>
          <w:color w:val="231F20"/>
          <w:sz w:val="24"/>
        </w:rPr>
        <w:t>during</w:t>
      </w:r>
      <w:r>
        <w:rPr>
          <w:color w:val="231F20"/>
          <w:spacing w:val="-10"/>
          <w:sz w:val="24"/>
        </w:rPr>
        <w:t xml:space="preserve"> </w:t>
      </w:r>
      <w:r>
        <w:rPr>
          <w:color w:val="231F20"/>
          <w:sz w:val="24"/>
        </w:rPr>
        <w:t>the</w:t>
      </w:r>
      <w:r>
        <w:rPr>
          <w:color w:val="231F20"/>
          <w:spacing w:val="-10"/>
          <w:sz w:val="24"/>
        </w:rPr>
        <w:t xml:space="preserve"> </w:t>
      </w:r>
      <w:r>
        <w:rPr>
          <w:color w:val="231F20"/>
          <w:sz w:val="24"/>
        </w:rPr>
        <w:t>financial</w:t>
      </w:r>
      <w:r>
        <w:rPr>
          <w:color w:val="231F20"/>
          <w:spacing w:val="-10"/>
          <w:sz w:val="24"/>
        </w:rPr>
        <w:t xml:space="preserve"> </w:t>
      </w:r>
      <w:r>
        <w:rPr>
          <w:color w:val="231F20"/>
          <w:sz w:val="24"/>
        </w:rPr>
        <w:t>year</w:t>
      </w:r>
    </w:p>
    <w:p w14:paraId="21F858F4" w14:textId="77777777" w:rsidR="00345EE3" w:rsidRDefault="00345EE3">
      <w:pPr>
        <w:pStyle w:val="ListParagraph"/>
        <w:numPr>
          <w:ilvl w:val="0"/>
          <w:numId w:val="77"/>
        </w:numPr>
        <w:tabs>
          <w:tab w:val="left" w:pos="398"/>
        </w:tabs>
        <w:spacing w:before="31" w:line="242" w:lineRule="auto"/>
        <w:ind w:right="995" w:hanging="284"/>
        <w:rPr>
          <w:sz w:val="24"/>
        </w:rPr>
      </w:pPr>
      <w:r>
        <w:rPr>
          <w:color w:val="231F20"/>
          <w:spacing w:val="-2"/>
          <w:sz w:val="24"/>
        </w:rPr>
        <w:t>for</w:t>
      </w:r>
      <w:r>
        <w:rPr>
          <w:color w:val="231F20"/>
          <w:spacing w:val="-15"/>
          <w:sz w:val="24"/>
        </w:rPr>
        <w:t xml:space="preserve"> </w:t>
      </w:r>
      <w:r>
        <w:rPr>
          <w:color w:val="231F20"/>
          <w:spacing w:val="-2"/>
          <w:sz w:val="24"/>
        </w:rPr>
        <w:t>those</w:t>
      </w:r>
      <w:r>
        <w:rPr>
          <w:color w:val="231F20"/>
          <w:spacing w:val="-15"/>
          <w:sz w:val="24"/>
        </w:rPr>
        <w:t xml:space="preserve"> </w:t>
      </w:r>
      <w:r>
        <w:rPr>
          <w:color w:val="231F20"/>
          <w:spacing w:val="-2"/>
          <w:sz w:val="24"/>
        </w:rPr>
        <w:t>declarations,</w:t>
      </w:r>
      <w:r>
        <w:rPr>
          <w:color w:val="231F20"/>
          <w:spacing w:val="-14"/>
          <w:sz w:val="24"/>
        </w:rPr>
        <w:t xml:space="preserve"> </w:t>
      </w:r>
      <w:r>
        <w:rPr>
          <w:color w:val="231F20"/>
          <w:spacing w:val="-2"/>
          <w:sz w:val="24"/>
        </w:rPr>
        <w:t>information</w:t>
      </w:r>
      <w:r>
        <w:rPr>
          <w:color w:val="231F20"/>
          <w:spacing w:val="-15"/>
          <w:sz w:val="24"/>
        </w:rPr>
        <w:t xml:space="preserve"> </w:t>
      </w:r>
      <w:r>
        <w:rPr>
          <w:color w:val="231F20"/>
          <w:spacing w:val="-2"/>
          <w:sz w:val="24"/>
        </w:rPr>
        <w:t>about</w:t>
      </w:r>
      <w:r>
        <w:rPr>
          <w:color w:val="231F20"/>
          <w:spacing w:val="-15"/>
          <w:sz w:val="24"/>
        </w:rPr>
        <w:t xml:space="preserve"> </w:t>
      </w:r>
      <w:r>
        <w:rPr>
          <w:color w:val="231F20"/>
          <w:spacing w:val="-2"/>
          <w:sz w:val="24"/>
        </w:rPr>
        <w:t>whether</w:t>
      </w:r>
      <w:r>
        <w:rPr>
          <w:color w:val="231F20"/>
          <w:spacing w:val="-15"/>
          <w:sz w:val="24"/>
        </w:rPr>
        <w:t xml:space="preserve"> </w:t>
      </w:r>
      <w:r>
        <w:rPr>
          <w:color w:val="231F20"/>
          <w:spacing w:val="-2"/>
          <w:sz w:val="24"/>
        </w:rPr>
        <w:t>a</w:t>
      </w:r>
      <w:r>
        <w:rPr>
          <w:color w:val="231F20"/>
          <w:spacing w:val="-14"/>
          <w:sz w:val="24"/>
        </w:rPr>
        <w:t xml:space="preserve"> </w:t>
      </w:r>
      <w:r>
        <w:rPr>
          <w:color w:val="231F20"/>
          <w:spacing w:val="-2"/>
          <w:sz w:val="24"/>
        </w:rPr>
        <w:t>power</w:t>
      </w:r>
      <w:r>
        <w:rPr>
          <w:color w:val="231F20"/>
          <w:spacing w:val="-15"/>
          <w:sz w:val="24"/>
        </w:rPr>
        <w:t xml:space="preserve"> </w:t>
      </w:r>
      <w:r>
        <w:rPr>
          <w:color w:val="231F20"/>
          <w:spacing w:val="-2"/>
          <w:sz w:val="24"/>
        </w:rPr>
        <w:t>under</w:t>
      </w:r>
      <w:r>
        <w:rPr>
          <w:color w:val="231F20"/>
          <w:spacing w:val="-15"/>
          <w:sz w:val="24"/>
        </w:rPr>
        <w:t xml:space="preserve"> </w:t>
      </w:r>
      <w:r>
        <w:rPr>
          <w:color w:val="231F20"/>
          <w:spacing w:val="-2"/>
          <w:sz w:val="24"/>
        </w:rPr>
        <w:t>section</w:t>
      </w:r>
      <w:r>
        <w:rPr>
          <w:color w:val="231F20"/>
          <w:spacing w:val="-14"/>
          <w:sz w:val="24"/>
        </w:rPr>
        <w:t xml:space="preserve"> </w:t>
      </w:r>
      <w:r>
        <w:rPr>
          <w:color w:val="231F20"/>
          <w:spacing w:val="-2"/>
          <w:sz w:val="24"/>
        </w:rPr>
        <w:t>10KA</w:t>
      </w:r>
      <w:r>
        <w:rPr>
          <w:color w:val="231F20"/>
          <w:spacing w:val="-21"/>
          <w:sz w:val="24"/>
        </w:rPr>
        <w:t xml:space="preserve"> </w:t>
      </w:r>
      <w:r>
        <w:rPr>
          <w:color w:val="231F20"/>
          <w:spacing w:val="-2"/>
          <w:sz w:val="24"/>
        </w:rPr>
        <w:t>was</w:t>
      </w:r>
      <w:r>
        <w:rPr>
          <w:color w:val="231F20"/>
          <w:spacing w:val="-15"/>
          <w:sz w:val="24"/>
        </w:rPr>
        <w:t xml:space="preserve"> </w:t>
      </w:r>
      <w:r>
        <w:rPr>
          <w:color w:val="231F20"/>
          <w:spacing w:val="-2"/>
          <w:sz w:val="24"/>
        </w:rPr>
        <w:t>exercised</w:t>
      </w:r>
      <w:r>
        <w:rPr>
          <w:color w:val="231F20"/>
          <w:spacing w:val="-15"/>
          <w:sz w:val="24"/>
        </w:rPr>
        <w:t xml:space="preserve"> </w:t>
      </w:r>
      <w:r>
        <w:rPr>
          <w:color w:val="231F20"/>
          <w:spacing w:val="-2"/>
          <w:sz w:val="24"/>
        </w:rPr>
        <w:t xml:space="preserve">in </w:t>
      </w:r>
      <w:r>
        <w:rPr>
          <w:color w:val="231F20"/>
          <w:sz w:val="24"/>
        </w:rPr>
        <w:t>relation</w:t>
      </w:r>
      <w:r>
        <w:rPr>
          <w:color w:val="231F20"/>
          <w:spacing w:val="-12"/>
          <w:sz w:val="24"/>
        </w:rPr>
        <w:t xml:space="preserve"> </w:t>
      </w:r>
      <w:r>
        <w:rPr>
          <w:color w:val="231F20"/>
          <w:sz w:val="24"/>
        </w:rPr>
        <w:t>to</w:t>
      </w:r>
      <w:r>
        <w:rPr>
          <w:color w:val="231F20"/>
          <w:spacing w:val="-12"/>
          <w:sz w:val="24"/>
        </w:rPr>
        <w:t xml:space="preserve"> </w:t>
      </w:r>
      <w:r>
        <w:rPr>
          <w:color w:val="231F20"/>
          <w:sz w:val="24"/>
        </w:rPr>
        <w:t>the</w:t>
      </w:r>
      <w:r>
        <w:rPr>
          <w:color w:val="231F20"/>
          <w:spacing w:val="-12"/>
          <w:sz w:val="24"/>
        </w:rPr>
        <w:t xml:space="preserve"> </w:t>
      </w:r>
      <w:r>
        <w:rPr>
          <w:color w:val="231F20"/>
          <w:sz w:val="24"/>
        </w:rPr>
        <w:t>designated</w:t>
      </w:r>
      <w:r>
        <w:rPr>
          <w:color w:val="231F20"/>
          <w:spacing w:val="-12"/>
          <w:sz w:val="24"/>
        </w:rPr>
        <w:t xml:space="preserve"> </w:t>
      </w:r>
      <w:r>
        <w:rPr>
          <w:color w:val="231F20"/>
          <w:sz w:val="24"/>
        </w:rPr>
        <w:t>area</w:t>
      </w:r>
      <w:r>
        <w:rPr>
          <w:color w:val="231F20"/>
          <w:spacing w:val="-12"/>
          <w:sz w:val="24"/>
        </w:rPr>
        <w:t xml:space="preserve"> </w:t>
      </w:r>
      <w:r>
        <w:rPr>
          <w:color w:val="231F20"/>
          <w:sz w:val="24"/>
        </w:rPr>
        <w:t>that</w:t>
      </w:r>
      <w:r>
        <w:rPr>
          <w:color w:val="231F20"/>
          <w:spacing w:val="-12"/>
          <w:sz w:val="24"/>
        </w:rPr>
        <w:t xml:space="preserve"> </w:t>
      </w:r>
      <w:r>
        <w:rPr>
          <w:color w:val="231F20"/>
          <w:sz w:val="24"/>
        </w:rPr>
        <w:t>was</w:t>
      </w:r>
      <w:r>
        <w:rPr>
          <w:color w:val="231F20"/>
          <w:spacing w:val="-12"/>
          <w:sz w:val="24"/>
        </w:rPr>
        <w:t xml:space="preserve"> </w:t>
      </w:r>
      <w:r>
        <w:rPr>
          <w:color w:val="231F20"/>
          <w:sz w:val="24"/>
        </w:rPr>
        <w:t>the</w:t>
      </w:r>
      <w:r>
        <w:rPr>
          <w:color w:val="231F20"/>
          <w:spacing w:val="-12"/>
          <w:sz w:val="24"/>
        </w:rPr>
        <w:t xml:space="preserve"> </w:t>
      </w:r>
      <w:r>
        <w:rPr>
          <w:color w:val="231F20"/>
          <w:sz w:val="24"/>
        </w:rPr>
        <w:t>subject</w:t>
      </w:r>
      <w:r>
        <w:rPr>
          <w:color w:val="231F20"/>
          <w:spacing w:val="-12"/>
          <w:sz w:val="24"/>
        </w:rPr>
        <w:t xml:space="preserve"> </w:t>
      </w:r>
      <w:r>
        <w:rPr>
          <w:color w:val="231F20"/>
          <w:sz w:val="24"/>
        </w:rPr>
        <w:t>of</w:t>
      </w:r>
      <w:r>
        <w:rPr>
          <w:color w:val="231F20"/>
          <w:spacing w:val="-12"/>
          <w:sz w:val="24"/>
        </w:rPr>
        <w:t xml:space="preserve"> </w:t>
      </w:r>
      <w:r>
        <w:rPr>
          <w:color w:val="231F20"/>
          <w:sz w:val="24"/>
        </w:rPr>
        <w:t>the</w:t>
      </w:r>
      <w:r>
        <w:rPr>
          <w:color w:val="231F20"/>
          <w:spacing w:val="-12"/>
          <w:sz w:val="24"/>
        </w:rPr>
        <w:t xml:space="preserve"> </w:t>
      </w:r>
      <w:r>
        <w:rPr>
          <w:color w:val="231F20"/>
          <w:sz w:val="24"/>
        </w:rPr>
        <w:t>declaration.</w:t>
      </w:r>
    </w:p>
    <w:p w14:paraId="4F7954D8" w14:textId="77777777" w:rsidR="00345EE3" w:rsidRDefault="00345EE3" w:rsidP="00345EE3">
      <w:pPr>
        <w:spacing w:before="122"/>
        <w:ind w:left="110"/>
        <w:rPr>
          <w:rFonts w:ascii="Arial-BoldItalicMT"/>
          <w:b/>
          <w:i/>
          <w:sz w:val="18"/>
        </w:rPr>
      </w:pPr>
      <w:r>
        <w:rPr>
          <w:color w:val="231F20"/>
          <w:sz w:val="18"/>
        </w:rPr>
        <w:t>Table</w:t>
      </w:r>
      <w:r>
        <w:rPr>
          <w:color w:val="231F20"/>
          <w:spacing w:val="-6"/>
          <w:sz w:val="18"/>
        </w:rPr>
        <w:t xml:space="preserve"> </w:t>
      </w:r>
      <w:r>
        <w:rPr>
          <w:color w:val="231F20"/>
          <w:sz w:val="18"/>
        </w:rPr>
        <w:t>5.12:</w:t>
      </w:r>
      <w:r>
        <w:rPr>
          <w:color w:val="231F20"/>
          <w:spacing w:val="-5"/>
          <w:sz w:val="18"/>
        </w:rPr>
        <w:t xml:space="preserve"> </w:t>
      </w:r>
      <w:r>
        <w:rPr>
          <w:rFonts w:ascii="Arial-BoldItalicMT"/>
          <w:b/>
          <w:i/>
          <w:color w:val="231F20"/>
          <w:sz w:val="18"/>
        </w:rPr>
        <w:t>Number</w:t>
      </w:r>
      <w:r>
        <w:rPr>
          <w:rFonts w:ascii="Arial-BoldItalicMT"/>
          <w:b/>
          <w:i/>
          <w:color w:val="231F20"/>
          <w:spacing w:val="-7"/>
          <w:sz w:val="18"/>
        </w:rPr>
        <w:t xml:space="preserve"> </w:t>
      </w:r>
      <w:r>
        <w:rPr>
          <w:rFonts w:ascii="Arial-BoldItalicMT"/>
          <w:b/>
          <w:i/>
          <w:color w:val="231F20"/>
          <w:sz w:val="18"/>
        </w:rPr>
        <w:t>of</w:t>
      </w:r>
      <w:r>
        <w:rPr>
          <w:rFonts w:ascii="Arial-BoldItalicMT"/>
          <w:b/>
          <w:i/>
          <w:color w:val="231F20"/>
          <w:spacing w:val="-8"/>
          <w:sz w:val="18"/>
        </w:rPr>
        <w:t xml:space="preserve"> </w:t>
      </w:r>
      <w:r>
        <w:rPr>
          <w:rFonts w:ascii="Arial-BoldItalicMT"/>
          <w:b/>
          <w:i/>
          <w:color w:val="231F20"/>
          <w:sz w:val="18"/>
        </w:rPr>
        <w:t>declarations</w:t>
      </w:r>
      <w:r>
        <w:rPr>
          <w:rFonts w:ascii="Arial-BoldItalicMT"/>
          <w:b/>
          <w:i/>
          <w:color w:val="231F20"/>
          <w:spacing w:val="-8"/>
          <w:sz w:val="18"/>
        </w:rPr>
        <w:t xml:space="preserve"> </w:t>
      </w:r>
      <w:r>
        <w:rPr>
          <w:rFonts w:ascii="Arial-BoldItalicMT"/>
          <w:b/>
          <w:i/>
          <w:color w:val="231F20"/>
          <w:sz w:val="18"/>
        </w:rPr>
        <w:t>made</w:t>
      </w:r>
      <w:r>
        <w:rPr>
          <w:rFonts w:ascii="Arial-BoldItalicMT"/>
          <w:b/>
          <w:i/>
          <w:color w:val="231F20"/>
          <w:spacing w:val="-8"/>
          <w:sz w:val="18"/>
        </w:rPr>
        <w:t xml:space="preserve"> </w:t>
      </w:r>
      <w:r>
        <w:rPr>
          <w:rFonts w:ascii="Arial-BoldItalicMT"/>
          <w:b/>
          <w:i/>
          <w:color w:val="231F20"/>
          <w:sz w:val="18"/>
        </w:rPr>
        <w:t>regarding</w:t>
      </w:r>
      <w:r>
        <w:rPr>
          <w:rFonts w:ascii="Arial-BoldItalicMT"/>
          <w:b/>
          <w:i/>
          <w:color w:val="231F20"/>
          <w:spacing w:val="-8"/>
          <w:sz w:val="18"/>
        </w:rPr>
        <w:t xml:space="preserve"> </w:t>
      </w:r>
      <w:r>
        <w:rPr>
          <w:rFonts w:ascii="Arial-BoldItalicMT"/>
          <w:b/>
          <w:i/>
          <w:color w:val="231F20"/>
          <w:sz w:val="18"/>
        </w:rPr>
        <w:t>planned</w:t>
      </w:r>
      <w:r>
        <w:rPr>
          <w:rFonts w:ascii="Arial-BoldItalicMT"/>
          <w:b/>
          <w:i/>
          <w:color w:val="231F20"/>
          <w:spacing w:val="-7"/>
          <w:sz w:val="18"/>
        </w:rPr>
        <w:t xml:space="preserve"> </w:t>
      </w:r>
      <w:r>
        <w:rPr>
          <w:rFonts w:ascii="Arial-BoldItalicMT"/>
          <w:b/>
          <w:i/>
          <w:color w:val="231F20"/>
          <w:sz w:val="18"/>
        </w:rPr>
        <w:t>and</w:t>
      </w:r>
      <w:r>
        <w:rPr>
          <w:rFonts w:ascii="Arial-BoldItalicMT"/>
          <w:b/>
          <w:i/>
          <w:color w:val="231F20"/>
          <w:spacing w:val="-8"/>
          <w:sz w:val="18"/>
        </w:rPr>
        <w:t xml:space="preserve"> </w:t>
      </w:r>
      <w:r>
        <w:rPr>
          <w:rFonts w:ascii="Arial-BoldItalicMT"/>
          <w:b/>
          <w:i/>
          <w:color w:val="231F20"/>
          <w:sz w:val="18"/>
        </w:rPr>
        <w:t>unplanned</w:t>
      </w:r>
      <w:r>
        <w:rPr>
          <w:rFonts w:ascii="Arial-BoldItalicMT"/>
          <w:b/>
          <w:i/>
          <w:color w:val="231F20"/>
          <w:spacing w:val="-8"/>
          <w:sz w:val="18"/>
        </w:rPr>
        <w:t xml:space="preserve"> </w:t>
      </w:r>
      <w:r>
        <w:rPr>
          <w:rFonts w:ascii="Arial-BoldItalicMT"/>
          <w:b/>
          <w:i/>
          <w:color w:val="231F20"/>
          <w:sz w:val="18"/>
        </w:rPr>
        <w:t>designation</w:t>
      </w:r>
      <w:r>
        <w:rPr>
          <w:rFonts w:ascii="Arial-BoldItalicMT"/>
          <w:b/>
          <w:i/>
          <w:color w:val="231F20"/>
          <w:spacing w:val="-8"/>
          <w:sz w:val="18"/>
        </w:rPr>
        <w:t xml:space="preserve"> </w:t>
      </w:r>
      <w:r>
        <w:rPr>
          <w:rFonts w:ascii="Arial-BoldItalicMT"/>
          <w:b/>
          <w:i/>
          <w:color w:val="231F20"/>
          <w:sz w:val="18"/>
        </w:rPr>
        <w:t>of</w:t>
      </w:r>
      <w:r>
        <w:rPr>
          <w:rFonts w:ascii="Arial-BoldItalicMT"/>
          <w:b/>
          <w:i/>
          <w:color w:val="231F20"/>
          <w:spacing w:val="-8"/>
          <w:sz w:val="18"/>
        </w:rPr>
        <w:t xml:space="preserve"> </w:t>
      </w:r>
      <w:r>
        <w:rPr>
          <w:rFonts w:ascii="Arial-BoldItalicMT"/>
          <w:b/>
          <w:i/>
          <w:color w:val="231F20"/>
          <w:sz w:val="18"/>
        </w:rPr>
        <w:t>search</w:t>
      </w:r>
      <w:r>
        <w:rPr>
          <w:rFonts w:ascii="Arial-BoldItalicMT"/>
          <w:b/>
          <w:i/>
          <w:color w:val="231F20"/>
          <w:spacing w:val="-7"/>
          <w:sz w:val="18"/>
        </w:rPr>
        <w:t xml:space="preserve"> </w:t>
      </w:r>
      <w:r>
        <w:rPr>
          <w:rFonts w:ascii="Arial-BoldItalicMT"/>
          <w:b/>
          <w:i/>
          <w:color w:val="231F20"/>
          <w:spacing w:val="-4"/>
          <w:sz w:val="18"/>
        </w:rPr>
        <w:t>area</w:t>
      </w:r>
    </w:p>
    <w:p w14:paraId="7CB8B1E4" w14:textId="77777777" w:rsidR="00345EE3" w:rsidRDefault="00345EE3" w:rsidP="00345EE3">
      <w:pPr>
        <w:pStyle w:val="BodyText"/>
        <w:spacing w:before="5"/>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8504"/>
        <w:gridCol w:w="1701"/>
      </w:tblGrid>
      <w:tr w:rsidR="00345EE3" w14:paraId="4F9C3B2C" w14:textId="77777777" w:rsidTr="00D73130">
        <w:trPr>
          <w:trHeight w:val="401"/>
        </w:trPr>
        <w:tc>
          <w:tcPr>
            <w:tcW w:w="10205" w:type="dxa"/>
            <w:gridSpan w:val="2"/>
            <w:shd w:val="clear" w:color="auto" w:fill="00529F"/>
          </w:tcPr>
          <w:p w14:paraId="548D6659" w14:textId="77777777" w:rsidR="00345EE3" w:rsidRDefault="00345EE3" w:rsidP="00D73130">
            <w:pPr>
              <w:pStyle w:val="TableParagraph"/>
              <w:spacing w:before="63"/>
              <w:ind w:right="1"/>
              <w:rPr>
                <w:b/>
                <w:sz w:val="24"/>
              </w:rPr>
            </w:pPr>
            <w:r>
              <w:rPr>
                <w:b/>
                <w:color w:val="FFFFFF"/>
                <w:spacing w:val="-2"/>
                <w:sz w:val="24"/>
              </w:rPr>
              <w:t>Number</w:t>
            </w:r>
          </w:p>
        </w:tc>
      </w:tr>
      <w:tr w:rsidR="00345EE3" w14:paraId="3F244A59" w14:textId="77777777" w:rsidTr="00D73130">
        <w:trPr>
          <w:trHeight w:val="676"/>
        </w:trPr>
        <w:tc>
          <w:tcPr>
            <w:tcW w:w="8504" w:type="dxa"/>
            <w:tcBorders>
              <w:bottom w:val="single" w:sz="2" w:space="0" w:color="939598"/>
              <w:right w:val="single" w:sz="2" w:space="0" w:color="939598"/>
            </w:tcBorders>
          </w:tcPr>
          <w:p w14:paraId="3796F4D5" w14:textId="77777777" w:rsidR="00345EE3" w:rsidRDefault="00345EE3" w:rsidP="00D73130">
            <w:pPr>
              <w:pStyle w:val="TableParagraph"/>
              <w:spacing w:line="242" w:lineRule="auto"/>
              <w:ind w:left="-3"/>
              <w:jc w:val="left"/>
              <w:rPr>
                <w:sz w:val="24"/>
              </w:rPr>
            </w:pPr>
            <w:r>
              <w:rPr>
                <w:color w:val="231F20"/>
                <w:sz w:val="24"/>
              </w:rPr>
              <w:t>The</w:t>
            </w:r>
            <w:r>
              <w:rPr>
                <w:color w:val="231F20"/>
                <w:spacing w:val="-4"/>
                <w:sz w:val="24"/>
              </w:rPr>
              <w:t xml:space="preserve"> </w:t>
            </w:r>
            <w:r>
              <w:rPr>
                <w:color w:val="231F20"/>
                <w:sz w:val="24"/>
              </w:rPr>
              <w:t>number</w:t>
            </w:r>
            <w:r>
              <w:rPr>
                <w:color w:val="231F20"/>
                <w:spacing w:val="-5"/>
                <w:sz w:val="24"/>
              </w:rPr>
              <w:t xml:space="preserve"> </w:t>
            </w:r>
            <w:r>
              <w:rPr>
                <w:color w:val="231F20"/>
                <w:sz w:val="24"/>
              </w:rPr>
              <w:t>of</w:t>
            </w:r>
            <w:r>
              <w:rPr>
                <w:color w:val="231F20"/>
                <w:spacing w:val="-5"/>
                <w:sz w:val="24"/>
              </w:rPr>
              <w:t xml:space="preserve"> </w:t>
            </w:r>
            <w:r>
              <w:rPr>
                <w:color w:val="231F20"/>
                <w:sz w:val="24"/>
              </w:rPr>
              <w:t>declarations</w:t>
            </w:r>
            <w:r>
              <w:rPr>
                <w:color w:val="231F20"/>
                <w:spacing w:val="-5"/>
                <w:sz w:val="24"/>
              </w:rPr>
              <w:t xml:space="preserve"> </w:t>
            </w:r>
            <w:r>
              <w:rPr>
                <w:color w:val="231F20"/>
                <w:sz w:val="24"/>
              </w:rPr>
              <w:t>made</w:t>
            </w:r>
            <w:r>
              <w:rPr>
                <w:color w:val="231F20"/>
                <w:spacing w:val="-4"/>
                <w:sz w:val="24"/>
              </w:rPr>
              <w:t xml:space="preserve"> </w:t>
            </w:r>
            <w:r>
              <w:rPr>
                <w:color w:val="231F20"/>
                <w:sz w:val="24"/>
              </w:rPr>
              <w:t>regarding</w:t>
            </w:r>
            <w:r>
              <w:rPr>
                <w:color w:val="231F20"/>
                <w:spacing w:val="-4"/>
                <w:sz w:val="24"/>
              </w:rPr>
              <w:t xml:space="preserve"> </w:t>
            </w:r>
            <w:r>
              <w:rPr>
                <w:color w:val="231F20"/>
                <w:sz w:val="24"/>
              </w:rPr>
              <w:t>planned</w:t>
            </w:r>
            <w:r>
              <w:rPr>
                <w:color w:val="231F20"/>
                <w:spacing w:val="-5"/>
                <w:sz w:val="24"/>
              </w:rPr>
              <w:t xml:space="preserve"> </w:t>
            </w:r>
            <w:r>
              <w:rPr>
                <w:color w:val="231F20"/>
                <w:sz w:val="24"/>
              </w:rPr>
              <w:t>designation</w:t>
            </w:r>
            <w:r>
              <w:rPr>
                <w:color w:val="231F20"/>
                <w:spacing w:val="-5"/>
                <w:sz w:val="24"/>
              </w:rPr>
              <w:t xml:space="preserve"> </w:t>
            </w:r>
            <w:r>
              <w:rPr>
                <w:color w:val="231F20"/>
                <w:sz w:val="24"/>
              </w:rPr>
              <w:t>of</w:t>
            </w:r>
            <w:r>
              <w:rPr>
                <w:color w:val="231F20"/>
                <w:spacing w:val="-5"/>
                <w:sz w:val="24"/>
              </w:rPr>
              <w:t xml:space="preserve"> </w:t>
            </w:r>
            <w:r>
              <w:rPr>
                <w:color w:val="231F20"/>
                <w:sz w:val="24"/>
              </w:rPr>
              <w:t>search</w:t>
            </w:r>
            <w:r>
              <w:rPr>
                <w:color w:val="231F20"/>
                <w:spacing w:val="-4"/>
                <w:sz w:val="24"/>
              </w:rPr>
              <w:t xml:space="preserve"> </w:t>
            </w:r>
            <w:r>
              <w:rPr>
                <w:color w:val="231F20"/>
                <w:sz w:val="24"/>
              </w:rPr>
              <w:t>area (section 10D)</w:t>
            </w:r>
          </w:p>
        </w:tc>
        <w:tc>
          <w:tcPr>
            <w:tcW w:w="1701" w:type="dxa"/>
            <w:tcBorders>
              <w:left w:val="single" w:sz="2" w:space="0" w:color="939598"/>
              <w:bottom w:val="single" w:sz="2" w:space="0" w:color="939598"/>
            </w:tcBorders>
          </w:tcPr>
          <w:p w14:paraId="353B4DCC" w14:textId="77777777" w:rsidR="00345EE3" w:rsidRDefault="00345EE3" w:rsidP="00D73130">
            <w:pPr>
              <w:pStyle w:val="TableParagraph"/>
              <w:rPr>
                <w:sz w:val="24"/>
              </w:rPr>
            </w:pPr>
            <w:r>
              <w:rPr>
                <w:color w:val="231F20"/>
                <w:spacing w:val="-5"/>
                <w:sz w:val="24"/>
              </w:rPr>
              <w:t>34</w:t>
            </w:r>
          </w:p>
        </w:tc>
      </w:tr>
      <w:tr w:rsidR="00345EE3" w14:paraId="0636D485" w14:textId="77777777" w:rsidTr="00D73130">
        <w:trPr>
          <w:trHeight w:val="671"/>
        </w:trPr>
        <w:tc>
          <w:tcPr>
            <w:tcW w:w="8504" w:type="dxa"/>
            <w:tcBorders>
              <w:top w:val="single" w:sz="2" w:space="0" w:color="939598"/>
              <w:bottom w:val="single" w:sz="6" w:space="0" w:color="231F20"/>
              <w:right w:val="single" w:sz="2" w:space="0" w:color="939598"/>
            </w:tcBorders>
          </w:tcPr>
          <w:p w14:paraId="6E451DDB" w14:textId="77777777" w:rsidR="00345EE3" w:rsidRDefault="00345EE3" w:rsidP="00D73130">
            <w:pPr>
              <w:pStyle w:val="TableParagraph"/>
              <w:spacing w:line="242" w:lineRule="auto"/>
              <w:ind w:left="-3"/>
              <w:jc w:val="left"/>
              <w:rPr>
                <w:sz w:val="24"/>
              </w:rPr>
            </w:pPr>
            <w:r>
              <w:rPr>
                <w:color w:val="231F20"/>
                <w:sz w:val="24"/>
              </w:rPr>
              <w:t>The</w:t>
            </w:r>
            <w:r>
              <w:rPr>
                <w:color w:val="231F20"/>
                <w:spacing w:val="-4"/>
                <w:sz w:val="24"/>
              </w:rPr>
              <w:t xml:space="preserve"> </w:t>
            </w:r>
            <w:r>
              <w:rPr>
                <w:color w:val="231F20"/>
                <w:sz w:val="24"/>
              </w:rPr>
              <w:t>number</w:t>
            </w:r>
            <w:r>
              <w:rPr>
                <w:color w:val="231F20"/>
                <w:spacing w:val="-5"/>
                <w:sz w:val="24"/>
              </w:rPr>
              <w:t xml:space="preserve"> </w:t>
            </w:r>
            <w:r>
              <w:rPr>
                <w:color w:val="231F20"/>
                <w:sz w:val="24"/>
              </w:rPr>
              <w:t>of</w:t>
            </w:r>
            <w:r>
              <w:rPr>
                <w:color w:val="231F20"/>
                <w:spacing w:val="-5"/>
                <w:sz w:val="24"/>
              </w:rPr>
              <w:t xml:space="preserve"> </w:t>
            </w:r>
            <w:r>
              <w:rPr>
                <w:color w:val="231F20"/>
                <w:sz w:val="24"/>
              </w:rPr>
              <w:t>declarations</w:t>
            </w:r>
            <w:r>
              <w:rPr>
                <w:color w:val="231F20"/>
                <w:spacing w:val="-5"/>
                <w:sz w:val="24"/>
              </w:rPr>
              <w:t xml:space="preserve"> </w:t>
            </w:r>
            <w:r>
              <w:rPr>
                <w:color w:val="231F20"/>
                <w:sz w:val="24"/>
              </w:rPr>
              <w:t>made</w:t>
            </w:r>
            <w:r>
              <w:rPr>
                <w:color w:val="231F20"/>
                <w:spacing w:val="-4"/>
                <w:sz w:val="24"/>
              </w:rPr>
              <w:t xml:space="preserve"> </w:t>
            </w:r>
            <w:r>
              <w:rPr>
                <w:color w:val="231F20"/>
                <w:sz w:val="24"/>
              </w:rPr>
              <w:t>regarding</w:t>
            </w:r>
            <w:r>
              <w:rPr>
                <w:color w:val="231F20"/>
                <w:spacing w:val="-4"/>
                <w:sz w:val="24"/>
              </w:rPr>
              <w:t xml:space="preserve"> </w:t>
            </w:r>
            <w:r>
              <w:rPr>
                <w:color w:val="231F20"/>
                <w:sz w:val="24"/>
              </w:rPr>
              <w:t>unplanned</w:t>
            </w:r>
            <w:r>
              <w:rPr>
                <w:color w:val="231F20"/>
                <w:spacing w:val="-5"/>
                <w:sz w:val="24"/>
              </w:rPr>
              <w:t xml:space="preserve"> </w:t>
            </w:r>
            <w:r>
              <w:rPr>
                <w:color w:val="231F20"/>
                <w:sz w:val="24"/>
              </w:rPr>
              <w:t>designation</w:t>
            </w:r>
            <w:r>
              <w:rPr>
                <w:color w:val="231F20"/>
                <w:spacing w:val="-5"/>
                <w:sz w:val="24"/>
              </w:rPr>
              <w:t xml:space="preserve"> </w:t>
            </w:r>
            <w:r>
              <w:rPr>
                <w:color w:val="231F20"/>
                <w:sz w:val="24"/>
              </w:rPr>
              <w:t>of</w:t>
            </w:r>
            <w:r>
              <w:rPr>
                <w:color w:val="231F20"/>
                <w:spacing w:val="-5"/>
                <w:sz w:val="24"/>
              </w:rPr>
              <w:t xml:space="preserve"> </w:t>
            </w:r>
            <w:r>
              <w:rPr>
                <w:color w:val="231F20"/>
                <w:sz w:val="24"/>
              </w:rPr>
              <w:t>search area (section 10E)</w:t>
            </w:r>
          </w:p>
        </w:tc>
        <w:tc>
          <w:tcPr>
            <w:tcW w:w="1701" w:type="dxa"/>
            <w:tcBorders>
              <w:top w:val="single" w:sz="2" w:space="0" w:color="939598"/>
              <w:left w:val="single" w:sz="2" w:space="0" w:color="939598"/>
              <w:bottom w:val="single" w:sz="6" w:space="0" w:color="231F20"/>
            </w:tcBorders>
          </w:tcPr>
          <w:p w14:paraId="6C975F7B" w14:textId="77777777" w:rsidR="00345EE3" w:rsidRDefault="00345EE3" w:rsidP="00D73130">
            <w:pPr>
              <w:pStyle w:val="TableParagraph"/>
              <w:rPr>
                <w:sz w:val="24"/>
              </w:rPr>
            </w:pPr>
            <w:r>
              <w:rPr>
                <w:color w:val="231F20"/>
                <w:spacing w:val="-5"/>
                <w:sz w:val="24"/>
              </w:rPr>
              <w:t>Nil</w:t>
            </w:r>
          </w:p>
        </w:tc>
      </w:tr>
    </w:tbl>
    <w:p w14:paraId="008395E9" w14:textId="77777777" w:rsidR="00345EE3" w:rsidRPr="00BD27F9" w:rsidRDefault="00345EE3" w:rsidP="00345EE3">
      <w:pPr>
        <w:spacing w:before="71"/>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Transit</w:t>
      </w:r>
      <w:r w:rsidRPr="00BD27F9">
        <w:rPr>
          <w:color w:val="231F20"/>
          <w:spacing w:val="-1"/>
          <w:sz w:val="18"/>
          <w:szCs w:val="18"/>
        </w:rPr>
        <w:t xml:space="preserve"> </w:t>
      </w:r>
      <w:r w:rsidRPr="00BD27F9">
        <w:rPr>
          <w:color w:val="231F20"/>
          <w:sz w:val="18"/>
          <w:szCs w:val="18"/>
        </w:rPr>
        <w:t>and</w:t>
      </w:r>
      <w:r w:rsidRPr="00BD27F9">
        <w:rPr>
          <w:color w:val="231F20"/>
          <w:spacing w:val="-2"/>
          <w:sz w:val="18"/>
          <w:szCs w:val="18"/>
        </w:rPr>
        <w:t xml:space="preserve"> </w:t>
      </w:r>
      <w:r w:rsidRPr="00BD27F9">
        <w:rPr>
          <w:color w:val="231F20"/>
          <w:sz w:val="18"/>
          <w:szCs w:val="18"/>
        </w:rPr>
        <w:t>Public</w:t>
      </w:r>
      <w:r w:rsidRPr="00BD27F9">
        <w:rPr>
          <w:color w:val="231F20"/>
          <w:spacing w:val="-1"/>
          <w:sz w:val="18"/>
          <w:szCs w:val="18"/>
        </w:rPr>
        <w:t xml:space="preserve"> </w:t>
      </w:r>
      <w:r w:rsidRPr="00BD27F9">
        <w:rPr>
          <w:color w:val="231F20"/>
          <w:sz w:val="18"/>
          <w:szCs w:val="18"/>
        </w:rPr>
        <w:t>Safety</w:t>
      </w:r>
      <w:r w:rsidRPr="00BD27F9">
        <w:rPr>
          <w:color w:val="231F20"/>
          <w:spacing w:val="-2"/>
          <w:sz w:val="18"/>
          <w:szCs w:val="18"/>
        </w:rPr>
        <w:t xml:space="preserve"> </w:t>
      </w:r>
      <w:r w:rsidRPr="00BD27F9">
        <w:rPr>
          <w:color w:val="231F20"/>
          <w:sz w:val="18"/>
          <w:szCs w:val="18"/>
        </w:rPr>
        <w:t>Command.</w:t>
      </w:r>
      <w:r w:rsidRPr="00BD27F9">
        <w:rPr>
          <w:color w:val="231F20"/>
          <w:spacing w:val="-1"/>
          <w:sz w:val="18"/>
          <w:szCs w:val="18"/>
        </w:rPr>
        <w:t xml:space="preserve"> </w:t>
      </w:r>
      <w:r w:rsidRPr="00BD27F9">
        <w:rPr>
          <w:color w:val="231F20"/>
          <w:sz w:val="18"/>
          <w:szCs w:val="18"/>
        </w:rPr>
        <w:t>Data</w:t>
      </w:r>
      <w:r w:rsidRPr="00BD27F9">
        <w:rPr>
          <w:color w:val="231F20"/>
          <w:spacing w:val="-2"/>
          <w:sz w:val="18"/>
          <w:szCs w:val="18"/>
        </w:rPr>
        <w:t xml:space="preserve"> </w:t>
      </w:r>
      <w:r w:rsidRPr="00BD27F9">
        <w:rPr>
          <w:color w:val="231F20"/>
          <w:sz w:val="18"/>
          <w:szCs w:val="18"/>
        </w:rPr>
        <w:t>extracted</w:t>
      </w:r>
      <w:r w:rsidRPr="00BD27F9">
        <w:rPr>
          <w:color w:val="231F20"/>
          <w:spacing w:val="-1"/>
          <w:sz w:val="18"/>
          <w:szCs w:val="18"/>
        </w:rPr>
        <w:t xml:space="preserve"> </w:t>
      </w:r>
      <w:r w:rsidRPr="00BD27F9">
        <w:rPr>
          <w:color w:val="231F20"/>
          <w:sz w:val="18"/>
          <w:szCs w:val="18"/>
        </w:rPr>
        <w:t>on</w:t>
      </w:r>
      <w:r w:rsidRPr="00BD27F9">
        <w:rPr>
          <w:color w:val="231F20"/>
          <w:spacing w:val="-2"/>
          <w:sz w:val="18"/>
          <w:szCs w:val="18"/>
        </w:rPr>
        <w:t xml:space="preserve"> </w:t>
      </w:r>
      <w:r w:rsidRPr="00BD27F9">
        <w:rPr>
          <w:color w:val="231F20"/>
          <w:sz w:val="18"/>
          <w:szCs w:val="18"/>
        </w:rPr>
        <w:t>19</w:t>
      </w:r>
      <w:r w:rsidRPr="00BD27F9">
        <w:rPr>
          <w:color w:val="231F20"/>
          <w:spacing w:val="-1"/>
          <w:sz w:val="18"/>
          <w:szCs w:val="18"/>
        </w:rPr>
        <w:t xml:space="preserve"> </w:t>
      </w:r>
      <w:r w:rsidRPr="00BD27F9">
        <w:rPr>
          <w:color w:val="231F20"/>
          <w:sz w:val="18"/>
          <w:szCs w:val="18"/>
        </w:rPr>
        <w:t>July</w:t>
      </w:r>
      <w:r w:rsidRPr="00BD27F9">
        <w:rPr>
          <w:color w:val="231F20"/>
          <w:spacing w:val="-1"/>
          <w:sz w:val="18"/>
          <w:szCs w:val="18"/>
        </w:rPr>
        <w:t xml:space="preserve"> </w:t>
      </w:r>
      <w:r w:rsidRPr="00BD27F9">
        <w:rPr>
          <w:color w:val="231F20"/>
          <w:sz w:val="18"/>
          <w:szCs w:val="18"/>
        </w:rPr>
        <w:t>2022</w:t>
      </w:r>
      <w:r w:rsidRPr="00BD27F9">
        <w:rPr>
          <w:color w:val="231F20"/>
          <w:spacing w:val="-2"/>
          <w:sz w:val="18"/>
          <w:szCs w:val="18"/>
        </w:rPr>
        <w:t xml:space="preserve"> </w:t>
      </w:r>
      <w:r w:rsidRPr="00BD27F9">
        <w:rPr>
          <w:color w:val="231F20"/>
          <w:sz w:val="18"/>
          <w:szCs w:val="18"/>
        </w:rPr>
        <w:t>from</w:t>
      </w:r>
      <w:r w:rsidRPr="00BD27F9">
        <w:rPr>
          <w:color w:val="231F20"/>
          <w:spacing w:val="-1"/>
          <w:sz w:val="18"/>
          <w:szCs w:val="18"/>
        </w:rPr>
        <w:t xml:space="preserve"> </w:t>
      </w:r>
      <w:r w:rsidRPr="00BD27F9">
        <w:rPr>
          <w:color w:val="231F20"/>
          <w:sz w:val="18"/>
          <w:szCs w:val="18"/>
        </w:rPr>
        <w:t>Transit</w:t>
      </w:r>
      <w:r w:rsidRPr="00BD27F9">
        <w:rPr>
          <w:color w:val="231F20"/>
          <w:spacing w:val="-2"/>
          <w:sz w:val="18"/>
          <w:szCs w:val="18"/>
        </w:rPr>
        <w:t xml:space="preserve"> </w:t>
      </w:r>
      <w:r w:rsidRPr="00BD27F9">
        <w:rPr>
          <w:color w:val="231F20"/>
          <w:sz w:val="18"/>
          <w:szCs w:val="18"/>
        </w:rPr>
        <w:t>Strategies</w:t>
      </w:r>
      <w:r w:rsidRPr="00BD27F9">
        <w:rPr>
          <w:color w:val="231F20"/>
          <w:spacing w:val="-1"/>
          <w:sz w:val="18"/>
          <w:szCs w:val="18"/>
        </w:rPr>
        <w:t xml:space="preserve"> </w:t>
      </w:r>
      <w:r w:rsidRPr="00BD27F9">
        <w:rPr>
          <w:color w:val="231F20"/>
          <w:sz w:val="18"/>
          <w:szCs w:val="18"/>
        </w:rPr>
        <w:t>&amp;</w:t>
      </w:r>
      <w:r w:rsidRPr="00BD27F9">
        <w:rPr>
          <w:color w:val="231F20"/>
          <w:spacing w:val="-2"/>
          <w:sz w:val="18"/>
          <w:szCs w:val="18"/>
        </w:rPr>
        <w:t xml:space="preserve"> </w:t>
      </w:r>
      <w:r w:rsidRPr="00BD27F9">
        <w:rPr>
          <w:color w:val="231F20"/>
          <w:sz w:val="18"/>
          <w:szCs w:val="18"/>
        </w:rPr>
        <w:t>Projects</w:t>
      </w:r>
      <w:r w:rsidRPr="00BD27F9">
        <w:rPr>
          <w:color w:val="231F20"/>
          <w:spacing w:val="-1"/>
          <w:sz w:val="18"/>
          <w:szCs w:val="18"/>
        </w:rPr>
        <w:t xml:space="preserve"> </w:t>
      </w:r>
      <w:r w:rsidRPr="00BD27F9">
        <w:rPr>
          <w:color w:val="231F20"/>
          <w:sz w:val="18"/>
          <w:szCs w:val="18"/>
        </w:rPr>
        <w:t>Unit</w:t>
      </w:r>
      <w:r w:rsidRPr="00BD27F9">
        <w:rPr>
          <w:color w:val="231F20"/>
          <w:spacing w:val="-2"/>
          <w:sz w:val="18"/>
          <w:szCs w:val="18"/>
        </w:rPr>
        <w:t xml:space="preserve"> </w:t>
      </w:r>
      <w:r w:rsidRPr="00BD27F9">
        <w:rPr>
          <w:color w:val="231F20"/>
          <w:sz w:val="18"/>
          <w:szCs w:val="18"/>
        </w:rPr>
        <w:t>Operation</w:t>
      </w:r>
      <w:r w:rsidRPr="00BD27F9">
        <w:rPr>
          <w:color w:val="231F20"/>
          <w:spacing w:val="-1"/>
          <w:sz w:val="18"/>
          <w:szCs w:val="18"/>
        </w:rPr>
        <w:t xml:space="preserve"> </w:t>
      </w:r>
      <w:r>
        <w:rPr>
          <w:color w:val="231F20"/>
          <w:spacing w:val="-1"/>
          <w:sz w:val="18"/>
          <w:szCs w:val="18"/>
        </w:rPr>
        <w:br/>
      </w:r>
      <w:r w:rsidRPr="00BD27F9">
        <w:rPr>
          <w:color w:val="231F20"/>
          <w:sz w:val="18"/>
          <w:szCs w:val="18"/>
        </w:rPr>
        <w:t>OMNI</w:t>
      </w:r>
      <w:r w:rsidRPr="00BD27F9">
        <w:rPr>
          <w:color w:val="231F20"/>
          <w:spacing w:val="-1"/>
          <w:sz w:val="18"/>
          <w:szCs w:val="18"/>
        </w:rPr>
        <w:t xml:space="preserve"> </w:t>
      </w:r>
      <w:r w:rsidRPr="00BD27F9">
        <w:rPr>
          <w:color w:val="231F20"/>
          <w:spacing w:val="-2"/>
          <w:sz w:val="18"/>
          <w:szCs w:val="18"/>
        </w:rPr>
        <w:t>Results.</w:t>
      </w:r>
    </w:p>
    <w:p w14:paraId="531AC9D6" w14:textId="77777777" w:rsidR="00345EE3" w:rsidRDefault="00345EE3" w:rsidP="00345EE3">
      <w:pPr>
        <w:pStyle w:val="BodyText"/>
        <w:spacing w:before="6"/>
        <w:rPr>
          <w:sz w:val="12"/>
        </w:rPr>
      </w:pPr>
    </w:p>
    <w:p w14:paraId="45BDE771" w14:textId="77777777" w:rsidR="00345EE3" w:rsidRDefault="00345EE3" w:rsidP="00345EE3">
      <w:pPr>
        <w:spacing w:before="1"/>
        <w:ind w:left="110"/>
        <w:rPr>
          <w:rFonts w:ascii="Arial-BoldItalicMT"/>
          <w:b/>
          <w:i/>
          <w:sz w:val="18"/>
        </w:rPr>
      </w:pPr>
      <w:r>
        <w:rPr>
          <w:color w:val="231F20"/>
          <w:sz w:val="18"/>
        </w:rPr>
        <w:t>Table</w:t>
      </w:r>
      <w:r>
        <w:rPr>
          <w:color w:val="231F20"/>
          <w:spacing w:val="-8"/>
          <w:sz w:val="18"/>
        </w:rPr>
        <w:t xml:space="preserve"> </w:t>
      </w:r>
      <w:r>
        <w:rPr>
          <w:color w:val="231F20"/>
          <w:sz w:val="18"/>
        </w:rPr>
        <w:t>5.13:</w:t>
      </w:r>
      <w:r>
        <w:rPr>
          <w:color w:val="231F20"/>
          <w:spacing w:val="-8"/>
          <w:sz w:val="18"/>
        </w:rPr>
        <w:t xml:space="preserve"> </w:t>
      </w:r>
      <w:r>
        <w:rPr>
          <w:rFonts w:ascii="Arial-BoldItalicMT"/>
          <w:b/>
          <w:i/>
          <w:color w:val="231F20"/>
          <w:sz w:val="18"/>
        </w:rPr>
        <w:t>Power</w:t>
      </w:r>
      <w:r>
        <w:rPr>
          <w:rFonts w:ascii="Arial-BoldItalicMT"/>
          <w:b/>
          <w:i/>
          <w:color w:val="231F20"/>
          <w:spacing w:val="-10"/>
          <w:sz w:val="18"/>
        </w:rPr>
        <w:t xml:space="preserve"> </w:t>
      </w:r>
      <w:r>
        <w:rPr>
          <w:rFonts w:ascii="Arial-BoldItalicMT"/>
          <w:b/>
          <w:i/>
          <w:color w:val="231F20"/>
          <w:sz w:val="18"/>
        </w:rPr>
        <w:t>exercised</w:t>
      </w:r>
      <w:r>
        <w:rPr>
          <w:rFonts w:ascii="Arial-BoldItalicMT"/>
          <w:b/>
          <w:i/>
          <w:color w:val="231F20"/>
          <w:spacing w:val="-11"/>
          <w:sz w:val="18"/>
        </w:rPr>
        <w:t xml:space="preserve"> </w:t>
      </w:r>
      <w:r>
        <w:rPr>
          <w:rFonts w:ascii="Arial-BoldItalicMT"/>
          <w:b/>
          <w:i/>
          <w:color w:val="231F20"/>
          <w:sz w:val="18"/>
        </w:rPr>
        <w:t>under</w:t>
      </w:r>
      <w:r>
        <w:rPr>
          <w:rFonts w:ascii="Arial-BoldItalicMT"/>
          <w:b/>
          <w:i/>
          <w:color w:val="231F20"/>
          <w:spacing w:val="-10"/>
          <w:sz w:val="18"/>
        </w:rPr>
        <w:t xml:space="preserve"> </w:t>
      </w:r>
      <w:r>
        <w:rPr>
          <w:rFonts w:ascii="Arial-BoldItalicMT"/>
          <w:b/>
          <w:i/>
          <w:color w:val="231F20"/>
          <w:sz w:val="18"/>
        </w:rPr>
        <w:t>section</w:t>
      </w:r>
      <w:r>
        <w:rPr>
          <w:rFonts w:ascii="Arial-BoldItalicMT"/>
          <w:b/>
          <w:i/>
          <w:color w:val="231F20"/>
          <w:spacing w:val="-10"/>
          <w:sz w:val="18"/>
        </w:rPr>
        <w:t xml:space="preserve"> </w:t>
      </w:r>
      <w:r>
        <w:rPr>
          <w:rFonts w:ascii="Arial-BoldItalicMT"/>
          <w:b/>
          <w:i/>
          <w:color w:val="231F20"/>
          <w:spacing w:val="-4"/>
          <w:sz w:val="18"/>
        </w:rPr>
        <w:t>10KA</w:t>
      </w:r>
    </w:p>
    <w:p w14:paraId="2164B10B" w14:textId="77777777" w:rsidR="00345EE3" w:rsidRDefault="00345EE3" w:rsidP="00345EE3">
      <w:pPr>
        <w:pStyle w:val="BodyText"/>
        <w:spacing w:before="5"/>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4082"/>
        <w:gridCol w:w="4422"/>
        <w:gridCol w:w="1701"/>
      </w:tblGrid>
      <w:tr w:rsidR="00345EE3" w14:paraId="3A8BEFD1" w14:textId="77777777" w:rsidTr="00D73130">
        <w:trPr>
          <w:trHeight w:val="401"/>
        </w:trPr>
        <w:tc>
          <w:tcPr>
            <w:tcW w:w="4082" w:type="dxa"/>
            <w:shd w:val="clear" w:color="auto" w:fill="00529F"/>
          </w:tcPr>
          <w:p w14:paraId="2EE8C86A" w14:textId="77777777" w:rsidR="00345EE3" w:rsidRDefault="00345EE3" w:rsidP="00D73130">
            <w:pPr>
              <w:pStyle w:val="TableParagraph"/>
              <w:spacing w:before="63"/>
              <w:jc w:val="left"/>
              <w:rPr>
                <w:b/>
                <w:sz w:val="24"/>
              </w:rPr>
            </w:pPr>
            <w:r>
              <w:rPr>
                <w:b/>
                <w:color w:val="FFFFFF"/>
                <w:spacing w:val="-2"/>
                <w:sz w:val="24"/>
              </w:rPr>
              <w:t>Section</w:t>
            </w:r>
          </w:p>
        </w:tc>
        <w:tc>
          <w:tcPr>
            <w:tcW w:w="4422" w:type="dxa"/>
            <w:shd w:val="clear" w:color="auto" w:fill="00529F"/>
          </w:tcPr>
          <w:p w14:paraId="335D670C" w14:textId="77777777" w:rsidR="00345EE3" w:rsidRDefault="00345EE3" w:rsidP="00D73130">
            <w:pPr>
              <w:pStyle w:val="TableParagraph"/>
              <w:spacing w:before="63"/>
              <w:ind w:left="2"/>
              <w:jc w:val="left"/>
              <w:rPr>
                <w:b/>
                <w:sz w:val="24"/>
              </w:rPr>
            </w:pPr>
            <w:r>
              <w:rPr>
                <w:b/>
                <w:color w:val="FFFFFF"/>
                <w:sz w:val="24"/>
              </w:rPr>
              <w:t>Power</w:t>
            </w:r>
            <w:r>
              <w:rPr>
                <w:b/>
                <w:color w:val="FFFFFF"/>
                <w:spacing w:val="-7"/>
                <w:sz w:val="24"/>
              </w:rPr>
              <w:t xml:space="preserve"> </w:t>
            </w:r>
            <w:r>
              <w:rPr>
                <w:b/>
                <w:color w:val="FFFFFF"/>
                <w:sz w:val="24"/>
              </w:rPr>
              <w:t>exercised</w:t>
            </w:r>
            <w:r>
              <w:rPr>
                <w:b/>
                <w:color w:val="FFFFFF"/>
                <w:spacing w:val="-6"/>
                <w:sz w:val="24"/>
              </w:rPr>
              <w:t xml:space="preserve"> </w:t>
            </w:r>
            <w:r>
              <w:rPr>
                <w:b/>
                <w:color w:val="FFFFFF"/>
                <w:sz w:val="24"/>
              </w:rPr>
              <w:t>under</w:t>
            </w:r>
            <w:r>
              <w:rPr>
                <w:b/>
                <w:color w:val="FFFFFF"/>
                <w:spacing w:val="-7"/>
                <w:sz w:val="24"/>
              </w:rPr>
              <w:t xml:space="preserve"> </w:t>
            </w:r>
            <w:r>
              <w:rPr>
                <w:b/>
                <w:color w:val="FFFFFF"/>
                <w:sz w:val="24"/>
              </w:rPr>
              <w:t>section</w:t>
            </w:r>
            <w:r>
              <w:rPr>
                <w:b/>
                <w:color w:val="FFFFFF"/>
                <w:spacing w:val="-6"/>
                <w:sz w:val="24"/>
              </w:rPr>
              <w:t xml:space="preserve"> </w:t>
            </w:r>
            <w:r>
              <w:rPr>
                <w:b/>
                <w:color w:val="FFFFFF"/>
                <w:spacing w:val="-4"/>
                <w:sz w:val="24"/>
              </w:rPr>
              <w:t>10KA</w:t>
            </w:r>
          </w:p>
        </w:tc>
        <w:tc>
          <w:tcPr>
            <w:tcW w:w="1701" w:type="dxa"/>
            <w:shd w:val="clear" w:color="auto" w:fill="00529F"/>
          </w:tcPr>
          <w:p w14:paraId="2146F75A" w14:textId="77777777" w:rsidR="00345EE3" w:rsidRDefault="00345EE3" w:rsidP="00D73130">
            <w:pPr>
              <w:pStyle w:val="TableParagraph"/>
              <w:spacing w:before="63"/>
              <w:ind w:left="2"/>
              <w:jc w:val="left"/>
              <w:rPr>
                <w:b/>
                <w:sz w:val="24"/>
              </w:rPr>
            </w:pPr>
            <w:r>
              <w:rPr>
                <w:b/>
                <w:color w:val="FFFFFF"/>
                <w:spacing w:val="-2"/>
                <w:sz w:val="24"/>
              </w:rPr>
              <w:t>Number</w:t>
            </w:r>
          </w:p>
        </w:tc>
      </w:tr>
      <w:tr w:rsidR="00345EE3" w14:paraId="5E453103" w14:textId="77777777" w:rsidTr="00D73130">
        <w:trPr>
          <w:trHeight w:val="956"/>
        </w:trPr>
        <w:tc>
          <w:tcPr>
            <w:tcW w:w="4082" w:type="dxa"/>
            <w:tcBorders>
              <w:bottom w:val="single" w:sz="2" w:space="0" w:color="939598"/>
              <w:right w:val="single" w:sz="2" w:space="0" w:color="939598"/>
            </w:tcBorders>
          </w:tcPr>
          <w:p w14:paraId="257C00A4" w14:textId="77777777" w:rsidR="00345EE3" w:rsidRDefault="00345EE3" w:rsidP="00D73130">
            <w:pPr>
              <w:pStyle w:val="TableParagraph"/>
              <w:ind w:left="-3"/>
              <w:jc w:val="left"/>
              <w:rPr>
                <w:sz w:val="24"/>
              </w:rPr>
            </w:pPr>
            <w:r>
              <w:rPr>
                <w:color w:val="231F20"/>
                <w:sz w:val="24"/>
              </w:rPr>
              <w:t xml:space="preserve">Section </w:t>
            </w:r>
            <w:r>
              <w:rPr>
                <w:color w:val="231F20"/>
                <w:spacing w:val="-5"/>
                <w:sz w:val="24"/>
              </w:rPr>
              <w:t>10D</w:t>
            </w:r>
          </w:p>
          <w:p w14:paraId="213153A5" w14:textId="77777777" w:rsidR="00345EE3" w:rsidRDefault="00345EE3" w:rsidP="00D73130">
            <w:pPr>
              <w:pStyle w:val="TableParagraph"/>
              <w:spacing w:before="4"/>
              <w:ind w:left="-3"/>
              <w:jc w:val="left"/>
              <w:rPr>
                <w:sz w:val="24"/>
              </w:rPr>
            </w:pPr>
            <w:r>
              <w:rPr>
                <w:color w:val="231F20"/>
                <w:sz w:val="24"/>
              </w:rPr>
              <w:t>(Planned</w:t>
            </w:r>
            <w:r>
              <w:rPr>
                <w:color w:val="231F20"/>
                <w:spacing w:val="-4"/>
                <w:sz w:val="24"/>
              </w:rPr>
              <w:t xml:space="preserve"> </w:t>
            </w:r>
            <w:r>
              <w:rPr>
                <w:color w:val="231F20"/>
                <w:sz w:val="24"/>
              </w:rPr>
              <w:t>designation</w:t>
            </w:r>
            <w:r>
              <w:rPr>
                <w:color w:val="231F20"/>
                <w:spacing w:val="-4"/>
                <w:sz w:val="24"/>
              </w:rPr>
              <w:t xml:space="preserve"> </w:t>
            </w:r>
            <w:r>
              <w:rPr>
                <w:color w:val="231F20"/>
                <w:sz w:val="24"/>
              </w:rPr>
              <w:t>of</w:t>
            </w:r>
            <w:r>
              <w:rPr>
                <w:color w:val="231F20"/>
                <w:spacing w:val="-4"/>
                <w:sz w:val="24"/>
              </w:rPr>
              <w:t xml:space="preserve"> </w:t>
            </w:r>
            <w:r>
              <w:rPr>
                <w:color w:val="231F20"/>
                <w:sz w:val="24"/>
              </w:rPr>
              <w:t>an</w:t>
            </w:r>
            <w:r>
              <w:rPr>
                <w:color w:val="231F20"/>
                <w:spacing w:val="-3"/>
                <w:sz w:val="24"/>
              </w:rPr>
              <w:t xml:space="preserve"> </w:t>
            </w:r>
            <w:r>
              <w:rPr>
                <w:color w:val="231F20"/>
                <w:spacing w:val="-2"/>
                <w:sz w:val="24"/>
              </w:rPr>
              <w:t>area)</w:t>
            </w:r>
          </w:p>
        </w:tc>
        <w:tc>
          <w:tcPr>
            <w:tcW w:w="4422" w:type="dxa"/>
            <w:tcBorders>
              <w:left w:val="single" w:sz="2" w:space="0" w:color="939598"/>
              <w:bottom w:val="single" w:sz="2" w:space="0" w:color="939598"/>
              <w:right w:val="single" w:sz="2" w:space="0" w:color="939598"/>
            </w:tcBorders>
          </w:tcPr>
          <w:p w14:paraId="7C62A007" w14:textId="77777777" w:rsidR="00345EE3" w:rsidRDefault="00345EE3" w:rsidP="00D73130">
            <w:pPr>
              <w:pStyle w:val="TableParagraph"/>
              <w:spacing w:line="242" w:lineRule="auto"/>
              <w:ind w:left="-1"/>
              <w:jc w:val="left"/>
              <w:rPr>
                <w:sz w:val="24"/>
              </w:rPr>
            </w:pPr>
            <w:r>
              <w:rPr>
                <w:color w:val="231F20"/>
                <w:sz w:val="24"/>
              </w:rPr>
              <w:t>Direction to leave area issued in accordance</w:t>
            </w:r>
            <w:r>
              <w:rPr>
                <w:color w:val="231F20"/>
                <w:spacing w:val="-11"/>
                <w:sz w:val="24"/>
              </w:rPr>
              <w:t xml:space="preserve"> </w:t>
            </w:r>
            <w:r>
              <w:rPr>
                <w:color w:val="231F20"/>
                <w:sz w:val="24"/>
              </w:rPr>
              <w:t>with</w:t>
            </w:r>
            <w:r>
              <w:rPr>
                <w:color w:val="231F20"/>
                <w:spacing w:val="-9"/>
                <w:sz w:val="24"/>
              </w:rPr>
              <w:t xml:space="preserve"> </w:t>
            </w:r>
            <w:r>
              <w:rPr>
                <w:color w:val="231F20"/>
                <w:sz w:val="24"/>
              </w:rPr>
              <w:t>Section</w:t>
            </w:r>
            <w:r>
              <w:rPr>
                <w:color w:val="231F20"/>
                <w:spacing w:val="-8"/>
                <w:sz w:val="24"/>
              </w:rPr>
              <w:t xml:space="preserve"> </w:t>
            </w:r>
            <w:r>
              <w:rPr>
                <w:color w:val="231F20"/>
                <w:sz w:val="24"/>
              </w:rPr>
              <w:t>10KA</w:t>
            </w:r>
            <w:r>
              <w:rPr>
                <w:color w:val="231F20"/>
                <w:spacing w:val="-17"/>
                <w:sz w:val="24"/>
              </w:rPr>
              <w:t xml:space="preserve"> </w:t>
            </w:r>
            <w:r>
              <w:rPr>
                <w:color w:val="231F20"/>
                <w:sz w:val="24"/>
              </w:rPr>
              <w:t>of</w:t>
            </w:r>
            <w:r>
              <w:rPr>
                <w:color w:val="231F20"/>
                <w:spacing w:val="-8"/>
                <w:sz w:val="24"/>
              </w:rPr>
              <w:t xml:space="preserve"> </w:t>
            </w:r>
            <w:r>
              <w:rPr>
                <w:color w:val="231F20"/>
                <w:sz w:val="24"/>
              </w:rPr>
              <w:t xml:space="preserve">the </w:t>
            </w:r>
            <w:r>
              <w:rPr>
                <w:i/>
                <w:color w:val="231F20"/>
                <w:sz w:val="24"/>
              </w:rPr>
              <w:t>Control of Weapons</w:t>
            </w:r>
            <w:r>
              <w:rPr>
                <w:i/>
                <w:color w:val="231F20"/>
                <w:spacing w:val="-2"/>
                <w:sz w:val="24"/>
              </w:rPr>
              <w:t xml:space="preserve"> </w:t>
            </w:r>
            <w:r>
              <w:rPr>
                <w:i/>
                <w:color w:val="231F20"/>
                <w:sz w:val="24"/>
              </w:rPr>
              <w:t xml:space="preserve">Act </w:t>
            </w:r>
            <w:r>
              <w:rPr>
                <w:color w:val="231F20"/>
                <w:sz w:val="24"/>
              </w:rPr>
              <w:t>1990</w:t>
            </w:r>
          </w:p>
        </w:tc>
        <w:tc>
          <w:tcPr>
            <w:tcW w:w="1701" w:type="dxa"/>
            <w:tcBorders>
              <w:left w:val="single" w:sz="2" w:space="0" w:color="939598"/>
              <w:bottom w:val="single" w:sz="2" w:space="0" w:color="939598"/>
            </w:tcBorders>
          </w:tcPr>
          <w:p w14:paraId="6EA22A7F" w14:textId="77777777" w:rsidR="00345EE3" w:rsidRDefault="00345EE3" w:rsidP="00D73130">
            <w:pPr>
              <w:pStyle w:val="TableParagraph"/>
              <w:rPr>
                <w:sz w:val="24"/>
              </w:rPr>
            </w:pPr>
            <w:r>
              <w:rPr>
                <w:color w:val="231F20"/>
                <w:spacing w:val="-5"/>
                <w:sz w:val="24"/>
              </w:rPr>
              <w:t>38</w:t>
            </w:r>
          </w:p>
        </w:tc>
      </w:tr>
      <w:tr w:rsidR="00345EE3" w14:paraId="13D82C8B" w14:textId="77777777" w:rsidTr="00D73130">
        <w:trPr>
          <w:trHeight w:val="671"/>
        </w:trPr>
        <w:tc>
          <w:tcPr>
            <w:tcW w:w="4082" w:type="dxa"/>
            <w:tcBorders>
              <w:top w:val="single" w:sz="2" w:space="0" w:color="939598"/>
              <w:bottom w:val="single" w:sz="6" w:space="0" w:color="231F20"/>
              <w:right w:val="single" w:sz="2" w:space="0" w:color="939598"/>
            </w:tcBorders>
          </w:tcPr>
          <w:p w14:paraId="1F762911" w14:textId="77777777" w:rsidR="00345EE3" w:rsidRDefault="00345EE3" w:rsidP="00D73130">
            <w:pPr>
              <w:pStyle w:val="TableParagraph"/>
              <w:ind w:left="-3"/>
              <w:jc w:val="left"/>
              <w:rPr>
                <w:sz w:val="24"/>
              </w:rPr>
            </w:pPr>
            <w:r>
              <w:rPr>
                <w:color w:val="231F20"/>
                <w:sz w:val="24"/>
              </w:rPr>
              <w:t xml:space="preserve">Section </w:t>
            </w:r>
            <w:r>
              <w:rPr>
                <w:color w:val="231F20"/>
                <w:spacing w:val="-5"/>
                <w:sz w:val="24"/>
              </w:rPr>
              <w:t>10E</w:t>
            </w:r>
          </w:p>
          <w:p w14:paraId="13123703" w14:textId="77777777" w:rsidR="00345EE3" w:rsidRDefault="00345EE3" w:rsidP="00D73130">
            <w:pPr>
              <w:pStyle w:val="TableParagraph"/>
              <w:spacing w:before="4"/>
              <w:ind w:left="-3"/>
              <w:jc w:val="left"/>
              <w:rPr>
                <w:sz w:val="24"/>
              </w:rPr>
            </w:pPr>
            <w:r>
              <w:rPr>
                <w:color w:val="231F20"/>
                <w:sz w:val="24"/>
              </w:rPr>
              <w:t>(Unplanned</w:t>
            </w:r>
            <w:r>
              <w:rPr>
                <w:color w:val="231F20"/>
                <w:spacing w:val="-6"/>
                <w:sz w:val="24"/>
              </w:rPr>
              <w:t xml:space="preserve"> </w:t>
            </w:r>
            <w:r>
              <w:rPr>
                <w:color w:val="231F20"/>
                <w:sz w:val="24"/>
              </w:rPr>
              <w:t>designation</w:t>
            </w:r>
            <w:r>
              <w:rPr>
                <w:color w:val="231F20"/>
                <w:spacing w:val="-4"/>
                <w:sz w:val="24"/>
              </w:rPr>
              <w:t xml:space="preserve"> </w:t>
            </w:r>
            <w:r>
              <w:rPr>
                <w:color w:val="231F20"/>
                <w:sz w:val="24"/>
              </w:rPr>
              <w:t>of</w:t>
            </w:r>
            <w:r>
              <w:rPr>
                <w:color w:val="231F20"/>
                <w:spacing w:val="-4"/>
                <w:sz w:val="24"/>
              </w:rPr>
              <w:t xml:space="preserve"> </w:t>
            </w:r>
            <w:r>
              <w:rPr>
                <w:color w:val="231F20"/>
                <w:sz w:val="24"/>
              </w:rPr>
              <w:t>an</w:t>
            </w:r>
            <w:r>
              <w:rPr>
                <w:color w:val="231F20"/>
                <w:spacing w:val="-3"/>
                <w:sz w:val="24"/>
              </w:rPr>
              <w:t xml:space="preserve"> </w:t>
            </w:r>
            <w:r>
              <w:rPr>
                <w:color w:val="231F20"/>
                <w:spacing w:val="-2"/>
                <w:sz w:val="24"/>
              </w:rPr>
              <w:t>area)</w:t>
            </w:r>
          </w:p>
        </w:tc>
        <w:tc>
          <w:tcPr>
            <w:tcW w:w="4422" w:type="dxa"/>
            <w:tcBorders>
              <w:top w:val="single" w:sz="2" w:space="0" w:color="939598"/>
              <w:left w:val="single" w:sz="2" w:space="0" w:color="939598"/>
              <w:bottom w:val="single" w:sz="6" w:space="0" w:color="231F20"/>
              <w:right w:val="single" w:sz="2" w:space="0" w:color="939598"/>
            </w:tcBorders>
          </w:tcPr>
          <w:p w14:paraId="3CD52CA8" w14:textId="77777777" w:rsidR="00345EE3" w:rsidRDefault="00345EE3" w:rsidP="00D73130">
            <w:pPr>
              <w:pStyle w:val="TableParagraph"/>
              <w:spacing w:before="0"/>
              <w:jc w:val="left"/>
              <w:rPr>
                <w:rFonts w:ascii="Times New Roman"/>
              </w:rPr>
            </w:pPr>
          </w:p>
        </w:tc>
        <w:tc>
          <w:tcPr>
            <w:tcW w:w="1701" w:type="dxa"/>
            <w:tcBorders>
              <w:top w:val="single" w:sz="2" w:space="0" w:color="939598"/>
              <w:left w:val="single" w:sz="2" w:space="0" w:color="939598"/>
              <w:bottom w:val="single" w:sz="6" w:space="0" w:color="231F20"/>
            </w:tcBorders>
          </w:tcPr>
          <w:p w14:paraId="591EF635" w14:textId="77777777" w:rsidR="00345EE3" w:rsidRDefault="00345EE3" w:rsidP="00D73130">
            <w:pPr>
              <w:pStyle w:val="TableParagraph"/>
              <w:rPr>
                <w:sz w:val="24"/>
              </w:rPr>
            </w:pPr>
            <w:r>
              <w:rPr>
                <w:color w:val="231F20"/>
                <w:spacing w:val="-5"/>
                <w:sz w:val="24"/>
              </w:rPr>
              <w:t>Nil</w:t>
            </w:r>
          </w:p>
        </w:tc>
      </w:tr>
    </w:tbl>
    <w:p w14:paraId="67318971" w14:textId="77777777" w:rsidR="00345EE3" w:rsidRPr="00BD27F9" w:rsidRDefault="00345EE3" w:rsidP="00345EE3">
      <w:pPr>
        <w:spacing w:before="71"/>
        <w:ind w:left="110"/>
        <w:rPr>
          <w:sz w:val="18"/>
          <w:szCs w:val="18"/>
        </w:rPr>
      </w:pPr>
      <w:r w:rsidRPr="00BD27F9">
        <w:rPr>
          <w:rFonts w:ascii="Arial-BoldItalicMT"/>
          <w:b/>
          <w:i/>
          <w:color w:val="231F20"/>
          <w:sz w:val="18"/>
          <w:szCs w:val="18"/>
        </w:rPr>
        <w:t xml:space="preserve">Source: </w:t>
      </w:r>
      <w:r w:rsidRPr="00BD27F9">
        <w:rPr>
          <w:color w:val="231F20"/>
          <w:sz w:val="18"/>
          <w:szCs w:val="18"/>
        </w:rPr>
        <w:t>Transit</w:t>
      </w:r>
      <w:r w:rsidRPr="00BD27F9">
        <w:rPr>
          <w:color w:val="231F20"/>
          <w:spacing w:val="-1"/>
          <w:sz w:val="18"/>
          <w:szCs w:val="18"/>
        </w:rPr>
        <w:t xml:space="preserve"> </w:t>
      </w:r>
      <w:r w:rsidRPr="00BD27F9">
        <w:rPr>
          <w:color w:val="231F20"/>
          <w:sz w:val="18"/>
          <w:szCs w:val="18"/>
        </w:rPr>
        <w:t>and</w:t>
      </w:r>
      <w:r w:rsidRPr="00BD27F9">
        <w:rPr>
          <w:color w:val="231F20"/>
          <w:spacing w:val="-2"/>
          <w:sz w:val="18"/>
          <w:szCs w:val="18"/>
        </w:rPr>
        <w:t xml:space="preserve"> </w:t>
      </w:r>
      <w:r w:rsidRPr="00BD27F9">
        <w:rPr>
          <w:color w:val="231F20"/>
          <w:sz w:val="18"/>
          <w:szCs w:val="18"/>
        </w:rPr>
        <w:t>Public</w:t>
      </w:r>
      <w:r w:rsidRPr="00BD27F9">
        <w:rPr>
          <w:color w:val="231F20"/>
          <w:spacing w:val="-1"/>
          <w:sz w:val="18"/>
          <w:szCs w:val="18"/>
        </w:rPr>
        <w:t xml:space="preserve"> </w:t>
      </w:r>
      <w:r w:rsidRPr="00BD27F9">
        <w:rPr>
          <w:color w:val="231F20"/>
          <w:sz w:val="18"/>
          <w:szCs w:val="18"/>
        </w:rPr>
        <w:t>Safety</w:t>
      </w:r>
      <w:r w:rsidRPr="00BD27F9">
        <w:rPr>
          <w:color w:val="231F20"/>
          <w:spacing w:val="-2"/>
          <w:sz w:val="18"/>
          <w:szCs w:val="18"/>
        </w:rPr>
        <w:t xml:space="preserve"> </w:t>
      </w:r>
      <w:r w:rsidRPr="00BD27F9">
        <w:rPr>
          <w:color w:val="231F20"/>
          <w:sz w:val="18"/>
          <w:szCs w:val="18"/>
        </w:rPr>
        <w:t>Command.</w:t>
      </w:r>
      <w:r w:rsidRPr="00BD27F9">
        <w:rPr>
          <w:color w:val="231F20"/>
          <w:spacing w:val="-1"/>
          <w:sz w:val="18"/>
          <w:szCs w:val="18"/>
        </w:rPr>
        <w:t xml:space="preserve"> </w:t>
      </w:r>
      <w:r w:rsidRPr="00BD27F9">
        <w:rPr>
          <w:color w:val="231F20"/>
          <w:sz w:val="18"/>
          <w:szCs w:val="18"/>
        </w:rPr>
        <w:t>Data</w:t>
      </w:r>
      <w:r w:rsidRPr="00BD27F9">
        <w:rPr>
          <w:color w:val="231F20"/>
          <w:spacing w:val="-2"/>
          <w:sz w:val="18"/>
          <w:szCs w:val="18"/>
        </w:rPr>
        <w:t xml:space="preserve"> </w:t>
      </w:r>
      <w:r w:rsidRPr="00BD27F9">
        <w:rPr>
          <w:color w:val="231F20"/>
          <w:sz w:val="18"/>
          <w:szCs w:val="18"/>
        </w:rPr>
        <w:t>extracted</w:t>
      </w:r>
      <w:r w:rsidRPr="00BD27F9">
        <w:rPr>
          <w:color w:val="231F20"/>
          <w:spacing w:val="-1"/>
          <w:sz w:val="18"/>
          <w:szCs w:val="18"/>
        </w:rPr>
        <w:t xml:space="preserve"> </w:t>
      </w:r>
      <w:r w:rsidRPr="00BD27F9">
        <w:rPr>
          <w:color w:val="231F20"/>
          <w:sz w:val="18"/>
          <w:szCs w:val="18"/>
        </w:rPr>
        <w:t>on</w:t>
      </w:r>
      <w:r w:rsidRPr="00BD27F9">
        <w:rPr>
          <w:color w:val="231F20"/>
          <w:spacing w:val="-2"/>
          <w:sz w:val="18"/>
          <w:szCs w:val="18"/>
        </w:rPr>
        <w:t xml:space="preserve"> </w:t>
      </w:r>
      <w:r w:rsidRPr="00BD27F9">
        <w:rPr>
          <w:color w:val="231F20"/>
          <w:sz w:val="18"/>
          <w:szCs w:val="18"/>
        </w:rPr>
        <w:t>19</w:t>
      </w:r>
      <w:r w:rsidRPr="00BD27F9">
        <w:rPr>
          <w:color w:val="231F20"/>
          <w:spacing w:val="-1"/>
          <w:sz w:val="18"/>
          <w:szCs w:val="18"/>
        </w:rPr>
        <w:t xml:space="preserve"> </w:t>
      </w:r>
      <w:r w:rsidRPr="00BD27F9">
        <w:rPr>
          <w:color w:val="231F20"/>
          <w:sz w:val="18"/>
          <w:szCs w:val="18"/>
        </w:rPr>
        <w:t>July</w:t>
      </w:r>
      <w:r w:rsidRPr="00BD27F9">
        <w:rPr>
          <w:color w:val="231F20"/>
          <w:spacing w:val="-2"/>
          <w:sz w:val="18"/>
          <w:szCs w:val="18"/>
        </w:rPr>
        <w:t xml:space="preserve"> </w:t>
      </w:r>
      <w:r w:rsidRPr="00BD27F9">
        <w:rPr>
          <w:color w:val="231F20"/>
          <w:sz w:val="18"/>
          <w:szCs w:val="18"/>
        </w:rPr>
        <w:t>2022</w:t>
      </w:r>
      <w:r w:rsidRPr="00BD27F9">
        <w:rPr>
          <w:color w:val="231F20"/>
          <w:spacing w:val="-1"/>
          <w:sz w:val="18"/>
          <w:szCs w:val="18"/>
        </w:rPr>
        <w:t xml:space="preserve"> </w:t>
      </w:r>
      <w:r w:rsidRPr="00BD27F9">
        <w:rPr>
          <w:color w:val="231F20"/>
          <w:sz w:val="18"/>
          <w:szCs w:val="18"/>
        </w:rPr>
        <w:t>from</w:t>
      </w:r>
      <w:r w:rsidRPr="00BD27F9">
        <w:rPr>
          <w:color w:val="231F20"/>
          <w:spacing w:val="-2"/>
          <w:sz w:val="18"/>
          <w:szCs w:val="18"/>
        </w:rPr>
        <w:t xml:space="preserve"> </w:t>
      </w:r>
      <w:r w:rsidRPr="00BD27F9">
        <w:rPr>
          <w:color w:val="231F20"/>
          <w:sz w:val="18"/>
          <w:szCs w:val="18"/>
        </w:rPr>
        <w:t>Transit</w:t>
      </w:r>
      <w:r w:rsidRPr="00BD27F9">
        <w:rPr>
          <w:color w:val="231F20"/>
          <w:spacing w:val="-1"/>
          <w:sz w:val="18"/>
          <w:szCs w:val="18"/>
        </w:rPr>
        <w:t xml:space="preserve"> </w:t>
      </w:r>
      <w:r w:rsidRPr="00BD27F9">
        <w:rPr>
          <w:color w:val="231F20"/>
          <w:sz w:val="18"/>
          <w:szCs w:val="18"/>
        </w:rPr>
        <w:t>Strategies</w:t>
      </w:r>
      <w:r w:rsidRPr="00BD27F9">
        <w:rPr>
          <w:color w:val="231F20"/>
          <w:spacing w:val="-2"/>
          <w:sz w:val="18"/>
          <w:szCs w:val="18"/>
        </w:rPr>
        <w:t xml:space="preserve"> </w:t>
      </w:r>
      <w:r w:rsidRPr="00BD27F9">
        <w:rPr>
          <w:color w:val="231F20"/>
          <w:sz w:val="18"/>
          <w:szCs w:val="18"/>
        </w:rPr>
        <w:t>&amp;</w:t>
      </w:r>
      <w:r w:rsidRPr="00BD27F9">
        <w:rPr>
          <w:color w:val="231F20"/>
          <w:spacing w:val="-1"/>
          <w:sz w:val="18"/>
          <w:szCs w:val="18"/>
        </w:rPr>
        <w:t xml:space="preserve"> </w:t>
      </w:r>
      <w:r w:rsidRPr="00BD27F9">
        <w:rPr>
          <w:color w:val="231F20"/>
          <w:sz w:val="18"/>
          <w:szCs w:val="18"/>
        </w:rPr>
        <w:t>Projects</w:t>
      </w:r>
      <w:r w:rsidRPr="00BD27F9">
        <w:rPr>
          <w:color w:val="231F20"/>
          <w:spacing w:val="-2"/>
          <w:sz w:val="18"/>
          <w:szCs w:val="18"/>
        </w:rPr>
        <w:t xml:space="preserve"> </w:t>
      </w:r>
      <w:r w:rsidRPr="00BD27F9">
        <w:rPr>
          <w:color w:val="231F20"/>
          <w:sz w:val="18"/>
          <w:szCs w:val="18"/>
        </w:rPr>
        <w:t>Unit</w:t>
      </w:r>
      <w:r w:rsidRPr="00BD27F9">
        <w:rPr>
          <w:color w:val="231F20"/>
          <w:spacing w:val="-1"/>
          <w:sz w:val="18"/>
          <w:szCs w:val="18"/>
        </w:rPr>
        <w:t xml:space="preserve"> </w:t>
      </w:r>
      <w:r w:rsidRPr="00BD27F9">
        <w:rPr>
          <w:color w:val="231F20"/>
          <w:sz w:val="18"/>
          <w:szCs w:val="18"/>
        </w:rPr>
        <w:t>Operation</w:t>
      </w:r>
      <w:r w:rsidRPr="00BD27F9">
        <w:rPr>
          <w:color w:val="231F20"/>
          <w:spacing w:val="-2"/>
          <w:sz w:val="18"/>
          <w:szCs w:val="18"/>
        </w:rPr>
        <w:t xml:space="preserve"> </w:t>
      </w:r>
      <w:r>
        <w:rPr>
          <w:color w:val="231F20"/>
          <w:spacing w:val="-2"/>
          <w:sz w:val="18"/>
          <w:szCs w:val="18"/>
        </w:rPr>
        <w:br/>
      </w:r>
      <w:r w:rsidRPr="00BD27F9">
        <w:rPr>
          <w:color w:val="231F20"/>
          <w:sz w:val="18"/>
          <w:szCs w:val="18"/>
        </w:rPr>
        <w:t>OMNI</w:t>
      </w:r>
      <w:r w:rsidRPr="00BD27F9">
        <w:rPr>
          <w:color w:val="231F20"/>
          <w:spacing w:val="-1"/>
          <w:sz w:val="18"/>
          <w:szCs w:val="18"/>
        </w:rPr>
        <w:t xml:space="preserve"> </w:t>
      </w:r>
      <w:r w:rsidRPr="00BD27F9">
        <w:rPr>
          <w:color w:val="231F20"/>
          <w:spacing w:val="-2"/>
          <w:sz w:val="18"/>
          <w:szCs w:val="18"/>
        </w:rPr>
        <w:t>Results.</w:t>
      </w:r>
    </w:p>
    <w:p w14:paraId="72728FAF" w14:textId="77777777" w:rsidR="00345EE3" w:rsidRDefault="00345EE3" w:rsidP="00345EE3">
      <w:pPr>
        <w:pStyle w:val="BodyText"/>
        <w:spacing w:before="4"/>
        <w:rPr>
          <w:sz w:val="20"/>
        </w:rPr>
      </w:pPr>
    </w:p>
    <w:p w14:paraId="2FFF3266" w14:textId="77777777" w:rsidR="00345EE3" w:rsidRDefault="00345EE3" w:rsidP="00345EE3">
      <w:pPr>
        <w:pStyle w:val="Heading4"/>
        <w:rPr>
          <w:rFonts w:ascii="Arial"/>
          <w:i w:val="0"/>
        </w:rPr>
      </w:pPr>
      <w:r>
        <w:rPr>
          <w:color w:val="3D68AD"/>
          <w:spacing w:val="-2"/>
        </w:rPr>
        <w:t>Corrections</w:t>
      </w:r>
      <w:r>
        <w:rPr>
          <w:color w:val="3D68AD"/>
          <w:spacing w:val="-14"/>
        </w:rPr>
        <w:t xml:space="preserve"> </w:t>
      </w:r>
      <w:r>
        <w:rPr>
          <w:color w:val="3D68AD"/>
          <w:spacing w:val="-2"/>
        </w:rPr>
        <w:t>Act</w:t>
      </w:r>
      <w:r>
        <w:rPr>
          <w:color w:val="3D68AD"/>
          <w:spacing w:val="-13"/>
        </w:rPr>
        <w:t xml:space="preserve"> </w:t>
      </w:r>
      <w:r>
        <w:rPr>
          <w:rFonts w:ascii="Arial"/>
          <w:i w:val="0"/>
          <w:color w:val="3D68AD"/>
          <w:spacing w:val="-4"/>
        </w:rPr>
        <w:t>1986</w:t>
      </w:r>
    </w:p>
    <w:p w14:paraId="6C3D366A" w14:textId="77777777" w:rsidR="00345EE3" w:rsidRDefault="00345EE3" w:rsidP="00404045">
      <w:pPr>
        <w:pStyle w:val="BodyText"/>
        <w:spacing w:before="53" w:line="242" w:lineRule="auto"/>
        <w:ind w:left="142" w:right="848"/>
        <w:rPr>
          <w:i/>
        </w:rPr>
      </w:pPr>
      <w:r>
        <w:rPr>
          <w:color w:val="231F20"/>
        </w:rPr>
        <w:t>Section</w:t>
      </w:r>
      <w:r>
        <w:rPr>
          <w:color w:val="231F20"/>
          <w:spacing w:val="-16"/>
        </w:rPr>
        <w:t xml:space="preserve"> </w:t>
      </w:r>
      <w:r>
        <w:rPr>
          <w:color w:val="231F20"/>
        </w:rPr>
        <w:t>9D</w:t>
      </w:r>
      <w:r>
        <w:rPr>
          <w:color w:val="231F20"/>
          <w:spacing w:val="-12"/>
        </w:rPr>
        <w:t xml:space="preserve"> </w:t>
      </w:r>
      <w:r>
        <w:rPr>
          <w:color w:val="231F20"/>
        </w:rPr>
        <w:t>(3A)</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i/>
          <w:color w:val="231F20"/>
        </w:rPr>
        <w:t>Corrections</w:t>
      </w:r>
      <w:r>
        <w:rPr>
          <w:i/>
          <w:color w:val="231F20"/>
          <w:spacing w:val="-17"/>
        </w:rPr>
        <w:t xml:space="preserve"> </w:t>
      </w:r>
      <w:r>
        <w:rPr>
          <w:i/>
          <w:color w:val="231F20"/>
        </w:rPr>
        <w:t>Act</w:t>
      </w:r>
      <w:r>
        <w:rPr>
          <w:i/>
          <w:color w:val="231F20"/>
          <w:spacing w:val="-17"/>
        </w:rPr>
        <w:t xml:space="preserve"> </w:t>
      </w:r>
      <w:r>
        <w:rPr>
          <w:color w:val="231F20"/>
        </w:rPr>
        <w:t>1986</w:t>
      </w:r>
      <w:r>
        <w:rPr>
          <w:color w:val="231F20"/>
          <w:spacing w:val="-12"/>
        </w:rPr>
        <w:t xml:space="preserve"> </w:t>
      </w:r>
      <w:r>
        <w:rPr>
          <w:color w:val="231F20"/>
        </w:rPr>
        <w:t>requires</w:t>
      </w:r>
      <w:r>
        <w:rPr>
          <w:color w:val="231F20"/>
          <w:spacing w:val="-11"/>
        </w:rPr>
        <w:t xml:space="preserve"> </w:t>
      </w:r>
      <w:r>
        <w:rPr>
          <w:color w:val="231F20"/>
        </w:rPr>
        <w:t>the</w:t>
      </w:r>
      <w:r>
        <w:rPr>
          <w:color w:val="231F20"/>
          <w:spacing w:val="-12"/>
        </w:rPr>
        <w:t xml:space="preserve"> </w:t>
      </w:r>
      <w:r>
        <w:rPr>
          <w:color w:val="231F20"/>
        </w:rPr>
        <w:t>Chief</w:t>
      </w:r>
      <w:r>
        <w:rPr>
          <w:color w:val="231F20"/>
          <w:spacing w:val="-11"/>
        </w:rPr>
        <w:t xml:space="preserve"> </w:t>
      </w:r>
      <w:r>
        <w:rPr>
          <w:color w:val="231F20"/>
        </w:rPr>
        <w:t>Commissioner</w:t>
      </w:r>
      <w:r>
        <w:rPr>
          <w:color w:val="231F20"/>
          <w:spacing w:val="-11"/>
        </w:rPr>
        <w:t xml:space="preserve"> </w:t>
      </w:r>
      <w:r>
        <w:rPr>
          <w:color w:val="231F20"/>
        </w:rPr>
        <w:t>of</w:t>
      </w:r>
      <w:r>
        <w:rPr>
          <w:color w:val="231F20"/>
          <w:spacing w:val="-11"/>
        </w:rPr>
        <w:t xml:space="preserve"> </w:t>
      </w:r>
      <w:r>
        <w:rPr>
          <w:color w:val="231F20"/>
        </w:rPr>
        <w:t>Police</w:t>
      </w:r>
      <w:r>
        <w:rPr>
          <w:color w:val="231F20"/>
          <w:spacing w:val="-12"/>
        </w:rPr>
        <w:t xml:space="preserve"> </w:t>
      </w:r>
      <w:r>
        <w:rPr>
          <w:color w:val="231F20"/>
        </w:rPr>
        <w:t>to</w:t>
      </w:r>
      <w:r>
        <w:rPr>
          <w:color w:val="231F20"/>
          <w:spacing w:val="-12"/>
        </w:rPr>
        <w:t xml:space="preserve"> </w:t>
      </w:r>
      <w:r>
        <w:rPr>
          <w:color w:val="231F20"/>
        </w:rPr>
        <w:t>provide to</w:t>
      </w:r>
      <w:r>
        <w:rPr>
          <w:color w:val="231F20"/>
          <w:spacing w:val="-3"/>
        </w:rPr>
        <w:t xml:space="preserve"> </w:t>
      </w:r>
      <w:r>
        <w:rPr>
          <w:color w:val="231F20"/>
        </w:rPr>
        <w:t>the</w:t>
      </w:r>
      <w:r>
        <w:rPr>
          <w:color w:val="231F20"/>
          <w:spacing w:val="-3"/>
        </w:rPr>
        <w:t xml:space="preserve"> </w:t>
      </w:r>
      <w:r>
        <w:rPr>
          <w:color w:val="231F20"/>
        </w:rPr>
        <w:t>Minister,</w:t>
      </w:r>
      <w:r>
        <w:rPr>
          <w:color w:val="231F20"/>
          <w:spacing w:val="-2"/>
        </w:rPr>
        <w:t xml:space="preserve"> </w:t>
      </w:r>
      <w:r>
        <w:rPr>
          <w:color w:val="231F20"/>
        </w:rPr>
        <w:t>for</w:t>
      </w:r>
      <w:r>
        <w:rPr>
          <w:color w:val="231F20"/>
          <w:spacing w:val="-2"/>
        </w:rPr>
        <w:t xml:space="preserve"> </w:t>
      </w:r>
      <w:r>
        <w:rPr>
          <w:color w:val="231F20"/>
        </w:rPr>
        <w:t>inclusion</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annual</w:t>
      </w:r>
      <w:r>
        <w:rPr>
          <w:color w:val="231F20"/>
          <w:spacing w:val="-3"/>
        </w:rPr>
        <w:t xml:space="preserve"> </w:t>
      </w:r>
      <w:r>
        <w:rPr>
          <w:color w:val="231F20"/>
        </w:rPr>
        <w:t>report</w:t>
      </w:r>
      <w:r>
        <w:rPr>
          <w:color w:val="231F20"/>
          <w:spacing w:val="-2"/>
        </w:rPr>
        <w:t xml:space="preserve"> </w:t>
      </w:r>
      <w:r>
        <w:rPr>
          <w:color w:val="231F20"/>
        </w:rPr>
        <w:t>under</w:t>
      </w:r>
      <w:r>
        <w:rPr>
          <w:color w:val="231F20"/>
          <w:spacing w:val="-2"/>
        </w:rPr>
        <w:t xml:space="preserve"> </w:t>
      </w:r>
      <w:r>
        <w:rPr>
          <w:color w:val="231F20"/>
        </w:rPr>
        <w:t>Part</w:t>
      </w:r>
      <w:r>
        <w:rPr>
          <w:color w:val="231F20"/>
          <w:spacing w:val="-2"/>
        </w:rPr>
        <w:t xml:space="preserve"> </w:t>
      </w:r>
      <w:r>
        <w:rPr>
          <w:color w:val="231F20"/>
        </w:rPr>
        <w:t>7</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i/>
          <w:color w:val="231F20"/>
        </w:rPr>
        <w:t>Financial</w:t>
      </w:r>
      <w:r>
        <w:rPr>
          <w:i/>
          <w:color w:val="231F20"/>
          <w:spacing w:val="-11"/>
        </w:rPr>
        <w:t xml:space="preserve"> </w:t>
      </w:r>
      <w:r>
        <w:rPr>
          <w:i/>
          <w:color w:val="231F20"/>
        </w:rPr>
        <w:t>Management</w:t>
      </w:r>
    </w:p>
    <w:p w14:paraId="035D65AA" w14:textId="77777777" w:rsidR="00345EE3" w:rsidRDefault="00345EE3" w:rsidP="00404045">
      <w:pPr>
        <w:pStyle w:val="BodyText"/>
        <w:spacing w:before="2" w:line="242" w:lineRule="auto"/>
        <w:ind w:left="142" w:right="921"/>
      </w:pPr>
      <w:r>
        <w:rPr>
          <w:i/>
          <w:color w:val="231F20"/>
        </w:rPr>
        <w:t>Act</w:t>
      </w:r>
      <w:r>
        <w:rPr>
          <w:i/>
          <w:color w:val="231F20"/>
          <w:spacing w:val="-6"/>
        </w:rPr>
        <w:t xml:space="preserve"> </w:t>
      </w:r>
      <w:r>
        <w:rPr>
          <w:color w:val="231F20"/>
        </w:rPr>
        <w:t>1994, a report on the provision of services by contractors during the financial year. In accordance</w:t>
      </w:r>
      <w:r>
        <w:rPr>
          <w:color w:val="231F20"/>
          <w:spacing w:val="-11"/>
        </w:rPr>
        <w:t xml:space="preserve"> </w:t>
      </w:r>
      <w:r>
        <w:rPr>
          <w:color w:val="231F20"/>
        </w:rPr>
        <w:t>with</w:t>
      </w:r>
      <w:r>
        <w:rPr>
          <w:color w:val="231F20"/>
          <w:spacing w:val="-11"/>
        </w:rPr>
        <w:t xml:space="preserve"> </w:t>
      </w:r>
      <w:r>
        <w:rPr>
          <w:color w:val="231F20"/>
        </w:rPr>
        <w:t>section</w:t>
      </w:r>
      <w:r>
        <w:rPr>
          <w:color w:val="231F20"/>
          <w:spacing w:val="-11"/>
        </w:rPr>
        <w:t xml:space="preserve"> </w:t>
      </w:r>
      <w:r>
        <w:rPr>
          <w:color w:val="231F20"/>
        </w:rPr>
        <w:t>9D</w:t>
      </w:r>
      <w:r>
        <w:rPr>
          <w:color w:val="231F20"/>
          <w:spacing w:val="-11"/>
        </w:rPr>
        <w:t xml:space="preserve"> </w:t>
      </w:r>
      <w:r>
        <w:rPr>
          <w:color w:val="231F20"/>
        </w:rPr>
        <w:t>(3A),</w:t>
      </w:r>
      <w:r>
        <w:rPr>
          <w:color w:val="231F20"/>
          <w:spacing w:val="-10"/>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key</w:t>
      </w:r>
      <w:r>
        <w:rPr>
          <w:color w:val="231F20"/>
          <w:spacing w:val="-10"/>
        </w:rPr>
        <w:t xml:space="preserve"> </w:t>
      </w:r>
      <w:r>
        <w:rPr>
          <w:color w:val="231F20"/>
        </w:rPr>
        <w:t>actions</w:t>
      </w:r>
      <w:r>
        <w:rPr>
          <w:color w:val="231F20"/>
          <w:spacing w:val="-10"/>
        </w:rPr>
        <w:t xml:space="preserve"> </w:t>
      </w:r>
      <w:r>
        <w:rPr>
          <w:color w:val="231F20"/>
        </w:rPr>
        <w:t>and</w:t>
      </w:r>
      <w:r>
        <w:rPr>
          <w:color w:val="231F20"/>
          <w:spacing w:val="-11"/>
        </w:rPr>
        <w:t xml:space="preserve"> </w:t>
      </w:r>
      <w:r>
        <w:rPr>
          <w:color w:val="231F20"/>
        </w:rPr>
        <w:t>achievements</w:t>
      </w:r>
      <w:r>
        <w:rPr>
          <w:color w:val="231F20"/>
          <w:spacing w:val="-10"/>
        </w:rPr>
        <w:t xml:space="preserve"> </w:t>
      </w:r>
      <w:r>
        <w:rPr>
          <w:color w:val="231F20"/>
        </w:rPr>
        <w:t>in</w:t>
      </w:r>
      <w:r>
        <w:rPr>
          <w:color w:val="231F20"/>
          <w:spacing w:val="-11"/>
        </w:rPr>
        <w:t xml:space="preserve"> </w:t>
      </w:r>
      <w:r>
        <w:rPr>
          <w:color w:val="231F20"/>
        </w:rPr>
        <w:t>relation</w:t>
      </w:r>
      <w:r>
        <w:rPr>
          <w:color w:val="231F20"/>
          <w:spacing w:val="-11"/>
        </w:rPr>
        <w:t xml:space="preserve"> </w:t>
      </w:r>
      <w:r>
        <w:rPr>
          <w:color w:val="231F20"/>
        </w:rPr>
        <w:t>to prisoner management in 2021–22 are outlined below.</w:t>
      </w:r>
    </w:p>
    <w:p w14:paraId="3111E6A0" w14:textId="77777777" w:rsidR="00345EE3" w:rsidRDefault="00345EE3" w:rsidP="00345EE3">
      <w:pPr>
        <w:pStyle w:val="Heading5"/>
        <w:spacing w:before="174"/>
      </w:pPr>
      <w:r>
        <w:rPr>
          <w:color w:val="58595B"/>
        </w:rPr>
        <w:t>Prisoner</w:t>
      </w:r>
      <w:r>
        <w:rPr>
          <w:color w:val="58595B"/>
          <w:spacing w:val="-6"/>
        </w:rPr>
        <w:t xml:space="preserve"> </w:t>
      </w:r>
      <w:r>
        <w:rPr>
          <w:color w:val="58595B"/>
        </w:rPr>
        <w:t>Escort</w:t>
      </w:r>
      <w:r>
        <w:rPr>
          <w:color w:val="58595B"/>
          <w:spacing w:val="-3"/>
        </w:rPr>
        <w:t xml:space="preserve"> </w:t>
      </w:r>
      <w:r>
        <w:rPr>
          <w:color w:val="58595B"/>
        </w:rPr>
        <w:t>and</w:t>
      </w:r>
      <w:r>
        <w:rPr>
          <w:color w:val="58595B"/>
          <w:spacing w:val="-4"/>
        </w:rPr>
        <w:t xml:space="preserve"> </w:t>
      </w:r>
      <w:r>
        <w:rPr>
          <w:color w:val="58595B"/>
        </w:rPr>
        <w:t>Custody</w:t>
      </w:r>
      <w:r>
        <w:rPr>
          <w:color w:val="58595B"/>
          <w:spacing w:val="-4"/>
        </w:rPr>
        <w:t xml:space="preserve"> </w:t>
      </w:r>
      <w:r>
        <w:rPr>
          <w:color w:val="58595B"/>
        </w:rPr>
        <w:t>Contract</w:t>
      </w:r>
      <w:r>
        <w:rPr>
          <w:color w:val="58595B"/>
          <w:spacing w:val="-3"/>
        </w:rPr>
        <w:t xml:space="preserve"> </w:t>
      </w:r>
      <w:r>
        <w:rPr>
          <w:color w:val="58595B"/>
          <w:spacing w:val="-2"/>
        </w:rPr>
        <w:t>Services</w:t>
      </w:r>
    </w:p>
    <w:p w14:paraId="16C966FD" w14:textId="77777777" w:rsidR="00345EE3" w:rsidRDefault="00345EE3" w:rsidP="00404045">
      <w:pPr>
        <w:pStyle w:val="BodyText"/>
        <w:spacing w:before="4" w:line="242" w:lineRule="auto"/>
        <w:ind w:left="142" w:right="848"/>
      </w:pPr>
      <w:r>
        <w:rPr>
          <w:color w:val="231F20"/>
        </w:rPr>
        <w:t>Victoria</w:t>
      </w:r>
      <w:r>
        <w:rPr>
          <w:color w:val="231F20"/>
          <w:spacing w:val="-7"/>
        </w:rPr>
        <w:t xml:space="preserve"> </w:t>
      </w:r>
      <w:r>
        <w:rPr>
          <w:color w:val="231F20"/>
        </w:rPr>
        <w:t>Police</w:t>
      </w:r>
      <w:r>
        <w:rPr>
          <w:color w:val="231F20"/>
          <w:spacing w:val="-7"/>
        </w:rPr>
        <w:t xml:space="preserve"> </w:t>
      </w:r>
      <w:r>
        <w:rPr>
          <w:color w:val="231F20"/>
        </w:rPr>
        <w:t>engages</w:t>
      </w:r>
      <w:r>
        <w:rPr>
          <w:color w:val="231F20"/>
          <w:spacing w:val="-6"/>
        </w:rPr>
        <w:t xml:space="preserve"> </w:t>
      </w:r>
      <w:r>
        <w:rPr>
          <w:color w:val="231F20"/>
        </w:rPr>
        <w:t>G4S</w:t>
      </w:r>
      <w:r>
        <w:rPr>
          <w:color w:val="231F20"/>
          <w:spacing w:val="-7"/>
        </w:rPr>
        <w:t xml:space="preserve"> </w:t>
      </w:r>
      <w:r>
        <w:rPr>
          <w:color w:val="231F20"/>
        </w:rPr>
        <w:t>as</w:t>
      </w:r>
      <w:r>
        <w:rPr>
          <w:color w:val="231F20"/>
          <w:spacing w:val="-6"/>
        </w:rPr>
        <w:t xml:space="preserve"> </w:t>
      </w:r>
      <w:r>
        <w:rPr>
          <w:color w:val="231F20"/>
        </w:rPr>
        <w:t>a</w:t>
      </w:r>
      <w:r>
        <w:rPr>
          <w:color w:val="231F20"/>
          <w:spacing w:val="-7"/>
        </w:rPr>
        <w:t xml:space="preserve"> </w:t>
      </w:r>
      <w:r>
        <w:rPr>
          <w:color w:val="231F20"/>
        </w:rPr>
        <w:t>private</w:t>
      </w:r>
      <w:r>
        <w:rPr>
          <w:color w:val="231F20"/>
          <w:spacing w:val="-7"/>
        </w:rPr>
        <w:t xml:space="preserve"> </w:t>
      </w:r>
      <w:r>
        <w:rPr>
          <w:color w:val="231F20"/>
        </w:rPr>
        <w:t>contractor</w:t>
      </w:r>
      <w:r>
        <w:rPr>
          <w:color w:val="231F20"/>
          <w:spacing w:val="-6"/>
        </w:rPr>
        <w:t xml:space="preserve"> </w:t>
      </w:r>
      <w:r>
        <w:rPr>
          <w:color w:val="231F20"/>
        </w:rPr>
        <w:t>responsible</w:t>
      </w:r>
      <w:r>
        <w:rPr>
          <w:color w:val="231F20"/>
          <w:spacing w:val="-7"/>
        </w:rPr>
        <w:t xml:space="preserve"> </w:t>
      </w:r>
      <w:r>
        <w:rPr>
          <w:color w:val="231F20"/>
        </w:rPr>
        <w:t>for</w:t>
      </w:r>
      <w:r>
        <w:rPr>
          <w:color w:val="231F20"/>
          <w:spacing w:val="-6"/>
        </w:rPr>
        <w:t xml:space="preserve"> </w:t>
      </w:r>
      <w:r>
        <w:rPr>
          <w:color w:val="231F20"/>
        </w:rPr>
        <w:t>custody</w:t>
      </w:r>
      <w:r>
        <w:rPr>
          <w:color w:val="231F20"/>
          <w:spacing w:val="-6"/>
        </w:rPr>
        <w:t xml:space="preserve"> </w:t>
      </w:r>
      <w:r>
        <w:rPr>
          <w:color w:val="231F20"/>
        </w:rPr>
        <w:t>and</w:t>
      </w:r>
      <w:r>
        <w:rPr>
          <w:color w:val="231F20"/>
          <w:spacing w:val="-7"/>
        </w:rPr>
        <w:t xml:space="preserve"> </w:t>
      </w:r>
      <w:r>
        <w:rPr>
          <w:color w:val="231F20"/>
        </w:rPr>
        <w:t>escort</w:t>
      </w:r>
      <w:r>
        <w:rPr>
          <w:color w:val="231F20"/>
          <w:spacing w:val="-6"/>
        </w:rPr>
        <w:t xml:space="preserve"> </w:t>
      </w:r>
      <w:r>
        <w:rPr>
          <w:color w:val="231F20"/>
        </w:rPr>
        <w:t>services, including court movements within the Melbourne Custody Centre (MCC), Moorabbin Justice Centre, Ringwood Magistrates’ Court Cell and Collingwood Neighbourhood Justice Centre.</w:t>
      </w:r>
    </w:p>
    <w:p w14:paraId="4780A9BD" w14:textId="77777777" w:rsidR="00345EE3" w:rsidRDefault="00345EE3" w:rsidP="00404045">
      <w:pPr>
        <w:pStyle w:val="BodyText"/>
        <w:spacing w:before="4" w:line="242" w:lineRule="auto"/>
        <w:ind w:left="142" w:right="921"/>
      </w:pPr>
      <w:r>
        <w:rPr>
          <w:color w:val="231F20"/>
        </w:rPr>
        <w:t>Victoria</w:t>
      </w:r>
      <w:r>
        <w:rPr>
          <w:color w:val="231F20"/>
          <w:spacing w:val="-14"/>
        </w:rPr>
        <w:t xml:space="preserve"> </w:t>
      </w:r>
      <w:r>
        <w:rPr>
          <w:color w:val="231F20"/>
        </w:rPr>
        <w:t>Police</w:t>
      </w:r>
      <w:r>
        <w:rPr>
          <w:color w:val="231F20"/>
          <w:spacing w:val="-11"/>
        </w:rPr>
        <w:t xml:space="preserve"> </w:t>
      </w:r>
      <w:r>
        <w:rPr>
          <w:color w:val="231F20"/>
        </w:rPr>
        <w:t>works</w:t>
      </w:r>
      <w:r>
        <w:rPr>
          <w:color w:val="231F20"/>
          <w:spacing w:val="-11"/>
        </w:rPr>
        <w:t xml:space="preserve"> </w:t>
      </w:r>
      <w:r>
        <w:rPr>
          <w:color w:val="231F20"/>
        </w:rPr>
        <w:t>collaboratively</w:t>
      </w:r>
      <w:r>
        <w:rPr>
          <w:color w:val="231F20"/>
          <w:spacing w:val="-11"/>
        </w:rPr>
        <w:t xml:space="preserve"> </w:t>
      </w:r>
      <w:r>
        <w:rPr>
          <w:color w:val="231F20"/>
        </w:rPr>
        <w:t>with</w:t>
      </w:r>
      <w:r>
        <w:rPr>
          <w:color w:val="231F20"/>
          <w:spacing w:val="-11"/>
        </w:rPr>
        <w:t xml:space="preserve"> </w:t>
      </w:r>
      <w:r>
        <w:rPr>
          <w:color w:val="231F20"/>
        </w:rPr>
        <w:t>G4S</w:t>
      </w:r>
      <w:r>
        <w:rPr>
          <w:color w:val="231F20"/>
          <w:spacing w:val="-12"/>
        </w:rPr>
        <w:t xml:space="preserve"> </w:t>
      </w:r>
      <w:r>
        <w:rPr>
          <w:color w:val="231F20"/>
        </w:rPr>
        <w:t>to</w:t>
      </w:r>
      <w:r>
        <w:rPr>
          <w:color w:val="231F20"/>
          <w:spacing w:val="-11"/>
        </w:rPr>
        <w:t xml:space="preserve"> </w:t>
      </w:r>
      <w:r>
        <w:rPr>
          <w:color w:val="231F20"/>
        </w:rPr>
        <w:t>ensure</w:t>
      </w:r>
      <w:r>
        <w:rPr>
          <w:color w:val="231F20"/>
          <w:spacing w:val="-12"/>
        </w:rPr>
        <w:t xml:space="preserve"> </w:t>
      </w:r>
      <w:r>
        <w:rPr>
          <w:color w:val="231F20"/>
        </w:rPr>
        <w:t>compliance</w:t>
      </w:r>
      <w:r>
        <w:rPr>
          <w:color w:val="231F20"/>
          <w:spacing w:val="-11"/>
        </w:rPr>
        <w:t xml:space="preserve"> </w:t>
      </w:r>
      <w:r>
        <w:rPr>
          <w:color w:val="231F20"/>
        </w:rPr>
        <w:t>with</w:t>
      </w:r>
      <w:r>
        <w:rPr>
          <w:color w:val="231F20"/>
          <w:spacing w:val="-12"/>
        </w:rPr>
        <w:t xml:space="preserve"> </w:t>
      </w:r>
      <w:r>
        <w:rPr>
          <w:color w:val="231F20"/>
        </w:rPr>
        <w:t>the</w:t>
      </w:r>
      <w:r>
        <w:rPr>
          <w:color w:val="231F20"/>
          <w:spacing w:val="-11"/>
        </w:rPr>
        <w:t xml:space="preserve"> </w:t>
      </w:r>
      <w:r>
        <w:rPr>
          <w:i/>
          <w:color w:val="231F20"/>
        </w:rPr>
        <w:t>Charter</w:t>
      </w:r>
      <w:r>
        <w:rPr>
          <w:i/>
          <w:color w:val="231F20"/>
          <w:spacing w:val="-17"/>
        </w:rPr>
        <w:t xml:space="preserve"> </w:t>
      </w:r>
      <w:r>
        <w:rPr>
          <w:i/>
          <w:color w:val="231F20"/>
        </w:rPr>
        <w:t>of</w:t>
      </w:r>
      <w:r>
        <w:rPr>
          <w:i/>
          <w:color w:val="231F20"/>
          <w:spacing w:val="-17"/>
        </w:rPr>
        <w:t xml:space="preserve"> </w:t>
      </w:r>
      <w:r>
        <w:rPr>
          <w:i/>
          <w:color w:val="231F20"/>
        </w:rPr>
        <w:t>Human Rights</w:t>
      </w:r>
      <w:r>
        <w:rPr>
          <w:i/>
          <w:color w:val="231F20"/>
          <w:spacing w:val="-13"/>
        </w:rPr>
        <w:t xml:space="preserve"> </w:t>
      </w:r>
      <w:r>
        <w:rPr>
          <w:i/>
          <w:color w:val="231F20"/>
        </w:rPr>
        <w:t>and</w:t>
      </w:r>
      <w:r>
        <w:rPr>
          <w:i/>
          <w:color w:val="231F20"/>
          <w:spacing w:val="-13"/>
        </w:rPr>
        <w:t xml:space="preserve"> </w:t>
      </w:r>
      <w:r>
        <w:rPr>
          <w:i/>
          <w:color w:val="231F20"/>
        </w:rPr>
        <w:t>Responsibilities</w:t>
      </w:r>
      <w:r>
        <w:rPr>
          <w:i/>
          <w:color w:val="231F20"/>
          <w:spacing w:val="-13"/>
        </w:rPr>
        <w:t xml:space="preserve"> </w:t>
      </w:r>
      <w:r>
        <w:rPr>
          <w:i/>
          <w:color w:val="231F20"/>
        </w:rPr>
        <w:t>Act</w:t>
      </w:r>
      <w:r>
        <w:rPr>
          <w:i/>
          <w:color w:val="231F20"/>
          <w:spacing w:val="-13"/>
        </w:rPr>
        <w:t xml:space="preserve"> </w:t>
      </w:r>
      <w:r>
        <w:rPr>
          <w:color w:val="231F20"/>
        </w:rPr>
        <w:t>2006.</w:t>
      </w:r>
      <w:r>
        <w:rPr>
          <w:color w:val="231F20"/>
          <w:spacing w:val="-5"/>
        </w:rPr>
        <w:t xml:space="preserve"> </w:t>
      </w:r>
      <w:r>
        <w:rPr>
          <w:color w:val="231F20"/>
        </w:rPr>
        <w:t>Victoria</w:t>
      </w:r>
      <w:r>
        <w:rPr>
          <w:color w:val="231F20"/>
          <w:spacing w:val="-5"/>
        </w:rPr>
        <w:t xml:space="preserve"> </w:t>
      </w:r>
      <w:r>
        <w:rPr>
          <w:color w:val="231F20"/>
        </w:rPr>
        <w:t>Police</w:t>
      </w:r>
      <w:r>
        <w:rPr>
          <w:color w:val="231F20"/>
          <w:spacing w:val="-5"/>
        </w:rPr>
        <w:t xml:space="preserve"> </w:t>
      </w:r>
      <w:r>
        <w:rPr>
          <w:color w:val="231F20"/>
        </w:rPr>
        <w:t>exercised</w:t>
      </w:r>
      <w:r>
        <w:rPr>
          <w:color w:val="231F20"/>
          <w:spacing w:val="-5"/>
        </w:rPr>
        <w:t xml:space="preserve"> </w:t>
      </w:r>
      <w:r>
        <w:rPr>
          <w:color w:val="231F20"/>
        </w:rPr>
        <w:t>its</w:t>
      </w:r>
      <w:r>
        <w:rPr>
          <w:color w:val="231F20"/>
          <w:spacing w:val="-5"/>
        </w:rPr>
        <w:t xml:space="preserve"> </w:t>
      </w:r>
      <w:r>
        <w:rPr>
          <w:color w:val="231F20"/>
        </w:rPr>
        <w:t>right</w:t>
      </w:r>
      <w:r>
        <w:rPr>
          <w:color w:val="231F20"/>
          <w:spacing w:val="-5"/>
        </w:rPr>
        <w:t xml:space="preserve"> </w:t>
      </w:r>
      <w:r>
        <w:rPr>
          <w:color w:val="231F20"/>
        </w:rPr>
        <w:t>to</w:t>
      </w:r>
      <w:r>
        <w:rPr>
          <w:color w:val="231F20"/>
          <w:spacing w:val="-5"/>
        </w:rPr>
        <w:t xml:space="preserve"> </w:t>
      </w:r>
      <w:r>
        <w:rPr>
          <w:color w:val="231F20"/>
        </w:rPr>
        <w:t>extend</w:t>
      </w:r>
      <w:r>
        <w:rPr>
          <w:color w:val="231F20"/>
          <w:spacing w:val="-5"/>
        </w:rPr>
        <w:t xml:space="preserve"> </w:t>
      </w:r>
      <w:r>
        <w:rPr>
          <w:color w:val="231F20"/>
        </w:rPr>
        <w:t>its</w:t>
      </w:r>
      <w:r>
        <w:rPr>
          <w:color w:val="231F20"/>
          <w:spacing w:val="-5"/>
        </w:rPr>
        <w:t xml:space="preserve"> </w:t>
      </w:r>
      <w:r>
        <w:rPr>
          <w:color w:val="231F20"/>
        </w:rPr>
        <w:t>Custody Contract with G4S to operate for a further two consecutive years until 28 March 2024.</w:t>
      </w:r>
    </w:p>
    <w:p w14:paraId="2DFC897C" w14:textId="77777777" w:rsidR="00345EE3" w:rsidRDefault="00345EE3" w:rsidP="00404045">
      <w:pPr>
        <w:pStyle w:val="BodyText"/>
        <w:spacing w:before="118" w:line="242" w:lineRule="auto"/>
        <w:ind w:left="142" w:right="1578"/>
        <w:jc w:val="both"/>
      </w:pPr>
      <w:r>
        <w:rPr>
          <w:color w:val="231F20"/>
        </w:rPr>
        <w:t>The</w:t>
      </w:r>
      <w:r>
        <w:rPr>
          <w:color w:val="231F20"/>
          <w:spacing w:val="-8"/>
        </w:rPr>
        <w:t xml:space="preserve"> </w:t>
      </w:r>
      <w:r>
        <w:rPr>
          <w:color w:val="231F20"/>
        </w:rPr>
        <w:t>MCC,</w:t>
      </w:r>
      <w:r>
        <w:rPr>
          <w:color w:val="231F20"/>
          <w:spacing w:val="-7"/>
        </w:rPr>
        <w:t xml:space="preserve"> </w:t>
      </w:r>
      <w:r>
        <w:rPr>
          <w:color w:val="231F20"/>
        </w:rPr>
        <w:t>Moorabbin</w:t>
      </w:r>
      <w:r>
        <w:rPr>
          <w:color w:val="231F20"/>
          <w:spacing w:val="-8"/>
        </w:rPr>
        <w:t xml:space="preserve"> </w:t>
      </w:r>
      <w:r>
        <w:rPr>
          <w:color w:val="231F20"/>
        </w:rPr>
        <w:t>Justice</w:t>
      </w:r>
      <w:r>
        <w:rPr>
          <w:color w:val="231F20"/>
          <w:spacing w:val="-8"/>
        </w:rPr>
        <w:t xml:space="preserve"> </w:t>
      </w:r>
      <w:r>
        <w:rPr>
          <w:color w:val="231F20"/>
        </w:rPr>
        <w:t>Centre,</w:t>
      </w:r>
      <w:r>
        <w:rPr>
          <w:color w:val="231F20"/>
          <w:spacing w:val="-7"/>
        </w:rPr>
        <w:t xml:space="preserve"> </w:t>
      </w:r>
      <w:r>
        <w:rPr>
          <w:color w:val="231F20"/>
        </w:rPr>
        <w:t>Collingwood</w:t>
      </w:r>
      <w:r>
        <w:rPr>
          <w:color w:val="231F20"/>
          <w:spacing w:val="-8"/>
        </w:rPr>
        <w:t xml:space="preserve"> </w:t>
      </w:r>
      <w:r>
        <w:rPr>
          <w:color w:val="231F20"/>
        </w:rPr>
        <w:t>Neighbourhood</w:t>
      </w:r>
      <w:r>
        <w:rPr>
          <w:color w:val="231F20"/>
          <w:spacing w:val="-8"/>
        </w:rPr>
        <w:t xml:space="preserve"> </w:t>
      </w:r>
      <w:r>
        <w:rPr>
          <w:color w:val="231F20"/>
        </w:rPr>
        <w:t>Justice</w:t>
      </w:r>
      <w:r>
        <w:rPr>
          <w:color w:val="231F20"/>
          <w:spacing w:val="-8"/>
        </w:rPr>
        <w:t xml:space="preserve"> </w:t>
      </w:r>
      <w:r>
        <w:rPr>
          <w:color w:val="231F20"/>
        </w:rPr>
        <w:t>Centre</w:t>
      </w:r>
      <w:r>
        <w:rPr>
          <w:color w:val="231F20"/>
          <w:spacing w:val="-8"/>
        </w:rPr>
        <w:t xml:space="preserve"> </w:t>
      </w:r>
      <w:r>
        <w:rPr>
          <w:color w:val="231F20"/>
        </w:rPr>
        <w:t>and</w:t>
      </w:r>
      <w:r>
        <w:rPr>
          <w:color w:val="231F20"/>
          <w:spacing w:val="-8"/>
        </w:rPr>
        <w:t xml:space="preserve"> </w:t>
      </w:r>
      <w:r>
        <w:rPr>
          <w:color w:val="231F20"/>
        </w:rPr>
        <w:t>the Ringwood</w:t>
      </w:r>
      <w:r>
        <w:rPr>
          <w:color w:val="231F20"/>
          <w:spacing w:val="-2"/>
        </w:rPr>
        <w:t xml:space="preserve"> </w:t>
      </w:r>
      <w:r>
        <w:rPr>
          <w:color w:val="231F20"/>
        </w:rPr>
        <w:t>Court</w:t>
      </w:r>
      <w:r>
        <w:rPr>
          <w:color w:val="231F20"/>
          <w:spacing w:val="-1"/>
        </w:rPr>
        <w:t xml:space="preserve"> </w:t>
      </w:r>
      <w:r>
        <w:rPr>
          <w:color w:val="231F20"/>
        </w:rPr>
        <w:t>Cells</w:t>
      </w:r>
      <w:r>
        <w:rPr>
          <w:color w:val="231F20"/>
          <w:spacing w:val="-1"/>
        </w:rPr>
        <w:t xml:space="preserve"> </w:t>
      </w:r>
      <w:r>
        <w:rPr>
          <w:color w:val="231F20"/>
        </w:rPr>
        <w:t>continue</w:t>
      </w:r>
      <w:r>
        <w:rPr>
          <w:color w:val="231F20"/>
          <w:spacing w:val="-2"/>
        </w:rPr>
        <w:t xml:space="preserve"> </w:t>
      </w:r>
      <w:r>
        <w:rPr>
          <w:color w:val="231F20"/>
        </w:rPr>
        <w:t>to</w:t>
      </w:r>
      <w:r>
        <w:rPr>
          <w:color w:val="231F20"/>
          <w:spacing w:val="-2"/>
        </w:rPr>
        <w:t xml:space="preserve"> </w:t>
      </w:r>
      <w:r>
        <w:rPr>
          <w:color w:val="231F20"/>
        </w:rPr>
        <w:t>have</w:t>
      </w:r>
      <w:r>
        <w:rPr>
          <w:color w:val="231F20"/>
          <w:spacing w:val="-2"/>
        </w:rPr>
        <w:t xml:space="preserve"> </w:t>
      </w:r>
      <w:r>
        <w:rPr>
          <w:color w:val="231F20"/>
        </w:rPr>
        <w:t>decreased</w:t>
      </w:r>
      <w:r>
        <w:rPr>
          <w:color w:val="231F20"/>
          <w:spacing w:val="-2"/>
        </w:rPr>
        <w:t xml:space="preserve"> </w:t>
      </w:r>
      <w:r>
        <w:rPr>
          <w:color w:val="231F20"/>
        </w:rPr>
        <w:t>admission</w:t>
      </w:r>
      <w:r>
        <w:rPr>
          <w:color w:val="231F20"/>
          <w:spacing w:val="-2"/>
        </w:rPr>
        <w:t xml:space="preserve"> </w:t>
      </w:r>
      <w:r>
        <w:rPr>
          <w:color w:val="231F20"/>
        </w:rPr>
        <w:t>rates</w:t>
      </w:r>
      <w:r>
        <w:rPr>
          <w:color w:val="231F20"/>
          <w:spacing w:val="-1"/>
        </w:rPr>
        <w:t xml:space="preserve"> </w:t>
      </w:r>
      <w:r>
        <w:rPr>
          <w:color w:val="231F20"/>
        </w:rPr>
        <w:t>and</w:t>
      </w:r>
      <w:r>
        <w:rPr>
          <w:color w:val="231F20"/>
          <w:spacing w:val="-2"/>
        </w:rPr>
        <w:t xml:space="preserve"> </w:t>
      </w:r>
      <w:r>
        <w:rPr>
          <w:color w:val="231F20"/>
        </w:rPr>
        <w:t>court</w:t>
      </w:r>
      <w:r>
        <w:rPr>
          <w:color w:val="231F20"/>
          <w:spacing w:val="-1"/>
        </w:rPr>
        <w:t xml:space="preserve"> </w:t>
      </w:r>
      <w:r>
        <w:rPr>
          <w:color w:val="231F20"/>
        </w:rPr>
        <w:t>movements in</w:t>
      </w:r>
      <w:r>
        <w:rPr>
          <w:color w:val="231F20"/>
          <w:spacing w:val="-10"/>
        </w:rPr>
        <w:t xml:space="preserve"> </w:t>
      </w:r>
      <w:r>
        <w:rPr>
          <w:color w:val="231F20"/>
        </w:rPr>
        <w:t>comparison</w:t>
      </w:r>
      <w:r>
        <w:rPr>
          <w:color w:val="231F20"/>
          <w:spacing w:val="-10"/>
        </w:rPr>
        <w:t xml:space="preserve"> </w:t>
      </w:r>
      <w:r>
        <w:rPr>
          <w:color w:val="231F20"/>
        </w:rPr>
        <w:t>to</w:t>
      </w:r>
      <w:r>
        <w:rPr>
          <w:color w:val="231F20"/>
          <w:spacing w:val="-10"/>
        </w:rPr>
        <w:t xml:space="preserve"> </w:t>
      </w:r>
      <w:r>
        <w:rPr>
          <w:color w:val="231F20"/>
        </w:rPr>
        <w:t>previous</w:t>
      </w:r>
      <w:r>
        <w:rPr>
          <w:color w:val="231F20"/>
          <w:spacing w:val="-9"/>
        </w:rPr>
        <w:t xml:space="preserve"> </w:t>
      </w:r>
      <w:r>
        <w:rPr>
          <w:color w:val="231F20"/>
        </w:rPr>
        <w:t>years.</w:t>
      </w:r>
      <w:r>
        <w:rPr>
          <w:color w:val="231F20"/>
          <w:spacing w:val="-9"/>
        </w:rPr>
        <w:t xml:space="preserve"> </w:t>
      </w:r>
      <w:r>
        <w:rPr>
          <w:color w:val="231F20"/>
        </w:rPr>
        <w:t>The</w:t>
      </w:r>
      <w:r>
        <w:rPr>
          <w:color w:val="231F20"/>
          <w:spacing w:val="-10"/>
        </w:rPr>
        <w:t xml:space="preserve"> </w:t>
      </w:r>
      <w:r>
        <w:rPr>
          <w:color w:val="231F20"/>
        </w:rPr>
        <w:t>use</w:t>
      </w:r>
      <w:r>
        <w:rPr>
          <w:color w:val="231F20"/>
          <w:spacing w:val="-10"/>
        </w:rPr>
        <w:t xml:space="preserve"> </w:t>
      </w:r>
      <w:r>
        <w:rPr>
          <w:color w:val="231F20"/>
        </w:rPr>
        <w:t>of</w:t>
      </w:r>
      <w:r>
        <w:rPr>
          <w:color w:val="231F20"/>
          <w:spacing w:val="-9"/>
        </w:rPr>
        <w:t xml:space="preserve"> </w:t>
      </w:r>
      <w:r>
        <w:rPr>
          <w:color w:val="231F20"/>
        </w:rPr>
        <w:t>technology</w:t>
      </w:r>
      <w:r>
        <w:rPr>
          <w:color w:val="231F20"/>
          <w:spacing w:val="-9"/>
        </w:rPr>
        <w:t xml:space="preserve"> </w:t>
      </w:r>
      <w:r>
        <w:rPr>
          <w:color w:val="231F20"/>
        </w:rPr>
        <w:t>(AVL)</w:t>
      </w:r>
      <w:r>
        <w:rPr>
          <w:color w:val="231F20"/>
          <w:spacing w:val="-9"/>
        </w:rPr>
        <w:t xml:space="preserve"> </w:t>
      </w:r>
      <w:r>
        <w:rPr>
          <w:color w:val="231F20"/>
        </w:rPr>
        <w:t>and</w:t>
      </w:r>
      <w:r>
        <w:rPr>
          <w:color w:val="231F20"/>
          <w:spacing w:val="-10"/>
        </w:rPr>
        <w:t xml:space="preserve"> </w:t>
      </w:r>
      <w:r>
        <w:rPr>
          <w:color w:val="231F20"/>
        </w:rPr>
        <w:t>reduced</w:t>
      </w:r>
      <w:r>
        <w:rPr>
          <w:color w:val="231F20"/>
          <w:spacing w:val="-10"/>
        </w:rPr>
        <w:t xml:space="preserve"> </w:t>
      </w:r>
      <w:r>
        <w:rPr>
          <w:color w:val="231F20"/>
        </w:rPr>
        <w:t>prisoners</w:t>
      </w:r>
      <w:r>
        <w:rPr>
          <w:color w:val="231F20"/>
          <w:spacing w:val="-9"/>
        </w:rPr>
        <w:t xml:space="preserve"> </w:t>
      </w:r>
      <w:r>
        <w:rPr>
          <w:color w:val="231F20"/>
        </w:rPr>
        <w:t>from Corrections Victoria are largely the drivers for this decrease.</w:t>
      </w:r>
    </w:p>
    <w:p w14:paraId="4C331B02" w14:textId="77777777" w:rsidR="00345EE3" w:rsidRDefault="00345EE3" w:rsidP="00345EE3">
      <w:pPr>
        <w:rPr>
          <w:color w:val="231F20"/>
          <w:sz w:val="24"/>
          <w:szCs w:val="24"/>
        </w:rPr>
      </w:pPr>
      <w:r>
        <w:rPr>
          <w:color w:val="231F20"/>
        </w:rPr>
        <w:br w:type="page"/>
      </w:r>
    </w:p>
    <w:p w14:paraId="5FA00812" w14:textId="77777777" w:rsidR="00345EE3" w:rsidRDefault="00345EE3" w:rsidP="00404045">
      <w:pPr>
        <w:pStyle w:val="BodyText"/>
        <w:spacing w:before="118" w:line="242" w:lineRule="auto"/>
        <w:ind w:left="142" w:right="1328"/>
      </w:pPr>
      <w:r>
        <w:rPr>
          <w:color w:val="231F20"/>
        </w:rPr>
        <w:t>St Vincent de Paul (SvDP) continues to provide welfare support for persons in custody at the</w:t>
      </w:r>
      <w:r>
        <w:rPr>
          <w:color w:val="231F20"/>
          <w:spacing w:val="-7"/>
        </w:rPr>
        <w:t xml:space="preserve"> </w:t>
      </w:r>
      <w:r>
        <w:rPr>
          <w:color w:val="231F20"/>
        </w:rPr>
        <w:t>MCC.</w:t>
      </w:r>
      <w:r>
        <w:rPr>
          <w:color w:val="231F20"/>
          <w:spacing w:val="-6"/>
        </w:rPr>
        <w:t xml:space="preserve"> </w:t>
      </w:r>
      <w:r>
        <w:rPr>
          <w:color w:val="231F20"/>
        </w:rPr>
        <w:t>This</w:t>
      </w:r>
      <w:r>
        <w:rPr>
          <w:color w:val="231F20"/>
          <w:spacing w:val="-6"/>
        </w:rPr>
        <w:t xml:space="preserve"> </w:t>
      </w:r>
      <w:r>
        <w:rPr>
          <w:color w:val="231F20"/>
        </w:rPr>
        <w:t>initiative</w:t>
      </w:r>
      <w:r>
        <w:rPr>
          <w:color w:val="231F20"/>
          <w:spacing w:val="-7"/>
        </w:rPr>
        <w:t xml:space="preserve"> </w:t>
      </w:r>
      <w:r>
        <w:rPr>
          <w:color w:val="231F20"/>
        </w:rPr>
        <w:t>has</w:t>
      </w:r>
      <w:r>
        <w:rPr>
          <w:color w:val="231F20"/>
          <w:spacing w:val="-6"/>
        </w:rPr>
        <w:t xml:space="preserve"> </w:t>
      </w:r>
      <w:r>
        <w:rPr>
          <w:color w:val="231F20"/>
        </w:rPr>
        <w:t>been</w:t>
      </w:r>
      <w:r>
        <w:rPr>
          <w:color w:val="231F20"/>
          <w:spacing w:val="-7"/>
        </w:rPr>
        <w:t xml:space="preserve"> </w:t>
      </w:r>
      <w:r>
        <w:rPr>
          <w:color w:val="231F20"/>
        </w:rPr>
        <w:t>successful</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program</w:t>
      </w:r>
      <w:r>
        <w:rPr>
          <w:color w:val="231F20"/>
          <w:spacing w:val="-6"/>
        </w:rPr>
        <w:t xml:space="preserve"> </w:t>
      </w:r>
      <w:r>
        <w:rPr>
          <w:color w:val="231F20"/>
        </w:rPr>
        <w:t>is</w:t>
      </w:r>
      <w:r>
        <w:rPr>
          <w:color w:val="231F20"/>
          <w:spacing w:val="-6"/>
        </w:rPr>
        <w:t xml:space="preserve"> </w:t>
      </w:r>
      <w:r>
        <w:rPr>
          <w:color w:val="231F20"/>
        </w:rPr>
        <w:t>looking</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extended</w:t>
      </w:r>
      <w:r>
        <w:rPr>
          <w:color w:val="231F20"/>
          <w:spacing w:val="-7"/>
        </w:rPr>
        <w:t xml:space="preserve"> </w:t>
      </w:r>
      <w:r>
        <w:rPr>
          <w:color w:val="231F20"/>
        </w:rPr>
        <w:t>to</w:t>
      </w:r>
      <w:r>
        <w:rPr>
          <w:color w:val="231F20"/>
          <w:spacing w:val="-7"/>
        </w:rPr>
        <w:t xml:space="preserve"> </w:t>
      </w:r>
      <w:r>
        <w:rPr>
          <w:color w:val="231F20"/>
        </w:rPr>
        <w:t>a</w:t>
      </w:r>
    </w:p>
    <w:p w14:paraId="19628D68" w14:textId="77777777" w:rsidR="00345EE3" w:rsidRDefault="00345EE3" w:rsidP="00404045">
      <w:pPr>
        <w:pStyle w:val="BodyText"/>
        <w:spacing w:before="3" w:line="242" w:lineRule="auto"/>
        <w:ind w:left="142" w:right="921"/>
      </w:pPr>
      <w:r>
        <w:rPr>
          <w:color w:val="231F20"/>
        </w:rPr>
        <w:t>secondary police custody location. The program has sourced funding through the court fund to provide</w:t>
      </w:r>
      <w:r>
        <w:rPr>
          <w:color w:val="231F20"/>
          <w:spacing w:val="-10"/>
        </w:rPr>
        <w:t xml:space="preserve"> </w:t>
      </w:r>
      <w:r>
        <w:rPr>
          <w:color w:val="231F20"/>
        </w:rPr>
        <w:t>clean</w:t>
      </w:r>
      <w:r>
        <w:rPr>
          <w:color w:val="231F20"/>
          <w:spacing w:val="-10"/>
        </w:rPr>
        <w:t xml:space="preserve"> </w:t>
      </w:r>
      <w:r>
        <w:rPr>
          <w:color w:val="231F20"/>
        </w:rPr>
        <w:t>clothing</w:t>
      </w:r>
      <w:r>
        <w:rPr>
          <w:color w:val="231F20"/>
          <w:spacing w:val="-10"/>
        </w:rPr>
        <w:t xml:space="preserve"> </w:t>
      </w:r>
      <w:r>
        <w:rPr>
          <w:color w:val="231F20"/>
        </w:rPr>
        <w:t>for</w:t>
      </w:r>
      <w:r>
        <w:rPr>
          <w:color w:val="231F20"/>
          <w:spacing w:val="-9"/>
        </w:rPr>
        <w:t xml:space="preserve"> </w:t>
      </w:r>
      <w:r>
        <w:rPr>
          <w:color w:val="231F20"/>
        </w:rPr>
        <w:t>persons</w:t>
      </w:r>
      <w:r>
        <w:rPr>
          <w:color w:val="231F20"/>
          <w:spacing w:val="-9"/>
        </w:rPr>
        <w:t xml:space="preserve"> </w:t>
      </w:r>
      <w:r>
        <w:rPr>
          <w:color w:val="231F20"/>
        </w:rPr>
        <w:t>in</w:t>
      </w:r>
      <w:r>
        <w:rPr>
          <w:color w:val="231F20"/>
          <w:spacing w:val="-10"/>
        </w:rPr>
        <w:t xml:space="preserve"> </w:t>
      </w:r>
      <w:r>
        <w:rPr>
          <w:color w:val="231F20"/>
        </w:rPr>
        <w:t>custody.</w:t>
      </w:r>
      <w:r>
        <w:rPr>
          <w:color w:val="231F20"/>
          <w:spacing w:val="-9"/>
        </w:rPr>
        <w:t xml:space="preserve"> </w:t>
      </w:r>
      <w:r>
        <w:rPr>
          <w:color w:val="231F20"/>
        </w:rPr>
        <w:t>This</w:t>
      </w:r>
      <w:r>
        <w:rPr>
          <w:color w:val="231F20"/>
          <w:spacing w:val="-9"/>
        </w:rPr>
        <w:t xml:space="preserve"> </w:t>
      </w:r>
      <w:r>
        <w:rPr>
          <w:color w:val="231F20"/>
        </w:rPr>
        <w:t>partnership</w:t>
      </w:r>
      <w:r>
        <w:rPr>
          <w:color w:val="231F20"/>
          <w:spacing w:val="-10"/>
        </w:rPr>
        <w:t xml:space="preserve"> </w:t>
      </w:r>
      <w:r>
        <w:rPr>
          <w:color w:val="231F20"/>
        </w:rPr>
        <w:t>has</w:t>
      </w:r>
      <w:r>
        <w:rPr>
          <w:color w:val="231F20"/>
          <w:spacing w:val="-9"/>
        </w:rPr>
        <w:t xml:space="preserve"> </w:t>
      </w:r>
      <w:r>
        <w:rPr>
          <w:color w:val="231F20"/>
        </w:rPr>
        <w:t>significant</w:t>
      </w:r>
      <w:r>
        <w:rPr>
          <w:color w:val="231F20"/>
          <w:spacing w:val="-9"/>
        </w:rPr>
        <w:t xml:space="preserve"> </w:t>
      </w:r>
      <w:r>
        <w:rPr>
          <w:color w:val="231F20"/>
        </w:rPr>
        <w:t>benefits</w:t>
      </w:r>
      <w:r>
        <w:rPr>
          <w:color w:val="231F20"/>
          <w:spacing w:val="-9"/>
        </w:rPr>
        <w:t xml:space="preserve"> </w:t>
      </w:r>
      <w:r>
        <w:rPr>
          <w:color w:val="231F20"/>
        </w:rPr>
        <w:t>to</w:t>
      </w:r>
      <w:r>
        <w:rPr>
          <w:color w:val="231F20"/>
          <w:spacing w:val="-10"/>
        </w:rPr>
        <w:t xml:space="preserve"> </w:t>
      </w:r>
      <w:r>
        <w:rPr>
          <w:color w:val="231F20"/>
        </w:rPr>
        <w:t>Victoria Police and provides a resource to manage the individual needs of persons in custody and link them into SvDP services.</w:t>
      </w:r>
    </w:p>
    <w:p w14:paraId="74D793B6" w14:textId="77777777" w:rsidR="00345EE3" w:rsidRDefault="00345EE3" w:rsidP="00345EE3">
      <w:pPr>
        <w:pStyle w:val="Heading5"/>
        <w:spacing w:before="82"/>
      </w:pPr>
      <w:r>
        <w:rPr>
          <w:color w:val="58595B"/>
        </w:rPr>
        <w:t>Custodial</w:t>
      </w:r>
      <w:r>
        <w:rPr>
          <w:color w:val="58595B"/>
          <w:spacing w:val="-9"/>
        </w:rPr>
        <w:t xml:space="preserve"> </w:t>
      </w:r>
      <w:r>
        <w:rPr>
          <w:color w:val="58595B"/>
          <w:spacing w:val="-2"/>
        </w:rPr>
        <w:t>Health</w:t>
      </w:r>
    </w:p>
    <w:p w14:paraId="0D4AB185" w14:textId="77777777" w:rsidR="00345EE3" w:rsidRDefault="00345EE3" w:rsidP="00404045">
      <w:pPr>
        <w:pStyle w:val="BodyText"/>
        <w:spacing w:before="4" w:line="242" w:lineRule="auto"/>
        <w:ind w:left="142" w:right="921"/>
      </w:pPr>
      <w:r>
        <w:rPr>
          <w:color w:val="231F20"/>
        </w:rPr>
        <w:t>Custodial</w:t>
      </w:r>
      <w:r>
        <w:rPr>
          <w:color w:val="231F20"/>
          <w:spacing w:val="-11"/>
        </w:rPr>
        <w:t xml:space="preserve"> </w:t>
      </w:r>
      <w:r>
        <w:rPr>
          <w:color w:val="231F20"/>
        </w:rPr>
        <w:t>Health</w:t>
      </w:r>
      <w:r>
        <w:rPr>
          <w:color w:val="231F20"/>
          <w:spacing w:val="-11"/>
        </w:rPr>
        <w:t xml:space="preserve"> </w:t>
      </w:r>
      <w:r>
        <w:rPr>
          <w:color w:val="231F20"/>
        </w:rPr>
        <w:t>has</w:t>
      </w:r>
      <w:r>
        <w:rPr>
          <w:color w:val="231F20"/>
          <w:spacing w:val="-10"/>
        </w:rPr>
        <w:t xml:space="preserve"> </w:t>
      </w:r>
      <w:r>
        <w:rPr>
          <w:color w:val="231F20"/>
        </w:rPr>
        <w:t>an</w:t>
      </w:r>
      <w:r>
        <w:rPr>
          <w:color w:val="231F20"/>
          <w:spacing w:val="-11"/>
        </w:rPr>
        <w:t xml:space="preserve"> </w:t>
      </w:r>
      <w:r>
        <w:rPr>
          <w:color w:val="231F20"/>
        </w:rPr>
        <w:t>establishment</w:t>
      </w:r>
      <w:r>
        <w:rPr>
          <w:color w:val="231F20"/>
          <w:spacing w:val="-10"/>
        </w:rPr>
        <w:t xml:space="preserve"> </w:t>
      </w:r>
      <w:r>
        <w:rPr>
          <w:color w:val="231F20"/>
        </w:rPr>
        <w:t>of</w:t>
      </w:r>
      <w:r>
        <w:rPr>
          <w:color w:val="231F20"/>
          <w:spacing w:val="-10"/>
        </w:rPr>
        <w:t xml:space="preserve"> </w:t>
      </w:r>
      <w:r>
        <w:rPr>
          <w:color w:val="231F20"/>
        </w:rPr>
        <w:t>63</w:t>
      </w:r>
      <w:r>
        <w:rPr>
          <w:color w:val="231F20"/>
          <w:spacing w:val="-11"/>
        </w:rPr>
        <w:t xml:space="preserve"> </w:t>
      </w:r>
      <w:r>
        <w:rPr>
          <w:color w:val="231F20"/>
        </w:rPr>
        <w:t>staff,</w:t>
      </w:r>
      <w:r>
        <w:rPr>
          <w:color w:val="231F20"/>
          <w:spacing w:val="-10"/>
        </w:rPr>
        <w:t xml:space="preserve"> </w:t>
      </w:r>
      <w:r>
        <w:rPr>
          <w:color w:val="231F20"/>
        </w:rPr>
        <w:t>including</w:t>
      </w:r>
      <w:r>
        <w:rPr>
          <w:color w:val="231F20"/>
          <w:spacing w:val="-11"/>
        </w:rPr>
        <w:t xml:space="preserve"> </w:t>
      </w:r>
      <w:r>
        <w:rPr>
          <w:color w:val="231F20"/>
        </w:rPr>
        <w:t>doctors,</w:t>
      </w:r>
      <w:r>
        <w:rPr>
          <w:color w:val="231F20"/>
          <w:spacing w:val="-10"/>
        </w:rPr>
        <w:t xml:space="preserve"> </w:t>
      </w:r>
      <w:r>
        <w:rPr>
          <w:color w:val="231F20"/>
        </w:rPr>
        <w:t>nurses,</w:t>
      </w:r>
      <w:r>
        <w:rPr>
          <w:color w:val="231F20"/>
          <w:spacing w:val="-10"/>
        </w:rPr>
        <w:t xml:space="preserve"> </w:t>
      </w:r>
      <w:r>
        <w:rPr>
          <w:color w:val="231F20"/>
        </w:rPr>
        <w:t>pharmacists,</w:t>
      </w:r>
      <w:r>
        <w:rPr>
          <w:color w:val="231F20"/>
          <w:spacing w:val="-10"/>
        </w:rPr>
        <w:t xml:space="preserve"> </w:t>
      </w:r>
      <w:r>
        <w:rPr>
          <w:color w:val="231F20"/>
        </w:rPr>
        <w:t xml:space="preserve">police and administration staff. Custodial Health provides a health service to all custody locations through the Custodial Health Advice Line, station visits and the presence of a nurse 24/7 at the </w:t>
      </w:r>
      <w:r>
        <w:rPr>
          <w:color w:val="231F20"/>
          <w:spacing w:val="-4"/>
        </w:rPr>
        <w:t>MCC.</w:t>
      </w:r>
    </w:p>
    <w:p w14:paraId="0588ED4C" w14:textId="77777777" w:rsidR="00345EE3" w:rsidRDefault="00345EE3" w:rsidP="00404045">
      <w:pPr>
        <w:pStyle w:val="BodyText"/>
        <w:spacing w:before="119" w:line="242" w:lineRule="auto"/>
        <w:ind w:left="142" w:right="921"/>
      </w:pPr>
      <w:r>
        <w:rPr>
          <w:color w:val="231F20"/>
        </w:rPr>
        <w:t>The service has initiated a morning daily case management review, which involves a doctor, pharmacist, nurse and Police officer contacting all custody locations each morning (Monday to Friday)</w:t>
      </w:r>
      <w:r>
        <w:rPr>
          <w:color w:val="231F20"/>
          <w:spacing w:val="-8"/>
        </w:rPr>
        <w:t xml:space="preserve"> </w:t>
      </w:r>
      <w:r>
        <w:rPr>
          <w:color w:val="231F20"/>
        </w:rPr>
        <w:t>to</w:t>
      </w:r>
      <w:r>
        <w:rPr>
          <w:color w:val="231F20"/>
          <w:spacing w:val="-9"/>
        </w:rPr>
        <w:t xml:space="preserve"> </w:t>
      </w:r>
      <w:r>
        <w:rPr>
          <w:color w:val="231F20"/>
        </w:rPr>
        <w:t>ascertain</w:t>
      </w:r>
      <w:r>
        <w:rPr>
          <w:color w:val="231F20"/>
          <w:spacing w:val="-9"/>
        </w:rPr>
        <w:t xml:space="preserve"> </w:t>
      </w:r>
      <w:r>
        <w:rPr>
          <w:color w:val="231F20"/>
        </w:rPr>
        <w:t>the</w:t>
      </w:r>
      <w:r>
        <w:rPr>
          <w:color w:val="231F20"/>
          <w:spacing w:val="-9"/>
        </w:rPr>
        <w:t xml:space="preserve"> </w:t>
      </w:r>
      <w:r>
        <w:rPr>
          <w:color w:val="231F20"/>
        </w:rPr>
        <w:t>health</w:t>
      </w:r>
      <w:r>
        <w:rPr>
          <w:color w:val="231F20"/>
          <w:spacing w:val="-9"/>
        </w:rPr>
        <w:t xml:space="preserve"> </w:t>
      </w:r>
      <w:r>
        <w:rPr>
          <w:color w:val="231F20"/>
        </w:rPr>
        <w:t>needs</w:t>
      </w:r>
      <w:r>
        <w:rPr>
          <w:color w:val="231F20"/>
          <w:spacing w:val="-8"/>
        </w:rPr>
        <w:t xml:space="preserve"> </w:t>
      </w:r>
      <w:r>
        <w:rPr>
          <w:color w:val="231F20"/>
        </w:rPr>
        <w:t>of</w:t>
      </w:r>
      <w:r>
        <w:rPr>
          <w:color w:val="231F20"/>
          <w:spacing w:val="-8"/>
        </w:rPr>
        <w:t xml:space="preserve"> </w:t>
      </w:r>
      <w:r>
        <w:rPr>
          <w:color w:val="231F20"/>
        </w:rPr>
        <w:t>persons</w:t>
      </w:r>
      <w:r>
        <w:rPr>
          <w:color w:val="231F20"/>
          <w:spacing w:val="-8"/>
        </w:rPr>
        <w:t xml:space="preserve"> </w:t>
      </w:r>
      <w:r>
        <w:rPr>
          <w:color w:val="231F20"/>
        </w:rPr>
        <w:t>in</w:t>
      </w:r>
      <w:r>
        <w:rPr>
          <w:color w:val="231F20"/>
          <w:spacing w:val="-9"/>
        </w:rPr>
        <w:t xml:space="preserve"> </w:t>
      </w:r>
      <w:r>
        <w:rPr>
          <w:color w:val="231F20"/>
        </w:rPr>
        <w:t>custody.</w:t>
      </w:r>
      <w:r>
        <w:rPr>
          <w:color w:val="231F20"/>
          <w:spacing w:val="-8"/>
        </w:rPr>
        <w:t xml:space="preserve"> </w:t>
      </w:r>
      <w:r>
        <w:rPr>
          <w:color w:val="231F20"/>
        </w:rPr>
        <w:t>The</w:t>
      </w:r>
      <w:r>
        <w:rPr>
          <w:color w:val="231F20"/>
          <w:spacing w:val="-9"/>
        </w:rPr>
        <w:t xml:space="preserve"> </w:t>
      </w:r>
      <w:r>
        <w:rPr>
          <w:color w:val="231F20"/>
        </w:rPr>
        <w:t>daily</w:t>
      </w:r>
      <w:r>
        <w:rPr>
          <w:color w:val="231F20"/>
          <w:spacing w:val="-8"/>
        </w:rPr>
        <w:t xml:space="preserve"> </w:t>
      </w:r>
      <w:r>
        <w:rPr>
          <w:color w:val="231F20"/>
        </w:rPr>
        <w:t>case</w:t>
      </w:r>
      <w:r>
        <w:rPr>
          <w:color w:val="231F20"/>
          <w:spacing w:val="-9"/>
        </w:rPr>
        <w:t xml:space="preserve"> </w:t>
      </w:r>
      <w:r>
        <w:rPr>
          <w:color w:val="231F20"/>
        </w:rPr>
        <w:t>management</w:t>
      </w:r>
      <w:r>
        <w:rPr>
          <w:color w:val="231F20"/>
          <w:spacing w:val="-8"/>
        </w:rPr>
        <w:t xml:space="preserve"> </w:t>
      </w:r>
      <w:r>
        <w:rPr>
          <w:color w:val="231F20"/>
        </w:rPr>
        <w:t>review has</w:t>
      </w:r>
      <w:r>
        <w:rPr>
          <w:color w:val="231F20"/>
          <w:spacing w:val="-7"/>
        </w:rPr>
        <w:t xml:space="preserve"> </w:t>
      </w:r>
      <w:r>
        <w:rPr>
          <w:color w:val="231F20"/>
        </w:rPr>
        <w:t>been</w:t>
      </w:r>
      <w:r>
        <w:rPr>
          <w:color w:val="231F20"/>
          <w:spacing w:val="-8"/>
        </w:rPr>
        <w:t xml:space="preserve"> </w:t>
      </w:r>
      <w:r>
        <w:rPr>
          <w:color w:val="231F20"/>
        </w:rPr>
        <w:t>embraced</w:t>
      </w:r>
      <w:r>
        <w:rPr>
          <w:color w:val="231F20"/>
          <w:spacing w:val="-8"/>
        </w:rPr>
        <w:t xml:space="preserve"> </w:t>
      </w:r>
      <w:r>
        <w:rPr>
          <w:color w:val="231F20"/>
        </w:rPr>
        <w:t>by</w:t>
      </w:r>
      <w:r>
        <w:rPr>
          <w:color w:val="231F20"/>
          <w:spacing w:val="-7"/>
        </w:rPr>
        <w:t xml:space="preserve"> </w:t>
      </w:r>
      <w:r>
        <w:rPr>
          <w:color w:val="231F20"/>
        </w:rPr>
        <w:t>all</w:t>
      </w:r>
      <w:r>
        <w:rPr>
          <w:color w:val="231F20"/>
          <w:spacing w:val="-8"/>
        </w:rPr>
        <w:t xml:space="preserve"> </w:t>
      </w:r>
      <w:r>
        <w:rPr>
          <w:color w:val="231F20"/>
        </w:rPr>
        <w:t>locations</w:t>
      </w:r>
      <w:r>
        <w:rPr>
          <w:color w:val="231F20"/>
          <w:spacing w:val="-7"/>
        </w:rPr>
        <w:t xml:space="preserve"> </w:t>
      </w:r>
      <w:r>
        <w:rPr>
          <w:color w:val="231F20"/>
        </w:rPr>
        <w:t>and</w:t>
      </w:r>
      <w:r>
        <w:rPr>
          <w:color w:val="231F20"/>
          <w:spacing w:val="-8"/>
        </w:rPr>
        <w:t xml:space="preserve"> </w:t>
      </w:r>
      <w:r>
        <w:rPr>
          <w:color w:val="231F20"/>
        </w:rPr>
        <w:t>connects</w:t>
      </w:r>
      <w:r>
        <w:rPr>
          <w:color w:val="231F20"/>
          <w:spacing w:val="-7"/>
        </w:rPr>
        <w:t xml:space="preserve"> </w:t>
      </w:r>
      <w:r>
        <w:rPr>
          <w:color w:val="231F20"/>
        </w:rPr>
        <w:t>custody</w:t>
      </w:r>
      <w:r>
        <w:rPr>
          <w:color w:val="231F20"/>
          <w:spacing w:val="-7"/>
        </w:rPr>
        <w:t xml:space="preserve"> </w:t>
      </w:r>
      <w:r>
        <w:rPr>
          <w:color w:val="231F20"/>
        </w:rPr>
        <w:t>locations</w:t>
      </w:r>
      <w:r>
        <w:rPr>
          <w:color w:val="231F20"/>
          <w:spacing w:val="-7"/>
        </w:rPr>
        <w:t xml:space="preserve"> </w:t>
      </w:r>
      <w:r>
        <w:rPr>
          <w:color w:val="231F20"/>
        </w:rPr>
        <w:t>to</w:t>
      </w:r>
      <w:r>
        <w:rPr>
          <w:color w:val="231F20"/>
          <w:spacing w:val="-8"/>
        </w:rPr>
        <w:t xml:space="preserve"> </w:t>
      </w:r>
      <w:r>
        <w:rPr>
          <w:color w:val="231F20"/>
        </w:rPr>
        <w:t>Custodial</w:t>
      </w:r>
      <w:r>
        <w:rPr>
          <w:color w:val="231F20"/>
          <w:spacing w:val="-8"/>
        </w:rPr>
        <w:t xml:space="preserve"> </w:t>
      </w:r>
      <w:r>
        <w:rPr>
          <w:color w:val="231F20"/>
        </w:rPr>
        <w:t>Health</w:t>
      </w:r>
      <w:r>
        <w:rPr>
          <w:color w:val="231F20"/>
          <w:spacing w:val="-8"/>
        </w:rPr>
        <w:t xml:space="preserve"> </w:t>
      </w:r>
      <w:r>
        <w:rPr>
          <w:color w:val="231F20"/>
        </w:rPr>
        <w:t>Service providing timely health intervention to support stations in managing persons in custody.</w:t>
      </w:r>
    </w:p>
    <w:p w14:paraId="71043600" w14:textId="77777777" w:rsidR="00345EE3" w:rsidRDefault="00345EE3" w:rsidP="00345EE3">
      <w:pPr>
        <w:pStyle w:val="Heading5"/>
        <w:spacing w:before="176"/>
      </w:pPr>
      <w:r>
        <w:rPr>
          <w:color w:val="58595B"/>
        </w:rPr>
        <w:t>G4S</w:t>
      </w:r>
      <w:r>
        <w:rPr>
          <w:color w:val="58595B"/>
          <w:spacing w:val="-5"/>
        </w:rPr>
        <w:t xml:space="preserve"> </w:t>
      </w:r>
      <w:r>
        <w:rPr>
          <w:color w:val="58595B"/>
        </w:rPr>
        <w:t>Contracted</w:t>
      </w:r>
      <w:r>
        <w:rPr>
          <w:color w:val="58595B"/>
          <w:spacing w:val="-5"/>
        </w:rPr>
        <w:t xml:space="preserve"> </w:t>
      </w:r>
      <w:r>
        <w:rPr>
          <w:color w:val="58595B"/>
          <w:spacing w:val="-2"/>
        </w:rPr>
        <w:t>sites</w:t>
      </w:r>
    </w:p>
    <w:p w14:paraId="4998A372" w14:textId="77777777" w:rsidR="00345EE3" w:rsidRDefault="00345EE3" w:rsidP="00404045">
      <w:pPr>
        <w:pStyle w:val="BodyText"/>
        <w:spacing w:before="4"/>
        <w:ind w:left="142"/>
      </w:pPr>
      <w:r>
        <w:rPr>
          <w:color w:val="231F20"/>
        </w:rPr>
        <w:t>During</w:t>
      </w:r>
      <w:r>
        <w:rPr>
          <w:color w:val="231F20"/>
          <w:spacing w:val="-12"/>
        </w:rPr>
        <w:t xml:space="preserve"> </w:t>
      </w:r>
      <w:r>
        <w:rPr>
          <w:color w:val="231F20"/>
        </w:rPr>
        <w:t>2021–22</w:t>
      </w:r>
      <w:r>
        <w:rPr>
          <w:color w:val="231F20"/>
          <w:spacing w:val="-9"/>
        </w:rPr>
        <w:t xml:space="preserve"> </w:t>
      </w:r>
      <w:r>
        <w:rPr>
          <w:color w:val="231F20"/>
        </w:rPr>
        <w:t>G4S</w:t>
      </w:r>
      <w:r>
        <w:rPr>
          <w:color w:val="231F20"/>
          <w:spacing w:val="-10"/>
        </w:rPr>
        <w:t xml:space="preserve"> </w:t>
      </w:r>
      <w:r>
        <w:rPr>
          <w:color w:val="231F20"/>
        </w:rPr>
        <w:t>provided</w:t>
      </w:r>
      <w:r>
        <w:rPr>
          <w:color w:val="231F20"/>
          <w:spacing w:val="-9"/>
        </w:rPr>
        <w:t xml:space="preserve"> </w:t>
      </w:r>
      <w:r>
        <w:rPr>
          <w:color w:val="231F20"/>
        </w:rPr>
        <w:t>the</w:t>
      </w:r>
      <w:r>
        <w:rPr>
          <w:color w:val="231F20"/>
          <w:spacing w:val="-10"/>
        </w:rPr>
        <w:t xml:space="preserve"> </w:t>
      </w:r>
      <w:r>
        <w:rPr>
          <w:color w:val="231F20"/>
        </w:rPr>
        <w:t>following</w:t>
      </w:r>
      <w:r>
        <w:rPr>
          <w:color w:val="231F20"/>
          <w:spacing w:val="-9"/>
        </w:rPr>
        <w:t xml:space="preserve"> </w:t>
      </w:r>
      <w:r>
        <w:rPr>
          <w:color w:val="231F20"/>
        </w:rPr>
        <w:t>contract</w:t>
      </w:r>
      <w:r>
        <w:rPr>
          <w:color w:val="231F20"/>
          <w:spacing w:val="-8"/>
        </w:rPr>
        <w:t xml:space="preserve"> </w:t>
      </w:r>
      <w:r>
        <w:rPr>
          <w:color w:val="231F20"/>
          <w:spacing w:val="-2"/>
        </w:rPr>
        <w:t>services:</w:t>
      </w:r>
    </w:p>
    <w:p w14:paraId="7FC33995" w14:textId="77777777" w:rsidR="00345EE3" w:rsidRDefault="00345EE3" w:rsidP="00345EE3">
      <w:pPr>
        <w:spacing w:before="33"/>
        <w:ind w:left="110"/>
        <w:rPr>
          <w:i/>
          <w:sz w:val="24"/>
        </w:rPr>
      </w:pPr>
      <w:r>
        <w:rPr>
          <w:i/>
          <w:color w:val="231F20"/>
          <w:spacing w:val="-6"/>
          <w:sz w:val="24"/>
        </w:rPr>
        <w:t>Melbourne</w:t>
      </w:r>
      <w:r>
        <w:rPr>
          <w:i/>
          <w:color w:val="231F20"/>
          <w:spacing w:val="-3"/>
          <w:sz w:val="24"/>
        </w:rPr>
        <w:t xml:space="preserve"> </w:t>
      </w:r>
      <w:r>
        <w:rPr>
          <w:i/>
          <w:color w:val="231F20"/>
          <w:spacing w:val="-6"/>
          <w:sz w:val="24"/>
        </w:rPr>
        <w:t>Custody</w:t>
      </w:r>
      <w:r>
        <w:rPr>
          <w:i/>
          <w:color w:val="231F20"/>
          <w:sz w:val="24"/>
        </w:rPr>
        <w:t xml:space="preserve"> </w:t>
      </w:r>
      <w:r>
        <w:rPr>
          <w:i/>
          <w:color w:val="231F20"/>
          <w:spacing w:val="-6"/>
          <w:sz w:val="24"/>
        </w:rPr>
        <w:t>Centre</w:t>
      </w:r>
    </w:p>
    <w:p w14:paraId="7F84FBEA" w14:textId="77777777" w:rsidR="00345EE3" w:rsidRDefault="00345EE3">
      <w:pPr>
        <w:pStyle w:val="ListParagraph"/>
        <w:numPr>
          <w:ilvl w:val="0"/>
          <w:numId w:val="76"/>
        </w:numPr>
        <w:tabs>
          <w:tab w:val="left" w:pos="393"/>
          <w:tab w:val="left" w:pos="394"/>
        </w:tabs>
        <w:rPr>
          <w:sz w:val="24"/>
        </w:rPr>
      </w:pPr>
      <w:r>
        <w:rPr>
          <w:color w:val="231F20"/>
          <w:sz w:val="24"/>
        </w:rPr>
        <w:t>Managed</w:t>
      </w:r>
      <w:r>
        <w:rPr>
          <w:color w:val="231F20"/>
          <w:spacing w:val="-18"/>
          <w:sz w:val="24"/>
        </w:rPr>
        <w:t xml:space="preserve"> </w:t>
      </w:r>
      <w:r>
        <w:rPr>
          <w:color w:val="231F20"/>
          <w:sz w:val="24"/>
        </w:rPr>
        <w:t>7,297</w:t>
      </w:r>
      <w:r>
        <w:rPr>
          <w:color w:val="231F20"/>
          <w:spacing w:val="-15"/>
          <w:sz w:val="24"/>
        </w:rPr>
        <w:t xml:space="preserve"> </w:t>
      </w:r>
      <w:r>
        <w:rPr>
          <w:color w:val="231F20"/>
          <w:sz w:val="24"/>
        </w:rPr>
        <w:t>prisoner</w:t>
      </w:r>
      <w:r>
        <w:rPr>
          <w:color w:val="231F20"/>
          <w:spacing w:val="-14"/>
          <w:sz w:val="24"/>
        </w:rPr>
        <w:t xml:space="preserve"> </w:t>
      </w:r>
      <w:r>
        <w:rPr>
          <w:color w:val="231F20"/>
          <w:sz w:val="24"/>
        </w:rPr>
        <w:t>movements</w:t>
      </w:r>
      <w:r>
        <w:rPr>
          <w:color w:val="231F20"/>
          <w:spacing w:val="-15"/>
          <w:sz w:val="24"/>
        </w:rPr>
        <w:t xml:space="preserve"> </w:t>
      </w:r>
      <w:r>
        <w:rPr>
          <w:color w:val="231F20"/>
          <w:sz w:val="24"/>
        </w:rPr>
        <w:t>(counted</w:t>
      </w:r>
      <w:r>
        <w:rPr>
          <w:color w:val="231F20"/>
          <w:spacing w:val="-15"/>
          <w:sz w:val="24"/>
        </w:rPr>
        <w:t xml:space="preserve"> </w:t>
      </w:r>
      <w:r>
        <w:rPr>
          <w:color w:val="231F20"/>
          <w:sz w:val="24"/>
        </w:rPr>
        <w:t>in</w:t>
      </w:r>
      <w:r>
        <w:rPr>
          <w:color w:val="231F20"/>
          <w:spacing w:val="-15"/>
          <w:sz w:val="24"/>
        </w:rPr>
        <w:t xml:space="preserve"> </w:t>
      </w:r>
      <w:r>
        <w:rPr>
          <w:color w:val="231F20"/>
          <w:sz w:val="24"/>
        </w:rPr>
        <w:t>and</w:t>
      </w:r>
      <w:r>
        <w:rPr>
          <w:color w:val="231F20"/>
          <w:spacing w:val="-15"/>
          <w:sz w:val="24"/>
        </w:rPr>
        <w:t xml:space="preserve"> </w:t>
      </w:r>
      <w:r>
        <w:rPr>
          <w:color w:val="231F20"/>
          <w:spacing w:val="-2"/>
          <w:sz w:val="24"/>
        </w:rPr>
        <w:t>out).</w:t>
      </w:r>
    </w:p>
    <w:p w14:paraId="2BC14AB4" w14:textId="77777777" w:rsidR="00345EE3" w:rsidRDefault="00345EE3">
      <w:pPr>
        <w:pStyle w:val="ListParagraph"/>
        <w:numPr>
          <w:ilvl w:val="0"/>
          <w:numId w:val="76"/>
        </w:numPr>
        <w:tabs>
          <w:tab w:val="left" w:pos="393"/>
          <w:tab w:val="left" w:pos="394"/>
        </w:tabs>
        <w:rPr>
          <w:sz w:val="24"/>
        </w:rPr>
      </w:pPr>
      <w:r>
        <w:rPr>
          <w:color w:val="231F20"/>
          <w:sz w:val="24"/>
        </w:rPr>
        <w:t>212</w:t>
      </w:r>
      <w:r>
        <w:rPr>
          <w:color w:val="231F20"/>
          <w:spacing w:val="-17"/>
          <w:sz w:val="24"/>
        </w:rPr>
        <w:t xml:space="preserve"> </w:t>
      </w:r>
      <w:r>
        <w:rPr>
          <w:color w:val="231F20"/>
          <w:sz w:val="24"/>
        </w:rPr>
        <w:t>intoxicated</w:t>
      </w:r>
      <w:r>
        <w:rPr>
          <w:color w:val="231F20"/>
          <w:spacing w:val="-16"/>
          <w:sz w:val="24"/>
        </w:rPr>
        <w:t xml:space="preserve"> </w:t>
      </w:r>
      <w:r>
        <w:rPr>
          <w:color w:val="231F20"/>
          <w:sz w:val="24"/>
        </w:rPr>
        <w:t>persons</w:t>
      </w:r>
      <w:r>
        <w:rPr>
          <w:color w:val="231F20"/>
          <w:spacing w:val="-16"/>
          <w:sz w:val="24"/>
        </w:rPr>
        <w:t xml:space="preserve"> </w:t>
      </w:r>
      <w:r>
        <w:rPr>
          <w:color w:val="231F20"/>
          <w:sz w:val="24"/>
        </w:rPr>
        <w:t>were</w:t>
      </w:r>
      <w:r>
        <w:rPr>
          <w:color w:val="231F20"/>
          <w:spacing w:val="-16"/>
          <w:sz w:val="24"/>
        </w:rPr>
        <w:t xml:space="preserve"> </w:t>
      </w:r>
      <w:r>
        <w:rPr>
          <w:color w:val="231F20"/>
          <w:spacing w:val="-2"/>
          <w:sz w:val="24"/>
        </w:rPr>
        <w:t>lodged.</w:t>
      </w:r>
    </w:p>
    <w:p w14:paraId="315B9742" w14:textId="77777777" w:rsidR="00345EE3" w:rsidRDefault="00345EE3">
      <w:pPr>
        <w:pStyle w:val="ListParagraph"/>
        <w:numPr>
          <w:ilvl w:val="0"/>
          <w:numId w:val="76"/>
        </w:numPr>
        <w:tabs>
          <w:tab w:val="left" w:pos="393"/>
          <w:tab w:val="left" w:pos="394"/>
        </w:tabs>
        <w:spacing w:line="242" w:lineRule="auto"/>
        <w:ind w:right="1024"/>
        <w:rPr>
          <w:sz w:val="24"/>
        </w:rPr>
      </w:pPr>
      <w:r>
        <w:rPr>
          <w:color w:val="231F20"/>
          <w:sz w:val="24"/>
        </w:rPr>
        <w:t>Managed 3,043 court movements between the MCC and Melbourne Magistrates’ Court including</w:t>
      </w:r>
      <w:r>
        <w:rPr>
          <w:color w:val="231F20"/>
          <w:spacing w:val="-10"/>
          <w:sz w:val="24"/>
        </w:rPr>
        <w:t xml:space="preserve"> </w:t>
      </w:r>
      <w:r>
        <w:rPr>
          <w:color w:val="231F20"/>
          <w:sz w:val="24"/>
        </w:rPr>
        <w:t>1,246</w:t>
      </w:r>
      <w:r>
        <w:rPr>
          <w:color w:val="231F20"/>
          <w:spacing w:val="-10"/>
          <w:sz w:val="24"/>
        </w:rPr>
        <w:t xml:space="preserve"> </w:t>
      </w:r>
      <w:r>
        <w:rPr>
          <w:color w:val="231F20"/>
          <w:sz w:val="24"/>
        </w:rPr>
        <w:t>court</w:t>
      </w:r>
      <w:r>
        <w:rPr>
          <w:color w:val="231F20"/>
          <w:spacing w:val="-9"/>
          <w:sz w:val="24"/>
        </w:rPr>
        <w:t xml:space="preserve"> </w:t>
      </w:r>
      <w:r>
        <w:rPr>
          <w:color w:val="231F20"/>
          <w:sz w:val="24"/>
        </w:rPr>
        <w:t>movements</w:t>
      </w:r>
      <w:r>
        <w:rPr>
          <w:color w:val="231F20"/>
          <w:spacing w:val="-9"/>
          <w:sz w:val="24"/>
        </w:rPr>
        <w:t xml:space="preserve"> </w:t>
      </w:r>
      <w:r>
        <w:rPr>
          <w:color w:val="231F20"/>
          <w:sz w:val="24"/>
        </w:rPr>
        <w:t>between</w:t>
      </w:r>
      <w:r>
        <w:rPr>
          <w:color w:val="231F20"/>
          <w:spacing w:val="-10"/>
          <w:sz w:val="24"/>
        </w:rPr>
        <w:t xml:space="preserve"> </w:t>
      </w:r>
      <w:r>
        <w:rPr>
          <w:color w:val="231F20"/>
          <w:sz w:val="24"/>
        </w:rPr>
        <w:t>the</w:t>
      </w:r>
      <w:r>
        <w:rPr>
          <w:color w:val="231F20"/>
          <w:spacing w:val="-10"/>
          <w:sz w:val="24"/>
        </w:rPr>
        <w:t xml:space="preserve"> </w:t>
      </w:r>
      <w:r>
        <w:rPr>
          <w:color w:val="231F20"/>
          <w:sz w:val="24"/>
        </w:rPr>
        <w:t>MCC</w:t>
      </w:r>
      <w:r>
        <w:rPr>
          <w:color w:val="231F20"/>
          <w:spacing w:val="-10"/>
          <w:sz w:val="24"/>
        </w:rPr>
        <w:t xml:space="preserve"> </w:t>
      </w:r>
      <w:r>
        <w:rPr>
          <w:color w:val="231F20"/>
          <w:sz w:val="24"/>
        </w:rPr>
        <w:t>and</w:t>
      </w:r>
      <w:r>
        <w:rPr>
          <w:color w:val="231F20"/>
          <w:spacing w:val="-10"/>
          <w:sz w:val="24"/>
        </w:rPr>
        <w:t xml:space="preserve"> </w:t>
      </w:r>
      <w:r>
        <w:rPr>
          <w:color w:val="231F20"/>
          <w:sz w:val="24"/>
        </w:rPr>
        <w:t>Melbourne</w:t>
      </w:r>
      <w:r>
        <w:rPr>
          <w:color w:val="231F20"/>
          <w:spacing w:val="-10"/>
          <w:sz w:val="24"/>
        </w:rPr>
        <w:t xml:space="preserve"> </w:t>
      </w:r>
      <w:r>
        <w:rPr>
          <w:color w:val="231F20"/>
          <w:sz w:val="24"/>
        </w:rPr>
        <w:t>Magistrates’</w:t>
      </w:r>
      <w:r>
        <w:rPr>
          <w:color w:val="231F20"/>
          <w:spacing w:val="-10"/>
          <w:sz w:val="24"/>
        </w:rPr>
        <w:t xml:space="preserve"> </w:t>
      </w:r>
      <w:r>
        <w:rPr>
          <w:color w:val="231F20"/>
          <w:sz w:val="24"/>
        </w:rPr>
        <w:t>Court</w:t>
      </w:r>
      <w:r>
        <w:rPr>
          <w:color w:val="231F20"/>
          <w:spacing w:val="-9"/>
          <w:sz w:val="24"/>
        </w:rPr>
        <w:t xml:space="preserve"> </w:t>
      </w:r>
      <w:r>
        <w:rPr>
          <w:color w:val="231F20"/>
          <w:sz w:val="24"/>
        </w:rPr>
        <w:t xml:space="preserve">Night </w:t>
      </w:r>
      <w:r>
        <w:rPr>
          <w:color w:val="231F20"/>
          <w:spacing w:val="-2"/>
          <w:sz w:val="24"/>
        </w:rPr>
        <w:t>Court.</w:t>
      </w:r>
    </w:p>
    <w:p w14:paraId="21C69DD7" w14:textId="77777777" w:rsidR="00345EE3" w:rsidRDefault="00345EE3">
      <w:pPr>
        <w:pStyle w:val="ListParagraph"/>
        <w:numPr>
          <w:ilvl w:val="0"/>
          <w:numId w:val="76"/>
        </w:numPr>
        <w:tabs>
          <w:tab w:val="left" w:pos="393"/>
          <w:tab w:val="left" w:pos="394"/>
        </w:tabs>
        <w:rPr>
          <w:sz w:val="24"/>
        </w:rPr>
      </w:pPr>
      <w:r>
        <w:rPr>
          <w:color w:val="231F20"/>
          <w:sz w:val="24"/>
        </w:rPr>
        <w:t>Facilitated</w:t>
      </w:r>
      <w:r>
        <w:rPr>
          <w:color w:val="231F20"/>
          <w:spacing w:val="-11"/>
          <w:sz w:val="24"/>
        </w:rPr>
        <w:t xml:space="preserve"> </w:t>
      </w:r>
      <w:r>
        <w:rPr>
          <w:color w:val="231F20"/>
          <w:sz w:val="24"/>
        </w:rPr>
        <w:t>a</w:t>
      </w:r>
      <w:r>
        <w:rPr>
          <w:color w:val="231F20"/>
          <w:spacing w:val="-8"/>
          <w:sz w:val="24"/>
        </w:rPr>
        <w:t xml:space="preserve"> </w:t>
      </w:r>
      <w:r>
        <w:rPr>
          <w:color w:val="231F20"/>
          <w:sz w:val="24"/>
        </w:rPr>
        <w:t>total</w:t>
      </w:r>
      <w:r>
        <w:rPr>
          <w:color w:val="231F20"/>
          <w:spacing w:val="-9"/>
          <w:sz w:val="24"/>
        </w:rPr>
        <w:t xml:space="preserve"> </w:t>
      </w:r>
      <w:r>
        <w:rPr>
          <w:color w:val="231F20"/>
          <w:sz w:val="24"/>
        </w:rPr>
        <w:t>of</w:t>
      </w:r>
      <w:r>
        <w:rPr>
          <w:color w:val="231F20"/>
          <w:spacing w:val="-7"/>
          <w:sz w:val="24"/>
        </w:rPr>
        <w:t xml:space="preserve"> </w:t>
      </w:r>
      <w:r>
        <w:rPr>
          <w:color w:val="231F20"/>
          <w:sz w:val="24"/>
        </w:rPr>
        <w:t>3,700</w:t>
      </w:r>
      <w:r>
        <w:rPr>
          <w:color w:val="231F20"/>
          <w:spacing w:val="-9"/>
          <w:sz w:val="24"/>
        </w:rPr>
        <w:t xml:space="preserve"> </w:t>
      </w:r>
      <w:r>
        <w:rPr>
          <w:color w:val="231F20"/>
          <w:sz w:val="24"/>
        </w:rPr>
        <w:t>legal</w:t>
      </w:r>
      <w:r>
        <w:rPr>
          <w:color w:val="231F20"/>
          <w:spacing w:val="-8"/>
          <w:sz w:val="24"/>
        </w:rPr>
        <w:t xml:space="preserve"> </w:t>
      </w:r>
      <w:r>
        <w:rPr>
          <w:color w:val="231F20"/>
          <w:sz w:val="24"/>
        </w:rPr>
        <w:t>visits</w:t>
      </w:r>
      <w:r>
        <w:rPr>
          <w:color w:val="231F20"/>
          <w:spacing w:val="-8"/>
          <w:sz w:val="24"/>
        </w:rPr>
        <w:t xml:space="preserve"> </w:t>
      </w:r>
      <w:r>
        <w:rPr>
          <w:color w:val="231F20"/>
          <w:sz w:val="24"/>
        </w:rPr>
        <w:t>and</w:t>
      </w:r>
      <w:r>
        <w:rPr>
          <w:color w:val="231F20"/>
          <w:spacing w:val="-8"/>
          <w:sz w:val="24"/>
        </w:rPr>
        <w:t xml:space="preserve"> </w:t>
      </w:r>
      <w:r>
        <w:rPr>
          <w:color w:val="231F20"/>
          <w:sz w:val="24"/>
        </w:rPr>
        <w:t>106</w:t>
      </w:r>
      <w:r>
        <w:rPr>
          <w:color w:val="231F20"/>
          <w:spacing w:val="-9"/>
          <w:sz w:val="24"/>
        </w:rPr>
        <w:t xml:space="preserve"> </w:t>
      </w:r>
      <w:r>
        <w:rPr>
          <w:color w:val="231F20"/>
          <w:sz w:val="24"/>
        </w:rPr>
        <w:t>police</w:t>
      </w:r>
      <w:r>
        <w:rPr>
          <w:color w:val="231F20"/>
          <w:spacing w:val="-8"/>
          <w:sz w:val="24"/>
        </w:rPr>
        <w:t xml:space="preserve"> </w:t>
      </w:r>
      <w:r>
        <w:rPr>
          <w:color w:val="231F20"/>
          <w:sz w:val="24"/>
        </w:rPr>
        <w:t>visits</w:t>
      </w:r>
      <w:r>
        <w:rPr>
          <w:color w:val="231F20"/>
          <w:spacing w:val="-8"/>
          <w:sz w:val="24"/>
        </w:rPr>
        <w:t xml:space="preserve"> </w:t>
      </w:r>
      <w:r>
        <w:rPr>
          <w:color w:val="231F20"/>
          <w:sz w:val="24"/>
        </w:rPr>
        <w:t>to</w:t>
      </w:r>
      <w:r>
        <w:rPr>
          <w:color w:val="231F20"/>
          <w:spacing w:val="-8"/>
          <w:sz w:val="24"/>
        </w:rPr>
        <w:t xml:space="preserve"> </w:t>
      </w:r>
      <w:r>
        <w:rPr>
          <w:color w:val="231F20"/>
          <w:spacing w:val="-2"/>
          <w:sz w:val="24"/>
        </w:rPr>
        <w:t>prisoners.</w:t>
      </w:r>
    </w:p>
    <w:p w14:paraId="5BA1F2EE" w14:textId="77777777" w:rsidR="00345EE3" w:rsidRDefault="00345EE3" w:rsidP="00345EE3">
      <w:pPr>
        <w:spacing w:before="118"/>
        <w:ind w:left="110"/>
        <w:rPr>
          <w:i/>
          <w:sz w:val="24"/>
        </w:rPr>
      </w:pPr>
      <w:r>
        <w:rPr>
          <w:i/>
          <w:color w:val="231F20"/>
          <w:spacing w:val="-6"/>
          <w:sz w:val="24"/>
        </w:rPr>
        <w:t>Moorabbin</w:t>
      </w:r>
      <w:r>
        <w:rPr>
          <w:i/>
          <w:color w:val="231F20"/>
          <w:spacing w:val="3"/>
          <w:sz w:val="24"/>
        </w:rPr>
        <w:t xml:space="preserve"> </w:t>
      </w:r>
      <w:r>
        <w:rPr>
          <w:i/>
          <w:color w:val="231F20"/>
          <w:spacing w:val="-6"/>
          <w:sz w:val="24"/>
        </w:rPr>
        <w:t>Justice</w:t>
      </w:r>
      <w:r>
        <w:rPr>
          <w:i/>
          <w:color w:val="231F20"/>
          <w:spacing w:val="3"/>
          <w:sz w:val="24"/>
        </w:rPr>
        <w:t xml:space="preserve"> </w:t>
      </w:r>
      <w:r>
        <w:rPr>
          <w:i/>
          <w:color w:val="231F20"/>
          <w:spacing w:val="-6"/>
          <w:sz w:val="24"/>
        </w:rPr>
        <w:t>Centre</w:t>
      </w:r>
    </w:p>
    <w:p w14:paraId="6EF18CA5" w14:textId="77777777" w:rsidR="00345EE3" w:rsidRDefault="00345EE3">
      <w:pPr>
        <w:pStyle w:val="ListParagraph"/>
        <w:numPr>
          <w:ilvl w:val="0"/>
          <w:numId w:val="76"/>
        </w:numPr>
        <w:tabs>
          <w:tab w:val="left" w:pos="393"/>
          <w:tab w:val="left" w:pos="394"/>
        </w:tabs>
        <w:rPr>
          <w:sz w:val="24"/>
        </w:rPr>
      </w:pPr>
      <w:r>
        <w:rPr>
          <w:color w:val="231F20"/>
          <w:sz w:val="24"/>
        </w:rPr>
        <w:t>Managed</w:t>
      </w:r>
      <w:r>
        <w:rPr>
          <w:color w:val="231F20"/>
          <w:spacing w:val="-10"/>
          <w:sz w:val="24"/>
        </w:rPr>
        <w:t xml:space="preserve"> </w:t>
      </w:r>
      <w:r>
        <w:rPr>
          <w:color w:val="231F20"/>
          <w:sz w:val="24"/>
        </w:rPr>
        <w:t>133</w:t>
      </w:r>
      <w:r>
        <w:rPr>
          <w:color w:val="231F20"/>
          <w:spacing w:val="-10"/>
          <w:sz w:val="24"/>
        </w:rPr>
        <w:t xml:space="preserve"> </w:t>
      </w:r>
      <w:r>
        <w:rPr>
          <w:color w:val="231F20"/>
          <w:sz w:val="24"/>
        </w:rPr>
        <w:t>prisoner</w:t>
      </w:r>
      <w:r>
        <w:rPr>
          <w:color w:val="231F20"/>
          <w:spacing w:val="-9"/>
          <w:sz w:val="24"/>
        </w:rPr>
        <w:t xml:space="preserve"> </w:t>
      </w:r>
      <w:r>
        <w:rPr>
          <w:color w:val="231F20"/>
          <w:spacing w:val="-2"/>
          <w:sz w:val="24"/>
        </w:rPr>
        <w:t>admissions.</w:t>
      </w:r>
    </w:p>
    <w:p w14:paraId="43AD7D45" w14:textId="77777777" w:rsidR="00345EE3" w:rsidRDefault="00345EE3">
      <w:pPr>
        <w:pStyle w:val="ListParagraph"/>
        <w:numPr>
          <w:ilvl w:val="0"/>
          <w:numId w:val="76"/>
        </w:numPr>
        <w:tabs>
          <w:tab w:val="left" w:pos="393"/>
          <w:tab w:val="left" w:pos="394"/>
        </w:tabs>
        <w:spacing w:before="33"/>
        <w:rPr>
          <w:sz w:val="24"/>
        </w:rPr>
      </w:pPr>
      <w:r>
        <w:rPr>
          <w:color w:val="231F20"/>
          <w:sz w:val="24"/>
        </w:rPr>
        <w:t>Managed</w:t>
      </w:r>
      <w:r>
        <w:rPr>
          <w:color w:val="231F20"/>
          <w:spacing w:val="-12"/>
          <w:sz w:val="24"/>
        </w:rPr>
        <w:t xml:space="preserve"> </w:t>
      </w:r>
      <w:r>
        <w:rPr>
          <w:color w:val="231F20"/>
          <w:sz w:val="24"/>
        </w:rPr>
        <w:t>151</w:t>
      </w:r>
      <w:r>
        <w:rPr>
          <w:color w:val="231F20"/>
          <w:spacing w:val="-12"/>
          <w:sz w:val="24"/>
        </w:rPr>
        <w:t xml:space="preserve"> </w:t>
      </w:r>
      <w:r>
        <w:rPr>
          <w:color w:val="231F20"/>
          <w:sz w:val="24"/>
        </w:rPr>
        <w:t>court</w:t>
      </w:r>
      <w:r>
        <w:rPr>
          <w:color w:val="231F20"/>
          <w:spacing w:val="-11"/>
          <w:sz w:val="24"/>
        </w:rPr>
        <w:t xml:space="preserve"> </w:t>
      </w:r>
      <w:r>
        <w:rPr>
          <w:color w:val="231F20"/>
          <w:spacing w:val="-2"/>
          <w:sz w:val="24"/>
        </w:rPr>
        <w:t>movements.</w:t>
      </w:r>
    </w:p>
    <w:p w14:paraId="71AB861F" w14:textId="77777777" w:rsidR="00345EE3" w:rsidRDefault="00345EE3">
      <w:pPr>
        <w:pStyle w:val="ListParagraph"/>
        <w:numPr>
          <w:ilvl w:val="0"/>
          <w:numId w:val="76"/>
        </w:numPr>
        <w:tabs>
          <w:tab w:val="left" w:pos="393"/>
          <w:tab w:val="left" w:pos="394"/>
        </w:tabs>
        <w:rPr>
          <w:sz w:val="24"/>
        </w:rPr>
      </w:pPr>
      <w:r>
        <w:rPr>
          <w:color w:val="231F20"/>
          <w:sz w:val="24"/>
        </w:rPr>
        <w:t>Facilitated</w:t>
      </w:r>
      <w:r>
        <w:rPr>
          <w:color w:val="231F20"/>
          <w:spacing w:val="-10"/>
          <w:sz w:val="24"/>
        </w:rPr>
        <w:t xml:space="preserve"> </w:t>
      </w:r>
      <w:r>
        <w:rPr>
          <w:color w:val="231F20"/>
          <w:sz w:val="24"/>
        </w:rPr>
        <w:t>227</w:t>
      </w:r>
      <w:r>
        <w:rPr>
          <w:color w:val="231F20"/>
          <w:spacing w:val="-10"/>
          <w:sz w:val="24"/>
        </w:rPr>
        <w:t xml:space="preserve"> </w:t>
      </w:r>
      <w:r>
        <w:rPr>
          <w:color w:val="231F20"/>
          <w:sz w:val="24"/>
        </w:rPr>
        <w:t>legal</w:t>
      </w:r>
      <w:r>
        <w:rPr>
          <w:color w:val="231F20"/>
          <w:spacing w:val="-10"/>
          <w:sz w:val="24"/>
        </w:rPr>
        <w:t xml:space="preserve"> </w:t>
      </w:r>
      <w:r>
        <w:rPr>
          <w:color w:val="231F20"/>
          <w:sz w:val="24"/>
        </w:rPr>
        <w:t>visits</w:t>
      </w:r>
      <w:r>
        <w:rPr>
          <w:color w:val="231F20"/>
          <w:spacing w:val="-9"/>
          <w:sz w:val="24"/>
        </w:rPr>
        <w:t xml:space="preserve"> </w:t>
      </w:r>
      <w:r>
        <w:rPr>
          <w:color w:val="231F20"/>
          <w:sz w:val="24"/>
        </w:rPr>
        <w:t>to</w:t>
      </w:r>
      <w:r>
        <w:rPr>
          <w:color w:val="231F20"/>
          <w:spacing w:val="-10"/>
          <w:sz w:val="24"/>
        </w:rPr>
        <w:t xml:space="preserve"> </w:t>
      </w:r>
      <w:r>
        <w:rPr>
          <w:color w:val="231F20"/>
          <w:sz w:val="24"/>
        </w:rPr>
        <w:t>prisoner</w:t>
      </w:r>
      <w:r>
        <w:rPr>
          <w:color w:val="231F20"/>
          <w:spacing w:val="-8"/>
          <w:sz w:val="24"/>
        </w:rPr>
        <w:t xml:space="preserve"> </w:t>
      </w:r>
      <w:r>
        <w:rPr>
          <w:color w:val="231F20"/>
          <w:spacing w:val="-2"/>
          <w:sz w:val="24"/>
        </w:rPr>
        <w:t>clients.</w:t>
      </w:r>
    </w:p>
    <w:p w14:paraId="5C454D18" w14:textId="77777777" w:rsidR="00345EE3" w:rsidRDefault="00345EE3" w:rsidP="00345EE3">
      <w:pPr>
        <w:spacing w:before="117"/>
        <w:ind w:left="110"/>
        <w:rPr>
          <w:i/>
          <w:sz w:val="24"/>
        </w:rPr>
      </w:pPr>
      <w:r>
        <w:rPr>
          <w:i/>
          <w:color w:val="231F20"/>
          <w:spacing w:val="-6"/>
          <w:sz w:val="24"/>
        </w:rPr>
        <w:t>Ringwood</w:t>
      </w:r>
      <w:r>
        <w:rPr>
          <w:i/>
          <w:color w:val="231F20"/>
          <w:sz w:val="24"/>
        </w:rPr>
        <w:t xml:space="preserve"> </w:t>
      </w:r>
      <w:r>
        <w:rPr>
          <w:i/>
          <w:color w:val="231F20"/>
          <w:spacing w:val="-6"/>
          <w:sz w:val="24"/>
        </w:rPr>
        <w:t>Magistrates’</w:t>
      </w:r>
      <w:r>
        <w:rPr>
          <w:i/>
          <w:color w:val="231F20"/>
          <w:spacing w:val="2"/>
          <w:sz w:val="24"/>
        </w:rPr>
        <w:t xml:space="preserve"> </w:t>
      </w:r>
      <w:r>
        <w:rPr>
          <w:i/>
          <w:color w:val="231F20"/>
          <w:spacing w:val="-6"/>
          <w:sz w:val="24"/>
        </w:rPr>
        <w:t>Court</w:t>
      </w:r>
      <w:r>
        <w:rPr>
          <w:i/>
          <w:color w:val="231F20"/>
          <w:spacing w:val="3"/>
          <w:sz w:val="24"/>
        </w:rPr>
        <w:t xml:space="preserve"> </w:t>
      </w:r>
      <w:r>
        <w:rPr>
          <w:i/>
          <w:color w:val="231F20"/>
          <w:spacing w:val="-6"/>
          <w:sz w:val="24"/>
        </w:rPr>
        <w:t>Cells</w:t>
      </w:r>
    </w:p>
    <w:p w14:paraId="69AB790B" w14:textId="77777777" w:rsidR="00345EE3" w:rsidRDefault="00345EE3">
      <w:pPr>
        <w:pStyle w:val="ListParagraph"/>
        <w:numPr>
          <w:ilvl w:val="0"/>
          <w:numId w:val="76"/>
        </w:numPr>
        <w:tabs>
          <w:tab w:val="left" w:pos="393"/>
          <w:tab w:val="left" w:pos="394"/>
        </w:tabs>
        <w:spacing w:before="33"/>
        <w:rPr>
          <w:sz w:val="24"/>
        </w:rPr>
      </w:pPr>
      <w:r>
        <w:rPr>
          <w:color w:val="231F20"/>
          <w:sz w:val="24"/>
        </w:rPr>
        <w:t>Managed</w:t>
      </w:r>
      <w:r>
        <w:rPr>
          <w:color w:val="231F20"/>
          <w:spacing w:val="-7"/>
          <w:sz w:val="24"/>
        </w:rPr>
        <w:t xml:space="preserve"> </w:t>
      </w:r>
      <w:r>
        <w:rPr>
          <w:color w:val="231F20"/>
          <w:sz w:val="24"/>
        </w:rPr>
        <w:t>301</w:t>
      </w:r>
      <w:r>
        <w:rPr>
          <w:color w:val="231F20"/>
          <w:spacing w:val="-7"/>
          <w:sz w:val="24"/>
        </w:rPr>
        <w:t xml:space="preserve"> </w:t>
      </w:r>
      <w:r>
        <w:rPr>
          <w:color w:val="231F20"/>
          <w:sz w:val="24"/>
        </w:rPr>
        <w:t>prisoner</w:t>
      </w:r>
      <w:r>
        <w:rPr>
          <w:color w:val="231F20"/>
          <w:spacing w:val="-7"/>
          <w:sz w:val="24"/>
        </w:rPr>
        <w:t xml:space="preserve"> </w:t>
      </w:r>
      <w:r>
        <w:rPr>
          <w:color w:val="231F20"/>
          <w:spacing w:val="-2"/>
          <w:sz w:val="24"/>
        </w:rPr>
        <w:t>admissions.</w:t>
      </w:r>
    </w:p>
    <w:p w14:paraId="724F8757" w14:textId="77777777" w:rsidR="00345EE3" w:rsidRDefault="00345EE3">
      <w:pPr>
        <w:pStyle w:val="ListParagraph"/>
        <w:numPr>
          <w:ilvl w:val="0"/>
          <w:numId w:val="76"/>
        </w:numPr>
        <w:tabs>
          <w:tab w:val="left" w:pos="393"/>
          <w:tab w:val="left" w:pos="394"/>
        </w:tabs>
        <w:rPr>
          <w:sz w:val="24"/>
        </w:rPr>
      </w:pPr>
      <w:r>
        <w:rPr>
          <w:color w:val="231F20"/>
          <w:sz w:val="24"/>
        </w:rPr>
        <w:t>Managed</w:t>
      </w:r>
      <w:r>
        <w:rPr>
          <w:color w:val="231F20"/>
          <w:spacing w:val="-1"/>
          <w:sz w:val="24"/>
        </w:rPr>
        <w:t xml:space="preserve"> </w:t>
      </w:r>
      <w:r>
        <w:rPr>
          <w:color w:val="231F20"/>
          <w:sz w:val="24"/>
        </w:rPr>
        <w:t>348</w:t>
      </w:r>
      <w:r>
        <w:rPr>
          <w:color w:val="231F20"/>
          <w:spacing w:val="-1"/>
          <w:sz w:val="24"/>
        </w:rPr>
        <w:t xml:space="preserve"> </w:t>
      </w:r>
      <w:r>
        <w:rPr>
          <w:color w:val="231F20"/>
          <w:sz w:val="24"/>
        </w:rPr>
        <w:t xml:space="preserve">court </w:t>
      </w:r>
      <w:r>
        <w:rPr>
          <w:color w:val="231F20"/>
          <w:spacing w:val="-2"/>
          <w:sz w:val="24"/>
        </w:rPr>
        <w:t>movements.</w:t>
      </w:r>
    </w:p>
    <w:p w14:paraId="70080778" w14:textId="77777777" w:rsidR="00345EE3" w:rsidRDefault="00345EE3">
      <w:pPr>
        <w:pStyle w:val="ListParagraph"/>
        <w:numPr>
          <w:ilvl w:val="0"/>
          <w:numId w:val="76"/>
        </w:numPr>
        <w:tabs>
          <w:tab w:val="left" w:pos="393"/>
          <w:tab w:val="left" w:pos="394"/>
        </w:tabs>
        <w:rPr>
          <w:sz w:val="24"/>
        </w:rPr>
      </w:pPr>
      <w:r>
        <w:rPr>
          <w:color w:val="231F20"/>
          <w:sz w:val="24"/>
        </w:rPr>
        <w:t>Facilitated</w:t>
      </w:r>
      <w:r>
        <w:rPr>
          <w:color w:val="231F20"/>
          <w:spacing w:val="-9"/>
          <w:sz w:val="24"/>
        </w:rPr>
        <w:t xml:space="preserve"> </w:t>
      </w:r>
      <w:r>
        <w:rPr>
          <w:color w:val="231F20"/>
          <w:sz w:val="24"/>
        </w:rPr>
        <w:t>546</w:t>
      </w:r>
      <w:r>
        <w:rPr>
          <w:color w:val="231F20"/>
          <w:spacing w:val="-9"/>
          <w:sz w:val="24"/>
        </w:rPr>
        <w:t xml:space="preserve"> </w:t>
      </w:r>
      <w:r>
        <w:rPr>
          <w:color w:val="231F20"/>
          <w:sz w:val="24"/>
        </w:rPr>
        <w:t>legal</w:t>
      </w:r>
      <w:r>
        <w:rPr>
          <w:color w:val="231F20"/>
          <w:spacing w:val="-8"/>
          <w:sz w:val="24"/>
        </w:rPr>
        <w:t xml:space="preserve"> </w:t>
      </w:r>
      <w:r>
        <w:rPr>
          <w:color w:val="231F20"/>
          <w:sz w:val="24"/>
        </w:rPr>
        <w:t>visits</w:t>
      </w:r>
      <w:r>
        <w:rPr>
          <w:color w:val="231F20"/>
          <w:spacing w:val="-8"/>
          <w:sz w:val="24"/>
        </w:rPr>
        <w:t xml:space="preserve"> </w:t>
      </w:r>
      <w:r>
        <w:rPr>
          <w:color w:val="231F20"/>
          <w:sz w:val="24"/>
        </w:rPr>
        <w:t>to</w:t>
      </w:r>
      <w:r>
        <w:rPr>
          <w:color w:val="231F20"/>
          <w:spacing w:val="-9"/>
          <w:sz w:val="24"/>
        </w:rPr>
        <w:t xml:space="preserve"> </w:t>
      </w:r>
      <w:r>
        <w:rPr>
          <w:color w:val="231F20"/>
          <w:sz w:val="24"/>
        </w:rPr>
        <w:t>prisoner</w:t>
      </w:r>
      <w:r>
        <w:rPr>
          <w:color w:val="231F20"/>
          <w:spacing w:val="-7"/>
          <w:sz w:val="24"/>
        </w:rPr>
        <w:t xml:space="preserve"> </w:t>
      </w:r>
      <w:r>
        <w:rPr>
          <w:color w:val="231F20"/>
          <w:spacing w:val="-2"/>
          <w:sz w:val="24"/>
        </w:rPr>
        <w:t>clients.</w:t>
      </w:r>
    </w:p>
    <w:p w14:paraId="7F1371F6" w14:textId="77777777" w:rsidR="00345EE3" w:rsidRDefault="00345EE3" w:rsidP="00345EE3">
      <w:pPr>
        <w:spacing w:before="118"/>
        <w:ind w:left="110"/>
        <w:rPr>
          <w:i/>
          <w:sz w:val="24"/>
        </w:rPr>
      </w:pPr>
      <w:r>
        <w:rPr>
          <w:i/>
          <w:color w:val="231F20"/>
          <w:spacing w:val="-6"/>
          <w:sz w:val="24"/>
        </w:rPr>
        <w:t>Collingwood</w:t>
      </w:r>
      <w:r>
        <w:rPr>
          <w:i/>
          <w:color w:val="231F20"/>
          <w:spacing w:val="3"/>
          <w:sz w:val="24"/>
        </w:rPr>
        <w:t xml:space="preserve"> </w:t>
      </w:r>
      <w:r>
        <w:rPr>
          <w:i/>
          <w:color w:val="231F20"/>
          <w:spacing w:val="-6"/>
          <w:sz w:val="24"/>
        </w:rPr>
        <w:t>Neighbourhood</w:t>
      </w:r>
      <w:r>
        <w:rPr>
          <w:i/>
          <w:color w:val="231F20"/>
          <w:spacing w:val="4"/>
          <w:sz w:val="24"/>
        </w:rPr>
        <w:t xml:space="preserve"> </w:t>
      </w:r>
      <w:r>
        <w:rPr>
          <w:i/>
          <w:color w:val="231F20"/>
          <w:spacing w:val="-6"/>
          <w:sz w:val="24"/>
        </w:rPr>
        <w:t>Justice</w:t>
      </w:r>
      <w:r>
        <w:rPr>
          <w:i/>
          <w:color w:val="231F20"/>
          <w:spacing w:val="4"/>
          <w:sz w:val="24"/>
        </w:rPr>
        <w:t xml:space="preserve"> </w:t>
      </w:r>
      <w:r>
        <w:rPr>
          <w:i/>
          <w:color w:val="231F20"/>
          <w:spacing w:val="-6"/>
          <w:sz w:val="24"/>
        </w:rPr>
        <w:t>Centre</w:t>
      </w:r>
    </w:p>
    <w:p w14:paraId="2807F5CF" w14:textId="77777777" w:rsidR="00345EE3" w:rsidRDefault="00345EE3">
      <w:pPr>
        <w:pStyle w:val="ListParagraph"/>
        <w:numPr>
          <w:ilvl w:val="0"/>
          <w:numId w:val="76"/>
        </w:numPr>
        <w:tabs>
          <w:tab w:val="left" w:pos="393"/>
          <w:tab w:val="left" w:pos="394"/>
        </w:tabs>
        <w:rPr>
          <w:sz w:val="24"/>
        </w:rPr>
      </w:pPr>
      <w:r>
        <w:rPr>
          <w:color w:val="231F20"/>
          <w:sz w:val="24"/>
        </w:rPr>
        <w:t>Managed</w:t>
      </w:r>
      <w:r>
        <w:rPr>
          <w:color w:val="231F20"/>
          <w:spacing w:val="-9"/>
          <w:sz w:val="24"/>
        </w:rPr>
        <w:t xml:space="preserve"> </w:t>
      </w:r>
      <w:r>
        <w:rPr>
          <w:color w:val="231F20"/>
          <w:sz w:val="24"/>
        </w:rPr>
        <w:t>10</w:t>
      </w:r>
      <w:r>
        <w:rPr>
          <w:color w:val="231F20"/>
          <w:spacing w:val="-8"/>
          <w:sz w:val="24"/>
        </w:rPr>
        <w:t xml:space="preserve"> </w:t>
      </w:r>
      <w:r>
        <w:rPr>
          <w:color w:val="231F20"/>
          <w:sz w:val="24"/>
        </w:rPr>
        <w:t>prisoner</w:t>
      </w:r>
      <w:r>
        <w:rPr>
          <w:color w:val="231F20"/>
          <w:spacing w:val="-8"/>
          <w:sz w:val="24"/>
        </w:rPr>
        <w:t xml:space="preserve"> </w:t>
      </w:r>
      <w:r>
        <w:rPr>
          <w:color w:val="231F20"/>
          <w:spacing w:val="-2"/>
          <w:sz w:val="24"/>
        </w:rPr>
        <w:t>admissions.</w:t>
      </w:r>
    </w:p>
    <w:p w14:paraId="546DE163" w14:textId="77777777" w:rsidR="00345EE3" w:rsidRDefault="00345EE3">
      <w:pPr>
        <w:pStyle w:val="ListParagraph"/>
        <w:numPr>
          <w:ilvl w:val="0"/>
          <w:numId w:val="76"/>
        </w:numPr>
        <w:tabs>
          <w:tab w:val="left" w:pos="393"/>
          <w:tab w:val="left" w:pos="394"/>
        </w:tabs>
        <w:spacing w:before="33"/>
        <w:rPr>
          <w:sz w:val="24"/>
        </w:rPr>
      </w:pPr>
      <w:r>
        <w:rPr>
          <w:color w:val="231F20"/>
          <w:sz w:val="24"/>
        </w:rPr>
        <w:t>Managed</w:t>
      </w:r>
      <w:r>
        <w:rPr>
          <w:color w:val="231F20"/>
          <w:spacing w:val="-11"/>
          <w:sz w:val="24"/>
        </w:rPr>
        <w:t xml:space="preserve"> </w:t>
      </w:r>
      <w:r>
        <w:rPr>
          <w:color w:val="231F20"/>
          <w:sz w:val="24"/>
        </w:rPr>
        <w:t>11</w:t>
      </w:r>
      <w:r>
        <w:rPr>
          <w:color w:val="231F20"/>
          <w:spacing w:val="-10"/>
          <w:sz w:val="24"/>
        </w:rPr>
        <w:t xml:space="preserve"> </w:t>
      </w:r>
      <w:r>
        <w:rPr>
          <w:color w:val="231F20"/>
          <w:sz w:val="24"/>
        </w:rPr>
        <w:t>court</w:t>
      </w:r>
      <w:r>
        <w:rPr>
          <w:color w:val="231F20"/>
          <w:spacing w:val="-9"/>
          <w:sz w:val="24"/>
        </w:rPr>
        <w:t xml:space="preserve"> </w:t>
      </w:r>
      <w:r>
        <w:rPr>
          <w:color w:val="231F20"/>
          <w:spacing w:val="-2"/>
          <w:sz w:val="24"/>
        </w:rPr>
        <w:t>movements.</w:t>
      </w:r>
    </w:p>
    <w:p w14:paraId="166C6EFB" w14:textId="77777777" w:rsidR="00345EE3" w:rsidRDefault="00345EE3">
      <w:pPr>
        <w:pStyle w:val="ListParagraph"/>
        <w:numPr>
          <w:ilvl w:val="0"/>
          <w:numId w:val="76"/>
        </w:numPr>
        <w:tabs>
          <w:tab w:val="left" w:pos="393"/>
          <w:tab w:val="left" w:pos="394"/>
        </w:tabs>
        <w:rPr>
          <w:sz w:val="24"/>
        </w:rPr>
      </w:pPr>
      <w:r>
        <w:rPr>
          <w:color w:val="231F20"/>
          <w:sz w:val="24"/>
        </w:rPr>
        <w:t>Facilitated</w:t>
      </w:r>
      <w:r>
        <w:rPr>
          <w:color w:val="231F20"/>
          <w:spacing w:val="-12"/>
          <w:sz w:val="24"/>
        </w:rPr>
        <w:t xml:space="preserve"> </w:t>
      </w:r>
      <w:r>
        <w:rPr>
          <w:color w:val="231F20"/>
          <w:sz w:val="24"/>
        </w:rPr>
        <w:t>13</w:t>
      </w:r>
      <w:r>
        <w:rPr>
          <w:color w:val="231F20"/>
          <w:spacing w:val="-12"/>
          <w:sz w:val="24"/>
        </w:rPr>
        <w:t xml:space="preserve"> </w:t>
      </w:r>
      <w:r>
        <w:rPr>
          <w:color w:val="231F20"/>
          <w:sz w:val="24"/>
        </w:rPr>
        <w:t>legal</w:t>
      </w:r>
      <w:r>
        <w:rPr>
          <w:color w:val="231F20"/>
          <w:spacing w:val="-11"/>
          <w:sz w:val="24"/>
        </w:rPr>
        <w:t xml:space="preserve"> </w:t>
      </w:r>
      <w:r>
        <w:rPr>
          <w:color w:val="231F20"/>
          <w:sz w:val="24"/>
        </w:rPr>
        <w:t>visits</w:t>
      </w:r>
      <w:r>
        <w:rPr>
          <w:color w:val="231F20"/>
          <w:spacing w:val="-11"/>
          <w:sz w:val="24"/>
        </w:rPr>
        <w:t xml:space="preserve"> </w:t>
      </w:r>
      <w:r>
        <w:rPr>
          <w:color w:val="231F20"/>
          <w:sz w:val="24"/>
        </w:rPr>
        <w:t>to</w:t>
      </w:r>
      <w:r>
        <w:rPr>
          <w:color w:val="231F20"/>
          <w:spacing w:val="-12"/>
          <w:sz w:val="24"/>
        </w:rPr>
        <w:t xml:space="preserve"> </w:t>
      </w:r>
      <w:r>
        <w:rPr>
          <w:color w:val="231F20"/>
          <w:sz w:val="24"/>
        </w:rPr>
        <w:t>prisoner</w:t>
      </w:r>
      <w:r>
        <w:rPr>
          <w:color w:val="231F20"/>
          <w:spacing w:val="-10"/>
          <w:sz w:val="24"/>
        </w:rPr>
        <w:t xml:space="preserve"> </w:t>
      </w:r>
      <w:r>
        <w:rPr>
          <w:color w:val="231F20"/>
          <w:spacing w:val="-2"/>
          <w:sz w:val="24"/>
        </w:rPr>
        <w:t>clients.</w:t>
      </w:r>
    </w:p>
    <w:p w14:paraId="58EA48C2" w14:textId="77777777" w:rsidR="00345EE3" w:rsidRDefault="00345EE3" w:rsidP="00345EE3">
      <w:pPr>
        <w:spacing w:before="213"/>
        <w:ind w:left="110"/>
        <w:rPr>
          <w:b/>
          <w:sz w:val="28"/>
        </w:rPr>
      </w:pPr>
      <w:r>
        <w:rPr>
          <w:rFonts w:ascii="Arial-BoldItalicMT"/>
          <w:b/>
          <w:i/>
          <w:color w:val="3D68AD"/>
          <w:spacing w:val="-2"/>
          <w:sz w:val="28"/>
        </w:rPr>
        <w:t>Firearms</w:t>
      </w:r>
      <w:r>
        <w:rPr>
          <w:rFonts w:ascii="Arial-BoldItalicMT"/>
          <w:b/>
          <w:i/>
          <w:color w:val="3D68AD"/>
          <w:spacing w:val="-14"/>
          <w:sz w:val="28"/>
        </w:rPr>
        <w:t xml:space="preserve"> </w:t>
      </w:r>
      <w:r>
        <w:rPr>
          <w:rFonts w:ascii="Arial-BoldItalicMT"/>
          <w:b/>
          <w:i/>
          <w:color w:val="3D68AD"/>
          <w:spacing w:val="-2"/>
          <w:sz w:val="28"/>
        </w:rPr>
        <w:t>Act</w:t>
      </w:r>
      <w:r>
        <w:rPr>
          <w:rFonts w:ascii="Arial-BoldItalicMT"/>
          <w:b/>
          <w:i/>
          <w:color w:val="3D68AD"/>
          <w:spacing w:val="-12"/>
          <w:sz w:val="28"/>
        </w:rPr>
        <w:t xml:space="preserve"> </w:t>
      </w:r>
      <w:r>
        <w:rPr>
          <w:b/>
          <w:color w:val="3D68AD"/>
          <w:spacing w:val="-4"/>
          <w:sz w:val="28"/>
        </w:rPr>
        <w:t>1996</w:t>
      </w:r>
    </w:p>
    <w:p w14:paraId="2EF60F72" w14:textId="77777777" w:rsidR="00345EE3" w:rsidRDefault="00345EE3" w:rsidP="00345EE3">
      <w:pPr>
        <w:pStyle w:val="Heading5"/>
        <w:spacing w:before="109"/>
      </w:pPr>
      <w:r>
        <w:rPr>
          <w:color w:val="58595B"/>
        </w:rPr>
        <w:t xml:space="preserve">Section </w:t>
      </w:r>
      <w:r>
        <w:rPr>
          <w:color w:val="58595B"/>
          <w:spacing w:val="-4"/>
        </w:rPr>
        <w:t>153C</w:t>
      </w:r>
    </w:p>
    <w:p w14:paraId="30BB6181" w14:textId="77777777" w:rsidR="00345EE3" w:rsidRDefault="00345EE3" w:rsidP="00404045">
      <w:pPr>
        <w:pStyle w:val="BodyText"/>
        <w:spacing w:before="4" w:line="242" w:lineRule="auto"/>
        <w:ind w:left="142" w:right="921"/>
      </w:pPr>
      <w:r>
        <w:rPr>
          <w:color w:val="231F20"/>
        </w:rPr>
        <w:t>Section</w:t>
      </w:r>
      <w:r>
        <w:rPr>
          <w:color w:val="231F20"/>
          <w:spacing w:val="-2"/>
        </w:rPr>
        <w:t xml:space="preserve"> </w:t>
      </w:r>
      <w:r>
        <w:rPr>
          <w:color w:val="231F20"/>
        </w:rPr>
        <w:t>153C</w:t>
      </w:r>
      <w:r>
        <w:rPr>
          <w:color w:val="231F20"/>
          <w:spacing w:val="-2"/>
        </w:rPr>
        <w:t xml:space="preserve"> </w:t>
      </w:r>
      <w:r>
        <w:rPr>
          <w:color w:val="231F20"/>
        </w:rPr>
        <w:t>of</w:t>
      </w:r>
      <w:r>
        <w:rPr>
          <w:color w:val="231F20"/>
          <w:spacing w:val="-1"/>
        </w:rPr>
        <w:t xml:space="preserve"> </w:t>
      </w:r>
      <w:r>
        <w:rPr>
          <w:color w:val="231F20"/>
        </w:rPr>
        <w:t>the</w:t>
      </w:r>
      <w:r>
        <w:rPr>
          <w:color w:val="231F20"/>
          <w:spacing w:val="-2"/>
        </w:rPr>
        <w:t xml:space="preserve"> </w:t>
      </w:r>
      <w:r>
        <w:rPr>
          <w:i/>
          <w:color w:val="231F20"/>
        </w:rPr>
        <w:t>Firearms</w:t>
      </w:r>
      <w:r>
        <w:rPr>
          <w:i/>
          <w:color w:val="231F20"/>
          <w:spacing w:val="-10"/>
        </w:rPr>
        <w:t xml:space="preserve"> </w:t>
      </w:r>
      <w:r>
        <w:rPr>
          <w:i/>
          <w:color w:val="231F20"/>
        </w:rPr>
        <w:t>Act</w:t>
      </w:r>
      <w:r>
        <w:rPr>
          <w:i/>
          <w:color w:val="231F20"/>
          <w:spacing w:val="-10"/>
        </w:rPr>
        <w:t xml:space="preserve"> </w:t>
      </w:r>
      <w:r>
        <w:rPr>
          <w:color w:val="231F20"/>
        </w:rPr>
        <w:t>1996</w:t>
      </w:r>
      <w:r>
        <w:rPr>
          <w:color w:val="231F20"/>
          <w:spacing w:val="-2"/>
        </w:rPr>
        <w:t xml:space="preserve"> </w:t>
      </w:r>
      <w:r>
        <w:rPr>
          <w:color w:val="231F20"/>
        </w:rPr>
        <w:t>states</w:t>
      </w:r>
      <w:r>
        <w:rPr>
          <w:color w:val="231F20"/>
          <w:spacing w:val="-1"/>
        </w:rPr>
        <w:t xml:space="preserve"> </w:t>
      </w:r>
      <w:r>
        <w:rPr>
          <w:color w:val="231F20"/>
        </w:rPr>
        <w:t>that</w:t>
      </w:r>
      <w:r>
        <w:rPr>
          <w:color w:val="231F20"/>
          <w:spacing w:val="-1"/>
        </w:rPr>
        <w:t xml:space="preserve"> </w:t>
      </w:r>
      <w:r>
        <w:rPr>
          <w:color w:val="231F20"/>
        </w:rPr>
        <w:t>the</w:t>
      </w:r>
      <w:r>
        <w:rPr>
          <w:color w:val="231F20"/>
          <w:spacing w:val="-2"/>
        </w:rPr>
        <w:t xml:space="preserve"> </w:t>
      </w:r>
      <w:r>
        <w:rPr>
          <w:color w:val="231F20"/>
        </w:rPr>
        <w:t>Chief</w:t>
      </w:r>
      <w:r>
        <w:rPr>
          <w:color w:val="231F20"/>
          <w:spacing w:val="-1"/>
        </w:rPr>
        <w:t xml:space="preserve"> </w:t>
      </w:r>
      <w:r>
        <w:rPr>
          <w:color w:val="231F20"/>
        </w:rPr>
        <w:t>Commissioner</w:t>
      </w:r>
      <w:r>
        <w:rPr>
          <w:color w:val="231F20"/>
          <w:spacing w:val="-1"/>
        </w:rPr>
        <w:t xml:space="preserve"> </w:t>
      </w:r>
      <w:r>
        <w:rPr>
          <w:color w:val="231F20"/>
        </w:rPr>
        <w:t>of</w:t>
      </w:r>
      <w:r>
        <w:rPr>
          <w:color w:val="231F20"/>
          <w:spacing w:val="-1"/>
        </w:rPr>
        <w:t xml:space="preserve"> </w:t>
      </w:r>
      <w:r>
        <w:rPr>
          <w:color w:val="231F20"/>
        </w:rPr>
        <w:t>Police</w:t>
      </w:r>
      <w:r>
        <w:rPr>
          <w:color w:val="231F20"/>
          <w:spacing w:val="-2"/>
        </w:rPr>
        <w:t xml:space="preserve"> </w:t>
      </w:r>
      <w:r>
        <w:rPr>
          <w:color w:val="231F20"/>
        </w:rPr>
        <w:t>must provide</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Minister,</w:t>
      </w:r>
      <w:r>
        <w:rPr>
          <w:color w:val="231F20"/>
          <w:spacing w:val="-7"/>
        </w:rPr>
        <w:t xml:space="preserve"> </w:t>
      </w:r>
      <w:r>
        <w:rPr>
          <w:color w:val="231F20"/>
        </w:rPr>
        <w:t>for</w:t>
      </w:r>
      <w:r>
        <w:rPr>
          <w:color w:val="231F20"/>
          <w:spacing w:val="-7"/>
        </w:rPr>
        <w:t xml:space="preserve"> </w:t>
      </w:r>
      <w:r>
        <w:rPr>
          <w:color w:val="231F20"/>
        </w:rPr>
        <w:t>inclusion</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Annual</w:t>
      </w:r>
      <w:r>
        <w:rPr>
          <w:color w:val="231F20"/>
          <w:spacing w:val="-8"/>
        </w:rPr>
        <w:t xml:space="preserve"> </w:t>
      </w:r>
      <w:r>
        <w:rPr>
          <w:color w:val="231F20"/>
        </w:rPr>
        <w:t>Report</w:t>
      </w:r>
      <w:r>
        <w:rPr>
          <w:color w:val="231F20"/>
          <w:spacing w:val="-7"/>
        </w:rPr>
        <w:t xml:space="preserve"> </w:t>
      </w:r>
      <w:r>
        <w:rPr>
          <w:color w:val="231F20"/>
        </w:rPr>
        <w:t>of</w:t>
      </w:r>
      <w:r>
        <w:rPr>
          <w:color w:val="231F20"/>
          <w:spacing w:val="-7"/>
        </w:rPr>
        <w:t xml:space="preserve"> </w:t>
      </w:r>
      <w:r>
        <w:rPr>
          <w:color w:val="231F20"/>
        </w:rPr>
        <w:t>Operations</w:t>
      </w:r>
      <w:r>
        <w:rPr>
          <w:color w:val="231F20"/>
          <w:spacing w:val="-7"/>
        </w:rPr>
        <w:t xml:space="preserve"> </w:t>
      </w:r>
      <w:r>
        <w:rPr>
          <w:color w:val="231F20"/>
        </w:rPr>
        <w:t>under</w:t>
      </w:r>
      <w:r>
        <w:rPr>
          <w:color w:val="231F20"/>
          <w:spacing w:val="-7"/>
        </w:rPr>
        <w:t xml:space="preserve"> </w:t>
      </w:r>
      <w:r>
        <w:rPr>
          <w:color w:val="231F20"/>
        </w:rPr>
        <w:t>Part</w:t>
      </w:r>
      <w:r>
        <w:rPr>
          <w:color w:val="231F20"/>
          <w:spacing w:val="-7"/>
        </w:rPr>
        <w:t xml:space="preserve"> </w:t>
      </w:r>
      <w:r>
        <w:rPr>
          <w:color w:val="231F20"/>
        </w:rPr>
        <w:t>7</w:t>
      </w:r>
      <w:r>
        <w:rPr>
          <w:color w:val="231F20"/>
          <w:spacing w:val="-8"/>
        </w:rPr>
        <w:t xml:space="preserve"> </w:t>
      </w:r>
      <w:r>
        <w:rPr>
          <w:color w:val="231F20"/>
        </w:rPr>
        <w:t>of</w:t>
      </w:r>
      <w:r>
        <w:rPr>
          <w:color w:val="231F20"/>
          <w:spacing w:val="-7"/>
        </w:rPr>
        <w:t xml:space="preserve"> </w:t>
      </w:r>
      <w:r>
        <w:rPr>
          <w:color w:val="231F20"/>
        </w:rPr>
        <w:t xml:space="preserve">the </w:t>
      </w:r>
      <w:r>
        <w:rPr>
          <w:i/>
          <w:color w:val="231F20"/>
        </w:rPr>
        <w:t>Financial</w:t>
      </w:r>
      <w:r>
        <w:rPr>
          <w:i/>
          <w:color w:val="231F20"/>
          <w:spacing w:val="-7"/>
        </w:rPr>
        <w:t xml:space="preserve"> </w:t>
      </w:r>
      <w:r>
        <w:rPr>
          <w:i/>
          <w:color w:val="231F20"/>
        </w:rPr>
        <w:t>Management</w:t>
      </w:r>
      <w:r>
        <w:rPr>
          <w:i/>
          <w:color w:val="231F20"/>
          <w:spacing w:val="-7"/>
        </w:rPr>
        <w:t xml:space="preserve"> </w:t>
      </w:r>
      <w:r>
        <w:rPr>
          <w:i/>
          <w:color w:val="231F20"/>
        </w:rPr>
        <w:t>Act</w:t>
      </w:r>
      <w:r>
        <w:rPr>
          <w:i/>
          <w:color w:val="231F20"/>
          <w:spacing w:val="-3"/>
        </w:rPr>
        <w:t xml:space="preserve"> </w:t>
      </w:r>
      <w:r>
        <w:rPr>
          <w:color w:val="231F20"/>
        </w:rPr>
        <w:t>1994, a report containing:</w:t>
      </w:r>
    </w:p>
    <w:p w14:paraId="1F986A95" w14:textId="77777777" w:rsidR="00345EE3" w:rsidRDefault="00345EE3">
      <w:pPr>
        <w:pStyle w:val="ListParagraph"/>
        <w:numPr>
          <w:ilvl w:val="0"/>
          <w:numId w:val="75"/>
        </w:numPr>
        <w:tabs>
          <w:tab w:val="left" w:pos="398"/>
        </w:tabs>
        <w:spacing w:before="33"/>
        <w:rPr>
          <w:sz w:val="24"/>
        </w:rPr>
      </w:pPr>
      <w:r>
        <w:rPr>
          <w:color w:val="231F20"/>
          <w:spacing w:val="-4"/>
          <w:sz w:val="24"/>
        </w:rPr>
        <w:t>Number of searches</w:t>
      </w:r>
      <w:r>
        <w:rPr>
          <w:color w:val="231F20"/>
          <w:spacing w:val="-3"/>
          <w:sz w:val="24"/>
        </w:rPr>
        <w:t xml:space="preserve"> </w:t>
      </w:r>
      <w:r>
        <w:rPr>
          <w:color w:val="231F20"/>
          <w:spacing w:val="-4"/>
          <w:sz w:val="24"/>
        </w:rPr>
        <w:t>without warrant under</w:t>
      </w:r>
      <w:r>
        <w:rPr>
          <w:color w:val="231F20"/>
          <w:spacing w:val="-3"/>
          <w:sz w:val="24"/>
        </w:rPr>
        <w:t xml:space="preserve"> </w:t>
      </w:r>
      <w:r>
        <w:rPr>
          <w:color w:val="231F20"/>
          <w:spacing w:val="-4"/>
          <w:sz w:val="24"/>
        </w:rPr>
        <w:t>section 149 conducted</w:t>
      </w:r>
      <w:r>
        <w:rPr>
          <w:color w:val="231F20"/>
          <w:spacing w:val="-3"/>
          <w:sz w:val="24"/>
        </w:rPr>
        <w:t xml:space="preserve"> </w:t>
      </w:r>
      <w:r>
        <w:rPr>
          <w:color w:val="231F20"/>
          <w:spacing w:val="-4"/>
          <w:sz w:val="24"/>
        </w:rPr>
        <w:t>during that financial</w:t>
      </w:r>
      <w:r>
        <w:rPr>
          <w:color w:val="231F20"/>
          <w:spacing w:val="-3"/>
          <w:sz w:val="24"/>
        </w:rPr>
        <w:t xml:space="preserve"> </w:t>
      </w:r>
      <w:r>
        <w:rPr>
          <w:color w:val="231F20"/>
          <w:spacing w:val="-4"/>
          <w:sz w:val="24"/>
        </w:rPr>
        <w:t>year.</w:t>
      </w:r>
    </w:p>
    <w:p w14:paraId="353D8C01" w14:textId="77777777" w:rsidR="00345EE3" w:rsidRDefault="00345EE3">
      <w:pPr>
        <w:pStyle w:val="ListParagraph"/>
        <w:numPr>
          <w:ilvl w:val="0"/>
          <w:numId w:val="75"/>
        </w:numPr>
        <w:tabs>
          <w:tab w:val="left" w:pos="398"/>
        </w:tabs>
        <w:spacing w:line="242" w:lineRule="auto"/>
        <w:ind w:left="393" w:right="914" w:hanging="284"/>
        <w:rPr>
          <w:sz w:val="24"/>
        </w:rPr>
      </w:pPr>
      <w:r>
        <w:rPr>
          <w:color w:val="231F20"/>
          <w:spacing w:val="-2"/>
          <w:sz w:val="24"/>
        </w:rPr>
        <w:t>Number</w:t>
      </w:r>
      <w:r>
        <w:rPr>
          <w:color w:val="231F20"/>
          <w:spacing w:val="-15"/>
          <w:sz w:val="24"/>
        </w:rPr>
        <w:t xml:space="preserve"> </w:t>
      </w:r>
      <w:r>
        <w:rPr>
          <w:color w:val="231F20"/>
          <w:spacing w:val="-2"/>
          <w:sz w:val="24"/>
        </w:rPr>
        <w:t>and</w:t>
      </w:r>
      <w:r>
        <w:rPr>
          <w:color w:val="231F20"/>
          <w:spacing w:val="-15"/>
          <w:sz w:val="24"/>
        </w:rPr>
        <w:t xml:space="preserve"> </w:t>
      </w:r>
      <w:r>
        <w:rPr>
          <w:color w:val="231F20"/>
          <w:spacing w:val="-2"/>
          <w:sz w:val="24"/>
        </w:rPr>
        <w:t>type</w:t>
      </w:r>
      <w:r>
        <w:rPr>
          <w:color w:val="231F20"/>
          <w:spacing w:val="-14"/>
          <w:sz w:val="24"/>
        </w:rPr>
        <w:t xml:space="preserve"> </w:t>
      </w:r>
      <w:r>
        <w:rPr>
          <w:color w:val="231F20"/>
          <w:spacing w:val="-2"/>
          <w:sz w:val="24"/>
        </w:rPr>
        <w:t>of</w:t>
      </w:r>
      <w:r>
        <w:rPr>
          <w:color w:val="231F20"/>
          <w:spacing w:val="-15"/>
          <w:sz w:val="24"/>
        </w:rPr>
        <w:t xml:space="preserve"> </w:t>
      </w:r>
      <w:r>
        <w:rPr>
          <w:color w:val="231F20"/>
          <w:spacing w:val="-2"/>
          <w:sz w:val="24"/>
        </w:rPr>
        <w:t>firearms,</w:t>
      </w:r>
      <w:r>
        <w:rPr>
          <w:color w:val="231F20"/>
          <w:spacing w:val="-15"/>
          <w:sz w:val="24"/>
        </w:rPr>
        <w:t xml:space="preserve"> </w:t>
      </w:r>
      <w:r>
        <w:rPr>
          <w:color w:val="231F20"/>
          <w:spacing w:val="-2"/>
          <w:sz w:val="24"/>
        </w:rPr>
        <w:t>cartridge</w:t>
      </w:r>
      <w:r>
        <w:rPr>
          <w:color w:val="231F20"/>
          <w:spacing w:val="-15"/>
          <w:sz w:val="24"/>
        </w:rPr>
        <w:t xml:space="preserve"> </w:t>
      </w:r>
      <w:r>
        <w:rPr>
          <w:color w:val="231F20"/>
          <w:spacing w:val="-2"/>
          <w:sz w:val="24"/>
        </w:rPr>
        <w:t>ammunition,</w:t>
      </w:r>
      <w:r>
        <w:rPr>
          <w:color w:val="231F20"/>
          <w:spacing w:val="-14"/>
          <w:sz w:val="24"/>
        </w:rPr>
        <w:t xml:space="preserve"> </w:t>
      </w:r>
      <w:r>
        <w:rPr>
          <w:color w:val="231F20"/>
          <w:spacing w:val="-2"/>
          <w:sz w:val="24"/>
        </w:rPr>
        <w:t>silencers</w:t>
      </w:r>
      <w:r>
        <w:rPr>
          <w:color w:val="231F20"/>
          <w:spacing w:val="-15"/>
          <w:sz w:val="24"/>
        </w:rPr>
        <w:t xml:space="preserve"> </w:t>
      </w:r>
      <w:r>
        <w:rPr>
          <w:color w:val="231F20"/>
          <w:spacing w:val="-2"/>
          <w:sz w:val="24"/>
        </w:rPr>
        <w:t>and</w:t>
      </w:r>
      <w:r>
        <w:rPr>
          <w:color w:val="231F20"/>
          <w:spacing w:val="-15"/>
          <w:sz w:val="24"/>
        </w:rPr>
        <w:t xml:space="preserve"> </w:t>
      </w:r>
      <w:r>
        <w:rPr>
          <w:color w:val="231F20"/>
          <w:spacing w:val="-2"/>
          <w:sz w:val="24"/>
        </w:rPr>
        <w:t>prescribed</w:t>
      </w:r>
      <w:r>
        <w:rPr>
          <w:color w:val="231F20"/>
          <w:spacing w:val="-14"/>
          <w:sz w:val="24"/>
        </w:rPr>
        <w:t xml:space="preserve"> </w:t>
      </w:r>
      <w:r>
        <w:rPr>
          <w:color w:val="231F20"/>
          <w:spacing w:val="-2"/>
          <w:sz w:val="24"/>
        </w:rPr>
        <w:t>items</w:t>
      </w:r>
      <w:r>
        <w:rPr>
          <w:color w:val="231F20"/>
          <w:spacing w:val="-15"/>
          <w:sz w:val="24"/>
        </w:rPr>
        <w:t xml:space="preserve"> </w:t>
      </w:r>
      <w:r>
        <w:rPr>
          <w:color w:val="231F20"/>
          <w:spacing w:val="-2"/>
          <w:sz w:val="24"/>
        </w:rPr>
        <w:t>found</w:t>
      </w:r>
      <w:r>
        <w:rPr>
          <w:color w:val="231F20"/>
          <w:spacing w:val="-15"/>
          <w:sz w:val="24"/>
        </w:rPr>
        <w:t xml:space="preserve"> </w:t>
      </w:r>
      <w:r>
        <w:rPr>
          <w:color w:val="231F20"/>
          <w:spacing w:val="-2"/>
          <w:sz w:val="24"/>
        </w:rPr>
        <w:t xml:space="preserve">during </w:t>
      </w:r>
      <w:r>
        <w:rPr>
          <w:color w:val="231F20"/>
          <w:sz w:val="24"/>
        </w:rPr>
        <w:t>the course of those searches.</w:t>
      </w:r>
    </w:p>
    <w:p w14:paraId="1530CCD8" w14:textId="77777777" w:rsidR="00345EE3" w:rsidRDefault="00345EE3">
      <w:pPr>
        <w:pStyle w:val="ListParagraph"/>
        <w:numPr>
          <w:ilvl w:val="0"/>
          <w:numId w:val="75"/>
        </w:numPr>
        <w:tabs>
          <w:tab w:val="left" w:pos="394"/>
        </w:tabs>
        <w:spacing w:before="31"/>
        <w:ind w:left="393" w:hanging="284"/>
        <w:rPr>
          <w:sz w:val="24"/>
        </w:rPr>
      </w:pPr>
      <w:r>
        <w:rPr>
          <w:color w:val="231F20"/>
          <w:spacing w:val="-4"/>
          <w:sz w:val="24"/>
        </w:rPr>
        <w:t>Any other information requested by the Minister.</w:t>
      </w:r>
    </w:p>
    <w:p w14:paraId="0C2F4314" w14:textId="77777777" w:rsidR="00345EE3" w:rsidRDefault="00345EE3" w:rsidP="00345EE3">
      <w:pPr>
        <w:rPr>
          <w:color w:val="231F20"/>
          <w:sz w:val="18"/>
        </w:rPr>
      </w:pPr>
      <w:r>
        <w:rPr>
          <w:color w:val="231F20"/>
          <w:sz w:val="18"/>
        </w:rPr>
        <w:br w:type="page"/>
      </w:r>
    </w:p>
    <w:p w14:paraId="0C2D0A1F" w14:textId="77777777" w:rsidR="00345EE3" w:rsidRDefault="00345EE3" w:rsidP="00345EE3">
      <w:pPr>
        <w:spacing w:before="75"/>
        <w:ind w:left="110"/>
        <w:rPr>
          <w:rFonts w:ascii="Arial-BoldItalicMT" w:hAnsi="Arial-BoldItalicMT"/>
          <w:b/>
          <w:i/>
          <w:sz w:val="18"/>
        </w:rPr>
      </w:pPr>
      <w:r>
        <w:rPr>
          <w:color w:val="231F20"/>
          <w:sz w:val="18"/>
        </w:rPr>
        <w:t>Table</w:t>
      </w:r>
      <w:r>
        <w:rPr>
          <w:color w:val="231F20"/>
          <w:spacing w:val="-8"/>
          <w:sz w:val="18"/>
        </w:rPr>
        <w:t xml:space="preserve"> </w:t>
      </w:r>
      <w:r>
        <w:rPr>
          <w:color w:val="231F20"/>
          <w:sz w:val="18"/>
        </w:rPr>
        <w:t>5.14:</w:t>
      </w:r>
      <w:r>
        <w:rPr>
          <w:color w:val="231F20"/>
          <w:spacing w:val="-5"/>
          <w:sz w:val="18"/>
        </w:rPr>
        <w:t xml:space="preserve"> </w:t>
      </w:r>
      <w:r>
        <w:rPr>
          <w:rFonts w:ascii="Arial-BoldItalicMT" w:hAnsi="Arial-BoldItalicMT"/>
          <w:b/>
          <w:i/>
          <w:color w:val="231F20"/>
          <w:sz w:val="18"/>
        </w:rPr>
        <w:t>Number</w:t>
      </w:r>
      <w:r>
        <w:rPr>
          <w:rFonts w:ascii="Arial-BoldItalicMT" w:hAnsi="Arial-BoldItalicMT"/>
          <w:b/>
          <w:i/>
          <w:color w:val="231F20"/>
          <w:spacing w:val="-8"/>
          <w:sz w:val="18"/>
        </w:rPr>
        <w:t xml:space="preserve"> </w:t>
      </w:r>
      <w:r>
        <w:rPr>
          <w:rFonts w:ascii="Arial-BoldItalicMT" w:hAnsi="Arial-BoldItalicMT"/>
          <w:b/>
          <w:i/>
          <w:color w:val="231F20"/>
          <w:sz w:val="18"/>
        </w:rPr>
        <w:t>of</w:t>
      </w:r>
      <w:r>
        <w:rPr>
          <w:rFonts w:ascii="Arial-BoldItalicMT" w:hAnsi="Arial-BoldItalicMT"/>
          <w:b/>
          <w:i/>
          <w:color w:val="231F20"/>
          <w:spacing w:val="-9"/>
          <w:sz w:val="18"/>
        </w:rPr>
        <w:t xml:space="preserve"> </w:t>
      </w:r>
      <w:r>
        <w:rPr>
          <w:rFonts w:ascii="Arial-BoldItalicMT" w:hAnsi="Arial-BoldItalicMT"/>
          <w:b/>
          <w:i/>
          <w:color w:val="231F20"/>
          <w:sz w:val="18"/>
        </w:rPr>
        <w:t>searches</w:t>
      </w:r>
      <w:r>
        <w:rPr>
          <w:rFonts w:ascii="Arial-BoldItalicMT" w:hAnsi="Arial-BoldItalicMT"/>
          <w:b/>
          <w:i/>
          <w:color w:val="231F20"/>
          <w:spacing w:val="-8"/>
          <w:sz w:val="18"/>
        </w:rPr>
        <w:t xml:space="preserve"> </w:t>
      </w:r>
      <w:r>
        <w:rPr>
          <w:rFonts w:ascii="Arial-BoldItalicMT" w:hAnsi="Arial-BoldItalicMT"/>
          <w:b/>
          <w:i/>
          <w:color w:val="231F20"/>
          <w:sz w:val="18"/>
        </w:rPr>
        <w:t>without</w:t>
      </w:r>
      <w:r>
        <w:rPr>
          <w:rFonts w:ascii="Arial-BoldItalicMT" w:hAnsi="Arial-BoldItalicMT"/>
          <w:b/>
          <w:i/>
          <w:color w:val="231F20"/>
          <w:spacing w:val="-8"/>
          <w:sz w:val="18"/>
        </w:rPr>
        <w:t xml:space="preserve"> </w:t>
      </w:r>
      <w:r>
        <w:rPr>
          <w:rFonts w:ascii="Arial-BoldItalicMT" w:hAnsi="Arial-BoldItalicMT"/>
          <w:b/>
          <w:i/>
          <w:color w:val="231F20"/>
          <w:sz w:val="18"/>
        </w:rPr>
        <w:t>warrant</w:t>
      </w:r>
      <w:r>
        <w:rPr>
          <w:rFonts w:ascii="Arial-BoldItalicMT" w:hAnsi="Arial-BoldItalicMT"/>
          <w:b/>
          <w:i/>
          <w:color w:val="231F20"/>
          <w:spacing w:val="-8"/>
          <w:sz w:val="18"/>
        </w:rPr>
        <w:t xml:space="preserve"> </w:t>
      </w:r>
      <w:r>
        <w:rPr>
          <w:rFonts w:ascii="Arial-BoldItalicMT" w:hAnsi="Arial-BoldItalicMT"/>
          <w:b/>
          <w:i/>
          <w:color w:val="231F20"/>
          <w:sz w:val="18"/>
        </w:rPr>
        <w:t>under</w:t>
      </w:r>
      <w:r>
        <w:rPr>
          <w:rFonts w:ascii="Arial-BoldItalicMT" w:hAnsi="Arial-BoldItalicMT"/>
          <w:b/>
          <w:i/>
          <w:color w:val="231F20"/>
          <w:spacing w:val="-8"/>
          <w:sz w:val="18"/>
        </w:rPr>
        <w:t xml:space="preserve"> </w:t>
      </w:r>
      <w:r>
        <w:rPr>
          <w:rFonts w:ascii="Arial-BoldItalicMT" w:hAnsi="Arial-BoldItalicMT"/>
          <w:b/>
          <w:i/>
          <w:color w:val="231F20"/>
          <w:sz w:val="18"/>
        </w:rPr>
        <w:t>section</w:t>
      </w:r>
      <w:r>
        <w:rPr>
          <w:rFonts w:ascii="Arial-BoldItalicMT" w:hAnsi="Arial-BoldItalicMT"/>
          <w:b/>
          <w:i/>
          <w:color w:val="231F20"/>
          <w:spacing w:val="-8"/>
          <w:sz w:val="18"/>
        </w:rPr>
        <w:t xml:space="preserve"> </w:t>
      </w:r>
      <w:r>
        <w:rPr>
          <w:rFonts w:ascii="Arial-BoldItalicMT" w:hAnsi="Arial-BoldItalicMT"/>
          <w:b/>
          <w:i/>
          <w:color w:val="231F20"/>
          <w:sz w:val="18"/>
        </w:rPr>
        <w:t>149</w:t>
      </w:r>
      <w:r>
        <w:rPr>
          <w:rFonts w:ascii="Arial-BoldItalicMT" w:hAnsi="Arial-BoldItalicMT"/>
          <w:b/>
          <w:i/>
          <w:color w:val="231F20"/>
          <w:spacing w:val="-8"/>
          <w:sz w:val="18"/>
        </w:rPr>
        <w:t xml:space="preserve"> </w:t>
      </w:r>
      <w:r>
        <w:rPr>
          <w:rFonts w:ascii="Arial-BoldItalicMT" w:hAnsi="Arial-BoldItalicMT"/>
          <w:b/>
          <w:i/>
          <w:color w:val="231F20"/>
          <w:sz w:val="18"/>
        </w:rPr>
        <w:t>conducted</w:t>
      </w:r>
      <w:r>
        <w:rPr>
          <w:rFonts w:ascii="Arial-BoldItalicMT" w:hAnsi="Arial-BoldItalicMT"/>
          <w:b/>
          <w:i/>
          <w:color w:val="231F20"/>
          <w:spacing w:val="-8"/>
          <w:sz w:val="18"/>
        </w:rPr>
        <w:t xml:space="preserve"> </w:t>
      </w:r>
      <w:r>
        <w:rPr>
          <w:rFonts w:ascii="Arial-BoldItalicMT" w:hAnsi="Arial-BoldItalicMT"/>
          <w:b/>
          <w:i/>
          <w:color w:val="231F20"/>
          <w:sz w:val="18"/>
        </w:rPr>
        <w:t>in</w:t>
      </w:r>
      <w:r>
        <w:rPr>
          <w:rFonts w:ascii="Arial-BoldItalicMT" w:hAnsi="Arial-BoldItalicMT"/>
          <w:b/>
          <w:i/>
          <w:color w:val="231F20"/>
          <w:spacing w:val="-8"/>
          <w:sz w:val="18"/>
        </w:rPr>
        <w:t xml:space="preserve"> </w:t>
      </w:r>
      <w:r>
        <w:rPr>
          <w:rFonts w:ascii="Arial-BoldItalicMT" w:hAnsi="Arial-BoldItalicMT"/>
          <w:b/>
          <w:i/>
          <w:color w:val="231F20"/>
          <w:spacing w:val="-2"/>
          <w:sz w:val="18"/>
        </w:rPr>
        <w:t>2021–22</w:t>
      </w:r>
    </w:p>
    <w:p w14:paraId="36E9EF0D" w14:textId="77777777" w:rsidR="00345EE3" w:rsidRDefault="00345EE3" w:rsidP="00345EE3">
      <w:pPr>
        <w:pStyle w:val="BodyText"/>
        <w:spacing w:before="5"/>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3997"/>
        <w:gridCol w:w="1701"/>
      </w:tblGrid>
      <w:tr w:rsidR="00345EE3" w14:paraId="42C26D53" w14:textId="77777777" w:rsidTr="00D73130">
        <w:trPr>
          <w:trHeight w:val="401"/>
        </w:trPr>
        <w:tc>
          <w:tcPr>
            <w:tcW w:w="5698" w:type="dxa"/>
            <w:gridSpan w:val="2"/>
            <w:shd w:val="clear" w:color="auto" w:fill="00529F"/>
          </w:tcPr>
          <w:p w14:paraId="47848A82" w14:textId="77777777" w:rsidR="00345EE3" w:rsidRDefault="00345EE3" w:rsidP="00D73130">
            <w:pPr>
              <w:pStyle w:val="TableParagraph"/>
              <w:spacing w:before="63"/>
              <w:ind w:right="3"/>
              <w:rPr>
                <w:b/>
                <w:sz w:val="24"/>
              </w:rPr>
            </w:pPr>
            <w:r>
              <w:rPr>
                <w:b/>
                <w:color w:val="FFFFFF"/>
                <w:spacing w:val="-2"/>
                <w:sz w:val="24"/>
              </w:rPr>
              <w:t>Number</w:t>
            </w:r>
          </w:p>
        </w:tc>
      </w:tr>
      <w:tr w:rsidR="00345EE3" w14:paraId="53411C92" w14:textId="77777777" w:rsidTr="00D73130">
        <w:trPr>
          <w:trHeight w:val="391"/>
        </w:trPr>
        <w:tc>
          <w:tcPr>
            <w:tcW w:w="3997" w:type="dxa"/>
            <w:tcBorders>
              <w:bottom w:val="single" w:sz="6" w:space="0" w:color="231F20"/>
              <w:right w:val="single" w:sz="2" w:space="0" w:color="939598"/>
            </w:tcBorders>
          </w:tcPr>
          <w:p w14:paraId="37E8E9A9" w14:textId="77777777" w:rsidR="00345EE3" w:rsidRDefault="00345EE3" w:rsidP="00D73130">
            <w:pPr>
              <w:pStyle w:val="TableParagraph"/>
              <w:ind w:left="-3"/>
              <w:jc w:val="left"/>
              <w:rPr>
                <w:b/>
                <w:sz w:val="24"/>
              </w:rPr>
            </w:pPr>
            <w:r>
              <w:rPr>
                <w:b/>
                <w:color w:val="231F20"/>
                <w:spacing w:val="-2"/>
                <w:sz w:val="24"/>
              </w:rPr>
              <w:t>Total</w:t>
            </w:r>
          </w:p>
        </w:tc>
        <w:tc>
          <w:tcPr>
            <w:tcW w:w="1701" w:type="dxa"/>
            <w:tcBorders>
              <w:left w:val="single" w:sz="2" w:space="0" w:color="939598"/>
              <w:bottom w:val="single" w:sz="6" w:space="0" w:color="231F20"/>
            </w:tcBorders>
          </w:tcPr>
          <w:p w14:paraId="7D58D06F" w14:textId="77777777" w:rsidR="00345EE3" w:rsidRDefault="00345EE3" w:rsidP="00D73130">
            <w:pPr>
              <w:pStyle w:val="TableParagraph"/>
              <w:rPr>
                <w:sz w:val="24"/>
              </w:rPr>
            </w:pPr>
            <w:r>
              <w:rPr>
                <w:color w:val="231F20"/>
                <w:spacing w:val="-5"/>
                <w:sz w:val="24"/>
              </w:rPr>
              <w:t>270</w:t>
            </w:r>
          </w:p>
        </w:tc>
      </w:tr>
    </w:tbl>
    <w:p w14:paraId="03F1FCC3" w14:textId="77777777" w:rsidR="00345EE3" w:rsidRPr="00BD27F9" w:rsidRDefault="00345EE3" w:rsidP="00345EE3">
      <w:pPr>
        <w:spacing w:before="70"/>
        <w:ind w:left="110"/>
        <w:rPr>
          <w:sz w:val="18"/>
          <w:szCs w:val="18"/>
        </w:rPr>
      </w:pPr>
      <w:r w:rsidRPr="00BD27F9">
        <w:rPr>
          <w:rFonts w:ascii="Arial-BoldItalicMT"/>
          <w:b/>
          <w:i/>
          <w:color w:val="231F20"/>
          <w:sz w:val="18"/>
          <w:szCs w:val="18"/>
        </w:rPr>
        <w:t xml:space="preserve">Source: </w:t>
      </w:r>
      <w:r w:rsidRPr="00BD27F9">
        <w:rPr>
          <w:color w:val="231F20"/>
          <w:sz w:val="18"/>
          <w:szCs w:val="18"/>
        </w:rPr>
        <w:t>Corporate</w:t>
      </w:r>
      <w:r w:rsidRPr="00BD27F9">
        <w:rPr>
          <w:color w:val="231F20"/>
          <w:spacing w:val="1"/>
          <w:sz w:val="18"/>
          <w:szCs w:val="18"/>
        </w:rPr>
        <w:t xml:space="preserve"> </w:t>
      </w:r>
      <w:r w:rsidRPr="00BD27F9">
        <w:rPr>
          <w:color w:val="231F20"/>
          <w:sz w:val="18"/>
          <w:szCs w:val="18"/>
        </w:rPr>
        <w:t>Statistics Unit.</w:t>
      </w:r>
      <w:r w:rsidRPr="00BD27F9">
        <w:rPr>
          <w:color w:val="231F20"/>
          <w:spacing w:val="1"/>
          <w:sz w:val="18"/>
          <w:szCs w:val="18"/>
        </w:rPr>
        <w:t xml:space="preserve"> </w:t>
      </w:r>
      <w:r w:rsidRPr="00BD27F9">
        <w:rPr>
          <w:color w:val="231F20"/>
          <w:sz w:val="18"/>
          <w:szCs w:val="18"/>
        </w:rPr>
        <w:t>Data extracted from</w:t>
      </w:r>
      <w:r w:rsidRPr="00BD27F9">
        <w:rPr>
          <w:color w:val="231F20"/>
          <w:spacing w:val="1"/>
          <w:sz w:val="18"/>
          <w:szCs w:val="18"/>
        </w:rPr>
        <w:t xml:space="preserve"> </w:t>
      </w:r>
      <w:r w:rsidRPr="00BD27F9">
        <w:rPr>
          <w:color w:val="231F20"/>
          <w:sz w:val="18"/>
          <w:szCs w:val="18"/>
        </w:rPr>
        <w:t>LEAP on</w:t>
      </w:r>
      <w:r w:rsidRPr="00BD27F9">
        <w:rPr>
          <w:color w:val="231F20"/>
          <w:spacing w:val="1"/>
          <w:sz w:val="18"/>
          <w:szCs w:val="18"/>
        </w:rPr>
        <w:t xml:space="preserve"> </w:t>
      </w:r>
      <w:r w:rsidRPr="00BD27F9">
        <w:rPr>
          <w:color w:val="231F20"/>
          <w:sz w:val="18"/>
          <w:szCs w:val="18"/>
        </w:rPr>
        <w:t>5 July</w:t>
      </w:r>
      <w:r w:rsidRPr="00BD27F9">
        <w:rPr>
          <w:color w:val="231F20"/>
          <w:spacing w:val="1"/>
          <w:sz w:val="18"/>
          <w:szCs w:val="18"/>
        </w:rPr>
        <w:t xml:space="preserve"> </w:t>
      </w:r>
      <w:r w:rsidRPr="00BD27F9">
        <w:rPr>
          <w:color w:val="231F20"/>
          <w:sz w:val="18"/>
          <w:szCs w:val="18"/>
        </w:rPr>
        <w:t>2022 and</w:t>
      </w:r>
      <w:r w:rsidRPr="00BD27F9">
        <w:rPr>
          <w:color w:val="231F20"/>
          <w:spacing w:val="1"/>
          <w:sz w:val="18"/>
          <w:szCs w:val="18"/>
        </w:rPr>
        <w:t xml:space="preserve"> </w:t>
      </w:r>
      <w:r w:rsidRPr="00BD27F9">
        <w:rPr>
          <w:color w:val="231F20"/>
          <w:sz w:val="18"/>
          <w:szCs w:val="18"/>
        </w:rPr>
        <w:t>based on</w:t>
      </w:r>
      <w:r w:rsidRPr="00BD27F9">
        <w:rPr>
          <w:color w:val="231F20"/>
          <w:spacing w:val="1"/>
          <w:sz w:val="18"/>
          <w:szCs w:val="18"/>
        </w:rPr>
        <w:t xml:space="preserve"> </w:t>
      </w:r>
      <w:r w:rsidRPr="00BD27F9">
        <w:rPr>
          <w:color w:val="231F20"/>
          <w:sz w:val="18"/>
          <w:szCs w:val="18"/>
        </w:rPr>
        <w:t>Field Contact</w:t>
      </w:r>
      <w:r w:rsidRPr="00BD27F9">
        <w:rPr>
          <w:color w:val="231F20"/>
          <w:spacing w:val="1"/>
          <w:sz w:val="18"/>
          <w:szCs w:val="18"/>
        </w:rPr>
        <w:t xml:space="preserve"> </w:t>
      </w:r>
      <w:r w:rsidRPr="00BD27F9">
        <w:rPr>
          <w:color w:val="231F20"/>
          <w:spacing w:val="-2"/>
          <w:sz w:val="18"/>
          <w:szCs w:val="18"/>
        </w:rPr>
        <w:t>data.</w:t>
      </w:r>
    </w:p>
    <w:p w14:paraId="757A71A5" w14:textId="77777777" w:rsidR="00345EE3" w:rsidRPr="00BD27F9" w:rsidRDefault="00345EE3" w:rsidP="00345EE3">
      <w:pPr>
        <w:spacing w:before="28"/>
        <w:ind w:left="110"/>
        <w:rPr>
          <w:sz w:val="18"/>
          <w:szCs w:val="18"/>
        </w:rPr>
      </w:pPr>
      <w:r w:rsidRPr="00BD27F9">
        <w:rPr>
          <w:rFonts w:ascii="Arial-BoldItalicMT"/>
          <w:b/>
          <w:i/>
          <w:color w:val="231F20"/>
          <w:sz w:val="18"/>
          <w:szCs w:val="18"/>
        </w:rPr>
        <w:t>Note:</w:t>
      </w:r>
      <w:r w:rsidRPr="00BD27F9">
        <w:rPr>
          <w:rFonts w:ascii="Arial-BoldItalicMT"/>
          <w:b/>
          <w:i/>
          <w:color w:val="231F20"/>
          <w:spacing w:val="-1"/>
          <w:sz w:val="18"/>
          <w:szCs w:val="18"/>
        </w:rPr>
        <w:t xml:space="preserve"> </w:t>
      </w:r>
      <w:r w:rsidRPr="00BD27F9">
        <w:rPr>
          <w:color w:val="231F20"/>
          <w:sz w:val="18"/>
          <w:szCs w:val="18"/>
        </w:rPr>
        <w:t>Firearms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are</w:t>
      </w:r>
      <w:r w:rsidRPr="00BD27F9">
        <w:rPr>
          <w:color w:val="231F20"/>
          <w:spacing w:val="-1"/>
          <w:sz w:val="18"/>
          <w:szCs w:val="18"/>
        </w:rPr>
        <w:t xml:space="preserve"> </w:t>
      </w:r>
      <w:r w:rsidRPr="00BD27F9">
        <w:rPr>
          <w:color w:val="231F20"/>
          <w:sz w:val="18"/>
          <w:szCs w:val="18"/>
        </w:rPr>
        <w:t>firearms</w:t>
      </w:r>
      <w:r w:rsidRPr="00BD27F9">
        <w:rPr>
          <w:color w:val="231F20"/>
          <w:spacing w:val="-1"/>
          <w:sz w:val="18"/>
          <w:szCs w:val="18"/>
        </w:rPr>
        <w:t xml:space="preserve"> </w:t>
      </w:r>
      <w:r w:rsidRPr="00BD27F9">
        <w:rPr>
          <w:color w:val="231F20"/>
          <w:sz w:val="18"/>
          <w:szCs w:val="18"/>
        </w:rPr>
        <w:t>recorded</w:t>
      </w:r>
      <w:r w:rsidRPr="00BD27F9">
        <w:rPr>
          <w:color w:val="231F20"/>
          <w:spacing w:val="-1"/>
          <w:sz w:val="18"/>
          <w:szCs w:val="18"/>
        </w:rPr>
        <w:t xml:space="preserve"> </w:t>
      </w:r>
      <w:r w:rsidRPr="00BD27F9">
        <w:rPr>
          <w:color w:val="231F20"/>
          <w:sz w:val="18"/>
          <w:szCs w:val="18"/>
        </w:rPr>
        <w:t>in</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narratives</w:t>
      </w:r>
      <w:r w:rsidRPr="00BD27F9">
        <w:rPr>
          <w:color w:val="231F20"/>
          <w:spacing w:val="-1"/>
          <w:sz w:val="18"/>
          <w:szCs w:val="18"/>
        </w:rPr>
        <w:t xml:space="preserve"> </w:t>
      </w:r>
      <w:r w:rsidRPr="00BD27F9">
        <w:rPr>
          <w:color w:val="231F20"/>
          <w:sz w:val="18"/>
          <w:szCs w:val="18"/>
        </w:rPr>
        <w:t>and/or</w:t>
      </w:r>
      <w:r w:rsidRPr="00BD27F9">
        <w:rPr>
          <w:color w:val="231F20"/>
          <w:spacing w:val="-2"/>
          <w:sz w:val="18"/>
          <w:szCs w:val="18"/>
        </w:rPr>
        <w:t xml:space="preserve"> </w:t>
      </w:r>
      <w:r w:rsidRPr="00BD27F9">
        <w:rPr>
          <w:color w:val="231F20"/>
          <w:sz w:val="18"/>
          <w:szCs w:val="18"/>
        </w:rPr>
        <w:t>recorded</w:t>
      </w:r>
      <w:r w:rsidRPr="00BD27F9">
        <w:rPr>
          <w:color w:val="231F20"/>
          <w:spacing w:val="-1"/>
          <w:sz w:val="18"/>
          <w:szCs w:val="18"/>
        </w:rPr>
        <w:t xml:space="preserve"> </w:t>
      </w:r>
      <w:r w:rsidRPr="00BD27F9">
        <w:rPr>
          <w:color w:val="231F20"/>
          <w:sz w:val="18"/>
          <w:szCs w:val="18"/>
        </w:rPr>
        <w:t>as</w:t>
      </w:r>
      <w:r w:rsidRPr="00BD27F9">
        <w:rPr>
          <w:color w:val="231F20"/>
          <w:spacing w:val="-1"/>
          <w:sz w:val="18"/>
          <w:szCs w:val="18"/>
        </w:rPr>
        <w:t xml:space="preserve"> </w:t>
      </w:r>
      <w:r w:rsidRPr="00BD27F9">
        <w:rPr>
          <w:color w:val="231F20"/>
          <w:sz w:val="18"/>
          <w:szCs w:val="18"/>
        </w:rPr>
        <w:t>a</w:t>
      </w:r>
      <w:r w:rsidRPr="00BD27F9">
        <w:rPr>
          <w:color w:val="231F20"/>
          <w:spacing w:val="-1"/>
          <w:sz w:val="18"/>
          <w:szCs w:val="18"/>
        </w:rPr>
        <w:t xml:space="preserve"> </w:t>
      </w:r>
      <w:r w:rsidRPr="00BD27F9">
        <w:rPr>
          <w:color w:val="231F20"/>
          <w:sz w:val="18"/>
          <w:szCs w:val="18"/>
        </w:rPr>
        <w:t>MO</w:t>
      </w:r>
      <w:r w:rsidRPr="00BD27F9">
        <w:rPr>
          <w:color w:val="231F20"/>
          <w:spacing w:val="-1"/>
          <w:sz w:val="18"/>
          <w:szCs w:val="18"/>
        </w:rPr>
        <w:t xml:space="preserve"> </w:t>
      </w:r>
      <w:r w:rsidRPr="00BD27F9">
        <w:rPr>
          <w:color w:val="231F20"/>
          <w:sz w:val="18"/>
          <w:szCs w:val="18"/>
        </w:rPr>
        <w:t>code</w:t>
      </w:r>
      <w:r w:rsidRPr="00BD27F9">
        <w:rPr>
          <w:color w:val="231F20"/>
          <w:spacing w:val="-1"/>
          <w:sz w:val="18"/>
          <w:szCs w:val="18"/>
        </w:rPr>
        <w:t xml:space="preserve"> </w:t>
      </w:r>
      <w:r w:rsidRPr="00BD27F9">
        <w:rPr>
          <w:color w:val="231F20"/>
          <w:sz w:val="18"/>
          <w:szCs w:val="18"/>
        </w:rPr>
        <w:t>therefore</w:t>
      </w:r>
      <w:r w:rsidRPr="00BD27F9">
        <w:rPr>
          <w:color w:val="231F20"/>
          <w:spacing w:val="-1"/>
          <w:sz w:val="18"/>
          <w:szCs w:val="18"/>
        </w:rPr>
        <w:t xml:space="preserve"> </w:t>
      </w:r>
      <w:r w:rsidRPr="00BD27F9">
        <w:rPr>
          <w:color w:val="231F20"/>
          <w:sz w:val="18"/>
          <w:szCs w:val="18"/>
        </w:rPr>
        <w:t>subject</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pacing w:val="-2"/>
          <w:sz w:val="18"/>
          <w:szCs w:val="18"/>
        </w:rPr>
        <w:t>variation.</w:t>
      </w:r>
    </w:p>
    <w:p w14:paraId="7566B89B" w14:textId="77777777" w:rsidR="00345EE3" w:rsidRDefault="00345EE3" w:rsidP="00345EE3">
      <w:pPr>
        <w:pStyle w:val="BodyText"/>
        <w:spacing w:before="6"/>
        <w:rPr>
          <w:sz w:val="12"/>
        </w:rPr>
      </w:pPr>
    </w:p>
    <w:p w14:paraId="00C50148" w14:textId="77777777" w:rsidR="00345EE3" w:rsidRDefault="00345EE3" w:rsidP="00345EE3">
      <w:pPr>
        <w:spacing w:before="1" w:after="40" w:line="266" w:lineRule="auto"/>
        <w:ind w:left="110" w:right="848"/>
        <w:rPr>
          <w:rFonts w:ascii="Arial-BoldItalicMT" w:hAnsi="Arial-BoldItalicMT"/>
          <w:b/>
          <w:i/>
          <w:sz w:val="18"/>
        </w:rPr>
      </w:pPr>
      <w:r>
        <w:rPr>
          <w:color w:val="231F20"/>
          <w:sz w:val="18"/>
        </w:rPr>
        <w:t>Table</w:t>
      </w:r>
      <w:r>
        <w:rPr>
          <w:color w:val="231F20"/>
          <w:spacing w:val="-2"/>
          <w:sz w:val="18"/>
        </w:rPr>
        <w:t xml:space="preserve"> </w:t>
      </w:r>
      <w:r>
        <w:rPr>
          <w:color w:val="231F20"/>
          <w:sz w:val="18"/>
        </w:rPr>
        <w:t>5.15:</w:t>
      </w:r>
      <w:r>
        <w:rPr>
          <w:color w:val="231F20"/>
          <w:spacing w:val="-2"/>
          <w:sz w:val="18"/>
        </w:rPr>
        <w:t xml:space="preserve"> </w:t>
      </w:r>
      <w:r>
        <w:rPr>
          <w:rFonts w:ascii="Arial-BoldItalicMT" w:hAnsi="Arial-BoldItalicMT"/>
          <w:b/>
          <w:i/>
          <w:color w:val="231F20"/>
          <w:sz w:val="18"/>
        </w:rPr>
        <w:t>Number</w:t>
      </w:r>
      <w:r>
        <w:rPr>
          <w:rFonts w:ascii="Arial-BoldItalicMT" w:hAnsi="Arial-BoldItalicMT"/>
          <w:b/>
          <w:i/>
          <w:color w:val="231F20"/>
          <w:spacing w:val="-5"/>
          <w:sz w:val="18"/>
        </w:rPr>
        <w:t xml:space="preserve"> </w:t>
      </w:r>
      <w:r>
        <w:rPr>
          <w:rFonts w:ascii="Arial-BoldItalicMT" w:hAnsi="Arial-BoldItalicMT"/>
          <w:b/>
          <w:i/>
          <w:color w:val="231F20"/>
          <w:sz w:val="18"/>
        </w:rPr>
        <w:t>and</w:t>
      </w:r>
      <w:r>
        <w:rPr>
          <w:rFonts w:ascii="Arial-BoldItalicMT" w:hAnsi="Arial-BoldItalicMT"/>
          <w:b/>
          <w:i/>
          <w:color w:val="231F20"/>
          <w:spacing w:val="-5"/>
          <w:sz w:val="18"/>
        </w:rPr>
        <w:t xml:space="preserve"> </w:t>
      </w:r>
      <w:r>
        <w:rPr>
          <w:rFonts w:ascii="Arial-BoldItalicMT" w:hAnsi="Arial-BoldItalicMT"/>
          <w:b/>
          <w:i/>
          <w:color w:val="231F20"/>
          <w:sz w:val="18"/>
        </w:rPr>
        <w:t>type</w:t>
      </w:r>
      <w:r>
        <w:rPr>
          <w:rFonts w:ascii="Arial-BoldItalicMT" w:hAnsi="Arial-BoldItalicMT"/>
          <w:b/>
          <w:i/>
          <w:color w:val="231F20"/>
          <w:spacing w:val="-5"/>
          <w:sz w:val="18"/>
        </w:rPr>
        <w:t xml:space="preserve"> </w:t>
      </w:r>
      <w:r>
        <w:rPr>
          <w:rFonts w:ascii="Arial-BoldItalicMT" w:hAnsi="Arial-BoldItalicMT"/>
          <w:b/>
          <w:i/>
          <w:color w:val="231F20"/>
          <w:sz w:val="18"/>
        </w:rPr>
        <w:t>of</w:t>
      </w:r>
      <w:r>
        <w:rPr>
          <w:rFonts w:ascii="Arial-BoldItalicMT" w:hAnsi="Arial-BoldItalicMT"/>
          <w:b/>
          <w:i/>
          <w:color w:val="231F20"/>
          <w:spacing w:val="-5"/>
          <w:sz w:val="18"/>
        </w:rPr>
        <w:t xml:space="preserve"> </w:t>
      </w:r>
      <w:r>
        <w:rPr>
          <w:rFonts w:ascii="Arial-BoldItalicMT" w:hAnsi="Arial-BoldItalicMT"/>
          <w:b/>
          <w:i/>
          <w:color w:val="231F20"/>
          <w:sz w:val="18"/>
        </w:rPr>
        <w:t>firearms,</w:t>
      </w:r>
      <w:r>
        <w:rPr>
          <w:rFonts w:ascii="Arial-BoldItalicMT" w:hAnsi="Arial-BoldItalicMT"/>
          <w:b/>
          <w:i/>
          <w:color w:val="231F20"/>
          <w:spacing w:val="-5"/>
          <w:sz w:val="18"/>
        </w:rPr>
        <w:t xml:space="preserve"> </w:t>
      </w:r>
      <w:r>
        <w:rPr>
          <w:rFonts w:ascii="Arial-BoldItalicMT" w:hAnsi="Arial-BoldItalicMT"/>
          <w:b/>
          <w:i/>
          <w:color w:val="231F20"/>
          <w:sz w:val="18"/>
        </w:rPr>
        <w:t>cartridge</w:t>
      </w:r>
      <w:r>
        <w:rPr>
          <w:rFonts w:ascii="Arial-BoldItalicMT" w:hAnsi="Arial-BoldItalicMT"/>
          <w:b/>
          <w:i/>
          <w:color w:val="231F20"/>
          <w:spacing w:val="-5"/>
          <w:sz w:val="18"/>
        </w:rPr>
        <w:t xml:space="preserve"> </w:t>
      </w:r>
      <w:r>
        <w:rPr>
          <w:rFonts w:ascii="Arial-BoldItalicMT" w:hAnsi="Arial-BoldItalicMT"/>
          <w:b/>
          <w:i/>
          <w:color w:val="231F20"/>
          <w:sz w:val="18"/>
        </w:rPr>
        <w:t>ammunition,</w:t>
      </w:r>
      <w:r>
        <w:rPr>
          <w:rFonts w:ascii="Arial-BoldItalicMT" w:hAnsi="Arial-BoldItalicMT"/>
          <w:b/>
          <w:i/>
          <w:color w:val="231F20"/>
          <w:spacing w:val="-5"/>
          <w:sz w:val="18"/>
        </w:rPr>
        <w:t xml:space="preserve"> </w:t>
      </w:r>
      <w:r>
        <w:rPr>
          <w:rFonts w:ascii="Arial-BoldItalicMT" w:hAnsi="Arial-BoldItalicMT"/>
          <w:b/>
          <w:i/>
          <w:color w:val="231F20"/>
          <w:sz w:val="18"/>
        </w:rPr>
        <w:t>silencers</w:t>
      </w:r>
      <w:r>
        <w:rPr>
          <w:rFonts w:ascii="Arial-BoldItalicMT" w:hAnsi="Arial-BoldItalicMT"/>
          <w:b/>
          <w:i/>
          <w:color w:val="231F20"/>
          <w:spacing w:val="-5"/>
          <w:sz w:val="18"/>
        </w:rPr>
        <w:t xml:space="preserve"> </w:t>
      </w:r>
      <w:r>
        <w:rPr>
          <w:rFonts w:ascii="Arial-BoldItalicMT" w:hAnsi="Arial-BoldItalicMT"/>
          <w:b/>
          <w:i/>
          <w:color w:val="231F20"/>
          <w:sz w:val="18"/>
        </w:rPr>
        <w:t>and</w:t>
      </w:r>
      <w:r>
        <w:rPr>
          <w:rFonts w:ascii="Arial-BoldItalicMT" w:hAnsi="Arial-BoldItalicMT"/>
          <w:b/>
          <w:i/>
          <w:color w:val="231F20"/>
          <w:spacing w:val="-5"/>
          <w:sz w:val="18"/>
        </w:rPr>
        <w:t xml:space="preserve"> </w:t>
      </w:r>
      <w:r>
        <w:rPr>
          <w:rFonts w:ascii="Arial-BoldItalicMT" w:hAnsi="Arial-BoldItalicMT"/>
          <w:b/>
          <w:i/>
          <w:color w:val="231F20"/>
          <w:sz w:val="18"/>
        </w:rPr>
        <w:t>prescribed</w:t>
      </w:r>
      <w:r>
        <w:rPr>
          <w:rFonts w:ascii="Arial-BoldItalicMT" w:hAnsi="Arial-BoldItalicMT"/>
          <w:b/>
          <w:i/>
          <w:color w:val="231F20"/>
          <w:spacing w:val="-5"/>
          <w:sz w:val="18"/>
        </w:rPr>
        <w:t xml:space="preserve"> </w:t>
      </w:r>
      <w:r>
        <w:rPr>
          <w:rFonts w:ascii="Arial-BoldItalicMT" w:hAnsi="Arial-BoldItalicMT"/>
          <w:b/>
          <w:i/>
          <w:color w:val="231F20"/>
          <w:sz w:val="18"/>
        </w:rPr>
        <w:t>items</w:t>
      </w:r>
      <w:r>
        <w:rPr>
          <w:rFonts w:ascii="Arial-BoldItalicMT" w:hAnsi="Arial-BoldItalicMT"/>
          <w:b/>
          <w:i/>
          <w:color w:val="231F20"/>
          <w:spacing w:val="-5"/>
          <w:sz w:val="18"/>
        </w:rPr>
        <w:t xml:space="preserve"> </w:t>
      </w:r>
      <w:r>
        <w:rPr>
          <w:rFonts w:ascii="Arial-BoldItalicMT" w:hAnsi="Arial-BoldItalicMT"/>
          <w:b/>
          <w:i/>
          <w:color w:val="231F20"/>
          <w:sz w:val="18"/>
        </w:rPr>
        <w:t>found</w:t>
      </w:r>
      <w:r>
        <w:rPr>
          <w:rFonts w:ascii="Arial-BoldItalicMT" w:hAnsi="Arial-BoldItalicMT"/>
          <w:b/>
          <w:i/>
          <w:color w:val="231F20"/>
          <w:spacing w:val="-5"/>
          <w:sz w:val="18"/>
        </w:rPr>
        <w:t xml:space="preserve"> </w:t>
      </w:r>
      <w:r>
        <w:rPr>
          <w:rFonts w:ascii="Arial-BoldItalicMT" w:hAnsi="Arial-BoldItalicMT"/>
          <w:b/>
          <w:i/>
          <w:color w:val="231F20"/>
          <w:sz w:val="18"/>
        </w:rPr>
        <w:t>during</w:t>
      </w:r>
      <w:r>
        <w:rPr>
          <w:rFonts w:ascii="Arial-BoldItalicMT" w:hAnsi="Arial-BoldItalicMT"/>
          <w:b/>
          <w:i/>
          <w:color w:val="231F20"/>
          <w:spacing w:val="-5"/>
          <w:sz w:val="18"/>
        </w:rPr>
        <w:t xml:space="preserve"> </w:t>
      </w:r>
      <w:r>
        <w:rPr>
          <w:rFonts w:ascii="Arial-BoldItalicMT" w:hAnsi="Arial-BoldItalicMT"/>
          <w:b/>
          <w:i/>
          <w:color w:val="231F20"/>
          <w:sz w:val="18"/>
        </w:rPr>
        <w:t>the</w:t>
      </w:r>
      <w:r>
        <w:rPr>
          <w:rFonts w:ascii="Arial-BoldItalicMT" w:hAnsi="Arial-BoldItalicMT"/>
          <w:b/>
          <w:i/>
          <w:color w:val="231F20"/>
          <w:spacing w:val="-5"/>
          <w:sz w:val="18"/>
        </w:rPr>
        <w:t xml:space="preserve"> </w:t>
      </w:r>
      <w:r>
        <w:rPr>
          <w:rFonts w:ascii="Arial-BoldItalicMT" w:hAnsi="Arial-BoldItalicMT"/>
          <w:b/>
          <w:i/>
          <w:color w:val="231F20"/>
          <w:sz w:val="18"/>
        </w:rPr>
        <w:t>course of those searches in 2021–22</w:t>
      </w: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997"/>
        <w:gridCol w:w="1701"/>
      </w:tblGrid>
      <w:tr w:rsidR="00345EE3" w14:paraId="2E2C56EB" w14:textId="77777777" w:rsidTr="00D73130">
        <w:trPr>
          <w:trHeight w:val="384"/>
        </w:trPr>
        <w:tc>
          <w:tcPr>
            <w:tcW w:w="3997" w:type="dxa"/>
            <w:tcBorders>
              <w:top w:val="nil"/>
              <w:left w:val="nil"/>
              <w:bottom w:val="nil"/>
              <w:right w:val="nil"/>
            </w:tcBorders>
            <w:shd w:val="clear" w:color="auto" w:fill="00529F"/>
          </w:tcPr>
          <w:p w14:paraId="20CEDB15" w14:textId="77777777" w:rsidR="00345EE3" w:rsidRDefault="00345EE3" w:rsidP="00D73130">
            <w:pPr>
              <w:pStyle w:val="TableParagraph"/>
              <w:spacing w:before="54"/>
              <w:ind w:left="-1"/>
              <w:jc w:val="left"/>
              <w:rPr>
                <w:b/>
                <w:sz w:val="24"/>
              </w:rPr>
            </w:pPr>
            <w:r>
              <w:rPr>
                <w:b/>
                <w:color w:val="FFFFFF"/>
                <w:sz w:val="24"/>
              </w:rPr>
              <w:t>Firearms</w:t>
            </w:r>
            <w:r>
              <w:rPr>
                <w:b/>
                <w:color w:val="FFFFFF"/>
                <w:spacing w:val="-4"/>
                <w:sz w:val="24"/>
              </w:rPr>
              <w:t xml:space="preserve"> </w:t>
            </w:r>
            <w:r>
              <w:rPr>
                <w:b/>
                <w:color w:val="FFFFFF"/>
                <w:spacing w:val="-2"/>
                <w:sz w:val="24"/>
              </w:rPr>
              <w:t>Found</w:t>
            </w:r>
          </w:p>
        </w:tc>
        <w:tc>
          <w:tcPr>
            <w:tcW w:w="1701" w:type="dxa"/>
            <w:tcBorders>
              <w:top w:val="nil"/>
              <w:left w:val="nil"/>
              <w:bottom w:val="nil"/>
              <w:right w:val="nil"/>
            </w:tcBorders>
            <w:shd w:val="clear" w:color="auto" w:fill="00529F"/>
          </w:tcPr>
          <w:p w14:paraId="3AB789C0" w14:textId="77777777" w:rsidR="00345EE3" w:rsidRDefault="00345EE3" w:rsidP="00D73130">
            <w:pPr>
              <w:pStyle w:val="TableParagraph"/>
              <w:spacing w:before="54"/>
              <w:ind w:right="1"/>
              <w:rPr>
                <w:b/>
                <w:sz w:val="24"/>
              </w:rPr>
            </w:pPr>
            <w:r>
              <w:rPr>
                <w:b/>
                <w:color w:val="FFFFFF"/>
                <w:spacing w:val="-2"/>
                <w:sz w:val="24"/>
              </w:rPr>
              <w:t>Number</w:t>
            </w:r>
          </w:p>
        </w:tc>
      </w:tr>
      <w:tr w:rsidR="00345EE3" w14:paraId="05523292" w14:textId="77777777" w:rsidTr="00D73130">
        <w:trPr>
          <w:trHeight w:val="379"/>
        </w:trPr>
        <w:tc>
          <w:tcPr>
            <w:tcW w:w="3997" w:type="dxa"/>
            <w:tcBorders>
              <w:top w:val="nil"/>
              <w:left w:val="nil"/>
              <w:right w:val="dashed" w:sz="2" w:space="0" w:color="939598"/>
            </w:tcBorders>
          </w:tcPr>
          <w:p w14:paraId="760F2E2A" w14:textId="77777777" w:rsidR="00345EE3" w:rsidRDefault="00345EE3" w:rsidP="00D73130">
            <w:pPr>
              <w:pStyle w:val="TableParagraph"/>
              <w:spacing w:before="52"/>
              <w:ind w:left="-3"/>
              <w:jc w:val="left"/>
              <w:rPr>
                <w:sz w:val="24"/>
              </w:rPr>
            </w:pPr>
            <w:r>
              <w:rPr>
                <w:color w:val="231F20"/>
                <w:sz w:val="24"/>
              </w:rPr>
              <w:t xml:space="preserve">Air </w:t>
            </w:r>
            <w:r>
              <w:rPr>
                <w:color w:val="231F20"/>
                <w:spacing w:val="-2"/>
                <w:sz w:val="24"/>
              </w:rPr>
              <w:t>Rifle</w:t>
            </w:r>
          </w:p>
        </w:tc>
        <w:tc>
          <w:tcPr>
            <w:tcW w:w="1701" w:type="dxa"/>
            <w:tcBorders>
              <w:top w:val="nil"/>
              <w:left w:val="dashed" w:sz="2" w:space="0" w:color="939598"/>
              <w:right w:val="nil"/>
            </w:tcBorders>
          </w:tcPr>
          <w:p w14:paraId="3F6AF552" w14:textId="77777777" w:rsidR="00345EE3" w:rsidRDefault="00345EE3" w:rsidP="00D73130">
            <w:pPr>
              <w:pStyle w:val="TableParagraph"/>
              <w:spacing w:before="52"/>
              <w:ind w:right="-15"/>
              <w:rPr>
                <w:sz w:val="24"/>
              </w:rPr>
            </w:pPr>
            <w:r>
              <w:rPr>
                <w:color w:val="231F20"/>
                <w:sz w:val="24"/>
              </w:rPr>
              <w:t>2</w:t>
            </w:r>
          </w:p>
        </w:tc>
      </w:tr>
      <w:tr w:rsidR="00345EE3" w14:paraId="3F8B0076" w14:textId="77777777" w:rsidTr="00D73130">
        <w:trPr>
          <w:trHeight w:val="379"/>
        </w:trPr>
        <w:tc>
          <w:tcPr>
            <w:tcW w:w="3997" w:type="dxa"/>
            <w:tcBorders>
              <w:left w:val="nil"/>
              <w:right w:val="dashed" w:sz="2" w:space="0" w:color="939598"/>
            </w:tcBorders>
          </w:tcPr>
          <w:p w14:paraId="3D6AAE1B" w14:textId="77777777" w:rsidR="00345EE3" w:rsidRDefault="00345EE3" w:rsidP="00D73130">
            <w:pPr>
              <w:pStyle w:val="TableParagraph"/>
              <w:spacing w:before="52"/>
              <w:ind w:left="-3"/>
              <w:jc w:val="left"/>
              <w:rPr>
                <w:sz w:val="24"/>
              </w:rPr>
            </w:pPr>
            <w:r>
              <w:rPr>
                <w:color w:val="231F20"/>
                <w:sz w:val="24"/>
              </w:rPr>
              <w:t>Air</w:t>
            </w:r>
            <w:r>
              <w:rPr>
                <w:color w:val="231F20"/>
                <w:spacing w:val="-3"/>
                <w:sz w:val="24"/>
              </w:rPr>
              <w:t xml:space="preserve"> </w:t>
            </w:r>
            <w:r>
              <w:rPr>
                <w:color w:val="231F20"/>
                <w:sz w:val="24"/>
              </w:rPr>
              <w:t>Rifle</w:t>
            </w:r>
            <w:r>
              <w:rPr>
                <w:color w:val="231F20"/>
                <w:spacing w:val="-2"/>
                <w:sz w:val="24"/>
              </w:rPr>
              <w:t xml:space="preserve"> Barrel</w:t>
            </w:r>
          </w:p>
        </w:tc>
        <w:tc>
          <w:tcPr>
            <w:tcW w:w="1701" w:type="dxa"/>
            <w:tcBorders>
              <w:left w:val="dashed" w:sz="2" w:space="0" w:color="939598"/>
              <w:right w:val="nil"/>
            </w:tcBorders>
          </w:tcPr>
          <w:p w14:paraId="40A61BF3" w14:textId="77777777" w:rsidR="00345EE3" w:rsidRDefault="00345EE3" w:rsidP="00D73130">
            <w:pPr>
              <w:pStyle w:val="TableParagraph"/>
              <w:spacing w:before="52"/>
              <w:ind w:right="-15"/>
              <w:rPr>
                <w:sz w:val="24"/>
              </w:rPr>
            </w:pPr>
            <w:r>
              <w:rPr>
                <w:color w:val="231F20"/>
                <w:sz w:val="24"/>
              </w:rPr>
              <w:t>0</w:t>
            </w:r>
          </w:p>
        </w:tc>
      </w:tr>
      <w:tr w:rsidR="00345EE3" w14:paraId="2F5408B3" w14:textId="77777777" w:rsidTr="00D73130">
        <w:trPr>
          <w:trHeight w:val="379"/>
        </w:trPr>
        <w:tc>
          <w:tcPr>
            <w:tcW w:w="3997" w:type="dxa"/>
            <w:tcBorders>
              <w:left w:val="nil"/>
              <w:right w:val="dashed" w:sz="2" w:space="0" w:color="939598"/>
            </w:tcBorders>
          </w:tcPr>
          <w:p w14:paraId="529D77C6" w14:textId="77777777" w:rsidR="00345EE3" w:rsidRDefault="00345EE3" w:rsidP="00D73130">
            <w:pPr>
              <w:pStyle w:val="TableParagraph"/>
              <w:spacing w:before="52"/>
              <w:ind w:left="-3"/>
              <w:jc w:val="left"/>
              <w:rPr>
                <w:sz w:val="14"/>
              </w:rPr>
            </w:pPr>
            <w:r>
              <w:rPr>
                <w:color w:val="231F20"/>
                <w:spacing w:val="-2"/>
                <w:sz w:val="24"/>
              </w:rPr>
              <w:t>Cartridge</w:t>
            </w:r>
            <w:r>
              <w:rPr>
                <w:color w:val="231F20"/>
                <w:spacing w:val="-4"/>
                <w:sz w:val="24"/>
              </w:rPr>
              <w:t xml:space="preserve"> </w:t>
            </w:r>
            <w:r>
              <w:rPr>
                <w:color w:val="231F20"/>
                <w:spacing w:val="-2"/>
                <w:sz w:val="24"/>
              </w:rPr>
              <w:t>Ammunition</w:t>
            </w:r>
            <w:r>
              <w:rPr>
                <w:color w:val="231F20"/>
                <w:spacing w:val="-2"/>
                <w:position w:val="8"/>
                <w:sz w:val="14"/>
              </w:rPr>
              <w:t>8</w:t>
            </w:r>
          </w:p>
        </w:tc>
        <w:tc>
          <w:tcPr>
            <w:tcW w:w="1701" w:type="dxa"/>
            <w:tcBorders>
              <w:left w:val="dashed" w:sz="2" w:space="0" w:color="939598"/>
              <w:right w:val="nil"/>
            </w:tcBorders>
          </w:tcPr>
          <w:p w14:paraId="7E08B6A6" w14:textId="77777777" w:rsidR="00345EE3" w:rsidRDefault="00345EE3" w:rsidP="00D73130">
            <w:pPr>
              <w:pStyle w:val="TableParagraph"/>
              <w:spacing w:before="52"/>
              <w:rPr>
                <w:sz w:val="24"/>
              </w:rPr>
            </w:pPr>
            <w:r>
              <w:rPr>
                <w:color w:val="231F20"/>
                <w:spacing w:val="-5"/>
                <w:sz w:val="24"/>
              </w:rPr>
              <w:t>26</w:t>
            </w:r>
          </w:p>
        </w:tc>
      </w:tr>
      <w:tr w:rsidR="00345EE3" w14:paraId="6D9DC99B" w14:textId="77777777" w:rsidTr="00D73130">
        <w:trPr>
          <w:trHeight w:val="379"/>
        </w:trPr>
        <w:tc>
          <w:tcPr>
            <w:tcW w:w="3997" w:type="dxa"/>
            <w:tcBorders>
              <w:left w:val="nil"/>
              <w:right w:val="dashed" w:sz="2" w:space="0" w:color="939598"/>
            </w:tcBorders>
          </w:tcPr>
          <w:p w14:paraId="45DE8163" w14:textId="77777777" w:rsidR="00345EE3" w:rsidRDefault="00345EE3" w:rsidP="00D73130">
            <w:pPr>
              <w:pStyle w:val="TableParagraph"/>
              <w:spacing w:before="52"/>
              <w:ind w:left="-3"/>
              <w:jc w:val="left"/>
              <w:rPr>
                <w:sz w:val="24"/>
              </w:rPr>
            </w:pPr>
            <w:r>
              <w:rPr>
                <w:color w:val="231F20"/>
                <w:spacing w:val="-2"/>
                <w:sz w:val="24"/>
              </w:rPr>
              <w:t>Firearm</w:t>
            </w:r>
          </w:p>
        </w:tc>
        <w:tc>
          <w:tcPr>
            <w:tcW w:w="1701" w:type="dxa"/>
            <w:tcBorders>
              <w:left w:val="dashed" w:sz="2" w:space="0" w:color="939598"/>
              <w:right w:val="nil"/>
            </w:tcBorders>
          </w:tcPr>
          <w:p w14:paraId="04167BF3" w14:textId="77777777" w:rsidR="00345EE3" w:rsidRDefault="00345EE3" w:rsidP="00D73130">
            <w:pPr>
              <w:pStyle w:val="TableParagraph"/>
              <w:spacing w:before="52"/>
              <w:ind w:right="-15"/>
              <w:rPr>
                <w:sz w:val="24"/>
              </w:rPr>
            </w:pPr>
            <w:r>
              <w:rPr>
                <w:color w:val="231F20"/>
                <w:sz w:val="24"/>
              </w:rPr>
              <w:t>2</w:t>
            </w:r>
          </w:p>
        </w:tc>
      </w:tr>
      <w:tr w:rsidR="00345EE3" w14:paraId="06C6DADB" w14:textId="77777777" w:rsidTr="00D73130">
        <w:trPr>
          <w:trHeight w:val="379"/>
        </w:trPr>
        <w:tc>
          <w:tcPr>
            <w:tcW w:w="3997" w:type="dxa"/>
            <w:tcBorders>
              <w:left w:val="nil"/>
              <w:right w:val="dashed" w:sz="2" w:space="0" w:color="939598"/>
            </w:tcBorders>
          </w:tcPr>
          <w:p w14:paraId="594C1F37" w14:textId="77777777" w:rsidR="00345EE3" w:rsidRDefault="00345EE3" w:rsidP="00D73130">
            <w:pPr>
              <w:pStyle w:val="TableParagraph"/>
              <w:spacing w:before="52"/>
              <w:ind w:left="-3"/>
              <w:jc w:val="left"/>
              <w:rPr>
                <w:sz w:val="24"/>
              </w:rPr>
            </w:pPr>
            <w:r>
              <w:rPr>
                <w:color w:val="231F20"/>
                <w:spacing w:val="-2"/>
                <w:sz w:val="24"/>
              </w:rPr>
              <w:t>Handgun</w:t>
            </w:r>
          </w:p>
        </w:tc>
        <w:tc>
          <w:tcPr>
            <w:tcW w:w="1701" w:type="dxa"/>
            <w:tcBorders>
              <w:left w:val="dashed" w:sz="2" w:space="0" w:color="939598"/>
              <w:right w:val="nil"/>
            </w:tcBorders>
          </w:tcPr>
          <w:p w14:paraId="58566E00" w14:textId="77777777" w:rsidR="00345EE3" w:rsidRDefault="00345EE3" w:rsidP="00D73130">
            <w:pPr>
              <w:pStyle w:val="TableParagraph"/>
              <w:spacing w:before="52"/>
              <w:ind w:right="-15"/>
              <w:rPr>
                <w:sz w:val="24"/>
              </w:rPr>
            </w:pPr>
            <w:r>
              <w:rPr>
                <w:color w:val="231F20"/>
                <w:sz w:val="24"/>
              </w:rPr>
              <w:t>6</w:t>
            </w:r>
          </w:p>
        </w:tc>
      </w:tr>
      <w:tr w:rsidR="00345EE3" w14:paraId="1176509C" w14:textId="77777777" w:rsidTr="00D73130">
        <w:trPr>
          <w:trHeight w:val="379"/>
        </w:trPr>
        <w:tc>
          <w:tcPr>
            <w:tcW w:w="3997" w:type="dxa"/>
            <w:tcBorders>
              <w:left w:val="nil"/>
              <w:right w:val="dashed" w:sz="2" w:space="0" w:color="939598"/>
            </w:tcBorders>
          </w:tcPr>
          <w:p w14:paraId="15C6C9C5" w14:textId="77777777" w:rsidR="00345EE3" w:rsidRDefault="00345EE3" w:rsidP="00D73130">
            <w:pPr>
              <w:pStyle w:val="TableParagraph"/>
              <w:spacing w:before="52"/>
              <w:ind w:left="-3"/>
              <w:jc w:val="left"/>
              <w:rPr>
                <w:sz w:val="14"/>
              </w:rPr>
            </w:pPr>
            <w:r>
              <w:rPr>
                <w:color w:val="231F20"/>
                <w:sz w:val="24"/>
              </w:rPr>
              <w:t xml:space="preserve">Imitation </w:t>
            </w:r>
            <w:r>
              <w:rPr>
                <w:color w:val="231F20"/>
                <w:spacing w:val="-2"/>
                <w:sz w:val="24"/>
              </w:rPr>
              <w:t>Firearm</w:t>
            </w:r>
            <w:r>
              <w:rPr>
                <w:color w:val="231F20"/>
                <w:spacing w:val="-2"/>
                <w:position w:val="8"/>
                <w:sz w:val="14"/>
              </w:rPr>
              <w:t>9</w:t>
            </w:r>
          </w:p>
        </w:tc>
        <w:tc>
          <w:tcPr>
            <w:tcW w:w="1701" w:type="dxa"/>
            <w:tcBorders>
              <w:left w:val="dashed" w:sz="2" w:space="0" w:color="939598"/>
              <w:right w:val="nil"/>
            </w:tcBorders>
          </w:tcPr>
          <w:p w14:paraId="0637459D" w14:textId="77777777" w:rsidR="00345EE3" w:rsidRDefault="00345EE3" w:rsidP="00D73130">
            <w:pPr>
              <w:pStyle w:val="TableParagraph"/>
              <w:spacing w:before="52"/>
              <w:rPr>
                <w:sz w:val="24"/>
              </w:rPr>
            </w:pPr>
            <w:r>
              <w:rPr>
                <w:color w:val="231F20"/>
                <w:spacing w:val="-5"/>
                <w:sz w:val="24"/>
              </w:rPr>
              <w:t>13</w:t>
            </w:r>
          </w:p>
        </w:tc>
      </w:tr>
      <w:tr w:rsidR="00345EE3" w14:paraId="59B95AF3" w14:textId="77777777" w:rsidTr="00D73130">
        <w:trPr>
          <w:trHeight w:val="379"/>
        </w:trPr>
        <w:tc>
          <w:tcPr>
            <w:tcW w:w="3997" w:type="dxa"/>
            <w:tcBorders>
              <w:left w:val="nil"/>
              <w:right w:val="dashed" w:sz="2" w:space="0" w:color="939598"/>
            </w:tcBorders>
          </w:tcPr>
          <w:p w14:paraId="02FF2979" w14:textId="77777777" w:rsidR="00345EE3" w:rsidRDefault="00345EE3" w:rsidP="00D73130">
            <w:pPr>
              <w:pStyle w:val="TableParagraph"/>
              <w:spacing w:before="52"/>
              <w:ind w:left="-3"/>
              <w:jc w:val="left"/>
              <w:rPr>
                <w:sz w:val="24"/>
              </w:rPr>
            </w:pPr>
            <w:r>
              <w:rPr>
                <w:color w:val="231F20"/>
                <w:sz w:val="24"/>
              </w:rPr>
              <w:t xml:space="preserve">Imitation </w:t>
            </w:r>
            <w:r>
              <w:rPr>
                <w:color w:val="231F20"/>
                <w:spacing w:val="-2"/>
                <w:sz w:val="24"/>
              </w:rPr>
              <w:t>Handgun</w:t>
            </w:r>
          </w:p>
        </w:tc>
        <w:tc>
          <w:tcPr>
            <w:tcW w:w="1701" w:type="dxa"/>
            <w:tcBorders>
              <w:left w:val="dashed" w:sz="2" w:space="0" w:color="939598"/>
              <w:right w:val="nil"/>
            </w:tcBorders>
          </w:tcPr>
          <w:p w14:paraId="11E6AE4C" w14:textId="77777777" w:rsidR="00345EE3" w:rsidRDefault="00345EE3" w:rsidP="00D73130">
            <w:pPr>
              <w:pStyle w:val="TableParagraph"/>
              <w:spacing w:before="52"/>
              <w:ind w:right="-15"/>
              <w:rPr>
                <w:sz w:val="24"/>
              </w:rPr>
            </w:pPr>
            <w:r>
              <w:rPr>
                <w:color w:val="231F20"/>
                <w:sz w:val="24"/>
              </w:rPr>
              <w:t>3</w:t>
            </w:r>
          </w:p>
        </w:tc>
      </w:tr>
      <w:tr w:rsidR="00345EE3" w14:paraId="0CBDDEFB" w14:textId="77777777" w:rsidTr="00D73130">
        <w:trPr>
          <w:trHeight w:val="379"/>
        </w:trPr>
        <w:tc>
          <w:tcPr>
            <w:tcW w:w="3997" w:type="dxa"/>
            <w:tcBorders>
              <w:left w:val="nil"/>
              <w:right w:val="dashed" w:sz="2" w:space="0" w:color="939598"/>
            </w:tcBorders>
          </w:tcPr>
          <w:p w14:paraId="36E2F5BE" w14:textId="77777777" w:rsidR="00345EE3" w:rsidRDefault="00345EE3" w:rsidP="00D73130">
            <w:pPr>
              <w:pStyle w:val="TableParagraph"/>
              <w:spacing w:before="52"/>
              <w:ind w:left="-3"/>
              <w:jc w:val="left"/>
              <w:rPr>
                <w:sz w:val="24"/>
              </w:rPr>
            </w:pPr>
            <w:r>
              <w:rPr>
                <w:color w:val="231F20"/>
                <w:spacing w:val="-2"/>
                <w:sz w:val="24"/>
              </w:rPr>
              <w:t>Longarm</w:t>
            </w:r>
          </w:p>
        </w:tc>
        <w:tc>
          <w:tcPr>
            <w:tcW w:w="1701" w:type="dxa"/>
            <w:tcBorders>
              <w:left w:val="dashed" w:sz="2" w:space="0" w:color="939598"/>
              <w:right w:val="nil"/>
            </w:tcBorders>
          </w:tcPr>
          <w:p w14:paraId="3BFA4F38" w14:textId="77777777" w:rsidR="00345EE3" w:rsidRDefault="00345EE3" w:rsidP="00D73130">
            <w:pPr>
              <w:pStyle w:val="TableParagraph"/>
              <w:spacing w:before="52"/>
              <w:ind w:right="-15"/>
              <w:rPr>
                <w:sz w:val="24"/>
              </w:rPr>
            </w:pPr>
            <w:r>
              <w:rPr>
                <w:color w:val="231F20"/>
                <w:sz w:val="24"/>
              </w:rPr>
              <w:t>0</w:t>
            </w:r>
          </w:p>
        </w:tc>
      </w:tr>
      <w:tr w:rsidR="00345EE3" w14:paraId="569C8865" w14:textId="77777777" w:rsidTr="00D73130">
        <w:trPr>
          <w:trHeight w:val="379"/>
        </w:trPr>
        <w:tc>
          <w:tcPr>
            <w:tcW w:w="3997" w:type="dxa"/>
            <w:tcBorders>
              <w:left w:val="nil"/>
              <w:right w:val="dashed" w:sz="2" w:space="0" w:color="939598"/>
            </w:tcBorders>
          </w:tcPr>
          <w:p w14:paraId="6B1FE92C" w14:textId="77777777" w:rsidR="00345EE3" w:rsidRDefault="00345EE3" w:rsidP="00D73130">
            <w:pPr>
              <w:pStyle w:val="TableParagraph"/>
              <w:spacing w:before="52"/>
              <w:ind w:left="-3"/>
              <w:jc w:val="left"/>
              <w:rPr>
                <w:sz w:val="24"/>
              </w:rPr>
            </w:pPr>
            <w:r>
              <w:rPr>
                <w:color w:val="231F20"/>
                <w:spacing w:val="-2"/>
                <w:sz w:val="24"/>
              </w:rPr>
              <w:t>Magazine</w:t>
            </w:r>
          </w:p>
        </w:tc>
        <w:tc>
          <w:tcPr>
            <w:tcW w:w="1701" w:type="dxa"/>
            <w:tcBorders>
              <w:left w:val="dashed" w:sz="2" w:space="0" w:color="939598"/>
              <w:right w:val="nil"/>
            </w:tcBorders>
          </w:tcPr>
          <w:p w14:paraId="42411A58" w14:textId="77777777" w:rsidR="00345EE3" w:rsidRDefault="00345EE3" w:rsidP="00D73130">
            <w:pPr>
              <w:pStyle w:val="TableParagraph"/>
              <w:spacing w:before="52"/>
              <w:ind w:right="-15"/>
              <w:rPr>
                <w:sz w:val="24"/>
              </w:rPr>
            </w:pPr>
            <w:r>
              <w:rPr>
                <w:color w:val="231F20"/>
                <w:sz w:val="24"/>
              </w:rPr>
              <w:t>5</w:t>
            </w:r>
          </w:p>
        </w:tc>
      </w:tr>
      <w:tr w:rsidR="00345EE3" w14:paraId="31A700B6" w14:textId="77777777" w:rsidTr="00D73130">
        <w:trPr>
          <w:trHeight w:val="379"/>
        </w:trPr>
        <w:tc>
          <w:tcPr>
            <w:tcW w:w="3997" w:type="dxa"/>
            <w:tcBorders>
              <w:left w:val="nil"/>
              <w:right w:val="dashed" w:sz="2" w:space="0" w:color="939598"/>
            </w:tcBorders>
          </w:tcPr>
          <w:p w14:paraId="4E297025" w14:textId="77777777" w:rsidR="00345EE3" w:rsidRDefault="00345EE3" w:rsidP="00D73130">
            <w:pPr>
              <w:pStyle w:val="TableParagraph"/>
              <w:spacing w:before="52"/>
              <w:ind w:left="-3"/>
              <w:jc w:val="left"/>
              <w:rPr>
                <w:sz w:val="24"/>
              </w:rPr>
            </w:pPr>
            <w:r>
              <w:rPr>
                <w:color w:val="231F20"/>
                <w:sz w:val="24"/>
              </w:rPr>
              <w:t xml:space="preserve">Pen </w:t>
            </w:r>
            <w:r>
              <w:rPr>
                <w:color w:val="231F20"/>
                <w:spacing w:val="-5"/>
                <w:sz w:val="24"/>
              </w:rPr>
              <w:t>Gun</w:t>
            </w:r>
          </w:p>
        </w:tc>
        <w:tc>
          <w:tcPr>
            <w:tcW w:w="1701" w:type="dxa"/>
            <w:tcBorders>
              <w:left w:val="dashed" w:sz="2" w:space="0" w:color="939598"/>
              <w:right w:val="nil"/>
            </w:tcBorders>
          </w:tcPr>
          <w:p w14:paraId="26C01309" w14:textId="77777777" w:rsidR="00345EE3" w:rsidRDefault="00345EE3" w:rsidP="00D73130">
            <w:pPr>
              <w:pStyle w:val="TableParagraph"/>
              <w:spacing w:before="52"/>
              <w:ind w:right="-15"/>
              <w:rPr>
                <w:sz w:val="24"/>
              </w:rPr>
            </w:pPr>
            <w:r>
              <w:rPr>
                <w:color w:val="231F20"/>
                <w:sz w:val="24"/>
              </w:rPr>
              <w:t>2</w:t>
            </w:r>
          </w:p>
        </w:tc>
      </w:tr>
      <w:tr w:rsidR="00345EE3" w14:paraId="51DC698F" w14:textId="77777777" w:rsidTr="00D73130">
        <w:trPr>
          <w:trHeight w:val="379"/>
        </w:trPr>
        <w:tc>
          <w:tcPr>
            <w:tcW w:w="3997" w:type="dxa"/>
            <w:tcBorders>
              <w:left w:val="nil"/>
              <w:right w:val="dashed" w:sz="2" w:space="0" w:color="939598"/>
            </w:tcBorders>
          </w:tcPr>
          <w:p w14:paraId="6ED301AF" w14:textId="77777777" w:rsidR="00345EE3" w:rsidRDefault="00345EE3" w:rsidP="00D73130">
            <w:pPr>
              <w:pStyle w:val="TableParagraph"/>
              <w:spacing w:before="52"/>
              <w:ind w:left="-3"/>
              <w:jc w:val="left"/>
              <w:rPr>
                <w:sz w:val="24"/>
              </w:rPr>
            </w:pPr>
            <w:r>
              <w:rPr>
                <w:color w:val="231F20"/>
                <w:spacing w:val="-2"/>
                <w:sz w:val="24"/>
              </w:rPr>
              <w:t>Rifle</w:t>
            </w:r>
          </w:p>
        </w:tc>
        <w:tc>
          <w:tcPr>
            <w:tcW w:w="1701" w:type="dxa"/>
            <w:tcBorders>
              <w:left w:val="dashed" w:sz="2" w:space="0" w:color="939598"/>
              <w:right w:val="nil"/>
            </w:tcBorders>
          </w:tcPr>
          <w:p w14:paraId="2FF47FED" w14:textId="77777777" w:rsidR="00345EE3" w:rsidRDefault="00345EE3" w:rsidP="00D73130">
            <w:pPr>
              <w:pStyle w:val="TableParagraph"/>
              <w:spacing w:before="52"/>
              <w:rPr>
                <w:sz w:val="24"/>
              </w:rPr>
            </w:pPr>
            <w:r>
              <w:rPr>
                <w:color w:val="231F20"/>
                <w:spacing w:val="-5"/>
                <w:sz w:val="24"/>
              </w:rPr>
              <w:t>15</w:t>
            </w:r>
          </w:p>
        </w:tc>
      </w:tr>
      <w:tr w:rsidR="00345EE3" w14:paraId="35058107" w14:textId="77777777" w:rsidTr="00D73130">
        <w:trPr>
          <w:trHeight w:val="379"/>
        </w:trPr>
        <w:tc>
          <w:tcPr>
            <w:tcW w:w="3997" w:type="dxa"/>
            <w:tcBorders>
              <w:left w:val="nil"/>
              <w:right w:val="dashed" w:sz="2" w:space="0" w:color="939598"/>
            </w:tcBorders>
          </w:tcPr>
          <w:p w14:paraId="0FCA7136" w14:textId="77777777" w:rsidR="00345EE3" w:rsidRDefault="00345EE3" w:rsidP="00D73130">
            <w:pPr>
              <w:pStyle w:val="TableParagraph"/>
              <w:spacing w:before="52"/>
              <w:ind w:left="-3"/>
              <w:jc w:val="left"/>
              <w:rPr>
                <w:sz w:val="24"/>
              </w:rPr>
            </w:pPr>
            <w:r>
              <w:rPr>
                <w:color w:val="231F20"/>
                <w:sz w:val="24"/>
              </w:rPr>
              <w:t>Sawn-Off</w:t>
            </w:r>
            <w:r>
              <w:rPr>
                <w:color w:val="231F20"/>
                <w:spacing w:val="-5"/>
                <w:sz w:val="24"/>
              </w:rPr>
              <w:t xml:space="preserve"> </w:t>
            </w:r>
            <w:r>
              <w:rPr>
                <w:color w:val="231F20"/>
                <w:spacing w:val="-2"/>
                <w:sz w:val="24"/>
              </w:rPr>
              <w:t>Firearm</w:t>
            </w:r>
          </w:p>
        </w:tc>
        <w:tc>
          <w:tcPr>
            <w:tcW w:w="1701" w:type="dxa"/>
            <w:tcBorders>
              <w:left w:val="dashed" w:sz="2" w:space="0" w:color="939598"/>
              <w:right w:val="nil"/>
            </w:tcBorders>
          </w:tcPr>
          <w:p w14:paraId="6465EB6C" w14:textId="77777777" w:rsidR="00345EE3" w:rsidRDefault="00345EE3" w:rsidP="00D73130">
            <w:pPr>
              <w:pStyle w:val="TableParagraph"/>
              <w:spacing w:before="52"/>
              <w:ind w:right="-15"/>
              <w:rPr>
                <w:sz w:val="24"/>
              </w:rPr>
            </w:pPr>
            <w:r>
              <w:rPr>
                <w:color w:val="231F20"/>
                <w:sz w:val="24"/>
              </w:rPr>
              <w:t>4</w:t>
            </w:r>
          </w:p>
        </w:tc>
      </w:tr>
      <w:tr w:rsidR="00345EE3" w14:paraId="0E846F7F" w14:textId="77777777" w:rsidTr="00D73130">
        <w:trPr>
          <w:trHeight w:val="379"/>
        </w:trPr>
        <w:tc>
          <w:tcPr>
            <w:tcW w:w="3997" w:type="dxa"/>
            <w:tcBorders>
              <w:left w:val="nil"/>
              <w:right w:val="dashed" w:sz="2" w:space="0" w:color="939598"/>
            </w:tcBorders>
          </w:tcPr>
          <w:p w14:paraId="2F33A783" w14:textId="77777777" w:rsidR="00345EE3" w:rsidRDefault="00345EE3" w:rsidP="00D73130">
            <w:pPr>
              <w:pStyle w:val="TableParagraph"/>
              <w:spacing w:before="52"/>
              <w:ind w:left="-3"/>
              <w:jc w:val="left"/>
              <w:rPr>
                <w:sz w:val="24"/>
              </w:rPr>
            </w:pPr>
            <w:r>
              <w:rPr>
                <w:color w:val="231F20"/>
                <w:spacing w:val="-2"/>
                <w:sz w:val="24"/>
              </w:rPr>
              <w:t>Shotgun</w:t>
            </w:r>
          </w:p>
        </w:tc>
        <w:tc>
          <w:tcPr>
            <w:tcW w:w="1701" w:type="dxa"/>
            <w:tcBorders>
              <w:left w:val="dashed" w:sz="2" w:space="0" w:color="939598"/>
              <w:right w:val="nil"/>
            </w:tcBorders>
          </w:tcPr>
          <w:p w14:paraId="6BAE0861" w14:textId="77777777" w:rsidR="00345EE3" w:rsidRDefault="00345EE3" w:rsidP="00D73130">
            <w:pPr>
              <w:pStyle w:val="TableParagraph"/>
              <w:spacing w:before="52"/>
              <w:ind w:right="-15"/>
              <w:rPr>
                <w:sz w:val="24"/>
              </w:rPr>
            </w:pPr>
            <w:r>
              <w:rPr>
                <w:color w:val="231F20"/>
                <w:sz w:val="24"/>
              </w:rPr>
              <w:t>4</w:t>
            </w:r>
          </w:p>
        </w:tc>
      </w:tr>
      <w:tr w:rsidR="00345EE3" w14:paraId="7C0CFF6C" w14:textId="77777777" w:rsidTr="00D73130">
        <w:trPr>
          <w:trHeight w:val="379"/>
        </w:trPr>
        <w:tc>
          <w:tcPr>
            <w:tcW w:w="3997" w:type="dxa"/>
            <w:tcBorders>
              <w:left w:val="nil"/>
              <w:right w:val="dashed" w:sz="2" w:space="0" w:color="939598"/>
            </w:tcBorders>
          </w:tcPr>
          <w:p w14:paraId="09B6112A" w14:textId="77777777" w:rsidR="00345EE3" w:rsidRDefault="00345EE3" w:rsidP="00D73130">
            <w:pPr>
              <w:pStyle w:val="TableParagraph"/>
              <w:spacing w:before="52"/>
              <w:ind w:left="-3"/>
              <w:jc w:val="left"/>
              <w:rPr>
                <w:sz w:val="24"/>
              </w:rPr>
            </w:pPr>
            <w:r>
              <w:rPr>
                <w:color w:val="231F20"/>
                <w:spacing w:val="-2"/>
                <w:sz w:val="24"/>
              </w:rPr>
              <w:t>Silencer</w:t>
            </w:r>
          </w:p>
        </w:tc>
        <w:tc>
          <w:tcPr>
            <w:tcW w:w="1701" w:type="dxa"/>
            <w:tcBorders>
              <w:left w:val="dashed" w:sz="2" w:space="0" w:color="939598"/>
              <w:right w:val="nil"/>
            </w:tcBorders>
          </w:tcPr>
          <w:p w14:paraId="28BD2A50" w14:textId="77777777" w:rsidR="00345EE3" w:rsidRDefault="00345EE3" w:rsidP="00D73130">
            <w:pPr>
              <w:pStyle w:val="TableParagraph"/>
              <w:spacing w:before="52"/>
              <w:ind w:right="-15"/>
              <w:rPr>
                <w:sz w:val="24"/>
              </w:rPr>
            </w:pPr>
            <w:r>
              <w:rPr>
                <w:color w:val="231F20"/>
                <w:sz w:val="24"/>
              </w:rPr>
              <w:t>1</w:t>
            </w:r>
          </w:p>
        </w:tc>
      </w:tr>
      <w:tr w:rsidR="00345EE3" w14:paraId="76F36AE9" w14:textId="77777777" w:rsidTr="00D73130">
        <w:trPr>
          <w:trHeight w:val="374"/>
        </w:trPr>
        <w:tc>
          <w:tcPr>
            <w:tcW w:w="3997" w:type="dxa"/>
            <w:tcBorders>
              <w:left w:val="nil"/>
              <w:bottom w:val="single" w:sz="6" w:space="0" w:color="231F20"/>
            </w:tcBorders>
          </w:tcPr>
          <w:p w14:paraId="19AFD390" w14:textId="77777777" w:rsidR="00345EE3" w:rsidRDefault="00345EE3" w:rsidP="00D73130">
            <w:pPr>
              <w:pStyle w:val="TableParagraph"/>
              <w:spacing w:before="52"/>
              <w:ind w:left="-3"/>
              <w:jc w:val="left"/>
              <w:rPr>
                <w:b/>
                <w:sz w:val="24"/>
              </w:rPr>
            </w:pPr>
            <w:r>
              <w:rPr>
                <w:b/>
                <w:color w:val="231F20"/>
                <w:spacing w:val="-2"/>
                <w:sz w:val="24"/>
              </w:rPr>
              <w:t>Total</w:t>
            </w:r>
          </w:p>
        </w:tc>
        <w:tc>
          <w:tcPr>
            <w:tcW w:w="1701" w:type="dxa"/>
            <w:tcBorders>
              <w:bottom w:val="single" w:sz="6" w:space="0" w:color="231F20"/>
              <w:right w:val="nil"/>
            </w:tcBorders>
          </w:tcPr>
          <w:p w14:paraId="09540293" w14:textId="77777777" w:rsidR="00345EE3" w:rsidRDefault="00345EE3" w:rsidP="00D73130">
            <w:pPr>
              <w:pStyle w:val="TableParagraph"/>
              <w:spacing w:before="52"/>
              <w:ind w:right="-15"/>
              <w:rPr>
                <w:b/>
                <w:sz w:val="24"/>
              </w:rPr>
            </w:pPr>
            <w:r>
              <w:rPr>
                <w:b/>
                <w:color w:val="231F20"/>
                <w:spacing w:val="-5"/>
                <w:sz w:val="24"/>
              </w:rPr>
              <w:t>83</w:t>
            </w:r>
          </w:p>
        </w:tc>
      </w:tr>
    </w:tbl>
    <w:p w14:paraId="73595E9C" w14:textId="77777777" w:rsidR="00345EE3" w:rsidRPr="00BD27F9" w:rsidRDefault="00345EE3" w:rsidP="00345EE3">
      <w:pPr>
        <w:spacing w:before="77"/>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Corporate</w:t>
      </w:r>
      <w:r w:rsidRPr="00BD27F9">
        <w:rPr>
          <w:color w:val="231F20"/>
          <w:spacing w:val="1"/>
          <w:sz w:val="18"/>
          <w:szCs w:val="18"/>
        </w:rPr>
        <w:t xml:space="preserve"> </w:t>
      </w:r>
      <w:r w:rsidRPr="00BD27F9">
        <w:rPr>
          <w:color w:val="231F20"/>
          <w:sz w:val="18"/>
          <w:szCs w:val="18"/>
        </w:rPr>
        <w:t>Statistics Unit,</w:t>
      </w:r>
      <w:r w:rsidRPr="00BD27F9">
        <w:rPr>
          <w:color w:val="231F20"/>
          <w:spacing w:val="1"/>
          <w:sz w:val="18"/>
          <w:szCs w:val="18"/>
        </w:rPr>
        <w:t xml:space="preserve"> </w:t>
      </w:r>
      <w:r w:rsidRPr="00BD27F9">
        <w:rPr>
          <w:color w:val="231F20"/>
          <w:sz w:val="18"/>
          <w:szCs w:val="18"/>
        </w:rPr>
        <w:t>Data extracted</w:t>
      </w:r>
      <w:r w:rsidRPr="00BD27F9">
        <w:rPr>
          <w:color w:val="231F20"/>
          <w:spacing w:val="1"/>
          <w:sz w:val="18"/>
          <w:szCs w:val="18"/>
        </w:rPr>
        <w:t xml:space="preserve"> </w:t>
      </w:r>
      <w:r w:rsidRPr="00BD27F9">
        <w:rPr>
          <w:color w:val="231F20"/>
          <w:sz w:val="18"/>
          <w:szCs w:val="18"/>
        </w:rPr>
        <w:t>from LEAP</w:t>
      </w:r>
      <w:r w:rsidRPr="00BD27F9">
        <w:rPr>
          <w:color w:val="231F20"/>
          <w:spacing w:val="1"/>
          <w:sz w:val="18"/>
          <w:szCs w:val="18"/>
        </w:rPr>
        <w:t xml:space="preserve"> </w:t>
      </w:r>
      <w:r w:rsidRPr="00BD27F9">
        <w:rPr>
          <w:color w:val="231F20"/>
          <w:sz w:val="18"/>
          <w:szCs w:val="18"/>
        </w:rPr>
        <w:t>on 5</w:t>
      </w:r>
      <w:r w:rsidRPr="00BD27F9">
        <w:rPr>
          <w:color w:val="231F20"/>
          <w:spacing w:val="1"/>
          <w:sz w:val="18"/>
          <w:szCs w:val="18"/>
        </w:rPr>
        <w:t xml:space="preserve"> </w:t>
      </w:r>
      <w:r w:rsidRPr="00BD27F9">
        <w:rPr>
          <w:color w:val="231F20"/>
          <w:sz w:val="18"/>
          <w:szCs w:val="18"/>
        </w:rPr>
        <w:t>July 2022</w:t>
      </w:r>
      <w:r w:rsidRPr="00BD27F9">
        <w:rPr>
          <w:color w:val="231F20"/>
          <w:spacing w:val="1"/>
          <w:sz w:val="18"/>
          <w:szCs w:val="18"/>
        </w:rPr>
        <w:t xml:space="preserve"> </w:t>
      </w:r>
      <w:r w:rsidRPr="00BD27F9">
        <w:rPr>
          <w:color w:val="231F20"/>
          <w:sz w:val="18"/>
          <w:szCs w:val="18"/>
        </w:rPr>
        <w:t>and based</w:t>
      </w:r>
      <w:r w:rsidRPr="00BD27F9">
        <w:rPr>
          <w:color w:val="231F20"/>
          <w:spacing w:val="1"/>
          <w:sz w:val="18"/>
          <w:szCs w:val="18"/>
        </w:rPr>
        <w:t xml:space="preserve"> </w:t>
      </w:r>
      <w:r w:rsidRPr="00BD27F9">
        <w:rPr>
          <w:color w:val="231F20"/>
          <w:sz w:val="18"/>
          <w:szCs w:val="18"/>
        </w:rPr>
        <w:t>on Field</w:t>
      </w:r>
      <w:r w:rsidRPr="00BD27F9">
        <w:rPr>
          <w:color w:val="231F20"/>
          <w:spacing w:val="1"/>
          <w:sz w:val="18"/>
          <w:szCs w:val="18"/>
        </w:rPr>
        <w:t xml:space="preserve"> </w:t>
      </w:r>
      <w:r w:rsidRPr="00BD27F9">
        <w:rPr>
          <w:color w:val="231F20"/>
          <w:sz w:val="18"/>
          <w:szCs w:val="18"/>
        </w:rPr>
        <w:t>Contact</w:t>
      </w:r>
      <w:r w:rsidRPr="00BD27F9">
        <w:rPr>
          <w:color w:val="231F20"/>
          <w:spacing w:val="1"/>
          <w:sz w:val="18"/>
          <w:szCs w:val="18"/>
        </w:rPr>
        <w:t xml:space="preserve"> </w:t>
      </w:r>
      <w:r w:rsidRPr="00BD27F9">
        <w:rPr>
          <w:color w:val="231F20"/>
          <w:spacing w:val="-2"/>
          <w:sz w:val="18"/>
          <w:szCs w:val="18"/>
        </w:rPr>
        <w:t>data.</w:t>
      </w:r>
    </w:p>
    <w:p w14:paraId="468F6B27" w14:textId="77777777" w:rsidR="00345EE3" w:rsidRPr="00BD27F9" w:rsidRDefault="00345EE3" w:rsidP="00345EE3">
      <w:pPr>
        <w:spacing w:before="27"/>
        <w:ind w:left="110"/>
        <w:rPr>
          <w:sz w:val="18"/>
          <w:szCs w:val="18"/>
        </w:rPr>
      </w:pPr>
      <w:r w:rsidRPr="00BD27F9">
        <w:rPr>
          <w:rFonts w:ascii="Arial-BoldItalicMT"/>
          <w:b/>
          <w:i/>
          <w:color w:val="231F20"/>
          <w:sz w:val="18"/>
          <w:szCs w:val="18"/>
        </w:rPr>
        <w:t>Notes:</w:t>
      </w:r>
      <w:r w:rsidRPr="00BD27F9">
        <w:rPr>
          <w:rFonts w:ascii="Arial-BoldItalicMT"/>
          <w:b/>
          <w:i/>
          <w:color w:val="231F20"/>
          <w:spacing w:val="2"/>
          <w:sz w:val="18"/>
          <w:szCs w:val="18"/>
        </w:rPr>
        <w:t xml:space="preserve"> </w:t>
      </w:r>
      <w:r w:rsidRPr="00BD27F9">
        <w:rPr>
          <w:color w:val="231F20"/>
          <w:sz w:val="18"/>
          <w:szCs w:val="18"/>
        </w:rPr>
        <w:t>Firearms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are</w:t>
      </w:r>
      <w:r w:rsidRPr="00BD27F9">
        <w:rPr>
          <w:color w:val="231F20"/>
          <w:spacing w:val="-1"/>
          <w:sz w:val="18"/>
          <w:szCs w:val="18"/>
        </w:rPr>
        <w:t xml:space="preserve"> </w:t>
      </w:r>
      <w:r w:rsidRPr="00BD27F9">
        <w:rPr>
          <w:color w:val="231F20"/>
          <w:sz w:val="18"/>
          <w:szCs w:val="18"/>
        </w:rPr>
        <w:t>firearms</w:t>
      </w:r>
      <w:r w:rsidRPr="00BD27F9">
        <w:rPr>
          <w:color w:val="231F20"/>
          <w:spacing w:val="-1"/>
          <w:sz w:val="18"/>
          <w:szCs w:val="18"/>
        </w:rPr>
        <w:t xml:space="preserve"> </w:t>
      </w:r>
      <w:r w:rsidRPr="00BD27F9">
        <w:rPr>
          <w:color w:val="231F20"/>
          <w:sz w:val="18"/>
          <w:szCs w:val="18"/>
        </w:rPr>
        <w:t>recorded</w:t>
      </w:r>
      <w:r w:rsidRPr="00BD27F9">
        <w:rPr>
          <w:color w:val="231F20"/>
          <w:spacing w:val="-1"/>
          <w:sz w:val="18"/>
          <w:szCs w:val="18"/>
        </w:rPr>
        <w:t xml:space="preserve"> </w:t>
      </w:r>
      <w:r w:rsidRPr="00BD27F9">
        <w:rPr>
          <w:color w:val="231F20"/>
          <w:sz w:val="18"/>
          <w:szCs w:val="18"/>
        </w:rPr>
        <w:t>in</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narratives</w:t>
      </w:r>
      <w:r w:rsidRPr="00BD27F9">
        <w:rPr>
          <w:color w:val="231F20"/>
          <w:spacing w:val="-1"/>
          <w:sz w:val="18"/>
          <w:szCs w:val="18"/>
        </w:rPr>
        <w:t xml:space="preserve"> </w:t>
      </w:r>
      <w:r w:rsidRPr="00BD27F9">
        <w:rPr>
          <w:color w:val="231F20"/>
          <w:sz w:val="18"/>
          <w:szCs w:val="18"/>
        </w:rPr>
        <w:t>and/or</w:t>
      </w:r>
      <w:r w:rsidRPr="00BD27F9">
        <w:rPr>
          <w:color w:val="231F20"/>
          <w:spacing w:val="-1"/>
          <w:sz w:val="18"/>
          <w:szCs w:val="18"/>
        </w:rPr>
        <w:t xml:space="preserve"> </w:t>
      </w:r>
      <w:r w:rsidRPr="00BD27F9">
        <w:rPr>
          <w:color w:val="231F20"/>
          <w:sz w:val="18"/>
          <w:szCs w:val="18"/>
        </w:rPr>
        <w:t>recorded</w:t>
      </w:r>
      <w:r w:rsidRPr="00BD27F9">
        <w:rPr>
          <w:color w:val="231F20"/>
          <w:spacing w:val="-1"/>
          <w:sz w:val="18"/>
          <w:szCs w:val="18"/>
        </w:rPr>
        <w:t xml:space="preserve"> </w:t>
      </w:r>
      <w:r w:rsidRPr="00BD27F9">
        <w:rPr>
          <w:color w:val="231F20"/>
          <w:sz w:val="18"/>
          <w:szCs w:val="18"/>
        </w:rPr>
        <w:t>as</w:t>
      </w:r>
      <w:r w:rsidRPr="00BD27F9">
        <w:rPr>
          <w:color w:val="231F20"/>
          <w:spacing w:val="-1"/>
          <w:sz w:val="18"/>
          <w:szCs w:val="18"/>
        </w:rPr>
        <w:t xml:space="preserve"> </w:t>
      </w:r>
      <w:r w:rsidRPr="00BD27F9">
        <w:rPr>
          <w:color w:val="231F20"/>
          <w:sz w:val="18"/>
          <w:szCs w:val="18"/>
        </w:rPr>
        <w:t>a</w:t>
      </w:r>
      <w:r w:rsidRPr="00BD27F9">
        <w:rPr>
          <w:color w:val="231F20"/>
          <w:spacing w:val="-1"/>
          <w:sz w:val="18"/>
          <w:szCs w:val="18"/>
        </w:rPr>
        <w:t xml:space="preserve"> </w:t>
      </w:r>
      <w:r w:rsidRPr="00BD27F9">
        <w:rPr>
          <w:color w:val="231F20"/>
          <w:sz w:val="18"/>
          <w:szCs w:val="18"/>
        </w:rPr>
        <w:t>MO</w:t>
      </w:r>
      <w:r w:rsidRPr="00BD27F9">
        <w:rPr>
          <w:color w:val="231F20"/>
          <w:spacing w:val="-1"/>
          <w:sz w:val="18"/>
          <w:szCs w:val="18"/>
        </w:rPr>
        <w:t xml:space="preserve"> </w:t>
      </w:r>
      <w:r w:rsidRPr="00BD27F9">
        <w:rPr>
          <w:color w:val="231F20"/>
          <w:sz w:val="18"/>
          <w:szCs w:val="18"/>
        </w:rPr>
        <w:t>code</w:t>
      </w:r>
      <w:r w:rsidRPr="00BD27F9">
        <w:rPr>
          <w:color w:val="231F20"/>
          <w:spacing w:val="-1"/>
          <w:sz w:val="18"/>
          <w:szCs w:val="18"/>
        </w:rPr>
        <w:t xml:space="preserve"> </w:t>
      </w:r>
      <w:r w:rsidRPr="00BD27F9">
        <w:rPr>
          <w:color w:val="231F20"/>
          <w:sz w:val="18"/>
          <w:szCs w:val="18"/>
        </w:rPr>
        <w:t>therefore</w:t>
      </w:r>
      <w:r w:rsidRPr="00BD27F9">
        <w:rPr>
          <w:color w:val="231F20"/>
          <w:spacing w:val="-1"/>
          <w:sz w:val="18"/>
          <w:szCs w:val="18"/>
        </w:rPr>
        <w:t xml:space="preserve"> </w:t>
      </w:r>
      <w:r w:rsidRPr="00BD27F9">
        <w:rPr>
          <w:color w:val="231F20"/>
          <w:sz w:val="18"/>
          <w:szCs w:val="18"/>
        </w:rPr>
        <w:t>subject</w:t>
      </w:r>
      <w:r w:rsidRPr="00BD27F9">
        <w:rPr>
          <w:color w:val="231F20"/>
          <w:spacing w:val="-1"/>
          <w:sz w:val="18"/>
          <w:szCs w:val="18"/>
        </w:rPr>
        <w:t xml:space="preserve"> </w:t>
      </w:r>
      <w:r w:rsidRPr="00BD27F9">
        <w:rPr>
          <w:color w:val="231F20"/>
          <w:sz w:val="18"/>
          <w:szCs w:val="18"/>
        </w:rPr>
        <w:t xml:space="preserve">to </w:t>
      </w:r>
      <w:r w:rsidRPr="00BD27F9">
        <w:rPr>
          <w:color w:val="231F20"/>
          <w:spacing w:val="-2"/>
          <w:sz w:val="18"/>
          <w:szCs w:val="18"/>
        </w:rPr>
        <w:t>variation.</w:t>
      </w:r>
    </w:p>
    <w:p w14:paraId="070E80FA" w14:textId="77777777" w:rsidR="00345EE3" w:rsidRPr="00BD27F9" w:rsidRDefault="00345EE3">
      <w:pPr>
        <w:pStyle w:val="ListParagraph"/>
        <w:numPr>
          <w:ilvl w:val="0"/>
          <w:numId w:val="78"/>
        </w:numPr>
        <w:tabs>
          <w:tab w:val="left" w:pos="338"/>
        </w:tabs>
        <w:spacing w:before="113"/>
        <w:ind w:hanging="228"/>
        <w:rPr>
          <w:sz w:val="18"/>
          <w:szCs w:val="18"/>
        </w:rPr>
      </w:pPr>
      <w:r w:rsidRPr="00BD27F9">
        <w:rPr>
          <w:color w:val="231F20"/>
          <w:sz w:val="18"/>
          <w:szCs w:val="18"/>
        </w:rPr>
        <w:t>Cartridge</w:t>
      </w:r>
      <w:r w:rsidRPr="00BD27F9">
        <w:rPr>
          <w:color w:val="231F20"/>
          <w:spacing w:val="-2"/>
          <w:sz w:val="18"/>
          <w:szCs w:val="18"/>
        </w:rPr>
        <w:t xml:space="preserve"> </w:t>
      </w:r>
      <w:r w:rsidRPr="00BD27F9">
        <w:rPr>
          <w:color w:val="231F20"/>
          <w:sz w:val="18"/>
          <w:szCs w:val="18"/>
        </w:rPr>
        <w:t>ammunition</w:t>
      </w:r>
      <w:r w:rsidRPr="00BD27F9">
        <w:rPr>
          <w:color w:val="231F20"/>
          <w:spacing w:val="1"/>
          <w:sz w:val="18"/>
          <w:szCs w:val="18"/>
        </w:rPr>
        <w:t xml:space="preserve"> </w:t>
      </w:r>
      <w:r w:rsidRPr="00BD27F9">
        <w:rPr>
          <w:color w:val="231F20"/>
          <w:sz w:val="18"/>
          <w:szCs w:val="18"/>
        </w:rPr>
        <w:t>includes</w:t>
      </w:r>
      <w:r w:rsidRPr="00BD27F9">
        <w:rPr>
          <w:color w:val="231F20"/>
          <w:spacing w:val="1"/>
          <w:sz w:val="18"/>
          <w:szCs w:val="18"/>
        </w:rPr>
        <w:t xml:space="preserve"> </w:t>
      </w:r>
      <w:r w:rsidRPr="00BD27F9">
        <w:rPr>
          <w:color w:val="231F20"/>
          <w:sz w:val="18"/>
          <w:szCs w:val="18"/>
        </w:rPr>
        <w:t>all</w:t>
      </w:r>
      <w:r w:rsidRPr="00BD27F9">
        <w:rPr>
          <w:color w:val="231F20"/>
          <w:spacing w:val="1"/>
          <w:sz w:val="18"/>
          <w:szCs w:val="18"/>
        </w:rPr>
        <w:t xml:space="preserve"> </w:t>
      </w:r>
      <w:r w:rsidRPr="00BD27F9">
        <w:rPr>
          <w:color w:val="231F20"/>
          <w:sz w:val="18"/>
          <w:szCs w:val="18"/>
        </w:rPr>
        <w:t>types</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pacing w:val="-2"/>
          <w:sz w:val="18"/>
          <w:szCs w:val="18"/>
        </w:rPr>
        <w:t>ammunitions.</w:t>
      </w:r>
    </w:p>
    <w:p w14:paraId="5276A713" w14:textId="77777777" w:rsidR="00345EE3" w:rsidRPr="00BD27F9" w:rsidRDefault="00345EE3">
      <w:pPr>
        <w:pStyle w:val="ListParagraph"/>
        <w:numPr>
          <w:ilvl w:val="0"/>
          <w:numId w:val="78"/>
        </w:numPr>
        <w:tabs>
          <w:tab w:val="left" w:pos="338"/>
        </w:tabs>
        <w:spacing w:before="27"/>
        <w:ind w:hanging="228"/>
        <w:rPr>
          <w:sz w:val="18"/>
          <w:szCs w:val="18"/>
        </w:rPr>
      </w:pPr>
      <w:r w:rsidRPr="00BD27F9">
        <w:rPr>
          <w:color w:val="231F20"/>
          <w:sz w:val="18"/>
          <w:szCs w:val="18"/>
        </w:rPr>
        <w:t>Gel</w:t>
      </w:r>
      <w:r w:rsidRPr="00BD27F9">
        <w:rPr>
          <w:color w:val="231F20"/>
          <w:spacing w:val="-3"/>
          <w:sz w:val="18"/>
          <w:szCs w:val="18"/>
        </w:rPr>
        <w:t xml:space="preserve"> </w:t>
      </w:r>
      <w:r w:rsidRPr="00BD27F9">
        <w:rPr>
          <w:color w:val="231F20"/>
          <w:sz w:val="18"/>
          <w:szCs w:val="18"/>
        </w:rPr>
        <w:t>blasters</w:t>
      </w:r>
      <w:r w:rsidRPr="00BD27F9">
        <w:rPr>
          <w:color w:val="231F20"/>
          <w:spacing w:val="-1"/>
          <w:sz w:val="18"/>
          <w:szCs w:val="18"/>
        </w:rPr>
        <w:t xml:space="preserve"> </w:t>
      </w:r>
      <w:r w:rsidRPr="00BD27F9">
        <w:rPr>
          <w:color w:val="231F20"/>
          <w:sz w:val="18"/>
          <w:szCs w:val="18"/>
        </w:rPr>
        <w:t>are classified</w:t>
      </w:r>
      <w:r w:rsidRPr="00BD27F9">
        <w:rPr>
          <w:color w:val="231F20"/>
          <w:spacing w:val="-1"/>
          <w:sz w:val="18"/>
          <w:szCs w:val="18"/>
        </w:rPr>
        <w:t xml:space="preserve"> </w:t>
      </w:r>
      <w:r w:rsidRPr="00BD27F9">
        <w:rPr>
          <w:color w:val="231F20"/>
          <w:sz w:val="18"/>
          <w:szCs w:val="18"/>
        </w:rPr>
        <w:t>as</w:t>
      </w:r>
      <w:r w:rsidRPr="00BD27F9">
        <w:rPr>
          <w:color w:val="231F20"/>
          <w:spacing w:val="-1"/>
          <w:sz w:val="18"/>
          <w:szCs w:val="18"/>
        </w:rPr>
        <w:t xml:space="preserve"> </w:t>
      </w:r>
      <w:r w:rsidRPr="00BD27F9">
        <w:rPr>
          <w:color w:val="231F20"/>
          <w:sz w:val="18"/>
          <w:szCs w:val="18"/>
        </w:rPr>
        <w:t xml:space="preserve">Imitation </w:t>
      </w:r>
      <w:r w:rsidRPr="00BD27F9">
        <w:rPr>
          <w:color w:val="231F20"/>
          <w:spacing w:val="-2"/>
          <w:sz w:val="18"/>
          <w:szCs w:val="18"/>
        </w:rPr>
        <w:t>Firearms.</w:t>
      </w:r>
    </w:p>
    <w:p w14:paraId="2CF45CD8" w14:textId="77777777" w:rsidR="00345EE3" w:rsidRDefault="00345EE3" w:rsidP="00345EE3">
      <w:pPr>
        <w:pStyle w:val="BodyText"/>
        <w:spacing w:before="139" w:line="242" w:lineRule="auto"/>
        <w:ind w:right="921"/>
      </w:pPr>
      <w:r>
        <w:rPr>
          <w:color w:val="231F20"/>
        </w:rPr>
        <w:t>In</w:t>
      </w:r>
      <w:r>
        <w:rPr>
          <w:color w:val="231F20"/>
          <w:spacing w:val="-10"/>
        </w:rPr>
        <w:t xml:space="preserve"> </w:t>
      </w:r>
      <w:r>
        <w:rPr>
          <w:color w:val="231F20"/>
        </w:rPr>
        <w:t>reference</w:t>
      </w:r>
      <w:r>
        <w:rPr>
          <w:color w:val="231F20"/>
          <w:spacing w:val="-10"/>
        </w:rPr>
        <w:t xml:space="preserve"> </w:t>
      </w:r>
      <w:r>
        <w:rPr>
          <w:color w:val="231F20"/>
        </w:rPr>
        <w:t>to</w:t>
      </w:r>
      <w:r>
        <w:rPr>
          <w:color w:val="231F20"/>
          <w:spacing w:val="-10"/>
        </w:rPr>
        <w:t xml:space="preserve"> </w:t>
      </w:r>
      <w:r>
        <w:rPr>
          <w:color w:val="231F20"/>
        </w:rPr>
        <w:t>section</w:t>
      </w:r>
      <w:r>
        <w:rPr>
          <w:color w:val="231F20"/>
          <w:spacing w:val="-10"/>
        </w:rPr>
        <w:t xml:space="preserve"> </w:t>
      </w:r>
      <w:r>
        <w:rPr>
          <w:color w:val="231F20"/>
        </w:rPr>
        <w:t>153C</w:t>
      </w:r>
      <w:r>
        <w:rPr>
          <w:color w:val="231F20"/>
          <w:spacing w:val="-10"/>
        </w:rPr>
        <w:t xml:space="preserve"> </w:t>
      </w:r>
      <w:r>
        <w:rPr>
          <w:color w:val="231F20"/>
        </w:rPr>
        <w:t>(c)</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Act,</w:t>
      </w:r>
      <w:r>
        <w:rPr>
          <w:color w:val="231F20"/>
          <w:spacing w:val="-9"/>
        </w:rPr>
        <w:t xml:space="preserve"> </w:t>
      </w:r>
      <w:r>
        <w:rPr>
          <w:color w:val="231F20"/>
        </w:rPr>
        <w:t>no</w:t>
      </w:r>
      <w:r>
        <w:rPr>
          <w:color w:val="231F20"/>
          <w:spacing w:val="-10"/>
        </w:rPr>
        <w:t xml:space="preserve"> </w:t>
      </w:r>
      <w:r>
        <w:rPr>
          <w:color w:val="231F20"/>
        </w:rPr>
        <w:t>information</w:t>
      </w:r>
      <w:r>
        <w:rPr>
          <w:color w:val="231F20"/>
          <w:spacing w:val="-10"/>
        </w:rPr>
        <w:t xml:space="preserve"> </w:t>
      </w:r>
      <w:r>
        <w:rPr>
          <w:color w:val="231F20"/>
        </w:rPr>
        <w:t>was</w:t>
      </w:r>
      <w:r>
        <w:rPr>
          <w:color w:val="231F20"/>
          <w:spacing w:val="-9"/>
        </w:rPr>
        <w:t xml:space="preserve"> </w:t>
      </w:r>
      <w:r>
        <w:rPr>
          <w:color w:val="231F20"/>
        </w:rPr>
        <w:t>requested</w:t>
      </w:r>
      <w:r>
        <w:rPr>
          <w:color w:val="231F20"/>
          <w:spacing w:val="-10"/>
        </w:rPr>
        <w:t xml:space="preserve"> </w:t>
      </w:r>
      <w:r>
        <w:rPr>
          <w:color w:val="231F20"/>
        </w:rPr>
        <w:t>by</w:t>
      </w:r>
      <w:r>
        <w:rPr>
          <w:color w:val="231F20"/>
          <w:spacing w:val="-9"/>
        </w:rPr>
        <w:t xml:space="preserve"> </w:t>
      </w:r>
      <w:r>
        <w:rPr>
          <w:color w:val="231F20"/>
        </w:rPr>
        <w:t>the</w:t>
      </w:r>
      <w:r>
        <w:rPr>
          <w:color w:val="231F20"/>
          <w:spacing w:val="-10"/>
        </w:rPr>
        <w:t xml:space="preserve"> </w:t>
      </w:r>
      <w:r>
        <w:rPr>
          <w:color w:val="231F20"/>
        </w:rPr>
        <w:t>Minister</w:t>
      </w:r>
      <w:r>
        <w:rPr>
          <w:color w:val="231F20"/>
          <w:spacing w:val="-9"/>
        </w:rPr>
        <w:t xml:space="preserve"> </w:t>
      </w:r>
      <w:r>
        <w:rPr>
          <w:color w:val="231F20"/>
        </w:rPr>
        <w:t>in 2021–22 financial year.</w:t>
      </w:r>
    </w:p>
    <w:p w14:paraId="359A9540" w14:textId="77777777" w:rsidR="00345EE3" w:rsidRDefault="00345EE3" w:rsidP="00345EE3">
      <w:pPr>
        <w:rPr>
          <w:b/>
          <w:bCs/>
          <w:color w:val="58595B"/>
          <w:sz w:val="24"/>
          <w:szCs w:val="24"/>
        </w:rPr>
      </w:pPr>
      <w:r>
        <w:rPr>
          <w:color w:val="58595B"/>
        </w:rPr>
        <w:br w:type="page"/>
      </w:r>
    </w:p>
    <w:p w14:paraId="065C765F" w14:textId="77777777" w:rsidR="00345EE3" w:rsidRDefault="00345EE3" w:rsidP="00345EE3">
      <w:pPr>
        <w:pStyle w:val="Heading5"/>
        <w:spacing w:before="172"/>
      </w:pPr>
      <w:r>
        <w:rPr>
          <w:color w:val="58595B"/>
        </w:rPr>
        <w:t xml:space="preserve">Section </w:t>
      </w:r>
      <w:r>
        <w:rPr>
          <w:color w:val="58595B"/>
          <w:spacing w:val="-2"/>
        </w:rPr>
        <w:t>172(1)</w:t>
      </w:r>
    </w:p>
    <w:p w14:paraId="2435BDE1" w14:textId="77777777" w:rsidR="00345EE3" w:rsidRDefault="00345EE3" w:rsidP="00345EE3">
      <w:pPr>
        <w:pStyle w:val="BodyText"/>
        <w:spacing w:before="5" w:line="242" w:lineRule="auto"/>
        <w:ind w:right="921"/>
      </w:pPr>
      <w:r>
        <w:rPr>
          <w:color w:val="231F20"/>
        </w:rPr>
        <w:t>Section</w:t>
      </w:r>
      <w:r>
        <w:rPr>
          <w:color w:val="231F20"/>
          <w:spacing w:val="-17"/>
        </w:rPr>
        <w:t xml:space="preserve"> </w:t>
      </w:r>
      <w:r>
        <w:rPr>
          <w:color w:val="231F20"/>
        </w:rPr>
        <w:t>172(1)</w:t>
      </w:r>
      <w:r>
        <w:rPr>
          <w:color w:val="231F20"/>
          <w:spacing w:val="-17"/>
        </w:rPr>
        <w:t xml:space="preserve"> </w:t>
      </w:r>
      <w:r>
        <w:rPr>
          <w:color w:val="231F20"/>
        </w:rPr>
        <w:t>of</w:t>
      </w:r>
      <w:r>
        <w:rPr>
          <w:color w:val="231F20"/>
          <w:spacing w:val="-15"/>
        </w:rPr>
        <w:t xml:space="preserve"> </w:t>
      </w:r>
      <w:r>
        <w:rPr>
          <w:color w:val="231F20"/>
        </w:rPr>
        <w:t>the</w:t>
      </w:r>
      <w:r>
        <w:rPr>
          <w:color w:val="231F20"/>
          <w:spacing w:val="-15"/>
        </w:rPr>
        <w:t xml:space="preserve"> </w:t>
      </w:r>
      <w:r>
        <w:rPr>
          <w:i/>
          <w:color w:val="231F20"/>
        </w:rPr>
        <w:t>Firearms</w:t>
      </w:r>
      <w:r>
        <w:rPr>
          <w:i/>
          <w:color w:val="231F20"/>
          <w:spacing w:val="-17"/>
        </w:rPr>
        <w:t xml:space="preserve"> </w:t>
      </w:r>
      <w:r>
        <w:rPr>
          <w:i/>
          <w:color w:val="231F20"/>
        </w:rPr>
        <w:t>Act</w:t>
      </w:r>
      <w:r>
        <w:rPr>
          <w:i/>
          <w:color w:val="231F20"/>
          <w:spacing w:val="-17"/>
        </w:rPr>
        <w:t xml:space="preserve"> </w:t>
      </w:r>
      <w:r>
        <w:rPr>
          <w:color w:val="231F20"/>
        </w:rPr>
        <w:t>1996</w:t>
      </w:r>
      <w:r>
        <w:rPr>
          <w:color w:val="231F20"/>
          <w:spacing w:val="-15"/>
        </w:rPr>
        <w:t xml:space="preserve"> </w:t>
      </w:r>
      <w:r>
        <w:rPr>
          <w:color w:val="231F20"/>
        </w:rPr>
        <w:t>states</w:t>
      </w:r>
      <w:r>
        <w:rPr>
          <w:color w:val="231F20"/>
          <w:spacing w:val="-15"/>
        </w:rPr>
        <w:t xml:space="preserve"> </w:t>
      </w:r>
      <w:r>
        <w:rPr>
          <w:color w:val="231F20"/>
        </w:rPr>
        <w:t>that</w:t>
      </w:r>
      <w:r>
        <w:rPr>
          <w:color w:val="231F20"/>
          <w:spacing w:val="-15"/>
        </w:rPr>
        <w:t xml:space="preserve"> </w:t>
      </w:r>
      <w:r>
        <w:rPr>
          <w:color w:val="231F20"/>
        </w:rPr>
        <w:t>the</w:t>
      </w:r>
      <w:r>
        <w:rPr>
          <w:color w:val="231F20"/>
          <w:spacing w:val="-15"/>
        </w:rPr>
        <w:t xml:space="preserve"> </w:t>
      </w:r>
      <w:r>
        <w:rPr>
          <w:color w:val="231F20"/>
        </w:rPr>
        <w:t>Chief</w:t>
      </w:r>
      <w:r>
        <w:rPr>
          <w:color w:val="231F20"/>
          <w:spacing w:val="-15"/>
        </w:rPr>
        <w:t xml:space="preserve"> </w:t>
      </w:r>
      <w:r>
        <w:rPr>
          <w:color w:val="231F20"/>
        </w:rPr>
        <w:t>Commissioner</w:t>
      </w:r>
      <w:r>
        <w:rPr>
          <w:color w:val="231F20"/>
          <w:spacing w:val="-15"/>
        </w:rPr>
        <w:t xml:space="preserve"> </w:t>
      </w:r>
      <w:r>
        <w:rPr>
          <w:color w:val="231F20"/>
        </w:rPr>
        <w:t>of</w:t>
      </w:r>
      <w:r>
        <w:rPr>
          <w:color w:val="231F20"/>
          <w:spacing w:val="-15"/>
        </w:rPr>
        <w:t xml:space="preserve"> </w:t>
      </w:r>
      <w:r>
        <w:rPr>
          <w:color w:val="231F20"/>
        </w:rPr>
        <w:t>Police</w:t>
      </w:r>
      <w:r>
        <w:rPr>
          <w:color w:val="231F20"/>
          <w:spacing w:val="-15"/>
        </w:rPr>
        <w:t xml:space="preserve"> </w:t>
      </w:r>
      <w:r>
        <w:rPr>
          <w:color w:val="231F20"/>
        </w:rPr>
        <w:t>must provide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Minister, for inclusion</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annual</w:t>
      </w:r>
      <w:r>
        <w:rPr>
          <w:color w:val="231F20"/>
          <w:spacing w:val="-1"/>
        </w:rPr>
        <w:t xml:space="preserve"> </w:t>
      </w:r>
      <w:r>
        <w:rPr>
          <w:color w:val="231F20"/>
        </w:rPr>
        <w:t>report of operations under Part 7</w:t>
      </w:r>
      <w:r>
        <w:rPr>
          <w:color w:val="231F20"/>
          <w:spacing w:val="-1"/>
        </w:rPr>
        <w:t xml:space="preserve"> </w:t>
      </w:r>
      <w:r>
        <w:rPr>
          <w:color w:val="231F20"/>
        </w:rPr>
        <w:t xml:space="preserve">of the </w:t>
      </w:r>
      <w:r>
        <w:rPr>
          <w:i/>
          <w:color w:val="231F20"/>
        </w:rPr>
        <w:t>Financial</w:t>
      </w:r>
      <w:r>
        <w:rPr>
          <w:i/>
          <w:color w:val="231F20"/>
          <w:spacing w:val="-10"/>
        </w:rPr>
        <w:t xml:space="preserve"> </w:t>
      </w:r>
      <w:r>
        <w:rPr>
          <w:i/>
          <w:color w:val="231F20"/>
        </w:rPr>
        <w:t>Management</w:t>
      </w:r>
      <w:r>
        <w:rPr>
          <w:i/>
          <w:color w:val="231F20"/>
          <w:spacing w:val="-10"/>
        </w:rPr>
        <w:t xml:space="preserve"> </w:t>
      </w:r>
      <w:r>
        <w:rPr>
          <w:i/>
          <w:color w:val="231F20"/>
        </w:rPr>
        <w:t>Act</w:t>
      </w:r>
      <w:r>
        <w:rPr>
          <w:i/>
          <w:color w:val="231F20"/>
          <w:spacing w:val="-10"/>
        </w:rPr>
        <w:t xml:space="preserve"> </w:t>
      </w:r>
      <w:r>
        <w:rPr>
          <w:color w:val="231F20"/>
        </w:rPr>
        <w:t>1994,</w:t>
      </w:r>
      <w:r>
        <w:rPr>
          <w:color w:val="231F20"/>
          <w:spacing w:val="-1"/>
        </w:rPr>
        <w:t xml:space="preserve"> </w:t>
      </w:r>
      <w:r>
        <w:rPr>
          <w:color w:val="231F20"/>
        </w:rPr>
        <w:t>a</w:t>
      </w:r>
      <w:r>
        <w:rPr>
          <w:color w:val="231F20"/>
          <w:spacing w:val="-2"/>
        </w:rPr>
        <w:t xml:space="preserve"> </w:t>
      </w:r>
      <w:r>
        <w:rPr>
          <w:color w:val="231F20"/>
        </w:rPr>
        <w:t>report</w:t>
      </w:r>
      <w:r>
        <w:rPr>
          <w:color w:val="231F20"/>
          <w:spacing w:val="-1"/>
        </w:rPr>
        <w:t xml:space="preserve"> </w:t>
      </w:r>
      <w:r>
        <w:rPr>
          <w:color w:val="231F20"/>
        </w:rPr>
        <w:t>containing</w:t>
      </w:r>
      <w:r>
        <w:rPr>
          <w:color w:val="231F20"/>
          <w:spacing w:val="-2"/>
        </w:rPr>
        <w:t xml:space="preserve"> </w:t>
      </w:r>
      <w:r>
        <w:rPr>
          <w:color w:val="231F20"/>
        </w:rPr>
        <w:t>the</w:t>
      </w:r>
      <w:r>
        <w:rPr>
          <w:color w:val="231F20"/>
          <w:spacing w:val="-2"/>
        </w:rPr>
        <w:t xml:space="preserve"> </w:t>
      </w:r>
      <w:r>
        <w:rPr>
          <w:color w:val="231F20"/>
        </w:rPr>
        <w:t>following</w:t>
      </w:r>
      <w:r>
        <w:rPr>
          <w:color w:val="231F20"/>
          <w:spacing w:val="-2"/>
        </w:rPr>
        <w:t xml:space="preserve"> </w:t>
      </w:r>
      <w:r>
        <w:rPr>
          <w:color w:val="231F20"/>
        </w:rPr>
        <w:t>data.</w:t>
      </w:r>
    </w:p>
    <w:p w14:paraId="3CC23063" w14:textId="77777777" w:rsidR="00345EE3" w:rsidRDefault="00345EE3" w:rsidP="00345EE3">
      <w:pPr>
        <w:spacing w:before="75"/>
        <w:ind w:left="110"/>
        <w:rPr>
          <w:rFonts w:ascii="Arial-BoldItalicMT" w:hAnsi="Arial-BoldItalicMT"/>
          <w:b/>
          <w:i/>
          <w:sz w:val="18"/>
        </w:rPr>
      </w:pPr>
      <w:r>
        <w:rPr>
          <w:color w:val="231F20"/>
          <w:sz w:val="18"/>
        </w:rPr>
        <w:t>Table</w:t>
      </w:r>
      <w:r>
        <w:rPr>
          <w:color w:val="231F20"/>
          <w:spacing w:val="-8"/>
          <w:sz w:val="18"/>
        </w:rPr>
        <w:t xml:space="preserve"> </w:t>
      </w:r>
      <w:r>
        <w:rPr>
          <w:color w:val="231F20"/>
          <w:sz w:val="18"/>
        </w:rPr>
        <w:t>5.16:</w:t>
      </w:r>
      <w:r>
        <w:rPr>
          <w:color w:val="231F20"/>
          <w:spacing w:val="-8"/>
          <w:sz w:val="18"/>
        </w:rPr>
        <w:t xml:space="preserve"> </w:t>
      </w:r>
      <w:r>
        <w:rPr>
          <w:rFonts w:ascii="Arial-BoldItalicMT" w:hAnsi="Arial-BoldItalicMT"/>
          <w:b/>
          <w:i/>
          <w:color w:val="231F20"/>
          <w:sz w:val="18"/>
        </w:rPr>
        <w:t>Total</w:t>
      </w:r>
      <w:r>
        <w:rPr>
          <w:rFonts w:ascii="Arial-BoldItalicMT" w:hAnsi="Arial-BoldItalicMT"/>
          <w:b/>
          <w:i/>
          <w:color w:val="231F20"/>
          <w:spacing w:val="-10"/>
          <w:sz w:val="18"/>
        </w:rPr>
        <w:t xml:space="preserve"> </w:t>
      </w:r>
      <w:r>
        <w:rPr>
          <w:rFonts w:ascii="Arial-BoldItalicMT" w:hAnsi="Arial-BoldItalicMT"/>
          <w:b/>
          <w:i/>
          <w:color w:val="231F20"/>
          <w:sz w:val="18"/>
        </w:rPr>
        <w:t>number</w:t>
      </w:r>
      <w:r>
        <w:rPr>
          <w:rFonts w:ascii="Arial-BoldItalicMT" w:hAnsi="Arial-BoldItalicMT"/>
          <w:b/>
          <w:i/>
          <w:color w:val="231F20"/>
          <w:spacing w:val="-11"/>
          <w:sz w:val="18"/>
        </w:rPr>
        <w:t xml:space="preserve"> </w:t>
      </w:r>
      <w:r>
        <w:rPr>
          <w:rFonts w:ascii="Arial-BoldItalicMT" w:hAnsi="Arial-BoldItalicMT"/>
          <w:b/>
          <w:i/>
          <w:color w:val="231F20"/>
          <w:sz w:val="18"/>
        </w:rPr>
        <w:t>of</w:t>
      </w:r>
      <w:r>
        <w:rPr>
          <w:rFonts w:ascii="Arial-BoldItalicMT" w:hAnsi="Arial-BoldItalicMT"/>
          <w:b/>
          <w:i/>
          <w:color w:val="231F20"/>
          <w:spacing w:val="-10"/>
          <w:sz w:val="18"/>
        </w:rPr>
        <w:t xml:space="preserve"> </w:t>
      </w:r>
      <w:r>
        <w:rPr>
          <w:rFonts w:ascii="Arial-BoldItalicMT" w:hAnsi="Arial-BoldItalicMT"/>
          <w:b/>
          <w:i/>
          <w:color w:val="231F20"/>
          <w:sz w:val="18"/>
        </w:rPr>
        <w:t>firearm</w:t>
      </w:r>
      <w:r>
        <w:rPr>
          <w:rFonts w:ascii="Arial-BoldItalicMT" w:hAnsi="Arial-BoldItalicMT"/>
          <w:b/>
          <w:i/>
          <w:color w:val="231F20"/>
          <w:spacing w:val="-11"/>
          <w:sz w:val="18"/>
        </w:rPr>
        <w:t xml:space="preserve"> </w:t>
      </w:r>
      <w:r>
        <w:rPr>
          <w:rFonts w:ascii="Arial-BoldItalicMT" w:hAnsi="Arial-BoldItalicMT"/>
          <w:b/>
          <w:i/>
          <w:color w:val="231F20"/>
          <w:sz w:val="18"/>
        </w:rPr>
        <w:t>provisions</w:t>
      </w:r>
      <w:r>
        <w:rPr>
          <w:rFonts w:ascii="Arial-BoldItalicMT" w:hAnsi="Arial-BoldItalicMT"/>
          <w:b/>
          <w:i/>
          <w:color w:val="231F20"/>
          <w:spacing w:val="-10"/>
          <w:sz w:val="18"/>
        </w:rPr>
        <w:t xml:space="preserve"> </w:t>
      </w:r>
      <w:r>
        <w:rPr>
          <w:rFonts w:ascii="Arial-BoldItalicMT" w:hAnsi="Arial-BoldItalicMT"/>
          <w:b/>
          <w:i/>
          <w:color w:val="231F20"/>
          <w:sz w:val="18"/>
        </w:rPr>
        <w:t>under</w:t>
      </w:r>
      <w:r>
        <w:rPr>
          <w:rFonts w:ascii="Arial-BoldItalicMT" w:hAnsi="Arial-BoldItalicMT"/>
          <w:b/>
          <w:i/>
          <w:color w:val="231F20"/>
          <w:spacing w:val="-10"/>
          <w:sz w:val="18"/>
        </w:rPr>
        <w:t xml:space="preserve"> </w:t>
      </w:r>
      <w:r>
        <w:rPr>
          <w:rFonts w:ascii="Arial-BoldItalicMT" w:hAnsi="Arial-BoldItalicMT"/>
          <w:b/>
          <w:i/>
          <w:color w:val="231F20"/>
          <w:sz w:val="18"/>
        </w:rPr>
        <w:t>section</w:t>
      </w:r>
      <w:r>
        <w:rPr>
          <w:rFonts w:ascii="Arial-BoldItalicMT" w:hAnsi="Arial-BoldItalicMT"/>
          <w:b/>
          <w:i/>
          <w:color w:val="231F20"/>
          <w:spacing w:val="-11"/>
          <w:sz w:val="18"/>
        </w:rPr>
        <w:t xml:space="preserve"> </w:t>
      </w:r>
      <w:r>
        <w:rPr>
          <w:rFonts w:ascii="Arial-BoldItalicMT" w:hAnsi="Arial-BoldItalicMT"/>
          <w:b/>
          <w:i/>
          <w:color w:val="231F20"/>
          <w:sz w:val="18"/>
        </w:rPr>
        <w:t>172</w:t>
      </w:r>
      <w:r>
        <w:rPr>
          <w:rFonts w:ascii="Arial-BoldItalicMT" w:hAnsi="Arial-BoldItalicMT"/>
          <w:b/>
          <w:i/>
          <w:color w:val="231F20"/>
          <w:spacing w:val="-10"/>
          <w:sz w:val="18"/>
        </w:rPr>
        <w:t xml:space="preserve"> </w:t>
      </w:r>
      <w:r>
        <w:rPr>
          <w:rFonts w:ascii="Arial-BoldItalicMT" w:hAnsi="Arial-BoldItalicMT"/>
          <w:b/>
          <w:i/>
          <w:color w:val="231F20"/>
          <w:sz w:val="18"/>
        </w:rPr>
        <w:t>(1)</w:t>
      </w:r>
      <w:r>
        <w:rPr>
          <w:rFonts w:ascii="Arial-BoldItalicMT" w:hAnsi="Arial-BoldItalicMT"/>
          <w:b/>
          <w:i/>
          <w:color w:val="231F20"/>
          <w:spacing w:val="-10"/>
          <w:sz w:val="18"/>
        </w:rPr>
        <w:t xml:space="preserve"> </w:t>
      </w:r>
      <w:r>
        <w:rPr>
          <w:rFonts w:ascii="Arial-BoldItalicMT" w:hAnsi="Arial-BoldItalicMT"/>
          <w:b/>
          <w:i/>
          <w:color w:val="231F20"/>
          <w:sz w:val="18"/>
        </w:rPr>
        <w:t>in</w:t>
      </w:r>
      <w:r>
        <w:rPr>
          <w:rFonts w:ascii="Arial-BoldItalicMT" w:hAnsi="Arial-BoldItalicMT"/>
          <w:b/>
          <w:i/>
          <w:color w:val="231F20"/>
          <w:spacing w:val="-11"/>
          <w:sz w:val="18"/>
        </w:rPr>
        <w:t xml:space="preserve"> </w:t>
      </w:r>
      <w:r>
        <w:rPr>
          <w:rFonts w:ascii="Arial-BoldItalicMT" w:hAnsi="Arial-BoldItalicMT"/>
          <w:b/>
          <w:i/>
          <w:color w:val="231F20"/>
          <w:sz w:val="18"/>
        </w:rPr>
        <w:t>2021–22</w:t>
      </w:r>
      <w:r>
        <w:rPr>
          <w:rFonts w:ascii="Arial-BoldItalicMT" w:hAnsi="Arial-BoldItalicMT"/>
          <w:b/>
          <w:i/>
          <w:color w:val="231F20"/>
          <w:spacing w:val="-10"/>
          <w:sz w:val="18"/>
        </w:rPr>
        <w:t xml:space="preserve"> </w:t>
      </w:r>
      <w:r>
        <w:rPr>
          <w:rFonts w:ascii="Arial-BoldItalicMT" w:hAnsi="Arial-BoldItalicMT"/>
          <w:b/>
          <w:i/>
          <w:color w:val="231F20"/>
          <w:sz w:val="18"/>
        </w:rPr>
        <w:t>financial</w:t>
      </w:r>
      <w:r>
        <w:rPr>
          <w:rFonts w:ascii="Arial-BoldItalicMT" w:hAnsi="Arial-BoldItalicMT"/>
          <w:b/>
          <w:i/>
          <w:color w:val="231F20"/>
          <w:spacing w:val="-10"/>
          <w:sz w:val="18"/>
        </w:rPr>
        <w:t xml:space="preserve"> </w:t>
      </w:r>
      <w:r>
        <w:rPr>
          <w:rFonts w:ascii="Arial-BoldItalicMT" w:hAnsi="Arial-BoldItalicMT"/>
          <w:b/>
          <w:i/>
          <w:color w:val="231F20"/>
          <w:spacing w:val="-4"/>
          <w:sz w:val="18"/>
        </w:rPr>
        <w:t>year</w:t>
      </w:r>
    </w:p>
    <w:p w14:paraId="00C72308" w14:textId="77777777" w:rsidR="00345EE3" w:rsidRDefault="00345EE3" w:rsidP="00345EE3">
      <w:pPr>
        <w:pStyle w:val="BodyText"/>
        <w:spacing w:before="10"/>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102"/>
        <w:gridCol w:w="5102"/>
      </w:tblGrid>
      <w:tr w:rsidR="00345EE3" w14:paraId="3B2D64EB" w14:textId="77777777" w:rsidTr="00D73130">
        <w:trPr>
          <w:trHeight w:val="373"/>
        </w:trPr>
        <w:tc>
          <w:tcPr>
            <w:tcW w:w="10204" w:type="dxa"/>
            <w:gridSpan w:val="2"/>
            <w:tcBorders>
              <w:top w:val="nil"/>
              <w:left w:val="nil"/>
              <w:bottom w:val="nil"/>
              <w:right w:val="nil"/>
            </w:tcBorders>
            <w:shd w:val="clear" w:color="auto" w:fill="00529F"/>
          </w:tcPr>
          <w:p w14:paraId="72978DF2" w14:textId="77777777" w:rsidR="00345EE3" w:rsidRDefault="00345EE3" w:rsidP="00D73130">
            <w:pPr>
              <w:pStyle w:val="TableParagraph"/>
              <w:spacing w:before="49"/>
              <w:rPr>
                <w:b/>
                <w:sz w:val="24"/>
              </w:rPr>
            </w:pPr>
            <w:r>
              <w:rPr>
                <w:b/>
                <w:color w:val="FFFFFF"/>
                <w:spacing w:val="-2"/>
                <w:sz w:val="24"/>
              </w:rPr>
              <w:t>Number</w:t>
            </w:r>
          </w:p>
        </w:tc>
      </w:tr>
      <w:tr w:rsidR="00345EE3" w14:paraId="3C9C9EDB" w14:textId="77777777" w:rsidTr="00D73130">
        <w:trPr>
          <w:trHeight w:val="368"/>
        </w:trPr>
        <w:tc>
          <w:tcPr>
            <w:tcW w:w="5102" w:type="dxa"/>
            <w:tcBorders>
              <w:top w:val="nil"/>
              <w:left w:val="nil"/>
            </w:tcBorders>
          </w:tcPr>
          <w:p w14:paraId="57854EE1" w14:textId="77777777" w:rsidR="00345EE3" w:rsidRDefault="00345EE3" w:rsidP="00D73130">
            <w:pPr>
              <w:pStyle w:val="TableParagraph"/>
              <w:spacing w:before="46"/>
              <w:ind w:left="-3"/>
              <w:jc w:val="left"/>
              <w:rPr>
                <w:sz w:val="24"/>
              </w:rPr>
            </w:pPr>
            <w:r>
              <w:rPr>
                <w:color w:val="231F20"/>
                <w:sz w:val="24"/>
              </w:rPr>
              <w:t>a)</w:t>
            </w:r>
            <w:r>
              <w:rPr>
                <w:color w:val="231F20"/>
                <w:spacing w:val="-7"/>
                <w:sz w:val="24"/>
              </w:rPr>
              <w:t xml:space="preserve"> </w:t>
            </w:r>
            <w:r>
              <w:rPr>
                <w:color w:val="231F20"/>
                <w:sz w:val="24"/>
              </w:rPr>
              <w:t>The</w:t>
            </w:r>
            <w:r>
              <w:rPr>
                <w:color w:val="231F20"/>
                <w:spacing w:val="-16"/>
                <w:sz w:val="24"/>
              </w:rPr>
              <w:t xml:space="preserve"> </w:t>
            </w:r>
            <w:r>
              <w:rPr>
                <w:color w:val="231F20"/>
                <w:sz w:val="24"/>
              </w:rPr>
              <w:t>number</w:t>
            </w:r>
            <w:r>
              <w:rPr>
                <w:color w:val="231F20"/>
                <w:spacing w:val="-17"/>
                <w:sz w:val="24"/>
              </w:rPr>
              <w:t xml:space="preserve"> </w:t>
            </w:r>
            <w:r>
              <w:rPr>
                <w:color w:val="231F20"/>
                <w:sz w:val="24"/>
              </w:rPr>
              <w:t>of</w:t>
            </w:r>
            <w:r>
              <w:rPr>
                <w:color w:val="231F20"/>
                <w:spacing w:val="-16"/>
                <w:sz w:val="24"/>
              </w:rPr>
              <w:t xml:space="preserve"> </w:t>
            </w:r>
            <w:r>
              <w:rPr>
                <w:color w:val="231F20"/>
                <w:sz w:val="24"/>
              </w:rPr>
              <w:t>FPO</w:t>
            </w:r>
            <w:r>
              <w:rPr>
                <w:color w:val="231F20"/>
                <w:spacing w:val="-16"/>
                <w:sz w:val="24"/>
              </w:rPr>
              <w:t xml:space="preserve"> </w:t>
            </w:r>
            <w:r>
              <w:rPr>
                <w:color w:val="231F20"/>
                <w:spacing w:val="-2"/>
                <w:sz w:val="24"/>
              </w:rPr>
              <w:t>issued</w:t>
            </w:r>
          </w:p>
        </w:tc>
        <w:tc>
          <w:tcPr>
            <w:tcW w:w="5102" w:type="dxa"/>
            <w:tcBorders>
              <w:top w:val="nil"/>
              <w:right w:val="nil"/>
            </w:tcBorders>
          </w:tcPr>
          <w:p w14:paraId="303000D4" w14:textId="77777777" w:rsidR="00345EE3" w:rsidRDefault="00345EE3" w:rsidP="00D73130">
            <w:pPr>
              <w:pStyle w:val="TableParagraph"/>
              <w:spacing w:before="46"/>
              <w:ind w:right="-15"/>
              <w:rPr>
                <w:sz w:val="24"/>
              </w:rPr>
            </w:pPr>
            <w:r>
              <w:rPr>
                <w:color w:val="231F20"/>
                <w:spacing w:val="-5"/>
                <w:sz w:val="24"/>
              </w:rPr>
              <w:t>516</w:t>
            </w:r>
          </w:p>
        </w:tc>
      </w:tr>
      <w:tr w:rsidR="00345EE3" w14:paraId="13D86DE1" w14:textId="77777777" w:rsidTr="00D73130">
        <w:trPr>
          <w:trHeight w:val="368"/>
        </w:trPr>
        <w:tc>
          <w:tcPr>
            <w:tcW w:w="5102" w:type="dxa"/>
            <w:tcBorders>
              <w:left w:val="nil"/>
            </w:tcBorders>
          </w:tcPr>
          <w:p w14:paraId="5F87093B" w14:textId="77777777" w:rsidR="00345EE3" w:rsidRDefault="00345EE3" w:rsidP="00D73130">
            <w:pPr>
              <w:pStyle w:val="TableParagraph"/>
              <w:spacing w:before="46"/>
              <w:ind w:left="-3"/>
              <w:jc w:val="left"/>
              <w:rPr>
                <w:sz w:val="24"/>
              </w:rPr>
            </w:pPr>
            <w:r>
              <w:rPr>
                <w:color w:val="231F20"/>
                <w:sz w:val="24"/>
              </w:rPr>
              <w:t>b)</w:t>
            </w:r>
            <w:r>
              <w:rPr>
                <w:color w:val="231F20"/>
                <w:spacing w:val="-6"/>
                <w:sz w:val="24"/>
              </w:rPr>
              <w:t xml:space="preserve"> </w:t>
            </w:r>
            <w:r>
              <w:rPr>
                <w:color w:val="231F20"/>
                <w:sz w:val="24"/>
              </w:rPr>
              <w:t>The</w:t>
            </w:r>
            <w:r>
              <w:rPr>
                <w:color w:val="231F20"/>
                <w:spacing w:val="-16"/>
                <w:sz w:val="24"/>
              </w:rPr>
              <w:t xml:space="preserve"> </w:t>
            </w:r>
            <w:r>
              <w:rPr>
                <w:color w:val="231F20"/>
                <w:sz w:val="24"/>
              </w:rPr>
              <w:t>number</w:t>
            </w:r>
            <w:r>
              <w:rPr>
                <w:color w:val="231F20"/>
                <w:spacing w:val="-15"/>
                <w:sz w:val="24"/>
              </w:rPr>
              <w:t xml:space="preserve"> </w:t>
            </w:r>
            <w:r>
              <w:rPr>
                <w:color w:val="231F20"/>
                <w:sz w:val="24"/>
              </w:rPr>
              <w:t>of</w:t>
            </w:r>
            <w:r>
              <w:rPr>
                <w:color w:val="231F20"/>
                <w:spacing w:val="-16"/>
                <w:sz w:val="24"/>
              </w:rPr>
              <w:t xml:space="preserve"> </w:t>
            </w:r>
            <w:r>
              <w:rPr>
                <w:color w:val="231F20"/>
                <w:sz w:val="24"/>
              </w:rPr>
              <w:t>FPO</w:t>
            </w:r>
            <w:r>
              <w:rPr>
                <w:color w:val="231F20"/>
                <w:spacing w:val="-16"/>
                <w:sz w:val="24"/>
              </w:rPr>
              <w:t xml:space="preserve"> </w:t>
            </w:r>
            <w:r>
              <w:rPr>
                <w:color w:val="231F20"/>
                <w:sz w:val="24"/>
              </w:rPr>
              <w:t>in</w:t>
            </w:r>
            <w:r>
              <w:rPr>
                <w:color w:val="231F20"/>
                <w:spacing w:val="-15"/>
                <w:sz w:val="24"/>
              </w:rPr>
              <w:t xml:space="preserve"> </w:t>
            </w:r>
            <w:r>
              <w:rPr>
                <w:color w:val="231F20"/>
                <w:spacing w:val="-2"/>
                <w:sz w:val="24"/>
              </w:rPr>
              <w:t>operation</w:t>
            </w:r>
          </w:p>
        </w:tc>
        <w:tc>
          <w:tcPr>
            <w:tcW w:w="5102" w:type="dxa"/>
            <w:tcBorders>
              <w:right w:val="nil"/>
            </w:tcBorders>
          </w:tcPr>
          <w:p w14:paraId="5A79F5D2" w14:textId="77777777" w:rsidR="00345EE3" w:rsidRDefault="00345EE3" w:rsidP="00D73130">
            <w:pPr>
              <w:pStyle w:val="TableParagraph"/>
              <w:spacing w:before="46"/>
              <w:ind w:right="-15"/>
              <w:rPr>
                <w:sz w:val="24"/>
              </w:rPr>
            </w:pPr>
            <w:r>
              <w:rPr>
                <w:color w:val="231F20"/>
                <w:spacing w:val="-2"/>
                <w:sz w:val="24"/>
              </w:rPr>
              <w:t>1,534</w:t>
            </w:r>
          </w:p>
        </w:tc>
      </w:tr>
      <w:tr w:rsidR="00345EE3" w14:paraId="63F77BC8" w14:textId="77777777" w:rsidTr="00D73130">
        <w:trPr>
          <w:trHeight w:val="648"/>
        </w:trPr>
        <w:tc>
          <w:tcPr>
            <w:tcW w:w="5102" w:type="dxa"/>
            <w:tcBorders>
              <w:left w:val="nil"/>
            </w:tcBorders>
          </w:tcPr>
          <w:p w14:paraId="70FC1C7D" w14:textId="77777777" w:rsidR="00345EE3" w:rsidRDefault="00345EE3" w:rsidP="00D73130">
            <w:pPr>
              <w:pStyle w:val="TableParagraph"/>
              <w:spacing w:before="46" w:line="242" w:lineRule="auto"/>
              <w:ind w:left="281" w:right="210" w:hanging="284"/>
              <w:jc w:val="left"/>
              <w:rPr>
                <w:sz w:val="14"/>
              </w:rPr>
            </w:pPr>
            <w:r>
              <w:rPr>
                <w:color w:val="231F20"/>
                <w:sz w:val="24"/>
              </w:rPr>
              <w:t>c)</w:t>
            </w:r>
            <w:r>
              <w:rPr>
                <w:color w:val="231F20"/>
                <w:spacing w:val="-11"/>
                <w:sz w:val="24"/>
              </w:rPr>
              <w:t xml:space="preserve"> </w:t>
            </w:r>
            <w:r>
              <w:rPr>
                <w:color w:val="231F20"/>
                <w:sz w:val="24"/>
              </w:rPr>
              <w:t>The</w:t>
            </w:r>
            <w:r>
              <w:rPr>
                <w:color w:val="231F20"/>
                <w:spacing w:val="-16"/>
                <w:sz w:val="24"/>
              </w:rPr>
              <w:t xml:space="preserve"> </w:t>
            </w:r>
            <w:r>
              <w:rPr>
                <w:color w:val="231F20"/>
                <w:sz w:val="24"/>
              </w:rPr>
              <w:t>number</w:t>
            </w:r>
            <w:r>
              <w:rPr>
                <w:color w:val="231F20"/>
                <w:spacing w:val="-17"/>
                <w:sz w:val="24"/>
              </w:rPr>
              <w:t xml:space="preserve"> </w:t>
            </w:r>
            <w:r>
              <w:rPr>
                <w:color w:val="231F20"/>
                <w:sz w:val="24"/>
              </w:rPr>
              <w:t>of</w:t>
            </w:r>
            <w:r>
              <w:rPr>
                <w:color w:val="231F20"/>
                <w:spacing w:val="-17"/>
                <w:sz w:val="24"/>
              </w:rPr>
              <w:t xml:space="preserve"> </w:t>
            </w:r>
            <w:r>
              <w:rPr>
                <w:color w:val="231F20"/>
                <w:sz w:val="24"/>
              </w:rPr>
              <w:t>people</w:t>
            </w:r>
            <w:r>
              <w:rPr>
                <w:color w:val="231F20"/>
                <w:spacing w:val="-17"/>
                <w:sz w:val="24"/>
              </w:rPr>
              <w:t xml:space="preserve"> </w:t>
            </w:r>
            <w:r>
              <w:rPr>
                <w:color w:val="231F20"/>
                <w:sz w:val="24"/>
              </w:rPr>
              <w:t>under</w:t>
            </w:r>
            <w:r>
              <w:rPr>
                <w:color w:val="231F20"/>
                <w:spacing w:val="-16"/>
                <w:sz w:val="24"/>
              </w:rPr>
              <w:t xml:space="preserve"> </w:t>
            </w:r>
            <w:r>
              <w:rPr>
                <w:color w:val="231F20"/>
                <w:sz w:val="24"/>
              </w:rPr>
              <w:t>18</w:t>
            </w:r>
            <w:r>
              <w:rPr>
                <w:color w:val="231F20"/>
                <w:spacing w:val="-17"/>
                <w:sz w:val="24"/>
              </w:rPr>
              <w:t xml:space="preserve"> </w:t>
            </w:r>
            <w:r>
              <w:rPr>
                <w:color w:val="231F20"/>
                <w:sz w:val="24"/>
              </w:rPr>
              <w:t>years</w:t>
            </w:r>
            <w:r>
              <w:rPr>
                <w:color w:val="231F20"/>
                <w:spacing w:val="-17"/>
                <w:sz w:val="24"/>
              </w:rPr>
              <w:t xml:space="preserve"> </w:t>
            </w:r>
            <w:r>
              <w:rPr>
                <w:color w:val="231F20"/>
                <w:sz w:val="24"/>
              </w:rPr>
              <w:t>of</w:t>
            </w:r>
            <w:r>
              <w:rPr>
                <w:color w:val="231F20"/>
                <w:spacing w:val="-16"/>
                <w:sz w:val="24"/>
              </w:rPr>
              <w:t xml:space="preserve"> </w:t>
            </w:r>
            <w:r>
              <w:rPr>
                <w:color w:val="231F20"/>
                <w:sz w:val="24"/>
              </w:rPr>
              <w:t>age who are subject to FPO</w:t>
            </w:r>
            <w:r>
              <w:rPr>
                <w:color w:val="231F20"/>
                <w:position w:val="8"/>
                <w:sz w:val="14"/>
              </w:rPr>
              <w:t>10</w:t>
            </w:r>
          </w:p>
        </w:tc>
        <w:tc>
          <w:tcPr>
            <w:tcW w:w="5102" w:type="dxa"/>
            <w:tcBorders>
              <w:right w:val="nil"/>
            </w:tcBorders>
          </w:tcPr>
          <w:p w14:paraId="12DDD9C1" w14:textId="77777777" w:rsidR="00345EE3" w:rsidRDefault="00345EE3" w:rsidP="00D73130">
            <w:pPr>
              <w:pStyle w:val="TableParagraph"/>
              <w:spacing w:before="46"/>
              <w:ind w:right="-15"/>
              <w:rPr>
                <w:sz w:val="24"/>
              </w:rPr>
            </w:pPr>
            <w:r>
              <w:rPr>
                <w:color w:val="231F20"/>
                <w:spacing w:val="-5"/>
                <w:sz w:val="24"/>
              </w:rPr>
              <w:t>19</w:t>
            </w:r>
          </w:p>
        </w:tc>
      </w:tr>
      <w:tr w:rsidR="00345EE3" w14:paraId="0BF329D3" w14:textId="77777777" w:rsidTr="00D73130">
        <w:trPr>
          <w:trHeight w:val="1658"/>
        </w:trPr>
        <w:tc>
          <w:tcPr>
            <w:tcW w:w="5102" w:type="dxa"/>
            <w:tcBorders>
              <w:left w:val="nil"/>
            </w:tcBorders>
          </w:tcPr>
          <w:p w14:paraId="28548A1D" w14:textId="77777777" w:rsidR="00345EE3" w:rsidRDefault="00345EE3" w:rsidP="00D73130">
            <w:pPr>
              <w:pStyle w:val="TableParagraph"/>
              <w:spacing w:before="46" w:line="242" w:lineRule="auto"/>
              <w:ind w:left="281" w:right="369" w:hanging="284"/>
              <w:jc w:val="both"/>
              <w:rPr>
                <w:sz w:val="14"/>
              </w:rPr>
            </w:pPr>
            <w:r>
              <w:rPr>
                <w:color w:val="231F20"/>
                <w:spacing w:val="-2"/>
                <w:sz w:val="24"/>
              </w:rPr>
              <w:t>d)</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2"/>
                <w:sz w:val="24"/>
              </w:rPr>
              <w:t>number</w:t>
            </w:r>
            <w:r>
              <w:rPr>
                <w:color w:val="231F20"/>
                <w:spacing w:val="-14"/>
                <w:sz w:val="24"/>
              </w:rPr>
              <w:t xml:space="preserve"> </w:t>
            </w:r>
            <w:r>
              <w:rPr>
                <w:color w:val="231F20"/>
                <w:spacing w:val="-2"/>
                <w:sz w:val="24"/>
              </w:rPr>
              <w:t>of</w:t>
            </w:r>
            <w:r>
              <w:rPr>
                <w:color w:val="231F20"/>
                <w:spacing w:val="-15"/>
                <w:sz w:val="24"/>
              </w:rPr>
              <w:t xml:space="preserve"> </w:t>
            </w:r>
            <w:r>
              <w:rPr>
                <w:color w:val="231F20"/>
                <w:spacing w:val="-2"/>
                <w:sz w:val="24"/>
              </w:rPr>
              <w:t>firearms</w:t>
            </w:r>
            <w:r>
              <w:rPr>
                <w:color w:val="231F20"/>
                <w:spacing w:val="-15"/>
                <w:sz w:val="24"/>
              </w:rPr>
              <w:t xml:space="preserve"> </w:t>
            </w:r>
            <w:r>
              <w:rPr>
                <w:color w:val="231F20"/>
                <w:spacing w:val="-2"/>
                <w:sz w:val="24"/>
              </w:rPr>
              <w:t>and</w:t>
            </w:r>
            <w:r>
              <w:rPr>
                <w:color w:val="231F20"/>
                <w:spacing w:val="-15"/>
                <w:sz w:val="24"/>
              </w:rPr>
              <w:t xml:space="preserve"> </w:t>
            </w:r>
            <w:r>
              <w:rPr>
                <w:color w:val="231F20"/>
                <w:spacing w:val="-2"/>
                <w:sz w:val="24"/>
              </w:rPr>
              <w:t>firearm-related items</w:t>
            </w:r>
            <w:r>
              <w:rPr>
                <w:color w:val="231F20"/>
                <w:spacing w:val="-15"/>
                <w:sz w:val="24"/>
              </w:rPr>
              <w:t xml:space="preserve"> </w:t>
            </w:r>
            <w:r>
              <w:rPr>
                <w:color w:val="231F20"/>
                <w:spacing w:val="-2"/>
                <w:sz w:val="24"/>
              </w:rPr>
              <w:t>seized</w:t>
            </w:r>
            <w:r>
              <w:rPr>
                <w:color w:val="231F20"/>
                <w:spacing w:val="-15"/>
                <w:sz w:val="24"/>
              </w:rPr>
              <w:t xml:space="preserve"> </w:t>
            </w:r>
            <w:r>
              <w:rPr>
                <w:color w:val="231F20"/>
                <w:spacing w:val="-2"/>
                <w:sz w:val="24"/>
              </w:rPr>
              <w:t>during</w:t>
            </w:r>
            <w:r>
              <w:rPr>
                <w:color w:val="231F20"/>
                <w:spacing w:val="-14"/>
                <w:sz w:val="24"/>
              </w:rPr>
              <w:t xml:space="preserve"> </w:t>
            </w:r>
            <w:r>
              <w:rPr>
                <w:color w:val="231F20"/>
                <w:spacing w:val="-2"/>
                <w:sz w:val="24"/>
              </w:rPr>
              <w:t>any</w:t>
            </w:r>
            <w:r>
              <w:rPr>
                <w:color w:val="231F20"/>
                <w:spacing w:val="-15"/>
                <w:sz w:val="24"/>
              </w:rPr>
              <w:t xml:space="preserve"> </w:t>
            </w:r>
            <w:r>
              <w:rPr>
                <w:color w:val="231F20"/>
                <w:spacing w:val="-2"/>
                <w:sz w:val="24"/>
              </w:rPr>
              <w:t>exercise</w:t>
            </w:r>
            <w:r>
              <w:rPr>
                <w:color w:val="231F20"/>
                <w:spacing w:val="-15"/>
                <w:sz w:val="24"/>
              </w:rPr>
              <w:t xml:space="preserve"> </w:t>
            </w:r>
            <w:r>
              <w:rPr>
                <w:color w:val="231F20"/>
                <w:spacing w:val="-2"/>
                <w:sz w:val="24"/>
              </w:rPr>
              <w:t>of</w:t>
            </w:r>
            <w:r>
              <w:rPr>
                <w:color w:val="231F20"/>
                <w:spacing w:val="-15"/>
                <w:sz w:val="24"/>
              </w:rPr>
              <w:t xml:space="preserve"> </w:t>
            </w:r>
            <w:r>
              <w:rPr>
                <w:color w:val="231F20"/>
                <w:spacing w:val="-2"/>
                <w:sz w:val="24"/>
              </w:rPr>
              <w:t xml:space="preserve">powers </w:t>
            </w:r>
            <w:r>
              <w:rPr>
                <w:color w:val="231F20"/>
                <w:sz w:val="24"/>
              </w:rPr>
              <w:t xml:space="preserve">under Part 4A </w:t>
            </w:r>
            <w:r>
              <w:rPr>
                <w:color w:val="231F20"/>
                <w:position w:val="8"/>
                <w:sz w:val="14"/>
              </w:rPr>
              <w:t>11</w:t>
            </w:r>
          </w:p>
        </w:tc>
        <w:tc>
          <w:tcPr>
            <w:tcW w:w="5102" w:type="dxa"/>
            <w:tcBorders>
              <w:right w:val="nil"/>
            </w:tcBorders>
          </w:tcPr>
          <w:p w14:paraId="4E4347EF" w14:textId="77777777" w:rsidR="00345EE3" w:rsidRDefault="00345EE3" w:rsidP="00D73130">
            <w:pPr>
              <w:pStyle w:val="TableParagraph"/>
              <w:spacing w:before="46"/>
              <w:jc w:val="left"/>
              <w:rPr>
                <w:sz w:val="24"/>
              </w:rPr>
            </w:pPr>
            <w:r>
              <w:rPr>
                <w:color w:val="231F20"/>
                <w:sz w:val="24"/>
              </w:rPr>
              <w:t>36</w:t>
            </w:r>
            <w:r>
              <w:rPr>
                <w:color w:val="231F20"/>
                <w:spacing w:val="-2"/>
                <w:sz w:val="24"/>
              </w:rPr>
              <w:t xml:space="preserve"> Firearms</w:t>
            </w:r>
            <w:r>
              <w:rPr>
                <w:color w:val="231F20"/>
                <w:spacing w:val="-2"/>
                <w:position w:val="8"/>
                <w:sz w:val="14"/>
              </w:rPr>
              <w:t>12</w:t>
            </w:r>
            <w:r>
              <w:rPr>
                <w:color w:val="231F20"/>
                <w:spacing w:val="-2"/>
                <w:sz w:val="24"/>
              </w:rPr>
              <w:t>*</w:t>
            </w:r>
          </w:p>
          <w:p w14:paraId="062B8E05" w14:textId="77777777" w:rsidR="00345EE3" w:rsidRDefault="00345EE3" w:rsidP="00D73130">
            <w:pPr>
              <w:pStyle w:val="TableParagraph"/>
              <w:spacing w:before="61" w:line="242" w:lineRule="auto"/>
              <w:jc w:val="left"/>
              <w:rPr>
                <w:sz w:val="24"/>
              </w:rPr>
            </w:pPr>
            <w:r>
              <w:rPr>
                <w:color w:val="231F20"/>
                <w:sz w:val="24"/>
              </w:rPr>
              <w:t>1,084</w:t>
            </w:r>
            <w:r>
              <w:rPr>
                <w:color w:val="231F20"/>
                <w:spacing w:val="-12"/>
                <w:sz w:val="24"/>
              </w:rPr>
              <w:t xml:space="preserve"> </w:t>
            </w:r>
            <w:r>
              <w:rPr>
                <w:color w:val="231F20"/>
                <w:sz w:val="24"/>
              </w:rPr>
              <w:t>Firearm-related</w:t>
            </w:r>
            <w:r>
              <w:rPr>
                <w:color w:val="231F20"/>
                <w:spacing w:val="-11"/>
                <w:sz w:val="24"/>
              </w:rPr>
              <w:t xml:space="preserve"> </w:t>
            </w:r>
            <w:r>
              <w:rPr>
                <w:color w:val="231F20"/>
                <w:sz w:val="24"/>
              </w:rPr>
              <w:t>items</w:t>
            </w:r>
            <w:r>
              <w:rPr>
                <w:color w:val="231F20"/>
                <w:spacing w:val="-12"/>
                <w:sz w:val="24"/>
              </w:rPr>
              <w:t xml:space="preserve"> </w:t>
            </w:r>
            <w:r>
              <w:rPr>
                <w:color w:val="231F20"/>
                <w:sz w:val="24"/>
              </w:rPr>
              <w:t>(including ammunition) were seized.</w:t>
            </w:r>
          </w:p>
          <w:p w14:paraId="4FF40266" w14:textId="77777777" w:rsidR="00345EE3" w:rsidRDefault="00345EE3" w:rsidP="00D73130">
            <w:pPr>
              <w:pStyle w:val="TableParagraph"/>
              <w:spacing w:before="59"/>
              <w:jc w:val="left"/>
              <w:rPr>
                <w:sz w:val="24"/>
              </w:rPr>
            </w:pPr>
            <w:r>
              <w:rPr>
                <w:color w:val="231F20"/>
                <w:sz w:val="24"/>
              </w:rPr>
              <w:t xml:space="preserve">Overall total = </w:t>
            </w:r>
            <w:r>
              <w:rPr>
                <w:color w:val="231F20"/>
                <w:spacing w:val="-2"/>
                <w:sz w:val="24"/>
              </w:rPr>
              <w:t>1,120</w:t>
            </w:r>
          </w:p>
          <w:p w14:paraId="5F0CDFD0" w14:textId="77777777" w:rsidR="00345EE3" w:rsidRDefault="00345EE3" w:rsidP="00D73130">
            <w:pPr>
              <w:pStyle w:val="TableParagraph"/>
              <w:spacing w:before="61"/>
              <w:jc w:val="left"/>
              <w:rPr>
                <w:sz w:val="24"/>
              </w:rPr>
            </w:pPr>
            <w:r>
              <w:rPr>
                <w:color w:val="231F20"/>
                <w:sz w:val="24"/>
              </w:rPr>
              <w:t>Overall</w:t>
            </w:r>
            <w:r>
              <w:rPr>
                <w:color w:val="231F20"/>
                <w:spacing w:val="-5"/>
                <w:sz w:val="24"/>
              </w:rPr>
              <w:t xml:space="preserve"> </w:t>
            </w:r>
            <w:r>
              <w:rPr>
                <w:color w:val="231F20"/>
                <w:sz w:val="24"/>
              </w:rPr>
              <w:t>total</w:t>
            </w:r>
            <w:r>
              <w:rPr>
                <w:color w:val="231F20"/>
                <w:spacing w:val="-3"/>
                <w:sz w:val="24"/>
              </w:rPr>
              <w:t xml:space="preserve"> </w:t>
            </w:r>
            <w:r>
              <w:rPr>
                <w:color w:val="231F20"/>
                <w:sz w:val="24"/>
              </w:rPr>
              <w:t>including</w:t>
            </w:r>
            <w:r>
              <w:rPr>
                <w:color w:val="231F20"/>
                <w:spacing w:val="-3"/>
                <w:sz w:val="24"/>
              </w:rPr>
              <w:t xml:space="preserve"> </w:t>
            </w:r>
            <w:r>
              <w:rPr>
                <w:color w:val="231F20"/>
                <w:sz w:val="24"/>
              </w:rPr>
              <w:t>imitation</w:t>
            </w:r>
            <w:r>
              <w:rPr>
                <w:color w:val="231F20"/>
                <w:spacing w:val="-4"/>
                <w:sz w:val="24"/>
              </w:rPr>
              <w:t xml:space="preserve"> </w:t>
            </w:r>
            <w:r>
              <w:rPr>
                <w:color w:val="231F20"/>
                <w:sz w:val="24"/>
              </w:rPr>
              <w:t>firearms</w:t>
            </w:r>
            <w:r>
              <w:rPr>
                <w:color w:val="231F20"/>
                <w:spacing w:val="-3"/>
                <w:sz w:val="24"/>
              </w:rPr>
              <w:t xml:space="preserve"> </w:t>
            </w:r>
            <w:r>
              <w:rPr>
                <w:color w:val="231F20"/>
                <w:sz w:val="24"/>
              </w:rPr>
              <w:t>=</w:t>
            </w:r>
            <w:r>
              <w:rPr>
                <w:color w:val="231F20"/>
                <w:spacing w:val="-2"/>
                <w:sz w:val="24"/>
              </w:rPr>
              <w:t xml:space="preserve"> 1,169</w:t>
            </w:r>
          </w:p>
        </w:tc>
      </w:tr>
      <w:tr w:rsidR="00345EE3" w14:paraId="1EB6D25D" w14:textId="77777777" w:rsidTr="00D73130">
        <w:trPr>
          <w:trHeight w:val="1264"/>
        </w:trPr>
        <w:tc>
          <w:tcPr>
            <w:tcW w:w="5102" w:type="dxa"/>
            <w:tcBorders>
              <w:left w:val="nil"/>
            </w:tcBorders>
          </w:tcPr>
          <w:p w14:paraId="0A982F6A" w14:textId="77777777" w:rsidR="00345EE3" w:rsidRDefault="00345EE3" w:rsidP="00D73130">
            <w:pPr>
              <w:pStyle w:val="TableParagraph"/>
              <w:spacing w:before="46" w:line="242" w:lineRule="auto"/>
              <w:ind w:left="280" w:hanging="284"/>
              <w:jc w:val="left"/>
              <w:rPr>
                <w:sz w:val="14"/>
              </w:rPr>
            </w:pPr>
            <w:r>
              <w:rPr>
                <w:color w:val="231F20"/>
                <w:spacing w:val="-2"/>
                <w:sz w:val="24"/>
              </w:rPr>
              <w:t>e)</w:t>
            </w:r>
            <w:r>
              <w:rPr>
                <w:color w:val="231F20"/>
                <w:spacing w:val="-14"/>
                <w:sz w:val="24"/>
              </w:rPr>
              <w:t xml:space="preserve"> </w:t>
            </w:r>
            <w:r>
              <w:rPr>
                <w:color w:val="231F20"/>
                <w:spacing w:val="-2"/>
                <w:sz w:val="24"/>
              </w:rPr>
              <w:t>The</w:t>
            </w:r>
            <w:r>
              <w:rPr>
                <w:color w:val="231F20"/>
                <w:spacing w:val="-15"/>
                <w:sz w:val="24"/>
              </w:rPr>
              <w:t xml:space="preserve"> </w:t>
            </w:r>
            <w:r>
              <w:rPr>
                <w:color w:val="231F20"/>
                <w:spacing w:val="-2"/>
                <w:sz w:val="24"/>
              </w:rPr>
              <w:t>number</w:t>
            </w:r>
            <w:r>
              <w:rPr>
                <w:color w:val="231F20"/>
                <w:spacing w:val="-15"/>
                <w:sz w:val="24"/>
              </w:rPr>
              <w:t xml:space="preserve"> </w:t>
            </w:r>
            <w:r>
              <w:rPr>
                <w:color w:val="231F20"/>
                <w:spacing w:val="-2"/>
                <w:sz w:val="24"/>
              </w:rPr>
              <w:t>of</w:t>
            </w:r>
            <w:r>
              <w:rPr>
                <w:color w:val="231F20"/>
                <w:spacing w:val="-14"/>
                <w:sz w:val="24"/>
              </w:rPr>
              <w:t xml:space="preserve"> </w:t>
            </w:r>
            <w:r>
              <w:rPr>
                <w:color w:val="231F20"/>
                <w:spacing w:val="-2"/>
                <w:sz w:val="24"/>
              </w:rPr>
              <w:t>charges</w:t>
            </w:r>
            <w:r>
              <w:rPr>
                <w:color w:val="231F20"/>
                <w:spacing w:val="-15"/>
                <w:sz w:val="24"/>
              </w:rPr>
              <w:t xml:space="preserve"> </w:t>
            </w:r>
            <w:r>
              <w:rPr>
                <w:color w:val="231F20"/>
                <w:spacing w:val="-2"/>
                <w:sz w:val="24"/>
              </w:rPr>
              <w:t>laid</w:t>
            </w:r>
            <w:r>
              <w:rPr>
                <w:color w:val="231F20"/>
                <w:spacing w:val="-15"/>
                <w:sz w:val="24"/>
              </w:rPr>
              <w:t xml:space="preserve"> </w:t>
            </w:r>
            <w:r>
              <w:rPr>
                <w:color w:val="231F20"/>
                <w:spacing w:val="-2"/>
                <w:sz w:val="24"/>
              </w:rPr>
              <w:t>for</w:t>
            </w:r>
            <w:r>
              <w:rPr>
                <w:color w:val="231F20"/>
                <w:spacing w:val="-14"/>
                <w:sz w:val="24"/>
              </w:rPr>
              <w:t xml:space="preserve"> </w:t>
            </w:r>
            <w:r>
              <w:rPr>
                <w:color w:val="231F20"/>
                <w:spacing w:val="-2"/>
                <w:sz w:val="24"/>
              </w:rPr>
              <w:t>offences</w:t>
            </w:r>
            <w:r>
              <w:rPr>
                <w:color w:val="231F20"/>
                <w:spacing w:val="-15"/>
                <w:sz w:val="24"/>
              </w:rPr>
              <w:t xml:space="preserve"> </w:t>
            </w:r>
            <w:r>
              <w:rPr>
                <w:color w:val="231F20"/>
                <w:spacing w:val="-2"/>
                <w:sz w:val="24"/>
              </w:rPr>
              <w:t xml:space="preserve">under </w:t>
            </w:r>
            <w:r>
              <w:rPr>
                <w:color w:val="231F20"/>
                <w:sz w:val="24"/>
              </w:rPr>
              <w:t>this</w:t>
            </w:r>
            <w:r>
              <w:rPr>
                <w:color w:val="231F20"/>
                <w:spacing w:val="-17"/>
                <w:sz w:val="24"/>
              </w:rPr>
              <w:t xml:space="preserve"> </w:t>
            </w:r>
            <w:r>
              <w:rPr>
                <w:color w:val="231F20"/>
                <w:sz w:val="24"/>
              </w:rPr>
              <w:t>Act</w:t>
            </w:r>
            <w:r>
              <w:rPr>
                <w:color w:val="231F20"/>
                <w:spacing w:val="-2"/>
                <w:sz w:val="24"/>
              </w:rPr>
              <w:t xml:space="preserve"> </w:t>
            </w:r>
            <w:r>
              <w:rPr>
                <w:color w:val="231F20"/>
                <w:sz w:val="24"/>
              </w:rPr>
              <w:t>connected</w:t>
            </w:r>
            <w:r>
              <w:rPr>
                <w:color w:val="231F20"/>
                <w:spacing w:val="-2"/>
                <w:sz w:val="24"/>
              </w:rPr>
              <w:t xml:space="preserve"> </w:t>
            </w:r>
            <w:r>
              <w:rPr>
                <w:color w:val="231F20"/>
                <w:sz w:val="24"/>
              </w:rPr>
              <w:t>with</w:t>
            </w:r>
            <w:r>
              <w:rPr>
                <w:color w:val="231F20"/>
                <w:spacing w:val="-2"/>
                <w:sz w:val="24"/>
              </w:rPr>
              <w:t xml:space="preserve"> </w:t>
            </w:r>
            <w:r>
              <w:rPr>
                <w:color w:val="231F20"/>
                <w:sz w:val="24"/>
              </w:rPr>
              <w:t>searches</w:t>
            </w:r>
            <w:r>
              <w:rPr>
                <w:color w:val="231F20"/>
                <w:spacing w:val="-2"/>
                <w:sz w:val="24"/>
              </w:rPr>
              <w:t xml:space="preserve"> </w:t>
            </w:r>
            <w:r>
              <w:rPr>
                <w:color w:val="231F20"/>
                <w:sz w:val="24"/>
              </w:rPr>
              <w:t>under</w:t>
            </w:r>
            <w:r>
              <w:rPr>
                <w:color w:val="231F20"/>
                <w:spacing w:val="-2"/>
                <w:sz w:val="24"/>
              </w:rPr>
              <w:t xml:space="preserve"> </w:t>
            </w:r>
            <w:r>
              <w:rPr>
                <w:color w:val="231F20"/>
                <w:sz w:val="24"/>
              </w:rPr>
              <w:t xml:space="preserve">Part </w:t>
            </w:r>
            <w:r>
              <w:rPr>
                <w:color w:val="231F20"/>
                <w:spacing w:val="-4"/>
                <w:position w:val="-7"/>
                <w:sz w:val="24"/>
              </w:rPr>
              <w:t>4A</w:t>
            </w:r>
            <w:r>
              <w:rPr>
                <w:color w:val="231F20"/>
                <w:spacing w:val="-4"/>
                <w:sz w:val="14"/>
              </w:rPr>
              <w:t>13</w:t>
            </w:r>
          </w:p>
        </w:tc>
        <w:tc>
          <w:tcPr>
            <w:tcW w:w="5102" w:type="dxa"/>
            <w:tcBorders>
              <w:right w:val="nil"/>
            </w:tcBorders>
          </w:tcPr>
          <w:p w14:paraId="0B5FABFC" w14:textId="77777777" w:rsidR="00345EE3" w:rsidRDefault="00345EE3" w:rsidP="00D73130">
            <w:pPr>
              <w:pStyle w:val="TableParagraph"/>
              <w:spacing w:before="46" w:line="242" w:lineRule="auto"/>
              <w:ind w:right="210"/>
              <w:jc w:val="left"/>
              <w:rPr>
                <w:sz w:val="24"/>
              </w:rPr>
            </w:pPr>
            <w:r>
              <w:rPr>
                <w:color w:val="231F20"/>
                <w:sz w:val="24"/>
              </w:rPr>
              <w:t>368</w:t>
            </w:r>
            <w:r>
              <w:rPr>
                <w:color w:val="231F20"/>
                <w:spacing w:val="-17"/>
                <w:sz w:val="24"/>
              </w:rPr>
              <w:t xml:space="preserve"> </w:t>
            </w:r>
            <w:r>
              <w:rPr>
                <w:color w:val="231F20"/>
                <w:sz w:val="24"/>
              </w:rPr>
              <w:t>charges</w:t>
            </w:r>
            <w:r>
              <w:rPr>
                <w:color w:val="231F20"/>
                <w:spacing w:val="-12"/>
                <w:sz w:val="24"/>
              </w:rPr>
              <w:t xml:space="preserve"> </w:t>
            </w:r>
            <w:r>
              <w:rPr>
                <w:color w:val="231F20"/>
                <w:sz w:val="24"/>
              </w:rPr>
              <w:t>laid</w:t>
            </w:r>
            <w:r>
              <w:rPr>
                <w:color w:val="231F20"/>
                <w:spacing w:val="-11"/>
                <w:sz w:val="24"/>
              </w:rPr>
              <w:t xml:space="preserve"> </w:t>
            </w:r>
            <w:r>
              <w:rPr>
                <w:color w:val="231F20"/>
                <w:sz w:val="24"/>
              </w:rPr>
              <w:t>under</w:t>
            </w:r>
            <w:r>
              <w:rPr>
                <w:color w:val="231F20"/>
                <w:spacing w:val="-11"/>
                <w:sz w:val="24"/>
              </w:rPr>
              <w:t xml:space="preserve"> </w:t>
            </w:r>
            <w:r>
              <w:rPr>
                <w:color w:val="231F20"/>
                <w:sz w:val="24"/>
              </w:rPr>
              <w:t>the</w:t>
            </w:r>
            <w:r>
              <w:rPr>
                <w:color w:val="231F20"/>
                <w:spacing w:val="-11"/>
                <w:sz w:val="24"/>
              </w:rPr>
              <w:t xml:space="preserve"> </w:t>
            </w:r>
            <w:r>
              <w:rPr>
                <w:i/>
                <w:color w:val="231F20"/>
                <w:sz w:val="24"/>
              </w:rPr>
              <w:t>Firearms</w:t>
            </w:r>
            <w:r>
              <w:rPr>
                <w:i/>
                <w:color w:val="231F20"/>
                <w:spacing w:val="-17"/>
                <w:sz w:val="24"/>
              </w:rPr>
              <w:t xml:space="preserve"> </w:t>
            </w:r>
            <w:r>
              <w:rPr>
                <w:i/>
                <w:color w:val="231F20"/>
                <w:sz w:val="24"/>
              </w:rPr>
              <w:t>Act</w:t>
            </w:r>
            <w:r>
              <w:rPr>
                <w:i/>
                <w:color w:val="231F20"/>
                <w:spacing w:val="-15"/>
                <w:sz w:val="24"/>
              </w:rPr>
              <w:t xml:space="preserve"> </w:t>
            </w:r>
            <w:r>
              <w:rPr>
                <w:color w:val="231F20"/>
                <w:sz w:val="24"/>
              </w:rPr>
              <w:t>1996 as a result of an FPO search</w:t>
            </w:r>
          </w:p>
          <w:p w14:paraId="7055980B" w14:textId="77777777" w:rsidR="00345EE3" w:rsidRDefault="00345EE3" w:rsidP="00D73130">
            <w:pPr>
              <w:pStyle w:val="TableParagraph"/>
              <w:spacing w:before="59" w:line="242" w:lineRule="auto"/>
              <w:jc w:val="left"/>
              <w:rPr>
                <w:sz w:val="24"/>
              </w:rPr>
            </w:pPr>
            <w:r>
              <w:rPr>
                <w:color w:val="231F20"/>
                <w:sz w:val="24"/>
              </w:rPr>
              <w:t>206</w:t>
            </w:r>
            <w:r>
              <w:rPr>
                <w:color w:val="231F20"/>
                <w:spacing w:val="-7"/>
                <w:sz w:val="24"/>
              </w:rPr>
              <w:t xml:space="preserve"> </w:t>
            </w:r>
            <w:r>
              <w:rPr>
                <w:color w:val="231F20"/>
                <w:sz w:val="24"/>
              </w:rPr>
              <w:t>charges</w:t>
            </w:r>
            <w:r>
              <w:rPr>
                <w:color w:val="231F20"/>
                <w:spacing w:val="-6"/>
                <w:sz w:val="24"/>
              </w:rPr>
              <w:t xml:space="preserve"> </w:t>
            </w:r>
            <w:r>
              <w:rPr>
                <w:color w:val="231F20"/>
                <w:sz w:val="24"/>
              </w:rPr>
              <w:t>were</w:t>
            </w:r>
            <w:r>
              <w:rPr>
                <w:color w:val="231F20"/>
                <w:spacing w:val="-7"/>
                <w:sz w:val="24"/>
              </w:rPr>
              <w:t xml:space="preserve"> </w:t>
            </w:r>
            <w:r>
              <w:rPr>
                <w:color w:val="231F20"/>
                <w:sz w:val="24"/>
              </w:rPr>
              <w:t>laid</w:t>
            </w:r>
            <w:r>
              <w:rPr>
                <w:color w:val="231F20"/>
                <w:spacing w:val="-7"/>
                <w:sz w:val="24"/>
              </w:rPr>
              <w:t xml:space="preserve"> </w:t>
            </w:r>
            <w:r>
              <w:rPr>
                <w:color w:val="231F20"/>
                <w:sz w:val="24"/>
              </w:rPr>
              <w:t>against</w:t>
            </w:r>
            <w:r>
              <w:rPr>
                <w:color w:val="231F20"/>
                <w:spacing w:val="-7"/>
                <w:sz w:val="24"/>
              </w:rPr>
              <w:t xml:space="preserve"> </w:t>
            </w:r>
            <w:r>
              <w:rPr>
                <w:color w:val="231F20"/>
                <w:sz w:val="24"/>
              </w:rPr>
              <w:t>specific</w:t>
            </w:r>
            <w:r>
              <w:rPr>
                <w:color w:val="231F20"/>
                <w:spacing w:val="-6"/>
                <w:sz w:val="24"/>
              </w:rPr>
              <w:t xml:space="preserve"> </w:t>
            </w:r>
            <w:r>
              <w:rPr>
                <w:color w:val="231F20"/>
                <w:sz w:val="24"/>
              </w:rPr>
              <w:t xml:space="preserve">FPO charges under the </w:t>
            </w:r>
            <w:r>
              <w:rPr>
                <w:i/>
                <w:color w:val="231F20"/>
                <w:sz w:val="24"/>
              </w:rPr>
              <w:t xml:space="preserve">Firearms Act </w:t>
            </w:r>
            <w:r>
              <w:rPr>
                <w:color w:val="231F20"/>
                <w:sz w:val="24"/>
              </w:rPr>
              <w:t>1996</w:t>
            </w:r>
          </w:p>
        </w:tc>
      </w:tr>
      <w:tr w:rsidR="00345EE3" w14:paraId="264ED5BB" w14:textId="77777777" w:rsidTr="00D73130">
        <w:trPr>
          <w:trHeight w:val="1881"/>
        </w:trPr>
        <w:tc>
          <w:tcPr>
            <w:tcW w:w="5102" w:type="dxa"/>
            <w:tcBorders>
              <w:left w:val="nil"/>
            </w:tcBorders>
          </w:tcPr>
          <w:p w14:paraId="66B0F0B5" w14:textId="77777777" w:rsidR="00345EE3" w:rsidRDefault="00345EE3" w:rsidP="00D73130">
            <w:pPr>
              <w:pStyle w:val="TableParagraph"/>
              <w:spacing w:before="100" w:line="182" w:lineRule="auto"/>
              <w:ind w:left="281" w:hanging="284"/>
              <w:jc w:val="left"/>
              <w:rPr>
                <w:sz w:val="14"/>
              </w:rPr>
            </w:pPr>
            <w:r>
              <w:rPr>
                <w:color w:val="231F20"/>
                <w:spacing w:val="-2"/>
                <w:sz w:val="24"/>
              </w:rPr>
              <w:t>f)</w:t>
            </w:r>
            <w:r>
              <w:rPr>
                <w:color w:val="231F20"/>
                <w:spacing w:val="51"/>
                <w:sz w:val="24"/>
              </w:rPr>
              <w:t xml:space="preserve"> </w:t>
            </w:r>
            <w:r>
              <w:rPr>
                <w:color w:val="231F20"/>
                <w:spacing w:val="-2"/>
                <w:sz w:val="24"/>
              </w:rPr>
              <w:t>The</w:t>
            </w:r>
            <w:r>
              <w:rPr>
                <w:color w:val="231F20"/>
                <w:spacing w:val="-15"/>
                <w:sz w:val="24"/>
              </w:rPr>
              <w:t xml:space="preserve"> </w:t>
            </w:r>
            <w:r>
              <w:rPr>
                <w:color w:val="231F20"/>
                <w:spacing w:val="-2"/>
                <w:sz w:val="24"/>
              </w:rPr>
              <w:t>number</w:t>
            </w:r>
            <w:r>
              <w:rPr>
                <w:color w:val="231F20"/>
                <w:spacing w:val="-15"/>
                <w:sz w:val="24"/>
              </w:rPr>
              <w:t xml:space="preserve"> </w:t>
            </w:r>
            <w:r>
              <w:rPr>
                <w:color w:val="231F20"/>
                <w:spacing w:val="-2"/>
                <w:sz w:val="24"/>
              </w:rPr>
              <w:t>of</w:t>
            </w:r>
            <w:r>
              <w:rPr>
                <w:color w:val="231F20"/>
                <w:spacing w:val="-14"/>
                <w:sz w:val="24"/>
              </w:rPr>
              <w:t xml:space="preserve"> </w:t>
            </w:r>
            <w:r>
              <w:rPr>
                <w:color w:val="231F20"/>
                <w:spacing w:val="-2"/>
                <w:sz w:val="24"/>
              </w:rPr>
              <w:t>charges</w:t>
            </w:r>
            <w:r>
              <w:rPr>
                <w:color w:val="231F20"/>
                <w:spacing w:val="-15"/>
                <w:sz w:val="24"/>
              </w:rPr>
              <w:t xml:space="preserve"> </w:t>
            </w:r>
            <w:r>
              <w:rPr>
                <w:color w:val="231F20"/>
                <w:spacing w:val="-2"/>
                <w:sz w:val="24"/>
              </w:rPr>
              <w:t>laid</w:t>
            </w:r>
            <w:r>
              <w:rPr>
                <w:color w:val="231F20"/>
                <w:spacing w:val="-15"/>
                <w:sz w:val="24"/>
              </w:rPr>
              <w:t xml:space="preserve"> </w:t>
            </w:r>
            <w:r>
              <w:rPr>
                <w:color w:val="231F20"/>
                <w:spacing w:val="-2"/>
                <w:sz w:val="24"/>
              </w:rPr>
              <w:t>for</w:t>
            </w:r>
            <w:r>
              <w:rPr>
                <w:color w:val="231F20"/>
                <w:spacing w:val="-15"/>
                <w:sz w:val="24"/>
              </w:rPr>
              <w:t xml:space="preserve"> </w:t>
            </w:r>
            <w:r>
              <w:rPr>
                <w:color w:val="231F20"/>
                <w:spacing w:val="-2"/>
                <w:sz w:val="24"/>
              </w:rPr>
              <w:t>other</w:t>
            </w:r>
            <w:r>
              <w:rPr>
                <w:color w:val="231F20"/>
                <w:spacing w:val="-14"/>
                <w:sz w:val="24"/>
              </w:rPr>
              <w:t xml:space="preserve"> </w:t>
            </w:r>
            <w:r>
              <w:rPr>
                <w:color w:val="231F20"/>
                <w:spacing w:val="-2"/>
                <w:sz w:val="24"/>
              </w:rPr>
              <w:t xml:space="preserve">offences </w:t>
            </w:r>
            <w:r>
              <w:rPr>
                <w:color w:val="231F20"/>
                <w:sz w:val="24"/>
              </w:rPr>
              <w:t>connected with searches under Part 4A</w:t>
            </w:r>
            <w:r>
              <w:rPr>
                <w:color w:val="231F20"/>
                <w:position w:val="8"/>
                <w:sz w:val="14"/>
              </w:rPr>
              <w:t>14</w:t>
            </w:r>
          </w:p>
        </w:tc>
        <w:tc>
          <w:tcPr>
            <w:tcW w:w="5102" w:type="dxa"/>
            <w:tcBorders>
              <w:right w:val="nil"/>
            </w:tcBorders>
          </w:tcPr>
          <w:p w14:paraId="2D0F2F10" w14:textId="77777777" w:rsidR="00345EE3" w:rsidRDefault="00345EE3" w:rsidP="00D73130">
            <w:pPr>
              <w:pStyle w:val="TableParagraph"/>
              <w:spacing w:before="46" w:line="242" w:lineRule="auto"/>
              <w:ind w:right="210"/>
              <w:jc w:val="left"/>
              <w:rPr>
                <w:sz w:val="24"/>
              </w:rPr>
            </w:pPr>
            <w:r>
              <w:rPr>
                <w:color w:val="231F20"/>
                <w:sz w:val="24"/>
              </w:rPr>
              <w:t>482</w:t>
            </w:r>
            <w:r>
              <w:rPr>
                <w:color w:val="231F20"/>
                <w:spacing w:val="-6"/>
                <w:sz w:val="24"/>
              </w:rPr>
              <w:t xml:space="preserve"> </w:t>
            </w:r>
            <w:r>
              <w:rPr>
                <w:color w:val="231F20"/>
                <w:sz w:val="24"/>
              </w:rPr>
              <w:t>charges</w:t>
            </w:r>
            <w:r>
              <w:rPr>
                <w:color w:val="231F20"/>
                <w:spacing w:val="-5"/>
                <w:sz w:val="24"/>
              </w:rPr>
              <w:t xml:space="preserve"> </w:t>
            </w:r>
            <w:r>
              <w:rPr>
                <w:color w:val="231F20"/>
                <w:sz w:val="24"/>
              </w:rPr>
              <w:t>laid</w:t>
            </w:r>
            <w:r>
              <w:rPr>
                <w:color w:val="231F20"/>
                <w:spacing w:val="-6"/>
                <w:sz w:val="24"/>
              </w:rPr>
              <w:t xml:space="preserve"> </w:t>
            </w:r>
            <w:r>
              <w:rPr>
                <w:color w:val="231F20"/>
                <w:sz w:val="24"/>
              </w:rPr>
              <w:t>for</w:t>
            </w:r>
            <w:r>
              <w:rPr>
                <w:color w:val="231F20"/>
                <w:spacing w:val="-5"/>
                <w:sz w:val="24"/>
              </w:rPr>
              <w:t xml:space="preserve"> </w:t>
            </w:r>
            <w:r>
              <w:rPr>
                <w:color w:val="231F20"/>
                <w:sz w:val="24"/>
              </w:rPr>
              <w:t>other</w:t>
            </w:r>
            <w:r>
              <w:rPr>
                <w:color w:val="231F20"/>
                <w:spacing w:val="-6"/>
                <w:sz w:val="24"/>
              </w:rPr>
              <w:t xml:space="preserve"> </w:t>
            </w:r>
            <w:r>
              <w:rPr>
                <w:color w:val="231F20"/>
                <w:sz w:val="24"/>
              </w:rPr>
              <w:t>offences</w:t>
            </w:r>
            <w:r>
              <w:rPr>
                <w:color w:val="231F20"/>
                <w:spacing w:val="-5"/>
                <w:sz w:val="24"/>
              </w:rPr>
              <w:t xml:space="preserve"> </w:t>
            </w:r>
            <w:r>
              <w:rPr>
                <w:color w:val="231F20"/>
                <w:sz w:val="24"/>
              </w:rPr>
              <w:t>as</w:t>
            </w:r>
            <w:r>
              <w:rPr>
                <w:color w:val="231F20"/>
                <w:spacing w:val="-6"/>
                <w:sz w:val="24"/>
              </w:rPr>
              <w:t xml:space="preserve"> </w:t>
            </w:r>
            <w:r>
              <w:rPr>
                <w:color w:val="231F20"/>
                <w:sz w:val="24"/>
              </w:rPr>
              <w:t>a</w:t>
            </w:r>
            <w:r>
              <w:rPr>
                <w:color w:val="231F20"/>
                <w:spacing w:val="-6"/>
                <w:sz w:val="24"/>
              </w:rPr>
              <w:t xml:space="preserve"> </w:t>
            </w:r>
            <w:r>
              <w:rPr>
                <w:color w:val="231F20"/>
                <w:sz w:val="24"/>
              </w:rPr>
              <w:t>result of an FPO Search</w:t>
            </w:r>
          </w:p>
          <w:p w14:paraId="3A8D5473" w14:textId="77777777" w:rsidR="00345EE3" w:rsidRDefault="00345EE3" w:rsidP="00D73130">
            <w:pPr>
              <w:pStyle w:val="TableParagraph"/>
              <w:spacing w:before="59"/>
              <w:jc w:val="left"/>
              <w:rPr>
                <w:sz w:val="24"/>
              </w:rPr>
            </w:pPr>
            <w:r>
              <w:rPr>
                <w:color w:val="231F20"/>
                <w:sz w:val="24"/>
              </w:rPr>
              <w:t>104</w:t>
            </w:r>
            <w:r>
              <w:rPr>
                <w:color w:val="231F20"/>
                <w:spacing w:val="-6"/>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above</w:t>
            </w:r>
            <w:r>
              <w:rPr>
                <w:color w:val="231F20"/>
                <w:spacing w:val="-3"/>
                <w:sz w:val="24"/>
              </w:rPr>
              <w:t xml:space="preserve"> </w:t>
            </w:r>
            <w:r>
              <w:rPr>
                <w:color w:val="231F20"/>
                <w:sz w:val="24"/>
              </w:rPr>
              <w:t>charges</w:t>
            </w:r>
            <w:r>
              <w:rPr>
                <w:color w:val="231F20"/>
                <w:spacing w:val="-2"/>
                <w:sz w:val="24"/>
              </w:rPr>
              <w:t xml:space="preserve"> </w:t>
            </w:r>
            <w:r>
              <w:rPr>
                <w:color w:val="231F20"/>
                <w:sz w:val="24"/>
              </w:rPr>
              <w:t>were</w:t>
            </w:r>
            <w:r>
              <w:rPr>
                <w:color w:val="231F20"/>
                <w:spacing w:val="-4"/>
                <w:sz w:val="24"/>
              </w:rPr>
              <w:t xml:space="preserve"> </w:t>
            </w:r>
            <w:r>
              <w:rPr>
                <w:color w:val="231F20"/>
                <w:sz w:val="24"/>
              </w:rPr>
              <w:t>laid</w:t>
            </w:r>
            <w:r>
              <w:rPr>
                <w:color w:val="231F20"/>
                <w:spacing w:val="-3"/>
                <w:sz w:val="24"/>
              </w:rPr>
              <w:t xml:space="preserve"> </w:t>
            </w:r>
            <w:r>
              <w:rPr>
                <w:color w:val="231F20"/>
                <w:sz w:val="24"/>
              </w:rPr>
              <w:t>against</w:t>
            </w:r>
            <w:r>
              <w:rPr>
                <w:color w:val="231F20"/>
                <w:spacing w:val="-3"/>
                <w:sz w:val="24"/>
              </w:rPr>
              <w:t xml:space="preserve"> </w:t>
            </w:r>
            <w:r>
              <w:rPr>
                <w:color w:val="231F20"/>
                <w:spacing w:val="-5"/>
                <w:sz w:val="24"/>
              </w:rPr>
              <w:t>the</w:t>
            </w:r>
          </w:p>
          <w:p w14:paraId="5AED9F3C" w14:textId="77777777" w:rsidR="00345EE3" w:rsidRDefault="00345EE3" w:rsidP="00D73130">
            <w:pPr>
              <w:pStyle w:val="TableParagraph"/>
              <w:spacing w:before="4"/>
              <w:jc w:val="left"/>
              <w:rPr>
                <w:sz w:val="24"/>
              </w:rPr>
            </w:pPr>
            <w:r>
              <w:rPr>
                <w:i/>
                <w:color w:val="231F20"/>
                <w:spacing w:val="-4"/>
                <w:sz w:val="24"/>
              </w:rPr>
              <w:t>Control</w:t>
            </w:r>
            <w:r>
              <w:rPr>
                <w:i/>
                <w:color w:val="231F20"/>
                <w:spacing w:val="-11"/>
                <w:sz w:val="24"/>
              </w:rPr>
              <w:t xml:space="preserve"> </w:t>
            </w:r>
            <w:r>
              <w:rPr>
                <w:i/>
                <w:color w:val="231F20"/>
                <w:spacing w:val="-4"/>
                <w:sz w:val="24"/>
              </w:rPr>
              <w:t>of</w:t>
            </w:r>
            <w:r>
              <w:rPr>
                <w:i/>
                <w:color w:val="231F20"/>
                <w:spacing w:val="-10"/>
                <w:sz w:val="24"/>
              </w:rPr>
              <w:t xml:space="preserve"> </w:t>
            </w:r>
            <w:r>
              <w:rPr>
                <w:i/>
                <w:color w:val="231F20"/>
                <w:spacing w:val="-4"/>
                <w:sz w:val="24"/>
              </w:rPr>
              <w:t>Weapons</w:t>
            </w:r>
            <w:r>
              <w:rPr>
                <w:i/>
                <w:color w:val="231F20"/>
                <w:spacing w:val="-18"/>
                <w:sz w:val="24"/>
              </w:rPr>
              <w:t xml:space="preserve"> </w:t>
            </w:r>
            <w:r>
              <w:rPr>
                <w:i/>
                <w:color w:val="231F20"/>
                <w:spacing w:val="-4"/>
                <w:sz w:val="24"/>
              </w:rPr>
              <w:t>Act</w:t>
            </w:r>
            <w:r>
              <w:rPr>
                <w:i/>
                <w:color w:val="231F20"/>
                <w:spacing w:val="-8"/>
                <w:sz w:val="24"/>
              </w:rPr>
              <w:t xml:space="preserve"> </w:t>
            </w:r>
            <w:r>
              <w:rPr>
                <w:color w:val="231F20"/>
                <w:spacing w:val="-4"/>
                <w:sz w:val="24"/>
              </w:rPr>
              <w:t>1990</w:t>
            </w:r>
          </w:p>
          <w:p w14:paraId="6902AA5E" w14:textId="77777777" w:rsidR="00345EE3" w:rsidRDefault="00345EE3" w:rsidP="00D73130">
            <w:pPr>
              <w:pStyle w:val="TableParagraph"/>
              <w:spacing w:before="61" w:line="242" w:lineRule="auto"/>
              <w:ind w:right="62"/>
              <w:jc w:val="left"/>
              <w:rPr>
                <w:sz w:val="24"/>
              </w:rPr>
            </w:pPr>
            <w:r>
              <w:rPr>
                <w:color w:val="231F20"/>
                <w:sz w:val="24"/>
              </w:rPr>
              <w:t>35 charges were laid relating to specific FPO charges</w:t>
            </w:r>
            <w:r>
              <w:rPr>
                <w:color w:val="231F20"/>
                <w:spacing w:val="-17"/>
                <w:sz w:val="24"/>
              </w:rPr>
              <w:t xml:space="preserve"> </w:t>
            </w:r>
            <w:r>
              <w:rPr>
                <w:color w:val="231F20"/>
                <w:sz w:val="24"/>
              </w:rPr>
              <w:t>under</w:t>
            </w:r>
            <w:r>
              <w:rPr>
                <w:color w:val="231F20"/>
                <w:spacing w:val="-17"/>
                <w:sz w:val="24"/>
              </w:rPr>
              <w:t xml:space="preserve"> </w:t>
            </w:r>
            <w:r>
              <w:rPr>
                <w:color w:val="231F20"/>
                <w:sz w:val="24"/>
              </w:rPr>
              <w:t>the</w:t>
            </w:r>
            <w:r>
              <w:rPr>
                <w:color w:val="231F20"/>
                <w:spacing w:val="-16"/>
                <w:sz w:val="24"/>
              </w:rPr>
              <w:t xml:space="preserve"> </w:t>
            </w:r>
            <w:r>
              <w:rPr>
                <w:i/>
                <w:color w:val="231F20"/>
                <w:sz w:val="24"/>
              </w:rPr>
              <w:t>Control</w:t>
            </w:r>
            <w:r>
              <w:rPr>
                <w:i/>
                <w:color w:val="231F20"/>
                <w:spacing w:val="-17"/>
                <w:sz w:val="24"/>
              </w:rPr>
              <w:t xml:space="preserve"> </w:t>
            </w:r>
            <w:r>
              <w:rPr>
                <w:i/>
                <w:color w:val="231F20"/>
                <w:sz w:val="24"/>
              </w:rPr>
              <w:t>of</w:t>
            </w:r>
            <w:r>
              <w:rPr>
                <w:i/>
                <w:color w:val="231F20"/>
                <w:spacing w:val="-17"/>
                <w:sz w:val="24"/>
              </w:rPr>
              <w:t xml:space="preserve"> </w:t>
            </w:r>
            <w:r>
              <w:rPr>
                <w:i/>
                <w:color w:val="231F20"/>
                <w:sz w:val="24"/>
              </w:rPr>
              <w:t>Weapons</w:t>
            </w:r>
            <w:r>
              <w:rPr>
                <w:i/>
                <w:color w:val="231F20"/>
                <w:spacing w:val="-18"/>
                <w:sz w:val="24"/>
              </w:rPr>
              <w:t xml:space="preserve"> </w:t>
            </w:r>
            <w:r>
              <w:rPr>
                <w:i/>
                <w:color w:val="231F20"/>
                <w:sz w:val="24"/>
              </w:rPr>
              <w:t>Act</w:t>
            </w:r>
            <w:r>
              <w:rPr>
                <w:i/>
                <w:color w:val="231F20"/>
                <w:spacing w:val="-17"/>
                <w:sz w:val="24"/>
              </w:rPr>
              <w:t xml:space="preserve"> </w:t>
            </w:r>
            <w:r>
              <w:rPr>
                <w:color w:val="231F20"/>
                <w:sz w:val="24"/>
              </w:rPr>
              <w:t>1990</w:t>
            </w:r>
          </w:p>
        </w:tc>
      </w:tr>
    </w:tbl>
    <w:p w14:paraId="396A2AE5" w14:textId="77777777" w:rsidR="00345EE3" w:rsidRPr="00BD27F9" w:rsidRDefault="00345EE3" w:rsidP="00345EE3">
      <w:pPr>
        <w:spacing w:before="66"/>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Crime Command. Data</w:t>
      </w:r>
      <w:r w:rsidRPr="00BD27F9">
        <w:rPr>
          <w:color w:val="231F20"/>
          <w:spacing w:val="1"/>
          <w:sz w:val="18"/>
          <w:szCs w:val="18"/>
        </w:rPr>
        <w:t xml:space="preserve"> </w:t>
      </w:r>
      <w:r w:rsidRPr="00BD27F9">
        <w:rPr>
          <w:color w:val="231F20"/>
          <w:sz w:val="18"/>
          <w:szCs w:val="18"/>
        </w:rPr>
        <w:t>extracted from the</w:t>
      </w:r>
      <w:r w:rsidRPr="00BD27F9">
        <w:rPr>
          <w:color w:val="231F20"/>
          <w:spacing w:val="1"/>
          <w:sz w:val="18"/>
          <w:szCs w:val="18"/>
        </w:rPr>
        <w:t xml:space="preserve"> </w:t>
      </w:r>
      <w:r w:rsidRPr="00BD27F9">
        <w:rPr>
          <w:color w:val="231F20"/>
          <w:sz w:val="18"/>
          <w:szCs w:val="18"/>
        </w:rPr>
        <w:t>Firearm Prohibition Order Registry</w:t>
      </w:r>
      <w:r w:rsidRPr="00BD27F9">
        <w:rPr>
          <w:color w:val="231F20"/>
          <w:spacing w:val="1"/>
          <w:sz w:val="18"/>
          <w:szCs w:val="18"/>
        </w:rPr>
        <w:t xml:space="preserve"> </w:t>
      </w:r>
      <w:r w:rsidRPr="00BD27F9">
        <w:rPr>
          <w:color w:val="231F20"/>
          <w:sz w:val="18"/>
          <w:szCs w:val="18"/>
        </w:rPr>
        <w:t>on 5 July</w:t>
      </w:r>
      <w:r w:rsidRPr="00BD27F9">
        <w:rPr>
          <w:color w:val="231F20"/>
          <w:spacing w:val="1"/>
          <w:sz w:val="18"/>
          <w:szCs w:val="18"/>
        </w:rPr>
        <w:t xml:space="preserve"> </w:t>
      </w:r>
      <w:r w:rsidRPr="00BD27F9">
        <w:rPr>
          <w:color w:val="231F20"/>
          <w:spacing w:val="-2"/>
          <w:sz w:val="18"/>
          <w:szCs w:val="18"/>
        </w:rPr>
        <w:t>2022.</w:t>
      </w:r>
    </w:p>
    <w:p w14:paraId="38FC635E" w14:textId="77777777" w:rsidR="00345EE3" w:rsidRPr="00BD27F9" w:rsidRDefault="00345EE3" w:rsidP="00345EE3">
      <w:pPr>
        <w:spacing w:before="28"/>
        <w:ind w:left="110"/>
        <w:rPr>
          <w:sz w:val="18"/>
          <w:szCs w:val="18"/>
        </w:rPr>
      </w:pPr>
      <w:r w:rsidRPr="00BD27F9">
        <w:rPr>
          <w:rFonts w:ascii="Arial-BoldItalicMT" w:hAnsi="Arial-BoldItalicMT"/>
          <w:b/>
          <w:i/>
          <w:color w:val="231F20"/>
          <w:sz w:val="18"/>
          <w:szCs w:val="18"/>
        </w:rPr>
        <w:t>Notes:</w:t>
      </w:r>
      <w:r w:rsidRPr="00BD27F9">
        <w:rPr>
          <w:rFonts w:ascii="Arial-BoldItalicMT" w:hAnsi="Arial-BoldItalicMT"/>
          <w:b/>
          <w:i/>
          <w:color w:val="231F20"/>
          <w:spacing w:val="-2"/>
          <w:sz w:val="18"/>
          <w:szCs w:val="18"/>
        </w:rPr>
        <w:t xml:space="preserve"> </w:t>
      </w:r>
      <w:r w:rsidRPr="00BD27F9">
        <w:rPr>
          <w:color w:val="231F20"/>
          <w:sz w:val="18"/>
          <w:szCs w:val="18"/>
        </w:rPr>
        <w:t>Data</w:t>
      </w:r>
      <w:r w:rsidRPr="00BD27F9">
        <w:rPr>
          <w:color w:val="231F20"/>
          <w:spacing w:val="-2"/>
          <w:sz w:val="18"/>
          <w:szCs w:val="18"/>
        </w:rPr>
        <w:t xml:space="preserve"> </w:t>
      </w:r>
      <w:r w:rsidRPr="00BD27F9">
        <w:rPr>
          <w:color w:val="231F20"/>
          <w:sz w:val="18"/>
          <w:szCs w:val="18"/>
        </w:rPr>
        <w:t>against</w:t>
      </w:r>
      <w:r w:rsidRPr="00BD27F9">
        <w:rPr>
          <w:color w:val="231F20"/>
          <w:spacing w:val="-3"/>
          <w:sz w:val="18"/>
          <w:szCs w:val="18"/>
        </w:rPr>
        <w:t xml:space="preserve"> </w:t>
      </w:r>
      <w:r w:rsidRPr="00BD27F9">
        <w:rPr>
          <w:color w:val="231F20"/>
          <w:sz w:val="18"/>
          <w:szCs w:val="18"/>
        </w:rPr>
        <w:t>items</w:t>
      </w:r>
      <w:r w:rsidRPr="00BD27F9">
        <w:rPr>
          <w:color w:val="231F20"/>
          <w:spacing w:val="-2"/>
          <w:sz w:val="18"/>
          <w:szCs w:val="18"/>
        </w:rPr>
        <w:t xml:space="preserve"> </w:t>
      </w:r>
      <w:r w:rsidRPr="00BD27F9">
        <w:rPr>
          <w:color w:val="231F20"/>
          <w:sz w:val="18"/>
          <w:szCs w:val="18"/>
        </w:rPr>
        <w:t>(b)</w:t>
      </w:r>
      <w:r w:rsidRPr="00BD27F9">
        <w:rPr>
          <w:color w:val="231F20"/>
          <w:spacing w:val="-3"/>
          <w:sz w:val="18"/>
          <w:szCs w:val="18"/>
        </w:rPr>
        <w:t xml:space="preserve"> </w:t>
      </w:r>
      <w:r w:rsidRPr="00BD27F9">
        <w:rPr>
          <w:color w:val="231F20"/>
          <w:sz w:val="18"/>
          <w:szCs w:val="18"/>
        </w:rPr>
        <w:t>and</w:t>
      </w:r>
      <w:r w:rsidRPr="00BD27F9">
        <w:rPr>
          <w:color w:val="231F20"/>
          <w:spacing w:val="-2"/>
          <w:sz w:val="18"/>
          <w:szCs w:val="18"/>
        </w:rPr>
        <w:t xml:space="preserve"> </w:t>
      </w:r>
      <w:r w:rsidRPr="00BD27F9">
        <w:rPr>
          <w:color w:val="231F20"/>
          <w:sz w:val="18"/>
          <w:szCs w:val="18"/>
        </w:rPr>
        <w:t>(c)</w:t>
      </w:r>
      <w:r w:rsidRPr="00BD27F9">
        <w:rPr>
          <w:color w:val="231F20"/>
          <w:spacing w:val="-2"/>
          <w:sz w:val="18"/>
          <w:szCs w:val="18"/>
        </w:rPr>
        <w:t xml:space="preserve"> </w:t>
      </w:r>
      <w:r w:rsidRPr="00BD27F9">
        <w:rPr>
          <w:color w:val="231F20"/>
          <w:sz w:val="18"/>
          <w:szCs w:val="18"/>
        </w:rPr>
        <w:t>represent</w:t>
      </w:r>
      <w:r w:rsidRPr="00BD27F9">
        <w:rPr>
          <w:color w:val="231F20"/>
          <w:spacing w:val="-3"/>
          <w:sz w:val="18"/>
          <w:szCs w:val="18"/>
        </w:rPr>
        <w:t xml:space="preserve"> </w:t>
      </w:r>
      <w:r w:rsidRPr="00BD27F9">
        <w:rPr>
          <w:color w:val="231F20"/>
          <w:sz w:val="18"/>
          <w:szCs w:val="18"/>
        </w:rPr>
        <w:t>the</w:t>
      </w:r>
      <w:r w:rsidRPr="00BD27F9">
        <w:rPr>
          <w:color w:val="231F20"/>
          <w:spacing w:val="-2"/>
          <w:sz w:val="18"/>
          <w:szCs w:val="18"/>
        </w:rPr>
        <w:t xml:space="preserve"> </w:t>
      </w:r>
      <w:r w:rsidRPr="00BD27F9">
        <w:rPr>
          <w:color w:val="231F20"/>
          <w:sz w:val="18"/>
          <w:szCs w:val="18"/>
        </w:rPr>
        <w:t>cumulative</w:t>
      </w:r>
      <w:r w:rsidRPr="00BD27F9">
        <w:rPr>
          <w:color w:val="231F20"/>
          <w:spacing w:val="-3"/>
          <w:sz w:val="18"/>
          <w:szCs w:val="18"/>
        </w:rPr>
        <w:t xml:space="preserve"> </w:t>
      </w:r>
      <w:r w:rsidRPr="00BD27F9">
        <w:rPr>
          <w:color w:val="231F20"/>
          <w:sz w:val="18"/>
          <w:szCs w:val="18"/>
        </w:rPr>
        <w:t>total</w:t>
      </w:r>
      <w:r w:rsidRPr="00BD27F9">
        <w:rPr>
          <w:color w:val="231F20"/>
          <w:spacing w:val="-2"/>
          <w:sz w:val="18"/>
          <w:szCs w:val="18"/>
        </w:rPr>
        <w:t xml:space="preserve"> </w:t>
      </w:r>
      <w:r w:rsidRPr="00BD27F9">
        <w:rPr>
          <w:color w:val="231F20"/>
          <w:sz w:val="18"/>
          <w:szCs w:val="18"/>
        </w:rPr>
        <w:t>from</w:t>
      </w:r>
      <w:r w:rsidRPr="00BD27F9">
        <w:rPr>
          <w:color w:val="231F20"/>
          <w:spacing w:val="-2"/>
          <w:sz w:val="18"/>
          <w:szCs w:val="18"/>
        </w:rPr>
        <w:t xml:space="preserve"> </w:t>
      </w:r>
      <w:r w:rsidRPr="00BD27F9">
        <w:rPr>
          <w:color w:val="231F20"/>
          <w:sz w:val="18"/>
          <w:szCs w:val="18"/>
        </w:rPr>
        <w:t>8</w:t>
      </w:r>
      <w:r w:rsidRPr="00BD27F9">
        <w:rPr>
          <w:color w:val="231F20"/>
          <w:spacing w:val="-3"/>
          <w:sz w:val="18"/>
          <w:szCs w:val="18"/>
        </w:rPr>
        <w:t xml:space="preserve"> </w:t>
      </w:r>
      <w:r w:rsidRPr="00BD27F9">
        <w:rPr>
          <w:color w:val="231F20"/>
          <w:sz w:val="18"/>
          <w:szCs w:val="18"/>
        </w:rPr>
        <w:t>May</w:t>
      </w:r>
      <w:r w:rsidRPr="00BD27F9">
        <w:rPr>
          <w:color w:val="231F20"/>
          <w:spacing w:val="-2"/>
          <w:sz w:val="18"/>
          <w:szCs w:val="18"/>
        </w:rPr>
        <w:t xml:space="preserve"> </w:t>
      </w:r>
      <w:r w:rsidRPr="00BD27F9">
        <w:rPr>
          <w:color w:val="231F20"/>
          <w:sz w:val="18"/>
          <w:szCs w:val="18"/>
        </w:rPr>
        <w:t>2018</w:t>
      </w:r>
      <w:r w:rsidRPr="00BD27F9">
        <w:rPr>
          <w:color w:val="231F20"/>
          <w:spacing w:val="-3"/>
          <w:sz w:val="18"/>
          <w:szCs w:val="18"/>
        </w:rPr>
        <w:t xml:space="preserve"> </w:t>
      </w:r>
      <w:r w:rsidRPr="00BD27F9">
        <w:rPr>
          <w:color w:val="231F20"/>
          <w:sz w:val="18"/>
          <w:szCs w:val="18"/>
        </w:rPr>
        <w:t>to</w:t>
      </w:r>
      <w:r w:rsidRPr="00BD27F9">
        <w:rPr>
          <w:color w:val="231F20"/>
          <w:spacing w:val="-2"/>
          <w:sz w:val="18"/>
          <w:szCs w:val="18"/>
        </w:rPr>
        <w:t xml:space="preserve"> </w:t>
      </w:r>
      <w:r w:rsidRPr="00BD27F9">
        <w:rPr>
          <w:color w:val="231F20"/>
          <w:sz w:val="18"/>
          <w:szCs w:val="18"/>
        </w:rPr>
        <w:t>30</w:t>
      </w:r>
      <w:r w:rsidRPr="00BD27F9">
        <w:rPr>
          <w:color w:val="231F20"/>
          <w:spacing w:val="-3"/>
          <w:sz w:val="18"/>
          <w:szCs w:val="18"/>
        </w:rPr>
        <w:t xml:space="preserve"> </w:t>
      </w:r>
      <w:r w:rsidRPr="00BD27F9">
        <w:rPr>
          <w:color w:val="231F20"/>
          <w:sz w:val="18"/>
          <w:szCs w:val="18"/>
        </w:rPr>
        <w:t>June</w:t>
      </w:r>
      <w:r w:rsidRPr="00BD27F9">
        <w:rPr>
          <w:color w:val="231F20"/>
          <w:spacing w:val="-2"/>
          <w:sz w:val="18"/>
          <w:szCs w:val="18"/>
        </w:rPr>
        <w:t xml:space="preserve"> </w:t>
      </w:r>
      <w:r w:rsidRPr="00BD27F9">
        <w:rPr>
          <w:color w:val="231F20"/>
          <w:sz w:val="18"/>
          <w:szCs w:val="18"/>
        </w:rPr>
        <w:t>2022.</w:t>
      </w:r>
      <w:r w:rsidRPr="00BD27F9">
        <w:rPr>
          <w:color w:val="231F20"/>
          <w:spacing w:val="-2"/>
          <w:sz w:val="18"/>
          <w:szCs w:val="18"/>
        </w:rPr>
        <w:t xml:space="preserve"> </w:t>
      </w:r>
      <w:r w:rsidRPr="00BD27F9">
        <w:rPr>
          <w:color w:val="231F20"/>
          <w:sz w:val="18"/>
          <w:szCs w:val="18"/>
        </w:rPr>
        <w:t>All</w:t>
      </w:r>
      <w:r w:rsidRPr="00BD27F9">
        <w:rPr>
          <w:color w:val="231F20"/>
          <w:spacing w:val="-3"/>
          <w:sz w:val="18"/>
          <w:szCs w:val="18"/>
        </w:rPr>
        <w:t xml:space="preserve"> </w:t>
      </w:r>
      <w:r w:rsidRPr="00BD27F9">
        <w:rPr>
          <w:color w:val="231F20"/>
          <w:sz w:val="18"/>
          <w:szCs w:val="18"/>
        </w:rPr>
        <w:t>other</w:t>
      </w:r>
      <w:r w:rsidRPr="00BD27F9">
        <w:rPr>
          <w:color w:val="231F20"/>
          <w:spacing w:val="-2"/>
          <w:sz w:val="18"/>
          <w:szCs w:val="18"/>
        </w:rPr>
        <w:t xml:space="preserve"> </w:t>
      </w:r>
      <w:r w:rsidRPr="00BD27F9">
        <w:rPr>
          <w:color w:val="231F20"/>
          <w:sz w:val="18"/>
          <w:szCs w:val="18"/>
        </w:rPr>
        <w:t>data</w:t>
      </w:r>
      <w:r w:rsidRPr="00BD27F9">
        <w:rPr>
          <w:color w:val="231F20"/>
          <w:spacing w:val="-3"/>
          <w:sz w:val="18"/>
          <w:szCs w:val="18"/>
        </w:rPr>
        <w:t xml:space="preserve"> </w:t>
      </w:r>
      <w:r w:rsidRPr="00BD27F9">
        <w:rPr>
          <w:color w:val="231F20"/>
          <w:sz w:val="18"/>
          <w:szCs w:val="18"/>
        </w:rPr>
        <w:t>from</w:t>
      </w:r>
      <w:r w:rsidRPr="00BD27F9">
        <w:rPr>
          <w:color w:val="231F20"/>
          <w:spacing w:val="-2"/>
          <w:sz w:val="18"/>
          <w:szCs w:val="18"/>
        </w:rPr>
        <w:t xml:space="preserve"> </w:t>
      </w:r>
      <w:r w:rsidRPr="00BD27F9">
        <w:rPr>
          <w:color w:val="231F20"/>
          <w:sz w:val="18"/>
          <w:szCs w:val="18"/>
        </w:rPr>
        <w:t>the</w:t>
      </w:r>
      <w:r w:rsidRPr="00BD27F9">
        <w:rPr>
          <w:color w:val="231F20"/>
          <w:spacing w:val="-2"/>
          <w:sz w:val="18"/>
          <w:szCs w:val="18"/>
        </w:rPr>
        <w:t xml:space="preserve"> </w:t>
      </w:r>
      <w:r>
        <w:rPr>
          <w:color w:val="231F20"/>
          <w:spacing w:val="-2"/>
          <w:sz w:val="18"/>
          <w:szCs w:val="18"/>
        </w:rPr>
        <w:br/>
      </w:r>
      <w:r w:rsidRPr="00BD27F9">
        <w:rPr>
          <w:color w:val="231F20"/>
          <w:sz w:val="18"/>
          <w:szCs w:val="18"/>
        </w:rPr>
        <w:t>period</w:t>
      </w:r>
      <w:r w:rsidRPr="00BD27F9">
        <w:rPr>
          <w:color w:val="231F20"/>
          <w:spacing w:val="-3"/>
          <w:sz w:val="18"/>
          <w:szCs w:val="18"/>
        </w:rPr>
        <w:t xml:space="preserve"> </w:t>
      </w:r>
      <w:r w:rsidRPr="00BD27F9">
        <w:rPr>
          <w:color w:val="231F20"/>
          <w:sz w:val="18"/>
          <w:szCs w:val="18"/>
        </w:rPr>
        <w:t>1</w:t>
      </w:r>
      <w:r w:rsidRPr="00BD27F9">
        <w:rPr>
          <w:color w:val="231F20"/>
          <w:spacing w:val="-2"/>
          <w:sz w:val="18"/>
          <w:szCs w:val="18"/>
        </w:rPr>
        <w:t xml:space="preserve"> </w:t>
      </w:r>
      <w:r w:rsidRPr="00BD27F9">
        <w:rPr>
          <w:color w:val="231F20"/>
          <w:sz w:val="18"/>
          <w:szCs w:val="18"/>
        </w:rPr>
        <w:t>July</w:t>
      </w:r>
      <w:r w:rsidRPr="00BD27F9">
        <w:rPr>
          <w:color w:val="231F20"/>
          <w:spacing w:val="-3"/>
          <w:sz w:val="18"/>
          <w:szCs w:val="18"/>
        </w:rPr>
        <w:t xml:space="preserve"> </w:t>
      </w:r>
      <w:r w:rsidRPr="00BD27F9">
        <w:rPr>
          <w:color w:val="231F20"/>
          <w:sz w:val="18"/>
          <w:szCs w:val="18"/>
        </w:rPr>
        <w:t>2021–30</w:t>
      </w:r>
      <w:r w:rsidRPr="00BD27F9">
        <w:rPr>
          <w:color w:val="231F20"/>
          <w:spacing w:val="-2"/>
          <w:sz w:val="18"/>
          <w:szCs w:val="18"/>
        </w:rPr>
        <w:t xml:space="preserve"> </w:t>
      </w:r>
      <w:r w:rsidRPr="00BD27F9">
        <w:rPr>
          <w:color w:val="231F20"/>
          <w:sz w:val="18"/>
          <w:szCs w:val="18"/>
        </w:rPr>
        <w:t>June</w:t>
      </w:r>
      <w:r w:rsidRPr="00BD27F9">
        <w:rPr>
          <w:color w:val="231F20"/>
          <w:spacing w:val="-2"/>
          <w:sz w:val="18"/>
          <w:szCs w:val="18"/>
        </w:rPr>
        <w:t xml:space="preserve"> 2022.</w:t>
      </w:r>
    </w:p>
    <w:p w14:paraId="457CCE43" w14:textId="77777777" w:rsidR="00345EE3" w:rsidRPr="00BD27F9" w:rsidRDefault="00345EE3">
      <w:pPr>
        <w:pStyle w:val="ListParagraph"/>
        <w:numPr>
          <w:ilvl w:val="0"/>
          <w:numId w:val="78"/>
        </w:numPr>
        <w:tabs>
          <w:tab w:val="left" w:pos="338"/>
        </w:tabs>
        <w:spacing w:before="112"/>
        <w:ind w:hanging="228"/>
        <w:rPr>
          <w:sz w:val="18"/>
          <w:szCs w:val="18"/>
        </w:rPr>
      </w:pPr>
      <w:r w:rsidRPr="00BD27F9">
        <w:rPr>
          <w:color w:val="231F20"/>
          <w:sz w:val="18"/>
          <w:szCs w:val="18"/>
        </w:rPr>
        <w:t>Data</w:t>
      </w:r>
      <w:r w:rsidRPr="00BD27F9">
        <w:rPr>
          <w:color w:val="231F20"/>
          <w:spacing w:val="-3"/>
          <w:sz w:val="18"/>
          <w:szCs w:val="18"/>
        </w:rPr>
        <w:t xml:space="preserve"> </w:t>
      </w:r>
      <w:r w:rsidRPr="00BD27F9">
        <w:rPr>
          <w:color w:val="231F20"/>
          <w:sz w:val="18"/>
          <w:szCs w:val="18"/>
        </w:rPr>
        <w:t>provided</w:t>
      </w:r>
      <w:r w:rsidRPr="00BD27F9">
        <w:rPr>
          <w:color w:val="231F20"/>
          <w:spacing w:val="-3"/>
          <w:sz w:val="18"/>
          <w:szCs w:val="18"/>
        </w:rPr>
        <w:t xml:space="preserve"> </w:t>
      </w:r>
      <w:r w:rsidRPr="00BD27F9">
        <w:rPr>
          <w:color w:val="231F20"/>
          <w:sz w:val="18"/>
          <w:szCs w:val="18"/>
        </w:rPr>
        <w:t>against</w:t>
      </w:r>
      <w:r w:rsidRPr="00BD27F9">
        <w:rPr>
          <w:color w:val="231F20"/>
          <w:spacing w:val="-3"/>
          <w:sz w:val="18"/>
          <w:szCs w:val="18"/>
        </w:rPr>
        <w:t xml:space="preserve"> </w:t>
      </w:r>
      <w:r w:rsidRPr="00BD27F9">
        <w:rPr>
          <w:color w:val="231F20"/>
          <w:sz w:val="18"/>
          <w:szCs w:val="18"/>
        </w:rPr>
        <w:t>(c)</w:t>
      </w:r>
      <w:r w:rsidRPr="00BD27F9">
        <w:rPr>
          <w:color w:val="231F20"/>
          <w:spacing w:val="-3"/>
          <w:sz w:val="18"/>
          <w:szCs w:val="18"/>
        </w:rPr>
        <w:t xml:space="preserve"> </w:t>
      </w:r>
      <w:r w:rsidRPr="00BD27F9">
        <w:rPr>
          <w:color w:val="231F20"/>
          <w:sz w:val="18"/>
          <w:szCs w:val="18"/>
        </w:rPr>
        <w:t>relate</w:t>
      </w:r>
      <w:r w:rsidRPr="00BD27F9">
        <w:rPr>
          <w:color w:val="231F20"/>
          <w:spacing w:val="-3"/>
          <w:sz w:val="18"/>
          <w:szCs w:val="18"/>
        </w:rPr>
        <w:t xml:space="preserve"> </w:t>
      </w:r>
      <w:r w:rsidRPr="00BD27F9">
        <w:rPr>
          <w:color w:val="231F20"/>
          <w:sz w:val="18"/>
          <w:szCs w:val="18"/>
        </w:rPr>
        <w:t>to</w:t>
      </w:r>
      <w:r w:rsidRPr="00BD27F9">
        <w:rPr>
          <w:color w:val="231F20"/>
          <w:spacing w:val="-3"/>
          <w:sz w:val="18"/>
          <w:szCs w:val="18"/>
        </w:rPr>
        <w:t xml:space="preserve"> </w:t>
      </w:r>
      <w:r w:rsidRPr="00BD27F9">
        <w:rPr>
          <w:color w:val="231F20"/>
          <w:sz w:val="18"/>
          <w:szCs w:val="18"/>
        </w:rPr>
        <w:t>persons</w:t>
      </w:r>
      <w:r w:rsidRPr="00BD27F9">
        <w:rPr>
          <w:color w:val="231F20"/>
          <w:spacing w:val="-2"/>
          <w:sz w:val="18"/>
          <w:szCs w:val="18"/>
        </w:rPr>
        <w:t xml:space="preserve"> </w:t>
      </w:r>
      <w:r w:rsidRPr="00BD27F9">
        <w:rPr>
          <w:color w:val="231F20"/>
          <w:sz w:val="18"/>
          <w:szCs w:val="18"/>
        </w:rPr>
        <w:t>who</w:t>
      </w:r>
      <w:r w:rsidRPr="00BD27F9">
        <w:rPr>
          <w:color w:val="231F20"/>
          <w:spacing w:val="-3"/>
          <w:sz w:val="18"/>
          <w:szCs w:val="18"/>
        </w:rPr>
        <w:t xml:space="preserve"> </w:t>
      </w:r>
      <w:r w:rsidRPr="00BD27F9">
        <w:rPr>
          <w:color w:val="231F20"/>
          <w:sz w:val="18"/>
          <w:szCs w:val="18"/>
        </w:rPr>
        <w:t>were</w:t>
      </w:r>
      <w:r w:rsidRPr="00BD27F9">
        <w:rPr>
          <w:color w:val="231F20"/>
          <w:spacing w:val="-3"/>
          <w:sz w:val="18"/>
          <w:szCs w:val="18"/>
        </w:rPr>
        <w:t xml:space="preserve"> </w:t>
      </w:r>
      <w:r w:rsidRPr="00BD27F9">
        <w:rPr>
          <w:color w:val="231F20"/>
          <w:sz w:val="18"/>
          <w:szCs w:val="18"/>
        </w:rPr>
        <w:t>under</w:t>
      </w:r>
      <w:r w:rsidRPr="00BD27F9">
        <w:rPr>
          <w:color w:val="231F20"/>
          <w:spacing w:val="-3"/>
          <w:sz w:val="18"/>
          <w:szCs w:val="18"/>
        </w:rPr>
        <w:t xml:space="preserve"> </w:t>
      </w:r>
      <w:r w:rsidRPr="00BD27F9">
        <w:rPr>
          <w:color w:val="231F20"/>
          <w:sz w:val="18"/>
          <w:szCs w:val="18"/>
        </w:rPr>
        <w:t>the</w:t>
      </w:r>
      <w:r w:rsidRPr="00BD27F9">
        <w:rPr>
          <w:color w:val="231F20"/>
          <w:spacing w:val="-3"/>
          <w:sz w:val="18"/>
          <w:szCs w:val="18"/>
        </w:rPr>
        <w:t xml:space="preserve"> </w:t>
      </w:r>
      <w:r w:rsidRPr="00BD27F9">
        <w:rPr>
          <w:color w:val="231F20"/>
          <w:sz w:val="18"/>
          <w:szCs w:val="18"/>
        </w:rPr>
        <w:t>age</w:t>
      </w:r>
      <w:r w:rsidRPr="00BD27F9">
        <w:rPr>
          <w:color w:val="231F20"/>
          <w:spacing w:val="-3"/>
          <w:sz w:val="18"/>
          <w:szCs w:val="18"/>
        </w:rPr>
        <w:t xml:space="preserve"> </w:t>
      </w:r>
      <w:r w:rsidRPr="00BD27F9">
        <w:rPr>
          <w:color w:val="231F20"/>
          <w:sz w:val="18"/>
          <w:szCs w:val="18"/>
        </w:rPr>
        <w:t>of</w:t>
      </w:r>
      <w:r w:rsidRPr="00BD27F9">
        <w:rPr>
          <w:color w:val="231F20"/>
          <w:spacing w:val="-3"/>
          <w:sz w:val="18"/>
          <w:szCs w:val="18"/>
        </w:rPr>
        <w:t xml:space="preserve"> </w:t>
      </w:r>
      <w:r w:rsidRPr="00BD27F9">
        <w:rPr>
          <w:color w:val="231F20"/>
          <w:sz w:val="18"/>
          <w:szCs w:val="18"/>
        </w:rPr>
        <w:t>18</w:t>
      </w:r>
      <w:r w:rsidRPr="00BD27F9">
        <w:rPr>
          <w:color w:val="231F20"/>
          <w:spacing w:val="-2"/>
          <w:sz w:val="18"/>
          <w:szCs w:val="18"/>
        </w:rPr>
        <w:t xml:space="preserve"> </w:t>
      </w:r>
      <w:r w:rsidRPr="00BD27F9">
        <w:rPr>
          <w:color w:val="231F20"/>
          <w:sz w:val="18"/>
          <w:szCs w:val="18"/>
        </w:rPr>
        <w:t>and</w:t>
      </w:r>
      <w:r w:rsidRPr="00BD27F9">
        <w:rPr>
          <w:color w:val="231F20"/>
          <w:spacing w:val="-3"/>
          <w:sz w:val="18"/>
          <w:szCs w:val="18"/>
        </w:rPr>
        <w:t xml:space="preserve"> </w:t>
      </w:r>
      <w:r w:rsidRPr="00BD27F9">
        <w:rPr>
          <w:color w:val="231F20"/>
          <w:sz w:val="18"/>
          <w:szCs w:val="18"/>
        </w:rPr>
        <w:t>subject</w:t>
      </w:r>
      <w:r w:rsidRPr="00BD27F9">
        <w:rPr>
          <w:color w:val="231F20"/>
          <w:spacing w:val="-3"/>
          <w:sz w:val="18"/>
          <w:szCs w:val="18"/>
        </w:rPr>
        <w:t xml:space="preserve"> </w:t>
      </w:r>
      <w:r w:rsidRPr="00BD27F9">
        <w:rPr>
          <w:color w:val="231F20"/>
          <w:sz w:val="18"/>
          <w:szCs w:val="18"/>
        </w:rPr>
        <w:t>to</w:t>
      </w:r>
      <w:r w:rsidRPr="00BD27F9">
        <w:rPr>
          <w:color w:val="231F20"/>
          <w:spacing w:val="-3"/>
          <w:sz w:val="18"/>
          <w:szCs w:val="18"/>
        </w:rPr>
        <w:t xml:space="preserve"> </w:t>
      </w:r>
      <w:r w:rsidRPr="00BD27F9">
        <w:rPr>
          <w:color w:val="231F20"/>
          <w:sz w:val="18"/>
          <w:szCs w:val="18"/>
        </w:rPr>
        <w:t>an</w:t>
      </w:r>
      <w:r w:rsidRPr="00BD27F9">
        <w:rPr>
          <w:color w:val="231F20"/>
          <w:spacing w:val="-3"/>
          <w:sz w:val="18"/>
          <w:szCs w:val="18"/>
        </w:rPr>
        <w:t xml:space="preserve"> </w:t>
      </w:r>
      <w:r w:rsidRPr="00BD27F9">
        <w:rPr>
          <w:color w:val="231F20"/>
          <w:sz w:val="18"/>
          <w:szCs w:val="18"/>
        </w:rPr>
        <w:t>FPO</w:t>
      </w:r>
      <w:r w:rsidRPr="00BD27F9">
        <w:rPr>
          <w:color w:val="231F20"/>
          <w:spacing w:val="-3"/>
          <w:sz w:val="18"/>
          <w:szCs w:val="18"/>
        </w:rPr>
        <w:t xml:space="preserve"> </w:t>
      </w:r>
      <w:r w:rsidRPr="00BD27F9">
        <w:rPr>
          <w:color w:val="231F20"/>
          <w:sz w:val="18"/>
          <w:szCs w:val="18"/>
        </w:rPr>
        <w:t>throughout</w:t>
      </w:r>
      <w:r w:rsidRPr="00BD27F9">
        <w:rPr>
          <w:color w:val="231F20"/>
          <w:spacing w:val="-3"/>
          <w:sz w:val="18"/>
          <w:szCs w:val="18"/>
        </w:rPr>
        <w:t xml:space="preserve"> </w:t>
      </w:r>
      <w:r w:rsidRPr="00BD27F9">
        <w:rPr>
          <w:color w:val="231F20"/>
          <w:sz w:val="18"/>
          <w:szCs w:val="18"/>
        </w:rPr>
        <w:t>the</w:t>
      </w:r>
      <w:r w:rsidRPr="00BD27F9">
        <w:rPr>
          <w:color w:val="231F20"/>
          <w:spacing w:val="-2"/>
          <w:sz w:val="18"/>
          <w:szCs w:val="18"/>
        </w:rPr>
        <w:t xml:space="preserve"> year.</w:t>
      </w:r>
    </w:p>
    <w:p w14:paraId="6001B442" w14:textId="77777777" w:rsidR="00345EE3" w:rsidRPr="00BD27F9" w:rsidRDefault="00345EE3">
      <w:pPr>
        <w:pStyle w:val="ListParagraph"/>
        <w:numPr>
          <w:ilvl w:val="0"/>
          <w:numId w:val="78"/>
        </w:numPr>
        <w:tabs>
          <w:tab w:val="left" w:pos="338"/>
        </w:tabs>
        <w:spacing w:before="28"/>
        <w:ind w:right="904"/>
        <w:rPr>
          <w:sz w:val="18"/>
          <w:szCs w:val="18"/>
        </w:rPr>
      </w:pPr>
      <w:r w:rsidRPr="00BD27F9">
        <w:rPr>
          <w:color w:val="231F20"/>
          <w:sz w:val="18"/>
          <w:szCs w:val="18"/>
        </w:rPr>
        <w:t>Data provided against (d) Property and Laboratory Management (PALM) currently unable to identify property items by seizure type. The FPO Registry is</w:t>
      </w:r>
      <w:r w:rsidRPr="00BD27F9">
        <w:rPr>
          <w:color w:val="231F20"/>
          <w:spacing w:val="40"/>
          <w:sz w:val="18"/>
          <w:szCs w:val="18"/>
        </w:rPr>
        <w:t xml:space="preserve"> </w:t>
      </w:r>
      <w:r w:rsidRPr="00BD27F9">
        <w:rPr>
          <w:color w:val="231F20"/>
          <w:sz w:val="18"/>
          <w:szCs w:val="18"/>
        </w:rPr>
        <w:t>dependent on manual reporting of seizures and return of PALM receipts to collect such data. Data are validated by cross-reference to charges resulting from</w:t>
      </w:r>
      <w:r w:rsidRPr="00BD27F9">
        <w:rPr>
          <w:color w:val="231F20"/>
          <w:spacing w:val="40"/>
          <w:sz w:val="18"/>
          <w:szCs w:val="18"/>
        </w:rPr>
        <w:t xml:space="preserve"> </w:t>
      </w:r>
      <w:r w:rsidRPr="00BD27F9">
        <w:rPr>
          <w:color w:val="231F20"/>
          <w:sz w:val="18"/>
          <w:szCs w:val="18"/>
        </w:rPr>
        <w:t>either FPO searches with an offence category of WEAPONS/EXPLOSIVES or FPO specific offences detected under warrant or another search power. Includes</w:t>
      </w:r>
      <w:r w:rsidRPr="00BD27F9">
        <w:rPr>
          <w:color w:val="231F20"/>
          <w:spacing w:val="40"/>
          <w:sz w:val="18"/>
          <w:szCs w:val="18"/>
        </w:rPr>
        <w:t xml:space="preserve"> </w:t>
      </w:r>
      <w:r w:rsidRPr="00BD27F9">
        <w:rPr>
          <w:color w:val="231F20"/>
          <w:sz w:val="18"/>
          <w:szCs w:val="18"/>
        </w:rPr>
        <w:t>imitation firearms although they are by definition weapons and not firearms.</w:t>
      </w:r>
    </w:p>
    <w:p w14:paraId="3C6D329A" w14:textId="77777777" w:rsidR="00345EE3" w:rsidRPr="00BD27F9" w:rsidRDefault="00345EE3">
      <w:pPr>
        <w:pStyle w:val="ListParagraph"/>
        <w:numPr>
          <w:ilvl w:val="0"/>
          <w:numId w:val="78"/>
        </w:numPr>
        <w:tabs>
          <w:tab w:val="left" w:pos="338"/>
        </w:tabs>
        <w:spacing w:before="24"/>
        <w:ind w:hanging="228"/>
        <w:rPr>
          <w:sz w:val="18"/>
          <w:szCs w:val="18"/>
        </w:rPr>
      </w:pPr>
      <w:r w:rsidRPr="00BD27F9">
        <w:rPr>
          <w:color w:val="231F20"/>
          <w:sz w:val="18"/>
          <w:szCs w:val="18"/>
        </w:rPr>
        <w:t>This</w:t>
      </w:r>
      <w:r w:rsidRPr="00BD27F9">
        <w:rPr>
          <w:color w:val="231F20"/>
          <w:spacing w:val="-5"/>
          <w:sz w:val="18"/>
          <w:szCs w:val="18"/>
        </w:rPr>
        <w:t xml:space="preserve"> </w:t>
      </w:r>
      <w:r w:rsidRPr="00BD27F9">
        <w:rPr>
          <w:color w:val="231F20"/>
          <w:sz w:val="18"/>
          <w:szCs w:val="18"/>
        </w:rPr>
        <w:t>number</w:t>
      </w:r>
      <w:r w:rsidRPr="00BD27F9">
        <w:rPr>
          <w:color w:val="231F20"/>
          <w:spacing w:val="-2"/>
          <w:sz w:val="18"/>
          <w:szCs w:val="18"/>
        </w:rPr>
        <w:t xml:space="preserve"> </w:t>
      </w:r>
      <w:r w:rsidRPr="00BD27F9">
        <w:rPr>
          <w:color w:val="231F20"/>
          <w:sz w:val="18"/>
          <w:szCs w:val="18"/>
        </w:rPr>
        <w:t>does</w:t>
      </w:r>
      <w:r w:rsidRPr="00BD27F9">
        <w:rPr>
          <w:color w:val="231F20"/>
          <w:spacing w:val="-3"/>
          <w:sz w:val="18"/>
          <w:szCs w:val="18"/>
        </w:rPr>
        <w:t xml:space="preserve"> </w:t>
      </w:r>
      <w:r w:rsidRPr="00BD27F9">
        <w:rPr>
          <w:color w:val="231F20"/>
          <w:sz w:val="18"/>
          <w:szCs w:val="18"/>
        </w:rPr>
        <w:t>not</w:t>
      </w:r>
      <w:r w:rsidRPr="00BD27F9">
        <w:rPr>
          <w:color w:val="231F20"/>
          <w:spacing w:val="-2"/>
          <w:sz w:val="18"/>
          <w:szCs w:val="18"/>
        </w:rPr>
        <w:t xml:space="preserve"> </w:t>
      </w:r>
      <w:r w:rsidRPr="00BD27F9">
        <w:rPr>
          <w:color w:val="231F20"/>
          <w:sz w:val="18"/>
          <w:szCs w:val="18"/>
        </w:rPr>
        <w:t>include</w:t>
      </w:r>
      <w:r w:rsidRPr="00BD27F9">
        <w:rPr>
          <w:color w:val="231F20"/>
          <w:spacing w:val="-2"/>
          <w:sz w:val="18"/>
          <w:szCs w:val="18"/>
        </w:rPr>
        <w:t xml:space="preserve"> </w:t>
      </w:r>
      <w:r w:rsidRPr="00BD27F9">
        <w:rPr>
          <w:color w:val="231F20"/>
          <w:sz w:val="18"/>
          <w:szCs w:val="18"/>
        </w:rPr>
        <w:t>imitation</w:t>
      </w:r>
      <w:r w:rsidRPr="00BD27F9">
        <w:rPr>
          <w:color w:val="231F20"/>
          <w:spacing w:val="-3"/>
          <w:sz w:val="18"/>
          <w:szCs w:val="18"/>
        </w:rPr>
        <w:t xml:space="preserve"> </w:t>
      </w:r>
      <w:r w:rsidRPr="00BD27F9">
        <w:rPr>
          <w:color w:val="231F20"/>
          <w:sz w:val="18"/>
          <w:szCs w:val="18"/>
        </w:rPr>
        <w:t>firearms,</w:t>
      </w:r>
      <w:r w:rsidRPr="00BD27F9">
        <w:rPr>
          <w:color w:val="231F20"/>
          <w:spacing w:val="-2"/>
          <w:sz w:val="18"/>
          <w:szCs w:val="18"/>
        </w:rPr>
        <w:t xml:space="preserve"> </w:t>
      </w:r>
      <w:r w:rsidRPr="00BD27F9">
        <w:rPr>
          <w:color w:val="231F20"/>
          <w:sz w:val="18"/>
          <w:szCs w:val="18"/>
        </w:rPr>
        <w:t>however,</w:t>
      </w:r>
      <w:r w:rsidRPr="00BD27F9">
        <w:rPr>
          <w:color w:val="231F20"/>
          <w:spacing w:val="-3"/>
          <w:sz w:val="18"/>
          <w:szCs w:val="18"/>
        </w:rPr>
        <w:t xml:space="preserve"> </w:t>
      </w:r>
      <w:r w:rsidRPr="00BD27F9">
        <w:rPr>
          <w:color w:val="231F20"/>
          <w:sz w:val="18"/>
          <w:szCs w:val="18"/>
        </w:rPr>
        <w:t>there</w:t>
      </w:r>
      <w:r w:rsidRPr="00BD27F9">
        <w:rPr>
          <w:color w:val="231F20"/>
          <w:spacing w:val="-2"/>
          <w:sz w:val="18"/>
          <w:szCs w:val="18"/>
        </w:rPr>
        <w:t xml:space="preserve"> </w:t>
      </w:r>
      <w:r w:rsidRPr="00BD27F9">
        <w:rPr>
          <w:color w:val="231F20"/>
          <w:sz w:val="18"/>
          <w:szCs w:val="18"/>
        </w:rPr>
        <w:t>were</w:t>
      </w:r>
      <w:r w:rsidRPr="00BD27F9">
        <w:rPr>
          <w:color w:val="231F20"/>
          <w:spacing w:val="-2"/>
          <w:sz w:val="18"/>
          <w:szCs w:val="18"/>
        </w:rPr>
        <w:t xml:space="preserve"> </w:t>
      </w:r>
      <w:r w:rsidRPr="00BD27F9">
        <w:rPr>
          <w:color w:val="231F20"/>
          <w:sz w:val="18"/>
          <w:szCs w:val="18"/>
        </w:rPr>
        <w:t>49</w:t>
      </w:r>
      <w:r w:rsidRPr="00BD27F9">
        <w:rPr>
          <w:color w:val="231F20"/>
          <w:spacing w:val="-3"/>
          <w:sz w:val="18"/>
          <w:szCs w:val="18"/>
        </w:rPr>
        <w:t xml:space="preserve"> </w:t>
      </w:r>
      <w:r w:rsidRPr="00BD27F9">
        <w:rPr>
          <w:color w:val="231F20"/>
          <w:sz w:val="18"/>
          <w:szCs w:val="18"/>
        </w:rPr>
        <w:t>imitation</w:t>
      </w:r>
      <w:r w:rsidRPr="00BD27F9">
        <w:rPr>
          <w:color w:val="231F20"/>
          <w:spacing w:val="-2"/>
          <w:sz w:val="18"/>
          <w:szCs w:val="18"/>
        </w:rPr>
        <w:t xml:space="preserve"> </w:t>
      </w:r>
      <w:r w:rsidRPr="00BD27F9">
        <w:rPr>
          <w:color w:val="231F20"/>
          <w:sz w:val="18"/>
          <w:szCs w:val="18"/>
        </w:rPr>
        <w:t>firearms</w:t>
      </w:r>
      <w:r w:rsidRPr="00BD27F9">
        <w:rPr>
          <w:color w:val="231F20"/>
          <w:spacing w:val="-2"/>
          <w:sz w:val="18"/>
          <w:szCs w:val="18"/>
        </w:rPr>
        <w:t xml:space="preserve"> seized.</w:t>
      </w:r>
    </w:p>
    <w:p w14:paraId="443B03A1" w14:textId="77777777" w:rsidR="00345EE3" w:rsidRPr="00BD27F9" w:rsidRDefault="00345EE3">
      <w:pPr>
        <w:pStyle w:val="ListParagraph"/>
        <w:numPr>
          <w:ilvl w:val="0"/>
          <w:numId w:val="78"/>
        </w:numPr>
        <w:tabs>
          <w:tab w:val="left" w:pos="338"/>
        </w:tabs>
        <w:spacing w:before="27"/>
        <w:ind w:right="1150"/>
        <w:rPr>
          <w:sz w:val="18"/>
          <w:szCs w:val="18"/>
        </w:rPr>
      </w:pPr>
      <w:r w:rsidRPr="00BD27F9">
        <w:rPr>
          <w:color w:val="231F20"/>
          <w:sz w:val="18"/>
          <w:szCs w:val="18"/>
        </w:rPr>
        <w:t>Data provided against (e) offences charged include offences detected as a result of searches conducted using FPO search powers and as a result of other</w:t>
      </w:r>
      <w:r w:rsidRPr="00BD27F9">
        <w:rPr>
          <w:color w:val="231F20"/>
          <w:spacing w:val="40"/>
          <w:sz w:val="18"/>
          <w:szCs w:val="18"/>
        </w:rPr>
        <w:t xml:space="preserve"> </w:t>
      </w:r>
      <w:r w:rsidRPr="00BD27F9">
        <w:rPr>
          <w:color w:val="231F20"/>
          <w:sz w:val="18"/>
          <w:szCs w:val="18"/>
        </w:rPr>
        <w:t>search types which result in detecting FPO breaches and other offences (e.g. firearms or firearm-related item located and seized under common law when</w:t>
      </w:r>
      <w:r w:rsidRPr="00BD27F9">
        <w:rPr>
          <w:color w:val="231F20"/>
          <w:spacing w:val="40"/>
          <w:sz w:val="18"/>
          <w:szCs w:val="18"/>
        </w:rPr>
        <w:t xml:space="preserve"> </w:t>
      </w:r>
      <w:r w:rsidRPr="00BD27F9">
        <w:rPr>
          <w:color w:val="231F20"/>
          <w:sz w:val="18"/>
          <w:szCs w:val="18"/>
        </w:rPr>
        <w:t>Drugs, Poisons, Controlled Substances warrant executed on FPO subject). This information has been obtained via SAS EG using specific offence codes for</w:t>
      </w:r>
      <w:r w:rsidRPr="00BD27F9">
        <w:rPr>
          <w:color w:val="231F20"/>
          <w:spacing w:val="40"/>
          <w:sz w:val="18"/>
          <w:szCs w:val="18"/>
        </w:rPr>
        <w:t xml:space="preserve"> </w:t>
      </w:r>
      <w:r w:rsidRPr="00BD27F9">
        <w:rPr>
          <w:color w:val="231F20"/>
          <w:sz w:val="18"/>
          <w:szCs w:val="18"/>
        </w:rPr>
        <w:t>FPO-related</w:t>
      </w:r>
      <w:r w:rsidRPr="00BD27F9">
        <w:rPr>
          <w:color w:val="231F20"/>
          <w:spacing w:val="-1"/>
          <w:sz w:val="18"/>
          <w:szCs w:val="18"/>
        </w:rPr>
        <w:t xml:space="preserve"> </w:t>
      </w:r>
      <w:r w:rsidRPr="00BD27F9">
        <w:rPr>
          <w:color w:val="231F20"/>
          <w:sz w:val="18"/>
          <w:szCs w:val="18"/>
        </w:rPr>
        <w:t>charges)</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manual</w:t>
      </w:r>
      <w:r w:rsidRPr="00BD27F9">
        <w:rPr>
          <w:color w:val="231F20"/>
          <w:spacing w:val="-1"/>
          <w:sz w:val="18"/>
          <w:szCs w:val="18"/>
        </w:rPr>
        <w:t xml:space="preserve"> </w:t>
      </w:r>
      <w:r w:rsidRPr="00BD27F9">
        <w:rPr>
          <w:color w:val="231F20"/>
          <w:sz w:val="18"/>
          <w:szCs w:val="18"/>
        </w:rPr>
        <w:t>interrogation</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LEAP</w:t>
      </w:r>
      <w:r w:rsidRPr="00BD27F9">
        <w:rPr>
          <w:color w:val="231F20"/>
          <w:spacing w:val="-1"/>
          <w:sz w:val="18"/>
          <w:szCs w:val="18"/>
        </w:rPr>
        <w:t xml:space="preserve"> </w:t>
      </w:r>
      <w:r w:rsidRPr="00BD27F9">
        <w:rPr>
          <w:color w:val="231F20"/>
          <w:sz w:val="18"/>
          <w:szCs w:val="18"/>
        </w:rPr>
        <w:t>by</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FPO</w:t>
      </w:r>
      <w:r w:rsidRPr="00BD27F9">
        <w:rPr>
          <w:color w:val="231F20"/>
          <w:spacing w:val="-1"/>
          <w:sz w:val="18"/>
          <w:szCs w:val="18"/>
        </w:rPr>
        <w:t xml:space="preserve"> </w:t>
      </w:r>
      <w:r w:rsidRPr="00BD27F9">
        <w:rPr>
          <w:color w:val="231F20"/>
          <w:sz w:val="18"/>
          <w:szCs w:val="18"/>
        </w:rPr>
        <w:t>Registry</w:t>
      </w:r>
      <w:r w:rsidRPr="00BD27F9">
        <w:rPr>
          <w:color w:val="231F20"/>
          <w:spacing w:val="-1"/>
          <w:sz w:val="18"/>
          <w:szCs w:val="18"/>
        </w:rPr>
        <w:t xml:space="preserve"> </w:t>
      </w:r>
      <w:r w:rsidRPr="00BD27F9">
        <w:rPr>
          <w:color w:val="231F20"/>
          <w:sz w:val="18"/>
          <w:szCs w:val="18"/>
        </w:rPr>
        <w:t>given</w:t>
      </w:r>
      <w:r w:rsidRPr="00BD27F9">
        <w:rPr>
          <w:color w:val="231F20"/>
          <w:spacing w:val="-1"/>
          <w:sz w:val="18"/>
          <w:szCs w:val="18"/>
        </w:rPr>
        <w:t xml:space="preserve"> </w:t>
      </w:r>
      <w:r w:rsidRPr="00BD27F9">
        <w:rPr>
          <w:color w:val="231F20"/>
          <w:sz w:val="18"/>
          <w:szCs w:val="18"/>
        </w:rPr>
        <w:t>members</w:t>
      </w:r>
      <w:r w:rsidRPr="00BD27F9">
        <w:rPr>
          <w:color w:val="231F20"/>
          <w:spacing w:val="-1"/>
          <w:sz w:val="18"/>
          <w:szCs w:val="18"/>
        </w:rPr>
        <w:t xml:space="preserve"> </w:t>
      </w:r>
      <w:r w:rsidRPr="00BD27F9">
        <w:rPr>
          <w:color w:val="231F20"/>
          <w:sz w:val="18"/>
          <w:szCs w:val="18"/>
        </w:rPr>
        <w:t>are</w:t>
      </w:r>
      <w:r w:rsidRPr="00BD27F9">
        <w:rPr>
          <w:color w:val="231F20"/>
          <w:spacing w:val="-1"/>
          <w:sz w:val="18"/>
          <w:szCs w:val="18"/>
        </w:rPr>
        <w:t xml:space="preserve"> </w:t>
      </w:r>
      <w:r w:rsidRPr="00BD27F9">
        <w:rPr>
          <w:color w:val="231F20"/>
          <w:sz w:val="18"/>
          <w:szCs w:val="18"/>
        </w:rPr>
        <w:t>only</w:t>
      </w:r>
      <w:r w:rsidRPr="00BD27F9">
        <w:rPr>
          <w:color w:val="231F20"/>
          <w:spacing w:val="-1"/>
          <w:sz w:val="18"/>
          <w:szCs w:val="18"/>
        </w:rPr>
        <w:t xml:space="preserve"> </w:t>
      </w:r>
      <w:r w:rsidRPr="00BD27F9">
        <w:rPr>
          <w:color w:val="231F20"/>
          <w:sz w:val="18"/>
          <w:szCs w:val="18"/>
        </w:rPr>
        <w:t>required</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provide</w:t>
      </w:r>
      <w:r w:rsidRPr="00BD27F9">
        <w:rPr>
          <w:color w:val="231F20"/>
          <w:spacing w:val="-1"/>
          <w:sz w:val="18"/>
          <w:szCs w:val="18"/>
        </w:rPr>
        <w:t xml:space="preserve"> </w:t>
      </w:r>
      <w:r w:rsidRPr="00BD27F9">
        <w:rPr>
          <w:color w:val="231F20"/>
          <w:sz w:val="18"/>
          <w:szCs w:val="18"/>
        </w:rPr>
        <w:t>field</w:t>
      </w:r>
      <w:r w:rsidRPr="00BD27F9">
        <w:rPr>
          <w:color w:val="231F20"/>
          <w:spacing w:val="-1"/>
          <w:sz w:val="18"/>
          <w:szCs w:val="18"/>
        </w:rPr>
        <w:t xml:space="preserve"> </w:t>
      </w:r>
      <w:r w:rsidRPr="00BD27F9">
        <w:rPr>
          <w:color w:val="231F20"/>
          <w:sz w:val="18"/>
          <w:szCs w:val="18"/>
        </w:rPr>
        <w:t>contact</w:t>
      </w:r>
      <w:r w:rsidRPr="00BD27F9">
        <w:rPr>
          <w:color w:val="231F20"/>
          <w:spacing w:val="-1"/>
          <w:sz w:val="18"/>
          <w:szCs w:val="18"/>
        </w:rPr>
        <w:t xml:space="preserve"> </w:t>
      </w:r>
      <w:r w:rsidRPr="00BD27F9">
        <w:rPr>
          <w:color w:val="231F20"/>
          <w:sz w:val="18"/>
          <w:szCs w:val="18"/>
        </w:rPr>
        <w:t>data</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not</w:t>
      </w:r>
      <w:r w:rsidRPr="00BD27F9">
        <w:rPr>
          <w:color w:val="231F20"/>
          <w:spacing w:val="-1"/>
          <w:sz w:val="18"/>
          <w:szCs w:val="18"/>
        </w:rPr>
        <w:t xml:space="preserve"> </w:t>
      </w:r>
      <w:r w:rsidRPr="00BD27F9">
        <w:rPr>
          <w:color w:val="231F20"/>
          <w:sz w:val="18"/>
          <w:szCs w:val="18"/>
        </w:rPr>
        <w:t>incident</w:t>
      </w:r>
      <w:r w:rsidRPr="00BD27F9">
        <w:rPr>
          <w:color w:val="231F20"/>
          <w:spacing w:val="40"/>
          <w:sz w:val="18"/>
          <w:szCs w:val="18"/>
        </w:rPr>
        <w:t xml:space="preserve"> </w:t>
      </w:r>
      <w:r w:rsidRPr="00BD27F9">
        <w:rPr>
          <w:color w:val="231F20"/>
          <w:sz w:val="18"/>
          <w:szCs w:val="18"/>
        </w:rPr>
        <w:t>data where charges are commonly associated. As such, the actual number of charges laid may be greater than that being reported.</w:t>
      </w:r>
    </w:p>
    <w:p w14:paraId="27070E7B" w14:textId="77777777" w:rsidR="00345EE3" w:rsidRPr="00BD27F9" w:rsidRDefault="00345EE3">
      <w:pPr>
        <w:pStyle w:val="ListParagraph"/>
        <w:numPr>
          <w:ilvl w:val="0"/>
          <w:numId w:val="78"/>
        </w:numPr>
        <w:tabs>
          <w:tab w:val="left" w:pos="338"/>
        </w:tabs>
        <w:spacing w:before="24" w:after="240"/>
        <w:ind w:right="1144"/>
        <w:rPr>
          <w:sz w:val="18"/>
          <w:szCs w:val="18"/>
        </w:rPr>
      </w:pPr>
      <w:r w:rsidRPr="00BD27F9">
        <w:rPr>
          <w:color w:val="231F20"/>
          <w:sz w:val="18"/>
          <w:szCs w:val="18"/>
        </w:rPr>
        <w:t>Data provided against (f) offences charged include offences detected as a result of searches conducted using FPO search powers and as a result of other</w:t>
      </w:r>
      <w:r w:rsidRPr="00BD27F9">
        <w:rPr>
          <w:color w:val="231F20"/>
          <w:spacing w:val="40"/>
          <w:sz w:val="18"/>
          <w:szCs w:val="18"/>
        </w:rPr>
        <w:t xml:space="preserve"> </w:t>
      </w:r>
      <w:r w:rsidRPr="00BD27F9">
        <w:rPr>
          <w:color w:val="231F20"/>
          <w:sz w:val="18"/>
          <w:szCs w:val="18"/>
        </w:rPr>
        <w:t>search types which result in detecting FPO breaches and other offences (e.g. firearms or firearm-related item located and seized under common law when</w:t>
      </w:r>
      <w:r w:rsidRPr="00BD27F9">
        <w:rPr>
          <w:color w:val="231F20"/>
          <w:spacing w:val="40"/>
          <w:sz w:val="18"/>
          <w:szCs w:val="18"/>
        </w:rPr>
        <w:t xml:space="preserve"> </w:t>
      </w:r>
      <w:r w:rsidRPr="00BD27F9">
        <w:rPr>
          <w:color w:val="231F20"/>
          <w:sz w:val="18"/>
          <w:szCs w:val="18"/>
        </w:rPr>
        <w:t>Drugs, Poisons, Controlled Substances warrant executed on FPO subject). This information has been obtained via SAS EG using specific offence codes for</w:t>
      </w:r>
      <w:r w:rsidRPr="00BD27F9">
        <w:rPr>
          <w:color w:val="231F20"/>
          <w:spacing w:val="40"/>
          <w:sz w:val="18"/>
          <w:szCs w:val="18"/>
        </w:rPr>
        <w:t xml:space="preserve"> </w:t>
      </w:r>
      <w:r w:rsidRPr="00BD27F9">
        <w:rPr>
          <w:color w:val="231F20"/>
          <w:sz w:val="18"/>
          <w:szCs w:val="18"/>
        </w:rPr>
        <w:t>FPO-related</w:t>
      </w:r>
      <w:r w:rsidRPr="00BD27F9">
        <w:rPr>
          <w:color w:val="231F20"/>
          <w:spacing w:val="-1"/>
          <w:sz w:val="18"/>
          <w:szCs w:val="18"/>
        </w:rPr>
        <w:t xml:space="preserve"> </w:t>
      </w:r>
      <w:r w:rsidRPr="00BD27F9">
        <w:rPr>
          <w:color w:val="231F20"/>
          <w:sz w:val="18"/>
          <w:szCs w:val="18"/>
        </w:rPr>
        <w:t>charges</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manual</w:t>
      </w:r>
      <w:r w:rsidRPr="00BD27F9">
        <w:rPr>
          <w:color w:val="231F20"/>
          <w:spacing w:val="-1"/>
          <w:sz w:val="18"/>
          <w:szCs w:val="18"/>
        </w:rPr>
        <w:t xml:space="preserve"> </w:t>
      </w:r>
      <w:r w:rsidRPr="00BD27F9">
        <w:rPr>
          <w:color w:val="231F20"/>
          <w:sz w:val="18"/>
          <w:szCs w:val="18"/>
        </w:rPr>
        <w:t>interrogation</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LEAP</w:t>
      </w:r>
      <w:r w:rsidRPr="00BD27F9">
        <w:rPr>
          <w:color w:val="231F20"/>
          <w:spacing w:val="-1"/>
          <w:sz w:val="18"/>
          <w:szCs w:val="18"/>
        </w:rPr>
        <w:t xml:space="preserve"> </w:t>
      </w:r>
      <w:r w:rsidRPr="00BD27F9">
        <w:rPr>
          <w:color w:val="231F20"/>
          <w:sz w:val="18"/>
          <w:szCs w:val="18"/>
        </w:rPr>
        <w:t>by</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FPO</w:t>
      </w:r>
      <w:r w:rsidRPr="00BD27F9">
        <w:rPr>
          <w:color w:val="231F20"/>
          <w:spacing w:val="-1"/>
          <w:sz w:val="18"/>
          <w:szCs w:val="18"/>
        </w:rPr>
        <w:t xml:space="preserve"> </w:t>
      </w:r>
      <w:r w:rsidRPr="00BD27F9">
        <w:rPr>
          <w:color w:val="231F20"/>
          <w:sz w:val="18"/>
          <w:szCs w:val="18"/>
        </w:rPr>
        <w:t>Registry</w:t>
      </w:r>
      <w:r w:rsidRPr="00BD27F9">
        <w:rPr>
          <w:color w:val="231F20"/>
          <w:spacing w:val="-1"/>
          <w:sz w:val="18"/>
          <w:szCs w:val="18"/>
        </w:rPr>
        <w:t xml:space="preserve"> </w:t>
      </w:r>
      <w:r w:rsidRPr="00BD27F9">
        <w:rPr>
          <w:color w:val="231F20"/>
          <w:sz w:val="18"/>
          <w:szCs w:val="18"/>
        </w:rPr>
        <w:t>given</w:t>
      </w:r>
      <w:r w:rsidRPr="00BD27F9">
        <w:rPr>
          <w:color w:val="231F20"/>
          <w:spacing w:val="-1"/>
          <w:sz w:val="18"/>
          <w:szCs w:val="18"/>
        </w:rPr>
        <w:t xml:space="preserve"> </w:t>
      </w:r>
      <w:r w:rsidRPr="00BD27F9">
        <w:rPr>
          <w:color w:val="231F20"/>
          <w:sz w:val="18"/>
          <w:szCs w:val="18"/>
        </w:rPr>
        <w:t>members</w:t>
      </w:r>
      <w:r w:rsidRPr="00BD27F9">
        <w:rPr>
          <w:color w:val="231F20"/>
          <w:spacing w:val="-1"/>
          <w:sz w:val="18"/>
          <w:szCs w:val="18"/>
        </w:rPr>
        <w:t xml:space="preserve"> </w:t>
      </w:r>
      <w:r w:rsidRPr="00BD27F9">
        <w:rPr>
          <w:color w:val="231F20"/>
          <w:sz w:val="18"/>
          <w:szCs w:val="18"/>
        </w:rPr>
        <w:t>are</w:t>
      </w:r>
      <w:r w:rsidRPr="00BD27F9">
        <w:rPr>
          <w:color w:val="231F20"/>
          <w:spacing w:val="-1"/>
          <w:sz w:val="18"/>
          <w:szCs w:val="18"/>
        </w:rPr>
        <w:t xml:space="preserve"> </w:t>
      </w:r>
      <w:r w:rsidRPr="00BD27F9">
        <w:rPr>
          <w:color w:val="231F20"/>
          <w:sz w:val="18"/>
          <w:szCs w:val="18"/>
        </w:rPr>
        <w:t>only</w:t>
      </w:r>
      <w:r w:rsidRPr="00BD27F9">
        <w:rPr>
          <w:color w:val="231F20"/>
          <w:spacing w:val="-1"/>
          <w:sz w:val="18"/>
          <w:szCs w:val="18"/>
        </w:rPr>
        <w:t xml:space="preserve"> </w:t>
      </w:r>
      <w:r w:rsidRPr="00BD27F9">
        <w:rPr>
          <w:color w:val="231F20"/>
          <w:sz w:val="18"/>
          <w:szCs w:val="18"/>
        </w:rPr>
        <w:t>required</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provide</w:t>
      </w:r>
      <w:r w:rsidRPr="00BD27F9">
        <w:rPr>
          <w:color w:val="231F20"/>
          <w:spacing w:val="-1"/>
          <w:sz w:val="18"/>
          <w:szCs w:val="18"/>
        </w:rPr>
        <w:t xml:space="preserve"> </w:t>
      </w:r>
      <w:r w:rsidRPr="00BD27F9">
        <w:rPr>
          <w:color w:val="231F20"/>
          <w:sz w:val="18"/>
          <w:szCs w:val="18"/>
        </w:rPr>
        <w:t>Field</w:t>
      </w:r>
      <w:r w:rsidRPr="00BD27F9">
        <w:rPr>
          <w:color w:val="231F20"/>
          <w:spacing w:val="-1"/>
          <w:sz w:val="18"/>
          <w:szCs w:val="18"/>
        </w:rPr>
        <w:t xml:space="preserve"> </w:t>
      </w:r>
      <w:r w:rsidRPr="00BD27F9">
        <w:rPr>
          <w:color w:val="231F20"/>
          <w:sz w:val="18"/>
          <w:szCs w:val="18"/>
        </w:rPr>
        <w:t>contact</w:t>
      </w:r>
      <w:r w:rsidRPr="00BD27F9">
        <w:rPr>
          <w:color w:val="231F20"/>
          <w:spacing w:val="-1"/>
          <w:sz w:val="18"/>
          <w:szCs w:val="18"/>
        </w:rPr>
        <w:t xml:space="preserve"> </w:t>
      </w:r>
      <w:r w:rsidRPr="00BD27F9">
        <w:rPr>
          <w:color w:val="231F20"/>
          <w:sz w:val="18"/>
          <w:szCs w:val="18"/>
        </w:rPr>
        <w:t>data</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not</w:t>
      </w:r>
      <w:r w:rsidRPr="00BD27F9">
        <w:rPr>
          <w:color w:val="231F20"/>
          <w:spacing w:val="-1"/>
          <w:sz w:val="18"/>
          <w:szCs w:val="18"/>
        </w:rPr>
        <w:t xml:space="preserve"> </w:t>
      </w:r>
      <w:r w:rsidRPr="00BD27F9">
        <w:rPr>
          <w:color w:val="231F20"/>
          <w:sz w:val="18"/>
          <w:szCs w:val="18"/>
        </w:rPr>
        <w:t>incident</w:t>
      </w:r>
      <w:r w:rsidRPr="00BD27F9">
        <w:rPr>
          <w:color w:val="231F20"/>
          <w:spacing w:val="40"/>
          <w:sz w:val="18"/>
          <w:szCs w:val="18"/>
        </w:rPr>
        <w:t xml:space="preserve"> </w:t>
      </w:r>
      <w:r w:rsidRPr="00BD27F9">
        <w:rPr>
          <w:color w:val="231F20"/>
          <w:sz w:val="18"/>
          <w:szCs w:val="18"/>
        </w:rPr>
        <w:t>data, where charges are commonly associated. As such, the actual number of charges laid may be greater than that being reported.</w:t>
      </w:r>
    </w:p>
    <w:p w14:paraId="54C35A1A" w14:textId="77777777" w:rsidR="00345EE3" w:rsidRDefault="00345EE3" w:rsidP="00345EE3">
      <w:pPr>
        <w:rPr>
          <w:rFonts w:ascii="Arial-BoldItalicMT" w:eastAsia="Arial-BoldItalicMT" w:hAnsi="Arial-BoldItalicMT" w:cs="Arial-BoldItalicMT"/>
          <w:b/>
          <w:bCs/>
          <w:i/>
          <w:iCs/>
          <w:color w:val="3D68AD"/>
          <w:spacing w:val="-2"/>
          <w:sz w:val="28"/>
          <w:szCs w:val="28"/>
        </w:rPr>
      </w:pPr>
      <w:r>
        <w:rPr>
          <w:color w:val="3D68AD"/>
          <w:spacing w:val="-2"/>
        </w:rPr>
        <w:br w:type="page"/>
      </w:r>
    </w:p>
    <w:p w14:paraId="656473FB" w14:textId="77777777" w:rsidR="00345EE3" w:rsidRDefault="00345EE3" w:rsidP="00345EE3">
      <w:pPr>
        <w:pStyle w:val="Heading4"/>
        <w:spacing w:before="74"/>
        <w:rPr>
          <w:rFonts w:ascii="Arial"/>
          <w:i w:val="0"/>
        </w:rPr>
      </w:pPr>
      <w:r>
        <w:rPr>
          <w:color w:val="3D68AD"/>
          <w:spacing w:val="-2"/>
        </w:rPr>
        <w:t>Graffiti</w:t>
      </w:r>
      <w:r>
        <w:rPr>
          <w:color w:val="3D68AD"/>
          <w:spacing w:val="-15"/>
        </w:rPr>
        <w:t xml:space="preserve"> </w:t>
      </w:r>
      <w:r>
        <w:rPr>
          <w:color w:val="3D68AD"/>
          <w:spacing w:val="-2"/>
        </w:rPr>
        <w:t>Prevention</w:t>
      </w:r>
      <w:r>
        <w:rPr>
          <w:color w:val="3D68AD"/>
          <w:spacing w:val="-15"/>
        </w:rPr>
        <w:t xml:space="preserve"> </w:t>
      </w:r>
      <w:r>
        <w:rPr>
          <w:color w:val="3D68AD"/>
          <w:spacing w:val="-2"/>
        </w:rPr>
        <w:t>Act</w:t>
      </w:r>
      <w:r>
        <w:rPr>
          <w:color w:val="3D68AD"/>
          <w:spacing w:val="-14"/>
        </w:rPr>
        <w:t xml:space="preserve"> </w:t>
      </w:r>
      <w:r>
        <w:rPr>
          <w:rFonts w:ascii="Arial"/>
          <w:i w:val="0"/>
          <w:color w:val="3D68AD"/>
          <w:spacing w:val="-4"/>
        </w:rPr>
        <w:t>2007</w:t>
      </w:r>
    </w:p>
    <w:p w14:paraId="59C24A89" w14:textId="77777777" w:rsidR="00345EE3" w:rsidRDefault="00345EE3" w:rsidP="00404045">
      <w:pPr>
        <w:pStyle w:val="BodyText"/>
        <w:spacing w:before="52" w:line="242" w:lineRule="auto"/>
        <w:ind w:left="142" w:right="921"/>
      </w:pPr>
      <w:r>
        <w:rPr>
          <w:color w:val="231F20"/>
        </w:rPr>
        <w:t>The</w:t>
      </w:r>
      <w:r>
        <w:rPr>
          <w:color w:val="231F20"/>
          <w:spacing w:val="-9"/>
        </w:rPr>
        <w:t xml:space="preserve"> </w:t>
      </w:r>
      <w:r>
        <w:rPr>
          <w:color w:val="231F20"/>
        </w:rPr>
        <w:t>Chief</w:t>
      </w:r>
      <w:r>
        <w:rPr>
          <w:color w:val="231F20"/>
          <w:spacing w:val="-8"/>
        </w:rPr>
        <w:t xml:space="preserve"> </w:t>
      </w:r>
      <w:r>
        <w:rPr>
          <w:color w:val="231F20"/>
        </w:rPr>
        <w:t>Commissioner</w:t>
      </w:r>
      <w:r>
        <w:rPr>
          <w:color w:val="231F20"/>
          <w:spacing w:val="-8"/>
        </w:rPr>
        <w:t xml:space="preserve"> </w:t>
      </w:r>
      <w:r>
        <w:rPr>
          <w:color w:val="231F20"/>
        </w:rPr>
        <w:t>of</w:t>
      </w:r>
      <w:r>
        <w:rPr>
          <w:color w:val="231F20"/>
          <w:spacing w:val="-8"/>
        </w:rPr>
        <w:t xml:space="preserve"> </w:t>
      </w:r>
      <w:r>
        <w:rPr>
          <w:color w:val="231F20"/>
        </w:rPr>
        <w:t>Police</w:t>
      </w:r>
      <w:r>
        <w:rPr>
          <w:color w:val="231F20"/>
          <w:spacing w:val="-9"/>
        </w:rPr>
        <w:t xml:space="preserve"> </w:t>
      </w:r>
      <w:r>
        <w:rPr>
          <w:color w:val="231F20"/>
        </w:rPr>
        <w:t>is</w:t>
      </w:r>
      <w:r>
        <w:rPr>
          <w:color w:val="231F20"/>
          <w:spacing w:val="-8"/>
        </w:rPr>
        <w:t xml:space="preserve"> </w:t>
      </w:r>
      <w:r>
        <w:rPr>
          <w:color w:val="231F20"/>
        </w:rPr>
        <w:t>required</w:t>
      </w:r>
      <w:r>
        <w:rPr>
          <w:color w:val="231F20"/>
          <w:spacing w:val="-9"/>
        </w:rPr>
        <w:t xml:space="preserve"> </w:t>
      </w:r>
      <w:r>
        <w:rPr>
          <w:color w:val="231F20"/>
        </w:rPr>
        <w:t>to</w:t>
      </w:r>
      <w:r>
        <w:rPr>
          <w:color w:val="231F20"/>
          <w:spacing w:val="-9"/>
        </w:rPr>
        <w:t xml:space="preserve"> </w:t>
      </w:r>
      <w:r>
        <w:rPr>
          <w:color w:val="231F20"/>
        </w:rPr>
        <w:t>report</w:t>
      </w:r>
      <w:r>
        <w:rPr>
          <w:color w:val="231F20"/>
          <w:spacing w:val="-8"/>
        </w:rPr>
        <w:t xml:space="preserve"> </w:t>
      </w:r>
      <w:r>
        <w:rPr>
          <w:color w:val="231F20"/>
        </w:rPr>
        <w:t>on</w:t>
      </w:r>
      <w:r>
        <w:rPr>
          <w:color w:val="231F20"/>
          <w:spacing w:val="-9"/>
        </w:rPr>
        <w:t xml:space="preserve"> </w:t>
      </w:r>
      <w:r>
        <w:rPr>
          <w:color w:val="231F20"/>
        </w:rPr>
        <w:t>searches</w:t>
      </w:r>
      <w:r>
        <w:rPr>
          <w:color w:val="231F20"/>
          <w:spacing w:val="-8"/>
        </w:rPr>
        <w:t xml:space="preserve"> </w:t>
      </w:r>
      <w:r>
        <w:rPr>
          <w:color w:val="231F20"/>
        </w:rPr>
        <w:t>without</w:t>
      </w:r>
      <w:r>
        <w:rPr>
          <w:color w:val="231F20"/>
          <w:spacing w:val="-8"/>
        </w:rPr>
        <w:t xml:space="preserve"> </w:t>
      </w:r>
      <w:r>
        <w:rPr>
          <w:color w:val="231F20"/>
        </w:rPr>
        <w:t>warrant</w:t>
      </w:r>
      <w:r>
        <w:rPr>
          <w:color w:val="231F20"/>
          <w:spacing w:val="-8"/>
        </w:rPr>
        <w:t xml:space="preserve"> </w:t>
      </w:r>
      <w:r>
        <w:rPr>
          <w:color w:val="231F20"/>
        </w:rPr>
        <w:t>undertaken in</w:t>
      </w:r>
      <w:r>
        <w:rPr>
          <w:color w:val="231F20"/>
          <w:spacing w:val="-4"/>
        </w:rPr>
        <w:t xml:space="preserve"> </w:t>
      </w:r>
      <w:r>
        <w:rPr>
          <w:color w:val="231F20"/>
        </w:rPr>
        <w:t>accordance</w:t>
      </w:r>
      <w:r>
        <w:rPr>
          <w:color w:val="231F20"/>
          <w:spacing w:val="-4"/>
        </w:rPr>
        <w:t xml:space="preserve"> </w:t>
      </w:r>
      <w:r>
        <w:rPr>
          <w:color w:val="231F20"/>
        </w:rPr>
        <w:t>with</w:t>
      </w:r>
      <w:r>
        <w:rPr>
          <w:color w:val="231F20"/>
          <w:spacing w:val="-4"/>
        </w:rPr>
        <w:t xml:space="preserve"> </w:t>
      </w:r>
      <w:r>
        <w:rPr>
          <w:color w:val="231F20"/>
        </w:rPr>
        <w:t>section</w:t>
      </w:r>
      <w:r>
        <w:rPr>
          <w:color w:val="231F20"/>
          <w:spacing w:val="-4"/>
        </w:rPr>
        <w:t xml:space="preserve"> </w:t>
      </w:r>
      <w:r>
        <w:rPr>
          <w:color w:val="231F20"/>
        </w:rPr>
        <w:t>17</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i/>
          <w:color w:val="231F20"/>
        </w:rPr>
        <w:t>Graffiti</w:t>
      </w:r>
      <w:r>
        <w:rPr>
          <w:i/>
          <w:color w:val="231F20"/>
          <w:spacing w:val="-12"/>
        </w:rPr>
        <w:t xml:space="preserve"> </w:t>
      </w:r>
      <w:r>
        <w:rPr>
          <w:i/>
          <w:color w:val="231F20"/>
        </w:rPr>
        <w:t>Prevention</w:t>
      </w:r>
      <w:r>
        <w:rPr>
          <w:i/>
          <w:color w:val="231F20"/>
          <w:spacing w:val="-12"/>
        </w:rPr>
        <w:t xml:space="preserve"> </w:t>
      </w:r>
      <w:r>
        <w:rPr>
          <w:i/>
          <w:color w:val="231F20"/>
        </w:rPr>
        <w:t>Act</w:t>
      </w:r>
      <w:r>
        <w:rPr>
          <w:i/>
          <w:color w:val="231F20"/>
          <w:spacing w:val="-11"/>
        </w:rPr>
        <w:t xml:space="preserve"> </w:t>
      </w:r>
      <w:r>
        <w:rPr>
          <w:color w:val="231F20"/>
        </w:rPr>
        <w:t>2007.</w:t>
      </w:r>
      <w:r>
        <w:rPr>
          <w:color w:val="231F20"/>
          <w:spacing w:val="-3"/>
        </w:rPr>
        <w:t xml:space="preserve"> </w:t>
      </w:r>
      <w:r>
        <w:rPr>
          <w:color w:val="231F20"/>
        </w:rPr>
        <w:t>Including:</w:t>
      </w:r>
    </w:p>
    <w:p w14:paraId="0DB24842" w14:textId="77777777" w:rsidR="00345EE3" w:rsidRDefault="00345EE3">
      <w:pPr>
        <w:pStyle w:val="ListParagraph"/>
        <w:numPr>
          <w:ilvl w:val="0"/>
          <w:numId w:val="74"/>
        </w:numPr>
        <w:tabs>
          <w:tab w:val="left" w:pos="394"/>
        </w:tabs>
        <w:spacing w:before="31"/>
        <w:rPr>
          <w:sz w:val="24"/>
        </w:rPr>
      </w:pPr>
      <w:r>
        <w:rPr>
          <w:color w:val="231F20"/>
          <w:spacing w:val="-4"/>
          <w:sz w:val="24"/>
        </w:rPr>
        <w:t>The</w:t>
      </w:r>
      <w:r>
        <w:rPr>
          <w:color w:val="231F20"/>
          <w:spacing w:val="-6"/>
          <w:sz w:val="24"/>
        </w:rPr>
        <w:t xml:space="preserve"> </w:t>
      </w:r>
      <w:r>
        <w:rPr>
          <w:color w:val="231F20"/>
          <w:spacing w:val="-4"/>
          <w:sz w:val="24"/>
        </w:rPr>
        <w:t xml:space="preserve">number of searches without warrant under section </w:t>
      </w:r>
      <w:r>
        <w:rPr>
          <w:color w:val="231F20"/>
          <w:spacing w:val="-5"/>
          <w:sz w:val="24"/>
        </w:rPr>
        <w:t>13.</w:t>
      </w:r>
    </w:p>
    <w:p w14:paraId="0B8AC154" w14:textId="77777777" w:rsidR="00345EE3" w:rsidRDefault="00345EE3">
      <w:pPr>
        <w:pStyle w:val="ListParagraph"/>
        <w:numPr>
          <w:ilvl w:val="0"/>
          <w:numId w:val="74"/>
        </w:numPr>
        <w:tabs>
          <w:tab w:val="left" w:pos="394"/>
        </w:tabs>
        <w:spacing w:line="242" w:lineRule="auto"/>
        <w:ind w:right="1002"/>
        <w:rPr>
          <w:sz w:val="24"/>
        </w:rPr>
      </w:pPr>
      <w:r>
        <w:rPr>
          <w:color w:val="231F20"/>
          <w:spacing w:val="-2"/>
          <w:sz w:val="24"/>
        </w:rPr>
        <w:t>The</w:t>
      </w:r>
      <w:r>
        <w:rPr>
          <w:color w:val="231F20"/>
          <w:spacing w:val="-14"/>
          <w:sz w:val="24"/>
        </w:rPr>
        <w:t xml:space="preserve"> </w:t>
      </w:r>
      <w:r>
        <w:rPr>
          <w:color w:val="231F20"/>
          <w:spacing w:val="-2"/>
          <w:sz w:val="24"/>
        </w:rPr>
        <w:t>number</w:t>
      </w:r>
      <w:r>
        <w:rPr>
          <w:color w:val="231F20"/>
          <w:spacing w:val="-14"/>
          <w:sz w:val="24"/>
        </w:rPr>
        <w:t xml:space="preserve"> </w:t>
      </w:r>
      <w:r>
        <w:rPr>
          <w:color w:val="231F20"/>
          <w:spacing w:val="-2"/>
          <w:sz w:val="24"/>
        </w:rPr>
        <w:t>and</w:t>
      </w:r>
      <w:r>
        <w:rPr>
          <w:color w:val="231F20"/>
          <w:spacing w:val="-14"/>
          <w:sz w:val="24"/>
        </w:rPr>
        <w:t xml:space="preserve"> </w:t>
      </w:r>
      <w:r>
        <w:rPr>
          <w:color w:val="231F20"/>
          <w:spacing w:val="-2"/>
          <w:sz w:val="24"/>
        </w:rPr>
        <w:t>type</w:t>
      </w:r>
      <w:r>
        <w:rPr>
          <w:color w:val="231F20"/>
          <w:spacing w:val="-14"/>
          <w:sz w:val="24"/>
        </w:rPr>
        <w:t xml:space="preserve"> </w:t>
      </w:r>
      <w:r>
        <w:rPr>
          <w:color w:val="231F20"/>
          <w:spacing w:val="-2"/>
          <w:sz w:val="24"/>
        </w:rPr>
        <w:t>of</w:t>
      </w:r>
      <w:r>
        <w:rPr>
          <w:color w:val="231F20"/>
          <w:spacing w:val="-14"/>
          <w:sz w:val="24"/>
        </w:rPr>
        <w:t xml:space="preserve"> </w:t>
      </w:r>
      <w:r>
        <w:rPr>
          <w:color w:val="231F20"/>
          <w:spacing w:val="-2"/>
          <w:sz w:val="24"/>
        </w:rPr>
        <w:t>graffiti</w:t>
      </w:r>
      <w:r>
        <w:rPr>
          <w:color w:val="231F20"/>
          <w:spacing w:val="-14"/>
          <w:sz w:val="24"/>
        </w:rPr>
        <w:t xml:space="preserve"> </w:t>
      </w:r>
      <w:r>
        <w:rPr>
          <w:color w:val="231F20"/>
          <w:spacing w:val="-2"/>
          <w:sz w:val="24"/>
        </w:rPr>
        <w:t>implements</w:t>
      </w:r>
      <w:r>
        <w:rPr>
          <w:color w:val="231F20"/>
          <w:spacing w:val="-14"/>
          <w:sz w:val="24"/>
        </w:rPr>
        <w:t xml:space="preserve"> </w:t>
      </w:r>
      <w:r>
        <w:rPr>
          <w:color w:val="231F20"/>
          <w:spacing w:val="-2"/>
          <w:sz w:val="24"/>
        </w:rPr>
        <w:t>found</w:t>
      </w:r>
      <w:r>
        <w:rPr>
          <w:color w:val="231F20"/>
          <w:spacing w:val="-14"/>
          <w:sz w:val="24"/>
        </w:rPr>
        <w:t xml:space="preserve"> </w:t>
      </w:r>
      <w:r>
        <w:rPr>
          <w:color w:val="231F20"/>
          <w:spacing w:val="-2"/>
          <w:sz w:val="24"/>
        </w:rPr>
        <w:t>during</w:t>
      </w:r>
      <w:r>
        <w:rPr>
          <w:color w:val="231F20"/>
          <w:spacing w:val="-14"/>
          <w:sz w:val="24"/>
        </w:rPr>
        <w:t xml:space="preserve"> </w:t>
      </w:r>
      <w:r>
        <w:rPr>
          <w:color w:val="231F20"/>
          <w:spacing w:val="-2"/>
          <w:sz w:val="24"/>
        </w:rPr>
        <w:t>the</w:t>
      </w:r>
      <w:r>
        <w:rPr>
          <w:color w:val="231F20"/>
          <w:spacing w:val="-14"/>
          <w:sz w:val="24"/>
        </w:rPr>
        <w:t xml:space="preserve"> </w:t>
      </w:r>
      <w:r>
        <w:rPr>
          <w:color w:val="231F20"/>
          <w:spacing w:val="-2"/>
          <w:sz w:val="24"/>
        </w:rPr>
        <w:t>course</w:t>
      </w:r>
      <w:r>
        <w:rPr>
          <w:color w:val="231F20"/>
          <w:spacing w:val="-14"/>
          <w:sz w:val="24"/>
        </w:rPr>
        <w:t xml:space="preserve"> </w:t>
      </w:r>
      <w:r>
        <w:rPr>
          <w:color w:val="231F20"/>
          <w:spacing w:val="-2"/>
          <w:sz w:val="24"/>
        </w:rPr>
        <w:t>of</w:t>
      </w:r>
      <w:r>
        <w:rPr>
          <w:color w:val="231F20"/>
          <w:spacing w:val="-14"/>
          <w:sz w:val="24"/>
        </w:rPr>
        <w:t xml:space="preserve"> </w:t>
      </w:r>
      <w:r>
        <w:rPr>
          <w:color w:val="231F20"/>
          <w:spacing w:val="-2"/>
          <w:sz w:val="24"/>
        </w:rPr>
        <w:t>those</w:t>
      </w:r>
      <w:r>
        <w:rPr>
          <w:color w:val="231F20"/>
          <w:spacing w:val="-14"/>
          <w:sz w:val="24"/>
        </w:rPr>
        <w:t xml:space="preserve"> </w:t>
      </w:r>
      <w:r>
        <w:rPr>
          <w:color w:val="231F20"/>
          <w:spacing w:val="-2"/>
          <w:sz w:val="24"/>
        </w:rPr>
        <w:t>searches</w:t>
      </w:r>
      <w:r>
        <w:rPr>
          <w:color w:val="231F20"/>
          <w:spacing w:val="-14"/>
          <w:sz w:val="24"/>
        </w:rPr>
        <w:t xml:space="preserve"> </w:t>
      </w:r>
      <w:r>
        <w:rPr>
          <w:color w:val="231F20"/>
          <w:spacing w:val="-2"/>
          <w:sz w:val="24"/>
        </w:rPr>
        <w:t>in</w:t>
      </w:r>
      <w:r>
        <w:rPr>
          <w:color w:val="231F20"/>
          <w:spacing w:val="-14"/>
          <w:sz w:val="24"/>
        </w:rPr>
        <w:t xml:space="preserve"> </w:t>
      </w:r>
      <w:r>
        <w:rPr>
          <w:color w:val="231F20"/>
          <w:spacing w:val="-2"/>
          <w:sz w:val="24"/>
        </w:rPr>
        <w:t xml:space="preserve">2021– </w:t>
      </w:r>
      <w:r>
        <w:rPr>
          <w:color w:val="231F20"/>
          <w:spacing w:val="-4"/>
          <w:sz w:val="24"/>
        </w:rPr>
        <w:t>22.</w:t>
      </w:r>
    </w:p>
    <w:p w14:paraId="65277394" w14:textId="77777777" w:rsidR="00345EE3" w:rsidRDefault="00345EE3">
      <w:pPr>
        <w:pStyle w:val="ListParagraph"/>
        <w:numPr>
          <w:ilvl w:val="0"/>
          <w:numId w:val="74"/>
        </w:numPr>
        <w:tabs>
          <w:tab w:val="left" w:pos="394"/>
        </w:tabs>
        <w:spacing w:before="31"/>
        <w:rPr>
          <w:sz w:val="24"/>
        </w:rPr>
      </w:pPr>
      <w:r>
        <w:rPr>
          <w:color w:val="231F20"/>
          <w:spacing w:val="-4"/>
          <w:sz w:val="24"/>
        </w:rPr>
        <w:t>Any other information requested by the Minister.</w:t>
      </w:r>
    </w:p>
    <w:p w14:paraId="3589DA38" w14:textId="77777777" w:rsidR="00345EE3" w:rsidRDefault="00345EE3" w:rsidP="00345EE3">
      <w:pPr>
        <w:spacing w:before="240"/>
        <w:ind w:left="142"/>
        <w:rPr>
          <w:rFonts w:ascii="Arial-BoldItalicMT" w:hAnsi="Arial-BoldItalicMT"/>
          <w:b/>
          <w:i/>
          <w:sz w:val="18"/>
        </w:rPr>
      </w:pPr>
      <w:r>
        <w:rPr>
          <w:color w:val="231F20"/>
          <w:sz w:val="18"/>
        </w:rPr>
        <w:t>Table</w:t>
      </w:r>
      <w:r>
        <w:rPr>
          <w:color w:val="231F20"/>
          <w:spacing w:val="-9"/>
          <w:sz w:val="18"/>
        </w:rPr>
        <w:t xml:space="preserve"> </w:t>
      </w:r>
      <w:r>
        <w:rPr>
          <w:color w:val="231F20"/>
          <w:sz w:val="18"/>
        </w:rPr>
        <w:t>5.17:</w:t>
      </w:r>
      <w:r>
        <w:rPr>
          <w:color w:val="231F20"/>
          <w:spacing w:val="-6"/>
          <w:sz w:val="18"/>
        </w:rPr>
        <w:t xml:space="preserve"> </w:t>
      </w:r>
      <w:r>
        <w:rPr>
          <w:rFonts w:ascii="Arial-BoldItalicMT" w:hAnsi="Arial-BoldItalicMT"/>
          <w:b/>
          <w:i/>
          <w:color w:val="231F20"/>
          <w:sz w:val="18"/>
        </w:rPr>
        <w:t>Total</w:t>
      </w:r>
      <w:r>
        <w:rPr>
          <w:rFonts w:ascii="Arial-BoldItalicMT" w:hAnsi="Arial-BoldItalicMT"/>
          <w:b/>
          <w:i/>
          <w:color w:val="231F20"/>
          <w:spacing w:val="-9"/>
          <w:sz w:val="18"/>
        </w:rPr>
        <w:t xml:space="preserve"> </w:t>
      </w:r>
      <w:r>
        <w:rPr>
          <w:rFonts w:ascii="Arial-BoldItalicMT" w:hAnsi="Arial-BoldItalicMT"/>
          <w:b/>
          <w:i/>
          <w:color w:val="231F20"/>
          <w:sz w:val="18"/>
        </w:rPr>
        <w:t>number</w:t>
      </w:r>
      <w:r>
        <w:rPr>
          <w:rFonts w:ascii="Arial-BoldItalicMT" w:hAnsi="Arial-BoldItalicMT"/>
          <w:b/>
          <w:i/>
          <w:color w:val="231F20"/>
          <w:spacing w:val="-10"/>
          <w:sz w:val="18"/>
        </w:rPr>
        <w:t xml:space="preserve"> </w:t>
      </w:r>
      <w:r>
        <w:rPr>
          <w:rFonts w:ascii="Arial-BoldItalicMT" w:hAnsi="Arial-BoldItalicMT"/>
          <w:b/>
          <w:i/>
          <w:color w:val="231F20"/>
          <w:sz w:val="18"/>
        </w:rPr>
        <w:t>of</w:t>
      </w:r>
      <w:r>
        <w:rPr>
          <w:rFonts w:ascii="Arial-BoldItalicMT" w:hAnsi="Arial-BoldItalicMT"/>
          <w:b/>
          <w:i/>
          <w:color w:val="231F20"/>
          <w:spacing w:val="-9"/>
          <w:sz w:val="18"/>
        </w:rPr>
        <w:t xml:space="preserve"> </w:t>
      </w:r>
      <w:r>
        <w:rPr>
          <w:rFonts w:ascii="Arial-BoldItalicMT" w:hAnsi="Arial-BoldItalicMT"/>
          <w:b/>
          <w:i/>
          <w:color w:val="231F20"/>
          <w:sz w:val="18"/>
        </w:rPr>
        <w:t>searches</w:t>
      </w:r>
      <w:r>
        <w:rPr>
          <w:rFonts w:ascii="Arial-BoldItalicMT" w:hAnsi="Arial-BoldItalicMT"/>
          <w:b/>
          <w:i/>
          <w:color w:val="231F20"/>
          <w:spacing w:val="-9"/>
          <w:sz w:val="18"/>
        </w:rPr>
        <w:t xml:space="preserve"> </w:t>
      </w:r>
      <w:r>
        <w:rPr>
          <w:rFonts w:ascii="Arial-BoldItalicMT" w:hAnsi="Arial-BoldItalicMT"/>
          <w:b/>
          <w:i/>
          <w:color w:val="231F20"/>
          <w:sz w:val="18"/>
        </w:rPr>
        <w:t>without</w:t>
      </w:r>
      <w:r>
        <w:rPr>
          <w:rFonts w:ascii="Arial-BoldItalicMT" w:hAnsi="Arial-BoldItalicMT"/>
          <w:b/>
          <w:i/>
          <w:color w:val="231F20"/>
          <w:spacing w:val="-9"/>
          <w:sz w:val="18"/>
        </w:rPr>
        <w:t xml:space="preserve"> </w:t>
      </w:r>
      <w:r>
        <w:rPr>
          <w:rFonts w:ascii="Arial-BoldItalicMT" w:hAnsi="Arial-BoldItalicMT"/>
          <w:b/>
          <w:i/>
          <w:color w:val="231F20"/>
          <w:sz w:val="18"/>
        </w:rPr>
        <w:t>warrant</w:t>
      </w:r>
      <w:r>
        <w:rPr>
          <w:rFonts w:ascii="Arial-BoldItalicMT" w:hAnsi="Arial-BoldItalicMT"/>
          <w:b/>
          <w:i/>
          <w:color w:val="231F20"/>
          <w:spacing w:val="-9"/>
          <w:sz w:val="18"/>
        </w:rPr>
        <w:t xml:space="preserve"> </w:t>
      </w:r>
      <w:r>
        <w:rPr>
          <w:rFonts w:ascii="Arial-BoldItalicMT" w:hAnsi="Arial-BoldItalicMT"/>
          <w:b/>
          <w:i/>
          <w:color w:val="231F20"/>
          <w:sz w:val="18"/>
        </w:rPr>
        <w:t>under</w:t>
      </w:r>
      <w:r>
        <w:rPr>
          <w:rFonts w:ascii="Arial-BoldItalicMT" w:hAnsi="Arial-BoldItalicMT"/>
          <w:b/>
          <w:i/>
          <w:color w:val="231F20"/>
          <w:spacing w:val="-9"/>
          <w:sz w:val="18"/>
        </w:rPr>
        <w:t xml:space="preserve"> </w:t>
      </w:r>
      <w:r>
        <w:rPr>
          <w:rFonts w:ascii="Arial-BoldItalicMT" w:hAnsi="Arial-BoldItalicMT"/>
          <w:b/>
          <w:i/>
          <w:color w:val="231F20"/>
          <w:sz w:val="18"/>
        </w:rPr>
        <w:t>section</w:t>
      </w:r>
      <w:r>
        <w:rPr>
          <w:rFonts w:ascii="Arial-BoldItalicMT" w:hAnsi="Arial-BoldItalicMT"/>
          <w:b/>
          <w:i/>
          <w:color w:val="231F20"/>
          <w:spacing w:val="-9"/>
          <w:sz w:val="18"/>
        </w:rPr>
        <w:t xml:space="preserve"> </w:t>
      </w:r>
      <w:r>
        <w:rPr>
          <w:rFonts w:ascii="Arial-BoldItalicMT" w:hAnsi="Arial-BoldItalicMT"/>
          <w:b/>
          <w:i/>
          <w:color w:val="231F20"/>
          <w:sz w:val="18"/>
        </w:rPr>
        <w:t>13</w:t>
      </w:r>
      <w:r>
        <w:rPr>
          <w:rFonts w:ascii="Arial-BoldItalicMT" w:hAnsi="Arial-BoldItalicMT"/>
          <w:b/>
          <w:i/>
          <w:color w:val="231F20"/>
          <w:spacing w:val="-9"/>
          <w:sz w:val="18"/>
        </w:rPr>
        <w:t xml:space="preserve"> </w:t>
      </w:r>
      <w:r>
        <w:rPr>
          <w:rFonts w:ascii="Arial-BoldItalicMT" w:hAnsi="Arial-BoldItalicMT"/>
          <w:b/>
          <w:i/>
          <w:color w:val="231F20"/>
          <w:sz w:val="18"/>
        </w:rPr>
        <w:t>conducted</w:t>
      </w:r>
      <w:r>
        <w:rPr>
          <w:rFonts w:ascii="Arial-BoldItalicMT" w:hAnsi="Arial-BoldItalicMT"/>
          <w:b/>
          <w:i/>
          <w:color w:val="231F20"/>
          <w:spacing w:val="-9"/>
          <w:sz w:val="18"/>
        </w:rPr>
        <w:t xml:space="preserve"> </w:t>
      </w:r>
      <w:r>
        <w:rPr>
          <w:rFonts w:ascii="Arial-BoldItalicMT" w:hAnsi="Arial-BoldItalicMT"/>
          <w:b/>
          <w:i/>
          <w:color w:val="231F20"/>
          <w:sz w:val="18"/>
        </w:rPr>
        <w:t>in</w:t>
      </w:r>
      <w:r>
        <w:rPr>
          <w:rFonts w:ascii="Arial-BoldItalicMT" w:hAnsi="Arial-BoldItalicMT"/>
          <w:b/>
          <w:i/>
          <w:color w:val="231F20"/>
          <w:spacing w:val="-9"/>
          <w:sz w:val="18"/>
        </w:rPr>
        <w:t xml:space="preserve"> </w:t>
      </w:r>
      <w:r>
        <w:rPr>
          <w:rFonts w:ascii="Arial-BoldItalicMT" w:hAnsi="Arial-BoldItalicMT"/>
          <w:b/>
          <w:i/>
          <w:color w:val="231F20"/>
          <w:spacing w:val="-2"/>
          <w:sz w:val="18"/>
        </w:rPr>
        <w:t>2021–22</w:t>
      </w:r>
    </w:p>
    <w:p w14:paraId="04856DF0" w14:textId="77777777" w:rsidR="00345EE3" w:rsidRDefault="00345EE3" w:rsidP="00345EE3">
      <w:pPr>
        <w:pStyle w:val="BodyText"/>
        <w:spacing w:before="10"/>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8504"/>
        <w:gridCol w:w="1701"/>
      </w:tblGrid>
      <w:tr w:rsidR="00345EE3" w14:paraId="183CEC0F" w14:textId="77777777" w:rsidTr="00D73130">
        <w:trPr>
          <w:trHeight w:val="401"/>
        </w:trPr>
        <w:tc>
          <w:tcPr>
            <w:tcW w:w="10205" w:type="dxa"/>
            <w:gridSpan w:val="2"/>
            <w:shd w:val="clear" w:color="auto" w:fill="00529F"/>
          </w:tcPr>
          <w:p w14:paraId="0DD750A1" w14:textId="77777777" w:rsidR="00345EE3" w:rsidRDefault="00345EE3" w:rsidP="00D73130">
            <w:pPr>
              <w:pStyle w:val="TableParagraph"/>
              <w:spacing w:before="63"/>
              <w:ind w:right="1"/>
              <w:rPr>
                <w:b/>
                <w:sz w:val="24"/>
              </w:rPr>
            </w:pPr>
            <w:r>
              <w:rPr>
                <w:b/>
                <w:color w:val="FFFFFF"/>
                <w:spacing w:val="-2"/>
                <w:sz w:val="24"/>
              </w:rPr>
              <w:t>Number</w:t>
            </w:r>
          </w:p>
        </w:tc>
      </w:tr>
      <w:tr w:rsidR="00345EE3" w14:paraId="3E3D7D66" w14:textId="77777777" w:rsidTr="00D73130">
        <w:trPr>
          <w:trHeight w:val="396"/>
        </w:trPr>
        <w:tc>
          <w:tcPr>
            <w:tcW w:w="8504" w:type="dxa"/>
            <w:tcBorders>
              <w:bottom w:val="single" w:sz="2" w:space="0" w:color="939598"/>
              <w:right w:val="single" w:sz="2" w:space="0" w:color="939598"/>
            </w:tcBorders>
          </w:tcPr>
          <w:p w14:paraId="7438BE6F" w14:textId="77777777" w:rsidR="00345EE3" w:rsidRDefault="00345EE3" w:rsidP="00D73130">
            <w:pPr>
              <w:pStyle w:val="TableParagraph"/>
              <w:ind w:left="-3"/>
              <w:jc w:val="left"/>
              <w:rPr>
                <w:sz w:val="24"/>
              </w:rPr>
            </w:pPr>
            <w:r>
              <w:rPr>
                <w:color w:val="231F20"/>
                <w:sz w:val="24"/>
              </w:rPr>
              <w:t>Number</w:t>
            </w:r>
            <w:r>
              <w:rPr>
                <w:color w:val="231F20"/>
                <w:spacing w:val="-12"/>
                <w:sz w:val="24"/>
              </w:rPr>
              <w:t xml:space="preserve"> </w:t>
            </w:r>
            <w:r>
              <w:rPr>
                <w:color w:val="231F20"/>
                <w:sz w:val="24"/>
              </w:rPr>
              <w:t>of</w:t>
            </w:r>
            <w:r>
              <w:rPr>
                <w:color w:val="231F20"/>
                <w:spacing w:val="-9"/>
                <w:sz w:val="24"/>
              </w:rPr>
              <w:t xml:space="preserve"> </w:t>
            </w:r>
            <w:r>
              <w:rPr>
                <w:color w:val="231F20"/>
                <w:sz w:val="24"/>
              </w:rPr>
              <w:t>searches</w:t>
            </w:r>
            <w:r>
              <w:rPr>
                <w:color w:val="231F20"/>
                <w:spacing w:val="-9"/>
                <w:sz w:val="24"/>
              </w:rPr>
              <w:t xml:space="preserve"> </w:t>
            </w:r>
            <w:r>
              <w:rPr>
                <w:color w:val="231F20"/>
                <w:sz w:val="24"/>
              </w:rPr>
              <w:t>without</w:t>
            </w:r>
            <w:r>
              <w:rPr>
                <w:color w:val="231F20"/>
                <w:spacing w:val="-9"/>
                <w:sz w:val="24"/>
              </w:rPr>
              <w:t xml:space="preserve"> </w:t>
            </w:r>
            <w:r>
              <w:rPr>
                <w:color w:val="231F20"/>
                <w:sz w:val="24"/>
              </w:rPr>
              <w:t>warrant</w:t>
            </w:r>
            <w:r>
              <w:rPr>
                <w:color w:val="231F20"/>
                <w:spacing w:val="-9"/>
                <w:sz w:val="24"/>
              </w:rPr>
              <w:t xml:space="preserve"> </w:t>
            </w:r>
            <w:r>
              <w:rPr>
                <w:color w:val="231F20"/>
                <w:sz w:val="24"/>
              </w:rPr>
              <w:t>under</w:t>
            </w:r>
            <w:r>
              <w:rPr>
                <w:color w:val="231F20"/>
                <w:spacing w:val="-9"/>
                <w:sz w:val="24"/>
              </w:rPr>
              <w:t xml:space="preserve"> </w:t>
            </w:r>
            <w:r>
              <w:rPr>
                <w:color w:val="231F20"/>
                <w:sz w:val="24"/>
              </w:rPr>
              <w:t>section</w:t>
            </w:r>
            <w:r>
              <w:rPr>
                <w:color w:val="231F20"/>
                <w:spacing w:val="-9"/>
                <w:sz w:val="24"/>
              </w:rPr>
              <w:t xml:space="preserve"> </w:t>
            </w:r>
            <w:r>
              <w:rPr>
                <w:color w:val="231F20"/>
                <w:sz w:val="24"/>
              </w:rPr>
              <w:t>13</w:t>
            </w:r>
            <w:r>
              <w:rPr>
                <w:color w:val="231F20"/>
                <w:spacing w:val="-9"/>
                <w:sz w:val="24"/>
              </w:rPr>
              <w:t xml:space="preserve"> </w:t>
            </w:r>
            <w:r>
              <w:rPr>
                <w:color w:val="231F20"/>
                <w:spacing w:val="-2"/>
                <w:sz w:val="24"/>
              </w:rPr>
              <w:t>conducted</w:t>
            </w:r>
          </w:p>
        </w:tc>
        <w:tc>
          <w:tcPr>
            <w:tcW w:w="1701" w:type="dxa"/>
            <w:tcBorders>
              <w:left w:val="single" w:sz="2" w:space="0" w:color="939598"/>
              <w:bottom w:val="single" w:sz="2" w:space="0" w:color="939598"/>
            </w:tcBorders>
          </w:tcPr>
          <w:p w14:paraId="3FEE9100" w14:textId="77777777" w:rsidR="00345EE3" w:rsidRDefault="00345EE3" w:rsidP="00D73130">
            <w:pPr>
              <w:pStyle w:val="TableParagraph"/>
              <w:rPr>
                <w:sz w:val="24"/>
              </w:rPr>
            </w:pPr>
            <w:r>
              <w:rPr>
                <w:color w:val="231F20"/>
                <w:spacing w:val="-5"/>
                <w:sz w:val="24"/>
              </w:rPr>
              <w:t>198</w:t>
            </w:r>
          </w:p>
        </w:tc>
      </w:tr>
    </w:tbl>
    <w:p w14:paraId="58008812" w14:textId="77777777" w:rsidR="00345EE3" w:rsidRPr="00BD27F9" w:rsidRDefault="00345EE3" w:rsidP="00345EE3">
      <w:pPr>
        <w:spacing w:before="65"/>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Corporate</w:t>
      </w:r>
      <w:r w:rsidRPr="00BD27F9">
        <w:rPr>
          <w:color w:val="231F20"/>
          <w:spacing w:val="1"/>
          <w:sz w:val="18"/>
          <w:szCs w:val="18"/>
        </w:rPr>
        <w:t xml:space="preserve"> </w:t>
      </w:r>
      <w:r w:rsidRPr="00BD27F9">
        <w:rPr>
          <w:color w:val="231F20"/>
          <w:sz w:val="18"/>
          <w:szCs w:val="18"/>
        </w:rPr>
        <w:t>Statistics Unit,</w:t>
      </w:r>
      <w:r w:rsidRPr="00BD27F9">
        <w:rPr>
          <w:color w:val="231F20"/>
          <w:spacing w:val="1"/>
          <w:sz w:val="18"/>
          <w:szCs w:val="18"/>
        </w:rPr>
        <w:t xml:space="preserve"> </w:t>
      </w:r>
      <w:r w:rsidRPr="00BD27F9">
        <w:rPr>
          <w:color w:val="231F20"/>
          <w:sz w:val="18"/>
          <w:szCs w:val="18"/>
        </w:rPr>
        <w:t>Data extracted</w:t>
      </w:r>
      <w:r w:rsidRPr="00BD27F9">
        <w:rPr>
          <w:color w:val="231F20"/>
          <w:spacing w:val="1"/>
          <w:sz w:val="18"/>
          <w:szCs w:val="18"/>
        </w:rPr>
        <w:t xml:space="preserve"> </w:t>
      </w:r>
      <w:r w:rsidRPr="00BD27F9">
        <w:rPr>
          <w:color w:val="231F20"/>
          <w:sz w:val="18"/>
          <w:szCs w:val="18"/>
        </w:rPr>
        <w:t>from LEAP</w:t>
      </w:r>
      <w:r w:rsidRPr="00BD27F9">
        <w:rPr>
          <w:color w:val="231F20"/>
          <w:spacing w:val="1"/>
          <w:sz w:val="18"/>
          <w:szCs w:val="18"/>
        </w:rPr>
        <w:t xml:space="preserve"> </w:t>
      </w:r>
      <w:r w:rsidRPr="00BD27F9">
        <w:rPr>
          <w:color w:val="231F20"/>
          <w:sz w:val="18"/>
          <w:szCs w:val="18"/>
        </w:rPr>
        <w:t>on 5</w:t>
      </w:r>
      <w:r w:rsidRPr="00BD27F9">
        <w:rPr>
          <w:color w:val="231F20"/>
          <w:spacing w:val="1"/>
          <w:sz w:val="18"/>
          <w:szCs w:val="18"/>
        </w:rPr>
        <w:t xml:space="preserve"> </w:t>
      </w:r>
      <w:r w:rsidRPr="00BD27F9">
        <w:rPr>
          <w:color w:val="231F20"/>
          <w:sz w:val="18"/>
          <w:szCs w:val="18"/>
        </w:rPr>
        <w:t>July 2022</w:t>
      </w:r>
      <w:r w:rsidRPr="00BD27F9">
        <w:rPr>
          <w:color w:val="231F20"/>
          <w:spacing w:val="1"/>
          <w:sz w:val="18"/>
          <w:szCs w:val="18"/>
        </w:rPr>
        <w:t xml:space="preserve"> </w:t>
      </w:r>
      <w:r w:rsidRPr="00BD27F9">
        <w:rPr>
          <w:color w:val="231F20"/>
          <w:sz w:val="18"/>
          <w:szCs w:val="18"/>
        </w:rPr>
        <w:t>and based</w:t>
      </w:r>
      <w:r w:rsidRPr="00BD27F9">
        <w:rPr>
          <w:color w:val="231F20"/>
          <w:spacing w:val="1"/>
          <w:sz w:val="18"/>
          <w:szCs w:val="18"/>
        </w:rPr>
        <w:t xml:space="preserve"> </w:t>
      </w:r>
      <w:r w:rsidRPr="00BD27F9">
        <w:rPr>
          <w:color w:val="231F20"/>
          <w:sz w:val="18"/>
          <w:szCs w:val="18"/>
        </w:rPr>
        <w:t>on Field</w:t>
      </w:r>
      <w:r w:rsidRPr="00BD27F9">
        <w:rPr>
          <w:color w:val="231F20"/>
          <w:spacing w:val="1"/>
          <w:sz w:val="18"/>
          <w:szCs w:val="18"/>
        </w:rPr>
        <w:t xml:space="preserve"> </w:t>
      </w:r>
      <w:r w:rsidRPr="00BD27F9">
        <w:rPr>
          <w:color w:val="231F20"/>
          <w:sz w:val="18"/>
          <w:szCs w:val="18"/>
        </w:rPr>
        <w:t>Contact</w:t>
      </w:r>
      <w:r w:rsidRPr="00BD27F9">
        <w:rPr>
          <w:color w:val="231F20"/>
          <w:spacing w:val="1"/>
          <w:sz w:val="18"/>
          <w:szCs w:val="18"/>
        </w:rPr>
        <w:t xml:space="preserve"> </w:t>
      </w:r>
      <w:r w:rsidRPr="00BD27F9">
        <w:rPr>
          <w:color w:val="231F20"/>
          <w:spacing w:val="-2"/>
          <w:sz w:val="18"/>
          <w:szCs w:val="18"/>
        </w:rPr>
        <w:t>data.</w:t>
      </w:r>
    </w:p>
    <w:p w14:paraId="27710876" w14:textId="77777777" w:rsidR="00345EE3" w:rsidRPr="00BD27F9" w:rsidRDefault="00345EE3" w:rsidP="00345EE3">
      <w:pPr>
        <w:spacing w:before="28"/>
        <w:ind w:left="110"/>
        <w:rPr>
          <w:sz w:val="18"/>
          <w:szCs w:val="18"/>
        </w:rPr>
      </w:pPr>
      <w:r w:rsidRPr="00BD27F9">
        <w:rPr>
          <w:rFonts w:ascii="Arial-BoldItalicMT"/>
          <w:b/>
          <w:i/>
          <w:color w:val="231F20"/>
          <w:sz w:val="18"/>
          <w:szCs w:val="18"/>
        </w:rPr>
        <w:t>Note:</w:t>
      </w:r>
      <w:r w:rsidRPr="00BD27F9">
        <w:rPr>
          <w:rFonts w:ascii="Arial-BoldItalicMT"/>
          <w:b/>
          <w:i/>
          <w:color w:val="231F20"/>
          <w:spacing w:val="2"/>
          <w:sz w:val="18"/>
          <w:szCs w:val="18"/>
        </w:rPr>
        <w:t xml:space="preserve"> </w:t>
      </w:r>
      <w:r w:rsidRPr="00BD27F9">
        <w:rPr>
          <w:color w:val="231F20"/>
          <w:sz w:val="18"/>
          <w:szCs w:val="18"/>
        </w:rPr>
        <w:t>Data</w:t>
      </w:r>
      <w:r w:rsidRPr="00BD27F9">
        <w:rPr>
          <w:color w:val="231F20"/>
          <w:spacing w:val="2"/>
          <w:sz w:val="18"/>
          <w:szCs w:val="18"/>
        </w:rPr>
        <w:t xml:space="preserve"> </w:t>
      </w:r>
      <w:r w:rsidRPr="00BD27F9">
        <w:rPr>
          <w:color w:val="231F20"/>
          <w:sz w:val="18"/>
          <w:szCs w:val="18"/>
        </w:rPr>
        <w:t>for</w:t>
      </w:r>
      <w:r w:rsidRPr="00BD27F9">
        <w:rPr>
          <w:color w:val="231F20"/>
          <w:spacing w:val="2"/>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2"/>
          <w:sz w:val="18"/>
          <w:szCs w:val="18"/>
        </w:rPr>
        <w:t xml:space="preserve"> </w:t>
      </w:r>
      <w:r w:rsidRPr="00BD27F9">
        <w:rPr>
          <w:color w:val="231F20"/>
          <w:sz w:val="18"/>
          <w:szCs w:val="18"/>
        </w:rPr>
        <w:t>contacts/persons</w:t>
      </w:r>
      <w:r w:rsidRPr="00BD27F9">
        <w:rPr>
          <w:color w:val="231F20"/>
          <w:spacing w:val="2"/>
          <w:sz w:val="18"/>
          <w:szCs w:val="18"/>
        </w:rPr>
        <w:t xml:space="preserve"> </w:t>
      </w:r>
      <w:r w:rsidRPr="00BD27F9">
        <w:rPr>
          <w:color w:val="231F20"/>
          <w:sz w:val="18"/>
          <w:szCs w:val="18"/>
        </w:rPr>
        <w:t>recorded</w:t>
      </w:r>
      <w:r w:rsidRPr="00BD27F9">
        <w:rPr>
          <w:color w:val="231F20"/>
          <w:spacing w:val="2"/>
          <w:sz w:val="18"/>
          <w:szCs w:val="18"/>
        </w:rPr>
        <w:t xml:space="preserve"> </w:t>
      </w:r>
      <w:r w:rsidRPr="00BD27F9">
        <w:rPr>
          <w:color w:val="231F20"/>
          <w:sz w:val="18"/>
          <w:szCs w:val="18"/>
        </w:rPr>
        <w:t>as</w:t>
      </w:r>
      <w:r w:rsidRPr="00BD27F9">
        <w:rPr>
          <w:color w:val="231F20"/>
          <w:spacing w:val="2"/>
          <w:sz w:val="18"/>
          <w:szCs w:val="18"/>
        </w:rPr>
        <w:t xml:space="preserve"> </w:t>
      </w:r>
      <w:r w:rsidRPr="00BD27F9">
        <w:rPr>
          <w:color w:val="231F20"/>
          <w:sz w:val="18"/>
          <w:szCs w:val="18"/>
        </w:rPr>
        <w:t>searched</w:t>
      </w:r>
      <w:r w:rsidRPr="00BD27F9">
        <w:rPr>
          <w:color w:val="231F20"/>
          <w:spacing w:val="2"/>
          <w:sz w:val="18"/>
          <w:szCs w:val="18"/>
        </w:rPr>
        <w:t xml:space="preserve"> </w:t>
      </w:r>
      <w:r w:rsidRPr="00BD27F9">
        <w:rPr>
          <w:color w:val="231F20"/>
          <w:sz w:val="18"/>
          <w:szCs w:val="18"/>
        </w:rPr>
        <w:t>without</w:t>
      </w:r>
      <w:r w:rsidRPr="00BD27F9">
        <w:rPr>
          <w:color w:val="231F20"/>
          <w:spacing w:val="2"/>
          <w:sz w:val="18"/>
          <w:szCs w:val="18"/>
        </w:rPr>
        <w:t xml:space="preserve"> </w:t>
      </w:r>
      <w:r w:rsidRPr="00BD27F9">
        <w:rPr>
          <w:color w:val="231F20"/>
          <w:sz w:val="18"/>
          <w:szCs w:val="18"/>
        </w:rPr>
        <w:t>warrant</w:t>
      </w:r>
      <w:r w:rsidRPr="00BD27F9">
        <w:rPr>
          <w:color w:val="231F20"/>
          <w:spacing w:val="2"/>
          <w:sz w:val="18"/>
          <w:szCs w:val="18"/>
        </w:rPr>
        <w:t xml:space="preserve"> </w:t>
      </w:r>
      <w:r w:rsidRPr="00BD27F9">
        <w:rPr>
          <w:color w:val="231F20"/>
          <w:sz w:val="18"/>
          <w:szCs w:val="18"/>
        </w:rPr>
        <w:t>under</w:t>
      </w:r>
      <w:r w:rsidRPr="00BD27F9">
        <w:rPr>
          <w:color w:val="231F20"/>
          <w:spacing w:val="2"/>
          <w:sz w:val="18"/>
          <w:szCs w:val="18"/>
        </w:rPr>
        <w:t xml:space="preserve"> </w:t>
      </w:r>
      <w:r w:rsidRPr="00BD27F9">
        <w:rPr>
          <w:color w:val="231F20"/>
          <w:sz w:val="18"/>
          <w:szCs w:val="18"/>
        </w:rPr>
        <w:t>the</w:t>
      </w:r>
      <w:r w:rsidRPr="00BD27F9">
        <w:rPr>
          <w:color w:val="231F20"/>
          <w:spacing w:val="2"/>
          <w:sz w:val="18"/>
          <w:szCs w:val="18"/>
        </w:rPr>
        <w:t xml:space="preserve"> </w:t>
      </w:r>
      <w:r w:rsidRPr="00BD27F9">
        <w:rPr>
          <w:b/>
          <w:color w:val="231F20"/>
          <w:sz w:val="18"/>
          <w:szCs w:val="18"/>
        </w:rPr>
        <w:t>Graffiti</w:t>
      </w:r>
      <w:r w:rsidRPr="00BD27F9">
        <w:rPr>
          <w:b/>
          <w:color w:val="231F20"/>
          <w:spacing w:val="5"/>
          <w:sz w:val="18"/>
          <w:szCs w:val="18"/>
        </w:rPr>
        <w:t xml:space="preserve"> </w:t>
      </w:r>
      <w:r w:rsidRPr="00BD27F9">
        <w:rPr>
          <w:b/>
          <w:color w:val="231F20"/>
          <w:sz w:val="18"/>
          <w:szCs w:val="18"/>
        </w:rPr>
        <w:t>Prevention</w:t>
      </w:r>
      <w:r w:rsidRPr="00BD27F9">
        <w:rPr>
          <w:b/>
          <w:color w:val="231F20"/>
          <w:spacing w:val="5"/>
          <w:sz w:val="18"/>
          <w:szCs w:val="18"/>
        </w:rPr>
        <w:t xml:space="preserve"> </w:t>
      </w:r>
      <w:r w:rsidRPr="00BD27F9">
        <w:rPr>
          <w:b/>
          <w:color w:val="231F20"/>
          <w:sz w:val="18"/>
          <w:szCs w:val="18"/>
        </w:rPr>
        <w:t>Act</w:t>
      </w:r>
      <w:r w:rsidRPr="00BD27F9">
        <w:rPr>
          <w:b/>
          <w:color w:val="231F20"/>
          <w:spacing w:val="6"/>
          <w:sz w:val="18"/>
          <w:szCs w:val="18"/>
        </w:rPr>
        <w:t xml:space="preserve"> </w:t>
      </w:r>
      <w:r w:rsidRPr="00BD27F9">
        <w:rPr>
          <w:color w:val="231F20"/>
          <w:spacing w:val="-2"/>
          <w:sz w:val="18"/>
          <w:szCs w:val="18"/>
        </w:rPr>
        <w:t>2007.</w:t>
      </w:r>
    </w:p>
    <w:p w14:paraId="365E5C40" w14:textId="77777777" w:rsidR="00345EE3" w:rsidRPr="00BD27F9" w:rsidRDefault="00345EE3" w:rsidP="00345EE3">
      <w:pPr>
        <w:pStyle w:val="BodyText"/>
        <w:spacing w:before="6"/>
        <w:rPr>
          <w:sz w:val="18"/>
          <w:szCs w:val="18"/>
        </w:rPr>
      </w:pPr>
    </w:p>
    <w:p w14:paraId="5D05E4BB" w14:textId="77777777" w:rsidR="00345EE3" w:rsidRDefault="00345EE3" w:rsidP="00345EE3">
      <w:pPr>
        <w:spacing w:before="1"/>
        <w:ind w:left="110"/>
        <w:rPr>
          <w:rFonts w:ascii="Arial-BoldItalicMT" w:hAnsi="Arial-BoldItalicMT"/>
          <w:b/>
          <w:i/>
          <w:sz w:val="18"/>
        </w:rPr>
      </w:pPr>
      <w:r>
        <w:rPr>
          <w:color w:val="231F20"/>
          <w:sz w:val="18"/>
        </w:rPr>
        <w:t>Table</w:t>
      </w:r>
      <w:r>
        <w:rPr>
          <w:color w:val="231F20"/>
          <w:spacing w:val="-4"/>
          <w:sz w:val="18"/>
        </w:rPr>
        <w:t xml:space="preserve"> </w:t>
      </w:r>
      <w:r>
        <w:rPr>
          <w:color w:val="231F20"/>
          <w:sz w:val="18"/>
        </w:rPr>
        <w:t>5.18:</w:t>
      </w:r>
      <w:r>
        <w:rPr>
          <w:color w:val="231F20"/>
          <w:spacing w:val="-4"/>
          <w:sz w:val="18"/>
        </w:rPr>
        <w:t xml:space="preserve"> </w:t>
      </w:r>
      <w:r>
        <w:rPr>
          <w:rFonts w:ascii="Arial-BoldItalicMT" w:hAnsi="Arial-BoldItalicMT"/>
          <w:b/>
          <w:i/>
          <w:color w:val="231F20"/>
          <w:sz w:val="18"/>
        </w:rPr>
        <w:t>Total</w:t>
      </w:r>
      <w:r>
        <w:rPr>
          <w:rFonts w:ascii="Arial-BoldItalicMT" w:hAnsi="Arial-BoldItalicMT"/>
          <w:b/>
          <w:i/>
          <w:color w:val="231F20"/>
          <w:spacing w:val="-7"/>
          <w:sz w:val="18"/>
        </w:rPr>
        <w:t xml:space="preserve"> </w:t>
      </w:r>
      <w:r>
        <w:rPr>
          <w:rFonts w:ascii="Arial-BoldItalicMT" w:hAnsi="Arial-BoldItalicMT"/>
          <w:b/>
          <w:i/>
          <w:color w:val="231F20"/>
          <w:sz w:val="18"/>
        </w:rPr>
        <w:t>number</w:t>
      </w:r>
      <w:r>
        <w:rPr>
          <w:rFonts w:ascii="Arial-BoldItalicMT" w:hAnsi="Arial-BoldItalicMT"/>
          <w:b/>
          <w:i/>
          <w:color w:val="231F20"/>
          <w:spacing w:val="-7"/>
          <w:sz w:val="18"/>
        </w:rPr>
        <w:t xml:space="preserve"> </w:t>
      </w:r>
      <w:r>
        <w:rPr>
          <w:rFonts w:ascii="Arial-BoldItalicMT" w:hAnsi="Arial-BoldItalicMT"/>
          <w:b/>
          <w:i/>
          <w:color w:val="231F20"/>
          <w:sz w:val="18"/>
        </w:rPr>
        <w:t>and</w:t>
      </w:r>
      <w:r>
        <w:rPr>
          <w:rFonts w:ascii="Arial-BoldItalicMT" w:hAnsi="Arial-BoldItalicMT"/>
          <w:b/>
          <w:i/>
          <w:color w:val="231F20"/>
          <w:spacing w:val="-7"/>
          <w:sz w:val="18"/>
        </w:rPr>
        <w:t xml:space="preserve"> </w:t>
      </w:r>
      <w:r>
        <w:rPr>
          <w:rFonts w:ascii="Arial-BoldItalicMT" w:hAnsi="Arial-BoldItalicMT"/>
          <w:b/>
          <w:i/>
          <w:color w:val="231F20"/>
          <w:sz w:val="18"/>
        </w:rPr>
        <w:t>type</w:t>
      </w:r>
      <w:r>
        <w:rPr>
          <w:rFonts w:ascii="Arial-BoldItalicMT" w:hAnsi="Arial-BoldItalicMT"/>
          <w:b/>
          <w:i/>
          <w:color w:val="231F20"/>
          <w:spacing w:val="-6"/>
          <w:sz w:val="18"/>
        </w:rPr>
        <w:t xml:space="preserve"> </w:t>
      </w:r>
      <w:r>
        <w:rPr>
          <w:rFonts w:ascii="Arial-BoldItalicMT" w:hAnsi="Arial-BoldItalicMT"/>
          <w:b/>
          <w:i/>
          <w:color w:val="231F20"/>
          <w:sz w:val="18"/>
        </w:rPr>
        <w:t>of</w:t>
      </w:r>
      <w:r>
        <w:rPr>
          <w:rFonts w:ascii="Arial-BoldItalicMT" w:hAnsi="Arial-BoldItalicMT"/>
          <w:b/>
          <w:i/>
          <w:color w:val="231F20"/>
          <w:spacing w:val="-7"/>
          <w:sz w:val="18"/>
        </w:rPr>
        <w:t xml:space="preserve"> </w:t>
      </w:r>
      <w:r>
        <w:rPr>
          <w:rFonts w:ascii="Arial-BoldItalicMT" w:hAnsi="Arial-BoldItalicMT"/>
          <w:b/>
          <w:i/>
          <w:color w:val="231F20"/>
          <w:sz w:val="18"/>
        </w:rPr>
        <w:t>graffiti</w:t>
      </w:r>
      <w:r>
        <w:rPr>
          <w:rFonts w:ascii="Arial-BoldItalicMT" w:hAnsi="Arial-BoldItalicMT"/>
          <w:b/>
          <w:i/>
          <w:color w:val="231F20"/>
          <w:spacing w:val="-7"/>
          <w:sz w:val="18"/>
        </w:rPr>
        <w:t xml:space="preserve"> </w:t>
      </w:r>
      <w:r>
        <w:rPr>
          <w:rFonts w:ascii="Arial-BoldItalicMT" w:hAnsi="Arial-BoldItalicMT"/>
          <w:b/>
          <w:i/>
          <w:color w:val="231F20"/>
          <w:sz w:val="18"/>
        </w:rPr>
        <w:t>implements</w:t>
      </w:r>
      <w:r>
        <w:rPr>
          <w:rFonts w:ascii="Arial-BoldItalicMT" w:hAnsi="Arial-BoldItalicMT"/>
          <w:b/>
          <w:i/>
          <w:color w:val="231F20"/>
          <w:spacing w:val="-7"/>
          <w:sz w:val="18"/>
        </w:rPr>
        <w:t xml:space="preserve"> </w:t>
      </w:r>
      <w:r>
        <w:rPr>
          <w:rFonts w:ascii="Arial-BoldItalicMT" w:hAnsi="Arial-BoldItalicMT"/>
          <w:b/>
          <w:i/>
          <w:color w:val="231F20"/>
          <w:sz w:val="18"/>
        </w:rPr>
        <w:t>found</w:t>
      </w:r>
      <w:r>
        <w:rPr>
          <w:rFonts w:ascii="Arial-BoldItalicMT" w:hAnsi="Arial-BoldItalicMT"/>
          <w:b/>
          <w:i/>
          <w:color w:val="231F20"/>
          <w:spacing w:val="-6"/>
          <w:sz w:val="18"/>
        </w:rPr>
        <w:t xml:space="preserve"> </w:t>
      </w:r>
      <w:r>
        <w:rPr>
          <w:rFonts w:ascii="Arial-BoldItalicMT" w:hAnsi="Arial-BoldItalicMT"/>
          <w:b/>
          <w:i/>
          <w:color w:val="231F20"/>
          <w:sz w:val="18"/>
        </w:rPr>
        <w:t>during</w:t>
      </w:r>
      <w:r>
        <w:rPr>
          <w:rFonts w:ascii="Arial-BoldItalicMT" w:hAnsi="Arial-BoldItalicMT"/>
          <w:b/>
          <w:i/>
          <w:color w:val="231F20"/>
          <w:spacing w:val="-7"/>
          <w:sz w:val="18"/>
        </w:rPr>
        <w:t xml:space="preserve"> </w:t>
      </w:r>
      <w:r>
        <w:rPr>
          <w:rFonts w:ascii="Arial-BoldItalicMT" w:hAnsi="Arial-BoldItalicMT"/>
          <w:b/>
          <w:i/>
          <w:color w:val="231F20"/>
          <w:sz w:val="18"/>
        </w:rPr>
        <w:t>the</w:t>
      </w:r>
      <w:r>
        <w:rPr>
          <w:rFonts w:ascii="Arial-BoldItalicMT" w:hAnsi="Arial-BoldItalicMT"/>
          <w:b/>
          <w:i/>
          <w:color w:val="231F20"/>
          <w:spacing w:val="-7"/>
          <w:sz w:val="18"/>
        </w:rPr>
        <w:t xml:space="preserve"> </w:t>
      </w:r>
      <w:r>
        <w:rPr>
          <w:rFonts w:ascii="Arial-BoldItalicMT" w:hAnsi="Arial-BoldItalicMT"/>
          <w:b/>
          <w:i/>
          <w:color w:val="231F20"/>
          <w:sz w:val="18"/>
        </w:rPr>
        <w:t>course</w:t>
      </w:r>
      <w:r>
        <w:rPr>
          <w:rFonts w:ascii="Arial-BoldItalicMT" w:hAnsi="Arial-BoldItalicMT"/>
          <w:b/>
          <w:i/>
          <w:color w:val="231F20"/>
          <w:spacing w:val="-7"/>
          <w:sz w:val="18"/>
        </w:rPr>
        <w:t xml:space="preserve"> </w:t>
      </w:r>
      <w:r>
        <w:rPr>
          <w:rFonts w:ascii="Arial-BoldItalicMT" w:hAnsi="Arial-BoldItalicMT"/>
          <w:b/>
          <w:i/>
          <w:color w:val="231F20"/>
          <w:sz w:val="18"/>
        </w:rPr>
        <w:t>of</w:t>
      </w:r>
      <w:r>
        <w:rPr>
          <w:rFonts w:ascii="Arial-BoldItalicMT" w:hAnsi="Arial-BoldItalicMT"/>
          <w:b/>
          <w:i/>
          <w:color w:val="231F20"/>
          <w:spacing w:val="-6"/>
          <w:sz w:val="18"/>
        </w:rPr>
        <w:t xml:space="preserve"> </w:t>
      </w:r>
      <w:r>
        <w:rPr>
          <w:rFonts w:ascii="Arial-BoldItalicMT" w:hAnsi="Arial-BoldItalicMT"/>
          <w:b/>
          <w:i/>
          <w:color w:val="231F20"/>
          <w:sz w:val="18"/>
        </w:rPr>
        <w:t>those</w:t>
      </w:r>
      <w:r>
        <w:rPr>
          <w:rFonts w:ascii="Arial-BoldItalicMT" w:hAnsi="Arial-BoldItalicMT"/>
          <w:b/>
          <w:i/>
          <w:color w:val="231F20"/>
          <w:spacing w:val="-7"/>
          <w:sz w:val="18"/>
        </w:rPr>
        <w:t xml:space="preserve"> </w:t>
      </w:r>
      <w:r>
        <w:rPr>
          <w:rFonts w:ascii="Arial-BoldItalicMT" w:hAnsi="Arial-BoldItalicMT"/>
          <w:b/>
          <w:i/>
          <w:color w:val="231F20"/>
          <w:sz w:val="18"/>
        </w:rPr>
        <w:t>searches</w:t>
      </w:r>
      <w:r>
        <w:rPr>
          <w:rFonts w:ascii="Arial-BoldItalicMT" w:hAnsi="Arial-BoldItalicMT"/>
          <w:b/>
          <w:i/>
          <w:color w:val="231F20"/>
          <w:spacing w:val="-7"/>
          <w:sz w:val="18"/>
        </w:rPr>
        <w:t xml:space="preserve"> </w:t>
      </w:r>
      <w:r>
        <w:rPr>
          <w:rFonts w:ascii="Arial-BoldItalicMT" w:hAnsi="Arial-BoldItalicMT"/>
          <w:b/>
          <w:i/>
          <w:color w:val="231F20"/>
          <w:sz w:val="18"/>
        </w:rPr>
        <w:t>in</w:t>
      </w:r>
      <w:r>
        <w:rPr>
          <w:rFonts w:ascii="Arial-BoldItalicMT" w:hAnsi="Arial-BoldItalicMT"/>
          <w:b/>
          <w:i/>
          <w:color w:val="231F20"/>
          <w:spacing w:val="-6"/>
          <w:sz w:val="18"/>
        </w:rPr>
        <w:t xml:space="preserve"> </w:t>
      </w:r>
      <w:r>
        <w:rPr>
          <w:rFonts w:ascii="Arial-BoldItalicMT" w:hAnsi="Arial-BoldItalicMT"/>
          <w:b/>
          <w:i/>
          <w:color w:val="231F20"/>
          <w:spacing w:val="-2"/>
          <w:sz w:val="18"/>
        </w:rPr>
        <w:t>2021–22</w:t>
      </w:r>
    </w:p>
    <w:p w14:paraId="4624BFD6"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997"/>
        <w:gridCol w:w="1701"/>
      </w:tblGrid>
      <w:tr w:rsidR="00345EE3" w14:paraId="6887DF1C" w14:textId="77777777" w:rsidTr="00D73130">
        <w:trPr>
          <w:trHeight w:val="401"/>
        </w:trPr>
        <w:tc>
          <w:tcPr>
            <w:tcW w:w="3997" w:type="dxa"/>
            <w:tcBorders>
              <w:top w:val="nil"/>
              <w:left w:val="nil"/>
              <w:bottom w:val="nil"/>
              <w:right w:val="nil"/>
            </w:tcBorders>
            <w:shd w:val="clear" w:color="auto" w:fill="00529F"/>
          </w:tcPr>
          <w:p w14:paraId="0AE04FC9" w14:textId="77777777" w:rsidR="00345EE3" w:rsidRDefault="00345EE3" w:rsidP="00D73130">
            <w:pPr>
              <w:pStyle w:val="TableParagraph"/>
              <w:spacing w:before="63"/>
              <w:ind w:left="-1"/>
              <w:jc w:val="left"/>
              <w:rPr>
                <w:b/>
                <w:sz w:val="24"/>
              </w:rPr>
            </w:pPr>
            <w:r>
              <w:rPr>
                <w:b/>
                <w:color w:val="FFFFFF"/>
                <w:sz w:val="24"/>
              </w:rPr>
              <w:t>Implement</w:t>
            </w:r>
            <w:r>
              <w:rPr>
                <w:b/>
                <w:color w:val="FFFFFF"/>
                <w:spacing w:val="-2"/>
                <w:sz w:val="24"/>
              </w:rPr>
              <w:t xml:space="preserve"> </w:t>
            </w:r>
            <w:r>
              <w:rPr>
                <w:b/>
                <w:color w:val="FFFFFF"/>
                <w:spacing w:val="-4"/>
                <w:sz w:val="24"/>
              </w:rPr>
              <w:t>type</w:t>
            </w:r>
          </w:p>
        </w:tc>
        <w:tc>
          <w:tcPr>
            <w:tcW w:w="1701" w:type="dxa"/>
            <w:tcBorders>
              <w:top w:val="nil"/>
              <w:left w:val="nil"/>
              <w:bottom w:val="nil"/>
              <w:right w:val="nil"/>
            </w:tcBorders>
            <w:shd w:val="clear" w:color="auto" w:fill="00529F"/>
          </w:tcPr>
          <w:p w14:paraId="5A6179BB" w14:textId="77777777" w:rsidR="00345EE3" w:rsidRDefault="00345EE3" w:rsidP="00D73130">
            <w:pPr>
              <w:pStyle w:val="TableParagraph"/>
              <w:spacing w:before="63"/>
              <w:ind w:right="1"/>
              <w:rPr>
                <w:b/>
                <w:sz w:val="24"/>
              </w:rPr>
            </w:pPr>
            <w:r>
              <w:rPr>
                <w:b/>
                <w:color w:val="FFFFFF"/>
                <w:spacing w:val="-2"/>
                <w:sz w:val="24"/>
              </w:rPr>
              <w:t>Number</w:t>
            </w:r>
          </w:p>
        </w:tc>
      </w:tr>
      <w:tr w:rsidR="00345EE3" w14:paraId="6D644F72" w14:textId="77777777" w:rsidTr="00D73130">
        <w:trPr>
          <w:trHeight w:val="396"/>
        </w:trPr>
        <w:tc>
          <w:tcPr>
            <w:tcW w:w="3997" w:type="dxa"/>
            <w:tcBorders>
              <w:top w:val="nil"/>
              <w:left w:val="nil"/>
            </w:tcBorders>
          </w:tcPr>
          <w:p w14:paraId="3F872FC1" w14:textId="77777777" w:rsidR="00345EE3" w:rsidRDefault="00345EE3" w:rsidP="00D73130">
            <w:pPr>
              <w:pStyle w:val="TableParagraph"/>
              <w:ind w:left="-3"/>
              <w:jc w:val="left"/>
              <w:rPr>
                <w:sz w:val="24"/>
              </w:rPr>
            </w:pPr>
            <w:r>
              <w:rPr>
                <w:color w:val="231F20"/>
                <w:sz w:val="24"/>
              </w:rPr>
              <w:t>Aerosol</w:t>
            </w:r>
            <w:r>
              <w:rPr>
                <w:color w:val="231F20"/>
                <w:spacing w:val="-10"/>
                <w:sz w:val="24"/>
              </w:rPr>
              <w:t xml:space="preserve"> </w:t>
            </w:r>
            <w:r>
              <w:rPr>
                <w:color w:val="231F20"/>
                <w:sz w:val="24"/>
              </w:rPr>
              <w:t>paint</w:t>
            </w:r>
            <w:r>
              <w:rPr>
                <w:color w:val="231F20"/>
                <w:spacing w:val="-10"/>
                <w:sz w:val="24"/>
              </w:rPr>
              <w:t xml:space="preserve"> </w:t>
            </w:r>
            <w:r>
              <w:rPr>
                <w:color w:val="231F20"/>
                <w:spacing w:val="-2"/>
                <w:sz w:val="24"/>
              </w:rPr>
              <w:t>container</w:t>
            </w:r>
          </w:p>
        </w:tc>
        <w:tc>
          <w:tcPr>
            <w:tcW w:w="1701" w:type="dxa"/>
            <w:tcBorders>
              <w:top w:val="nil"/>
              <w:right w:val="nil"/>
            </w:tcBorders>
          </w:tcPr>
          <w:p w14:paraId="403FDF3F" w14:textId="77777777" w:rsidR="00345EE3" w:rsidRDefault="00345EE3" w:rsidP="00D73130">
            <w:pPr>
              <w:pStyle w:val="TableParagraph"/>
              <w:rPr>
                <w:sz w:val="24"/>
              </w:rPr>
            </w:pPr>
            <w:r>
              <w:rPr>
                <w:color w:val="231F20"/>
                <w:spacing w:val="-5"/>
                <w:sz w:val="24"/>
              </w:rPr>
              <w:t>406</w:t>
            </w:r>
          </w:p>
        </w:tc>
      </w:tr>
      <w:tr w:rsidR="00345EE3" w14:paraId="6A0824C4" w14:textId="77777777" w:rsidTr="00D73130">
        <w:trPr>
          <w:trHeight w:val="396"/>
        </w:trPr>
        <w:tc>
          <w:tcPr>
            <w:tcW w:w="3997" w:type="dxa"/>
            <w:tcBorders>
              <w:left w:val="nil"/>
            </w:tcBorders>
          </w:tcPr>
          <w:p w14:paraId="3C48C745" w14:textId="77777777" w:rsidR="00345EE3" w:rsidRDefault="00345EE3" w:rsidP="00D73130">
            <w:pPr>
              <w:pStyle w:val="TableParagraph"/>
              <w:ind w:left="-3"/>
              <w:jc w:val="left"/>
              <w:rPr>
                <w:sz w:val="24"/>
              </w:rPr>
            </w:pPr>
            <w:r>
              <w:rPr>
                <w:color w:val="231F20"/>
                <w:spacing w:val="-2"/>
                <w:sz w:val="24"/>
              </w:rPr>
              <w:t>Texta/marker</w:t>
            </w:r>
          </w:p>
        </w:tc>
        <w:tc>
          <w:tcPr>
            <w:tcW w:w="1701" w:type="dxa"/>
            <w:tcBorders>
              <w:right w:val="nil"/>
            </w:tcBorders>
          </w:tcPr>
          <w:p w14:paraId="4F116979" w14:textId="77777777" w:rsidR="00345EE3" w:rsidRDefault="00345EE3" w:rsidP="00D73130">
            <w:pPr>
              <w:pStyle w:val="TableParagraph"/>
              <w:rPr>
                <w:sz w:val="24"/>
              </w:rPr>
            </w:pPr>
            <w:r>
              <w:rPr>
                <w:color w:val="231F20"/>
                <w:spacing w:val="-5"/>
                <w:sz w:val="24"/>
              </w:rPr>
              <w:t>105</w:t>
            </w:r>
          </w:p>
        </w:tc>
      </w:tr>
      <w:tr w:rsidR="00345EE3" w14:paraId="08E5DA56" w14:textId="77777777" w:rsidTr="00D73130">
        <w:trPr>
          <w:trHeight w:val="396"/>
        </w:trPr>
        <w:tc>
          <w:tcPr>
            <w:tcW w:w="3997" w:type="dxa"/>
            <w:tcBorders>
              <w:left w:val="nil"/>
            </w:tcBorders>
          </w:tcPr>
          <w:p w14:paraId="55775CED" w14:textId="77777777" w:rsidR="00345EE3" w:rsidRDefault="00345EE3" w:rsidP="00D73130">
            <w:pPr>
              <w:pStyle w:val="TableParagraph"/>
              <w:ind w:left="-3"/>
              <w:jc w:val="left"/>
              <w:rPr>
                <w:sz w:val="24"/>
              </w:rPr>
            </w:pPr>
            <w:r>
              <w:rPr>
                <w:color w:val="231F20"/>
                <w:sz w:val="24"/>
              </w:rPr>
              <w:t>Other</w:t>
            </w:r>
            <w:r>
              <w:rPr>
                <w:color w:val="231F20"/>
                <w:spacing w:val="-3"/>
                <w:sz w:val="24"/>
              </w:rPr>
              <w:t xml:space="preserve"> </w:t>
            </w:r>
            <w:r>
              <w:rPr>
                <w:color w:val="231F20"/>
                <w:sz w:val="24"/>
              </w:rPr>
              <w:t>graffiti</w:t>
            </w:r>
            <w:r>
              <w:rPr>
                <w:color w:val="231F20"/>
                <w:spacing w:val="-2"/>
                <w:sz w:val="24"/>
              </w:rPr>
              <w:t xml:space="preserve"> implement</w:t>
            </w:r>
          </w:p>
        </w:tc>
        <w:tc>
          <w:tcPr>
            <w:tcW w:w="1701" w:type="dxa"/>
            <w:tcBorders>
              <w:right w:val="nil"/>
            </w:tcBorders>
          </w:tcPr>
          <w:p w14:paraId="5F34D540" w14:textId="77777777" w:rsidR="00345EE3" w:rsidRDefault="00345EE3" w:rsidP="00D73130">
            <w:pPr>
              <w:pStyle w:val="TableParagraph"/>
              <w:rPr>
                <w:sz w:val="24"/>
              </w:rPr>
            </w:pPr>
            <w:r>
              <w:rPr>
                <w:color w:val="231F20"/>
                <w:spacing w:val="-5"/>
                <w:sz w:val="24"/>
              </w:rPr>
              <w:t>298</w:t>
            </w:r>
          </w:p>
        </w:tc>
      </w:tr>
      <w:tr w:rsidR="00345EE3" w14:paraId="368BC46E" w14:textId="77777777" w:rsidTr="00D73130">
        <w:trPr>
          <w:trHeight w:val="391"/>
        </w:trPr>
        <w:tc>
          <w:tcPr>
            <w:tcW w:w="3997" w:type="dxa"/>
            <w:tcBorders>
              <w:left w:val="nil"/>
              <w:bottom w:val="single" w:sz="6" w:space="0" w:color="231F20"/>
            </w:tcBorders>
          </w:tcPr>
          <w:p w14:paraId="74F5BFCC" w14:textId="77777777" w:rsidR="00345EE3" w:rsidRDefault="00345EE3" w:rsidP="00D73130">
            <w:pPr>
              <w:pStyle w:val="TableParagraph"/>
              <w:ind w:left="-3"/>
              <w:jc w:val="left"/>
              <w:rPr>
                <w:b/>
                <w:sz w:val="24"/>
              </w:rPr>
            </w:pPr>
            <w:r>
              <w:rPr>
                <w:b/>
                <w:color w:val="231F20"/>
                <w:spacing w:val="-2"/>
                <w:sz w:val="24"/>
              </w:rPr>
              <w:t>Total</w:t>
            </w:r>
            <w:r>
              <w:rPr>
                <w:b/>
                <w:color w:val="231F20"/>
                <w:spacing w:val="-11"/>
                <w:sz w:val="24"/>
              </w:rPr>
              <w:t xml:space="preserve"> </w:t>
            </w:r>
            <w:r>
              <w:rPr>
                <w:b/>
                <w:color w:val="231F20"/>
                <w:spacing w:val="-2"/>
                <w:sz w:val="24"/>
              </w:rPr>
              <w:t>implements</w:t>
            </w:r>
          </w:p>
        </w:tc>
        <w:tc>
          <w:tcPr>
            <w:tcW w:w="1701" w:type="dxa"/>
            <w:tcBorders>
              <w:bottom w:val="single" w:sz="6" w:space="0" w:color="231F20"/>
              <w:right w:val="nil"/>
            </w:tcBorders>
          </w:tcPr>
          <w:p w14:paraId="12CBFBE9" w14:textId="77777777" w:rsidR="00345EE3" w:rsidRDefault="00345EE3" w:rsidP="00D73130">
            <w:pPr>
              <w:pStyle w:val="TableParagraph"/>
              <w:ind w:right="-15"/>
              <w:rPr>
                <w:b/>
                <w:sz w:val="24"/>
              </w:rPr>
            </w:pPr>
            <w:r>
              <w:rPr>
                <w:b/>
                <w:color w:val="231F20"/>
                <w:spacing w:val="-5"/>
                <w:sz w:val="24"/>
              </w:rPr>
              <w:t>809</w:t>
            </w:r>
          </w:p>
        </w:tc>
      </w:tr>
    </w:tbl>
    <w:p w14:paraId="2AFB7EF0" w14:textId="77777777" w:rsidR="00345EE3" w:rsidRPr="00BD27F9" w:rsidRDefault="00345EE3" w:rsidP="00345EE3">
      <w:pPr>
        <w:spacing w:before="72"/>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Corporate</w:t>
      </w:r>
      <w:r w:rsidRPr="00BD27F9">
        <w:rPr>
          <w:color w:val="231F20"/>
          <w:spacing w:val="1"/>
          <w:sz w:val="18"/>
          <w:szCs w:val="18"/>
        </w:rPr>
        <w:t xml:space="preserve"> </w:t>
      </w:r>
      <w:r w:rsidRPr="00BD27F9">
        <w:rPr>
          <w:color w:val="231F20"/>
          <w:sz w:val="18"/>
          <w:szCs w:val="18"/>
        </w:rPr>
        <w:t>Statistics Unit,</w:t>
      </w:r>
      <w:r w:rsidRPr="00BD27F9">
        <w:rPr>
          <w:color w:val="231F20"/>
          <w:spacing w:val="1"/>
          <w:sz w:val="18"/>
          <w:szCs w:val="18"/>
        </w:rPr>
        <w:t xml:space="preserve"> </w:t>
      </w:r>
      <w:r w:rsidRPr="00BD27F9">
        <w:rPr>
          <w:color w:val="231F20"/>
          <w:sz w:val="18"/>
          <w:szCs w:val="18"/>
        </w:rPr>
        <w:t>Data extracted</w:t>
      </w:r>
      <w:r w:rsidRPr="00BD27F9">
        <w:rPr>
          <w:color w:val="231F20"/>
          <w:spacing w:val="1"/>
          <w:sz w:val="18"/>
          <w:szCs w:val="18"/>
        </w:rPr>
        <w:t xml:space="preserve"> </w:t>
      </w:r>
      <w:r w:rsidRPr="00BD27F9">
        <w:rPr>
          <w:color w:val="231F20"/>
          <w:sz w:val="18"/>
          <w:szCs w:val="18"/>
        </w:rPr>
        <w:t>from LEAP</w:t>
      </w:r>
      <w:r w:rsidRPr="00BD27F9">
        <w:rPr>
          <w:color w:val="231F20"/>
          <w:spacing w:val="1"/>
          <w:sz w:val="18"/>
          <w:szCs w:val="18"/>
        </w:rPr>
        <w:t xml:space="preserve"> </w:t>
      </w:r>
      <w:r w:rsidRPr="00BD27F9">
        <w:rPr>
          <w:color w:val="231F20"/>
          <w:sz w:val="18"/>
          <w:szCs w:val="18"/>
        </w:rPr>
        <w:t>on 5</w:t>
      </w:r>
      <w:r w:rsidRPr="00BD27F9">
        <w:rPr>
          <w:color w:val="231F20"/>
          <w:spacing w:val="1"/>
          <w:sz w:val="18"/>
          <w:szCs w:val="18"/>
        </w:rPr>
        <w:t xml:space="preserve"> </w:t>
      </w:r>
      <w:r w:rsidRPr="00BD27F9">
        <w:rPr>
          <w:color w:val="231F20"/>
          <w:sz w:val="18"/>
          <w:szCs w:val="18"/>
        </w:rPr>
        <w:t>July 2022</w:t>
      </w:r>
      <w:r w:rsidRPr="00BD27F9">
        <w:rPr>
          <w:color w:val="231F20"/>
          <w:spacing w:val="1"/>
          <w:sz w:val="18"/>
          <w:szCs w:val="18"/>
        </w:rPr>
        <w:t xml:space="preserve"> </w:t>
      </w:r>
      <w:r w:rsidRPr="00BD27F9">
        <w:rPr>
          <w:color w:val="231F20"/>
          <w:sz w:val="18"/>
          <w:szCs w:val="18"/>
        </w:rPr>
        <w:t>and based</w:t>
      </w:r>
      <w:r w:rsidRPr="00BD27F9">
        <w:rPr>
          <w:color w:val="231F20"/>
          <w:spacing w:val="1"/>
          <w:sz w:val="18"/>
          <w:szCs w:val="18"/>
        </w:rPr>
        <w:t xml:space="preserve"> </w:t>
      </w:r>
      <w:r w:rsidRPr="00BD27F9">
        <w:rPr>
          <w:color w:val="231F20"/>
          <w:sz w:val="18"/>
          <w:szCs w:val="18"/>
        </w:rPr>
        <w:t>on Field</w:t>
      </w:r>
      <w:r w:rsidRPr="00BD27F9">
        <w:rPr>
          <w:color w:val="231F20"/>
          <w:spacing w:val="1"/>
          <w:sz w:val="18"/>
          <w:szCs w:val="18"/>
        </w:rPr>
        <w:t xml:space="preserve"> </w:t>
      </w:r>
      <w:r w:rsidRPr="00BD27F9">
        <w:rPr>
          <w:color w:val="231F20"/>
          <w:sz w:val="18"/>
          <w:szCs w:val="18"/>
        </w:rPr>
        <w:t>Contact</w:t>
      </w:r>
      <w:r w:rsidRPr="00BD27F9">
        <w:rPr>
          <w:color w:val="231F20"/>
          <w:spacing w:val="1"/>
          <w:sz w:val="18"/>
          <w:szCs w:val="18"/>
        </w:rPr>
        <w:t xml:space="preserve"> </w:t>
      </w:r>
      <w:r w:rsidRPr="00BD27F9">
        <w:rPr>
          <w:color w:val="231F20"/>
          <w:spacing w:val="-2"/>
          <w:sz w:val="18"/>
          <w:szCs w:val="18"/>
        </w:rPr>
        <w:t>data.</w:t>
      </w:r>
    </w:p>
    <w:p w14:paraId="0D4181E6" w14:textId="77777777" w:rsidR="00345EE3" w:rsidRPr="00BD27F9" w:rsidRDefault="00345EE3" w:rsidP="00345EE3">
      <w:pPr>
        <w:spacing w:before="27" w:line="161" w:lineRule="exact"/>
        <w:ind w:left="110"/>
        <w:rPr>
          <w:rFonts w:ascii="Arial-BoldItalicMT"/>
          <w:b/>
          <w:i/>
          <w:sz w:val="18"/>
          <w:szCs w:val="18"/>
        </w:rPr>
      </w:pPr>
      <w:r w:rsidRPr="00BD27F9">
        <w:rPr>
          <w:rFonts w:ascii="Arial-BoldItalicMT"/>
          <w:b/>
          <w:i/>
          <w:color w:val="231F20"/>
          <w:spacing w:val="-2"/>
          <w:sz w:val="18"/>
          <w:szCs w:val="18"/>
        </w:rPr>
        <w:t>Notes:</w:t>
      </w:r>
    </w:p>
    <w:p w14:paraId="25211DB0" w14:textId="77777777" w:rsidR="00345EE3" w:rsidRPr="00BD27F9" w:rsidRDefault="00345EE3">
      <w:pPr>
        <w:pStyle w:val="ListParagraph"/>
        <w:numPr>
          <w:ilvl w:val="0"/>
          <w:numId w:val="73"/>
        </w:numPr>
        <w:tabs>
          <w:tab w:val="left" w:pos="338"/>
        </w:tabs>
        <w:spacing w:before="0" w:line="161" w:lineRule="exact"/>
        <w:ind w:hanging="228"/>
        <w:rPr>
          <w:sz w:val="18"/>
          <w:szCs w:val="18"/>
        </w:rPr>
      </w:pPr>
      <w:r w:rsidRPr="00BD27F9">
        <w:rPr>
          <w:color w:val="231F20"/>
          <w:sz w:val="18"/>
          <w:szCs w:val="18"/>
        </w:rPr>
        <w:t>Data</w:t>
      </w:r>
      <w:r w:rsidRPr="00BD27F9">
        <w:rPr>
          <w:color w:val="231F20"/>
          <w:spacing w:val="-1"/>
          <w:sz w:val="18"/>
          <w:szCs w:val="18"/>
        </w:rPr>
        <w:t xml:space="preserve"> </w:t>
      </w:r>
      <w:r w:rsidRPr="00BD27F9">
        <w:rPr>
          <w:color w:val="231F20"/>
          <w:sz w:val="18"/>
          <w:szCs w:val="18"/>
        </w:rPr>
        <w:t>provided</w:t>
      </w:r>
      <w:r w:rsidRPr="00BD27F9">
        <w:rPr>
          <w:color w:val="231F20"/>
          <w:spacing w:val="1"/>
          <w:sz w:val="18"/>
          <w:szCs w:val="18"/>
        </w:rPr>
        <w:t xml:space="preserve"> </w:t>
      </w:r>
      <w:r w:rsidRPr="00BD27F9">
        <w:rPr>
          <w:color w:val="231F20"/>
          <w:sz w:val="18"/>
          <w:szCs w:val="18"/>
        </w:rPr>
        <w:t>are</w:t>
      </w:r>
      <w:r w:rsidRPr="00BD27F9">
        <w:rPr>
          <w:color w:val="231F20"/>
          <w:spacing w:val="1"/>
          <w:sz w:val="18"/>
          <w:szCs w:val="18"/>
        </w:rPr>
        <w:t xml:space="preserve"> </w:t>
      </w:r>
      <w:r w:rsidRPr="00BD27F9">
        <w:rPr>
          <w:color w:val="231F20"/>
          <w:sz w:val="18"/>
          <w:szCs w:val="18"/>
        </w:rPr>
        <w:t>all</w:t>
      </w:r>
      <w:r w:rsidRPr="00BD27F9">
        <w:rPr>
          <w:color w:val="231F20"/>
          <w:spacing w:val="1"/>
          <w:sz w:val="18"/>
          <w:szCs w:val="18"/>
        </w:rPr>
        <w:t xml:space="preserve"> </w:t>
      </w:r>
      <w:r w:rsidRPr="00BD27F9">
        <w:rPr>
          <w:color w:val="231F20"/>
          <w:sz w:val="18"/>
          <w:szCs w:val="18"/>
        </w:rPr>
        <w:t>graffiti</w:t>
      </w:r>
      <w:r w:rsidRPr="00BD27F9">
        <w:rPr>
          <w:color w:val="231F20"/>
          <w:spacing w:val="1"/>
          <w:sz w:val="18"/>
          <w:szCs w:val="18"/>
        </w:rPr>
        <w:t xml:space="preserve"> </w:t>
      </w:r>
      <w:r w:rsidRPr="00BD27F9">
        <w:rPr>
          <w:color w:val="231F20"/>
          <w:sz w:val="18"/>
          <w:szCs w:val="18"/>
        </w:rPr>
        <w:t>implements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during</w:t>
      </w:r>
      <w:r w:rsidRPr="00BD27F9">
        <w:rPr>
          <w:color w:val="231F20"/>
          <w:spacing w:val="1"/>
          <w:sz w:val="18"/>
          <w:szCs w:val="18"/>
        </w:rPr>
        <w:t xml:space="preserve"> </w:t>
      </w:r>
      <w:r w:rsidRPr="00BD27F9">
        <w:rPr>
          <w:color w:val="231F20"/>
          <w:sz w:val="18"/>
          <w:szCs w:val="18"/>
        </w:rPr>
        <w:t>a</w:t>
      </w:r>
      <w:r w:rsidRPr="00BD27F9">
        <w:rPr>
          <w:color w:val="231F20"/>
          <w:spacing w:val="1"/>
          <w:sz w:val="18"/>
          <w:szCs w:val="18"/>
        </w:rPr>
        <w:t xml:space="preserve"> </w:t>
      </w:r>
      <w:r w:rsidRPr="00BD27F9">
        <w:rPr>
          <w:color w:val="231F20"/>
          <w:sz w:val="18"/>
          <w:szCs w:val="18"/>
        </w:rPr>
        <w:t>search</w:t>
      </w:r>
      <w:r w:rsidRPr="00BD27F9">
        <w:rPr>
          <w:color w:val="231F20"/>
          <w:spacing w:val="1"/>
          <w:sz w:val="18"/>
          <w:szCs w:val="18"/>
        </w:rPr>
        <w:t xml:space="preserve"> </w:t>
      </w:r>
      <w:r w:rsidRPr="00BD27F9">
        <w:rPr>
          <w:color w:val="231F20"/>
          <w:sz w:val="18"/>
          <w:szCs w:val="18"/>
        </w:rPr>
        <w:t>recorded</w:t>
      </w:r>
      <w:r w:rsidRPr="00BD27F9">
        <w:rPr>
          <w:color w:val="231F20"/>
          <w:spacing w:val="1"/>
          <w:sz w:val="18"/>
          <w:szCs w:val="18"/>
        </w:rPr>
        <w:t xml:space="preserve"> </w:t>
      </w:r>
      <w:r w:rsidRPr="00BD27F9">
        <w:rPr>
          <w:color w:val="231F20"/>
          <w:sz w:val="18"/>
          <w:szCs w:val="18"/>
        </w:rPr>
        <w:t>in</w:t>
      </w:r>
      <w:r w:rsidRPr="00BD27F9">
        <w:rPr>
          <w:color w:val="231F20"/>
          <w:spacing w:val="1"/>
          <w:sz w:val="18"/>
          <w:szCs w:val="18"/>
        </w:rPr>
        <w:t xml:space="preserve"> </w:t>
      </w:r>
      <w:r w:rsidRPr="00BD27F9">
        <w:rPr>
          <w:color w:val="231F20"/>
          <w:sz w:val="18"/>
          <w:szCs w:val="18"/>
        </w:rPr>
        <w:t>LEAP</w:t>
      </w:r>
      <w:r w:rsidRPr="00BD27F9">
        <w:rPr>
          <w:color w:val="231F20"/>
          <w:spacing w:val="1"/>
          <w:sz w:val="18"/>
          <w:szCs w:val="18"/>
        </w:rPr>
        <w:t xml:space="preserve"> </w:t>
      </w:r>
      <w:r w:rsidRPr="00BD27F9">
        <w:rPr>
          <w:color w:val="231F20"/>
          <w:sz w:val="18"/>
          <w:szCs w:val="18"/>
        </w:rPr>
        <w:t>including</w:t>
      </w:r>
      <w:r w:rsidRPr="00BD27F9">
        <w:rPr>
          <w:color w:val="231F20"/>
          <w:spacing w:val="1"/>
          <w:sz w:val="18"/>
          <w:szCs w:val="18"/>
        </w:rPr>
        <w:t xml:space="preserve"> </w:t>
      </w:r>
      <w:r w:rsidRPr="00BD27F9">
        <w:rPr>
          <w:color w:val="231F20"/>
          <w:sz w:val="18"/>
          <w:szCs w:val="18"/>
        </w:rPr>
        <w:t>searches</w:t>
      </w:r>
      <w:r w:rsidRPr="00BD27F9">
        <w:rPr>
          <w:color w:val="231F20"/>
          <w:spacing w:val="1"/>
          <w:sz w:val="18"/>
          <w:szCs w:val="18"/>
        </w:rPr>
        <w:t xml:space="preserve"> </w:t>
      </w:r>
      <w:r w:rsidRPr="00BD27F9">
        <w:rPr>
          <w:color w:val="231F20"/>
          <w:sz w:val="18"/>
          <w:szCs w:val="18"/>
        </w:rPr>
        <w:t>under</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Pr>
          <w:color w:val="231F20"/>
          <w:spacing w:val="1"/>
          <w:sz w:val="18"/>
          <w:szCs w:val="18"/>
        </w:rPr>
        <w:br/>
      </w:r>
      <w:r w:rsidRPr="00BD27F9">
        <w:rPr>
          <w:bCs/>
          <w:i/>
          <w:iCs/>
          <w:color w:val="231F20"/>
          <w:sz w:val="18"/>
          <w:szCs w:val="18"/>
        </w:rPr>
        <w:t>Graffiti</w:t>
      </w:r>
      <w:r w:rsidRPr="00BD27F9">
        <w:rPr>
          <w:bCs/>
          <w:i/>
          <w:iCs/>
          <w:color w:val="231F20"/>
          <w:spacing w:val="4"/>
          <w:sz w:val="18"/>
          <w:szCs w:val="18"/>
        </w:rPr>
        <w:t xml:space="preserve"> </w:t>
      </w:r>
      <w:r w:rsidRPr="00BD27F9">
        <w:rPr>
          <w:bCs/>
          <w:i/>
          <w:iCs/>
          <w:color w:val="231F20"/>
          <w:sz w:val="18"/>
          <w:szCs w:val="18"/>
        </w:rPr>
        <w:t>Prevention</w:t>
      </w:r>
      <w:r w:rsidRPr="00BD27F9">
        <w:rPr>
          <w:bCs/>
          <w:i/>
          <w:iCs/>
          <w:color w:val="231F20"/>
          <w:spacing w:val="4"/>
          <w:sz w:val="18"/>
          <w:szCs w:val="18"/>
        </w:rPr>
        <w:t xml:space="preserve"> </w:t>
      </w:r>
      <w:r w:rsidRPr="00BD27F9">
        <w:rPr>
          <w:bCs/>
          <w:i/>
          <w:iCs/>
          <w:color w:val="231F20"/>
          <w:sz w:val="18"/>
          <w:szCs w:val="18"/>
        </w:rPr>
        <w:t>Act</w:t>
      </w:r>
      <w:r w:rsidRPr="00BD27F9">
        <w:rPr>
          <w:b/>
          <w:color w:val="231F20"/>
          <w:spacing w:val="5"/>
          <w:sz w:val="18"/>
          <w:szCs w:val="18"/>
        </w:rPr>
        <w:t xml:space="preserve"> </w:t>
      </w:r>
      <w:r w:rsidRPr="00BD27F9">
        <w:rPr>
          <w:color w:val="231F20"/>
          <w:spacing w:val="-2"/>
          <w:sz w:val="18"/>
          <w:szCs w:val="18"/>
        </w:rPr>
        <w:t>2007.</w:t>
      </w:r>
    </w:p>
    <w:p w14:paraId="027CA735" w14:textId="77777777" w:rsidR="00345EE3" w:rsidRPr="00BD27F9" w:rsidRDefault="00345EE3">
      <w:pPr>
        <w:pStyle w:val="ListParagraph"/>
        <w:numPr>
          <w:ilvl w:val="0"/>
          <w:numId w:val="73"/>
        </w:numPr>
        <w:tabs>
          <w:tab w:val="left" w:pos="338"/>
        </w:tabs>
        <w:spacing w:before="27"/>
        <w:ind w:right="878"/>
        <w:rPr>
          <w:sz w:val="18"/>
          <w:szCs w:val="18"/>
        </w:rPr>
      </w:pPr>
      <w:r w:rsidRPr="00BD27F9">
        <w:rPr>
          <w:color w:val="231F20"/>
          <w:sz w:val="18"/>
          <w:szCs w:val="18"/>
        </w:rPr>
        <w:t>There has been a significant increase in the total implements found data in 2021–22 when compared to previous reporting periods as there has been a change</w:t>
      </w:r>
      <w:r w:rsidRPr="00BD27F9">
        <w:rPr>
          <w:color w:val="231F20"/>
          <w:spacing w:val="40"/>
          <w:sz w:val="18"/>
          <w:szCs w:val="18"/>
        </w:rPr>
        <w:t xml:space="preserve"> </w:t>
      </w:r>
      <w:r w:rsidRPr="00BD27F9">
        <w:rPr>
          <w:color w:val="231F20"/>
          <w:sz w:val="18"/>
          <w:szCs w:val="18"/>
        </w:rPr>
        <w:t>to the counting rules in 2021–22. The 2021–22 figures are based on the count of graffiti implements found during a search. For example, a person who was</w:t>
      </w:r>
      <w:r w:rsidRPr="00BD27F9">
        <w:rPr>
          <w:color w:val="231F20"/>
          <w:spacing w:val="40"/>
          <w:sz w:val="18"/>
          <w:szCs w:val="18"/>
        </w:rPr>
        <w:t xml:space="preserve"> </w:t>
      </w:r>
      <w:r w:rsidRPr="00BD27F9">
        <w:rPr>
          <w:color w:val="231F20"/>
          <w:sz w:val="18"/>
          <w:szCs w:val="18"/>
        </w:rPr>
        <w:t>found with five Aerosol Paint Containers is counted as five. However, figures from previous reporting years were based on the count of graffiti implement types.</w:t>
      </w:r>
      <w:r w:rsidRPr="00BD27F9">
        <w:rPr>
          <w:color w:val="231F20"/>
          <w:spacing w:val="40"/>
          <w:sz w:val="18"/>
          <w:szCs w:val="18"/>
        </w:rPr>
        <w:t xml:space="preserve"> </w:t>
      </w:r>
      <w:r w:rsidRPr="00BD27F9">
        <w:rPr>
          <w:color w:val="231F20"/>
          <w:sz w:val="18"/>
          <w:szCs w:val="18"/>
        </w:rPr>
        <w:t>For</w:t>
      </w:r>
      <w:r w:rsidRPr="00BD27F9">
        <w:rPr>
          <w:color w:val="231F20"/>
          <w:spacing w:val="-1"/>
          <w:sz w:val="18"/>
          <w:szCs w:val="18"/>
        </w:rPr>
        <w:t xml:space="preserve"> </w:t>
      </w:r>
      <w:r w:rsidRPr="00BD27F9">
        <w:rPr>
          <w:color w:val="231F20"/>
          <w:sz w:val="18"/>
          <w:szCs w:val="18"/>
        </w:rPr>
        <w:t>example,</w:t>
      </w:r>
      <w:r w:rsidRPr="00BD27F9">
        <w:rPr>
          <w:color w:val="231F20"/>
          <w:spacing w:val="-1"/>
          <w:sz w:val="18"/>
          <w:szCs w:val="18"/>
        </w:rPr>
        <w:t xml:space="preserve"> </w:t>
      </w:r>
      <w:r w:rsidRPr="00BD27F9">
        <w:rPr>
          <w:color w:val="231F20"/>
          <w:sz w:val="18"/>
          <w:szCs w:val="18"/>
        </w:rPr>
        <w:t>a</w:t>
      </w:r>
      <w:r w:rsidRPr="00BD27F9">
        <w:rPr>
          <w:color w:val="231F20"/>
          <w:spacing w:val="-1"/>
          <w:sz w:val="18"/>
          <w:szCs w:val="18"/>
        </w:rPr>
        <w:t xml:space="preserve"> </w:t>
      </w:r>
      <w:r w:rsidRPr="00BD27F9">
        <w:rPr>
          <w:color w:val="231F20"/>
          <w:sz w:val="18"/>
          <w:szCs w:val="18"/>
        </w:rPr>
        <w:t>person</w:t>
      </w:r>
      <w:r w:rsidRPr="00BD27F9">
        <w:rPr>
          <w:color w:val="231F20"/>
          <w:spacing w:val="-1"/>
          <w:sz w:val="18"/>
          <w:szCs w:val="18"/>
        </w:rPr>
        <w:t xml:space="preserve"> </w:t>
      </w:r>
      <w:r w:rsidRPr="00BD27F9">
        <w:rPr>
          <w:color w:val="231F20"/>
          <w:sz w:val="18"/>
          <w:szCs w:val="18"/>
        </w:rPr>
        <w:t>who</w:t>
      </w:r>
      <w:r w:rsidRPr="00BD27F9">
        <w:rPr>
          <w:color w:val="231F20"/>
          <w:spacing w:val="-1"/>
          <w:sz w:val="18"/>
          <w:szCs w:val="18"/>
        </w:rPr>
        <w:t xml:space="preserve"> </w:t>
      </w:r>
      <w:r w:rsidRPr="00BD27F9">
        <w:rPr>
          <w:color w:val="231F20"/>
          <w:sz w:val="18"/>
          <w:szCs w:val="18"/>
        </w:rPr>
        <w:t>was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with</w:t>
      </w:r>
      <w:r w:rsidRPr="00BD27F9">
        <w:rPr>
          <w:color w:val="231F20"/>
          <w:spacing w:val="-1"/>
          <w:sz w:val="18"/>
          <w:szCs w:val="18"/>
        </w:rPr>
        <w:t xml:space="preserve"> </w:t>
      </w:r>
      <w:r w:rsidRPr="00BD27F9">
        <w:rPr>
          <w:color w:val="231F20"/>
          <w:sz w:val="18"/>
          <w:szCs w:val="18"/>
        </w:rPr>
        <w:t>five</w:t>
      </w:r>
      <w:r w:rsidRPr="00BD27F9">
        <w:rPr>
          <w:color w:val="231F20"/>
          <w:spacing w:val="-1"/>
          <w:sz w:val="18"/>
          <w:szCs w:val="18"/>
        </w:rPr>
        <w:t xml:space="preserve"> </w:t>
      </w:r>
      <w:r w:rsidRPr="00BD27F9">
        <w:rPr>
          <w:color w:val="231F20"/>
          <w:sz w:val="18"/>
          <w:szCs w:val="18"/>
        </w:rPr>
        <w:t>Aerosol</w:t>
      </w:r>
      <w:r w:rsidRPr="00BD27F9">
        <w:rPr>
          <w:color w:val="231F20"/>
          <w:spacing w:val="-1"/>
          <w:sz w:val="18"/>
          <w:szCs w:val="18"/>
        </w:rPr>
        <w:t xml:space="preserve"> </w:t>
      </w:r>
      <w:r w:rsidRPr="00BD27F9">
        <w:rPr>
          <w:color w:val="231F20"/>
          <w:sz w:val="18"/>
          <w:szCs w:val="18"/>
        </w:rPr>
        <w:t>Paint</w:t>
      </w:r>
      <w:r w:rsidRPr="00BD27F9">
        <w:rPr>
          <w:color w:val="231F20"/>
          <w:spacing w:val="-1"/>
          <w:sz w:val="18"/>
          <w:szCs w:val="18"/>
        </w:rPr>
        <w:t xml:space="preserve"> </w:t>
      </w:r>
      <w:r w:rsidRPr="00BD27F9">
        <w:rPr>
          <w:color w:val="231F20"/>
          <w:sz w:val="18"/>
          <w:szCs w:val="18"/>
        </w:rPr>
        <w:t>Containers</w:t>
      </w:r>
      <w:r w:rsidRPr="00BD27F9">
        <w:rPr>
          <w:color w:val="231F20"/>
          <w:spacing w:val="-1"/>
          <w:sz w:val="18"/>
          <w:szCs w:val="18"/>
        </w:rPr>
        <w:t xml:space="preserve"> </w:t>
      </w:r>
      <w:r w:rsidRPr="00BD27F9">
        <w:rPr>
          <w:color w:val="231F20"/>
          <w:sz w:val="18"/>
          <w:szCs w:val="18"/>
        </w:rPr>
        <w:t>was</w:t>
      </w:r>
      <w:r w:rsidRPr="00BD27F9">
        <w:rPr>
          <w:color w:val="231F20"/>
          <w:spacing w:val="-1"/>
          <w:sz w:val="18"/>
          <w:szCs w:val="18"/>
        </w:rPr>
        <w:t xml:space="preserve"> </w:t>
      </w:r>
      <w:r w:rsidRPr="00BD27F9">
        <w:rPr>
          <w:color w:val="231F20"/>
          <w:sz w:val="18"/>
          <w:szCs w:val="18"/>
        </w:rPr>
        <w:t>only</w:t>
      </w:r>
      <w:r w:rsidRPr="00BD27F9">
        <w:rPr>
          <w:color w:val="231F20"/>
          <w:spacing w:val="-1"/>
          <w:sz w:val="18"/>
          <w:szCs w:val="18"/>
        </w:rPr>
        <w:t xml:space="preserve"> </w:t>
      </w:r>
      <w:r w:rsidRPr="00BD27F9">
        <w:rPr>
          <w:color w:val="231F20"/>
          <w:sz w:val="18"/>
          <w:szCs w:val="18"/>
        </w:rPr>
        <w:t>counted</w:t>
      </w:r>
      <w:r w:rsidRPr="00BD27F9">
        <w:rPr>
          <w:color w:val="231F20"/>
          <w:spacing w:val="-1"/>
          <w:sz w:val="18"/>
          <w:szCs w:val="18"/>
        </w:rPr>
        <w:t xml:space="preserve"> </w:t>
      </w:r>
      <w:r w:rsidRPr="00BD27F9">
        <w:rPr>
          <w:color w:val="231F20"/>
          <w:sz w:val="18"/>
          <w:szCs w:val="18"/>
        </w:rPr>
        <w:t>once.</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change</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counting</w:t>
      </w:r>
      <w:r w:rsidRPr="00BD27F9">
        <w:rPr>
          <w:color w:val="231F20"/>
          <w:spacing w:val="-1"/>
          <w:sz w:val="18"/>
          <w:szCs w:val="18"/>
        </w:rPr>
        <w:t xml:space="preserve"> </w:t>
      </w:r>
      <w:r w:rsidRPr="00BD27F9">
        <w:rPr>
          <w:color w:val="231F20"/>
          <w:sz w:val="18"/>
          <w:szCs w:val="18"/>
        </w:rPr>
        <w:t>rules</w:t>
      </w:r>
      <w:r w:rsidRPr="00BD27F9">
        <w:rPr>
          <w:color w:val="231F20"/>
          <w:spacing w:val="-1"/>
          <w:sz w:val="18"/>
          <w:szCs w:val="18"/>
        </w:rPr>
        <w:t xml:space="preserve"> </w:t>
      </w:r>
      <w:r w:rsidRPr="00BD27F9">
        <w:rPr>
          <w:color w:val="231F20"/>
          <w:sz w:val="18"/>
          <w:szCs w:val="18"/>
        </w:rPr>
        <w:t>better</w:t>
      </w:r>
      <w:r w:rsidRPr="00BD27F9">
        <w:rPr>
          <w:color w:val="231F20"/>
          <w:spacing w:val="-1"/>
          <w:sz w:val="18"/>
          <w:szCs w:val="18"/>
        </w:rPr>
        <w:t xml:space="preserve"> </w:t>
      </w:r>
      <w:r w:rsidRPr="00BD27F9">
        <w:rPr>
          <w:color w:val="231F20"/>
          <w:sz w:val="18"/>
          <w:szCs w:val="18"/>
        </w:rPr>
        <w:t>aligns</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legislation</w:t>
      </w:r>
      <w:r w:rsidRPr="00BD27F9">
        <w:rPr>
          <w:color w:val="231F20"/>
          <w:spacing w:val="40"/>
          <w:sz w:val="18"/>
          <w:szCs w:val="18"/>
        </w:rPr>
        <w:t xml:space="preserve"> </w:t>
      </w:r>
      <w:r w:rsidRPr="00BD27F9">
        <w:rPr>
          <w:color w:val="231F20"/>
          <w:sz w:val="18"/>
          <w:szCs w:val="18"/>
        </w:rPr>
        <w:t>and allows for better transparency.</w:t>
      </w:r>
    </w:p>
    <w:p w14:paraId="03274D90" w14:textId="77777777" w:rsidR="00345EE3" w:rsidRDefault="00345EE3" w:rsidP="00345EE3">
      <w:pPr>
        <w:pStyle w:val="BodyText"/>
        <w:spacing w:before="135" w:line="242" w:lineRule="auto"/>
        <w:ind w:right="921"/>
      </w:pPr>
      <w:r>
        <w:rPr>
          <w:color w:val="231F20"/>
        </w:rPr>
        <w:t>In</w:t>
      </w:r>
      <w:r>
        <w:rPr>
          <w:color w:val="231F20"/>
          <w:spacing w:val="-12"/>
        </w:rPr>
        <w:t xml:space="preserve"> </w:t>
      </w:r>
      <w:r>
        <w:rPr>
          <w:color w:val="231F20"/>
        </w:rPr>
        <w:t>reference</w:t>
      </w:r>
      <w:r>
        <w:rPr>
          <w:color w:val="231F20"/>
          <w:spacing w:val="-12"/>
        </w:rPr>
        <w:t xml:space="preserve"> </w:t>
      </w:r>
      <w:r>
        <w:rPr>
          <w:color w:val="231F20"/>
        </w:rPr>
        <w:t>to</w:t>
      </w:r>
      <w:r>
        <w:rPr>
          <w:color w:val="231F20"/>
          <w:spacing w:val="-12"/>
        </w:rPr>
        <w:t xml:space="preserve"> </w:t>
      </w:r>
      <w:r>
        <w:rPr>
          <w:color w:val="231F20"/>
        </w:rPr>
        <w:t>section</w:t>
      </w:r>
      <w:r>
        <w:rPr>
          <w:color w:val="231F20"/>
          <w:spacing w:val="-12"/>
        </w:rPr>
        <w:t xml:space="preserve"> </w:t>
      </w:r>
      <w:r>
        <w:rPr>
          <w:color w:val="231F20"/>
        </w:rPr>
        <w:t>17(c)</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Act,</w:t>
      </w:r>
      <w:r>
        <w:rPr>
          <w:color w:val="231F20"/>
          <w:spacing w:val="-11"/>
        </w:rPr>
        <w:t xml:space="preserve"> </w:t>
      </w:r>
      <w:r>
        <w:rPr>
          <w:color w:val="231F20"/>
        </w:rPr>
        <w:t>no</w:t>
      </w:r>
      <w:r>
        <w:rPr>
          <w:color w:val="231F20"/>
          <w:spacing w:val="-12"/>
        </w:rPr>
        <w:t xml:space="preserve"> </w:t>
      </w:r>
      <w:r>
        <w:rPr>
          <w:color w:val="231F20"/>
        </w:rPr>
        <w:t>information</w:t>
      </w:r>
      <w:r>
        <w:rPr>
          <w:color w:val="231F20"/>
          <w:spacing w:val="-12"/>
        </w:rPr>
        <w:t xml:space="preserve"> </w:t>
      </w:r>
      <w:r>
        <w:rPr>
          <w:color w:val="231F20"/>
        </w:rPr>
        <w:t>was</w:t>
      </w:r>
      <w:r>
        <w:rPr>
          <w:color w:val="231F20"/>
          <w:spacing w:val="-11"/>
        </w:rPr>
        <w:t xml:space="preserve"> </w:t>
      </w:r>
      <w:r>
        <w:rPr>
          <w:color w:val="231F20"/>
        </w:rPr>
        <w:t>requested</w:t>
      </w:r>
      <w:r>
        <w:rPr>
          <w:color w:val="231F20"/>
          <w:spacing w:val="-12"/>
        </w:rPr>
        <w:t xml:space="preserve"> </w:t>
      </w:r>
      <w:r>
        <w:rPr>
          <w:color w:val="231F20"/>
        </w:rPr>
        <w:t>by</w:t>
      </w:r>
      <w:r>
        <w:rPr>
          <w:color w:val="231F20"/>
          <w:spacing w:val="-11"/>
        </w:rPr>
        <w:t xml:space="preserve"> </w:t>
      </w:r>
      <w:r>
        <w:rPr>
          <w:color w:val="231F20"/>
        </w:rPr>
        <w:t>the</w:t>
      </w:r>
      <w:r>
        <w:rPr>
          <w:color w:val="231F20"/>
          <w:spacing w:val="-12"/>
        </w:rPr>
        <w:t xml:space="preserve"> </w:t>
      </w:r>
      <w:r>
        <w:rPr>
          <w:color w:val="231F20"/>
        </w:rPr>
        <w:t>Minister</w:t>
      </w:r>
      <w:r>
        <w:rPr>
          <w:color w:val="231F20"/>
          <w:spacing w:val="-11"/>
        </w:rPr>
        <w:t xml:space="preserve"> </w:t>
      </w:r>
      <w:r>
        <w:rPr>
          <w:color w:val="231F20"/>
        </w:rPr>
        <w:t>in</w:t>
      </w:r>
      <w:r>
        <w:rPr>
          <w:color w:val="231F20"/>
          <w:spacing w:val="-12"/>
        </w:rPr>
        <w:t xml:space="preserve"> </w:t>
      </w:r>
      <w:r>
        <w:rPr>
          <w:color w:val="231F20"/>
        </w:rPr>
        <w:t>2021–22 financial year.</w:t>
      </w:r>
    </w:p>
    <w:p w14:paraId="15D72E5C" w14:textId="77777777" w:rsidR="00345EE3" w:rsidRDefault="00345EE3" w:rsidP="00345EE3">
      <w:pPr>
        <w:rPr>
          <w:rFonts w:ascii="Arial-BoldItalicMT"/>
          <w:b/>
          <w:i/>
          <w:color w:val="3D68AD"/>
          <w:spacing w:val="-2"/>
          <w:sz w:val="28"/>
        </w:rPr>
      </w:pPr>
      <w:r>
        <w:rPr>
          <w:rFonts w:ascii="Arial-BoldItalicMT"/>
          <w:b/>
          <w:i/>
          <w:color w:val="3D68AD"/>
          <w:spacing w:val="-2"/>
          <w:sz w:val="28"/>
        </w:rPr>
        <w:br w:type="page"/>
      </w:r>
    </w:p>
    <w:p w14:paraId="7B1A4DDD" w14:textId="77777777" w:rsidR="00345EE3" w:rsidRDefault="00345EE3" w:rsidP="00345EE3">
      <w:pPr>
        <w:spacing w:before="212"/>
        <w:ind w:left="110"/>
        <w:rPr>
          <w:b/>
          <w:sz w:val="28"/>
        </w:rPr>
      </w:pPr>
      <w:r>
        <w:rPr>
          <w:rFonts w:ascii="Arial-BoldItalicMT"/>
          <w:b/>
          <w:i/>
          <w:color w:val="3D68AD"/>
          <w:spacing w:val="-2"/>
          <w:sz w:val="28"/>
        </w:rPr>
        <w:t>Sentencing</w:t>
      </w:r>
      <w:r>
        <w:rPr>
          <w:rFonts w:ascii="Arial-BoldItalicMT"/>
          <w:b/>
          <w:i/>
          <w:color w:val="3D68AD"/>
          <w:spacing w:val="-17"/>
          <w:sz w:val="28"/>
        </w:rPr>
        <w:t xml:space="preserve"> </w:t>
      </w:r>
      <w:r>
        <w:rPr>
          <w:rFonts w:ascii="Arial-BoldItalicMT"/>
          <w:b/>
          <w:i/>
          <w:color w:val="3D68AD"/>
          <w:spacing w:val="-2"/>
          <w:sz w:val="28"/>
        </w:rPr>
        <w:t>Act</w:t>
      </w:r>
      <w:r>
        <w:rPr>
          <w:rFonts w:ascii="Arial-BoldItalicMT"/>
          <w:b/>
          <w:i/>
          <w:color w:val="3D68AD"/>
          <w:spacing w:val="-14"/>
          <w:sz w:val="28"/>
        </w:rPr>
        <w:t xml:space="preserve"> </w:t>
      </w:r>
      <w:r>
        <w:rPr>
          <w:b/>
          <w:color w:val="3D68AD"/>
          <w:spacing w:val="-4"/>
          <w:sz w:val="28"/>
        </w:rPr>
        <w:t>1991</w:t>
      </w:r>
    </w:p>
    <w:p w14:paraId="3B2A16AF" w14:textId="77777777" w:rsidR="00345EE3" w:rsidRDefault="00345EE3" w:rsidP="00345EE3">
      <w:pPr>
        <w:pStyle w:val="BodyText"/>
        <w:spacing w:before="52" w:line="242" w:lineRule="auto"/>
        <w:ind w:right="995"/>
      </w:pPr>
      <w:r>
        <w:rPr>
          <w:color w:val="231F20"/>
        </w:rPr>
        <w:t>In</w:t>
      </w:r>
      <w:r>
        <w:rPr>
          <w:color w:val="231F20"/>
          <w:spacing w:val="-14"/>
        </w:rPr>
        <w:t xml:space="preserve"> </w:t>
      </w:r>
      <w:r>
        <w:rPr>
          <w:color w:val="231F20"/>
        </w:rPr>
        <w:t>accordance</w:t>
      </w:r>
      <w:r>
        <w:rPr>
          <w:color w:val="231F20"/>
          <w:spacing w:val="-12"/>
        </w:rPr>
        <w:t xml:space="preserve"> </w:t>
      </w:r>
      <w:r>
        <w:rPr>
          <w:color w:val="231F20"/>
        </w:rPr>
        <w:t>with</w:t>
      </w:r>
      <w:r>
        <w:rPr>
          <w:color w:val="231F20"/>
          <w:spacing w:val="-12"/>
        </w:rPr>
        <w:t xml:space="preserve"> </w:t>
      </w:r>
      <w:r>
        <w:rPr>
          <w:color w:val="231F20"/>
        </w:rPr>
        <w:t>section</w:t>
      </w:r>
      <w:r>
        <w:rPr>
          <w:color w:val="231F20"/>
          <w:spacing w:val="-12"/>
        </w:rPr>
        <w:t xml:space="preserve"> </w:t>
      </w:r>
      <w:r>
        <w:rPr>
          <w:color w:val="231F20"/>
        </w:rPr>
        <w:t>89DH</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i/>
          <w:color w:val="231F20"/>
        </w:rPr>
        <w:t>Sentencing</w:t>
      </w:r>
      <w:r>
        <w:rPr>
          <w:i/>
          <w:color w:val="231F20"/>
          <w:spacing w:val="-17"/>
        </w:rPr>
        <w:t xml:space="preserve"> </w:t>
      </w:r>
      <w:r>
        <w:rPr>
          <w:i/>
          <w:color w:val="231F20"/>
        </w:rPr>
        <w:t>Act</w:t>
      </w:r>
      <w:r>
        <w:rPr>
          <w:i/>
          <w:color w:val="231F20"/>
          <w:spacing w:val="-15"/>
        </w:rPr>
        <w:t xml:space="preserve"> </w:t>
      </w:r>
      <w:r>
        <w:rPr>
          <w:color w:val="231F20"/>
        </w:rPr>
        <w:t>1991,</w:t>
      </w:r>
      <w:r>
        <w:rPr>
          <w:color w:val="231F20"/>
          <w:spacing w:val="-12"/>
        </w:rPr>
        <w:t xml:space="preserve"> </w:t>
      </w:r>
      <w:r>
        <w:rPr>
          <w:color w:val="231F20"/>
        </w:rPr>
        <w:t>the</w:t>
      </w:r>
      <w:r>
        <w:rPr>
          <w:color w:val="231F20"/>
          <w:spacing w:val="-12"/>
        </w:rPr>
        <w:t xml:space="preserve"> </w:t>
      </w:r>
      <w:r>
        <w:rPr>
          <w:color w:val="231F20"/>
        </w:rPr>
        <w:t>Chief</w:t>
      </w:r>
      <w:r>
        <w:rPr>
          <w:color w:val="231F20"/>
          <w:spacing w:val="-12"/>
        </w:rPr>
        <w:t xml:space="preserve"> </w:t>
      </w:r>
      <w:r>
        <w:rPr>
          <w:color w:val="231F20"/>
        </w:rPr>
        <w:t>Commissioner</w:t>
      </w:r>
      <w:r>
        <w:rPr>
          <w:color w:val="231F20"/>
          <w:spacing w:val="-12"/>
        </w:rPr>
        <w:t xml:space="preserve"> </w:t>
      </w:r>
      <w:r>
        <w:rPr>
          <w:color w:val="231F20"/>
        </w:rPr>
        <w:t>of</w:t>
      </w:r>
      <w:r>
        <w:rPr>
          <w:color w:val="231F20"/>
          <w:spacing w:val="-12"/>
        </w:rPr>
        <w:t xml:space="preserve"> </w:t>
      </w:r>
      <w:r>
        <w:rPr>
          <w:color w:val="231F20"/>
        </w:rPr>
        <w:t>Police must provide to the Minister for Police, for inclusion in the annual report of operations under Part</w:t>
      </w:r>
      <w:r>
        <w:rPr>
          <w:color w:val="231F20"/>
          <w:spacing w:val="-14"/>
        </w:rPr>
        <w:t xml:space="preserve"> </w:t>
      </w:r>
      <w:r>
        <w:rPr>
          <w:color w:val="231F20"/>
        </w:rPr>
        <w:t>7</w:t>
      </w:r>
      <w:r>
        <w:rPr>
          <w:color w:val="231F20"/>
          <w:spacing w:val="-12"/>
        </w:rPr>
        <w:t xml:space="preserve"> </w:t>
      </w:r>
      <w:r>
        <w:rPr>
          <w:color w:val="231F20"/>
        </w:rPr>
        <w:t>of</w:t>
      </w:r>
      <w:r>
        <w:rPr>
          <w:color w:val="231F20"/>
          <w:spacing w:val="-11"/>
        </w:rPr>
        <w:t xml:space="preserve"> </w:t>
      </w:r>
      <w:r>
        <w:rPr>
          <w:color w:val="231F20"/>
        </w:rPr>
        <w:t>the</w:t>
      </w:r>
      <w:r>
        <w:rPr>
          <w:color w:val="231F20"/>
          <w:spacing w:val="-12"/>
        </w:rPr>
        <w:t xml:space="preserve"> </w:t>
      </w:r>
      <w:r>
        <w:rPr>
          <w:i/>
          <w:color w:val="231F20"/>
        </w:rPr>
        <w:t>Financial</w:t>
      </w:r>
      <w:r>
        <w:rPr>
          <w:i/>
          <w:color w:val="231F20"/>
          <w:spacing w:val="-17"/>
        </w:rPr>
        <w:t xml:space="preserve"> </w:t>
      </w:r>
      <w:r>
        <w:rPr>
          <w:i/>
          <w:color w:val="231F20"/>
        </w:rPr>
        <w:t>Management</w:t>
      </w:r>
      <w:r>
        <w:rPr>
          <w:i/>
          <w:color w:val="231F20"/>
          <w:spacing w:val="-17"/>
        </w:rPr>
        <w:t xml:space="preserve"> </w:t>
      </w:r>
      <w:r>
        <w:rPr>
          <w:i/>
          <w:color w:val="231F20"/>
        </w:rPr>
        <w:t>Act</w:t>
      </w:r>
      <w:r>
        <w:rPr>
          <w:i/>
          <w:color w:val="231F20"/>
          <w:spacing w:val="-16"/>
        </w:rPr>
        <w:t xml:space="preserve"> </w:t>
      </w:r>
      <w:r>
        <w:rPr>
          <w:color w:val="231F20"/>
        </w:rPr>
        <w:t>1994,</w:t>
      </w:r>
      <w:r>
        <w:rPr>
          <w:color w:val="231F20"/>
          <w:spacing w:val="-11"/>
        </w:rPr>
        <w:t xml:space="preserve"> </w:t>
      </w:r>
      <w:r>
        <w:rPr>
          <w:color w:val="231F20"/>
        </w:rPr>
        <w:t>a</w:t>
      </w:r>
      <w:r>
        <w:rPr>
          <w:color w:val="231F20"/>
          <w:spacing w:val="-12"/>
        </w:rPr>
        <w:t xml:space="preserve"> </w:t>
      </w:r>
      <w:r>
        <w:rPr>
          <w:color w:val="231F20"/>
        </w:rPr>
        <w:t>report</w:t>
      </w:r>
      <w:r>
        <w:rPr>
          <w:color w:val="231F20"/>
          <w:spacing w:val="-11"/>
        </w:rPr>
        <w:t xml:space="preserve"> </w:t>
      </w:r>
      <w:r>
        <w:rPr>
          <w:color w:val="231F20"/>
        </w:rPr>
        <w:t>containing</w:t>
      </w:r>
      <w:r>
        <w:rPr>
          <w:color w:val="231F20"/>
          <w:spacing w:val="-12"/>
        </w:rPr>
        <w:t xml:space="preserve"> </w:t>
      </w:r>
      <w:r>
        <w:rPr>
          <w:color w:val="231F20"/>
        </w:rPr>
        <w:t>information</w:t>
      </w:r>
      <w:r>
        <w:rPr>
          <w:color w:val="231F20"/>
          <w:spacing w:val="-12"/>
        </w:rPr>
        <w:t xml:space="preserve"> </w:t>
      </w:r>
      <w:r>
        <w:rPr>
          <w:color w:val="231F20"/>
        </w:rPr>
        <w:t>relating</w:t>
      </w:r>
      <w:r>
        <w:rPr>
          <w:color w:val="231F20"/>
          <w:spacing w:val="-12"/>
        </w:rPr>
        <w:t xml:space="preserve"> </w:t>
      </w:r>
      <w:r>
        <w:rPr>
          <w:color w:val="231F20"/>
        </w:rPr>
        <w:t>to</w:t>
      </w:r>
      <w:r>
        <w:rPr>
          <w:color w:val="231F20"/>
          <w:spacing w:val="-12"/>
        </w:rPr>
        <w:t xml:space="preserve"> </w:t>
      </w:r>
      <w:r>
        <w:rPr>
          <w:color w:val="231F20"/>
        </w:rPr>
        <w:t>alcohol exclusion orders.</w:t>
      </w:r>
    </w:p>
    <w:p w14:paraId="58B50187" w14:textId="77777777" w:rsidR="00345EE3" w:rsidRDefault="00345EE3" w:rsidP="00345EE3">
      <w:pPr>
        <w:spacing w:before="125" w:after="120"/>
        <w:ind w:left="110"/>
        <w:rPr>
          <w:rFonts w:ascii="Arial-BoldItalicMT" w:hAnsi="Arial-BoldItalicMT"/>
          <w:b/>
          <w:i/>
          <w:color w:val="231F20"/>
          <w:spacing w:val="-4"/>
          <w:sz w:val="18"/>
        </w:rPr>
      </w:pPr>
      <w:r>
        <w:rPr>
          <w:color w:val="231F20"/>
          <w:sz w:val="18"/>
        </w:rPr>
        <w:t>Table</w:t>
      </w:r>
      <w:r>
        <w:rPr>
          <w:color w:val="231F20"/>
          <w:spacing w:val="-5"/>
          <w:sz w:val="18"/>
        </w:rPr>
        <w:t xml:space="preserve"> </w:t>
      </w:r>
      <w:r>
        <w:rPr>
          <w:color w:val="231F20"/>
          <w:sz w:val="18"/>
        </w:rPr>
        <w:t>5.19:</w:t>
      </w:r>
      <w:r>
        <w:rPr>
          <w:color w:val="231F20"/>
          <w:spacing w:val="-5"/>
          <w:sz w:val="18"/>
        </w:rPr>
        <w:t xml:space="preserve"> </w:t>
      </w:r>
      <w:r>
        <w:rPr>
          <w:rFonts w:ascii="Arial-BoldItalicMT" w:hAnsi="Arial-BoldItalicMT"/>
          <w:b/>
          <w:i/>
          <w:color w:val="231F20"/>
          <w:sz w:val="18"/>
        </w:rPr>
        <w:t>Reporting</w:t>
      </w:r>
      <w:r>
        <w:rPr>
          <w:rFonts w:ascii="Arial-BoldItalicMT" w:hAnsi="Arial-BoldItalicMT"/>
          <w:b/>
          <w:i/>
          <w:color w:val="231F20"/>
          <w:spacing w:val="-7"/>
          <w:sz w:val="18"/>
        </w:rPr>
        <w:t xml:space="preserve"> </w:t>
      </w:r>
      <w:r>
        <w:rPr>
          <w:rFonts w:ascii="Arial-BoldItalicMT" w:hAnsi="Arial-BoldItalicMT"/>
          <w:b/>
          <w:i/>
          <w:color w:val="231F20"/>
          <w:sz w:val="18"/>
        </w:rPr>
        <w:t>Requirements</w:t>
      </w:r>
      <w:r>
        <w:rPr>
          <w:rFonts w:ascii="Arial-BoldItalicMT" w:hAnsi="Arial-BoldItalicMT"/>
          <w:b/>
          <w:i/>
          <w:color w:val="231F20"/>
          <w:spacing w:val="-7"/>
          <w:sz w:val="18"/>
        </w:rPr>
        <w:t xml:space="preserve"> </w:t>
      </w:r>
      <w:r>
        <w:rPr>
          <w:rFonts w:ascii="Arial-BoldItalicMT" w:hAnsi="Arial-BoldItalicMT"/>
          <w:b/>
          <w:i/>
          <w:color w:val="231F20"/>
          <w:sz w:val="18"/>
        </w:rPr>
        <w:t>under</w:t>
      </w:r>
      <w:r>
        <w:rPr>
          <w:rFonts w:ascii="Arial-BoldItalicMT" w:hAnsi="Arial-BoldItalicMT"/>
          <w:b/>
          <w:i/>
          <w:color w:val="231F20"/>
          <w:spacing w:val="-7"/>
          <w:sz w:val="18"/>
        </w:rPr>
        <w:t xml:space="preserve"> </w:t>
      </w:r>
      <w:r>
        <w:rPr>
          <w:color w:val="231F20"/>
          <w:sz w:val="18"/>
        </w:rPr>
        <w:t>Sentencing</w:t>
      </w:r>
      <w:r>
        <w:rPr>
          <w:color w:val="231F20"/>
          <w:spacing w:val="-13"/>
          <w:sz w:val="18"/>
        </w:rPr>
        <w:t xml:space="preserve"> </w:t>
      </w:r>
      <w:r>
        <w:rPr>
          <w:color w:val="231F20"/>
          <w:sz w:val="18"/>
        </w:rPr>
        <w:t>Act</w:t>
      </w:r>
      <w:r>
        <w:rPr>
          <w:color w:val="231F20"/>
          <w:spacing w:val="-4"/>
          <w:sz w:val="18"/>
        </w:rPr>
        <w:t xml:space="preserve"> </w:t>
      </w:r>
      <w:r>
        <w:rPr>
          <w:rFonts w:ascii="Arial-BoldItalicMT" w:hAnsi="Arial-BoldItalicMT"/>
          <w:b/>
          <w:i/>
          <w:color w:val="231F20"/>
          <w:sz w:val="18"/>
        </w:rPr>
        <w:t>1991</w:t>
      </w:r>
      <w:r>
        <w:rPr>
          <w:rFonts w:ascii="Arial-BoldItalicMT" w:hAnsi="Arial-BoldItalicMT"/>
          <w:b/>
          <w:i/>
          <w:color w:val="231F20"/>
          <w:spacing w:val="-8"/>
          <w:sz w:val="18"/>
        </w:rPr>
        <w:t xml:space="preserve"> </w:t>
      </w:r>
      <w:r>
        <w:rPr>
          <w:rFonts w:ascii="Arial-BoldItalicMT" w:hAnsi="Arial-BoldItalicMT"/>
          <w:b/>
          <w:i/>
          <w:color w:val="231F20"/>
          <w:sz w:val="18"/>
        </w:rPr>
        <w:t>for</w:t>
      </w:r>
      <w:r>
        <w:rPr>
          <w:rFonts w:ascii="Arial-BoldItalicMT" w:hAnsi="Arial-BoldItalicMT"/>
          <w:b/>
          <w:i/>
          <w:color w:val="231F20"/>
          <w:spacing w:val="-7"/>
          <w:sz w:val="18"/>
        </w:rPr>
        <w:t xml:space="preserve"> </w:t>
      </w:r>
      <w:r>
        <w:rPr>
          <w:rFonts w:ascii="Arial-BoldItalicMT" w:hAnsi="Arial-BoldItalicMT"/>
          <w:b/>
          <w:i/>
          <w:color w:val="231F20"/>
          <w:sz w:val="18"/>
        </w:rPr>
        <w:t>the</w:t>
      </w:r>
      <w:r>
        <w:rPr>
          <w:rFonts w:ascii="Arial-BoldItalicMT" w:hAnsi="Arial-BoldItalicMT"/>
          <w:b/>
          <w:i/>
          <w:color w:val="231F20"/>
          <w:spacing w:val="-7"/>
          <w:sz w:val="18"/>
        </w:rPr>
        <w:t xml:space="preserve"> </w:t>
      </w:r>
      <w:r>
        <w:rPr>
          <w:rFonts w:ascii="Arial-BoldItalicMT" w:hAnsi="Arial-BoldItalicMT"/>
          <w:b/>
          <w:i/>
          <w:color w:val="231F20"/>
          <w:sz w:val="18"/>
        </w:rPr>
        <w:t>2021–22</w:t>
      </w:r>
      <w:r>
        <w:rPr>
          <w:rFonts w:ascii="Arial-BoldItalicMT" w:hAnsi="Arial-BoldItalicMT"/>
          <w:b/>
          <w:i/>
          <w:color w:val="231F20"/>
          <w:spacing w:val="-7"/>
          <w:sz w:val="18"/>
        </w:rPr>
        <w:t xml:space="preserve"> </w:t>
      </w:r>
      <w:r>
        <w:rPr>
          <w:rFonts w:ascii="Arial-BoldItalicMT" w:hAnsi="Arial-BoldItalicMT"/>
          <w:b/>
          <w:i/>
          <w:color w:val="231F20"/>
          <w:sz w:val="18"/>
        </w:rPr>
        <w:t>Financial</w:t>
      </w:r>
      <w:r>
        <w:rPr>
          <w:rFonts w:ascii="Arial-BoldItalicMT" w:hAnsi="Arial-BoldItalicMT"/>
          <w:b/>
          <w:i/>
          <w:color w:val="231F20"/>
          <w:spacing w:val="-7"/>
          <w:sz w:val="18"/>
        </w:rPr>
        <w:t xml:space="preserve"> </w:t>
      </w:r>
      <w:r>
        <w:rPr>
          <w:rFonts w:ascii="Arial-BoldItalicMT" w:hAnsi="Arial-BoldItalicMT"/>
          <w:b/>
          <w:i/>
          <w:color w:val="231F20"/>
          <w:spacing w:val="-4"/>
          <w:sz w:val="18"/>
        </w:rPr>
        <w:t>Year</w:t>
      </w:r>
    </w:p>
    <w:tbl>
      <w:tblPr>
        <w:tblW w:w="0" w:type="auto"/>
        <w:tblInd w:w="156" w:type="dxa"/>
        <w:tblLayout w:type="fixed"/>
        <w:tblCellMar>
          <w:left w:w="0" w:type="dxa"/>
          <w:right w:w="0" w:type="dxa"/>
        </w:tblCellMar>
        <w:tblLook w:val="0000" w:firstRow="0" w:lastRow="0" w:firstColumn="0" w:lastColumn="0" w:noHBand="0" w:noVBand="0"/>
      </w:tblPr>
      <w:tblGrid>
        <w:gridCol w:w="8504"/>
        <w:gridCol w:w="1701"/>
      </w:tblGrid>
      <w:tr w:rsidR="00345EE3" w:rsidRPr="00BD27F9" w14:paraId="1E7CF7B0" w14:textId="77777777" w:rsidTr="00D73130">
        <w:trPr>
          <w:trHeight w:val="60"/>
          <w:tblHeader/>
        </w:trPr>
        <w:tc>
          <w:tcPr>
            <w:tcW w:w="8504"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3087C99"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BD27F9">
              <w:rPr>
                <w:rFonts w:eastAsiaTheme="minorHAnsi"/>
                <w:b/>
                <w:bCs/>
                <w:color w:val="FFFFFF"/>
                <w:sz w:val="24"/>
                <w:szCs w:val="24"/>
                <w:lang w:val="en-GB"/>
              </w:rPr>
              <w:t>Reporting Requirement</w:t>
            </w:r>
          </w:p>
        </w:tc>
        <w:tc>
          <w:tcPr>
            <w:tcW w:w="1701"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67A0CA47"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BD27F9">
              <w:rPr>
                <w:rFonts w:eastAsiaTheme="minorHAnsi"/>
                <w:b/>
                <w:bCs/>
                <w:color w:val="FFFFFF"/>
                <w:sz w:val="24"/>
                <w:szCs w:val="24"/>
                <w:lang w:val="en-GB"/>
              </w:rPr>
              <w:t>Number</w:t>
            </w:r>
          </w:p>
        </w:tc>
      </w:tr>
      <w:tr w:rsidR="00345EE3" w:rsidRPr="00BD27F9" w14:paraId="0A8ABADB"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B36D203"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(a)</w:t>
            </w:r>
            <w:r w:rsidRPr="00BD27F9">
              <w:rPr>
                <w:rFonts w:eastAsiaTheme="minorHAnsi"/>
                <w:color w:val="000000"/>
                <w:spacing w:val="-4"/>
                <w:sz w:val="24"/>
                <w:szCs w:val="24"/>
                <w:lang w:val="en-GB"/>
              </w:rPr>
              <w:tab/>
              <w:t>The number of applications made for alcohol exclusion orders during that financial year.</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12383F9"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Not Reported</w:t>
            </w:r>
          </w:p>
        </w:tc>
      </w:tr>
      <w:tr w:rsidR="00345EE3" w:rsidRPr="00BD27F9" w14:paraId="37E770A6"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72F1D68"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(b)</w:t>
            </w:r>
            <w:r w:rsidRPr="00BD27F9">
              <w:rPr>
                <w:rFonts w:eastAsiaTheme="minorHAnsi"/>
                <w:color w:val="000000"/>
                <w:spacing w:val="-4"/>
                <w:sz w:val="24"/>
                <w:szCs w:val="24"/>
                <w:lang w:val="en-GB"/>
              </w:rPr>
              <w:tab/>
              <w:t>The number of applications for alcohol exclusion orders that were withdrawn during that year.</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587DAF3"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Not Reported</w:t>
            </w:r>
          </w:p>
        </w:tc>
      </w:tr>
      <w:tr w:rsidR="00345EE3" w:rsidRPr="00BD27F9" w14:paraId="13F11B63"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4D95803"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(c)</w:t>
            </w:r>
            <w:r w:rsidRPr="00BD27F9">
              <w:rPr>
                <w:rFonts w:eastAsiaTheme="minorHAnsi"/>
                <w:color w:val="000000"/>
                <w:spacing w:val="-4"/>
                <w:sz w:val="24"/>
                <w:szCs w:val="24"/>
                <w:lang w:val="en-GB"/>
              </w:rPr>
              <w:tab/>
              <w:t>The number of applications for alcohol exclusion orders that were dismissed during that year.</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1123E69"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Not Reported</w:t>
            </w:r>
          </w:p>
        </w:tc>
      </w:tr>
      <w:tr w:rsidR="00345EE3" w:rsidRPr="00BD27F9" w14:paraId="5E1125E6"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3B46541"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(d)</w:t>
            </w:r>
            <w:r w:rsidRPr="00BD27F9">
              <w:rPr>
                <w:rFonts w:eastAsiaTheme="minorHAnsi"/>
                <w:color w:val="000000"/>
                <w:spacing w:val="-4"/>
                <w:sz w:val="24"/>
                <w:szCs w:val="24"/>
                <w:lang w:val="en-GB"/>
              </w:rPr>
              <w:tab/>
              <w:t>The number of alcohol exclusion orders made during that year.</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A9D429B"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16</w:t>
            </w:r>
          </w:p>
        </w:tc>
      </w:tr>
      <w:tr w:rsidR="00345EE3" w:rsidRPr="00BD27F9" w14:paraId="066182A0"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2E7D07B"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(e)</w:t>
            </w:r>
            <w:r w:rsidRPr="00BD27F9">
              <w:rPr>
                <w:rFonts w:eastAsiaTheme="minorHAnsi"/>
                <w:color w:val="000000"/>
                <w:spacing w:val="-4"/>
                <w:sz w:val="24"/>
                <w:szCs w:val="24"/>
                <w:lang w:val="en-GB"/>
              </w:rPr>
              <w:tab/>
              <w:t xml:space="preserve">The number of persons charged with an offence against section 89DF (1) or (2) during that year. </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235D60D"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6</w:t>
            </w:r>
          </w:p>
        </w:tc>
      </w:tr>
      <w:tr w:rsidR="00345EE3" w:rsidRPr="00BD27F9" w14:paraId="416C3AEB"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5DCD5B1"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(f)</w:t>
            </w:r>
            <w:r w:rsidRPr="00BD27F9">
              <w:rPr>
                <w:rFonts w:eastAsiaTheme="minorHAnsi"/>
                <w:color w:val="000000"/>
                <w:spacing w:val="-4"/>
                <w:sz w:val="24"/>
                <w:szCs w:val="24"/>
                <w:lang w:val="en-GB"/>
              </w:rPr>
              <w:tab/>
              <w:t xml:space="preserve">The number of charges for an offence under section 89DF (1) or (2) that resulted in a finding of guilt in that year. </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3FECF86"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&lt;3</w:t>
            </w:r>
          </w:p>
        </w:tc>
      </w:tr>
      <w:tr w:rsidR="00345EE3" w:rsidRPr="00BD27F9" w14:paraId="5226FFEF"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01D3125"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(g)</w:t>
            </w:r>
            <w:r w:rsidRPr="00BD27F9">
              <w:rPr>
                <w:rFonts w:eastAsiaTheme="minorHAnsi"/>
                <w:color w:val="000000"/>
                <w:spacing w:val="-4"/>
                <w:sz w:val="24"/>
                <w:szCs w:val="24"/>
                <w:lang w:val="en-GB"/>
              </w:rPr>
              <w:tab/>
              <w:t>The number of contraventions of an alcohol exclusion order that were recorded by members of the police force during that year in respect of which no charge sheet was filed.</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AF3483C"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Not Reported</w:t>
            </w:r>
          </w:p>
        </w:tc>
      </w:tr>
      <w:tr w:rsidR="00345EE3" w:rsidRPr="00BD27F9" w14:paraId="4D31D298"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D35615F"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(h)</w:t>
            </w:r>
            <w:r w:rsidRPr="00BD27F9">
              <w:rPr>
                <w:rFonts w:eastAsiaTheme="minorHAnsi"/>
                <w:color w:val="000000"/>
                <w:spacing w:val="-4"/>
                <w:sz w:val="24"/>
                <w:szCs w:val="24"/>
                <w:lang w:val="en-GB"/>
              </w:rPr>
              <w:tab/>
              <w:t>A comparison with the immediately preceding three financial years of the information required under this subsection.</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3E5426B"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Not Reported</w:t>
            </w:r>
          </w:p>
        </w:tc>
      </w:tr>
    </w:tbl>
    <w:p w14:paraId="0B68F540" w14:textId="77777777" w:rsidR="00345EE3" w:rsidRPr="00BD27F9" w:rsidRDefault="00345EE3" w:rsidP="00345EE3">
      <w:pPr>
        <w:spacing w:before="75"/>
        <w:ind w:left="110" w:right="921"/>
        <w:rPr>
          <w:sz w:val="18"/>
          <w:szCs w:val="18"/>
        </w:rPr>
      </w:pPr>
      <w:r w:rsidRPr="00BD27F9">
        <w:rPr>
          <w:rFonts w:ascii="Arial-BoldItalicMT"/>
          <w:b/>
          <w:i/>
          <w:color w:val="231F20"/>
          <w:sz w:val="18"/>
          <w:szCs w:val="18"/>
        </w:rPr>
        <w:t xml:space="preserve">Source: </w:t>
      </w:r>
      <w:r w:rsidRPr="00BD27F9">
        <w:rPr>
          <w:color w:val="231F20"/>
          <w:sz w:val="18"/>
          <w:szCs w:val="18"/>
        </w:rPr>
        <w:t>Corporate Statistics Unit, Data extracted from LEAP on 5 July 2022. Data for (d) extracted from Law Enforcement Assistance Program (LEAP) on 5 July</w:t>
      </w:r>
      <w:r w:rsidRPr="00BD27F9">
        <w:rPr>
          <w:color w:val="231F20"/>
          <w:spacing w:val="40"/>
          <w:sz w:val="18"/>
          <w:szCs w:val="18"/>
        </w:rPr>
        <w:t xml:space="preserve"> </w:t>
      </w:r>
      <w:r w:rsidRPr="00BD27F9">
        <w:rPr>
          <w:color w:val="231F20"/>
          <w:sz w:val="18"/>
          <w:szCs w:val="18"/>
        </w:rPr>
        <w:t>2022 using the court result table. Data for (e) and (f) sourced from the Crime Statistics Agency.</w:t>
      </w:r>
    </w:p>
    <w:p w14:paraId="54955E88" w14:textId="77777777" w:rsidR="00345EE3" w:rsidRPr="00BD27F9" w:rsidRDefault="00345EE3" w:rsidP="00345EE3">
      <w:pPr>
        <w:spacing w:before="27"/>
        <w:ind w:left="110" w:right="921"/>
        <w:rPr>
          <w:sz w:val="18"/>
          <w:szCs w:val="18"/>
        </w:rPr>
      </w:pPr>
      <w:r w:rsidRPr="00BD27F9">
        <w:rPr>
          <w:rFonts w:ascii="Arial-BoldItalicMT" w:hAnsi="Arial-BoldItalicMT"/>
          <w:b/>
          <w:i/>
          <w:color w:val="231F20"/>
          <w:sz w:val="18"/>
          <w:szCs w:val="18"/>
        </w:rPr>
        <w:t xml:space="preserve">Notes: </w:t>
      </w:r>
      <w:r w:rsidRPr="00BD27F9">
        <w:rPr>
          <w:color w:val="231F20"/>
          <w:sz w:val="18"/>
          <w:szCs w:val="18"/>
        </w:rPr>
        <w:t>Where data listed as ‘Not Reported’ Victoria Police does not separately capture this information, as the application is part of a brief of evidence and data</w:t>
      </w:r>
      <w:r w:rsidRPr="00BD27F9">
        <w:rPr>
          <w:color w:val="231F20"/>
          <w:spacing w:val="40"/>
          <w:sz w:val="18"/>
          <w:szCs w:val="18"/>
        </w:rPr>
        <w:t xml:space="preserve"> </w:t>
      </w:r>
      <w:r w:rsidRPr="00BD27F9">
        <w:rPr>
          <w:color w:val="231F20"/>
          <w:sz w:val="18"/>
          <w:szCs w:val="18"/>
        </w:rPr>
        <w:t>cannot be disaggregated for this purpose.</w:t>
      </w:r>
    </w:p>
    <w:p w14:paraId="01586FC9" w14:textId="77777777" w:rsidR="00345EE3" w:rsidRDefault="00345EE3" w:rsidP="00345EE3">
      <w:pPr>
        <w:rPr>
          <w:sz w:val="20"/>
          <w:szCs w:val="24"/>
        </w:rPr>
      </w:pPr>
      <w:r>
        <w:rPr>
          <w:sz w:val="20"/>
        </w:rPr>
        <w:br w:type="page"/>
      </w:r>
    </w:p>
    <w:p w14:paraId="38C52678" w14:textId="77777777" w:rsidR="00345EE3" w:rsidRDefault="00345EE3" w:rsidP="00345EE3">
      <w:pPr>
        <w:pStyle w:val="Heading4"/>
        <w:rPr>
          <w:rFonts w:ascii="Arial"/>
          <w:i w:val="0"/>
        </w:rPr>
      </w:pPr>
      <w:r>
        <w:rPr>
          <w:color w:val="3D68AD"/>
          <w:spacing w:val="-2"/>
        </w:rPr>
        <w:t>Sex</w:t>
      </w:r>
      <w:r>
        <w:rPr>
          <w:color w:val="3D68AD"/>
          <w:spacing w:val="-12"/>
        </w:rPr>
        <w:t xml:space="preserve"> </w:t>
      </w:r>
      <w:r>
        <w:rPr>
          <w:color w:val="3D68AD"/>
          <w:spacing w:val="-2"/>
        </w:rPr>
        <w:t>Offenders</w:t>
      </w:r>
      <w:r>
        <w:rPr>
          <w:color w:val="3D68AD"/>
          <w:spacing w:val="-12"/>
        </w:rPr>
        <w:t xml:space="preserve"> </w:t>
      </w:r>
      <w:r>
        <w:rPr>
          <w:color w:val="3D68AD"/>
          <w:spacing w:val="-2"/>
        </w:rPr>
        <w:t>Registration</w:t>
      </w:r>
      <w:r>
        <w:rPr>
          <w:color w:val="3D68AD"/>
          <w:spacing w:val="-12"/>
        </w:rPr>
        <w:t xml:space="preserve"> </w:t>
      </w:r>
      <w:r>
        <w:rPr>
          <w:color w:val="3D68AD"/>
          <w:spacing w:val="-2"/>
        </w:rPr>
        <w:t>Act</w:t>
      </w:r>
      <w:r>
        <w:rPr>
          <w:color w:val="3D68AD"/>
          <w:spacing w:val="-11"/>
        </w:rPr>
        <w:t xml:space="preserve"> </w:t>
      </w:r>
      <w:r>
        <w:rPr>
          <w:rFonts w:ascii="Arial"/>
          <w:i w:val="0"/>
          <w:color w:val="3D68AD"/>
          <w:spacing w:val="-4"/>
        </w:rPr>
        <w:t>2004</w:t>
      </w:r>
    </w:p>
    <w:p w14:paraId="7E61A920" w14:textId="77777777" w:rsidR="00345EE3" w:rsidRDefault="00345EE3" w:rsidP="00345EE3">
      <w:pPr>
        <w:spacing w:before="59"/>
        <w:ind w:left="110"/>
        <w:rPr>
          <w:rFonts w:ascii="Arial-BoldItalicMT" w:hAnsi="Arial-BoldItalicMT"/>
          <w:b/>
          <w:i/>
          <w:sz w:val="18"/>
        </w:rPr>
      </w:pPr>
      <w:r>
        <w:rPr>
          <w:color w:val="231F20"/>
          <w:sz w:val="18"/>
        </w:rPr>
        <w:t>Table</w:t>
      </w:r>
      <w:r>
        <w:rPr>
          <w:color w:val="231F20"/>
          <w:spacing w:val="-4"/>
          <w:sz w:val="18"/>
        </w:rPr>
        <w:t xml:space="preserve"> </w:t>
      </w:r>
      <w:r>
        <w:rPr>
          <w:color w:val="231F20"/>
          <w:sz w:val="18"/>
        </w:rPr>
        <w:t>5.20:</w:t>
      </w:r>
      <w:r>
        <w:rPr>
          <w:color w:val="231F20"/>
          <w:spacing w:val="-4"/>
          <w:sz w:val="18"/>
        </w:rPr>
        <w:t xml:space="preserve"> </w:t>
      </w:r>
      <w:r>
        <w:rPr>
          <w:rFonts w:ascii="Arial-BoldItalicMT" w:hAnsi="Arial-BoldItalicMT"/>
          <w:b/>
          <w:i/>
          <w:color w:val="231F20"/>
          <w:sz w:val="18"/>
        </w:rPr>
        <w:t>Reporting</w:t>
      </w:r>
      <w:r>
        <w:rPr>
          <w:rFonts w:ascii="Arial-BoldItalicMT" w:hAnsi="Arial-BoldItalicMT"/>
          <w:b/>
          <w:i/>
          <w:color w:val="231F20"/>
          <w:spacing w:val="-7"/>
          <w:sz w:val="18"/>
        </w:rPr>
        <w:t xml:space="preserve"> </w:t>
      </w:r>
      <w:r>
        <w:rPr>
          <w:rFonts w:ascii="Arial-BoldItalicMT" w:hAnsi="Arial-BoldItalicMT"/>
          <w:b/>
          <w:i/>
          <w:color w:val="231F20"/>
          <w:sz w:val="18"/>
        </w:rPr>
        <w:t>Requirements</w:t>
      </w:r>
      <w:r>
        <w:rPr>
          <w:rFonts w:ascii="Arial-BoldItalicMT" w:hAnsi="Arial-BoldItalicMT"/>
          <w:b/>
          <w:i/>
          <w:color w:val="231F20"/>
          <w:spacing w:val="-7"/>
          <w:sz w:val="18"/>
        </w:rPr>
        <w:t xml:space="preserve"> </w:t>
      </w:r>
      <w:r w:rsidRPr="00BD27F9">
        <w:rPr>
          <w:rFonts w:ascii="Arial-BoldItalicMT" w:hAnsi="Arial-BoldItalicMT"/>
          <w:b/>
          <w:i/>
          <w:color w:val="231F20"/>
          <w:sz w:val="18"/>
        </w:rPr>
        <w:t>under</w:t>
      </w:r>
      <w:r w:rsidRPr="00BD27F9">
        <w:rPr>
          <w:rFonts w:ascii="Arial-BoldItalicMT" w:hAnsi="Arial-BoldItalicMT"/>
          <w:b/>
          <w:i/>
          <w:color w:val="231F20"/>
          <w:spacing w:val="-7"/>
          <w:sz w:val="18"/>
        </w:rPr>
        <w:t xml:space="preserve"> </w:t>
      </w:r>
      <w:r w:rsidRPr="00BD27F9">
        <w:rPr>
          <w:b/>
          <w:color w:val="231F20"/>
          <w:sz w:val="18"/>
        </w:rPr>
        <w:t>Sex</w:t>
      </w:r>
      <w:r w:rsidRPr="00BD27F9">
        <w:rPr>
          <w:b/>
          <w:color w:val="231F20"/>
          <w:spacing w:val="-3"/>
          <w:sz w:val="18"/>
        </w:rPr>
        <w:t xml:space="preserve"> </w:t>
      </w:r>
      <w:r w:rsidRPr="00BD27F9">
        <w:rPr>
          <w:b/>
          <w:color w:val="231F20"/>
          <w:sz w:val="18"/>
        </w:rPr>
        <w:t>Offenders</w:t>
      </w:r>
      <w:r w:rsidRPr="00BD27F9">
        <w:rPr>
          <w:b/>
          <w:color w:val="231F20"/>
          <w:spacing w:val="-3"/>
          <w:sz w:val="18"/>
        </w:rPr>
        <w:t xml:space="preserve"> </w:t>
      </w:r>
      <w:r w:rsidRPr="00BD27F9">
        <w:rPr>
          <w:b/>
          <w:color w:val="231F20"/>
          <w:sz w:val="18"/>
        </w:rPr>
        <w:t>Registration</w:t>
      </w:r>
      <w:r w:rsidRPr="00BD27F9">
        <w:rPr>
          <w:b/>
          <w:color w:val="231F20"/>
          <w:spacing w:val="-12"/>
          <w:sz w:val="18"/>
        </w:rPr>
        <w:t xml:space="preserve"> </w:t>
      </w:r>
      <w:r w:rsidRPr="00BD27F9">
        <w:rPr>
          <w:b/>
          <w:color w:val="231F20"/>
          <w:sz w:val="18"/>
        </w:rPr>
        <w:t>Act</w:t>
      </w:r>
      <w:r>
        <w:rPr>
          <w:color w:val="231F20"/>
          <w:spacing w:val="-5"/>
          <w:sz w:val="18"/>
        </w:rPr>
        <w:t xml:space="preserve"> </w:t>
      </w:r>
      <w:r>
        <w:rPr>
          <w:rFonts w:ascii="Arial-BoldItalicMT" w:hAnsi="Arial-BoldItalicMT"/>
          <w:b/>
          <w:i/>
          <w:color w:val="231F20"/>
          <w:sz w:val="18"/>
        </w:rPr>
        <w:t>2004</w:t>
      </w:r>
      <w:r>
        <w:rPr>
          <w:rFonts w:ascii="Arial-BoldItalicMT" w:hAnsi="Arial-BoldItalicMT"/>
          <w:b/>
          <w:i/>
          <w:color w:val="231F20"/>
          <w:spacing w:val="-7"/>
          <w:sz w:val="18"/>
        </w:rPr>
        <w:t xml:space="preserve"> </w:t>
      </w:r>
      <w:r>
        <w:rPr>
          <w:rFonts w:ascii="Arial-BoldItalicMT" w:hAnsi="Arial-BoldItalicMT"/>
          <w:b/>
          <w:i/>
          <w:color w:val="231F20"/>
          <w:sz w:val="18"/>
        </w:rPr>
        <w:t>for</w:t>
      </w:r>
      <w:r>
        <w:rPr>
          <w:rFonts w:ascii="Arial-BoldItalicMT" w:hAnsi="Arial-BoldItalicMT"/>
          <w:b/>
          <w:i/>
          <w:color w:val="231F20"/>
          <w:spacing w:val="-7"/>
          <w:sz w:val="18"/>
        </w:rPr>
        <w:t xml:space="preserve"> </w:t>
      </w:r>
      <w:r>
        <w:rPr>
          <w:rFonts w:ascii="Arial-BoldItalicMT" w:hAnsi="Arial-BoldItalicMT"/>
          <w:b/>
          <w:i/>
          <w:color w:val="231F20"/>
          <w:sz w:val="18"/>
        </w:rPr>
        <w:t>the</w:t>
      </w:r>
      <w:r>
        <w:rPr>
          <w:rFonts w:ascii="Arial-BoldItalicMT" w:hAnsi="Arial-BoldItalicMT"/>
          <w:b/>
          <w:i/>
          <w:color w:val="231F20"/>
          <w:spacing w:val="-7"/>
          <w:sz w:val="18"/>
        </w:rPr>
        <w:t xml:space="preserve"> </w:t>
      </w:r>
      <w:r>
        <w:rPr>
          <w:rFonts w:ascii="Arial-BoldItalicMT" w:hAnsi="Arial-BoldItalicMT"/>
          <w:b/>
          <w:i/>
          <w:color w:val="231F20"/>
          <w:sz w:val="18"/>
        </w:rPr>
        <w:t>2021–22</w:t>
      </w:r>
      <w:r>
        <w:rPr>
          <w:rFonts w:ascii="Arial-BoldItalicMT" w:hAnsi="Arial-BoldItalicMT"/>
          <w:b/>
          <w:i/>
          <w:color w:val="231F20"/>
          <w:spacing w:val="-7"/>
          <w:sz w:val="18"/>
        </w:rPr>
        <w:t xml:space="preserve"> </w:t>
      </w:r>
      <w:r>
        <w:rPr>
          <w:rFonts w:ascii="Arial-BoldItalicMT" w:hAnsi="Arial-BoldItalicMT"/>
          <w:b/>
          <w:i/>
          <w:color w:val="231F20"/>
          <w:sz w:val="18"/>
        </w:rPr>
        <w:t>Financial</w:t>
      </w:r>
      <w:r>
        <w:rPr>
          <w:rFonts w:ascii="Arial-BoldItalicMT" w:hAnsi="Arial-BoldItalicMT"/>
          <w:b/>
          <w:i/>
          <w:color w:val="231F20"/>
          <w:spacing w:val="-6"/>
          <w:sz w:val="18"/>
        </w:rPr>
        <w:t xml:space="preserve"> </w:t>
      </w:r>
      <w:r>
        <w:rPr>
          <w:rFonts w:ascii="Arial-BoldItalicMT" w:hAnsi="Arial-BoldItalicMT"/>
          <w:b/>
          <w:i/>
          <w:color w:val="231F20"/>
          <w:spacing w:val="-4"/>
          <w:sz w:val="18"/>
        </w:rPr>
        <w:t>Year</w:t>
      </w:r>
    </w:p>
    <w:p w14:paraId="03A22CA3" w14:textId="77777777" w:rsidR="00345EE3" w:rsidRDefault="00345EE3" w:rsidP="00345EE3">
      <w:pPr>
        <w:pStyle w:val="BodyText"/>
        <w:spacing w:before="10"/>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417"/>
        <w:gridCol w:w="7086"/>
        <w:gridCol w:w="1700"/>
      </w:tblGrid>
      <w:tr w:rsidR="00345EE3" w14:paraId="02CEAE6E" w14:textId="77777777" w:rsidTr="00D73130">
        <w:trPr>
          <w:trHeight w:val="401"/>
        </w:trPr>
        <w:tc>
          <w:tcPr>
            <w:tcW w:w="8503" w:type="dxa"/>
            <w:gridSpan w:val="2"/>
            <w:tcBorders>
              <w:top w:val="nil"/>
              <w:left w:val="nil"/>
              <w:bottom w:val="nil"/>
              <w:right w:val="nil"/>
            </w:tcBorders>
            <w:shd w:val="clear" w:color="auto" w:fill="00529F"/>
          </w:tcPr>
          <w:p w14:paraId="7F970E00" w14:textId="77777777" w:rsidR="00345EE3" w:rsidRDefault="00345EE3" w:rsidP="00D73130">
            <w:pPr>
              <w:pStyle w:val="TableParagraph"/>
              <w:spacing w:before="63"/>
              <w:jc w:val="left"/>
              <w:rPr>
                <w:b/>
                <w:sz w:val="24"/>
              </w:rPr>
            </w:pPr>
            <w:r>
              <w:rPr>
                <w:b/>
                <w:color w:val="FFFFFF"/>
                <w:sz w:val="24"/>
              </w:rPr>
              <w:t>70P</w:t>
            </w:r>
            <w:r>
              <w:rPr>
                <w:b/>
                <w:color w:val="FFFFFF"/>
                <w:spacing w:val="-5"/>
                <w:sz w:val="24"/>
              </w:rPr>
              <w:t xml:space="preserve"> </w:t>
            </w:r>
            <w:r>
              <w:rPr>
                <w:b/>
                <w:color w:val="FFFFFF"/>
                <w:sz w:val="24"/>
              </w:rPr>
              <w:t>Chief</w:t>
            </w:r>
            <w:r>
              <w:rPr>
                <w:b/>
                <w:color w:val="FFFFFF"/>
                <w:spacing w:val="-2"/>
                <w:sz w:val="24"/>
              </w:rPr>
              <w:t xml:space="preserve"> </w:t>
            </w:r>
            <w:r>
              <w:rPr>
                <w:b/>
                <w:color w:val="FFFFFF"/>
                <w:sz w:val="24"/>
              </w:rPr>
              <w:t>Commissioner</w:t>
            </w:r>
            <w:r>
              <w:rPr>
                <w:b/>
                <w:color w:val="FFFFFF"/>
                <w:spacing w:val="-4"/>
                <w:sz w:val="24"/>
              </w:rPr>
              <w:t xml:space="preserve"> </w:t>
            </w:r>
            <w:r>
              <w:rPr>
                <w:b/>
                <w:color w:val="FFFFFF"/>
                <w:sz w:val="24"/>
              </w:rPr>
              <w:t>of</w:t>
            </w:r>
            <w:r>
              <w:rPr>
                <w:b/>
                <w:color w:val="FFFFFF"/>
                <w:spacing w:val="-2"/>
                <w:sz w:val="24"/>
              </w:rPr>
              <w:t xml:space="preserve"> </w:t>
            </w:r>
            <w:r>
              <w:rPr>
                <w:b/>
                <w:color w:val="FFFFFF"/>
                <w:sz w:val="24"/>
              </w:rPr>
              <w:t>Police</w:t>
            </w:r>
            <w:r>
              <w:rPr>
                <w:b/>
                <w:color w:val="FFFFFF"/>
                <w:spacing w:val="-3"/>
                <w:sz w:val="24"/>
              </w:rPr>
              <w:t xml:space="preserve"> </w:t>
            </w:r>
            <w:r>
              <w:rPr>
                <w:b/>
                <w:color w:val="FFFFFF"/>
                <w:sz w:val="24"/>
              </w:rPr>
              <w:t>to</w:t>
            </w:r>
            <w:r>
              <w:rPr>
                <w:b/>
                <w:color w:val="FFFFFF"/>
                <w:spacing w:val="-3"/>
                <w:sz w:val="24"/>
              </w:rPr>
              <w:t xml:space="preserve"> </w:t>
            </w:r>
            <w:r>
              <w:rPr>
                <w:b/>
                <w:color w:val="FFFFFF"/>
                <w:sz w:val="24"/>
              </w:rPr>
              <w:t>report</w:t>
            </w:r>
            <w:r>
              <w:rPr>
                <w:b/>
                <w:color w:val="FFFFFF"/>
                <w:spacing w:val="-2"/>
                <w:sz w:val="24"/>
              </w:rPr>
              <w:t xml:space="preserve"> </w:t>
            </w:r>
            <w:r>
              <w:rPr>
                <w:b/>
                <w:color w:val="FFFFFF"/>
                <w:sz w:val="24"/>
              </w:rPr>
              <w:t>to</w:t>
            </w:r>
            <w:r>
              <w:rPr>
                <w:b/>
                <w:color w:val="FFFFFF"/>
                <w:spacing w:val="-2"/>
                <w:sz w:val="24"/>
              </w:rPr>
              <w:t xml:space="preserve"> Minister</w:t>
            </w:r>
          </w:p>
        </w:tc>
        <w:tc>
          <w:tcPr>
            <w:tcW w:w="1700" w:type="dxa"/>
            <w:tcBorders>
              <w:top w:val="nil"/>
              <w:left w:val="nil"/>
              <w:bottom w:val="nil"/>
              <w:right w:val="nil"/>
            </w:tcBorders>
            <w:shd w:val="clear" w:color="auto" w:fill="00529F"/>
          </w:tcPr>
          <w:p w14:paraId="61011D52" w14:textId="77777777" w:rsidR="00345EE3" w:rsidRDefault="00345EE3" w:rsidP="00D73130">
            <w:pPr>
              <w:pStyle w:val="TableParagraph"/>
              <w:spacing w:before="63"/>
              <w:ind w:right="1"/>
              <w:rPr>
                <w:b/>
                <w:sz w:val="24"/>
              </w:rPr>
            </w:pPr>
            <w:r>
              <w:rPr>
                <w:b/>
                <w:color w:val="FFFFFF"/>
                <w:spacing w:val="-2"/>
                <w:sz w:val="24"/>
              </w:rPr>
              <w:t>Number</w:t>
            </w:r>
          </w:p>
        </w:tc>
      </w:tr>
      <w:tr w:rsidR="00345EE3" w14:paraId="31AAAE4B" w14:textId="77777777" w:rsidTr="00D73130">
        <w:trPr>
          <w:trHeight w:val="678"/>
        </w:trPr>
        <w:tc>
          <w:tcPr>
            <w:tcW w:w="1417" w:type="dxa"/>
            <w:tcBorders>
              <w:top w:val="nil"/>
              <w:left w:val="nil"/>
            </w:tcBorders>
          </w:tcPr>
          <w:p w14:paraId="4E066B0E" w14:textId="77777777" w:rsidR="00345EE3" w:rsidRDefault="00345EE3" w:rsidP="00D73130">
            <w:pPr>
              <w:pStyle w:val="TableParagraph"/>
              <w:spacing w:before="63"/>
              <w:ind w:left="-3"/>
              <w:jc w:val="left"/>
              <w:rPr>
                <w:sz w:val="24"/>
              </w:rPr>
            </w:pPr>
            <w:r>
              <w:rPr>
                <w:color w:val="231F20"/>
                <w:spacing w:val="-2"/>
                <w:sz w:val="24"/>
              </w:rPr>
              <w:t>70P(1)(a)</w:t>
            </w:r>
          </w:p>
        </w:tc>
        <w:tc>
          <w:tcPr>
            <w:tcW w:w="7086" w:type="dxa"/>
            <w:tcBorders>
              <w:top w:val="nil"/>
            </w:tcBorders>
          </w:tcPr>
          <w:p w14:paraId="6745E1A9" w14:textId="77777777" w:rsidR="00345EE3" w:rsidRDefault="00345EE3" w:rsidP="00D73130">
            <w:pPr>
              <w:pStyle w:val="TableParagraph"/>
              <w:spacing w:before="63" w:line="242" w:lineRule="auto"/>
              <w:ind w:right="88"/>
              <w:jc w:val="left"/>
              <w:rPr>
                <w:sz w:val="24"/>
              </w:rPr>
            </w:pPr>
            <w:r>
              <w:rPr>
                <w:color w:val="231F20"/>
                <w:sz w:val="24"/>
              </w:rPr>
              <w:t>The</w:t>
            </w:r>
            <w:r>
              <w:rPr>
                <w:color w:val="231F20"/>
                <w:spacing w:val="-5"/>
                <w:sz w:val="24"/>
              </w:rPr>
              <w:t xml:space="preserve"> </w:t>
            </w:r>
            <w:r>
              <w:rPr>
                <w:color w:val="231F20"/>
                <w:sz w:val="24"/>
              </w:rPr>
              <w:t>total</w:t>
            </w:r>
            <w:r>
              <w:rPr>
                <w:color w:val="231F20"/>
                <w:spacing w:val="-5"/>
                <w:sz w:val="24"/>
              </w:rPr>
              <w:t xml:space="preserve"> </w:t>
            </w:r>
            <w:r>
              <w:rPr>
                <w:color w:val="231F20"/>
                <w:sz w:val="24"/>
              </w:rPr>
              <w:t>number</w:t>
            </w:r>
            <w:r>
              <w:rPr>
                <w:color w:val="231F20"/>
                <w:spacing w:val="-6"/>
                <w:sz w:val="24"/>
              </w:rPr>
              <w:t xml:space="preserve"> </w:t>
            </w:r>
            <w:r>
              <w:rPr>
                <w:color w:val="231F20"/>
                <w:sz w:val="24"/>
              </w:rPr>
              <w:t>of</w:t>
            </w:r>
            <w:r>
              <w:rPr>
                <w:color w:val="231F20"/>
                <w:spacing w:val="-6"/>
                <w:sz w:val="24"/>
              </w:rPr>
              <w:t xml:space="preserve"> </w:t>
            </w:r>
            <w:r>
              <w:rPr>
                <w:color w:val="231F20"/>
                <w:sz w:val="24"/>
              </w:rPr>
              <w:t>registrable</w:t>
            </w:r>
            <w:r>
              <w:rPr>
                <w:color w:val="231F20"/>
                <w:spacing w:val="-5"/>
                <w:sz w:val="24"/>
              </w:rPr>
              <w:t xml:space="preserve"> </w:t>
            </w:r>
            <w:r>
              <w:rPr>
                <w:color w:val="231F20"/>
                <w:sz w:val="24"/>
              </w:rPr>
              <w:t>offenders</w:t>
            </w:r>
            <w:r>
              <w:rPr>
                <w:color w:val="231F20"/>
                <w:spacing w:val="-5"/>
                <w:sz w:val="24"/>
              </w:rPr>
              <w:t xml:space="preserve"> </w:t>
            </w:r>
            <w:r>
              <w:rPr>
                <w:color w:val="231F20"/>
                <w:sz w:val="24"/>
              </w:rPr>
              <w:t>as</w:t>
            </w:r>
            <w:r>
              <w:rPr>
                <w:color w:val="231F20"/>
                <w:spacing w:val="-6"/>
                <w:sz w:val="24"/>
              </w:rPr>
              <w:t xml:space="preserve"> </w:t>
            </w:r>
            <w:r>
              <w:rPr>
                <w:color w:val="231F20"/>
                <w:sz w:val="24"/>
              </w:rPr>
              <w:t>at</w:t>
            </w:r>
            <w:r>
              <w:rPr>
                <w:color w:val="231F20"/>
                <w:spacing w:val="-6"/>
                <w:sz w:val="24"/>
              </w:rPr>
              <w:t xml:space="preserve"> </w:t>
            </w:r>
            <w:r>
              <w:rPr>
                <w:color w:val="231F20"/>
                <w:sz w:val="24"/>
              </w:rPr>
              <w:t>the</w:t>
            </w:r>
            <w:r>
              <w:rPr>
                <w:color w:val="231F20"/>
                <w:spacing w:val="-5"/>
                <w:sz w:val="24"/>
              </w:rPr>
              <w:t xml:space="preserve"> </w:t>
            </w:r>
            <w:r>
              <w:rPr>
                <w:color w:val="231F20"/>
                <w:sz w:val="24"/>
              </w:rPr>
              <w:t>immediately preceding 30 June [2022]</w:t>
            </w:r>
          </w:p>
        </w:tc>
        <w:tc>
          <w:tcPr>
            <w:tcW w:w="1700" w:type="dxa"/>
            <w:tcBorders>
              <w:top w:val="nil"/>
              <w:right w:val="nil"/>
            </w:tcBorders>
          </w:tcPr>
          <w:p w14:paraId="7EEEFE9C" w14:textId="77777777" w:rsidR="00345EE3" w:rsidRDefault="00345EE3" w:rsidP="00D73130">
            <w:pPr>
              <w:pStyle w:val="TableParagraph"/>
              <w:spacing w:before="63"/>
              <w:ind w:right="-15"/>
              <w:rPr>
                <w:sz w:val="24"/>
              </w:rPr>
            </w:pPr>
            <w:r>
              <w:rPr>
                <w:color w:val="231F20"/>
                <w:spacing w:val="-2"/>
                <w:sz w:val="24"/>
              </w:rPr>
              <w:t>9,627</w:t>
            </w:r>
          </w:p>
        </w:tc>
      </w:tr>
      <w:tr w:rsidR="00345EE3" w14:paraId="389C5540" w14:textId="77777777" w:rsidTr="00D73130">
        <w:trPr>
          <w:trHeight w:val="676"/>
        </w:trPr>
        <w:tc>
          <w:tcPr>
            <w:tcW w:w="1417" w:type="dxa"/>
            <w:tcBorders>
              <w:left w:val="nil"/>
            </w:tcBorders>
          </w:tcPr>
          <w:p w14:paraId="7BED4464" w14:textId="77777777" w:rsidR="00345EE3" w:rsidRDefault="00345EE3" w:rsidP="00D73130">
            <w:pPr>
              <w:pStyle w:val="TableParagraph"/>
              <w:ind w:left="-3"/>
              <w:jc w:val="left"/>
              <w:rPr>
                <w:sz w:val="24"/>
              </w:rPr>
            </w:pPr>
            <w:r>
              <w:rPr>
                <w:color w:val="231F20"/>
                <w:spacing w:val="-2"/>
                <w:sz w:val="24"/>
              </w:rPr>
              <w:t>70P(1)(b)</w:t>
            </w:r>
          </w:p>
        </w:tc>
        <w:tc>
          <w:tcPr>
            <w:tcW w:w="7086" w:type="dxa"/>
          </w:tcPr>
          <w:p w14:paraId="5865A5AA" w14:textId="77777777" w:rsidR="00345EE3" w:rsidRDefault="00345EE3" w:rsidP="00D73130">
            <w:pPr>
              <w:pStyle w:val="TableParagraph"/>
              <w:spacing w:line="242" w:lineRule="auto"/>
              <w:ind w:right="88"/>
              <w:jc w:val="left"/>
              <w:rPr>
                <w:sz w:val="24"/>
              </w:rPr>
            </w:pPr>
            <w:r>
              <w:rPr>
                <w:color w:val="231F20"/>
                <w:sz w:val="24"/>
              </w:rPr>
              <w:t>The</w:t>
            </w:r>
            <w:r>
              <w:rPr>
                <w:color w:val="231F20"/>
                <w:spacing w:val="-4"/>
                <w:sz w:val="24"/>
              </w:rPr>
              <w:t xml:space="preserve"> </w:t>
            </w:r>
            <w:r>
              <w:rPr>
                <w:color w:val="231F20"/>
                <w:sz w:val="24"/>
              </w:rPr>
              <w:t>number</w:t>
            </w:r>
            <w:r>
              <w:rPr>
                <w:color w:val="231F20"/>
                <w:spacing w:val="-5"/>
                <w:sz w:val="24"/>
              </w:rPr>
              <w:t xml:space="preserve"> </w:t>
            </w:r>
            <w:r>
              <w:rPr>
                <w:color w:val="231F20"/>
                <w:sz w:val="24"/>
              </w:rPr>
              <w:t>of</w:t>
            </w:r>
            <w:r>
              <w:rPr>
                <w:color w:val="231F20"/>
                <w:spacing w:val="-5"/>
                <w:sz w:val="24"/>
              </w:rPr>
              <w:t xml:space="preserve"> </w:t>
            </w:r>
            <w:r>
              <w:rPr>
                <w:color w:val="231F20"/>
                <w:sz w:val="24"/>
              </w:rPr>
              <w:t>offenders</w:t>
            </w:r>
            <w:r>
              <w:rPr>
                <w:color w:val="231F20"/>
                <w:spacing w:val="-4"/>
                <w:sz w:val="24"/>
              </w:rPr>
              <w:t xml:space="preserve"> </w:t>
            </w:r>
            <w:r>
              <w:rPr>
                <w:color w:val="231F20"/>
                <w:sz w:val="24"/>
              </w:rPr>
              <w:t>added</w:t>
            </w:r>
            <w:r>
              <w:rPr>
                <w:color w:val="231F20"/>
                <w:spacing w:val="-5"/>
                <w:sz w:val="24"/>
              </w:rPr>
              <w:t xml:space="preserve"> </w:t>
            </w:r>
            <w:r>
              <w:rPr>
                <w:color w:val="231F20"/>
                <w:sz w:val="24"/>
              </w:rPr>
              <w:t>to</w:t>
            </w:r>
            <w:r>
              <w:rPr>
                <w:color w:val="231F20"/>
                <w:spacing w:val="-4"/>
                <w:sz w:val="24"/>
              </w:rPr>
              <w:t xml:space="preserve"> </w:t>
            </w:r>
            <w:r>
              <w:rPr>
                <w:color w:val="231F20"/>
                <w:sz w:val="24"/>
              </w:rPr>
              <w:t>the</w:t>
            </w:r>
            <w:r>
              <w:rPr>
                <w:color w:val="231F20"/>
                <w:spacing w:val="-4"/>
                <w:sz w:val="24"/>
              </w:rPr>
              <w:t xml:space="preserve"> </w:t>
            </w:r>
            <w:r>
              <w:rPr>
                <w:color w:val="231F20"/>
                <w:sz w:val="24"/>
              </w:rPr>
              <w:t>Register</w:t>
            </w:r>
            <w:r>
              <w:rPr>
                <w:color w:val="231F20"/>
                <w:spacing w:val="-5"/>
                <w:sz w:val="24"/>
              </w:rPr>
              <w:t xml:space="preserve"> </w:t>
            </w:r>
            <w:r>
              <w:rPr>
                <w:color w:val="231F20"/>
                <w:sz w:val="24"/>
              </w:rPr>
              <w:t>in</w:t>
            </w:r>
            <w:r>
              <w:rPr>
                <w:color w:val="231F20"/>
                <w:spacing w:val="-5"/>
                <w:sz w:val="24"/>
              </w:rPr>
              <w:t xml:space="preserve"> </w:t>
            </w:r>
            <w:r>
              <w:rPr>
                <w:color w:val="231F20"/>
                <w:sz w:val="24"/>
              </w:rPr>
              <w:t>the</w:t>
            </w:r>
            <w:r>
              <w:rPr>
                <w:color w:val="231F20"/>
                <w:spacing w:val="-4"/>
                <w:sz w:val="24"/>
              </w:rPr>
              <w:t xml:space="preserve"> </w:t>
            </w:r>
            <w:r>
              <w:rPr>
                <w:color w:val="231F20"/>
                <w:sz w:val="24"/>
              </w:rPr>
              <w:t>financial year ending on the immediately preceding 30 June [2022]</w:t>
            </w:r>
          </w:p>
        </w:tc>
        <w:tc>
          <w:tcPr>
            <w:tcW w:w="1700" w:type="dxa"/>
            <w:tcBorders>
              <w:right w:val="nil"/>
            </w:tcBorders>
          </w:tcPr>
          <w:p w14:paraId="4E9155FB" w14:textId="77777777" w:rsidR="00345EE3" w:rsidRDefault="00345EE3" w:rsidP="00D73130">
            <w:pPr>
              <w:pStyle w:val="TableParagraph"/>
              <w:ind w:right="-15"/>
              <w:rPr>
                <w:sz w:val="24"/>
              </w:rPr>
            </w:pPr>
            <w:r>
              <w:rPr>
                <w:color w:val="231F20"/>
                <w:spacing w:val="-5"/>
                <w:sz w:val="24"/>
              </w:rPr>
              <w:t>457</w:t>
            </w:r>
          </w:p>
        </w:tc>
      </w:tr>
      <w:tr w:rsidR="00345EE3" w14:paraId="5DE374F1" w14:textId="77777777" w:rsidTr="00D73130">
        <w:trPr>
          <w:trHeight w:val="676"/>
        </w:trPr>
        <w:tc>
          <w:tcPr>
            <w:tcW w:w="1417" w:type="dxa"/>
            <w:tcBorders>
              <w:left w:val="nil"/>
            </w:tcBorders>
          </w:tcPr>
          <w:p w14:paraId="607F54A3" w14:textId="77777777" w:rsidR="00345EE3" w:rsidRDefault="00345EE3" w:rsidP="00D73130">
            <w:pPr>
              <w:pStyle w:val="TableParagraph"/>
              <w:ind w:left="-3"/>
              <w:jc w:val="left"/>
              <w:rPr>
                <w:sz w:val="24"/>
              </w:rPr>
            </w:pPr>
            <w:r>
              <w:rPr>
                <w:color w:val="231F20"/>
                <w:spacing w:val="-2"/>
                <w:sz w:val="24"/>
              </w:rPr>
              <w:t>70P(1)(ba)</w:t>
            </w:r>
          </w:p>
        </w:tc>
        <w:tc>
          <w:tcPr>
            <w:tcW w:w="7086" w:type="dxa"/>
          </w:tcPr>
          <w:p w14:paraId="0FDEC9A2" w14:textId="77777777" w:rsidR="00345EE3" w:rsidRDefault="00345EE3" w:rsidP="00D73130">
            <w:pPr>
              <w:pStyle w:val="TableParagraph"/>
              <w:spacing w:line="242" w:lineRule="auto"/>
              <w:jc w:val="left"/>
              <w:rPr>
                <w:sz w:val="24"/>
              </w:rPr>
            </w:pPr>
            <w:r>
              <w:rPr>
                <w:color w:val="231F20"/>
                <w:sz w:val="24"/>
              </w:rPr>
              <w:t>The</w:t>
            </w:r>
            <w:r>
              <w:rPr>
                <w:color w:val="231F20"/>
                <w:spacing w:val="-4"/>
                <w:sz w:val="24"/>
              </w:rPr>
              <w:t xml:space="preserve"> </w:t>
            </w:r>
            <w:r>
              <w:rPr>
                <w:color w:val="231F20"/>
                <w:sz w:val="24"/>
              </w:rPr>
              <w:t>number</w:t>
            </w:r>
            <w:r>
              <w:rPr>
                <w:color w:val="231F20"/>
                <w:spacing w:val="-5"/>
                <w:sz w:val="24"/>
              </w:rPr>
              <w:t xml:space="preserve"> </w:t>
            </w:r>
            <w:r>
              <w:rPr>
                <w:color w:val="231F20"/>
                <w:sz w:val="24"/>
              </w:rPr>
              <w:t>of</w:t>
            </w:r>
            <w:r>
              <w:rPr>
                <w:color w:val="231F20"/>
                <w:spacing w:val="-5"/>
                <w:sz w:val="24"/>
              </w:rPr>
              <w:t xml:space="preserve"> </w:t>
            </w:r>
            <w:r>
              <w:rPr>
                <w:color w:val="231F20"/>
                <w:sz w:val="24"/>
              </w:rPr>
              <w:t>prohibition</w:t>
            </w:r>
            <w:r>
              <w:rPr>
                <w:color w:val="231F20"/>
                <w:spacing w:val="-5"/>
                <w:sz w:val="24"/>
              </w:rPr>
              <w:t xml:space="preserve"> </w:t>
            </w:r>
            <w:r>
              <w:rPr>
                <w:color w:val="231F20"/>
                <w:sz w:val="24"/>
              </w:rPr>
              <w:t>orders</w:t>
            </w:r>
            <w:r>
              <w:rPr>
                <w:color w:val="231F20"/>
                <w:spacing w:val="-5"/>
                <w:sz w:val="24"/>
              </w:rPr>
              <w:t xml:space="preserve"> </w:t>
            </w:r>
            <w:r>
              <w:rPr>
                <w:color w:val="231F20"/>
                <w:sz w:val="24"/>
              </w:rPr>
              <w:t>made</w:t>
            </w:r>
            <w:r>
              <w:rPr>
                <w:color w:val="231F20"/>
                <w:spacing w:val="-4"/>
                <w:sz w:val="24"/>
              </w:rPr>
              <w:t xml:space="preserve"> </w:t>
            </w:r>
            <w:r>
              <w:rPr>
                <w:color w:val="231F20"/>
                <w:sz w:val="24"/>
              </w:rPr>
              <w:t>in</w:t>
            </w:r>
            <w:r>
              <w:rPr>
                <w:color w:val="231F20"/>
                <w:spacing w:val="-5"/>
                <w:sz w:val="24"/>
              </w:rPr>
              <w:t xml:space="preserve"> </w:t>
            </w:r>
            <w:r>
              <w:rPr>
                <w:color w:val="231F20"/>
                <w:sz w:val="24"/>
              </w:rPr>
              <w:t>the</w:t>
            </w:r>
            <w:r>
              <w:rPr>
                <w:color w:val="231F20"/>
                <w:spacing w:val="-4"/>
                <w:sz w:val="24"/>
              </w:rPr>
              <w:t xml:space="preserve"> </w:t>
            </w:r>
            <w:r>
              <w:rPr>
                <w:color w:val="231F20"/>
                <w:sz w:val="24"/>
              </w:rPr>
              <w:t>financial</w:t>
            </w:r>
            <w:r>
              <w:rPr>
                <w:color w:val="231F20"/>
                <w:spacing w:val="-4"/>
                <w:sz w:val="24"/>
              </w:rPr>
              <w:t xml:space="preserve"> </w:t>
            </w:r>
            <w:r>
              <w:rPr>
                <w:color w:val="231F20"/>
                <w:sz w:val="24"/>
              </w:rPr>
              <w:t>year</w:t>
            </w:r>
            <w:r>
              <w:rPr>
                <w:color w:val="231F20"/>
                <w:spacing w:val="-4"/>
                <w:sz w:val="24"/>
              </w:rPr>
              <w:t xml:space="preserve"> </w:t>
            </w:r>
            <w:r>
              <w:rPr>
                <w:color w:val="231F20"/>
                <w:sz w:val="24"/>
              </w:rPr>
              <w:t>ending on the immediately preceding</w:t>
            </w:r>
            <w:r>
              <w:rPr>
                <w:color w:val="231F20"/>
                <w:spacing w:val="40"/>
                <w:sz w:val="24"/>
              </w:rPr>
              <w:t xml:space="preserve"> </w:t>
            </w:r>
            <w:r>
              <w:rPr>
                <w:color w:val="231F20"/>
                <w:sz w:val="24"/>
              </w:rPr>
              <w:t>30 June [2022]</w:t>
            </w:r>
          </w:p>
        </w:tc>
        <w:tc>
          <w:tcPr>
            <w:tcW w:w="1700" w:type="dxa"/>
            <w:tcBorders>
              <w:right w:val="nil"/>
            </w:tcBorders>
          </w:tcPr>
          <w:p w14:paraId="70EA0C36" w14:textId="77777777" w:rsidR="00345EE3" w:rsidRDefault="00345EE3" w:rsidP="00D73130">
            <w:pPr>
              <w:pStyle w:val="TableParagraph"/>
              <w:ind w:right="-15"/>
              <w:rPr>
                <w:sz w:val="24"/>
              </w:rPr>
            </w:pPr>
            <w:r>
              <w:rPr>
                <w:color w:val="231F20"/>
                <w:spacing w:val="-5"/>
                <w:sz w:val="24"/>
              </w:rPr>
              <w:t>22</w:t>
            </w:r>
          </w:p>
        </w:tc>
      </w:tr>
      <w:tr w:rsidR="00345EE3" w14:paraId="47EA59E6" w14:textId="77777777" w:rsidTr="00D73130">
        <w:trPr>
          <w:trHeight w:val="676"/>
        </w:trPr>
        <w:tc>
          <w:tcPr>
            <w:tcW w:w="1417" w:type="dxa"/>
            <w:tcBorders>
              <w:left w:val="nil"/>
            </w:tcBorders>
          </w:tcPr>
          <w:p w14:paraId="7A0A2F2B" w14:textId="77777777" w:rsidR="00345EE3" w:rsidRDefault="00345EE3" w:rsidP="00D73130">
            <w:pPr>
              <w:pStyle w:val="TableParagraph"/>
              <w:spacing w:before="61"/>
              <w:ind w:left="-3"/>
              <w:jc w:val="left"/>
              <w:rPr>
                <w:sz w:val="24"/>
              </w:rPr>
            </w:pPr>
            <w:r>
              <w:rPr>
                <w:color w:val="231F20"/>
                <w:spacing w:val="-2"/>
                <w:sz w:val="24"/>
              </w:rPr>
              <w:t>70P(1)(bb)</w:t>
            </w:r>
          </w:p>
        </w:tc>
        <w:tc>
          <w:tcPr>
            <w:tcW w:w="7086" w:type="dxa"/>
          </w:tcPr>
          <w:p w14:paraId="73C07ADB" w14:textId="77777777" w:rsidR="00345EE3" w:rsidRDefault="00345EE3" w:rsidP="00D73130">
            <w:pPr>
              <w:pStyle w:val="TableParagraph"/>
              <w:spacing w:before="61" w:line="242" w:lineRule="auto"/>
              <w:ind w:right="88"/>
              <w:jc w:val="left"/>
              <w:rPr>
                <w:sz w:val="24"/>
              </w:rPr>
            </w:pPr>
            <w:r>
              <w:rPr>
                <w:color w:val="231F20"/>
                <w:sz w:val="24"/>
              </w:rPr>
              <w:t>The</w:t>
            </w:r>
            <w:r>
              <w:rPr>
                <w:color w:val="231F20"/>
                <w:spacing w:val="-4"/>
                <w:sz w:val="24"/>
              </w:rPr>
              <w:t xml:space="preserve"> </w:t>
            </w:r>
            <w:r>
              <w:rPr>
                <w:color w:val="231F20"/>
                <w:sz w:val="24"/>
              </w:rPr>
              <w:t>number</w:t>
            </w:r>
            <w:r>
              <w:rPr>
                <w:color w:val="231F20"/>
                <w:spacing w:val="-5"/>
                <w:sz w:val="24"/>
              </w:rPr>
              <w:t xml:space="preserve"> </w:t>
            </w:r>
            <w:r>
              <w:rPr>
                <w:color w:val="231F20"/>
                <w:sz w:val="24"/>
              </w:rPr>
              <w:t>of</w:t>
            </w:r>
            <w:r>
              <w:rPr>
                <w:color w:val="231F20"/>
                <w:spacing w:val="-5"/>
                <w:sz w:val="24"/>
              </w:rPr>
              <w:t xml:space="preserve"> </w:t>
            </w:r>
            <w:r>
              <w:rPr>
                <w:color w:val="231F20"/>
                <w:sz w:val="24"/>
              </w:rPr>
              <w:t>registration</w:t>
            </w:r>
            <w:r>
              <w:rPr>
                <w:color w:val="231F20"/>
                <w:spacing w:val="-4"/>
                <w:sz w:val="24"/>
              </w:rPr>
              <w:t xml:space="preserve"> </w:t>
            </w:r>
            <w:r>
              <w:rPr>
                <w:color w:val="231F20"/>
                <w:sz w:val="24"/>
              </w:rPr>
              <w:t>orders</w:t>
            </w:r>
            <w:r>
              <w:rPr>
                <w:color w:val="231F20"/>
                <w:spacing w:val="-5"/>
                <w:sz w:val="24"/>
              </w:rPr>
              <w:t xml:space="preserve"> </w:t>
            </w:r>
            <w:r>
              <w:rPr>
                <w:color w:val="231F20"/>
                <w:sz w:val="24"/>
              </w:rPr>
              <w:t>made</w:t>
            </w:r>
            <w:r>
              <w:rPr>
                <w:color w:val="231F20"/>
                <w:spacing w:val="-4"/>
                <w:sz w:val="24"/>
              </w:rPr>
              <w:t xml:space="preserve"> </w:t>
            </w:r>
            <w:r>
              <w:rPr>
                <w:color w:val="231F20"/>
                <w:sz w:val="24"/>
              </w:rPr>
              <w:t>in</w:t>
            </w:r>
            <w:r>
              <w:rPr>
                <w:color w:val="231F20"/>
                <w:spacing w:val="-5"/>
                <w:sz w:val="24"/>
              </w:rPr>
              <w:t xml:space="preserve"> </w:t>
            </w:r>
            <w:r>
              <w:rPr>
                <w:color w:val="231F20"/>
                <w:sz w:val="24"/>
              </w:rPr>
              <w:t>the</w:t>
            </w:r>
            <w:r>
              <w:rPr>
                <w:color w:val="231F20"/>
                <w:spacing w:val="-4"/>
                <w:sz w:val="24"/>
              </w:rPr>
              <w:t xml:space="preserve"> </w:t>
            </w:r>
            <w:r>
              <w:rPr>
                <w:color w:val="231F20"/>
                <w:sz w:val="24"/>
              </w:rPr>
              <w:t>financial</w:t>
            </w:r>
            <w:r>
              <w:rPr>
                <w:color w:val="231F20"/>
                <w:spacing w:val="-4"/>
                <w:sz w:val="24"/>
              </w:rPr>
              <w:t xml:space="preserve"> </w:t>
            </w:r>
            <w:r>
              <w:rPr>
                <w:color w:val="231F20"/>
                <w:sz w:val="24"/>
              </w:rPr>
              <w:t>year ending on the immediately preceding 30 June [2022]</w:t>
            </w:r>
          </w:p>
        </w:tc>
        <w:tc>
          <w:tcPr>
            <w:tcW w:w="1700" w:type="dxa"/>
            <w:tcBorders>
              <w:right w:val="nil"/>
            </w:tcBorders>
          </w:tcPr>
          <w:p w14:paraId="3A3615AD" w14:textId="77777777" w:rsidR="00345EE3" w:rsidRDefault="00345EE3" w:rsidP="00D73130">
            <w:pPr>
              <w:pStyle w:val="TableParagraph"/>
              <w:spacing w:before="61"/>
              <w:ind w:right="-15"/>
              <w:rPr>
                <w:sz w:val="24"/>
              </w:rPr>
            </w:pPr>
            <w:r>
              <w:rPr>
                <w:color w:val="231F20"/>
                <w:sz w:val="24"/>
              </w:rPr>
              <w:t>1</w:t>
            </w:r>
          </w:p>
        </w:tc>
      </w:tr>
      <w:tr w:rsidR="00345EE3" w14:paraId="30CFF97E" w14:textId="77777777" w:rsidTr="00D73130">
        <w:trPr>
          <w:trHeight w:val="396"/>
        </w:trPr>
        <w:tc>
          <w:tcPr>
            <w:tcW w:w="1417" w:type="dxa"/>
            <w:tcBorders>
              <w:left w:val="nil"/>
            </w:tcBorders>
          </w:tcPr>
          <w:p w14:paraId="0487B469" w14:textId="77777777" w:rsidR="00345EE3" w:rsidRDefault="00345EE3" w:rsidP="00D73130">
            <w:pPr>
              <w:pStyle w:val="TableParagraph"/>
              <w:spacing w:before="61"/>
              <w:ind w:left="-3"/>
              <w:jc w:val="left"/>
              <w:rPr>
                <w:sz w:val="24"/>
              </w:rPr>
            </w:pPr>
            <w:r>
              <w:rPr>
                <w:color w:val="231F20"/>
                <w:spacing w:val="-2"/>
                <w:sz w:val="24"/>
              </w:rPr>
              <w:t>70P(1)(c)</w:t>
            </w:r>
          </w:p>
        </w:tc>
        <w:tc>
          <w:tcPr>
            <w:tcW w:w="7086" w:type="dxa"/>
          </w:tcPr>
          <w:p w14:paraId="6520CA2D" w14:textId="77777777" w:rsidR="00345EE3" w:rsidRDefault="00345EE3" w:rsidP="00D73130">
            <w:pPr>
              <w:pStyle w:val="TableParagraph"/>
              <w:spacing w:before="61"/>
              <w:jc w:val="left"/>
              <w:rPr>
                <w:sz w:val="24"/>
              </w:rPr>
            </w:pPr>
            <w:r>
              <w:rPr>
                <w:color w:val="231F20"/>
                <w:sz w:val="24"/>
              </w:rPr>
              <w:t>Any</w:t>
            </w:r>
            <w:r>
              <w:rPr>
                <w:color w:val="231F20"/>
                <w:spacing w:val="-5"/>
                <w:sz w:val="24"/>
              </w:rPr>
              <w:t xml:space="preserve"> </w:t>
            </w:r>
            <w:r>
              <w:rPr>
                <w:color w:val="231F20"/>
                <w:sz w:val="24"/>
              </w:rPr>
              <w:t>other</w:t>
            </w:r>
            <w:r>
              <w:rPr>
                <w:color w:val="231F20"/>
                <w:spacing w:val="-5"/>
                <w:sz w:val="24"/>
              </w:rPr>
              <w:t xml:space="preserve"> </w:t>
            </w:r>
            <w:r>
              <w:rPr>
                <w:color w:val="231F20"/>
                <w:sz w:val="24"/>
              </w:rPr>
              <w:t>prescribed</w:t>
            </w:r>
            <w:r>
              <w:rPr>
                <w:color w:val="231F20"/>
                <w:spacing w:val="-5"/>
                <w:sz w:val="24"/>
              </w:rPr>
              <w:t xml:space="preserve"> </w:t>
            </w:r>
            <w:r>
              <w:rPr>
                <w:color w:val="231F20"/>
                <w:spacing w:val="-2"/>
                <w:sz w:val="24"/>
              </w:rPr>
              <w:t>information</w:t>
            </w:r>
          </w:p>
        </w:tc>
        <w:tc>
          <w:tcPr>
            <w:tcW w:w="1700" w:type="dxa"/>
            <w:tcBorders>
              <w:right w:val="nil"/>
            </w:tcBorders>
          </w:tcPr>
          <w:p w14:paraId="35F91CBB" w14:textId="77777777" w:rsidR="00345EE3" w:rsidRDefault="00345EE3" w:rsidP="00D73130">
            <w:pPr>
              <w:pStyle w:val="TableParagraph"/>
              <w:spacing w:before="61"/>
              <w:ind w:right="-15"/>
              <w:rPr>
                <w:sz w:val="24"/>
              </w:rPr>
            </w:pPr>
            <w:r>
              <w:rPr>
                <w:color w:val="231F20"/>
                <w:sz w:val="24"/>
              </w:rPr>
              <w:t>[see</w:t>
            </w:r>
            <w:r>
              <w:rPr>
                <w:color w:val="231F20"/>
                <w:spacing w:val="-18"/>
                <w:sz w:val="24"/>
              </w:rPr>
              <w:t xml:space="preserve"> </w:t>
            </w:r>
            <w:r>
              <w:rPr>
                <w:color w:val="231F20"/>
                <w:sz w:val="24"/>
              </w:rPr>
              <w:t>table</w:t>
            </w:r>
            <w:r>
              <w:rPr>
                <w:color w:val="231F20"/>
                <w:spacing w:val="-15"/>
                <w:sz w:val="24"/>
              </w:rPr>
              <w:t xml:space="preserve"> </w:t>
            </w:r>
            <w:r>
              <w:rPr>
                <w:color w:val="231F20"/>
                <w:spacing w:val="-2"/>
                <w:sz w:val="24"/>
              </w:rPr>
              <w:t>5.21]</w:t>
            </w:r>
          </w:p>
        </w:tc>
      </w:tr>
    </w:tbl>
    <w:p w14:paraId="35A31C28" w14:textId="77777777" w:rsidR="00345EE3" w:rsidRPr="00BD27F9" w:rsidRDefault="00345EE3" w:rsidP="00345EE3">
      <w:pPr>
        <w:spacing w:before="68"/>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Intelligence &amp; Covert</w:t>
      </w:r>
      <w:r w:rsidRPr="00BD27F9">
        <w:rPr>
          <w:color w:val="231F20"/>
          <w:spacing w:val="1"/>
          <w:sz w:val="18"/>
          <w:szCs w:val="18"/>
        </w:rPr>
        <w:t xml:space="preserve"> </w:t>
      </w:r>
      <w:r w:rsidRPr="00BD27F9">
        <w:rPr>
          <w:color w:val="231F20"/>
          <w:sz w:val="18"/>
          <w:szCs w:val="18"/>
        </w:rPr>
        <w:t>Support Command. Data extracted</w:t>
      </w:r>
      <w:r w:rsidRPr="00BD27F9">
        <w:rPr>
          <w:color w:val="231F20"/>
          <w:spacing w:val="1"/>
          <w:sz w:val="18"/>
          <w:szCs w:val="18"/>
        </w:rPr>
        <w:t xml:space="preserve"> </w:t>
      </w:r>
      <w:r w:rsidRPr="00BD27F9">
        <w:rPr>
          <w:color w:val="231F20"/>
          <w:sz w:val="18"/>
          <w:szCs w:val="18"/>
        </w:rPr>
        <w:t>from National Child Offender</w:t>
      </w:r>
      <w:r w:rsidRPr="00BD27F9">
        <w:rPr>
          <w:color w:val="231F20"/>
          <w:spacing w:val="1"/>
          <w:sz w:val="18"/>
          <w:szCs w:val="18"/>
        </w:rPr>
        <w:t xml:space="preserve"> </w:t>
      </w:r>
      <w:r w:rsidRPr="00BD27F9">
        <w:rPr>
          <w:color w:val="231F20"/>
          <w:sz w:val="18"/>
          <w:szCs w:val="18"/>
        </w:rPr>
        <w:t>System on 5 July</w:t>
      </w:r>
      <w:r w:rsidRPr="00BD27F9">
        <w:rPr>
          <w:color w:val="231F20"/>
          <w:spacing w:val="1"/>
          <w:sz w:val="18"/>
          <w:szCs w:val="18"/>
        </w:rPr>
        <w:t xml:space="preserve"> </w:t>
      </w:r>
      <w:r w:rsidRPr="00BD27F9">
        <w:rPr>
          <w:color w:val="231F20"/>
          <w:spacing w:val="-2"/>
          <w:sz w:val="18"/>
          <w:szCs w:val="18"/>
        </w:rPr>
        <w:t>2022.</w:t>
      </w:r>
    </w:p>
    <w:p w14:paraId="4D7C0C03" w14:textId="77777777" w:rsidR="00345EE3" w:rsidRDefault="00345EE3" w:rsidP="00345EE3">
      <w:pPr>
        <w:pStyle w:val="BodyText"/>
        <w:spacing w:before="7"/>
        <w:rPr>
          <w:sz w:val="12"/>
        </w:rPr>
      </w:pPr>
    </w:p>
    <w:p w14:paraId="2AE5B4FE" w14:textId="77777777" w:rsidR="00345EE3" w:rsidRDefault="00345EE3" w:rsidP="00345EE3">
      <w:pPr>
        <w:spacing w:after="45" w:line="266" w:lineRule="auto"/>
        <w:ind w:left="110" w:right="921"/>
        <w:rPr>
          <w:rFonts w:ascii="Arial-BoldItalicMT" w:hAnsi="Arial-BoldItalicMT"/>
          <w:b/>
          <w:i/>
          <w:sz w:val="18"/>
        </w:rPr>
      </w:pPr>
      <w:r>
        <w:rPr>
          <w:color w:val="231F20"/>
          <w:sz w:val="18"/>
        </w:rPr>
        <w:t>Table</w:t>
      </w:r>
      <w:r>
        <w:rPr>
          <w:color w:val="231F20"/>
          <w:spacing w:val="-4"/>
          <w:sz w:val="18"/>
        </w:rPr>
        <w:t xml:space="preserve"> </w:t>
      </w:r>
      <w:r>
        <w:rPr>
          <w:color w:val="231F20"/>
          <w:sz w:val="18"/>
        </w:rPr>
        <w:t>5.21:</w:t>
      </w:r>
      <w:r>
        <w:rPr>
          <w:color w:val="231F20"/>
          <w:spacing w:val="-4"/>
          <w:sz w:val="18"/>
        </w:rPr>
        <w:t xml:space="preserve"> </w:t>
      </w:r>
      <w:r>
        <w:rPr>
          <w:rFonts w:ascii="Arial-BoldItalicMT" w:hAnsi="Arial-BoldItalicMT"/>
          <w:b/>
          <w:i/>
          <w:color w:val="231F20"/>
          <w:sz w:val="18"/>
        </w:rPr>
        <w:t>Any</w:t>
      </w:r>
      <w:r>
        <w:rPr>
          <w:rFonts w:ascii="Arial-BoldItalicMT" w:hAnsi="Arial-BoldItalicMT"/>
          <w:b/>
          <w:i/>
          <w:color w:val="231F20"/>
          <w:spacing w:val="-7"/>
          <w:sz w:val="18"/>
        </w:rPr>
        <w:t xml:space="preserve"> </w:t>
      </w:r>
      <w:r>
        <w:rPr>
          <w:rFonts w:ascii="Arial-BoldItalicMT" w:hAnsi="Arial-BoldItalicMT"/>
          <w:b/>
          <w:i/>
          <w:color w:val="231F20"/>
          <w:sz w:val="18"/>
        </w:rPr>
        <w:t>other</w:t>
      </w:r>
      <w:r>
        <w:rPr>
          <w:rFonts w:ascii="Arial-BoldItalicMT" w:hAnsi="Arial-BoldItalicMT"/>
          <w:b/>
          <w:i/>
          <w:color w:val="231F20"/>
          <w:spacing w:val="-7"/>
          <w:sz w:val="18"/>
        </w:rPr>
        <w:t xml:space="preserve"> </w:t>
      </w:r>
      <w:r>
        <w:rPr>
          <w:rFonts w:ascii="Arial-BoldItalicMT" w:hAnsi="Arial-BoldItalicMT"/>
          <w:b/>
          <w:i/>
          <w:color w:val="231F20"/>
          <w:sz w:val="18"/>
        </w:rPr>
        <w:t>Prescribed</w:t>
      </w:r>
      <w:r>
        <w:rPr>
          <w:rFonts w:ascii="Arial-BoldItalicMT" w:hAnsi="Arial-BoldItalicMT"/>
          <w:b/>
          <w:i/>
          <w:color w:val="231F20"/>
          <w:spacing w:val="-7"/>
          <w:sz w:val="18"/>
        </w:rPr>
        <w:t xml:space="preserve"> </w:t>
      </w:r>
      <w:r>
        <w:rPr>
          <w:rFonts w:ascii="Arial-BoldItalicMT" w:hAnsi="Arial-BoldItalicMT"/>
          <w:b/>
          <w:i/>
          <w:color w:val="231F20"/>
          <w:sz w:val="18"/>
        </w:rPr>
        <w:t>information</w:t>
      </w:r>
      <w:r>
        <w:rPr>
          <w:rFonts w:ascii="Arial-BoldItalicMT" w:hAnsi="Arial-BoldItalicMT"/>
          <w:b/>
          <w:i/>
          <w:color w:val="231F20"/>
          <w:spacing w:val="-7"/>
          <w:sz w:val="18"/>
        </w:rPr>
        <w:t xml:space="preserve"> </w:t>
      </w:r>
      <w:r>
        <w:rPr>
          <w:rFonts w:ascii="Arial-BoldItalicMT" w:hAnsi="Arial-BoldItalicMT"/>
          <w:b/>
          <w:i/>
          <w:color w:val="231F20"/>
          <w:sz w:val="18"/>
        </w:rPr>
        <w:t>in</w:t>
      </w:r>
      <w:r>
        <w:rPr>
          <w:rFonts w:ascii="Arial-BoldItalicMT" w:hAnsi="Arial-BoldItalicMT"/>
          <w:b/>
          <w:i/>
          <w:color w:val="231F20"/>
          <w:spacing w:val="-7"/>
          <w:sz w:val="18"/>
        </w:rPr>
        <w:t xml:space="preserve"> </w:t>
      </w:r>
      <w:r>
        <w:rPr>
          <w:rFonts w:ascii="Arial-BoldItalicMT" w:hAnsi="Arial-BoldItalicMT"/>
          <w:b/>
          <w:i/>
          <w:color w:val="231F20"/>
          <w:sz w:val="18"/>
        </w:rPr>
        <w:t>the</w:t>
      </w:r>
      <w:r>
        <w:rPr>
          <w:rFonts w:ascii="Arial-BoldItalicMT" w:hAnsi="Arial-BoldItalicMT"/>
          <w:b/>
          <w:i/>
          <w:color w:val="231F20"/>
          <w:spacing w:val="-7"/>
          <w:sz w:val="18"/>
        </w:rPr>
        <w:t xml:space="preserve"> </w:t>
      </w:r>
      <w:r>
        <w:rPr>
          <w:rFonts w:ascii="Arial-BoldItalicMT" w:hAnsi="Arial-BoldItalicMT"/>
          <w:b/>
          <w:i/>
          <w:color w:val="231F20"/>
          <w:sz w:val="18"/>
        </w:rPr>
        <w:t>Sex</w:t>
      </w:r>
      <w:r>
        <w:rPr>
          <w:rFonts w:ascii="Arial-BoldItalicMT" w:hAnsi="Arial-BoldItalicMT"/>
          <w:b/>
          <w:i/>
          <w:color w:val="231F20"/>
          <w:spacing w:val="-7"/>
          <w:sz w:val="18"/>
        </w:rPr>
        <w:t xml:space="preserve"> </w:t>
      </w:r>
      <w:r>
        <w:rPr>
          <w:rFonts w:ascii="Arial-BoldItalicMT" w:hAnsi="Arial-BoldItalicMT"/>
          <w:b/>
          <w:i/>
          <w:color w:val="231F20"/>
          <w:sz w:val="18"/>
        </w:rPr>
        <w:t>Offenders</w:t>
      </w:r>
      <w:r>
        <w:rPr>
          <w:rFonts w:ascii="Arial-BoldItalicMT" w:hAnsi="Arial-BoldItalicMT"/>
          <w:b/>
          <w:i/>
          <w:color w:val="231F20"/>
          <w:spacing w:val="-7"/>
          <w:sz w:val="18"/>
        </w:rPr>
        <w:t xml:space="preserve"> </w:t>
      </w:r>
      <w:r>
        <w:rPr>
          <w:rFonts w:ascii="Arial-BoldItalicMT" w:hAnsi="Arial-BoldItalicMT"/>
          <w:b/>
          <w:i/>
          <w:color w:val="231F20"/>
          <w:sz w:val="18"/>
        </w:rPr>
        <w:t>Registration</w:t>
      </w:r>
      <w:r>
        <w:rPr>
          <w:rFonts w:ascii="Arial-BoldItalicMT" w:hAnsi="Arial-BoldItalicMT"/>
          <w:b/>
          <w:i/>
          <w:color w:val="231F20"/>
          <w:spacing w:val="-7"/>
          <w:sz w:val="18"/>
        </w:rPr>
        <w:t xml:space="preserve"> </w:t>
      </w:r>
      <w:r>
        <w:rPr>
          <w:rFonts w:ascii="Arial-BoldItalicMT" w:hAnsi="Arial-BoldItalicMT"/>
          <w:b/>
          <w:i/>
          <w:color w:val="231F20"/>
          <w:sz w:val="18"/>
        </w:rPr>
        <w:t>Regulations</w:t>
      </w:r>
      <w:r>
        <w:rPr>
          <w:rFonts w:ascii="Arial-BoldItalicMT" w:hAnsi="Arial-BoldItalicMT"/>
          <w:b/>
          <w:i/>
          <w:color w:val="231F20"/>
          <w:spacing w:val="-7"/>
          <w:sz w:val="18"/>
        </w:rPr>
        <w:t xml:space="preserve"> </w:t>
      </w:r>
      <w:r>
        <w:rPr>
          <w:rFonts w:ascii="Arial-BoldItalicMT" w:hAnsi="Arial-BoldItalicMT"/>
          <w:b/>
          <w:i/>
          <w:color w:val="231F20"/>
          <w:sz w:val="18"/>
        </w:rPr>
        <w:t>2014</w:t>
      </w:r>
      <w:r>
        <w:rPr>
          <w:rFonts w:ascii="Arial-BoldItalicMT" w:hAnsi="Arial-BoldItalicMT"/>
          <w:b/>
          <w:i/>
          <w:color w:val="231F20"/>
          <w:spacing w:val="-7"/>
          <w:sz w:val="18"/>
        </w:rPr>
        <w:t xml:space="preserve"> </w:t>
      </w:r>
      <w:r>
        <w:rPr>
          <w:rFonts w:ascii="Arial-BoldItalicMT" w:hAnsi="Arial-BoldItalicMT"/>
          <w:b/>
          <w:i/>
          <w:color w:val="231F20"/>
          <w:sz w:val="18"/>
        </w:rPr>
        <w:t>for</w:t>
      </w:r>
      <w:r>
        <w:rPr>
          <w:rFonts w:ascii="Arial-BoldItalicMT" w:hAnsi="Arial-BoldItalicMT"/>
          <w:b/>
          <w:i/>
          <w:color w:val="231F20"/>
          <w:spacing w:val="-7"/>
          <w:sz w:val="18"/>
        </w:rPr>
        <w:t xml:space="preserve"> </w:t>
      </w:r>
      <w:r>
        <w:rPr>
          <w:rFonts w:ascii="Arial-BoldItalicMT" w:hAnsi="Arial-BoldItalicMT"/>
          <w:b/>
          <w:i/>
          <w:color w:val="231F20"/>
          <w:sz w:val="18"/>
        </w:rPr>
        <w:t>2021–22</w:t>
      </w:r>
      <w:r>
        <w:rPr>
          <w:rFonts w:ascii="Arial-BoldItalicMT" w:hAnsi="Arial-BoldItalicMT"/>
          <w:b/>
          <w:i/>
          <w:color w:val="231F20"/>
          <w:spacing w:val="-7"/>
          <w:sz w:val="18"/>
        </w:rPr>
        <w:t xml:space="preserve"> </w:t>
      </w:r>
      <w:r>
        <w:rPr>
          <w:rFonts w:ascii="Arial-BoldItalicMT" w:hAnsi="Arial-BoldItalicMT"/>
          <w:b/>
          <w:i/>
          <w:color w:val="231F20"/>
          <w:sz w:val="18"/>
        </w:rPr>
        <w:t xml:space="preserve">Financial </w:t>
      </w:r>
      <w:r>
        <w:rPr>
          <w:rFonts w:ascii="Arial-BoldItalicMT" w:hAnsi="Arial-BoldItalicMT"/>
          <w:b/>
          <w:i/>
          <w:color w:val="231F20"/>
          <w:spacing w:val="-4"/>
          <w:sz w:val="18"/>
        </w:rPr>
        <w:t>Year</w:t>
      </w:r>
    </w:p>
    <w:tbl>
      <w:tblPr>
        <w:tblW w:w="0" w:type="auto"/>
        <w:tblInd w:w="117" w:type="dxa"/>
        <w:tblLayout w:type="fixed"/>
        <w:tblCellMar>
          <w:left w:w="0" w:type="dxa"/>
          <w:right w:w="0" w:type="dxa"/>
        </w:tblCellMar>
        <w:tblLook w:val="01E0" w:firstRow="1" w:lastRow="1" w:firstColumn="1" w:lastColumn="1" w:noHBand="0" w:noVBand="0"/>
      </w:tblPr>
      <w:tblGrid>
        <w:gridCol w:w="10205"/>
      </w:tblGrid>
      <w:tr w:rsidR="00345EE3" w14:paraId="1BB87E24" w14:textId="77777777" w:rsidTr="00D73130">
        <w:trPr>
          <w:trHeight w:val="401"/>
        </w:trPr>
        <w:tc>
          <w:tcPr>
            <w:tcW w:w="10205" w:type="dxa"/>
            <w:shd w:val="clear" w:color="auto" w:fill="00529F"/>
          </w:tcPr>
          <w:p w14:paraId="495D4F50" w14:textId="77777777" w:rsidR="00345EE3" w:rsidRDefault="00345EE3" w:rsidP="00D73130">
            <w:pPr>
              <w:pStyle w:val="TableParagraph"/>
              <w:spacing w:before="63"/>
              <w:ind w:right="1"/>
              <w:rPr>
                <w:b/>
                <w:sz w:val="24"/>
              </w:rPr>
            </w:pPr>
            <w:r>
              <w:rPr>
                <w:b/>
                <w:color w:val="FFFFFF"/>
                <w:spacing w:val="-2"/>
                <w:sz w:val="24"/>
              </w:rPr>
              <w:t>Number</w:t>
            </w:r>
          </w:p>
        </w:tc>
      </w:tr>
      <w:tr w:rsidR="00345EE3" w14:paraId="1CB26D6A" w14:textId="77777777" w:rsidTr="00D73130">
        <w:trPr>
          <w:trHeight w:val="676"/>
        </w:trPr>
        <w:tc>
          <w:tcPr>
            <w:tcW w:w="10205" w:type="dxa"/>
            <w:tcBorders>
              <w:bottom w:val="single" w:sz="2" w:space="0" w:color="939598"/>
            </w:tcBorders>
            <w:shd w:val="clear" w:color="auto" w:fill="D1D3D4"/>
          </w:tcPr>
          <w:p w14:paraId="0FCBE8E6" w14:textId="77777777" w:rsidR="00345EE3" w:rsidRDefault="00345EE3" w:rsidP="00D73130">
            <w:pPr>
              <w:pStyle w:val="TableParagraph"/>
              <w:spacing w:line="242" w:lineRule="auto"/>
              <w:jc w:val="left"/>
              <w:rPr>
                <w:b/>
                <w:sz w:val="24"/>
              </w:rPr>
            </w:pPr>
            <w:r>
              <w:rPr>
                <w:b/>
                <w:color w:val="231F20"/>
                <w:sz w:val="24"/>
              </w:rPr>
              <w:t>38(a)</w:t>
            </w:r>
            <w:r>
              <w:rPr>
                <w:b/>
                <w:color w:val="231F20"/>
                <w:spacing w:val="-4"/>
                <w:sz w:val="24"/>
              </w:rPr>
              <w:t xml:space="preserve"> </w:t>
            </w:r>
            <w:r>
              <w:rPr>
                <w:b/>
                <w:color w:val="231F20"/>
                <w:sz w:val="24"/>
              </w:rPr>
              <w:t>with</w:t>
            </w:r>
            <w:r>
              <w:rPr>
                <w:b/>
                <w:color w:val="231F20"/>
                <w:spacing w:val="-3"/>
                <w:sz w:val="24"/>
              </w:rPr>
              <w:t xml:space="preserve"> </w:t>
            </w:r>
            <w:r>
              <w:rPr>
                <w:b/>
                <w:color w:val="231F20"/>
                <w:sz w:val="24"/>
              </w:rPr>
              <w:t>respect</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total</w:t>
            </w:r>
            <w:r>
              <w:rPr>
                <w:b/>
                <w:color w:val="231F20"/>
                <w:spacing w:val="-3"/>
                <w:sz w:val="24"/>
              </w:rPr>
              <w:t xml:space="preserve"> </w:t>
            </w:r>
            <w:r>
              <w:rPr>
                <w:b/>
                <w:color w:val="231F20"/>
                <w:sz w:val="24"/>
              </w:rPr>
              <w:t>number</w:t>
            </w:r>
            <w:r>
              <w:rPr>
                <w:b/>
                <w:color w:val="231F20"/>
                <w:spacing w:val="-3"/>
                <w:sz w:val="24"/>
              </w:rPr>
              <w:t xml:space="preserve"> </w:t>
            </w:r>
            <w:r>
              <w:rPr>
                <w:b/>
                <w:color w:val="231F20"/>
                <w:sz w:val="24"/>
              </w:rPr>
              <w:t>of</w:t>
            </w:r>
            <w:r>
              <w:rPr>
                <w:b/>
                <w:color w:val="231F20"/>
                <w:spacing w:val="-3"/>
                <w:sz w:val="24"/>
              </w:rPr>
              <w:t xml:space="preserve"> </w:t>
            </w:r>
            <w:r>
              <w:rPr>
                <w:b/>
                <w:color w:val="231F20"/>
                <w:sz w:val="24"/>
              </w:rPr>
              <w:t>registrable</w:t>
            </w:r>
            <w:r>
              <w:rPr>
                <w:b/>
                <w:color w:val="231F20"/>
                <w:spacing w:val="-4"/>
                <w:sz w:val="24"/>
              </w:rPr>
              <w:t xml:space="preserve"> </w:t>
            </w:r>
            <w:r>
              <w:rPr>
                <w:b/>
                <w:color w:val="231F20"/>
                <w:sz w:val="24"/>
              </w:rPr>
              <w:t>offenders</w:t>
            </w:r>
            <w:r>
              <w:rPr>
                <w:b/>
                <w:color w:val="231F20"/>
                <w:spacing w:val="-3"/>
                <w:sz w:val="24"/>
              </w:rPr>
              <w:t xml:space="preserve"> </w:t>
            </w:r>
            <w:r>
              <w:rPr>
                <w:b/>
                <w:color w:val="231F20"/>
                <w:sz w:val="24"/>
              </w:rPr>
              <w:t>included</w:t>
            </w:r>
            <w:r>
              <w:rPr>
                <w:b/>
                <w:color w:val="231F20"/>
                <w:spacing w:val="-3"/>
                <w:sz w:val="24"/>
              </w:rPr>
              <w:t xml:space="preserve"> </w:t>
            </w:r>
            <w:r>
              <w:rPr>
                <w:b/>
                <w:color w:val="231F20"/>
                <w:sz w:val="24"/>
              </w:rPr>
              <w:t>in</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Register</w:t>
            </w:r>
            <w:r>
              <w:rPr>
                <w:b/>
                <w:color w:val="231F20"/>
                <w:spacing w:val="-4"/>
                <w:sz w:val="24"/>
              </w:rPr>
              <w:t xml:space="preserve"> </w:t>
            </w:r>
            <w:r>
              <w:rPr>
                <w:b/>
                <w:color w:val="231F20"/>
                <w:sz w:val="24"/>
              </w:rPr>
              <w:t>as at the immediately preceding 30 June [2022]</w:t>
            </w:r>
          </w:p>
        </w:tc>
      </w:tr>
    </w:tbl>
    <w:p w14:paraId="041C3548" w14:textId="77777777" w:rsidR="00345EE3" w:rsidRDefault="00345EE3" w:rsidP="00345EE3">
      <w:pPr>
        <w:pStyle w:val="BodyText"/>
        <w:spacing w:before="64"/>
      </w:pPr>
      <w:r>
        <w:rPr>
          <w:color w:val="231F20"/>
        </w:rPr>
        <w:t>The</w:t>
      </w:r>
      <w:r>
        <w:rPr>
          <w:color w:val="231F20"/>
          <w:spacing w:val="-3"/>
        </w:rPr>
        <w:t xml:space="preserve"> </w:t>
      </w:r>
      <w:r>
        <w:rPr>
          <w:color w:val="231F20"/>
        </w:rPr>
        <w:t>number</w:t>
      </w:r>
      <w:r>
        <w:rPr>
          <w:color w:val="231F20"/>
          <w:spacing w:val="-3"/>
        </w:rPr>
        <w:t xml:space="preserve"> </w:t>
      </w:r>
      <w:r>
        <w:rPr>
          <w:color w:val="231F20"/>
        </w:rPr>
        <w:t>of</w:t>
      </w:r>
      <w:r>
        <w:rPr>
          <w:color w:val="231F20"/>
          <w:spacing w:val="-3"/>
        </w:rPr>
        <w:t xml:space="preserve"> </w:t>
      </w:r>
      <w:r>
        <w:rPr>
          <w:color w:val="231F20"/>
        </w:rPr>
        <w:t>registrable</w:t>
      </w:r>
      <w:r>
        <w:rPr>
          <w:color w:val="231F20"/>
          <w:spacing w:val="-2"/>
        </w:rPr>
        <w:t xml:space="preserve"> </w:t>
      </w:r>
      <w:r>
        <w:rPr>
          <w:color w:val="231F20"/>
        </w:rPr>
        <w:t>offenders</w:t>
      </w:r>
      <w:r>
        <w:rPr>
          <w:color w:val="231F20"/>
          <w:spacing w:val="-2"/>
        </w:rPr>
        <w:t xml:space="preserve"> </w:t>
      </w:r>
      <w:r>
        <w:rPr>
          <w:color w:val="231F20"/>
        </w:rPr>
        <w:t>by</w:t>
      </w:r>
      <w:r>
        <w:rPr>
          <w:color w:val="231F20"/>
          <w:spacing w:val="-3"/>
        </w:rPr>
        <w:t xml:space="preserve"> </w:t>
      </w:r>
      <w:r>
        <w:rPr>
          <w:color w:val="231F20"/>
          <w:spacing w:val="-2"/>
        </w:rPr>
        <w:t>gender:</w:t>
      </w:r>
    </w:p>
    <w:p w14:paraId="4934C05B" w14:textId="77777777" w:rsidR="00345EE3" w:rsidRDefault="00345EE3" w:rsidP="00345EE3">
      <w:pPr>
        <w:pStyle w:val="BodyText"/>
        <w:spacing w:before="2"/>
        <w:rPr>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8504"/>
        <w:gridCol w:w="1701"/>
      </w:tblGrid>
      <w:tr w:rsidR="00345EE3" w14:paraId="7C84B96D" w14:textId="77777777" w:rsidTr="00D73130">
        <w:trPr>
          <w:trHeight w:val="396"/>
        </w:trPr>
        <w:tc>
          <w:tcPr>
            <w:tcW w:w="8504" w:type="dxa"/>
            <w:tcBorders>
              <w:left w:val="nil"/>
            </w:tcBorders>
          </w:tcPr>
          <w:p w14:paraId="07C43B8D" w14:textId="77777777" w:rsidR="00345EE3" w:rsidRDefault="00345EE3">
            <w:pPr>
              <w:pStyle w:val="TableParagraph"/>
              <w:numPr>
                <w:ilvl w:val="0"/>
                <w:numId w:val="72"/>
              </w:numPr>
              <w:tabs>
                <w:tab w:val="left" w:pos="280"/>
                <w:tab w:val="left" w:pos="281"/>
              </w:tabs>
              <w:jc w:val="left"/>
              <w:rPr>
                <w:sz w:val="24"/>
              </w:rPr>
            </w:pPr>
            <w:r>
              <w:rPr>
                <w:color w:val="231F20"/>
                <w:spacing w:val="-4"/>
                <w:sz w:val="24"/>
              </w:rPr>
              <w:t>Male</w:t>
            </w:r>
          </w:p>
        </w:tc>
        <w:tc>
          <w:tcPr>
            <w:tcW w:w="1701" w:type="dxa"/>
            <w:tcBorders>
              <w:right w:val="nil"/>
            </w:tcBorders>
          </w:tcPr>
          <w:p w14:paraId="0E2D578F" w14:textId="77777777" w:rsidR="00345EE3" w:rsidRDefault="00345EE3" w:rsidP="00D73130">
            <w:pPr>
              <w:pStyle w:val="TableParagraph"/>
              <w:rPr>
                <w:sz w:val="24"/>
              </w:rPr>
            </w:pPr>
            <w:r>
              <w:rPr>
                <w:color w:val="231F20"/>
                <w:spacing w:val="-2"/>
                <w:sz w:val="24"/>
              </w:rPr>
              <w:t>9,422</w:t>
            </w:r>
          </w:p>
        </w:tc>
      </w:tr>
      <w:tr w:rsidR="00345EE3" w14:paraId="5DEA495C" w14:textId="77777777" w:rsidTr="00D73130">
        <w:trPr>
          <w:trHeight w:val="396"/>
        </w:trPr>
        <w:tc>
          <w:tcPr>
            <w:tcW w:w="8504" w:type="dxa"/>
            <w:tcBorders>
              <w:left w:val="nil"/>
            </w:tcBorders>
          </w:tcPr>
          <w:p w14:paraId="0ACA7872" w14:textId="77777777" w:rsidR="00345EE3" w:rsidRDefault="00345EE3">
            <w:pPr>
              <w:pStyle w:val="TableParagraph"/>
              <w:numPr>
                <w:ilvl w:val="0"/>
                <w:numId w:val="71"/>
              </w:numPr>
              <w:tabs>
                <w:tab w:val="left" w:pos="280"/>
                <w:tab w:val="left" w:pos="281"/>
              </w:tabs>
              <w:jc w:val="left"/>
              <w:rPr>
                <w:sz w:val="24"/>
              </w:rPr>
            </w:pPr>
            <w:r>
              <w:rPr>
                <w:color w:val="231F20"/>
                <w:spacing w:val="-2"/>
                <w:sz w:val="24"/>
              </w:rPr>
              <w:t>Female</w:t>
            </w:r>
          </w:p>
        </w:tc>
        <w:tc>
          <w:tcPr>
            <w:tcW w:w="1701" w:type="dxa"/>
            <w:tcBorders>
              <w:right w:val="nil"/>
            </w:tcBorders>
          </w:tcPr>
          <w:p w14:paraId="147B6BFB" w14:textId="77777777" w:rsidR="00345EE3" w:rsidRDefault="00345EE3" w:rsidP="00D73130">
            <w:pPr>
              <w:pStyle w:val="TableParagraph"/>
              <w:rPr>
                <w:sz w:val="24"/>
              </w:rPr>
            </w:pPr>
            <w:r>
              <w:rPr>
                <w:color w:val="231F20"/>
                <w:spacing w:val="-5"/>
                <w:sz w:val="24"/>
              </w:rPr>
              <w:t>202</w:t>
            </w:r>
          </w:p>
        </w:tc>
      </w:tr>
      <w:tr w:rsidR="00345EE3" w14:paraId="4086A774" w14:textId="77777777" w:rsidTr="00D73130">
        <w:trPr>
          <w:trHeight w:val="396"/>
        </w:trPr>
        <w:tc>
          <w:tcPr>
            <w:tcW w:w="8504" w:type="dxa"/>
            <w:tcBorders>
              <w:left w:val="nil"/>
            </w:tcBorders>
          </w:tcPr>
          <w:p w14:paraId="000D2BB6" w14:textId="77777777" w:rsidR="00345EE3" w:rsidRDefault="00345EE3">
            <w:pPr>
              <w:pStyle w:val="TableParagraph"/>
              <w:numPr>
                <w:ilvl w:val="0"/>
                <w:numId w:val="70"/>
              </w:numPr>
              <w:tabs>
                <w:tab w:val="left" w:pos="280"/>
                <w:tab w:val="left" w:pos="281"/>
              </w:tabs>
              <w:jc w:val="left"/>
              <w:rPr>
                <w:sz w:val="24"/>
              </w:rPr>
            </w:pPr>
            <w:r>
              <w:rPr>
                <w:color w:val="231F20"/>
                <w:spacing w:val="-2"/>
                <w:sz w:val="24"/>
              </w:rPr>
              <w:t>Self-identified</w:t>
            </w:r>
          </w:p>
        </w:tc>
        <w:tc>
          <w:tcPr>
            <w:tcW w:w="1701" w:type="dxa"/>
            <w:tcBorders>
              <w:right w:val="nil"/>
            </w:tcBorders>
          </w:tcPr>
          <w:p w14:paraId="14529E11" w14:textId="77777777" w:rsidR="00345EE3" w:rsidRDefault="00345EE3" w:rsidP="00D73130">
            <w:pPr>
              <w:pStyle w:val="TableParagraph"/>
              <w:ind w:right="-15"/>
              <w:rPr>
                <w:sz w:val="24"/>
              </w:rPr>
            </w:pPr>
            <w:r>
              <w:rPr>
                <w:color w:val="231F20"/>
                <w:sz w:val="24"/>
              </w:rPr>
              <w:t>3</w:t>
            </w:r>
          </w:p>
        </w:tc>
      </w:tr>
      <w:tr w:rsidR="00345EE3" w14:paraId="77A59F55" w14:textId="77777777" w:rsidTr="00D73130">
        <w:trPr>
          <w:trHeight w:val="396"/>
        </w:trPr>
        <w:tc>
          <w:tcPr>
            <w:tcW w:w="8504" w:type="dxa"/>
            <w:tcBorders>
              <w:left w:val="nil"/>
            </w:tcBorders>
          </w:tcPr>
          <w:p w14:paraId="08D2D3E5" w14:textId="77777777" w:rsidR="00345EE3" w:rsidRDefault="00345EE3" w:rsidP="00D73130">
            <w:pPr>
              <w:pStyle w:val="TableParagraph"/>
              <w:ind w:left="-3"/>
              <w:jc w:val="left"/>
              <w:rPr>
                <w:sz w:val="24"/>
              </w:rPr>
            </w:pPr>
            <w:r>
              <w:rPr>
                <w:color w:val="231F20"/>
                <w:sz w:val="24"/>
              </w:rPr>
              <w:t>The</w:t>
            </w:r>
            <w:r>
              <w:rPr>
                <w:color w:val="231F20"/>
                <w:spacing w:val="-3"/>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registrable</w:t>
            </w:r>
            <w:r>
              <w:rPr>
                <w:color w:val="231F20"/>
                <w:spacing w:val="-2"/>
                <w:sz w:val="24"/>
              </w:rPr>
              <w:t xml:space="preserve"> </w:t>
            </w:r>
            <w:r>
              <w:rPr>
                <w:color w:val="231F20"/>
                <w:sz w:val="24"/>
              </w:rPr>
              <w:t>offenders</w:t>
            </w:r>
            <w:r>
              <w:rPr>
                <w:color w:val="231F20"/>
                <w:spacing w:val="-3"/>
                <w:sz w:val="24"/>
              </w:rPr>
              <w:t xml:space="preserve"> </w:t>
            </w:r>
            <w:r>
              <w:rPr>
                <w:color w:val="231F20"/>
                <w:sz w:val="24"/>
              </w:rPr>
              <w:t>aged</w:t>
            </w:r>
            <w:r>
              <w:rPr>
                <w:color w:val="231F20"/>
                <w:spacing w:val="-4"/>
                <w:sz w:val="24"/>
              </w:rPr>
              <w:t xml:space="preserve"> </w:t>
            </w:r>
            <w:r>
              <w:rPr>
                <w:color w:val="231F20"/>
                <w:sz w:val="24"/>
              </w:rPr>
              <w:t>under</w:t>
            </w:r>
            <w:r>
              <w:rPr>
                <w:color w:val="231F20"/>
                <w:spacing w:val="-3"/>
                <w:sz w:val="24"/>
              </w:rPr>
              <w:t xml:space="preserve"> </w:t>
            </w:r>
            <w:r>
              <w:rPr>
                <w:color w:val="231F20"/>
                <w:spacing w:val="-5"/>
                <w:sz w:val="24"/>
              </w:rPr>
              <w:t>18</w:t>
            </w:r>
          </w:p>
        </w:tc>
        <w:tc>
          <w:tcPr>
            <w:tcW w:w="1701" w:type="dxa"/>
            <w:tcBorders>
              <w:right w:val="nil"/>
            </w:tcBorders>
          </w:tcPr>
          <w:p w14:paraId="1B17B5C9" w14:textId="77777777" w:rsidR="00345EE3" w:rsidRDefault="00345EE3" w:rsidP="00D73130">
            <w:pPr>
              <w:pStyle w:val="TableParagraph"/>
              <w:ind w:right="-15"/>
              <w:rPr>
                <w:sz w:val="24"/>
              </w:rPr>
            </w:pPr>
            <w:r>
              <w:rPr>
                <w:color w:val="231F20"/>
                <w:sz w:val="24"/>
              </w:rPr>
              <w:t>0</w:t>
            </w:r>
          </w:p>
        </w:tc>
      </w:tr>
    </w:tbl>
    <w:p w14:paraId="27DE6C60" w14:textId="77777777" w:rsidR="00345EE3" w:rsidRDefault="00345EE3" w:rsidP="00345EE3">
      <w:pPr>
        <w:pStyle w:val="BodyText"/>
        <w:spacing w:before="63"/>
      </w:pPr>
      <w:r>
        <w:rPr>
          <w:color w:val="231F20"/>
        </w:rPr>
        <w:t>The</w:t>
      </w:r>
      <w:r>
        <w:rPr>
          <w:color w:val="231F20"/>
          <w:spacing w:val="-4"/>
        </w:rPr>
        <w:t xml:space="preserve"> </w:t>
      </w:r>
      <w:r>
        <w:rPr>
          <w:color w:val="231F20"/>
        </w:rPr>
        <w:t>reporting</w:t>
      </w:r>
      <w:r>
        <w:rPr>
          <w:color w:val="231F20"/>
          <w:spacing w:val="-2"/>
        </w:rPr>
        <w:t xml:space="preserve"> </w:t>
      </w:r>
      <w:r>
        <w:rPr>
          <w:color w:val="231F20"/>
        </w:rPr>
        <w:t>periods</w:t>
      </w:r>
      <w:r>
        <w:rPr>
          <w:color w:val="231F20"/>
          <w:spacing w:val="-3"/>
        </w:rPr>
        <w:t xml:space="preserve"> </w:t>
      </w:r>
      <w:r>
        <w:rPr>
          <w:color w:val="231F20"/>
        </w:rPr>
        <w:t>(RP)</w:t>
      </w:r>
      <w:r>
        <w:rPr>
          <w:color w:val="231F20"/>
          <w:spacing w:val="-2"/>
        </w:rPr>
        <w:t xml:space="preserve"> </w:t>
      </w:r>
      <w:r>
        <w:rPr>
          <w:color w:val="231F20"/>
        </w:rPr>
        <w:t>applying</w:t>
      </w:r>
      <w:r>
        <w:rPr>
          <w:color w:val="231F20"/>
          <w:spacing w:val="-3"/>
        </w:rPr>
        <w:t xml:space="preserve"> </w:t>
      </w:r>
      <w:r>
        <w:rPr>
          <w:color w:val="231F20"/>
        </w:rPr>
        <w:t>to</w:t>
      </w:r>
      <w:r>
        <w:rPr>
          <w:color w:val="231F20"/>
          <w:spacing w:val="-2"/>
        </w:rPr>
        <w:t xml:space="preserve"> </w:t>
      </w:r>
      <w:r>
        <w:rPr>
          <w:color w:val="231F20"/>
        </w:rPr>
        <w:t>registrable</w:t>
      </w:r>
      <w:r>
        <w:rPr>
          <w:color w:val="231F20"/>
          <w:spacing w:val="-1"/>
        </w:rPr>
        <w:t xml:space="preserve"> </w:t>
      </w:r>
      <w:r>
        <w:rPr>
          <w:color w:val="231F20"/>
          <w:spacing w:val="-2"/>
        </w:rPr>
        <w:t>offenders:</w:t>
      </w:r>
    </w:p>
    <w:p w14:paraId="1AF07951" w14:textId="77777777" w:rsidR="00345EE3" w:rsidRDefault="00345EE3" w:rsidP="00345EE3">
      <w:pPr>
        <w:pStyle w:val="BodyText"/>
        <w:spacing w:before="2"/>
        <w:rPr>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8504"/>
        <w:gridCol w:w="1701"/>
      </w:tblGrid>
      <w:tr w:rsidR="00345EE3" w14:paraId="686610CB" w14:textId="77777777" w:rsidTr="00D73130">
        <w:trPr>
          <w:trHeight w:val="396"/>
        </w:trPr>
        <w:tc>
          <w:tcPr>
            <w:tcW w:w="8504" w:type="dxa"/>
            <w:tcBorders>
              <w:left w:val="nil"/>
            </w:tcBorders>
          </w:tcPr>
          <w:p w14:paraId="166AD51F" w14:textId="77777777" w:rsidR="00345EE3" w:rsidRDefault="00345EE3">
            <w:pPr>
              <w:pStyle w:val="TableParagraph"/>
              <w:numPr>
                <w:ilvl w:val="0"/>
                <w:numId w:val="69"/>
              </w:numPr>
              <w:tabs>
                <w:tab w:val="left" w:pos="280"/>
                <w:tab w:val="left" w:pos="281"/>
              </w:tabs>
              <w:jc w:val="left"/>
              <w:rPr>
                <w:sz w:val="24"/>
              </w:rPr>
            </w:pPr>
            <w:r>
              <w:rPr>
                <w:color w:val="231F20"/>
                <w:sz w:val="24"/>
              </w:rPr>
              <w:t xml:space="preserve">4 </w:t>
            </w:r>
            <w:r>
              <w:rPr>
                <w:color w:val="231F20"/>
                <w:spacing w:val="-2"/>
                <w:sz w:val="24"/>
              </w:rPr>
              <w:t>years</w:t>
            </w:r>
          </w:p>
        </w:tc>
        <w:tc>
          <w:tcPr>
            <w:tcW w:w="1701" w:type="dxa"/>
            <w:tcBorders>
              <w:right w:val="nil"/>
            </w:tcBorders>
          </w:tcPr>
          <w:p w14:paraId="1B7EBEAF" w14:textId="77777777" w:rsidR="00345EE3" w:rsidRDefault="00345EE3" w:rsidP="00D73130">
            <w:pPr>
              <w:pStyle w:val="TableParagraph"/>
              <w:rPr>
                <w:sz w:val="24"/>
              </w:rPr>
            </w:pPr>
            <w:r>
              <w:rPr>
                <w:color w:val="231F20"/>
                <w:spacing w:val="-5"/>
                <w:sz w:val="24"/>
              </w:rPr>
              <w:t>19</w:t>
            </w:r>
          </w:p>
        </w:tc>
      </w:tr>
      <w:tr w:rsidR="00345EE3" w14:paraId="131C835B" w14:textId="77777777" w:rsidTr="00D73130">
        <w:trPr>
          <w:trHeight w:val="396"/>
        </w:trPr>
        <w:tc>
          <w:tcPr>
            <w:tcW w:w="8504" w:type="dxa"/>
            <w:tcBorders>
              <w:left w:val="nil"/>
            </w:tcBorders>
          </w:tcPr>
          <w:p w14:paraId="2E9F380E" w14:textId="77777777" w:rsidR="00345EE3" w:rsidRDefault="00345EE3">
            <w:pPr>
              <w:pStyle w:val="TableParagraph"/>
              <w:numPr>
                <w:ilvl w:val="0"/>
                <w:numId w:val="68"/>
              </w:numPr>
              <w:tabs>
                <w:tab w:val="left" w:pos="280"/>
                <w:tab w:val="left" w:pos="281"/>
              </w:tabs>
              <w:jc w:val="left"/>
              <w:rPr>
                <w:sz w:val="24"/>
              </w:rPr>
            </w:pPr>
            <w:r>
              <w:rPr>
                <w:color w:val="231F20"/>
                <w:spacing w:val="-7"/>
                <w:sz w:val="24"/>
              </w:rPr>
              <w:t>7.5</w:t>
            </w:r>
            <w:r>
              <w:rPr>
                <w:color w:val="231F20"/>
                <w:spacing w:val="-9"/>
                <w:sz w:val="24"/>
              </w:rPr>
              <w:t xml:space="preserve"> </w:t>
            </w:r>
            <w:r>
              <w:rPr>
                <w:color w:val="231F20"/>
                <w:spacing w:val="-2"/>
                <w:sz w:val="24"/>
              </w:rPr>
              <w:t>years</w:t>
            </w:r>
          </w:p>
        </w:tc>
        <w:tc>
          <w:tcPr>
            <w:tcW w:w="1701" w:type="dxa"/>
            <w:tcBorders>
              <w:right w:val="nil"/>
            </w:tcBorders>
          </w:tcPr>
          <w:p w14:paraId="2D3631AD" w14:textId="77777777" w:rsidR="00345EE3" w:rsidRDefault="00345EE3" w:rsidP="00D73130">
            <w:pPr>
              <w:pStyle w:val="TableParagraph"/>
              <w:ind w:right="-15"/>
              <w:rPr>
                <w:sz w:val="24"/>
              </w:rPr>
            </w:pPr>
            <w:r>
              <w:rPr>
                <w:color w:val="231F20"/>
                <w:sz w:val="24"/>
              </w:rPr>
              <w:t>2</w:t>
            </w:r>
          </w:p>
        </w:tc>
      </w:tr>
      <w:tr w:rsidR="00345EE3" w14:paraId="343151D6" w14:textId="77777777" w:rsidTr="00D73130">
        <w:trPr>
          <w:trHeight w:val="396"/>
        </w:trPr>
        <w:tc>
          <w:tcPr>
            <w:tcW w:w="8504" w:type="dxa"/>
            <w:tcBorders>
              <w:left w:val="nil"/>
            </w:tcBorders>
          </w:tcPr>
          <w:p w14:paraId="47E7F4CD" w14:textId="77777777" w:rsidR="00345EE3" w:rsidRDefault="00345EE3">
            <w:pPr>
              <w:pStyle w:val="TableParagraph"/>
              <w:numPr>
                <w:ilvl w:val="0"/>
                <w:numId w:val="67"/>
              </w:numPr>
              <w:tabs>
                <w:tab w:val="left" w:pos="280"/>
                <w:tab w:val="left" w:pos="281"/>
              </w:tabs>
              <w:jc w:val="left"/>
              <w:rPr>
                <w:sz w:val="24"/>
              </w:rPr>
            </w:pPr>
            <w:r>
              <w:rPr>
                <w:color w:val="231F20"/>
                <w:sz w:val="24"/>
              </w:rPr>
              <w:t xml:space="preserve">8 </w:t>
            </w:r>
            <w:r>
              <w:rPr>
                <w:color w:val="231F20"/>
                <w:spacing w:val="-2"/>
                <w:sz w:val="24"/>
              </w:rPr>
              <w:t>years</w:t>
            </w:r>
          </w:p>
        </w:tc>
        <w:tc>
          <w:tcPr>
            <w:tcW w:w="1701" w:type="dxa"/>
            <w:tcBorders>
              <w:right w:val="nil"/>
            </w:tcBorders>
          </w:tcPr>
          <w:p w14:paraId="28A745E6" w14:textId="77777777" w:rsidR="00345EE3" w:rsidRDefault="00345EE3" w:rsidP="00D73130">
            <w:pPr>
              <w:pStyle w:val="TableParagraph"/>
              <w:rPr>
                <w:sz w:val="24"/>
              </w:rPr>
            </w:pPr>
            <w:r>
              <w:rPr>
                <w:color w:val="231F20"/>
                <w:spacing w:val="-2"/>
                <w:sz w:val="24"/>
              </w:rPr>
              <w:t>2,744</w:t>
            </w:r>
          </w:p>
        </w:tc>
      </w:tr>
      <w:tr w:rsidR="00345EE3" w14:paraId="6C60D2C2" w14:textId="77777777" w:rsidTr="00D73130">
        <w:trPr>
          <w:trHeight w:val="396"/>
        </w:trPr>
        <w:tc>
          <w:tcPr>
            <w:tcW w:w="8504" w:type="dxa"/>
            <w:tcBorders>
              <w:left w:val="nil"/>
            </w:tcBorders>
          </w:tcPr>
          <w:p w14:paraId="631D4AF1" w14:textId="77777777" w:rsidR="00345EE3" w:rsidRDefault="00345EE3">
            <w:pPr>
              <w:pStyle w:val="TableParagraph"/>
              <w:numPr>
                <w:ilvl w:val="0"/>
                <w:numId w:val="66"/>
              </w:numPr>
              <w:tabs>
                <w:tab w:val="left" w:pos="280"/>
                <w:tab w:val="left" w:pos="281"/>
              </w:tabs>
              <w:jc w:val="left"/>
              <w:rPr>
                <w:sz w:val="24"/>
              </w:rPr>
            </w:pPr>
            <w:r>
              <w:rPr>
                <w:color w:val="231F20"/>
                <w:sz w:val="24"/>
              </w:rPr>
              <w:t>15</w:t>
            </w:r>
            <w:r>
              <w:rPr>
                <w:color w:val="231F20"/>
                <w:spacing w:val="-14"/>
                <w:sz w:val="24"/>
              </w:rPr>
              <w:t xml:space="preserve"> </w:t>
            </w:r>
            <w:r>
              <w:rPr>
                <w:color w:val="231F20"/>
                <w:spacing w:val="-2"/>
                <w:sz w:val="24"/>
              </w:rPr>
              <w:t>years</w:t>
            </w:r>
          </w:p>
        </w:tc>
        <w:tc>
          <w:tcPr>
            <w:tcW w:w="1701" w:type="dxa"/>
            <w:tcBorders>
              <w:right w:val="nil"/>
            </w:tcBorders>
          </w:tcPr>
          <w:p w14:paraId="75D0F556" w14:textId="77777777" w:rsidR="00345EE3" w:rsidRDefault="00345EE3" w:rsidP="00D73130">
            <w:pPr>
              <w:pStyle w:val="TableParagraph"/>
              <w:rPr>
                <w:sz w:val="24"/>
              </w:rPr>
            </w:pPr>
            <w:r>
              <w:rPr>
                <w:color w:val="231F20"/>
                <w:spacing w:val="-2"/>
                <w:sz w:val="24"/>
              </w:rPr>
              <w:t>2,819</w:t>
            </w:r>
          </w:p>
        </w:tc>
      </w:tr>
      <w:tr w:rsidR="00345EE3" w14:paraId="2C701BBD" w14:textId="77777777" w:rsidTr="00D73130">
        <w:trPr>
          <w:trHeight w:val="396"/>
        </w:trPr>
        <w:tc>
          <w:tcPr>
            <w:tcW w:w="8504" w:type="dxa"/>
            <w:tcBorders>
              <w:left w:val="nil"/>
            </w:tcBorders>
          </w:tcPr>
          <w:p w14:paraId="598259AE" w14:textId="77777777" w:rsidR="00345EE3" w:rsidRDefault="00345EE3">
            <w:pPr>
              <w:pStyle w:val="TableParagraph"/>
              <w:numPr>
                <w:ilvl w:val="0"/>
                <w:numId w:val="65"/>
              </w:numPr>
              <w:tabs>
                <w:tab w:val="left" w:pos="280"/>
                <w:tab w:val="left" w:pos="281"/>
              </w:tabs>
              <w:jc w:val="left"/>
              <w:rPr>
                <w:sz w:val="24"/>
              </w:rPr>
            </w:pPr>
            <w:r>
              <w:rPr>
                <w:color w:val="231F20"/>
                <w:spacing w:val="-4"/>
                <w:sz w:val="24"/>
              </w:rPr>
              <w:t>Life</w:t>
            </w:r>
          </w:p>
        </w:tc>
        <w:tc>
          <w:tcPr>
            <w:tcW w:w="1701" w:type="dxa"/>
            <w:tcBorders>
              <w:right w:val="nil"/>
            </w:tcBorders>
          </w:tcPr>
          <w:p w14:paraId="78B75621" w14:textId="77777777" w:rsidR="00345EE3" w:rsidRDefault="00345EE3" w:rsidP="00D73130">
            <w:pPr>
              <w:pStyle w:val="TableParagraph"/>
              <w:rPr>
                <w:sz w:val="24"/>
              </w:rPr>
            </w:pPr>
            <w:r>
              <w:rPr>
                <w:color w:val="231F20"/>
                <w:spacing w:val="-2"/>
                <w:sz w:val="24"/>
              </w:rPr>
              <w:t>2,938</w:t>
            </w:r>
          </w:p>
        </w:tc>
      </w:tr>
      <w:tr w:rsidR="00345EE3" w14:paraId="3692C0FC" w14:textId="77777777" w:rsidTr="00D73130">
        <w:trPr>
          <w:trHeight w:val="396"/>
        </w:trPr>
        <w:tc>
          <w:tcPr>
            <w:tcW w:w="8504" w:type="dxa"/>
            <w:tcBorders>
              <w:left w:val="nil"/>
            </w:tcBorders>
          </w:tcPr>
          <w:p w14:paraId="63E4DCED" w14:textId="77777777" w:rsidR="00345EE3" w:rsidRDefault="00345EE3">
            <w:pPr>
              <w:pStyle w:val="TableParagraph"/>
              <w:numPr>
                <w:ilvl w:val="0"/>
                <w:numId w:val="64"/>
              </w:numPr>
              <w:tabs>
                <w:tab w:val="left" w:pos="280"/>
                <w:tab w:val="left" w:pos="281"/>
              </w:tabs>
              <w:jc w:val="left"/>
              <w:rPr>
                <w:sz w:val="14"/>
              </w:rPr>
            </w:pPr>
            <w:r>
              <w:rPr>
                <w:color w:val="231F20"/>
                <w:spacing w:val="-2"/>
                <w:sz w:val="24"/>
              </w:rPr>
              <w:t>Other</w:t>
            </w:r>
            <w:r>
              <w:rPr>
                <w:color w:val="231F20"/>
                <w:spacing w:val="-2"/>
                <w:position w:val="8"/>
                <w:sz w:val="14"/>
              </w:rPr>
              <w:t>15</w:t>
            </w:r>
          </w:p>
        </w:tc>
        <w:tc>
          <w:tcPr>
            <w:tcW w:w="1701" w:type="dxa"/>
            <w:tcBorders>
              <w:right w:val="nil"/>
            </w:tcBorders>
          </w:tcPr>
          <w:p w14:paraId="5DFC63EF" w14:textId="77777777" w:rsidR="00345EE3" w:rsidRDefault="00345EE3" w:rsidP="00D73130">
            <w:pPr>
              <w:pStyle w:val="TableParagraph"/>
              <w:rPr>
                <w:sz w:val="24"/>
              </w:rPr>
            </w:pPr>
            <w:r>
              <w:rPr>
                <w:color w:val="231F20"/>
                <w:spacing w:val="-2"/>
                <w:sz w:val="24"/>
              </w:rPr>
              <w:t>1,105</w:t>
            </w:r>
          </w:p>
        </w:tc>
      </w:tr>
      <w:tr w:rsidR="00345EE3" w14:paraId="0F1028AE" w14:textId="77777777" w:rsidTr="00D73130">
        <w:trPr>
          <w:trHeight w:val="396"/>
        </w:trPr>
        <w:tc>
          <w:tcPr>
            <w:tcW w:w="8504" w:type="dxa"/>
            <w:tcBorders>
              <w:left w:val="nil"/>
            </w:tcBorders>
          </w:tcPr>
          <w:p w14:paraId="3702525F" w14:textId="77777777" w:rsidR="00345EE3" w:rsidRDefault="00345EE3">
            <w:pPr>
              <w:pStyle w:val="TableParagraph"/>
              <w:numPr>
                <w:ilvl w:val="0"/>
                <w:numId w:val="63"/>
              </w:numPr>
              <w:tabs>
                <w:tab w:val="left" w:pos="280"/>
                <w:tab w:val="left" w:pos="281"/>
              </w:tabs>
              <w:jc w:val="left"/>
              <w:rPr>
                <w:b/>
                <w:sz w:val="24"/>
              </w:rPr>
            </w:pPr>
            <w:r>
              <w:rPr>
                <w:b/>
                <w:color w:val="231F20"/>
                <w:spacing w:val="-2"/>
                <w:sz w:val="24"/>
              </w:rPr>
              <w:t>Total</w:t>
            </w:r>
          </w:p>
        </w:tc>
        <w:tc>
          <w:tcPr>
            <w:tcW w:w="1701" w:type="dxa"/>
            <w:tcBorders>
              <w:right w:val="nil"/>
            </w:tcBorders>
          </w:tcPr>
          <w:p w14:paraId="6F1EE3A5" w14:textId="77777777" w:rsidR="00345EE3" w:rsidRDefault="00345EE3" w:rsidP="00D73130">
            <w:pPr>
              <w:pStyle w:val="TableParagraph"/>
              <w:ind w:right="-15"/>
              <w:rPr>
                <w:b/>
                <w:sz w:val="24"/>
              </w:rPr>
            </w:pPr>
            <w:r>
              <w:rPr>
                <w:b/>
                <w:color w:val="231F20"/>
                <w:spacing w:val="-2"/>
                <w:sz w:val="24"/>
              </w:rPr>
              <w:t>9,627</w:t>
            </w:r>
          </w:p>
        </w:tc>
      </w:tr>
      <w:tr w:rsidR="00345EE3" w14:paraId="6D3F8657" w14:textId="77777777" w:rsidTr="00D73130">
        <w:trPr>
          <w:trHeight w:val="676"/>
        </w:trPr>
        <w:tc>
          <w:tcPr>
            <w:tcW w:w="8504" w:type="dxa"/>
            <w:tcBorders>
              <w:left w:val="nil"/>
            </w:tcBorders>
          </w:tcPr>
          <w:p w14:paraId="79F558E0" w14:textId="77777777" w:rsidR="00345EE3" w:rsidRDefault="00345EE3" w:rsidP="00D73130">
            <w:pPr>
              <w:pStyle w:val="TableParagraph"/>
              <w:spacing w:line="242" w:lineRule="auto"/>
              <w:ind w:left="-3"/>
              <w:jc w:val="left"/>
              <w:rPr>
                <w:sz w:val="24"/>
              </w:rPr>
            </w:pPr>
            <w:r>
              <w:rPr>
                <w:color w:val="231F20"/>
                <w:sz w:val="24"/>
              </w:rPr>
              <w:t>The</w:t>
            </w:r>
            <w:r>
              <w:rPr>
                <w:color w:val="231F20"/>
                <w:spacing w:val="-4"/>
                <w:sz w:val="24"/>
              </w:rPr>
              <w:t xml:space="preserve"> </w:t>
            </w:r>
            <w:r>
              <w:rPr>
                <w:color w:val="231F20"/>
                <w:sz w:val="24"/>
              </w:rPr>
              <w:t>number</w:t>
            </w:r>
            <w:r>
              <w:rPr>
                <w:color w:val="231F20"/>
                <w:spacing w:val="-5"/>
                <w:sz w:val="24"/>
              </w:rPr>
              <w:t xml:space="preserve"> </w:t>
            </w:r>
            <w:r>
              <w:rPr>
                <w:color w:val="231F20"/>
                <w:sz w:val="24"/>
              </w:rPr>
              <w:t>of</w:t>
            </w:r>
            <w:r>
              <w:rPr>
                <w:color w:val="231F20"/>
                <w:spacing w:val="-5"/>
                <w:sz w:val="24"/>
              </w:rPr>
              <w:t xml:space="preserve"> </w:t>
            </w:r>
            <w:r>
              <w:rPr>
                <w:color w:val="231F20"/>
                <w:sz w:val="24"/>
              </w:rPr>
              <w:t>registrable</w:t>
            </w:r>
            <w:r>
              <w:rPr>
                <w:color w:val="231F20"/>
                <w:spacing w:val="-4"/>
                <w:sz w:val="24"/>
              </w:rPr>
              <w:t xml:space="preserve"> </w:t>
            </w:r>
            <w:r>
              <w:rPr>
                <w:color w:val="231F20"/>
                <w:sz w:val="24"/>
              </w:rPr>
              <w:t>offenders</w:t>
            </w:r>
            <w:r>
              <w:rPr>
                <w:color w:val="231F20"/>
                <w:spacing w:val="-4"/>
                <w:sz w:val="24"/>
              </w:rPr>
              <w:t xml:space="preserve"> </w:t>
            </w:r>
            <w:r>
              <w:rPr>
                <w:color w:val="231F20"/>
                <w:sz w:val="24"/>
              </w:rPr>
              <w:t>living</w:t>
            </w:r>
            <w:r>
              <w:rPr>
                <w:color w:val="231F20"/>
                <w:spacing w:val="-5"/>
                <w:sz w:val="24"/>
              </w:rPr>
              <w:t xml:space="preserve"> </w:t>
            </w:r>
            <w:r>
              <w:rPr>
                <w:color w:val="231F20"/>
                <w:sz w:val="24"/>
              </w:rPr>
              <w:t>in</w:t>
            </w:r>
            <w:r>
              <w:rPr>
                <w:color w:val="231F20"/>
                <w:spacing w:val="-5"/>
                <w:sz w:val="24"/>
              </w:rPr>
              <w:t xml:space="preserve"> </w:t>
            </w:r>
            <w:r>
              <w:rPr>
                <w:color w:val="231F20"/>
                <w:sz w:val="24"/>
              </w:rPr>
              <w:t>Victoria</w:t>
            </w:r>
            <w:r>
              <w:rPr>
                <w:color w:val="231F20"/>
                <w:spacing w:val="-5"/>
                <w:sz w:val="24"/>
              </w:rPr>
              <w:t xml:space="preserve"> </w:t>
            </w:r>
            <w:r>
              <w:rPr>
                <w:color w:val="231F20"/>
                <w:sz w:val="24"/>
              </w:rPr>
              <w:t>and</w:t>
            </w:r>
            <w:r>
              <w:rPr>
                <w:color w:val="231F20"/>
                <w:spacing w:val="-5"/>
                <w:sz w:val="24"/>
              </w:rPr>
              <w:t xml:space="preserve"> </w:t>
            </w:r>
            <w:r>
              <w:rPr>
                <w:color w:val="231F20"/>
                <w:sz w:val="24"/>
              </w:rPr>
              <w:t>subject</w:t>
            </w:r>
            <w:r>
              <w:rPr>
                <w:color w:val="231F20"/>
                <w:spacing w:val="-4"/>
                <w:sz w:val="24"/>
              </w:rPr>
              <w:t xml:space="preserve"> </w:t>
            </w:r>
            <w:r>
              <w:rPr>
                <w:color w:val="231F20"/>
                <w:sz w:val="24"/>
              </w:rPr>
              <w:t>to</w:t>
            </w:r>
            <w:r>
              <w:rPr>
                <w:color w:val="231F20"/>
                <w:spacing w:val="-4"/>
                <w:sz w:val="24"/>
              </w:rPr>
              <w:t xml:space="preserve"> </w:t>
            </w:r>
            <w:r>
              <w:rPr>
                <w:color w:val="231F20"/>
                <w:sz w:val="24"/>
              </w:rPr>
              <w:t xml:space="preserve">reporting </w:t>
            </w:r>
            <w:r>
              <w:rPr>
                <w:color w:val="231F20"/>
                <w:spacing w:val="-2"/>
                <w:sz w:val="24"/>
              </w:rPr>
              <w:t>obligations</w:t>
            </w:r>
          </w:p>
        </w:tc>
        <w:tc>
          <w:tcPr>
            <w:tcW w:w="1701" w:type="dxa"/>
            <w:tcBorders>
              <w:right w:val="nil"/>
            </w:tcBorders>
          </w:tcPr>
          <w:p w14:paraId="545F7605" w14:textId="77777777" w:rsidR="00345EE3" w:rsidRDefault="00345EE3" w:rsidP="00D73130">
            <w:pPr>
              <w:pStyle w:val="TableParagraph"/>
              <w:rPr>
                <w:sz w:val="24"/>
              </w:rPr>
            </w:pPr>
            <w:r>
              <w:rPr>
                <w:color w:val="231F20"/>
                <w:spacing w:val="-2"/>
                <w:sz w:val="24"/>
              </w:rPr>
              <w:t>4,559</w:t>
            </w:r>
          </w:p>
        </w:tc>
      </w:tr>
      <w:tr w:rsidR="00345EE3" w14:paraId="13D0F95E" w14:textId="77777777" w:rsidTr="00D73130">
        <w:trPr>
          <w:trHeight w:val="396"/>
        </w:trPr>
        <w:tc>
          <w:tcPr>
            <w:tcW w:w="8504" w:type="dxa"/>
            <w:tcBorders>
              <w:left w:val="nil"/>
            </w:tcBorders>
          </w:tcPr>
          <w:p w14:paraId="3911A05B" w14:textId="77777777" w:rsidR="00345EE3" w:rsidRDefault="00345EE3" w:rsidP="00D73130">
            <w:pPr>
              <w:pStyle w:val="TableParagraph"/>
              <w:ind w:left="-3"/>
              <w:jc w:val="left"/>
              <w:rPr>
                <w:sz w:val="24"/>
              </w:rPr>
            </w:pPr>
            <w:r>
              <w:rPr>
                <w:color w:val="231F20"/>
                <w:sz w:val="24"/>
              </w:rPr>
              <w:t>The</w:t>
            </w:r>
            <w:r>
              <w:rPr>
                <w:color w:val="231F20"/>
                <w:spacing w:val="-4"/>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registrable</w:t>
            </w:r>
            <w:r>
              <w:rPr>
                <w:color w:val="231F20"/>
                <w:spacing w:val="-3"/>
                <w:sz w:val="24"/>
              </w:rPr>
              <w:t xml:space="preserve"> </w:t>
            </w:r>
            <w:r>
              <w:rPr>
                <w:color w:val="231F20"/>
                <w:sz w:val="24"/>
              </w:rPr>
              <w:t>offenders</w:t>
            </w:r>
            <w:r>
              <w:rPr>
                <w:color w:val="231F20"/>
                <w:spacing w:val="-3"/>
                <w:sz w:val="24"/>
              </w:rPr>
              <w:t xml:space="preserve"> </w:t>
            </w:r>
            <w:r>
              <w:rPr>
                <w:color w:val="231F20"/>
                <w:sz w:val="24"/>
              </w:rPr>
              <w:t>in</w:t>
            </w:r>
            <w:r>
              <w:rPr>
                <w:color w:val="231F20"/>
                <w:spacing w:val="-4"/>
                <w:sz w:val="24"/>
              </w:rPr>
              <w:t xml:space="preserve"> </w:t>
            </w:r>
            <w:r>
              <w:rPr>
                <w:color w:val="231F20"/>
                <w:sz w:val="24"/>
              </w:rPr>
              <w:t>government</w:t>
            </w:r>
            <w:r>
              <w:rPr>
                <w:color w:val="231F20"/>
                <w:spacing w:val="-4"/>
                <w:sz w:val="24"/>
              </w:rPr>
              <w:t xml:space="preserve"> </w:t>
            </w:r>
            <w:r>
              <w:rPr>
                <w:color w:val="231F20"/>
                <w:spacing w:val="-2"/>
                <w:sz w:val="24"/>
              </w:rPr>
              <w:t>custody</w:t>
            </w:r>
          </w:p>
        </w:tc>
        <w:tc>
          <w:tcPr>
            <w:tcW w:w="1701" w:type="dxa"/>
            <w:tcBorders>
              <w:right w:val="nil"/>
            </w:tcBorders>
          </w:tcPr>
          <w:p w14:paraId="74419A7F" w14:textId="77777777" w:rsidR="00345EE3" w:rsidRDefault="00345EE3" w:rsidP="00D73130">
            <w:pPr>
              <w:pStyle w:val="TableParagraph"/>
              <w:rPr>
                <w:sz w:val="24"/>
              </w:rPr>
            </w:pPr>
            <w:r>
              <w:rPr>
                <w:color w:val="231F20"/>
                <w:spacing w:val="-5"/>
                <w:sz w:val="24"/>
              </w:rPr>
              <w:t>905</w:t>
            </w:r>
          </w:p>
        </w:tc>
      </w:tr>
    </w:tbl>
    <w:p w14:paraId="52FB4F1C" w14:textId="77777777" w:rsidR="00345EE3" w:rsidRDefault="00345EE3" w:rsidP="00345EE3">
      <w:pPr>
        <w:pStyle w:val="BodyText"/>
        <w:spacing w:before="65" w:line="242" w:lineRule="auto"/>
        <w:ind w:right="921"/>
        <w:rPr>
          <w:color w:val="231F20"/>
        </w:rPr>
      </w:pPr>
    </w:p>
    <w:p w14:paraId="0E16B559" w14:textId="77777777" w:rsidR="00345EE3" w:rsidRDefault="00345EE3" w:rsidP="00345EE3">
      <w:pPr>
        <w:rPr>
          <w:color w:val="231F20"/>
          <w:sz w:val="24"/>
          <w:szCs w:val="24"/>
        </w:rPr>
      </w:pPr>
      <w:r>
        <w:rPr>
          <w:color w:val="231F20"/>
        </w:rPr>
        <w:br w:type="page"/>
      </w:r>
    </w:p>
    <w:p w14:paraId="1837D873" w14:textId="46E78601" w:rsidR="00345EE3" w:rsidRDefault="00345EE3" w:rsidP="00345EE3">
      <w:pPr>
        <w:pStyle w:val="BodyText"/>
        <w:spacing w:before="65" w:line="242" w:lineRule="auto"/>
        <w:ind w:right="921"/>
      </w:pPr>
      <w:r>
        <w:rPr>
          <w:color w:val="231F20"/>
        </w:rPr>
        <w:t>The</w:t>
      </w:r>
      <w:r>
        <w:rPr>
          <w:color w:val="231F20"/>
          <w:spacing w:val="-4"/>
        </w:rPr>
        <w:t xml:space="preserve"> </w:t>
      </w:r>
      <w:r>
        <w:rPr>
          <w:color w:val="231F20"/>
        </w:rPr>
        <w:t>number</w:t>
      </w:r>
      <w:r>
        <w:rPr>
          <w:color w:val="231F20"/>
          <w:spacing w:val="-5"/>
        </w:rPr>
        <w:t xml:space="preserve"> </w:t>
      </w:r>
      <w:r>
        <w:rPr>
          <w:color w:val="231F20"/>
        </w:rPr>
        <w:t>of</w:t>
      </w:r>
      <w:r>
        <w:rPr>
          <w:color w:val="231F20"/>
          <w:spacing w:val="-5"/>
        </w:rPr>
        <w:t xml:space="preserve"> </w:t>
      </w:r>
      <w:r>
        <w:rPr>
          <w:color w:val="231F20"/>
        </w:rPr>
        <w:t>registrable</w:t>
      </w:r>
      <w:r>
        <w:rPr>
          <w:color w:val="231F20"/>
          <w:spacing w:val="-4"/>
        </w:rPr>
        <w:t xml:space="preserve"> </w:t>
      </w:r>
      <w:r>
        <w:rPr>
          <w:color w:val="231F20"/>
        </w:rPr>
        <w:t>offenders</w:t>
      </w:r>
      <w:r>
        <w:rPr>
          <w:color w:val="231F20"/>
          <w:spacing w:val="-4"/>
        </w:rPr>
        <w:t xml:space="preserve"> </w:t>
      </w:r>
      <w:r>
        <w:rPr>
          <w:color w:val="231F20"/>
        </w:rPr>
        <w:t>outside</w:t>
      </w:r>
      <w:r>
        <w:rPr>
          <w:color w:val="231F20"/>
          <w:spacing w:val="-5"/>
        </w:rPr>
        <w:t xml:space="preserve"> </w:t>
      </w:r>
      <w:r>
        <w:rPr>
          <w:color w:val="231F20"/>
        </w:rPr>
        <w:t>Victoria</w:t>
      </w:r>
      <w:r>
        <w:rPr>
          <w:color w:val="231F20"/>
          <w:spacing w:val="-5"/>
        </w:rPr>
        <w:t xml:space="preserve"> </w:t>
      </w:r>
      <w:r>
        <w:rPr>
          <w:color w:val="231F20"/>
        </w:rPr>
        <w:t>(excluding</w:t>
      </w:r>
      <w:r>
        <w:rPr>
          <w:color w:val="231F20"/>
          <w:spacing w:val="-4"/>
        </w:rPr>
        <w:t xml:space="preserve"> </w:t>
      </w:r>
      <w:r>
        <w:rPr>
          <w:color w:val="231F20"/>
        </w:rPr>
        <w:t>registrable</w:t>
      </w:r>
      <w:r>
        <w:rPr>
          <w:color w:val="231F20"/>
          <w:spacing w:val="-4"/>
        </w:rPr>
        <w:t xml:space="preserve"> </w:t>
      </w:r>
      <w:r>
        <w:rPr>
          <w:color w:val="231F20"/>
        </w:rPr>
        <w:t>offenders</w:t>
      </w:r>
      <w:r>
        <w:rPr>
          <w:color w:val="231F20"/>
          <w:spacing w:val="-4"/>
        </w:rPr>
        <w:t xml:space="preserve"> </w:t>
      </w:r>
      <w:r>
        <w:rPr>
          <w:color w:val="231F20"/>
        </w:rPr>
        <w:t>to</w:t>
      </w:r>
      <w:r>
        <w:rPr>
          <w:color w:val="231F20"/>
          <w:spacing w:val="-4"/>
        </w:rPr>
        <w:t xml:space="preserve"> </w:t>
      </w:r>
      <w:r>
        <w:rPr>
          <w:color w:val="231F20"/>
        </w:rPr>
        <w:t>whom Division 9 Part 3 applies):</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998"/>
        <w:gridCol w:w="6505"/>
        <w:gridCol w:w="1700"/>
      </w:tblGrid>
      <w:tr w:rsidR="00345EE3" w14:paraId="4BDDE480" w14:textId="77777777" w:rsidTr="00D87833">
        <w:trPr>
          <w:trHeight w:val="401"/>
        </w:trPr>
        <w:tc>
          <w:tcPr>
            <w:tcW w:w="10203" w:type="dxa"/>
            <w:gridSpan w:val="3"/>
            <w:tcBorders>
              <w:top w:val="nil"/>
              <w:left w:val="nil"/>
              <w:bottom w:val="nil"/>
              <w:right w:val="nil"/>
            </w:tcBorders>
            <w:shd w:val="clear" w:color="auto" w:fill="00529F"/>
          </w:tcPr>
          <w:p w14:paraId="31776156" w14:textId="77777777" w:rsidR="00345EE3" w:rsidRDefault="00345EE3" w:rsidP="00D73130">
            <w:pPr>
              <w:pStyle w:val="TableParagraph"/>
              <w:spacing w:before="63"/>
              <w:ind w:right="1"/>
              <w:rPr>
                <w:b/>
                <w:sz w:val="24"/>
              </w:rPr>
            </w:pPr>
            <w:r>
              <w:rPr>
                <w:b/>
                <w:color w:val="FFFFFF"/>
                <w:spacing w:val="-2"/>
                <w:sz w:val="24"/>
              </w:rPr>
              <w:t>Number</w:t>
            </w:r>
          </w:p>
        </w:tc>
      </w:tr>
      <w:tr w:rsidR="00345EE3" w14:paraId="3059A293" w14:textId="77777777" w:rsidTr="00D87833">
        <w:trPr>
          <w:trHeight w:val="396"/>
        </w:trPr>
        <w:tc>
          <w:tcPr>
            <w:tcW w:w="1998" w:type="dxa"/>
            <w:tcBorders>
              <w:top w:val="nil"/>
              <w:left w:val="nil"/>
            </w:tcBorders>
          </w:tcPr>
          <w:p w14:paraId="1A93EE8D" w14:textId="77777777" w:rsidR="00345EE3" w:rsidRDefault="00345EE3">
            <w:pPr>
              <w:pStyle w:val="TableParagraph"/>
              <w:numPr>
                <w:ilvl w:val="0"/>
                <w:numId w:val="62"/>
              </w:numPr>
              <w:tabs>
                <w:tab w:val="left" w:pos="149"/>
              </w:tabs>
              <w:ind w:hanging="152"/>
              <w:jc w:val="left"/>
              <w:rPr>
                <w:sz w:val="24"/>
              </w:rPr>
            </w:pPr>
            <w:r>
              <w:rPr>
                <w:color w:val="231F20"/>
                <w:spacing w:val="-2"/>
                <w:sz w:val="24"/>
              </w:rPr>
              <w:t>Victoria</w:t>
            </w:r>
          </w:p>
        </w:tc>
        <w:tc>
          <w:tcPr>
            <w:tcW w:w="6505" w:type="dxa"/>
            <w:tcBorders>
              <w:top w:val="nil"/>
            </w:tcBorders>
          </w:tcPr>
          <w:p w14:paraId="383347DA" w14:textId="77777777" w:rsidR="00345EE3" w:rsidRDefault="00345EE3" w:rsidP="00D73130">
            <w:pPr>
              <w:pStyle w:val="TableParagraph"/>
              <w:jc w:val="left"/>
              <w:rPr>
                <w:sz w:val="24"/>
              </w:rPr>
            </w:pPr>
            <w:r>
              <w:rPr>
                <w:color w:val="231F20"/>
                <w:sz w:val="24"/>
              </w:rPr>
              <w:t>Residing</w:t>
            </w:r>
            <w:r>
              <w:rPr>
                <w:color w:val="231F20"/>
                <w:spacing w:val="-10"/>
                <w:sz w:val="24"/>
              </w:rPr>
              <w:t xml:space="preserve"> </w:t>
            </w:r>
            <w:r>
              <w:rPr>
                <w:color w:val="231F20"/>
                <w:spacing w:val="-2"/>
                <w:sz w:val="24"/>
              </w:rPr>
              <w:t>overseas</w:t>
            </w:r>
          </w:p>
        </w:tc>
        <w:tc>
          <w:tcPr>
            <w:tcW w:w="1700" w:type="dxa"/>
            <w:tcBorders>
              <w:top w:val="nil"/>
              <w:right w:val="nil"/>
            </w:tcBorders>
          </w:tcPr>
          <w:p w14:paraId="22584B9E" w14:textId="77777777" w:rsidR="00345EE3" w:rsidRDefault="00345EE3" w:rsidP="00D73130">
            <w:pPr>
              <w:pStyle w:val="TableParagraph"/>
              <w:ind w:right="-15"/>
              <w:rPr>
                <w:sz w:val="24"/>
              </w:rPr>
            </w:pPr>
            <w:r>
              <w:rPr>
                <w:color w:val="231F20"/>
                <w:spacing w:val="-5"/>
                <w:sz w:val="24"/>
              </w:rPr>
              <w:t>245</w:t>
            </w:r>
          </w:p>
        </w:tc>
      </w:tr>
      <w:tr w:rsidR="00345EE3" w14:paraId="03741DBB" w14:textId="77777777" w:rsidTr="00D87833">
        <w:trPr>
          <w:trHeight w:val="396"/>
        </w:trPr>
        <w:tc>
          <w:tcPr>
            <w:tcW w:w="1998" w:type="dxa"/>
            <w:tcBorders>
              <w:left w:val="nil"/>
            </w:tcBorders>
          </w:tcPr>
          <w:p w14:paraId="79BEA163" w14:textId="77777777" w:rsidR="00345EE3" w:rsidRDefault="00345EE3">
            <w:pPr>
              <w:pStyle w:val="TableParagraph"/>
              <w:numPr>
                <w:ilvl w:val="0"/>
                <w:numId w:val="61"/>
              </w:numPr>
              <w:tabs>
                <w:tab w:val="left" w:pos="149"/>
              </w:tabs>
              <w:ind w:hanging="152"/>
              <w:jc w:val="left"/>
              <w:rPr>
                <w:sz w:val="14"/>
              </w:rPr>
            </w:pPr>
            <w:r>
              <w:rPr>
                <w:color w:val="231F20"/>
                <w:spacing w:val="-2"/>
                <w:sz w:val="24"/>
              </w:rPr>
              <w:t>Other</w:t>
            </w:r>
            <w:r>
              <w:rPr>
                <w:color w:val="231F20"/>
                <w:spacing w:val="-2"/>
                <w:position w:val="8"/>
                <w:sz w:val="14"/>
              </w:rPr>
              <w:t>16</w:t>
            </w:r>
          </w:p>
        </w:tc>
        <w:tc>
          <w:tcPr>
            <w:tcW w:w="6505" w:type="dxa"/>
          </w:tcPr>
          <w:p w14:paraId="214257D1" w14:textId="77777777" w:rsidR="00345EE3" w:rsidRDefault="00345EE3" w:rsidP="00D73130">
            <w:pPr>
              <w:pStyle w:val="TableParagraph"/>
              <w:jc w:val="left"/>
              <w:rPr>
                <w:sz w:val="24"/>
              </w:rPr>
            </w:pPr>
            <w:r>
              <w:rPr>
                <w:color w:val="231F20"/>
                <w:spacing w:val="-2"/>
                <w:sz w:val="24"/>
              </w:rPr>
              <w:t>Interstate</w:t>
            </w:r>
          </w:p>
        </w:tc>
        <w:tc>
          <w:tcPr>
            <w:tcW w:w="1700" w:type="dxa"/>
            <w:tcBorders>
              <w:right w:val="nil"/>
            </w:tcBorders>
          </w:tcPr>
          <w:p w14:paraId="092FA25A" w14:textId="77777777" w:rsidR="00345EE3" w:rsidRDefault="00345EE3" w:rsidP="00D73130">
            <w:pPr>
              <w:pStyle w:val="TableParagraph"/>
              <w:ind w:right="-15"/>
              <w:rPr>
                <w:sz w:val="24"/>
              </w:rPr>
            </w:pPr>
            <w:r>
              <w:rPr>
                <w:color w:val="231F20"/>
                <w:spacing w:val="-5"/>
                <w:sz w:val="24"/>
              </w:rPr>
              <w:t>781</w:t>
            </w:r>
          </w:p>
        </w:tc>
      </w:tr>
      <w:tr w:rsidR="00345EE3" w14:paraId="5E759361" w14:textId="77777777" w:rsidTr="00D87833">
        <w:trPr>
          <w:trHeight w:val="396"/>
        </w:trPr>
        <w:tc>
          <w:tcPr>
            <w:tcW w:w="8503" w:type="dxa"/>
            <w:gridSpan w:val="2"/>
            <w:tcBorders>
              <w:left w:val="nil"/>
            </w:tcBorders>
          </w:tcPr>
          <w:p w14:paraId="18A549E8" w14:textId="77777777" w:rsidR="00345EE3" w:rsidRDefault="00345EE3">
            <w:pPr>
              <w:pStyle w:val="TableParagraph"/>
              <w:numPr>
                <w:ilvl w:val="0"/>
                <w:numId w:val="60"/>
              </w:numPr>
              <w:tabs>
                <w:tab w:val="left" w:pos="149"/>
              </w:tabs>
              <w:ind w:hanging="152"/>
              <w:jc w:val="left"/>
              <w:rPr>
                <w:b/>
                <w:sz w:val="14"/>
              </w:rPr>
            </w:pPr>
            <w:r>
              <w:rPr>
                <w:b/>
                <w:color w:val="231F20"/>
                <w:spacing w:val="-2"/>
                <w:sz w:val="24"/>
              </w:rPr>
              <w:t>Total</w:t>
            </w:r>
            <w:r>
              <w:rPr>
                <w:b/>
                <w:color w:val="231F20"/>
                <w:spacing w:val="-2"/>
                <w:position w:val="8"/>
                <w:sz w:val="14"/>
              </w:rPr>
              <w:t>17</w:t>
            </w:r>
          </w:p>
        </w:tc>
        <w:tc>
          <w:tcPr>
            <w:tcW w:w="1700" w:type="dxa"/>
            <w:tcBorders>
              <w:right w:val="nil"/>
            </w:tcBorders>
          </w:tcPr>
          <w:p w14:paraId="1810FAE3" w14:textId="77777777" w:rsidR="00345EE3" w:rsidRDefault="00345EE3" w:rsidP="00D73130">
            <w:pPr>
              <w:pStyle w:val="TableParagraph"/>
              <w:ind w:right="-15"/>
              <w:rPr>
                <w:b/>
                <w:sz w:val="24"/>
              </w:rPr>
            </w:pPr>
            <w:r>
              <w:rPr>
                <w:b/>
                <w:color w:val="231F20"/>
                <w:spacing w:val="-2"/>
                <w:sz w:val="24"/>
              </w:rPr>
              <w:t>1,026</w:t>
            </w:r>
          </w:p>
        </w:tc>
      </w:tr>
      <w:tr w:rsidR="00345EE3" w14:paraId="1F6FAEDC" w14:textId="77777777" w:rsidTr="00D87833">
        <w:trPr>
          <w:trHeight w:val="956"/>
        </w:trPr>
        <w:tc>
          <w:tcPr>
            <w:tcW w:w="8503" w:type="dxa"/>
            <w:gridSpan w:val="2"/>
            <w:tcBorders>
              <w:left w:val="nil"/>
            </w:tcBorders>
          </w:tcPr>
          <w:p w14:paraId="5FA3E3ED" w14:textId="77777777" w:rsidR="00345EE3" w:rsidRDefault="00345EE3" w:rsidP="00D73130">
            <w:pPr>
              <w:pStyle w:val="TableParagraph"/>
              <w:spacing w:line="242" w:lineRule="auto"/>
              <w:ind w:left="-3" w:right="631"/>
              <w:jc w:val="both"/>
              <w:rPr>
                <w:sz w:val="24"/>
              </w:rPr>
            </w:pPr>
            <w:r>
              <w:rPr>
                <w:color w:val="231F20"/>
                <w:sz w:val="24"/>
              </w:rPr>
              <w:t>The</w:t>
            </w:r>
            <w:r>
              <w:rPr>
                <w:color w:val="231F20"/>
                <w:spacing w:val="-3"/>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registrable</w:t>
            </w:r>
            <w:r>
              <w:rPr>
                <w:color w:val="231F20"/>
                <w:spacing w:val="-3"/>
                <w:sz w:val="24"/>
              </w:rPr>
              <w:t xml:space="preserve"> </w:t>
            </w:r>
            <w:r>
              <w:rPr>
                <w:color w:val="231F20"/>
                <w:sz w:val="24"/>
              </w:rPr>
              <w:t>offenders</w:t>
            </w:r>
            <w:r>
              <w:rPr>
                <w:color w:val="231F20"/>
                <w:spacing w:val="-3"/>
                <w:sz w:val="24"/>
              </w:rPr>
              <w:t xml:space="preserve"> </w:t>
            </w:r>
            <w:r>
              <w:rPr>
                <w:color w:val="231F20"/>
                <w:sz w:val="24"/>
              </w:rPr>
              <w:t>who</w:t>
            </w:r>
            <w:r>
              <w:rPr>
                <w:color w:val="231F20"/>
                <w:spacing w:val="-4"/>
                <w:sz w:val="24"/>
              </w:rPr>
              <w:t xml:space="preserve"> </w:t>
            </w:r>
            <w:r>
              <w:rPr>
                <w:color w:val="231F20"/>
                <w:sz w:val="24"/>
              </w:rPr>
              <w:t>are</w:t>
            </w:r>
            <w:r>
              <w:rPr>
                <w:color w:val="231F20"/>
                <w:spacing w:val="-4"/>
                <w:sz w:val="24"/>
              </w:rPr>
              <w:t xml:space="preserve"> </w:t>
            </w:r>
            <w:r>
              <w:rPr>
                <w:color w:val="231F20"/>
                <w:sz w:val="24"/>
              </w:rPr>
              <w:t>the</w:t>
            </w:r>
            <w:r>
              <w:rPr>
                <w:color w:val="231F20"/>
                <w:spacing w:val="-3"/>
                <w:sz w:val="24"/>
              </w:rPr>
              <w:t xml:space="preserve"> </w:t>
            </w:r>
            <w:r>
              <w:rPr>
                <w:color w:val="231F20"/>
                <w:sz w:val="24"/>
              </w:rPr>
              <w:t>subject</w:t>
            </w:r>
            <w:r>
              <w:rPr>
                <w:color w:val="231F20"/>
                <w:spacing w:val="-3"/>
                <w:sz w:val="24"/>
              </w:rPr>
              <w:t xml:space="preserve"> </w:t>
            </w:r>
            <w:r>
              <w:rPr>
                <w:color w:val="231F20"/>
                <w:sz w:val="24"/>
              </w:rPr>
              <w:t>of</w:t>
            </w:r>
            <w:r>
              <w:rPr>
                <w:color w:val="231F20"/>
                <w:spacing w:val="-4"/>
                <w:sz w:val="24"/>
              </w:rPr>
              <w:t xml:space="preserve"> </w:t>
            </w:r>
            <w:r>
              <w:rPr>
                <w:color w:val="231F20"/>
                <w:sz w:val="24"/>
              </w:rPr>
              <w:t>an</w:t>
            </w:r>
            <w:r>
              <w:rPr>
                <w:color w:val="231F20"/>
                <w:spacing w:val="-4"/>
                <w:sz w:val="24"/>
              </w:rPr>
              <w:t xml:space="preserve"> </w:t>
            </w:r>
            <w:r>
              <w:rPr>
                <w:color w:val="231F20"/>
                <w:sz w:val="24"/>
              </w:rPr>
              <w:t>order</w:t>
            </w:r>
            <w:r>
              <w:rPr>
                <w:color w:val="231F20"/>
                <w:spacing w:val="-4"/>
                <w:sz w:val="24"/>
              </w:rPr>
              <w:t xml:space="preserve"> </w:t>
            </w:r>
            <w:r>
              <w:rPr>
                <w:color w:val="231F20"/>
                <w:sz w:val="24"/>
              </w:rPr>
              <w:t>under Division 6 Part 3 applies (or an equivalent order made under the laws of a foreign jurisdiction)</w:t>
            </w:r>
          </w:p>
        </w:tc>
        <w:tc>
          <w:tcPr>
            <w:tcW w:w="1700" w:type="dxa"/>
            <w:tcBorders>
              <w:right w:val="nil"/>
            </w:tcBorders>
          </w:tcPr>
          <w:p w14:paraId="2D6BE652" w14:textId="77777777" w:rsidR="00345EE3" w:rsidRDefault="00345EE3" w:rsidP="00D73130">
            <w:pPr>
              <w:pStyle w:val="TableParagraph"/>
              <w:ind w:right="-15"/>
              <w:rPr>
                <w:sz w:val="24"/>
              </w:rPr>
            </w:pPr>
            <w:r>
              <w:rPr>
                <w:color w:val="231F20"/>
                <w:sz w:val="24"/>
              </w:rPr>
              <w:t>0</w:t>
            </w:r>
          </w:p>
        </w:tc>
      </w:tr>
      <w:tr w:rsidR="00345EE3" w14:paraId="2FCCE43E" w14:textId="77777777" w:rsidTr="00D87833">
        <w:trPr>
          <w:trHeight w:val="676"/>
        </w:trPr>
        <w:tc>
          <w:tcPr>
            <w:tcW w:w="8503" w:type="dxa"/>
            <w:gridSpan w:val="2"/>
            <w:tcBorders>
              <w:left w:val="nil"/>
            </w:tcBorders>
          </w:tcPr>
          <w:p w14:paraId="1A93E3F3" w14:textId="77777777" w:rsidR="00345EE3" w:rsidRDefault="00345EE3" w:rsidP="00D73130">
            <w:pPr>
              <w:pStyle w:val="TableParagraph"/>
              <w:spacing w:line="242" w:lineRule="auto"/>
              <w:ind w:left="-3"/>
              <w:jc w:val="left"/>
              <w:rPr>
                <w:sz w:val="24"/>
              </w:rPr>
            </w:pPr>
            <w:r>
              <w:rPr>
                <w:color w:val="231F20"/>
                <w:sz w:val="24"/>
              </w:rPr>
              <w:t>The</w:t>
            </w:r>
            <w:r>
              <w:rPr>
                <w:color w:val="231F20"/>
                <w:spacing w:val="-3"/>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registrable</w:t>
            </w:r>
            <w:r>
              <w:rPr>
                <w:color w:val="231F20"/>
                <w:spacing w:val="-3"/>
                <w:sz w:val="24"/>
              </w:rPr>
              <w:t xml:space="preserve"> </w:t>
            </w:r>
            <w:r>
              <w:rPr>
                <w:color w:val="231F20"/>
                <w:sz w:val="24"/>
              </w:rPr>
              <w:t>offenders</w:t>
            </w:r>
            <w:r>
              <w:rPr>
                <w:color w:val="231F20"/>
                <w:spacing w:val="-3"/>
                <w:sz w:val="24"/>
              </w:rPr>
              <w:t xml:space="preserve"> </w:t>
            </w:r>
            <w:r>
              <w:rPr>
                <w:color w:val="231F20"/>
                <w:sz w:val="24"/>
              </w:rPr>
              <w:t>who</w:t>
            </w:r>
            <w:r>
              <w:rPr>
                <w:color w:val="231F20"/>
                <w:spacing w:val="-4"/>
                <w:sz w:val="24"/>
              </w:rPr>
              <w:t xml:space="preserve"> </w:t>
            </w:r>
            <w:r>
              <w:rPr>
                <w:color w:val="231F20"/>
                <w:sz w:val="24"/>
              </w:rPr>
              <w:t>are</w:t>
            </w:r>
            <w:r>
              <w:rPr>
                <w:color w:val="231F20"/>
                <w:spacing w:val="-4"/>
                <w:sz w:val="24"/>
              </w:rPr>
              <w:t xml:space="preserve"> </w:t>
            </w:r>
            <w:r>
              <w:rPr>
                <w:color w:val="231F20"/>
                <w:sz w:val="24"/>
              </w:rPr>
              <w:t>the</w:t>
            </w:r>
            <w:r>
              <w:rPr>
                <w:color w:val="231F20"/>
                <w:spacing w:val="-3"/>
                <w:sz w:val="24"/>
              </w:rPr>
              <w:t xml:space="preserve"> </w:t>
            </w:r>
            <w:r>
              <w:rPr>
                <w:color w:val="231F20"/>
                <w:sz w:val="24"/>
              </w:rPr>
              <w:t>subject</w:t>
            </w:r>
            <w:r>
              <w:rPr>
                <w:color w:val="231F20"/>
                <w:spacing w:val="-3"/>
                <w:sz w:val="24"/>
              </w:rPr>
              <w:t xml:space="preserve"> </w:t>
            </w:r>
            <w:r>
              <w:rPr>
                <w:color w:val="231F20"/>
                <w:sz w:val="24"/>
              </w:rPr>
              <w:t>of</w:t>
            </w:r>
            <w:r>
              <w:rPr>
                <w:color w:val="231F20"/>
                <w:spacing w:val="-4"/>
                <w:sz w:val="24"/>
              </w:rPr>
              <w:t xml:space="preserve"> </w:t>
            </w:r>
            <w:r>
              <w:rPr>
                <w:color w:val="231F20"/>
                <w:sz w:val="24"/>
              </w:rPr>
              <w:t>a</w:t>
            </w:r>
            <w:r>
              <w:rPr>
                <w:color w:val="231F20"/>
                <w:spacing w:val="-4"/>
                <w:sz w:val="24"/>
              </w:rPr>
              <w:t xml:space="preserve"> </w:t>
            </w:r>
            <w:r>
              <w:rPr>
                <w:color w:val="231F20"/>
                <w:sz w:val="24"/>
              </w:rPr>
              <w:t>notice</w:t>
            </w:r>
            <w:r>
              <w:rPr>
                <w:color w:val="231F20"/>
                <w:spacing w:val="-4"/>
                <w:sz w:val="24"/>
              </w:rPr>
              <w:t xml:space="preserve"> </w:t>
            </w:r>
            <w:r>
              <w:rPr>
                <w:color w:val="231F20"/>
                <w:sz w:val="24"/>
              </w:rPr>
              <w:t>under section 45A of the Act</w:t>
            </w:r>
          </w:p>
        </w:tc>
        <w:tc>
          <w:tcPr>
            <w:tcW w:w="1700" w:type="dxa"/>
            <w:tcBorders>
              <w:right w:val="nil"/>
            </w:tcBorders>
          </w:tcPr>
          <w:p w14:paraId="369C9355" w14:textId="77777777" w:rsidR="00345EE3" w:rsidRDefault="00345EE3" w:rsidP="00D73130">
            <w:pPr>
              <w:pStyle w:val="TableParagraph"/>
              <w:ind w:right="-15"/>
              <w:rPr>
                <w:sz w:val="24"/>
              </w:rPr>
            </w:pPr>
            <w:r>
              <w:rPr>
                <w:color w:val="231F20"/>
                <w:spacing w:val="-5"/>
                <w:sz w:val="24"/>
              </w:rPr>
              <w:t>33</w:t>
            </w:r>
          </w:p>
        </w:tc>
      </w:tr>
      <w:tr w:rsidR="00345EE3" w14:paraId="48B36B41" w14:textId="77777777" w:rsidTr="00D87833">
        <w:trPr>
          <w:trHeight w:val="396"/>
        </w:trPr>
        <w:tc>
          <w:tcPr>
            <w:tcW w:w="8503" w:type="dxa"/>
            <w:gridSpan w:val="2"/>
            <w:tcBorders>
              <w:left w:val="nil"/>
            </w:tcBorders>
          </w:tcPr>
          <w:p w14:paraId="625CF97C" w14:textId="77777777" w:rsidR="00345EE3" w:rsidRDefault="00345EE3" w:rsidP="00D73130">
            <w:pPr>
              <w:pStyle w:val="TableParagraph"/>
              <w:spacing w:before="61"/>
              <w:ind w:left="-3"/>
              <w:jc w:val="left"/>
              <w:rPr>
                <w:sz w:val="24"/>
              </w:rPr>
            </w:pPr>
            <w:r>
              <w:rPr>
                <w:color w:val="231F20"/>
                <w:sz w:val="24"/>
              </w:rPr>
              <w:t>The</w:t>
            </w:r>
            <w:r>
              <w:rPr>
                <w:color w:val="231F20"/>
                <w:spacing w:val="-5"/>
                <w:sz w:val="24"/>
              </w:rPr>
              <w:t xml:space="preserve"> </w:t>
            </w:r>
            <w:r>
              <w:rPr>
                <w:color w:val="231F20"/>
                <w:sz w:val="24"/>
              </w:rPr>
              <w:t>number</w:t>
            </w:r>
            <w:r>
              <w:rPr>
                <w:color w:val="231F20"/>
                <w:spacing w:val="-4"/>
                <w:sz w:val="24"/>
              </w:rPr>
              <w:t xml:space="preserve"> </w:t>
            </w:r>
            <w:r>
              <w:rPr>
                <w:color w:val="231F20"/>
                <w:sz w:val="24"/>
              </w:rPr>
              <w:t>of</w:t>
            </w:r>
            <w:r>
              <w:rPr>
                <w:color w:val="231F20"/>
                <w:spacing w:val="-3"/>
                <w:sz w:val="24"/>
              </w:rPr>
              <w:t xml:space="preserve"> </w:t>
            </w:r>
            <w:r>
              <w:rPr>
                <w:color w:val="231F20"/>
                <w:sz w:val="24"/>
              </w:rPr>
              <w:t>registrable</w:t>
            </w:r>
            <w:r>
              <w:rPr>
                <w:color w:val="231F20"/>
                <w:spacing w:val="-3"/>
                <w:sz w:val="24"/>
              </w:rPr>
              <w:t xml:space="preserve"> </w:t>
            </w:r>
            <w:r>
              <w:rPr>
                <w:color w:val="231F20"/>
                <w:sz w:val="24"/>
              </w:rPr>
              <w:t>offenders</w:t>
            </w:r>
            <w:r>
              <w:rPr>
                <w:color w:val="231F20"/>
                <w:spacing w:val="-2"/>
                <w:sz w:val="24"/>
              </w:rPr>
              <w:t xml:space="preserve"> </w:t>
            </w:r>
            <w:r>
              <w:rPr>
                <w:color w:val="231F20"/>
                <w:sz w:val="24"/>
              </w:rPr>
              <w:t>whose</w:t>
            </w:r>
            <w:r>
              <w:rPr>
                <w:color w:val="231F20"/>
                <w:spacing w:val="-4"/>
                <w:sz w:val="24"/>
              </w:rPr>
              <w:t xml:space="preserve"> </w:t>
            </w:r>
            <w:r>
              <w:rPr>
                <w:color w:val="231F20"/>
                <w:sz w:val="24"/>
              </w:rPr>
              <w:t>reporting</w:t>
            </w:r>
            <w:r>
              <w:rPr>
                <w:color w:val="231F20"/>
                <w:spacing w:val="-2"/>
                <w:sz w:val="24"/>
              </w:rPr>
              <w:t xml:space="preserve"> </w:t>
            </w:r>
            <w:r>
              <w:rPr>
                <w:color w:val="231F20"/>
                <w:sz w:val="24"/>
              </w:rPr>
              <w:t>period</w:t>
            </w:r>
            <w:r>
              <w:rPr>
                <w:color w:val="231F20"/>
                <w:spacing w:val="-4"/>
                <w:sz w:val="24"/>
              </w:rPr>
              <w:t xml:space="preserve"> </w:t>
            </w:r>
            <w:r>
              <w:rPr>
                <w:color w:val="231F20"/>
                <w:sz w:val="24"/>
              </w:rPr>
              <w:t>has</w:t>
            </w:r>
            <w:r>
              <w:rPr>
                <w:color w:val="231F20"/>
                <w:spacing w:val="-3"/>
                <w:sz w:val="24"/>
              </w:rPr>
              <w:t xml:space="preserve"> </w:t>
            </w:r>
            <w:r>
              <w:rPr>
                <w:color w:val="231F20"/>
                <w:spacing w:val="-2"/>
                <w:sz w:val="24"/>
              </w:rPr>
              <w:t>ended</w:t>
            </w:r>
          </w:p>
        </w:tc>
        <w:tc>
          <w:tcPr>
            <w:tcW w:w="1700" w:type="dxa"/>
            <w:tcBorders>
              <w:right w:val="nil"/>
            </w:tcBorders>
          </w:tcPr>
          <w:p w14:paraId="23DBF785" w14:textId="77777777" w:rsidR="00345EE3" w:rsidRDefault="00345EE3" w:rsidP="00D73130">
            <w:pPr>
              <w:pStyle w:val="TableParagraph"/>
              <w:spacing w:before="61"/>
              <w:ind w:right="-15"/>
              <w:rPr>
                <w:sz w:val="24"/>
              </w:rPr>
            </w:pPr>
            <w:r>
              <w:rPr>
                <w:color w:val="231F20"/>
                <w:spacing w:val="-2"/>
                <w:sz w:val="24"/>
              </w:rPr>
              <w:t>2,323</w:t>
            </w:r>
          </w:p>
        </w:tc>
      </w:tr>
      <w:tr w:rsidR="00345EE3" w14:paraId="5E061AB3" w14:textId="77777777" w:rsidTr="00D87833">
        <w:trPr>
          <w:trHeight w:val="396"/>
        </w:trPr>
        <w:tc>
          <w:tcPr>
            <w:tcW w:w="8503" w:type="dxa"/>
            <w:gridSpan w:val="2"/>
            <w:tcBorders>
              <w:left w:val="nil"/>
            </w:tcBorders>
          </w:tcPr>
          <w:p w14:paraId="26267076" w14:textId="77777777" w:rsidR="00345EE3" w:rsidRDefault="00345EE3" w:rsidP="00D73130">
            <w:pPr>
              <w:pStyle w:val="TableParagraph"/>
              <w:spacing w:before="61"/>
              <w:ind w:left="-3"/>
              <w:jc w:val="left"/>
              <w:rPr>
                <w:sz w:val="24"/>
              </w:rPr>
            </w:pPr>
            <w:r>
              <w:rPr>
                <w:color w:val="231F20"/>
                <w:sz w:val="24"/>
              </w:rPr>
              <w:t>The</w:t>
            </w:r>
            <w:r>
              <w:rPr>
                <w:color w:val="231F20"/>
                <w:spacing w:val="-3"/>
                <w:sz w:val="24"/>
              </w:rPr>
              <w:t xml:space="preserve"> </w:t>
            </w:r>
            <w:r>
              <w:rPr>
                <w:color w:val="231F20"/>
                <w:sz w:val="24"/>
              </w:rPr>
              <w:t>number</w:t>
            </w:r>
            <w:r>
              <w:rPr>
                <w:color w:val="231F20"/>
                <w:spacing w:val="-4"/>
                <w:sz w:val="24"/>
              </w:rPr>
              <w:t xml:space="preserve"> </w:t>
            </w:r>
            <w:r>
              <w:rPr>
                <w:color w:val="231F20"/>
                <w:sz w:val="24"/>
              </w:rPr>
              <w:t>of</w:t>
            </w:r>
            <w:r>
              <w:rPr>
                <w:color w:val="231F20"/>
                <w:spacing w:val="-3"/>
                <w:sz w:val="24"/>
              </w:rPr>
              <w:t xml:space="preserve"> </w:t>
            </w:r>
            <w:r>
              <w:rPr>
                <w:color w:val="231F20"/>
                <w:sz w:val="24"/>
              </w:rPr>
              <w:t>deceased</w:t>
            </w:r>
            <w:r>
              <w:rPr>
                <w:color w:val="231F20"/>
                <w:spacing w:val="-4"/>
                <w:sz w:val="24"/>
              </w:rPr>
              <w:t xml:space="preserve"> </w:t>
            </w:r>
            <w:r>
              <w:rPr>
                <w:color w:val="231F20"/>
                <w:sz w:val="24"/>
              </w:rPr>
              <w:t>registrable</w:t>
            </w:r>
            <w:r>
              <w:rPr>
                <w:color w:val="231F20"/>
                <w:spacing w:val="-2"/>
                <w:sz w:val="24"/>
              </w:rPr>
              <w:t xml:space="preserve"> offenders</w:t>
            </w:r>
          </w:p>
        </w:tc>
        <w:tc>
          <w:tcPr>
            <w:tcW w:w="1700" w:type="dxa"/>
            <w:tcBorders>
              <w:right w:val="nil"/>
            </w:tcBorders>
          </w:tcPr>
          <w:p w14:paraId="2BB51C29" w14:textId="77777777" w:rsidR="00345EE3" w:rsidRDefault="00345EE3" w:rsidP="00D73130">
            <w:pPr>
              <w:pStyle w:val="TableParagraph"/>
              <w:spacing w:before="61"/>
              <w:ind w:right="-15"/>
              <w:rPr>
                <w:sz w:val="24"/>
              </w:rPr>
            </w:pPr>
            <w:r>
              <w:rPr>
                <w:color w:val="231F20"/>
                <w:spacing w:val="-5"/>
                <w:sz w:val="24"/>
              </w:rPr>
              <w:t>781</w:t>
            </w:r>
          </w:p>
        </w:tc>
      </w:tr>
      <w:tr w:rsidR="00345EE3" w14:paraId="15A061E2" w14:textId="77777777" w:rsidTr="00D87833">
        <w:trPr>
          <w:trHeight w:val="676"/>
        </w:trPr>
        <w:tc>
          <w:tcPr>
            <w:tcW w:w="10203" w:type="dxa"/>
            <w:gridSpan w:val="3"/>
            <w:tcBorders>
              <w:left w:val="nil"/>
              <w:right w:val="nil"/>
            </w:tcBorders>
            <w:shd w:val="clear" w:color="auto" w:fill="D1D3D4"/>
          </w:tcPr>
          <w:p w14:paraId="2B3B1BA5" w14:textId="77777777" w:rsidR="00345EE3" w:rsidRDefault="00345EE3" w:rsidP="00D73130">
            <w:pPr>
              <w:pStyle w:val="TableParagraph"/>
              <w:spacing w:before="61" w:line="242" w:lineRule="auto"/>
              <w:jc w:val="left"/>
              <w:rPr>
                <w:b/>
                <w:sz w:val="24"/>
              </w:rPr>
            </w:pPr>
            <w:r>
              <w:rPr>
                <w:b/>
                <w:color w:val="231F20"/>
                <w:sz w:val="24"/>
              </w:rPr>
              <w:t>38(b)</w:t>
            </w:r>
            <w:r>
              <w:rPr>
                <w:b/>
                <w:color w:val="231F20"/>
                <w:spacing w:val="-4"/>
                <w:sz w:val="24"/>
              </w:rPr>
              <w:t xml:space="preserve"> </w:t>
            </w:r>
            <w:r>
              <w:rPr>
                <w:b/>
                <w:color w:val="231F20"/>
                <w:sz w:val="24"/>
              </w:rPr>
              <w:t>with</w:t>
            </w:r>
            <w:r>
              <w:rPr>
                <w:b/>
                <w:color w:val="231F20"/>
                <w:spacing w:val="-3"/>
                <w:sz w:val="24"/>
              </w:rPr>
              <w:t xml:space="preserve"> </w:t>
            </w:r>
            <w:r>
              <w:rPr>
                <w:b/>
                <w:color w:val="231F20"/>
                <w:sz w:val="24"/>
              </w:rPr>
              <w:t>respect</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number</w:t>
            </w:r>
            <w:r>
              <w:rPr>
                <w:b/>
                <w:color w:val="231F20"/>
                <w:spacing w:val="-3"/>
                <w:sz w:val="24"/>
              </w:rPr>
              <w:t xml:space="preserve"> </w:t>
            </w:r>
            <w:r>
              <w:rPr>
                <w:b/>
                <w:color w:val="231F20"/>
                <w:sz w:val="24"/>
              </w:rPr>
              <w:t>of</w:t>
            </w:r>
            <w:r>
              <w:rPr>
                <w:b/>
                <w:color w:val="231F20"/>
                <w:spacing w:val="-3"/>
                <w:sz w:val="24"/>
              </w:rPr>
              <w:t xml:space="preserve"> </w:t>
            </w:r>
            <w:r>
              <w:rPr>
                <w:b/>
                <w:color w:val="231F20"/>
                <w:sz w:val="24"/>
              </w:rPr>
              <w:t>offenders</w:t>
            </w:r>
            <w:r>
              <w:rPr>
                <w:b/>
                <w:color w:val="231F20"/>
                <w:spacing w:val="-3"/>
                <w:sz w:val="24"/>
              </w:rPr>
              <w:t xml:space="preserve"> </w:t>
            </w:r>
            <w:r>
              <w:rPr>
                <w:b/>
                <w:color w:val="231F20"/>
                <w:sz w:val="24"/>
              </w:rPr>
              <w:t>added</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Register</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financial</w:t>
            </w:r>
            <w:r>
              <w:rPr>
                <w:b/>
                <w:color w:val="231F20"/>
                <w:spacing w:val="-3"/>
                <w:sz w:val="24"/>
              </w:rPr>
              <w:t xml:space="preserve"> </w:t>
            </w:r>
            <w:r>
              <w:rPr>
                <w:b/>
                <w:color w:val="231F20"/>
                <w:sz w:val="24"/>
              </w:rPr>
              <w:t>year ending on the immediately preceding 30 June [2022]</w:t>
            </w:r>
          </w:p>
        </w:tc>
      </w:tr>
      <w:tr w:rsidR="00345EE3" w14:paraId="32BFA713" w14:textId="77777777" w:rsidTr="00D87833">
        <w:trPr>
          <w:trHeight w:val="396"/>
        </w:trPr>
        <w:tc>
          <w:tcPr>
            <w:tcW w:w="8503" w:type="dxa"/>
            <w:gridSpan w:val="2"/>
            <w:tcBorders>
              <w:left w:val="nil"/>
            </w:tcBorders>
          </w:tcPr>
          <w:p w14:paraId="44D7E5E1" w14:textId="77777777" w:rsidR="00345EE3" w:rsidRDefault="00345EE3" w:rsidP="00D73130">
            <w:pPr>
              <w:pStyle w:val="TableParagraph"/>
              <w:spacing w:before="61"/>
              <w:ind w:left="-3"/>
              <w:jc w:val="left"/>
              <w:rPr>
                <w:sz w:val="24"/>
              </w:rPr>
            </w:pPr>
            <w:r>
              <w:rPr>
                <w:color w:val="231F20"/>
                <w:sz w:val="24"/>
              </w:rPr>
              <w:t>The</w:t>
            </w:r>
            <w:r>
              <w:rPr>
                <w:color w:val="231F20"/>
                <w:spacing w:val="-3"/>
                <w:sz w:val="24"/>
              </w:rPr>
              <w:t xml:space="preserve"> </w:t>
            </w:r>
            <w:r>
              <w:rPr>
                <w:color w:val="231F20"/>
                <w:sz w:val="24"/>
              </w:rPr>
              <w:t>number</w:t>
            </w:r>
            <w:r>
              <w:rPr>
                <w:color w:val="231F20"/>
                <w:spacing w:val="-3"/>
                <w:sz w:val="24"/>
              </w:rPr>
              <w:t xml:space="preserve"> </w:t>
            </w:r>
            <w:r>
              <w:rPr>
                <w:color w:val="231F20"/>
                <w:sz w:val="24"/>
              </w:rPr>
              <w:t>of</w:t>
            </w:r>
            <w:r>
              <w:rPr>
                <w:color w:val="231F20"/>
                <w:spacing w:val="-4"/>
                <w:sz w:val="24"/>
              </w:rPr>
              <w:t xml:space="preserve"> </w:t>
            </w:r>
            <w:r>
              <w:rPr>
                <w:color w:val="231F20"/>
                <w:sz w:val="24"/>
              </w:rPr>
              <w:t>offenders</w:t>
            </w:r>
            <w:r>
              <w:rPr>
                <w:color w:val="231F20"/>
                <w:spacing w:val="-2"/>
                <w:sz w:val="24"/>
              </w:rPr>
              <w:t xml:space="preserve"> </w:t>
            </w:r>
            <w:r>
              <w:rPr>
                <w:color w:val="231F20"/>
                <w:sz w:val="24"/>
              </w:rPr>
              <w:t>under</w:t>
            </w:r>
            <w:r>
              <w:rPr>
                <w:color w:val="231F20"/>
                <w:spacing w:val="-3"/>
                <w:sz w:val="24"/>
              </w:rPr>
              <w:t xml:space="preserve"> </w:t>
            </w:r>
            <w:r>
              <w:rPr>
                <w:color w:val="231F20"/>
                <w:sz w:val="24"/>
              </w:rPr>
              <w:t>the</w:t>
            </w:r>
            <w:r>
              <w:rPr>
                <w:color w:val="231F20"/>
                <w:spacing w:val="-3"/>
                <w:sz w:val="24"/>
              </w:rPr>
              <w:t xml:space="preserve"> </w:t>
            </w:r>
            <w:r>
              <w:rPr>
                <w:color w:val="231F20"/>
                <w:sz w:val="24"/>
              </w:rPr>
              <w:t>age</w:t>
            </w:r>
            <w:r>
              <w:rPr>
                <w:color w:val="231F20"/>
                <w:spacing w:val="-3"/>
                <w:sz w:val="24"/>
              </w:rPr>
              <w:t xml:space="preserve"> </w:t>
            </w:r>
            <w:r>
              <w:rPr>
                <w:color w:val="231F20"/>
                <w:sz w:val="24"/>
              </w:rPr>
              <w:t>of</w:t>
            </w:r>
            <w:r>
              <w:rPr>
                <w:color w:val="231F20"/>
                <w:spacing w:val="-3"/>
                <w:sz w:val="24"/>
              </w:rPr>
              <w:t xml:space="preserve"> </w:t>
            </w:r>
            <w:r>
              <w:rPr>
                <w:color w:val="231F20"/>
                <w:spacing w:val="-7"/>
                <w:sz w:val="24"/>
              </w:rPr>
              <w:t>18</w:t>
            </w:r>
          </w:p>
        </w:tc>
        <w:tc>
          <w:tcPr>
            <w:tcW w:w="1700" w:type="dxa"/>
            <w:tcBorders>
              <w:right w:val="nil"/>
            </w:tcBorders>
          </w:tcPr>
          <w:p w14:paraId="299ACD38" w14:textId="77777777" w:rsidR="00345EE3" w:rsidRDefault="00345EE3" w:rsidP="00D73130">
            <w:pPr>
              <w:pStyle w:val="TableParagraph"/>
              <w:spacing w:before="61"/>
              <w:ind w:right="-15"/>
              <w:rPr>
                <w:sz w:val="24"/>
              </w:rPr>
            </w:pPr>
            <w:r>
              <w:rPr>
                <w:color w:val="231F20"/>
                <w:spacing w:val="-5"/>
                <w:sz w:val="24"/>
              </w:rPr>
              <w:t>Nil</w:t>
            </w:r>
          </w:p>
        </w:tc>
      </w:tr>
      <w:tr w:rsidR="00345EE3" w14:paraId="05AE2C14" w14:textId="77777777" w:rsidTr="00D87833">
        <w:trPr>
          <w:trHeight w:val="676"/>
        </w:trPr>
        <w:tc>
          <w:tcPr>
            <w:tcW w:w="8503" w:type="dxa"/>
            <w:gridSpan w:val="2"/>
            <w:tcBorders>
              <w:left w:val="nil"/>
            </w:tcBorders>
          </w:tcPr>
          <w:p w14:paraId="7D79538C" w14:textId="77777777" w:rsidR="00345EE3" w:rsidRDefault="00345EE3" w:rsidP="00D73130">
            <w:pPr>
              <w:pStyle w:val="TableParagraph"/>
              <w:spacing w:before="61" w:line="242" w:lineRule="auto"/>
              <w:ind w:left="-3"/>
              <w:jc w:val="left"/>
              <w:rPr>
                <w:sz w:val="24"/>
              </w:rPr>
            </w:pPr>
            <w:r>
              <w:rPr>
                <w:color w:val="231F20"/>
                <w:sz w:val="24"/>
              </w:rPr>
              <w:t>The</w:t>
            </w:r>
            <w:r>
              <w:rPr>
                <w:color w:val="231F20"/>
                <w:spacing w:val="-3"/>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offenders</w:t>
            </w:r>
            <w:r>
              <w:rPr>
                <w:color w:val="231F20"/>
                <w:spacing w:val="-3"/>
                <w:sz w:val="24"/>
              </w:rPr>
              <w:t xml:space="preserve"> </w:t>
            </w:r>
            <w:r>
              <w:rPr>
                <w:color w:val="231F20"/>
                <w:sz w:val="24"/>
              </w:rPr>
              <w:t>added</w:t>
            </w:r>
            <w:r>
              <w:rPr>
                <w:color w:val="231F20"/>
                <w:spacing w:val="-4"/>
                <w:sz w:val="24"/>
              </w:rPr>
              <w:t xml:space="preserve"> </w:t>
            </w:r>
            <w:r>
              <w:rPr>
                <w:color w:val="231F20"/>
                <w:sz w:val="24"/>
              </w:rPr>
              <w:t>to</w:t>
            </w:r>
            <w:r>
              <w:rPr>
                <w:color w:val="231F20"/>
                <w:spacing w:val="-3"/>
                <w:sz w:val="24"/>
              </w:rPr>
              <w:t xml:space="preserve"> </w:t>
            </w:r>
            <w:r>
              <w:rPr>
                <w:color w:val="231F20"/>
                <w:sz w:val="24"/>
              </w:rPr>
              <w:t>the</w:t>
            </w:r>
            <w:r>
              <w:rPr>
                <w:color w:val="231F20"/>
                <w:spacing w:val="-3"/>
                <w:sz w:val="24"/>
              </w:rPr>
              <w:t xml:space="preserve"> </w:t>
            </w:r>
            <w:r>
              <w:rPr>
                <w:color w:val="231F20"/>
                <w:sz w:val="24"/>
              </w:rPr>
              <w:t>Register</w:t>
            </w:r>
            <w:r>
              <w:rPr>
                <w:color w:val="231F20"/>
                <w:spacing w:val="-4"/>
                <w:sz w:val="24"/>
              </w:rPr>
              <w:t xml:space="preserve"> </w:t>
            </w:r>
            <w:r>
              <w:rPr>
                <w:color w:val="231F20"/>
                <w:sz w:val="24"/>
              </w:rPr>
              <w:t>following</w:t>
            </w:r>
            <w:r>
              <w:rPr>
                <w:color w:val="231F20"/>
                <w:spacing w:val="-3"/>
                <w:sz w:val="24"/>
              </w:rPr>
              <w:t xml:space="preserve"> </w:t>
            </w:r>
            <w:r>
              <w:rPr>
                <w:color w:val="231F20"/>
                <w:sz w:val="24"/>
              </w:rPr>
              <w:t>the</w:t>
            </w:r>
            <w:r>
              <w:rPr>
                <w:color w:val="231F20"/>
                <w:spacing w:val="-3"/>
                <w:sz w:val="24"/>
              </w:rPr>
              <w:t xml:space="preserve"> </w:t>
            </w:r>
            <w:r>
              <w:rPr>
                <w:color w:val="231F20"/>
                <w:sz w:val="24"/>
              </w:rPr>
              <w:t>making</w:t>
            </w:r>
            <w:r>
              <w:rPr>
                <w:color w:val="231F20"/>
                <w:spacing w:val="-3"/>
                <w:sz w:val="24"/>
              </w:rPr>
              <w:t xml:space="preserve"> </w:t>
            </w:r>
            <w:r>
              <w:rPr>
                <w:color w:val="231F20"/>
                <w:sz w:val="24"/>
              </w:rPr>
              <w:t>of</w:t>
            </w:r>
            <w:r>
              <w:rPr>
                <w:color w:val="231F20"/>
                <w:spacing w:val="-4"/>
                <w:sz w:val="24"/>
              </w:rPr>
              <w:t xml:space="preserve"> </w:t>
            </w:r>
            <w:r>
              <w:rPr>
                <w:color w:val="231F20"/>
                <w:sz w:val="24"/>
              </w:rPr>
              <w:t>an</w:t>
            </w:r>
            <w:r>
              <w:rPr>
                <w:color w:val="231F20"/>
                <w:spacing w:val="-4"/>
                <w:sz w:val="24"/>
              </w:rPr>
              <w:t xml:space="preserve"> </w:t>
            </w:r>
            <w:r>
              <w:rPr>
                <w:color w:val="231F20"/>
                <w:sz w:val="24"/>
              </w:rPr>
              <w:t>order under section 11</w:t>
            </w:r>
          </w:p>
        </w:tc>
        <w:tc>
          <w:tcPr>
            <w:tcW w:w="1700" w:type="dxa"/>
            <w:tcBorders>
              <w:right w:val="nil"/>
            </w:tcBorders>
          </w:tcPr>
          <w:p w14:paraId="32872549" w14:textId="77777777" w:rsidR="00345EE3" w:rsidRDefault="00345EE3" w:rsidP="00D73130">
            <w:pPr>
              <w:pStyle w:val="TableParagraph"/>
              <w:spacing w:before="61"/>
              <w:ind w:right="-15"/>
              <w:rPr>
                <w:sz w:val="24"/>
              </w:rPr>
            </w:pPr>
            <w:r>
              <w:rPr>
                <w:color w:val="231F20"/>
                <w:spacing w:val="-5"/>
                <w:sz w:val="24"/>
              </w:rPr>
              <w:t>26</w:t>
            </w:r>
          </w:p>
        </w:tc>
      </w:tr>
      <w:tr w:rsidR="00345EE3" w14:paraId="2CF85B09" w14:textId="77777777" w:rsidTr="00D87833">
        <w:trPr>
          <w:trHeight w:val="676"/>
        </w:trPr>
        <w:tc>
          <w:tcPr>
            <w:tcW w:w="8503" w:type="dxa"/>
            <w:gridSpan w:val="2"/>
            <w:tcBorders>
              <w:left w:val="nil"/>
            </w:tcBorders>
          </w:tcPr>
          <w:p w14:paraId="05DDA47B" w14:textId="77777777" w:rsidR="00345EE3" w:rsidRDefault="00345EE3" w:rsidP="00D73130">
            <w:pPr>
              <w:pStyle w:val="TableParagraph"/>
              <w:spacing w:before="61" w:line="242" w:lineRule="auto"/>
              <w:ind w:left="-3"/>
              <w:jc w:val="left"/>
              <w:rPr>
                <w:sz w:val="24"/>
              </w:rPr>
            </w:pPr>
            <w:r>
              <w:rPr>
                <w:color w:val="231F20"/>
                <w:sz w:val="24"/>
              </w:rPr>
              <w:t>The</w:t>
            </w:r>
            <w:r>
              <w:rPr>
                <w:color w:val="231F20"/>
                <w:spacing w:val="-4"/>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offenders</w:t>
            </w:r>
            <w:r>
              <w:rPr>
                <w:color w:val="231F20"/>
                <w:spacing w:val="-4"/>
                <w:sz w:val="24"/>
              </w:rPr>
              <w:t xml:space="preserve"> </w:t>
            </w:r>
            <w:r>
              <w:rPr>
                <w:color w:val="231F20"/>
                <w:sz w:val="24"/>
              </w:rPr>
              <w:t>added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4"/>
                <w:sz w:val="24"/>
              </w:rPr>
              <w:t xml:space="preserve"> </w:t>
            </w:r>
            <w:r>
              <w:rPr>
                <w:color w:val="231F20"/>
                <w:sz w:val="24"/>
              </w:rPr>
              <w:t>Register</w:t>
            </w:r>
            <w:r>
              <w:rPr>
                <w:color w:val="231F20"/>
                <w:spacing w:val="-4"/>
                <w:sz w:val="24"/>
              </w:rPr>
              <w:t xml:space="preserve"> </w:t>
            </w:r>
            <w:r>
              <w:rPr>
                <w:color w:val="231F20"/>
                <w:sz w:val="24"/>
              </w:rPr>
              <w:t>because</w:t>
            </w:r>
            <w:r>
              <w:rPr>
                <w:color w:val="231F20"/>
                <w:spacing w:val="-4"/>
                <w:sz w:val="24"/>
              </w:rPr>
              <w:t xml:space="preserve"> </w:t>
            </w:r>
            <w:r>
              <w:rPr>
                <w:color w:val="231F20"/>
                <w:sz w:val="24"/>
              </w:rPr>
              <w:t>they</w:t>
            </w:r>
            <w:r>
              <w:rPr>
                <w:color w:val="231F20"/>
                <w:spacing w:val="-4"/>
                <w:sz w:val="24"/>
              </w:rPr>
              <w:t xml:space="preserve"> </w:t>
            </w:r>
            <w:r>
              <w:rPr>
                <w:color w:val="231F20"/>
                <w:sz w:val="24"/>
              </w:rPr>
              <w:t>are</w:t>
            </w:r>
            <w:r>
              <w:rPr>
                <w:color w:val="231F20"/>
                <w:spacing w:val="-4"/>
                <w:sz w:val="24"/>
              </w:rPr>
              <w:t xml:space="preserve"> </w:t>
            </w:r>
            <w:r>
              <w:rPr>
                <w:color w:val="231F20"/>
                <w:sz w:val="24"/>
              </w:rPr>
              <w:t>corresponding registrable offenders</w:t>
            </w:r>
          </w:p>
        </w:tc>
        <w:tc>
          <w:tcPr>
            <w:tcW w:w="1700" w:type="dxa"/>
            <w:tcBorders>
              <w:right w:val="nil"/>
            </w:tcBorders>
          </w:tcPr>
          <w:p w14:paraId="22FBB26A" w14:textId="77777777" w:rsidR="00345EE3" w:rsidRDefault="00345EE3" w:rsidP="00D73130">
            <w:pPr>
              <w:pStyle w:val="TableParagraph"/>
              <w:spacing w:before="61"/>
              <w:ind w:right="-15"/>
              <w:rPr>
                <w:sz w:val="24"/>
              </w:rPr>
            </w:pPr>
            <w:r>
              <w:rPr>
                <w:color w:val="231F20"/>
                <w:spacing w:val="-5"/>
                <w:sz w:val="24"/>
              </w:rPr>
              <w:t>56</w:t>
            </w:r>
          </w:p>
        </w:tc>
      </w:tr>
    </w:tbl>
    <w:p w14:paraId="4EC92988" w14:textId="77777777" w:rsidR="00345EE3" w:rsidRPr="00BD27F9" w:rsidRDefault="00345EE3" w:rsidP="00345EE3">
      <w:pPr>
        <w:spacing w:before="80"/>
        <w:ind w:left="110"/>
        <w:rPr>
          <w:sz w:val="18"/>
          <w:szCs w:val="18"/>
        </w:rPr>
      </w:pPr>
      <w:r w:rsidRPr="00BD27F9">
        <w:rPr>
          <w:rFonts w:ascii="Arial-BoldItalicMT"/>
          <w:b/>
          <w:i/>
          <w:color w:val="231F20"/>
          <w:sz w:val="18"/>
          <w:szCs w:val="18"/>
        </w:rPr>
        <w:t>Source:</w:t>
      </w:r>
      <w:r w:rsidRPr="00BD27F9">
        <w:rPr>
          <w:rFonts w:ascii="Arial-BoldItalicMT"/>
          <w:b/>
          <w:i/>
          <w:color w:val="231F20"/>
          <w:spacing w:val="2"/>
          <w:sz w:val="18"/>
          <w:szCs w:val="18"/>
        </w:rPr>
        <w:t xml:space="preserve"> </w:t>
      </w:r>
      <w:r w:rsidRPr="00BD27F9">
        <w:rPr>
          <w:color w:val="231F20"/>
          <w:sz w:val="18"/>
          <w:szCs w:val="18"/>
        </w:rPr>
        <w:t>Intelligence &amp; Covert Support</w:t>
      </w:r>
      <w:r w:rsidRPr="00BD27F9">
        <w:rPr>
          <w:color w:val="231F20"/>
          <w:spacing w:val="1"/>
          <w:sz w:val="18"/>
          <w:szCs w:val="18"/>
        </w:rPr>
        <w:t xml:space="preserve"> </w:t>
      </w:r>
      <w:r w:rsidRPr="00BD27F9">
        <w:rPr>
          <w:color w:val="231F20"/>
          <w:sz w:val="18"/>
          <w:szCs w:val="18"/>
        </w:rPr>
        <w:t>Command. Data extracted from National Child</w:t>
      </w:r>
      <w:r w:rsidRPr="00BD27F9">
        <w:rPr>
          <w:color w:val="231F20"/>
          <w:spacing w:val="1"/>
          <w:sz w:val="18"/>
          <w:szCs w:val="18"/>
        </w:rPr>
        <w:t xml:space="preserve"> </w:t>
      </w:r>
      <w:r w:rsidRPr="00BD27F9">
        <w:rPr>
          <w:color w:val="231F20"/>
          <w:sz w:val="18"/>
          <w:szCs w:val="18"/>
        </w:rPr>
        <w:t>Offender System on 5 July</w:t>
      </w:r>
      <w:r w:rsidRPr="00BD27F9">
        <w:rPr>
          <w:color w:val="231F20"/>
          <w:spacing w:val="1"/>
          <w:sz w:val="18"/>
          <w:szCs w:val="18"/>
        </w:rPr>
        <w:t xml:space="preserve"> </w:t>
      </w:r>
      <w:r w:rsidRPr="00BD27F9">
        <w:rPr>
          <w:color w:val="231F20"/>
          <w:spacing w:val="-2"/>
          <w:sz w:val="18"/>
          <w:szCs w:val="18"/>
        </w:rPr>
        <w:t>2022.</w:t>
      </w:r>
    </w:p>
    <w:p w14:paraId="164B2844" w14:textId="77777777" w:rsidR="00345EE3" w:rsidRPr="00BD27F9" w:rsidRDefault="00345EE3">
      <w:pPr>
        <w:pStyle w:val="ListParagraph"/>
        <w:numPr>
          <w:ilvl w:val="0"/>
          <w:numId w:val="78"/>
        </w:numPr>
        <w:tabs>
          <w:tab w:val="left" w:pos="338"/>
        </w:tabs>
        <w:spacing w:before="113"/>
        <w:ind w:right="1125"/>
        <w:rPr>
          <w:sz w:val="18"/>
          <w:szCs w:val="18"/>
        </w:rPr>
      </w:pPr>
      <w:r w:rsidRPr="00BD27F9">
        <w:rPr>
          <w:color w:val="231F20"/>
          <w:sz w:val="18"/>
          <w:szCs w:val="18"/>
        </w:rPr>
        <w:t>Other</w:t>
      </w:r>
      <w:r w:rsidRPr="00BD27F9">
        <w:rPr>
          <w:color w:val="231F20"/>
          <w:spacing w:val="-1"/>
          <w:sz w:val="18"/>
          <w:szCs w:val="18"/>
        </w:rPr>
        <w:t xml:space="preserve"> </w:t>
      </w:r>
      <w:r w:rsidRPr="00BD27F9">
        <w:rPr>
          <w:color w:val="231F20"/>
          <w:sz w:val="18"/>
          <w:szCs w:val="18"/>
        </w:rPr>
        <w:t>refers</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periods</w:t>
      </w:r>
      <w:r w:rsidRPr="00BD27F9">
        <w:rPr>
          <w:color w:val="231F20"/>
          <w:spacing w:val="-1"/>
          <w:sz w:val="18"/>
          <w:szCs w:val="18"/>
        </w:rPr>
        <w:t xml:space="preserve"> </w:t>
      </w:r>
      <w:r w:rsidRPr="00BD27F9">
        <w:rPr>
          <w:color w:val="231F20"/>
          <w:sz w:val="18"/>
          <w:szCs w:val="18"/>
        </w:rPr>
        <w:t>outside</w:t>
      </w:r>
      <w:r w:rsidRPr="00BD27F9">
        <w:rPr>
          <w:color w:val="231F20"/>
          <w:spacing w:val="-1"/>
          <w:sz w:val="18"/>
          <w:szCs w:val="18"/>
        </w:rPr>
        <w:t xml:space="preserve"> </w:t>
      </w:r>
      <w:r w:rsidRPr="00BD27F9">
        <w:rPr>
          <w:color w:val="231F20"/>
          <w:sz w:val="18"/>
          <w:szCs w:val="18"/>
        </w:rPr>
        <w:t>those</w:t>
      </w:r>
      <w:r w:rsidRPr="00BD27F9">
        <w:rPr>
          <w:color w:val="231F20"/>
          <w:spacing w:val="-1"/>
          <w:sz w:val="18"/>
          <w:szCs w:val="18"/>
        </w:rPr>
        <w:t xml:space="preserve"> </w:t>
      </w:r>
      <w:r w:rsidRPr="00BD27F9">
        <w:rPr>
          <w:color w:val="231F20"/>
          <w:sz w:val="18"/>
          <w:szCs w:val="18"/>
        </w:rPr>
        <w:t>defined</w:t>
      </w:r>
      <w:r w:rsidRPr="00BD27F9">
        <w:rPr>
          <w:color w:val="231F20"/>
          <w:spacing w:val="-1"/>
          <w:sz w:val="18"/>
          <w:szCs w:val="18"/>
        </w:rPr>
        <w:t xml:space="preserve"> </w:t>
      </w:r>
      <w:r w:rsidRPr="00BD27F9">
        <w:rPr>
          <w:color w:val="231F20"/>
          <w:sz w:val="18"/>
          <w:szCs w:val="18"/>
        </w:rPr>
        <w:t>in</w:t>
      </w:r>
      <w:r w:rsidRPr="00BD27F9">
        <w:rPr>
          <w:color w:val="231F20"/>
          <w:spacing w:val="-1"/>
          <w:sz w:val="18"/>
          <w:szCs w:val="18"/>
        </w:rPr>
        <w:t xml:space="preserve"> </w:t>
      </w:r>
      <w:hyperlink r:id="rId37">
        <w:r w:rsidRPr="00BD27F9">
          <w:rPr>
            <w:color w:val="231F20"/>
            <w:sz w:val="18"/>
            <w:szCs w:val="18"/>
          </w:rPr>
          <w:t>section.34</w:t>
        </w:r>
      </w:hyperlink>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i/>
          <w:color w:val="231F20"/>
          <w:sz w:val="18"/>
          <w:szCs w:val="18"/>
        </w:rPr>
        <w:t>Sex</w:t>
      </w:r>
      <w:r w:rsidRPr="00BD27F9">
        <w:rPr>
          <w:i/>
          <w:color w:val="231F20"/>
          <w:spacing w:val="-1"/>
          <w:sz w:val="18"/>
          <w:szCs w:val="18"/>
        </w:rPr>
        <w:t xml:space="preserve"> </w:t>
      </w:r>
      <w:r w:rsidRPr="00BD27F9">
        <w:rPr>
          <w:i/>
          <w:color w:val="231F20"/>
          <w:sz w:val="18"/>
          <w:szCs w:val="18"/>
        </w:rPr>
        <w:t>Offenders</w:t>
      </w:r>
      <w:r w:rsidRPr="00BD27F9">
        <w:rPr>
          <w:i/>
          <w:color w:val="231F20"/>
          <w:spacing w:val="-1"/>
          <w:sz w:val="18"/>
          <w:szCs w:val="18"/>
        </w:rPr>
        <w:t xml:space="preserve"> </w:t>
      </w:r>
      <w:r w:rsidRPr="00BD27F9">
        <w:rPr>
          <w:i/>
          <w:color w:val="231F20"/>
          <w:sz w:val="18"/>
          <w:szCs w:val="18"/>
        </w:rPr>
        <w:t>Registration</w:t>
      </w:r>
      <w:r w:rsidRPr="00BD27F9">
        <w:rPr>
          <w:i/>
          <w:color w:val="231F20"/>
          <w:spacing w:val="-1"/>
          <w:sz w:val="18"/>
          <w:szCs w:val="18"/>
        </w:rPr>
        <w:t xml:space="preserve"> </w:t>
      </w:r>
      <w:r w:rsidRPr="00BD27F9">
        <w:rPr>
          <w:i/>
          <w:color w:val="231F20"/>
          <w:sz w:val="18"/>
          <w:szCs w:val="18"/>
        </w:rPr>
        <w:t>Act</w:t>
      </w:r>
      <w:r w:rsidRPr="00BD27F9">
        <w:rPr>
          <w:i/>
          <w:color w:val="231F20"/>
          <w:spacing w:val="-1"/>
          <w:sz w:val="18"/>
          <w:szCs w:val="18"/>
        </w:rPr>
        <w:t xml:space="preserve"> </w:t>
      </w:r>
      <w:r w:rsidRPr="00BD27F9">
        <w:rPr>
          <w:color w:val="231F20"/>
          <w:sz w:val="18"/>
          <w:szCs w:val="18"/>
        </w:rPr>
        <w:t>2004</w:t>
      </w:r>
      <w:r w:rsidRPr="00BD27F9">
        <w:rPr>
          <w:color w:val="231F20"/>
          <w:spacing w:val="-1"/>
          <w:sz w:val="18"/>
          <w:szCs w:val="18"/>
        </w:rPr>
        <w:t xml:space="preserve"> </w:t>
      </w:r>
      <w:r w:rsidRPr="00BD27F9">
        <w:rPr>
          <w:color w:val="231F20"/>
          <w:sz w:val="18"/>
          <w:szCs w:val="18"/>
        </w:rPr>
        <w:t>including</w:t>
      </w:r>
      <w:r w:rsidRPr="00BD27F9">
        <w:rPr>
          <w:color w:val="231F20"/>
          <w:spacing w:val="-1"/>
          <w:sz w:val="18"/>
          <w:szCs w:val="18"/>
        </w:rPr>
        <w:t xml:space="preserve"> </w:t>
      </w:r>
      <w:r w:rsidRPr="00BD27F9">
        <w:rPr>
          <w:color w:val="231F20"/>
          <w:sz w:val="18"/>
          <w:szCs w:val="18"/>
        </w:rPr>
        <w:t>no</w:t>
      </w:r>
      <w:r w:rsidRPr="00BD27F9">
        <w:rPr>
          <w:color w:val="231F20"/>
          <w:spacing w:val="-1"/>
          <w:sz w:val="18"/>
          <w:szCs w:val="18"/>
        </w:rPr>
        <w:t xml:space="preserve"> </w:t>
      </w:r>
      <w:r w:rsidRPr="00BD27F9">
        <w:rPr>
          <w:color w:val="231F20"/>
          <w:sz w:val="18"/>
          <w:szCs w:val="18"/>
        </w:rPr>
        <w:t>RP,</w:t>
      </w:r>
      <w:r w:rsidRPr="00BD27F9">
        <w:rPr>
          <w:color w:val="231F20"/>
          <w:spacing w:val="-1"/>
          <w:sz w:val="18"/>
          <w:szCs w:val="18"/>
        </w:rPr>
        <w:t xml:space="preserve"> </w:t>
      </w:r>
      <w:r w:rsidRPr="00BD27F9">
        <w:rPr>
          <w:color w:val="231F20"/>
          <w:sz w:val="18"/>
          <w:szCs w:val="18"/>
        </w:rPr>
        <w:t>RPs</w:t>
      </w:r>
      <w:r w:rsidRPr="00BD27F9">
        <w:rPr>
          <w:color w:val="231F20"/>
          <w:spacing w:val="-1"/>
          <w:sz w:val="18"/>
          <w:szCs w:val="18"/>
        </w:rPr>
        <w:t xml:space="preserve"> </w:t>
      </w:r>
      <w:r w:rsidRPr="00BD27F9">
        <w:rPr>
          <w:color w:val="231F20"/>
          <w:sz w:val="18"/>
          <w:szCs w:val="18"/>
        </w:rPr>
        <w:t>set</w:t>
      </w:r>
      <w:r w:rsidRPr="00BD27F9">
        <w:rPr>
          <w:color w:val="231F20"/>
          <w:spacing w:val="-1"/>
          <w:sz w:val="18"/>
          <w:szCs w:val="18"/>
        </w:rPr>
        <w:t xml:space="preserve"> </w:t>
      </w:r>
      <w:r w:rsidRPr="00BD27F9">
        <w:rPr>
          <w:color w:val="231F20"/>
          <w:sz w:val="18"/>
          <w:szCs w:val="18"/>
        </w:rPr>
        <w:t>by</w:t>
      </w:r>
      <w:r w:rsidRPr="00BD27F9">
        <w:rPr>
          <w:color w:val="231F20"/>
          <w:spacing w:val="-1"/>
          <w:sz w:val="18"/>
          <w:szCs w:val="18"/>
        </w:rPr>
        <w:t xml:space="preserve"> </w:t>
      </w:r>
      <w:r w:rsidRPr="00BD27F9">
        <w:rPr>
          <w:color w:val="231F20"/>
          <w:sz w:val="18"/>
          <w:szCs w:val="18"/>
        </w:rPr>
        <w:t>other</w:t>
      </w:r>
      <w:r w:rsidRPr="00BD27F9">
        <w:rPr>
          <w:color w:val="231F20"/>
          <w:spacing w:val="-1"/>
          <w:sz w:val="18"/>
          <w:szCs w:val="18"/>
        </w:rPr>
        <w:t xml:space="preserve"> </w:t>
      </w:r>
      <w:r w:rsidRPr="00BD27F9">
        <w:rPr>
          <w:color w:val="231F20"/>
          <w:sz w:val="18"/>
          <w:szCs w:val="18"/>
        </w:rPr>
        <w:t>jurisdictions</w:t>
      </w:r>
      <w:r w:rsidRPr="00BD27F9">
        <w:rPr>
          <w:color w:val="231F20"/>
          <w:spacing w:val="-1"/>
          <w:sz w:val="18"/>
          <w:szCs w:val="18"/>
        </w:rPr>
        <w:t xml:space="preserve"> </w:t>
      </w:r>
      <w:r w:rsidRPr="00BD27F9">
        <w:rPr>
          <w:color w:val="231F20"/>
          <w:sz w:val="18"/>
          <w:szCs w:val="18"/>
        </w:rPr>
        <w:t>prior</w:t>
      </w:r>
      <w:r w:rsidRPr="00BD27F9">
        <w:rPr>
          <w:color w:val="231F20"/>
          <w:spacing w:val="-1"/>
          <w:sz w:val="18"/>
          <w:szCs w:val="18"/>
        </w:rPr>
        <w:t xml:space="preserve"> </w:t>
      </w:r>
      <w:r w:rsidRPr="00BD27F9">
        <w:rPr>
          <w:color w:val="231F20"/>
          <w:sz w:val="18"/>
          <w:szCs w:val="18"/>
        </w:rPr>
        <w:t>to</w:t>
      </w:r>
      <w:r w:rsidRPr="00BD27F9">
        <w:rPr>
          <w:color w:val="231F20"/>
          <w:spacing w:val="40"/>
          <w:sz w:val="18"/>
          <w:szCs w:val="18"/>
        </w:rPr>
        <w:t xml:space="preserve"> </w:t>
      </w:r>
      <w:r w:rsidRPr="00BD27F9">
        <w:rPr>
          <w:color w:val="231F20"/>
          <w:sz w:val="18"/>
          <w:szCs w:val="18"/>
        </w:rPr>
        <w:t>being transferred to Victoria, RPs for juvenile offenders (S.35).</w:t>
      </w:r>
    </w:p>
    <w:p w14:paraId="5C5474B8" w14:textId="77777777" w:rsidR="00345EE3" w:rsidRPr="00BD27F9" w:rsidRDefault="00345EE3">
      <w:pPr>
        <w:pStyle w:val="ListParagraph"/>
        <w:numPr>
          <w:ilvl w:val="0"/>
          <w:numId w:val="78"/>
        </w:numPr>
        <w:tabs>
          <w:tab w:val="left" w:pos="338"/>
        </w:tabs>
        <w:spacing w:before="26"/>
        <w:ind w:hanging="228"/>
        <w:rPr>
          <w:sz w:val="18"/>
          <w:szCs w:val="18"/>
        </w:rPr>
      </w:pPr>
      <w:r w:rsidRPr="00BD27F9">
        <w:rPr>
          <w:color w:val="231F20"/>
          <w:sz w:val="18"/>
          <w:szCs w:val="18"/>
        </w:rPr>
        <w:t>Other</w:t>
      </w:r>
      <w:r w:rsidRPr="00BD27F9">
        <w:rPr>
          <w:color w:val="231F20"/>
          <w:spacing w:val="-5"/>
          <w:sz w:val="18"/>
          <w:szCs w:val="18"/>
        </w:rPr>
        <w:t xml:space="preserve"> </w:t>
      </w:r>
      <w:r w:rsidRPr="00BD27F9">
        <w:rPr>
          <w:color w:val="231F20"/>
          <w:sz w:val="18"/>
          <w:szCs w:val="18"/>
        </w:rPr>
        <w:t>refers</w:t>
      </w:r>
      <w:r w:rsidRPr="00BD27F9">
        <w:rPr>
          <w:color w:val="231F20"/>
          <w:spacing w:val="-2"/>
          <w:sz w:val="18"/>
          <w:szCs w:val="18"/>
        </w:rPr>
        <w:t xml:space="preserve"> </w:t>
      </w:r>
      <w:r w:rsidRPr="00BD27F9">
        <w:rPr>
          <w:color w:val="231F20"/>
          <w:sz w:val="18"/>
          <w:szCs w:val="18"/>
        </w:rPr>
        <w:t>to</w:t>
      </w:r>
      <w:r w:rsidRPr="00BD27F9">
        <w:rPr>
          <w:color w:val="231F20"/>
          <w:spacing w:val="-2"/>
          <w:sz w:val="18"/>
          <w:szCs w:val="18"/>
        </w:rPr>
        <w:t xml:space="preserve"> </w:t>
      </w:r>
      <w:r w:rsidRPr="00BD27F9">
        <w:rPr>
          <w:color w:val="231F20"/>
          <w:sz w:val="18"/>
          <w:szCs w:val="18"/>
        </w:rPr>
        <w:t>cases</w:t>
      </w:r>
      <w:r w:rsidRPr="00BD27F9">
        <w:rPr>
          <w:color w:val="231F20"/>
          <w:spacing w:val="-2"/>
          <w:sz w:val="18"/>
          <w:szCs w:val="18"/>
        </w:rPr>
        <w:t xml:space="preserve"> </w:t>
      </w:r>
      <w:r w:rsidRPr="00BD27F9">
        <w:rPr>
          <w:color w:val="231F20"/>
          <w:sz w:val="18"/>
          <w:szCs w:val="18"/>
        </w:rPr>
        <w:t>initially</w:t>
      </w:r>
      <w:r w:rsidRPr="00BD27F9">
        <w:rPr>
          <w:color w:val="231F20"/>
          <w:spacing w:val="-2"/>
          <w:sz w:val="18"/>
          <w:szCs w:val="18"/>
        </w:rPr>
        <w:t xml:space="preserve"> </w:t>
      </w:r>
      <w:r w:rsidRPr="00BD27F9">
        <w:rPr>
          <w:color w:val="231F20"/>
          <w:sz w:val="18"/>
          <w:szCs w:val="18"/>
        </w:rPr>
        <w:t>registered</w:t>
      </w:r>
      <w:r w:rsidRPr="00BD27F9">
        <w:rPr>
          <w:color w:val="231F20"/>
          <w:spacing w:val="-2"/>
          <w:sz w:val="18"/>
          <w:szCs w:val="18"/>
        </w:rPr>
        <w:t xml:space="preserve"> </w:t>
      </w:r>
      <w:r w:rsidRPr="00BD27F9">
        <w:rPr>
          <w:color w:val="231F20"/>
          <w:sz w:val="18"/>
          <w:szCs w:val="18"/>
        </w:rPr>
        <w:t>in</w:t>
      </w:r>
      <w:r w:rsidRPr="00BD27F9">
        <w:rPr>
          <w:color w:val="231F20"/>
          <w:spacing w:val="-2"/>
          <w:sz w:val="18"/>
          <w:szCs w:val="18"/>
        </w:rPr>
        <w:t xml:space="preserve"> </w:t>
      </w:r>
      <w:r w:rsidRPr="00BD27F9">
        <w:rPr>
          <w:color w:val="231F20"/>
          <w:sz w:val="18"/>
          <w:szCs w:val="18"/>
        </w:rPr>
        <w:t>Victoria</w:t>
      </w:r>
      <w:r w:rsidRPr="00BD27F9">
        <w:rPr>
          <w:color w:val="231F20"/>
          <w:spacing w:val="-2"/>
          <w:sz w:val="18"/>
          <w:szCs w:val="18"/>
        </w:rPr>
        <w:t xml:space="preserve"> </w:t>
      </w:r>
      <w:r w:rsidRPr="00BD27F9">
        <w:rPr>
          <w:color w:val="231F20"/>
          <w:sz w:val="18"/>
          <w:szCs w:val="18"/>
        </w:rPr>
        <w:t>but</w:t>
      </w:r>
      <w:r w:rsidRPr="00BD27F9">
        <w:rPr>
          <w:color w:val="231F20"/>
          <w:spacing w:val="-2"/>
          <w:sz w:val="18"/>
          <w:szCs w:val="18"/>
        </w:rPr>
        <w:t xml:space="preserve"> </w:t>
      </w:r>
      <w:r w:rsidRPr="00BD27F9">
        <w:rPr>
          <w:color w:val="231F20"/>
          <w:sz w:val="18"/>
          <w:szCs w:val="18"/>
        </w:rPr>
        <w:t>have</w:t>
      </w:r>
      <w:r w:rsidRPr="00BD27F9">
        <w:rPr>
          <w:color w:val="231F20"/>
          <w:spacing w:val="-2"/>
          <w:sz w:val="18"/>
          <w:szCs w:val="18"/>
        </w:rPr>
        <w:t xml:space="preserve"> </w:t>
      </w:r>
      <w:r w:rsidRPr="00BD27F9">
        <w:rPr>
          <w:color w:val="231F20"/>
          <w:sz w:val="18"/>
          <w:szCs w:val="18"/>
        </w:rPr>
        <w:t>since</w:t>
      </w:r>
      <w:r w:rsidRPr="00BD27F9">
        <w:rPr>
          <w:color w:val="231F20"/>
          <w:spacing w:val="-2"/>
          <w:sz w:val="18"/>
          <w:szCs w:val="18"/>
        </w:rPr>
        <w:t xml:space="preserve"> </w:t>
      </w:r>
      <w:r w:rsidRPr="00BD27F9">
        <w:rPr>
          <w:color w:val="231F20"/>
          <w:sz w:val="18"/>
          <w:szCs w:val="18"/>
        </w:rPr>
        <w:t>moved</w:t>
      </w:r>
      <w:r w:rsidRPr="00BD27F9">
        <w:rPr>
          <w:color w:val="231F20"/>
          <w:spacing w:val="-2"/>
          <w:sz w:val="18"/>
          <w:szCs w:val="18"/>
        </w:rPr>
        <w:t xml:space="preserve"> </w:t>
      </w:r>
      <w:r w:rsidRPr="00BD27F9">
        <w:rPr>
          <w:color w:val="231F20"/>
          <w:sz w:val="18"/>
          <w:szCs w:val="18"/>
        </w:rPr>
        <w:t>to</w:t>
      </w:r>
      <w:r w:rsidRPr="00BD27F9">
        <w:rPr>
          <w:color w:val="231F20"/>
          <w:spacing w:val="-2"/>
          <w:sz w:val="18"/>
          <w:szCs w:val="18"/>
        </w:rPr>
        <w:t xml:space="preserve"> </w:t>
      </w:r>
      <w:r w:rsidRPr="00BD27F9">
        <w:rPr>
          <w:color w:val="231F20"/>
          <w:sz w:val="18"/>
          <w:szCs w:val="18"/>
        </w:rPr>
        <w:t>another</w:t>
      </w:r>
      <w:r w:rsidRPr="00BD27F9">
        <w:rPr>
          <w:color w:val="231F20"/>
          <w:spacing w:val="-2"/>
          <w:sz w:val="18"/>
          <w:szCs w:val="18"/>
        </w:rPr>
        <w:t xml:space="preserve"> jurisdiction.</w:t>
      </w:r>
    </w:p>
    <w:p w14:paraId="2F0EA3A4" w14:textId="77777777" w:rsidR="00345EE3" w:rsidRPr="00BD27F9" w:rsidRDefault="00345EE3">
      <w:pPr>
        <w:pStyle w:val="ListParagraph"/>
        <w:numPr>
          <w:ilvl w:val="0"/>
          <w:numId w:val="78"/>
        </w:numPr>
        <w:tabs>
          <w:tab w:val="left" w:pos="338"/>
        </w:tabs>
        <w:spacing w:before="27"/>
        <w:ind w:hanging="228"/>
        <w:rPr>
          <w:sz w:val="18"/>
          <w:szCs w:val="18"/>
        </w:rPr>
      </w:pPr>
      <w:r w:rsidRPr="00BD27F9">
        <w:rPr>
          <w:color w:val="231F20"/>
          <w:sz w:val="18"/>
          <w:szCs w:val="18"/>
        </w:rPr>
        <w:t>The</w:t>
      </w:r>
      <w:r w:rsidRPr="00BD27F9">
        <w:rPr>
          <w:color w:val="231F20"/>
          <w:spacing w:val="-8"/>
          <w:sz w:val="18"/>
          <w:szCs w:val="18"/>
        </w:rPr>
        <w:t xml:space="preserve"> </w:t>
      </w:r>
      <w:r w:rsidRPr="00BD27F9">
        <w:rPr>
          <w:color w:val="231F20"/>
          <w:sz w:val="18"/>
          <w:szCs w:val="18"/>
        </w:rPr>
        <w:t>number</w:t>
      </w:r>
      <w:r w:rsidRPr="00BD27F9">
        <w:rPr>
          <w:color w:val="231F20"/>
          <w:spacing w:val="-7"/>
          <w:sz w:val="18"/>
          <w:szCs w:val="18"/>
        </w:rPr>
        <w:t xml:space="preserve"> </w:t>
      </w:r>
      <w:r w:rsidRPr="00BD27F9">
        <w:rPr>
          <w:color w:val="231F20"/>
          <w:sz w:val="18"/>
          <w:szCs w:val="18"/>
        </w:rPr>
        <w:t>of</w:t>
      </w:r>
      <w:r w:rsidRPr="00BD27F9">
        <w:rPr>
          <w:color w:val="231F20"/>
          <w:spacing w:val="-8"/>
          <w:sz w:val="18"/>
          <w:szCs w:val="18"/>
        </w:rPr>
        <w:t xml:space="preserve"> </w:t>
      </w:r>
      <w:r w:rsidRPr="00BD27F9">
        <w:rPr>
          <w:color w:val="231F20"/>
          <w:sz w:val="18"/>
          <w:szCs w:val="18"/>
        </w:rPr>
        <w:t>registrable</w:t>
      </w:r>
      <w:r w:rsidRPr="00BD27F9">
        <w:rPr>
          <w:color w:val="231F20"/>
          <w:spacing w:val="-7"/>
          <w:sz w:val="18"/>
          <w:szCs w:val="18"/>
        </w:rPr>
        <w:t xml:space="preserve"> </w:t>
      </w:r>
      <w:r w:rsidRPr="00BD27F9">
        <w:rPr>
          <w:color w:val="231F20"/>
          <w:sz w:val="18"/>
          <w:szCs w:val="18"/>
        </w:rPr>
        <w:t>offenders</w:t>
      </w:r>
      <w:r w:rsidRPr="00BD27F9">
        <w:rPr>
          <w:color w:val="231F20"/>
          <w:spacing w:val="-7"/>
          <w:sz w:val="18"/>
          <w:szCs w:val="18"/>
        </w:rPr>
        <w:t xml:space="preserve"> </w:t>
      </w:r>
      <w:r w:rsidRPr="00BD27F9">
        <w:rPr>
          <w:color w:val="231F20"/>
          <w:sz w:val="18"/>
          <w:szCs w:val="18"/>
        </w:rPr>
        <w:t>outside</w:t>
      </w:r>
      <w:r w:rsidRPr="00BD27F9">
        <w:rPr>
          <w:color w:val="231F20"/>
          <w:spacing w:val="-8"/>
          <w:sz w:val="18"/>
          <w:szCs w:val="18"/>
        </w:rPr>
        <w:t xml:space="preserve"> </w:t>
      </w:r>
      <w:r w:rsidRPr="00BD27F9">
        <w:rPr>
          <w:color w:val="231F20"/>
          <w:sz w:val="18"/>
          <w:szCs w:val="18"/>
        </w:rPr>
        <w:t>Victoria</w:t>
      </w:r>
      <w:r w:rsidRPr="00BD27F9">
        <w:rPr>
          <w:color w:val="231F20"/>
          <w:spacing w:val="-7"/>
          <w:sz w:val="18"/>
          <w:szCs w:val="18"/>
        </w:rPr>
        <w:t xml:space="preserve"> </w:t>
      </w:r>
      <w:r w:rsidRPr="00BD27F9">
        <w:rPr>
          <w:color w:val="231F20"/>
          <w:sz w:val="18"/>
          <w:szCs w:val="18"/>
        </w:rPr>
        <w:t>does</w:t>
      </w:r>
      <w:r w:rsidRPr="00BD27F9">
        <w:rPr>
          <w:color w:val="231F20"/>
          <w:spacing w:val="-8"/>
          <w:sz w:val="18"/>
          <w:szCs w:val="18"/>
        </w:rPr>
        <w:t xml:space="preserve"> </w:t>
      </w:r>
      <w:r w:rsidRPr="00BD27F9">
        <w:rPr>
          <w:color w:val="231F20"/>
          <w:sz w:val="18"/>
          <w:szCs w:val="18"/>
        </w:rPr>
        <w:t>not</w:t>
      </w:r>
      <w:r w:rsidRPr="00BD27F9">
        <w:rPr>
          <w:color w:val="231F20"/>
          <w:spacing w:val="-7"/>
          <w:sz w:val="18"/>
          <w:szCs w:val="18"/>
        </w:rPr>
        <w:t xml:space="preserve"> </w:t>
      </w:r>
      <w:r w:rsidRPr="00BD27F9">
        <w:rPr>
          <w:color w:val="231F20"/>
          <w:sz w:val="18"/>
          <w:szCs w:val="18"/>
        </w:rPr>
        <w:t>include</w:t>
      </w:r>
      <w:r w:rsidRPr="00BD27F9">
        <w:rPr>
          <w:color w:val="231F20"/>
          <w:spacing w:val="-7"/>
          <w:sz w:val="18"/>
          <w:szCs w:val="18"/>
        </w:rPr>
        <w:t xml:space="preserve"> </w:t>
      </w:r>
      <w:r w:rsidRPr="00BD27F9">
        <w:rPr>
          <w:color w:val="231F20"/>
          <w:sz w:val="18"/>
          <w:szCs w:val="18"/>
        </w:rPr>
        <w:t>registrable</w:t>
      </w:r>
      <w:r w:rsidRPr="00BD27F9">
        <w:rPr>
          <w:color w:val="231F20"/>
          <w:spacing w:val="-8"/>
          <w:sz w:val="18"/>
          <w:szCs w:val="18"/>
        </w:rPr>
        <w:t xml:space="preserve"> </w:t>
      </w:r>
      <w:r w:rsidRPr="00BD27F9">
        <w:rPr>
          <w:color w:val="231F20"/>
          <w:sz w:val="18"/>
          <w:szCs w:val="18"/>
        </w:rPr>
        <w:t>offenders</w:t>
      </w:r>
      <w:r w:rsidRPr="00BD27F9">
        <w:rPr>
          <w:color w:val="231F20"/>
          <w:spacing w:val="-4"/>
          <w:sz w:val="18"/>
          <w:szCs w:val="18"/>
        </w:rPr>
        <w:t xml:space="preserve"> </w:t>
      </w:r>
      <w:r w:rsidRPr="00BD27F9">
        <w:rPr>
          <w:color w:val="231F20"/>
          <w:sz w:val="18"/>
          <w:szCs w:val="18"/>
        </w:rPr>
        <w:t>whose</w:t>
      </w:r>
      <w:r w:rsidRPr="00BD27F9">
        <w:rPr>
          <w:color w:val="231F20"/>
          <w:spacing w:val="-5"/>
          <w:sz w:val="18"/>
          <w:szCs w:val="18"/>
        </w:rPr>
        <w:t xml:space="preserve"> </w:t>
      </w:r>
      <w:r w:rsidRPr="00BD27F9">
        <w:rPr>
          <w:color w:val="231F20"/>
          <w:sz w:val="18"/>
          <w:szCs w:val="18"/>
        </w:rPr>
        <w:t>reporting</w:t>
      </w:r>
      <w:r w:rsidRPr="00BD27F9">
        <w:rPr>
          <w:color w:val="231F20"/>
          <w:spacing w:val="-4"/>
          <w:sz w:val="18"/>
          <w:szCs w:val="18"/>
        </w:rPr>
        <w:t xml:space="preserve"> </w:t>
      </w:r>
      <w:r w:rsidRPr="00BD27F9">
        <w:rPr>
          <w:color w:val="231F20"/>
          <w:sz w:val="18"/>
          <w:szCs w:val="18"/>
        </w:rPr>
        <w:t>period</w:t>
      </w:r>
      <w:r w:rsidRPr="00BD27F9">
        <w:rPr>
          <w:color w:val="231F20"/>
          <w:spacing w:val="-5"/>
          <w:sz w:val="18"/>
          <w:szCs w:val="18"/>
        </w:rPr>
        <w:t xml:space="preserve"> </w:t>
      </w:r>
      <w:r w:rsidRPr="00BD27F9">
        <w:rPr>
          <w:color w:val="231F20"/>
          <w:sz w:val="18"/>
          <w:szCs w:val="18"/>
        </w:rPr>
        <w:t>has</w:t>
      </w:r>
      <w:r w:rsidRPr="00BD27F9">
        <w:rPr>
          <w:color w:val="231F20"/>
          <w:spacing w:val="-4"/>
          <w:sz w:val="18"/>
          <w:szCs w:val="18"/>
        </w:rPr>
        <w:t xml:space="preserve"> </w:t>
      </w:r>
      <w:r w:rsidRPr="00BD27F9">
        <w:rPr>
          <w:color w:val="231F20"/>
          <w:sz w:val="18"/>
          <w:szCs w:val="18"/>
        </w:rPr>
        <w:t>ended</w:t>
      </w:r>
      <w:r w:rsidRPr="00BD27F9">
        <w:rPr>
          <w:color w:val="231F20"/>
          <w:spacing w:val="-5"/>
          <w:sz w:val="18"/>
          <w:szCs w:val="18"/>
        </w:rPr>
        <w:t xml:space="preserve"> </w:t>
      </w:r>
      <w:r>
        <w:rPr>
          <w:color w:val="231F20"/>
          <w:spacing w:val="-5"/>
          <w:sz w:val="18"/>
          <w:szCs w:val="18"/>
        </w:rPr>
        <w:br/>
      </w:r>
      <w:r w:rsidRPr="00BD27F9">
        <w:rPr>
          <w:color w:val="231F20"/>
          <w:sz w:val="18"/>
          <w:szCs w:val="18"/>
        </w:rPr>
        <w:t>or</w:t>
      </w:r>
      <w:r w:rsidRPr="00BD27F9">
        <w:rPr>
          <w:color w:val="231F20"/>
          <w:spacing w:val="-4"/>
          <w:sz w:val="18"/>
          <w:szCs w:val="18"/>
        </w:rPr>
        <w:t xml:space="preserve"> </w:t>
      </w:r>
      <w:r w:rsidRPr="00BD27F9">
        <w:rPr>
          <w:color w:val="231F20"/>
          <w:sz w:val="18"/>
          <w:szCs w:val="18"/>
        </w:rPr>
        <w:t>who</w:t>
      </w:r>
      <w:r w:rsidRPr="00BD27F9">
        <w:rPr>
          <w:color w:val="231F20"/>
          <w:spacing w:val="-5"/>
          <w:sz w:val="18"/>
          <w:szCs w:val="18"/>
        </w:rPr>
        <w:t xml:space="preserve"> </w:t>
      </w:r>
      <w:r w:rsidRPr="00BD27F9">
        <w:rPr>
          <w:color w:val="231F20"/>
          <w:sz w:val="18"/>
          <w:szCs w:val="18"/>
        </w:rPr>
        <w:t>are</w:t>
      </w:r>
      <w:r w:rsidRPr="00BD27F9">
        <w:rPr>
          <w:color w:val="231F20"/>
          <w:spacing w:val="-4"/>
          <w:sz w:val="18"/>
          <w:szCs w:val="18"/>
        </w:rPr>
        <w:t xml:space="preserve"> </w:t>
      </w:r>
      <w:r w:rsidRPr="00BD27F9">
        <w:rPr>
          <w:color w:val="231F20"/>
          <w:spacing w:val="-2"/>
          <w:sz w:val="18"/>
          <w:szCs w:val="18"/>
        </w:rPr>
        <w:t>deceased.</w:t>
      </w:r>
    </w:p>
    <w:p w14:paraId="5FA89A86" w14:textId="77777777" w:rsidR="00345EE3" w:rsidRDefault="00345EE3" w:rsidP="00345EE3">
      <w:pPr>
        <w:pStyle w:val="BodyText"/>
        <w:spacing w:before="7"/>
        <w:rPr>
          <w:sz w:val="20"/>
        </w:rPr>
      </w:pPr>
    </w:p>
    <w:p w14:paraId="623CFF9D" w14:textId="77777777" w:rsidR="00345EE3" w:rsidRPr="00404045" w:rsidRDefault="00345EE3" w:rsidP="00345EE3">
      <w:pPr>
        <w:pStyle w:val="Heading2"/>
        <w:spacing w:before="0"/>
        <w:rPr>
          <w:sz w:val="32"/>
          <w:szCs w:val="32"/>
        </w:rPr>
      </w:pPr>
      <w:r w:rsidRPr="00404045">
        <w:rPr>
          <w:color w:val="00529F"/>
          <w:sz w:val="32"/>
          <w:szCs w:val="32"/>
        </w:rPr>
        <w:t>Office-based</w:t>
      </w:r>
      <w:r w:rsidRPr="00404045">
        <w:rPr>
          <w:color w:val="00529F"/>
          <w:spacing w:val="-17"/>
          <w:sz w:val="32"/>
          <w:szCs w:val="32"/>
        </w:rPr>
        <w:t xml:space="preserve"> </w:t>
      </w:r>
      <w:r w:rsidRPr="00404045">
        <w:rPr>
          <w:color w:val="00529F"/>
          <w:sz w:val="32"/>
          <w:szCs w:val="32"/>
        </w:rPr>
        <w:t>Environmental</w:t>
      </w:r>
      <w:r w:rsidRPr="00404045">
        <w:rPr>
          <w:color w:val="00529F"/>
          <w:spacing w:val="-17"/>
          <w:sz w:val="32"/>
          <w:szCs w:val="32"/>
        </w:rPr>
        <w:t xml:space="preserve"> </w:t>
      </w:r>
      <w:r w:rsidRPr="00404045">
        <w:rPr>
          <w:color w:val="00529F"/>
          <w:spacing w:val="-2"/>
          <w:sz w:val="32"/>
          <w:szCs w:val="32"/>
        </w:rPr>
        <w:t>Impacts</w:t>
      </w:r>
    </w:p>
    <w:p w14:paraId="59270A51" w14:textId="77777777" w:rsidR="00345EE3" w:rsidRDefault="00345EE3" w:rsidP="00345EE3">
      <w:pPr>
        <w:pStyle w:val="BodyText"/>
        <w:spacing w:before="73" w:line="242" w:lineRule="auto"/>
        <w:ind w:right="921"/>
      </w:pPr>
      <w:r>
        <w:rPr>
          <w:color w:val="231F20"/>
        </w:rPr>
        <w:t>Victoria</w:t>
      </w:r>
      <w:r>
        <w:rPr>
          <w:color w:val="231F20"/>
          <w:spacing w:val="-9"/>
        </w:rPr>
        <w:t xml:space="preserve"> </w:t>
      </w:r>
      <w:r>
        <w:rPr>
          <w:color w:val="231F20"/>
        </w:rPr>
        <w:t>Police</w:t>
      </w:r>
      <w:r>
        <w:rPr>
          <w:color w:val="231F20"/>
          <w:spacing w:val="-9"/>
        </w:rPr>
        <w:t xml:space="preserve"> </w:t>
      </w:r>
      <w:r>
        <w:rPr>
          <w:color w:val="231F20"/>
        </w:rPr>
        <w:t>is</w:t>
      </w:r>
      <w:r>
        <w:rPr>
          <w:color w:val="231F20"/>
          <w:spacing w:val="-8"/>
        </w:rPr>
        <w:t xml:space="preserve"> </w:t>
      </w:r>
      <w:r>
        <w:rPr>
          <w:color w:val="231F20"/>
        </w:rPr>
        <w:t>committed</w:t>
      </w:r>
      <w:r>
        <w:rPr>
          <w:color w:val="231F20"/>
          <w:spacing w:val="-9"/>
        </w:rPr>
        <w:t xml:space="preserve"> </w:t>
      </w:r>
      <w:r>
        <w:rPr>
          <w:color w:val="231F20"/>
        </w:rPr>
        <w:t>to</w:t>
      </w:r>
      <w:r>
        <w:rPr>
          <w:color w:val="231F20"/>
          <w:spacing w:val="-9"/>
        </w:rPr>
        <w:t xml:space="preserve"> </w:t>
      </w:r>
      <w:r>
        <w:rPr>
          <w:color w:val="231F20"/>
        </w:rPr>
        <w:t>efficiency</w:t>
      </w:r>
      <w:r>
        <w:rPr>
          <w:color w:val="231F20"/>
          <w:spacing w:val="-8"/>
        </w:rPr>
        <w:t xml:space="preserve"> </w:t>
      </w:r>
      <w:r>
        <w:rPr>
          <w:color w:val="231F20"/>
        </w:rPr>
        <w:t>and</w:t>
      </w:r>
      <w:r>
        <w:rPr>
          <w:color w:val="231F20"/>
          <w:spacing w:val="-9"/>
        </w:rPr>
        <w:t xml:space="preserve"> </w:t>
      </w:r>
      <w:r>
        <w:rPr>
          <w:color w:val="231F20"/>
        </w:rPr>
        <w:t>reducing</w:t>
      </w:r>
      <w:r>
        <w:rPr>
          <w:color w:val="231F20"/>
          <w:spacing w:val="-9"/>
        </w:rPr>
        <w:t xml:space="preserve"> </w:t>
      </w:r>
      <w:r>
        <w:rPr>
          <w:color w:val="231F20"/>
        </w:rPr>
        <w:t>adverse</w:t>
      </w:r>
      <w:r>
        <w:rPr>
          <w:color w:val="231F20"/>
          <w:spacing w:val="-9"/>
        </w:rPr>
        <w:t xml:space="preserve"> </w:t>
      </w:r>
      <w:r>
        <w:rPr>
          <w:color w:val="231F20"/>
        </w:rPr>
        <w:t>impacts</w:t>
      </w:r>
      <w:r>
        <w:rPr>
          <w:color w:val="231F20"/>
          <w:spacing w:val="-8"/>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environment</w:t>
      </w:r>
      <w:r>
        <w:rPr>
          <w:color w:val="231F20"/>
          <w:spacing w:val="-8"/>
        </w:rPr>
        <w:t xml:space="preserve"> </w:t>
      </w:r>
      <w:r>
        <w:rPr>
          <w:color w:val="231F20"/>
        </w:rPr>
        <w:t>and continues to proactively identify, develop and implement initiatives to reduce greenhouse gas emissions and adapt to the changing climate.</w:t>
      </w:r>
    </w:p>
    <w:p w14:paraId="49C3AEED" w14:textId="77777777" w:rsidR="00345EE3" w:rsidRDefault="00345EE3" w:rsidP="00345EE3">
      <w:pPr>
        <w:pStyle w:val="BodyText"/>
        <w:spacing w:before="117" w:line="242" w:lineRule="auto"/>
        <w:ind w:right="1141"/>
      </w:pPr>
      <w:r>
        <w:rPr>
          <w:color w:val="231F20"/>
        </w:rPr>
        <w:t>In</w:t>
      </w:r>
      <w:r>
        <w:rPr>
          <w:color w:val="231F20"/>
          <w:spacing w:val="-8"/>
        </w:rPr>
        <w:t xml:space="preserve"> </w:t>
      </w:r>
      <w:r>
        <w:rPr>
          <w:color w:val="231F20"/>
        </w:rPr>
        <w:t>line</w:t>
      </w:r>
      <w:r>
        <w:rPr>
          <w:color w:val="231F20"/>
          <w:spacing w:val="-8"/>
        </w:rPr>
        <w:t xml:space="preserve"> </w:t>
      </w:r>
      <w:r>
        <w:rPr>
          <w:color w:val="231F20"/>
        </w:rPr>
        <w:t>with</w:t>
      </w:r>
      <w:r>
        <w:rPr>
          <w:color w:val="231F20"/>
          <w:spacing w:val="-8"/>
        </w:rPr>
        <w:t xml:space="preserve"> </w:t>
      </w:r>
      <w:r>
        <w:rPr>
          <w:color w:val="231F20"/>
        </w:rPr>
        <w:t>this</w:t>
      </w:r>
      <w:r>
        <w:rPr>
          <w:color w:val="231F20"/>
          <w:spacing w:val="-7"/>
        </w:rPr>
        <w:t xml:space="preserve"> </w:t>
      </w:r>
      <w:r>
        <w:rPr>
          <w:color w:val="231F20"/>
        </w:rPr>
        <w:t>commitment,</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monitors</w:t>
      </w:r>
      <w:r>
        <w:rPr>
          <w:color w:val="231F20"/>
          <w:spacing w:val="-7"/>
        </w:rPr>
        <w:t xml:space="preserve"> </w:t>
      </w:r>
      <w:r>
        <w:rPr>
          <w:color w:val="231F20"/>
        </w:rPr>
        <w:t>and</w:t>
      </w:r>
      <w:r>
        <w:rPr>
          <w:color w:val="231F20"/>
          <w:spacing w:val="-8"/>
        </w:rPr>
        <w:t xml:space="preserve"> </w:t>
      </w:r>
      <w:r>
        <w:rPr>
          <w:color w:val="231F20"/>
        </w:rPr>
        <w:t>reports</w:t>
      </w:r>
      <w:r>
        <w:rPr>
          <w:color w:val="231F20"/>
          <w:spacing w:val="-7"/>
        </w:rPr>
        <w:t xml:space="preserve"> </w:t>
      </w:r>
      <w:r>
        <w:rPr>
          <w:color w:val="231F20"/>
        </w:rPr>
        <w:t>against</w:t>
      </w:r>
      <w:r>
        <w:rPr>
          <w:color w:val="231F20"/>
          <w:spacing w:val="-7"/>
        </w:rPr>
        <w:t xml:space="preserve"> </w:t>
      </w:r>
      <w:r>
        <w:rPr>
          <w:color w:val="231F20"/>
        </w:rPr>
        <w:t>a</w:t>
      </w:r>
      <w:r>
        <w:rPr>
          <w:color w:val="231F20"/>
          <w:spacing w:val="-8"/>
        </w:rPr>
        <w:t xml:space="preserve"> </w:t>
      </w:r>
      <w:r>
        <w:rPr>
          <w:color w:val="231F20"/>
        </w:rPr>
        <w:t>range</w:t>
      </w:r>
      <w:r>
        <w:rPr>
          <w:color w:val="231F20"/>
          <w:spacing w:val="-8"/>
        </w:rPr>
        <w:t xml:space="preserve"> </w:t>
      </w:r>
      <w:r>
        <w:rPr>
          <w:color w:val="231F20"/>
        </w:rPr>
        <w:t>of</w:t>
      </w:r>
      <w:r>
        <w:rPr>
          <w:color w:val="231F20"/>
          <w:spacing w:val="-7"/>
        </w:rPr>
        <w:t xml:space="preserve"> </w:t>
      </w:r>
      <w:r>
        <w:rPr>
          <w:color w:val="231F20"/>
        </w:rPr>
        <w:t>indicators for energy and water consumption, transportation, waste generation, paper purchasing and greenhouse gas emissions.</w:t>
      </w:r>
    </w:p>
    <w:p w14:paraId="731A8A58" w14:textId="77777777" w:rsidR="00345EE3" w:rsidRDefault="00345EE3" w:rsidP="00345EE3">
      <w:pPr>
        <w:pStyle w:val="BodyText"/>
        <w:spacing w:before="117" w:line="242" w:lineRule="auto"/>
        <w:ind w:right="921"/>
      </w:pPr>
      <w:r>
        <w:rPr>
          <w:color w:val="231F20"/>
        </w:rPr>
        <w:t>Victoria</w:t>
      </w:r>
      <w:r>
        <w:rPr>
          <w:color w:val="231F20"/>
          <w:spacing w:val="-9"/>
        </w:rPr>
        <w:t xml:space="preserve"> </w:t>
      </w:r>
      <w:r>
        <w:rPr>
          <w:color w:val="231F20"/>
        </w:rPr>
        <w:t>Police</w:t>
      </w:r>
      <w:r>
        <w:rPr>
          <w:color w:val="231F20"/>
          <w:spacing w:val="-9"/>
        </w:rPr>
        <w:t xml:space="preserve"> </w:t>
      </w:r>
      <w:r>
        <w:rPr>
          <w:color w:val="231F20"/>
        </w:rPr>
        <w:t>also</w:t>
      </w:r>
      <w:r>
        <w:rPr>
          <w:color w:val="231F20"/>
          <w:spacing w:val="-9"/>
        </w:rPr>
        <w:t xml:space="preserve"> </w:t>
      </w:r>
      <w:r>
        <w:rPr>
          <w:color w:val="231F20"/>
        </w:rPr>
        <w:t>participates</w:t>
      </w:r>
      <w:r>
        <w:rPr>
          <w:color w:val="231F20"/>
          <w:spacing w:val="-9"/>
        </w:rPr>
        <w:t xml:space="preserve"> </w:t>
      </w:r>
      <w:r>
        <w:rPr>
          <w:color w:val="231F20"/>
        </w:rPr>
        <w:t>in</w:t>
      </w:r>
      <w:r>
        <w:rPr>
          <w:color w:val="231F20"/>
          <w:spacing w:val="-9"/>
        </w:rPr>
        <w:t xml:space="preserve"> </w:t>
      </w:r>
      <w:r>
        <w:rPr>
          <w:color w:val="231F20"/>
        </w:rPr>
        <w:t>activities</w:t>
      </w:r>
      <w:r>
        <w:rPr>
          <w:color w:val="231F20"/>
          <w:spacing w:val="-9"/>
        </w:rPr>
        <w:t xml:space="preserve"> </w:t>
      </w:r>
      <w:r>
        <w:rPr>
          <w:color w:val="231F20"/>
        </w:rPr>
        <w:t>to</w:t>
      </w:r>
      <w:r>
        <w:rPr>
          <w:color w:val="231F20"/>
          <w:spacing w:val="-9"/>
        </w:rPr>
        <w:t xml:space="preserve"> </w:t>
      </w:r>
      <w:r>
        <w:rPr>
          <w:color w:val="231F20"/>
        </w:rPr>
        <w:t>contribute</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Victorian</w:t>
      </w:r>
      <w:r>
        <w:rPr>
          <w:color w:val="231F20"/>
          <w:spacing w:val="-9"/>
        </w:rPr>
        <w:t xml:space="preserve"> </w:t>
      </w:r>
      <w:r>
        <w:rPr>
          <w:color w:val="231F20"/>
        </w:rPr>
        <w:t>Government’s</w:t>
      </w:r>
      <w:r>
        <w:rPr>
          <w:color w:val="231F20"/>
          <w:spacing w:val="-9"/>
        </w:rPr>
        <w:t xml:space="preserve"> </w:t>
      </w:r>
      <w:r>
        <w:rPr>
          <w:color w:val="231F20"/>
        </w:rPr>
        <w:t>target</w:t>
      </w:r>
      <w:r>
        <w:rPr>
          <w:color w:val="231F20"/>
          <w:spacing w:val="-9"/>
        </w:rPr>
        <w:t xml:space="preserve"> </w:t>
      </w:r>
      <w:r>
        <w:rPr>
          <w:color w:val="231F20"/>
        </w:rPr>
        <w:t>of net zero greenhouse gas emissions by 2050.</w:t>
      </w:r>
    </w:p>
    <w:p w14:paraId="5C3A4069" w14:textId="77777777" w:rsidR="00345EE3" w:rsidRDefault="00345EE3" w:rsidP="00345EE3">
      <w:pPr>
        <w:pStyle w:val="BodyText"/>
        <w:spacing w:before="116" w:line="242" w:lineRule="auto"/>
        <w:ind w:right="921"/>
      </w:pPr>
      <w:r>
        <w:rPr>
          <w:color w:val="231F20"/>
        </w:rPr>
        <w:t>For</w:t>
      </w:r>
      <w:r>
        <w:rPr>
          <w:color w:val="231F20"/>
          <w:spacing w:val="-8"/>
        </w:rPr>
        <w:t xml:space="preserve"> </w:t>
      </w:r>
      <w:r>
        <w:rPr>
          <w:color w:val="231F20"/>
        </w:rPr>
        <w:t>the</w:t>
      </w:r>
      <w:r>
        <w:rPr>
          <w:color w:val="231F20"/>
          <w:spacing w:val="-9"/>
        </w:rPr>
        <w:t xml:space="preserve"> </w:t>
      </w:r>
      <w:r>
        <w:rPr>
          <w:color w:val="231F20"/>
        </w:rPr>
        <w:t>purposes</w:t>
      </w:r>
      <w:r>
        <w:rPr>
          <w:color w:val="231F20"/>
          <w:spacing w:val="-8"/>
        </w:rPr>
        <w:t xml:space="preserve"> </w:t>
      </w:r>
      <w:r>
        <w:rPr>
          <w:color w:val="231F20"/>
        </w:rPr>
        <w:t>reporting</w:t>
      </w:r>
      <w:r>
        <w:rPr>
          <w:color w:val="231F20"/>
          <w:spacing w:val="-9"/>
        </w:rPr>
        <w:t xml:space="preserve"> </w:t>
      </w:r>
      <w:r>
        <w:rPr>
          <w:color w:val="231F20"/>
        </w:rPr>
        <w:t>of</w:t>
      </w:r>
      <w:r>
        <w:rPr>
          <w:color w:val="231F20"/>
          <w:spacing w:val="-8"/>
        </w:rPr>
        <w:t xml:space="preserve"> </w:t>
      </w:r>
      <w:r>
        <w:rPr>
          <w:color w:val="231F20"/>
        </w:rPr>
        <w:t>environmental</w:t>
      </w:r>
      <w:r>
        <w:rPr>
          <w:color w:val="231F20"/>
          <w:spacing w:val="-9"/>
        </w:rPr>
        <w:t xml:space="preserve"> </w:t>
      </w:r>
      <w:r>
        <w:rPr>
          <w:color w:val="231F20"/>
        </w:rPr>
        <w:t>impacts</w:t>
      </w:r>
      <w:r>
        <w:rPr>
          <w:color w:val="231F20"/>
          <w:spacing w:val="-8"/>
        </w:rPr>
        <w:t xml:space="preserve"> </w:t>
      </w:r>
      <w:r>
        <w:rPr>
          <w:color w:val="231F20"/>
        </w:rPr>
        <w:t>for</w:t>
      </w:r>
      <w:r>
        <w:rPr>
          <w:color w:val="231F20"/>
          <w:spacing w:val="-8"/>
        </w:rPr>
        <w:t xml:space="preserve"> </w:t>
      </w:r>
      <w:r>
        <w:rPr>
          <w:color w:val="231F20"/>
        </w:rPr>
        <w:t>the</w:t>
      </w:r>
      <w:r>
        <w:rPr>
          <w:color w:val="231F20"/>
          <w:spacing w:val="-9"/>
        </w:rPr>
        <w:t xml:space="preserve"> </w:t>
      </w:r>
      <w:r>
        <w:rPr>
          <w:color w:val="231F20"/>
        </w:rPr>
        <w:t>2021–22</w:t>
      </w:r>
      <w:r>
        <w:rPr>
          <w:color w:val="231F20"/>
          <w:spacing w:val="-9"/>
        </w:rPr>
        <w:t xml:space="preserve"> </w:t>
      </w:r>
      <w:r>
        <w:rPr>
          <w:color w:val="231F20"/>
        </w:rPr>
        <w:t>reporting</w:t>
      </w:r>
      <w:r>
        <w:rPr>
          <w:color w:val="231F20"/>
          <w:spacing w:val="-9"/>
        </w:rPr>
        <w:t xml:space="preserve"> </w:t>
      </w:r>
      <w:r>
        <w:rPr>
          <w:color w:val="231F20"/>
        </w:rPr>
        <w:t>period,</w:t>
      </w:r>
      <w:r>
        <w:rPr>
          <w:color w:val="231F20"/>
          <w:spacing w:val="-8"/>
        </w:rPr>
        <w:t xml:space="preserve"> </w:t>
      </w:r>
      <w:r>
        <w:rPr>
          <w:color w:val="231F20"/>
        </w:rPr>
        <w:t>Victoria Police sites included:</w:t>
      </w:r>
    </w:p>
    <w:p w14:paraId="41C5F275" w14:textId="77777777" w:rsidR="00345EE3" w:rsidRDefault="00345EE3">
      <w:pPr>
        <w:pStyle w:val="ListParagraph"/>
        <w:numPr>
          <w:ilvl w:val="0"/>
          <w:numId w:val="59"/>
        </w:numPr>
        <w:tabs>
          <w:tab w:val="left" w:pos="393"/>
          <w:tab w:val="left" w:pos="394"/>
        </w:tabs>
        <w:spacing w:before="31"/>
        <w:rPr>
          <w:sz w:val="24"/>
        </w:rPr>
      </w:pPr>
      <w:r>
        <w:rPr>
          <w:color w:val="231F20"/>
          <w:sz w:val="24"/>
        </w:rPr>
        <w:t>334</w:t>
      </w:r>
      <w:r>
        <w:rPr>
          <w:color w:val="231F20"/>
          <w:spacing w:val="-8"/>
          <w:sz w:val="24"/>
        </w:rPr>
        <w:t xml:space="preserve"> </w:t>
      </w:r>
      <w:r>
        <w:rPr>
          <w:color w:val="231F20"/>
          <w:sz w:val="24"/>
        </w:rPr>
        <w:t>police</w:t>
      </w:r>
      <w:r>
        <w:rPr>
          <w:color w:val="231F20"/>
          <w:spacing w:val="-6"/>
          <w:sz w:val="24"/>
        </w:rPr>
        <w:t xml:space="preserve"> </w:t>
      </w:r>
      <w:r>
        <w:rPr>
          <w:color w:val="231F20"/>
          <w:sz w:val="24"/>
        </w:rPr>
        <w:t>stations</w:t>
      </w:r>
      <w:r>
        <w:rPr>
          <w:color w:val="231F20"/>
          <w:spacing w:val="-5"/>
          <w:sz w:val="24"/>
        </w:rPr>
        <w:t xml:space="preserve"> </w:t>
      </w:r>
      <w:r>
        <w:rPr>
          <w:color w:val="231F20"/>
          <w:sz w:val="24"/>
        </w:rPr>
        <w:t>that</w:t>
      </w:r>
      <w:r>
        <w:rPr>
          <w:color w:val="231F20"/>
          <w:spacing w:val="-5"/>
          <w:sz w:val="24"/>
        </w:rPr>
        <w:t xml:space="preserve"> </w:t>
      </w:r>
      <w:r>
        <w:rPr>
          <w:color w:val="231F20"/>
          <w:sz w:val="24"/>
        </w:rPr>
        <w:t>vary</w:t>
      </w:r>
      <w:r>
        <w:rPr>
          <w:color w:val="231F20"/>
          <w:spacing w:val="-4"/>
          <w:sz w:val="24"/>
        </w:rPr>
        <w:t xml:space="preserve"> </w:t>
      </w:r>
      <w:r>
        <w:rPr>
          <w:color w:val="231F20"/>
          <w:sz w:val="24"/>
        </w:rPr>
        <w:t>in</w:t>
      </w:r>
      <w:r>
        <w:rPr>
          <w:color w:val="231F20"/>
          <w:spacing w:val="-6"/>
          <w:sz w:val="24"/>
        </w:rPr>
        <w:t xml:space="preserve"> </w:t>
      </w:r>
      <w:r>
        <w:rPr>
          <w:color w:val="231F20"/>
          <w:sz w:val="24"/>
        </w:rPr>
        <w:t>size</w:t>
      </w:r>
      <w:r>
        <w:rPr>
          <w:color w:val="231F20"/>
          <w:spacing w:val="-6"/>
          <w:sz w:val="24"/>
        </w:rPr>
        <w:t xml:space="preserve"> </w:t>
      </w:r>
      <w:r>
        <w:rPr>
          <w:color w:val="231F20"/>
          <w:sz w:val="24"/>
        </w:rPr>
        <w:t>depending</w:t>
      </w:r>
      <w:r>
        <w:rPr>
          <w:color w:val="231F20"/>
          <w:spacing w:val="-6"/>
          <w:sz w:val="24"/>
        </w:rPr>
        <w:t xml:space="preserve"> </w:t>
      </w:r>
      <w:r>
        <w:rPr>
          <w:color w:val="231F20"/>
          <w:sz w:val="24"/>
        </w:rPr>
        <w:t>on</w:t>
      </w:r>
      <w:r>
        <w:rPr>
          <w:color w:val="231F20"/>
          <w:spacing w:val="-5"/>
          <w:sz w:val="24"/>
        </w:rPr>
        <w:t xml:space="preserve"> </w:t>
      </w:r>
      <w:r>
        <w:rPr>
          <w:color w:val="231F20"/>
          <w:sz w:val="24"/>
        </w:rPr>
        <w:t>the</w:t>
      </w:r>
      <w:r>
        <w:rPr>
          <w:color w:val="231F20"/>
          <w:spacing w:val="-6"/>
          <w:sz w:val="24"/>
        </w:rPr>
        <w:t xml:space="preserve"> </w:t>
      </w:r>
      <w:r>
        <w:rPr>
          <w:color w:val="231F20"/>
          <w:sz w:val="24"/>
        </w:rPr>
        <w:t>functions</w:t>
      </w:r>
      <w:r>
        <w:rPr>
          <w:color w:val="231F20"/>
          <w:spacing w:val="-5"/>
          <w:sz w:val="24"/>
        </w:rPr>
        <w:t xml:space="preserve"> </w:t>
      </w:r>
      <w:r>
        <w:rPr>
          <w:color w:val="231F20"/>
          <w:sz w:val="24"/>
        </w:rPr>
        <w:t>and</w:t>
      </w:r>
      <w:r>
        <w:rPr>
          <w:color w:val="231F20"/>
          <w:spacing w:val="-6"/>
          <w:sz w:val="24"/>
        </w:rPr>
        <w:t xml:space="preserve"> </w:t>
      </w:r>
      <w:r>
        <w:rPr>
          <w:color w:val="231F20"/>
          <w:sz w:val="24"/>
        </w:rPr>
        <w:t>services</w:t>
      </w:r>
      <w:r>
        <w:rPr>
          <w:color w:val="231F20"/>
          <w:spacing w:val="-4"/>
          <w:sz w:val="24"/>
        </w:rPr>
        <w:t xml:space="preserve"> </w:t>
      </w:r>
      <w:r>
        <w:rPr>
          <w:color w:val="231F20"/>
          <w:spacing w:val="-2"/>
          <w:sz w:val="24"/>
        </w:rPr>
        <w:t>delivered.</w:t>
      </w:r>
    </w:p>
    <w:p w14:paraId="61F34513" w14:textId="77777777" w:rsidR="00345EE3" w:rsidRDefault="00345EE3">
      <w:pPr>
        <w:pStyle w:val="ListParagraph"/>
        <w:numPr>
          <w:ilvl w:val="0"/>
          <w:numId w:val="59"/>
        </w:numPr>
        <w:tabs>
          <w:tab w:val="left" w:pos="393"/>
          <w:tab w:val="left" w:pos="394"/>
        </w:tabs>
        <w:spacing w:line="242" w:lineRule="auto"/>
        <w:ind w:right="1925"/>
        <w:rPr>
          <w:sz w:val="24"/>
        </w:rPr>
      </w:pPr>
      <w:r>
        <w:rPr>
          <w:color w:val="231F20"/>
          <w:sz w:val="24"/>
        </w:rPr>
        <w:t>46</w:t>
      </w:r>
      <w:r>
        <w:rPr>
          <w:color w:val="231F20"/>
          <w:spacing w:val="-9"/>
          <w:sz w:val="24"/>
        </w:rPr>
        <w:t xml:space="preserve"> </w:t>
      </w:r>
      <w:r>
        <w:rPr>
          <w:color w:val="231F20"/>
          <w:sz w:val="24"/>
        </w:rPr>
        <w:t>other</w:t>
      </w:r>
      <w:r>
        <w:rPr>
          <w:color w:val="231F20"/>
          <w:spacing w:val="-8"/>
          <w:sz w:val="24"/>
        </w:rPr>
        <w:t xml:space="preserve"> </w:t>
      </w:r>
      <w:r>
        <w:rPr>
          <w:color w:val="231F20"/>
          <w:sz w:val="24"/>
        </w:rPr>
        <w:t>support</w:t>
      </w:r>
      <w:r>
        <w:rPr>
          <w:color w:val="231F20"/>
          <w:spacing w:val="-8"/>
          <w:sz w:val="24"/>
        </w:rPr>
        <w:t xml:space="preserve"> </w:t>
      </w:r>
      <w:r>
        <w:rPr>
          <w:color w:val="231F20"/>
          <w:sz w:val="24"/>
        </w:rPr>
        <w:t>facilities</w:t>
      </w:r>
      <w:r>
        <w:rPr>
          <w:color w:val="231F20"/>
          <w:spacing w:val="-8"/>
          <w:sz w:val="24"/>
        </w:rPr>
        <w:t xml:space="preserve"> </w:t>
      </w:r>
      <w:r>
        <w:rPr>
          <w:color w:val="231F20"/>
          <w:sz w:val="24"/>
        </w:rPr>
        <w:t>including</w:t>
      </w:r>
      <w:r>
        <w:rPr>
          <w:color w:val="231F20"/>
          <w:spacing w:val="-9"/>
          <w:sz w:val="24"/>
        </w:rPr>
        <w:t xml:space="preserve"> </w:t>
      </w:r>
      <w:r>
        <w:rPr>
          <w:color w:val="231F20"/>
          <w:sz w:val="24"/>
        </w:rPr>
        <w:t>those</w:t>
      </w:r>
      <w:r>
        <w:rPr>
          <w:color w:val="231F20"/>
          <w:spacing w:val="-9"/>
          <w:sz w:val="24"/>
        </w:rPr>
        <w:t xml:space="preserve"> </w:t>
      </w:r>
      <w:r>
        <w:rPr>
          <w:color w:val="231F20"/>
          <w:sz w:val="24"/>
        </w:rPr>
        <w:t>for</w:t>
      </w:r>
      <w:r>
        <w:rPr>
          <w:color w:val="231F20"/>
          <w:spacing w:val="-8"/>
          <w:sz w:val="24"/>
        </w:rPr>
        <w:t xml:space="preserve"> </w:t>
      </w:r>
      <w:r>
        <w:rPr>
          <w:color w:val="231F20"/>
          <w:sz w:val="24"/>
        </w:rPr>
        <w:t>training,</w:t>
      </w:r>
      <w:r>
        <w:rPr>
          <w:color w:val="231F20"/>
          <w:spacing w:val="-8"/>
          <w:sz w:val="24"/>
        </w:rPr>
        <w:t xml:space="preserve"> </w:t>
      </w:r>
      <w:r>
        <w:rPr>
          <w:color w:val="231F20"/>
          <w:sz w:val="24"/>
        </w:rPr>
        <w:t>forensics,</w:t>
      </w:r>
      <w:r>
        <w:rPr>
          <w:color w:val="231F20"/>
          <w:spacing w:val="-8"/>
          <w:sz w:val="24"/>
        </w:rPr>
        <w:t xml:space="preserve"> </w:t>
      </w:r>
      <w:r>
        <w:rPr>
          <w:color w:val="231F20"/>
          <w:sz w:val="24"/>
        </w:rPr>
        <w:t>central</w:t>
      </w:r>
      <w:r>
        <w:rPr>
          <w:color w:val="231F20"/>
          <w:spacing w:val="-9"/>
          <w:sz w:val="24"/>
        </w:rPr>
        <w:t xml:space="preserve"> </w:t>
      </w:r>
      <w:r>
        <w:rPr>
          <w:color w:val="231F20"/>
          <w:sz w:val="24"/>
        </w:rPr>
        <w:t>property</w:t>
      </w:r>
      <w:r>
        <w:rPr>
          <w:color w:val="231F20"/>
          <w:spacing w:val="-8"/>
          <w:sz w:val="24"/>
        </w:rPr>
        <w:t xml:space="preserve"> </w:t>
      </w:r>
      <w:r>
        <w:rPr>
          <w:color w:val="231F20"/>
          <w:sz w:val="24"/>
        </w:rPr>
        <w:t>and document storage and transport operations.</w:t>
      </w:r>
    </w:p>
    <w:p w14:paraId="4CADCA2F" w14:textId="77777777" w:rsidR="00345EE3" w:rsidRDefault="00345EE3" w:rsidP="00345EE3">
      <w:pPr>
        <w:rPr>
          <w:color w:val="231F20"/>
          <w:sz w:val="24"/>
          <w:szCs w:val="24"/>
        </w:rPr>
      </w:pPr>
      <w:r>
        <w:rPr>
          <w:color w:val="231F20"/>
        </w:rPr>
        <w:br w:type="page"/>
      </w:r>
    </w:p>
    <w:p w14:paraId="42325693" w14:textId="77777777" w:rsidR="00345EE3" w:rsidRDefault="00345EE3" w:rsidP="00345EE3">
      <w:pPr>
        <w:pStyle w:val="BodyText"/>
        <w:spacing w:before="116"/>
      </w:pPr>
      <w:r>
        <w:rPr>
          <w:color w:val="231F20"/>
        </w:rPr>
        <w:t>The</w:t>
      </w:r>
      <w:r>
        <w:rPr>
          <w:color w:val="231F20"/>
          <w:spacing w:val="-10"/>
        </w:rPr>
        <w:t xml:space="preserve"> </w:t>
      </w:r>
      <w:r>
        <w:rPr>
          <w:color w:val="231F20"/>
        </w:rPr>
        <w:t>following</w:t>
      </w:r>
      <w:r>
        <w:rPr>
          <w:color w:val="231F20"/>
          <w:spacing w:val="-8"/>
        </w:rPr>
        <w:t xml:space="preserve"> </w:t>
      </w:r>
      <w:r>
        <w:rPr>
          <w:color w:val="231F20"/>
        </w:rPr>
        <w:t>should</w:t>
      </w:r>
      <w:r>
        <w:rPr>
          <w:color w:val="231F20"/>
          <w:spacing w:val="-8"/>
        </w:rPr>
        <w:t xml:space="preserve"> </w:t>
      </w:r>
      <w:r>
        <w:rPr>
          <w:color w:val="231F20"/>
        </w:rPr>
        <w:t>be</w:t>
      </w:r>
      <w:r>
        <w:rPr>
          <w:color w:val="231F20"/>
          <w:spacing w:val="-7"/>
        </w:rPr>
        <w:t xml:space="preserve"> </w:t>
      </w:r>
      <w:r>
        <w:rPr>
          <w:color w:val="231F20"/>
        </w:rPr>
        <w:t>considered</w:t>
      </w:r>
      <w:r>
        <w:rPr>
          <w:color w:val="231F20"/>
          <w:spacing w:val="-8"/>
        </w:rPr>
        <w:t xml:space="preserve"> </w:t>
      </w:r>
      <w:r>
        <w:rPr>
          <w:color w:val="231F20"/>
        </w:rPr>
        <w:t>when</w:t>
      </w:r>
      <w:r>
        <w:rPr>
          <w:color w:val="231F20"/>
          <w:spacing w:val="-8"/>
        </w:rPr>
        <w:t xml:space="preserve"> </w:t>
      </w:r>
      <w:r>
        <w:rPr>
          <w:color w:val="231F20"/>
        </w:rPr>
        <w:t>reading</w:t>
      </w:r>
      <w:r>
        <w:rPr>
          <w:color w:val="231F20"/>
          <w:spacing w:val="-8"/>
        </w:rPr>
        <w:t xml:space="preserve"> </w:t>
      </w:r>
      <w:r>
        <w:rPr>
          <w:color w:val="231F20"/>
        </w:rPr>
        <w:t>these</w:t>
      </w:r>
      <w:r>
        <w:rPr>
          <w:color w:val="231F20"/>
          <w:spacing w:val="-7"/>
        </w:rPr>
        <w:t xml:space="preserve"> </w:t>
      </w:r>
      <w:r>
        <w:rPr>
          <w:color w:val="231F20"/>
          <w:spacing w:val="-2"/>
        </w:rPr>
        <w:t>results:</w:t>
      </w:r>
    </w:p>
    <w:p w14:paraId="203015A7" w14:textId="77777777" w:rsidR="00345EE3" w:rsidRDefault="00345EE3">
      <w:pPr>
        <w:pStyle w:val="ListParagraph"/>
        <w:numPr>
          <w:ilvl w:val="0"/>
          <w:numId w:val="59"/>
        </w:numPr>
        <w:tabs>
          <w:tab w:val="left" w:pos="393"/>
          <w:tab w:val="left" w:pos="394"/>
        </w:tabs>
        <w:spacing w:line="242" w:lineRule="auto"/>
        <w:ind w:right="1692"/>
        <w:rPr>
          <w:sz w:val="24"/>
        </w:rPr>
      </w:pPr>
      <w:r>
        <w:rPr>
          <w:color w:val="231F20"/>
          <w:sz w:val="24"/>
        </w:rPr>
        <w:t>Results</w:t>
      </w:r>
      <w:r>
        <w:rPr>
          <w:color w:val="231F20"/>
          <w:spacing w:val="-8"/>
          <w:sz w:val="24"/>
        </w:rPr>
        <w:t xml:space="preserve"> </w:t>
      </w:r>
      <w:r>
        <w:rPr>
          <w:color w:val="231F20"/>
          <w:sz w:val="24"/>
        </w:rPr>
        <w:t>are</w:t>
      </w:r>
      <w:r>
        <w:rPr>
          <w:color w:val="231F20"/>
          <w:spacing w:val="-9"/>
          <w:sz w:val="24"/>
        </w:rPr>
        <w:t xml:space="preserve"> </w:t>
      </w:r>
      <w:r>
        <w:rPr>
          <w:color w:val="231F20"/>
          <w:sz w:val="24"/>
        </w:rPr>
        <w:t>based</w:t>
      </w:r>
      <w:r>
        <w:rPr>
          <w:color w:val="231F20"/>
          <w:spacing w:val="-9"/>
          <w:sz w:val="24"/>
        </w:rPr>
        <w:t xml:space="preserve"> </w:t>
      </w:r>
      <w:r>
        <w:rPr>
          <w:color w:val="231F20"/>
          <w:sz w:val="24"/>
        </w:rPr>
        <w:t>on</w:t>
      </w:r>
      <w:r>
        <w:rPr>
          <w:color w:val="231F20"/>
          <w:spacing w:val="-9"/>
          <w:sz w:val="24"/>
        </w:rPr>
        <w:t xml:space="preserve"> </w:t>
      </w:r>
      <w:r>
        <w:rPr>
          <w:color w:val="231F20"/>
          <w:sz w:val="24"/>
        </w:rPr>
        <w:t>the</w:t>
      </w:r>
      <w:r>
        <w:rPr>
          <w:color w:val="231F20"/>
          <w:spacing w:val="-9"/>
          <w:sz w:val="24"/>
        </w:rPr>
        <w:t xml:space="preserve"> </w:t>
      </w:r>
      <w:r>
        <w:rPr>
          <w:color w:val="231F20"/>
          <w:sz w:val="24"/>
        </w:rPr>
        <w:t>1</w:t>
      </w:r>
      <w:r>
        <w:rPr>
          <w:color w:val="231F20"/>
          <w:spacing w:val="-9"/>
          <w:sz w:val="24"/>
        </w:rPr>
        <w:t xml:space="preserve"> </w:t>
      </w:r>
      <w:r>
        <w:rPr>
          <w:color w:val="231F20"/>
          <w:sz w:val="24"/>
        </w:rPr>
        <w:t>April</w:t>
      </w:r>
      <w:r>
        <w:rPr>
          <w:color w:val="231F20"/>
          <w:spacing w:val="-9"/>
          <w:sz w:val="24"/>
        </w:rPr>
        <w:t xml:space="preserve"> </w:t>
      </w:r>
      <w:r>
        <w:rPr>
          <w:color w:val="231F20"/>
          <w:sz w:val="24"/>
        </w:rPr>
        <w:t>to</w:t>
      </w:r>
      <w:r>
        <w:rPr>
          <w:color w:val="231F20"/>
          <w:spacing w:val="-9"/>
          <w:sz w:val="24"/>
        </w:rPr>
        <w:t xml:space="preserve"> </w:t>
      </w:r>
      <w:r>
        <w:rPr>
          <w:color w:val="231F20"/>
          <w:sz w:val="24"/>
        </w:rPr>
        <w:t>31</w:t>
      </w:r>
      <w:r>
        <w:rPr>
          <w:color w:val="231F20"/>
          <w:spacing w:val="-9"/>
          <w:sz w:val="24"/>
        </w:rPr>
        <w:t xml:space="preserve"> </w:t>
      </w:r>
      <w:r>
        <w:rPr>
          <w:color w:val="231F20"/>
          <w:sz w:val="24"/>
        </w:rPr>
        <w:t>March</w:t>
      </w:r>
      <w:r>
        <w:rPr>
          <w:color w:val="231F20"/>
          <w:spacing w:val="-9"/>
          <w:sz w:val="24"/>
        </w:rPr>
        <w:t xml:space="preserve"> </w:t>
      </w:r>
      <w:r>
        <w:rPr>
          <w:color w:val="231F20"/>
          <w:sz w:val="24"/>
        </w:rPr>
        <w:t>Fringe</w:t>
      </w:r>
      <w:r>
        <w:rPr>
          <w:color w:val="231F20"/>
          <w:spacing w:val="-9"/>
          <w:sz w:val="24"/>
        </w:rPr>
        <w:t xml:space="preserve"> </w:t>
      </w:r>
      <w:r>
        <w:rPr>
          <w:color w:val="231F20"/>
          <w:sz w:val="24"/>
        </w:rPr>
        <w:t>Benefit</w:t>
      </w:r>
      <w:r>
        <w:rPr>
          <w:color w:val="231F20"/>
          <w:spacing w:val="-8"/>
          <w:sz w:val="24"/>
        </w:rPr>
        <w:t xml:space="preserve"> </w:t>
      </w:r>
      <w:r>
        <w:rPr>
          <w:color w:val="231F20"/>
          <w:sz w:val="24"/>
        </w:rPr>
        <w:t>Tax</w:t>
      </w:r>
      <w:r>
        <w:rPr>
          <w:color w:val="231F20"/>
          <w:spacing w:val="-8"/>
          <w:sz w:val="24"/>
        </w:rPr>
        <w:t xml:space="preserve"> </w:t>
      </w:r>
      <w:r>
        <w:rPr>
          <w:color w:val="231F20"/>
          <w:sz w:val="24"/>
        </w:rPr>
        <w:t>year</w:t>
      </w:r>
      <w:r>
        <w:rPr>
          <w:color w:val="231F20"/>
          <w:spacing w:val="-8"/>
          <w:sz w:val="24"/>
        </w:rPr>
        <w:t xml:space="preserve"> </w:t>
      </w:r>
      <w:r>
        <w:rPr>
          <w:color w:val="231F20"/>
          <w:sz w:val="24"/>
        </w:rPr>
        <w:t>unless</w:t>
      </w:r>
      <w:r>
        <w:rPr>
          <w:color w:val="231F20"/>
          <w:spacing w:val="-8"/>
          <w:sz w:val="24"/>
        </w:rPr>
        <w:t xml:space="preserve"> </w:t>
      </w:r>
      <w:r>
        <w:rPr>
          <w:color w:val="231F20"/>
          <w:sz w:val="24"/>
        </w:rPr>
        <w:t xml:space="preserve">otherwise </w:t>
      </w:r>
      <w:r>
        <w:rPr>
          <w:color w:val="231F20"/>
          <w:spacing w:val="-2"/>
          <w:sz w:val="24"/>
        </w:rPr>
        <w:t>specified.</w:t>
      </w:r>
    </w:p>
    <w:p w14:paraId="6FBB6FBF" w14:textId="77777777" w:rsidR="00345EE3" w:rsidRDefault="00345EE3">
      <w:pPr>
        <w:pStyle w:val="ListParagraph"/>
        <w:numPr>
          <w:ilvl w:val="0"/>
          <w:numId w:val="59"/>
        </w:numPr>
        <w:tabs>
          <w:tab w:val="left" w:pos="393"/>
          <w:tab w:val="left" w:pos="394"/>
        </w:tabs>
        <w:spacing w:before="31" w:line="242" w:lineRule="auto"/>
        <w:ind w:right="1483"/>
        <w:rPr>
          <w:sz w:val="24"/>
        </w:rPr>
      </w:pPr>
      <w:r>
        <w:rPr>
          <w:color w:val="231F20"/>
          <w:sz w:val="24"/>
        </w:rPr>
        <w:t>Data</w:t>
      </w:r>
      <w:r>
        <w:rPr>
          <w:color w:val="231F20"/>
          <w:spacing w:val="-9"/>
          <w:sz w:val="24"/>
        </w:rPr>
        <w:t xml:space="preserve"> </w:t>
      </w:r>
      <w:r>
        <w:rPr>
          <w:color w:val="231F20"/>
          <w:sz w:val="24"/>
        </w:rPr>
        <w:t>sources</w:t>
      </w:r>
      <w:r>
        <w:rPr>
          <w:color w:val="231F20"/>
          <w:spacing w:val="-8"/>
          <w:sz w:val="24"/>
        </w:rPr>
        <w:t xml:space="preserve"> </w:t>
      </w:r>
      <w:r>
        <w:rPr>
          <w:color w:val="231F20"/>
          <w:sz w:val="24"/>
        </w:rPr>
        <w:t>include</w:t>
      </w:r>
      <w:r>
        <w:rPr>
          <w:color w:val="231F20"/>
          <w:spacing w:val="-9"/>
          <w:sz w:val="24"/>
        </w:rPr>
        <w:t xml:space="preserve"> </w:t>
      </w:r>
      <w:r>
        <w:rPr>
          <w:color w:val="231F20"/>
          <w:sz w:val="24"/>
        </w:rPr>
        <w:t>data</w:t>
      </w:r>
      <w:r>
        <w:rPr>
          <w:color w:val="231F20"/>
          <w:spacing w:val="-9"/>
          <w:sz w:val="24"/>
        </w:rPr>
        <w:t xml:space="preserve"> </w:t>
      </w:r>
      <w:r>
        <w:rPr>
          <w:color w:val="231F20"/>
          <w:sz w:val="24"/>
        </w:rPr>
        <w:t>provided</w:t>
      </w:r>
      <w:r>
        <w:rPr>
          <w:color w:val="231F20"/>
          <w:spacing w:val="-9"/>
          <w:sz w:val="24"/>
        </w:rPr>
        <w:t xml:space="preserve"> </w:t>
      </w:r>
      <w:r>
        <w:rPr>
          <w:color w:val="231F20"/>
          <w:sz w:val="24"/>
        </w:rPr>
        <w:t>by</w:t>
      </w:r>
      <w:r>
        <w:rPr>
          <w:color w:val="231F20"/>
          <w:spacing w:val="-8"/>
          <w:sz w:val="24"/>
        </w:rPr>
        <w:t xml:space="preserve"> </w:t>
      </w:r>
      <w:r>
        <w:rPr>
          <w:color w:val="231F20"/>
          <w:sz w:val="24"/>
        </w:rPr>
        <w:t>other</w:t>
      </w:r>
      <w:r>
        <w:rPr>
          <w:color w:val="231F20"/>
          <w:spacing w:val="-8"/>
          <w:sz w:val="24"/>
        </w:rPr>
        <w:t xml:space="preserve"> </w:t>
      </w:r>
      <w:r>
        <w:rPr>
          <w:color w:val="231F20"/>
          <w:sz w:val="24"/>
        </w:rPr>
        <w:t>public</w:t>
      </w:r>
      <w:r>
        <w:rPr>
          <w:color w:val="231F20"/>
          <w:spacing w:val="-8"/>
          <w:sz w:val="24"/>
        </w:rPr>
        <w:t xml:space="preserve"> </w:t>
      </w:r>
      <w:r>
        <w:rPr>
          <w:color w:val="231F20"/>
          <w:sz w:val="24"/>
        </w:rPr>
        <w:t>sector</w:t>
      </w:r>
      <w:r>
        <w:rPr>
          <w:color w:val="231F20"/>
          <w:spacing w:val="-8"/>
          <w:sz w:val="24"/>
        </w:rPr>
        <w:t xml:space="preserve"> </w:t>
      </w:r>
      <w:r>
        <w:rPr>
          <w:color w:val="231F20"/>
          <w:sz w:val="24"/>
        </w:rPr>
        <w:t>agencies</w:t>
      </w:r>
      <w:r>
        <w:rPr>
          <w:color w:val="231F20"/>
          <w:spacing w:val="-8"/>
          <w:sz w:val="24"/>
        </w:rPr>
        <w:t xml:space="preserve"> </w:t>
      </w:r>
      <w:r>
        <w:rPr>
          <w:color w:val="231F20"/>
          <w:sz w:val="24"/>
        </w:rPr>
        <w:t>and</w:t>
      </w:r>
      <w:r>
        <w:rPr>
          <w:color w:val="231F20"/>
          <w:spacing w:val="-9"/>
          <w:sz w:val="24"/>
        </w:rPr>
        <w:t xml:space="preserve"> </w:t>
      </w:r>
      <w:r>
        <w:rPr>
          <w:color w:val="231F20"/>
          <w:sz w:val="24"/>
        </w:rPr>
        <w:t>external</w:t>
      </w:r>
      <w:r>
        <w:rPr>
          <w:color w:val="231F20"/>
          <w:spacing w:val="-9"/>
          <w:sz w:val="24"/>
        </w:rPr>
        <w:t xml:space="preserve"> </w:t>
      </w:r>
      <w:r>
        <w:rPr>
          <w:color w:val="231F20"/>
          <w:sz w:val="24"/>
        </w:rPr>
        <w:t>service providers. Reliability and validity of data are assumed.</w:t>
      </w:r>
    </w:p>
    <w:p w14:paraId="04BAE88D" w14:textId="77777777" w:rsidR="00345EE3" w:rsidRDefault="00345EE3">
      <w:pPr>
        <w:pStyle w:val="ListParagraph"/>
        <w:numPr>
          <w:ilvl w:val="0"/>
          <w:numId w:val="59"/>
        </w:numPr>
        <w:tabs>
          <w:tab w:val="left" w:pos="393"/>
          <w:tab w:val="left" w:pos="394"/>
        </w:tabs>
        <w:spacing w:before="31" w:line="242" w:lineRule="auto"/>
        <w:ind w:right="983"/>
        <w:rPr>
          <w:sz w:val="24"/>
        </w:rPr>
      </w:pPr>
      <w:r>
        <w:rPr>
          <w:color w:val="231F20"/>
          <w:sz w:val="24"/>
        </w:rPr>
        <w:t>The Australian National Greenhouse Accounts Factors were used to calculate greenhouse gas</w:t>
      </w:r>
      <w:r>
        <w:rPr>
          <w:color w:val="231F20"/>
          <w:spacing w:val="-10"/>
          <w:sz w:val="24"/>
        </w:rPr>
        <w:t xml:space="preserve"> </w:t>
      </w:r>
      <w:r>
        <w:rPr>
          <w:color w:val="231F20"/>
          <w:sz w:val="24"/>
        </w:rPr>
        <w:t>emissions.</w:t>
      </w:r>
      <w:r>
        <w:rPr>
          <w:color w:val="231F20"/>
          <w:spacing w:val="-10"/>
          <w:sz w:val="24"/>
        </w:rPr>
        <w:t xml:space="preserve"> </w:t>
      </w:r>
      <w:r>
        <w:rPr>
          <w:color w:val="231F20"/>
          <w:sz w:val="24"/>
        </w:rPr>
        <w:t>The</w:t>
      </w:r>
      <w:r>
        <w:rPr>
          <w:color w:val="231F20"/>
          <w:spacing w:val="-11"/>
          <w:sz w:val="24"/>
        </w:rPr>
        <w:t xml:space="preserve"> </w:t>
      </w:r>
      <w:r>
        <w:rPr>
          <w:color w:val="231F20"/>
          <w:sz w:val="24"/>
        </w:rPr>
        <w:t>August</w:t>
      </w:r>
      <w:r>
        <w:rPr>
          <w:color w:val="231F20"/>
          <w:spacing w:val="-10"/>
          <w:sz w:val="24"/>
        </w:rPr>
        <w:t xml:space="preserve"> </w:t>
      </w:r>
      <w:r>
        <w:rPr>
          <w:color w:val="231F20"/>
          <w:sz w:val="24"/>
        </w:rPr>
        <w:t>2019</w:t>
      </w:r>
      <w:r>
        <w:rPr>
          <w:color w:val="231F20"/>
          <w:spacing w:val="-11"/>
          <w:sz w:val="24"/>
        </w:rPr>
        <w:t xml:space="preserve"> </w:t>
      </w:r>
      <w:r>
        <w:rPr>
          <w:color w:val="231F20"/>
          <w:sz w:val="24"/>
        </w:rPr>
        <w:t>factors</w:t>
      </w:r>
      <w:r>
        <w:rPr>
          <w:color w:val="231F20"/>
          <w:spacing w:val="-10"/>
          <w:sz w:val="24"/>
        </w:rPr>
        <w:t xml:space="preserve"> </w:t>
      </w:r>
      <w:r>
        <w:rPr>
          <w:color w:val="231F20"/>
          <w:sz w:val="24"/>
        </w:rPr>
        <w:t>were</w:t>
      </w:r>
      <w:r>
        <w:rPr>
          <w:color w:val="231F20"/>
          <w:spacing w:val="-11"/>
          <w:sz w:val="24"/>
        </w:rPr>
        <w:t xml:space="preserve"> </w:t>
      </w:r>
      <w:r>
        <w:rPr>
          <w:color w:val="231F20"/>
          <w:sz w:val="24"/>
        </w:rPr>
        <w:t>used</w:t>
      </w:r>
      <w:r>
        <w:rPr>
          <w:color w:val="231F20"/>
          <w:spacing w:val="-11"/>
          <w:sz w:val="24"/>
        </w:rPr>
        <w:t xml:space="preserve"> </w:t>
      </w:r>
      <w:r>
        <w:rPr>
          <w:color w:val="231F20"/>
          <w:sz w:val="24"/>
        </w:rPr>
        <w:t>to</w:t>
      </w:r>
      <w:r>
        <w:rPr>
          <w:color w:val="231F20"/>
          <w:spacing w:val="-11"/>
          <w:sz w:val="24"/>
        </w:rPr>
        <w:t xml:space="preserve"> </w:t>
      </w:r>
      <w:r>
        <w:rPr>
          <w:color w:val="231F20"/>
          <w:sz w:val="24"/>
        </w:rPr>
        <w:t>calculate</w:t>
      </w:r>
      <w:r>
        <w:rPr>
          <w:color w:val="231F20"/>
          <w:spacing w:val="-11"/>
          <w:sz w:val="24"/>
        </w:rPr>
        <w:t xml:space="preserve"> </w:t>
      </w:r>
      <w:r>
        <w:rPr>
          <w:color w:val="231F20"/>
          <w:sz w:val="24"/>
        </w:rPr>
        <w:t>2019–20</w:t>
      </w:r>
      <w:r>
        <w:rPr>
          <w:color w:val="231F20"/>
          <w:spacing w:val="-11"/>
          <w:sz w:val="24"/>
        </w:rPr>
        <w:t xml:space="preserve"> </w:t>
      </w:r>
      <w:r>
        <w:rPr>
          <w:color w:val="231F20"/>
          <w:sz w:val="24"/>
        </w:rPr>
        <w:t>results,</w:t>
      </w:r>
      <w:r>
        <w:rPr>
          <w:color w:val="231F20"/>
          <w:spacing w:val="-10"/>
          <w:sz w:val="24"/>
        </w:rPr>
        <w:t xml:space="preserve"> </w:t>
      </w:r>
      <w:r>
        <w:rPr>
          <w:color w:val="231F20"/>
          <w:sz w:val="24"/>
        </w:rPr>
        <w:t>the</w:t>
      </w:r>
      <w:r>
        <w:rPr>
          <w:color w:val="231F20"/>
          <w:spacing w:val="-11"/>
          <w:sz w:val="24"/>
        </w:rPr>
        <w:t xml:space="preserve"> </w:t>
      </w:r>
      <w:r>
        <w:rPr>
          <w:color w:val="231F20"/>
          <w:sz w:val="24"/>
        </w:rPr>
        <w:t>October 2020</w:t>
      </w:r>
      <w:r>
        <w:rPr>
          <w:color w:val="231F20"/>
          <w:spacing w:val="-4"/>
          <w:sz w:val="24"/>
        </w:rPr>
        <w:t xml:space="preserve"> </w:t>
      </w:r>
      <w:r>
        <w:rPr>
          <w:color w:val="231F20"/>
          <w:sz w:val="24"/>
        </w:rPr>
        <w:t>factors</w:t>
      </w:r>
      <w:r>
        <w:rPr>
          <w:color w:val="231F20"/>
          <w:spacing w:val="-3"/>
          <w:sz w:val="24"/>
        </w:rPr>
        <w:t xml:space="preserve"> </w:t>
      </w:r>
      <w:r>
        <w:rPr>
          <w:color w:val="231F20"/>
          <w:sz w:val="24"/>
        </w:rPr>
        <w:t>were</w:t>
      </w:r>
      <w:r>
        <w:rPr>
          <w:color w:val="231F20"/>
          <w:spacing w:val="-4"/>
          <w:sz w:val="24"/>
        </w:rPr>
        <w:t xml:space="preserve"> </w:t>
      </w:r>
      <w:r>
        <w:rPr>
          <w:color w:val="231F20"/>
          <w:sz w:val="24"/>
        </w:rPr>
        <w:t>used</w:t>
      </w:r>
      <w:r>
        <w:rPr>
          <w:color w:val="231F20"/>
          <w:spacing w:val="-4"/>
          <w:sz w:val="24"/>
        </w:rPr>
        <w:t xml:space="preserve"> </w:t>
      </w:r>
      <w:r>
        <w:rPr>
          <w:color w:val="231F20"/>
          <w:sz w:val="24"/>
        </w:rPr>
        <w:t>to</w:t>
      </w:r>
      <w:r>
        <w:rPr>
          <w:color w:val="231F20"/>
          <w:spacing w:val="-4"/>
          <w:sz w:val="24"/>
        </w:rPr>
        <w:t xml:space="preserve"> </w:t>
      </w:r>
      <w:r>
        <w:rPr>
          <w:color w:val="231F20"/>
          <w:sz w:val="24"/>
        </w:rPr>
        <w:t>calculate</w:t>
      </w:r>
      <w:r>
        <w:rPr>
          <w:color w:val="231F20"/>
          <w:spacing w:val="-4"/>
          <w:sz w:val="24"/>
        </w:rPr>
        <w:t xml:space="preserve"> </w:t>
      </w:r>
      <w:r>
        <w:rPr>
          <w:color w:val="231F20"/>
          <w:sz w:val="24"/>
        </w:rPr>
        <w:t>2020–21</w:t>
      </w:r>
      <w:r>
        <w:rPr>
          <w:color w:val="231F20"/>
          <w:spacing w:val="-4"/>
          <w:sz w:val="24"/>
        </w:rPr>
        <w:t xml:space="preserve"> </w:t>
      </w:r>
      <w:r>
        <w:rPr>
          <w:color w:val="231F20"/>
          <w:sz w:val="24"/>
        </w:rPr>
        <w:t>results</w:t>
      </w:r>
      <w:r>
        <w:rPr>
          <w:color w:val="231F20"/>
          <w:spacing w:val="-3"/>
          <w:sz w:val="24"/>
        </w:rPr>
        <w:t xml:space="preserve"> </w:t>
      </w:r>
      <w:r>
        <w:rPr>
          <w:color w:val="231F20"/>
          <w:sz w:val="24"/>
        </w:rPr>
        <w:t>and</w:t>
      </w:r>
      <w:r>
        <w:rPr>
          <w:color w:val="231F20"/>
          <w:spacing w:val="-4"/>
          <w:sz w:val="24"/>
        </w:rPr>
        <w:t xml:space="preserve"> </w:t>
      </w:r>
      <w:r>
        <w:rPr>
          <w:color w:val="231F20"/>
          <w:sz w:val="24"/>
        </w:rPr>
        <w:t>the</w:t>
      </w:r>
      <w:r>
        <w:rPr>
          <w:color w:val="231F20"/>
          <w:spacing w:val="-4"/>
          <w:sz w:val="24"/>
        </w:rPr>
        <w:t xml:space="preserve"> </w:t>
      </w:r>
      <w:r>
        <w:rPr>
          <w:color w:val="231F20"/>
          <w:sz w:val="24"/>
        </w:rPr>
        <w:t>August</w:t>
      </w:r>
      <w:r>
        <w:rPr>
          <w:color w:val="231F20"/>
          <w:spacing w:val="-3"/>
          <w:sz w:val="24"/>
        </w:rPr>
        <w:t xml:space="preserve"> </w:t>
      </w:r>
      <w:r>
        <w:rPr>
          <w:color w:val="231F20"/>
          <w:sz w:val="24"/>
        </w:rPr>
        <w:t>2021</w:t>
      </w:r>
      <w:r>
        <w:rPr>
          <w:color w:val="231F20"/>
          <w:spacing w:val="-4"/>
          <w:sz w:val="24"/>
        </w:rPr>
        <w:t xml:space="preserve"> </w:t>
      </w:r>
      <w:r>
        <w:rPr>
          <w:color w:val="231F20"/>
          <w:sz w:val="24"/>
        </w:rPr>
        <w:t>factors</w:t>
      </w:r>
      <w:r>
        <w:rPr>
          <w:color w:val="231F20"/>
          <w:spacing w:val="-3"/>
          <w:sz w:val="24"/>
        </w:rPr>
        <w:t xml:space="preserve"> </w:t>
      </w:r>
      <w:r>
        <w:rPr>
          <w:color w:val="231F20"/>
          <w:sz w:val="24"/>
        </w:rPr>
        <w:t>were</w:t>
      </w:r>
      <w:r>
        <w:rPr>
          <w:color w:val="231F20"/>
          <w:spacing w:val="-4"/>
          <w:sz w:val="24"/>
        </w:rPr>
        <w:t xml:space="preserve"> </w:t>
      </w:r>
      <w:r>
        <w:rPr>
          <w:color w:val="231F20"/>
          <w:sz w:val="24"/>
        </w:rPr>
        <w:t>used to calculate the results for 2021–22.</w:t>
      </w:r>
    </w:p>
    <w:p w14:paraId="11782DEF" w14:textId="77777777" w:rsidR="00345EE3" w:rsidRDefault="00345EE3">
      <w:pPr>
        <w:pStyle w:val="ListParagraph"/>
        <w:numPr>
          <w:ilvl w:val="0"/>
          <w:numId w:val="59"/>
        </w:numPr>
        <w:tabs>
          <w:tab w:val="left" w:pos="393"/>
          <w:tab w:val="left" w:pos="394"/>
        </w:tabs>
        <w:spacing w:before="62" w:line="242" w:lineRule="auto"/>
        <w:ind w:right="1666"/>
        <w:rPr>
          <w:sz w:val="24"/>
        </w:rPr>
      </w:pPr>
      <w:r>
        <w:rPr>
          <w:color w:val="231F20"/>
          <w:sz w:val="24"/>
        </w:rPr>
        <w:t>Complete</w:t>
      </w:r>
      <w:r>
        <w:rPr>
          <w:color w:val="231F20"/>
          <w:spacing w:val="-12"/>
          <w:sz w:val="24"/>
        </w:rPr>
        <w:t xml:space="preserve"> </w:t>
      </w:r>
      <w:r>
        <w:rPr>
          <w:color w:val="231F20"/>
          <w:sz w:val="24"/>
        </w:rPr>
        <w:t>data</w:t>
      </w:r>
      <w:r>
        <w:rPr>
          <w:color w:val="231F20"/>
          <w:spacing w:val="-12"/>
          <w:sz w:val="24"/>
        </w:rPr>
        <w:t xml:space="preserve"> </w:t>
      </w:r>
      <w:r>
        <w:rPr>
          <w:color w:val="231F20"/>
          <w:sz w:val="24"/>
        </w:rPr>
        <w:t>not</w:t>
      </w:r>
      <w:r>
        <w:rPr>
          <w:color w:val="231F20"/>
          <w:spacing w:val="-11"/>
          <w:sz w:val="24"/>
        </w:rPr>
        <w:t xml:space="preserve"> </w:t>
      </w:r>
      <w:r>
        <w:rPr>
          <w:color w:val="231F20"/>
          <w:sz w:val="24"/>
        </w:rPr>
        <w:t>always</w:t>
      </w:r>
      <w:r>
        <w:rPr>
          <w:color w:val="231F20"/>
          <w:spacing w:val="-11"/>
          <w:sz w:val="24"/>
        </w:rPr>
        <w:t xml:space="preserve"> </w:t>
      </w:r>
      <w:r>
        <w:rPr>
          <w:color w:val="231F20"/>
          <w:sz w:val="24"/>
        </w:rPr>
        <w:t>available.</w:t>
      </w:r>
      <w:r>
        <w:rPr>
          <w:color w:val="231F20"/>
          <w:spacing w:val="-11"/>
          <w:sz w:val="24"/>
        </w:rPr>
        <w:t xml:space="preserve"> </w:t>
      </w:r>
      <w:r>
        <w:rPr>
          <w:color w:val="231F20"/>
          <w:sz w:val="24"/>
        </w:rPr>
        <w:t>Unless</w:t>
      </w:r>
      <w:r>
        <w:rPr>
          <w:color w:val="231F20"/>
          <w:spacing w:val="-11"/>
          <w:sz w:val="24"/>
        </w:rPr>
        <w:t xml:space="preserve"> </w:t>
      </w:r>
      <w:r>
        <w:rPr>
          <w:color w:val="231F20"/>
          <w:sz w:val="24"/>
        </w:rPr>
        <w:t>otherwise</w:t>
      </w:r>
      <w:r>
        <w:rPr>
          <w:color w:val="231F20"/>
          <w:spacing w:val="-12"/>
          <w:sz w:val="24"/>
        </w:rPr>
        <w:t xml:space="preserve"> </w:t>
      </w:r>
      <w:r>
        <w:rPr>
          <w:color w:val="231F20"/>
          <w:sz w:val="24"/>
        </w:rPr>
        <w:t>specified,</w:t>
      </w:r>
      <w:r>
        <w:rPr>
          <w:color w:val="231F20"/>
          <w:spacing w:val="-11"/>
          <w:sz w:val="24"/>
        </w:rPr>
        <w:t xml:space="preserve"> </w:t>
      </w:r>
      <w:r>
        <w:rPr>
          <w:color w:val="231F20"/>
          <w:sz w:val="24"/>
        </w:rPr>
        <w:t>some</w:t>
      </w:r>
      <w:r>
        <w:rPr>
          <w:color w:val="231F20"/>
          <w:spacing w:val="-12"/>
          <w:sz w:val="24"/>
        </w:rPr>
        <w:t xml:space="preserve"> </w:t>
      </w:r>
      <w:r>
        <w:rPr>
          <w:color w:val="231F20"/>
          <w:sz w:val="24"/>
        </w:rPr>
        <w:t>data</w:t>
      </w:r>
      <w:r>
        <w:rPr>
          <w:color w:val="231F20"/>
          <w:spacing w:val="-12"/>
          <w:sz w:val="24"/>
        </w:rPr>
        <w:t xml:space="preserve"> </w:t>
      </w:r>
      <w:r>
        <w:rPr>
          <w:color w:val="231F20"/>
          <w:sz w:val="24"/>
        </w:rPr>
        <w:t>have</w:t>
      </w:r>
      <w:r>
        <w:rPr>
          <w:color w:val="231F20"/>
          <w:spacing w:val="-12"/>
          <w:sz w:val="24"/>
        </w:rPr>
        <w:t xml:space="preserve"> </w:t>
      </w:r>
      <w:r>
        <w:rPr>
          <w:color w:val="231F20"/>
          <w:sz w:val="24"/>
        </w:rPr>
        <w:t>been extrapolated for some sites based on prior year or daily average use.</w:t>
      </w:r>
    </w:p>
    <w:p w14:paraId="4A86F2F4" w14:textId="77777777" w:rsidR="00345EE3" w:rsidRDefault="00345EE3">
      <w:pPr>
        <w:pStyle w:val="ListParagraph"/>
        <w:numPr>
          <w:ilvl w:val="0"/>
          <w:numId w:val="59"/>
        </w:numPr>
        <w:tabs>
          <w:tab w:val="left" w:pos="393"/>
          <w:tab w:val="left" w:pos="394"/>
        </w:tabs>
        <w:spacing w:before="31" w:line="242" w:lineRule="auto"/>
        <w:ind w:right="889"/>
        <w:rPr>
          <w:sz w:val="24"/>
        </w:rPr>
      </w:pPr>
      <w:r>
        <w:rPr>
          <w:color w:val="231F20"/>
          <w:sz w:val="24"/>
        </w:rPr>
        <w:t>Results</w:t>
      </w:r>
      <w:r>
        <w:rPr>
          <w:color w:val="231F20"/>
          <w:spacing w:val="-11"/>
          <w:sz w:val="24"/>
        </w:rPr>
        <w:t xml:space="preserve"> </w:t>
      </w:r>
      <w:r>
        <w:rPr>
          <w:color w:val="231F20"/>
          <w:sz w:val="24"/>
        </w:rPr>
        <w:t>for</w:t>
      </w:r>
      <w:r>
        <w:rPr>
          <w:color w:val="231F20"/>
          <w:spacing w:val="-11"/>
          <w:sz w:val="24"/>
        </w:rPr>
        <w:t xml:space="preserve"> </w:t>
      </w:r>
      <w:r>
        <w:rPr>
          <w:color w:val="231F20"/>
          <w:sz w:val="24"/>
        </w:rPr>
        <w:t>2020–21</w:t>
      </w:r>
      <w:r>
        <w:rPr>
          <w:color w:val="231F20"/>
          <w:spacing w:val="-12"/>
          <w:sz w:val="24"/>
        </w:rPr>
        <w:t xml:space="preserve"> </w:t>
      </w:r>
      <w:r>
        <w:rPr>
          <w:color w:val="231F20"/>
          <w:sz w:val="24"/>
        </w:rPr>
        <w:t>have</w:t>
      </w:r>
      <w:r>
        <w:rPr>
          <w:color w:val="231F20"/>
          <w:spacing w:val="-12"/>
          <w:sz w:val="24"/>
        </w:rPr>
        <w:t xml:space="preserve"> </w:t>
      </w:r>
      <w:r>
        <w:rPr>
          <w:color w:val="231F20"/>
          <w:sz w:val="24"/>
        </w:rPr>
        <w:t>been</w:t>
      </w:r>
      <w:r>
        <w:rPr>
          <w:color w:val="231F20"/>
          <w:spacing w:val="-12"/>
          <w:sz w:val="24"/>
        </w:rPr>
        <w:t xml:space="preserve"> </w:t>
      </w:r>
      <w:r>
        <w:rPr>
          <w:color w:val="231F20"/>
          <w:sz w:val="24"/>
        </w:rPr>
        <w:t>recalculated</w:t>
      </w:r>
      <w:r>
        <w:rPr>
          <w:color w:val="231F20"/>
          <w:spacing w:val="-12"/>
          <w:sz w:val="24"/>
        </w:rPr>
        <w:t xml:space="preserve"> </w:t>
      </w:r>
      <w:r>
        <w:rPr>
          <w:color w:val="231F20"/>
          <w:sz w:val="24"/>
        </w:rPr>
        <w:t>for</w:t>
      </w:r>
      <w:r>
        <w:rPr>
          <w:color w:val="231F20"/>
          <w:spacing w:val="-11"/>
          <w:sz w:val="24"/>
        </w:rPr>
        <w:t xml:space="preserve"> </w:t>
      </w:r>
      <w:r>
        <w:rPr>
          <w:color w:val="231F20"/>
          <w:sz w:val="24"/>
        </w:rPr>
        <w:t>electricity,</w:t>
      </w:r>
      <w:r>
        <w:rPr>
          <w:color w:val="231F20"/>
          <w:spacing w:val="-11"/>
          <w:sz w:val="24"/>
        </w:rPr>
        <w:t xml:space="preserve"> </w:t>
      </w:r>
      <w:r>
        <w:rPr>
          <w:color w:val="231F20"/>
          <w:sz w:val="24"/>
        </w:rPr>
        <w:t>natural</w:t>
      </w:r>
      <w:r>
        <w:rPr>
          <w:color w:val="231F20"/>
          <w:spacing w:val="-12"/>
          <w:sz w:val="24"/>
        </w:rPr>
        <w:t xml:space="preserve"> </w:t>
      </w:r>
      <w:r>
        <w:rPr>
          <w:color w:val="231F20"/>
          <w:sz w:val="24"/>
        </w:rPr>
        <w:t>gas</w:t>
      </w:r>
      <w:r>
        <w:rPr>
          <w:color w:val="231F20"/>
          <w:spacing w:val="-11"/>
          <w:sz w:val="24"/>
        </w:rPr>
        <w:t xml:space="preserve"> </w:t>
      </w:r>
      <w:r>
        <w:rPr>
          <w:color w:val="231F20"/>
          <w:sz w:val="24"/>
        </w:rPr>
        <w:t>and</w:t>
      </w:r>
      <w:r>
        <w:rPr>
          <w:color w:val="231F20"/>
          <w:spacing w:val="-12"/>
          <w:sz w:val="24"/>
        </w:rPr>
        <w:t xml:space="preserve"> </w:t>
      </w:r>
      <w:r>
        <w:rPr>
          <w:color w:val="231F20"/>
          <w:sz w:val="24"/>
        </w:rPr>
        <w:t>water</w:t>
      </w:r>
      <w:r>
        <w:rPr>
          <w:color w:val="231F20"/>
          <w:spacing w:val="-11"/>
          <w:sz w:val="24"/>
        </w:rPr>
        <w:t xml:space="preserve"> </w:t>
      </w:r>
      <w:r>
        <w:rPr>
          <w:color w:val="231F20"/>
          <w:sz w:val="24"/>
        </w:rPr>
        <w:t>consumption as more complete data became available.</w:t>
      </w:r>
    </w:p>
    <w:p w14:paraId="36235F45" w14:textId="77777777" w:rsidR="00345EE3" w:rsidRDefault="00345EE3">
      <w:pPr>
        <w:pStyle w:val="ListParagraph"/>
        <w:numPr>
          <w:ilvl w:val="0"/>
          <w:numId w:val="59"/>
        </w:numPr>
        <w:tabs>
          <w:tab w:val="left" w:pos="393"/>
          <w:tab w:val="left" w:pos="394"/>
        </w:tabs>
        <w:spacing w:before="31"/>
        <w:rPr>
          <w:sz w:val="24"/>
        </w:rPr>
      </w:pPr>
      <w:r>
        <w:rPr>
          <w:color w:val="231F20"/>
          <w:sz w:val="24"/>
        </w:rPr>
        <w:t>Totals</w:t>
      </w:r>
      <w:r>
        <w:rPr>
          <w:color w:val="231F20"/>
          <w:spacing w:val="-10"/>
          <w:sz w:val="24"/>
        </w:rPr>
        <w:t xml:space="preserve"> </w:t>
      </w:r>
      <w:r>
        <w:rPr>
          <w:color w:val="231F20"/>
          <w:sz w:val="24"/>
        </w:rPr>
        <w:t>may</w:t>
      </w:r>
      <w:r>
        <w:rPr>
          <w:color w:val="231F20"/>
          <w:spacing w:val="-10"/>
          <w:sz w:val="24"/>
        </w:rPr>
        <w:t xml:space="preserve"> </w:t>
      </w:r>
      <w:r>
        <w:rPr>
          <w:color w:val="231F20"/>
          <w:sz w:val="24"/>
        </w:rPr>
        <w:t>not</w:t>
      </w:r>
      <w:r>
        <w:rPr>
          <w:color w:val="231F20"/>
          <w:spacing w:val="-10"/>
          <w:sz w:val="24"/>
        </w:rPr>
        <w:t xml:space="preserve"> </w:t>
      </w:r>
      <w:r>
        <w:rPr>
          <w:color w:val="231F20"/>
          <w:sz w:val="24"/>
        </w:rPr>
        <w:t>tally</w:t>
      </w:r>
      <w:r>
        <w:rPr>
          <w:color w:val="231F20"/>
          <w:spacing w:val="-9"/>
          <w:sz w:val="24"/>
        </w:rPr>
        <w:t xml:space="preserve"> </w:t>
      </w:r>
      <w:r>
        <w:rPr>
          <w:color w:val="231F20"/>
          <w:sz w:val="24"/>
        </w:rPr>
        <w:t>due</w:t>
      </w:r>
      <w:r>
        <w:rPr>
          <w:color w:val="231F20"/>
          <w:spacing w:val="-11"/>
          <w:sz w:val="24"/>
        </w:rPr>
        <w:t xml:space="preserve"> </w:t>
      </w:r>
      <w:r>
        <w:rPr>
          <w:color w:val="231F20"/>
          <w:sz w:val="24"/>
        </w:rPr>
        <w:t>to</w:t>
      </w:r>
      <w:r>
        <w:rPr>
          <w:color w:val="231F20"/>
          <w:spacing w:val="-10"/>
          <w:sz w:val="24"/>
        </w:rPr>
        <w:t xml:space="preserve"> </w:t>
      </w:r>
      <w:r>
        <w:rPr>
          <w:color w:val="231F20"/>
          <w:spacing w:val="-2"/>
          <w:sz w:val="24"/>
        </w:rPr>
        <w:t>rounding.</w:t>
      </w:r>
    </w:p>
    <w:p w14:paraId="060AB1BD" w14:textId="77777777" w:rsidR="00345EE3" w:rsidRDefault="00345EE3" w:rsidP="002A27BA">
      <w:pPr>
        <w:pStyle w:val="Heading3"/>
      </w:pPr>
      <w:r>
        <w:t>Energy</w:t>
      </w:r>
      <w:r>
        <w:rPr>
          <w:spacing w:val="-6"/>
        </w:rPr>
        <w:t xml:space="preserve"> </w:t>
      </w:r>
      <w:r>
        <w:rPr>
          <w:spacing w:val="-5"/>
        </w:rPr>
        <w:t>Use</w:t>
      </w:r>
    </w:p>
    <w:p w14:paraId="635140B4" w14:textId="77777777" w:rsidR="00345EE3" w:rsidRDefault="00345EE3" w:rsidP="00345EE3">
      <w:pPr>
        <w:pStyle w:val="BodyText"/>
        <w:spacing w:before="52" w:line="242" w:lineRule="auto"/>
        <w:ind w:right="921"/>
      </w:pPr>
      <w:r>
        <w:rPr>
          <w:color w:val="231F20"/>
        </w:rPr>
        <w:t>Victoria</w:t>
      </w:r>
      <w:r>
        <w:rPr>
          <w:color w:val="231F20"/>
          <w:spacing w:val="-12"/>
        </w:rPr>
        <w:t xml:space="preserve"> </w:t>
      </w:r>
      <w:r>
        <w:rPr>
          <w:color w:val="231F20"/>
        </w:rPr>
        <w:t>Police</w:t>
      </w:r>
      <w:r>
        <w:rPr>
          <w:color w:val="231F20"/>
          <w:spacing w:val="-12"/>
        </w:rPr>
        <w:t xml:space="preserve"> </w:t>
      </w:r>
      <w:r>
        <w:rPr>
          <w:color w:val="231F20"/>
        </w:rPr>
        <w:t>sites</w:t>
      </w:r>
      <w:r>
        <w:rPr>
          <w:color w:val="231F20"/>
          <w:spacing w:val="-11"/>
        </w:rPr>
        <w:t xml:space="preserve"> </w:t>
      </w:r>
      <w:r>
        <w:rPr>
          <w:color w:val="231F20"/>
        </w:rPr>
        <w:t>include</w:t>
      </w:r>
      <w:r>
        <w:rPr>
          <w:color w:val="231F20"/>
          <w:spacing w:val="-12"/>
        </w:rPr>
        <w:t xml:space="preserve"> </w:t>
      </w:r>
      <w:r>
        <w:rPr>
          <w:color w:val="231F20"/>
        </w:rPr>
        <w:t>police</w:t>
      </w:r>
      <w:r>
        <w:rPr>
          <w:color w:val="231F20"/>
          <w:spacing w:val="-12"/>
        </w:rPr>
        <w:t xml:space="preserve"> </w:t>
      </w:r>
      <w:r>
        <w:rPr>
          <w:color w:val="231F20"/>
        </w:rPr>
        <w:t>stations,</w:t>
      </w:r>
      <w:r>
        <w:rPr>
          <w:color w:val="231F20"/>
          <w:spacing w:val="-11"/>
        </w:rPr>
        <w:t xml:space="preserve"> </w:t>
      </w:r>
      <w:r>
        <w:rPr>
          <w:color w:val="231F20"/>
        </w:rPr>
        <w:t>administrative</w:t>
      </w:r>
      <w:r>
        <w:rPr>
          <w:color w:val="231F20"/>
          <w:spacing w:val="-12"/>
        </w:rPr>
        <w:t xml:space="preserve"> </w:t>
      </w:r>
      <w:r>
        <w:rPr>
          <w:color w:val="231F20"/>
        </w:rPr>
        <w:t>offices,</w:t>
      </w:r>
      <w:r>
        <w:rPr>
          <w:color w:val="231F20"/>
          <w:spacing w:val="-11"/>
        </w:rPr>
        <w:t xml:space="preserve"> </w:t>
      </w:r>
      <w:r>
        <w:rPr>
          <w:color w:val="231F20"/>
        </w:rPr>
        <w:t>training</w:t>
      </w:r>
      <w:r>
        <w:rPr>
          <w:color w:val="231F20"/>
          <w:spacing w:val="-12"/>
        </w:rPr>
        <w:t xml:space="preserve"> </w:t>
      </w:r>
      <w:r>
        <w:rPr>
          <w:color w:val="231F20"/>
        </w:rPr>
        <w:t>facilities,</w:t>
      </w:r>
      <w:r>
        <w:rPr>
          <w:color w:val="231F20"/>
          <w:spacing w:val="-11"/>
        </w:rPr>
        <w:t xml:space="preserve"> </w:t>
      </w:r>
      <w:r>
        <w:rPr>
          <w:color w:val="231F20"/>
        </w:rPr>
        <w:t>transport complexes and</w:t>
      </w:r>
      <w:r>
        <w:rPr>
          <w:color w:val="231F20"/>
          <w:spacing w:val="-1"/>
        </w:rPr>
        <w:t xml:space="preserve"> </w:t>
      </w:r>
      <w:r>
        <w:rPr>
          <w:color w:val="231F20"/>
        </w:rPr>
        <w:t>storage</w:t>
      </w:r>
      <w:r>
        <w:rPr>
          <w:color w:val="231F20"/>
          <w:spacing w:val="-1"/>
        </w:rPr>
        <w:t xml:space="preserve"> </w:t>
      </w:r>
      <w:r>
        <w:rPr>
          <w:color w:val="231F20"/>
        </w:rPr>
        <w:t>warehouses. Most energy consumption</w:t>
      </w:r>
      <w:r>
        <w:rPr>
          <w:color w:val="231F20"/>
          <w:spacing w:val="-1"/>
        </w:rPr>
        <w:t xml:space="preserve"> </w:t>
      </w:r>
      <w:r>
        <w:rPr>
          <w:color w:val="231F20"/>
        </w:rPr>
        <w:t>falls within</w:t>
      </w:r>
      <w:r>
        <w:rPr>
          <w:color w:val="231F20"/>
          <w:spacing w:val="-1"/>
        </w:rPr>
        <w:t xml:space="preserve"> </w:t>
      </w:r>
      <w:r>
        <w:rPr>
          <w:color w:val="231F20"/>
        </w:rPr>
        <w:t>three</w:t>
      </w:r>
      <w:r>
        <w:rPr>
          <w:color w:val="231F20"/>
          <w:spacing w:val="-1"/>
        </w:rPr>
        <w:t xml:space="preserve"> </w:t>
      </w:r>
      <w:r>
        <w:rPr>
          <w:color w:val="231F20"/>
        </w:rPr>
        <w:t>key areas, lighting, thermal comfort (heating, ventilation and air-conditioning) and information and communication technology.</w:t>
      </w:r>
    </w:p>
    <w:p w14:paraId="3F2C1734" w14:textId="77777777" w:rsidR="00345EE3" w:rsidRDefault="00345EE3" w:rsidP="00345EE3">
      <w:pPr>
        <w:spacing w:before="125"/>
        <w:ind w:left="110"/>
        <w:rPr>
          <w:rFonts w:ascii="Arial-BoldItalicMT"/>
          <w:b/>
          <w:i/>
          <w:sz w:val="18"/>
        </w:rPr>
      </w:pPr>
      <w:r>
        <w:rPr>
          <w:color w:val="231F20"/>
          <w:sz w:val="18"/>
        </w:rPr>
        <w:t>Table</w:t>
      </w:r>
      <w:r>
        <w:rPr>
          <w:color w:val="231F20"/>
          <w:spacing w:val="-9"/>
          <w:sz w:val="18"/>
        </w:rPr>
        <w:t xml:space="preserve"> </w:t>
      </w:r>
      <w:r>
        <w:rPr>
          <w:color w:val="231F20"/>
          <w:sz w:val="18"/>
        </w:rPr>
        <w:t>5.22:</w:t>
      </w:r>
      <w:r>
        <w:rPr>
          <w:color w:val="231F20"/>
          <w:spacing w:val="-6"/>
          <w:sz w:val="18"/>
        </w:rPr>
        <w:t xml:space="preserve"> </w:t>
      </w:r>
      <w:r>
        <w:rPr>
          <w:rFonts w:ascii="Arial-BoldItalicMT"/>
          <w:b/>
          <w:i/>
          <w:color w:val="231F20"/>
          <w:sz w:val="18"/>
        </w:rPr>
        <w:t>Energy</w:t>
      </w:r>
      <w:r>
        <w:rPr>
          <w:rFonts w:ascii="Arial-BoldItalicMT"/>
          <w:b/>
          <w:i/>
          <w:color w:val="231F20"/>
          <w:spacing w:val="-9"/>
          <w:sz w:val="18"/>
        </w:rPr>
        <w:t xml:space="preserve"> </w:t>
      </w:r>
      <w:r>
        <w:rPr>
          <w:rFonts w:ascii="Arial-BoldItalicMT"/>
          <w:b/>
          <w:i/>
          <w:color w:val="231F20"/>
          <w:sz w:val="18"/>
        </w:rPr>
        <w:t>Use</w:t>
      </w:r>
      <w:r>
        <w:rPr>
          <w:rFonts w:ascii="Arial-BoldItalicMT"/>
          <w:b/>
          <w:i/>
          <w:color w:val="231F20"/>
          <w:spacing w:val="-8"/>
          <w:sz w:val="18"/>
        </w:rPr>
        <w:t xml:space="preserve"> </w:t>
      </w:r>
      <w:r>
        <w:rPr>
          <w:rFonts w:ascii="Arial-BoldItalicMT"/>
          <w:b/>
          <w:i/>
          <w:color w:val="231F20"/>
          <w:sz w:val="18"/>
        </w:rPr>
        <w:t>Indicator</w:t>
      </w:r>
      <w:r>
        <w:rPr>
          <w:rFonts w:ascii="Arial-BoldItalicMT"/>
          <w:b/>
          <w:i/>
          <w:color w:val="231F20"/>
          <w:spacing w:val="-9"/>
          <w:sz w:val="18"/>
        </w:rPr>
        <w:t xml:space="preserve"> </w:t>
      </w:r>
      <w:r>
        <w:rPr>
          <w:rFonts w:ascii="Arial-BoldItalicMT"/>
          <w:b/>
          <w:i/>
          <w:color w:val="231F20"/>
          <w:sz w:val="18"/>
        </w:rPr>
        <w:t>consumption</w:t>
      </w:r>
      <w:r>
        <w:rPr>
          <w:rFonts w:ascii="Arial-BoldItalicMT"/>
          <w:b/>
          <w:i/>
          <w:color w:val="231F20"/>
          <w:spacing w:val="-9"/>
          <w:sz w:val="18"/>
        </w:rPr>
        <w:t xml:space="preserve"> </w:t>
      </w:r>
      <w:r>
        <w:rPr>
          <w:rFonts w:ascii="Arial-BoldItalicMT"/>
          <w:b/>
          <w:i/>
          <w:color w:val="231F20"/>
          <w:sz w:val="18"/>
        </w:rPr>
        <w:t>totals</w:t>
      </w:r>
      <w:r>
        <w:rPr>
          <w:rFonts w:ascii="Arial-BoldItalicMT"/>
          <w:b/>
          <w:i/>
          <w:color w:val="231F20"/>
          <w:spacing w:val="-9"/>
          <w:sz w:val="18"/>
        </w:rPr>
        <w:t xml:space="preserve"> </w:t>
      </w:r>
      <w:r>
        <w:rPr>
          <w:rFonts w:ascii="Arial-BoldItalicMT"/>
          <w:b/>
          <w:i/>
          <w:color w:val="231F20"/>
          <w:sz w:val="18"/>
        </w:rPr>
        <w:t>(three-year</w:t>
      </w:r>
      <w:r>
        <w:rPr>
          <w:rFonts w:ascii="Arial-BoldItalicMT"/>
          <w:b/>
          <w:i/>
          <w:color w:val="231F20"/>
          <w:spacing w:val="-8"/>
          <w:sz w:val="18"/>
        </w:rPr>
        <w:t xml:space="preserve"> </w:t>
      </w:r>
      <w:r>
        <w:rPr>
          <w:rFonts w:ascii="Arial-BoldItalicMT"/>
          <w:b/>
          <w:i/>
          <w:color w:val="231F20"/>
          <w:spacing w:val="-2"/>
          <w:sz w:val="18"/>
        </w:rPr>
        <w:t>summary)</w:t>
      </w:r>
    </w:p>
    <w:p w14:paraId="1982E941"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613"/>
        <w:gridCol w:w="1531"/>
        <w:gridCol w:w="1531"/>
        <w:gridCol w:w="1531"/>
      </w:tblGrid>
      <w:tr w:rsidR="00345EE3" w14:paraId="23B3A132" w14:textId="77777777" w:rsidTr="00D73130">
        <w:trPr>
          <w:trHeight w:val="401"/>
        </w:trPr>
        <w:tc>
          <w:tcPr>
            <w:tcW w:w="5613" w:type="dxa"/>
            <w:tcBorders>
              <w:top w:val="nil"/>
              <w:left w:val="nil"/>
              <w:bottom w:val="nil"/>
              <w:right w:val="nil"/>
            </w:tcBorders>
            <w:shd w:val="clear" w:color="auto" w:fill="00529F"/>
          </w:tcPr>
          <w:p w14:paraId="4E3B2167" w14:textId="77777777" w:rsidR="00345EE3" w:rsidRDefault="00345EE3" w:rsidP="00D73130">
            <w:pPr>
              <w:pStyle w:val="TableParagraph"/>
              <w:spacing w:before="63"/>
              <w:jc w:val="left"/>
              <w:rPr>
                <w:b/>
                <w:sz w:val="24"/>
              </w:rPr>
            </w:pPr>
            <w:r>
              <w:rPr>
                <w:b/>
                <w:color w:val="FFFFFF"/>
                <w:spacing w:val="-2"/>
                <w:sz w:val="24"/>
              </w:rPr>
              <w:t>Indicator</w:t>
            </w:r>
          </w:p>
        </w:tc>
        <w:tc>
          <w:tcPr>
            <w:tcW w:w="1531" w:type="dxa"/>
            <w:tcBorders>
              <w:top w:val="nil"/>
              <w:left w:val="nil"/>
              <w:bottom w:val="nil"/>
              <w:right w:val="nil"/>
            </w:tcBorders>
            <w:shd w:val="clear" w:color="auto" w:fill="00529F"/>
          </w:tcPr>
          <w:p w14:paraId="4D7D4E80" w14:textId="77777777" w:rsidR="00345EE3" w:rsidRDefault="00345EE3" w:rsidP="00D73130">
            <w:pPr>
              <w:pStyle w:val="TableParagraph"/>
              <w:spacing w:before="63"/>
              <w:ind w:right="58"/>
              <w:rPr>
                <w:b/>
                <w:sz w:val="24"/>
              </w:rPr>
            </w:pPr>
            <w:r>
              <w:rPr>
                <w:b/>
                <w:color w:val="FFFFFF"/>
                <w:spacing w:val="-2"/>
                <w:sz w:val="24"/>
              </w:rPr>
              <w:t>2019–20</w:t>
            </w:r>
          </w:p>
        </w:tc>
        <w:tc>
          <w:tcPr>
            <w:tcW w:w="1531" w:type="dxa"/>
            <w:tcBorders>
              <w:top w:val="nil"/>
              <w:left w:val="nil"/>
              <w:bottom w:val="nil"/>
              <w:right w:val="nil"/>
            </w:tcBorders>
            <w:shd w:val="clear" w:color="auto" w:fill="00529F"/>
          </w:tcPr>
          <w:p w14:paraId="5B39556C" w14:textId="77777777" w:rsidR="00345EE3" w:rsidRDefault="00345EE3" w:rsidP="00D73130">
            <w:pPr>
              <w:pStyle w:val="TableParagraph"/>
              <w:spacing w:before="63"/>
              <w:ind w:right="58"/>
              <w:rPr>
                <w:b/>
                <w:sz w:val="24"/>
              </w:rPr>
            </w:pPr>
            <w:r>
              <w:rPr>
                <w:b/>
                <w:color w:val="FFFFFF"/>
                <w:spacing w:val="-2"/>
                <w:sz w:val="24"/>
              </w:rPr>
              <w:t>2020–21</w:t>
            </w:r>
          </w:p>
        </w:tc>
        <w:tc>
          <w:tcPr>
            <w:tcW w:w="1531" w:type="dxa"/>
            <w:tcBorders>
              <w:top w:val="nil"/>
              <w:left w:val="nil"/>
              <w:bottom w:val="nil"/>
              <w:right w:val="nil"/>
            </w:tcBorders>
            <w:shd w:val="clear" w:color="auto" w:fill="00529F"/>
          </w:tcPr>
          <w:p w14:paraId="418EF0AB" w14:textId="77777777" w:rsidR="00345EE3" w:rsidRDefault="00345EE3" w:rsidP="00D73130">
            <w:pPr>
              <w:pStyle w:val="TableParagraph"/>
              <w:spacing w:before="63"/>
              <w:ind w:right="58"/>
              <w:rPr>
                <w:b/>
                <w:sz w:val="24"/>
              </w:rPr>
            </w:pPr>
            <w:r>
              <w:rPr>
                <w:b/>
                <w:color w:val="FFFFFF"/>
                <w:spacing w:val="-2"/>
                <w:sz w:val="24"/>
              </w:rPr>
              <w:t>2021–22</w:t>
            </w:r>
          </w:p>
        </w:tc>
      </w:tr>
      <w:tr w:rsidR="00345EE3" w14:paraId="3FF861B2" w14:textId="77777777" w:rsidTr="00D73130">
        <w:trPr>
          <w:trHeight w:val="676"/>
        </w:trPr>
        <w:tc>
          <w:tcPr>
            <w:tcW w:w="5613" w:type="dxa"/>
            <w:tcBorders>
              <w:top w:val="nil"/>
              <w:left w:val="nil"/>
            </w:tcBorders>
          </w:tcPr>
          <w:p w14:paraId="3D3BC32C" w14:textId="77777777" w:rsidR="00345EE3" w:rsidRDefault="00345EE3" w:rsidP="00D73130">
            <w:pPr>
              <w:pStyle w:val="TableParagraph"/>
              <w:spacing w:line="242" w:lineRule="auto"/>
              <w:ind w:left="-3"/>
              <w:jc w:val="left"/>
              <w:rPr>
                <w:b/>
                <w:sz w:val="24"/>
              </w:rPr>
            </w:pPr>
            <w:r>
              <w:rPr>
                <w:b/>
                <w:color w:val="231F20"/>
                <w:sz w:val="24"/>
              </w:rPr>
              <w:t>E1.</w:t>
            </w:r>
            <w:r>
              <w:rPr>
                <w:b/>
                <w:color w:val="231F20"/>
                <w:spacing w:val="-9"/>
                <w:sz w:val="24"/>
              </w:rPr>
              <w:t xml:space="preserve"> </w:t>
            </w:r>
            <w:r>
              <w:rPr>
                <w:b/>
                <w:color w:val="231F20"/>
                <w:sz w:val="24"/>
              </w:rPr>
              <w:t>Total</w:t>
            </w:r>
            <w:r>
              <w:rPr>
                <w:b/>
                <w:color w:val="231F20"/>
                <w:spacing w:val="-9"/>
                <w:sz w:val="24"/>
              </w:rPr>
              <w:t xml:space="preserve"> </w:t>
            </w:r>
            <w:r>
              <w:rPr>
                <w:b/>
                <w:color w:val="231F20"/>
                <w:sz w:val="24"/>
              </w:rPr>
              <w:t>energy</w:t>
            </w:r>
            <w:r>
              <w:rPr>
                <w:b/>
                <w:color w:val="231F20"/>
                <w:spacing w:val="-10"/>
                <w:sz w:val="24"/>
              </w:rPr>
              <w:t xml:space="preserve"> </w:t>
            </w:r>
            <w:r>
              <w:rPr>
                <w:b/>
                <w:color w:val="231F20"/>
                <w:sz w:val="24"/>
              </w:rPr>
              <w:t>usage</w:t>
            </w:r>
            <w:r>
              <w:rPr>
                <w:b/>
                <w:color w:val="231F20"/>
                <w:spacing w:val="-9"/>
                <w:sz w:val="24"/>
              </w:rPr>
              <w:t xml:space="preserve"> </w:t>
            </w:r>
            <w:r>
              <w:rPr>
                <w:b/>
                <w:color w:val="231F20"/>
                <w:sz w:val="24"/>
              </w:rPr>
              <w:t>segmented</w:t>
            </w:r>
            <w:r>
              <w:rPr>
                <w:b/>
                <w:color w:val="231F20"/>
                <w:spacing w:val="-10"/>
                <w:sz w:val="24"/>
              </w:rPr>
              <w:t xml:space="preserve"> </w:t>
            </w:r>
            <w:r>
              <w:rPr>
                <w:b/>
                <w:color w:val="231F20"/>
                <w:sz w:val="24"/>
              </w:rPr>
              <w:t>by</w:t>
            </w:r>
            <w:r>
              <w:rPr>
                <w:b/>
                <w:color w:val="231F20"/>
                <w:spacing w:val="-9"/>
                <w:sz w:val="24"/>
              </w:rPr>
              <w:t xml:space="preserve"> </w:t>
            </w:r>
            <w:r>
              <w:rPr>
                <w:b/>
                <w:color w:val="231F20"/>
                <w:sz w:val="24"/>
              </w:rPr>
              <w:t>primary source Megajoule (MJ)</w:t>
            </w:r>
          </w:p>
        </w:tc>
        <w:tc>
          <w:tcPr>
            <w:tcW w:w="1531" w:type="dxa"/>
            <w:tcBorders>
              <w:top w:val="nil"/>
            </w:tcBorders>
          </w:tcPr>
          <w:p w14:paraId="38BB37D1" w14:textId="77777777" w:rsidR="00345EE3" w:rsidRDefault="00345EE3" w:rsidP="00D73130">
            <w:pPr>
              <w:pStyle w:val="TableParagraph"/>
              <w:ind w:right="53"/>
              <w:rPr>
                <w:b/>
                <w:sz w:val="24"/>
              </w:rPr>
            </w:pPr>
            <w:r>
              <w:rPr>
                <w:b/>
                <w:color w:val="231F20"/>
                <w:spacing w:val="-2"/>
                <w:sz w:val="24"/>
              </w:rPr>
              <w:t>372,033,220</w:t>
            </w:r>
          </w:p>
        </w:tc>
        <w:tc>
          <w:tcPr>
            <w:tcW w:w="1531" w:type="dxa"/>
            <w:tcBorders>
              <w:top w:val="nil"/>
            </w:tcBorders>
          </w:tcPr>
          <w:p w14:paraId="015915AF" w14:textId="77777777" w:rsidR="00345EE3" w:rsidRDefault="00345EE3" w:rsidP="00D73130">
            <w:pPr>
              <w:pStyle w:val="TableParagraph"/>
              <w:ind w:right="53"/>
              <w:rPr>
                <w:b/>
                <w:sz w:val="24"/>
              </w:rPr>
            </w:pPr>
            <w:r>
              <w:rPr>
                <w:b/>
                <w:color w:val="231F20"/>
                <w:spacing w:val="-2"/>
                <w:sz w:val="24"/>
              </w:rPr>
              <w:t>386,279,760</w:t>
            </w:r>
          </w:p>
        </w:tc>
        <w:tc>
          <w:tcPr>
            <w:tcW w:w="1531" w:type="dxa"/>
            <w:tcBorders>
              <w:top w:val="nil"/>
              <w:right w:val="nil"/>
            </w:tcBorders>
            <w:shd w:val="clear" w:color="auto" w:fill="E6E7E8"/>
          </w:tcPr>
          <w:p w14:paraId="51A19C5C" w14:textId="77777777" w:rsidR="00345EE3" w:rsidRDefault="00345EE3" w:rsidP="00D73130">
            <w:pPr>
              <w:pStyle w:val="TableParagraph"/>
              <w:ind w:right="54"/>
              <w:rPr>
                <w:b/>
                <w:sz w:val="24"/>
              </w:rPr>
            </w:pPr>
            <w:r>
              <w:rPr>
                <w:b/>
                <w:color w:val="231F20"/>
                <w:spacing w:val="-2"/>
                <w:sz w:val="24"/>
              </w:rPr>
              <w:t>394,377,642</w:t>
            </w:r>
          </w:p>
        </w:tc>
      </w:tr>
      <w:tr w:rsidR="00345EE3" w14:paraId="5B618C79" w14:textId="77777777" w:rsidTr="00D73130">
        <w:trPr>
          <w:trHeight w:val="396"/>
        </w:trPr>
        <w:tc>
          <w:tcPr>
            <w:tcW w:w="5613" w:type="dxa"/>
            <w:tcBorders>
              <w:left w:val="nil"/>
            </w:tcBorders>
          </w:tcPr>
          <w:p w14:paraId="36C8BAAA" w14:textId="77777777" w:rsidR="00345EE3" w:rsidRDefault="00345EE3" w:rsidP="00D73130">
            <w:pPr>
              <w:pStyle w:val="TableParagraph"/>
              <w:ind w:left="281"/>
              <w:jc w:val="left"/>
              <w:rPr>
                <w:sz w:val="24"/>
              </w:rPr>
            </w:pPr>
            <w:r>
              <w:rPr>
                <w:color w:val="231F20"/>
                <w:spacing w:val="-4"/>
                <w:sz w:val="24"/>
              </w:rPr>
              <w:t>Electricity</w:t>
            </w:r>
            <w:r>
              <w:rPr>
                <w:color w:val="231F20"/>
                <w:spacing w:val="-6"/>
                <w:sz w:val="24"/>
              </w:rPr>
              <w:t xml:space="preserve"> </w:t>
            </w:r>
            <w:r>
              <w:rPr>
                <w:color w:val="231F20"/>
                <w:spacing w:val="-4"/>
                <w:sz w:val="24"/>
              </w:rPr>
              <w:t>(MJ) – excluding Green Power</w:t>
            </w:r>
          </w:p>
        </w:tc>
        <w:tc>
          <w:tcPr>
            <w:tcW w:w="1531" w:type="dxa"/>
          </w:tcPr>
          <w:p w14:paraId="4DADCCCC" w14:textId="77777777" w:rsidR="00345EE3" w:rsidRDefault="00345EE3" w:rsidP="00D73130">
            <w:pPr>
              <w:pStyle w:val="TableParagraph"/>
              <w:ind w:right="55"/>
              <w:rPr>
                <w:sz w:val="24"/>
              </w:rPr>
            </w:pPr>
            <w:r>
              <w:rPr>
                <w:color w:val="231F20"/>
                <w:spacing w:val="-2"/>
                <w:sz w:val="24"/>
              </w:rPr>
              <w:t>265,549,922</w:t>
            </w:r>
          </w:p>
        </w:tc>
        <w:tc>
          <w:tcPr>
            <w:tcW w:w="1531" w:type="dxa"/>
          </w:tcPr>
          <w:p w14:paraId="1F967B10" w14:textId="77777777" w:rsidR="00345EE3" w:rsidRDefault="00345EE3" w:rsidP="00D73130">
            <w:pPr>
              <w:pStyle w:val="TableParagraph"/>
              <w:ind w:right="56"/>
              <w:rPr>
                <w:sz w:val="24"/>
              </w:rPr>
            </w:pPr>
            <w:r>
              <w:rPr>
                <w:color w:val="231F20"/>
                <w:spacing w:val="-2"/>
                <w:sz w:val="24"/>
              </w:rPr>
              <w:t>246,218,444</w:t>
            </w:r>
          </w:p>
        </w:tc>
        <w:tc>
          <w:tcPr>
            <w:tcW w:w="1531" w:type="dxa"/>
            <w:tcBorders>
              <w:right w:val="nil"/>
            </w:tcBorders>
            <w:shd w:val="clear" w:color="auto" w:fill="E6E7E8"/>
          </w:tcPr>
          <w:p w14:paraId="6AFBDD31" w14:textId="77777777" w:rsidR="00345EE3" w:rsidRDefault="00345EE3" w:rsidP="00D73130">
            <w:pPr>
              <w:pStyle w:val="TableParagraph"/>
              <w:ind w:right="56"/>
              <w:rPr>
                <w:sz w:val="24"/>
              </w:rPr>
            </w:pPr>
            <w:r>
              <w:rPr>
                <w:color w:val="231F20"/>
                <w:spacing w:val="-2"/>
                <w:sz w:val="24"/>
              </w:rPr>
              <w:t>235,770,153</w:t>
            </w:r>
          </w:p>
        </w:tc>
      </w:tr>
      <w:tr w:rsidR="00345EE3" w14:paraId="61D5F9EF" w14:textId="77777777" w:rsidTr="00D73130">
        <w:trPr>
          <w:trHeight w:val="396"/>
        </w:trPr>
        <w:tc>
          <w:tcPr>
            <w:tcW w:w="5613" w:type="dxa"/>
            <w:tcBorders>
              <w:left w:val="nil"/>
            </w:tcBorders>
          </w:tcPr>
          <w:p w14:paraId="4856D88C" w14:textId="77777777" w:rsidR="00345EE3" w:rsidRDefault="00345EE3" w:rsidP="00D73130">
            <w:pPr>
              <w:pStyle w:val="TableParagraph"/>
              <w:ind w:left="281"/>
              <w:jc w:val="left"/>
              <w:rPr>
                <w:sz w:val="24"/>
              </w:rPr>
            </w:pPr>
            <w:r>
              <w:rPr>
                <w:color w:val="231F20"/>
                <w:spacing w:val="-2"/>
                <w:sz w:val="24"/>
              </w:rPr>
              <w:t>Natural</w:t>
            </w:r>
            <w:r>
              <w:rPr>
                <w:color w:val="231F20"/>
                <w:spacing w:val="-14"/>
                <w:sz w:val="24"/>
              </w:rPr>
              <w:t xml:space="preserve"> </w:t>
            </w:r>
            <w:r>
              <w:rPr>
                <w:color w:val="231F20"/>
                <w:spacing w:val="-2"/>
                <w:sz w:val="24"/>
              </w:rPr>
              <w:t>gas</w:t>
            </w:r>
            <w:r>
              <w:rPr>
                <w:color w:val="231F20"/>
                <w:spacing w:val="-14"/>
                <w:sz w:val="24"/>
              </w:rPr>
              <w:t xml:space="preserve"> </w:t>
            </w:r>
            <w:r>
              <w:rPr>
                <w:color w:val="231F20"/>
                <w:spacing w:val="-4"/>
                <w:sz w:val="24"/>
              </w:rPr>
              <w:t>(MJ)</w:t>
            </w:r>
          </w:p>
        </w:tc>
        <w:tc>
          <w:tcPr>
            <w:tcW w:w="1531" w:type="dxa"/>
          </w:tcPr>
          <w:p w14:paraId="46BE3D7D" w14:textId="77777777" w:rsidR="00345EE3" w:rsidRDefault="00345EE3" w:rsidP="00D73130">
            <w:pPr>
              <w:pStyle w:val="TableParagraph"/>
              <w:ind w:right="55"/>
              <w:rPr>
                <w:sz w:val="24"/>
              </w:rPr>
            </w:pPr>
            <w:r>
              <w:rPr>
                <w:color w:val="231F20"/>
                <w:spacing w:val="-2"/>
                <w:sz w:val="24"/>
              </w:rPr>
              <w:t>106,181,841</w:t>
            </w:r>
          </w:p>
        </w:tc>
        <w:tc>
          <w:tcPr>
            <w:tcW w:w="1531" w:type="dxa"/>
          </w:tcPr>
          <w:p w14:paraId="0B49BAF5" w14:textId="77777777" w:rsidR="00345EE3" w:rsidRDefault="00345EE3" w:rsidP="00D73130">
            <w:pPr>
              <w:pStyle w:val="TableParagraph"/>
              <w:ind w:right="52"/>
              <w:rPr>
                <w:sz w:val="24"/>
              </w:rPr>
            </w:pPr>
            <w:r>
              <w:rPr>
                <w:color w:val="231F20"/>
                <w:spacing w:val="-2"/>
                <w:sz w:val="24"/>
              </w:rPr>
              <w:t>125,597,711</w:t>
            </w:r>
          </w:p>
        </w:tc>
        <w:tc>
          <w:tcPr>
            <w:tcW w:w="1531" w:type="dxa"/>
            <w:tcBorders>
              <w:right w:val="nil"/>
            </w:tcBorders>
            <w:shd w:val="clear" w:color="auto" w:fill="E6E7E8"/>
          </w:tcPr>
          <w:p w14:paraId="2695F49D" w14:textId="77777777" w:rsidR="00345EE3" w:rsidRDefault="00345EE3" w:rsidP="00D73130">
            <w:pPr>
              <w:pStyle w:val="TableParagraph"/>
              <w:ind w:right="56"/>
              <w:rPr>
                <w:sz w:val="24"/>
              </w:rPr>
            </w:pPr>
            <w:r>
              <w:rPr>
                <w:color w:val="231F20"/>
                <w:spacing w:val="-2"/>
                <w:sz w:val="24"/>
              </w:rPr>
              <w:t>137,373,366</w:t>
            </w:r>
          </w:p>
        </w:tc>
      </w:tr>
      <w:tr w:rsidR="00345EE3" w14:paraId="0200D00B" w14:textId="77777777" w:rsidTr="00D73130">
        <w:trPr>
          <w:trHeight w:val="396"/>
        </w:trPr>
        <w:tc>
          <w:tcPr>
            <w:tcW w:w="5613" w:type="dxa"/>
            <w:tcBorders>
              <w:left w:val="nil"/>
            </w:tcBorders>
          </w:tcPr>
          <w:p w14:paraId="68E229ED" w14:textId="77777777" w:rsidR="00345EE3" w:rsidRDefault="00345EE3" w:rsidP="00D73130">
            <w:pPr>
              <w:pStyle w:val="TableParagraph"/>
              <w:ind w:left="281"/>
              <w:jc w:val="left"/>
              <w:rPr>
                <w:sz w:val="24"/>
              </w:rPr>
            </w:pPr>
            <w:r>
              <w:rPr>
                <w:color w:val="231F20"/>
                <w:spacing w:val="-2"/>
                <w:sz w:val="24"/>
              </w:rPr>
              <w:t>Green</w:t>
            </w:r>
            <w:r>
              <w:rPr>
                <w:color w:val="231F20"/>
                <w:spacing w:val="-14"/>
                <w:sz w:val="24"/>
              </w:rPr>
              <w:t xml:space="preserve"> </w:t>
            </w:r>
            <w:r>
              <w:rPr>
                <w:color w:val="231F20"/>
                <w:spacing w:val="-2"/>
                <w:sz w:val="24"/>
              </w:rPr>
              <w:t>power</w:t>
            </w:r>
            <w:r>
              <w:rPr>
                <w:color w:val="231F20"/>
                <w:spacing w:val="-14"/>
                <w:sz w:val="24"/>
              </w:rPr>
              <w:t xml:space="preserve"> </w:t>
            </w:r>
            <w:r>
              <w:rPr>
                <w:color w:val="231F20"/>
                <w:spacing w:val="-4"/>
                <w:sz w:val="24"/>
              </w:rPr>
              <w:t>(MJ)</w:t>
            </w:r>
          </w:p>
        </w:tc>
        <w:tc>
          <w:tcPr>
            <w:tcW w:w="1531" w:type="dxa"/>
          </w:tcPr>
          <w:p w14:paraId="476F5CB6" w14:textId="77777777" w:rsidR="00345EE3" w:rsidRDefault="00345EE3" w:rsidP="00D73130">
            <w:pPr>
              <w:pStyle w:val="TableParagraph"/>
              <w:ind w:right="52"/>
              <w:rPr>
                <w:sz w:val="24"/>
              </w:rPr>
            </w:pPr>
            <w:r>
              <w:rPr>
                <w:color w:val="231F20"/>
                <w:sz w:val="24"/>
              </w:rPr>
              <w:t>0</w:t>
            </w:r>
          </w:p>
        </w:tc>
        <w:tc>
          <w:tcPr>
            <w:tcW w:w="1531" w:type="dxa"/>
          </w:tcPr>
          <w:p w14:paraId="16449660" w14:textId="77777777" w:rsidR="00345EE3" w:rsidRDefault="00345EE3" w:rsidP="00D73130">
            <w:pPr>
              <w:pStyle w:val="TableParagraph"/>
              <w:ind w:right="55"/>
              <w:rPr>
                <w:sz w:val="24"/>
              </w:rPr>
            </w:pPr>
            <w:r>
              <w:rPr>
                <w:color w:val="231F20"/>
                <w:spacing w:val="-2"/>
                <w:sz w:val="24"/>
              </w:rPr>
              <w:t>14,224,021</w:t>
            </w:r>
          </w:p>
        </w:tc>
        <w:tc>
          <w:tcPr>
            <w:tcW w:w="1531" w:type="dxa"/>
            <w:tcBorders>
              <w:right w:val="nil"/>
            </w:tcBorders>
            <w:shd w:val="clear" w:color="auto" w:fill="E6E7E8"/>
          </w:tcPr>
          <w:p w14:paraId="604995B3" w14:textId="77777777" w:rsidR="00345EE3" w:rsidRDefault="00345EE3" w:rsidP="00D73130">
            <w:pPr>
              <w:pStyle w:val="TableParagraph"/>
              <w:ind w:right="56"/>
              <w:rPr>
                <w:sz w:val="24"/>
              </w:rPr>
            </w:pPr>
            <w:r>
              <w:rPr>
                <w:color w:val="231F20"/>
                <w:spacing w:val="-2"/>
                <w:sz w:val="24"/>
              </w:rPr>
              <w:t>21,064,770</w:t>
            </w:r>
          </w:p>
        </w:tc>
      </w:tr>
      <w:tr w:rsidR="00345EE3" w14:paraId="7A7D6E15" w14:textId="77777777" w:rsidTr="00D73130">
        <w:trPr>
          <w:trHeight w:val="396"/>
        </w:trPr>
        <w:tc>
          <w:tcPr>
            <w:tcW w:w="5613" w:type="dxa"/>
            <w:tcBorders>
              <w:left w:val="nil"/>
            </w:tcBorders>
          </w:tcPr>
          <w:p w14:paraId="7439EB91" w14:textId="77777777" w:rsidR="00345EE3" w:rsidRDefault="00345EE3" w:rsidP="00D73130">
            <w:pPr>
              <w:pStyle w:val="TableParagraph"/>
              <w:ind w:left="281"/>
              <w:jc w:val="left"/>
              <w:rPr>
                <w:sz w:val="24"/>
              </w:rPr>
            </w:pPr>
            <w:r>
              <w:rPr>
                <w:color w:val="231F20"/>
                <w:sz w:val="24"/>
              </w:rPr>
              <w:t>LPG</w:t>
            </w:r>
            <w:r>
              <w:rPr>
                <w:color w:val="231F20"/>
                <w:spacing w:val="-16"/>
                <w:sz w:val="24"/>
              </w:rPr>
              <w:t xml:space="preserve"> </w:t>
            </w:r>
            <w:r>
              <w:rPr>
                <w:color w:val="231F20"/>
                <w:spacing w:val="-4"/>
                <w:sz w:val="24"/>
              </w:rPr>
              <w:t>(MJ)</w:t>
            </w:r>
          </w:p>
        </w:tc>
        <w:tc>
          <w:tcPr>
            <w:tcW w:w="1531" w:type="dxa"/>
          </w:tcPr>
          <w:p w14:paraId="6D0F1502" w14:textId="77777777" w:rsidR="00345EE3" w:rsidRDefault="00345EE3" w:rsidP="00D73130">
            <w:pPr>
              <w:pStyle w:val="TableParagraph"/>
              <w:ind w:right="55"/>
              <w:rPr>
                <w:sz w:val="24"/>
              </w:rPr>
            </w:pPr>
            <w:r>
              <w:rPr>
                <w:color w:val="231F20"/>
                <w:spacing w:val="-2"/>
                <w:sz w:val="24"/>
              </w:rPr>
              <w:t>301,458</w:t>
            </w:r>
          </w:p>
        </w:tc>
        <w:tc>
          <w:tcPr>
            <w:tcW w:w="1531" w:type="dxa"/>
          </w:tcPr>
          <w:p w14:paraId="76A5DDE4" w14:textId="77777777" w:rsidR="00345EE3" w:rsidRDefault="00345EE3" w:rsidP="00D73130">
            <w:pPr>
              <w:pStyle w:val="TableParagraph"/>
              <w:ind w:right="55"/>
              <w:rPr>
                <w:sz w:val="24"/>
              </w:rPr>
            </w:pPr>
            <w:r>
              <w:rPr>
                <w:color w:val="231F20"/>
                <w:spacing w:val="-2"/>
                <w:sz w:val="24"/>
              </w:rPr>
              <w:t>239,583</w:t>
            </w:r>
          </w:p>
        </w:tc>
        <w:tc>
          <w:tcPr>
            <w:tcW w:w="1531" w:type="dxa"/>
            <w:tcBorders>
              <w:right w:val="nil"/>
            </w:tcBorders>
            <w:shd w:val="clear" w:color="auto" w:fill="E6E7E8"/>
          </w:tcPr>
          <w:p w14:paraId="543E70E2" w14:textId="77777777" w:rsidR="00345EE3" w:rsidRDefault="00345EE3" w:rsidP="00D73130">
            <w:pPr>
              <w:pStyle w:val="TableParagraph"/>
              <w:ind w:right="55"/>
              <w:rPr>
                <w:sz w:val="24"/>
              </w:rPr>
            </w:pPr>
            <w:r>
              <w:rPr>
                <w:color w:val="231F20"/>
                <w:spacing w:val="-2"/>
                <w:sz w:val="24"/>
              </w:rPr>
              <w:t>169,353</w:t>
            </w:r>
          </w:p>
        </w:tc>
      </w:tr>
      <w:tr w:rsidR="00345EE3" w14:paraId="63599972" w14:textId="77777777" w:rsidTr="00D73130">
        <w:trPr>
          <w:trHeight w:val="676"/>
        </w:trPr>
        <w:tc>
          <w:tcPr>
            <w:tcW w:w="5613" w:type="dxa"/>
            <w:tcBorders>
              <w:left w:val="nil"/>
            </w:tcBorders>
          </w:tcPr>
          <w:p w14:paraId="38F50F9E" w14:textId="77777777" w:rsidR="00345EE3" w:rsidRDefault="00345EE3" w:rsidP="00D73130">
            <w:pPr>
              <w:pStyle w:val="TableParagraph"/>
              <w:spacing w:line="242" w:lineRule="auto"/>
              <w:ind w:left="-3"/>
              <w:jc w:val="left"/>
              <w:rPr>
                <w:b/>
                <w:sz w:val="24"/>
              </w:rPr>
            </w:pPr>
            <w:r>
              <w:rPr>
                <w:b/>
                <w:color w:val="231F20"/>
                <w:sz w:val="24"/>
              </w:rPr>
              <w:t>E2.</w:t>
            </w:r>
            <w:r>
              <w:rPr>
                <w:b/>
                <w:color w:val="231F20"/>
                <w:spacing w:val="-9"/>
                <w:sz w:val="24"/>
              </w:rPr>
              <w:t xml:space="preserve"> </w:t>
            </w:r>
            <w:r>
              <w:rPr>
                <w:b/>
                <w:color w:val="231F20"/>
                <w:sz w:val="24"/>
              </w:rPr>
              <w:t>Total</w:t>
            </w:r>
            <w:r>
              <w:rPr>
                <w:b/>
                <w:color w:val="231F20"/>
                <w:spacing w:val="-9"/>
                <w:sz w:val="24"/>
              </w:rPr>
              <w:t xml:space="preserve"> </w:t>
            </w:r>
            <w:r>
              <w:rPr>
                <w:b/>
                <w:color w:val="231F20"/>
                <w:sz w:val="24"/>
              </w:rPr>
              <w:t>greenhouse</w:t>
            </w:r>
            <w:r>
              <w:rPr>
                <w:b/>
                <w:color w:val="231F20"/>
                <w:spacing w:val="-9"/>
                <w:sz w:val="24"/>
              </w:rPr>
              <w:t xml:space="preserve"> </w:t>
            </w:r>
            <w:r>
              <w:rPr>
                <w:b/>
                <w:color w:val="231F20"/>
                <w:sz w:val="24"/>
              </w:rPr>
              <w:t>gas</w:t>
            </w:r>
            <w:r>
              <w:rPr>
                <w:b/>
                <w:color w:val="231F20"/>
                <w:spacing w:val="-9"/>
                <w:sz w:val="24"/>
              </w:rPr>
              <w:t xml:space="preserve"> </w:t>
            </w:r>
            <w:r>
              <w:rPr>
                <w:b/>
                <w:color w:val="231F20"/>
                <w:sz w:val="24"/>
              </w:rPr>
              <w:t>emissions</w:t>
            </w:r>
            <w:r>
              <w:rPr>
                <w:b/>
                <w:color w:val="231F20"/>
                <w:spacing w:val="-10"/>
                <w:sz w:val="24"/>
              </w:rPr>
              <w:t xml:space="preserve"> </w:t>
            </w:r>
            <w:r>
              <w:rPr>
                <w:b/>
                <w:color w:val="231F20"/>
                <w:sz w:val="24"/>
              </w:rPr>
              <w:t>from</w:t>
            </w:r>
            <w:r>
              <w:rPr>
                <w:b/>
                <w:color w:val="231F20"/>
                <w:spacing w:val="-9"/>
                <w:sz w:val="24"/>
              </w:rPr>
              <w:t xml:space="preserve"> </w:t>
            </w:r>
            <w:r>
              <w:rPr>
                <w:b/>
                <w:color w:val="231F20"/>
                <w:sz w:val="24"/>
              </w:rPr>
              <w:t>energy consumption (tonnes CO</w:t>
            </w:r>
            <w:r>
              <w:rPr>
                <w:b/>
                <w:color w:val="231F20"/>
                <w:sz w:val="24"/>
                <w:vertAlign w:val="subscript"/>
              </w:rPr>
              <w:t>2</w:t>
            </w:r>
            <w:r>
              <w:rPr>
                <w:b/>
                <w:color w:val="231F20"/>
                <w:sz w:val="24"/>
              </w:rPr>
              <w:t>-e)</w:t>
            </w:r>
          </w:p>
        </w:tc>
        <w:tc>
          <w:tcPr>
            <w:tcW w:w="1531" w:type="dxa"/>
          </w:tcPr>
          <w:p w14:paraId="2C650122" w14:textId="77777777" w:rsidR="00345EE3" w:rsidRDefault="00345EE3" w:rsidP="00D73130">
            <w:pPr>
              <w:pStyle w:val="TableParagraph"/>
              <w:ind w:right="53"/>
              <w:rPr>
                <w:b/>
                <w:sz w:val="24"/>
              </w:rPr>
            </w:pPr>
            <w:r>
              <w:rPr>
                <w:b/>
                <w:color w:val="231F20"/>
                <w:spacing w:val="-2"/>
                <w:sz w:val="24"/>
              </w:rPr>
              <w:t>80,715</w:t>
            </w:r>
          </w:p>
        </w:tc>
        <w:tc>
          <w:tcPr>
            <w:tcW w:w="1531" w:type="dxa"/>
          </w:tcPr>
          <w:p w14:paraId="39E93BEF" w14:textId="77777777" w:rsidR="00345EE3" w:rsidRDefault="00345EE3" w:rsidP="00D73130">
            <w:pPr>
              <w:pStyle w:val="TableParagraph"/>
              <w:ind w:right="53"/>
              <w:rPr>
                <w:b/>
                <w:sz w:val="24"/>
              </w:rPr>
            </w:pPr>
            <w:r>
              <w:rPr>
                <w:b/>
                <w:color w:val="231F20"/>
                <w:spacing w:val="-2"/>
                <w:sz w:val="24"/>
              </w:rPr>
              <w:t>72,128</w:t>
            </w:r>
          </w:p>
        </w:tc>
        <w:tc>
          <w:tcPr>
            <w:tcW w:w="1531" w:type="dxa"/>
            <w:tcBorders>
              <w:right w:val="nil"/>
            </w:tcBorders>
            <w:shd w:val="clear" w:color="auto" w:fill="E6E7E8"/>
          </w:tcPr>
          <w:p w14:paraId="43AD1DB6" w14:textId="77777777" w:rsidR="00345EE3" w:rsidRDefault="00345EE3" w:rsidP="00D73130">
            <w:pPr>
              <w:pStyle w:val="TableParagraph"/>
              <w:ind w:right="53"/>
              <w:rPr>
                <w:b/>
                <w:sz w:val="24"/>
              </w:rPr>
            </w:pPr>
            <w:r>
              <w:rPr>
                <w:b/>
                <w:color w:val="231F20"/>
                <w:spacing w:val="-2"/>
                <w:sz w:val="24"/>
              </w:rPr>
              <w:t>69,943</w:t>
            </w:r>
          </w:p>
        </w:tc>
      </w:tr>
      <w:tr w:rsidR="00345EE3" w14:paraId="0CD405F9" w14:textId="77777777" w:rsidTr="00D73130">
        <w:trPr>
          <w:trHeight w:val="396"/>
        </w:trPr>
        <w:tc>
          <w:tcPr>
            <w:tcW w:w="5613" w:type="dxa"/>
            <w:tcBorders>
              <w:left w:val="nil"/>
            </w:tcBorders>
          </w:tcPr>
          <w:p w14:paraId="7F608B71" w14:textId="77777777" w:rsidR="00345EE3" w:rsidRDefault="00345EE3" w:rsidP="00D73130">
            <w:pPr>
              <w:pStyle w:val="TableParagraph"/>
              <w:ind w:left="-3"/>
              <w:jc w:val="left"/>
              <w:rPr>
                <w:sz w:val="24"/>
              </w:rPr>
            </w:pPr>
            <w:r>
              <w:rPr>
                <w:color w:val="231F20"/>
                <w:sz w:val="24"/>
              </w:rPr>
              <w:t>Electricity</w:t>
            </w:r>
            <w:r>
              <w:rPr>
                <w:color w:val="231F20"/>
                <w:spacing w:val="-4"/>
                <w:sz w:val="24"/>
              </w:rPr>
              <w:t xml:space="preserve"> </w:t>
            </w:r>
            <w:r>
              <w:rPr>
                <w:color w:val="231F20"/>
                <w:sz w:val="24"/>
              </w:rPr>
              <w:t>(tonnes</w:t>
            </w:r>
            <w:r>
              <w:rPr>
                <w:color w:val="231F20"/>
                <w:spacing w:val="-4"/>
                <w:sz w:val="24"/>
              </w:rPr>
              <w:t xml:space="preserve"> </w:t>
            </w:r>
            <w:r>
              <w:rPr>
                <w:color w:val="231F20"/>
                <w:sz w:val="24"/>
              </w:rPr>
              <w:t>CO</w:t>
            </w:r>
            <w:r>
              <w:rPr>
                <w:color w:val="231F20"/>
                <w:sz w:val="24"/>
                <w:vertAlign w:val="subscript"/>
              </w:rPr>
              <w:t>2</w:t>
            </w:r>
            <w:r>
              <w:rPr>
                <w:color w:val="231F20"/>
                <w:sz w:val="24"/>
              </w:rPr>
              <w:t>-e)</w:t>
            </w:r>
            <w:r>
              <w:rPr>
                <w:color w:val="231F20"/>
                <w:spacing w:val="-3"/>
                <w:sz w:val="24"/>
              </w:rPr>
              <w:t xml:space="preserve"> </w:t>
            </w:r>
            <w:r>
              <w:rPr>
                <w:color w:val="231F20"/>
                <w:sz w:val="24"/>
              </w:rPr>
              <w:t>–</w:t>
            </w:r>
            <w:r>
              <w:rPr>
                <w:color w:val="231F20"/>
                <w:spacing w:val="-5"/>
                <w:sz w:val="24"/>
              </w:rPr>
              <w:t xml:space="preserve"> </w:t>
            </w:r>
            <w:r>
              <w:rPr>
                <w:color w:val="231F20"/>
                <w:sz w:val="24"/>
              </w:rPr>
              <w:t>excluding</w:t>
            </w:r>
            <w:r>
              <w:rPr>
                <w:color w:val="231F20"/>
                <w:spacing w:val="-4"/>
                <w:sz w:val="24"/>
              </w:rPr>
              <w:t xml:space="preserve"> </w:t>
            </w:r>
            <w:r>
              <w:rPr>
                <w:color w:val="231F20"/>
                <w:sz w:val="24"/>
              </w:rPr>
              <w:t>Green</w:t>
            </w:r>
            <w:r>
              <w:rPr>
                <w:color w:val="231F20"/>
                <w:spacing w:val="-4"/>
                <w:sz w:val="24"/>
              </w:rPr>
              <w:t xml:space="preserve"> </w:t>
            </w:r>
            <w:r>
              <w:rPr>
                <w:color w:val="231F20"/>
                <w:spacing w:val="-2"/>
                <w:sz w:val="24"/>
              </w:rPr>
              <w:t>Power</w:t>
            </w:r>
          </w:p>
        </w:tc>
        <w:tc>
          <w:tcPr>
            <w:tcW w:w="1531" w:type="dxa"/>
          </w:tcPr>
          <w:p w14:paraId="35D276DF" w14:textId="77777777" w:rsidR="00345EE3" w:rsidRDefault="00345EE3" w:rsidP="00D73130">
            <w:pPr>
              <w:pStyle w:val="TableParagraph"/>
              <w:ind w:right="55"/>
              <w:rPr>
                <w:sz w:val="24"/>
              </w:rPr>
            </w:pPr>
            <w:r>
              <w:rPr>
                <w:color w:val="231F20"/>
                <w:spacing w:val="-2"/>
                <w:sz w:val="24"/>
              </w:rPr>
              <w:t>75,239</w:t>
            </w:r>
          </w:p>
        </w:tc>
        <w:tc>
          <w:tcPr>
            <w:tcW w:w="1531" w:type="dxa"/>
          </w:tcPr>
          <w:p w14:paraId="6627168F" w14:textId="77777777" w:rsidR="00345EE3" w:rsidRDefault="00345EE3" w:rsidP="00D73130">
            <w:pPr>
              <w:pStyle w:val="TableParagraph"/>
              <w:ind w:right="56"/>
              <w:rPr>
                <w:sz w:val="24"/>
              </w:rPr>
            </w:pPr>
            <w:r>
              <w:rPr>
                <w:color w:val="231F20"/>
                <w:spacing w:val="-2"/>
                <w:sz w:val="24"/>
              </w:rPr>
              <w:t>65,658</w:t>
            </w:r>
          </w:p>
        </w:tc>
        <w:tc>
          <w:tcPr>
            <w:tcW w:w="1531" w:type="dxa"/>
            <w:tcBorders>
              <w:right w:val="nil"/>
            </w:tcBorders>
            <w:shd w:val="clear" w:color="auto" w:fill="E6E7E8"/>
          </w:tcPr>
          <w:p w14:paraId="04996C15" w14:textId="77777777" w:rsidR="00345EE3" w:rsidRDefault="00345EE3" w:rsidP="00D73130">
            <w:pPr>
              <w:pStyle w:val="TableParagraph"/>
              <w:ind w:right="56"/>
              <w:rPr>
                <w:sz w:val="24"/>
              </w:rPr>
            </w:pPr>
            <w:r>
              <w:rPr>
                <w:color w:val="231F20"/>
                <w:spacing w:val="-2"/>
                <w:sz w:val="24"/>
              </w:rPr>
              <w:t>62,872</w:t>
            </w:r>
          </w:p>
        </w:tc>
      </w:tr>
      <w:tr w:rsidR="00345EE3" w14:paraId="0FDC87E7" w14:textId="77777777" w:rsidTr="00D73130">
        <w:trPr>
          <w:trHeight w:val="396"/>
        </w:trPr>
        <w:tc>
          <w:tcPr>
            <w:tcW w:w="5613" w:type="dxa"/>
            <w:tcBorders>
              <w:left w:val="nil"/>
            </w:tcBorders>
          </w:tcPr>
          <w:p w14:paraId="3CF5D89B" w14:textId="77777777" w:rsidR="00345EE3" w:rsidRDefault="00345EE3" w:rsidP="00D73130">
            <w:pPr>
              <w:pStyle w:val="TableParagraph"/>
              <w:ind w:left="-3"/>
              <w:jc w:val="left"/>
              <w:rPr>
                <w:sz w:val="24"/>
              </w:rPr>
            </w:pPr>
            <w:r>
              <w:rPr>
                <w:color w:val="231F20"/>
                <w:sz w:val="24"/>
              </w:rPr>
              <w:t>Natural</w:t>
            </w:r>
            <w:r>
              <w:rPr>
                <w:color w:val="231F20"/>
                <w:spacing w:val="-8"/>
                <w:sz w:val="24"/>
              </w:rPr>
              <w:t xml:space="preserve"> </w:t>
            </w:r>
            <w:r>
              <w:rPr>
                <w:color w:val="231F20"/>
                <w:sz w:val="24"/>
              </w:rPr>
              <w:t>gas</w:t>
            </w:r>
            <w:r>
              <w:rPr>
                <w:color w:val="231F20"/>
                <w:spacing w:val="-8"/>
                <w:sz w:val="24"/>
              </w:rPr>
              <w:t xml:space="preserve"> </w:t>
            </w:r>
            <w:r>
              <w:rPr>
                <w:color w:val="231F20"/>
                <w:sz w:val="24"/>
              </w:rPr>
              <w:t>(tonnes</w:t>
            </w:r>
            <w:r>
              <w:rPr>
                <w:color w:val="231F20"/>
                <w:spacing w:val="-7"/>
                <w:sz w:val="24"/>
              </w:rPr>
              <w:t xml:space="preserve"> </w:t>
            </w:r>
            <w:r>
              <w:rPr>
                <w:color w:val="231F20"/>
                <w:sz w:val="24"/>
              </w:rPr>
              <w:t>CO</w:t>
            </w:r>
            <w:r>
              <w:rPr>
                <w:color w:val="231F20"/>
                <w:sz w:val="24"/>
                <w:vertAlign w:val="subscript"/>
              </w:rPr>
              <w:t>2</w:t>
            </w:r>
            <w:r>
              <w:rPr>
                <w:color w:val="231F20"/>
                <w:sz w:val="24"/>
              </w:rPr>
              <w:t>-</w:t>
            </w:r>
            <w:r>
              <w:rPr>
                <w:color w:val="231F20"/>
                <w:spacing w:val="-5"/>
                <w:sz w:val="24"/>
              </w:rPr>
              <w:t>e)</w:t>
            </w:r>
          </w:p>
        </w:tc>
        <w:tc>
          <w:tcPr>
            <w:tcW w:w="1531" w:type="dxa"/>
          </w:tcPr>
          <w:p w14:paraId="3E838029" w14:textId="77777777" w:rsidR="00345EE3" w:rsidRDefault="00345EE3" w:rsidP="00D73130">
            <w:pPr>
              <w:pStyle w:val="TableParagraph"/>
              <w:ind w:right="55"/>
              <w:rPr>
                <w:sz w:val="24"/>
              </w:rPr>
            </w:pPr>
            <w:r>
              <w:rPr>
                <w:color w:val="231F20"/>
                <w:spacing w:val="-2"/>
                <w:sz w:val="24"/>
              </w:rPr>
              <w:t>5,458</w:t>
            </w:r>
          </w:p>
        </w:tc>
        <w:tc>
          <w:tcPr>
            <w:tcW w:w="1531" w:type="dxa"/>
          </w:tcPr>
          <w:p w14:paraId="55D8742B" w14:textId="77777777" w:rsidR="00345EE3" w:rsidRDefault="00345EE3" w:rsidP="00D73130">
            <w:pPr>
              <w:pStyle w:val="TableParagraph"/>
              <w:ind w:right="55"/>
              <w:rPr>
                <w:sz w:val="24"/>
              </w:rPr>
            </w:pPr>
            <w:r>
              <w:rPr>
                <w:color w:val="231F20"/>
                <w:spacing w:val="-2"/>
                <w:sz w:val="24"/>
              </w:rPr>
              <w:t>6,456</w:t>
            </w:r>
          </w:p>
        </w:tc>
        <w:tc>
          <w:tcPr>
            <w:tcW w:w="1531" w:type="dxa"/>
            <w:tcBorders>
              <w:right w:val="nil"/>
            </w:tcBorders>
            <w:shd w:val="clear" w:color="auto" w:fill="E6E7E8"/>
          </w:tcPr>
          <w:p w14:paraId="6BED7634" w14:textId="77777777" w:rsidR="00345EE3" w:rsidRDefault="00345EE3" w:rsidP="00D73130">
            <w:pPr>
              <w:pStyle w:val="TableParagraph"/>
              <w:ind w:right="56"/>
              <w:rPr>
                <w:sz w:val="24"/>
              </w:rPr>
            </w:pPr>
            <w:r>
              <w:rPr>
                <w:color w:val="231F20"/>
                <w:spacing w:val="-2"/>
                <w:sz w:val="24"/>
              </w:rPr>
              <w:t>7,061</w:t>
            </w:r>
          </w:p>
        </w:tc>
      </w:tr>
      <w:tr w:rsidR="00345EE3" w14:paraId="562F388A" w14:textId="77777777" w:rsidTr="00D73130">
        <w:trPr>
          <w:trHeight w:val="396"/>
        </w:trPr>
        <w:tc>
          <w:tcPr>
            <w:tcW w:w="5613" w:type="dxa"/>
            <w:tcBorders>
              <w:left w:val="nil"/>
            </w:tcBorders>
          </w:tcPr>
          <w:p w14:paraId="1A5668AF" w14:textId="77777777" w:rsidR="00345EE3" w:rsidRDefault="00345EE3" w:rsidP="00D73130">
            <w:pPr>
              <w:pStyle w:val="TableParagraph"/>
              <w:ind w:left="-3"/>
              <w:jc w:val="left"/>
              <w:rPr>
                <w:sz w:val="24"/>
              </w:rPr>
            </w:pPr>
            <w:r>
              <w:rPr>
                <w:color w:val="231F20"/>
                <w:sz w:val="24"/>
              </w:rPr>
              <w:t>LPG</w:t>
            </w:r>
            <w:r>
              <w:rPr>
                <w:color w:val="231F20"/>
                <w:spacing w:val="-9"/>
                <w:sz w:val="24"/>
              </w:rPr>
              <w:t xml:space="preserve"> </w:t>
            </w:r>
            <w:r>
              <w:rPr>
                <w:color w:val="231F20"/>
                <w:sz w:val="24"/>
              </w:rPr>
              <w:t>(tonnes</w:t>
            </w:r>
            <w:r>
              <w:rPr>
                <w:color w:val="231F20"/>
                <w:spacing w:val="-8"/>
                <w:sz w:val="24"/>
              </w:rPr>
              <w:t xml:space="preserve"> </w:t>
            </w:r>
            <w:r>
              <w:rPr>
                <w:color w:val="231F20"/>
                <w:sz w:val="24"/>
              </w:rPr>
              <w:t>CO</w:t>
            </w:r>
            <w:r>
              <w:rPr>
                <w:color w:val="231F20"/>
                <w:sz w:val="24"/>
                <w:vertAlign w:val="subscript"/>
              </w:rPr>
              <w:t>2</w:t>
            </w:r>
            <w:r>
              <w:rPr>
                <w:color w:val="231F20"/>
                <w:sz w:val="24"/>
              </w:rPr>
              <w:t>-</w:t>
            </w:r>
            <w:r>
              <w:rPr>
                <w:color w:val="231F20"/>
                <w:spacing w:val="-5"/>
                <w:sz w:val="24"/>
              </w:rPr>
              <w:t>e)</w:t>
            </w:r>
          </w:p>
        </w:tc>
        <w:tc>
          <w:tcPr>
            <w:tcW w:w="1531" w:type="dxa"/>
          </w:tcPr>
          <w:p w14:paraId="7FFACB26" w14:textId="77777777" w:rsidR="00345EE3" w:rsidRDefault="00345EE3" w:rsidP="00D73130">
            <w:pPr>
              <w:pStyle w:val="TableParagraph"/>
              <w:ind w:right="55"/>
              <w:rPr>
                <w:sz w:val="24"/>
              </w:rPr>
            </w:pPr>
            <w:r>
              <w:rPr>
                <w:color w:val="231F20"/>
                <w:spacing w:val="-5"/>
                <w:sz w:val="24"/>
              </w:rPr>
              <w:t>18</w:t>
            </w:r>
          </w:p>
        </w:tc>
        <w:tc>
          <w:tcPr>
            <w:tcW w:w="1531" w:type="dxa"/>
          </w:tcPr>
          <w:p w14:paraId="53507F3E" w14:textId="77777777" w:rsidR="00345EE3" w:rsidRDefault="00345EE3" w:rsidP="00D73130">
            <w:pPr>
              <w:pStyle w:val="TableParagraph"/>
              <w:ind w:right="55"/>
              <w:rPr>
                <w:sz w:val="24"/>
              </w:rPr>
            </w:pPr>
            <w:r>
              <w:rPr>
                <w:color w:val="231F20"/>
                <w:spacing w:val="-5"/>
                <w:sz w:val="24"/>
              </w:rPr>
              <w:t>14</w:t>
            </w:r>
          </w:p>
        </w:tc>
        <w:tc>
          <w:tcPr>
            <w:tcW w:w="1531" w:type="dxa"/>
            <w:tcBorders>
              <w:right w:val="nil"/>
            </w:tcBorders>
            <w:shd w:val="clear" w:color="auto" w:fill="E6E7E8"/>
          </w:tcPr>
          <w:p w14:paraId="522E52E7" w14:textId="77777777" w:rsidR="00345EE3" w:rsidRDefault="00345EE3" w:rsidP="00D73130">
            <w:pPr>
              <w:pStyle w:val="TableParagraph"/>
              <w:ind w:right="57"/>
              <w:rPr>
                <w:sz w:val="24"/>
              </w:rPr>
            </w:pPr>
            <w:r>
              <w:rPr>
                <w:color w:val="231F20"/>
                <w:spacing w:val="-5"/>
                <w:sz w:val="24"/>
              </w:rPr>
              <w:t>10</w:t>
            </w:r>
          </w:p>
        </w:tc>
      </w:tr>
      <w:tr w:rsidR="00345EE3" w14:paraId="62ACFBE5" w14:textId="77777777" w:rsidTr="00D73130">
        <w:trPr>
          <w:trHeight w:val="676"/>
        </w:trPr>
        <w:tc>
          <w:tcPr>
            <w:tcW w:w="5613" w:type="dxa"/>
            <w:tcBorders>
              <w:left w:val="nil"/>
            </w:tcBorders>
          </w:tcPr>
          <w:p w14:paraId="6C98F10E" w14:textId="77777777" w:rsidR="00345EE3" w:rsidRDefault="00345EE3" w:rsidP="00D73130">
            <w:pPr>
              <w:pStyle w:val="TableParagraph"/>
              <w:spacing w:line="242" w:lineRule="auto"/>
              <w:ind w:left="-3"/>
              <w:jc w:val="left"/>
              <w:rPr>
                <w:b/>
                <w:sz w:val="24"/>
              </w:rPr>
            </w:pPr>
            <w:r>
              <w:rPr>
                <w:b/>
                <w:color w:val="231F20"/>
                <w:sz w:val="24"/>
              </w:rPr>
              <w:t>E3.</w:t>
            </w:r>
            <w:r>
              <w:rPr>
                <w:b/>
                <w:color w:val="231F20"/>
                <w:spacing w:val="-6"/>
                <w:sz w:val="24"/>
              </w:rPr>
              <w:t xml:space="preserve"> </w:t>
            </w:r>
            <w:r>
              <w:rPr>
                <w:b/>
                <w:color w:val="231F20"/>
                <w:sz w:val="24"/>
              </w:rPr>
              <w:t>Percentage</w:t>
            </w:r>
            <w:r>
              <w:rPr>
                <w:b/>
                <w:color w:val="231F20"/>
                <w:spacing w:val="-6"/>
                <w:sz w:val="24"/>
              </w:rPr>
              <w:t xml:space="preserve"> </w:t>
            </w:r>
            <w:r>
              <w:rPr>
                <w:b/>
                <w:color w:val="231F20"/>
                <w:sz w:val="24"/>
              </w:rPr>
              <w:t>of</w:t>
            </w:r>
            <w:r>
              <w:rPr>
                <w:b/>
                <w:color w:val="231F20"/>
                <w:spacing w:val="-6"/>
                <w:sz w:val="24"/>
              </w:rPr>
              <w:t xml:space="preserve"> </w:t>
            </w:r>
            <w:r>
              <w:rPr>
                <w:b/>
                <w:color w:val="231F20"/>
                <w:sz w:val="24"/>
              </w:rPr>
              <w:t>electricity</w:t>
            </w:r>
            <w:r>
              <w:rPr>
                <w:b/>
                <w:color w:val="231F20"/>
                <w:spacing w:val="-7"/>
                <w:sz w:val="24"/>
              </w:rPr>
              <w:t xml:space="preserve"> </w:t>
            </w:r>
            <w:r>
              <w:rPr>
                <w:b/>
                <w:color w:val="231F20"/>
                <w:sz w:val="24"/>
              </w:rPr>
              <w:t>purchased</w:t>
            </w:r>
            <w:r>
              <w:rPr>
                <w:b/>
                <w:color w:val="231F20"/>
                <w:spacing w:val="-6"/>
                <w:sz w:val="24"/>
              </w:rPr>
              <w:t xml:space="preserve"> </w:t>
            </w:r>
            <w:r>
              <w:rPr>
                <w:b/>
                <w:color w:val="231F20"/>
                <w:sz w:val="24"/>
              </w:rPr>
              <w:t>as</w:t>
            </w:r>
            <w:r>
              <w:rPr>
                <w:b/>
                <w:color w:val="231F20"/>
                <w:spacing w:val="-7"/>
                <w:sz w:val="24"/>
              </w:rPr>
              <w:t xml:space="preserve"> </w:t>
            </w:r>
            <w:r>
              <w:rPr>
                <w:b/>
                <w:color w:val="231F20"/>
                <w:sz w:val="24"/>
              </w:rPr>
              <w:t>Green Power (%)</w:t>
            </w:r>
          </w:p>
        </w:tc>
        <w:tc>
          <w:tcPr>
            <w:tcW w:w="1531" w:type="dxa"/>
          </w:tcPr>
          <w:p w14:paraId="426487A5" w14:textId="77777777" w:rsidR="00345EE3" w:rsidRDefault="00345EE3" w:rsidP="00D73130">
            <w:pPr>
              <w:pStyle w:val="TableParagraph"/>
              <w:ind w:right="52"/>
              <w:rPr>
                <w:b/>
                <w:sz w:val="24"/>
              </w:rPr>
            </w:pPr>
            <w:r>
              <w:rPr>
                <w:b/>
                <w:color w:val="231F20"/>
                <w:sz w:val="24"/>
              </w:rPr>
              <w:t>0</w:t>
            </w:r>
          </w:p>
        </w:tc>
        <w:tc>
          <w:tcPr>
            <w:tcW w:w="1531" w:type="dxa"/>
          </w:tcPr>
          <w:p w14:paraId="25B48B9A" w14:textId="77777777" w:rsidR="00345EE3" w:rsidRDefault="00345EE3" w:rsidP="00D73130">
            <w:pPr>
              <w:pStyle w:val="TableParagraph"/>
              <w:ind w:right="53"/>
              <w:rPr>
                <w:b/>
                <w:sz w:val="24"/>
              </w:rPr>
            </w:pPr>
            <w:r>
              <w:rPr>
                <w:b/>
                <w:color w:val="231F20"/>
                <w:sz w:val="24"/>
              </w:rPr>
              <w:t>5</w:t>
            </w:r>
          </w:p>
        </w:tc>
        <w:tc>
          <w:tcPr>
            <w:tcW w:w="1531" w:type="dxa"/>
            <w:tcBorders>
              <w:right w:val="nil"/>
            </w:tcBorders>
            <w:shd w:val="clear" w:color="auto" w:fill="E6E7E8"/>
          </w:tcPr>
          <w:p w14:paraId="1A5C5170" w14:textId="77777777" w:rsidR="00345EE3" w:rsidRDefault="00345EE3" w:rsidP="00D73130">
            <w:pPr>
              <w:pStyle w:val="TableParagraph"/>
              <w:ind w:right="53"/>
              <w:rPr>
                <w:b/>
                <w:sz w:val="24"/>
              </w:rPr>
            </w:pPr>
            <w:r>
              <w:rPr>
                <w:b/>
                <w:color w:val="231F20"/>
                <w:sz w:val="24"/>
              </w:rPr>
              <w:t>8</w:t>
            </w:r>
          </w:p>
        </w:tc>
      </w:tr>
      <w:tr w:rsidR="00345EE3" w14:paraId="0B19BF3E" w14:textId="77777777" w:rsidTr="00D73130">
        <w:trPr>
          <w:trHeight w:val="396"/>
        </w:trPr>
        <w:tc>
          <w:tcPr>
            <w:tcW w:w="5613" w:type="dxa"/>
            <w:tcBorders>
              <w:left w:val="nil"/>
            </w:tcBorders>
          </w:tcPr>
          <w:p w14:paraId="2148619A" w14:textId="77777777" w:rsidR="00345EE3" w:rsidRDefault="00345EE3" w:rsidP="00D73130">
            <w:pPr>
              <w:pStyle w:val="TableParagraph"/>
              <w:ind w:left="-3"/>
              <w:jc w:val="left"/>
              <w:rPr>
                <w:b/>
                <w:sz w:val="24"/>
              </w:rPr>
            </w:pPr>
            <w:r>
              <w:rPr>
                <w:b/>
                <w:color w:val="231F20"/>
                <w:sz w:val="24"/>
              </w:rPr>
              <w:t>E4.</w:t>
            </w:r>
            <w:r>
              <w:rPr>
                <w:b/>
                <w:color w:val="231F20"/>
                <w:spacing w:val="-2"/>
                <w:sz w:val="24"/>
              </w:rPr>
              <w:t xml:space="preserve"> </w:t>
            </w:r>
            <w:r>
              <w:rPr>
                <w:b/>
                <w:color w:val="231F20"/>
                <w:sz w:val="24"/>
              </w:rPr>
              <w:t>Units</w:t>
            </w:r>
            <w:r>
              <w:rPr>
                <w:b/>
                <w:color w:val="231F20"/>
                <w:spacing w:val="-2"/>
                <w:sz w:val="24"/>
              </w:rPr>
              <w:t xml:space="preserve"> </w:t>
            </w:r>
            <w:r>
              <w:rPr>
                <w:b/>
                <w:color w:val="231F20"/>
                <w:sz w:val="24"/>
              </w:rPr>
              <w:t>of</w:t>
            </w:r>
            <w:r>
              <w:rPr>
                <w:b/>
                <w:color w:val="231F20"/>
                <w:spacing w:val="-1"/>
                <w:sz w:val="24"/>
              </w:rPr>
              <w:t xml:space="preserve"> </w:t>
            </w:r>
            <w:r>
              <w:rPr>
                <w:b/>
                <w:color w:val="231F20"/>
                <w:sz w:val="24"/>
              </w:rPr>
              <w:t>office</w:t>
            </w:r>
            <w:r>
              <w:rPr>
                <w:b/>
                <w:color w:val="231F20"/>
                <w:spacing w:val="-1"/>
                <w:sz w:val="24"/>
              </w:rPr>
              <w:t xml:space="preserve"> </w:t>
            </w:r>
            <w:r>
              <w:rPr>
                <w:b/>
                <w:color w:val="231F20"/>
                <w:sz w:val="24"/>
              </w:rPr>
              <w:t>energy</w:t>
            </w:r>
            <w:r>
              <w:rPr>
                <w:b/>
                <w:color w:val="231F20"/>
                <w:spacing w:val="-2"/>
                <w:sz w:val="24"/>
              </w:rPr>
              <w:t xml:space="preserve"> </w:t>
            </w:r>
            <w:r>
              <w:rPr>
                <w:b/>
                <w:color w:val="231F20"/>
                <w:sz w:val="24"/>
              </w:rPr>
              <w:t>used</w:t>
            </w:r>
            <w:r>
              <w:rPr>
                <w:b/>
                <w:color w:val="231F20"/>
                <w:spacing w:val="-1"/>
                <w:sz w:val="24"/>
              </w:rPr>
              <w:t xml:space="preserve"> </w:t>
            </w:r>
            <w:r>
              <w:rPr>
                <w:b/>
                <w:color w:val="231F20"/>
                <w:sz w:val="24"/>
              </w:rPr>
              <w:t>per</w:t>
            </w:r>
            <w:r>
              <w:rPr>
                <w:b/>
                <w:color w:val="231F20"/>
                <w:spacing w:val="-1"/>
                <w:sz w:val="24"/>
              </w:rPr>
              <w:t xml:space="preserve"> </w:t>
            </w:r>
            <w:r>
              <w:rPr>
                <w:b/>
                <w:color w:val="231F20"/>
                <w:sz w:val="24"/>
              </w:rPr>
              <w:t>FTE</w:t>
            </w:r>
            <w:r>
              <w:rPr>
                <w:b/>
                <w:color w:val="231F20"/>
                <w:spacing w:val="-1"/>
                <w:sz w:val="24"/>
              </w:rPr>
              <w:t xml:space="preserve"> </w:t>
            </w:r>
            <w:r>
              <w:rPr>
                <w:b/>
                <w:color w:val="231F20"/>
                <w:spacing w:val="-2"/>
                <w:sz w:val="24"/>
              </w:rPr>
              <w:t>(MJ/FTE)</w:t>
            </w:r>
          </w:p>
        </w:tc>
        <w:tc>
          <w:tcPr>
            <w:tcW w:w="1531" w:type="dxa"/>
          </w:tcPr>
          <w:p w14:paraId="70D50983" w14:textId="77777777" w:rsidR="00345EE3" w:rsidRDefault="00345EE3" w:rsidP="00D73130">
            <w:pPr>
              <w:pStyle w:val="TableParagraph"/>
              <w:ind w:right="53"/>
              <w:rPr>
                <w:b/>
                <w:sz w:val="24"/>
              </w:rPr>
            </w:pPr>
            <w:r>
              <w:rPr>
                <w:b/>
                <w:color w:val="231F20"/>
                <w:spacing w:val="-2"/>
                <w:sz w:val="24"/>
              </w:rPr>
              <w:t>17,470</w:t>
            </w:r>
          </w:p>
        </w:tc>
        <w:tc>
          <w:tcPr>
            <w:tcW w:w="1531" w:type="dxa"/>
          </w:tcPr>
          <w:p w14:paraId="37DAEC1D" w14:textId="77777777" w:rsidR="00345EE3" w:rsidRDefault="00345EE3" w:rsidP="00D73130">
            <w:pPr>
              <w:pStyle w:val="TableParagraph"/>
              <w:ind w:right="53"/>
              <w:rPr>
                <w:b/>
                <w:sz w:val="24"/>
              </w:rPr>
            </w:pPr>
            <w:r>
              <w:rPr>
                <w:b/>
                <w:color w:val="231F20"/>
                <w:spacing w:val="-2"/>
                <w:sz w:val="24"/>
              </w:rPr>
              <w:t>17,737</w:t>
            </w:r>
          </w:p>
        </w:tc>
        <w:tc>
          <w:tcPr>
            <w:tcW w:w="1531" w:type="dxa"/>
            <w:tcBorders>
              <w:right w:val="nil"/>
            </w:tcBorders>
            <w:shd w:val="clear" w:color="auto" w:fill="E6E7E8"/>
          </w:tcPr>
          <w:p w14:paraId="64A0E262" w14:textId="77777777" w:rsidR="00345EE3" w:rsidRDefault="00345EE3" w:rsidP="00D73130">
            <w:pPr>
              <w:pStyle w:val="TableParagraph"/>
              <w:ind w:right="53"/>
              <w:rPr>
                <w:b/>
                <w:sz w:val="24"/>
              </w:rPr>
            </w:pPr>
            <w:r>
              <w:rPr>
                <w:b/>
                <w:color w:val="231F20"/>
                <w:spacing w:val="-2"/>
                <w:sz w:val="24"/>
              </w:rPr>
              <w:t>18,499</w:t>
            </w:r>
          </w:p>
        </w:tc>
      </w:tr>
      <w:tr w:rsidR="00345EE3" w14:paraId="2C2316C8" w14:textId="77777777" w:rsidTr="00D73130">
        <w:trPr>
          <w:trHeight w:val="671"/>
        </w:trPr>
        <w:tc>
          <w:tcPr>
            <w:tcW w:w="5613" w:type="dxa"/>
            <w:tcBorders>
              <w:left w:val="nil"/>
              <w:bottom w:val="single" w:sz="6" w:space="0" w:color="231F20"/>
            </w:tcBorders>
          </w:tcPr>
          <w:p w14:paraId="75CA67BD" w14:textId="77777777" w:rsidR="00345EE3" w:rsidRDefault="00345EE3" w:rsidP="00D73130">
            <w:pPr>
              <w:pStyle w:val="TableParagraph"/>
              <w:spacing w:line="242" w:lineRule="auto"/>
              <w:ind w:left="-3"/>
              <w:jc w:val="left"/>
              <w:rPr>
                <w:b/>
                <w:sz w:val="24"/>
              </w:rPr>
            </w:pPr>
            <w:r>
              <w:rPr>
                <w:b/>
                <w:color w:val="231F20"/>
                <w:sz w:val="24"/>
              </w:rPr>
              <w:t>E5.</w:t>
            </w:r>
            <w:r>
              <w:rPr>
                <w:b/>
                <w:color w:val="231F20"/>
                <w:spacing w:val="-4"/>
                <w:sz w:val="24"/>
              </w:rPr>
              <w:t xml:space="preserve"> </w:t>
            </w:r>
            <w:r>
              <w:rPr>
                <w:b/>
                <w:color w:val="231F20"/>
                <w:sz w:val="24"/>
              </w:rPr>
              <w:t>Units</w:t>
            </w:r>
            <w:r>
              <w:rPr>
                <w:b/>
                <w:color w:val="231F20"/>
                <w:spacing w:val="-5"/>
                <w:sz w:val="24"/>
              </w:rPr>
              <w:t xml:space="preserve"> </w:t>
            </w:r>
            <w:r>
              <w:rPr>
                <w:b/>
                <w:color w:val="231F20"/>
                <w:sz w:val="24"/>
              </w:rPr>
              <w:t>of</w:t>
            </w:r>
            <w:r>
              <w:rPr>
                <w:b/>
                <w:color w:val="231F20"/>
                <w:spacing w:val="-4"/>
                <w:sz w:val="24"/>
              </w:rPr>
              <w:t xml:space="preserve"> </w:t>
            </w:r>
            <w:r>
              <w:rPr>
                <w:b/>
                <w:color w:val="231F20"/>
                <w:sz w:val="24"/>
              </w:rPr>
              <w:t>office</w:t>
            </w:r>
            <w:r>
              <w:rPr>
                <w:b/>
                <w:color w:val="231F20"/>
                <w:spacing w:val="-4"/>
                <w:sz w:val="24"/>
              </w:rPr>
              <w:t xml:space="preserve"> </w:t>
            </w:r>
            <w:r>
              <w:rPr>
                <w:b/>
                <w:color w:val="231F20"/>
                <w:sz w:val="24"/>
              </w:rPr>
              <w:t>energy</w:t>
            </w:r>
            <w:r>
              <w:rPr>
                <w:b/>
                <w:color w:val="231F20"/>
                <w:spacing w:val="-5"/>
                <w:sz w:val="24"/>
              </w:rPr>
              <w:t xml:space="preserve"> </w:t>
            </w:r>
            <w:r>
              <w:rPr>
                <w:b/>
                <w:color w:val="231F20"/>
                <w:sz w:val="24"/>
              </w:rPr>
              <w:t>used</w:t>
            </w:r>
            <w:r>
              <w:rPr>
                <w:b/>
                <w:color w:val="231F20"/>
                <w:spacing w:val="-4"/>
                <w:sz w:val="24"/>
              </w:rPr>
              <w:t xml:space="preserve"> </w:t>
            </w:r>
            <w:r>
              <w:rPr>
                <w:b/>
                <w:color w:val="231F20"/>
                <w:sz w:val="24"/>
              </w:rPr>
              <w:t>per</w:t>
            </w:r>
            <w:r>
              <w:rPr>
                <w:b/>
                <w:color w:val="231F20"/>
                <w:spacing w:val="-4"/>
                <w:sz w:val="24"/>
              </w:rPr>
              <w:t xml:space="preserve"> </w:t>
            </w:r>
            <w:r>
              <w:rPr>
                <w:b/>
                <w:color w:val="231F20"/>
                <w:sz w:val="24"/>
              </w:rPr>
              <w:t>office</w:t>
            </w:r>
            <w:r>
              <w:rPr>
                <w:b/>
                <w:color w:val="231F20"/>
                <w:spacing w:val="-4"/>
                <w:sz w:val="24"/>
              </w:rPr>
              <w:t xml:space="preserve"> </w:t>
            </w:r>
            <w:r>
              <w:rPr>
                <w:b/>
                <w:color w:val="231F20"/>
                <w:sz w:val="24"/>
              </w:rPr>
              <w:t xml:space="preserve">area </w:t>
            </w:r>
            <w:r>
              <w:rPr>
                <w:b/>
                <w:color w:val="231F20"/>
                <w:spacing w:val="-2"/>
                <w:sz w:val="24"/>
              </w:rPr>
              <w:t>(MJ/m</w:t>
            </w:r>
            <w:r>
              <w:rPr>
                <w:b/>
                <w:color w:val="231F20"/>
                <w:spacing w:val="-2"/>
                <w:position w:val="8"/>
                <w:sz w:val="14"/>
              </w:rPr>
              <w:t>2</w:t>
            </w:r>
            <w:r>
              <w:rPr>
                <w:b/>
                <w:color w:val="231F20"/>
                <w:spacing w:val="-2"/>
                <w:sz w:val="24"/>
              </w:rPr>
              <w:t>)</w:t>
            </w:r>
          </w:p>
        </w:tc>
        <w:tc>
          <w:tcPr>
            <w:tcW w:w="1531" w:type="dxa"/>
            <w:tcBorders>
              <w:bottom w:val="single" w:sz="6" w:space="0" w:color="231F20"/>
            </w:tcBorders>
          </w:tcPr>
          <w:p w14:paraId="70FAC308" w14:textId="77777777" w:rsidR="00345EE3" w:rsidRDefault="00345EE3" w:rsidP="00D73130">
            <w:pPr>
              <w:pStyle w:val="TableParagraph"/>
              <w:ind w:right="53"/>
              <w:rPr>
                <w:b/>
                <w:sz w:val="24"/>
              </w:rPr>
            </w:pPr>
            <w:r>
              <w:rPr>
                <w:b/>
                <w:color w:val="231F20"/>
                <w:spacing w:val="-5"/>
                <w:sz w:val="24"/>
              </w:rPr>
              <w:t>708</w:t>
            </w:r>
          </w:p>
        </w:tc>
        <w:tc>
          <w:tcPr>
            <w:tcW w:w="1531" w:type="dxa"/>
            <w:tcBorders>
              <w:bottom w:val="single" w:sz="6" w:space="0" w:color="231F20"/>
            </w:tcBorders>
          </w:tcPr>
          <w:p w14:paraId="5F18F008" w14:textId="77777777" w:rsidR="00345EE3" w:rsidRDefault="00345EE3" w:rsidP="00D73130">
            <w:pPr>
              <w:pStyle w:val="TableParagraph"/>
              <w:ind w:right="53"/>
              <w:rPr>
                <w:b/>
                <w:sz w:val="24"/>
              </w:rPr>
            </w:pPr>
            <w:r>
              <w:rPr>
                <w:b/>
                <w:color w:val="231F20"/>
                <w:spacing w:val="-5"/>
                <w:sz w:val="24"/>
              </w:rPr>
              <w:t>623</w:t>
            </w:r>
          </w:p>
        </w:tc>
        <w:tc>
          <w:tcPr>
            <w:tcW w:w="1531" w:type="dxa"/>
            <w:tcBorders>
              <w:bottom w:val="single" w:sz="6" w:space="0" w:color="231F20"/>
              <w:right w:val="nil"/>
            </w:tcBorders>
            <w:shd w:val="clear" w:color="auto" w:fill="E6E7E8"/>
          </w:tcPr>
          <w:p w14:paraId="5ABD52EC" w14:textId="77777777" w:rsidR="00345EE3" w:rsidRDefault="00345EE3" w:rsidP="00D73130">
            <w:pPr>
              <w:pStyle w:val="TableParagraph"/>
              <w:ind w:right="53"/>
              <w:rPr>
                <w:b/>
                <w:sz w:val="24"/>
              </w:rPr>
            </w:pPr>
            <w:r>
              <w:rPr>
                <w:b/>
                <w:color w:val="231F20"/>
                <w:spacing w:val="-5"/>
                <w:sz w:val="24"/>
              </w:rPr>
              <w:t>630</w:t>
            </w:r>
          </w:p>
        </w:tc>
      </w:tr>
    </w:tbl>
    <w:p w14:paraId="592DB179" w14:textId="77777777" w:rsidR="00345EE3" w:rsidRPr="00BD27F9" w:rsidRDefault="00345EE3" w:rsidP="00345EE3">
      <w:pPr>
        <w:spacing w:before="76"/>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Operational Infrastructure</w:t>
      </w:r>
      <w:r w:rsidRPr="00BD27F9">
        <w:rPr>
          <w:color w:val="231F20"/>
          <w:spacing w:val="1"/>
          <w:sz w:val="18"/>
          <w:szCs w:val="18"/>
        </w:rPr>
        <w:t xml:space="preserve"> </w:t>
      </w:r>
      <w:r w:rsidRPr="00BD27F9">
        <w:rPr>
          <w:color w:val="231F20"/>
          <w:sz w:val="18"/>
          <w:szCs w:val="18"/>
        </w:rPr>
        <w:t>Department. Data extracted</w:t>
      </w:r>
      <w:r w:rsidRPr="00BD27F9">
        <w:rPr>
          <w:color w:val="231F20"/>
          <w:spacing w:val="1"/>
          <w:sz w:val="18"/>
          <w:szCs w:val="18"/>
        </w:rPr>
        <w:t xml:space="preserve"> </w:t>
      </w:r>
      <w:r w:rsidRPr="00BD27F9">
        <w:rPr>
          <w:color w:val="231F20"/>
          <w:sz w:val="18"/>
          <w:szCs w:val="18"/>
        </w:rPr>
        <w:t>from various</w:t>
      </w:r>
      <w:r w:rsidRPr="00BD27F9">
        <w:rPr>
          <w:color w:val="231F20"/>
          <w:spacing w:val="1"/>
          <w:sz w:val="18"/>
          <w:szCs w:val="18"/>
        </w:rPr>
        <w:t xml:space="preserve"> </w:t>
      </w:r>
      <w:r w:rsidRPr="00BD27F9">
        <w:rPr>
          <w:color w:val="231F20"/>
          <w:sz w:val="18"/>
          <w:szCs w:val="18"/>
        </w:rPr>
        <w:t>sources between 1</w:t>
      </w:r>
      <w:r w:rsidRPr="00BD27F9">
        <w:rPr>
          <w:color w:val="231F20"/>
          <w:spacing w:val="1"/>
          <w:sz w:val="18"/>
          <w:szCs w:val="18"/>
        </w:rPr>
        <w:t xml:space="preserve"> </w:t>
      </w:r>
      <w:r w:rsidRPr="00BD27F9">
        <w:rPr>
          <w:color w:val="231F20"/>
          <w:sz w:val="18"/>
          <w:szCs w:val="18"/>
        </w:rPr>
        <w:t>April 2021 and</w:t>
      </w:r>
      <w:r w:rsidRPr="00BD27F9">
        <w:rPr>
          <w:color w:val="231F20"/>
          <w:spacing w:val="1"/>
          <w:sz w:val="18"/>
          <w:szCs w:val="18"/>
        </w:rPr>
        <w:t xml:space="preserve"> </w:t>
      </w:r>
      <w:r w:rsidRPr="00BD27F9">
        <w:rPr>
          <w:color w:val="231F20"/>
          <w:sz w:val="18"/>
          <w:szCs w:val="18"/>
        </w:rPr>
        <w:t>15 July</w:t>
      </w:r>
      <w:r w:rsidRPr="00BD27F9">
        <w:rPr>
          <w:color w:val="231F20"/>
          <w:spacing w:val="1"/>
          <w:sz w:val="18"/>
          <w:szCs w:val="18"/>
        </w:rPr>
        <w:t xml:space="preserve"> </w:t>
      </w:r>
      <w:r w:rsidRPr="00BD27F9">
        <w:rPr>
          <w:color w:val="231F20"/>
          <w:spacing w:val="-2"/>
          <w:sz w:val="18"/>
          <w:szCs w:val="18"/>
        </w:rPr>
        <w:t>2022.</w:t>
      </w:r>
    </w:p>
    <w:p w14:paraId="48FE5F59" w14:textId="77777777" w:rsidR="00345EE3" w:rsidRPr="00BD27F9" w:rsidRDefault="00345EE3" w:rsidP="00345EE3">
      <w:pPr>
        <w:spacing w:before="27"/>
        <w:ind w:left="110"/>
        <w:rPr>
          <w:rFonts w:ascii="Arial-BoldItalicMT"/>
          <w:b/>
          <w:i/>
          <w:sz w:val="18"/>
          <w:szCs w:val="18"/>
        </w:rPr>
      </w:pPr>
      <w:r w:rsidRPr="00BD27F9">
        <w:rPr>
          <w:rFonts w:ascii="Arial-BoldItalicMT"/>
          <w:b/>
          <w:i/>
          <w:color w:val="231F20"/>
          <w:spacing w:val="-2"/>
          <w:sz w:val="18"/>
          <w:szCs w:val="18"/>
        </w:rPr>
        <w:t>Notes:</w:t>
      </w:r>
    </w:p>
    <w:p w14:paraId="619CC4DA" w14:textId="77777777" w:rsidR="00345EE3" w:rsidRPr="00BD27F9" w:rsidRDefault="00345EE3">
      <w:pPr>
        <w:pStyle w:val="ListParagraph"/>
        <w:numPr>
          <w:ilvl w:val="0"/>
          <w:numId w:val="58"/>
        </w:numPr>
        <w:tabs>
          <w:tab w:val="left" w:pos="338"/>
        </w:tabs>
        <w:spacing w:before="28"/>
        <w:ind w:right="992"/>
        <w:rPr>
          <w:sz w:val="18"/>
          <w:szCs w:val="18"/>
        </w:rPr>
      </w:pPr>
      <w:r w:rsidRPr="00BD27F9">
        <w:rPr>
          <w:color w:val="231F20"/>
          <w:sz w:val="18"/>
          <w:szCs w:val="18"/>
        </w:rPr>
        <w:t>For</w:t>
      </w:r>
      <w:r w:rsidRPr="00BD27F9">
        <w:rPr>
          <w:color w:val="231F20"/>
          <w:spacing w:val="-1"/>
          <w:sz w:val="18"/>
          <w:szCs w:val="18"/>
        </w:rPr>
        <w:t xml:space="preserve"> </w:t>
      </w:r>
      <w:r w:rsidRPr="00BD27F9">
        <w:rPr>
          <w:color w:val="231F20"/>
          <w:sz w:val="18"/>
          <w:szCs w:val="18"/>
        </w:rPr>
        <w:t>electricity,</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data</w:t>
      </w:r>
      <w:r w:rsidRPr="00BD27F9">
        <w:rPr>
          <w:color w:val="231F20"/>
          <w:spacing w:val="-1"/>
          <w:sz w:val="18"/>
          <w:szCs w:val="18"/>
        </w:rPr>
        <w:t xml:space="preserve"> </w:t>
      </w:r>
      <w:r w:rsidRPr="00BD27F9">
        <w:rPr>
          <w:color w:val="231F20"/>
          <w:sz w:val="18"/>
          <w:szCs w:val="18"/>
        </w:rPr>
        <w:t>for</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2021–22</w:t>
      </w:r>
      <w:r w:rsidRPr="00BD27F9">
        <w:rPr>
          <w:color w:val="231F20"/>
          <w:spacing w:val="-1"/>
          <w:sz w:val="18"/>
          <w:szCs w:val="18"/>
        </w:rPr>
        <w:t xml:space="preserve"> </w:t>
      </w:r>
      <w:r w:rsidRPr="00BD27F9">
        <w:rPr>
          <w:color w:val="231F20"/>
          <w:sz w:val="18"/>
          <w:szCs w:val="18"/>
        </w:rPr>
        <w:t>period</w:t>
      </w:r>
      <w:r w:rsidRPr="00BD27F9">
        <w:rPr>
          <w:color w:val="231F20"/>
          <w:spacing w:val="-1"/>
          <w:sz w:val="18"/>
          <w:szCs w:val="18"/>
        </w:rPr>
        <w:t xml:space="preserve"> </w:t>
      </w:r>
      <w:r w:rsidRPr="00BD27F9">
        <w:rPr>
          <w:color w:val="231F20"/>
          <w:sz w:val="18"/>
          <w:szCs w:val="18"/>
        </w:rPr>
        <w:t>account</w:t>
      </w:r>
      <w:r w:rsidRPr="00BD27F9">
        <w:rPr>
          <w:color w:val="231F20"/>
          <w:spacing w:val="-1"/>
          <w:sz w:val="18"/>
          <w:szCs w:val="18"/>
        </w:rPr>
        <w:t xml:space="preserve"> </w:t>
      </w:r>
      <w:r w:rsidRPr="00BD27F9">
        <w:rPr>
          <w:color w:val="231F20"/>
          <w:sz w:val="18"/>
          <w:szCs w:val="18"/>
        </w:rPr>
        <w:t>for</w:t>
      </w:r>
      <w:r w:rsidRPr="00BD27F9">
        <w:rPr>
          <w:color w:val="231F20"/>
          <w:spacing w:val="-1"/>
          <w:sz w:val="18"/>
          <w:szCs w:val="18"/>
        </w:rPr>
        <w:t xml:space="preserve"> </w:t>
      </w:r>
      <w:r w:rsidRPr="00BD27F9">
        <w:rPr>
          <w:color w:val="231F20"/>
          <w:sz w:val="18"/>
          <w:szCs w:val="18"/>
        </w:rPr>
        <w:t>98.7</w:t>
      </w:r>
      <w:r w:rsidRPr="00BD27F9">
        <w:rPr>
          <w:color w:val="231F20"/>
          <w:spacing w:val="-1"/>
          <w:sz w:val="18"/>
          <w:szCs w:val="18"/>
        </w:rPr>
        <w:t xml:space="preserve"> </w:t>
      </w:r>
      <w:r w:rsidRPr="00BD27F9">
        <w:rPr>
          <w:color w:val="231F20"/>
          <w:sz w:val="18"/>
          <w:szCs w:val="18"/>
        </w:rPr>
        <w:t>per</w:t>
      </w:r>
      <w:r w:rsidRPr="00BD27F9">
        <w:rPr>
          <w:color w:val="231F20"/>
          <w:spacing w:val="-1"/>
          <w:sz w:val="18"/>
          <w:szCs w:val="18"/>
        </w:rPr>
        <w:t xml:space="preserve"> </w:t>
      </w:r>
      <w:r w:rsidRPr="00BD27F9">
        <w:rPr>
          <w:color w:val="231F20"/>
          <w:sz w:val="18"/>
          <w:szCs w:val="18"/>
        </w:rPr>
        <w:t>cent</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sites</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99.6</w:t>
      </w:r>
      <w:r w:rsidRPr="00BD27F9">
        <w:rPr>
          <w:color w:val="231F20"/>
          <w:spacing w:val="-1"/>
          <w:sz w:val="18"/>
          <w:szCs w:val="18"/>
        </w:rPr>
        <w:t xml:space="preserve"> </w:t>
      </w:r>
      <w:r w:rsidRPr="00BD27F9">
        <w:rPr>
          <w:color w:val="231F20"/>
          <w:sz w:val="18"/>
          <w:szCs w:val="18"/>
        </w:rPr>
        <w:t>per</w:t>
      </w:r>
      <w:r w:rsidRPr="00BD27F9">
        <w:rPr>
          <w:color w:val="231F20"/>
          <w:spacing w:val="-1"/>
          <w:sz w:val="18"/>
          <w:szCs w:val="18"/>
        </w:rPr>
        <w:t xml:space="preserve"> </w:t>
      </w:r>
      <w:r w:rsidRPr="00BD27F9">
        <w:rPr>
          <w:color w:val="231F20"/>
          <w:sz w:val="18"/>
          <w:szCs w:val="18"/>
        </w:rPr>
        <w:t>cent</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Victoria</w:t>
      </w:r>
      <w:r w:rsidRPr="00BD27F9">
        <w:rPr>
          <w:color w:val="231F20"/>
          <w:spacing w:val="-1"/>
          <w:sz w:val="18"/>
          <w:szCs w:val="18"/>
        </w:rPr>
        <w:t xml:space="preserve"> </w:t>
      </w:r>
      <w:r w:rsidRPr="00BD27F9">
        <w:rPr>
          <w:color w:val="231F20"/>
          <w:sz w:val="18"/>
          <w:szCs w:val="18"/>
        </w:rPr>
        <w:t>Police</w:t>
      </w:r>
      <w:r w:rsidRPr="00BD27F9">
        <w:rPr>
          <w:color w:val="231F20"/>
          <w:spacing w:val="-1"/>
          <w:sz w:val="18"/>
          <w:szCs w:val="18"/>
        </w:rPr>
        <w:t xml:space="preserve"> </w:t>
      </w:r>
      <w:r w:rsidRPr="00BD27F9">
        <w:rPr>
          <w:color w:val="231F20"/>
          <w:sz w:val="18"/>
          <w:szCs w:val="18"/>
        </w:rPr>
        <w:t>FTE.</w:t>
      </w:r>
      <w:r w:rsidRPr="00BD27F9">
        <w:rPr>
          <w:color w:val="231F20"/>
          <w:spacing w:val="-1"/>
          <w:sz w:val="18"/>
          <w:szCs w:val="18"/>
        </w:rPr>
        <w:t xml:space="preserve"> </w:t>
      </w:r>
      <w:r w:rsidRPr="00BD27F9">
        <w:rPr>
          <w:color w:val="231F20"/>
          <w:sz w:val="18"/>
          <w:szCs w:val="18"/>
        </w:rPr>
        <w:t>For</w:t>
      </w:r>
      <w:r w:rsidRPr="00BD27F9">
        <w:rPr>
          <w:color w:val="231F20"/>
          <w:spacing w:val="-1"/>
          <w:sz w:val="18"/>
          <w:szCs w:val="18"/>
        </w:rPr>
        <w:t xml:space="preserve"> </w:t>
      </w:r>
      <w:r w:rsidRPr="00BD27F9">
        <w:rPr>
          <w:color w:val="231F20"/>
          <w:sz w:val="18"/>
          <w:szCs w:val="18"/>
        </w:rPr>
        <w:t>natural</w:t>
      </w:r>
      <w:r w:rsidRPr="00BD27F9">
        <w:rPr>
          <w:color w:val="231F20"/>
          <w:spacing w:val="-1"/>
          <w:sz w:val="18"/>
          <w:szCs w:val="18"/>
        </w:rPr>
        <w:t xml:space="preserve"> </w:t>
      </w:r>
      <w:r w:rsidRPr="00BD27F9">
        <w:rPr>
          <w:color w:val="231F20"/>
          <w:sz w:val="18"/>
          <w:szCs w:val="18"/>
        </w:rPr>
        <w:t>gas,</w:t>
      </w:r>
      <w:r w:rsidRPr="00BD27F9">
        <w:rPr>
          <w:color w:val="231F20"/>
          <w:spacing w:val="-1"/>
          <w:sz w:val="18"/>
          <w:szCs w:val="18"/>
        </w:rPr>
        <w:t xml:space="preserve"> </w:t>
      </w:r>
      <w:r w:rsidRPr="00BD27F9">
        <w:rPr>
          <w:color w:val="231F20"/>
          <w:sz w:val="18"/>
          <w:szCs w:val="18"/>
        </w:rPr>
        <w:t>data</w:t>
      </w:r>
      <w:r w:rsidRPr="00BD27F9">
        <w:rPr>
          <w:color w:val="231F20"/>
          <w:spacing w:val="-1"/>
          <w:sz w:val="18"/>
          <w:szCs w:val="18"/>
        </w:rPr>
        <w:t xml:space="preserve"> </w:t>
      </w:r>
      <w:r w:rsidRPr="00BD27F9">
        <w:rPr>
          <w:color w:val="231F20"/>
          <w:sz w:val="18"/>
          <w:szCs w:val="18"/>
        </w:rPr>
        <w:t>account</w:t>
      </w:r>
      <w:r w:rsidRPr="00BD27F9">
        <w:rPr>
          <w:color w:val="231F20"/>
          <w:spacing w:val="-1"/>
          <w:sz w:val="18"/>
          <w:szCs w:val="18"/>
        </w:rPr>
        <w:t xml:space="preserve"> </w:t>
      </w:r>
      <w:r w:rsidRPr="00BD27F9">
        <w:rPr>
          <w:color w:val="231F20"/>
          <w:sz w:val="18"/>
          <w:szCs w:val="18"/>
        </w:rPr>
        <w:t>for</w:t>
      </w:r>
      <w:r w:rsidRPr="00BD27F9">
        <w:rPr>
          <w:color w:val="231F20"/>
          <w:spacing w:val="-1"/>
          <w:sz w:val="18"/>
          <w:szCs w:val="18"/>
        </w:rPr>
        <w:t xml:space="preserve"> </w:t>
      </w:r>
      <w:r w:rsidRPr="00BD27F9">
        <w:rPr>
          <w:color w:val="231F20"/>
          <w:sz w:val="18"/>
          <w:szCs w:val="18"/>
        </w:rPr>
        <w:t>100</w:t>
      </w:r>
      <w:r w:rsidRPr="00BD27F9">
        <w:rPr>
          <w:color w:val="231F20"/>
          <w:spacing w:val="40"/>
          <w:sz w:val="18"/>
          <w:szCs w:val="18"/>
        </w:rPr>
        <w:t xml:space="preserve"> </w:t>
      </w:r>
      <w:r w:rsidRPr="00BD27F9">
        <w:rPr>
          <w:color w:val="231F20"/>
          <w:sz w:val="18"/>
          <w:szCs w:val="18"/>
        </w:rPr>
        <w:t>per cent of sites that are utilising gas.</w:t>
      </w:r>
    </w:p>
    <w:p w14:paraId="5638D222" w14:textId="77777777" w:rsidR="00345EE3" w:rsidRPr="00BD27F9" w:rsidRDefault="00345EE3">
      <w:pPr>
        <w:pStyle w:val="ListParagraph"/>
        <w:numPr>
          <w:ilvl w:val="0"/>
          <w:numId w:val="58"/>
        </w:numPr>
        <w:tabs>
          <w:tab w:val="left" w:pos="338"/>
        </w:tabs>
        <w:spacing w:before="26"/>
        <w:ind w:right="969"/>
        <w:rPr>
          <w:sz w:val="18"/>
          <w:szCs w:val="18"/>
        </w:rPr>
      </w:pPr>
      <w:r w:rsidRPr="00BD27F9">
        <w:rPr>
          <w:color w:val="231F20"/>
          <w:sz w:val="18"/>
          <w:szCs w:val="18"/>
        </w:rPr>
        <w:t>(E1) Gas increase – In previous years data for gas consumption at the former VPC on Flinders Street were unavailable and an extrapolated result was not</w:t>
      </w:r>
      <w:r w:rsidRPr="00BD27F9">
        <w:rPr>
          <w:color w:val="231F20"/>
          <w:spacing w:val="40"/>
          <w:sz w:val="18"/>
          <w:szCs w:val="18"/>
        </w:rPr>
        <w:t xml:space="preserve"> </w:t>
      </w:r>
      <w:r w:rsidRPr="00BD27F9">
        <w:rPr>
          <w:color w:val="231F20"/>
          <w:sz w:val="18"/>
          <w:szCs w:val="18"/>
        </w:rPr>
        <w:t>reported.</w:t>
      </w:r>
      <w:r w:rsidRPr="00BD27F9">
        <w:rPr>
          <w:color w:val="231F20"/>
          <w:spacing w:val="-1"/>
          <w:sz w:val="18"/>
          <w:szCs w:val="18"/>
        </w:rPr>
        <w:t xml:space="preserve"> </w:t>
      </w:r>
      <w:r w:rsidRPr="00BD27F9">
        <w:rPr>
          <w:color w:val="231F20"/>
          <w:sz w:val="18"/>
          <w:szCs w:val="18"/>
        </w:rPr>
        <w:t>Data</w:t>
      </w:r>
      <w:r w:rsidRPr="00BD27F9">
        <w:rPr>
          <w:color w:val="231F20"/>
          <w:spacing w:val="-1"/>
          <w:sz w:val="18"/>
          <w:szCs w:val="18"/>
        </w:rPr>
        <w:t xml:space="preserve"> </w:t>
      </w:r>
      <w:r w:rsidRPr="00BD27F9">
        <w:rPr>
          <w:color w:val="231F20"/>
          <w:sz w:val="18"/>
          <w:szCs w:val="18"/>
        </w:rPr>
        <w:t>are</w:t>
      </w:r>
      <w:r w:rsidRPr="00BD27F9">
        <w:rPr>
          <w:color w:val="231F20"/>
          <w:spacing w:val="-1"/>
          <w:sz w:val="18"/>
          <w:szCs w:val="18"/>
        </w:rPr>
        <w:t xml:space="preserve"> </w:t>
      </w:r>
      <w:r w:rsidRPr="00BD27F9">
        <w:rPr>
          <w:color w:val="231F20"/>
          <w:sz w:val="18"/>
          <w:szCs w:val="18"/>
        </w:rPr>
        <w:t>available</w:t>
      </w:r>
      <w:r w:rsidRPr="00BD27F9">
        <w:rPr>
          <w:color w:val="231F20"/>
          <w:spacing w:val="-1"/>
          <w:sz w:val="18"/>
          <w:szCs w:val="18"/>
        </w:rPr>
        <w:t xml:space="preserve"> </w:t>
      </w:r>
      <w:r w:rsidRPr="00BD27F9">
        <w:rPr>
          <w:color w:val="231F20"/>
          <w:sz w:val="18"/>
          <w:szCs w:val="18"/>
        </w:rPr>
        <w:t>for</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new</w:t>
      </w:r>
      <w:r w:rsidRPr="00BD27F9">
        <w:rPr>
          <w:color w:val="231F20"/>
          <w:spacing w:val="-1"/>
          <w:sz w:val="18"/>
          <w:szCs w:val="18"/>
        </w:rPr>
        <w:t xml:space="preserve"> </w:t>
      </w:r>
      <w:r w:rsidRPr="00BD27F9">
        <w:rPr>
          <w:color w:val="231F20"/>
          <w:sz w:val="18"/>
          <w:szCs w:val="18"/>
        </w:rPr>
        <w:t>VPC</w:t>
      </w:r>
      <w:r w:rsidRPr="00BD27F9">
        <w:rPr>
          <w:color w:val="231F20"/>
          <w:spacing w:val="-1"/>
          <w:sz w:val="18"/>
          <w:szCs w:val="18"/>
        </w:rPr>
        <w:t xml:space="preserve"> </w:t>
      </w:r>
      <w:r w:rsidRPr="00BD27F9">
        <w:rPr>
          <w:color w:val="231F20"/>
          <w:sz w:val="18"/>
          <w:szCs w:val="18"/>
        </w:rPr>
        <w:t>on</w:t>
      </w:r>
      <w:r w:rsidRPr="00BD27F9">
        <w:rPr>
          <w:color w:val="231F20"/>
          <w:spacing w:val="-1"/>
          <w:sz w:val="18"/>
          <w:szCs w:val="18"/>
        </w:rPr>
        <w:t xml:space="preserve"> </w:t>
      </w:r>
      <w:r w:rsidRPr="00BD27F9">
        <w:rPr>
          <w:color w:val="231F20"/>
          <w:sz w:val="18"/>
          <w:szCs w:val="18"/>
        </w:rPr>
        <w:t>Spencer</w:t>
      </w:r>
      <w:r w:rsidRPr="00BD27F9">
        <w:rPr>
          <w:color w:val="231F20"/>
          <w:spacing w:val="-1"/>
          <w:sz w:val="18"/>
          <w:szCs w:val="18"/>
        </w:rPr>
        <w:t xml:space="preserve"> </w:t>
      </w:r>
      <w:r w:rsidRPr="00BD27F9">
        <w:rPr>
          <w:color w:val="231F20"/>
          <w:sz w:val="18"/>
          <w:szCs w:val="18"/>
        </w:rPr>
        <w:t>Street.</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VPC</w:t>
      </w:r>
      <w:r w:rsidRPr="00BD27F9">
        <w:rPr>
          <w:color w:val="231F20"/>
          <w:spacing w:val="-1"/>
          <w:sz w:val="18"/>
          <w:szCs w:val="18"/>
        </w:rPr>
        <w:t xml:space="preserve"> </w:t>
      </w:r>
      <w:r w:rsidRPr="00BD27F9">
        <w:rPr>
          <w:color w:val="231F20"/>
          <w:sz w:val="18"/>
          <w:szCs w:val="18"/>
        </w:rPr>
        <w:t>represents</w:t>
      </w:r>
      <w:r w:rsidRPr="00BD27F9">
        <w:rPr>
          <w:color w:val="231F20"/>
          <w:spacing w:val="-1"/>
          <w:sz w:val="18"/>
          <w:szCs w:val="18"/>
        </w:rPr>
        <w:t xml:space="preserve"> </w:t>
      </w:r>
      <w:r w:rsidRPr="00BD27F9">
        <w:rPr>
          <w:color w:val="231F20"/>
          <w:sz w:val="18"/>
          <w:szCs w:val="18"/>
        </w:rPr>
        <w:t>approximately</w:t>
      </w:r>
      <w:r w:rsidRPr="00BD27F9">
        <w:rPr>
          <w:color w:val="231F20"/>
          <w:spacing w:val="-1"/>
          <w:sz w:val="18"/>
          <w:szCs w:val="18"/>
        </w:rPr>
        <w:t xml:space="preserve"> </w:t>
      </w:r>
      <w:r w:rsidRPr="00BD27F9">
        <w:rPr>
          <w:color w:val="231F20"/>
          <w:sz w:val="18"/>
          <w:szCs w:val="18"/>
        </w:rPr>
        <w:t>26</w:t>
      </w:r>
      <w:r w:rsidRPr="00BD27F9">
        <w:rPr>
          <w:color w:val="231F20"/>
          <w:spacing w:val="-1"/>
          <w:sz w:val="18"/>
          <w:szCs w:val="18"/>
        </w:rPr>
        <w:t xml:space="preserve"> </w:t>
      </w:r>
      <w:r w:rsidRPr="00BD27F9">
        <w:rPr>
          <w:color w:val="231F20"/>
          <w:sz w:val="18"/>
          <w:szCs w:val="18"/>
        </w:rPr>
        <w:t>per</w:t>
      </w:r>
      <w:r w:rsidRPr="00BD27F9">
        <w:rPr>
          <w:color w:val="231F20"/>
          <w:spacing w:val="-1"/>
          <w:sz w:val="18"/>
          <w:szCs w:val="18"/>
        </w:rPr>
        <w:t xml:space="preserve"> </w:t>
      </w:r>
      <w:r w:rsidRPr="00BD27F9">
        <w:rPr>
          <w:color w:val="231F20"/>
          <w:sz w:val="18"/>
          <w:szCs w:val="18"/>
        </w:rPr>
        <w:t>cent</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natural</w:t>
      </w:r>
      <w:r w:rsidRPr="00BD27F9">
        <w:rPr>
          <w:color w:val="231F20"/>
          <w:spacing w:val="-1"/>
          <w:sz w:val="18"/>
          <w:szCs w:val="18"/>
        </w:rPr>
        <w:t xml:space="preserve"> </w:t>
      </w:r>
      <w:r w:rsidRPr="00BD27F9">
        <w:rPr>
          <w:color w:val="231F20"/>
          <w:sz w:val="18"/>
          <w:szCs w:val="18"/>
        </w:rPr>
        <w:t>gas</w:t>
      </w:r>
      <w:r w:rsidRPr="00BD27F9">
        <w:rPr>
          <w:color w:val="231F20"/>
          <w:spacing w:val="-1"/>
          <w:sz w:val="18"/>
          <w:szCs w:val="18"/>
        </w:rPr>
        <w:t xml:space="preserve"> </w:t>
      </w:r>
      <w:r w:rsidRPr="00BD27F9">
        <w:rPr>
          <w:color w:val="231F20"/>
          <w:sz w:val="18"/>
          <w:szCs w:val="18"/>
        </w:rPr>
        <w:t>consumption</w:t>
      </w:r>
      <w:r w:rsidRPr="00BD27F9">
        <w:rPr>
          <w:color w:val="231F20"/>
          <w:spacing w:val="-1"/>
          <w:sz w:val="18"/>
          <w:szCs w:val="18"/>
        </w:rPr>
        <w:t xml:space="preserve"> </w:t>
      </w:r>
      <w:r w:rsidRPr="00BD27F9">
        <w:rPr>
          <w:color w:val="231F20"/>
          <w:sz w:val="18"/>
          <w:szCs w:val="18"/>
        </w:rPr>
        <w:t>in</w:t>
      </w:r>
      <w:r w:rsidRPr="00BD27F9">
        <w:rPr>
          <w:color w:val="231F20"/>
          <w:spacing w:val="-1"/>
          <w:sz w:val="18"/>
          <w:szCs w:val="18"/>
        </w:rPr>
        <w:t xml:space="preserve"> </w:t>
      </w:r>
      <w:r w:rsidRPr="00BD27F9">
        <w:rPr>
          <w:color w:val="231F20"/>
          <w:sz w:val="18"/>
          <w:szCs w:val="18"/>
        </w:rPr>
        <w:t>2021–22,</w:t>
      </w:r>
      <w:r w:rsidRPr="00BD27F9">
        <w:rPr>
          <w:color w:val="231F20"/>
          <w:spacing w:val="-1"/>
          <w:sz w:val="18"/>
          <w:szCs w:val="18"/>
        </w:rPr>
        <w:t xml:space="preserve"> </w:t>
      </w:r>
      <w:r w:rsidRPr="00BD27F9">
        <w:rPr>
          <w:color w:val="231F20"/>
          <w:sz w:val="18"/>
          <w:szCs w:val="18"/>
        </w:rPr>
        <w:t>which</w:t>
      </w:r>
      <w:r w:rsidRPr="00BD27F9">
        <w:rPr>
          <w:color w:val="231F20"/>
          <w:spacing w:val="40"/>
          <w:sz w:val="18"/>
          <w:szCs w:val="18"/>
        </w:rPr>
        <w:t xml:space="preserve"> </w:t>
      </w:r>
      <w:r w:rsidRPr="00BD27F9">
        <w:rPr>
          <w:color w:val="231F20"/>
          <w:sz w:val="18"/>
          <w:szCs w:val="18"/>
        </w:rPr>
        <w:t>powers a co-generation plant.</w:t>
      </w:r>
    </w:p>
    <w:p w14:paraId="5CE2549E" w14:textId="77777777" w:rsidR="00345EE3" w:rsidRPr="00BD27F9" w:rsidRDefault="00345EE3">
      <w:pPr>
        <w:pStyle w:val="ListParagraph"/>
        <w:numPr>
          <w:ilvl w:val="0"/>
          <w:numId w:val="58"/>
        </w:numPr>
        <w:tabs>
          <w:tab w:val="left" w:pos="338"/>
        </w:tabs>
        <w:spacing w:before="25"/>
        <w:ind w:right="1044"/>
        <w:rPr>
          <w:sz w:val="18"/>
          <w:szCs w:val="18"/>
        </w:rPr>
      </w:pPr>
      <w:r w:rsidRPr="00BD27F9">
        <w:rPr>
          <w:color w:val="231F20"/>
          <w:sz w:val="18"/>
          <w:szCs w:val="18"/>
        </w:rPr>
        <w:t>(E4)</w:t>
      </w:r>
      <w:r w:rsidRPr="00BD27F9">
        <w:rPr>
          <w:color w:val="231F20"/>
          <w:spacing w:val="-3"/>
          <w:sz w:val="18"/>
          <w:szCs w:val="18"/>
        </w:rPr>
        <w:t xml:space="preserve"> </w:t>
      </w:r>
      <w:r w:rsidRPr="00BD27F9">
        <w:rPr>
          <w:color w:val="231F20"/>
          <w:sz w:val="18"/>
          <w:szCs w:val="18"/>
        </w:rPr>
        <w:t>energy</w:t>
      </w:r>
      <w:r w:rsidRPr="00BD27F9">
        <w:rPr>
          <w:color w:val="231F20"/>
          <w:spacing w:val="-3"/>
          <w:sz w:val="18"/>
          <w:szCs w:val="18"/>
        </w:rPr>
        <w:t xml:space="preserve"> </w:t>
      </w:r>
      <w:r w:rsidRPr="00BD27F9">
        <w:rPr>
          <w:color w:val="231F20"/>
          <w:sz w:val="18"/>
          <w:szCs w:val="18"/>
        </w:rPr>
        <w:t>usage</w:t>
      </w:r>
      <w:r w:rsidRPr="00BD27F9">
        <w:rPr>
          <w:color w:val="231F20"/>
          <w:spacing w:val="-3"/>
          <w:sz w:val="18"/>
          <w:szCs w:val="18"/>
        </w:rPr>
        <w:t xml:space="preserve"> </w:t>
      </w:r>
      <w:r w:rsidRPr="00BD27F9">
        <w:rPr>
          <w:color w:val="231F20"/>
          <w:sz w:val="18"/>
          <w:szCs w:val="18"/>
        </w:rPr>
        <w:t>–</w:t>
      </w:r>
      <w:r w:rsidRPr="00BD27F9">
        <w:rPr>
          <w:color w:val="231F20"/>
          <w:spacing w:val="-3"/>
          <w:sz w:val="18"/>
          <w:szCs w:val="18"/>
        </w:rPr>
        <w:t xml:space="preserve"> </w:t>
      </w:r>
      <w:r w:rsidRPr="00BD27F9">
        <w:rPr>
          <w:color w:val="231F20"/>
          <w:sz w:val="18"/>
          <w:szCs w:val="18"/>
        </w:rPr>
        <w:t>Indicator</w:t>
      </w:r>
      <w:r w:rsidRPr="00BD27F9">
        <w:rPr>
          <w:color w:val="231F20"/>
          <w:spacing w:val="-3"/>
          <w:sz w:val="18"/>
          <w:szCs w:val="18"/>
        </w:rPr>
        <w:t xml:space="preserve"> </w:t>
      </w:r>
      <w:r w:rsidRPr="00BD27F9">
        <w:rPr>
          <w:color w:val="231F20"/>
          <w:sz w:val="18"/>
          <w:szCs w:val="18"/>
        </w:rPr>
        <w:t>E4</w:t>
      </w:r>
      <w:r w:rsidRPr="00BD27F9">
        <w:rPr>
          <w:color w:val="231F20"/>
          <w:spacing w:val="-3"/>
          <w:sz w:val="18"/>
          <w:szCs w:val="18"/>
        </w:rPr>
        <w:t xml:space="preserve"> </w:t>
      </w:r>
      <w:r w:rsidRPr="00BD27F9">
        <w:rPr>
          <w:color w:val="231F20"/>
          <w:sz w:val="18"/>
          <w:szCs w:val="18"/>
        </w:rPr>
        <w:t>shows</w:t>
      </w:r>
      <w:r w:rsidRPr="00BD27F9">
        <w:rPr>
          <w:color w:val="231F20"/>
          <w:spacing w:val="-3"/>
          <w:sz w:val="18"/>
          <w:szCs w:val="18"/>
        </w:rPr>
        <w:t xml:space="preserve"> </w:t>
      </w:r>
      <w:r w:rsidRPr="00BD27F9">
        <w:rPr>
          <w:color w:val="231F20"/>
          <w:sz w:val="18"/>
          <w:szCs w:val="18"/>
        </w:rPr>
        <w:t>an</w:t>
      </w:r>
      <w:r w:rsidRPr="00BD27F9">
        <w:rPr>
          <w:color w:val="231F20"/>
          <w:spacing w:val="-3"/>
          <w:sz w:val="18"/>
          <w:szCs w:val="18"/>
        </w:rPr>
        <w:t xml:space="preserve"> </w:t>
      </w:r>
      <w:r w:rsidRPr="00BD27F9">
        <w:rPr>
          <w:color w:val="231F20"/>
          <w:sz w:val="18"/>
          <w:szCs w:val="18"/>
        </w:rPr>
        <w:t>increase</w:t>
      </w:r>
      <w:r w:rsidRPr="00BD27F9">
        <w:rPr>
          <w:color w:val="231F20"/>
          <w:spacing w:val="-3"/>
          <w:sz w:val="18"/>
          <w:szCs w:val="18"/>
        </w:rPr>
        <w:t xml:space="preserve"> </w:t>
      </w:r>
      <w:r w:rsidRPr="00BD27F9">
        <w:rPr>
          <w:color w:val="231F20"/>
          <w:sz w:val="18"/>
          <w:szCs w:val="18"/>
        </w:rPr>
        <w:t>in</w:t>
      </w:r>
      <w:r w:rsidRPr="00BD27F9">
        <w:rPr>
          <w:color w:val="231F20"/>
          <w:spacing w:val="-3"/>
          <w:sz w:val="18"/>
          <w:szCs w:val="18"/>
        </w:rPr>
        <w:t xml:space="preserve"> </w:t>
      </w:r>
      <w:r w:rsidRPr="00BD27F9">
        <w:rPr>
          <w:color w:val="231F20"/>
          <w:sz w:val="18"/>
          <w:szCs w:val="18"/>
        </w:rPr>
        <w:t>all</w:t>
      </w:r>
      <w:r w:rsidRPr="00BD27F9">
        <w:rPr>
          <w:color w:val="231F20"/>
          <w:spacing w:val="-3"/>
          <w:sz w:val="18"/>
          <w:szCs w:val="18"/>
        </w:rPr>
        <w:t xml:space="preserve"> </w:t>
      </w:r>
      <w:r w:rsidRPr="00BD27F9">
        <w:rPr>
          <w:color w:val="231F20"/>
          <w:sz w:val="18"/>
          <w:szCs w:val="18"/>
        </w:rPr>
        <w:t>energy</w:t>
      </w:r>
      <w:r w:rsidRPr="00BD27F9">
        <w:rPr>
          <w:color w:val="231F20"/>
          <w:spacing w:val="-3"/>
          <w:sz w:val="18"/>
          <w:szCs w:val="18"/>
        </w:rPr>
        <w:t xml:space="preserve"> </w:t>
      </w:r>
      <w:r w:rsidRPr="00BD27F9">
        <w:rPr>
          <w:color w:val="231F20"/>
          <w:sz w:val="18"/>
          <w:szCs w:val="18"/>
        </w:rPr>
        <w:t>used</w:t>
      </w:r>
      <w:r w:rsidRPr="00BD27F9">
        <w:rPr>
          <w:color w:val="231F20"/>
          <w:spacing w:val="-3"/>
          <w:sz w:val="18"/>
          <w:szCs w:val="18"/>
        </w:rPr>
        <w:t xml:space="preserve"> </w:t>
      </w:r>
      <w:r w:rsidRPr="00BD27F9">
        <w:rPr>
          <w:color w:val="231F20"/>
          <w:sz w:val="18"/>
          <w:szCs w:val="18"/>
        </w:rPr>
        <w:t>per</w:t>
      </w:r>
      <w:r w:rsidRPr="00BD27F9">
        <w:rPr>
          <w:color w:val="231F20"/>
          <w:spacing w:val="-3"/>
          <w:sz w:val="18"/>
          <w:szCs w:val="18"/>
        </w:rPr>
        <w:t xml:space="preserve"> </w:t>
      </w:r>
      <w:r w:rsidRPr="00BD27F9">
        <w:rPr>
          <w:color w:val="231F20"/>
          <w:sz w:val="18"/>
          <w:szCs w:val="18"/>
        </w:rPr>
        <w:t>FTE,</w:t>
      </w:r>
      <w:r w:rsidRPr="00BD27F9">
        <w:rPr>
          <w:color w:val="231F20"/>
          <w:spacing w:val="-3"/>
          <w:sz w:val="18"/>
          <w:szCs w:val="18"/>
        </w:rPr>
        <w:t xml:space="preserve"> </w:t>
      </w:r>
      <w:r w:rsidRPr="00BD27F9">
        <w:rPr>
          <w:color w:val="231F20"/>
          <w:sz w:val="18"/>
          <w:szCs w:val="18"/>
        </w:rPr>
        <w:t>when</w:t>
      </w:r>
      <w:r w:rsidRPr="00BD27F9">
        <w:rPr>
          <w:color w:val="231F20"/>
          <w:spacing w:val="-3"/>
          <w:sz w:val="18"/>
          <w:szCs w:val="18"/>
        </w:rPr>
        <w:t xml:space="preserve"> </w:t>
      </w:r>
      <w:r w:rsidRPr="00BD27F9">
        <w:rPr>
          <w:color w:val="231F20"/>
          <w:sz w:val="18"/>
          <w:szCs w:val="18"/>
        </w:rPr>
        <w:t>green</w:t>
      </w:r>
      <w:r w:rsidRPr="00BD27F9">
        <w:rPr>
          <w:color w:val="231F20"/>
          <w:spacing w:val="-3"/>
          <w:sz w:val="18"/>
          <w:szCs w:val="18"/>
        </w:rPr>
        <w:t xml:space="preserve"> </w:t>
      </w:r>
      <w:r w:rsidRPr="00BD27F9">
        <w:rPr>
          <w:color w:val="231F20"/>
          <w:sz w:val="18"/>
          <w:szCs w:val="18"/>
        </w:rPr>
        <w:t>power</w:t>
      </w:r>
      <w:r w:rsidRPr="00BD27F9">
        <w:rPr>
          <w:color w:val="231F20"/>
          <w:spacing w:val="-3"/>
          <w:sz w:val="18"/>
          <w:szCs w:val="18"/>
        </w:rPr>
        <w:t xml:space="preserve"> </w:t>
      </w:r>
      <w:r w:rsidRPr="00BD27F9">
        <w:rPr>
          <w:color w:val="231F20"/>
          <w:sz w:val="18"/>
          <w:szCs w:val="18"/>
        </w:rPr>
        <w:t>is</w:t>
      </w:r>
      <w:r w:rsidRPr="00BD27F9">
        <w:rPr>
          <w:color w:val="231F20"/>
          <w:spacing w:val="-3"/>
          <w:sz w:val="18"/>
          <w:szCs w:val="18"/>
        </w:rPr>
        <w:t xml:space="preserve"> </w:t>
      </w:r>
      <w:r w:rsidRPr="00BD27F9">
        <w:rPr>
          <w:color w:val="231F20"/>
          <w:sz w:val="18"/>
          <w:szCs w:val="18"/>
        </w:rPr>
        <w:t>excluded</w:t>
      </w:r>
      <w:r w:rsidRPr="00BD27F9">
        <w:rPr>
          <w:color w:val="231F20"/>
          <w:spacing w:val="-3"/>
          <w:sz w:val="18"/>
          <w:szCs w:val="18"/>
        </w:rPr>
        <w:t xml:space="preserve"> </w:t>
      </w:r>
      <w:r w:rsidRPr="00BD27F9">
        <w:rPr>
          <w:color w:val="231F20"/>
          <w:sz w:val="18"/>
          <w:szCs w:val="18"/>
        </w:rPr>
        <w:t>from</w:t>
      </w:r>
      <w:r w:rsidRPr="00BD27F9">
        <w:rPr>
          <w:color w:val="231F20"/>
          <w:spacing w:val="-3"/>
          <w:sz w:val="18"/>
          <w:szCs w:val="18"/>
        </w:rPr>
        <w:t xml:space="preserve"> </w:t>
      </w:r>
      <w:r w:rsidRPr="00BD27F9">
        <w:rPr>
          <w:color w:val="231F20"/>
          <w:sz w:val="18"/>
          <w:szCs w:val="18"/>
        </w:rPr>
        <w:t>that</w:t>
      </w:r>
      <w:r w:rsidRPr="00BD27F9">
        <w:rPr>
          <w:color w:val="231F20"/>
          <w:spacing w:val="-3"/>
          <w:sz w:val="18"/>
          <w:szCs w:val="18"/>
        </w:rPr>
        <w:t xml:space="preserve"> </w:t>
      </w:r>
      <w:r w:rsidRPr="00BD27F9">
        <w:rPr>
          <w:color w:val="231F20"/>
          <w:sz w:val="18"/>
          <w:szCs w:val="18"/>
        </w:rPr>
        <w:t>energy</w:t>
      </w:r>
      <w:r w:rsidRPr="00BD27F9">
        <w:rPr>
          <w:color w:val="231F20"/>
          <w:spacing w:val="-3"/>
          <w:sz w:val="18"/>
          <w:szCs w:val="18"/>
        </w:rPr>
        <w:t xml:space="preserve"> </w:t>
      </w:r>
      <w:r w:rsidRPr="00BD27F9">
        <w:rPr>
          <w:color w:val="231F20"/>
          <w:sz w:val="18"/>
          <w:szCs w:val="18"/>
        </w:rPr>
        <w:t>the</w:t>
      </w:r>
      <w:r w:rsidRPr="00BD27F9">
        <w:rPr>
          <w:color w:val="231F20"/>
          <w:spacing w:val="-3"/>
          <w:sz w:val="18"/>
          <w:szCs w:val="18"/>
        </w:rPr>
        <w:t xml:space="preserve"> </w:t>
      </w:r>
      <w:r w:rsidRPr="00BD27F9">
        <w:rPr>
          <w:color w:val="231F20"/>
          <w:sz w:val="18"/>
          <w:szCs w:val="18"/>
        </w:rPr>
        <w:t>indicator</w:t>
      </w:r>
      <w:r w:rsidRPr="00BD27F9">
        <w:rPr>
          <w:color w:val="231F20"/>
          <w:spacing w:val="-3"/>
          <w:sz w:val="18"/>
          <w:szCs w:val="18"/>
        </w:rPr>
        <w:t xml:space="preserve"> </w:t>
      </w:r>
      <w:r w:rsidRPr="00BD27F9">
        <w:rPr>
          <w:color w:val="231F20"/>
          <w:sz w:val="18"/>
          <w:szCs w:val="18"/>
        </w:rPr>
        <w:t>would</w:t>
      </w:r>
      <w:r w:rsidRPr="00BD27F9">
        <w:rPr>
          <w:color w:val="231F20"/>
          <w:spacing w:val="-3"/>
          <w:sz w:val="18"/>
          <w:szCs w:val="18"/>
        </w:rPr>
        <w:t xml:space="preserve"> </w:t>
      </w:r>
      <w:r w:rsidRPr="00BD27F9">
        <w:rPr>
          <w:color w:val="231F20"/>
          <w:sz w:val="18"/>
          <w:szCs w:val="18"/>
        </w:rPr>
        <w:t>be</w:t>
      </w:r>
      <w:r w:rsidRPr="00BD27F9">
        <w:rPr>
          <w:color w:val="231F20"/>
          <w:spacing w:val="-3"/>
          <w:sz w:val="18"/>
          <w:szCs w:val="18"/>
        </w:rPr>
        <w:t xml:space="preserve"> </w:t>
      </w:r>
      <w:r w:rsidRPr="00BD27F9">
        <w:rPr>
          <w:color w:val="231F20"/>
          <w:sz w:val="18"/>
          <w:szCs w:val="18"/>
        </w:rPr>
        <w:t>17,511</w:t>
      </w:r>
      <w:r w:rsidRPr="00BD27F9">
        <w:rPr>
          <w:color w:val="231F20"/>
          <w:spacing w:val="40"/>
          <w:sz w:val="18"/>
          <w:szCs w:val="18"/>
        </w:rPr>
        <w:t xml:space="preserve"> </w:t>
      </w:r>
      <w:r w:rsidRPr="00BD27F9">
        <w:rPr>
          <w:color w:val="231F20"/>
          <w:sz w:val="18"/>
          <w:szCs w:val="18"/>
        </w:rPr>
        <w:t>MJ/FTE for 2021–22 and in 2020–21 was 17,084 MJ/FTE.</w:t>
      </w:r>
    </w:p>
    <w:p w14:paraId="71D50B4F" w14:textId="77777777" w:rsidR="00345EE3" w:rsidRPr="00BD27F9" w:rsidRDefault="00345EE3">
      <w:pPr>
        <w:pStyle w:val="ListParagraph"/>
        <w:numPr>
          <w:ilvl w:val="0"/>
          <w:numId w:val="58"/>
        </w:numPr>
        <w:tabs>
          <w:tab w:val="left" w:pos="338"/>
        </w:tabs>
        <w:spacing w:before="27"/>
        <w:ind w:hanging="228"/>
        <w:rPr>
          <w:sz w:val="18"/>
          <w:szCs w:val="18"/>
        </w:rPr>
      </w:pPr>
      <w:r w:rsidRPr="00BD27F9">
        <w:rPr>
          <w:color w:val="231F20"/>
          <w:sz w:val="18"/>
          <w:szCs w:val="18"/>
        </w:rPr>
        <w:t>A</w:t>
      </w:r>
      <w:r w:rsidRPr="00BD27F9">
        <w:rPr>
          <w:color w:val="231F20"/>
          <w:spacing w:val="-2"/>
          <w:sz w:val="18"/>
          <w:szCs w:val="18"/>
        </w:rPr>
        <w:t xml:space="preserve"> </w:t>
      </w:r>
      <w:r w:rsidRPr="00BD27F9">
        <w:rPr>
          <w:color w:val="231F20"/>
          <w:sz w:val="18"/>
          <w:szCs w:val="18"/>
        </w:rPr>
        <w:t>direct</w:t>
      </w:r>
      <w:r w:rsidRPr="00BD27F9">
        <w:rPr>
          <w:color w:val="231F20"/>
          <w:spacing w:val="-1"/>
          <w:sz w:val="18"/>
          <w:szCs w:val="18"/>
        </w:rPr>
        <w:t xml:space="preserve"> </w:t>
      </w:r>
      <w:r w:rsidRPr="00BD27F9">
        <w:rPr>
          <w:color w:val="231F20"/>
          <w:sz w:val="18"/>
          <w:szCs w:val="18"/>
        </w:rPr>
        <w:t>comparison</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consumption</w:t>
      </w:r>
      <w:r w:rsidRPr="00BD27F9">
        <w:rPr>
          <w:color w:val="231F20"/>
          <w:spacing w:val="-2"/>
          <w:sz w:val="18"/>
          <w:szCs w:val="18"/>
        </w:rPr>
        <w:t xml:space="preserve"> </w:t>
      </w:r>
      <w:r w:rsidRPr="00BD27F9">
        <w:rPr>
          <w:color w:val="231F20"/>
          <w:sz w:val="18"/>
          <w:szCs w:val="18"/>
        </w:rPr>
        <w:t>across</w:t>
      </w:r>
      <w:r w:rsidRPr="00BD27F9">
        <w:rPr>
          <w:color w:val="231F20"/>
          <w:spacing w:val="-1"/>
          <w:sz w:val="18"/>
          <w:szCs w:val="18"/>
        </w:rPr>
        <w:t xml:space="preserve"> </w:t>
      </w:r>
      <w:r w:rsidRPr="00BD27F9">
        <w:rPr>
          <w:color w:val="231F20"/>
          <w:sz w:val="18"/>
          <w:szCs w:val="18"/>
        </w:rPr>
        <w:t>years</w:t>
      </w:r>
      <w:r w:rsidRPr="00BD27F9">
        <w:rPr>
          <w:color w:val="231F20"/>
          <w:spacing w:val="-1"/>
          <w:sz w:val="18"/>
          <w:szCs w:val="18"/>
        </w:rPr>
        <w:t xml:space="preserve"> </w:t>
      </w:r>
      <w:r w:rsidRPr="00BD27F9">
        <w:rPr>
          <w:color w:val="231F20"/>
          <w:sz w:val="18"/>
          <w:szCs w:val="18"/>
        </w:rPr>
        <w:t>should</w:t>
      </w:r>
      <w:r w:rsidRPr="00BD27F9">
        <w:rPr>
          <w:color w:val="231F20"/>
          <w:spacing w:val="-1"/>
          <w:sz w:val="18"/>
          <w:szCs w:val="18"/>
        </w:rPr>
        <w:t xml:space="preserve"> </w:t>
      </w:r>
      <w:r w:rsidRPr="00BD27F9">
        <w:rPr>
          <w:color w:val="231F20"/>
          <w:sz w:val="18"/>
          <w:szCs w:val="18"/>
        </w:rPr>
        <w:t>not</w:t>
      </w:r>
      <w:r w:rsidRPr="00BD27F9">
        <w:rPr>
          <w:color w:val="231F20"/>
          <w:spacing w:val="-2"/>
          <w:sz w:val="18"/>
          <w:szCs w:val="18"/>
        </w:rPr>
        <w:t xml:space="preserve"> </w:t>
      </w:r>
      <w:r w:rsidRPr="00BD27F9">
        <w:rPr>
          <w:color w:val="231F20"/>
          <w:sz w:val="18"/>
          <w:szCs w:val="18"/>
        </w:rPr>
        <w:t>be</w:t>
      </w:r>
      <w:r w:rsidRPr="00BD27F9">
        <w:rPr>
          <w:color w:val="231F20"/>
          <w:spacing w:val="-1"/>
          <w:sz w:val="18"/>
          <w:szCs w:val="18"/>
        </w:rPr>
        <w:t xml:space="preserve"> </w:t>
      </w:r>
      <w:r w:rsidRPr="00BD27F9">
        <w:rPr>
          <w:color w:val="231F20"/>
          <w:sz w:val="18"/>
          <w:szCs w:val="18"/>
        </w:rPr>
        <w:t>made</w:t>
      </w:r>
      <w:r w:rsidRPr="00BD27F9">
        <w:rPr>
          <w:color w:val="231F20"/>
          <w:spacing w:val="-1"/>
          <w:sz w:val="18"/>
          <w:szCs w:val="18"/>
        </w:rPr>
        <w:t xml:space="preserve"> </w:t>
      </w:r>
      <w:r w:rsidRPr="00BD27F9">
        <w:rPr>
          <w:color w:val="231F20"/>
          <w:sz w:val="18"/>
          <w:szCs w:val="18"/>
        </w:rPr>
        <w:t>due</w:t>
      </w:r>
      <w:r w:rsidRPr="00BD27F9">
        <w:rPr>
          <w:color w:val="231F20"/>
          <w:spacing w:val="-1"/>
          <w:sz w:val="18"/>
          <w:szCs w:val="18"/>
        </w:rPr>
        <w:t xml:space="preserve"> </w:t>
      </w:r>
      <w:r w:rsidRPr="00BD27F9">
        <w:rPr>
          <w:color w:val="231F20"/>
          <w:sz w:val="18"/>
          <w:szCs w:val="18"/>
        </w:rPr>
        <w:t>to</w:t>
      </w:r>
      <w:r w:rsidRPr="00BD27F9">
        <w:rPr>
          <w:color w:val="231F20"/>
          <w:spacing w:val="-2"/>
          <w:sz w:val="18"/>
          <w:szCs w:val="18"/>
        </w:rPr>
        <w:t xml:space="preserve"> </w:t>
      </w:r>
      <w:r w:rsidRPr="00BD27F9">
        <w:rPr>
          <w:color w:val="231F20"/>
          <w:sz w:val="18"/>
          <w:szCs w:val="18"/>
        </w:rPr>
        <w:t>these</w:t>
      </w:r>
      <w:r w:rsidRPr="00BD27F9">
        <w:rPr>
          <w:color w:val="231F20"/>
          <w:spacing w:val="-1"/>
          <w:sz w:val="18"/>
          <w:szCs w:val="18"/>
        </w:rPr>
        <w:t xml:space="preserve"> </w:t>
      </w:r>
      <w:r w:rsidRPr="00BD27F9">
        <w:rPr>
          <w:color w:val="231F20"/>
          <w:sz w:val="18"/>
          <w:szCs w:val="18"/>
        </w:rPr>
        <w:t>changes</w:t>
      </w:r>
      <w:r w:rsidRPr="00BD27F9">
        <w:rPr>
          <w:color w:val="231F20"/>
          <w:spacing w:val="-1"/>
          <w:sz w:val="18"/>
          <w:szCs w:val="18"/>
        </w:rPr>
        <w:t xml:space="preserve"> </w:t>
      </w:r>
      <w:r w:rsidRPr="00BD27F9">
        <w:rPr>
          <w:color w:val="231F20"/>
          <w:sz w:val="18"/>
          <w:szCs w:val="18"/>
        </w:rPr>
        <w:t>in</w:t>
      </w:r>
      <w:r w:rsidRPr="00BD27F9">
        <w:rPr>
          <w:color w:val="231F20"/>
          <w:spacing w:val="-1"/>
          <w:sz w:val="18"/>
          <w:szCs w:val="18"/>
        </w:rPr>
        <w:t xml:space="preserve"> </w:t>
      </w:r>
      <w:r w:rsidRPr="00BD27F9">
        <w:rPr>
          <w:color w:val="231F20"/>
          <w:spacing w:val="-2"/>
          <w:sz w:val="18"/>
          <w:szCs w:val="18"/>
        </w:rPr>
        <w:t>coverage.</w:t>
      </w:r>
    </w:p>
    <w:p w14:paraId="151FD4B5" w14:textId="77777777" w:rsidR="00345EE3" w:rsidRDefault="00345EE3" w:rsidP="00345EE3">
      <w:pPr>
        <w:rPr>
          <w:b/>
          <w:bCs/>
          <w:color w:val="58595B"/>
          <w:sz w:val="24"/>
          <w:szCs w:val="24"/>
        </w:rPr>
      </w:pPr>
      <w:r>
        <w:rPr>
          <w:color w:val="58595B"/>
        </w:rPr>
        <w:br w:type="page"/>
      </w:r>
    </w:p>
    <w:p w14:paraId="012FD2BD" w14:textId="77777777" w:rsidR="00345EE3" w:rsidRDefault="00345EE3" w:rsidP="00345EE3">
      <w:pPr>
        <w:pStyle w:val="Heading5"/>
        <w:spacing w:before="110"/>
      </w:pPr>
      <w:r>
        <w:rPr>
          <w:color w:val="58595B"/>
        </w:rPr>
        <w:t>Actions</w:t>
      </w:r>
      <w:r>
        <w:rPr>
          <w:color w:val="58595B"/>
          <w:spacing w:val="-3"/>
        </w:rPr>
        <w:t xml:space="preserve"> </w:t>
      </w:r>
      <w:r>
        <w:rPr>
          <w:color w:val="58595B"/>
        </w:rPr>
        <w:t>undertaken</w:t>
      </w:r>
      <w:r>
        <w:rPr>
          <w:color w:val="58595B"/>
          <w:spacing w:val="-2"/>
        </w:rPr>
        <w:t xml:space="preserve"> </w:t>
      </w:r>
      <w:r>
        <w:rPr>
          <w:color w:val="58595B"/>
        </w:rPr>
        <w:t>during</w:t>
      </w:r>
      <w:r>
        <w:rPr>
          <w:color w:val="58595B"/>
          <w:spacing w:val="-2"/>
        </w:rPr>
        <w:t xml:space="preserve"> 2021–22</w:t>
      </w:r>
    </w:p>
    <w:p w14:paraId="22B44BDE" w14:textId="77777777" w:rsidR="00345EE3" w:rsidRDefault="00345EE3">
      <w:pPr>
        <w:pStyle w:val="ListParagraph"/>
        <w:numPr>
          <w:ilvl w:val="1"/>
          <w:numId w:val="58"/>
        </w:numPr>
        <w:tabs>
          <w:tab w:val="left" w:pos="393"/>
          <w:tab w:val="left" w:pos="394"/>
        </w:tabs>
        <w:spacing w:before="4" w:line="242" w:lineRule="auto"/>
        <w:ind w:right="1022"/>
        <w:rPr>
          <w:sz w:val="24"/>
        </w:rPr>
      </w:pPr>
      <w:r>
        <w:rPr>
          <w:color w:val="231F20"/>
          <w:sz w:val="24"/>
        </w:rPr>
        <w:t>The Victoria Police energy audits and lighting upgrades project is in the implementation stage</w:t>
      </w:r>
      <w:r>
        <w:rPr>
          <w:color w:val="231F20"/>
          <w:spacing w:val="-10"/>
          <w:sz w:val="24"/>
        </w:rPr>
        <w:t xml:space="preserve"> </w:t>
      </w:r>
      <w:r>
        <w:rPr>
          <w:color w:val="231F20"/>
          <w:sz w:val="24"/>
        </w:rPr>
        <w:t>and</w:t>
      </w:r>
      <w:r>
        <w:rPr>
          <w:color w:val="231F20"/>
          <w:spacing w:val="-10"/>
          <w:sz w:val="24"/>
        </w:rPr>
        <w:t xml:space="preserve"> </w:t>
      </w:r>
      <w:r>
        <w:rPr>
          <w:color w:val="231F20"/>
          <w:sz w:val="24"/>
        </w:rPr>
        <w:t>will</w:t>
      </w:r>
      <w:r>
        <w:rPr>
          <w:color w:val="231F20"/>
          <w:spacing w:val="-10"/>
          <w:sz w:val="24"/>
        </w:rPr>
        <w:t xml:space="preserve"> </w:t>
      </w:r>
      <w:r>
        <w:rPr>
          <w:color w:val="231F20"/>
          <w:sz w:val="24"/>
        </w:rPr>
        <w:t>improve</w:t>
      </w:r>
      <w:r>
        <w:rPr>
          <w:color w:val="231F20"/>
          <w:spacing w:val="-10"/>
          <w:sz w:val="24"/>
        </w:rPr>
        <w:t xml:space="preserve"> </w:t>
      </w:r>
      <w:r>
        <w:rPr>
          <w:color w:val="231F20"/>
          <w:sz w:val="24"/>
        </w:rPr>
        <w:t>the</w:t>
      </w:r>
      <w:r>
        <w:rPr>
          <w:color w:val="231F20"/>
          <w:spacing w:val="-10"/>
          <w:sz w:val="24"/>
        </w:rPr>
        <w:t xml:space="preserve"> </w:t>
      </w:r>
      <w:r>
        <w:rPr>
          <w:color w:val="231F20"/>
          <w:sz w:val="24"/>
        </w:rPr>
        <w:t>energy</w:t>
      </w:r>
      <w:r>
        <w:rPr>
          <w:color w:val="231F20"/>
          <w:spacing w:val="-9"/>
          <w:sz w:val="24"/>
        </w:rPr>
        <w:t xml:space="preserve"> </w:t>
      </w:r>
      <w:r>
        <w:rPr>
          <w:color w:val="231F20"/>
          <w:sz w:val="24"/>
        </w:rPr>
        <w:t>efficiency</w:t>
      </w:r>
      <w:r>
        <w:rPr>
          <w:color w:val="231F20"/>
          <w:spacing w:val="-9"/>
          <w:sz w:val="24"/>
        </w:rPr>
        <w:t xml:space="preserve"> </w:t>
      </w:r>
      <w:r>
        <w:rPr>
          <w:color w:val="231F20"/>
          <w:sz w:val="24"/>
        </w:rPr>
        <w:t>of</w:t>
      </w:r>
      <w:r>
        <w:rPr>
          <w:color w:val="231F20"/>
          <w:spacing w:val="-9"/>
          <w:sz w:val="24"/>
        </w:rPr>
        <w:t xml:space="preserve"> </w:t>
      </w:r>
      <w:r>
        <w:rPr>
          <w:color w:val="231F20"/>
          <w:sz w:val="24"/>
        </w:rPr>
        <w:t>existing</w:t>
      </w:r>
      <w:r>
        <w:rPr>
          <w:color w:val="231F20"/>
          <w:spacing w:val="-10"/>
          <w:sz w:val="24"/>
        </w:rPr>
        <w:t xml:space="preserve"> </w:t>
      </w:r>
      <w:r>
        <w:rPr>
          <w:color w:val="231F20"/>
          <w:sz w:val="24"/>
        </w:rPr>
        <w:t>buildings,</w:t>
      </w:r>
      <w:r>
        <w:rPr>
          <w:color w:val="231F20"/>
          <w:spacing w:val="-9"/>
          <w:sz w:val="24"/>
        </w:rPr>
        <w:t xml:space="preserve"> </w:t>
      </w:r>
      <w:r>
        <w:rPr>
          <w:color w:val="231F20"/>
          <w:sz w:val="24"/>
        </w:rPr>
        <w:t>reduce</w:t>
      </w:r>
      <w:r>
        <w:rPr>
          <w:color w:val="231F20"/>
          <w:spacing w:val="-10"/>
          <w:sz w:val="24"/>
        </w:rPr>
        <w:t xml:space="preserve"> </w:t>
      </w:r>
      <w:r>
        <w:rPr>
          <w:color w:val="231F20"/>
          <w:sz w:val="24"/>
        </w:rPr>
        <w:t>operating</w:t>
      </w:r>
      <w:r>
        <w:rPr>
          <w:color w:val="231F20"/>
          <w:spacing w:val="-10"/>
          <w:sz w:val="24"/>
        </w:rPr>
        <w:t xml:space="preserve"> </w:t>
      </w:r>
      <w:r>
        <w:rPr>
          <w:color w:val="231F20"/>
          <w:sz w:val="24"/>
        </w:rPr>
        <w:t>costs</w:t>
      </w:r>
      <w:r>
        <w:rPr>
          <w:color w:val="231F20"/>
          <w:spacing w:val="-9"/>
          <w:sz w:val="24"/>
        </w:rPr>
        <w:t xml:space="preserve"> </w:t>
      </w:r>
      <w:r>
        <w:rPr>
          <w:color w:val="231F20"/>
          <w:sz w:val="24"/>
        </w:rPr>
        <w:t>and greenhouse gas emissions associated with electricity, gas and water consumption. Energy will be saved through a combination of lighting upgrades, heating, ventilation and cooling upgrades, solar panels, and building automation and controls.</w:t>
      </w:r>
    </w:p>
    <w:p w14:paraId="79CF47C2" w14:textId="77777777" w:rsidR="00345EE3" w:rsidRDefault="00345EE3" w:rsidP="00345EE3">
      <w:pPr>
        <w:pStyle w:val="Heading5"/>
        <w:spacing w:before="177"/>
      </w:pPr>
      <w:r>
        <w:rPr>
          <w:color w:val="58595B"/>
        </w:rPr>
        <w:t>Targets</w:t>
      </w:r>
      <w:r>
        <w:rPr>
          <w:color w:val="58595B"/>
          <w:spacing w:val="-13"/>
        </w:rPr>
        <w:t xml:space="preserve"> </w:t>
      </w:r>
      <w:r>
        <w:rPr>
          <w:color w:val="58595B"/>
        </w:rPr>
        <w:t>for</w:t>
      </w:r>
      <w:r>
        <w:rPr>
          <w:color w:val="58595B"/>
          <w:spacing w:val="-11"/>
        </w:rPr>
        <w:t xml:space="preserve"> </w:t>
      </w:r>
      <w:r>
        <w:rPr>
          <w:color w:val="58595B"/>
          <w:spacing w:val="-2"/>
        </w:rPr>
        <w:t>2022–23</w:t>
      </w:r>
    </w:p>
    <w:p w14:paraId="2000C717" w14:textId="77777777" w:rsidR="00345EE3" w:rsidRDefault="00345EE3">
      <w:pPr>
        <w:pStyle w:val="ListParagraph"/>
        <w:numPr>
          <w:ilvl w:val="1"/>
          <w:numId w:val="58"/>
        </w:numPr>
        <w:tabs>
          <w:tab w:val="left" w:pos="393"/>
          <w:tab w:val="left" w:pos="394"/>
        </w:tabs>
        <w:spacing w:before="4" w:line="242" w:lineRule="auto"/>
        <w:ind w:right="1400"/>
        <w:rPr>
          <w:sz w:val="24"/>
        </w:rPr>
      </w:pP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will</w:t>
      </w:r>
      <w:r>
        <w:rPr>
          <w:color w:val="231F20"/>
          <w:spacing w:val="-10"/>
          <w:sz w:val="24"/>
        </w:rPr>
        <w:t xml:space="preserve"> </w:t>
      </w:r>
      <w:r>
        <w:rPr>
          <w:color w:val="231F20"/>
          <w:sz w:val="24"/>
        </w:rPr>
        <w:t>continue</w:t>
      </w:r>
      <w:r>
        <w:rPr>
          <w:color w:val="231F20"/>
          <w:spacing w:val="-10"/>
          <w:sz w:val="24"/>
        </w:rPr>
        <w:t xml:space="preserve"> </w:t>
      </w:r>
      <w:r>
        <w:rPr>
          <w:color w:val="231F20"/>
          <w:sz w:val="24"/>
        </w:rPr>
        <w:t>to</w:t>
      </w:r>
      <w:r>
        <w:rPr>
          <w:color w:val="231F20"/>
          <w:spacing w:val="-10"/>
          <w:sz w:val="24"/>
        </w:rPr>
        <w:t xml:space="preserve"> </w:t>
      </w:r>
      <w:r>
        <w:rPr>
          <w:color w:val="231F20"/>
          <w:sz w:val="24"/>
        </w:rPr>
        <w:t>review</w:t>
      </w:r>
      <w:r>
        <w:rPr>
          <w:color w:val="231F20"/>
          <w:spacing w:val="-10"/>
          <w:sz w:val="24"/>
        </w:rPr>
        <w:t xml:space="preserve"> </w:t>
      </w:r>
      <w:r>
        <w:rPr>
          <w:color w:val="231F20"/>
          <w:sz w:val="24"/>
        </w:rPr>
        <w:t>and</w:t>
      </w:r>
      <w:r>
        <w:rPr>
          <w:color w:val="231F20"/>
          <w:spacing w:val="-10"/>
          <w:sz w:val="24"/>
        </w:rPr>
        <w:t xml:space="preserve"> </w:t>
      </w:r>
      <w:r>
        <w:rPr>
          <w:color w:val="231F20"/>
          <w:sz w:val="24"/>
        </w:rPr>
        <w:t>update</w:t>
      </w:r>
      <w:r>
        <w:rPr>
          <w:color w:val="231F20"/>
          <w:spacing w:val="-10"/>
          <w:sz w:val="24"/>
        </w:rPr>
        <w:t xml:space="preserve"> </w:t>
      </w:r>
      <w:r>
        <w:rPr>
          <w:color w:val="231F20"/>
          <w:sz w:val="24"/>
        </w:rPr>
        <w:t>its</w:t>
      </w:r>
      <w:r>
        <w:rPr>
          <w:color w:val="231F20"/>
          <w:spacing w:val="-9"/>
          <w:sz w:val="24"/>
        </w:rPr>
        <w:t xml:space="preserve"> </w:t>
      </w:r>
      <w:r>
        <w:rPr>
          <w:color w:val="231F20"/>
          <w:sz w:val="24"/>
        </w:rPr>
        <w:t>property</w:t>
      </w:r>
      <w:r>
        <w:rPr>
          <w:color w:val="231F20"/>
          <w:spacing w:val="-9"/>
          <w:sz w:val="24"/>
        </w:rPr>
        <w:t xml:space="preserve"> </w:t>
      </w:r>
      <w:r>
        <w:rPr>
          <w:color w:val="231F20"/>
          <w:sz w:val="24"/>
        </w:rPr>
        <w:t>design</w:t>
      </w:r>
      <w:r>
        <w:rPr>
          <w:color w:val="231F20"/>
          <w:spacing w:val="-10"/>
          <w:sz w:val="24"/>
        </w:rPr>
        <w:t xml:space="preserve"> </w:t>
      </w:r>
      <w:r>
        <w:rPr>
          <w:color w:val="231F20"/>
          <w:sz w:val="24"/>
        </w:rPr>
        <w:t>guidelines,</w:t>
      </w:r>
      <w:r>
        <w:rPr>
          <w:color w:val="231F20"/>
          <w:spacing w:val="-9"/>
          <w:sz w:val="24"/>
        </w:rPr>
        <w:t xml:space="preserve"> </w:t>
      </w:r>
      <w:r>
        <w:rPr>
          <w:color w:val="231F20"/>
          <w:sz w:val="24"/>
        </w:rPr>
        <w:t>including requirements to reduce adverse environmental impacts in ongoing operations.</w:t>
      </w:r>
    </w:p>
    <w:p w14:paraId="58E284E9" w14:textId="77777777" w:rsidR="00345EE3" w:rsidRDefault="00345EE3">
      <w:pPr>
        <w:pStyle w:val="ListParagraph"/>
        <w:numPr>
          <w:ilvl w:val="1"/>
          <w:numId w:val="58"/>
        </w:numPr>
        <w:tabs>
          <w:tab w:val="left" w:pos="393"/>
          <w:tab w:val="left" w:pos="394"/>
        </w:tabs>
        <w:spacing w:before="31" w:after="240" w:line="242" w:lineRule="auto"/>
        <w:ind w:right="1125"/>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anticipated</w:t>
      </w:r>
      <w:r>
        <w:rPr>
          <w:color w:val="231F20"/>
          <w:spacing w:val="-12"/>
          <w:sz w:val="24"/>
        </w:rPr>
        <w:t xml:space="preserve"> </w:t>
      </w:r>
      <w:r>
        <w:rPr>
          <w:color w:val="231F20"/>
          <w:sz w:val="24"/>
        </w:rPr>
        <w:t>that</w:t>
      </w:r>
      <w:r>
        <w:rPr>
          <w:color w:val="231F20"/>
          <w:spacing w:val="-11"/>
          <w:sz w:val="24"/>
        </w:rPr>
        <w:t xml:space="preserve"> </w:t>
      </w:r>
      <w:r>
        <w:rPr>
          <w:color w:val="231F20"/>
          <w:sz w:val="24"/>
        </w:rPr>
        <w:t>the</w:t>
      </w:r>
      <w:r>
        <w:rPr>
          <w:color w:val="231F20"/>
          <w:spacing w:val="-12"/>
          <w:sz w:val="24"/>
        </w:rPr>
        <w:t xml:space="preserve"> </w:t>
      </w:r>
      <w:r>
        <w:rPr>
          <w:color w:val="231F20"/>
          <w:sz w:val="24"/>
        </w:rPr>
        <w:t>continued</w:t>
      </w:r>
      <w:r>
        <w:rPr>
          <w:color w:val="231F20"/>
          <w:spacing w:val="-12"/>
          <w:sz w:val="24"/>
        </w:rPr>
        <w:t xml:space="preserve"> </w:t>
      </w:r>
      <w:r>
        <w:rPr>
          <w:color w:val="231F20"/>
          <w:sz w:val="24"/>
        </w:rPr>
        <w:t>adoption</w:t>
      </w:r>
      <w:r>
        <w:rPr>
          <w:color w:val="231F20"/>
          <w:spacing w:val="-12"/>
          <w:sz w:val="24"/>
        </w:rPr>
        <w:t xml:space="preserve"> </w:t>
      </w:r>
      <w:r>
        <w:rPr>
          <w:color w:val="231F20"/>
          <w:sz w:val="24"/>
        </w:rPr>
        <w:t>of</w:t>
      </w:r>
      <w:r>
        <w:rPr>
          <w:color w:val="231F20"/>
          <w:spacing w:val="-11"/>
          <w:sz w:val="24"/>
        </w:rPr>
        <w:t xml:space="preserve"> </w:t>
      </w:r>
      <w:r>
        <w:rPr>
          <w:color w:val="231F20"/>
          <w:sz w:val="24"/>
        </w:rPr>
        <w:t>sustainability</w:t>
      </w:r>
      <w:r>
        <w:rPr>
          <w:color w:val="231F20"/>
          <w:spacing w:val="-11"/>
          <w:sz w:val="24"/>
        </w:rPr>
        <w:t xml:space="preserve"> </w:t>
      </w:r>
      <w:r>
        <w:rPr>
          <w:color w:val="231F20"/>
          <w:sz w:val="24"/>
        </w:rPr>
        <w:t>requirements</w:t>
      </w:r>
      <w:r>
        <w:rPr>
          <w:color w:val="231F20"/>
          <w:spacing w:val="-11"/>
          <w:sz w:val="24"/>
        </w:rPr>
        <w:t xml:space="preserve"> </w:t>
      </w:r>
      <w:r>
        <w:rPr>
          <w:color w:val="231F20"/>
          <w:sz w:val="24"/>
        </w:rPr>
        <w:t>will</w:t>
      </w:r>
      <w:r>
        <w:rPr>
          <w:color w:val="231F20"/>
          <w:spacing w:val="-12"/>
          <w:sz w:val="24"/>
        </w:rPr>
        <w:t xml:space="preserve"> </w:t>
      </w:r>
      <w:r>
        <w:rPr>
          <w:color w:val="231F20"/>
          <w:sz w:val="24"/>
        </w:rPr>
        <w:t>reduce</w:t>
      </w:r>
      <w:r>
        <w:rPr>
          <w:color w:val="231F20"/>
          <w:spacing w:val="-12"/>
          <w:sz w:val="24"/>
        </w:rPr>
        <w:t xml:space="preserve"> </w:t>
      </w:r>
      <w:r>
        <w:rPr>
          <w:color w:val="231F20"/>
          <w:sz w:val="24"/>
        </w:rPr>
        <w:t xml:space="preserve">energy </w:t>
      </w:r>
      <w:r>
        <w:rPr>
          <w:color w:val="231F20"/>
          <w:spacing w:val="-2"/>
          <w:sz w:val="24"/>
        </w:rPr>
        <w:t>consumption.</w:t>
      </w:r>
    </w:p>
    <w:p w14:paraId="0511CA65" w14:textId="77777777" w:rsidR="00345EE3" w:rsidRDefault="00345EE3" w:rsidP="002A27BA">
      <w:pPr>
        <w:pStyle w:val="Heading3"/>
      </w:pPr>
      <w:r>
        <w:t>Waste</w:t>
      </w:r>
      <w:r>
        <w:rPr>
          <w:spacing w:val="-4"/>
        </w:rPr>
        <w:t xml:space="preserve"> </w:t>
      </w:r>
      <w:r>
        <w:t>and</w:t>
      </w:r>
      <w:r>
        <w:rPr>
          <w:spacing w:val="-3"/>
        </w:rPr>
        <w:t xml:space="preserve"> </w:t>
      </w:r>
      <w:r>
        <w:rPr>
          <w:spacing w:val="-2"/>
        </w:rPr>
        <w:t>Recycling</w:t>
      </w:r>
    </w:p>
    <w:p w14:paraId="168E3FD0" w14:textId="77777777" w:rsidR="00345EE3" w:rsidRDefault="00345EE3" w:rsidP="00345EE3">
      <w:pPr>
        <w:pStyle w:val="BodyText"/>
        <w:spacing w:before="52" w:after="120" w:line="242" w:lineRule="auto"/>
        <w:ind w:right="921"/>
      </w:pPr>
      <w:r>
        <w:rPr>
          <w:color w:val="231F20"/>
        </w:rPr>
        <w:t>Victoria</w:t>
      </w:r>
      <w:r>
        <w:rPr>
          <w:color w:val="231F20"/>
          <w:spacing w:val="-2"/>
        </w:rPr>
        <w:t xml:space="preserve"> </w:t>
      </w:r>
      <w:r>
        <w:rPr>
          <w:color w:val="231F20"/>
        </w:rPr>
        <w:t>Police</w:t>
      </w:r>
      <w:r>
        <w:rPr>
          <w:color w:val="231F20"/>
          <w:spacing w:val="-2"/>
        </w:rPr>
        <w:t xml:space="preserve"> </w:t>
      </w:r>
      <w:r>
        <w:rPr>
          <w:color w:val="231F20"/>
        </w:rPr>
        <w:t>is</w:t>
      </w:r>
      <w:r>
        <w:rPr>
          <w:color w:val="231F20"/>
          <w:spacing w:val="-1"/>
        </w:rPr>
        <w:t xml:space="preserve"> </w:t>
      </w:r>
      <w:r>
        <w:rPr>
          <w:color w:val="231F20"/>
        </w:rPr>
        <w:t>committed</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effective</w:t>
      </w:r>
      <w:r>
        <w:rPr>
          <w:color w:val="231F20"/>
          <w:spacing w:val="-2"/>
        </w:rPr>
        <w:t xml:space="preserve"> </w:t>
      </w:r>
      <w:r>
        <w:rPr>
          <w:color w:val="231F20"/>
        </w:rPr>
        <w:t>management</w:t>
      </w:r>
      <w:r>
        <w:rPr>
          <w:color w:val="231F20"/>
          <w:spacing w:val="-1"/>
        </w:rPr>
        <w:t xml:space="preserve"> </w:t>
      </w:r>
      <w:r>
        <w:rPr>
          <w:color w:val="231F20"/>
        </w:rPr>
        <w:t>of</w:t>
      </w:r>
      <w:r>
        <w:rPr>
          <w:color w:val="231F20"/>
          <w:spacing w:val="-1"/>
        </w:rPr>
        <w:t xml:space="preserve"> </w:t>
      </w:r>
      <w:r>
        <w:rPr>
          <w:color w:val="231F20"/>
        </w:rPr>
        <w:t>waste</w:t>
      </w:r>
      <w:r>
        <w:rPr>
          <w:color w:val="231F20"/>
          <w:spacing w:val="-2"/>
        </w:rPr>
        <w:t xml:space="preserve"> </w:t>
      </w:r>
      <w:r>
        <w:rPr>
          <w:color w:val="231F20"/>
        </w:rPr>
        <w:t>to</w:t>
      </w:r>
      <w:r>
        <w:rPr>
          <w:color w:val="231F20"/>
          <w:spacing w:val="-2"/>
        </w:rPr>
        <w:t xml:space="preserve"> </w:t>
      </w:r>
      <w:r>
        <w:rPr>
          <w:color w:val="231F20"/>
        </w:rPr>
        <w:t>reduce</w:t>
      </w:r>
      <w:r>
        <w:rPr>
          <w:color w:val="231F20"/>
          <w:spacing w:val="-2"/>
        </w:rPr>
        <w:t xml:space="preserve"> </w:t>
      </w:r>
      <w:r>
        <w:rPr>
          <w:color w:val="231F20"/>
        </w:rPr>
        <w:t>operational</w:t>
      </w:r>
      <w:r>
        <w:rPr>
          <w:color w:val="231F20"/>
          <w:spacing w:val="-2"/>
        </w:rPr>
        <w:t xml:space="preserve"> </w:t>
      </w:r>
      <w:r>
        <w:rPr>
          <w:color w:val="231F20"/>
        </w:rPr>
        <w:t>costs and environmental impacts, as well as potential health risks to staff and the broader Victorian community.</w:t>
      </w:r>
      <w:r>
        <w:rPr>
          <w:color w:val="231F20"/>
          <w:spacing w:val="-7"/>
        </w:rPr>
        <w:t xml:space="preserve"> </w:t>
      </w:r>
      <w:r>
        <w:rPr>
          <w:color w:val="231F20"/>
        </w:rPr>
        <w:t>Data</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2021–22</w:t>
      </w:r>
      <w:r>
        <w:rPr>
          <w:color w:val="231F20"/>
          <w:spacing w:val="-7"/>
        </w:rPr>
        <w:t xml:space="preserve"> </w:t>
      </w:r>
      <w:r>
        <w:rPr>
          <w:color w:val="231F20"/>
        </w:rPr>
        <w:t>period</w:t>
      </w:r>
      <w:r>
        <w:rPr>
          <w:color w:val="231F20"/>
          <w:spacing w:val="-7"/>
        </w:rPr>
        <w:t xml:space="preserve"> </w:t>
      </w:r>
      <w:r>
        <w:rPr>
          <w:color w:val="231F20"/>
        </w:rPr>
        <w:t>account</w:t>
      </w:r>
      <w:r>
        <w:rPr>
          <w:color w:val="231F20"/>
          <w:spacing w:val="-7"/>
        </w:rPr>
        <w:t xml:space="preserve"> </w:t>
      </w:r>
      <w:r>
        <w:rPr>
          <w:color w:val="231F20"/>
        </w:rPr>
        <w:t>for</w:t>
      </w:r>
      <w:r>
        <w:rPr>
          <w:color w:val="231F20"/>
          <w:spacing w:val="-7"/>
        </w:rPr>
        <w:t xml:space="preserve"> </w:t>
      </w:r>
      <w:r>
        <w:rPr>
          <w:color w:val="231F20"/>
        </w:rPr>
        <w:t>44.6</w:t>
      </w:r>
      <w:r>
        <w:rPr>
          <w:color w:val="231F20"/>
          <w:spacing w:val="-7"/>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rPr>
        <w:t>of</w:t>
      </w:r>
      <w:r>
        <w:rPr>
          <w:color w:val="231F20"/>
          <w:spacing w:val="-7"/>
        </w:rPr>
        <w:t xml:space="preserve"> </w:t>
      </w:r>
      <w:r>
        <w:rPr>
          <w:color w:val="231F20"/>
        </w:rPr>
        <w:t>sites</w:t>
      </w:r>
      <w:r>
        <w:rPr>
          <w:color w:val="231F20"/>
          <w:spacing w:val="-7"/>
        </w:rPr>
        <w:t xml:space="preserve"> </w:t>
      </w:r>
      <w:r>
        <w:rPr>
          <w:color w:val="231F20"/>
        </w:rPr>
        <w:t>and</w:t>
      </w:r>
      <w:r>
        <w:rPr>
          <w:color w:val="231F20"/>
          <w:spacing w:val="-7"/>
        </w:rPr>
        <w:t xml:space="preserve"> </w:t>
      </w:r>
      <w:r>
        <w:rPr>
          <w:color w:val="231F20"/>
        </w:rPr>
        <w:t>92.8</w:t>
      </w:r>
      <w:r>
        <w:rPr>
          <w:color w:val="231F20"/>
          <w:spacing w:val="-7"/>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rPr>
        <w:t>of Victoria Police FTE. Missing data have not been extrapolated.</w:t>
      </w:r>
    </w:p>
    <w:tbl>
      <w:tblPr>
        <w:tblW w:w="0" w:type="auto"/>
        <w:tblInd w:w="199" w:type="dxa"/>
        <w:tblLayout w:type="fixed"/>
        <w:tblCellMar>
          <w:left w:w="0" w:type="dxa"/>
          <w:right w:w="0" w:type="dxa"/>
        </w:tblCellMar>
        <w:tblLook w:val="0000" w:firstRow="0" w:lastRow="0" w:firstColumn="0" w:lastColumn="0" w:noHBand="0" w:noVBand="0"/>
      </w:tblPr>
      <w:tblGrid>
        <w:gridCol w:w="5953"/>
        <w:gridCol w:w="1417"/>
        <w:gridCol w:w="1417"/>
        <w:gridCol w:w="1418"/>
      </w:tblGrid>
      <w:tr w:rsidR="00345EE3" w:rsidRPr="00A447E4" w14:paraId="213E3146" w14:textId="77777777" w:rsidTr="00D73130">
        <w:trPr>
          <w:trHeight w:val="60"/>
          <w:tblHeader/>
        </w:trPr>
        <w:tc>
          <w:tcPr>
            <w:tcW w:w="595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57" w:type="dxa"/>
              <w:bottom w:w="113" w:type="dxa"/>
              <w:right w:w="57" w:type="dxa"/>
            </w:tcMar>
          </w:tcPr>
          <w:p w14:paraId="6A32CE19"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A447E4">
              <w:rPr>
                <w:rFonts w:eastAsiaTheme="minorHAnsi"/>
                <w:b/>
                <w:bCs/>
                <w:color w:val="FFFFFF"/>
                <w:sz w:val="24"/>
                <w:szCs w:val="24"/>
                <w:lang w:val="en-GB"/>
              </w:rPr>
              <w:t>Indicator</w:t>
            </w:r>
          </w:p>
        </w:tc>
        <w:tc>
          <w:tcPr>
            <w:tcW w:w="1417"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A19967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2019–20</w:t>
            </w:r>
          </w:p>
        </w:tc>
        <w:tc>
          <w:tcPr>
            <w:tcW w:w="1417"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2AEE120"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2020–21</w:t>
            </w:r>
          </w:p>
        </w:tc>
        <w:tc>
          <w:tcPr>
            <w:tcW w:w="1418"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09FF4672"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2021–22</w:t>
            </w:r>
          </w:p>
        </w:tc>
      </w:tr>
      <w:tr w:rsidR="00345EE3" w:rsidRPr="00A447E4" w14:paraId="7CA0DC47" w14:textId="77777777" w:rsidTr="00D73130">
        <w:trPr>
          <w:trHeight w:val="60"/>
        </w:trPr>
        <w:tc>
          <w:tcPr>
            <w:tcW w:w="5953" w:type="dxa"/>
            <w:tcBorders>
              <w:top w:val="single" w:sz="2" w:space="0" w:color="9D9C9C"/>
              <w:left w:val="single" w:sz="6" w:space="0" w:color="000000"/>
              <w:bottom w:val="single" w:sz="2" w:space="0" w:color="9D9C9C"/>
              <w:right w:val="single" w:sz="2" w:space="0" w:color="9D9C9C"/>
            </w:tcBorders>
            <w:tcMar>
              <w:top w:w="113" w:type="dxa"/>
              <w:left w:w="57" w:type="dxa"/>
              <w:bottom w:w="113" w:type="dxa"/>
              <w:right w:w="57" w:type="dxa"/>
            </w:tcMar>
          </w:tcPr>
          <w:p w14:paraId="69F51B31"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Ws1. Total units of waste disposed of by destination (kg/yr)</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B21106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2,759,418</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7F79FD"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1,865,234</w:t>
            </w:r>
          </w:p>
        </w:tc>
        <w:tc>
          <w:tcPr>
            <w:tcW w:w="1418"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B77C3D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1,721,190</w:t>
            </w:r>
          </w:p>
        </w:tc>
      </w:tr>
      <w:tr w:rsidR="00345EE3" w:rsidRPr="00A447E4" w14:paraId="67AB7A0E" w14:textId="77777777" w:rsidTr="00D73130">
        <w:trPr>
          <w:trHeight w:val="60"/>
        </w:trPr>
        <w:tc>
          <w:tcPr>
            <w:tcW w:w="5953" w:type="dxa"/>
            <w:tcBorders>
              <w:top w:val="single" w:sz="2" w:space="0" w:color="9D9C9C"/>
              <w:left w:val="single" w:sz="6" w:space="0" w:color="000000"/>
              <w:bottom w:val="single" w:sz="2" w:space="0" w:color="9D9C9C"/>
              <w:right w:val="single" w:sz="2" w:space="0" w:color="9D9C9C"/>
            </w:tcBorders>
            <w:tcMar>
              <w:top w:w="113" w:type="dxa"/>
              <w:left w:w="57" w:type="dxa"/>
              <w:bottom w:w="113" w:type="dxa"/>
              <w:right w:w="57" w:type="dxa"/>
            </w:tcMar>
          </w:tcPr>
          <w:p w14:paraId="422F9371"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Landfill (kg)</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638356F"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2,269,139</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566C5EF"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1,584,255</w:t>
            </w:r>
          </w:p>
        </w:tc>
        <w:tc>
          <w:tcPr>
            <w:tcW w:w="1418"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2C416C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1,427,524</w:t>
            </w:r>
          </w:p>
        </w:tc>
      </w:tr>
      <w:tr w:rsidR="00345EE3" w:rsidRPr="00A447E4" w14:paraId="4A295E98" w14:textId="77777777" w:rsidTr="00D73130">
        <w:trPr>
          <w:trHeight w:val="60"/>
        </w:trPr>
        <w:tc>
          <w:tcPr>
            <w:tcW w:w="5953" w:type="dxa"/>
            <w:tcBorders>
              <w:top w:val="single" w:sz="2" w:space="0" w:color="9D9C9C"/>
              <w:left w:val="single" w:sz="6" w:space="0" w:color="000000"/>
              <w:bottom w:val="single" w:sz="2" w:space="0" w:color="9D9C9C"/>
              <w:right w:val="single" w:sz="2" w:space="0" w:color="9D9C9C"/>
            </w:tcBorders>
            <w:tcMar>
              <w:top w:w="113" w:type="dxa"/>
              <w:left w:w="57" w:type="dxa"/>
              <w:bottom w:w="113" w:type="dxa"/>
              <w:right w:w="57" w:type="dxa"/>
            </w:tcMar>
          </w:tcPr>
          <w:p w14:paraId="3876654B"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Comingled recycling (kg)</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18D1E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490,279</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03954B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280,979</w:t>
            </w:r>
          </w:p>
        </w:tc>
        <w:tc>
          <w:tcPr>
            <w:tcW w:w="1418"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27413D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293,666</w:t>
            </w:r>
          </w:p>
        </w:tc>
      </w:tr>
      <w:tr w:rsidR="00345EE3" w:rsidRPr="00A447E4" w14:paraId="68A2C1C6" w14:textId="77777777" w:rsidTr="00D73130">
        <w:trPr>
          <w:trHeight w:val="60"/>
        </w:trPr>
        <w:tc>
          <w:tcPr>
            <w:tcW w:w="5953" w:type="dxa"/>
            <w:tcBorders>
              <w:top w:val="single" w:sz="2" w:space="0" w:color="9D9C9C"/>
              <w:left w:val="single" w:sz="6" w:space="0" w:color="000000"/>
              <w:bottom w:val="single" w:sz="2" w:space="0" w:color="9D9C9C"/>
              <w:right w:val="single" w:sz="2" w:space="0" w:color="9D9C9C"/>
            </w:tcBorders>
            <w:tcMar>
              <w:top w:w="113" w:type="dxa"/>
              <w:left w:w="57" w:type="dxa"/>
              <w:bottom w:w="113" w:type="dxa"/>
              <w:right w:w="57" w:type="dxa"/>
            </w:tcMar>
          </w:tcPr>
          <w:p w14:paraId="301EB800"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Ws2. Total units of waste disposed of per FTE by destination (kg/FTE)</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585961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138</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DCC6A2"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89</w:t>
            </w:r>
          </w:p>
        </w:tc>
        <w:tc>
          <w:tcPr>
            <w:tcW w:w="1418"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0BCDE2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87</w:t>
            </w:r>
          </w:p>
        </w:tc>
      </w:tr>
      <w:tr w:rsidR="00345EE3" w:rsidRPr="00A447E4" w14:paraId="7443D277" w14:textId="77777777" w:rsidTr="00D73130">
        <w:trPr>
          <w:trHeight w:val="60"/>
        </w:trPr>
        <w:tc>
          <w:tcPr>
            <w:tcW w:w="5953" w:type="dxa"/>
            <w:tcBorders>
              <w:top w:val="single" w:sz="2" w:space="0" w:color="9D9C9C"/>
              <w:left w:val="single" w:sz="6" w:space="0" w:color="000000"/>
              <w:bottom w:val="single" w:sz="2" w:space="0" w:color="9D9C9C"/>
              <w:right w:val="single" w:sz="2" w:space="0" w:color="9D9C9C"/>
            </w:tcBorders>
            <w:tcMar>
              <w:top w:w="113" w:type="dxa"/>
              <w:left w:w="57" w:type="dxa"/>
              <w:bottom w:w="113" w:type="dxa"/>
              <w:right w:w="57" w:type="dxa"/>
            </w:tcMar>
          </w:tcPr>
          <w:p w14:paraId="46F0B9B3"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Landfill (kg/FTE)</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10D522"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113</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CD294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76</w:t>
            </w:r>
          </w:p>
        </w:tc>
        <w:tc>
          <w:tcPr>
            <w:tcW w:w="1418"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5B678C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72</w:t>
            </w:r>
          </w:p>
        </w:tc>
      </w:tr>
      <w:tr w:rsidR="00345EE3" w:rsidRPr="00A447E4" w14:paraId="1E47865B" w14:textId="77777777" w:rsidTr="00D73130">
        <w:trPr>
          <w:trHeight w:val="60"/>
        </w:trPr>
        <w:tc>
          <w:tcPr>
            <w:tcW w:w="5953" w:type="dxa"/>
            <w:tcBorders>
              <w:top w:val="single" w:sz="2" w:space="0" w:color="9D9C9C"/>
              <w:left w:val="single" w:sz="6" w:space="0" w:color="000000"/>
              <w:bottom w:val="single" w:sz="2" w:space="0" w:color="9D9C9C"/>
              <w:right w:val="single" w:sz="2" w:space="0" w:color="9D9C9C"/>
            </w:tcBorders>
            <w:tcMar>
              <w:top w:w="113" w:type="dxa"/>
              <w:left w:w="57" w:type="dxa"/>
              <w:bottom w:w="113" w:type="dxa"/>
              <w:right w:w="57" w:type="dxa"/>
            </w:tcMar>
          </w:tcPr>
          <w:p w14:paraId="68EE025C"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Comingled recycling (kg/FTE)</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DD694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24</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1B905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13</w:t>
            </w:r>
          </w:p>
        </w:tc>
        <w:tc>
          <w:tcPr>
            <w:tcW w:w="1418"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67C6BF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15</w:t>
            </w:r>
          </w:p>
        </w:tc>
      </w:tr>
      <w:tr w:rsidR="00345EE3" w:rsidRPr="00A447E4" w14:paraId="29D390BD" w14:textId="77777777" w:rsidTr="00D73130">
        <w:trPr>
          <w:trHeight w:val="60"/>
        </w:trPr>
        <w:tc>
          <w:tcPr>
            <w:tcW w:w="5953" w:type="dxa"/>
            <w:tcBorders>
              <w:top w:val="single" w:sz="2" w:space="0" w:color="9D9C9C"/>
              <w:left w:val="single" w:sz="6" w:space="0" w:color="000000"/>
              <w:bottom w:val="single" w:sz="2" w:space="0" w:color="9D9C9C"/>
              <w:right w:val="single" w:sz="2" w:space="0" w:color="9D9C9C"/>
            </w:tcBorders>
            <w:tcMar>
              <w:top w:w="113" w:type="dxa"/>
              <w:left w:w="57" w:type="dxa"/>
              <w:bottom w:w="113" w:type="dxa"/>
              <w:right w:w="57" w:type="dxa"/>
            </w:tcMar>
          </w:tcPr>
          <w:p w14:paraId="38FA1984"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Ws3. Recycling rate (%)</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DB1A93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18</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3B612D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15</w:t>
            </w:r>
          </w:p>
        </w:tc>
        <w:tc>
          <w:tcPr>
            <w:tcW w:w="1418"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AFD132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17</w:t>
            </w:r>
          </w:p>
        </w:tc>
      </w:tr>
      <w:tr w:rsidR="00345EE3" w:rsidRPr="00A447E4" w14:paraId="400348D8" w14:textId="77777777" w:rsidTr="00D73130">
        <w:trPr>
          <w:trHeight w:val="60"/>
        </w:trPr>
        <w:tc>
          <w:tcPr>
            <w:tcW w:w="5953" w:type="dxa"/>
            <w:tcBorders>
              <w:top w:val="single" w:sz="2" w:space="0" w:color="9D9C9C"/>
              <w:left w:val="single" w:sz="6" w:space="0" w:color="000000"/>
              <w:bottom w:val="single" w:sz="6" w:space="0" w:color="000000"/>
              <w:right w:val="single" w:sz="2" w:space="0" w:color="9D9C9C"/>
            </w:tcBorders>
            <w:tcMar>
              <w:top w:w="113" w:type="dxa"/>
              <w:left w:w="57" w:type="dxa"/>
              <w:bottom w:w="113" w:type="dxa"/>
              <w:right w:w="57" w:type="dxa"/>
            </w:tcMar>
          </w:tcPr>
          <w:p w14:paraId="34645B88"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Ws4. Greenhouse gas emissions associated with waste (tonnes CO</w:t>
            </w:r>
            <w:r w:rsidRPr="00A447E4">
              <w:rPr>
                <w:rFonts w:eastAsiaTheme="minorHAnsi"/>
                <w:b/>
                <w:bCs/>
                <w:color w:val="000000"/>
                <w:sz w:val="24"/>
                <w:szCs w:val="24"/>
                <w:vertAlign w:val="subscript"/>
                <w:lang w:val="en-GB"/>
              </w:rPr>
              <w:t>2</w:t>
            </w:r>
            <w:r w:rsidRPr="00A447E4">
              <w:rPr>
                <w:rFonts w:eastAsiaTheme="minorHAnsi"/>
                <w:b/>
                <w:bCs/>
                <w:color w:val="000000"/>
                <w:sz w:val="24"/>
                <w:szCs w:val="24"/>
                <w:lang w:val="en-GB"/>
              </w:rPr>
              <w:t>-e)</w:t>
            </w:r>
          </w:p>
        </w:tc>
        <w:tc>
          <w:tcPr>
            <w:tcW w:w="1417"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918451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3,177</w:t>
            </w:r>
          </w:p>
        </w:tc>
        <w:tc>
          <w:tcPr>
            <w:tcW w:w="1417"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31ECD7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2,535</w:t>
            </w:r>
          </w:p>
        </w:tc>
        <w:tc>
          <w:tcPr>
            <w:tcW w:w="1418"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4FBDD0E2"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2,284</w:t>
            </w:r>
          </w:p>
        </w:tc>
      </w:tr>
    </w:tbl>
    <w:p w14:paraId="590E4FAC" w14:textId="77777777" w:rsidR="00345EE3" w:rsidRDefault="00345EE3" w:rsidP="00345EE3">
      <w:pPr>
        <w:spacing w:before="73"/>
        <w:ind w:left="110"/>
        <w:rPr>
          <w:sz w:val="14"/>
        </w:rPr>
      </w:pPr>
      <w:r>
        <w:rPr>
          <w:rFonts w:ascii="Arial-BoldItalicMT"/>
          <w:b/>
          <w:i/>
          <w:color w:val="231F20"/>
          <w:sz w:val="14"/>
        </w:rPr>
        <w:t>Source:</w:t>
      </w:r>
      <w:r>
        <w:rPr>
          <w:rFonts w:ascii="Arial-BoldItalicMT"/>
          <w:b/>
          <w:i/>
          <w:color w:val="231F20"/>
          <w:spacing w:val="1"/>
          <w:sz w:val="14"/>
        </w:rPr>
        <w:t xml:space="preserve"> </w:t>
      </w:r>
      <w:r>
        <w:rPr>
          <w:color w:val="231F20"/>
          <w:sz w:val="14"/>
        </w:rPr>
        <w:t>Operational Infrastructure</w:t>
      </w:r>
      <w:r>
        <w:rPr>
          <w:color w:val="231F20"/>
          <w:spacing w:val="1"/>
          <w:sz w:val="14"/>
        </w:rPr>
        <w:t xml:space="preserve"> </w:t>
      </w:r>
      <w:r>
        <w:rPr>
          <w:color w:val="231F20"/>
          <w:sz w:val="14"/>
        </w:rPr>
        <w:t>Department. Data extracted</w:t>
      </w:r>
      <w:r>
        <w:rPr>
          <w:color w:val="231F20"/>
          <w:spacing w:val="1"/>
          <w:sz w:val="14"/>
        </w:rPr>
        <w:t xml:space="preserve"> </w:t>
      </w:r>
      <w:r>
        <w:rPr>
          <w:color w:val="231F20"/>
          <w:sz w:val="14"/>
        </w:rPr>
        <w:t>from various</w:t>
      </w:r>
      <w:r>
        <w:rPr>
          <w:color w:val="231F20"/>
          <w:spacing w:val="1"/>
          <w:sz w:val="14"/>
        </w:rPr>
        <w:t xml:space="preserve"> </w:t>
      </w:r>
      <w:r>
        <w:rPr>
          <w:color w:val="231F20"/>
          <w:sz w:val="14"/>
        </w:rPr>
        <w:t>sources between 1</w:t>
      </w:r>
      <w:r>
        <w:rPr>
          <w:color w:val="231F20"/>
          <w:spacing w:val="1"/>
          <w:sz w:val="14"/>
        </w:rPr>
        <w:t xml:space="preserve"> </w:t>
      </w:r>
      <w:r>
        <w:rPr>
          <w:color w:val="231F20"/>
          <w:sz w:val="14"/>
        </w:rPr>
        <w:t>April 2021 and</w:t>
      </w:r>
      <w:r>
        <w:rPr>
          <w:color w:val="231F20"/>
          <w:spacing w:val="1"/>
          <w:sz w:val="14"/>
        </w:rPr>
        <w:t xml:space="preserve"> </w:t>
      </w:r>
      <w:r>
        <w:rPr>
          <w:color w:val="231F20"/>
          <w:sz w:val="14"/>
        </w:rPr>
        <w:t>15 July</w:t>
      </w:r>
      <w:r>
        <w:rPr>
          <w:color w:val="231F20"/>
          <w:spacing w:val="1"/>
          <w:sz w:val="14"/>
        </w:rPr>
        <w:t xml:space="preserve"> </w:t>
      </w:r>
      <w:r>
        <w:rPr>
          <w:color w:val="231F20"/>
          <w:spacing w:val="-2"/>
          <w:sz w:val="14"/>
        </w:rPr>
        <w:t>2022.</w:t>
      </w:r>
    </w:p>
    <w:p w14:paraId="15136516" w14:textId="77777777" w:rsidR="00345EE3" w:rsidRDefault="00345EE3" w:rsidP="00345EE3">
      <w:pPr>
        <w:spacing w:before="28"/>
        <w:ind w:left="110"/>
        <w:rPr>
          <w:sz w:val="14"/>
        </w:rPr>
      </w:pPr>
      <w:r>
        <w:rPr>
          <w:rFonts w:ascii="Arial-BoldItalicMT"/>
          <w:b/>
          <w:i/>
          <w:color w:val="231F20"/>
          <w:sz w:val="14"/>
        </w:rPr>
        <w:t>Notes:</w:t>
      </w:r>
      <w:r>
        <w:rPr>
          <w:rFonts w:ascii="Arial-BoldItalicMT"/>
          <w:b/>
          <w:i/>
          <w:color w:val="231F20"/>
          <w:spacing w:val="1"/>
          <w:sz w:val="14"/>
        </w:rPr>
        <w:t xml:space="preserve"> </w:t>
      </w:r>
      <w:r>
        <w:rPr>
          <w:color w:val="231F20"/>
          <w:sz w:val="14"/>
        </w:rPr>
        <w:t>A</w:t>
      </w:r>
      <w:r>
        <w:rPr>
          <w:color w:val="231F20"/>
          <w:spacing w:val="-1"/>
          <w:sz w:val="14"/>
        </w:rPr>
        <w:t xml:space="preserve"> </w:t>
      </w:r>
      <w:r>
        <w:rPr>
          <w:color w:val="231F20"/>
          <w:sz w:val="14"/>
        </w:rPr>
        <w:t>direct</w:t>
      </w:r>
      <w:r>
        <w:rPr>
          <w:color w:val="231F20"/>
          <w:spacing w:val="-1"/>
          <w:sz w:val="14"/>
        </w:rPr>
        <w:t xml:space="preserve"> </w:t>
      </w:r>
      <w:r>
        <w:rPr>
          <w:color w:val="231F20"/>
          <w:sz w:val="14"/>
        </w:rPr>
        <w:t>comparison</w:t>
      </w:r>
      <w:r>
        <w:rPr>
          <w:color w:val="231F20"/>
          <w:spacing w:val="-1"/>
          <w:sz w:val="14"/>
        </w:rPr>
        <w:t xml:space="preserve"> </w:t>
      </w:r>
      <w:r>
        <w:rPr>
          <w:color w:val="231F20"/>
          <w:sz w:val="14"/>
        </w:rPr>
        <w:t>between</w:t>
      </w:r>
      <w:r>
        <w:rPr>
          <w:color w:val="231F20"/>
          <w:spacing w:val="-1"/>
          <w:sz w:val="14"/>
        </w:rPr>
        <w:t xml:space="preserve"> </w:t>
      </w:r>
      <w:r>
        <w:rPr>
          <w:color w:val="231F20"/>
          <w:sz w:val="14"/>
        </w:rPr>
        <w:t>the</w:t>
      </w:r>
      <w:r>
        <w:rPr>
          <w:color w:val="231F20"/>
          <w:spacing w:val="-2"/>
          <w:sz w:val="14"/>
        </w:rPr>
        <w:t xml:space="preserve"> </w:t>
      </w:r>
      <w:r>
        <w:rPr>
          <w:color w:val="231F20"/>
          <w:sz w:val="14"/>
        </w:rPr>
        <w:t>years</w:t>
      </w:r>
      <w:r>
        <w:rPr>
          <w:color w:val="231F20"/>
          <w:spacing w:val="-1"/>
          <w:sz w:val="14"/>
        </w:rPr>
        <w:t xml:space="preserve"> </w:t>
      </w:r>
      <w:r>
        <w:rPr>
          <w:color w:val="231F20"/>
          <w:sz w:val="14"/>
        </w:rPr>
        <w:t>should</w:t>
      </w:r>
      <w:r>
        <w:rPr>
          <w:color w:val="231F20"/>
          <w:spacing w:val="-1"/>
          <w:sz w:val="14"/>
        </w:rPr>
        <w:t xml:space="preserve"> </w:t>
      </w:r>
      <w:r>
        <w:rPr>
          <w:color w:val="231F20"/>
          <w:sz w:val="14"/>
        </w:rPr>
        <w:t>not</w:t>
      </w:r>
      <w:r>
        <w:rPr>
          <w:color w:val="231F20"/>
          <w:spacing w:val="-1"/>
          <w:sz w:val="14"/>
        </w:rPr>
        <w:t xml:space="preserve"> </w:t>
      </w:r>
      <w:r>
        <w:rPr>
          <w:color w:val="231F20"/>
          <w:sz w:val="14"/>
        </w:rPr>
        <w:t>be</w:t>
      </w:r>
      <w:r>
        <w:rPr>
          <w:color w:val="231F20"/>
          <w:spacing w:val="-1"/>
          <w:sz w:val="14"/>
        </w:rPr>
        <w:t xml:space="preserve"> </w:t>
      </w:r>
      <w:r>
        <w:rPr>
          <w:color w:val="231F20"/>
          <w:sz w:val="14"/>
        </w:rPr>
        <w:t>made</w:t>
      </w:r>
      <w:r>
        <w:rPr>
          <w:color w:val="231F20"/>
          <w:spacing w:val="-2"/>
          <w:sz w:val="14"/>
        </w:rPr>
        <w:t xml:space="preserve"> </w:t>
      </w:r>
      <w:r>
        <w:rPr>
          <w:color w:val="231F20"/>
          <w:sz w:val="14"/>
        </w:rPr>
        <w:t>as</w:t>
      </w:r>
      <w:r>
        <w:rPr>
          <w:color w:val="231F20"/>
          <w:spacing w:val="-1"/>
          <w:sz w:val="14"/>
        </w:rPr>
        <w:t xml:space="preserve"> </w:t>
      </w:r>
      <w:r>
        <w:rPr>
          <w:color w:val="231F20"/>
          <w:sz w:val="14"/>
        </w:rPr>
        <w:t>new</w:t>
      </w:r>
      <w:r>
        <w:rPr>
          <w:color w:val="231F20"/>
          <w:spacing w:val="-1"/>
          <w:sz w:val="14"/>
        </w:rPr>
        <w:t xml:space="preserve"> </w:t>
      </w:r>
      <w:r>
        <w:rPr>
          <w:color w:val="231F20"/>
          <w:sz w:val="14"/>
        </w:rPr>
        <w:t>service</w:t>
      </w:r>
      <w:r>
        <w:rPr>
          <w:color w:val="231F20"/>
          <w:spacing w:val="-1"/>
          <w:sz w:val="14"/>
        </w:rPr>
        <w:t xml:space="preserve"> </w:t>
      </w:r>
      <w:r>
        <w:rPr>
          <w:color w:val="231F20"/>
          <w:sz w:val="14"/>
        </w:rPr>
        <w:t>providers</w:t>
      </w:r>
      <w:r>
        <w:rPr>
          <w:color w:val="231F20"/>
          <w:spacing w:val="-1"/>
          <w:sz w:val="14"/>
        </w:rPr>
        <w:t xml:space="preserve"> </w:t>
      </w:r>
      <w:r>
        <w:rPr>
          <w:color w:val="231F20"/>
          <w:sz w:val="14"/>
        </w:rPr>
        <w:t>were</w:t>
      </w:r>
      <w:r>
        <w:rPr>
          <w:color w:val="231F20"/>
          <w:spacing w:val="-2"/>
          <w:sz w:val="14"/>
        </w:rPr>
        <w:t xml:space="preserve"> </w:t>
      </w:r>
      <w:r>
        <w:rPr>
          <w:color w:val="231F20"/>
          <w:sz w:val="14"/>
        </w:rPr>
        <w:t>used</w:t>
      </w:r>
      <w:r>
        <w:rPr>
          <w:color w:val="231F20"/>
          <w:spacing w:val="-1"/>
          <w:sz w:val="14"/>
        </w:rPr>
        <w:t xml:space="preserve"> </w:t>
      </w:r>
      <w:r>
        <w:rPr>
          <w:color w:val="231F20"/>
          <w:sz w:val="14"/>
        </w:rPr>
        <w:t>and</w:t>
      </w:r>
      <w:r>
        <w:rPr>
          <w:color w:val="231F20"/>
          <w:spacing w:val="-1"/>
          <w:sz w:val="14"/>
        </w:rPr>
        <w:t xml:space="preserve"> </w:t>
      </w:r>
      <w:r>
        <w:rPr>
          <w:color w:val="231F20"/>
          <w:sz w:val="14"/>
        </w:rPr>
        <w:t>data</w:t>
      </w:r>
      <w:r>
        <w:rPr>
          <w:color w:val="231F20"/>
          <w:spacing w:val="-1"/>
          <w:sz w:val="14"/>
        </w:rPr>
        <w:t xml:space="preserve"> </w:t>
      </w:r>
      <w:r>
        <w:rPr>
          <w:color w:val="231F20"/>
          <w:sz w:val="14"/>
        </w:rPr>
        <w:t>coverage</w:t>
      </w:r>
      <w:r>
        <w:rPr>
          <w:color w:val="231F20"/>
          <w:spacing w:val="-1"/>
          <w:sz w:val="14"/>
        </w:rPr>
        <w:t xml:space="preserve"> </w:t>
      </w:r>
      <w:r>
        <w:rPr>
          <w:color w:val="231F20"/>
          <w:sz w:val="14"/>
        </w:rPr>
        <w:t>has</w:t>
      </w:r>
      <w:r>
        <w:rPr>
          <w:color w:val="231F20"/>
          <w:spacing w:val="-1"/>
          <w:sz w:val="14"/>
        </w:rPr>
        <w:t xml:space="preserve"> </w:t>
      </w:r>
      <w:r>
        <w:rPr>
          <w:color w:val="231F20"/>
          <w:spacing w:val="-2"/>
          <w:sz w:val="14"/>
        </w:rPr>
        <w:t>changed.</w:t>
      </w:r>
    </w:p>
    <w:p w14:paraId="2419AA2D" w14:textId="77777777" w:rsidR="00345EE3" w:rsidRDefault="00345EE3" w:rsidP="00345EE3">
      <w:pPr>
        <w:pStyle w:val="BodyText"/>
        <w:spacing w:before="11"/>
        <w:rPr>
          <w:sz w:val="16"/>
        </w:rPr>
      </w:pPr>
    </w:p>
    <w:p w14:paraId="07A24822" w14:textId="77777777" w:rsidR="00345EE3" w:rsidRDefault="00345EE3" w:rsidP="00345EE3">
      <w:pPr>
        <w:pStyle w:val="Heading5"/>
        <w:spacing w:before="0"/>
      </w:pPr>
      <w:r>
        <w:rPr>
          <w:color w:val="58595B"/>
        </w:rPr>
        <w:t>Actions</w:t>
      </w:r>
      <w:r>
        <w:rPr>
          <w:color w:val="58595B"/>
          <w:spacing w:val="-3"/>
        </w:rPr>
        <w:t xml:space="preserve"> </w:t>
      </w:r>
      <w:r>
        <w:rPr>
          <w:color w:val="58595B"/>
        </w:rPr>
        <w:t>undertaken</w:t>
      </w:r>
      <w:r>
        <w:rPr>
          <w:color w:val="58595B"/>
          <w:spacing w:val="-2"/>
        </w:rPr>
        <w:t xml:space="preserve"> </w:t>
      </w:r>
      <w:r>
        <w:rPr>
          <w:color w:val="58595B"/>
        </w:rPr>
        <w:t>during</w:t>
      </w:r>
      <w:r>
        <w:rPr>
          <w:color w:val="58595B"/>
          <w:spacing w:val="-2"/>
        </w:rPr>
        <w:t xml:space="preserve"> 2021–22</w:t>
      </w:r>
    </w:p>
    <w:p w14:paraId="77B5F446" w14:textId="77777777" w:rsidR="00345EE3" w:rsidRDefault="00345EE3">
      <w:pPr>
        <w:pStyle w:val="ListParagraph"/>
        <w:numPr>
          <w:ilvl w:val="1"/>
          <w:numId w:val="58"/>
        </w:numPr>
        <w:tabs>
          <w:tab w:val="left" w:pos="393"/>
          <w:tab w:val="left" w:pos="394"/>
        </w:tabs>
        <w:spacing w:before="4" w:line="242" w:lineRule="auto"/>
        <w:ind w:right="1021"/>
        <w:rPr>
          <w:sz w:val="24"/>
        </w:rPr>
      </w:pPr>
      <w:r>
        <w:rPr>
          <w:color w:val="231F20"/>
          <w:sz w:val="24"/>
        </w:rPr>
        <w:t>The</w:t>
      </w:r>
      <w:r>
        <w:rPr>
          <w:color w:val="231F20"/>
          <w:spacing w:val="-3"/>
          <w:sz w:val="24"/>
        </w:rPr>
        <w:t xml:space="preserve"> </w:t>
      </w:r>
      <w:r>
        <w:rPr>
          <w:color w:val="231F20"/>
          <w:sz w:val="24"/>
        </w:rPr>
        <w:t>Simply</w:t>
      </w:r>
      <w:r>
        <w:rPr>
          <w:color w:val="231F20"/>
          <w:spacing w:val="-2"/>
          <w:sz w:val="24"/>
        </w:rPr>
        <w:t xml:space="preserve"> </w:t>
      </w:r>
      <w:r>
        <w:rPr>
          <w:color w:val="231F20"/>
          <w:sz w:val="24"/>
        </w:rPr>
        <w:t>Cups</w:t>
      </w:r>
      <w:r>
        <w:rPr>
          <w:color w:val="231F20"/>
          <w:spacing w:val="-2"/>
          <w:sz w:val="24"/>
        </w:rPr>
        <w:t xml:space="preserve"> </w:t>
      </w:r>
      <w:r>
        <w:rPr>
          <w:color w:val="231F20"/>
          <w:sz w:val="24"/>
        </w:rPr>
        <w:t>Australia</w:t>
      </w:r>
      <w:r>
        <w:rPr>
          <w:color w:val="231F20"/>
          <w:spacing w:val="-3"/>
          <w:sz w:val="24"/>
        </w:rPr>
        <w:t xml:space="preserve"> </w:t>
      </w:r>
      <w:r>
        <w:rPr>
          <w:color w:val="231F20"/>
          <w:sz w:val="24"/>
        </w:rPr>
        <w:t>program</w:t>
      </w:r>
      <w:r>
        <w:rPr>
          <w:color w:val="231F20"/>
          <w:spacing w:val="-2"/>
          <w:sz w:val="24"/>
        </w:rPr>
        <w:t xml:space="preserve"> </w:t>
      </w:r>
      <w:r>
        <w:rPr>
          <w:color w:val="231F20"/>
          <w:sz w:val="24"/>
        </w:rPr>
        <w:t>at</w:t>
      </w:r>
      <w:r>
        <w:rPr>
          <w:color w:val="231F20"/>
          <w:spacing w:val="-2"/>
          <w:sz w:val="24"/>
        </w:rPr>
        <w:t xml:space="preserve"> </w:t>
      </w:r>
      <w:r>
        <w:rPr>
          <w:color w:val="231F20"/>
          <w:sz w:val="24"/>
        </w:rPr>
        <w:t>the</w:t>
      </w:r>
      <w:r>
        <w:rPr>
          <w:color w:val="231F20"/>
          <w:spacing w:val="-3"/>
          <w:sz w:val="24"/>
        </w:rPr>
        <w:t xml:space="preserve"> </w:t>
      </w:r>
      <w:r>
        <w:rPr>
          <w:color w:val="231F20"/>
          <w:sz w:val="24"/>
        </w:rPr>
        <w:t>VPC</w:t>
      </w:r>
      <w:r>
        <w:rPr>
          <w:color w:val="231F20"/>
          <w:spacing w:val="-3"/>
          <w:sz w:val="24"/>
        </w:rPr>
        <w:t xml:space="preserve"> </w:t>
      </w:r>
      <w:r>
        <w:rPr>
          <w:color w:val="231F20"/>
          <w:sz w:val="24"/>
        </w:rPr>
        <w:t>on</w:t>
      </w:r>
      <w:r>
        <w:rPr>
          <w:color w:val="231F20"/>
          <w:spacing w:val="-3"/>
          <w:sz w:val="24"/>
        </w:rPr>
        <w:t xml:space="preserve"> </w:t>
      </w:r>
      <w:r>
        <w:rPr>
          <w:color w:val="231F20"/>
          <w:sz w:val="24"/>
        </w:rPr>
        <w:t>Spencer</w:t>
      </w:r>
      <w:r>
        <w:rPr>
          <w:color w:val="231F20"/>
          <w:spacing w:val="-2"/>
          <w:sz w:val="24"/>
        </w:rPr>
        <w:t xml:space="preserve"> </w:t>
      </w:r>
      <w:r>
        <w:rPr>
          <w:color w:val="231F20"/>
          <w:sz w:val="24"/>
        </w:rPr>
        <w:t>Street</w:t>
      </w:r>
      <w:r>
        <w:rPr>
          <w:color w:val="231F20"/>
          <w:spacing w:val="-2"/>
          <w:sz w:val="24"/>
        </w:rPr>
        <w:t xml:space="preserve"> </w:t>
      </w:r>
      <w:r>
        <w:rPr>
          <w:color w:val="231F20"/>
          <w:sz w:val="24"/>
        </w:rPr>
        <w:t>saw</w:t>
      </w:r>
      <w:r>
        <w:rPr>
          <w:color w:val="231F20"/>
          <w:spacing w:val="-3"/>
          <w:sz w:val="24"/>
        </w:rPr>
        <w:t xml:space="preserve"> </w:t>
      </w:r>
      <w:r>
        <w:rPr>
          <w:color w:val="231F20"/>
          <w:sz w:val="24"/>
        </w:rPr>
        <w:t>234,602</w:t>
      </w:r>
      <w:r>
        <w:rPr>
          <w:color w:val="231F20"/>
          <w:spacing w:val="-3"/>
          <w:sz w:val="24"/>
        </w:rPr>
        <w:t xml:space="preserve"> </w:t>
      </w:r>
      <w:r>
        <w:rPr>
          <w:color w:val="231F20"/>
          <w:sz w:val="24"/>
        </w:rPr>
        <w:t>coffee</w:t>
      </w:r>
      <w:r>
        <w:rPr>
          <w:color w:val="231F20"/>
          <w:spacing w:val="-3"/>
          <w:sz w:val="24"/>
        </w:rPr>
        <w:t xml:space="preserve"> </w:t>
      </w:r>
      <w:r>
        <w:rPr>
          <w:color w:val="231F20"/>
          <w:sz w:val="24"/>
        </w:rPr>
        <w:t>cups diverted</w:t>
      </w:r>
      <w:r>
        <w:rPr>
          <w:color w:val="231F20"/>
          <w:spacing w:val="-8"/>
          <w:sz w:val="24"/>
        </w:rPr>
        <w:t xml:space="preserve"> </w:t>
      </w:r>
      <w:r>
        <w:rPr>
          <w:color w:val="231F20"/>
          <w:sz w:val="24"/>
        </w:rPr>
        <w:t>from</w:t>
      </w:r>
      <w:r>
        <w:rPr>
          <w:color w:val="231F20"/>
          <w:spacing w:val="-7"/>
          <w:sz w:val="24"/>
        </w:rPr>
        <w:t xml:space="preserve"> </w:t>
      </w:r>
      <w:r>
        <w:rPr>
          <w:color w:val="231F20"/>
          <w:sz w:val="24"/>
        </w:rPr>
        <w:t>landfill</w:t>
      </w:r>
      <w:r>
        <w:rPr>
          <w:color w:val="231F20"/>
          <w:spacing w:val="-8"/>
          <w:sz w:val="24"/>
        </w:rPr>
        <w:t xml:space="preserve"> </w:t>
      </w:r>
      <w:r>
        <w:rPr>
          <w:color w:val="231F20"/>
          <w:sz w:val="24"/>
        </w:rPr>
        <w:t>between</w:t>
      </w:r>
      <w:r>
        <w:rPr>
          <w:color w:val="231F20"/>
          <w:spacing w:val="-8"/>
          <w:sz w:val="24"/>
        </w:rPr>
        <w:t xml:space="preserve"> </w:t>
      </w:r>
      <w:r>
        <w:rPr>
          <w:color w:val="231F20"/>
          <w:sz w:val="24"/>
        </w:rPr>
        <w:t>1</w:t>
      </w:r>
      <w:r>
        <w:rPr>
          <w:color w:val="231F20"/>
          <w:spacing w:val="-8"/>
          <w:sz w:val="24"/>
        </w:rPr>
        <w:t xml:space="preserve"> </w:t>
      </w:r>
      <w:r>
        <w:rPr>
          <w:color w:val="231F20"/>
          <w:sz w:val="24"/>
        </w:rPr>
        <w:t>April</w:t>
      </w:r>
      <w:r>
        <w:rPr>
          <w:color w:val="231F20"/>
          <w:spacing w:val="-8"/>
          <w:sz w:val="24"/>
        </w:rPr>
        <w:t xml:space="preserve"> </w:t>
      </w:r>
      <w:r>
        <w:rPr>
          <w:color w:val="231F20"/>
          <w:sz w:val="24"/>
        </w:rPr>
        <w:t>2021</w:t>
      </w:r>
      <w:r>
        <w:rPr>
          <w:color w:val="231F20"/>
          <w:spacing w:val="-8"/>
          <w:sz w:val="24"/>
        </w:rPr>
        <w:t xml:space="preserve"> </w:t>
      </w:r>
      <w:r>
        <w:rPr>
          <w:color w:val="231F20"/>
          <w:sz w:val="24"/>
        </w:rPr>
        <w:t>and</w:t>
      </w:r>
      <w:r>
        <w:rPr>
          <w:color w:val="231F20"/>
          <w:spacing w:val="-8"/>
          <w:sz w:val="24"/>
        </w:rPr>
        <w:t xml:space="preserve"> </w:t>
      </w:r>
      <w:r>
        <w:rPr>
          <w:color w:val="231F20"/>
          <w:sz w:val="24"/>
        </w:rPr>
        <w:t>31</w:t>
      </w:r>
      <w:r>
        <w:rPr>
          <w:color w:val="231F20"/>
          <w:spacing w:val="-8"/>
          <w:sz w:val="24"/>
        </w:rPr>
        <w:t xml:space="preserve"> </w:t>
      </w:r>
      <w:r>
        <w:rPr>
          <w:color w:val="231F20"/>
          <w:sz w:val="24"/>
        </w:rPr>
        <w:t>March</w:t>
      </w:r>
      <w:r>
        <w:rPr>
          <w:color w:val="231F20"/>
          <w:spacing w:val="-8"/>
          <w:sz w:val="24"/>
        </w:rPr>
        <w:t xml:space="preserve"> </w:t>
      </w:r>
      <w:r>
        <w:rPr>
          <w:color w:val="231F20"/>
          <w:sz w:val="24"/>
        </w:rPr>
        <w:t>2022.</w:t>
      </w:r>
      <w:r>
        <w:rPr>
          <w:color w:val="231F20"/>
          <w:spacing w:val="-7"/>
          <w:sz w:val="24"/>
        </w:rPr>
        <w:t xml:space="preserve"> </w:t>
      </w:r>
      <w:r>
        <w:rPr>
          <w:color w:val="231F20"/>
          <w:sz w:val="24"/>
        </w:rPr>
        <w:t>That</w:t>
      </w:r>
      <w:r>
        <w:rPr>
          <w:color w:val="231F20"/>
          <w:spacing w:val="-7"/>
          <w:sz w:val="24"/>
        </w:rPr>
        <w:t xml:space="preserve"> </w:t>
      </w:r>
      <w:r>
        <w:rPr>
          <w:color w:val="231F20"/>
          <w:sz w:val="24"/>
        </w:rPr>
        <w:t>is</w:t>
      </w:r>
      <w:r>
        <w:rPr>
          <w:color w:val="231F20"/>
          <w:spacing w:val="-7"/>
          <w:sz w:val="24"/>
        </w:rPr>
        <w:t xml:space="preserve"> </w:t>
      </w:r>
      <w:r>
        <w:rPr>
          <w:color w:val="231F20"/>
          <w:sz w:val="24"/>
        </w:rPr>
        <w:t>equivalent</w:t>
      </w:r>
      <w:r>
        <w:rPr>
          <w:color w:val="231F20"/>
          <w:spacing w:val="-7"/>
          <w:sz w:val="24"/>
        </w:rPr>
        <w:t xml:space="preserve"> </w:t>
      </w:r>
      <w:r>
        <w:rPr>
          <w:color w:val="231F20"/>
          <w:sz w:val="24"/>
        </w:rPr>
        <w:t>to</w:t>
      </w:r>
      <w:r>
        <w:rPr>
          <w:color w:val="231F20"/>
          <w:spacing w:val="-8"/>
          <w:sz w:val="24"/>
        </w:rPr>
        <w:t xml:space="preserve"> </w:t>
      </w:r>
      <w:r>
        <w:rPr>
          <w:color w:val="231F20"/>
          <w:sz w:val="24"/>
        </w:rPr>
        <w:t>four</w:t>
      </w:r>
      <w:r>
        <w:rPr>
          <w:color w:val="231F20"/>
          <w:spacing w:val="-7"/>
          <w:sz w:val="24"/>
        </w:rPr>
        <w:t xml:space="preserve"> </w:t>
      </w:r>
      <w:r>
        <w:rPr>
          <w:color w:val="231F20"/>
          <w:sz w:val="24"/>
        </w:rPr>
        <w:t>and a half trams full of cups. Under the program, takeaway cups are upcycled to produce other items such as re-usable cups, car park stops and roadside kerbing, outdoor furniture, air- conditioning mounting blocks and road surfacing.</w:t>
      </w:r>
    </w:p>
    <w:p w14:paraId="1A691CEA" w14:textId="77777777" w:rsidR="00345EE3" w:rsidRDefault="00345EE3">
      <w:pPr>
        <w:pStyle w:val="ListParagraph"/>
        <w:numPr>
          <w:ilvl w:val="1"/>
          <w:numId w:val="58"/>
        </w:numPr>
        <w:tabs>
          <w:tab w:val="left" w:pos="393"/>
          <w:tab w:val="left" w:pos="394"/>
        </w:tabs>
        <w:spacing w:before="35" w:line="242" w:lineRule="auto"/>
        <w:ind w:right="1586"/>
        <w:rPr>
          <w:sz w:val="24"/>
        </w:rPr>
      </w:pPr>
      <w:r>
        <w:rPr>
          <w:color w:val="231F20"/>
          <w:sz w:val="24"/>
        </w:rPr>
        <w:t>The</w:t>
      </w:r>
      <w:r>
        <w:rPr>
          <w:color w:val="231F20"/>
          <w:spacing w:val="-10"/>
          <w:sz w:val="24"/>
        </w:rPr>
        <w:t xml:space="preserve"> </w:t>
      </w:r>
      <w:r>
        <w:rPr>
          <w:color w:val="231F20"/>
          <w:sz w:val="24"/>
        </w:rPr>
        <w:t>need</w:t>
      </w:r>
      <w:r>
        <w:rPr>
          <w:color w:val="231F20"/>
          <w:spacing w:val="-10"/>
          <w:sz w:val="24"/>
        </w:rPr>
        <w:t xml:space="preserve"> </w:t>
      </w:r>
      <w:r>
        <w:rPr>
          <w:color w:val="231F20"/>
          <w:sz w:val="24"/>
        </w:rPr>
        <w:t>to</w:t>
      </w:r>
      <w:r>
        <w:rPr>
          <w:color w:val="231F20"/>
          <w:spacing w:val="-10"/>
          <w:sz w:val="24"/>
        </w:rPr>
        <w:t xml:space="preserve"> </w:t>
      </w:r>
      <w:r>
        <w:rPr>
          <w:color w:val="231F20"/>
          <w:sz w:val="24"/>
        </w:rPr>
        <w:t>work</w:t>
      </w:r>
      <w:r>
        <w:rPr>
          <w:color w:val="231F20"/>
          <w:spacing w:val="-9"/>
          <w:sz w:val="24"/>
        </w:rPr>
        <w:t xml:space="preserve"> </w:t>
      </w:r>
      <w:r>
        <w:rPr>
          <w:color w:val="231F20"/>
          <w:sz w:val="24"/>
        </w:rPr>
        <w:t>from</w:t>
      </w:r>
      <w:r>
        <w:rPr>
          <w:color w:val="231F20"/>
          <w:spacing w:val="-9"/>
          <w:sz w:val="24"/>
        </w:rPr>
        <w:t xml:space="preserve"> </w:t>
      </w:r>
      <w:r>
        <w:rPr>
          <w:color w:val="231F20"/>
          <w:sz w:val="24"/>
        </w:rPr>
        <w:t>home</w:t>
      </w:r>
      <w:r>
        <w:rPr>
          <w:color w:val="231F20"/>
          <w:spacing w:val="-10"/>
          <w:sz w:val="24"/>
        </w:rPr>
        <w:t xml:space="preserve"> </w:t>
      </w:r>
      <w:r>
        <w:rPr>
          <w:color w:val="231F20"/>
          <w:sz w:val="24"/>
        </w:rPr>
        <w:t>during</w:t>
      </w:r>
      <w:r>
        <w:rPr>
          <w:color w:val="231F20"/>
          <w:spacing w:val="-10"/>
          <w:sz w:val="24"/>
        </w:rPr>
        <w:t xml:space="preserve"> </w:t>
      </w:r>
      <w:r>
        <w:rPr>
          <w:color w:val="231F20"/>
          <w:sz w:val="24"/>
        </w:rPr>
        <w:t>COVID-19</w:t>
      </w:r>
      <w:r>
        <w:rPr>
          <w:color w:val="231F20"/>
          <w:spacing w:val="-10"/>
          <w:sz w:val="24"/>
        </w:rPr>
        <w:t xml:space="preserve"> </w:t>
      </w:r>
      <w:r>
        <w:rPr>
          <w:color w:val="231F20"/>
          <w:sz w:val="24"/>
        </w:rPr>
        <w:t>restrictions</w:t>
      </w:r>
      <w:r>
        <w:rPr>
          <w:color w:val="231F20"/>
          <w:spacing w:val="-9"/>
          <w:sz w:val="24"/>
        </w:rPr>
        <w:t xml:space="preserve"> </w:t>
      </w:r>
      <w:r>
        <w:rPr>
          <w:color w:val="231F20"/>
          <w:sz w:val="24"/>
        </w:rPr>
        <w:t>contributed</w:t>
      </w:r>
      <w:r>
        <w:rPr>
          <w:color w:val="231F20"/>
          <w:spacing w:val="-10"/>
          <w:sz w:val="24"/>
        </w:rPr>
        <w:t xml:space="preserve"> </w:t>
      </w:r>
      <w:r>
        <w:rPr>
          <w:color w:val="231F20"/>
          <w:sz w:val="24"/>
        </w:rPr>
        <w:t>to</w:t>
      </w:r>
      <w:r>
        <w:rPr>
          <w:color w:val="231F20"/>
          <w:spacing w:val="-10"/>
          <w:sz w:val="24"/>
        </w:rPr>
        <w:t xml:space="preserve"> </w:t>
      </w:r>
      <w:r>
        <w:rPr>
          <w:color w:val="231F20"/>
          <w:sz w:val="24"/>
        </w:rPr>
        <w:t>the</w:t>
      </w:r>
      <w:r>
        <w:rPr>
          <w:color w:val="231F20"/>
          <w:spacing w:val="-10"/>
          <w:sz w:val="24"/>
        </w:rPr>
        <w:t xml:space="preserve"> </w:t>
      </w:r>
      <w:r>
        <w:rPr>
          <w:color w:val="231F20"/>
          <w:sz w:val="24"/>
        </w:rPr>
        <w:t>significant reduction in waste.</w:t>
      </w:r>
    </w:p>
    <w:p w14:paraId="4D86FDAC" w14:textId="77777777" w:rsidR="00345EE3" w:rsidRDefault="00345EE3">
      <w:pPr>
        <w:pStyle w:val="ListParagraph"/>
        <w:numPr>
          <w:ilvl w:val="1"/>
          <w:numId w:val="58"/>
        </w:numPr>
        <w:tabs>
          <w:tab w:val="left" w:pos="393"/>
          <w:tab w:val="left" w:pos="394"/>
        </w:tabs>
        <w:spacing w:before="30"/>
        <w:rPr>
          <w:sz w:val="24"/>
        </w:rPr>
      </w:pPr>
      <w:r>
        <w:rPr>
          <w:color w:val="231F20"/>
          <w:sz w:val="24"/>
        </w:rPr>
        <w:t>Securely</w:t>
      </w:r>
      <w:r>
        <w:rPr>
          <w:color w:val="231F20"/>
          <w:spacing w:val="-12"/>
          <w:sz w:val="24"/>
        </w:rPr>
        <w:t xml:space="preserve"> </w:t>
      </w:r>
      <w:r>
        <w:rPr>
          <w:color w:val="231F20"/>
          <w:sz w:val="24"/>
        </w:rPr>
        <w:t>destroyed</w:t>
      </w:r>
      <w:r>
        <w:rPr>
          <w:color w:val="231F20"/>
          <w:spacing w:val="-11"/>
          <w:sz w:val="24"/>
        </w:rPr>
        <w:t xml:space="preserve"> </w:t>
      </w:r>
      <w:r>
        <w:rPr>
          <w:color w:val="231F20"/>
          <w:sz w:val="24"/>
        </w:rPr>
        <w:t>paper</w:t>
      </w:r>
      <w:r>
        <w:rPr>
          <w:color w:val="231F20"/>
          <w:spacing w:val="-11"/>
          <w:sz w:val="24"/>
        </w:rPr>
        <w:t xml:space="preserve"> </w:t>
      </w:r>
      <w:r>
        <w:rPr>
          <w:color w:val="231F20"/>
          <w:sz w:val="24"/>
        </w:rPr>
        <w:t>was</w:t>
      </w:r>
      <w:r>
        <w:rPr>
          <w:color w:val="231F20"/>
          <w:spacing w:val="-11"/>
          <w:sz w:val="24"/>
        </w:rPr>
        <w:t xml:space="preserve"> </w:t>
      </w:r>
      <w:r>
        <w:rPr>
          <w:color w:val="231F20"/>
          <w:spacing w:val="-2"/>
          <w:sz w:val="24"/>
        </w:rPr>
        <w:t>recycled.</w:t>
      </w:r>
    </w:p>
    <w:p w14:paraId="4EBE7FF5" w14:textId="77777777" w:rsidR="00345EE3" w:rsidRDefault="00345EE3" w:rsidP="00345EE3">
      <w:pPr>
        <w:rPr>
          <w:b/>
          <w:bCs/>
          <w:color w:val="58595B"/>
          <w:sz w:val="24"/>
          <w:szCs w:val="24"/>
        </w:rPr>
      </w:pPr>
      <w:r>
        <w:rPr>
          <w:color w:val="58595B"/>
        </w:rPr>
        <w:br w:type="page"/>
      </w:r>
    </w:p>
    <w:p w14:paraId="7D3FB6FD" w14:textId="77777777" w:rsidR="00345EE3" w:rsidRDefault="00345EE3" w:rsidP="00345EE3">
      <w:pPr>
        <w:pStyle w:val="Heading5"/>
        <w:spacing w:before="175"/>
      </w:pPr>
      <w:r>
        <w:rPr>
          <w:color w:val="58595B"/>
        </w:rPr>
        <w:t>Targets</w:t>
      </w:r>
      <w:r>
        <w:rPr>
          <w:color w:val="58595B"/>
          <w:spacing w:val="-13"/>
        </w:rPr>
        <w:t xml:space="preserve"> </w:t>
      </w:r>
      <w:r>
        <w:rPr>
          <w:color w:val="58595B"/>
        </w:rPr>
        <w:t>for</w:t>
      </w:r>
      <w:r>
        <w:rPr>
          <w:color w:val="58595B"/>
          <w:spacing w:val="-11"/>
        </w:rPr>
        <w:t xml:space="preserve"> </w:t>
      </w:r>
      <w:r>
        <w:rPr>
          <w:color w:val="58595B"/>
          <w:spacing w:val="-2"/>
        </w:rPr>
        <w:t>2022–23</w:t>
      </w:r>
    </w:p>
    <w:p w14:paraId="105BF1B6" w14:textId="77777777" w:rsidR="00345EE3" w:rsidRDefault="00345EE3">
      <w:pPr>
        <w:pStyle w:val="ListParagraph"/>
        <w:numPr>
          <w:ilvl w:val="1"/>
          <w:numId w:val="58"/>
        </w:numPr>
        <w:tabs>
          <w:tab w:val="left" w:pos="393"/>
          <w:tab w:val="left" w:pos="394"/>
        </w:tabs>
        <w:spacing w:before="4" w:line="242" w:lineRule="auto"/>
        <w:ind w:right="1201"/>
        <w:rPr>
          <w:sz w:val="24"/>
        </w:rPr>
      </w:pP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will</w:t>
      </w:r>
      <w:r>
        <w:rPr>
          <w:color w:val="231F20"/>
          <w:spacing w:val="-10"/>
          <w:sz w:val="24"/>
        </w:rPr>
        <w:t xml:space="preserve"> </w:t>
      </w:r>
      <w:r>
        <w:rPr>
          <w:color w:val="231F20"/>
          <w:sz w:val="24"/>
        </w:rPr>
        <w:t>continue</w:t>
      </w:r>
      <w:r>
        <w:rPr>
          <w:color w:val="231F20"/>
          <w:spacing w:val="-10"/>
          <w:sz w:val="24"/>
        </w:rPr>
        <w:t xml:space="preserve"> </w:t>
      </w:r>
      <w:r>
        <w:rPr>
          <w:color w:val="231F20"/>
          <w:sz w:val="24"/>
        </w:rPr>
        <w:t>to</w:t>
      </w:r>
      <w:r>
        <w:rPr>
          <w:color w:val="231F20"/>
          <w:spacing w:val="-10"/>
          <w:sz w:val="24"/>
        </w:rPr>
        <w:t xml:space="preserve"> </w:t>
      </w:r>
      <w:r>
        <w:rPr>
          <w:color w:val="231F20"/>
          <w:sz w:val="24"/>
        </w:rPr>
        <w:t>identify</w:t>
      </w:r>
      <w:r>
        <w:rPr>
          <w:color w:val="231F20"/>
          <w:spacing w:val="-9"/>
          <w:sz w:val="24"/>
        </w:rPr>
        <w:t xml:space="preserve"> </w:t>
      </w:r>
      <w:r>
        <w:rPr>
          <w:color w:val="231F20"/>
          <w:sz w:val="24"/>
        </w:rPr>
        <w:t>and</w:t>
      </w:r>
      <w:r>
        <w:rPr>
          <w:color w:val="231F20"/>
          <w:spacing w:val="-10"/>
          <w:sz w:val="24"/>
        </w:rPr>
        <w:t xml:space="preserve"> </w:t>
      </w:r>
      <w:r>
        <w:rPr>
          <w:color w:val="231F20"/>
          <w:sz w:val="24"/>
        </w:rPr>
        <w:t>adopt</w:t>
      </w:r>
      <w:r>
        <w:rPr>
          <w:color w:val="231F20"/>
          <w:spacing w:val="-9"/>
          <w:sz w:val="24"/>
        </w:rPr>
        <w:t xml:space="preserve"> </w:t>
      </w:r>
      <w:r>
        <w:rPr>
          <w:color w:val="231F20"/>
          <w:sz w:val="24"/>
        </w:rPr>
        <w:t>activities</w:t>
      </w:r>
      <w:r>
        <w:rPr>
          <w:color w:val="231F20"/>
          <w:spacing w:val="-9"/>
          <w:sz w:val="24"/>
        </w:rPr>
        <w:t xml:space="preserve"> </w:t>
      </w:r>
      <w:r>
        <w:rPr>
          <w:color w:val="231F20"/>
          <w:sz w:val="24"/>
        </w:rPr>
        <w:t>to</w:t>
      </w:r>
      <w:r>
        <w:rPr>
          <w:color w:val="231F20"/>
          <w:spacing w:val="-10"/>
          <w:sz w:val="24"/>
        </w:rPr>
        <w:t xml:space="preserve"> </w:t>
      </w:r>
      <w:r>
        <w:rPr>
          <w:color w:val="231F20"/>
          <w:sz w:val="24"/>
        </w:rPr>
        <w:t>reduce</w:t>
      </w:r>
      <w:r>
        <w:rPr>
          <w:color w:val="231F20"/>
          <w:spacing w:val="-10"/>
          <w:sz w:val="24"/>
        </w:rPr>
        <w:t xml:space="preserve"> </w:t>
      </w:r>
      <w:r>
        <w:rPr>
          <w:color w:val="231F20"/>
          <w:sz w:val="24"/>
        </w:rPr>
        <w:t>environmental</w:t>
      </w:r>
      <w:r>
        <w:rPr>
          <w:color w:val="231F20"/>
          <w:spacing w:val="-10"/>
          <w:sz w:val="24"/>
        </w:rPr>
        <w:t xml:space="preserve"> </w:t>
      </w:r>
      <w:r>
        <w:rPr>
          <w:color w:val="231F20"/>
          <w:sz w:val="24"/>
        </w:rPr>
        <w:t>impacts associated with waste.</w:t>
      </w:r>
    </w:p>
    <w:p w14:paraId="325498E0" w14:textId="77777777" w:rsidR="00345EE3" w:rsidRDefault="00345EE3" w:rsidP="002A27BA">
      <w:pPr>
        <w:pStyle w:val="Heading3"/>
      </w:pPr>
      <w:r>
        <w:t>Paper</w:t>
      </w:r>
      <w:r>
        <w:rPr>
          <w:spacing w:val="-5"/>
        </w:rPr>
        <w:t xml:space="preserve"> use</w:t>
      </w:r>
    </w:p>
    <w:p w14:paraId="7279A755" w14:textId="77777777" w:rsidR="00345EE3" w:rsidRDefault="00345EE3" w:rsidP="00345EE3">
      <w:pPr>
        <w:pStyle w:val="BodyText"/>
        <w:spacing w:before="53" w:line="242" w:lineRule="auto"/>
        <w:ind w:right="921"/>
      </w:pPr>
      <w:r>
        <w:rPr>
          <w:color w:val="231F20"/>
        </w:rPr>
        <w:t>Victoria Police is continuing to become more efficient in the usage of paper across the organisation.</w:t>
      </w:r>
      <w:r>
        <w:rPr>
          <w:color w:val="231F20"/>
          <w:spacing w:val="-7"/>
        </w:rPr>
        <w:t xml:space="preserve"> </w:t>
      </w:r>
      <w:r>
        <w:rPr>
          <w:color w:val="231F20"/>
        </w:rPr>
        <w:t>Data</w:t>
      </w:r>
      <w:r>
        <w:rPr>
          <w:color w:val="231F20"/>
          <w:spacing w:val="-8"/>
        </w:rPr>
        <w:t xml:space="preserve"> </w:t>
      </w:r>
      <w:r>
        <w:rPr>
          <w:color w:val="231F20"/>
        </w:rPr>
        <w:t>for</w:t>
      </w:r>
      <w:r>
        <w:rPr>
          <w:color w:val="231F20"/>
          <w:spacing w:val="-7"/>
        </w:rPr>
        <w:t xml:space="preserve"> </w:t>
      </w:r>
      <w:r>
        <w:rPr>
          <w:color w:val="231F20"/>
        </w:rPr>
        <w:t>the</w:t>
      </w:r>
      <w:r>
        <w:rPr>
          <w:color w:val="231F20"/>
          <w:spacing w:val="-8"/>
        </w:rPr>
        <w:t xml:space="preserve"> </w:t>
      </w:r>
      <w:r>
        <w:rPr>
          <w:color w:val="231F20"/>
        </w:rPr>
        <w:t>2021–22</w:t>
      </w:r>
      <w:r>
        <w:rPr>
          <w:color w:val="231F20"/>
          <w:spacing w:val="-8"/>
        </w:rPr>
        <w:t xml:space="preserve"> </w:t>
      </w:r>
      <w:r>
        <w:rPr>
          <w:color w:val="231F20"/>
        </w:rPr>
        <w:t>period</w:t>
      </w:r>
      <w:r>
        <w:rPr>
          <w:color w:val="231F20"/>
          <w:spacing w:val="-8"/>
        </w:rPr>
        <w:t xml:space="preserve"> </w:t>
      </w:r>
      <w:r>
        <w:rPr>
          <w:color w:val="231F20"/>
        </w:rPr>
        <w:t>account</w:t>
      </w:r>
      <w:r>
        <w:rPr>
          <w:color w:val="231F20"/>
          <w:spacing w:val="-7"/>
        </w:rPr>
        <w:t xml:space="preserve"> </w:t>
      </w:r>
      <w:r>
        <w:rPr>
          <w:color w:val="231F20"/>
        </w:rPr>
        <w:t>for</w:t>
      </w:r>
      <w:r>
        <w:rPr>
          <w:color w:val="231F20"/>
          <w:spacing w:val="-7"/>
        </w:rPr>
        <w:t xml:space="preserve"> </w:t>
      </w:r>
      <w:r>
        <w:rPr>
          <w:color w:val="231F20"/>
        </w:rPr>
        <w:t>61.8</w:t>
      </w:r>
      <w:r>
        <w:rPr>
          <w:color w:val="231F20"/>
          <w:spacing w:val="-8"/>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rPr>
        <w:t>of</w:t>
      </w:r>
      <w:r>
        <w:rPr>
          <w:color w:val="231F20"/>
          <w:spacing w:val="-7"/>
        </w:rPr>
        <w:t xml:space="preserve"> </w:t>
      </w:r>
      <w:r>
        <w:rPr>
          <w:color w:val="231F20"/>
        </w:rPr>
        <w:t>sites</w:t>
      </w:r>
      <w:r>
        <w:rPr>
          <w:color w:val="231F20"/>
          <w:spacing w:val="-7"/>
        </w:rPr>
        <w:t xml:space="preserve"> </w:t>
      </w:r>
      <w:r>
        <w:rPr>
          <w:color w:val="231F20"/>
        </w:rPr>
        <w:t>and</w:t>
      </w:r>
      <w:r>
        <w:rPr>
          <w:color w:val="231F20"/>
          <w:spacing w:val="-8"/>
        </w:rPr>
        <w:t xml:space="preserve"> </w:t>
      </w:r>
      <w:r>
        <w:rPr>
          <w:color w:val="231F20"/>
        </w:rPr>
        <w:t>96.5</w:t>
      </w:r>
      <w:r>
        <w:rPr>
          <w:color w:val="231F20"/>
          <w:spacing w:val="-7"/>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rPr>
        <w:t>of Victoria Police FTE. Missing data have not been extrapolated.</w:t>
      </w:r>
    </w:p>
    <w:p w14:paraId="40155F8A" w14:textId="77777777" w:rsidR="00345EE3" w:rsidRDefault="00345EE3" w:rsidP="00345EE3">
      <w:pPr>
        <w:spacing w:before="123" w:after="120"/>
        <w:ind w:left="110"/>
        <w:rPr>
          <w:rFonts w:ascii="Arial-BoldItalicMT"/>
          <w:b/>
          <w:i/>
          <w:color w:val="231F20"/>
          <w:spacing w:val="-2"/>
          <w:sz w:val="18"/>
        </w:rPr>
      </w:pPr>
      <w:r>
        <w:rPr>
          <w:color w:val="231F20"/>
          <w:sz w:val="18"/>
        </w:rPr>
        <w:t>Table</w:t>
      </w:r>
      <w:r>
        <w:rPr>
          <w:color w:val="231F20"/>
          <w:spacing w:val="-9"/>
          <w:sz w:val="18"/>
        </w:rPr>
        <w:t xml:space="preserve"> </w:t>
      </w:r>
      <w:r>
        <w:rPr>
          <w:color w:val="231F20"/>
          <w:sz w:val="18"/>
        </w:rPr>
        <w:t>5.24:</w:t>
      </w:r>
      <w:r>
        <w:rPr>
          <w:color w:val="231F20"/>
          <w:spacing w:val="-6"/>
          <w:sz w:val="18"/>
        </w:rPr>
        <w:t xml:space="preserve"> </w:t>
      </w:r>
      <w:r>
        <w:rPr>
          <w:rFonts w:ascii="Arial-BoldItalicMT"/>
          <w:b/>
          <w:i/>
          <w:color w:val="231F20"/>
          <w:sz w:val="18"/>
        </w:rPr>
        <w:t>Paper</w:t>
      </w:r>
      <w:r>
        <w:rPr>
          <w:rFonts w:ascii="Arial-BoldItalicMT"/>
          <w:b/>
          <w:i/>
          <w:color w:val="231F20"/>
          <w:spacing w:val="-9"/>
          <w:sz w:val="18"/>
        </w:rPr>
        <w:t xml:space="preserve"> </w:t>
      </w:r>
      <w:r>
        <w:rPr>
          <w:rFonts w:ascii="Arial-BoldItalicMT"/>
          <w:b/>
          <w:i/>
          <w:color w:val="231F20"/>
          <w:sz w:val="18"/>
        </w:rPr>
        <w:t>Use</w:t>
      </w:r>
      <w:r>
        <w:rPr>
          <w:rFonts w:ascii="Arial-BoldItalicMT"/>
          <w:b/>
          <w:i/>
          <w:color w:val="231F20"/>
          <w:spacing w:val="-8"/>
          <w:sz w:val="18"/>
        </w:rPr>
        <w:t xml:space="preserve"> </w:t>
      </w:r>
      <w:r>
        <w:rPr>
          <w:rFonts w:ascii="Arial-BoldItalicMT"/>
          <w:b/>
          <w:i/>
          <w:color w:val="231F20"/>
          <w:sz w:val="18"/>
        </w:rPr>
        <w:t>Indicator</w:t>
      </w:r>
      <w:r>
        <w:rPr>
          <w:rFonts w:ascii="Arial-BoldItalicMT"/>
          <w:b/>
          <w:i/>
          <w:color w:val="231F20"/>
          <w:spacing w:val="-9"/>
          <w:sz w:val="18"/>
        </w:rPr>
        <w:t xml:space="preserve"> </w:t>
      </w:r>
      <w:r>
        <w:rPr>
          <w:rFonts w:ascii="Arial-BoldItalicMT"/>
          <w:b/>
          <w:i/>
          <w:color w:val="231F20"/>
          <w:sz w:val="18"/>
        </w:rPr>
        <w:t>consumption</w:t>
      </w:r>
      <w:r>
        <w:rPr>
          <w:rFonts w:ascii="Arial-BoldItalicMT"/>
          <w:b/>
          <w:i/>
          <w:color w:val="231F20"/>
          <w:spacing w:val="-9"/>
          <w:sz w:val="18"/>
        </w:rPr>
        <w:t xml:space="preserve"> </w:t>
      </w:r>
      <w:r>
        <w:rPr>
          <w:rFonts w:ascii="Arial-BoldItalicMT"/>
          <w:b/>
          <w:i/>
          <w:color w:val="231F20"/>
          <w:sz w:val="18"/>
        </w:rPr>
        <w:t>totals</w:t>
      </w:r>
      <w:r>
        <w:rPr>
          <w:rFonts w:ascii="Arial-BoldItalicMT"/>
          <w:b/>
          <w:i/>
          <w:color w:val="231F20"/>
          <w:spacing w:val="-9"/>
          <w:sz w:val="18"/>
        </w:rPr>
        <w:t xml:space="preserve"> </w:t>
      </w:r>
      <w:r>
        <w:rPr>
          <w:rFonts w:ascii="Arial-BoldItalicMT"/>
          <w:b/>
          <w:i/>
          <w:color w:val="231F20"/>
          <w:sz w:val="18"/>
        </w:rPr>
        <w:t>(three-year</w:t>
      </w:r>
      <w:r>
        <w:rPr>
          <w:rFonts w:ascii="Arial-BoldItalicMT"/>
          <w:b/>
          <w:i/>
          <w:color w:val="231F20"/>
          <w:spacing w:val="-8"/>
          <w:sz w:val="18"/>
        </w:rPr>
        <w:t xml:space="preserve"> </w:t>
      </w:r>
      <w:r>
        <w:rPr>
          <w:rFonts w:ascii="Arial-BoldItalicMT"/>
          <w:b/>
          <w:i/>
          <w:color w:val="231F20"/>
          <w:spacing w:val="-2"/>
          <w:sz w:val="18"/>
        </w:rPr>
        <w:t>summary)</w:t>
      </w:r>
    </w:p>
    <w:tbl>
      <w:tblPr>
        <w:tblW w:w="0" w:type="auto"/>
        <w:tblInd w:w="156" w:type="dxa"/>
        <w:tblLayout w:type="fixed"/>
        <w:tblCellMar>
          <w:left w:w="0" w:type="dxa"/>
          <w:right w:w="0" w:type="dxa"/>
        </w:tblCellMar>
        <w:tblLook w:val="0000" w:firstRow="0" w:lastRow="0" w:firstColumn="0" w:lastColumn="0" w:noHBand="0" w:noVBand="0"/>
      </w:tblPr>
      <w:tblGrid>
        <w:gridCol w:w="6633"/>
        <w:gridCol w:w="1191"/>
        <w:gridCol w:w="1190"/>
        <w:gridCol w:w="1191"/>
      </w:tblGrid>
      <w:tr w:rsidR="00345EE3" w:rsidRPr="00A447E4" w14:paraId="45F9C87B" w14:textId="77777777" w:rsidTr="00D73130">
        <w:trPr>
          <w:trHeight w:val="60"/>
          <w:tblHeader/>
        </w:trPr>
        <w:tc>
          <w:tcPr>
            <w:tcW w:w="663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0EFF0E1F"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A447E4">
              <w:rPr>
                <w:rFonts w:eastAsiaTheme="minorHAnsi"/>
                <w:b/>
                <w:bCs/>
                <w:color w:val="FFFFFF"/>
                <w:sz w:val="24"/>
                <w:szCs w:val="24"/>
                <w:lang w:val="en-GB"/>
              </w:rPr>
              <w:t>Indicator</w:t>
            </w:r>
          </w:p>
        </w:tc>
        <w:tc>
          <w:tcPr>
            <w:tcW w:w="1191"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9CD7EB2"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2019–20</w:t>
            </w:r>
          </w:p>
        </w:tc>
        <w:tc>
          <w:tcPr>
            <w:tcW w:w="1190"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B825EC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2020–21</w:t>
            </w:r>
          </w:p>
        </w:tc>
        <w:tc>
          <w:tcPr>
            <w:tcW w:w="1191"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237B22F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2021–22</w:t>
            </w:r>
          </w:p>
        </w:tc>
      </w:tr>
      <w:tr w:rsidR="00345EE3" w:rsidRPr="00A447E4" w14:paraId="75AD144C"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A8CF399"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P1. Total units of A4 equivalent copy paper used (reams)</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69F10D"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213,544</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751499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176,493</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481768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162,449</w:t>
            </w:r>
          </w:p>
        </w:tc>
      </w:tr>
      <w:tr w:rsidR="00345EE3" w:rsidRPr="00A447E4" w14:paraId="6A9B5880"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BF0A019"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P2. Units of A4 equivalent copy paper used per FTE (reams/FTE)</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3A958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10.0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88447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8.2</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1B6BDC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7.6</w:t>
            </w:r>
          </w:p>
        </w:tc>
      </w:tr>
      <w:tr w:rsidR="00345EE3" w:rsidRPr="00A447E4" w14:paraId="5AC48045"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49F2534"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P3. 75–100% recycled content (%)</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631BA6"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98.6</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D288E6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 xml:space="preserve">97.7 </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7EB5910"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96.8</w:t>
            </w:r>
          </w:p>
        </w:tc>
      </w:tr>
      <w:tr w:rsidR="00345EE3" w:rsidRPr="00A447E4" w14:paraId="465F210F"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F79BF84"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P3. 50–74% recycled content (%)</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B50CB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8B663B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81C07A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0.0</w:t>
            </w:r>
          </w:p>
        </w:tc>
      </w:tr>
      <w:tr w:rsidR="00345EE3" w:rsidRPr="00A447E4" w14:paraId="2DF836AA" w14:textId="77777777" w:rsidTr="00D73130">
        <w:trPr>
          <w:trHeight w:val="60"/>
        </w:trPr>
        <w:tc>
          <w:tcPr>
            <w:tcW w:w="6633"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4A84128B"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P3: Percentage of 0–49% recycled content (%)</w:t>
            </w:r>
          </w:p>
        </w:tc>
        <w:tc>
          <w:tcPr>
            <w:tcW w:w="119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47C82D05"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1.4</w:t>
            </w:r>
          </w:p>
        </w:tc>
        <w:tc>
          <w:tcPr>
            <w:tcW w:w="119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6574007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2.3</w:t>
            </w:r>
          </w:p>
        </w:tc>
        <w:tc>
          <w:tcPr>
            <w:tcW w:w="1191"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2E41D0E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3.2</w:t>
            </w:r>
          </w:p>
        </w:tc>
      </w:tr>
    </w:tbl>
    <w:p w14:paraId="2655DE31" w14:textId="77777777" w:rsidR="00345EE3" w:rsidRDefault="00345EE3" w:rsidP="00345EE3">
      <w:pPr>
        <w:spacing w:before="83"/>
        <w:ind w:left="110"/>
        <w:rPr>
          <w:sz w:val="14"/>
        </w:rPr>
      </w:pPr>
      <w:r>
        <w:rPr>
          <w:rFonts w:ascii="Arial-BoldItalicMT"/>
          <w:b/>
          <w:i/>
          <w:color w:val="231F20"/>
          <w:sz w:val="14"/>
        </w:rPr>
        <w:t>Source:</w:t>
      </w:r>
      <w:r>
        <w:rPr>
          <w:rFonts w:ascii="Arial-BoldItalicMT"/>
          <w:b/>
          <w:i/>
          <w:color w:val="231F20"/>
          <w:spacing w:val="2"/>
          <w:sz w:val="14"/>
        </w:rPr>
        <w:t xml:space="preserve"> </w:t>
      </w:r>
      <w:r>
        <w:rPr>
          <w:color w:val="231F20"/>
          <w:sz w:val="14"/>
        </w:rPr>
        <w:t>Operational Infrastructure</w:t>
      </w:r>
      <w:r>
        <w:rPr>
          <w:color w:val="231F20"/>
          <w:spacing w:val="1"/>
          <w:sz w:val="14"/>
        </w:rPr>
        <w:t xml:space="preserve"> </w:t>
      </w:r>
      <w:r>
        <w:rPr>
          <w:color w:val="231F20"/>
          <w:sz w:val="14"/>
        </w:rPr>
        <w:t>Department. Data extracted from</w:t>
      </w:r>
      <w:r>
        <w:rPr>
          <w:color w:val="231F20"/>
          <w:spacing w:val="1"/>
          <w:sz w:val="14"/>
        </w:rPr>
        <w:t xml:space="preserve"> </w:t>
      </w:r>
      <w:r>
        <w:rPr>
          <w:color w:val="231F20"/>
          <w:sz w:val="14"/>
        </w:rPr>
        <w:t>various sources between</w:t>
      </w:r>
      <w:r>
        <w:rPr>
          <w:color w:val="231F20"/>
          <w:spacing w:val="1"/>
          <w:sz w:val="14"/>
        </w:rPr>
        <w:t xml:space="preserve"> </w:t>
      </w:r>
      <w:r>
        <w:rPr>
          <w:color w:val="231F20"/>
          <w:sz w:val="14"/>
        </w:rPr>
        <w:t>1 April 2021</w:t>
      </w:r>
      <w:r>
        <w:rPr>
          <w:color w:val="231F20"/>
          <w:spacing w:val="1"/>
          <w:sz w:val="14"/>
        </w:rPr>
        <w:t xml:space="preserve"> </w:t>
      </w:r>
      <w:r>
        <w:rPr>
          <w:color w:val="231F20"/>
          <w:sz w:val="14"/>
        </w:rPr>
        <w:t>and 15 July</w:t>
      </w:r>
      <w:r>
        <w:rPr>
          <w:color w:val="231F20"/>
          <w:spacing w:val="1"/>
          <w:sz w:val="14"/>
        </w:rPr>
        <w:t xml:space="preserve"> </w:t>
      </w:r>
      <w:r>
        <w:rPr>
          <w:color w:val="231F20"/>
          <w:spacing w:val="-2"/>
          <w:sz w:val="14"/>
        </w:rPr>
        <w:t>2022.</w:t>
      </w:r>
    </w:p>
    <w:p w14:paraId="4739CDC0" w14:textId="77777777" w:rsidR="00345EE3" w:rsidRDefault="00345EE3" w:rsidP="00345EE3">
      <w:pPr>
        <w:pStyle w:val="BodyText"/>
        <w:rPr>
          <w:sz w:val="17"/>
        </w:rPr>
      </w:pPr>
    </w:p>
    <w:p w14:paraId="0F971153" w14:textId="77777777" w:rsidR="00345EE3" w:rsidRDefault="00345EE3" w:rsidP="00345EE3">
      <w:pPr>
        <w:pStyle w:val="Heading5"/>
        <w:spacing w:before="0"/>
      </w:pPr>
      <w:r>
        <w:rPr>
          <w:color w:val="58595B"/>
        </w:rPr>
        <w:t>Actions</w:t>
      </w:r>
      <w:r>
        <w:rPr>
          <w:color w:val="58595B"/>
          <w:spacing w:val="-3"/>
        </w:rPr>
        <w:t xml:space="preserve"> </w:t>
      </w:r>
      <w:r>
        <w:rPr>
          <w:color w:val="58595B"/>
        </w:rPr>
        <w:t>undertaken</w:t>
      </w:r>
      <w:r>
        <w:rPr>
          <w:color w:val="58595B"/>
          <w:spacing w:val="-2"/>
        </w:rPr>
        <w:t xml:space="preserve"> </w:t>
      </w:r>
      <w:r>
        <w:rPr>
          <w:color w:val="58595B"/>
        </w:rPr>
        <w:t>during</w:t>
      </w:r>
      <w:r>
        <w:rPr>
          <w:color w:val="58595B"/>
          <w:spacing w:val="-2"/>
        </w:rPr>
        <w:t xml:space="preserve"> 2021–22</w:t>
      </w:r>
    </w:p>
    <w:p w14:paraId="31805713" w14:textId="77777777" w:rsidR="00345EE3" w:rsidRDefault="00345EE3">
      <w:pPr>
        <w:pStyle w:val="ListParagraph"/>
        <w:numPr>
          <w:ilvl w:val="1"/>
          <w:numId w:val="58"/>
        </w:numPr>
        <w:tabs>
          <w:tab w:val="left" w:pos="393"/>
          <w:tab w:val="left" w:pos="394"/>
        </w:tabs>
        <w:spacing w:before="4" w:line="242" w:lineRule="auto"/>
        <w:ind w:right="864"/>
        <w:rPr>
          <w:sz w:val="24"/>
        </w:rPr>
      </w:pPr>
      <w:r>
        <w:rPr>
          <w:color w:val="231F20"/>
          <w:spacing w:val="-2"/>
          <w:sz w:val="24"/>
        </w:rPr>
        <w:t>The</w:t>
      </w:r>
      <w:r>
        <w:rPr>
          <w:color w:val="231F20"/>
          <w:spacing w:val="-15"/>
          <w:sz w:val="24"/>
        </w:rPr>
        <w:t xml:space="preserve"> </w:t>
      </w:r>
      <w:r>
        <w:rPr>
          <w:color w:val="231F20"/>
          <w:spacing w:val="-2"/>
          <w:sz w:val="24"/>
        </w:rPr>
        <w:t>adoption</w:t>
      </w:r>
      <w:r>
        <w:rPr>
          <w:color w:val="231F20"/>
          <w:spacing w:val="-15"/>
          <w:sz w:val="24"/>
        </w:rPr>
        <w:t xml:space="preserve"> </w:t>
      </w:r>
      <w:r>
        <w:rPr>
          <w:color w:val="231F20"/>
          <w:spacing w:val="-2"/>
          <w:sz w:val="24"/>
        </w:rPr>
        <w:t>and</w:t>
      </w:r>
      <w:r>
        <w:rPr>
          <w:color w:val="231F20"/>
          <w:spacing w:val="-14"/>
          <w:sz w:val="24"/>
        </w:rPr>
        <w:t xml:space="preserve"> </w:t>
      </w:r>
      <w:r>
        <w:rPr>
          <w:color w:val="231F20"/>
          <w:spacing w:val="-2"/>
          <w:sz w:val="24"/>
        </w:rPr>
        <w:t>use</w:t>
      </w:r>
      <w:r>
        <w:rPr>
          <w:color w:val="231F20"/>
          <w:spacing w:val="-15"/>
          <w:sz w:val="24"/>
        </w:rPr>
        <w:t xml:space="preserve"> </w:t>
      </w:r>
      <w:r>
        <w:rPr>
          <w:color w:val="231F20"/>
          <w:spacing w:val="-2"/>
          <w:sz w:val="24"/>
        </w:rPr>
        <w:t>of</w:t>
      </w:r>
      <w:r>
        <w:rPr>
          <w:color w:val="231F20"/>
          <w:spacing w:val="-15"/>
          <w:sz w:val="24"/>
        </w:rPr>
        <w:t xml:space="preserve"> </w:t>
      </w:r>
      <w:r>
        <w:rPr>
          <w:color w:val="231F20"/>
          <w:spacing w:val="-2"/>
          <w:sz w:val="24"/>
        </w:rPr>
        <w:t>Microsoft</w:t>
      </w:r>
      <w:r>
        <w:rPr>
          <w:color w:val="231F20"/>
          <w:spacing w:val="-15"/>
          <w:sz w:val="24"/>
        </w:rPr>
        <w:t xml:space="preserve"> </w:t>
      </w:r>
      <w:r>
        <w:rPr>
          <w:color w:val="231F20"/>
          <w:spacing w:val="-2"/>
          <w:sz w:val="24"/>
        </w:rPr>
        <w:t>365</w:t>
      </w:r>
      <w:r>
        <w:rPr>
          <w:color w:val="231F20"/>
          <w:spacing w:val="-14"/>
          <w:sz w:val="24"/>
        </w:rPr>
        <w:t xml:space="preserve"> </w:t>
      </w:r>
      <w:r>
        <w:rPr>
          <w:color w:val="231F20"/>
          <w:spacing w:val="-2"/>
          <w:sz w:val="24"/>
        </w:rPr>
        <w:t>software</w:t>
      </w:r>
      <w:r>
        <w:rPr>
          <w:color w:val="231F20"/>
          <w:spacing w:val="-15"/>
          <w:sz w:val="24"/>
        </w:rPr>
        <w:t xml:space="preserve"> </w:t>
      </w:r>
      <w:r>
        <w:rPr>
          <w:color w:val="231F20"/>
          <w:spacing w:val="-2"/>
          <w:sz w:val="24"/>
        </w:rPr>
        <w:t>such</w:t>
      </w:r>
      <w:r>
        <w:rPr>
          <w:color w:val="231F20"/>
          <w:spacing w:val="-15"/>
          <w:sz w:val="24"/>
        </w:rPr>
        <w:t xml:space="preserve"> </w:t>
      </w:r>
      <w:r>
        <w:rPr>
          <w:color w:val="231F20"/>
          <w:spacing w:val="-2"/>
          <w:sz w:val="24"/>
        </w:rPr>
        <w:t>as</w:t>
      </w:r>
      <w:r>
        <w:rPr>
          <w:color w:val="231F20"/>
          <w:spacing w:val="-14"/>
          <w:sz w:val="24"/>
        </w:rPr>
        <w:t xml:space="preserve"> </w:t>
      </w:r>
      <w:r>
        <w:rPr>
          <w:color w:val="231F20"/>
          <w:spacing w:val="-2"/>
          <w:sz w:val="24"/>
        </w:rPr>
        <w:t>Microsoft</w:t>
      </w:r>
      <w:r>
        <w:rPr>
          <w:color w:val="231F20"/>
          <w:spacing w:val="-15"/>
          <w:sz w:val="24"/>
        </w:rPr>
        <w:t xml:space="preserve"> </w:t>
      </w:r>
      <w:r>
        <w:rPr>
          <w:color w:val="231F20"/>
          <w:spacing w:val="-2"/>
          <w:sz w:val="24"/>
        </w:rPr>
        <w:t>Teams</w:t>
      </w:r>
      <w:r>
        <w:rPr>
          <w:color w:val="231F20"/>
          <w:spacing w:val="-15"/>
          <w:sz w:val="24"/>
        </w:rPr>
        <w:t xml:space="preserve"> </w:t>
      </w:r>
      <w:r>
        <w:rPr>
          <w:color w:val="231F20"/>
          <w:spacing w:val="-2"/>
          <w:sz w:val="24"/>
        </w:rPr>
        <w:t>for</w:t>
      </w:r>
      <w:r>
        <w:rPr>
          <w:color w:val="231F20"/>
          <w:spacing w:val="-14"/>
          <w:sz w:val="24"/>
        </w:rPr>
        <w:t xml:space="preserve"> </w:t>
      </w:r>
      <w:r>
        <w:rPr>
          <w:color w:val="231F20"/>
          <w:spacing w:val="-2"/>
          <w:sz w:val="24"/>
        </w:rPr>
        <w:t>collaborating</w:t>
      </w:r>
      <w:r>
        <w:rPr>
          <w:color w:val="231F20"/>
          <w:spacing w:val="-15"/>
          <w:sz w:val="24"/>
        </w:rPr>
        <w:t xml:space="preserve"> </w:t>
      </w:r>
      <w:r>
        <w:rPr>
          <w:color w:val="231F20"/>
          <w:spacing w:val="-2"/>
          <w:sz w:val="24"/>
        </w:rPr>
        <w:t xml:space="preserve">and </w:t>
      </w:r>
      <w:r>
        <w:rPr>
          <w:color w:val="231F20"/>
          <w:spacing w:val="-6"/>
          <w:sz w:val="24"/>
        </w:rPr>
        <w:t xml:space="preserve">electronic file sharing continued. The need for some staff to work from home in line with COVID-19 </w:t>
      </w:r>
      <w:r>
        <w:rPr>
          <w:color w:val="231F20"/>
          <w:spacing w:val="-2"/>
          <w:sz w:val="24"/>
        </w:rPr>
        <w:t>restrictions</w:t>
      </w:r>
      <w:r>
        <w:rPr>
          <w:color w:val="231F20"/>
          <w:spacing w:val="-15"/>
          <w:sz w:val="24"/>
        </w:rPr>
        <w:t xml:space="preserve"> </w:t>
      </w:r>
      <w:r>
        <w:rPr>
          <w:color w:val="231F20"/>
          <w:spacing w:val="-2"/>
          <w:sz w:val="24"/>
        </w:rPr>
        <w:t>during</w:t>
      </w:r>
      <w:r>
        <w:rPr>
          <w:color w:val="231F20"/>
          <w:spacing w:val="-15"/>
          <w:sz w:val="24"/>
        </w:rPr>
        <w:t xml:space="preserve"> </w:t>
      </w:r>
      <w:r>
        <w:rPr>
          <w:color w:val="231F20"/>
          <w:spacing w:val="-2"/>
          <w:sz w:val="24"/>
        </w:rPr>
        <w:t>large</w:t>
      </w:r>
      <w:r>
        <w:rPr>
          <w:color w:val="231F20"/>
          <w:spacing w:val="-14"/>
          <w:sz w:val="24"/>
        </w:rPr>
        <w:t xml:space="preserve"> </w:t>
      </w:r>
      <w:r>
        <w:rPr>
          <w:color w:val="231F20"/>
          <w:spacing w:val="-2"/>
          <w:sz w:val="24"/>
        </w:rPr>
        <w:t>periods</w:t>
      </w:r>
      <w:r>
        <w:rPr>
          <w:color w:val="231F20"/>
          <w:spacing w:val="-15"/>
          <w:sz w:val="24"/>
        </w:rPr>
        <w:t xml:space="preserve"> </w:t>
      </w:r>
      <w:r>
        <w:rPr>
          <w:color w:val="231F20"/>
          <w:spacing w:val="-2"/>
          <w:sz w:val="24"/>
        </w:rPr>
        <w:t>of</w:t>
      </w:r>
      <w:r>
        <w:rPr>
          <w:color w:val="231F20"/>
          <w:spacing w:val="-15"/>
          <w:sz w:val="24"/>
        </w:rPr>
        <w:t xml:space="preserve"> </w:t>
      </w:r>
      <w:r>
        <w:rPr>
          <w:color w:val="231F20"/>
          <w:spacing w:val="-2"/>
          <w:sz w:val="24"/>
        </w:rPr>
        <w:t>2021–22</w:t>
      </w:r>
      <w:r>
        <w:rPr>
          <w:color w:val="231F20"/>
          <w:spacing w:val="-15"/>
          <w:sz w:val="24"/>
        </w:rPr>
        <w:t xml:space="preserve"> </w:t>
      </w:r>
      <w:r>
        <w:rPr>
          <w:color w:val="231F20"/>
          <w:spacing w:val="-2"/>
          <w:sz w:val="24"/>
        </w:rPr>
        <w:t>also</w:t>
      </w:r>
      <w:r>
        <w:rPr>
          <w:color w:val="231F20"/>
          <w:spacing w:val="-14"/>
          <w:sz w:val="24"/>
        </w:rPr>
        <w:t xml:space="preserve"> </w:t>
      </w:r>
      <w:r>
        <w:rPr>
          <w:color w:val="231F20"/>
          <w:spacing w:val="-2"/>
          <w:sz w:val="24"/>
        </w:rPr>
        <w:t>reduced</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2"/>
          <w:sz w:val="24"/>
        </w:rPr>
        <w:t>use</w:t>
      </w:r>
      <w:r>
        <w:rPr>
          <w:color w:val="231F20"/>
          <w:spacing w:val="-14"/>
          <w:sz w:val="24"/>
        </w:rPr>
        <w:t xml:space="preserve"> </w:t>
      </w:r>
      <w:r>
        <w:rPr>
          <w:color w:val="231F20"/>
          <w:spacing w:val="-2"/>
          <w:sz w:val="24"/>
        </w:rPr>
        <w:t>of</w:t>
      </w:r>
      <w:r>
        <w:rPr>
          <w:color w:val="231F20"/>
          <w:spacing w:val="-15"/>
          <w:sz w:val="24"/>
        </w:rPr>
        <w:t xml:space="preserve"> </w:t>
      </w:r>
      <w:r>
        <w:rPr>
          <w:color w:val="231F20"/>
          <w:spacing w:val="-2"/>
          <w:sz w:val="24"/>
        </w:rPr>
        <w:t>paper.</w:t>
      </w:r>
    </w:p>
    <w:p w14:paraId="2399370A" w14:textId="77777777" w:rsidR="00345EE3" w:rsidRDefault="00345EE3">
      <w:pPr>
        <w:pStyle w:val="ListParagraph"/>
        <w:numPr>
          <w:ilvl w:val="1"/>
          <w:numId w:val="58"/>
        </w:numPr>
        <w:tabs>
          <w:tab w:val="left" w:pos="393"/>
          <w:tab w:val="left" w:pos="394"/>
        </w:tabs>
        <w:spacing w:line="242" w:lineRule="auto"/>
        <w:ind w:right="1106"/>
        <w:rPr>
          <w:sz w:val="24"/>
        </w:rPr>
      </w:pPr>
      <w:r>
        <w:rPr>
          <w:color w:val="231F20"/>
          <w:sz w:val="24"/>
        </w:rPr>
        <w:t>Digital</w:t>
      </w:r>
      <w:r>
        <w:rPr>
          <w:color w:val="231F20"/>
          <w:spacing w:val="-9"/>
          <w:sz w:val="24"/>
        </w:rPr>
        <w:t xml:space="preserve"> </w:t>
      </w:r>
      <w:r>
        <w:rPr>
          <w:color w:val="231F20"/>
          <w:sz w:val="24"/>
        </w:rPr>
        <w:t>faxing</w:t>
      </w:r>
      <w:r>
        <w:rPr>
          <w:color w:val="231F20"/>
          <w:spacing w:val="-9"/>
          <w:sz w:val="24"/>
        </w:rPr>
        <w:t xml:space="preserve"> </w:t>
      </w:r>
      <w:r>
        <w:rPr>
          <w:color w:val="231F20"/>
          <w:sz w:val="24"/>
        </w:rPr>
        <w:t>technology</w:t>
      </w:r>
      <w:r>
        <w:rPr>
          <w:color w:val="231F20"/>
          <w:spacing w:val="-8"/>
          <w:sz w:val="24"/>
        </w:rPr>
        <w:t xml:space="preserve"> </w:t>
      </w:r>
      <w:r>
        <w:rPr>
          <w:color w:val="231F20"/>
          <w:sz w:val="24"/>
        </w:rPr>
        <w:t>continues</w:t>
      </w:r>
      <w:r>
        <w:rPr>
          <w:color w:val="231F20"/>
          <w:spacing w:val="-8"/>
          <w:sz w:val="24"/>
        </w:rPr>
        <w:t xml:space="preserve"> </w:t>
      </w:r>
      <w:r>
        <w:rPr>
          <w:color w:val="231F20"/>
          <w:sz w:val="24"/>
        </w:rPr>
        <w:t>to</w:t>
      </w:r>
      <w:r>
        <w:rPr>
          <w:color w:val="231F20"/>
          <w:spacing w:val="-9"/>
          <w:sz w:val="24"/>
        </w:rPr>
        <w:t xml:space="preserve"> </w:t>
      </w:r>
      <w:r>
        <w:rPr>
          <w:color w:val="231F20"/>
          <w:sz w:val="24"/>
        </w:rPr>
        <w:t>be</w:t>
      </w:r>
      <w:r>
        <w:rPr>
          <w:color w:val="231F20"/>
          <w:spacing w:val="-9"/>
          <w:sz w:val="24"/>
        </w:rPr>
        <w:t xml:space="preserve"> </w:t>
      </w:r>
      <w:r>
        <w:rPr>
          <w:color w:val="231F20"/>
          <w:sz w:val="24"/>
        </w:rPr>
        <w:t>implemented.</w:t>
      </w:r>
      <w:r>
        <w:rPr>
          <w:color w:val="231F20"/>
          <w:spacing w:val="-8"/>
          <w:sz w:val="24"/>
        </w:rPr>
        <w:t xml:space="preserve"> </w:t>
      </w:r>
      <w:r>
        <w:rPr>
          <w:color w:val="231F20"/>
          <w:sz w:val="24"/>
        </w:rPr>
        <w:t>This</w:t>
      </w:r>
      <w:r>
        <w:rPr>
          <w:color w:val="231F20"/>
          <w:spacing w:val="-8"/>
          <w:sz w:val="24"/>
        </w:rPr>
        <w:t xml:space="preserve"> </w:t>
      </w:r>
      <w:r>
        <w:rPr>
          <w:color w:val="231F20"/>
          <w:sz w:val="24"/>
        </w:rPr>
        <w:t>allows</w:t>
      </w:r>
      <w:r>
        <w:rPr>
          <w:color w:val="231F20"/>
          <w:spacing w:val="-8"/>
          <w:sz w:val="24"/>
        </w:rPr>
        <w:t xml:space="preserve"> </w:t>
      </w:r>
      <w:r>
        <w:rPr>
          <w:color w:val="231F20"/>
          <w:sz w:val="24"/>
        </w:rPr>
        <w:t>staff</w:t>
      </w:r>
      <w:r>
        <w:rPr>
          <w:color w:val="231F20"/>
          <w:spacing w:val="-8"/>
          <w:sz w:val="24"/>
        </w:rPr>
        <w:t xml:space="preserve"> </w:t>
      </w:r>
      <w:r>
        <w:rPr>
          <w:color w:val="231F20"/>
          <w:sz w:val="24"/>
        </w:rPr>
        <w:t>to</w:t>
      </w:r>
      <w:r>
        <w:rPr>
          <w:color w:val="231F20"/>
          <w:spacing w:val="-9"/>
          <w:sz w:val="24"/>
        </w:rPr>
        <w:t xml:space="preserve"> </w:t>
      </w:r>
      <w:r>
        <w:rPr>
          <w:color w:val="231F20"/>
          <w:sz w:val="24"/>
        </w:rPr>
        <w:t>send</w:t>
      </w:r>
      <w:r>
        <w:rPr>
          <w:color w:val="231F20"/>
          <w:spacing w:val="-9"/>
          <w:sz w:val="24"/>
        </w:rPr>
        <w:t xml:space="preserve"> </w:t>
      </w:r>
      <w:r>
        <w:rPr>
          <w:color w:val="231F20"/>
          <w:sz w:val="24"/>
        </w:rPr>
        <w:t>and</w:t>
      </w:r>
      <w:r>
        <w:rPr>
          <w:color w:val="231F20"/>
          <w:spacing w:val="-9"/>
          <w:sz w:val="24"/>
        </w:rPr>
        <w:t xml:space="preserve"> </w:t>
      </w:r>
      <w:r>
        <w:rPr>
          <w:color w:val="231F20"/>
          <w:sz w:val="24"/>
        </w:rPr>
        <w:t>receive faxes using an email interface that removes the need to print and manage paper faxing.</w:t>
      </w:r>
    </w:p>
    <w:p w14:paraId="47E14AE1" w14:textId="77777777" w:rsidR="00345EE3" w:rsidRDefault="00345EE3" w:rsidP="00345EE3">
      <w:pPr>
        <w:pStyle w:val="Heading5"/>
        <w:spacing w:before="172"/>
      </w:pPr>
      <w:r>
        <w:rPr>
          <w:color w:val="58595B"/>
        </w:rPr>
        <w:t>Targets</w:t>
      </w:r>
      <w:r>
        <w:rPr>
          <w:color w:val="58595B"/>
          <w:spacing w:val="-13"/>
        </w:rPr>
        <w:t xml:space="preserve"> </w:t>
      </w:r>
      <w:r>
        <w:rPr>
          <w:color w:val="58595B"/>
        </w:rPr>
        <w:t>for</w:t>
      </w:r>
      <w:r>
        <w:rPr>
          <w:color w:val="58595B"/>
          <w:spacing w:val="-11"/>
        </w:rPr>
        <w:t xml:space="preserve"> </w:t>
      </w:r>
      <w:r>
        <w:rPr>
          <w:color w:val="58595B"/>
          <w:spacing w:val="-2"/>
        </w:rPr>
        <w:t>2022–23</w:t>
      </w:r>
    </w:p>
    <w:p w14:paraId="2902882F" w14:textId="77777777" w:rsidR="00345EE3" w:rsidRDefault="00345EE3">
      <w:pPr>
        <w:pStyle w:val="ListParagraph"/>
        <w:numPr>
          <w:ilvl w:val="1"/>
          <w:numId w:val="58"/>
        </w:numPr>
        <w:tabs>
          <w:tab w:val="left" w:pos="393"/>
          <w:tab w:val="left" w:pos="394"/>
        </w:tabs>
        <w:spacing w:before="5" w:line="242" w:lineRule="auto"/>
        <w:ind w:right="1467"/>
        <w:rPr>
          <w:sz w:val="24"/>
        </w:rPr>
      </w:pPr>
      <w:r>
        <w:rPr>
          <w:color w:val="231F20"/>
          <w:sz w:val="24"/>
        </w:rPr>
        <w:t>Victoria</w:t>
      </w:r>
      <w:r>
        <w:rPr>
          <w:color w:val="231F20"/>
          <w:spacing w:val="-12"/>
          <w:sz w:val="24"/>
        </w:rPr>
        <w:t xml:space="preserve"> </w:t>
      </w:r>
      <w:r>
        <w:rPr>
          <w:color w:val="231F20"/>
          <w:sz w:val="24"/>
        </w:rPr>
        <w:t>Police</w:t>
      </w:r>
      <w:r>
        <w:rPr>
          <w:color w:val="231F20"/>
          <w:spacing w:val="-12"/>
          <w:sz w:val="24"/>
        </w:rPr>
        <w:t xml:space="preserve"> </w:t>
      </w:r>
      <w:r>
        <w:rPr>
          <w:color w:val="231F20"/>
          <w:sz w:val="24"/>
        </w:rPr>
        <w:t>will</w:t>
      </w:r>
      <w:r>
        <w:rPr>
          <w:color w:val="231F20"/>
          <w:spacing w:val="-12"/>
          <w:sz w:val="24"/>
        </w:rPr>
        <w:t xml:space="preserve"> </w:t>
      </w:r>
      <w:r>
        <w:rPr>
          <w:color w:val="231F20"/>
          <w:sz w:val="24"/>
        </w:rPr>
        <w:t>continue</w:t>
      </w:r>
      <w:r>
        <w:rPr>
          <w:color w:val="231F20"/>
          <w:spacing w:val="-12"/>
          <w:sz w:val="24"/>
        </w:rPr>
        <w:t xml:space="preserve"> </w:t>
      </w:r>
      <w:r>
        <w:rPr>
          <w:color w:val="231F20"/>
          <w:sz w:val="24"/>
        </w:rPr>
        <w:t>to</w:t>
      </w:r>
      <w:r>
        <w:rPr>
          <w:color w:val="231F20"/>
          <w:spacing w:val="-12"/>
          <w:sz w:val="24"/>
        </w:rPr>
        <w:t xml:space="preserve"> </w:t>
      </w:r>
      <w:r>
        <w:rPr>
          <w:color w:val="231F20"/>
          <w:sz w:val="24"/>
        </w:rPr>
        <w:t>identify,</w:t>
      </w:r>
      <w:r>
        <w:rPr>
          <w:color w:val="231F20"/>
          <w:spacing w:val="-11"/>
          <w:sz w:val="24"/>
        </w:rPr>
        <w:t xml:space="preserve"> </w:t>
      </w:r>
      <w:r>
        <w:rPr>
          <w:color w:val="231F20"/>
          <w:sz w:val="24"/>
        </w:rPr>
        <w:t>develop</w:t>
      </w:r>
      <w:r>
        <w:rPr>
          <w:color w:val="231F20"/>
          <w:spacing w:val="-12"/>
          <w:sz w:val="24"/>
        </w:rPr>
        <w:t xml:space="preserve"> </w:t>
      </w:r>
      <w:r>
        <w:rPr>
          <w:color w:val="231F20"/>
          <w:sz w:val="24"/>
        </w:rPr>
        <w:t>and</w:t>
      </w:r>
      <w:r>
        <w:rPr>
          <w:color w:val="231F20"/>
          <w:spacing w:val="-12"/>
          <w:sz w:val="24"/>
        </w:rPr>
        <w:t xml:space="preserve"> </w:t>
      </w:r>
      <w:r>
        <w:rPr>
          <w:color w:val="231F20"/>
          <w:sz w:val="24"/>
        </w:rPr>
        <w:t>implement</w:t>
      </w:r>
      <w:r>
        <w:rPr>
          <w:color w:val="231F20"/>
          <w:spacing w:val="-11"/>
          <w:sz w:val="24"/>
        </w:rPr>
        <w:t xml:space="preserve"> </w:t>
      </w:r>
      <w:r>
        <w:rPr>
          <w:color w:val="231F20"/>
          <w:sz w:val="24"/>
        </w:rPr>
        <w:t>initiatives</w:t>
      </w:r>
      <w:r>
        <w:rPr>
          <w:color w:val="231F20"/>
          <w:spacing w:val="-11"/>
          <w:sz w:val="24"/>
        </w:rPr>
        <w:t xml:space="preserve"> </w:t>
      </w:r>
      <w:r>
        <w:rPr>
          <w:color w:val="231F20"/>
          <w:sz w:val="24"/>
        </w:rPr>
        <w:t>to</w:t>
      </w:r>
      <w:r>
        <w:rPr>
          <w:color w:val="231F20"/>
          <w:spacing w:val="-12"/>
          <w:sz w:val="24"/>
        </w:rPr>
        <w:t xml:space="preserve"> </w:t>
      </w:r>
      <w:r>
        <w:rPr>
          <w:color w:val="231F20"/>
          <w:sz w:val="24"/>
        </w:rPr>
        <w:t>reduce</w:t>
      </w:r>
      <w:r>
        <w:rPr>
          <w:color w:val="231F20"/>
          <w:spacing w:val="-12"/>
          <w:sz w:val="24"/>
        </w:rPr>
        <w:t xml:space="preserve"> </w:t>
      </w:r>
      <w:r>
        <w:rPr>
          <w:color w:val="231F20"/>
          <w:sz w:val="24"/>
        </w:rPr>
        <w:t xml:space="preserve">paper </w:t>
      </w:r>
      <w:r>
        <w:rPr>
          <w:color w:val="231F20"/>
          <w:spacing w:val="-2"/>
          <w:sz w:val="24"/>
        </w:rPr>
        <w:t>usage.</w:t>
      </w:r>
    </w:p>
    <w:p w14:paraId="612F42DF" w14:textId="77777777" w:rsidR="00345EE3" w:rsidRDefault="00345EE3" w:rsidP="002A27BA">
      <w:pPr>
        <w:pStyle w:val="Heading3"/>
      </w:pPr>
      <w:r>
        <w:t>Water</w:t>
      </w:r>
      <w:r>
        <w:rPr>
          <w:spacing w:val="-7"/>
        </w:rPr>
        <w:t xml:space="preserve"> </w:t>
      </w:r>
      <w:r>
        <w:t>Consumption</w:t>
      </w:r>
    </w:p>
    <w:p w14:paraId="6D255002" w14:textId="77777777" w:rsidR="00345EE3" w:rsidRDefault="00345EE3" w:rsidP="002A3D3C">
      <w:pPr>
        <w:pStyle w:val="BodyText"/>
        <w:spacing w:before="53" w:line="242" w:lineRule="auto"/>
        <w:ind w:left="142" w:right="921"/>
      </w:pPr>
      <w:r>
        <w:rPr>
          <w:color w:val="231F20"/>
        </w:rPr>
        <w:t>Victoria</w:t>
      </w:r>
      <w:r>
        <w:rPr>
          <w:color w:val="231F20"/>
          <w:spacing w:val="-9"/>
        </w:rPr>
        <w:t xml:space="preserve"> </w:t>
      </w:r>
      <w:r>
        <w:rPr>
          <w:color w:val="231F20"/>
        </w:rPr>
        <w:t>Police</w:t>
      </w:r>
      <w:r>
        <w:rPr>
          <w:color w:val="231F20"/>
          <w:spacing w:val="-9"/>
        </w:rPr>
        <w:t xml:space="preserve"> </w:t>
      </w:r>
      <w:r>
        <w:rPr>
          <w:color w:val="231F20"/>
        </w:rPr>
        <w:t>is</w:t>
      </w:r>
      <w:r>
        <w:rPr>
          <w:color w:val="231F20"/>
          <w:spacing w:val="-8"/>
        </w:rPr>
        <w:t xml:space="preserve"> </w:t>
      </w:r>
      <w:r>
        <w:rPr>
          <w:color w:val="231F20"/>
        </w:rPr>
        <w:t>committed</w:t>
      </w:r>
      <w:r>
        <w:rPr>
          <w:color w:val="231F20"/>
          <w:spacing w:val="-9"/>
        </w:rPr>
        <w:t xml:space="preserve"> </w:t>
      </w:r>
      <w:r>
        <w:rPr>
          <w:color w:val="231F20"/>
        </w:rPr>
        <w:t>to</w:t>
      </w:r>
      <w:r>
        <w:rPr>
          <w:color w:val="231F20"/>
          <w:spacing w:val="-9"/>
        </w:rPr>
        <w:t xml:space="preserve"> </w:t>
      </w:r>
      <w:r>
        <w:rPr>
          <w:color w:val="231F20"/>
        </w:rPr>
        <w:t>increasing</w:t>
      </w:r>
      <w:r>
        <w:rPr>
          <w:color w:val="231F20"/>
          <w:spacing w:val="-9"/>
        </w:rPr>
        <w:t xml:space="preserve"> </w:t>
      </w:r>
      <w:r>
        <w:rPr>
          <w:color w:val="231F20"/>
        </w:rPr>
        <w:t>its</w:t>
      </w:r>
      <w:r>
        <w:rPr>
          <w:color w:val="231F20"/>
          <w:spacing w:val="-8"/>
        </w:rPr>
        <w:t xml:space="preserve"> </w:t>
      </w:r>
      <w:r>
        <w:rPr>
          <w:color w:val="231F20"/>
        </w:rPr>
        <w:t>water</w:t>
      </w:r>
      <w:r>
        <w:rPr>
          <w:color w:val="231F20"/>
          <w:spacing w:val="-8"/>
        </w:rPr>
        <w:t xml:space="preserve"> </w:t>
      </w:r>
      <w:r>
        <w:rPr>
          <w:color w:val="231F20"/>
        </w:rPr>
        <w:t>efficiency.</w:t>
      </w:r>
      <w:r>
        <w:rPr>
          <w:color w:val="231F20"/>
          <w:spacing w:val="-8"/>
        </w:rPr>
        <w:t xml:space="preserve"> </w:t>
      </w:r>
      <w:r>
        <w:rPr>
          <w:color w:val="231F20"/>
        </w:rPr>
        <w:t>Data</w:t>
      </w:r>
      <w:r>
        <w:rPr>
          <w:color w:val="231F20"/>
          <w:spacing w:val="-9"/>
        </w:rPr>
        <w:t xml:space="preserve"> </w:t>
      </w:r>
      <w:r>
        <w:rPr>
          <w:color w:val="231F20"/>
        </w:rPr>
        <w:t>for</w:t>
      </w:r>
      <w:r>
        <w:rPr>
          <w:color w:val="231F20"/>
          <w:spacing w:val="-8"/>
        </w:rPr>
        <w:t xml:space="preserve"> </w:t>
      </w:r>
      <w:r>
        <w:rPr>
          <w:color w:val="231F20"/>
        </w:rPr>
        <w:t>the</w:t>
      </w:r>
      <w:r>
        <w:rPr>
          <w:color w:val="231F20"/>
          <w:spacing w:val="-9"/>
        </w:rPr>
        <w:t xml:space="preserve"> </w:t>
      </w:r>
      <w:r>
        <w:rPr>
          <w:color w:val="231F20"/>
        </w:rPr>
        <w:t>2021–22</w:t>
      </w:r>
      <w:r>
        <w:rPr>
          <w:color w:val="231F20"/>
          <w:spacing w:val="-9"/>
        </w:rPr>
        <w:t xml:space="preserve"> </w:t>
      </w:r>
      <w:r>
        <w:rPr>
          <w:color w:val="231F20"/>
        </w:rPr>
        <w:t>period account for 82.3 per cent of sites and 91.6 per cent of Victoria Police FTE.</w:t>
      </w:r>
    </w:p>
    <w:p w14:paraId="4B7B4540" w14:textId="24F0E14E" w:rsidR="00345EE3" w:rsidRDefault="00345EE3" w:rsidP="00345EE3">
      <w:pPr>
        <w:spacing w:before="122"/>
        <w:ind w:left="110"/>
        <w:rPr>
          <w:rFonts w:ascii="Arial-BoldItalicMT"/>
          <w:b/>
          <w:i/>
          <w:sz w:val="18"/>
        </w:rPr>
      </w:pPr>
      <w:r>
        <w:rPr>
          <w:color w:val="231F20"/>
          <w:sz w:val="18"/>
        </w:rPr>
        <w:t>Table</w:t>
      </w:r>
      <w:r>
        <w:rPr>
          <w:color w:val="231F20"/>
          <w:spacing w:val="-8"/>
          <w:sz w:val="18"/>
        </w:rPr>
        <w:t xml:space="preserve"> </w:t>
      </w:r>
      <w:r>
        <w:rPr>
          <w:color w:val="231F20"/>
          <w:sz w:val="18"/>
        </w:rPr>
        <w:t>5.25:</w:t>
      </w:r>
      <w:r>
        <w:rPr>
          <w:color w:val="231F20"/>
          <w:spacing w:val="-7"/>
          <w:sz w:val="18"/>
        </w:rPr>
        <w:t xml:space="preserve"> </w:t>
      </w:r>
      <w:r>
        <w:rPr>
          <w:rFonts w:ascii="Arial-BoldItalicMT"/>
          <w:b/>
          <w:i/>
          <w:color w:val="231F20"/>
          <w:sz w:val="18"/>
        </w:rPr>
        <w:t>Water</w:t>
      </w:r>
      <w:r>
        <w:rPr>
          <w:rFonts w:ascii="Arial-BoldItalicMT"/>
          <w:b/>
          <w:i/>
          <w:color w:val="231F20"/>
          <w:spacing w:val="-10"/>
          <w:sz w:val="18"/>
        </w:rPr>
        <w:t xml:space="preserve"> </w:t>
      </w:r>
      <w:r>
        <w:rPr>
          <w:rFonts w:ascii="Arial-BoldItalicMT"/>
          <w:b/>
          <w:i/>
          <w:color w:val="231F20"/>
          <w:sz w:val="18"/>
        </w:rPr>
        <w:t>consumption</w:t>
      </w:r>
      <w:r>
        <w:rPr>
          <w:rFonts w:ascii="Arial-BoldItalicMT"/>
          <w:b/>
          <w:i/>
          <w:color w:val="231F20"/>
          <w:spacing w:val="-10"/>
          <w:sz w:val="18"/>
        </w:rPr>
        <w:t xml:space="preserve"> </w:t>
      </w:r>
      <w:r>
        <w:rPr>
          <w:rFonts w:ascii="Arial-BoldItalicMT"/>
          <w:b/>
          <w:i/>
          <w:color w:val="231F20"/>
          <w:sz w:val="18"/>
        </w:rPr>
        <w:t>indicator</w:t>
      </w:r>
      <w:r>
        <w:rPr>
          <w:rFonts w:ascii="Arial-BoldItalicMT"/>
          <w:b/>
          <w:i/>
          <w:color w:val="231F20"/>
          <w:spacing w:val="-10"/>
          <w:sz w:val="18"/>
        </w:rPr>
        <w:t xml:space="preserve"> </w:t>
      </w:r>
      <w:r>
        <w:rPr>
          <w:rFonts w:ascii="Arial-BoldItalicMT"/>
          <w:b/>
          <w:i/>
          <w:color w:val="231F20"/>
          <w:sz w:val="18"/>
        </w:rPr>
        <w:t>totals</w:t>
      </w:r>
      <w:r>
        <w:rPr>
          <w:rFonts w:ascii="Arial-BoldItalicMT"/>
          <w:b/>
          <w:i/>
          <w:color w:val="231F20"/>
          <w:spacing w:val="-10"/>
          <w:sz w:val="18"/>
        </w:rPr>
        <w:t xml:space="preserve"> </w:t>
      </w:r>
      <w:r>
        <w:rPr>
          <w:rFonts w:ascii="Arial-BoldItalicMT"/>
          <w:b/>
          <w:i/>
          <w:color w:val="231F20"/>
          <w:sz w:val="18"/>
        </w:rPr>
        <w:t>(three-year</w:t>
      </w:r>
      <w:r>
        <w:rPr>
          <w:rFonts w:ascii="Arial-BoldItalicMT"/>
          <w:b/>
          <w:i/>
          <w:color w:val="231F20"/>
          <w:spacing w:val="-10"/>
          <w:sz w:val="18"/>
        </w:rPr>
        <w:t xml:space="preserve"> </w:t>
      </w:r>
      <w:r>
        <w:rPr>
          <w:rFonts w:ascii="Arial-BoldItalicMT"/>
          <w:b/>
          <w:i/>
          <w:color w:val="231F20"/>
          <w:spacing w:val="-2"/>
          <w:sz w:val="18"/>
        </w:rPr>
        <w:t>summary)</w:t>
      </w:r>
    </w:p>
    <w:tbl>
      <w:tblPr>
        <w:tblW w:w="0" w:type="auto"/>
        <w:tblInd w:w="134" w:type="dxa"/>
        <w:tblLayout w:type="fixed"/>
        <w:tblCellMar>
          <w:left w:w="0" w:type="dxa"/>
          <w:right w:w="0" w:type="dxa"/>
        </w:tblCellMar>
        <w:tblLook w:val="0000" w:firstRow="0" w:lastRow="0" w:firstColumn="0" w:lastColumn="0" w:noHBand="0" w:noVBand="0"/>
      </w:tblPr>
      <w:tblGrid>
        <w:gridCol w:w="6293"/>
        <w:gridCol w:w="1304"/>
        <w:gridCol w:w="1304"/>
        <w:gridCol w:w="1304"/>
      </w:tblGrid>
      <w:tr w:rsidR="002A3D3C" w:rsidRPr="002A3D3C" w14:paraId="3A6C8749" w14:textId="77777777" w:rsidTr="002A3D3C">
        <w:trPr>
          <w:trHeight w:val="60"/>
          <w:tblHeader/>
        </w:trPr>
        <w:tc>
          <w:tcPr>
            <w:tcW w:w="629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018E1502" w14:textId="77777777" w:rsidR="002A3D3C" w:rsidRPr="002A3D3C" w:rsidRDefault="002A3D3C" w:rsidP="002A3D3C">
            <w:pPr>
              <w:widowControl/>
              <w:tabs>
                <w:tab w:val="left" w:pos="240"/>
              </w:tabs>
              <w:suppressAutoHyphens/>
              <w:adjustRightInd w:val="0"/>
              <w:spacing w:after="57" w:line="280" w:lineRule="atLeast"/>
              <w:textAlignment w:val="center"/>
              <w:rPr>
                <w:rFonts w:eastAsia="Myriad Pro"/>
                <w:b/>
                <w:bCs/>
                <w:color w:val="FFFFFF"/>
                <w:sz w:val="24"/>
                <w:szCs w:val="24"/>
                <w:lang w:val="en-GB"/>
              </w:rPr>
            </w:pPr>
            <w:r w:rsidRPr="002A3D3C">
              <w:rPr>
                <w:rFonts w:eastAsia="Myriad Pro"/>
                <w:b/>
                <w:bCs/>
                <w:color w:val="FFFFFF"/>
                <w:sz w:val="24"/>
                <w:szCs w:val="24"/>
                <w:lang w:val="en-GB"/>
              </w:rPr>
              <w:t>Indicator</w:t>
            </w:r>
          </w:p>
        </w:tc>
        <w:tc>
          <w:tcPr>
            <w:tcW w:w="1304"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2C88D0C"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2A3D3C">
              <w:rPr>
                <w:rFonts w:eastAsia="Myriad Pro"/>
                <w:b/>
                <w:bCs/>
                <w:color w:val="FFFFFF"/>
                <w:spacing w:val="-2"/>
                <w:sz w:val="24"/>
                <w:szCs w:val="24"/>
                <w:lang w:val="en-GB"/>
              </w:rPr>
              <w:t>2019–20</w:t>
            </w:r>
          </w:p>
        </w:tc>
        <w:tc>
          <w:tcPr>
            <w:tcW w:w="1304"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2D7DC5B"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2A3D3C">
              <w:rPr>
                <w:rFonts w:eastAsia="Myriad Pro"/>
                <w:b/>
                <w:bCs/>
                <w:color w:val="FFFFFF"/>
                <w:spacing w:val="-2"/>
                <w:sz w:val="24"/>
                <w:szCs w:val="24"/>
                <w:lang w:val="en-GB"/>
              </w:rPr>
              <w:t>2020–21</w:t>
            </w:r>
          </w:p>
        </w:tc>
        <w:tc>
          <w:tcPr>
            <w:tcW w:w="1304"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4E2D4994"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2A3D3C">
              <w:rPr>
                <w:rFonts w:eastAsia="Myriad Pro"/>
                <w:b/>
                <w:bCs/>
                <w:color w:val="FFFFFF"/>
                <w:spacing w:val="-2"/>
                <w:sz w:val="24"/>
                <w:szCs w:val="24"/>
                <w:lang w:val="en-GB"/>
              </w:rPr>
              <w:t>2021–22</w:t>
            </w:r>
          </w:p>
        </w:tc>
      </w:tr>
      <w:tr w:rsidR="002A3D3C" w:rsidRPr="002A3D3C" w14:paraId="5FA639EC" w14:textId="77777777" w:rsidTr="002A3D3C">
        <w:trPr>
          <w:trHeight w:val="60"/>
        </w:trPr>
        <w:tc>
          <w:tcPr>
            <w:tcW w:w="629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08ED129" w14:textId="77777777" w:rsidR="002A3D3C" w:rsidRPr="002A3D3C" w:rsidRDefault="002A3D3C" w:rsidP="002A3D3C">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2A3D3C">
              <w:rPr>
                <w:rFonts w:eastAsia="Myriad Pro"/>
                <w:b/>
                <w:bCs/>
                <w:color w:val="000000"/>
                <w:sz w:val="24"/>
                <w:szCs w:val="24"/>
                <w:lang w:val="en-GB"/>
              </w:rPr>
              <w:t>W1. Total water consumption (kilolitres)</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FB0356"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264,729</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5BBD463"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243,150</w:t>
            </w:r>
          </w:p>
        </w:tc>
        <w:tc>
          <w:tcPr>
            <w:tcW w:w="130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1CF7AC9"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254,300</w:t>
            </w:r>
          </w:p>
        </w:tc>
      </w:tr>
      <w:tr w:rsidR="002A3D3C" w:rsidRPr="002A3D3C" w14:paraId="5C89CD49" w14:textId="77777777" w:rsidTr="002A3D3C">
        <w:trPr>
          <w:trHeight w:val="60"/>
        </w:trPr>
        <w:tc>
          <w:tcPr>
            <w:tcW w:w="629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70908D3" w14:textId="77777777" w:rsidR="002A3D3C" w:rsidRPr="002A3D3C" w:rsidRDefault="002A3D3C" w:rsidP="002A3D3C">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2A3D3C">
              <w:rPr>
                <w:rFonts w:eastAsia="Myriad Pro"/>
                <w:b/>
                <w:bCs/>
                <w:color w:val="000000"/>
                <w:sz w:val="24"/>
                <w:szCs w:val="24"/>
                <w:lang w:val="en-GB"/>
              </w:rPr>
              <w:t>W2. Units of office water used per FTE (kilolitres/FTE)</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0A44453"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12.4</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8DDC413"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11.2</w:t>
            </w:r>
          </w:p>
        </w:tc>
        <w:tc>
          <w:tcPr>
            <w:tcW w:w="130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EB7CEEB"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11.9</w:t>
            </w:r>
          </w:p>
        </w:tc>
      </w:tr>
      <w:tr w:rsidR="002A3D3C" w:rsidRPr="002A3D3C" w14:paraId="51503C5E" w14:textId="77777777" w:rsidTr="002A3D3C">
        <w:trPr>
          <w:trHeight w:val="60"/>
        </w:trPr>
        <w:tc>
          <w:tcPr>
            <w:tcW w:w="6293"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2D95410A" w14:textId="77777777" w:rsidR="002A3D3C" w:rsidRPr="002A3D3C" w:rsidRDefault="002A3D3C" w:rsidP="002A3D3C">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2A3D3C">
              <w:rPr>
                <w:rFonts w:eastAsia="Myriad Pro"/>
                <w:b/>
                <w:bCs/>
                <w:color w:val="000000"/>
                <w:sz w:val="24"/>
                <w:szCs w:val="24"/>
                <w:lang w:val="en-GB"/>
              </w:rPr>
              <w:t>W3. Units of office water used per office area (kilolitres/m</w:t>
            </w:r>
            <w:r w:rsidRPr="002A3D3C">
              <w:rPr>
                <w:rFonts w:eastAsia="Myriad Pro"/>
                <w:b/>
                <w:bCs/>
                <w:color w:val="000000"/>
                <w:sz w:val="24"/>
                <w:szCs w:val="24"/>
                <w:vertAlign w:val="superscript"/>
                <w:lang w:val="en-GB"/>
              </w:rPr>
              <w:t>2</w:t>
            </w:r>
            <w:r w:rsidRPr="002A3D3C">
              <w:rPr>
                <w:rFonts w:eastAsia="Myriad Pro"/>
                <w:b/>
                <w:bCs/>
                <w:color w:val="000000"/>
                <w:sz w:val="24"/>
                <w:szCs w:val="24"/>
                <w:lang w:val="en-GB"/>
              </w:rPr>
              <w:t>)</w:t>
            </w:r>
          </w:p>
        </w:tc>
        <w:tc>
          <w:tcPr>
            <w:tcW w:w="130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51ECD61A"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0.50</w:t>
            </w:r>
          </w:p>
        </w:tc>
        <w:tc>
          <w:tcPr>
            <w:tcW w:w="130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5DE8980"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0.39</w:t>
            </w:r>
          </w:p>
        </w:tc>
        <w:tc>
          <w:tcPr>
            <w:tcW w:w="1304"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454DB61C"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0.41</w:t>
            </w:r>
          </w:p>
        </w:tc>
      </w:tr>
    </w:tbl>
    <w:p w14:paraId="4E18E17F" w14:textId="77777777" w:rsidR="00345EE3" w:rsidRDefault="00345EE3" w:rsidP="00345EE3">
      <w:pPr>
        <w:spacing w:before="71"/>
        <w:ind w:left="110"/>
        <w:rPr>
          <w:sz w:val="14"/>
        </w:rPr>
      </w:pPr>
      <w:r>
        <w:rPr>
          <w:b/>
          <w:color w:val="231F20"/>
          <w:sz w:val="14"/>
        </w:rPr>
        <w:t>Source:</w:t>
      </w:r>
      <w:r>
        <w:rPr>
          <w:b/>
          <w:color w:val="231F20"/>
          <w:spacing w:val="1"/>
          <w:sz w:val="14"/>
        </w:rPr>
        <w:t xml:space="preserve"> </w:t>
      </w:r>
      <w:r>
        <w:rPr>
          <w:color w:val="231F20"/>
          <w:sz w:val="14"/>
        </w:rPr>
        <w:t>Operational Infrastructure Department. Data</w:t>
      </w:r>
      <w:r>
        <w:rPr>
          <w:color w:val="231F20"/>
          <w:spacing w:val="1"/>
          <w:sz w:val="14"/>
        </w:rPr>
        <w:t xml:space="preserve"> </w:t>
      </w:r>
      <w:r>
        <w:rPr>
          <w:color w:val="231F20"/>
          <w:sz w:val="14"/>
        </w:rPr>
        <w:t>extracted from various sources between 1</w:t>
      </w:r>
      <w:r>
        <w:rPr>
          <w:color w:val="231F20"/>
          <w:spacing w:val="1"/>
          <w:sz w:val="14"/>
        </w:rPr>
        <w:t xml:space="preserve"> </w:t>
      </w:r>
      <w:r>
        <w:rPr>
          <w:color w:val="231F20"/>
          <w:sz w:val="14"/>
        </w:rPr>
        <w:t>April 2021 and 15 July</w:t>
      </w:r>
      <w:r>
        <w:rPr>
          <w:color w:val="231F20"/>
          <w:spacing w:val="1"/>
          <w:sz w:val="14"/>
        </w:rPr>
        <w:t xml:space="preserve"> </w:t>
      </w:r>
      <w:r>
        <w:rPr>
          <w:color w:val="231F20"/>
          <w:spacing w:val="-2"/>
          <w:sz w:val="14"/>
        </w:rPr>
        <w:t>2022.</w:t>
      </w:r>
    </w:p>
    <w:p w14:paraId="2B8FA98B" w14:textId="77777777" w:rsidR="00345EE3" w:rsidRDefault="00345EE3" w:rsidP="00345EE3">
      <w:pPr>
        <w:pStyle w:val="BodyText"/>
        <w:spacing w:before="11"/>
        <w:rPr>
          <w:sz w:val="16"/>
        </w:rPr>
      </w:pPr>
    </w:p>
    <w:p w14:paraId="4167FC42" w14:textId="77777777" w:rsidR="00345EE3" w:rsidRDefault="00345EE3" w:rsidP="00345EE3">
      <w:pPr>
        <w:pStyle w:val="Heading5"/>
        <w:spacing w:before="0"/>
      </w:pPr>
      <w:r>
        <w:rPr>
          <w:color w:val="58595B"/>
        </w:rPr>
        <w:t>Actions</w:t>
      </w:r>
      <w:r>
        <w:rPr>
          <w:color w:val="58595B"/>
          <w:spacing w:val="-3"/>
        </w:rPr>
        <w:t xml:space="preserve"> </w:t>
      </w:r>
      <w:r>
        <w:rPr>
          <w:color w:val="58595B"/>
        </w:rPr>
        <w:t>undertaken</w:t>
      </w:r>
      <w:r>
        <w:rPr>
          <w:color w:val="58595B"/>
          <w:spacing w:val="-2"/>
        </w:rPr>
        <w:t xml:space="preserve"> </w:t>
      </w:r>
      <w:r>
        <w:rPr>
          <w:color w:val="58595B"/>
        </w:rPr>
        <w:t>during</w:t>
      </w:r>
      <w:r>
        <w:rPr>
          <w:color w:val="58595B"/>
          <w:spacing w:val="-2"/>
        </w:rPr>
        <w:t xml:space="preserve"> 2021–22</w:t>
      </w:r>
    </w:p>
    <w:p w14:paraId="4D4543BF" w14:textId="77777777" w:rsidR="00345EE3" w:rsidRDefault="00345EE3">
      <w:pPr>
        <w:pStyle w:val="ListParagraph"/>
        <w:numPr>
          <w:ilvl w:val="1"/>
          <w:numId w:val="58"/>
        </w:numPr>
        <w:tabs>
          <w:tab w:val="left" w:pos="393"/>
          <w:tab w:val="left" w:pos="394"/>
        </w:tabs>
        <w:spacing w:before="4" w:line="242" w:lineRule="auto"/>
        <w:ind w:right="1351"/>
        <w:rPr>
          <w:sz w:val="24"/>
        </w:rPr>
      </w:pP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continued</w:t>
      </w:r>
      <w:r>
        <w:rPr>
          <w:color w:val="231F20"/>
          <w:spacing w:val="-10"/>
          <w:sz w:val="24"/>
        </w:rPr>
        <w:t xml:space="preserve"> </w:t>
      </w:r>
      <w:r>
        <w:rPr>
          <w:color w:val="231F20"/>
          <w:sz w:val="24"/>
        </w:rPr>
        <w:t>to</w:t>
      </w:r>
      <w:r>
        <w:rPr>
          <w:color w:val="231F20"/>
          <w:spacing w:val="-10"/>
          <w:sz w:val="24"/>
        </w:rPr>
        <w:t xml:space="preserve"> </w:t>
      </w:r>
      <w:r>
        <w:rPr>
          <w:color w:val="231F20"/>
          <w:sz w:val="24"/>
        </w:rPr>
        <w:t>work</w:t>
      </w:r>
      <w:r>
        <w:rPr>
          <w:color w:val="231F20"/>
          <w:spacing w:val="-9"/>
          <w:sz w:val="24"/>
        </w:rPr>
        <w:t xml:space="preserve"> </w:t>
      </w:r>
      <w:r>
        <w:rPr>
          <w:color w:val="231F20"/>
          <w:sz w:val="24"/>
        </w:rPr>
        <w:t>with</w:t>
      </w:r>
      <w:r>
        <w:rPr>
          <w:color w:val="231F20"/>
          <w:spacing w:val="-10"/>
          <w:sz w:val="24"/>
        </w:rPr>
        <w:t xml:space="preserve"> </w:t>
      </w:r>
      <w:r>
        <w:rPr>
          <w:color w:val="231F20"/>
          <w:sz w:val="24"/>
        </w:rPr>
        <w:t>Victoria’s</w:t>
      </w:r>
      <w:r>
        <w:rPr>
          <w:color w:val="231F20"/>
          <w:spacing w:val="-9"/>
          <w:sz w:val="24"/>
        </w:rPr>
        <w:t xml:space="preserve"> </w:t>
      </w:r>
      <w:r>
        <w:rPr>
          <w:color w:val="231F20"/>
          <w:sz w:val="24"/>
        </w:rPr>
        <w:t>water</w:t>
      </w:r>
      <w:r>
        <w:rPr>
          <w:color w:val="231F20"/>
          <w:spacing w:val="-9"/>
          <w:sz w:val="24"/>
        </w:rPr>
        <w:t xml:space="preserve"> </w:t>
      </w:r>
      <w:r>
        <w:rPr>
          <w:color w:val="231F20"/>
          <w:sz w:val="24"/>
        </w:rPr>
        <w:t>corporation</w:t>
      </w:r>
      <w:r>
        <w:rPr>
          <w:color w:val="231F20"/>
          <w:spacing w:val="-10"/>
          <w:sz w:val="24"/>
        </w:rPr>
        <w:t xml:space="preserve"> </w:t>
      </w:r>
      <w:r>
        <w:rPr>
          <w:color w:val="231F20"/>
          <w:sz w:val="24"/>
        </w:rPr>
        <w:t>boards</w:t>
      </w:r>
      <w:r>
        <w:rPr>
          <w:color w:val="231F20"/>
          <w:spacing w:val="-9"/>
          <w:sz w:val="24"/>
        </w:rPr>
        <w:t xml:space="preserve"> </w:t>
      </w:r>
      <w:r>
        <w:rPr>
          <w:color w:val="231F20"/>
          <w:sz w:val="24"/>
        </w:rPr>
        <w:t>to</w:t>
      </w:r>
      <w:r>
        <w:rPr>
          <w:color w:val="231F20"/>
          <w:spacing w:val="-10"/>
          <w:sz w:val="24"/>
        </w:rPr>
        <w:t xml:space="preserve"> </w:t>
      </w:r>
      <w:r>
        <w:rPr>
          <w:color w:val="231F20"/>
          <w:sz w:val="24"/>
        </w:rPr>
        <w:t>increase</w:t>
      </w:r>
      <w:r>
        <w:rPr>
          <w:color w:val="231F20"/>
          <w:spacing w:val="-10"/>
          <w:sz w:val="24"/>
        </w:rPr>
        <w:t xml:space="preserve"> </w:t>
      </w:r>
      <w:r>
        <w:rPr>
          <w:color w:val="231F20"/>
          <w:sz w:val="24"/>
        </w:rPr>
        <w:t xml:space="preserve">data </w:t>
      </w:r>
      <w:r>
        <w:rPr>
          <w:color w:val="231F20"/>
          <w:spacing w:val="-2"/>
          <w:sz w:val="24"/>
        </w:rPr>
        <w:t>coverage.</w:t>
      </w:r>
    </w:p>
    <w:p w14:paraId="7544D312" w14:textId="77777777" w:rsidR="00345EE3" w:rsidRDefault="00345EE3" w:rsidP="00345EE3">
      <w:pPr>
        <w:pStyle w:val="Heading5"/>
        <w:spacing w:before="173"/>
      </w:pPr>
      <w:r>
        <w:rPr>
          <w:color w:val="58595B"/>
        </w:rPr>
        <w:t>Targets</w:t>
      </w:r>
      <w:r>
        <w:rPr>
          <w:color w:val="58595B"/>
          <w:spacing w:val="-13"/>
        </w:rPr>
        <w:t xml:space="preserve"> </w:t>
      </w:r>
      <w:r>
        <w:rPr>
          <w:color w:val="58595B"/>
        </w:rPr>
        <w:t>for</w:t>
      </w:r>
      <w:r>
        <w:rPr>
          <w:color w:val="58595B"/>
          <w:spacing w:val="-11"/>
        </w:rPr>
        <w:t xml:space="preserve"> </w:t>
      </w:r>
      <w:r>
        <w:rPr>
          <w:color w:val="58595B"/>
          <w:spacing w:val="-2"/>
        </w:rPr>
        <w:t>2022–23</w:t>
      </w:r>
    </w:p>
    <w:p w14:paraId="6C624DD3" w14:textId="77777777" w:rsidR="00345EE3" w:rsidRDefault="00345EE3">
      <w:pPr>
        <w:pStyle w:val="ListParagraph"/>
        <w:numPr>
          <w:ilvl w:val="1"/>
          <w:numId w:val="58"/>
        </w:numPr>
        <w:tabs>
          <w:tab w:val="left" w:pos="393"/>
          <w:tab w:val="left" w:pos="394"/>
        </w:tabs>
        <w:spacing w:before="4"/>
        <w:rPr>
          <w:sz w:val="24"/>
        </w:rPr>
      </w:pPr>
      <w:r>
        <w:rPr>
          <w:color w:val="231F20"/>
          <w:sz w:val="24"/>
        </w:rPr>
        <w:t>Victoria</w:t>
      </w:r>
      <w:r>
        <w:rPr>
          <w:color w:val="231F20"/>
          <w:spacing w:val="-9"/>
          <w:sz w:val="24"/>
        </w:rPr>
        <w:t xml:space="preserve"> </w:t>
      </w:r>
      <w:r>
        <w:rPr>
          <w:color w:val="231F20"/>
          <w:sz w:val="24"/>
        </w:rPr>
        <w:t>Police</w:t>
      </w:r>
      <w:r>
        <w:rPr>
          <w:color w:val="231F20"/>
          <w:spacing w:val="-7"/>
          <w:sz w:val="24"/>
        </w:rPr>
        <w:t xml:space="preserve"> </w:t>
      </w:r>
      <w:r>
        <w:rPr>
          <w:color w:val="231F20"/>
          <w:sz w:val="24"/>
        </w:rPr>
        <w:t>will</w:t>
      </w:r>
      <w:r>
        <w:rPr>
          <w:color w:val="231F20"/>
          <w:spacing w:val="-7"/>
          <w:sz w:val="24"/>
        </w:rPr>
        <w:t xml:space="preserve"> </w:t>
      </w:r>
      <w:r>
        <w:rPr>
          <w:color w:val="231F20"/>
          <w:sz w:val="24"/>
        </w:rPr>
        <w:t>continue</w:t>
      </w:r>
      <w:r>
        <w:rPr>
          <w:color w:val="231F20"/>
          <w:spacing w:val="-6"/>
          <w:sz w:val="24"/>
        </w:rPr>
        <w:t xml:space="preserve"> </w:t>
      </w:r>
      <w:r>
        <w:rPr>
          <w:color w:val="231F20"/>
          <w:sz w:val="24"/>
        </w:rPr>
        <w:t>to</w:t>
      </w:r>
      <w:r>
        <w:rPr>
          <w:color w:val="231F20"/>
          <w:spacing w:val="-7"/>
          <w:sz w:val="24"/>
        </w:rPr>
        <w:t xml:space="preserve"> </w:t>
      </w:r>
      <w:r>
        <w:rPr>
          <w:color w:val="231F20"/>
          <w:sz w:val="24"/>
        </w:rPr>
        <w:t>look</w:t>
      </w:r>
      <w:r>
        <w:rPr>
          <w:color w:val="231F20"/>
          <w:spacing w:val="-6"/>
          <w:sz w:val="24"/>
        </w:rPr>
        <w:t xml:space="preserve"> </w:t>
      </w:r>
      <w:r>
        <w:rPr>
          <w:color w:val="231F20"/>
          <w:sz w:val="24"/>
        </w:rPr>
        <w:t>for</w:t>
      </w:r>
      <w:r>
        <w:rPr>
          <w:color w:val="231F20"/>
          <w:spacing w:val="-5"/>
          <w:sz w:val="24"/>
        </w:rPr>
        <w:t xml:space="preserve"> </w:t>
      </w:r>
      <w:r>
        <w:rPr>
          <w:color w:val="231F20"/>
          <w:sz w:val="24"/>
        </w:rPr>
        <w:t>opportunities</w:t>
      </w:r>
      <w:r>
        <w:rPr>
          <w:color w:val="231F20"/>
          <w:spacing w:val="-6"/>
          <w:sz w:val="24"/>
        </w:rPr>
        <w:t xml:space="preserve"> </w:t>
      </w:r>
      <w:r>
        <w:rPr>
          <w:color w:val="231F20"/>
          <w:sz w:val="24"/>
        </w:rPr>
        <w:t>to</w:t>
      </w:r>
      <w:r>
        <w:rPr>
          <w:color w:val="231F20"/>
          <w:spacing w:val="-7"/>
          <w:sz w:val="24"/>
        </w:rPr>
        <w:t xml:space="preserve"> </w:t>
      </w:r>
      <w:r>
        <w:rPr>
          <w:color w:val="231F20"/>
          <w:sz w:val="24"/>
        </w:rPr>
        <w:t>reduce</w:t>
      </w:r>
      <w:r>
        <w:rPr>
          <w:color w:val="231F20"/>
          <w:spacing w:val="-7"/>
          <w:sz w:val="24"/>
        </w:rPr>
        <w:t xml:space="preserve"> </w:t>
      </w:r>
      <w:r>
        <w:rPr>
          <w:color w:val="231F20"/>
          <w:sz w:val="24"/>
        </w:rPr>
        <w:t>the</w:t>
      </w:r>
      <w:r>
        <w:rPr>
          <w:color w:val="231F20"/>
          <w:spacing w:val="-6"/>
          <w:sz w:val="24"/>
        </w:rPr>
        <w:t xml:space="preserve"> </w:t>
      </w:r>
      <w:r>
        <w:rPr>
          <w:color w:val="231F20"/>
          <w:sz w:val="24"/>
        </w:rPr>
        <w:t>use</w:t>
      </w:r>
      <w:r>
        <w:rPr>
          <w:color w:val="231F20"/>
          <w:spacing w:val="-7"/>
          <w:sz w:val="24"/>
        </w:rPr>
        <w:t xml:space="preserve"> </w:t>
      </w:r>
      <w:r>
        <w:rPr>
          <w:color w:val="231F20"/>
          <w:sz w:val="24"/>
        </w:rPr>
        <w:t>of</w:t>
      </w:r>
      <w:r>
        <w:rPr>
          <w:color w:val="231F20"/>
          <w:spacing w:val="-6"/>
          <w:sz w:val="24"/>
        </w:rPr>
        <w:t xml:space="preserve"> </w:t>
      </w:r>
      <w:r>
        <w:rPr>
          <w:color w:val="231F20"/>
          <w:sz w:val="24"/>
        </w:rPr>
        <w:t>potable</w:t>
      </w:r>
      <w:r>
        <w:rPr>
          <w:color w:val="231F20"/>
          <w:spacing w:val="-6"/>
          <w:sz w:val="24"/>
        </w:rPr>
        <w:t xml:space="preserve"> </w:t>
      </w:r>
      <w:r>
        <w:rPr>
          <w:color w:val="231F20"/>
          <w:spacing w:val="-2"/>
          <w:sz w:val="24"/>
        </w:rPr>
        <w:t>water.</w:t>
      </w:r>
    </w:p>
    <w:p w14:paraId="12509443" w14:textId="77777777" w:rsidR="00345EE3" w:rsidRDefault="00345EE3" w:rsidP="002A27BA">
      <w:pPr>
        <w:pStyle w:val="Heading3"/>
      </w:pPr>
      <w:r>
        <w:t>Travel</w:t>
      </w:r>
      <w:r>
        <w:rPr>
          <w:spacing w:val="-18"/>
        </w:rPr>
        <w:t xml:space="preserve"> </w:t>
      </w:r>
      <w:r>
        <w:t>and</w:t>
      </w:r>
      <w:r>
        <w:rPr>
          <w:spacing w:val="-18"/>
        </w:rPr>
        <w:t xml:space="preserve"> </w:t>
      </w:r>
      <w:r>
        <w:rPr>
          <w:spacing w:val="-2"/>
        </w:rPr>
        <w:t>Transport</w:t>
      </w:r>
    </w:p>
    <w:p w14:paraId="38548484" w14:textId="77777777" w:rsidR="00345EE3" w:rsidRDefault="00345EE3" w:rsidP="00345EE3">
      <w:pPr>
        <w:pStyle w:val="BodyText"/>
        <w:spacing w:before="52" w:line="242" w:lineRule="auto"/>
        <w:ind w:right="921"/>
      </w:pPr>
      <w:r>
        <w:rPr>
          <w:color w:val="231F20"/>
        </w:rPr>
        <w:t>The Victoria Police fleet comprised 3,555 vehicles on 31 March 2022. Of these, 53 per cent were</w:t>
      </w:r>
      <w:r>
        <w:rPr>
          <w:color w:val="231F20"/>
          <w:spacing w:val="-8"/>
        </w:rPr>
        <w:t xml:space="preserve"> </w:t>
      </w:r>
      <w:r>
        <w:rPr>
          <w:color w:val="231F20"/>
        </w:rPr>
        <w:t>unleaded</w:t>
      </w:r>
      <w:r>
        <w:rPr>
          <w:color w:val="231F20"/>
          <w:spacing w:val="-8"/>
        </w:rPr>
        <w:t xml:space="preserve"> </w:t>
      </w:r>
      <w:r>
        <w:rPr>
          <w:color w:val="231F20"/>
        </w:rPr>
        <w:t>fuelled,</w:t>
      </w:r>
      <w:r>
        <w:rPr>
          <w:color w:val="231F20"/>
          <w:spacing w:val="-8"/>
        </w:rPr>
        <w:t xml:space="preserve"> </w:t>
      </w:r>
      <w:r>
        <w:rPr>
          <w:color w:val="231F20"/>
        </w:rPr>
        <w:t>46</w:t>
      </w:r>
      <w:r>
        <w:rPr>
          <w:color w:val="231F20"/>
          <w:spacing w:val="-8"/>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were</w:t>
      </w:r>
      <w:r>
        <w:rPr>
          <w:color w:val="231F20"/>
          <w:spacing w:val="-8"/>
        </w:rPr>
        <w:t xml:space="preserve"> </w:t>
      </w:r>
      <w:r>
        <w:rPr>
          <w:color w:val="231F20"/>
        </w:rPr>
        <w:t>diesel</w:t>
      </w:r>
      <w:r>
        <w:rPr>
          <w:color w:val="231F20"/>
          <w:spacing w:val="-8"/>
        </w:rPr>
        <w:t xml:space="preserve"> </w:t>
      </w:r>
      <w:r>
        <w:rPr>
          <w:color w:val="231F20"/>
        </w:rPr>
        <w:t>fuelled,</w:t>
      </w:r>
      <w:r>
        <w:rPr>
          <w:color w:val="231F20"/>
          <w:spacing w:val="-8"/>
        </w:rPr>
        <w:t xml:space="preserve"> </w:t>
      </w:r>
      <w:r>
        <w:rPr>
          <w:color w:val="231F20"/>
        </w:rPr>
        <w:t>1</w:t>
      </w:r>
      <w:r>
        <w:rPr>
          <w:color w:val="231F20"/>
          <w:spacing w:val="-8"/>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hybrid</w:t>
      </w:r>
      <w:r>
        <w:rPr>
          <w:color w:val="231F20"/>
          <w:spacing w:val="-8"/>
        </w:rPr>
        <w:t xml:space="preserve"> </w:t>
      </w:r>
      <w:r>
        <w:rPr>
          <w:color w:val="231F20"/>
        </w:rPr>
        <w:t>and</w:t>
      </w:r>
      <w:r>
        <w:rPr>
          <w:color w:val="231F20"/>
          <w:spacing w:val="-8"/>
        </w:rPr>
        <w:t xml:space="preserve"> </w:t>
      </w:r>
      <w:r>
        <w:rPr>
          <w:color w:val="231F20"/>
        </w:rPr>
        <w:t>four</w:t>
      </w:r>
      <w:r>
        <w:rPr>
          <w:color w:val="231F20"/>
          <w:spacing w:val="-8"/>
        </w:rPr>
        <w:t xml:space="preserve"> </w:t>
      </w:r>
      <w:r>
        <w:rPr>
          <w:color w:val="231F20"/>
        </w:rPr>
        <w:t>vehicles</w:t>
      </w:r>
      <w:r>
        <w:rPr>
          <w:color w:val="231F20"/>
          <w:spacing w:val="-8"/>
        </w:rPr>
        <w:t xml:space="preserve"> </w:t>
      </w:r>
      <w:r>
        <w:rPr>
          <w:color w:val="231F20"/>
        </w:rPr>
        <w:t xml:space="preserve">were </w:t>
      </w:r>
      <w:r>
        <w:rPr>
          <w:color w:val="231F20"/>
          <w:spacing w:val="-2"/>
        </w:rPr>
        <w:t>electric.</w:t>
      </w:r>
    </w:p>
    <w:p w14:paraId="1D6C7BF2" w14:textId="77777777" w:rsidR="00345EE3" w:rsidRDefault="00345EE3" w:rsidP="00345EE3">
      <w:pPr>
        <w:spacing w:before="124" w:after="120"/>
        <w:ind w:left="110"/>
        <w:rPr>
          <w:rFonts w:ascii="Arial-BoldItalicMT"/>
          <w:b/>
          <w:i/>
          <w:color w:val="231F20"/>
          <w:spacing w:val="-2"/>
          <w:sz w:val="18"/>
        </w:rPr>
      </w:pPr>
      <w:r>
        <w:rPr>
          <w:color w:val="231F20"/>
          <w:sz w:val="18"/>
        </w:rPr>
        <w:t>Table</w:t>
      </w:r>
      <w:r>
        <w:rPr>
          <w:color w:val="231F20"/>
          <w:spacing w:val="-9"/>
          <w:sz w:val="18"/>
        </w:rPr>
        <w:t xml:space="preserve"> </w:t>
      </w:r>
      <w:r>
        <w:rPr>
          <w:color w:val="231F20"/>
          <w:sz w:val="18"/>
        </w:rPr>
        <w:t>5.26:</w:t>
      </w:r>
      <w:r>
        <w:rPr>
          <w:color w:val="231F20"/>
          <w:spacing w:val="-9"/>
          <w:sz w:val="18"/>
        </w:rPr>
        <w:t xml:space="preserve"> </w:t>
      </w:r>
      <w:r>
        <w:rPr>
          <w:rFonts w:ascii="Arial-BoldItalicMT"/>
          <w:b/>
          <w:i/>
          <w:color w:val="231F20"/>
          <w:sz w:val="18"/>
        </w:rPr>
        <w:t>Travel</w:t>
      </w:r>
      <w:r>
        <w:rPr>
          <w:rFonts w:ascii="Arial-BoldItalicMT"/>
          <w:b/>
          <w:i/>
          <w:color w:val="231F20"/>
          <w:spacing w:val="-12"/>
          <w:sz w:val="18"/>
        </w:rPr>
        <w:t xml:space="preserve"> </w:t>
      </w:r>
      <w:r>
        <w:rPr>
          <w:rFonts w:ascii="Arial-BoldItalicMT"/>
          <w:b/>
          <w:i/>
          <w:color w:val="231F20"/>
          <w:sz w:val="18"/>
        </w:rPr>
        <w:t>and</w:t>
      </w:r>
      <w:r>
        <w:rPr>
          <w:rFonts w:ascii="Arial-BoldItalicMT"/>
          <w:b/>
          <w:i/>
          <w:color w:val="231F20"/>
          <w:spacing w:val="-11"/>
          <w:sz w:val="18"/>
        </w:rPr>
        <w:t xml:space="preserve"> </w:t>
      </w:r>
      <w:r>
        <w:rPr>
          <w:rFonts w:ascii="Arial-BoldItalicMT"/>
          <w:b/>
          <w:i/>
          <w:color w:val="231F20"/>
          <w:sz w:val="18"/>
        </w:rPr>
        <w:t>Transport</w:t>
      </w:r>
      <w:r>
        <w:rPr>
          <w:rFonts w:ascii="Arial-BoldItalicMT"/>
          <w:b/>
          <w:i/>
          <w:color w:val="231F20"/>
          <w:spacing w:val="-12"/>
          <w:sz w:val="18"/>
        </w:rPr>
        <w:t xml:space="preserve"> </w:t>
      </w:r>
      <w:r>
        <w:rPr>
          <w:rFonts w:ascii="Arial-BoldItalicMT"/>
          <w:b/>
          <w:i/>
          <w:color w:val="231F20"/>
          <w:sz w:val="18"/>
        </w:rPr>
        <w:t>indicator</w:t>
      </w:r>
      <w:r>
        <w:rPr>
          <w:rFonts w:ascii="Arial-BoldItalicMT"/>
          <w:b/>
          <w:i/>
          <w:color w:val="231F20"/>
          <w:spacing w:val="-11"/>
          <w:sz w:val="18"/>
        </w:rPr>
        <w:t xml:space="preserve"> </w:t>
      </w:r>
      <w:r>
        <w:rPr>
          <w:rFonts w:ascii="Arial-BoldItalicMT"/>
          <w:b/>
          <w:i/>
          <w:color w:val="231F20"/>
          <w:sz w:val="18"/>
        </w:rPr>
        <w:t>consumption</w:t>
      </w:r>
      <w:r>
        <w:rPr>
          <w:rFonts w:ascii="Arial-BoldItalicMT"/>
          <w:b/>
          <w:i/>
          <w:color w:val="231F20"/>
          <w:spacing w:val="-12"/>
          <w:sz w:val="18"/>
        </w:rPr>
        <w:t xml:space="preserve"> </w:t>
      </w:r>
      <w:r>
        <w:rPr>
          <w:rFonts w:ascii="Arial-BoldItalicMT"/>
          <w:b/>
          <w:i/>
          <w:color w:val="231F20"/>
          <w:sz w:val="18"/>
        </w:rPr>
        <w:t>totals</w:t>
      </w:r>
      <w:r>
        <w:rPr>
          <w:rFonts w:ascii="Arial-BoldItalicMT"/>
          <w:b/>
          <w:i/>
          <w:color w:val="231F20"/>
          <w:spacing w:val="-11"/>
          <w:sz w:val="18"/>
        </w:rPr>
        <w:t xml:space="preserve"> </w:t>
      </w:r>
      <w:r>
        <w:rPr>
          <w:rFonts w:ascii="Arial-BoldItalicMT"/>
          <w:b/>
          <w:i/>
          <w:color w:val="231F20"/>
          <w:sz w:val="18"/>
        </w:rPr>
        <w:t>(three-year</w:t>
      </w:r>
      <w:r>
        <w:rPr>
          <w:rFonts w:ascii="Arial-BoldItalicMT"/>
          <w:b/>
          <w:i/>
          <w:color w:val="231F20"/>
          <w:spacing w:val="-11"/>
          <w:sz w:val="18"/>
        </w:rPr>
        <w:t xml:space="preserve"> </w:t>
      </w:r>
      <w:r>
        <w:rPr>
          <w:rFonts w:ascii="Arial-BoldItalicMT"/>
          <w:b/>
          <w:i/>
          <w:color w:val="231F20"/>
          <w:spacing w:val="-2"/>
          <w:sz w:val="18"/>
        </w:rPr>
        <w:t>summary)</w:t>
      </w:r>
    </w:p>
    <w:tbl>
      <w:tblPr>
        <w:tblW w:w="0" w:type="auto"/>
        <w:tblInd w:w="156" w:type="dxa"/>
        <w:tblLayout w:type="fixed"/>
        <w:tblCellMar>
          <w:left w:w="0" w:type="dxa"/>
          <w:right w:w="0" w:type="dxa"/>
        </w:tblCellMar>
        <w:tblLook w:val="0000" w:firstRow="0" w:lastRow="0" w:firstColumn="0" w:lastColumn="0" w:noHBand="0" w:noVBand="0"/>
      </w:tblPr>
      <w:tblGrid>
        <w:gridCol w:w="5783"/>
        <w:gridCol w:w="1474"/>
        <w:gridCol w:w="1474"/>
        <w:gridCol w:w="1474"/>
      </w:tblGrid>
      <w:tr w:rsidR="00345EE3" w:rsidRPr="00A447E4" w14:paraId="220D8B38" w14:textId="77777777" w:rsidTr="00D73130">
        <w:trPr>
          <w:trHeight w:val="60"/>
          <w:tblHeader/>
        </w:trPr>
        <w:tc>
          <w:tcPr>
            <w:tcW w:w="578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65DBAB09" w14:textId="62EDD7E6" w:rsidR="00345EE3" w:rsidRPr="00A447E4" w:rsidRDefault="009A5F38"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Pr>
                <w:rFonts w:eastAsiaTheme="minorHAnsi"/>
                <w:b/>
                <w:bCs/>
                <w:color w:val="FFFFFF"/>
                <w:sz w:val="24"/>
                <w:szCs w:val="24"/>
                <w:lang w:val="en-GB"/>
              </w:rPr>
              <w:t xml:space="preserve"> </w:t>
            </w:r>
            <w:r w:rsidR="00345EE3" w:rsidRPr="00A447E4">
              <w:rPr>
                <w:rFonts w:eastAsiaTheme="minorHAnsi"/>
                <w:b/>
                <w:bCs/>
                <w:color w:val="FFFFFF"/>
                <w:sz w:val="24"/>
                <w:szCs w:val="24"/>
                <w:lang w:val="en-GB"/>
              </w:rPr>
              <w:t>Indicator</w:t>
            </w:r>
          </w:p>
        </w:tc>
        <w:tc>
          <w:tcPr>
            <w:tcW w:w="1474"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373D53F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2019–20</w:t>
            </w:r>
          </w:p>
        </w:tc>
        <w:tc>
          <w:tcPr>
            <w:tcW w:w="1474"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46CBAA9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2020–21</w:t>
            </w:r>
          </w:p>
        </w:tc>
        <w:tc>
          <w:tcPr>
            <w:tcW w:w="1474"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57" w:type="dxa"/>
            </w:tcMar>
          </w:tcPr>
          <w:p w14:paraId="0E5D082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2021–22</w:t>
            </w:r>
          </w:p>
        </w:tc>
      </w:tr>
      <w:tr w:rsidR="00345EE3" w:rsidRPr="00A447E4" w14:paraId="27F7E2DF"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CA2A3C7"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T1. Total energy consumption by fleet vehicles (MJ)</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672119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367,434,368</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11990E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342,147,805</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2CD950A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341,747,164</w:t>
            </w:r>
          </w:p>
        </w:tc>
      </w:tr>
      <w:tr w:rsidR="00345EE3" w:rsidRPr="00A447E4" w14:paraId="6273EE46"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BC7546F"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Diesel</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8FF14D8"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142,552,928</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CCF794F"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194,810,533</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4E6DB98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222,224,729</w:t>
            </w:r>
          </w:p>
        </w:tc>
      </w:tr>
      <w:tr w:rsidR="00345EE3" w:rsidRPr="00A447E4" w14:paraId="425EBBF6"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488D909"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LPG</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0FAED6F"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694,089</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57399E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0EE355C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r>
      <w:tr w:rsidR="00345EE3" w:rsidRPr="00A447E4" w14:paraId="0F51CDF5"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75DB232"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Unleaded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089FC3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218,901,555</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89E5BFD"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144,599,242</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6E3C0326"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118,028,686</w:t>
            </w:r>
          </w:p>
        </w:tc>
      </w:tr>
      <w:tr w:rsidR="00345EE3" w:rsidRPr="00A447E4" w14:paraId="6E0A9B0C"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056DAF0"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Hybrid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F1A061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5,282,872</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468CFE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2,729,830</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13FD0DE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1,490,156</w:t>
            </w:r>
          </w:p>
        </w:tc>
      </w:tr>
      <w:tr w:rsidR="00345EE3" w:rsidRPr="00A447E4" w14:paraId="4D446D00"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7EB168B"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Electric</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0CC9DA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2,924</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4C8CA4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8,201</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660447D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3,592</w:t>
            </w:r>
          </w:p>
        </w:tc>
      </w:tr>
      <w:tr w:rsidR="00345EE3" w:rsidRPr="00A447E4" w14:paraId="120FC2D3"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51682CC"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T2. Total distance travelled by fleet vehicles (km)</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BA4B83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95,473,536</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93C8D6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87,262,851</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03092CF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95,796,030</w:t>
            </w:r>
          </w:p>
        </w:tc>
      </w:tr>
      <w:tr w:rsidR="00345EE3" w:rsidRPr="00A447E4" w14:paraId="4B98D777"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1B1D520"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Diesel</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E49E725"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36,185,769</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4354AF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48,509,217</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5B89AC0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59,603,362</w:t>
            </w:r>
          </w:p>
        </w:tc>
      </w:tr>
      <w:tr w:rsidR="00345EE3" w:rsidRPr="00A447E4" w14:paraId="6A9F7543"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18ECB0B"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LPG</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E104488"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171,310</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121DF95"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3B8B509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r>
      <w:tr w:rsidR="00345EE3" w:rsidRPr="00A447E4" w14:paraId="5519CCD9"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2628554"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Unleaded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8A18FE8"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56,702,303</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91A671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37,587,631</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54F1A37D"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35,467,311</w:t>
            </w:r>
          </w:p>
        </w:tc>
      </w:tr>
      <w:tr w:rsidR="00345EE3" w:rsidRPr="00A447E4" w14:paraId="6EEF2381"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9D483E3"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Hybrid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8D47A40"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2,410,803</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A62BA7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1,156,605</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589889E6"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721,240</w:t>
            </w:r>
          </w:p>
        </w:tc>
      </w:tr>
      <w:tr w:rsidR="00345EE3" w:rsidRPr="00A447E4" w14:paraId="03FFE958"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731FBBB"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Electric</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393161F"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3,351</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CC446E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9,398</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50E1DD9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4,117</w:t>
            </w:r>
          </w:p>
        </w:tc>
      </w:tr>
      <w:tr w:rsidR="00345EE3" w:rsidRPr="00A447E4" w14:paraId="32641723"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BA77A83"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T3. Total greenhouse gas emissions from fleet vehicles (tonnes CO</w:t>
            </w:r>
            <w:r w:rsidRPr="00A447E4">
              <w:rPr>
                <w:rFonts w:eastAsiaTheme="minorHAnsi"/>
                <w:b/>
                <w:bCs/>
                <w:color w:val="000000"/>
                <w:sz w:val="24"/>
                <w:szCs w:val="24"/>
                <w:vertAlign w:val="subscript"/>
                <w:lang w:val="en-GB"/>
              </w:rPr>
              <w:t>2</w:t>
            </w:r>
            <w:r w:rsidRPr="00A447E4">
              <w:rPr>
                <w:rFonts w:eastAsiaTheme="minorHAnsi"/>
                <w:b/>
                <w:bCs/>
                <w:color w:val="000000"/>
                <w:sz w:val="24"/>
                <w:szCs w:val="24"/>
                <w:lang w:val="en-GB"/>
              </w:rPr>
              <w:t>-e)</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313A72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26,440</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3FFE8B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24,781</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5B8FB01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24,820</w:t>
            </w:r>
          </w:p>
        </w:tc>
      </w:tr>
      <w:tr w:rsidR="00345EE3" w:rsidRPr="00A447E4" w14:paraId="5EA313FD"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4D861F2"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Diesel</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C325EA6"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10,478</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365E90F"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14,319</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27AACDB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16,334</w:t>
            </w:r>
          </w:p>
        </w:tc>
      </w:tr>
      <w:tr w:rsidR="00345EE3" w:rsidRPr="00A447E4" w14:paraId="6DA6A045"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142AC53"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LPG</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5D9B6B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44</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C430D5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6363259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r>
      <w:tr w:rsidR="00345EE3" w:rsidRPr="00A447E4" w14:paraId="30BBBD51"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C5F65A9"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Unleaded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2CBE22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15,542</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2AEEEB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10,267</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4C09D84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8,380</w:t>
            </w:r>
          </w:p>
        </w:tc>
      </w:tr>
      <w:tr w:rsidR="00345EE3" w:rsidRPr="00A447E4" w14:paraId="0D7ED5A6"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D5AA0DF"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Hybrid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8DA59B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375</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BAF842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194</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576D0C5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106</w:t>
            </w:r>
          </w:p>
        </w:tc>
      </w:tr>
      <w:tr w:rsidR="00345EE3" w:rsidRPr="00A447E4" w14:paraId="0C3461BA"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5D700B1"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Electric</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44279C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5462A85"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1FDA13C0"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w:t>
            </w:r>
          </w:p>
        </w:tc>
      </w:tr>
      <w:tr w:rsidR="00345EE3" w:rsidRPr="00A447E4" w14:paraId="69ECDCD4"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095E028"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T3. Greenhouse gas emissions from fleet vehicles per 1000km (tonnes CO</w:t>
            </w:r>
            <w:r w:rsidRPr="00A447E4">
              <w:rPr>
                <w:rFonts w:eastAsiaTheme="minorHAnsi"/>
                <w:b/>
                <w:bCs/>
                <w:color w:val="000000"/>
                <w:sz w:val="24"/>
                <w:szCs w:val="24"/>
                <w:vertAlign w:val="subscript"/>
                <w:lang w:val="en-GB"/>
              </w:rPr>
              <w:t>2</w:t>
            </w:r>
            <w:r w:rsidRPr="00A447E4">
              <w:rPr>
                <w:rFonts w:eastAsiaTheme="minorHAnsi"/>
                <w:b/>
                <w:bCs/>
                <w:color w:val="000000"/>
                <w:sz w:val="24"/>
                <w:szCs w:val="24"/>
                <w:lang w:val="en-GB"/>
              </w:rPr>
              <w:t>-e)</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0C5323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0.28</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824B0C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0.28</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429F076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0.26</w:t>
            </w:r>
          </w:p>
        </w:tc>
      </w:tr>
      <w:tr w:rsidR="00345EE3" w:rsidRPr="00A447E4" w14:paraId="3DE8C4C0"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EE09100"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Diesel</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8277AA0"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0.29</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D982CD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0.30</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41FDBA8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0.27</w:t>
            </w:r>
          </w:p>
        </w:tc>
      </w:tr>
      <w:tr w:rsidR="00345EE3" w:rsidRPr="00A447E4" w14:paraId="0F44A899"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5D0C415"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LPG</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4FF144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0.26</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8BA8A10"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074F7B95"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r>
      <w:tr w:rsidR="00345EE3" w:rsidRPr="00A447E4" w14:paraId="0BB9F700"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804A22A"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Unleaded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4CE0205"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0.27</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E304EB6"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0.27</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0E486E3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0.24</w:t>
            </w:r>
          </w:p>
        </w:tc>
      </w:tr>
      <w:tr w:rsidR="00345EE3" w:rsidRPr="00A447E4" w14:paraId="5DF3B727"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845707F"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Hybrid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AF9AC8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0.16</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75B87C8"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0.17</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0D750955"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0.15</w:t>
            </w:r>
          </w:p>
        </w:tc>
      </w:tr>
      <w:tr w:rsidR="00345EE3" w:rsidRPr="00A447E4" w14:paraId="7999F401"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9C632A0"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Electric</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3910DB2"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0.25</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EC7633F"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0.24</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62372BD8"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0.23</w:t>
            </w:r>
          </w:p>
        </w:tc>
      </w:tr>
      <w:tr w:rsidR="00345EE3" w:rsidRPr="00A447E4" w14:paraId="25E2B696"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232B1D7"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T4. Total distance travelled by air (km)</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DDD591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6,822,359</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FB005A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810,968</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1ED67F6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1,087,164</w:t>
            </w:r>
          </w:p>
        </w:tc>
      </w:tr>
      <w:tr w:rsidR="00345EE3" w:rsidRPr="00A447E4" w14:paraId="1A99E94C"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583715C"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T5. Percentage using sustainable transport to get to and from work by locality</w:t>
            </w:r>
            <w:r w:rsidRPr="00A447E4">
              <w:rPr>
                <w:rFonts w:eastAsiaTheme="minorHAnsi"/>
                <w:b/>
                <w:bCs/>
                <w:color w:val="000000"/>
                <w:sz w:val="24"/>
                <w:szCs w:val="24"/>
                <w:vertAlign w:val="superscript"/>
                <w:lang w:val="en-GB"/>
              </w:rPr>
              <w:t>18</w:t>
            </w:r>
            <w:r w:rsidRPr="00A447E4">
              <w:rPr>
                <w:rFonts w:eastAsiaTheme="minorHAnsi"/>
                <w:b/>
                <w:bCs/>
                <w:color w:val="000000"/>
                <w:sz w:val="24"/>
                <w:szCs w:val="24"/>
                <w:lang w:val="en-GB"/>
              </w:rPr>
              <w:t xml:space="preserve"> </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EA09A3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249B20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303FCCA0"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r>
      <w:tr w:rsidR="00345EE3" w:rsidRPr="00A447E4" w14:paraId="2F6D3E00"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D97D3EA"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CBD (%)</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4A9808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5B5016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1C02B88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r>
      <w:tr w:rsidR="00345EE3" w:rsidRPr="00A447E4" w14:paraId="4F61FA57"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CF059A0"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Metro (%)</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BAAF782"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8E632C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6236121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r>
      <w:tr w:rsidR="00345EE3" w:rsidRPr="00A447E4" w14:paraId="6CCADD60" w14:textId="77777777" w:rsidTr="00D73130">
        <w:trPr>
          <w:trHeight w:val="60"/>
        </w:trPr>
        <w:tc>
          <w:tcPr>
            <w:tcW w:w="5783"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7CCDB597"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Regional (%)</w:t>
            </w:r>
          </w:p>
        </w:tc>
        <w:tc>
          <w:tcPr>
            <w:tcW w:w="147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57" w:type="dxa"/>
            </w:tcMar>
          </w:tcPr>
          <w:p w14:paraId="7ABC67D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57" w:type="dxa"/>
            </w:tcMar>
          </w:tcPr>
          <w:p w14:paraId="28E8012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57" w:type="dxa"/>
            </w:tcMar>
          </w:tcPr>
          <w:p w14:paraId="6781774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r>
    </w:tbl>
    <w:p w14:paraId="3D9B973F" w14:textId="77777777" w:rsidR="00345EE3" w:rsidRDefault="00345EE3" w:rsidP="00345EE3">
      <w:pPr>
        <w:spacing w:before="79"/>
        <w:ind w:left="110"/>
        <w:rPr>
          <w:sz w:val="14"/>
        </w:rPr>
      </w:pPr>
      <w:r>
        <w:rPr>
          <w:rFonts w:ascii="Arial-BoldItalicMT"/>
          <w:b/>
          <w:i/>
          <w:color w:val="231F20"/>
          <w:sz w:val="14"/>
        </w:rPr>
        <w:t>Source:</w:t>
      </w:r>
      <w:r>
        <w:rPr>
          <w:rFonts w:ascii="Arial-BoldItalicMT"/>
          <w:b/>
          <w:i/>
          <w:color w:val="231F20"/>
          <w:spacing w:val="1"/>
          <w:sz w:val="14"/>
        </w:rPr>
        <w:t xml:space="preserve"> </w:t>
      </w:r>
      <w:r>
        <w:rPr>
          <w:color w:val="231F20"/>
          <w:sz w:val="14"/>
        </w:rPr>
        <w:t>Operational</w:t>
      </w:r>
      <w:r>
        <w:rPr>
          <w:color w:val="231F20"/>
          <w:spacing w:val="1"/>
          <w:sz w:val="14"/>
        </w:rPr>
        <w:t xml:space="preserve"> </w:t>
      </w:r>
      <w:r>
        <w:rPr>
          <w:color w:val="231F20"/>
          <w:sz w:val="14"/>
        </w:rPr>
        <w:t>Infrastructure</w:t>
      </w:r>
      <w:r>
        <w:rPr>
          <w:color w:val="231F20"/>
          <w:spacing w:val="1"/>
          <w:sz w:val="14"/>
        </w:rPr>
        <w:t xml:space="preserve"> </w:t>
      </w:r>
      <w:r>
        <w:rPr>
          <w:color w:val="231F20"/>
          <w:sz w:val="14"/>
        </w:rPr>
        <w:t>Department/Human</w:t>
      </w:r>
      <w:r>
        <w:rPr>
          <w:color w:val="231F20"/>
          <w:spacing w:val="1"/>
          <w:sz w:val="14"/>
        </w:rPr>
        <w:t xml:space="preserve"> </w:t>
      </w:r>
      <w:r>
        <w:rPr>
          <w:color w:val="231F20"/>
          <w:sz w:val="14"/>
        </w:rPr>
        <w:t>Resources Command.</w:t>
      </w:r>
      <w:r>
        <w:rPr>
          <w:color w:val="231F20"/>
          <w:spacing w:val="1"/>
          <w:sz w:val="14"/>
        </w:rPr>
        <w:t xml:space="preserve"> </w:t>
      </w:r>
      <w:r>
        <w:rPr>
          <w:color w:val="231F20"/>
          <w:sz w:val="14"/>
        </w:rPr>
        <w:t>Data</w:t>
      </w:r>
      <w:r>
        <w:rPr>
          <w:color w:val="231F20"/>
          <w:spacing w:val="1"/>
          <w:sz w:val="14"/>
        </w:rPr>
        <w:t xml:space="preserve"> </w:t>
      </w:r>
      <w:r>
        <w:rPr>
          <w:color w:val="231F20"/>
          <w:sz w:val="14"/>
        </w:rPr>
        <w:t>extracted</w:t>
      </w:r>
      <w:r>
        <w:rPr>
          <w:color w:val="231F20"/>
          <w:spacing w:val="1"/>
          <w:sz w:val="14"/>
        </w:rPr>
        <w:t xml:space="preserve"> </w:t>
      </w:r>
      <w:r>
        <w:rPr>
          <w:color w:val="231F20"/>
          <w:sz w:val="14"/>
        </w:rPr>
        <w:t>from</w:t>
      </w:r>
      <w:r>
        <w:rPr>
          <w:color w:val="231F20"/>
          <w:spacing w:val="1"/>
          <w:sz w:val="14"/>
        </w:rPr>
        <w:t xml:space="preserve"> </w:t>
      </w:r>
      <w:r>
        <w:rPr>
          <w:color w:val="231F20"/>
          <w:sz w:val="14"/>
        </w:rPr>
        <w:t>various sources</w:t>
      </w:r>
      <w:r>
        <w:rPr>
          <w:color w:val="231F20"/>
          <w:spacing w:val="1"/>
          <w:sz w:val="14"/>
        </w:rPr>
        <w:t xml:space="preserve"> </w:t>
      </w:r>
      <w:r>
        <w:rPr>
          <w:color w:val="231F20"/>
          <w:sz w:val="14"/>
        </w:rPr>
        <w:t>between</w:t>
      </w:r>
      <w:r>
        <w:rPr>
          <w:color w:val="231F20"/>
          <w:spacing w:val="1"/>
          <w:sz w:val="14"/>
        </w:rPr>
        <w:t xml:space="preserve"> </w:t>
      </w:r>
      <w:r>
        <w:rPr>
          <w:color w:val="231F20"/>
          <w:sz w:val="14"/>
        </w:rPr>
        <w:t>1</w:t>
      </w:r>
      <w:r>
        <w:rPr>
          <w:color w:val="231F20"/>
          <w:spacing w:val="1"/>
          <w:sz w:val="14"/>
        </w:rPr>
        <w:t xml:space="preserve"> </w:t>
      </w:r>
      <w:r>
        <w:rPr>
          <w:color w:val="231F20"/>
          <w:sz w:val="14"/>
        </w:rPr>
        <w:t>April 2021</w:t>
      </w:r>
      <w:r>
        <w:rPr>
          <w:color w:val="231F20"/>
          <w:spacing w:val="1"/>
          <w:sz w:val="14"/>
        </w:rPr>
        <w:t xml:space="preserve"> </w:t>
      </w:r>
      <w:r>
        <w:rPr>
          <w:color w:val="231F20"/>
          <w:sz w:val="14"/>
        </w:rPr>
        <w:t>and</w:t>
      </w:r>
      <w:r>
        <w:rPr>
          <w:color w:val="231F20"/>
          <w:spacing w:val="1"/>
          <w:sz w:val="14"/>
        </w:rPr>
        <w:t xml:space="preserve"> </w:t>
      </w:r>
      <w:r>
        <w:rPr>
          <w:color w:val="231F20"/>
          <w:sz w:val="14"/>
        </w:rPr>
        <w:t>15</w:t>
      </w:r>
      <w:r>
        <w:rPr>
          <w:color w:val="231F20"/>
          <w:spacing w:val="1"/>
          <w:sz w:val="14"/>
        </w:rPr>
        <w:t xml:space="preserve"> </w:t>
      </w:r>
      <w:r>
        <w:rPr>
          <w:color w:val="231F20"/>
          <w:sz w:val="14"/>
        </w:rPr>
        <w:t>July</w:t>
      </w:r>
      <w:r>
        <w:rPr>
          <w:color w:val="231F20"/>
          <w:spacing w:val="1"/>
          <w:sz w:val="14"/>
        </w:rPr>
        <w:t xml:space="preserve"> </w:t>
      </w:r>
      <w:r>
        <w:rPr>
          <w:color w:val="231F20"/>
          <w:spacing w:val="-2"/>
          <w:sz w:val="14"/>
        </w:rPr>
        <w:t>2022.</w:t>
      </w:r>
    </w:p>
    <w:p w14:paraId="150630F8" w14:textId="77777777" w:rsidR="00345EE3" w:rsidRDefault="00345EE3">
      <w:pPr>
        <w:pStyle w:val="ListParagraph"/>
        <w:numPr>
          <w:ilvl w:val="0"/>
          <w:numId w:val="78"/>
        </w:numPr>
        <w:tabs>
          <w:tab w:val="left" w:pos="338"/>
        </w:tabs>
        <w:spacing w:before="0" w:after="120"/>
        <w:ind w:hanging="228"/>
        <w:rPr>
          <w:sz w:val="14"/>
        </w:rPr>
      </w:pPr>
      <w:r>
        <w:rPr>
          <w:color w:val="231F20"/>
          <w:sz w:val="14"/>
        </w:rPr>
        <w:t>Victoria</w:t>
      </w:r>
      <w:r>
        <w:rPr>
          <w:color w:val="231F20"/>
          <w:spacing w:val="-1"/>
          <w:sz w:val="14"/>
        </w:rPr>
        <w:t xml:space="preserve"> </w:t>
      </w:r>
      <w:r>
        <w:rPr>
          <w:color w:val="231F20"/>
          <w:sz w:val="14"/>
        </w:rPr>
        <w:t>Police</w:t>
      </w:r>
      <w:r>
        <w:rPr>
          <w:color w:val="231F20"/>
          <w:spacing w:val="-1"/>
          <w:sz w:val="14"/>
        </w:rPr>
        <w:t xml:space="preserve"> </w:t>
      </w:r>
      <w:r>
        <w:rPr>
          <w:color w:val="231F20"/>
          <w:sz w:val="14"/>
        </w:rPr>
        <w:t>does</w:t>
      </w:r>
      <w:r>
        <w:rPr>
          <w:color w:val="231F20"/>
          <w:spacing w:val="-1"/>
          <w:sz w:val="14"/>
        </w:rPr>
        <w:t xml:space="preserve"> </w:t>
      </w:r>
      <w:r>
        <w:rPr>
          <w:color w:val="231F20"/>
          <w:sz w:val="14"/>
        </w:rPr>
        <w:t>not</w:t>
      </w:r>
      <w:r>
        <w:rPr>
          <w:color w:val="231F20"/>
          <w:spacing w:val="-1"/>
          <w:sz w:val="14"/>
        </w:rPr>
        <w:t xml:space="preserve"> </w:t>
      </w:r>
      <w:r>
        <w:rPr>
          <w:color w:val="231F20"/>
          <w:sz w:val="14"/>
        </w:rPr>
        <w:t>capture</w:t>
      </w:r>
      <w:r>
        <w:rPr>
          <w:color w:val="231F20"/>
          <w:spacing w:val="-1"/>
          <w:sz w:val="14"/>
        </w:rPr>
        <w:t xml:space="preserve"> </w:t>
      </w:r>
      <w:r>
        <w:rPr>
          <w:color w:val="231F20"/>
          <w:sz w:val="14"/>
        </w:rPr>
        <w:t>data</w:t>
      </w:r>
      <w:r>
        <w:rPr>
          <w:color w:val="231F20"/>
          <w:spacing w:val="-1"/>
          <w:sz w:val="14"/>
        </w:rPr>
        <w:t xml:space="preserve"> </w:t>
      </w:r>
      <w:r>
        <w:rPr>
          <w:color w:val="231F20"/>
          <w:sz w:val="14"/>
        </w:rPr>
        <w:t>relating</w:t>
      </w:r>
      <w:r>
        <w:rPr>
          <w:color w:val="231F20"/>
          <w:spacing w:val="-1"/>
          <w:sz w:val="14"/>
        </w:rPr>
        <w:t xml:space="preserve"> </w:t>
      </w:r>
      <w:r>
        <w:rPr>
          <w:color w:val="231F20"/>
          <w:sz w:val="14"/>
        </w:rPr>
        <w:t>to percentage</w:t>
      </w:r>
      <w:r>
        <w:rPr>
          <w:color w:val="231F20"/>
          <w:spacing w:val="-1"/>
          <w:sz w:val="14"/>
        </w:rPr>
        <w:t xml:space="preserve"> </w:t>
      </w:r>
      <w:r>
        <w:rPr>
          <w:color w:val="231F20"/>
          <w:sz w:val="14"/>
        </w:rPr>
        <w:t>using</w:t>
      </w:r>
      <w:r>
        <w:rPr>
          <w:color w:val="231F20"/>
          <w:spacing w:val="-1"/>
          <w:sz w:val="14"/>
        </w:rPr>
        <w:t xml:space="preserve"> </w:t>
      </w:r>
      <w:r>
        <w:rPr>
          <w:color w:val="231F20"/>
          <w:sz w:val="14"/>
        </w:rPr>
        <w:t>sustainable</w:t>
      </w:r>
      <w:r>
        <w:rPr>
          <w:color w:val="231F20"/>
          <w:spacing w:val="-1"/>
          <w:sz w:val="14"/>
        </w:rPr>
        <w:t xml:space="preserve"> </w:t>
      </w:r>
      <w:r>
        <w:rPr>
          <w:color w:val="231F20"/>
          <w:sz w:val="14"/>
        </w:rPr>
        <w:t>transport</w:t>
      </w:r>
      <w:r>
        <w:rPr>
          <w:color w:val="231F20"/>
          <w:spacing w:val="-1"/>
          <w:sz w:val="14"/>
        </w:rPr>
        <w:t xml:space="preserve"> </w:t>
      </w:r>
      <w:r>
        <w:rPr>
          <w:color w:val="231F20"/>
          <w:sz w:val="14"/>
        </w:rPr>
        <w:t>to</w:t>
      </w:r>
      <w:r>
        <w:rPr>
          <w:color w:val="231F20"/>
          <w:spacing w:val="-1"/>
          <w:sz w:val="14"/>
        </w:rPr>
        <w:t xml:space="preserve"> </w:t>
      </w:r>
      <w:r>
        <w:rPr>
          <w:color w:val="231F20"/>
          <w:sz w:val="14"/>
        </w:rPr>
        <w:t>get</w:t>
      </w:r>
      <w:r>
        <w:rPr>
          <w:color w:val="231F20"/>
          <w:spacing w:val="-1"/>
          <w:sz w:val="14"/>
        </w:rPr>
        <w:t xml:space="preserve"> </w:t>
      </w:r>
      <w:r>
        <w:rPr>
          <w:color w:val="231F20"/>
          <w:sz w:val="14"/>
        </w:rPr>
        <w:t>to</w:t>
      </w:r>
      <w:r>
        <w:rPr>
          <w:color w:val="231F20"/>
          <w:spacing w:val="-1"/>
          <w:sz w:val="14"/>
        </w:rPr>
        <w:t xml:space="preserve"> </w:t>
      </w:r>
      <w:r>
        <w:rPr>
          <w:color w:val="231F20"/>
          <w:sz w:val="14"/>
        </w:rPr>
        <w:t>and from</w:t>
      </w:r>
      <w:r>
        <w:rPr>
          <w:color w:val="231F20"/>
          <w:spacing w:val="-1"/>
          <w:sz w:val="14"/>
        </w:rPr>
        <w:t xml:space="preserve"> </w:t>
      </w:r>
      <w:r>
        <w:rPr>
          <w:color w:val="231F20"/>
          <w:sz w:val="14"/>
        </w:rPr>
        <w:t>work</w:t>
      </w:r>
      <w:r>
        <w:rPr>
          <w:color w:val="231F20"/>
          <w:spacing w:val="-1"/>
          <w:sz w:val="14"/>
        </w:rPr>
        <w:t xml:space="preserve"> </w:t>
      </w:r>
      <w:r>
        <w:rPr>
          <w:color w:val="231F20"/>
          <w:sz w:val="14"/>
        </w:rPr>
        <w:t>by</w:t>
      </w:r>
      <w:r>
        <w:rPr>
          <w:color w:val="231F20"/>
          <w:spacing w:val="-1"/>
          <w:sz w:val="14"/>
        </w:rPr>
        <w:t xml:space="preserve"> </w:t>
      </w:r>
      <w:r>
        <w:rPr>
          <w:color w:val="231F20"/>
          <w:sz w:val="14"/>
        </w:rPr>
        <w:t>locality</w:t>
      </w:r>
      <w:r>
        <w:rPr>
          <w:color w:val="231F20"/>
          <w:spacing w:val="-1"/>
          <w:sz w:val="14"/>
        </w:rPr>
        <w:t xml:space="preserve"> </w:t>
      </w:r>
      <w:r>
        <w:rPr>
          <w:color w:val="231F20"/>
          <w:sz w:val="14"/>
        </w:rPr>
        <w:t>and</w:t>
      </w:r>
      <w:r>
        <w:rPr>
          <w:color w:val="231F20"/>
          <w:spacing w:val="-1"/>
          <w:sz w:val="14"/>
        </w:rPr>
        <w:t xml:space="preserve"> </w:t>
      </w:r>
      <w:r>
        <w:rPr>
          <w:color w:val="231F20"/>
          <w:sz w:val="14"/>
        </w:rPr>
        <w:t>cannot</w:t>
      </w:r>
      <w:r>
        <w:rPr>
          <w:color w:val="231F20"/>
          <w:spacing w:val="-1"/>
          <w:sz w:val="14"/>
        </w:rPr>
        <w:t xml:space="preserve"> </w:t>
      </w:r>
      <w:r>
        <w:rPr>
          <w:color w:val="231F20"/>
          <w:sz w:val="14"/>
        </w:rPr>
        <w:t>report</w:t>
      </w:r>
      <w:r>
        <w:rPr>
          <w:color w:val="231F20"/>
          <w:spacing w:val="-1"/>
          <w:sz w:val="14"/>
        </w:rPr>
        <w:t xml:space="preserve"> </w:t>
      </w:r>
      <w:r>
        <w:rPr>
          <w:color w:val="231F20"/>
          <w:sz w:val="14"/>
        </w:rPr>
        <w:t xml:space="preserve">on </w:t>
      </w:r>
      <w:r>
        <w:rPr>
          <w:color w:val="231F20"/>
          <w:spacing w:val="-2"/>
          <w:sz w:val="14"/>
        </w:rPr>
        <w:t>this.</w:t>
      </w:r>
    </w:p>
    <w:p w14:paraId="29914ED8" w14:textId="77777777" w:rsidR="00345EE3" w:rsidRDefault="00345EE3" w:rsidP="00345EE3">
      <w:pPr>
        <w:pStyle w:val="BodyText"/>
        <w:rPr>
          <w:sz w:val="17"/>
        </w:rPr>
      </w:pPr>
    </w:p>
    <w:p w14:paraId="468A8983" w14:textId="77777777" w:rsidR="00345EE3" w:rsidRDefault="00345EE3" w:rsidP="00345EE3">
      <w:pPr>
        <w:pStyle w:val="Heading5"/>
        <w:spacing w:before="0"/>
      </w:pPr>
      <w:r>
        <w:rPr>
          <w:color w:val="58595B"/>
        </w:rPr>
        <w:t>Actions</w:t>
      </w:r>
      <w:r>
        <w:rPr>
          <w:color w:val="58595B"/>
          <w:spacing w:val="-3"/>
        </w:rPr>
        <w:t xml:space="preserve"> </w:t>
      </w:r>
      <w:r>
        <w:rPr>
          <w:color w:val="58595B"/>
        </w:rPr>
        <w:t>undertaken</w:t>
      </w:r>
      <w:r>
        <w:rPr>
          <w:color w:val="58595B"/>
          <w:spacing w:val="-2"/>
        </w:rPr>
        <w:t xml:space="preserve"> </w:t>
      </w:r>
      <w:r>
        <w:rPr>
          <w:color w:val="58595B"/>
        </w:rPr>
        <w:t>during</w:t>
      </w:r>
      <w:r>
        <w:rPr>
          <w:color w:val="58595B"/>
          <w:spacing w:val="-2"/>
        </w:rPr>
        <w:t xml:space="preserve"> 2021–22</w:t>
      </w:r>
    </w:p>
    <w:p w14:paraId="4BCA46A6" w14:textId="77777777" w:rsidR="00345EE3" w:rsidRDefault="00345EE3">
      <w:pPr>
        <w:pStyle w:val="ListParagraph"/>
        <w:numPr>
          <w:ilvl w:val="1"/>
          <w:numId w:val="58"/>
        </w:numPr>
        <w:tabs>
          <w:tab w:val="left" w:pos="393"/>
          <w:tab w:val="left" w:pos="394"/>
        </w:tabs>
        <w:spacing w:before="4" w:line="242" w:lineRule="auto"/>
        <w:ind w:right="931"/>
        <w:rPr>
          <w:sz w:val="24"/>
        </w:rPr>
      </w:pPr>
      <w:r>
        <w:rPr>
          <w:color w:val="231F20"/>
          <w:sz w:val="24"/>
        </w:rPr>
        <w:t>Victoria</w:t>
      </w:r>
      <w:r>
        <w:rPr>
          <w:color w:val="231F20"/>
          <w:spacing w:val="-11"/>
          <w:sz w:val="24"/>
        </w:rPr>
        <w:t xml:space="preserve"> </w:t>
      </w:r>
      <w:r>
        <w:rPr>
          <w:color w:val="231F20"/>
          <w:sz w:val="24"/>
        </w:rPr>
        <w:t>Police</w:t>
      </w:r>
      <w:r>
        <w:rPr>
          <w:color w:val="231F20"/>
          <w:spacing w:val="-11"/>
          <w:sz w:val="24"/>
        </w:rPr>
        <w:t xml:space="preserve"> </w:t>
      </w:r>
      <w:r>
        <w:rPr>
          <w:color w:val="231F20"/>
          <w:sz w:val="24"/>
        </w:rPr>
        <w:t>minimised</w:t>
      </w:r>
      <w:r>
        <w:rPr>
          <w:color w:val="231F20"/>
          <w:spacing w:val="-11"/>
          <w:sz w:val="24"/>
        </w:rPr>
        <w:t xml:space="preserve"> </w:t>
      </w:r>
      <w:r>
        <w:rPr>
          <w:color w:val="231F20"/>
          <w:sz w:val="24"/>
        </w:rPr>
        <w:t>travel</w:t>
      </w:r>
      <w:r>
        <w:rPr>
          <w:color w:val="231F20"/>
          <w:spacing w:val="-11"/>
          <w:sz w:val="24"/>
        </w:rPr>
        <w:t xml:space="preserve"> </w:t>
      </w:r>
      <w:r>
        <w:rPr>
          <w:color w:val="231F20"/>
          <w:sz w:val="24"/>
        </w:rPr>
        <w:t>by</w:t>
      </w:r>
      <w:r>
        <w:rPr>
          <w:color w:val="231F20"/>
          <w:spacing w:val="-10"/>
          <w:sz w:val="24"/>
        </w:rPr>
        <w:t xml:space="preserve"> </w:t>
      </w:r>
      <w:r>
        <w:rPr>
          <w:color w:val="231F20"/>
          <w:sz w:val="24"/>
        </w:rPr>
        <w:t>using</w:t>
      </w:r>
      <w:r>
        <w:rPr>
          <w:color w:val="231F20"/>
          <w:spacing w:val="-11"/>
          <w:sz w:val="24"/>
        </w:rPr>
        <w:t xml:space="preserve"> </w:t>
      </w:r>
      <w:r>
        <w:rPr>
          <w:color w:val="231F20"/>
          <w:sz w:val="24"/>
        </w:rPr>
        <w:t>telephone</w:t>
      </w:r>
      <w:r>
        <w:rPr>
          <w:color w:val="231F20"/>
          <w:spacing w:val="-11"/>
          <w:sz w:val="24"/>
        </w:rPr>
        <w:t xml:space="preserve"> </w:t>
      </w:r>
      <w:r>
        <w:rPr>
          <w:color w:val="231F20"/>
          <w:sz w:val="24"/>
        </w:rPr>
        <w:t>and</w:t>
      </w:r>
      <w:r>
        <w:rPr>
          <w:color w:val="231F20"/>
          <w:spacing w:val="-11"/>
          <w:sz w:val="24"/>
        </w:rPr>
        <w:t xml:space="preserve"> </w:t>
      </w:r>
      <w:r>
        <w:rPr>
          <w:color w:val="231F20"/>
          <w:sz w:val="24"/>
        </w:rPr>
        <w:t>video</w:t>
      </w:r>
      <w:r>
        <w:rPr>
          <w:color w:val="231F20"/>
          <w:spacing w:val="-11"/>
          <w:sz w:val="24"/>
        </w:rPr>
        <w:t xml:space="preserve"> </w:t>
      </w:r>
      <w:r>
        <w:rPr>
          <w:color w:val="231F20"/>
          <w:sz w:val="24"/>
        </w:rPr>
        <w:t>conferencing</w:t>
      </w:r>
      <w:r>
        <w:rPr>
          <w:color w:val="231F20"/>
          <w:spacing w:val="-11"/>
          <w:sz w:val="24"/>
        </w:rPr>
        <w:t xml:space="preserve"> </w:t>
      </w:r>
      <w:r>
        <w:rPr>
          <w:color w:val="231F20"/>
          <w:sz w:val="24"/>
        </w:rPr>
        <w:t>facilities,</w:t>
      </w:r>
      <w:r>
        <w:rPr>
          <w:color w:val="231F20"/>
          <w:spacing w:val="-10"/>
          <w:sz w:val="24"/>
        </w:rPr>
        <w:t xml:space="preserve"> </w:t>
      </w:r>
      <w:r>
        <w:rPr>
          <w:color w:val="231F20"/>
          <w:sz w:val="24"/>
        </w:rPr>
        <w:t>and</w:t>
      </w:r>
      <w:r>
        <w:rPr>
          <w:color w:val="231F20"/>
          <w:spacing w:val="-11"/>
          <w:sz w:val="24"/>
        </w:rPr>
        <w:t xml:space="preserve"> </w:t>
      </w:r>
      <w:r>
        <w:rPr>
          <w:color w:val="231F20"/>
          <w:sz w:val="24"/>
        </w:rPr>
        <w:t>staff were encouraged to use public transport and cycle to work.</w:t>
      </w:r>
    </w:p>
    <w:p w14:paraId="2A0522E7" w14:textId="77777777" w:rsidR="00345EE3" w:rsidRDefault="00345EE3">
      <w:pPr>
        <w:pStyle w:val="ListParagraph"/>
        <w:numPr>
          <w:ilvl w:val="1"/>
          <w:numId w:val="58"/>
        </w:numPr>
        <w:tabs>
          <w:tab w:val="left" w:pos="393"/>
          <w:tab w:val="left" w:pos="394"/>
        </w:tabs>
        <w:spacing w:before="31" w:line="242" w:lineRule="auto"/>
        <w:ind w:right="899"/>
        <w:rPr>
          <w:sz w:val="24"/>
        </w:rPr>
      </w:pPr>
      <w:r>
        <w:rPr>
          <w:color w:val="231F20"/>
          <w:sz w:val="24"/>
        </w:rPr>
        <w:t>The</w:t>
      </w:r>
      <w:r>
        <w:rPr>
          <w:color w:val="231F20"/>
          <w:spacing w:val="-13"/>
          <w:sz w:val="24"/>
        </w:rPr>
        <w:t xml:space="preserve"> </w:t>
      </w:r>
      <w:r>
        <w:rPr>
          <w:color w:val="231F20"/>
          <w:sz w:val="24"/>
        </w:rPr>
        <w:t>number</w:t>
      </w:r>
      <w:r>
        <w:rPr>
          <w:color w:val="231F20"/>
          <w:spacing w:val="-12"/>
          <w:sz w:val="24"/>
        </w:rPr>
        <w:t xml:space="preserve"> </w:t>
      </w:r>
      <w:r>
        <w:rPr>
          <w:color w:val="231F20"/>
          <w:sz w:val="24"/>
        </w:rPr>
        <w:t>of</w:t>
      </w:r>
      <w:r>
        <w:rPr>
          <w:color w:val="231F20"/>
          <w:spacing w:val="-12"/>
          <w:sz w:val="24"/>
        </w:rPr>
        <w:t xml:space="preserve"> </w:t>
      </w:r>
      <w:r>
        <w:rPr>
          <w:color w:val="231F20"/>
          <w:sz w:val="24"/>
        </w:rPr>
        <w:t>kilometres</w:t>
      </w:r>
      <w:r>
        <w:rPr>
          <w:color w:val="231F20"/>
          <w:spacing w:val="-12"/>
          <w:sz w:val="24"/>
        </w:rPr>
        <w:t xml:space="preserve"> </w:t>
      </w:r>
      <w:r>
        <w:rPr>
          <w:color w:val="231F20"/>
          <w:sz w:val="24"/>
        </w:rPr>
        <w:t>travelled</w:t>
      </w:r>
      <w:r>
        <w:rPr>
          <w:color w:val="231F20"/>
          <w:spacing w:val="-13"/>
          <w:sz w:val="24"/>
        </w:rPr>
        <w:t xml:space="preserve"> </w:t>
      </w:r>
      <w:r>
        <w:rPr>
          <w:color w:val="231F20"/>
          <w:sz w:val="24"/>
        </w:rPr>
        <w:t>overall</w:t>
      </w:r>
      <w:r>
        <w:rPr>
          <w:color w:val="231F20"/>
          <w:spacing w:val="-13"/>
          <w:sz w:val="24"/>
        </w:rPr>
        <w:t xml:space="preserve"> </w:t>
      </w:r>
      <w:r>
        <w:rPr>
          <w:color w:val="231F20"/>
          <w:sz w:val="24"/>
        </w:rPr>
        <w:t>increased</w:t>
      </w:r>
      <w:r>
        <w:rPr>
          <w:color w:val="231F20"/>
          <w:spacing w:val="-13"/>
          <w:sz w:val="24"/>
        </w:rPr>
        <w:t xml:space="preserve"> </w:t>
      </w:r>
      <w:r>
        <w:rPr>
          <w:color w:val="231F20"/>
          <w:sz w:val="24"/>
        </w:rPr>
        <w:t>due</w:t>
      </w:r>
      <w:r>
        <w:rPr>
          <w:color w:val="231F20"/>
          <w:spacing w:val="-13"/>
          <w:sz w:val="24"/>
        </w:rPr>
        <w:t xml:space="preserve"> </w:t>
      </w:r>
      <w:r>
        <w:rPr>
          <w:color w:val="231F20"/>
          <w:sz w:val="24"/>
        </w:rPr>
        <w:t>to</w:t>
      </w:r>
      <w:r>
        <w:rPr>
          <w:color w:val="231F20"/>
          <w:spacing w:val="-13"/>
          <w:sz w:val="24"/>
        </w:rPr>
        <w:t xml:space="preserve"> </w:t>
      </w:r>
      <w:r>
        <w:rPr>
          <w:color w:val="231F20"/>
          <w:sz w:val="24"/>
        </w:rPr>
        <w:t>the</w:t>
      </w:r>
      <w:r>
        <w:rPr>
          <w:color w:val="231F20"/>
          <w:spacing w:val="-13"/>
          <w:sz w:val="24"/>
        </w:rPr>
        <w:t xml:space="preserve"> </w:t>
      </w:r>
      <w:r>
        <w:rPr>
          <w:color w:val="231F20"/>
          <w:sz w:val="24"/>
        </w:rPr>
        <w:t>easing</w:t>
      </w:r>
      <w:r>
        <w:rPr>
          <w:color w:val="231F20"/>
          <w:spacing w:val="-13"/>
          <w:sz w:val="24"/>
        </w:rPr>
        <w:t xml:space="preserve"> </w:t>
      </w:r>
      <w:r>
        <w:rPr>
          <w:color w:val="231F20"/>
          <w:sz w:val="24"/>
        </w:rPr>
        <w:t>of</w:t>
      </w:r>
      <w:r>
        <w:rPr>
          <w:color w:val="231F20"/>
          <w:spacing w:val="-12"/>
          <w:sz w:val="24"/>
        </w:rPr>
        <w:t xml:space="preserve"> </w:t>
      </w:r>
      <w:r>
        <w:rPr>
          <w:color w:val="231F20"/>
          <w:sz w:val="24"/>
        </w:rPr>
        <w:t>COVID-19</w:t>
      </w:r>
      <w:r>
        <w:rPr>
          <w:color w:val="231F20"/>
          <w:spacing w:val="-13"/>
          <w:sz w:val="24"/>
        </w:rPr>
        <w:t xml:space="preserve"> </w:t>
      </w:r>
      <w:r>
        <w:rPr>
          <w:color w:val="231F20"/>
          <w:sz w:val="24"/>
        </w:rPr>
        <w:t>lockdown restrictions and increased operational patrolling requirements across the state.</w:t>
      </w:r>
    </w:p>
    <w:p w14:paraId="2218AE2B" w14:textId="77777777" w:rsidR="00345EE3" w:rsidRDefault="00345EE3">
      <w:pPr>
        <w:pStyle w:val="ListParagraph"/>
        <w:numPr>
          <w:ilvl w:val="1"/>
          <w:numId w:val="58"/>
        </w:numPr>
        <w:tabs>
          <w:tab w:val="left" w:pos="393"/>
          <w:tab w:val="left" w:pos="394"/>
        </w:tabs>
        <w:spacing w:before="31" w:line="242" w:lineRule="auto"/>
        <w:ind w:right="971"/>
        <w:rPr>
          <w:sz w:val="24"/>
        </w:rPr>
      </w:pPr>
      <w:r>
        <w:rPr>
          <w:color w:val="231F20"/>
          <w:sz w:val="24"/>
        </w:rPr>
        <w:t>With</w:t>
      </w:r>
      <w:r>
        <w:rPr>
          <w:color w:val="231F20"/>
          <w:spacing w:val="-7"/>
          <w:sz w:val="24"/>
        </w:rPr>
        <w:t xml:space="preserve"> </w:t>
      </w:r>
      <w:r>
        <w:rPr>
          <w:color w:val="231F20"/>
          <w:sz w:val="24"/>
        </w:rPr>
        <w:t>the</w:t>
      </w:r>
      <w:r>
        <w:rPr>
          <w:color w:val="231F20"/>
          <w:spacing w:val="-7"/>
          <w:sz w:val="24"/>
        </w:rPr>
        <w:t xml:space="preserve"> </w:t>
      </w:r>
      <w:r>
        <w:rPr>
          <w:color w:val="231F20"/>
          <w:sz w:val="24"/>
        </w:rPr>
        <w:t>closure</w:t>
      </w:r>
      <w:r>
        <w:rPr>
          <w:color w:val="231F20"/>
          <w:spacing w:val="-7"/>
          <w:sz w:val="24"/>
        </w:rPr>
        <w:t xml:space="preserve"> </w:t>
      </w:r>
      <w:r>
        <w:rPr>
          <w:color w:val="231F20"/>
          <w:sz w:val="24"/>
        </w:rPr>
        <w:t>of</w:t>
      </w:r>
      <w:r>
        <w:rPr>
          <w:color w:val="231F20"/>
          <w:spacing w:val="-6"/>
          <w:sz w:val="24"/>
        </w:rPr>
        <w:t xml:space="preserve"> </w:t>
      </w:r>
      <w:r>
        <w:rPr>
          <w:color w:val="231F20"/>
          <w:sz w:val="24"/>
        </w:rPr>
        <w:t>the</w:t>
      </w:r>
      <w:r>
        <w:rPr>
          <w:color w:val="231F20"/>
          <w:spacing w:val="-7"/>
          <w:sz w:val="24"/>
        </w:rPr>
        <w:t xml:space="preserve"> </w:t>
      </w:r>
      <w:r>
        <w:rPr>
          <w:color w:val="231F20"/>
          <w:sz w:val="24"/>
        </w:rPr>
        <w:t>Australian</w:t>
      </w:r>
      <w:r>
        <w:rPr>
          <w:color w:val="231F20"/>
          <w:spacing w:val="-7"/>
          <w:sz w:val="24"/>
        </w:rPr>
        <w:t xml:space="preserve"> </w:t>
      </w:r>
      <w:r>
        <w:rPr>
          <w:color w:val="231F20"/>
          <w:sz w:val="24"/>
        </w:rPr>
        <w:t>Car</w:t>
      </w:r>
      <w:r>
        <w:rPr>
          <w:color w:val="231F20"/>
          <w:spacing w:val="-6"/>
          <w:sz w:val="24"/>
        </w:rPr>
        <w:t xml:space="preserve"> </w:t>
      </w:r>
      <w:r>
        <w:rPr>
          <w:color w:val="231F20"/>
          <w:sz w:val="24"/>
        </w:rPr>
        <w:t>Industry</w:t>
      </w:r>
      <w:r>
        <w:rPr>
          <w:color w:val="231F20"/>
          <w:spacing w:val="-6"/>
          <w:sz w:val="24"/>
        </w:rPr>
        <w:t xml:space="preserve"> </w:t>
      </w:r>
      <w:r>
        <w:rPr>
          <w:color w:val="231F20"/>
          <w:sz w:val="24"/>
        </w:rPr>
        <w:t>the</w:t>
      </w:r>
      <w:r>
        <w:rPr>
          <w:color w:val="231F20"/>
          <w:spacing w:val="-7"/>
          <w:sz w:val="24"/>
        </w:rPr>
        <w:t xml:space="preserve"> </w:t>
      </w:r>
      <w:r>
        <w:rPr>
          <w:color w:val="231F20"/>
          <w:sz w:val="24"/>
        </w:rPr>
        <w:t>fleet</w:t>
      </w:r>
      <w:r>
        <w:rPr>
          <w:color w:val="231F20"/>
          <w:spacing w:val="-6"/>
          <w:sz w:val="24"/>
        </w:rPr>
        <w:t xml:space="preserve"> </w:t>
      </w:r>
      <w:r>
        <w:rPr>
          <w:color w:val="231F20"/>
          <w:sz w:val="24"/>
        </w:rPr>
        <w:t>has</w:t>
      </w:r>
      <w:r>
        <w:rPr>
          <w:color w:val="231F20"/>
          <w:spacing w:val="-6"/>
          <w:sz w:val="24"/>
        </w:rPr>
        <w:t xml:space="preserve"> </w:t>
      </w:r>
      <w:r>
        <w:rPr>
          <w:color w:val="231F20"/>
          <w:sz w:val="24"/>
        </w:rPr>
        <w:t>transitioned</w:t>
      </w:r>
      <w:r>
        <w:rPr>
          <w:color w:val="231F20"/>
          <w:spacing w:val="-7"/>
          <w:sz w:val="24"/>
        </w:rPr>
        <w:t xml:space="preserve"> </w:t>
      </w:r>
      <w:r>
        <w:rPr>
          <w:color w:val="231F20"/>
          <w:sz w:val="24"/>
        </w:rPr>
        <w:t>to</w:t>
      </w:r>
      <w:r>
        <w:rPr>
          <w:color w:val="231F20"/>
          <w:spacing w:val="-7"/>
          <w:sz w:val="24"/>
        </w:rPr>
        <w:t xml:space="preserve"> </w:t>
      </w:r>
      <w:r>
        <w:rPr>
          <w:color w:val="231F20"/>
          <w:sz w:val="24"/>
        </w:rPr>
        <w:t>imported</w:t>
      </w:r>
      <w:r>
        <w:rPr>
          <w:color w:val="231F20"/>
          <w:spacing w:val="-7"/>
          <w:sz w:val="24"/>
        </w:rPr>
        <w:t xml:space="preserve"> </w:t>
      </w:r>
      <w:r>
        <w:rPr>
          <w:color w:val="231F20"/>
          <w:sz w:val="24"/>
        </w:rPr>
        <w:t>cars</w:t>
      </w:r>
      <w:r>
        <w:rPr>
          <w:color w:val="231F20"/>
          <w:spacing w:val="-6"/>
          <w:sz w:val="24"/>
        </w:rPr>
        <w:t xml:space="preserve"> </w:t>
      </w:r>
      <w:r>
        <w:rPr>
          <w:color w:val="231F20"/>
          <w:sz w:val="24"/>
        </w:rPr>
        <w:t>with improved fuel efficiency. This has resulted in improvements in distance travelled for energy expended and related reduction in greenhouse gas emissions per 1,000km travelled.</w:t>
      </w:r>
    </w:p>
    <w:p w14:paraId="27DE6E94" w14:textId="77777777" w:rsidR="00345EE3" w:rsidRDefault="00345EE3">
      <w:pPr>
        <w:pStyle w:val="ListParagraph"/>
        <w:numPr>
          <w:ilvl w:val="1"/>
          <w:numId w:val="58"/>
        </w:numPr>
        <w:tabs>
          <w:tab w:val="left" w:pos="393"/>
          <w:tab w:val="left" w:pos="394"/>
        </w:tabs>
        <w:spacing w:line="242" w:lineRule="auto"/>
        <w:ind w:right="1651"/>
        <w:rPr>
          <w:sz w:val="24"/>
        </w:rPr>
      </w:pPr>
      <w:r>
        <w:rPr>
          <w:color w:val="231F20"/>
          <w:sz w:val="24"/>
        </w:rPr>
        <w:t>Cycling</w:t>
      </w:r>
      <w:r>
        <w:rPr>
          <w:color w:val="231F20"/>
          <w:spacing w:val="-8"/>
          <w:sz w:val="24"/>
        </w:rPr>
        <w:t xml:space="preserve"> </w:t>
      </w:r>
      <w:r>
        <w:rPr>
          <w:color w:val="231F20"/>
          <w:sz w:val="24"/>
        </w:rPr>
        <w:t>clubs</w:t>
      </w:r>
      <w:r>
        <w:rPr>
          <w:color w:val="231F20"/>
          <w:spacing w:val="-7"/>
          <w:sz w:val="24"/>
        </w:rPr>
        <w:t xml:space="preserve"> </w:t>
      </w:r>
      <w:r>
        <w:rPr>
          <w:color w:val="231F20"/>
          <w:sz w:val="24"/>
        </w:rPr>
        <w:t>continue</w:t>
      </w:r>
      <w:r>
        <w:rPr>
          <w:color w:val="231F20"/>
          <w:spacing w:val="-8"/>
          <w:sz w:val="24"/>
        </w:rPr>
        <w:t xml:space="preserve"> </w:t>
      </w:r>
      <w:r>
        <w:rPr>
          <w:color w:val="231F20"/>
          <w:sz w:val="24"/>
        </w:rPr>
        <w:t>to</w:t>
      </w:r>
      <w:r>
        <w:rPr>
          <w:color w:val="231F20"/>
          <w:spacing w:val="-8"/>
          <w:sz w:val="24"/>
        </w:rPr>
        <w:t xml:space="preserve"> </w:t>
      </w:r>
      <w:r>
        <w:rPr>
          <w:color w:val="231F20"/>
          <w:sz w:val="24"/>
        </w:rPr>
        <w:t>be</w:t>
      </w:r>
      <w:r>
        <w:rPr>
          <w:color w:val="231F20"/>
          <w:spacing w:val="-8"/>
          <w:sz w:val="24"/>
        </w:rPr>
        <w:t xml:space="preserve"> </w:t>
      </w:r>
      <w:r>
        <w:rPr>
          <w:color w:val="231F20"/>
          <w:sz w:val="24"/>
        </w:rPr>
        <w:t>promoted</w:t>
      </w:r>
      <w:r>
        <w:rPr>
          <w:color w:val="231F20"/>
          <w:spacing w:val="-8"/>
          <w:sz w:val="24"/>
        </w:rPr>
        <w:t xml:space="preserve"> </w:t>
      </w:r>
      <w:r>
        <w:rPr>
          <w:color w:val="231F20"/>
          <w:sz w:val="24"/>
        </w:rPr>
        <w:t>to</w:t>
      </w:r>
      <w:r>
        <w:rPr>
          <w:color w:val="231F20"/>
          <w:spacing w:val="-8"/>
          <w:sz w:val="24"/>
        </w:rPr>
        <w:t xml:space="preserve"> </w:t>
      </w:r>
      <w:r>
        <w:rPr>
          <w:color w:val="231F20"/>
          <w:sz w:val="24"/>
        </w:rPr>
        <w:t>help</w:t>
      </w:r>
      <w:r>
        <w:rPr>
          <w:color w:val="231F20"/>
          <w:spacing w:val="-8"/>
          <w:sz w:val="24"/>
        </w:rPr>
        <w:t xml:space="preserve"> </w:t>
      </w:r>
      <w:r>
        <w:rPr>
          <w:color w:val="231F20"/>
          <w:sz w:val="24"/>
        </w:rPr>
        <w:t>increase</w:t>
      </w:r>
      <w:r>
        <w:rPr>
          <w:color w:val="231F20"/>
          <w:spacing w:val="-8"/>
          <w:sz w:val="24"/>
        </w:rPr>
        <w:t xml:space="preserve"> </w:t>
      </w:r>
      <w:r>
        <w:rPr>
          <w:color w:val="231F20"/>
          <w:sz w:val="24"/>
        </w:rPr>
        <w:t>the</w:t>
      </w:r>
      <w:r>
        <w:rPr>
          <w:color w:val="231F20"/>
          <w:spacing w:val="-8"/>
          <w:sz w:val="24"/>
        </w:rPr>
        <w:t xml:space="preserve"> </w:t>
      </w:r>
      <w:r>
        <w:rPr>
          <w:color w:val="231F20"/>
          <w:sz w:val="24"/>
        </w:rPr>
        <w:t>profile</w:t>
      </w:r>
      <w:r>
        <w:rPr>
          <w:color w:val="231F20"/>
          <w:spacing w:val="-8"/>
          <w:sz w:val="24"/>
        </w:rPr>
        <w:t xml:space="preserve"> </w:t>
      </w:r>
      <w:r>
        <w:rPr>
          <w:color w:val="231F20"/>
          <w:sz w:val="24"/>
        </w:rPr>
        <w:t>of</w:t>
      </w:r>
      <w:r>
        <w:rPr>
          <w:color w:val="231F20"/>
          <w:spacing w:val="-7"/>
          <w:sz w:val="24"/>
        </w:rPr>
        <w:t xml:space="preserve"> </w:t>
      </w:r>
      <w:r>
        <w:rPr>
          <w:color w:val="231F20"/>
          <w:sz w:val="24"/>
        </w:rPr>
        <w:t>cycling</w:t>
      </w:r>
      <w:r>
        <w:rPr>
          <w:color w:val="231F20"/>
          <w:spacing w:val="-8"/>
          <w:sz w:val="24"/>
        </w:rPr>
        <w:t xml:space="preserve"> </w:t>
      </w:r>
      <w:r>
        <w:rPr>
          <w:color w:val="231F20"/>
          <w:sz w:val="24"/>
        </w:rPr>
        <w:t>across</w:t>
      </w:r>
      <w:r>
        <w:rPr>
          <w:color w:val="231F20"/>
          <w:spacing w:val="-7"/>
          <w:sz w:val="24"/>
        </w:rPr>
        <w:t xml:space="preserve"> </w:t>
      </w:r>
      <w:r>
        <w:rPr>
          <w:color w:val="231F20"/>
          <w:sz w:val="24"/>
        </w:rPr>
        <w:t xml:space="preserve">the </w:t>
      </w:r>
      <w:r>
        <w:rPr>
          <w:color w:val="231F20"/>
          <w:spacing w:val="-2"/>
          <w:sz w:val="24"/>
        </w:rPr>
        <w:t>organisation.</w:t>
      </w:r>
    </w:p>
    <w:p w14:paraId="1B44FE22" w14:textId="77777777" w:rsidR="00345EE3" w:rsidRDefault="00345EE3" w:rsidP="00345EE3">
      <w:pPr>
        <w:pStyle w:val="Heading5"/>
        <w:spacing w:before="172"/>
      </w:pPr>
      <w:r>
        <w:rPr>
          <w:color w:val="58595B"/>
        </w:rPr>
        <w:t>Targets</w:t>
      </w:r>
      <w:r>
        <w:rPr>
          <w:color w:val="58595B"/>
          <w:spacing w:val="-13"/>
        </w:rPr>
        <w:t xml:space="preserve"> </w:t>
      </w:r>
      <w:r>
        <w:rPr>
          <w:color w:val="58595B"/>
        </w:rPr>
        <w:t>for</w:t>
      </w:r>
      <w:r>
        <w:rPr>
          <w:color w:val="58595B"/>
          <w:spacing w:val="-11"/>
        </w:rPr>
        <w:t xml:space="preserve"> </w:t>
      </w:r>
      <w:r>
        <w:rPr>
          <w:color w:val="58595B"/>
          <w:spacing w:val="-2"/>
        </w:rPr>
        <w:t>2022–23</w:t>
      </w:r>
    </w:p>
    <w:p w14:paraId="40D61413" w14:textId="77777777" w:rsidR="00345EE3" w:rsidRDefault="00345EE3">
      <w:pPr>
        <w:pStyle w:val="ListParagraph"/>
        <w:numPr>
          <w:ilvl w:val="1"/>
          <w:numId w:val="58"/>
        </w:numPr>
        <w:tabs>
          <w:tab w:val="left" w:pos="393"/>
          <w:tab w:val="left" w:pos="394"/>
        </w:tabs>
        <w:spacing w:before="4" w:line="242" w:lineRule="auto"/>
        <w:ind w:right="1164"/>
        <w:rPr>
          <w:sz w:val="24"/>
        </w:rPr>
      </w:pPr>
      <w:r>
        <w:rPr>
          <w:color w:val="231F20"/>
          <w:sz w:val="24"/>
        </w:rPr>
        <w:t>Victoria</w:t>
      </w:r>
      <w:r>
        <w:rPr>
          <w:color w:val="231F20"/>
          <w:spacing w:val="-9"/>
          <w:sz w:val="24"/>
        </w:rPr>
        <w:t xml:space="preserve"> </w:t>
      </w:r>
      <w:r>
        <w:rPr>
          <w:color w:val="231F20"/>
          <w:sz w:val="24"/>
        </w:rPr>
        <w:t>Police</w:t>
      </w:r>
      <w:r>
        <w:rPr>
          <w:color w:val="231F20"/>
          <w:spacing w:val="-9"/>
          <w:sz w:val="24"/>
        </w:rPr>
        <w:t xml:space="preserve"> </w:t>
      </w:r>
      <w:r>
        <w:rPr>
          <w:color w:val="231F20"/>
          <w:sz w:val="24"/>
        </w:rPr>
        <w:t>is</w:t>
      </w:r>
      <w:r>
        <w:rPr>
          <w:color w:val="231F20"/>
          <w:spacing w:val="-8"/>
          <w:sz w:val="24"/>
        </w:rPr>
        <w:t xml:space="preserve"> </w:t>
      </w:r>
      <w:r>
        <w:rPr>
          <w:color w:val="231F20"/>
          <w:sz w:val="24"/>
        </w:rPr>
        <w:t>implementing</w:t>
      </w:r>
      <w:r>
        <w:rPr>
          <w:color w:val="231F20"/>
          <w:spacing w:val="-9"/>
          <w:sz w:val="24"/>
        </w:rPr>
        <w:t xml:space="preserve"> </w:t>
      </w:r>
      <w:r>
        <w:rPr>
          <w:color w:val="231F20"/>
          <w:sz w:val="24"/>
        </w:rPr>
        <w:t>a</w:t>
      </w:r>
      <w:r>
        <w:rPr>
          <w:color w:val="231F20"/>
          <w:spacing w:val="-9"/>
          <w:sz w:val="24"/>
        </w:rPr>
        <w:t xml:space="preserve"> </w:t>
      </w:r>
      <w:r>
        <w:rPr>
          <w:color w:val="231F20"/>
          <w:sz w:val="24"/>
        </w:rPr>
        <w:t>vehicle</w:t>
      </w:r>
      <w:r>
        <w:rPr>
          <w:color w:val="231F20"/>
          <w:spacing w:val="-9"/>
          <w:sz w:val="24"/>
        </w:rPr>
        <w:t xml:space="preserve"> </w:t>
      </w:r>
      <w:r>
        <w:rPr>
          <w:color w:val="231F20"/>
          <w:sz w:val="24"/>
        </w:rPr>
        <w:t>telematics</w:t>
      </w:r>
      <w:r>
        <w:rPr>
          <w:color w:val="231F20"/>
          <w:spacing w:val="-8"/>
          <w:sz w:val="24"/>
        </w:rPr>
        <w:t xml:space="preserve"> </w:t>
      </w:r>
      <w:r>
        <w:rPr>
          <w:color w:val="231F20"/>
          <w:sz w:val="24"/>
        </w:rPr>
        <w:t>solution</w:t>
      </w:r>
      <w:r>
        <w:rPr>
          <w:color w:val="231F20"/>
          <w:spacing w:val="-9"/>
          <w:sz w:val="24"/>
        </w:rPr>
        <w:t xml:space="preserve"> </w:t>
      </w:r>
      <w:r>
        <w:rPr>
          <w:color w:val="231F20"/>
          <w:sz w:val="24"/>
        </w:rPr>
        <w:t>into</w:t>
      </w:r>
      <w:r>
        <w:rPr>
          <w:color w:val="231F20"/>
          <w:spacing w:val="-9"/>
          <w:sz w:val="24"/>
        </w:rPr>
        <w:t xml:space="preserve"> </w:t>
      </w:r>
      <w:r>
        <w:rPr>
          <w:color w:val="231F20"/>
          <w:sz w:val="24"/>
        </w:rPr>
        <w:t>the</w:t>
      </w:r>
      <w:r>
        <w:rPr>
          <w:color w:val="231F20"/>
          <w:spacing w:val="-9"/>
          <w:sz w:val="24"/>
        </w:rPr>
        <w:t xml:space="preserve"> </w:t>
      </w:r>
      <w:r>
        <w:rPr>
          <w:color w:val="231F20"/>
          <w:sz w:val="24"/>
        </w:rPr>
        <w:t>fleet.</w:t>
      </w:r>
      <w:r>
        <w:rPr>
          <w:color w:val="231F20"/>
          <w:spacing w:val="-8"/>
          <w:sz w:val="24"/>
        </w:rPr>
        <w:t xml:space="preserve"> </w:t>
      </w:r>
      <w:r>
        <w:rPr>
          <w:color w:val="231F20"/>
          <w:sz w:val="24"/>
        </w:rPr>
        <w:t>The</w:t>
      </w:r>
      <w:r>
        <w:rPr>
          <w:color w:val="231F20"/>
          <w:spacing w:val="-9"/>
          <w:sz w:val="24"/>
        </w:rPr>
        <w:t xml:space="preserve"> </w:t>
      </w:r>
      <w:r>
        <w:rPr>
          <w:color w:val="231F20"/>
          <w:sz w:val="24"/>
        </w:rPr>
        <w:t>major</w:t>
      </w:r>
      <w:r>
        <w:rPr>
          <w:color w:val="231F20"/>
          <w:spacing w:val="-8"/>
          <w:sz w:val="24"/>
        </w:rPr>
        <w:t xml:space="preserve"> </w:t>
      </w:r>
      <w:r>
        <w:rPr>
          <w:color w:val="231F20"/>
          <w:sz w:val="24"/>
        </w:rPr>
        <w:t>drivers to implement this technology are heavily focused around member safety and effectively managing vehicle utilisation.</w:t>
      </w:r>
    </w:p>
    <w:p w14:paraId="6FCCFFCE" w14:textId="77777777" w:rsidR="00345EE3" w:rsidRDefault="00345EE3" w:rsidP="00345EE3">
      <w:pPr>
        <w:rPr>
          <w:b/>
          <w:bCs/>
          <w:color w:val="3D68AD"/>
          <w:sz w:val="28"/>
          <w:szCs w:val="28"/>
        </w:rPr>
      </w:pPr>
      <w:r>
        <w:rPr>
          <w:color w:val="3D68AD"/>
        </w:rPr>
        <w:br w:type="page"/>
      </w:r>
    </w:p>
    <w:p w14:paraId="267E790C" w14:textId="77777777" w:rsidR="00345EE3" w:rsidRDefault="00345EE3" w:rsidP="002A27BA">
      <w:pPr>
        <w:pStyle w:val="Heading3"/>
      </w:pPr>
      <w:r>
        <w:t>Greenhouse</w:t>
      </w:r>
      <w:r>
        <w:rPr>
          <w:spacing w:val="-3"/>
        </w:rPr>
        <w:t xml:space="preserve"> </w:t>
      </w:r>
      <w:r>
        <w:t>gas</w:t>
      </w:r>
      <w:r>
        <w:rPr>
          <w:spacing w:val="-2"/>
        </w:rPr>
        <w:t xml:space="preserve"> emissions</w:t>
      </w:r>
    </w:p>
    <w:p w14:paraId="5CF69AE6" w14:textId="77777777" w:rsidR="00345EE3" w:rsidRDefault="00345EE3" w:rsidP="00345EE3">
      <w:pPr>
        <w:pStyle w:val="BodyText"/>
        <w:spacing w:before="62" w:line="242" w:lineRule="auto"/>
        <w:ind w:right="921"/>
      </w:pPr>
      <w:r>
        <w:rPr>
          <w:color w:val="231F20"/>
        </w:rPr>
        <w:t>The</w:t>
      </w:r>
      <w:r>
        <w:rPr>
          <w:color w:val="231F20"/>
          <w:spacing w:val="-8"/>
        </w:rPr>
        <w:t xml:space="preserve"> </w:t>
      </w:r>
      <w:r>
        <w:rPr>
          <w:color w:val="231F20"/>
        </w:rPr>
        <w:t>emissions</w:t>
      </w:r>
      <w:r>
        <w:rPr>
          <w:color w:val="231F20"/>
          <w:spacing w:val="-8"/>
        </w:rPr>
        <w:t xml:space="preserve"> </w:t>
      </w:r>
      <w:r>
        <w:rPr>
          <w:color w:val="231F20"/>
        </w:rPr>
        <w:t>disclosed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section</w:t>
      </w:r>
      <w:r>
        <w:rPr>
          <w:color w:val="231F20"/>
          <w:spacing w:val="-8"/>
        </w:rPr>
        <w:t xml:space="preserve"> </w:t>
      </w:r>
      <w:r>
        <w:rPr>
          <w:color w:val="231F20"/>
        </w:rPr>
        <w:t>below</w:t>
      </w:r>
      <w:r>
        <w:rPr>
          <w:color w:val="231F20"/>
          <w:spacing w:val="-8"/>
        </w:rPr>
        <w:t xml:space="preserve"> </w:t>
      </w:r>
      <w:r>
        <w:rPr>
          <w:color w:val="231F20"/>
        </w:rPr>
        <w:t>are</w:t>
      </w:r>
      <w:r>
        <w:rPr>
          <w:color w:val="231F20"/>
          <w:spacing w:val="-8"/>
        </w:rPr>
        <w:t xml:space="preserve"> </w:t>
      </w:r>
      <w:r>
        <w:rPr>
          <w:color w:val="231F20"/>
        </w:rPr>
        <w:t>taken</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previous</w:t>
      </w:r>
      <w:r>
        <w:rPr>
          <w:color w:val="231F20"/>
          <w:spacing w:val="-8"/>
        </w:rPr>
        <w:t xml:space="preserve"> </w:t>
      </w:r>
      <w:r>
        <w:rPr>
          <w:color w:val="231F20"/>
        </w:rPr>
        <w:t>sections</w:t>
      </w:r>
      <w:r>
        <w:rPr>
          <w:color w:val="231F20"/>
          <w:spacing w:val="-8"/>
        </w:rPr>
        <w:t xml:space="preserve"> </w:t>
      </w:r>
      <w:r>
        <w:rPr>
          <w:color w:val="231F20"/>
        </w:rPr>
        <w:t>and</w:t>
      </w:r>
      <w:r>
        <w:rPr>
          <w:color w:val="231F20"/>
          <w:spacing w:val="-8"/>
        </w:rPr>
        <w:t xml:space="preserve"> </w:t>
      </w:r>
      <w:r>
        <w:rPr>
          <w:color w:val="231F20"/>
        </w:rPr>
        <w:t>brought together here to show Victoria Police’s greenhouse footprint.</w:t>
      </w:r>
    </w:p>
    <w:p w14:paraId="7BA145B7" w14:textId="77777777" w:rsidR="00345EE3" w:rsidRPr="00604C80" w:rsidRDefault="00345EE3" w:rsidP="00345EE3">
      <w:pPr>
        <w:widowControl/>
        <w:suppressAutoHyphens/>
        <w:adjustRightInd w:val="0"/>
        <w:spacing w:after="120" w:line="230" w:lineRule="atLeast"/>
        <w:textAlignment w:val="center"/>
        <w:rPr>
          <w:rFonts w:eastAsiaTheme="minorHAnsi"/>
          <w:b/>
          <w:bCs/>
          <w:i/>
          <w:iCs/>
          <w:color w:val="000000"/>
          <w:spacing w:val="-2"/>
          <w:sz w:val="18"/>
          <w:szCs w:val="18"/>
          <w:lang w:val="en-GB"/>
        </w:rPr>
      </w:pPr>
      <w:r w:rsidRPr="00604C80">
        <w:rPr>
          <w:rFonts w:eastAsiaTheme="minorHAnsi"/>
          <w:color w:val="000000"/>
          <w:sz w:val="18"/>
          <w:szCs w:val="18"/>
          <w:lang w:val="en-GB"/>
        </w:rPr>
        <w:t xml:space="preserve">Table 5.27: </w:t>
      </w:r>
      <w:r w:rsidRPr="00604C80">
        <w:rPr>
          <w:rFonts w:eastAsiaTheme="minorHAnsi"/>
          <w:b/>
          <w:bCs/>
          <w:i/>
          <w:iCs/>
          <w:color w:val="000000"/>
          <w:spacing w:val="-2"/>
          <w:sz w:val="18"/>
          <w:szCs w:val="18"/>
          <w:lang w:val="en-GB"/>
        </w:rPr>
        <w:t>Greenhouse gas emissions indicator consumption totals (three-year summary)</w:t>
      </w:r>
    </w:p>
    <w:tbl>
      <w:tblPr>
        <w:tblW w:w="0" w:type="auto"/>
        <w:tblInd w:w="156" w:type="dxa"/>
        <w:tblLayout w:type="fixed"/>
        <w:tblCellMar>
          <w:left w:w="0" w:type="dxa"/>
          <w:right w:w="0" w:type="dxa"/>
        </w:tblCellMar>
        <w:tblLook w:val="0000" w:firstRow="0" w:lastRow="0" w:firstColumn="0" w:lastColumn="0" w:noHBand="0" w:noVBand="0"/>
      </w:tblPr>
      <w:tblGrid>
        <w:gridCol w:w="6633"/>
        <w:gridCol w:w="1191"/>
        <w:gridCol w:w="1190"/>
        <w:gridCol w:w="1191"/>
      </w:tblGrid>
      <w:tr w:rsidR="00345EE3" w:rsidRPr="00604C80" w14:paraId="68C059B3" w14:textId="77777777" w:rsidTr="00D73130">
        <w:trPr>
          <w:trHeight w:val="60"/>
          <w:tblHeader/>
        </w:trPr>
        <w:tc>
          <w:tcPr>
            <w:tcW w:w="663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4FC675A"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04C80">
              <w:rPr>
                <w:rFonts w:eastAsiaTheme="minorHAnsi"/>
                <w:b/>
                <w:bCs/>
                <w:color w:val="FFFFFF"/>
                <w:sz w:val="24"/>
                <w:szCs w:val="24"/>
                <w:lang w:val="en-GB"/>
              </w:rPr>
              <w:t>Indicator</w:t>
            </w:r>
          </w:p>
        </w:tc>
        <w:tc>
          <w:tcPr>
            <w:tcW w:w="1191"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215DADD"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04C80">
              <w:rPr>
                <w:rFonts w:eastAsiaTheme="minorHAnsi"/>
                <w:b/>
                <w:bCs/>
                <w:color w:val="FFFFFF"/>
                <w:spacing w:val="-2"/>
                <w:sz w:val="24"/>
                <w:szCs w:val="24"/>
                <w:lang w:val="en-GB"/>
              </w:rPr>
              <w:t>2019–20</w:t>
            </w:r>
          </w:p>
        </w:tc>
        <w:tc>
          <w:tcPr>
            <w:tcW w:w="1190"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B7A0ACD"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04C80">
              <w:rPr>
                <w:rFonts w:eastAsiaTheme="minorHAnsi"/>
                <w:b/>
                <w:bCs/>
                <w:color w:val="FFFFFF"/>
                <w:spacing w:val="-2"/>
                <w:sz w:val="24"/>
                <w:szCs w:val="24"/>
                <w:lang w:val="en-GB"/>
              </w:rPr>
              <w:t>2020–21</w:t>
            </w:r>
          </w:p>
        </w:tc>
        <w:tc>
          <w:tcPr>
            <w:tcW w:w="1191"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43FD555B"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04C80">
              <w:rPr>
                <w:rFonts w:eastAsiaTheme="minorHAnsi"/>
                <w:b/>
                <w:bCs/>
                <w:color w:val="FFFFFF"/>
                <w:spacing w:val="-2"/>
                <w:sz w:val="24"/>
                <w:szCs w:val="24"/>
                <w:lang w:val="en-GB"/>
              </w:rPr>
              <w:t>2021–22</w:t>
            </w:r>
          </w:p>
        </w:tc>
      </w:tr>
      <w:tr w:rsidR="00345EE3" w:rsidRPr="00604C80" w14:paraId="56DB0B0E"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63E1978"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b/>
                <w:bCs/>
                <w:color w:val="000000"/>
                <w:sz w:val="24"/>
                <w:szCs w:val="24"/>
                <w:lang w:val="en-GB"/>
              </w:rPr>
            </w:pPr>
            <w:r w:rsidRPr="00604C80">
              <w:rPr>
                <w:rFonts w:eastAsiaTheme="minorHAnsi"/>
                <w:b/>
                <w:bCs/>
                <w:color w:val="000000"/>
                <w:spacing w:val="-2"/>
                <w:sz w:val="24"/>
                <w:szCs w:val="24"/>
                <w:lang w:val="en-GB"/>
              </w:rPr>
              <w:t>G1. Total greenhouse gas emissions associated with energy use (tonnes CO</w:t>
            </w:r>
            <w:r w:rsidRPr="00604C80">
              <w:rPr>
                <w:rFonts w:eastAsiaTheme="minorHAnsi"/>
                <w:b/>
                <w:bCs/>
                <w:color w:val="000000"/>
                <w:spacing w:val="-2"/>
                <w:sz w:val="24"/>
                <w:szCs w:val="24"/>
                <w:vertAlign w:val="subscript"/>
                <w:lang w:val="en-GB"/>
              </w:rPr>
              <w:t>2</w:t>
            </w:r>
            <w:r w:rsidRPr="00604C80">
              <w:rPr>
                <w:rFonts w:eastAsiaTheme="minorHAnsi"/>
                <w:b/>
                <w:bCs/>
                <w:color w:val="000000"/>
                <w:spacing w:val="-2"/>
                <w:sz w:val="24"/>
                <w:szCs w:val="24"/>
                <w:lang w:val="en-GB"/>
              </w:rPr>
              <w:t>-e)</w:t>
            </w:r>
          </w:p>
          <w:p w14:paraId="0763EA96"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04C80">
              <w:rPr>
                <w:rFonts w:eastAsiaTheme="minorHAnsi"/>
                <w:i/>
                <w:iCs/>
                <w:color w:val="000000"/>
                <w:spacing w:val="-4"/>
                <w:sz w:val="24"/>
                <w:szCs w:val="24"/>
                <w:lang w:val="en-GB"/>
              </w:rPr>
              <w:t>Note: This includes office-based data only</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2B35BD"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80,715</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7B964CE"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72,128</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E5D282C"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69,943</w:t>
            </w:r>
          </w:p>
        </w:tc>
      </w:tr>
      <w:tr w:rsidR="00345EE3" w:rsidRPr="00604C80" w14:paraId="08772533"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C4407A8"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04C80">
              <w:rPr>
                <w:rFonts w:eastAsiaTheme="minorHAnsi"/>
                <w:b/>
                <w:bCs/>
                <w:color w:val="000000"/>
                <w:sz w:val="24"/>
                <w:szCs w:val="24"/>
                <w:lang w:val="en-GB"/>
              </w:rPr>
              <w:t>G2. Total greenhouse gas emissions associated with vehicle fleet (tonnes CO</w:t>
            </w:r>
            <w:r w:rsidRPr="00604C80">
              <w:rPr>
                <w:rFonts w:eastAsiaTheme="minorHAnsi"/>
                <w:b/>
                <w:bCs/>
                <w:color w:val="000000"/>
                <w:sz w:val="24"/>
                <w:szCs w:val="24"/>
                <w:vertAlign w:val="subscript"/>
                <w:lang w:val="en-GB"/>
              </w:rPr>
              <w:t>2</w:t>
            </w:r>
            <w:r w:rsidRPr="00604C80">
              <w:rPr>
                <w:rFonts w:eastAsiaTheme="minorHAnsi"/>
                <w:b/>
                <w:bCs/>
                <w:color w:val="000000"/>
                <w:sz w:val="24"/>
                <w:szCs w:val="24"/>
                <w:lang w:val="en-GB"/>
              </w:rPr>
              <w:t>-e)</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E67D44"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26,440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D606D3F"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24,781</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74BF809"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24,820</w:t>
            </w:r>
          </w:p>
        </w:tc>
      </w:tr>
      <w:tr w:rsidR="00345EE3" w:rsidRPr="00604C80" w14:paraId="5DDCCF44"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DDAC448"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04C80">
              <w:rPr>
                <w:rFonts w:eastAsiaTheme="minorHAnsi"/>
                <w:b/>
                <w:bCs/>
                <w:color w:val="000000"/>
                <w:sz w:val="24"/>
                <w:szCs w:val="24"/>
                <w:lang w:val="en-GB"/>
              </w:rPr>
              <w:t>G3. Total greenhouse gas emissions associated with air travel (tonnes CO</w:t>
            </w:r>
            <w:r w:rsidRPr="00604C80">
              <w:rPr>
                <w:rFonts w:eastAsiaTheme="minorHAnsi"/>
                <w:b/>
                <w:bCs/>
                <w:color w:val="000000"/>
                <w:sz w:val="24"/>
                <w:szCs w:val="24"/>
                <w:vertAlign w:val="subscript"/>
                <w:lang w:val="en-GB"/>
              </w:rPr>
              <w:t>2</w:t>
            </w:r>
            <w:r w:rsidRPr="00604C80">
              <w:rPr>
                <w:rFonts w:eastAsiaTheme="minorHAnsi"/>
                <w:b/>
                <w:bCs/>
                <w:color w:val="000000"/>
                <w:sz w:val="24"/>
                <w:szCs w:val="24"/>
                <w:lang w:val="en-GB"/>
              </w:rPr>
              <w:t>-e)</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A8E52F"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787</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6D0C8C"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129</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08733D9"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212</w:t>
            </w:r>
          </w:p>
        </w:tc>
      </w:tr>
      <w:tr w:rsidR="00345EE3" w:rsidRPr="00604C80" w14:paraId="6B8DCF97"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B084FD3"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b/>
                <w:bCs/>
                <w:color w:val="000000"/>
                <w:sz w:val="24"/>
                <w:szCs w:val="24"/>
                <w:lang w:val="en-GB"/>
              </w:rPr>
            </w:pPr>
            <w:r w:rsidRPr="00604C80">
              <w:rPr>
                <w:rFonts w:eastAsiaTheme="minorHAnsi"/>
                <w:b/>
                <w:bCs/>
                <w:color w:val="000000"/>
                <w:sz w:val="24"/>
                <w:szCs w:val="24"/>
                <w:lang w:val="en-GB"/>
              </w:rPr>
              <w:t>G4. Total greenhouse gas emissions associated with waste disposal (tonnes CO</w:t>
            </w:r>
            <w:r w:rsidRPr="00604C80">
              <w:rPr>
                <w:rFonts w:eastAsiaTheme="minorHAnsi"/>
                <w:b/>
                <w:bCs/>
                <w:color w:val="000000"/>
                <w:sz w:val="24"/>
                <w:szCs w:val="24"/>
                <w:vertAlign w:val="subscript"/>
                <w:lang w:val="en-GB"/>
              </w:rPr>
              <w:t>2</w:t>
            </w:r>
            <w:r w:rsidRPr="00604C80">
              <w:rPr>
                <w:rFonts w:eastAsiaTheme="minorHAnsi"/>
                <w:b/>
                <w:bCs/>
                <w:color w:val="000000"/>
                <w:sz w:val="24"/>
                <w:szCs w:val="24"/>
                <w:lang w:val="en-GB"/>
              </w:rPr>
              <w:t>-e)</w:t>
            </w:r>
          </w:p>
          <w:p w14:paraId="08EB3B15"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04C80">
              <w:rPr>
                <w:rFonts w:eastAsiaTheme="minorHAnsi"/>
                <w:i/>
                <w:iCs/>
                <w:color w:val="000000"/>
                <w:spacing w:val="-4"/>
                <w:sz w:val="24"/>
                <w:szCs w:val="24"/>
                <w:lang w:val="en-GB"/>
              </w:rPr>
              <w:t>Note: This includes office-based data only</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46379F"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3,177</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7D0A1EE"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2,535</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9E11921"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2,284</w:t>
            </w:r>
          </w:p>
        </w:tc>
      </w:tr>
      <w:tr w:rsidR="00345EE3" w:rsidRPr="00604C80" w14:paraId="3908ACCA"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A61D46F"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04C80">
              <w:rPr>
                <w:rFonts w:eastAsiaTheme="minorHAnsi"/>
                <w:b/>
                <w:bCs/>
                <w:color w:val="000000"/>
                <w:sz w:val="24"/>
                <w:szCs w:val="24"/>
                <w:lang w:val="en-GB"/>
              </w:rPr>
              <w:t>G5. Greenhouse gas emissions offsets purchased (tonnes CO</w:t>
            </w:r>
            <w:r w:rsidRPr="00604C80">
              <w:rPr>
                <w:rFonts w:eastAsiaTheme="minorHAnsi"/>
                <w:b/>
                <w:bCs/>
                <w:color w:val="000000"/>
                <w:sz w:val="24"/>
                <w:szCs w:val="24"/>
                <w:vertAlign w:val="subscript"/>
                <w:lang w:val="en-GB"/>
              </w:rPr>
              <w:t>2</w:t>
            </w:r>
            <w:r w:rsidRPr="00604C80">
              <w:rPr>
                <w:rFonts w:eastAsiaTheme="minorHAnsi"/>
                <w:b/>
                <w:bCs/>
                <w:color w:val="000000"/>
                <w:sz w:val="24"/>
                <w:szCs w:val="24"/>
                <w:lang w:val="en-GB"/>
              </w:rPr>
              <w:t>-e)</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61F7479"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FC4311C"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49CA8E7"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0</w:t>
            </w:r>
          </w:p>
        </w:tc>
      </w:tr>
    </w:tbl>
    <w:p w14:paraId="1CD9996D" w14:textId="77777777" w:rsidR="00345EE3" w:rsidRPr="00604C80" w:rsidRDefault="00345EE3" w:rsidP="00345EE3">
      <w:pPr>
        <w:widowControl/>
        <w:tabs>
          <w:tab w:val="left" w:pos="227"/>
          <w:tab w:val="left" w:pos="340"/>
        </w:tabs>
        <w:suppressAutoHyphens/>
        <w:adjustRightInd w:val="0"/>
        <w:spacing w:after="113" w:line="160" w:lineRule="atLeast"/>
        <w:ind w:firstLine="142"/>
        <w:textAlignment w:val="center"/>
        <w:rPr>
          <w:rFonts w:eastAsiaTheme="minorHAnsi"/>
          <w:color w:val="000000"/>
          <w:spacing w:val="-1"/>
          <w:sz w:val="14"/>
          <w:szCs w:val="14"/>
          <w:lang w:val="en-GB"/>
        </w:rPr>
      </w:pPr>
      <w:r w:rsidRPr="00604C80">
        <w:rPr>
          <w:rFonts w:eastAsiaTheme="minorHAnsi"/>
          <w:i/>
          <w:iCs/>
          <w:color w:val="000000"/>
          <w:sz w:val="14"/>
          <w:szCs w:val="14"/>
          <w:lang w:val="en-GB"/>
        </w:rPr>
        <w:t xml:space="preserve">Source: </w:t>
      </w:r>
      <w:r w:rsidRPr="00604C80">
        <w:rPr>
          <w:rFonts w:eastAsiaTheme="minorHAnsi"/>
          <w:color w:val="000000"/>
          <w:spacing w:val="-1"/>
          <w:sz w:val="14"/>
          <w:szCs w:val="14"/>
          <w:lang w:val="en-GB"/>
        </w:rPr>
        <w:t xml:space="preserve">Operational Infrastructure Department. Data extracted from various sources between 1 April 2021 and 15 July 2022. </w:t>
      </w:r>
    </w:p>
    <w:p w14:paraId="62DFAE7B" w14:textId="77777777" w:rsidR="00345EE3" w:rsidRDefault="00345EE3" w:rsidP="00345EE3">
      <w:pPr>
        <w:pStyle w:val="BodyText"/>
        <w:rPr>
          <w:sz w:val="17"/>
        </w:rPr>
      </w:pPr>
    </w:p>
    <w:p w14:paraId="3A359441" w14:textId="77777777" w:rsidR="00345EE3" w:rsidRDefault="00345EE3" w:rsidP="00345EE3">
      <w:pPr>
        <w:pStyle w:val="BodyText"/>
        <w:rPr>
          <w:sz w:val="17"/>
        </w:rPr>
      </w:pPr>
    </w:p>
    <w:p w14:paraId="348546D9" w14:textId="77777777" w:rsidR="00345EE3" w:rsidRDefault="00345EE3" w:rsidP="00345EE3">
      <w:pPr>
        <w:pStyle w:val="Heading5"/>
        <w:spacing w:before="0"/>
        <w:jc w:val="both"/>
      </w:pPr>
      <w:r>
        <w:rPr>
          <w:color w:val="58595B"/>
        </w:rPr>
        <w:t>Actions</w:t>
      </w:r>
      <w:r>
        <w:rPr>
          <w:color w:val="58595B"/>
          <w:spacing w:val="-3"/>
        </w:rPr>
        <w:t xml:space="preserve"> </w:t>
      </w:r>
      <w:r>
        <w:rPr>
          <w:color w:val="58595B"/>
        </w:rPr>
        <w:t>undertaken</w:t>
      </w:r>
      <w:r>
        <w:rPr>
          <w:color w:val="58595B"/>
          <w:spacing w:val="-2"/>
        </w:rPr>
        <w:t xml:space="preserve"> </w:t>
      </w:r>
      <w:r>
        <w:rPr>
          <w:color w:val="58595B"/>
        </w:rPr>
        <w:t>during</w:t>
      </w:r>
      <w:r>
        <w:rPr>
          <w:color w:val="58595B"/>
          <w:spacing w:val="-2"/>
        </w:rPr>
        <w:t xml:space="preserve"> 2021–22</w:t>
      </w:r>
    </w:p>
    <w:p w14:paraId="77FBC660" w14:textId="77777777" w:rsidR="00345EE3" w:rsidRDefault="00345EE3">
      <w:pPr>
        <w:pStyle w:val="ListParagraph"/>
        <w:numPr>
          <w:ilvl w:val="1"/>
          <w:numId w:val="58"/>
        </w:numPr>
        <w:tabs>
          <w:tab w:val="left" w:pos="394"/>
        </w:tabs>
        <w:spacing w:before="4" w:line="242" w:lineRule="auto"/>
        <w:ind w:right="1066"/>
        <w:jc w:val="both"/>
        <w:rPr>
          <w:sz w:val="24"/>
        </w:rPr>
      </w:pPr>
      <w:r>
        <w:rPr>
          <w:color w:val="231F20"/>
          <w:sz w:val="24"/>
        </w:rPr>
        <w:t>Victoria</w:t>
      </w:r>
      <w:r>
        <w:rPr>
          <w:color w:val="231F20"/>
          <w:spacing w:val="-4"/>
          <w:sz w:val="24"/>
        </w:rPr>
        <w:t xml:space="preserve"> </w:t>
      </w:r>
      <w:r>
        <w:rPr>
          <w:color w:val="231F20"/>
          <w:sz w:val="24"/>
        </w:rPr>
        <w:t>Police</w:t>
      </w:r>
      <w:r>
        <w:rPr>
          <w:color w:val="231F20"/>
          <w:spacing w:val="-4"/>
          <w:sz w:val="24"/>
        </w:rPr>
        <w:t xml:space="preserve"> </w:t>
      </w:r>
      <w:r>
        <w:rPr>
          <w:color w:val="231F20"/>
          <w:sz w:val="24"/>
        </w:rPr>
        <w:t>continued</w:t>
      </w:r>
      <w:r>
        <w:rPr>
          <w:color w:val="231F20"/>
          <w:spacing w:val="-4"/>
          <w:sz w:val="24"/>
        </w:rPr>
        <w:t xml:space="preserve"> </w:t>
      </w:r>
      <w:r>
        <w:rPr>
          <w:color w:val="231F20"/>
          <w:sz w:val="24"/>
        </w:rPr>
        <w:t>to</w:t>
      </w:r>
      <w:r>
        <w:rPr>
          <w:color w:val="231F20"/>
          <w:spacing w:val="-4"/>
          <w:sz w:val="24"/>
        </w:rPr>
        <w:t xml:space="preserve"> </w:t>
      </w:r>
      <w:r>
        <w:rPr>
          <w:color w:val="231F20"/>
          <w:sz w:val="24"/>
        </w:rPr>
        <w:t>participate</w:t>
      </w:r>
      <w:r>
        <w:rPr>
          <w:color w:val="231F20"/>
          <w:spacing w:val="-4"/>
          <w:sz w:val="24"/>
        </w:rPr>
        <w:t xml:space="preserve"> </w:t>
      </w:r>
      <w:r>
        <w:rPr>
          <w:color w:val="231F20"/>
          <w:sz w:val="24"/>
        </w:rPr>
        <w:t>in</w:t>
      </w:r>
      <w:r>
        <w:rPr>
          <w:color w:val="231F20"/>
          <w:spacing w:val="-4"/>
          <w:sz w:val="24"/>
        </w:rPr>
        <w:t xml:space="preserve"> </w:t>
      </w:r>
      <w:r>
        <w:rPr>
          <w:color w:val="231F20"/>
          <w:sz w:val="24"/>
        </w:rPr>
        <w:t>actions</w:t>
      </w:r>
      <w:r>
        <w:rPr>
          <w:color w:val="231F20"/>
          <w:spacing w:val="-3"/>
          <w:sz w:val="24"/>
        </w:rPr>
        <w:t xml:space="preserve"> </w:t>
      </w:r>
      <w:r>
        <w:rPr>
          <w:color w:val="231F20"/>
          <w:sz w:val="24"/>
        </w:rPr>
        <w:t>to</w:t>
      </w:r>
      <w:r>
        <w:rPr>
          <w:color w:val="231F20"/>
          <w:spacing w:val="-4"/>
          <w:sz w:val="24"/>
        </w:rPr>
        <w:t xml:space="preserve"> </w:t>
      </w:r>
      <w:r>
        <w:rPr>
          <w:color w:val="231F20"/>
          <w:sz w:val="24"/>
        </w:rPr>
        <w:t>reduce</w:t>
      </w:r>
      <w:r>
        <w:rPr>
          <w:color w:val="231F20"/>
          <w:spacing w:val="-4"/>
          <w:sz w:val="24"/>
        </w:rPr>
        <w:t xml:space="preserve"> </w:t>
      </w:r>
      <w:r>
        <w:rPr>
          <w:color w:val="231F20"/>
          <w:sz w:val="24"/>
        </w:rPr>
        <w:t>emissions</w:t>
      </w:r>
      <w:r>
        <w:rPr>
          <w:color w:val="231F20"/>
          <w:spacing w:val="-3"/>
          <w:sz w:val="24"/>
        </w:rPr>
        <w:t xml:space="preserve"> </w:t>
      </w:r>
      <w:r>
        <w:rPr>
          <w:color w:val="231F20"/>
          <w:sz w:val="24"/>
        </w:rPr>
        <w:t>from</w:t>
      </w:r>
      <w:r>
        <w:rPr>
          <w:color w:val="231F20"/>
          <w:spacing w:val="-3"/>
          <w:sz w:val="24"/>
        </w:rPr>
        <w:t xml:space="preserve"> </w:t>
      </w:r>
      <w:r>
        <w:rPr>
          <w:color w:val="231F20"/>
          <w:sz w:val="24"/>
        </w:rPr>
        <w:t>its</w:t>
      </w:r>
      <w:r>
        <w:rPr>
          <w:color w:val="231F20"/>
          <w:spacing w:val="-3"/>
          <w:sz w:val="24"/>
        </w:rPr>
        <w:t xml:space="preserve"> </w:t>
      </w:r>
      <w:r>
        <w:rPr>
          <w:color w:val="231F20"/>
          <w:sz w:val="24"/>
        </w:rPr>
        <w:t>operations</w:t>
      </w:r>
      <w:r>
        <w:rPr>
          <w:color w:val="231F20"/>
          <w:spacing w:val="-3"/>
          <w:sz w:val="24"/>
        </w:rPr>
        <w:t xml:space="preserve"> </w:t>
      </w:r>
      <w:r>
        <w:rPr>
          <w:color w:val="231F20"/>
          <w:sz w:val="24"/>
        </w:rPr>
        <w:t>as part</w:t>
      </w:r>
      <w:r>
        <w:rPr>
          <w:color w:val="231F20"/>
          <w:spacing w:val="-17"/>
          <w:sz w:val="24"/>
        </w:rPr>
        <w:t xml:space="preserve"> </w:t>
      </w:r>
      <w:r>
        <w:rPr>
          <w:color w:val="231F20"/>
          <w:sz w:val="24"/>
        </w:rPr>
        <w:t>of</w:t>
      </w:r>
      <w:r>
        <w:rPr>
          <w:color w:val="231F20"/>
          <w:spacing w:val="-17"/>
          <w:sz w:val="24"/>
        </w:rPr>
        <w:t xml:space="preserve"> </w:t>
      </w:r>
      <w:r>
        <w:rPr>
          <w:color w:val="231F20"/>
          <w:sz w:val="24"/>
        </w:rPr>
        <w:t>the</w:t>
      </w:r>
      <w:r>
        <w:rPr>
          <w:color w:val="231F20"/>
          <w:spacing w:val="-15"/>
          <w:sz w:val="24"/>
        </w:rPr>
        <w:t xml:space="preserve"> </w:t>
      </w:r>
      <w:r>
        <w:rPr>
          <w:color w:val="231F20"/>
          <w:sz w:val="24"/>
        </w:rPr>
        <w:t>Whole</w:t>
      </w:r>
      <w:r>
        <w:rPr>
          <w:color w:val="231F20"/>
          <w:spacing w:val="-14"/>
          <w:sz w:val="24"/>
        </w:rPr>
        <w:t xml:space="preserve"> </w:t>
      </w:r>
      <w:r>
        <w:rPr>
          <w:color w:val="231F20"/>
          <w:sz w:val="24"/>
        </w:rPr>
        <w:t>of</w:t>
      </w:r>
      <w:r>
        <w:rPr>
          <w:color w:val="231F20"/>
          <w:spacing w:val="-13"/>
          <w:sz w:val="24"/>
        </w:rPr>
        <w:t xml:space="preserve"> </w:t>
      </w:r>
      <w:r>
        <w:rPr>
          <w:color w:val="231F20"/>
          <w:sz w:val="24"/>
        </w:rPr>
        <w:t>Government</w:t>
      </w:r>
      <w:r>
        <w:rPr>
          <w:color w:val="231F20"/>
          <w:spacing w:val="-13"/>
          <w:sz w:val="24"/>
        </w:rPr>
        <w:t xml:space="preserve"> </w:t>
      </w:r>
      <w:r>
        <w:rPr>
          <w:color w:val="231F20"/>
          <w:sz w:val="24"/>
        </w:rPr>
        <w:t>Pledge</w:t>
      </w:r>
      <w:r>
        <w:rPr>
          <w:color w:val="231F20"/>
          <w:spacing w:val="-14"/>
          <w:sz w:val="24"/>
        </w:rPr>
        <w:t xml:space="preserve"> </w:t>
      </w:r>
      <w:r>
        <w:rPr>
          <w:color w:val="231F20"/>
          <w:sz w:val="24"/>
        </w:rPr>
        <w:t>under</w:t>
      </w:r>
      <w:r>
        <w:rPr>
          <w:color w:val="231F20"/>
          <w:spacing w:val="-13"/>
          <w:sz w:val="24"/>
        </w:rPr>
        <w:t xml:space="preserve"> </w:t>
      </w:r>
      <w:r>
        <w:rPr>
          <w:color w:val="231F20"/>
          <w:sz w:val="24"/>
        </w:rPr>
        <w:t>the</w:t>
      </w:r>
      <w:r>
        <w:rPr>
          <w:color w:val="231F20"/>
          <w:spacing w:val="-14"/>
          <w:sz w:val="24"/>
        </w:rPr>
        <w:t xml:space="preserve"> </w:t>
      </w:r>
      <w:r>
        <w:rPr>
          <w:i/>
          <w:color w:val="231F20"/>
          <w:sz w:val="24"/>
        </w:rPr>
        <w:t>Climate</w:t>
      </w:r>
      <w:r>
        <w:rPr>
          <w:i/>
          <w:color w:val="231F20"/>
          <w:spacing w:val="-17"/>
          <w:sz w:val="24"/>
        </w:rPr>
        <w:t xml:space="preserve"> </w:t>
      </w:r>
      <w:r>
        <w:rPr>
          <w:i/>
          <w:color w:val="231F20"/>
          <w:sz w:val="24"/>
        </w:rPr>
        <w:t>Change</w:t>
      </w:r>
      <w:r>
        <w:rPr>
          <w:i/>
          <w:color w:val="231F20"/>
          <w:spacing w:val="-17"/>
          <w:sz w:val="24"/>
        </w:rPr>
        <w:t xml:space="preserve"> </w:t>
      </w:r>
      <w:r>
        <w:rPr>
          <w:i/>
          <w:color w:val="231F20"/>
          <w:sz w:val="24"/>
        </w:rPr>
        <w:t>Act</w:t>
      </w:r>
      <w:r>
        <w:rPr>
          <w:i/>
          <w:color w:val="231F20"/>
          <w:spacing w:val="-16"/>
          <w:sz w:val="24"/>
        </w:rPr>
        <w:t xml:space="preserve"> </w:t>
      </w:r>
      <w:r>
        <w:rPr>
          <w:color w:val="231F20"/>
          <w:sz w:val="24"/>
        </w:rPr>
        <w:t>2017,</w:t>
      </w:r>
      <w:r>
        <w:rPr>
          <w:color w:val="231F20"/>
          <w:spacing w:val="-13"/>
          <w:sz w:val="24"/>
        </w:rPr>
        <w:t xml:space="preserve"> </w:t>
      </w:r>
      <w:r>
        <w:rPr>
          <w:color w:val="231F20"/>
          <w:sz w:val="24"/>
        </w:rPr>
        <w:t>and</w:t>
      </w:r>
      <w:r>
        <w:rPr>
          <w:color w:val="231F20"/>
          <w:spacing w:val="-14"/>
          <w:sz w:val="24"/>
        </w:rPr>
        <w:t xml:space="preserve"> </w:t>
      </w:r>
      <w:r>
        <w:rPr>
          <w:color w:val="231F20"/>
          <w:sz w:val="24"/>
        </w:rPr>
        <w:t>in</w:t>
      </w:r>
      <w:r>
        <w:rPr>
          <w:color w:val="231F20"/>
          <w:spacing w:val="-14"/>
          <w:sz w:val="24"/>
        </w:rPr>
        <w:t xml:space="preserve"> </w:t>
      </w:r>
      <w:r>
        <w:rPr>
          <w:color w:val="231F20"/>
          <w:sz w:val="24"/>
        </w:rPr>
        <w:t>line</w:t>
      </w:r>
      <w:r>
        <w:rPr>
          <w:color w:val="231F20"/>
          <w:spacing w:val="-14"/>
          <w:sz w:val="24"/>
        </w:rPr>
        <w:t xml:space="preserve"> </w:t>
      </w:r>
      <w:r>
        <w:rPr>
          <w:color w:val="231F20"/>
          <w:sz w:val="24"/>
        </w:rPr>
        <w:t>with the state-wide transition to net zero emissions by 2050.</w:t>
      </w:r>
    </w:p>
    <w:p w14:paraId="10F63F06" w14:textId="77777777" w:rsidR="00345EE3" w:rsidRDefault="00345EE3">
      <w:pPr>
        <w:pStyle w:val="ListParagraph"/>
        <w:numPr>
          <w:ilvl w:val="1"/>
          <w:numId w:val="58"/>
        </w:numPr>
        <w:tabs>
          <w:tab w:val="left" w:pos="394"/>
        </w:tabs>
        <w:jc w:val="both"/>
        <w:rPr>
          <w:sz w:val="24"/>
        </w:rPr>
      </w:pPr>
      <w:r>
        <w:rPr>
          <w:color w:val="231F20"/>
          <w:sz w:val="24"/>
        </w:rPr>
        <w:t>Victoria</w:t>
      </w:r>
      <w:r>
        <w:rPr>
          <w:color w:val="231F20"/>
          <w:spacing w:val="-11"/>
          <w:sz w:val="24"/>
        </w:rPr>
        <w:t xml:space="preserve"> </w:t>
      </w:r>
      <w:r>
        <w:rPr>
          <w:color w:val="231F20"/>
          <w:sz w:val="24"/>
        </w:rPr>
        <w:t>Police</w:t>
      </w:r>
      <w:r>
        <w:rPr>
          <w:color w:val="231F20"/>
          <w:spacing w:val="-8"/>
          <w:sz w:val="24"/>
        </w:rPr>
        <w:t xml:space="preserve"> </w:t>
      </w:r>
      <w:r>
        <w:rPr>
          <w:color w:val="231F20"/>
          <w:sz w:val="24"/>
        </w:rPr>
        <w:t>sites</w:t>
      </w:r>
      <w:r>
        <w:rPr>
          <w:color w:val="231F20"/>
          <w:spacing w:val="-7"/>
          <w:sz w:val="24"/>
        </w:rPr>
        <w:t xml:space="preserve"> </w:t>
      </w:r>
      <w:r>
        <w:rPr>
          <w:color w:val="231F20"/>
          <w:sz w:val="24"/>
        </w:rPr>
        <w:t>are</w:t>
      </w:r>
      <w:r>
        <w:rPr>
          <w:color w:val="231F20"/>
          <w:spacing w:val="-9"/>
          <w:sz w:val="24"/>
        </w:rPr>
        <w:t xml:space="preserve"> </w:t>
      </w:r>
      <w:r>
        <w:rPr>
          <w:color w:val="231F20"/>
          <w:sz w:val="24"/>
        </w:rPr>
        <w:t>beginning</w:t>
      </w:r>
      <w:r>
        <w:rPr>
          <w:color w:val="231F20"/>
          <w:spacing w:val="-8"/>
          <w:sz w:val="24"/>
        </w:rPr>
        <w:t xml:space="preserve"> </w:t>
      </w:r>
      <w:r>
        <w:rPr>
          <w:color w:val="231F20"/>
          <w:sz w:val="24"/>
        </w:rPr>
        <w:t>to</w:t>
      </w:r>
      <w:r>
        <w:rPr>
          <w:color w:val="231F20"/>
          <w:spacing w:val="-8"/>
          <w:sz w:val="24"/>
        </w:rPr>
        <w:t xml:space="preserve"> </w:t>
      </w:r>
      <w:r>
        <w:rPr>
          <w:color w:val="231F20"/>
          <w:sz w:val="24"/>
        </w:rPr>
        <w:t>be</w:t>
      </w:r>
      <w:r>
        <w:rPr>
          <w:color w:val="231F20"/>
          <w:spacing w:val="-9"/>
          <w:sz w:val="24"/>
        </w:rPr>
        <w:t xml:space="preserve"> </w:t>
      </w:r>
      <w:r>
        <w:rPr>
          <w:color w:val="231F20"/>
          <w:sz w:val="24"/>
        </w:rPr>
        <w:t>powered</w:t>
      </w:r>
      <w:r>
        <w:rPr>
          <w:color w:val="231F20"/>
          <w:spacing w:val="-8"/>
          <w:sz w:val="24"/>
        </w:rPr>
        <w:t xml:space="preserve"> </w:t>
      </w:r>
      <w:r>
        <w:rPr>
          <w:color w:val="231F20"/>
          <w:sz w:val="24"/>
        </w:rPr>
        <w:t>by</w:t>
      </w:r>
      <w:r>
        <w:rPr>
          <w:color w:val="231F20"/>
          <w:spacing w:val="-7"/>
          <w:sz w:val="24"/>
        </w:rPr>
        <w:t xml:space="preserve"> </w:t>
      </w:r>
      <w:r>
        <w:rPr>
          <w:color w:val="231F20"/>
          <w:sz w:val="24"/>
        </w:rPr>
        <w:t>Green</w:t>
      </w:r>
      <w:r>
        <w:rPr>
          <w:color w:val="231F20"/>
          <w:spacing w:val="-8"/>
          <w:sz w:val="24"/>
        </w:rPr>
        <w:t xml:space="preserve"> </w:t>
      </w:r>
      <w:r>
        <w:rPr>
          <w:color w:val="231F20"/>
          <w:spacing w:val="-2"/>
          <w:sz w:val="24"/>
        </w:rPr>
        <w:t>Power.</w:t>
      </w:r>
    </w:p>
    <w:p w14:paraId="51DC7D41" w14:textId="77777777" w:rsidR="00345EE3" w:rsidRDefault="00345EE3" w:rsidP="00345EE3">
      <w:pPr>
        <w:pStyle w:val="Heading5"/>
        <w:spacing w:before="174"/>
        <w:jc w:val="both"/>
      </w:pPr>
      <w:r>
        <w:rPr>
          <w:color w:val="58595B"/>
        </w:rPr>
        <w:t>Targets</w:t>
      </w:r>
      <w:r>
        <w:rPr>
          <w:color w:val="58595B"/>
          <w:spacing w:val="-13"/>
        </w:rPr>
        <w:t xml:space="preserve"> </w:t>
      </w:r>
      <w:r>
        <w:rPr>
          <w:color w:val="58595B"/>
        </w:rPr>
        <w:t>for</w:t>
      </w:r>
      <w:r>
        <w:rPr>
          <w:color w:val="58595B"/>
          <w:spacing w:val="-11"/>
        </w:rPr>
        <w:t xml:space="preserve"> </w:t>
      </w:r>
      <w:r>
        <w:rPr>
          <w:color w:val="58595B"/>
          <w:spacing w:val="-2"/>
        </w:rPr>
        <w:t>2022–23</w:t>
      </w:r>
    </w:p>
    <w:p w14:paraId="12BE09AC" w14:textId="77777777" w:rsidR="00345EE3" w:rsidRDefault="00345EE3">
      <w:pPr>
        <w:pStyle w:val="ListParagraph"/>
        <w:numPr>
          <w:ilvl w:val="1"/>
          <w:numId w:val="58"/>
        </w:numPr>
        <w:tabs>
          <w:tab w:val="left" w:pos="394"/>
        </w:tabs>
        <w:spacing w:before="4"/>
        <w:jc w:val="both"/>
        <w:rPr>
          <w:sz w:val="24"/>
        </w:rPr>
      </w:pPr>
      <w:r>
        <w:rPr>
          <w:color w:val="231F20"/>
          <w:sz w:val="24"/>
        </w:rPr>
        <w:t>Victoria</w:t>
      </w:r>
      <w:r>
        <w:rPr>
          <w:color w:val="231F20"/>
          <w:spacing w:val="-9"/>
          <w:sz w:val="24"/>
        </w:rPr>
        <w:t xml:space="preserve"> </w:t>
      </w:r>
      <w:r>
        <w:rPr>
          <w:color w:val="231F20"/>
          <w:sz w:val="24"/>
        </w:rPr>
        <w:t>Police</w:t>
      </w:r>
      <w:r>
        <w:rPr>
          <w:color w:val="231F20"/>
          <w:spacing w:val="-7"/>
          <w:sz w:val="24"/>
        </w:rPr>
        <w:t xml:space="preserve"> </w:t>
      </w:r>
      <w:r>
        <w:rPr>
          <w:color w:val="231F20"/>
          <w:sz w:val="24"/>
        </w:rPr>
        <w:t>will</w:t>
      </w:r>
      <w:r>
        <w:rPr>
          <w:color w:val="231F20"/>
          <w:spacing w:val="-6"/>
          <w:sz w:val="24"/>
        </w:rPr>
        <w:t xml:space="preserve"> </w:t>
      </w:r>
      <w:r>
        <w:rPr>
          <w:color w:val="231F20"/>
          <w:sz w:val="24"/>
        </w:rPr>
        <w:t>continue</w:t>
      </w:r>
      <w:r>
        <w:rPr>
          <w:color w:val="231F20"/>
          <w:spacing w:val="-7"/>
          <w:sz w:val="24"/>
        </w:rPr>
        <w:t xml:space="preserve"> </w:t>
      </w:r>
      <w:r>
        <w:rPr>
          <w:color w:val="231F20"/>
          <w:sz w:val="24"/>
        </w:rPr>
        <w:t>to</w:t>
      </w:r>
      <w:r>
        <w:rPr>
          <w:color w:val="231F20"/>
          <w:spacing w:val="-6"/>
          <w:sz w:val="24"/>
        </w:rPr>
        <w:t xml:space="preserve"> </w:t>
      </w:r>
      <w:r>
        <w:rPr>
          <w:color w:val="231F20"/>
          <w:sz w:val="24"/>
        </w:rPr>
        <w:t>identify</w:t>
      </w:r>
      <w:r>
        <w:rPr>
          <w:color w:val="231F20"/>
          <w:spacing w:val="-7"/>
          <w:sz w:val="24"/>
        </w:rPr>
        <w:t xml:space="preserve"> </w:t>
      </w:r>
      <w:r>
        <w:rPr>
          <w:color w:val="231F20"/>
          <w:sz w:val="24"/>
        </w:rPr>
        <w:t>opportunities</w:t>
      </w:r>
      <w:r>
        <w:rPr>
          <w:color w:val="231F20"/>
          <w:spacing w:val="-6"/>
          <w:sz w:val="24"/>
        </w:rPr>
        <w:t xml:space="preserve"> </w:t>
      </w:r>
      <w:r>
        <w:rPr>
          <w:color w:val="231F20"/>
          <w:sz w:val="24"/>
        </w:rPr>
        <w:t>to</w:t>
      </w:r>
      <w:r>
        <w:rPr>
          <w:color w:val="231F20"/>
          <w:spacing w:val="-7"/>
          <w:sz w:val="24"/>
        </w:rPr>
        <w:t xml:space="preserve"> </w:t>
      </w:r>
      <w:r>
        <w:rPr>
          <w:color w:val="231F20"/>
          <w:sz w:val="24"/>
        </w:rPr>
        <w:t>reduce</w:t>
      </w:r>
      <w:r>
        <w:rPr>
          <w:color w:val="231F20"/>
          <w:spacing w:val="-6"/>
          <w:sz w:val="24"/>
        </w:rPr>
        <w:t xml:space="preserve"> </w:t>
      </w:r>
      <w:r>
        <w:rPr>
          <w:color w:val="231F20"/>
          <w:spacing w:val="-2"/>
          <w:sz w:val="24"/>
        </w:rPr>
        <w:t>emissions.</w:t>
      </w:r>
    </w:p>
    <w:p w14:paraId="1F85C3E8" w14:textId="77777777" w:rsidR="00345EE3" w:rsidRDefault="00345EE3" w:rsidP="002A27BA">
      <w:pPr>
        <w:pStyle w:val="Heading3"/>
      </w:pPr>
      <w:r>
        <w:t>Greener procurement</w:t>
      </w:r>
    </w:p>
    <w:p w14:paraId="69B96C80" w14:textId="77777777" w:rsidR="00345EE3" w:rsidRDefault="00345EE3" w:rsidP="00345EE3">
      <w:pPr>
        <w:pStyle w:val="BodyText"/>
        <w:spacing w:before="52" w:line="242" w:lineRule="auto"/>
        <w:ind w:right="919"/>
        <w:jc w:val="both"/>
      </w:pPr>
      <w:r>
        <w:rPr>
          <w:color w:val="231F20"/>
        </w:rPr>
        <w:t>Victoria</w:t>
      </w:r>
      <w:r>
        <w:rPr>
          <w:color w:val="231F20"/>
          <w:spacing w:val="-14"/>
        </w:rPr>
        <w:t xml:space="preserve"> </w:t>
      </w:r>
      <w:r>
        <w:rPr>
          <w:color w:val="231F20"/>
        </w:rPr>
        <w:t>Police</w:t>
      </w:r>
      <w:r>
        <w:rPr>
          <w:color w:val="231F20"/>
          <w:spacing w:val="-14"/>
        </w:rPr>
        <w:t xml:space="preserve"> </w:t>
      </w:r>
      <w:r>
        <w:rPr>
          <w:color w:val="231F20"/>
        </w:rPr>
        <w:t>has</w:t>
      </w:r>
      <w:r>
        <w:rPr>
          <w:color w:val="231F20"/>
          <w:spacing w:val="-13"/>
        </w:rPr>
        <w:t xml:space="preserve"> </w:t>
      </w:r>
      <w:r>
        <w:rPr>
          <w:color w:val="231F20"/>
        </w:rPr>
        <w:t>incorporated</w:t>
      </w:r>
      <w:r>
        <w:rPr>
          <w:color w:val="231F20"/>
          <w:spacing w:val="-14"/>
        </w:rPr>
        <w:t xml:space="preserve"> </w:t>
      </w:r>
      <w:r>
        <w:rPr>
          <w:color w:val="231F20"/>
        </w:rPr>
        <w:t>environmental</w:t>
      </w:r>
      <w:r>
        <w:rPr>
          <w:color w:val="231F20"/>
          <w:spacing w:val="-14"/>
        </w:rPr>
        <w:t xml:space="preserve"> </w:t>
      </w:r>
      <w:r>
        <w:rPr>
          <w:color w:val="231F20"/>
        </w:rPr>
        <w:t>considerations</w:t>
      </w:r>
      <w:r>
        <w:rPr>
          <w:color w:val="231F20"/>
          <w:spacing w:val="-13"/>
        </w:rPr>
        <w:t xml:space="preserve"> </w:t>
      </w:r>
      <w:r>
        <w:rPr>
          <w:color w:val="231F20"/>
        </w:rPr>
        <w:t>into</w:t>
      </w:r>
      <w:r>
        <w:rPr>
          <w:color w:val="231F20"/>
          <w:spacing w:val="-14"/>
        </w:rPr>
        <w:t xml:space="preserve"> </w:t>
      </w:r>
      <w:r>
        <w:rPr>
          <w:color w:val="231F20"/>
        </w:rPr>
        <w:t>procurement</w:t>
      </w:r>
      <w:r>
        <w:rPr>
          <w:color w:val="231F20"/>
          <w:spacing w:val="-13"/>
        </w:rPr>
        <w:t xml:space="preserve"> </w:t>
      </w:r>
      <w:r>
        <w:rPr>
          <w:color w:val="231F20"/>
        </w:rPr>
        <w:t>decision</w:t>
      </w:r>
      <w:r>
        <w:rPr>
          <w:color w:val="231F20"/>
          <w:spacing w:val="-14"/>
        </w:rPr>
        <w:t xml:space="preserve"> </w:t>
      </w:r>
      <w:r>
        <w:rPr>
          <w:color w:val="231F20"/>
        </w:rPr>
        <w:t>making where possible.</w:t>
      </w:r>
    </w:p>
    <w:p w14:paraId="098466CF" w14:textId="77777777" w:rsidR="00345EE3" w:rsidRDefault="00345EE3" w:rsidP="00345EE3">
      <w:pPr>
        <w:pStyle w:val="BodyText"/>
        <w:spacing w:before="116" w:line="242" w:lineRule="auto"/>
        <w:ind w:right="1535"/>
        <w:jc w:val="both"/>
      </w:pPr>
      <w:r>
        <w:rPr>
          <w:color w:val="231F20"/>
        </w:rPr>
        <w:t>All</w:t>
      </w:r>
      <w:r>
        <w:rPr>
          <w:color w:val="231F20"/>
          <w:spacing w:val="-11"/>
        </w:rPr>
        <w:t xml:space="preserve"> </w:t>
      </w:r>
      <w:r>
        <w:rPr>
          <w:color w:val="231F20"/>
        </w:rPr>
        <w:t>procurement</w:t>
      </w:r>
      <w:r>
        <w:rPr>
          <w:color w:val="231F20"/>
          <w:spacing w:val="-11"/>
        </w:rPr>
        <w:t xml:space="preserve"> </w:t>
      </w:r>
      <w:r>
        <w:rPr>
          <w:color w:val="231F20"/>
        </w:rPr>
        <w:t>undertaken</w:t>
      </w:r>
      <w:r>
        <w:rPr>
          <w:color w:val="231F20"/>
          <w:spacing w:val="-11"/>
        </w:rPr>
        <w:t xml:space="preserve"> </w:t>
      </w:r>
      <w:r>
        <w:rPr>
          <w:color w:val="231F20"/>
        </w:rPr>
        <w:t>includes</w:t>
      </w:r>
      <w:r>
        <w:rPr>
          <w:color w:val="231F20"/>
          <w:spacing w:val="-11"/>
        </w:rPr>
        <w:t xml:space="preserve"> </w:t>
      </w:r>
      <w:r>
        <w:rPr>
          <w:color w:val="231F20"/>
        </w:rPr>
        <w:t>the</w:t>
      </w:r>
      <w:r>
        <w:rPr>
          <w:color w:val="231F20"/>
          <w:spacing w:val="-11"/>
        </w:rPr>
        <w:t xml:space="preserve"> </w:t>
      </w:r>
      <w:r>
        <w:rPr>
          <w:color w:val="231F20"/>
        </w:rPr>
        <w:t>mandatory</w:t>
      </w:r>
      <w:r>
        <w:rPr>
          <w:color w:val="231F20"/>
          <w:spacing w:val="-11"/>
        </w:rPr>
        <w:t xml:space="preserve"> </w:t>
      </w:r>
      <w:r>
        <w:rPr>
          <w:color w:val="231F20"/>
        </w:rPr>
        <w:t>Whole</w:t>
      </w:r>
      <w:r>
        <w:rPr>
          <w:color w:val="231F20"/>
          <w:spacing w:val="-11"/>
        </w:rPr>
        <w:t xml:space="preserve"> </w:t>
      </w:r>
      <w:r>
        <w:rPr>
          <w:color w:val="231F20"/>
        </w:rPr>
        <w:t>of</w:t>
      </w:r>
      <w:r>
        <w:rPr>
          <w:color w:val="231F20"/>
          <w:spacing w:val="-11"/>
        </w:rPr>
        <w:t xml:space="preserve"> </w:t>
      </w:r>
      <w:r>
        <w:rPr>
          <w:color w:val="231F20"/>
        </w:rPr>
        <w:t>Government</w:t>
      </w:r>
      <w:r>
        <w:rPr>
          <w:color w:val="231F20"/>
          <w:spacing w:val="-11"/>
        </w:rPr>
        <w:t xml:space="preserve"> </w:t>
      </w:r>
      <w:r>
        <w:rPr>
          <w:color w:val="231F20"/>
        </w:rPr>
        <w:t>requirement</w:t>
      </w:r>
      <w:r>
        <w:rPr>
          <w:color w:val="231F20"/>
          <w:spacing w:val="-11"/>
        </w:rPr>
        <w:t xml:space="preserve"> </w:t>
      </w:r>
      <w:r>
        <w:rPr>
          <w:color w:val="231F20"/>
        </w:rPr>
        <w:t>for a</w:t>
      </w:r>
      <w:r>
        <w:rPr>
          <w:color w:val="231F20"/>
          <w:spacing w:val="-5"/>
        </w:rPr>
        <w:t xml:space="preserve"> </w:t>
      </w:r>
      <w:r>
        <w:rPr>
          <w:color w:val="231F20"/>
        </w:rPr>
        <w:t>supplier</w:t>
      </w:r>
      <w:r>
        <w:rPr>
          <w:color w:val="231F20"/>
          <w:spacing w:val="-4"/>
        </w:rPr>
        <w:t xml:space="preserve"> </w:t>
      </w:r>
      <w:r>
        <w:rPr>
          <w:color w:val="231F20"/>
        </w:rPr>
        <w:t>to</w:t>
      </w:r>
      <w:r>
        <w:rPr>
          <w:color w:val="231F20"/>
          <w:spacing w:val="-5"/>
        </w:rPr>
        <w:t xml:space="preserve"> </w:t>
      </w:r>
      <w:r>
        <w:rPr>
          <w:color w:val="231F20"/>
        </w:rPr>
        <w:t>provide</w:t>
      </w:r>
      <w:r>
        <w:rPr>
          <w:color w:val="231F20"/>
          <w:spacing w:val="-5"/>
        </w:rPr>
        <w:t xml:space="preserve"> </w:t>
      </w:r>
      <w:r>
        <w:rPr>
          <w:color w:val="231F20"/>
        </w:rPr>
        <w:t>a</w:t>
      </w:r>
      <w:r>
        <w:rPr>
          <w:color w:val="231F20"/>
          <w:spacing w:val="-5"/>
        </w:rPr>
        <w:t xml:space="preserve"> </w:t>
      </w:r>
      <w:r>
        <w:rPr>
          <w:color w:val="231F20"/>
        </w:rPr>
        <w:t>supplier</w:t>
      </w:r>
      <w:r>
        <w:rPr>
          <w:color w:val="231F20"/>
          <w:spacing w:val="-4"/>
        </w:rPr>
        <w:t xml:space="preserve"> </w:t>
      </w:r>
      <w:r>
        <w:rPr>
          <w:color w:val="231F20"/>
        </w:rPr>
        <w:t>Code</w:t>
      </w:r>
      <w:r>
        <w:rPr>
          <w:color w:val="231F20"/>
          <w:spacing w:val="-5"/>
        </w:rPr>
        <w:t xml:space="preserve"> </w:t>
      </w:r>
      <w:r>
        <w:rPr>
          <w:color w:val="231F20"/>
        </w:rPr>
        <w:t>of</w:t>
      </w:r>
      <w:r>
        <w:rPr>
          <w:color w:val="231F20"/>
          <w:spacing w:val="-4"/>
        </w:rPr>
        <w:t xml:space="preserve"> </w:t>
      </w:r>
      <w:r>
        <w:rPr>
          <w:color w:val="231F20"/>
        </w:rPr>
        <w:t>Conduct</w:t>
      </w:r>
      <w:r>
        <w:rPr>
          <w:color w:val="231F20"/>
          <w:spacing w:val="-4"/>
        </w:rPr>
        <w:t xml:space="preserve"> </w:t>
      </w:r>
      <w:r>
        <w:rPr>
          <w:color w:val="231F20"/>
        </w:rPr>
        <w:t>letter</w:t>
      </w:r>
      <w:r>
        <w:rPr>
          <w:color w:val="231F20"/>
          <w:spacing w:val="-4"/>
        </w:rPr>
        <w:t xml:space="preserve"> </w:t>
      </w:r>
      <w:r>
        <w:rPr>
          <w:color w:val="231F20"/>
        </w:rPr>
        <w:t>with</w:t>
      </w:r>
      <w:r>
        <w:rPr>
          <w:color w:val="231F20"/>
          <w:spacing w:val="-5"/>
        </w:rPr>
        <w:t xml:space="preserve"> </w:t>
      </w:r>
      <w:r>
        <w:rPr>
          <w:color w:val="231F20"/>
        </w:rPr>
        <w:t>their</w:t>
      </w:r>
      <w:r>
        <w:rPr>
          <w:color w:val="231F20"/>
          <w:spacing w:val="-4"/>
        </w:rPr>
        <w:t xml:space="preserve"> </w:t>
      </w:r>
      <w:r>
        <w:rPr>
          <w:color w:val="231F20"/>
        </w:rPr>
        <w:t>response.</w:t>
      </w:r>
      <w:r>
        <w:rPr>
          <w:color w:val="231F20"/>
          <w:spacing w:val="-4"/>
        </w:rPr>
        <w:t xml:space="preserve"> </w:t>
      </w:r>
      <w:r>
        <w:rPr>
          <w:color w:val="231F20"/>
        </w:rPr>
        <w:t>The</w:t>
      </w:r>
      <w:r>
        <w:rPr>
          <w:color w:val="231F20"/>
          <w:spacing w:val="-5"/>
        </w:rPr>
        <w:t xml:space="preserve"> </w:t>
      </w:r>
      <w:r>
        <w:rPr>
          <w:color w:val="231F20"/>
        </w:rPr>
        <w:t>letter</w:t>
      </w:r>
      <w:r>
        <w:rPr>
          <w:color w:val="231F20"/>
          <w:spacing w:val="-4"/>
        </w:rPr>
        <w:t xml:space="preserve"> </w:t>
      </w:r>
      <w:r>
        <w:rPr>
          <w:color w:val="231F20"/>
        </w:rPr>
        <w:t>aims to ensure that suppliers adhere to minimum standards of ethical, sustainable and socially</w:t>
      </w:r>
    </w:p>
    <w:p w14:paraId="3768D3CA" w14:textId="77777777" w:rsidR="00345EE3" w:rsidRDefault="00345EE3" w:rsidP="00345EE3">
      <w:pPr>
        <w:pStyle w:val="BodyText"/>
        <w:spacing w:before="4" w:line="242" w:lineRule="auto"/>
        <w:ind w:right="921"/>
      </w:pPr>
      <w:r>
        <w:rPr>
          <w:color w:val="231F20"/>
        </w:rPr>
        <w:t>responsible</w:t>
      </w:r>
      <w:r>
        <w:rPr>
          <w:color w:val="231F20"/>
          <w:spacing w:val="-12"/>
        </w:rPr>
        <w:t xml:space="preserve"> </w:t>
      </w:r>
      <w:r>
        <w:rPr>
          <w:color w:val="231F20"/>
        </w:rPr>
        <w:t>practices</w:t>
      </w:r>
      <w:r>
        <w:rPr>
          <w:color w:val="231F20"/>
          <w:spacing w:val="-11"/>
        </w:rPr>
        <w:t xml:space="preserve"> </w:t>
      </w:r>
      <w:r>
        <w:rPr>
          <w:color w:val="231F20"/>
        </w:rPr>
        <w:t>when</w:t>
      </w:r>
      <w:r>
        <w:rPr>
          <w:color w:val="231F20"/>
          <w:spacing w:val="-12"/>
        </w:rPr>
        <w:t xml:space="preserve"> </w:t>
      </w:r>
      <w:r>
        <w:rPr>
          <w:color w:val="231F20"/>
        </w:rPr>
        <w:t>providing</w:t>
      </w:r>
      <w:r>
        <w:rPr>
          <w:color w:val="231F20"/>
          <w:spacing w:val="-12"/>
        </w:rPr>
        <w:t xml:space="preserve"> </w:t>
      </w:r>
      <w:r>
        <w:rPr>
          <w:color w:val="231F20"/>
        </w:rPr>
        <w:t>goods</w:t>
      </w:r>
      <w:r>
        <w:rPr>
          <w:color w:val="231F20"/>
          <w:spacing w:val="-11"/>
        </w:rPr>
        <w:t xml:space="preserve"> </w:t>
      </w:r>
      <w:r>
        <w:rPr>
          <w:color w:val="231F20"/>
        </w:rPr>
        <w:t>or</w:t>
      </w:r>
      <w:r>
        <w:rPr>
          <w:color w:val="231F20"/>
          <w:spacing w:val="-11"/>
        </w:rPr>
        <w:t xml:space="preserve"> </w:t>
      </w:r>
      <w:r>
        <w:rPr>
          <w:color w:val="231F20"/>
        </w:rPr>
        <w:t>services.</w:t>
      </w:r>
      <w:r>
        <w:rPr>
          <w:color w:val="231F20"/>
          <w:spacing w:val="-11"/>
        </w:rPr>
        <w:t xml:space="preserve"> </w:t>
      </w:r>
      <w:r>
        <w:rPr>
          <w:color w:val="231F20"/>
        </w:rPr>
        <w:t>Under</w:t>
      </w:r>
      <w:r>
        <w:rPr>
          <w:color w:val="231F20"/>
          <w:spacing w:val="-11"/>
        </w:rPr>
        <w:t xml:space="preserve"> </w:t>
      </w:r>
      <w:r>
        <w:rPr>
          <w:color w:val="231F20"/>
        </w:rPr>
        <w:t>these</w:t>
      </w:r>
      <w:r>
        <w:rPr>
          <w:color w:val="231F20"/>
          <w:spacing w:val="-12"/>
        </w:rPr>
        <w:t xml:space="preserve"> </w:t>
      </w:r>
      <w:r>
        <w:rPr>
          <w:color w:val="231F20"/>
        </w:rPr>
        <w:t>requirements,</w:t>
      </w:r>
      <w:r>
        <w:rPr>
          <w:color w:val="231F20"/>
          <w:spacing w:val="-11"/>
        </w:rPr>
        <w:t xml:space="preserve"> </w:t>
      </w:r>
      <w:r>
        <w:rPr>
          <w:color w:val="231F20"/>
        </w:rPr>
        <w:t>suppliers must acknowledge the code by signing and returning a commitment letter as part of the procurement process and if successful, as part of their supply of the goods and/or services.</w:t>
      </w:r>
    </w:p>
    <w:p w14:paraId="4B91B5E3" w14:textId="77777777" w:rsidR="00345EE3" w:rsidRDefault="00345EE3" w:rsidP="00345EE3">
      <w:pPr>
        <w:pStyle w:val="BodyText"/>
        <w:spacing w:before="117" w:line="242" w:lineRule="auto"/>
        <w:ind w:right="848"/>
      </w:pPr>
      <w:r>
        <w:rPr>
          <w:color w:val="231F20"/>
        </w:rPr>
        <w:t>All</w:t>
      </w:r>
      <w:r>
        <w:rPr>
          <w:color w:val="231F20"/>
          <w:spacing w:val="-2"/>
        </w:rPr>
        <w:t xml:space="preserve"> </w:t>
      </w:r>
      <w:r>
        <w:rPr>
          <w:color w:val="231F20"/>
        </w:rPr>
        <w:t>procurement</w:t>
      </w:r>
      <w:r>
        <w:rPr>
          <w:color w:val="231F20"/>
          <w:spacing w:val="-1"/>
        </w:rPr>
        <w:t xml:space="preserve"> </w:t>
      </w:r>
      <w:r>
        <w:rPr>
          <w:color w:val="231F20"/>
        </w:rPr>
        <w:t>activities</w:t>
      </w:r>
      <w:r>
        <w:rPr>
          <w:color w:val="231F20"/>
          <w:spacing w:val="-1"/>
        </w:rPr>
        <w:t xml:space="preserve"> </w:t>
      </w:r>
      <w:r>
        <w:rPr>
          <w:color w:val="231F20"/>
        </w:rPr>
        <w:t>require</w:t>
      </w:r>
      <w:r>
        <w:rPr>
          <w:color w:val="231F20"/>
          <w:spacing w:val="-2"/>
        </w:rPr>
        <w:t xml:space="preserve"> </w:t>
      </w:r>
      <w:r>
        <w:rPr>
          <w:color w:val="231F20"/>
        </w:rPr>
        <w:t>suppliers</w:t>
      </w:r>
      <w:r>
        <w:rPr>
          <w:color w:val="231F20"/>
          <w:spacing w:val="-1"/>
        </w:rPr>
        <w:t xml:space="preserve"> </w:t>
      </w:r>
      <w:r>
        <w:rPr>
          <w:color w:val="231F20"/>
        </w:rPr>
        <w:t>to</w:t>
      </w:r>
      <w:r>
        <w:rPr>
          <w:color w:val="231F20"/>
          <w:spacing w:val="-2"/>
        </w:rPr>
        <w:t xml:space="preserve"> </w:t>
      </w:r>
      <w:r>
        <w:rPr>
          <w:color w:val="231F20"/>
        </w:rPr>
        <w:t>provide</w:t>
      </w:r>
      <w:r>
        <w:rPr>
          <w:color w:val="231F20"/>
          <w:spacing w:val="-2"/>
        </w:rPr>
        <w:t xml:space="preserve"> </w:t>
      </w:r>
      <w:r>
        <w:rPr>
          <w:color w:val="231F20"/>
        </w:rPr>
        <w:t>a</w:t>
      </w:r>
      <w:r>
        <w:rPr>
          <w:color w:val="231F20"/>
          <w:spacing w:val="-2"/>
        </w:rPr>
        <w:t xml:space="preserve"> </w:t>
      </w:r>
      <w:r>
        <w:rPr>
          <w:color w:val="231F20"/>
        </w:rPr>
        <w:t>response</w:t>
      </w:r>
      <w:r>
        <w:rPr>
          <w:color w:val="231F20"/>
          <w:spacing w:val="-2"/>
        </w:rPr>
        <w:t xml:space="preserve"> </w:t>
      </w:r>
      <w:r>
        <w:rPr>
          <w:color w:val="231F20"/>
        </w:rPr>
        <w:t>to</w:t>
      </w:r>
      <w:r>
        <w:rPr>
          <w:color w:val="231F20"/>
          <w:spacing w:val="-2"/>
        </w:rPr>
        <w:t xml:space="preserve"> </w:t>
      </w:r>
      <w:r>
        <w:rPr>
          <w:color w:val="231F20"/>
        </w:rPr>
        <w:t>objectives</w:t>
      </w:r>
      <w:r>
        <w:rPr>
          <w:color w:val="231F20"/>
          <w:spacing w:val="-1"/>
        </w:rPr>
        <w:t xml:space="preserve"> </w:t>
      </w:r>
      <w:r>
        <w:rPr>
          <w:color w:val="231F20"/>
        </w:rPr>
        <w:t>under</w:t>
      </w:r>
      <w:r>
        <w:rPr>
          <w:color w:val="231F20"/>
          <w:spacing w:val="-1"/>
        </w:rPr>
        <w:t xml:space="preserve"> </w:t>
      </w:r>
      <w:r>
        <w:rPr>
          <w:color w:val="231F20"/>
        </w:rPr>
        <w:t>the</w:t>
      </w:r>
      <w:r>
        <w:rPr>
          <w:color w:val="231F20"/>
          <w:spacing w:val="-2"/>
        </w:rPr>
        <w:t xml:space="preserve"> </w:t>
      </w:r>
      <w:r>
        <w:rPr>
          <w:color w:val="231F20"/>
        </w:rPr>
        <w:t>Buying for Victoria – Social Procurement Framework. This means suppliers are asked to indicate their levels</w:t>
      </w:r>
      <w:r>
        <w:rPr>
          <w:color w:val="231F20"/>
          <w:spacing w:val="-14"/>
        </w:rPr>
        <w:t xml:space="preserve"> </w:t>
      </w:r>
      <w:r>
        <w:rPr>
          <w:color w:val="231F20"/>
        </w:rPr>
        <w:t>of</w:t>
      </w:r>
      <w:r>
        <w:rPr>
          <w:color w:val="231F20"/>
          <w:spacing w:val="-14"/>
        </w:rPr>
        <w:t xml:space="preserve"> </w:t>
      </w:r>
      <w:r>
        <w:rPr>
          <w:color w:val="231F20"/>
        </w:rPr>
        <w:t>commitment</w:t>
      </w:r>
      <w:r>
        <w:rPr>
          <w:color w:val="231F20"/>
          <w:spacing w:val="-14"/>
        </w:rPr>
        <w:t xml:space="preserve"> </w:t>
      </w:r>
      <w:r>
        <w:rPr>
          <w:color w:val="231F20"/>
        </w:rPr>
        <w:t>to</w:t>
      </w:r>
      <w:r>
        <w:rPr>
          <w:color w:val="231F20"/>
          <w:spacing w:val="-15"/>
        </w:rPr>
        <w:t xml:space="preserve"> </w:t>
      </w:r>
      <w:r>
        <w:rPr>
          <w:color w:val="231F20"/>
        </w:rPr>
        <w:t>social</w:t>
      </w:r>
      <w:r>
        <w:rPr>
          <w:color w:val="231F20"/>
          <w:spacing w:val="-15"/>
        </w:rPr>
        <w:t xml:space="preserve"> </w:t>
      </w:r>
      <w:r>
        <w:rPr>
          <w:color w:val="231F20"/>
        </w:rPr>
        <w:t>procurement,</w:t>
      </w:r>
      <w:r>
        <w:rPr>
          <w:color w:val="231F20"/>
          <w:spacing w:val="-14"/>
        </w:rPr>
        <w:t xml:space="preserve"> </w:t>
      </w:r>
      <w:r>
        <w:rPr>
          <w:color w:val="231F20"/>
        </w:rPr>
        <w:t>women’s</w:t>
      </w:r>
      <w:r>
        <w:rPr>
          <w:color w:val="231F20"/>
          <w:spacing w:val="-14"/>
        </w:rPr>
        <w:t xml:space="preserve"> </w:t>
      </w:r>
      <w:r>
        <w:rPr>
          <w:color w:val="231F20"/>
        </w:rPr>
        <w:t>equality,</w:t>
      </w:r>
      <w:r>
        <w:rPr>
          <w:color w:val="231F20"/>
          <w:spacing w:val="-14"/>
        </w:rPr>
        <w:t xml:space="preserve"> </w:t>
      </w:r>
      <w:r>
        <w:rPr>
          <w:color w:val="231F20"/>
        </w:rPr>
        <w:t>diversity,</w:t>
      </w:r>
      <w:r>
        <w:rPr>
          <w:color w:val="231F20"/>
          <w:spacing w:val="-14"/>
        </w:rPr>
        <w:t xml:space="preserve"> </w:t>
      </w:r>
      <w:r>
        <w:rPr>
          <w:color w:val="231F20"/>
        </w:rPr>
        <w:t>safe</w:t>
      </w:r>
      <w:r>
        <w:rPr>
          <w:color w:val="231F20"/>
          <w:spacing w:val="-15"/>
        </w:rPr>
        <w:t xml:space="preserve"> </w:t>
      </w:r>
      <w:r>
        <w:rPr>
          <w:color w:val="231F20"/>
        </w:rPr>
        <w:t>and</w:t>
      </w:r>
      <w:r>
        <w:rPr>
          <w:color w:val="231F20"/>
          <w:spacing w:val="-15"/>
        </w:rPr>
        <w:t xml:space="preserve"> </w:t>
      </w:r>
      <w:r>
        <w:rPr>
          <w:color w:val="231F20"/>
        </w:rPr>
        <w:t>fair</w:t>
      </w:r>
      <w:r>
        <w:rPr>
          <w:color w:val="231F20"/>
          <w:spacing w:val="-14"/>
        </w:rPr>
        <w:t xml:space="preserve"> </w:t>
      </w:r>
      <w:r>
        <w:rPr>
          <w:color w:val="231F20"/>
        </w:rPr>
        <w:t>workplaces and any other initiatives that may apply in their organisation.</w:t>
      </w:r>
    </w:p>
    <w:p w14:paraId="2FFBA693" w14:textId="77777777" w:rsidR="00345EE3" w:rsidRDefault="00345EE3" w:rsidP="00345EE3">
      <w:pPr>
        <w:pStyle w:val="BodyText"/>
        <w:spacing w:before="119" w:line="242" w:lineRule="auto"/>
        <w:ind w:right="921"/>
      </w:pPr>
      <w:r>
        <w:rPr>
          <w:color w:val="231F20"/>
        </w:rPr>
        <w:t>Victoria</w:t>
      </w:r>
      <w:r>
        <w:rPr>
          <w:color w:val="231F20"/>
          <w:spacing w:val="-8"/>
        </w:rPr>
        <w:t xml:space="preserve"> </w:t>
      </w:r>
      <w:r>
        <w:rPr>
          <w:color w:val="231F20"/>
        </w:rPr>
        <w:t>Police</w:t>
      </w:r>
      <w:r>
        <w:rPr>
          <w:color w:val="231F20"/>
          <w:spacing w:val="-8"/>
        </w:rPr>
        <w:t xml:space="preserve"> </w:t>
      </w:r>
      <w:r>
        <w:rPr>
          <w:color w:val="231F20"/>
        </w:rPr>
        <w:t>is</w:t>
      </w:r>
      <w:r>
        <w:rPr>
          <w:color w:val="231F20"/>
          <w:spacing w:val="-8"/>
        </w:rPr>
        <w:t xml:space="preserve"> </w:t>
      </w:r>
      <w:r>
        <w:rPr>
          <w:color w:val="231F20"/>
        </w:rPr>
        <w:t>committed</w:t>
      </w:r>
      <w:r>
        <w:rPr>
          <w:color w:val="231F20"/>
          <w:spacing w:val="-8"/>
        </w:rPr>
        <w:t xml:space="preserve"> </w:t>
      </w:r>
      <w:r>
        <w:rPr>
          <w:color w:val="231F20"/>
        </w:rPr>
        <w:t>to</w:t>
      </w:r>
      <w:r>
        <w:rPr>
          <w:color w:val="231F20"/>
          <w:spacing w:val="-8"/>
        </w:rPr>
        <w:t xml:space="preserve"> </w:t>
      </w:r>
      <w:r>
        <w:rPr>
          <w:color w:val="231F20"/>
        </w:rPr>
        <w:t>considering</w:t>
      </w:r>
      <w:r>
        <w:rPr>
          <w:color w:val="231F20"/>
          <w:spacing w:val="-8"/>
        </w:rPr>
        <w:t xml:space="preserve"> </w:t>
      </w:r>
      <w:r>
        <w:rPr>
          <w:color w:val="231F20"/>
        </w:rPr>
        <w:t>certified</w:t>
      </w:r>
      <w:r>
        <w:rPr>
          <w:color w:val="231F20"/>
          <w:spacing w:val="-8"/>
        </w:rPr>
        <w:t xml:space="preserve"> </w:t>
      </w:r>
      <w:r>
        <w:rPr>
          <w:color w:val="231F20"/>
        </w:rPr>
        <w:t>indigenous</w:t>
      </w:r>
      <w:r>
        <w:rPr>
          <w:color w:val="231F20"/>
          <w:spacing w:val="-8"/>
        </w:rPr>
        <w:t xml:space="preserve"> </w:t>
      </w:r>
      <w:r>
        <w:rPr>
          <w:color w:val="231F20"/>
        </w:rPr>
        <w:t>suppliers</w:t>
      </w:r>
      <w:r>
        <w:rPr>
          <w:color w:val="231F20"/>
          <w:spacing w:val="-8"/>
        </w:rPr>
        <w:t xml:space="preserve"> </w:t>
      </w:r>
      <w:r>
        <w:rPr>
          <w:color w:val="231F20"/>
        </w:rPr>
        <w:t>in</w:t>
      </w:r>
      <w:r>
        <w:rPr>
          <w:color w:val="231F20"/>
          <w:spacing w:val="-8"/>
        </w:rPr>
        <w:t xml:space="preserve"> </w:t>
      </w:r>
      <w:r>
        <w:rPr>
          <w:color w:val="231F20"/>
        </w:rPr>
        <w:t>its</w:t>
      </w:r>
      <w:r>
        <w:rPr>
          <w:color w:val="231F20"/>
          <w:spacing w:val="-8"/>
        </w:rPr>
        <w:t xml:space="preserve"> </w:t>
      </w:r>
      <w:r>
        <w:rPr>
          <w:color w:val="231F20"/>
        </w:rPr>
        <w:t>procurement activities where possible and appropriate.</w:t>
      </w:r>
    </w:p>
    <w:p w14:paraId="64321876" w14:textId="77777777" w:rsidR="00345EE3" w:rsidRDefault="00345EE3" w:rsidP="00345EE3">
      <w:pPr>
        <w:rPr>
          <w:color w:val="231F20"/>
          <w:sz w:val="24"/>
          <w:szCs w:val="24"/>
        </w:rPr>
      </w:pPr>
      <w:r>
        <w:rPr>
          <w:color w:val="231F20"/>
        </w:rPr>
        <w:br w:type="page"/>
      </w:r>
    </w:p>
    <w:p w14:paraId="70E15682" w14:textId="77777777" w:rsidR="00345EE3" w:rsidRDefault="00345EE3" w:rsidP="00345EE3">
      <w:pPr>
        <w:pStyle w:val="BodyText"/>
        <w:spacing w:before="116" w:line="242" w:lineRule="auto"/>
        <w:ind w:right="921"/>
      </w:pPr>
      <w:r>
        <w:rPr>
          <w:color w:val="231F20"/>
        </w:rPr>
        <w:t>Victoria Police has also updated policies in line with any new requirements including harm minimisation</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environment</w:t>
      </w:r>
      <w:r>
        <w:rPr>
          <w:color w:val="231F20"/>
          <w:spacing w:val="-9"/>
        </w:rPr>
        <w:t xml:space="preserve"> </w:t>
      </w:r>
      <w:r>
        <w:rPr>
          <w:color w:val="231F20"/>
        </w:rPr>
        <w:t>through</w:t>
      </w:r>
      <w:r>
        <w:rPr>
          <w:color w:val="231F20"/>
          <w:spacing w:val="-10"/>
        </w:rPr>
        <w:t xml:space="preserve"> </w:t>
      </w:r>
      <w:r>
        <w:rPr>
          <w:color w:val="231F20"/>
        </w:rPr>
        <w:t>the</w:t>
      </w:r>
      <w:r>
        <w:rPr>
          <w:color w:val="231F20"/>
          <w:spacing w:val="-10"/>
        </w:rPr>
        <w:t xml:space="preserve"> </w:t>
      </w:r>
      <w:r>
        <w:rPr>
          <w:color w:val="231F20"/>
        </w:rPr>
        <w:t>banning</w:t>
      </w:r>
      <w:r>
        <w:rPr>
          <w:color w:val="231F20"/>
          <w:spacing w:val="-10"/>
        </w:rPr>
        <w:t xml:space="preserve"> </w:t>
      </w:r>
      <w:r>
        <w:rPr>
          <w:color w:val="231F20"/>
        </w:rPr>
        <w:t>of</w:t>
      </w:r>
      <w:r>
        <w:rPr>
          <w:color w:val="231F20"/>
          <w:spacing w:val="-9"/>
        </w:rPr>
        <w:t xml:space="preserve"> </w:t>
      </w:r>
      <w:r>
        <w:rPr>
          <w:color w:val="231F20"/>
        </w:rPr>
        <w:t>in-scope</w:t>
      </w:r>
      <w:r>
        <w:rPr>
          <w:color w:val="231F20"/>
          <w:spacing w:val="-10"/>
        </w:rPr>
        <w:t xml:space="preserve"> </w:t>
      </w:r>
      <w:r>
        <w:rPr>
          <w:color w:val="231F20"/>
        </w:rPr>
        <w:t>single</w:t>
      </w:r>
      <w:r>
        <w:rPr>
          <w:color w:val="231F20"/>
          <w:spacing w:val="-10"/>
        </w:rPr>
        <w:t xml:space="preserve"> </w:t>
      </w:r>
      <w:r>
        <w:rPr>
          <w:color w:val="231F20"/>
        </w:rPr>
        <w:t>use</w:t>
      </w:r>
      <w:r>
        <w:rPr>
          <w:color w:val="231F20"/>
          <w:spacing w:val="-10"/>
        </w:rPr>
        <w:t xml:space="preserve"> </w:t>
      </w:r>
      <w:r>
        <w:rPr>
          <w:color w:val="231F20"/>
        </w:rPr>
        <w:t>plastic</w:t>
      </w:r>
      <w:r>
        <w:rPr>
          <w:color w:val="231F20"/>
          <w:spacing w:val="-9"/>
        </w:rPr>
        <w:t xml:space="preserve"> </w:t>
      </w:r>
      <w:r>
        <w:rPr>
          <w:color w:val="231F20"/>
        </w:rPr>
        <w:t>products such as plastic straws, plates and cutlery.</w:t>
      </w:r>
    </w:p>
    <w:p w14:paraId="0FC0ABCC" w14:textId="77777777" w:rsidR="00345EE3" w:rsidRDefault="00345EE3" w:rsidP="00345EE3">
      <w:pPr>
        <w:pStyle w:val="BodyText"/>
        <w:spacing w:before="117" w:line="242" w:lineRule="auto"/>
        <w:ind w:right="921"/>
      </w:pPr>
      <w:r>
        <w:rPr>
          <w:color w:val="231F20"/>
        </w:rPr>
        <w:t>Table 5.28 provides a selection of examples of further sustainable and environmental considerations</w:t>
      </w:r>
      <w:r>
        <w:rPr>
          <w:color w:val="231F20"/>
          <w:spacing w:val="-10"/>
        </w:rPr>
        <w:t xml:space="preserve"> </w:t>
      </w:r>
      <w:r>
        <w:rPr>
          <w:color w:val="231F20"/>
        </w:rPr>
        <w:t>that</w:t>
      </w:r>
      <w:r>
        <w:rPr>
          <w:color w:val="231F20"/>
          <w:spacing w:val="-10"/>
        </w:rPr>
        <w:t xml:space="preserve"> </w:t>
      </w:r>
      <w:r>
        <w:rPr>
          <w:color w:val="231F20"/>
        </w:rPr>
        <w:t>were</w:t>
      </w:r>
      <w:r>
        <w:rPr>
          <w:color w:val="231F20"/>
          <w:spacing w:val="-11"/>
        </w:rPr>
        <w:t xml:space="preserve"> </w:t>
      </w:r>
      <w:r>
        <w:rPr>
          <w:color w:val="231F20"/>
        </w:rPr>
        <w:t>applied</w:t>
      </w:r>
      <w:r>
        <w:rPr>
          <w:color w:val="231F20"/>
          <w:spacing w:val="-11"/>
        </w:rPr>
        <w:t xml:space="preserve"> </w:t>
      </w:r>
      <w:r>
        <w:rPr>
          <w:color w:val="231F20"/>
        </w:rPr>
        <w:t>during</w:t>
      </w:r>
      <w:r>
        <w:rPr>
          <w:color w:val="231F20"/>
          <w:spacing w:val="-11"/>
        </w:rPr>
        <w:t xml:space="preserve"> </w:t>
      </w:r>
      <w:r>
        <w:rPr>
          <w:color w:val="231F20"/>
        </w:rPr>
        <w:t>the</w:t>
      </w:r>
      <w:r>
        <w:rPr>
          <w:color w:val="231F20"/>
          <w:spacing w:val="-11"/>
        </w:rPr>
        <w:t xml:space="preserve"> </w:t>
      </w:r>
      <w:r>
        <w:rPr>
          <w:color w:val="231F20"/>
        </w:rPr>
        <w:t>procurement</w:t>
      </w:r>
      <w:r>
        <w:rPr>
          <w:color w:val="231F20"/>
          <w:spacing w:val="-10"/>
        </w:rPr>
        <w:t xml:space="preserve"> </w:t>
      </w:r>
      <w:r>
        <w:rPr>
          <w:color w:val="231F20"/>
        </w:rPr>
        <w:t>process</w:t>
      </w:r>
      <w:r>
        <w:rPr>
          <w:color w:val="231F20"/>
          <w:spacing w:val="-10"/>
        </w:rPr>
        <w:t xml:space="preserve"> </w:t>
      </w:r>
      <w:r>
        <w:rPr>
          <w:color w:val="231F20"/>
        </w:rPr>
        <w:t>for</w:t>
      </w:r>
      <w:r>
        <w:rPr>
          <w:color w:val="231F20"/>
          <w:spacing w:val="-10"/>
        </w:rPr>
        <w:t xml:space="preserve"> </w:t>
      </w:r>
      <w:r>
        <w:rPr>
          <w:color w:val="231F20"/>
        </w:rPr>
        <w:t>contracts</w:t>
      </w:r>
      <w:r>
        <w:rPr>
          <w:color w:val="231F20"/>
          <w:spacing w:val="-10"/>
        </w:rPr>
        <w:t xml:space="preserve"> </w:t>
      </w:r>
      <w:r>
        <w:rPr>
          <w:color w:val="231F20"/>
        </w:rPr>
        <w:t>entered</w:t>
      </w:r>
      <w:r>
        <w:rPr>
          <w:color w:val="231F20"/>
          <w:spacing w:val="-11"/>
        </w:rPr>
        <w:t xml:space="preserve"> </w:t>
      </w:r>
      <w:r>
        <w:rPr>
          <w:color w:val="231F20"/>
        </w:rPr>
        <w:t>into during 2021–22. It also contains a list of any tenders, contracts, or products for which our organisation has developed, or is using, sustainability clauses or specifications.</w:t>
      </w:r>
    </w:p>
    <w:p w14:paraId="6D8B5A3E" w14:textId="77777777" w:rsidR="00345EE3" w:rsidRDefault="00345EE3" w:rsidP="00345EE3">
      <w:pPr>
        <w:spacing w:before="75"/>
        <w:ind w:left="110"/>
        <w:rPr>
          <w:rFonts w:ascii="Arial-BoldItalicMT" w:hAnsi="Arial-BoldItalicMT"/>
          <w:b/>
          <w:i/>
          <w:sz w:val="18"/>
        </w:rPr>
      </w:pPr>
      <w:r>
        <w:rPr>
          <w:color w:val="231F20"/>
          <w:sz w:val="18"/>
        </w:rPr>
        <w:t>Table</w:t>
      </w:r>
      <w:r>
        <w:rPr>
          <w:color w:val="231F20"/>
          <w:spacing w:val="-8"/>
          <w:sz w:val="18"/>
        </w:rPr>
        <w:t xml:space="preserve"> </w:t>
      </w:r>
      <w:r>
        <w:rPr>
          <w:color w:val="231F20"/>
          <w:sz w:val="18"/>
        </w:rPr>
        <w:t>5.28:</w:t>
      </w:r>
      <w:r>
        <w:rPr>
          <w:color w:val="231F20"/>
          <w:spacing w:val="-5"/>
          <w:sz w:val="18"/>
        </w:rPr>
        <w:t xml:space="preserve"> </w:t>
      </w:r>
      <w:r>
        <w:rPr>
          <w:rFonts w:ascii="Arial-BoldItalicMT" w:hAnsi="Arial-BoldItalicMT"/>
          <w:b/>
          <w:i/>
          <w:color w:val="231F20"/>
          <w:sz w:val="18"/>
        </w:rPr>
        <w:t>Sustainable</w:t>
      </w:r>
      <w:r>
        <w:rPr>
          <w:rFonts w:ascii="Arial-BoldItalicMT" w:hAnsi="Arial-BoldItalicMT"/>
          <w:b/>
          <w:i/>
          <w:color w:val="231F20"/>
          <w:spacing w:val="-8"/>
          <w:sz w:val="18"/>
        </w:rPr>
        <w:t xml:space="preserve"> </w:t>
      </w:r>
      <w:r>
        <w:rPr>
          <w:rFonts w:ascii="Arial-BoldItalicMT" w:hAnsi="Arial-BoldItalicMT"/>
          <w:b/>
          <w:i/>
          <w:color w:val="231F20"/>
          <w:sz w:val="18"/>
        </w:rPr>
        <w:t>and</w:t>
      </w:r>
      <w:r>
        <w:rPr>
          <w:rFonts w:ascii="Arial-BoldItalicMT" w:hAnsi="Arial-BoldItalicMT"/>
          <w:b/>
          <w:i/>
          <w:color w:val="231F20"/>
          <w:spacing w:val="-8"/>
          <w:sz w:val="18"/>
        </w:rPr>
        <w:t xml:space="preserve"> </w:t>
      </w:r>
      <w:r>
        <w:rPr>
          <w:rFonts w:ascii="Arial-BoldItalicMT" w:hAnsi="Arial-BoldItalicMT"/>
          <w:b/>
          <w:i/>
          <w:color w:val="231F20"/>
          <w:sz w:val="18"/>
        </w:rPr>
        <w:t>environmental</w:t>
      </w:r>
      <w:r>
        <w:rPr>
          <w:rFonts w:ascii="Arial-BoldItalicMT" w:hAnsi="Arial-BoldItalicMT"/>
          <w:b/>
          <w:i/>
          <w:color w:val="231F20"/>
          <w:spacing w:val="-8"/>
          <w:sz w:val="18"/>
        </w:rPr>
        <w:t xml:space="preserve"> </w:t>
      </w:r>
      <w:r>
        <w:rPr>
          <w:rFonts w:ascii="Arial-BoldItalicMT" w:hAnsi="Arial-BoldItalicMT"/>
          <w:b/>
          <w:i/>
          <w:color w:val="231F20"/>
          <w:sz w:val="18"/>
        </w:rPr>
        <w:t>considerations</w:t>
      </w:r>
      <w:r>
        <w:rPr>
          <w:rFonts w:ascii="Arial-BoldItalicMT" w:hAnsi="Arial-BoldItalicMT"/>
          <w:b/>
          <w:i/>
          <w:color w:val="231F20"/>
          <w:spacing w:val="-8"/>
          <w:sz w:val="18"/>
        </w:rPr>
        <w:t xml:space="preserve"> </w:t>
      </w:r>
      <w:r>
        <w:rPr>
          <w:rFonts w:ascii="Arial-BoldItalicMT" w:hAnsi="Arial-BoldItalicMT"/>
          <w:b/>
          <w:i/>
          <w:color w:val="231F20"/>
          <w:sz w:val="18"/>
        </w:rPr>
        <w:t>applied</w:t>
      </w:r>
      <w:r>
        <w:rPr>
          <w:rFonts w:ascii="Arial-BoldItalicMT" w:hAnsi="Arial-BoldItalicMT"/>
          <w:b/>
          <w:i/>
          <w:color w:val="231F20"/>
          <w:spacing w:val="-8"/>
          <w:sz w:val="18"/>
        </w:rPr>
        <w:t xml:space="preserve"> </w:t>
      </w:r>
      <w:r>
        <w:rPr>
          <w:rFonts w:ascii="Arial-BoldItalicMT" w:hAnsi="Arial-BoldItalicMT"/>
          <w:b/>
          <w:i/>
          <w:color w:val="231F20"/>
          <w:sz w:val="18"/>
        </w:rPr>
        <w:t>to</w:t>
      </w:r>
      <w:r>
        <w:rPr>
          <w:rFonts w:ascii="Arial-BoldItalicMT" w:hAnsi="Arial-BoldItalicMT"/>
          <w:b/>
          <w:i/>
          <w:color w:val="231F20"/>
          <w:spacing w:val="-8"/>
          <w:sz w:val="18"/>
        </w:rPr>
        <w:t xml:space="preserve"> </w:t>
      </w:r>
      <w:r>
        <w:rPr>
          <w:rFonts w:ascii="Arial-BoldItalicMT" w:hAnsi="Arial-BoldItalicMT"/>
          <w:b/>
          <w:i/>
          <w:color w:val="231F20"/>
          <w:sz w:val="18"/>
        </w:rPr>
        <w:t>procurement</w:t>
      </w:r>
      <w:r>
        <w:rPr>
          <w:rFonts w:ascii="Arial-BoldItalicMT" w:hAnsi="Arial-BoldItalicMT"/>
          <w:b/>
          <w:i/>
          <w:color w:val="231F20"/>
          <w:spacing w:val="-8"/>
          <w:sz w:val="18"/>
        </w:rPr>
        <w:t xml:space="preserve"> </w:t>
      </w:r>
      <w:r>
        <w:rPr>
          <w:rFonts w:ascii="Arial-BoldItalicMT" w:hAnsi="Arial-BoldItalicMT"/>
          <w:b/>
          <w:i/>
          <w:color w:val="231F20"/>
          <w:sz w:val="18"/>
        </w:rPr>
        <w:t>process</w:t>
      </w:r>
      <w:r>
        <w:rPr>
          <w:rFonts w:ascii="Arial-BoldItalicMT" w:hAnsi="Arial-BoldItalicMT"/>
          <w:b/>
          <w:i/>
          <w:color w:val="231F20"/>
          <w:spacing w:val="-8"/>
          <w:sz w:val="18"/>
        </w:rPr>
        <w:t xml:space="preserve"> </w:t>
      </w:r>
      <w:r>
        <w:rPr>
          <w:rFonts w:ascii="Arial-BoldItalicMT" w:hAnsi="Arial-BoldItalicMT"/>
          <w:b/>
          <w:i/>
          <w:color w:val="231F20"/>
          <w:sz w:val="18"/>
        </w:rPr>
        <w:t>for</w:t>
      </w:r>
      <w:r>
        <w:rPr>
          <w:rFonts w:ascii="Arial-BoldItalicMT" w:hAnsi="Arial-BoldItalicMT"/>
          <w:b/>
          <w:i/>
          <w:color w:val="231F20"/>
          <w:spacing w:val="-8"/>
          <w:sz w:val="18"/>
        </w:rPr>
        <w:t xml:space="preserve"> </w:t>
      </w:r>
      <w:r>
        <w:rPr>
          <w:rFonts w:ascii="Arial-BoldItalicMT" w:hAnsi="Arial-BoldItalicMT"/>
          <w:b/>
          <w:i/>
          <w:color w:val="231F20"/>
          <w:sz w:val="18"/>
        </w:rPr>
        <w:t>2021–22</w:t>
      </w:r>
      <w:r>
        <w:rPr>
          <w:rFonts w:ascii="Arial-BoldItalicMT" w:hAnsi="Arial-BoldItalicMT"/>
          <w:b/>
          <w:i/>
          <w:color w:val="231F20"/>
          <w:spacing w:val="-8"/>
          <w:sz w:val="18"/>
        </w:rPr>
        <w:t xml:space="preserve"> </w:t>
      </w:r>
      <w:r>
        <w:rPr>
          <w:rFonts w:ascii="Arial-BoldItalicMT" w:hAnsi="Arial-BoldItalicMT"/>
          <w:b/>
          <w:i/>
          <w:color w:val="231F20"/>
          <w:spacing w:val="-2"/>
          <w:sz w:val="18"/>
        </w:rPr>
        <w:t>contracts</w:t>
      </w:r>
    </w:p>
    <w:p w14:paraId="1611F204" w14:textId="77777777" w:rsidR="00345EE3" w:rsidRDefault="00345EE3" w:rsidP="00345EE3">
      <w:pPr>
        <w:pStyle w:val="BodyText"/>
        <w:spacing w:before="10"/>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5102"/>
        <w:gridCol w:w="5074"/>
      </w:tblGrid>
      <w:tr w:rsidR="00345EE3" w14:paraId="7FA5AE3C" w14:textId="77777777" w:rsidTr="00D73130">
        <w:trPr>
          <w:trHeight w:val="961"/>
        </w:trPr>
        <w:tc>
          <w:tcPr>
            <w:tcW w:w="5102" w:type="dxa"/>
            <w:shd w:val="clear" w:color="auto" w:fill="00529F"/>
          </w:tcPr>
          <w:p w14:paraId="497E2FBC" w14:textId="77777777" w:rsidR="00345EE3" w:rsidRDefault="00345EE3" w:rsidP="00D73130">
            <w:pPr>
              <w:pStyle w:val="TableParagraph"/>
              <w:spacing w:before="63"/>
              <w:jc w:val="left"/>
              <w:rPr>
                <w:b/>
                <w:sz w:val="24"/>
              </w:rPr>
            </w:pPr>
            <w:r>
              <w:rPr>
                <w:b/>
                <w:color w:val="FFFFFF"/>
                <w:sz w:val="24"/>
              </w:rPr>
              <w:t>Procurement</w:t>
            </w:r>
            <w:r>
              <w:rPr>
                <w:b/>
                <w:color w:val="FFFFFF"/>
                <w:spacing w:val="-10"/>
                <w:sz w:val="24"/>
              </w:rPr>
              <w:t xml:space="preserve"> </w:t>
            </w:r>
            <w:r>
              <w:rPr>
                <w:b/>
                <w:color w:val="FFFFFF"/>
                <w:spacing w:val="-2"/>
                <w:sz w:val="24"/>
              </w:rPr>
              <w:t>contract</w:t>
            </w:r>
          </w:p>
        </w:tc>
        <w:tc>
          <w:tcPr>
            <w:tcW w:w="5074" w:type="dxa"/>
            <w:shd w:val="clear" w:color="auto" w:fill="00529F"/>
          </w:tcPr>
          <w:p w14:paraId="08FA268D" w14:textId="77777777" w:rsidR="00345EE3" w:rsidRDefault="00345EE3" w:rsidP="00D73130">
            <w:pPr>
              <w:pStyle w:val="TableParagraph"/>
              <w:spacing w:before="63" w:line="242" w:lineRule="auto"/>
              <w:ind w:left="2"/>
              <w:jc w:val="left"/>
              <w:rPr>
                <w:b/>
                <w:sz w:val="24"/>
              </w:rPr>
            </w:pPr>
            <w:r>
              <w:rPr>
                <w:b/>
                <w:color w:val="FFFFFF"/>
                <w:sz w:val="24"/>
              </w:rPr>
              <w:t>Additional</w:t>
            </w:r>
            <w:r>
              <w:rPr>
                <w:b/>
                <w:color w:val="FFFFFF"/>
                <w:spacing w:val="-14"/>
                <w:sz w:val="24"/>
              </w:rPr>
              <w:t xml:space="preserve"> </w:t>
            </w:r>
            <w:r>
              <w:rPr>
                <w:b/>
                <w:color w:val="FFFFFF"/>
                <w:sz w:val="24"/>
              </w:rPr>
              <w:t>sustainable</w:t>
            </w:r>
            <w:r>
              <w:rPr>
                <w:b/>
                <w:color w:val="FFFFFF"/>
                <w:spacing w:val="-14"/>
                <w:sz w:val="24"/>
              </w:rPr>
              <w:t xml:space="preserve"> </w:t>
            </w:r>
            <w:r>
              <w:rPr>
                <w:b/>
                <w:color w:val="FFFFFF"/>
                <w:sz w:val="24"/>
              </w:rPr>
              <w:t>and</w:t>
            </w:r>
            <w:r>
              <w:rPr>
                <w:b/>
                <w:color w:val="FFFFFF"/>
                <w:spacing w:val="-14"/>
                <w:sz w:val="24"/>
              </w:rPr>
              <w:t xml:space="preserve"> </w:t>
            </w:r>
            <w:r>
              <w:rPr>
                <w:b/>
                <w:color w:val="FFFFFF"/>
                <w:sz w:val="24"/>
              </w:rPr>
              <w:t>environmental considerations applied during the procurement process</w:t>
            </w:r>
          </w:p>
        </w:tc>
      </w:tr>
      <w:tr w:rsidR="00345EE3" w14:paraId="6FA5B6A8" w14:textId="77777777" w:rsidTr="00D73130">
        <w:trPr>
          <w:trHeight w:val="2413"/>
        </w:trPr>
        <w:tc>
          <w:tcPr>
            <w:tcW w:w="5102" w:type="dxa"/>
            <w:tcBorders>
              <w:bottom w:val="single" w:sz="2" w:space="0" w:color="939598"/>
              <w:right w:val="single" w:sz="2" w:space="0" w:color="939598"/>
            </w:tcBorders>
          </w:tcPr>
          <w:p w14:paraId="121A2AC9" w14:textId="77777777" w:rsidR="00345EE3" w:rsidRDefault="00345EE3" w:rsidP="00D73130">
            <w:pPr>
              <w:pStyle w:val="TableParagraph"/>
              <w:spacing w:line="242" w:lineRule="auto"/>
              <w:ind w:left="-3" w:right="97"/>
              <w:jc w:val="left"/>
              <w:rPr>
                <w:sz w:val="24"/>
              </w:rPr>
            </w:pPr>
            <w:r>
              <w:rPr>
                <w:color w:val="231F20"/>
                <w:sz w:val="24"/>
              </w:rPr>
              <w:t>Glass</w:t>
            </w:r>
            <w:r>
              <w:rPr>
                <w:color w:val="231F20"/>
                <w:spacing w:val="-12"/>
                <w:sz w:val="24"/>
              </w:rPr>
              <w:t xml:space="preserve"> </w:t>
            </w:r>
            <w:r>
              <w:rPr>
                <w:color w:val="231F20"/>
                <w:sz w:val="24"/>
              </w:rPr>
              <w:t>Refractive</w:t>
            </w:r>
            <w:r>
              <w:rPr>
                <w:color w:val="231F20"/>
                <w:spacing w:val="-13"/>
                <w:sz w:val="24"/>
              </w:rPr>
              <w:t xml:space="preserve"> </w:t>
            </w:r>
            <w:r>
              <w:rPr>
                <w:color w:val="231F20"/>
                <w:sz w:val="24"/>
              </w:rPr>
              <w:t>Index</w:t>
            </w:r>
            <w:r>
              <w:rPr>
                <w:color w:val="231F20"/>
                <w:spacing w:val="-12"/>
                <w:sz w:val="24"/>
              </w:rPr>
              <w:t xml:space="preserve"> </w:t>
            </w:r>
            <w:r>
              <w:rPr>
                <w:color w:val="231F20"/>
                <w:sz w:val="24"/>
              </w:rPr>
              <w:t xml:space="preserve">Measurement </w:t>
            </w:r>
            <w:r>
              <w:rPr>
                <w:color w:val="231F20"/>
                <w:spacing w:val="-2"/>
                <w:sz w:val="24"/>
              </w:rPr>
              <w:t>Instrument</w:t>
            </w:r>
          </w:p>
        </w:tc>
        <w:tc>
          <w:tcPr>
            <w:tcW w:w="5074" w:type="dxa"/>
            <w:tcBorders>
              <w:left w:val="single" w:sz="2" w:space="0" w:color="939598"/>
              <w:bottom w:val="single" w:sz="2" w:space="0" w:color="939598"/>
            </w:tcBorders>
          </w:tcPr>
          <w:p w14:paraId="10E82595" w14:textId="77777777" w:rsidR="00345EE3" w:rsidRDefault="00345EE3" w:rsidP="00D73130">
            <w:pPr>
              <w:pStyle w:val="TableParagraph"/>
              <w:spacing w:line="242" w:lineRule="auto"/>
              <w:jc w:val="left"/>
              <w:rPr>
                <w:sz w:val="24"/>
              </w:rPr>
            </w:pPr>
            <w:r>
              <w:rPr>
                <w:color w:val="231F20"/>
                <w:sz w:val="24"/>
              </w:rPr>
              <w:t>Updating equipment reduces the need for servicing/repairs</w:t>
            </w:r>
            <w:r>
              <w:rPr>
                <w:color w:val="231F20"/>
                <w:spacing w:val="-6"/>
                <w:sz w:val="24"/>
              </w:rPr>
              <w:t xml:space="preserve"> </w:t>
            </w:r>
            <w:r>
              <w:rPr>
                <w:color w:val="231F20"/>
                <w:sz w:val="24"/>
              </w:rPr>
              <w:t>which</w:t>
            </w:r>
            <w:r>
              <w:rPr>
                <w:color w:val="231F20"/>
                <w:spacing w:val="-7"/>
                <w:sz w:val="24"/>
              </w:rPr>
              <w:t xml:space="preserve"> </w:t>
            </w:r>
            <w:r>
              <w:rPr>
                <w:color w:val="231F20"/>
                <w:sz w:val="24"/>
              </w:rPr>
              <w:t>in</w:t>
            </w:r>
            <w:r>
              <w:rPr>
                <w:color w:val="231F20"/>
                <w:spacing w:val="-7"/>
                <w:sz w:val="24"/>
              </w:rPr>
              <w:t xml:space="preserve"> </w:t>
            </w:r>
            <w:r>
              <w:rPr>
                <w:color w:val="231F20"/>
                <w:sz w:val="24"/>
              </w:rPr>
              <w:t>turn</w:t>
            </w:r>
            <w:r>
              <w:rPr>
                <w:color w:val="231F20"/>
                <w:spacing w:val="-6"/>
                <w:sz w:val="24"/>
              </w:rPr>
              <w:t xml:space="preserve"> </w:t>
            </w:r>
            <w:r>
              <w:rPr>
                <w:color w:val="231F20"/>
                <w:sz w:val="24"/>
              </w:rPr>
              <w:t>reduces</w:t>
            </w:r>
            <w:r>
              <w:rPr>
                <w:color w:val="231F20"/>
                <w:spacing w:val="-6"/>
                <w:sz w:val="24"/>
              </w:rPr>
              <w:t xml:space="preserve"> </w:t>
            </w:r>
            <w:r>
              <w:rPr>
                <w:color w:val="231F20"/>
                <w:sz w:val="24"/>
              </w:rPr>
              <w:t>travel</w:t>
            </w:r>
            <w:r>
              <w:rPr>
                <w:color w:val="231F20"/>
                <w:spacing w:val="-6"/>
                <w:sz w:val="24"/>
              </w:rPr>
              <w:t xml:space="preserve"> </w:t>
            </w:r>
            <w:r>
              <w:rPr>
                <w:color w:val="231F20"/>
                <w:sz w:val="24"/>
              </w:rPr>
              <w:t>by service people, breakdowns and reduces the need to repeat analyses which in turn reduces power and other consumables.</w:t>
            </w:r>
          </w:p>
          <w:p w14:paraId="34F68053" w14:textId="77777777" w:rsidR="00345EE3" w:rsidRDefault="00345EE3" w:rsidP="00D73130">
            <w:pPr>
              <w:pStyle w:val="TableParagraph"/>
              <w:spacing w:before="64" w:line="242" w:lineRule="auto"/>
              <w:jc w:val="left"/>
              <w:rPr>
                <w:sz w:val="24"/>
              </w:rPr>
            </w:pPr>
            <w:r>
              <w:rPr>
                <w:color w:val="231F20"/>
                <w:sz w:val="24"/>
              </w:rPr>
              <w:t>Social responsibility policies that encompass environmental</w:t>
            </w:r>
            <w:r>
              <w:rPr>
                <w:color w:val="231F20"/>
                <w:spacing w:val="-10"/>
                <w:sz w:val="24"/>
              </w:rPr>
              <w:t xml:space="preserve"> </w:t>
            </w:r>
            <w:r>
              <w:rPr>
                <w:color w:val="231F20"/>
                <w:sz w:val="24"/>
              </w:rPr>
              <w:t>and</w:t>
            </w:r>
            <w:r>
              <w:rPr>
                <w:color w:val="231F20"/>
                <w:spacing w:val="-10"/>
                <w:sz w:val="24"/>
              </w:rPr>
              <w:t xml:space="preserve"> </w:t>
            </w:r>
            <w:r>
              <w:rPr>
                <w:color w:val="231F20"/>
                <w:sz w:val="24"/>
              </w:rPr>
              <w:t>supply</w:t>
            </w:r>
            <w:r>
              <w:rPr>
                <w:color w:val="231F20"/>
                <w:spacing w:val="-9"/>
                <w:sz w:val="24"/>
              </w:rPr>
              <w:t xml:space="preserve"> </w:t>
            </w:r>
            <w:r>
              <w:rPr>
                <w:color w:val="231F20"/>
                <w:sz w:val="24"/>
              </w:rPr>
              <w:t>chain</w:t>
            </w:r>
            <w:r>
              <w:rPr>
                <w:color w:val="231F20"/>
                <w:spacing w:val="-9"/>
                <w:sz w:val="24"/>
              </w:rPr>
              <w:t xml:space="preserve"> </w:t>
            </w:r>
            <w:r>
              <w:rPr>
                <w:color w:val="231F20"/>
                <w:sz w:val="24"/>
              </w:rPr>
              <w:t>considerations also sought.</w:t>
            </w:r>
          </w:p>
        </w:tc>
      </w:tr>
      <w:tr w:rsidR="00345EE3" w14:paraId="1BA9C940" w14:textId="77777777" w:rsidTr="00D73130">
        <w:trPr>
          <w:trHeight w:val="956"/>
        </w:trPr>
        <w:tc>
          <w:tcPr>
            <w:tcW w:w="5102" w:type="dxa"/>
            <w:tcBorders>
              <w:top w:val="single" w:sz="2" w:space="0" w:color="939598"/>
              <w:bottom w:val="single" w:sz="2" w:space="0" w:color="939598"/>
              <w:right w:val="single" w:sz="2" w:space="0" w:color="939598"/>
            </w:tcBorders>
          </w:tcPr>
          <w:p w14:paraId="435D4850" w14:textId="77777777" w:rsidR="00345EE3" w:rsidRDefault="00345EE3" w:rsidP="00D73130">
            <w:pPr>
              <w:pStyle w:val="TableParagraph"/>
              <w:spacing w:before="61"/>
              <w:ind w:left="-3"/>
              <w:jc w:val="left"/>
              <w:rPr>
                <w:sz w:val="24"/>
              </w:rPr>
            </w:pPr>
            <w:r>
              <w:rPr>
                <w:color w:val="231F20"/>
                <w:sz w:val="24"/>
              </w:rPr>
              <w:t xml:space="preserve">Microspectrophotometer </w:t>
            </w:r>
            <w:r>
              <w:rPr>
                <w:color w:val="231F20"/>
                <w:spacing w:val="-2"/>
                <w:sz w:val="24"/>
              </w:rPr>
              <w:t>Instrument</w:t>
            </w:r>
          </w:p>
        </w:tc>
        <w:tc>
          <w:tcPr>
            <w:tcW w:w="5074" w:type="dxa"/>
            <w:tcBorders>
              <w:top w:val="single" w:sz="2" w:space="0" w:color="939598"/>
              <w:left w:val="single" w:sz="2" w:space="0" w:color="939598"/>
              <w:bottom w:val="single" w:sz="2" w:space="0" w:color="939598"/>
            </w:tcBorders>
          </w:tcPr>
          <w:p w14:paraId="6CABF383" w14:textId="77777777" w:rsidR="00345EE3" w:rsidRDefault="00345EE3" w:rsidP="00D73130">
            <w:pPr>
              <w:pStyle w:val="TableParagraph"/>
              <w:spacing w:before="61" w:line="242" w:lineRule="auto"/>
              <w:jc w:val="left"/>
              <w:rPr>
                <w:sz w:val="24"/>
              </w:rPr>
            </w:pPr>
            <w:r>
              <w:rPr>
                <w:color w:val="231F20"/>
                <w:sz w:val="24"/>
              </w:rPr>
              <w:t>Sustainable</w:t>
            </w:r>
            <w:r>
              <w:rPr>
                <w:color w:val="231F20"/>
                <w:spacing w:val="-9"/>
                <w:sz w:val="24"/>
              </w:rPr>
              <w:t xml:space="preserve"> </w:t>
            </w:r>
            <w:r>
              <w:rPr>
                <w:color w:val="231F20"/>
                <w:sz w:val="24"/>
              </w:rPr>
              <w:t>procurement</w:t>
            </w:r>
            <w:r>
              <w:rPr>
                <w:color w:val="231F20"/>
                <w:spacing w:val="-10"/>
                <w:sz w:val="24"/>
              </w:rPr>
              <w:t xml:space="preserve"> </w:t>
            </w:r>
            <w:r>
              <w:rPr>
                <w:color w:val="231F20"/>
                <w:sz w:val="24"/>
              </w:rPr>
              <w:t>achieved</w:t>
            </w:r>
            <w:r>
              <w:rPr>
                <w:color w:val="231F20"/>
                <w:spacing w:val="-10"/>
                <w:sz w:val="24"/>
              </w:rPr>
              <w:t xml:space="preserve"> </w:t>
            </w:r>
            <w:r>
              <w:rPr>
                <w:color w:val="231F20"/>
                <w:sz w:val="24"/>
              </w:rPr>
              <w:t>by</w:t>
            </w:r>
            <w:r>
              <w:rPr>
                <w:color w:val="231F20"/>
                <w:spacing w:val="-10"/>
                <w:sz w:val="24"/>
              </w:rPr>
              <w:t xml:space="preserve"> </w:t>
            </w:r>
            <w:r>
              <w:rPr>
                <w:color w:val="231F20"/>
                <w:sz w:val="24"/>
              </w:rPr>
              <w:t>acquiring equipment requiring less repairs therefore minimising waste.</w:t>
            </w:r>
          </w:p>
        </w:tc>
      </w:tr>
      <w:tr w:rsidR="00345EE3" w14:paraId="71BB4DFB" w14:textId="77777777" w:rsidTr="00D73130">
        <w:trPr>
          <w:trHeight w:val="343"/>
        </w:trPr>
        <w:tc>
          <w:tcPr>
            <w:tcW w:w="5102" w:type="dxa"/>
            <w:tcBorders>
              <w:top w:val="single" w:sz="2" w:space="0" w:color="939598"/>
              <w:right w:val="single" w:sz="2" w:space="0" w:color="939598"/>
            </w:tcBorders>
          </w:tcPr>
          <w:p w14:paraId="5B9A5C03" w14:textId="77777777" w:rsidR="00345EE3" w:rsidRDefault="00345EE3" w:rsidP="00D73130">
            <w:pPr>
              <w:pStyle w:val="TableParagraph"/>
              <w:spacing w:before="61" w:line="262" w:lineRule="exact"/>
              <w:ind w:left="-3"/>
              <w:jc w:val="left"/>
              <w:rPr>
                <w:sz w:val="24"/>
              </w:rPr>
            </w:pPr>
            <w:r>
              <w:rPr>
                <w:color w:val="231F20"/>
                <w:sz w:val="24"/>
              </w:rPr>
              <w:t>Conference</w:t>
            </w:r>
            <w:r>
              <w:rPr>
                <w:color w:val="231F20"/>
                <w:spacing w:val="-6"/>
                <w:sz w:val="24"/>
              </w:rPr>
              <w:t xml:space="preserve"> </w:t>
            </w:r>
            <w:r>
              <w:rPr>
                <w:color w:val="231F20"/>
                <w:sz w:val="24"/>
              </w:rPr>
              <w:t>Management</w:t>
            </w:r>
            <w:r>
              <w:rPr>
                <w:color w:val="231F20"/>
                <w:spacing w:val="-2"/>
                <w:sz w:val="24"/>
              </w:rPr>
              <w:t xml:space="preserve"> </w:t>
            </w:r>
            <w:r>
              <w:rPr>
                <w:color w:val="231F20"/>
                <w:sz w:val="24"/>
              </w:rPr>
              <w:t>support</w:t>
            </w:r>
            <w:r>
              <w:rPr>
                <w:color w:val="231F20"/>
                <w:spacing w:val="-2"/>
                <w:sz w:val="24"/>
              </w:rPr>
              <w:t xml:space="preserve"> </w:t>
            </w:r>
            <w:r>
              <w:rPr>
                <w:color w:val="231F20"/>
                <w:sz w:val="24"/>
              </w:rPr>
              <w:t>for</w:t>
            </w:r>
            <w:r>
              <w:rPr>
                <w:color w:val="231F20"/>
                <w:spacing w:val="-2"/>
                <w:sz w:val="24"/>
              </w:rPr>
              <w:t xml:space="preserve"> </w:t>
            </w:r>
            <w:r>
              <w:rPr>
                <w:color w:val="231F20"/>
                <w:spacing w:val="-5"/>
                <w:sz w:val="24"/>
              </w:rPr>
              <w:t>the</w:t>
            </w:r>
          </w:p>
        </w:tc>
        <w:tc>
          <w:tcPr>
            <w:tcW w:w="5074" w:type="dxa"/>
            <w:tcBorders>
              <w:top w:val="single" w:sz="2" w:space="0" w:color="939598"/>
              <w:left w:val="single" w:sz="2" w:space="0" w:color="939598"/>
            </w:tcBorders>
          </w:tcPr>
          <w:p w14:paraId="4BC8CF08" w14:textId="77777777" w:rsidR="00345EE3" w:rsidRDefault="00345EE3" w:rsidP="00D73130">
            <w:pPr>
              <w:pStyle w:val="TableParagraph"/>
              <w:spacing w:before="61" w:line="262" w:lineRule="exact"/>
              <w:jc w:val="left"/>
              <w:rPr>
                <w:sz w:val="24"/>
              </w:rPr>
            </w:pPr>
            <w:r>
              <w:rPr>
                <w:color w:val="231F20"/>
                <w:sz w:val="24"/>
              </w:rPr>
              <w:t>Sourcing a</w:t>
            </w:r>
            <w:r>
              <w:rPr>
                <w:color w:val="231F20"/>
                <w:spacing w:val="-1"/>
                <w:sz w:val="24"/>
              </w:rPr>
              <w:t xml:space="preserve"> </w:t>
            </w:r>
            <w:r>
              <w:rPr>
                <w:color w:val="231F20"/>
                <w:sz w:val="24"/>
              </w:rPr>
              <w:t xml:space="preserve">conference management </w:t>
            </w:r>
            <w:r>
              <w:rPr>
                <w:color w:val="231F20"/>
                <w:spacing w:val="-2"/>
                <w:sz w:val="24"/>
              </w:rPr>
              <w:t>company</w:t>
            </w:r>
          </w:p>
        </w:tc>
      </w:tr>
      <w:tr w:rsidR="00345EE3" w14:paraId="49B338DB" w14:textId="77777777" w:rsidTr="00D73130">
        <w:trPr>
          <w:trHeight w:val="280"/>
        </w:trPr>
        <w:tc>
          <w:tcPr>
            <w:tcW w:w="5102" w:type="dxa"/>
            <w:tcBorders>
              <w:right w:val="single" w:sz="2" w:space="0" w:color="939598"/>
            </w:tcBorders>
          </w:tcPr>
          <w:p w14:paraId="39AB7B7D" w14:textId="77777777" w:rsidR="00345EE3" w:rsidRDefault="00345EE3" w:rsidP="00D73130">
            <w:pPr>
              <w:pStyle w:val="TableParagraph"/>
              <w:spacing w:before="0" w:line="260" w:lineRule="exact"/>
              <w:ind w:left="-3"/>
              <w:jc w:val="left"/>
              <w:rPr>
                <w:sz w:val="24"/>
              </w:rPr>
            </w:pPr>
            <w:r>
              <w:rPr>
                <w:color w:val="231F20"/>
                <w:sz w:val="24"/>
              </w:rPr>
              <w:t>Australia</w:t>
            </w:r>
            <w:r>
              <w:rPr>
                <w:color w:val="231F20"/>
                <w:spacing w:val="-1"/>
                <w:sz w:val="24"/>
              </w:rPr>
              <w:t xml:space="preserve"> </w:t>
            </w:r>
            <w:r>
              <w:rPr>
                <w:color w:val="231F20"/>
                <w:sz w:val="24"/>
              </w:rPr>
              <w:t>New</w:t>
            </w:r>
            <w:r>
              <w:rPr>
                <w:color w:val="231F20"/>
                <w:spacing w:val="-2"/>
                <w:sz w:val="24"/>
              </w:rPr>
              <w:t xml:space="preserve"> </w:t>
            </w:r>
            <w:r>
              <w:rPr>
                <w:color w:val="231F20"/>
                <w:sz w:val="24"/>
              </w:rPr>
              <w:t>Zealand Policing</w:t>
            </w:r>
            <w:r>
              <w:rPr>
                <w:color w:val="231F20"/>
                <w:spacing w:val="-13"/>
                <w:sz w:val="24"/>
              </w:rPr>
              <w:t xml:space="preserve"> </w:t>
            </w:r>
            <w:r>
              <w:rPr>
                <w:color w:val="231F20"/>
                <w:spacing w:val="-2"/>
                <w:sz w:val="24"/>
              </w:rPr>
              <w:t>Advisory</w:t>
            </w:r>
          </w:p>
        </w:tc>
        <w:tc>
          <w:tcPr>
            <w:tcW w:w="5074" w:type="dxa"/>
            <w:tcBorders>
              <w:left w:val="single" w:sz="2" w:space="0" w:color="939598"/>
            </w:tcBorders>
          </w:tcPr>
          <w:p w14:paraId="02AD3412" w14:textId="77777777" w:rsidR="00345EE3" w:rsidRDefault="00345EE3" w:rsidP="00D73130">
            <w:pPr>
              <w:pStyle w:val="TableParagraph"/>
              <w:spacing w:before="0" w:line="260" w:lineRule="exact"/>
              <w:jc w:val="left"/>
              <w:rPr>
                <w:sz w:val="24"/>
              </w:rPr>
            </w:pPr>
            <w:r>
              <w:rPr>
                <w:color w:val="231F20"/>
                <w:sz w:val="24"/>
              </w:rPr>
              <w:t>that</w:t>
            </w:r>
            <w:r>
              <w:rPr>
                <w:color w:val="231F20"/>
                <w:spacing w:val="-4"/>
                <w:sz w:val="24"/>
              </w:rPr>
              <w:t xml:space="preserve"> </w:t>
            </w:r>
            <w:r>
              <w:rPr>
                <w:color w:val="231F20"/>
                <w:sz w:val="24"/>
              </w:rPr>
              <w:t>supports</w:t>
            </w:r>
            <w:r>
              <w:rPr>
                <w:color w:val="231F20"/>
                <w:spacing w:val="-2"/>
                <w:sz w:val="24"/>
              </w:rPr>
              <w:t xml:space="preserve"> </w:t>
            </w:r>
            <w:r>
              <w:rPr>
                <w:color w:val="231F20"/>
                <w:sz w:val="24"/>
              </w:rPr>
              <w:t>the</w:t>
            </w:r>
            <w:r>
              <w:rPr>
                <w:color w:val="231F20"/>
                <w:spacing w:val="-2"/>
                <w:sz w:val="24"/>
              </w:rPr>
              <w:t xml:space="preserve"> </w:t>
            </w:r>
            <w:r>
              <w:rPr>
                <w:color w:val="231F20"/>
                <w:sz w:val="24"/>
              </w:rPr>
              <w:t>sustainability</w:t>
            </w:r>
            <w:r>
              <w:rPr>
                <w:color w:val="231F20"/>
                <w:spacing w:val="-2"/>
                <w:sz w:val="24"/>
              </w:rPr>
              <w:t xml:space="preserve"> </w:t>
            </w:r>
            <w:r>
              <w:rPr>
                <w:color w:val="231F20"/>
                <w:sz w:val="24"/>
              </w:rPr>
              <w:t>initiatives</w:t>
            </w:r>
            <w:r>
              <w:rPr>
                <w:color w:val="231F20"/>
                <w:spacing w:val="-3"/>
                <w:sz w:val="24"/>
              </w:rPr>
              <w:t xml:space="preserve"> </w:t>
            </w:r>
            <w:r>
              <w:rPr>
                <w:color w:val="231F20"/>
                <w:sz w:val="24"/>
              </w:rPr>
              <w:t>of</w:t>
            </w:r>
            <w:r>
              <w:rPr>
                <w:color w:val="231F20"/>
                <w:spacing w:val="-2"/>
                <w:sz w:val="24"/>
              </w:rPr>
              <w:t xml:space="preserve"> </w:t>
            </w:r>
            <w:r>
              <w:rPr>
                <w:color w:val="231F20"/>
                <w:spacing w:val="-5"/>
                <w:sz w:val="24"/>
              </w:rPr>
              <w:t>the</w:t>
            </w:r>
          </w:p>
        </w:tc>
      </w:tr>
      <w:tr w:rsidR="00345EE3" w14:paraId="618E8CC4" w14:textId="77777777" w:rsidTr="00D73130">
        <w:trPr>
          <w:trHeight w:val="1229"/>
        </w:trPr>
        <w:tc>
          <w:tcPr>
            <w:tcW w:w="5102" w:type="dxa"/>
            <w:tcBorders>
              <w:bottom w:val="single" w:sz="2" w:space="0" w:color="939598"/>
              <w:right w:val="single" w:sz="2" w:space="0" w:color="939598"/>
            </w:tcBorders>
          </w:tcPr>
          <w:p w14:paraId="7B990ABD" w14:textId="77777777" w:rsidR="00345EE3" w:rsidRDefault="00345EE3" w:rsidP="00D73130">
            <w:pPr>
              <w:pStyle w:val="TableParagraph"/>
              <w:spacing w:before="0" w:line="274" w:lineRule="exact"/>
              <w:ind w:left="-3"/>
              <w:jc w:val="left"/>
              <w:rPr>
                <w:sz w:val="24"/>
              </w:rPr>
            </w:pPr>
            <w:r>
              <w:rPr>
                <w:color w:val="231F20"/>
                <w:sz w:val="24"/>
              </w:rPr>
              <w:t>Agency</w:t>
            </w:r>
            <w:r>
              <w:rPr>
                <w:color w:val="231F20"/>
                <w:spacing w:val="-9"/>
                <w:sz w:val="24"/>
              </w:rPr>
              <w:t xml:space="preserve"> </w:t>
            </w:r>
            <w:r>
              <w:rPr>
                <w:color w:val="231F20"/>
                <w:sz w:val="24"/>
              </w:rPr>
              <w:t>(ANZPAA)</w:t>
            </w:r>
            <w:r>
              <w:rPr>
                <w:color w:val="231F20"/>
                <w:spacing w:val="-7"/>
                <w:sz w:val="24"/>
              </w:rPr>
              <w:t xml:space="preserve"> </w:t>
            </w:r>
            <w:r>
              <w:rPr>
                <w:color w:val="231F20"/>
                <w:sz w:val="24"/>
              </w:rPr>
              <w:t>Police</w:t>
            </w:r>
            <w:r>
              <w:rPr>
                <w:color w:val="231F20"/>
                <w:spacing w:val="-7"/>
                <w:sz w:val="24"/>
              </w:rPr>
              <w:t xml:space="preserve"> </w:t>
            </w:r>
            <w:r>
              <w:rPr>
                <w:color w:val="231F20"/>
                <w:sz w:val="24"/>
              </w:rPr>
              <w:t>Conference</w:t>
            </w:r>
            <w:r>
              <w:rPr>
                <w:color w:val="231F20"/>
                <w:spacing w:val="-7"/>
                <w:sz w:val="24"/>
              </w:rPr>
              <w:t xml:space="preserve"> </w:t>
            </w:r>
            <w:r>
              <w:rPr>
                <w:color w:val="231F20"/>
                <w:spacing w:val="-4"/>
                <w:sz w:val="24"/>
              </w:rPr>
              <w:t>2022</w:t>
            </w:r>
          </w:p>
        </w:tc>
        <w:tc>
          <w:tcPr>
            <w:tcW w:w="5074" w:type="dxa"/>
            <w:tcBorders>
              <w:left w:val="single" w:sz="2" w:space="0" w:color="939598"/>
              <w:bottom w:val="single" w:sz="2" w:space="0" w:color="939598"/>
            </w:tcBorders>
          </w:tcPr>
          <w:p w14:paraId="393DFC0E" w14:textId="77777777" w:rsidR="00345EE3" w:rsidRDefault="00345EE3" w:rsidP="00D73130">
            <w:pPr>
              <w:pStyle w:val="TableParagraph"/>
              <w:spacing w:before="0" w:line="274" w:lineRule="exact"/>
              <w:jc w:val="left"/>
              <w:rPr>
                <w:sz w:val="24"/>
              </w:rPr>
            </w:pPr>
            <w:r>
              <w:rPr>
                <w:color w:val="231F20"/>
                <w:sz w:val="24"/>
              </w:rPr>
              <w:t>Sustainable Events</w:t>
            </w:r>
            <w:r>
              <w:rPr>
                <w:color w:val="231F20"/>
                <w:spacing w:val="-14"/>
                <w:sz w:val="24"/>
              </w:rPr>
              <w:t xml:space="preserve"> </w:t>
            </w:r>
            <w:r>
              <w:rPr>
                <w:color w:val="231F20"/>
                <w:spacing w:val="-2"/>
                <w:sz w:val="24"/>
              </w:rPr>
              <w:t>Alliance.</w:t>
            </w:r>
          </w:p>
          <w:p w14:paraId="19FB879F" w14:textId="77777777" w:rsidR="00345EE3" w:rsidRDefault="00345EE3" w:rsidP="00D73130">
            <w:pPr>
              <w:pStyle w:val="TableParagraph"/>
              <w:spacing w:line="242" w:lineRule="auto"/>
              <w:ind w:right="675"/>
              <w:jc w:val="left"/>
              <w:rPr>
                <w:sz w:val="24"/>
              </w:rPr>
            </w:pPr>
            <w:r>
              <w:rPr>
                <w:color w:val="231F20"/>
                <w:sz w:val="24"/>
              </w:rPr>
              <w:t>Considerations included energy and water</w:t>
            </w:r>
            <w:r>
              <w:rPr>
                <w:color w:val="231F20"/>
                <w:spacing w:val="-10"/>
                <w:sz w:val="24"/>
              </w:rPr>
              <w:t xml:space="preserve"> </w:t>
            </w:r>
            <w:r>
              <w:rPr>
                <w:color w:val="231F20"/>
                <w:sz w:val="24"/>
              </w:rPr>
              <w:t>conservation,</w:t>
            </w:r>
            <w:r>
              <w:rPr>
                <w:color w:val="231F20"/>
                <w:spacing w:val="-9"/>
                <w:sz w:val="24"/>
              </w:rPr>
              <w:t xml:space="preserve"> </w:t>
            </w:r>
            <w:r>
              <w:rPr>
                <w:color w:val="231F20"/>
                <w:sz w:val="24"/>
              </w:rPr>
              <w:t>recycling,</w:t>
            </w:r>
            <w:r>
              <w:rPr>
                <w:color w:val="231F20"/>
                <w:spacing w:val="-9"/>
                <w:sz w:val="24"/>
              </w:rPr>
              <w:t xml:space="preserve"> </w:t>
            </w:r>
            <w:r>
              <w:rPr>
                <w:color w:val="231F20"/>
                <w:sz w:val="24"/>
              </w:rPr>
              <w:t>and</w:t>
            </w:r>
            <w:r>
              <w:rPr>
                <w:color w:val="231F20"/>
                <w:spacing w:val="-10"/>
                <w:sz w:val="24"/>
              </w:rPr>
              <w:t xml:space="preserve"> </w:t>
            </w:r>
            <w:r>
              <w:rPr>
                <w:color w:val="231F20"/>
                <w:sz w:val="24"/>
              </w:rPr>
              <w:t>waste management at the conference.</w:t>
            </w:r>
          </w:p>
        </w:tc>
      </w:tr>
      <w:tr w:rsidR="00345EE3" w14:paraId="13B9DFFE" w14:textId="77777777" w:rsidTr="00D73130">
        <w:trPr>
          <w:trHeight w:val="343"/>
        </w:trPr>
        <w:tc>
          <w:tcPr>
            <w:tcW w:w="5102" w:type="dxa"/>
            <w:tcBorders>
              <w:top w:val="single" w:sz="2" w:space="0" w:color="939598"/>
              <w:right w:val="single" w:sz="2" w:space="0" w:color="939598"/>
            </w:tcBorders>
          </w:tcPr>
          <w:p w14:paraId="34BB2946" w14:textId="77777777" w:rsidR="00345EE3" w:rsidRDefault="00345EE3" w:rsidP="00D73130">
            <w:pPr>
              <w:pStyle w:val="TableParagraph"/>
              <w:spacing w:before="62" w:line="262" w:lineRule="exact"/>
              <w:ind w:left="-3"/>
              <w:jc w:val="left"/>
              <w:rPr>
                <w:sz w:val="24"/>
              </w:rPr>
            </w:pPr>
            <w:r>
              <w:rPr>
                <w:color w:val="231F20"/>
                <w:sz w:val="24"/>
              </w:rPr>
              <w:t>Oleoresin</w:t>
            </w:r>
            <w:r>
              <w:rPr>
                <w:color w:val="231F20"/>
                <w:spacing w:val="-2"/>
                <w:sz w:val="24"/>
              </w:rPr>
              <w:t xml:space="preserve"> </w:t>
            </w:r>
            <w:r>
              <w:rPr>
                <w:color w:val="231F20"/>
                <w:sz w:val="24"/>
              </w:rPr>
              <w:t>Capsicum</w:t>
            </w:r>
            <w:r>
              <w:rPr>
                <w:color w:val="231F20"/>
                <w:spacing w:val="-3"/>
                <w:sz w:val="24"/>
              </w:rPr>
              <w:t xml:space="preserve"> </w:t>
            </w:r>
            <w:r>
              <w:rPr>
                <w:color w:val="231F20"/>
                <w:sz w:val="24"/>
              </w:rPr>
              <w:t>(OC)</w:t>
            </w:r>
            <w:r>
              <w:rPr>
                <w:color w:val="231F20"/>
                <w:spacing w:val="-2"/>
                <w:sz w:val="24"/>
              </w:rPr>
              <w:t xml:space="preserve"> </w:t>
            </w:r>
            <w:r>
              <w:rPr>
                <w:color w:val="231F20"/>
                <w:sz w:val="24"/>
              </w:rPr>
              <w:t>Operational</w:t>
            </w:r>
            <w:r>
              <w:rPr>
                <w:color w:val="231F20"/>
                <w:spacing w:val="-1"/>
                <w:sz w:val="24"/>
              </w:rPr>
              <w:t xml:space="preserve"> </w:t>
            </w:r>
            <w:r>
              <w:rPr>
                <w:color w:val="231F20"/>
                <w:spacing w:val="-5"/>
                <w:sz w:val="24"/>
              </w:rPr>
              <w:t>and</w:t>
            </w:r>
          </w:p>
        </w:tc>
        <w:tc>
          <w:tcPr>
            <w:tcW w:w="5074" w:type="dxa"/>
            <w:tcBorders>
              <w:top w:val="single" w:sz="2" w:space="0" w:color="939598"/>
              <w:left w:val="single" w:sz="2" w:space="0" w:color="939598"/>
            </w:tcBorders>
          </w:tcPr>
          <w:p w14:paraId="0B2B35C1" w14:textId="77777777" w:rsidR="00345EE3" w:rsidRDefault="00345EE3" w:rsidP="00D73130">
            <w:pPr>
              <w:pStyle w:val="TableParagraph"/>
              <w:spacing w:before="62" w:line="262" w:lineRule="exact"/>
              <w:jc w:val="left"/>
              <w:rPr>
                <w:sz w:val="24"/>
              </w:rPr>
            </w:pPr>
            <w:r>
              <w:rPr>
                <w:color w:val="231F20"/>
                <w:sz w:val="24"/>
              </w:rPr>
              <w:t>Comply</w:t>
            </w:r>
            <w:r>
              <w:rPr>
                <w:color w:val="231F20"/>
                <w:spacing w:val="-7"/>
                <w:sz w:val="24"/>
              </w:rPr>
              <w:t xml:space="preserve"> </w:t>
            </w:r>
            <w:r>
              <w:rPr>
                <w:color w:val="231F20"/>
                <w:sz w:val="24"/>
              </w:rPr>
              <w:t>with</w:t>
            </w:r>
            <w:r>
              <w:rPr>
                <w:color w:val="231F20"/>
                <w:spacing w:val="-5"/>
                <w:sz w:val="24"/>
              </w:rPr>
              <w:t xml:space="preserve"> </w:t>
            </w:r>
            <w:r>
              <w:rPr>
                <w:color w:val="231F20"/>
                <w:sz w:val="24"/>
              </w:rPr>
              <w:t>relevant</w:t>
            </w:r>
            <w:r>
              <w:rPr>
                <w:color w:val="231F20"/>
                <w:spacing w:val="-5"/>
                <w:sz w:val="24"/>
              </w:rPr>
              <w:t xml:space="preserve"> </w:t>
            </w:r>
            <w:r>
              <w:rPr>
                <w:color w:val="231F20"/>
                <w:sz w:val="24"/>
              </w:rPr>
              <w:t>Regulations</w:t>
            </w:r>
            <w:r>
              <w:rPr>
                <w:color w:val="231F20"/>
                <w:spacing w:val="-5"/>
                <w:sz w:val="24"/>
              </w:rPr>
              <w:t xml:space="preserve"> </w:t>
            </w:r>
            <w:r>
              <w:rPr>
                <w:color w:val="231F20"/>
                <w:sz w:val="24"/>
              </w:rPr>
              <w:t>and</w:t>
            </w:r>
            <w:r>
              <w:rPr>
                <w:color w:val="231F20"/>
                <w:spacing w:val="-4"/>
                <w:sz w:val="24"/>
              </w:rPr>
              <w:t xml:space="preserve"> </w:t>
            </w:r>
            <w:r>
              <w:rPr>
                <w:color w:val="231F20"/>
                <w:spacing w:val="-2"/>
                <w:sz w:val="24"/>
              </w:rPr>
              <w:t>Codes</w:t>
            </w:r>
          </w:p>
        </w:tc>
      </w:tr>
      <w:tr w:rsidR="00345EE3" w14:paraId="55CAB006" w14:textId="77777777" w:rsidTr="00D73130">
        <w:trPr>
          <w:trHeight w:val="3692"/>
        </w:trPr>
        <w:tc>
          <w:tcPr>
            <w:tcW w:w="5102" w:type="dxa"/>
            <w:tcBorders>
              <w:bottom w:val="single" w:sz="2" w:space="0" w:color="939598"/>
              <w:right w:val="single" w:sz="2" w:space="0" w:color="939598"/>
            </w:tcBorders>
          </w:tcPr>
          <w:p w14:paraId="5CD2D38F" w14:textId="77777777" w:rsidR="00345EE3" w:rsidRDefault="00345EE3" w:rsidP="00D73130">
            <w:pPr>
              <w:pStyle w:val="TableParagraph"/>
              <w:spacing w:before="0" w:line="274" w:lineRule="exact"/>
              <w:ind w:left="-3"/>
              <w:jc w:val="left"/>
              <w:rPr>
                <w:sz w:val="24"/>
              </w:rPr>
            </w:pPr>
            <w:r>
              <w:rPr>
                <w:color w:val="231F20"/>
                <w:sz w:val="24"/>
              </w:rPr>
              <w:t>Training</w:t>
            </w:r>
            <w:r>
              <w:rPr>
                <w:color w:val="231F20"/>
                <w:spacing w:val="-6"/>
                <w:sz w:val="24"/>
              </w:rPr>
              <w:t xml:space="preserve"> </w:t>
            </w:r>
            <w:r>
              <w:rPr>
                <w:color w:val="231F20"/>
                <w:sz w:val="24"/>
              </w:rPr>
              <w:t>Canisters</w:t>
            </w:r>
            <w:r>
              <w:rPr>
                <w:color w:val="231F20"/>
                <w:spacing w:val="-7"/>
                <w:sz w:val="24"/>
              </w:rPr>
              <w:t xml:space="preserve"> </w:t>
            </w:r>
            <w:r>
              <w:rPr>
                <w:color w:val="231F20"/>
                <w:sz w:val="24"/>
              </w:rPr>
              <w:t>(interim</w:t>
            </w:r>
            <w:r>
              <w:rPr>
                <w:color w:val="231F20"/>
                <w:spacing w:val="-5"/>
                <w:sz w:val="24"/>
              </w:rPr>
              <w:t xml:space="preserve"> </w:t>
            </w:r>
            <w:r>
              <w:rPr>
                <w:color w:val="231F20"/>
                <w:spacing w:val="-2"/>
                <w:sz w:val="24"/>
              </w:rPr>
              <w:t>solution)</w:t>
            </w:r>
          </w:p>
        </w:tc>
        <w:tc>
          <w:tcPr>
            <w:tcW w:w="5074" w:type="dxa"/>
            <w:tcBorders>
              <w:left w:val="single" w:sz="2" w:space="0" w:color="939598"/>
              <w:bottom w:val="single" w:sz="2" w:space="0" w:color="939598"/>
            </w:tcBorders>
          </w:tcPr>
          <w:p w14:paraId="1F0B0F4F" w14:textId="77777777" w:rsidR="00345EE3" w:rsidRDefault="00345EE3" w:rsidP="00D73130">
            <w:pPr>
              <w:pStyle w:val="TableParagraph"/>
              <w:spacing w:before="0" w:line="242" w:lineRule="auto"/>
              <w:ind w:right="246"/>
              <w:jc w:val="left"/>
              <w:rPr>
                <w:sz w:val="24"/>
              </w:rPr>
            </w:pPr>
            <w:r>
              <w:rPr>
                <w:color w:val="231F20"/>
                <w:sz w:val="24"/>
              </w:rPr>
              <w:t>of Practice of State and Federal departments – importation, handling storage etc. sought. Validation of compliance with the Ozone Protection and Synthetic Greenhouse Gas Management Regulations 1995. Handling and</w:t>
            </w:r>
            <w:r>
              <w:rPr>
                <w:color w:val="231F20"/>
                <w:spacing w:val="-8"/>
                <w:sz w:val="24"/>
              </w:rPr>
              <w:t xml:space="preserve"> </w:t>
            </w:r>
            <w:r>
              <w:rPr>
                <w:color w:val="231F20"/>
                <w:sz w:val="24"/>
              </w:rPr>
              <w:t>importation</w:t>
            </w:r>
            <w:r>
              <w:rPr>
                <w:color w:val="231F20"/>
                <w:spacing w:val="-8"/>
                <w:sz w:val="24"/>
              </w:rPr>
              <w:t xml:space="preserve"> </w:t>
            </w:r>
            <w:r>
              <w:rPr>
                <w:color w:val="231F20"/>
                <w:sz w:val="24"/>
              </w:rPr>
              <w:t>to</w:t>
            </w:r>
            <w:r>
              <w:rPr>
                <w:color w:val="231F20"/>
                <w:spacing w:val="-7"/>
                <w:sz w:val="24"/>
              </w:rPr>
              <w:t xml:space="preserve"> </w:t>
            </w:r>
            <w:r>
              <w:rPr>
                <w:color w:val="231F20"/>
                <w:sz w:val="24"/>
              </w:rPr>
              <w:t>comply</w:t>
            </w:r>
            <w:r>
              <w:rPr>
                <w:color w:val="231F20"/>
                <w:spacing w:val="-7"/>
                <w:sz w:val="24"/>
              </w:rPr>
              <w:t xml:space="preserve"> </w:t>
            </w:r>
            <w:r>
              <w:rPr>
                <w:color w:val="231F20"/>
                <w:sz w:val="24"/>
              </w:rPr>
              <w:t>with</w:t>
            </w:r>
            <w:r>
              <w:rPr>
                <w:color w:val="231F20"/>
                <w:spacing w:val="-8"/>
                <w:sz w:val="24"/>
              </w:rPr>
              <w:t xml:space="preserve"> </w:t>
            </w:r>
            <w:r>
              <w:rPr>
                <w:color w:val="231F20"/>
                <w:sz w:val="24"/>
              </w:rPr>
              <w:t>Victoria</w:t>
            </w:r>
            <w:r>
              <w:rPr>
                <w:color w:val="231F20"/>
                <w:spacing w:val="-8"/>
                <w:sz w:val="24"/>
              </w:rPr>
              <w:t xml:space="preserve"> </w:t>
            </w:r>
            <w:r>
              <w:rPr>
                <w:color w:val="231F20"/>
                <w:sz w:val="24"/>
              </w:rPr>
              <w:t>Police licence</w:t>
            </w:r>
            <w:r>
              <w:rPr>
                <w:color w:val="231F20"/>
                <w:spacing w:val="-4"/>
                <w:sz w:val="24"/>
              </w:rPr>
              <w:t xml:space="preserve"> </w:t>
            </w:r>
            <w:r>
              <w:rPr>
                <w:color w:val="231F20"/>
                <w:sz w:val="24"/>
              </w:rPr>
              <w:t>to</w:t>
            </w:r>
            <w:r>
              <w:rPr>
                <w:color w:val="231F20"/>
                <w:spacing w:val="-3"/>
                <w:sz w:val="24"/>
              </w:rPr>
              <w:t xml:space="preserve"> </w:t>
            </w:r>
            <w:r>
              <w:rPr>
                <w:color w:val="231F20"/>
                <w:sz w:val="24"/>
              </w:rPr>
              <w:t>import</w:t>
            </w:r>
            <w:r>
              <w:rPr>
                <w:color w:val="231F20"/>
                <w:spacing w:val="-4"/>
                <w:sz w:val="24"/>
              </w:rPr>
              <w:t xml:space="preserve"> </w:t>
            </w:r>
            <w:r>
              <w:rPr>
                <w:color w:val="231F20"/>
                <w:sz w:val="24"/>
              </w:rPr>
              <w:t>Ozone</w:t>
            </w:r>
            <w:r>
              <w:rPr>
                <w:color w:val="231F20"/>
                <w:spacing w:val="-3"/>
                <w:sz w:val="24"/>
              </w:rPr>
              <w:t xml:space="preserve"> </w:t>
            </w:r>
            <w:r>
              <w:rPr>
                <w:color w:val="231F20"/>
                <w:sz w:val="24"/>
              </w:rPr>
              <w:t>Depleting</w:t>
            </w:r>
            <w:r>
              <w:rPr>
                <w:color w:val="231F20"/>
                <w:spacing w:val="-4"/>
                <w:sz w:val="24"/>
              </w:rPr>
              <w:t xml:space="preserve"> </w:t>
            </w:r>
            <w:r>
              <w:rPr>
                <w:color w:val="231F20"/>
                <w:sz w:val="24"/>
              </w:rPr>
              <w:t>Substance and Synthetic Greenhouse Gas. Process</w:t>
            </w:r>
          </w:p>
          <w:p w14:paraId="065714EE" w14:textId="77777777" w:rsidR="00345EE3" w:rsidRDefault="00345EE3" w:rsidP="00D73130">
            <w:pPr>
              <w:pStyle w:val="TableParagraph"/>
              <w:spacing w:before="9" w:line="242" w:lineRule="auto"/>
              <w:jc w:val="left"/>
              <w:rPr>
                <w:sz w:val="24"/>
              </w:rPr>
            </w:pPr>
            <w:r>
              <w:rPr>
                <w:color w:val="231F20"/>
                <w:sz w:val="24"/>
              </w:rPr>
              <w:t>established</w:t>
            </w:r>
            <w:r>
              <w:rPr>
                <w:color w:val="231F20"/>
                <w:spacing w:val="-17"/>
                <w:sz w:val="24"/>
              </w:rPr>
              <w:t xml:space="preserve"> </w:t>
            </w:r>
            <w:r>
              <w:rPr>
                <w:color w:val="231F20"/>
                <w:sz w:val="24"/>
              </w:rPr>
              <w:t>for</w:t>
            </w:r>
            <w:r>
              <w:rPr>
                <w:color w:val="231F20"/>
                <w:spacing w:val="-14"/>
                <w:sz w:val="24"/>
              </w:rPr>
              <w:t xml:space="preserve"> </w:t>
            </w:r>
            <w:r>
              <w:rPr>
                <w:color w:val="231F20"/>
                <w:sz w:val="24"/>
              </w:rPr>
              <w:t>proper</w:t>
            </w:r>
            <w:r>
              <w:rPr>
                <w:color w:val="231F20"/>
                <w:spacing w:val="-14"/>
                <w:sz w:val="24"/>
              </w:rPr>
              <w:t xml:space="preserve"> </w:t>
            </w:r>
            <w:r>
              <w:rPr>
                <w:color w:val="231F20"/>
                <w:sz w:val="24"/>
              </w:rPr>
              <w:t>disposal</w:t>
            </w:r>
            <w:r>
              <w:rPr>
                <w:color w:val="231F20"/>
                <w:spacing w:val="-14"/>
                <w:sz w:val="24"/>
              </w:rPr>
              <w:t xml:space="preserve"> </w:t>
            </w:r>
            <w:r>
              <w:rPr>
                <w:color w:val="231F20"/>
                <w:sz w:val="24"/>
              </w:rPr>
              <w:t>of</w:t>
            </w:r>
            <w:r>
              <w:rPr>
                <w:color w:val="231F20"/>
                <w:spacing w:val="-14"/>
                <w:sz w:val="24"/>
              </w:rPr>
              <w:t xml:space="preserve"> </w:t>
            </w:r>
            <w:r>
              <w:rPr>
                <w:color w:val="231F20"/>
                <w:sz w:val="24"/>
              </w:rPr>
              <w:t>OC</w:t>
            </w:r>
            <w:r>
              <w:rPr>
                <w:color w:val="231F20"/>
                <w:spacing w:val="-17"/>
                <w:sz w:val="24"/>
              </w:rPr>
              <w:t xml:space="preserve"> </w:t>
            </w:r>
            <w:r>
              <w:rPr>
                <w:color w:val="231F20"/>
                <w:sz w:val="24"/>
              </w:rPr>
              <w:t xml:space="preserve">canisters </w:t>
            </w:r>
            <w:r>
              <w:rPr>
                <w:color w:val="231F20"/>
                <w:spacing w:val="-4"/>
                <w:sz w:val="24"/>
              </w:rPr>
              <w:t>contents,</w:t>
            </w:r>
            <w:r>
              <w:rPr>
                <w:color w:val="231F20"/>
                <w:spacing w:val="-13"/>
                <w:sz w:val="24"/>
              </w:rPr>
              <w:t xml:space="preserve"> </w:t>
            </w:r>
            <w:r>
              <w:rPr>
                <w:color w:val="231F20"/>
                <w:spacing w:val="-4"/>
                <w:sz w:val="24"/>
              </w:rPr>
              <w:t>recycling</w:t>
            </w:r>
            <w:r>
              <w:rPr>
                <w:color w:val="231F20"/>
                <w:spacing w:val="-13"/>
                <w:sz w:val="24"/>
              </w:rPr>
              <w:t xml:space="preserve"> </w:t>
            </w:r>
            <w:r>
              <w:rPr>
                <w:color w:val="231F20"/>
                <w:spacing w:val="-4"/>
                <w:sz w:val="24"/>
              </w:rPr>
              <w:t>the</w:t>
            </w:r>
            <w:r>
              <w:rPr>
                <w:color w:val="231F20"/>
                <w:spacing w:val="-12"/>
                <w:sz w:val="24"/>
              </w:rPr>
              <w:t xml:space="preserve"> </w:t>
            </w:r>
            <w:r>
              <w:rPr>
                <w:color w:val="231F20"/>
                <w:spacing w:val="-4"/>
                <w:sz w:val="24"/>
              </w:rPr>
              <w:t>residual</w:t>
            </w:r>
            <w:r>
              <w:rPr>
                <w:color w:val="231F20"/>
                <w:spacing w:val="-13"/>
                <w:sz w:val="24"/>
              </w:rPr>
              <w:t xml:space="preserve"> </w:t>
            </w:r>
            <w:r>
              <w:rPr>
                <w:color w:val="231F20"/>
                <w:spacing w:val="-4"/>
                <w:sz w:val="24"/>
              </w:rPr>
              <w:t>components</w:t>
            </w:r>
            <w:r>
              <w:rPr>
                <w:color w:val="231F20"/>
                <w:spacing w:val="-13"/>
                <w:sz w:val="24"/>
              </w:rPr>
              <w:t xml:space="preserve"> </w:t>
            </w:r>
            <w:r>
              <w:rPr>
                <w:color w:val="231F20"/>
                <w:spacing w:val="-4"/>
                <w:sz w:val="24"/>
              </w:rPr>
              <w:t xml:space="preserve">and </w:t>
            </w:r>
            <w:r>
              <w:rPr>
                <w:color w:val="231F20"/>
                <w:sz w:val="24"/>
              </w:rPr>
              <w:t>eliminating</w:t>
            </w:r>
            <w:r>
              <w:rPr>
                <w:color w:val="231F20"/>
                <w:spacing w:val="-5"/>
                <w:sz w:val="24"/>
              </w:rPr>
              <w:t xml:space="preserve"> </w:t>
            </w:r>
            <w:r>
              <w:rPr>
                <w:color w:val="231F20"/>
                <w:sz w:val="24"/>
              </w:rPr>
              <w:t>the</w:t>
            </w:r>
            <w:r>
              <w:rPr>
                <w:color w:val="231F20"/>
                <w:spacing w:val="-5"/>
                <w:sz w:val="24"/>
              </w:rPr>
              <w:t xml:space="preserve"> </w:t>
            </w:r>
            <w:r>
              <w:rPr>
                <w:color w:val="231F20"/>
                <w:sz w:val="24"/>
              </w:rPr>
              <w:t>requirement</w:t>
            </w:r>
            <w:r>
              <w:rPr>
                <w:color w:val="231F20"/>
                <w:spacing w:val="-5"/>
                <w:sz w:val="24"/>
              </w:rPr>
              <w:t xml:space="preserve"> </w:t>
            </w:r>
            <w:r>
              <w:rPr>
                <w:color w:val="231F20"/>
                <w:sz w:val="24"/>
              </w:rPr>
              <w:t>for</w:t>
            </w:r>
            <w:r>
              <w:rPr>
                <w:color w:val="231F20"/>
                <w:spacing w:val="-5"/>
                <w:sz w:val="24"/>
              </w:rPr>
              <w:t xml:space="preserve"> </w:t>
            </w:r>
            <w:r>
              <w:rPr>
                <w:color w:val="231F20"/>
                <w:sz w:val="24"/>
              </w:rPr>
              <w:t>landfill and in accordance with section 8C of the Control of Weapons Regulations 2011.</w:t>
            </w:r>
          </w:p>
        </w:tc>
      </w:tr>
    </w:tbl>
    <w:p w14:paraId="5BCFAD8B" w14:textId="77777777" w:rsidR="00345EE3" w:rsidRDefault="00345EE3" w:rsidP="00345EE3">
      <w:pPr>
        <w:spacing w:line="242" w:lineRule="auto"/>
        <w:rPr>
          <w:sz w:val="24"/>
        </w:rPr>
        <w:sectPr w:rsidR="00345EE3">
          <w:pgSz w:w="11910" w:h="16840"/>
          <w:pgMar w:top="720" w:right="0" w:bottom="280" w:left="740" w:header="720" w:footer="72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5102"/>
        <w:gridCol w:w="5074"/>
      </w:tblGrid>
      <w:tr w:rsidR="00345EE3" w14:paraId="7680CB68" w14:textId="77777777" w:rsidTr="00D73130">
        <w:trPr>
          <w:trHeight w:val="961"/>
        </w:trPr>
        <w:tc>
          <w:tcPr>
            <w:tcW w:w="10176" w:type="dxa"/>
            <w:gridSpan w:val="2"/>
            <w:shd w:val="clear" w:color="auto" w:fill="00529F"/>
          </w:tcPr>
          <w:p w14:paraId="4941A5C1" w14:textId="77777777" w:rsidR="00345EE3" w:rsidRDefault="00345EE3" w:rsidP="00D73130">
            <w:pPr>
              <w:pStyle w:val="TableParagraph"/>
              <w:tabs>
                <w:tab w:val="left" w:pos="5104"/>
              </w:tabs>
              <w:spacing w:before="63" w:line="242" w:lineRule="auto"/>
              <w:ind w:left="5104" w:right="313" w:hanging="5105"/>
              <w:jc w:val="left"/>
              <w:rPr>
                <w:b/>
                <w:sz w:val="24"/>
              </w:rPr>
            </w:pPr>
            <w:r>
              <w:rPr>
                <w:b/>
                <w:color w:val="FFFFFF"/>
                <w:sz w:val="24"/>
              </w:rPr>
              <w:t>Procurement contract</w:t>
            </w:r>
            <w:r>
              <w:rPr>
                <w:b/>
                <w:color w:val="FFFFFF"/>
                <w:sz w:val="24"/>
              </w:rPr>
              <w:tab/>
              <w:t>Additional</w:t>
            </w:r>
            <w:r>
              <w:rPr>
                <w:b/>
                <w:color w:val="FFFFFF"/>
                <w:spacing w:val="-14"/>
                <w:sz w:val="24"/>
              </w:rPr>
              <w:t xml:space="preserve"> </w:t>
            </w:r>
            <w:r>
              <w:rPr>
                <w:b/>
                <w:color w:val="FFFFFF"/>
                <w:sz w:val="24"/>
              </w:rPr>
              <w:t>sustainable</w:t>
            </w:r>
            <w:r>
              <w:rPr>
                <w:b/>
                <w:color w:val="FFFFFF"/>
                <w:spacing w:val="-14"/>
                <w:sz w:val="24"/>
              </w:rPr>
              <w:t xml:space="preserve"> </w:t>
            </w:r>
            <w:r>
              <w:rPr>
                <w:b/>
                <w:color w:val="FFFFFF"/>
                <w:sz w:val="24"/>
              </w:rPr>
              <w:t>and</w:t>
            </w:r>
            <w:r>
              <w:rPr>
                <w:b/>
                <w:color w:val="FFFFFF"/>
                <w:spacing w:val="-14"/>
                <w:sz w:val="24"/>
              </w:rPr>
              <w:t xml:space="preserve"> </w:t>
            </w:r>
            <w:r>
              <w:rPr>
                <w:b/>
                <w:color w:val="FFFFFF"/>
                <w:sz w:val="24"/>
              </w:rPr>
              <w:t>environmental considerations applied during the procurement process</w:t>
            </w:r>
          </w:p>
        </w:tc>
      </w:tr>
      <w:tr w:rsidR="00345EE3" w14:paraId="296FB502" w14:textId="77777777" w:rsidTr="00D73130">
        <w:trPr>
          <w:trHeight w:val="11380"/>
        </w:trPr>
        <w:tc>
          <w:tcPr>
            <w:tcW w:w="5102" w:type="dxa"/>
            <w:tcBorders>
              <w:bottom w:val="single" w:sz="2" w:space="0" w:color="939598"/>
              <w:right w:val="single" w:sz="2" w:space="0" w:color="939598"/>
            </w:tcBorders>
          </w:tcPr>
          <w:p w14:paraId="46083D02" w14:textId="77777777" w:rsidR="00345EE3" w:rsidRDefault="00345EE3">
            <w:pPr>
              <w:pStyle w:val="TableParagraph"/>
              <w:numPr>
                <w:ilvl w:val="0"/>
                <w:numId w:val="57"/>
              </w:numPr>
              <w:tabs>
                <w:tab w:val="left" w:pos="280"/>
                <w:tab w:val="left" w:pos="281"/>
              </w:tabs>
              <w:spacing w:line="242" w:lineRule="auto"/>
              <w:ind w:right="1232"/>
              <w:jc w:val="left"/>
              <w:rPr>
                <w:sz w:val="24"/>
              </w:rPr>
            </w:pPr>
            <w:r>
              <w:rPr>
                <w:color w:val="231F20"/>
                <w:sz w:val="24"/>
              </w:rPr>
              <w:t>Digital</w:t>
            </w:r>
            <w:r>
              <w:rPr>
                <w:color w:val="231F20"/>
                <w:spacing w:val="-19"/>
                <w:sz w:val="24"/>
              </w:rPr>
              <w:t xml:space="preserve"> </w:t>
            </w:r>
            <w:r>
              <w:rPr>
                <w:color w:val="231F20"/>
                <w:sz w:val="24"/>
              </w:rPr>
              <w:t>Evidence</w:t>
            </w:r>
            <w:r>
              <w:rPr>
                <w:color w:val="231F20"/>
                <w:spacing w:val="-17"/>
                <w:sz w:val="24"/>
              </w:rPr>
              <w:t xml:space="preserve"> </w:t>
            </w:r>
            <w:r>
              <w:rPr>
                <w:color w:val="231F20"/>
                <w:sz w:val="24"/>
              </w:rPr>
              <w:t>Capture</w:t>
            </w:r>
            <w:r>
              <w:rPr>
                <w:color w:val="231F20"/>
                <w:spacing w:val="-16"/>
                <w:sz w:val="24"/>
              </w:rPr>
              <w:t xml:space="preserve"> </w:t>
            </w:r>
            <w:r>
              <w:rPr>
                <w:color w:val="231F20"/>
                <w:sz w:val="24"/>
              </w:rPr>
              <w:t xml:space="preserve">Machine </w:t>
            </w:r>
            <w:r>
              <w:rPr>
                <w:color w:val="231F20"/>
                <w:spacing w:val="-2"/>
                <w:sz w:val="24"/>
              </w:rPr>
              <w:t>Maintenance</w:t>
            </w:r>
          </w:p>
          <w:p w14:paraId="451942AE" w14:textId="77777777" w:rsidR="00345EE3" w:rsidRDefault="00345EE3">
            <w:pPr>
              <w:pStyle w:val="TableParagraph"/>
              <w:numPr>
                <w:ilvl w:val="0"/>
                <w:numId w:val="57"/>
              </w:numPr>
              <w:tabs>
                <w:tab w:val="left" w:pos="280"/>
                <w:tab w:val="left" w:pos="281"/>
              </w:tabs>
              <w:spacing w:before="31" w:line="242" w:lineRule="auto"/>
              <w:ind w:right="98"/>
              <w:jc w:val="left"/>
              <w:rPr>
                <w:sz w:val="24"/>
              </w:rPr>
            </w:pPr>
            <w:r>
              <w:rPr>
                <w:color w:val="231F20"/>
                <w:spacing w:val="-2"/>
                <w:sz w:val="24"/>
              </w:rPr>
              <w:t>Embedded</w:t>
            </w:r>
            <w:r>
              <w:rPr>
                <w:color w:val="231F20"/>
                <w:spacing w:val="-11"/>
                <w:sz w:val="24"/>
              </w:rPr>
              <w:t xml:space="preserve"> </w:t>
            </w:r>
            <w:r>
              <w:rPr>
                <w:color w:val="231F20"/>
                <w:spacing w:val="-2"/>
                <w:sz w:val="24"/>
              </w:rPr>
              <w:t>Youth</w:t>
            </w:r>
            <w:r>
              <w:rPr>
                <w:color w:val="231F20"/>
                <w:spacing w:val="-11"/>
                <w:sz w:val="24"/>
              </w:rPr>
              <w:t xml:space="preserve"> </w:t>
            </w:r>
            <w:r>
              <w:rPr>
                <w:color w:val="231F20"/>
                <w:spacing w:val="-2"/>
                <w:sz w:val="24"/>
              </w:rPr>
              <w:t>Outreach</w:t>
            </w:r>
            <w:r>
              <w:rPr>
                <w:color w:val="231F20"/>
                <w:spacing w:val="-11"/>
                <w:sz w:val="24"/>
              </w:rPr>
              <w:t xml:space="preserve"> </w:t>
            </w:r>
            <w:r>
              <w:rPr>
                <w:color w:val="231F20"/>
                <w:spacing w:val="-2"/>
                <w:sz w:val="24"/>
              </w:rPr>
              <w:t>Program</w:t>
            </w:r>
            <w:r>
              <w:rPr>
                <w:color w:val="231F20"/>
                <w:spacing w:val="-10"/>
                <w:sz w:val="24"/>
              </w:rPr>
              <w:t xml:space="preserve"> </w:t>
            </w:r>
            <w:r>
              <w:rPr>
                <w:color w:val="231F20"/>
                <w:spacing w:val="-2"/>
                <w:sz w:val="24"/>
              </w:rPr>
              <w:t xml:space="preserve">(EYOP) </w:t>
            </w:r>
            <w:r>
              <w:rPr>
                <w:color w:val="231F20"/>
                <w:sz w:val="24"/>
              </w:rPr>
              <w:t>Evaluation Services</w:t>
            </w:r>
          </w:p>
          <w:p w14:paraId="751FD597" w14:textId="77777777" w:rsidR="00345EE3" w:rsidRDefault="00345EE3">
            <w:pPr>
              <w:pStyle w:val="TableParagraph"/>
              <w:numPr>
                <w:ilvl w:val="0"/>
                <w:numId w:val="57"/>
              </w:numPr>
              <w:tabs>
                <w:tab w:val="left" w:pos="280"/>
                <w:tab w:val="left" w:pos="281"/>
              </w:tabs>
              <w:spacing w:before="31"/>
              <w:jc w:val="left"/>
              <w:rPr>
                <w:sz w:val="24"/>
              </w:rPr>
            </w:pPr>
            <w:r>
              <w:rPr>
                <w:color w:val="231F20"/>
                <w:sz w:val="24"/>
              </w:rPr>
              <w:t>Purchase</w:t>
            </w:r>
            <w:r>
              <w:rPr>
                <w:color w:val="231F20"/>
                <w:spacing w:val="-14"/>
                <w:sz w:val="24"/>
              </w:rPr>
              <w:t xml:space="preserve"> </w:t>
            </w:r>
            <w:r>
              <w:rPr>
                <w:color w:val="231F20"/>
                <w:sz w:val="24"/>
              </w:rPr>
              <w:t>Weapons</w:t>
            </w:r>
            <w:r>
              <w:rPr>
                <w:color w:val="231F20"/>
                <w:spacing w:val="-14"/>
                <w:sz w:val="24"/>
              </w:rPr>
              <w:t xml:space="preserve"> </w:t>
            </w:r>
            <w:r>
              <w:rPr>
                <w:color w:val="231F20"/>
                <w:sz w:val="24"/>
              </w:rPr>
              <w:t>Clearance</w:t>
            </w:r>
            <w:r>
              <w:rPr>
                <w:color w:val="231F20"/>
                <w:spacing w:val="-13"/>
                <w:sz w:val="24"/>
              </w:rPr>
              <w:t xml:space="preserve"> </w:t>
            </w:r>
            <w:r>
              <w:rPr>
                <w:color w:val="231F20"/>
                <w:spacing w:val="-2"/>
                <w:sz w:val="24"/>
              </w:rPr>
              <w:t>Booths</w:t>
            </w:r>
          </w:p>
          <w:p w14:paraId="6151ED87" w14:textId="77777777" w:rsidR="00345EE3" w:rsidRDefault="00345EE3">
            <w:pPr>
              <w:pStyle w:val="TableParagraph"/>
              <w:numPr>
                <w:ilvl w:val="0"/>
                <w:numId w:val="57"/>
              </w:numPr>
              <w:tabs>
                <w:tab w:val="left" w:pos="280"/>
                <w:tab w:val="left" w:pos="281"/>
              </w:tabs>
              <w:spacing w:before="32"/>
              <w:jc w:val="left"/>
              <w:rPr>
                <w:sz w:val="24"/>
              </w:rPr>
            </w:pPr>
            <w:r>
              <w:rPr>
                <w:color w:val="231F20"/>
                <w:sz w:val="24"/>
              </w:rPr>
              <w:t>Transport</w:t>
            </w:r>
            <w:r>
              <w:rPr>
                <w:color w:val="231F20"/>
                <w:spacing w:val="-15"/>
                <w:sz w:val="24"/>
              </w:rPr>
              <w:t xml:space="preserve"> </w:t>
            </w:r>
            <w:r>
              <w:rPr>
                <w:color w:val="231F20"/>
                <w:sz w:val="24"/>
              </w:rPr>
              <w:t>and</w:t>
            </w:r>
            <w:r>
              <w:rPr>
                <w:color w:val="231F20"/>
                <w:spacing w:val="-14"/>
                <w:sz w:val="24"/>
              </w:rPr>
              <w:t xml:space="preserve"> </w:t>
            </w:r>
            <w:r>
              <w:rPr>
                <w:color w:val="231F20"/>
                <w:sz w:val="24"/>
              </w:rPr>
              <w:t>Auctioneering</w:t>
            </w:r>
            <w:r>
              <w:rPr>
                <w:color w:val="231F20"/>
                <w:spacing w:val="-14"/>
                <w:sz w:val="24"/>
              </w:rPr>
              <w:t xml:space="preserve"> </w:t>
            </w:r>
            <w:r>
              <w:rPr>
                <w:color w:val="231F20"/>
                <w:spacing w:val="-2"/>
                <w:sz w:val="24"/>
              </w:rPr>
              <w:t>Services</w:t>
            </w:r>
          </w:p>
          <w:p w14:paraId="1F122EA2" w14:textId="77777777" w:rsidR="00345EE3" w:rsidRDefault="00345EE3">
            <w:pPr>
              <w:pStyle w:val="TableParagraph"/>
              <w:numPr>
                <w:ilvl w:val="0"/>
                <w:numId w:val="57"/>
              </w:numPr>
              <w:tabs>
                <w:tab w:val="left" w:pos="280"/>
                <w:tab w:val="left" w:pos="281"/>
              </w:tabs>
              <w:spacing w:before="33"/>
              <w:jc w:val="left"/>
              <w:rPr>
                <w:sz w:val="24"/>
              </w:rPr>
            </w:pPr>
            <w:r>
              <w:rPr>
                <w:color w:val="231F20"/>
                <w:sz w:val="24"/>
              </w:rPr>
              <w:t>Nitrile</w:t>
            </w:r>
            <w:r>
              <w:rPr>
                <w:color w:val="231F20"/>
                <w:spacing w:val="-6"/>
                <w:sz w:val="24"/>
              </w:rPr>
              <w:t xml:space="preserve"> </w:t>
            </w:r>
            <w:r>
              <w:rPr>
                <w:color w:val="231F20"/>
                <w:spacing w:val="-2"/>
                <w:sz w:val="24"/>
              </w:rPr>
              <w:t>Gloves</w:t>
            </w:r>
          </w:p>
          <w:p w14:paraId="1793C77C" w14:textId="77777777" w:rsidR="00345EE3" w:rsidRDefault="00345EE3">
            <w:pPr>
              <w:pStyle w:val="TableParagraph"/>
              <w:numPr>
                <w:ilvl w:val="0"/>
                <w:numId w:val="57"/>
              </w:numPr>
              <w:tabs>
                <w:tab w:val="left" w:pos="280"/>
                <w:tab w:val="left" w:pos="281"/>
              </w:tabs>
              <w:spacing w:before="32" w:line="242" w:lineRule="auto"/>
              <w:ind w:right="282"/>
              <w:jc w:val="left"/>
              <w:rPr>
                <w:sz w:val="24"/>
              </w:rPr>
            </w:pPr>
            <w:r>
              <w:rPr>
                <w:color w:val="231F20"/>
                <w:sz w:val="24"/>
              </w:rPr>
              <w:t>Barcode</w:t>
            </w:r>
            <w:r>
              <w:rPr>
                <w:color w:val="231F20"/>
                <w:spacing w:val="-14"/>
                <w:sz w:val="24"/>
              </w:rPr>
              <w:t xml:space="preserve"> </w:t>
            </w:r>
            <w:r>
              <w:rPr>
                <w:color w:val="231F20"/>
                <w:sz w:val="24"/>
              </w:rPr>
              <w:t>Printers</w:t>
            </w:r>
            <w:r>
              <w:rPr>
                <w:color w:val="231F20"/>
                <w:spacing w:val="-13"/>
                <w:sz w:val="24"/>
              </w:rPr>
              <w:t xml:space="preserve"> </w:t>
            </w:r>
            <w:r>
              <w:rPr>
                <w:color w:val="231F20"/>
                <w:sz w:val="24"/>
              </w:rPr>
              <w:t>and</w:t>
            </w:r>
            <w:r>
              <w:rPr>
                <w:color w:val="231F20"/>
                <w:spacing w:val="-14"/>
                <w:sz w:val="24"/>
              </w:rPr>
              <w:t xml:space="preserve"> </w:t>
            </w:r>
            <w:r>
              <w:rPr>
                <w:color w:val="231F20"/>
                <w:sz w:val="24"/>
              </w:rPr>
              <w:t>Scanners</w:t>
            </w:r>
            <w:r>
              <w:rPr>
                <w:color w:val="231F20"/>
                <w:spacing w:val="-13"/>
                <w:sz w:val="24"/>
              </w:rPr>
              <w:t xml:space="preserve"> </w:t>
            </w:r>
            <w:r>
              <w:rPr>
                <w:color w:val="231F20"/>
                <w:sz w:val="24"/>
              </w:rPr>
              <w:t>supply</w:t>
            </w:r>
            <w:r>
              <w:rPr>
                <w:color w:val="231F20"/>
                <w:spacing w:val="-13"/>
                <w:sz w:val="24"/>
              </w:rPr>
              <w:t xml:space="preserve"> </w:t>
            </w:r>
            <w:r>
              <w:rPr>
                <w:color w:val="231F20"/>
                <w:sz w:val="24"/>
              </w:rPr>
              <w:t xml:space="preserve">and </w:t>
            </w:r>
            <w:r>
              <w:rPr>
                <w:color w:val="231F20"/>
                <w:spacing w:val="-2"/>
                <w:sz w:val="24"/>
              </w:rPr>
              <w:t>maintenance</w:t>
            </w:r>
          </w:p>
          <w:p w14:paraId="1B58903A" w14:textId="77777777" w:rsidR="00345EE3" w:rsidRDefault="00345EE3">
            <w:pPr>
              <w:pStyle w:val="TableParagraph"/>
              <w:numPr>
                <w:ilvl w:val="0"/>
                <w:numId w:val="57"/>
              </w:numPr>
              <w:tabs>
                <w:tab w:val="left" w:pos="280"/>
                <w:tab w:val="left" w:pos="281"/>
              </w:tabs>
              <w:spacing w:before="31"/>
              <w:jc w:val="left"/>
              <w:rPr>
                <w:sz w:val="24"/>
              </w:rPr>
            </w:pPr>
            <w:r>
              <w:rPr>
                <w:color w:val="231F20"/>
                <w:sz w:val="24"/>
              </w:rPr>
              <w:t>Provision</w:t>
            </w:r>
            <w:r>
              <w:rPr>
                <w:color w:val="231F20"/>
                <w:spacing w:val="-9"/>
                <w:sz w:val="24"/>
              </w:rPr>
              <w:t xml:space="preserve"> </w:t>
            </w:r>
            <w:r>
              <w:rPr>
                <w:color w:val="231F20"/>
                <w:sz w:val="24"/>
              </w:rPr>
              <w:t>of</w:t>
            </w:r>
            <w:r>
              <w:rPr>
                <w:color w:val="231F20"/>
                <w:spacing w:val="-8"/>
                <w:sz w:val="24"/>
              </w:rPr>
              <w:t xml:space="preserve"> </w:t>
            </w:r>
            <w:r>
              <w:rPr>
                <w:color w:val="231F20"/>
                <w:sz w:val="24"/>
              </w:rPr>
              <w:t>General</w:t>
            </w:r>
            <w:r>
              <w:rPr>
                <w:color w:val="231F20"/>
                <w:spacing w:val="-8"/>
                <w:sz w:val="24"/>
              </w:rPr>
              <w:t xml:space="preserve"> </w:t>
            </w:r>
            <w:r>
              <w:rPr>
                <w:color w:val="231F20"/>
                <w:sz w:val="24"/>
              </w:rPr>
              <w:t>Duty</w:t>
            </w:r>
            <w:r>
              <w:rPr>
                <w:color w:val="231F20"/>
                <w:spacing w:val="-8"/>
                <w:sz w:val="24"/>
              </w:rPr>
              <w:t xml:space="preserve"> </w:t>
            </w:r>
            <w:r>
              <w:rPr>
                <w:color w:val="231F20"/>
                <w:sz w:val="24"/>
              </w:rPr>
              <w:t>Uniform</w:t>
            </w:r>
            <w:r>
              <w:rPr>
                <w:color w:val="231F20"/>
                <w:spacing w:val="-7"/>
                <w:sz w:val="24"/>
              </w:rPr>
              <w:t xml:space="preserve"> </w:t>
            </w:r>
            <w:r>
              <w:rPr>
                <w:color w:val="231F20"/>
                <w:spacing w:val="-4"/>
                <w:sz w:val="24"/>
              </w:rPr>
              <w:t>items</w:t>
            </w:r>
          </w:p>
          <w:p w14:paraId="2FA1D30B" w14:textId="77777777" w:rsidR="00345EE3" w:rsidRDefault="00345EE3">
            <w:pPr>
              <w:pStyle w:val="TableParagraph"/>
              <w:numPr>
                <w:ilvl w:val="0"/>
                <w:numId w:val="57"/>
              </w:numPr>
              <w:tabs>
                <w:tab w:val="left" w:pos="280"/>
                <w:tab w:val="left" w:pos="281"/>
              </w:tabs>
              <w:spacing w:before="32"/>
              <w:jc w:val="left"/>
              <w:rPr>
                <w:sz w:val="24"/>
              </w:rPr>
            </w:pPr>
            <w:r>
              <w:rPr>
                <w:color w:val="231F20"/>
                <w:sz w:val="24"/>
              </w:rPr>
              <w:t>Light</w:t>
            </w:r>
            <w:r>
              <w:rPr>
                <w:color w:val="231F20"/>
                <w:spacing w:val="-10"/>
                <w:sz w:val="24"/>
              </w:rPr>
              <w:t xml:space="preserve"> </w:t>
            </w:r>
            <w:r>
              <w:rPr>
                <w:color w:val="231F20"/>
                <w:sz w:val="24"/>
              </w:rPr>
              <w:t>Cartage</w:t>
            </w:r>
            <w:r>
              <w:rPr>
                <w:color w:val="231F20"/>
                <w:spacing w:val="-9"/>
                <w:sz w:val="24"/>
              </w:rPr>
              <w:t xml:space="preserve"> </w:t>
            </w:r>
            <w:r>
              <w:rPr>
                <w:color w:val="231F20"/>
                <w:sz w:val="24"/>
              </w:rPr>
              <w:t>(Parcel</w:t>
            </w:r>
            <w:r>
              <w:rPr>
                <w:color w:val="231F20"/>
                <w:spacing w:val="-10"/>
                <w:sz w:val="24"/>
              </w:rPr>
              <w:t xml:space="preserve"> </w:t>
            </w:r>
            <w:r>
              <w:rPr>
                <w:color w:val="231F20"/>
                <w:sz w:val="24"/>
              </w:rPr>
              <w:t>Delivery)</w:t>
            </w:r>
            <w:r>
              <w:rPr>
                <w:color w:val="231F20"/>
                <w:spacing w:val="-9"/>
                <w:sz w:val="24"/>
              </w:rPr>
              <w:t xml:space="preserve"> </w:t>
            </w:r>
            <w:r>
              <w:rPr>
                <w:color w:val="231F20"/>
                <w:spacing w:val="-2"/>
                <w:sz w:val="24"/>
              </w:rPr>
              <w:t>Services</w:t>
            </w:r>
          </w:p>
          <w:p w14:paraId="6E2A1BE5" w14:textId="77777777" w:rsidR="00345EE3" w:rsidRDefault="00345EE3">
            <w:pPr>
              <w:pStyle w:val="TableParagraph"/>
              <w:numPr>
                <w:ilvl w:val="0"/>
                <w:numId w:val="57"/>
              </w:numPr>
              <w:tabs>
                <w:tab w:val="left" w:pos="280"/>
                <w:tab w:val="left" w:pos="281"/>
              </w:tabs>
              <w:spacing w:before="33"/>
              <w:jc w:val="left"/>
              <w:rPr>
                <w:sz w:val="24"/>
              </w:rPr>
            </w:pPr>
            <w:r>
              <w:rPr>
                <w:color w:val="231F20"/>
                <w:sz w:val="24"/>
              </w:rPr>
              <w:t>EYOP</w:t>
            </w:r>
            <w:r>
              <w:rPr>
                <w:color w:val="231F20"/>
                <w:spacing w:val="-4"/>
                <w:sz w:val="24"/>
              </w:rPr>
              <w:t xml:space="preserve"> </w:t>
            </w:r>
            <w:r>
              <w:rPr>
                <w:color w:val="231F20"/>
                <w:sz w:val="24"/>
              </w:rPr>
              <w:t>Service</w:t>
            </w:r>
            <w:r>
              <w:rPr>
                <w:color w:val="231F20"/>
                <w:spacing w:val="-3"/>
                <w:sz w:val="24"/>
              </w:rPr>
              <w:t xml:space="preserve"> </w:t>
            </w:r>
            <w:r>
              <w:rPr>
                <w:color w:val="231F20"/>
                <w:spacing w:val="-2"/>
                <w:sz w:val="24"/>
              </w:rPr>
              <w:t>Provider</w:t>
            </w:r>
          </w:p>
          <w:p w14:paraId="607D044B" w14:textId="77777777" w:rsidR="00345EE3" w:rsidRDefault="00345EE3">
            <w:pPr>
              <w:pStyle w:val="TableParagraph"/>
              <w:numPr>
                <w:ilvl w:val="0"/>
                <w:numId w:val="57"/>
              </w:numPr>
              <w:tabs>
                <w:tab w:val="left" w:pos="280"/>
                <w:tab w:val="left" w:pos="281"/>
              </w:tabs>
              <w:spacing w:before="32" w:line="242" w:lineRule="auto"/>
              <w:ind w:right="88"/>
              <w:jc w:val="left"/>
              <w:rPr>
                <w:sz w:val="24"/>
              </w:rPr>
            </w:pPr>
            <w:r>
              <w:rPr>
                <w:color w:val="231F20"/>
                <w:sz w:val="24"/>
              </w:rPr>
              <w:t>Evaluation</w:t>
            </w:r>
            <w:r>
              <w:rPr>
                <w:color w:val="231F20"/>
                <w:spacing w:val="-15"/>
                <w:sz w:val="24"/>
              </w:rPr>
              <w:t xml:space="preserve"> </w:t>
            </w:r>
            <w:r>
              <w:rPr>
                <w:color w:val="231F20"/>
                <w:sz w:val="24"/>
              </w:rPr>
              <w:t>of</w:t>
            </w:r>
            <w:r>
              <w:rPr>
                <w:color w:val="231F20"/>
                <w:spacing w:val="-14"/>
                <w:sz w:val="24"/>
              </w:rPr>
              <w:t xml:space="preserve"> </w:t>
            </w:r>
            <w:r>
              <w:rPr>
                <w:color w:val="231F20"/>
                <w:sz w:val="24"/>
              </w:rPr>
              <w:t>the</w:t>
            </w:r>
            <w:r>
              <w:rPr>
                <w:color w:val="231F20"/>
                <w:spacing w:val="-15"/>
                <w:sz w:val="24"/>
              </w:rPr>
              <w:t xml:space="preserve"> </w:t>
            </w:r>
            <w:r>
              <w:rPr>
                <w:color w:val="231F20"/>
                <w:sz w:val="24"/>
              </w:rPr>
              <w:t>RDT</w:t>
            </w:r>
            <w:r>
              <w:rPr>
                <w:color w:val="231F20"/>
                <w:spacing w:val="-14"/>
                <w:sz w:val="24"/>
              </w:rPr>
              <w:t xml:space="preserve"> </w:t>
            </w:r>
            <w:r>
              <w:rPr>
                <w:color w:val="231F20"/>
                <w:sz w:val="24"/>
              </w:rPr>
              <w:t>Expansion</w:t>
            </w:r>
            <w:r>
              <w:rPr>
                <w:color w:val="231F20"/>
                <w:spacing w:val="-15"/>
                <w:sz w:val="24"/>
              </w:rPr>
              <w:t xml:space="preserve"> </w:t>
            </w:r>
            <w:r>
              <w:rPr>
                <w:color w:val="231F20"/>
                <w:sz w:val="24"/>
              </w:rPr>
              <w:t>Program</w:t>
            </w:r>
            <w:r>
              <w:rPr>
                <w:color w:val="231F20"/>
                <w:spacing w:val="-14"/>
                <w:sz w:val="24"/>
              </w:rPr>
              <w:t xml:space="preserve"> </w:t>
            </w:r>
            <w:r>
              <w:rPr>
                <w:color w:val="231F20"/>
                <w:sz w:val="24"/>
              </w:rPr>
              <w:t xml:space="preserve">in </w:t>
            </w:r>
            <w:r>
              <w:rPr>
                <w:color w:val="231F20"/>
                <w:spacing w:val="-2"/>
                <w:sz w:val="24"/>
              </w:rPr>
              <w:t>Victoria</w:t>
            </w:r>
          </w:p>
          <w:p w14:paraId="371AA4DC" w14:textId="77777777" w:rsidR="00345EE3" w:rsidRDefault="00345EE3">
            <w:pPr>
              <w:pStyle w:val="TableParagraph"/>
              <w:numPr>
                <w:ilvl w:val="0"/>
                <w:numId w:val="57"/>
              </w:numPr>
              <w:tabs>
                <w:tab w:val="left" w:pos="280"/>
                <w:tab w:val="left" w:pos="281"/>
              </w:tabs>
              <w:spacing w:before="31"/>
              <w:jc w:val="left"/>
              <w:rPr>
                <w:sz w:val="24"/>
              </w:rPr>
            </w:pPr>
            <w:r>
              <w:rPr>
                <w:color w:val="231F20"/>
                <w:sz w:val="24"/>
              </w:rPr>
              <w:t>Provision</w:t>
            </w:r>
            <w:r>
              <w:rPr>
                <w:color w:val="231F20"/>
                <w:spacing w:val="-9"/>
                <w:sz w:val="24"/>
              </w:rPr>
              <w:t xml:space="preserve"> </w:t>
            </w:r>
            <w:r>
              <w:rPr>
                <w:color w:val="231F20"/>
                <w:sz w:val="24"/>
              </w:rPr>
              <w:t>of</w:t>
            </w:r>
            <w:r>
              <w:rPr>
                <w:color w:val="231F20"/>
                <w:spacing w:val="-8"/>
                <w:sz w:val="24"/>
              </w:rPr>
              <w:t xml:space="preserve"> </w:t>
            </w:r>
            <w:r>
              <w:rPr>
                <w:color w:val="231F20"/>
                <w:sz w:val="24"/>
              </w:rPr>
              <w:t>General</w:t>
            </w:r>
            <w:r>
              <w:rPr>
                <w:color w:val="231F20"/>
                <w:spacing w:val="-8"/>
                <w:sz w:val="24"/>
              </w:rPr>
              <w:t xml:space="preserve"> </w:t>
            </w:r>
            <w:r>
              <w:rPr>
                <w:color w:val="231F20"/>
                <w:sz w:val="24"/>
              </w:rPr>
              <w:t>Duty</w:t>
            </w:r>
            <w:r>
              <w:rPr>
                <w:color w:val="231F20"/>
                <w:spacing w:val="-8"/>
                <w:sz w:val="24"/>
              </w:rPr>
              <w:t xml:space="preserve"> </w:t>
            </w:r>
            <w:r>
              <w:rPr>
                <w:color w:val="231F20"/>
                <w:sz w:val="24"/>
              </w:rPr>
              <w:t>Uniform</w:t>
            </w:r>
            <w:r>
              <w:rPr>
                <w:color w:val="231F20"/>
                <w:spacing w:val="-7"/>
                <w:sz w:val="24"/>
              </w:rPr>
              <w:t xml:space="preserve"> </w:t>
            </w:r>
            <w:r>
              <w:rPr>
                <w:color w:val="231F20"/>
                <w:spacing w:val="-4"/>
                <w:sz w:val="24"/>
              </w:rPr>
              <w:t>items</w:t>
            </w:r>
          </w:p>
          <w:p w14:paraId="1433702E" w14:textId="77777777" w:rsidR="00345EE3" w:rsidRDefault="00345EE3">
            <w:pPr>
              <w:pStyle w:val="TableParagraph"/>
              <w:numPr>
                <w:ilvl w:val="0"/>
                <w:numId w:val="57"/>
              </w:numPr>
              <w:tabs>
                <w:tab w:val="left" w:pos="280"/>
                <w:tab w:val="left" w:pos="281"/>
              </w:tabs>
              <w:spacing w:before="32" w:line="242" w:lineRule="auto"/>
              <w:ind w:right="434"/>
              <w:jc w:val="left"/>
              <w:rPr>
                <w:sz w:val="24"/>
              </w:rPr>
            </w:pPr>
            <w:r>
              <w:rPr>
                <w:color w:val="231F20"/>
                <w:sz w:val="24"/>
              </w:rPr>
              <w:t>Introduction</w:t>
            </w:r>
            <w:r>
              <w:rPr>
                <w:color w:val="231F20"/>
                <w:spacing w:val="-12"/>
                <w:sz w:val="24"/>
              </w:rPr>
              <w:t xml:space="preserve"> </w:t>
            </w:r>
            <w:r>
              <w:rPr>
                <w:color w:val="231F20"/>
                <w:sz w:val="24"/>
              </w:rPr>
              <w:t>of</w:t>
            </w:r>
            <w:r>
              <w:rPr>
                <w:color w:val="231F20"/>
                <w:spacing w:val="-12"/>
                <w:sz w:val="24"/>
              </w:rPr>
              <w:t xml:space="preserve"> </w:t>
            </w:r>
            <w:r>
              <w:rPr>
                <w:color w:val="231F20"/>
                <w:sz w:val="24"/>
              </w:rPr>
              <w:t>cocaine</w:t>
            </w:r>
            <w:r>
              <w:rPr>
                <w:color w:val="231F20"/>
                <w:spacing w:val="-12"/>
                <w:sz w:val="24"/>
              </w:rPr>
              <w:t xml:space="preserve"> </w:t>
            </w:r>
            <w:r>
              <w:rPr>
                <w:color w:val="231F20"/>
                <w:sz w:val="24"/>
              </w:rPr>
              <w:t>testing</w:t>
            </w:r>
            <w:r>
              <w:rPr>
                <w:color w:val="231F20"/>
                <w:spacing w:val="-12"/>
                <w:sz w:val="24"/>
              </w:rPr>
              <w:t xml:space="preserve"> </w:t>
            </w:r>
            <w:r>
              <w:rPr>
                <w:color w:val="231F20"/>
                <w:sz w:val="24"/>
              </w:rPr>
              <w:t>to</w:t>
            </w:r>
            <w:r>
              <w:rPr>
                <w:color w:val="231F20"/>
                <w:spacing w:val="-12"/>
                <w:sz w:val="24"/>
              </w:rPr>
              <w:t xml:space="preserve"> </w:t>
            </w:r>
            <w:r>
              <w:rPr>
                <w:color w:val="231F20"/>
                <w:sz w:val="24"/>
              </w:rPr>
              <w:t>the</w:t>
            </w:r>
            <w:r>
              <w:rPr>
                <w:color w:val="231F20"/>
                <w:spacing w:val="-12"/>
                <w:sz w:val="24"/>
              </w:rPr>
              <w:t xml:space="preserve"> </w:t>
            </w:r>
            <w:r>
              <w:rPr>
                <w:color w:val="231F20"/>
                <w:sz w:val="24"/>
              </w:rPr>
              <w:t>RDT Program consultancy engagement</w:t>
            </w:r>
          </w:p>
          <w:p w14:paraId="1463498A" w14:textId="77777777" w:rsidR="00345EE3" w:rsidRDefault="00345EE3">
            <w:pPr>
              <w:pStyle w:val="TableParagraph"/>
              <w:numPr>
                <w:ilvl w:val="0"/>
                <w:numId w:val="57"/>
              </w:numPr>
              <w:tabs>
                <w:tab w:val="left" w:pos="280"/>
                <w:tab w:val="left" w:pos="281"/>
              </w:tabs>
              <w:spacing w:before="31" w:line="242" w:lineRule="auto"/>
              <w:ind w:right="-15"/>
              <w:jc w:val="left"/>
              <w:rPr>
                <w:sz w:val="24"/>
              </w:rPr>
            </w:pPr>
            <w:r>
              <w:rPr>
                <w:color w:val="231F20"/>
                <w:sz w:val="24"/>
              </w:rPr>
              <w:t>Forensic</w:t>
            </w:r>
            <w:r>
              <w:rPr>
                <w:color w:val="231F20"/>
                <w:spacing w:val="-19"/>
                <w:sz w:val="24"/>
              </w:rPr>
              <w:t xml:space="preserve"> </w:t>
            </w:r>
            <w:r>
              <w:rPr>
                <w:color w:val="231F20"/>
                <w:sz w:val="24"/>
              </w:rPr>
              <w:t>Laboratory</w:t>
            </w:r>
            <w:r>
              <w:rPr>
                <w:color w:val="231F20"/>
                <w:spacing w:val="-17"/>
                <w:sz w:val="24"/>
              </w:rPr>
              <w:t xml:space="preserve"> </w:t>
            </w:r>
            <w:r>
              <w:rPr>
                <w:color w:val="231F20"/>
                <w:sz w:val="24"/>
              </w:rPr>
              <w:t>Information</w:t>
            </w:r>
            <w:r>
              <w:rPr>
                <w:color w:val="231F20"/>
                <w:spacing w:val="-16"/>
                <w:sz w:val="24"/>
              </w:rPr>
              <w:t xml:space="preserve"> </w:t>
            </w:r>
            <w:r>
              <w:rPr>
                <w:color w:val="231F20"/>
                <w:sz w:val="24"/>
              </w:rPr>
              <w:t xml:space="preserve">Management </w:t>
            </w:r>
            <w:r>
              <w:rPr>
                <w:color w:val="231F20"/>
                <w:spacing w:val="-2"/>
                <w:sz w:val="24"/>
              </w:rPr>
              <w:t>System</w:t>
            </w:r>
          </w:p>
          <w:p w14:paraId="4008E8C8" w14:textId="77777777" w:rsidR="00345EE3" w:rsidRDefault="00345EE3">
            <w:pPr>
              <w:pStyle w:val="TableParagraph"/>
              <w:numPr>
                <w:ilvl w:val="0"/>
                <w:numId w:val="57"/>
              </w:numPr>
              <w:tabs>
                <w:tab w:val="left" w:pos="280"/>
                <w:tab w:val="left" w:pos="281"/>
              </w:tabs>
              <w:spacing w:before="31" w:line="242" w:lineRule="auto"/>
              <w:ind w:right="853"/>
              <w:jc w:val="left"/>
              <w:rPr>
                <w:sz w:val="24"/>
              </w:rPr>
            </w:pPr>
            <w:r>
              <w:rPr>
                <w:color w:val="231F20"/>
                <w:sz w:val="24"/>
              </w:rPr>
              <w:t>Delivery</w:t>
            </w:r>
            <w:r>
              <w:rPr>
                <w:color w:val="231F20"/>
                <w:spacing w:val="-17"/>
                <w:sz w:val="24"/>
              </w:rPr>
              <w:t xml:space="preserve"> </w:t>
            </w:r>
            <w:r>
              <w:rPr>
                <w:color w:val="231F20"/>
                <w:sz w:val="24"/>
              </w:rPr>
              <w:t>of</w:t>
            </w:r>
            <w:r>
              <w:rPr>
                <w:color w:val="231F20"/>
                <w:spacing w:val="-17"/>
                <w:sz w:val="24"/>
              </w:rPr>
              <w:t xml:space="preserve"> </w:t>
            </w:r>
            <w:r>
              <w:rPr>
                <w:color w:val="231F20"/>
                <w:sz w:val="24"/>
              </w:rPr>
              <w:t>TAE40116</w:t>
            </w:r>
            <w:r>
              <w:rPr>
                <w:color w:val="231F20"/>
                <w:spacing w:val="-16"/>
                <w:sz w:val="24"/>
              </w:rPr>
              <w:t xml:space="preserve"> </w:t>
            </w:r>
            <w:r>
              <w:rPr>
                <w:color w:val="231F20"/>
                <w:sz w:val="24"/>
              </w:rPr>
              <w:t>Certificate</w:t>
            </w:r>
            <w:r>
              <w:rPr>
                <w:color w:val="231F20"/>
                <w:spacing w:val="-17"/>
                <w:sz w:val="24"/>
              </w:rPr>
              <w:t xml:space="preserve"> </w:t>
            </w:r>
            <w:r>
              <w:rPr>
                <w:color w:val="231F20"/>
                <w:sz w:val="24"/>
              </w:rPr>
              <w:t>IV</w:t>
            </w:r>
            <w:r>
              <w:rPr>
                <w:color w:val="231F20"/>
                <w:spacing w:val="-17"/>
                <w:sz w:val="24"/>
              </w:rPr>
              <w:t xml:space="preserve"> </w:t>
            </w:r>
            <w:r>
              <w:rPr>
                <w:color w:val="231F20"/>
                <w:sz w:val="24"/>
              </w:rPr>
              <w:t>in Training and Assessment.</w:t>
            </w:r>
          </w:p>
          <w:p w14:paraId="30D71C98" w14:textId="77777777" w:rsidR="00345EE3" w:rsidRDefault="00345EE3">
            <w:pPr>
              <w:pStyle w:val="TableParagraph"/>
              <w:numPr>
                <w:ilvl w:val="0"/>
                <w:numId w:val="57"/>
              </w:numPr>
              <w:tabs>
                <w:tab w:val="left" w:pos="280"/>
                <w:tab w:val="left" w:pos="281"/>
              </w:tabs>
              <w:spacing w:before="31" w:line="242" w:lineRule="auto"/>
              <w:ind w:right="126"/>
              <w:jc w:val="left"/>
              <w:rPr>
                <w:sz w:val="24"/>
              </w:rPr>
            </w:pPr>
            <w:r>
              <w:rPr>
                <w:color w:val="231F20"/>
                <w:sz w:val="24"/>
              </w:rPr>
              <w:t>Installation</w:t>
            </w:r>
            <w:r>
              <w:rPr>
                <w:color w:val="231F20"/>
                <w:spacing w:val="-15"/>
                <w:sz w:val="24"/>
              </w:rPr>
              <w:t xml:space="preserve"> </w:t>
            </w:r>
            <w:r>
              <w:rPr>
                <w:color w:val="231F20"/>
                <w:sz w:val="24"/>
              </w:rPr>
              <w:t>of</w:t>
            </w:r>
            <w:r>
              <w:rPr>
                <w:color w:val="231F20"/>
                <w:spacing w:val="-14"/>
                <w:sz w:val="24"/>
              </w:rPr>
              <w:t xml:space="preserve"> </w:t>
            </w:r>
            <w:r>
              <w:rPr>
                <w:color w:val="231F20"/>
                <w:sz w:val="24"/>
              </w:rPr>
              <w:t>traffic</w:t>
            </w:r>
            <w:r>
              <w:rPr>
                <w:color w:val="231F20"/>
                <w:spacing w:val="-14"/>
                <w:sz w:val="24"/>
              </w:rPr>
              <w:t xml:space="preserve"> </w:t>
            </w:r>
            <w:r>
              <w:rPr>
                <w:color w:val="231F20"/>
                <w:sz w:val="24"/>
              </w:rPr>
              <w:t>lights</w:t>
            </w:r>
            <w:r>
              <w:rPr>
                <w:color w:val="231F20"/>
                <w:spacing w:val="-14"/>
                <w:sz w:val="24"/>
              </w:rPr>
              <w:t xml:space="preserve"> </w:t>
            </w:r>
            <w:r>
              <w:rPr>
                <w:color w:val="231F20"/>
                <w:sz w:val="24"/>
              </w:rPr>
              <w:t>at</w:t>
            </w:r>
            <w:r>
              <w:rPr>
                <w:color w:val="231F20"/>
                <w:spacing w:val="-14"/>
                <w:sz w:val="24"/>
              </w:rPr>
              <w:t xml:space="preserve"> </w:t>
            </w:r>
            <w:r>
              <w:rPr>
                <w:color w:val="231F20"/>
                <w:sz w:val="24"/>
              </w:rPr>
              <w:t>entries</w:t>
            </w:r>
            <w:r>
              <w:rPr>
                <w:color w:val="231F20"/>
                <w:spacing w:val="-14"/>
                <w:sz w:val="24"/>
              </w:rPr>
              <w:t xml:space="preserve"> </w:t>
            </w:r>
            <w:r>
              <w:rPr>
                <w:color w:val="231F20"/>
                <w:sz w:val="24"/>
              </w:rPr>
              <w:t>to</w:t>
            </w:r>
            <w:r>
              <w:rPr>
                <w:color w:val="231F20"/>
                <w:spacing w:val="-15"/>
                <w:sz w:val="24"/>
              </w:rPr>
              <w:t xml:space="preserve"> </w:t>
            </w:r>
            <w:r>
              <w:rPr>
                <w:color w:val="231F20"/>
                <w:sz w:val="24"/>
              </w:rPr>
              <w:t>Tower 1 car park</w:t>
            </w:r>
          </w:p>
          <w:p w14:paraId="4770C830" w14:textId="77777777" w:rsidR="00345EE3" w:rsidRDefault="00345EE3">
            <w:pPr>
              <w:pStyle w:val="TableParagraph"/>
              <w:numPr>
                <w:ilvl w:val="0"/>
                <w:numId w:val="57"/>
              </w:numPr>
              <w:tabs>
                <w:tab w:val="left" w:pos="280"/>
                <w:tab w:val="left" w:pos="281"/>
              </w:tabs>
              <w:spacing w:before="31"/>
              <w:jc w:val="left"/>
              <w:rPr>
                <w:sz w:val="24"/>
              </w:rPr>
            </w:pPr>
            <w:r>
              <w:rPr>
                <w:color w:val="231F20"/>
                <w:sz w:val="24"/>
              </w:rPr>
              <w:t>Distraction</w:t>
            </w:r>
            <w:r>
              <w:rPr>
                <w:color w:val="231F20"/>
                <w:spacing w:val="-13"/>
                <w:sz w:val="24"/>
              </w:rPr>
              <w:t xml:space="preserve"> </w:t>
            </w:r>
            <w:r>
              <w:rPr>
                <w:color w:val="231F20"/>
                <w:spacing w:val="-2"/>
                <w:sz w:val="24"/>
              </w:rPr>
              <w:t>Devices</w:t>
            </w:r>
          </w:p>
          <w:p w14:paraId="4CBCB287" w14:textId="77777777" w:rsidR="00345EE3" w:rsidRDefault="00345EE3">
            <w:pPr>
              <w:pStyle w:val="TableParagraph"/>
              <w:numPr>
                <w:ilvl w:val="0"/>
                <w:numId w:val="57"/>
              </w:numPr>
              <w:tabs>
                <w:tab w:val="left" w:pos="280"/>
                <w:tab w:val="left" w:pos="281"/>
              </w:tabs>
              <w:spacing w:before="32" w:line="242" w:lineRule="auto"/>
              <w:ind w:right="1195"/>
              <w:jc w:val="left"/>
              <w:rPr>
                <w:sz w:val="24"/>
              </w:rPr>
            </w:pPr>
            <w:r>
              <w:rPr>
                <w:color w:val="231F20"/>
                <w:sz w:val="24"/>
              </w:rPr>
              <w:t>Airborne</w:t>
            </w:r>
            <w:r>
              <w:rPr>
                <w:color w:val="231F20"/>
                <w:spacing w:val="-19"/>
                <w:sz w:val="24"/>
              </w:rPr>
              <w:t xml:space="preserve"> </w:t>
            </w:r>
            <w:r>
              <w:rPr>
                <w:color w:val="231F20"/>
                <w:sz w:val="24"/>
              </w:rPr>
              <w:t>downlink</w:t>
            </w:r>
            <w:r>
              <w:rPr>
                <w:color w:val="231F20"/>
                <w:spacing w:val="-17"/>
                <w:sz w:val="24"/>
              </w:rPr>
              <w:t xml:space="preserve"> </w:t>
            </w:r>
            <w:r>
              <w:rPr>
                <w:color w:val="231F20"/>
                <w:sz w:val="24"/>
              </w:rPr>
              <w:t>system</w:t>
            </w:r>
            <w:r>
              <w:rPr>
                <w:color w:val="231F20"/>
                <w:spacing w:val="-16"/>
                <w:sz w:val="24"/>
              </w:rPr>
              <w:t xml:space="preserve"> </w:t>
            </w:r>
            <w:r>
              <w:rPr>
                <w:color w:val="231F20"/>
                <w:sz w:val="24"/>
              </w:rPr>
              <w:t xml:space="preserve">lifecycle </w:t>
            </w:r>
            <w:r>
              <w:rPr>
                <w:color w:val="231F20"/>
                <w:spacing w:val="-2"/>
                <w:sz w:val="24"/>
              </w:rPr>
              <w:t>replacement</w:t>
            </w:r>
          </w:p>
          <w:p w14:paraId="7E19BDC1" w14:textId="77777777" w:rsidR="00345EE3" w:rsidRDefault="00345EE3">
            <w:pPr>
              <w:pStyle w:val="TableParagraph"/>
              <w:numPr>
                <w:ilvl w:val="0"/>
                <w:numId w:val="57"/>
              </w:numPr>
              <w:tabs>
                <w:tab w:val="left" w:pos="280"/>
                <w:tab w:val="left" w:pos="281"/>
              </w:tabs>
              <w:spacing w:before="31"/>
              <w:jc w:val="left"/>
              <w:rPr>
                <w:sz w:val="24"/>
              </w:rPr>
            </w:pPr>
            <w:r>
              <w:rPr>
                <w:color w:val="231F20"/>
                <w:sz w:val="24"/>
              </w:rPr>
              <w:t>Pathology</w:t>
            </w:r>
            <w:r>
              <w:rPr>
                <w:color w:val="231F20"/>
                <w:spacing w:val="-12"/>
                <w:sz w:val="24"/>
              </w:rPr>
              <w:t xml:space="preserve"> </w:t>
            </w:r>
            <w:r>
              <w:rPr>
                <w:color w:val="231F20"/>
                <w:sz w:val="24"/>
              </w:rPr>
              <w:t>Services</w:t>
            </w:r>
            <w:r>
              <w:rPr>
                <w:color w:val="231F20"/>
                <w:spacing w:val="-12"/>
                <w:sz w:val="24"/>
              </w:rPr>
              <w:t xml:space="preserve"> </w:t>
            </w:r>
            <w:r>
              <w:rPr>
                <w:color w:val="231F20"/>
                <w:sz w:val="24"/>
              </w:rPr>
              <w:t>Covid-19</w:t>
            </w:r>
            <w:r>
              <w:rPr>
                <w:color w:val="231F20"/>
                <w:spacing w:val="-12"/>
                <w:sz w:val="24"/>
              </w:rPr>
              <w:t xml:space="preserve"> </w:t>
            </w:r>
            <w:r>
              <w:rPr>
                <w:color w:val="231F20"/>
                <w:sz w:val="24"/>
              </w:rPr>
              <w:t>PCR</w:t>
            </w:r>
            <w:r>
              <w:rPr>
                <w:color w:val="231F20"/>
                <w:spacing w:val="-11"/>
                <w:sz w:val="24"/>
              </w:rPr>
              <w:t xml:space="preserve"> </w:t>
            </w:r>
            <w:r>
              <w:rPr>
                <w:color w:val="231F20"/>
                <w:spacing w:val="-2"/>
                <w:sz w:val="24"/>
              </w:rPr>
              <w:t>Testing</w:t>
            </w:r>
          </w:p>
          <w:p w14:paraId="3C9197B7" w14:textId="77777777" w:rsidR="00345EE3" w:rsidRDefault="00345EE3">
            <w:pPr>
              <w:pStyle w:val="TableParagraph"/>
              <w:numPr>
                <w:ilvl w:val="0"/>
                <w:numId w:val="57"/>
              </w:numPr>
              <w:tabs>
                <w:tab w:val="left" w:pos="280"/>
                <w:tab w:val="left" w:pos="281"/>
              </w:tabs>
              <w:spacing w:before="32"/>
              <w:ind w:right="-15"/>
              <w:jc w:val="left"/>
              <w:rPr>
                <w:sz w:val="24"/>
              </w:rPr>
            </w:pPr>
            <w:r>
              <w:rPr>
                <w:color w:val="231F20"/>
                <w:sz w:val="24"/>
              </w:rPr>
              <w:t>Workforce</w:t>
            </w:r>
            <w:r>
              <w:rPr>
                <w:color w:val="231F20"/>
                <w:spacing w:val="-16"/>
                <w:sz w:val="24"/>
              </w:rPr>
              <w:t xml:space="preserve"> </w:t>
            </w:r>
            <w:r>
              <w:rPr>
                <w:color w:val="231F20"/>
                <w:sz w:val="24"/>
              </w:rPr>
              <w:t>Analysis</w:t>
            </w:r>
            <w:r>
              <w:rPr>
                <w:color w:val="231F20"/>
                <w:spacing w:val="-16"/>
                <w:sz w:val="24"/>
              </w:rPr>
              <w:t xml:space="preserve"> </w:t>
            </w:r>
            <w:r>
              <w:rPr>
                <w:color w:val="231F20"/>
                <w:sz w:val="24"/>
              </w:rPr>
              <w:t>Consultancy</w:t>
            </w:r>
            <w:r>
              <w:rPr>
                <w:color w:val="231F20"/>
                <w:spacing w:val="-15"/>
                <w:sz w:val="24"/>
              </w:rPr>
              <w:t xml:space="preserve"> </w:t>
            </w:r>
            <w:r>
              <w:rPr>
                <w:color w:val="231F20"/>
                <w:spacing w:val="-2"/>
                <w:sz w:val="24"/>
              </w:rPr>
              <w:t>Engagement</w:t>
            </w:r>
          </w:p>
          <w:p w14:paraId="38761209" w14:textId="77777777" w:rsidR="00345EE3" w:rsidRDefault="00345EE3">
            <w:pPr>
              <w:pStyle w:val="TableParagraph"/>
              <w:numPr>
                <w:ilvl w:val="0"/>
                <w:numId w:val="57"/>
              </w:numPr>
              <w:tabs>
                <w:tab w:val="left" w:pos="280"/>
                <w:tab w:val="left" w:pos="281"/>
              </w:tabs>
              <w:spacing w:before="33" w:line="242" w:lineRule="auto"/>
              <w:ind w:right="223"/>
              <w:jc w:val="left"/>
              <w:rPr>
                <w:sz w:val="24"/>
              </w:rPr>
            </w:pPr>
            <w:r>
              <w:rPr>
                <w:color w:val="231F20"/>
                <w:sz w:val="24"/>
              </w:rPr>
              <w:t>Replacement</w:t>
            </w:r>
            <w:r>
              <w:rPr>
                <w:color w:val="231F20"/>
                <w:spacing w:val="-17"/>
                <w:sz w:val="24"/>
              </w:rPr>
              <w:t xml:space="preserve"> </w:t>
            </w:r>
            <w:r>
              <w:rPr>
                <w:color w:val="231F20"/>
                <w:sz w:val="24"/>
              </w:rPr>
              <w:t>Vessel</w:t>
            </w:r>
            <w:r>
              <w:rPr>
                <w:color w:val="231F20"/>
                <w:spacing w:val="-17"/>
                <w:sz w:val="24"/>
              </w:rPr>
              <w:t xml:space="preserve"> </w:t>
            </w:r>
            <w:r>
              <w:rPr>
                <w:color w:val="231F20"/>
                <w:sz w:val="24"/>
              </w:rPr>
              <w:t>(VP09)</w:t>
            </w:r>
            <w:r>
              <w:rPr>
                <w:color w:val="231F20"/>
                <w:spacing w:val="-16"/>
                <w:sz w:val="24"/>
              </w:rPr>
              <w:t xml:space="preserve"> </w:t>
            </w:r>
            <w:r>
              <w:rPr>
                <w:color w:val="231F20"/>
                <w:sz w:val="24"/>
              </w:rPr>
              <w:t>–</w:t>
            </w:r>
            <w:r>
              <w:rPr>
                <w:color w:val="231F20"/>
                <w:spacing w:val="-17"/>
                <w:sz w:val="24"/>
              </w:rPr>
              <w:t xml:space="preserve"> </w:t>
            </w:r>
            <w:r>
              <w:rPr>
                <w:color w:val="231F20"/>
                <w:sz w:val="24"/>
              </w:rPr>
              <w:t>Water</w:t>
            </w:r>
            <w:r>
              <w:rPr>
                <w:color w:val="231F20"/>
                <w:spacing w:val="-17"/>
                <w:sz w:val="24"/>
              </w:rPr>
              <w:t xml:space="preserve"> </w:t>
            </w:r>
            <w:r>
              <w:rPr>
                <w:color w:val="231F20"/>
                <w:sz w:val="24"/>
              </w:rPr>
              <w:t xml:space="preserve">Police Squad (One (1) 15-18 metre Police Patrol </w:t>
            </w:r>
            <w:r>
              <w:rPr>
                <w:color w:val="231F20"/>
                <w:spacing w:val="-2"/>
                <w:sz w:val="24"/>
              </w:rPr>
              <w:t>Vessel)</w:t>
            </w:r>
          </w:p>
          <w:p w14:paraId="249EB2D8" w14:textId="77777777" w:rsidR="00345EE3" w:rsidRDefault="00345EE3">
            <w:pPr>
              <w:pStyle w:val="TableParagraph"/>
              <w:numPr>
                <w:ilvl w:val="0"/>
                <w:numId w:val="57"/>
              </w:numPr>
              <w:tabs>
                <w:tab w:val="left" w:pos="280"/>
                <w:tab w:val="left" w:pos="281"/>
              </w:tabs>
              <w:spacing w:before="32" w:line="242" w:lineRule="auto"/>
              <w:ind w:right="359"/>
              <w:jc w:val="left"/>
              <w:rPr>
                <w:sz w:val="24"/>
              </w:rPr>
            </w:pPr>
            <w:r>
              <w:rPr>
                <w:color w:val="231F20"/>
                <w:sz w:val="24"/>
              </w:rPr>
              <w:t>Cold</w:t>
            </w:r>
            <w:r>
              <w:rPr>
                <w:color w:val="231F20"/>
                <w:spacing w:val="-17"/>
                <w:sz w:val="24"/>
              </w:rPr>
              <w:t xml:space="preserve"> </w:t>
            </w:r>
            <w:r>
              <w:rPr>
                <w:color w:val="231F20"/>
                <w:sz w:val="24"/>
              </w:rPr>
              <w:t>Weather</w:t>
            </w:r>
            <w:r>
              <w:rPr>
                <w:color w:val="231F20"/>
                <w:spacing w:val="-17"/>
                <w:sz w:val="24"/>
              </w:rPr>
              <w:t xml:space="preserve"> </w:t>
            </w:r>
            <w:r>
              <w:rPr>
                <w:color w:val="231F20"/>
                <w:sz w:val="24"/>
              </w:rPr>
              <w:t>Thermal</w:t>
            </w:r>
            <w:r>
              <w:rPr>
                <w:color w:val="231F20"/>
                <w:spacing w:val="-16"/>
                <w:sz w:val="24"/>
              </w:rPr>
              <w:t xml:space="preserve"> </w:t>
            </w:r>
            <w:r>
              <w:rPr>
                <w:color w:val="231F20"/>
                <w:sz w:val="24"/>
              </w:rPr>
              <w:t>Undergarments</w:t>
            </w:r>
            <w:r>
              <w:rPr>
                <w:color w:val="231F20"/>
                <w:spacing w:val="-17"/>
                <w:sz w:val="24"/>
              </w:rPr>
              <w:t xml:space="preserve"> </w:t>
            </w:r>
            <w:r>
              <w:rPr>
                <w:color w:val="231F20"/>
                <w:sz w:val="24"/>
              </w:rPr>
              <w:t xml:space="preserve">(T/ shirt Crew Neck Long Sleeve and Long </w:t>
            </w:r>
            <w:r>
              <w:rPr>
                <w:color w:val="231F20"/>
                <w:spacing w:val="-2"/>
                <w:sz w:val="24"/>
              </w:rPr>
              <w:t>Johns)</w:t>
            </w:r>
          </w:p>
          <w:p w14:paraId="773FDE8F" w14:textId="77777777" w:rsidR="00345EE3" w:rsidRDefault="00345EE3">
            <w:pPr>
              <w:pStyle w:val="TableParagraph"/>
              <w:numPr>
                <w:ilvl w:val="0"/>
                <w:numId w:val="57"/>
              </w:numPr>
              <w:tabs>
                <w:tab w:val="left" w:pos="280"/>
                <w:tab w:val="left" w:pos="281"/>
              </w:tabs>
              <w:spacing w:before="32" w:line="242" w:lineRule="auto"/>
              <w:ind w:right="863"/>
              <w:jc w:val="left"/>
              <w:rPr>
                <w:sz w:val="24"/>
              </w:rPr>
            </w:pPr>
            <w:r>
              <w:rPr>
                <w:color w:val="231F20"/>
                <w:sz w:val="24"/>
              </w:rPr>
              <w:t>Confluent</w:t>
            </w:r>
            <w:r>
              <w:rPr>
                <w:color w:val="231F20"/>
                <w:spacing w:val="-15"/>
                <w:sz w:val="24"/>
              </w:rPr>
              <w:t xml:space="preserve"> </w:t>
            </w:r>
            <w:r>
              <w:rPr>
                <w:color w:val="231F20"/>
                <w:sz w:val="24"/>
              </w:rPr>
              <w:t>Kafka</w:t>
            </w:r>
            <w:r>
              <w:rPr>
                <w:color w:val="231F20"/>
                <w:spacing w:val="-16"/>
                <w:sz w:val="24"/>
              </w:rPr>
              <w:t xml:space="preserve"> </w:t>
            </w:r>
            <w:r>
              <w:rPr>
                <w:color w:val="231F20"/>
                <w:sz w:val="24"/>
              </w:rPr>
              <w:t>Software</w:t>
            </w:r>
            <w:r>
              <w:rPr>
                <w:color w:val="231F20"/>
                <w:spacing w:val="-16"/>
                <w:sz w:val="24"/>
              </w:rPr>
              <w:t xml:space="preserve"> </w:t>
            </w:r>
            <w:r>
              <w:rPr>
                <w:color w:val="231F20"/>
                <w:sz w:val="24"/>
              </w:rPr>
              <w:t xml:space="preserve">Application </w:t>
            </w:r>
            <w:r>
              <w:rPr>
                <w:color w:val="231F20"/>
                <w:spacing w:val="-2"/>
                <w:sz w:val="24"/>
              </w:rPr>
              <w:t>Support</w:t>
            </w:r>
          </w:p>
          <w:p w14:paraId="684A08D6" w14:textId="77777777" w:rsidR="00345EE3" w:rsidRDefault="00345EE3">
            <w:pPr>
              <w:pStyle w:val="TableParagraph"/>
              <w:numPr>
                <w:ilvl w:val="0"/>
                <w:numId w:val="57"/>
              </w:numPr>
              <w:tabs>
                <w:tab w:val="left" w:pos="280"/>
                <w:tab w:val="left" w:pos="281"/>
              </w:tabs>
              <w:spacing w:before="31" w:line="242" w:lineRule="auto"/>
              <w:ind w:right="187"/>
              <w:jc w:val="left"/>
              <w:rPr>
                <w:sz w:val="24"/>
              </w:rPr>
            </w:pPr>
            <w:r>
              <w:rPr>
                <w:color w:val="231F20"/>
                <w:spacing w:val="-2"/>
                <w:sz w:val="24"/>
              </w:rPr>
              <w:t>Women’s</w:t>
            </w:r>
            <w:r>
              <w:rPr>
                <w:color w:val="231F20"/>
                <w:spacing w:val="-11"/>
                <w:sz w:val="24"/>
              </w:rPr>
              <w:t xml:space="preserve"> </w:t>
            </w:r>
            <w:r>
              <w:rPr>
                <w:color w:val="231F20"/>
                <w:spacing w:val="-2"/>
                <w:sz w:val="24"/>
              </w:rPr>
              <w:t>leadership</w:t>
            </w:r>
            <w:r>
              <w:rPr>
                <w:color w:val="231F20"/>
                <w:spacing w:val="-11"/>
                <w:sz w:val="24"/>
              </w:rPr>
              <w:t xml:space="preserve"> </w:t>
            </w:r>
            <w:r>
              <w:rPr>
                <w:color w:val="231F20"/>
                <w:spacing w:val="-2"/>
                <w:sz w:val="24"/>
              </w:rPr>
              <w:t>development</w:t>
            </w:r>
            <w:r>
              <w:rPr>
                <w:color w:val="231F20"/>
                <w:spacing w:val="-11"/>
                <w:sz w:val="24"/>
              </w:rPr>
              <w:t xml:space="preserve"> </w:t>
            </w:r>
            <w:r>
              <w:rPr>
                <w:color w:val="231F20"/>
                <w:spacing w:val="-2"/>
                <w:sz w:val="24"/>
              </w:rPr>
              <w:t>programs panel</w:t>
            </w:r>
          </w:p>
        </w:tc>
        <w:tc>
          <w:tcPr>
            <w:tcW w:w="5074" w:type="dxa"/>
            <w:tcBorders>
              <w:left w:val="single" w:sz="2" w:space="0" w:color="939598"/>
              <w:bottom w:val="single" w:sz="2" w:space="0" w:color="939598"/>
            </w:tcBorders>
          </w:tcPr>
          <w:p w14:paraId="7B41E15D" w14:textId="77777777" w:rsidR="00345EE3" w:rsidRDefault="00345EE3" w:rsidP="00D73130">
            <w:pPr>
              <w:pStyle w:val="TableParagraph"/>
              <w:spacing w:line="242" w:lineRule="auto"/>
              <w:ind w:right="68"/>
              <w:jc w:val="left"/>
              <w:rPr>
                <w:sz w:val="24"/>
              </w:rPr>
            </w:pPr>
            <w:r>
              <w:rPr>
                <w:color w:val="231F20"/>
                <w:sz w:val="24"/>
              </w:rPr>
              <w:t>Successful suppliers from the listed contracts committed only to the mandatory Supplier Code</w:t>
            </w:r>
            <w:r>
              <w:rPr>
                <w:color w:val="231F20"/>
                <w:spacing w:val="-7"/>
                <w:sz w:val="24"/>
              </w:rPr>
              <w:t xml:space="preserve"> </w:t>
            </w:r>
            <w:r>
              <w:rPr>
                <w:color w:val="231F20"/>
                <w:sz w:val="24"/>
              </w:rPr>
              <w:t>of</w:t>
            </w:r>
            <w:r>
              <w:rPr>
                <w:color w:val="231F20"/>
                <w:spacing w:val="-7"/>
                <w:sz w:val="24"/>
              </w:rPr>
              <w:t xml:space="preserve"> </w:t>
            </w:r>
            <w:r>
              <w:rPr>
                <w:color w:val="231F20"/>
                <w:sz w:val="24"/>
              </w:rPr>
              <w:t>Conduct</w:t>
            </w:r>
            <w:r>
              <w:rPr>
                <w:color w:val="231F20"/>
                <w:spacing w:val="-7"/>
                <w:sz w:val="24"/>
              </w:rPr>
              <w:t xml:space="preserve"> </w:t>
            </w:r>
            <w:r>
              <w:rPr>
                <w:color w:val="231F20"/>
                <w:sz w:val="24"/>
              </w:rPr>
              <w:t>which</w:t>
            </w:r>
            <w:r>
              <w:rPr>
                <w:color w:val="231F20"/>
                <w:spacing w:val="-7"/>
                <w:sz w:val="24"/>
              </w:rPr>
              <w:t xml:space="preserve"> </w:t>
            </w:r>
            <w:r>
              <w:rPr>
                <w:color w:val="231F20"/>
                <w:sz w:val="24"/>
              </w:rPr>
              <w:t>stipulates</w:t>
            </w:r>
            <w:r>
              <w:rPr>
                <w:color w:val="231F20"/>
                <w:spacing w:val="-6"/>
                <w:sz w:val="24"/>
              </w:rPr>
              <w:t xml:space="preserve"> </w:t>
            </w:r>
            <w:r>
              <w:rPr>
                <w:color w:val="231F20"/>
                <w:sz w:val="24"/>
              </w:rPr>
              <w:t>the</w:t>
            </w:r>
            <w:r>
              <w:rPr>
                <w:color w:val="231F20"/>
                <w:spacing w:val="-6"/>
                <w:sz w:val="24"/>
              </w:rPr>
              <w:t xml:space="preserve"> </w:t>
            </w:r>
            <w:r>
              <w:rPr>
                <w:color w:val="231F20"/>
                <w:sz w:val="24"/>
              </w:rPr>
              <w:t>minimum standards of ethical, sustainable and socially responsible practices.</w:t>
            </w:r>
          </w:p>
        </w:tc>
      </w:tr>
    </w:tbl>
    <w:p w14:paraId="3D7FC9E5" w14:textId="77777777" w:rsidR="00345EE3" w:rsidRDefault="00345EE3" w:rsidP="00345EE3">
      <w:pPr>
        <w:spacing w:line="242" w:lineRule="auto"/>
        <w:rPr>
          <w:sz w:val="24"/>
        </w:rPr>
        <w:sectPr w:rsidR="00345EE3">
          <w:pgSz w:w="11910" w:h="16840"/>
          <w:pgMar w:top="820" w:right="0" w:bottom="280" w:left="740" w:header="720" w:footer="72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5102"/>
        <w:gridCol w:w="5074"/>
      </w:tblGrid>
      <w:tr w:rsidR="00345EE3" w14:paraId="127A9E06" w14:textId="77777777" w:rsidTr="00D73130">
        <w:trPr>
          <w:trHeight w:val="961"/>
        </w:trPr>
        <w:tc>
          <w:tcPr>
            <w:tcW w:w="10176" w:type="dxa"/>
            <w:gridSpan w:val="2"/>
            <w:shd w:val="clear" w:color="auto" w:fill="00529F"/>
          </w:tcPr>
          <w:p w14:paraId="6A712A8F" w14:textId="77777777" w:rsidR="00345EE3" w:rsidRDefault="00345EE3" w:rsidP="00D73130">
            <w:pPr>
              <w:pStyle w:val="TableParagraph"/>
              <w:tabs>
                <w:tab w:val="left" w:pos="5104"/>
              </w:tabs>
              <w:spacing w:before="63" w:line="242" w:lineRule="auto"/>
              <w:ind w:left="5104" w:right="313" w:hanging="5105"/>
              <w:jc w:val="left"/>
              <w:rPr>
                <w:b/>
                <w:sz w:val="24"/>
              </w:rPr>
            </w:pPr>
            <w:r>
              <w:rPr>
                <w:b/>
                <w:color w:val="FFFFFF"/>
                <w:sz w:val="24"/>
              </w:rPr>
              <w:t>Procurement contract</w:t>
            </w:r>
            <w:r>
              <w:rPr>
                <w:b/>
                <w:color w:val="FFFFFF"/>
                <w:sz w:val="24"/>
              </w:rPr>
              <w:tab/>
              <w:t>Additional</w:t>
            </w:r>
            <w:r>
              <w:rPr>
                <w:b/>
                <w:color w:val="FFFFFF"/>
                <w:spacing w:val="-14"/>
                <w:sz w:val="24"/>
              </w:rPr>
              <w:t xml:space="preserve"> </w:t>
            </w:r>
            <w:r>
              <w:rPr>
                <w:b/>
                <w:color w:val="FFFFFF"/>
                <w:sz w:val="24"/>
              </w:rPr>
              <w:t>sustainable</w:t>
            </w:r>
            <w:r>
              <w:rPr>
                <w:b/>
                <w:color w:val="FFFFFF"/>
                <w:spacing w:val="-14"/>
                <w:sz w:val="24"/>
              </w:rPr>
              <w:t xml:space="preserve"> </w:t>
            </w:r>
            <w:r>
              <w:rPr>
                <w:b/>
                <w:color w:val="FFFFFF"/>
                <w:sz w:val="24"/>
              </w:rPr>
              <w:t>and</w:t>
            </w:r>
            <w:r>
              <w:rPr>
                <w:b/>
                <w:color w:val="FFFFFF"/>
                <w:spacing w:val="-14"/>
                <w:sz w:val="24"/>
              </w:rPr>
              <w:t xml:space="preserve"> </w:t>
            </w:r>
            <w:r>
              <w:rPr>
                <w:b/>
                <w:color w:val="FFFFFF"/>
                <w:sz w:val="24"/>
              </w:rPr>
              <w:t>environmental considerations applied during the procurement process</w:t>
            </w:r>
          </w:p>
        </w:tc>
      </w:tr>
      <w:tr w:rsidR="00345EE3" w14:paraId="47F7C43E" w14:textId="77777777" w:rsidTr="00D73130">
        <w:trPr>
          <w:trHeight w:val="5385"/>
        </w:trPr>
        <w:tc>
          <w:tcPr>
            <w:tcW w:w="5102" w:type="dxa"/>
            <w:tcBorders>
              <w:bottom w:val="single" w:sz="2" w:space="0" w:color="939598"/>
              <w:right w:val="single" w:sz="2" w:space="0" w:color="939598"/>
            </w:tcBorders>
          </w:tcPr>
          <w:p w14:paraId="050CF924" w14:textId="77777777" w:rsidR="00345EE3" w:rsidRDefault="00345EE3">
            <w:pPr>
              <w:pStyle w:val="TableParagraph"/>
              <w:numPr>
                <w:ilvl w:val="0"/>
                <w:numId w:val="56"/>
              </w:numPr>
              <w:tabs>
                <w:tab w:val="left" w:pos="280"/>
                <w:tab w:val="left" w:pos="281"/>
              </w:tabs>
              <w:spacing w:before="0" w:line="226" w:lineRule="exact"/>
              <w:jc w:val="left"/>
              <w:rPr>
                <w:sz w:val="24"/>
              </w:rPr>
            </w:pPr>
            <w:r>
              <w:rPr>
                <w:color w:val="231F20"/>
                <w:sz w:val="24"/>
              </w:rPr>
              <w:t>Penetration</w:t>
            </w:r>
            <w:r>
              <w:rPr>
                <w:color w:val="231F20"/>
                <w:spacing w:val="-11"/>
                <w:sz w:val="24"/>
              </w:rPr>
              <w:t xml:space="preserve"> </w:t>
            </w:r>
            <w:r>
              <w:rPr>
                <w:color w:val="231F20"/>
                <w:sz w:val="24"/>
              </w:rPr>
              <w:t>testing</w:t>
            </w:r>
            <w:r>
              <w:rPr>
                <w:color w:val="231F20"/>
                <w:spacing w:val="-11"/>
                <w:sz w:val="24"/>
              </w:rPr>
              <w:t xml:space="preserve"> </w:t>
            </w:r>
            <w:r>
              <w:rPr>
                <w:color w:val="231F20"/>
                <w:sz w:val="24"/>
              </w:rPr>
              <w:t>and</w:t>
            </w:r>
            <w:r>
              <w:rPr>
                <w:color w:val="231F20"/>
                <w:spacing w:val="-11"/>
                <w:sz w:val="24"/>
              </w:rPr>
              <w:t xml:space="preserve"> </w:t>
            </w:r>
            <w:r>
              <w:rPr>
                <w:color w:val="231F20"/>
                <w:sz w:val="24"/>
              </w:rPr>
              <w:t>security</w:t>
            </w:r>
            <w:r>
              <w:rPr>
                <w:color w:val="231F20"/>
                <w:spacing w:val="-10"/>
                <w:sz w:val="24"/>
              </w:rPr>
              <w:t xml:space="preserve"> </w:t>
            </w:r>
            <w:r>
              <w:rPr>
                <w:color w:val="231F20"/>
                <w:spacing w:val="-2"/>
                <w:sz w:val="24"/>
              </w:rPr>
              <w:t>assessment</w:t>
            </w:r>
          </w:p>
          <w:p w14:paraId="5DBE8CF4" w14:textId="77777777" w:rsidR="00345EE3" w:rsidRDefault="00345EE3" w:rsidP="00D73130">
            <w:pPr>
              <w:pStyle w:val="TableParagraph"/>
              <w:spacing w:before="4"/>
              <w:ind w:left="280"/>
              <w:jc w:val="left"/>
              <w:rPr>
                <w:sz w:val="24"/>
              </w:rPr>
            </w:pPr>
            <w:r>
              <w:rPr>
                <w:color w:val="231F20"/>
                <w:spacing w:val="-2"/>
                <w:sz w:val="24"/>
              </w:rPr>
              <w:t>panel</w:t>
            </w:r>
          </w:p>
          <w:p w14:paraId="7232534A" w14:textId="77777777" w:rsidR="00345EE3" w:rsidRDefault="00345EE3">
            <w:pPr>
              <w:pStyle w:val="TableParagraph"/>
              <w:numPr>
                <w:ilvl w:val="0"/>
                <w:numId w:val="56"/>
              </w:numPr>
              <w:tabs>
                <w:tab w:val="left" w:pos="280"/>
                <w:tab w:val="left" w:pos="281"/>
              </w:tabs>
              <w:spacing w:before="32"/>
              <w:jc w:val="left"/>
              <w:rPr>
                <w:sz w:val="24"/>
              </w:rPr>
            </w:pPr>
            <w:r>
              <w:rPr>
                <w:color w:val="231F20"/>
                <w:sz w:val="24"/>
              </w:rPr>
              <w:t>Speed</w:t>
            </w:r>
            <w:r>
              <w:rPr>
                <w:color w:val="231F20"/>
                <w:spacing w:val="-11"/>
                <w:sz w:val="24"/>
              </w:rPr>
              <w:t xml:space="preserve"> </w:t>
            </w:r>
            <w:r>
              <w:rPr>
                <w:color w:val="231F20"/>
                <w:sz w:val="24"/>
              </w:rPr>
              <w:t>detector</w:t>
            </w:r>
            <w:r>
              <w:rPr>
                <w:color w:val="231F20"/>
                <w:spacing w:val="-9"/>
                <w:sz w:val="24"/>
              </w:rPr>
              <w:t xml:space="preserve"> </w:t>
            </w:r>
            <w:r>
              <w:rPr>
                <w:color w:val="231F20"/>
                <w:spacing w:val="-2"/>
                <w:sz w:val="24"/>
              </w:rPr>
              <w:t>certification</w:t>
            </w:r>
          </w:p>
          <w:p w14:paraId="0FB2383E" w14:textId="77777777" w:rsidR="00345EE3" w:rsidRDefault="00345EE3">
            <w:pPr>
              <w:pStyle w:val="TableParagraph"/>
              <w:numPr>
                <w:ilvl w:val="0"/>
                <w:numId w:val="56"/>
              </w:numPr>
              <w:tabs>
                <w:tab w:val="left" w:pos="280"/>
                <w:tab w:val="left" w:pos="281"/>
              </w:tabs>
              <w:spacing w:before="32"/>
              <w:jc w:val="left"/>
              <w:rPr>
                <w:sz w:val="24"/>
              </w:rPr>
            </w:pPr>
            <w:r>
              <w:rPr>
                <w:color w:val="231F20"/>
                <w:spacing w:val="-2"/>
                <w:sz w:val="24"/>
              </w:rPr>
              <w:t>Replacement</w:t>
            </w:r>
            <w:r>
              <w:rPr>
                <w:color w:val="231F20"/>
                <w:spacing w:val="1"/>
                <w:sz w:val="24"/>
              </w:rPr>
              <w:t xml:space="preserve"> </w:t>
            </w:r>
            <w:r>
              <w:rPr>
                <w:color w:val="231F20"/>
                <w:spacing w:val="-2"/>
                <w:sz w:val="24"/>
              </w:rPr>
              <w:t>vessel</w:t>
            </w:r>
          </w:p>
          <w:p w14:paraId="43246DD4" w14:textId="77777777" w:rsidR="00345EE3" w:rsidRDefault="00345EE3">
            <w:pPr>
              <w:pStyle w:val="TableParagraph"/>
              <w:numPr>
                <w:ilvl w:val="0"/>
                <w:numId w:val="56"/>
              </w:numPr>
              <w:tabs>
                <w:tab w:val="left" w:pos="280"/>
                <w:tab w:val="left" w:pos="281"/>
              </w:tabs>
              <w:spacing w:before="33"/>
              <w:jc w:val="left"/>
              <w:rPr>
                <w:sz w:val="24"/>
              </w:rPr>
            </w:pPr>
            <w:r>
              <w:rPr>
                <w:color w:val="231F20"/>
                <w:sz w:val="24"/>
              </w:rPr>
              <w:t>Microsoft</w:t>
            </w:r>
            <w:r>
              <w:rPr>
                <w:color w:val="231F20"/>
                <w:spacing w:val="-4"/>
                <w:sz w:val="24"/>
              </w:rPr>
              <w:t xml:space="preserve"> </w:t>
            </w:r>
            <w:r>
              <w:rPr>
                <w:color w:val="231F20"/>
                <w:sz w:val="24"/>
              </w:rPr>
              <w:t>Unified</w:t>
            </w:r>
            <w:r>
              <w:rPr>
                <w:color w:val="231F20"/>
                <w:spacing w:val="-4"/>
                <w:sz w:val="24"/>
              </w:rPr>
              <w:t xml:space="preserve"> </w:t>
            </w:r>
            <w:r>
              <w:rPr>
                <w:color w:val="231F20"/>
                <w:spacing w:val="-2"/>
                <w:sz w:val="24"/>
              </w:rPr>
              <w:t>Support</w:t>
            </w:r>
          </w:p>
          <w:p w14:paraId="6796268B" w14:textId="77777777" w:rsidR="00345EE3" w:rsidRDefault="00345EE3">
            <w:pPr>
              <w:pStyle w:val="TableParagraph"/>
              <w:numPr>
                <w:ilvl w:val="0"/>
                <w:numId w:val="56"/>
              </w:numPr>
              <w:tabs>
                <w:tab w:val="left" w:pos="280"/>
                <w:tab w:val="left" w:pos="281"/>
              </w:tabs>
              <w:spacing w:before="32"/>
              <w:jc w:val="left"/>
              <w:rPr>
                <w:sz w:val="24"/>
              </w:rPr>
            </w:pPr>
            <w:r>
              <w:rPr>
                <w:color w:val="231F20"/>
                <w:sz w:val="24"/>
              </w:rPr>
              <w:t>ANZPAA</w:t>
            </w:r>
            <w:r>
              <w:rPr>
                <w:color w:val="231F20"/>
                <w:spacing w:val="-3"/>
                <w:sz w:val="24"/>
              </w:rPr>
              <w:t xml:space="preserve"> </w:t>
            </w:r>
            <w:r>
              <w:rPr>
                <w:color w:val="231F20"/>
                <w:sz w:val="24"/>
              </w:rPr>
              <w:t>Managed</w:t>
            </w:r>
            <w:r>
              <w:rPr>
                <w:color w:val="231F20"/>
                <w:spacing w:val="-3"/>
                <w:sz w:val="24"/>
              </w:rPr>
              <w:t xml:space="preserve"> </w:t>
            </w:r>
            <w:r>
              <w:rPr>
                <w:color w:val="231F20"/>
                <w:sz w:val="24"/>
              </w:rPr>
              <w:t>Service</w:t>
            </w:r>
            <w:r>
              <w:rPr>
                <w:color w:val="231F20"/>
                <w:spacing w:val="-3"/>
                <w:sz w:val="24"/>
              </w:rPr>
              <w:t xml:space="preserve"> </w:t>
            </w:r>
            <w:r>
              <w:rPr>
                <w:color w:val="231F20"/>
                <w:spacing w:val="-2"/>
                <w:sz w:val="24"/>
              </w:rPr>
              <w:t>Agreement</w:t>
            </w:r>
          </w:p>
          <w:p w14:paraId="06519C1C" w14:textId="77777777" w:rsidR="00345EE3" w:rsidRDefault="00345EE3">
            <w:pPr>
              <w:pStyle w:val="TableParagraph"/>
              <w:numPr>
                <w:ilvl w:val="0"/>
                <w:numId w:val="56"/>
              </w:numPr>
              <w:tabs>
                <w:tab w:val="left" w:pos="280"/>
                <w:tab w:val="left" w:pos="281"/>
              </w:tabs>
              <w:spacing w:before="33"/>
              <w:jc w:val="left"/>
              <w:rPr>
                <w:sz w:val="24"/>
              </w:rPr>
            </w:pPr>
            <w:r>
              <w:rPr>
                <w:color w:val="231F20"/>
                <w:sz w:val="24"/>
              </w:rPr>
              <w:t>Immersive</w:t>
            </w:r>
            <w:r>
              <w:rPr>
                <w:color w:val="231F20"/>
                <w:spacing w:val="-15"/>
                <w:sz w:val="24"/>
              </w:rPr>
              <w:t xml:space="preserve"> </w:t>
            </w:r>
            <w:r>
              <w:rPr>
                <w:color w:val="231F20"/>
                <w:sz w:val="24"/>
              </w:rPr>
              <w:t>Learning</w:t>
            </w:r>
            <w:r>
              <w:rPr>
                <w:color w:val="231F20"/>
                <w:spacing w:val="-14"/>
                <w:sz w:val="24"/>
              </w:rPr>
              <w:t xml:space="preserve"> </w:t>
            </w:r>
            <w:r>
              <w:rPr>
                <w:color w:val="231F20"/>
                <w:spacing w:val="-2"/>
                <w:sz w:val="24"/>
              </w:rPr>
              <w:t>System</w:t>
            </w:r>
          </w:p>
          <w:p w14:paraId="03DE8A15" w14:textId="77777777" w:rsidR="00345EE3" w:rsidRDefault="00345EE3">
            <w:pPr>
              <w:pStyle w:val="TableParagraph"/>
              <w:numPr>
                <w:ilvl w:val="0"/>
                <w:numId w:val="56"/>
              </w:numPr>
              <w:tabs>
                <w:tab w:val="left" w:pos="280"/>
                <w:tab w:val="left" w:pos="281"/>
              </w:tabs>
              <w:spacing w:before="32" w:line="242" w:lineRule="auto"/>
              <w:ind w:right="179"/>
              <w:jc w:val="left"/>
              <w:rPr>
                <w:sz w:val="24"/>
              </w:rPr>
            </w:pPr>
            <w:r>
              <w:rPr>
                <w:color w:val="231F20"/>
                <w:sz w:val="24"/>
              </w:rPr>
              <w:t xml:space="preserve">Major Collision Investigation Unit Scene </w:t>
            </w:r>
            <w:r>
              <w:rPr>
                <w:color w:val="231F20"/>
                <w:spacing w:val="-2"/>
                <w:sz w:val="24"/>
              </w:rPr>
              <w:t>Survey</w:t>
            </w:r>
            <w:r>
              <w:rPr>
                <w:color w:val="231F20"/>
                <w:spacing w:val="-15"/>
                <w:sz w:val="24"/>
              </w:rPr>
              <w:t xml:space="preserve"> </w:t>
            </w:r>
            <w:r>
              <w:rPr>
                <w:color w:val="231F20"/>
                <w:spacing w:val="-2"/>
                <w:sz w:val="24"/>
              </w:rPr>
              <w:t>Equipment</w:t>
            </w:r>
            <w:r>
              <w:rPr>
                <w:color w:val="231F20"/>
                <w:spacing w:val="-15"/>
                <w:sz w:val="24"/>
              </w:rPr>
              <w:t xml:space="preserve"> </w:t>
            </w:r>
            <w:r>
              <w:rPr>
                <w:color w:val="231F20"/>
                <w:spacing w:val="-2"/>
                <w:sz w:val="24"/>
              </w:rPr>
              <w:t>Tenable</w:t>
            </w:r>
            <w:r>
              <w:rPr>
                <w:color w:val="231F20"/>
                <w:spacing w:val="-14"/>
                <w:sz w:val="24"/>
              </w:rPr>
              <w:t xml:space="preserve"> </w:t>
            </w:r>
            <w:r>
              <w:rPr>
                <w:color w:val="231F20"/>
                <w:spacing w:val="-2"/>
                <w:sz w:val="24"/>
              </w:rPr>
              <w:t>Licensing</w:t>
            </w:r>
            <w:r>
              <w:rPr>
                <w:color w:val="231F20"/>
                <w:spacing w:val="-15"/>
                <w:sz w:val="24"/>
              </w:rPr>
              <w:t xml:space="preserve"> </w:t>
            </w:r>
            <w:r>
              <w:rPr>
                <w:color w:val="231F20"/>
                <w:spacing w:val="-2"/>
                <w:sz w:val="24"/>
              </w:rPr>
              <w:t>(2021)</w:t>
            </w:r>
          </w:p>
          <w:p w14:paraId="0B640C0B" w14:textId="77777777" w:rsidR="00345EE3" w:rsidRDefault="00345EE3">
            <w:pPr>
              <w:pStyle w:val="TableParagraph"/>
              <w:numPr>
                <w:ilvl w:val="0"/>
                <w:numId w:val="56"/>
              </w:numPr>
              <w:tabs>
                <w:tab w:val="left" w:pos="280"/>
                <w:tab w:val="left" w:pos="281"/>
              </w:tabs>
              <w:spacing w:before="31"/>
              <w:jc w:val="left"/>
              <w:rPr>
                <w:sz w:val="24"/>
              </w:rPr>
            </w:pPr>
            <w:r>
              <w:rPr>
                <w:color w:val="231F20"/>
                <w:spacing w:val="-2"/>
                <w:sz w:val="24"/>
              </w:rPr>
              <w:t>Probabilistic</w:t>
            </w:r>
            <w:r>
              <w:rPr>
                <w:color w:val="231F20"/>
                <w:spacing w:val="5"/>
                <w:sz w:val="24"/>
              </w:rPr>
              <w:t xml:space="preserve"> </w:t>
            </w:r>
            <w:r>
              <w:rPr>
                <w:color w:val="231F20"/>
                <w:spacing w:val="-2"/>
                <w:sz w:val="24"/>
              </w:rPr>
              <w:t>Genotyping</w:t>
            </w:r>
            <w:r>
              <w:rPr>
                <w:color w:val="231F20"/>
                <w:spacing w:val="5"/>
                <w:sz w:val="24"/>
              </w:rPr>
              <w:t xml:space="preserve"> </w:t>
            </w:r>
            <w:r>
              <w:rPr>
                <w:color w:val="231F20"/>
                <w:spacing w:val="-2"/>
                <w:sz w:val="24"/>
              </w:rPr>
              <w:t>Software</w:t>
            </w:r>
          </w:p>
          <w:p w14:paraId="182EAF41" w14:textId="77777777" w:rsidR="00345EE3" w:rsidRDefault="00345EE3">
            <w:pPr>
              <w:pStyle w:val="TableParagraph"/>
              <w:numPr>
                <w:ilvl w:val="0"/>
                <w:numId w:val="56"/>
              </w:numPr>
              <w:tabs>
                <w:tab w:val="left" w:pos="280"/>
                <w:tab w:val="left" w:pos="281"/>
              </w:tabs>
              <w:spacing w:before="32" w:line="242" w:lineRule="auto"/>
              <w:ind w:right="700"/>
              <w:jc w:val="left"/>
              <w:rPr>
                <w:sz w:val="24"/>
              </w:rPr>
            </w:pPr>
            <w:r>
              <w:rPr>
                <w:color w:val="231F20"/>
                <w:spacing w:val="-2"/>
                <w:sz w:val="24"/>
              </w:rPr>
              <w:t>Targeted</w:t>
            </w:r>
            <w:r>
              <w:rPr>
                <w:color w:val="231F20"/>
                <w:spacing w:val="-10"/>
                <w:sz w:val="24"/>
              </w:rPr>
              <w:t xml:space="preserve"> </w:t>
            </w:r>
            <w:r>
              <w:rPr>
                <w:color w:val="231F20"/>
                <w:spacing w:val="-2"/>
                <w:sz w:val="24"/>
              </w:rPr>
              <w:t>Phishing,</w:t>
            </w:r>
            <w:r>
              <w:rPr>
                <w:color w:val="231F20"/>
                <w:spacing w:val="-10"/>
                <w:sz w:val="24"/>
              </w:rPr>
              <w:t xml:space="preserve"> </w:t>
            </w:r>
            <w:r>
              <w:rPr>
                <w:color w:val="231F20"/>
                <w:spacing w:val="-2"/>
                <w:sz w:val="24"/>
              </w:rPr>
              <w:t>Security</w:t>
            </w:r>
            <w:r>
              <w:rPr>
                <w:color w:val="231F20"/>
                <w:spacing w:val="-10"/>
                <w:sz w:val="24"/>
              </w:rPr>
              <w:t xml:space="preserve"> </w:t>
            </w:r>
            <w:r>
              <w:rPr>
                <w:color w:val="231F20"/>
                <w:spacing w:val="-2"/>
                <w:sz w:val="24"/>
              </w:rPr>
              <w:t>awareness training</w:t>
            </w:r>
          </w:p>
          <w:p w14:paraId="52061F5D" w14:textId="77777777" w:rsidR="00345EE3" w:rsidRDefault="00345EE3">
            <w:pPr>
              <w:pStyle w:val="TableParagraph"/>
              <w:numPr>
                <w:ilvl w:val="0"/>
                <w:numId w:val="56"/>
              </w:numPr>
              <w:tabs>
                <w:tab w:val="left" w:pos="280"/>
                <w:tab w:val="left" w:pos="281"/>
              </w:tabs>
              <w:spacing w:before="31" w:line="242" w:lineRule="auto"/>
              <w:ind w:right="106"/>
              <w:jc w:val="left"/>
              <w:rPr>
                <w:sz w:val="24"/>
              </w:rPr>
            </w:pPr>
            <w:r>
              <w:rPr>
                <w:color w:val="231F20"/>
                <w:sz w:val="24"/>
              </w:rPr>
              <w:t>Annual</w:t>
            </w:r>
            <w:r>
              <w:rPr>
                <w:color w:val="231F20"/>
                <w:spacing w:val="-13"/>
                <w:sz w:val="24"/>
              </w:rPr>
              <w:t xml:space="preserve"> </w:t>
            </w:r>
            <w:r>
              <w:rPr>
                <w:color w:val="231F20"/>
                <w:sz w:val="24"/>
              </w:rPr>
              <w:t>maintenance</w:t>
            </w:r>
            <w:r>
              <w:rPr>
                <w:color w:val="231F20"/>
                <w:spacing w:val="-13"/>
                <w:sz w:val="24"/>
              </w:rPr>
              <w:t xml:space="preserve"> </w:t>
            </w:r>
            <w:r>
              <w:rPr>
                <w:color w:val="231F20"/>
                <w:sz w:val="24"/>
              </w:rPr>
              <w:t>and</w:t>
            </w:r>
            <w:r>
              <w:rPr>
                <w:color w:val="231F20"/>
                <w:spacing w:val="-13"/>
                <w:sz w:val="24"/>
              </w:rPr>
              <w:t xml:space="preserve"> </w:t>
            </w:r>
            <w:r>
              <w:rPr>
                <w:color w:val="231F20"/>
                <w:sz w:val="24"/>
              </w:rPr>
              <w:t>service</w:t>
            </w:r>
            <w:r>
              <w:rPr>
                <w:color w:val="231F20"/>
                <w:spacing w:val="-13"/>
                <w:sz w:val="24"/>
              </w:rPr>
              <w:t xml:space="preserve"> </w:t>
            </w:r>
            <w:r>
              <w:rPr>
                <w:color w:val="231F20"/>
                <w:sz w:val="24"/>
              </w:rPr>
              <w:t>of</w:t>
            </w:r>
            <w:r>
              <w:rPr>
                <w:color w:val="231F20"/>
                <w:spacing w:val="-12"/>
                <w:sz w:val="24"/>
              </w:rPr>
              <w:t xml:space="preserve"> </w:t>
            </w:r>
            <w:r>
              <w:rPr>
                <w:color w:val="231F20"/>
                <w:sz w:val="24"/>
              </w:rPr>
              <w:t xml:space="preserve">scientific </w:t>
            </w:r>
            <w:r>
              <w:rPr>
                <w:color w:val="231F20"/>
                <w:spacing w:val="-2"/>
                <w:sz w:val="24"/>
              </w:rPr>
              <w:t>equipment</w:t>
            </w:r>
          </w:p>
          <w:p w14:paraId="4FEE08F4" w14:textId="77777777" w:rsidR="00345EE3" w:rsidRDefault="00345EE3">
            <w:pPr>
              <w:pStyle w:val="TableParagraph"/>
              <w:numPr>
                <w:ilvl w:val="0"/>
                <w:numId w:val="56"/>
              </w:numPr>
              <w:tabs>
                <w:tab w:val="left" w:pos="280"/>
                <w:tab w:val="left" w:pos="281"/>
              </w:tabs>
              <w:spacing w:before="31"/>
              <w:jc w:val="left"/>
              <w:rPr>
                <w:sz w:val="24"/>
              </w:rPr>
            </w:pPr>
            <w:r>
              <w:rPr>
                <w:color w:val="231F20"/>
                <w:sz w:val="24"/>
              </w:rPr>
              <w:t>First</w:t>
            </w:r>
            <w:r>
              <w:rPr>
                <w:color w:val="231F20"/>
                <w:spacing w:val="-4"/>
                <w:sz w:val="24"/>
              </w:rPr>
              <w:t xml:space="preserve"> </w:t>
            </w:r>
            <w:r>
              <w:rPr>
                <w:color w:val="231F20"/>
                <w:sz w:val="24"/>
              </w:rPr>
              <w:t>Aid</w:t>
            </w:r>
            <w:r>
              <w:rPr>
                <w:color w:val="231F20"/>
                <w:spacing w:val="-3"/>
                <w:sz w:val="24"/>
              </w:rPr>
              <w:t xml:space="preserve"> </w:t>
            </w:r>
            <w:r>
              <w:rPr>
                <w:color w:val="231F20"/>
                <w:spacing w:val="-2"/>
                <w:sz w:val="24"/>
              </w:rPr>
              <w:t>Services</w:t>
            </w:r>
          </w:p>
          <w:p w14:paraId="79DA4E21" w14:textId="77777777" w:rsidR="00345EE3" w:rsidRDefault="00345EE3">
            <w:pPr>
              <w:pStyle w:val="TableParagraph"/>
              <w:numPr>
                <w:ilvl w:val="0"/>
                <w:numId w:val="56"/>
              </w:numPr>
              <w:tabs>
                <w:tab w:val="left" w:pos="280"/>
                <w:tab w:val="left" w:pos="281"/>
              </w:tabs>
              <w:spacing w:before="32" w:line="242" w:lineRule="auto"/>
              <w:ind w:right="483"/>
              <w:jc w:val="left"/>
              <w:rPr>
                <w:sz w:val="24"/>
              </w:rPr>
            </w:pPr>
            <w:r>
              <w:rPr>
                <w:color w:val="231F20"/>
                <w:sz w:val="24"/>
              </w:rPr>
              <w:t>Conducted</w:t>
            </w:r>
            <w:r>
              <w:rPr>
                <w:color w:val="231F20"/>
                <w:spacing w:val="-17"/>
                <w:sz w:val="24"/>
              </w:rPr>
              <w:t xml:space="preserve"> </w:t>
            </w:r>
            <w:r>
              <w:rPr>
                <w:color w:val="231F20"/>
                <w:sz w:val="24"/>
              </w:rPr>
              <w:t>Energy</w:t>
            </w:r>
            <w:r>
              <w:rPr>
                <w:color w:val="231F20"/>
                <w:spacing w:val="-17"/>
                <w:sz w:val="24"/>
              </w:rPr>
              <w:t xml:space="preserve"> </w:t>
            </w:r>
            <w:r>
              <w:rPr>
                <w:color w:val="231F20"/>
                <w:sz w:val="24"/>
              </w:rPr>
              <w:t>Device</w:t>
            </w:r>
            <w:r>
              <w:rPr>
                <w:color w:val="231F20"/>
                <w:spacing w:val="-16"/>
                <w:sz w:val="24"/>
              </w:rPr>
              <w:t xml:space="preserve"> </w:t>
            </w:r>
            <w:r>
              <w:rPr>
                <w:color w:val="231F20"/>
                <w:sz w:val="24"/>
              </w:rPr>
              <w:t>(CED)</w:t>
            </w:r>
            <w:r>
              <w:rPr>
                <w:color w:val="231F20"/>
                <w:spacing w:val="-17"/>
                <w:sz w:val="24"/>
              </w:rPr>
              <w:t xml:space="preserve"> </w:t>
            </w:r>
            <w:r>
              <w:rPr>
                <w:color w:val="231F20"/>
                <w:sz w:val="24"/>
              </w:rPr>
              <w:t>System Program – Market Approach Plan</w:t>
            </w:r>
          </w:p>
          <w:p w14:paraId="46F451DB" w14:textId="77777777" w:rsidR="00345EE3" w:rsidRDefault="00345EE3">
            <w:pPr>
              <w:pStyle w:val="TableParagraph"/>
              <w:numPr>
                <w:ilvl w:val="0"/>
                <w:numId w:val="56"/>
              </w:numPr>
              <w:tabs>
                <w:tab w:val="left" w:pos="280"/>
                <w:tab w:val="left" w:pos="281"/>
              </w:tabs>
              <w:spacing w:before="31"/>
              <w:jc w:val="left"/>
              <w:rPr>
                <w:sz w:val="24"/>
              </w:rPr>
            </w:pPr>
            <w:r>
              <w:rPr>
                <w:color w:val="231F20"/>
                <w:sz w:val="24"/>
              </w:rPr>
              <w:t>IT</w:t>
            </w:r>
            <w:r>
              <w:rPr>
                <w:color w:val="231F20"/>
                <w:spacing w:val="-3"/>
                <w:sz w:val="24"/>
              </w:rPr>
              <w:t xml:space="preserve"> </w:t>
            </w:r>
            <w:r>
              <w:rPr>
                <w:color w:val="231F20"/>
                <w:sz w:val="24"/>
              </w:rPr>
              <w:t>Advisory</w:t>
            </w:r>
            <w:r>
              <w:rPr>
                <w:color w:val="231F20"/>
                <w:spacing w:val="-3"/>
                <w:sz w:val="24"/>
              </w:rPr>
              <w:t xml:space="preserve"> </w:t>
            </w:r>
            <w:r>
              <w:rPr>
                <w:color w:val="231F20"/>
                <w:spacing w:val="-2"/>
                <w:sz w:val="24"/>
              </w:rPr>
              <w:t>Services</w:t>
            </w:r>
          </w:p>
        </w:tc>
        <w:tc>
          <w:tcPr>
            <w:tcW w:w="5074" w:type="dxa"/>
            <w:tcBorders>
              <w:left w:val="single" w:sz="2" w:space="0" w:color="939598"/>
              <w:bottom w:val="single" w:sz="2" w:space="0" w:color="939598"/>
            </w:tcBorders>
          </w:tcPr>
          <w:p w14:paraId="25F520CB" w14:textId="77777777" w:rsidR="00345EE3" w:rsidRDefault="00345EE3" w:rsidP="00D73130">
            <w:pPr>
              <w:pStyle w:val="TableParagraph"/>
              <w:spacing w:before="0"/>
              <w:jc w:val="left"/>
              <w:rPr>
                <w:rFonts w:ascii="Times New Roman"/>
              </w:rPr>
            </w:pPr>
          </w:p>
        </w:tc>
      </w:tr>
    </w:tbl>
    <w:p w14:paraId="073056B8" w14:textId="77777777" w:rsidR="00345EE3" w:rsidRDefault="00345EE3" w:rsidP="00345EE3">
      <w:pPr>
        <w:rPr>
          <w:rFonts w:ascii="Times New Roman"/>
        </w:rPr>
        <w:sectPr w:rsidR="00345EE3">
          <w:pgSz w:w="11910" w:h="16840"/>
          <w:pgMar w:top="820" w:right="0" w:bottom="280" w:left="740" w:header="720" w:footer="72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5102"/>
        <w:gridCol w:w="5074"/>
      </w:tblGrid>
      <w:tr w:rsidR="00345EE3" w14:paraId="705C7D4C" w14:textId="77777777" w:rsidTr="00D73130">
        <w:trPr>
          <w:trHeight w:val="961"/>
        </w:trPr>
        <w:tc>
          <w:tcPr>
            <w:tcW w:w="10176" w:type="dxa"/>
            <w:gridSpan w:val="2"/>
            <w:shd w:val="clear" w:color="auto" w:fill="00529F"/>
          </w:tcPr>
          <w:p w14:paraId="647B7C4D" w14:textId="77777777" w:rsidR="00345EE3" w:rsidRDefault="00345EE3" w:rsidP="00D73130">
            <w:pPr>
              <w:pStyle w:val="TableParagraph"/>
              <w:tabs>
                <w:tab w:val="left" w:pos="5104"/>
              </w:tabs>
              <w:spacing w:before="63" w:line="242" w:lineRule="auto"/>
              <w:ind w:left="5104" w:right="313" w:hanging="5105"/>
              <w:jc w:val="left"/>
              <w:rPr>
                <w:b/>
                <w:sz w:val="24"/>
              </w:rPr>
            </w:pPr>
            <w:r>
              <w:rPr>
                <w:b/>
                <w:color w:val="FFFFFF"/>
                <w:sz w:val="24"/>
              </w:rPr>
              <w:t>Procurement contract</w:t>
            </w:r>
            <w:r>
              <w:rPr>
                <w:b/>
                <w:color w:val="FFFFFF"/>
                <w:sz w:val="24"/>
              </w:rPr>
              <w:tab/>
              <w:t>Additional</w:t>
            </w:r>
            <w:r>
              <w:rPr>
                <w:b/>
                <w:color w:val="FFFFFF"/>
                <w:spacing w:val="-14"/>
                <w:sz w:val="24"/>
              </w:rPr>
              <w:t xml:space="preserve"> </w:t>
            </w:r>
            <w:r>
              <w:rPr>
                <w:b/>
                <w:color w:val="FFFFFF"/>
                <w:sz w:val="24"/>
              </w:rPr>
              <w:t>sustainable</w:t>
            </w:r>
            <w:r>
              <w:rPr>
                <w:b/>
                <w:color w:val="FFFFFF"/>
                <w:spacing w:val="-14"/>
                <w:sz w:val="24"/>
              </w:rPr>
              <w:t xml:space="preserve"> </w:t>
            </w:r>
            <w:r>
              <w:rPr>
                <w:b/>
                <w:color w:val="FFFFFF"/>
                <w:sz w:val="24"/>
              </w:rPr>
              <w:t>and</w:t>
            </w:r>
            <w:r>
              <w:rPr>
                <w:b/>
                <w:color w:val="FFFFFF"/>
                <w:spacing w:val="-14"/>
                <w:sz w:val="24"/>
              </w:rPr>
              <w:t xml:space="preserve"> </w:t>
            </w:r>
            <w:r>
              <w:rPr>
                <w:b/>
                <w:color w:val="FFFFFF"/>
                <w:sz w:val="24"/>
              </w:rPr>
              <w:t>environmental considerations applied during the procurement process</w:t>
            </w:r>
          </w:p>
        </w:tc>
      </w:tr>
      <w:tr w:rsidR="00345EE3" w14:paraId="72ACF66B" w14:textId="77777777" w:rsidTr="00D73130">
        <w:trPr>
          <w:trHeight w:val="9615"/>
        </w:trPr>
        <w:tc>
          <w:tcPr>
            <w:tcW w:w="5102" w:type="dxa"/>
            <w:tcBorders>
              <w:bottom w:val="single" w:sz="2" w:space="0" w:color="939598"/>
              <w:right w:val="single" w:sz="2" w:space="0" w:color="939598"/>
            </w:tcBorders>
          </w:tcPr>
          <w:p w14:paraId="273FB8F5" w14:textId="77777777" w:rsidR="00345EE3" w:rsidRDefault="00345EE3">
            <w:pPr>
              <w:pStyle w:val="TableParagraph"/>
              <w:numPr>
                <w:ilvl w:val="0"/>
                <w:numId w:val="55"/>
              </w:numPr>
              <w:tabs>
                <w:tab w:val="left" w:pos="280"/>
                <w:tab w:val="left" w:pos="281"/>
              </w:tabs>
              <w:spacing w:line="242" w:lineRule="auto"/>
              <w:ind w:right="261"/>
              <w:jc w:val="left"/>
              <w:rPr>
                <w:sz w:val="24"/>
              </w:rPr>
            </w:pPr>
            <w:r>
              <w:rPr>
                <w:color w:val="231F20"/>
                <w:sz w:val="24"/>
              </w:rPr>
              <w:t>Lifecycle management project – Station Uplift</w:t>
            </w:r>
            <w:r>
              <w:rPr>
                <w:color w:val="231F20"/>
                <w:spacing w:val="-14"/>
                <w:sz w:val="24"/>
              </w:rPr>
              <w:t xml:space="preserve"> </w:t>
            </w:r>
            <w:r>
              <w:rPr>
                <w:color w:val="231F20"/>
                <w:sz w:val="24"/>
              </w:rPr>
              <w:t>program</w:t>
            </w:r>
            <w:r>
              <w:rPr>
                <w:color w:val="231F20"/>
                <w:spacing w:val="-14"/>
                <w:sz w:val="24"/>
              </w:rPr>
              <w:t xml:space="preserve"> </w:t>
            </w:r>
            <w:r>
              <w:rPr>
                <w:color w:val="231F20"/>
                <w:sz w:val="24"/>
              </w:rPr>
              <w:t>of</w:t>
            </w:r>
            <w:r>
              <w:rPr>
                <w:color w:val="231F20"/>
                <w:spacing w:val="-14"/>
                <w:sz w:val="24"/>
              </w:rPr>
              <w:t xml:space="preserve"> </w:t>
            </w:r>
            <w:r>
              <w:rPr>
                <w:color w:val="231F20"/>
                <w:sz w:val="24"/>
              </w:rPr>
              <w:t>works</w:t>
            </w:r>
            <w:r>
              <w:rPr>
                <w:color w:val="231F20"/>
                <w:spacing w:val="-14"/>
                <w:sz w:val="24"/>
              </w:rPr>
              <w:t xml:space="preserve"> </w:t>
            </w:r>
            <w:r>
              <w:rPr>
                <w:color w:val="231F20"/>
                <w:sz w:val="24"/>
              </w:rPr>
              <w:t>313</w:t>
            </w:r>
            <w:r>
              <w:rPr>
                <w:color w:val="231F20"/>
                <w:spacing w:val="-15"/>
                <w:sz w:val="24"/>
              </w:rPr>
              <w:t xml:space="preserve"> </w:t>
            </w:r>
            <w:r>
              <w:rPr>
                <w:color w:val="231F20"/>
                <w:sz w:val="24"/>
              </w:rPr>
              <w:t>Spencer</w:t>
            </w:r>
            <w:r>
              <w:rPr>
                <w:color w:val="231F20"/>
                <w:spacing w:val="-14"/>
                <w:sz w:val="24"/>
              </w:rPr>
              <w:t xml:space="preserve"> </w:t>
            </w:r>
            <w:r>
              <w:rPr>
                <w:color w:val="231F20"/>
                <w:sz w:val="24"/>
              </w:rPr>
              <w:t>Street Melbourne</w:t>
            </w:r>
            <w:r>
              <w:rPr>
                <w:color w:val="231F20"/>
                <w:spacing w:val="-8"/>
                <w:sz w:val="24"/>
              </w:rPr>
              <w:t xml:space="preserve"> </w:t>
            </w:r>
            <w:r>
              <w:rPr>
                <w:color w:val="231F20"/>
                <w:sz w:val="24"/>
              </w:rPr>
              <w:t>and</w:t>
            </w:r>
            <w:r>
              <w:rPr>
                <w:color w:val="231F20"/>
                <w:spacing w:val="-7"/>
                <w:sz w:val="24"/>
              </w:rPr>
              <w:t xml:space="preserve"> </w:t>
            </w:r>
            <w:r>
              <w:rPr>
                <w:color w:val="231F20"/>
                <w:sz w:val="24"/>
              </w:rPr>
              <w:t>Forensic</w:t>
            </w:r>
            <w:r>
              <w:rPr>
                <w:color w:val="231F20"/>
                <w:spacing w:val="-7"/>
                <w:sz w:val="24"/>
              </w:rPr>
              <w:t xml:space="preserve"> </w:t>
            </w:r>
            <w:r>
              <w:rPr>
                <w:color w:val="231F20"/>
                <w:sz w:val="24"/>
              </w:rPr>
              <w:t>Services</w:t>
            </w:r>
            <w:r>
              <w:rPr>
                <w:color w:val="231F20"/>
                <w:spacing w:val="-7"/>
                <w:sz w:val="24"/>
              </w:rPr>
              <w:t xml:space="preserve"> </w:t>
            </w:r>
            <w:r>
              <w:rPr>
                <w:color w:val="231F20"/>
                <w:spacing w:val="-2"/>
                <w:sz w:val="24"/>
              </w:rPr>
              <w:t>Macleod</w:t>
            </w:r>
          </w:p>
          <w:p w14:paraId="52A75BA8" w14:textId="77777777" w:rsidR="00345EE3" w:rsidRDefault="00345EE3">
            <w:pPr>
              <w:pStyle w:val="TableParagraph"/>
              <w:numPr>
                <w:ilvl w:val="0"/>
                <w:numId w:val="55"/>
              </w:numPr>
              <w:tabs>
                <w:tab w:val="left" w:pos="280"/>
                <w:tab w:val="left" w:pos="281"/>
              </w:tabs>
              <w:spacing w:before="32"/>
              <w:jc w:val="left"/>
              <w:rPr>
                <w:sz w:val="24"/>
              </w:rPr>
            </w:pPr>
            <w:r>
              <w:rPr>
                <w:color w:val="231F20"/>
                <w:sz w:val="24"/>
              </w:rPr>
              <w:t>Post</w:t>
            </w:r>
            <w:r>
              <w:rPr>
                <w:color w:val="231F20"/>
                <w:spacing w:val="-17"/>
                <w:sz w:val="24"/>
              </w:rPr>
              <w:t xml:space="preserve"> </w:t>
            </w:r>
            <w:r>
              <w:rPr>
                <w:color w:val="231F20"/>
                <w:sz w:val="24"/>
              </w:rPr>
              <w:t>Supplementation</w:t>
            </w:r>
            <w:r>
              <w:rPr>
                <w:color w:val="231F20"/>
                <w:spacing w:val="-16"/>
                <w:sz w:val="24"/>
              </w:rPr>
              <w:t xml:space="preserve"> </w:t>
            </w:r>
            <w:r>
              <w:rPr>
                <w:color w:val="231F20"/>
                <w:sz w:val="24"/>
              </w:rPr>
              <w:t>Financial</w:t>
            </w:r>
            <w:r>
              <w:rPr>
                <w:color w:val="231F20"/>
                <w:spacing w:val="-16"/>
                <w:sz w:val="24"/>
              </w:rPr>
              <w:t xml:space="preserve"> </w:t>
            </w:r>
            <w:r>
              <w:rPr>
                <w:color w:val="231F20"/>
                <w:spacing w:val="-2"/>
                <w:sz w:val="24"/>
              </w:rPr>
              <w:t>Review</w:t>
            </w:r>
          </w:p>
          <w:p w14:paraId="79740EE6" w14:textId="77777777" w:rsidR="00345EE3" w:rsidRDefault="00345EE3">
            <w:pPr>
              <w:pStyle w:val="TableParagraph"/>
              <w:numPr>
                <w:ilvl w:val="0"/>
                <w:numId w:val="55"/>
              </w:numPr>
              <w:tabs>
                <w:tab w:val="left" w:pos="280"/>
                <w:tab w:val="left" w:pos="281"/>
              </w:tabs>
              <w:spacing w:before="33"/>
              <w:jc w:val="left"/>
              <w:rPr>
                <w:sz w:val="24"/>
              </w:rPr>
            </w:pPr>
            <w:r>
              <w:rPr>
                <w:color w:val="231F20"/>
                <w:spacing w:val="-2"/>
                <w:sz w:val="24"/>
              </w:rPr>
              <w:t>Procurement/Commercial</w:t>
            </w:r>
            <w:r>
              <w:rPr>
                <w:color w:val="231F20"/>
                <w:spacing w:val="18"/>
                <w:sz w:val="24"/>
              </w:rPr>
              <w:t xml:space="preserve"> </w:t>
            </w:r>
            <w:r>
              <w:rPr>
                <w:color w:val="231F20"/>
                <w:spacing w:val="-2"/>
                <w:sz w:val="24"/>
              </w:rPr>
              <w:t>Contractor</w:t>
            </w:r>
          </w:p>
          <w:p w14:paraId="746C89B5" w14:textId="77777777" w:rsidR="00345EE3" w:rsidRDefault="00345EE3">
            <w:pPr>
              <w:pStyle w:val="TableParagraph"/>
              <w:numPr>
                <w:ilvl w:val="0"/>
                <w:numId w:val="55"/>
              </w:numPr>
              <w:tabs>
                <w:tab w:val="left" w:pos="280"/>
                <w:tab w:val="left" w:pos="281"/>
              </w:tabs>
              <w:spacing w:before="32"/>
              <w:jc w:val="left"/>
              <w:rPr>
                <w:sz w:val="24"/>
              </w:rPr>
            </w:pPr>
            <w:r>
              <w:rPr>
                <w:color w:val="231F20"/>
                <w:sz w:val="24"/>
              </w:rPr>
              <w:t>SPC</w:t>
            </w:r>
            <w:r>
              <w:rPr>
                <w:color w:val="231F20"/>
                <w:spacing w:val="-9"/>
                <w:sz w:val="24"/>
              </w:rPr>
              <w:t xml:space="preserve"> </w:t>
            </w:r>
            <w:r>
              <w:rPr>
                <w:color w:val="231F20"/>
                <w:sz w:val="24"/>
              </w:rPr>
              <w:t>Media</w:t>
            </w:r>
            <w:r>
              <w:rPr>
                <w:color w:val="231F20"/>
                <w:spacing w:val="-7"/>
                <w:sz w:val="24"/>
              </w:rPr>
              <w:t xml:space="preserve"> </w:t>
            </w:r>
            <w:r>
              <w:rPr>
                <w:color w:val="231F20"/>
                <w:sz w:val="24"/>
              </w:rPr>
              <w:t>Buy</w:t>
            </w:r>
            <w:r>
              <w:rPr>
                <w:color w:val="231F20"/>
                <w:spacing w:val="-7"/>
                <w:sz w:val="24"/>
              </w:rPr>
              <w:t xml:space="preserve"> </w:t>
            </w:r>
            <w:r>
              <w:rPr>
                <w:color w:val="231F20"/>
                <w:sz w:val="24"/>
              </w:rPr>
              <w:t>–</w:t>
            </w:r>
            <w:r>
              <w:rPr>
                <w:color w:val="231F20"/>
                <w:spacing w:val="-6"/>
                <w:sz w:val="24"/>
              </w:rPr>
              <w:t xml:space="preserve"> </w:t>
            </w:r>
            <w:r>
              <w:rPr>
                <w:color w:val="231F20"/>
                <w:sz w:val="24"/>
              </w:rPr>
              <w:t>2021–22</w:t>
            </w:r>
            <w:r>
              <w:rPr>
                <w:color w:val="231F20"/>
                <w:spacing w:val="-7"/>
                <w:sz w:val="24"/>
              </w:rPr>
              <w:t xml:space="preserve"> </w:t>
            </w:r>
            <w:r>
              <w:rPr>
                <w:color w:val="231F20"/>
                <w:sz w:val="24"/>
              </w:rPr>
              <w:t>PAL</w:t>
            </w:r>
            <w:r>
              <w:rPr>
                <w:color w:val="231F20"/>
                <w:spacing w:val="-7"/>
                <w:sz w:val="24"/>
              </w:rPr>
              <w:t xml:space="preserve"> </w:t>
            </w:r>
            <w:r>
              <w:rPr>
                <w:color w:val="231F20"/>
                <w:sz w:val="24"/>
              </w:rPr>
              <w:t>&amp;</w:t>
            </w:r>
            <w:r>
              <w:rPr>
                <w:color w:val="231F20"/>
                <w:spacing w:val="-6"/>
                <w:sz w:val="24"/>
              </w:rPr>
              <w:t xml:space="preserve"> </w:t>
            </w:r>
            <w:r>
              <w:rPr>
                <w:color w:val="231F20"/>
                <w:spacing w:val="-5"/>
                <w:sz w:val="24"/>
              </w:rPr>
              <w:t>OLR</w:t>
            </w:r>
          </w:p>
          <w:p w14:paraId="02EBE436" w14:textId="77777777" w:rsidR="00345EE3" w:rsidRDefault="00345EE3" w:rsidP="00D73130">
            <w:pPr>
              <w:pStyle w:val="TableParagraph"/>
              <w:spacing w:before="4"/>
              <w:ind w:left="280"/>
              <w:jc w:val="left"/>
              <w:rPr>
                <w:sz w:val="24"/>
              </w:rPr>
            </w:pPr>
            <w:r>
              <w:rPr>
                <w:color w:val="231F20"/>
                <w:sz w:val="24"/>
              </w:rPr>
              <w:t>advertising</w:t>
            </w:r>
            <w:r>
              <w:rPr>
                <w:color w:val="231F20"/>
                <w:spacing w:val="-14"/>
                <w:sz w:val="24"/>
              </w:rPr>
              <w:t xml:space="preserve"> </w:t>
            </w:r>
            <w:r>
              <w:rPr>
                <w:color w:val="231F20"/>
                <w:spacing w:val="-2"/>
                <w:sz w:val="24"/>
              </w:rPr>
              <w:t>campaign</w:t>
            </w:r>
          </w:p>
          <w:p w14:paraId="2E9E9E0C" w14:textId="77777777" w:rsidR="00345EE3" w:rsidRDefault="00345EE3">
            <w:pPr>
              <w:pStyle w:val="TableParagraph"/>
              <w:numPr>
                <w:ilvl w:val="0"/>
                <w:numId w:val="55"/>
              </w:numPr>
              <w:tabs>
                <w:tab w:val="left" w:pos="280"/>
                <w:tab w:val="left" w:pos="281"/>
              </w:tabs>
              <w:spacing w:before="32" w:line="242" w:lineRule="auto"/>
              <w:ind w:right="32"/>
              <w:jc w:val="left"/>
              <w:rPr>
                <w:sz w:val="24"/>
              </w:rPr>
            </w:pPr>
            <w:r>
              <w:rPr>
                <w:color w:val="231F20"/>
                <w:sz w:val="24"/>
              </w:rPr>
              <w:t>Creative</w:t>
            </w:r>
            <w:r>
              <w:rPr>
                <w:color w:val="231F20"/>
                <w:spacing w:val="-17"/>
                <w:sz w:val="24"/>
              </w:rPr>
              <w:t xml:space="preserve"> </w:t>
            </w:r>
            <w:r>
              <w:rPr>
                <w:color w:val="231F20"/>
                <w:sz w:val="24"/>
              </w:rPr>
              <w:t>development</w:t>
            </w:r>
            <w:r>
              <w:rPr>
                <w:color w:val="231F20"/>
                <w:spacing w:val="-16"/>
                <w:sz w:val="24"/>
              </w:rPr>
              <w:t xml:space="preserve"> </w:t>
            </w:r>
            <w:r>
              <w:rPr>
                <w:color w:val="231F20"/>
                <w:sz w:val="24"/>
              </w:rPr>
              <w:t>–</w:t>
            </w:r>
            <w:r>
              <w:rPr>
                <w:color w:val="231F20"/>
                <w:spacing w:val="-17"/>
                <w:sz w:val="24"/>
              </w:rPr>
              <w:t xml:space="preserve"> </w:t>
            </w:r>
            <w:r>
              <w:rPr>
                <w:color w:val="231F20"/>
                <w:sz w:val="24"/>
              </w:rPr>
              <w:t>2021–22</w:t>
            </w:r>
            <w:r>
              <w:rPr>
                <w:color w:val="231F20"/>
                <w:spacing w:val="-16"/>
                <w:sz w:val="24"/>
              </w:rPr>
              <w:t xml:space="preserve"> </w:t>
            </w:r>
            <w:r>
              <w:rPr>
                <w:color w:val="231F20"/>
                <w:sz w:val="24"/>
              </w:rPr>
              <w:t>PAL</w:t>
            </w:r>
            <w:r>
              <w:rPr>
                <w:color w:val="231F20"/>
                <w:spacing w:val="-17"/>
                <w:sz w:val="24"/>
              </w:rPr>
              <w:t xml:space="preserve"> </w:t>
            </w:r>
            <w:r>
              <w:rPr>
                <w:color w:val="231F20"/>
                <w:sz w:val="24"/>
              </w:rPr>
              <w:t>&amp;</w:t>
            </w:r>
            <w:r>
              <w:rPr>
                <w:color w:val="231F20"/>
                <w:spacing w:val="-16"/>
                <w:sz w:val="24"/>
              </w:rPr>
              <w:t xml:space="preserve"> </w:t>
            </w:r>
            <w:r>
              <w:rPr>
                <w:color w:val="231F20"/>
                <w:sz w:val="24"/>
              </w:rPr>
              <w:t>OLR advertising campaign (phase 1b)</w:t>
            </w:r>
          </w:p>
          <w:p w14:paraId="1621EF35" w14:textId="77777777" w:rsidR="00345EE3" w:rsidRDefault="00345EE3">
            <w:pPr>
              <w:pStyle w:val="TableParagraph"/>
              <w:numPr>
                <w:ilvl w:val="0"/>
                <w:numId w:val="55"/>
              </w:numPr>
              <w:tabs>
                <w:tab w:val="left" w:pos="280"/>
                <w:tab w:val="left" w:pos="281"/>
              </w:tabs>
              <w:spacing w:before="31"/>
              <w:jc w:val="left"/>
              <w:rPr>
                <w:sz w:val="24"/>
              </w:rPr>
            </w:pPr>
            <w:r>
              <w:rPr>
                <w:color w:val="231F20"/>
                <w:sz w:val="24"/>
              </w:rPr>
              <w:t>Alcohol</w:t>
            </w:r>
            <w:r>
              <w:rPr>
                <w:color w:val="231F20"/>
                <w:spacing w:val="-4"/>
                <w:sz w:val="24"/>
              </w:rPr>
              <w:t xml:space="preserve"> </w:t>
            </w:r>
            <w:r>
              <w:rPr>
                <w:color w:val="231F20"/>
                <w:sz w:val="24"/>
              </w:rPr>
              <w:t>and</w:t>
            </w:r>
            <w:r>
              <w:rPr>
                <w:color w:val="231F20"/>
                <w:spacing w:val="-4"/>
                <w:sz w:val="24"/>
              </w:rPr>
              <w:t xml:space="preserve"> </w:t>
            </w:r>
            <w:r>
              <w:rPr>
                <w:color w:val="231F20"/>
                <w:sz w:val="24"/>
              </w:rPr>
              <w:t>Drug</w:t>
            </w:r>
            <w:r>
              <w:rPr>
                <w:color w:val="231F20"/>
                <w:spacing w:val="-3"/>
                <w:sz w:val="24"/>
              </w:rPr>
              <w:t xml:space="preserve"> </w:t>
            </w:r>
            <w:r>
              <w:rPr>
                <w:color w:val="231F20"/>
                <w:sz w:val="24"/>
              </w:rPr>
              <w:t>Data</w:t>
            </w:r>
            <w:r>
              <w:rPr>
                <w:color w:val="231F20"/>
                <w:spacing w:val="-4"/>
                <w:sz w:val="24"/>
              </w:rPr>
              <w:t xml:space="preserve"> </w:t>
            </w:r>
            <w:r>
              <w:rPr>
                <w:color w:val="231F20"/>
                <w:sz w:val="24"/>
              </w:rPr>
              <w:t>Entry</w:t>
            </w:r>
            <w:r>
              <w:rPr>
                <w:color w:val="231F20"/>
                <w:spacing w:val="-2"/>
                <w:sz w:val="24"/>
              </w:rPr>
              <w:t xml:space="preserve"> Services</w:t>
            </w:r>
          </w:p>
          <w:p w14:paraId="2EE27B41" w14:textId="77777777" w:rsidR="00345EE3" w:rsidRDefault="00345EE3">
            <w:pPr>
              <w:pStyle w:val="TableParagraph"/>
              <w:numPr>
                <w:ilvl w:val="0"/>
                <w:numId w:val="55"/>
              </w:numPr>
              <w:tabs>
                <w:tab w:val="left" w:pos="280"/>
                <w:tab w:val="left" w:pos="281"/>
              </w:tabs>
              <w:spacing w:before="33" w:line="242" w:lineRule="auto"/>
              <w:ind w:right="650"/>
              <w:jc w:val="left"/>
              <w:rPr>
                <w:sz w:val="24"/>
              </w:rPr>
            </w:pPr>
            <w:r>
              <w:rPr>
                <w:color w:val="231F20"/>
                <w:sz w:val="24"/>
              </w:rPr>
              <w:t>Provision</w:t>
            </w:r>
            <w:r>
              <w:rPr>
                <w:color w:val="231F20"/>
                <w:spacing w:val="-17"/>
                <w:sz w:val="24"/>
              </w:rPr>
              <w:t xml:space="preserve"> </w:t>
            </w:r>
            <w:r>
              <w:rPr>
                <w:color w:val="231F20"/>
                <w:sz w:val="24"/>
              </w:rPr>
              <w:t>of</w:t>
            </w:r>
            <w:r>
              <w:rPr>
                <w:color w:val="231F20"/>
                <w:spacing w:val="-17"/>
                <w:sz w:val="24"/>
              </w:rPr>
              <w:t xml:space="preserve"> </w:t>
            </w:r>
            <w:r>
              <w:rPr>
                <w:color w:val="231F20"/>
                <w:sz w:val="24"/>
              </w:rPr>
              <w:t>three</w:t>
            </w:r>
            <w:r>
              <w:rPr>
                <w:color w:val="231F20"/>
                <w:spacing w:val="-16"/>
                <w:sz w:val="24"/>
              </w:rPr>
              <w:t xml:space="preserve"> </w:t>
            </w:r>
            <w:r>
              <w:rPr>
                <w:color w:val="231F20"/>
                <w:sz w:val="24"/>
              </w:rPr>
              <w:t>lawyers</w:t>
            </w:r>
            <w:r>
              <w:rPr>
                <w:color w:val="231F20"/>
                <w:spacing w:val="-17"/>
                <w:sz w:val="24"/>
              </w:rPr>
              <w:t xml:space="preserve"> </w:t>
            </w:r>
            <w:r>
              <w:rPr>
                <w:color w:val="231F20"/>
                <w:sz w:val="24"/>
              </w:rPr>
              <w:t>for</w:t>
            </w:r>
            <w:r>
              <w:rPr>
                <w:color w:val="231F20"/>
                <w:spacing w:val="-17"/>
                <w:sz w:val="24"/>
              </w:rPr>
              <w:t xml:space="preserve"> </w:t>
            </w:r>
            <w:r>
              <w:rPr>
                <w:color w:val="231F20"/>
                <w:sz w:val="24"/>
              </w:rPr>
              <w:t xml:space="preserve">Taskforce </w:t>
            </w:r>
            <w:r>
              <w:rPr>
                <w:color w:val="231F20"/>
                <w:spacing w:val="-2"/>
                <w:sz w:val="24"/>
              </w:rPr>
              <w:t>RESET</w:t>
            </w:r>
          </w:p>
          <w:p w14:paraId="419F2C87" w14:textId="77777777" w:rsidR="00345EE3" w:rsidRDefault="00345EE3">
            <w:pPr>
              <w:pStyle w:val="TableParagraph"/>
              <w:numPr>
                <w:ilvl w:val="0"/>
                <w:numId w:val="55"/>
              </w:numPr>
              <w:tabs>
                <w:tab w:val="left" w:pos="280"/>
                <w:tab w:val="left" w:pos="281"/>
              </w:tabs>
              <w:spacing w:before="31"/>
              <w:jc w:val="left"/>
              <w:rPr>
                <w:sz w:val="24"/>
              </w:rPr>
            </w:pPr>
            <w:r>
              <w:rPr>
                <w:color w:val="231F20"/>
                <w:sz w:val="24"/>
              </w:rPr>
              <w:t>MCED</w:t>
            </w:r>
            <w:r>
              <w:rPr>
                <w:color w:val="231F20"/>
                <w:spacing w:val="-5"/>
                <w:sz w:val="24"/>
              </w:rPr>
              <w:t xml:space="preserve"> </w:t>
            </w:r>
            <w:r>
              <w:rPr>
                <w:color w:val="231F20"/>
                <w:sz w:val="24"/>
              </w:rPr>
              <w:t>Tier</w:t>
            </w:r>
            <w:r>
              <w:rPr>
                <w:color w:val="231F20"/>
                <w:spacing w:val="-5"/>
                <w:sz w:val="24"/>
              </w:rPr>
              <w:t xml:space="preserve"> </w:t>
            </w:r>
            <w:r>
              <w:rPr>
                <w:color w:val="231F20"/>
                <w:sz w:val="24"/>
              </w:rPr>
              <w:t>1</w:t>
            </w:r>
            <w:r>
              <w:rPr>
                <w:color w:val="231F20"/>
                <w:spacing w:val="-5"/>
                <w:sz w:val="24"/>
              </w:rPr>
              <w:t xml:space="preserve"> </w:t>
            </w:r>
            <w:r>
              <w:rPr>
                <w:color w:val="231F20"/>
                <w:sz w:val="24"/>
              </w:rPr>
              <w:t>storage</w:t>
            </w:r>
            <w:r>
              <w:rPr>
                <w:color w:val="231F20"/>
                <w:spacing w:val="-4"/>
                <w:sz w:val="24"/>
              </w:rPr>
              <w:t xml:space="preserve"> </w:t>
            </w:r>
            <w:r>
              <w:rPr>
                <w:color w:val="231F20"/>
                <w:spacing w:val="-2"/>
                <w:sz w:val="24"/>
              </w:rPr>
              <w:t>solution</w:t>
            </w:r>
          </w:p>
          <w:p w14:paraId="127C0E90" w14:textId="77777777" w:rsidR="00345EE3" w:rsidRDefault="00345EE3">
            <w:pPr>
              <w:pStyle w:val="TableParagraph"/>
              <w:numPr>
                <w:ilvl w:val="0"/>
                <w:numId w:val="55"/>
              </w:numPr>
              <w:tabs>
                <w:tab w:val="left" w:pos="280"/>
                <w:tab w:val="left" w:pos="281"/>
              </w:tabs>
              <w:spacing w:before="32"/>
              <w:jc w:val="left"/>
              <w:rPr>
                <w:sz w:val="24"/>
              </w:rPr>
            </w:pPr>
            <w:r>
              <w:rPr>
                <w:color w:val="231F20"/>
                <w:sz w:val="24"/>
              </w:rPr>
              <w:t>Power</w:t>
            </w:r>
            <w:r>
              <w:rPr>
                <w:color w:val="231F20"/>
                <w:spacing w:val="-10"/>
                <w:sz w:val="24"/>
              </w:rPr>
              <w:t xml:space="preserve"> </w:t>
            </w:r>
            <w:r>
              <w:rPr>
                <w:color w:val="231F20"/>
                <w:sz w:val="24"/>
              </w:rPr>
              <w:t>Max</w:t>
            </w:r>
            <w:r>
              <w:rPr>
                <w:color w:val="231F20"/>
                <w:spacing w:val="-9"/>
                <w:sz w:val="24"/>
              </w:rPr>
              <w:t xml:space="preserve"> </w:t>
            </w:r>
            <w:r>
              <w:rPr>
                <w:color w:val="231F20"/>
                <w:sz w:val="24"/>
              </w:rPr>
              <w:t>Storage</w:t>
            </w:r>
            <w:r>
              <w:rPr>
                <w:color w:val="231F20"/>
                <w:spacing w:val="-10"/>
                <w:sz w:val="24"/>
              </w:rPr>
              <w:t xml:space="preserve"> </w:t>
            </w:r>
            <w:r>
              <w:rPr>
                <w:color w:val="231F20"/>
                <w:sz w:val="24"/>
              </w:rPr>
              <w:t>Purchase</w:t>
            </w:r>
            <w:r>
              <w:rPr>
                <w:color w:val="231F20"/>
                <w:spacing w:val="-10"/>
                <w:sz w:val="24"/>
              </w:rPr>
              <w:t xml:space="preserve"> </w:t>
            </w:r>
            <w:r>
              <w:rPr>
                <w:color w:val="231F20"/>
                <w:spacing w:val="-2"/>
                <w:sz w:val="24"/>
              </w:rPr>
              <w:t>Approval</w:t>
            </w:r>
          </w:p>
          <w:p w14:paraId="3C4763C8" w14:textId="77777777" w:rsidR="00345EE3" w:rsidRDefault="00345EE3">
            <w:pPr>
              <w:pStyle w:val="TableParagraph"/>
              <w:numPr>
                <w:ilvl w:val="0"/>
                <w:numId w:val="55"/>
              </w:numPr>
              <w:tabs>
                <w:tab w:val="left" w:pos="280"/>
                <w:tab w:val="left" w:pos="281"/>
              </w:tabs>
              <w:spacing w:before="32" w:line="242" w:lineRule="auto"/>
              <w:ind w:right="141"/>
              <w:jc w:val="left"/>
              <w:rPr>
                <w:sz w:val="24"/>
              </w:rPr>
            </w:pPr>
            <w:r>
              <w:rPr>
                <w:color w:val="231F20"/>
                <w:sz w:val="24"/>
              </w:rPr>
              <w:t>Business Case Writer/Senior Business Analyst</w:t>
            </w:r>
            <w:r>
              <w:rPr>
                <w:color w:val="231F20"/>
                <w:spacing w:val="-12"/>
                <w:sz w:val="24"/>
              </w:rPr>
              <w:t xml:space="preserve"> </w:t>
            </w:r>
            <w:r>
              <w:rPr>
                <w:color w:val="231F20"/>
                <w:sz w:val="24"/>
              </w:rPr>
              <w:t>for</w:t>
            </w:r>
            <w:r>
              <w:rPr>
                <w:color w:val="231F20"/>
                <w:spacing w:val="-12"/>
                <w:sz w:val="24"/>
              </w:rPr>
              <w:t xml:space="preserve"> </w:t>
            </w:r>
            <w:r>
              <w:rPr>
                <w:color w:val="231F20"/>
                <w:sz w:val="24"/>
              </w:rPr>
              <w:t>Victoria</w:t>
            </w:r>
            <w:r>
              <w:rPr>
                <w:color w:val="231F20"/>
                <w:spacing w:val="-13"/>
                <w:sz w:val="24"/>
              </w:rPr>
              <w:t xml:space="preserve"> </w:t>
            </w:r>
            <w:r>
              <w:rPr>
                <w:color w:val="231F20"/>
                <w:sz w:val="24"/>
              </w:rPr>
              <w:t>Police</w:t>
            </w:r>
            <w:r>
              <w:rPr>
                <w:color w:val="231F20"/>
                <w:spacing w:val="-13"/>
                <w:sz w:val="24"/>
              </w:rPr>
              <w:t xml:space="preserve"> </w:t>
            </w:r>
            <w:r>
              <w:rPr>
                <w:color w:val="231F20"/>
                <w:sz w:val="24"/>
              </w:rPr>
              <w:t>State</w:t>
            </w:r>
            <w:r>
              <w:rPr>
                <w:color w:val="231F20"/>
                <w:spacing w:val="-13"/>
                <w:sz w:val="24"/>
              </w:rPr>
              <w:t xml:space="preserve"> </w:t>
            </w:r>
            <w:r>
              <w:rPr>
                <w:color w:val="231F20"/>
                <w:sz w:val="24"/>
              </w:rPr>
              <w:t>Budget</w:t>
            </w:r>
            <w:r>
              <w:rPr>
                <w:color w:val="231F20"/>
                <w:spacing w:val="-12"/>
                <w:sz w:val="24"/>
              </w:rPr>
              <w:t xml:space="preserve"> </w:t>
            </w:r>
            <w:r>
              <w:rPr>
                <w:color w:val="231F20"/>
                <w:sz w:val="24"/>
              </w:rPr>
              <w:t>Bids</w:t>
            </w:r>
          </w:p>
          <w:p w14:paraId="19CBD5B6" w14:textId="77777777" w:rsidR="00345EE3" w:rsidRDefault="00345EE3">
            <w:pPr>
              <w:pStyle w:val="TableParagraph"/>
              <w:numPr>
                <w:ilvl w:val="0"/>
                <w:numId w:val="55"/>
              </w:numPr>
              <w:tabs>
                <w:tab w:val="left" w:pos="280"/>
                <w:tab w:val="left" w:pos="281"/>
              </w:tabs>
              <w:spacing w:before="31" w:line="242" w:lineRule="auto"/>
              <w:ind w:right="480"/>
              <w:jc w:val="left"/>
              <w:rPr>
                <w:sz w:val="24"/>
              </w:rPr>
            </w:pPr>
            <w:r>
              <w:rPr>
                <w:color w:val="231F20"/>
                <w:sz w:val="24"/>
              </w:rPr>
              <w:t>Load</w:t>
            </w:r>
            <w:r>
              <w:rPr>
                <w:color w:val="231F20"/>
                <w:spacing w:val="-16"/>
                <w:sz w:val="24"/>
              </w:rPr>
              <w:t xml:space="preserve"> </w:t>
            </w:r>
            <w:r>
              <w:rPr>
                <w:color w:val="231F20"/>
                <w:sz w:val="24"/>
              </w:rPr>
              <w:t>Balancer</w:t>
            </w:r>
            <w:r>
              <w:rPr>
                <w:color w:val="231F20"/>
                <w:spacing w:val="-16"/>
                <w:sz w:val="24"/>
              </w:rPr>
              <w:t xml:space="preserve"> </w:t>
            </w:r>
            <w:r>
              <w:rPr>
                <w:color w:val="231F20"/>
                <w:sz w:val="24"/>
              </w:rPr>
              <w:t>Maintenance</w:t>
            </w:r>
            <w:r>
              <w:rPr>
                <w:color w:val="231F20"/>
                <w:spacing w:val="-16"/>
                <w:sz w:val="24"/>
              </w:rPr>
              <w:t xml:space="preserve"> </w:t>
            </w:r>
            <w:r>
              <w:rPr>
                <w:color w:val="231F20"/>
                <w:sz w:val="24"/>
              </w:rPr>
              <w:t>and</w:t>
            </w:r>
            <w:r>
              <w:rPr>
                <w:color w:val="231F20"/>
                <w:spacing w:val="-16"/>
                <w:sz w:val="24"/>
              </w:rPr>
              <w:t xml:space="preserve"> </w:t>
            </w:r>
            <w:r>
              <w:rPr>
                <w:color w:val="231F20"/>
                <w:sz w:val="24"/>
              </w:rPr>
              <w:t xml:space="preserve">Support </w:t>
            </w:r>
            <w:r>
              <w:rPr>
                <w:color w:val="231F20"/>
                <w:spacing w:val="-2"/>
                <w:sz w:val="24"/>
              </w:rPr>
              <w:t>Renewal</w:t>
            </w:r>
          </w:p>
          <w:p w14:paraId="3BD269BB" w14:textId="77777777" w:rsidR="00345EE3" w:rsidRDefault="00345EE3">
            <w:pPr>
              <w:pStyle w:val="TableParagraph"/>
              <w:numPr>
                <w:ilvl w:val="0"/>
                <w:numId w:val="55"/>
              </w:numPr>
              <w:tabs>
                <w:tab w:val="left" w:pos="280"/>
                <w:tab w:val="left" w:pos="281"/>
              </w:tabs>
              <w:spacing w:before="31"/>
              <w:jc w:val="left"/>
              <w:rPr>
                <w:sz w:val="24"/>
              </w:rPr>
            </w:pPr>
            <w:r>
              <w:rPr>
                <w:color w:val="231F20"/>
                <w:sz w:val="24"/>
              </w:rPr>
              <w:t>PRIME</w:t>
            </w:r>
            <w:r>
              <w:rPr>
                <w:color w:val="231F20"/>
                <w:spacing w:val="-16"/>
                <w:sz w:val="24"/>
              </w:rPr>
              <w:t xml:space="preserve"> </w:t>
            </w:r>
            <w:r>
              <w:rPr>
                <w:color w:val="231F20"/>
                <w:sz w:val="24"/>
              </w:rPr>
              <w:t>Evaluation</w:t>
            </w:r>
            <w:r>
              <w:rPr>
                <w:color w:val="231F20"/>
                <w:spacing w:val="-16"/>
                <w:sz w:val="24"/>
              </w:rPr>
              <w:t xml:space="preserve"> </w:t>
            </w:r>
            <w:r>
              <w:rPr>
                <w:color w:val="231F20"/>
                <w:spacing w:val="-2"/>
                <w:sz w:val="24"/>
              </w:rPr>
              <w:t>Services</w:t>
            </w:r>
          </w:p>
          <w:p w14:paraId="122EF0C5" w14:textId="77777777" w:rsidR="00345EE3" w:rsidRDefault="00345EE3">
            <w:pPr>
              <w:pStyle w:val="TableParagraph"/>
              <w:numPr>
                <w:ilvl w:val="0"/>
                <w:numId w:val="55"/>
              </w:numPr>
              <w:tabs>
                <w:tab w:val="left" w:pos="280"/>
                <w:tab w:val="left" w:pos="281"/>
              </w:tabs>
              <w:spacing w:before="32" w:line="242" w:lineRule="auto"/>
              <w:ind w:right="1213"/>
              <w:jc w:val="left"/>
              <w:rPr>
                <w:sz w:val="24"/>
              </w:rPr>
            </w:pPr>
            <w:r>
              <w:rPr>
                <w:color w:val="231F20"/>
                <w:sz w:val="24"/>
              </w:rPr>
              <w:t>SPC</w:t>
            </w:r>
            <w:r>
              <w:rPr>
                <w:color w:val="231F20"/>
                <w:spacing w:val="-11"/>
                <w:sz w:val="24"/>
              </w:rPr>
              <w:t xml:space="preserve"> </w:t>
            </w:r>
            <w:r>
              <w:rPr>
                <w:color w:val="231F20"/>
                <w:sz w:val="24"/>
              </w:rPr>
              <w:t>Media</w:t>
            </w:r>
            <w:r>
              <w:rPr>
                <w:color w:val="231F20"/>
                <w:spacing w:val="-11"/>
                <w:sz w:val="24"/>
              </w:rPr>
              <w:t xml:space="preserve"> </w:t>
            </w:r>
            <w:r>
              <w:rPr>
                <w:color w:val="231F20"/>
                <w:sz w:val="24"/>
              </w:rPr>
              <w:t>Buy</w:t>
            </w:r>
            <w:r>
              <w:rPr>
                <w:color w:val="231F20"/>
                <w:spacing w:val="-10"/>
                <w:sz w:val="24"/>
              </w:rPr>
              <w:t xml:space="preserve"> </w:t>
            </w:r>
            <w:r>
              <w:rPr>
                <w:color w:val="231F20"/>
                <w:sz w:val="24"/>
              </w:rPr>
              <w:t>–</w:t>
            </w:r>
            <w:r>
              <w:rPr>
                <w:color w:val="231F20"/>
                <w:spacing w:val="-11"/>
                <w:sz w:val="24"/>
              </w:rPr>
              <w:t xml:space="preserve"> </w:t>
            </w:r>
            <w:r>
              <w:rPr>
                <w:color w:val="231F20"/>
                <w:sz w:val="24"/>
              </w:rPr>
              <w:t>2021–22</w:t>
            </w:r>
            <w:r>
              <w:rPr>
                <w:color w:val="231F20"/>
                <w:spacing w:val="-11"/>
                <w:sz w:val="24"/>
              </w:rPr>
              <w:t xml:space="preserve"> </w:t>
            </w:r>
            <w:r>
              <w:rPr>
                <w:color w:val="231F20"/>
                <w:sz w:val="24"/>
              </w:rPr>
              <w:t>Police Recruitment</w:t>
            </w:r>
            <w:r>
              <w:rPr>
                <w:color w:val="231F20"/>
                <w:spacing w:val="-17"/>
                <w:sz w:val="24"/>
              </w:rPr>
              <w:t xml:space="preserve"> </w:t>
            </w:r>
            <w:r>
              <w:rPr>
                <w:color w:val="231F20"/>
                <w:sz w:val="24"/>
              </w:rPr>
              <w:t>advertising</w:t>
            </w:r>
            <w:r>
              <w:rPr>
                <w:color w:val="231F20"/>
                <w:spacing w:val="-17"/>
                <w:sz w:val="24"/>
              </w:rPr>
              <w:t xml:space="preserve"> </w:t>
            </w:r>
            <w:r>
              <w:rPr>
                <w:color w:val="231F20"/>
                <w:sz w:val="24"/>
              </w:rPr>
              <w:t>campaign</w:t>
            </w:r>
          </w:p>
          <w:p w14:paraId="2DD77422" w14:textId="77777777" w:rsidR="00345EE3" w:rsidRDefault="00345EE3">
            <w:pPr>
              <w:pStyle w:val="TableParagraph"/>
              <w:numPr>
                <w:ilvl w:val="0"/>
                <w:numId w:val="55"/>
              </w:numPr>
              <w:tabs>
                <w:tab w:val="left" w:pos="280"/>
                <w:tab w:val="left" w:pos="281"/>
              </w:tabs>
              <w:spacing w:before="31"/>
              <w:jc w:val="left"/>
              <w:rPr>
                <w:sz w:val="24"/>
              </w:rPr>
            </w:pPr>
            <w:r>
              <w:rPr>
                <w:color w:val="231F20"/>
                <w:sz w:val="24"/>
              </w:rPr>
              <w:t>Precinct</w:t>
            </w:r>
            <w:r>
              <w:rPr>
                <w:color w:val="231F20"/>
                <w:spacing w:val="-6"/>
                <w:sz w:val="24"/>
              </w:rPr>
              <w:t xml:space="preserve"> </w:t>
            </w:r>
            <w:r>
              <w:rPr>
                <w:color w:val="231F20"/>
                <w:sz w:val="24"/>
              </w:rPr>
              <w:t>Security</w:t>
            </w:r>
            <w:r>
              <w:rPr>
                <w:color w:val="231F20"/>
                <w:spacing w:val="-6"/>
                <w:sz w:val="24"/>
              </w:rPr>
              <w:t xml:space="preserve"> </w:t>
            </w:r>
            <w:r>
              <w:rPr>
                <w:color w:val="231F20"/>
                <w:sz w:val="24"/>
              </w:rPr>
              <w:t>Manager</w:t>
            </w:r>
            <w:r>
              <w:rPr>
                <w:color w:val="231F20"/>
                <w:spacing w:val="-6"/>
                <w:sz w:val="24"/>
              </w:rPr>
              <w:t xml:space="preserve"> </w:t>
            </w:r>
            <w:r>
              <w:rPr>
                <w:color w:val="231F20"/>
                <w:sz w:val="24"/>
              </w:rPr>
              <w:t>–</w:t>
            </w:r>
            <w:r>
              <w:rPr>
                <w:color w:val="231F20"/>
                <w:spacing w:val="-6"/>
                <w:sz w:val="24"/>
              </w:rPr>
              <w:t xml:space="preserve"> </w:t>
            </w:r>
            <w:r>
              <w:rPr>
                <w:color w:val="231F20"/>
                <w:sz w:val="24"/>
              </w:rPr>
              <w:t>Labour</w:t>
            </w:r>
            <w:r>
              <w:rPr>
                <w:color w:val="231F20"/>
                <w:spacing w:val="-5"/>
                <w:sz w:val="24"/>
              </w:rPr>
              <w:t xml:space="preserve"> </w:t>
            </w:r>
            <w:r>
              <w:rPr>
                <w:color w:val="231F20"/>
                <w:spacing w:val="-2"/>
                <w:sz w:val="24"/>
              </w:rPr>
              <w:t>Contract</w:t>
            </w:r>
          </w:p>
          <w:p w14:paraId="3D8F0987" w14:textId="77777777" w:rsidR="00345EE3" w:rsidRDefault="00345EE3">
            <w:pPr>
              <w:pStyle w:val="TableParagraph"/>
              <w:numPr>
                <w:ilvl w:val="0"/>
                <w:numId w:val="55"/>
              </w:numPr>
              <w:tabs>
                <w:tab w:val="left" w:pos="280"/>
                <w:tab w:val="left" w:pos="281"/>
              </w:tabs>
              <w:spacing w:before="33"/>
              <w:jc w:val="left"/>
              <w:rPr>
                <w:sz w:val="24"/>
              </w:rPr>
            </w:pPr>
            <w:r>
              <w:rPr>
                <w:color w:val="231F20"/>
                <w:sz w:val="24"/>
              </w:rPr>
              <w:t>Cisco</w:t>
            </w:r>
            <w:r>
              <w:rPr>
                <w:color w:val="231F20"/>
                <w:spacing w:val="-8"/>
                <w:sz w:val="24"/>
              </w:rPr>
              <w:t xml:space="preserve"> </w:t>
            </w:r>
            <w:r>
              <w:rPr>
                <w:color w:val="231F20"/>
                <w:sz w:val="24"/>
              </w:rPr>
              <w:t>Maintenance</w:t>
            </w:r>
            <w:r>
              <w:rPr>
                <w:color w:val="231F20"/>
                <w:spacing w:val="-8"/>
                <w:sz w:val="24"/>
              </w:rPr>
              <w:t xml:space="preserve"> </w:t>
            </w:r>
            <w:r>
              <w:rPr>
                <w:color w:val="231F20"/>
                <w:sz w:val="24"/>
              </w:rPr>
              <w:t>&amp;</w:t>
            </w:r>
            <w:r>
              <w:rPr>
                <w:color w:val="231F20"/>
                <w:spacing w:val="-7"/>
                <w:sz w:val="24"/>
              </w:rPr>
              <w:t xml:space="preserve"> </w:t>
            </w:r>
            <w:r>
              <w:rPr>
                <w:color w:val="231F20"/>
                <w:spacing w:val="-2"/>
                <w:sz w:val="24"/>
              </w:rPr>
              <w:t>Support</w:t>
            </w:r>
          </w:p>
          <w:p w14:paraId="336D5D54" w14:textId="77777777" w:rsidR="00345EE3" w:rsidRDefault="00345EE3">
            <w:pPr>
              <w:pStyle w:val="TableParagraph"/>
              <w:numPr>
                <w:ilvl w:val="0"/>
                <w:numId w:val="55"/>
              </w:numPr>
              <w:tabs>
                <w:tab w:val="left" w:pos="280"/>
                <w:tab w:val="left" w:pos="281"/>
              </w:tabs>
              <w:spacing w:before="32" w:line="242" w:lineRule="auto"/>
              <w:ind w:right="109"/>
              <w:jc w:val="left"/>
              <w:rPr>
                <w:sz w:val="24"/>
              </w:rPr>
            </w:pPr>
            <w:r>
              <w:rPr>
                <w:color w:val="231F20"/>
                <w:sz w:val="24"/>
              </w:rPr>
              <w:t>Request</w:t>
            </w:r>
            <w:r>
              <w:rPr>
                <w:color w:val="231F20"/>
                <w:spacing w:val="-16"/>
                <w:sz w:val="24"/>
              </w:rPr>
              <w:t xml:space="preserve"> </w:t>
            </w:r>
            <w:r>
              <w:rPr>
                <w:color w:val="231F20"/>
                <w:sz w:val="24"/>
              </w:rPr>
              <w:t>for</w:t>
            </w:r>
            <w:r>
              <w:rPr>
                <w:color w:val="231F20"/>
                <w:spacing w:val="-16"/>
                <w:sz w:val="24"/>
              </w:rPr>
              <w:t xml:space="preserve"> </w:t>
            </w:r>
            <w:r>
              <w:rPr>
                <w:color w:val="231F20"/>
                <w:sz w:val="24"/>
              </w:rPr>
              <w:t>Quote</w:t>
            </w:r>
            <w:r>
              <w:rPr>
                <w:color w:val="231F20"/>
                <w:spacing w:val="-17"/>
                <w:sz w:val="24"/>
              </w:rPr>
              <w:t xml:space="preserve"> </w:t>
            </w:r>
            <w:r>
              <w:rPr>
                <w:color w:val="231F20"/>
                <w:sz w:val="24"/>
              </w:rPr>
              <w:t>Assessment</w:t>
            </w:r>
            <w:r>
              <w:rPr>
                <w:color w:val="231F20"/>
                <w:spacing w:val="-16"/>
                <w:sz w:val="24"/>
              </w:rPr>
              <w:t xml:space="preserve"> </w:t>
            </w:r>
            <w:r>
              <w:rPr>
                <w:color w:val="231F20"/>
                <w:sz w:val="24"/>
              </w:rPr>
              <w:t>of</w:t>
            </w:r>
            <w:r>
              <w:rPr>
                <w:color w:val="231F20"/>
                <w:spacing w:val="-16"/>
                <w:sz w:val="24"/>
              </w:rPr>
              <w:t xml:space="preserve"> </w:t>
            </w:r>
            <w:r>
              <w:rPr>
                <w:color w:val="231F20"/>
                <w:sz w:val="24"/>
              </w:rPr>
              <w:t>disclosure officer initiative</w:t>
            </w:r>
          </w:p>
          <w:p w14:paraId="05A23ED4" w14:textId="77777777" w:rsidR="00345EE3" w:rsidRDefault="00345EE3">
            <w:pPr>
              <w:pStyle w:val="TableParagraph"/>
              <w:numPr>
                <w:ilvl w:val="0"/>
                <w:numId w:val="55"/>
              </w:numPr>
              <w:tabs>
                <w:tab w:val="left" w:pos="280"/>
                <w:tab w:val="left" w:pos="281"/>
              </w:tabs>
              <w:spacing w:before="31" w:line="242" w:lineRule="auto"/>
              <w:ind w:right="609"/>
              <w:jc w:val="left"/>
              <w:rPr>
                <w:sz w:val="24"/>
              </w:rPr>
            </w:pPr>
            <w:r>
              <w:rPr>
                <w:color w:val="231F20"/>
                <w:sz w:val="24"/>
              </w:rPr>
              <w:t>Professional Services for Professional Advisory</w:t>
            </w:r>
            <w:r>
              <w:rPr>
                <w:color w:val="231F20"/>
                <w:spacing w:val="-9"/>
                <w:sz w:val="24"/>
              </w:rPr>
              <w:t xml:space="preserve"> </w:t>
            </w:r>
            <w:r>
              <w:rPr>
                <w:color w:val="231F20"/>
                <w:sz w:val="24"/>
              </w:rPr>
              <w:t>Services</w:t>
            </w:r>
            <w:r>
              <w:rPr>
                <w:color w:val="231F20"/>
                <w:spacing w:val="-9"/>
                <w:sz w:val="24"/>
              </w:rPr>
              <w:t xml:space="preserve"> </w:t>
            </w:r>
            <w:r>
              <w:rPr>
                <w:color w:val="231F20"/>
                <w:sz w:val="24"/>
              </w:rPr>
              <w:t>for</w:t>
            </w:r>
            <w:r>
              <w:rPr>
                <w:color w:val="231F20"/>
                <w:spacing w:val="-9"/>
                <w:sz w:val="24"/>
              </w:rPr>
              <w:t xml:space="preserve"> </w:t>
            </w:r>
            <w:r>
              <w:rPr>
                <w:color w:val="231F20"/>
                <w:sz w:val="24"/>
              </w:rPr>
              <w:t>the</w:t>
            </w:r>
            <w:r>
              <w:rPr>
                <w:color w:val="231F20"/>
                <w:spacing w:val="-9"/>
                <w:sz w:val="24"/>
              </w:rPr>
              <w:t xml:space="preserve"> </w:t>
            </w:r>
            <w:r>
              <w:rPr>
                <w:color w:val="231F20"/>
                <w:sz w:val="24"/>
              </w:rPr>
              <w:t>CED</w:t>
            </w:r>
            <w:r>
              <w:rPr>
                <w:color w:val="231F20"/>
                <w:spacing w:val="-9"/>
                <w:sz w:val="24"/>
              </w:rPr>
              <w:t xml:space="preserve"> </w:t>
            </w:r>
            <w:r>
              <w:rPr>
                <w:color w:val="231F20"/>
                <w:sz w:val="24"/>
              </w:rPr>
              <w:t>Program</w:t>
            </w:r>
          </w:p>
          <w:p w14:paraId="3C51004A" w14:textId="77777777" w:rsidR="00345EE3" w:rsidRDefault="00345EE3">
            <w:pPr>
              <w:pStyle w:val="TableParagraph"/>
              <w:numPr>
                <w:ilvl w:val="0"/>
                <w:numId w:val="55"/>
              </w:numPr>
              <w:tabs>
                <w:tab w:val="left" w:pos="280"/>
                <w:tab w:val="left" w:pos="281"/>
              </w:tabs>
              <w:spacing w:before="31"/>
              <w:jc w:val="left"/>
              <w:rPr>
                <w:sz w:val="24"/>
              </w:rPr>
            </w:pPr>
            <w:r>
              <w:rPr>
                <w:color w:val="231F20"/>
                <w:sz w:val="24"/>
              </w:rPr>
              <w:t>Psychosocial</w:t>
            </w:r>
            <w:r>
              <w:rPr>
                <w:color w:val="231F20"/>
                <w:spacing w:val="-10"/>
                <w:sz w:val="24"/>
              </w:rPr>
              <w:t xml:space="preserve"> </w:t>
            </w:r>
            <w:r>
              <w:rPr>
                <w:color w:val="231F20"/>
                <w:sz w:val="24"/>
              </w:rPr>
              <w:t>Risks</w:t>
            </w:r>
            <w:r>
              <w:rPr>
                <w:color w:val="231F20"/>
                <w:spacing w:val="-8"/>
                <w:sz w:val="24"/>
              </w:rPr>
              <w:t xml:space="preserve"> </w:t>
            </w:r>
            <w:r>
              <w:rPr>
                <w:color w:val="231F20"/>
                <w:sz w:val="24"/>
              </w:rPr>
              <w:t>at</w:t>
            </w:r>
            <w:r>
              <w:rPr>
                <w:color w:val="231F20"/>
                <w:spacing w:val="-8"/>
                <w:sz w:val="24"/>
              </w:rPr>
              <w:t xml:space="preserve"> </w:t>
            </w:r>
            <w:r>
              <w:rPr>
                <w:color w:val="231F20"/>
                <w:sz w:val="24"/>
              </w:rPr>
              <w:t>Vic</w:t>
            </w:r>
            <w:r>
              <w:rPr>
                <w:color w:val="231F20"/>
                <w:spacing w:val="-8"/>
                <w:sz w:val="24"/>
              </w:rPr>
              <w:t xml:space="preserve"> </w:t>
            </w:r>
            <w:r>
              <w:rPr>
                <w:color w:val="231F20"/>
                <w:sz w:val="24"/>
              </w:rPr>
              <w:t>Pol</w:t>
            </w:r>
            <w:r>
              <w:rPr>
                <w:color w:val="231F20"/>
                <w:spacing w:val="-9"/>
                <w:sz w:val="24"/>
              </w:rPr>
              <w:t xml:space="preserve"> </w:t>
            </w:r>
            <w:r>
              <w:rPr>
                <w:color w:val="231F20"/>
                <w:spacing w:val="-2"/>
                <w:sz w:val="24"/>
              </w:rPr>
              <w:t>Project</w:t>
            </w:r>
          </w:p>
          <w:p w14:paraId="0A84F658" w14:textId="77777777" w:rsidR="00345EE3" w:rsidRDefault="00345EE3">
            <w:pPr>
              <w:pStyle w:val="TableParagraph"/>
              <w:numPr>
                <w:ilvl w:val="0"/>
                <w:numId w:val="55"/>
              </w:numPr>
              <w:tabs>
                <w:tab w:val="left" w:pos="280"/>
                <w:tab w:val="left" w:pos="281"/>
              </w:tabs>
              <w:spacing w:before="32" w:line="242" w:lineRule="auto"/>
              <w:ind w:right="476"/>
              <w:jc w:val="left"/>
              <w:rPr>
                <w:sz w:val="24"/>
              </w:rPr>
            </w:pPr>
            <w:r>
              <w:rPr>
                <w:color w:val="231F20"/>
                <w:sz w:val="24"/>
              </w:rPr>
              <w:t>Strategic</w:t>
            </w:r>
            <w:r>
              <w:rPr>
                <w:color w:val="231F20"/>
                <w:spacing w:val="-15"/>
                <w:sz w:val="24"/>
              </w:rPr>
              <w:t xml:space="preserve"> </w:t>
            </w:r>
            <w:r>
              <w:rPr>
                <w:color w:val="231F20"/>
                <w:sz w:val="24"/>
              </w:rPr>
              <w:t>Sourcing</w:t>
            </w:r>
            <w:r>
              <w:rPr>
                <w:color w:val="231F20"/>
                <w:spacing w:val="-15"/>
                <w:sz w:val="24"/>
              </w:rPr>
              <w:t xml:space="preserve"> </w:t>
            </w:r>
            <w:r>
              <w:rPr>
                <w:color w:val="231F20"/>
                <w:sz w:val="24"/>
              </w:rPr>
              <w:t>Specialist</w:t>
            </w:r>
            <w:r>
              <w:rPr>
                <w:color w:val="231F20"/>
                <w:spacing w:val="-15"/>
                <w:sz w:val="24"/>
              </w:rPr>
              <w:t xml:space="preserve"> </w:t>
            </w:r>
            <w:r>
              <w:rPr>
                <w:color w:val="231F20"/>
                <w:sz w:val="24"/>
              </w:rPr>
              <w:t>for</w:t>
            </w:r>
            <w:r>
              <w:rPr>
                <w:color w:val="231F20"/>
                <w:spacing w:val="-15"/>
                <w:sz w:val="24"/>
              </w:rPr>
              <w:t xml:space="preserve"> </w:t>
            </w:r>
            <w:r>
              <w:rPr>
                <w:color w:val="231F20"/>
                <w:sz w:val="24"/>
              </w:rPr>
              <w:t>the</w:t>
            </w:r>
            <w:r>
              <w:rPr>
                <w:color w:val="231F20"/>
                <w:spacing w:val="-15"/>
                <w:sz w:val="24"/>
              </w:rPr>
              <w:t xml:space="preserve"> </w:t>
            </w:r>
            <w:r>
              <w:rPr>
                <w:color w:val="231F20"/>
                <w:sz w:val="24"/>
              </w:rPr>
              <w:t xml:space="preserve">CED </w:t>
            </w:r>
            <w:r>
              <w:rPr>
                <w:color w:val="231F20"/>
                <w:spacing w:val="-2"/>
                <w:sz w:val="24"/>
              </w:rPr>
              <w:t>Program</w:t>
            </w:r>
          </w:p>
          <w:p w14:paraId="29EB512E" w14:textId="77777777" w:rsidR="00345EE3" w:rsidRDefault="00345EE3">
            <w:pPr>
              <w:pStyle w:val="TableParagraph"/>
              <w:numPr>
                <w:ilvl w:val="0"/>
                <w:numId w:val="55"/>
              </w:numPr>
              <w:tabs>
                <w:tab w:val="left" w:pos="280"/>
                <w:tab w:val="left" w:pos="281"/>
              </w:tabs>
              <w:spacing w:before="31" w:line="242" w:lineRule="auto"/>
              <w:ind w:right="14"/>
              <w:jc w:val="left"/>
              <w:rPr>
                <w:sz w:val="24"/>
              </w:rPr>
            </w:pPr>
            <w:r>
              <w:rPr>
                <w:color w:val="231F20"/>
                <w:sz w:val="24"/>
              </w:rPr>
              <w:t>SPC</w:t>
            </w:r>
            <w:r>
              <w:rPr>
                <w:color w:val="231F20"/>
                <w:spacing w:val="-14"/>
                <w:sz w:val="24"/>
              </w:rPr>
              <w:t xml:space="preserve"> </w:t>
            </w:r>
            <w:r>
              <w:rPr>
                <w:color w:val="231F20"/>
                <w:sz w:val="24"/>
              </w:rPr>
              <w:t>Media</w:t>
            </w:r>
            <w:r>
              <w:rPr>
                <w:color w:val="231F20"/>
                <w:spacing w:val="-14"/>
                <w:sz w:val="24"/>
              </w:rPr>
              <w:t xml:space="preserve"> </w:t>
            </w:r>
            <w:r>
              <w:rPr>
                <w:color w:val="231F20"/>
                <w:sz w:val="24"/>
              </w:rPr>
              <w:t>Buy</w:t>
            </w:r>
            <w:r>
              <w:rPr>
                <w:color w:val="231F20"/>
                <w:spacing w:val="-13"/>
                <w:sz w:val="24"/>
              </w:rPr>
              <w:t xml:space="preserve"> </w:t>
            </w:r>
            <w:r>
              <w:rPr>
                <w:color w:val="231F20"/>
                <w:sz w:val="24"/>
              </w:rPr>
              <w:t>–</w:t>
            </w:r>
            <w:r>
              <w:rPr>
                <w:color w:val="231F20"/>
                <w:spacing w:val="-14"/>
                <w:sz w:val="24"/>
              </w:rPr>
              <w:t xml:space="preserve"> </w:t>
            </w:r>
            <w:r>
              <w:rPr>
                <w:color w:val="231F20"/>
                <w:sz w:val="24"/>
              </w:rPr>
              <w:t>2022–23</w:t>
            </w:r>
            <w:r>
              <w:rPr>
                <w:color w:val="231F20"/>
                <w:spacing w:val="-14"/>
                <w:sz w:val="24"/>
              </w:rPr>
              <w:t xml:space="preserve"> </w:t>
            </w:r>
            <w:r>
              <w:rPr>
                <w:color w:val="231F20"/>
                <w:sz w:val="24"/>
              </w:rPr>
              <w:t>Unwanted</w:t>
            </w:r>
            <w:r>
              <w:rPr>
                <w:color w:val="231F20"/>
                <w:spacing w:val="-14"/>
                <w:sz w:val="24"/>
              </w:rPr>
              <w:t xml:space="preserve"> </w:t>
            </w:r>
            <w:r>
              <w:rPr>
                <w:color w:val="231F20"/>
                <w:sz w:val="24"/>
              </w:rPr>
              <w:t>Sexual Behaviour on Public Transport (STOPIT)</w:t>
            </w:r>
          </w:p>
        </w:tc>
        <w:tc>
          <w:tcPr>
            <w:tcW w:w="5074" w:type="dxa"/>
            <w:tcBorders>
              <w:left w:val="single" w:sz="2" w:space="0" w:color="939598"/>
              <w:bottom w:val="single" w:sz="2" w:space="0" w:color="939598"/>
            </w:tcBorders>
          </w:tcPr>
          <w:p w14:paraId="439628ED" w14:textId="77777777" w:rsidR="00345EE3" w:rsidRDefault="00345EE3" w:rsidP="00D73130">
            <w:pPr>
              <w:pStyle w:val="TableParagraph"/>
              <w:spacing w:line="242" w:lineRule="auto"/>
              <w:ind w:right="232"/>
              <w:jc w:val="left"/>
              <w:rPr>
                <w:sz w:val="24"/>
              </w:rPr>
            </w:pPr>
            <w:r>
              <w:rPr>
                <w:color w:val="231F20"/>
                <w:sz w:val="24"/>
              </w:rPr>
              <w:t>Successful Suppliers to contracts from list shown</w:t>
            </w:r>
            <w:r>
              <w:rPr>
                <w:color w:val="231F20"/>
                <w:spacing w:val="-7"/>
                <w:sz w:val="24"/>
              </w:rPr>
              <w:t xml:space="preserve"> </w:t>
            </w:r>
            <w:r>
              <w:rPr>
                <w:color w:val="231F20"/>
                <w:sz w:val="24"/>
              </w:rPr>
              <w:t>were</w:t>
            </w:r>
            <w:r>
              <w:rPr>
                <w:color w:val="231F20"/>
                <w:spacing w:val="-8"/>
                <w:sz w:val="24"/>
              </w:rPr>
              <w:t xml:space="preserve"> </w:t>
            </w:r>
            <w:r>
              <w:rPr>
                <w:color w:val="231F20"/>
                <w:sz w:val="24"/>
              </w:rPr>
              <w:t>obtained</w:t>
            </w:r>
            <w:r>
              <w:rPr>
                <w:color w:val="231F20"/>
                <w:spacing w:val="-8"/>
                <w:sz w:val="24"/>
              </w:rPr>
              <w:t xml:space="preserve"> </w:t>
            </w:r>
            <w:r>
              <w:rPr>
                <w:color w:val="231F20"/>
                <w:sz w:val="24"/>
              </w:rPr>
              <w:t>from</w:t>
            </w:r>
            <w:r>
              <w:rPr>
                <w:color w:val="231F20"/>
                <w:spacing w:val="-7"/>
                <w:sz w:val="24"/>
              </w:rPr>
              <w:t xml:space="preserve"> </w:t>
            </w:r>
            <w:r>
              <w:rPr>
                <w:color w:val="231F20"/>
                <w:sz w:val="24"/>
              </w:rPr>
              <w:t>Mandated</w:t>
            </w:r>
            <w:r>
              <w:rPr>
                <w:color w:val="231F20"/>
                <w:spacing w:val="-7"/>
                <w:sz w:val="24"/>
              </w:rPr>
              <w:t xml:space="preserve"> </w:t>
            </w:r>
            <w:r>
              <w:rPr>
                <w:color w:val="231F20"/>
                <w:sz w:val="24"/>
              </w:rPr>
              <w:t>Whole of Victorian Government State Purchase Contracts where Corporate, Social and Environmental requirements already apply.</w:t>
            </w:r>
          </w:p>
        </w:tc>
      </w:tr>
    </w:tbl>
    <w:p w14:paraId="70765D68" w14:textId="77777777" w:rsidR="00345EE3" w:rsidRDefault="00345EE3" w:rsidP="00345EE3">
      <w:pPr>
        <w:spacing w:line="242" w:lineRule="auto"/>
        <w:rPr>
          <w:sz w:val="24"/>
        </w:rPr>
        <w:sectPr w:rsidR="00345EE3">
          <w:pgSz w:w="11910" w:h="16840"/>
          <w:pgMar w:top="820" w:right="0" w:bottom="280" w:left="740" w:header="720" w:footer="720" w:gutter="0"/>
          <w:cols w:space="720"/>
        </w:sectPr>
      </w:pPr>
    </w:p>
    <w:p w14:paraId="07EA4669" w14:textId="77777777" w:rsidR="00345EE3" w:rsidRDefault="00345EE3" w:rsidP="00345EE3">
      <w:pPr>
        <w:pStyle w:val="BodyText"/>
        <w:spacing w:before="2"/>
        <w:rPr>
          <w:rFonts w:ascii="Arial-BoldItalicMT"/>
          <w:b/>
          <w:i/>
          <w:sz w:val="2"/>
        </w:rPr>
      </w:pPr>
    </w:p>
    <w:tbl>
      <w:tblPr>
        <w:tblW w:w="0" w:type="auto"/>
        <w:tblInd w:w="117" w:type="dxa"/>
        <w:tblLayout w:type="fixed"/>
        <w:tblCellMar>
          <w:left w:w="0" w:type="dxa"/>
          <w:right w:w="0" w:type="dxa"/>
        </w:tblCellMar>
        <w:tblLook w:val="01E0" w:firstRow="1" w:lastRow="1" w:firstColumn="1" w:lastColumn="1" w:noHBand="0" w:noVBand="0"/>
      </w:tblPr>
      <w:tblGrid>
        <w:gridCol w:w="5102"/>
        <w:gridCol w:w="5074"/>
      </w:tblGrid>
      <w:tr w:rsidR="00345EE3" w14:paraId="14C86078" w14:textId="77777777" w:rsidTr="00D73130">
        <w:trPr>
          <w:trHeight w:val="961"/>
        </w:trPr>
        <w:tc>
          <w:tcPr>
            <w:tcW w:w="10176" w:type="dxa"/>
            <w:gridSpan w:val="2"/>
            <w:shd w:val="clear" w:color="auto" w:fill="00529F"/>
          </w:tcPr>
          <w:p w14:paraId="419BE5B6" w14:textId="77777777" w:rsidR="00345EE3" w:rsidRDefault="00345EE3" w:rsidP="00D73130">
            <w:pPr>
              <w:pStyle w:val="TableParagraph"/>
              <w:tabs>
                <w:tab w:val="left" w:pos="5104"/>
              </w:tabs>
              <w:spacing w:before="63" w:line="242" w:lineRule="auto"/>
              <w:ind w:left="5104" w:right="313" w:hanging="5105"/>
              <w:jc w:val="left"/>
              <w:rPr>
                <w:b/>
                <w:sz w:val="24"/>
              </w:rPr>
            </w:pPr>
            <w:r>
              <w:rPr>
                <w:b/>
                <w:color w:val="FFFFFF"/>
                <w:sz w:val="24"/>
              </w:rPr>
              <w:t>Procurement contract</w:t>
            </w:r>
            <w:r>
              <w:rPr>
                <w:b/>
                <w:color w:val="FFFFFF"/>
                <w:sz w:val="24"/>
              </w:rPr>
              <w:tab/>
              <w:t>Additional</w:t>
            </w:r>
            <w:r>
              <w:rPr>
                <w:b/>
                <w:color w:val="FFFFFF"/>
                <w:spacing w:val="-14"/>
                <w:sz w:val="24"/>
              </w:rPr>
              <w:t xml:space="preserve"> </w:t>
            </w:r>
            <w:r>
              <w:rPr>
                <w:b/>
                <w:color w:val="FFFFFF"/>
                <w:sz w:val="24"/>
              </w:rPr>
              <w:t>sustainable</w:t>
            </w:r>
            <w:r>
              <w:rPr>
                <w:b/>
                <w:color w:val="FFFFFF"/>
                <w:spacing w:val="-14"/>
                <w:sz w:val="24"/>
              </w:rPr>
              <w:t xml:space="preserve"> </w:t>
            </w:r>
            <w:r>
              <w:rPr>
                <w:b/>
                <w:color w:val="FFFFFF"/>
                <w:sz w:val="24"/>
              </w:rPr>
              <w:t>and</w:t>
            </w:r>
            <w:r>
              <w:rPr>
                <w:b/>
                <w:color w:val="FFFFFF"/>
                <w:spacing w:val="-14"/>
                <w:sz w:val="24"/>
              </w:rPr>
              <w:t xml:space="preserve"> </w:t>
            </w:r>
            <w:r>
              <w:rPr>
                <w:b/>
                <w:color w:val="FFFFFF"/>
                <w:sz w:val="24"/>
              </w:rPr>
              <w:t>environmental considerations applied during the procurement process</w:t>
            </w:r>
          </w:p>
        </w:tc>
      </w:tr>
      <w:tr w:rsidR="00345EE3" w14:paraId="348A0C52" w14:textId="77777777" w:rsidTr="00D73130">
        <w:trPr>
          <w:trHeight w:val="7143"/>
        </w:trPr>
        <w:tc>
          <w:tcPr>
            <w:tcW w:w="5102" w:type="dxa"/>
            <w:tcBorders>
              <w:bottom w:val="single" w:sz="6" w:space="0" w:color="231F20"/>
              <w:right w:val="single" w:sz="2" w:space="0" w:color="939598"/>
            </w:tcBorders>
          </w:tcPr>
          <w:p w14:paraId="66299DE7" w14:textId="77777777" w:rsidR="00345EE3" w:rsidRDefault="00345EE3">
            <w:pPr>
              <w:pStyle w:val="TableParagraph"/>
              <w:numPr>
                <w:ilvl w:val="0"/>
                <w:numId w:val="54"/>
              </w:numPr>
              <w:tabs>
                <w:tab w:val="left" w:pos="280"/>
                <w:tab w:val="left" w:pos="281"/>
              </w:tabs>
              <w:jc w:val="left"/>
              <w:rPr>
                <w:sz w:val="24"/>
              </w:rPr>
            </w:pPr>
            <w:r>
              <w:rPr>
                <w:color w:val="231F20"/>
                <w:sz w:val="24"/>
              </w:rPr>
              <w:t>DJCS</w:t>
            </w:r>
            <w:r>
              <w:rPr>
                <w:color w:val="231F20"/>
                <w:spacing w:val="-8"/>
                <w:sz w:val="24"/>
              </w:rPr>
              <w:t xml:space="preserve"> </w:t>
            </w:r>
            <w:r>
              <w:rPr>
                <w:color w:val="231F20"/>
                <w:sz w:val="24"/>
              </w:rPr>
              <w:t>Accommodation</w:t>
            </w:r>
            <w:r>
              <w:rPr>
                <w:color w:val="231F20"/>
                <w:spacing w:val="-7"/>
                <w:sz w:val="24"/>
              </w:rPr>
              <w:t xml:space="preserve"> </w:t>
            </w:r>
            <w:r>
              <w:rPr>
                <w:color w:val="231F20"/>
                <w:spacing w:val="-2"/>
                <w:sz w:val="24"/>
              </w:rPr>
              <w:t>Project</w:t>
            </w:r>
          </w:p>
          <w:p w14:paraId="659B9D9A" w14:textId="77777777" w:rsidR="00345EE3" w:rsidRDefault="00345EE3">
            <w:pPr>
              <w:pStyle w:val="TableParagraph"/>
              <w:numPr>
                <w:ilvl w:val="0"/>
                <w:numId w:val="54"/>
              </w:numPr>
              <w:tabs>
                <w:tab w:val="left" w:pos="280"/>
                <w:tab w:val="left" w:pos="281"/>
              </w:tabs>
              <w:spacing w:before="33"/>
              <w:jc w:val="left"/>
              <w:rPr>
                <w:sz w:val="24"/>
              </w:rPr>
            </w:pPr>
            <w:r>
              <w:rPr>
                <w:color w:val="231F20"/>
                <w:sz w:val="24"/>
              </w:rPr>
              <w:t>DJCS</w:t>
            </w:r>
            <w:r>
              <w:rPr>
                <w:color w:val="231F20"/>
                <w:spacing w:val="-8"/>
                <w:sz w:val="24"/>
              </w:rPr>
              <w:t xml:space="preserve"> </w:t>
            </w:r>
            <w:r>
              <w:rPr>
                <w:color w:val="231F20"/>
                <w:sz w:val="24"/>
              </w:rPr>
              <w:t>Accommodation</w:t>
            </w:r>
            <w:r>
              <w:rPr>
                <w:color w:val="231F20"/>
                <w:spacing w:val="-9"/>
                <w:sz w:val="24"/>
              </w:rPr>
              <w:t xml:space="preserve"> </w:t>
            </w:r>
            <w:r>
              <w:rPr>
                <w:color w:val="231F20"/>
                <w:sz w:val="24"/>
              </w:rPr>
              <w:t>Project</w:t>
            </w:r>
            <w:r>
              <w:rPr>
                <w:color w:val="231F20"/>
                <w:spacing w:val="-7"/>
                <w:sz w:val="24"/>
              </w:rPr>
              <w:t xml:space="preserve"> </w:t>
            </w:r>
            <w:r>
              <w:rPr>
                <w:color w:val="231F20"/>
                <w:sz w:val="24"/>
              </w:rPr>
              <w:t>fit-</w:t>
            </w:r>
            <w:r>
              <w:rPr>
                <w:color w:val="231F20"/>
                <w:spacing w:val="-5"/>
                <w:sz w:val="24"/>
              </w:rPr>
              <w:t>out</w:t>
            </w:r>
          </w:p>
        </w:tc>
        <w:tc>
          <w:tcPr>
            <w:tcW w:w="5074" w:type="dxa"/>
            <w:tcBorders>
              <w:left w:val="single" w:sz="2" w:space="0" w:color="939598"/>
              <w:bottom w:val="single" w:sz="6" w:space="0" w:color="231F20"/>
            </w:tcBorders>
          </w:tcPr>
          <w:p w14:paraId="1DFA125C" w14:textId="77777777" w:rsidR="00345EE3" w:rsidRDefault="00345EE3" w:rsidP="00D73130">
            <w:pPr>
              <w:pStyle w:val="TableParagraph"/>
              <w:spacing w:line="242" w:lineRule="auto"/>
              <w:jc w:val="left"/>
              <w:rPr>
                <w:sz w:val="24"/>
              </w:rPr>
            </w:pPr>
            <w:r>
              <w:rPr>
                <w:color w:val="231F20"/>
                <w:sz w:val="24"/>
              </w:rPr>
              <w:t>All Victoria Police construction projects contractually require our contractors to comply with</w:t>
            </w:r>
            <w:r>
              <w:rPr>
                <w:color w:val="231F20"/>
                <w:spacing w:val="-5"/>
                <w:sz w:val="24"/>
              </w:rPr>
              <w:t xml:space="preserve"> </w:t>
            </w:r>
            <w:r>
              <w:rPr>
                <w:color w:val="231F20"/>
                <w:sz w:val="24"/>
              </w:rPr>
              <w:t>Volume</w:t>
            </w:r>
            <w:r>
              <w:rPr>
                <w:color w:val="231F20"/>
                <w:spacing w:val="-5"/>
                <w:sz w:val="24"/>
              </w:rPr>
              <w:t xml:space="preserve"> </w:t>
            </w:r>
            <w:r>
              <w:rPr>
                <w:color w:val="231F20"/>
                <w:sz w:val="24"/>
              </w:rPr>
              <w:t>One,</w:t>
            </w:r>
            <w:r>
              <w:rPr>
                <w:color w:val="231F20"/>
                <w:spacing w:val="-4"/>
                <w:sz w:val="24"/>
              </w:rPr>
              <w:t xml:space="preserve"> </w:t>
            </w:r>
            <w:r>
              <w:rPr>
                <w:color w:val="231F20"/>
                <w:sz w:val="24"/>
              </w:rPr>
              <w:t>Section</w:t>
            </w:r>
            <w:r>
              <w:rPr>
                <w:color w:val="231F20"/>
                <w:spacing w:val="-5"/>
                <w:sz w:val="24"/>
              </w:rPr>
              <w:t xml:space="preserve"> </w:t>
            </w:r>
            <w:r>
              <w:rPr>
                <w:color w:val="231F20"/>
                <w:sz w:val="24"/>
              </w:rPr>
              <w:t>J</w:t>
            </w:r>
            <w:r>
              <w:rPr>
                <w:color w:val="231F20"/>
                <w:spacing w:val="-4"/>
                <w:sz w:val="24"/>
              </w:rPr>
              <w:t xml:space="preserve"> </w:t>
            </w:r>
            <w:r>
              <w:rPr>
                <w:color w:val="231F20"/>
                <w:sz w:val="24"/>
              </w:rPr>
              <w:t>[Energy</w:t>
            </w:r>
            <w:r>
              <w:rPr>
                <w:color w:val="231F20"/>
                <w:spacing w:val="-4"/>
                <w:sz w:val="24"/>
              </w:rPr>
              <w:t xml:space="preserve"> </w:t>
            </w:r>
            <w:r>
              <w:rPr>
                <w:color w:val="231F20"/>
                <w:sz w:val="24"/>
              </w:rPr>
              <w:t>Efficiency] of</w:t>
            </w:r>
            <w:r>
              <w:rPr>
                <w:color w:val="231F20"/>
                <w:spacing w:val="-11"/>
                <w:sz w:val="24"/>
              </w:rPr>
              <w:t xml:space="preserve"> </w:t>
            </w:r>
            <w:r>
              <w:rPr>
                <w:color w:val="231F20"/>
                <w:sz w:val="24"/>
              </w:rPr>
              <w:t>the</w:t>
            </w:r>
            <w:r>
              <w:rPr>
                <w:color w:val="231F20"/>
                <w:spacing w:val="-12"/>
                <w:sz w:val="24"/>
              </w:rPr>
              <w:t xml:space="preserve"> </w:t>
            </w:r>
            <w:r>
              <w:rPr>
                <w:color w:val="231F20"/>
                <w:sz w:val="24"/>
              </w:rPr>
              <w:t>National</w:t>
            </w:r>
            <w:r>
              <w:rPr>
                <w:color w:val="231F20"/>
                <w:spacing w:val="-12"/>
                <w:sz w:val="24"/>
              </w:rPr>
              <w:t xml:space="preserve"> </w:t>
            </w:r>
            <w:r>
              <w:rPr>
                <w:color w:val="231F20"/>
                <w:sz w:val="24"/>
              </w:rPr>
              <w:t>Construction</w:t>
            </w:r>
            <w:r>
              <w:rPr>
                <w:color w:val="231F20"/>
                <w:spacing w:val="-12"/>
                <w:sz w:val="24"/>
              </w:rPr>
              <w:t xml:space="preserve"> </w:t>
            </w:r>
            <w:r>
              <w:rPr>
                <w:color w:val="231F20"/>
                <w:sz w:val="24"/>
              </w:rPr>
              <w:t>Code.</w:t>
            </w:r>
            <w:r>
              <w:rPr>
                <w:color w:val="231F20"/>
                <w:spacing w:val="-11"/>
                <w:sz w:val="24"/>
              </w:rPr>
              <w:t xml:space="preserve"> </w:t>
            </w:r>
            <w:r>
              <w:rPr>
                <w:color w:val="231F20"/>
                <w:sz w:val="24"/>
              </w:rPr>
              <w:t>That</w:t>
            </w:r>
            <w:r>
              <w:rPr>
                <w:color w:val="231F20"/>
                <w:spacing w:val="-11"/>
                <w:sz w:val="24"/>
              </w:rPr>
              <w:t xml:space="preserve"> </w:t>
            </w:r>
            <w:r>
              <w:rPr>
                <w:color w:val="231F20"/>
                <w:sz w:val="24"/>
              </w:rPr>
              <w:t>section defines requirements for the energy efficiency performance of:</w:t>
            </w:r>
          </w:p>
          <w:p w14:paraId="1D9F1F1A" w14:textId="77777777" w:rsidR="00345EE3" w:rsidRDefault="00345EE3">
            <w:pPr>
              <w:pStyle w:val="TableParagraph"/>
              <w:numPr>
                <w:ilvl w:val="0"/>
                <w:numId w:val="53"/>
              </w:numPr>
              <w:tabs>
                <w:tab w:val="left" w:pos="283"/>
                <w:tab w:val="left" w:pos="284"/>
              </w:tabs>
              <w:spacing w:before="36" w:line="242" w:lineRule="auto"/>
              <w:ind w:right="104"/>
              <w:jc w:val="left"/>
              <w:rPr>
                <w:sz w:val="24"/>
              </w:rPr>
            </w:pPr>
            <w:r>
              <w:rPr>
                <w:color w:val="231F20"/>
                <w:sz w:val="24"/>
              </w:rPr>
              <w:t>The</w:t>
            </w:r>
            <w:r>
              <w:rPr>
                <w:color w:val="231F20"/>
                <w:spacing w:val="-16"/>
                <w:sz w:val="24"/>
              </w:rPr>
              <w:t xml:space="preserve"> </w:t>
            </w:r>
            <w:r>
              <w:rPr>
                <w:color w:val="231F20"/>
                <w:sz w:val="24"/>
              </w:rPr>
              <w:t>building</w:t>
            </w:r>
            <w:r>
              <w:rPr>
                <w:color w:val="231F20"/>
                <w:spacing w:val="-16"/>
                <w:sz w:val="24"/>
              </w:rPr>
              <w:t xml:space="preserve"> </w:t>
            </w:r>
            <w:r>
              <w:rPr>
                <w:color w:val="231F20"/>
                <w:sz w:val="24"/>
              </w:rPr>
              <w:t>fabric</w:t>
            </w:r>
            <w:r>
              <w:rPr>
                <w:color w:val="231F20"/>
                <w:spacing w:val="-16"/>
                <w:sz w:val="24"/>
              </w:rPr>
              <w:t xml:space="preserve"> </w:t>
            </w:r>
            <w:r>
              <w:rPr>
                <w:color w:val="231F20"/>
                <w:sz w:val="24"/>
              </w:rPr>
              <w:t>including</w:t>
            </w:r>
            <w:r>
              <w:rPr>
                <w:color w:val="231F20"/>
                <w:spacing w:val="-16"/>
                <w:sz w:val="24"/>
              </w:rPr>
              <w:t xml:space="preserve"> </w:t>
            </w:r>
            <w:r>
              <w:rPr>
                <w:color w:val="231F20"/>
                <w:sz w:val="24"/>
              </w:rPr>
              <w:t>external</w:t>
            </w:r>
            <w:r>
              <w:rPr>
                <w:color w:val="231F20"/>
                <w:spacing w:val="-16"/>
                <w:sz w:val="24"/>
              </w:rPr>
              <w:t xml:space="preserve"> </w:t>
            </w:r>
            <w:r>
              <w:rPr>
                <w:color w:val="231F20"/>
                <w:sz w:val="24"/>
              </w:rPr>
              <w:t>glazing and shading</w:t>
            </w:r>
          </w:p>
          <w:p w14:paraId="7C78ED73" w14:textId="77777777" w:rsidR="00345EE3" w:rsidRDefault="00345EE3">
            <w:pPr>
              <w:pStyle w:val="TableParagraph"/>
              <w:numPr>
                <w:ilvl w:val="0"/>
                <w:numId w:val="53"/>
              </w:numPr>
              <w:tabs>
                <w:tab w:val="left" w:pos="283"/>
                <w:tab w:val="left" w:pos="284"/>
              </w:tabs>
              <w:spacing w:before="31"/>
              <w:jc w:val="left"/>
              <w:rPr>
                <w:sz w:val="24"/>
              </w:rPr>
            </w:pPr>
            <w:r>
              <w:rPr>
                <w:color w:val="231F20"/>
                <w:sz w:val="24"/>
              </w:rPr>
              <w:t>Sealing</w:t>
            </w:r>
            <w:r>
              <w:rPr>
                <w:color w:val="231F20"/>
                <w:spacing w:val="-6"/>
                <w:sz w:val="24"/>
              </w:rPr>
              <w:t xml:space="preserve"> </w:t>
            </w:r>
            <w:r>
              <w:rPr>
                <w:color w:val="231F20"/>
                <w:sz w:val="24"/>
              </w:rPr>
              <w:t>of</w:t>
            </w:r>
            <w:r>
              <w:rPr>
                <w:color w:val="231F20"/>
                <w:spacing w:val="-6"/>
                <w:sz w:val="24"/>
              </w:rPr>
              <w:t xml:space="preserve"> </w:t>
            </w:r>
            <w:r>
              <w:rPr>
                <w:color w:val="231F20"/>
                <w:sz w:val="24"/>
              </w:rPr>
              <w:t>the</w:t>
            </w:r>
            <w:r>
              <w:rPr>
                <w:color w:val="231F20"/>
                <w:spacing w:val="-6"/>
                <w:sz w:val="24"/>
              </w:rPr>
              <w:t xml:space="preserve"> </w:t>
            </w:r>
            <w:r>
              <w:rPr>
                <w:color w:val="231F20"/>
                <w:spacing w:val="-2"/>
                <w:sz w:val="24"/>
              </w:rPr>
              <w:t>building</w:t>
            </w:r>
          </w:p>
          <w:p w14:paraId="463A6025" w14:textId="77777777" w:rsidR="00345EE3" w:rsidRDefault="00345EE3">
            <w:pPr>
              <w:pStyle w:val="TableParagraph"/>
              <w:numPr>
                <w:ilvl w:val="0"/>
                <w:numId w:val="53"/>
              </w:numPr>
              <w:tabs>
                <w:tab w:val="left" w:pos="283"/>
                <w:tab w:val="left" w:pos="284"/>
              </w:tabs>
              <w:spacing w:before="32" w:line="242" w:lineRule="auto"/>
              <w:ind w:right="314"/>
              <w:jc w:val="left"/>
              <w:rPr>
                <w:sz w:val="24"/>
              </w:rPr>
            </w:pPr>
            <w:r>
              <w:rPr>
                <w:color w:val="231F20"/>
                <w:sz w:val="24"/>
              </w:rPr>
              <w:t>Performance</w:t>
            </w:r>
            <w:r>
              <w:rPr>
                <w:color w:val="231F20"/>
                <w:spacing w:val="-16"/>
                <w:sz w:val="24"/>
              </w:rPr>
              <w:t xml:space="preserve"> </w:t>
            </w:r>
            <w:r>
              <w:rPr>
                <w:color w:val="231F20"/>
                <w:sz w:val="24"/>
              </w:rPr>
              <w:t>of</w:t>
            </w:r>
            <w:r>
              <w:rPr>
                <w:color w:val="231F20"/>
                <w:spacing w:val="-15"/>
                <w:sz w:val="24"/>
              </w:rPr>
              <w:t xml:space="preserve"> </w:t>
            </w:r>
            <w:r>
              <w:rPr>
                <w:color w:val="231F20"/>
                <w:sz w:val="24"/>
              </w:rPr>
              <w:t>heating,</w:t>
            </w:r>
            <w:r>
              <w:rPr>
                <w:color w:val="231F20"/>
                <w:spacing w:val="-15"/>
                <w:sz w:val="24"/>
              </w:rPr>
              <w:t xml:space="preserve"> </w:t>
            </w:r>
            <w:r>
              <w:rPr>
                <w:color w:val="231F20"/>
                <w:sz w:val="24"/>
              </w:rPr>
              <w:t>ventilation</w:t>
            </w:r>
            <w:r>
              <w:rPr>
                <w:color w:val="231F20"/>
                <w:spacing w:val="-16"/>
                <w:sz w:val="24"/>
              </w:rPr>
              <w:t xml:space="preserve"> </w:t>
            </w:r>
            <w:r>
              <w:rPr>
                <w:color w:val="231F20"/>
                <w:sz w:val="24"/>
              </w:rPr>
              <w:t>and</w:t>
            </w:r>
            <w:r>
              <w:rPr>
                <w:color w:val="231F20"/>
                <w:spacing w:val="-16"/>
                <w:sz w:val="24"/>
              </w:rPr>
              <w:t xml:space="preserve"> </w:t>
            </w:r>
            <w:r>
              <w:rPr>
                <w:color w:val="231F20"/>
                <w:sz w:val="24"/>
              </w:rPr>
              <w:t>air conditioning systems</w:t>
            </w:r>
          </w:p>
          <w:p w14:paraId="48873F96" w14:textId="77777777" w:rsidR="00345EE3" w:rsidRDefault="00345EE3">
            <w:pPr>
              <w:pStyle w:val="TableParagraph"/>
              <w:numPr>
                <w:ilvl w:val="0"/>
                <w:numId w:val="53"/>
              </w:numPr>
              <w:tabs>
                <w:tab w:val="left" w:pos="283"/>
                <w:tab w:val="left" w:pos="284"/>
              </w:tabs>
              <w:spacing w:before="31"/>
              <w:jc w:val="left"/>
              <w:rPr>
                <w:sz w:val="24"/>
              </w:rPr>
            </w:pPr>
            <w:r>
              <w:rPr>
                <w:color w:val="231F20"/>
                <w:sz w:val="24"/>
              </w:rPr>
              <w:t>Artificial</w:t>
            </w:r>
            <w:r>
              <w:rPr>
                <w:color w:val="231F20"/>
                <w:spacing w:val="-6"/>
                <w:sz w:val="24"/>
              </w:rPr>
              <w:t xml:space="preserve"> </w:t>
            </w:r>
            <w:r>
              <w:rPr>
                <w:color w:val="231F20"/>
                <w:sz w:val="24"/>
              </w:rPr>
              <w:t>lighting</w:t>
            </w:r>
            <w:r>
              <w:rPr>
                <w:color w:val="231F20"/>
                <w:spacing w:val="-6"/>
                <w:sz w:val="24"/>
              </w:rPr>
              <w:t xml:space="preserve"> </w:t>
            </w:r>
            <w:r>
              <w:rPr>
                <w:color w:val="231F20"/>
                <w:sz w:val="24"/>
              </w:rPr>
              <w:t>and</w:t>
            </w:r>
            <w:r>
              <w:rPr>
                <w:color w:val="231F20"/>
                <w:spacing w:val="-5"/>
                <w:sz w:val="24"/>
              </w:rPr>
              <w:t xml:space="preserve"> </w:t>
            </w:r>
            <w:r>
              <w:rPr>
                <w:color w:val="231F20"/>
                <w:spacing w:val="-4"/>
                <w:sz w:val="24"/>
              </w:rPr>
              <w:t>power</w:t>
            </w:r>
          </w:p>
          <w:p w14:paraId="079F36A9" w14:textId="77777777" w:rsidR="00345EE3" w:rsidRDefault="00345EE3">
            <w:pPr>
              <w:pStyle w:val="TableParagraph"/>
              <w:numPr>
                <w:ilvl w:val="0"/>
                <w:numId w:val="53"/>
              </w:numPr>
              <w:tabs>
                <w:tab w:val="left" w:pos="283"/>
                <w:tab w:val="left" w:pos="284"/>
              </w:tabs>
              <w:spacing w:before="33"/>
              <w:jc w:val="left"/>
              <w:rPr>
                <w:sz w:val="24"/>
              </w:rPr>
            </w:pPr>
            <w:r>
              <w:rPr>
                <w:color w:val="231F20"/>
                <w:sz w:val="24"/>
              </w:rPr>
              <w:t>Heated</w:t>
            </w:r>
            <w:r>
              <w:rPr>
                <w:color w:val="231F20"/>
                <w:spacing w:val="-13"/>
                <w:sz w:val="24"/>
              </w:rPr>
              <w:t xml:space="preserve"> </w:t>
            </w:r>
            <w:r>
              <w:rPr>
                <w:color w:val="231F20"/>
                <w:sz w:val="24"/>
              </w:rPr>
              <w:t>water</w:t>
            </w:r>
            <w:r>
              <w:rPr>
                <w:color w:val="231F20"/>
                <w:spacing w:val="-12"/>
                <w:sz w:val="24"/>
              </w:rPr>
              <w:t xml:space="preserve"> </w:t>
            </w:r>
            <w:r>
              <w:rPr>
                <w:color w:val="231F20"/>
                <w:sz w:val="24"/>
              </w:rPr>
              <w:t>supply</w:t>
            </w:r>
            <w:r>
              <w:rPr>
                <w:color w:val="231F20"/>
                <w:spacing w:val="-12"/>
                <w:sz w:val="24"/>
              </w:rPr>
              <w:t xml:space="preserve"> </w:t>
            </w:r>
            <w:r>
              <w:rPr>
                <w:color w:val="231F20"/>
                <w:spacing w:val="-2"/>
                <w:sz w:val="24"/>
              </w:rPr>
              <w:t>systems</w:t>
            </w:r>
          </w:p>
          <w:p w14:paraId="0200AAB8" w14:textId="77777777" w:rsidR="00345EE3" w:rsidRDefault="00345EE3">
            <w:pPr>
              <w:pStyle w:val="TableParagraph"/>
              <w:numPr>
                <w:ilvl w:val="0"/>
                <w:numId w:val="53"/>
              </w:numPr>
              <w:tabs>
                <w:tab w:val="left" w:pos="283"/>
                <w:tab w:val="left" w:pos="284"/>
              </w:tabs>
              <w:spacing w:before="32"/>
              <w:jc w:val="left"/>
              <w:rPr>
                <w:sz w:val="24"/>
              </w:rPr>
            </w:pPr>
            <w:r>
              <w:rPr>
                <w:color w:val="231F20"/>
                <w:sz w:val="24"/>
              </w:rPr>
              <w:t>Facilities</w:t>
            </w:r>
            <w:r>
              <w:rPr>
                <w:color w:val="231F20"/>
                <w:spacing w:val="-11"/>
                <w:sz w:val="24"/>
              </w:rPr>
              <w:t xml:space="preserve"> </w:t>
            </w:r>
            <w:r>
              <w:rPr>
                <w:color w:val="231F20"/>
                <w:sz w:val="24"/>
              </w:rPr>
              <w:t>to</w:t>
            </w:r>
            <w:r>
              <w:rPr>
                <w:color w:val="231F20"/>
                <w:spacing w:val="-11"/>
                <w:sz w:val="24"/>
              </w:rPr>
              <w:t xml:space="preserve"> </w:t>
            </w:r>
            <w:r>
              <w:rPr>
                <w:color w:val="231F20"/>
                <w:sz w:val="24"/>
              </w:rPr>
              <w:t>monitor</w:t>
            </w:r>
            <w:r>
              <w:rPr>
                <w:color w:val="231F20"/>
                <w:spacing w:val="-11"/>
                <w:sz w:val="24"/>
              </w:rPr>
              <w:t xml:space="preserve"> </w:t>
            </w:r>
            <w:r>
              <w:rPr>
                <w:color w:val="231F20"/>
                <w:sz w:val="24"/>
              </w:rPr>
              <w:t>energy</w:t>
            </w:r>
            <w:r>
              <w:rPr>
                <w:color w:val="231F20"/>
                <w:spacing w:val="-11"/>
                <w:sz w:val="24"/>
              </w:rPr>
              <w:t xml:space="preserve"> </w:t>
            </w:r>
            <w:r>
              <w:rPr>
                <w:color w:val="231F20"/>
                <w:spacing w:val="-5"/>
                <w:sz w:val="24"/>
              </w:rPr>
              <w:t>use</w:t>
            </w:r>
          </w:p>
          <w:p w14:paraId="6EA20698" w14:textId="77777777" w:rsidR="00345EE3" w:rsidRDefault="00345EE3">
            <w:pPr>
              <w:pStyle w:val="TableParagraph"/>
              <w:numPr>
                <w:ilvl w:val="0"/>
                <w:numId w:val="53"/>
              </w:numPr>
              <w:tabs>
                <w:tab w:val="left" w:pos="283"/>
                <w:tab w:val="left" w:pos="284"/>
              </w:tabs>
              <w:spacing w:before="32" w:line="242" w:lineRule="auto"/>
              <w:ind w:right="724"/>
              <w:jc w:val="left"/>
              <w:rPr>
                <w:sz w:val="24"/>
              </w:rPr>
            </w:pPr>
            <w:r>
              <w:rPr>
                <w:color w:val="231F20"/>
                <w:sz w:val="24"/>
              </w:rPr>
              <w:t>Use</w:t>
            </w:r>
            <w:r>
              <w:rPr>
                <w:color w:val="231F20"/>
                <w:spacing w:val="-15"/>
                <w:sz w:val="24"/>
              </w:rPr>
              <w:t xml:space="preserve"> </w:t>
            </w:r>
            <w:r>
              <w:rPr>
                <w:color w:val="231F20"/>
                <w:sz w:val="24"/>
              </w:rPr>
              <w:t>of</w:t>
            </w:r>
            <w:r>
              <w:rPr>
                <w:color w:val="231F20"/>
                <w:spacing w:val="-15"/>
                <w:sz w:val="24"/>
              </w:rPr>
              <w:t xml:space="preserve"> </w:t>
            </w:r>
            <w:r>
              <w:rPr>
                <w:color w:val="231F20"/>
                <w:sz w:val="24"/>
              </w:rPr>
              <w:t>low</w:t>
            </w:r>
            <w:r>
              <w:rPr>
                <w:color w:val="231F20"/>
                <w:spacing w:val="-15"/>
                <w:sz w:val="24"/>
              </w:rPr>
              <w:t xml:space="preserve"> </w:t>
            </w:r>
            <w:r>
              <w:rPr>
                <w:color w:val="231F20"/>
                <w:sz w:val="24"/>
              </w:rPr>
              <w:t>volatile</w:t>
            </w:r>
            <w:r>
              <w:rPr>
                <w:color w:val="231F20"/>
                <w:spacing w:val="-15"/>
                <w:sz w:val="24"/>
              </w:rPr>
              <w:t xml:space="preserve"> </w:t>
            </w:r>
            <w:r>
              <w:rPr>
                <w:color w:val="231F20"/>
                <w:sz w:val="24"/>
              </w:rPr>
              <w:t>organic</w:t>
            </w:r>
            <w:r>
              <w:rPr>
                <w:color w:val="231F20"/>
                <w:spacing w:val="-15"/>
                <w:sz w:val="24"/>
              </w:rPr>
              <w:t xml:space="preserve"> </w:t>
            </w:r>
            <w:r>
              <w:rPr>
                <w:color w:val="231F20"/>
                <w:sz w:val="24"/>
              </w:rPr>
              <w:t>compounds product paints</w:t>
            </w:r>
          </w:p>
          <w:p w14:paraId="58E3E670" w14:textId="77777777" w:rsidR="00345EE3" w:rsidRDefault="00345EE3">
            <w:pPr>
              <w:pStyle w:val="TableParagraph"/>
              <w:numPr>
                <w:ilvl w:val="0"/>
                <w:numId w:val="53"/>
              </w:numPr>
              <w:tabs>
                <w:tab w:val="left" w:pos="283"/>
                <w:tab w:val="left" w:pos="284"/>
              </w:tabs>
              <w:spacing w:before="31" w:line="242" w:lineRule="auto"/>
              <w:ind w:right="610"/>
              <w:jc w:val="left"/>
              <w:rPr>
                <w:sz w:val="24"/>
              </w:rPr>
            </w:pPr>
            <w:r>
              <w:rPr>
                <w:color w:val="231F20"/>
                <w:sz w:val="24"/>
              </w:rPr>
              <w:t>Use</w:t>
            </w:r>
            <w:r>
              <w:rPr>
                <w:color w:val="231F20"/>
                <w:spacing w:val="-12"/>
                <w:sz w:val="24"/>
              </w:rPr>
              <w:t xml:space="preserve"> </w:t>
            </w:r>
            <w:r>
              <w:rPr>
                <w:color w:val="231F20"/>
                <w:sz w:val="24"/>
              </w:rPr>
              <w:t>of</w:t>
            </w:r>
            <w:r>
              <w:rPr>
                <w:color w:val="231F20"/>
                <w:spacing w:val="-11"/>
                <w:sz w:val="24"/>
              </w:rPr>
              <w:t xml:space="preserve"> </w:t>
            </w:r>
            <w:r>
              <w:rPr>
                <w:color w:val="231F20"/>
                <w:sz w:val="24"/>
              </w:rPr>
              <w:t>E0</w:t>
            </w:r>
            <w:r>
              <w:rPr>
                <w:color w:val="231F20"/>
                <w:spacing w:val="-12"/>
                <w:sz w:val="24"/>
              </w:rPr>
              <w:t xml:space="preserve"> </w:t>
            </w:r>
            <w:r>
              <w:rPr>
                <w:color w:val="231F20"/>
                <w:sz w:val="24"/>
              </w:rPr>
              <w:t>medium</w:t>
            </w:r>
            <w:r>
              <w:rPr>
                <w:color w:val="231F20"/>
                <w:spacing w:val="-11"/>
                <w:sz w:val="24"/>
              </w:rPr>
              <w:t xml:space="preserve"> </w:t>
            </w:r>
            <w:r>
              <w:rPr>
                <w:color w:val="231F20"/>
                <w:sz w:val="24"/>
              </w:rPr>
              <w:t>density</w:t>
            </w:r>
            <w:r>
              <w:rPr>
                <w:color w:val="231F20"/>
                <w:spacing w:val="-11"/>
                <w:sz w:val="24"/>
              </w:rPr>
              <w:t xml:space="preserve"> </w:t>
            </w:r>
            <w:r>
              <w:rPr>
                <w:color w:val="231F20"/>
                <w:sz w:val="24"/>
              </w:rPr>
              <w:t>fiberboard</w:t>
            </w:r>
            <w:r>
              <w:rPr>
                <w:color w:val="231F20"/>
                <w:spacing w:val="-12"/>
                <w:sz w:val="24"/>
              </w:rPr>
              <w:t xml:space="preserve"> </w:t>
            </w:r>
            <w:r>
              <w:rPr>
                <w:color w:val="231F20"/>
                <w:sz w:val="24"/>
              </w:rPr>
              <w:t>in joinery and workstation</w:t>
            </w:r>
          </w:p>
          <w:p w14:paraId="3A0C32C6" w14:textId="77777777" w:rsidR="00345EE3" w:rsidRDefault="00345EE3">
            <w:pPr>
              <w:pStyle w:val="TableParagraph"/>
              <w:numPr>
                <w:ilvl w:val="0"/>
                <w:numId w:val="53"/>
              </w:numPr>
              <w:tabs>
                <w:tab w:val="left" w:pos="283"/>
                <w:tab w:val="left" w:pos="284"/>
              </w:tabs>
              <w:spacing w:before="31" w:line="242" w:lineRule="auto"/>
              <w:ind w:right="307"/>
              <w:jc w:val="left"/>
              <w:rPr>
                <w:sz w:val="24"/>
              </w:rPr>
            </w:pPr>
            <w:r>
              <w:rPr>
                <w:color w:val="231F20"/>
                <w:sz w:val="24"/>
              </w:rPr>
              <w:t>Use</w:t>
            </w:r>
            <w:r>
              <w:rPr>
                <w:color w:val="231F20"/>
                <w:spacing w:val="-17"/>
                <w:sz w:val="24"/>
              </w:rPr>
              <w:t xml:space="preserve"> </w:t>
            </w:r>
            <w:r>
              <w:rPr>
                <w:color w:val="231F20"/>
                <w:sz w:val="24"/>
              </w:rPr>
              <w:t>of</w:t>
            </w:r>
            <w:r>
              <w:rPr>
                <w:color w:val="231F20"/>
                <w:spacing w:val="-17"/>
                <w:sz w:val="24"/>
              </w:rPr>
              <w:t xml:space="preserve"> </w:t>
            </w:r>
            <w:r>
              <w:rPr>
                <w:color w:val="231F20"/>
                <w:sz w:val="24"/>
              </w:rPr>
              <w:t>recycled</w:t>
            </w:r>
            <w:r>
              <w:rPr>
                <w:color w:val="231F20"/>
                <w:spacing w:val="-16"/>
                <w:sz w:val="24"/>
              </w:rPr>
              <w:t xml:space="preserve"> </w:t>
            </w:r>
            <w:r>
              <w:rPr>
                <w:color w:val="231F20"/>
                <w:sz w:val="24"/>
              </w:rPr>
              <w:t>polyethylene</w:t>
            </w:r>
            <w:r>
              <w:rPr>
                <w:color w:val="231F20"/>
                <w:spacing w:val="-17"/>
                <w:sz w:val="24"/>
              </w:rPr>
              <w:t xml:space="preserve"> </w:t>
            </w:r>
            <w:r>
              <w:rPr>
                <w:color w:val="231F20"/>
                <w:sz w:val="24"/>
              </w:rPr>
              <w:t>terephthalate product for acoustic screens</w:t>
            </w:r>
          </w:p>
          <w:p w14:paraId="0104B8D7" w14:textId="77777777" w:rsidR="00345EE3" w:rsidRDefault="00345EE3">
            <w:pPr>
              <w:pStyle w:val="TableParagraph"/>
              <w:numPr>
                <w:ilvl w:val="0"/>
                <w:numId w:val="53"/>
              </w:numPr>
              <w:tabs>
                <w:tab w:val="left" w:pos="283"/>
                <w:tab w:val="left" w:pos="284"/>
              </w:tabs>
              <w:spacing w:before="31" w:line="242" w:lineRule="auto"/>
              <w:ind w:right="64"/>
              <w:jc w:val="left"/>
              <w:rPr>
                <w:sz w:val="24"/>
              </w:rPr>
            </w:pPr>
            <w:r>
              <w:rPr>
                <w:color w:val="231F20"/>
                <w:sz w:val="24"/>
              </w:rPr>
              <w:t>Use</w:t>
            </w:r>
            <w:r>
              <w:rPr>
                <w:color w:val="231F20"/>
                <w:spacing w:val="-16"/>
                <w:sz w:val="24"/>
              </w:rPr>
              <w:t xml:space="preserve"> </w:t>
            </w:r>
            <w:r>
              <w:rPr>
                <w:color w:val="231F20"/>
                <w:sz w:val="24"/>
              </w:rPr>
              <w:t>of</w:t>
            </w:r>
            <w:r>
              <w:rPr>
                <w:color w:val="231F20"/>
                <w:spacing w:val="-15"/>
                <w:sz w:val="24"/>
              </w:rPr>
              <w:t xml:space="preserve"> </w:t>
            </w:r>
            <w:r>
              <w:rPr>
                <w:color w:val="231F20"/>
                <w:sz w:val="24"/>
              </w:rPr>
              <w:t>Good</w:t>
            </w:r>
            <w:r>
              <w:rPr>
                <w:color w:val="231F20"/>
                <w:spacing w:val="-16"/>
                <w:sz w:val="24"/>
              </w:rPr>
              <w:t xml:space="preserve"> </w:t>
            </w:r>
            <w:r>
              <w:rPr>
                <w:color w:val="231F20"/>
                <w:sz w:val="24"/>
              </w:rPr>
              <w:t>Environmental</w:t>
            </w:r>
            <w:r>
              <w:rPr>
                <w:color w:val="231F20"/>
                <w:spacing w:val="-16"/>
                <w:sz w:val="24"/>
              </w:rPr>
              <w:t xml:space="preserve"> </w:t>
            </w:r>
            <w:r>
              <w:rPr>
                <w:color w:val="231F20"/>
                <w:sz w:val="24"/>
              </w:rPr>
              <w:t>Choice</w:t>
            </w:r>
            <w:r>
              <w:rPr>
                <w:color w:val="231F20"/>
                <w:spacing w:val="-16"/>
                <w:sz w:val="24"/>
              </w:rPr>
              <w:t xml:space="preserve"> </w:t>
            </w:r>
            <w:r>
              <w:rPr>
                <w:color w:val="231F20"/>
                <w:sz w:val="24"/>
              </w:rPr>
              <w:t xml:space="preserve">Australia certified furniture including chairs and </w:t>
            </w:r>
            <w:r>
              <w:rPr>
                <w:color w:val="231F20"/>
                <w:spacing w:val="-2"/>
                <w:sz w:val="24"/>
              </w:rPr>
              <w:t>workstations</w:t>
            </w:r>
          </w:p>
          <w:p w14:paraId="2D33BA97" w14:textId="77777777" w:rsidR="00345EE3" w:rsidRDefault="00345EE3">
            <w:pPr>
              <w:pStyle w:val="TableParagraph"/>
              <w:numPr>
                <w:ilvl w:val="0"/>
                <w:numId w:val="53"/>
              </w:numPr>
              <w:tabs>
                <w:tab w:val="left" w:pos="283"/>
                <w:tab w:val="left" w:pos="284"/>
              </w:tabs>
              <w:spacing w:before="32"/>
              <w:jc w:val="left"/>
              <w:rPr>
                <w:sz w:val="24"/>
              </w:rPr>
            </w:pPr>
            <w:r>
              <w:rPr>
                <w:color w:val="231F20"/>
                <w:sz w:val="24"/>
              </w:rPr>
              <w:t>Recycling</w:t>
            </w:r>
            <w:r>
              <w:rPr>
                <w:color w:val="231F20"/>
                <w:spacing w:val="-13"/>
                <w:sz w:val="24"/>
              </w:rPr>
              <w:t xml:space="preserve"> </w:t>
            </w:r>
            <w:r>
              <w:rPr>
                <w:color w:val="231F20"/>
                <w:sz w:val="24"/>
              </w:rPr>
              <w:t>of</w:t>
            </w:r>
            <w:r>
              <w:rPr>
                <w:color w:val="231F20"/>
                <w:spacing w:val="-13"/>
                <w:sz w:val="24"/>
              </w:rPr>
              <w:t xml:space="preserve"> </w:t>
            </w:r>
            <w:r>
              <w:rPr>
                <w:color w:val="231F20"/>
                <w:sz w:val="24"/>
              </w:rPr>
              <w:t>waste</w:t>
            </w:r>
            <w:r>
              <w:rPr>
                <w:color w:val="231F20"/>
                <w:spacing w:val="-12"/>
                <w:sz w:val="24"/>
              </w:rPr>
              <w:t xml:space="preserve"> </w:t>
            </w:r>
            <w:r>
              <w:rPr>
                <w:color w:val="231F20"/>
                <w:spacing w:val="-2"/>
                <w:sz w:val="24"/>
              </w:rPr>
              <w:t>material</w:t>
            </w:r>
          </w:p>
        </w:tc>
      </w:tr>
    </w:tbl>
    <w:p w14:paraId="2F07867C" w14:textId="77777777" w:rsidR="00345EE3" w:rsidRDefault="00345EE3" w:rsidP="00345EE3">
      <w:pPr>
        <w:spacing w:before="70"/>
        <w:ind w:left="110"/>
        <w:rPr>
          <w:sz w:val="14"/>
        </w:rPr>
      </w:pPr>
      <w:r>
        <w:rPr>
          <w:rFonts w:ascii="Arial-BoldItalicMT"/>
          <w:b/>
          <w:i/>
          <w:color w:val="231F20"/>
          <w:sz w:val="14"/>
        </w:rPr>
        <w:t>Source:</w:t>
      </w:r>
      <w:r>
        <w:rPr>
          <w:rFonts w:ascii="Arial-BoldItalicMT"/>
          <w:b/>
          <w:i/>
          <w:color w:val="231F20"/>
          <w:spacing w:val="2"/>
          <w:sz w:val="14"/>
        </w:rPr>
        <w:t xml:space="preserve"> </w:t>
      </w:r>
      <w:r>
        <w:rPr>
          <w:color w:val="231F20"/>
          <w:sz w:val="14"/>
        </w:rPr>
        <w:t>Procurement Division.</w:t>
      </w:r>
      <w:r>
        <w:rPr>
          <w:color w:val="231F20"/>
          <w:spacing w:val="1"/>
          <w:sz w:val="14"/>
        </w:rPr>
        <w:t xml:space="preserve"> </w:t>
      </w:r>
      <w:r>
        <w:rPr>
          <w:color w:val="231F20"/>
          <w:sz w:val="14"/>
        </w:rPr>
        <w:t>Data extracted on</w:t>
      </w:r>
      <w:r>
        <w:rPr>
          <w:color w:val="231F20"/>
          <w:spacing w:val="1"/>
          <w:sz w:val="14"/>
        </w:rPr>
        <w:t xml:space="preserve"> </w:t>
      </w:r>
      <w:r>
        <w:rPr>
          <w:color w:val="231F20"/>
          <w:sz w:val="14"/>
        </w:rPr>
        <w:t>7 July</w:t>
      </w:r>
      <w:r>
        <w:rPr>
          <w:color w:val="231F20"/>
          <w:spacing w:val="1"/>
          <w:sz w:val="14"/>
        </w:rPr>
        <w:t xml:space="preserve"> </w:t>
      </w:r>
      <w:r>
        <w:rPr>
          <w:color w:val="231F20"/>
          <w:spacing w:val="-4"/>
          <w:sz w:val="14"/>
        </w:rPr>
        <w:t>2022.</w:t>
      </w:r>
    </w:p>
    <w:p w14:paraId="4EBF1954" w14:textId="77777777" w:rsidR="00345EE3" w:rsidRDefault="00345EE3" w:rsidP="00345EE3">
      <w:pPr>
        <w:pStyle w:val="BodyText"/>
        <w:spacing w:before="2"/>
        <w:rPr>
          <w:sz w:val="13"/>
        </w:rPr>
      </w:pPr>
    </w:p>
    <w:p w14:paraId="143B7848" w14:textId="77777777" w:rsidR="00345EE3" w:rsidRDefault="00345EE3" w:rsidP="00345EE3">
      <w:pPr>
        <w:pStyle w:val="Heading2"/>
        <w:spacing w:before="1"/>
      </w:pPr>
      <w:r>
        <w:rPr>
          <w:color w:val="00529F"/>
        </w:rPr>
        <w:t>Additional</w:t>
      </w:r>
      <w:r>
        <w:rPr>
          <w:color w:val="00529F"/>
          <w:spacing w:val="-22"/>
        </w:rPr>
        <w:t xml:space="preserve"> </w:t>
      </w:r>
      <w:r>
        <w:rPr>
          <w:color w:val="00529F"/>
        </w:rPr>
        <w:t>Departmental</w:t>
      </w:r>
      <w:r>
        <w:rPr>
          <w:color w:val="00529F"/>
          <w:spacing w:val="-20"/>
        </w:rPr>
        <w:t xml:space="preserve"> </w:t>
      </w:r>
      <w:r>
        <w:rPr>
          <w:color w:val="00529F"/>
        </w:rPr>
        <w:t>Information</w:t>
      </w:r>
      <w:r>
        <w:rPr>
          <w:color w:val="00529F"/>
          <w:spacing w:val="-20"/>
        </w:rPr>
        <w:t xml:space="preserve"> </w:t>
      </w:r>
      <w:r>
        <w:rPr>
          <w:color w:val="00529F"/>
        </w:rPr>
        <w:t>Available</w:t>
      </w:r>
      <w:r>
        <w:rPr>
          <w:color w:val="00529F"/>
          <w:spacing w:val="-20"/>
        </w:rPr>
        <w:t xml:space="preserve"> </w:t>
      </w:r>
      <w:r>
        <w:rPr>
          <w:color w:val="00529F"/>
        </w:rPr>
        <w:t>on</w:t>
      </w:r>
      <w:r>
        <w:rPr>
          <w:color w:val="00529F"/>
          <w:spacing w:val="-19"/>
        </w:rPr>
        <w:t xml:space="preserve"> </w:t>
      </w:r>
      <w:r>
        <w:rPr>
          <w:color w:val="00529F"/>
          <w:spacing w:val="-2"/>
        </w:rPr>
        <w:t>Request</w:t>
      </w:r>
    </w:p>
    <w:p w14:paraId="48822C56" w14:textId="77777777" w:rsidR="00345EE3" w:rsidRDefault="00345EE3" w:rsidP="00345EE3">
      <w:pPr>
        <w:pStyle w:val="BodyText"/>
        <w:spacing w:before="72" w:line="242" w:lineRule="auto"/>
        <w:ind w:right="848"/>
      </w:pPr>
      <w:r>
        <w:rPr>
          <w:color w:val="231F20"/>
        </w:rPr>
        <w:t>In</w:t>
      </w:r>
      <w:r>
        <w:rPr>
          <w:color w:val="231F20"/>
          <w:spacing w:val="-1"/>
        </w:rPr>
        <w:t xml:space="preserve"> </w:t>
      </w:r>
      <w:r>
        <w:rPr>
          <w:color w:val="231F20"/>
        </w:rPr>
        <w:t>compliance</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requirement of the</w:t>
      </w:r>
      <w:r>
        <w:rPr>
          <w:color w:val="231F20"/>
          <w:spacing w:val="-1"/>
        </w:rPr>
        <w:t xml:space="preserve"> </w:t>
      </w:r>
      <w:r>
        <w:rPr>
          <w:color w:val="231F20"/>
        </w:rPr>
        <w:t>Standing</w:t>
      </w:r>
      <w:r>
        <w:rPr>
          <w:color w:val="231F20"/>
          <w:spacing w:val="-1"/>
        </w:rPr>
        <w:t xml:space="preserve"> </w:t>
      </w:r>
      <w:r>
        <w:rPr>
          <w:color w:val="231F20"/>
        </w:rPr>
        <w:t>Directions 2018</w:t>
      </w:r>
      <w:r>
        <w:rPr>
          <w:color w:val="231F20"/>
          <w:spacing w:val="-1"/>
        </w:rPr>
        <w:t xml:space="preserve"> </w:t>
      </w:r>
      <w:r>
        <w:rPr>
          <w:color w:val="231F20"/>
        </w:rPr>
        <w:t>under the</w:t>
      </w:r>
      <w:r>
        <w:rPr>
          <w:color w:val="231F20"/>
          <w:spacing w:val="-1"/>
        </w:rPr>
        <w:t xml:space="preserve"> </w:t>
      </w:r>
      <w:r>
        <w:rPr>
          <w:i/>
          <w:color w:val="231F20"/>
        </w:rPr>
        <w:t>Financial Management</w:t>
      </w:r>
      <w:r>
        <w:rPr>
          <w:i/>
          <w:color w:val="231F20"/>
          <w:spacing w:val="-17"/>
        </w:rPr>
        <w:t xml:space="preserve"> </w:t>
      </w:r>
      <w:r>
        <w:rPr>
          <w:i/>
          <w:color w:val="231F20"/>
        </w:rPr>
        <w:t>Act</w:t>
      </w:r>
      <w:r>
        <w:rPr>
          <w:i/>
          <w:color w:val="231F20"/>
          <w:spacing w:val="-17"/>
        </w:rPr>
        <w:t xml:space="preserve"> </w:t>
      </w:r>
      <w:r>
        <w:rPr>
          <w:color w:val="231F20"/>
        </w:rPr>
        <w:t>1994,</w:t>
      </w:r>
      <w:r>
        <w:rPr>
          <w:color w:val="231F20"/>
          <w:spacing w:val="-14"/>
        </w:rPr>
        <w:t xml:space="preserve"> </w:t>
      </w:r>
      <w:r>
        <w:rPr>
          <w:color w:val="231F20"/>
        </w:rPr>
        <w:t>certain</w:t>
      </w:r>
      <w:r>
        <w:rPr>
          <w:color w:val="231F20"/>
          <w:spacing w:val="-12"/>
        </w:rPr>
        <w:t xml:space="preserve"> </w:t>
      </w:r>
      <w:r>
        <w:rPr>
          <w:color w:val="231F20"/>
        </w:rPr>
        <w:t>categories</w:t>
      </w:r>
      <w:r>
        <w:rPr>
          <w:color w:val="231F20"/>
          <w:spacing w:val="-11"/>
        </w:rPr>
        <w:t xml:space="preserve"> </w:t>
      </w:r>
      <w:r>
        <w:rPr>
          <w:color w:val="231F20"/>
        </w:rPr>
        <w:t>of</w:t>
      </w:r>
      <w:r>
        <w:rPr>
          <w:color w:val="231F20"/>
          <w:spacing w:val="-11"/>
        </w:rPr>
        <w:t xml:space="preserve"> </w:t>
      </w:r>
      <w:r>
        <w:rPr>
          <w:color w:val="231F20"/>
        </w:rPr>
        <w:t>information</w:t>
      </w:r>
      <w:r>
        <w:rPr>
          <w:color w:val="231F20"/>
          <w:spacing w:val="-12"/>
        </w:rPr>
        <w:t xml:space="preserve"> </w:t>
      </w:r>
      <w:r>
        <w:rPr>
          <w:color w:val="231F20"/>
        </w:rPr>
        <w:t>not</w:t>
      </w:r>
      <w:r>
        <w:rPr>
          <w:color w:val="231F20"/>
          <w:spacing w:val="-11"/>
        </w:rPr>
        <w:t xml:space="preserve"> </w:t>
      </w:r>
      <w:r>
        <w:rPr>
          <w:color w:val="231F20"/>
        </w:rPr>
        <w:t>contained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Annual</w:t>
      </w:r>
      <w:r>
        <w:rPr>
          <w:color w:val="231F20"/>
          <w:spacing w:val="-12"/>
        </w:rPr>
        <w:t xml:space="preserve"> </w:t>
      </w:r>
      <w:r>
        <w:rPr>
          <w:color w:val="231F20"/>
        </w:rPr>
        <w:t>Report</w:t>
      </w:r>
      <w:r>
        <w:rPr>
          <w:color w:val="231F20"/>
          <w:spacing w:val="-11"/>
        </w:rPr>
        <w:t xml:space="preserve"> </w:t>
      </w:r>
      <w:r>
        <w:rPr>
          <w:color w:val="231F20"/>
        </w:rPr>
        <w:t xml:space="preserve">have been retained by Victoria Police and are available on request, subject to the provisions of the </w:t>
      </w:r>
      <w:r>
        <w:rPr>
          <w:i/>
          <w:color w:val="231F20"/>
        </w:rPr>
        <w:t xml:space="preserve">Freedom of Information Act </w:t>
      </w:r>
      <w:r>
        <w:rPr>
          <w:color w:val="231F20"/>
        </w:rPr>
        <w:t>1982.</w:t>
      </w:r>
    </w:p>
    <w:p w14:paraId="44EBB256" w14:textId="77777777" w:rsidR="00345EE3" w:rsidRDefault="00345EE3" w:rsidP="00345EE3">
      <w:pPr>
        <w:pStyle w:val="BodyText"/>
        <w:spacing w:before="118" w:line="268" w:lineRule="auto"/>
        <w:ind w:left="393" w:right="4605" w:hanging="284"/>
      </w:pPr>
      <w:r>
        <w:rPr>
          <w:color w:val="231F20"/>
        </w:rPr>
        <w:t>The</w:t>
      </w:r>
      <w:r>
        <w:rPr>
          <w:color w:val="231F20"/>
          <w:spacing w:val="-13"/>
        </w:rPr>
        <w:t xml:space="preserve"> </w:t>
      </w:r>
      <w:r>
        <w:rPr>
          <w:color w:val="231F20"/>
        </w:rPr>
        <w:t>information</w:t>
      </w:r>
      <w:r>
        <w:rPr>
          <w:color w:val="231F20"/>
          <w:spacing w:val="-13"/>
        </w:rPr>
        <w:t xml:space="preserve"> </w:t>
      </w:r>
      <w:r>
        <w:rPr>
          <w:color w:val="231F20"/>
        </w:rPr>
        <w:t>is</w:t>
      </w:r>
      <w:r>
        <w:rPr>
          <w:color w:val="231F20"/>
          <w:spacing w:val="-12"/>
        </w:rPr>
        <w:t xml:space="preserve"> </w:t>
      </w:r>
      <w:r>
        <w:rPr>
          <w:color w:val="231F20"/>
        </w:rPr>
        <w:t>available</w:t>
      </w:r>
      <w:r>
        <w:rPr>
          <w:color w:val="231F20"/>
          <w:spacing w:val="-13"/>
        </w:rPr>
        <w:t xml:space="preserve"> </w:t>
      </w:r>
      <w:r>
        <w:rPr>
          <w:color w:val="231F20"/>
        </w:rPr>
        <w:t>on</w:t>
      </w:r>
      <w:r>
        <w:rPr>
          <w:color w:val="231F20"/>
          <w:spacing w:val="-13"/>
        </w:rPr>
        <w:t xml:space="preserve"> </w:t>
      </w:r>
      <w:r>
        <w:rPr>
          <w:color w:val="231F20"/>
        </w:rPr>
        <w:t>request</w:t>
      </w:r>
      <w:r>
        <w:rPr>
          <w:color w:val="231F20"/>
          <w:spacing w:val="-12"/>
        </w:rPr>
        <w:t xml:space="preserve"> </w:t>
      </w:r>
      <w:r>
        <w:rPr>
          <w:color w:val="231F20"/>
        </w:rPr>
        <w:t>by</w:t>
      </w:r>
      <w:r>
        <w:rPr>
          <w:color w:val="231F20"/>
          <w:spacing w:val="-12"/>
        </w:rPr>
        <w:t xml:space="preserve"> </w:t>
      </w:r>
      <w:r>
        <w:rPr>
          <w:color w:val="231F20"/>
        </w:rPr>
        <w:t>writing</w:t>
      </w:r>
      <w:r>
        <w:rPr>
          <w:color w:val="231F20"/>
          <w:spacing w:val="-13"/>
        </w:rPr>
        <w:t xml:space="preserve"> </w:t>
      </w:r>
      <w:r>
        <w:rPr>
          <w:color w:val="231F20"/>
        </w:rPr>
        <w:t>to: Executive Director</w:t>
      </w:r>
    </w:p>
    <w:p w14:paraId="212577F1" w14:textId="77777777" w:rsidR="00345EE3" w:rsidRDefault="00345EE3" w:rsidP="00345EE3">
      <w:pPr>
        <w:pStyle w:val="BodyText"/>
        <w:spacing w:line="246" w:lineRule="exact"/>
        <w:ind w:left="393"/>
      </w:pPr>
      <w:r>
        <w:rPr>
          <w:color w:val="231F20"/>
          <w:spacing w:val="-4"/>
        </w:rPr>
        <w:t>Investment, Governance and</w:t>
      </w:r>
      <w:r>
        <w:rPr>
          <w:color w:val="231F20"/>
          <w:spacing w:val="-18"/>
        </w:rPr>
        <w:t xml:space="preserve"> </w:t>
      </w:r>
      <w:r>
        <w:rPr>
          <w:color w:val="231F20"/>
          <w:spacing w:val="-4"/>
        </w:rPr>
        <w:t>Assurance</w:t>
      </w:r>
      <w:r>
        <w:rPr>
          <w:color w:val="231F20"/>
          <w:spacing w:val="-3"/>
        </w:rPr>
        <w:t xml:space="preserve"> </w:t>
      </w:r>
      <w:r>
        <w:rPr>
          <w:color w:val="231F20"/>
          <w:spacing w:val="-4"/>
        </w:rPr>
        <w:t>Department</w:t>
      </w:r>
    </w:p>
    <w:p w14:paraId="35772534" w14:textId="77777777" w:rsidR="00345EE3" w:rsidRDefault="00345EE3" w:rsidP="00345EE3">
      <w:pPr>
        <w:pStyle w:val="BodyText"/>
        <w:spacing w:before="4"/>
        <w:ind w:left="393"/>
      </w:pPr>
      <w:r>
        <w:rPr>
          <w:color w:val="231F20"/>
          <w:spacing w:val="-4"/>
        </w:rPr>
        <w:t>Corporate</w:t>
      </w:r>
      <w:r>
        <w:rPr>
          <w:color w:val="231F20"/>
          <w:spacing w:val="-6"/>
        </w:rPr>
        <w:t xml:space="preserve"> </w:t>
      </w:r>
      <w:r>
        <w:rPr>
          <w:color w:val="231F20"/>
          <w:spacing w:val="-4"/>
        </w:rPr>
        <w:t>and Regulatory Services</w:t>
      </w:r>
    </w:p>
    <w:p w14:paraId="36DB0EC3" w14:textId="77777777" w:rsidR="00345EE3" w:rsidRDefault="00345EE3" w:rsidP="00345EE3">
      <w:pPr>
        <w:pStyle w:val="BodyText"/>
        <w:spacing w:before="118" w:line="242" w:lineRule="auto"/>
        <w:ind w:left="393" w:right="8346"/>
      </w:pPr>
      <w:r>
        <w:rPr>
          <w:color w:val="231F20"/>
          <w:spacing w:val="-4"/>
        </w:rPr>
        <w:t>Victoria</w:t>
      </w:r>
      <w:r>
        <w:rPr>
          <w:color w:val="231F20"/>
          <w:spacing w:val="-13"/>
        </w:rPr>
        <w:t xml:space="preserve"> </w:t>
      </w:r>
      <w:r>
        <w:rPr>
          <w:color w:val="231F20"/>
          <w:spacing w:val="-4"/>
        </w:rPr>
        <w:t>Police</w:t>
      </w:r>
      <w:r>
        <w:rPr>
          <w:color w:val="231F20"/>
          <w:spacing w:val="-13"/>
        </w:rPr>
        <w:t xml:space="preserve"> </w:t>
      </w:r>
      <w:r>
        <w:rPr>
          <w:color w:val="231F20"/>
          <w:spacing w:val="-4"/>
        </w:rPr>
        <w:t xml:space="preserve">Centre </w:t>
      </w:r>
      <w:r>
        <w:rPr>
          <w:color w:val="231F20"/>
        </w:rPr>
        <w:t>PO Box 913</w:t>
      </w:r>
    </w:p>
    <w:p w14:paraId="0CD224A3" w14:textId="77777777" w:rsidR="00345EE3" w:rsidRDefault="00345EE3" w:rsidP="00345EE3">
      <w:pPr>
        <w:pStyle w:val="BodyText"/>
        <w:spacing w:before="3"/>
        <w:ind w:left="393"/>
      </w:pPr>
      <w:r>
        <w:rPr>
          <w:color w:val="231F20"/>
          <w:spacing w:val="-4"/>
        </w:rPr>
        <w:t>MELBOURNE,</w:t>
      </w:r>
      <w:r>
        <w:rPr>
          <w:color w:val="231F20"/>
          <w:spacing w:val="-6"/>
        </w:rPr>
        <w:t xml:space="preserve"> </w:t>
      </w:r>
      <w:r>
        <w:rPr>
          <w:color w:val="231F20"/>
          <w:spacing w:val="-4"/>
        </w:rPr>
        <w:t>VIC 3000</w:t>
      </w:r>
    </w:p>
    <w:p w14:paraId="74D433DD" w14:textId="77777777" w:rsidR="00345EE3" w:rsidRDefault="004D1B9F" w:rsidP="00345EE3">
      <w:pPr>
        <w:spacing w:before="117"/>
        <w:ind w:left="426"/>
        <w:rPr>
          <w:b/>
          <w:sz w:val="24"/>
        </w:rPr>
      </w:pPr>
      <w:hyperlink r:id="rId38">
        <w:r w:rsidR="00345EE3">
          <w:rPr>
            <w:b/>
            <w:color w:val="00529F"/>
            <w:spacing w:val="-2"/>
            <w:sz w:val="24"/>
            <w:u w:val="single" w:color="00529F"/>
          </w:rPr>
          <w:t>police.vic.gov.au</w:t>
        </w:r>
      </w:hyperlink>
    </w:p>
    <w:p w14:paraId="0BD69D66" w14:textId="77777777" w:rsidR="00345EE3" w:rsidRDefault="00345EE3" w:rsidP="00345EE3">
      <w:pPr>
        <w:rPr>
          <w:color w:val="00529F"/>
          <w:sz w:val="32"/>
          <w:szCs w:val="32"/>
        </w:rPr>
      </w:pPr>
      <w:r>
        <w:rPr>
          <w:color w:val="00529F"/>
        </w:rPr>
        <w:br w:type="page"/>
      </w:r>
    </w:p>
    <w:p w14:paraId="43610C20" w14:textId="62B63089" w:rsidR="00345EE3" w:rsidRPr="004A7DD0" w:rsidRDefault="00345EE3" w:rsidP="00345EE3">
      <w:pPr>
        <w:pStyle w:val="Heading2"/>
        <w:spacing w:before="89" w:line="220" w:lineRule="auto"/>
        <w:rPr>
          <w:sz w:val="32"/>
          <w:szCs w:val="32"/>
        </w:rPr>
      </w:pPr>
      <w:r w:rsidRPr="004A7DD0">
        <w:rPr>
          <w:color w:val="00529F"/>
          <w:sz w:val="32"/>
          <w:szCs w:val="32"/>
        </w:rPr>
        <w:t>Victoria</w:t>
      </w:r>
      <w:r w:rsidRPr="004A7DD0">
        <w:rPr>
          <w:color w:val="00529F"/>
          <w:spacing w:val="-23"/>
          <w:sz w:val="32"/>
          <w:szCs w:val="32"/>
        </w:rPr>
        <w:t xml:space="preserve"> </w:t>
      </w:r>
      <w:r w:rsidRPr="004A7DD0">
        <w:rPr>
          <w:color w:val="00529F"/>
          <w:sz w:val="32"/>
          <w:szCs w:val="32"/>
        </w:rPr>
        <w:t>Police</w:t>
      </w:r>
      <w:r w:rsidRPr="004A7DD0">
        <w:rPr>
          <w:color w:val="00529F"/>
          <w:spacing w:val="-22"/>
          <w:sz w:val="32"/>
          <w:szCs w:val="32"/>
        </w:rPr>
        <w:t xml:space="preserve"> </w:t>
      </w:r>
      <w:r w:rsidRPr="004A7DD0">
        <w:rPr>
          <w:color w:val="00529F"/>
          <w:sz w:val="32"/>
          <w:szCs w:val="32"/>
        </w:rPr>
        <w:t>Financial</w:t>
      </w:r>
      <w:r w:rsidRPr="004A7DD0">
        <w:rPr>
          <w:color w:val="00529F"/>
          <w:spacing w:val="-22"/>
          <w:sz w:val="32"/>
          <w:szCs w:val="32"/>
        </w:rPr>
        <w:t xml:space="preserve"> </w:t>
      </w:r>
      <w:r w:rsidRPr="004A7DD0">
        <w:rPr>
          <w:color w:val="00529F"/>
          <w:sz w:val="32"/>
          <w:szCs w:val="32"/>
        </w:rPr>
        <w:t>Management</w:t>
      </w:r>
      <w:r w:rsidRPr="004A7DD0">
        <w:rPr>
          <w:color w:val="00529F"/>
          <w:spacing w:val="-22"/>
          <w:sz w:val="32"/>
          <w:szCs w:val="32"/>
        </w:rPr>
        <w:t xml:space="preserve"> </w:t>
      </w:r>
      <w:r w:rsidRPr="004A7DD0">
        <w:rPr>
          <w:color w:val="00529F"/>
          <w:sz w:val="32"/>
          <w:szCs w:val="32"/>
        </w:rPr>
        <w:t>Compliance</w:t>
      </w:r>
      <w:r w:rsidRPr="004A7DD0">
        <w:rPr>
          <w:color w:val="00529F"/>
          <w:spacing w:val="-23"/>
          <w:sz w:val="32"/>
          <w:szCs w:val="32"/>
        </w:rPr>
        <w:t xml:space="preserve"> </w:t>
      </w:r>
      <w:r w:rsidRPr="004A7DD0">
        <w:rPr>
          <w:color w:val="00529F"/>
          <w:sz w:val="32"/>
          <w:szCs w:val="32"/>
        </w:rPr>
        <w:t>Attestation</w:t>
      </w:r>
      <w:r w:rsidRPr="004A7DD0">
        <w:rPr>
          <w:color w:val="00529F"/>
          <w:spacing w:val="-22"/>
          <w:sz w:val="32"/>
          <w:szCs w:val="32"/>
        </w:rPr>
        <w:t xml:space="preserve"> </w:t>
      </w:r>
      <w:r w:rsidR="004A7DD0">
        <w:rPr>
          <w:color w:val="00529F"/>
          <w:spacing w:val="-22"/>
          <w:sz w:val="32"/>
          <w:szCs w:val="32"/>
        </w:rPr>
        <w:br/>
      </w:r>
      <w:r w:rsidRPr="004A7DD0">
        <w:rPr>
          <w:color w:val="00529F"/>
          <w:sz w:val="32"/>
          <w:szCs w:val="32"/>
        </w:rPr>
        <w:t xml:space="preserve">Statement </w:t>
      </w:r>
      <w:r w:rsidRPr="004A7DD0">
        <w:rPr>
          <w:color w:val="00529F"/>
          <w:spacing w:val="-2"/>
          <w:sz w:val="32"/>
          <w:szCs w:val="32"/>
        </w:rPr>
        <w:t>2021–22</w:t>
      </w:r>
    </w:p>
    <w:p w14:paraId="7D1AF8B2" w14:textId="77777777" w:rsidR="00345EE3" w:rsidRDefault="00345EE3" w:rsidP="00345EE3">
      <w:pPr>
        <w:spacing w:before="79" w:line="242" w:lineRule="auto"/>
        <w:ind w:left="110" w:right="921"/>
        <w:rPr>
          <w:sz w:val="24"/>
        </w:rPr>
      </w:pPr>
      <w:r>
        <w:rPr>
          <w:color w:val="231F20"/>
          <w:sz w:val="24"/>
        </w:rPr>
        <w:t>This</w:t>
      </w:r>
      <w:r>
        <w:rPr>
          <w:color w:val="231F20"/>
          <w:spacing w:val="-12"/>
          <w:sz w:val="24"/>
        </w:rPr>
        <w:t xml:space="preserve"> </w:t>
      </w:r>
      <w:r>
        <w:rPr>
          <w:color w:val="231F20"/>
          <w:sz w:val="24"/>
        </w:rPr>
        <w:t>attestation</w:t>
      </w:r>
      <w:r>
        <w:rPr>
          <w:color w:val="231F20"/>
          <w:spacing w:val="-12"/>
          <w:sz w:val="24"/>
        </w:rPr>
        <w:t xml:space="preserve"> </w:t>
      </w:r>
      <w:r>
        <w:rPr>
          <w:color w:val="231F20"/>
          <w:sz w:val="24"/>
        </w:rPr>
        <w:t>is</w:t>
      </w:r>
      <w:r>
        <w:rPr>
          <w:color w:val="231F20"/>
          <w:spacing w:val="-12"/>
          <w:sz w:val="24"/>
        </w:rPr>
        <w:t xml:space="preserve"> </w:t>
      </w:r>
      <w:r>
        <w:rPr>
          <w:color w:val="231F20"/>
          <w:sz w:val="24"/>
        </w:rPr>
        <w:t>in</w:t>
      </w:r>
      <w:r>
        <w:rPr>
          <w:color w:val="231F20"/>
          <w:spacing w:val="-12"/>
          <w:sz w:val="24"/>
        </w:rPr>
        <w:t xml:space="preserve"> </w:t>
      </w:r>
      <w:r>
        <w:rPr>
          <w:color w:val="231F20"/>
          <w:sz w:val="24"/>
        </w:rPr>
        <w:t>accordance</w:t>
      </w:r>
      <w:r>
        <w:rPr>
          <w:color w:val="231F20"/>
          <w:spacing w:val="-12"/>
          <w:sz w:val="24"/>
        </w:rPr>
        <w:t xml:space="preserve"> </w:t>
      </w:r>
      <w:r>
        <w:rPr>
          <w:color w:val="231F20"/>
          <w:sz w:val="24"/>
        </w:rPr>
        <w:t>with</w:t>
      </w:r>
      <w:r>
        <w:rPr>
          <w:color w:val="231F20"/>
          <w:spacing w:val="-12"/>
          <w:sz w:val="24"/>
        </w:rPr>
        <w:t xml:space="preserve"> </w:t>
      </w:r>
      <w:r>
        <w:rPr>
          <w:color w:val="231F20"/>
          <w:sz w:val="24"/>
        </w:rPr>
        <w:t>Standing</w:t>
      </w:r>
      <w:r>
        <w:rPr>
          <w:color w:val="231F20"/>
          <w:spacing w:val="-12"/>
          <w:sz w:val="24"/>
        </w:rPr>
        <w:t xml:space="preserve"> </w:t>
      </w:r>
      <w:r>
        <w:rPr>
          <w:color w:val="231F20"/>
          <w:sz w:val="24"/>
        </w:rPr>
        <w:t>Direction</w:t>
      </w:r>
      <w:r>
        <w:rPr>
          <w:color w:val="231F20"/>
          <w:spacing w:val="-12"/>
          <w:sz w:val="24"/>
        </w:rPr>
        <w:t xml:space="preserve"> </w:t>
      </w:r>
      <w:r>
        <w:rPr>
          <w:color w:val="231F20"/>
          <w:sz w:val="24"/>
        </w:rPr>
        <w:t>5.1.4</w:t>
      </w:r>
      <w:r>
        <w:rPr>
          <w:color w:val="231F20"/>
          <w:spacing w:val="-12"/>
          <w:sz w:val="24"/>
        </w:rPr>
        <w:t xml:space="preserve"> </w:t>
      </w:r>
      <w:r>
        <w:rPr>
          <w:color w:val="231F20"/>
          <w:sz w:val="24"/>
        </w:rPr>
        <w:t>of</w:t>
      </w:r>
      <w:r>
        <w:rPr>
          <w:color w:val="231F20"/>
          <w:spacing w:val="-12"/>
          <w:sz w:val="24"/>
        </w:rPr>
        <w:t xml:space="preserve"> </w:t>
      </w:r>
      <w:r>
        <w:rPr>
          <w:color w:val="231F20"/>
          <w:sz w:val="24"/>
        </w:rPr>
        <w:t>Standing</w:t>
      </w:r>
      <w:r>
        <w:rPr>
          <w:color w:val="231F20"/>
          <w:spacing w:val="-12"/>
          <w:sz w:val="24"/>
        </w:rPr>
        <w:t xml:space="preserve"> </w:t>
      </w:r>
      <w:r>
        <w:rPr>
          <w:color w:val="231F20"/>
          <w:sz w:val="24"/>
        </w:rPr>
        <w:t>Directions</w:t>
      </w:r>
      <w:r>
        <w:rPr>
          <w:color w:val="231F20"/>
          <w:spacing w:val="-12"/>
          <w:sz w:val="24"/>
        </w:rPr>
        <w:t xml:space="preserve"> </w:t>
      </w:r>
      <w:r>
        <w:rPr>
          <w:color w:val="231F20"/>
          <w:sz w:val="24"/>
        </w:rPr>
        <w:t>2018</w:t>
      </w:r>
      <w:r>
        <w:rPr>
          <w:color w:val="231F20"/>
          <w:spacing w:val="-12"/>
          <w:sz w:val="24"/>
        </w:rPr>
        <w:t xml:space="preserve"> </w:t>
      </w:r>
      <w:r>
        <w:rPr>
          <w:color w:val="231F20"/>
          <w:sz w:val="24"/>
        </w:rPr>
        <w:t xml:space="preserve">under the </w:t>
      </w:r>
      <w:r>
        <w:rPr>
          <w:i/>
          <w:color w:val="231F20"/>
          <w:sz w:val="24"/>
        </w:rPr>
        <w:t>Financial</w:t>
      </w:r>
      <w:r>
        <w:rPr>
          <w:i/>
          <w:color w:val="231F20"/>
          <w:spacing w:val="-7"/>
          <w:sz w:val="24"/>
        </w:rPr>
        <w:t xml:space="preserve"> </w:t>
      </w:r>
      <w:r>
        <w:rPr>
          <w:i/>
          <w:color w:val="231F20"/>
          <w:sz w:val="24"/>
        </w:rPr>
        <w:t>Management</w:t>
      </w:r>
      <w:r>
        <w:rPr>
          <w:i/>
          <w:color w:val="231F20"/>
          <w:spacing w:val="-7"/>
          <w:sz w:val="24"/>
        </w:rPr>
        <w:t xml:space="preserve"> </w:t>
      </w:r>
      <w:r>
        <w:rPr>
          <w:i/>
          <w:color w:val="231F20"/>
          <w:sz w:val="24"/>
        </w:rPr>
        <w:t>Act</w:t>
      </w:r>
      <w:r>
        <w:rPr>
          <w:i/>
          <w:color w:val="231F20"/>
          <w:spacing w:val="-7"/>
          <w:sz w:val="24"/>
        </w:rPr>
        <w:t xml:space="preserve"> </w:t>
      </w:r>
      <w:r>
        <w:rPr>
          <w:i/>
          <w:color w:val="231F20"/>
          <w:sz w:val="24"/>
        </w:rPr>
        <w:t>1994</w:t>
      </w:r>
      <w:r>
        <w:rPr>
          <w:color w:val="231F20"/>
          <w:sz w:val="24"/>
        </w:rPr>
        <w:t>.</w:t>
      </w:r>
    </w:p>
    <w:p w14:paraId="0EC3B309" w14:textId="77777777" w:rsidR="00345EE3" w:rsidRDefault="00345EE3" w:rsidP="00345EE3">
      <w:pPr>
        <w:pStyle w:val="BodyText"/>
        <w:spacing w:before="116" w:line="242" w:lineRule="auto"/>
        <w:ind w:right="921"/>
      </w:pPr>
      <w:r>
        <w:rPr>
          <w:color w:val="231F20"/>
        </w:rPr>
        <w:t>I, Shane Patton, Chief Commissioner of behalf of the Victoria Police, certify that the Victoria Police</w:t>
      </w:r>
      <w:r>
        <w:rPr>
          <w:color w:val="231F20"/>
          <w:spacing w:val="-9"/>
        </w:rPr>
        <w:t xml:space="preserve"> </w:t>
      </w:r>
      <w:r>
        <w:rPr>
          <w:color w:val="231F20"/>
        </w:rPr>
        <w:t>has</w:t>
      </w:r>
      <w:r>
        <w:rPr>
          <w:color w:val="231F20"/>
          <w:spacing w:val="-8"/>
        </w:rPr>
        <w:t xml:space="preserve"> </w:t>
      </w:r>
      <w:r>
        <w:rPr>
          <w:color w:val="231F20"/>
        </w:rPr>
        <w:t>no</w:t>
      </w:r>
      <w:r>
        <w:rPr>
          <w:color w:val="231F20"/>
          <w:spacing w:val="-9"/>
        </w:rPr>
        <w:t xml:space="preserve"> </w:t>
      </w:r>
      <w:r>
        <w:rPr>
          <w:color w:val="231F20"/>
        </w:rPr>
        <w:t>Material</w:t>
      </w:r>
      <w:r>
        <w:rPr>
          <w:color w:val="231F20"/>
          <w:spacing w:val="-9"/>
        </w:rPr>
        <w:t xml:space="preserve"> </w:t>
      </w:r>
      <w:r>
        <w:rPr>
          <w:color w:val="231F20"/>
        </w:rPr>
        <w:t>Compliance</w:t>
      </w:r>
      <w:r>
        <w:rPr>
          <w:color w:val="231F20"/>
          <w:spacing w:val="-9"/>
        </w:rPr>
        <w:t xml:space="preserve"> </w:t>
      </w:r>
      <w:r>
        <w:rPr>
          <w:color w:val="231F20"/>
        </w:rPr>
        <w:t>Deficiency</w:t>
      </w:r>
      <w:r>
        <w:rPr>
          <w:color w:val="231F20"/>
          <w:spacing w:val="-8"/>
        </w:rPr>
        <w:t xml:space="preserve"> </w:t>
      </w:r>
      <w:r>
        <w:rPr>
          <w:color w:val="231F20"/>
        </w:rPr>
        <w:t>with</w:t>
      </w:r>
      <w:r>
        <w:rPr>
          <w:color w:val="231F20"/>
          <w:spacing w:val="-9"/>
        </w:rPr>
        <w:t xml:space="preserve"> </w:t>
      </w:r>
      <w:r>
        <w:rPr>
          <w:color w:val="231F20"/>
        </w:rPr>
        <w:t>respect</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applicable</w:t>
      </w:r>
      <w:r>
        <w:rPr>
          <w:color w:val="231F20"/>
          <w:spacing w:val="-9"/>
        </w:rPr>
        <w:t xml:space="preserve"> </w:t>
      </w:r>
      <w:r>
        <w:rPr>
          <w:color w:val="231F20"/>
        </w:rPr>
        <w:t>Standing</w:t>
      </w:r>
      <w:r>
        <w:rPr>
          <w:color w:val="231F20"/>
          <w:spacing w:val="-9"/>
        </w:rPr>
        <w:t xml:space="preserve"> </w:t>
      </w:r>
      <w:r>
        <w:rPr>
          <w:color w:val="231F20"/>
        </w:rPr>
        <w:t>Directions under</w:t>
      </w:r>
      <w:r>
        <w:rPr>
          <w:color w:val="231F20"/>
          <w:spacing w:val="-2"/>
        </w:rPr>
        <w:t xml:space="preserve"> </w:t>
      </w:r>
      <w:r>
        <w:rPr>
          <w:color w:val="231F20"/>
        </w:rPr>
        <w:t>the</w:t>
      </w:r>
      <w:r>
        <w:rPr>
          <w:color w:val="231F20"/>
          <w:spacing w:val="-2"/>
        </w:rPr>
        <w:t xml:space="preserve"> </w:t>
      </w:r>
      <w:r>
        <w:rPr>
          <w:i/>
          <w:color w:val="231F20"/>
        </w:rPr>
        <w:t>Financial</w:t>
      </w:r>
      <w:r>
        <w:rPr>
          <w:i/>
          <w:color w:val="231F20"/>
          <w:spacing w:val="-11"/>
        </w:rPr>
        <w:t xml:space="preserve"> </w:t>
      </w:r>
      <w:r>
        <w:rPr>
          <w:i/>
          <w:color w:val="231F20"/>
        </w:rPr>
        <w:t>Management</w:t>
      </w:r>
      <w:r>
        <w:rPr>
          <w:i/>
          <w:color w:val="231F20"/>
          <w:spacing w:val="-11"/>
        </w:rPr>
        <w:t xml:space="preserve"> </w:t>
      </w:r>
      <w:r>
        <w:rPr>
          <w:i/>
          <w:color w:val="231F20"/>
        </w:rPr>
        <w:t>Act</w:t>
      </w:r>
      <w:r>
        <w:rPr>
          <w:i/>
          <w:color w:val="231F20"/>
          <w:spacing w:val="-11"/>
        </w:rPr>
        <w:t xml:space="preserve"> </w:t>
      </w:r>
      <w:r>
        <w:rPr>
          <w:i/>
          <w:color w:val="231F20"/>
        </w:rPr>
        <w:t>1994</w:t>
      </w:r>
      <w:r>
        <w:rPr>
          <w:i/>
          <w:color w:val="231F20"/>
          <w:spacing w:val="-7"/>
        </w:rPr>
        <w:t xml:space="preserve"> </w:t>
      </w:r>
      <w:r>
        <w:rPr>
          <w:color w:val="231F20"/>
        </w:rPr>
        <w:t>and</w:t>
      </w:r>
      <w:r>
        <w:rPr>
          <w:color w:val="231F20"/>
          <w:spacing w:val="-2"/>
        </w:rPr>
        <w:t xml:space="preserve"> </w:t>
      </w:r>
      <w:r>
        <w:rPr>
          <w:color w:val="231F20"/>
        </w:rPr>
        <w:t>Instructions.</w:t>
      </w:r>
    </w:p>
    <w:p w14:paraId="04B8292E" w14:textId="77777777" w:rsidR="00345EE3" w:rsidRDefault="00345EE3" w:rsidP="00345EE3">
      <w:pPr>
        <w:pStyle w:val="BodyText"/>
        <w:spacing w:before="1"/>
        <w:rPr>
          <w:sz w:val="13"/>
        </w:rPr>
      </w:pPr>
      <w:r>
        <w:rPr>
          <w:noProof/>
        </w:rPr>
        <w:drawing>
          <wp:inline distT="0" distB="0" distL="0" distR="0" wp14:anchorId="726F0B99" wp14:editId="3F10A4E5">
            <wp:extent cx="923437" cy="694944"/>
            <wp:effectExtent l="0" t="0" r="3810" b="3810"/>
            <wp:docPr id="11" name="image6.png" descr="Signature of Shane Patton APM, Chief Commissioner of Victoria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Signature of Shane Patton APM, Chief Commissioner of Victoria pOLI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3437" cy="694944"/>
                    </a:xfrm>
                    <a:prstGeom prst="rect">
                      <a:avLst/>
                    </a:prstGeom>
                  </pic:spPr>
                </pic:pic>
              </a:graphicData>
            </a:graphic>
          </wp:inline>
        </w:drawing>
      </w:r>
    </w:p>
    <w:p w14:paraId="28107313" w14:textId="77777777" w:rsidR="00345EE3" w:rsidRDefault="00345EE3" w:rsidP="00345EE3">
      <w:pPr>
        <w:pStyle w:val="BodyText"/>
        <w:spacing w:before="6"/>
        <w:rPr>
          <w:sz w:val="32"/>
        </w:rPr>
      </w:pPr>
    </w:p>
    <w:p w14:paraId="1A1B5D92" w14:textId="77777777" w:rsidR="00345EE3" w:rsidRDefault="00345EE3" w:rsidP="00345EE3">
      <w:pPr>
        <w:pStyle w:val="BodyText"/>
      </w:pPr>
      <w:r>
        <w:rPr>
          <w:color w:val="231F20"/>
        </w:rPr>
        <w:t>Shane</w:t>
      </w:r>
      <w:r>
        <w:rPr>
          <w:color w:val="231F20"/>
          <w:spacing w:val="-9"/>
        </w:rPr>
        <w:t xml:space="preserve"> </w:t>
      </w:r>
      <w:r>
        <w:rPr>
          <w:color w:val="231F20"/>
        </w:rPr>
        <w:t>Patton</w:t>
      </w:r>
      <w:r>
        <w:rPr>
          <w:color w:val="231F20"/>
          <w:spacing w:val="-8"/>
        </w:rPr>
        <w:t xml:space="preserve"> </w:t>
      </w:r>
      <w:r>
        <w:rPr>
          <w:color w:val="231F20"/>
          <w:spacing w:val="-5"/>
        </w:rPr>
        <w:t>APM</w:t>
      </w:r>
    </w:p>
    <w:p w14:paraId="239DB441" w14:textId="77777777" w:rsidR="00A232FB" w:rsidRDefault="00345EE3" w:rsidP="00345EE3">
      <w:pPr>
        <w:pStyle w:val="BodyText"/>
        <w:spacing w:before="4" w:line="343" w:lineRule="auto"/>
        <w:ind w:right="6995"/>
        <w:rPr>
          <w:color w:val="231F20"/>
        </w:rPr>
      </w:pPr>
      <w:r>
        <w:rPr>
          <w:color w:val="231F20"/>
        </w:rPr>
        <w:t>Chief</w:t>
      </w:r>
      <w:r>
        <w:rPr>
          <w:color w:val="231F20"/>
          <w:spacing w:val="-16"/>
        </w:rPr>
        <w:t xml:space="preserve"> </w:t>
      </w:r>
      <w:r>
        <w:rPr>
          <w:color w:val="231F20"/>
        </w:rPr>
        <w:t>Commissioner</w:t>
      </w:r>
      <w:r>
        <w:rPr>
          <w:color w:val="231F20"/>
          <w:spacing w:val="-16"/>
        </w:rPr>
        <w:t xml:space="preserve"> </w:t>
      </w:r>
      <w:r>
        <w:rPr>
          <w:color w:val="231F20"/>
        </w:rPr>
        <w:t>of</w:t>
      </w:r>
      <w:r>
        <w:rPr>
          <w:color w:val="231F20"/>
          <w:spacing w:val="-16"/>
        </w:rPr>
        <w:t xml:space="preserve"> </w:t>
      </w:r>
      <w:r>
        <w:rPr>
          <w:color w:val="231F20"/>
        </w:rPr>
        <w:t>Victoria</w:t>
      </w:r>
      <w:r>
        <w:rPr>
          <w:color w:val="231F20"/>
          <w:spacing w:val="-16"/>
        </w:rPr>
        <w:t xml:space="preserve"> </w:t>
      </w:r>
      <w:r>
        <w:rPr>
          <w:color w:val="231F20"/>
        </w:rPr>
        <w:t xml:space="preserve">Police </w:t>
      </w:r>
    </w:p>
    <w:p w14:paraId="26E17053" w14:textId="7C92B7AF" w:rsidR="00345EE3" w:rsidRDefault="00345EE3" w:rsidP="00345EE3">
      <w:pPr>
        <w:pStyle w:val="BodyText"/>
        <w:spacing w:before="4" w:line="343" w:lineRule="auto"/>
        <w:ind w:right="6995"/>
      </w:pPr>
      <w:r>
        <w:rPr>
          <w:color w:val="231F20"/>
        </w:rPr>
        <w:t>1 September 2022</w:t>
      </w:r>
    </w:p>
    <w:p w14:paraId="319EE22A" w14:textId="77777777" w:rsidR="00345EE3" w:rsidRPr="004A7DD0" w:rsidRDefault="00345EE3" w:rsidP="00345EE3">
      <w:pPr>
        <w:pStyle w:val="Heading2"/>
        <w:spacing w:before="96"/>
        <w:rPr>
          <w:rFonts w:cs="Arial"/>
          <w:sz w:val="32"/>
          <w:szCs w:val="32"/>
        </w:rPr>
      </w:pPr>
      <w:r w:rsidRPr="004A7DD0">
        <w:rPr>
          <w:rFonts w:cs="Arial"/>
          <w:color w:val="00529F"/>
          <w:sz w:val="32"/>
          <w:szCs w:val="32"/>
        </w:rPr>
        <w:t>Compliance</w:t>
      </w:r>
      <w:r w:rsidRPr="004A7DD0">
        <w:rPr>
          <w:rFonts w:cs="Arial"/>
          <w:color w:val="00529F"/>
          <w:spacing w:val="-11"/>
          <w:sz w:val="32"/>
          <w:szCs w:val="32"/>
        </w:rPr>
        <w:t xml:space="preserve"> </w:t>
      </w:r>
      <w:r w:rsidRPr="004A7DD0">
        <w:rPr>
          <w:rFonts w:cs="Arial"/>
          <w:color w:val="00529F"/>
          <w:sz w:val="32"/>
          <w:szCs w:val="32"/>
        </w:rPr>
        <w:t>with</w:t>
      </w:r>
      <w:r w:rsidRPr="004A7DD0">
        <w:rPr>
          <w:rFonts w:cs="Arial"/>
          <w:color w:val="00529F"/>
          <w:spacing w:val="-11"/>
          <w:sz w:val="32"/>
          <w:szCs w:val="32"/>
        </w:rPr>
        <w:t xml:space="preserve"> </w:t>
      </w:r>
      <w:r w:rsidRPr="004A7DD0">
        <w:rPr>
          <w:rFonts w:cs="Arial"/>
          <w:color w:val="00529F"/>
          <w:sz w:val="32"/>
          <w:szCs w:val="32"/>
        </w:rPr>
        <w:t>Datavic</w:t>
      </w:r>
      <w:r w:rsidRPr="004A7DD0">
        <w:rPr>
          <w:rFonts w:cs="Arial"/>
          <w:color w:val="00529F"/>
          <w:spacing w:val="-11"/>
          <w:sz w:val="32"/>
          <w:szCs w:val="32"/>
        </w:rPr>
        <w:t xml:space="preserve"> </w:t>
      </w:r>
      <w:r w:rsidRPr="004A7DD0">
        <w:rPr>
          <w:rFonts w:cs="Arial"/>
          <w:color w:val="00529F"/>
          <w:sz w:val="32"/>
          <w:szCs w:val="32"/>
        </w:rPr>
        <w:t>Access</w:t>
      </w:r>
      <w:r w:rsidRPr="004A7DD0">
        <w:rPr>
          <w:rFonts w:cs="Arial"/>
          <w:color w:val="00529F"/>
          <w:spacing w:val="-11"/>
          <w:sz w:val="32"/>
          <w:szCs w:val="32"/>
        </w:rPr>
        <w:t xml:space="preserve"> </w:t>
      </w:r>
      <w:r w:rsidRPr="004A7DD0">
        <w:rPr>
          <w:rFonts w:cs="Arial"/>
          <w:color w:val="00529F"/>
          <w:spacing w:val="-2"/>
          <w:sz w:val="32"/>
          <w:szCs w:val="32"/>
        </w:rPr>
        <w:t>Policy</w:t>
      </w:r>
    </w:p>
    <w:p w14:paraId="37574012" w14:textId="77777777" w:rsidR="00345EE3" w:rsidRDefault="00345EE3" w:rsidP="00345EE3">
      <w:pPr>
        <w:pStyle w:val="BodyText"/>
        <w:spacing w:before="72" w:line="242" w:lineRule="auto"/>
        <w:ind w:right="985"/>
        <w:jc w:val="both"/>
      </w:pPr>
      <w:r>
        <w:rPr>
          <w:color w:val="231F20"/>
        </w:rPr>
        <w:t>Consistent</w:t>
      </w:r>
      <w:r>
        <w:rPr>
          <w:color w:val="231F20"/>
          <w:spacing w:val="-8"/>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DataVic</w:t>
      </w:r>
      <w:r>
        <w:rPr>
          <w:color w:val="231F20"/>
          <w:spacing w:val="-8"/>
        </w:rPr>
        <w:t xml:space="preserve"> </w:t>
      </w:r>
      <w:r>
        <w:rPr>
          <w:color w:val="231F20"/>
        </w:rPr>
        <w:t>Access</w:t>
      </w:r>
      <w:r>
        <w:rPr>
          <w:color w:val="231F20"/>
          <w:spacing w:val="-8"/>
        </w:rPr>
        <w:t xml:space="preserve"> </w:t>
      </w:r>
      <w:r>
        <w:rPr>
          <w:color w:val="231F20"/>
        </w:rPr>
        <w:t>Policy</w:t>
      </w:r>
      <w:r>
        <w:rPr>
          <w:color w:val="231F20"/>
          <w:spacing w:val="-8"/>
        </w:rPr>
        <w:t xml:space="preserve"> </w:t>
      </w:r>
      <w:r>
        <w:rPr>
          <w:color w:val="231F20"/>
        </w:rPr>
        <w:t>issued</w:t>
      </w:r>
      <w:r>
        <w:rPr>
          <w:color w:val="231F20"/>
          <w:spacing w:val="-9"/>
        </w:rPr>
        <w:t xml:space="preserve"> </w:t>
      </w:r>
      <w:r>
        <w:rPr>
          <w:color w:val="231F20"/>
        </w:rPr>
        <w:t>by</w:t>
      </w:r>
      <w:r>
        <w:rPr>
          <w:color w:val="231F20"/>
          <w:spacing w:val="-8"/>
        </w:rPr>
        <w:t xml:space="preserve"> </w:t>
      </w:r>
      <w:r>
        <w:rPr>
          <w:color w:val="231F20"/>
        </w:rPr>
        <w:t>the</w:t>
      </w:r>
      <w:r>
        <w:rPr>
          <w:color w:val="231F20"/>
          <w:spacing w:val="-9"/>
        </w:rPr>
        <w:t xml:space="preserve"> </w:t>
      </w:r>
      <w:r>
        <w:rPr>
          <w:color w:val="231F20"/>
        </w:rPr>
        <w:t>Victorian</w:t>
      </w:r>
      <w:r>
        <w:rPr>
          <w:color w:val="231F20"/>
          <w:spacing w:val="-9"/>
        </w:rPr>
        <w:t xml:space="preserve"> </w:t>
      </w:r>
      <w:r>
        <w:rPr>
          <w:color w:val="231F20"/>
        </w:rPr>
        <w:t>Government</w:t>
      </w:r>
      <w:r>
        <w:rPr>
          <w:color w:val="231F20"/>
          <w:spacing w:val="-8"/>
        </w:rPr>
        <w:t xml:space="preserve"> </w:t>
      </w:r>
      <w:r>
        <w:rPr>
          <w:color w:val="231F20"/>
        </w:rPr>
        <w:t>in</w:t>
      </w:r>
      <w:r>
        <w:rPr>
          <w:color w:val="231F20"/>
          <w:spacing w:val="-9"/>
        </w:rPr>
        <w:t xml:space="preserve"> </w:t>
      </w:r>
      <w:r>
        <w:rPr>
          <w:color w:val="231F20"/>
        </w:rPr>
        <w:t>2012,</w:t>
      </w:r>
      <w:r>
        <w:rPr>
          <w:color w:val="231F20"/>
          <w:spacing w:val="-8"/>
        </w:rPr>
        <w:t xml:space="preserve"> </w:t>
      </w:r>
      <w:r>
        <w:rPr>
          <w:color w:val="231F20"/>
        </w:rPr>
        <w:t>Victoria Police</w:t>
      </w:r>
      <w:r>
        <w:rPr>
          <w:color w:val="231F20"/>
          <w:spacing w:val="-11"/>
        </w:rPr>
        <w:t xml:space="preserve"> </w:t>
      </w:r>
      <w:r>
        <w:rPr>
          <w:color w:val="231F20"/>
        </w:rPr>
        <w:t>made</w:t>
      </w:r>
      <w:r>
        <w:rPr>
          <w:color w:val="231F20"/>
          <w:spacing w:val="-11"/>
        </w:rPr>
        <w:t xml:space="preserve"> </w:t>
      </w:r>
      <w:r>
        <w:rPr>
          <w:color w:val="231F20"/>
        </w:rPr>
        <w:t>four</w:t>
      </w:r>
      <w:r>
        <w:rPr>
          <w:color w:val="231F20"/>
          <w:spacing w:val="-10"/>
        </w:rPr>
        <w:t xml:space="preserve"> </w:t>
      </w:r>
      <w:r>
        <w:rPr>
          <w:color w:val="231F20"/>
        </w:rPr>
        <w:t>data</w:t>
      </w:r>
      <w:r>
        <w:rPr>
          <w:color w:val="231F20"/>
          <w:spacing w:val="-11"/>
        </w:rPr>
        <w:t xml:space="preserve"> </w:t>
      </w:r>
      <w:r>
        <w:rPr>
          <w:color w:val="231F20"/>
        </w:rPr>
        <w:t>sets</w:t>
      </w:r>
      <w:r>
        <w:rPr>
          <w:color w:val="231F20"/>
          <w:spacing w:val="-10"/>
        </w:rPr>
        <w:t xml:space="preserve"> </w:t>
      </w:r>
      <w:r>
        <w:rPr>
          <w:color w:val="231F20"/>
        </w:rPr>
        <w:t>available</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DataVic</w:t>
      </w:r>
      <w:r>
        <w:rPr>
          <w:color w:val="231F20"/>
          <w:spacing w:val="-10"/>
        </w:rPr>
        <w:t xml:space="preserve"> </w:t>
      </w:r>
      <w:r>
        <w:rPr>
          <w:color w:val="231F20"/>
        </w:rPr>
        <w:t>website</w:t>
      </w:r>
      <w:r>
        <w:rPr>
          <w:color w:val="231F20"/>
          <w:spacing w:val="-11"/>
        </w:rPr>
        <w:t xml:space="preserve"> </w:t>
      </w:r>
      <w:r>
        <w:rPr>
          <w:color w:val="231F20"/>
        </w:rPr>
        <w:t>in</w:t>
      </w:r>
      <w:r>
        <w:rPr>
          <w:color w:val="231F20"/>
          <w:spacing w:val="-11"/>
        </w:rPr>
        <w:t xml:space="preserve"> </w:t>
      </w:r>
      <w:r>
        <w:rPr>
          <w:color w:val="231F20"/>
        </w:rPr>
        <w:t>2021–22.</w:t>
      </w:r>
      <w:r>
        <w:rPr>
          <w:color w:val="231F20"/>
          <w:spacing w:val="-10"/>
        </w:rPr>
        <w:t xml:space="preserve"> </w:t>
      </w:r>
      <w:r>
        <w:rPr>
          <w:color w:val="231F20"/>
        </w:rPr>
        <w:t>Information</w:t>
      </w:r>
      <w:r>
        <w:rPr>
          <w:color w:val="231F20"/>
          <w:spacing w:val="-11"/>
        </w:rPr>
        <w:t xml:space="preserve"> </w:t>
      </w:r>
      <w:r>
        <w:rPr>
          <w:color w:val="231F20"/>
        </w:rPr>
        <w:t>included</w:t>
      </w:r>
      <w:r>
        <w:rPr>
          <w:color w:val="231F20"/>
          <w:spacing w:val="-11"/>
        </w:rPr>
        <w:t xml:space="preserve"> </w:t>
      </w:r>
      <w:r>
        <w:rPr>
          <w:color w:val="231F20"/>
        </w:rPr>
        <w:t xml:space="preserve">in this Annual Report will also be available at </w:t>
      </w:r>
      <w:hyperlink r:id="rId40">
        <w:r>
          <w:rPr>
            <w:b/>
            <w:color w:val="00529F"/>
            <w:u w:val="single" w:color="00529F"/>
          </w:rPr>
          <w:t>data.vic.gov.au</w:t>
        </w:r>
      </w:hyperlink>
      <w:r>
        <w:rPr>
          <w:b/>
          <w:color w:val="00529F"/>
        </w:rPr>
        <w:t xml:space="preserve"> </w:t>
      </w:r>
      <w:r>
        <w:rPr>
          <w:color w:val="231F20"/>
        </w:rPr>
        <w:t>in electronic readable format.</w:t>
      </w:r>
    </w:p>
    <w:p w14:paraId="2941D213" w14:textId="77777777" w:rsidR="00345EE3" w:rsidRPr="004A7DD0" w:rsidRDefault="00345EE3" w:rsidP="00345EE3">
      <w:pPr>
        <w:pStyle w:val="Heading2"/>
        <w:spacing w:before="215"/>
        <w:rPr>
          <w:rFonts w:cs="Arial"/>
          <w:sz w:val="32"/>
          <w:szCs w:val="32"/>
        </w:rPr>
      </w:pPr>
      <w:r w:rsidRPr="004A7DD0">
        <w:rPr>
          <w:rFonts w:cs="Arial"/>
          <w:color w:val="00529F"/>
          <w:sz w:val="32"/>
          <w:szCs w:val="32"/>
        </w:rPr>
        <w:t>Licensing</w:t>
      </w:r>
      <w:r w:rsidRPr="004A7DD0">
        <w:rPr>
          <w:rFonts w:cs="Arial"/>
          <w:color w:val="00529F"/>
          <w:spacing w:val="-13"/>
          <w:sz w:val="32"/>
          <w:szCs w:val="32"/>
        </w:rPr>
        <w:t xml:space="preserve"> </w:t>
      </w:r>
      <w:r w:rsidRPr="004A7DD0">
        <w:rPr>
          <w:rFonts w:cs="Arial"/>
          <w:color w:val="00529F"/>
          <w:sz w:val="32"/>
          <w:szCs w:val="32"/>
        </w:rPr>
        <w:t>and</w:t>
      </w:r>
      <w:r w:rsidRPr="004A7DD0">
        <w:rPr>
          <w:rFonts w:cs="Arial"/>
          <w:color w:val="00529F"/>
          <w:spacing w:val="-13"/>
          <w:sz w:val="32"/>
          <w:szCs w:val="32"/>
        </w:rPr>
        <w:t xml:space="preserve"> </w:t>
      </w:r>
      <w:r w:rsidRPr="004A7DD0">
        <w:rPr>
          <w:rFonts w:cs="Arial"/>
          <w:color w:val="00529F"/>
          <w:spacing w:val="-2"/>
          <w:sz w:val="32"/>
          <w:szCs w:val="32"/>
        </w:rPr>
        <w:t>Regulation</w:t>
      </w:r>
    </w:p>
    <w:p w14:paraId="5D24ED14" w14:textId="77777777" w:rsidR="00345EE3" w:rsidRDefault="00345EE3" w:rsidP="00345EE3">
      <w:pPr>
        <w:pStyle w:val="BodyText"/>
        <w:spacing w:before="73" w:line="242" w:lineRule="auto"/>
        <w:ind w:right="848"/>
      </w:pPr>
      <w:r>
        <w:rPr>
          <w:color w:val="231F20"/>
        </w:rPr>
        <w:t>Victoria Police plays a key role in regulation and adherence to legislation. This section provides an overview of Victoria Police’s role in regulating the firearms, private security and weapons industries.</w:t>
      </w:r>
      <w:r>
        <w:rPr>
          <w:color w:val="231F20"/>
          <w:spacing w:val="-12"/>
        </w:rPr>
        <w:t xml:space="preserve"> </w:t>
      </w:r>
      <w:r>
        <w:rPr>
          <w:color w:val="231F20"/>
        </w:rPr>
        <w:t>Regulation</w:t>
      </w:r>
      <w:r>
        <w:rPr>
          <w:color w:val="231F20"/>
          <w:spacing w:val="-12"/>
        </w:rPr>
        <w:t xml:space="preserve"> </w:t>
      </w:r>
      <w:r>
        <w:rPr>
          <w:color w:val="231F20"/>
        </w:rPr>
        <w:t>of</w:t>
      </w:r>
      <w:r>
        <w:rPr>
          <w:color w:val="231F20"/>
          <w:spacing w:val="-12"/>
        </w:rPr>
        <w:t xml:space="preserve"> </w:t>
      </w:r>
      <w:r>
        <w:rPr>
          <w:color w:val="231F20"/>
        </w:rPr>
        <w:t>these</w:t>
      </w:r>
      <w:r>
        <w:rPr>
          <w:color w:val="231F20"/>
          <w:spacing w:val="-12"/>
        </w:rPr>
        <w:t xml:space="preserve"> </w:t>
      </w:r>
      <w:r>
        <w:rPr>
          <w:color w:val="231F20"/>
        </w:rPr>
        <w:t>industries</w:t>
      </w:r>
      <w:r>
        <w:rPr>
          <w:color w:val="231F20"/>
          <w:spacing w:val="-12"/>
        </w:rPr>
        <w:t xml:space="preserve"> </w:t>
      </w:r>
      <w:r>
        <w:rPr>
          <w:color w:val="231F20"/>
        </w:rPr>
        <w:t>is</w:t>
      </w:r>
      <w:r>
        <w:rPr>
          <w:color w:val="231F20"/>
          <w:spacing w:val="-12"/>
        </w:rPr>
        <w:t xml:space="preserve"> </w:t>
      </w:r>
      <w:r>
        <w:rPr>
          <w:color w:val="231F20"/>
        </w:rPr>
        <w:t>achieved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appropriate</w:t>
      </w:r>
      <w:r>
        <w:rPr>
          <w:color w:val="231F20"/>
          <w:spacing w:val="-12"/>
        </w:rPr>
        <w:t xml:space="preserve"> </w:t>
      </w:r>
      <w:r>
        <w:rPr>
          <w:color w:val="231F20"/>
        </w:rPr>
        <w:t>licensing</w:t>
      </w:r>
      <w:r>
        <w:rPr>
          <w:color w:val="231F20"/>
          <w:spacing w:val="-12"/>
        </w:rPr>
        <w:t xml:space="preserve"> </w:t>
      </w:r>
      <w:r>
        <w:rPr>
          <w:color w:val="231F20"/>
        </w:rPr>
        <w:t>and</w:t>
      </w:r>
      <w:r>
        <w:rPr>
          <w:color w:val="231F20"/>
          <w:spacing w:val="-12"/>
        </w:rPr>
        <w:t xml:space="preserve"> </w:t>
      </w:r>
      <w:r>
        <w:rPr>
          <w:color w:val="231F20"/>
        </w:rPr>
        <w:t>registration of individuals and organisations as well as through the registration of firearms and weapons.</w:t>
      </w:r>
    </w:p>
    <w:p w14:paraId="6CA811B9" w14:textId="77777777" w:rsidR="00345EE3" w:rsidRDefault="00345EE3" w:rsidP="002A27BA">
      <w:pPr>
        <w:pStyle w:val="Heading3"/>
      </w:pPr>
      <w:r>
        <w:t>Progress</w:t>
      </w:r>
      <w:r>
        <w:rPr>
          <w:spacing w:val="-5"/>
        </w:rPr>
        <w:t xml:space="preserve"> </w:t>
      </w:r>
      <w:r>
        <w:t>against</w:t>
      </w:r>
      <w:r>
        <w:rPr>
          <w:spacing w:val="-4"/>
        </w:rPr>
        <w:t xml:space="preserve"> </w:t>
      </w:r>
      <w:r>
        <w:t>Statement</w:t>
      </w:r>
      <w:r>
        <w:rPr>
          <w:spacing w:val="-4"/>
        </w:rPr>
        <w:t xml:space="preserve"> </w:t>
      </w:r>
      <w:r>
        <w:t>of</w:t>
      </w:r>
      <w:r>
        <w:rPr>
          <w:spacing w:val="-3"/>
        </w:rPr>
        <w:t xml:space="preserve"> </w:t>
      </w:r>
      <w:r>
        <w:rPr>
          <w:spacing w:val="-2"/>
        </w:rPr>
        <w:t>Expectations</w:t>
      </w:r>
    </w:p>
    <w:p w14:paraId="06BCD0E9" w14:textId="77777777" w:rsidR="00345EE3" w:rsidRDefault="00345EE3" w:rsidP="00345EE3">
      <w:pPr>
        <w:pStyle w:val="BodyText"/>
        <w:spacing w:before="52" w:line="242" w:lineRule="auto"/>
        <w:ind w:right="921"/>
      </w:pPr>
      <w:r>
        <w:rPr>
          <w:color w:val="231F20"/>
        </w:rPr>
        <w:t>On 26 July 2020, the Minister for Police and Emergency Services issued a Statement of Expectations</w:t>
      </w:r>
      <w:r>
        <w:rPr>
          <w:color w:val="231F20"/>
          <w:spacing w:val="-7"/>
        </w:rPr>
        <w:t xml:space="preserve"> </w:t>
      </w:r>
      <w:r>
        <w:rPr>
          <w:color w:val="231F20"/>
        </w:rPr>
        <w:t>for</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7"/>
        </w:rPr>
        <w:t xml:space="preserve"> </w:t>
      </w:r>
      <w:r>
        <w:rPr>
          <w:color w:val="231F20"/>
        </w:rPr>
        <w:t>setting</w:t>
      </w:r>
      <w:r>
        <w:rPr>
          <w:color w:val="231F20"/>
          <w:spacing w:val="-8"/>
        </w:rPr>
        <w:t xml:space="preserve"> </w:t>
      </w:r>
      <w:r>
        <w:rPr>
          <w:color w:val="231F20"/>
        </w:rPr>
        <w:t>the</w:t>
      </w:r>
      <w:r>
        <w:rPr>
          <w:color w:val="231F20"/>
          <w:spacing w:val="-8"/>
        </w:rPr>
        <w:t xml:space="preserve"> </w:t>
      </w:r>
      <w:r>
        <w:rPr>
          <w:color w:val="231F20"/>
        </w:rPr>
        <w:t>following</w:t>
      </w:r>
      <w:r>
        <w:rPr>
          <w:color w:val="231F20"/>
          <w:spacing w:val="-8"/>
        </w:rPr>
        <w:t xml:space="preserve"> </w:t>
      </w:r>
      <w:r>
        <w:rPr>
          <w:color w:val="231F20"/>
        </w:rPr>
        <w:t>performance</w:t>
      </w:r>
      <w:r>
        <w:rPr>
          <w:color w:val="231F20"/>
          <w:spacing w:val="-8"/>
        </w:rPr>
        <w:t xml:space="preserve"> </w:t>
      </w:r>
      <w:r>
        <w:rPr>
          <w:color w:val="231F20"/>
        </w:rPr>
        <w:t>objectives</w:t>
      </w:r>
      <w:r>
        <w:rPr>
          <w:color w:val="231F20"/>
          <w:spacing w:val="-7"/>
        </w:rPr>
        <w:t xml:space="preserve"> </w:t>
      </w:r>
      <w:r>
        <w:rPr>
          <w:color w:val="231F20"/>
        </w:rPr>
        <w:t>for</w:t>
      </w:r>
      <w:r>
        <w:rPr>
          <w:color w:val="231F20"/>
          <w:spacing w:val="-7"/>
        </w:rPr>
        <w:t xml:space="preserve"> </w:t>
      </w:r>
      <w:r>
        <w:rPr>
          <w:color w:val="231F20"/>
        </w:rPr>
        <w:t>a</w:t>
      </w:r>
      <w:r>
        <w:rPr>
          <w:color w:val="231F20"/>
          <w:spacing w:val="-8"/>
        </w:rPr>
        <w:t xml:space="preserve"> </w:t>
      </w:r>
      <w:r>
        <w:rPr>
          <w:color w:val="231F20"/>
        </w:rPr>
        <w:t xml:space="preserve">two-year </w:t>
      </w:r>
      <w:r>
        <w:rPr>
          <w:color w:val="231F20"/>
          <w:spacing w:val="-2"/>
        </w:rPr>
        <w:t>period:</w:t>
      </w:r>
    </w:p>
    <w:p w14:paraId="14A720F0" w14:textId="77777777" w:rsidR="00345EE3" w:rsidRDefault="00345EE3">
      <w:pPr>
        <w:pStyle w:val="ListParagraph"/>
        <w:numPr>
          <w:ilvl w:val="0"/>
          <w:numId w:val="52"/>
        </w:numPr>
        <w:tabs>
          <w:tab w:val="left" w:pos="394"/>
        </w:tabs>
        <w:spacing w:line="242" w:lineRule="auto"/>
        <w:ind w:right="1443"/>
        <w:rPr>
          <w:sz w:val="24"/>
        </w:rPr>
      </w:pPr>
      <w:r>
        <w:rPr>
          <w:color w:val="231F20"/>
          <w:spacing w:val="-4"/>
          <w:sz w:val="24"/>
        </w:rPr>
        <w:t>Review</w:t>
      </w:r>
      <w:r>
        <w:rPr>
          <w:color w:val="231F20"/>
          <w:spacing w:val="-5"/>
          <w:sz w:val="24"/>
        </w:rPr>
        <w:t xml:space="preserve"> </w:t>
      </w:r>
      <w:r>
        <w:rPr>
          <w:color w:val="231F20"/>
          <w:spacing w:val="-4"/>
          <w:sz w:val="24"/>
        </w:rPr>
        <w:t>and</w:t>
      </w:r>
      <w:r>
        <w:rPr>
          <w:color w:val="231F20"/>
          <w:spacing w:val="-5"/>
          <w:sz w:val="24"/>
        </w:rPr>
        <w:t xml:space="preserve"> </w:t>
      </w:r>
      <w:r>
        <w:rPr>
          <w:color w:val="231F20"/>
          <w:spacing w:val="-4"/>
          <w:sz w:val="24"/>
        </w:rPr>
        <w:t>identify</w:t>
      </w:r>
      <w:r>
        <w:rPr>
          <w:color w:val="231F20"/>
          <w:spacing w:val="-5"/>
          <w:sz w:val="24"/>
        </w:rPr>
        <w:t xml:space="preserve"> </w:t>
      </w:r>
      <w:r>
        <w:rPr>
          <w:color w:val="231F20"/>
          <w:spacing w:val="-4"/>
          <w:sz w:val="24"/>
        </w:rPr>
        <w:t>opportunities</w:t>
      </w:r>
      <w:r>
        <w:rPr>
          <w:color w:val="231F20"/>
          <w:spacing w:val="-5"/>
          <w:sz w:val="24"/>
        </w:rPr>
        <w:t xml:space="preserve"> </w:t>
      </w:r>
      <w:r>
        <w:rPr>
          <w:color w:val="231F20"/>
          <w:spacing w:val="-4"/>
          <w:sz w:val="24"/>
        </w:rPr>
        <w:t>for</w:t>
      </w:r>
      <w:r>
        <w:rPr>
          <w:color w:val="231F20"/>
          <w:spacing w:val="-5"/>
          <w:sz w:val="24"/>
        </w:rPr>
        <w:t xml:space="preserve"> </w:t>
      </w:r>
      <w:r>
        <w:rPr>
          <w:color w:val="231F20"/>
          <w:spacing w:val="-4"/>
          <w:sz w:val="24"/>
        </w:rPr>
        <w:t>improvement</w:t>
      </w:r>
      <w:r>
        <w:rPr>
          <w:color w:val="231F20"/>
          <w:spacing w:val="-5"/>
          <w:sz w:val="24"/>
        </w:rPr>
        <w:t xml:space="preserve"> </w:t>
      </w:r>
      <w:r>
        <w:rPr>
          <w:color w:val="231F20"/>
          <w:spacing w:val="-4"/>
          <w:sz w:val="24"/>
        </w:rPr>
        <w:t>of</w:t>
      </w:r>
      <w:r>
        <w:rPr>
          <w:color w:val="231F20"/>
          <w:spacing w:val="-5"/>
          <w:sz w:val="24"/>
        </w:rPr>
        <w:t xml:space="preserve"> </w:t>
      </w:r>
      <w:r>
        <w:rPr>
          <w:color w:val="231F20"/>
          <w:spacing w:val="-4"/>
          <w:sz w:val="24"/>
        </w:rPr>
        <w:t>current</w:t>
      </w:r>
      <w:r>
        <w:rPr>
          <w:color w:val="231F20"/>
          <w:spacing w:val="-5"/>
          <w:sz w:val="24"/>
        </w:rPr>
        <w:t xml:space="preserve"> </w:t>
      </w:r>
      <w:r>
        <w:rPr>
          <w:color w:val="231F20"/>
          <w:spacing w:val="-4"/>
          <w:sz w:val="24"/>
        </w:rPr>
        <w:t>licence</w:t>
      </w:r>
      <w:r>
        <w:rPr>
          <w:color w:val="231F20"/>
          <w:spacing w:val="-5"/>
          <w:sz w:val="24"/>
        </w:rPr>
        <w:t xml:space="preserve"> </w:t>
      </w:r>
      <w:r>
        <w:rPr>
          <w:color w:val="231F20"/>
          <w:spacing w:val="-4"/>
          <w:sz w:val="24"/>
        </w:rPr>
        <w:t>application</w:t>
      </w:r>
      <w:r>
        <w:rPr>
          <w:color w:val="231F20"/>
          <w:spacing w:val="-5"/>
          <w:sz w:val="24"/>
        </w:rPr>
        <w:t xml:space="preserve"> </w:t>
      </w:r>
      <w:r>
        <w:rPr>
          <w:color w:val="231F20"/>
          <w:spacing w:val="-4"/>
          <w:sz w:val="24"/>
        </w:rPr>
        <w:t xml:space="preserve">processing </w:t>
      </w:r>
      <w:r>
        <w:rPr>
          <w:color w:val="231F20"/>
          <w:spacing w:val="-2"/>
          <w:sz w:val="24"/>
        </w:rPr>
        <w:t>practices.</w:t>
      </w:r>
    </w:p>
    <w:p w14:paraId="6AA743B1" w14:textId="77777777" w:rsidR="00345EE3" w:rsidRDefault="00345EE3">
      <w:pPr>
        <w:pStyle w:val="ListParagraph"/>
        <w:numPr>
          <w:ilvl w:val="0"/>
          <w:numId w:val="52"/>
        </w:numPr>
        <w:tabs>
          <w:tab w:val="left" w:pos="394"/>
        </w:tabs>
        <w:spacing w:before="31" w:line="242" w:lineRule="auto"/>
        <w:ind w:right="1295"/>
        <w:rPr>
          <w:sz w:val="24"/>
        </w:rPr>
      </w:pPr>
      <w:r>
        <w:rPr>
          <w:color w:val="231F20"/>
          <w:spacing w:val="-4"/>
          <w:sz w:val="24"/>
        </w:rPr>
        <w:t xml:space="preserve">Explore the feasibility of integrating Licensing and Regulation Division (LRD) service delivery </w:t>
      </w:r>
      <w:r>
        <w:rPr>
          <w:color w:val="231F20"/>
          <w:sz w:val="24"/>
        </w:rPr>
        <w:t>with Service Victoria.</w:t>
      </w:r>
    </w:p>
    <w:p w14:paraId="2DDCD975" w14:textId="77777777" w:rsidR="00345EE3" w:rsidRDefault="00345EE3">
      <w:pPr>
        <w:pStyle w:val="ListParagraph"/>
        <w:numPr>
          <w:ilvl w:val="0"/>
          <w:numId w:val="52"/>
        </w:numPr>
        <w:tabs>
          <w:tab w:val="left" w:pos="394"/>
        </w:tabs>
        <w:spacing w:before="31"/>
        <w:rPr>
          <w:sz w:val="24"/>
        </w:rPr>
      </w:pPr>
      <w:r>
        <w:rPr>
          <w:color w:val="231F20"/>
          <w:spacing w:val="-4"/>
          <w:sz w:val="24"/>
        </w:rPr>
        <w:t>Review</w:t>
      </w:r>
      <w:r>
        <w:rPr>
          <w:color w:val="231F20"/>
          <w:spacing w:val="-6"/>
          <w:sz w:val="24"/>
        </w:rPr>
        <w:t xml:space="preserve"> </w:t>
      </w:r>
      <w:r>
        <w:rPr>
          <w:color w:val="231F20"/>
          <w:spacing w:val="-4"/>
          <w:sz w:val="24"/>
        </w:rPr>
        <w:t>and evaluate the current LRD Risk Based Regulation framework.</w:t>
      </w:r>
    </w:p>
    <w:p w14:paraId="0C8F3686" w14:textId="77777777" w:rsidR="00345EE3" w:rsidRDefault="00345EE3">
      <w:pPr>
        <w:pStyle w:val="ListParagraph"/>
        <w:numPr>
          <w:ilvl w:val="0"/>
          <w:numId w:val="52"/>
        </w:numPr>
        <w:tabs>
          <w:tab w:val="left" w:pos="394"/>
        </w:tabs>
        <w:spacing w:before="33" w:line="242" w:lineRule="auto"/>
        <w:ind w:right="1021"/>
        <w:rPr>
          <w:sz w:val="24"/>
        </w:rPr>
      </w:pPr>
      <w:r>
        <w:rPr>
          <w:color w:val="231F20"/>
          <w:spacing w:val="-4"/>
          <w:sz w:val="24"/>
        </w:rPr>
        <w:t xml:space="preserve">Review the LRD online information and make recommendations for increasing compliance with </w:t>
      </w:r>
      <w:r>
        <w:rPr>
          <w:color w:val="231F20"/>
          <w:sz w:val="24"/>
        </w:rPr>
        <w:t>Victorian</w:t>
      </w:r>
      <w:r>
        <w:rPr>
          <w:color w:val="231F20"/>
          <w:spacing w:val="-9"/>
          <w:sz w:val="24"/>
        </w:rPr>
        <w:t xml:space="preserve"> </w:t>
      </w:r>
      <w:r>
        <w:rPr>
          <w:color w:val="231F20"/>
          <w:sz w:val="24"/>
        </w:rPr>
        <w:t>Government</w:t>
      </w:r>
      <w:r>
        <w:rPr>
          <w:color w:val="231F20"/>
          <w:spacing w:val="-9"/>
          <w:sz w:val="24"/>
        </w:rPr>
        <w:t xml:space="preserve"> </w:t>
      </w:r>
      <w:r>
        <w:rPr>
          <w:color w:val="231F20"/>
          <w:sz w:val="24"/>
        </w:rPr>
        <w:t>accessibility</w:t>
      </w:r>
      <w:r>
        <w:rPr>
          <w:color w:val="231F20"/>
          <w:spacing w:val="-9"/>
          <w:sz w:val="24"/>
        </w:rPr>
        <w:t xml:space="preserve"> </w:t>
      </w:r>
      <w:r>
        <w:rPr>
          <w:color w:val="231F20"/>
          <w:sz w:val="24"/>
        </w:rPr>
        <w:t>standards.</w:t>
      </w:r>
    </w:p>
    <w:p w14:paraId="6D2B5E10" w14:textId="77777777" w:rsidR="00345EE3" w:rsidRDefault="00345EE3" w:rsidP="00345EE3">
      <w:pPr>
        <w:pStyle w:val="BodyText"/>
        <w:spacing w:before="116" w:line="242" w:lineRule="auto"/>
        <w:ind w:right="921"/>
      </w:pPr>
      <w:r>
        <w:rPr>
          <w:color w:val="231F20"/>
        </w:rPr>
        <w:t>Opportunities</w:t>
      </w:r>
      <w:r>
        <w:rPr>
          <w:color w:val="231F20"/>
          <w:spacing w:val="-9"/>
        </w:rPr>
        <w:t xml:space="preserve"> </w:t>
      </w:r>
      <w:r>
        <w:rPr>
          <w:color w:val="231F20"/>
        </w:rPr>
        <w:t>to</w:t>
      </w:r>
      <w:r>
        <w:rPr>
          <w:color w:val="231F20"/>
          <w:spacing w:val="-10"/>
        </w:rPr>
        <w:t xml:space="preserve"> </w:t>
      </w:r>
      <w:r>
        <w:rPr>
          <w:color w:val="231F20"/>
        </w:rPr>
        <w:t>modernise</w:t>
      </w:r>
      <w:r>
        <w:rPr>
          <w:color w:val="231F20"/>
          <w:spacing w:val="-10"/>
        </w:rPr>
        <w:t xml:space="preserve"> </w:t>
      </w:r>
      <w:r>
        <w:rPr>
          <w:color w:val="231F20"/>
        </w:rPr>
        <w:t>regulatory</w:t>
      </w:r>
      <w:r>
        <w:rPr>
          <w:color w:val="231F20"/>
          <w:spacing w:val="-9"/>
        </w:rPr>
        <w:t xml:space="preserve"> </w:t>
      </w:r>
      <w:r>
        <w:rPr>
          <w:color w:val="231F20"/>
        </w:rPr>
        <w:t>practices</w:t>
      </w:r>
      <w:r>
        <w:rPr>
          <w:color w:val="231F20"/>
          <w:spacing w:val="-9"/>
        </w:rPr>
        <w:t xml:space="preserve"> </w:t>
      </w:r>
      <w:r>
        <w:rPr>
          <w:color w:val="231F20"/>
        </w:rPr>
        <w:t>and</w:t>
      </w:r>
      <w:r>
        <w:rPr>
          <w:color w:val="231F20"/>
          <w:spacing w:val="-10"/>
        </w:rPr>
        <w:t xml:space="preserve"> </w:t>
      </w:r>
      <w:r>
        <w:rPr>
          <w:color w:val="231F20"/>
        </w:rPr>
        <w:t>related</w:t>
      </w:r>
      <w:r>
        <w:rPr>
          <w:color w:val="231F20"/>
          <w:spacing w:val="-10"/>
        </w:rPr>
        <w:t xml:space="preserve"> </w:t>
      </w:r>
      <w:r>
        <w:rPr>
          <w:color w:val="231F20"/>
        </w:rPr>
        <w:t>applications</w:t>
      </w:r>
      <w:r>
        <w:rPr>
          <w:color w:val="231F20"/>
          <w:spacing w:val="-9"/>
        </w:rPr>
        <w:t xml:space="preserve"> </w:t>
      </w:r>
      <w:r>
        <w:rPr>
          <w:color w:val="231F20"/>
        </w:rPr>
        <w:t>within</w:t>
      </w:r>
      <w:r>
        <w:rPr>
          <w:color w:val="231F20"/>
          <w:spacing w:val="-10"/>
        </w:rPr>
        <w:t xml:space="preserve"> </w:t>
      </w:r>
      <w:r>
        <w:rPr>
          <w:color w:val="231F20"/>
        </w:rPr>
        <w:t>LRD</w:t>
      </w:r>
      <w:r>
        <w:rPr>
          <w:color w:val="231F20"/>
          <w:spacing w:val="-10"/>
        </w:rPr>
        <w:t xml:space="preserve"> </w:t>
      </w:r>
      <w:r>
        <w:rPr>
          <w:color w:val="231F20"/>
        </w:rPr>
        <w:t>are underway. Key changes have included the following:</w:t>
      </w:r>
    </w:p>
    <w:p w14:paraId="33C46C2C" w14:textId="77777777" w:rsidR="00345EE3" w:rsidRDefault="00345EE3">
      <w:pPr>
        <w:pStyle w:val="ListParagraph"/>
        <w:numPr>
          <w:ilvl w:val="1"/>
          <w:numId w:val="52"/>
        </w:numPr>
        <w:tabs>
          <w:tab w:val="left" w:pos="393"/>
          <w:tab w:val="left" w:pos="394"/>
        </w:tabs>
        <w:spacing w:before="30" w:line="242" w:lineRule="auto"/>
        <w:ind w:right="1709"/>
        <w:rPr>
          <w:sz w:val="24"/>
        </w:rPr>
      </w:pPr>
      <w:r>
        <w:rPr>
          <w:color w:val="231F20"/>
          <w:sz w:val="24"/>
        </w:rPr>
        <w:t>Enhanced</w:t>
      </w:r>
      <w:r>
        <w:rPr>
          <w:color w:val="231F20"/>
          <w:spacing w:val="-10"/>
          <w:sz w:val="24"/>
        </w:rPr>
        <w:t xml:space="preserve"> </w:t>
      </w:r>
      <w:r>
        <w:rPr>
          <w:color w:val="231F20"/>
          <w:sz w:val="24"/>
        </w:rPr>
        <w:t>identification</w:t>
      </w:r>
      <w:r>
        <w:rPr>
          <w:color w:val="231F20"/>
          <w:spacing w:val="-10"/>
          <w:sz w:val="24"/>
        </w:rPr>
        <w:t xml:space="preserve"> </w:t>
      </w:r>
      <w:r>
        <w:rPr>
          <w:color w:val="231F20"/>
          <w:sz w:val="24"/>
        </w:rPr>
        <w:t>of</w:t>
      </w:r>
      <w:r>
        <w:rPr>
          <w:color w:val="231F20"/>
          <w:spacing w:val="-9"/>
          <w:sz w:val="24"/>
        </w:rPr>
        <w:t xml:space="preserve"> </w:t>
      </w:r>
      <w:r>
        <w:rPr>
          <w:color w:val="231F20"/>
          <w:sz w:val="24"/>
        </w:rPr>
        <w:t>individual</w:t>
      </w:r>
      <w:r>
        <w:rPr>
          <w:color w:val="231F20"/>
          <w:spacing w:val="-10"/>
          <w:sz w:val="24"/>
        </w:rPr>
        <w:t xml:space="preserve"> </w:t>
      </w:r>
      <w:r>
        <w:rPr>
          <w:color w:val="231F20"/>
          <w:sz w:val="24"/>
        </w:rPr>
        <w:t>firearm</w:t>
      </w:r>
      <w:r>
        <w:rPr>
          <w:color w:val="231F20"/>
          <w:spacing w:val="-9"/>
          <w:sz w:val="24"/>
        </w:rPr>
        <w:t xml:space="preserve"> </w:t>
      </w:r>
      <w:r>
        <w:rPr>
          <w:color w:val="231F20"/>
          <w:sz w:val="24"/>
        </w:rPr>
        <w:t>licence</w:t>
      </w:r>
      <w:r>
        <w:rPr>
          <w:color w:val="231F20"/>
          <w:spacing w:val="-10"/>
          <w:sz w:val="24"/>
        </w:rPr>
        <w:t xml:space="preserve"> </w:t>
      </w:r>
      <w:r>
        <w:rPr>
          <w:color w:val="231F20"/>
          <w:sz w:val="24"/>
        </w:rPr>
        <w:t>holders</w:t>
      </w:r>
      <w:r>
        <w:rPr>
          <w:color w:val="231F20"/>
          <w:spacing w:val="-9"/>
          <w:sz w:val="24"/>
        </w:rPr>
        <w:t xml:space="preserve"> </w:t>
      </w:r>
      <w:r>
        <w:rPr>
          <w:color w:val="231F20"/>
          <w:sz w:val="24"/>
        </w:rPr>
        <w:t>who</w:t>
      </w:r>
      <w:r>
        <w:rPr>
          <w:color w:val="231F20"/>
          <w:spacing w:val="-10"/>
          <w:sz w:val="24"/>
        </w:rPr>
        <w:t xml:space="preserve"> </w:t>
      </w:r>
      <w:r>
        <w:rPr>
          <w:color w:val="231F20"/>
          <w:sz w:val="24"/>
        </w:rPr>
        <w:t>are</w:t>
      </w:r>
      <w:r>
        <w:rPr>
          <w:color w:val="231F20"/>
          <w:spacing w:val="-10"/>
          <w:sz w:val="24"/>
        </w:rPr>
        <w:t xml:space="preserve"> </w:t>
      </w:r>
      <w:r>
        <w:rPr>
          <w:color w:val="231F20"/>
          <w:sz w:val="24"/>
        </w:rPr>
        <w:t>subject</w:t>
      </w:r>
      <w:r>
        <w:rPr>
          <w:color w:val="231F20"/>
          <w:spacing w:val="-9"/>
          <w:sz w:val="24"/>
        </w:rPr>
        <w:t xml:space="preserve"> </w:t>
      </w:r>
      <w:r>
        <w:rPr>
          <w:color w:val="231F20"/>
          <w:sz w:val="24"/>
        </w:rPr>
        <w:t>to</w:t>
      </w:r>
      <w:r>
        <w:rPr>
          <w:color w:val="231F20"/>
          <w:spacing w:val="-10"/>
          <w:sz w:val="24"/>
        </w:rPr>
        <w:t xml:space="preserve"> </w:t>
      </w:r>
      <w:r>
        <w:rPr>
          <w:color w:val="231F20"/>
          <w:sz w:val="24"/>
        </w:rPr>
        <w:t>special conditions</w:t>
      </w:r>
      <w:r>
        <w:rPr>
          <w:color w:val="231F20"/>
          <w:spacing w:val="-1"/>
          <w:sz w:val="24"/>
        </w:rPr>
        <w:t xml:space="preserve"> </w:t>
      </w:r>
      <w:r>
        <w:rPr>
          <w:color w:val="231F20"/>
          <w:sz w:val="24"/>
        </w:rPr>
        <w:t>on</w:t>
      </w:r>
      <w:r>
        <w:rPr>
          <w:color w:val="231F20"/>
          <w:spacing w:val="-2"/>
          <w:sz w:val="24"/>
        </w:rPr>
        <w:t xml:space="preserve"> </w:t>
      </w:r>
      <w:r>
        <w:rPr>
          <w:color w:val="231F20"/>
          <w:sz w:val="24"/>
        </w:rPr>
        <w:t>the</w:t>
      </w:r>
      <w:r>
        <w:rPr>
          <w:color w:val="231F20"/>
          <w:spacing w:val="-2"/>
          <w:sz w:val="24"/>
        </w:rPr>
        <w:t xml:space="preserve"> </w:t>
      </w:r>
      <w:r>
        <w:rPr>
          <w:color w:val="231F20"/>
          <w:sz w:val="24"/>
        </w:rPr>
        <w:t>Licensing</w:t>
      </w:r>
      <w:r>
        <w:rPr>
          <w:color w:val="231F20"/>
          <w:spacing w:val="-2"/>
          <w:sz w:val="24"/>
        </w:rPr>
        <w:t xml:space="preserve"> </w:t>
      </w:r>
      <w:r>
        <w:rPr>
          <w:color w:val="231F20"/>
          <w:sz w:val="24"/>
        </w:rPr>
        <w:t>and</w:t>
      </w:r>
      <w:r>
        <w:rPr>
          <w:color w:val="231F20"/>
          <w:spacing w:val="-2"/>
          <w:sz w:val="24"/>
        </w:rPr>
        <w:t xml:space="preserve"> </w:t>
      </w:r>
      <w:r>
        <w:rPr>
          <w:color w:val="231F20"/>
          <w:sz w:val="24"/>
        </w:rPr>
        <w:t>Registration</w:t>
      </w:r>
      <w:r>
        <w:rPr>
          <w:color w:val="231F20"/>
          <w:spacing w:val="-2"/>
          <w:sz w:val="24"/>
        </w:rPr>
        <w:t xml:space="preserve"> </w:t>
      </w:r>
      <w:r>
        <w:rPr>
          <w:color w:val="231F20"/>
          <w:sz w:val="24"/>
        </w:rPr>
        <w:t>System</w:t>
      </w:r>
      <w:r>
        <w:rPr>
          <w:color w:val="231F20"/>
          <w:spacing w:val="-1"/>
          <w:sz w:val="24"/>
        </w:rPr>
        <w:t xml:space="preserve"> </w:t>
      </w:r>
      <w:r>
        <w:rPr>
          <w:color w:val="231F20"/>
          <w:sz w:val="24"/>
        </w:rPr>
        <w:t>to</w:t>
      </w:r>
      <w:r>
        <w:rPr>
          <w:color w:val="231F20"/>
          <w:spacing w:val="-2"/>
          <w:sz w:val="24"/>
        </w:rPr>
        <w:t xml:space="preserve"> </w:t>
      </w:r>
      <w:r>
        <w:rPr>
          <w:color w:val="231F20"/>
          <w:sz w:val="24"/>
        </w:rPr>
        <w:t>improve</w:t>
      </w:r>
      <w:r>
        <w:rPr>
          <w:color w:val="231F20"/>
          <w:spacing w:val="-2"/>
          <w:sz w:val="24"/>
        </w:rPr>
        <w:t xml:space="preserve"> </w:t>
      </w:r>
      <w:r>
        <w:rPr>
          <w:color w:val="231F20"/>
          <w:sz w:val="24"/>
        </w:rPr>
        <w:t>user</w:t>
      </w:r>
      <w:r>
        <w:rPr>
          <w:color w:val="231F20"/>
          <w:spacing w:val="-1"/>
          <w:sz w:val="24"/>
        </w:rPr>
        <w:t xml:space="preserve"> </w:t>
      </w:r>
      <w:r>
        <w:rPr>
          <w:color w:val="231F20"/>
          <w:sz w:val="24"/>
        </w:rPr>
        <w:t>compliance</w:t>
      </w:r>
      <w:r>
        <w:rPr>
          <w:color w:val="231F20"/>
          <w:spacing w:val="-2"/>
          <w:sz w:val="24"/>
        </w:rPr>
        <w:t xml:space="preserve"> </w:t>
      </w:r>
      <w:r>
        <w:rPr>
          <w:color w:val="231F20"/>
          <w:sz w:val="24"/>
        </w:rPr>
        <w:t xml:space="preserve">and </w:t>
      </w:r>
      <w:r>
        <w:rPr>
          <w:color w:val="231F20"/>
          <w:spacing w:val="-2"/>
          <w:sz w:val="24"/>
        </w:rPr>
        <w:t>enforcement.</w:t>
      </w:r>
    </w:p>
    <w:p w14:paraId="11769E3E" w14:textId="77777777" w:rsidR="00345EE3" w:rsidRDefault="00345EE3">
      <w:pPr>
        <w:pStyle w:val="ListParagraph"/>
        <w:numPr>
          <w:ilvl w:val="1"/>
          <w:numId w:val="52"/>
        </w:numPr>
        <w:tabs>
          <w:tab w:val="left" w:pos="393"/>
          <w:tab w:val="left" w:pos="394"/>
        </w:tabs>
        <w:spacing w:line="242" w:lineRule="auto"/>
        <w:ind w:right="1417"/>
        <w:rPr>
          <w:sz w:val="24"/>
        </w:rPr>
      </w:pPr>
      <w:r>
        <w:rPr>
          <w:color w:val="231F20"/>
          <w:sz w:val="24"/>
        </w:rPr>
        <w:t>A practice guide for Victoria Police members in relation to expired and deceased estate firearm</w:t>
      </w:r>
      <w:r>
        <w:rPr>
          <w:color w:val="231F20"/>
          <w:spacing w:val="-10"/>
          <w:sz w:val="24"/>
        </w:rPr>
        <w:t xml:space="preserve"> </w:t>
      </w:r>
      <w:r>
        <w:rPr>
          <w:color w:val="231F20"/>
          <w:sz w:val="24"/>
        </w:rPr>
        <w:t>licence</w:t>
      </w:r>
      <w:r>
        <w:rPr>
          <w:color w:val="231F20"/>
          <w:spacing w:val="-11"/>
          <w:sz w:val="24"/>
        </w:rPr>
        <w:t xml:space="preserve"> </w:t>
      </w:r>
      <w:r>
        <w:rPr>
          <w:color w:val="231F20"/>
          <w:sz w:val="24"/>
        </w:rPr>
        <w:t>holders.</w:t>
      </w:r>
      <w:r>
        <w:rPr>
          <w:color w:val="231F20"/>
          <w:spacing w:val="-10"/>
          <w:sz w:val="24"/>
        </w:rPr>
        <w:t xml:space="preserve"> </w:t>
      </w:r>
      <w:r>
        <w:rPr>
          <w:color w:val="231F20"/>
          <w:sz w:val="24"/>
        </w:rPr>
        <w:t>The</w:t>
      </w:r>
      <w:r>
        <w:rPr>
          <w:color w:val="231F20"/>
          <w:spacing w:val="-11"/>
          <w:sz w:val="24"/>
        </w:rPr>
        <w:t xml:space="preserve"> </w:t>
      </w:r>
      <w:r>
        <w:rPr>
          <w:color w:val="231F20"/>
          <w:sz w:val="24"/>
        </w:rPr>
        <w:t>guide</w:t>
      </w:r>
      <w:r>
        <w:rPr>
          <w:color w:val="231F20"/>
          <w:spacing w:val="-11"/>
          <w:sz w:val="24"/>
        </w:rPr>
        <w:t xml:space="preserve"> </w:t>
      </w:r>
      <w:r>
        <w:rPr>
          <w:color w:val="231F20"/>
          <w:sz w:val="24"/>
        </w:rPr>
        <w:t>provides</w:t>
      </w:r>
      <w:r>
        <w:rPr>
          <w:color w:val="231F20"/>
          <w:spacing w:val="-10"/>
          <w:sz w:val="24"/>
        </w:rPr>
        <w:t xml:space="preserve"> </w:t>
      </w:r>
      <w:r>
        <w:rPr>
          <w:color w:val="231F20"/>
          <w:sz w:val="24"/>
        </w:rPr>
        <w:t>clearer</w:t>
      </w:r>
      <w:r>
        <w:rPr>
          <w:color w:val="231F20"/>
          <w:spacing w:val="-10"/>
          <w:sz w:val="24"/>
        </w:rPr>
        <w:t xml:space="preserve"> </w:t>
      </w:r>
      <w:r>
        <w:rPr>
          <w:color w:val="231F20"/>
          <w:sz w:val="24"/>
        </w:rPr>
        <w:t>processes</w:t>
      </w:r>
      <w:r>
        <w:rPr>
          <w:color w:val="231F20"/>
          <w:spacing w:val="-10"/>
          <w:sz w:val="24"/>
        </w:rPr>
        <w:t xml:space="preserve"> </w:t>
      </w:r>
      <w:r>
        <w:rPr>
          <w:color w:val="231F20"/>
          <w:sz w:val="24"/>
        </w:rPr>
        <w:t>relating</w:t>
      </w:r>
      <w:r>
        <w:rPr>
          <w:color w:val="231F20"/>
          <w:spacing w:val="-11"/>
          <w:sz w:val="24"/>
        </w:rPr>
        <w:t xml:space="preserve"> </w:t>
      </w:r>
      <w:r>
        <w:rPr>
          <w:color w:val="231F20"/>
          <w:sz w:val="24"/>
        </w:rPr>
        <w:t>to</w:t>
      </w:r>
      <w:r>
        <w:rPr>
          <w:color w:val="231F20"/>
          <w:spacing w:val="-11"/>
          <w:sz w:val="24"/>
        </w:rPr>
        <w:t xml:space="preserve"> </w:t>
      </w:r>
      <w:r>
        <w:rPr>
          <w:color w:val="231F20"/>
          <w:sz w:val="24"/>
        </w:rPr>
        <w:t>Victoria</w:t>
      </w:r>
      <w:r>
        <w:rPr>
          <w:color w:val="231F20"/>
          <w:spacing w:val="-11"/>
          <w:sz w:val="24"/>
        </w:rPr>
        <w:t xml:space="preserve"> </w:t>
      </w:r>
      <w:r>
        <w:rPr>
          <w:color w:val="231F20"/>
          <w:sz w:val="24"/>
        </w:rPr>
        <w:t>Police’s obligations and responsibilities in the firearm retrieval process.</w:t>
      </w:r>
    </w:p>
    <w:p w14:paraId="0EA1643A" w14:textId="77777777" w:rsidR="00345EE3" w:rsidRDefault="00345EE3">
      <w:pPr>
        <w:pStyle w:val="ListParagraph"/>
        <w:numPr>
          <w:ilvl w:val="1"/>
          <w:numId w:val="52"/>
        </w:numPr>
        <w:tabs>
          <w:tab w:val="left" w:pos="393"/>
          <w:tab w:val="left" w:pos="394"/>
        </w:tabs>
        <w:spacing w:line="242" w:lineRule="auto"/>
        <w:ind w:right="1377"/>
        <w:rPr>
          <w:sz w:val="24"/>
        </w:rPr>
      </w:pPr>
      <w:r>
        <w:rPr>
          <w:color w:val="231F20"/>
          <w:sz w:val="24"/>
        </w:rPr>
        <w:t>Improvements</w:t>
      </w:r>
      <w:r>
        <w:rPr>
          <w:color w:val="231F20"/>
          <w:spacing w:val="-10"/>
          <w:sz w:val="24"/>
        </w:rPr>
        <w:t xml:space="preserve"> </w:t>
      </w:r>
      <w:r>
        <w:rPr>
          <w:color w:val="231F20"/>
          <w:sz w:val="24"/>
        </w:rPr>
        <w:t>are</w:t>
      </w:r>
      <w:r>
        <w:rPr>
          <w:color w:val="231F20"/>
          <w:spacing w:val="-11"/>
          <w:sz w:val="24"/>
        </w:rPr>
        <w:t xml:space="preserve"> </w:t>
      </w:r>
      <w:r>
        <w:rPr>
          <w:color w:val="231F20"/>
          <w:sz w:val="24"/>
        </w:rPr>
        <w:t>underway</w:t>
      </w:r>
      <w:r>
        <w:rPr>
          <w:color w:val="231F20"/>
          <w:spacing w:val="-10"/>
          <w:sz w:val="24"/>
        </w:rPr>
        <w:t xml:space="preserve"> </w:t>
      </w:r>
      <w:r>
        <w:rPr>
          <w:color w:val="231F20"/>
          <w:sz w:val="24"/>
        </w:rPr>
        <w:t>to</w:t>
      </w:r>
      <w:r>
        <w:rPr>
          <w:color w:val="231F20"/>
          <w:spacing w:val="-11"/>
          <w:sz w:val="24"/>
        </w:rPr>
        <w:t xml:space="preserve"> </w:t>
      </w:r>
      <w:r>
        <w:rPr>
          <w:color w:val="231F20"/>
          <w:sz w:val="24"/>
        </w:rPr>
        <w:t>streamline</w:t>
      </w:r>
      <w:r>
        <w:rPr>
          <w:color w:val="231F20"/>
          <w:spacing w:val="-11"/>
          <w:sz w:val="24"/>
        </w:rPr>
        <w:t xml:space="preserve"> </w:t>
      </w:r>
      <w:r>
        <w:rPr>
          <w:color w:val="231F20"/>
          <w:sz w:val="24"/>
        </w:rPr>
        <w:t>the</w:t>
      </w:r>
      <w:r>
        <w:rPr>
          <w:color w:val="231F20"/>
          <w:spacing w:val="-11"/>
          <w:sz w:val="24"/>
        </w:rPr>
        <w:t xml:space="preserve"> </w:t>
      </w:r>
      <w:r>
        <w:rPr>
          <w:color w:val="231F20"/>
          <w:sz w:val="24"/>
        </w:rPr>
        <w:t>tasking</w:t>
      </w:r>
      <w:r>
        <w:rPr>
          <w:color w:val="231F20"/>
          <w:spacing w:val="-11"/>
          <w:sz w:val="24"/>
        </w:rPr>
        <w:t xml:space="preserve"> </w:t>
      </w:r>
      <w:r>
        <w:rPr>
          <w:color w:val="231F20"/>
          <w:sz w:val="24"/>
        </w:rPr>
        <w:t>and</w:t>
      </w:r>
      <w:r>
        <w:rPr>
          <w:color w:val="231F20"/>
          <w:spacing w:val="-11"/>
          <w:sz w:val="24"/>
        </w:rPr>
        <w:t xml:space="preserve"> </w:t>
      </w:r>
      <w:r>
        <w:rPr>
          <w:color w:val="231F20"/>
          <w:sz w:val="24"/>
        </w:rPr>
        <w:t>reporting</w:t>
      </w:r>
      <w:r>
        <w:rPr>
          <w:color w:val="231F20"/>
          <w:spacing w:val="-11"/>
          <w:sz w:val="24"/>
        </w:rPr>
        <w:t xml:space="preserve"> </w:t>
      </w:r>
      <w:r>
        <w:rPr>
          <w:color w:val="231F20"/>
          <w:sz w:val="24"/>
        </w:rPr>
        <w:t>of</w:t>
      </w:r>
      <w:r>
        <w:rPr>
          <w:color w:val="231F20"/>
          <w:spacing w:val="-10"/>
          <w:sz w:val="24"/>
        </w:rPr>
        <w:t xml:space="preserve"> </w:t>
      </w:r>
      <w:r>
        <w:rPr>
          <w:color w:val="231F20"/>
          <w:sz w:val="24"/>
        </w:rPr>
        <w:t>storage</w:t>
      </w:r>
      <w:r>
        <w:rPr>
          <w:color w:val="231F20"/>
          <w:spacing w:val="-11"/>
          <w:sz w:val="24"/>
        </w:rPr>
        <w:t xml:space="preserve"> </w:t>
      </w:r>
      <w:r>
        <w:rPr>
          <w:color w:val="231F20"/>
          <w:sz w:val="24"/>
        </w:rPr>
        <w:t>inspection checks performed by Victoria Police. The updates to the process will also incorporate legislative</w:t>
      </w:r>
      <w:r>
        <w:rPr>
          <w:color w:val="231F20"/>
          <w:spacing w:val="-17"/>
          <w:sz w:val="24"/>
        </w:rPr>
        <w:t xml:space="preserve"> </w:t>
      </w:r>
      <w:r>
        <w:rPr>
          <w:color w:val="231F20"/>
          <w:sz w:val="24"/>
        </w:rPr>
        <w:t>change</w:t>
      </w:r>
      <w:r>
        <w:rPr>
          <w:color w:val="231F20"/>
          <w:spacing w:val="-17"/>
          <w:sz w:val="24"/>
        </w:rPr>
        <w:t xml:space="preserve"> </w:t>
      </w:r>
      <w:r>
        <w:rPr>
          <w:color w:val="231F20"/>
          <w:sz w:val="24"/>
        </w:rPr>
        <w:t>to</w:t>
      </w:r>
      <w:r>
        <w:rPr>
          <w:color w:val="231F20"/>
          <w:spacing w:val="-16"/>
          <w:sz w:val="24"/>
        </w:rPr>
        <w:t xml:space="preserve"> </w:t>
      </w:r>
      <w:r>
        <w:rPr>
          <w:color w:val="231F20"/>
          <w:sz w:val="24"/>
        </w:rPr>
        <w:t>the</w:t>
      </w:r>
      <w:r>
        <w:rPr>
          <w:color w:val="231F20"/>
          <w:spacing w:val="-14"/>
          <w:sz w:val="24"/>
        </w:rPr>
        <w:t xml:space="preserve"> </w:t>
      </w:r>
      <w:r>
        <w:rPr>
          <w:color w:val="231F20"/>
          <w:sz w:val="24"/>
        </w:rPr>
        <w:t>firearm</w:t>
      </w:r>
      <w:r>
        <w:rPr>
          <w:color w:val="231F20"/>
          <w:spacing w:val="-13"/>
          <w:sz w:val="24"/>
        </w:rPr>
        <w:t xml:space="preserve"> </w:t>
      </w:r>
      <w:r>
        <w:rPr>
          <w:color w:val="231F20"/>
          <w:sz w:val="24"/>
        </w:rPr>
        <w:t>storage</w:t>
      </w:r>
      <w:r>
        <w:rPr>
          <w:color w:val="231F20"/>
          <w:spacing w:val="-14"/>
          <w:sz w:val="24"/>
        </w:rPr>
        <w:t xml:space="preserve"> </w:t>
      </w:r>
      <w:r>
        <w:rPr>
          <w:color w:val="231F20"/>
          <w:sz w:val="24"/>
        </w:rPr>
        <w:t>requirements,</w:t>
      </w:r>
      <w:r>
        <w:rPr>
          <w:color w:val="231F20"/>
          <w:spacing w:val="-13"/>
          <w:sz w:val="24"/>
        </w:rPr>
        <w:t xml:space="preserve"> </w:t>
      </w:r>
      <w:r>
        <w:rPr>
          <w:color w:val="231F20"/>
          <w:sz w:val="24"/>
        </w:rPr>
        <w:t>as</w:t>
      </w:r>
      <w:r>
        <w:rPr>
          <w:color w:val="231F20"/>
          <w:spacing w:val="-13"/>
          <w:sz w:val="24"/>
        </w:rPr>
        <w:t xml:space="preserve"> </w:t>
      </w:r>
      <w:r>
        <w:rPr>
          <w:color w:val="231F20"/>
          <w:sz w:val="24"/>
        </w:rPr>
        <w:t>per</w:t>
      </w:r>
      <w:r>
        <w:rPr>
          <w:color w:val="231F20"/>
          <w:spacing w:val="-13"/>
          <w:sz w:val="24"/>
        </w:rPr>
        <w:t xml:space="preserve"> </w:t>
      </w:r>
      <w:r>
        <w:rPr>
          <w:color w:val="231F20"/>
          <w:sz w:val="24"/>
        </w:rPr>
        <w:t>the</w:t>
      </w:r>
      <w:r>
        <w:rPr>
          <w:color w:val="231F20"/>
          <w:spacing w:val="-14"/>
          <w:sz w:val="24"/>
        </w:rPr>
        <w:t xml:space="preserve"> </w:t>
      </w:r>
      <w:r>
        <w:rPr>
          <w:i/>
          <w:color w:val="231F20"/>
          <w:sz w:val="24"/>
        </w:rPr>
        <w:t>Firearms</w:t>
      </w:r>
      <w:r>
        <w:rPr>
          <w:i/>
          <w:color w:val="231F20"/>
          <w:spacing w:val="-17"/>
          <w:sz w:val="24"/>
        </w:rPr>
        <w:t xml:space="preserve"> </w:t>
      </w:r>
      <w:r>
        <w:rPr>
          <w:i/>
          <w:color w:val="231F20"/>
          <w:sz w:val="24"/>
        </w:rPr>
        <w:t>and</w:t>
      </w:r>
      <w:r>
        <w:rPr>
          <w:i/>
          <w:color w:val="231F20"/>
          <w:spacing w:val="-17"/>
          <w:sz w:val="24"/>
        </w:rPr>
        <w:t xml:space="preserve"> </w:t>
      </w:r>
      <w:r>
        <w:rPr>
          <w:i/>
          <w:color w:val="231F20"/>
          <w:sz w:val="24"/>
        </w:rPr>
        <w:t>other</w:t>
      </w:r>
      <w:r>
        <w:rPr>
          <w:i/>
          <w:color w:val="231F20"/>
          <w:spacing w:val="-16"/>
          <w:sz w:val="24"/>
        </w:rPr>
        <w:t xml:space="preserve"> </w:t>
      </w:r>
      <w:r>
        <w:rPr>
          <w:i/>
          <w:color w:val="231F20"/>
          <w:sz w:val="24"/>
        </w:rPr>
        <w:t>Acts Amendment</w:t>
      </w:r>
      <w:r>
        <w:rPr>
          <w:i/>
          <w:color w:val="231F20"/>
          <w:spacing w:val="-10"/>
          <w:sz w:val="24"/>
        </w:rPr>
        <w:t xml:space="preserve"> </w:t>
      </w:r>
      <w:r>
        <w:rPr>
          <w:i/>
          <w:color w:val="231F20"/>
          <w:sz w:val="24"/>
        </w:rPr>
        <w:t>Act</w:t>
      </w:r>
      <w:r>
        <w:rPr>
          <w:i/>
          <w:color w:val="231F20"/>
          <w:spacing w:val="-6"/>
          <w:sz w:val="24"/>
        </w:rPr>
        <w:t xml:space="preserve"> </w:t>
      </w:r>
      <w:r>
        <w:rPr>
          <w:color w:val="231F20"/>
          <w:sz w:val="24"/>
        </w:rPr>
        <w:t>2021.</w:t>
      </w:r>
      <w:r>
        <w:rPr>
          <w:color w:val="231F20"/>
          <w:spacing w:val="-1"/>
          <w:sz w:val="24"/>
        </w:rPr>
        <w:t xml:space="preserve"> </w:t>
      </w:r>
      <w:r>
        <w:rPr>
          <w:color w:val="231F20"/>
          <w:sz w:val="24"/>
        </w:rPr>
        <w:t>Both</w:t>
      </w:r>
      <w:r>
        <w:rPr>
          <w:color w:val="231F20"/>
          <w:spacing w:val="-2"/>
          <w:sz w:val="24"/>
        </w:rPr>
        <w:t xml:space="preserve"> </w:t>
      </w:r>
      <w:r>
        <w:rPr>
          <w:color w:val="231F20"/>
          <w:sz w:val="24"/>
        </w:rPr>
        <w:t>the</w:t>
      </w:r>
      <w:r>
        <w:rPr>
          <w:color w:val="231F20"/>
          <w:spacing w:val="-2"/>
          <w:sz w:val="24"/>
        </w:rPr>
        <w:t xml:space="preserve"> </w:t>
      </w:r>
      <w:r>
        <w:rPr>
          <w:color w:val="231F20"/>
          <w:sz w:val="24"/>
        </w:rPr>
        <w:t>review</w:t>
      </w:r>
      <w:r>
        <w:rPr>
          <w:color w:val="231F20"/>
          <w:spacing w:val="-2"/>
          <w:sz w:val="24"/>
        </w:rPr>
        <w:t xml:space="preserve"> </w:t>
      </w:r>
      <w:r>
        <w:rPr>
          <w:color w:val="231F20"/>
          <w:sz w:val="24"/>
        </w:rPr>
        <w:t>of</w:t>
      </w:r>
      <w:r>
        <w:rPr>
          <w:color w:val="231F20"/>
          <w:spacing w:val="-1"/>
          <w:sz w:val="24"/>
        </w:rPr>
        <w:t xml:space="preserve"> </w:t>
      </w:r>
      <w:r>
        <w:rPr>
          <w:color w:val="231F20"/>
          <w:sz w:val="24"/>
        </w:rPr>
        <w:t>the</w:t>
      </w:r>
      <w:r>
        <w:rPr>
          <w:color w:val="231F20"/>
          <w:spacing w:val="-2"/>
          <w:sz w:val="24"/>
        </w:rPr>
        <w:t xml:space="preserve"> </w:t>
      </w:r>
      <w:r>
        <w:rPr>
          <w:color w:val="231F20"/>
          <w:sz w:val="24"/>
        </w:rPr>
        <w:t>storage</w:t>
      </w:r>
      <w:r>
        <w:rPr>
          <w:color w:val="231F20"/>
          <w:spacing w:val="-2"/>
          <w:sz w:val="24"/>
        </w:rPr>
        <w:t xml:space="preserve"> </w:t>
      </w:r>
      <w:r>
        <w:rPr>
          <w:color w:val="231F20"/>
          <w:sz w:val="24"/>
        </w:rPr>
        <w:t>inspection</w:t>
      </w:r>
      <w:r>
        <w:rPr>
          <w:color w:val="231F20"/>
          <w:spacing w:val="-2"/>
          <w:sz w:val="24"/>
        </w:rPr>
        <w:t xml:space="preserve"> </w:t>
      </w:r>
      <w:r>
        <w:rPr>
          <w:color w:val="231F20"/>
          <w:sz w:val="24"/>
        </w:rPr>
        <w:t>process</w:t>
      </w:r>
      <w:r>
        <w:rPr>
          <w:color w:val="231F20"/>
          <w:spacing w:val="-1"/>
          <w:sz w:val="24"/>
        </w:rPr>
        <w:t xml:space="preserve"> </w:t>
      </w:r>
      <w:r>
        <w:rPr>
          <w:color w:val="231F20"/>
          <w:sz w:val="24"/>
        </w:rPr>
        <w:t>and</w:t>
      </w:r>
      <w:r>
        <w:rPr>
          <w:color w:val="231F20"/>
          <w:spacing w:val="-2"/>
          <w:sz w:val="24"/>
        </w:rPr>
        <w:t xml:space="preserve"> </w:t>
      </w:r>
      <w:r>
        <w:rPr>
          <w:color w:val="231F20"/>
          <w:sz w:val="24"/>
        </w:rPr>
        <w:t>legislative</w:t>
      </w:r>
    </w:p>
    <w:p w14:paraId="608EC548" w14:textId="77777777" w:rsidR="00345EE3" w:rsidRDefault="00345EE3" w:rsidP="00345EE3">
      <w:pPr>
        <w:spacing w:line="242" w:lineRule="auto"/>
        <w:rPr>
          <w:sz w:val="24"/>
        </w:rPr>
        <w:sectPr w:rsidR="00345EE3">
          <w:pgSz w:w="11910" w:h="16840"/>
          <w:pgMar w:top="700" w:right="0" w:bottom="280" w:left="740" w:header="720" w:footer="720" w:gutter="0"/>
          <w:cols w:space="720"/>
        </w:sectPr>
      </w:pPr>
    </w:p>
    <w:p w14:paraId="60334E8B" w14:textId="77777777" w:rsidR="00345EE3" w:rsidRDefault="00345EE3" w:rsidP="00345EE3">
      <w:pPr>
        <w:pStyle w:val="BodyText"/>
        <w:spacing w:before="62" w:line="242" w:lineRule="auto"/>
        <w:ind w:left="393" w:right="921"/>
      </w:pPr>
      <w:r>
        <w:rPr>
          <w:color w:val="231F20"/>
        </w:rPr>
        <w:t>changes</w:t>
      </w:r>
      <w:r>
        <w:rPr>
          <w:color w:val="231F20"/>
          <w:spacing w:val="-9"/>
        </w:rPr>
        <w:t xml:space="preserve"> </w:t>
      </w:r>
      <w:r>
        <w:rPr>
          <w:color w:val="231F20"/>
        </w:rPr>
        <w:t>will</w:t>
      </w:r>
      <w:r>
        <w:rPr>
          <w:color w:val="231F20"/>
          <w:spacing w:val="-10"/>
        </w:rPr>
        <w:t xml:space="preserve"> </w:t>
      </w:r>
      <w:r>
        <w:rPr>
          <w:color w:val="231F20"/>
        </w:rPr>
        <w:t>contribute</w:t>
      </w:r>
      <w:r>
        <w:rPr>
          <w:color w:val="231F20"/>
          <w:spacing w:val="-10"/>
        </w:rPr>
        <w:t xml:space="preserve"> </w:t>
      </w:r>
      <w:r>
        <w:rPr>
          <w:color w:val="231F20"/>
        </w:rPr>
        <w:t>to</w:t>
      </w:r>
      <w:r>
        <w:rPr>
          <w:color w:val="231F20"/>
          <w:spacing w:val="-10"/>
        </w:rPr>
        <w:t xml:space="preserve"> </w:t>
      </w:r>
      <w:r>
        <w:rPr>
          <w:color w:val="231F20"/>
        </w:rPr>
        <w:t>reducing</w:t>
      </w:r>
      <w:r>
        <w:rPr>
          <w:color w:val="231F20"/>
          <w:spacing w:val="-10"/>
        </w:rPr>
        <w:t xml:space="preserve"> </w:t>
      </w:r>
      <w:r>
        <w:rPr>
          <w:color w:val="231F20"/>
        </w:rPr>
        <w:t>the</w:t>
      </w:r>
      <w:r>
        <w:rPr>
          <w:color w:val="231F20"/>
          <w:spacing w:val="-10"/>
        </w:rPr>
        <w:t xml:space="preserve"> </w:t>
      </w:r>
      <w:r>
        <w:rPr>
          <w:color w:val="231F20"/>
        </w:rPr>
        <w:t>risks</w:t>
      </w:r>
      <w:r>
        <w:rPr>
          <w:color w:val="231F20"/>
          <w:spacing w:val="-9"/>
        </w:rPr>
        <w:t xml:space="preserve"> </w:t>
      </w:r>
      <w:r>
        <w:rPr>
          <w:color w:val="231F20"/>
        </w:rPr>
        <w:t>associated</w:t>
      </w:r>
      <w:r>
        <w:rPr>
          <w:color w:val="231F20"/>
          <w:spacing w:val="-10"/>
        </w:rPr>
        <w:t xml:space="preserve"> </w:t>
      </w:r>
      <w:r>
        <w:rPr>
          <w:color w:val="231F20"/>
        </w:rPr>
        <w:t>with</w:t>
      </w:r>
      <w:r>
        <w:rPr>
          <w:color w:val="231F20"/>
          <w:spacing w:val="-10"/>
        </w:rPr>
        <w:t xml:space="preserve"> </w:t>
      </w:r>
      <w:r>
        <w:rPr>
          <w:color w:val="231F20"/>
        </w:rPr>
        <w:t>non-compliant</w:t>
      </w:r>
      <w:r>
        <w:rPr>
          <w:color w:val="231F20"/>
          <w:spacing w:val="-9"/>
        </w:rPr>
        <w:t xml:space="preserve"> </w:t>
      </w:r>
      <w:r>
        <w:rPr>
          <w:color w:val="231F20"/>
        </w:rPr>
        <w:t>firearm</w:t>
      </w:r>
      <w:r>
        <w:rPr>
          <w:color w:val="231F20"/>
          <w:spacing w:val="-9"/>
        </w:rPr>
        <w:t xml:space="preserve"> </w:t>
      </w:r>
      <w:r>
        <w:rPr>
          <w:color w:val="231F20"/>
        </w:rPr>
        <w:t>storage and improve the firearm auditing process overall.</w:t>
      </w:r>
    </w:p>
    <w:p w14:paraId="2B592036" w14:textId="77777777" w:rsidR="00345EE3" w:rsidRDefault="00345EE3">
      <w:pPr>
        <w:pStyle w:val="ListParagraph"/>
        <w:numPr>
          <w:ilvl w:val="1"/>
          <w:numId w:val="52"/>
        </w:numPr>
        <w:tabs>
          <w:tab w:val="left" w:pos="393"/>
          <w:tab w:val="left" w:pos="394"/>
        </w:tabs>
        <w:spacing w:before="31" w:line="242" w:lineRule="auto"/>
        <w:ind w:right="1092"/>
        <w:rPr>
          <w:sz w:val="24"/>
        </w:rPr>
      </w:pPr>
      <w:r>
        <w:rPr>
          <w:color w:val="231F20"/>
          <w:sz w:val="24"/>
        </w:rPr>
        <w:t>LRD extended the period that a firearms licence renewal is issued to a licence holder from eight</w:t>
      </w:r>
      <w:r>
        <w:rPr>
          <w:color w:val="231F20"/>
          <w:spacing w:val="-1"/>
          <w:sz w:val="24"/>
        </w:rPr>
        <w:t xml:space="preserve"> </w:t>
      </w:r>
      <w:r>
        <w:rPr>
          <w:color w:val="231F20"/>
          <w:sz w:val="24"/>
        </w:rPr>
        <w:t>to</w:t>
      </w:r>
      <w:r>
        <w:rPr>
          <w:color w:val="231F20"/>
          <w:spacing w:val="-2"/>
          <w:sz w:val="24"/>
        </w:rPr>
        <w:t xml:space="preserve"> </w:t>
      </w:r>
      <w:r>
        <w:rPr>
          <w:color w:val="231F20"/>
          <w:sz w:val="24"/>
        </w:rPr>
        <w:t>12</w:t>
      </w:r>
      <w:r>
        <w:rPr>
          <w:color w:val="231F20"/>
          <w:spacing w:val="-2"/>
          <w:sz w:val="24"/>
        </w:rPr>
        <w:t xml:space="preserve"> </w:t>
      </w:r>
      <w:r>
        <w:rPr>
          <w:color w:val="231F20"/>
          <w:sz w:val="24"/>
        </w:rPr>
        <w:t>weeks</w:t>
      </w:r>
      <w:r>
        <w:rPr>
          <w:color w:val="231F20"/>
          <w:spacing w:val="-1"/>
          <w:sz w:val="24"/>
        </w:rPr>
        <w:t xml:space="preserve"> </w:t>
      </w:r>
      <w:r>
        <w:rPr>
          <w:color w:val="231F20"/>
          <w:sz w:val="24"/>
        </w:rPr>
        <w:t>prior</w:t>
      </w:r>
      <w:r>
        <w:rPr>
          <w:color w:val="231F20"/>
          <w:spacing w:val="-1"/>
          <w:sz w:val="24"/>
        </w:rPr>
        <w:t xml:space="preserve"> </w:t>
      </w:r>
      <w:r>
        <w:rPr>
          <w:color w:val="231F20"/>
          <w:sz w:val="24"/>
        </w:rPr>
        <w:t>to</w:t>
      </w:r>
      <w:r>
        <w:rPr>
          <w:color w:val="231F20"/>
          <w:spacing w:val="-2"/>
          <w:sz w:val="24"/>
        </w:rPr>
        <w:t xml:space="preserve"> </w:t>
      </w:r>
      <w:r>
        <w:rPr>
          <w:color w:val="231F20"/>
          <w:sz w:val="24"/>
        </w:rPr>
        <w:t>licence</w:t>
      </w:r>
      <w:r>
        <w:rPr>
          <w:color w:val="231F20"/>
          <w:spacing w:val="-2"/>
          <w:sz w:val="24"/>
        </w:rPr>
        <w:t xml:space="preserve"> </w:t>
      </w:r>
      <w:r>
        <w:rPr>
          <w:color w:val="231F20"/>
          <w:sz w:val="24"/>
        </w:rPr>
        <w:t>expiry.</w:t>
      </w:r>
      <w:r>
        <w:rPr>
          <w:color w:val="231F20"/>
          <w:spacing w:val="-1"/>
          <w:sz w:val="24"/>
        </w:rPr>
        <w:t xml:space="preserve"> </w:t>
      </w:r>
      <w:r>
        <w:rPr>
          <w:color w:val="231F20"/>
          <w:sz w:val="24"/>
        </w:rPr>
        <w:t>This</w:t>
      </w:r>
      <w:r>
        <w:rPr>
          <w:color w:val="231F20"/>
          <w:spacing w:val="-1"/>
          <w:sz w:val="24"/>
        </w:rPr>
        <w:t xml:space="preserve"> </w:t>
      </w:r>
      <w:r>
        <w:rPr>
          <w:color w:val="231F20"/>
          <w:sz w:val="24"/>
        </w:rPr>
        <w:t>change</w:t>
      </w:r>
      <w:r>
        <w:rPr>
          <w:color w:val="231F20"/>
          <w:spacing w:val="-2"/>
          <w:sz w:val="24"/>
        </w:rPr>
        <w:t xml:space="preserve"> </w:t>
      </w:r>
      <w:r>
        <w:rPr>
          <w:color w:val="231F20"/>
          <w:sz w:val="24"/>
        </w:rPr>
        <w:t>will</w:t>
      </w:r>
      <w:r>
        <w:rPr>
          <w:color w:val="231F20"/>
          <w:spacing w:val="-2"/>
          <w:sz w:val="24"/>
        </w:rPr>
        <w:t xml:space="preserve"> </w:t>
      </w:r>
      <w:r>
        <w:rPr>
          <w:color w:val="231F20"/>
          <w:sz w:val="24"/>
        </w:rPr>
        <w:t>benefit</w:t>
      </w:r>
      <w:r>
        <w:rPr>
          <w:color w:val="231F20"/>
          <w:spacing w:val="-1"/>
          <w:sz w:val="24"/>
        </w:rPr>
        <w:t xml:space="preserve"> </w:t>
      </w:r>
      <w:r>
        <w:rPr>
          <w:color w:val="231F20"/>
          <w:sz w:val="24"/>
        </w:rPr>
        <w:t>licence</w:t>
      </w:r>
      <w:r>
        <w:rPr>
          <w:color w:val="231F20"/>
          <w:spacing w:val="-2"/>
          <w:sz w:val="24"/>
        </w:rPr>
        <w:t xml:space="preserve"> </w:t>
      </w:r>
      <w:r>
        <w:rPr>
          <w:color w:val="231F20"/>
          <w:sz w:val="24"/>
        </w:rPr>
        <w:t>holders</w:t>
      </w:r>
      <w:r>
        <w:rPr>
          <w:color w:val="231F20"/>
          <w:spacing w:val="-1"/>
          <w:sz w:val="24"/>
        </w:rPr>
        <w:t xml:space="preserve"> </w:t>
      </w:r>
      <w:r>
        <w:rPr>
          <w:color w:val="231F20"/>
          <w:sz w:val="24"/>
        </w:rPr>
        <w:t>to</w:t>
      </w:r>
      <w:r>
        <w:rPr>
          <w:color w:val="231F20"/>
          <w:spacing w:val="-2"/>
          <w:sz w:val="24"/>
        </w:rPr>
        <w:t xml:space="preserve"> </w:t>
      </w:r>
      <w:r>
        <w:rPr>
          <w:color w:val="231F20"/>
          <w:sz w:val="24"/>
        </w:rPr>
        <w:t>prepare their</w:t>
      </w:r>
      <w:r>
        <w:rPr>
          <w:color w:val="231F20"/>
          <w:spacing w:val="-8"/>
          <w:sz w:val="24"/>
        </w:rPr>
        <w:t xml:space="preserve"> </w:t>
      </w:r>
      <w:r>
        <w:rPr>
          <w:color w:val="231F20"/>
          <w:sz w:val="24"/>
        </w:rPr>
        <w:t>renewal</w:t>
      </w:r>
      <w:r>
        <w:rPr>
          <w:color w:val="231F20"/>
          <w:spacing w:val="-9"/>
          <w:sz w:val="24"/>
        </w:rPr>
        <w:t xml:space="preserve"> </w:t>
      </w:r>
      <w:r>
        <w:rPr>
          <w:color w:val="231F20"/>
          <w:sz w:val="24"/>
        </w:rPr>
        <w:t>application</w:t>
      </w:r>
      <w:r>
        <w:rPr>
          <w:color w:val="231F20"/>
          <w:spacing w:val="-9"/>
          <w:sz w:val="24"/>
        </w:rPr>
        <w:t xml:space="preserve"> </w:t>
      </w:r>
      <w:r>
        <w:rPr>
          <w:color w:val="231F20"/>
          <w:sz w:val="24"/>
        </w:rPr>
        <w:t>and</w:t>
      </w:r>
      <w:r>
        <w:rPr>
          <w:color w:val="231F20"/>
          <w:spacing w:val="-9"/>
          <w:sz w:val="24"/>
        </w:rPr>
        <w:t xml:space="preserve"> </w:t>
      </w:r>
      <w:r>
        <w:rPr>
          <w:color w:val="231F20"/>
          <w:sz w:val="24"/>
        </w:rPr>
        <w:t>for</w:t>
      </w:r>
      <w:r>
        <w:rPr>
          <w:color w:val="231F20"/>
          <w:spacing w:val="-8"/>
          <w:sz w:val="24"/>
        </w:rPr>
        <w:t xml:space="preserve"> </w:t>
      </w:r>
      <w:r>
        <w:rPr>
          <w:color w:val="231F20"/>
          <w:sz w:val="24"/>
        </w:rPr>
        <w:t>LRD</w:t>
      </w:r>
      <w:r>
        <w:rPr>
          <w:color w:val="231F20"/>
          <w:spacing w:val="-9"/>
          <w:sz w:val="24"/>
        </w:rPr>
        <w:t xml:space="preserve"> </w:t>
      </w:r>
      <w:r>
        <w:rPr>
          <w:color w:val="231F20"/>
          <w:sz w:val="24"/>
        </w:rPr>
        <w:t>to</w:t>
      </w:r>
      <w:r>
        <w:rPr>
          <w:color w:val="231F20"/>
          <w:spacing w:val="-9"/>
          <w:sz w:val="24"/>
        </w:rPr>
        <w:t xml:space="preserve"> </w:t>
      </w:r>
      <w:r>
        <w:rPr>
          <w:color w:val="231F20"/>
          <w:sz w:val="24"/>
        </w:rPr>
        <w:t>process</w:t>
      </w:r>
      <w:r>
        <w:rPr>
          <w:color w:val="231F20"/>
          <w:spacing w:val="-8"/>
          <w:sz w:val="24"/>
        </w:rPr>
        <w:t xml:space="preserve"> </w:t>
      </w:r>
      <w:r>
        <w:rPr>
          <w:color w:val="231F20"/>
          <w:sz w:val="24"/>
        </w:rPr>
        <w:t>renewals</w:t>
      </w:r>
      <w:r>
        <w:rPr>
          <w:color w:val="231F20"/>
          <w:spacing w:val="-8"/>
          <w:sz w:val="24"/>
        </w:rPr>
        <w:t xml:space="preserve"> </w:t>
      </w:r>
      <w:r>
        <w:rPr>
          <w:color w:val="231F20"/>
          <w:sz w:val="24"/>
        </w:rPr>
        <w:t>or</w:t>
      </w:r>
      <w:r>
        <w:rPr>
          <w:color w:val="231F20"/>
          <w:spacing w:val="-8"/>
          <w:sz w:val="24"/>
        </w:rPr>
        <w:t xml:space="preserve"> </w:t>
      </w:r>
      <w:r>
        <w:rPr>
          <w:color w:val="231F20"/>
          <w:sz w:val="24"/>
        </w:rPr>
        <w:t>undertake</w:t>
      </w:r>
      <w:r>
        <w:rPr>
          <w:color w:val="231F20"/>
          <w:spacing w:val="-9"/>
          <w:sz w:val="24"/>
        </w:rPr>
        <w:t xml:space="preserve"> </w:t>
      </w:r>
      <w:r>
        <w:rPr>
          <w:color w:val="231F20"/>
          <w:sz w:val="24"/>
        </w:rPr>
        <w:t>enquiries</w:t>
      </w:r>
      <w:r>
        <w:rPr>
          <w:color w:val="231F20"/>
          <w:spacing w:val="-8"/>
          <w:sz w:val="24"/>
        </w:rPr>
        <w:t xml:space="preserve"> </w:t>
      </w:r>
      <w:r>
        <w:rPr>
          <w:color w:val="231F20"/>
          <w:sz w:val="24"/>
        </w:rPr>
        <w:t>in</w:t>
      </w:r>
      <w:r>
        <w:rPr>
          <w:color w:val="231F20"/>
          <w:spacing w:val="-9"/>
          <w:sz w:val="24"/>
        </w:rPr>
        <w:t xml:space="preserve"> </w:t>
      </w:r>
      <w:r>
        <w:rPr>
          <w:color w:val="231F20"/>
          <w:sz w:val="24"/>
        </w:rPr>
        <w:t>a</w:t>
      </w:r>
      <w:r>
        <w:rPr>
          <w:color w:val="231F20"/>
          <w:spacing w:val="-9"/>
          <w:sz w:val="24"/>
        </w:rPr>
        <w:t xml:space="preserve"> </w:t>
      </w:r>
      <w:r>
        <w:rPr>
          <w:color w:val="231F20"/>
          <w:sz w:val="24"/>
        </w:rPr>
        <w:t xml:space="preserve">timely </w:t>
      </w:r>
      <w:r>
        <w:rPr>
          <w:color w:val="231F20"/>
          <w:spacing w:val="-2"/>
          <w:sz w:val="24"/>
        </w:rPr>
        <w:t>manner.</w:t>
      </w:r>
    </w:p>
    <w:p w14:paraId="153578CF" w14:textId="77777777" w:rsidR="00345EE3" w:rsidRDefault="00345EE3">
      <w:pPr>
        <w:pStyle w:val="ListParagraph"/>
        <w:numPr>
          <w:ilvl w:val="1"/>
          <w:numId w:val="52"/>
        </w:numPr>
        <w:tabs>
          <w:tab w:val="left" w:pos="393"/>
          <w:tab w:val="left" w:pos="394"/>
        </w:tabs>
        <w:spacing w:before="33" w:line="242" w:lineRule="auto"/>
        <w:ind w:right="1029"/>
        <w:rPr>
          <w:sz w:val="24"/>
        </w:rPr>
      </w:pPr>
      <w:r>
        <w:rPr>
          <w:color w:val="231F20"/>
          <w:sz w:val="24"/>
        </w:rPr>
        <w:t>Review</w:t>
      </w:r>
      <w:r>
        <w:rPr>
          <w:color w:val="231F20"/>
          <w:spacing w:val="-10"/>
          <w:sz w:val="24"/>
        </w:rPr>
        <w:t xml:space="preserve"> </w:t>
      </w:r>
      <w:r>
        <w:rPr>
          <w:color w:val="231F20"/>
          <w:sz w:val="24"/>
        </w:rPr>
        <w:t>of</w:t>
      </w:r>
      <w:r>
        <w:rPr>
          <w:color w:val="231F20"/>
          <w:spacing w:val="-9"/>
          <w:sz w:val="24"/>
        </w:rPr>
        <w:t xml:space="preserve"> </w:t>
      </w:r>
      <w:r>
        <w:rPr>
          <w:color w:val="231F20"/>
          <w:sz w:val="24"/>
        </w:rPr>
        <w:t>the</w:t>
      </w:r>
      <w:r>
        <w:rPr>
          <w:color w:val="231F20"/>
          <w:spacing w:val="-10"/>
          <w:sz w:val="24"/>
        </w:rPr>
        <w:t xml:space="preserve"> </w:t>
      </w:r>
      <w:r>
        <w:rPr>
          <w:color w:val="231F20"/>
          <w:sz w:val="24"/>
        </w:rPr>
        <w:t>LRD</w:t>
      </w:r>
      <w:r>
        <w:rPr>
          <w:color w:val="231F20"/>
          <w:spacing w:val="-10"/>
          <w:sz w:val="24"/>
        </w:rPr>
        <w:t xml:space="preserve"> </w:t>
      </w:r>
      <w:r>
        <w:rPr>
          <w:color w:val="231F20"/>
          <w:sz w:val="24"/>
        </w:rPr>
        <w:t>website</w:t>
      </w:r>
      <w:r>
        <w:rPr>
          <w:color w:val="231F20"/>
          <w:spacing w:val="-10"/>
          <w:sz w:val="24"/>
        </w:rPr>
        <w:t xml:space="preserve"> </w:t>
      </w:r>
      <w:r>
        <w:rPr>
          <w:color w:val="231F20"/>
          <w:sz w:val="24"/>
        </w:rPr>
        <w:t>content</w:t>
      </w:r>
      <w:r>
        <w:rPr>
          <w:color w:val="231F20"/>
          <w:spacing w:val="-9"/>
          <w:sz w:val="24"/>
        </w:rPr>
        <w:t xml:space="preserve"> </w:t>
      </w:r>
      <w:r>
        <w:rPr>
          <w:color w:val="231F20"/>
          <w:sz w:val="24"/>
        </w:rPr>
        <w:t>has</w:t>
      </w:r>
      <w:r>
        <w:rPr>
          <w:color w:val="231F20"/>
          <w:spacing w:val="-9"/>
          <w:sz w:val="24"/>
        </w:rPr>
        <w:t xml:space="preserve"> </w:t>
      </w:r>
      <w:r>
        <w:rPr>
          <w:color w:val="231F20"/>
          <w:sz w:val="24"/>
        </w:rPr>
        <w:t>commenced</w:t>
      </w:r>
      <w:r>
        <w:rPr>
          <w:color w:val="231F20"/>
          <w:spacing w:val="-10"/>
          <w:sz w:val="24"/>
        </w:rPr>
        <w:t xml:space="preserve"> </w:t>
      </w:r>
      <w:r>
        <w:rPr>
          <w:color w:val="231F20"/>
          <w:sz w:val="24"/>
        </w:rPr>
        <w:t>to</w:t>
      </w:r>
      <w:r>
        <w:rPr>
          <w:color w:val="231F20"/>
          <w:spacing w:val="-10"/>
          <w:sz w:val="24"/>
        </w:rPr>
        <w:t xml:space="preserve"> </w:t>
      </w:r>
      <w:r>
        <w:rPr>
          <w:color w:val="231F20"/>
          <w:sz w:val="24"/>
        </w:rPr>
        <w:t>improve</w:t>
      </w:r>
      <w:r>
        <w:rPr>
          <w:color w:val="231F20"/>
          <w:spacing w:val="-10"/>
          <w:sz w:val="24"/>
        </w:rPr>
        <w:t xml:space="preserve"> </w:t>
      </w:r>
      <w:r>
        <w:rPr>
          <w:color w:val="231F20"/>
          <w:sz w:val="24"/>
        </w:rPr>
        <w:t>and</w:t>
      </w:r>
      <w:r>
        <w:rPr>
          <w:color w:val="231F20"/>
          <w:spacing w:val="-10"/>
          <w:sz w:val="24"/>
        </w:rPr>
        <w:t xml:space="preserve"> </w:t>
      </w:r>
      <w:r>
        <w:rPr>
          <w:color w:val="231F20"/>
          <w:sz w:val="24"/>
        </w:rPr>
        <w:t>update</w:t>
      </w:r>
      <w:r>
        <w:rPr>
          <w:color w:val="231F20"/>
          <w:spacing w:val="-10"/>
          <w:sz w:val="24"/>
        </w:rPr>
        <w:t xml:space="preserve"> </w:t>
      </w:r>
      <w:r>
        <w:rPr>
          <w:color w:val="231F20"/>
          <w:sz w:val="24"/>
        </w:rPr>
        <w:t>accessibility</w:t>
      </w:r>
      <w:r>
        <w:rPr>
          <w:color w:val="231F20"/>
          <w:spacing w:val="-9"/>
          <w:sz w:val="24"/>
        </w:rPr>
        <w:t xml:space="preserve"> </w:t>
      </w:r>
      <w:r>
        <w:rPr>
          <w:color w:val="231F20"/>
          <w:sz w:val="24"/>
        </w:rPr>
        <w:t>and content considering the needs of diverse audience.</w:t>
      </w:r>
    </w:p>
    <w:p w14:paraId="3F6851B9" w14:textId="77777777" w:rsidR="00345EE3" w:rsidRDefault="00345EE3" w:rsidP="00345EE3">
      <w:pPr>
        <w:spacing w:before="212" w:line="261" w:lineRule="auto"/>
        <w:ind w:left="110" w:right="1764"/>
        <w:rPr>
          <w:sz w:val="24"/>
        </w:rPr>
      </w:pPr>
      <w:r>
        <w:rPr>
          <w:b/>
          <w:color w:val="3D68AD"/>
          <w:sz w:val="28"/>
        </w:rPr>
        <w:t>Regulating the Firearms, Weapons and Private Security Industries</w:t>
      </w:r>
      <w:r>
        <w:rPr>
          <w:b/>
          <w:color w:val="3D68AD"/>
          <w:spacing w:val="40"/>
          <w:sz w:val="28"/>
        </w:rPr>
        <w:t xml:space="preserve"> </w:t>
      </w:r>
      <w:r>
        <w:rPr>
          <w:color w:val="231F20"/>
          <w:sz w:val="24"/>
        </w:rPr>
        <w:t>Like</w:t>
      </w:r>
      <w:r>
        <w:rPr>
          <w:color w:val="231F20"/>
          <w:spacing w:val="-12"/>
          <w:sz w:val="24"/>
        </w:rPr>
        <w:t xml:space="preserve"> </w:t>
      </w:r>
      <w:r>
        <w:rPr>
          <w:color w:val="231F20"/>
          <w:sz w:val="24"/>
        </w:rPr>
        <w:t>many</w:t>
      </w:r>
      <w:r>
        <w:rPr>
          <w:color w:val="231F20"/>
          <w:spacing w:val="-11"/>
          <w:sz w:val="24"/>
        </w:rPr>
        <w:t xml:space="preserve"> </w:t>
      </w:r>
      <w:r>
        <w:rPr>
          <w:color w:val="231F20"/>
          <w:sz w:val="24"/>
        </w:rPr>
        <w:t>other</w:t>
      </w:r>
      <w:r>
        <w:rPr>
          <w:color w:val="231F20"/>
          <w:spacing w:val="-11"/>
          <w:sz w:val="24"/>
        </w:rPr>
        <w:t xml:space="preserve"> </w:t>
      </w:r>
      <w:r>
        <w:rPr>
          <w:color w:val="231F20"/>
          <w:sz w:val="24"/>
        </w:rPr>
        <w:t>regulatory</w:t>
      </w:r>
      <w:r>
        <w:rPr>
          <w:color w:val="231F20"/>
          <w:spacing w:val="-11"/>
          <w:sz w:val="24"/>
        </w:rPr>
        <w:t xml:space="preserve"> </w:t>
      </w:r>
      <w:r>
        <w:rPr>
          <w:color w:val="231F20"/>
          <w:sz w:val="24"/>
        </w:rPr>
        <w:t>bodies</w:t>
      </w:r>
      <w:r>
        <w:rPr>
          <w:color w:val="231F20"/>
          <w:spacing w:val="-11"/>
          <w:sz w:val="24"/>
        </w:rPr>
        <w:t xml:space="preserve"> </w:t>
      </w:r>
      <w:r>
        <w:rPr>
          <w:color w:val="231F20"/>
          <w:sz w:val="24"/>
        </w:rPr>
        <w:t>across</w:t>
      </w:r>
      <w:r>
        <w:rPr>
          <w:color w:val="231F20"/>
          <w:spacing w:val="-11"/>
          <w:sz w:val="24"/>
        </w:rPr>
        <w:t xml:space="preserve"> </w:t>
      </w:r>
      <w:r>
        <w:rPr>
          <w:color w:val="231F20"/>
          <w:sz w:val="24"/>
        </w:rPr>
        <w:t>Australia,</w:t>
      </w:r>
      <w:r>
        <w:rPr>
          <w:color w:val="231F20"/>
          <w:spacing w:val="-11"/>
          <w:sz w:val="24"/>
        </w:rPr>
        <w:t xml:space="preserve"> </w:t>
      </w:r>
      <w:r>
        <w:rPr>
          <w:color w:val="231F20"/>
          <w:sz w:val="24"/>
        </w:rPr>
        <w:t>Victoria</w:t>
      </w:r>
      <w:r>
        <w:rPr>
          <w:color w:val="231F20"/>
          <w:spacing w:val="-12"/>
          <w:sz w:val="24"/>
        </w:rPr>
        <w:t xml:space="preserve"> </w:t>
      </w:r>
      <w:r>
        <w:rPr>
          <w:color w:val="231F20"/>
          <w:sz w:val="24"/>
        </w:rPr>
        <w:t>Police</w:t>
      </w:r>
      <w:r>
        <w:rPr>
          <w:color w:val="231F20"/>
          <w:spacing w:val="-12"/>
          <w:sz w:val="24"/>
        </w:rPr>
        <w:t xml:space="preserve"> </w:t>
      </w:r>
      <w:r>
        <w:rPr>
          <w:color w:val="231F20"/>
          <w:sz w:val="24"/>
        </w:rPr>
        <w:t>employs</w:t>
      </w:r>
      <w:r>
        <w:rPr>
          <w:color w:val="231F20"/>
          <w:spacing w:val="-11"/>
          <w:sz w:val="24"/>
        </w:rPr>
        <w:t xml:space="preserve"> </w:t>
      </w:r>
      <w:r>
        <w:rPr>
          <w:color w:val="231F20"/>
          <w:sz w:val="24"/>
        </w:rPr>
        <w:t>a</w:t>
      </w:r>
      <w:r>
        <w:rPr>
          <w:color w:val="231F20"/>
          <w:spacing w:val="-12"/>
          <w:sz w:val="24"/>
        </w:rPr>
        <w:t xml:space="preserve"> </w:t>
      </w:r>
      <w:r>
        <w:rPr>
          <w:color w:val="231F20"/>
          <w:sz w:val="24"/>
        </w:rPr>
        <w:t>risk-based compliance model in its role as regulator of the firearms, weapons and private security</w:t>
      </w:r>
    </w:p>
    <w:p w14:paraId="20140CB6" w14:textId="77777777" w:rsidR="00345EE3" w:rsidRDefault="00345EE3" w:rsidP="00345EE3">
      <w:pPr>
        <w:pStyle w:val="BodyText"/>
        <w:spacing w:line="258" w:lineRule="exact"/>
      </w:pPr>
      <w:r>
        <w:rPr>
          <w:color w:val="231F20"/>
        </w:rPr>
        <w:t>industries.</w:t>
      </w:r>
      <w:r>
        <w:rPr>
          <w:color w:val="231F20"/>
          <w:spacing w:val="-11"/>
        </w:rPr>
        <w:t xml:space="preserve"> </w:t>
      </w:r>
      <w:r>
        <w:rPr>
          <w:color w:val="231F20"/>
        </w:rPr>
        <w:t>This</w:t>
      </w:r>
      <w:r>
        <w:rPr>
          <w:color w:val="231F20"/>
          <w:spacing w:val="-9"/>
        </w:rPr>
        <w:t xml:space="preserve"> </w:t>
      </w:r>
      <w:r>
        <w:rPr>
          <w:color w:val="231F20"/>
        </w:rPr>
        <w:t>achieves</w:t>
      </w:r>
      <w:r>
        <w:rPr>
          <w:color w:val="231F20"/>
          <w:spacing w:val="-9"/>
        </w:rPr>
        <w:t xml:space="preserve"> </w:t>
      </w:r>
      <w:r>
        <w:rPr>
          <w:color w:val="231F20"/>
        </w:rPr>
        <w:t>good</w:t>
      </w:r>
      <w:r>
        <w:rPr>
          <w:color w:val="231F20"/>
          <w:spacing w:val="-10"/>
        </w:rPr>
        <w:t xml:space="preserve"> </w:t>
      </w:r>
      <w:r>
        <w:rPr>
          <w:color w:val="231F20"/>
        </w:rPr>
        <w:t>public</w:t>
      </w:r>
      <w:r>
        <w:rPr>
          <w:color w:val="231F20"/>
          <w:spacing w:val="-9"/>
        </w:rPr>
        <w:t xml:space="preserve"> </w:t>
      </w:r>
      <w:r>
        <w:rPr>
          <w:color w:val="231F20"/>
        </w:rPr>
        <w:t>policy</w:t>
      </w:r>
      <w:r>
        <w:rPr>
          <w:color w:val="231F20"/>
          <w:spacing w:val="-9"/>
        </w:rPr>
        <w:t xml:space="preserve"> </w:t>
      </w:r>
      <w:r>
        <w:rPr>
          <w:color w:val="231F20"/>
        </w:rPr>
        <w:t>that</w:t>
      </w:r>
      <w:r>
        <w:rPr>
          <w:color w:val="231F20"/>
          <w:spacing w:val="-9"/>
        </w:rPr>
        <w:t xml:space="preserve"> </w:t>
      </w:r>
      <w:r>
        <w:rPr>
          <w:color w:val="231F20"/>
        </w:rPr>
        <w:t>ensures</w:t>
      </w:r>
      <w:r>
        <w:rPr>
          <w:color w:val="231F20"/>
          <w:spacing w:val="-8"/>
        </w:rPr>
        <w:t xml:space="preserve"> </w:t>
      </w:r>
      <w:r>
        <w:rPr>
          <w:color w:val="231F20"/>
        </w:rPr>
        <w:t>public</w:t>
      </w:r>
      <w:r>
        <w:rPr>
          <w:color w:val="231F20"/>
          <w:spacing w:val="-9"/>
        </w:rPr>
        <w:t xml:space="preserve"> </w:t>
      </w:r>
      <w:r>
        <w:rPr>
          <w:color w:val="231F20"/>
        </w:rPr>
        <w:t>safety</w:t>
      </w:r>
      <w:r>
        <w:rPr>
          <w:color w:val="231F20"/>
          <w:spacing w:val="-9"/>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integrity</w:t>
      </w:r>
      <w:r>
        <w:rPr>
          <w:color w:val="231F20"/>
          <w:spacing w:val="-9"/>
        </w:rPr>
        <w:t xml:space="preserve"> </w:t>
      </w:r>
      <w:r>
        <w:rPr>
          <w:color w:val="231F20"/>
        </w:rPr>
        <w:t>of</w:t>
      </w:r>
      <w:r>
        <w:rPr>
          <w:color w:val="231F20"/>
          <w:spacing w:val="-8"/>
        </w:rPr>
        <w:t xml:space="preserve"> </w:t>
      </w:r>
      <w:r>
        <w:rPr>
          <w:color w:val="231F20"/>
          <w:spacing w:val="-5"/>
        </w:rPr>
        <w:t>the</w:t>
      </w:r>
    </w:p>
    <w:p w14:paraId="3C38682D" w14:textId="77777777" w:rsidR="00345EE3" w:rsidRDefault="00345EE3" w:rsidP="00345EE3">
      <w:pPr>
        <w:pStyle w:val="BodyText"/>
        <w:spacing w:before="4"/>
      </w:pPr>
      <w:r>
        <w:rPr>
          <w:color w:val="231F20"/>
        </w:rPr>
        <w:t>firearms,</w:t>
      </w:r>
      <w:r>
        <w:rPr>
          <w:color w:val="231F20"/>
          <w:spacing w:val="-12"/>
        </w:rPr>
        <w:t xml:space="preserve"> </w:t>
      </w:r>
      <w:r>
        <w:rPr>
          <w:color w:val="231F20"/>
        </w:rPr>
        <w:t>weapons</w:t>
      </w:r>
      <w:r>
        <w:rPr>
          <w:color w:val="231F20"/>
          <w:spacing w:val="-9"/>
        </w:rPr>
        <w:t xml:space="preserve"> </w:t>
      </w:r>
      <w:r>
        <w:rPr>
          <w:color w:val="231F20"/>
        </w:rPr>
        <w:t>and</w:t>
      </w:r>
      <w:r>
        <w:rPr>
          <w:color w:val="231F20"/>
          <w:spacing w:val="-11"/>
        </w:rPr>
        <w:t xml:space="preserve"> </w:t>
      </w:r>
      <w:r>
        <w:rPr>
          <w:color w:val="231F20"/>
        </w:rPr>
        <w:t>private</w:t>
      </w:r>
      <w:r>
        <w:rPr>
          <w:color w:val="231F20"/>
          <w:spacing w:val="-10"/>
        </w:rPr>
        <w:t xml:space="preserve"> </w:t>
      </w:r>
      <w:r>
        <w:rPr>
          <w:color w:val="231F20"/>
        </w:rPr>
        <w:t>security</w:t>
      </w:r>
      <w:r>
        <w:rPr>
          <w:color w:val="231F20"/>
          <w:spacing w:val="-9"/>
        </w:rPr>
        <w:t xml:space="preserve"> </w:t>
      </w:r>
      <w:r>
        <w:rPr>
          <w:color w:val="231F20"/>
        </w:rPr>
        <w:t>licensing</w:t>
      </w:r>
      <w:r>
        <w:rPr>
          <w:color w:val="231F20"/>
          <w:spacing w:val="-10"/>
        </w:rPr>
        <w:t xml:space="preserve"> </w:t>
      </w:r>
      <w:r>
        <w:rPr>
          <w:color w:val="231F20"/>
          <w:spacing w:val="-2"/>
        </w:rPr>
        <w:t>regime.</w:t>
      </w:r>
    </w:p>
    <w:p w14:paraId="5B0159D1" w14:textId="77777777" w:rsidR="00345EE3" w:rsidRDefault="00345EE3" w:rsidP="00345EE3">
      <w:pPr>
        <w:pStyle w:val="BodyText"/>
        <w:spacing w:before="117" w:line="242" w:lineRule="auto"/>
        <w:ind w:right="921"/>
      </w:pPr>
      <w:r>
        <w:rPr>
          <w:color w:val="231F20"/>
        </w:rPr>
        <w:t>As</w:t>
      </w:r>
      <w:r>
        <w:rPr>
          <w:color w:val="231F20"/>
          <w:spacing w:val="-9"/>
        </w:rPr>
        <w:t xml:space="preserve"> </w:t>
      </w:r>
      <w:r>
        <w:rPr>
          <w:color w:val="231F20"/>
        </w:rPr>
        <w:t>the</w:t>
      </w:r>
      <w:r>
        <w:rPr>
          <w:color w:val="231F20"/>
          <w:spacing w:val="-10"/>
        </w:rPr>
        <w:t xml:space="preserve"> </w:t>
      </w:r>
      <w:r>
        <w:rPr>
          <w:color w:val="231F20"/>
        </w:rPr>
        <w:t>regulator</w:t>
      </w:r>
      <w:r>
        <w:rPr>
          <w:color w:val="231F20"/>
          <w:spacing w:val="-9"/>
        </w:rPr>
        <w:t xml:space="preserve"> </w:t>
      </w:r>
      <w:r>
        <w:rPr>
          <w:color w:val="231F20"/>
        </w:rPr>
        <w:t>of</w:t>
      </w:r>
      <w:r>
        <w:rPr>
          <w:color w:val="231F20"/>
          <w:spacing w:val="-9"/>
        </w:rPr>
        <w:t xml:space="preserve"> </w:t>
      </w:r>
      <w:r>
        <w:rPr>
          <w:color w:val="231F20"/>
        </w:rPr>
        <w:t>these</w:t>
      </w:r>
      <w:r>
        <w:rPr>
          <w:color w:val="231F20"/>
          <w:spacing w:val="-10"/>
        </w:rPr>
        <w:t xml:space="preserve"> </w:t>
      </w:r>
      <w:r>
        <w:rPr>
          <w:color w:val="231F20"/>
        </w:rPr>
        <w:t>industries,</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undertakes</w:t>
      </w:r>
      <w:r>
        <w:rPr>
          <w:color w:val="231F20"/>
          <w:spacing w:val="-9"/>
        </w:rPr>
        <w:t xml:space="preserve"> </w:t>
      </w:r>
      <w:r>
        <w:rPr>
          <w:color w:val="231F20"/>
        </w:rPr>
        <w:t>risk-based</w:t>
      </w:r>
      <w:r>
        <w:rPr>
          <w:color w:val="231F20"/>
          <w:spacing w:val="-10"/>
        </w:rPr>
        <w:t xml:space="preserve"> </w:t>
      </w:r>
      <w:r>
        <w:rPr>
          <w:color w:val="231F20"/>
        </w:rPr>
        <w:t>compliance</w:t>
      </w:r>
      <w:r>
        <w:rPr>
          <w:color w:val="231F20"/>
          <w:spacing w:val="-10"/>
        </w:rPr>
        <w:t xml:space="preserve"> </w:t>
      </w:r>
      <w:r>
        <w:rPr>
          <w:color w:val="231F20"/>
        </w:rPr>
        <w:t>using</w:t>
      </w:r>
      <w:r>
        <w:rPr>
          <w:color w:val="231F20"/>
          <w:spacing w:val="-10"/>
        </w:rPr>
        <w:t xml:space="preserve"> </w:t>
      </w:r>
      <w:r>
        <w:rPr>
          <w:color w:val="231F20"/>
        </w:rPr>
        <w:t>the following general principles:</w:t>
      </w:r>
    </w:p>
    <w:p w14:paraId="5DDF8E1A" w14:textId="77777777" w:rsidR="00345EE3" w:rsidRDefault="00345EE3">
      <w:pPr>
        <w:pStyle w:val="ListParagraph"/>
        <w:numPr>
          <w:ilvl w:val="1"/>
          <w:numId w:val="52"/>
        </w:numPr>
        <w:tabs>
          <w:tab w:val="left" w:pos="393"/>
          <w:tab w:val="left" w:pos="394"/>
        </w:tabs>
        <w:spacing w:before="31" w:line="242" w:lineRule="auto"/>
        <w:ind w:right="1426"/>
        <w:rPr>
          <w:sz w:val="24"/>
        </w:rPr>
      </w:pPr>
      <w:r>
        <w:rPr>
          <w:color w:val="231F20"/>
          <w:sz w:val="24"/>
        </w:rPr>
        <w:t>Maintaining</w:t>
      </w:r>
      <w:r>
        <w:rPr>
          <w:color w:val="231F20"/>
          <w:spacing w:val="-11"/>
          <w:sz w:val="24"/>
        </w:rPr>
        <w:t xml:space="preserve"> </w:t>
      </w:r>
      <w:r>
        <w:rPr>
          <w:color w:val="231F20"/>
          <w:sz w:val="24"/>
        </w:rPr>
        <w:t>public</w:t>
      </w:r>
      <w:r>
        <w:rPr>
          <w:color w:val="231F20"/>
          <w:spacing w:val="-10"/>
          <w:sz w:val="24"/>
        </w:rPr>
        <w:t xml:space="preserve"> </w:t>
      </w:r>
      <w:r>
        <w:rPr>
          <w:color w:val="231F20"/>
          <w:sz w:val="24"/>
        </w:rPr>
        <w:t>safety</w:t>
      </w:r>
      <w:r>
        <w:rPr>
          <w:color w:val="231F20"/>
          <w:spacing w:val="-10"/>
          <w:sz w:val="24"/>
        </w:rPr>
        <w:t xml:space="preserve"> </w:t>
      </w:r>
      <w:r>
        <w:rPr>
          <w:color w:val="231F20"/>
          <w:sz w:val="24"/>
        </w:rPr>
        <w:t>and</w:t>
      </w:r>
      <w:r>
        <w:rPr>
          <w:color w:val="231F20"/>
          <w:spacing w:val="-11"/>
          <w:sz w:val="24"/>
        </w:rPr>
        <w:t xml:space="preserve"> </w:t>
      </w:r>
      <w:r>
        <w:rPr>
          <w:color w:val="231F20"/>
          <w:sz w:val="24"/>
        </w:rPr>
        <w:t>the</w:t>
      </w:r>
      <w:r>
        <w:rPr>
          <w:color w:val="231F20"/>
          <w:spacing w:val="-11"/>
          <w:sz w:val="24"/>
        </w:rPr>
        <w:t xml:space="preserve"> </w:t>
      </w:r>
      <w:r>
        <w:rPr>
          <w:color w:val="231F20"/>
          <w:sz w:val="24"/>
        </w:rPr>
        <w:t>integrity</w:t>
      </w:r>
      <w:r>
        <w:rPr>
          <w:color w:val="231F20"/>
          <w:spacing w:val="-10"/>
          <w:sz w:val="24"/>
        </w:rPr>
        <w:t xml:space="preserve"> </w:t>
      </w:r>
      <w:r>
        <w:rPr>
          <w:color w:val="231F20"/>
          <w:sz w:val="24"/>
        </w:rPr>
        <w:t>of</w:t>
      </w:r>
      <w:r>
        <w:rPr>
          <w:color w:val="231F20"/>
          <w:spacing w:val="-10"/>
          <w:sz w:val="24"/>
        </w:rPr>
        <w:t xml:space="preserve"> </w:t>
      </w:r>
      <w:r>
        <w:rPr>
          <w:color w:val="231F20"/>
          <w:sz w:val="24"/>
        </w:rPr>
        <w:t>Victoria’s</w:t>
      </w:r>
      <w:r>
        <w:rPr>
          <w:color w:val="231F20"/>
          <w:spacing w:val="-10"/>
          <w:sz w:val="24"/>
        </w:rPr>
        <w:t xml:space="preserve"> </w:t>
      </w:r>
      <w:r>
        <w:rPr>
          <w:color w:val="231F20"/>
          <w:sz w:val="24"/>
        </w:rPr>
        <w:t>licensing</w:t>
      </w:r>
      <w:r>
        <w:rPr>
          <w:color w:val="231F20"/>
          <w:spacing w:val="-11"/>
          <w:sz w:val="24"/>
        </w:rPr>
        <w:t xml:space="preserve"> </w:t>
      </w:r>
      <w:r>
        <w:rPr>
          <w:color w:val="231F20"/>
          <w:sz w:val="24"/>
        </w:rPr>
        <w:t>regime</w:t>
      </w:r>
      <w:r>
        <w:rPr>
          <w:color w:val="231F20"/>
          <w:spacing w:val="-11"/>
          <w:sz w:val="24"/>
        </w:rPr>
        <w:t xml:space="preserve"> </w:t>
      </w:r>
      <w:r>
        <w:rPr>
          <w:color w:val="231F20"/>
          <w:sz w:val="24"/>
        </w:rPr>
        <w:t>through</w:t>
      </w:r>
      <w:r>
        <w:rPr>
          <w:color w:val="231F20"/>
          <w:spacing w:val="-11"/>
          <w:sz w:val="24"/>
        </w:rPr>
        <w:t xml:space="preserve"> </w:t>
      </w:r>
      <w:r>
        <w:rPr>
          <w:color w:val="231F20"/>
          <w:sz w:val="24"/>
        </w:rPr>
        <w:t>pre-entry assessment to post-entry regulation.</w:t>
      </w:r>
    </w:p>
    <w:p w14:paraId="645B59DA" w14:textId="77777777" w:rsidR="00345EE3" w:rsidRDefault="00345EE3">
      <w:pPr>
        <w:pStyle w:val="ListParagraph"/>
        <w:numPr>
          <w:ilvl w:val="1"/>
          <w:numId w:val="52"/>
        </w:numPr>
        <w:tabs>
          <w:tab w:val="left" w:pos="393"/>
          <w:tab w:val="left" w:pos="394"/>
        </w:tabs>
        <w:spacing w:before="31"/>
        <w:rPr>
          <w:sz w:val="24"/>
        </w:rPr>
      </w:pPr>
      <w:r>
        <w:rPr>
          <w:color w:val="231F20"/>
          <w:sz w:val="24"/>
        </w:rPr>
        <w:t>Using</w:t>
      </w:r>
      <w:r>
        <w:rPr>
          <w:color w:val="231F20"/>
          <w:spacing w:val="-11"/>
          <w:sz w:val="24"/>
        </w:rPr>
        <w:t xml:space="preserve"> </w:t>
      </w:r>
      <w:r>
        <w:rPr>
          <w:color w:val="231F20"/>
          <w:sz w:val="24"/>
        </w:rPr>
        <w:t>intelligence-based</w:t>
      </w:r>
      <w:r>
        <w:rPr>
          <w:color w:val="231F20"/>
          <w:spacing w:val="-9"/>
          <w:sz w:val="24"/>
        </w:rPr>
        <w:t xml:space="preserve"> </w:t>
      </w:r>
      <w:r>
        <w:rPr>
          <w:color w:val="231F20"/>
          <w:sz w:val="24"/>
        </w:rPr>
        <w:t>information</w:t>
      </w:r>
      <w:r>
        <w:rPr>
          <w:color w:val="231F20"/>
          <w:spacing w:val="-9"/>
          <w:sz w:val="24"/>
        </w:rPr>
        <w:t xml:space="preserve"> </w:t>
      </w:r>
      <w:r>
        <w:rPr>
          <w:color w:val="231F20"/>
          <w:sz w:val="24"/>
        </w:rPr>
        <w:t>to</w:t>
      </w:r>
      <w:r>
        <w:rPr>
          <w:color w:val="231F20"/>
          <w:spacing w:val="-8"/>
          <w:sz w:val="24"/>
        </w:rPr>
        <w:t xml:space="preserve"> </w:t>
      </w:r>
      <w:r>
        <w:rPr>
          <w:color w:val="231F20"/>
          <w:sz w:val="24"/>
        </w:rPr>
        <w:t>identify</w:t>
      </w:r>
      <w:r>
        <w:rPr>
          <w:color w:val="231F20"/>
          <w:spacing w:val="-9"/>
          <w:sz w:val="24"/>
        </w:rPr>
        <w:t xml:space="preserve"> </w:t>
      </w:r>
      <w:r>
        <w:rPr>
          <w:color w:val="231F20"/>
          <w:sz w:val="24"/>
        </w:rPr>
        <w:t>and</w:t>
      </w:r>
      <w:r>
        <w:rPr>
          <w:color w:val="231F20"/>
          <w:spacing w:val="-9"/>
          <w:sz w:val="24"/>
        </w:rPr>
        <w:t xml:space="preserve"> </w:t>
      </w:r>
      <w:r>
        <w:rPr>
          <w:color w:val="231F20"/>
          <w:sz w:val="24"/>
        </w:rPr>
        <w:t>prioritise</w:t>
      </w:r>
      <w:r>
        <w:rPr>
          <w:color w:val="231F20"/>
          <w:spacing w:val="-8"/>
          <w:sz w:val="24"/>
        </w:rPr>
        <w:t xml:space="preserve"> </w:t>
      </w:r>
      <w:r>
        <w:rPr>
          <w:color w:val="231F20"/>
          <w:spacing w:val="-2"/>
          <w:sz w:val="24"/>
        </w:rPr>
        <w:t>risk.</w:t>
      </w:r>
    </w:p>
    <w:p w14:paraId="1F92FB4E" w14:textId="77777777" w:rsidR="00345EE3" w:rsidRDefault="00345EE3">
      <w:pPr>
        <w:pStyle w:val="ListParagraph"/>
        <w:numPr>
          <w:ilvl w:val="1"/>
          <w:numId w:val="52"/>
        </w:numPr>
        <w:tabs>
          <w:tab w:val="left" w:pos="393"/>
          <w:tab w:val="left" w:pos="394"/>
        </w:tabs>
        <w:spacing w:line="242" w:lineRule="auto"/>
        <w:ind w:right="1319"/>
        <w:rPr>
          <w:sz w:val="24"/>
        </w:rPr>
      </w:pPr>
      <w:r>
        <w:rPr>
          <w:color w:val="231F20"/>
          <w:sz w:val="24"/>
        </w:rPr>
        <w:t>Engaging</w:t>
      </w:r>
      <w:r>
        <w:rPr>
          <w:color w:val="231F20"/>
          <w:spacing w:val="-14"/>
          <w:sz w:val="24"/>
        </w:rPr>
        <w:t xml:space="preserve"> </w:t>
      </w:r>
      <w:r>
        <w:rPr>
          <w:color w:val="231F20"/>
          <w:sz w:val="24"/>
        </w:rPr>
        <w:t>with</w:t>
      </w:r>
      <w:r>
        <w:rPr>
          <w:color w:val="231F20"/>
          <w:spacing w:val="-14"/>
          <w:sz w:val="24"/>
        </w:rPr>
        <w:t xml:space="preserve"> </w:t>
      </w:r>
      <w:r>
        <w:rPr>
          <w:color w:val="231F20"/>
          <w:sz w:val="24"/>
        </w:rPr>
        <w:t>stakeholders</w:t>
      </w:r>
      <w:r>
        <w:rPr>
          <w:color w:val="231F20"/>
          <w:spacing w:val="-14"/>
          <w:sz w:val="24"/>
        </w:rPr>
        <w:t xml:space="preserve"> </w:t>
      </w:r>
      <w:r>
        <w:rPr>
          <w:color w:val="231F20"/>
          <w:sz w:val="24"/>
        </w:rPr>
        <w:t>to</w:t>
      </w:r>
      <w:r>
        <w:rPr>
          <w:color w:val="231F20"/>
          <w:spacing w:val="-14"/>
          <w:sz w:val="24"/>
        </w:rPr>
        <w:t xml:space="preserve"> </w:t>
      </w:r>
      <w:r>
        <w:rPr>
          <w:color w:val="231F20"/>
          <w:sz w:val="24"/>
        </w:rPr>
        <w:t>encourage</w:t>
      </w:r>
      <w:r>
        <w:rPr>
          <w:color w:val="231F20"/>
          <w:spacing w:val="-14"/>
          <w:sz w:val="24"/>
        </w:rPr>
        <w:t xml:space="preserve"> </w:t>
      </w:r>
      <w:r>
        <w:rPr>
          <w:color w:val="231F20"/>
          <w:sz w:val="24"/>
        </w:rPr>
        <w:t>compliance</w:t>
      </w:r>
      <w:r>
        <w:rPr>
          <w:color w:val="231F20"/>
          <w:spacing w:val="-14"/>
          <w:sz w:val="24"/>
        </w:rPr>
        <w:t xml:space="preserve"> </w:t>
      </w:r>
      <w:r>
        <w:rPr>
          <w:color w:val="231F20"/>
          <w:sz w:val="24"/>
        </w:rPr>
        <w:t>and</w:t>
      </w:r>
      <w:r>
        <w:rPr>
          <w:color w:val="231F20"/>
          <w:spacing w:val="-14"/>
          <w:sz w:val="24"/>
        </w:rPr>
        <w:t xml:space="preserve"> </w:t>
      </w:r>
      <w:r>
        <w:rPr>
          <w:color w:val="231F20"/>
          <w:sz w:val="24"/>
        </w:rPr>
        <w:t>provide</w:t>
      </w:r>
      <w:r>
        <w:rPr>
          <w:color w:val="231F20"/>
          <w:spacing w:val="-14"/>
          <w:sz w:val="24"/>
        </w:rPr>
        <w:t xml:space="preserve"> </w:t>
      </w:r>
      <w:r>
        <w:rPr>
          <w:color w:val="231F20"/>
          <w:sz w:val="24"/>
        </w:rPr>
        <w:t>transparency</w:t>
      </w:r>
      <w:r>
        <w:rPr>
          <w:color w:val="231F20"/>
          <w:spacing w:val="-14"/>
          <w:sz w:val="24"/>
        </w:rPr>
        <w:t xml:space="preserve"> </w:t>
      </w:r>
      <w:r>
        <w:rPr>
          <w:color w:val="231F20"/>
          <w:sz w:val="24"/>
        </w:rPr>
        <w:t>regarding policy decisions.</w:t>
      </w:r>
    </w:p>
    <w:p w14:paraId="64BFA385" w14:textId="77777777" w:rsidR="00345EE3" w:rsidRDefault="00345EE3" w:rsidP="00345EE3">
      <w:pPr>
        <w:spacing w:before="123"/>
        <w:ind w:left="110"/>
        <w:rPr>
          <w:rFonts w:ascii="Arial-BoldItalicMT"/>
          <w:b/>
          <w:i/>
          <w:sz w:val="18"/>
        </w:rPr>
      </w:pPr>
      <w:r>
        <w:rPr>
          <w:color w:val="231F20"/>
          <w:sz w:val="18"/>
        </w:rPr>
        <w:t>Table</w:t>
      </w:r>
      <w:r>
        <w:rPr>
          <w:color w:val="231F20"/>
          <w:spacing w:val="-5"/>
          <w:sz w:val="18"/>
        </w:rPr>
        <w:t xml:space="preserve"> </w:t>
      </w:r>
      <w:r>
        <w:rPr>
          <w:color w:val="231F20"/>
          <w:sz w:val="18"/>
        </w:rPr>
        <w:t>5.29:</w:t>
      </w:r>
      <w:r>
        <w:rPr>
          <w:color w:val="231F20"/>
          <w:spacing w:val="-4"/>
          <w:sz w:val="18"/>
        </w:rPr>
        <w:t xml:space="preserve"> </w:t>
      </w:r>
      <w:r>
        <w:rPr>
          <w:rFonts w:ascii="Arial-BoldItalicMT"/>
          <w:b/>
          <w:i/>
          <w:color w:val="231F20"/>
          <w:sz w:val="18"/>
        </w:rPr>
        <w:t>Current</w:t>
      </w:r>
      <w:r>
        <w:rPr>
          <w:rFonts w:ascii="Arial-BoldItalicMT"/>
          <w:b/>
          <w:i/>
          <w:color w:val="231F20"/>
          <w:spacing w:val="-6"/>
          <w:sz w:val="18"/>
        </w:rPr>
        <w:t xml:space="preserve"> </w:t>
      </w:r>
      <w:r>
        <w:rPr>
          <w:rFonts w:ascii="Arial-BoldItalicMT"/>
          <w:b/>
          <w:i/>
          <w:color w:val="231F20"/>
          <w:sz w:val="18"/>
        </w:rPr>
        <w:t>Victorian</w:t>
      </w:r>
      <w:r>
        <w:rPr>
          <w:rFonts w:ascii="Arial-BoldItalicMT"/>
          <w:b/>
          <w:i/>
          <w:color w:val="231F20"/>
          <w:spacing w:val="-7"/>
          <w:sz w:val="18"/>
        </w:rPr>
        <w:t xml:space="preserve"> </w:t>
      </w:r>
      <w:r>
        <w:rPr>
          <w:rFonts w:ascii="Arial-BoldItalicMT"/>
          <w:b/>
          <w:i/>
          <w:color w:val="231F20"/>
          <w:sz w:val="18"/>
        </w:rPr>
        <w:t>Firearm</w:t>
      </w:r>
      <w:r>
        <w:rPr>
          <w:rFonts w:ascii="Arial-BoldItalicMT"/>
          <w:b/>
          <w:i/>
          <w:color w:val="231F20"/>
          <w:spacing w:val="-7"/>
          <w:sz w:val="18"/>
        </w:rPr>
        <w:t xml:space="preserve"> </w:t>
      </w:r>
      <w:r>
        <w:rPr>
          <w:rFonts w:ascii="Arial-BoldItalicMT"/>
          <w:b/>
          <w:i/>
          <w:color w:val="231F20"/>
          <w:sz w:val="18"/>
        </w:rPr>
        <w:t>Licences</w:t>
      </w:r>
      <w:r>
        <w:rPr>
          <w:rFonts w:ascii="Arial-BoldItalicMT"/>
          <w:b/>
          <w:i/>
          <w:color w:val="231F20"/>
          <w:spacing w:val="-7"/>
          <w:sz w:val="18"/>
        </w:rPr>
        <w:t xml:space="preserve"> </w:t>
      </w:r>
      <w:r>
        <w:rPr>
          <w:rFonts w:ascii="Arial-BoldItalicMT"/>
          <w:b/>
          <w:i/>
          <w:color w:val="231F20"/>
          <w:sz w:val="18"/>
        </w:rPr>
        <w:t>as</w:t>
      </w:r>
      <w:r>
        <w:rPr>
          <w:rFonts w:ascii="Arial-BoldItalicMT"/>
          <w:b/>
          <w:i/>
          <w:color w:val="231F20"/>
          <w:spacing w:val="-7"/>
          <w:sz w:val="18"/>
        </w:rPr>
        <w:t xml:space="preserve"> </w:t>
      </w:r>
      <w:r>
        <w:rPr>
          <w:rFonts w:ascii="Arial-BoldItalicMT"/>
          <w:b/>
          <w:i/>
          <w:color w:val="231F20"/>
          <w:sz w:val="18"/>
        </w:rPr>
        <w:t>at</w:t>
      </w:r>
      <w:r>
        <w:rPr>
          <w:rFonts w:ascii="Arial-BoldItalicMT"/>
          <w:b/>
          <w:i/>
          <w:color w:val="231F20"/>
          <w:spacing w:val="-7"/>
          <w:sz w:val="18"/>
        </w:rPr>
        <w:t xml:space="preserve"> </w:t>
      </w:r>
      <w:r>
        <w:rPr>
          <w:rFonts w:ascii="Arial-BoldItalicMT"/>
          <w:b/>
          <w:i/>
          <w:color w:val="231F20"/>
          <w:sz w:val="18"/>
        </w:rPr>
        <w:t>30</w:t>
      </w:r>
      <w:r>
        <w:rPr>
          <w:rFonts w:ascii="Arial-BoldItalicMT"/>
          <w:b/>
          <w:i/>
          <w:color w:val="231F20"/>
          <w:spacing w:val="-7"/>
          <w:sz w:val="18"/>
        </w:rPr>
        <w:t xml:space="preserve"> </w:t>
      </w:r>
      <w:r>
        <w:rPr>
          <w:rFonts w:ascii="Arial-BoldItalicMT"/>
          <w:b/>
          <w:i/>
          <w:color w:val="231F20"/>
          <w:sz w:val="18"/>
        </w:rPr>
        <w:t>June</w:t>
      </w:r>
      <w:r>
        <w:rPr>
          <w:rFonts w:ascii="Arial-BoldItalicMT"/>
          <w:b/>
          <w:i/>
          <w:color w:val="231F20"/>
          <w:spacing w:val="-6"/>
          <w:sz w:val="18"/>
        </w:rPr>
        <w:t xml:space="preserve"> </w:t>
      </w:r>
      <w:r>
        <w:rPr>
          <w:rFonts w:ascii="Arial-BoldItalicMT"/>
          <w:b/>
          <w:i/>
          <w:color w:val="231F20"/>
          <w:spacing w:val="-4"/>
          <w:sz w:val="18"/>
        </w:rPr>
        <w:t>2022</w:t>
      </w:r>
    </w:p>
    <w:p w14:paraId="26F10A66"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997"/>
        <w:gridCol w:w="1701"/>
      </w:tblGrid>
      <w:tr w:rsidR="00345EE3" w14:paraId="7CE875CB" w14:textId="77777777" w:rsidTr="00D73130">
        <w:trPr>
          <w:trHeight w:val="398"/>
        </w:trPr>
        <w:tc>
          <w:tcPr>
            <w:tcW w:w="3997" w:type="dxa"/>
            <w:tcBorders>
              <w:top w:val="nil"/>
              <w:left w:val="nil"/>
              <w:bottom w:val="nil"/>
              <w:right w:val="nil"/>
            </w:tcBorders>
            <w:shd w:val="clear" w:color="auto" w:fill="00529F"/>
          </w:tcPr>
          <w:p w14:paraId="08289FCF" w14:textId="77777777" w:rsidR="00345EE3" w:rsidRDefault="00345EE3" w:rsidP="00D73130">
            <w:pPr>
              <w:pStyle w:val="TableParagraph"/>
              <w:spacing w:before="63"/>
              <w:ind w:left="-1"/>
              <w:jc w:val="left"/>
              <w:rPr>
                <w:b/>
                <w:sz w:val="24"/>
              </w:rPr>
            </w:pPr>
            <w:r>
              <w:rPr>
                <w:b/>
                <w:color w:val="FFFFFF"/>
                <w:spacing w:val="-2"/>
                <w:sz w:val="24"/>
              </w:rPr>
              <w:t>Current</w:t>
            </w:r>
          </w:p>
        </w:tc>
        <w:tc>
          <w:tcPr>
            <w:tcW w:w="1701" w:type="dxa"/>
            <w:tcBorders>
              <w:top w:val="nil"/>
              <w:left w:val="nil"/>
              <w:right w:val="nil"/>
            </w:tcBorders>
            <w:shd w:val="clear" w:color="auto" w:fill="00529F"/>
          </w:tcPr>
          <w:p w14:paraId="198776E2" w14:textId="77777777" w:rsidR="00345EE3" w:rsidRDefault="00345EE3" w:rsidP="00D73130">
            <w:pPr>
              <w:pStyle w:val="TableParagraph"/>
              <w:spacing w:before="63"/>
              <w:ind w:right="1"/>
              <w:rPr>
                <w:b/>
                <w:sz w:val="24"/>
              </w:rPr>
            </w:pPr>
            <w:r>
              <w:rPr>
                <w:b/>
                <w:color w:val="FFFFFF"/>
                <w:spacing w:val="-2"/>
                <w:sz w:val="24"/>
              </w:rPr>
              <w:t>Number</w:t>
            </w:r>
          </w:p>
        </w:tc>
      </w:tr>
      <w:tr w:rsidR="00345EE3" w14:paraId="569FEA44" w14:textId="77777777" w:rsidTr="00D73130">
        <w:trPr>
          <w:trHeight w:val="396"/>
        </w:trPr>
        <w:tc>
          <w:tcPr>
            <w:tcW w:w="3997" w:type="dxa"/>
            <w:tcBorders>
              <w:top w:val="nil"/>
              <w:left w:val="nil"/>
            </w:tcBorders>
          </w:tcPr>
          <w:p w14:paraId="7CFBE7B3" w14:textId="77777777" w:rsidR="00345EE3" w:rsidRDefault="00345EE3" w:rsidP="00D73130">
            <w:pPr>
              <w:pStyle w:val="TableParagraph"/>
              <w:ind w:left="-3"/>
              <w:jc w:val="left"/>
              <w:rPr>
                <w:sz w:val="24"/>
              </w:rPr>
            </w:pPr>
            <w:r>
              <w:rPr>
                <w:color w:val="231F20"/>
                <w:sz w:val="24"/>
              </w:rPr>
              <w:t>Victorian</w:t>
            </w:r>
            <w:r>
              <w:rPr>
                <w:color w:val="231F20"/>
                <w:spacing w:val="-9"/>
                <w:sz w:val="24"/>
              </w:rPr>
              <w:t xml:space="preserve"> </w:t>
            </w:r>
            <w:r>
              <w:rPr>
                <w:color w:val="231F20"/>
                <w:sz w:val="24"/>
              </w:rPr>
              <w:t>firearm</w:t>
            </w:r>
            <w:r>
              <w:rPr>
                <w:color w:val="231F20"/>
                <w:spacing w:val="-6"/>
                <w:sz w:val="24"/>
              </w:rPr>
              <w:t xml:space="preserve"> </w:t>
            </w:r>
            <w:r>
              <w:rPr>
                <w:color w:val="231F20"/>
                <w:spacing w:val="-2"/>
                <w:sz w:val="24"/>
              </w:rPr>
              <w:t>licences</w:t>
            </w:r>
          </w:p>
        </w:tc>
        <w:tc>
          <w:tcPr>
            <w:tcW w:w="1701" w:type="dxa"/>
            <w:tcBorders>
              <w:right w:val="nil"/>
            </w:tcBorders>
          </w:tcPr>
          <w:p w14:paraId="66F4C113" w14:textId="77777777" w:rsidR="00345EE3" w:rsidRDefault="00345EE3" w:rsidP="00D73130">
            <w:pPr>
              <w:pStyle w:val="TableParagraph"/>
              <w:rPr>
                <w:sz w:val="24"/>
              </w:rPr>
            </w:pPr>
            <w:r>
              <w:rPr>
                <w:color w:val="231F20"/>
                <w:spacing w:val="-2"/>
                <w:sz w:val="24"/>
              </w:rPr>
              <w:t>230,260</w:t>
            </w:r>
          </w:p>
        </w:tc>
      </w:tr>
      <w:tr w:rsidR="00345EE3" w14:paraId="12B9A218" w14:textId="77777777" w:rsidTr="00D73130">
        <w:trPr>
          <w:trHeight w:val="396"/>
        </w:trPr>
        <w:tc>
          <w:tcPr>
            <w:tcW w:w="3997" w:type="dxa"/>
            <w:tcBorders>
              <w:left w:val="nil"/>
            </w:tcBorders>
          </w:tcPr>
          <w:p w14:paraId="4FEB0FEA" w14:textId="77777777" w:rsidR="00345EE3" w:rsidRDefault="00345EE3" w:rsidP="00D73130">
            <w:pPr>
              <w:pStyle w:val="TableParagraph"/>
              <w:ind w:left="-3"/>
              <w:jc w:val="left"/>
              <w:rPr>
                <w:sz w:val="14"/>
              </w:rPr>
            </w:pPr>
            <w:r>
              <w:rPr>
                <w:color w:val="231F20"/>
                <w:sz w:val="24"/>
              </w:rPr>
              <w:t>Registered</w:t>
            </w:r>
            <w:r>
              <w:rPr>
                <w:color w:val="231F20"/>
                <w:spacing w:val="-10"/>
                <w:sz w:val="24"/>
              </w:rPr>
              <w:t xml:space="preserve"> </w:t>
            </w:r>
            <w:r>
              <w:rPr>
                <w:color w:val="231F20"/>
                <w:spacing w:val="-2"/>
                <w:sz w:val="24"/>
              </w:rPr>
              <w:t>firearms</w:t>
            </w:r>
            <w:r>
              <w:rPr>
                <w:color w:val="231F20"/>
                <w:spacing w:val="-2"/>
                <w:position w:val="8"/>
                <w:sz w:val="14"/>
              </w:rPr>
              <w:t>19</w:t>
            </w:r>
          </w:p>
        </w:tc>
        <w:tc>
          <w:tcPr>
            <w:tcW w:w="1701" w:type="dxa"/>
            <w:tcBorders>
              <w:right w:val="nil"/>
            </w:tcBorders>
          </w:tcPr>
          <w:p w14:paraId="07CE5C5A" w14:textId="77777777" w:rsidR="00345EE3" w:rsidRDefault="00345EE3" w:rsidP="00D73130">
            <w:pPr>
              <w:pStyle w:val="TableParagraph"/>
              <w:rPr>
                <w:sz w:val="24"/>
              </w:rPr>
            </w:pPr>
            <w:r>
              <w:rPr>
                <w:color w:val="231F20"/>
                <w:spacing w:val="-2"/>
                <w:sz w:val="24"/>
              </w:rPr>
              <w:t>906,576</w:t>
            </w:r>
          </w:p>
        </w:tc>
      </w:tr>
      <w:tr w:rsidR="00345EE3" w14:paraId="02A0687B" w14:textId="77777777" w:rsidTr="00D73130">
        <w:trPr>
          <w:trHeight w:val="676"/>
        </w:trPr>
        <w:tc>
          <w:tcPr>
            <w:tcW w:w="3997" w:type="dxa"/>
            <w:tcBorders>
              <w:left w:val="nil"/>
            </w:tcBorders>
          </w:tcPr>
          <w:p w14:paraId="768C2B70" w14:textId="77777777" w:rsidR="00345EE3" w:rsidRDefault="00345EE3" w:rsidP="00D73130">
            <w:pPr>
              <w:pStyle w:val="TableParagraph"/>
              <w:spacing w:line="242" w:lineRule="auto"/>
              <w:ind w:left="-3"/>
              <w:jc w:val="left"/>
              <w:rPr>
                <w:sz w:val="24"/>
              </w:rPr>
            </w:pPr>
            <w:r>
              <w:rPr>
                <w:color w:val="231F20"/>
                <w:sz w:val="24"/>
              </w:rPr>
              <w:t>Private</w:t>
            </w:r>
            <w:r>
              <w:rPr>
                <w:color w:val="231F20"/>
                <w:spacing w:val="-12"/>
                <w:sz w:val="24"/>
              </w:rPr>
              <w:t xml:space="preserve"> </w:t>
            </w:r>
            <w:r>
              <w:rPr>
                <w:color w:val="231F20"/>
                <w:sz w:val="24"/>
              </w:rPr>
              <w:t>Security</w:t>
            </w:r>
            <w:r>
              <w:rPr>
                <w:color w:val="231F20"/>
                <w:spacing w:val="-12"/>
                <w:sz w:val="24"/>
              </w:rPr>
              <w:t xml:space="preserve"> </w:t>
            </w:r>
            <w:r>
              <w:rPr>
                <w:color w:val="231F20"/>
                <w:sz w:val="24"/>
              </w:rPr>
              <w:t>Licences</w:t>
            </w:r>
            <w:r>
              <w:rPr>
                <w:color w:val="231F20"/>
                <w:spacing w:val="-13"/>
                <w:sz w:val="24"/>
              </w:rPr>
              <w:t xml:space="preserve"> </w:t>
            </w:r>
            <w:r>
              <w:rPr>
                <w:color w:val="231F20"/>
                <w:sz w:val="24"/>
              </w:rPr>
              <w:t xml:space="preserve">and </w:t>
            </w:r>
            <w:r>
              <w:rPr>
                <w:color w:val="231F20"/>
                <w:spacing w:val="-2"/>
                <w:sz w:val="24"/>
              </w:rPr>
              <w:t>Registrations</w:t>
            </w:r>
          </w:p>
        </w:tc>
        <w:tc>
          <w:tcPr>
            <w:tcW w:w="1701" w:type="dxa"/>
            <w:tcBorders>
              <w:right w:val="nil"/>
            </w:tcBorders>
          </w:tcPr>
          <w:p w14:paraId="7A6B54C8" w14:textId="77777777" w:rsidR="00345EE3" w:rsidRDefault="00345EE3" w:rsidP="00D73130">
            <w:pPr>
              <w:pStyle w:val="TableParagraph"/>
              <w:rPr>
                <w:sz w:val="24"/>
              </w:rPr>
            </w:pPr>
            <w:r>
              <w:rPr>
                <w:color w:val="231F20"/>
                <w:spacing w:val="-2"/>
                <w:sz w:val="24"/>
              </w:rPr>
              <w:t>37,550</w:t>
            </w:r>
          </w:p>
        </w:tc>
      </w:tr>
      <w:tr w:rsidR="00345EE3" w14:paraId="6B60D5A3" w14:textId="77777777" w:rsidTr="00D73130">
        <w:trPr>
          <w:trHeight w:val="671"/>
        </w:trPr>
        <w:tc>
          <w:tcPr>
            <w:tcW w:w="3997" w:type="dxa"/>
            <w:tcBorders>
              <w:left w:val="nil"/>
              <w:bottom w:val="single" w:sz="6" w:space="0" w:color="231F20"/>
            </w:tcBorders>
          </w:tcPr>
          <w:p w14:paraId="5ED4F8D8" w14:textId="77777777" w:rsidR="00345EE3" w:rsidRDefault="00345EE3" w:rsidP="00D73130">
            <w:pPr>
              <w:pStyle w:val="TableParagraph"/>
              <w:spacing w:line="242" w:lineRule="auto"/>
              <w:ind w:left="-3"/>
              <w:jc w:val="left"/>
              <w:rPr>
                <w:sz w:val="24"/>
              </w:rPr>
            </w:pPr>
            <w:r>
              <w:rPr>
                <w:color w:val="231F20"/>
                <w:sz w:val="24"/>
              </w:rPr>
              <w:t>Chief</w:t>
            </w:r>
            <w:r>
              <w:rPr>
                <w:color w:val="231F20"/>
                <w:spacing w:val="-13"/>
                <w:sz w:val="24"/>
              </w:rPr>
              <w:t xml:space="preserve"> </w:t>
            </w:r>
            <w:r>
              <w:rPr>
                <w:color w:val="231F20"/>
                <w:sz w:val="24"/>
              </w:rPr>
              <w:t>Commissioner</w:t>
            </w:r>
            <w:r>
              <w:rPr>
                <w:color w:val="231F20"/>
                <w:spacing w:val="-13"/>
                <w:sz w:val="24"/>
              </w:rPr>
              <w:t xml:space="preserve"> </w:t>
            </w:r>
            <w:r>
              <w:rPr>
                <w:color w:val="231F20"/>
                <w:sz w:val="24"/>
              </w:rPr>
              <w:t>of</w:t>
            </w:r>
            <w:r>
              <w:rPr>
                <w:color w:val="231F20"/>
                <w:spacing w:val="-13"/>
                <w:sz w:val="24"/>
              </w:rPr>
              <w:t xml:space="preserve"> </w:t>
            </w:r>
            <w:r>
              <w:rPr>
                <w:color w:val="231F20"/>
                <w:sz w:val="24"/>
              </w:rPr>
              <w:t>Police Weapons</w:t>
            </w:r>
            <w:r>
              <w:rPr>
                <w:color w:val="231F20"/>
                <w:spacing w:val="-2"/>
                <w:sz w:val="24"/>
              </w:rPr>
              <w:t xml:space="preserve"> </w:t>
            </w:r>
            <w:r>
              <w:rPr>
                <w:color w:val="231F20"/>
                <w:sz w:val="24"/>
              </w:rPr>
              <w:t>Approvals</w:t>
            </w:r>
          </w:p>
        </w:tc>
        <w:tc>
          <w:tcPr>
            <w:tcW w:w="1701" w:type="dxa"/>
            <w:tcBorders>
              <w:bottom w:val="single" w:sz="6" w:space="0" w:color="231F20"/>
              <w:right w:val="nil"/>
            </w:tcBorders>
          </w:tcPr>
          <w:p w14:paraId="2B5B5F39" w14:textId="77777777" w:rsidR="00345EE3" w:rsidRDefault="00345EE3" w:rsidP="00D73130">
            <w:pPr>
              <w:pStyle w:val="TableParagraph"/>
              <w:rPr>
                <w:sz w:val="24"/>
              </w:rPr>
            </w:pPr>
            <w:r>
              <w:rPr>
                <w:color w:val="231F20"/>
                <w:spacing w:val="-5"/>
                <w:sz w:val="24"/>
              </w:rPr>
              <w:t>732</w:t>
            </w:r>
          </w:p>
        </w:tc>
      </w:tr>
    </w:tbl>
    <w:p w14:paraId="7CF0B670" w14:textId="77777777" w:rsidR="00345EE3" w:rsidRPr="00ED2501" w:rsidRDefault="00345EE3" w:rsidP="00345EE3">
      <w:pPr>
        <w:spacing w:before="72"/>
        <w:ind w:left="110"/>
        <w:rPr>
          <w:sz w:val="18"/>
          <w:szCs w:val="18"/>
        </w:rPr>
      </w:pPr>
      <w:r w:rsidRPr="00ED2501">
        <w:rPr>
          <w:rFonts w:ascii="Arial-BoldItalicMT"/>
          <w:b/>
          <w:i/>
          <w:color w:val="231F20"/>
          <w:sz w:val="18"/>
          <w:szCs w:val="18"/>
        </w:rPr>
        <w:t>Source:</w:t>
      </w:r>
      <w:r w:rsidRPr="00ED2501">
        <w:rPr>
          <w:rFonts w:ascii="Arial-BoldItalicMT"/>
          <w:b/>
          <w:i/>
          <w:color w:val="231F20"/>
          <w:spacing w:val="1"/>
          <w:sz w:val="18"/>
          <w:szCs w:val="18"/>
        </w:rPr>
        <w:t xml:space="preserve"> </w:t>
      </w:r>
      <w:r w:rsidRPr="00ED2501">
        <w:rPr>
          <w:color w:val="231F20"/>
          <w:sz w:val="18"/>
          <w:szCs w:val="18"/>
        </w:rPr>
        <w:t>Licensing and Regulation Division.</w:t>
      </w:r>
      <w:r w:rsidRPr="00ED2501">
        <w:rPr>
          <w:color w:val="231F20"/>
          <w:spacing w:val="-1"/>
          <w:sz w:val="18"/>
          <w:szCs w:val="18"/>
        </w:rPr>
        <w:t xml:space="preserve"> </w:t>
      </w:r>
      <w:r w:rsidRPr="00ED2501">
        <w:rPr>
          <w:color w:val="231F20"/>
          <w:sz w:val="18"/>
          <w:szCs w:val="18"/>
        </w:rPr>
        <w:t>Data extracted from</w:t>
      </w:r>
      <w:r w:rsidRPr="00ED2501">
        <w:rPr>
          <w:color w:val="231F20"/>
          <w:spacing w:val="-1"/>
          <w:sz w:val="18"/>
          <w:szCs w:val="18"/>
        </w:rPr>
        <w:t xml:space="preserve"> </w:t>
      </w:r>
      <w:r w:rsidRPr="00ED2501">
        <w:rPr>
          <w:color w:val="231F20"/>
          <w:sz w:val="18"/>
          <w:szCs w:val="18"/>
        </w:rPr>
        <w:t>Licencing and Registration System</w:t>
      </w:r>
      <w:r w:rsidRPr="00ED2501">
        <w:rPr>
          <w:color w:val="231F20"/>
          <w:spacing w:val="-1"/>
          <w:sz w:val="18"/>
          <w:szCs w:val="18"/>
        </w:rPr>
        <w:t xml:space="preserve"> </w:t>
      </w:r>
      <w:r w:rsidRPr="00ED2501">
        <w:rPr>
          <w:color w:val="231F20"/>
          <w:sz w:val="18"/>
          <w:szCs w:val="18"/>
        </w:rPr>
        <w:t xml:space="preserve">on 30 June </w:t>
      </w:r>
      <w:r w:rsidRPr="00ED2501">
        <w:rPr>
          <w:color w:val="231F20"/>
          <w:spacing w:val="-2"/>
          <w:sz w:val="18"/>
          <w:szCs w:val="18"/>
        </w:rPr>
        <w:t>2022.</w:t>
      </w:r>
    </w:p>
    <w:p w14:paraId="3993DA01" w14:textId="77777777" w:rsidR="00345EE3" w:rsidRPr="00ED2501" w:rsidRDefault="00345EE3" w:rsidP="00345EE3">
      <w:pPr>
        <w:spacing w:before="113"/>
        <w:ind w:left="110"/>
        <w:rPr>
          <w:sz w:val="18"/>
          <w:szCs w:val="18"/>
        </w:rPr>
      </w:pPr>
      <w:r w:rsidRPr="00ED2501">
        <w:rPr>
          <w:color w:val="231F20"/>
          <w:sz w:val="18"/>
          <w:szCs w:val="18"/>
        </w:rPr>
        <w:t>19</w:t>
      </w:r>
      <w:r w:rsidRPr="00ED2501">
        <w:rPr>
          <w:color w:val="231F20"/>
          <w:spacing w:val="39"/>
          <w:sz w:val="18"/>
          <w:szCs w:val="18"/>
        </w:rPr>
        <w:t xml:space="preserve"> </w:t>
      </w:r>
      <w:r w:rsidRPr="00ED2501">
        <w:rPr>
          <w:color w:val="231F20"/>
          <w:sz w:val="18"/>
          <w:szCs w:val="18"/>
        </w:rPr>
        <w:t>Registered</w:t>
      </w:r>
      <w:r w:rsidRPr="00ED2501">
        <w:rPr>
          <w:color w:val="231F20"/>
          <w:spacing w:val="-1"/>
          <w:sz w:val="18"/>
          <w:szCs w:val="18"/>
        </w:rPr>
        <w:t xml:space="preserve"> </w:t>
      </w:r>
      <w:r w:rsidRPr="00ED2501">
        <w:rPr>
          <w:color w:val="231F20"/>
          <w:sz w:val="18"/>
          <w:szCs w:val="18"/>
        </w:rPr>
        <w:t>firearms</w:t>
      </w:r>
      <w:r w:rsidRPr="00ED2501">
        <w:rPr>
          <w:color w:val="231F20"/>
          <w:spacing w:val="-1"/>
          <w:sz w:val="18"/>
          <w:szCs w:val="18"/>
        </w:rPr>
        <w:t xml:space="preserve"> </w:t>
      </w:r>
      <w:r w:rsidRPr="00ED2501">
        <w:rPr>
          <w:color w:val="231F20"/>
          <w:sz w:val="18"/>
          <w:szCs w:val="18"/>
        </w:rPr>
        <w:t>attached to</w:t>
      </w:r>
      <w:r w:rsidRPr="00ED2501">
        <w:rPr>
          <w:color w:val="231F20"/>
          <w:spacing w:val="-1"/>
          <w:sz w:val="18"/>
          <w:szCs w:val="18"/>
        </w:rPr>
        <w:t xml:space="preserve"> </w:t>
      </w:r>
      <w:r w:rsidRPr="00ED2501">
        <w:rPr>
          <w:color w:val="231F20"/>
          <w:sz w:val="18"/>
          <w:szCs w:val="18"/>
        </w:rPr>
        <w:t>230,260</w:t>
      </w:r>
      <w:r w:rsidRPr="00ED2501">
        <w:rPr>
          <w:color w:val="231F20"/>
          <w:spacing w:val="-1"/>
          <w:sz w:val="18"/>
          <w:szCs w:val="18"/>
        </w:rPr>
        <w:t xml:space="preserve"> </w:t>
      </w:r>
      <w:r w:rsidRPr="00ED2501">
        <w:rPr>
          <w:color w:val="231F20"/>
          <w:sz w:val="18"/>
          <w:szCs w:val="18"/>
        </w:rPr>
        <w:t>current</w:t>
      </w:r>
      <w:r w:rsidRPr="00ED2501">
        <w:rPr>
          <w:color w:val="231F20"/>
          <w:spacing w:val="-1"/>
          <w:sz w:val="18"/>
          <w:szCs w:val="18"/>
        </w:rPr>
        <w:t xml:space="preserve"> </w:t>
      </w:r>
      <w:r w:rsidRPr="00ED2501">
        <w:rPr>
          <w:color w:val="231F20"/>
          <w:sz w:val="18"/>
          <w:szCs w:val="18"/>
        </w:rPr>
        <w:t xml:space="preserve">firearm </w:t>
      </w:r>
      <w:r w:rsidRPr="00ED2501">
        <w:rPr>
          <w:color w:val="231F20"/>
          <w:spacing w:val="-2"/>
          <w:sz w:val="18"/>
          <w:szCs w:val="18"/>
        </w:rPr>
        <w:t>licences.</w:t>
      </w:r>
    </w:p>
    <w:p w14:paraId="781F20D1" w14:textId="77777777" w:rsidR="00345EE3" w:rsidRDefault="00345EE3" w:rsidP="00345EE3">
      <w:pPr>
        <w:pStyle w:val="BodyText"/>
        <w:spacing w:before="138" w:line="242" w:lineRule="auto"/>
        <w:ind w:right="848"/>
      </w:pPr>
      <w:r>
        <w:rPr>
          <w:color w:val="231F20"/>
        </w:rPr>
        <w:t>The</w:t>
      </w:r>
      <w:r>
        <w:rPr>
          <w:color w:val="231F20"/>
          <w:spacing w:val="-7"/>
        </w:rPr>
        <w:t xml:space="preserve"> </w:t>
      </w:r>
      <w:r>
        <w:rPr>
          <w:color w:val="231F20"/>
        </w:rPr>
        <w:t>focus</w:t>
      </w:r>
      <w:r>
        <w:rPr>
          <w:color w:val="231F20"/>
          <w:spacing w:val="-6"/>
        </w:rPr>
        <w:t xml:space="preserve"> </w:t>
      </w:r>
      <w:r>
        <w:rPr>
          <w:color w:val="231F20"/>
        </w:rPr>
        <w:t>for</w:t>
      </w:r>
      <w:r>
        <w:rPr>
          <w:color w:val="231F20"/>
          <w:spacing w:val="-6"/>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continues</w:t>
      </w:r>
      <w:r>
        <w:rPr>
          <w:color w:val="231F20"/>
          <w:spacing w:val="-6"/>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on</w:t>
      </w:r>
      <w:r>
        <w:rPr>
          <w:color w:val="231F20"/>
          <w:spacing w:val="-7"/>
        </w:rPr>
        <w:t xml:space="preserve"> </w:t>
      </w:r>
      <w:r>
        <w:rPr>
          <w:color w:val="231F20"/>
        </w:rPr>
        <w:t>compliance</w:t>
      </w:r>
      <w:r>
        <w:rPr>
          <w:color w:val="231F20"/>
          <w:spacing w:val="-7"/>
        </w:rPr>
        <w:t xml:space="preserve"> </w:t>
      </w:r>
      <w:r>
        <w:rPr>
          <w:color w:val="231F20"/>
        </w:rPr>
        <w:t>and</w:t>
      </w:r>
      <w:r>
        <w:rPr>
          <w:color w:val="231F20"/>
          <w:spacing w:val="-7"/>
        </w:rPr>
        <w:t xml:space="preserve"> </w:t>
      </w:r>
      <w:r>
        <w:rPr>
          <w:color w:val="231F20"/>
        </w:rPr>
        <w:t>ensuring</w:t>
      </w:r>
      <w:r>
        <w:rPr>
          <w:color w:val="231F20"/>
          <w:spacing w:val="-7"/>
        </w:rPr>
        <w:t xml:space="preserve"> </w:t>
      </w:r>
      <w:r>
        <w:rPr>
          <w:color w:val="231F20"/>
        </w:rPr>
        <w:t>that</w:t>
      </w:r>
      <w:r>
        <w:rPr>
          <w:color w:val="231F20"/>
          <w:spacing w:val="-6"/>
        </w:rPr>
        <w:t xml:space="preserve"> </w:t>
      </w:r>
      <w:r>
        <w:rPr>
          <w:color w:val="231F20"/>
        </w:rPr>
        <w:t>only</w:t>
      </w:r>
      <w:r>
        <w:rPr>
          <w:color w:val="231F20"/>
          <w:spacing w:val="-6"/>
        </w:rPr>
        <w:t xml:space="preserve"> </w:t>
      </w:r>
      <w:r>
        <w:rPr>
          <w:color w:val="231F20"/>
        </w:rPr>
        <w:t>fit</w:t>
      </w:r>
      <w:r>
        <w:rPr>
          <w:color w:val="231F20"/>
          <w:spacing w:val="-6"/>
        </w:rPr>
        <w:t xml:space="preserve"> </w:t>
      </w:r>
      <w:r>
        <w:rPr>
          <w:color w:val="231F20"/>
        </w:rPr>
        <w:t>and</w:t>
      </w:r>
      <w:r>
        <w:rPr>
          <w:color w:val="231F20"/>
          <w:spacing w:val="-7"/>
        </w:rPr>
        <w:t xml:space="preserve"> </w:t>
      </w:r>
      <w:r>
        <w:rPr>
          <w:color w:val="231F20"/>
        </w:rPr>
        <w:t>proper people are licensed or registered. In 2021–22, the LRD processed 148,245 new and renewal applications for firearm permits and licences, private security licences and registrations and Chief Commissioner of Police weapon approvals. Of the applications processed in 2021–22, 133,610 or 90 per cent were approved.</w:t>
      </w:r>
    </w:p>
    <w:p w14:paraId="5D3AE491" w14:textId="77777777" w:rsidR="00345EE3" w:rsidRDefault="00345EE3" w:rsidP="00345EE3">
      <w:pPr>
        <w:rPr>
          <w:color w:val="231F20"/>
          <w:sz w:val="18"/>
        </w:rPr>
      </w:pPr>
      <w:r>
        <w:rPr>
          <w:color w:val="231F20"/>
          <w:sz w:val="18"/>
        </w:rPr>
        <w:br w:type="page"/>
      </w:r>
    </w:p>
    <w:p w14:paraId="375F6538" w14:textId="77777777" w:rsidR="00345EE3" w:rsidRDefault="00345EE3" w:rsidP="00345EE3">
      <w:pPr>
        <w:spacing w:before="126"/>
        <w:ind w:left="110"/>
        <w:rPr>
          <w:rFonts w:ascii="Arial-BoldItalicMT"/>
          <w:b/>
          <w:i/>
          <w:sz w:val="18"/>
        </w:rPr>
      </w:pPr>
      <w:r>
        <w:rPr>
          <w:color w:val="231F20"/>
          <w:sz w:val="18"/>
        </w:rPr>
        <w:t>Table</w:t>
      </w:r>
      <w:r>
        <w:rPr>
          <w:color w:val="231F20"/>
          <w:spacing w:val="-5"/>
          <w:sz w:val="18"/>
        </w:rPr>
        <w:t xml:space="preserve"> </w:t>
      </w:r>
      <w:r>
        <w:rPr>
          <w:color w:val="231F20"/>
          <w:sz w:val="18"/>
        </w:rPr>
        <w:t>5.30:</w:t>
      </w:r>
      <w:r>
        <w:rPr>
          <w:color w:val="231F20"/>
          <w:spacing w:val="-5"/>
          <w:sz w:val="18"/>
        </w:rPr>
        <w:t xml:space="preserve"> </w:t>
      </w:r>
      <w:r>
        <w:rPr>
          <w:rFonts w:ascii="Arial-BoldItalicMT"/>
          <w:b/>
          <w:i/>
          <w:color w:val="231F20"/>
          <w:sz w:val="18"/>
        </w:rPr>
        <w:t>Licence</w:t>
      </w:r>
      <w:r>
        <w:rPr>
          <w:rFonts w:ascii="Arial-BoldItalicMT"/>
          <w:b/>
          <w:i/>
          <w:color w:val="231F20"/>
          <w:spacing w:val="-7"/>
          <w:sz w:val="18"/>
        </w:rPr>
        <w:t xml:space="preserve"> </w:t>
      </w:r>
      <w:r>
        <w:rPr>
          <w:rFonts w:ascii="Arial-BoldItalicMT"/>
          <w:b/>
          <w:i/>
          <w:color w:val="231F20"/>
          <w:sz w:val="18"/>
        </w:rPr>
        <w:t>and</w:t>
      </w:r>
      <w:r>
        <w:rPr>
          <w:rFonts w:ascii="Arial-BoldItalicMT"/>
          <w:b/>
          <w:i/>
          <w:color w:val="231F20"/>
          <w:spacing w:val="-8"/>
          <w:sz w:val="18"/>
        </w:rPr>
        <w:t xml:space="preserve"> </w:t>
      </w:r>
      <w:r>
        <w:rPr>
          <w:rFonts w:ascii="Arial-BoldItalicMT"/>
          <w:b/>
          <w:i/>
          <w:color w:val="231F20"/>
          <w:sz w:val="18"/>
        </w:rPr>
        <w:t>permit</w:t>
      </w:r>
      <w:r>
        <w:rPr>
          <w:rFonts w:ascii="Arial-BoldItalicMT"/>
          <w:b/>
          <w:i/>
          <w:color w:val="231F20"/>
          <w:spacing w:val="-7"/>
          <w:sz w:val="18"/>
        </w:rPr>
        <w:t xml:space="preserve"> </w:t>
      </w:r>
      <w:r>
        <w:rPr>
          <w:rFonts w:ascii="Arial-BoldItalicMT"/>
          <w:b/>
          <w:i/>
          <w:color w:val="231F20"/>
          <w:sz w:val="18"/>
        </w:rPr>
        <w:t>application</w:t>
      </w:r>
      <w:r>
        <w:rPr>
          <w:rFonts w:ascii="Arial-BoldItalicMT"/>
          <w:b/>
          <w:i/>
          <w:color w:val="231F20"/>
          <w:spacing w:val="-8"/>
          <w:sz w:val="18"/>
        </w:rPr>
        <w:t xml:space="preserve"> </w:t>
      </w:r>
      <w:r>
        <w:rPr>
          <w:rFonts w:ascii="Arial-BoldItalicMT"/>
          <w:b/>
          <w:i/>
          <w:color w:val="231F20"/>
          <w:sz w:val="18"/>
        </w:rPr>
        <w:t>outcomes</w:t>
      </w:r>
      <w:r>
        <w:rPr>
          <w:rFonts w:ascii="Arial-BoldItalicMT"/>
          <w:b/>
          <w:i/>
          <w:color w:val="231F20"/>
          <w:spacing w:val="-7"/>
          <w:sz w:val="18"/>
        </w:rPr>
        <w:t xml:space="preserve"> </w:t>
      </w:r>
      <w:r>
        <w:rPr>
          <w:rFonts w:ascii="Arial-BoldItalicMT"/>
          <w:b/>
          <w:i/>
          <w:color w:val="231F20"/>
          <w:sz w:val="18"/>
        </w:rPr>
        <w:t>as</w:t>
      </w:r>
      <w:r>
        <w:rPr>
          <w:rFonts w:ascii="Arial-BoldItalicMT"/>
          <w:b/>
          <w:i/>
          <w:color w:val="231F20"/>
          <w:spacing w:val="-8"/>
          <w:sz w:val="18"/>
        </w:rPr>
        <w:t xml:space="preserve"> </w:t>
      </w:r>
      <w:r>
        <w:rPr>
          <w:rFonts w:ascii="Arial-BoldItalicMT"/>
          <w:b/>
          <w:i/>
          <w:color w:val="231F20"/>
          <w:sz w:val="18"/>
        </w:rPr>
        <w:t>at</w:t>
      </w:r>
      <w:r>
        <w:rPr>
          <w:rFonts w:ascii="Arial-BoldItalicMT"/>
          <w:b/>
          <w:i/>
          <w:color w:val="231F20"/>
          <w:spacing w:val="-7"/>
          <w:sz w:val="18"/>
        </w:rPr>
        <w:t xml:space="preserve"> </w:t>
      </w:r>
      <w:r>
        <w:rPr>
          <w:rFonts w:ascii="Arial-BoldItalicMT"/>
          <w:b/>
          <w:i/>
          <w:color w:val="231F20"/>
          <w:sz w:val="18"/>
        </w:rPr>
        <w:t>30</w:t>
      </w:r>
      <w:r>
        <w:rPr>
          <w:rFonts w:ascii="Arial-BoldItalicMT"/>
          <w:b/>
          <w:i/>
          <w:color w:val="231F20"/>
          <w:spacing w:val="-8"/>
          <w:sz w:val="18"/>
        </w:rPr>
        <w:t xml:space="preserve"> </w:t>
      </w:r>
      <w:r>
        <w:rPr>
          <w:rFonts w:ascii="Arial-BoldItalicMT"/>
          <w:b/>
          <w:i/>
          <w:color w:val="231F20"/>
          <w:sz w:val="18"/>
        </w:rPr>
        <w:t>June</w:t>
      </w:r>
      <w:r>
        <w:rPr>
          <w:rFonts w:ascii="Arial-BoldItalicMT"/>
          <w:b/>
          <w:i/>
          <w:color w:val="231F20"/>
          <w:spacing w:val="-7"/>
          <w:sz w:val="18"/>
        </w:rPr>
        <w:t xml:space="preserve"> </w:t>
      </w:r>
      <w:r>
        <w:rPr>
          <w:rFonts w:ascii="Arial-BoldItalicMT"/>
          <w:b/>
          <w:i/>
          <w:color w:val="231F20"/>
          <w:spacing w:val="-4"/>
          <w:sz w:val="18"/>
        </w:rPr>
        <w:t>2022</w:t>
      </w:r>
    </w:p>
    <w:p w14:paraId="61BAE750"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033"/>
        <w:gridCol w:w="1701"/>
        <w:gridCol w:w="1701"/>
      </w:tblGrid>
      <w:tr w:rsidR="00345EE3" w14:paraId="4D952753" w14:textId="77777777" w:rsidTr="00D73130">
        <w:trPr>
          <w:trHeight w:val="401"/>
        </w:trPr>
        <w:tc>
          <w:tcPr>
            <w:tcW w:w="3033" w:type="dxa"/>
            <w:tcBorders>
              <w:top w:val="nil"/>
              <w:left w:val="nil"/>
              <w:bottom w:val="nil"/>
              <w:right w:val="nil"/>
            </w:tcBorders>
            <w:shd w:val="clear" w:color="auto" w:fill="00529F"/>
          </w:tcPr>
          <w:p w14:paraId="5A48DD53" w14:textId="77777777" w:rsidR="00345EE3" w:rsidRDefault="00345EE3" w:rsidP="00D73130">
            <w:pPr>
              <w:pStyle w:val="TableParagraph"/>
              <w:spacing w:before="63"/>
              <w:ind w:left="-1"/>
              <w:jc w:val="left"/>
              <w:rPr>
                <w:b/>
                <w:sz w:val="24"/>
              </w:rPr>
            </w:pPr>
            <w:r>
              <w:rPr>
                <w:b/>
                <w:color w:val="FFFFFF"/>
                <w:spacing w:val="-2"/>
                <w:sz w:val="24"/>
              </w:rPr>
              <w:t>Applications</w:t>
            </w:r>
          </w:p>
        </w:tc>
        <w:tc>
          <w:tcPr>
            <w:tcW w:w="1701" w:type="dxa"/>
            <w:tcBorders>
              <w:top w:val="nil"/>
              <w:left w:val="nil"/>
              <w:bottom w:val="nil"/>
              <w:right w:val="nil"/>
            </w:tcBorders>
            <w:shd w:val="clear" w:color="auto" w:fill="00529F"/>
          </w:tcPr>
          <w:p w14:paraId="385F9D42" w14:textId="77777777" w:rsidR="00345EE3" w:rsidRDefault="00345EE3" w:rsidP="00D73130">
            <w:pPr>
              <w:pStyle w:val="TableParagraph"/>
              <w:spacing w:before="63"/>
              <w:ind w:right="3"/>
              <w:rPr>
                <w:b/>
                <w:sz w:val="24"/>
              </w:rPr>
            </w:pPr>
            <w:r>
              <w:rPr>
                <w:b/>
                <w:color w:val="FFFFFF"/>
                <w:spacing w:val="-2"/>
                <w:sz w:val="24"/>
              </w:rPr>
              <w:t>Approved</w:t>
            </w:r>
          </w:p>
        </w:tc>
        <w:tc>
          <w:tcPr>
            <w:tcW w:w="1701" w:type="dxa"/>
            <w:tcBorders>
              <w:top w:val="nil"/>
              <w:left w:val="nil"/>
              <w:bottom w:val="nil"/>
              <w:right w:val="nil"/>
            </w:tcBorders>
            <w:shd w:val="clear" w:color="auto" w:fill="00529F"/>
          </w:tcPr>
          <w:p w14:paraId="4720BA3A" w14:textId="77777777" w:rsidR="00345EE3" w:rsidRDefault="00345EE3" w:rsidP="00D73130">
            <w:pPr>
              <w:pStyle w:val="TableParagraph"/>
              <w:spacing w:before="63"/>
              <w:ind w:right="1"/>
              <w:rPr>
                <w:b/>
                <w:sz w:val="24"/>
              </w:rPr>
            </w:pPr>
            <w:r>
              <w:rPr>
                <w:b/>
                <w:color w:val="FFFFFF"/>
                <w:spacing w:val="-2"/>
                <w:sz w:val="24"/>
              </w:rPr>
              <w:t>Refused</w:t>
            </w:r>
          </w:p>
        </w:tc>
      </w:tr>
      <w:tr w:rsidR="00345EE3" w14:paraId="78A79835" w14:textId="77777777" w:rsidTr="00D73130">
        <w:trPr>
          <w:trHeight w:val="676"/>
        </w:trPr>
        <w:tc>
          <w:tcPr>
            <w:tcW w:w="3033" w:type="dxa"/>
            <w:tcBorders>
              <w:top w:val="nil"/>
              <w:left w:val="nil"/>
            </w:tcBorders>
          </w:tcPr>
          <w:p w14:paraId="6E127656" w14:textId="77777777" w:rsidR="00345EE3" w:rsidRDefault="00345EE3" w:rsidP="00D73130">
            <w:pPr>
              <w:pStyle w:val="TableParagraph"/>
              <w:spacing w:line="242" w:lineRule="auto"/>
              <w:ind w:left="-3"/>
              <w:jc w:val="left"/>
              <w:rPr>
                <w:sz w:val="24"/>
              </w:rPr>
            </w:pPr>
            <w:r>
              <w:rPr>
                <w:color w:val="231F20"/>
                <w:sz w:val="24"/>
              </w:rPr>
              <w:t>New</w:t>
            </w:r>
            <w:r>
              <w:rPr>
                <w:color w:val="231F20"/>
                <w:spacing w:val="-12"/>
                <w:sz w:val="24"/>
              </w:rPr>
              <w:t xml:space="preserve"> </w:t>
            </w:r>
            <w:r>
              <w:rPr>
                <w:color w:val="231F20"/>
                <w:sz w:val="24"/>
              </w:rPr>
              <w:t>and</w:t>
            </w:r>
            <w:r>
              <w:rPr>
                <w:color w:val="231F20"/>
                <w:spacing w:val="-12"/>
                <w:sz w:val="24"/>
              </w:rPr>
              <w:t xml:space="preserve"> </w:t>
            </w:r>
            <w:r>
              <w:rPr>
                <w:color w:val="231F20"/>
                <w:sz w:val="24"/>
              </w:rPr>
              <w:t>Renewal</w:t>
            </w:r>
            <w:r>
              <w:rPr>
                <w:color w:val="231F20"/>
                <w:spacing w:val="-12"/>
                <w:sz w:val="24"/>
              </w:rPr>
              <w:t xml:space="preserve"> </w:t>
            </w:r>
            <w:r>
              <w:rPr>
                <w:color w:val="231F20"/>
                <w:sz w:val="24"/>
              </w:rPr>
              <w:t xml:space="preserve">Firearm </w:t>
            </w:r>
            <w:r>
              <w:rPr>
                <w:color w:val="231F20"/>
                <w:spacing w:val="-2"/>
                <w:sz w:val="24"/>
              </w:rPr>
              <w:t>Licence</w:t>
            </w:r>
          </w:p>
        </w:tc>
        <w:tc>
          <w:tcPr>
            <w:tcW w:w="1701" w:type="dxa"/>
            <w:tcBorders>
              <w:top w:val="nil"/>
            </w:tcBorders>
          </w:tcPr>
          <w:p w14:paraId="5552C39E" w14:textId="77777777" w:rsidR="00345EE3" w:rsidRDefault="00345EE3" w:rsidP="00D73130">
            <w:pPr>
              <w:pStyle w:val="TableParagraph"/>
              <w:ind w:right="1"/>
              <w:rPr>
                <w:sz w:val="24"/>
              </w:rPr>
            </w:pPr>
            <w:r>
              <w:rPr>
                <w:color w:val="231F20"/>
                <w:spacing w:val="-2"/>
                <w:sz w:val="24"/>
              </w:rPr>
              <w:t>49,399</w:t>
            </w:r>
          </w:p>
        </w:tc>
        <w:tc>
          <w:tcPr>
            <w:tcW w:w="1701" w:type="dxa"/>
            <w:tcBorders>
              <w:top w:val="nil"/>
              <w:right w:val="nil"/>
            </w:tcBorders>
          </w:tcPr>
          <w:p w14:paraId="63276055" w14:textId="77777777" w:rsidR="00345EE3" w:rsidRDefault="00345EE3" w:rsidP="00D73130">
            <w:pPr>
              <w:pStyle w:val="TableParagraph"/>
              <w:rPr>
                <w:sz w:val="24"/>
              </w:rPr>
            </w:pPr>
            <w:r>
              <w:rPr>
                <w:color w:val="231F20"/>
                <w:spacing w:val="-5"/>
                <w:sz w:val="24"/>
              </w:rPr>
              <w:t>832</w:t>
            </w:r>
          </w:p>
        </w:tc>
      </w:tr>
      <w:tr w:rsidR="00345EE3" w14:paraId="75EEBABF" w14:textId="77777777" w:rsidTr="00D73130">
        <w:trPr>
          <w:trHeight w:val="676"/>
        </w:trPr>
        <w:tc>
          <w:tcPr>
            <w:tcW w:w="3033" w:type="dxa"/>
            <w:tcBorders>
              <w:left w:val="nil"/>
            </w:tcBorders>
          </w:tcPr>
          <w:p w14:paraId="508728B5" w14:textId="77777777" w:rsidR="00345EE3" w:rsidRDefault="00345EE3" w:rsidP="00D73130">
            <w:pPr>
              <w:pStyle w:val="TableParagraph"/>
              <w:spacing w:line="242" w:lineRule="auto"/>
              <w:ind w:left="-3"/>
              <w:jc w:val="left"/>
              <w:rPr>
                <w:sz w:val="24"/>
              </w:rPr>
            </w:pPr>
            <w:r>
              <w:rPr>
                <w:color w:val="231F20"/>
                <w:sz w:val="24"/>
              </w:rPr>
              <w:t>New</w:t>
            </w:r>
            <w:r>
              <w:rPr>
                <w:color w:val="231F20"/>
                <w:spacing w:val="-13"/>
                <w:sz w:val="24"/>
              </w:rPr>
              <w:t xml:space="preserve"> </w:t>
            </w:r>
            <w:r>
              <w:rPr>
                <w:color w:val="231F20"/>
                <w:sz w:val="24"/>
              </w:rPr>
              <w:t>and</w:t>
            </w:r>
            <w:r>
              <w:rPr>
                <w:color w:val="231F20"/>
                <w:spacing w:val="-13"/>
                <w:sz w:val="24"/>
              </w:rPr>
              <w:t xml:space="preserve"> </w:t>
            </w:r>
            <w:r>
              <w:rPr>
                <w:color w:val="231F20"/>
                <w:sz w:val="24"/>
              </w:rPr>
              <w:t>Renewal</w:t>
            </w:r>
            <w:r>
              <w:rPr>
                <w:color w:val="231F20"/>
                <w:spacing w:val="-13"/>
                <w:sz w:val="24"/>
              </w:rPr>
              <w:t xml:space="preserve"> </w:t>
            </w:r>
            <w:r>
              <w:rPr>
                <w:color w:val="231F20"/>
                <w:sz w:val="24"/>
              </w:rPr>
              <w:t>Private Security Licences</w:t>
            </w:r>
          </w:p>
        </w:tc>
        <w:tc>
          <w:tcPr>
            <w:tcW w:w="1701" w:type="dxa"/>
          </w:tcPr>
          <w:p w14:paraId="6C31808B" w14:textId="77777777" w:rsidR="00345EE3" w:rsidRDefault="00345EE3" w:rsidP="00D73130">
            <w:pPr>
              <w:pStyle w:val="TableParagraph"/>
              <w:ind w:right="1"/>
              <w:rPr>
                <w:sz w:val="24"/>
              </w:rPr>
            </w:pPr>
            <w:r>
              <w:rPr>
                <w:color w:val="231F20"/>
                <w:spacing w:val="-2"/>
                <w:sz w:val="24"/>
              </w:rPr>
              <w:t>15,648</w:t>
            </w:r>
          </w:p>
        </w:tc>
        <w:tc>
          <w:tcPr>
            <w:tcW w:w="1701" w:type="dxa"/>
            <w:tcBorders>
              <w:right w:val="nil"/>
            </w:tcBorders>
          </w:tcPr>
          <w:p w14:paraId="421D37B4" w14:textId="77777777" w:rsidR="00345EE3" w:rsidRDefault="00345EE3" w:rsidP="00D73130">
            <w:pPr>
              <w:pStyle w:val="TableParagraph"/>
              <w:rPr>
                <w:sz w:val="24"/>
              </w:rPr>
            </w:pPr>
            <w:r>
              <w:rPr>
                <w:color w:val="231F20"/>
                <w:spacing w:val="-5"/>
                <w:sz w:val="24"/>
              </w:rPr>
              <w:t>183</w:t>
            </w:r>
          </w:p>
        </w:tc>
      </w:tr>
      <w:tr w:rsidR="00345EE3" w14:paraId="0B5681B6" w14:textId="77777777" w:rsidTr="00D73130">
        <w:trPr>
          <w:trHeight w:val="396"/>
        </w:trPr>
        <w:tc>
          <w:tcPr>
            <w:tcW w:w="3033" w:type="dxa"/>
            <w:tcBorders>
              <w:left w:val="nil"/>
            </w:tcBorders>
          </w:tcPr>
          <w:p w14:paraId="627F20BA" w14:textId="77777777" w:rsidR="00345EE3" w:rsidRDefault="00345EE3" w:rsidP="00D73130">
            <w:pPr>
              <w:pStyle w:val="TableParagraph"/>
              <w:ind w:left="-3"/>
              <w:jc w:val="left"/>
              <w:rPr>
                <w:sz w:val="24"/>
              </w:rPr>
            </w:pPr>
            <w:r>
              <w:rPr>
                <w:color w:val="231F20"/>
                <w:sz w:val="24"/>
              </w:rPr>
              <w:t xml:space="preserve">Firearm </w:t>
            </w:r>
            <w:r>
              <w:rPr>
                <w:color w:val="231F20"/>
                <w:spacing w:val="-2"/>
                <w:sz w:val="24"/>
              </w:rPr>
              <w:t>Permit</w:t>
            </w:r>
          </w:p>
        </w:tc>
        <w:tc>
          <w:tcPr>
            <w:tcW w:w="1701" w:type="dxa"/>
          </w:tcPr>
          <w:p w14:paraId="42177CC7" w14:textId="77777777" w:rsidR="00345EE3" w:rsidRDefault="00345EE3" w:rsidP="00D73130">
            <w:pPr>
              <w:pStyle w:val="TableParagraph"/>
              <w:ind w:right="1"/>
              <w:rPr>
                <w:sz w:val="24"/>
              </w:rPr>
            </w:pPr>
            <w:r>
              <w:rPr>
                <w:color w:val="231F20"/>
                <w:spacing w:val="-2"/>
                <w:sz w:val="24"/>
              </w:rPr>
              <w:t>68,338</w:t>
            </w:r>
          </w:p>
        </w:tc>
        <w:tc>
          <w:tcPr>
            <w:tcW w:w="1701" w:type="dxa"/>
            <w:tcBorders>
              <w:right w:val="nil"/>
            </w:tcBorders>
          </w:tcPr>
          <w:p w14:paraId="1A1AA5C7" w14:textId="77777777" w:rsidR="00345EE3" w:rsidRDefault="00345EE3" w:rsidP="00D73130">
            <w:pPr>
              <w:pStyle w:val="TableParagraph"/>
              <w:ind w:right="1"/>
              <w:rPr>
                <w:sz w:val="24"/>
              </w:rPr>
            </w:pPr>
            <w:r>
              <w:rPr>
                <w:color w:val="231F20"/>
                <w:spacing w:val="-5"/>
                <w:sz w:val="24"/>
              </w:rPr>
              <w:t>583</w:t>
            </w:r>
          </w:p>
        </w:tc>
      </w:tr>
      <w:tr w:rsidR="00345EE3" w14:paraId="268F5C8E" w14:textId="77777777" w:rsidTr="00D73130">
        <w:trPr>
          <w:trHeight w:val="396"/>
        </w:trPr>
        <w:tc>
          <w:tcPr>
            <w:tcW w:w="3033" w:type="dxa"/>
            <w:tcBorders>
              <w:left w:val="nil"/>
            </w:tcBorders>
          </w:tcPr>
          <w:p w14:paraId="10BAE25C" w14:textId="77777777" w:rsidR="00345EE3" w:rsidRDefault="00345EE3" w:rsidP="00D73130">
            <w:pPr>
              <w:pStyle w:val="TableParagraph"/>
              <w:ind w:left="-4"/>
              <w:jc w:val="left"/>
              <w:rPr>
                <w:sz w:val="24"/>
              </w:rPr>
            </w:pPr>
            <w:r>
              <w:rPr>
                <w:color w:val="231F20"/>
                <w:sz w:val="24"/>
              </w:rPr>
              <w:t>CCP</w:t>
            </w:r>
            <w:r>
              <w:rPr>
                <w:color w:val="231F20"/>
                <w:spacing w:val="-9"/>
                <w:sz w:val="24"/>
              </w:rPr>
              <w:t xml:space="preserve"> </w:t>
            </w:r>
            <w:r>
              <w:rPr>
                <w:color w:val="231F20"/>
                <w:sz w:val="24"/>
              </w:rPr>
              <w:t>weapon</w:t>
            </w:r>
            <w:r>
              <w:rPr>
                <w:color w:val="231F20"/>
                <w:spacing w:val="-4"/>
                <w:sz w:val="24"/>
              </w:rPr>
              <w:t xml:space="preserve"> </w:t>
            </w:r>
            <w:r>
              <w:rPr>
                <w:color w:val="231F20"/>
                <w:spacing w:val="-2"/>
                <w:sz w:val="24"/>
              </w:rPr>
              <w:t>approvals</w:t>
            </w:r>
          </w:p>
        </w:tc>
        <w:tc>
          <w:tcPr>
            <w:tcW w:w="1701" w:type="dxa"/>
          </w:tcPr>
          <w:p w14:paraId="6C8AA296" w14:textId="77777777" w:rsidR="00345EE3" w:rsidRDefault="00345EE3" w:rsidP="00D73130">
            <w:pPr>
              <w:pStyle w:val="TableParagraph"/>
              <w:ind w:right="1"/>
              <w:rPr>
                <w:sz w:val="24"/>
              </w:rPr>
            </w:pPr>
            <w:r>
              <w:rPr>
                <w:color w:val="231F20"/>
                <w:spacing w:val="-5"/>
                <w:sz w:val="24"/>
              </w:rPr>
              <w:t>225</w:t>
            </w:r>
          </w:p>
        </w:tc>
        <w:tc>
          <w:tcPr>
            <w:tcW w:w="1701" w:type="dxa"/>
            <w:tcBorders>
              <w:right w:val="nil"/>
            </w:tcBorders>
          </w:tcPr>
          <w:p w14:paraId="1D8C330E" w14:textId="77777777" w:rsidR="00345EE3" w:rsidRDefault="00345EE3" w:rsidP="00D73130">
            <w:pPr>
              <w:pStyle w:val="TableParagraph"/>
              <w:ind w:right="1"/>
              <w:rPr>
                <w:sz w:val="24"/>
              </w:rPr>
            </w:pPr>
            <w:r>
              <w:rPr>
                <w:color w:val="231F20"/>
                <w:spacing w:val="-5"/>
                <w:sz w:val="24"/>
              </w:rPr>
              <w:t>24</w:t>
            </w:r>
          </w:p>
        </w:tc>
      </w:tr>
      <w:tr w:rsidR="00345EE3" w14:paraId="1B5B6B8B" w14:textId="77777777" w:rsidTr="00D73130">
        <w:trPr>
          <w:trHeight w:val="391"/>
        </w:trPr>
        <w:tc>
          <w:tcPr>
            <w:tcW w:w="3033" w:type="dxa"/>
            <w:tcBorders>
              <w:left w:val="nil"/>
              <w:bottom w:val="single" w:sz="6" w:space="0" w:color="231F20"/>
            </w:tcBorders>
          </w:tcPr>
          <w:p w14:paraId="64DE7D77" w14:textId="77777777" w:rsidR="00345EE3" w:rsidRDefault="00345EE3" w:rsidP="00D73130">
            <w:pPr>
              <w:pStyle w:val="TableParagraph"/>
              <w:ind w:left="-4"/>
              <w:jc w:val="left"/>
              <w:rPr>
                <w:b/>
                <w:sz w:val="24"/>
              </w:rPr>
            </w:pPr>
            <w:r>
              <w:rPr>
                <w:b/>
                <w:color w:val="231F20"/>
                <w:spacing w:val="-2"/>
                <w:sz w:val="24"/>
              </w:rPr>
              <w:t>Total</w:t>
            </w:r>
          </w:p>
        </w:tc>
        <w:tc>
          <w:tcPr>
            <w:tcW w:w="1701" w:type="dxa"/>
            <w:tcBorders>
              <w:bottom w:val="single" w:sz="6" w:space="0" w:color="231F20"/>
            </w:tcBorders>
          </w:tcPr>
          <w:p w14:paraId="46801BD1" w14:textId="77777777" w:rsidR="00345EE3" w:rsidRDefault="00345EE3" w:rsidP="00D73130">
            <w:pPr>
              <w:pStyle w:val="TableParagraph"/>
              <w:ind w:right="1"/>
              <w:rPr>
                <w:b/>
                <w:sz w:val="24"/>
              </w:rPr>
            </w:pPr>
            <w:r>
              <w:rPr>
                <w:b/>
                <w:color w:val="231F20"/>
                <w:spacing w:val="-2"/>
                <w:sz w:val="24"/>
              </w:rPr>
              <w:t>133,610</w:t>
            </w:r>
          </w:p>
        </w:tc>
        <w:tc>
          <w:tcPr>
            <w:tcW w:w="1701" w:type="dxa"/>
            <w:tcBorders>
              <w:bottom w:val="single" w:sz="6" w:space="0" w:color="231F20"/>
              <w:right w:val="nil"/>
            </w:tcBorders>
          </w:tcPr>
          <w:p w14:paraId="3BB7F5BF" w14:textId="77777777" w:rsidR="00345EE3" w:rsidRDefault="00345EE3" w:rsidP="00D73130">
            <w:pPr>
              <w:pStyle w:val="TableParagraph"/>
              <w:ind w:right="-15"/>
              <w:rPr>
                <w:b/>
                <w:sz w:val="24"/>
              </w:rPr>
            </w:pPr>
            <w:r>
              <w:rPr>
                <w:b/>
                <w:color w:val="231F20"/>
                <w:spacing w:val="-2"/>
                <w:sz w:val="24"/>
              </w:rPr>
              <w:t>1,622</w:t>
            </w:r>
          </w:p>
        </w:tc>
      </w:tr>
    </w:tbl>
    <w:p w14:paraId="1D396E18" w14:textId="77777777" w:rsidR="00345EE3" w:rsidRPr="00ED2501" w:rsidRDefault="00345EE3" w:rsidP="00345EE3">
      <w:pPr>
        <w:spacing w:before="73"/>
        <w:ind w:left="110"/>
        <w:rPr>
          <w:sz w:val="18"/>
          <w:szCs w:val="18"/>
        </w:rPr>
      </w:pPr>
      <w:r w:rsidRPr="00ED2501">
        <w:rPr>
          <w:b/>
          <w:color w:val="231F20"/>
          <w:sz w:val="18"/>
          <w:szCs w:val="18"/>
        </w:rPr>
        <w:t>Source:</w:t>
      </w:r>
      <w:r w:rsidRPr="00ED2501">
        <w:rPr>
          <w:b/>
          <w:color w:val="231F20"/>
          <w:spacing w:val="2"/>
          <w:sz w:val="18"/>
          <w:szCs w:val="18"/>
        </w:rPr>
        <w:t xml:space="preserve"> </w:t>
      </w:r>
      <w:r w:rsidRPr="00ED2501">
        <w:rPr>
          <w:color w:val="231F20"/>
          <w:sz w:val="18"/>
          <w:szCs w:val="18"/>
        </w:rPr>
        <w:t>Licensing and</w:t>
      </w:r>
      <w:r w:rsidRPr="00ED2501">
        <w:rPr>
          <w:color w:val="231F20"/>
          <w:spacing w:val="-1"/>
          <w:sz w:val="18"/>
          <w:szCs w:val="18"/>
        </w:rPr>
        <w:t xml:space="preserve"> </w:t>
      </w:r>
      <w:r w:rsidRPr="00ED2501">
        <w:rPr>
          <w:color w:val="231F20"/>
          <w:sz w:val="18"/>
          <w:szCs w:val="18"/>
        </w:rPr>
        <w:t>Regulation Division. Data</w:t>
      </w:r>
      <w:r w:rsidRPr="00ED2501">
        <w:rPr>
          <w:color w:val="231F20"/>
          <w:spacing w:val="-1"/>
          <w:sz w:val="18"/>
          <w:szCs w:val="18"/>
        </w:rPr>
        <w:t xml:space="preserve"> </w:t>
      </w:r>
      <w:r w:rsidRPr="00ED2501">
        <w:rPr>
          <w:color w:val="231F20"/>
          <w:sz w:val="18"/>
          <w:szCs w:val="18"/>
        </w:rPr>
        <w:t>extracted from</w:t>
      </w:r>
      <w:r w:rsidRPr="00ED2501">
        <w:rPr>
          <w:color w:val="231F20"/>
          <w:spacing w:val="-1"/>
          <w:sz w:val="18"/>
          <w:szCs w:val="18"/>
        </w:rPr>
        <w:t xml:space="preserve"> </w:t>
      </w:r>
      <w:r w:rsidRPr="00ED2501">
        <w:rPr>
          <w:color w:val="231F20"/>
          <w:sz w:val="18"/>
          <w:szCs w:val="18"/>
        </w:rPr>
        <w:t>Licencing and Registration</w:t>
      </w:r>
      <w:r w:rsidRPr="00ED2501">
        <w:rPr>
          <w:color w:val="231F20"/>
          <w:spacing w:val="-1"/>
          <w:sz w:val="18"/>
          <w:szCs w:val="18"/>
        </w:rPr>
        <w:t xml:space="preserve"> </w:t>
      </w:r>
      <w:r w:rsidRPr="00ED2501">
        <w:rPr>
          <w:color w:val="231F20"/>
          <w:sz w:val="18"/>
          <w:szCs w:val="18"/>
        </w:rPr>
        <w:t>System on</w:t>
      </w:r>
      <w:r w:rsidRPr="00ED2501">
        <w:rPr>
          <w:color w:val="231F20"/>
          <w:spacing w:val="-1"/>
          <w:sz w:val="18"/>
          <w:szCs w:val="18"/>
        </w:rPr>
        <w:t xml:space="preserve"> </w:t>
      </w:r>
      <w:r w:rsidRPr="00ED2501">
        <w:rPr>
          <w:color w:val="231F20"/>
          <w:sz w:val="18"/>
          <w:szCs w:val="18"/>
        </w:rPr>
        <w:t xml:space="preserve">30 June </w:t>
      </w:r>
      <w:r w:rsidRPr="00ED2501">
        <w:rPr>
          <w:color w:val="231F20"/>
          <w:spacing w:val="-2"/>
          <w:sz w:val="18"/>
          <w:szCs w:val="18"/>
        </w:rPr>
        <w:t>2022.</w:t>
      </w:r>
    </w:p>
    <w:p w14:paraId="3F4143D8" w14:textId="77777777" w:rsidR="00345EE3" w:rsidRPr="00ED2501" w:rsidRDefault="00345EE3" w:rsidP="00345EE3">
      <w:pPr>
        <w:spacing w:before="27"/>
        <w:ind w:left="110" w:right="921"/>
        <w:rPr>
          <w:sz w:val="18"/>
          <w:szCs w:val="18"/>
        </w:rPr>
      </w:pPr>
      <w:r w:rsidRPr="00ED2501">
        <w:rPr>
          <w:b/>
          <w:color w:val="231F20"/>
          <w:sz w:val="18"/>
          <w:szCs w:val="18"/>
        </w:rPr>
        <w:t xml:space="preserve">Note: </w:t>
      </w:r>
      <w:r w:rsidRPr="00ED2501">
        <w:rPr>
          <w:color w:val="231F20"/>
          <w:sz w:val="18"/>
          <w:szCs w:val="18"/>
        </w:rPr>
        <w:t>Total</w:t>
      </w:r>
      <w:r w:rsidRPr="00ED2501">
        <w:rPr>
          <w:color w:val="231F20"/>
          <w:spacing w:val="-1"/>
          <w:sz w:val="18"/>
          <w:szCs w:val="18"/>
        </w:rPr>
        <w:t xml:space="preserve"> </w:t>
      </w:r>
      <w:r w:rsidRPr="00ED2501">
        <w:rPr>
          <w:color w:val="231F20"/>
          <w:sz w:val="18"/>
          <w:szCs w:val="18"/>
        </w:rPr>
        <w:t>number</w:t>
      </w:r>
      <w:r w:rsidRPr="00ED2501">
        <w:rPr>
          <w:color w:val="231F20"/>
          <w:spacing w:val="-1"/>
          <w:sz w:val="18"/>
          <w:szCs w:val="18"/>
        </w:rPr>
        <w:t xml:space="preserve"> </w:t>
      </w:r>
      <w:r w:rsidRPr="00ED2501">
        <w:rPr>
          <w:color w:val="231F20"/>
          <w:sz w:val="18"/>
          <w:szCs w:val="18"/>
        </w:rPr>
        <w:t>of</w:t>
      </w:r>
      <w:r w:rsidRPr="00ED2501">
        <w:rPr>
          <w:color w:val="231F20"/>
          <w:spacing w:val="-1"/>
          <w:sz w:val="18"/>
          <w:szCs w:val="18"/>
        </w:rPr>
        <w:t xml:space="preserve"> </w:t>
      </w:r>
      <w:r w:rsidRPr="00ED2501">
        <w:rPr>
          <w:color w:val="231F20"/>
          <w:sz w:val="18"/>
          <w:szCs w:val="18"/>
        </w:rPr>
        <w:t>applications</w:t>
      </w:r>
      <w:r w:rsidRPr="00ED2501">
        <w:rPr>
          <w:color w:val="231F20"/>
          <w:spacing w:val="-1"/>
          <w:sz w:val="18"/>
          <w:szCs w:val="18"/>
        </w:rPr>
        <w:t xml:space="preserve"> </w:t>
      </w:r>
      <w:r w:rsidRPr="00ED2501">
        <w:rPr>
          <w:color w:val="231F20"/>
          <w:sz w:val="18"/>
          <w:szCs w:val="18"/>
        </w:rPr>
        <w:t>approved</w:t>
      </w:r>
      <w:r w:rsidRPr="00ED2501">
        <w:rPr>
          <w:color w:val="231F20"/>
          <w:spacing w:val="-1"/>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refused</w:t>
      </w:r>
      <w:r w:rsidRPr="00ED2501">
        <w:rPr>
          <w:color w:val="231F20"/>
          <w:spacing w:val="-1"/>
          <w:sz w:val="18"/>
          <w:szCs w:val="18"/>
        </w:rPr>
        <w:t xml:space="preserve"> </w:t>
      </w:r>
      <w:r w:rsidRPr="00ED2501">
        <w:rPr>
          <w:color w:val="231F20"/>
          <w:sz w:val="18"/>
          <w:szCs w:val="18"/>
        </w:rPr>
        <w:t>will</w:t>
      </w:r>
      <w:r w:rsidRPr="00ED2501">
        <w:rPr>
          <w:color w:val="231F20"/>
          <w:spacing w:val="-1"/>
          <w:sz w:val="18"/>
          <w:szCs w:val="18"/>
        </w:rPr>
        <w:t xml:space="preserve"> </w:t>
      </w:r>
      <w:r w:rsidRPr="00ED2501">
        <w:rPr>
          <w:color w:val="231F20"/>
          <w:sz w:val="18"/>
          <w:szCs w:val="18"/>
        </w:rPr>
        <w:t>not</w:t>
      </w:r>
      <w:r w:rsidRPr="00ED2501">
        <w:rPr>
          <w:color w:val="231F20"/>
          <w:spacing w:val="-1"/>
          <w:sz w:val="18"/>
          <w:szCs w:val="18"/>
        </w:rPr>
        <w:t xml:space="preserve"> </w:t>
      </w:r>
      <w:r w:rsidRPr="00ED2501">
        <w:rPr>
          <w:color w:val="231F20"/>
          <w:sz w:val="18"/>
          <w:szCs w:val="18"/>
        </w:rPr>
        <w:t>combine</w:t>
      </w:r>
      <w:r w:rsidRPr="00ED2501">
        <w:rPr>
          <w:color w:val="231F20"/>
          <w:spacing w:val="-1"/>
          <w:sz w:val="18"/>
          <w:szCs w:val="18"/>
        </w:rPr>
        <w:t xml:space="preserve"> </w:t>
      </w:r>
      <w:r w:rsidRPr="00ED2501">
        <w:rPr>
          <w:color w:val="231F20"/>
          <w:sz w:val="18"/>
          <w:szCs w:val="18"/>
        </w:rPr>
        <w:t>to</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total</w:t>
      </w:r>
      <w:r w:rsidRPr="00ED2501">
        <w:rPr>
          <w:color w:val="231F20"/>
          <w:spacing w:val="-1"/>
          <w:sz w:val="18"/>
          <w:szCs w:val="18"/>
        </w:rPr>
        <w:t xml:space="preserve"> </w:t>
      </w:r>
      <w:r w:rsidRPr="00ED2501">
        <w:rPr>
          <w:color w:val="231F20"/>
          <w:sz w:val="18"/>
          <w:szCs w:val="18"/>
        </w:rPr>
        <w:t>number</w:t>
      </w:r>
      <w:r w:rsidRPr="00ED2501">
        <w:rPr>
          <w:color w:val="231F20"/>
          <w:spacing w:val="-1"/>
          <w:sz w:val="18"/>
          <w:szCs w:val="18"/>
        </w:rPr>
        <w:t xml:space="preserve"> </w:t>
      </w:r>
      <w:r w:rsidRPr="00ED2501">
        <w:rPr>
          <w:color w:val="231F20"/>
          <w:sz w:val="18"/>
          <w:szCs w:val="18"/>
        </w:rPr>
        <w:t>of</w:t>
      </w:r>
      <w:r w:rsidRPr="00ED2501">
        <w:rPr>
          <w:color w:val="231F20"/>
          <w:spacing w:val="-1"/>
          <w:sz w:val="18"/>
          <w:szCs w:val="18"/>
        </w:rPr>
        <w:t xml:space="preserve"> </w:t>
      </w:r>
      <w:r w:rsidRPr="00ED2501">
        <w:rPr>
          <w:color w:val="231F20"/>
          <w:sz w:val="18"/>
          <w:szCs w:val="18"/>
        </w:rPr>
        <w:t>applications</w:t>
      </w:r>
      <w:r w:rsidRPr="00ED2501">
        <w:rPr>
          <w:color w:val="231F20"/>
          <w:spacing w:val="-1"/>
          <w:sz w:val="18"/>
          <w:szCs w:val="18"/>
        </w:rPr>
        <w:t xml:space="preserve"> </w:t>
      </w:r>
      <w:r w:rsidRPr="00ED2501">
        <w:rPr>
          <w:color w:val="231F20"/>
          <w:sz w:val="18"/>
          <w:szCs w:val="18"/>
        </w:rPr>
        <w:t>processed</w:t>
      </w:r>
      <w:r w:rsidRPr="00ED2501">
        <w:rPr>
          <w:color w:val="231F20"/>
          <w:spacing w:val="-1"/>
          <w:sz w:val="18"/>
          <w:szCs w:val="18"/>
        </w:rPr>
        <w:t xml:space="preserve"> </w:t>
      </w:r>
      <w:r w:rsidRPr="00ED2501">
        <w:rPr>
          <w:color w:val="231F20"/>
          <w:sz w:val="18"/>
          <w:szCs w:val="18"/>
        </w:rPr>
        <w:t>as</w:t>
      </w:r>
      <w:r w:rsidRPr="00ED2501">
        <w:rPr>
          <w:color w:val="231F20"/>
          <w:spacing w:val="-1"/>
          <w:sz w:val="18"/>
          <w:szCs w:val="18"/>
        </w:rPr>
        <w:t xml:space="preserve"> </w:t>
      </w:r>
      <w:r w:rsidRPr="00ED2501">
        <w:rPr>
          <w:color w:val="231F20"/>
          <w:sz w:val="18"/>
          <w:szCs w:val="18"/>
        </w:rPr>
        <w:t>there</w:t>
      </w:r>
      <w:r w:rsidRPr="00ED2501">
        <w:rPr>
          <w:color w:val="231F20"/>
          <w:spacing w:val="-1"/>
          <w:sz w:val="18"/>
          <w:szCs w:val="18"/>
        </w:rPr>
        <w:t xml:space="preserve"> </w:t>
      </w:r>
      <w:r w:rsidRPr="00ED2501">
        <w:rPr>
          <w:color w:val="231F20"/>
          <w:sz w:val="18"/>
          <w:szCs w:val="18"/>
        </w:rPr>
        <w:t>are</w:t>
      </w:r>
      <w:r w:rsidRPr="00ED2501">
        <w:rPr>
          <w:color w:val="231F20"/>
          <w:spacing w:val="-1"/>
          <w:sz w:val="18"/>
          <w:szCs w:val="18"/>
        </w:rPr>
        <w:t xml:space="preserve"> </w:t>
      </w:r>
      <w:r w:rsidRPr="00ED2501">
        <w:rPr>
          <w:color w:val="231F20"/>
          <w:sz w:val="18"/>
          <w:szCs w:val="18"/>
        </w:rPr>
        <w:t>applications</w:t>
      </w:r>
      <w:r w:rsidRPr="00ED2501">
        <w:rPr>
          <w:color w:val="231F20"/>
          <w:spacing w:val="-1"/>
          <w:sz w:val="18"/>
          <w:szCs w:val="18"/>
        </w:rPr>
        <w:t xml:space="preserve"> </w:t>
      </w:r>
      <w:r w:rsidRPr="00ED2501">
        <w:rPr>
          <w:color w:val="231F20"/>
          <w:sz w:val="18"/>
          <w:szCs w:val="18"/>
        </w:rPr>
        <w:t>that</w:t>
      </w:r>
      <w:r w:rsidRPr="00ED2501">
        <w:rPr>
          <w:color w:val="231F20"/>
          <w:spacing w:val="-1"/>
          <w:sz w:val="18"/>
          <w:szCs w:val="18"/>
        </w:rPr>
        <w:t xml:space="preserve"> </w:t>
      </w:r>
      <w:r w:rsidRPr="00ED2501">
        <w:rPr>
          <w:color w:val="231F20"/>
          <w:sz w:val="18"/>
          <w:szCs w:val="18"/>
        </w:rPr>
        <w:t>are</w:t>
      </w:r>
      <w:r w:rsidRPr="00ED2501">
        <w:rPr>
          <w:color w:val="231F20"/>
          <w:spacing w:val="-1"/>
          <w:sz w:val="18"/>
          <w:szCs w:val="18"/>
        </w:rPr>
        <w:t xml:space="preserve"> </w:t>
      </w:r>
      <w:r w:rsidRPr="00ED2501">
        <w:rPr>
          <w:color w:val="231F20"/>
          <w:sz w:val="18"/>
          <w:szCs w:val="18"/>
        </w:rPr>
        <w:t>received</w:t>
      </w:r>
      <w:r w:rsidRPr="00ED2501">
        <w:rPr>
          <w:color w:val="231F20"/>
          <w:spacing w:val="40"/>
          <w:sz w:val="18"/>
          <w:szCs w:val="18"/>
        </w:rPr>
        <w:t xml:space="preserve"> </w:t>
      </w:r>
      <w:r w:rsidRPr="00ED2501">
        <w:rPr>
          <w:color w:val="231F20"/>
          <w:sz w:val="18"/>
          <w:szCs w:val="18"/>
        </w:rPr>
        <w:t>and processed by LRD that are abandoned, discarded or outstanding.</w:t>
      </w:r>
    </w:p>
    <w:p w14:paraId="45D486FE" w14:textId="77777777" w:rsidR="00345EE3" w:rsidRDefault="00345EE3" w:rsidP="00345EE3">
      <w:pPr>
        <w:spacing w:before="75"/>
        <w:ind w:left="110"/>
        <w:rPr>
          <w:rFonts w:ascii="Arial-BoldItalicMT" w:hAnsi="Arial-BoldItalicMT"/>
          <w:b/>
          <w:i/>
          <w:sz w:val="18"/>
        </w:rPr>
      </w:pPr>
      <w:r>
        <w:rPr>
          <w:color w:val="231F20"/>
          <w:sz w:val="18"/>
        </w:rPr>
        <w:t>Table</w:t>
      </w:r>
      <w:r>
        <w:rPr>
          <w:color w:val="231F20"/>
          <w:spacing w:val="-9"/>
          <w:sz w:val="18"/>
        </w:rPr>
        <w:t xml:space="preserve"> </w:t>
      </w:r>
      <w:r>
        <w:rPr>
          <w:color w:val="231F20"/>
          <w:sz w:val="18"/>
        </w:rPr>
        <w:t>5.31:</w:t>
      </w:r>
      <w:r>
        <w:rPr>
          <w:color w:val="231F20"/>
          <w:spacing w:val="-6"/>
          <w:sz w:val="18"/>
        </w:rPr>
        <w:t xml:space="preserve"> </w:t>
      </w:r>
      <w:r>
        <w:rPr>
          <w:rFonts w:ascii="Arial-BoldItalicMT" w:hAnsi="Arial-BoldItalicMT"/>
          <w:b/>
          <w:i/>
          <w:color w:val="231F20"/>
          <w:sz w:val="18"/>
        </w:rPr>
        <w:t>Total</w:t>
      </w:r>
      <w:r>
        <w:rPr>
          <w:rFonts w:ascii="Arial-BoldItalicMT" w:hAnsi="Arial-BoldItalicMT"/>
          <w:b/>
          <w:i/>
          <w:color w:val="231F20"/>
          <w:spacing w:val="-9"/>
          <w:sz w:val="18"/>
        </w:rPr>
        <w:t xml:space="preserve"> </w:t>
      </w:r>
      <w:r>
        <w:rPr>
          <w:rFonts w:ascii="Arial-BoldItalicMT" w:hAnsi="Arial-BoldItalicMT"/>
          <w:b/>
          <w:i/>
          <w:color w:val="231F20"/>
          <w:sz w:val="18"/>
        </w:rPr>
        <w:t>number</w:t>
      </w:r>
      <w:r>
        <w:rPr>
          <w:rFonts w:ascii="Arial-BoldItalicMT" w:hAnsi="Arial-BoldItalicMT"/>
          <w:b/>
          <w:i/>
          <w:color w:val="231F20"/>
          <w:spacing w:val="-8"/>
          <w:sz w:val="18"/>
        </w:rPr>
        <w:t xml:space="preserve"> </w:t>
      </w:r>
      <w:r>
        <w:rPr>
          <w:rFonts w:ascii="Arial-BoldItalicMT" w:hAnsi="Arial-BoldItalicMT"/>
          <w:b/>
          <w:i/>
          <w:color w:val="231F20"/>
          <w:sz w:val="18"/>
        </w:rPr>
        <w:t>of</w:t>
      </w:r>
      <w:r>
        <w:rPr>
          <w:rFonts w:ascii="Arial-BoldItalicMT" w:hAnsi="Arial-BoldItalicMT"/>
          <w:b/>
          <w:i/>
          <w:color w:val="231F20"/>
          <w:spacing w:val="-9"/>
          <w:sz w:val="18"/>
        </w:rPr>
        <w:t xml:space="preserve"> </w:t>
      </w:r>
      <w:r>
        <w:rPr>
          <w:rFonts w:ascii="Arial-BoldItalicMT" w:hAnsi="Arial-BoldItalicMT"/>
          <w:b/>
          <w:i/>
          <w:color w:val="231F20"/>
          <w:sz w:val="18"/>
        </w:rPr>
        <w:t>Licences</w:t>
      </w:r>
      <w:r>
        <w:rPr>
          <w:rFonts w:ascii="Arial-BoldItalicMT" w:hAnsi="Arial-BoldItalicMT"/>
          <w:b/>
          <w:i/>
          <w:color w:val="231F20"/>
          <w:spacing w:val="-9"/>
          <w:sz w:val="18"/>
        </w:rPr>
        <w:t xml:space="preserve"> </w:t>
      </w:r>
      <w:r>
        <w:rPr>
          <w:rFonts w:ascii="Arial-BoldItalicMT" w:hAnsi="Arial-BoldItalicMT"/>
          <w:b/>
          <w:i/>
          <w:color w:val="231F20"/>
          <w:sz w:val="18"/>
        </w:rPr>
        <w:t>Suspended</w:t>
      </w:r>
      <w:r>
        <w:rPr>
          <w:rFonts w:ascii="Arial-BoldItalicMT" w:hAnsi="Arial-BoldItalicMT"/>
          <w:b/>
          <w:i/>
          <w:color w:val="231F20"/>
          <w:spacing w:val="-9"/>
          <w:sz w:val="18"/>
        </w:rPr>
        <w:t xml:space="preserve"> </w:t>
      </w:r>
      <w:r>
        <w:rPr>
          <w:rFonts w:ascii="Arial-BoldItalicMT" w:hAnsi="Arial-BoldItalicMT"/>
          <w:b/>
          <w:i/>
          <w:color w:val="231F20"/>
          <w:sz w:val="18"/>
        </w:rPr>
        <w:t>or</w:t>
      </w:r>
      <w:r>
        <w:rPr>
          <w:rFonts w:ascii="Arial-BoldItalicMT" w:hAnsi="Arial-BoldItalicMT"/>
          <w:b/>
          <w:i/>
          <w:color w:val="231F20"/>
          <w:spacing w:val="-9"/>
          <w:sz w:val="18"/>
        </w:rPr>
        <w:t xml:space="preserve"> </w:t>
      </w:r>
      <w:r>
        <w:rPr>
          <w:rFonts w:ascii="Arial-BoldItalicMT" w:hAnsi="Arial-BoldItalicMT"/>
          <w:b/>
          <w:i/>
          <w:color w:val="231F20"/>
          <w:sz w:val="18"/>
        </w:rPr>
        <w:t>Cancelled</w:t>
      </w:r>
      <w:r>
        <w:rPr>
          <w:rFonts w:ascii="Arial-BoldItalicMT" w:hAnsi="Arial-BoldItalicMT"/>
          <w:b/>
          <w:i/>
          <w:color w:val="231F20"/>
          <w:spacing w:val="-9"/>
          <w:sz w:val="18"/>
        </w:rPr>
        <w:t xml:space="preserve"> </w:t>
      </w:r>
      <w:r>
        <w:rPr>
          <w:rFonts w:ascii="Arial-BoldItalicMT" w:hAnsi="Arial-BoldItalicMT"/>
          <w:b/>
          <w:i/>
          <w:color w:val="231F20"/>
          <w:sz w:val="18"/>
        </w:rPr>
        <w:t>in</w:t>
      </w:r>
      <w:r>
        <w:rPr>
          <w:rFonts w:ascii="Arial-BoldItalicMT" w:hAnsi="Arial-BoldItalicMT"/>
          <w:b/>
          <w:i/>
          <w:color w:val="231F20"/>
          <w:spacing w:val="-8"/>
          <w:sz w:val="18"/>
        </w:rPr>
        <w:t xml:space="preserve"> </w:t>
      </w:r>
      <w:r>
        <w:rPr>
          <w:rFonts w:ascii="Arial-BoldItalicMT" w:hAnsi="Arial-BoldItalicMT"/>
          <w:b/>
          <w:i/>
          <w:color w:val="231F20"/>
          <w:spacing w:val="-2"/>
          <w:sz w:val="18"/>
        </w:rPr>
        <w:t>2021–22</w:t>
      </w:r>
    </w:p>
    <w:p w14:paraId="054B89BB"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033"/>
        <w:gridCol w:w="1701"/>
        <w:gridCol w:w="1701"/>
      </w:tblGrid>
      <w:tr w:rsidR="00345EE3" w14:paraId="274FF9A3" w14:textId="77777777" w:rsidTr="00D73130">
        <w:trPr>
          <w:trHeight w:val="401"/>
        </w:trPr>
        <w:tc>
          <w:tcPr>
            <w:tcW w:w="6435" w:type="dxa"/>
            <w:gridSpan w:val="3"/>
            <w:tcBorders>
              <w:top w:val="nil"/>
              <w:left w:val="nil"/>
              <w:bottom w:val="nil"/>
              <w:right w:val="nil"/>
            </w:tcBorders>
            <w:shd w:val="clear" w:color="auto" w:fill="00529F"/>
          </w:tcPr>
          <w:p w14:paraId="3DEF7B0A" w14:textId="77777777" w:rsidR="00345EE3" w:rsidRDefault="00345EE3" w:rsidP="00D73130">
            <w:pPr>
              <w:pStyle w:val="TableParagraph"/>
              <w:spacing w:before="0"/>
              <w:jc w:val="left"/>
              <w:rPr>
                <w:rFonts w:ascii="Times New Roman"/>
              </w:rPr>
            </w:pPr>
          </w:p>
        </w:tc>
      </w:tr>
      <w:tr w:rsidR="00345EE3" w14:paraId="6F4D556B" w14:textId="77777777" w:rsidTr="00D73130">
        <w:trPr>
          <w:trHeight w:val="396"/>
        </w:trPr>
        <w:tc>
          <w:tcPr>
            <w:tcW w:w="3033" w:type="dxa"/>
            <w:tcBorders>
              <w:top w:val="nil"/>
              <w:left w:val="nil"/>
            </w:tcBorders>
          </w:tcPr>
          <w:p w14:paraId="4228B53C" w14:textId="77777777" w:rsidR="00345EE3" w:rsidRDefault="00345EE3" w:rsidP="00D73130">
            <w:pPr>
              <w:pStyle w:val="TableParagraph"/>
              <w:ind w:left="-3"/>
              <w:jc w:val="left"/>
              <w:rPr>
                <w:sz w:val="24"/>
              </w:rPr>
            </w:pPr>
            <w:r>
              <w:rPr>
                <w:color w:val="231F20"/>
                <w:sz w:val="24"/>
              </w:rPr>
              <w:t xml:space="preserve">Firearm </w:t>
            </w:r>
            <w:r>
              <w:rPr>
                <w:color w:val="231F20"/>
                <w:spacing w:val="-2"/>
                <w:sz w:val="24"/>
              </w:rPr>
              <w:t>Licences</w:t>
            </w:r>
          </w:p>
        </w:tc>
        <w:tc>
          <w:tcPr>
            <w:tcW w:w="1701" w:type="dxa"/>
            <w:tcBorders>
              <w:top w:val="nil"/>
            </w:tcBorders>
          </w:tcPr>
          <w:p w14:paraId="2EBDA287" w14:textId="77777777" w:rsidR="00345EE3" w:rsidRDefault="00345EE3" w:rsidP="00D73130">
            <w:pPr>
              <w:pStyle w:val="TableParagraph"/>
              <w:ind w:right="83"/>
              <w:rPr>
                <w:sz w:val="24"/>
              </w:rPr>
            </w:pPr>
            <w:r>
              <w:rPr>
                <w:color w:val="231F20"/>
                <w:spacing w:val="-2"/>
                <w:sz w:val="24"/>
              </w:rPr>
              <w:t>1,562</w:t>
            </w:r>
          </w:p>
        </w:tc>
        <w:tc>
          <w:tcPr>
            <w:tcW w:w="1701" w:type="dxa"/>
            <w:tcBorders>
              <w:top w:val="nil"/>
              <w:right w:val="nil"/>
            </w:tcBorders>
          </w:tcPr>
          <w:p w14:paraId="3C10E5D1" w14:textId="77777777" w:rsidR="00345EE3" w:rsidRDefault="00345EE3" w:rsidP="00D73130">
            <w:pPr>
              <w:pStyle w:val="TableParagraph"/>
              <w:rPr>
                <w:sz w:val="24"/>
              </w:rPr>
            </w:pPr>
            <w:r>
              <w:rPr>
                <w:color w:val="231F20"/>
                <w:spacing w:val="-2"/>
                <w:sz w:val="24"/>
              </w:rPr>
              <w:t>1,569</w:t>
            </w:r>
          </w:p>
        </w:tc>
      </w:tr>
      <w:tr w:rsidR="00345EE3" w14:paraId="6FBD748D" w14:textId="77777777" w:rsidTr="00D73130">
        <w:trPr>
          <w:trHeight w:val="676"/>
        </w:trPr>
        <w:tc>
          <w:tcPr>
            <w:tcW w:w="3033" w:type="dxa"/>
            <w:tcBorders>
              <w:left w:val="nil"/>
            </w:tcBorders>
          </w:tcPr>
          <w:p w14:paraId="04D2E98E" w14:textId="77777777" w:rsidR="00345EE3" w:rsidRDefault="00345EE3" w:rsidP="00D73130">
            <w:pPr>
              <w:pStyle w:val="TableParagraph"/>
              <w:spacing w:line="242" w:lineRule="auto"/>
              <w:ind w:left="-3" w:right="112"/>
              <w:jc w:val="left"/>
              <w:rPr>
                <w:sz w:val="24"/>
              </w:rPr>
            </w:pPr>
            <w:r>
              <w:rPr>
                <w:color w:val="231F20"/>
                <w:sz w:val="24"/>
              </w:rPr>
              <w:t>Private</w:t>
            </w:r>
            <w:r>
              <w:rPr>
                <w:color w:val="231F20"/>
                <w:spacing w:val="-17"/>
                <w:sz w:val="24"/>
              </w:rPr>
              <w:t xml:space="preserve"> </w:t>
            </w:r>
            <w:r>
              <w:rPr>
                <w:color w:val="231F20"/>
                <w:sz w:val="24"/>
              </w:rPr>
              <w:t>Security</w:t>
            </w:r>
            <w:r>
              <w:rPr>
                <w:color w:val="231F20"/>
                <w:spacing w:val="-17"/>
                <w:sz w:val="24"/>
              </w:rPr>
              <w:t xml:space="preserve"> </w:t>
            </w:r>
            <w:r>
              <w:rPr>
                <w:color w:val="231F20"/>
                <w:sz w:val="24"/>
              </w:rPr>
              <w:t>Licence and registrations</w:t>
            </w:r>
          </w:p>
        </w:tc>
        <w:tc>
          <w:tcPr>
            <w:tcW w:w="1701" w:type="dxa"/>
          </w:tcPr>
          <w:p w14:paraId="2A568D7B" w14:textId="77777777" w:rsidR="00345EE3" w:rsidRDefault="00345EE3" w:rsidP="00D73130">
            <w:pPr>
              <w:pStyle w:val="TableParagraph"/>
              <w:ind w:right="83"/>
              <w:rPr>
                <w:sz w:val="24"/>
              </w:rPr>
            </w:pPr>
            <w:r>
              <w:rPr>
                <w:color w:val="231F20"/>
                <w:spacing w:val="-5"/>
                <w:sz w:val="24"/>
              </w:rPr>
              <w:t>134</w:t>
            </w:r>
          </w:p>
        </w:tc>
        <w:tc>
          <w:tcPr>
            <w:tcW w:w="1701" w:type="dxa"/>
            <w:tcBorders>
              <w:right w:val="nil"/>
            </w:tcBorders>
          </w:tcPr>
          <w:p w14:paraId="557E778E" w14:textId="77777777" w:rsidR="00345EE3" w:rsidRDefault="00345EE3" w:rsidP="00D73130">
            <w:pPr>
              <w:pStyle w:val="TableParagraph"/>
              <w:rPr>
                <w:sz w:val="24"/>
              </w:rPr>
            </w:pPr>
            <w:r>
              <w:rPr>
                <w:color w:val="231F20"/>
                <w:spacing w:val="-5"/>
                <w:sz w:val="24"/>
              </w:rPr>
              <w:t>169</w:t>
            </w:r>
          </w:p>
        </w:tc>
      </w:tr>
      <w:tr w:rsidR="00345EE3" w14:paraId="5C8B8380" w14:textId="77777777" w:rsidTr="00D73130">
        <w:trPr>
          <w:trHeight w:val="391"/>
        </w:trPr>
        <w:tc>
          <w:tcPr>
            <w:tcW w:w="3033" w:type="dxa"/>
            <w:tcBorders>
              <w:left w:val="nil"/>
              <w:bottom w:val="single" w:sz="6" w:space="0" w:color="231F20"/>
            </w:tcBorders>
          </w:tcPr>
          <w:p w14:paraId="522D29A0" w14:textId="77777777" w:rsidR="00345EE3" w:rsidRDefault="00345EE3" w:rsidP="00D73130">
            <w:pPr>
              <w:pStyle w:val="TableParagraph"/>
              <w:ind w:left="-3"/>
              <w:jc w:val="left"/>
              <w:rPr>
                <w:b/>
                <w:sz w:val="24"/>
              </w:rPr>
            </w:pPr>
            <w:r>
              <w:rPr>
                <w:b/>
                <w:color w:val="231F20"/>
                <w:spacing w:val="-2"/>
                <w:sz w:val="24"/>
              </w:rPr>
              <w:t>Subtotal</w:t>
            </w:r>
          </w:p>
        </w:tc>
        <w:tc>
          <w:tcPr>
            <w:tcW w:w="1701" w:type="dxa"/>
            <w:tcBorders>
              <w:bottom w:val="single" w:sz="6" w:space="0" w:color="231F20"/>
            </w:tcBorders>
          </w:tcPr>
          <w:p w14:paraId="29A2C840" w14:textId="77777777" w:rsidR="00345EE3" w:rsidRDefault="00345EE3" w:rsidP="00D73130">
            <w:pPr>
              <w:pStyle w:val="TableParagraph"/>
              <w:ind w:right="81"/>
              <w:rPr>
                <w:b/>
                <w:sz w:val="24"/>
              </w:rPr>
            </w:pPr>
            <w:r>
              <w:rPr>
                <w:b/>
                <w:color w:val="231F20"/>
                <w:spacing w:val="-2"/>
                <w:sz w:val="24"/>
              </w:rPr>
              <w:t>1,696</w:t>
            </w:r>
          </w:p>
        </w:tc>
        <w:tc>
          <w:tcPr>
            <w:tcW w:w="1701" w:type="dxa"/>
            <w:tcBorders>
              <w:bottom w:val="single" w:sz="6" w:space="0" w:color="231F20"/>
              <w:right w:val="nil"/>
            </w:tcBorders>
          </w:tcPr>
          <w:p w14:paraId="64E91305" w14:textId="77777777" w:rsidR="00345EE3" w:rsidRDefault="00345EE3" w:rsidP="00D73130">
            <w:pPr>
              <w:pStyle w:val="TableParagraph"/>
              <w:ind w:right="-15"/>
              <w:rPr>
                <w:b/>
                <w:sz w:val="24"/>
              </w:rPr>
            </w:pPr>
            <w:r>
              <w:rPr>
                <w:b/>
                <w:color w:val="231F20"/>
                <w:spacing w:val="-2"/>
                <w:sz w:val="24"/>
              </w:rPr>
              <w:t>1,738</w:t>
            </w:r>
          </w:p>
        </w:tc>
      </w:tr>
    </w:tbl>
    <w:p w14:paraId="6F40B9C9" w14:textId="77777777" w:rsidR="00345EE3" w:rsidRPr="00ED2501" w:rsidRDefault="00345EE3" w:rsidP="00345EE3">
      <w:pPr>
        <w:spacing w:before="71"/>
        <w:ind w:left="110"/>
        <w:rPr>
          <w:sz w:val="18"/>
          <w:szCs w:val="18"/>
        </w:rPr>
      </w:pPr>
      <w:r w:rsidRPr="00ED2501">
        <w:rPr>
          <w:b/>
          <w:color w:val="231F20"/>
          <w:sz w:val="18"/>
          <w:szCs w:val="18"/>
        </w:rPr>
        <w:t>Source:</w:t>
      </w:r>
      <w:r w:rsidRPr="00ED2501">
        <w:rPr>
          <w:b/>
          <w:color w:val="231F20"/>
          <w:spacing w:val="2"/>
          <w:sz w:val="18"/>
          <w:szCs w:val="18"/>
        </w:rPr>
        <w:t xml:space="preserve"> </w:t>
      </w:r>
      <w:r w:rsidRPr="00ED2501">
        <w:rPr>
          <w:color w:val="231F20"/>
          <w:sz w:val="18"/>
          <w:szCs w:val="18"/>
        </w:rPr>
        <w:t>Licensing and</w:t>
      </w:r>
      <w:r w:rsidRPr="00ED2501">
        <w:rPr>
          <w:color w:val="231F20"/>
          <w:spacing w:val="-1"/>
          <w:sz w:val="18"/>
          <w:szCs w:val="18"/>
        </w:rPr>
        <w:t xml:space="preserve"> </w:t>
      </w:r>
      <w:r w:rsidRPr="00ED2501">
        <w:rPr>
          <w:color w:val="231F20"/>
          <w:sz w:val="18"/>
          <w:szCs w:val="18"/>
        </w:rPr>
        <w:t>Regulation Division. Data</w:t>
      </w:r>
      <w:r w:rsidRPr="00ED2501">
        <w:rPr>
          <w:color w:val="231F20"/>
          <w:spacing w:val="-1"/>
          <w:sz w:val="18"/>
          <w:szCs w:val="18"/>
        </w:rPr>
        <w:t xml:space="preserve"> </w:t>
      </w:r>
      <w:r w:rsidRPr="00ED2501">
        <w:rPr>
          <w:color w:val="231F20"/>
          <w:sz w:val="18"/>
          <w:szCs w:val="18"/>
        </w:rPr>
        <w:t>extracted from</w:t>
      </w:r>
      <w:r w:rsidRPr="00ED2501">
        <w:rPr>
          <w:color w:val="231F20"/>
          <w:spacing w:val="-1"/>
          <w:sz w:val="18"/>
          <w:szCs w:val="18"/>
        </w:rPr>
        <w:t xml:space="preserve"> </w:t>
      </w:r>
      <w:r w:rsidRPr="00ED2501">
        <w:rPr>
          <w:color w:val="231F20"/>
          <w:sz w:val="18"/>
          <w:szCs w:val="18"/>
        </w:rPr>
        <w:t>Licencing and Registration</w:t>
      </w:r>
      <w:r w:rsidRPr="00ED2501">
        <w:rPr>
          <w:color w:val="231F20"/>
          <w:spacing w:val="-1"/>
          <w:sz w:val="18"/>
          <w:szCs w:val="18"/>
        </w:rPr>
        <w:t xml:space="preserve"> </w:t>
      </w:r>
      <w:r w:rsidRPr="00ED2501">
        <w:rPr>
          <w:color w:val="231F20"/>
          <w:sz w:val="18"/>
          <w:szCs w:val="18"/>
        </w:rPr>
        <w:t>System on</w:t>
      </w:r>
      <w:r w:rsidRPr="00ED2501">
        <w:rPr>
          <w:color w:val="231F20"/>
          <w:spacing w:val="-1"/>
          <w:sz w:val="18"/>
          <w:szCs w:val="18"/>
        </w:rPr>
        <w:t xml:space="preserve"> </w:t>
      </w:r>
      <w:r w:rsidRPr="00ED2501">
        <w:rPr>
          <w:color w:val="231F20"/>
          <w:sz w:val="18"/>
          <w:szCs w:val="18"/>
        </w:rPr>
        <w:t xml:space="preserve">30 June </w:t>
      </w:r>
      <w:r w:rsidRPr="00ED2501">
        <w:rPr>
          <w:color w:val="231F20"/>
          <w:spacing w:val="-2"/>
          <w:sz w:val="18"/>
          <w:szCs w:val="18"/>
        </w:rPr>
        <w:t>2022.</w:t>
      </w:r>
    </w:p>
    <w:p w14:paraId="212450A1" w14:textId="77777777" w:rsidR="00345EE3" w:rsidRDefault="00345EE3" w:rsidP="00345EE3">
      <w:pPr>
        <w:pStyle w:val="BodyText"/>
        <w:spacing w:before="7"/>
        <w:rPr>
          <w:sz w:val="20"/>
        </w:rPr>
      </w:pPr>
    </w:p>
    <w:p w14:paraId="0935E6AA" w14:textId="77777777" w:rsidR="00345EE3" w:rsidRPr="00B07858" w:rsidRDefault="00345EE3" w:rsidP="00345EE3">
      <w:pPr>
        <w:pStyle w:val="Heading2"/>
        <w:spacing w:before="0"/>
        <w:rPr>
          <w:sz w:val="32"/>
          <w:szCs w:val="32"/>
        </w:rPr>
      </w:pPr>
      <w:r w:rsidRPr="00B07858">
        <w:rPr>
          <w:color w:val="00529F"/>
          <w:sz w:val="32"/>
          <w:szCs w:val="32"/>
        </w:rPr>
        <w:t>Professional</w:t>
      </w:r>
      <w:r w:rsidRPr="00B07858">
        <w:rPr>
          <w:color w:val="00529F"/>
          <w:spacing w:val="-21"/>
          <w:sz w:val="32"/>
          <w:szCs w:val="32"/>
        </w:rPr>
        <w:t xml:space="preserve"> </w:t>
      </w:r>
      <w:r w:rsidRPr="00B07858">
        <w:rPr>
          <w:color w:val="00529F"/>
          <w:sz w:val="32"/>
          <w:szCs w:val="32"/>
        </w:rPr>
        <w:t>Standards</w:t>
      </w:r>
      <w:r w:rsidRPr="00B07858">
        <w:rPr>
          <w:color w:val="00529F"/>
          <w:spacing w:val="-18"/>
          <w:sz w:val="32"/>
          <w:szCs w:val="32"/>
        </w:rPr>
        <w:t xml:space="preserve"> </w:t>
      </w:r>
      <w:r w:rsidRPr="00B07858">
        <w:rPr>
          <w:color w:val="00529F"/>
          <w:sz w:val="32"/>
          <w:szCs w:val="32"/>
        </w:rPr>
        <w:t>–</w:t>
      </w:r>
      <w:r w:rsidRPr="00B07858">
        <w:rPr>
          <w:color w:val="00529F"/>
          <w:spacing w:val="-18"/>
          <w:sz w:val="32"/>
          <w:szCs w:val="32"/>
        </w:rPr>
        <w:t xml:space="preserve"> </w:t>
      </w:r>
      <w:r w:rsidRPr="00B07858">
        <w:rPr>
          <w:color w:val="00529F"/>
          <w:sz w:val="32"/>
          <w:szCs w:val="32"/>
        </w:rPr>
        <w:t>Complaints</w:t>
      </w:r>
      <w:r w:rsidRPr="00B07858">
        <w:rPr>
          <w:color w:val="00529F"/>
          <w:spacing w:val="-18"/>
          <w:sz w:val="32"/>
          <w:szCs w:val="32"/>
        </w:rPr>
        <w:t xml:space="preserve"> </w:t>
      </w:r>
      <w:r w:rsidRPr="00B07858">
        <w:rPr>
          <w:color w:val="00529F"/>
          <w:spacing w:val="-2"/>
          <w:sz w:val="32"/>
          <w:szCs w:val="32"/>
        </w:rPr>
        <w:t>Received</w:t>
      </w:r>
    </w:p>
    <w:p w14:paraId="73DEC7BE" w14:textId="77777777" w:rsidR="00345EE3" w:rsidRDefault="00345EE3" w:rsidP="00345EE3">
      <w:pPr>
        <w:pStyle w:val="BodyText"/>
        <w:spacing w:before="72" w:line="242" w:lineRule="auto"/>
        <w:ind w:right="921"/>
      </w:pPr>
      <w:r>
        <w:rPr>
          <w:color w:val="231F20"/>
        </w:rPr>
        <w:t>This</w:t>
      </w:r>
      <w:r>
        <w:rPr>
          <w:color w:val="231F20"/>
          <w:spacing w:val="-6"/>
        </w:rPr>
        <w:t xml:space="preserve"> </w:t>
      </w:r>
      <w:r>
        <w:rPr>
          <w:color w:val="231F20"/>
        </w:rPr>
        <w:t>section</w:t>
      </w:r>
      <w:r>
        <w:rPr>
          <w:color w:val="231F20"/>
          <w:spacing w:val="-7"/>
        </w:rPr>
        <w:t xml:space="preserve"> </w:t>
      </w:r>
      <w:r>
        <w:rPr>
          <w:color w:val="231F20"/>
        </w:rPr>
        <w:t>details</w:t>
      </w:r>
      <w:r>
        <w:rPr>
          <w:color w:val="231F20"/>
          <w:spacing w:val="-6"/>
        </w:rPr>
        <w:t xml:space="preserve"> </w:t>
      </w:r>
      <w:r>
        <w:rPr>
          <w:color w:val="231F20"/>
        </w:rPr>
        <w:t>the</w:t>
      </w:r>
      <w:r>
        <w:rPr>
          <w:color w:val="231F20"/>
          <w:spacing w:val="-7"/>
        </w:rPr>
        <w:t xml:space="preserve"> </w:t>
      </w:r>
      <w:r>
        <w:rPr>
          <w:color w:val="231F20"/>
        </w:rPr>
        <w:t>reporting</w:t>
      </w:r>
      <w:r>
        <w:rPr>
          <w:color w:val="231F20"/>
          <w:spacing w:val="-7"/>
        </w:rPr>
        <w:t xml:space="preserve"> </w:t>
      </w:r>
      <w:r>
        <w:rPr>
          <w:color w:val="231F20"/>
        </w:rPr>
        <w:t>of</w:t>
      </w:r>
      <w:r>
        <w:rPr>
          <w:color w:val="231F20"/>
          <w:spacing w:val="-6"/>
        </w:rPr>
        <w:t xml:space="preserve"> </w:t>
      </w:r>
      <w:r>
        <w:rPr>
          <w:color w:val="231F20"/>
        </w:rPr>
        <w:t>complaints</w:t>
      </w:r>
      <w:r>
        <w:rPr>
          <w:color w:val="231F20"/>
          <w:spacing w:val="-6"/>
        </w:rPr>
        <w:t xml:space="preserve"> </w:t>
      </w:r>
      <w:r>
        <w:rPr>
          <w:color w:val="231F20"/>
        </w:rPr>
        <w:t>data</w:t>
      </w:r>
      <w:r>
        <w:rPr>
          <w:color w:val="231F20"/>
          <w:spacing w:val="-7"/>
        </w:rPr>
        <w:t xml:space="preserve"> </w:t>
      </w:r>
      <w:r>
        <w:rPr>
          <w:color w:val="231F20"/>
        </w:rPr>
        <w:t>as</w:t>
      </w:r>
      <w:r>
        <w:rPr>
          <w:color w:val="231F20"/>
          <w:spacing w:val="-6"/>
        </w:rPr>
        <w:t xml:space="preserve"> </w:t>
      </w:r>
      <w:r>
        <w:rPr>
          <w:color w:val="231F20"/>
        </w:rPr>
        <w:t>an</w:t>
      </w:r>
      <w:r>
        <w:rPr>
          <w:color w:val="231F20"/>
          <w:spacing w:val="-7"/>
        </w:rPr>
        <w:t xml:space="preserve"> </w:t>
      </w:r>
      <w:r>
        <w:rPr>
          <w:color w:val="231F20"/>
        </w:rPr>
        <w:t>outcome</w:t>
      </w:r>
      <w:r>
        <w:rPr>
          <w:color w:val="231F20"/>
          <w:spacing w:val="-7"/>
        </w:rPr>
        <w:t xml:space="preserve"> </w:t>
      </w:r>
      <w:r>
        <w:rPr>
          <w:color w:val="231F20"/>
        </w:rPr>
        <w:t>of</w:t>
      </w:r>
      <w:r>
        <w:rPr>
          <w:color w:val="231F20"/>
          <w:spacing w:val="-6"/>
        </w:rPr>
        <w:t xml:space="preserve"> </w:t>
      </w:r>
      <w:r>
        <w:rPr>
          <w:color w:val="231F20"/>
        </w:rPr>
        <w:t>recommendation</w:t>
      </w:r>
      <w:r>
        <w:rPr>
          <w:color w:val="231F20"/>
          <w:spacing w:val="-7"/>
        </w:rPr>
        <w:t xml:space="preserve"> </w:t>
      </w:r>
      <w:r>
        <w:rPr>
          <w:color w:val="231F20"/>
        </w:rPr>
        <w:t>7</w:t>
      </w:r>
      <w:r>
        <w:rPr>
          <w:color w:val="231F20"/>
          <w:spacing w:val="-7"/>
        </w:rPr>
        <w:t xml:space="preserve"> </w:t>
      </w:r>
      <w:r>
        <w:rPr>
          <w:color w:val="231F20"/>
        </w:rPr>
        <w:t>of</w:t>
      </w:r>
      <w:r>
        <w:rPr>
          <w:color w:val="231F20"/>
          <w:spacing w:val="-6"/>
        </w:rPr>
        <w:t xml:space="preserve"> </w:t>
      </w:r>
      <w:r>
        <w:rPr>
          <w:color w:val="231F20"/>
        </w:rPr>
        <w:t>the 2016 audit of Victoria Police regional complaints handling processes by IBAC.</w:t>
      </w:r>
    </w:p>
    <w:p w14:paraId="44A1C8DF" w14:textId="77777777" w:rsidR="00345EE3" w:rsidRDefault="00345EE3" w:rsidP="00345EE3">
      <w:pPr>
        <w:spacing w:before="123"/>
        <w:ind w:left="110"/>
        <w:rPr>
          <w:rFonts w:ascii="Arial-BoldItalicMT"/>
          <w:b/>
          <w:i/>
          <w:sz w:val="18"/>
        </w:rPr>
      </w:pPr>
      <w:r>
        <w:rPr>
          <w:color w:val="231F20"/>
          <w:sz w:val="18"/>
        </w:rPr>
        <w:t>Table</w:t>
      </w:r>
      <w:r>
        <w:rPr>
          <w:color w:val="231F20"/>
          <w:spacing w:val="-9"/>
          <w:sz w:val="18"/>
        </w:rPr>
        <w:t xml:space="preserve"> </w:t>
      </w:r>
      <w:r>
        <w:rPr>
          <w:color w:val="231F20"/>
          <w:sz w:val="18"/>
        </w:rPr>
        <w:t>5.32:</w:t>
      </w:r>
      <w:r>
        <w:rPr>
          <w:color w:val="231F20"/>
          <w:spacing w:val="-8"/>
          <w:sz w:val="18"/>
        </w:rPr>
        <w:t xml:space="preserve"> </w:t>
      </w:r>
      <w:r>
        <w:rPr>
          <w:rFonts w:ascii="Arial-BoldItalicMT"/>
          <w:b/>
          <w:i/>
          <w:color w:val="231F20"/>
          <w:sz w:val="18"/>
        </w:rPr>
        <w:t>Breakdown</w:t>
      </w:r>
      <w:r>
        <w:rPr>
          <w:rFonts w:ascii="Arial-BoldItalicMT"/>
          <w:b/>
          <w:i/>
          <w:color w:val="231F20"/>
          <w:spacing w:val="-10"/>
          <w:sz w:val="18"/>
        </w:rPr>
        <w:t xml:space="preserve"> </w:t>
      </w:r>
      <w:r>
        <w:rPr>
          <w:rFonts w:ascii="Arial-BoldItalicMT"/>
          <w:b/>
          <w:i/>
          <w:color w:val="231F20"/>
          <w:sz w:val="18"/>
        </w:rPr>
        <w:t>of</w:t>
      </w:r>
      <w:r>
        <w:rPr>
          <w:rFonts w:ascii="Arial-BoldItalicMT"/>
          <w:b/>
          <w:i/>
          <w:color w:val="231F20"/>
          <w:spacing w:val="-9"/>
          <w:sz w:val="18"/>
        </w:rPr>
        <w:t xml:space="preserve"> </w:t>
      </w:r>
      <w:r>
        <w:rPr>
          <w:rFonts w:ascii="Arial-BoldItalicMT"/>
          <w:b/>
          <w:i/>
          <w:color w:val="231F20"/>
          <w:sz w:val="18"/>
        </w:rPr>
        <w:t>Complaints</w:t>
      </w:r>
      <w:r>
        <w:rPr>
          <w:rFonts w:ascii="Arial-BoldItalicMT"/>
          <w:b/>
          <w:i/>
          <w:color w:val="231F20"/>
          <w:spacing w:val="-10"/>
          <w:sz w:val="18"/>
        </w:rPr>
        <w:t xml:space="preserve"> </w:t>
      </w:r>
      <w:r>
        <w:rPr>
          <w:rFonts w:ascii="Arial-BoldItalicMT"/>
          <w:b/>
          <w:i/>
          <w:color w:val="231F20"/>
          <w:sz w:val="18"/>
        </w:rPr>
        <w:t>by</w:t>
      </w:r>
      <w:r>
        <w:rPr>
          <w:rFonts w:ascii="Arial-BoldItalicMT"/>
          <w:b/>
          <w:i/>
          <w:color w:val="231F20"/>
          <w:spacing w:val="-10"/>
          <w:sz w:val="18"/>
        </w:rPr>
        <w:t xml:space="preserve"> </w:t>
      </w:r>
      <w:r>
        <w:rPr>
          <w:rFonts w:ascii="Arial-BoldItalicMT"/>
          <w:b/>
          <w:i/>
          <w:color w:val="231F20"/>
          <w:sz w:val="18"/>
        </w:rPr>
        <w:t>Financial</w:t>
      </w:r>
      <w:r>
        <w:rPr>
          <w:rFonts w:ascii="Arial-BoldItalicMT"/>
          <w:b/>
          <w:i/>
          <w:color w:val="231F20"/>
          <w:spacing w:val="-9"/>
          <w:sz w:val="18"/>
        </w:rPr>
        <w:t xml:space="preserve"> </w:t>
      </w:r>
      <w:r>
        <w:rPr>
          <w:rFonts w:ascii="Arial-BoldItalicMT"/>
          <w:b/>
          <w:i/>
          <w:color w:val="231F20"/>
          <w:sz w:val="18"/>
        </w:rPr>
        <w:t>Year</w:t>
      </w:r>
      <w:r>
        <w:rPr>
          <w:rFonts w:ascii="Arial-BoldItalicMT"/>
          <w:b/>
          <w:i/>
          <w:color w:val="231F20"/>
          <w:spacing w:val="-10"/>
          <w:sz w:val="18"/>
        </w:rPr>
        <w:t xml:space="preserve"> </w:t>
      </w:r>
      <w:r>
        <w:rPr>
          <w:rFonts w:ascii="Arial-BoldItalicMT"/>
          <w:b/>
          <w:i/>
          <w:color w:val="231F20"/>
          <w:sz w:val="18"/>
        </w:rPr>
        <w:t>(three-year</w:t>
      </w:r>
      <w:r>
        <w:rPr>
          <w:rFonts w:ascii="Arial-BoldItalicMT"/>
          <w:b/>
          <w:i/>
          <w:color w:val="231F20"/>
          <w:spacing w:val="-9"/>
          <w:sz w:val="18"/>
        </w:rPr>
        <w:t xml:space="preserve"> </w:t>
      </w:r>
      <w:r>
        <w:rPr>
          <w:rFonts w:ascii="Arial-BoldItalicMT"/>
          <w:b/>
          <w:i/>
          <w:color w:val="231F20"/>
          <w:spacing w:val="-2"/>
          <w:sz w:val="18"/>
        </w:rPr>
        <w:t>summary)</w:t>
      </w:r>
    </w:p>
    <w:p w14:paraId="0DA3EECD"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317"/>
        <w:gridCol w:w="3317"/>
        <w:gridCol w:w="1191"/>
        <w:gridCol w:w="1191"/>
        <w:gridCol w:w="1191"/>
      </w:tblGrid>
      <w:tr w:rsidR="00345EE3" w14:paraId="76A6AD6B" w14:textId="77777777" w:rsidTr="00D73130">
        <w:trPr>
          <w:trHeight w:val="401"/>
        </w:trPr>
        <w:tc>
          <w:tcPr>
            <w:tcW w:w="3317" w:type="dxa"/>
            <w:tcBorders>
              <w:top w:val="nil"/>
              <w:left w:val="nil"/>
              <w:bottom w:val="nil"/>
              <w:right w:val="nil"/>
            </w:tcBorders>
            <w:shd w:val="clear" w:color="auto" w:fill="00529F"/>
          </w:tcPr>
          <w:p w14:paraId="650CF581" w14:textId="77777777" w:rsidR="00345EE3" w:rsidRDefault="00345EE3" w:rsidP="00D73130">
            <w:pPr>
              <w:pStyle w:val="TableParagraph"/>
              <w:spacing w:before="63"/>
              <w:jc w:val="left"/>
              <w:rPr>
                <w:b/>
                <w:sz w:val="24"/>
              </w:rPr>
            </w:pPr>
            <w:r>
              <w:rPr>
                <w:b/>
                <w:color w:val="FFFFFF"/>
                <w:sz w:val="24"/>
              </w:rPr>
              <w:t>Compliant</w:t>
            </w:r>
            <w:r>
              <w:rPr>
                <w:b/>
                <w:color w:val="FFFFFF"/>
                <w:spacing w:val="-6"/>
                <w:sz w:val="24"/>
              </w:rPr>
              <w:t xml:space="preserve"> </w:t>
            </w:r>
            <w:r>
              <w:rPr>
                <w:b/>
                <w:color w:val="FFFFFF"/>
                <w:spacing w:val="-2"/>
                <w:sz w:val="24"/>
              </w:rPr>
              <w:t>Classification</w:t>
            </w:r>
          </w:p>
        </w:tc>
        <w:tc>
          <w:tcPr>
            <w:tcW w:w="3317" w:type="dxa"/>
            <w:tcBorders>
              <w:top w:val="nil"/>
              <w:left w:val="nil"/>
              <w:bottom w:val="nil"/>
              <w:right w:val="nil"/>
            </w:tcBorders>
            <w:shd w:val="clear" w:color="auto" w:fill="00529F"/>
          </w:tcPr>
          <w:p w14:paraId="3D333732" w14:textId="77777777" w:rsidR="00345EE3" w:rsidRDefault="00345EE3" w:rsidP="00D73130">
            <w:pPr>
              <w:pStyle w:val="TableParagraph"/>
              <w:spacing w:before="63"/>
              <w:ind w:left="1"/>
              <w:jc w:val="left"/>
              <w:rPr>
                <w:b/>
                <w:sz w:val="24"/>
              </w:rPr>
            </w:pPr>
            <w:r>
              <w:rPr>
                <w:b/>
                <w:color w:val="FFFFFF"/>
                <w:spacing w:val="-2"/>
                <w:sz w:val="24"/>
              </w:rPr>
              <w:t>Definition</w:t>
            </w:r>
          </w:p>
        </w:tc>
        <w:tc>
          <w:tcPr>
            <w:tcW w:w="1191" w:type="dxa"/>
            <w:tcBorders>
              <w:top w:val="nil"/>
              <w:left w:val="nil"/>
              <w:bottom w:val="nil"/>
              <w:right w:val="nil"/>
            </w:tcBorders>
            <w:shd w:val="clear" w:color="auto" w:fill="00529F"/>
          </w:tcPr>
          <w:p w14:paraId="70D95121" w14:textId="77777777" w:rsidR="00345EE3" w:rsidRDefault="00345EE3" w:rsidP="00D73130">
            <w:pPr>
              <w:pStyle w:val="TableParagraph"/>
              <w:spacing w:before="63"/>
              <w:ind w:right="4"/>
              <w:rPr>
                <w:b/>
                <w:sz w:val="24"/>
              </w:rPr>
            </w:pPr>
            <w:r>
              <w:rPr>
                <w:b/>
                <w:color w:val="FFFFFF"/>
                <w:spacing w:val="-2"/>
                <w:sz w:val="24"/>
              </w:rPr>
              <w:t>2019–20</w:t>
            </w:r>
          </w:p>
        </w:tc>
        <w:tc>
          <w:tcPr>
            <w:tcW w:w="1191" w:type="dxa"/>
            <w:tcBorders>
              <w:top w:val="nil"/>
              <w:left w:val="nil"/>
              <w:bottom w:val="nil"/>
              <w:right w:val="nil"/>
            </w:tcBorders>
            <w:shd w:val="clear" w:color="auto" w:fill="00529F"/>
          </w:tcPr>
          <w:p w14:paraId="5C0A4244" w14:textId="77777777" w:rsidR="00345EE3" w:rsidRDefault="00345EE3" w:rsidP="00D73130">
            <w:pPr>
              <w:pStyle w:val="TableParagraph"/>
              <w:spacing w:before="63"/>
              <w:ind w:right="5"/>
              <w:rPr>
                <w:b/>
                <w:sz w:val="24"/>
              </w:rPr>
            </w:pPr>
            <w:r>
              <w:rPr>
                <w:b/>
                <w:color w:val="FFFFFF"/>
                <w:spacing w:val="-2"/>
                <w:sz w:val="24"/>
              </w:rPr>
              <w:t>2020–21</w:t>
            </w:r>
          </w:p>
        </w:tc>
        <w:tc>
          <w:tcPr>
            <w:tcW w:w="1191" w:type="dxa"/>
            <w:tcBorders>
              <w:top w:val="nil"/>
              <w:left w:val="nil"/>
              <w:bottom w:val="nil"/>
              <w:right w:val="nil"/>
            </w:tcBorders>
            <w:shd w:val="clear" w:color="auto" w:fill="00529F"/>
          </w:tcPr>
          <w:p w14:paraId="109D1E78" w14:textId="77777777" w:rsidR="00345EE3" w:rsidRDefault="00345EE3" w:rsidP="00D73130">
            <w:pPr>
              <w:pStyle w:val="TableParagraph"/>
              <w:spacing w:before="63"/>
              <w:ind w:right="3"/>
              <w:rPr>
                <w:b/>
                <w:sz w:val="24"/>
              </w:rPr>
            </w:pPr>
            <w:r>
              <w:rPr>
                <w:b/>
                <w:color w:val="FFFFFF"/>
                <w:spacing w:val="-2"/>
                <w:sz w:val="24"/>
              </w:rPr>
              <w:t>2021–22</w:t>
            </w:r>
          </w:p>
        </w:tc>
      </w:tr>
      <w:tr w:rsidR="00345EE3" w14:paraId="30D550C6" w14:textId="77777777" w:rsidTr="00D73130">
        <w:trPr>
          <w:trHeight w:val="1236"/>
        </w:trPr>
        <w:tc>
          <w:tcPr>
            <w:tcW w:w="3317" w:type="dxa"/>
            <w:tcBorders>
              <w:top w:val="nil"/>
              <w:left w:val="nil"/>
            </w:tcBorders>
          </w:tcPr>
          <w:p w14:paraId="7357DB2D" w14:textId="77777777" w:rsidR="00345EE3" w:rsidRDefault="00345EE3" w:rsidP="00D73130">
            <w:pPr>
              <w:pStyle w:val="TableParagraph"/>
              <w:spacing w:line="242" w:lineRule="auto"/>
              <w:ind w:left="-3"/>
              <w:jc w:val="left"/>
              <w:rPr>
                <w:sz w:val="24"/>
              </w:rPr>
            </w:pPr>
            <w:r>
              <w:rPr>
                <w:color w:val="231F20"/>
                <w:sz w:val="24"/>
              </w:rPr>
              <w:t>Management Intervention Model</w:t>
            </w:r>
            <w:r>
              <w:rPr>
                <w:color w:val="231F20"/>
                <w:spacing w:val="-12"/>
                <w:sz w:val="24"/>
              </w:rPr>
              <w:t xml:space="preserve"> </w:t>
            </w:r>
            <w:r>
              <w:rPr>
                <w:color w:val="231F20"/>
                <w:sz w:val="24"/>
              </w:rPr>
              <w:t>and</w:t>
            </w:r>
            <w:r>
              <w:rPr>
                <w:color w:val="231F20"/>
                <w:spacing w:val="-13"/>
                <w:sz w:val="24"/>
              </w:rPr>
              <w:t xml:space="preserve"> </w:t>
            </w:r>
            <w:r>
              <w:rPr>
                <w:color w:val="231F20"/>
                <w:sz w:val="24"/>
              </w:rPr>
              <w:t>Local</w:t>
            </w:r>
            <w:r>
              <w:rPr>
                <w:color w:val="231F20"/>
                <w:spacing w:val="-13"/>
                <w:sz w:val="24"/>
              </w:rPr>
              <w:t xml:space="preserve"> </w:t>
            </w:r>
            <w:r>
              <w:rPr>
                <w:color w:val="231F20"/>
                <w:sz w:val="24"/>
              </w:rPr>
              <w:t xml:space="preserve">Management </w:t>
            </w:r>
            <w:r>
              <w:rPr>
                <w:color w:val="231F20"/>
                <w:spacing w:val="-2"/>
                <w:sz w:val="24"/>
              </w:rPr>
              <w:t>Resolution</w:t>
            </w:r>
          </w:p>
        </w:tc>
        <w:tc>
          <w:tcPr>
            <w:tcW w:w="3317" w:type="dxa"/>
            <w:tcBorders>
              <w:top w:val="nil"/>
            </w:tcBorders>
          </w:tcPr>
          <w:p w14:paraId="0C80508D" w14:textId="77777777" w:rsidR="00345EE3" w:rsidRDefault="00345EE3" w:rsidP="00D73130">
            <w:pPr>
              <w:pStyle w:val="TableParagraph"/>
              <w:spacing w:before="61" w:line="242" w:lineRule="auto"/>
              <w:ind w:left="-1" w:right="53"/>
              <w:jc w:val="left"/>
              <w:rPr>
                <w:sz w:val="24"/>
              </w:rPr>
            </w:pPr>
            <w:r>
              <w:rPr>
                <w:color w:val="231F20"/>
                <w:sz w:val="24"/>
              </w:rPr>
              <w:t>Allegations of minor nature regarding service delivery, performance</w:t>
            </w:r>
            <w:r>
              <w:rPr>
                <w:color w:val="231F20"/>
                <w:spacing w:val="-17"/>
                <w:sz w:val="24"/>
              </w:rPr>
              <w:t xml:space="preserve"> </w:t>
            </w:r>
            <w:r>
              <w:rPr>
                <w:color w:val="231F20"/>
                <w:sz w:val="24"/>
              </w:rPr>
              <w:t>management</w:t>
            </w:r>
            <w:r>
              <w:rPr>
                <w:color w:val="231F20"/>
                <w:spacing w:val="-17"/>
                <w:sz w:val="24"/>
              </w:rPr>
              <w:t xml:space="preserve"> </w:t>
            </w:r>
            <w:r>
              <w:rPr>
                <w:color w:val="231F20"/>
                <w:sz w:val="24"/>
              </w:rPr>
              <w:t>or professional conduct.</w:t>
            </w:r>
          </w:p>
        </w:tc>
        <w:tc>
          <w:tcPr>
            <w:tcW w:w="1191" w:type="dxa"/>
            <w:tcBorders>
              <w:top w:val="nil"/>
            </w:tcBorders>
          </w:tcPr>
          <w:p w14:paraId="319EE6CC" w14:textId="77777777" w:rsidR="00345EE3" w:rsidRDefault="00345EE3" w:rsidP="00D73130">
            <w:pPr>
              <w:pStyle w:val="TableParagraph"/>
              <w:spacing w:before="61"/>
              <w:ind w:right="2"/>
              <w:rPr>
                <w:sz w:val="24"/>
              </w:rPr>
            </w:pPr>
            <w:r>
              <w:rPr>
                <w:color w:val="231F20"/>
                <w:spacing w:val="-5"/>
                <w:sz w:val="24"/>
              </w:rPr>
              <w:t>976</w:t>
            </w:r>
          </w:p>
        </w:tc>
        <w:tc>
          <w:tcPr>
            <w:tcW w:w="1191" w:type="dxa"/>
            <w:tcBorders>
              <w:top w:val="nil"/>
            </w:tcBorders>
          </w:tcPr>
          <w:p w14:paraId="3808F514" w14:textId="77777777" w:rsidR="00345EE3" w:rsidRDefault="00345EE3" w:rsidP="00D73130">
            <w:pPr>
              <w:pStyle w:val="TableParagraph"/>
              <w:spacing w:before="61"/>
              <w:ind w:right="2"/>
              <w:rPr>
                <w:sz w:val="24"/>
              </w:rPr>
            </w:pPr>
            <w:r>
              <w:rPr>
                <w:color w:val="231F20"/>
                <w:spacing w:val="-5"/>
                <w:sz w:val="24"/>
              </w:rPr>
              <w:t>846</w:t>
            </w:r>
          </w:p>
        </w:tc>
        <w:tc>
          <w:tcPr>
            <w:tcW w:w="1191" w:type="dxa"/>
            <w:tcBorders>
              <w:top w:val="nil"/>
              <w:right w:val="nil"/>
            </w:tcBorders>
            <w:shd w:val="clear" w:color="auto" w:fill="E6E7E8"/>
          </w:tcPr>
          <w:p w14:paraId="4AAED95B" w14:textId="77777777" w:rsidR="00345EE3" w:rsidRDefault="00345EE3" w:rsidP="00D73130">
            <w:pPr>
              <w:pStyle w:val="TableParagraph"/>
              <w:rPr>
                <w:sz w:val="24"/>
              </w:rPr>
            </w:pPr>
            <w:r>
              <w:rPr>
                <w:color w:val="231F20"/>
                <w:spacing w:val="-2"/>
                <w:sz w:val="24"/>
              </w:rPr>
              <w:t>1,266</w:t>
            </w:r>
          </w:p>
        </w:tc>
      </w:tr>
      <w:tr w:rsidR="00345EE3" w14:paraId="1FEAA1D3" w14:textId="77777777" w:rsidTr="00D73130">
        <w:trPr>
          <w:trHeight w:val="1236"/>
        </w:trPr>
        <w:tc>
          <w:tcPr>
            <w:tcW w:w="3317" w:type="dxa"/>
            <w:tcBorders>
              <w:left w:val="nil"/>
            </w:tcBorders>
          </w:tcPr>
          <w:p w14:paraId="0288982C" w14:textId="77777777" w:rsidR="00345EE3" w:rsidRDefault="00345EE3" w:rsidP="00D73130">
            <w:pPr>
              <w:pStyle w:val="TableParagraph"/>
              <w:spacing w:line="242" w:lineRule="auto"/>
              <w:ind w:left="-3"/>
              <w:jc w:val="left"/>
              <w:rPr>
                <w:sz w:val="24"/>
              </w:rPr>
            </w:pPr>
            <w:r>
              <w:rPr>
                <w:color w:val="231F20"/>
                <w:sz w:val="24"/>
              </w:rPr>
              <w:t>Misconduct</w:t>
            </w:r>
            <w:r>
              <w:rPr>
                <w:color w:val="231F20"/>
                <w:spacing w:val="-17"/>
                <w:sz w:val="24"/>
              </w:rPr>
              <w:t xml:space="preserve"> </w:t>
            </w:r>
            <w:r>
              <w:rPr>
                <w:color w:val="231F20"/>
                <w:sz w:val="24"/>
              </w:rPr>
              <w:t>–</w:t>
            </w:r>
            <w:r>
              <w:rPr>
                <w:color w:val="231F20"/>
                <w:spacing w:val="-17"/>
                <w:sz w:val="24"/>
              </w:rPr>
              <w:t xml:space="preserve"> </w:t>
            </w:r>
            <w:r>
              <w:rPr>
                <w:color w:val="231F20"/>
                <w:sz w:val="24"/>
              </w:rPr>
              <w:t xml:space="preserve">Minor/Serious/ </w:t>
            </w:r>
            <w:r>
              <w:rPr>
                <w:color w:val="231F20"/>
                <w:spacing w:val="-2"/>
                <w:sz w:val="24"/>
              </w:rPr>
              <w:t>Corruption</w:t>
            </w:r>
          </w:p>
        </w:tc>
        <w:tc>
          <w:tcPr>
            <w:tcW w:w="3317" w:type="dxa"/>
          </w:tcPr>
          <w:p w14:paraId="4D427419" w14:textId="77777777" w:rsidR="00345EE3" w:rsidRDefault="00345EE3" w:rsidP="00D73130">
            <w:pPr>
              <w:pStyle w:val="TableParagraph"/>
              <w:spacing w:before="61" w:line="242" w:lineRule="auto"/>
              <w:ind w:left="-1" w:right="53"/>
              <w:jc w:val="left"/>
              <w:rPr>
                <w:sz w:val="24"/>
              </w:rPr>
            </w:pPr>
            <w:r>
              <w:rPr>
                <w:color w:val="231F20"/>
                <w:sz w:val="24"/>
              </w:rPr>
              <w:t>Misconduct</w:t>
            </w:r>
            <w:r>
              <w:rPr>
                <w:color w:val="231F20"/>
                <w:spacing w:val="-17"/>
                <w:sz w:val="24"/>
              </w:rPr>
              <w:t xml:space="preserve"> </w:t>
            </w:r>
            <w:r>
              <w:rPr>
                <w:color w:val="231F20"/>
                <w:sz w:val="24"/>
              </w:rPr>
              <w:t>as</w:t>
            </w:r>
            <w:r>
              <w:rPr>
                <w:color w:val="231F20"/>
                <w:spacing w:val="-17"/>
                <w:sz w:val="24"/>
              </w:rPr>
              <w:t xml:space="preserve"> </w:t>
            </w:r>
            <w:r>
              <w:rPr>
                <w:color w:val="231F20"/>
                <w:sz w:val="24"/>
              </w:rPr>
              <w:t>per</w:t>
            </w:r>
            <w:r>
              <w:rPr>
                <w:color w:val="231F20"/>
                <w:spacing w:val="-16"/>
                <w:sz w:val="24"/>
              </w:rPr>
              <w:t xml:space="preserve"> </w:t>
            </w:r>
            <w:r>
              <w:rPr>
                <w:color w:val="231F20"/>
                <w:sz w:val="24"/>
              </w:rPr>
              <w:t>the</w:t>
            </w:r>
            <w:r>
              <w:rPr>
                <w:color w:val="231F20"/>
                <w:spacing w:val="-17"/>
                <w:sz w:val="24"/>
              </w:rPr>
              <w:t xml:space="preserve"> </w:t>
            </w:r>
            <w:r>
              <w:rPr>
                <w:i/>
                <w:color w:val="231F20"/>
                <w:sz w:val="24"/>
              </w:rPr>
              <w:t xml:space="preserve">Victoria Police Act </w:t>
            </w:r>
            <w:r>
              <w:rPr>
                <w:color w:val="231F20"/>
                <w:sz w:val="24"/>
              </w:rPr>
              <w:t xml:space="preserve">2013 section 166 and the </w:t>
            </w:r>
            <w:r>
              <w:rPr>
                <w:i/>
                <w:color w:val="231F20"/>
                <w:sz w:val="24"/>
              </w:rPr>
              <w:t>Public</w:t>
            </w:r>
            <w:r>
              <w:rPr>
                <w:i/>
                <w:color w:val="231F20"/>
                <w:spacing w:val="-4"/>
                <w:sz w:val="24"/>
              </w:rPr>
              <w:t xml:space="preserve"> </w:t>
            </w:r>
            <w:r>
              <w:rPr>
                <w:i/>
                <w:color w:val="231F20"/>
                <w:sz w:val="24"/>
              </w:rPr>
              <w:t xml:space="preserve">Administration Act </w:t>
            </w:r>
            <w:r>
              <w:rPr>
                <w:color w:val="231F20"/>
                <w:sz w:val="24"/>
              </w:rPr>
              <w:t>2004, section 4.</w:t>
            </w:r>
          </w:p>
        </w:tc>
        <w:tc>
          <w:tcPr>
            <w:tcW w:w="1191" w:type="dxa"/>
          </w:tcPr>
          <w:p w14:paraId="096CD20F" w14:textId="77777777" w:rsidR="00345EE3" w:rsidRDefault="00345EE3" w:rsidP="00D73130">
            <w:pPr>
              <w:pStyle w:val="TableParagraph"/>
              <w:spacing w:before="61"/>
              <w:ind w:right="2"/>
              <w:rPr>
                <w:sz w:val="24"/>
              </w:rPr>
            </w:pPr>
            <w:r>
              <w:rPr>
                <w:color w:val="231F20"/>
                <w:spacing w:val="-5"/>
                <w:sz w:val="24"/>
              </w:rPr>
              <w:t>807</w:t>
            </w:r>
          </w:p>
        </w:tc>
        <w:tc>
          <w:tcPr>
            <w:tcW w:w="1191" w:type="dxa"/>
          </w:tcPr>
          <w:p w14:paraId="2EC32DF1" w14:textId="77777777" w:rsidR="00345EE3" w:rsidRDefault="00345EE3" w:rsidP="00D73130">
            <w:pPr>
              <w:pStyle w:val="TableParagraph"/>
              <w:spacing w:before="61"/>
              <w:ind w:right="2"/>
              <w:rPr>
                <w:sz w:val="24"/>
              </w:rPr>
            </w:pPr>
            <w:r>
              <w:rPr>
                <w:color w:val="231F20"/>
                <w:spacing w:val="-5"/>
                <w:sz w:val="24"/>
              </w:rPr>
              <w:t>835</w:t>
            </w:r>
          </w:p>
        </w:tc>
        <w:tc>
          <w:tcPr>
            <w:tcW w:w="1191" w:type="dxa"/>
            <w:tcBorders>
              <w:right w:val="nil"/>
            </w:tcBorders>
            <w:shd w:val="clear" w:color="auto" w:fill="E6E7E8"/>
          </w:tcPr>
          <w:p w14:paraId="10C63BA3" w14:textId="77777777" w:rsidR="00345EE3" w:rsidRDefault="00345EE3" w:rsidP="00D73130">
            <w:pPr>
              <w:pStyle w:val="TableParagraph"/>
              <w:rPr>
                <w:sz w:val="24"/>
              </w:rPr>
            </w:pPr>
            <w:r>
              <w:rPr>
                <w:color w:val="231F20"/>
                <w:spacing w:val="-2"/>
                <w:sz w:val="24"/>
              </w:rPr>
              <w:t>1,128</w:t>
            </w:r>
          </w:p>
        </w:tc>
      </w:tr>
      <w:tr w:rsidR="00345EE3" w14:paraId="479A59B1" w14:textId="77777777" w:rsidTr="00D73130">
        <w:trPr>
          <w:trHeight w:val="1236"/>
        </w:trPr>
        <w:tc>
          <w:tcPr>
            <w:tcW w:w="3317" w:type="dxa"/>
            <w:tcBorders>
              <w:left w:val="nil"/>
            </w:tcBorders>
          </w:tcPr>
          <w:p w14:paraId="074EEBAE" w14:textId="77777777" w:rsidR="00345EE3" w:rsidRDefault="00345EE3" w:rsidP="00D73130">
            <w:pPr>
              <w:pStyle w:val="TableParagraph"/>
              <w:spacing w:line="242" w:lineRule="auto"/>
              <w:ind w:left="-3"/>
              <w:jc w:val="left"/>
              <w:rPr>
                <w:sz w:val="24"/>
              </w:rPr>
            </w:pPr>
            <w:r>
              <w:rPr>
                <w:color w:val="231F20"/>
                <w:sz w:val="24"/>
              </w:rPr>
              <w:t>Complaints</w:t>
            </w:r>
            <w:r>
              <w:rPr>
                <w:color w:val="231F20"/>
                <w:spacing w:val="-17"/>
                <w:sz w:val="24"/>
              </w:rPr>
              <w:t xml:space="preserve"> </w:t>
            </w:r>
            <w:r>
              <w:rPr>
                <w:color w:val="231F20"/>
                <w:sz w:val="24"/>
              </w:rPr>
              <w:t>registered</w:t>
            </w:r>
            <w:r>
              <w:rPr>
                <w:color w:val="231F20"/>
                <w:spacing w:val="-17"/>
                <w:sz w:val="24"/>
              </w:rPr>
              <w:t xml:space="preserve"> </w:t>
            </w:r>
            <w:r>
              <w:rPr>
                <w:color w:val="231F20"/>
                <w:sz w:val="24"/>
              </w:rPr>
              <w:t xml:space="preserve">as Incidents and resolved </w:t>
            </w:r>
            <w:r>
              <w:rPr>
                <w:color w:val="231F20"/>
                <w:spacing w:val="-2"/>
                <w:sz w:val="24"/>
              </w:rPr>
              <w:t>immediately</w:t>
            </w:r>
          </w:p>
        </w:tc>
        <w:tc>
          <w:tcPr>
            <w:tcW w:w="3317" w:type="dxa"/>
          </w:tcPr>
          <w:p w14:paraId="79B42562" w14:textId="77777777" w:rsidR="00345EE3" w:rsidRDefault="00345EE3" w:rsidP="00D73130">
            <w:pPr>
              <w:pStyle w:val="TableParagraph"/>
              <w:spacing w:before="61" w:line="242" w:lineRule="auto"/>
              <w:ind w:left="-1" w:right="53"/>
              <w:jc w:val="left"/>
              <w:rPr>
                <w:sz w:val="24"/>
              </w:rPr>
            </w:pPr>
            <w:r>
              <w:rPr>
                <w:color w:val="231F20"/>
                <w:sz w:val="24"/>
              </w:rPr>
              <w:t>Resolved</w:t>
            </w:r>
            <w:r>
              <w:rPr>
                <w:color w:val="231F20"/>
                <w:spacing w:val="-11"/>
                <w:sz w:val="24"/>
              </w:rPr>
              <w:t xml:space="preserve"> </w:t>
            </w:r>
            <w:r>
              <w:rPr>
                <w:color w:val="231F20"/>
                <w:sz w:val="24"/>
              </w:rPr>
              <w:t>in</w:t>
            </w:r>
            <w:r>
              <w:rPr>
                <w:color w:val="231F20"/>
                <w:spacing w:val="-11"/>
                <w:sz w:val="24"/>
              </w:rPr>
              <w:t xml:space="preserve"> </w:t>
            </w:r>
            <w:r>
              <w:rPr>
                <w:color w:val="231F20"/>
                <w:sz w:val="24"/>
              </w:rPr>
              <w:t>the</w:t>
            </w:r>
            <w:r>
              <w:rPr>
                <w:color w:val="231F20"/>
                <w:spacing w:val="-10"/>
                <w:sz w:val="24"/>
              </w:rPr>
              <w:t xml:space="preserve"> </w:t>
            </w:r>
            <w:r>
              <w:rPr>
                <w:color w:val="231F20"/>
                <w:sz w:val="24"/>
              </w:rPr>
              <w:t>first</w:t>
            </w:r>
            <w:r>
              <w:rPr>
                <w:color w:val="231F20"/>
                <w:spacing w:val="-10"/>
                <w:sz w:val="24"/>
              </w:rPr>
              <w:t xml:space="preserve"> </w:t>
            </w:r>
            <w:r>
              <w:rPr>
                <w:color w:val="231F20"/>
                <w:sz w:val="24"/>
              </w:rPr>
              <w:t>instance by the Police Conduct Unit, PSC and no further formal investigation required.</w:t>
            </w:r>
          </w:p>
        </w:tc>
        <w:tc>
          <w:tcPr>
            <w:tcW w:w="1191" w:type="dxa"/>
          </w:tcPr>
          <w:p w14:paraId="0F0B2321" w14:textId="77777777" w:rsidR="00345EE3" w:rsidRDefault="00345EE3" w:rsidP="00D73130">
            <w:pPr>
              <w:pStyle w:val="TableParagraph"/>
              <w:spacing w:before="61"/>
              <w:ind w:right="2"/>
              <w:rPr>
                <w:sz w:val="24"/>
              </w:rPr>
            </w:pPr>
            <w:r>
              <w:rPr>
                <w:color w:val="231F20"/>
                <w:spacing w:val="-5"/>
                <w:sz w:val="24"/>
              </w:rPr>
              <w:t>640</w:t>
            </w:r>
          </w:p>
        </w:tc>
        <w:tc>
          <w:tcPr>
            <w:tcW w:w="1191" w:type="dxa"/>
          </w:tcPr>
          <w:p w14:paraId="394F6CA6" w14:textId="77777777" w:rsidR="00345EE3" w:rsidRDefault="00345EE3" w:rsidP="00D73130">
            <w:pPr>
              <w:pStyle w:val="TableParagraph"/>
              <w:spacing w:before="61"/>
              <w:ind w:right="2"/>
              <w:rPr>
                <w:sz w:val="24"/>
              </w:rPr>
            </w:pPr>
            <w:r>
              <w:rPr>
                <w:color w:val="231F20"/>
                <w:spacing w:val="-5"/>
                <w:sz w:val="24"/>
              </w:rPr>
              <w:t>440</w:t>
            </w:r>
          </w:p>
        </w:tc>
        <w:tc>
          <w:tcPr>
            <w:tcW w:w="1191" w:type="dxa"/>
            <w:tcBorders>
              <w:right w:val="nil"/>
            </w:tcBorders>
            <w:shd w:val="clear" w:color="auto" w:fill="E6E7E8"/>
          </w:tcPr>
          <w:p w14:paraId="3707F6F8" w14:textId="77777777" w:rsidR="00345EE3" w:rsidRDefault="00345EE3" w:rsidP="00D73130">
            <w:pPr>
              <w:pStyle w:val="TableParagraph"/>
              <w:rPr>
                <w:sz w:val="24"/>
              </w:rPr>
            </w:pPr>
            <w:r>
              <w:rPr>
                <w:color w:val="231F20"/>
                <w:spacing w:val="-5"/>
                <w:sz w:val="24"/>
              </w:rPr>
              <w:t>516</w:t>
            </w:r>
          </w:p>
        </w:tc>
      </w:tr>
      <w:tr w:rsidR="00345EE3" w14:paraId="2AB5638F" w14:textId="77777777" w:rsidTr="00D73130">
        <w:trPr>
          <w:trHeight w:val="391"/>
        </w:trPr>
        <w:tc>
          <w:tcPr>
            <w:tcW w:w="6634" w:type="dxa"/>
            <w:gridSpan w:val="2"/>
            <w:tcBorders>
              <w:left w:val="nil"/>
              <w:bottom w:val="single" w:sz="6" w:space="0" w:color="231F20"/>
            </w:tcBorders>
          </w:tcPr>
          <w:p w14:paraId="076FADBA" w14:textId="77777777" w:rsidR="00345EE3" w:rsidRDefault="00345EE3" w:rsidP="00D73130">
            <w:pPr>
              <w:pStyle w:val="TableParagraph"/>
              <w:spacing w:before="61"/>
              <w:ind w:left="-3"/>
              <w:jc w:val="left"/>
              <w:rPr>
                <w:b/>
                <w:sz w:val="24"/>
              </w:rPr>
            </w:pPr>
            <w:r>
              <w:rPr>
                <w:b/>
                <w:color w:val="231F20"/>
                <w:spacing w:val="-2"/>
                <w:sz w:val="24"/>
              </w:rPr>
              <w:t>Total</w:t>
            </w:r>
          </w:p>
        </w:tc>
        <w:tc>
          <w:tcPr>
            <w:tcW w:w="1191" w:type="dxa"/>
            <w:tcBorders>
              <w:bottom w:val="single" w:sz="6" w:space="0" w:color="231F20"/>
            </w:tcBorders>
          </w:tcPr>
          <w:p w14:paraId="6268648D" w14:textId="77777777" w:rsidR="00345EE3" w:rsidRDefault="00345EE3" w:rsidP="00D73130">
            <w:pPr>
              <w:pStyle w:val="TableParagraph"/>
              <w:spacing w:before="61"/>
              <w:ind w:right="1"/>
              <w:rPr>
                <w:b/>
                <w:sz w:val="24"/>
              </w:rPr>
            </w:pPr>
            <w:r>
              <w:rPr>
                <w:b/>
                <w:color w:val="231F20"/>
                <w:spacing w:val="-2"/>
                <w:sz w:val="24"/>
              </w:rPr>
              <w:t>2,423</w:t>
            </w:r>
          </w:p>
        </w:tc>
        <w:tc>
          <w:tcPr>
            <w:tcW w:w="1191" w:type="dxa"/>
            <w:tcBorders>
              <w:bottom w:val="single" w:sz="6" w:space="0" w:color="231F20"/>
            </w:tcBorders>
          </w:tcPr>
          <w:p w14:paraId="59E666F6" w14:textId="77777777" w:rsidR="00345EE3" w:rsidRDefault="00345EE3" w:rsidP="00D73130">
            <w:pPr>
              <w:pStyle w:val="TableParagraph"/>
              <w:spacing w:before="61"/>
              <w:rPr>
                <w:b/>
                <w:sz w:val="24"/>
              </w:rPr>
            </w:pPr>
            <w:r>
              <w:rPr>
                <w:b/>
                <w:color w:val="231F20"/>
                <w:spacing w:val="-2"/>
                <w:sz w:val="24"/>
              </w:rPr>
              <w:t>2,121</w:t>
            </w:r>
          </w:p>
        </w:tc>
        <w:tc>
          <w:tcPr>
            <w:tcW w:w="1191" w:type="dxa"/>
            <w:tcBorders>
              <w:bottom w:val="single" w:sz="6" w:space="0" w:color="231F20"/>
              <w:right w:val="nil"/>
            </w:tcBorders>
            <w:shd w:val="clear" w:color="auto" w:fill="E6E7E8"/>
          </w:tcPr>
          <w:p w14:paraId="7708E13A" w14:textId="77777777" w:rsidR="00345EE3" w:rsidRDefault="00345EE3" w:rsidP="00D73130">
            <w:pPr>
              <w:pStyle w:val="TableParagraph"/>
              <w:rPr>
                <w:b/>
                <w:sz w:val="24"/>
              </w:rPr>
            </w:pPr>
            <w:r>
              <w:rPr>
                <w:b/>
                <w:color w:val="231F20"/>
                <w:spacing w:val="-2"/>
                <w:sz w:val="24"/>
              </w:rPr>
              <w:t>2,910</w:t>
            </w:r>
          </w:p>
        </w:tc>
      </w:tr>
    </w:tbl>
    <w:p w14:paraId="0BB93799" w14:textId="77777777" w:rsidR="00345EE3" w:rsidRPr="00ED2501" w:rsidRDefault="00345EE3" w:rsidP="00345EE3">
      <w:pPr>
        <w:spacing w:before="72"/>
        <w:ind w:left="110"/>
        <w:rPr>
          <w:sz w:val="18"/>
          <w:szCs w:val="18"/>
        </w:rPr>
      </w:pPr>
      <w:r w:rsidRPr="00ED2501">
        <w:rPr>
          <w:rFonts w:ascii="Arial-BoldItalicMT"/>
          <w:b/>
          <w:i/>
          <w:color w:val="231F20"/>
          <w:sz w:val="18"/>
          <w:szCs w:val="18"/>
        </w:rPr>
        <w:t>Source:</w:t>
      </w:r>
      <w:r w:rsidRPr="00ED2501">
        <w:rPr>
          <w:rFonts w:ascii="Arial-BoldItalicMT"/>
          <w:b/>
          <w:i/>
          <w:color w:val="231F20"/>
          <w:spacing w:val="-1"/>
          <w:sz w:val="18"/>
          <w:szCs w:val="18"/>
        </w:rPr>
        <w:t xml:space="preserve"> </w:t>
      </w:r>
      <w:r w:rsidRPr="00ED2501">
        <w:rPr>
          <w:color w:val="231F20"/>
          <w:sz w:val="18"/>
          <w:szCs w:val="18"/>
        </w:rPr>
        <w:t>Professional Standards Command.</w:t>
      </w:r>
      <w:r w:rsidRPr="00ED2501">
        <w:rPr>
          <w:color w:val="231F20"/>
          <w:spacing w:val="1"/>
          <w:sz w:val="18"/>
          <w:szCs w:val="18"/>
        </w:rPr>
        <w:t xml:space="preserve"> </w:t>
      </w:r>
      <w:r w:rsidRPr="00ED2501">
        <w:rPr>
          <w:color w:val="231F20"/>
          <w:sz w:val="18"/>
          <w:szCs w:val="18"/>
        </w:rPr>
        <w:t>Data extracted from ROCSID</w:t>
      </w:r>
      <w:r w:rsidRPr="00ED2501">
        <w:rPr>
          <w:color w:val="231F20"/>
          <w:spacing w:val="1"/>
          <w:sz w:val="18"/>
          <w:szCs w:val="18"/>
        </w:rPr>
        <w:t xml:space="preserve"> </w:t>
      </w:r>
      <w:r w:rsidRPr="00ED2501">
        <w:rPr>
          <w:color w:val="231F20"/>
          <w:sz w:val="18"/>
          <w:szCs w:val="18"/>
        </w:rPr>
        <w:t>on 18 July</w:t>
      </w:r>
      <w:r w:rsidRPr="00ED2501">
        <w:rPr>
          <w:color w:val="231F20"/>
          <w:spacing w:val="1"/>
          <w:sz w:val="18"/>
          <w:szCs w:val="18"/>
        </w:rPr>
        <w:t xml:space="preserve"> </w:t>
      </w:r>
      <w:r w:rsidRPr="00ED2501">
        <w:rPr>
          <w:color w:val="231F20"/>
          <w:spacing w:val="-2"/>
          <w:sz w:val="18"/>
          <w:szCs w:val="18"/>
        </w:rPr>
        <w:t>2022.</w:t>
      </w:r>
    </w:p>
    <w:p w14:paraId="5B96A978" w14:textId="77777777" w:rsidR="00345EE3" w:rsidRDefault="00345EE3" w:rsidP="00345EE3">
      <w:pPr>
        <w:rPr>
          <w:sz w:val="12"/>
          <w:szCs w:val="24"/>
        </w:rPr>
      </w:pPr>
      <w:r>
        <w:rPr>
          <w:sz w:val="12"/>
        </w:rPr>
        <w:br w:type="page"/>
      </w:r>
    </w:p>
    <w:p w14:paraId="3DF045F9" w14:textId="77777777" w:rsidR="00345EE3" w:rsidRDefault="00345EE3" w:rsidP="00345EE3">
      <w:pPr>
        <w:spacing w:after="120"/>
        <w:ind w:left="110"/>
        <w:rPr>
          <w:rFonts w:ascii="Arial-BoldItalicMT"/>
          <w:b/>
          <w:i/>
          <w:color w:val="231F20"/>
          <w:spacing w:val="-2"/>
          <w:sz w:val="18"/>
        </w:rPr>
      </w:pPr>
      <w:r>
        <w:rPr>
          <w:color w:val="231F20"/>
          <w:sz w:val="18"/>
        </w:rPr>
        <w:t>Table</w:t>
      </w:r>
      <w:r>
        <w:rPr>
          <w:color w:val="231F20"/>
          <w:spacing w:val="-8"/>
          <w:sz w:val="18"/>
        </w:rPr>
        <w:t xml:space="preserve"> </w:t>
      </w:r>
      <w:r>
        <w:rPr>
          <w:color w:val="231F20"/>
          <w:sz w:val="18"/>
        </w:rPr>
        <w:t>5.33:</w:t>
      </w:r>
      <w:r>
        <w:rPr>
          <w:color w:val="231F20"/>
          <w:spacing w:val="-8"/>
          <w:sz w:val="18"/>
        </w:rPr>
        <w:t xml:space="preserve"> </w:t>
      </w:r>
      <w:r>
        <w:rPr>
          <w:rFonts w:ascii="Arial-BoldItalicMT"/>
          <w:b/>
          <w:i/>
          <w:color w:val="231F20"/>
          <w:sz w:val="18"/>
        </w:rPr>
        <w:t>Complaint</w:t>
      </w:r>
      <w:r>
        <w:rPr>
          <w:rFonts w:ascii="Arial-BoldItalicMT"/>
          <w:b/>
          <w:i/>
          <w:color w:val="231F20"/>
          <w:spacing w:val="-10"/>
          <w:sz w:val="18"/>
        </w:rPr>
        <w:t xml:space="preserve"> </w:t>
      </w:r>
      <w:r>
        <w:rPr>
          <w:rFonts w:ascii="Arial-BoldItalicMT"/>
          <w:b/>
          <w:i/>
          <w:color w:val="231F20"/>
          <w:sz w:val="18"/>
        </w:rPr>
        <w:t>allegation</w:t>
      </w:r>
      <w:r>
        <w:rPr>
          <w:rFonts w:ascii="Arial-BoldItalicMT"/>
          <w:b/>
          <w:i/>
          <w:color w:val="231F20"/>
          <w:spacing w:val="-10"/>
          <w:sz w:val="18"/>
        </w:rPr>
        <w:t xml:space="preserve"> </w:t>
      </w:r>
      <w:r>
        <w:rPr>
          <w:rFonts w:ascii="Arial-BoldItalicMT"/>
          <w:b/>
          <w:i/>
          <w:color w:val="231F20"/>
          <w:sz w:val="18"/>
        </w:rPr>
        <w:t>outcomes</w:t>
      </w:r>
      <w:r>
        <w:rPr>
          <w:rFonts w:ascii="Arial-BoldItalicMT"/>
          <w:b/>
          <w:i/>
          <w:color w:val="231F20"/>
          <w:spacing w:val="-10"/>
          <w:sz w:val="18"/>
        </w:rPr>
        <w:t xml:space="preserve"> </w:t>
      </w:r>
      <w:r>
        <w:rPr>
          <w:rFonts w:ascii="Arial-BoldItalicMT"/>
          <w:b/>
          <w:i/>
          <w:color w:val="231F20"/>
          <w:sz w:val="18"/>
        </w:rPr>
        <w:t>by</w:t>
      </w:r>
      <w:r>
        <w:rPr>
          <w:rFonts w:ascii="Arial-BoldItalicMT"/>
          <w:b/>
          <w:i/>
          <w:color w:val="231F20"/>
          <w:spacing w:val="-10"/>
          <w:sz w:val="18"/>
        </w:rPr>
        <w:t xml:space="preserve"> </w:t>
      </w:r>
      <w:r>
        <w:rPr>
          <w:rFonts w:ascii="Arial-BoldItalicMT"/>
          <w:b/>
          <w:i/>
          <w:color w:val="231F20"/>
          <w:sz w:val="18"/>
        </w:rPr>
        <w:t>Financial</w:t>
      </w:r>
      <w:r>
        <w:rPr>
          <w:rFonts w:ascii="Arial-BoldItalicMT"/>
          <w:b/>
          <w:i/>
          <w:color w:val="231F20"/>
          <w:spacing w:val="-10"/>
          <w:sz w:val="18"/>
        </w:rPr>
        <w:t xml:space="preserve"> </w:t>
      </w:r>
      <w:r>
        <w:rPr>
          <w:rFonts w:ascii="Arial-BoldItalicMT"/>
          <w:b/>
          <w:i/>
          <w:color w:val="231F20"/>
          <w:sz w:val="18"/>
        </w:rPr>
        <w:t>Year</w:t>
      </w:r>
      <w:r>
        <w:rPr>
          <w:rFonts w:ascii="Arial-BoldItalicMT"/>
          <w:b/>
          <w:i/>
          <w:color w:val="231F20"/>
          <w:spacing w:val="-10"/>
          <w:sz w:val="18"/>
        </w:rPr>
        <w:t xml:space="preserve"> </w:t>
      </w:r>
      <w:r>
        <w:rPr>
          <w:rFonts w:ascii="Arial-BoldItalicMT"/>
          <w:b/>
          <w:i/>
          <w:color w:val="231F20"/>
          <w:sz w:val="18"/>
        </w:rPr>
        <w:t>(three-year</w:t>
      </w:r>
      <w:r>
        <w:rPr>
          <w:rFonts w:ascii="Arial-BoldItalicMT"/>
          <w:b/>
          <w:i/>
          <w:color w:val="231F20"/>
          <w:spacing w:val="-10"/>
          <w:sz w:val="18"/>
        </w:rPr>
        <w:t xml:space="preserve"> </w:t>
      </w:r>
      <w:r>
        <w:rPr>
          <w:rFonts w:ascii="Arial-BoldItalicMT"/>
          <w:b/>
          <w:i/>
          <w:color w:val="231F20"/>
          <w:spacing w:val="-2"/>
          <w:sz w:val="18"/>
        </w:rPr>
        <w:t>summary)</w:t>
      </w:r>
    </w:p>
    <w:tbl>
      <w:tblPr>
        <w:tblW w:w="0" w:type="auto"/>
        <w:tblInd w:w="156" w:type="dxa"/>
        <w:tblLayout w:type="fixed"/>
        <w:tblCellMar>
          <w:left w:w="0" w:type="dxa"/>
          <w:right w:w="0" w:type="dxa"/>
        </w:tblCellMar>
        <w:tblLook w:val="0000" w:firstRow="0" w:lastRow="0" w:firstColumn="0" w:lastColumn="0" w:noHBand="0" w:noVBand="0"/>
      </w:tblPr>
      <w:tblGrid>
        <w:gridCol w:w="2154"/>
        <w:gridCol w:w="2268"/>
        <w:gridCol w:w="964"/>
        <w:gridCol w:w="964"/>
        <w:gridCol w:w="963"/>
        <w:gridCol w:w="964"/>
        <w:gridCol w:w="964"/>
        <w:gridCol w:w="964"/>
      </w:tblGrid>
      <w:tr w:rsidR="00345EE3" w:rsidRPr="009C6190" w14:paraId="1E7658A8" w14:textId="77777777" w:rsidTr="00D73130">
        <w:trPr>
          <w:trHeight w:val="60"/>
          <w:tblHeader/>
        </w:trPr>
        <w:tc>
          <w:tcPr>
            <w:tcW w:w="2154"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5B93214"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9C6190">
              <w:rPr>
                <w:rFonts w:eastAsiaTheme="minorHAnsi"/>
                <w:b/>
                <w:bCs/>
                <w:color w:val="FFFFFF"/>
                <w:sz w:val="24"/>
                <w:szCs w:val="24"/>
                <w:lang w:val="en-GB"/>
              </w:rPr>
              <w:t>Category</w:t>
            </w:r>
          </w:p>
        </w:tc>
        <w:tc>
          <w:tcPr>
            <w:tcW w:w="2268"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CC31430"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9C6190">
              <w:rPr>
                <w:rFonts w:eastAsiaTheme="minorHAnsi"/>
                <w:b/>
                <w:bCs/>
                <w:color w:val="FFFFFF"/>
                <w:sz w:val="24"/>
                <w:szCs w:val="24"/>
                <w:lang w:val="en-GB"/>
              </w:rPr>
              <w:t xml:space="preserve">Determination </w:t>
            </w:r>
          </w:p>
        </w:tc>
        <w:tc>
          <w:tcPr>
            <w:tcW w:w="1928" w:type="dxa"/>
            <w:gridSpan w:val="2"/>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12EA56FF"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2019–20</w:t>
            </w:r>
          </w:p>
        </w:tc>
        <w:tc>
          <w:tcPr>
            <w:tcW w:w="1927" w:type="dxa"/>
            <w:gridSpan w:val="2"/>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43183B4B"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2020–21</w:t>
            </w:r>
          </w:p>
        </w:tc>
        <w:tc>
          <w:tcPr>
            <w:tcW w:w="1928" w:type="dxa"/>
            <w:gridSpan w:val="2"/>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13A7911A"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2021–22</w:t>
            </w:r>
          </w:p>
        </w:tc>
      </w:tr>
      <w:tr w:rsidR="00345EE3" w:rsidRPr="009C6190" w14:paraId="4A2C47C3" w14:textId="77777777" w:rsidTr="00D73130">
        <w:trPr>
          <w:trHeight w:val="60"/>
          <w:tblHeader/>
        </w:trPr>
        <w:tc>
          <w:tcPr>
            <w:tcW w:w="2154"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D33E013"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6" w:space="0" w:color="9D9C9C"/>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A2817D7" w14:textId="77777777" w:rsidR="00345EE3" w:rsidRPr="009C6190" w:rsidRDefault="00345EE3" w:rsidP="00D73130">
            <w:pPr>
              <w:widowControl/>
              <w:adjustRightInd w:val="0"/>
              <w:rPr>
                <w:rFonts w:eastAsiaTheme="minorHAnsi"/>
                <w:sz w:val="24"/>
                <w:szCs w:val="24"/>
                <w:lang w:val="en-GB"/>
              </w:rPr>
            </w:pP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F274BE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Count </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197AA9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w:t>
            </w:r>
          </w:p>
        </w:tc>
        <w:tc>
          <w:tcPr>
            <w:tcW w:w="963"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27957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Count </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40F42E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8869C8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Count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F30474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w:t>
            </w:r>
          </w:p>
        </w:tc>
      </w:tr>
      <w:tr w:rsidR="00345EE3" w:rsidRPr="009C6190" w14:paraId="35588A7F" w14:textId="77777777" w:rsidTr="00D73130">
        <w:trPr>
          <w:trHeight w:val="60"/>
        </w:trPr>
        <w:tc>
          <w:tcPr>
            <w:tcW w:w="2154"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FC9E82C"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Case to Answer</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DC9BC8"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Lesser Deficiency Found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D50F92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6745C6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0.06</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909136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3A8DF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0.41</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D6623D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27A9FF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0.13</w:t>
            </w:r>
          </w:p>
        </w:tc>
      </w:tr>
      <w:tr w:rsidR="00345EE3" w:rsidRPr="009C6190" w14:paraId="69546F96"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20C5FEF6"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D2DF28"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Substantiated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2C7FFC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491</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AC9E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15.47</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242F45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534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DA3FF0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16.90</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7A7D9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643</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130D47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17.17</w:t>
            </w:r>
          </w:p>
        </w:tc>
      </w:tr>
      <w:tr w:rsidR="00345EE3" w:rsidRPr="009C6190" w14:paraId="3BCB10AC"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6749C5D3"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43724EB"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Subtotal</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90091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493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BA6AC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15.53</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9F854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547</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EC8A99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17.32</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31FEE6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648</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B0A0E1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17.31</w:t>
            </w:r>
          </w:p>
        </w:tc>
      </w:tr>
      <w:tr w:rsidR="00345EE3" w:rsidRPr="009C6190" w14:paraId="2A32F848" w14:textId="77777777" w:rsidTr="00D73130">
        <w:trPr>
          <w:trHeight w:val="60"/>
        </w:trPr>
        <w:tc>
          <w:tcPr>
            <w:tcW w:w="2154"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84B768A"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No Case to Answer</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0F8718"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False Report</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8BE5A0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9125E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0.22</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68BBF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005F9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0.13</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5F90F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74982F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0.05</w:t>
            </w:r>
          </w:p>
        </w:tc>
      </w:tr>
      <w:tr w:rsidR="00345EE3" w:rsidRPr="009C6190" w14:paraId="00A5534D"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006BA9DE"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D60569B"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For Intelligence Purposes Only</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E751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37</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3059F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1.17</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5F897C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E44DF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0.41</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D90DDD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15</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99C6A4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0.40</w:t>
            </w:r>
          </w:p>
        </w:tc>
      </w:tr>
      <w:tr w:rsidR="00345EE3" w:rsidRPr="009C6190" w14:paraId="5372BE94"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6179650C"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926606B"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Member Exonerated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04DACC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EE957A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1.67</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8D599C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57A6DB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2.53</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D1002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100</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1004C1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2.67</w:t>
            </w:r>
          </w:p>
        </w:tc>
      </w:tr>
      <w:tr w:rsidR="00345EE3" w:rsidRPr="009C6190" w14:paraId="1DFE94EB"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74061984"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0DD06B"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No Complaint</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016F4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555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1647B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17.49</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DCAF4C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616</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1E3FD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19.50</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9837C4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675</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444C9C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18.03</w:t>
            </w:r>
          </w:p>
        </w:tc>
      </w:tr>
      <w:tr w:rsidR="00345EE3" w:rsidRPr="009C6190" w14:paraId="4E3C2799"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4AA3ADDF"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522E30"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Not Substantiated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FC2A9A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432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9F41B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13.61</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4C46D1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379</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98CA1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12.00</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68EA96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414</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A06B4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11.06</w:t>
            </w:r>
          </w:p>
        </w:tc>
      </w:tr>
      <w:tr w:rsidR="00345EE3" w:rsidRPr="009C6190" w14:paraId="46B87402"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74C80A52"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40E1A7"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Unable to Determine</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91D92D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153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98284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4.82</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4D757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172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A0625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5.45</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FE9BD6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151</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51521A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4.03</w:t>
            </w:r>
          </w:p>
        </w:tc>
      </w:tr>
      <w:tr w:rsidR="00345EE3" w:rsidRPr="009C6190" w14:paraId="6308AFD0"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2D474C11"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33DEBC3"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Unfounded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98A6B8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364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4C3C7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11.47</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B9597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397</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AA9B37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12.57</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B56037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536</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DCED68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14.32</w:t>
            </w:r>
          </w:p>
        </w:tc>
      </w:tr>
      <w:tr w:rsidR="00345EE3" w:rsidRPr="009C6190" w14:paraId="4407AE89"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5F4DB64C"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57657D"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Withdrawn</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DD4B2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39</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97AE8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1.23</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0ED8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38</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881F80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1.20</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D1517E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51</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D43FB2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1.36</w:t>
            </w:r>
          </w:p>
        </w:tc>
      </w:tr>
      <w:tr w:rsidR="00345EE3" w:rsidRPr="009C6190" w14:paraId="1F06FD72"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75BF98A8"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504B88"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Subtotal</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D6E8CD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1,640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51D747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51.67</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0AA06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1,699</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B748D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53.78</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72EC6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1,944</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DE4D68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51.92</w:t>
            </w:r>
          </w:p>
        </w:tc>
      </w:tr>
      <w:tr w:rsidR="00345EE3" w:rsidRPr="009C6190" w14:paraId="33F4BEFF" w14:textId="77777777" w:rsidTr="00D73130">
        <w:trPr>
          <w:trHeight w:val="60"/>
        </w:trPr>
        <w:tc>
          <w:tcPr>
            <w:tcW w:w="2154"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A35C751"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Other</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2C6484"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Conciliated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18D99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A616F0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0.06</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EDE15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EBD45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0.29</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83D53B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3C0511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0.03</w:t>
            </w:r>
          </w:p>
        </w:tc>
      </w:tr>
      <w:tr w:rsidR="00345EE3" w:rsidRPr="009C6190" w14:paraId="4103FCD8"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4F50010C"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44FCFB"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Not Finalised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A9F7E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9961F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0.09</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5122C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AF9CB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0.10</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11BADF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DEE7B7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0.08</w:t>
            </w:r>
          </w:p>
        </w:tc>
      </w:tr>
      <w:tr w:rsidR="00345EE3" w:rsidRPr="009C6190" w14:paraId="0B4392A9"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5107B852"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36F111"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Not Proceeded With</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6CAD36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1CA8B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4.25</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80C12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7EE52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3.32</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2B2B1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97</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821FF1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2.59</w:t>
            </w:r>
          </w:p>
        </w:tc>
      </w:tr>
      <w:tr w:rsidR="00345EE3" w:rsidRPr="009C6190" w14:paraId="559A60F5"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3A5E228E"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606E2A"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Subtotal</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66F0D2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140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D58B7C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4.41</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F9058D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117</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AD056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3.70</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BB4027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101</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3CFCA8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2.70</w:t>
            </w:r>
          </w:p>
        </w:tc>
      </w:tr>
      <w:tr w:rsidR="00345EE3" w:rsidRPr="009C6190" w14:paraId="345B381A" w14:textId="77777777" w:rsidTr="00D73130">
        <w:trPr>
          <w:trHeight w:val="60"/>
        </w:trPr>
        <w:tc>
          <w:tcPr>
            <w:tcW w:w="2154"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E8679C3"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Other (Local Management Actions)</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7F9F0C1"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Not Resolved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A95D77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288</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7777F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9.07</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F4173F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252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0A26D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7.98</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980DFC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366</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01658D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9.78</w:t>
            </w:r>
          </w:p>
        </w:tc>
      </w:tr>
      <w:tr w:rsidR="00345EE3" w:rsidRPr="009C6190" w14:paraId="60E79BEE"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2A840AEC"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A3D288"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Resolved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5D07A3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611</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9EE069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19.25</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7EE07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533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D76DFE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16.87</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782EC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671</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1A7795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17.92</w:t>
            </w:r>
          </w:p>
        </w:tc>
      </w:tr>
      <w:tr w:rsidR="00345EE3" w:rsidRPr="009C6190" w14:paraId="55D5B31C"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3055EDAD"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8BD51F"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Subtotal</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7BE6D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899</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53CB8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28.32</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B4CD6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785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A38681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24.85</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0FF2B3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1,037</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82A323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27.7</w:t>
            </w:r>
          </w:p>
        </w:tc>
      </w:tr>
      <w:tr w:rsidR="00345EE3" w:rsidRPr="009C6190" w14:paraId="49F86384" w14:textId="77777777" w:rsidTr="00D73130">
        <w:trPr>
          <w:trHeight w:val="60"/>
        </w:trPr>
        <w:tc>
          <w:tcPr>
            <w:tcW w:w="2154" w:type="dxa"/>
            <w:vMerge w:val="restart"/>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0245236D"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Other (Oversight Matters)</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6CAF71"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No complaint (Oversight)</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93474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A22A61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0.06</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49BF4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3AFBC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0.35</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7DAC37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E8A47F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0.37</w:t>
            </w:r>
          </w:p>
        </w:tc>
      </w:tr>
      <w:tr w:rsidR="00345EE3" w:rsidRPr="009C6190" w14:paraId="31CFF5B6" w14:textId="77777777" w:rsidTr="00D73130">
        <w:trPr>
          <w:trHeight w:val="60"/>
        </w:trPr>
        <w:tc>
          <w:tcPr>
            <w:tcW w:w="2154" w:type="dxa"/>
            <w:vMerge/>
            <w:tcBorders>
              <w:top w:val="single" w:sz="6" w:space="0" w:color="000000"/>
              <w:left w:val="single" w:sz="6" w:space="0" w:color="000000"/>
              <w:bottom w:val="single" w:sz="6" w:space="0" w:color="000000"/>
              <w:right w:val="single" w:sz="2" w:space="0" w:color="9D9C9C"/>
            </w:tcBorders>
          </w:tcPr>
          <w:p w14:paraId="590E9831"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1FF17674"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Subtotal</w:t>
            </w:r>
          </w:p>
        </w:tc>
        <w:tc>
          <w:tcPr>
            <w:tcW w:w="96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D5A142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w:t>
            </w:r>
          </w:p>
        </w:tc>
        <w:tc>
          <w:tcPr>
            <w:tcW w:w="96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53C34DF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0.06</w:t>
            </w:r>
          </w:p>
        </w:tc>
        <w:tc>
          <w:tcPr>
            <w:tcW w:w="963"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691FE7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11</w:t>
            </w:r>
          </w:p>
        </w:tc>
        <w:tc>
          <w:tcPr>
            <w:tcW w:w="96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29DC65B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0.35</w:t>
            </w:r>
          </w:p>
        </w:tc>
        <w:tc>
          <w:tcPr>
            <w:tcW w:w="964"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0735E2D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14</w:t>
            </w:r>
          </w:p>
        </w:tc>
        <w:tc>
          <w:tcPr>
            <w:tcW w:w="964"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394BF3A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0.37</w:t>
            </w:r>
          </w:p>
        </w:tc>
      </w:tr>
    </w:tbl>
    <w:p w14:paraId="121213FF" w14:textId="77777777" w:rsidR="00345EE3" w:rsidRDefault="00345EE3" w:rsidP="00345EE3">
      <w:pPr>
        <w:ind w:left="110"/>
        <w:rPr>
          <w:rFonts w:ascii="Arial-BoldItalicMT"/>
          <w:b/>
          <w:i/>
          <w:sz w:val="18"/>
        </w:rPr>
      </w:pPr>
    </w:p>
    <w:p w14:paraId="5A95DF0C" w14:textId="16142E72" w:rsidR="00345EE3" w:rsidRPr="00ED2501" w:rsidRDefault="00345EE3" w:rsidP="00345EE3">
      <w:pPr>
        <w:pStyle w:val="BodyText"/>
        <w:ind w:left="142"/>
        <w:rPr>
          <w:sz w:val="18"/>
          <w:szCs w:val="18"/>
        </w:rPr>
      </w:pPr>
      <w:r w:rsidRPr="00ED2501">
        <w:rPr>
          <w:rFonts w:ascii="Arial-BoldItalicMT"/>
          <w:b/>
          <w:i/>
          <w:color w:val="231F20"/>
          <w:sz w:val="18"/>
          <w:szCs w:val="18"/>
        </w:rPr>
        <w:t>Source:</w:t>
      </w:r>
      <w:r w:rsidRPr="00ED2501">
        <w:rPr>
          <w:rFonts w:ascii="Arial-BoldItalicMT"/>
          <w:b/>
          <w:i/>
          <w:color w:val="231F20"/>
          <w:spacing w:val="-1"/>
          <w:sz w:val="18"/>
          <w:szCs w:val="18"/>
        </w:rPr>
        <w:t xml:space="preserve"> </w:t>
      </w:r>
      <w:r w:rsidRPr="00ED2501">
        <w:rPr>
          <w:color w:val="231F20"/>
          <w:sz w:val="18"/>
          <w:szCs w:val="18"/>
        </w:rPr>
        <w:t>Professional Standards Command.</w:t>
      </w:r>
      <w:r w:rsidRPr="00ED2501">
        <w:rPr>
          <w:color w:val="231F20"/>
          <w:spacing w:val="1"/>
          <w:sz w:val="18"/>
          <w:szCs w:val="18"/>
        </w:rPr>
        <w:t xml:space="preserve"> </w:t>
      </w:r>
      <w:r w:rsidRPr="00ED2501">
        <w:rPr>
          <w:color w:val="231F20"/>
          <w:sz w:val="18"/>
          <w:szCs w:val="18"/>
        </w:rPr>
        <w:t>Data extracted from ROCSID</w:t>
      </w:r>
      <w:r w:rsidRPr="00ED2501">
        <w:rPr>
          <w:color w:val="231F20"/>
          <w:spacing w:val="1"/>
          <w:sz w:val="18"/>
          <w:szCs w:val="18"/>
        </w:rPr>
        <w:t xml:space="preserve"> </w:t>
      </w:r>
      <w:r w:rsidRPr="00ED2501">
        <w:rPr>
          <w:color w:val="231F20"/>
          <w:sz w:val="18"/>
          <w:szCs w:val="18"/>
        </w:rPr>
        <w:t>on 18 July</w:t>
      </w:r>
      <w:r w:rsidRPr="00ED2501">
        <w:rPr>
          <w:color w:val="231F20"/>
          <w:spacing w:val="1"/>
          <w:sz w:val="18"/>
          <w:szCs w:val="18"/>
        </w:rPr>
        <w:t xml:space="preserve"> </w:t>
      </w:r>
      <w:r w:rsidRPr="00ED2501">
        <w:rPr>
          <w:color w:val="231F20"/>
          <w:spacing w:val="-2"/>
          <w:sz w:val="18"/>
          <w:szCs w:val="18"/>
        </w:rPr>
        <w:t>2022.</w:t>
      </w:r>
    </w:p>
    <w:p w14:paraId="429ABF27" w14:textId="77777777" w:rsidR="00345EE3" w:rsidRPr="00ED2501" w:rsidRDefault="00345EE3" w:rsidP="00345EE3">
      <w:pPr>
        <w:spacing w:before="28"/>
        <w:ind w:left="110"/>
        <w:rPr>
          <w:rFonts w:ascii="Arial-BoldItalicMT"/>
          <w:b/>
          <w:i/>
          <w:sz w:val="18"/>
          <w:szCs w:val="18"/>
        </w:rPr>
      </w:pPr>
      <w:r w:rsidRPr="00ED2501">
        <w:rPr>
          <w:rFonts w:ascii="Arial-BoldItalicMT"/>
          <w:b/>
          <w:i/>
          <w:color w:val="231F20"/>
          <w:spacing w:val="-2"/>
          <w:sz w:val="18"/>
          <w:szCs w:val="18"/>
        </w:rPr>
        <w:t>Notes:</w:t>
      </w:r>
    </w:p>
    <w:p w14:paraId="45A4154F" w14:textId="77777777" w:rsidR="00345EE3" w:rsidRPr="00ED2501" w:rsidRDefault="00345EE3">
      <w:pPr>
        <w:pStyle w:val="ListParagraph"/>
        <w:numPr>
          <w:ilvl w:val="0"/>
          <w:numId w:val="51"/>
        </w:numPr>
        <w:tabs>
          <w:tab w:val="left" w:pos="338"/>
        </w:tabs>
        <w:spacing w:before="27"/>
        <w:ind w:right="1033"/>
        <w:rPr>
          <w:sz w:val="18"/>
          <w:szCs w:val="18"/>
        </w:rPr>
      </w:pPr>
      <w:r w:rsidRPr="00ED2501">
        <w:rPr>
          <w:color w:val="231F20"/>
          <w:sz w:val="18"/>
          <w:szCs w:val="18"/>
        </w:rPr>
        <w:t>A</w:t>
      </w:r>
      <w:r w:rsidRPr="00ED2501">
        <w:rPr>
          <w:color w:val="231F20"/>
          <w:spacing w:val="-1"/>
          <w:sz w:val="18"/>
          <w:szCs w:val="18"/>
        </w:rPr>
        <w:t xml:space="preserve"> </w:t>
      </w:r>
      <w:r w:rsidRPr="00ED2501">
        <w:rPr>
          <w:color w:val="231F20"/>
          <w:sz w:val="18"/>
          <w:szCs w:val="18"/>
        </w:rPr>
        <w:t>complaint</w:t>
      </w:r>
      <w:r w:rsidRPr="00ED2501">
        <w:rPr>
          <w:color w:val="231F20"/>
          <w:spacing w:val="-1"/>
          <w:sz w:val="18"/>
          <w:szCs w:val="18"/>
        </w:rPr>
        <w:t xml:space="preserve"> </w:t>
      </w:r>
      <w:r w:rsidRPr="00ED2501">
        <w:rPr>
          <w:color w:val="231F20"/>
          <w:sz w:val="18"/>
          <w:szCs w:val="18"/>
        </w:rPr>
        <w:t>may</w:t>
      </w:r>
      <w:r w:rsidRPr="00ED2501">
        <w:rPr>
          <w:color w:val="231F20"/>
          <w:spacing w:val="-1"/>
          <w:sz w:val="18"/>
          <w:szCs w:val="18"/>
        </w:rPr>
        <w:t xml:space="preserve"> </w:t>
      </w:r>
      <w:r w:rsidRPr="00ED2501">
        <w:rPr>
          <w:color w:val="231F20"/>
          <w:sz w:val="18"/>
          <w:szCs w:val="18"/>
        </w:rPr>
        <w:t>consist</w:t>
      </w:r>
      <w:r w:rsidRPr="00ED2501">
        <w:rPr>
          <w:color w:val="231F20"/>
          <w:spacing w:val="-1"/>
          <w:sz w:val="18"/>
          <w:szCs w:val="18"/>
        </w:rPr>
        <w:t xml:space="preserve"> </w:t>
      </w:r>
      <w:r w:rsidRPr="00ED2501">
        <w:rPr>
          <w:color w:val="231F20"/>
          <w:sz w:val="18"/>
          <w:szCs w:val="18"/>
        </w:rPr>
        <w:t>of</w:t>
      </w:r>
      <w:r w:rsidRPr="00ED2501">
        <w:rPr>
          <w:color w:val="231F20"/>
          <w:spacing w:val="-1"/>
          <w:sz w:val="18"/>
          <w:szCs w:val="18"/>
        </w:rPr>
        <w:t xml:space="preserve"> </w:t>
      </w:r>
      <w:r w:rsidRPr="00ED2501">
        <w:rPr>
          <w:color w:val="231F20"/>
          <w:sz w:val="18"/>
          <w:szCs w:val="18"/>
        </w:rPr>
        <w:t>one</w:t>
      </w:r>
      <w:r w:rsidRPr="00ED2501">
        <w:rPr>
          <w:color w:val="231F20"/>
          <w:spacing w:val="-1"/>
          <w:sz w:val="18"/>
          <w:szCs w:val="18"/>
        </w:rPr>
        <w:t xml:space="preserve"> </w:t>
      </w:r>
      <w:r w:rsidRPr="00ED2501">
        <w:rPr>
          <w:color w:val="231F20"/>
          <w:sz w:val="18"/>
          <w:szCs w:val="18"/>
        </w:rPr>
        <w:t>or</w:t>
      </w:r>
      <w:r w:rsidRPr="00ED2501">
        <w:rPr>
          <w:color w:val="231F20"/>
          <w:spacing w:val="-1"/>
          <w:sz w:val="18"/>
          <w:szCs w:val="18"/>
        </w:rPr>
        <w:t xml:space="preserve"> </w:t>
      </w:r>
      <w:r w:rsidRPr="00ED2501">
        <w:rPr>
          <w:color w:val="231F20"/>
          <w:sz w:val="18"/>
          <w:szCs w:val="18"/>
        </w:rPr>
        <w:t>more</w:t>
      </w:r>
      <w:r w:rsidRPr="00ED2501">
        <w:rPr>
          <w:color w:val="231F20"/>
          <w:spacing w:val="-1"/>
          <w:sz w:val="18"/>
          <w:szCs w:val="18"/>
        </w:rPr>
        <w:t xml:space="preserve"> </w:t>
      </w:r>
      <w:r w:rsidRPr="00ED2501">
        <w:rPr>
          <w:color w:val="231F20"/>
          <w:sz w:val="18"/>
          <w:szCs w:val="18"/>
        </w:rPr>
        <w:t>allegations</w:t>
      </w:r>
      <w:r w:rsidRPr="00ED2501">
        <w:rPr>
          <w:color w:val="231F20"/>
          <w:spacing w:val="-1"/>
          <w:sz w:val="18"/>
          <w:szCs w:val="18"/>
        </w:rPr>
        <w:t xml:space="preserve"> </w:t>
      </w:r>
      <w:r w:rsidRPr="00ED2501">
        <w:rPr>
          <w:color w:val="231F20"/>
          <w:sz w:val="18"/>
          <w:szCs w:val="18"/>
        </w:rPr>
        <w:t>against</w:t>
      </w:r>
      <w:r w:rsidRPr="00ED2501">
        <w:rPr>
          <w:color w:val="231F20"/>
          <w:spacing w:val="-1"/>
          <w:sz w:val="18"/>
          <w:szCs w:val="18"/>
        </w:rPr>
        <w:t xml:space="preserve"> </w:t>
      </w:r>
      <w:r w:rsidRPr="00ED2501">
        <w:rPr>
          <w:color w:val="231F20"/>
          <w:sz w:val="18"/>
          <w:szCs w:val="18"/>
        </w:rPr>
        <w:t>one</w:t>
      </w:r>
      <w:r w:rsidRPr="00ED2501">
        <w:rPr>
          <w:color w:val="231F20"/>
          <w:spacing w:val="-1"/>
          <w:sz w:val="18"/>
          <w:szCs w:val="18"/>
        </w:rPr>
        <w:t xml:space="preserve"> </w:t>
      </w:r>
      <w:r w:rsidRPr="00ED2501">
        <w:rPr>
          <w:color w:val="231F20"/>
          <w:sz w:val="18"/>
          <w:szCs w:val="18"/>
        </w:rPr>
        <w:t>or</w:t>
      </w:r>
      <w:r w:rsidRPr="00ED2501">
        <w:rPr>
          <w:color w:val="231F20"/>
          <w:spacing w:val="-1"/>
          <w:sz w:val="18"/>
          <w:szCs w:val="18"/>
        </w:rPr>
        <w:t xml:space="preserve"> </w:t>
      </w:r>
      <w:r w:rsidRPr="00ED2501">
        <w:rPr>
          <w:color w:val="231F20"/>
          <w:sz w:val="18"/>
          <w:szCs w:val="18"/>
        </w:rPr>
        <w:t>more</w:t>
      </w:r>
      <w:r w:rsidRPr="00ED2501">
        <w:rPr>
          <w:color w:val="231F20"/>
          <w:spacing w:val="-1"/>
          <w:sz w:val="18"/>
          <w:szCs w:val="18"/>
        </w:rPr>
        <w:t xml:space="preserve"> </w:t>
      </w:r>
      <w:r w:rsidRPr="00ED2501">
        <w:rPr>
          <w:color w:val="231F20"/>
          <w:sz w:val="18"/>
          <w:szCs w:val="18"/>
        </w:rPr>
        <w:t>employees.</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figures</w:t>
      </w:r>
      <w:r w:rsidRPr="00ED2501">
        <w:rPr>
          <w:color w:val="231F20"/>
          <w:spacing w:val="-1"/>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this</w:t>
      </w:r>
      <w:r w:rsidRPr="00ED2501">
        <w:rPr>
          <w:color w:val="231F20"/>
          <w:spacing w:val="-1"/>
          <w:sz w:val="18"/>
          <w:szCs w:val="18"/>
        </w:rPr>
        <w:t xml:space="preserve"> </w:t>
      </w:r>
      <w:r w:rsidRPr="00ED2501">
        <w:rPr>
          <w:color w:val="231F20"/>
          <w:sz w:val="18"/>
          <w:szCs w:val="18"/>
        </w:rPr>
        <w:t>table</w:t>
      </w:r>
      <w:r w:rsidRPr="00ED2501">
        <w:rPr>
          <w:color w:val="231F20"/>
          <w:spacing w:val="-1"/>
          <w:sz w:val="18"/>
          <w:szCs w:val="18"/>
        </w:rPr>
        <w:t xml:space="preserve"> </w:t>
      </w:r>
      <w:r w:rsidRPr="00ED2501">
        <w:rPr>
          <w:color w:val="231F20"/>
          <w:sz w:val="18"/>
          <w:szCs w:val="18"/>
        </w:rPr>
        <w:t>reflect</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‘Determination’</w:t>
      </w:r>
      <w:r w:rsidRPr="00ED2501">
        <w:rPr>
          <w:color w:val="231F20"/>
          <w:spacing w:val="-1"/>
          <w:sz w:val="18"/>
          <w:szCs w:val="18"/>
        </w:rPr>
        <w:t xml:space="preserve"> </w:t>
      </w:r>
      <w:r w:rsidRPr="00ED2501">
        <w:rPr>
          <w:color w:val="231F20"/>
          <w:sz w:val="18"/>
          <w:szCs w:val="18"/>
        </w:rPr>
        <w:t>for</w:t>
      </w:r>
      <w:r w:rsidRPr="00ED2501">
        <w:rPr>
          <w:color w:val="231F20"/>
          <w:spacing w:val="-1"/>
          <w:sz w:val="18"/>
          <w:szCs w:val="18"/>
        </w:rPr>
        <w:t xml:space="preserve"> </w:t>
      </w:r>
      <w:r w:rsidRPr="00ED2501">
        <w:rPr>
          <w:color w:val="231F20"/>
          <w:sz w:val="18"/>
          <w:szCs w:val="18"/>
        </w:rPr>
        <w:t>each</w:t>
      </w:r>
      <w:r w:rsidRPr="00ED2501">
        <w:rPr>
          <w:color w:val="231F20"/>
          <w:spacing w:val="-1"/>
          <w:sz w:val="18"/>
          <w:szCs w:val="18"/>
        </w:rPr>
        <w:t xml:space="preserve"> </w:t>
      </w:r>
      <w:r w:rsidRPr="00ED2501">
        <w:rPr>
          <w:color w:val="231F20"/>
          <w:sz w:val="18"/>
          <w:szCs w:val="18"/>
        </w:rPr>
        <w:t>allegation,</w:t>
      </w:r>
      <w:r w:rsidRPr="00ED2501">
        <w:rPr>
          <w:color w:val="231F20"/>
          <w:spacing w:val="-1"/>
          <w:sz w:val="18"/>
          <w:szCs w:val="18"/>
        </w:rPr>
        <w:t xml:space="preserve"> </w:t>
      </w:r>
      <w:r w:rsidRPr="00ED2501">
        <w:rPr>
          <w:color w:val="231F20"/>
          <w:sz w:val="18"/>
          <w:szCs w:val="18"/>
        </w:rPr>
        <w:t>not</w:t>
      </w:r>
      <w:r w:rsidRPr="00ED2501">
        <w:rPr>
          <w:color w:val="231F20"/>
          <w:spacing w:val="40"/>
          <w:sz w:val="18"/>
          <w:szCs w:val="18"/>
        </w:rPr>
        <w:t xml:space="preserve"> </w:t>
      </w:r>
      <w:r w:rsidRPr="00ED2501">
        <w:rPr>
          <w:color w:val="231F20"/>
          <w:sz w:val="18"/>
          <w:szCs w:val="18"/>
        </w:rPr>
        <w:t>the outcome of a single complaint.</w:t>
      </w:r>
    </w:p>
    <w:p w14:paraId="42D23EE2" w14:textId="77777777" w:rsidR="00345EE3" w:rsidRPr="00ED2501" w:rsidRDefault="00345EE3">
      <w:pPr>
        <w:pStyle w:val="ListParagraph"/>
        <w:numPr>
          <w:ilvl w:val="0"/>
          <w:numId w:val="51"/>
        </w:numPr>
        <w:tabs>
          <w:tab w:val="left" w:pos="338"/>
        </w:tabs>
        <w:spacing w:before="26"/>
        <w:ind w:hanging="228"/>
        <w:rPr>
          <w:sz w:val="18"/>
          <w:szCs w:val="18"/>
        </w:rPr>
      </w:pPr>
      <w:r w:rsidRPr="00ED2501">
        <w:rPr>
          <w:color w:val="231F20"/>
          <w:sz w:val="18"/>
          <w:szCs w:val="18"/>
        </w:rPr>
        <w:t>Figures</w:t>
      </w:r>
      <w:r w:rsidRPr="00ED2501">
        <w:rPr>
          <w:color w:val="231F20"/>
          <w:spacing w:val="-3"/>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table</w:t>
      </w:r>
      <w:r w:rsidRPr="00ED2501">
        <w:rPr>
          <w:color w:val="231F20"/>
          <w:spacing w:val="-2"/>
          <w:sz w:val="18"/>
          <w:szCs w:val="18"/>
        </w:rPr>
        <w:t xml:space="preserve"> </w:t>
      </w:r>
      <w:r w:rsidRPr="00ED2501">
        <w:rPr>
          <w:color w:val="231F20"/>
          <w:sz w:val="18"/>
          <w:szCs w:val="18"/>
        </w:rPr>
        <w:t>represent</w:t>
      </w:r>
      <w:r w:rsidRPr="00ED2501">
        <w:rPr>
          <w:color w:val="231F20"/>
          <w:spacing w:val="-2"/>
          <w:sz w:val="18"/>
          <w:szCs w:val="18"/>
        </w:rPr>
        <w:t xml:space="preserve"> </w:t>
      </w:r>
      <w:r w:rsidRPr="00ED2501">
        <w:rPr>
          <w:color w:val="231F20"/>
          <w:sz w:val="18"/>
          <w:szCs w:val="18"/>
        </w:rPr>
        <w:t>all</w:t>
      </w:r>
      <w:r w:rsidRPr="00ED2501">
        <w:rPr>
          <w:color w:val="231F20"/>
          <w:spacing w:val="-2"/>
          <w:sz w:val="18"/>
          <w:szCs w:val="18"/>
        </w:rPr>
        <w:t xml:space="preserve"> </w:t>
      </w:r>
      <w:r w:rsidRPr="00ED2501">
        <w:rPr>
          <w:color w:val="231F20"/>
          <w:sz w:val="18"/>
          <w:szCs w:val="18"/>
        </w:rPr>
        <w:t>allegations</w:t>
      </w:r>
      <w:r w:rsidRPr="00ED2501">
        <w:rPr>
          <w:color w:val="231F20"/>
          <w:spacing w:val="-2"/>
          <w:sz w:val="18"/>
          <w:szCs w:val="18"/>
        </w:rPr>
        <w:t xml:space="preserve"> </w:t>
      </w:r>
      <w:r w:rsidRPr="00ED2501">
        <w:rPr>
          <w:color w:val="231F20"/>
          <w:sz w:val="18"/>
          <w:szCs w:val="18"/>
        </w:rPr>
        <w:t>determined</w:t>
      </w:r>
      <w:r w:rsidRPr="00ED2501">
        <w:rPr>
          <w:color w:val="231F20"/>
          <w:spacing w:val="-2"/>
          <w:sz w:val="18"/>
          <w:szCs w:val="18"/>
        </w:rPr>
        <w:t xml:space="preserve"> </w:t>
      </w:r>
      <w:r w:rsidRPr="00ED2501">
        <w:rPr>
          <w:color w:val="231F20"/>
          <w:sz w:val="18"/>
          <w:szCs w:val="18"/>
        </w:rPr>
        <w:t>(finalised)</w:t>
      </w:r>
      <w:r w:rsidRPr="00ED2501">
        <w:rPr>
          <w:color w:val="231F20"/>
          <w:spacing w:val="-2"/>
          <w:sz w:val="18"/>
          <w:szCs w:val="18"/>
        </w:rPr>
        <w:t xml:space="preserve"> </w:t>
      </w:r>
      <w:r w:rsidRPr="00ED2501">
        <w:rPr>
          <w:color w:val="231F20"/>
          <w:sz w:val="18"/>
          <w:szCs w:val="18"/>
        </w:rPr>
        <w:t>by</w:t>
      </w:r>
      <w:r w:rsidRPr="00ED2501">
        <w:rPr>
          <w:color w:val="231F20"/>
          <w:spacing w:val="-2"/>
          <w:sz w:val="18"/>
          <w:szCs w:val="18"/>
        </w:rPr>
        <w:t xml:space="preserve"> </w:t>
      </w:r>
      <w:r w:rsidRPr="00ED2501">
        <w:rPr>
          <w:color w:val="231F20"/>
          <w:sz w:val="18"/>
          <w:szCs w:val="18"/>
        </w:rPr>
        <w:t>financial</w:t>
      </w:r>
      <w:r w:rsidRPr="00ED2501">
        <w:rPr>
          <w:color w:val="231F20"/>
          <w:spacing w:val="-3"/>
          <w:sz w:val="18"/>
          <w:szCs w:val="18"/>
        </w:rPr>
        <w:t xml:space="preserve"> </w:t>
      </w:r>
      <w:r w:rsidRPr="00ED2501">
        <w:rPr>
          <w:color w:val="231F20"/>
          <w:sz w:val="18"/>
          <w:szCs w:val="18"/>
        </w:rPr>
        <w:t>year</w:t>
      </w:r>
      <w:r w:rsidRPr="00ED2501">
        <w:rPr>
          <w:color w:val="231F20"/>
          <w:spacing w:val="-2"/>
          <w:sz w:val="18"/>
          <w:szCs w:val="18"/>
        </w:rPr>
        <w:t xml:space="preserve"> </w:t>
      </w:r>
      <w:r w:rsidRPr="00ED2501">
        <w:rPr>
          <w:color w:val="231F20"/>
          <w:sz w:val="18"/>
          <w:szCs w:val="18"/>
        </w:rPr>
        <w:t>and</w:t>
      </w:r>
      <w:r w:rsidRPr="00ED2501">
        <w:rPr>
          <w:color w:val="231F20"/>
          <w:spacing w:val="-2"/>
          <w:sz w:val="18"/>
          <w:szCs w:val="18"/>
        </w:rPr>
        <w:t xml:space="preserve"> </w:t>
      </w:r>
      <w:r w:rsidRPr="00ED2501">
        <w:rPr>
          <w:color w:val="231F20"/>
          <w:sz w:val="18"/>
          <w:szCs w:val="18"/>
        </w:rPr>
        <w:t>may</w:t>
      </w:r>
      <w:r w:rsidRPr="00ED2501">
        <w:rPr>
          <w:color w:val="231F20"/>
          <w:spacing w:val="-2"/>
          <w:sz w:val="18"/>
          <w:szCs w:val="18"/>
        </w:rPr>
        <w:t xml:space="preserve"> </w:t>
      </w:r>
      <w:r w:rsidRPr="00ED2501">
        <w:rPr>
          <w:color w:val="231F20"/>
          <w:sz w:val="18"/>
          <w:szCs w:val="18"/>
        </w:rPr>
        <w:t>include</w:t>
      </w:r>
      <w:r w:rsidRPr="00ED2501">
        <w:rPr>
          <w:color w:val="231F20"/>
          <w:spacing w:val="-2"/>
          <w:sz w:val="18"/>
          <w:szCs w:val="18"/>
        </w:rPr>
        <w:t xml:space="preserve"> </w:t>
      </w:r>
      <w:r w:rsidRPr="00ED2501">
        <w:rPr>
          <w:color w:val="231F20"/>
          <w:sz w:val="18"/>
          <w:szCs w:val="18"/>
        </w:rPr>
        <w:t>complaints</w:t>
      </w:r>
      <w:r w:rsidRPr="00ED2501">
        <w:rPr>
          <w:color w:val="231F20"/>
          <w:spacing w:val="-2"/>
          <w:sz w:val="18"/>
          <w:szCs w:val="18"/>
        </w:rPr>
        <w:t xml:space="preserve"> </w:t>
      </w:r>
      <w:r w:rsidRPr="00ED2501">
        <w:rPr>
          <w:color w:val="231F20"/>
          <w:sz w:val="18"/>
          <w:szCs w:val="18"/>
        </w:rPr>
        <w:t>lodged</w:t>
      </w:r>
      <w:r w:rsidRPr="00ED2501">
        <w:rPr>
          <w:color w:val="231F20"/>
          <w:spacing w:val="-2"/>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previous</w:t>
      </w:r>
      <w:r w:rsidRPr="00ED2501">
        <w:rPr>
          <w:color w:val="231F20"/>
          <w:spacing w:val="-2"/>
          <w:sz w:val="18"/>
          <w:szCs w:val="18"/>
        </w:rPr>
        <w:t xml:space="preserve"> </w:t>
      </w:r>
      <w:r w:rsidRPr="00ED2501">
        <w:rPr>
          <w:color w:val="231F20"/>
          <w:sz w:val="18"/>
          <w:szCs w:val="18"/>
        </w:rPr>
        <w:t>financial</w:t>
      </w:r>
      <w:r w:rsidRPr="00ED2501">
        <w:rPr>
          <w:color w:val="231F20"/>
          <w:spacing w:val="-2"/>
          <w:sz w:val="18"/>
          <w:szCs w:val="18"/>
        </w:rPr>
        <w:t xml:space="preserve"> years.</w:t>
      </w:r>
    </w:p>
    <w:p w14:paraId="16C32D02" w14:textId="77777777" w:rsidR="00345EE3" w:rsidRPr="00ED2501" w:rsidRDefault="00345EE3">
      <w:pPr>
        <w:pStyle w:val="ListParagraph"/>
        <w:numPr>
          <w:ilvl w:val="0"/>
          <w:numId w:val="51"/>
        </w:numPr>
        <w:tabs>
          <w:tab w:val="left" w:pos="338"/>
        </w:tabs>
        <w:spacing w:before="28"/>
        <w:ind w:right="866"/>
        <w:rPr>
          <w:sz w:val="18"/>
          <w:szCs w:val="18"/>
        </w:rPr>
      </w:pPr>
      <w:r w:rsidRPr="00ED2501">
        <w:rPr>
          <w:color w:val="231F20"/>
          <w:sz w:val="18"/>
          <w:szCs w:val="18"/>
        </w:rPr>
        <w:t>Data</w:t>
      </w:r>
      <w:r w:rsidRPr="00ED2501">
        <w:rPr>
          <w:color w:val="231F20"/>
          <w:spacing w:val="-1"/>
          <w:sz w:val="18"/>
          <w:szCs w:val="18"/>
        </w:rPr>
        <w:t xml:space="preserve"> </w:t>
      </w:r>
      <w:r w:rsidRPr="00ED2501">
        <w:rPr>
          <w:color w:val="231F20"/>
          <w:sz w:val="18"/>
          <w:szCs w:val="18"/>
        </w:rPr>
        <w:t>provided</w:t>
      </w:r>
      <w:r w:rsidRPr="00ED2501">
        <w:rPr>
          <w:color w:val="231F20"/>
          <w:spacing w:val="-1"/>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table</w:t>
      </w:r>
      <w:r w:rsidRPr="00ED2501">
        <w:rPr>
          <w:color w:val="231F20"/>
          <w:spacing w:val="-1"/>
          <w:sz w:val="18"/>
          <w:szCs w:val="18"/>
        </w:rPr>
        <w:t xml:space="preserve"> </w:t>
      </w:r>
      <w:r w:rsidRPr="00ED2501">
        <w:rPr>
          <w:color w:val="231F20"/>
          <w:sz w:val="18"/>
          <w:szCs w:val="18"/>
        </w:rPr>
        <w:t>for</w:t>
      </w:r>
      <w:r w:rsidRPr="00ED2501">
        <w:rPr>
          <w:color w:val="231F20"/>
          <w:spacing w:val="-1"/>
          <w:sz w:val="18"/>
          <w:szCs w:val="18"/>
        </w:rPr>
        <w:t xml:space="preserve"> </w:t>
      </w:r>
      <w:r w:rsidRPr="00ED2501">
        <w:rPr>
          <w:color w:val="231F20"/>
          <w:sz w:val="18"/>
          <w:szCs w:val="18"/>
        </w:rPr>
        <w:t>earlier</w:t>
      </w:r>
      <w:r w:rsidRPr="00ED2501">
        <w:rPr>
          <w:color w:val="231F20"/>
          <w:spacing w:val="-1"/>
          <w:sz w:val="18"/>
          <w:szCs w:val="18"/>
        </w:rPr>
        <w:t xml:space="preserve"> </w:t>
      </w:r>
      <w:r w:rsidRPr="00ED2501">
        <w:rPr>
          <w:color w:val="231F20"/>
          <w:sz w:val="18"/>
          <w:szCs w:val="18"/>
        </w:rPr>
        <w:t>financial</w:t>
      </w:r>
      <w:r w:rsidRPr="00ED2501">
        <w:rPr>
          <w:color w:val="231F20"/>
          <w:spacing w:val="-1"/>
          <w:sz w:val="18"/>
          <w:szCs w:val="18"/>
        </w:rPr>
        <w:t xml:space="preserve"> </w:t>
      </w:r>
      <w:r w:rsidRPr="00ED2501">
        <w:rPr>
          <w:color w:val="231F20"/>
          <w:sz w:val="18"/>
          <w:szCs w:val="18"/>
        </w:rPr>
        <w:t>years</w:t>
      </w:r>
      <w:r w:rsidRPr="00ED2501">
        <w:rPr>
          <w:color w:val="231F20"/>
          <w:spacing w:val="-1"/>
          <w:sz w:val="18"/>
          <w:szCs w:val="18"/>
        </w:rPr>
        <w:t xml:space="preserve"> </w:t>
      </w:r>
      <w:r w:rsidRPr="00ED2501">
        <w:rPr>
          <w:color w:val="231F20"/>
          <w:sz w:val="18"/>
          <w:szCs w:val="18"/>
        </w:rPr>
        <w:t>may</w:t>
      </w:r>
      <w:r w:rsidRPr="00ED2501">
        <w:rPr>
          <w:color w:val="231F20"/>
          <w:spacing w:val="-1"/>
          <w:sz w:val="18"/>
          <w:szCs w:val="18"/>
        </w:rPr>
        <w:t xml:space="preserve"> </w:t>
      </w:r>
      <w:r w:rsidRPr="00ED2501">
        <w:rPr>
          <w:color w:val="231F20"/>
          <w:sz w:val="18"/>
          <w:szCs w:val="18"/>
        </w:rPr>
        <w:t>vary</w:t>
      </w:r>
      <w:r w:rsidRPr="00ED2501">
        <w:rPr>
          <w:color w:val="231F20"/>
          <w:spacing w:val="-1"/>
          <w:sz w:val="18"/>
          <w:szCs w:val="18"/>
        </w:rPr>
        <w:t xml:space="preserve"> </w:t>
      </w:r>
      <w:r w:rsidRPr="00ED2501">
        <w:rPr>
          <w:color w:val="231F20"/>
          <w:sz w:val="18"/>
          <w:szCs w:val="18"/>
        </w:rPr>
        <w:t>from</w:t>
      </w:r>
      <w:r w:rsidRPr="00ED2501">
        <w:rPr>
          <w:color w:val="231F20"/>
          <w:spacing w:val="-1"/>
          <w:sz w:val="18"/>
          <w:szCs w:val="18"/>
        </w:rPr>
        <w:t xml:space="preserve"> </w:t>
      </w:r>
      <w:r w:rsidRPr="00ED2501">
        <w:rPr>
          <w:color w:val="231F20"/>
          <w:sz w:val="18"/>
          <w:szCs w:val="18"/>
        </w:rPr>
        <w:t>that</w:t>
      </w:r>
      <w:r w:rsidRPr="00ED2501">
        <w:rPr>
          <w:color w:val="231F20"/>
          <w:spacing w:val="-1"/>
          <w:sz w:val="18"/>
          <w:szCs w:val="18"/>
        </w:rPr>
        <w:t xml:space="preserve"> </w:t>
      </w:r>
      <w:r w:rsidRPr="00ED2501">
        <w:rPr>
          <w:color w:val="231F20"/>
          <w:sz w:val="18"/>
          <w:szCs w:val="18"/>
        </w:rPr>
        <w:t>previously</w:t>
      </w:r>
      <w:r w:rsidRPr="00ED2501">
        <w:rPr>
          <w:color w:val="231F20"/>
          <w:spacing w:val="-1"/>
          <w:sz w:val="18"/>
          <w:szCs w:val="18"/>
        </w:rPr>
        <w:t xml:space="preserve"> </w:t>
      </w:r>
      <w:r w:rsidRPr="00ED2501">
        <w:rPr>
          <w:color w:val="231F20"/>
          <w:sz w:val="18"/>
          <w:szCs w:val="18"/>
        </w:rPr>
        <w:t>published</w:t>
      </w:r>
      <w:r w:rsidRPr="00ED2501">
        <w:rPr>
          <w:color w:val="231F20"/>
          <w:spacing w:val="-1"/>
          <w:sz w:val="18"/>
          <w:szCs w:val="18"/>
        </w:rPr>
        <w:t xml:space="preserve"> </w:t>
      </w:r>
      <w:r w:rsidRPr="00ED2501">
        <w:rPr>
          <w:color w:val="231F20"/>
          <w:sz w:val="18"/>
          <w:szCs w:val="18"/>
        </w:rPr>
        <w:t>due</w:t>
      </w:r>
      <w:r w:rsidRPr="00ED2501">
        <w:rPr>
          <w:color w:val="231F20"/>
          <w:spacing w:val="-1"/>
          <w:sz w:val="18"/>
          <w:szCs w:val="18"/>
        </w:rPr>
        <w:t xml:space="preserve"> </w:t>
      </w:r>
      <w:r w:rsidRPr="00ED2501">
        <w:rPr>
          <w:color w:val="231F20"/>
          <w:sz w:val="18"/>
          <w:szCs w:val="18"/>
        </w:rPr>
        <w:t>to</w:t>
      </w:r>
      <w:r w:rsidRPr="00ED2501">
        <w:rPr>
          <w:color w:val="231F20"/>
          <w:spacing w:val="-1"/>
          <w:sz w:val="18"/>
          <w:szCs w:val="18"/>
        </w:rPr>
        <w:t xml:space="preserve"> </w:t>
      </w:r>
      <w:r w:rsidRPr="00ED2501">
        <w:rPr>
          <w:color w:val="231F20"/>
          <w:sz w:val="18"/>
          <w:szCs w:val="18"/>
        </w:rPr>
        <w:t>internal</w:t>
      </w:r>
      <w:r w:rsidRPr="00ED2501">
        <w:rPr>
          <w:color w:val="231F20"/>
          <w:spacing w:val="-1"/>
          <w:sz w:val="18"/>
          <w:szCs w:val="18"/>
        </w:rPr>
        <w:t xml:space="preserve"> </w:t>
      </w:r>
      <w:r w:rsidRPr="00ED2501">
        <w:rPr>
          <w:color w:val="231F20"/>
          <w:sz w:val="18"/>
          <w:szCs w:val="18"/>
        </w:rPr>
        <w:t>administration</w:t>
      </w:r>
      <w:r w:rsidRPr="00ED2501">
        <w:rPr>
          <w:color w:val="231F20"/>
          <w:spacing w:val="-1"/>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quality</w:t>
      </w:r>
      <w:r w:rsidRPr="00ED2501">
        <w:rPr>
          <w:color w:val="231F20"/>
          <w:spacing w:val="-1"/>
          <w:sz w:val="18"/>
          <w:szCs w:val="18"/>
        </w:rPr>
        <w:t xml:space="preserve"> </w:t>
      </w:r>
      <w:r w:rsidRPr="00ED2501">
        <w:rPr>
          <w:color w:val="231F20"/>
          <w:sz w:val="18"/>
          <w:szCs w:val="18"/>
        </w:rPr>
        <w:t>control</w:t>
      </w:r>
      <w:r w:rsidRPr="00ED2501">
        <w:rPr>
          <w:color w:val="231F20"/>
          <w:spacing w:val="-1"/>
          <w:sz w:val="18"/>
          <w:szCs w:val="18"/>
        </w:rPr>
        <w:t xml:space="preserve"> </w:t>
      </w:r>
      <w:r w:rsidRPr="00ED2501">
        <w:rPr>
          <w:color w:val="231F20"/>
          <w:sz w:val="18"/>
          <w:szCs w:val="18"/>
        </w:rPr>
        <w:t>processes</w:t>
      </w:r>
      <w:r w:rsidRPr="00ED2501">
        <w:rPr>
          <w:color w:val="231F20"/>
          <w:spacing w:val="-1"/>
          <w:sz w:val="18"/>
          <w:szCs w:val="18"/>
        </w:rPr>
        <w:t xml:space="preserve"> </w:t>
      </w:r>
      <w:r w:rsidRPr="00ED2501">
        <w:rPr>
          <w:color w:val="231F20"/>
          <w:sz w:val="18"/>
          <w:szCs w:val="18"/>
        </w:rPr>
        <w:t>that</w:t>
      </w:r>
      <w:r w:rsidRPr="00ED2501">
        <w:rPr>
          <w:color w:val="231F20"/>
          <w:spacing w:val="-1"/>
          <w:sz w:val="18"/>
          <w:szCs w:val="18"/>
        </w:rPr>
        <w:t xml:space="preserve"> </w:t>
      </w:r>
      <w:r w:rsidRPr="00ED2501">
        <w:rPr>
          <w:color w:val="231F20"/>
          <w:sz w:val="18"/>
          <w:szCs w:val="18"/>
        </w:rPr>
        <w:t>may</w:t>
      </w:r>
      <w:r w:rsidRPr="00ED2501">
        <w:rPr>
          <w:color w:val="231F20"/>
          <w:spacing w:val="40"/>
          <w:sz w:val="18"/>
          <w:szCs w:val="18"/>
        </w:rPr>
        <w:t xml:space="preserve"> </w:t>
      </w:r>
      <w:r w:rsidRPr="00ED2501">
        <w:rPr>
          <w:color w:val="231F20"/>
          <w:sz w:val="18"/>
          <w:szCs w:val="18"/>
        </w:rPr>
        <w:t>result in the back capturing of information.</w:t>
      </w:r>
    </w:p>
    <w:p w14:paraId="58A27573" w14:textId="77777777" w:rsidR="00345EE3" w:rsidRPr="00ED2501" w:rsidRDefault="00345EE3">
      <w:pPr>
        <w:pStyle w:val="ListParagraph"/>
        <w:numPr>
          <w:ilvl w:val="0"/>
          <w:numId w:val="51"/>
        </w:numPr>
        <w:tabs>
          <w:tab w:val="left" w:pos="338"/>
        </w:tabs>
        <w:spacing w:before="26"/>
        <w:ind w:hanging="228"/>
        <w:rPr>
          <w:sz w:val="18"/>
          <w:szCs w:val="18"/>
        </w:rPr>
      </w:pPr>
      <w:r w:rsidRPr="00ED2501">
        <w:rPr>
          <w:color w:val="231F20"/>
          <w:sz w:val="18"/>
          <w:szCs w:val="18"/>
        </w:rPr>
        <w:t>Subtotals</w:t>
      </w:r>
      <w:r w:rsidRPr="00ED2501">
        <w:rPr>
          <w:color w:val="231F20"/>
          <w:spacing w:val="-4"/>
          <w:sz w:val="18"/>
          <w:szCs w:val="18"/>
        </w:rPr>
        <w:t xml:space="preserve"> </w:t>
      </w:r>
      <w:r w:rsidRPr="00ED2501">
        <w:rPr>
          <w:color w:val="231F20"/>
          <w:sz w:val="18"/>
          <w:szCs w:val="18"/>
        </w:rPr>
        <w:t>for</w:t>
      </w:r>
      <w:r w:rsidRPr="00ED2501">
        <w:rPr>
          <w:color w:val="231F20"/>
          <w:spacing w:val="-2"/>
          <w:sz w:val="18"/>
          <w:szCs w:val="18"/>
        </w:rPr>
        <w:t xml:space="preserve"> </w:t>
      </w:r>
      <w:r w:rsidRPr="00ED2501">
        <w:rPr>
          <w:color w:val="231F20"/>
          <w:sz w:val="18"/>
          <w:szCs w:val="18"/>
        </w:rPr>
        <w:t>percentage</w:t>
      </w:r>
      <w:r w:rsidRPr="00ED2501">
        <w:rPr>
          <w:color w:val="231F20"/>
          <w:spacing w:val="-2"/>
          <w:sz w:val="18"/>
          <w:szCs w:val="18"/>
        </w:rPr>
        <w:t xml:space="preserve"> </w:t>
      </w:r>
      <w:r w:rsidRPr="00ED2501">
        <w:rPr>
          <w:color w:val="231F20"/>
          <w:sz w:val="18"/>
          <w:szCs w:val="18"/>
        </w:rPr>
        <w:t>figures</w:t>
      </w:r>
      <w:r w:rsidRPr="00ED2501">
        <w:rPr>
          <w:color w:val="231F20"/>
          <w:spacing w:val="-2"/>
          <w:sz w:val="18"/>
          <w:szCs w:val="18"/>
        </w:rPr>
        <w:t xml:space="preserve"> </w:t>
      </w:r>
      <w:r w:rsidRPr="00ED2501">
        <w:rPr>
          <w:color w:val="231F20"/>
          <w:sz w:val="18"/>
          <w:szCs w:val="18"/>
        </w:rPr>
        <w:t>may</w:t>
      </w:r>
      <w:r w:rsidRPr="00ED2501">
        <w:rPr>
          <w:color w:val="231F20"/>
          <w:spacing w:val="-2"/>
          <w:sz w:val="18"/>
          <w:szCs w:val="18"/>
        </w:rPr>
        <w:t xml:space="preserve"> </w:t>
      </w:r>
      <w:r w:rsidRPr="00ED2501">
        <w:rPr>
          <w:color w:val="231F20"/>
          <w:sz w:val="18"/>
          <w:szCs w:val="18"/>
        </w:rPr>
        <w:t>not</w:t>
      </w:r>
      <w:r w:rsidRPr="00ED2501">
        <w:rPr>
          <w:color w:val="231F20"/>
          <w:spacing w:val="-2"/>
          <w:sz w:val="18"/>
          <w:szCs w:val="18"/>
        </w:rPr>
        <w:t xml:space="preserve"> </w:t>
      </w:r>
      <w:r w:rsidRPr="00ED2501">
        <w:rPr>
          <w:color w:val="231F20"/>
          <w:sz w:val="18"/>
          <w:szCs w:val="18"/>
        </w:rPr>
        <w:t>tally</w:t>
      </w:r>
      <w:r w:rsidRPr="00ED2501">
        <w:rPr>
          <w:color w:val="231F20"/>
          <w:spacing w:val="-2"/>
          <w:sz w:val="18"/>
          <w:szCs w:val="18"/>
        </w:rPr>
        <w:t xml:space="preserve"> </w:t>
      </w:r>
      <w:r w:rsidRPr="00ED2501">
        <w:rPr>
          <w:color w:val="231F20"/>
          <w:sz w:val="18"/>
          <w:szCs w:val="18"/>
        </w:rPr>
        <w:t>due</w:t>
      </w:r>
      <w:r w:rsidRPr="00ED2501">
        <w:rPr>
          <w:color w:val="231F20"/>
          <w:spacing w:val="-2"/>
          <w:sz w:val="18"/>
          <w:szCs w:val="18"/>
        </w:rPr>
        <w:t xml:space="preserve"> </w:t>
      </w:r>
      <w:r w:rsidRPr="00ED2501">
        <w:rPr>
          <w:color w:val="231F20"/>
          <w:sz w:val="18"/>
          <w:szCs w:val="18"/>
        </w:rPr>
        <w:t>to</w:t>
      </w:r>
      <w:r w:rsidRPr="00ED2501">
        <w:rPr>
          <w:color w:val="231F20"/>
          <w:spacing w:val="-2"/>
          <w:sz w:val="18"/>
          <w:szCs w:val="18"/>
        </w:rPr>
        <w:t xml:space="preserve"> </w:t>
      </w:r>
      <w:r w:rsidRPr="00ED2501">
        <w:rPr>
          <w:color w:val="231F20"/>
          <w:sz w:val="18"/>
          <w:szCs w:val="18"/>
        </w:rPr>
        <w:t>rounding</w:t>
      </w:r>
      <w:r w:rsidRPr="00ED2501">
        <w:rPr>
          <w:color w:val="231F20"/>
          <w:spacing w:val="-2"/>
          <w:sz w:val="18"/>
          <w:szCs w:val="18"/>
        </w:rPr>
        <w:t xml:space="preserve"> </w:t>
      </w:r>
      <w:r w:rsidRPr="00ED2501">
        <w:rPr>
          <w:color w:val="231F20"/>
          <w:sz w:val="18"/>
          <w:szCs w:val="18"/>
        </w:rPr>
        <w:t>to</w:t>
      </w:r>
      <w:r w:rsidRPr="00ED2501">
        <w:rPr>
          <w:color w:val="231F20"/>
          <w:spacing w:val="-2"/>
          <w:sz w:val="18"/>
          <w:szCs w:val="18"/>
        </w:rPr>
        <w:t xml:space="preserve"> </w:t>
      </w:r>
      <w:r w:rsidRPr="00ED2501">
        <w:rPr>
          <w:color w:val="231F20"/>
          <w:sz w:val="18"/>
          <w:szCs w:val="18"/>
        </w:rPr>
        <w:t>two</w:t>
      </w:r>
      <w:r w:rsidRPr="00ED2501">
        <w:rPr>
          <w:color w:val="231F20"/>
          <w:spacing w:val="-2"/>
          <w:sz w:val="18"/>
          <w:szCs w:val="18"/>
        </w:rPr>
        <w:t xml:space="preserve"> </w:t>
      </w:r>
      <w:r w:rsidRPr="00ED2501">
        <w:rPr>
          <w:color w:val="231F20"/>
          <w:sz w:val="18"/>
          <w:szCs w:val="18"/>
        </w:rPr>
        <w:t>decimal</w:t>
      </w:r>
      <w:r w:rsidRPr="00ED2501">
        <w:rPr>
          <w:color w:val="231F20"/>
          <w:spacing w:val="-1"/>
          <w:sz w:val="18"/>
          <w:szCs w:val="18"/>
        </w:rPr>
        <w:t xml:space="preserve"> </w:t>
      </w:r>
      <w:r w:rsidRPr="00ED2501">
        <w:rPr>
          <w:color w:val="231F20"/>
          <w:spacing w:val="-2"/>
          <w:sz w:val="18"/>
          <w:szCs w:val="18"/>
        </w:rPr>
        <w:t>places.</w:t>
      </w:r>
    </w:p>
    <w:p w14:paraId="6B80A0CE" w14:textId="77777777" w:rsidR="00345EE3" w:rsidRDefault="00345EE3" w:rsidP="00345EE3">
      <w:pPr>
        <w:pStyle w:val="BodyText"/>
        <w:spacing w:before="7"/>
        <w:rPr>
          <w:sz w:val="12"/>
        </w:rPr>
      </w:pPr>
    </w:p>
    <w:p w14:paraId="40A5EB7B" w14:textId="3CE3E914" w:rsidR="00345EE3" w:rsidRDefault="00345EE3" w:rsidP="00345EE3">
      <w:pPr>
        <w:ind w:left="110"/>
        <w:rPr>
          <w:rFonts w:ascii="Arial-BoldItalicMT"/>
          <w:b/>
          <w:i/>
          <w:sz w:val="18"/>
        </w:rPr>
      </w:pPr>
      <w:r>
        <w:rPr>
          <w:color w:val="231F20"/>
          <w:sz w:val="18"/>
        </w:rPr>
        <w:t>Table</w:t>
      </w:r>
      <w:r>
        <w:rPr>
          <w:color w:val="231F20"/>
          <w:spacing w:val="-9"/>
          <w:sz w:val="18"/>
        </w:rPr>
        <w:t xml:space="preserve"> </w:t>
      </w:r>
      <w:r>
        <w:rPr>
          <w:color w:val="231F20"/>
          <w:sz w:val="18"/>
        </w:rPr>
        <w:t>5.34:</w:t>
      </w:r>
      <w:r>
        <w:rPr>
          <w:color w:val="231F20"/>
          <w:spacing w:val="-7"/>
          <w:sz w:val="18"/>
        </w:rPr>
        <w:t xml:space="preserve"> </w:t>
      </w:r>
      <w:r>
        <w:rPr>
          <w:rFonts w:ascii="Arial-BoldItalicMT"/>
          <w:b/>
          <w:i/>
          <w:color w:val="231F20"/>
          <w:sz w:val="18"/>
        </w:rPr>
        <w:t>Recommended</w:t>
      </w:r>
      <w:r>
        <w:rPr>
          <w:rFonts w:ascii="Arial-BoldItalicMT"/>
          <w:b/>
          <w:i/>
          <w:color w:val="231F20"/>
          <w:spacing w:val="-9"/>
          <w:sz w:val="18"/>
        </w:rPr>
        <w:t xml:space="preserve"> </w:t>
      </w:r>
      <w:r>
        <w:rPr>
          <w:rFonts w:ascii="Arial-BoldItalicMT"/>
          <w:b/>
          <w:i/>
          <w:color w:val="231F20"/>
          <w:sz w:val="18"/>
        </w:rPr>
        <w:t>actions</w:t>
      </w:r>
      <w:r>
        <w:rPr>
          <w:rFonts w:ascii="Arial-BoldItalicMT"/>
          <w:b/>
          <w:i/>
          <w:color w:val="231F20"/>
          <w:spacing w:val="-9"/>
          <w:sz w:val="18"/>
        </w:rPr>
        <w:t xml:space="preserve"> </w:t>
      </w:r>
      <w:r>
        <w:rPr>
          <w:rFonts w:ascii="Arial-BoldItalicMT"/>
          <w:b/>
          <w:i/>
          <w:color w:val="231F20"/>
          <w:sz w:val="18"/>
        </w:rPr>
        <w:t>for</w:t>
      </w:r>
      <w:r>
        <w:rPr>
          <w:rFonts w:ascii="Arial-BoldItalicMT"/>
          <w:b/>
          <w:i/>
          <w:color w:val="231F20"/>
          <w:spacing w:val="-9"/>
          <w:sz w:val="18"/>
        </w:rPr>
        <w:t xml:space="preserve"> </w:t>
      </w:r>
      <w:r>
        <w:rPr>
          <w:rFonts w:ascii="Arial-BoldItalicMT"/>
          <w:b/>
          <w:i/>
          <w:color w:val="231F20"/>
          <w:sz w:val="18"/>
        </w:rPr>
        <w:t>complaint</w:t>
      </w:r>
      <w:r>
        <w:rPr>
          <w:rFonts w:ascii="Arial-BoldItalicMT"/>
          <w:b/>
          <w:i/>
          <w:color w:val="231F20"/>
          <w:spacing w:val="-9"/>
          <w:sz w:val="18"/>
        </w:rPr>
        <w:t xml:space="preserve"> </w:t>
      </w:r>
      <w:r>
        <w:rPr>
          <w:rFonts w:ascii="Arial-BoldItalicMT"/>
          <w:b/>
          <w:i/>
          <w:color w:val="231F20"/>
          <w:sz w:val="18"/>
        </w:rPr>
        <w:t>allegations</w:t>
      </w:r>
      <w:r>
        <w:rPr>
          <w:rFonts w:ascii="Arial-BoldItalicMT"/>
          <w:b/>
          <w:i/>
          <w:color w:val="231F20"/>
          <w:spacing w:val="-10"/>
          <w:sz w:val="18"/>
        </w:rPr>
        <w:t xml:space="preserve"> </w:t>
      </w:r>
      <w:r>
        <w:rPr>
          <w:rFonts w:ascii="Arial-BoldItalicMT"/>
          <w:b/>
          <w:i/>
          <w:color w:val="231F20"/>
          <w:sz w:val="18"/>
        </w:rPr>
        <w:t>finalised</w:t>
      </w:r>
      <w:r>
        <w:rPr>
          <w:rFonts w:ascii="Arial-BoldItalicMT"/>
          <w:b/>
          <w:i/>
          <w:color w:val="231F20"/>
          <w:spacing w:val="-9"/>
          <w:sz w:val="18"/>
        </w:rPr>
        <w:t xml:space="preserve"> </w:t>
      </w:r>
      <w:r>
        <w:rPr>
          <w:rFonts w:ascii="Arial-BoldItalicMT"/>
          <w:b/>
          <w:i/>
          <w:color w:val="231F20"/>
          <w:sz w:val="18"/>
        </w:rPr>
        <w:t>by</w:t>
      </w:r>
      <w:r>
        <w:rPr>
          <w:rFonts w:ascii="Arial-BoldItalicMT"/>
          <w:b/>
          <w:i/>
          <w:color w:val="231F20"/>
          <w:spacing w:val="-9"/>
          <w:sz w:val="18"/>
        </w:rPr>
        <w:t xml:space="preserve"> </w:t>
      </w:r>
      <w:r>
        <w:rPr>
          <w:rFonts w:ascii="Arial-BoldItalicMT"/>
          <w:b/>
          <w:i/>
          <w:color w:val="231F20"/>
          <w:sz w:val="18"/>
        </w:rPr>
        <w:t>Financial</w:t>
      </w:r>
      <w:r>
        <w:rPr>
          <w:rFonts w:ascii="Arial-BoldItalicMT"/>
          <w:b/>
          <w:i/>
          <w:color w:val="231F20"/>
          <w:spacing w:val="-9"/>
          <w:sz w:val="18"/>
        </w:rPr>
        <w:t xml:space="preserve"> </w:t>
      </w:r>
      <w:r>
        <w:rPr>
          <w:rFonts w:ascii="Arial-BoldItalicMT"/>
          <w:b/>
          <w:i/>
          <w:color w:val="231F20"/>
          <w:sz w:val="18"/>
        </w:rPr>
        <w:t>Year</w:t>
      </w:r>
      <w:r>
        <w:rPr>
          <w:rFonts w:ascii="Arial-BoldItalicMT"/>
          <w:b/>
          <w:i/>
          <w:color w:val="231F20"/>
          <w:spacing w:val="-9"/>
          <w:sz w:val="18"/>
        </w:rPr>
        <w:t xml:space="preserve"> </w:t>
      </w:r>
      <w:r>
        <w:rPr>
          <w:rFonts w:ascii="Arial-BoldItalicMT"/>
          <w:b/>
          <w:i/>
          <w:color w:val="231F20"/>
          <w:sz w:val="18"/>
        </w:rPr>
        <w:t>(three-year</w:t>
      </w:r>
      <w:r>
        <w:rPr>
          <w:rFonts w:ascii="Arial-BoldItalicMT"/>
          <w:b/>
          <w:i/>
          <w:color w:val="231F20"/>
          <w:spacing w:val="-9"/>
          <w:sz w:val="18"/>
        </w:rPr>
        <w:t xml:space="preserve"> </w:t>
      </w:r>
      <w:r>
        <w:rPr>
          <w:rFonts w:ascii="Arial-BoldItalicMT"/>
          <w:b/>
          <w:i/>
          <w:color w:val="231F20"/>
          <w:spacing w:val="-2"/>
          <w:sz w:val="18"/>
        </w:rPr>
        <w:t>summary)</w:t>
      </w:r>
    </w:p>
    <w:tbl>
      <w:tblPr>
        <w:tblW w:w="0" w:type="auto"/>
        <w:tblInd w:w="134" w:type="dxa"/>
        <w:tblLayout w:type="fixed"/>
        <w:tblCellMar>
          <w:left w:w="0" w:type="dxa"/>
          <w:right w:w="0" w:type="dxa"/>
        </w:tblCellMar>
        <w:tblLook w:val="0000" w:firstRow="0" w:lastRow="0" w:firstColumn="0" w:lastColumn="0" w:noHBand="0" w:noVBand="0"/>
      </w:tblPr>
      <w:tblGrid>
        <w:gridCol w:w="4422"/>
        <w:gridCol w:w="964"/>
        <w:gridCol w:w="964"/>
        <w:gridCol w:w="963"/>
        <w:gridCol w:w="964"/>
        <w:gridCol w:w="964"/>
        <w:gridCol w:w="964"/>
      </w:tblGrid>
      <w:tr w:rsidR="0052306E" w:rsidRPr="0052306E" w14:paraId="7D0512CB" w14:textId="77777777" w:rsidTr="0052306E">
        <w:trPr>
          <w:trHeight w:val="60"/>
          <w:tblHeader/>
        </w:trPr>
        <w:tc>
          <w:tcPr>
            <w:tcW w:w="4422" w:type="dxa"/>
            <w:tcBorders>
              <w:top w:val="single" w:sz="6" w:space="0" w:color="000000"/>
              <w:left w:val="single" w:sz="6" w:space="0" w:color="000000"/>
              <w:bottom w:val="single" w:sz="6" w:space="0" w:color="9D9C9C"/>
              <w:right w:val="single" w:sz="2" w:space="0" w:color="FFFFFF"/>
            </w:tcBorders>
            <w:shd w:val="solid" w:color="004996" w:fill="auto"/>
            <w:tcMar>
              <w:top w:w="85" w:type="dxa"/>
              <w:left w:w="14" w:type="dxa"/>
              <w:bottom w:w="85" w:type="dxa"/>
              <w:right w:w="14" w:type="dxa"/>
            </w:tcMar>
          </w:tcPr>
          <w:p w14:paraId="4B1EDAA9"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b/>
                <w:bCs/>
                <w:color w:val="FFFFFF"/>
                <w:sz w:val="24"/>
                <w:szCs w:val="24"/>
                <w:lang w:val="en-GB"/>
              </w:rPr>
            </w:pPr>
            <w:r w:rsidRPr="0052306E">
              <w:rPr>
                <w:rFonts w:eastAsia="Myriad Pro"/>
                <w:b/>
                <w:bCs/>
                <w:color w:val="FFFFFF"/>
                <w:sz w:val="24"/>
                <w:szCs w:val="24"/>
                <w:lang w:val="en-GB"/>
              </w:rPr>
              <w:t>Recommendations</w:t>
            </w:r>
          </w:p>
        </w:tc>
        <w:tc>
          <w:tcPr>
            <w:tcW w:w="1928" w:type="dxa"/>
            <w:gridSpan w:val="2"/>
            <w:tcBorders>
              <w:top w:val="single" w:sz="6" w:space="0" w:color="000000"/>
              <w:left w:val="single" w:sz="2" w:space="0" w:color="FFFFFF"/>
              <w:bottom w:val="single" w:sz="2" w:space="0" w:color="FFFFFF"/>
              <w:right w:val="single" w:sz="2" w:space="0" w:color="FFFFFF"/>
            </w:tcBorders>
            <w:shd w:val="solid" w:color="004996" w:fill="auto"/>
            <w:tcMar>
              <w:top w:w="85" w:type="dxa"/>
              <w:left w:w="14" w:type="dxa"/>
              <w:bottom w:w="85" w:type="dxa"/>
              <w:right w:w="14" w:type="dxa"/>
            </w:tcMar>
          </w:tcPr>
          <w:p w14:paraId="79B7635A" w14:textId="77777777" w:rsidR="0052306E" w:rsidRPr="0052306E" w:rsidRDefault="0052306E" w:rsidP="0052306E">
            <w:pPr>
              <w:widowControl/>
              <w:tabs>
                <w:tab w:val="left" w:pos="240"/>
              </w:tabs>
              <w:suppressAutoHyphens/>
              <w:adjustRightInd w:val="0"/>
              <w:spacing w:after="57" w:line="280" w:lineRule="atLeast"/>
              <w:jc w:val="center"/>
              <w:textAlignment w:val="center"/>
              <w:rPr>
                <w:rFonts w:eastAsia="Myriad Pro"/>
                <w:b/>
                <w:bCs/>
                <w:color w:val="FFFFFF"/>
                <w:sz w:val="24"/>
                <w:szCs w:val="24"/>
                <w:lang w:val="en-GB"/>
              </w:rPr>
            </w:pPr>
            <w:r w:rsidRPr="0052306E">
              <w:rPr>
                <w:rFonts w:eastAsia="Myriad Pro"/>
                <w:b/>
                <w:bCs/>
                <w:color w:val="FFFFFF"/>
                <w:sz w:val="24"/>
                <w:szCs w:val="24"/>
                <w:lang w:val="en-GB"/>
              </w:rPr>
              <w:t>2019–20</w:t>
            </w:r>
          </w:p>
        </w:tc>
        <w:tc>
          <w:tcPr>
            <w:tcW w:w="1927" w:type="dxa"/>
            <w:gridSpan w:val="2"/>
            <w:tcBorders>
              <w:top w:val="single" w:sz="6" w:space="0" w:color="000000"/>
              <w:left w:val="single" w:sz="2" w:space="0" w:color="FFFFFF"/>
              <w:bottom w:val="single" w:sz="2" w:space="0" w:color="FFFFFF"/>
              <w:right w:val="single" w:sz="2" w:space="0" w:color="FFFFFF"/>
            </w:tcBorders>
            <w:shd w:val="solid" w:color="004996" w:fill="auto"/>
            <w:tcMar>
              <w:top w:w="85" w:type="dxa"/>
              <w:left w:w="14" w:type="dxa"/>
              <w:bottom w:w="85" w:type="dxa"/>
              <w:right w:w="14" w:type="dxa"/>
            </w:tcMar>
          </w:tcPr>
          <w:p w14:paraId="0B6B6B5C" w14:textId="77777777" w:rsidR="0052306E" w:rsidRPr="0052306E" w:rsidRDefault="0052306E" w:rsidP="0052306E">
            <w:pPr>
              <w:widowControl/>
              <w:tabs>
                <w:tab w:val="left" w:pos="240"/>
              </w:tabs>
              <w:suppressAutoHyphens/>
              <w:adjustRightInd w:val="0"/>
              <w:spacing w:after="57" w:line="280" w:lineRule="atLeast"/>
              <w:jc w:val="center"/>
              <w:textAlignment w:val="center"/>
              <w:rPr>
                <w:rFonts w:eastAsia="Myriad Pro"/>
                <w:b/>
                <w:bCs/>
                <w:color w:val="FFFFFF"/>
                <w:sz w:val="24"/>
                <w:szCs w:val="24"/>
                <w:lang w:val="en-GB"/>
              </w:rPr>
            </w:pPr>
            <w:r w:rsidRPr="0052306E">
              <w:rPr>
                <w:rFonts w:eastAsia="Myriad Pro"/>
                <w:b/>
                <w:bCs/>
                <w:color w:val="FFFFFF"/>
                <w:sz w:val="24"/>
                <w:szCs w:val="24"/>
                <w:lang w:val="en-GB"/>
              </w:rPr>
              <w:t>2020–21</w:t>
            </w:r>
          </w:p>
        </w:tc>
        <w:tc>
          <w:tcPr>
            <w:tcW w:w="1928" w:type="dxa"/>
            <w:gridSpan w:val="2"/>
            <w:tcBorders>
              <w:top w:val="single" w:sz="6" w:space="0" w:color="004996"/>
              <w:left w:val="single" w:sz="2" w:space="0" w:color="FFFFFF"/>
              <w:bottom w:val="single" w:sz="2" w:space="0" w:color="FFFFFF"/>
              <w:right w:val="single" w:sz="6" w:space="0" w:color="auto"/>
            </w:tcBorders>
            <w:shd w:val="solid" w:color="004996" w:fill="auto"/>
            <w:tcMar>
              <w:top w:w="85" w:type="dxa"/>
              <w:left w:w="14" w:type="dxa"/>
              <w:bottom w:w="85" w:type="dxa"/>
              <w:right w:w="14" w:type="dxa"/>
            </w:tcMar>
          </w:tcPr>
          <w:p w14:paraId="33025F0C" w14:textId="77777777" w:rsidR="0052306E" w:rsidRPr="0052306E" w:rsidRDefault="0052306E" w:rsidP="0052306E">
            <w:pPr>
              <w:widowControl/>
              <w:tabs>
                <w:tab w:val="left" w:pos="240"/>
              </w:tabs>
              <w:suppressAutoHyphens/>
              <w:adjustRightInd w:val="0"/>
              <w:spacing w:after="57" w:line="280" w:lineRule="atLeast"/>
              <w:jc w:val="center"/>
              <w:textAlignment w:val="center"/>
              <w:rPr>
                <w:rFonts w:eastAsia="Myriad Pro"/>
                <w:b/>
                <w:bCs/>
                <w:color w:val="FFFFFF"/>
                <w:sz w:val="24"/>
                <w:szCs w:val="24"/>
                <w:lang w:val="en-GB"/>
              </w:rPr>
            </w:pPr>
            <w:r w:rsidRPr="0052306E">
              <w:rPr>
                <w:rFonts w:eastAsia="Myriad Pro"/>
                <w:b/>
                <w:bCs/>
                <w:color w:val="FFFFFF"/>
                <w:sz w:val="24"/>
                <w:szCs w:val="24"/>
                <w:lang w:val="en-GB"/>
              </w:rPr>
              <w:t>2021–22</w:t>
            </w:r>
          </w:p>
        </w:tc>
      </w:tr>
      <w:tr w:rsidR="0052306E" w:rsidRPr="0052306E" w14:paraId="6F5C101A" w14:textId="77777777" w:rsidTr="0052306E">
        <w:trPr>
          <w:trHeight w:val="60"/>
          <w:tblHeader/>
        </w:trPr>
        <w:tc>
          <w:tcPr>
            <w:tcW w:w="4422" w:type="dxa"/>
            <w:tcBorders>
              <w:top w:val="single" w:sz="6" w:space="0" w:color="9D9C9C"/>
              <w:left w:val="single" w:sz="6" w:space="0" w:color="000000"/>
              <w:bottom w:val="single" w:sz="6" w:space="0" w:color="9D9C9C"/>
              <w:right w:val="single" w:sz="2" w:space="0" w:color="FFFFFF"/>
            </w:tcBorders>
            <w:shd w:val="solid" w:color="004996" w:fill="auto"/>
            <w:tcMar>
              <w:top w:w="85" w:type="dxa"/>
              <w:left w:w="14" w:type="dxa"/>
              <w:bottom w:w="85" w:type="dxa"/>
              <w:right w:w="14" w:type="dxa"/>
            </w:tcMar>
          </w:tcPr>
          <w:p w14:paraId="46AEE1DE" w14:textId="77777777" w:rsidR="0052306E" w:rsidRPr="0052306E" w:rsidRDefault="0052306E" w:rsidP="0052306E">
            <w:pPr>
              <w:widowControl/>
              <w:adjustRightInd w:val="0"/>
              <w:rPr>
                <w:rFonts w:eastAsia="Myriad Pro"/>
                <w:sz w:val="24"/>
                <w:szCs w:val="24"/>
                <w:lang w:val="en-GB"/>
              </w:rPr>
            </w:pP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3E1BDFA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xml:space="preserve">Count </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4E6114D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w:t>
            </w:r>
          </w:p>
        </w:tc>
        <w:tc>
          <w:tcPr>
            <w:tcW w:w="963"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7D6954E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Count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4CEAB86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63B0E76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xml:space="preserve">Count </w:t>
            </w:r>
          </w:p>
        </w:tc>
        <w:tc>
          <w:tcPr>
            <w:tcW w:w="964" w:type="dxa"/>
            <w:tcBorders>
              <w:top w:val="single" w:sz="2" w:space="0" w:color="FFFFFF"/>
              <w:left w:val="single" w:sz="2" w:space="0" w:color="FFFFFF"/>
              <w:bottom w:val="single" w:sz="6" w:space="0" w:color="auto"/>
              <w:right w:val="single" w:sz="6" w:space="0" w:color="auto"/>
            </w:tcBorders>
            <w:shd w:val="solid" w:color="004996" w:fill="auto"/>
            <w:tcMar>
              <w:top w:w="85" w:type="dxa"/>
              <w:left w:w="14" w:type="dxa"/>
              <w:bottom w:w="85" w:type="dxa"/>
              <w:right w:w="14" w:type="dxa"/>
            </w:tcMar>
          </w:tcPr>
          <w:p w14:paraId="14AA967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w:t>
            </w:r>
          </w:p>
        </w:tc>
      </w:tr>
      <w:tr w:rsidR="0052306E" w:rsidRPr="0052306E" w14:paraId="19332C2B"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39E2955B"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Admonishment</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44888AB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155</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453E735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4.9</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07DB707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113</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0875CD3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3.58</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2A4D630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117</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75DC22E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3.13</w:t>
            </w:r>
          </w:p>
        </w:tc>
      </w:tr>
      <w:tr w:rsidR="0052306E" w:rsidRPr="0052306E" w14:paraId="64273F27"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5B322F08"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Criminal charges</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2F4335B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66</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406FEE2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2.1</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2110AEC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31</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180EDDB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0.98</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0D5D91C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49</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59AD306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1.31</w:t>
            </w:r>
          </w:p>
        </w:tc>
      </w:tr>
      <w:tr w:rsidR="0052306E" w:rsidRPr="0052306E" w14:paraId="0D1F0FBB"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50AEA38B"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Discipline charges</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56C4E64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64</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5AC4443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2.0</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367A7BF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53</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13F2F8E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1.68</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6B4413B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95</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2DB4D36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2.54</w:t>
            </w:r>
          </w:p>
        </w:tc>
      </w:tr>
      <w:tr w:rsidR="0052306E" w:rsidRPr="0052306E" w14:paraId="190BECF9"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7BAB2F54"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Management actions</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7143A4C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559</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4B15122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17.6</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0265398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567</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005BE89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17.95</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60F619A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749</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5C43331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20.01</w:t>
            </w:r>
          </w:p>
        </w:tc>
      </w:tr>
      <w:tr w:rsidR="0052306E" w:rsidRPr="0052306E" w14:paraId="2EEAAB99"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798ECA58"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No Data Recorded</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75F5938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41</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6929316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1.3</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6C591F6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38</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321663D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1.20</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2002375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22</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101273A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0.59</w:t>
            </w:r>
          </w:p>
        </w:tc>
      </w:tr>
      <w:tr w:rsidR="0052306E" w:rsidRPr="0052306E" w14:paraId="1ACC0329"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7BC5EAB0"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No action</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72C9678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2,180</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3395C78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68.7</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1413D73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2,281</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58341EA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72.21</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628936B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2,616</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4506392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69.87</w:t>
            </w:r>
          </w:p>
        </w:tc>
      </w:tr>
      <w:tr w:rsidR="0052306E" w:rsidRPr="0052306E" w14:paraId="48D3CF3A"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1FA1FBE3"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Resigned/Retired</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2448EB9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102</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1C82B53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3.2</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5D6E725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56</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712472E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1.77</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1E57F95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85</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3004F26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2.27</w:t>
            </w:r>
          </w:p>
        </w:tc>
      </w:tr>
      <w:tr w:rsidR="0052306E" w:rsidRPr="0052306E" w14:paraId="03AF77FA"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00C1C94D"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Terminated</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255451A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7</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2ECD8D3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0.2</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1EAEA37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20</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2CC2352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0.63</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317E19B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11</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4DAD129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0.29</w:t>
            </w:r>
          </w:p>
        </w:tc>
      </w:tr>
      <w:tr w:rsidR="0052306E" w:rsidRPr="0052306E" w14:paraId="681E5CC6" w14:textId="77777777" w:rsidTr="0052306E">
        <w:trPr>
          <w:trHeight w:val="375"/>
        </w:trPr>
        <w:tc>
          <w:tcPr>
            <w:tcW w:w="4422" w:type="dxa"/>
            <w:tcBorders>
              <w:top w:val="single" w:sz="2" w:space="0" w:color="9D9C9C"/>
              <w:left w:val="single" w:sz="6" w:space="0" w:color="000000"/>
              <w:bottom w:val="single" w:sz="6" w:space="0" w:color="000000"/>
              <w:right w:val="single" w:sz="2" w:space="0" w:color="9D9C9C"/>
            </w:tcBorders>
            <w:tcMar>
              <w:top w:w="85" w:type="dxa"/>
              <w:left w:w="14" w:type="dxa"/>
              <w:bottom w:w="85" w:type="dxa"/>
              <w:right w:w="14" w:type="dxa"/>
            </w:tcMar>
          </w:tcPr>
          <w:p w14:paraId="7D9A5B54"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Total (ALL)</w:t>
            </w:r>
          </w:p>
        </w:tc>
        <w:tc>
          <w:tcPr>
            <w:tcW w:w="964" w:type="dxa"/>
            <w:tcBorders>
              <w:top w:val="single" w:sz="2" w:space="0" w:color="9D9C9C"/>
              <w:left w:val="single" w:sz="2" w:space="0" w:color="9D9C9C"/>
              <w:bottom w:val="single" w:sz="6" w:space="0" w:color="000000"/>
              <w:right w:val="single" w:sz="2" w:space="0" w:color="9D9C9C"/>
            </w:tcBorders>
            <w:tcMar>
              <w:top w:w="85" w:type="dxa"/>
              <w:left w:w="14" w:type="dxa"/>
              <w:bottom w:w="85" w:type="dxa"/>
              <w:right w:w="14" w:type="dxa"/>
            </w:tcMar>
          </w:tcPr>
          <w:p w14:paraId="25AE977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3,174</w:t>
            </w:r>
          </w:p>
        </w:tc>
        <w:tc>
          <w:tcPr>
            <w:tcW w:w="964" w:type="dxa"/>
            <w:tcBorders>
              <w:top w:val="single" w:sz="2" w:space="0" w:color="9D9C9C"/>
              <w:left w:val="single" w:sz="2" w:space="0" w:color="9D9C9C"/>
              <w:bottom w:val="single" w:sz="6" w:space="0" w:color="000000"/>
              <w:right w:val="single" w:sz="2" w:space="0" w:color="9D9C9C"/>
            </w:tcBorders>
            <w:tcMar>
              <w:top w:w="85" w:type="dxa"/>
              <w:left w:w="14" w:type="dxa"/>
              <w:bottom w:w="85" w:type="dxa"/>
              <w:right w:w="14" w:type="dxa"/>
            </w:tcMar>
          </w:tcPr>
          <w:p w14:paraId="35F62E2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100</w:t>
            </w:r>
          </w:p>
        </w:tc>
        <w:tc>
          <w:tcPr>
            <w:tcW w:w="963" w:type="dxa"/>
            <w:tcBorders>
              <w:top w:val="single" w:sz="2" w:space="0" w:color="9D9C9C"/>
              <w:left w:val="single" w:sz="2" w:space="0" w:color="9D9C9C"/>
              <w:bottom w:val="single" w:sz="6" w:space="0" w:color="000000"/>
              <w:right w:val="single" w:sz="2" w:space="0" w:color="9D9C9C"/>
            </w:tcBorders>
            <w:tcMar>
              <w:top w:w="85" w:type="dxa"/>
              <w:left w:w="14" w:type="dxa"/>
              <w:bottom w:w="85" w:type="dxa"/>
              <w:right w:w="14" w:type="dxa"/>
            </w:tcMar>
          </w:tcPr>
          <w:p w14:paraId="4055CAF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3,159</w:t>
            </w:r>
          </w:p>
        </w:tc>
        <w:tc>
          <w:tcPr>
            <w:tcW w:w="964" w:type="dxa"/>
            <w:tcBorders>
              <w:top w:val="single" w:sz="2" w:space="0" w:color="9D9C9C"/>
              <w:left w:val="single" w:sz="2" w:space="0" w:color="9D9C9C"/>
              <w:bottom w:val="single" w:sz="6" w:space="0" w:color="000000"/>
              <w:right w:val="single" w:sz="2" w:space="0" w:color="9D9C9C"/>
            </w:tcBorders>
            <w:tcMar>
              <w:top w:w="85" w:type="dxa"/>
              <w:left w:w="14" w:type="dxa"/>
              <w:bottom w:w="85" w:type="dxa"/>
              <w:right w:w="14" w:type="dxa"/>
            </w:tcMar>
          </w:tcPr>
          <w:p w14:paraId="36591B8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100</w:t>
            </w:r>
          </w:p>
        </w:tc>
        <w:tc>
          <w:tcPr>
            <w:tcW w:w="964" w:type="dxa"/>
            <w:tcBorders>
              <w:top w:val="single" w:sz="2" w:space="0" w:color="9D9C9C"/>
              <w:left w:val="single" w:sz="2" w:space="0" w:color="9D9C9C"/>
              <w:bottom w:val="single" w:sz="6" w:space="0" w:color="000000"/>
              <w:right w:val="single" w:sz="2" w:space="0" w:color="9D9C9C"/>
            </w:tcBorders>
            <w:shd w:val="solid" w:color="ECECEC" w:fill="auto"/>
            <w:tcMar>
              <w:top w:w="85" w:type="dxa"/>
              <w:left w:w="14" w:type="dxa"/>
              <w:bottom w:w="85" w:type="dxa"/>
              <w:right w:w="14" w:type="dxa"/>
            </w:tcMar>
          </w:tcPr>
          <w:p w14:paraId="13831A0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3,744</w:t>
            </w:r>
          </w:p>
        </w:tc>
        <w:tc>
          <w:tcPr>
            <w:tcW w:w="964" w:type="dxa"/>
            <w:tcBorders>
              <w:top w:val="single" w:sz="2" w:space="0" w:color="9D9C9C"/>
              <w:left w:val="single" w:sz="2" w:space="0" w:color="9D9C9C"/>
              <w:bottom w:val="single" w:sz="6" w:space="0" w:color="000000"/>
              <w:right w:val="single" w:sz="6" w:space="0" w:color="9D9C9C"/>
            </w:tcBorders>
            <w:shd w:val="solid" w:color="ECECEC" w:fill="auto"/>
            <w:tcMar>
              <w:top w:w="85" w:type="dxa"/>
              <w:left w:w="14" w:type="dxa"/>
              <w:bottom w:w="85" w:type="dxa"/>
              <w:right w:w="14" w:type="dxa"/>
            </w:tcMar>
          </w:tcPr>
          <w:p w14:paraId="2789AF7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100</w:t>
            </w:r>
          </w:p>
        </w:tc>
      </w:tr>
    </w:tbl>
    <w:p w14:paraId="4519E886" w14:textId="77777777" w:rsidR="00345EE3" w:rsidRPr="00ED2501" w:rsidRDefault="00345EE3" w:rsidP="00345EE3">
      <w:pPr>
        <w:spacing w:before="74"/>
        <w:ind w:left="110"/>
        <w:rPr>
          <w:sz w:val="18"/>
          <w:szCs w:val="18"/>
        </w:rPr>
      </w:pPr>
      <w:r w:rsidRPr="00ED2501">
        <w:rPr>
          <w:rFonts w:ascii="Arial-BoldItalicMT"/>
          <w:b/>
          <w:i/>
          <w:color w:val="231F20"/>
          <w:sz w:val="18"/>
          <w:szCs w:val="18"/>
        </w:rPr>
        <w:t>Source:</w:t>
      </w:r>
      <w:r w:rsidRPr="00ED2501">
        <w:rPr>
          <w:rFonts w:ascii="Arial-BoldItalicMT"/>
          <w:b/>
          <w:i/>
          <w:color w:val="231F20"/>
          <w:spacing w:val="-1"/>
          <w:sz w:val="18"/>
          <w:szCs w:val="18"/>
        </w:rPr>
        <w:t xml:space="preserve"> </w:t>
      </w:r>
      <w:r w:rsidRPr="00ED2501">
        <w:rPr>
          <w:color w:val="231F20"/>
          <w:sz w:val="18"/>
          <w:szCs w:val="18"/>
        </w:rPr>
        <w:t>Professional Standards Command.</w:t>
      </w:r>
      <w:r w:rsidRPr="00ED2501">
        <w:rPr>
          <w:color w:val="231F20"/>
          <w:spacing w:val="1"/>
          <w:sz w:val="18"/>
          <w:szCs w:val="18"/>
        </w:rPr>
        <w:t xml:space="preserve"> </w:t>
      </w:r>
      <w:r w:rsidRPr="00ED2501">
        <w:rPr>
          <w:color w:val="231F20"/>
          <w:sz w:val="18"/>
          <w:szCs w:val="18"/>
        </w:rPr>
        <w:t>Data extracted from ROCSID</w:t>
      </w:r>
      <w:r w:rsidRPr="00ED2501">
        <w:rPr>
          <w:color w:val="231F20"/>
          <w:spacing w:val="1"/>
          <w:sz w:val="18"/>
          <w:szCs w:val="18"/>
        </w:rPr>
        <w:t xml:space="preserve"> </w:t>
      </w:r>
      <w:r w:rsidRPr="00ED2501">
        <w:rPr>
          <w:color w:val="231F20"/>
          <w:sz w:val="18"/>
          <w:szCs w:val="18"/>
        </w:rPr>
        <w:t>on 18 July</w:t>
      </w:r>
      <w:r w:rsidRPr="00ED2501">
        <w:rPr>
          <w:color w:val="231F20"/>
          <w:spacing w:val="1"/>
          <w:sz w:val="18"/>
          <w:szCs w:val="18"/>
        </w:rPr>
        <w:t xml:space="preserve"> </w:t>
      </w:r>
      <w:r w:rsidRPr="00ED2501">
        <w:rPr>
          <w:color w:val="231F20"/>
          <w:spacing w:val="-2"/>
          <w:sz w:val="18"/>
          <w:szCs w:val="18"/>
        </w:rPr>
        <w:t>2022.</w:t>
      </w:r>
    </w:p>
    <w:p w14:paraId="0DFA3E3D" w14:textId="77777777" w:rsidR="00345EE3" w:rsidRPr="00ED2501" w:rsidRDefault="00345EE3" w:rsidP="00345EE3">
      <w:pPr>
        <w:spacing w:before="83"/>
        <w:ind w:left="110"/>
        <w:rPr>
          <w:rFonts w:ascii="Arial-BoldItalicMT"/>
          <w:b/>
          <w:i/>
          <w:sz w:val="18"/>
          <w:szCs w:val="18"/>
        </w:rPr>
      </w:pPr>
      <w:r w:rsidRPr="00ED2501">
        <w:rPr>
          <w:rFonts w:ascii="Arial-BoldItalicMT"/>
          <w:b/>
          <w:i/>
          <w:color w:val="231F20"/>
          <w:spacing w:val="-2"/>
          <w:sz w:val="18"/>
          <w:szCs w:val="18"/>
        </w:rPr>
        <w:t>Notes:</w:t>
      </w:r>
    </w:p>
    <w:p w14:paraId="543270AB" w14:textId="77777777" w:rsidR="00345EE3" w:rsidRPr="00ED2501" w:rsidRDefault="00345EE3">
      <w:pPr>
        <w:pStyle w:val="ListParagraph"/>
        <w:numPr>
          <w:ilvl w:val="0"/>
          <w:numId w:val="50"/>
        </w:numPr>
        <w:tabs>
          <w:tab w:val="left" w:pos="338"/>
        </w:tabs>
        <w:spacing w:before="27"/>
        <w:ind w:right="853"/>
        <w:rPr>
          <w:sz w:val="18"/>
          <w:szCs w:val="18"/>
        </w:rPr>
      </w:pPr>
      <w:r w:rsidRPr="00ED2501">
        <w:rPr>
          <w:color w:val="231F20"/>
          <w:sz w:val="18"/>
          <w:szCs w:val="18"/>
        </w:rPr>
        <w:t>Figures in table represent recommendations made against allegations determined (finalised) by financial year and may include Recommendations for complaints</w:t>
      </w:r>
      <w:r w:rsidRPr="00ED2501">
        <w:rPr>
          <w:color w:val="231F20"/>
          <w:spacing w:val="40"/>
          <w:sz w:val="18"/>
          <w:szCs w:val="18"/>
        </w:rPr>
        <w:t xml:space="preserve"> </w:t>
      </w:r>
      <w:r w:rsidRPr="00ED2501">
        <w:rPr>
          <w:color w:val="231F20"/>
          <w:sz w:val="18"/>
          <w:szCs w:val="18"/>
        </w:rPr>
        <w:t>lodged in previous financial years.</w:t>
      </w:r>
    </w:p>
    <w:p w14:paraId="2E19270A" w14:textId="77777777" w:rsidR="00345EE3" w:rsidRPr="00ED2501" w:rsidRDefault="00345EE3">
      <w:pPr>
        <w:pStyle w:val="ListParagraph"/>
        <w:numPr>
          <w:ilvl w:val="0"/>
          <w:numId w:val="50"/>
        </w:numPr>
        <w:tabs>
          <w:tab w:val="left" w:pos="338"/>
        </w:tabs>
        <w:spacing w:before="27"/>
        <w:ind w:right="866"/>
        <w:rPr>
          <w:sz w:val="18"/>
          <w:szCs w:val="18"/>
        </w:rPr>
      </w:pPr>
      <w:r w:rsidRPr="00ED2501">
        <w:rPr>
          <w:color w:val="231F20"/>
          <w:sz w:val="18"/>
          <w:szCs w:val="18"/>
        </w:rPr>
        <w:t>Data</w:t>
      </w:r>
      <w:r w:rsidRPr="00ED2501">
        <w:rPr>
          <w:color w:val="231F20"/>
          <w:spacing w:val="-1"/>
          <w:sz w:val="18"/>
          <w:szCs w:val="18"/>
        </w:rPr>
        <w:t xml:space="preserve"> </w:t>
      </w:r>
      <w:r w:rsidRPr="00ED2501">
        <w:rPr>
          <w:color w:val="231F20"/>
          <w:sz w:val="18"/>
          <w:szCs w:val="18"/>
        </w:rPr>
        <w:t>provided</w:t>
      </w:r>
      <w:r w:rsidRPr="00ED2501">
        <w:rPr>
          <w:color w:val="231F20"/>
          <w:spacing w:val="-1"/>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table</w:t>
      </w:r>
      <w:r w:rsidRPr="00ED2501">
        <w:rPr>
          <w:color w:val="231F20"/>
          <w:spacing w:val="-1"/>
          <w:sz w:val="18"/>
          <w:szCs w:val="18"/>
        </w:rPr>
        <w:t xml:space="preserve"> </w:t>
      </w:r>
      <w:r w:rsidRPr="00ED2501">
        <w:rPr>
          <w:color w:val="231F20"/>
          <w:sz w:val="18"/>
          <w:szCs w:val="18"/>
        </w:rPr>
        <w:t>for</w:t>
      </w:r>
      <w:r w:rsidRPr="00ED2501">
        <w:rPr>
          <w:color w:val="231F20"/>
          <w:spacing w:val="-1"/>
          <w:sz w:val="18"/>
          <w:szCs w:val="18"/>
        </w:rPr>
        <w:t xml:space="preserve"> </w:t>
      </w:r>
      <w:r w:rsidRPr="00ED2501">
        <w:rPr>
          <w:color w:val="231F20"/>
          <w:sz w:val="18"/>
          <w:szCs w:val="18"/>
        </w:rPr>
        <w:t>earlier</w:t>
      </w:r>
      <w:r w:rsidRPr="00ED2501">
        <w:rPr>
          <w:color w:val="231F20"/>
          <w:spacing w:val="-1"/>
          <w:sz w:val="18"/>
          <w:szCs w:val="18"/>
        </w:rPr>
        <w:t xml:space="preserve"> </w:t>
      </w:r>
      <w:r w:rsidRPr="00ED2501">
        <w:rPr>
          <w:color w:val="231F20"/>
          <w:sz w:val="18"/>
          <w:szCs w:val="18"/>
        </w:rPr>
        <w:t>financial</w:t>
      </w:r>
      <w:r w:rsidRPr="00ED2501">
        <w:rPr>
          <w:color w:val="231F20"/>
          <w:spacing w:val="-1"/>
          <w:sz w:val="18"/>
          <w:szCs w:val="18"/>
        </w:rPr>
        <w:t xml:space="preserve"> </w:t>
      </w:r>
      <w:r w:rsidRPr="00ED2501">
        <w:rPr>
          <w:color w:val="231F20"/>
          <w:sz w:val="18"/>
          <w:szCs w:val="18"/>
        </w:rPr>
        <w:t>years</w:t>
      </w:r>
      <w:r w:rsidRPr="00ED2501">
        <w:rPr>
          <w:color w:val="231F20"/>
          <w:spacing w:val="-1"/>
          <w:sz w:val="18"/>
          <w:szCs w:val="18"/>
        </w:rPr>
        <w:t xml:space="preserve"> </w:t>
      </w:r>
      <w:r w:rsidRPr="00ED2501">
        <w:rPr>
          <w:color w:val="231F20"/>
          <w:sz w:val="18"/>
          <w:szCs w:val="18"/>
        </w:rPr>
        <w:t>may</w:t>
      </w:r>
      <w:r w:rsidRPr="00ED2501">
        <w:rPr>
          <w:color w:val="231F20"/>
          <w:spacing w:val="-1"/>
          <w:sz w:val="18"/>
          <w:szCs w:val="18"/>
        </w:rPr>
        <w:t xml:space="preserve"> </w:t>
      </w:r>
      <w:r w:rsidRPr="00ED2501">
        <w:rPr>
          <w:color w:val="231F20"/>
          <w:sz w:val="18"/>
          <w:szCs w:val="18"/>
        </w:rPr>
        <w:t>vary</w:t>
      </w:r>
      <w:r w:rsidRPr="00ED2501">
        <w:rPr>
          <w:color w:val="231F20"/>
          <w:spacing w:val="-1"/>
          <w:sz w:val="18"/>
          <w:szCs w:val="18"/>
        </w:rPr>
        <w:t xml:space="preserve"> </w:t>
      </w:r>
      <w:r w:rsidRPr="00ED2501">
        <w:rPr>
          <w:color w:val="231F20"/>
          <w:sz w:val="18"/>
          <w:szCs w:val="18"/>
        </w:rPr>
        <w:t>from</w:t>
      </w:r>
      <w:r w:rsidRPr="00ED2501">
        <w:rPr>
          <w:color w:val="231F20"/>
          <w:spacing w:val="-1"/>
          <w:sz w:val="18"/>
          <w:szCs w:val="18"/>
        </w:rPr>
        <w:t xml:space="preserve"> </w:t>
      </w:r>
      <w:r w:rsidRPr="00ED2501">
        <w:rPr>
          <w:color w:val="231F20"/>
          <w:sz w:val="18"/>
          <w:szCs w:val="18"/>
        </w:rPr>
        <w:t>that</w:t>
      </w:r>
      <w:r w:rsidRPr="00ED2501">
        <w:rPr>
          <w:color w:val="231F20"/>
          <w:spacing w:val="-1"/>
          <w:sz w:val="18"/>
          <w:szCs w:val="18"/>
        </w:rPr>
        <w:t xml:space="preserve"> </w:t>
      </w:r>
      <w:r w:rsidRPr="00ED2501">
        <w:rPr>
          <w:color w:val="231F20"/>
          <w:sz w:val="18"/>
          <w:szCs w:val="18"/>
        </w:rPr>
        <w:t>previously</w:t>
      </w:r>
      <w:r w:rsidRPr="00ED2501">
        <w:rPr>
          <w:color w:val="231F20"/>
          <w:spacing w:val="-1"/>
          <w:sz w:val="18"/>
          <w:szCs w:val="18"/>
        </w:rPr>
        <w:t xml:space="preserve"> </w:t>
      </w:r>
      <w:r w:rsidRPr="00ED2501">
        <w:rPr>
          <w:color w:val="231F20"/>
          <w:sz w:val="18"/>
          <w:szCs w:val="18"/>
        </w:rPr>
        <w:t>published</w:t>
      </w:r>
      <w:r w:rsidRPr="00ED2501">
        <w:rPr>
          <w:color w:val="231F20"/>
          <w:spacing w:val="-1"/>
          <w:sz w:val="18"/>
          <w:szCs w:val="18"/>
        </w:rPr>
        <w:t xml:space="preserve"> </w:t>
      </w:r>
      <w:r w:rsidRPr="00ED2501">
        <w:rPr>
          <w:color w:val="231F20"/>
          <w:sz w:val="18"/>
          <w:szCs w:val="18"/>
        </w:rPr>
        <w:t>due</w:t>
      </w:r>
      <w:r w:rsidRPr="00ED2501">
        <w:rPr>
          <w:color w:val="231F20"/>
          <w:spacing w:val="-1"/>
          <w:sz w:val="18"/>
          <w:szCs w:val="18"/>
        </w:rPr>
        <w:t xml:space="preserve"> </w:t>
      </w:r>
      <w:r w:rsidRPr="00ED2501">
        <w:rPr>
          <w:color w:val="231F20"/>
          <w:sz w:val="18"/>
          <w:szCs w:val="18"/>
        </w:rPr>
        <w:t>to</w:t>
      </w:r>
      <w:r w:rsidRPr="00ED2501">
        <w:rPr>
          <w:color w:val="231F20"/>
          <w:spacing w:val="-1"/>
          <w:sz w:val="18"/>
          <w:szCs w:val="18"/>
        </w:rPr>
        <w:t xml:space="preserve"> </w:t>
      </w:r>
      <w:r w:rsidRPr="00ED2501">
        <w:rPr>
          <w:color w:val="231F20"/>
          <w:sz w:val="18"/>
          <w:szCs w:val="18"/>
        </w:rPr>
        <w:t>internal</w:t>
      </w:r>
      <w:r w:rsidRPr="00ED2501">
        <w:rPr>
          <w:color w:val="231F20"/>
          <w:spacing w:val="-1"/>
          <w:sz w:val="18"/>
          <w:szCs w:val="18"/>
        </w:rPr>
        <w:t xml:space="preserve"> </w:t>
      </w:r>
      <w:r w:rsidRPr="00ED2501">
        <w:rPr>
          <w:color w:val="231F20"/>
          <w:sz w:val="18"/>
          <w:szCs w:val="18"/>
        </w:rPr>
        <w:t>administration</w:t>
      </w:r>
      <w:r w:rsidRPr="00ED2501">
        <w:rPr>
          <w:color w:val="231F20"/>
          <w:spacing w:val="-1"/>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quality</w:t>
      </w:r>
      <w:r w:rsidRPr="00ED2501">
        <w:rPr>
          <w:color w:val="231F20"/>
          <w:spacing w:val="-1"/>
          <w:sz w:val="18"/>
          <w:szCs w:val="18"/>
        </w:rPr>
        <w:t xml:space="preserve"> </w:t>
      </w:r>
      <w:r w:rsidRPr="00ED2501">
        <w:rPr>
          <w:color w:val="231F20"/>
          <w:sz w:val="18"/>
          <w:szCs w:val="18"/>
        </w:rPr>
        <w:t>control</w:t>
      </w:r>
      <w:r w:rsidRPr="00ED2501">
        <w:rPr>
          <w:color w:val="231F20"/>
          <w:spacing w:val="-1"/>
          <w:sz w:val="18"/>
          <w:szCs w:val="18"/>
        </w:rPr>
        <w:t xml:space="preserve"> </w:t>
      </w:r>
      <w:r w:rsidRPr="00ED2501">
        <w:rPr>
          <w:color w:val="231F20"/>
          <w:sz w:val="18"/>
          <w:szCs w:val="18"/>
        </w:rPr>
        <w:t>processes</w:t>
      </w:r>
      <w:r w:rsidRPr="00ED2501">
        <w:rPr>
          <w:color w:val="231F20"/>
          <w:spacing w:val="-1"/>
          <w:sz w:val="18"/>
          <w:szCs w:val="18"/>
        </w:rPr>
        <w:t xml:space="preserve"> </w:t>
      </w:r>
      <w:r w:rsidRPr="00ED2501">
        <w:rPr>
          <w:color w:val="231F20"/>
          <w:sz w:val="18"/>
          <w:szCs w:val="18"/>
        </w:rPr>
        <w:t>that</w:t>
      </w:r>
      <w:r w:rsidRPr="00ED2501">
        <w:rPr>
          <w:color w:val="231F20"/>
          <w:spacing w:val="-1"/>
          <w:sz w:val="18"/>
          <w:szCs w:val="18"/>
        </w:rPr>
        <w:t xml:space="preserve"> </w:t>
      </w:r>
      <w:r w:rsidRPr="00ED2501">
        <w:rPr>
          <w:color w:val="231F20"/>
          <w:sz w:val="18"/>
          <w:szCs w:val="18"/>
        </w:rPr>
        <w:t>may</w:t>
      </w:r>
      <w:r w:rsidRPr="00ED2501">
        <w:rPr>
          <w:color w:val="231F20"/>
          <w:spacing w:val="40"/>
          <w:sz w:val="18"/>
          <w:szCs w:val="18"/>
        </w:rPr>
        <w:t xml:space="preserve"> </w:t>
      </w:r>
      <w:r w:rsidRPr="00ED2501">
        <w:rPr>
          <w:color w:val="231F20"/>
          <w:sz w:val="18"/>
          <w:szCs w:val="18"/>
        </w:rPr>
        <w:t>result in the back capturing of information.</w:t>
      </w:r>
    </w:p>
    <w:p w14:paraId="15FB7916" w14:textId="77777777" w:rsidR="00345EE3" w:rsidRDefault="00345EE3" w:rsidP="00345EE3">
      <w:pPr>
        <w:rPr>
          <w:color w:val="00529F"/>
          <w:sz w:val="32"/>
          <w:szCs w:val="32"/>
        </w:rPr>
      </w:pPr>
      <w:r>
        <w:rPr>
          <w:color w:val="00529F"/>
        </w:rPr>
        <w:br w:type="page"/>
      </w:r>
    </w:p>
    <w:p w14:paraId="6B60FB49" w14:textId="77777777" w:rsidR="00345EE3" w:rsidRPr="00B07858" w:rsidRDefault="00345EE3" w:rsidP="00345EE3">
      <w:pPr>
        <w:pStyle w:val="Heading2"/>
        <w:spacing w:before="1"/>
        <w:rPr>
          <w:sz w:val="32"/>
          <w:szCs w:val="32"/>
        </w:rPr>
      </w:pPr>
      <w:r w:rsidRPr="00B07858">
        <w:rPr>
          <w:color w:val="00529F"/>
          <w:sz w:val="32"/>
          <w:szCs w:val="32"/>
        </w:rPr>
        <w:t>Drink</w:t>
      </w:r>
      <w:r w:rsidRPr="00B07858">
        <w:rPr>
          <w:color w:val="00529F"/>
          <w:spacing w:val="-8"/>
          <w:sz w:val="32"/>
          <w:szCs w:val="32"/>
        </w:rPr>
        <w:t xml:space="preserve"> </w:t>
      </w:r>
      <w:r w:rsidRPr="00B07858">
        <w:rPr>
          <w:color w:val="00529F"/>
          <w:sz w:val="32"/>
          <w:szCs w:val="32"/>
        </w:rPr>
        <w:t>Driving</w:t>
      </w:r>
      <w:r w:rsidRPr="00B07858">
        <w:rPr>
          <w:color w:val="00529F"/>
          <w:spacing w:val="-8"/>
          <w:sz w:val="32"/>
          <w:szCs w:val="32"/>
        </w:rPr>
        <w:t xml:space="preserve"> </w:t>
      </w:r>
      <w:r w:rsidRPr="00B07858">
        <w:rPr>
          <w:color w:val="00529F"/>
          <w:spacing w:val="-2"/>
          <w:sz w:val="32"/>
          <w:szCs w:val="32"/>
        </w:rPr>
        <w:t>Detections</w:t>
      </w:r>
    </w:p>
    <w:p w14:paraId="02950580" w14:textId="77777777" w:rsidR="00345EE3" w:rsidRDefault="00345EE3" w:rsidP="00345EE3">
      <w:pPr>
        <w:spacing w:before="78"/>
        <w:ind w:left="110"/>
        <w:rPr>
          <w:rFonts w:ascii="Arial-BoldItalicMT" w:hAnsi="Arial-BoldItalicMT"/>
          <w:b/>
          <w:i/>
          <w:sz w:val="18"/>
        </w:rPr>
      </w:pPr>
      <w:r>
        <w:rPr>
          <w:color w:val="231F20"/>
          <w:sz w:val="18"/>
        </w:rPr>
        <w:t>Table</w:t>
      </w:r>
      <w:r>
        <w:rPr>
          <w:color w:val="231F20"/>
          <w:spacing w:val="-6"/>
          <w:sz w:val="18"/>
        </w:rPr>
        <w:t xml:space="preserve"> </w:t>
      </w:r>
      <w:r>
        <w:rPr>
          <w:color w:val="231F20"/>
          <w:sz w:val="18"/>
        </w:rPr>
        <w:t>5.35:</w:t>
      </w:r>
      <w:r>
        <w:rPr>
          <w:color w:val="231F20"/>
          <w:spacing w:val="-4"/>
          <w:sz w:val="18"/>
        </w:rPr>
        <w:t xml:space="preserve"> </w:t>
      </w:r>
      <w:r>
        <w:rPr>
          <w:rFonts w:ascii="Arial-BoldItalicMT" w:hAnsi="Arial-BoldItalicMT"/>
          <w:b/>
          <w:i/>
          <w:color w:val="231F20"/>
          <w:sz w:val="18"/>
        </w:rPr>
        <w:t>Victoria</w:t>
      </w:r>
      <w:r>
        <w:rPr>
          <w:rFonts w:ascii="Arial-BoldItalicMT" w:hAnsi="Arial-BoldItalicMT"/>
          <w:b/>
          <w:i/>
          <w:color w:val="231F20"/>
          <w:spacing w:val="-6"/>
          <w:sz w:val="18"/>
        </w:rPr>
        <w:t xml:space="preserve"> </w:t>
      </w:r>
      <w:r>
        <w:rPr>
          <w:rFonts w:ascii="Arial-BoldItalicMT" w:hAnsi="Arial-BoldItalicMT"/>
          <w:b/>
          <w:i/>
          <w:color w:val="231F20"/>
          <w:sz w:val="18"/>
        </w:rPr>
        <w:t>Police</w:t>
      </w:r>
      <w:r>
        <w:rPr>
          <w:rFonts w:ascii="Arial-BoldItalicMT" w:hAnsi="Arial-BoldItalicMT"/>
          <w:b/>
          <w:i/>
          <w:color w:val="231F20"/>
          <w:spacing w:val="-6"/>
          <w:sz w:val="18"/>
        </w:rPr>
        <w:t xml:space="preserve"> </w:t>
      </w:r>
      <w:r>
        <w:rPr>
          <w:rFonts w:ascii="Arial-BoldItalicMT" w:hAnsi="Arial-BoldItalicMT"/>
          <w:b/>
          <w:i/>
          <w:color w:val="231F20"/>
          <w:sz w:val="18"/>
        </w:rPr>
        <w:t>Officer</w:t>
      </w:r>
      <w:r>
        <w:rPr>
          <w:rFonts w:ascii="Arial-BoldItalicMT" w:hAnsi="Arial-BoldItalicMT"/>
          <w:b/>
          <w:i/>
          <w:color w:val="231F20"/>
          <w:spacing w:val="-7"/>
          <w:sz w:val="18"/>
        </w:rPr>
        <w:t xml:space="preserve"> </w:t>
      </w:r>
      <w:r>
        <w:rPr>
          <w:rFonts w:ascii="Arial-BoldItalicMT" w:hAnsi="Arial-BoldItalicMT"/>
          <w:b/>
          <w:i/>
          <w:color w:val="231F20"/>
          <w:sz w:val="18"/>
        </w:rPr>
        <w:t>Drink</w:t>
      </w:r>
      <w:r>
        <w:rPr>
          <w:rFonts w:ascii="Arial-BoldItalicMT" w:hAnsi="Arial-BoldItalicMT"/>
          <w:b/>
          <w:i/>
          <w:color w:val="231F20"/>
          <w:spacing w:val="-6"/>
          <w:sz w:val="18"/>
        </w:rPr>
        <w:t xml:space="preserve"> </w:t>
      </w:r>
      <w:r>
        <w:rPr>
          <w:rFonts w:ascii="Arial-BoldItalicMT" w:hAnsi="Arial-BoldItalicMT"/>
          <w:b/>
          <w:i/>
          <w:color w:val="231F20"/>
          <w:sz w:val="18"/>
        </w:rPr>
        <w:t>Driving</w:t>
      </w:r>
      <w:r>
        <w:rPr>
          <w:rFonts w:ascii="Arial-BoldItalicMT" w:hAnsi="Arial-BoldItalicMT"/>
          <w:b/>
          <w:i/>
          <w:color w:val="231F20"/>
          <w:spacing w:val="-7"/>
          <w:sz w:val="18"/>
        </w:rPr>
        <w:t xml:space="preserve"> </w:t>
      </w:r>
      <w:r>
        <w:rPr>
          <w:rFonts w:ascii="Arial-BoldItalicMT" w:hAnsi="Arial-BoldItalicMT"/>
          <w:b/>
          <w:i/>
          <w:color w:val="231F20"/>
          <w:sz w:val="18"/>
        </w:rPr>
        <w:t>Detections</w:t>
      </w:r>
      <w:r>
        <w:rPr>
          <w:rFonts w:ascii="Arial-BoldItalicMT" w:hAnsi="Arial-BoldItalicMT"/>
          <w:b/>
          <w:i/>
          <w:color w:val="231F20"/>
          <w:spacing w:val="-6"/>
          <w:sz w:val="18"/>
        </w:rPr>
        <w:t xml:space="preserve"> </w:t>
      </w:r>
      <w:r>
        <w:rPr>
          <w:rFonts w:ascii="Arial-BoldItalicMT" w:hAnsi="Arial-BoldItalicMT"/>
          <w:b/>
          <w:i/>
          <w:color w:val="231F20"/>
          <w:sz w:val="18"/>
        </w:rPr>
        <w:t>in</w:t>
      </w:r>
      <w:r>
        <w:rPr>
          <w:rFonts w:ascii="Arial-BoldItalicMT" w:hAnsi="Arial-BoldItalicMT"/>
          <w:b/>
          <w:i/>
          <w:color w:val="231F20"/>
          <w:spacing w:val="-6"/>
          <w:sz w:val="18"/>
        </w:rPr>
        <w:t xml:space="preserve"> </w:t>
      </w:r>
      <w:r>
        <w:rPr>
          <w:rFonts w:ascii="Arial-BoldItalicMT" w:hAnsi="Arial-BoldItalicMT"/>
          <w:b/>
          <w:i/>
          <w:color w:val="231F20"/>
          <w:spacing w:val="-2"/>
          <w:sz w:val="18"/>
        </w:rPr>
        <w:t>2021–22</w:t>
      </w:r>
    </w:p>
    <w:p w14:paraId="2A00BB38" w14:textId="77777777" w:rsidR="00345EE3" w:rsidRDefault="00345EE3" w:rsidP="00345EE3">
      <w:pPr>
        <w:pStyle w:val="BodyText"/>
        <w:spacing w:before="10"/>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91"/>
        <w:gridCol w:w="1304"/>
        <w:gridCol w:w="7710"/>
      </w:tblGrid>
      <w:tr w:rsidR="00345EE3" w14:paraId="505F0030" w14:textId="77777777" w:rsidTr="00D73130">
        <w:trPr>
          <w:trHeight w:val="681"/>
        </w:trPr>
        <w:tc>
          <w:tcPr>
            <w:tcW w:w="1191" w:type="dxa"/>
            <w:tcBorders>
              <w:top w:val="nil"/>
              <w:left w:val="nil"/>
              <w:bottom w:val="nil"/>
              <w:right w:val="nil"/>
            </w:tcBorders>
            <w:shd w:val="clear" w:color="auto" w:fill="00529F"/>
          </w:tcPr>
          <w:p w14:paraId="791B2444" w14:textId="77777777" w:rsidR="00345EE3" w:rsidRDefault="00345EE3" w:rsidP="00D73130">
            <w:pPr>
              <w:pStyle w:val="TableParagraph"/>
              <w:spacing w:before="63"/>
              <w:ind w:left="672"/>
              <w:jc w:val="left"/>
              <w:rPr>
                <w:b/>
                <w:sz w:val="24"/>
              </w:rPr>
            </w:pPr>
            <w:r>
              <w:rPr>
                <w:b/>
                <w:color w:val="FFFFFF"/>
                <w:spacing w:val="-5"/>
                <w:sz w:val="24"/>
              </w:rPr>
              <w:t>BAC</w:t>
            </w:r>
          </w:p>
          <w:p w14:paraId="214B3C24" w14:textId="77777777" w:rsidR="00345EE3" w:rsidRDefault="00345EE3" w:rsidP="00D73130">
            <w:pPr>
              <w:pStyle w:val="TableParagraph"/>
              <w:spacing w:before="4"/>
              <w:ind w:left="335"/>
              <w:jc w:val="left"/>
              <w:rPr>
                <w:b/>
                <w:sz w:val="24"/>
              </w:rPr>
            </w:pPr>
            <w:r>
              <w:rPr>
                <w:b/>
                <w:color w:val="FFFFFF"/>
                <w:spacing w:val="-4"/>
                <w:sz w:val="24"/>
              </w:rPr>
              <w:t>reading</w:t>
            </w:r>
          </w:p>
        </w:tc>
        <w:tc>
          <w:tcPr>
            <w:tcW w:w="1304" w:type="dxa"/>
            <w:tcBorders>
              <w:top w:val="nil"/>
              <w:left w:val="nil"/>
              <w:bottom w:val="nil"/>
              <w:right w:val="nil"/>
            </w:tcBorders>
            <w:shd w:val="clear" w:color="auto" w:fill="00529F"/>
          </w:tcPr>
          <w:p w14:paraId="5E4EF93C" w14:textId="77777777" w:rsidR="00345EE3" w:rsidRDefault="00345EE3" w:rsidP="00D73130">
            <w:pPr>
              <w:pStyle w:val="TableParagraph"/>
              <w:spacing w:before="63" w:line="242" w:lineRule="auto"/>
              <w:ind w:left="373" w:right="173" w:hanging="193"/>
              <w:jc w:val="left"/>
              <w:rPr>
                <w:b/>
                <w:sz w:val="24"/>
              </w:rPr>
            </w:pPr>
            <w:r>
              <w:rPr>
                <w:b/>
                <w:color w:val="FFFFFF"/>
                <w:spacing w:val="-2"/>
                <w:sz w:val="24"/>
              </w:rPr>
              <w:t>Collison [Y/N]</w:t>
            </w:r>
          </w:p>
        </w:tc>
        <w:tc>
          <w:tcPr>
            <w:tcW w:w="7710" w:type="dxa"/>
            <w:tcBorders>
              <w:top w:val="nil"/>
              <w:left w:val="nil"/>
              <w:bottom w:val="nil"/>
              <w:right w:val="nil"/>
            </w:tcBorders>
            <w:shd w:val="clear" w:color="auto" w:fill="00529F"/>
          </w:tcPr>
          <w:p w14:paraId="16BC4991" w14:textId="77777777" w:rsidR="00345EE3" w:rsidRDefault="00345EE3" w:rsidP="00D73130">
            <w:pPr>
              <w:pStyle w:val="TableParagraph"/>
              <w:spacing w:before="63"/>
              <w:ind w:left="1"/>
              <w:jc w:val="left"/>
              <w:rPr>
                <w:b/>
                <w:sz w:val="24"/>
              </w:rPr>
            </w:pPr>
            <w:r>
              <w:rPr>
                <w:b/>
                <w:color w:val="FFFFFF"/>
                <w:spacing w:val="-2"/>
                <w:sz w:val="24"/>
              </w:rPr>
              <w:t>Determination</w:t>
            </w:r>
          </w:p>
        </w:tc>
      </w:tr>
      <w:tr w:rsidR="00345EE3" w14:paraId="135FE4BF" w14:textId="77777777" w:rsidTr="00D73130">
        <w:trPr>
          <w:trHeight w:val="396"/>
        </w:trPr>
        <w:tc>
          <w:tcPr>
            <w:tcW w:w="1191" w:type="dxa"/>
            <w:tcBorders>
              <w:top w:val="nil"/>
              <w:left w:val="nil"/>
            </w:tcBorders>
          </w:tcPr>
          <w:p w14:paraId="67971A56" w14:textId="77777777" w:rsidR="00345EE3" w:rsidRDefault="00345EE3" w:rsidP="00D73130">
            <w:pPr>
              <w:pStyle w:val="TableParagraph"/>
              <w:ind w:right="1"/>
              <w:rPr>
                <w:sz w:val="24"/>
              </w:rPr>
            </w:pPr>
            <w:r>
              <w:rPr>
                <w:color w:val="231F20"/>
                <w:spacing w:val="-4"/>
                <w:sz w:val="24"/>
              </w:rPr>
              <w:t>0.19</w:t>
            </w:r>
          </w:p>
        </w:tc>
        <w:tc>
          <w:tcPr>
            <w:tcW w:w="1304" w:type="dxa"/>
            <w:tcBorders>
              <w:top w:val="nil"/>
            </w:tcBorders>
          </w:tcPr>
          <w:p w14:paraId="2ADA3A79" w14:textId="77777777" w:rsidR="00345EE3" w:rsidRDefault="00345EE3" w:rsidP="00D73130">
            <w:pPr>
              <w:pStyle w:val="TableParagraph"/>
              <w:ind w:left="3"/>
              <w:jc w:val="center"/>
              <w:rPr>
                <w:sz w:val="24"/>
              </w:rPr>
            </w:pPr>
            <w:r>
              <w:rPr>
                <w:color w:val="231F20"/>
                <w:sz w:val="24"/>
              </w:rPr>
              <w:t>Y</w:t>
            </w:r>
          </w:p>
        </w:tc>
        <w:tc>
          <w:tcPr>
            <w:tcW w:w="7710" w:type="dxa"/>
            <w:tcBorders>
              <w:top w:val="nil"/>
              <w:right w:val="nil"/>
            </w:tcBorders>
          </w:tcPr>
          <w:p w14:paraId="1101F6A5" w14:textId="77777777" w:rsidR="00345EE3" w:rsidRDefault="00345EE3" w:rsidP="00D73130">
            <w:pPr>
              <w:pStyle w:val="TableParagraph"/>
              <w:ind w:left="-1"/>
              <w:jc w:val="left"/>
              <w:rPr>
                <w:sz w:val="24"/>
              </w:rPr>
            </w:pPr>
            <w:r>
              <w:rPr>
                <w:color w:val="231F20"/>
                <w:sz w:val="24"/>
              </w:rPr>
              <w:t>Investigation</w:t>
            </w:r>
            <w:r>
              <w:rPr>
                <w:color w:val="231F20"/>
                <w:spacing w:val="-1"/>
                <w:sz w:val="24"/>
              </w:rPr>
              <w:t xml:space="preserve"> </w:t>
            </w:r>
            <w:r>
              <w:rPr>
                <w:color w:val="231F20"/>
                <w:sz w:val="24"/>
              </w:rPr>
              <w:t>in</w:t>
            </w:r>
            <w:r>
              <w:rPr>
                <w:color w:val="231F20"/>
                <w:spacing w:val="-1"/>
                <w:sz w:val="24"/>
              </w:rPr>
              <w:t xml:space="preserve"> </w:t>
            </w:r>
            <w:r>
              <w:rPr>
                <w:color w:val="231F20"/>
                <w:spacing w:val="-2"/>
                <w:sz w:val="24"/>
              </w:rPr>
              <w:t>progress</w:t>
            </w:r>
          </w:p>
        </w:tc>
      </w:tr>
      <w:tr w:rsidR="00345EE3" w14:paraId="679DC8C6" w14:textId="77777777" w:rsidTr="00D73130">
        <w:trPr>
          <w:trHeight w:val="396"/>
        </w:trPr>
        <w:tc>
          <w:tcPr>
            <w:tcW w:w="1191" w:type="dxa"/>
            <w:tcBorders>
              <w:left w:val="nil"/>
            </w:tcBorders>
          </w:tcPr>
          <w:p w14:paraId="60D72DD4" w14:textId="77777777" w:rsidR="00345EE3" w:rsidRDefault="00345EE3" w:rsidP="00D73130">
            <w:pPr>
              <w:pStyle w:val="TableParagraph"/>
              <w:ind w:right="1"/>
              <w:rPr>
                <w:sz w:val="24"/>
              </w:rPr>
            </w:pPr>
            <w:r>
              <w:rPr>
                <w:color w:val="231F20"/>
                <w:spacing w:val="-4"/>
                <w:sz w:val="24"/>
              </w:rPr>
              <w:t>0.06</w:t>
            </w:r>
          </w:p>
        </w:tc>
        <w:tc>
          <w:tcPr>
            <w:tcW w:w="1304" w:type="dxa"/>
          </w:tcPr>
          <w:p w14:paraId="3A0611EE" w14:textId="77777777" w:rsidR="00345EE3" w:rsidRDefault="00345EE3" w:rsidP="00D73130">
            <w:pPr>
              <w:pStyle w:val="TableParagraph"/>
              <w:ind w:right="1"/>
              <w:jc w:val="center"/>
              <w:rPr>
                <w:sz w:val="24"/>
              </w:rPr>
            </w:pPr>
            <w:r>
              <w:rPr>
                <w:color w:val="231F20"/>
                <w:sz w:val="24"/>
              </w:rPr>
              <w:t>N</w:t>
            </w:r>
          </w:p>
        </w:tc>
        <w:tc>
          <w:tcPr>
            <w:tcW w:w="7710" w:type="dxa"/>
            <w:tcBorders>
              <w:right w:val="nil"/>
            </w:tcBorders>
          </w:tcPr>
          <w:p w14:paraId="15EAB13A" w14:textId="77777777" w:rsidR="00345EE3" w:rsidRDefault="00345EE3" w:rsidP="00D73130">
            <w:pPr>
              <w:pStyle w:val="TableParagraph"/>
              <w:ind w:left="-1"/>
              <w:jc w:val="left"/>
              <w:rPr>
                <w:sz w:val="24"/>
              </w:rPr>
            </w:pPr>
            <w:r>
              <w:rPr>
                <w:color w:val="231F20"/>
                <w:sz w:val="24"/>
              </w:rPr>
              <w:t>Investigation</w:t>
            </w:r>
            <w:r>
              <w:rPr>
                <w:color w:val="231F20"/>
                <w:spacing w:val="-1"/>
                <w:sz w:val="24"/>
              </w:rPr>
              <w:t xml:space="preserve"> </w:t>
            </w:r>
            <w:r>
              <w:rPr>
                <w:color w:val="231F20"/>
                <w:sz w:val="24"/>
              </w:rPr>
              <w:t>in</w:t>
            </w:r>
            <w:r>
              <w:rPr>
                <w:color w:val="231F20"/>
                <w:spacing w:val="-1"/>
                <w:sz w:val="24"/>
              </w:rPr>
              <w:t xml:space="preserve"> </w:t>
            </w:r>
            <w:r>
              <w:rPr>
                <w:color w:val="231F20"/>
                <w:spacing w:val="-2"/>
                <w:sz w:val="24"/>
              </w:rPr>
              <w:t>progress</w:t>
            </w:r>
          </w:p>
        </w:tc>
      </w:tr>
      <w:tr w:rsidR="00345EE3" w14:paraId="48C66262" w14:textId="77777777" w:rsidTr="00D73130">
        <w:trPr>
          <w:trHeight w:val="396"/>
        </w:trPr>
        <w:tc>
          <w:tcPr>
            <w:tcW w:w="1191" w:type="dxa"/>
            <w:tcBorders>
              <w:left w:val="nil"/>
            </w:tcBorders>
          </w:tcPr>
          <w:p w14:paraId="2B2C3171" w14:textId="77777777" w:rsidR="00345EE3" w:rsidRDefault="00345EE3" w:rsidP="00D73130">
            <w:pPr>
              <w:pStyle w:val="TableParagraph"/>
              <w:ind w:right="1"/>
              <w:rPr>
                <w:sz w:val="24"/>
              </w:rPr>
            </w:pPr>
            <w:r>
              <w:rPr>
                <w:color w:val="231F20"/>
                <w:spacing w:val="-2"/>
                <w:sz w:val="24"/>
              </w:rPr>
              <w:t>0.057</w:t>
            </w:r>
          </w:p>
        </w:tc>
        <w:tc>
          <w:tcPr>
            <w:tcW w:w="1304" w:type="dxa"/>
          </w:tcPr>
          <w:p w14:paraId="597189E6" w14:textId="77777777" w:rsidR="00345EE3" w:rsidRDefault="00345EE3" w:rsidP="00D73130">
            <w:pPr>
              <w:pStyle w:val="TableParagraph"/>
              <w:ind w:right="1"/>
              <w:jc w:val="center"/>
              <w:rPr>
                <w:sz w:val="24"/>
              </w:rPr>
            </w:pPr>
            <w:r>
              <w:rPr>
                <w:color w:val="231F20"/>
                <w:sz w:val="24"/>
              </w:rPr>
              <w:t>N</w:t>
            </w:r>
          </w:p>
        </w:tc>
        <w:tc>
          <w:tcPr>
            <w:tcW w:w="7710" w:type="dxa"/>
            <w:tcBorders>
              <w:right w:val="nil"/>
            </w:tcBorders>
          </w:tcPr>
          <w:p w14:paraId="73C43230" w14:textId="77777777" w:rsidR="00345EE3" w:rsidRDefault="00345EE3" w:rsidP="00D73130">
            <w:pPr>
              <w:pStyle w:val="TableParagraph"/>
              <w:ind w:left="-1"/>
              <w:jc w:val="left"/>
              <w:rPr>
                <w:sz w:val="24"/>
              </w:rPr>
            </w:pPr>
            <w:r>
              <w:rPr>
                <w:color w:val="231F20"/>
                <w:sz w:val="24"/>
              </w:rPr>
              <w:t>Investigation</w:t>
            </w:r>
            <w:r>
              <w:rPr>
                <w:color w:val="231F20"/>
                <w:spacing w:val="-1"/>
                <w:sz w:val="24"/>
              </w:rPr>
              <w:t xml:space="preserve"> </w:t>
            </w:r>
            <w:r>
              <w:rPr>
                <w:color w:val="231F20"/>
                <w:sz w:val="24"/>
              </w:rPr>
              <w:t>in</w:t>
            </w:r>
            <w:r>
              <w:rPr>
                <w:color w:val="231F20"/>
                <w:spacing w:val="-1"/>
                <w:sz w:val="24"/>
              </w:rPr>
              <w:t xml:space="preserve"> </w:t>
            </w:r>
            <w:r>
              <w:rPr>
                <w:color w:val="231F20"/>
                <w:spacing w:val="-2"/>
                <w:sz w:val="24"/>
              </w:rPr>
              <w:t>progress</w:t>
            </w:r>
          </w:p>
        </w:tc>
      </w:tr>
      <w:tr w:rsidR="00345EE3" w14:paraId="577C2300" w14:textId="77777777" w:rsidTr="00D73130">
        <w:trPr>
          <w:trHeight w:val="396"/>
        </w:trPr>
        <w:tc>
          <w:tcPr>
            <w:tcW w:w="1191" w:type="dxa"/>
            <w:tcBorders>
              <w:left w:val="nil"/>
            </w:tcBorders>
          </w:tcPr>
          <w:p w14:paraId="7DB928AF" w14:textId="77777777" w:rsidR="00345EE3" w:rsidRDefault="00345EE3" w:rsidP="00D73130">
            <w:pPr>
              <w:pStyle w:val="TableParagraph"/>
              <w:ind w:right="1"/>
              <w:rPr>
                <w:sz w:val="24"/>
              </w:rPr>
            </w:pPr>
            <w:r>
              <w:rPr>
                <w:color w:val="231F20"/>
                <w:spacing w:val="-2"/>
                <w:sz w:val="24"/>
              </w:rPr>
              <w:t>0.051</w:t>
            </w:r>
          </w:p>
        </w:tc>
        <w:tc>
          <w:tcPr>
            <w:tcW w:w="1304" w:type="dxa"/>
          </w:tcPr>
          <w:p w14:paraId="435AAEAC" w14:textId="77777777" w:rsidR="00345EE3" w:rsidRDefault="00345EE3" w:rsidP="00D73130">
            <w:pPr>
              <w:pStyle w:val="TableParagraph"/>
              <w:ind w:right="1"/>
              <w:jc w:val="center"/>
              <w:rPr>
                <w:sz w:val="24"/>
              </w:rPr>
            </w:pPr>
            <w:r>
              <w:rPr>
                <w:color w:val="231F20"/>
                <w:sz w:val="24"/>
              </w:rPr>
              <w:t>N</w:t>
            </w:r>
          </w:p>
        </w:tc>
        <w:tc>
          <w:tcPr>
            <w:tcW w:w="7710" w:type="dxa"/>
            <w:tcBorders>
              <w:right w:val="nil"/>
            </w:tcBorders>
          </w:tcPr>
          <w:p w14:paraId="08EBC1F2" w14:textId="77777777" w:rsidR="00345EE3" w:rsidRDefault="00345EE3" w:rsidP="00D73130">
            <w:pPr>
              <w:pStyle w:val="TableParagraph"/>
              <w:ind w:left="-1"/>
              <w:jc w:val="left"/>
              <w:rPr>
                <w:sz w:val="24"/>
              </w:rPr>
            </w:pPr>
            <w:r>
              <w:rPr>
                <w:color w:val="231F20"/>
                <w:sz w:val="24"/>
              </w:rPr>
              <w:t>Substantiated</w:t>
            </w:r>
            <w:r>
              <w:rPr>
                <w:color w:val="231F20"/>
                <w:spacing w:val="-3"/>
                <w:sz w:val="24"/>
              </w:rPr>
              <w:t xml:space="preserve"> </w:t>
            </w:r>
            <w:r>
              <w:rPr>
                <w:color w:val="231F20"/>
                <w:sz w:val="24"/>
              </w:rPr>
              <w:t>–</w:t>
            </w:r>
            <w:r>
              <w:rPr>
                <w:color w:val="231F20"/>
                <w:spacing w:val="-3"/>
                <w:sz w:val="24"/>
              </w:rPr>
              <w:t xml:space="preserve"> </w:t>
            </w:r>
            <w:r>
              <w:rPr>
                <w:color w:val="231F20"/>
                <w:sz w:val="24"/>
              </w:rPr>
              <w:t>Discipline</w:t>
            </w:r>
            <w:r>
              <w:rPr>
                <w:color w:val="231F20"/>
                <w:spacing w:val="-3"/>
                <w:sz w:val="24"/>
              </w:rPr>
              <w:t xml:space="preserve"> </w:t>
            </w:r>
            <w:r>
              <w:rPr>
                <w:color w:val="231F20"/>
                <w:sz w:val="24"/>
              </w:rPr>
              <w:t>Intervention</w:t>
            </w:r>
            <w:r>
              <w:rPr>
                <w:color w:val="231F20"/>
                <w:spacing w:val="-2"/>
                <w:sz w:val="24"/>
              </w:rPr>
              <w:t xml:space="preserve"> Process.</w:t>
            </w:r>
          </w:p>
        </w:tc>
      </w:tr>
      <w:tr w:rsidR="00345EE3" w14:paraId="23D93D4B" w14:textId="77777777" w:rsidTr="00D73130">
        <w:trPr>
          <w:trHeight w:val="396"/>
        </w:trPr>
        <w:tc>
          <w:tcPr>
            <w:tcW w:w="1191" w:type="dxa"/>
            <w:tcBorders>
              <w:left w:val="nil"/>
            </w:tcBorders>
          </w:tcPr>
          <w:p w14:paraId="505798C8" w14:textId="77777777" w:rsidR="00345EE3" w:rsidRDefault="00345EE3" w:rsidP="00D73130">
            <w:pPr>
              <w:pStyle w:val="TableParagraph"/>
              <w:ind w:right="1"/>
              <w:rPr>
                <w:sz w:val="24"/>
              </w:rPr>
            </w:pPr>
            <w:r>
              <w:rPr>
                <w:color w:val="231F20"/>
                <w:spacing w:val="-2"/>
                <w:sz w:val="24"/>
              </w:rPr>
              <w:t>0.087</w:t>
            </w:r>
          </w:p>
        </w:tc>
        <w:tc>
          <w:tcPr>
            <w:tcW w:w="1304" w:type="dxa"/>
          </w:tcPr>
          <w:p w14:paraId="4B8D0C12" w14:textId="77777777" w:rsidR="00345EE3" w:rsidRDefault="00345EE3" w:rsidP="00D73130">
            <w:pPr>
              <w:pStyle w:val="TableParagraph"/>
              <w:ind w:left="3"/>
              <w:jc w:val="center"/>
              <w:rPr>
                <w:sz w:val="24"/>
              </w:rPr>
            </w:pPr>
            <w:r>
              <w:rPr>
                <w:color w:val="231F20"/>
                <w:sz w:val="24"/>
              </w:rPr>
              <w:t>Y</w:t>
            </w:r>
          </w:p>
        </w:tc>
        <w:tc>
          <w:tcPr>
            <w:tcW w:w="7710" w:type="dxa"/>
            <w:tcBorders>
              <w:right w:val="nil"/>
            </w:tcBorders>
          </w:tcPr>
          <w:p w14:paraId="7D14D917" w14:textId="77777777" w:rsidR="00345EE3" w:rsidRDefault="00345EE3" w:rsidP="00D73130">
            <w:pPr>
              <w:pStyle w:val="TableParagraph"/>
              <w:ind w:left="-1"/>
              <w:jc w:val="left"/>
              <w:rPr>
                <w:sz w:val="24"/>
              </w:rPr>
            </w:pPr>
            <w:r>
              <w:rPr>
                <w:color w:val="231F20"/>
                <w:sz w:val="24"/>
              </w:rPr>
              <w:t>Substantiated</w:t>
            </w:r>
            <w:r>
              <w:rPr>
                <w:color w:val="231F20"/>
                <w:spacing w:val="-6"/>
                <w:sz w:val="24"/>
              </w:rPr>
              <w:t xml:space="preserve"> </w:t>
            </w:r>
            <w:r>
              <w:rPr>
                <w:color w:val="231F20"/>
                <w:sz w:val="24"/>
              </w:rPr>
              <w:t>–</w:t>
            </w:r>
            <w:r>
              <w:rPr>
                <w:color w:val="231F20"/>
                <w:spacing w:val="-4"/>
                <w:sz w:val="24"/>
              </w:rPr>
              <w:t xml:space="preserve"> </w:t>
            </w:r>
            <w:r>
              <w:rPr>
                <w:color w:val="231F20"/>
                <w:sz w:val="24"/>
              </w:rPr>
              <w:t>Charged</w:t>
            </w:r>
            <w:r>
              <w:rPr>
                <w:color w:val="231F20"/>
                <w:spacing w:val="-4"/>
                <w:sz w:val="24"/>
              </w:rPr>
              <w:t xml:space="preserve"> </w:t>
            </w:r>
            <w:r>
              <w:rPr>
                <w:color w:val="231F20"/>
                <w:sz w:val="24"/>
              </w:rPr>
              <w:t>with</w:t>
            </w:r>
            <w:r>
              <w:rPr>
                <w:color w:val="231F20"/>
                <w:spacing w:val="-4"/>
                <w:sz w:val="24"/>
              </w:rPr>
              <w:t xml:space="preserve"> </w:t>
            </w:r>
            <w:r>
              <w:rPr>
                <w:color w:val="231F20"/>
                <w:sz w:val="24"/>
              </w:rPr>
              <w:t>Criminal</w:t>
            </w:r>
            <w:r>
              <w:rPr>
                <w:color w:val="231F20"/>
                <w:spacing w:val="-4"/>
                <w:sz w:val="24"/>
              </w:rPr>
              <w:t xml:space="preserve"> </w:t>
            </w:r>
            <w:r>
              <w:rPr>
                <w:color w:val="231F20"/>
                <w:spacing w:val="-2"/>
                <w:sz w:val="24"/>
              </w:rPr>
              <w:t>Offence</w:t>
            </w:r>
          </w:p>
        </w:tc>
      </w:tr>
      <w:tr w:rsidR="00345EE3" w14:paraId="6C67A24B" w14:textId="77777777" w:rsidTr="00D73130">
        <w:trPr>
          <w:trHeight w:val="396"/>
        </w:trPr>
        <w:tc>
          <w:tcPr>
            <w:tcW w:w="1191" w:type="dxa"/>
            <w:tcBorders>
              <w:left w:val="nil"/>
            </w:tcBorders>
          </w:tcPr>
          <w:p w14:paraId="60113C7D" w14:textId="77777777" w:rsidR="00345EE3" w:rsidRDefault="00345EE3" w:rsidP="00D73130">
            <w:pPr>
              <w:pStyle w:val="TableParagraph"/>
              <w:ind w:right="1"/>
              <w:rPr>
                <w:sz w:val="24"/>
              </w:rPr>
            </w:pPr>
            <w:r>
              <w:rPr>
                <w:color w:val="231F20"/>
                <w:spacing w:val="-4"/>
                <w:sz w:val="24"/>
              </w:rPr>
              <w:t>0.10</w:t>
            </w:r>
          </w:p>
        </w:tc>
        <w:tc>
          <w:tcPr>
            <w:tcW w:w="1304" w:type="dxa"/>
          </w:tcPr>
          <w:p w14:paraId="104A63E0" w14:textId="77777777" w:rsidR="00345EE3" w:rsidRDefault="00345EE3" w:rsidP="00D73130">
            <w:pPr>
              <w:pStyle w:val="TableParagraph"/>
              <w:ind w:right="1"/>
              <w:jc w:val="center"/>
              <w:rPr>
                <w:sz w:val="24"/>
              </w:rPr>
            </w:pPr>
            <w:r>
              <w:rPr>
                <w:color w:val="231F20"/>
                <w:sz w:val="24"/>
              </w:rPr>
              <w:t>N</w:t>
            </w:r>
          </w:p>
        </w:tc>
        <w:tc>
          <w:tcPr>
            <w:tcW w:w="7710" w:type="dxa"/>
            <w:tcBorders>
              <w:right w:val="nil"/>
            </w:tcBorders>
          </w:tcPr>
          <w:p w14:paraId="10E64166" w14:textId="77777777" w:rsidR="00345EE3" w:rsidRDefault="00345EE3" w:rsidP="00D73130">
            <w:pPr>
              <w:pStyle w:val="TableParagraph"/>
              <w:ind w:left="-1"/>
              <w:jc w:val="left"/>
              <w:rPr>
                <w:sz w:val="24"/>
              </w:rPr>
            </w:pPr>
            <w:r>
              <w:rPr>
                <w:color w:val="231F20"/>
                <w:sz w:val="24"/>
              </w:rPr>
              <w:t>Substantiated</w:t>
            </w:r>
            <w:r>
              <w:rPr>
                <w:color w:val="231F20"/>
                <w:spacing w:val="-6"/>
                <w:sz w:val="24"/>
              </w:rPr>
              <w:t xml:space="preserve"> </w:t>
            </w:r>
            <w:r>
              <w:rPr>
                <w:color w:val="231F20"/>
                <w:sz w:val="24"/>
              </w:rPr>
              <w:t>–</w:t>
            </w:r>
            <w:r>
              <w:rPr>
                <w:color w:val="231F20"/>
                <w:spacing w:val="-5"/>
                <w:sz w:val="24"/>
              </w:rPr>
              <w:t xml:space="preserve"> </w:t>
            </w:r>
            <w:r>
              <w:rPr>
                <w:color w:val="231F20"/>
                <w:sz w:val="24"/>
              </w:rPr>
              <w:t>Charged</w:t>
            </w:r>
            <w:r>
              <w:rPr>
                <w:color w:val="231F20"/>
                <w:spacing w:val="-4"/>
                <w:sz w:val="24"/>
              </w:rPr>
              <w:t xml:space="preserve"> </w:t>
            </w:r>
            <w:r>
              <w:rPr>
                <w:color w:val="231F20"/>
                <w:sz w:val="24"/>
              </w:rPr>
              <w:t>with</w:t>
            </w:r>
            <w:r>
              <w:rPr>
                <w:color w:val="231F20"/>
                <w:spacing w:val="-5"/>
                <w:sz w:val="24"/>
              </w:rPr>
              <w:t xml:space="preserve"> </w:t>
            </w:r>
            <w:r>
              <w:rPr>
                <w:color w:val="231F20"/>
                <w:sz w:val="24"/>
              </w:rPr>
              <w:t>Discipline</w:t>
            </w:r>
            <w:r>
              <w:rPr>
                <w:color w:val="231F20"/>
                <w:spacing w:val="-4"/>
                <w:sz w:val="24"/>
              </w:rPr>
              <w:t xml:space="preserve"> </w:t>
            </w:r>
            <w:r>
              <w:rPr>
                <w:color w:val="231F20"/>
                <w:spacing w:val="-2"/>
                <w:sz w:val="24"/>
              </w:rPr>
              <w:t>Offence</w:t>
            </w:r>
          </w:p>
        </w:tc>
      </w:tr>
      <w:tr w:rsidR="00345EE3" w14:paraId="7A7736CA" w14:textId="77777777" w:rsidTr="00D73130">
        <w:trPr>
          <w:trHeight w:val="396"/>
        </w:trPr>
        <w:tc>
          <w:tcPr>
            <w:tcW w:w="1191" w:type="dxa"/>
            <w:tcBorders>
              <w:left w:val="nil"/>
            </w:tcBorders>
          </w:tcPr>
          <w:p w14:paraId="5ECA18F2" w14:textId="77777777" w:rsidR="00345EE3" w:rsidRDefault="00345EE3" w:rsidP="00D73130">
            <w:pPr>
              <w:pStyle w:val="TableParagraph"/>
              <w:ind w:right="1"/>
              <w:rPr>
                <w:sz w:val="24"/>
              </w:rPr>
            </w:pPr>
            <w:r>
              <w:rPr>
                <w:color w:val="231F20"/>
                <w:spacing w:val="-4"/>
                <w:sz w:val="24"/>
              </w:rPr>
              <w:t>0.10</w:t>
            </w:r>
          </w:p>
        </w:tc>
        <w:tc>
          <w:tcPr>
            <w:tcW w:w="1304" w:type="dxa"/>
          </w:tcPr>
          <w:p w14:paraId="0A2BE5F1" w14:textId="77777777" w:rsidR="00345EE3" w:rsidRDefault="00345EE3" w:rsidP="00D73130">
            <w:pPr>
              <w:pStyle w:val="TableParagraph"/>
              <w:ind w:right="1"/>
              <w:jc w:val="center"/>
              <w:rPr>
                <w:sz w:val="24"/>
              </w:rPr>
            </w:pPr>
            <w:r>
              <w:rPr>
                <w:color w:val="231F20"/>
                <w:sz w:val="24"/>
              </w:rPr>
              <w:t>N</w:t>
            </w:r>
          </w:p>
        </w:tc>
        <w:tc>
          <w:tcPr>
            <w:tcW w:w="7710" w:type="dxa"/>
            <w:tcBorders>
              <w:right w:val="nil"/>
            </w:tcBorders>
          </w:tcPr>
          <w:p w14:paraId="512102DA" w14:textId="77777777" w:rsidR="00345EE3" w:rsidRDefault="00345EE3" w:rsidP="00D73130">
            <w:pPr>
              <w:pStyle w:val="TableParagraph"/>
              <w:ind w:left="-1"/>
              <w:jc w:val="left"/>
              <w:rPr>
                <w:sz w:val="24"/>
              </w:rPr>
            </w:pPr>
            <w:r>
              <w:rPr>
                <w:color w:val="231F20"/>
                <w:sz w:val="24"/>
              </w:rPr>
              <w:t>Substantiated</w:t>
            </w:r>
            <w:r>
              <w:rPr>
                <w:color w:val="231F20"/>
                <w:spacing w:val="-6"/>
                <w:sz w:val="24"/>
              </w:rPr>
              <w:t xml:space="preserve"> </w:t>
            </w:r>
            <w:r>
              <w:rPr>
                <w:color w:val="231F20"/>
                <w:sz w:val="24"/>
              </w:rPr>
              <w:t>–</w:t>
            </w:r>
            <w:r>
              <w:rPr>
                <w:color w:val="231F20"/>
                <w:spacing w:val="-5"/>
                <w:sz w:val="24"/>
              </w:rPr>
              <w:t xml:space="preserve"> </w:t>
            </w:r>
            <w:r>
              <w:rPr>
                <w:color w:val="231F20"/>
                <w:sz w:val="24"/>
              </w:rPr>
              <w:t>Charged</w:t>
            </w:r>
            <w:r>
              <w:rPr>
                <w:color w:val="231F20"/>
                <w:spacing w:val="-4"/>
                <w:sz w:val="24"/>
              </w:rPr>
              <w:t xml:space="preserve"> </w:t>
            </w:r>
            <w:r>
              <w:rPr>
                <w:color w:val="231F20"/>
                <w:sz w:val="24"/>
              </w:rPr>
              <w:t>with</w:t>
            </w:r>
            <w:r>
              <w:rPr>
                <w:color w:val="231F20"/>
                <w:spacing w:val="-5"/>
                <w:sz w:val="24"/>
              </w:rPr>
              <w:t xml:space="preserve"> </w:t>
            </w:r>
            <w:r>
              <w:rPr>
                <w:color w:val="231F20"/>
                <w:sz w:val="24"/>
              </w:rPr>
              <w:t>Discipline</w:t>
            </w:r>
            <w:r>
              <w:rPr>
                <w:color w:val="231F20"/>
                <w:spacing w:val="-4"/>
                <w:sz w:val="24"/>
              </w:rPr>
              <w:t xml:space="preserve"> </w:t>
            </w:r>
            <w:r>
              <w:rPr>
                <w:color w:val="231F20"/>
                <w:spacing w:val="-2"/>
                <w:sz w:val="24"/>
              </w:rPr>
              <w:t>Offence</w:t>
            </w:r>
          </w:p>
        </w:tc>
      </w:tr>
      <w:tr w:rsidR="00345EE3" w14:paraId="7A8ED974" w14:textId="77777777" w:rsidTr="00D73130">
        <w:trPr>
          <w:trHeight w:val="396"/>
        </w:trPr>
        <w:tc>
          <w:tcPr>
            <w:tcW w:w="1191" w:type="dxa"/>
            <w:tcBorders>
              <w:left w:val="nil"/>
            </w:tcBorders>
          </w:tcPr>
          <w:p w14:paraId="4A7DDC2B" w14:textId="77777777" w:rsidR="00345EE3" w:rsidRDefault="00345EE3" w:rsidP="00D73130">
            <w:pPr>
              <w:pStyle w:val="TableParagraph"/>
              <w:ind w:right="1"/>
              <w:rPr>
                <w:sz w:val="24"/>
              </w:rPr>
            </w:pPr>
            <w:r>
              <w:rPr>
                <w:color w:val="231F20"/>
                <w:spacing w:val="-2"/>
                <w:sz w:val="24"/>
              </w:rPr>
              <w:t>0.066</w:t>
            </w:r>
          </w:p>
        </w:tc>
        <w:tc>
          <w:tcPr>
            <w:tcW w:w="1304" w:type="dxa"/>
          </w:tcPr>
          <w:p w14:paraId="59742FF7" w14:textId="77777777" w:rsidR="00345EE3" w:rsidRDefault="00345EE3" w:rsidP="00D73130">
            <w:pPr>
              <w:pStyle w:val="TableParagraph"/>
              <w:ind w:right="1"/>
              <w:jc w:val="center"/>
              <w:rPr>
                <w:sz w:val="24"/>
              </w:rPr>
            </w:pPr>
            <w:r>
              <w:rPr>
                <w:color w:val="231F20"/>
                <w:sz w:val="24"/>
              </w:rPr>
              <w:t>N</w:t>
            </w:r>
          </w:p>
        </w:tc>
        <w:tc>
          <w:tcPr>
            <w:tcW w:w="7710" w:type="dxa"/>
            <w:tcBorders>
              <w:right w:val="nil"/>
            </w:tcBorders>
          </w:tcPr>
          <w:p w14:paraId="59610878" w14:textId="77777777" w:rsidR="00345EE3" w:rsidRDefault="00345EE3" w:rsidP="00D73130">
            <w:pPr>
              <w:pStyle w:val="TableParagraph"/>
              <w:ind w:left="-1"/>
              <w:jc w:val="left"/>
              <w:rPr>
                <w:sz w:val="24"/>
              </w:rPr>
            </w:pPr>
            <w:r>
              <w:rPr>
                <w:color w:val="231F20"/>
                <w:sz w:val="24"/>
              </w:rPr>
              <w:t>Substantiated</w:t>
            </w:r>
            <w:r>
              <w:rPr>
                <w:color w:val="231F20"/>
                <w:spacing w:val="-1"/>
                <w:sz w:val="24"/>
              </w:rPr>
              <w:t xml:space="preserve"> </w:t>
            </w:r>
            <w:r>
              <w:rPr>
                <w:color w:val="231F20"/>
                <w:sz w:val="24"/>
              </w:rPr>
              <w:t>–</w:t>
            </w:r>
            <w:r>
              <w:rPr>
                <w:color w:val="231F20"/>
                <w:spacing w:val="-1"/>
                <w:sz w:val="24"/>
              </w:rPr>
              <w:t xml:space="preserve"> </w:t>
            </w:r>
            <w:r>
              <w:rPr>
                <w:color w:val="231F20"/>
                <w:sz w:val="24"/>
              </w:rPr>
              <w:t>No</w:t>
            </w:r>
            <w:r>
              <w:rPr>
                <w:color w:val="231F20"/>
                <w:spacing w:val="-14"/>
                <w:sz w:val="24"/>
              </w:rPr>
              <w:t xml:space="preserve"> </w:t>
            </w:r>
            <w:r>
              <w:rPr>
                <w:color w:val="231F20"/>
                <w:sz w:val="24"/>
              </w:rPr>
              <w:t>Action –</w:t>
            </w:r>
            <w:r>
              <w:rPr>
                <w:color w:val="231F20"/>
                <w:spacing w:val="-1"/>
                <w:sz w:val="24"/>
              </w:rPr>
              <w:t xml:space="preserve"> </w:t>
            </w:r>
            <w:r>
              <w:rPr>
                <w:color w:val="231F20"/>
                <w:sz w:val="24"/>
              </w:rPr>
              <w:t xml:space="preserve">Employee </w:t>
            </w:r>
            <w:r>
              <w:rPr>
                <w:color w:val="231F20"/>
                <w:spacing w:val="-2"/>
                <w:sz w:val="24"/>
              </w:rPr>
              <w:t>Resigned</w:t>
            </w:r>
          </w:p>
        </w:tc>
      </w:tr>
      <w:tr w:rsidR="00345EE3" w14:paraId="196F4353" w14:textId="77777777" w:rsidTr="00D73130">
        <w:trPr>
          <w:trHeight w:val="396"/>
        </w:trPr>
        <w:tc>
          <w:tcPr>
            <w:tcW w:w="1191" w:type="dxa"/>
            <w:tcBorders>
              <w:left w:val="nil"/>
            </w:tcBorders>
          </w:tcPr>
          <w:p w14:paraId="55392CA1" w14:textId="77777777" w:rsidR="00345EE3" w:rsidRDefault="00345EE3" w:rsidP="00D73130">
            <w:pPr>
              <w:pStyle w:val="TableParagraph"/>
              <w:ind w:right="1"/>
              <w:rPr>
                <w:sz w:val="24"/>
              </w:rPr>
            </w:pPr>
            <w:r>
              <w:rPr>
                <w:color w:val="231F20"/>
                <w:spacing w:val="-2"/>
                <w:sz w:val="24"/>
              </w:rPr>
              <w:t>0.072</w:t>
            </w:r>
          </w:p>
        </w:tc>
        <w:tc>
          <w:tcPr>
            <w:tcW w:w="1304" w:type="dxa"/>
          </w:tcPr>
          <w:p w14:paraId="0D71EF23" w14:textId="77777777" w:rsidR="00345EE3" w:rsidRDefault="00345EE3" w:rsidP="00D73130">
            <w:pPr>
              <w:pStyle w:val="TableParagraph"/>
              <w:ind w:right="1"/>
              <w:jc w:val="center"/>
              <w:rPr>
                <w:sz w:val="24"/>
              </w:rPr>
            </w:pPr>
            <w:r>
              <w:rPr>
                <w:color w:val="231F20"/>
                <w:sz w:val="24"/>
              </w:rPr>
              <w:t>N</w:t>
            </w:r>
          </w:p>
        </w:tc>
        <w:tc>
          <w:tcPr>
            <w:tcW w:w="7710" w:type="dxa"/>
            <w:tcBorders>
              <w:right w:val="nil"/>
            </w:tcBorders>
          </w:tcPr>
          <w:p w14:paraId="66EFD29A" w14:textId="77777777" w:rsidR="00345EE3" w:rsidRDefault="00345EE3" w:rsidP="00D73130">
            <w:pPr>
              <w:pStyle w:val="TableParagraph"/>
              <w:ind w:left="-1"/>
              <w:jc w:val="left"/>
              <w:rPr>
                <w:sz w:val="24"/>
              </w:rPr>
            </w:pPr>
            <w:r>
              <w:rPr>
                <w:color w:val="231F20"/>
                <w:sz w:val="24"/>
              </w:rPr>
              <w:t>Substantiated</w:t>
            </w:r>
            <w:r>
              <w:rPr>
                <w:color w:val="231F20"/>
                <w:spacing w:val="-4"/>
                <w:sz w:val="24"/>
              </w:rPr>
              <w:t xml:space="preserve"> </w:t>
            </w:r>
            <w:r>
              <w:rPr>
                <w:color w:val="231F20"/>
                <w:sz w:val="24"/>
              </w:rPr>
              <w:t>–</w:t>
            </w:r>
            <w:r>
              <w:rPr>
                <w:color w:val="231F20"/>
                <w:spacing w:val="-2"/>
                <w:sz w:val="24"/>
              </w:rPr>
              <w:t xml:space="preserve"> </w:t>
            </w:r>
            <w:r>
              <w:rPr>
                <w:color w:val="231F20"/>
                <w:sz w:val="24"/>
              </w:rPr>
              <w:t>Employee</w:t>
            </w:r>
            <w:r>
              <w:rPr>
                <w:color w:val="231F20"/>
                <w:spacing w:val="-1"/>
                <w:sz w:val="24"/>
              </w:rPr>
              <w:t xml:space="preserve"> </w:t>
            </w:r>
            <w:r>
              <w:rPr>
                <w:color w:val="231F20"/>
                <w:sz w:val="24"/>
              </w:rPr>
              <w:t>to</w:t>
            </w:r>
            <w:r>
              <w:rPr>
                <w:color w:val="231F20"/>
                <w:spacing w:val="-1"/>
                <w:sz w:val="24"/>
              </w:rPr>
              <w:t xml:space="preserve"> </w:t>
            </w:r>
            <w:r>
              <w:rPr>
                <w:color w:val="231F20"/>
                <w:sz w:val="24"/>
              </w:rPr>
              <w:t>undergo</w:t>
            </w:r>
            <w:r>
              <w:rPr>
                <w:color w:val="231F20"/>
                <w:spacing w:val="-2"/>
                <w:sz w:val="24"/>
              </w:rPr>
              <w:t xml:space="preserve"> </w:t>
            </w:r>
            <w:r>
              <w:rPr>
                <w:color w:val="231F20"/>
                <w:sz w:val="24"/>
              </w:rPr>
              <w:t>Extra</w:t>
            </w:r>
            <w:r>
              <w:rPr>
                <w:color w:val="231F20"/>
                <w:spacing w:val="-4"/>
                <w:sz w:val="24"/>
              </w:rPr>
              <w:t xml:space="preserve"> </w:t>
            </w:r>
            <w:r>
              <w:rPr>
                <w:color w:val="231F20"/>
                <w:spacing w:val="-2"/>
                <w:sz w:val="24"/>
              </w:rPr>
              <w:t>Training</w:t>
            </w:r>
          </w:p>
        </w:tc>
      </w:tr>
    </w:tbl>
    <w:p w14:paraId="5C7697C6" w14:textId="77777777" w:rsidR="00345EE3" w:rsidRPr="00ED2501" w:rsidRDefault="00345EE3" w:rsidP="00345EE3">
      <w:pPr>
        <w:spacing w:before="70"/>
        <w:ind w:left="110"/>
        <w:rPr>
          <w:sz w:val="18"/>
          <w:szCs w:val="18"/>
        </w:rPr>
      </w:pPr>
      <w:r w:rsidRPr="00ED2501">
        <w:rPr>
          <w:rFonts w:ascii="Arial-BoldItalicMT"/>
          <w:b/>
          <w:i/>
          <w:color w:val="231F20"/>
          <w:sz w:val="18"/>
          <w:szCs w:val="18"/>
        </w:rPr>
        <w:t>Source:</w:t>
      </w:r>
      <w:r w:rsidRPr="00ED2501">
        <w:rPr>
          <w:rFonts w:ascii="Arial-BoldItalicMT"/>
          <w:b/>
          <w:i/>
          <w:color w:val="231F20"/>
          <w:spacing w:val="-1"/>
          <w:sz w:val="18"/>
          <w:szCs w:val="18"/>
        </w:rPr>
        <w:t xml:space="preserve"> </w:t>
      </w:r>
      <w:r w:rsidRPr="00ED2501">
        <w:rPr>
          <w:color w:val="231F20"/>
          <w:sz w:val="18"/>
          <w:szCs w:val="18"/>
        </w:rPr>
        <w:t>Professional Standards Command.</w:t>
      </w:r>
      <w:r w:rsidRPr="00ED2501">
        <w:rPr>
          <w:color w:val="231F20"/>
          <w:spacing w:val="1"/>
          <w:sz w:val="18"/>
          <w:szCs w:val="18"/>
        </w:rPr>
        <w:t xml:space="preserve"> </w:t>
      </w:r>
      <w:r w:rsidRPr="00ED2501">
        <w:rPr>
          <w:color w:val="231F20"/>
          <w:sz w:val="18"/>
          <w:szCs w:val="18"/>
        </w:rPr>
        <w:t>Data extracted from ROCSID</w:t>
      </w:r>
      <w:r w:rsidRPr="00ED2501">
        <w:rPr>
          <w:color w:val="231F20"/>
          <w:spacing w:val="1"/>
          <w:sz w:val="18"/>
          <w:szCs w:val="18"/>
        </w:rPr>
        <w:t xml:space="preserve"> </w:t>
      </w:r>
      <w:r w:rsidRPr="00ED2501">
        <w:rPr>
          <w:color w:val="231F20"/>
          <w:sz w:val="18"/>
          <w:szCs w:val="18"/>
        </w:rPr>
        <w:t>on 19 July</w:t>
      </w:r>
      <w:r w:rsidRPr="00ED2501">
        <w:rPr>
          <w:color w:val="231F20"/>
          <w:spacing w:val="1"/>
          <w:sz w:val="18"/>
          <w:szCs w:val="18"/>
        </w:rPr>
        <w:t xml:space="preserve"> </w:t>
      </w:r>
      <w:r w:rsidRPr="00ED2501">
        <w:rPr>
          <w:color w:val="231F20"/>
          <w:spacing w:val="-2"/>
          <w:sz w:val="18"/>
          <w:szCs w:val="18"/>
        </w:rPr>
        <w:t>2022.</w:t>
      </w:r>
    </w:p>
    <w:p w14:paraId="4CA971DA" w14:textId="77777777" w:rsidR="00345EE3" w:rsidRDefault="00345EE3" w:rsidP="00345EE3">
      <w:pPr>
        <w:pStyle w:val="BodyText"/>
        <w:spacing w:before="2"/>
        <w:rPr>
          <w:sz w:val="13"/>
        </w:rPr>
        <w:sectPr w:rsidR="00345EE3">
          <w:pgSz w:w="11910" w:h="16840"/>
          <w:pgMar w:top="720" w:right="0" w:bottom="280" w:left="740" w:header="720" w:footer="720" w:gutter="0"/>
          <w:cols w:space="720"/>
        </w:sectPr>
      </w:pPr>
    </w:p>
    <w:p w14:paraId="1B8199C1" w14:textId="77777777" w:rsidR="00345EE3" w:rsidRPr="00B07858" w:rsidRDefault="00345EE3" w:rsidP="00345EE3">
      <w:pPr>
        <w:pStyle w:val="Heading2"/>
        <w:spacing w:before="0"/>
        <w:rPr>
          <w:sz w:val="32"/>
          <w:szCs w:val="32"/>
        </w:rPr>
      </w:pPr>
      <w:r w:rsidRPr="00B07858">
        <w:rPr>
          <w:color w:val="00529F"/>
          <w:sz w:val="32"/>
          <w:szCs w:val="32"/>
        </w:rPr>
        <w:t>Comparative</w:t>
      </w:r>
      <w:r w:rsidRPr="00B07858">
        <w:rPr>
          <w:color w:val="00529F"/>
          <w:spacing w:val="-20"/>
          <w:sz w:val="32"/>
          <w:szCs w:val="32"/>
        </w:rPr>
        <w:t xml:space="preserve"> </w:t>
      </w:r>
      <w:r w:rsidRPr="00B07858">
        <w:rPr>
          <w:color w:val="00529F"/>
          <w:sz w:val="32"/>
          <w:szCs w:val="32"/>
        </w:rPr>
        <w:t>Workforce</w:t>
      </w:r>
      <w:r w:rsidRPr="00B07858">
        <w:rPr>
          <w:color w:val="00529F"/>
          <w:spacing w:val="-19"/>
          <w:sz w:val="32"/>
          <w:szCs w:val="32"/>
        </w:rPr>
        <w:t xml:space="preserve"> </w:t>
      </w:r>
      <w:r w:rsidRPr="00B07858">
        <w:rPr>
          <w:color w:val="00529F"/>
          <w:spacing w:val="-4"/>
          <w:sz w:val="32"/>
          <w:szCs w:val="32"/>
        </w:rPr>
        <w:t>Data</w:t>
      </w:r>
    </w:p>
    <w:p w14:paraId="55F4479F" w14:textId="77777777" w:rsidR="00345EE3" w:rsidRDefault="00345EE3" w:rsidP="00345EE3">
      <w:pPr>
        <w:pStyle w:val="BodyText"/>
        <w:spacing w:before="72" w:line="242" w:lineRule="auto"/>
        <w:ind w:right="921"/>
      </w:pPr>
      <w:r>
        <w:rPr>
          <w:color w:val="231F20"/>
        </w:rPr>
        <w:t>The following table discloses the head count and FTE of all active public service employees of Victoria</w:t>
      </w:r>
      <w:r>
        <w:rPr>
          <w:color w:val="231F20"/>
          <w:spacing w:val="-7"/>
        </w:rPr>
        <w:t xml:space="preserve"> </w:t>
      </w:r>
      <w:r>
        <w:rPr>
          <w:color w:val="231F20"/>
        </w:rPr>
        <w:t>Police</w:t>
      </w:r>
      <w:r>
        <w:rPr>
          <w:color w:val="231F20"/>
          <w:spacing w:val="-7"/>
        </w:rPr>
        <w:t xml:space="preserve"> </w:t>
      </w:r>
      <w:r>
        <w:rPr>
          <w:color w:val="231F20"/>
        </w:rPr>
        <w:t>employed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last</w:t>
      </w:r>
      <w:r>
        <w:rPr>
          <w:color w:val="231F20"/>
          <w:spacing w:val="-6"/>
        </w:rPr>
        <w:t xml:space="preserve"> </w:t>
      </w:r>
      <w:r>
        <w:rPr>
          <w:color w:val="231F20"/>
        </w:rPr>
        <w:t>full</w:t>
      </w:r>
      <w:r>
        <w:rPr>
          <w:color w:val="231F20"/>
          <w:spacing w:val="-7"/>
        </w:rPr>
        <w:t xml:space="preserve"> </w:t>
      </w:r>
      <w:r>
        <w:rPr>
          <w:color w:val="231F20"/>
        </w:rPr>
        <w:t>pay</w:t>
      </w:r>
      <w:r>
        <w:rPr>
          <w:color w:val="231F20"/>
          <w:spacing w:val="-6"/>
        </w:rPr>
        <w:t xml:space="preserve"> </w:t>
      </w:r>
      <w:r>
        <w:rPr>
          <w:color w:val="231F20"/>
        </w:rPr>
        <w:t>period</w:t>
      </w:r>
      <w:r>
        <w:rPr>
          <w:color w:val="231F20"/>
          <w:spacing w:val="-7"/>
        </w:rPr>
        <w:t xml:space="preserve"> </w:t>
      </w:r>
      <w:r>
        <w:rPr>
          <w:color w:val="231F20"/>
        </w:rPr>
        <w:t>in</w:t>
      </w:r>
      <w:r>
        <w:rPr>
          <w:color w:val="231F20"/>
          <w:spacing w:val="-7"/>
        </w:rPr>
        <w:t xml:space="preserve"> </w:t>
      </w:r>
      <w:r>
        <w:rPr>
          <w:color w:val="231F20"/>
        </w:rPr>
        <w:t>June</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current</w:t>
      </w:r>
      <w:r>
        <w:rPr>
          <w:color w:val="231F20"/>
          <w:spacing w:val="-6"/>
        </w:rPr>
        <w:t xml:space="preserve"> </w:t>
      </w:r>
      <w:r>
        <w:rPr>
          <w:color w:val="231F20"/>
        </w:rPr>
        <w:t>reporting</w:t>
      </w:r>
      <w:r>
        <w:rPr>
          <w:color w:val="231F20"/>
          <w:spacing w:val="-7"/>
        </w:rPr>
        <w:t xml:space="preserve"> </w:t>
      </w:r>
      <w:r>
        <w:rPr>
          <w:color w:val="231F20"/>
        </w:rPr>
        <w:t>period,</w:t>
      </w:r>
      <w:r>
        <w:rPr>
          <w:color w:val="231F20"/>
          <w:spacing w:val="-6"/>
        </w:rPr>
        <w:t xml:space="preserve"> </w:t>
      </w:r>
      <w:r>
        <w:rPr>
          <w:color w:val="231F20"/>
        </w:rPr>
        <w:t>and</w:t>
      </w:r>
      <w:r>
        <w:rPr>
          <w:color w:val="231F20"/>
          <w:spacing w:val="-7"/>
        </w:rPr>
        <w:t xml:space="preserve"> </w:t>
      </w:r>
      <w:r>
        <w:rPr>
          <w:color w:val="231F20"/>
        </w:rPr>
        <w:t>in the last full pay period in June of the previous reporting period (2022).</w:t>
      </w:r>
    </w:p>
    <w:p w14:paraId="176C75AE" w14:textId="77777777" w:rsidR="00345EE3" w:rsidRDefault="00345EE3" w:rsidP="00345EE3">
      <w:pPr>
        <w:spacing w:before="124"/>
        <w:ind w:left="110"/>
        <w:rPr>
          <w:rFonts w:ascii="Arial-BoldItalicMT"/>
          <w:b/>
          <w:i/>
          <w:sz w:val="18"/>
        </w:rPr>
      </w:pPr>
      <w:r>
        <w:rPr>
          <w:color w:val="231F20"/>
          <w:sz w:val="18"/>
        </w:rPr>
        <w:t>Table</w:t>
      </w:r>
      <w:r>
        <w:rPr>
          <w:color w:val="231F20"/>
          <w:spacing w:val="-5"/>
          <w:sz w:val="18"/>
        </w:rPr>
        <w:t xml:space="preserve"> </w:t>
      </w:r>
      <w:r>
        <w:rPr>
          <w:color w:val="231F20"/>
          <w:sz w:val="18"/>
        </w:rPr>
        <w:t>5.36:</w:t>
      </w:r>
      <w:r>
        <w:rPr>
          <w:color w:val="231F20"/>
          <w:spacing w:val="-5"/>
          <w:sz w:val="18"/>
        </w:rPr>
        <w:t xml:space="preserve"> </w:t>
      </w:r>
      <w:r>
        <w:rPr>
          <w:rFonts w:ascii="Arial-BoldItalicMT"/>
          <w:b/>
          <w:i/>
          <w:color w:val="231F20"/>
          <w:sz w:val="18"/>
        </w:rPr>
        <w:t>Demographic</w:t>
      </w:r>
      <w:r>
        <w:rPr>
          <w:rFonts w:ascii="Arial-BoldItalicMT"/>
          <w:b/>
          <w:i/>
          <w:color w:val="231F20"/>
          <w:spacing w:val="-8"/>
          <w:sz w:val="18"/>
        </w:rPr>
        <w:t xml:space="preserve"> </w:t>
      </w:r>
      <w:r>
        <w:rPr>
          <w:rFonts w:ascii="Arial-BoldItalicMT"/>
          <w:b/>
          <w:i/>
          <w:color w:val="231F20"/>
          <w:sz w:val="18"/>
        </w:rPr>
        <w:t>data</w:t>
      </w:r>
      <w:r>
        <w:rPr>
          <w:rFonts w:ascii="Arial-BoldItalicMT"/>
          <w:b/>
          <w:i/>
          <w:color w:val="231F20"/>
          <w:spacing w:val="-8"/>
          <w:sz w:val="18"/>
        </w:rPr>
        <w:t xml:space="preserve"> </w:t>
      </w:r>
      <w:r>
        <w:rPr>
          <w:rFonts w:ascii="Arial-BoldItalicMT"/>
          <w:b/>
          <w:i/>
          <w:color w:val="231F20"/>
          <w:sz w:val="18"/>
        </w:rPr>
        <w:t>of</w:t>
      </w:r>
      <w:r>
        <w:rPr>
          <w:rFonts w:ascii="Arial-BoldItalicMT"/>
          <w:b/>
          <w:i/>
          <w:color w:val="231F20"/>
          <w:spacing w:val="-7"/>
          <w:sz w:val="18"/>
        </w:rPr>
        <w:t xml:space="preserve"> </w:t>
      </w:r>
      <w:r>
        <w:rPr>
          <w:rFonts w:ascii="Arial-BoldItalicMT"/>
          <w:b/>
          <w:i/>
          <w:color w:val="231F20"/>
          <w:sz w:val="18"/>
        </w:rPr>
        <w:t>Victoria</w:t>
      </w:r>
      <w:r>
        <w:rPr>
          <w:rFonts w:ascii="Arial-BoldItalicMT"/>
          <w:b/>
          <w:i/>
          <w:color w:val="231F20"/>
          <w:spacing w:val="-8"/>
          <w:sz w:val="18"/>
        </w:rPr>
        <w:t xml:space="preserve"> </w:t>
      </w:r>
      <w:r>
        <w:rPr>
          <w:rFonts w:ascii="Arial-BoldItalicMT"/>
          <w:b/>
          <w:i/>
          <w:color w:val="231F20"/>
          <w:sz w:val="18"/>
        </w:rPr>
        <w:t>Police</w:t>
      </w:r>
      <w:r>
        <w:rPr>
          <w:rFonts w:ascii="Arial-BoldItalicMT"/>
          <w:b/>
          <w:i/>
          <w:color w:val="231F20"/>
          <w:spacing w:val="-8"/>
          <w:sz w:val="18"/>
        </w:rPr>
        <w:t xml:space="preserve"> </w:t>
      </w:r>
      <w:r>
        <w:rPr>
          <w:rFonts w:ascii="Arial-BoldItalicMT"/>
          <w:b/>
          <w:i/>
          <w:color w:val="231F20"/>
          <w:sz w:val="18"/>
        </w:rPr>
        <w:t>employees</w:t>
      </w:r>
      <w:r>
        <w:rPr>
          <w:rFonts w:ascii="Arial-BoldItalicMT"/>
          <w:b/>
          <w:i/>
          <w:color w:val="231F20"/>
          <w:spacing w:val="-7"/>
          <w:sz w:val="18"/>
        </w:rPr>
        <w:t xml:space="preserve"> </w:t>
      </w:r>
      <w:r>
        <w:rPr>
          <w:rFonts w:ascii="Arial-BoldItalicMT"/>
          <w:b/>
          <w:i/>
          <w:color w:val="231F20"/>
          <w:sz w:val="18"/>
        </w:rPr>
        <w:t>in</w:t>
      </w:r>
      <w:r>
        <w:rPr>
          <w:rFonts w:ascii="Arial-BoldItalicMT"/>
          <w:b/>
          <w:i/>
          <w:color w:val="231F20"/>
          <w:spacing w:val="-8"/>
          <w:sz w:val="18"/>
        </w:rPr>
        <w:t xml:space="preserve"> </w:t>
      </w:r>
      <w:r>
        <w:rPr>
          <w:rFonts w:ascii="Arial-BoldItalicMT"/>
          <w:b/>
          <w:i/>
          <w:color w:val="231F20"/>
          <w:sz w:val="18"/>
        </w:rPr>
        <w:t>June</w:t>
      </w:r>
      <w:r>
        <w:rPr>
          <w:rFonts w:ascii="Arial-BoldItalicMT"/>
          <w:b/>
          <w:i/>
          <w:color w:val="231F20"/>
          <w:spacing w:val="-8"/>
          <w:sz w:val="18"/>
        </w:rPr>
        <w:t xml:space="preserve"> </w:t>
      </w:r>
      <w:r>
        <w:rPr>
          <w:rFonts w:ascii="Arial-BoldItalicMT"/>
          <w:b/>
          <w:i/>
          <w:color w:val="231F20"/>
          <w:sz w:val="18"/>
        </w:rPr>
        <w:t>2021</w:t>
      </w:r>
      <w:r>
        <w:rPr>
          <w:rFonts w:ascii="Arial-BoldItalicMT"/>
          <w:b/>
          <w:i/>
          <w:color w:val="231F20"/>
          <w:spacing w:val="-7"/>
          <w:sz w:val="18"/>
        </w:rPr>
        <w:t xml:space="preserve"> </w:t>
      </w:r>
      <w:r>
        <w:rPr>
          <w:rFonts w:ascii="Arial-BoldItalicMT"/>
          <w:b/>
          <w:i/>
          <w:color w:val="231F20"/>
          <w:sz w:val="18"/>
        </w:rPr>
        <w:t>and</w:t>
      </w:r>
      <w:r>
        <w:rPr>
          <w:rFonts w:ascii="Arial-BoldItalicMT"/>
          <w:b/>
          <w:i/>
          <w:color w:val="231F20"/>
          <w:spacing w:val="-8"/>
          <w:sz w:val="18"/>
        </w:rPr>
        <w:t xml:space="preserve"> </w:t>
      </w:r>
      <w:r>
        <w:rPr>
          <w:rFonts w:ascii="Arial-BoldItalicMT"/>
          <w:b/>
          <w:i/>
          <w:color w:val="231F20"/>
          <w:sz w:val="18"/>
        </w:rPr>
        <w:t>June</w:t>
      </w:r>
      <w:r>
        <w:rPr>
          <w:rFonts w:ascii="Arial-BoldItalicMT"/>
          <w:b/>
          <w:i/>
          <w:color w:val="231F20"/>
          <w:spacing w:val="-7"/>
          <w:sz w:val="18"/>
        </w:rPr>
        <w:t xml:space="preserve"> </w:t>
      </w:r>
      <w:r>
        <w:rPr>
          <w:rFonts w:ascii="Arial-BoldItalicMT"/>
          <w:b/>
          <w:i/>
          <w:color w:val="231F20"/>
          <w:spacing w:val="-4"/>
          <w:sz w:val="18"/>
        </w:rPr>
        <w:t>2022</w:t>
      </w:r>
    </w:p>
    <w:p w14:paraId="36EB62A9" w14:textId="77777777" w:rsidR="00345EE3" w:rsidRDefault="00345EE3" w:rsidP="00345EE3">
      <w:pPr>
        <w:pStyle w:val="BodyText"/>
        <w:spacing w:before="10"/>
        <w:rPr>
          <w:rFonts w:ascii="Arial-BoldItalicMT"/>
          <w:b/>
          <w:i/>
          <w:sz w:val="5"/>
        </w:rPr>
      </w:pPr>
    </w:p>
    <w:tbl>
      <w:tblPr>
        <w:tblW w:w="0" w:type="auto"/>
        <w:tblInd w:w="14" w:type="dxa"/>
        <w:tblLayout w:type="fixed"/>
        <w:tblCellMar>
          <w:left w:w="0" w:type="dxa"/>
          <w:right w:w="0" w:type="dxa"/>
        </w:tblCellMar>
        <w:tblLook w:val="0000" w:firstRow="0" w:lastRow="0" w:firstColumn="0" w:lastColumn="0" w:noHBand="0" w:noVBand="0"/>
      </w:tblPr>
      <w:tblGrid>
        <w:gridCol w:w="454"/>
        <w:gridCol w:w="1303"/>
        <w:gridCol w:w="1021"/>
        <w:gridCol w:w="964"/>
        <w:gridCol w:w="964"/>
        <w:gridCol w:w="963"/>
        <w:gridCol w:w="907"/>
        <w:gridCol w:w="1021"/>
        <w:gridCol w:w="907"/>
        <w:gridCol w:w="1020"/>
        <w:gridCol w:w="907"/>
        <w:gridCol w:w="964"/>
        <w:gridCol w:w="964"/>
        <w:gridCol w:w="964"/>
        <w:gridCol w:w="1020"/>
        <w:gridCol w:w="794"/>
      </w:tblGrid>
      <w:tr w:rsidR="00345EE3" w:rsidRPr="009C6190" w14:paraId="25871327" w14:textId="77777777" w:rsidTr="00D73130">
        <w:trPr>
          <w:trHeight w:val="60"/>
          <w:tblHeader/>
        </w:trPr>
        <w:tc>
          <w:tcPr>
            <w:tcW w:w="454" w:type="dxa"/>
            <w:vMerge w:val="restart"/>
            <w:tcBorders>
              <w:top w:val="single" w:sz="6" w:space="0" w:color="000000"/>
              <w:left w:val="single" w:sz="6" w:space="0" w:color="000000"/>
              <w:bottom w:val="single" w:sz="6" w:space="0" w:color="9D9C9C"/>
              <w:right w:val="single" w:sz="6" w:space="0" w:color="FFFFFF"/>
            </w:tcBorders>
            <w:shd w:val="solid" w:color="004996" w:fill="auto"/>
            <w:tcMar>
              <w:top w:w="113" w:type="dxa"/>
              <w:left w:w="14" w:type="dxa"/>
              <w:bottom w:w="113" w:type="dxa"/>
              <w:right w:w="14" w:type="dxa"/>
            </w:tcMar>
          </w:tcPr>
          <w:p w14:paraId="7F34CE0C"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6" w:space="0" w:color="000000"/>
              <w:left w:val="single" w:sz="6" w:space="0" w:color="FFFFFF"/>
              <w:bottom w:val="single" w:sz="6" w:space="0" w:color="9D9C9C"/>
              <w:right w:val="single" w:sz="2" w:space="0" w:color="FFFFFF"/>
            </w:tcBorders>
            <w:shd w:val="solid" w:color="004996" w:fill="auto"/>
            <w:tcMar>
              <w:top w:w="113" w:type="dxa"/>
              <w:left w:w="14" w:type="dxa"/>
              <w:bottom w:w="113" w:type="dxa"/>
              <w:right w:w="14" w:type="dxa"/>
            </w:tcMar>
          </w:tcPr>
          <w:p w14:paraId="27D1AEB4" w14:textId="77777777" w:rsidR="00345EE3" w:rsidRPr="009C6190" w:rsidRDefault="00345EE3" w:rsidP="00D73130">
            <w:pPr>
              <w:widowControl/>
              <w:adjustRightInd w:val="0"/>
              <w:rPr>
                <w:rFonts w:eastAsiaTheme="minorHAnsi"/>
                <w:sz w:val="24"/>
                <w:szCs w:val="24"/>
                <w:lang w:val="en-GB"/>
              </w:rPr>
            </w:pPr>
          </w:p>
        </w:tc>
        <w:tc>
          <w:tcPr>
            <w:tcW w:w="6747" w:type="dxa"/>
            <w:gridSpan w:val="7"/>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3227EB1C"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Jun–21</w:t>
            </w:r>
          </w:p>
        </w:tc>
        <w:tc>
          <w:tcPr>
            <w:tcW w:w="6633" w:type="dxa"/>
            <w:gridSpan w:val="7"/>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40736218"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Jun–22</w:t>
            </w:r>
          </w:p>
        </w:tc>
      </w:tr>
      <w:tr w:rsidR="00345EE3" w:rsidRPr="009C6190" w14:paraId="5077A856" w14:textId="77777777" w:rsidTr="00D73130">
        <w:trPr>
          <w:trHeight w:val="60"/>
          <w:tblHeader/>
        </w:trPr>
        <w:tc>
          <w:tcPr>
            <w:tcW w:w="454" w:type="dxa"/>
            <w:vMerge/>
            <w:tcBorders>
              <w:top w:val="single" w:sz="6" w:space="0" w:color="9D9C9C"/>
              <w:left w:val="single" w:sz="6" w:space="0" w:color="000000"/>
              <w:bottom w:val="single" w:sz="6" w:space="0" w:color="9D9C9C"/>
              <w:right w:val="single" w:sz="6" w:space="0" w:color="FFFFFF"/>
            </w:tcBorders>
          </w:tcPr>
          <w:p w14:paraId="49F6903D"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6" w:space="0" w:color="9D9C9C"/>
              <w:left w:val="single" w:sz="6" w:space="0" w:color="FFFFFF"/>
              <w:bottom w:val="single" w:sz="6" w:space="0" w:color="9D9C9C"/>
              <w:right w:val="single" w:sz="2" w:space="0" w:color="FFFFFF"/>
            </w:tcBorders>
            <w:shd w:val="solid" w:color="004996" w:fill="auto"/>
            <w:tcMar>
              <w:top w:w="113" w:type="dxa"/>
              <w:left w:w="14" w:type="dxa"/>
              <w:bottom w:w="113" w:type="dxa"/>
              <w:right w:w="14" w:type="dxa"/>
            </w:tcMar>
          </w:tcPr>
          <w:p w14:paraId="13086288" w14:textId="77777777" w:rsidR="00345EE3" w:rsidRPr="009C6190" w:rsidRDefault="00345EE3" w:rsidP="00D73130">
            <w:pPr>
              <w:widowControl/>
              <w:adjustRightInd w:val="0"/>
              <w:rPr>
                <w:rFonts w:eastAsiaTheme="minorHAnsi"/>
                <w:sz w:val="24"/>
                <w:szCs w:val="24"/>
                <w:lang w:val="en-GB"/>
              </w:rPr>
            </w:pPr>
          </w:p>
        </w:tc>
        <w:tc>
          <w:tcPr>
            <w:tcW w:w="1985"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43B8C43D"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All employees</w:t>
            </w:r>
          </w:p>
        </w:tc>
        <w:tc>
          <w:tcPr>
            <w:tcW w:w="2834"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24D20EB"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Ongoing</w:t>
            </w:r>
          </w:p>
        </w:tc>
        <w:tc>
          <w:tcPr>
            <w:tcW w:w="192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03F4992A"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Fixed term and casual</w:t>
            </w:r>
          </w:p>
        </w:tc>
        <w:tc>
          <w:tcPr>
            <w:tcW w:w="1927"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59A47FCD"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All employees</w:t>
            </w:r>
          </w:p>
        </w:tc>
        <w:tc>
          <w:tcPr>
            <w:tcW w:w="2892"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16C7C75F"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Ongoing</w:t>
            </w:r>
          </w:p>
        </w:tc>
        <w:tc>
          <w:tcPr>
            <w:tcW w:w="1814"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09385092"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Fixed term and casual</w:t>
            </w:r>
          </w:p>
        </w:tc>
      </w:tr>
      <w:tr w:rsidR="00345EE3" w:rsidRPr="009C6190" w14:paraId="1DC407B4" w14:textId="77777777" w:rsidTr="00D73130">
        <w:trPr>
          <w:trHeight w:val="60"/>
          <w:tblHeader/>
        </w:trPr>
        <w:tc>
          <w:tcPr>
            <w:tcW w:w="454" w:type="dxa"/>
            <w:vMerge/>
            <w:tcBorders>
              <w:top w:val="single" w:sz="6" w:space="0" w:color="9D9C9C"/>
              <w:left w:val="single" w:sz="6" w:space="0" w:color="000000"/>
              <w:bottom w:val="single" w:sz="6" w:space="0" w:color="9D9C9C"/>
              <w:right w:val="single" w:sz="6" w:space="0" w:color="FFFFFF"/>
            </w:tcBorders>
          </w:tcPr>
          <w:p w14:paraId="1981C708"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6" w:space="0" w:color="9D9C9C"/>
              <w:left w:val="single" w:sz="6" w:space="0" w:color="FFFFFF"/>
              <w:bottom w:val="single" w:sz="6" w:space="0" w:color="9D9C9C"/>
              <w:right w:val="single" w:sz="2" w:space="0" w:color="FFFFFF"/>
            </w:tcBorders>
            <w:shd w:val="solid" w:color="004996" w:fill="auto"/>
            <w:tcMar>
              <w:top w:w="113" w:type="dxa"/>
              <w:left w:w="14" w:type="dxa"/>
              <w:bottom w:w="113" w:type="dxa"/>
              <w:right w:w="14" w:type="dxa"/>
            </w:tcMar>
          </w:tcPr>
          <w:p w14:paraId="22BD44F1" w14:textId="77777777" w:rsidR="00345EE3" w:rsidRPr="009C6190" w:rsidRDefault="00345EE3" w:rsidP="00D73130">
            <w:pPr>
              <w:widowControl/>
              <w:adjustRightInd w:val="0"/>
              <w:rPr>
                <w:rFonts w:eastAsiaTheme="minorHAnsi"/>
                <w:sz w:val="24"/>
                <w:szCs w:val="24"/>
                <w:lang w:val="en-GB"/>
              </w:rPr>
            </w:pPr>
          </w:p>
        </w:tc>
        <w:tc>
          <w:tcPr>
            <w:tcW w:w="102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20A8C8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9BDA24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B07876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Full-time </w:t>
            </w:r>
            <w:r w:rsidRPr="009C6190">
              <w:rPr>
                <w:rFonts w:eastAsiaTheme="minorHAnsi"/>
                <w:b/>
                <w:bCs/>
                <w:color w:val="FFFFFF"/>
                <w:spacing w:val="-2"/>
                <w:sz w:val="14"/>
                <w:szCs w:val="14"/>
                <w:lang w:val="en-GB"/>
              </w:rPr>
              <w:t>(headcount)</w:t>
            </w:r>
          </w:p>
        </w:tc>
        <w:tc>
          <w:tcPr>
            <w:tcW w:w="963"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AE3A11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Part-time </w:t>
            </w:r>
            <w:r w:rsidRPr="009C6190">
              <w:rPr>
                <w:rFonts w:eastAsiaTheme="minorHAnsi"/>
                <w:b/>
                <w:bCs/>
                <w:color w:val="FFFFFF"/>
                <w:spacing w:val="-2"/>
                <w:sz w:val="14"/>
                <w:szCs w:val="14"/>
                <w:lang w:val="en-GB"/>
              </w:rPr>
              <w:t>(headcount)</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9A7BB4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102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2C7ACF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1435F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102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0AD5DC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5F2842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3C50AE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Full-time </w:t>
            </w:r>
            <w:r w:rsidRPr="009C6190">
              <w:rPr>
                <w:rFonts w:eastAsiaTheme="minorHAnsi"/>
                <w:b/>
                <w:bCs/>
                <w:color w:val="FFFFFF"/>
                <w:spacing w:val="-2"/>
                <w:sz w:val="14"/>
                <w:szCs w:val="14"/>
                <w:lang w:val="en-GB"/>
              </w:rPr>
              <w:t>(headcount)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9415E3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Part-time </w:t>
            </w:r>
            <w:r w:rsidRPr="009C6190">
              <w:rPr>
                <w:rFonts w:eastAsiaTheme="minorHAnsi"/>
                <w:b/>
                <w:bCs/>
                <w:color w:val="FFFFFF"/>
                <w:spacing w:val="-2"/>
                <w:sz w:val="14"/>
                <w:szCs w:val="14"/>
                <w:lang w:val="en-GB"/>
              </w:rPr>
              <w:t>(headcount)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BC7892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102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0E60AC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79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437DA7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r>
      <w:tr w:rsidR="00345EE3" w:rsidRPr="009C6190" w14:paraId="1175A883" w14:textId="77777777" w:rsidTr="00D73130">
        <w:trPr>
          <w:trHeight w:val="60"/>
        </w:trPr>
        <w:tc>
          <w:tcPr>
            <w:tcW w:w="454" w:type="dxa"/>
            <w:vMerge w:val="restart"/>
            <w:tcBorders>
              <w:top w:val="single" w:sz="2" w:space="0" w:color="9D9C9C"/>
              <w:left w:val="single" w:sz="6" w:space="0" w:color="000000"/>
              <w:bottom w:val="single" w:sz="6" w:space="0" w:color="000000"/>
              <w:right w:val="single" w:sz="6" w:space="0" w:color="9D9C9C"/>
            </w:tcBorders>
            <w:tcMar>
              <w:top w:w="113" w:type="dxa"/>
              <w:left w:w="14" w:type="dxa"/>
              <w:bottom w:w="113" w:type="dxa"/>
              <w:right w:w="14" w:type="dxa"/>
            </w:tcMar>
          </w:tcPr>
          <w:p w14:paraId="0468588A" w14:textId="77777777" w:rsidR="00345EE3" w:rsidRPr="009C6190" w:rsidRDefault="00345EE3" w:rsidP="00D73130">
            <w:pPr>
              <w:widowControl/>
              <w:adjustRightInd w:val="0"/>
              <w:rPr>
                <w:rFonts w:eastAsiaTheme="minorHAnsi"/>
                <w:sz w:val="24"/>
                <w:szCs w:val="24"/>
                <w:lang w:val="en-GB"/>
              </w:rPr>
            </w:pPr>
          </w:p>
        </w:tc>
        <w:tc>
          <w:tcPr>
            <w:tcW w:w="14683" w:type="dxa"/>
            <w:gridSpan w:val="15"/>
            <w:tcBorders>
              <w:top w:val="single" w:sz="2" w:space="0" w:color="9D9C9C"/>
              <w:left w:val="single" w:sz="6" w:space="0" w:color="9D9C9C"/>
              <w:bottom w:val="single" w:sz="2" w:space="0" w:color="9D9C9C"/>
              <w:right w:val="single" w:sz="2" w:space="0" w:color="9D9C9C"/>
            </w:tcBorders>
            <w:shd w:val="solid" w:color="DADAD9" w:fill="auto"/>
            <w:tcMar>
              <w:top w:w="113" w:type="dxa"/>
              <w:left w:w="14" w:type="dxa"/>
              <w:bottom w:w="113" w:type="dxa"/>
              <w:right w:w="14" w:type="dxa"/>
            </w:tcMar>
          </w:tcPr>
          <w:p w14:paraId="321958EF"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Gender</w:t>
            </w:r>
          </w:p>
        </w:tc>
      </w:tr>
      <w:tr w:rsidR="00345EE3" w:rsidRPr="009C6190" w14:paraId="4BB19742"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69CE5B57"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2C9309D3"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Women</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ECA8B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7,652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12204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7,202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6CC71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6,091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1E96E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1,394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8FAB5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7,046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AD85B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167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EFBE8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155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86C52D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7,552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B23B1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7,108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911A3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6,004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7A8D4A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1,390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2F1F3F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6,962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2A000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158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1502BE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146 </w:t>
            </w:r>
          </w:p>
        </w:tc>
      </w:tr>
      <w:tr w:rsidR="00345EE3" w:rsidRPr="009C6190" w14:paraId="1491D4E7"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7704A45A"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82207AF"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Men</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8D892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14,639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D2BEE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14,554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F2B72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14,211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9692A2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308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833C5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14,438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FADA59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120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B6C4F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116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ADFA6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14,342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6B819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14,258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D56EDE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13,923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AF14FF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316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694C4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14,156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30A3C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103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9079FF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102 </w:t>
            </w:r>
          </w:p>
        </w:tc>
      </w:tr>
      <w:tr w:rsidR="00345EE3" w:rsidRPr="009C6190" w14:paraId="37118703"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39A15E89"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EB48595"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Self-described</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75A0D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A8076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302C1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15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195BD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E5BC0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C6BE9E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F84E8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AEA740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32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F73081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32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B0A2D5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07B9F9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1A6CE2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29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73FADF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102E4D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 </w:t>
            </w:r>
          </w:p>
        </w:tc>
      </w:tr>
      <w:tr w:rsidR="00345EE3" w:rsidRPr="009C6190" w14:paraId="70F0D86B"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36754A71" w14:textId="77777777" w:rsidR="00345EE3" w:rsidRPr="009C6190" w:rsidRDefault="00345EE3" w:rsidP="00D73130">
            <w:pPr>
              <w:widowControl/>
              <w:adjustRightInd w:val="0"/>
              <w:rPr>
                <w:rFonts w:eastAsiaTheme="minorHAnsi"/>
                <w:sz w:val="24"/>
                <w:szCs w:val="24"/>
                <w:lang w:val="en-GB"/>
              </w:rPr>
            </w:pPr>
          </w:p>
        </w:tc>
        <w:tc>
          <w:tcPr>
            <w:tcW w:w="14683" w:type="dxa"/>
            <w:gridSpan w:val="15"/>
            <w:tcBorders>
              <w:top w:val="single" w:sz="2" w:space="0" w:color="9D9C9C"/>
              <w:left w:val="single" w:sz="6" w:space="0" w:color="9D9C9C"/>
              <w:bottom w:val="single" w:sz="2" w:space="0" w:color="9D9C9C"/>
              <w:right w:val="single" w:sz="2" w:space="0" w:color="9D9C9C"/>
            </w:tcBorders>
            <w:shd w:val="solid" w:color="DADAD9" w:fill="auto"/>
            <w:tcMar>
              <w:top w:w="113" w:type="dxa"/>
              <w:left w:w="14" w:type="dxa"/>
              <w:bottom w:w="113" w:type="dxa"/>
              <w:right w:w="14" w:type="dxa"/>
            </w:tcMar>
          </w:tcPr>
          <w:p w14:paraId="4CB5AE69"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Age</w:t>
            </w:r>
          </w:p>
        </w:tc>
      </w:tr>
      <w:tr w:rsidR="00345EE3" w:rsidRPr="009C6190" w14:paraId="7018F9DD"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62AB7EC0"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682A6B95"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15–24</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6E192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878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0C8E2B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873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AD3FC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835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744D7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CDCE4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844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70B07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A2FE57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29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A8293D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672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6F87B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667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7B71A3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640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6750D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39CE52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645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50ED1F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24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499ECA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22 </w:t>
            </w:r>
          </w:p>
        </w:tc>
      </w:tr>
      <w:tr w:rsidR="00345EE3" w:rsidRPr="009C6190" w14:paraId="47482871"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093697C3"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E68CCB7"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25–34</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58236C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6,872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7CA09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6,773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B29F6C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6,476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3ED316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309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8CC8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6,688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EE3A2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87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39926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85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DB2681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6,588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04FF8B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6,494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704A34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6,201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7F9844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300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A53B62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6,409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8029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87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7B574A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84 </w:t>
            </w:r>
          </w:p>
        </w:tc>
      </w:tr>
      <w:tr w:rsidR="00345EE3" w:rsidRPr="009C6190" w14:paraId="6C093605"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36445CBB"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7A63810"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35–44</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C1BE9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5,924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BA702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5,697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06DE1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5,164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25DFD3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702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AC7173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5,643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2D19D3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58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8884A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54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656777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6,054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E32579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5,836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58092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5,303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635B2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695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ACE67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5,782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2127AB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56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9FB62C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53 </w:t>
            </w:r>
          </w:p>
        </w:tc>
      </w:tr>
      <w:tr w:rsidR="00345EE3" w:rsidRPr="009C6190" w14:paraId="6F4758DF"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386A53D4"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621EC926"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45–54</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17AE8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5,602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8FC8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5,475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F8F9C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5,111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93F7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421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9374A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5,410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EE519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BC75B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65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FD4E0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5,448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4A7BDE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5,320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22E4DA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4,949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5667CC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440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CDA81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5,263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7B69DB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59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3CCB4F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57 </w:t>
            </w:r>
          </w:p>
        </w:tc>
      </w:tr>
      <w:tr w:rsidR="00345EE3" w:rsidRPr="009C6190" w14:paraId="442CAD44"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1F29477E"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DA87695"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55–64</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D9E26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2,780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CEA28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2,718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3E794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2,523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BF56E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219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75F26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2,681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E01C8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38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B31DB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37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888CC6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2,868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17599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2,802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D520E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2,616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85CA52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217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5386B1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2,771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071F5F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35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EF550E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32 </w:t>
            </w:r>
          </w:p>
        </w:tc>
      </w:tr>
      <w:tr w:rsidR="00345EE3" w:rsidRPr="009C6190" w14:paraId="4EA111A2"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00FFE844"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6" w:space="0" w:color="000000"/>
              <w:right w:val="single" w:sz="2" w:space="0" w:color="9D9C9C"/>
            </w:tcBorders>
            <w:tcMar>
              <w:top w:w="113" w:type="dxa"/>
              <w:left w:w="14" w:type="dxa"/>
              <w:bottom w:w="113" w:type="dxa"/>
              <w:right w:w="14" w:type="dxa"/>
            </w:tcMar>
          </w:tcPr>
          <w:p w14:paraId="747E3504"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65+</w:t>
            </w:r>
          </w:p>
        </w:tc>
        <w:tc>
          <w:tcPr>
            <w:tcW w:w="102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28C4E32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254 </w:t>
            </w:r>
          </w:p>
        </w:tc>
        <w:tc>
          <w:tcPr>
            <w:tcW w:w="96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244A0DA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238 </w:t>
            </w:r>
          </w:p>
        </w:tc>
        <w:tc>
          <w:tcPr>
            <w:tcW w:w="96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47F9AC8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208 </w:t>
            </w:r>
          </w:p>
        </w:tc>
        <w:tc>
          <w:tcPr>
            <w:tcW w:w="963"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505BDAF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39 </w:t>
            </w:r>
          </w:p>
        </w:tc>
        <w:tc>
          <w:tcPr>
            <w:tcW w:w="907"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6EEBB9C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234 </w:t>
            </w:r>
          </w:p>
        </w:tc>
        <w:tc>
          <w:tcPr>
            <w:tcW w:w="102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6442D9C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 </w:t>
            </w:r>
          </w:p>
        </w:tc>
        <w:tc>
          <w:tcPr>
            <w:tcW w:w="907"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73A9F3C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 </w:t>
            </w:r>
          </w:p>
        </w:tc>
        <w:tc>
          <w:tcPr>
            <w:tcW w:w="1020"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59F9C12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296 </w:t>
            </w:r>
          </w:p>
        </w:tc>
        <w:tc>
          <w:tcPr>
            <w:tcW w:w="907"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5D73E74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280 </w:t>
            </w:r>
          </w:p>
        </w:tc>
        <w:tc>
          <w:tcPr>
            <w:tcW w:w="964"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427CA77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246 </w:t>
            </w:r>
          </w:p>
        </w:tc>
        <w:tc>
          <w:tcPr>
            <w:tcW w:w="964"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4332940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47 </w:t>
            </w:r>
          </w:p>
        </w:tc>
        <w:tc>
          <w:tcPr>
            <w:tcW w:w="964"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0665585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278 </w:t>
            </w:r>
          </w:p>
        </w:tc>
        <w:tc>
          <w:tcPr>
            <w:tcW w:w="1020"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78FAB0E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 </w:t>
            </w:r>
          </w:p>
        </w:tc>
        <w:tc>
          <w:tcPr>
            <w:tcW w:w="794"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4460BF8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r>
    </w:tbl>
    <w:p w14:paraId="142E6166" w14:textId="77777777" w:rsidR="00345EE3" w:rsidRPr="00ED2501" w:rsidRDefault="00345EE3" w:rsidP="00345EE3">
      <w:pPr>
        <w:widowControl/>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9C6190">
        <w:rPr>
          <w:rFonts w:eastAsiaTheme="minorHAnsi"/>
          <w:b/>
          <w:bCs/>
          <w:i/>
          <w:iCs/>
          <w:color w:val="000000"/>
          <w:sz w:val="18"/>
          <w:szCs w:val="18"/>
          <w:lang w:val="en-GB"/>
        </w:rPr>
        <w:t>Source:</w:t>
      </w:r>
      <w:r w:rsidRPr="009C6190">
        <w:rPr>
          <w:rFonts w:eastAsiaTheme="minorHAnsi"/>
          <w:i/>
          <w:iCs/>
          <w:color w:val="000000"/>
          <w:sz w:val="18"/>
          <w:szCs w:val="18"/>
          <w:lang w:val="en-GB"/>
        </w:rPr>
        <w:t xml:space="preserve"> </w:t>
      </w:r>
      <w:r w:rsidRPr="009C6190">
        <w:rPr>
          <w:rFonts w:eastAsiaTheme="minorHAnsi"/>
          <w:color w:val="000000"/>
          <w:spacing w:val="-1"/>
          <w:sz w:val="18"/>
          <w:szCs w:val="18"/>
          <w:lang w:val="en-GB"/>
        </w:rPr>
        <w:t>Human Resources Command. Data extracted from HR Assist on 22 June 2022.</w:t>
      </w:r>
    </w:p>
    <w:p w14:paraId="525B4EF6" w14:textId="77777777" w:rsidR="00345EE3" w:rsidRPr="009C6190" w:rsidRDefault="00345EE3" w:rsidP="00345EE3">
      <w:pPr>
        <w:widowControl/>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9C6190">
        <w:rPr>
          <w:rFonts w:eastAsiaTheme="minorHAnsi"/>
          <w:i/>
          <w:iCs/>
          <w:color w:val="000000"/>
          <w:sz w:val="18"/>
          <w:szCs w:val="18"/>
          <w:lang w:val="en-GB"/>
        </w:rPr>
        <w:t xml:space="preserve">Notes: </w:t>
      </w:r>
    </w:p>
    <w:p w14:paraId="13F10318" w14:textId="77777777" w:rsidR="00345EE3" w:rsidRPr="009C6190" w:rsidRDefault="00345EE3" w:rsidP="00345EE3">
      <w:pPr>
        <w:widowControl/>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9C6190">
        <w:rPr>
          <w:rFonts w:eastAsiaTheme="minorHAnsi"/>
          <w:color w:val="000000"/>
          <w:spacing w:val="-1"/>
          <w:sz w:val="18"/>
          <w:szCs w:val="18"/>
          <w:lang w:val="en-GB"/>
        </w:rPr>
        <w:t>1.</w:t>
      </w:r>
      <w:r w:rsidRPr="009C6190">
        <w:rPr>
          <w:rFonts w:eastAsiaTheme="minorHAnsi"/>
          <w:color w:val="000000"/>
          <w:spacing w:val="-1"/>
          <w:sz w:val="18"/>
          <w:szCs w:val="18"/>
          <w:lang w:val="en-GB"/>
        </w:rPr>
        <w:tab/>
      </w:r>
      <w:r w:rsidRPr="009C6190">
        <w:rPr>
          <w:rFonts w:eastAsiaTheme="minorHAnsi"/>
          <w:color w:val="000000"/>
          <w:spacing w:val="-1"/>
          <w:sz w:val="18"/>
          <w:szCs w:val="18"/>
          <w:lang w:val="en-GB"/>
        </w:rPr>
        <w:br/>
        <w:t>This table is prepared in accordance with FRD 29 Workforce Data disclosure requirements. It therefore excludes staff who were not on salary at the end of the last pay period of the financial year (which ended 18 June 2022 and 19 June 2021). It also excludes staff who are employed within statutory and nationally funded bodies administered by Victoria Police.</w:t>
      </w:r>
    </w:p>
    <w:p w14:paraId="20106D63" w14:textId="77777777" w:rsidR="00345EE3" w:rsidRPr="009C6190" w:rsidRDefault="00345EE3" w:rsidP="00345EE3">
      <w:pPr>
        <w:widowControl/>
        <w:tabs>
          <w:tab w:val="left" w:pos="227"/>
          <w:tab w:val="left" w:pos="340"/>
        </w:tabs>
        <w:suppressAutoHyphens/>
        <w:adjustRightInd w:val="0"/>
        <w:spacing w:after="113" w:line="160" w:lineRule="atLeast"/>
        <w:textAlignment w:val="center"/>
        <w:rPr>
          <w:rFonts w:eastAsiaTheme="minorHAnsi"/>
          <w:color w:val="000000"/>
          <w:spacing w:val="-1"/>
          <w:sz w:val="18"/>
          <w:szCs w:val="18"/>
          <w:lang w:val="en-GB"/>
        </w:rPr>
      </w:pPr>
      <w:r w:rsidRPr="009C6190">
        <w:rPr>
          <w:rFonts w:eastAsiaTheme="minorHAnsi"/>
          <w:color w:val="000000"/>
          <w:spacing w:val="-1"/>
          <w:sz w:val="18"/>
          <w:szCs w:val="18"/>
          <w:lang w:val="en-GB"/>
        </w:rPr>
        <w:t>2.</w:t>
      </w:r>
      <w:r w:rsidRPr="009C6190">
        <w:rPr>
          <w:rFonts w:eastAsiaTheme="minorHAnsi"/>
          <w:color w:val="000000"/>
          <w:spacing w:val="-1"/>
          <w:sz w:val="18"/>
          <w:szCs w:val="18"/>
          <w:lang w:val="en-GB"/>
        </w:rPr>
        <w:tab/>
        <w:t>FTE total may not tally due to rounding as the figures have been rounded to the nearest whole number as per FRD 29C.</w:t>
      </w:r>
    </w:p>
    <w:p w14:paraId="31413540" w14:textId="77777777" w:rsidR="00345EE3" w:rsidRPr="009C6190" w:rsidRDefault="00345EE3" w:rsidP="00345EE3">
      <w:pPr>
        <w:widowControl/>
        <w:suppressAutoHyphens/>
        <w:adjustRightInd w:val="0"/>
        <w:spacing w:after="28" w:line="230" w:lineRule="atLeast"/>
        <w:textAlignment w:val="center"/>
        <w:rPr>
          <w:rFonts w:eastAsiaTheme="minorHAnsi"/>
          <w:color w:val="000000"/>
          <w:sz w:val="18"/>
          <w:szCs w:val="18"/>
          <w:lang w:val="en-GB"/>
        </w:rPr>
      </w:pPr>
      <w:r w:rsidRPr="009C6190">
        <w:rPr>
          <w:rFonts w:eastAsiaTheme="minorHAnsi"/>
          <w:color w:val="000000"/>
          <w:sz w:val="18"/>
          <w:szCs w:val="18"/>
          <w:lang w:val="en-GB"/>
        </w:rPr>
        <w:t xml:space="preserve">Table 5.37: </w:t>
      </w:r>
      <w:r w:rsidRPr="009C6190">
        <w:rPr>
          <w:rFonts w:eastAsiaTheme="minorHAnsi"/>
          <w:b/>
          <w:bCs/>
          <w:i/>
          <w:iCs/>
          <w:color w:val="000000"/>
          <w:spacing w:val="-2"/>
          <w:sz w:val="18"/>
          <w:szCs w:val="18"/>
          <w:lang w:val="en-GB"/>
        </w:rPr>
        <w:t>Classification data of Victoria Police employees in June 2021 and June 2022</w:t>
      </w:r>
    </w:p>
    <w:tbl>
      <w:tblPr>
        <w:tblW w:w="0" w:type="auto"/>
        <w:tblInd w:w="14" w:type="dxa"/>
        <w:tblLayout w:type="fixed"/>
        <w:tblCellMar>
          <w:left w:w="0" w:type="dxa"/>
          <w:right w:w="0" w:type="dxa"/>
        </w:tblCellMar>
        <w:tblLook w:val="0000" w:firstRow="0" w:lastRow="0" w:firstColumn="0" w:lastColumn="0" w:noHBand="0" w:noVBand="0"/>
      </w:tblPr>
      <w:tblGrid>
        <w:gridCol w:w="454"/>
        <w:gridCol w:w="1870"/>
        <w:gridCol w:w="1021"/>
        <w:gridCol w:w="907"/>
        <w:gridCol w:w="964"/>
        <w:gridCol w:w="964"/>
        <w:gridCol w:w="907"/>
        <w:gridCol w:w="1020"/>
        <w:gridCol w:w="850"/>
        <w:gridCol w:w="1021"/>
        <w:gridCol w:w="850"/>
        <w:gridCol w:w="851"/>
        <w:gridCol w:w="850"/>
        <w:gridCol w:w="851"/>
        <w:gridCol w:w="1020"/>
        <w:gridCol w:w="737"/>
      </w:tblGrid>
      <w:tr w:rsidR="00345EE3" w:rsidRPr="009C6190" w14:paraId="62056D22" w14:textId="77777777" w:rsidTr="00D73130">
        <w:trPr>
          <w:trHeight w:val="60"/>
          <w:tblHeader/>
        </w:trPr>
        <w:tc>
          <w:tcPr>
            <w:tcW w:w="454" w:type="dxa"/>
            <w:vMerge w:val="restart"/>
            <w:tcBorders>
              <w:top w:val="single" w:sz="6" w:space="0" w:color="000000"/>
              <w:left w:val="single" w:sz="6" w:space="0" w:color="000000"/>
              <w:bottom w:val="single" w:sz="6" w:space="0" w:color="9D9C9C"/>
              <w:right w:val="single" w:sz="6" w:space="0" w:color="FFFFFF"/>
            </w:tcBorders>
            <w:shd w:val="solid" w:color="004996" w:fill="auto"/>
            <w:tcMar>
              <w:top w:w="113" w:type="dxa"/>
              <w:left w:w="14" w:type="dxa"/>
              <w:bottom w:w="113" w:type="dxa"/>
              <w:right w:w="14" w:type="dxa"/>
            </w:tcMar>
          </w:tcPr>
          <w:p w14:paraId="2DA49A43"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6" w:space="0" w:color="000000"/>
              <w:left w:val="single" w:sz="6" w:space="0" w:color="FFFFFF"/>
              <w:bottom w:val="single" w:sz="6" w:space="0" w:color="9D9C9C"/>
              <w:right w:val="single" w:sz="2" w:space="0" w:color="FFFFFF"/>
            </w:tcBorders>
            <w:shd w:val="solid" w:color="004996" w:fill="auto"/>
            <w:tcMar>
              <w:top w:w="113" w:type="dxa"/>
              <w:left w:w="14" w:type="dxa"/>
              <w:bottom w:w="113" w:type="dxa"/>
              <w:right w:w="14" w:type="dxa"/>
            </w:tcMar>
          </w:tcPr>
          <w:p w14:paraId="1EBED728" w14:textId="77777777" w:rsidR="00345EE3" w:rsidRPr="009C6190" w:rsidRDefault="00345EE3" w:rsidP="00D73130">
            <w:pPr>
              <w:widowControl/>
              <w:adjustRightInd w:val="0"/>
              <w:rPr>
                <w:rFonts w:eastAsiaTheme="minorHAnsi"/>
                <w:sz w:val="24"/>
                <w:szCs w:val="24"/>
                <w:lang w:val="en-GB"/>
              </w:rPr>
            </w:pPr>
          </w:p>
        </w:tc>
        <w:tc>
          <w:tcPr>
            <w:tcW w:w="6633" w:type="dxa"/>
            <w:gridSpan w:val="7"/>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1A50D2B4"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Jun-21</w:t>
            </w:r>
          </w:p>
        </w:tc>
        <w:tc>
          <w:tcPr>
            <w:tcW w:w="6180" w:type="dxa"/>
            <w:gridSpan w:val="7"/>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9B00D92"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Jun-22</w:t>
            </w:r>
          </w:p>
        </w:tc>
      </w:tr>
      <w:tr w:rsidR="00345EE3" w:rsidRPr="009C6190" w14:paraId="28BA9EC1" w14:textId="77777777" w:rsidTr="00D73130">
        <w:trPr>
          <w:trHeight w:val="60"/>
          <w:tblHeader/>
        </w:trPr>
        <w:tc>
          <w:tcPr>
            <w:tcW w:w="454" w:type="dxa"/>
            <w:vMerge/>
            <w:tcBorders>
              <w:top w:val="single" w:sz="6" w:space="0" w:color="9D9C9C"/>
              <w:left w:val="single" w:sz="6" w:space="0" w:color="000000"/>
              <w:bottom w:val="single" w:sz="6" w:space="0" w:color="9D9C9C"/>
              <w:right w:val="single" w:sz="6" w:space="0" w:color="FFFFFF"/>
            </w:tcBorders>
          </w:tcPr>
          <w:p w14:paraId="05389C0E"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6" w:space="0" w:color="9D9C9C"/>
              <w:left w:val="single" w:sz="6" w:space="0" w:color="FFFFFF"/>
              <w:bottom w:val="single" w:sz="6" w:space="0" w:color="9D9C9C"/>
              <w:right w:val="single" w:sz="2" w:space="0" w:color="FFFFFF"/>
            </w:tcBorders>
            <w:shd w:val="solid" w:color="004996" w:fill="auto"/>
            <w:tcMar>
              <w:top w:w="113" w:type="dxa"/>
              <w:left w:w="14" w:type="dxa"/>
              <w:bottom w:w="113" w:type="dxa"/>
              <w:right w:w="14" w:type="dxa"/>
            </w:tcMar>
          </w:tcPr>
          <w:p w14:paraId="67C76B5F" w14:textId="77777777" w:rsidR="00345EE3" w:rsidRPr="009C6190" w:rsidRDefault="00345EE3" w:rsidP="00D73130">
            <w:pPr>
              <w:widowControl/>
              <w:adjustRightInd w:val="0"/>
              <w:rPr>
                <w:rFonts w:eastAsiaTheme="minorHAnsi"/>
                <w:sz w:val="24"/>
                <w:szCs w:val="24"/>
                <w:lang w:val="en-GB"/>
              </w:rPr>
            </w:pPr>
          </w:p>
        </w:tc>
        <w:tc>
          <w:tcPr>
            <w:tcW w:w="192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686F14BE"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All employees</w:t>
            </w:r>
          </w:p>
        </w:tc>
        <w:tc>
          <w:tcPr>
            <w:tcW w:w="2835"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087BB92F"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Ongoing</w:t>
            </w:r>
          </w:p>
        </w:tc>
        <w:tc>
          <w:tcPr>
            <w:tcW w:w="1870"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0D7BF2BB"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Fixed term and casual</w:t>
            </w:r>
          </w:p>
        </w:tc>
        <w:tc>
          <w:tcPr>
            <w:tcW w:w="1871"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671B9B51"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All employees</w:t>
            </w:r>
          </w:p>
        </w:tc>
        <w:tc>
          <w:tcPr>
            <w:tcW w:w="2552"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92252C9"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Ongoing</w:t>
            </w:r>
          </w:p>
        </w:tc>
        <w:tc>
          <w:tcPr>
            <w:tcW w:w="1757"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4CEB320"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Fixed term and casual</w:t>
            </w:r>
          </w:p>
        </w:tc>
      </w:tr>
      <w:tr w:rsidR="00345EE3" w:rsidRPr="009C6190" w14:paraId="7BA6AE7A" w14:textId="77777777" w:rsidTr="00D73130">
        <w:trPr>
          <w:trHeight w:val="60"/>
          <w:tblHeader/>
        </w:trPr>
        <w:tc>
          <w:tcPr>
            <w:tcW w:w="454" w:type="dxa"/>
            <w:vMerge/>
            <w:tcBorders>
              <w:top w:val="single" w:sz="6" w:space="0" w:color="9D9C9C"/>
              <w:left w:val="single" w:sz="6" w:space="0" w:color="000000"/>
              <w:bottom w:val="single" w:sz="6" w:space="0" w:color="9D9C9C"/>
              <w:right w:val="single" w:sz="6" w:space="0" w:color="FFFFFF"/>
            </w:tcBorders>
          </w:tcPr>
          <w:p w14:paraId="1A691A92"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6" w:space="0" w:color="9D9C9C"/>
              <w:left w:val="single" w:sz="6" w:space="0" w:color="FFFFFF"/>
              <w:bottom w:val="single" w:sz="6" w:space="0" w:color="9D9C9C"/>
              <w:right w:val="single" w:sz="2" w:space="0" w:color="FFFFFF"/>
            </w:tcBorders>
            <w:shd w:val="solid" w:color="004996" w:fill="auto"/>
            <w:tcMar>
              <w:top w:w="113" w:type="dxa"/>
              <w:left w:w="14" w:type="dxa"/>
              <w:bottom w:w="113" w:type="dxa"/>
              <w:right w:w="14" w:type="dxa"/>
            </w:tcMar>
          </w:tcPr>
          <w:p w14:paraId="4D2D1F51" w14:textId="77777777" w:rsidR="00345EE3" w:rsidRPr="009C6190" w:rsidRDefault="00345EE3" w:rsidP="00D73130">
            <w:pPr>
              <w:widowControl/>
              <w:adjustRightInd w:val="0"/>
              <w:rPr>
                <w:rFonts w:eastAsiaTheme="minorHAnsi"/>
                <w:sz w:val="24"/>
                <w:szCs w:val="24"/>
                <w:lang w:val="en-GB"/>
              </w:rPr>
            </w:pPr>
          </w:p>
        </w:tc>
        <w:tc>
          <w:tcPr>
            <w:tcW w:w="102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7173CD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185085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79D2F4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Full-time </w:t>
            </w:r>
            <w:r w:rsidRPr="009C6190">
              <w:rPr>
                <w:rFonts w:eastAsiaTheme="minorHAnsi"/>
                <w:b/>
                <w:bCs/>
                <w:color w:val="FFFFFF"/>
                <w:spacing w:val="-2"/>
                <w:sz w:val="14"/>
                <w:szCs w:val="14"/>
                <w:lang w:val="en-GB"/>
              </w:rPr>
              <w:t>(headcount)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42C339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Part time </w:t>
            </w:r>
            <w:r w:rsidRPr="009C6190">
              <w:rPr>
                <w:rFonts w:eastAsiaTheme="minorHAnsi"/>
                <w:b/>
                <w:bCs/>
                <w:color w:val="FFFFFF"/>
                <w:spacing w:val="-2"/>
                <w:sz w:val="14"/>
                <w:szCs w:val="14"/>
                <w:lang w:val="en-GB"/>
              </w:rPr>
              <w:t>(headcount)</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EC46F3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102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0EC5E4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85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6E907C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102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4DC5C8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85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4D64FF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85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CC7942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Full-time </w:t>
            </w:r>
            <w:r w:rsidRPr="009C6190">
              <w:rPr>
                <w:rFonts w:eastAsiaTheme="minorHAnsi"/>
                <w:b/>
                <w:bCs/>
                <w:color w:val="FFFFFF"/>
                <w:spacing w:val="-2"/>
                <w:sz w:val="14"/>
                <w:szCs w:val="14"/>
                <w:lang w:val="en-GB"/>
              </w:rPr>
              <w:t>(headcount)</w:t>
            </w:r>
          </w:p>
        </w:tc>
        <w:tc>
          <w:tcPr>
            <w:tcW w:w="85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F8BB2A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Part-time </w:t>
            </w:r>
            <w:r w:rsidRPr="009C6190">
              <w:rPr>
                <w:rFonts w:eastAsiaTheme="minorHAnsi"/>
                <w:b/>
                <w:bCs/>
                <w:color w:val="FFFFFF"/>
                <w:spacing w:val="-2"/>
                <w:sz w:val="14"/>
                <w:szCs w:val="14"/>
                <w:lang w:val="en-GB"/>
              </w:rPr>
              <w:t>(headcount)</w:t>
            </w:r>
          </w:p>
        </w:tc>
        <w:tc>
          <w:tcPr>
            <w:tcW w:w="85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D51E3B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102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99984F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73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18F25B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r>
      <w:tr w:rsidR="00345EE3" w:rsidRPr="009C6190" w14:paraId="4527A770" w14:textId="77777777" w:rsidTr="00D73130">
        <w:trPr>
          <w:trHeight w:val="60"/>
        </w:trPr>
        <w:tc>
          <w:tcPr>
            <w:tcW w:w="454" w:type="dxa"/>
            <w:vMerge w:val="restart"/>
            <w:tcBorders>
              <w:top w:val="single" w:sz="2" w:space="0" w:color="9D9C9C"/>
              <w:left w:val="single" w:sz="6" w:space="0" w:color="000000"/>
              <w:bottom w:val="single" w:sz="2" w:space="0" w:color="9D9C9C"/>
              <w:right w:val="single" w:sz="6" w:space="0" w:color="9D9C9C"/>
            </w:tcBorders>
            <w:tcMar>
              <w:top w:w="113" w:type="dxa"/>
              <w:left w:w="14" w:type="dxa"/>
              <w:bottom w:w="113" w:type="dxa"/>
              <w:right w:w="14" w:type="dxa"/>
            </w:tcMar>
          </w:tcPr>
          <w:p w14:paraId="448065B9"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CCB3729"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Police</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0FE84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16,582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4EB1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16,284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ED0D0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15,535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19DCE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1,026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3C3A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16,263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8DA30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21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AB51EF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21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1728DA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16,454 </w:t>
            </w:r>
          </w:p>
        </w:tc>
        <w:tc>
          <w:tcPr>
            <w:tcW w:w="850"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2B10CE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16,159 </w:t>
            </w:r>
          </w:p>
        </w:tc>
        <w:tc>
          <w:tcPr>
            <w:tcW w:w="851" w:type="dxa"/>
            <w:tcBorders>
              <w:top w:val="single" w:sz="2" w:space="0" w:color="9D9C9C"/>
              <w:left w:val="single" w:sz="6" w:space="0" w:color="9D9C9C"/>
              <w:bottom w:val="single" w:sz="2" w:space="0" w:color="9D9C9C"/>
              <w:right w:val="single" w:sz="2" w:space="0" w:color="9D9C9C"/>
            </w:tcBorders>
            <w:shd w:val="solid" w:color="ECECEC" w:fill="auto"/>
            <w:tcMar>
              <w:top w:w="113" w:type="dxa"/>
              <w:left w:w="14" w:type="dxa"/>
              <w:bottom w:w="113" w:type="dxa"/>
              <w:right w:w="14" w:type="dxa"/>
            </w:tcMar>
          </w:tcPr>
          <w:p w14:paraId="7D49779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15,397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7F1BD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1,036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5AE5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16,138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1CE7D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21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EF7D80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21 </w:t>
            </w:r>
          </w:p>
        </w:tc>
      </w:tr>
      <w:tr w:rsidR="00345EE3" w:rsidRPr="009C6190" w14:paraId="0A145ED9"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1D4F492F"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5B74D38"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Chief Commissioner</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1A193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8460B7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331F8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4CB66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FEC17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5104F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375E3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25C3C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CD3E5A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1D50F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7B7064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3783AF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679FA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07CAD6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r>
      <w:tr w:rsidR="00345EE3" w:rsidRPr="009C6190" w14:paraId="6971377A"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4A8760EE"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469E69D8"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Deputy Commissioner</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64F661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0BC23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27881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9D6E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692731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B56C2F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A82C77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629ECA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67A74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088C02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4194C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3F6727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092DC1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D12E89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r>
      <w:tr w:rsidR="00345EE3" w:rsidRPr="009C6190" w14:paraId="00CE3A45"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376A28A0"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EA54BC7"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Assistant Commissioner</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59005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F6EC49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778135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48BE06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52DA94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C440B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F4901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3489EB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3FEB77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DD02A6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5F7FF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6136BF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2094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6DABE9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r>
      <w:tr w:rsidR="00345EE3" w:rsidRPr="009C6190" w14:paraId="1130DDF8"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29E0EE9"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4AEA9B6"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 xml:space="preserve">Commander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B1586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D99829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532CDE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1270A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78D76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EBE28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5F498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B93FDF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78271E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25872D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63AD70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A59275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94682E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119ADE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23B1FB8D"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1AC03A47"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5B887EB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 xml:space="preserve">Superintendent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7168C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92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FCC71C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92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135CBF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92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7DD9EB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1E94D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92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41DFF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638EB7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0AE99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103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4CA92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103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901E73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103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90F8BE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477313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103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BA75D4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EB227E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7EE22365"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7E0C04E5"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2E24B9A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 xml:space="preserve">Inspector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F239D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354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A0E91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354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1AA28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353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D9A4A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C8D85F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354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580CA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EAFD1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9FB8C8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369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4B13F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369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49235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368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1DCFD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E388C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369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03EE2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2D4F5A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53E5DC2B"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4474DE51"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5281906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 xml:space="preserve">Senior Sergeant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8CD9F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862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992B4D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858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2F98D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840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906F43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AD42E8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858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90A12F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286557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6887D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889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D308EF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885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AE9806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869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AEF039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E69CFD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885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C56202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F1B42F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0E6EBA57"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343C4BFE"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83C181C"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Sergeant</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758C9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2,896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9E587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2,861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B4932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2,764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77D919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47FD1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2,861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FC539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292A3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246538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2,889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F004FE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2,854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A06C2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2,756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05A408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133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6A22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2,854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FA76B9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4D7308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7E9B4C90"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48EF4DA8"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1F830CC3"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Senior Constable</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18D497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8,083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473B2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7,831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B555D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7,234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6AAAB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849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8ACA8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7,831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3893DB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312769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5D68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8,529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6C020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8,285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9760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7,682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466754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847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AEA12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8,285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B6926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BE440E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2D9F65D1"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26D51E62"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58FB68FF"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 xml:space="preserve">Constable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FF7DED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4,261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32CE70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4,254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CA6BF5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4,239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408673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16CA2A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4,254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FA92CF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830194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8470B5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3,641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88AF22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3,630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579A5E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3,606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6DF5F6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35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25C826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3,630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03B74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39A32E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5225B474"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5711DF9C"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63BC57F5"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Protective Service Officers (PSO)</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874E9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1,483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0DF932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1,466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1C5E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1,419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76B34E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64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6D95D4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1,466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DB708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7A18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2F7DA8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1,459 </w:t>
            </w:r>
          </w:p>
        </w:tc>
        <w:tc>
          <w:tcPr>
            <w:tcW w:w="850"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986F9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1,438</w:t>
            </w:r>
          </w:p>
        </w:tc>
        <w:tc>
          <w:tcPr>
            <w:tcW w:w="851" w:type="dxa"/>
            <w:tcBorders>
              <w:top w:val="single" w:sz="2" w:space="0" w:color="9D9C9C"/>
              <w:left w:val="single" w:sz="6" w:space="0" w:color="9D9C9C"/>
              <w:bottom w:val="single" w:sz="2" w:space="0" w:color="9D9C9C"/>
              <w:right w:val="single" w:sz="2" w:space="0" w:color="9D9C9C"/>
            </w:tcBorders>
            <w:shd w:val="solid" w:color="ECECEC" w:fill="auto"/>
            <w:tcMar>
              <w:top w:w="113" w:type="dxa"/>
              <w:left w:w="14" w:type="dxa"/>
              <w:bottom w:w="113" w:type="dxa"/>
              <w:right w:w="14" w:type="dxa"/>
            </w:tcMar>
          </w:tcPr>
          <w:p w14:paraId="1A1803A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1,385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64FF17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74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3EFEC2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1,438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43604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1D20C1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r>
      <w:tr w:rsidR="00345EE3" w:rsidRPr="009C6190" w14:paraId="7B9B31D7"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B889C89"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12E9F7CF"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PSO Senior Super</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4D470F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FF0A2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73634A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8E5EA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D310A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32AF8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884DE9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C5BBC5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6562B8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2CFC70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136F9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AC22E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2C4FE1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A53CAE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333062B7"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BD3FB1F"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5E558B08"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PSO Supervisor</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C3A9A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74FDC7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71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DC9533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71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F8A2F3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42EAD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71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38E08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6095B8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009196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114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81FF8E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114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D9BAAA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113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7EDA2A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84C0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114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DB8E5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6F013B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0AC32D79"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6247D228"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85633E6"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 xml:space="preserve">PSO Senior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1209E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620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51376E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612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6C46EE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587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DF739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F62B31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612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7C37A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7060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2797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761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3D92C0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750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7BC00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718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F8273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43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A9EA6C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750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370CB9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93FAC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4FDB0C3C" w14:textId="77777777" w:rsidTr="00D73130">
        <w:trPr>
          <w:trHeight w:val="60"/>
        </w:trPr>
        <w:tc>
          <w:tcPr>
            <w:tcW w:w="454" w:type="dxa"/>
            <w:vMerge/>
            <w:tcBorders>
              <w:top w:val="single" w:sz="2" w:space="0" w:color="9D9C9C"/>
              <w:left w:val="single" w:sz="6" w:space="0" w:color="000000"/>
              <w:bottom w:val="single" w:sz="6" w:space="0" w:color="9D9C9C"/>
              <w:right w:val="single" w:sz="6" w:space="0" w:color="9D9C9C"/>
            </w:tcBorders>
          </w:tcPr>
          <w:p w14:paraId="7CB42058"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2549C250"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PSO First Class</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9B031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205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770B56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200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9EB8AB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189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35F3C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D552C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200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D5C5C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115EB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76AD91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94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16F59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90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0D8581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80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6B8CAC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A479B9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90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827E5C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DA64CB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7C5A18EB" w14:textId="77777777" w:rsidTr="00D73130">
        <w:trPr>
          <w:trHeight w:val="60"/>
        </w:trPr>
        <w:tc>
          <w:tcPr>
            <w:tcW w:w="454" w:type="dxa"/>
            <w:tcBorders>
              <w:top w:val="single" w:sz="6" w:space="0" w:color="9D9C9C"/>
              <w:left w:val="single" w:sz="6" w:space="0" w:color="000000"/>
              <w:bottom w:val="single" w:sz="6" w:space="0" w:color="9D9C9C"/>
              <w:right w:val="single" w:sz="6" w:space="0" w:color="9D9C9C"/>
            </w:tcBorders>
            <w:tcMar>
              <w:top w:w="113" w:type="dxa"/>
              <w:left w:w="14" w:type="dxa"/>
              <w:bottom w:w="113" w:type="dxa"/>
              <w:right w:w="14" w:type="dxa"/>
            </w:tcMar>
          </w:tcPr>
          <w:p w14:paraId="21713343"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EC86689"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PSO</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125D6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583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9604C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579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41D6E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568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6DF286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15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A1CC26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579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5A562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A848F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303550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486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1E2346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481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01301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470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E9F49C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FDF676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481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8EFF7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0EC17C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3CCC6318" w14:textId="77777777" w:rsidTr="00D73130">
        <w:trPr>
          <w:trHeight w:val="60"/>
        </w:trPr>
        <w:tc>
          <w:tcPr>
            <w:tcW w:w="454" w:type="dxa"/>
            <w:vMerge w:val="restart"/>
            <w:tcBorders>
              <w:top w:val="single" w:sz="6" w:space="0" w:color="9D9C9C"/>
              <w:left w:val="single" w:sz="6" w:space="0" w:color="000000"/>
              <w:bottom w:val="single" w:sz="2" w:space="0" w:color="9D9C9C"/>
              <w:right w:val="single" w:sz="6" w:space="0" w:color="9D9C9C"/>
            </w:tcBorders>
            <w:tcMar>
              <w:top w:w="113" w:type="dxa"/>
              <w:left w:w="14" w:type="dxa"/>
              <w:bottom w:w="113" w:type="dxa"/>
              <w:right w:w="14" w:type="dxa"/>
            </w:tcMar>
          </w:tcPr>
          <w:p w14:paraId="277ADC78"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2F68B898" w14:textId="77777777" w:rsidR="00345EE3" w:rsidRPr="009C6190" w:rsidRDefault="00345EE3" w:rsidP="00D73130">
            <w:pPr>
              <w:widowControl/>
              <w:adjustRightInd w:val="0"/>
              <w:rPr>
                <w:rFonts w:eastAsiaTheme="minorHAnsi"/>
                <w:sz w:val="24"/>
                <w:szCs w:val="24"/>
                <w:lang w:val="en-GB"/>
              </w:rPr>
            </w:pP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F7E6041" w14:textId="77777777" w:rsidR="00345EE3" w:rsidRPr="009C6190" w:rsidRDefault="00345EE3" w:rsidP="00D73130">
            <w:pPr>
              <w:widowControl/>
              <w:adjustRightInd w:val="0"/>
              <w:rPr>
                <w:rFonts w:eastAsiaTheme="minorHAnsi"/>
                <w:sz w:val="24"/>
                <w:szCs w:val="24"/>
                <w:lang w:val="en-GB"/>
              </w:rPr>
            </w:pP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3F90EE" w14:textId="77777777" w:rsidR="00345EE3" w:rsidRPr="009C6190" w:rsidRDefault="00345EE3" w:rsidP="00D73130">
            <w:pPr>
              <w:widowControl/>
              <w:adjustRightInd w:val="0"/>
              <w:rPr>
                <w:rFonts w:eastAsiaTheme="minorHAnsi"/>
                <w:sz w:val="24"/>
                <w:szCs w:val="24"/>
                <w:lang w:val="en-GB"/>
              </w:rPr>
            </w:pP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A7C2D8" w14:textId="77777777" w:rsidR="00345EE3" w:rsidRPr="009C6190" w:rsidRDefault="00345EE3" w:rsidP="00D73130">
            <w:pPr>
              <w:widowControl/>
              <w:adjustRightInd w:val="0"/>
              <w:rPr>
                <w:rFonts w:eastAsiaTheme="minorHAnsi"/>
                <w:sz w:val="24"/>
                <w:szCs w:val="24"/>
                <w:lang w:val="en-GB"/>
              </w:rPr>
            </w:pP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EA9DC7" w14:textId="77777777" w:rsidR="00345EE3" w:rsidRPr="009C6190" w:rsidRDefault="00345EE3" w:rsidP="00D73130">
            <w:pPr>
              <w:widowControl/>
              <w:adjustRightInd w:val="0"/>
              <w:rPr>
                <w:rFonts w:eastAsiaTheme="minorHAnsi"/>
                <w:sz w:val="24"/>
                <w:szCs w:val="24"/>
                <w:lang w:val="en-GB"/>
              </w:rPr>
            </w:pP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B3B5CE" w14:textId="77777777" w:rsidR="00345EE3" w:rsidRPr="009C6190" w:rsidRDefault="00345EE3" w:rsidP="00D73130">
            <w:pPr>
              <w:widowControl/>
              <w:adjustRightInd w:val="0"/>
              <w:rPr>
                <w:rFonts w:eastAsiaTheme="minorHAnsi"/>
                <w:sz w:val="24"/>
                <w:szCs w:val="24"/>
                <w:lang w:val="en-GB"/>
              </w:rPr>
            </w:pP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5289DD" w14:textId="77777777" w:rsidR="00345EE3" w:rsidRPr="009C6190" w:rsidRDefault="00345EE3" w:rsidP="00D73130">
            <w:pPr>
              <w:widowControl/>
              <w:adjustRightInd w:val="0"/>
              <w:rPr>
                <w:rFonts w:eastAsiaTheme="minorHAnsi"/>
                <w:sz w:val="24"/>
                <w:szCs w:val="24"/>
                <w:lang w:val="en-GB"/>
              </w:rPr>
            </w:pP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7F97A8" w14:textId="77777777" w:rsidR="00345EE3" w:rsidRPr="009C6190" w:rsidRDefault="00345EE3" w:rsidP="00D73130">
            <w:pPr>
              <w:widowControl/>
              <w:adjustRightInd w:val="0"/>
              <w:rPr>
                <w:rFonts w:eastAsiaTheme="minorHAnsi"/>
                <w:sz w:val="24"/>
                <w:szCs w:val="24"/>
                <w:lang w:val="en-GB"/>
              </w:rPr>
            </w:pP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7EA06F6" w14:textId="77777777" w:rsidR="00345EE3" w:rsidRPr="009C6190" w:rsidRDefault="00345EE3" w:rsidP="00D73130">
            <w:pPr>
              <w:widowControl/>
              <w:adjustRightInd w:val="0"/>
              <w:rPr>
                <w:rFonts w:eastAsiaTheme="minorHAnsi"/>
                <w:sz w:val="24"/>
                <w:szCs w:val="24"/>
                <w:lang w:val="en-GB"/>
              </w:rPr>
            </w:pP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19D9D2" w14:textId="77777777" w:rsidR="00345EE3" w:rsidRPr="009C6190" w:rsidRDefault="00345EE3" w:rsidP="00D73130">
            <w:pPr>
              <w:widowControl/>
              <w:adjustRightInd w:val="0"/>
              <w:rPr>
                <w:rFonts w:eastAsiaTheme="minorHAnsi"/>
                <w:sz w:val="24"/>
                <w:szCs w:val="24"/>
                <w:lang w:val="en-GB"/>
              </w:rPr>
            </w:pP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C60795" w14:textId="77777777" w:rsidR="00345EE3" w:rsidRPr="009C6190" w:rsidRDefault="00345EE3" w:rsidP="00D73130">
            <w:pPr>
              <w:widowControl/>
              <w:adjustRightInd w:val="0"/>
              <w:rPr>
                <w:rFonts w:eastAsiaTheme="minorHAnsi"/>
                <w:sz w:val="24"/>
                <w:szCs w:val="24"/>
                <w:lang w:val="en-GB"/>
              </w:rPr>
            </w:pP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1DC51B" w14:textId="77777777" w:rsidR="00345EE3" w:rsidRPr="009C6190" w:rsidRDefault="00345EE3" w:rsidP="00D73130">
            <w:pPr>
              <w:widowControl/>
              <w:adjustRightInd w:val="0"/>
              <w:rPr>
                <w:rFonts w:eastAsiaTheme="minorHAnsi"/>
                <w:sz w:val="24"/>
                <w:szCs w:val="24"/>
                <w:lang w:val="en-GB"/>
              </w:rPr>
            </w:pP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B1F7ED1" w14:textId="77777777" w:rsidR="00345EE3" w:rsidRPr="009C6190" w:rsidRDefault="00345EE3" w:rsidP="00D73130">
            <w:pPr>
              <w:widowControl/>
              <w:adjustRightInd w:val="0"/>
              <w:rPr>
                <w:rFonts w:eastAsiaTheme="minorHAnsi"/>
                <w:sz w:val="24"/>
                <w:szCs w:val="24"/>
                <w:lang w:val="en-GB"/>
              </w:rPr>
            </w:pP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250E1E1" w14:textId="77777777" w:rsidR="00345EE3" w:rsidRPr="009C6190" w:rsidRDefault="00345EE3" w:rsidP="00D73130">
            <w:pPr>
              <w:widowControl/>
              <w:adjustRightInd w:val="0"/>
              <w:rPr>
                <w:rFonts w:eastAsiaTheme="minorHAnsi"/>
                <w:sz w:val="24"/>
                <w:szCs w:val="24"/>
                <w:lang w:val="en-GB"/>
              </w:rPr>
            </w:pP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3F6594B" w14:textId="77777777" w:rsidR="00345EE3" w:rsidRPr="009C6190" w:rsidRDefault="00345EE3" w:rsidP="00D73130">
            <w:pPr>
              <w:widowControl/>
              <w:adjustRightInd w:val="0"/>
              <w:rPr>
                <w:rFonts w:eastAsiaTheme="minorHAnsi"/>
                <w:sz w:val="24"/>
                <w:szCs w:val="24"/>
                <w:lang w:val="en-GB"/>
              </w:rPr>
            </w:pPr>
          </w:p>
        </w:tc>
      </w:tr>
      <w:tr w:rsidR="00345EE3" w:rsidRPr="009C6190" w14:paraId="2CDC4E79"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8026930"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5F8A0544"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Other Sworn Employees</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F8EFB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181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510726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181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300D09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181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4F63D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DB6C67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181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7E7968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86525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E12C94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71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C056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71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AB7BF3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71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62F6EE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4BE908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71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DBB412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3BEE17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r>
      <w:tr w:rsidR="00345EE3" w:rsidRPr="009C6190" w14:paraId="389A83A1"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1ABB534C"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1F774E3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Recruits</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FFA7D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179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0D778A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179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53BFDA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179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7DB91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731A82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179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0BC37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95799E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0B7362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69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FA5B28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69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2BF245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69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E1C6A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8F564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69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6EDB88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8CE2CD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02A4CD13"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1AB87D53"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32AC97B8"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Reservists</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453B0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F60C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E3B20C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D6467C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ED104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968AB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53C82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F3137F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E3CA5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79383A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12FCCE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D3BAC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B0C1C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205C6B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2066EF2C"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75BF1AD"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6D532DEC"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Police Custody Officers (PCO)</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B15B0C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396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A2BD58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393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EAB72F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383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6615D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5FD3A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393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47C0F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C314D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A03EDD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392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3C7907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386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FD224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371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F18045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21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76B203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386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3C001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80845B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r>
      <w:tr w:rsidR="00345EE3" w:rsidRPr="009C6190" w14:paraId="01393C82"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27F22A3A"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104AB23D"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PCO-1</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A4865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C333B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A4BBF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CBD88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3FBA0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1D024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026AE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CCBAAE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C69783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35338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506138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276A2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1FFA5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9D2A60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69D6207E"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BD2FD67"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38501869"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PCO-2</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C537C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338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F9449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335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C99F1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327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E8F26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A8F47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335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B88F4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5D098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7437A7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334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BE6C8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328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E55E7C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314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0A8D53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80893B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328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C17D38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91AF28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4117DE87"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56A9759D"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3E11DAD5"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PCO-3</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04EC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E6640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A9831E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56</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BFC1E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67E004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ADC687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A0BFE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EEC19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385419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A328DE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57</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07BCD5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8128F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E0D8BE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8BE217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42B0A3FD"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4BC0AF45"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3A10B5D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VPS 1-6 grades</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1C054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3,308</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02E29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3,113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BB69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2,543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9B86D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531</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356907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2,895</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AF06C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234</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48843C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218</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A9D478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3,185</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ECE6AF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3,002</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FE9C2B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2,475</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5E0E46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507</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FA6A35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2,811</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D5710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203</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55F439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191</w:t>
            </w:r>
          </w:p>
        </w:tc>
      </w:tr>
      <w:tr w:rsidR="00345EE3" w:rsidRPr="009C6190" w14:paraId="58B81797"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D8FFA3A"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677F4A53"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VPS 1</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953486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B0CEFE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A5D61D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80446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2CD43E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7B344B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5F2E9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58B2D1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4DF48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AB57E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57355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8A64C4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ECA365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E94421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33101E1D"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296DCE47"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48F4C23"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VPS 2</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868CC7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1,220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778742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1,122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30CD93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889</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F676D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251</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39D7B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1,052</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616725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2E013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71</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DF0C9D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1,133</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7BD51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1,045</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AA654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849</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FBA4F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226</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5F55C1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995</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0DAEAE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973304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50</w:t>
            </w:r>
          </w:p>
        </w:tc>
      </w:tr>
      <w:tr w:rsidR="00345EE3" w:rsidRPr="009C6190" w14:paraId="4515E914"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C5FFDDA"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599A5A54"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VPS 3</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8822F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833</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B1CDB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791</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2D047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665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810810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114</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31B2F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739</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9AAAE8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54</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F5548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52</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5B83AF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812</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7BC29D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769</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89D275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650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FFA39F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116</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D8DEBD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724</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9DFC9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46</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FF0D48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45</w:t>
            </w:r>
          </w:p>
        </w:tc>
      </w:tr>
      <w:tr w:rsidR="00345EE3" w:rsidRPr="009C6190" w14:paraId="34D6785E"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749B7A48"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BAF0A14"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VPS 4</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2266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677</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3CBAFA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638</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81EA1D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505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A3283F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FDD85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580</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62AA7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62</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31D40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99FA04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652</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D4A32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617</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784D7F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492</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E5D86F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106</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100EC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565</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136F4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54</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8A0332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53</w:t>
            </w:r>
          </w:p>
        </w:tc>
      </w:tr>
      <w:tr w:rsidR="00345EE3" w:rsidRPr="009C6190" w14:paraId="649B2E4F"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22D47FE6"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4D3B548C"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VPS 5</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276F5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330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E6B5A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318</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D3436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268</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CD6C5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39</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C1CF6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295</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3F343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23</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7C2A42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23</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120504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347</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FB45AA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335</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07A98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275</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FFF55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374CFA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303</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34EC52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32</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FED7B2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31</w:t>
            </w:r>
          </w:p>
        </w:tc>
      </w:tr>
      <w:tr w:rsidR="00345EE3" w:rsidRPr="009C6190" w14:paraId="34FCA460"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304C790C"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0CC8DDE"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VPS 6</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26B1C3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246</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266E6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242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6562F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216</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9294D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17</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D65DB2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229</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794F3C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85820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7EC9C2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241</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300F9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236</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DD2D1E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209</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BCB275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19</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BB0223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223</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F1CB4D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B52DD3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r>
      <w:tr w:rsidR="00345EE3" w:rsidRPr="009C6190" w14:paraId="7D71AE3C"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5B3ACF37"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A2C50BC"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Forensic Officers (FO)</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2241B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303</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A41033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282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24619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235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DC0C23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64</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6E6673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278</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131A5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4</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7E5BE7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4</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3C8ACA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307</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49553B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287</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FB8AE4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237</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B01BE3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64</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CEC271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281</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AA3892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6</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ED145D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6</w:t>
            </w:r>
          </w:p>
        </w:tc>
      </w:tr>
      <w:tr w:rsidR="00345EE3" w:rsidRPr="009C6190" w14:paraId="17267BB0"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D361F2C"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05699B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FO-1</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553432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43912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923325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4E486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3BB43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7D68F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32F99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422925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D53C39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183E22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B87F1F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5B98D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A02F67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EB66AA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0550E35A"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3A63BB72"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1F1ADA36"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FO-2</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31FC4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69</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A7B4D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D06FE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627AF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15160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61</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FBB7F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ACDE80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84C530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79</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31AFE2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75</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D93FAC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64</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1076B8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4B4AA0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70</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1EAB64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46016A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w:t>
            </w:r>
          </w:p>
        </w:tc>
      </w:tr>
      <w:tr w:rsidR="00345EE3" w:rsidRPr="009C6190" w14:paraId="431D3E6C" w14:textId="77777777" w:rsidTr="00D73130">
        <w:trPr>
          <w:trHeight w:val="60"/>
        </w:trPr>
        <w:tc>
          <w:tcPr>
            <w:tcW w:w="454" w:type="dxa"/>
            <w:vMerge/>
            <w:tcBorders>
              <w:top w:val="single" w:sz="2" w:space="0" w:color="9D9C9C"/>
              <w:left w:val="single" w:sz="6" w:space="0" w:color="000000"/>
              <w:bottom w:val="single" w:sz="6" w:space="0" w:color="9D9C9C"/>
              <w:right w:val="single" w:sz="6" w:space="0" w:color="9D9C9C"/>
            </w:tcBorders>
          </w:tcPr>
          <w:p w14:paraId="0B2EA467"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1765B97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FO-3</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487FC7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85</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FED47F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EE5CF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68</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715D3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17</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1155D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80</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1679D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4DD09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4787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85</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72E826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E4D53C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68</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792DEA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17</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87417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80</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A3BB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C56A5A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04253048" w14:textId="77777777" w:rsidTr="00D73130">
        <w:trPr>
          <w:trHeight w:val="60"/>
        </w:trPr>
        <w:tc>
          <w:tcPr>
            <w:tcW w:w="454" w:type="dxa"/>
            <w:vMerge w:val="restart"/>
            <w:tcBorders>
              <w:top w:val="single" w:sz="6" w:space="0" w:color="9D9C9C"/>
              <w:left w:val="single" w:sz="6" w:space="0" w:color="000000"/>
              <w:bottom w:val="single" w:sz="6" w:space="0" w:color="000000"/>
              <w:right w:val="single" w:sz="6" w:space="0" w:color="9D9C9C"/>
            </w:tcBorders>
            <w:tcMar>
              <w:top w:w="113" w:type="dxa"/>
              <w:left w:w="14" w:type="dxa"/>
              <w:bottom w:w="113" w:type="dxa"/>
              <w:right w:w="14" w:type="dxa"/>
            </w:tcMar>
          </w:tcPr>
          <w:p w14:paraId="53F097C4"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4FFB0E9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FO-4</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D6AE51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104</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8E4367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0B59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62AEB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D6830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94</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6D220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5BFE7E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E31201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97</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DA9575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88</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48892F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67</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7B49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2C8344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88</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58B054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1563B1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1C9824B3"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21B9EE9C"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5038FD7"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FO-5</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B21BA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32</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FDB828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2C2D7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DA258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DF3F7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30</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93377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C290C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3396BB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32</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CE5957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EA384C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24</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229362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21080E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29</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E2D802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29AED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w:t>
            </w:r>
          </w:p>
        </w:tc>
      </w:tr>
      <w:tr w:rsidR="00345EE3" w:rsidRPr="009C6190" w14:paraId="74B003DE"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13C49EC7"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90BF129"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FO-6</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A2FACE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09E3D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0760CC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D5740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6D117C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8AB79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AB1E47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5965D1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47DBCC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6C0097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037042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A7064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7AA03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045E6B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266EE609"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1F91473F"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23670F6F"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Senior VPS Employees</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C7DD1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57</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57A2F1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6DA7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21</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8B436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49DB61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24</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15E3A7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31</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F49E2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31</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162F76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58</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CB9541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55</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CDAC9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19</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07984D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0EAF72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22</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17E64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34</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CEA5FE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33</w:t>
            </w:r>
          </w:p>
        </w:tc>
      </w:tr>
      <w:tr w:rsidR="00345EE3" w:rsidRPr="009C6190" w14:paraId="48F64FDF"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077BA012"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2CB879E1"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Senior Technical Specialist</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286E1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13B7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D7C38D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9D0A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A25FA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3D794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62047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85300A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4C1CC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F97EC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381426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0DD466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3E2C73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E0175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w:t>
            </w:r>
          </w:p>
        </w:tc>
      </w:tr>
      <w:tr w:rsidR="00345EE3" w:rsidRPr="009C6190" w14:paraId="512BADF3"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2C62E75E"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6952D451"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FO-7</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A8191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D7764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E0487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4A026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4B3A8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E122D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A5D190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095118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CE640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E111C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74BF7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7E1F1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FC865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FBA827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5F884038"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13BD2F41"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5BCA7A46"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Senior Medical Advisor</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1C1A8F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7C0E4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3BBD7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DE1482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995DD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B246B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4ECD9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832EDA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4D415E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5930E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B5328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95F67F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C2528A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896780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02DCFECC"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091498B6"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63334F6"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 xml:space="preserve">Senior Executive Service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583C01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31</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A6C525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31</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8A0EC9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A0394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DC291B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5CFE6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31</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98CF6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31</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F5939F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33</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10D44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32</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9AB85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421C96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F37252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199AC6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33</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F78A84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32</w:t>
            </w:r>
          </w:p>
        </w:tc>
      </w:tr>
      <w:tr w:rsidR="00345EE3" w:rsidRPr="009C6190" w14:paraId="09BA1C56"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73277867"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6" w:space="0" w:color="000000"/>
              <w:right w:val="single" w:sz="2" w:space="0" w:color="9D9C9C"/>
            </w:tcBorders>
            <w:shd w:val="solid" w:color="DADAD9" w:fill="auto"/>
            <w:tcMar>
              <w:top w:w="113" w:type="dxa"/>
              <w:left w:w="14" w:type="dxa"/>
              <w:bottom w:w="113" w:type="dxa"/>
              <w:right w:w="14" w:type="dxa"/>
            </w:tcMar>
          </w:tcPr>
          <w:p w14:paraId="4C42EC46"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Total employees</w:t>
            </w:r>
          </w:p>
        </w:tc>
        <w:tc>
          <w:tcPr>
            <w:tcW w:w="1021"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3E6F16B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22,310</w:t>
            </w:r>
          </w:p>
        </w:tc>
        <w:tc>
          <w:tcPr>
            <w:tcW w:w="907"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46C749C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21,774</w:t>
            </w:r>
          </w:p>
        </w:tc>
        <w:tc>
          <w:tcPr>
            <w:tcW w:w="964"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6666A60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20,317</w:t>
            </w:r>
          </w:p>
        </w:tc>
        <w:tc>
          <w:tcPr>
            <w:tcW w:w="964"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0AFBED4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1,703</w:t>
            </w:r>
          </w:p>
        </w:tc>
        <w:tc>
          <w:tcPr>
            <w:tcW w:w="907"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7DCA800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21,500</w:t>
            </w:r>
          </w:p>
        </w:tc>
        <w:tc>
          <w:tcPr>
            <w:tcW w:w="1020"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5C9D7D9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290</w:t>
            </w:r>
          </w:p>
        </w:tc>
        <w:tc>
          <w:tcPr>
            <w:tcW w:w="850"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20E7811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274</w:t>
            </w:r>
          </w:p>
        </w:tc>
        <w:tc>
          <w:tcPr>
            <w:tcW w:w="1021"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6C501F8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21,926</w:t>
            </w:r>
          </w:p>
        </w:tc>
        <w:tc>
          <w:tcPr>
            <w:tcW w:w="850"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58D6658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21,398</w:t>
            </w:r>
          </w:p>
        </w:tc>
        <w:tc>
          <w:tcPr>
            <w:tcW w:w="851"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3401735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19,955</w:t>
            </w:r>
          </w:p>
        </w:tc>
        <w:tc>
          <w:tcPr>
            <w:tcW w:w="850"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36B18F4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1,707</w:t>
            </w:r>
          </w:p>
        </w:tc>
        <w:tc>
          <w:tcPr>
            <w:tcW w:w="851"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54D2F1C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21,147</w:t>
            </w:r>
          </w:p>
        </w:tc>
        <w:tc>
          <w:tcPr>
            <w:tcW w:w="1020"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3B93699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264</w:t>
            </w:r>
          </w:p>
        </w:tc>
        <w:tc>
          <w:tcPr>
            <w:tcW w:w="737" w:type="dxa"/>
            <w:tcBorders>
              <w:top w:val="single" w:sz="2" w:space="0" w:color="9D9C9C"/>
              <w:left w:val="single" w:sz="2" w:space="0" w:color="9D9C9C"/>
              <w:bottom w:val="single" w:sz="6" w:space="0" w:color="000000"/>
              <w:right w:val="single" w:sz="6" w:space="0" w:color="9D9C9C"/>
            </w:tcBorders>
            <w:shd w:val="solid" w:color="DADAD9" w:fill="auto"/>
            <w:tcMar>
              <w:top w:w="113" w:type="dxa"/>
              <w:left w:w="14" w:type="dxa"/>
              <w:bottom w:w="113" w:type="dxa"/>
              <w:right w:w="14" w:type="dxa"/>
            </w:tcMar>
          </w:tcPr>
          <w:p w14:paraId="2145B19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252</w:t>
            </w:r>
          </w:p>
        </w:tc>
      </w:tr>
    </w:tbl>
    <w:p w14:paraId="43DDD11B" w14:textId="77777777" w:rsidR="00345EE3" w:rsidRPr="00002A55" w:rsidRDefault="00345EE3" w:rsidP="00345EE3">
      <w:pPr>
        <w:widowControl/>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ED2501">
        <w:rPr>
          <w:rFonts w:ascii="Arial-BoldItalicMT"/>
          <w:b/>
          <w:i/>
          <w:color w:val="231F20"/>
          <w:sz w:val="18"/>
          <w:szCs w:val="18"/>
        </w:rPr>
        <w:t>Source:</w:t>
      </w:r>
      <w:r w:rsidRPr="00002A55">
        <w:rPr>
          <w:rFonts w:eastAsiaTheme="minorHAnsi"/>
          <w:i/>
          <w:iCs/>
          <w:color w:val="000000"/>
          <w:sz w:val="18"/>
          <w:szCs w:val="18"/>
          <w:lang w:val="en-GB"/>
        </w:rPr>
        <w:t xml:space="preserve"> </w:t>
      </w:r>
      <w:r w:rsidRPr="00002A55">
        <w:rPr>
          <w:rFonts w:eastAsiaTheme="minorHAnsi"/>
          <w:color w:val="000000"/>
          <w:spacing w:val="-1"/>
          <w:sz w:val="18"/>
          <w:szCs w:val="18"/>
          <w:lang w:val="en-GB"/>
        </w:rPr>
        <w:t>Human Resources Command. Data extracted from HR Assist on 22 June 2022.</w:t>
      </w:r>
    </w:p>
    <w:p w14:paraId="2FABC5B0" w14:textId="77777777" w:rsidR="00345EE3" w:rsidRPr="00002A55" w:rsidRDefault="00345EE3" w:rsidP="00345EE3">
      <w:pPr>
        <w:widowControl/>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002A55">
        <w:rPr>
          <w:rFonts w:eastAsiaTheme="minorHAnsi"/>
          <w:color w:val="000000"/>
          <w:spacing w:val="-1"/>
          <w:sz w:val="18"/>
          <w:szCs w:val="18"/>
          <w:lang w:val="en-GB"/>
        </w:rPr>
        <w:t xml:space="preserve">Notes: </w:t>
      </w:r>
    </w:p>
    <w:p w14:paraId="6BCBB259" w14:textId="77777777" w:rsidR="00345EE3" w:rsidRPr="00002A55" w:rsidRDefault="00345EE3" w:rsidP="00345EE3">
      <w:pPr>
        <w:widowControl/>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002A55">
        <w:rPr>
          <w:rFonts w:eastAsiaTheme="minorHAnsi"/>
          <w:color w:val="000000"/>
          <w:spacing w:val="-1"/>
          <w:sz w:val="18"/>
          <w:szCs w:val="18"/>
          <w:lang w:val="en-GB"/>
        </w:rPr>
        <w:t>1.</w:t>
      </w:r>
      <w:r w:rsidRPr="00002A55">
        <w:rPr>
          <w:rFonts w:eastAsiaTheme="minorHAnsi"/>
          <w:color w:val="000000"/>
          <w:spacing w:val="-1"/>
          <w:sz w:val="18"/>
          <w:szCs w:val="18"/>
          <w:lang w:val="en-GB"/>
        </w:rPr>
        <w:tab/>
        <w:t>This table is prepared in accordance with FRD 29 Workforce Data disclosure requirements. It therefore excludes staff who were not on salary at the end of the last pay period of the financial year (which ended 18 June 2022 and 19 June 2021). It also excludes staff who are employed within statutory and nationally funded bodies administered by Victoria Police.</w:t>
      </w:r>
    </w:p>
    <w:p w14:paraId="0085F021" w14:textId="77777777" w:rsidR="00345EE3" w:rsidRPr="00002A55" w:rsidRDefault="00345EE3" w:rsidP="00345EE3">
      <w:pPr>
        <w:widowControl/>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002A55">
        <w:rPr>
          <w:rFonts w:eastAsiaTheme="minorHAnsi"/>
          <w:color w:val="000000"/>
          <w:spacing w:val="-1"/>
          <w:sz w:val="18"/>
          <w:szCs w:val="18"/>
          <w:lang w:val="en-GB"/>
        </w:rPr>
        <w:t>2.</w:t>
      </w:r>
      <w:r w:rsidRPr="00002A55">
        <w:rPr>
          <w:rFonts w:eastAsiaTheme="minorHAnsi"/>
          <w:color w:val="000000"/>
          <w:spacing w:val="-1"/>
          <w:sz w:val="18"/>
          <w:szCs w:val="18"/>
          <w:lang w:val="en-GB"/>
        </w:rPr>
        <w:tab/>
        <w:t>FTE total may not tally due to rounding as the figures have been rounded to the nearest whole number as per FRD 293. Senior VPS Employees includes, FO-7, SMA and SES employees only.</w:t>
      </w:r>
    </w:p>
    <w:p w14:paraId="2D59D5C4" w14:textId="77777777" w:rsidR="00345EE3" w:rsidRPr="00002A55" w:rsidRDefault="00345EE3" w:rsidP="00345EE3">
      <w:pPr>
        <w:widowControl/>
        <w:tabs>
          <w:tab w:val="left" w:pos="227"/>
          <w:tab w:val="left" w:pos="340"/>
        </w:tabs>
        <w:suppressAutoHyphens/>
        <w:adjustRightInd w:val="0"/>
        <w:spacing w:after="113" w:line="160" w:lineRule="atLeast"/>
        <w:textAlignment w:val="center"/>
        <w:rPr>
          <w:rFonts w:eastAsiaTheme="minorHAnsi"/>
          <w:color w:val="000000"/>
          <w:spacing w:val="-1"/>
          <w:sz w:val="18"/>
          <w:szCs w:val="18"/>
          <w:lang w:val="en-GB"/>
        </w:rPr>
      </w:pPr>
      <w:r w:rsidRPr="00002A55">
        <w:rPr>
          <w:rFonts w:eastAsiaTheme="minorHAnsi"/>
          <w:color w:val="000000"/>
          <w:spacing w:val="-1"/>
          <w:sz w:val="18"/>
          <w:szCs w:val="18"/>
          <w:lang w:val="en-GB"/>
        </w:rPr>
        <w:t>3.</w:t>
      </w:r>
      <w:r w:rsidRPr="00002A55">
        <w:rPr>
          <w:rFonts w:eastAsiaTheme="minorHAnsi"/>
          <w:color w:val="000000"/>
          <w:spacing w:val="-1"/>
          <w:sz w:val="18"/>
          <w:szCs w:val="18"/>
          <w:lang w:val="en-GB"/>
        </w:rPr>
        <w:tab/>
        <w:t>These figures will not match data in Table 5.40 due to difference in counting rules. This data in this table is counted using the FRD 29 s.6.1(viii) under exclusions whereby “Employees seconded to another employer and who are not paid their salary by the entity in the relevant pay period” have been excluded. For the 2021-22 financial year one executive falls under this definition and has not been counted under this table. Table 5.40 is counted using the FRD 15 definition whereby an Executive Officer is someone “who is employed as an executive” this includes all employees.</w:t>
      </w:r>
    </w:p>
    <w:p w14:paraId="6A6A8762" w14:textId="77777777" w:rsidR="00345EE3" w:rsidRDefault="00345EE3" w:rsidP="00345EE3">
      <w:pPr>
        <w:rPr>
          <w:sz w:val="14"/>
        </w:rPr>
      </w:pPr>
    </w:p>
    <w:p w14:paraId="13D8B560" w14:textId="77777777" w:rsidR="00345EE3" w:rsidRDefault="00345EE3" w:rsidP="00345EE3">
      <w:pPr>
        <w:rPr>
          <w:sz w:val="14"/>
        </w:rPr>
        <w:sectPr w:rsidR="00345EE3" w:rsidSect="00D73130">
          <w:pgSz w:w="16840" w:h="11910" w:orient="landscape"/>
          <w:pgMar w:top="284" w:right="720" w:bottom="284" w:left="720" w:header="720" w:footer="720" w:gutter="0"/>
          <w:cols w:space="720"/>
          <w:docGrid w:linePitch="299"/>
        </w:sectPr>
      </w:pPr>
    </w:p>
    <w:p w14:paraId="7BB2DBEB" w14:textId="77777777" w:rsidR="00345EE3" w:rsidRDefault="00345EE3" w:rsidP="00345EE3">
      <w:pPr>
        <w:spacing w:before="67"/>
        <w:ind w:left="110"/>
        <w:rPr>
          <w:rFonts w:ascii="Arial-BoldItalicMT" w:hAnsi="Arial-BoldItalicMT"/>
          <w:b/>
          <w:i/>
          <w:sz w:val="18"/>
        </w:rPr>
      </w:pPr>
      <w:r>
        <w:rPr>
          <w:color w:val="231F20"/>
          <w:sz w:val="18"/>
        </w:rPr>
        <w:t>Table</w:t>
      </w:r>
      <w:r>
        <w:rPr>
          <w:color w:val="231F20"/>
          <w:spacing w:val="-5"/>
          <w:sz w:val="18"/>
        </w:rPr>
        <w:t xml:space="preserve"> </w:t>
      </w:r>
      <w:r>
        <w:rPr>
          <w:color w:val="231F20"/>
          <w:sz w:val="18"/>
        </w:rPr>
        <w:t>5.38:</w:t>
      </w:r>
      <w:r>
        <w:rPr>
          <w:color w:val="231F20"/>
          <w:spacing w:val="-4"/>
          <w:sz w:val="18"/>
        </w:rPr>
        <w:t xml:space="preserve"> </w:t>
      </w:r>
      <w:r>
        <w:rPr>
          <w:rFonts w:ascii="Arial-BoldItalicMT" w:hAnsi="Arial-BoldItalicMT"/>
          <w:b/>
          <w:i/>
          <w:color w:val="231F20"/>
          <w:sz w:val="18"/>
        </w:rPr>
        <w:t>Annualised</w:t>
      </w:r>
      <w:r>
        <w:rPr>
          <w:rFonts w:ascii="Arial-BoldItalicMT" w:hAnsi="Arial-BoldItalicMT"/>
          <w:b/>
          <w:i/>
          <w:color w:val="231F20"/>
          <w:spacing w:val="-7"/>
          <w:sz w:val="18"/>
        </w:rPr>
        <w:t xml:space="preserve"> </w:t>
      </w:r>
      <w:r>
        <w:rPr>
          <w:rFonts w:ascii="Arial-BoldItalicMT" w:hAnsi="Arial-BoldItalicMT"/>
          <w:b/>
          <w:i/>
          <w:color w:val="231F20"/>
          <w:sz w:val="18"/>
        </w:rPr>
        <w:t>total</w:t>
      </w:r>
      <w:r>
        <w:rPr>
          <w:rFonts w:ascii="Arial-BoldItalicMT" w:hAnsi="Arial-BoldItalicMT"/>
          <w:b/>
          <w:i/>
          <w:color w:val="231F20"/>
          <w:spacing w:val="-7"/>
          <w:sz w:val="18"/>
        </w:rPr>
        <w:t xml:space="preserve"> </w:t>
      </w:r>
      <w:r>
        <w:rPr>
          <w:rFonts w:ascii="Arial-BoldItalicMT" w:hAnsi="Arial-BoldItalicMT"/>
          <w:b/>
          <w:i/>
          <w:color w:val="231F20"/>
          <w:sz w:val="18"/>
        </w:rPr>
        <w:t>salary,</w:t>
      </w:r>
      <w:r>
        <w:rPr>
          <w:rFonts w:ascii="Arial-BoldItalicMT" w:hAnsi="Arial-BoldItalicMT"/>
          <w:b/>
          <w:i/>
          <w:color w:val="231F20"/>
          <w:spacing w:val="-7"/>
          <w:sz w:val="18"/>
        </w:rPr>
        <w:t xml:space="preserve"> </w:t>
      </w:r>
      <w:r>
        <w:rPr>
          <w:rFonts w:ascii="Arial-BoldItalicMT" w:hAnsi="Arial-BoldItalicMT"/>
          <w:b/>
          <w:i/>
          <w:color w:val="231F20"/>
          <w:sz w:val="18"/>
        </w:rPr>
        <w:t>by</w:t>
      </w:r>
      <w:r>
        <w:rPr>
          <w:rFonts w:ascii="Arial-BoldItalicMT" w:hAnsi="Arial-BoldItalicMT"/>
          <w:b/>
          <w:i/>
          <w:color w:val="231F20"/>
          <w:spacing w:val="-7"/>
          <w:sz w:val="18"/>
        </w:rPr>
        <w:t xml:space="preserve"> </w:t>
      </w:r>
      <w:r>
        <w:rPr>
          <w:rFonts w:ascii="Arial-BoldItalicMT" w:hAnsi="Arial-BoldItalicMT"/>
          <w:b/>
          <w:i/>
          <w:color w:val="231F20"/>
          <w:sz w:val="18"/>
        </w:rPr>
        <w:t>$20,000</w:t>
      </w:r>
      <w:r>
        <w:rPr>
          <w:rFonts w:ascii="Arial-BoldItalicMT" w:hAnsi="Arial-BoldItalicMT"/>
          <w:b/>
          <w:i/>
          <w:color w:val="231F20"/>
          <w:spacing w:val="-8"/>
          <w:sz w:val="18"/>
        </w:rPr>
        <w:t xml:space="preserve"> </w:t>
      </w:r>
      <w:r>
        <w:rPr>
          <w:rFonts w:ascii="Arial-BoldItalicMT" w:hAnsi="Arial-BoldItalicMT"/>
          <w:b/>
          <w:i/>
          <w:color w:val="231F20"/>
          <w:sz w:val="18"/>
        </w:rPr>
        <w:t>bands</w:t>
      </w:r>
      <w:r>
        <w:rPr>
          <w:rFonts w:ascii="Arial-BoldItalicMT" w:hAnsi="Arial-BoldItalicMT"/>
          <w:b/>
          <w:i/>
          <w:color w:val="231F20"/>
          <w:spacing w:val="-7"/>
          <w:sz w:val="18"/>
        </w:rPr>
        <w:t xml:space="preserve"> </w:t>
      </w:r>
      <w:r>
        <w:rPr>
          <w:rFonts w:ascii="Arial-BoldItalicMT" w:hAnsi="Arial-BoldItalicMT"/>
          <w:b/>
          <w:i/>
          <w:color w:val="231F20"/>
          <w:sz w:val="18"/>
        </w:rPr>
        <w:t>for</w:t>
      </w:r>
      <w:r>
        <w:rPr>
          <w:rFonts w:ascii="Arial-BoldItalicMT" w:hAnsi="Arial-BoldItalicMT"/>
          <w:b/>
          <w:i/>
          <w:color w:val="231F20"/>
          <w:spacing w:val="-7"/>
          <w:sz w:val="18"/>
        </w:rPr>
        <w:t xml:space="preserve"> </w:t>
      </w:r>
      <w:r>
        <w:rPr>
          <w:rFonts w:ascii="Arial-BoldItalicMT" w:hAnsi="Arial-BoldItalicMT"/>
          <w:b/>
          <w:i/>
          <w:color w:val="231F20"/>
          <w:sz w:val="18"/>
        </w:rPr>
        <w:t>executives</w:t>
      </w:r>
      <w:r>
        <w:rPr>
          <w:rFonts w:ascii="Arial-BoldItalicMT" w:hAnsi="Arial-BoldItalicMT"/>
          <w:b/>
          <w:i/>
          <w:color w:val="231F20"/>
          <w:spacing w:val="-7"/>
          <w:sz w:val="18"/>
        </w:rPr>
        <w:t xml:space="preserve"> </w:t>
      </w:r>
      <w:r>
        <w:rPr>
          <w:rFonts w:ascii="Arial-BoldItalicMT" w:hAnsi="Arial-BoldItalicMT"/>
          <w:b/>
          <w:i/>
          <w:color w:val="231F20"/>
          <w:sz w:val="18"/>
        </w:rPr>
        <w:t>and</w:t>
      </w:r>
      <w:r>
        <w:rPr>
          <w:rFonts w:ascii="Arial-BoldItalicMT" w:hAnsi="Arial-BoldItalicMT"/>
          <w:b/>
          <w:i/>
          <w:color w:val="231F20"/>
          <w:spacing w:val="-7"/>
          <w:sz w:val="18"/>
        </w:rPr>
        <w:t xml:space="preserve"> </w:t>
      </w:r>
      <w:r>
        <w:rPr>
          <w:rFonts w:ascii="Arial-BoldItalicMT" w:hAnsi="Arial-BoldItalicMT"/>
          <w:b/>
          <w:i/>
          <w:color w:val="231F20"/>
          <w:sz w:val="18"/>
        </w:rPr>
        <w:t>other</w:t>
      </w:r>
      <w:r>
        <w:rPr>
          <w:rFonts w:ascii="Arial-BoldItalicMT" w:hAnsi="Arial-BoldItalicMT"/>
          <w:b/>
          <w:i/>
          <w:color w:val="231F20"/>
          <w:spacing w:val="-7"/>
          <w:sz w:val="18"/>
        </w:rPr>
        <w:t xml:space="preserve"> </w:t>
      </w:r>
      <w:r>
        <w:rPr>
          <w:rFonts w:ascii="Arial-BoldItalicMT" w:hAnsi="Arial-BoldItalicMT"/>
          <w:b/>
          <w:i/>
          <w:color w:val="231F20"/>
          <w:sz w:val="18"/>
        </w:rPr>
        <w:t>senior</w:t>
      </w:r>
      <w:r>
        <w:rPr>
          <w:rFonts w:ascii="Arial-BoldItalicMT" w:hAnsi="Arial-BoldItalicMT"/>
          <w:b/>
          <w:i/>
          <w:color w:val="231F20"/>
          <w:spacing w:val="-7"/>
          <w:sz w:val="18"/>
        </w:rPr>
        <w:t xml:space="preserve"> </w:t>
      </w:r>
      <w:r>
        <w:rPr>
          <w:rFonts w:ascii="Arial-BoldItalicMT" w:hAnsi="Arial-BoldItalicMT"/>
          <w:b/>
          <w:i/>
          <w:color w:val="231F20"/>
          <w:sz w:val="18"/>
        </w:rPr>
        <w:t>non-executive</w:t>
      </w:r>
      <w:r>
        <w:rPr>
          <w:rFonts w:ascii="Arial-BoldItalicMT" w:hAnsi="Arial-BoldItalicMT"/>
          <w:b/>
          <w:i/>
          <w:color w:val="231F20"/>
          <w:spacing w:val="-7"/>
          <w:sz w:val="18"/>
        </w:rPr>
        <w:t xml:space="preserve"> </w:t>
      </w:r>
      <w:r>
        <w:rPr>
          <w:rFonts w:ascii="Arial-BoldItalicMT" w:hAnsi="Arial-BoldItalicMT"/>
          <w:b/>
          <w:i/>
          <w:color w:val="231F20"/>
          <w:sz w:val="18"/>
        </w:rPr>
        <w:t>staff</w:t>
      </w:r>
      <w:r>
        <w:rPr>
          <w:rFonts w:ascii="Arial-BoldItalicMT" w:hAnsi="Arial-BoldItalicMT"/>
          <w:b/>
          <w:i/>
          <w:color w:val="231F20"/>
          <w:spacing w:val="-7"/>
          <w:sz w:val="18"/>
        </w:rPr>
        <w:t xml:space="preserve"> </w:t>
      </w:r>
      <w:r>
        <w:rPr>
          <w:rFonts w:ascii="Arial-BoldItalicMT" w:hAnsi="Arial-BoldItalicMT"/>
          <w:b/>
          <w:i/>
          <w:color w:val="231F20"/>
          <w:sz w:val="18"/>
        </w:rPr>
        <w:t>in</w:t>
      </w:r>
      <w:r>
        <w:rPr>
          <w:rFonts w:ascii="Arial-BoldItalicMT" w:hAnsi="Arial-BoldItalicMT"/>
          <w:b/>
          <w:i/>
          <w:color w:val="231F20"/>
          <w:spacing w:val="-7"/>
          <w:sz w:val="18"/>
        </w:rPr>
        <w:t xml:space="preserve"> </w:t>
      </w:r>
      <w:r>
        <w:rPr>
          <w:rFonts w:ascii="Arial-BoldItalicMT" w:hAnsi="Arial-BoldItalicMT"/>
          <w:b/>
          <w:i/>
          <w:color w:val="231F20"/>
          <w:spacing w:val="-2"/>
          <w:sz w:val="18"/>
        </w:rPr>
        <w:t>2021–22</w:t>
      </w:r>
    </w:p>
    <w:p w14:paraId="17ABC17B"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891"/>
        <w:gridCol w:w="1360"/>
        <w:gridCol w:w="1190"/>
        <w:gridCol w:w="1190"/>
        <w:gridCol w:w="1190"/>
        <w:gridCol w:w="1190"/>
        <w:gridCol w:w="1190"/>
      </w:tblGrid>
      <w:tr w:rsidR="00345EE3" w14:paraId="6FBD28E9" w14:textId="77777777" w:rsidTr="00D73130">
        <w:trPr>
          <w:trHeight w:val="401"/>
        </w:trPr>
        <w:tc>
          <w:tcPr>
            <w:tcW w:w="2891" w:type="dxa"/>
            <w:tcBorders>
              <w:top w:val="nil"/>
              <w:left w:val="nil"/>
              <w:bottom w:val="nil"/>
              <w:right w:val="nil"/>
            </w:tcBorders>
            <w:shd w:val="clear" w:color="auto" w:fill="00529F"/>
          </w:tcPr>
          <w:p w14:paraId="332A4FF2" w14:textId="77777777" w:rsidR="00345EE3" w:rsidRDefault="00345EE3" w:rsidP="00D73130">
            <w:pPr>
              <w:pStyle w:val="TableParagraph"/>
              <w:spacing w:before="63"/>
              <w:ind w:left="-1"/>
              <w:jc w:val="left"/>
              <w:rPr>
                <w:b/>
                <w:sz w:val="24"/>
              </w:rPr>
            </w:pPr>
            <w:r>
              <w:rPr>
                <w:b/>
                <w:color w:val="FFFFFF"/>
                <w:sz w:val="24"/>
              </w:rPr>
              <w:t>Income</w:t>
            </w:r>
            <w:r>
              <w:rPr>
                <w:b/>
                <w:color w:val="FFFFFF"/>
                <w:spacing w:val="-1"/>
                <w:sz w:val="24"/>
              </w:rPr>
              <w:t xml:space="preserve"> </w:t>
            </w:r>
            <w:r>
              <w:rPr>
                <w:b/>
                <w:color w:val="FFFFFF"/>
                <w:sz w:val="24"/>
              </w:rPr>
              <w:t xml:space="preserve">band </w:t>
            </w:r>
            <w:r>
              <w:rPr>
                <w:b/>
                <w:color w:val="FFFFFF"/>
                <w:spacing w:val="-2"/>
                <w:sz w:val="24"/>
              </w:rPr>
              <w:t>(salary)</w:t>
            </w:r>
          </w:p>
        </w:tc>
        <w:tc>
          <w:tcPr>
            <w:tcW w:w="1360" w:type="dxa"/>
            <w:tcBorders>
              <w:top w:val="nil"/>
              <w:left w:val="nil"/>
              <w:bottom w:val="nil"/>
              <w:right w:val="nil"/>
            </w:tcBorders>
            <w:shd w:val="clear" w:color="auto" w:fill="00529F"/>
          </w:tcPr>
          <w:p w14:paraId="7949BC98" w14:textId="77777777" w:rsidR="00345EE3" w:rsidRDefault="00345EE3" w:rsidP="00D73130">
            <w:pPr>
              <w:pStyle w:val="TableParagraph"/>
              <w:spacing w:before="63"/>
              <w:ind w:right="1"/>
              <w:rPr>
                <w:b/>
                <w:sz w:val="24"/>
              </w:rPr>
            </w:pPr>
            <w:r>
              <w:rPr>
                <w:b/>
                <w:color w:val="FFFFFF"/>
                <w:spacing w:val="-2"/>
                <w:sz w:val="24"/>
              </w:rPr>
              <w:t>Executives</w:t>
            </w:r>
          </w:p>
        </w:tc>
        <w:tc>
          <w:tcPr>
            <w:tcW w:w="1190" w:type="dxa"/>
            <w:tcBorders>
              <w:top w:val="nil"/>
              <w:left w:val="nil"/>
              <w:bottom w:val="nil"/>
              <w:right w:val="nil"/>
            </w:tcBorders>
            <w:shd w:val="clear" w:color="auto" w:fill="00529F"/>
          </w:tcPr>
          <w:p w14:paraId="1CD51094" w14:textId="77777777" w:rsidR="00345EE3" w:rsidRDefault="00345EE3" w:rsidP="00D73130">
            <w:pPr>
              <w:pStyle w:val="TableParagraph"/>
              <w:spacing w:before="63"/>
              <w:ind w:right="1"/>
              <w:rPr>
                <w:b/>
                <w:sz w:val="24"/>
              </w:rPr>
            </w:pPr>
            <w:r>
              <w:rPr>
                <w:b/>
                <w:color w:val="FFFFFF"/>
                <w:spacing w:val="-5"/>
                <w:sz w:val="24"/>
              </w:rPr>
              <w:t>STS</w:t>
            </w:r>
          </w:p>
        </w:tc>
        <w:tc>
          <w:tcPr>
            <w:tcW w:w="1190" w:type="dxa"/>
            <w:tcBorders>
              <w:top w:val="nil"/>
              <w:left w:val="nil"/>
              <w:bottom w:val="nil"/>
              <w:right w:val="nil"/>
            </w:tcBorders>
            <w:shd w:val="clear" w:color="auto" w:fill="00529F"/>
          </w:tcPr>
          <w:p w14:paraId="34E9ACE6" w14:textId="77777777" w:rsidR="00345EE3" w:rsidRDefault="00345EE3" w:rsidP="00D73130">
            <w:pPr>
              <w:pStyle w:val="TableParagraph"/>
              <w:spacing w:before="63"/>
              <w:rPr>
                <w:b/>
                <w:sz w:val="24"/>
              </w:rPr>
            </w:pPr>
            <w:r>
              <w:rPr>
                <w:b/>
                <w:color w:val="FFFFFF"/>
                <w:spacing w:val="-5"/>
                <w:sz w:val="24"/>
              </w:rPr>
              <w:t>PS</w:t>
            </w:r>
          </w:p>
        </w:tc>
        <w:tc>
          <w:tcPr>
            <w:tcW w:w="1190" w:type="dxa"/>
            <w:tcBorders>
              <w:top w:val="nil"/>
              <w:left w:val="nil"/>
              <w:bottom w:val="nil"/>
              <w:right w:val="nil"/>
            </w:tcBorders>
            <w:shd w:val="clear" w:color="auto" w:fill="00529F"/>
          </w:tcPr>
          <w:p w14:paraId="039AB0B3" w14:textId="77777777" w:rsidR="00345EE3" w:rsidRDefault="00345EE3" w:rsidP="00D73130">
            <w:pPr>
              <w:pStyle w:val="TableParagraph"/>
              <w:spacing w:before="63"/>
              <w:ind w:right="-15"/>
              <w:rPr>
                <w:b/>
                <w:sz w:val="24"/>
              </w:rPr>
            </w:pPr>
            <w:r>
              <w:rPr>
                <w:b/>
                <w:color w:val="FFFFFF"/>
                <w:spacing w:val="-5"/>
                <w:sz w:val="24"/>
              </w:rPr>
              <w:t>SMA</w:t>
            </w:r>
          </w:p>
        </w:tc>
        <w:tc>
          <w:tcPr>
            <w:tcW w:w="1190" w:type="dxa"/>
            <w:tcBorders>
              <w:top w:val="nil"/>
              <w:left w:val="nil"/>
              <w:bottom w:val="nil"/>
              <w:right w:val="nil"/>
            </w:tcBorders>
            <w:shd w:val="clear" w:color="auto" w:fill="00529F"/>
          </w:tcPr>
          <w:p w14:paraId="60797EE5" w14:textId="77777777" w:rsidR="00345EE3" w:rsidRDefault="00345EE3" w:rsidP="00D73130">
            <w:pPr>
              <w:pStyle w:val="TableParagraph"/>
              <w:spacing w:before="63"/>
              <w:ind w:right="-15"/>
              <w:rPr>
                <w:b/>
                <w:sz w:val="24"/>
              </w:rPr>
            </w:pPr>
            <w:r>
              <w:rPr>
                <w:b/>
                <w:color w:val="FFFFFF"/>
                <w:spacing w:val="-5"/>
                <w:sz w:val="24"/>
              </w:rPr>
              <w:t>SRA</w:t>
            </w:r>
          </w:p>
        </w:tc>
        <w:tc>
          <w:tcPr>
            <w:tcW w:w="1190" w:type="dxa"/>
            <w:tcBorders>
              <w:top w:val="nil"/>
              <w:left w:val="nil"/>
              <w:bottom w:val="nil"/>
              <w:right w:val="nil"/>
            </w:tcBorders>
            <w:shd w:val="clear" w:color="auto" w:fill="00529F"/>
          </w:tcPr>
          <w:p w14:paraId="3005F60D" w14:textId="77777777" w:rsidR="00345EE3" w:rsidRDefault="00345EE3" w:rsidP="00D73130">
            <w:pPr>
              <w:pStyle w:val="TableParagraph"/>
              <w:spacing w:before="63"/>
              <w:ind w:right="-15"/>
              <w:rPr>
                <w:b/>
                <w:sz w:val="24"/>
              </w:rPr>
            </w:pPr>
            <w:r>
              <w:rPr>
                <w:b/>
                <w:color w:val="FFFFFF"/>
                <w:spacing w:val="-2"/>
                <w:sz w:val="24"/>
              </w:rPr>
              <w:t>Other</w:t>
            </w:r>
          </w:p>
        </w:tc>
      </w:tr>
      <w:tr w:rsidR="00345EE3" w14:paraId="7403294D" w14:textId="77777777" w:rsidTr="00D73130">
        <w:trPr>
          <w:trHeight w:val="396"/>
        </w:trPr>
        <w:tc>
          <w:tcPr>
            <w:tcW w:w="2891" w:type="dxa"/>
            <w:tcBorders>
              <w:top w:val="nil"/>
              <w:left w:val="nil"/>
            </w:tcBorders>
          </w:tcPr>
          <w:p w14:paraId="46D76AD4" w14:textId="77777777" w:rsidR="00345EE3" w:rsidRDefault="00345EE3" w:rsidP="00D73130">
            <w:pPr>
              <w:pStyle w:val="TableParagraph"/>
              <w:ind w:left="-3"/>
              <w:jc w:val="left"/>
              <w:rPr>
                <w:sz w:val="24"/>
              </w:rPr>
            </w:pPr>
            <w:r>
              <w:rPr>
                <w:color w:val="231F20"/>
                <w:sz w:val="24"/>
              </w:rPr>
              <w:t>&lt;</w:t>
            </w:r>
            <w:r>
              <w:rPr>
                <w:color w:val="231F20"/>
                <w:spacing w:val="-2"/>
                <w:sz w:val="24"/>
              </w:rPr>
              <w:t xml:space="preserve"> </w:t>
            </w:r>
            <w:r>
              <w:rPr>
                <w:color w:val="231F20"/>
                <w:sz w:val="24"/>
              </w:rPr>
              <w:t>$160</w:t>
            </w:r>
            <w:r>
              <w:rPr>
                <w:color w:val="231F20"/>
                <w:spacing w:val="-2"/>
                <w:sz w:val="24"/>
              </w:rPr>
              <w:t xml:space="preserve"> </w:t>
            </w:r>
            <w:r>
              <w:rPr>
                <w:color w:val="231F20"/>
                <w:spacing w:val="-5"/>
                <w:sz w:val="24"/>
              </w:rPr>
              <w:t>000</w:t>
            </w:r>
          </w:p>
        </w:tc>
        <w:tc>
          <w:tcPr>
            <w:tcW w:w="1360" w:type="dxa"/>
            <w:tcBorders>
              <w:top w:val="nil"/>
            </w:tcBorders>
          </w:tcPr>
          <w:p w14:paraId="512A2E57" w14:textId="77777777" w:rsidR="00345EE3" w:rsidRDefault="00345EE3" w:rsidP="00D73130">
            <w:pPr>
              <w:pStyle w:val="TableParagraph"/>
              <w:ind w:right="-15"/>
              <w:rPr>
                <w:sz w:val="24"/>
              </w:rPr>
            </w:pPr>
            <w:r>
              <w:rPr>
                <w:color w:val="231F20"/>
                <w:sz w:val="24"/>
              </w:rPr>
              <w:t>0</w:t>
            </w:r>
          </w:p>
        </w:tc>
        <w:tc>
          <w:tcPr>
            <w:tcW w:w="1190" w:type="dxa"/>
            <w:tcBorders>
              <w:top w:val="nil"/>
            </w:tcBorders>
          </w:tcPr>
          <w:p w14:paraId="5A40ABF3" w14:textId="77777777" w:rsidR="00345EE3" w:rsidRDefault="00345EE3" w:rsidP="00D73130">
            <w:pPr>
              <w:pStyle w:val="TableParagraph"/>
              <w:ind w:right="-15"/>
              <w:rPr>
                <w:sz w:val="24"/>
              </w:rPr>
            </w:pPr>
            <w:r>
              <w:rPr>
                <w:color w:val="231F20"/>
                <w:sz w:val="24"/>
              </w:rPr>
              <w:t>3</w:t>
            </w:r>
          </w:p>
        </w:tc>
        <w:tc>
          <w:tcPr>
            <w:tcW w:w="1190" w:type="dxa"/>
            <w:tcBorders>
              <w:top w:val="nil"/>
            </w:tcBorders>
          </w:tcPr>
          <w:p w14:paraId="7E117C24" w14:textId="77777777" w:rsidR="00345EE3" w:rsidRDefault="00345EE3" w:rsidP="00D73130">
            <w:pPr>
              <w:pStyle w:val="TableParagraph"/>
              <w:ind w:right="-15"/>
              <w:rPr>
                <w:sz w:val="24"/>
              </w:rPr>
            </w:pPr>
            <w:r>
              <w:rPr>
                <w:color w:val="231F20"/>
                <w:sz w:val="24"/>
              </w:rPr>
              <w:t>0</w:t>
            </w:r>
          </w:p>
        </w:tc>
        <w:tc>
          <w:tcPr>
            <w:tcW w:w="1190" w:type="dxa"/>
            <w:tcBorders>
              <w:top w:val="nil"/>
            </w:tcBorders>
          </w:tcPr>
          <w:p w14:paraId="7FD45C5F" w14:textId="77777777" w:rsidR="00345EE3" w:rsidRDefault="00345EE3" w:rsidP="00D73130">
            <w:pPr>
              <w:pStyle w:val="TableParagraph"/>
              <w:ind w:right="-15"/>
              <w:rPr>
                <w:sz w:val="24"/>
              </w:rPr>
            </w:pPr>
            <w:r>
              <w:rPr>
                <w:color w:val="231F20"/>
                <w:sz w:val="24"/>
              </w:rPr>
              <w:t>4</w:t>
            </w:r>
          </w:p>
        </w:tc>
        <w:tc>
          <w:tcPr>
            <w:tcW w:w="1190" w:type="dxa"/>
            <w:tcBorders>
              <w:top w:val="nil"/>
              <w:right w:val="dashed" w:sz="2" w:space="0" w:color="939598"/>
            </w:tcBorders>
          </w:tcPr>
          <w:p w14:paraId="10E8ACEA" w14:textId="77777777" w:rsidR="00345EE3" w:rsidRDefault="00345EE3" w:rsidP="00D73130">
            <w:pPr>
              <w:pStyle w:val="TableParagraph"/>
              <w:ind w:right="-15"/>
              <w:rPr>
                <w:sz w:val="24"/>
              </w:rPr>
            </w:pPr>
            <w:r>
              <w:rPr>
                <w:color w:val="231F20"/>
                <w:sz w:val="24"/>
              </w:rPr>
              <w:t>0</w:t>
            </w:r>
          </w:p>
        </w:tc>
        <w:tc>
          <w:tcPr>
            <w:tcW w:w="1190" w:type="dxa"/>
            <w:tcBorders>
              <w:top w:val="nil"/>
              <w:left w:val="dashed" w:sz="2" w:space="0" w:color="939598"/>
              <w:right w:val="nil"/>
            </w:tcBorders>
          </w:tcPr>
          <w:p w14:paraId="493E3EFC" w14:textId="77777777" w:rsidR="00345EE3" w:rsidRDefault="00345EE3" w:rsidP="00D73130">
            <w:pPr>
              <w:pStyle w:val="TableParagraph"/>
              <w:ind w:right="-15"/>
              <w:rPr>
                <w:sz w:val="24"/>
              </w:rPr>
            </w:pPr>
            <w:r>
              <w:rPr>
                <w:color w:val="231F20"/>
                <w:sz w:val="24"/>
              </w:rPr>
              <w:t>0</w:t>
            </w:r>
          </w:p>
        </w:tc>
      </w:tr>
      <w:tr w:rsidR="00345EE3" w14:paraId="30970BA7" w14:textId="77777777" w:rsidTr="00D73130">
        <w:trPr>
          <w:trHeight w:val="396"/>
        </w:trPr>
        <w:tc>
          <w:tcPr>
            <w:tcW w:w="2891" w:type="dxa"/>
            <w:tcBorders>
              <w:left w:val="nil"/>
            </w:tcBorders>
          </w:tcPr>
          <w:p w14:paraId="3854746C" w14:textId="77777777" w:rsidR="00345EE3" w:rsidRDefault="00345EE3" w:rsidP="00D73130">
            <w:pPr>
              <w:pStyle w:val="TableParagraph"/>
              <w:ind w:left="-3"/>
              <w:jc w:val="left"/>
              <w:rPr>
                <w:sz w:val="24"/>
              </w:rPr>
            </w:pPr>
            <w:r>
              <w:rPr>
                <w:color w:val="231F20"/>
                <w:sz w:val="24"/>
              </w:rPr>
              <w:t>$160,000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$179,999</w:t>
            </w:r>
          </w:p>
        </w:tc>
        <w:tc>
          <w:tcPr>
            <w:tcW w:w="1360" w:type="dxa"/>
          </w:tcPr>
          <w:p w14:paraId="1B031A0B" w14:textId="77777777" w:rsidR="00345EE3" w:rsidRDefault="00345EE3" w:rsidP="00D73130">
            <w:pPr>
              <w:pStyle w:val="TableParagraph"/>
              <w:ind w:right="-15"/>
              <w:rPr>
                <w:sz w:val="24"/>
              </w:rPr>
            </w:pPr>
            <w:r>
              <w:rPr>
                <w:color w:val="231F20"/>
                <w:sz w:val="24"/>
              </w:rPr>
              <w:t>0</w:t>
            </w:r>
          </w:p>
        </w:tc>
        <w:tc>
          <w:tcPr>
            <w:tcW w:w="1190" w:type="dxa"/>
          </w:tcPr>
          <w:p w14:paraId="610AE46C" w14:textId="77777777" w:rsidR="00345EE3" w:rsidRDefault="00345EE3" w:rsidP="00D73130">
            <w:pPr>
              <w:pStyle w:val="TableParagraph"/>
              <w:ind w:right="-15"/>
              <w:rPr>
                <w:sz w:val="24"/>
              </w:rPr>
            </w:pPr>
            <w:r>
              <w:rPr>
                <w:color w:val="231F20"/>
                <w:sz w:val="24"/>
              </w:rPr>
              <w:t>1</w:t>
            </w:r>
          </w:p>
        </w:tc>
        <w:tc>
          <w:tcPr>
            <w:tcW w:w="1190" w:type="dxa"/>
          </w:tcPr>
          <w:p w14:paraId="79E9E78F" w14:textId="77777777" w:rsidR="00345EE3" w:rsidRDefault="00345EE3" w:rsidP="00D73130">
            <w:pPr>
              <w:pStyle w:val="TableParagraph"/>
              <w:ind w:right="-15"/>
              <w:rPr>
                <w:sz w:val="24"/>
              </w:rPr>
            </w:pPr>
            <w:r>
              <w:rPr>
                <w:color w:val="231F20"/>
                <w:sz w:val="24"/>
              </w:rPr>
              <w:t>0</w:t>
            </w:r>
          </w:p>
        </w:tc>
        <w:tc>
          <w:tcPr>
            <w:tcW w:w="1190" w:type="dxa"/>
          </w:tcPr>
          <w:p w14:paraId="1D656179"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555910A2"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54E00119" w14:textId="77777777" w:rsidR="00345EE3" w:rsidRDefault="00345EE3" w:rsidP="00D73130">
            <w:pPr>
              <w:pStyle w:val="TableParagraph"/>
              <w:ind w:right="-15"/>
              <w:rPr>
                <w:sz w:val="24"/>
              </w:rPr>
            </w:pPr>
            <w:r>
              <w:rPr>
                <w:color w:val="231F20"/>
                <w:sz w:val="24"/>
              </w:rPr>
              <w:t>0</w:t>
            </w:r>
          </w:p>
        </w:tc>
      </w:tr>
      <w:tr w:rsidR="00345EE3" w14:paraId="16048DF5" w14:textId="77777777" w:rsidTr="00D73130">
        <w:trPr>
          <w:trHeight w:val="396"/>
        </w:trPr>
        <w:tc>
          <w:tcPr>
            <w:tcW w:w="2891" w:type="dxa"/>
            <w:tcBorders>
              <w:left w:val="nil"/>
            </w:tcBorders>
          </w:tcPr>
          <w:p w14:paraId="2DA6CAE7" w14:textId="77777777" w:rsidR="00345EE3" w:rsidRDefault="00345EE3" w:rsidP="00D73130">
            <w:pPr>
              <w:pStyle w:val="TableParagraph"/>
              <w:ind w:left="-3"/>
              <w:jc w:val="left"/>
              <w:rPr>
                <w:sz w:val="24"/>
              </w:rPr>
            </w:pPr>
            <w:r>
              <w:rPr>
                <w:color w:val="231F20"/>
                <w:sz w:val="24"/>
              </w:rPr>
              <w:t>$180,000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$199,999</w:t>
            </w:r>
          </w:p>
        </w:tc>
        <w:tc>
          <w:tcPr>
            <w:tcW w:w="1360" w:type="dxa"/>
          </w:tcPr>
          <w:p w14:paraId="72C2D376" w14:textId="77777777" w:rsidR="00345EE3" w:rsidRDefault="00345EE3" w:rsidP="00D73130">
            <w:pPr>
              <w:pStyle w:val="TableParagraph"/>
              <w:ind w:right="1"/>
              <w:rPr>
                <w:sz w:val="24"/>
              </w:rPr>
            </w:pPr>
            <w:r>
              <w:rPr>
                <w:color w:val="231F20"/>
                <w:spacing w:val="-5"/>
                <w:sz w:val="24"/>
              </w:rPr>
              <w:t>10</w:t>
            </w:r>
          </w:p>
        </w:tc>
        <w:tc>
          <w:tcPr>
            <w:tcW w:w="1190" w:type="dxa"/>
          </w:tcPr>
          <w:p w14:paraId="37374403" w14:textId="77777777" w:rsidR="00345EE3" w:rsidRDefault="00345EE3" w:rsidP="00D73130">
            <w:pPr>
              <w:pStyle w:val="TableParagraph"/>
              <w:ind w:right="-15"/>
              <w:rPr>
                <w:sz w:val="24"/>
              </w:rPr>
            </w:pPr>
            <w:r>
              <w:rPr>
                <w:color w:val="231F20"/>
                <w:sz w:val="24"/>
              </w:rPr>
              <w:t>3</w:t>
            </w:r>
          </w:p>
        </w:tc>
        <w:tc>
          <w:tcPr>
            <w:tcW w:w="1190" w:type="dxa"/>
          </w:tcPr>
          <w:p w14:paraId="5E390187" w14:textId="77777777" w:rsidR="00345EE3" w:rsidRDefault="00345EE3" w:rsidP="00D73130">
            <w:pPr>
              <w:pStyle w:val="TableParagraph"/>
              <w:ind w:right="-15"/>
              <w:rPr>
                <w:sz w:val="24"/>
              </w:rPr>
            </w:pPr>
            <w:r>
              <w:rPr>
                <w:color w:val="231F20"/>
                <w:sz w:val="24"/>
              </w:rPr>
              <w:t>0</w:t>
            </w:r>
          </w:p>
        </w:tc>
        <w:tc>
          <w:tcPr>
            <w:tcW w:w="1190" w:type="dxa"/>
          </w:tcPr>
          <w:p w14:paraId="4BFC7B19"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300B4CDE"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3C90B1DF" w14:textId="77777777" w:rsidR="00345EE3" w:rsidRDefault="00345EE3" w:rsidP="00D73130">
            <w:pPr>
              <w:pStyle w:val="TableParagraph"/>
              <w:ind w:right="-15"/>
              <w:rPr>
                <w:sz w:val="24"/>
              </w:rPr>
            </w:pPr>
            <w:r>
              <w:rPr>
                <w:color w:val="231F20"/>
                <w:sz w:val="24"/>
              </w:rPr>
              <w:t>0</w:t>
            </w:r>
          </w:p>
        </w:tc>
      </w:tr>
      <w:tr w:rsidR="00345EE3" w14:paraId="49E5C10A" w14:textId="77777777" w:rsidTr="00D73130">
        <w:trPr>
          <w:trHeight w:val="396"/>
        </w:trPr>
        <w:tc>
          <w:tcPr>
            <w:tcW w:w="2891" w:type="dxa"/>
            <w:tcBorders>
              <w:left w:val="nil"/>
            </w:tcBorders>
          </w:tcPr>
          <w:p w14:paraId="47C6B098" w14:textId="77777777" w:rsidR="00345EE3" w:rsidRDefault="00345EE3" w:rsidP="00D73130">
            <w:pPr>
              <w:pStyle w:val="TableParagraph"/>
              <w:ind w:left="-3"/>
              <w:jc w:val="left"/>
              <w:rPr>
                <w:sz w:val="24"/>
              </w:rPr>
            </w:pPr>
            <w:r>
              <w:rPr>
                <w:color w:val="231F20"/>
                <w:sz w:val="24"/>
              </w:rPr>
              <w:t>$200,000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$219,999</w:t>
            </w:r>
          </w:p>
        </w:tc>
        <w:tc>
          <w:tcPr>
            <w:tcW w:w="1360" w:type="dxa"/>
          </w:tcPr>
          <w:p w14:paraId="2C7180BA" w14:textId="77777777" w:rsidR="00345EE3" w:rsidRDefault="00345EE3" w:rsidP="00D73130">
            <w:pPr>
              <w:pStyle w:val="TableParagraph"/>
              <w:ind w:right="-15"/>
              <w:rPr>
                <w:sz w:val="24"/>
              </w:rPr>
            </w:pPr>
            <w:r>
              <w:rPr>
                <w:color w:val="231F20"/>
                <w:sz w:val="24"/>
              </w:rPr>
              <w:t>8</w:t>
            </w:r>
          </w:p>
        </w:tc>
        <w:tc>
          <w:tcPr>
            <w:tcW w:w="1190" w:type="dxa"/>
          </w:tcPr>
          <w:p w14:paraId="19641A51" w14:textId="77777777" w:rsidR="00345EE3" w:rsidRDefault="00345EE3" w:rsidP="00D73130">
            <w:pPr>
              <w:pStyle w:val="TableParagraph"/>
              <w:ind w:right="-15"/>
              <w:rPr>
                <w:sz w:val="24"/>
              </w:rPr>
            </w:pPr>
            <w:r>
              <w:rPr>
                <w:color w:val="231F20"/>
                <w:sz w:val="24"/>
              </w:rPr>
              <w:t>5</w:t>
            </w:r>
          </w:p>
        </w:tc>
        <w:tc>
          <w:tcPr>
            <w:tcW w:w="1190" w:type="dxa"/>
          </w:tcPr>
          <w:p w14:paraId="3052587D" w14:textId="77777777" w:rsidR="00345EE3" w:rsidRDefault="00345EE3" w:rsidP="00D73130">
            <w:pPr>
              <w:pStyle w:val="TableParagraph"/>
              <w:ind w:right="-15"/>
              <w:rPr>
                <w:sz w:val="24"/>
              </w:rPr>
            </w:pPr>
            <w:r>
              <w:rPr>
                <w:color w:val="231F20"/>
                <w:sz w:val="24"/>
              </w:rPr>
              <w:t>0</w:t>
            </w:r>
          </w:p>
        </w:tc>
        <w:tc>
          <w:tcPr>
            <w:tcW w:w="1190" w:type="dxa"/>
          </w:tcPr>
          <w:p w14:paraId="62197CB0" w14:textId="77777777" w:rsidR="00345EE3" w:rsidRDefault="00345EE3" w:rsidP="00D73130">
            <w:pPr>
              <w:pStyle w:val="TableParagraph"/>
              <w:ind w:right="-15"/>
              <w:rPr>
                <w:sz w:val="24"/>
              </w:rPr>
            </w:pPr>
            <w:r>
              <w:rPr>
                <w:color w:val="231F20"/>
                <w:sz w:val="24"/>
              </w:rPr>
              <w:t>1</w:t>
            </w:r>
          </w:p>
        </w:tc>
        <w:tc>
          <w:tcPr>
            <w:tcW w:w="1190" w:type="dxa"/>
            <w:tcBorders>
              <w:right w:val="dashed" w:sz="2" w:space="0" w:color="939598"/>
            </w:tcBorders>
          </w:tcPr>
          <w:p w14:paraId="06D15E82"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29234A4A" w14:textId="77777777" w:rsidR="00345EE3" w:rsidRDefault="00345EE3" w:rsidP="00D73130">
            <w:pPr>
              <w:pStyle w:val="TableParagraph"/>
              <w:ind w:right="-15"/>
              <w:rPr>
                <w:sz w:val="24"/>
              </w:rPr>
            </w:pPr>
            <w:r>
              <w:rPr>
                <w:color w:val="231F20"/>
                <w:sz w:val="24"/>
              </w:rPr>
              <w:t>0</w:t>
            </w:r>
          </w:p>
        </w:tc>
      </w:tr>
      <w:tr w:rsidR="00345EE3" w14:paraId="050DA17E" w14:textId="77777777" w:rsidTr="00D73130">
        <w:trPr>
          <w:trHeight w:val="396"/>
        </w:trPr>
        <w:tc>
          <w:tcPr>
            <w:tcW w:w="2891" w:type="dxa"/>
            <w:tcBorders>
              <w:left w:val="nil"/>
            </w:tcBorders>
          </w:tcPr>
          <w:p w14:paraId="0E2B7367" w14:textId="77777777" w:rsidR="00345EE3" w:rsidRDefault="00345EE3" w:rsidP="00D73130">
            <w:pPr>
              <w:pStyle w:val="TableParagraph"/>
              <w:ind w:left="-2"/>
              <w:jc w:val="left"/>
              <w:rPr>
                <w:sz w:val="24"/>
              </w:rPr>
            </w:pPr>
            <w:r>
              <w:rPr>
                <w:color w:val="231F20"/>
                <w:sz w:val="24"/>
              </w:rPr>
              <w:t>$220,000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$239,999</w:t>
            </w:r>
          </w:p>
        </w:tc>
        <w:tc>
          <w:tcPr>
            <w:tcW w:w="1360" w:type="dxa"/>
          </w:tcPr>
          <w:p w14:paraId="33F6F6EF" w14:textId="77777777" w:rsidR="00345EE3" w:rsidRDefault="00345EE3" w:rsidP="00D73130">
            <w:pPr>
              <w:pStyle w:val="TableParagraph"/>
              <w:ind w:right="-15"/>
              <w:rPr>
                <w:sz w:val="24"/>
              </w:rPr>
            </w:pPr>
            <w:r>
              <w:rPr>
                <w:color w:val="231F20"/>
                <w:sz w:val="24"/>
              </w:rPr>
              <w:t>4</w:t>
            </w:r>
          </w:p>
        </w:tc>
        <w:tc>
          <w:tcPr>
            <w:tcW w:w="1190" w:type="dxa"/>
          </w:tcPr>
          <w:p w14:paraId="246BF15D" w14:textId="77777777" w:rsidR="00345EE3" w:rsidRDefault="00345EE3" w:rsidP="00D73130">
            <w:pPr>
              <w:pStyle w:val="TableParagraph"/>
              <w:ind w:right="-15"/>
              <w:rPr>
                <w:sz w:val="24"/>
              </w:rPr>
            </w:pPr>
            <w:r>
              <w:rPr>
                <w:color w:val="231F20"/>
                <w:sz w:val="24"/>
              </w:rPr>
              <w:t>5</w:t>
            </w:r>
          </w:p>
        </w:tc>
        <w:tc>
          <w:tcPr>
            <w:tcW w:w="1190" w:type="dxa"/>
          </w:tcPr>
          <w:p w14:paraId="5C173BA6" w14:textId="77777777" w:rsidR="00345EE3" w:rsidRDefault="00345EE3" w:rsidP="00D73130">
            <w:pPr>
              <w:pStyle w:val="TableParagraph"/>
              <w:ind w:right="-15"/>
              <w:rPr>
                <w:sz w:val="24"/>
              </w:rPr>
            </w:pPr>
            <w:r>
              <w:rPr>
                <w:color w:val="231F20"/>
                <w:sz w:val="24"/>
              </w:rPr>
              <w:t>0</w:t>
            </w:r>
          </w:p>
        </w:tc>
        <w:tc>
          <w:tcPr>
            <w:tcW w:w="1190" w:type="dxa"/>
          </w:tcPr>
          <w:p w14:paraId="0258385C"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0D76C7DD"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20DE23BC" w14:textId="77777777" w:rsidR="00345EE3" w:rsidRDefault="00345EE3" w:rsidP="00D73130">
            <w:pPr>
              <w:pStyle w:val="TableParagraph"/>
              <w:ind w:right="-15"/>
              <w:rPr>
                <w:sz w:val="24"/>
              </w:rPr>
            </w:pPr>
            <w:r>
              <w:rPr>
                <w:color w:val="231F20"/>
                <w:sz w:val="24"/>
              </w:rPr>
              <w:t>0</w:t>
            </w:r>
          </w:p>
        </w:tc>
      </w:tr>
      <w:tr w:rsidR="00345EE3" w14:paraId="1A20A472" w14:textId="77777777" w:rsidTr="00D73130">
        <w:trPr>
          <w:trHeight w:val="396"/>
        </w:trPr>
        <w:tc>
          <w:tcPr>
            <w:tcW w:w="2891" w:type="dxa"/>
            <w:tcBorders>
              <w:left w:val="nil"/>
            </w:tcBorders>
          </w:tcPr>
          <w:p w14:paraId="76F9091B" w14:textId="77777777" w:rsidR="00345EE3" w:rsidRDefault="00345EE3" w:rsidP="00D73130">
            <w:pPr>
              <w:pStyle w:val="TableParagraph"/>
              <w:ind w:left="-2"/>
              <w:jc w:val="left"/>
              <w:rPr>
                <w:sz w:val="24"/>
              </w:rPr>
            </w:pPr>
            <w:r>
              <w:rPr>
                <w:color w:val="231F20"/>
                <w:sz w:val="24"/>
              </w:rPr>
              <w:t>$240,000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$259,999</w:t>
            </w:r>
          </w:p>
        </w:tc>
        <w:tc>
          <w:tcPr>
            <w:tcW w:w="1360" w:type="dxa"/>
          </w:tcPr>
          <w:p w14:paraId="4ADF42B3" w14:textId="77777777" w:rsidR="00345EE3" w:rsidRDefault="00345EE3" w:rsidP="00D73130">
            <w:pPr>
              <w:pStyle w:val="TableParagraph"/>
              <w:ind w:right="-15"/>
              <w:rPr>
                <w:sz w:val="24"/>
              </w:rPr>
            </w:pPr>
            <w:r>
              <w:rPr>
                <w:color w:val="231F20"/>
                <w:sz w:val="24"/>
              </w:rPr>
              <w:t>5</w:t>
            </w:r>
          </w:p>
        </w:tc>
        <w:tc>
          <w:tcPr>
            <w:tcW w:w="1190" w:type="dxa"/>
          </w:tcPr>
          <w:p w14:paraId="720EAA76" w14:textId="77777777" w:rsidR="00345EE3" w:rsidRDefault="00345EE3" w:rsidP="00D73130">
            <w:pPr>
              <w:pStyle w:val="TableParagraph"/>
              <w:ind w:right="-15"/>
              <w:rPr>
                <w:sz w:val="24"/>
              </w:rPr>
            </w:pPr>
            <w:r>
              <w:rPr>
                <w:color w:val="231F20"/>
                <w:sz w:val="24"/>
              </w:rPr>
              <w:t>0</w:t>
            </w:r>
          </w:p>
        </w:tc>
        <w:tc>
          <w:tcPr>
            <w:tcW w:w="1190" w:type="dxa"/>
          </w:tcPr>
          <w:p w14:paraId="37AE5E1D" w14:textId="77777777" w:rsidR="00345EE3" w:rsidRDefault="00345EE3" w:rsidP="00D73130">
            <w:pPr>
              <w:pStyle w:val="TableParagraph"/>
              <w:ind w:right="-15"/>
              <w:rPr>
                <w:sz w:val="24"/>
              </w:rPr>
            </w:pPr>
            <w:r>
              <w:rPr>
                <w:color w:val="231F20"/>
                <w:sz w:val="24"/>
              </w:rPr>
              <w:t>0</w:t>
            </w:r>
          </w:p>
        </w:tc>
        <w:tc>
          <w:tcPr>
            <w:tcW w:w="1190" w:type="dxa"/>
          </w:tcPr>
          <w:p w14:paraId="375D5215" w14:textId="77777777" w:rsidR="00345EE3" w:rsidRDefault="00345EE3" w:rsidP="00D73130">
            <w:pPr>
              <w:pStyle w:val="TableParagraph"/>
              <w:ind w:right="-15"/>
              <w:rPr>
                <w:sz w:val="24"/>
              </w:rPr>
            </w:pPr>
            <w:r>
              <w:rPr>
                <w:color w:val="231F20"/>
                <w:sz w:val="24"/>
              </w:rPr>
              <w:t>1</w:t>
            </w:r>
          </w:p>
        </w:tc>
        <w:tc>
          <w:tcPr>
            <w:tcW w:w="1190" w:type="dxa"/>
            <w:tcBorders>
              <w:right w:val="dashed" w:sz="2" w:space="0" w:color="939598"/>
            </w:tcBorders>
          </w:tcPr>
          <w:p w14:paraId="1222B76A"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58E3116F" w14:textId="77777777" w:rsidR="00345EE3" w:rsidRDefault="00345EE3" w:rsidP="00D73130">
            <w:pPr>
              <w:pStyle w:val="TableParagraph"/>
              <w:ind w:right="-15"/>
              <w:rPr>
                <w:sz w:val="24"/>
              </w:rPr>
            </w:pPr>
            <w:r>
              <w:rPr>
                <w:color w:val="231F20"/>
                <w:sz w:val="24"/>
              </w:rPr>
              <w:t>0</w:t>
            </w:r>
          </w:p>
        </w:tc>
      </w:tr>
      <w:tr w:rsidR="00345EE3" w14:paraId="697330CB" w14:textId="77777777" w:rsidTr="00D73130">
        <w:trPr>
          <w:trHeight w:val="396"/>
        </w:trPr>
        <w:tc>
          <w:tcPr>
            <w:tcW w:w="2891" w:type="dxa"/>
            <w:tcBorders>
              <w:left w:val="nil"/>
            </w:tcBorders>
          </w:tcPr>
          <w:p w14:paraId="71516A13" w14:textId="77777777" w:rsidR="00345EE3" w:rsidRDefault="00345EE3" w:rsidP="00D73130">
            <w:pPr>
              <w:pStyle w:val="TableParagraph"/>
              <w:ind w:left="-2"/>
              <w:jc w:val="left"/>
              <w:rPr>
                <w:sz w:val="24"/>
              </w:rPr>
            </w:pPr>
            <w:r>
              <w:rPr>
                <w:color w:val="231F20"/>
                <w:sz w:val="24"/>
              </w:rPr>
              <w:t>$260,000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$279,999</w:t>
            </w:r>
          </w:p>
        </w:tc>
        <w:tc>
          <w:tcPr>
            <w:tcW w:w="1360" w:type="dxa"/>
          </w:tcPr>
          <w:p w14:paraId="5B5F51BD" w14:textId="77777777" w:rsidR="00345EE3" w:rsidRDefault="00345EE3" w:rsidP="00D73130">
            <w:pPr>
              <w:pStyle w:val="TableParagraph"/>
              <w:ind w:right="-15"/>
              <w:rPr>
                <w:sz w:val="24"/>
              </w:rPr>
            </w:pPr>
            <w:r>
              <w:rPr>
                <w:color w:val="231F20"/>
                <w:sz w:val="24"/>
              </w:rPr>
              <w:t>6</w:t>
            </w:r>
          </w:p>
        </w:tc>
        <w:tc>
          <w:tcPr>
            <w:tcW w:w="1190" w:type="dxa"/>
          </w:tcPr>
          <w:p w14:paraId="72CF9CCB" w14:textId="77777777" w:rsidR="00345EE3" w:rsidRDefault="00345EE3" w:rsidP="00D73130">
            <w:pPr>
              <w:pStyle w:val="TableParagraph"/>
              <w:ind w:right="-15"/>
              <w:rPr>
                <w:sz w:val="24"/>
              </w:rPr>
            </w:pPr>
            <w:r>
              <w:rPr>
                <w:color w:val="231F20"/>
                <w:sz w:val="24"/>
              </w:rPr>
              <w:t>0</w:t>
            </w:r>
          </w:p>
        </w:tc>
        <w:tc>
          <w:tcPr>
            <w:tcW w:w="1190" w:type="dxa"/>
          </w:tcPr>
          <w:p w14:paraId="21BF0F7C" w14:textId="77777777" w:rsidR="00345EE3" w:rsidRDefault="00345EE3" w:rsidP="00D73130">
            <w:pPr>
              <w:pStyle w:val="TableParagraph"/>
              <w:ind w:right="-15"/>
              <w:rPr>
                <w:sz w:val="24"/>
              </w:rPr>
            </w:pPr>
            <w:r>
              <w:rPr>
                <w:color w:val="231F20"/>
                <w:sz w:val="24"/>
              </w:rPr>
              <w:t>0</w:t>
            </w:r>
          </w:p>
        </w:tc>
        <w:tc>
          <w:tcPr>
            <w:tcW w:w="1190" w:type="dxa"/>
          </w:tcPr>
          <w:p w14:paraId="39C1C5B7" w14:textId="77777777" w:rsidR="00345EE3" w:rsidRDefault="00345EE3" w:rsidP="00D73130">
            <w:pPr>
              <w:pStyle w:val="TableParagraph"/>
              <w:ind w:right="-15"/>
              <w:rPr>
                <w:sz w:val="24"/>
              </w:rPr>
            </w:pPr>
            <w:r>
              <w:rPr>
                <w:color w:val="231F20"/>
                <w:sz w:val="24"/>
              </w:rPr>
              <w:t>1</w:t>
            </w:r>
          </w:p>
        </w:tc>
        <w:tc>
          <w:tcPr>
            <w:tcW w:w="1190" w:type="dxa"/>
            <w:tcBorders>
              <w:right w:val="dashed" w:sz="2" w:space="0" w:color="939598"/>
            </w:tcBorders>
          </w:tcPr>
          <w:p w14:paraId="59CAC3C3"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52C4F837" w14:textId="77777777" w:rsidR="00345EE3" w:rsidRDefault="00345EE3" w:rsidP="00D73130">
            <w:pPr>
              <w:pStyle w:val="TableParagraph"/>
              <w:ind w:right="-15"/>
              <w:rPr>
                <w:sz w:val="24"/>
              </w:rPr>
            </w:pPr>
            <w:r>
              <w:rPr>
                <w:color w:val="231F20"/>
                <w:sz w:val="24"/>
              </w:rPr>
              <w:t>0</w:t>
            </w:r>
          </w:p>
        </w:tc>
      </w:tr>
      <w:tr w:rsidR="00345EE3" w14:paraId="37ED13EF" w14:textId="77777777" w:rsidTr="00D73130">
        <w:trPr>
          <w:trHeight w:val="396"/>
        </w:trPr>
        <w:tc>
          <w:tcPr>
            <w:tcW w:w="2891" w:type="dxa"/>
            <w:tcBorders>
              <w:left w:val="nil"/>
            </w:tcBorders>
          </w:tcPr>
          <w:p w14:paraId="0323BB49" w14:textId="77777777" w:rsidR="00345EE3" w:rsidRDefault="00345EE3" w:rsidP="00D73130">
            <w:pPr>
              <w:pStyle w:val="TableParagraph"/>
              <w:ind w:left="-2"/>
              <w:jc w:val="left"/>
              <w:rPr>
                <w:sz w:val="24"/>
              </w:rPr>
            </w:pPr>
            <w:r>
              <w:rPr>
                <w:color w:val="231F20"/>
                <w:sz w:val="24"/>
              </w:rPr>
              <w:t>$280,000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$299,999</w:t>
            </w:r>
          </w:p>
        </w:tc>
        <w:tc>
          <w:tcPr>
            <w:tcW w:w="1360" w:type="dxa"/>
          </w:tcPr>
          <w:p w14:paraId="0CD48357" w14:textId="77777777" w:rsidR="00345EE3" w:rsidRDefault="00345EE3" w:rsidP="00D73130">
            <w:pPr>
              <w:pStyle w:val="TableParagraph"/>
              <w:ind w:right="-15"/>
              <w:rPr>
                <w:sz w:val="24"/>
              </w:rPr>
            </w:pPr>
            <w:r>
              <w:rPr>
                <w:color w:val="231F20"/>
                <w:sz w:val="24"/>
              </w:rPr>
              <w:t>5</w:t>
            </w:r>
          </w:p>
        </w:tc>
        <w:tc>
          <w:tcPr>
            <w:tcW w:w="1190" w:type="dxa"/>
          </w:tcPr>
          <w:p w14:paraId="4FBF4D57" w14:textId="77777777" w:rsidR="00345EE3" w:rsidRDefault="00345EE3" w:rsidP="00D73130">
            <w:pPr>
              <w:pStyle w:val="TableParagraph"/>
              <w:ind w:right="-15"/>
              <w:rPr>
                <w:sz w:val="24"/>
              </w:rPr>
            </w:pPr>
            <w:r>
              <w:rPr>
                <w:color w:val="231F20"/>
                <w:sz w:val="24"/>
              </w:rPr>
              <w:t>0</w:t>
            </w:r>
          </w:p>
        </w:tc>
        <w:tc>
          <w:tcPr>
            <w:tcW w:w="1190" w:type="dxa"/>
          </w:tcPr>
          <w:p w14:paraId="7906DDEE" w14:textId="77777777" w:rsidR="00345EE3" w:rsidRDefault="00345EE3" w:rsidP="00D73130">
            <w:pPr>
              <w:pStyle w:val="TableParagraph"/>
              <w:ind w:right="-15"/>
              <w:rPr>
                <w:sz w:val="24"/>
              </w:rPr>
            </w:pPr>
            <w:r>
              <w:rPr>
                <w:color w:val="231F20"/>
                <w:sz w:val="24"/>
              </w:rPr>
              <w:t>0</w:t>
            </w:r>
          </w:p>
        </w:tc>
        <w:tc>
          <w:tcPr>
            <w:tcW w:w="1190" w:type="dxa"/>
          </w:tcPr>
          <w:p w14:paraId="177CF47E" w14:textId="77777777" w:rsidR="00345EE3" w:rsidRDefault="00345EE3" w:rsidP="00D73130">
            <w:pPr>
              <w:pStyle w:val="TableParagraph"/>
              <w:ind w:right="-15"/>
              <w:rPr>
                <w:sz w:val="24"/>
              </w:rPr>
            </w:pPr>
            <w:r>
              <w:rPr>
                <w:color w:val="231F20"/>
                <w:sz w:val="24"/>
              </w:rPr>
              <w:t>1</w:t>
            </w:r>
          </w:p>
        </w:tc>
        <w:tc>
          <w:tcPr>
            <w:tcW w:w="1190" w:type="dxa"/>
            <w:tcBorders>
              <w:right w:val="dashed" w:sz="2" w:space="0" w:color="939598"/>
            </w:tcBorders>
          </w:tcPr>
          <w:p w14:paraId="2FBC3129"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61B6ABE3" w14:textId="77777777" w:rsidR="00345EE3" w:rsidRDefault="00345EE3" w:rsidP="00D73130">
            <w:pPr>
              <w:pStyle w:val="TableParagraph"/>
              <w:ind w:right="-15"/>
              <w:rPr>
                <w:sz w:val="24"/>
              </w:rPr>
            </w:pPr>
            <w:r>
              <w:rPr>
                <w:color w:val="231F20"/>
                <w:sz w:val="24"/>
              </w:rPr>
              <w:t>0</w:t>
            </w:r>
          </w:p>
        </w:tc>
      </w:tr>
      <w:tr w:rsidR="00345EE3" w14:paraId="4F84F96C" w14:textId="77777777" w:rsidTr="00D73130">
        <w:trPr>
          <w:trHeight w:val="396"/>
        </w:trPr>
        <w:tc>
          <w:tcPr>
            <w:tcW w:w="2891" w:type="dxa"/>
            <w:tcBorders>
              <w:left w:val="nil"/>
            </w:tcBorders>
          </w:tcPr>
          <w:p w14:paraId="1D2283F4" w14:textId="77777777" w:rsidR="00345EE3" w:rsidRDefault="00345EE3" w:rsidP="00D73130">
            <w:pPr>
              <w:pStyle w:val="TableParagraph"/>
              <w:ind w:left="-1"/>
              <w:jc w:val="left"/>
              <w:rPr>
                <w:sz w:val="24"/>
              </w:rPr>
            </w:pPr>
            <w:r>
              <w:rPr>
                <w:color w:val="231F20"/>
                <w:sz w:val="24"/>
              </w:rPr>
              <w:t>$300,000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$319,999</w:t>
            </w:r>
          </w:p>
        </w:tc>
        <w:tc>
          <w:tcPr>
            <w:tcW w:w="1360" w:type="dxa"/>
          </w:tcPr>
          <w:p w14:paraId="502CF018" w14:textId="77777777" w:rsidR="00345EE3" w:rsidRDefault="00345EE3" w:rsidP="00D73130">
            <w:pPr>
              <w:pStyle w:val="TableParagraph"/>
              <w:ind w:right="-15"/>
              <w:rPr>
                <w:sz w:val="24"/>
              </w:rPr>
            </w:pPr>
            <w:r>
              <w:rPr>
                <w:color w:val="231F20"/>
                <w:sz w:val="24"/>
              </w:rPr>
              <w:t>4</w:t>
            </w:r>
          </w:p>
        </w:tc>
        <w:tc>
          <w:tcPr>
            <w:tcW w:w="1190" w:type="dxa"/>
          </w:tcPr>
          <w:p w14:paraId="6703BB5B" w14:textId="77777777" w:rsidR="00345EE3" w:rsidRDefault="00345EE3" w:rsidP="00D73130">
            <w:pPr>
              <w:pStyle w:val="TableParagraph"/>
              <w:ind w:right="-15"/>
              <w:rPr>
                <w:sz w:val="24"/>
              </w:rPr>
            </w:pPr>
            <w:r>
              <w:rPr>
                <w:color w:val="231F20"/>
                <w:sz w:val="24"/>
              </w:rPr>
              <w:t>0</w:t>
            </w:r>
          </w:p>
        </w:tc>
        <w:tc>
          <w:tcPr>
            <w:tcW w:w="1190" w:type="dxa"/>
          </w:tcPr>
          <w:p w14:paraId="15378ED1" w14:textId="77777777" w:rsidR="00345EE3" w:rsidRDefault="00345EE3" w:rsidP="00D73130">
            <w:pPr>
              <w:pStyle w:val="TableParagraph"/>
              <w:ind w:right="-15"/>
              <w:rPr>
                <w:sz w:val="24"/>
              </w:rPr>
            </w:pPr>
            <w:r>
              <w:rPr>
                <w:color w:val="231F20"/>
                <w:sz w:val="24"/>
              </w:rPr>
              <w:t>0</w:t>
            </w:r>
          </w:p>
        </w:tc>
        <w:tc>
          <w:tcPr>
            <w:tcW w:w="1190" w:type="dxa"/>
          </w:tcPr>
          <w:p w14:paraId="0F6EABF7"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23C7D383"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440A0595" w14:textId="77777777" w:rsidR="00345EE3" w:rsidRDefault="00345EE3" w:rsidP="00D73130">
            <w:pPr>
              <w:pStyle w:val="TableParagraph"/>
              <w:ind w:right="-15"/>
              <w:rPr>
                <w:sz w:val="24"/>
              </w:rPr>
            </w:pPr>
            <w:r>
              <w:rPr>
                <w:color w:val="231F20"/>
                <w:sz w:val="24"/>
              </w:rPr>
              <w:t>0</w:t>
            </w:r>
          </w:p>
        </w:tc>
      </w:tr>
      <w:tr w:rsidR="00345EE3" w14:paraId="4930D13A" w14:textId="77777777" w:rsidTr="00D73130">
        <w:trPr>
          <w:trHeight w:val="396"/>
        </w:trPr>
        <w:tc>
          <w:tcPr>
            <w:tcW w:w="2891" w:type="dxa"/>
            <w:tcBorders>
              <w:left w:val="nil"/>
            </w:tcBorders>
          </w:tcPr>
          <w:p w14:paraId="3B618B56" w14:textId="77777777" w:rsidR="00345EE3" w:rsidRDefault="00345EE3" w:rsidP="00D73130">
            <w:pPr>
              <w:pStyle w:val="TableParagraph"/>
              <w:ind w:left="-1"/>
              <w:jc w:val="left"/>
              <w:rPr>
                <w:sz w:val="24"/>
              </w:rPr>
            </w:pPr>
            <w:r>
              <w:rPr>
                <w:color w:val="231F20"/>
                <w:sz w:val="24"/>
              </w:rPr>
              <w:t>$320,000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$339,999</w:t>
            </w:r>
          </w:p>
        </w:tc>
        <w:tc>
          <w:tcPr>
            <w:tcW w:w="1360" w:type="dxa"/>
          </w:tcPr>
          <w:p w14:paraId="282B39AF" w14:textId="77777777" w:rsidR="00345EE3" w:rsidRDefault="00345EE3" w:rsidP="00D73130">
            <w:pPr>
              <w:pStyle w:val="TableParagraph"/>
              <w:ind w:right="-15"/>
              <w:rPr>
                <w:sz w:val="24"/>
              </w:rPr>
            </w:pPr>
            <w:r>
              <w:rPr>
                <w:color w:val="231F20"/>
                <w:sz w:val="24"/>
              </w:rPr>
              <w:t>5</w:t>
            </w:r>
          </w:p>
        </w:tc>
        <w:tc>
          <w:tcPr>
            <w:tcW w:w="1190" w:type="dxa"/>
          </w:tcPr>
          <w:p w14:paraId="1D50C771" w14:textId="77777777" w:rsidR="00345EE3" w:rsidRDefault="00345EE3" w:rsidP="00D73130">
            <w:pPr>
              <w:pStyle w:val="TableParagraph"/>
              <w:ind w:right="-15"/>
              <w:rPr>
                <w:sz w:val="24"/>
              </w:rPr>
            </w:pPr>
            <w:r>
              <w:rPr>
                <w:color w:val="231F20"/>
                <w:sz w:val="24"/>
              </w:rPr>
              <w:t>0</w:t>
            </w:r>
          </w:p>
        </w:tc>
        <w:tc>
          <w:tcPr>
            <w:tcW w:w="1190" w:type="dxa"/>
          </w:tcPr>
          <w:p w14:paraId="3EFFFDDC" w14:textId="77777777" w:rsidR="00345EE3" w:rsidRDefault="00345EE3" w:rsidP="00D73130">
            <w:pPr>
              <w:pStyle w:val="TableParagraph"/>
              <w:ind w:right="-15"/>
              <w:rPr>
                <w:sz w:val="24"/>
              </w:rPr>
            </w:pPr>
            <w:r>
              <w:rPr>
                <w:color w:val="231F20"/>
                <w:sz w:val="24"/>
              </w:rPr>
              <w:t>0</w:t>
            </w:r>
          </w:p>
        </w:tc>
        <w:tc>
          <w:tcPr>
            <w:tcW w:w="1190" w:type="dxa"/>
          </w:tcPr>
          <w:p w14:paraId="7DBAC985"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01D1E30A"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6BFFA383" w14:textId="77777777" w:rsidR="00345EE3" w:rsidRDefault="00345EE3" w:rsidP="00D73130">
            <w:pPr>
              <w:pStyle w:val="TableParagraph"/>
              <w:ind w:right="-15"/>
              <w:rPr>
                <w:sz w:val="24"/>
              </w:rPr>
            </w:pPr>
            <w:r>
              <w:rPr>
                <w:color w:val="231F20"/>
                <w:sz w:val="24"/>
              </w:rPr>
              <w:t>0</w:t>
            </w:r>
          </w:p>
        </w:tc>
      </w:tr>
      <w:tr w:rsidR="00345EE3" w14:paraId="3A8C1019" w14:textId="77777777" w:rsidTr="00D73130">
        <w:trPr>
          <w:trHeight w:val="396"/>
        </w:trPr>
        <w:tc>
          <w:tcPr>
            <w:tcW w:w="2891" w:type="dxa"/>
            <w:tcBorders>
              <w:left w:val="nil"/>
            </w:tcBorders>
          </w:tcPr>
          <w:p w14:paraId="70D7798E" w14:textId="77777777" w:rsidR="00345EE3" w:rsidRDefault="00345EE3" w:rsidP="00D73130">
            <w:pPr>
              <w:pStyle w:val="TableParagraph"/>
              <w:ind w:left="-1"/>
              <w:jc w:val="left"/>
              <w:rPr>
                <w:sz w:val="24"/>
              </w:rPr>
            </w:pPr>
            <w:r>
              <w:rPr>
                <w:color w:val="231F20"/>
                <w:sz w:val="24"/>
              </w:rPr>
              <w:t>$340,000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$359,999</w:t>
            </w:r>
          </w:p>
        </w:tc>
        <w:tc>
          <w:tcPr>
            <w:tcW w:w="1360" w:type="dxa"/>
          </w:tcPr>
          <w:p w14:paraId="155F3479" w14:textId="77777777" w:rsidR="00345EE3" w:rsidRDefault="00345EE3" w:rsidP="00D73130">
            <w:pPr>
              <w:pStyle w:val="TableParagraph"/>
              <w:ind w:right="-15"/>
              <w:rPr>
                <w:sz w:val="24"/>
              </w:rPr>
            </w:pPr>
            <w:r>
              <w:rPr>
                <w:color w:val="231F20"/>
                <w:sz w:val="24"/>
              </w:rPr>
              <w:t>0</w:t>
            </w:r>
          </w:p>
        </w:tc>
        <w:tc>
          <w:tcPr>
            <w:tcW w:w="1190" w:type="dxa"/>
          </w:tcPr>
          <w:p w14:paraId="006CD16A" w14:textId="77777777" w:rsidR="00345EE3" w:rsidRDefault="00345EE3" w:rsidP="00D73130">
            <w:pPr>
              <w:pStyle w:val="TableParagraph"/>
              <w:ind w:right="-15"/>
              <w:rPr>
                <w:sz w:val="24"/>
              </w:rPr>
            </w:pPr>
            <w:r>
              <w:rPr>
                <w:color w:val="231F20"/>
                <w:sz w:val="24"/>
              </w:rPr>
              <w:t>0</w:t>
            </w:r>
          </w:p>
        </w:tc>
        <w:tc>
          <w:tcPr>
            <w:tcW w:w="1190" w:type="dxa"/>
          </w:tcPr>
          <w:p w14:paraId="69AA7F9C" w14:textId="77777777" w:rsidR="00345EE3" w:rsidRDefault="00345EE3" w:rsidP="00D73130">
            <w:pPr>
              <w:pStyle w:val="TableParagraph"/>
              <w:ind w:right="-15"/>
              <w:rPr>
                <w:sz w:val="24"/>
              </w:rPr>
            </w:pPr>
            <w:r>
              <w:rPr>
                <w:color w:val="231F20"/>
                <w:sz w:val="24"/>
              </w:rPr>
              <w:t>0</w:t>
            </w:r>
          </w:p>
        </w:tc>
        <w:tc>
          <w:tcPr>
            <w:tcW w:w="1190" w:type="dxa"/>
          </w:tcPr>
          <w:p w14:paraId="4CEE750A"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730CDF1D"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4FD85D9C" w14:textId="77777777" w:rsidR="00345EE3" w:rsidRDefault="00345EE3" w:rsidP="00D73130">
            <w:pPr>
              <w:pStyle w:val="TableParagraph"/>
              <w:ind w:right="-15"/>
              <w:rPr>
                <w:sz w:val="24"/>
              </w:rPr>
            </w:pPr>
            <w:r>
              <w:rPr>
                <w:color w:val="231F20"/>
                <w:sz w:val="24"/>
              </w:rPr>
              <w:t>0</w:t>
            </w:r>
          </w:p>
        </w:tc>
      </w:tr>
      <w:tr w:rsidR="00345EE3" w14:paraId="75914FD8" w14:textId="77777777" w:rsidTr="00D73130">
        <w:trPr>
          <w:trHeight w:val="396"/>
        </w:trPr>
        <w:tc>
          <w:tcPr>
            <w:tcW w:w="2891" w:type="dxa"/>
            <w:tcBorders>
              <w:left w:val="nil"/>
            </w:tcBorders>
          </w:tcPr>
          <w:p w14:paraId="2A527489" w14:textId="77777777" w:rsidR="00345EE3" w:rsidRDefault="00345EE3" w:rsidP="00D73130">
            <w:pPr>
              <w:pStyle w:val="TableParagraph"/>
              <w:ind w:left="-1"/>
              <w:jc w:val="left"/>
              <w:rPr>
                <w:sz w:val="24"/>
              </w:rPr>
            </w:pPr>
            <w:r>
              <w:rPr>
                <w:color w:val="231F20"/>
                <w:sz w:val="24"/>
              </w:rPr>
              <w:t>$360,000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$379,999</w:t>
            </w:r>
          </w:p>
        </w:tc>
        <w:tc>
          <w:tcPr>
            <w:tcW w:w="1360" w:type="dxa"/>
          </w:tcPr>
          <w:p w14:paraId="384D835D" w14:textId="77777777" w:rsidR="00345EE3" w:rsidRDefault="00345EE3" w:rsidP="00D73130">
            <w:pPr>
              <w:pStyle w:val="TableParagraph"/>
              <w:ind w:right="-15"/>
              <w:rPr>
                <w:sz w:val="24"/>
              </w:rPr>
            </w:pPr>
            <w:r>
              <w:rPr>
                <w:color w:val="231F20"/>
                <w:sz w:val="24"/>
              </w:rPr>
              <w:t>0</w:t>
            </w:r>
          </w:p>
        </w:tc>
        <w:tc>
          <w:tcPr>
            <w:tcW w:w="1190" w:type="dxa"/>
          </w:tcPr>
          <w:p w14:paraId="10B5473A" w14:textId="77777777" w:rsidR="00345EE3" w:rsidRDefault="00345EE3" w:rsidP="00D73130">
            <w:pPr>
              <w:pStyle w:val="TableParagraph"/>
              <w:ind w:right="-15"/>
              <w:rPr>
                <w:sz w:val="24"/>
              </w:rPr>
            </w:pPr>
            <w:r>
              <w:rPr>
                <w:color w:val="231F20"/>
                <w:sz w:val="24"/>
              </w:rPr>
              <w:t>0</w:t>
            </w:r>
          </w:p>
        </w:tc>
        <w:tc>
          <w:tcPr>
            <w:tcW w:w="1190" w:type="dxa"/>
          </w:tcPr>
          <w:p w14:paraId="157A37A4" w14:textId="77777777" w:rsidR="00345EE3" w:rsidRDefault="00345EE3" w:rsidP="00D73130">
            <w:pPr>
              <w:pStyle w:val="TableParagraph"/>
              <w:ind w:right="-15"/>
              <w:rPr>
                <w:sz w:val="24"/>
              </w:rPr>
            </w:pPr>
            <w:r>
              <w:rPr>
                <w:color w:val="231F20"/>
                <w:sz w:val="24"/>
              </w:rPr>
              <w:t>0</w:t>
            </w:r>
          </w:p>
        </w:tc>
        <w:tc>
          <w:tcPr>
            <w:tcW w:w="1190" w:type="dxa"/>
          </w:tcPr>
          <w:p w14:paraId="0CB55191"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2306E9FD"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5B4B5F3B" w14:textId="77777777" w:rsidR="00345EE3" w:rsidRDefault="00345EE3" w:rsidP="00D73130">
            <w:pPr>
              <w:pStyle w:val="TableParagraph"/>
              <w:ind w:right="-15"/>
              <w:rPr>
                <w:sz w:val="24"/>
              </w:rPr>
            </w:pPr>
            <w:r>
              <w:rPr>
                <w:color w:val="231F20"/>
                <w:sz w:val="24"/>
              </w:rPr>
              <w:t>0</w:t>
            </w:r>
          </w:p>
        </w:tc>
      </w:tr>
      <w:tr w:rsidR="00345EE3" w14:paraId="04818A5D" w14:textId="77777777" w:rsidTr="00D73130">
        <w:trPr>
          <w:trHeight w:val="396"/>
        </w:trPr>
        <w:tc>
          <w:tcPr>
            <w:tcW w:w="2891" w:type="dxa"/>
            <w:tcBorders>
              <w:left w:val="nil"/>
            </w:tcBorders>
          </w:tcPr>
          <w:p w14:paraId="62B10382" w14:textId="77777777" w:rsidR="00345EE3" w:rsidRDefault="00345EE3" w:rsidP="00D73130">
            <w:pPr>
              <w:pStyle w:val="TableParagraph"/>
              <w:jc w:val="left"/>
              <w:rPr>
                <w:sz w:val="24"/>
              </w:rPr>
            </w:pPr>
            <w:r>
              <w:rPr>
                <w:color w:val="231F20"/>
                <w:sz w:val="24"/>
              </w:rPr>
              <w:t>$380,000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$399,999</w:t>
            </w:r>
          </w:p>
        </w:tc>
        <w:tc>
          <w:tcPr>
            <w:tcW w:w="1360" w:type="dxa"/>
          </w:tcPr>
          <w:p w14:paraId="3BE07DC0" w14:textId="77777777" w:rsidR="00345EE3" w:rsidRDefault="00345EE3" w:rsidP="00D73130">
            <w:pPr>
              <w:pStyle w:val="TableParagraph"/>
              <w:ind w:right="-15"/>
              <w:rPr>
                <w:sz w:val="24"/>
              </w:rPr>
            </w:pPr>
            <w:r>
              <w:rPr>
                <w:color w:val="231F20"/>
                <w:sz w:val="24"/>
              </w:rPr>
              <w:t>0</w:t>
            </w:r>
          </w:p>
        </w:tc>
        <w:tc>
          <w:tcPr>
            <w:tcW w:w="1190" w:type="dxa"/>
          </w:tcPr>
          <w:p w14:paraId="2E44FB54" w14:textId="77777777" w:rsidR="00345EE3" w:rsidRDefault="00345EE3" w:rsidP="00D73130">
            <w:pPr>
              <w:pStyle w:val="TableParagraph"/>
              <w:ind w:right="-15"/>
              <w:rPr>
                <w:sz w:val="24"/>
              </w:rPr>
            </w:pPr>
            <w:r>
              <w:rPr>
                <w:color w:val="231F20"/>
                <w:sz w:val="24"/>
              </w:rPr>
              <w:t>0</w:t>
            </w:r>
          </w:p>
        </w:tc>
        <w:tc>
          <w:tcPr>
            <w:tcW w:w="1190" w:type="dxa"/>
          </w:tcPr>
          <w:p w14:paraId="276A916B" w14:textId="77777777" w:rsidR="00345EE3" w:rsidRDefault="00345EE3" w:rsidP="00D73130">
            <w:pPr>
              <w:pStyle w:val="TableParagraph"/>
              <w:ind w:right="-15"/>
              <w:rPr>
                <w:sz w:val="24"/>
              </w:rPr>
            </w:pPr>
            <w:r>
              <w:rPr>
                <w:color w:val="231F20"/>
                <w:sz w:val="24"/>
              </w:rPr>
              <w:t>0</w:t>
            </w:r>
          </w:p>
        </w:tc>
        <w:tc>
          <w:tcPr>
            <w:tcW w:w="1190" w:type="dxa"/>
          </w:tcPr>
          <w:p w14:paraId="3E598FC9"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0CEDEAAA"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1E502AAA" w14:textId="77777777" w:rsidR="00345EE3" w:rsidRDefault="00345EE3" w:rsidP="00D73130">
            <w:pPr>
              <w:pStyle w:val="TableParagraph"/>
              <w:ind w:right="-15"/>
              <w:rPr>
                <w:sz w:val="24"/>
              </w:rPr>
            </w:pPr>
            <w:r>
              <w:rPr>
                <w:color w:val="231F20"/>
                <w:sz w:val="24"/>
              </w:rPr>
              <w:t>0</w:t>
            </w:r>
          </w:p>
        </w:tc>
      </w:tr>
      <w:tr w:rsidR="00345EE3" w14:paraId="24EB8EF5" w14:textId="77777777" w:rsidTr="00D73130">
        <w:trPr>
          <w:trHeight w:val="396"/>
        </w:trPr>
        <w:tc>
          <w:tcPr>
            <w:tcW w:w="2891" w:type="dxa"/>
            <w:tcBorders>
              <w:left w:val="nil"/>
            </w:tcBorders>
          </w:tcPr>
          <w:p w14:paraId="78A5B3A6" w14:textId="77777777" w:rsidR="00345EE3" w:rsidRDefault="00345EE3" w:rsidP="00D73130">
            <w:pPr>
              <w:pStyle w:val="TableParagraph"/>
              <w:jc w:val="left"/>
              <w:rPr>
                <w:sz w:val="24"/>
              </w:rPr>
            </w:pPr>
            <w:r>
              <w:rPr>
                <w:color w:val="231F20"/>
                <w:sz w:val="24"/>
              </w:rPr>
              <w:t>$400,000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$419,999</w:t>
            </w:r>
          </w:p>
        </w:tc>
        <w:tc>
          <w:tcPr>
            <w:tcW w:w="1360" w:type="dxa"/>
          </w:tcPr>
          <w:p w14:paraId="07E9EB68" w14:textId="77777777" w:rsidR="00345EE3" w:rsidRDefault="00345EE3" w:rsidP="00D73130">
            <w:pPr>
              <w:pStyle w:val="TableParagraph"/>
              <w:ind w:right="-15"/>
              <w:rPr>
                <w:sz w:val="24"/>
              </w:rPr>
            </w:pPr>
            <w:r>
              <w:rPr>
                <w:color w:val="231F20"/>
                <w:sz w:val="24"/>
              </w:rPr>
              <w:t>0</w:t>
            </w:r>
          </w:p>
        </w:tc>
        <w:tc>
          <w:tcPr>
            <w:tcW w:w="1190" w:type="dxa"/>
          </w:tcPr>
          <w:p w14:paraId="33F8B140" w14:textId="77777777" w:rsidR="00345EE3" w:rsidRDefault="00345EE3" w:rsidP="00D73130">
            <w:pPr>
              <w:pStyle w:val="TableParagraph"/>
              <w:ind w:right="-15"/>
              <w:rPr>
                <w:sz w:val="24"/>
              </w:rPr>
            </w:pPr>
            <w:r>
              <w:rPr>
                <w:color w:val="231F20"/>
                <w:sz w:val="24"/>
              </w:rPr>
              <w:t>0</w:t>
            </w:r>
          </w:p>
        </w:tc>
        <w:tc>
          <w:tcPr>
            <w:tcW w:w="1190" w:type="dxa"/>
          </w:tcPr>
          <w:p w14:paraId="66B4AE21" w14:textId="77777777" w:rsidR="00345EE3" w:rsidRDefault="00345EE3" w:rsidP="00D73130">
            <w:pPr>
              <w:pStyle w:val="TableParagraph"/>
              <w:ind w:right="-15"/>
              <w:rPr>
                <w:sz w:val="24"/>
              </w:rPr>
            </w:pPr>
            <w:r>
              <w:rPr>
                <w:color w:val="231F20"/>
                <w:sz w:val="24"/>
              </w:rPr>
              <w:t>0</w:t>
            </w:r>
          </w:p>
        </w:tc>
        <w:tc>
          <w:tcPr>
            <w:tcW w:w="1190" w:type="dxa"/>
          </w:tcPr>
          <w:p w14:paraId="3C890593"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6FA7AD38"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0EAD2EDD" w14:textId="77777777" w:rsidR="00345EE3" w:rsidRDefault="00345EE3" w:rsidP="00D73130">
            <w:pPr>
              <w:pStyle w:val="TableParagraph"/>
              <w:ind w:right="-15"/>
              <w:rPr>
                <w:sz w:val="24"/>
              </w:rPr>
            </w:pPr>
            <w:r>
              <w:rPr>
                <w:color w:val="231F20"/>
                <w:sz w:val="24"/>
              </w:rPr>
              <w:t>0</w:t>
            </w:r>
          </w:p>
        </w:tc>
      </w:tr>
      <w:tr w:rsidR="00345EE3" w14:paraId="1BBF1D90" w14:textId="77777777" w:rsidTr="00D73130">
        <w:trPr>
          <w:trHeight w:val="396"/>
        </w:trPr>
        <w:tc>
          <w:tcPr>
            <w:tcW w:w="2891" w:type="dxa"/>
            <w:tcBorders>
              <w:left w:val="nil"/>
            </w:tcBorders>
          </w:tcPr>
          <w:p w14:paraId="7BD80918" w14:textId="77777777" w:rsidR="00345EE3" w:rsidRDefault="00345EE3" w:rsidP="00D73130">
            <w:pPr>
              <w:pStyle w:val="TableParagraph"/>
              <w:jc w:val="left"/>
              <w:rPr>
                <w:sz w:val="24"/>
              </w:rPr>
            </w:pPr>
            <w:r>
              <w:rPr>
                <w:color w:val="231F20"/>
                <w:sz w:val="24"/>
              </w:rPr>
              <w:t>$420,000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$439,999</w:t>
            </w:r>
          </w:p>
        </w:tc>
        <w:tc>
          <w:tcPr>
            <w:tcW w:w="1360" w:type="dxa"/>
          </w:tcPr>
          <w:p w14:paraId="29E1D17C" w14:textId="77777777" w:rsidR="00345EE3" w:rsidRDefault="00345EE3" w:rsidP="00D73130">
            <w:pPr>
              <w:pStyle w:val="TableParagraph"/>
              <w:ind w:right="-15"/>
              <w:rPr>
                <w:sz w:val="24"/>
              </w:rPr>
            </w:pPr>
            <w:r>
              <w:rPr>
                <w:color w:val="231F20"/>
                <w:sz w:val="24"/>
              </w:rPr>
              <w:t>1</w:t>
            </w:r>
          </w:p>
        </w:tc>
        <w:tc>
          <w:tcPr>
            <w:tcW w:w="1190" w:type="dxa"/>
          </w:tcPr>
          <w:p w14:paraId="572E4DF3" w14:textId="77777777" w:rsidR="00345EE3" w:rsidRDefault="00345EE3" w:rsidP="00D73130">
            <w:pPr>
              <w:pStyle w:val="TableParagraph"/>
              <w:ind w:right="-15"/>
              <w:rPr>
                <w:sz w:val="24"/>
              </w:rPr>
            </w:pPr>
            <w:r>
              <w:rPr>
                <w:color w:val="231F20"/>
                <w:sz w:val="24"/>
              </w:rPr>
              <w:t>0</w:t>
            </w:r>
          </w:p>
        </w:tc>
        <w:tc>
          <w:tcPr>
            <w:tcW w:w="1190" w:type="dxa"/>
          </w:tcPr>
          <w:p w14:paraId="26713D31" w14:textId="77777777" w:rsidR="00345EE3" w:rsidRDefault="00345EE3" w:rsidP="00D73130">
            <w:pPr>
              <w:pStyle w:val="TableParagraph"/>
              <w:ind w:right="-15"/>
              <w:rPr>
                <w:sz w:val="24"/>
              </w:rPr>
            </w:pPr>
            <w:r>
              <w:rPr>
                <w:color w:val="231F20"/>
                <w:sz w:val="24"/>
              </w:rPr>
              <w:t>0</w:t>
            </w:r>
          </w:p>
        </w:tc>
        <w:tc>
          <w:tcPr>
            <w:tcW w:w="1190" w:type="dxa"/>
          </w:tcPr>
          <w:p w14:paraId="61455970"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3C851952"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59292D63" w14:textId="77777777" w:rsidR="00345EE3" w:rsidRDefault="00345EE3" w:rsidP="00D73130">
            <w:pPr>
              <w:pStyle w:val="TableParagraph"/>
              <w:ind w:right="-15"/>
              <w:rPr>
                <w:sz w:val="24"/>
              </w:rPr>
            </w:pPr>
            <w:r>
              <w:rPr>
                <w:color w:val="231F20"/>
                <w:sz w:val="24"/>
              </w:rPr>
              <w:t>0</w:t>
            </w:r>
          </w:p>
        </w:tc>
      </w:tr>
      <w:tr w:rsidR="00345EE3" w14:paraId="6EC583B8" w14:textId="77777777" w:rsidTr="00D73130">
        <w:trPr>
          <w:trHeight w:val="396"/>
        </w:trPr>
        <w:tc>
          <w:tcPr>
            <w:tcW w:w="2891" w:type="dxa"/>
            <w:tcBorders>
              <w:left w:val="nil"/>
            </w:tcBorders>
          </w:tcPr>
          <w:p w14:paraId="0DDDD4B0" w14:textId="77777777" w:rsidR="00345EE3" w:rsidRDefault="00345EE3" w:rsidP="00D73130">
            <w:pPr>
              <w:pStyle w:val="TableParagraph"/>
              <w:jc w:val="left"/>
              <w:rPr>
                <w:sz w:val="24"/>
              </w:rPr>
            </w:pPr>
            <w:r>
              <w:rPr>
                <w:color w:val="231F20"/>
                <w:sz w:val="24"/>
              </w:rPr>
              <w:t>$440,000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$459,999</w:t>
            </w:r>
          </w:p>
        </w:tc>
        <w:tc>
          <w:tcPr>
            <w:tcW w:w="1360" w:type="dxa"/>
          </w:tcPr>
          <w:p w14:paraId="12352055" w14:textId="77777777" w:rsidR="00345EE3" w:rsidRDefault="00345EE3" w:rsidP="00D73130">
            <w:pPr>
              <w:pStyle w:val="TableParagraph"/>
              <w:ind w:right="-15"/>
              <w:rPr>
                <w:sz w:val="24"/>
              </w:rPr>
            </w:pPr>
            <w:r>
              <w:rPr>
                <w:color w:val="231F20"/>
                <w:sz w:val="24"/>
              </w:rPr>
              <w:t>1</w:t>
            </w:r>
          </w:p>
        </w:tc>
        <w:tc>
          <w:tcPr>
            <w:tcW w:w="1190" w:type="dxa"/>
          </w:tcPr>
          <w:p w14:paraId="1B261FCB" w14:textId="77777777" w:rsidR="00345EE3" w:rsidRDefault="00345EE3" w:rsidP="00D73130">
            <w:pPr>
              <w:pStyle w:val="TableParagraph"/>
              <w:ind w:right="-15"/>
              <w:rPr>
                <w:sz w:val="24"/>
              </w:rPr>
            </w:pPr>
            <w:r>
              <w:rPr>
                <w:color w:val="231F20"/>
                <w:sz w:val="24"/>
              </w:rPr>
              <w:t>0</w:t>
            </w:r>
          </w:p>
        </w:tc>
        <w:tc>
          <w:tcPr>
            <w:tcW w:w="1190" w:type="dxa"/>
          </w:tcPr>
          <w:p w14:paraId="209E6A17" w14:textId="77777777" w:rsidR="00345EE3" w:rsidRDefault="00345EE3" w:rsidP="00D73130">
            <w:pPr>
              <w:pStyle w:val="TableParagraph"/>
              <w:ind w:right="-15"/>
              <w:rPr>
                <w:sz w:val="24"/>
              </w:rPr>
            </w:pPr>
            <w:r>
              <w:rPr>
                <w:color w:val="231F20"/>
                <w:sz w:val="24"/>
              </w:rPr>
              <w:t>0</w:t>
            </w:r>
          </w:p>
        </w:tc>
        <w:tc>
          <w:tcPr>
            <w:tcW w:w="1190" w:type="dxa"/>
          </w:tcPr>
          <w:p w14:paraId="7858C8CC"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011C2F27"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31499428" w14:textId="77777777" w:rsidR="00345EE3" w:rsidRDefault="00345EE3" w:rsidP="00D73130">
            <w:pPr>
              <w:pStyle w:val="TableParagraph"/>
              <w:ind w:right="-15"/>
              <w:rPr>
                <w:sz w:val="24"/>
              </w:rPr>
            </w:pPr>
            <w:r>
              <w:rPr>
                <w:color w:val="231F20"/>
                <w:sz w:val="24"/>
              </w:rPr>
              <w:t>0</w:t>
            </w:r>
          </w:p>
        </w:tc>
      </w:tr>
      <w:tr w:rsidR="00345EE3" w14:paraId="51EF6EDC" w14:textId="77777777" w:rsidTr="00D73130">
        <w:trPr>
          <w:trHeight w:val="396"/>
        </w:trPr>
        <w:tc>
          <w:tcPr>
            <w:tcW w:w="2891" w:type="dxa"/>
            <w:tcBorders>
              <w:left w:val="nil"/>
            </w:tcBorders>
          </w:tcPr>
          <w:p w14:paraId="2A5B103C" w14:textId="77777777" w:rsidR="00345EE3" w:rsidRDefault="00345EE3" w:rsidP="00D73130">
            <w:pPr>
              <w:pStyle w:val="TableParagraph"/>
              <w:ind w:left="1"/>
              <w:jc w:val="left"/>
              <w:rPr>
                <w:sz w:val="24"/>
              </w:rPr>
            </w:pPr>
            <w:r>
              <w:rPr>
                <w:color w:val="231F20"/>
                <w:sz w:val="24"/>
              </w:rPr>
              <w:t>$460,000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$479,999</w:t>
            </w:r>
          </w:p>
        </w:tc>
        <w:tc>
          <w:tcPr>
            <w:tcW w:w="1360" w:type="dxa"/>
          </w:tcPr>
          <w:p w14:paraId="028A9CB3" w14:textId="77777777" w:rsidR="00345EE3" w:rsidRDefault="00345EE3" w:rsidP="00D73130">
            <w:pPr>
              <w:pStyle w:val="TableParagraph"/>
              <w:ind w:right="-15"/>
              <w:rPr>
                <w:sz w:val="24"/>
              </w:rPr>
            </w:pPr>
            <w:r>
              <w:rPr>
                <w:color w:val="231F20"/>
                <w:sz w:val="24"/>
              </w:rPr>
              <w:t>0</w:t>
            </w:r>
          </w:p>
        </w:tc>
        <w:tc>
          <w:tcPr>
            <w:tcW w:w="1190" w:type="dxa"/>
          </w:tcPr>
          <w:p w14:paraId="1AAA3CC5" w14:textId="77777777" w:rsidR="00345EE3" w:rsidRDefault="00345EE3" w:rsidP="00D73130">
            <w:pPr>
              <w:pStyle w:val="TableParagraph"/>
              <w:ind w:right="-15"/>
              <w:rPr>
                <w:sz w:val="24"/>
              </w:rPr>
            </w:pPr>
            <w:r>
              <w:rPr>
                <w:color w:val="231F20"/>
                <w:sz w:val="24"/>
              </w:rPr>
              <w:t>0</w:t>
            </w:r>
          </w:p>
        </w:tc>
        <w:tc>
          <w:tcPr>
            <w:tcW w:w="1190" w:type="dxa"/>
          </w:tcPr>
          <w:p w14:paraId="0FEA1ED3" w14:textId="77777777" w:rsidR="00345EE3" w:rsidRDefault="00345EE3" w:rsidP="00D73130">
            <w:pPr>
              <w:pStyle w:val="TableParagraph"/>
              <w:ind w:right="-15"/>
              <w:rPr>
                <w:sz w:val="24"/>
              </w:rPr>
            </w:pPr>
            <w:r>
              <w:rPr>
                <w:color w:val="231F20"/>
                <w:sz w:val="24"/>
              </w:rPr>
              <w:t>0</w:t>
            </w:r>
          </w:p>
        </w:tc>
        <w:tc>
          <w:tcPr>
            <w:tcW w:w="1190" w:type="dxa"/>
          </w:tcPr>
          <w:p w14:paraId="23AD332F"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46916432"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52BDAF00" w14:textId="77777777" w:rsidR="00345EE3" w:rsidRDefault="00345EE3" w:rsidP="00D73130">
            <w:pPr>
              <w:pStyle w:val="TableParagraph"/>
              <w:ind w:right="-15"/>
              <w:rPr>
                <w:sz w:val="24"/>
              </w:rPr>
            </w:pPr>
            <w:r>
              <w:rPr>
                <w:color w:val="231F20"/>
                <w:sz w:val="24"/>
              </w:rPr>
              <w:t>0</w:t>
            </w:r>
          </w:p>
        </w:tc>
      </w:tr>
      <w:tr w:rsidR="00345EE3" w14:paraId="719FB38C" w14:textId="77777777" w:rsidTr="00D73130">
        <w:trPr>
          <w:trHeight w:val="396"/>
        </w:trPr>
        <w:tc>
          <w:tcPr>
            <w:tcW w:w="2891" w:type="dxa"/>
            <w:tcBorders>
              <w:left w:val="nil"/>
            </w:tcBorders>
          </w:tcPr>
          <w:p w14:paraId="697CE249" w14:textId="77777777" w:rsidR="00345EE3" w:rsidRDefault="00345EE3" w:rsidP="00D73130">
            <w:pPr>
              <w:pStyle w:val="TableParagraph"/>
              <w:ind w:left="1"/>
              <w:jc w:val="left"/>
              <w:rPr>
                <w:sz w:val="24"/>
              </w:rPr>
            </w:pPr>
            <w:r>
              <w:rPr>
                <w:color w:val="231F20"/>
                <w:sz w:val="24"/>
              </w:rPr>
              <w:t>$480,000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$499,999</w:t>
            </w:r>
          </w:p>
        </w:tc>
        <w:tc>
          <w:tcPr>
            <w:tcW w:w="1360" w:type="dxa"/>
          </w:tcPr>
          <w:p w14:paraId="7701E7BA" w14:textId="77777777" w:rsidR="00345EE3" w:rsidRDefault="00345EE3" w:rsidP="00D73130">
            <w:pPr>
              <w:pStyle w:val="TableParagraph"/>
              <w:ind w:right="-15"/>
              <w:rPr>
                <w:sz w:val="24"/>
              </w:rPr>
            </w:pPr>
            <w:r>
              <w:rPr>
                <w:color w:val="231F20"/>
                <w:sz w:val="24"/>
              </w:rPr>
              <w:t>0</w:t>
            </w:r>
          </w:p>
        </w:tc>
        <w:tc>
          <w:tcPr>
            <w:tcW w:w="1190" w:type="dxa"/>
          </w:tcPr>
          <w:p w14:paraId="1F23C947" w14:textId="77777777" w:rsidR="00345EE3" w:rsidRDefault="00345EE3" w:rsidP="00D73130">
            <w:pPr>
              <w:pStyle w:val="TableParagraph"/>
              <w:ind w:right="-15"/>
              <w:rPr>
                <w:sz w:val="24"/>
              </w:rPr>
            </w:pPr>
            <w:r>
              <w:rPr>
                <w:color w:val="231F20"/>
                <w:sz w:val="24"/>
              </w:rPr>
              <w:t>0</w:t>
            </w:r>
          </w:p>
        </w:tc>
        <w:tc>
          <w:tcPr>
            <w:tcW w:w="1190" w:type="dxa"/>
          </w:tcPr>
          <w:p w14:paraId="3AED6243" w14:textId="77777777" w:rsidR="00345EE3" w:rsidRDefault="00345EE3" w:rsidP="00D73130">
            <w:pPr>
              <w:pStyle w:val="TableParagraph"/>
              <w:ind w:right="-15"/>
              <w:rPr>
                <w:sz w:val="24"/>
              </w:rPr>
            </w:pPr>
            <w:r>
              <w:rPr>
                <w:color w:val="231F20"/>
                <w:sz w:val="24"/>
              </w:rPr>
              <w:t>0</w:t>
            </w:r>
          </w:p>
        </w:tc>
        <w:tc>
          <w:tcPr>
            <w:tcW w:w="1190" w:type="dxa"/>
          </w:tcPr>
          <w:p w14:paraId="3FDF8A64"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7DCD074D"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3D9E012B" w14:textId="77777777" w:rsidR="00345EE3" w:rsidRDefault="00345EE3" w:rsidP="00D73130">
            <w:pPr>
              <w:pStyle w:val="TableParagraph"/>
              <w:ind w:right="-15"/>
              <w:rPr>
                <w:sz w:val="24"/>
              </w:rPr>
            </w:pPr>
            <w:r>
              <w:rPr>
                <w:color w:val="231F20"/>
                <w:sz w:val="24"/>
              </w:rPr>
              <w:t>0</w:t>
            </w:r>
          </w:p>
        </w:tc>
      </w:tr>
      <w:tr w:rsidR="00345EE3" w14:paraId="007BA107" w14:textId="77777777" w:rsidTr="00D73130">
        <w:trPr>
          <w:trHeight w:val="391"/>
        </w:trPr>
        <w:tc>
          <w:tcPr>
            <w:tcW w:w="2891" w:type="dxa"/>
            <w:tcBorders>
              <w:left w:val="nil"/>
              <w:bottom w:val="single" w:sz="6" w:space="0" w:color="231F20"/>
            </w:tcBorders>
            <w:shd w:val="clear" w:color="auto" w:fill="E6E7E8"/>
          </w:tcPr>
          <w:p w14:paraId="16B7F567" w14:textId="77777777" w:rsidR="00345EE3" w:rsidRDefault="00345EE3" w:rsidP="00D73130">
            <w:pPr>
              <w:pStyle w:val="TableParagraph"/>
              <w:ind w:left="-3"/>
              <w:jc w:val="left"/>
              <w:rPr>
                <w:b/>
                <w:sz w:val="24"/>
              </w:rPr>
            </w:pPr>
            <w:r>
              <w:rPr>
                <w:b/>
                <w:color w:val="231F20"/>
                <w:spacing w:val="-2"/>
                <w:sz w:val="24"/>
              </w:rPr>
              <w:t>Total</w:t>
            </w:r>
          </w:p>
        </w:tc>
        <w:tc>
          <w:tcPr>
            <w:tcW w:w="1360" w:type="dxa"/>
            <w:tcBorders>
              <w:bottom w:val="single" w:sz="6" w:space="0" w:color="231F20"/>
            </w:tcBorders>
            <w:shd w:val="clear" w:color="auto" w:fill="E6E7E8"/>
          </w:tcPr>
          <w:p w14:paraId="2A4E277E" w14:textId="77777777" w:rsidR="00345EE3" w:rsidRDefault="00345EE3" w:rsidP="00D73130">
            <w:pPr>
              <w:pStyle w:val="TableParagraph"/>
              <w:ind w:right="-15"/>
              <w:rPr>
                <w:b/>
                <w:sz w:val="24"/>
              </w:rPr>
            </w:pPr>
            <w:r>
              <w:rPr>
                <w:b/>
                <w:color w:val="231F20"/>
                <w:spacing w:val="-5"/>
                <w:sz w:val="24"/>
              </w:rPr>
              <w:t>49</w:t>
            </w:r>
          </w:p>
        </w:tc>
        <w:tc>
          <w:tcPr>
            <w:tcW w:w="1190" w:type="dxa"/>
            <w:tcBorders>
              <w:bottom w:val="single" w:sz="6" w:space="0" w:color="231F20"/>
            </w:tcBorders>
            <w:shd w:val="clear" w:color="auto" w:fill="E6E7E8"/>
          </w:tcPr>
          <w:p w14:paraId="134DD3A9" w14:textId="77777777" w:rsidR="00345EE3" w:rsidRDefault="00345EE3" w:rsidP="00D73130">
            <w:pPr>
              <w:pStyle w:val="TableParagraph"/>
              <w:ind w:right="-15"/>
              <w:rPr>
                <w:b/>
                <w:sz w:val="24"/>
              </w:rPr>
            </w:pPr>
            <w:r>
              <w:rPr>
                <w:b/>
                <w:color w:val="231F20"/>
                <w:spacing w:val="-5"/>
                <w:sz w:val="24"/>
              </w:rPr>
              <w:t>17</w:t>
            </w:r>
          </w:p>
        </w:tc>
        <w:tc>
          <w:tcPr>
            <w:tcW w:w="1190" w:type="dxa"/>
            <w:tcBorders>
              <w:bottom w:val="single" w:sz="6" w:space="0" w:color="231F20"/>
            </w:tcBorders>
            <w:shd w:val="clear" w:color="auto" w:fill="E6E7E8"/>
          </w:tcPr>
          <w:p w14:paraId="2BBDA76E" w14:textId="77777777" w:rsidR="00345EE3" w:rsidRDefault="00345EE3" w:rsidP="00D73130">
            <w:pPr>
              <w:pStyle w:val="TableParagraph"/>
              <w:ind w:right="-15"/>
              <w:rPr>
                <w:b/>
                <w:sz w:val="24"/>
              </w:rPr>
            </w:pPr>
            <w:r>
              <w:rPr>
                <w:b/>
                <w:color w:val="231F20"/>
                <w:sz w:val="24"/>
              </w:rPr>
              <w:t>0</w:t>
            </w:r>
          </w:p>
        </w:tc>
        <w:tc>
          <w:tcPr>
            <w:tcW w:w="1190" w:type="dxa"/>
            <w:tcBorders>
              <w:bottom w:val="single" w:sz="6" w:space="0" w:color="231F20"/>
            </w:tcBorders>
            <w:shd w:val="clear" w:color="auto" w:fill="E6E7E8"/>
          </w:tcPr>
          <w:p w14:paraId="25CCE0CF" w14:textId="77777777" w:rsidR="00345EE3" w:rsidRDefault="00345EE3" w:rsidP="00D73130">
            <w:pPr>
              <w:pStyle w:val="TableParagraph"/>
              <w:ind w:right="-15"/>
              <w:rPr>
                <w:b/>
                <w:sz w:val="24"/>
              </w:rPr>
            </w:pPr>
            <w:r>
              <w:rPr>
                <w:b/>
                <w:color w:val="231F20"/>
                <w:sz w:val="24"/>
              </w:rPr>
              <w:t>8</w:t>
            </w:r>
          </w:p>
        </w:tc>
        <w:tc>
          <w:tcPr>
            <w:tcW w:w="1190" w:type="dxa"/>
            <w:tcBorders>
              <w:bottom w:val="single" w:sz="6" w:space="0" w:color="231F20"/>
            </w:tcBorders>
            <w:shd w:val="clear" w:color="auto" w:fill="E6E7E8"/>
          </w:tcPr>
          <w:p w14:paraId="3FD9215E" w14:textId="77777777" w:rsidR="00345EE3" w:rsidRDefault="00345EE3" w:rsidP="00D73130">
            <w:pPr>
              <w:pStyle w:val="TableParagraph"/>
              <w:ind w:right="-15"/>
              <w:rPr>
                <w:b/>
                <w:sz w:val="24"/>
              </w:rPr>
            </w:pPr>
            <w:r>
              <w:rPr>
                <w:b/>
                <w:color w:val="231F20"/>
                <w:sz w:val="24"/>
              </w:rPr>
              <w:t>0</w:t>
            </w:r>
          </w:p>
        </w:tc>
        <w:tc>
          <w:tcPr>
            <w:tcW w:w="1190" w:type="dxa"/>
            <w:tcBorders>
              <w:bottom w:val="single" w:sz="6" w:space="0" w:color="231F20"/>
              <w:right w:val="nil"/>
            </w:tcBorders>
            <w:shd w:val="clear" w:color="auto" w:fill="E6E7E8"/>
          </w:tcPr>
          <w:p w14:paraId="07E1E785" w14:textId="77777777" w:rsidR="00345EE3" w:rsidRDefault="00345EE3" w:rsidP="00D73130">
            <w:pPr>
              <w:pStyle w:val="TableParagraph"/>
              <w:ind w:right="-15"/>
              <w:rPr>
                <w:b/>
                <w:sz w:val="24"/>
              </w:rPr>
            </w:pPr>
            <w:r>
              <w:rPr>
                <w:b/>
                <w:color w:val="231F20"/>
                <w:sz w:val="24"/>
              </w:rPr>
              <w:t>0</w:t>
            </w:r>
          </w:p>
        </w:tc>
      </w:tr>
    </w:tbl>
    <w:p w14:paraId="21DD3681" w14:textId="77777777" w:rsidR="00345EE3" w:rsidRPr="00ED2501" w:rsidRDefault="00345EE3" w:rsidP="00345EE3">
      <w:pPr>
        <w:spacing w:before="80"/>
        <w:ind w:left="110"/>
        <w:rPr>
          <w:sz w:val="18"/>
          <w:szCs w:val="18"/>
        </w:rPr>
      </w:pPr>
      <w:r w:rsidRPr="00ED2501">
        <w:rPr>
          <w:rFonts w:ascii="Arial-BoldItalicMT"/>
          <w:b/>
          <w:i/>
          <w:color w:val="231F20"/>
          <w:sz w:val="18"/>
          <w:szCs w:val="18"/>
        </w:rPr>
        <w:t>Source:</w:t>
      </w:r>
      <w:r w:rsidRPr="00ED2501">
        <w:rPr>
          <w:rFonts w:ascii="Arial-BoldItalicMT"/>
          <w:b/>
          <w:i/>
          <w:color w:val="231F20"/>
          <w:spacing w:val="-1"/>
          <w:sz w:val="18"/>
          <w:szCs w:val="18"/>
        </w:rPr>
        <w:t xml:space="preserve"> </w:t>
      </w:r>
      <w:r w:rsidRPr="00ED2501">
        <w:rPr>
          <w:color w:val="231F20"/>
          <w:sz w:val="18"/>
          <w:szCs w:val="18"/>
        </w:rPr>
        <w:t>Human</w:t>
      </w:r>
      <w:r w:rsidRPr="00ED2501">
        <w:rPr>
          <w:color w:val="231F20"/>
          <w:spacing w:val="-1"/>
          <w:sz w:val="18"/>
          <w:szCs w:val="18"/>
        </w:rPr>
        <w:t xml:space="preserve"> </w:t>
      </w:r>
      <w:r w:rsidRPr="00ED2501">
        <w:rPr>
          <w:color w:val="231F20"/>
          <w:sz w:val="18"/>
          <w:szCs w:val="18"/>
        </w:rPr>
        <w:t>Resources</w:t>
      </w:r>
      <w:r w:rsidRPr="00ED2501">
        <w:rPr>
          <w:color w:val="231F20"/>
          <w:spacing w:val="-1"/>
          <w:sz w:val="18"/>
          <w:szCs w:val="18"/>
        </w:rPr>
        <w:t xml:space="preserve"> </w:t>
      </w:r>
      <w:r w:rsidRPr="00ED2501">
        <w:rPr>
          <w:color w:val="231F20"/>
          <w:sz w:val="18"/>
          <w:szCs w:val="18"/>
        </w:rPr>
        <w:t>Command. Data</w:t>
      </w:r>
      <w:r w:rsidRPr="00ED2501">
        <w:rPr>
          <w:color w:val="231F20"/>
          <w:spacing w:val="-1"/>
          <w:sz w:val="18"/>
          <w:szCs w:val="18"/>
        </w:rPr>
        <w:t xml:space="preserve"> </w:t>
      </w:r>
      <w:r w:rsidRPr="00ED2501">
        <w:rPr>
          <w:color w:val="231F20"/>
          <w:sz w:val="18"/>
          <w:szCs w:val="18"/>
        </w:rPr>
        <w:t>extracted</w:t>
      </w:r>
      <w:r w:rsidRPr="00ED2501">
        <w:rPr>
          <w:color w:val="231F20"/>
          <w:spacing w:val="-1"/>
          <w:sz w:val="18"/>
          <w:szCs w:val="18"/>
        </w:rPr>
        <w:t xml:space="preserve"> </w:t>
      </w:r>
      <w:r w:rsidRPr="00ED2501">
        <w:rPr>
          <w:color w:val="231F20"/>
          <w:sz w:val="18"/>
          <w:szCs w:val="18"/>
        </w:rPr>
        <w:t>from</w:t>
      </w:r>
      <w:r w:rsidRPr="00ED2501">
        <w:rPr>
          <w:color w:val="231F20"/>
          <w:spacing w:val="-1"/>
          <w:sz w:val="18"/>
          <w:szCs w:val="18"/>
        </w:rPr>
        <w:t xml:space="preserve"> </w:t>
      </w:r>
      <w:r w:rsidRPr="00ED2501">
        <w:rPr>
          <w:color w:val="231F20"/>
          <w:sz w:val="18"/>
          <w:szCs w:val="18"/>
        </w:rPr>
        <w:t>HR</w:t>
      </w:r>
      <w:r w:rsidRPr="00ED2501">
        <w:rPr>
          <w:color w:val="231F20"/>
          <w:spacing w:val="-1"/>
          <w:sz w:val="18"/>
          <w:szCs w:val="18"/>
        </w:rPr>
        <w:t xml:space="preserve"> </w:t>
      </w:r>
      <w:r w:rsidRPr="00ED2501">
        <w:rPr>
          <w:color w:val="231F20"/>
          <w:sz w:val="18"/>
          <w:szCs w:val="18"/>
        </w:rPr>
        <w:t>Assist as</w:t>
      </w:r>
      <w:r w:rsidRPr="00ED2501">
        <w:rPr>
          <w:color w:val="231F20"/>
          <w:spacing w:val="-1"/>
          <w:sz w:val="18"/>
          <w:szCs w:val="18"/>
        </w:rPr>
        <w:t xml:space="preserve"> </w:t>
      </w:r>
      <w:r w:rsidRPr="00ED2501">
        <w:rPr>
          <w:color w:val="231F20"/>
          <w:sz w:val="18"/>
          <w:szCs w:val="18"/>
        </w:rPr>
        <w:t>at</w:t>
      </w:r>
      <w:r w:rsidRPr="00ED2501">
        <w:rPr>
          <w:color w:val="231F20"/>
          <w:spacing w:val="-1"/>
          <w:sz w:val="18"/>
          <w:szCs w:val="18"/>
        </w:rPr>
        <w:t xml:space="preserve"> </w:t>
      </w:r>
      <w:r w:rsidRPr="00ED2501">
        <w:rPr>
          <w:color w:val="231F20"/>
          <w:sz w:val="18"/>
          <w:szCs w:val="18"/>
        </w:rPr>
        <w:t>18</w:t>
      </w:r>
      <w:r w:rsidRPr="00ED2501">
        <w:rPr>
          <w:color w:val="231F20"/>
          <w:spacing w:val="-1"/>
          <w:sz w:val="18"/>
          <w:szCs w:val="18"/>
        </w:rPr>
        <w:t xml:space="preserve"> </w:t>
      </w:r>
      <w:r w:rsidRPr="00ED2501">
        <w:rPr>
          <w:color w:val="231F20"/>
          <w:sz w:val="18"/>
          <w:szCs w:val="18"/>
        </w:rPr>
        <w:t xml:space="preserve">June </w:t>
      </w:r>
      <w:r w:rsidRPr="00ED2501">
        <w:rPr>
          <w:color w:val="231F20"/>
          <w:spacing w:val="-2"/>
          <w:sz w:val="18"/>
          <w:szCs w:val="18"/>
        </w:rPr>
        <w:t>2022.</w:t>
      </w:r>
    </w:p>
    <w:p w14:paraId="3E80A5BE" w14:textId="77777777" w:rsidR="00345EE3" w:rsidRPr="00ED2501" w:rsidRDefault="00345EE3" w:rsidP="00345EE3">
      <w:pPr>
        <w:spacing w:before="27"/>
        <w:ind w:left="110"/>
        <w:rPr>
          <w:rFonts w:ascii="Arial-BoldItalicMT"/>
          <w:b/>
          <w:i/>
          <w:sz w:val="18"/>
          <w:szCs w:val="18"/>
        </w:rPr>
      </w:pPr>
      <w:r w:rsidRPr="00ED2501">
        <w:rPr>
          <w:rFonts w:ascii="Arial-BoldItalicMT"/>
          <w:b/>
          <w:i/>
          <w:color w:val="231F20"/>
          <w:spacing w:val="-2"/>
          <w:sz w:val="18"/>
          <w:szCs w:val="18"/>
        </w:rPr>
        <w:t>Notes:</w:t>
      </w:r>
    </w:p>
    <w:p w14:paraId="686335D0" w14:textId="77777777" w:rsidR="00345EE3" w:rsidRPr="00ED2501" w:rsidRDefault="00345EE3">
      <w:pPr>
        <w:pStyle w:val="ListParagraph"/>
        <w:numPr>
          <w:ilvl w:val="0"/>
          <w:numId w:val="49"/>
        </w:numPr>
        <w:tabs>
          <w:tab w:val="left" w:pos="338"/>
        </w:tabs>
        <w:spacing w:before="27"/>
        <w:ind w:hanging="228"/>
        <w:rPr>
          <w:sz w:val="18"/>
          <w:szCs w:val="18"/>
        </w:rPr>
      </w:pPr>
      <w:r w:rsidRPr="00ED2501">
        <w:rPr>
          <w:color w:val="231F20"/>
          <w:sz w:val="18"/>
          <w:szCs w:val="18"/>
        </w:rPr>
        <w:t>This</w:t>
      </w:r>
      <w:r w:rsidRPr="00ED2501">
        <w:rPr>
          <w:color w:val="231F20"/>
          <w:spacing w:val="-2"/>
          <w:sz w:val="18"/>
          <w:szCs w:val="18"/>
        </w:rPr>
        <w:t xml:space="preserve"> </w:t>
      </w:r>
      <w:r w:rsidRPr="00ED2501">
        <w:rPr>
          <w:color w:val="231F20"/>
          <w:sz w:val="18"/>
          <w:szCs w:val="18"/>
        </w:rPr>
        <w:t>table</w:t>
      </w:r>
      <w:r w:rsidRPr="00ED2501">
        <w:rPr>
          <w:color w:val="231F20"/>
          <w:spacing w:val="-2"/>
          <w:sz w:val="18"/>
          <w:szCs w:val="18"/>
        </w:rPr>
        <w:t xml:space="preserve"> </w:t>
      </w:r>
      <w:r w:rsidRPr="00ED2501">
        <w:rPr>
          <w:color w:val="231F20"/>
          <w:sz w:val="18"/>
          <w:szCs w:val="18"/>
        </w:rPr>
        <w:t>is</w:t>
      </w:r>
      <w:r w:rsidRPr="00ED2501">
        <w:rPr>
          <w:color w:val="231F20"/>
          <w:spacing w:val="-2"/>
          <w:sz w:val="18"/>
          <w:szCs w:val="18"/>
        </w:rPr>
        <w:t xml:space="preserve"> </w:t>
      </w:r>
      <w:r w:rsidRPr="00ED2501">
        <w:rPr>
          <w:color w:val="231F20"/>
          <w:sz w:val="18"/>
          <w:szCs w:val="18"/>
        </w:rPr>
        <w:t>prepared</w:t>
      </w:r>
      <w:r w:rsidRPr="00ED2501">
        <w:rPr>
          <w:color w:val="231F20"/>
          <w:spacing w:val="-1"/>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accordance</w:t>
      </w:r>
      <w:r w:rsidRPr="00ED2501">
        <w:rPr>
          <w:color w:val="231F20"/>
          <w:spacing w:val="-2"/>
          <w:sz w:val="18"/>
          <w:szCs w:val="18"/>
        </w:rPr>
        <w:t xml:space="preserve"> </w:t>
      </w:r>
      <w:r w:rsidRPr="00ED2501">
        <w:rPr>
          <w:color w:val="231F20"/>
          <w:sz w:val="18"/>
          <w:szCs w:val="18"/>
        </w:rPr>
        <w:t>with</w:t>
      </w:r>
      <w:r w:rsidRPr="00ED2501">
        <w:rPr>
          <w:color w:val="231F20"/>
          <w:spacing w:val="-1"/>
          <w:sz w:val="18"/>
          <w:szCs w:val="18"/>
        </w:rPr>
        <w:t xml:space="preserve"> </w:t>
      </w:r>
      <w:r w:rsidRPr="00ED2501">
        <w:rPr>
          <w:color w:val="231F20"/>
          <w:sz w:val="18"/>
          <w:szCs w:val="18"/>
        </w:rPr>
        <w:t>FRD</w:t>
      </w:r>
      <w:r w:rsidRPr="00ED2501">
        <w:rPr>
          <w:color w:val="231F20"/>
          <w:spacing w:val="-2"/>
          <w:sz w:val="18"/>
          <w:szCs w:val="18"/>
        </w:rPr>
        <w:t xml:space="preserve"> </w:t>
      </w:r>
      <w:r w:rsidRPr="00ED2501">
        <w:rPr>
          <w:color w:val="231F20"/>
          <w:sz w:val="18"/>
          <w:szCs w:val="18"/>
        </w:rPr>
        <w:t>29</w:t>
      </w:r>
      <w:r w:rsidRPr="00ED2501">
        <w:rPr>
          <w:color w:val="231F20"/>
          <w:spacing w:val="-2"/>
          <w:sz w:val="18"/>
          <w:szCs w:val="18"/>
        </w:rPr>
        <w:t xml:space="preserve"> </w:t>
      </w:r>
      <w:r w:rsidRPr="00ED2501">
        <w:rPr>
          <w:color w:val="231F20"/>
          <w:sz w:val="18"/>
          <w:szCs w:val="18"/>
        </w:rPr>
        <w:t>Workforce</w:t>
      </w:r>
      <w:r w:rsidRPr="00ED2501">
        <w:rPr>
          <w:color w:val="231F20"/>
          <w:spacing w:val="-1"/>
          <w:sz w:val="18"/>
          <w:szCs w:val="18"/>
        </w:rPr>
        <w:t xml:space="preserve"> </w:t>
      </w:r>
      <w:r w:rsidRPr="00ED2501">
        <w:rPr>
          <w:color w:val="231F20"/>
          <w:sz w:val="18"/>
          <w:szCs w:val="18"/>
        </w:rPr>
        <w:t>Data</w:t>
      </w:r>
      <w:r w:rsidRPr="00ED2501">
        <w:rPr>
          <w:color w:val="231F20"/>
          <w:spacing w:val="-2"/>
          <w:sz w:val="18"/>
          <w:szCs w:val="18"/>
        </w:rPr>
        <w:t xml:space="preserve"> </w:t>
      </w:r>
      <w:r w:rsidRPr="00ED2501">
        <w:rPr>
          <w:color w:val="231F20"/>
          <w:sz w:val="18"/>
          <w:szCs w:val="18"/>
        </w:rPr>
        <w:t>disclosure</w:t>
      </w:r>
      <w:r w:rsidRPr="00ED2501">
        <w:rPr>
          <w:color w:val="231F20"/>
          <w:spacing w:val="-2"/>
          <w:sz w:val="18"/>
          <w:szCs w:val="18"/>
        </w:rPr>
        <w:t xml:space="preserve"> </w:t>
      </w:r>
      <w:r w:rsidRPr="00ED2501">
        <w:rPr>
          <w:color w:val="231F20"/>
          <w:sz w:val="18"/>
          <w:szCs w:val="18"/>
        </w:rPr>
        <w:t>requirements.</w:t>
      </w:r>
      <w:r w:rsidRPr="00ED2501">
        <w:rPr>
          <w:color w:val="231F20"/>
          <w:spacing w:val="-1"/>
          <w:sz w:val="18"/>
          <w:szCs w:val="18"/>
        </w:rPr>
        <w:t xml:space="preserve"> </w:t>
      </w:r>
      <w:r w:rsidRPr="00ED2501">
        <w:rPr>
          <w:color w:val="231F20"/>
          <w:sz w:val="18"/>
          <w:szCs w:val="18"/>
        </w:rPr>
        <w:t>It</w:t>
      </w:r>
      <w:r w:rsidRPr="00ED2501">
        <w:rPr>
          <w:color w:val="231F20"/>
          <w:spacing w:val="-2"/>
          <w:sz w:val="18"/>
          <w:szCs w:val="18"/>
        </w:rPr>
        <w:t xml:space="preserve"> </w:t>
      </w:r>
      <w:r w:rsidRPr="00ED2501">
        <w:rPr>
          <w:color w:val="231F20"/>
          <w:sz w:val="18"/>
          <w:szCs w:val="18"/>
        </w:rPr>
        <w:t>therefore</w:t>
      </w:r>
      <w:r w:rsidRPr="00ED2501">
        <w:rPr>
          <w:color w:val="231F20"/>
          <w:spacing w:val="-2"/>
          <w:sz w:val="18"/>
          <w:szCs w:val="18"/>
        </w:rPr>
        <w:t xml:space="preserve"> </w:t>
      </w:r>
      <w:r w:rsidRPr="00ED2501">
        <w:rPr>
          <w:color w:val="231F20"/>
          <w:sz w:val="18"/>
          <w:szCs w:val="18"/>
        </w:rPr>
        <w:t>excludes</w:t>
      </w:r>
      <w:r w:rsidRPr="00ED2501">
        <w:rPr>
          <w:color w:val="231F20"/>
          <w:spacing w:val="-1"/>
          <w:sz w:val="18"/>
          <w:szCs w:val="18"/>
        </w:rPr>
        <w:t xml:space="preserve"> </w:t>
      </w:r>
      <w:r w:rsidRPr="00ED2501">
        <w:rPr>
          <w:color w:val="231F20"/>
          <w:sz w:val="18"/>
          <w:szCs w:val="18"/>
        </w:rPr>
        <w:t>staff</w:t>
      </w:r>
      <w:r w:rsidRPr="00ED2501">
        <w:rPr>
          <w:color w:val="231F20"/>
          <w:spacing w:val="-2"/>
          <w:sz w:val="18"/>
          <w:szCs w:val="18"/>
        </w:rPr>
        <w:t xml:space="preserve"> </w:t>
      </w:r>
      <w:r w:rsidRPr="00ED2501">
        <w:rPr>
          <w:color w:val="231F20"/>
          <w:sz w:val="18"/>
          <w:szCs w:val="18"/>
        </w:rPr>
        <w:t>who</w:t>
      </w:r>
      <w:r w:rsidRPr="00ED2501">
        <w:rPr>
          <w:color w:val="231F20"/>
          <w:spacing w:val="-2"/>
          <w:sz w:val="18"/>
          <w:szCs w:val="18"/>
        </w:rPr>
        <w:t xml:space="preserve"> </w:t>
      </w:r>
      <w:r w:rsidRPr="00ED2501">
        <w:rPr>
          <w:color w:val="231F20"/>
          <w:sz w:val="18"/>
          <w:szCs w:val="18"/>
        </w:rPr>
        <w:t>were</w:t>
      </w:r>
      <w:r w:rsidRPr="00ED2501">
        <w:rPr>
          <w:color w:val="231F20"/>
          <w:spacing w:val="-1"/>
          <w:sz w:val="18"/>
          <w:szCs w:val="18"/>
        </w:rPr>
        <w:t xml:space="preserve"> </w:t>
      </w:r>
      <w:r w:rsidRPr="00ED2501">
        <w:rPr>
          <w:color w:val="231F20"/>
          <w:sz w:val="18"/>
          <w:szCs w:val="18"/>
        </w:rPr>
        <w:t>not</w:t>
      </w:r>
      <w:r w:rsidRPr="00ED2501">
        <w:rPr>
          <w:color w:val="231F20"/>
          <w:spacing w:val="-2"/>
          <w:sz w:val="18"/>
          <w:szCs w:val="18"/>
        </w:rPr>
        <w:t xml:space="preserve"> </w:t>
      </w:r>
      <w:r w:rsidRPr="00ED2501">
        <w:rPr>
          <w:color w:val="231F20"/>
          <w:sz w:val="18"/>
          <w:szCs w:val="18"/>
        </w:rPr>
        <w:t>on</w:t>
      </w:r>
      <w:r w:rsidRPr="00ED2501">
        <w:rPr>
          <w:color w:val="231F20"/>
          <w:spacing w:val="-2"/>
          <w:sz w:val="18"/>
          <w:szCs w:val="18"/>
        </w:rPr>
        <w:t xml:space="preserve"> </w:t>
      </w:r>
      <w:r w:rsidRPr="00ED2501">
        <w:rPr>
          <w:color w:val="231F20"/>
          <w:sz w:val="18"/>
          <w:szCs w:val="18"/>
        </w:rPr>
        <w:t>salary</w:t>
      </w:r>
      <w:r w:rsidRPr="00ED2501">
        <w:rPr>
          <w:color w:val="231F20"/>
          <w:spacing w:val="-2"/>
          <w:sz w:val="18"/>
          <w:szCs w:val="18"/>
        </w:rPr>
        <w:t xml:space="preserve"> </w:t>
      </w:r>
      <w:r w:rsidRPr="00ED2501">
        <w:rPr>
          <w:color w:val="231F20"/>
          <w:sz w:val="18"/>
          <w:szCs w:val="18"/>
        </w:rPr>
        <w:t>at</w:t>
      </w:r>
      <w:r w:rsidRPr="00ED2501">
        <w:rPr>
          <w:color w:val="231F20"/>
          <w:spacing w:val="-1"/>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end</w:t>
      </w:r>
      <w:r w:rsidRPr="00ED2501">
        <w:rPr>
          <w:color w:val="231F20"/>
          <w:spacing w:val="-2"/>
          <w:sz w:val="18"/>
          <w:szCs w:val="18"/>
        </w:rPr>
        <w:t xml:space="preserve"> </w:t>
      </w:r>
      <w:r w:rsidRPr="00ED2501">
        <w:rPr>
          <w:color w:val="231F20"/>
          <w:sz w:val="18"/>
          <w:szCs w:val="18"/>
        </w:rPr>
        <w:t>of</w:t>
      </w:r>
      <w:r w:rsidRPr="00ED2501">
        <w:rPr>
          <w:color w:val="231F20"/>
          <w:spacing w:val="-1"/>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last</w:t>
      </w:r>
      <w:r w:rsidRPr="00ED2501">
        <w:rPr>
          <w:color w:val="231F20"/>
          <w:spacing w:val="-2"/>
          <w:sz w:val="18"/>
          <w:szCs w:val="18"/>
        </w:rPr>
        <w:t xml:space="preserve"> </w:t>
      </w:r>
      <w:r w:rsidRPr="00ED2501">
        <w:rPr>
          <w:color w:val="231F20"/>
          <w:sz w:val="18"/>
          <w:szCs w:val="18"/>
        </w:rPr>
        <w:t>pay</w:t>
      </w:r>
      <w:r w:rsidRPr="00ED2501">
        <w:rPr>
          <w:color w:val="231F20"/>
          <w:spacing w:val="-1"/>
          <w:sz w:val="18"/>
          <w:szCs w:val="18"/>
        </w:rPr>
        <w:t xml:space="preserve"> </w:t>
      </w:r>
      <w:r w:rsidRPr="00ED2501">
        <w:rPr>
          <w:color w:val="231F20"/>
          <w:sz w:val="18"/>
          <w:szCs w:val="18"/>
        </w:rPr>
        <w:t>period</w:t>
      </w:r>
      <w:r w:rsidRPr="00ED2501">
        <w:rPr>
          <w:color w:val="231F20"/>
          <w:spacing w:val="-2"/>
          <w:sz w:val="18"/>
          <w:szCs w:val="18"/>
        </w:rPr>
        <w:t xml:space="preserve"> </w:t>
      </w:r>
      <w:r w:rsidRPr="00ED2501">
        <w:rPr>
          <w:color w:val="231F20"/>
          <w:sz w:val="18"/>
          <w:szCs w:val="18"/>
        </w:rPr>
        <w:t>of</w:t>
      </w:r>
      <w:r w:rsidRPr="00ED2501">
        <w:rPr>
          <w:color w:val="231F20"/>
          <w:spacing w:val="-2"/>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financial</w:t>
      </w:r>
      <w:r w:rsidRPr="00ED2501">
        <w:rPr>
          <w:color w:val="231F20"/>
          <w:spacing w:val="-2"/>
          <w:sz w:val="18"/>
          <w:szCs w:val="18"/>
        </w:rPr>
        <w:t xml:space="preserve"> </w:t>
      </w:r>
      <w:r w:rsidRPr="00ED2501">
        <w:rPr>
          <w:color w:val="231F20"/>
          <w:sz w:val="18"/>
          <w:szCs w:val="18"/>
        </w:rPr>
        <w:t>year</w:t>
      </w:r>
      <w:r w:rsidRPr="00ED2501">
        <w:rPr>
          <w:color w:val="231F20"/>
          <w:spacing w:val="-2"/>
          <w:sz w:val="18"/>
          <w:szCs w:val="18"/>
        </w:rPr>
        <w:t xml:space="preserve"> </w:t>
      </w:r>
      <w:r w:rsidRPr="00ED2501">
        <w:rPr>
          <w:color w:val="231F20"/>
          <w:sz w:val="18"/>
          <w:szCs w:val="18"/>
        </w:rPr>
        <w:t>(which</w:t>
      </w:r>
      <w:r w:rsidRPr="00ED2501">
        <w:rPr>
          <w:color w:val="231F20"/>
          <w:spacing w:val="-1"/>
          <w:sz w:val="18"/>
          <w:szCs w:val="18"/>
        </w:rPr>
        <w:t xml:space="preserve"> </w:t>
      </w:r>
      <w:r w:rsidRPr="00ED2501">
        <w:rPr>
          <w:color w:val="231F20"/>
          <w:sz w:val="18"/>
          <w:szCs w:val="18"/>
        </w:rPr>
        <w:t>ended</w:t>
      </w:r>
      <w:r w:rsidRPr="00ED2501">
        <w:rPr>
          <w:color w:val="231F20"/>
          <w:spacing w:val="-2"/>
          <w:sz w:val="18"/>
          <w:szCs w:val="18"/>
        </w:rPr>
        <w:t xml:space="preserve"> </w:t>
      </w:r>
      <w:r w:rsidRPr="00ED2501">
        <w:rPr>
          <w:color w:val="231F20"/>
          <w:sz w:val="18"/>
          <w:szCs w:val="18"/>
        </w:rPr>
        <w:t>18</w:t>
      </w:r>
      <w:r w:rsidRPr="00ED2501">
        <w:rPr>
          <w:color w:val="231F20"/>
          <w:spacing w:val="-2"/>
          <w:sz w:val="18"/>
          <w:szCs w:val="18"/>
        </w:rPr>
        <w:t xml:space="preserve"> </w:t>
      </w:r>
      <w:r w:rsidRPr="00ED2501">
        <w:rPr>
          <w:color w:val="231F20"/>
          <w:sz w:val="18"/>
          <w:szCs w:val="18"/>
        </w:rPr>
        <w:t>June</w:t>
      </w:r>
      <w:r w:rsidRPr="00ED2501">
        <w:rPr>
          <w:color w:val="231F20"/>
          <w:spacing w:val="-1"/>
          <w:sz w:val="18"/>
          <w:szCs w:val="18"/>
        </w:rPr>
        <w:t xml:space="preserve"> </w:t>
      </w:r>
      <w:r w:rsidRPr="00ED2501">
        <w:rPr>
          <w:color w:val="231F20"/>
          <w:spacing w:val="-2"/>
          <w:sz w:val="18"/>
          <w:szCs w:val="18"/>
        </w:rPr>
        <w:t>2022).</w:t>
      </w:r>
    </w:p>
    <w:p w14:paraId="41144F2B" w14:textId="77777777" w:rsidR="00345EE3" w:rsidRPr="00ED2501" w:rsidRDefault="00345EE3">
      <w:pPr>
        <w:pStyle w:val="ListParagraph"/>
        <w:numPr>
          <w:ilvl w:val="0"/>
          <w:numId w:val="49"/>
        </w:numPr>
        <w:tabs>
          <w:tab w:val="left" w:pos="338"/>
        </w:tabs>
        <w:spacing w:before="27"/>
        <w:ind w:hanging="228"/>
        <w:rPr>
          <w:sz w:val="18"/>
          <w:szCs w:val="18"/>
        </w:rPr>
      </w:pPr>
      <w:r w:rsidRPr="00ED2501">
        <w:rPr>
          <w:color w:val="231F20"/>
          <w:sz w:val="18"/>
          <w:szCs w:val="18"/>
        </w:rPr>
        <w:t>The</w:t>
      </w:r>
      <w:r w:rsidRPr="00ED2501">
        <w:rPr>
          <w:color w:val="231F20"/>
          <w:spacing w:val="-5"/>
          <w:sz w:val="18"/>
          <w:szCs w:val="18"/>
        </w:rPr>
        <w:t xml:space="preserve"> </w:t>
      </w:r>
      <w:r w:rsidRPr="00ED2501">
        <w:rPr>
          <w:color w:val="231F20"/>
          <w:sz w:val="18"/>
          <w:szCs w:val="18"/>
        </w:rPr>
        <w:t>salaries</w:t>
      </w:r>
      <w:r w:rsidRPr="00ED2501">
        <w:rPr>
          <w:color w:val="231F20"/>
          <w:spacing w:val="-3"/>
          <w:sz w:val="18"/>
          <w:szCs w:val="18"/>
        </w:rPr>
        <w:t xml:space="preserve"> </w:t>
      </w:r>
      <w:r w:rsidRPr="00ED2501">
        <w:rPr>
          <w:color w:val="231F20"/>
          <w:sz w:val="18"/>
          <w:szCs w:val="18"/>
        </w:rPr>
        <w:t>reported</w:t>
      </w:r>
      <w:r w:rsidRPr="00ED2501">
        <w:rPr>
          <w:color w:val="231F20"/>
          <w:spacing w:val="-3"/>
          <w:sz w:val="18"/>
          <w:szCs w:val="18"/>
        </w:rPr>
        <w:t xml:space="preserve"> </w:t>
      </w:r>
      <w:r w:rsidRPr="00ED2501">
        <w:rPr>
          <w:color w:val="231F20"/>
          <w:sz w:val="18"/>
          <w:szCs w:val="18"/>
        </w:rPr>
        <w:t>above</w:t>
      </w:r>
      <w:r w:rsidRPr="00ED2501">
        <w:rPr>
          <w:color w:val="231F20"/>
          <w:spacing w:val="-3"/>
          <w:sz w:val="18"/>
          <w:szCs w:val="18"/>
        </w:rPr>
        <w:t xml:space="preserve"> </w:t>
      </w:r>
      <w:r w:rsidRPr="00ED2501">
        <w:rPr>
          <w:color w:val="231F20"/>
          <w:sz w:val="18"/>
          <w:szCs w:val="18"/>
        </w:rPr>
        <w:t>are</w:t>
      </w:r>
      <w:r w:rsidRPr="00ED2501">
        <w:rPr>
          <w:color w:val="231F20"/>
          <w:spacing w:val="-3"/>
          <w:sz w:val="18"/>
          <w:szCs w:val="18"/>
        </w:rPr>
        <w:t xml:space="preserve"> </w:t>
      </w:r>
      <w:r w:rsidRPr="00ED2501">
        <w:rPr>
          <w:color w:val="231F20"/>
          <w:sz w:val="18"/>
          <w:szCs w:val="18"/>
        </w:rPr>
        <w:t>for</w:t>
      </w:r>
      <w:r w:rsidRPr="00ED2501">
        <w:rPr>
          <w:color w:val="231F20"/>
          <w:spacing w:val="-3"/>
          <w:sz w:val="18"/>
          <w:szCs w:val="18"/>
        </w:rPr>
        <w:t xml:space="preserve"> </w:t>
      </w:r>
      <w:r w:rsidRPr="00ED2501">
        <w:rPr>
          <w:color w:val="231F20"/>
          <w:sz w:val="18"/>
          <w:szCs w:val="18"/>
        </w:rPr>
        <w:t>the</w:t>
      </w:r>
      <w:r w:rsidRPr="00ED2501">
        <w:rPr>
          <w:color w:val="231F20"/>
          <w:spacing w:val="-3"/>
          <w:sz w:val="18"/>
          <w:szCs w:val="18"/>
        </w:rPr>
        <w:t xml:space="preserve"> </w:t>
      </w:r>
      <w:r w:rsidRPr="00ED2501">
        <w:rPr>
          <w:color w:val="231F20"/>
          <w:sz w:val="18"/>
          <w:szCs w:val="18"/>
        </w:rPr>
        <w:t>full</w:t>
      </w:r>
      <w:r w:rsidRPr="00ED2501">
        <w:rPr>
          <w:color w:val="231F20"/>
          <w:spacing w:val="-2"/>
          <w:sz w:val="18"/>
          <w:szCs w:val="18"/>
        </w:rPr>
        <w:t xml:space="preserve"> </w:t>
      </w:r>
      <w:r w:rsidRPr="00ED2501">
        <w:rPr>
          <w:color w:val="231F20"/>
          <w:sz w:val="18"/>
          <w:szCs w:val="18"/>
        </w:rPr>
        <w:t>financial</w:t>
      </w:r>
      <w:r w:rsidRPr="00ED2501">
        <w:rPr>
          <w:color w:val="231F20"/>
          <w:spacing w:val="-3"/>
          <w:sz w:val="18"/>
          <w:szCs w:val="18"/>
        </w:rPr>
        <w:t xml:space="preserve"> </w:t>
      </w:r>
      <w:r w:rsidRPr="00ED2501">
        <w:rPr>
          <w:color w:val="231F20"/>
          <w:sz w:val="18"/>
          <w:szCs w:val="18"/>
        </w:rPr>
        <w:t>year,</w:t>
      </w:r>
      <w:r w:rsidRPr="00ED2501">
        <w:rPr>
          <w:color w:val="231F20"/>
          <w:spacing w:val="-3"/>
          <w:sz w:val="18"/>
          <w:szCs w:val="18"/>
        </w:rPr>
        <w:t xml:space="preserve"> </w:t>
      </w:r>
      <w:r w:rsidRPr="00ED2501">
        <w:rPr>
          <w:color w:val="231F20"/>
          <w:sz w:val="18"/>
          <w:szCs w:val="18"/>
        </w:rPr>
        <w:t>at</w:t>
      </w:r>
      <w:r w:rsidRPr="00ED2501">
        <w:rPr>
          <w:color w:val="231F20"/>
          <w:spacing w:val="-3"/>
          <w:sz w:val="18"/>
          <w:szCs w:val="18"/>
        </w:rPr>
        <w:t xml:space="preserve"> </w:t>
      </w:r>
      <w:r w:rsidRPr="00ED2501">
        <w:rPr>
          <w:color w:val="231F20"/>
          <w:sz w:val="18"/>
          <w:szCs w:val="18"/>
        </w:rPr>
        <w:t>a</w:t>
      </w:r>
      <w:r w:rsidRPr="00ED2501">
        <w:rPr>
          <w:color w:val="231F20"/>
          <w:spacing w:val="-3"/>
          <w:sz w:val="18"/>
          <w:szCs w:val="18"/>
        </w:rPr>
        <w:t xml:space="preserve"> </w:t>
      </w:r>
      <w:r w:rsidRPr="00ED2501">
        <w:rPr>
          <w:color w:val="231F20"/>
          <w:sz w:val="18"/>
          <w:szCs w:val="18"/>
        </w:rPr>
        <w:t>1.0FTE</w:t>
      </w:r>
      <w:r w:rsidRPr="00ED2501">
        <w:rPr>
          <w:color w:val="231F20"/>
          <w:spacing w:val="-3"/>
          <w:sz w:val="18"/>
          <w:szCs w:val="18"/>
        </w:rPr>
        <w:t xml:space="preserve"> </w:t>
      </w:r>
      <w:r w:rsidRPr="00ED2501">
        <w:rPr>
          <w:color w:val="231F20"/>
          <w:sz w:val="18"/>
          <w:szCs w:val="18"/>
        </w:rPr>
        <w:t>rate,</w:t>
      </w:r>
      <w:r w:rsidRPr="00ED2501">
        <w:rPr>
          <w:color w:val="231F20"/>
          <w:spacing w:val="-3"/>
          <w:sz w:val="18"/>
          <w:szCs w:val="18"/>
        </w:rPr>
        <w:t xml:space="preserve"> </w:t>
      </w:r>
      <w:r w:rsidRPr="00ED2501">
        <w:rPr>
          <w:color w:val="231F20"/>
          <w:sz w:val="18"/>
          <w:szCs w:val="18"/>
        </w:rPr>
        <w:t>and</w:t>
      </w:r>
      <w:r w:rsidRPr="00ED2501">
        <w:rPr>
          <w:color w:val="231F20"/>
          <w:spacing w:val="-3"/>
          <w:sz w:val="18"/>
          <w:szCs w:val="18"/>
        </w:rPr>
        <w:t xml:space="preserve"> </w:t>
      </w:r>
      <w:r w:rsidRPr="00ED2501">
        <w:rPr>
          <w:color w:val="231F20"/>
          <w:sz w:val="18"/>
          <w:szCs w:val="18"/>
        </w:rPr>
        <w:t>excludes</w:t>
      </w:r>
      <w:r w:rsidRPr="00ED2501">
        <w:rPr>
          <w:color w:val="231F20"/>
          <w:spacing w:val="-2"/>
          <w:sz w:val="18"/>
          <w:szCs w:val="18"/>
        </w:rPr>
        <w:t xml:space="preserve"> superannuation.</w:t>
      </w:r>
    </w:p>
    <w:p w14:paraId="432DFFF5" w14:textId="77777777" w:rsidR="00345EE3" w:rsidRPr="00ED2501" w:rsidRDefault="00345EE3">
      <w:pPr>
        <w:pStyle w:val="ListParagraph"/>
        <w:numPr>
          <w:ilvl w:val="0"/>
          <w:numId w:val="49"/>
        </w:numPr>
        <w:tabs>
          <w:tab w:val="left" w:pos="338"/>
        </w:tabs>
        <w:spacing w:before="28"/>
        <w:ind w:hanging="228"/>
        <w:rPr>
          <w:sz w:val="18"/>
          <w:szCs w:val="18"/>
        </w:rPr>
      </w:pPr>
      <w:r w:rsidRPr="00ED2501">
        <w:rPr>
          <w:color w:val="231F20"/>
          <w:sz w:val="18"/>
          <w:szCs w:val="18"/>
        </w:rPr>
        <w:t>Number</w:t>
      </w:r>
      <w:r w:rsidRPr="00ED2501">
        <w:rPr>
          <w:color w:val="231F20"/>
          <w:spacing w:val="-1"/>
          <w:sz w:val="18"/>
          <w:szCs w:val="18"/>
        </w:rPr>
        <w:t xml:space="preserve"> </w:t>
      </w:r>
      <w:r w:rsidRPr="00ED2501">
        <w:rPr>
          <w:color w:val="231F20"/>
          <w:sz w:val="18"/>
          <w:szCs w:val="18"/>
        </w:rPr>
        <w:t>of</w:t>
      </w:r>
      <w:r w:rsidRPr="00ED2501">
        <w:rPr>
          <w:color w:val="231F20"/>
          <w:spacing w:val="-1"/>
          <w:sz w:val="18"/>
          <w:szCs w:val="18"/>
        </w:rPr>
        <w:t xml:space="preserve"> </w:t>
      </w:r>
      <w:r w:rsidRPr="00ED2501">
        <w:rPr>
          <w:color w:val="231F20"/>
          <w:sz w:val="18"/>
          <w:szCs w:val="18"/>
        </w:rPr>
        <w:t>‘Executives’</w:t>
      </w:r>
      <w:r w:rsidRPr="00ED2501">
        <w:rPr>
          <w:color w:val="231F20"/>
          <w:spacing w:val="-1"/>
          <w:sz w:val="18"/>
          <w:szCs w:val="18"/>
        </w:rPr>
        <w:t xml:space="preserve"> </w:t>
      </w:r>
      <w:r w:rsidRPr="00ED2501">
        <w:rPr>
          <w:color w:val="231F20"/>
          <w:sz w:val="18"/>
          <w:szCs w:val="18"/>
        </w:rPr>
        <w:t>includes</w:t>
      </w:r>
      <w:r w:rsidRPr="00ED2501">
        <w:rPr>
          <w:color w:val="231F20"/>
          <w:spacing w:val="-1"/>
          <w:sz w:val="18"/>
          <w:szCs w:val="18"/>
        </w:rPr>
        <w:t xml:space="preserve"> </w:t>
      </w:r>
      <w:r w:rsidRPr="00ED2501">
        <w:rPr>
          <w:color w:val="231F20"/>
          <w:sz w:val="18"/>
          <w:szCs w:val="18"/>
        </w:rPr>
        <w:t>Senior</w:t>
      </w:r>
      <w:r w:rsidRPr="00ED2501">
        <w:rPr>
          <w:color w:val="231F20"/>
          <w:spacing w:val="-1"/>
          <w:sz w:val="18"/>
          <w:szCs w:val="18"/>
        </w:rPr>
        <w:t xml:space="preserve"> </w:t>
      </w:r>
      <w:r w:rsidRPr="00ED2501">
        <w:rPr>
          <w:color w:val="231F20"/>
          <w:sz w:val="18"/>
          <w:szCs w:val="18"/>
        </w:rPr>
        <w:t>Executive Services</w:t>
      </w:r>
      <w:r w:rsidRPr="00ED2501">
        <w:rPr>
          <w:color w:val="231F20"/>
          <w:spacing w:val="-1"/>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Assistant</w:t>
      </w:r>
      <w:r w:rsidRPr="00ED2501">
        <w:rPr>
          <w:color w:val="231F20"/>
          <w:spacing w:val="-1"/>
          <w:sz w:val="18"/>
          <w:szCs w:val="18"/>
        </w:rPr>
        <w:t xml:space="preserve"> </w:t>
      </w:r>
      <w:r w:rsidRPr="00ED2501">
        <w:rPr>
          <w:color w:val="231F20"/>
          <w:sz w:val="18"/>
          <w:szCs w:val="18"/>
        </w:rPr>
        <w:t>Commissioners</w:t>
      </w:r>
      <w:r w:rsidRPr="00ED2501">
        <w:rPr>
          <w:color w:val="231F20"/>
          <w:spacing w:val="-1"/>
          <w:sz w:val="18"/>
          <w:szCs w:val="18"/>
        </w:rPr>
        <w:t xml:space="preserve"> </w:t>
      </w:r>
      <w:r w:rsidRPr="00ED2501">
        <w:rPr>
          <w:color w:val="231F20"/>
          <w:sz w:val="18"/>
          <w:szCs w:val="18"/>
        </w:rPr>
        <w:t>from</w:t>
      </w:r>
      <w:r w:rsidRPr="00ED2501">
        <w:rPr>
          <w:color w:val="231F20"/>
          <w:spacing w:val="-1"/>
          <w:sz w:val="18"/>
          <w:szCs w:val="18"/>
        </w:rPr>
        <w:t xml:space="preserve"> </w:t>
      </w:r>
      <w:r w:rsidRPr="00ED2501">
        <w:rPr>
          <w:color w:val="231F20"/>
          <w:sz w:val="18"/>
          <w:szCs w:val="18"/>
        </w:rPr>
        <w:t xml:space="preserve">Table </w:t>
      </w:r>
      <w:r w:rsidRPr="00ED2501">
        <w:rPr>
          <w:color w:val="231F20"/>
          <w:spacing w:val="-2"/>
          <w:sz w:val="18"/>
          <w:szCs w:val="18"/>
        </w:rPr>
        <w:t>5.37.</w:t>
      </w:r>
    </w:p>
    <w:p w14:paraId="56C143F4" w14:textId="77777777" w:rsidR="00345EE3" w:rsidRPr="00ED2501" w:rsidRDefault="00345EE3">
      <w:pPr>
        <w:pStyle w:val="ListParagraph"/>
        <w:numPr>
          <w:ilvl w:val="0"/>
          <w:numId w:val="49"/>
        </w:numPr>
        <w:tabs>
          <w:tab w:val="left" w:pos="338"/>
        </w:tabs>
        <w:spacing w:before="27"/>
        <w:ind w:hanging="228"/>
        <w:rPr>
          <w:sz w:val="18"/>
          <w:szCs w:val="18"/>
        </w:rPr>
      </w:pPr>
      <w:r w:rsidRPr="00ED2501">
        <w:rPr>
          <w:color w:val="231F20"/>
          <w:sz w:val="18"/>
          <w:szCs w:val="18"/>
        </w:rPr>
        <w:t>SMA</w:t>
      </w:r>
      <w:r w:rsidRPr="00ED2501">
        <w:rPr>
          <w:color w:val="231F20"/>
          <w:spacing w:val="-1"/>
          <w:sz w:val="18"/>
          <w:szCs w:val="18"/>
        </w:rPr>
        <w:t xml:space="preserve"> </w:t>
      </w:r>
      <w:r w:rsidRPr="00ED2501">
        <w:rPr>
          <w:color w:val="231F20"/>
          <w:sz w:val="18"/>
          <w:szCs w:val="18"/>
        </w:rPr>
        <w:t>is</w:t>
      </w:r>
      <w:r w:rsidRPr="00ED2501">
        <w:rPr>
          <w:color w:val="231F20"/>
          <w:spacing w:val="-1"/>
          <w:sz w:val="18"/>
          <w:szCs w:val="18"/>
        </w:rPr>
        <w:t xml:space="preserve"> </w:t>
      </w:r>
      <w:r w:rsidRPr="00ED2501">
        <w:rPr>
          <w:color w:val="231F20"/>
          <w:sz w:val="18"/>
          <w:szCs w:val="18"/>
        </w:rPr>
        <w:t>a Senior</w:t>
      </w:r>
      <w:r w:rsidRPr="00ED2501">
        <w:rPr>
          <w:color w:val="231F20"/>
          <w:spacing w:val="-1"/>
          <w:sz w:val="18"/>
          <w:szCs w:val="18"/>
        </w:rPr>
        <w:t xml:space="preserve"> </w:t>
      </w:r>
      <w:r w:rsidRPr="00ED2501">
        <w:rPr>
          <w:color w:val="231F20"/>
          <w:sz w:val="18"/>
          <w:szCs w:val="18"/>
        </w:rPr>
        <w:t>Medical Advisor.</w:t>
      </w:r>
      <w:r w:rsidRPr="00ED2501">
        <w:rPr>
          <w:color w:val="231F20"/>
          <w:spacing w:val="-1"/>
          <w:sz w:val="18"/>
          <w:szCs w:val="18"/>
        </w:rPr>
        <w:t xml:space="preserve"> </w:t>
      </w:r>
      <w:r w:rsidRPr="00ED2501">
        <w:rPr>
          <w:color w:val="231F20"/>
          <w:sz w:val="18"/>
          <w:szCs w:val="18"/>
        </w:rPr>
        <w:t>Police</w:t>
      </w:r>
      <w:r w:rsidRPr="00ED2501">
        <w:rPr>
          <w:color w:val="231F20"/>
          <w:spacing w:val="-1"/>
          <w:sz w:val="18"/>
          <w:szCs w:val="18"/>
        </w:rPr>
        <w:t xml:space="preserve"> </w:t>
      </w:r>
      <w:r w:rsidRPr="00ED2501">
        <w:rPr>
          <w:color w:val="231F20"/>
          <w:sz w:val="18"/>
          <w:szCs w:val="18"/>
        </w:rPr>
        <w:t>Medical Officers</w:t>
      </w:r>
      <w:r w:rsidRPr="00ED2501">
        <w:rPr>
          <w:color w:val="231F20"/>
          <w:spacing w:val="-1"/>
          <w:sz w:val="18"/>
          <w:szCs w:val="18"/>
        </w:rPr>
        <w:t xml:space="preserve"> </w:t>
      </w:r>
      <w:r w:rsidRPr="00ED2501">
        <w:rPr>
          <w:color w:val="231F20"/>
          <w:sz w:val="18"/>
          <w:szCs w:val="18"/>
        </w:rPr>
        <w:t>are included</w:t>
      </w:r>
      <w:r w:rsidRPr="00ED2501">
        <w:rPr>
          <w:color w:val="231F20"/>
          <w:spacing w:val="-1"/>
          <w:sz w:val="18"/>
          <w:szCs w:val="18"/>
        </w:rPr>
        <w:t xml:space="preserve"> </w:t>
      </w:r>
      <w:r w:rsidRPr="00ED2501">
        <w:rPr>
          <w:color w:val="231F20"/>
          <w:sz w:val="18"/>
          <w:szCs w:val="18"/>
        </w:rPr>
        <w:t>with VPS</w:t>
      </w:r>
      <w:r w:rsidRPr="00ED2501">
        <w:rPr>
          <w:color w:val="231F20"/>
          <w:spacing w:val="-1"/>
          <w:sz w:val="18"/>
          <w:szCs w:val="18"/>
        </w:rPr>
        <w:t xml:space="preserve"> </w:t>
      </w:r>
      <w:r w:rsidRPr="00ED2501">
        <w:rPr>
          <w:color w:val="231F20"/>
          <w:sz w:val="18"/>
          <w:szCs w:val="18"/>
        </w:rPr>
        <w:t>but</w:t>
      </w:r>
      <w:r w:rsidRPr="00ED2501">
        <w:rPr>
          <w:color w:val="231F20"/>
          <w:spacing w:val="-1"/>
          <w:sz w:val="18"/>
          <w:szCs w:val="18"/>
        </w:rPr>
        <w:t xml:space="preserve"> </w:t>
      </w:r>
      <w:r w:rsidRPr="00ED2501">
        <w:rPr>
          <w:color w:val="231F20"/>
          <w:sz w:val="18"/>
          <w:szCs w:val="18"/>
        </w:rPr>
        <w:t>are employed</w:t>
      </w:r>
      <w:r w:rsidRPr="00ED2501">
        <w:rPr>
          <w:color w:val="231F20"/>
          <w:spacing w:val="-1"/>
          <w:sz w:val="18"/>
          <w:szCs w:val="18"/>
        </w:rPr>
        <w:t xml:space="preserve"> </w:t>
      </w:r>
      <w:r w:rsidRPr="00ED2501">
        <w:rPr>
          <w:color w:val="231F20"/>
          <w:sz w:val="18"/>
          <w:szCs w:val="18"/>
        </w:rPr>
        <w:t>as Senior</w:t>
      </w:r>
      <w:r w:rsidRPr="00ED2501">
        <w:rPr>
          <w:color w:val="231F20"/>
          <w:spacing w:val="-1"/>
          <w:sz w:val="18"/>
          <w:szCs w:val="18"/>
        </w:rPr>
        <w:t xml:space="preserve"> </w:t>
      </w:r>
      <w:r w:rsidRPr="00ED2501">
        <w:rPr>
          <w:color w:val="231F20"/>
          <w:sz w:val="18"/>
          <w:szCs w:val="18"/>
        </w:rPr>
        <w:t xml:space="preserve">Medical </w:t>
      </w:r>
      <w:r w:rsidRPr="00ED2501">
        <w:rPr>
          <w:color w:val="231F20"/>
          <w:spacing w:val="-2"/>
          <w:sz w:val="18"/>
          <w:szCs w:val="18"/>
        </w:rPr>
        <w:t>Advisors.</w:t>
      </w:r>
    </w:p>
    <w:p w14:paraId="4F58BB56" w14:textId="77777777" w:rsidR="00345EE3" w:rsidRPr="00ED2501" w:rsidRDefault="00345EE3">
      <w:pPr>
        <w:pStyle w:val="ListParagraph"/>
        <w:numPr>
          <w:ilvl w:val="0"/>
          <w:numId w:val="49"/>
        </w:numPr>
        <w:tabs>
          <w:tab w:val="left" w:pos="338"/>
        </w:tabs>
        <w:spacing w:before="27"/>
        <w:ind w:hanging="228"/>
        <w:rPr>
          <w:sz w:val="18"/>
          <w:szCs w:val="18"/>
        </w:rPr>
      </w:pPr>
      <w:r w:rsidRPr="00ED2501">
        <w:rPr>
          <w:color w:val="231F20"/>
          <w:sz w:val="18"/>
          <w:szCs w:val="18"/>
        </w:rPr>
        <w:t>STS</w:t>
      </w:r>
      <w:r w:rsidRPr="00ED2501">
        <w:rPr>
          <w:color w:val="231F20"/>
          <w:spacing w:val="-5"/>
          <w:sz w:val="18"/>
          <w:szCs w:val="18"/>
        </w:rPr>
        <w:t xml:space="preserve"> </w:t>
      </w:r>
      <w:r w:rsidRPr="00ED2501">
        <w:rPr>
          <w:color w:val="231F20"/>
          <w:sz w:val="18"/>
          <w:szCs w:val="18"/>
        </w:rPr>
        <w:t>refers</w:t>
      </w:r>
      <w:r w:rsidRPr="00ED2501">
        <w:rPr>
          <w:color w:val="231F20"/>
          <w:spacing w:val="-3"/>
          <w:sz w:val="18"/>
          <w:szCs w:val="18"/>
        </w:rPr>
        <w:t xml:space="preserve"> </w:t>
      </w:r>
      <w:r w:rsidRPr="00ED2501">
        <w:rPr>
          <w:color w:val="231F20"/>
          <w:sz w:val="18"/>
          <w:szCs w:val="18"/>
        </w:rPr>
        <w:t>to</w:t>
      </w:r>
      <w:r w:rsidRPr="00ED2501">
        <w:rPr>
          <w:color w:val="231F20"/>
          <w:spacing w:val="-2"/>
          <w:sz w:val="18"/>
          <w:szCs w:val="18"/>
        </w:rPr>
        <w:t xml:space="preserve"> </w:t>
      </w:r>
      <w:r w:rsidRPr="00ED2501">
        <w:rPr>
          <w:color w:val="231F20"/>
          <w:sz w:val="18"/>
          <w:szCs w:val="18"/>
        </w:rPr>
        <w:t>Senior</w:t>
      </w:r>
      <w:r w:rsidRPr="00ED2501">
        <w:rPr>
          <w:color w:val="231F20"/>
          <w:spacing w:val="-3"/>
          <w:sz w:val="18"/>
          <w:szCs w:val="18"/>
        </w:rPr>
        <w:t xml:space="preserve"> </w:t>
      </w:r>
      <w:r w:rsidRPr="00ED2501">
        <w:rPr>
          <w:color w:val="231F20"/>
          <w:sz w:val="18"/>
          <w:szCs w:val="18"/>
        </w:rPr>
        <w:t>Technical</w:t>
      </w:r>
      <w:r w:rsidRPr="00ED2501">
        <w:rPr>
          <w:color w:val="231F20"/>
          <w:spacing w:val="-2"/>
          <w:sz w:val="18"/>
          <w:szCs w:val="18"/>
        </w:rPr>
        <w:t xml:space="preserve"> </w:t>
      </w:r>
      <w:r w:rsidRPr="00ED2501">
        <w:rPr>
          <w:color w:val="231F20"/>
          <w:sz w:val="18"/>
          <w:szCs w:val="18"/>
        </w:rPr>
        <w:t>Specialist.</w:t>
      </w:r>
      <w:r w:rsidRPr="00ED2501">
        <w:rPr>
          <w:color w:val="231F20"/>
          <w:spacing w:val="-3"/>
          <w:sz w:val="18"/>
          <w:szCs w:val="18"/>
        </w:rPr>
        <w:t xml:space="preserve"> </w:t>
      </w:r>
      <w:r w:rsidRPr="00ED2501">
        <w:rPr>
          <w:color w:val="231F20"/>
          <w:sz w:val="18"/>
          <w:szCs w:val="18"/>
        </w:rPr>
        <w:t>Please</w:t>
      </w:r>
      <w:r w:rsidRPr="00ED2501">
        <w:rPr>
          <w:color w:val="231F20"/>
          <w:spacing w:val="-2"/>
          <w:sz w:val="18"/>
          <w:szCs w:val="18"/>
        </w:rPr>
        <w:t xml:space="preserve"> </w:t>
      </w:r>
      <w:r w:rsidRPr="00ED2501">
        <w:rPr>
          <w:color w:val="231F20"/>
          <w:sz w:val="18"/>
          <w:szCs w:val="18"/>
        </w:rPr>
        <w:t>note</w:t>
      </w:r>
      <w:r w:rsidRPr="00ED2501">
        <w:rPr>
          <w:color w:val="231F20"/>
          <w:spacing w:val="-3"/>
          <w:sz w:val="18"/>
          <w:szCs w:val="18"/>
        </w:rPr>
        <w:t xml:space="preserve"> </w:t>
      </w:r>
      <w:r w:rsidRPr="00ED2501">
        <w:rPr>
          <w:color w:val="231F20"/>
          <w:sz w:val="18"/>
          <w:szCs w:val="18"/>
        </w:rPr>
        <w:t>FO-7s</w:t>
      </w:r>
      <w:r w:rsidRPr="00ED2501">
        <w:rPr>
          <w:color w:val="231F20"/>
          <w:spacing w:val="-2"/>
          <w:sz w:val="18"/>
          <w:szCs w:val="18"/>
        </w:rPr>
        <w:t xml:space="preserve"> </w:t>
      </w:r>
      <w:r w:rsidRPr="00ED2501">
        <w:rPr>
          <w:color w:val="231F20"/>
          <w:sz w:val="18"/>
          <w:szCs w:val="18"/>
        </w:rPr>
        <w:t>are</w:t>
      </w:r>
      <w:r w:rsidRPr="00ED2501">
        <w:rPr>
          <w:color w:val="231F20"/>
          <w:spacing w:val="-3"/>
          <w:sz w:val="18"/>
          <w:szCs w:val="18"/>
        </w:rPr>
        <w:t xml:space="preserve"> </w:t>
      </w:r>
      <w:r w:rsidRPr="00ED2501">
        <w:rPr>
          <w:color w:val="231F20"/>
          <w:sz w:val="18"/>
          <w:szCs w:val="18"/>
        </w:rPr>
        <w:t>also</w:t>
      </w:r>
      <w:r w:rsidRPr="00ED2501">
        <w:rPr>
          <w:color w:val="231F20"/>
          <w:spacing w:val="-2"/>
          <w:sz w:val="18"/>
          <w:szCs w:val="18"/>
        </w:rPr>
        <w:t xml:space="preserve"> </w:t>
      </w:r>
      <w:r w:rsidRPr="00ED2501">
        <w:rPr>
          <w:color w:val="231F20"/>
          <w:sz w:val="18"/>
          <w:szCs w:val="18"/>
        </w:rPr>
        <w:t>included</w:t>
      </w:r>
      <w:r w:rsidRPr="00ED2501">
        <w:rPr>
          <w:color w:val="231F20"/>
          <w:spacing w:val="-3"/>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STS</w:t>
      </w:r>
      <w:r w:rsidRPr="00ED2501">
        <w:rPr>
          <w:color w:val="231F20"/>
          <w:spacing w:val="-3"/>
          <w:sz w:val="18"/>
          <w:szCs w:val="18"/>
        </w:rPr>
        <w:t xml:space="preserve"> </w:t>
      </w:r>
      <w:r w:rsidRPr="00ED2501">
        <w:rPr>
          <w:color w:val="231F20"/>
          <w:sz w:val="18"/>
          <w:szCs w:val="18"/>
        </w:rPr>
        <w:t>category</w:t>
      </w:r>
      <w:r w:rsidRPr="00ED2501">
        <w:rPr>
          <w:color w:val="231F20"/>
          <w:spacing w:val="-2"/>
          <w:sz w:val="18"/>
          <w:szCs w:val="18"/>
        </w:rPr>
        <w:t xml:space="preserve"> </w:t>
      </w:r>
      <w:r w:rsidRPr="00ED2501">
        <w:rPr>
          <w:color w:val="231F20"/>
          <w:sz w:val="18"/>
          <w:szCs w:val="18"/>
        </w:rPr>
        <w:t>in</w:t>
      </w:r>
      <w:r w:rsidRPr="00ED2501">
        <w:rPr>
          <w:color w:val="231F20"/>
          <w:spacing w:val="-3"/>
          <w:sz w:val="18"/>
          <w:szCs w:val="18"/>
        </w:rPr>
        <w:t xml:space="preserve"> </w:t>
      </w:r>
      <w:r w:rsidRPr="00ED2501">
        <w:rPr>
          <w:color w:val="231F20"/>
          <w:sz w:val="18"/>
          <w:szCs w:val="18"/>
        </w:rPr>
        <w:t>this</w:t>
      </w:r>
      <w:r w:rsidRPr="00ED2501">
        <w:rPr>
          <w:color w:val="231F20"/>
          <w:spacing w:val="-2"/>
          <w:sz w:val="18"/>
          <w:szCs w:val="18"/>
        </w:rPr>
        <w:t xml:space="preserve"> table.</w:t>
      </w:r>
    </w:p>
    <w:p w14:paraId="1A17A7F6" w14:textId="77777777" w:rsidR="00345EE3" w:rsidRPr="00ED2501" w:rsidRDefault="00345EE3">
      <w:pPr>
        <w:pStyle w:val="ListParagraph"/>
        <w:numPr>
          <w:ilvl w:val="0"/>
          <w:numId w:val="49"/>
        </w:numPr>
        <w:tabs>
          <w:tab w:val="left" w:pos="338"/>
        </w:tabs>
        <w:spacing w:before="28"/>
        <w:ind w:hanging="228"/>
        <w:rPr>
          <w:sz w:val="18"/>
          <w:szCs w:val="18"/>
        </w:rPr>
      </w:pPr>
      <w:r w:rsidRPr="00ED2501">
        <w:rPr>
          <w:color w:val="231F20"/>
          <w:sz w:val="18"/>
          <w:szCs w:val="18"/>
        </w:rPr>
        <w:t>SMAs</w:t>
      </w:r>
      <w:r w:rsidRPr="00ED2501">
        <w:rPr>
          <w:color w:val="231F20"/>
          <w:spacing w:val="-1"/>
          <w:sz w:val="18"/>
          <w:szCs w:val="18"/>
        </w:rPr>
        <w:t xml:space="preserve"> </w:t>
      </w:r>
      <w:r w:rsidRPr="00ED2501">
        <w:rPr>
          <w:color w:val="231F20"/>
          <w:sz w:val="18"/>
          <w:szCs w:val="18"/>
        </w:rPr>
        <w:t>were</w:t>
      </w:r>
      <w:r w:rsidRPr="00ED2501">
        <w:rPr>
          <w:color w:val="231F20"/>
          <w:spacing w:val="-1"/>
          <w:sz w:val="18"/>
          <w:szCs w:val="18"/>
        </w:rPr>
        <w:t xml:space="preserve"> </w:t>
      </w:r>
      <w:r w:rsidRPr="00ED2501">
        <w:rPr>
          <w:color w:val="231F20"/>
          <w:sz w:val="18"/>
          <w:szCs w:val="18"/>
        </w:rPr>
        <w:t>working</w:t>
      </w:r>
      <w:r w:rsidRPr="00ED2501">
        <w:rPr>
          <w:color w:val="231F20"/>
          <w:spacing w:val="-1"/>
          <w:sz w:val="18"/>
          <w:szCs w:val="18"/>
        </w:rPr>
        <w:t xml:space="preserve"> </w:t>
      </w:r>
      <w:r w:rsidRPr="00ED2501">
        <w:rPr>
          <w:color w:val="231F20"/>
          <w:sz w:val="18"/>
          <w:szCs w:val="18"/>
        </w:rPr>
        <w:t>part</w:t>
      </w:r>
      <w:r w:rsidRPr="00ED2501">
        <w:rPr>
          <w:color w:val="231F20"/>
          <w:spacing w:val="-1"/>
          <w:sz w:val="18"/>
          <w:szCs w:val="18"/>
        </w:rPr>
        <w:t xml:space="preserve"> </w:t>
      </w:r>
      <w:r w:rsidRPr="00ED2501">
        <w:rPr>
          <w:color w:val="231F20"/>
          <w:sz w:val="18"/>
          <w:szCs w:val="18"/>
        </w:rPr>
        <w:t>time</w:t>
      </w:r>
      <w:r w:rsidRPr="00ED2501">
        <w:rPr>
          <w:color w:val="231F20"/>
          <w:spacing w:val="-1"/>
          <w:sz w:val="18"/>
          <w:szCs w:val="18"/>
        </w:rPr>
        <w:t xml:space="preserve"> </w:t>
      </w:r>
      <w:r w:rsidRPr="00ED2501">
        <w:rPr>
          <w:color w:val="231F20"/>
          <w:sz w:val="18"/>
          <w:szCs w:val="18"/>
        </w:rPr>
        <w:t>capacity</w:t>
      </w:r>
      <w:r w:rsidRPr="00ED2501">
        <w:rPr>
          <w:color w:val="231F20"/>
          <w:spacing w:val="-1"/>
          <w:sz w:val="18"/>
          <w:szCs w:val="18"/>
        </w:rPr>
        <w:t xml:space="preserve"> </w:t>
      </w:r>
      <w:r w:rsidRPr="00ED2501">
        <w:rPr>
          <w:color w:val="231F20"/>
          <w:sz w:val="18"/>
          <w:szCs w:val="18"/>
        </w:rPr>
        <w:t>(average</w:t>
      </w:r>
      <w:r w:rsidRPr="00ED2501">
        <w:rPr>
          <w:color w:val="231F20"/>
          <w:spacing w:val="-1"/>
          <w:sz w:val="18"/>
          <w:szCs w:val="18"/>
        </w:rPr>
        <w:t xml:space="preserve"> </w:t>
      </w:r>
      <w:r w:rsidRPr="00ED2501">
        <w:rPr>
          <w:color w:val="231F20"/>
          <w:sz w:val="18"/>
          <w:szCs w:val="18"/>
        </w:rPr>
        <w:t>0.6</w:t>
      </w:r>
      <w:r w:rsidRPr="00ED2501">
        <w:rPr>
          <w:color w:val="231F20"/>
          <w:spacing w:val="-1"/>
          <w:sz w:val="18"/>
          <w:szCs w:val="18"/>
        </w:rPr>
        <w:t xml:space="preserve"> </w:t>
      </w:r>
      <w:r w:rsidRPr="00ED2501">
        <w:rPr>
          <w:color w:val="231F20"/>
          <w:sz w:val="18"/>
          <w:szCs w:val="18"/>
        </w:rPr>
        <w:t>FTE)</w:t>
      </w:r>
      <w:r w:rsidRPr="00ED2501">
        <w:rPr>
          <w:color w:val="231F20"/>
          <w:spacing w:val="-1"/>
          <w:sz w:val="18"/>
          <w:szCs w:val="18"/>
        </w:rPr>
        <w:t xml:space="preserve"> </w:t>
      </w:r>
      <w:r w:rsidRPr="00ED2501">
        <w:rPr>
          <w:color w:val="231F20"/>
          <w:sz w:val="18"/>
          <w:szCs w:val="18"/>
        </w:rPr>
        <w:t>during</w:t>
      </w:r>
      <w:r w:rsidRPr="00ED2501">
        <w:rPr>
          <w:color w:val="231F20"/>
          <w:spacing w:val="-1"/>
          <w:sz w:val="18"/>
          <w:szCs w:val="18"/>
        </w:rPr>
        <w:t xml:space="preserve"> </w:t>
      </w:r>
      <w:r w:rsidRPr="00ED2501">
        <w:rPr>
          <w:color w:val="231F20"/>
          <w:spacing w:val="-2"/>
          <w:sz w:val="18"/>
          <w:szCs w:val="18"/>
        </w:rPr>
        <w:t>2021–22.</w:t>
      </w:r>
    </w:p>
    <w:p w14:paraId="18935A6B" w14:textId="77777777" w:rsidR="00345EE3" w:rsidRPr="00ED2501" w:rsidRDefault="00345EE3">
      <w:pPr>
        <w:pStyle w:val="ListParagraph"/>
        <w:numPr>
          <w:ilvl w:val="0"/>
          <w:numId w:val="49"/>
        </w:numPr>
        <w:tabs>
          <w:tab w:val="left" w:pos="338"/>
        </w:tabs>
        <w:spacing w:before="27"/>
        <w:ind w:hanging="228"/>
        <w:rPr>
          <w:sz w:val="18"/>
          <w:szCs w:val="18"/>
        </w:rPr>
      </w:pPr>
      <w:r w:rsidRPr="00ED2501">
        <w:rPr>
          <w:color w:val="231F20"/>
          <w:sz w:val="18"/>
          <w:szCs w:val="18"/>
        </w:rPr>
        <w:t>Employee(s)</w:t>
      </w:r>
      <w:r w:rsidRPr="00ED2501">
        <w:rPr>
          <w:color w:val="231F20"/>
          <w:spacing w:val="-5"/>
          <w:sz w:val="18"/>
          <w:szCs w:val="18"/>
        </w:rPr>
        <w:t xml:space="preserve"> </w:t>
      </w:r>
      <w:r w:rsidRPr="00ED2501">
        <w:rPr>
          <w:color w:val="231F20"/>
          <w:sz w:val="18"/>
          <w:szCs w:val="18"/>
        </w:rPr>
        <w:t>were</w:t>
      </w:r>
      <w:r w:rsidRPr="00ED2501">
        <w:rPr>
          <w:color w:val="231F20"/>
          <w:spacing w:val="-2"/>
          <w:sz w:val="18"/>
          <w:szCs w:val="18"/>
        </w:rPr>
        <w:t xml:space="preserve"> </w:t>
      </w:r>
      <w:r w:rsidRPr="00ED2501">
        <w:rPr>
          <w:color w:val="231F20"/>
          <w:sz w:val="18"/>
          <w:szCs w:val="18"/>
        </w:rPr>
        <w:t>acting</w:t>
      </w:r>
      <w:r w:rsidRPr="00ED2501">
        <w:rPr>
          <w:color w:val="231F20"/>
          <w:spacing w:val="-3"/>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long-term</w:t>
      </w:r>
      <w:r w:rsidRPr="00ED2501">
        <w:rPr>
          <w:color w:val="231F20"/>
          <w:spacing w:val="-2"/>
          <w:sz w:val="18"/>
          <w:szCs w:val="18"/>
        </w:rPr>
        <w:t xml:space="preserve"> </w:t>
      </w:r>
      <w:r w:rsidRPr="00ED2501">
        <w:rPr>
          <w:color w:val="231F20"/>
          <w:sz w:val="18"/>
          <w:szCs w:val="18"/>
        </w:rPr>
        <w:t>acting</w:t>
      </w:r>
      <w:r w:rsidRPr="00ED2501">
        <w:rPr>
          <w:color w:val="231F20"/>
          <w:spacing w:val="-3"/>
          <w:sz w:val="18"/>
          <w:szCs w:val="18"/>
        </w:rPr>
        <w:t xml:space="preserve"> </w:t>
      </w:r>
      <w:r w:rsidRPr="00ED2501">
        <w:rPr>
          <w:color w:val="231F20"/>
          <w:sz w:val="18"/>
          <w:szCs w:val="18"/>
        </w:rPr>
        <w:t>arrangement</w:t>
      </w:r>
      <w:r w:rsidRPr="00ED2501">
        <w:rPr>
          <w:color w:val="231F20"/>
          <w:spacing w:val="-2"/>
          <w:sz w:val="18"/>
          <w:szCs w:val="18"/>
        </w:rPr>
        <w:t xml:space="preserve"> </w:t>
      </w:r>
      <w:r w:rsidRPr="00ED2501">
        <w:rPr>
          <w:color w:val="231F20"/>
          <w:sz w:val="18"/>
          <w:szCs w:val="18"/>
        </w:rPr>
        <w:t>executive</w:t>
      </w:r>
      <w:r w:rsidRPr="00ED2501">
        <w:rPr>
          <w:color w:val="231F20"/>
          <w:spacing w:val="-3"/>
          <w:sz w:val="18"/>
          <w:szCs w:val="18"/>
        </w:rPr>
        <w:t xml:space="preserve"> </w:t>
      </w:r>
      <w:r w:rsidRPr="00ED2501">
        <w:rPr>
          <w:color w:val="231F20"/>
          <w:sz w:val="18"/>
          <w:szCs w:val="18"/>
        </w:rPr>
        <w:t>roles</w:t>
      </w:r>
      <w:r w:rsidRPr="00ED2501">
        <w:rPr>
          <w:color w:val="231F20"/>
          <w:spacing w:val="-2"/>
          <w:sz w:val="18"/>
          <w:szCs w:val="18"/>
        </w:rPr>
        <w:t xml:space="preserve"> </w:t>
      </w:r>
      <w:r w:rsidRPr="00ED2501">
        <w:rPr>
          <w:color w:val="231F20"/>
          <w:sz w:val="18"/>
          <w:szCs w:val="18"/>
        </w:rPr>
        <w:t>during</w:t>
      </w:r>
      <w:r w:rsidRPr="00ED2501">
        <w:rPr>
          <w:color w:val="231F20"/>
          <w:spacing w:val="-2"/>
          <w:sz w:val="18"/>
          <w:szCs w:val="18"/>
        </w:rPr>
        <w:t xml:space="preserve"> 2021–22.</w:t>
      </w:r>
    </w:p>
    <w:p w14:paraId="68006A60" w14:textId="77777777" w:rsidR="00345EE3" w:rsidRPr="00ED2501" w:rsidRDefault="00345EE3">
      <w:pPr>
        <w:pStyle w:val="ListParagraph"/>
        <w:numPr>
          <w:ilvl w:val="0"/>
          <w:numId w:val="49"/>
        </w:numPr>
        <w:tabs>
          <w:tab w:val="left" w:pos="338"/>
        </w:tabs>
        <w:spacing w:before="27"/>
        <w:ind w:hanging="228"/>
        <w:rPr>
          <w:sz w:val="18"/>
          <w:szCs w:val="18"/>
        </w:rPr>
      </w:pPr>
      <w:r w:rsidRPr="00ED2501">
        <w:rPr>
          <w:color w:val="231F20"/>
          <w:sz w:val="18"/>
          <w:szCs w:val="18"/>
        </w:rPr>
        <w:t>Long-term</w:t>
      </w:r>
      <w:r w:rsidRPr="00ED2501">
        <w:rPr>
          <w:color w:val="231F20"/>
          <w:spacing w:val="-2"/>
          <w:sz w:val="18"/>
          <w:szCs w:val="18"/>
        </w:rPr>
        <w:t xml:space="preserve"> </w:t>
      </w:r>
      <w:r w:rsidRPr="00ED2501">
        <w:rPr>
          <w:color w:val="231F20"/>
          <w:sz w:val="18"/>
          <w:szCs w:val="18"/>
        </w:rPr>
        <w:t>acting</w:t>
      </w:r>
      <w:r w:rsidRPr="00ED2501">
        <w:rPr>
          <w:color w:val="231F20"/>
          <w:spacing w:val="-2"/>
          <w:sz w:val="18"/>
          <w:szCs w:val="18"/>
        </w:rPr>
        <w:t xml:space="preserve"> </w:t>
      </w:r>
      <w:r w:rsidRPr="00ED2501">
        <w:rPr>
          <w:color w:val="231F20"/>
          <w:sz w:val="18"/>
          <w:szCs w:val="18"/>
        </w:rPr>
        <w:t>arrangement</w:t>
      </w:r>
      <w:r w:rsidRPr="00ED2501">
        <w:rPr>
          <w:color w:val="231F20"/>
          <w:spacing w:val="-2"/>
          <w:sz w:val="18"/>
          <w:szCs w:val="18"/>
        </w:rPr>
        <w:t xml:space="preserve"> </w:t>
      </w:r>
      <w:r w:rsidRPr="00ED2501">
        <w:rPr>
          <w:color w:val="231F20"/>
          <w:sz w:val="18"/>
          <w:szCs w:val="18"/>
        </w:rPr>
        <w:t>means</w:t>
      </w:r>
      <w:r w:rsidRPr="00ED2501">
        <w:rPr>
          <w:color w:val="231F20"/>
          <w:spacing w:val="-1"/>
          <w:sz w:val="18"/>
          <w:szCs w:val="18"/>
        </w:rPr>
        <w:t xml:space="preserve"> </w:t>
      </w:r>
      <w:r w:rsidRPr="00ED2501">
        <w:rPr>
          <w:color w:val="231F20"/>
          <w:sz w:val="18"/>
          <w:szCs w:val="18"/>
        </w:rPr>
        <w:t>instances</w:t>
      </w:r>
      <w:r w:rsidRPr="00ED2501">
        <w:rPr>
          <w:color w:val="231F20"/>
          <w:spacing w:val="-2"/>
          <w:sz w:val="18"/>
          <w:szCs w:val="18"/>
        </w:rPr>
        <w:t xml:space="preserve"> </w:t>
      </w:r>
      <w:r w:rsidRPr="00ED2501">
        <w:rPr>
          <w:color w:val="231F20"/>
          <w:sz w:val="18"/>
          <w:szCs w:val="18"/>
        </w:rPr>
        <w:t>where:</w:t>
      </w:r>
      <w:r w:rsidRPr="00ED2501">
        <w:rPr>
          <w:color w:val="231F20"/>
          <w:spacing w:val="-2"/>
          <w:sz w:val="18"/>
          <w:szCs w:val="18"/>
        </w:rPr>
        <w:t xml:space="preserve"> </w:t>
      </w:r>
      <w:r w:rsidRPr="00ED2501">
        <w:rPr>
          <w:color w:val="231F20"/>
          <w:sz w:val="18"/>
          <w:szCs w:val="18"/>
        </w:rPr>
        <w:t>a</w:t>
      </w:r>
      <w:r w:rsidRPr="00ED2501">
        <w:rPr>
          <w:color w:val="231F20"/>
          <w:spacing w:val="-2"/>
          <w:sz w:val="18"/>
          <w:szCs w:val="18"/>
        </w:rPr>
        <w:t xml:space="preserve"> </w:t>
      </w:r>
      <w:r w:rsidRPr="00ED2501">
        <w:rPr>
          <w:color w:val="231F20"/>
          <w:sz w:val="18"/>
          <w:szCs w:val="18"/>
        </w:rPr>
        <w:t>person</w:t>
      </w:r>
      <w:r w:rsidRPr="00ED2501">
        <w:rPr>
          <w:color w:val="231F20"/>
          <w:spacing w:val="-1"/>
          <w:sz w:val="18"/>
          <w:szCs w:val="18"/>
        </w:rPr>
        <w:t xml:space="preserve"> </w:t>
      </w:r>
      <w:r w:rsidRPr="00ED2501">
        <w:rPr>
          <w:color w:val="231F20"/>
          <w:sz w:val="18"/>
          <w:szCs w:val="18"/>
        </w:rPr>
        <w:t>has</w:t>
      </w:r>
      <w:r w:rsidRPr="00ED2501">
        <w:rPr>
          <w:color w:val="231F20"/>
          <w:spacing w:val="-2"/>
          <w:sz w:val="18"/>
          <w:szCs w:val="18"/>
        </w:rPr>
        <w:t xml:space="preserve"> </w:t>
      </w:r>
      <w:r w:rsidRPr="00ED2501">
        <w:rPr>
          <w:color w:val="231F20"/>
          <w:sz w:val="18"/>
          <w:szCs w:val="18"/>
        </w:rPr>
        <w:t>been</w:t>
      </w:r>
      <w:r w:rsidRPr="00ED2501">
        <w:rPr>
          <w:color w:val="231F20"/>
          <w:spacing w:val="-2"/>
          <w:sz w:val="18"/>
          <w:szCs w:val="18"/>
        </w:rPr>
        <w:t xml:space="preserve"> </w:t>
      </w:r>
      <w:r w:rsidRPr="00ED2501">
        <w:rPr>
          <w:color w:val="231F20"/>
          <w:sz w:val="18"/>
          <w:szCs w:val="18"/>
        </w:rPr>
        <w:t>acting</w:t>
      </w:r>
      <w:r w:rsidRPr="00ED2501">
        <w:rPr>
          <w:color w:val="231F20"/>
          <w:spacing w:val="-2"/>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a</w:t>
      </w:r>
      <w:r w:rsidRPr="00ED2501">
        <w:rPr>
          <w:color w:val="231F20"/>
          <w:spacing w:val="-2"/>
          <w:sz w:val="18"/>
          <w:szCs w:val="18"/>
        </w:rPr>
        <w:t xml:space="preserve"> </w:t>
      </w:r>
      <w:r w:rsidRPr="00ED2501">
        <w:rPr>
          <w:color w:val="231F20"/>
          <w:sz w:val="18"/>
          <w:szCs w:val="18"/>
        </w:rPr>
        <w:t>role</w:t>
      </w:r>
      <w:r w:rsidRPr="00ED2501">
        <w:rPr>
          <w:color w:val="231F20"/>
          <w:spacing w:val="-2"/>
          <w:sz w:val="18"/>
          <w:szCs w:val="18"/>
        </w:rPr>
        <w:t xml:space="preserve"> </w:t>
      </w:r>
      <w:r w:rsidRPr="00ED2501">
        <w:rPr>
          <w:color w:val="231F20"/>
          <w:sz w:val="18"/>
          <w:szCs w:val="18"/>
        </w:rPr>
        <w:t>for</w:t>
      </w:r>
      <w:r w:rsidRPr="00ED2501">
        <w:rPr>
          <w:color w:val="231F20"/>
          <w:spacing w:val="-2"/>
          <w:sz w:val="18"/>
          <w:szCs w:val="18"/>
        </w:rPr>
        <w:t xml:space="preserve"> </w:t>
      </w:r>
      <w:r w:rsidRPr="00ED2501">
        <w:rPr>
          <w:color w:val="231F20"/>
          <w:sz w:val="18"/>
          <w:szCs w:val="18"/>
        </w:rPr>
        <w:t>more</w:t>
      </w:r>
      <w:r w:rsidRPr="00ED2501">
        <w:rPr>
          <w:color w:val="231F20"/>
          <w:spacing w:val="-1"/>
          <w:sz w:val="18"/>
          <w:szCs w:val="18"/>
        </w:rPr>
        <w:t xml:space="preserve"> </w:t>
      </w:r>
      <w:r w:rsidRPr="00ED2501">
        <w:rPr>
          <w:color w:val="231F20"/>
          <w:sz w:val="18"/>
          <w:szCs w:val="18"/>
        </w:rPr>
        <w:t>than</w:t>
      </w:r>
      <w:r w:rsidRPr="00ED2501">
        <w:rPr>
          <w:color w:val="231F20"/>
          <w:spacing w:val="-2"/>
          <w:sz w:val="18"/>
          <w:szCs w:val="18"/>
        </w:rPr>
        <w:t xml:space="preserve"> </w:t>
      </w:r>
      <w:r w:rsidRPr="00ED2501">
        <w:rPr>
          <w:color w:val="231F20"/>
          <w:sz w:val="18"/>
          <w:szCs w:val="18"/>
        </w:rPr>
        <w:t>three</w:t>
      </w:r>
      <w:r w:rsidRPr="00ED2501">
        <w:rPr>
          <w:color w:val="231F20"/>
          <w:spacing w:val="-2"/>
          <w:sz w:val="18"/>
          <w:szCs w:val="18"/>
        </w:rPr>
        <w:t xml:space="preserve"> </w:t>
      </w:r>
      <w:r w:rsidRPr="00ED2501">
        <w:rPr>
          <w:color w:val="231F20"/>
          <w:sz w:val="18"/>
          <w:szCs w:val="18"/>
        </w:rPr>
        <w:t>months</w:t>
      </w:r>
      <w:r w:rsidRPr="00ED2501">
        <w:rPr>
          <w:color w:val="231F20"/>
          <w:spacing w:val="-2"/>
          <w:sz w:val="18"/>
          <w:szCs w:val="18"/>
        </w:rPr>
        <w:t xml:space="preserve"> </w:t>
      </w:r>
      <w:r w:rsidRPr="00ED2501">
        <w:rPr>
          <w:color w:val="231F20"/>
          <w:sz w:val="18"/>
          <w:szCs w:val="18"/>
        </w:rPr>
        <w:t>at</w:t>
      </w:r>
      <w:r w:rsidRPr="00ED2501">
        <w:rPr>
          <w:color w:val="231F20"/>
          <w:spacing w:val="-1"/>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last</w:t>
      </w:r>
      <w:r w:rsidRPr="00ED2501">
        <w:rPr>
          <w:color w:val="231F20"/>
          <w:spacing w:val="-2"/>
          <w:sz w:val="18"/>
          <w:szCs w:val="18"/>
        </w:rPr>
        <w:t xml:space="preserve"> </w:t>
      </w:r>
      <w:r w:rsidRPr="00ED2501">
        <w:rPr>
          <w:color w:val="231F20"/>
          <w:sz w:val="18"/>
          <w:szCs w:val="18"/>
        </w:rPr>
        <w:t>pay</w:t>
      </w:r>
      <w:r w:rsidRPr="00ED2501">
        <w:rPr>
          <w:color w:val="231F20"/>
          <w:spacing w:val="-2"/>
          <w:sz w:val="18"/>
          <w:szCs w:val="18"/>
        </w:rPr>
        <w:t xml:space="preserve"> </w:t>
      </w:r>
      <w:r w:rsidRPr="00ED2501">
        <w:rPr>
          <w:color w:val="231F20"/>
          <w:sz w:val="18"/>
          <w:szCs w:val="18"/>
        </w:rPr>
        <w:t>period</w:t>
      </w:r>
      <w:r w:rsidRPr="00ED2501">
        <w:rPr>
          <w:color w:val="231F20"/>
          <w:spacing w:val="-1"/>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June;</w:t>
      </w:r>
      <w:r w:rsidRPr="00ED2501">
        <w:rPr>
          <w:color w:val="231F20"/>
          <w:spacing w:val="-2"/>
          <w:sz w:val="18"/>
          <w:szCs w:val="18"/>
        </w:rPr>
        <w:t xml:space="preserve"> </w:t>
      </w:r>
      <w:r w:rsidRPr="00ED2501">
        <w:rPr>
          <w:color w:val="231F20"/>
          <w:sz w:val="18"/>
          <w:szCs w:val="18"/>
        </w:rPr>
        <w:t>and</w:t>
      </w:r>
      <w:r w:rsidRPr="00ED2501">
        <w:rPr>
          <w:color w:val="231F20"/>
          <w:spacing w:val="-2"/>
          <w:sz w:val="18"/>
          <w:szCs w:val="18"/>
        </w:rPr>
        <w:t xml:space="preserve"> </w:t>
      </w:r>
      <w:r w:rsidRPr="00ED2501">
        <w:rPr>
          <w:color w:val="231F20"/>
          <w:sz w:val="18"/>
          <w:szCs w:val="18"/>
        </w:rPr>
        <w:t>where</w:t>
      </w:r>
      <w:r w:rsidRPr="00ED2501">
        <w:rPr>
          <w:color w:val="231F20"/>
          <w:spacing w:val="-1"/>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role</w:t>
      </w:r>
      <w:r w:rsidRPr="00ED2501">
        <w:rPr>
          <w:color w:val="231F20"/>
          <w:spacing w:val="-2"/>
          <w:sz w:val="18"/>
          <w:szCs w:val="18"/>
        </w:rPr>
        <w:t xml:space="preserve"> </w:t>
      </w:r>
      <w:r w:rsidRPr="00ED2501">
        <w:rPr>
          <w:color w:val="231F20"/>
          <w:sz w:val="18"/>
          <w:szCs w:val="18"/>
        </w:rPr>
        <w:t>is</w:t>
      </w:r>
      <w:r w:rsidRPr="00ED2501">
        <w:rPr>
          <w:color w:val="231F20"/>
          <w:spacing w:val="-2"/>
          <w:sz w:val="18"/>
          <w:szCs w:val="18"/>
        </w:rPr>
        <w:t xml:space="preserve"> </w:t>
      </w:r>
      <w:r w:rsidRPr="00ED2501">
        <w:rPr>
          <w:color w:val="231F20"/>
          <w:sz w:val="18"/>
          <w:szCs w:val="18"/>
        </w:rPr>
        <w:t>either</w:t>
      </w:r>
      <w:r w:rsidRPr="00ED2501">
        <w:rPr>
          <w:color w:val="231F20"/>
          <w:spacing w:val="-1"/>
          <w:sz w:val="18"/>
          <w:szCs w:val="18"/>
        </w:rPr>
        <w:t xml:space="preserve"> </w:t>
      </w:r>
      <w:r w:rsidRPr="00ED2501">
        <w:rPr>
          <w:color w:val="231F20"/>
          <w:sz w:val="18"/>
          <w:szCs w:val="18"/>
        </w:rPr>
        <w:t>substantively</w:t>
      </w:r>
      <w:r w:rsidRPr="00ED2501">
        <w:rPr>
          <w:color w:val="231F20"/>
          <w:spacing w:val="-2"/>
          <w:sz w:val="18"/>
          <w:szCs w:val="18"/>
        </w:rPr>
        <w:t xml:space="preserve"> </w:t>
      </w:r>
      <w:r w:rsidRPr="00ED2501">
        <w:rPr>
          <w:color w:val="231F20"/>
          <w:sz w:val="18"/>
          <w:szCs w:val="18"/>
        </w:rPr>
        <w:t>vacant</w:t>
      </w:r>
      <w:r w:rsidRPr="00ED2501">
        <w:rPr>
          <w:color w:val="231F20"/>
          <w:spacing w:val="-2"/>
          <w:sz w:val="18"/>
          <w:szCs w:val="18"/>
        </w:rPr>
        <w:t xml:space="preserve"> </w:t>
      </w:r>
      <w:r w:rsidRPr="00ED2501">
        <w:rPr>
          <w:color w:val="231F20"/>
          <w:sz w:val="18"/>
          <w:szCs w:val="18"/>
        </w:rPr>
        <w:t>or</w:t>
      </w:r>
      <w:r w:rsidRPr="00ED2501">
        <w:rPr>
          <w:color w:val="231F20"/>
          <w:spacing w:val="-2"/>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substantive</w:t>
      </w:r>
      <w:r w:rsidRPr="00ED2501">
        <w:rPr>
          <w:color w:val="231F20"/>
          <w:spacing w:val="-2"/>
          <w:sz w:val="18"/>
          <w:szCs w:val="18"/>
        </w:rPr>
        <w:t xml:space="preserve"> </w:t>
      </w:r>
      <w:r w:rsidRPr="00ED2501">
        <w:rPr>
          <w:color w:val="231F20"/>
          <w:sz w:val="18"/>
          <w:szCs w:val="18"/>
        </w:rPr>
        <w:t>occupant</w:t>
      </w:r>
      <w:r w:rsidRPr="00ED2501">
        <w:rPr>
          <w:color w:val="231F20"/>
          <w:spacing w:val="-2"/>
          <w:sz w:val="18"/>
          <w:szCs w:val="18"/>
        </w:rPr>
        <w:t xml:space="preserve"> </w:t>
      </w:r>
      <w:r w:rsidRPr="00ED2501">
        <w:rPr>
          <w:color w:val="231F20"/>
          <w:sz w:val="18"/>
          <w:szCs w:val="18"/>
        </w:rPr>
        <w:t>is</w:t>
      </w:r>
      <w:r w:rsidRPr="00ED2501">
        <w:rPr>
          <w:color w:val="231F20"/>
          <w:spacing w:val="-2"/>
          <w:sz w:val="18"/>
          <w:szCs w:val="18"/>
        </w:rPr>
        <w:t xml:space="preserve"> </w:t>
      </w:r>
      <w:r w:rsidRPr="00ED2501">
        <w:rPr>
          <w:color w:val="231F20"/>
          <w:sz w:val="18"/>
          <w:szCs w:val="18"/>
        </w:rPr>
        <w:t>not</w:t>
      </w:r>
      <w:r w:rsidRPr="00ED2501">
        <w:rPr>
          <w:color w:val="231F20"/>
          <w:spacing w:val="-1"/>
          <w:sz w:val="18"/>
          <w:szCs w:val="18"/>
        </w:rPr>
        <w:t xml:space="preserve"> </w:t>
      </w:r>
      <w:r w:rsidRPr="00ED2501">
        <w:rPr>
          <w:color w:val="231F20"/>
          <w:spacing w:val="-2"/>
          <w:sz w:val="18"/>
          <w:szCs w:val="18"/>
        </w:rPr>
        <w:t>‘active’.</w:t>
      </w:r>
    </w:p>
    <w:p w14:paraId="72FDC4DB" w14:textId="77777777" w:rsidR="00345EE3" w:rsidRPr="00ED2501" w:rsidRDefault="00345EE3">
      <w:pPr>
        <w:pStyle w:val="ListParagraph"/>
        <w:numPr>
          <w:ilvl w:val="0"/>
          <w:numId w:val="49"/>
        </w:numPr>
        <w:tabs>
          <w:tab w:val="left" w:pos="338"/>
        </w:tabs>
        <w:spacing w:before="83"/>
        <w:ind w:left="110" w:right="712" w:firstLine="0"/>
        <w:rPr>
          <w:sz w:val="18"/>
          <w:szCs w:val="18"/>
        </w:rPr>
      </w:pPr>
      <w:r w:rsidRPr="00ED2501">
        <w:rPr>
          <w:color w:val="231F20"/>
          <w:sz w:val="18"/>
          <w:szCs w:val="18"/>
        </w:rPr>
        <w:t>Victoria</w:t>
      </w:r>
      <w:r w:rsidRPr="00ED2501">
        <w:rPr>
          <w:color w:val="231F20"/>
          <w:spacing w:val="-1"/>
          <w:sz w:val="18"/>
          <w:szCs w:val="18"/>
        </w:rPr>
        <w:t xml:space="preserve"> </w:t>
      </w:r>
      <w:r w:rsidRPr="00ED2501">
        <w:rPr>
          <w:color w:val="231F20"/>
          <w:sz w:val="18"/>
          <w:szCs w:val="18"/>
        </w:rPr>
        <w:t>Police</w:t>
      </w:r>
      <w:r w:rsidRPr="00ED2501">
        <w:rPr>
          <w:color w:val="231F20"/>
          <w:spacing w:val="-1"/>
          <w:sz w:val="18"/>
          <w:szCs w:val="18"/>
        </w:rPr>
        <w:t xml:space="preserve"> </w:t>
      </w:r>
      <w:r w:rsidRPr="00ED2501">
        <w:rPr>
          <w:color w:val="231F20"/>
          <w:sz w:val="18"/>
          <w:szCs w:val="18"/>
        </w:rPr>
        <w:t>Deputy</w:t>
      </w:r>
      <w:r w:rsidRPr="00ED2501">
        <w:rPr>
          <w:color w:val="231F20"/>
          <w:spacing w:val="-1"/>
          <w:sz w:val="18"/>
          <w:szCs w:val="18"/>
        </w:rPr>
        <w:t xml:space="preserve"> </w:t>
      </w:r>
      <w:r w:rsidRPr="00ED2501">
        <w:rPr>
          <w:color w:val="231F20"/>
          <w:sz w:val="18"/>
          <w:szCs w:val="18"/>
        </w:rPr>
        <w:t>Commissioners</w:t>
      </w:r>
      <w:r w:rsidRPr="00ED2501">
        <w:rPr>
          <w:color w:val="231F20"/>
          <w:spacing w:val="-1"/>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Chief</w:t>
      </w:r>
      <w:r w:rsidRPr="00ED2501">
        <w:rPr>
          <w:color w:val="231F20"/>
          <w:spacing w:val="-1"/>
          <w:sz w:val="18"/>
          <w:szCs w:val="18"/>
        </w:rPr>
        <w:t xml:space="preserve"> </w:t>
      </w:r>
      <w:r w:rsidRPr="00ED2501">
        <w:rPr>
          <w:color w:val="231F20"/>
          <w:sz w:val="18"/>
          <w:szCs w:val="18"/>
        </w:rPr>
        <w:t>Commissioner</w:t>
      </w:r>
      <w:r w:rsidRPr="00ED2501">
        <w:rPr>
          <w:color w:val="231F20"/>
          <w:spacing w:val="-1"/>
          <w:sz w:val="18"/>
          <w:szCs w:val="18"/>
        </w:rPr>
        <w:t xml:space="preserve"> </w:t>
      </w:r>
      <w:r w:rsidRPr="00ED2501">
        <w:rPr>
          <w:color w:val="231F20"/>
          <w:sz w:val="18"/>
          <w:szCs w:val="18"/>
        </w:rPr>
        <w:t>of</w:t>
      </w:r>
      <w:r w:rsidRPr="00ED2501">
        <w:rPr>
          <w:color w:val="231F20"/>
          <w:spacing w:val="-1"/>
          <w:sz w:val="18"/>
          <w:szCs w:val="18"/>
        </w:rPr>
        <w:t xml:space="preserve"> </w:t>
      </w:r>
      <w:r w:rsidRPr="00ED2501">
        <w:rPr>
          <w:color w:val="231F20"/>
          <w:sz w:val="18"/>
          <w:szCs w:val="18"/>
        </w:rPr>
        <w:t>Police</w:t>
      </w:r>
      <w:r w:rsidRPr="00ED2501">
        <w:rPr>
          <w:color w:val="231F20"/>
          <w:spacing w:val="-1"/>
          <w:sz w:val="18"/>
          <w:szCs w:val="18"/>
        </w:rPr>
        <w:t xml:space="preserve"> </w:t>
      </w:r>
      <w:r w:rsidRPr="00ED2501">
        <w:rPr>
          <w:color w:val="231F20"/>
          <w:sz w:val="18"/>
          <w:szCs w:val="18"/>
        </w:rPr>
        <w:t>have</w:t>
      </w:r>
      <w:r w:rsidRPr="00ED2501">
        <w:rPr>
          <w:color w:val="231F20"/>
          <w:spacing w:val="-1"/>
          <w:sz w:val="18"/>
          <w:szCs w:val="18"/>
        </w:rPr>
        <w:t xml:space="preserve"> </w:t>
      </w:r>
      <w:r w:rsidRPr="00ED2501">
        <w:rPr>
          <w:color w:val="231F20"/>
          <w:sz w:val="18"/>
          <w:szCs w:val="18"/>
        </w:rPr>
        <w:t>been</w:t>
      </w:r>
      <w:r w:rsidRPr="00ED2501">
        <w:rPr>
          <w:color w:val="231F20"/>
          <w:spacing w:val="-1"/>
          <w:sz w:val="18"/>
          <w:szCs w:val="18"/>
        </w:rPr>
        <w:t xml:space="preserve"> </w:t>
      </w:r>
      <w:r w:rsidRPr="00ED2501">
        <w:rPr>
          <w:color w:val="231F20"/>
          <w:sz w:val="18"/>
          <w:szCs w:val="18"/>
        </w:rPr>
        <w:t>excluded</w:t>
      </w:r>
      <w:r w:rsidRPr="00ED2501">
        <w:rPr>
          <w:color w:val="231F20"/>
          <w:spacing w:val="-1"/>
          <w:sz w:val="18"/>
          <w:szCs w:val="18"/>
        </w:rPr>
        <w:t xml:space="preserve"> </w:t>
      </w:r>
      <w:r w:rsidRPr="00ED2501">
        <w:rPr>
          <w:color w:val="231F20"/>
          <w:sz w:val="18"/>
          <w:szCs w:val="18"/>
        </w:rPr>
        <w:t>from</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above</w:t>
      </w:r>
      <w:r w:rsidRPr="00ED2501">
        <w:rPr>
          <w:color w:val="231F20"/>
          <w:spacing w:val="-1"/>
          <w:sz w:val="18"/>
          <w:szCs w:val="18"/>
        </w:rPr>
        <w:t xml:space="preserve"> </w:t>
      </w:r>
      <w:r w:rsidRPr="00ED2501">
        <w:rPr>
          <w:color w:val="231F20"/>
          <w:sz w:val="18"/>
          <w:szCs w:val="18"/>
        </w:rPr>
        <w:t>table</w:t>
      </w:r>
      <w:r w:rsidRPr="00ED2501">
        <w:rPr>
          <w:color w:val="231F20"/>
          <w:spacing w:val="-1"/>
          <w:sz w:val="18"/>
          <w:szCs w:val="18"/>
        </w:rPr>
        <w:t xml:space="preserve"> </w:t>
      </w:r>
      <w:r w:rsidRPr="00ED2501">
        <w:rPr>
          <w:color w:val="231F20"/>
          <w:sz w:val="18"/>
          <w:szCs w:val="18"/>
        </w:rPr>
        <w:t>as</w:t>
      </w:r>
      <w:r w:rsidRPr="00ED2501">
        <w:rPr>
          <w:color w:val="231F20"/>
          <w:spacing w:val="-1"/>
          <w:sz w:val="18"/>
          <w:szCs w:val="18"/>
        </w:rPr>
        <w:t xml:space="preserve"> </w:t>
      </w:r>
      <w:r w:rsidRPr="00ED2501">
        <w:rPr>
          <w:color w:val="231F20"/>
          <w:sz w:val="18"/>
          <w:szCs w:val="18"/>
        </w:rPr>
        <w:t>they</w:t>
      </w:r>
      <w:r w:rsidRPr="00ED2501">
        <w:rPr>
          <w:color w:val="231F20"/>
          <w:spacing w:val="-1"/>
          <w:sz w:val="18"/>
          <w:szCs w:val="18"/>
        </w:rPr>
        <w:t xml:space="preserve"> </w:t>
      </w:r>
      <w:r w:rsidRPr="00ED2501">
        <w:rPr>
          <w:color w:val="231F20"/>
          <w:sz w:val="18"/>
          <w:szCs w:val="18"/>
        </w:rPr>
        <w:t>are</w:t>
      </w:r>
      <w:r w:rsidRPr="00ED2501">
        <w:rPr>
          <w:color w:val="231F20"/>
          <w:spacing w:val="-1"/>
          <w:sz w:val="18"/>
          <w:szCs w:val="18"/>
        </w:rPr>
        <w:t xml:space="preserve"> </w:t>
      </w:r>
      <w:r w:rsidRPr="00ED2501">
        <w:rPr>
          <w:color w:val="231F20"/>
          <w:sz w:val="18"/>
          <w:szCs w:val="18"/>
        </w:rPr>
        <w:t>Governor</w:t>
      </w:r>
      <w:r w:rsidRPr="00ED2501">
        <w:rPr>
          <w:color w:val="231F20"/>
          <w:spacing w:val="-1"/>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Council</w:t>
      </w:r>
      <w:r w:rsidRPr="00ED2501">
        <w:rPr>
          <w:color w:val="231F20"/>
          <w:spacing w:val="40"/>
          <w:sz w:val="18"/>
          <w:szCs w:val="18"/>
        </w:rPr>
        <w:t xml:space="preserve"> </w:t>
      </w:r>
      <w:r w:rsidRPr="00ED2501">
        <w:rPr>
          <w:color w:val="231F20"/>
          <w:spacing w:val="-2"/>
          <w:sz w:val="18"/>
          <w:szCs w:val="18"/>
        </w:rPr>
        <w:t>appointments.</w:t>
      </w:r>
    </w:p>
    <w:p w14:paraId="0C75F98D" w14:textId="77777777" w:rsidR="00345EE3" w:rsidRDefault="00345EE3" w:rsidP="00345EE3">
      <w:pPr>
        <w:rPr>
          <w:sz w:val="21"/>
          <w:szCs w:val="24"/>
        </w:rPr>
      </w:pPr>
      <w:r>
        <w:rPr>
          <w:b/>
          <w:bCs/>
          <w:sz w:val="21"/>
          <w:szCs w:val="24"/>
        </w:rPr>
        <w:br w:type="page"/>
      </w:r>
    </w:p>
    <w:p w14:paraId="24F35098" w14:textId="77777777" w:rsidR="00345EE3" w:rsidRDefault="00345EE3" w:rsidP="002A27BA">
      <w:pPr>
        <w:pStyle w:val="Heading3"/>
      </w:pPr>
      <w:r>
        <w:t>Workforce</w:t>
      </w:r>
      <w:r>
        <w:rPr>
          <w:spacing w:val="-1"/>
        </w:rPr>
        <w:t xml:space="preserve"> </w:t>
      </w:r>
      <w:r>
        <w:t>data: Statutory</w:t>
      </w:r>
      <w:r>
        <w:rPr>
          <w:spacing w:val="-1"/>
        </w:rPr>
        <w:t xml:space="preserve"> </w:t>
      </w:r>
      <w:r>
        <w:t>Authorities</w:t>
      </w:r>
      <w:r>
        <w:rPr>
          <w:spacing w:val="-1"/>
        </w:rPr>
        <w:t xml:space="preserve"> </w:t>
      </w:r>
      <w:r>
        <w:t>and/or</w:t>
      </w:r>
      <w:r>
        <w:rPr>
          <w:spacing w:val="-1"/>
        </w:rPr>
        <w:t xml:space="preserve"> </w:t>
      </w:r>
      <w:r>
        <w:t>Offices</w:t>
      </w:r>
      <w:r>
        <w:rPr>
          <w:spacing w:val="-1"/>
        </w:rPr>
        <w:t xml:space="preserve"> </w:t>
      </w:r>
      <w:r>
        <w:t>that</w:t>
      </w:r>
      <w:r>
        <w:rPr>
          <w:spacing w:val="-1"/>
        </w:rPr>
        <w:t xml:space="preserve"> </w:t>
      </w:r>
      <w:r>
        <w:t>fall under</w:t>
      </w:r>
      <w:r>
        <w:rPr>
          <w:spacing w:val="-1"/>
        </w:rPr>
        <w:t xml:space="preserve"> </w:t>
      </w:r>
      <w:r>
        <w:t xml:space="preserve">Victoria </w:t>
      </w:r>
      <w:r>
        <w:rPr>
          <w:spacing w:val="-2"/>
        </w:rPr>
        <w:t>Police</w:t>
      </w:r>
    </w:p>
    <w:p w14:paraId="25679DCE" w14:textId="77777777" w:rsidR="00345EE3" w:rsidRPr="007563FD" w:rsidRDefault="00345EE3" w:rsidP="00345EE3">
      <w:pPr>
        <w:widowControl/>
        <w:suppressAutoHyphens/>
        <w:adjustRightInd w:val="0"/>
        <w:spacing w:after="28" w:line="230" w:lineRule="atLeast"/>
        <w:ind w:left="142"/>
        <w:textAlignment w:val="center"/>
        <w:rPr>
          <w:rFonts w:eastAsiaTheme="minorHAnsi"/>
          <w:color w:val="000000"/>
          <w:sz w:val="18"/>
          <w:szCs w:val="18"/>
          <w:lang w:val="en-GB"/>
        </w:rPr>
      </w:pPr>
      <w:r w:rsidRPr="007563FD">
        <w:rPr>
          <w:rFonts w:eastAsiaTheme="minorHAnsi"/>
          <w:color w:val="000000"/>
          <w:sz w:val="18"/>
          <w:szCs w:val="18"/>
          <w:lang w:val="en-GB"/>
        </w:rPr>
        <w:t xml:space="preserve">Table 5.39: </w:t>
      </w:r>
      <w:r w:rsidRPr="007563FD">
        <w:rPr>
          <w:rFonts w:eastAsiaTheme="minorHAnsi"/>
          <w:b/>
          <w:bCs/>
          <w:i/>
          <w:iCs/>
          <w:color w:val="000000"/>
          <w:spacing w:val="-2"/>
          <w:sz w:val="18"/>
          <w:szCs w:val="18"/>
          <w:lang w:val="en-GB"/>
        </w:rPr>
        <w:t>Workforce data: Statutory Authorities and/or Offices that fall under Victoria Police</w:t>
      </w:r>
      <w:r w:rsidRPr="007563FD">
        <w:rPr>
          <w:rFonts w:eastAsiaTheme="minorHAnsi"/>
          <w:color w:val="000000"/>
          <w:sz w:val="18"/>
          <w:szCs w:val="18"/>
          <w:lang w:val="en-GB"/>
        </w:rPr>
        <w:t xml:space="preserve"> </w:t>
      </w:r>
    </w:p>
    <w:tbl>
      <w:tblPr>
        <w:tblW w:w="10205" w:type="dxa"/>
        <w:tblInd w:w="156" w:type="dxa"/>
        <w:tblLayout w:type="fixed"/>
        <w:tblCellMar>
          <w:left w:w="0" w:type="dxa"/>
          <w:right w:w="0" w:type="dxa"/>
        </w:tblCellMar>
        <w:tblLook w:val="0000" w:firstRow="0" w:lastRow="0" w:firstColumn="0" w:lastColumn="0" w:noHBand="0" w:noVBand="0"/>
      </w:tblPr>
      <w:tblGrid>
        <w:gridCol w:w="5443"/>
        <w:gridCol w:w="1190"/>
        <w:gridCol w:w="1191"/>
        <w:gridCol w:w="1190"/>
        <w:gridCol w:w="1191"/>
      </w:tblGrid>
      <w:tr w:rsidR="00345EE3" w:rsidRPr="007563FD" w14:paraId="4C20AF30" w14:textId="77777777" w:rsidTr="00D73130">
        <w:trPr>
          <w:trHeight w:val="60"/>
          <w:tblHeader/>
        </w:trPr>
        <w:tc>
          <w:tcPr>
            <w:tcW w:w="544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31D9F5C"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7563FD">
              <w:rPr>
                <w:rFonts w:eastAsiaTheme="minorHAnsi"/>
                <w:b/>
                <w:bCs/>
                <w:color w:val="FFFFFF"/>
                <w:sz w:val="24"/>
                <w:szCs w:val="24"/>
                <w:lang w:val="en-GB"/>
              </w:rPr>
              <w:t>Public Servant classification</w:t>
            </w:r>
          </w:p>
        </w:tc>
        <w:tc>
          <w:tcPr>
            <w:tcW w:w="2381" w:type="dxa"/>
            <w:gridSpan w:val="2"/>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727756BF" w14:textId="77777777" w:rsidR="00345EE3" w:rsidRPr="007563FD"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7563FD">
              <w:rPr>
                <w:rFonts w:eastAsiaTheme="minorHAnsi"/>
                <w:b/>
                <w:bCs/>
                <w:color w:val="FFFFFF"/>
                <w:sz w:val="24"/>
                <w:szCs w:val="24"/>
                <w:lang w:val="en-GB"/>
              </w:rPr>
              <w:t>Headcount</w:t>
            </w:r>
          </w:p>
        </w:tc>
        <w:tc>
          <w:tcPr>
            <w:tcW w:w="2381" w:type="dxa"/>
            <w:gridSpan w:val="2"/>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6747E4C8" w14:textId="77777777" w:rsidR="00345EE3" w:rsidRPr="007563FD"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7563FD">
              <w:rPr>
                <w:rFonts w:eastAsiaTheme="minorHAnsi"/>
                <w:b/>
                <w:bCs/>
                <w:color w:val="FFFFFF"/>
                <w:sz w:val="24"/>
                <w:szCs w:val="24"/>
                <w:lang w:val="en-GB"/>
              </w:rPr>
              <w:t>FTE</w:t>
            </w:r>
          </w:p>
        </w:tc>
      </w:tr>
      <w:tr w:rsidR="00345EE3" w:rsidRPr="007563FD" w14:paraId="1BACA392" w14:textId="77777777" w:rsidTr="00D73130">
        <w:trPr>
          <w:trHeight w:val="60"/>
          <w:tblHeader/>
        </w:trPr>
        <w:tc>
          <w:tcPr>
            <w:tcW w:w="5443"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CED98CF" w14:textId="77777777" w:rsidR="00345EE3" w:rsidRPr="007563FD" w:rsidRDefault="00345EE3" w:rsidP="00D73130">
            <w:pPr>
              <w:widowControl/>
              <w:adjustRightInd w:val="0"/>
              <w:rPr>
                <w:rFonts w:eastAsiaTheme="minorHAnsi"/>
                <w:sz w:val="24"/>
                <w:szCs w:val="24"/>
                <w:lang w:val="en-GB"/>
              </w:rPr>
            </w:pP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20C04E7"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7563FD">
              <w:rPr>
                <w:rFonts w:eastAsiaTheme="minorHAnsi"/>
                <w:b/>
                <w:bCs/>
                <w:color w:val="FFFFFF"/>
                <w:spacing w:val="-2"/>
                <w:sz w:val="24"/>
                <w:szCs w:val="24"/>
                <w:lang w:val="en-GB"/>
              </w:rPr>
              <w:t>Jun–21</w:t>
            </w:r>
          </w:p>
        </w:tc>
        <w:tc>
          <w:tcPr>
            <w:tcW w:w="119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2250B9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7563FD">
              <w:rPr>
                <w:rFonts w:eastAsiaTheme="minorHAnsi"/>
                <w:b/>
                <w:bCs/>
                <w:color w:val="FFFFFF"/>
                <w:spacing w:val="-2"/>
                <w:sz w:val="24"/>
                <w:szCs w:val="24"/>
                <w:lang w:val="en-GB"/>
              </w:rPr>
              <w:t>Jun–22</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23AEC2F"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7563FD">
              <w:rPr>
                <w:rFonts w:eastAsiaTheme="minorHAnsi"/>
                <w:b/>
                <w:bCs/>
                <w:color w:val="FFFFFF"/>
                <w:spacing w:val="-2"/>
                <w:sz w:val="24"/>
                <w:szCs w:val="24"/>
                <w:lang w:val="en-GB"/>
              </w:rPr>
              <w:t>Jun–21</w:t>
            </w:r>
          </w:p>
        </w:tc>
        <w:tc>
          <w:tcPr>
            <w:tcW w:w="1191"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0983ADB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7563FD">
              <w:rPr>
                <w:rFonts w:eastAsiaTheme="minorHAnsi"/>
                <w:b/>
                <w:bCs/>
                <w:color w:val="FFFFFF"/>
                <w:spacing w:val="-2"/>
                <w:sz w:val="24"/>
                <w:szCs w:val="24"/>
                <w:lang w:val="en-GB"/>
              </w:rPr>
              <w:t>Jun–22</w:t>
            </w:r>
          </w:p>
        </w:tc>
      </w:tr>
      <w:tr w:rsidR="00345EE3" w:rsidRPr="007563FD" w14:paraId="6CBF87F1"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90BDA33"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b/>
                <w:bCs/>
                <w:color w:val="000000"/>
                <w:sz w:val="24"/>
                <w:szCs w:val="24"/>
                <w:lang w:val="en-GB"/>
              </w:rPr>
              <w:t>Senior Public Servants</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BEBF46"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7</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EBCDE16"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4</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A0BCE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7</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77C75CA"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4</w:t>
            </w:r>
          </w:p>
        </w:tc>
      </w:tr>
      <w:tr w:rsidR="00345EE3" w:rsidRPr="007563FD" w14:paraId="6D537A81"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ACF2649"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Governor in Council</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FC6A34"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3</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8322C2"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2</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D94C75"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3</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957187F"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2</w:t>
            </w:r>
          </w:p>
        </w:tc>
      </w:tr>
      <w:tr w:rsidR="00345EE3" w:rsidRPr="007563FD" w14:paraId="1C30AB08"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68F93CF"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SES 3</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D264A3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0FAB811"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74169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993F526"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06215473"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21E0336"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SES 2</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6DF607"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8421F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D18D0A2"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C08BC01"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r>
      <w:tr w:rsidR="00345EE3" w:rsidRPr="007563FD" w14:paraId="19791E19"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7B16A56"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SES 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4945A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2</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202CEE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0C8FBE3"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2</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974309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7F6A5D74"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684679E"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SMA</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87FDA1"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19CC2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4BAA726"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7AB3DAF"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3347BE04"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902726"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FO-7 (includes STS)</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3AA7F5"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44A42F6"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F7B300"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C9B0CD3"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r>
      <w:tr w:rsidR="00345EE3" w:rsidRPr="007563FD" w14:paraId="1BA1FA37"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2515E3E"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b/>
                <w:bCs/>
                <w:color w:val="000000"/>
                <w:sz w:val="24"/>
                <w:szCs w:val="24"/>
                <w:lang w:val="en-GB"/>
              </w:rPr>
              <w:t>Other Public Servants</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99529A"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35</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02D53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33</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BB18D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29</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AB5CDB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31</w:t>
            </w:r>
          </w:p>
        </w:tc>
      </w:tr>
      <w:tr w:rsidR="00345EE3" w:rsidRPr="007563FD" w14:paraId="6D6150A7"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008D8D0"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FO-6</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E726C51"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B24793"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070BEA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04FB861"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004FE86D"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9601AB1"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FO-5</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6ECD43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696FD21"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79B414"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CFE3BF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22A476AD"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49441B7"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FO-4</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A9D217"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BED7E94"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1D9E9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85A7E1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644DFE41"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A698C6A"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FO-3</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E3C6F82"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F8EC67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617158"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C45FED5"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r>
      <w:tr w:rsidR="00345EE3" w:rsidRPr="007563FD" w14:paraId="27A1C5FF"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F1FEB64"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FO-2</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9624C2"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0D009D"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2DD7495"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4CE4108"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0A51C622"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435854F"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FO-1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447C79F"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0C1E0C7"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D8E6B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418E68F"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398BE86F"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E2AB315"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VPS-6</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251754"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4</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FCBE2A"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5</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184A7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4</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1EE99B8"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5</w:t>
            </w:r>
          </w:p>
        </w:tc>
      </w:tr>
      <w:tr w:rsidR="00345EE3" w:rsidRPr="007563FD" w14:paraId="4C59B491"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760B3D5"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VPS-5</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3DFC420"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12</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A73DFF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9</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A6490A6"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8</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F0E22C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8</w:t>
            </w:r>
          </w:p>
        </w:tc>
      </w:tr>
      <w:tr w:rsidR="00345EE3" w:rsidRPr="007563FD" w14:paraId="01DDA925"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870EAF4"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VPS-4</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F2690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11</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B4424F"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12</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60817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B5408A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12</w:t>
            </w:r>
          </w:p>
        </w:tc>
      </w:tr>
      <w:tr w:rsidR="00345EE3" w:rsidRPr="007563FD" w14:paraId="5A5CBA40"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FAEB12E"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VPS-3</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D00927"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7</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FC0D0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5</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8CF361"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6</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061934D"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5</w:t>
            </w:r>
          </w:p>
        </w:tc>
      </w:tr>
      <w:tr w:rsidR="00345EE3" w:rsidRPr="007563FD" w14:paraId="2F185E51"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2621BD1"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VPS-2</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D1F05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8FE74DA"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4D5A60A"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34F951D"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r>
      <w:tr w:rsidR="00345EE3" w:rsidRPr="007563FD" w14:paraId="0BA6C32D"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4E708AA"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VPS-1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44474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C6F9A14"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76D3F2"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9ADCD3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5054348C"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79A430F"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PCO-2</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40B424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FAA7F7"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10A601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615E08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7DB5FD49"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970C8F5"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PCO-1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6DA40A4"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EE7AB0"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E5AB1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5E1ACF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36E6505D"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49C2CD22"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b/>
                <w:bCs/>
                <w:color w:val="000000"/>
                <w:sz w:val="24"/>
                <w:szCs w:val="24"/>
                <w:lang w:val="en-GB"/>
              </w:rPr>
              <w:t>Total Workforce</w:t>
            </w:r>
          </w:p>
        </w:tc>
        <w:tc>
          <w:tcPr>
            <w:tcW w:w="1190" w:type="dxa"/>
            <w:tcBorders>
              <w:top w:val="single" w:sz="2" w:space="0" w:color="9D9C9C"/>
              <w:left w:val="single" w:sz="2" w:space="0" w:color="9D9C9C"/>
              <w:bottom w:val="single" w:sz="2" w:space="0" w:color="9D9C9C"/>
              <w:right w:val="single" w:sz="2" w:space="0" w:color="9D9C9C"/>
            </w:tcBorders>
            <w:shd w:val="solid" w:color="DADAD9" w:fill="auto"/>
            <w:tcMar>
              <w:top w:w="113" w:type="dxa"/>
              <w:left w:w="14" w:type="dxa"/>
              <w:bottom w:w="113" w:type="dxa"/>
              <w:right w:w="14" w:type="dxa"/>
            </w:tcMar>
          </w:tcPr>
          <w:p w14:paraId="514475A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42</w:t>
            </w:r>
          </w:p>
        </w:tc>
        <w:tc>
          <w:tcPr>
            <w:tcW w:w="1191" w:type="dxa"/>
            <w:tcBorders>
              <w:top w:val="single" w:sz="2" w:space="0" w:color="9D9C9C"/>
              <w:left w:val="single" w:sz="2" w:space="0" w:color="9D9C9C"/>
              <w:bottom w:val="single" w:sz="2" w:space="0" w:color="9D9C9C"/>
              <w:right w:val="single" w:sz="2" w:space="0" w:color="9D9C9C"/>
            </w:tcBorders>
            <w:shd w:val="solid" w:color="DADAD9" w:fill="auto"/>
            <w:tcMar>
              <w:top w:w="113" w:type="dxa"/>
              <w:left w:w="14" w:type="dxa"/>
              <w:bottom w:w="113" w:type="dxa"/>
              <w:right w:w="14" w:type="dxa"/>
            </w:tcMar>
          </w:tcPr>
          <w:p w14:paraId="4A63765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37</w:t>
            </w:r>
          </w:p>
        </w:tc>
        <w:tc>
          <w:tcPr>
            <w:tcW w:w="1190" w:type="dxa"/>
            <w:tcBorders>
              <w:top w:val="single" w:sz="2" w:space="0" w:color="9D9C9C"/>
              <w:left w:val="single" w:sz="2" w:space="0" w:color="9D9C9C"/>
              <w:bottom w:val="single" w:sz="2" w:space="0" w:color="9D9C9C"/>
              <w:right w:val="single" w:sz="2" w:space="0" w:color="9D9C9C"/>
            </w:tcBorders>
            <w:shd w:val="solid" w:color="DADAD9" w:fill="auto"/>
            <w:tcMar>
              <w:top w:w="113" w:type="dxa"/>
              <w:left w:w="14" w:type="dxa"/>
              <w:bottom w:w="113" w:type="dxa"/>
              <w:right w:w="14" w:type="dxa"/>
            </w:tcMar>
          </w:tcPr>
          <w:p w14:paraId="64C0CC0A"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36</w:t>
            </w:r>
          </w:p>
        </w:tc>
        <w:tc>
          <w:tcPr>
            <w:tcW w:w="1191" w:type="dxa"/>
            <w:tcBorders>
              <w:top w:val="single" w:sz="2" w:space="0" w:color="9D9C9C"/>
              <w:left w:val="single" w:sz="2" w:space="0" w:color="9D9C9C"/>
              <w:bottom w:val="single" w:sz="2" w:space="0" w:color="9D9C9C"/>
              <w:right w:val="single" w:sz="6" w:space="0" w:color="9D9C9C"/>
            </w:tcBorders>
            <w:shd w:val="solid" w:color="DADAD9" w:fill="auto"/>
            <w:tcMar>
              <w:top w:w="113" w:type="dxa"/>
              <w:left w:w="14" w:type="dxa"/>
              <w:bottom w:w="113" w:type="dxa"/>
              <w:right w:w="14" w:type="dxa"/>
            </w:tcMar>
          </w:tcPr>
          <w:p w14:paraId="536077F2"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35</w:t>
            </w:r>
          </w:p>
        </w:tc>
      </w:tr>
    </w:tbl>
    <w:p w14:paraId="3CA5C445" w14:textId="6F24549D" w:rsidR="00345EE3" w:rsidRPr="00ED2501" w:rsidRDefault="00345EE3" w:rsidP="00345EE3">
      <w:pPr>
        <w:spacing w:before="76"/>
        <w:ind w:left="110"/>
        <w:rPr>
          <w:sz w:val="18"/>
          <w:szCs w:val="18"/>
        </w:rPr>
      </w:pPr>
      <w:r w:rsidRPr="00ED2501">
        <w:rPr>
          <w:rFonts w:ascii="Arial-BoldItalicMT"/>
          <w:b/>
          <w:i/>
          <w:color w:val="231F20"/>
          <w:sz w:val="18"/>
          <w:szCs w:val="18"/>
        </w:rPr>
        <w:t>Source:</w:t>
      </w:r>
      <w:r w:rsidRPr="00ED2501">
        <w:rPr>
          <w:rFonts w:ascii="Arial-BoldItalicMT"/>
          <w:b/>
          <w:i/>
          <w:color w:val="231F20"/>
          <w:spacing w:val="-1"/>
          <w:sz w:val="18"/>
          <w:szCs w:val="18"/>
        </w:rPr>
        <w:t xml:space="preserve"> </w:t>
      </w:r>
      <w:r w:rsidRPr="00ED2501">
        <w:rPr>
          <w:color w:val="231F20"/>
          <w:sz w:val="18"/>
          <w:szCs w:val="18"/>
        </w:rPr>
        <w:t>Human Resources Command. Data extracted</w:t>
      </w:r>
      <w:r w:rsidRPr="00ED2501">
        <w:rPr>
          <w:color w:val="231F20"/>
          <w:spacing w:val="1"/>
          <w:sz w:val="18"/>
          <w:szCs w:val="18"/>
        </w:rPr>
        <w:t xml:space="preserve"> </w:t>
      </w:r>
      <w:r w:rsidRPr="00ED2501">
        <w:rPr>
          <w:color w:val="231F20"/>
          <w:sz w:val="18"/>
          <w:szCs w:val="18"/>
        </w:rPr>
        <w:t>from HR Assist on 22 June</w:t>
      </w:r>
      <w:r w:rsidRPr="00ED2501">
        <w:rPr>
          <w:color w:val="231F20"/>
          <w:spacing w:val="1"/>
          <w:sz w:val="18"/>
          <w:szCs w:val="18"/>
        </w:rPr>
        <w:t xml:space="preserve"> </w:t>
      </w:r>
      <w:r w:rsidRPr="00ED2501">
        <w:rPr>
          <w:color w:val="231F20"/>
          <w:spacing w:val="-2"/>
          <w:sz w:val="18"/>
          <w:szCs w:val="18"/>
        </w:rPr>
        <w:t>2022.</w:t>
      </w:r>
    </w:p>
    <w:p w14:paraId="3E6765A8" w14:textId="77777777" w:rsidR="00345EE3" w:rsidRPr="00ED2501" w:rsidRDefault="00345EE3" w:rsidP="00345EE3">
      <w:pPr>
        <w:spacing w:before="27"/>
        <w:ind w:left="110"/>
        <w:rPr>
          <w:rFonts w:ascii="Arial-BoldItalicMT"/>
          <w:b/>
          <w:i/>
          <w:sz w:val="18"/>
          <w:szCs w:val="18"/>
        </w:rPr>
      </w:pPr>
      <w:r w:rsidRPr="00ED2501">
        <w:rPr>
          <w:rFonts w:ascii="Arial-BoldItalicMT"/>
          <w:b/>
          <w:i/>
          <w:color w:val="231F20"/>
          <w:spacing w:val="-2"/>
          <w:sz w:val="18"/>
          <w:szCs w:val="18"/>
        </w:rPr>
        <w:t>Notes:</w:t>
      </w:r>
    </w:p>
    <w:p w14:paraId="1FB3A8AA" w14:textId="77777777" w:rsidR="00345EE3" w:rsidRPr="00ED2501" w:rsidRDefault="00345EE3">
      <w:pPr>
        <w:pStyle w:val="ListParagraph"/>
        <w:numPr>
          <w:ilvl w:val="0"/>
          <w:numId w:val="48"/>
        </w:numPr>
        <w:tabs>
          <w:tab w:val="left" w:pos="338"/>
        </w:tabs>
        <w:spacing w:before="27"/>
        <w:ind w:right="297"/>
        <w:rPr>
          <w:sz w:val="18"/>
          <w:szCs w:val="18"/>
        </w:rPr>
      </w:pPr>
      <w:r w:rsidRPr="00ED2501">
        <w:rPr>
          <w:color w:val="231F20"/>
          <w:sz w:val="18"/>
          <w:szCs w:val="18"/>
        </w:rPr>
        <w:t>This</w:t>
      </w:r>
      <w:r w:rsidRPr="00ED2501">
        <w:rPr>
          <w:color w:val="231F20"/>
          <w:spacing w:val="-1"/>
          <w:sz w:val="18"/>
          <w:szCs w:val="18"/>
        </w:rPr>
        <w:t xml:space="preserve"> </w:t>
      </w:r>
      <w:r w:rsidRPr="00ED2501">
        <w:rPr>
          <w:color w:val="231F20"/>
          <w:sz w:val="18"/>
          <w:szCs w:val="18"/>
        </w:rPr>
        <w:t>table</w:t>
      </w:r>
      <w:r w:rsidRPr="00ED2501">
        <w:rPr>
          <w:color w:val="231F20"/>
          <w:spacing w:val="-1"/>
          <w:sz w:val="18"/>
          <w:szCs w:val="18"/>
        </w:rPr>
        <w:t xml:space="preserve"> </w:t>
      </w:r>
      <w:r w:rsidRPr="00ED2501">
        <w:rPr>
          <w:color w:val="231F20"/>
          <w:sz w:val="18"/>
          <w:szCs w:val="18"/>
        </w:rPr>
        <w:t>is</w:t>
      </w:r>
      <w:r w:rsidRPr="00ED2501">
        <w:rPr>
          <w:color w:val="231F20"/>
          <w:spacing w:val="-1"/>
          <w:sz w:val="18"/>
          <w:szCs w:val="18"/>
        </w:rPr>
        <w:t xml:space="preserve"> </w:t>
      </w:r>
      <w:r w:rsidRPr="00ED2501">
        <w:rPr>
          <w:color w:val="231F20"/>
          <w:sz w:val="18"/>
          <w:szCs w:val="18"/>
        </w:rPr>
        <w:t>prepared</w:t>
      </w:r>
      <w:r w:rsidRPr="00ED2501">
        <w:rPr>
          <w:color w:val="231F20"/>
          <w:spacing w:val="-1"/>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accordance</w:t>
      </w:r>
      <w:r w:rsidRPr="00ED2501">
        <w:rPr>
          <w:color w:val="231F20"/>
          <w:spacing w:val="-1"/>
          <w:sz w:val="18"/>
          <w:szCs w:val="18"/>
        </w:rPr>
        <w:t xml:space="preserve"> </w:t>
      </w:r>
      <w:r w:rsidRPr="00ED2501">
        <w:rPr>
          <w:color w:val="231F20"/>
          <w:sz w:val="18"/>
          <w:szCs w:val="18"/>
        </w:rPr>
        <w:t>with</w:t>
      </w:r>
      <w:r w:rsidRPr="00ED2501">
        <w:rPr>
          <w:color w:val="231F20"/>
          <w:spacing w:val="-1"/>
          <w:sz w:val="18"/>
          <w:szCs w:val="18"/>
        </w:rPr>
        <w:t xml:space="preserve"> </w:t>
      </w:r>
      <w:r w:rsidRPr="00ED2501">
        <w:rPr>
          <w:color w:val="231F20"/>
          <w:sz w:val="18"/>
          <w:szCs w:val="18"/>
        </w:rPr>
        <w:t>FRD</w:t>
      </w:r>
      <w:r w:rsidRPr="00ED2501">
        <w:rPr>
          <w:color w:val="231F20"/>
          <w:spacing w:val="-1"/>
          <w:sz w:val="18"/>
          <w:szCs w:val="18"/>
        </w:rPr>
        <w:t xml:space="preserve"> </w:t>
      </w:r>
      <w:r w:rsidRPr="00ED2501">
        <w:rPr>
          <w:color w:val="231F20"/>
          <w:sz w:val="18"/>
          <w:szCs w:val="18"/>
        </w:rPr>
        <w:t>29</w:t>
      </w:r>
      <w:r w:rsidRPr="00ED2501">
        <w:rPr>
          <w:color w:val="231F20"/>
          <w:spacing w:val="-1"/>
          <w:sz w:val="18"/>
          <w:szCs w:val="18"/>
        </w:rPr>
        <w:t xml:space="preserve"> </w:t>
      </w:r>
      <w:r w:rsidRPr="00ED2501">
        <w:rPr>
          <w:color w:val="231F20"/>
          <w:sz w:val="18"/>
          <w:szCs w:val="18"/>
        </w:rPr>
        <w:t>Workforce</w:t>
      </w:r>
      <w:r w:rsidRPr="00ED2501">
        <w:rPr>
          <w:color w:val="231F20"/>
          <w:spacing w:val="-1"/>
          <w:sz w:val="18"/>
          <w:szCs w:val="18"/>
        </w:rPr>
        <w:t xml:space="preserve"> </w:t>
      </w:r>
      <w:r w:rsidRPr="00ED2501">
        <w:rPr>
          <w:color w:val="231F20"/>
          <w:sz w:val="18"/>
          <w:szCs w:val="18"/>
        </w:rPr>
        <w:t>Data</w:t>
      </w:r>
      <w:r w:rsidRPr="00ED2501">
        <w:rPr>
          <w:color w:val="231F20"/>
          <w:spacing w:val="-1"/>
          <w:sz w:val="18"/>
          <w:szCs w:val="18"/>
        </w:rPr>
        <w:t xml:space="preserve"> </w:t>
      </w:r>
      <w:r w:rsidRPr="00ED2501">
        <w:rPr>
          <w:color w:val="231F20"/>
          <w:sz w:val="18"/>
          <w:szCs w:val="18"/>
        </w:rPr>
        <w:t>disclosure</w:t>
      </w:r>
      <w:r w:rsidRPr="00ED2501">
        <w:rPr>
          <w:color w:val="231F20"/>
          <w:spacing w:val="-1"/>
          <w:sz w:val="18"/>
          <w:szCs w:val="18"/>
        </w:rPr>
        <w:t xml:space="preserve"> </w:t>
      </w:r>
      <w:r w:rsidRPr="00ED2501">
        <w:rPr>
          <w:color w:val="231F20"/>
          <w:sz w:val="18"/>
          <w:szCs w:val="18"/>
        </w:rPr>
        <w:t>requirements.</w:t>
      </w:r>
      <w:r w:rsidRPr="00ED2501">
        <w:rPr>
          <w:color w:val="231F20"/>
          <w:spacing w:val="-1"/>
          <w:sz w:val="18"/>
          <w:szCs w:val="18"/>
        </w:rPr>
        <w:t xml:space="preserve"> </w:t>
      </w:r>
      <w:r w:rsidRPr="00ED2501">
        <w:rPr>
          <w:color w:val="231F20"/>
          <w:sz w:val="18"/>
          <w:szCs w:val="18"/>
        </w:rPr>
        <w:t>It</w:t>
      </w:r>
      <w:r w:rsidRPr="00ED2501">
        <w:rPr>
          <w:color w:val="231F20"/>
          <w:spacing w:val="-1"/>
          <w:sz w:val="18"/>
          <w:szCs w:val="18"/>
        </w:rPr>
        <w:t xml:space="preserve"> </w:t>
      </w:r>
      <w:r w:rsidRPr="00ED2501">
        <w:rPr>
          <w:color w:val="231F20"/>
          <w:sz w:val="18"/>
          <w:szCs w:val="18"/>
        </w:rPr>
        <w:t>therefore</w:t>
      </w:r>
      <w:r w:rsidRPr="00ED2501">
        <w:rPr>
          <w:color w:val="231F20"/>
          <w:spacing w:val="-1"/>
          <w:sz w:val="18"/>
          <w:szCs w:val="18"/>
        </w:rPr>
        <w:t xml:space="preserve"> </w:t>
      </w:r>
      <w:r w:rsidRPr="00ED2501">
        <w:rPr>
          <w:color w:val="231F20"/>
          <w:sz w:val="18"/>
          <w:szCs w:val="18"/>
        </w:rPr>
        <w:t>excludes</w:t>
      </w:r>
      <w:r w:rsidRPr="00ED2501">
        <w:rPr>
          <w:color w:val="231F20"/>
          <w:spacing w:val="-1"/>
          <w:sz w:val="18"/>
          <w:szCs w:val="18"/>
        </w:rPr>
        <w:t xml:space="preserve"> </w:t>
      </w:r>
      <w:r w:rsidRPr="00ED2501">
        <w:rPr>
          <w:color w:val="231F20"/>
          <w:sz w:val="18"/>
          <w:szCs w:val="18"/>
        </w:rPr>
        <w:t>staff</w:t>
      </w:r>
      <w:r w:rsidRPr="00ED2501">
        <w:rPr>
          <w:color w:val="231F20"/>
          <w:spacing w:val="-1"/>
          <w:sz w:val="18"/>
          <w:szCs w:val="18"/>
        </w:rPr>
        <w:t xml:space="preserve"> </w:t>
      </w:r>
      <w:r w:rsidRPr="00ED2501">
        <w:rPr>
          <w:color w:val="231F20"/>
          <w:sz w:val="18"/>
          <w:szCs w:val="18"/>
        </w:rPr>
        <w:t>who</w:t>
      </w:r>
      <w:r w:rsidRPr="00ED2501">
        <w:rPr>
          <w:color w:val="231F20"/>
          <w:spacing w:val="-1"/>
          <w:sz w:val="18"/>
          <w:szCs w:val="18"/>
        </w:rPr>
        <w:t xml:space="preserve"> </w:t>
      </w:r>
      <w:r w:rsidRPr="00ED2501">
        <w:rPr>
          <w:color w:val="231F20"/>
          <w:sz w:val="18"/>
          <w:szCs w:val="18"/>
        </w:rPr>
        <w:t>were</w:t>
      </w:r>
      <w:r w:rsidRPr="00ED2501">
        <w:rPr>
          <w:color w:val="231F20"/>
          <w:spacing w:val="-1"/>
          <w:sz w:val="18"/>
          <w:szCs w:val="18"/>
        </w:rPr>
        <w:t xml:space="preserve"> </w:t>
      </w:r>
      <w:r w:rsidRPr="00ED2501">
        <w:rPr>
          <w:color w:val="231F20"/>
          <w:sz w:val="18"/>
          <w:szCs w:val="18"/>
        </w:rPr>
        <w:t>not</w:t>
      </w:r>
      <w:r w:rsidRPr="00ED2501">
        <w:rPr>
          <w:color w:val="231F20"/>
          <w:spacing w:val="-1"/>
          <w:sz w:val="18"/>
          <w:szCs w:val="18"/>
        </w:rPr>
        <w:t xml:space="preserve"> </w:t>
      </w:r>
      <w:r w:rsidRPr="00ED2501">
        <w:rPr>
          <w:color w:val="231F20"/>
          <w:sz w:val="18"/>
          <w:szCs w:val="18"/>
        </w:rPr>
        <w:t>on</w:t>
      </w:r>
      <w:r w:rsidRPr="00ED2501">
        <w:rPr>
          <w:color w:val="231F20"/>
          <w:spacing w:val="-1"/>
          <w:sz w:val="18"/>
          <w:szCs w:val="18"/>
        </w:rPr>
        <w:t xml:space="preserve"> </w:t>
      </w:r>
      <w:r w:rsidRPr="00ED2501">
        <w:rPr>
          <w:color w:val="231F20"/>
          <w:sz w:val="18"/>
          <w:szCs w:val="18"/>
        </w:rPr>
        <w:t>salary</w:t>
      </w:r>
      <w:r w:rsidRPr="00ED2501">
        <w:rPr>
          <w:color w:val="231F20"/>
          <w:spacing w:val="-1"/>
          <w:sz w:val="18"/>
          <w:szCs w:val="18"/>
        </w:rPr>
        <w:t xml:space="preserve"> </w:t>
      </w:r>
      <w:r w:rsidRPr="00ED2501">
        <w:rPr>
          <w:color w:val="231F20"/>
          <w:sz w:val="18"/>
          <w:szCs w:val="18"/>
        </w:rPr>
        <w:t>at</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end</w:t>
      </w:r>
      <w:r w:rsidRPr="00ED2501">
        <w:rPr>
          <w:color w:val="231F20"/>
          <w:spacing w:val="-1"/>
          <w:sz w:val="18"/>
          <w:szCs w:val="18"/>
        </w:rPr>
        <w:t xml:space="preserve"> </w:t>
      </w:r>
      <w:r w:rsidRPr="00ED2501">
        <w:rPr>
          <w:color w:val="231F20"/>
          <w:sz w:val="18"/>
          <w:szCs w:val="18"/>
        </w:rPr>
        <w:t>of</w:t>
      </w:r>
      <w:r w:rsidRPr="00ED2501">
        <w:rPr>
          <w:color w:val="231F20"/>
          <w:spacing w:val="-1"/>
          <w:sz w:val="18"/>
          <w:szCs w:val="18"/>
        </w:rPr>
        <w:t xml:space="preserve"> </w:t>
      </w:r>
      <w:r w:rsidRPr="00ED2501">
        <w:rPr>
          <w:color w:val="231F20"/>
          <w:sz w:val="18"/>
          <w:szCs w:val="18"/>
        </w:rPr>
        <w:t>the</w:t>
      </w:r>
      <w:r w:rsidRPr="00ED2501">
        <w:rPr>
          <w:color w:val="231F20"/>
          <w:spacing w:val="40"/>
          <w:sz w:val="18"/>
          <w:szCs w:val="18"/>
        </w:rPr>
        <w:t xml:space="preserve"> </w:t>
      </w:r>
      <w:r w:rsidRPr="00ED2501">
        <w:rPr>
          <w:color w:val="231F20"/>
          <w:sz w:val="18"/>
          <w:szCs w:val="18"/>
        </w:rPr>
        <w:t>last pay period of the financial year (which ended 18 June 2022 and 19 June 2021).</w:t>
      </w:r>
    </w:p>
    <w:p w14:paraId="4A5A31F0" w14:textId="77777777" w:rsidR="00345EE3" w:rsidRPr="00ED2501" w:rsidRDefault="00345EE3">
      <w:pPr>
        <w:pStyle w:val="ListParagraph"/>
        <w:numPr>
          <w:ilvl w:val="0"/>
          <w:numId w:val="48"/>
        </w:numPr>
        <w:tabs>
          <w:tab w:val="left" w:pos="338"/>
        </w:tabs>
        <w:spacing w:before="27"/>
        <w:ind w:hanging="228"/>
        <w:rPr>
          <w:sz w:val="18"/>
          <w:szCs w:val="18"/>
        </w:rPr>
      </w:pPr>
      <w:r w:rsidRPr="00ED2501">
        <w:rPr>
          <w:color w:val="231F20"/>
          <w:sz w:val="18"/>
          <w:szCs w:val="18"/>
        </w:rPr>
        <w:t>FTE</w:t>
      </w:r>
      <w:r w:rsidRPr="00ED2501">
        <w:rPr>
          <w:color w:val="231F20"/>
          <w:spacing w:val="-3"/>
          <w:sz w:val="18"/>
          <w:szCs w:val="18"/>
        </w:rPr>
        <w:t xml:space="preserve"> </w:t>
      </w:r>
      <w:r w:rsidRPr="00ED2501">
        <w:rPr>
          <w:color w:val="231F20"/>
          <w:sz w:val="18"/>
          <w:szCs w:val="18"/>
        </w:rPr>
        <w:t>total</w:t>
      </w:r>
      <w:r w:rsidRPr="00ED2501">
        <w:rPr>
          <w:color w:val="231F20"/>
          <w:spacing w:val="-2"/>
          <w:sz w:val="18"/>
          <w:szCs w:val="18"/>
        </w:rPr>
        <w:t xml:space="preserve"> </w:t>
      </w:r>
      <w:r w:rsidRPr="00ED2501">
        <w:rPr>
          <w:color w:val="231F20"/>
          <w:sz w:val="18"/>
          <w:szCs w:val="18"/>
        </w:rPr>
        <w:t>may</w:t>
      </w:r>
      <w:r w:rsidRPr="00ED2501">
        <w:rPr>
          <w:color w:val="231F20"/>
          <w:spacing w:val="-2"/>
          <w:sz w:val="18"/>
          <w:szCs w:val="18"/>
        </w:rPr>
        <w:t xml:space="preserve"> </w:t>
      </w:r>
      <w:r w:rsidRPr="00ED2501">
        <w:rPr>
          <w:color w:val="231F20"/>
          <w:sz w:val="18"/>
          <w:szCs w:val="18"/>
        </w:rPr>
        <w:t>not</w:t>
      </w:r>
      <w:r w:rsidRPr="00ED2501">
        <w:rPr>
          <w:color w:val="231F20"/>
          <w:spacing w:val="-3"/>
          <w:sz w:val="18"/>
          <w:szCs w:val="18"/>
        </w:rPr>
        <w:t xml:space="preserve"> </w:t>
      </w:r>
      <w:r w:rsidRPr="00ED2501">
        <w:rPr>
          <w:color w:val="231F20"/>
          <w:sz w:val="18"/>
          <w:szCs w:val="18"/>
        </w:rPr>
        <w:t>tally</w:t>
      </w:r>
      <w:r w:rsidRPr="00ED2501">
        <w:rPr>
          <w:color w:val="231F20"/>
          <w:spacing w:val="-2"/>
          <w:sz w:val="18"/>
          <w:szCs w:val="18"/>
        </w:rPr>
        <w:t xml:space="preserve"> </w:t>
      </w:r>
      <w:r w:rsidRPr="00ED2501">
        <w:rPr>
          <w:color w:val="231F20"/>
          <w:sz w:val="18"/>
          <w:szCs w:val="18"/>
        </w:rPr>
        <w:t>due</w:t>
      </w:r>
      <w:r w:rsidRPr="00ED2501">
        <w:rPr>
          <w:color w:val="231F20"/>
          <w:spacing w:val="-2"/>
          <w:sz w:val="18"/>
          <w:szCs w:val="18"/>
        </w:rPr>
        <w:t xml:space="preserve"> </w:t>
      </w:r>
      <w:r w:rsidRPr="00ED2501">
        <w:rPr>
          <w:color w:val="231F20"/>
          <w:sz w:val="18"/>
          <w:szCs w:val="18"/>
        </w:rPr>
        <w:t>to</w:t>
      </w:r>
      <w:r w:rsidRPr="00ED2501">
        <w:rPr>
          <w:color w:val="231F20"/>
          <w:spacing w:val="-2"/>
          <w:sz w:val="18"/>
          <w:szCs w:val="18"/>
        </w:rPr>
        <w:t xml:space="preserve"> </w:t>
      </w:r>
      <w:r w:rsidRPr="00ED2501">
        <w:rPr>
          <w:color w:val="231F20"/>
          <w:sz w:val="18"/>
          <w:szCs w:val="18"/>
        </w:rPr>
        <w:t>rounding</w:t>
      </w:r>
      <w:r w:rsidRPr="00ED2501">
        <w:rPr>
          <w:color w:val="231F20"/>
          <w:spacing w:val="-3"/>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figures</w:t>
      </w:r>
      <w:r w:rsidRPr="00ED2501">
        <w:rPr>
          <w:color w:val="231F20"/>
          <w:spacing w:val="-2"/>
          <w:sz w:val="18"/>
          <w:szCs w:val="18"/>
        </w:rPr>
        <w:t xml:space="preserve"> </w:t>
      </w:r>
      <w:r w:rsidRPr="00ED2501">
        <w:rPr>
          <w:color w:val="231F20"/>
          <w:sz w:val="18"/>
          <w:szCs w:val="18"/>
        </w:rPr>
        <w:t>have</w:t>
      </w:r>
      <w:r w:rsidRPr="00ED2501">
        <w:rPr>
          <w:color w:val="231F20"/>
          <w:spacing w:val="-3"/>
          <w:sz w:val="18"/>
          <w:szCs w:val="18"/>
        </w:rPr>
        <w:t xml:space="preserve"> </w:t>
      </w:r>
      <w:r w:rsidRPr="00ED2501">
        <w:rPr>
          <w:color w:val="231F20"/>
          <w:sz w:val="18"/>
          <w:szCs w:val="18"/>
        </w:rPr>
        <w:t>been</w:t>
      </w:r>
      <w:r w:rsidRPr="00ED2501">
        <w:rPr>
          <w:color w:val="231F20"/>
          <w:spacing w:val="-2"/>
          <w:sz w:val="18"/>
          <w:szCs w:val="18"/>
        </w:rPr>
        <w:t xml:space="preserve"> </w:t>
      </w:r>
      <w:r w:rsidRPr="00ED2501">
        <w:rPr>
          <w:color w:val="231F20"/>
          <w:sz w:val="18"/>
          <w:szCs w:val="18"/>
        </w:rPr>
        <w:t>rounded</w:t>
      </w:r>
      <w:r w:rsidRPr="00ED2501">
        <w:rPr>
          <w:color w:val="231F20"/>
          <w:spacing w:val="-2"/>
          <w:sz w:val="18"/>
          <w:szCs w:val="18"/>
        </w:rPr>
        <w:t xml:space="preserve"> </w:t>
      </w:r>
      <w:r w:rsidRPr="00ED2501">
        <w:rPr>
          <w:color w:val="231F20"/>
          <w:sz w:val="18"/>
          <w:szCs w:val="18"/>
        </w:rPr>
        <w:t>to</w:t>
      </w:r>
      <w:r w:rsidRPr="00ED2501">
        <w:rPr>
          <w:color w:val="231F20"/>
          <w:spacing w:val="-3"/>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nearest</w:t>
      </w:r>
      <w:r w:rsidRPr="00ED2501">
        <w:rPr>
          <w:color w:val="231F20"/>
          <w:spacing w:val="-2"/>
          <w:sz w:val="18"/>
          <w:szCs w:val="18"/>
        </w:rPr>
        <w:t xml:space="preserve"> </w:t>
      </w:r>
      <w:r w:rsidRPr="00ED2501">
        <w:rPr>
          <w:color w:val="231F20"/>
          <w:sz w:val="18"/>
          <w:szCs w:val="18"/>
        </w:rPr>
        <w:t>whole</w:t>
      </w:r>
      <w:r w:rsidRPr="00ED2501">
        <w:rPr>
          <w:color w:val="231F20"/>
          <w:spacing w:val="-2"/>
          <w:sz w:val="18"/>
          <w:szCs w:val="18"/>
        </w:rPr>
        <w:t xml:space="preserve"> </w:t>
      </w:r>
      <w:r w:rsidRPr="00ED2501">
        <w:rPr>
          <w:color w:val="231F20"/>
          <w:sz w:val="18"/>
          <w:szCs w:val="18"/>
        </w:rPr>
        <w:t>number</w:t>
      </w:r>
      <w:r w:rsidRPr="00ED2501">
        <w:rPr>
          <w:color w:val="231F20"/>
          <w:spacing w:val="-3"/>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per</w:t>
      </w:r>
      <w:r w:rsidRPr="00ED2501">
        <w:rPr>
          <w:color w:val="231F20"/>
          <w:spacing w:val="-2"/>
          <w:sz w:val="18"/>
          <w:szCs w:val="18"/>
        </w:rPr>
        <w:t xml:space="preserve"> </w:t>
      </w:r>
      <w:r w:rsidRPr="00ED2501">
        <w:rPr>
          <w:color w:val="231F20"/>
          <w:sz w:val="18"/>
          <w:szCs w:val="18"/>
        </w:rPr>
        <w:t>FRD</w:t>
      </w:r>
      <w:r w:rsidRPr="00ED2501">
        <w:rPr>
          <w:color w:val="231F20"/>
          <w:spacing w:val="-2"/>
          <w:sz w:val="18"/>
          <w:szCs w:val="18"/>
        </w:rPr>
        <w:t xml:space="preserve"> </w:t>
      </w:r>
      <w:r w:rsidRPr="00ED2501">
        <w:rPr>
          <w:color w:val="231F20"/>
          <w:spacing w:val="-5"/>
          <w:sz w:val="18"/>
          <w:szCs w:val="18"/>
        </w:rPr>
        <w:t>29.</w:t>
      </w:r>
    </w:p>
    <w:p w14:paraId="013A962A" w14:textId="77777777" w:rsidR="00345EE3" w:rsidRPr="00ED2501" w:rsidRDefault="00345EE3">
      <w:pPr>
        <w:pStyle w:val="ListParagraph"/>
        <w:numPr>
          <w:ilvl w:val="0"/>
          <w:numId w:val="48"/>
        </w:numPr>
        <w:tabs>
          <w:tab w:val="left" w:pos="338"/>
        </w:tabs>
        <w:spacing w:before="27"/>
        <w:ind w:hanging="228"/>
        <w:rPr>
          <w:sz w:val="18"/>
          <w:szCs w:val="18"/>
        </w:rPr>
      </w:pPr>
      <w:r w:rsidRPr="00ED2501">
        <w:rPr>
          <w:color w:val="231F20"/>
          <w:sz w:val="18"/>
          <w:szCs w:val="18"/>
        </w:rPr>
        <w:t>PCOs</w:t>
      </w:r>
      <w:r w:rsidRPr="00ED2501">
        <w:rPr>
          <w:color w:val="231F20"/>
          <w:spacing w:val="-3"/>
          <w:sz w:val="18"/>
          <w:szCs w:val="18"/>
        </w:rPr>
        <w:t xml:space="preserve"> </w:t>
      </w:r>
      <w:r w:rsidRPr="00ED2501">
        <w:rPr>
          <w:color w:val="231F20"/>
          <w:sz w:val="18"/>
          <w:szCs w:val="18"/>
        </w:rPr>
        <w:t>are</w:t>
      </w:r>
      <w:r w:rsidRPr="00ED2501">
        <w:rPr>
          <w:color w:val="231F20"/>
          <w:spacing w:val="-2"/>
          <w:sz w:val="18"/>
          <w:szCs w:val="18"/>
        </w:rPr>
        <w:t xml:space="preserve"> </w:t>
      </w:r>
      <w:r w:rsidRPr="00ED2501">
        <w:rPr>
          <w:color w:val="231F20"/>
          <w:sz w:val="18"/>
          <w:szCs w:val="18"/>
        </w:rPr>
        <w:t>VPS</w:t>
      </w:r>
      <w:r w:rsidRPr="00ED2501">
        <w:rPr>
          <w:color w:val="231F20"/>
          <w:spacing w:val="-2"/>
          <w:sz w:val="18"/>
          <w:szCs w:val="18"/>
        </w:rPr>
        <w:t xml:space="preserve"> </w:t>
      </w:r>
      <w:r w:rsidRPr="00ED2501">
        <w:rPr>
          <w:color w:val="231F20"/>
          <w:sz w:val="18"/>
          <w:szCs w:val="18"/>
        </w:rPr>
        <w:t>employees</w:t>
      </w:r>
      <w:r w:rsidRPr="00ED2501">
        <w:rPr>
          <w:color w:val="231F20"/>
          <w:spacing w:val="-3"/>
          <w:sz w:val="18"/>
          <w:szCs w:val="18"/>
        </w:rPr>
        <w:t xml:space="preserve"> </w:t>
      </w:r>
      <w:r w:rsidRPr="00ED2501">
        <w:rPr>
          <w:color w:val="231F20"/>
          <w:sz w:val="18"/>
          <w:szCs w:val="18"/>
        </w:rPr>
        <w:t>but</w:t>
      </w:r>
      <w:r w:rsidRPr="00ED2501">
        <w:rPr>
          <w:color w:val="231F20"/>
          <w:spacing w:val="-2"/>
          <w:sz w:val="18"/>
          <w:szCs w:val="18"/>
        </w:rPr>
        <w:t xml:space="preserve"> </w:t>
      </w:r>
      <w:r w:rsidRPr="00ED2501">
        <w:rPr>
          <w:color w:val="231F20"/>
          <w:sz w:val="18"/>
          <w:szCs w:val="18"/>
        </w:rPr>
        <w:t>are</w:t>
      </w:r>
      <w:r w:rsidRPr="00ED2501">
        <w:rPr>
          <w:color w:val="231F20"/>
          <w:spacing w:val="-2"/>
          <w:sz w:val="18"/>
          <w:szCs w:val="18"/>
        </w:rPr>
        <w:t xml:space="preserve"> </w:t>
      </w:r>
      <w:r w:rsidRPr="00ED2501">
        <w:rPr>
          <w:color w:val="231F20"/>
          <w:sz w:val="18"/>
          <w:szCs w:val="18"/>
        </w:rPr>
        <w:t>listed</w:t>
      </w:r>
      <w:r w:rsidRPr="00ED2501">
        <w:rPr>
          <w:color w:val="231F20"/>
          <w:spacing w:val="-2"/>
          <w:sz w:val="18"/>
          <w:szCs w:val="18"/>
        </w:rPr>
        <w:t xml:space="preserve"> separately.</w:t>
      </w:r>
    </w:p>
    <w:p w14:paraId="3F9F71CB" w14:textId="77777777" w:rsidR="00345EE3" w:rsidRPr="00ED2501" w:rsidRDefault="00345EE3">
      <w:pPr>
        <w:pStyle w:val="ListParagraph"/>
        <w:numPr>
          <w:ilvl w:val="0"/>
          <w:numId w:val="48"/>
        </w:numPr>
        <w:tabs>
          <w:tab w:val="left" w:pos="338"/>
        </w:tabs>
        <w:spacing w:before="28"/>
        <w:ind w:hanging="228"/>
        <w:rPr>
          <w:sz w:val="18"/>
          <w:szCs w:val="18"/>
        </w:rPr>
      </w:pPr>
      <w:r w:rsidRPr="00ED2501">
        <w:rPr>
          <w:color w:val="231F20"/>
          <w:sz w:val="18"/>
          <w:szCs w:val="18"/>
        </w:rPr>
        <w:t>Police</w:t>
      </w:r>
      <w:r w:rsidRPr="00ED2501">
        <w:rPr>
          <w:color w:val="231F20"/>
          <w:spacing w:val="-2"/>
          <w:sz w:val="18"/>
          <w:szCs w:val="18"/>
        </w:rPr>
        <w:t xml:space="preserve"> </w:t>
      </w:r>
      <w:r w:rsidRPr="00ED2501">
        <w:rPr>
          <w:color w:val="231F20"/>
          <w:sz w:val="18"/>
          <w:szCs w:val="18"/>
        </w:rPr>
        <w:t xml:space="preserve">Medical Officers are included with VPS but are employed as Senior Medical Advisors </w:t>
      </w:r>
      <w:r w:rsidRPr="00ED2501">
        <w:rPr>
          <w:color w:val="231F20"/>
          <w:spacing w:val="-2"/>
          <w:sz w:val="18"/>
          <w:szCs w:val="18"/>
        </w:rPr>
        <w:t>(SMAs).</w:t>
      </w:r>
    </w:p>
    <w:p w14:paraId="62DD5CDA" w14:textId="77777777" w:rsidR="00345EE3" w:rsidRPr="00ED2501" w:rsidRDefault="00345EE3">
      <w:pPr>
        <w:pStyle w:val="ListParagraph"/>
        <w:numPr>
          <w:ilvl w:val="0"/>
          <w:numId w:val="48"/>
        </w:numPr>
        <w:tabs>
          <w:tab w:val="left" w:pos="338"/>
        </w:tabs>
        <w:spacing w:before="27"/>
        <w:ind w:hanging="228"/>
        <w:rPr>
          <w:sz w:val="18"/>
          <w:szCs w:val="18"/>
        </w:rPr>
      </w:pPr>
      <w:r w:rsidRPr="00ED2501">
        <w:rPr>
          <w:color w:val="231F20"/>
          <w:sz w:val="18"/>
          <w:szCs w:val="18"/>
        </w:rPr>
        <w:t>Senior</w:t>
      </w:r>
      <w:r w:rsidRPr="00ED2501">
        <w:rPr>
          <w:color w:val="231F20"/>
          <w:spacing w:val="-4"/>
          <w:sz w:val="18"/>
          <w:szCs w:val="18"/>
        </w:rPr>
        <w:t xml:space="preserve"> </w:t>
      </w:r>
      <w:r w:rsidRPr="00ED2501">
        <w:rPr>
          <w:color w:val="231F20"/>
          <w:sz w:val="18"/>
          <w:szCs w:val="18"/>
        </w:rPr>
        <w:t>Technical</w:t>
      </w:r>
      <w:r w:rsidRPr="00ED2501">
        <w:rPr>
          <w:color w:val="231F20"/>
          <w:spacing w:val="-2"/>
          <w:sz w:val="18"/>
          <w:szCs w:val="18"/>
        </w:rPr>
        <w:t xml:space="preserve"> </w:t>
      </w:r>
      <w:r w:rsidRPr="00ED2501">
        <w:rPr>
          <w:color w:val="231F20"/>
          <w:sz w:val="18"/>
          <w:szCs w:val="18"/>
        </w:rPr>
        <w:t>Specialist</w:t>
      </w:r>
      <w:r w:rsidRPr="00ED2501">
        <w:rPr>
          <w:color w:val="231F20"/>
          <w:spacing w:val="-2"/>
          <w:sz w:val="18"/>
          <w:szCs w:val="18"/>
        </w:rPr>
        <w:t xml:space="preserve"> </w:t>
      </w:r>
      <w:r w:rsidRPr="00ED2501">
        <w:rPr>
          <w:color w:val="231F20"/>
          <w:sz w:val="18"/>
          <w:szCs w:val="18"/>
        </w:rPr>
        <w:t>are</w:t>
      </w:r>
      <w:r w:rsidRPr="00ED2501">
        <w:rPr>
          <w:color w:val="231F20"/>
          <w:spacing w:val="-2"/>
          <w:sz w:val="18"/>
          <w:szCs w:val="18"/>
        </w:rPr>
        <w:t xml:space="preserve"> </w:t>
      </w:r>
      <w:r w:rsidRPr="00ED2501">
        <w:rPr>
          <w:color w:val="231F20"/>
          <w:sz w:val="18"/>
          <w:szCs w:val="18"/>
        </w:rPr>
        <w:t>otherwise</w:t>
      </w:r>
      <w:r w:rsidRPr="00ED2501">
        <w:rPr>
          <w:color w:val="231F20"/>
          <w:spacing w:val="-2"/>
          <w:sz w:val="18"/>
          <w:szCs w:val="18"/>
        </w:rPr>
        <w:t xml:space="preserve"> </w:t>
      </w:r>
      <w:r w:rsidRPr="00ED2501">
        <w:rPr>
          <w:color w:val="231F20"/>
          <w:sz w:val="18"/>
          <w:szCs w:val="18"/>
        </w:rPr>
        <w:t>referred</w:t>
      </w:r>
      <w:r w:rsidRPr="00ED2501">
        <w:rPr>
          <w:color w:val="231F20"/>
          <w:spacing w:val="-2"/>
          <w:sz w:val="18"/>
          <w:szCs w:val="18"/>
        </w:rPr>
        <w:t xml:space="preserve"> </w:t>
      </w:r>
      <w:r w:rsidRPr="00ED2501">
        <w:rPr>
          <w:color w:val="231F20"/>
          <w:sz w:val="18"/>
          <w:szCs w:val="18"/>
        </w:rPr>
        <w:t>to</w:t>
      </w:r>
      <w:r w:rsidRPr="00ED2501">
        <w:rPr>
          <w:color w:val="231F20"/>
          <w:spacing w:val="-2"/>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FO-7</w:t>
      </w:r>
      <w:r w:rsidRPr="00ED2501">
        <w:rPr>
          <w:color w:val="231F20"/>
          <w:spacing w:val="-2"/>
          <w:sz w:val="18"/>
          <w:szCs w:val="18"/>
        </w:rPr>
        <w:t xml:space="preserve"> </w:t>
      </w:r>
      <w:r w:rsidRPr="00ED2501">
        <w:rPr>
          <w:color w:val="231F20"/>
          <w:sz w:val="18"/>
          <w:szCs w:val="18"/>
        </w:rPr>
        <w:t>and</w:t>
      </w:r>
      <w:r w:rsidRPr="00ED2501">
        <w:rPr>
          <w:color w:val="231F20"/>
          <w:spacing w:val="-2"/>
          <w:sz w:val="18"/>
          <w:szCs w:val="18"/>
        </w:rPr>
        <w:t xml:space="preserve"> </w:t>
      </w:r>
      <w:r w:rsidRPr="00ED2501">
        <w:rPr>
          <w:color w:val="231F20"/>
          <w:sz w:val="18"/>
          <w:szCs w:val="18"/>
        </w:rPr>
        <w:t>captured</w:t>
      </w:r>
      <w:r w:rsidRPr="00ED2501">
        <w:rPr>
          <w:color w:val="231F20"/>
          <w:spacing w:val="-2"/>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such</w:t>
      </w:r>
      <w:r w:rsidRPr="00ED2501">
        <w:rPr>
          <w:color w:val="231F20"/>
          <w:spacing w:val="-2"/>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above</w:t>
      </w:r>
      <w:r w:rsidRPr="00ED2501">
        <w:rPr>
          <w:color w:val="231F20"/>
          <w:spacing w:val="-2"/>
          <w:sz w:val="18"/>
          <w:szCs w:val="18"/>
        </w:rPr>
        <w:t xml:space="preserve"> table.</w:t>
      </w:r>
    </w:p>
    <w:p w14:paraId="613FEFE9" w14:textId="77777777" w:rsidR="00345EE3" w:rsidRDefault="00345EE3" w:rsidP="00345EE3">
      <w:pPr>
        <w:pStyle w:val="BodyText"/>
        <w:spacing w:before="4"/>
        <w:rPr>
          <w:sz w:val="20"/>
        </w:rPr>
      </w:pPr>
    </w:p>
    <w:p w14:paraId="6CE399E1" w14:textId="77777777" w:rsidR="00345EE3" w:rsidRDefault="00345EE3" w:rsidP="002A27BA">
      <w:pPr>
        <w:pStyle w:val="Heading3"/>
      </w:pPr>
      <w:r>
        <w:t>List of</w:t>
      </w:r>
      <w:r>
        <w:rPr>
          <w:spacing w:val="1"/>
        </w:rPr>
        <w:t xml:space="preserve"> </w:t>
      </w:r>
      <w:r>
        <w:t>Statutory Authorities/Offices</w:t>
      </w:r>
    </w:p>
    <w:p w14:paraId="72933D94" w14:textId="77777777" w:rsidR="00345EE3" w:rsidRDefault="00345EE3">
      <w:pPr>
        <w:pStyle w:val="ListParagraph"/>
        <w:numPr>
          <w:ilvl w:val="1"/>
          <w:numId w:val="48"/>
        </w:numPr>
        <w:tabs>
          <w:tab w:val="left" w:pos="393"/>
          <w:tab w:val="left" w:pos="394"/>
        </w:tabs>
        <w:spacing w:before="53"/>
        <w:rPr>
          <w:sz w:val="24"/>
        </w:rPr>
      </w:pPr>
      <w:r>
        <w:rPr>
          <w:color w:val="231F20"/>
          <w:sz w:val="24"/>
        </w:rPr>
        <w:t>Office</w:t>
      </w:r>
      <w:r>
        <w:rPr>
          <w:color w:val="231F20"/>
          <w:spacing w:val="-2"/>
          <w:sz w:val="24"/>
        </w:rPr>
        <w:t xml:space="preserve"> </w:t>
      </w:r>
      <w:r>
        <w:rPr>
          <w:color w:val="231F20"/>
          <w:sz w:val="24"/>
        </w:rPr>
        <w:t>of</w:t>
      </w:r>
      <w:r>
        <w:rPr>
          <w:color w:val="231F20"/>
          <w:spacing w:val="-1"/>
          <w:sz w:val="24"/>
        </w:rPr>
        <w:t xml:space="preserve"> </w:t>
      </w:r>
      <w:r>
        <w:rPr>
          <w:color w:val="231F20"/>
          <w:sz w:val="24"/>
        </w:rPr>
        <w:t>the</w:t>
      </w:r>
      <w:r>
        <w:rPr>
          <w:color w:val="231F20"/>
          <w:spacing w:val="-2"/>
          <w:sz w:val="24"/>
        </w:rPr>
        <w:t xml:space="preserve"> </w:t>
      </w:r>
      <w:r>
        <w:rPr>
          <w:color w:val="231F20"/>
          <w:sz w:val="24"/>
        </w:rPr>
        <w:t xml:space="preserve">Chief </w:t>
      </w:r>
      <w:r>
        <w:rPr>
          <w:color w:val="231F20"/>
          <w:spacing w:val="-2"/>
          <w:sz w:val="24"/>
        </w:rPr>
        <w:t>Examiner</w:t>
      </w:r>
    </w:p>
    <w:p w14:paraId="15AE45E3" w14:textId="77777777" w:rsidR="00345EE3" w:rsidRDefault="00345EE3">
      <w:pPr>
        <w:pStyle w:val="ListParagraph"/>
        <w:numPr>
          <w:ilvl w:val="1"/>
          <w:numId w:val="48"/>
        </w:numPr>
        <w:tabs>
          <w:tab w:val="left" w:pos="393"/>
          <w:tab w:val="left" w:pos="394"/>
        </w:tabs>
        <w:rPr>
          <w:sz w:val="24"/>
        </w:rPr>
      </w:pPr>
      <w:r>
        <w:rPr>
          <w:color w:val="231F20"/>
          <w:sz w:val="24"/>
        </w:rPr>
        <w:t>Australia</w:t>
      </w:r>
      <w:r>
        <w:rPr>
          <w:color w:val="231F20"/>
          <w:spacing w:val="-12"/>
          <w:sz w:val="24"/>
        </w:rPr>
        <w:t xml:space="preserve"> </w:t>
      </w:r>
      <w:r>
        <w:rPr>
          <w:color w:val="231F20"/>
          <w:sz w:val="24"/>
        </w:rPr>
        <w:t>and</w:t>
      </w:r>
      <w:r>
        <w:rPr>
          <w:color w:val="231F20"/>
          <w:spacing w:val="-9"/>
          <w:sz w:val="24"/>
        </w:rPr>
        <w:t xml:space="preserve"> </w:t>
      </w:r>
      <w:r>
        <w:rPr>
          <w:color w:val="231F20"/>
          <w:sz w:val="24"/>
        </w:rPr>
        <w:t>New</w:t>
      </w:r>
      <w:r>
        <w:rPr>
          <w:color w:val="231F20"/>
          <w:spacing w:val="-9"/>
          <w:sz w:val="24"/>
        </w:rPr>
        <w:t xml:space="preserve"> </w:t>
      </w:r>
      <w:r>
        <w:rPr>
          <w:color w:val="231F20"/>
          <w:sz w:val="24"/>
        </w:rPr>
        <w:t>Zealand</w:t>
      </w:r>
      <w:r>
        <w:rPr>
          <w:color w:val="231F20"/>
          <w:spacing w:val="-9"/>
          <w:sz w:val="24"/>
        </w:rPr>
        <w:t xml:space="preserve"> </w:t>
      </w:r>
      <w:r>
        <w:rPr>
          <w:color w:val="231F20"/>
          <w:sz w:val="24"/>
        </w:rPr>
        <w:t>Policing</w:t>
      </w:r>
      <w:r>
        <w:rPr>
          <w:color w:val="231F20"/>
          <w:spacing w:val="-9"/>
          <w:sz w:val="24"/>
        </w:rPr>
        <w:t xml:space="preserve"> </w:t>
      </w:r>
      <w:r>
        <w:rPr>
          <w:color w:val="231F20"/>
          <w:sz w:val="24"/>
        </w:rPr>
        <w:t>Advisory</w:t>
      </w:r>
      <w:r>
        <w:rPr>
          <w:color w:val="231F20"/>
          <w:spacing w:val="-9"/>
          <w:sz w:val="24"/>
        </w:rPr>
        <w:t xml:space="preserve"> </w:t>
      </w:r>
      <w:r>
        <w:rPr>
          <w:color w:val="231F20"/>
          <w:sz w:val="24"/>
        </w:rPr>
        <w:t>Agency</w:t>
      </w:r>
      <w:r>
        <w:rPr>
          <w:color w:val="231F20"/>
          <w:spacing w:val="-9"/>
          <w:sz w:val="24"/>
        </w:rPr>
        <w:t xml:space="preserve"> </w:t>
      </w:r>
      <w:r>
        <w:rPr>
          <w:color w:val="231F20"/>
          <w:spacing w:val="-2"/>
          <w:sz w:val="24"/>
        </w:rPr>
        <w:t>(ANZPAA)</w:t>
      </w:r>
    </w:p>
    <w:p w14:paraId="59BBD753" w14:textId="77777777" w:rsidR="00345EE3" w:rsidRDefault="00345EE3">
      <w:pPr>
        <w:pStyle w:val="ListParagraph"/>
        <w:numPr>
          <w:ilvl w:val="1"/>
          <w:numId w:val="48"/>
        </w:numPr>
        <w:tabs>
          <w:tab w:val="left" w:pos="393"/>
          <w:tab w:val="left" w:pos="394"/>
        </w:tabs>
        <w:rPr>
          <w:sz w:val="24"/>
        </w:rPr>
      </w:pPr>
      <w:r>
        <w:rPr>
          <w:color w:val="231F20"/>
          <w:sz w:val="24"/>
        </w:rPr>
        <w:t>Police</w:t>
      </w:r>
      <w:r>
        <w:rPr>
          <w:color w:val="231F20"/>
          <w:spacing w:val="-8"/>
          <w:sz w:val="24"/>
        </w:rPr>
        <w:t xml:space="preserve"> </w:t>
      </w:r>
      <w:r>
        <w:rPr>
          <w:color w:val="231F20"/>
          <w:sz w:val="24"/>
        </w:rPr>
        <w:t>Registration</w:t>
      </w:r>
      <w:r>
        <w:rPr>
          <w:color w:val="231F20"/>
          <w:spacing w:val="-8"/>
          <w:sz w:val="24"/>
        </w:rPr>
        <w:t xml:space="preserve"> </w:t>
      </w:r>
      <w:r>
        <w:rPr>
          <w:color w:val="231F20"/>
          <w:sz w:val="24"/>
        </w:rPr>
        <w:t>and</w:t>
      </w:r>
      <w:r>
        <w:rPr>
          <w:color w:val="231F20"/>
          <w:spacing w:val="-7"/>
          <w:sz w:val="24"/>
        </w:rPr>
        <w:t xml:space="preserve"> </w:t>
      </w:r>
      <w:r>
        <w:rPr>
          <w:color w:val="231F20"/>
          <w:sz w:val="24"/>
        </w:rPr>
        <w:t>Services</w:t>
      </w:r>
      <w:r>
        <w:rPr>
          <w:color w:val="231F20"/>
          <w:spacing w:val="-8"/>
          <w:sz w:val="24"/>
        </w:rPr>
        <w:t xml:space="preserve"> </w:t>
      </w:r>
      <w:r>
        <w:rPr>
          <w:color w:val="231F20"/>
          <w:sz w:val="24"/>
        </w:rPr>
        <w:t>Board</w:t>
      </w:r>
      <w:r>
        <w:rPr>
          <w:color w:val="231F20"/>
          <w:spacing w:val="-7"/>
          <w:sz w:val="24"/>
        </w:rPr>
        <w:t xml:space="preserve"> </w:t>
      </w:r>
      <w:r>
        <w:rPr>
          <w:color w:val="231F20"/>
          <w:spacing w:val="-2"/>
          <w:sz w:val="24"/>
        </w:rPr>
        <w:t>(PRSB)</w:t>
      </w:r>
    </w:p>
    <w:p w14:paraId="16407E65" w14:textId="77777777" w:rsidR="00345EE3" w:rsidRDefault="00345EE3" w:rsidP="002A27BA">
      <w:pPr>
        <w:pStyle w:val="Heading3"/>
      </w:pPr>
      <w:r>
        <w:t>Employment</w:t>
      </w:r>
      <w:r>
        <w:rPr>
          <w:spacing w:val="-5"/>
        </w:rPr>
        <w:t xml:space="preserve"> </w:t>
      </w:r>
      <w:r>
        <w:t>and</w:t>
      </w:r>
      <w:r>
        <w:rPr>
          <w:spacing w:val="-5"/>
        </w:rPr>
        <w:t xml:space="preserve"> </w:t>
      </w:r>
      <w:r>
        <w:t>conduct</w:t>
      </w:r>
      <w:r>
        <w:rPr>
          <w:spacing w:val="-4"/>
        </w:rPr>
        <w:t xml:space="preserve"> </w:t>
      </w:r>
      <w:r>
        <w:rPr>
          <w:spacing w:val="-2"/>
        </w:rPr>
        <w:t>principles</w:t>
      </w:r>
    </w:p>
    <w:p w14:paraId="433DAA1B" w14:textId="77777777" w:rsidR="00345EE3" w:rsidRDefault="00345EE3" w:rsidP="00345EE3">
      <w:pPr>
        <w:pStyle w:val="BodyText"/>
        <w:spacing w:before="62" w:line="242" w:lineRule="auto"/>
        <w:ind w:right="115"/>
      </w:pPr>
      <w:r>
        <w:rPr>
          <w:color w:val="231F20"/>
        </w:rPr>
        <w:t>Victoria Police is committed to applying merit and equity principles when appointing staff across all job streams. Our selection processes ensure applicants are assessed and evaluated fairly and</w:t>
      </w:r>
      <w:r>
        <w:rPr>
          <w:color w:val="231F20"/>
          <w:spacing w:val="-11"/>
        </w:rPr>
        <w:t xml:space="preserve"> </w:t>
      </w:r>
      <w:r>
        <w:rPr>
          <w:color w:val="231F20"/>
        </w:rPr>
        <w:t>equitably</w:t>
      </w:r>
      <w:r>
        <w:rPr>
          <w:color w:val="231F20"/>
          <w:spacing w:val="-10"/>
        </w:rPr>
        <w:t xml:space="preserve"> </w:t>
      </w:r>
      <w:r>
        <w:rPr>
          <w:color w:val="231F20"/>
        </w:rPr>
        <w:t>based</w:t>
      </w:r>
      <w:r>
        <w:rPr>
          <w:color w:val="231F20"/>
          <w:spacing w:val="-11"/>
        </w:rPr>
        <w:t xml:space="preserve"> </w:t>
      </w:r>
      <w:r>
        <w:rPr>
          <w:color w:val="231F20"/>
        </w:rPr>
        <w:t>on</w:t>
      </w:r>
      <w:r>
        <w:rPr>
          <w:color w:val="231F20"/>
          <w:spacing w:val="-11"/>
        </w:rPr>
        <w:t xml:space="preserve"> </w:t>
      </w:r>
      <w:r>
        <w:rPr>
          <w:color w:val="231F20"/>
        </w:rPr>
        <w:t>role</w:t>
      </w:r>
      <w:r>
        <w:rPr>
          <w:color w:val="231F20"/>
          <w:spacing w:val="-11"/>
        </w:rPr>
        <w:t xml:space="preserve"> </w:t>
      </w:r>
      <w:r>
        <w:rPr>
          <w:color w:val="231F20"/>
        </w:rPr>
        <w:t>expectations,</w:t>
      </w:r>
      <w:r>
        <w:rPr>
          <w:color w:val="231F20"/>
          <w:spacing w:val="-10"/>
        </w:rPr>
        <w:t xml:space="preserve"> </w:t>
      </w:r>
      <w:r>
        <w:rPr>
          <w:color w:val="231F20"/>
        </w:rPr>
        <w:t>key</w:t>
      </w:r>
      <w:r>
        <w:rPr>
          <w:color w:val="231F20"/>
          <w:spacing w:val="-10"/>
        </w:rPr>
        <w:t xml:space="preserve"> </w:t>
      </w:r>
      <w:r>
        <w:rPr>
          <w:color w:val="231F20"/>
        </w:rPr>
        <w:t>selection</w:t>
      </w:r>
      <w:r>
        <w:rPr>
          <w:color w:val="231F20"/>
          <w:spacing w:val="-11"/>
        </w:rPr>
        <w:t xml:space="preserve"> </w:t>
      </w:r>
      <w:r>
        <w:rPr>
          <w:color w:val="231F20"/>
        </w:rPr>
        <w:t>criteria</w:t>
      </w:r>
      <w:r>
        <w:rPr>
          <w:color w:val="231F20"/>
          <w:spacing w:val="-11"/>
        </w:rPr>
        <w:t xml:space="preserve"> </w:t>
      </w:r>
      <w:r>
        <w:rPr>
          <w:color w:val="231F20"/>
        </w:rPr>
        <w:t>and</w:t>
      </w:r>
      <w:r>
        <w:rPr>
          <w:color w:val="231F20"/>
          <w:spacing w:val="-11"/>
        </w:rPr>
        <w:t xml:space="preserve"> </w:t>
      </w:r>
      <w:r>
        <w:rPr>
          <w:color w:val="231F20"/>
        </w:rPr>
        <w:t>other</w:t>
      </w:r>
      <w:r>
        <w:rPr>
          <w:color w:val="231F20"/>
          <w:spacing w:val="-10"/>
        </w:rPr>
        <w:t xml:space="preserve"> </w:t>
      </w:r>
      <w:r>
        <w:rPr>
          <w:color w:val="231F20"/>
        </w:rPr>
        <w:t>accountabilities</w:t>
      </w:r>
      <w:r>
        <w:rPr>
          <w:color w:val="231F20"/>
          <w:spacing w:val="-10"/>
        </w:rPr>
        <w:t xml:space="preserve"> </w:t>
      </w:r>
      <w:r>
        <w:rPr>
          <w:color w:val="231F20"/>
        </w:rPr>
        <w:t>without discrimination. Employees have been correctly classified in workforce data collections.</w:t>
      </w:r>
    </w:p>
    <w:p w14:paraId="2FB3973D" w14:textId="77777777" w:rsidR="00345EE3" w:rsidRDefault="00345EE3" w:rsidP="002A27BA">
      <w:pPr>
        <w:pStyle w:val="Heading3"/>
      </w:pPr>
      <w:r>
        <w:t>Executive</w:t>
      </w:r>
      <w:r>
        <w:rPr>
          <w:spacing w:val="-11"/>
        </w:rPr>
        <w:t xml:space="preserve"> </w:t>
      </w:r>
      <w:r>
        <w:rPr>
          <w:spacing w:val="-4"/>
        </w:rPr>
        <w:t>data</w:t>
      </w:r>
    </w:p>
    <w:p w14:paraId="17BDD94D" w14:textId="77777777" w:rsidR="00345EE3" w:rsidRDefault="00345EE3" w:rsidP="00345EE3">
      <w:pPr>
        <w:spacing w:before="58"/>
        <w:ind w:left="110"/>
        <w:rPr>
          <w:rFonts w:ascii="Arial-BoldItalicMT" w:hAnsi="Arial-BoldItalicMT"/>
          <w:b/>
          <w:i/>
          <w:sz w:val="18"/>
        </w:rPr>
      </w:pPr>
      <w:r>
        <w:rPr>
          <w:color w:val="231F20"/>
          <w:sz w:val="18"/>
        </w:rPr>
        <w:t>Table</w:t>
      </w:r>
      <w:r>
        <w:rPr>
          <w:color w:val="231F20"/>
          <w:spacing w:val="-8"/>
          <w:sz w:val="18"/>
        </w:rPr>
        <w:t xml:space="preserve"> </w:t>
      </w:r>
      <w:r>
        <w:rPr>
          <w:color w:val="231F20"/>
          <w:sz w:val="18"/>
        </w:rPr>
        <w:t>5.40:</w:t>
      </w:r>
      <w:r>
        <w:rPr>
          <w:color w:val="231F20"/>
          <w:spacing w:val="-5"/>
          <w:sz w:val="18"/>
        </w:rPr>
        <w:t xml:space="preserve"> </w:t>
      </w:r>
      <w:r>
        <w:rPr>
          <w:rFonts w:ascii="Arial-BoldItalicMT" w:hAnsi="Arial-BoldItalicMT"/>
          <w:b/>
          <w:i/>
          <w:color w:val="231F20"/>
          <w:sz w:val="18"/>
        </w:rPr>
        <w:t>Total</w:t>
      </w:r>
      <w:r>
        <w:rPr>
          <w:rFonts w:ascii="Arial-BoldItalicMT" w:hAnsi="Arial-BoldItalicMT"/>
          <w:b/>
          <w:i/>
          <w:color w:val="231F20"/>
          <w:spacing w:val="-7"/>
          <w:sz w:val="18"/>
        </w:rPr>
        <w:t xml:space="preserve"> </w:t>
      </w:r>
      <w:r>
        <w:rPr>
          <w:rFonts w:ascii="Arial-BoldItalicMT" w:hAnsi="Arial-BoldItalicMT"/>
          <w:b/>
          <w:i/>
          <w:color w:val="231F20"/>
          <w:sz w:val="18"/>
        </w:rPr>
        <w:t>number</w:t>
      </w:r>
      <w:r>
        <w:rPr>
          <w:rFonts w:ascii="Arial-BoldItalicMT" w:hAnsi="Arial-BoldItalicMT"/>
          <w:b/>
          <w:i/>
          <w:color w:val="231F20"/>
          <w:spacing w:val="-8"/>
          <w:sz w:val="18"/>
        </w:rPr>
        <w:t xml:space="preserve"> </w:t>
      </w:r>
      <w:r>
        <w:rPr>
          <w:rFonts w:ascii="Arial-BoldItalicMT" w:hAnsi="Arial-BoldItalicMT"/>
          <w:b/>
          <w:i/>
          <w:color w:val="231F20"/>
          <w:sz w:val="18"/>
        </w:rPr>
        <w:t>of</w:t>
      </w:r>
      <w:r>
        <w:rPr>
          <w:rFonts w:ascii="Arial-BoldItalicMT" w:hAnsi="Arial-BoldItalicMT"/>
          <w:b/>
          <w:i/>
          <w:color w:val="231F20"/>
          <w:spacing w:val="-8"/>
          <w:sz w:val="18"/>
        </w:rPr>
        <w:t xml:space="preserve"> </w:t>
      </w:r>
      <w:r>
        <w:rPr>
          <w:rFonts w:ascii="Arial-BoldItalicMT" w:hAnsi="Arial-BoldItalicMT"/>
          <w:b/>
          <w:i/>
          <w:color w:val="231F20"/>
          <w:sz w:val="18"/>
        </w:rPr>
        <w:t>SES</w:t>
      </w:r>
      <w:r>
        <w:rPr>
          <w:rFonts w:ascii="Arial-BoldItalicMT" w:hAnsi="Arial-BoldItalicMT"/>
          <w:b/>
          <w:i/>
          <w:color w:val="231F20"/>
          <w:spacing w:val="-8"/>
          <w:sz w:val="18"/>
        </w:rPr>
        <w:t xml:space="preserve"> </w:t>
      </w:r>
      <w:r>
        <w:rPr>
          <w:rFonts w:ascii="Arial-BoldItalicMT" w:hAnsi="Arial-BoldItalicMT"/>
          <w:b/>
          <w:i/>
          <w:color w:val="231F20"/>
          <w:sz w:val="18"/>
        </w:rPr>
        <w:t>for</w:t>
      </w:r>
      <w:r>
        <w:rPr>
          <w:rFonts w:ascii="Arial-BoldItalicMT" w:hAnsi="Arial-BoldItalicMT"/>
          <w:b/>
          <w:i/>
          <w:color w:val="231F20"/>
          <w:spacing w:val="-8"/>
          <w:sz w:val="18"/>
        </w:rPr>
        <w:t xml:space="preserve"> </w:t>
      </w:r>
      <w:r>
        <w:rPr>
          <w:rFonts w:ascii="Arial-BoldItalicMT" w:hAnsi="Arial-BoldItalicMT"/>
          <w:b/>
          <w:i/>
          <w:color w:val="231F20"/>
          <w:sz w:val="18"/>
        </w:rPr>
        <w:t>Victoria</w:t>
      </w:r>
      <w:r>
        <w:rPr>
          <w:rFonts w:ascii="Arial-BoldItalicMT" w:hAnsi="Arial-BoldItalicMT"/>
          <w:b/>
          <w:i/>
          <w:color w:val="231F20"/>
          <w:spacing w:val="-8"/>
          <w:sz w:val="18"/>
        </w:rPr>
        <w:t xml:space="preserve"> </w:t>
      </w:r>
      <w:r>
        <w:rPr>
          <w:rFonts w:ascii="Arial-BoldItalicMT" w:hAnsi="Arial-BoldItalicMT"/>
          <w:b/>
          <w:i/>
          <w:color w:val="231F20"/>
          <w:sz w:val="18"/>
        </w:rPr>
        <w:t>Police,</w:t>
      </w:r>
      <w:r>
        <w:rPr>
          <w:rFonts w:ascii="Arial-BoldItalicMT" w:hAnsi="Arial-BoldItalicMT"/>
          <w:b/>
          <w:i/>
          <w:color w:val="231F20"/>
          <w:spacing w:val="-7"/>
          <w:sz w:val="18"/>
        </w:rPr>
        <w:t xml:space="preserve"> </w:t>
      </w:r>
      <w:r>
        <w:rPr>
          <w:rFonts w:ascii="Arial-BoldItalicMT" w:hAnsi="Arial-BoldItalicMT"/>
          <w:b/>
          <w:i/>
          <w:color w:val="231F20"/>
          <w:sz w:val="18"/>
        </w:rPr>
        <w:t>broken</w:t>
      </w:r>
      <w:r>
        <w:rPr>
          <w:rFonts w:ascii="Arial-BoldItalicMT" w:hAnsi="Arial-BoldItalicMT"/>
          <w:b/>
          <w:i/>
          <w:color w:val="231F20"/>
          <w:spacing w:val="-8"/>
          <w:sz w:val="18"/>
        </w:rPr>
        <w:t xml:space="preserve"> </w:t>
      </w:r>
      <w:r>
        <w:rPr>
          <w:rFonts w:ascii="Arial-BoldItalicMT" w:hAnsi="Arial-BoldItalicMT"/>
          <w:b/>
          <w:i/>
          <w:color w:val="231F20"/>
          <w:sz w:val="18"/>
        </w:rPr>
        <w:t>down</w:t>
      </w:r>
      <w:r>
        <w:rPr>
          <w:rFonts w:ascii="Arial-BoldItalicMT" w:hAnsi="Arial-BoldItalicMT"/>
          <w:b/>
          <w:i/>
          <w:color w:val="231F20"/>
          <w:spacing w:val="-8"/>
          <w:sz w:val="18"/>
        </w:rPr>
        <w:t xml:space="preserve"> </w:t>
      </w:r>
      <w:r>
        <w:rPr>
          <w:rFonts w:ascii="Arial-BoldItalicMT" w:hAnsi="Arial-BoldItalicMT"/>
          <w:b/>
          <w:i/>
          <w:color w:val="231F20"/>
          <w:sz w:val="18"/>
        </w:rPr>
        <w:t>into</w:t>
      </w:r>
      <w:r>
        <w:rPr>
          <w:rFonts w:ascii="Arial-BoldItalicMT" w:hAnsi="Arial-BoldItalicMT"/>
          <w:b/>
          <w:i/>
          <w:color w:val="231F20"/>
          <w:spacing w:val="-8"/>
          <w:sz w:val="18"/>
        </w:rPr>
        <w:t xml:space="preserve"> </w:t>
      </w:r>
      <w:r>
        <w:rPr>
          <w:rFonts w:ascii="Arial-BoldItalicMT" w:hAnsi="Arial-BoldItalicMT"/>
          <w:b/>
          <w:i/>
          <w:color w:val="231F20"/>
          <w:sz w:val="18"/>
        </w:rPr>
        <w:t>gender</w:t>
      </w:r>
      <w:r>
        <w:rPr>
          <w:rFonts w:ascii="Arial-BoldItalicMT" w:hAnsi="Arial-BoldItalicMT"/>
          <w:b/>
          <w:i/>
          <w:color w:val="231F20"/>
          <w:spacing w:val="-8"/>
          <w:sz w:val="18"/>
        </w:rPr>
        <w:t xml:space="preserve"> </w:t>
      </w:r>
      <w:r>
        <w:rPr>
          <w:rFonts w:ascii="Arial-BoldItalicMT" w:hAnsi="Arial-BoldItalicMT"/>
          <w:b/>
          <w:i/>
          <w:color w:val="231F20"/>
          <w:sz w:val="18"/>
        </w:rPr>
        <w:t>in</w:t>
      </w:r>
      <w:r>
        <w:rPr>
          <w:rFonts w:ascii="Arial-BoldItalicMT" w:hAnsi="Arial-BoldItalicMT"/>
          <w:b/>
          <w:i/>
          <w:color w:val="231F20"/>
          <w:spacing w:val="-7"/>
          <w:sz w:val="18"/>
        </w:rPr>
        <w:t xml:space="preserve"> </w:t>
      </w:r>
      <w:r>
        <w:rPr>
          <w:rFonts w:ascii="Arial-BoldItalicMT" w:hAnsi="Arial-BoldItalicMT"/>
          <w:b/>
          <w:i/>
          <w:color w:val="231F20"/>
          <w:spacing w:val="-2"/>
          <w:sz w:val="18"/>
        </w:rPr>
        <w:t>2021–22</w:t>
      </w:r>
    </w:p>
    <w:p w14:paraId="69462627"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494"/>
        <w:gridCol w:w="963"/>
        <w:gridCol w:w="341"/>
        <w:gridCol w:w="622"/>
        <w:gridCol w:w="963"/>
        <w:gridCol w:w="480"/>
        <w:gridCol w:w="482"/>
        <w:gridCol w:w="963"/>
        <w:gridCol w:w="385"/>
        <w:gridCol w:w="578"/>
        <w:gridCol w:w="963"/>
        <w:gridCol w:w="963"/>
      </w:tblGrid>
      <w:tr w:rsidR="00345EE3" w14:paraId="4349AFDC" w14:textId="77777777" w:rsidTr="00D73130">
        <w:trPr>
          <w:trHeight w:val="405"/>
        </w:trPr>
        <w:tc>
          <w:tcPr>
            <w:tcW w:w="2494" w:type="dxa"/>
            <w:tcBorders>
              <w:top w:val="nil"/>
              <w:left w:val="nil"/>
              <w:bottom w:val="nil"/>
              <w:right w:val="nil"/>
            </w:tcBorders>
            <w:shd w:val="clear" w:color="auto" w:fill="00529F"/>
          </w:tcPr>
          <w:p w14:paraId="43329570" w14:textId="77777777" w:rsidR="00345EE3" w:rsidRDefault="00345EE3" w:rsidP="00D73130">
            <w:pPr>
              <w:pStyle w:val="TableParagraph"/>
              <w:spacing w:before="63"/>
              <w:ind w:left="-1"/>
              <w:jc w:val="left"/>
              <w:rPr>
                <w:b/>
                <w:sz w:val="24"/>
              </w:rPr>
            </w:pPr>
            <w:r>
              <w:rPr>
                <w:b/>
                <w:color w:val="FFFFFF"/>
                <w:spacing w:val="-4"/>
                <w:sz w:val="24"/>
              </w:rPr>
              <w:t>Class</w:t>
            </w:r>
          </w:p>
        </w:tc>
        <w:tc>
          <w:tcPr>
            <w:tcW w:w="1304" w:type="dxa"/>
            <w:gridSpan w:val="2"/>
            <w:tcBorders>
              <w:top w:val="nil"/>
              <w:left w:val="nil"/>
              <w:bottom w:val="nil"/>
              <w:right w:val="nil"/>
            </w:tcBorders>
            <w:shd w:val="clear" w:color="auto" w:fill="00529F"/>
          </w:tcPr>
          <w:p w14:paraId="069BB96A" w14:textId="77777777" w:rsidR="00345EE3" w:rsidRDefault="00345EE3" w:rsidP="00D73130">
            <w:pPr>
              <w:pStyle w:val="TableParagraph"/>
              <w:spacing w:before="63"/>
              <w:ind w:left="811"/>
              <w:jc w:val="left"/>
              <w:rPr>
                <w:b/>
                <w:sz w:val="24"/>
              </w:rPr>
            </w:pPr>
            <w:r>
              <w:rPr>
                <w:b/>
                <w:color w:val="FFFFFF"/>
                <w:spacing w:val="-5"/>
                <w:sz w:val="24"/>
              </w:rPr>
              <w:t>All</w:t>
            </w:r>
          </w:p>
        </w:tc>
        <w:tc>
          <w:tcPr>
            <w:tcW w:w="622" w:type="dxa"/>
            <w:tcBorders>
              <w:top w:val="nil"/>
              <w:left w:val="nil"/>
              <w:bottom w:val="nil"/>
              <w:right w:val="nil"/>
            </w:tcBorders>
            <w:shd w:val="clear" w:color="auto" w:fill="00529F"/>
          </w:tcPr>
          <w:p w14:paraId="1F24D52D" w14:textId="77777777" w:rsidR="00345EE3" w:rsidRDefault="00345EE3" w:rsidP="00D73130">
            <w:pPr>
              <w:pStyle w:val="TableParagraph"/>
              <w:spacing w:before="0"/>
              <w:jc w:val="left"/>
              <w:rPr>
                <w:rFonts w:ascii="Times New Roman"/>
                <w:sz w:val="14"/>
              </w:rPr>
            </w:pPr>
          </w:p>
        </w:tc>
        <w:tc>
          <w:tcPr>
            <w:tcW w:w="1443" w:type="dxa"/>
            <w:gridSpan w:val="2"/>
            <w:tcBorders>
              <w:top w:val="nil"/>
              <w:left w:val="nil"/>
              <w:bottom w:val="nil"/>
              <w:right w:val="nil"/>
            </w:tcBorders>
            <w:shd w:val="clear" w:color="auto" w:fill="00529F"/>
          </w:tcPr>
          <w:p w14:paraId="6312E5A1" w14:textId="77777777" w:rsidR="00345EE3" w:rsidRDefault="00345EE3" w:rsidP="00D73130">
            <w:pPr>
              <w:pStyle w:val="TableParagraph"/>
              <w:spacing w:before="63"/>
              <w:ind w:left="534"/>
              <w:jc w:val="left"/>
              <w:rPr>
                <w:b/>
                <w:sz w:val="24"/>
              </w:rPr>
            </w:pPr>
            <w:r>
              <w:rPr>
                <w:b/>
                <w:color w:val="FFFFFF"/>
                <w:spacing w:val="-2"/>
                <w:sz w:val="24"/>
              </w:rPr>
              <w:t>Women</w:t>
            </w:r>
          </w:p>
        </w:tc>
        <w:tc>
          <w:tcPr>
            <w:tcW w:w="482" w:type="dxa"/>
            <w:tcBorders>
              <w:top w:val="nil"/>
              <w:left w:val="nil"/>
              <w:bottom w:val="nil"/>
              <w:right w:val="nil"/>
            </w:tcBorders>
            <w:shd w:val="clear" w:color="auto" w:fill="00529F"/>
          </w:tcPr>
          <w:p w14:paraId="670039DD" w14:textId="77777777" w:rsidR="00345EE3" w:rsidRDefault="00345EE3" w:rsidP="00D73130">
            <w:pPr>
              <w:pStyle w:val="TableParagraph"/>
              <w:spacing w:before="0"/>
              <w:jc w:val="left"/>
              <w:rPr>
                <w:rFonts w:ascii="Times New Roman"/>
                <w:sz w:val="14"/>
              </w:rPr>
            </w:pPr>
          </w:p>
        </w:tc>
        <w:tc>
          <w:tcPr>
            <w:tcW w:w="1348" w:type="dxa"/>
            <w:gridSpan w:val="2"/>
            <w:tcBorders>
              <w:top w:val="nil"/>
              <w:left w:val="nil"/>
              <w:bottom w:val="nil"/>
              <w:right w:val="nil"/>
            </w:tcBorders>
            <w:shd w:val="clear" w:color="auto" w:fill="00529F"/>
          </w:tcPr>
          <w:p w14:paraId="0EB8AE1A" w14:textId="77777777" w:rsidR="00345EE3" w:rsidRDefault="00345EE3" w:rsidP="00D73130">
            <w:pPr>
              <w:pStyle w:val="TableParagraph"/>
              <w:spacing w:before="63"/>
              <w:ind w:left="727"/>
              <w:jc w:val="left"/>
              <w:rPr>
                <w:b/>
                <w:sz w:val="24"/>
              </w:rPr>
            </w:pPr>
            <w:r>
              <w:rPr>
                <w:b/>
                <w:color w:val="FFFFFF"/>
                <w:spacing w:val="-5"/>
                <w:sz w:val="24"/>
              </w:rPr>
              <w:t>Men</w:t>
            </w:r>
          </w:p>
        </w:tc>
        <w:tc>
          <w:tcPr>
            <w:tcW w:w="578" w:type="dxa"/>
            <w:tcBorders>
              <w:top w:val="nil"/>
              <w:left w:val="nil"/>
              <w:bottom w:val="nil"/>
              <w:right w:val="nil"/>
            </w:tcBorders>
            <w:shd w:val="clear" w:color="auto" w:fill="00529F"/>
          </w:tcPr>
          <w:p w14:paraId="5DFBD49D" w14:textId="77777777" w:rsidR="00345EE3" w:rsidRDefault="00345EE3" w:rsidP="00D73130">
            <w:pPr>
              <w:pStyle w:val="TableParagraph"/>
              <w:spacing w:before="0"/>
              <w:jc w:val="left"/>
              <w:rPr>
                <w:rFonts w:ascii="Times New Roman"/>
                <w:sz w:val="14"/>
              </w:rPr>
            </w:pPr>
          </w:p>
        </w:tc>
        <w:tc>
          <w:tcPr>
            <w:tcW w:w="1926" w:type="dxa"/>
            <w:gridSpan w:val="2"/>
            <w:tcBorders>
              <w:top w:val="nil"/>
              <w:left w:val="nil"/>
              <w:bottom w:val="nil"/>
              <w:right w:val="nil"/>
            </w:tcBorders>
            <w:shd w:val="clear" w:color="auto" w:fill="00529F"/>
          </w:tcPr>
          <w:p w14:paraId="21187B94" w14:textId="77777777" w:rsidR="00345EE3" w:rsidRDefault="00345EE3" w:rsidP="00D73130">
            <w:pPr>
              <w:pStyle w:val="TableParagraph"/>
              <w:spacing w:before="63"/>
              <w:ind w:left="136"/>
              <w:jc w:val="left"/>
              <w:rPr>
                <w:b/>
                <w:sz w:val="24"/>
              </w:rPr>
            </w:pPr>
            <w:r>
              <w:rPr>
                <w:b/>
                <w:color w:val="FFFFFF"/>
                <w:sz w:val="24"/>
              </w:rPr>
              <w:t>Self-</w:t>
            </w:r>
            <w:r>
              <w:rPr>
                <w:b/>
                <w:color w:val="FFFFFF"/>
                <w:spacing w:val="-2"/>
                <w:sz w:val="24"/>
              </w:rPr>
              <w:t>described</w:t>
            </w:r>
          </w:p>
        </w:tc>
      </w:tr>
      <w:tr w:rsidR="00345EE3" w14:paraId="0A2DCEC7" w14:textId="77777777" w:rsidTr="00D73130">
        <w:trPr>
          <w:trHeight w:val="397"/>
        </w:trPr>
        <w:tc>
          <w:tcPr>
            <w:tcW w:w="2494" w:type="dxa"/>
            <w:tcBorders>
              <w:top w:val="nil"/>
              <w:left w:val="nil"/>
              <w:bottom w:val="nil"/>
              <w:right w:val="nil"/>
            </w:tcBorders>
            <w:shd w:val="clear" w:color="auto" w:fill="00529F"/>
          </w:tcPr>
          <w:p w14:paraId="7CEC759E" w14:textId="77777777" w:rsidR="00345EE3" w:rsidRDefault="00345EE3" w:rsidP="00D73130">
            <w:pPr>
              <w:pStyle w:val="TableParagraph"/>
              <w:spacing w:before="0"/>
              <w:jc w:val="left"/>
              <w:rPr>
                <w:rFonts w:ascii="Times New Roman"/>
                <w:sz w:val="14"/>
              </w:rPr>
            </w:pPr>
          </w:p>
        </w:tc>
        <w:tc>
          <w:tcPr>
            <w:tcW w:w="963" w:type="dxa"/>
            <w:tcBorders>
              <w:top w:val="nil"/>
              <w:left w:val="nil"/>
              <w:bottom w:val="nil"/>
              <w:right w:val="nil"/>
            </w:tcBorders>
            <w:shd w:val="clear" w:color="auto" w:fill="00529F"/>
          </w:tcPr>
          <w:p w14:paraId="1669216B" w14:textId="77777777" w:rsidR="00345EE3" w:rsidRDefault="00345EE3" w:rsidP="00D73130">
            <w:pPr>
              <w:pStyle w:val="TableParagraph"/>
              <w:spacing w:before="59"/>
              <w:ind w:right="2"/>
              <w:rPr>
                <w:b/>
                <w:sz w:val="24"/>
              </w:rPr>
            </w:pPr>
            <w:r>
              <w:rPr>
                <w:b/>
                <w:color w:val="FFFFFF"/>
                <w:spacing w:val="-5"/>
                <w:sz w:val="24"/>
              </w:rPr>
              <w:t>No.</w:t>
            </w:r>
          </w:p>
        </w:tc>
        <w:tc>
          <w:tcPr>
            <w:tcW w:w="341" w:type="dxa"/>
            <w:tcBorders>
              <w:top w:val="nil"/>
              <w:left w:val="nil"/>
              <w:bottom w:val="nil"/>
              <w:right w:val="nil"/>
            </w:tcBorders>
            <w:shd w:val="clear" w:color="auto" w:fill="00529F"/>
          </w:tcPr>
          <w:p w14:paraId="5A33B274" w14:textId="77777777" w:rsidR="00345EE3" w:rsidRDefault="00345EE3" w:rsidP="00D73130">
            <w:pPr>
              <w:pStyle w:val="TableParagraph"/>
              <w:spacing w:before="0"/>
              <w:jc w:val="left"/>
              <w:rPr>
                <w:rFonts w:ascii="Times New Roman"/>
                <w:sz w:val="14"/>
              </w:rPr>
            </w:pPr>
          </w:p>
        </w:tc>
        <w:tc>
          <w:tcPr>
            <w:tcW w:w="622" w:type="dxa"/>
            <w:tcBorders>
              <w:top w:val="nil"/>
              <w:left w:val="nil"/>
              <w:bottom w:val="nil"/>
              <w:right w:val="nil"/>
            </w:tcBorders>
            <w:shd w:val="clear" w:color="auto" w:fill="00529F"/>
          </w:tcPr>
          <w:p w14:paraId="0C51E8E8" w14:textId="77777777" w:rsidR="00345EE3" w:rsidRDefault="00345EE3" w:rsidP="00D73130">
            <w:pPr>
              <w:pStyle w:val="TableParagraph"/>
              <w:spacing w:before="59"/>
              <w:ind w:left="190"/>
              <w:jc w:val="left"/>
              <w:rPr>
                <w:b/>
                <w:sz w:val="24"/>
              </w:rPr>
            </w:pPr>
            <w:r>
              <w:rPr>
                <w:b/>
                <w:color w:val="FFFFFF"/>
                <w:spacing w:val="-9"/>
                <w:sz w:val="24"/>
              </w:rPr>
              <w:t>Var.</w:t>
            </w:r>
          </w:p>
        </w:tc>
        <w:tc>
          <w:tcPr>
            <w:tcW w:w="963" w:type="dxa"/>
            <w:tcBorders>
              <w:top w:val="nil"/>
              <w:left w:val="nil"/>
              <w:bottom w:val="nil"/>
              <w:right w:val="nil"/>
            </w:tcBorders>
            <w:shd w:val="clear" w:color="auto" w:fill="00529F"/>
          </w:tcPr>
          <w:p w14:paraId="3D60BAD0" w14:textId="77777777" w:rsidR="00345EE3" w:rsidRDefault="00345EE3" w:rsidP="00D73130">
            <w:pPr>
              <w:pStyle w:val="TableParagraph"/>
              <w:spacing w:before="59"/>
              <w:rPr>
                <w:b/>
                <w:sz w:val="24"/>
              </w:rPr>
            </w:pPr>
            <w:r>
              <w:rPr>
                <w:b/>
                <w:color w:val="FFFFFF"/>
                <w:spacing w:val="-5"/>
                <w:sz w:val="24"/>
              </w:rPr>
              <w:t>No.</w:t>
            </w:r>
          </w:p>
        </w:tc>
        <w:tc>
          <w:tcPr>
            <w:tcW w:w="480" w:type="dxa"/>
            <w:tcBorders>
              <w:top w:val="nil"/>
              <w:left w:val="nil"/>
              <w:bottom w:val="nil"/>
              <w:right w:val="nil"/>
            </w:tcBorders>
            <w:shd w:val="clear" w:color="auto" w:fill="00529F"/>
          </w:tcPr>
          <w:p w14:paraId="42EB8FAF" w14:textId="77777777" w:rsidR="00345EE3" w:rsidRDefault="00345EE3" w:rsidP="00D73130">
            <w:pPr>
              <w:pStyle w:val="TableParagraph"/>
              <w:spacing w:before="0"/>
              <w:jc w:val="left"/>
              <w:rPr>
                <w:rFonts w:ascii="Times New Roman"/>
                <w:sz w:val="14"/>
              </w:rPr>
            </w:pPr>
          </w:p>
        </w:tc>
        <w:tc>
          <w:tcPr>
            <w:tcW w:w="482" w:type="dxa"/>
            <w:tcBorders>
              <w:top w:val="nil"/>
              <w:left w:val="nil"/>
              <w:bottom w:val="nil"/>
              <w:right w:val="nil"/>
            </w:tcBorders>
            <w:shd w:val="clear" w:color="auto" w:fill="00529F"/>
          </w:tcPr>
          <w:p w14:paraId="61F40969" w14:textId="77777777" w:rsidR="00345EE3" w:rsidRDefault="00345EE3" w:rsidP="00D73130">
            <w:pPr>
              <w:pStyle w:val="TableParagraph"/>
              <w:spacing w:before="59"/>
              <w:ind w:left="53"/>
              <w:jc w:val="left"/>
              <w:rPr>
                <w:b/>
                <w:sz w:val="24"/>
              </w:rPr>
            </w:pPr>
            <w:r>
              <w:rPr>
                <w:b/>
                <w:color w:val="FFFFFF"/>
                <w:spacing w:val="-10"/>
                <w:sz w:val="24"/>
              </w:rPr>
              <w:t>Var.</w:t>
            </w:r>
          </w:p>
        </w:tc>
        <w:tc>
          <w:tcPr>
            <w:tcW w:w="963" w:type="dxa"/>
            <w:tcBorders>
              <w:top w:val="nil"/>
              <w:left w:val="nil"/>
              <w:bottom w:val="nil"/>
              <w:right w:val="nil"/>
            </w:tcBorders>
            <w:shd w:val="clear" w:color="auto" w:fill="00529F"/>
          </w:tcPr>
          <w:p w14:paraId="6A19DD01" w14:textId="77777777" w:rsidR="00345EE3" w:rsidRDefault="00345EE3" w:rsidP="00D73130">
            <w:pPr>
              <w:pStyle w:val="TableParagraph"/>
              <w:spacing w:before="59"/>
              <w:rPr>
                <w:b/>
                <w:sz w:val="24"/>
              </w:rPr>
            </w:pPr>
            <w:r>
              <w:rPr>
                <w:b/>
                <w:color w:val="FFFFFF"/>
                <w:spacing w:val="-5"/>
                <w:sz w:val="24"/>
              </w:rPr>
              <w:t>No.</w:t>
            </w:r>
          </w:p>
        </w:tc>
        <w:tc>
          <w:tcPr>
            <w:tcW w:w="385" w:type="dxa"/>
            <w:tcBorders>
              <w:top w:val="nil"/>
              <w:left w:val="nil"/>
              <w:bottom w:val="nil"/>
              <w:right w:val="nil"/>
            </w:tcBorders>
            <w:shd w:val="clear" w:color="auto" w:fill="00529F"/>
          </w:tcPr>
          <w:p w14:paraId="7D4063B9" w14:textId="77777777" w:rsidR="00345EE3" w:rsidRDefault="00345EE3" w:rsidP="00D73130">
            <w:pPr>
              <w:pStyle w:val="TableParagraph"/>
              <w:spacing w:before="0"/>
              <w:jc w:val="left"/>
              <w:rPr>
                <w:rFonts w:ascii="Times New Roman"/>
                <w:sz w:val="14"/>
              </w:rPr>
            </w:pPr>
          </w:p>
        </w:tc>
        <w:tc>
          <w:tcPr>
            <w:tcW w:w="578" w:type="dxa"/>
            <w:tcBorders>
              <w:top w:val="nil"/>
              <w:left w:val="nil"/>
              <w:bottom w:val="nil"/>
              <w:right w:val="nil"/>
            </w:tcBorders>
            <w:shd w:val="clear" w:color="auto" w:fill="00529F"/>
          </w:tcPr>
          <w:p w14:paraId="2A3EB3C8" w14:textId="77777777" w:rsidR="00345EE3" w:rsidRDefault="00345EE3" w:rsidP="00D73130">
            <w:pPr>
              <w:pStyle w:val="TableParagraph"/>
              <w:spacing w:before="59"/>
              <w:ind w:left="151"/>
              <w:jc w:val="left"/>
              <w:rPr>
                <w:b/>
                <w:sz w:val="24"/>
              </w:rPr>
            </w:pPr>
            <w:r>
              <w:rPr>
                <w:b/>
                <w:color w:val="FFFFFF"/>
                <w:spacing w:val="-11"/>
                <w:sz w:val="24"/>
              </w:rPr>
              <w:t>Var.</w:t>
            </w:r>
          </w:p>
        </w:tc>
        <w:tc>
          <w:tcPr>
            <w:tcW w:w="963" w:type="dxa"/>
            <w:tcBorders>
              <w:top w:val="nil"/>
              <w:left w:val="nil"/>
              <w:bottom w:val="nil"/>
              <w:right w:val="nil"/>
            </w:tcBorders>
            <w:shd w:val="clear" w:color="auto" w:fill="00529F"/>
          </w:tcPr>
          <w:p w14:paraId="4283D7FF" w14:textId="77777777" w:rsidR="00345EE3" w:rsidRDefault="00345EE3" w:rsidP="00D73130">
            <w:pPr>
              <w:pStyle w:val="TableParagraph"/>
              <w:spacing w:before="59"/>
              <w:ind w:right="-15"/>
              <w:rPr>
                <w:b/>
                <w:sz w:val="24"/>
              </w:rPr>
            </w:pPr>
            <w:r>
              <w:rPr>
                <w:b/>
                <w:color w:val="FFFFFF"/>
                <w:spacing w:val="-5"/>
                <w:sz w:val="24"/>
              </w:rPr>
              <w:t>No.</w:t>
            </w:r>
          </w:p>
        </w:tc>
        <w:tc>
          <w:tcPr>
            <w:tcW w:w="963" w:type="dxa"/>
            <w:tcBorders>
              <w:top w:val="nil"/>
              <w:left w:val="nil"/>
              <w:bottom w:val="nil"/>
              <w:right w:val="nil"/>
            </w:tcBorders>
            <w:shd w:val="clear" w:color="auto" w:fill="00529F"/>
          </w:tcPr>
          <w:p w14:paraId="57023165" w14:textId="77777777" w:rsidR="00345EE3" w:rsidRDefault="00345EE3" w:rsidP="00D73130">
            <w:pPr>
              <w:pStyle w:val="TableParagraph"/>
              <w:spacing w:before="59"/>
              <w:ind w:right="4"/>
              <w:rPr>
                <w:b/>
                <w:sz w:val="24"/>
              </w:rPr>
            </w:pPr>
            <w:r>
              <w:rPr>
                <w:b/>
                <w:color w:val="FFFFFF"/>
                <w:spacing w:val="-4"/>
                <w:sz w:val="24"/>
              </w:rPr>
              <w:t>Var.</w:t>
            </w:r>
          </w:p>
        </w:tc>
      </w:tr>
      <w:tr w:rsidR="00345EE3" w14:paraId="1881620D" w14:textId="77777777" w:rsidTr="00D73130">
        <w:trPr>
          <w:trHeight w:val="396"/>
        </w:trPr>
        <w:tc>
          <w:tcPr>
            <w:tcW w:w="2494" w:type="dxa"/>
            <w:tcBorders>
              <w:top w:val="nil"/>
              <w:left w:val="nil"/>
            </w:tcBorders>
          </w:tcPr>
          <w:p w14:paraId="1A626F07" w14:textId="77777777" w:rsidR="00345EE3" w:rsidRDefault="00345EE3" w:rsidP="00D73130">
            <w:pPr>
              <w:pStyle w:val="TableParagraph"/>
              <w:ind w:left="-3"/>
              <w:jc w:val="left"/>
              <w:rPr>
                <w:sz w:val="24"/>
              </w:rPr>
            </w:pPr>
            <w:r>
              <w:rPr>
                <w:color w:val="231F20"/>
                <w:sz w:val="24"/>
              </w:rPr>
              <w:t>SES-</w:t>
            </w:r>
            <w:r>
              <w:rPr>
                <w:color w:val="231F20"/>
                <w:spacing w:val="-10"/>
                <w:sz w:val="24"/>
              </w:rPr>
              <w:t>3</w:t>
            </w:r>
          </w:p>
        </w:tc>
        <w:tc>
          <w:tcPr>
            <w:tcW w:w="963" w:type="dxa"/>
            <w:tcBorders>
              <w:top w:val="nil"/>
            </w:tcBorders>
          </w:tcPr>
          <w:p w14:paraId="4D4A2500" w14:textId="77777777" w:rsidR="00345EE3" w:rsidRDefault="00345EE3" w:rsidP="00D73130">
            <w:pPr>
              <w:pStyle w:val="TableParagraph"/>
              <w:ind w:right="-15"/>
              <w:rPr>
                <w:sz w:val="24"/>
              </w:rPr>
            </w:pPr>
            <w:r>
              <w:rPr>
                <w:color w:val="231F20"/>
                <w:sz w:val="24"/>
              </w:rPr>
              <w:t>2</w:t>
            </w:r>
          </w:p>
        </w:tc>
        <w:tc>
          <w:tcPr>
            <w:tcW w:w="963" w:type="dxa"/>
            <w:gridSpan w:val="2"/>
            <w:tcBorders>
              <w:top w:val="nil"/>
            </w:tcBorders>
          </w:tcPr>
          <w:p w14:paraId="307A5974" w14:textId="77777777" w:rsidR="00345EE3" w:rsidRDefault="00345EE3" w:rsidP="00D73130">
            <w:pPr>
              <w:pStyle w:val="TableParagraph"/>
              <w:ind w:right="-15"/>
              <w:rPr>
                <w:sz w:val="24"/>
              </w:rPr>
            </w:pPr>
            <w:r>
              <w:rPr>
                <w:color w:val="231F20"/>
                <w:sz w:val="24"/>
              </w:rPr>
              <w:t>0</w:t>
            </w:r>
          </w:p>
        </w:tc>
        <w:tc>
          <w:tcPr>
            <w:tcW w:w="963" w:type="dxa"/>
            <w:tcBorders>
              <w:top w:val="nil"/>
            </w:tcBorders>
          </w:tcPr>
          <w:p w14:paraId="60C6728F" w14:textId="77777777" w:rsidR="00345EE3" w:rsidRDefault="00345EE3" w:rsidP="00D73130">
            <w:pPr>
              <w:pStyle w:val="TableParagraph"/>
              <w:ind w:right="-15"/>
              <w:rPr>
                <w:sz w:val="24"/>
              </w:rPr>
            </w:pPr>
            <w:r>
              <w:rPr>
                <w:color w:val="231F20"/>
                <w:sz w:val="24"/>
              </w:rPr>
              <w:t>1</w:t>
            </w:r>
          </w:p>
        </w:tc>
        <w:tc>
          <w:tcPr>
            <w:tcW w:w="962" w:type="dxa"/>
            <w:gridSpan w:val="2"/>
            <w:tcBorders>
              <w:top w:val="nil"/>
            </w:tcBorders>
          </w:tcPr>
          <w:p w14:paraId="3825B35D" w14:textId="77777777" w:rsidR="00345EE3" w:rsidRDefault="00345EE3" w:rsidP="00D73130">
            <w:pPr>
              <w:pStyle w:val="TableParagraph"/>
              <w:ind w:right="-15"/>
              <w:rPr>
                <w:sz w:val="24"/>
              </w:rPr>
            </w:pPr>
            <w:r>
              <w:rPr>
                <w:color w:val="231F20"/>
                <w:sz w:val="24"/>
              </w:rPr>
              <w:t>0</w:t>
            </w:r>
          </w:p>
        </w:tc>
        <w:tc>
          <w:tcPr>
            <w:tcW w:w="963" w:type="dxa"/>
            <w:tcBorders>
              <w:top w:val="nil"/>
            </w:tcBorders>
          </w:tcPr>
          <w:p w14:paraId="195EC157" w14:textId="77777777" w:rsidR="00345EE3" w:rsidRDefault="00345EE3" w:rsidP="00D73130">
            <w:pPr>
              <w:pStyle w:val="TableParagraph"/>
              <w:ind w:right="-15"/>
              <w:rPr>
                <w:sz w:val="24"/>
              </w:rPr>
            </w:pPr>
            <w:r>
              <w:rPr>
                <w:color w:val="231F20"/>
                <w:sz w:val="24"/>
              </w:rPr>
              <w:t>1</w:t>
            </w:r>
          </w:p>
        </w:tc>
        <w:tc>
          <w:tcPr>
            <w:tcW w:w="963" w:type="dxa"/>
            <w:gridSpan w:val="2"/>
            <w:tcBorders>
              <w:top w:val="nil"/>
            </w:tcBorders>
          </w:tcPr>
          <w:p w14:paraId="632BF62D" w14:textId="77777777" w:rsidR="00345EE3" w:rsidRDefault="00345EE3" w:rsidP="00D73130">
            <w:pPr>
              <w:pStyle w:val="TableParagraph"/>
              <w:ind w:right="-15"/>
              <w:rPr>
                <w:sz w:val="24"/>
              </w:rPr>
            </w:pPr>
            <w:r>
              <w:rPr>
                <w:color w:val="231F20"/>
                <w:sz w:val="24"/>
              </w:rPr>
              <w:t>0</w:t>
            </w:r>
          </w:p>
        </w:tc>
        <w:tc>
          <w:tcPr>
            <w:tcW w:w="963" w:type="dxa"/>
            <w:tcBorders>
              <w:top w:val="nil"/>
            </w:tcBorders>
          </w:tcPr>
          <w:p w14:paraId="289018CE" w14:textId="77777777" w:rsidR="00345EE3" w:rsidRDefault="00345EE3" w:rsidP="00D73130">
            <w:pPr>
              <w:pStyle w:val="TableParagraph"/>
              <w:ind w:right="-15"/>
              <w:rPr>
                <w:sz w:val="24"/>
              </w:rPr>
            </w:pPr>
            <w:r>
              <w:rPr>
                <w:color w:val="231F20"/>
                <w:sz w:val="24"/>
              </w:rPr>
              <w:t>0</w:t>
            </w:r>
          </w:p>
        </w:tc>
        <w:tc>
          <w:tcPr>
            <w:tcW w:w="963" w:type="dxa"/>
            <w:tcBorders>
              <w:top w:val="nil"/>
              <w:right w:val="nil"/>
            </w:tcBorders>
          </w:tcPr>
          <w:p w14:paraId="3B14655D" w14:textId="77777777" w:rsidR="00345EE3" w:rsidRDefault="00345EE3" w:rsidP="00D73130">
            <w:pPr>
              <w:pStyle w:val="TableParagraph"/>
              <w:ind w:right="-15"/>
              <w:rPr>
                <w:sz w:val="24"/>
              </w:rPr>
            </w:pPr>
            <w:r>
              <w:rPr>
                <w:color w:val="231F20"/>
                <w:sz w:val="24"/>
              </w:rPr>
              <w:t>0</w:t>
            </w:r>
          </w:p>
        </w:tc>
      </w:tr>
      <w:tr w:rsidR="00345EE3" w14:paraId="465A6C72" w14:textId="77777777" w:rsidTr="00D73130">
        <w:trPr>
          <w:trHeight w:val="396"/>
        </w:trPr>
        <w:tc>
          <w:tcPr>
            <w:tcW w:w="2494" w:type="dxa"/>
            <w:tcBorders>
              <w:left w:val="nil"/>
            </w:tcBorders>
          </w:tcPr>
          <w:p w14:paraId="369B4837" w14:textId="77777777" w:rsidR="00345EE3" w:rsidRDefault="00345EE3" w:rsidP="00D73130">
            <w:pPr>
              <w:pStyle w:val="TableParagraph"/>
              <w:ind w:left="-3"/>
              <w:jc w:val="left"/>
              <w:rPr>
                <w:sz w:val="24"/>
              </w:rPr>
            </w:pPr>
            <w:r>
              <w:rPr>
                <w:color w:val="231F20"/>
                <w:sz w:val="24"/>
              </w:rPr>
              <w:t>SES-</w:t>
            </w:r>
            <w:r>
              <w:rPr>
                <w:color w:val="231F20"/>
                <w:spacing w:val="-10"/>
                <w:sz w:val="24"/>
              </w:rPr>
              <w:t>2</w:t>
            </w:r>
          </w:p>
        </w:tc>
        <w:tc>
          <w:tcPr>
            <w:tcW w:w="963" w:type="dxa"/>
          </w:tcPr>
          <w:p w14:paraId="7E2E485C" w14:textId="77777777" w:rsidR="00345EE3" w:rsidRDefault="00345EE3" w:rsidP="00D73130">
            <w:pPr>
              <w:pStyle w:val="TableParagraph"/>
              <w:rPr>
                <w:sz w:val="24"/>
              </w:rPr>
            </w:pPr>
            <w:r>
              <w:rPr>
                <w:color w:val="231F20"/>
                <w:spacing w:val="-5"/>
                <w:sz w:val="24"/>
              </w:rPr>
              <w:t>10</w:t>
            </w:r>
          </w:p>
        </w:tc>
        <w:tc>
          <w:tcPr>
            <w:tcW w:w="963" w:type="dxa"/>
            <w:gridSpan w:val="2"/>
          </w:tcPr>
          <w:p w14:paraId="509ADE38" w14:textId="77777777" w:rsidR="00345EE3" w:rsidRDefault="00345EE3" w:rsidP="00D73130">
            <w:pPr>
              <w:pStyle w:val="TableParagraph"/>
              <w:ind w:right="-15"/>
              <w:rPr>
                <w:sz w:val="24"/>
              </w:rPr>
            </w:pPr>
            <w:r>
              <w:rPr>
                <w:color w:val="231F20"/>
                <w:sz w:val="24"/>
              </w:rPr>
              <w:t>0</w:t>
            </w:r>
          </w:p>
        </w:tc>
        <w:tc>
          <w:tcPr>
            <w:tcW w:w="963" w:type="dxa"/>
          </w:tcPr>
          <w:p w14:paraId="604BDA4A" w14:textId="77777777" w:rsidR="00345EE3" w:rsidRDefault="00345EE3" w:rsidP="00D73130">
            <w:pPr>
              <w:pStyle w:val="TableParagraph"/>
              <w:ind w:right="-15"/>
              <w:rPr>
                <w:sz w:val="24"/>
              </w:rPr>
            </w:pPr>
            <w:r>
              <w:rPr>
                <w:color w:val="231F20"/>
                <w:sz w:val="24"/>
              </w:rPr>
              <w:t>3</w:t>
            </w:r>
          </w:p>
        </w:tc>
        <w:tc>
          <w:tcPr>
            <w:tcW w:w="962" w:type="dxa"/>
            <w:gridSpan w:val="2"/>
          </w:tcPr>
          <w:p w14:paraId="590241D1" w14:textId="77777777" w:rsidR="00345EE3" w:rsidRDefault="00345EE3" w:rsidP="00D73130">
            <w:pPr>
              <w:pStyle w:val="TableParagraph"/>
              <w:ind w:right="-15"/>
              <w:rPr>
                <w:sz w:val="24"/>
              </w:rPr>
            </w:pPr>
            <w:r>
              <w:rPr>
                <w:color w:val="231F20"/>
                <w:sz w:val="24"/>
              </w:rPr>
              <w:t>0</w:t>
            </w:r>
          </w:p>
        </w:tc>
        <w:tc>
          <w:tcPr>
            <w:tcW w:w="963" w:type="dxa"/>
          </w:tcPr>
          <w:p w14:paraId="46A3CF35" w14:textId="77777777" w:rsidR="00345EE3" w:rsidRDefault="00345EE3" w:rsidP="00D73130">
            <w:pPr>
              <w:pStyle w:val="TableParagraph"/>
              <w:ind w:right="-15"/>
              <w:rPr>
                <w:sz w:val="24"/>
              </w:rPr>
            </w:pPr>
            <w:r>
              <w:rPr>
                <w:color w:val="231F20"/>
                <w:sz w:val="24"/>
              </w:rPr>
              <w:t>7</w:t>
            </w:r>
          </w:p>
        </w:tc>
        <w:tc>
          <w:tcPr>
            <w:tcW w:w="963" w:type="dxa"/>
            <w:gridSpan w:val="2"/>
          </w:tcPr>
          <w:p w14:paraId="15510DC2" w14:textId="77777777" w:rsidR="00345EE3" w:rsidRDefault="00345EE3" w:rsidP="00D73130">
            <w:pPr>
              <w:pStyle w:val="TableParagraph"/>
              <w:ind w:right="-15"/>
              <w:rPr>
                <w:sz w:val="24"/>
              </w:rPr>
            </w:pPr>
            <w:r>
              <w:rPr>
                <w:color w:val="231F20"/>
                <w:sz w:val="24"/>
              </w:rPr>
              <w:t>0</w:t>
            </w:r>
          </w:p>
        </w:tc>
        <w:tc>
          <w:tcPr>
            <w:tcW w:w="963" w:type="dxa"/>
          </w:tcPr>
          <w:p w14:paraId="6189755C" w14:textId="77777777" w:rsidR="00345EE3" w:rsidRDefault="00345EE3" w:rsidP="00D73130">
            <w:pPr>
              <w:pStyle w:val="TableParagraph"/>
              <w:ind w:right="-15"/>
              <w:rPr>
                <w:sz w:val="24"/>
              </w:rPr>
            </w:pPr>
            <w:r>
              <w:rPr>
                <w:color w:val="231F20"/>
                <w:sz w:val="24"/>
              </w:rPr>
              <w:t>0</w:t>
            </w:r>
          </w:p>
        </w:tc>
        <w:tc>
          <w:tcPr>
            <w:tcW w:w="963" w:type="dxa"/>
            <w:tcBorders>
              <w:right w:val="nil"/>
            </w:tcBorders>
          </w:tcPr>
          <w:p w14:paraId="716838DD" w14:textId="77777777" w:rsidR="00345EE3" w:rsidRDefault="00345EE3" w:rsidP="00D73130">
            <w:pPr>
              <w:pStyle w:val="TableParagraph"/>
              <w:ind w:right="-15"/>
              <w:rPr>
                <w:sz w:val="24"/>
              </w:rPr>
            </w:pPr>
            <w:r>
              <w:rPr>
                <w:color w:val="231F20"/>
                <w:sz w:val="24"/>
              </w:rPr>
              <w:t>0</w:t>
            </w:r>
          </w:p>
        </w:tc>
      </w:tr>
      <w:tr w:rsidR="00345EE3" w14:paraId="657E8C60" w14:textId="77777777" w:rsidTr="00D73130">
        <w:trPr>
          <w:trHeight w:val="396"/>
        </w:trPr>
        <w:tc>
          <w:tcPr>
            <w:tcW w:w="2494" w:type="dxa"/>
            <w:tcBorders>
              <w:left w:val="nil"/>
            </w:tcBorders>
          </w:tcPr>
          <w:p w14:paraId="15FF3C7D" w14:textId="77777777" w:rsidR="00345EE3" w:rsidRDefault="00345EE3" w:rsidP="00D73130">
            <w:pPr>
              <w:pStyle w:val="TableParagraph"/>
              <w:ind w:left="-3"/>
              <w:jc w:val="left"/>
              <w:rPr>
                <w:sz w:val="24"/>
              </w:rPr>
            </w:pPr>
            <w:r>
              <w:rPr>
                <w:color w:val="231F20"/>
                <w:sz w:val="24"/>
              </w:rPr>
              <w:t>SES-</w:t>
            </w:r>
            <w:r>
              <w:rPr>
                <w:color w:val="231F20"/>
                <w:spacing w:val="-10"/>
                <w:sz w:val="24"/>
              </w:rPr>
              <w:t>1</w:t>
            </w:r>
          </w:p>
        </w:tc>
        <w:tc>
          <w:tcPr>
            <w:tcW w:w="963" w:type="dxa"/>
          </w:tcPr>
          <w:p w14:paraId="7BC05089" w14:textId="77777777" w:rsidR="00345EE3" w:rsidRDefault="00345EE3" w:rsidP="00D73130">
            <w:pPr>
              <w:pStyle w:val="TableParagraph"/>
              <w:rPr>
                <w:sz w:val="24"/>
              </w:rPr>
            </w:pPr>
            <w:r>
              <w:rPr>
                <w:color w:val="231F20"/>
                <w:spacing w:val="-5"/>
                <w:sz w:val="24"/>
              </w:rPr>
              <w:t>22</w:t>
            </w:r>
          </w:p>
        </w:tc>
        <w:tc>
          <w:tcPr>
            <w:tcW w:w="963" w:type="dxa"/>
            <w:gridSpan w:val="2"/>
          </w:tcPr>
          <w:p w14:paraId="1BDEA2C4" w14:textId="77777777" w:rsidR="00345EE3" w:rsidRDefault="00345EE3" w:rsidP="00D73130">
            <w:pPr>
              <w:pStyle w:val="TableParagraph"/>
              <w:ind w:right="-15"/>
              <w:rPr>
                <w:sz w:val="24"/>
              </w:rPr>
            </w:pPr>
            <w:r>
              <w:rPr>
                <w:color w:val="231F20"/>
                <w:sz w:val="24"/>
              </w:rPr>
              <w:t>3</w:t>
            </w:r>
          </w:p>
        </w:tc>
        <w:tc>
          <w:tcPr>
            <w:tcW w:w="963" w:type="dxa"/>
          </w:tcPr>
          <w:p w14:paraId="4716EA95" w14:textId="77777777" w:rsidR="00345EE3" w:rsidRDefault="00345EE3" w:rsidP="00D73130">
            <w:pPr>
              <w:pStyle w:val="TableParagraph"/>
              <w:ind w:right="-15"/>
              <w:rPr>
                <w:sz w:val="24"/>
              </w:rPr>
            </w:pPr>
            <w:r>
              <w:rPr>
                <w:color w:val="231F20"/>
                <w:spacing w:val="-5"/>
                <w:sz w:val="24"/>
              </w:rPr>
              <w:t>10</w:t>
            </w:r>
          </w:p>
        </w:tc>
        <w:tc>
          <w:tcPr>
            <w:tcW w:w="962" w:type="dxa"/>
            <w:gridSpan w:val="2"/>
          </w:tcPr>
          <w:p w14:paraId="55322481" w14:textId="77777777" w:rsidR="00345EE3" w:rsidRDefault="00345EE3" w:rsidP="00D73130">
            <w:pPr>
              <w:pStyle w:val="TableParagraph"/>
              <w:ind w:right="-15"/>
              <w:rPr>
                <w:sz w:val="24"/>
              </w:rPr>
            </w:pPr>
            <w:r>
              <w:rPr>
                <w:color w:val="231F20"/>
                <w:sz w:val="24"/>
              </w:rPr>
              <w:t>1</w:t>
            </w:r>
          </w:p>
        </w:tc>
        <w:tc>
          <w:tcPr>
            <w:tcW w:w="963" w:type="dxa"/>
          </w:tcPr>
          <w:p w14:paraId="7FAF428D" w14:textId="77777777" w:rsidR="00345EE3" w:rsidRDefault="00345EE3" w:rsidP="00D73130">
            <w:pPr>
              <w:pStyle w:val="TableParagraph"/>
              <w:ind w:right="-15"/>
              <w:rPr>
                <w:sz w:val="24"/>
              </w:rPr>
            </w:pPr>
            <w:r>
              <w:rPr>
                <w:color w:val="231F20"/>
                <w:spacing w:val="-5"/>
                <w:sz w:val="24"/>
              </w:rPr>
              <w:t>12</w:t>
            </w:r>
          </w:p>
        </w:tc>
        <w:tc>
          <w:tcPr>
            <w:tcW w:w="963" w:type="dxa"/>
            <w:gridSpan w:val="2"/>
          </w:tcPr>
          <w:p w14:paraId="01990553" w14:textId="77777777" w:rsidR="00345EE3" w:rsidRDefault="00345EE3" w:rsidP="00D73130">
            <w:pPr>
              <w:pStyle w:val="TableParagraph"/>
              <w:ind w:right="-15"/>
              <w:rPr>
                <w:sz w:val="24"/>
              </w:rPr>
            </w:pPr>
            <w:r>
              <w:rPr>
                <w:color w:val="231F20"/>
                <w:sz w:val="24"/>
              </w:rPr>
              <w:t>2</w:t>
            </w:r>
          </w:p>
        </w:tc>
        <w:tc>
          <w:tcPr>
            <w:tcW w:w="963" w:type="dxa"/>
          </w:tcPr>
          <w:p w14:paraId="666DFC6B" w14:textId="77777777" w:rsidR="00345EE3" w:rsidRDefault="00345EE3" w:rsidP="00D73130">
            <w:pPr>
              <w:pStyle w:val="TableParagraph"/>
              <w:ind w:right="-15"/>
              <w:rPr>
                <w:sz w:val="24"/>
              </w:rPr>
            </w:pPr>
            <w:r>
              <w:rPr>
                <w:color w:val="231F20"/>
                <w:sz w:val="24"/>
              </w:rPr>
              <w:t>0</w:t>
            </w:r>
          </w:p>
        </w:tc>
        <w:tc>
          <w:tcPr>
            <w:tcW w:w="963" w:type="dxa"/>
            <w:tcBorders>
              <w:right w:val="nil"/>
            </w:tcBorders>
          </w:tcPr>
          <w:p w14:paraId="247988B7" w14:textId="77777777" w:rsidR="00345EE3" w:rsidRDefault="00345EE3" w:rsidP="00D73130">
            <w:pPr>
              <w:pStyle w:val="TableParagraph"/>
              <w:ind w:right="-15"/>
              <w:rPr>
                <w:sz w:val="24"/>
              </w:rPr>
            </w:pPr>
            <w:r>
              <w:rPr>
                <w:color w:val="231F20"/>
                <w:sz w:val="24"/>
              </w:rPr>
              <w:t>0</w:t>
            </w:r>
          </w:p>
        </w:tc>
      </w:tr>
      <w:tr w:rsidR="00345EE3" w14:paraId="0EB0A681" w14:textId="77777777" w:rsidTr="00D73130">
        <w:trPr>
          <w:trHeight w:val="391"/>
        </w:trPr>
        <w:tc>
          <w:tcPr>
            <w:tcW w:w="2494" w:type="dxa"/>
            <w:tcBorders>
              <w:left w:val="nil"/>
              <w:bottom w:val="single" w:sz="6" w:space="0" w:color="231F20"/>
            </w:tcBorders>
          </w:tcPr>
          <w:p w14:paraId="42DC2C0C" w14:textId="77777777" w:rsidR="00345EE3" w:rsidRDefault="00345EE3" w:rsidP="00D73130">
            <w:pPr>
              <w:pStyle w:val="TableParagraph"/>
              <w:ind w:left="-2"/>
              <w:jc w:val="left"/>
              <w:rPr>
                <w:b/>
                <w:sz w:val="24"/>
              </w:rPr>
            </w:pPr>
            <w:r>
              <w:rPr>
                <w:b/>
                <w:color w:val="231F20"/>
                <w:spacing w:val="-2"/>
                <w:sz w:val="24"/>
              </w:rPr>
              <w:t>Total</w:t>
            </w:r>
          </w:p>
        </w:tc>
        <w:tc>
          <w:tcPr>
            <w:tcW w:w="963" w:type="dxa"/>
            <w:tcBorders>
              <w:bottom w:val="single" w:sz="6" w:space="0" w:color="231F20"/>
            </w:tcBorders>
          </w:tcPr>
          <w:p w14:paraId="139294CA" w14:textId="77777777" w:rsidR="00345EE3" w:rsidRDefault="00345EE3" w:rsidP="00D73130">
            <w:pPr>
              <w:pStyle w:val="TableParagraph"/>
              <w:ind w:right="-15"/>
              <w:rPr>
                <w:b/>
                <w:sz w:val="24"/>
              </w:rPr>
            </w:pPr>
            <w:r>
              <w:rPr>
                <w:b/>
                <w:color w:val="231F20"/>
                <w:spacing w:val="-5"/>
                <w:sz w:val="24"/>
              </w:rPr>
              <w:t>34</w:t>
            </w:r>
          </w:p>
        </w:tc>
        <w:tc>
          <w:tcPr>
            <w:tcW w:w="963" w:type="dxa"/>
            <w:gridSpan w:val="2"/>
            <w:tcBorders>
              <w:bottom w:val="single" w:sz="6" w:space="0" w:color="231F20"/>
            </w:tcBorders>
          </w:tcPr>
          <w:p w14:paraId="7962C758" w14:textId="77777777" w:rsidR="00345EE3" w:rsidRDefault="00345EE3" w:rsidP="00D73130">
            <w:pPr>
              <w:pStyle w:val="TableParagraph"/>
              <w:ind w:right="-15"/>
              <w:rPr>
                <w:b/>
                <w:sz w:val="24"/>
              </w:rPr>
            </w:pPr>
            <w:r>
              <w:rPr>
                <w:b/>
                <w:color w:val="231F20"/>
                <w:sz w:val="24"/>
              </w:rPr>
              <w:t>3</w:t>
            </w:r>
          </w:p>
        </w:tc>
        <w:tc>
          <w:tcPr>
            <w:tcW w:w="963" w:type="dxa"/>
            <w:tcBorders>
              <w:bottom w:val="single" w:sz="6" w:space="0" w:color="231F20"/>
            </w:tcBorders>
          </w:tcPr>
          <w:p w14:paraId="5D86837D" w14:textId="77777777" w:rsidR="00345EE3" w:rsidRDefault="00345EE3" w:rsidP="00D73130">
            <w:pPr>
              <w:pStyle w:val="TableParagraph"/>
              <w:ind w:right="-15"/>
              <w:rPr>
                <w:b/>
                <w:sz w:val="24"/>
              </w:rPr>
            </w:pPr>
            <w:r>
              <w:rPr>
                <w:b/>
                <w:color w:val="231F20"/>
                <w:spacing w:val="-5"/>
                <w:sz w:val="24"/>
              </w:rPr>
              <w:t>14</w:t>
            </w:r>
          </w:p>
        </w:tc>
        <w:tc>
          <w:tcPr>
            <w:tcW w:w="962" w:type="dxa"/>
            <w:gridSpan w:val="2"/>
            <w:tcBorders>
              <w:bottom w:val="single" w:sz="6" w:space="0" w:color="231F20"/>
            </w:tcBorders>
          </w:tcPr>
          <w:p w14:paraId="0C6F2A74" w14:textId="77777777" w:rsidR="00345EE3" w:rsidRDefault="00345EE3" w:rsidP="00D73130">
            <w:pPr>
              <w:pStyle w:val="TableParagraph"/>
              <w:ind w:right="-15"/>
              <w:rPr>
                <w:b/>
                <w:sz w:val="24"/>
              </w:rPr>
            </w:pPr>
            <w:r>
              <w:rPr>
                <w:b/>
                <w:color w:val="231F20"/>
                <w:sz w:val="24"/>
              </w:rPr>
              <w:t>1</w:t>
            </w:r>
          </w:p>
        </w:tc>
        <w:tc>
          <w:tcPr>
            <w:tcW w:w="963" w:type="dxa"/>
            <w:tcBorders>
              <w:bottom w:val="single" w:sz="6" w:space="0" w:color="231F20"/>
            </w:tcBorders>
          </w:tcPr>
          <w:p w14:paraId="1FBC6807" w14:textId="77777777" w:rsidR="00345EE3" w:rsidRDefault="00345EE3" w:rsidP="00D73130">
            <w:pPr>
              <w:pStyle w:val="TableParagraph"/>
              <w:ind w:right="-15"/>
              <w:rPr>
                <w:b/>
                <w:sz w:val="24"/>
              </w:rPr>
            </w:pPr>
            <w:r>
              <w:rPr>
                <w:b/>
                <w:color w:val="231F20"/>
                <w:spacing w:val="-5"/>
                <w:sz w:val="24"/>
              </w:rPr>
              <w:t>20</w:t>
            </w:r>
          </w:p>
        </w:tc>
        <w:tc>
          <w:tcPr>
            <w:tcW w:w="963" w:type="dxa"/>
            <w:gridSpan w:val="2"/>
            <w:tcBorders>
              <w:bottom w:val="single" w:sz="6" w:space="0" w:color="231F20"/>
            </w:tcBorders>
          </w:tcPr>
          <w:p w14:paraId="19EF9DC0" w14:textId="77777777" w:rsidR="00345EE3" w:rsidRDefault="00345EE3" w:rsidP="00D73130">
            <w:pPr>
              <w:pStyle w:val="TableParagraph"/>
              <w:ind w:right="-15"/>
              <w:rPr>
                <w:b/>
                <w:sz w:val="24"/>
              </w:rPr>
            </w:pPr>
            <w:r>
              <w:rPr>
                <w:b/>
                <w:color w:val="231F20"/>
                <w:sz w:val="24"/>
              </w:rPr>
              <w:t>2</w:t>
            </w:r>
          </w:p>
        </w:tc>
        <w:tc>
          <w:tcPr>
            <w:tcW w:w="963" w:type="dxa"/>
            <w:tcBorders>
              <w:bottom w:val="single" w:sz="6" w:space="0" w:color="231F20"/>
            </w:tcBorders>
          </w:tcPr>
          <w:p w14:paraId="188393FD" w14:textId="77777777" w:rsidR="00345EE3" w:rsidRDefault="00345EE3" w:rsidP="00D73130">
            <w:pPr>
              <w:pStyle w:val="TableParagraph"/>
              <w:ind w:right="-15"/>
              <w:rPr>
                <w:b/>
                <w:sz w:val="24"/>
              </w:rPr>
            </w:pPr>
            <w:r>
              <w:rPr>
                <w:b/>
                <w:color w:val="231F20"/>
                <w:sz w:val="24"/>
              </w:rPr>
              <w:t>0</w:t>
            </w:r>
          </w:p>
        </w:tc>
        <w:tc>
          <w:tcPr>
            <w:tcW w:w="963" w:type="dxa"/>
            <w:tcBorders>
              <w:bottom w:val="single" w:sz="6" w:space="0" w:color="231F20"/>
              <w:right w:val="nil"/>
            </w:tcBorders>
          </w:tcPr>
          <w:p w14:paraId="0AD0FE18" w14:textId="77777777" w:rsidR="00345EE3" w:rsidRDefault="00345EE3" w:rsidP="00D73130">
            <w:pPr>
              <w:pStyle w:val="TableParagraph"/>
              <w:ind w:right="-15"/>
              <w:rPr>
                <w:b/>
                <w:sz w:val="24"/>
              </w:rPr>
            </w:pPr>
            <w:r>
              <w:rPr>
                <w:b/>
                <w:color w:val="231F20"/>
                <w:sz w:val="24"/>
              </w:rPr>
              <w:t>0</w:t>
            </w:r>
          </w:p>
        </w:tc>
      </w:tr>
    </w:tbl>
    <w:p w14:paraId="29F056CA" w14:textId="77777777" w:rsidR="00345EE3" w:rsidRPr="00ED2501" w:rsidRDefault="00345EE3" w:rsidP="00345EE3">
      <w:pPr>
        <w:spacing w:before="73"/>
        <w:ind w:left="110"/>
        <w:rPr>
          <w:sz w:val="18"/>
          <w:szCs w:val="18"/>
        </w:rPr>
      </w:pPr>
      <w:r w:rsidRPr="00ED2501">
        <w:rPr>
          <w:rFonts w:ascii="Arial-BoldItalicMT"/>
          <w:b/>
          <w:i/>
          <w:color w:val="231F20"/>
          <w:sz w:val="18"/>
          <w:szCs w:val="18"/>
        </w:rPr>
        <w:t>Source:</w:t>
      </w:r>
      <w:r w:rsidRPr="00ED2501">
        <w:rPr>
          <w:rFonts w:ascii="Arial-BoldItalicMT"/>
          <w:b/>
          <w:i/>
          <w:color w:val="231F20"/>
          <w:spacing w:val="-2"/>
          <w:sz w:val="18"/>
          <w:szCs w:val="18"/>
        </w:rPr>
        <w:t xml:space="preserve"> </w:t>
      </w:r>
      <w:r w:rsidRPr="00ED2501">
        <w:rPr>
          <w:color w:val="231F20"/>
          <w:sz w:val="18"/>
          <w:szCs w:val="18"/>
        </w:rPr>
        <w:t>Human Resources</w:t>
      </w:r>
      <w:r w:rsidRPr="00ED2501">
        <w:rPr>
          <w:color w:val="231F20"/>
          <w:spacing w:val="-1"/>
          <w:sz w:val="18"/>
          <w:szCs w:val="18"/>
        </w:rPr>
        <w:t xml:space="preserve"> </w:t>
      </w:r>
      <w:r w:rsidRPr="00ED2501">
        <w:rPr>
          <w:color w:val="231F20"/>
          <w:sz w:val="18"/>
          <w:szCs w:val="18"/>
        </w:rPr>
        <w:t>Command. Data</w:t>
      </w:r>
      <w:r w:rsidRPr="00ED2501">
        <w:rPr>
          <w:color w:val="231F20"/>
          <w:spacing w:val="-1"/>
          <w:sz w:val="18"/>
          <w:szCs w:val="18"/>
        </w:rPr>
        <w:t xml:space="preserve"> </w:t>
      </w:r>
      <w:r w:rsidRPr="00ED2501">
        <w:rPr>
          <w:color w:val="231F20"/>
          <w:sz w:val="18"/>
          <w:szCs w:val="18"/>
        </w:rPr>
        <w:t>extracted from</w:t>
      </w:r>
      <w:r w:rsidRPr="00ED2501">
        <w:rPr>
          <w:color w:val="231F20"/>
          <w:spacing w:val="-1"/>
          <w:sz w:val="18"/>
          <w:szCs w:val="18"/>
        </w:rPr>
        <w:t xml:space="preserve"> </w:t>
      </w:r>
      <w:r w:rsidRPr="00ED2501">
        <w:rPr>
          <w:color w:val="231F20"/>
          <w:sz w:val="18"/>
          <w:szCs w:val="18"/>
        </w:rPr>
        <w:t>HR Assist</w:t>
      </w:r>
      <w:r w:rsidRPr="00ED2501">
        <w:rPr>
          <w:color w:val="231F20"/>
          <w:spacing w:val="-1"/>
          <w:sz w:val="18"/>
          <w:szCs w:val="18"/>
        </w:rPr>
        <w:t xml:space="preserve"> </w:t>
      </w:r>
      <w:r w:rsidRPr="00ED2501">
        <w:rPr>
          <w:color w:val="231F20"/>
          <w:sz w:val="18"/>
          <w:szCs w:val="18"/>
        </w:rPr>
        <w:t>at 18</w:t>
      </w:r>
      <w:r w:rsidRPr="00ED2501">
        <w:rPr>
          <w:color w:val="231F20"/>
          <w:spacing w:val="-1"/>
          <w:sz w:val="18"/>
          <w:szCs w:val="18"/>
        </w:rPr>
        <w:t xml:space="preserve"> </w:t>
      </w:r>
      <w:r w:rsidRPr="00ED2501">
        <w:rPr>
          <w:color w:val="231F20"/>
          <w:sz w:val="18"/>
          <w:szCs w:val="18"/>
        </w:rPr>
        <w:t xml:space="preserve">June </w:t>
      </w:r>
      <w:r w:rsidRPr="00ED2501">
        <w:rPr>
          <w:color w:val="231F20"/>
          <w:spacing w:val="-2"/>
          <w:sz w:val="18"/>
          <w:szCs w:val="18"/>
        </w:rPr>
        <w:t>2022.</w:t>
      </w:r>
    </w:p>
    <w:p w14:paraId="043E5881" w14:textId="77777777" w:rsidR="00345EE3" w:rsidRPr="00ED2501" w:rsidRDefault="00345EE3" w:rsidP="00345EE3">
      <w:pPr>
        <w:spacing w:before="27"/>
        <w:ind w:left="110"/>
        <w:rPr>
          <w:rFonts w:ascii="Arial-BoldItalicMT"/>
          <w:b/>
          <w:i/>
          <w:sz w:val="18"/>
          <w:szCs w:val="18"/>
        </w:rPr>
      </w:pPr>
      <w:r w:rsidRPr="00ED2501">
        <w:rPr>
          <w:rFonts w:ascii="Arial-BoldItalicMT"/>
          <w:b/>
          <w:i/>
          <w:color w:val="231F20"/>
          <w:spacing w:val="-2"/>
          <w:sz w:val="18"/>
          <w:szCs w:val="18"/>
        </w:rPr>
        <w:t>Notes</w:t>
      </w:r>
    </w:p>
    <w:p w14:paraId="66D60D86" w14:textId="77777777" w:rsidR="00345EE3" w:rsidRPr="00ED2501" w:rsidRDefault="00345EE3">
      <w:pPr>
        <w:pStyle w:val="ListParagraph"/>
        <w:numPr>
          <w:ilvl w:val="0"/>
          <w:numId w:val="47"/>
        </w:numPr>
        <w:tabs>
          <w:tab w:val="left" w:pos="338"/>
        </w:tabs>
        <w:spacing w:before="27"/>
        <w:ind w:hanging="228"/>
        <w:rPr>
          <w:sz w:val="18"/>
          <w:szCs w:val="18"/>
        </w:rPr>
      </w:pPr>
      <w:r w:rsidRPr="00ED2501">
        <w:rPr>
          <w:color w:val="231F20"/>
          <w:sz w:val="18"/>
          <w:szCs w:val="18"/>
        </w:rPr>
        <w:t>Table</w:t>
      </w:r>
      <w:r w:rsidRPr="00ED2501">
        <w:rPr>
          <w:color w:val="231F20"/>
          <w:spacing w:val="-2"/>
          <w:sz w:val="18"/>
          <w:szCs w:val="18"/>
        </w:rPr>
        <w:t xml:space="preserve"> </w:t>
      </w:r>
      <w:r w:rsidRPr="00ED2501">
        <w:rPr>
          <w:color w:val="231F20"/>
          <w:sz w:val="18"/>
          <w:szCs w:val="18"/>
        </w:rPr>
        <w:t>has</w:t>
      </w:r>
      <w:r w:rsidRPr="00ED2501">
        <w:rPr>
          <w:color w:val="231F20"/>
          <w:spacing w:val="-1"/>
          <w:sz w:val="18"/>
          <w:szCs w:val="18"/>
        </w:rPr>
        <w:t xml:space="preserve"> </w:t>
      </w:r>
      <w:r w:rsidRPr="00ED2501">
        <w:rPr>
          <w:color w:val="231F20"/>
          <w:sz w:val="18"/>
          <w:szCs w:val="18"/>
        </w:rPr>
        <w:t>been</w:t>
      </w:r>
      <w:r w:rsidRPr="00ED2501">
        <w:rPr>
          <w:color w:val="231F20"/>
          <w:spacing w:val="-1"/>
          <w:sz w:val="18"/>
          <w:szCs w:val="18"/>
        </w:rPr>
        <w:t xml:space="preserve"> </w:t>
      </w:r>
      <w:r w:rsidRPr="00ED2501">
        <w:rPr>
          <w:color w:val="231F20"/>
          <w:sz w:val="18"/>
          <w:szCs w:val="18"/>
        </w:rPr>
        <w:t>prepared</w:t>
      </w:r>
      <w:r w:rsidRPr="00ED2501">
        <w:rPr>
          <w:color w:val="231F20"/>
          <w:spacing w:val="-1"/>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accordance</w:t>
      </w:r>
      <w:r w:rsidRPr="00ED2501">
        <w:rPr>
          <w:color w:val="231F20"/>
          <w:spacing w:val="-2"/>
          <w:sz w:val="18"/>
          <w:szCs w:val="18"/>
        </w:rPr>
        <w:t xml:space="preserve"> </w:t>
      </w:r>
      <w:r w:rsidRPr="00ED2501">
        <w:rPr>
          <w:color w:val="231F20"/>
          <w:sz w:val="18"/>
          <w:szCs w:val="18"/>
        </w:rPr>
        <w:t>with</w:t>
      </w:r>
      <w:r w:rsidRPr="00ED2501">
        <w:rPr>
          <w:color w:val="231F20"/>
          <w:spacing w:val="-1"/>
          <w:sz w:val="18"/>
          <w:szCs w:val="18"/>
        </w:rPr>
        <w:t xml:space="preserve"> </w:t>
      </w:r>
      <w:r w:rsidRPr="00ED2501">
        <w:rPr>
          <w:color w:val="231F20"/>
          <w:sz w:val="18"/>
          <w:szCs w:val="18"/>
        </w:rPr>
        <w:t>FRD</w:t>
      </w:r>
      <w:r w:rsidRPr="00ED2501">
        <w:rPr>
          <w:color w:val="231F20"/>
          <w:spacing w:val="-1"/>
          <w:sz w:val="18"/>
          <w:szCs w:val="18"/>
        </w:rPr>
        <w:t xml:space="preserve"> </w:t>
      </w:r>
      <w:r w:rsidRPr="00ED2501">
        <w:rPr>
          <w:color w:val="231F20"/>
          <w:sz w:val="18"/>
          <w:szCs w:val="18"/>
        </w:rPr>
        <w:t>15</w:t>
      </w:r>
      <w:r w:rsidRPr="00ED2501">
        <w:rPr>
          <w:color w:val="231F20"/>
          <w:spacing w:val="-1"/>
          <w:sz w:val="18"/>
          <w:szCs w:val="18"/>
        </w:rPr>
        <w:t xml:space="preserve"> </w:t>
      </w:r>
      <w:r w:rsidRPr="00ED2501">
        <w:rPr>
          <w:color w:val="231F20"/>
          <w:sz w:val="18"/>
          <w:szCs w:val="18"/>
        </w:rPr>
        <w:t>Executive</w:t>
      </w:r>
      <w:r w:rsidRPr="00ED2501">
        <w:rPr>
          <w:color w:val="231F20"/>
          <w:spacing w:val="-1"/>
          <w:sz w:val="18"/>
          <w:szCs w:val="18"/>
        </w:rPr>
        <w:t xml:space="preserve"> </w:t>
      </w:r>
      <w:r w:rsidRPr="00ED2501">
        <w:rPr>
          <w:color w:val="231F20"/>
          <w:sz w:val="18"/>
          <w:szCs w:val="18"/>
        </w:rPr>
        <w:t>officer</w:t>
      </w:r>
      <w:r w:rsidRPr="00ED2501">
        <w:rPr>
          <w:color w:val="231F20"/>
          <w:spacing w:val="-1"/>
          <w:sz w:val="18"/>
          <w:szCs w:val="18"/>
        </w:rPr>
        <w:t xml:space="preserve"> </w:t>
      </w:r>
      <w:r w:rsidRPr="00ED2501">
        <w:rPr>
          <w:color w:val="231F20"/>
          <w:sz w:val="18"/>
          <w:szCs w:val="18"/>
        </w:rPr>
        <w:t>disclosures</w:t>
      </w:r>
      <w:r w:rsidRPr="00ED2501">
        <w:rPr>
          <w:color w:val="231F20"/>
          <w:spacing w:val="-2"/>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29C</w:t>
      </w:r>
      <w:r w:rsidRPr="00ED2501">
        <w:rPr>
          <w:color w:val="231F20"/>
          <w:spacing w:val="-1"/>
          <w:sz w:val="18"/>
          <w:szCs w:val="18"/>
        </w:rPr>
        <w:t xml:space="preserve"> </w:t>
      </w:r>
      <w:r w:rsidRPr="00ED2501">
        <w:rPr>
          <w:color w:val="231F20"/>
          <w:sz w:val="18"/>
          <w:szCs w:val="18"/>
        </w:rPr>
        <w:t>Workforce</w:t>
      </w:r>
      <w:r w:rsidRPr="00ED2501">
        <w:rPr>
          <w:color w:val="231F20"/>
          <w:spacing w:val="-1"/>
          <w:sz w:val="18"/>
          <w:szCs w:val="18"/>
        </w:rPr>
        <w:t xml:space="preserve"> </w:t>
      </w:r>
      <w:r w:rsidRPr="00ED2501">
        <w:rPr>
          <w:color w:val="231F20"/>
          <w:sz w:val="18"/>
          <w:szCs w:val="18"/>
        </w:rPr>
        <w:t>Data</w:t>
      </w:r>
      <w:r w:rsidRPr="00ED2501">
        <w:rPr>
          <w:color w:val="231F20"/>
          <w:spacing w:val="-1"/>
          <w:sz w:val="18"/>
          <w:szCs w:val="18"/>
        </w:rPr>
        <w:t xml:space="preserve"> </w:t>
      </w:r>
      <w:r w:rsidRPr="00ED2501">
        <w:rPr>
          <w:color w:val="231F20"/>
          <w:sz w:val="18"/>
          <w:szCs w:val="18"/>
        </w:rPr>
        <w:t>disclosure</w:t>
      </w:r>
      <w:r w:rsidRPr="00ED2501">
        <w:rPr>
          <w:color w:val="231F20"/>
          <w:spacing w:val="-1"/>
          <w:sz w:val="18"/>
          <w:szCs w:val="18"/>
        </w:rPr>
        <w:t xml:space="preserve"> </w:t>
      </w:r>
      <w:r w:rsidRPr="00ED2501">
        <w:rPr>
          <w:color w:val="231F20"/>
          <w:spacing w:val="-2"/>
          <w:sz w:val="18"/>
          <w:szCs w:val="18"/>
        </w:rPr>
        <w:t>requirements.</w:t>
      </w:r>
    </w:p>
    <w:p w14:paraId="3CD1C484" w14:textId="77777777" w:rsidR="00345EE3" w:rsidRPr="00ED2501" w:rsidRDefault="00345EE3">
      <w:pPr>
        <w:pStyle w:val="ListParagraph"/>
        <w:numPr>
          <w:ilvl w:val="0"/>
          <w:numId w:val="47"/>
        </w:numPr>
        <w:tabs>
          <w:tab w:val="left" w:pos="338"/>
        </w:tabs>
        <w:spacing w:before="28"/>
        <w:ind w:hanging="228"/>
        <w:rPr>
          <w:sz w:val="18"/>
          <w:szCs w:val="18"/>
        </w:rPr>
      </w:pPr>
      <w:r w:rsidRPr="00ED2501">
        <w:rPr>
          <w:color w:val="231F20"/>
          <w:sz w:val="18"/>
          <w:szCs w:val="18"/>
        </w:rPr>
        <w:t>‘Var’</w:t>
      </w:r>
      <w:r w:rsidRPr="00ED2501">
        <w:rPr>
          <w:color w:val="231F20"/>
          <w:spacing w:val="-2"/>
          <w:sz w:val="18"/>
          <w:szCs w:val="18"/>
        </w:rPr>
        <w:t xml:space="preserve"> </w:t>
      </w:r>
      <w:r w:rsidRPr="00ED2501">
        <w:rPr>
          <w:color w:val="231F20"/>
          <w:sz w:val="18"/>
          <w:szCs w:val="18"/>
        </w:rPr>
        <w:t>denotes</w:t>
      </w:r>
      <w:r w:rsidRPr="00ED2501">
        <w:rPr>
          <w:color w:val="231F20"/>
          <w:spacing w:val="-2"/>
          <w:sz w:val="18"/>
          <w:szCs w:val="18"/>
        </w:rPr>
        <w:t xml:space="preserve"> </w:t>
      </w:r>
      <w:r w:rsidRPr="00ED2501">
        <w:rPr>
          <w:color w:val="231F20"/>
          <w:sz w:val="18"/>
          <w:szCs w:val="18"/>
        </w:rPr>
        <w:t>variance</w:t>
      </w:r>
      <w:r w:rsidRPr="00ED2501">
        <w:rPr>
          <w:color w:val="231F20"/>
          <w:spacing w:val="-2"/>
          <w:sz w:val="18"/>
          <w:szCs w:val="18"/>
        </w:rPr>
        <w:t xml:space="preserve"> </w:t>
      </w:r>
      <w:r w:rsidRPr="00ED2501">
        <w:rPr>
          <w:color w:val="231F20"/>
          <w:sz w:val="18"/>
          <w:szCs w:val="18"/>
        </w:rPr>
        <w:t>between</w:t>
      </w:r>
      <w:r w:rsidRPr="00ED2501">
        <w:rPr>
          <w:color w:val="231F20"/>
          <w:spacing w:val="-2"/>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current</w:t>
      </w:r>
      <w:r w:rsidRPr="00ED2501">
        <w:rPr>
          <w:color w:val="231F20"/>
          <w:spacing w:val="-2"/>
          <w:sz w:val="18"/>
          <w:szCs w:val="18"/>
        </w:rPr>
        <w:t xml:space="preserve"> </w:t>
      </w:r>
      <w:r w:rsidRPr="00ED2501">
        <w:rPr>
          <w:color w:val="231F20"/>
          <w:sz w:val="18"/>
          <w:szCs w:val="18"/>
        </w:rPr>
        <w:t>(2021–22)</w:t>
      </w:r>
      <w:r w:rsidRPr="00ED2501">
        <w:rPr>
          <w:color w:val="231F20"/>
          <w:spacing w:val="-2"/>
          <w:sz w:val="18"/>
          <w:szCs w:val="18"/>
        </w:rPr>
        <w:t xml:space="preserve"> </w:t>
      </w:r>
      <w:r w:rsidRPr="00ED2501">
        <w:rPr>
          <w:color w:val="231F20"/>
          <w:sz w:val="18"/>
          <w:szCs w:val="18"/>
        </w:rPr>
        <w:t>and</w:t>
      </w:r>
      <w:r w:rsidRPr="00ED2501">
        <w:rPr>
          <w:color w:val="231F20"/>
          <w:spacing w:val="-2"/>
          <w:sz w:val="18"/>
          <w:szCs w:val="18"/>
        </w:rPr>
        <w:t xml:space="preserve"> </w:t>
      </w:r>
      <w:r w:rsidRPr="00ED2501">
        <w:rPr>
          <w:color w:val="231F20"/>
          <w:sz w:val="18"/>
          <w:szCs w:val="18"/>
        </w:rPr>
        <w:t>previous</w:t>
      </w:r>
      <w:r w:rsidRPr="00ED2501">
        <w:rPr>
          <w:color w:val="231F20"/>
          <w:spacing w:val="-1"/>
          <w:sz w:val="18"/>
          <w:szCs w:val="18"/>
        </w:rPr>
        <w:t xml:space="preserve"> </w:t>
      </w:r>
      <w:r w:rsidRPr="00ED2501">
        <w:rPr>
          <w:color w:val="231F20"/>
          <w:sz w:val="18"/>
          <w:szCs w:val="18"/>
        </w:rPr>
        <w:t>(2020–21)</w:t>
      </w:r>
      <w:r w:rsidRPr="00ED2501">
        <w:rPr>
          <w:color w:val="231F20"/>
          <w:spacing w:val="-2"/>
          <w:sz w:val="18"/>
          <w:szCs w:val="18"/>
        </w:rPr>
        <w:t xml:space="preserve"> </w:t>
      </w:r>
      <w:r w:rsidRPr="00ED2501">
        <w:rPr>
          <w:color w:val="231F20"/>
          <w:sz w:val="18"/>
          <w:szCs w:val="18"/>
        </w:rPr>
        <w:t>reporting</w:t>
      </w:r>
      <w:r w:rsidRPr="00ED2501">
        <w:rPr>
          <w:color w:val="231F20"/>
          <w:spacing w:val="-2"/>
          <w:sz w:val="18"/>
          <w:szCs w:val="18"/>
        </w:rPr>
        <w:t xml:space="preserve"> </w:t>
      </w:r>
      <w:r w:rsidRPr="00ED2501">
        <w:rPr>
          <w:color w:val="231F20"/>
          <w:sz w:val="18"/>
          <w:szCs w:val="18"/>
        </w:rPr>
        <w:t>periods</w:t>
      </w:r>
      <w:r w:rsidRPr="00ED2501">
        <w:rPr>
          <w:color w:val="231F20"/>
          <w:spacing w:val="-2"/>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detailed</w:t>
      </w:r>
      <w:r w:rsidRPr="00ED2501">
        <w:rPr>
          <w:color w:val="231F20"/>
          <w:spacing w:val="-1"/>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DTF</w:t>
      </w:r>
      <w:r w:rsidRPr="00ED2501">
        <w:rPr>
          <w:color w:val="231F20"/>
          <w:spacing w:val="-2"/>
          <w:sz w:val="18"/>
          <w:szCs w:val="18"/>
        </w:rPr>
        <w:t xml:space="preserve"> </w:t>
      </w:r>
      <w:r w:rsidRPr="00ED2501">
        <w:rPr>
          <w:color w:val="231F20"/>
          <w:sz w:val="18"/>
          <w:szCs w:val="18"/>
        </w:rPr>
        <w:t>Model</w:t>
      </w:r>
      <w:r w:rsidRPr="00ED2501">
        <w:rPr>
          <w:color w:val="231F20"/>
          <w:spacing w:val="-1"/>
          <w:sz w:val="18"/>
          <w:szCs w:val="18"/>
        </w:rPr>
        <w:t xml:space="preserve"> </w:t>
      </w:r>
      <w:r w:rsidRPr="00ED2501">
        <w:rPr>
          <w:color w:val="231F20"/>
          <w:spacing w:val="-2"/>
          <w:sz w:val="18"/>
          <w:szCs w:val="18"/>
        </w:rPr>
        <w:t>Report.</w:t>
      </w:r>
    </w:p>
    <w:p w14:paraId="566CD8F0" w14:textId="77777777" w:rsidR="00345EE3" w:rsidRPr="00ED2501" w:rsidRDefault="00345EE3">
      <w:pPr>
        <w:pStyle w:val="ListParagraph"/>
        <w:numPr>
          <w:ilvl w:val="0"/>
          <w:numId w:val="47"/>
        </w:numPr>
        <w:tabs>
          <w:tab w:val="left" w:pos="338"/>
        </w:tabs>
        <w:spacing w:before="27"/>
        <w:ind w:hanging="228"/>
        <w:rPr>
          <w:sz w:val="18"/>
          <w:szCs w:val="18"/>
        </w:rPr>
      </w:pPr>
      <w:r w:rsidRPr="00ED2501">
        <w:rPr>
          <w:color w:val="231F20"/>
          <w:sz w:val="18"/>
          <w:szCs w:val="18"/>
        </w:rPr>
        <w:t>The</w:t>
      </w:r>
      <w:r w:rsidRPr="00ED2501">
        <w:rPr>
          <w:color w:val="231F20"/>
          <w:spacing w:val="-2"/>
          <w:sz w:val="18"/>
          <w:szCs w:val="18"/>
        </w:rPr>
        <w:t xml:space="preserve"> </w:t>
      </w:r>
      <w:r w:rsidRPr="00ED2501">
        <w:rPr>
          <w:color w:val="231F20"/>
          <w:sz w:val="18"/>
          <w:szCs w:val="18"/>
        </w:rPr>
        <w:t>data</w:t>
      </w:r>
      <w:r w:rsidRPr="00ED2501">
        <w:rPr>
          <w:color w:val="231F20"/>
          <w:spacing w:val="-1"/>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table</w:t>
      </w:r>
      <w:r w:rsidRPr="00ED2501">
        <w:rPr>
          <w:color w:val="231F20"/>
          <w:spacing w:val="-1"/>
          <w:sz w:val="18"/>
          <w:szCs w:val="18"/>
        </w:rPr>
        <w:t xml:space="preserve"> </w:t>
      </w:r>
      <w:r w:rsidRPr="00ED2501">
        <w:rPr>
          <w:color w:val="231F20"/>
          <w:sz w:val="18"/>
          <w:szCs w:val="18"/>
        </w:rPr>
        <w:t>are</w:t>
      </w:r>
      <w:r w:rsidRPr="00ED2501">
        <w:rPr>
          <w:color w:val="231F20"/>
          <w:spacing w:val="-2"/>
          <w:sz w:val="18"/>
          <w:szCs w:val="18"/>
        </w:rPr>
        <w:t xml:space="preserve"> </w:t>
      </w:r>
      <w:r w:rsidRPr="00ED2501">
        <w:rPr>
          <w:color w:val="231F20"/>
          <w:sz w:val="18"/>
          <w:szCs w:val="18"/>
        </w:rPr>
        <w:t>reflective</w:t>
      </w:r>
      <w:r w:rsidRPr="00ED2501">
        <w:rPr>
          <w:color w:val="231F20"/>
          <w:spacing w:val="-1"/>
          <w:sz w:val="18"/>
          <w:szCs w:val="18"/>
        </w:rPr>
        <w:t xml:space="preserve"> </w:t>
      </w:r>
      <w:r w:rsidRPr="00ED2501">
        <w:rPr>
          <w:color w:val="231F20"/>
          <w:sz w:val="18"/>
          <w:szCs w:val="18"/>
        </w:rPr>
        <w:t>of</w:t>
      </w:r>
      <w:r w:rsidRPr="00ED2501">
        <w:rPr>
          <w:color w:val="231F20"/>
          <w:spacing w:val="-2"/>
          <w:sz w:val="18"/>
          <w:szCs w:val="18"/>
        </w:rPr>
        <w:t xml:space="preserve"> </w:t>
      </w:r>
      <w:r w:rsidRPr="00ED2501">
        <w:rPr>
          <w:color w:val="231F20"/>
          <w:sz w:val="18"/>
          <w:szCs w:val="18"/>
        </w:rPr>
        <w:t>headcount,</w:t>
      </w:r>
      <w:r w:rsidRPr="00ED2501">
        <w:rPr>
          <w:color w:val="231F20"/>
          <w:spacing w:val="-1"/>
          <w:sz w:val="18"/>
          <w:szCs w:val="18"/>
        </w:rPr>
        <w:t xml:space="preserve"> </w:t>
      </w:r>
      <w:r w:rsidRPr="00ED2501">
        <w:rPr>
          <w:color w:val="231F20"/>
          <w:sz w:val="18"/>
          <w:szCs w:val="18"/>
        </w:rPr>
        <w:t>not</w:t>
      </w:r>
      <w:r w:rsidRPr="00ED2501">
        <w:rPr>
          <w:color w:val="231F20"/>
          <w:spacing w:val="-2"/>
          <w:sz w:val="18"/>
          <w:szCs w:val="18"/>
        </w:rPr>
        <w:t xml:space="preserve"> </w:t>
      </w:r>
      <w:r w:rsidRPr="00ED2501">
        <w:rPr>
          <w:color w:val="231F20"/>
          <w:sz w:val="18"/>
          <w:szCs w:val="18"/>
        </w:rPr>
        <w:t>FTE</w:t>
      </w:r>
      <w:r w:rsidRPr="00ED2501">
        <w:rPr>
          <w:color w:val="231F20"/>
          <w:spacing w:val="-1"/>
          <w:sz w:val="18"/>
          <w:szCs w:val="18"/>
        </w:rPr>
        <w:t xml:space="preserve"> </w:t>
      </w:r>
      <w:r w:rsidRPr="00ED2501">
        <w:rPr>
          <w:color w:val="231F20"/>
          <w:sz w:val="18"/>
          <w:szCs w:val="18"/>
        </w:rPr>
        <w:t>and</w:t>
      </w:r>
      <w:r w:rsidRPr="00ED2501">
        <w:rPr>
          <w:color w:val="231F20"/>
          <w:spacing w:val="-2"/>
          <w:sz w:val="18"/>
          <w:szCs w:val="18"/>
        </w:rPr>
        <w:t xml:space="preserve"> </w:t>
      </w:r>
      <w:r w:rsidRPr="00ED2501">
        <w:rPr>
          <w:color w:val="231F20"/>
          <w:sz w:val="18"/>
          <w:szCs w:val="18"/>
        </w:rPr>
        <w:t>may</w:t>
      </w:r>
      <w:r w:rsidRPr="00ED2501">
        <w:rPr>
          <w:color w:val="231F20"/>
          <w:spacing w:val="-1"/>
          <w:sz w:val="18"/>
          <w:szCs w:val="18"/>
        </w:rPr>
        <w:t xml:space="preserve"> </w:t>
      </w:r>
      <w:r w:rsidRPr="00ED2501">
        <w:rPr>
          <w:color w:val="231F20"/>
          <w:sz w:val="18"/>
          <w:szCs w:val="18"/>
        </w:rPr>
        <w:t>include</w:t>
      </w:r>
      <w:r w:rsidRPr="00ED2501">
        <w:rPr>
          <w:color w:val="231F20"/>
          <w:spacing w:val="-2"/>
          <w:sz w:val="18"/>
          <w:szCs w:val="18"/>
        </w:rPr>
        <w:t xml:space="preserve"> </w:t>
      </w:r>
      <w:r w:rsidRPr="00ED2501">
        <w:rPr>
          <w:color w:val="231F20"/>
          <w:sz w:val="18"/>
          <w:szCs w:val="18"/>
        </w:rPr>
        <w:t>part-time</w:t>
      </w:r>
      <w:r w:rsidRPr="00ED2501">
        <w:rPr>
          <w:color w:val="231F20"/>
          <w:spacing w:val="-1"/>
          <w:sz w:val="18"/>
          <w:szCs w:val="18"/>
        </w:rPr>
        <w:t xml:space="preserve"> </w:t>
      </w:r>
      <w:r w:rsidRPr="00ED2501">
        <w:rPr>
          <w:color w:val="231F20"/>
          <w:spacing w:val="-2"/>
          <w:sz w:val="18"/>
          <w:szCs w:val="18"/>
        </w:rPr>
        <w:t>staff.</w:t>
      </w:r>
    </w:p>
    <w:p w14:paraId="28CB58FD" w14:textId="77777777" w:rsidR="00345EE3" w:rsidRPr="00ED2501" w:rsidRDefault="00345EE3">
      <w:pPr>
        <w:pStyle w:val="ListParagraph"/>
        <w:numPr>
          <w:ilvl w:val="0"/>
          <w:numId w:val="47"/>
        </w:numPr>
        <w:tabs>
          <w:tab w:val="left" w:pos="338"/>
        </w:tabs>
        <w:spacing w:before="27"/>
        <w:ind w:right="201"/>
        <w:rPr>
          <w:sz w:val="18"/>
          <w:szCs w:val="18"/>
        </w:rPr>
      </w:pPr>
      <w:r w:rsidRPr="00ED2501">
        <w:rPr>
          <w:color w:val="231F20"/>
          <w:sz w:val="18"/>
          <w:szCs w:val="18"/>
        </w:rPr>
        <w:t>These figures will not match data in Table 5.37 due to difference in counting rules. This data in this table is counted using the FRD 15 definition whereby an</w:t>
      </w:r>
      <w:r w:rsidRPr="00ED2501">
        <w:rPr>
          <w:color w:val="231F20"/>
          <w:spacing w:val="40"/>
          <w:sz w:val="18"/>
          <w:szCs w:val="18"/>
        </w:rPr>
        <w:t xml:space="preserve"> </w:t>
      </w:r>
      <w:r w:rsidRPr="00ED2501">
        <w:rPr>
          <w:color w:val="231F20"/>
          <w:sz w:val="18"/>
          <w:szCs w:val="18"/>
        </w:rPr>
        <w:t>Executive</w:t>
      </w:r>
      <w:r w:rsidRPr="00ED2501">
        <w:rPr>
          <w:color w:val="231F20"/>
          <w:spacing w:val="-3"/>
          <w:sz w:val="18"/>
          <w:szCs w:val="18"/>
        </w:rPr>
        <w:t xml:space="preserve"> </w:t>
      </w:r>
      <w:r w:rsidRPr="00ED2501">
        <w:rPr>
          <w:color w:val="231F20"/>
          <w:sz w:val="18"/>
          <w:szCs w:val="18"/>
        </w:rPr>
        <w:t>Officer</w:t>
      </w:r>
      <w:r w:rsidRPr="00ED2501">
        <w:rPr>
          <w:color w:val="231F20"/>
          <w:spacing w:val="-3"/>
          <w:sz w:val="18"/>
          <w:szCs w:val="18"/>
        </w:rPr>
        <w:t xml:space="preserve"> </w:t>
      </w:r>
      <w:r w:rsidRPr="00ED2501">
        <w:rPr>
          <w:color w:val="231F20"/>
          <w:sz w:val="18"/>
          <w:szCs w:val="18"/>
        </w:rPr>
        <w:t>is</w:t>
      </w:r>
      <w:r w:rsidRPr="00ED2501">
        <w:rPr>
          <w:color w:val="231F20"/>
          <w:spacing w:val="-3"/>
          <w:sz w:val="18"/>
          <w:szCs w:val="18"/>
        </w:rPr>
        <w:t xml:space="preserve"> </w:t>
      </w:r>
      <w:r w:rsidRPr="00ED2501">
        <w:rPr>
          <w:color w:val="231F20"/>
          <w:sz w:val="18"/>
          <w:szCs w:val="18"/>
        </w:rPr>
        <w:t>someone</w:t>
      </w:r>
      <w:r w:rsidRPr="00ED2501">
        <w:rPr>
          <w:color w:val="231F20"/>
          <w:spacing w:val="-3"/>
          <w:sz w:val="18"/>
          <w:szCs w:val="18"/>
        </w:rPr>
        <w:t xml:space="preserve"> </w:t>
      </w:r>
      <w:r w:rsidRPr="00ED2501">
        <w:rPr>
          <w:color w:val="231F20"/>
          <w:sz w:val="18"/>
          <w:szCs w:val="18"/>
        </w:rPr>
        <w:t>“who</w:t>
      </w:r>
      <w:r w:rsidRPr="00ED2501">
        <w:rPr>
          <w:color w:val="231F20"/>
          <w:spacing w:val="-3"/>
          <w:sz w:val="18"/>
          <w:szCs w:val="18"/>
        </w:rPr>
        <w:t xml:space="preserve"> </w:t>
      </w:r>
      <w:r w:rsidRPr="00ED2501">
        <w:rPr>
          <w:color w:val="231F20"/>
          <w:sz w:val="18"/>
          <w:szCs w:val="18"/>
        </w:rPr>
        <w:t>is</w:t>
      </w:r>
      <w:r w:rsidRPr="00ED2501">
        <w:rPr>
          <w:color w:val="231F20"/>
          <w:spacing w:val="-3"/>
          <w:sz w:val="18"/>
          <w:szCs w:val="18"/>
        </w:rPr>
        <w:t xml:space="preserve"> </w:t>
      </w:r>
      <w:r w:rsidRPr="00ED2501">
        <w:rPr>
          <w:color w:val="231F20"/>
          <w:sz w:val="18"/>
          <w:szCs w:val="18"/>
        </w:rPr>
        <w:t>employed</w:t>
      </w:r>
      <w:r w:rsidRPr="00ED2501">
        <w:rPr>
          <w:color w:val="231F20"/>
          <w:spacing w:val="-3"/>
          <w:sz w:val="18"/>
          <w:szCs w:val="18"/>
        </w:rPr>
        <w:t xml:space="preserve"> </w:t>
      </w:r>
      <w:r w:rsidRPr="00ED2501">
        <w:rPr>
          <w:color w:val="231F20"/>
          <w:sz w:val="18"/>
          <w:szCs w:val="18"/>
        </w:rPr>
        <w:t>as</w:t>
      </w:r>
      <w:r w:rsidRPr="00ED2501">
        <w:rPr>
          <w:color w:val="231F20"/>
          <w:spacing w:val="-3"/>
          <w:sz w:val="18"/>
          <w:szCs w:val="18"/>
        </w:rPr>
        <w:t xml:space="preserve"> </w:t>
      </w:r>
      <w:r w:rsidRPr="00ED2501">
        <w:rPr>
          <w:color w:val="231F20"/>
          <w:sz w:val="18"/>
          <w:szCs w:val="18"/>
        </w:rPr>
        <w:t>an</w:t>
      </w:r>
      <w:r w:rsidRPr="00ED2501">
        <w:rPr>
          <w:color w:val="231F20"/>
          <w:spacing w:val="-3"/>
          <w:sz w:val="18"/>
          <w:szCs w:val="18"/>
        </w:rPr>
        <w:t xml:space="preserve"> </w:t>
      </w:r>
      <w:r w:rsidRPr="00ED2501">
        <w:rPr>
          <w:color w:val="231F20"/>
          <w:sz w:val="18"/>
          <w:szCs w:val="18"/>
        </w:rPr>
        <w:t>executive”</w:t>
      </w:r>
      <w:r w:rsidRPr="00ED2501">
        <w:rPr>
          <w:color w:val="231F20"/>
          <w:spacing w:val="-3"/>
          <w:sz w:val="18"/>
          <w:szCs w:val="18"/>
        </w:rPr>
        <w:t xml:space="preserve"> </w:t>
      </w:r>
      <w:r w:rsidRPr="00ED2501">
        <w:rPr>
          <w:color w:val="231F20"/>
          <w:sz w:val="18"/>
          <w:szCs w:val="18"/>
        </w:rPr>
        <w:t>this</w:t>
      </w:r>
      <w:r w:rsidRPr="00ED2501">
        <w:rPr>
          <w:color w:val="231F20"/>
          <w:spacing w:val="-3"/>
          <w:sz w:val="18"/>
          <w:szCs w:val="18"/>
        </w:rPr>
        <w:t xml:space="preserve"> </w:t>
      </w:r>
      <w:r w:rsidRPr="00ED2501">
        <w:rPr>
          <w:color w:val="231F20"/>
          <w:sz w:val="18"/>
          <w:szCs w:val="18"/>
        </w:rPr>
        <w:t>includes</w:t>
      </w:r>
      <w:r w:rsidRPr="00ED2501">
        <w:rPr>
          <w:color w:val="231F20"/>
          <w:spacing w:val="-3"/>
          <w:sz w:val="18"/>
          <w:szCs w:val="18"/>
        </w:rPr>
        <w:t xml:space="preserve"> </w:t>
      </w:r>
      <w:r w:rsidRPr="00ED2501">
        <w:rPr>
          <w:color w:val="231F20"/>
          <w:sz w:val="18"/>
          <w:szCs w:val="18"/>
        </w:rPr>
        <w:t>all</w:t>
      </w:r>
      <w:r w:rsidRPr="00ED2501">
        <w:rPr>
          <w:color w:val="231F20"/>
          <w:spacing w:val="-3"/>
          <w:sz w:val="18"/>
          <w:szCs w:val="18"/>
        </w:rPr>
        <w:t xml:space="preserve"> </w:t>
      </w:r>
      <w:r w:rsidRPr="00ED2501">
        <w:rPr>
          <w:color w:val="231F20"/>
          <w:sz w:val="18"/>
          <w:szCs w:val="18"/>
        </w:rPr>
        <w:t>employees.</w:t>
      </w:r>
      <w:r w:rsidRPr="00ED2501">
        <w:rPr>
          <w:color w:val="231F20"/>
          <w:spacing w:val="-3"/>
          <w:sz w:val="18"/>
          <w:szCs w:val="18"/>
        </w:rPr>
        <w:t xml:space="preserve"> </w:t>
      </w:r>
      <w:r w:rsidRPr="00ED2501">
        <w:rPr>
          <w:color w:val="231F20"/>
          <w:sz w:val="18"/>
          <w:szCs w:val="18"/>
        </w:rPr>
        <w:t>Table</w:t>
      </w:r>
      <w:r w:rsidRPr="00ED2501">
        <w:rPr>
          <w:color w:val="231F20"/>
          <w:spacing w:val="-3"/>
          <w:sz w:val="18"/>
          <w:szCs w:val="18"/>
        </w:rPr>
        <w:t xml:space="preserve"> </w:t>
      </w:r>
      <w:r w:rsidRPr="00ED2501">
        <w:rPr>
          <w:color w:val="231F20"/>
          <w:sz w:val="18"/>
          <w:szCs w:val="18"/>
        </w:rPr>
        <w:t>5.37</w:t>
      </w:r>
      <w:r w:rsidRPr="00ED2501">
        <w:rPr>
          <w:color w:val="231F20"/>
          <w:spacing w:val="-3"/>
          <w:sz w:val="18"/>
          <w:szCs w:val="18"/>
        </w:rPr>
        <w:t xml:space="preserve"> </w:t>
      </w:r>
      <w:r w:rsidRPr="00ED2501">
        <w:rPr>
          <w:color w:val="231F20"/>
          <w:sz w:val="18"/>
          <w:szCs w:val="18"/>
        </w:rPr>
        <w:t>follows</w:t>
      </w:r>
      <w:r w:rsidRPr="00ED2501">
        <w:rPr>
          <w:color w:val="231F20"/>
          <w:spacing w:val="-3"/>
          <w:sz w:val="18"/>
          <w:szCs w:val="18"/>
        </w:rPr>
        <w:t xml:space="preserve"> </w:t>
      </w:r>
      <w:r w:rsidRPr="00ED2501">
        <w:rPr>
          <w:color w:val="231F20"/>
          <w:sz w:val="18"/>
          <w:szCs w:val="18"/>
        </w:rPr>
        <w:t>the</w:t>
      </w:r>
      <w:r w:rsidRPr="00ED2501">
        <w:rPr>
          <w:color w:val="231F20"/>
          <w:spacing w:val="-3"/>
          <w:sz w:val="18"/>
          <w:szCs w:val="18"/>
        </w:rPr>
        <w:t xml:space="preserve"> </w:t>
      </w:r>
      <w:r w:rsidRPr="00ED2501">
        <w:rPr>
          <w:color w:val="231F20"/>
          <w:sz w:val="18"/>
          <w:szCs w:val="18"/>
        </w:rPr>
        <w:t>FRD</w:t>
      </w:r>
      <w:r w:rsidRPr="00ED2501">
        <w:rPr>
          <w:color w:val="231F20"/>
          <w:spacing w:val="-3"/>
          <w:sz w:val="18"/>
          <w:szCs w:val="18"/>
        </w:rPr>
        <w:t xml:space="preserve"> </w:t>
      </w:r>
      <w:r w:rsidRPr="00ED2501">
        <w:rPr>
          <w:color w:val="231F20"/>
          <w:sz w:val="18"/>
          <w:szCs w:val="18"/>
        </w:rPr>
        <w:t>29</w:t>
      </w:r>
      <w:r w:rsidRPr="00ED2501">
        <w:rPr>
          <w:color w:val="231F20"/>
          <w:spacing w:val="-3"/>
          <w:sz w:val="18"/>
          <w:szCs w:val="18"/>
        </w:rPr>
        <w:t xml:space="preserve"> </w:t>
      </w:r>
      <w:r w:rsidRPr="00ED2501">
        <w:rPr>
          <w:color w:val="231F20"/>
          <w:sz w:val="18"/>
          <w:szCs w:val="18"/>
        </w:rPr>
        <w:t>s.6.1(viii)</w:t>
      </w:r>
      <w:r w:rsidRPr="00ED2501">
        <w:rPr>
          <w:color w:val="231F20"/>
          <w:spacing w:val="-3"/>
          <w:sz w:val="18"/>
          <w:szCs w:val="18"/>
        </w:rPr>
        <w:t xml:space="preserve"> </w:t>
      </w:r>
      <w:r w:rsidRPr="00ED2501">
        <w:rPr>
          <w:color w:val="231F20"/>
          <w:sz w:val="18"/>
          <w:szCs w:val="18"/>
        </w:rPr>
        <w:t>under</w:t>
      </w:r>
      <w:r w:rsidRPr="00ED2501">
        <w:rPr>
          <w:color w:val="231F20"/>
          <w:spacing w:val="-3"/>
          <w:sz w:val="18"/>
          <w:szCs w:val="18"/>
        </w:rPr>
        <w:t xml:space="preserve"> </w:t>
      </w:r>
      <w:r w:rsidRPr="00ED2501">
        <w:rPr>
          <w:color w:val="231F20"/>
          <w:sz w:val="18"/>
          <w:szCs w:val="18"/>
        </w:rPr>
        <w:t>exclusions</w:t>
      </w:r>
      <w:r w:rsidRPr="00ED2501">
        <w:rPr>
          <w:color w:val="231F20"/>
          <w:spacing w:val="-3"/>
          <w:sz w:val="18"/>
          <w:szCs w:val="18"/>
        </w:rPr>
        <w:t xml:space="preserve"> </w:t>
      </w:r>
      <w:r w:rsidRPr="00ED2501">
        <w:rPr>
          <w:color w:val="231F20"/>
          <w:sz w:val="18"/>
          <w:szCs w:val="18"/>
        </w:rPr>
        <w:t>whereby</w:t>
      </w:r>
      <w:r w:rsidRPr="00ED2501">
        <w:rPr>
          <w:color w:val="231F20"/>
          <w:spacing w:val="40"/>
          <w:sz w:val="18"/>
          <w:szCs w:val="18"/>
        </w:rPr>
        <w:t xml:space="preserve"> </w:t>
      </w:r>
      <w:r w:rsidRPr="00ED2501">
        <w:rPr>
          <w:color w:val="231F20"/>
          <w:sz w:val="18"/>
          <w:szCs w:val="18"/>
        </w:rPr>
        <w:t>“Employees seconded to another employer and who are not paid their salary by the entity in the relevant pay period” have been excluded. For the 2021-22</w:t>
      </w:r>
      <w:r w:rsidRPr="00ED2501">
        <w:rPr>
          <w:color w:val="231F20"/>
          <w:spacing w:val="40"/>
          <w:sz w:val="18"/>
          <w:szCs w:val="18"/>
        </w:rPr>
        <w:t xml:space="preserve"> </w:t>
      </w:r>
      <w:r w:rsidRPr="00ED2501">
        <w:rPr>
          <w:color w:val="231F20"/>
          <w:sz w:val="18"/>
          <w:szCs w:val="18"/>
        </w:rPr>
        <w:t>financial year one executive falls under this definition and has not been counted under Table 5.37.</w:t>
      </w:r>
    </w:p>
    <w:p w14:paraId="1C21A7AC" w14:textId="77777777" w:rsidR="00345EE3" w:rsidRPr="00ED2501" w:rsidRDefault="00345EE3">
      <w:pPr>
        <w:pStyle w:val="ListParagraph"/>
        <w:numPr>
          <w:ilvl w:val="0"/>
          <w:numId w:val="47"/>
        </w:numPr>
        <w:tabs>
          <w:tab w:val="left" w:pos="338"/>
        </w:tabs>
        <w:spacing w:before="25"/>
        <w:ind w:right="719"/>
        <w:rPr>
          <w:sz w:val="18"/>
          <w:szCs w:val="18"/>
        </w:rPr>
      </w:pPr>
      <w:r w:rsidRPr="00ED2501">
        <w:rPr>
          <w:color w:val="231F20"/>
          <w:sz w:val="18"/>
          <w:szCs w:val="18"/>
        </w:rPr>
        <w:t>The above information is prepared in accordance with FRD 15 Executive officer disclosures and, in accordance with FRD 22, other relevant information</w:t>
      </w:r>
      <w:r w:rsidRPr="00ED2501">
        <w:rPr>
          <w:color w:val="231F20"/>
          <w:spacing w:val="40"/>
          <w:sz w:val="18"/>
          <w:szCs w:val="18"/>
        </w:rPr>
        <w:t xml:space="preserve"> </w:t>
      </w:r>
      <w:r w:rsidRPr="00ED2501">
        <w:rPr>
          <w:color w:val="231F20"/>
          <w:sz w:val="18"/>
          <w:szCs w:val="18"/>
        </w:rPr>
        <w:t>pertaining to FRD 15 can be made available on request o the relevant Minister, Members of Parliament or the public.</w:t>
      </w:r>
    </w:p>
    <w:p w14:paraId="522A2915" w14:textId="77777777" w:rsidR="00345EE3" w:rsidRDefault="00345EE3" w:rsidP="00345EE3">
      <w:pPr>
        <w:rPr>
          <w:sz w:val="12"/>
          <w:szCs w:val="24"/>
        </w:rPr>
      </w:pPr>
      <w:r>
        <w:rPr>
          <w:sz w:val="12"/>
        </w:rPr>
        <w:br w:type="page"/>
      </w:r>
    </w:p>
    <w:p w14:paraId="3676DBED" w14:textId="77777777" w:rsidR="00345EE3" w:rsidRDefault="00345EE3" w:rsidP="00345EE3">
      <w:pPr>
        <w:ind w:left="110"/>
        <w:rPr>
          <w:rFonts w:ascii="Arial-BoldItalicMT"/>
          <w:b/>
          <w:i/>
          <w:sz w:val="18"/>
        </w:rPr>
      </w:pPr>
      <w:r>
        <w:rPr>
          <w:color w:val="231F20"/>
          <w:sz w:val="18"/>
        </w:rPr>
        <w:t>Table</w:t>
      </w:r>
      <w:r>
        <w:rPr>
          <w:color w:val="231F20"/>
          <w:spacing w:val="-7"/>
          <w:sz w:val="18"/>
        </w:rPr>
        <w:t xml:space="preserve"> </w:t>
      </w:r>
      <w:r>
        <w:rPr>
          <w:color w:val="231F20"/>
          <w:sz w:val="18"/>
        </w:rPr>
        <w:t>5.41:</w:t>
      </w:r>
      <w:r>
        <w:rPr>
          <w:color w:val="231F20"/>
          <w:spacing w:val="-6"/>
          <w:sz w:val="18"/>
        </w:rPr>
        <w:t xml:space="preserve"> </w:t>
      </w:r>
      <w:r>
        <w:rPr>
          <w:rFonts w:ascii="Arial-BoldItalicMT"/>
          <w:b/>
          <w:i/>
          <w:color w:val="231F20"/>
          <w:sz w:val="18"/>
        </w:rPr>
        <w:t>Reconciliation</w:t>
      </w:r>
      <w:r>
        <w:rPr>
          <w:rFonts w:ascii="Arial-BoldItalicMT"/>
          <w:b/>
          <w:i/>
          <w:color w:val="231F20"/>
          <w:spacing w:val="-10"/>
          <w:sz w:val="18"/>
        </w:rPr>
        <w:t xml:space="preserve"> </w:t>
      </w:r>
      <w:r>
        <w:rPr>
          <w:rFonts w:ascii="Arial-BoldItalicMT"/>
          <w:b/>
          <w:i/>
          <w:color w:val="231F20"/>
          <w:sz w:val="18"/>
        </w:rPr>
        <w:t>of</w:t>
      </w:r>
      <w:r>
        <w:rPr>
          <w:rFonts w:ascii="Arial-BoldItalicMT"/>
          <w:b/>
          <w:i/>
          <w:color w:val="231F20"/>
          <w:spacing w:val="-9"/>
          <w:sz w:val="18"/>
        </w:rPr>
        <w:t xml:space="preserve"> </w:t>
      </w:r>
      <w:r>
        <w:rPr>
          <w:rFonts w:ascii="Arial-BoldItalicMT"/>
          <w:b/>
          <w:i/>
          <w:color w:val="231F20"/>
          <w:sz w:val="18"/>
        </w:rPr>
        <w:t>executive</w:t>
      </w:r>
      <w:r>
        <w:rPr>
          <w:rFonts w:ascii="Arial-BoldItalicMT"/>
          <w:b/>
          <w:i/>
          <w:color w:val="231F20"/>
          <w:spacing w:val="-9"/>
          <w:sz w:val="18"/>
        </w:rPr>
        <w:t xml:space="preserve"> </w:t>
      </w:r>
      <w:r>
        <w:rPr>
          <w:rFonts w:ascii="Arial-BoldItalicMT"/>
          <w:b/>
          <w:i/>
          <w:color w:val="231F20"/>
          <w:sz w:val="18"/>
        </w:rPr>
        <w:t>numbers</w:t>
      </w:r>
      <w:r>
        <w:rPr>
          <w:rFonts w:ascii="Arial-BoldItalicMT"/>
          <w:b/>
          <w:i/>
          <w:color w:val="231F20"/>
          <w:spacing w:val="-9"/>
          <w:sz w:val="18"/>
        </w:rPr>
        <w:t xml:space="preserve"> </w:t>
      </w:r>
      <w:r>
        <w:rPr>
          <w:rFonts w:ascii="Arial-BoldItalicMT"/>
          <w:b/>
          <w:i/>
          <w:color w:val="231F20"/>
          <w:sz w:val="18"/>
        </w:rPr>
        <w:t>in</w:t>
      </w:r>
      <w:r>
        <w:rPr>
          <w:rFonts w:ascii="Arial-BoldItalicMT"/>
          <w:b/>
          <w:i/>
          <w:color w:val="231F20"/>
          <w:spacing w:val="-9"/>
          <w:sz w:val="18"/>
        </w:rPr>
        <w:t xml:space="preserve"> </w:t>
      </w:r>
      <w:r>
        <w:rPr>
          <w:rFonts w:ascii="Arial-BoldItalicMT"/>
          <w:b/>
          <w:i/>
          <w:color w:val="231F20"/>
          <w:sz w:val="18"/>
        </w:rPr>
        <w:t>2021</w:t>
      </w:r>
      <w:r>
        <w:rPr>
          <w:rFonts w:ascii="Arial-BoldItalicMT"/>
          <w:b/>
          <w:i/>
          <w:color w:val="231F20"/>
          <w:spacing w:val="-9"/>
          <w:sz w:val="18"/>
        </w:rPr>
        <w:t xml:space="preserve"> </w:t>
      </w:r>
      <w:r>
        <w:rPr>
          <w:rFonts w:ascii="Arial-BoldItalicMT"/>
          <w:b/>
          <w:i/>
          <w:color w:val="231F20"/>
          <w:sz w:val="18"/>
        </w:rPr>
        <w:t>and</w:t>
      </w:r>
      <w:r>
        <w:rPr>
          <w:rFonts w:ascii="Arial-BoldItalicMT"/>
          <w:b/>
          <w:i/>
          <w:color w:val="231F20"/>
          <w:spacing w:val="-9"/>
          <w:sz w:val="18"/>
        </w:rPr>
        <w:t xml:space="preserve"> </w:t>
      </w:r>
      <w:r>
        <w:rPr>
          <w:rFonts w:ascii="Arial-BoldItalicMT"/>
          <w:b/>
          <w:i/>
          <w:color w:val="231F20"/>
          <w:spacing w:val="-4"/>
          <w:sz w:val="18"/>
        </w:rPr>
        <w:t>2022</w:t>
      </w:r>
    </w:p>
    <w:p w14:paraId="08DFF003"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16"/>
        <w:gridCol w:w="7661"/>
        <w:gridCol w:w="964"/>
        <w:gridCol w:w="964"/>
      </w:tblGrid>
      <w:tr w:rsidR="00345EE3" w14:paraId="04B1349B" w14:textId="77777777" w:rsidTr="00D73130">
        <w:trPr>
          <w:trHeight w:val="401"/>
        </w:trPr>
        <w:tc>
          <w:tcPr>
            <w:tcW w:w="9241" w:type="dxa"/>
            <w:gridSpan w:val="3"/>
            <w:tcBorders>
              <w:top w:val="nil"/>
              <w:left w:val="nil"/>
              <w:bottom w:val="nil"/>
              <w:right w:val="nil"/>
            </w:tcBorders>
            <w:shd w:val="clear" w:color="auto" w:fill="00529F"/>
          </w:tcPr>
          <w:p w14:paraId="12075F8F" w14:textId="77777777" w:rsidR="00345EE3" w:rsidRDefault="00345EE3" w:rsidP="00D73130">
            <w:pPr>
              <w:pStyle w:val="TableParagraph"/>
              <w:spacing w:before="63"/>
              <w:ind w:right="3"/>
              <w:rPr>
                <w:b/>
                <w:sz w:val="24"/>
              </w:rPr>
            </w:pPr>
            <w:r>
              <w:rPr>
                <w:b/>
                <w:color w:val="FFFFFF"/>
                <w:spacing w:val="-4"/>
                <w:sz w:val="24"/>
              </w:rPr>
              <w:t>2021</w:t>
            </w:r>
          </w:p>
        </w:tc>
        <w:tc>
          <w:tcPr>
            <w:tcW w:w="964" w:type="dxa"/>
            <w:tcBorders>
              <w:top w:val="nil"/>
              <w:left w:val="nil"/>
              <w:bottom w:val="nil"/>
              <w:right w:val="nil"/>
            </w:tcBorders>
            <w:shd w:val="clear" w:color="auto" w:fill="00529F"/>
          </w:tcPr>
          <w:p w14:paraId="3FE9BAD4" w14:textId="77777777" w:rsidR="00345EE3" w:rsidRDefault="00345EE3" w:rsidP="00D73130">
            <w:pPr>
              <w:pStyle w:val="TableParagraph"/>
              <w:spacing w:before="63"/>
              <w:ind w:right="1"/>
              <w:rPr>
                <w:b/>
                <w:sz w:val="24"/>
              </w:rPr>
            </w:pPr>
            <w:r>
              <w:rPr>
                <w:b/>
                <w:color w:val="FFFFFF"/>
                <w:spacing w:val="-4"/>
                <w:sz w:val="24"/>
              </w:rPr>
              <w:t>2022</w:t>
            </w:r>
          </w:p>
        </w:tc>
      </w:tr>
      <w:tr w:rsidR="00345EE3" w14:paraId="1BEF5EF1" w14:textId="77777777" w:rsidTr="00D73130">
        <w:trPr>
          <w:trHeight w:val="396"/>
        </w:trPr>
        <w:tc>
          <w:tcPr>
            <w:tcW w:w="8277" w:type="dxa"/>
            <w:gridSpan w:val="2"/>
            <w:tcBorders>
              <w:top w:val="nil"/>
              <w:left w:val="nil"/>
            </w:tcBorders>
          </w:tcPr>
          <w:p w14:paraId="1D3BCCC4" w14:textId="77777777" w:rsidR="00345EE3" w:rsidRDefault="00345EE3" w:rsidP="00D73130">
            <w:pPr>
              <w:pStyle w:val="TableParagraph"/>
              <w:ind w:left="734"/>
              <w:jc w:val="left"/>
              <w:rPr>
                <w:sz w:val="24"/>
              </w:rPr>
            </w:pPr>
            <w:r>
              <w:rPr>
                <w:color w:val="231F20"/>
                <w:sz w:val="24"/>
              </w:rPr>
              <w:t>Executives</w:t>
            </w:r>
            <w:r>
              <w:rPr>
                <w:color w:val="231F20"/>
                <w:spacing w:val="-1"/>
                <w:sz w:val="24"/>
              </w:rPr>
              <w:t xml:space="preserve"> </w:t>
            </w:r>
            <w:r>
              <w:rPr>
                <w:color w:val="231F20"/>
                <w:sz w:val="24"/>
              </w:rPr>
              <w:t>(financial</w:t>
            </w:r>
            <w:r>
              <w:rPr>
                <w:color w:val="231F20"/>
                <w:spacing w:val="-1"/>
                <w:sz w:val="24"/>
              </w:rPr>
              <w:t xml:space="preserve"> </w:t>
            </w:r>
            <w:r>
              <w:rPr>
                <w:color w:val="231F20"/>
                <w:sz w:val="24"/>
              </w:rPr>
              <w:t>statement</w:t>
            </w:r>
            <w:r>
              <w:rPr>
                <w:color w:val="231F20"/>
                <w:spacing w:val="-1"/>
                <w:sz w:val="24"/>
              </w:rPr>
              <w:t xml:space="preserve"> </w:t>
            </w:r>
            <w:r>
              <w:rPr>
                <w:color w:val="231F20"/>
                <w:sz w:val="24"/>
              </w:rPr>
              <w:t>Note</w:t>
            </w:r>
            <w:r>
              <w:rPr>
                <w:color w:val="231F20"/>
                <w:spacing w:val="-1"/>
                <w:sz w:val="24"/>
              </w:rPr>
              <w:t xml:space="preserve"> </w:t>
            </w:r>
            <w:r>
              <w:rPr>
                <w:color w:val="231F20"/>
                <w:spacing w:val="-4"/>
                <w:sz w:val="24"/>
              </w:rPr>
              <w:t>9.3)</w:t>
            </w:r>
          </w:p>
        </w:tc>
        <w:tc>
          <w:tcPr>
            <w:tcW w:w="964" w:type="dxa"/>
            <w:tcBorders>
              <w:top w:val="nil"/>
            </w:tcBorders>
          </w:tcPr>
          <w:p w14:paraId="1A2B465C" w14:textId="77777777" w:rsidR="00345EE3" w:rsidRDefault="00345EE3" w:rsidP="00D73130">
            <w:pPr>
              <w:pStyle w:val="TableParagraph"/>
              <w:rPr>
                <w:sz w:val="24"/>
              </w:rPr>
            </w:pPr>
            <w:r>
              <w:rPr>
                <w:color w:val="231F20"/>
                <w:spacing w:val="-5"/>
                <w:sz w:val="24"/>
              </w:rPr>
              <w:t>54</w:t>
            </w:r>
          </w:p>
        </w:tc>
        <w:tc>
          <w:tcPr>
            <w:tcW w:w="964" w:type="dxa"/>
            <w:tcBorders>
              <w:top w:val="nil"/>
              <w:right w:val="nil"/>
            </w:tcBorders>
            <w:shd w:val="clear" w:color="auto" w:fill="E6E7E8"/>
          </w:tcPr>
          <w:p w14:paraId="0936F205" w14:textId="77777777" w:rsidR="00345EE3" w:rsidRDefault="00345EE3" w:rsidP="00D73130">
            <w:pPr>
              <w:pStyle w:val="TableParagraph"/>
              <w:rPr>
                <w:sz w:val="24"/>
              </w:rPr>
            </w:pPr>
            <w:r>
              <w:rPr>
                <w:color w:val="231F20"/>
                <w:spacing w:val="-5"/>
                <w:sz w:val="24"/>
              </w:rPr>
              <w:t>63</w:t>
            </w:r>
          </w:p>
        </w:tc>
      </w:tr>
      <w:tr w:rsidR="00345EE3" w14:paraId="25FB280C" w14:textId="77777777" w:rsidTr="00D73130">
        <w:trPr>
          <w:trHeight w:val="396"/>
        </w:trPr>
        <w:tc>
          <w:tcPr>
            <w:tcW w:w="8277" w:type="dxa"/>
            <w:gridSpan w:val="2"/>
            <w:tcBorders>
              <w:left w:val="nil"/>
            </w:tcBorders>
          </w:tcPr>
          <w:p w14:paraId="491A1513" w14:textId="77777777" w:rsidR="00345EE3" w:rsidRDefault="00345EE3" w:rsidP="00D73130">
            <w:pPr>
              <w:pStyle w:val="TableParagraph"/>
              <w:ind w:left="734"/>
              <w:jc w:val="left"/>
              <w:rPr>
                <w:sz w:val="24"/>
              </w:rPr>
            </w:pPr>
            <w:r>
              <w:rPr>
                <w:color w:val="231F20"/>
                <w:sz w:val="24"/>
              </w:rPr>
              <w:t>Accountable</w:t>
            </w:r>
            <w:r>
              <w:rPr>
                <w:color w:val="231F20"/>
                <w:spacing w:val="-3"/>
                <w:sz w:val="24"/>
              </w:rPr>
              <w:t xml:space="preserve"> </w:t>
            </w:r>
            <w:r>
              <w:rPr>
                <w:color w:val="231F20"/>
                <w:sz w:val="24"/>
              </w:rPr>
              <w:t>Officer</w:t>
            </w:r>
            <w:r>
              <w:rPr>
                <w:color w:val="231F20"/>
                <w:spacing w:val="-2"/>
                <w:sz w:val="24"/>
              </w:rPr>
              <w:t xml:space="preserve"> </w:t>
            </w:r>
            <w:r>
              <w:rPr>
                <w:color w:val="231F20"/>
                <w:sz w:val="24"/>
              </w:rPr>
              <w:t>(Chief</w:t>
            </w:r>
            <w:r>
              <w:rPr>
                <w:color w:val="231F20"/>
                <w:spacing w:val="-3"/>
                <w:sz w:val="24"/>
              </w:rPr>
              <w:t xml:space="preserve"> </w:t>
            </w:r>
            <w:r>
              <w:rPr>
                <w:color w:val="231F20"/>
                <w:sz w:val="24"/>
              </w:rPr>
              <w:t>Commissioner</w:t>
            </w:r>
            <w:r>
              <w:rPr>
                <w:color w:val="231F20"/>
                <w:spacing w:val="-3"/>
                <w:sz w:val="24"/>
              </w:rPr>
              <w:t xml:space="preserve"> </w:t>
            </w:r>
            <w:r>
              <w:rPr>
                <w:color w:val="231F20"/>
                <w:sz w:val="24"/>
              </w:rPr>
              <w:t>of</w:t>
            </w:r>
            <w:r>
              <w:rPr>
                <w:color w:val="231F20"/>
                <w:spacing w:val="-3"/>
                <w:sz w:val="24"/>
              </w:rPr>
              <w:t xml:space="preserve"> </w:t>
            </w:r>
            <w:r>
              <w:rPr>
                <w:color w:val="231F20"/>
                <w:spacing w:val="-2"/>
                <w:sz w:val="24"/>
              </w:rPr>
              <w:t>Police)</w:t>
            </w:r>
          </w:p>
        </w:tc>
        <w:tc>
          <w:tcPr>
            <w:tcW w:w="964" w:type="dxa"/>
          </w:tcPr>
          <w:p w14:paraId="08A7455C" w14:textId="77777777" w:rsidR="00345EE3" w:rsidRDefault="00345EE3" w:rsidP="00D73130">
            <w:pPr>
              <w:pStyle w:val="TableParagraph"/>
              <w:ind w:right="-15"/>
              <w:rPr>
                <w:sz w:val="24"/>
              </w:rPr>
            </w:pPr>
            <w:r>
              <w:rPr>
                <w:color w:val="231F20"/>
                <w:sz w:val="24"/>
              </w:rPr>
              <w:t>1</w:t>
            </w:r>
          </w:p>
        </w:tc>
        <w:tc>
          <w:tcPr>
            <w:tcW w:w="964" w:type="dxa"/>
            <w:tcBorders>
              <w:right w:val="nil"/>
            </w:tcBorders>
            <w:shd w:val="clear" w:color="auto" w:fill="E6E7E8"/>
          </w:tcPr>
          <w:p w14:paraId="141C8A87" w14:textId="77777777" w:rsidR="00345EE3" w:rsidRDefault="00345EE3" w:rsidP="00D73130">
            <w:pPr>
              <w:pStyle w:val="TableParagraph"/>
              <w:ind w:right="-15"/>
              <w:rPr>
                <w:sz w:val="24"/>
              </w:rPr>
            </w:pPr>
            <w:r>
              <w:rPr>
                <w:color w:val="231F20"/>
                <w:sz w:val="24"/>
              </w:rPr>
              <w:t>1</w:t>
            </w:r>
          </w:p>
        </w:tc>
      </w:tr>
      <w:tr w:rsidR="00345EE3" w14:paraId="33BFFCC2" w14:textId="77777777" w:rsidTr="00D73130">
        <w:trPr>
          <w:trHeight w:val="396"/>
        </w:trPr>
        <w:tc>
          <w:tcPr>
            <w:tcW w:w="616" w:type="dxa"/>
            <w:tcBorders>
              <w:left w:val="nil"/>
              <w:right w:val="nil"/>
            </w:tcBorders>
          </w:tcPr>
          <w:p w14:paraId="2F3C2762" w14:textId="77777777" w:rsidR="00345EE3" w:rsidRDefault="00345EE3" w:rsidP="00D73130">
            <w:pPr>
              <w:pStyle w:val="TableParagraph"/>
              <w:jc w:val="left"/>
              <w:rPr>
                <w:i/>
                <w:sz w:val="24"/>
              </w:rPr>
            </w:pPr>
            <w:r>
              <w:rPr>
                <w:i/>
                <w:color w:val="231F20"/>
                <w:spacing w:val="-4"/>
                <w:sz w:val="24"/>
              </w:rPr>
              <w:t>Less</w:t>
            </w:r>
          </w:p>
        </w:tc>
        <w:tc>
          <w:tcPr>
            <w:tcW w:w="7661" w:type="dxa"/>
            <w:tcBorders>
              <w:left w:val="nil"/>
            </w:tcBorders>
          </w:tcPr>
          <w:p w14:paraId="31BF97F8" w14:textId="77777777" w:rsidR="00345EE3" w:rsidRDefault="00345EE3" w:rsidP="00D73130">
            <w:pPr>
              <w:pStyle w:val="TableParagraph"/>
              <w:ind w:left="118"/>
              <w:jc w:val="left"/>
              <w:rPr>
                <w:sz w:val="24"/>
              </w:rPr>
            </w:pPr>
            <w:r>
              <w:rPr>
                <w:color w:val="231F20"/>
                <w:spacing w:val="-2"/>
                <w:sz w:val="24"/>
              </w:rPr>
              <w:t>Separations</w:t>
            </w:r>
          </w:p>
        </w:tc>
        <w:tc>
          <w:tcPr>
            <w:tcW w:w="964" w:type="dxa"/>
          </w:tcPr>
          <w:p w14:paraId="1E35D5DE" w14:textId="77777777" w:rsidR="00345EE3" w:rsidRDefault="00345EE3" w:rsidP="00D73130">
            <w:pPr>
              <w:pStyle w:val="TableParagraph"/>
              <w:ind w:right="-15"/>
              <w:rPr>
                <w:sz w:val="24"/>
              </w:rPr>
            </w:pPr>
            <w:r>
              <w:rPr>
                <w:color w:val="231F20"/>
                <w:sz w:val="24"/>
              </w:rPr>
              <w:t>5</w:t>
            </w:r>
          </w:p>
        </w:tc>
        <w:tc>
          <w:tcPr>
            <w:tcW w:w="964" w:type="dxa"/>
            <w:tcBorders>
              <w:right w:val="nil"/>
            </w:tcBorders>
            <w:shd w:val="clear" w:color="auto" w:fill="E6E7E8"/>
          </w:tcPr>
          <w:p w14:paraId="125A7826" w14:textId="77777777" w:rsidR="00345EE3" w:rsidRDefault="00345EE3" w:rsidP="00D73130">
            <w:pPr>
              <w:pStyle w:val="TableParagraph"/>
              <w:ind w:right="-15"/>
              <w:rPr>
                <w:sz w:val="24"/>
              </w:rPr>
            </w:pPr>
            <w:r>
              <w:rPr>
                <w:color w:val="231F20"/>
                <w:spacing w:val="-5"/>
                <w:sz w:val="24"/>
              </w:rPr>
              <w:t>10</w:t>
            </w:r>
          </w:p>
        </w:tc>
      </w:tr>
      <w:tr w:rsidR="00345EE3" w14:paraId="7D942AE5" w14:textId="77777777" w:rsidTr="00D73130">
        <w:trPr>
          <w:trHeight w:val="391"/>
        </w:trPr>
        <w:tc>
          <w:tcPr>
            <w:tcW w:w="8277" w:type="dxa"/>
            <w:gridSpan w:val="2"/>
            <w:tcBorders>
              <w:left w:val="nil"/>
              <w:bottom w:val="single" w:sz="6" w:space="0" w:color="231F20"/>
            </w:tcBorders>
          </w:tcPr>
          <w:p w14:paraId="675065BB" w14:textId="77777777" w:rsidR="00345EE3" w:rsidRDefault="00345EE3" w:rsidP="00D73130">
            <w:pPr>
              <w:pStyle w:val="TableParagraph"/>
              <w:ind w:left="734"/>
              <w:jc w:val="left"/>
              <w:rPr>
                <w:b/>
                <w:sz w:val="24"/>
              </w:rPr>
            </w:pPr>
            <w:r>
              <w:rPr>
                <w:b/>
                <w:color w:val="231F20"/>
                <w:sz w:val="24"/>
              </w:rPr>
              <w:t>Total</w:t>
            </w:r>
            <w:r>
              <w:rPr>
                <w:b/>
                <w:color w:val="231F20"/>
                <w:spacing w:val="-8"/>
                <w:sz w:val="24"/>
              </w:rPr>
              <w:t xml:space="preserve"> </w:t>
            </w:r>
            <w:r>
              <w:rPr>
                <w:b/>
                <w:color w:val="231F20"/>
                <w:sz w:val="24"/>
              </w:rPr>
              <w:t>executive</w:t>
            </w:r>
            <w:r>
              <w:rPr>
                <w:b/>
                <w:color w:val="231F20"/>
                <w:spacing w:val="-7"/>
                <w:sz w:val="24"/>
              </w:rPr>
              <w:t xml:space="preserve"> </w:t>
            </w:r>
            <w:r>
              <w:rPr>
                <w:b/>
                <w:color w:val="231F20"/>
                <w:sz w:val="24"/>
              </w:rPr>
              <w:t>numbers</w:t>
            </w:r>
            <w:r>
              <w:rPr>
                <w:b/>
                <w:color w:val="231F20"/>
                <w:spacing w:val="-5"/>
                <w:sz w:val="24"/>
              </w:rPr>
              <w:t xml:space="preserve"> </w:t>
            </w:r>
            <w:r>
              <w:rPr>
                <w:b/>
                <w:color w:val="231F20"/>
                <w:sz w:val="24"/>
              </w:rPr>
              <w:t>at</w:t>
            </w:r>
            <w:r>
              <w:rPr>
                <w:b/>
                <w:color w:val="231F20"/>
                <w:spacing w:val="-7"/>
                <w:sz w:val="24"/>
              </w:rPr>
              <w:t xml:space="preserve"> </w:t>
            </w:r>
            <w:r>
              <w:rPr>
                <w:b/>
                <w:color w:val="231F20"/>
                <w:sz w:val="24"/>
              </w:rPr>
              <w:t>30</w:t>
            </w:r>
            <w:r>
              <w:rPr>
                <w:b/>
                <w:color w:val="231F20"/>
                <w:spacing w:val="-6"/>
                <w:sz w:val="24"/>
              </w:rPr>
              <w:t xml:space="preserve"> </w:t>
            </w:r>
            <w:r>
              <w:rPr>
                <w:b/>
                <w:color w:val="231F20"/>
                <w:spacing w:val="-4"/>
                <w:sz w:val="24"/>
              </w:rPr>
              <w:t>June</w:t>
            </w:r>
          </w:p>
        </w:tc>
        <w:tc>
          <w:tcPr>
            <w:tcW w:w="964" w:type="dxa"/>
            <w:tcBorders>
              <w:bottom w:val="single" w:sz="6" w:space="0" w:color="231F20"/>
            </w:tcBorders>
          </w:tcPr>
          <w:p w14:paraId="125BAD2C" w14:textId="77777777" w:rsidR="00345EE3" w:rsidRDefault="00345EE3" w:rsidP="00D73130">
            <w:pPr>
              <w:pStyle w:val="TableParagraph"/>
              <w:rPr>
                <w:b/>
                <w:sz w:val="24"/>
              </w:rPr>
            </w:pPr>
            <w:r>
              <w:rPr>
                <w:b/>
                <w:color w:val="231F20"/>
                <w:spacing w:val="-5"/>
                <w:sz w:val="24"/>
              </w:rPr>
              <w:t>50</w:t>
            </w:r>
          </w:p>
        </w:tc>
        <w:tc>
          <w:tcPr>
            <w:tcW w:w="964" w:type="dxa"/>
            <w:tcBorders>
              <w:bottom w:val="single" w:sz="6" w:space="0" w:color="231F20"/>
              <w:right w:val="nil"/>
            </w:tcBorders>
            <w:shd w:val="clear" w:color="auto" w:fill="E6E7E8"/>
          </w:tcPr>
          <w:p w14:paraId="620F3C96" w14:textId="77777777" w:rsidR="00345EE3" w:rsidRDefault="00345EE3" w:rsidP="00D73130">
            <w:pPr>
              <w:pStyle w:val="TableParagraph"/>
              <w:ind w:right="-15"/>
              <w:rPr>
                <w:b/>
                <w:sz w:val="24"/>
              </w:rPr>
            </w:pPr>
            <w:r>
              <w:rPr>
                <w:b/>
                <w:color w:val="231F20"/>
                <w:spacing w:val="-5"/>
                <w:sz w:val="24"/>
              </w:rPr>
              <w:t>54</w:t>
            </w:r>
          </w:p>
        </w:tc>
      </w:tr>
    </w:tbl>
    <w:p w14:paraId="383E7C51" w14:textId="77777777" w:rsidR="00345EE3" w:rsidRPr="00ED2501" w:rsidRDefault="00345EE3" w:rsidP="00345EE3">
      <w:pPr>
        <w:spacing w:before="72"/>
        <w:ind w:left="110"/>
        <w:rPr>
          <w:sz w:val="18"/>
          <w:szCs w:val="18"/>
        </w:rPr>
      </w:pPr>
      <w:r w:rsidRPr="00ED2501">
        <w:rPr>
          <w:rFonts w:ascii="Arial-BoldItalicMT"/>
          <w:b/>
          <w:i/>
          <w:color w:val="231F20"/>
          <w:sz w:val="18"/>
          <w:szCs w:val="18"/>
        </w:rPr>
        <w:t>Source:</w:t>
      </w:r>
      <w:r w:rsidRPr="00ED2501">
        <w:rPr>
          <w:rFonts w:ascii="Arial-BoldItalicMT"/>
          <w:b/>
          <w:i/>
          <w:color w:val="231F20"/>
          <w:spacing w:val="-2"/>
          <w:sz w:val="18"/>
          <w:szCs w:val="18"/>
        </w:rPr>
        <w:t xml:space="preserve"> </w:t>
      </w:r>
      <w:r w:rsidRPr="00ED2501">
        <w:rPr>
          <w:color w:val="231F20"/>
          <w:sz w:val="18"/>
          <w:szCs w:val="18"/>
        </w:rPr>
        <w:t>Human Resources</w:t>
      </w:r>
      <w:r w:rsidRPr="00ED2501">
        <w:rPr>
          <w:color w:val="231F20"/>
          <w:spacing w:val="-1"/>
          <w:sz w:val="18"/>
          <w:szCs w:val="18"/>
        </w:rPr>
        <w:t xml:space="preserve"> </w:t>
      </w:r>
      <w:r w:rsidRPr="00ED2501">
        <w:rPr>
          <w:color w:val="231F20"/>
          <w:sz w:val="18"/>
          <w:szCs w:val="18"/>
        </w:rPr>
        <w:t>Command. Data</w:t>
      </w:r>
      <w:r w:rsidRPr="00ED2501">
        <w:rPr>
          <w:color w:val="231F20"/>
          <w:spacing w:val="-1"/>
          <w:sz w:val="18"/>
          <w:szCs w:val="18"/>
        </w:rPr>
        <w:t xml:space="preserve"> </w:t>
      </w:r>
      <w:r w:rsidRPr="00ED2501">
        <w:rPr>
          <w:color w:val="231F20"/>
          <w:sz w:val="18"/>
          <w:szCs w:val="18"/>
        </w:rPr>
        <w:t>extracted from</w:t>
      </w:r>
      <w:r w:rsidRPr="00ED2501">
        <w:rPr>
          <w:color w:val="231F20"/>
          <w:spacing w:val="-1"/>
          <w:sz w:val="18"/>
          <w:szCs w:val="18"/>
        </w:rPr>
        <w:t xml:space="preserve"> </w:t>
      </w:r>
      <w:r w:rsidRPr="00ED2501">
        <w:rPr>
          <w:color w:val="231F20"/>
          <w:sz w:val="18"/>
          <w:szCs w:val="18"/>
        </w:rPr>
        <w:t>HR Assist</w:t>
      </w:r>
      <w:r w:rsidRPr="00ED2501">
        <w:rPr>
          <w:color w:val="231F20"/>
          <w:spacing w:val="-1"/>
          <w:sz w:val="18"/>
          <w:szCs w:val="18"/>
        </w:rPr>
        <w:t xml:space="preserve"> </w:t>
      </w:r>
      <w:r w:rsidRPr="00ED2501">
        <w:rPr>
          <w:color w:val="231F20"/>
          <w:sz w:val="18"/>
          <w:szCs w:val="18"/>
        </w:rPr>
        <w:t>at 18</w:t>
      </w:r>
      <w:r w:rsidRPr="00ED2501">
        <w:rPr>
          <w:color w:val="231F20"/>
          <w:spacing w:val="-1"/>
          <w:sz w:val="18"/>
          <w:szCs w:val="18"/>
        </w:rPr>
        <w:t xml:space="preserve"> </w:t>
      </w:r>
      <w:r w:rsidRPr="00ED2501">
        <w:rPr>
          <w:color w:val="231F20"/>
          <w:sz w:val="18"/>
          <w:szCs w:val="18"/>
        </w:rPr>
        <w:t xml:space="preserve">June </w:t>
      </w:r>
      <w:r w:rsidRPr="00ED2501">
        <w:rPr>
          <w:color w:val="231F20"/>
          <w:spacing w:val="-2"/>
          <w:sz w:val="18"/>
          <w:szCs w:val="18"/>
        </w:rPr>
        <w:t>2022.</w:t>
      </w:r>
    </w:p>
    <w:p w14:paraId="50340345" w14:textId="77777777" w:rsidR="00345EE3" w:rsidRPr="00ED2501" w:rsidRDefault="00345EE3" w:rsidP="00345EE3">
      <w:pPr>
        <w:spacing w:before="27"/>
        <w:ind w:left="110"/>
        <w:rPr>
          <w:rFonts w:ascii="Arial-BoldItalicMT"/>
          <w:b/>
          <w:i/>
          <w:sz w:val="18"/>
          <w:szCs w:val="18"/>
        </w:rPr>
      </w:pPr>
      <w:r w:rsidRPr="00ED2501">
        <w:rPr>
          <w:rFonts w:ascii="Arial-BoldItalicMT"/>
          <w:b/>
          <w:i/>
          <w:color w:val="231F20"/>
          <w:spacing w:val="-2"/>
          <w:sz w:val="18"/>
          <w:szCs w:val="18"/>
        </w:rPr>
        <w:t>Notes:</w:t>
      </w:r>
    </w:p>
    <w:p w14:paraId="766E51B8" w14:textId="77777777" w:rsidR="00345EE3" w:rsidRPr="00ED2501" w:rsidRDefault="00345EE3">
      <w:pPr>
        <w:pStyle w:val="ListParagraph"/>
        <w:numPr>
          <w:ilvl w:val="0"/>
          <w:numId w:val="46"/>
        </w:numPr>
        <w:tabs>
          <w:tab w:val="left" w:pos="375"/>
        </w:tabs>
        <w:spacing w:before="28"/>
        <w:rPr>
          <w:sz w:val="18"/>
          <w:szCs w:val="18"/>
        </w:rPr>
      </w:pPr>
      <w:r w:rsidRPr="00ED2501">
        <w:rPr>
          <w:color w:val="231F20"/>
          <w:sz w:val="18"/>
          <w:szCs w:val="18"/>
        </w:rPr>
        <w:t>Table</w:t>
      </w:r>
      <w:r w:rsidRPr="00ED2501">
        <w:rPr>
          <w:color w:val="231F20"/>
          <w:spacing w:val="-2"/>
          <w:sz w:val="18"/>
          <w:szCs w:val="18"/>
        </w:rPr>
        <w:t xml:space="preserve"> </w:t>
      </w:r>
      <w:r w:rsidRPr="00ED2501">
        <w:rPr>
          <w:color w:val="231F20"/>
          <w:sz w:val="18"/>
          <w:szCs w:val="18"/>
        </w:rPr>
        <w:t>has</w:t>
      </w:r>
      <w:r w:rsidRPr="00ED2501">
        <w:rPr>
          <w:color w:val="231F20"/>
          <w:spacing w:val="-1"/>
          <w:sz w:val="18"/>
          <w:szCs w:val="18"/>
        </w:rPr>
        <w:t xml:space="preserve"> </w:t>
      </w:r>
      <w:r w:rsidRPr="00ED2501">
        <w:rPr>
          <w:color w:val="231F20"/>
          <w:sz w:val="18"/>
          <w:szCs w:val="18"/>
        </w:rPr>
        <w:t>been</w:t>
      </w:r>
      <w:r w:rsidRPr="00ED2501">
        <w:rPr>
          <w:color w:val="231F20"/>
          <w:spacing w:val="-1"/>
          <w:sz w:val="18"/>
          <w:szCs w:val="18"/>
        </w:rPr>
        <w:t xml:space="preserve"> </w:t>
      </w:r>
      <w:r w:rsidRPr="00ED2501">
        <w:rPr>
          <w:color w:val="231F20"/>
          <w:sz w:val="18"/>
          <w:szCs w:val="18"/>
        </w:rPr>
        <w:t>prepared</w:t>
      </w:r>
      <w:r w:rsidRPr="00ED2501">
        <w:rPr>
          <w:color w:val="231F20"/>
          <w:spacing w:val="-1"/>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accordance</w:t>
      </w:r>
      <w:r w:rsidRPr="00ED2501">
        <w:rPr>
          <w:color w:val="231F20"/>
          <w:spacing w:val="-2"/>
          <w:sz w:val="18"/>
          <w:szCs w:val="18"/>
        </w:rPr>
        <w:t xml:space="preserve"> </w:t>
      </w:r>
      <w:r w:rsidRPr="00ED2501">
        <w:rPr>
          <w:color w:val="231F20"/>
          <w:sz w:val="18"/>
          <w:szCs w:val="18"/>
        </w:rPr>
        <w:t>with</w:t>
      </w:r>
      <w:r w:rsidRPr="00ED2501">
        <w:rPr>
          <w:color w:val="231F20"/>
          <w:spacing w:val="-1"/>
          <w:sz w:val="18"/>
          <w:szCs w:val="18"/>
        </w:rPr>
        <w:t xml:space="preserve"> </w:t>
      </w:r>
      <w:r w:rsidRPr="00ED2501">
        <w:rPr>
          <w:color w:val="231F20"/>
          <w:sz w:val="18"/>
          <w:szCs w:val="18"/>
        </w:rPr>
        <w:t>FRD</w:t>
      </w:r>
      <w:r w:rsidRPr="00ED2501">
        <w:rPr>
          <w:color w:val="231F20"/>
          <w:spacing w:val="-1"/>
          <w:sz w:val="18"/>
          <w:szCs w:val="18"/>
        </w:rPr>
        <w:t xml:space="preserve"> </w:t>
      </w:r>
      <w:r w:rsidRPr="00ED2501">
        <w:rPr>
          <w:color w:val="231F20"/>
          <w:sz w:val="18"/>
          <w:szCs w:val="18"/>
        </w:rPr>
        <w:t>15</w:t>
      </w:r>
      <w:r w:rsidRPr="00ED2501">
        <w:rPr>
          <w:color w:val="231F20"/>
          <w:spacing w:val="-1"/>
          <w:sz w:val="18"/>
          <w:szCs w:val="18"/>
        </w:rPr>
        <w:t xml:space="preserve"> </w:t>
      </w:r>
      <w:r w:rsidRPr="00ED2501">
        <w:rPr>
          <w:color w:val="231F20"/>
          <w:sz w:val="18"/>
          <w:szCs w:val="18"/>
        </w:rPr>
        <w:t>Executive</w:t>
      </w:r>
      <w:r w:rsidRPr="00ED2501">
        <w:rPr>
          <w:color w:val="231F20"/>
          <w:spacing w:val="-1"/>
          <w:sz w:val="18"/>
          <w:szCs w:val="18"/>
        </w:rPr>
        <w:t xml:space="preserve"> </w:t>
      </w:r>
      <w:r w:rsidRPr="00ED2501">
        <w:rPr>
          <w:color w:val="231F20"/>
          <w:sz w:val="18"/>
          <w:szCs w:val="18"/>
        </w:rPr>
        <w:t>officer</w:t>
      </w:r>
      <w:r w:rsidRPr="00ED2501">
        <w:rPr>
          <w:color w:val="231F20"/>
          <w:spacing w:val="-1"/>
          <w:sz w:val="18"/>
          <w:szCs w:val="18"/>
        </w:rPr>
        <w:t xml:space="preserve"> </w:t>
      </w:r>
      <w:r w:rsidRPr="00ED2501">
        <w:rPr>
          <w:color w:val="231F20"/>
          <w:sz w:val="18"/>
          <w:szCs w:val="18"/>
        </w:rPr>
        <w:t>disclosures</w:t>
      </w:r>
      <w:r w:rsidRPr="00ED2501">
        <w:rPr>
          <w:color w:val="231F20"/>
          <w:spacing w:val="-2"/>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29C</w:t>
      </w:r>
      <w:r w:rsidRPr="00ED2501">
        <w:rPr>
          <w:color w:val="231F20"/>
          <w:spacing w:val="-1"/>
          <w:sz w:val="18"/>
          <w:szCs w:val="18"/>
        </w:rPr>
        <w:t xml:space="preserve"> </w:t>
      </w:r>
      <w:r w:rsidRPr="00ED2501">
        <w:rPr>
          <w:color w:val="231F20"/>
          <w:sz w:val="18"/>
          <w:szCs w:val="18"/>
        </w:rPr>
        <w:t>Workforce</w:t>
      </w:r>
      <w:r w:rsidRPr="00ED2501">
        <w:rPr>
          <w:color w:val="231F20"/>
          <w:spacing w:val="-1"/>
          <w:sz w:val="18"/>
          <w:szCs w:val="18"/>
        </w:rPr>
        <w:t xml:space="preserve"> </w:t>
      </w:r>
      <w:r w:rsidRPr="00ED2501">
        <w:rPr>
          <w:color w:val="231F20"/>
          <w:sz w:val="18"/>
          <w:szCs w:val="18"/>
        </w:rPr>
        <w:t>Data</w:t>
      </w:r>
      <w:r w:rsidRPr="00ED2501">
        <w:rPr>
          <w:color w:val="231F20"/>
          <w:spacing w:val="-1"/>
          <w:sz w:val="18"/>
          <w:szCs w:val="18"/>
        </w:rPr>
        <w:t xml:space="preserve"> </w:t>
      </w:r>
      <w:r w:rsidRPr="00ED2501">
        <w:rPr>
          <w:color w:val="231F20"/>
          <w:sz w:val="18"/>
          <w:szCs w:val="18"/>
        </w:rPr>
        <w:t>disclosure</w:t>
      </w:r>
      <w:r w:rsidRPr="00ED2501">
        <w:rPr>
          <w:color w:val="231F20"/>
          <w:spacing w:val="-1"/>
          <w:sz w:val="18"/>
          <w:szCs w:val="18"/>
        </w:rPr>
        <w:t xml:space="preserve"> </w:t>
      </w:r>
      <w:r w:rsidRPr="00ED2501">
        <w:rPr>
          <w:color w:val="231F20"/>
          <w:spacing w:val="-2"/>
          <w:sz w:val="18"/>
          <w:szCs w:val="18"/>
        </w:rPr>
        <w:t>requirements</w:t>
      </w:r>
    </w:p>
    <w:p w14:paraId="0141F004" w14:textId="77777777" w:rsidR="00345EE3" w:rsidRPr="00ED2501" w:rsidRDefault="00345EE3">
      <w:pPr>
        <w:pStyle w:val="ListParagraph"/>
        <w:numPr>
          <w:ilvl w:val="0"/>
          <w:numId w:val="46"/>
        </w:numPr>
        <w:tabs>
          <w:tab w:val="left" w:pos="338"/>
        </w:tabs>
        <w:spacing w:before="27"/>
        <w:ind w:left="337" w:hanging="228"/>
        <w:rPr>
          <w:sz w:val="18"/>
          <w:szCs w:val="18"/>
        </w:rPr>
      </w:pPr>
      <w:r w:rsidRPr="00ED2501">
        <w:rPr>
          <w:color w:val="231F20"/>
          <w:sz w:val="18"/>
          <w:szCs w:val="18"/>
        </w:rPr>
        <w:t>‘Executives’</w:t>
      </w:r>
      <w:r w:rsidRPr="00ED2501">
        <w:rPr>
          <w:color w:val="231F20"/>
          <w:spacing w:val="-1"/>
          <w:sz w:val="18"/>
          <w:szCs w:val="18"/>
        </w:rPr>
        <w:t xml:space="preserve"> </w:t>
      </w:r>
      <w:r w:rsidRPr="00ED2501">
        <w:rPr>
          <w:color w:val="231F20"/>
          <w:sz w:val="18"/>
          <w:szCs w:val="18"/>
        </w:rPr>
        <w:t>includes</w:t>
      </w:r>
      <w:r w:rsidRPr="00ED2501">
        <w:rPr>
          <w:color w:val="231F20"/>
          <w:spacing w:val="-1"/>
          <w:sz w:val="18"/>
          <w:szCs w:val="18"/>
        </w:rPr>
        <w:t xml:space="preserve"> </w:t>
      </w:r>
      <w:r w:rsidRPr="00ED2501">
        <w:rPr>
          <w:color w:val="231F20"/>
          <w:sz w:val="18"/>
          <w:szCs w:val="18"/>
        </w:rPr>
        <w:t>only</w:t>
      </w:r>
      <w:r w:rsidRPr="00ED2501">
        <w:rPr>
          <w:color w:val="231F20"/>
          <w:spacing w:val="-1"/>
          <w:sz w:val="18"/>
          <w:szCs w:val="18"/>
        </w:rPr>
        <w:t xml:space="preserve"> </w:t>
      </w:r>
      <w:r w:rsidRPr="00ED2501">
        <w:rPr>
          <w:color w:val="231F20"/>
          <w:sz w:val="18"/>
          <w:szCs w:val="18"/>
        </w:rPr>
        <w:t>Victoria Police</w:t>
      </w:r>
      <w:r w:rsidRPr="00ED2501">
        <w:rPr>
          <w:color w:val="231F20"/>
          <w:spacing w:val="-1"/>
          <w:sz w:val="18"/>
          <w:szCs w:val="18"/>
        </w:rPr>
        <w:t xml:space="preserve"> </w:t>
      </w:r>
      <w:r w:rsidRPr="00ED2501">
        <w:rPr>
          <w:color w:val="231F20"/>
          <w:sz w:val="18"/>
          <w:szCs w:val="18"/>
        </w:rPr>
        <w:t>SES</w:t>
      </w:r>
      <w:r w:rsidRPr="00ED2501">
        <w:rPr>
          <w:color w:val="231F20"/>
          <w:spacing w:val="-1"/>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 xml:space="preserve">Assistant </w:t>
      </w:r>
      <w:r w:rsidRPr="00ED2501">
        <w:rPr>
          <w:color w:val="231F20"/>
          <w:spacing w:val="-2"/>
          <w:sz w:val="18"/>
          <w:szCs w:val="18"/>
        </w:rPr>
        <w:t>Commissioners.</w:t>
      </w:r>
    </w:p>
    <w:p w14:paraId="59A179C8" w14:textId="77777777" w:rsidR="00345EE3" w:rsidRPr="00ED2501" w:rsidRDefault="00345EE3">
      <w:pPr>
        <w:pStyle w:val="ListParagraph"/>
        <w:numPr>
          <w:ilvl w:val="0"/>
          <w:numId w:val="46"/>
        </w:numPr>
        <w:tabs>
          <w:tab w:val="left" w:pos="338"/>
        </w:tabs>
        <w:spacing w:before="27"/>
        <w:ind w:left="337" w:hanging="228"/>
        <w:rPr>
          <w:sz w:val="18"/>
          <w:szCs w:val="18"/>
        </w:rPr>
      </w:pPr>
      <w:r w:rsidRPr="00ED2501">
        <w:rPr>
          <w:color w:val="231F20"/>
          <w:sz w:val="18"/>
          <w:szCs w:val="18"/>
        </w:rPr>
        <w:t>Lists</w:t>
      </w:r>
      <w:r w:rsidRPr="00ED2501">
        <w:rPr>
          <w:color w:val="231F20"/>
          <w:spacing w:val="-3"/>
          <w:sz w:val="18"/>
          <w:szCs w:val="18"/>
        </w:rPr>
        <w:t xml:space="preserve"> </w:t>
      </w:r>
      <w:r w:rsidRPr="00ED2501">
        <w:rPr>
          <w:color w:val="231F20"/>
          <w:sz w:val="18"/>
          <w:szCs w:val="18"/>
        </w:rPr>
        <w:t>total</w:t>
      </w:r>
      <w:r w:rsidRPr="00ED2501">
        <w:rPr>
          <w:color w:val="231F20"/>
          <w:spacing w:val="-3"/>
          <w:sz w:val="18"/>
          <w:szCs w:val="18"/>
        </w:rPr>
        <w:t xml:space="preserve"> </w:t>
      </w:r>
      <w:r w:rsidRPr="00ED2501">
        <w:rPr>
          <w:color w:val="231F20"/>
          <w:sz w:val="18"/>
          <w:szCs w:val="18"/>
        </w:rPr>
        <w:t>executive</w:t>
      </w:r>
      <w:r w:rsidRPr="00ED2501">
        <w:rPr>
          <w:color w:val="231F20"/>
          <w:spacing w:val="-3"/>
          <w:sz w:val="18"/>
          <w:szCs w:val="18"/>
        </w:rPr>
        <w:t xml:space="preserve"> </w:t>
      </w:r>
      <w:r w:rsidRPr="00ED2501">
        <w:rPr>
          <w:color w:val="231F20"/>
          <w:sz w:val="18"/>
          <w:szCs w:val="18"/>
        </w:rPr>
        <w:t>numbers</w:t>
      </w:r>
      <w:r w:rsidRPr="00ED2501">
        <w:rPr>
          <w:color w:val="231F20"/>
          <w:spacing w:val="-3"/>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at</w:t>
      </w:r>
      <w:r w:rsidRPr="00ED2501">
        <w:rPr>
          <w:color w:val="231F20"/>
          <w:spacing w:val="-3"/>
          <w:sz w:val="18"/>
          <w:szCs w:val="18"/>
        </w:rPr>
        <w:t xml:space="preserve"> </w:t>
      </w:r>
      <w:r w:rsidRPr="00ED2501">
        <w:rPr>
          <w:color w:val="231F20"/>
          <w:sz w:val="18"/>
          <w:szCs w:val="18"/>
        </w:rPr>
        <w:t>the</w:t>
      </w:r>
      <w:r w:rsidRPr="00ED2501">
        <w:rPr>
          <w:color w:val="231F20"/>
          <w:spacing w:val="-3"/>
          <w:sz w:val="18"/>
          <w:szCs w:val="18"/>
        </w:rPr>
        <w:t xml:space="preserve"> </w:t>
      </w:r>
      <w:r w:rsidRPr="00ED2501">
        <w:rPr>
          <w:color w:val="231F20"/>
          <w:sz w:val="18"/>
          <w:szCs w:val="18"/>
        </w:rPr>
        <w:t>end</w:t>
      </w:r>
      <w:r w:rsidRPr="00ED2501">
        <w:rPr>
          <w:color w:val="231F20"/>
          <w:spacing w:val="-3"/>
          <w:sz w:val="18"/>
          <w:szCs w:val="18"/>
        </w:rPr>
        <w:t xml:space="preserve"> </w:t>
      </w:r>
      <w:r w:rsidRPr="00ED2501">
        <w:rPr>
          <w:color w:val="231F20"/>
          <w:sz w:val="18"/>
          <w:szCs w:val="18"/>
        </w:rPr>
        <w:t>of</w:t>
      </w:r>
      <w:r w:rsidRPr="00ED2501">
        <w:rPr>
          <w:color w:val="231F20"/>
          <w:spacing w:val="-2"/>
          <w:sz w:val="18"/>
          <w:szCs w:val="18"/>
        </w:rPr>
        <w:t xml:space="preserve"> </w:t>
      </w:r>
      <w:r w:rsidRPr="00ED2501">
        <w:rPr>
          <w:color w:val="231F20"/>
          <w:sz w:val="18"/>
          <w:szCs w:val="18"/>
        </w:rPr>
        <w:t>the</w:t>
      </w:r>
      <w:r w:rsidRPr="00ED2501">
        <w:rPr>
          <w:color w:val="231F20"/>
          <w:spacing w:val="-3"/>
          <w:sz w:val="18"/>
          <w:szCs w:val="18"/>
        </w:rPr>
        <w:t xml:space="preserve"> </w:t>
      </w:r>
      <w:r w:rsidRPr="00ED2501">
        <w:rPr>
          <w:color w:val="231F20"/>
          <w:sz w:val="18"/>
          <w:szCs w:val="18"/>
        </w:rPr>
        <w:t>last</w:t>
      </w:r>
      <w:r w:rsidRPr="00ED2501">
        <w:rPr>
          <w:color w:val="231F20"/>
          <w:spacing w:val="-3"/>
          <w:sz w:val="18"/>
          <w:szCs w:val="18"/>
        </w:rPr>
        <w:t xml:space="preserve"> </w:t>
      </w:r>
      <w:r w:rsidRPr="00ED2501">
        <w:rPr>
          <w:color w:val="231F20"/>
          <w:sz w:val="18"/>
          <w:szCs w:val="18"/>
        </w:rPr>
        <w:t>full</w:t>
      </w:r>
      <w:r w:rsidRPr="00ED2501">
        <w:rPr>
          <w:color w:val="231F20"/>
          <w:spacing w:val="-3"/>
          <w:sz w:val="18"/>
          <w:szCs w:val="18"/>
        </w:rPr>
        <w:t xml:space="preserve"> </w:t>
      </w:r>
      <w:r w:rsidRPr="00ED2501">
        <w:rPr>
          <w:color w:val="231F20"/>
          <w:sz w:val="18"/>
          <w:szCs w:val="18"/>
        </w:rPr>
        <w:t>pay</w:t>
      </w:r>
      <w:r w:rsidRPr="00ED2501">
        <w:rPr>
          <w:color w:val="231F20"/>
          <w:spacing w:val="-2"/>
          <w:sz w:val="18"/>
          <w:szCs w:val="18"/>
        </w:rPr>
        <w:t xml:space="preserve"> </w:t>
      </w:r>
      <w:r w:rsidRPr="00ED2501">
        <w:rPr>
          <w:color w:val="231F20"/>
          <w:sz w:val="18"/>
          <w:szCs w:val="18"/>
        </w:rPr>
        <w:t>period</w:t>
      </w:r>
      <w:r w:rsidRPr="00ED2501">
        <w:rPr>
          <w:color w:val="231F20"/>
          <w:spacing w:val="-3"/>
          <w:sz w:val="18"/>
          <w:szCs w:val="18"/>
        </w:rPr>
        <w:t xml:space="preserve"> </w:t>
      </w:r>
      <w:r w:rsidRPr="00ED2501">
        <w:rPr>
          <w:color w:val="231F20"/>
          <w:sz w:val="18"/>
          <w:szCs w:val="18"/>
        </w:rPr>
        <w:t>in</w:t>
      </w:r>
      <w:r w:rsidRPr="00ED2501">
        <w:rPr>
          <w:color w:val="231F20"/>
          <w:spacing w:val="-3"/>
          <w:sz w:val="18"/>
          <w:szCs w:val="18"/>
        </w:rPr>
        <w:t xml:space="preserve"> </w:t>
      </w:r>
      <w:r w:rsidRPr="00ED2501">
        <w:rPr>
          <w:color w:val="231F20"/>
          <w:sz w:val="18"/>
          <w:szCs w:val="18"/>
        </w:rPr>
        <w:t>18</w:t>
      </w:r>
      <w:r w:rsidRPr="00ED2501">
        <w:rPr>
          <w:color w:val="231F20"/>
          <w:spacing w:val="-3"/>
          <w:sz w:val="18"/>
          <w:szCs w:val="18"/>
        </w:rPr>
        <w:t xml:space="preserve"> </w:t>
      </w:r>
      <w:r w:rsidRPr="00ED2501">
        <w:rPr>
          <w:color w:val="231F20"/>
          <w:sz w:val="18"/>
          <w:szCs w:val="18"/>
        </w:rPr>
        <w:t>June</w:t>
      </w:r>
      <w:r w:rsidRPr="00ED2501">
        <w:rPr>
          <w:color w:val="231F20"/>
          <w:spacing w:val="-2"/>
          <w:sz w:val="18"/>
          <w:szCs w:val="18"/>
        </w:rPr>
        <w:t xml:space="preserve"> </w:t>
      </w:r>
      <w:r w:rsidRPr="00ED2501">
        <w:rPr>
          <w:color w:val="231F20"/>
          <w:sz w:val="18"/>
          <w:szCs w:val="18"/>
        </w:rPr>
        <w:t>2022</w:t>
      </w:r>
      <w:r w:rsidRPr="00ED2501">
        <w:rPr>
          <w:color w:val="231F20"/>
          <w:spacing w:val="-3"/>
          <w:sz w:val="18"/>
          <w:szCs w:val="18"/>
        </w:rPr>
        <w:t xml:space="preserve"> </w:t>
      </w:r>
      <w:r w:rsidRPr="00ED2501">
        <w:rPr>
          <w:color w:val="231F20"/>
          <w:sz w:val="18"/>
          <w:szCs w:val="18"/>
        </w:rPr>
        <w:t>and</w:t>
      </w:r>
      <w:r w:rsidRPr="00ED2501">
        <w:rPr>
          <w:color w:val="231F20"/>
          <w:spacing w:val="-3"/>
          <w:sz w:val="18"/>
          <w:szCs w:val="18"/>
        </w:rPr>
        <w:t xml:space="preserve"> </w:t>
      </w:r>
      <w:r w:rsidRPr="00ED2501">
        <w:rPr>
          <w:color w:val="231F20"/>
          <w:sz w:val="18"/>
          <w:szCs w:val="18"/>
        </w:rPr>
        <w:t>19</w:t>
      </w:r>
      <w:r w:rsidRPr="00ED2501">
        <w:rPr>
          <w:color w:val="231F20"/>
          <w:spacing w:val="-3"/>
          <w:sz w:val="18"/>
          <w:szCs w:val="18"/>
        </w:rPr>
        <w:t xml:space="preserve"> </w:t>
      </w:r>
      <w:r w:rsidRPr="00ED2501">
        <w:rPr>
          <w:color w:val="231F20"/>
          <w:sz w:val="18"/>
          <w:szCs w:val="18"/>
        </w:rPr>
        <w:t>June</w:t>
      </w:r>
      <w:r w:rsidRPr="00ED2501">
        <w:rPr>
          <w:color w:val="231F20"/>
          <w:spacing w:val="-2"/>
          <w:sz w:val="18"/>
          <w:szCs w:val="18"/>
        </w:rPr>
        <w:t xml:space="preserve"> 2021.</w:t>
      </w:r>
    </w:p>
    <w:p w14:paraId="22C9CD91" w14:textId="77777777" w:rsidR="00345EE3" w:rsidRPr="00ED2501" w:rsidRDefault="00345EE3">
      <w:pPr>
        <w:pStyle w:val="ListParagraph"/>
        <w:numPr>
          <w:ilvl w:val="0"/>
          <w:numId w:val="46"/>
        </w:numPr>
        <w:tabs>
          <w:tab w:val="left" w:pos="338"/>
        </w:tabs>
        <w:spacing w:before="28"/>
        <w:ind w:left="337" w:hanging="228"/>
        <w:rPr>
          <w:sz w:val="18"/>
          <w:szCs w:val="18"/>
        </w:rPr>
      </w:pPr>
      <w:r w:rsidRPr="00ED2501">
        <w:rPr>
          <w:color w:val="231F20"/>
          <w:sz w:val="18"/>
          <w:szCs w:val="18"/>
        </w:rPr>
        <w:t>The</w:t>
      </w:r>
      <w:r w:rsidRPr="00ED2501">
        <w:rPr>
          <w:color w:val="231F20"/>
          <w:spacing w:val="-2"/>
          <w:sz w:val="18"/>
          <w:szCs w:val="18"/>
        </w:rPr>
        <w:t xml:space="preserve"> </w:t>
      </w:r>
      <w:r w:rsidRPr="00ED2501">
        <w:rPr>
          <w:color w:val="231F20"/>
          <w:sz w:val="18"/>
          <w:szCs w:val="18"/>
        </w:rPr>
        <w:t>data</w:t>
      </w:r>
      <w:r w:rsidRPr="00ED2501">
        <w:rPr>
          <w:color w:val="231F20"/>
          <w:spacing w:val="-1"/>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table</w:t>
      </w:r>
      <w:r w:rsidRPr="00ED2501">
        <w:rPr>
          <w:color w:val="231F20"/>
          <w:spacing w:val="-1"/>
          <w:sz w:val="18"/>
          <w:szCs w:val="18"/>
        </w:rPr>
        <w:t xml:space="preserve"> </w:t>
      </w:r>
      <w:r w:rsidRPr="00ED2501">
        <w:rPr>
          <w:color w:val="231F20"/>
          <w:sz w:val="18"/>
          <w:szCs w:val="18"/>
        </w:rPr>
        <w:t>are</w:t>
      </w:r>
      <w:r w:rsidRPr="00ED2501">
        <w:rPr>
          <w:color w:val="231F20"/>
          <w:spacing w:val="-2"/>
          <w:sz w:val="18"/>
          <w:szCs w:val="18"/>
        </w:rPr>
        <w:t xml:space="preserve"> </w:t>
      </w:r>
      <w:r w:rsidRPr="00ED2501">
        <w:rPr>
          <w:color w:val="231F20"/>
          <w:sz w:val="18"/>
          <w:szCs w:val="18"/>
        </w:rPr>
        <w:t>reflective</w:t>
      </w:r>
      <w:r w:rsidRPr="00ED2501">
        <w:rPr>
          <w:color w:val="231F20"/>
          <w:spacing w:val="-1"/>
          <w:sz w:val="18"/>
          <w:szCs w:val="18"/>
        </w:rPr>
        <w:t xml:space="preserve"> </w:t>
      </w:r>
      <w:r w:rsidRPr="00ED2501">
        <w:rPr>
          <w:color w:val="231F20"/>
          <w:sz w:val="18"/>
          <w:szCs w:val="18"/>
        </w:rPr>
        <w:t>of</w:t>
      </w:r>
      <w:r w:rsidRPr="00ED2501">
        <w:rPr>
          <w:color w:val="231F20"/>
          <w:spacing w:val="-2"/>
          <w:sz w:val="18"/>
          <w:szCs w:val="18"/>
        </w:rPr>
        <w:t xml:space="preserve"> </w:t>
      </w:r>
      <w:r w:rsidRPr="00ED2501">
        <w:rPr>
          <w:color w:val="231F20"/>
          <w:sz w:val="18"/>
          <w:szCs w:val="18"/>
        </w:rPr>
        <w:t>headcount,</w:t>
      </w:r>
      <w:r w:rsidRPr="00ED2501">
        <w:rPr>
          <w:color w:val="231F20"/>
          <w:spacing w:val="-1"/>
          <w:sz w:val="18"/>
          <w:szCs w:val="18"/>
        </w:rPr>
        <w:t xml:space="preserve"> </w:t>
      </w:r>
      <w:r w:rsidRPr="00ED2501">
        <w:rPr>
          <w:color w:val="231F20"/>
          <w:sz w:val="18"/>
          <w:szCs w:val="18"/>
        </w:rPr>
        <w:t>not</w:t>
      </w:r>
      <w:r w:rsidRPr="00ED2501">
        <w:rPr>
          <w:color w:val="231F20"/>
          <w:spacing w:val="-2"/>
          <w:sz w:val="18"/>
          <w:szCs w:val="18"/>
        </w:rPr>
        <w:t xml:space="preserve"> </w:t>
      </w:r>
      <w:r w:rsidRPr="00ED2501">
        <w:rPr>
          <w:color w:val="231F20"/>
          <w:sz w:val="18"/>
          <w:szCs w:val="18"/>
        </w:rPr>
        <w:t>FTE</w:t>
      </w:r>
      <w:r w:rsidRPr="00ED2501">
        <w:rPr>
          <w:color w:val="231F20"/>
          <w:spacing w:val="-1"/>
          <w:sz w:val="18"/>
          <w:szCs w:val="18"/>
        </w:rPr>
        <w:t xml:space="preserve"> </w:t>
      </w:r>
      <w:r w:rsidRPr="00ED2501">
        <w:rPr>
          <w:color w:val="231F20"/>
          <w:sz w:val="18"/>
          <w:szCs w:val="18"/>
        </w:rPr>
        <w:t>and</w:t>
      </w:r>
      <w:r w:rsidRPr="00ED2501">
        <w:rPr>
          <w:color w:val="231F20"/>
          <w:spacing w:val="-2"/>
          <w:sz w:val="18"/>
          <w:szCs w:val="18"/>
        </w:rPr>
        <w:t xml:space="preserve"> </w:t>
      </w:r>
      <w:r w:rsidRPr="00ED2501">
        <w:rPr>
          <w:color w:val="231F20"/>
          <w:sz w:val="18"/>
          <w:szCs w:val="18"/>
        </w:rPr>
        <w:t>may</w:t>
      </w:r>
      <w:r w:rsidRPr="00ED2501">
        <w:rPr>
          <w:color w:val="231F20"/>
          <w:spacing w:val="-1"/>
          <w:sz w:val="18"/>
          <w:szCs w:val="18"/>
        </w:rPr>
        <w:t xml:space="preserve"> </w:t>
      </w:r>
      <w:r w:rsidRPr="00ED2501">
        <w:rPr>
          <w:color w:val="231F20"/>
          <w:sz w:val="18"/>
          <w:szCs w:val="18"/>
        </w:rPr>
        <w:t>include</w:t>
      </w:r>
      <w:r w:rsidRPr="00ED2501">
        <w:rPr>
          <w:color w:val="231F20"/>
          <w:spacing w:val="-2"/>
          <w:sz w:val="18"/>
          <w:szCs w:val="18"/>
        </w:rPr>
        <w:t xml:space="preserve"> </w:t>
      </w:r>
      <w:r w:rsidRPr="00ED2501">
        <w:rPr>
          <w:color w:val="231F20"/>
          <w:sz w:val="18"/>
          <w:szCs w:val="18"/>
        </w:rPr>
        <w:t>part-time</w:t>
      </w:r>
      <w:r w:rsidRPr="00ED2501">
        <w:rPr>
          <w:color w:val="231F20"/>
          <w:spacing w:val="-1"/>
          <w:sz w:val="18"/>
          <w:szCs w:val="18"/>
        </w:rPr>
        <w:t xml:space="preserve"> </w:t>
      </w:r>
      <w:r w:rsidRPr="00ED2501">
        <w:rPr>
          <w:color w:val="231F20"/>
          <w:spacing w:val="-2"/>
          <w:sz w:val="18"/>
          <w:szCs w:val="18"/>
        </w:rPr>
        <w:t>staff.</w:t>
      </w:r>
    </w:p>
    <w:p w14:paraId="32E005CC" w14:textId="77777777" w:rsidR="00345EE3" w:rsidRDefault="00345EE3" w:rsidP="00345EE3">
      <w:pPr>
        <w:spacing w:before="240"/>
        <w:ind w:left="142"/>
        <w:rPr>
          <w:rFonts w:ascii="Arial-BoldItalicMT" w:hAnsi="Arial-BoldItalicMT"/>
          <w:b/>
          <w:i/>
          <w:sz w:val="18"/>
        </w:rPr>
      </w:pPr>
      <w:r>
        <w:rPr>
          <w:color w:val="231F20"/>
          <w:sz w:val="18"/>
        </w:rPr>
        <w:t>Table</w:t>
      </w:r>
      <w:r>
        <w:rPr>
          <w:color w:val="231F20"/>
          <w:spacing w:val="-7"/>
          <w:sz w:val="18"/>
        </w:rPr>
        <w:t xml:space="preserve"> </w:t>
      </w:r>
      <w:r>
        <w:rPr>
          <w:color w:val="231F20"/>
          <w:sz w:val="18"/>
        </w:rPr>
        <w:t>5.42:</w:t>
      </w:r>
      <w:r>
        <w:rPr>
          <w:color w:val="231F20"/>
          <w:spacing w:val="-4"/>
          <w:sz w:val="18"/>
        </w:rPr>
        <w:t xml:space="preserve"> </w:t>
      </w:r>
      <w:r>
        <w:rPr>
          <w:rFonts w:ascii="Arial-BoldItalicMT" w:hAnsi="Arial-BoldItalicMT"/>
          <w:b/>
          <w:i/>
          <w:color w:val="231F20"/>
          <w:sz w:val="18"/>
        </w:rPr>
        <w:t>Number</w:t>
      </w:r>
      <w:r>
        <w:rPr>
          <w:rFonts w:ascii="Arial-BoldItalicMT" w:hAnsi="Arial-BoldItalicMT"/>
          <w:b/>
          <w:i/>
          <w:color w:val="231F20"/>
          <w:spacing w:val="-6"/>
          <w:sz w:val="18"/>
        </w:rPr>
        <w:t xml:space="preserve"> </w:t>
      </w:r>
      <w:r>
        <w:rPr>
          <w:rFonts w:ascii="Arial-BoldItalicMT" w:hAnsi="Arial-BoldItalicMT"/>
          <w:b/>
          <w:i/>
          <w:color w:val="231F20"/>
          <w:sz w:val="18"/>
        </w:rPr>
        <w:t>of</w:t>
      </w:r>
      <w:r>
        <w:rPr>
          <w:rFonts w:ascii="Arial-BoldItalicMT" w:hAnsi="Arial-BoldItalicMT"/>
          <w:b/>
          <w:i/>
          <w:color w:val="231F20"/>
          <w:spacing w:val="-7"/>
          <w:sz w:val="18"/>
        </w:rPr>
        <w:t xml:space="preserve"> </w:t>
      </w:r>
      <w:r>
        <w:rPr>
          <w:rFonts w:ascii="Arial-BoldItalicMT" w:hAnsi="Arial-BoldItalicMT"/>
          <w:b/>
          <w:i/>
          <w:color w:val="231F20"/>
          <w:sz w:val="18"/>
        </w:rPr>
        <w:t>SES</w:t>
      </w:r>
      <w:r>
        <w:rPr>
          <w:rFonts w:ascii="Arial-BoldItalicMT" w:hAnsi="Arial-BoldItalicMT"/>
          <w:b/>
          <w:i/>
          <w:color w:val="231F20"/>
          <w:spacing w:val="-7"/>
          <w:sz w:val="18"/>
        </w:rPr>
        <w:t xml:space="preserve"> </w:t>
      </w:r>
      <w:r>
        <w:rPr>
          <w:rFonts w:ascii="Arial-BoldItalicMT" w:hAnsi="Arial-BoldItalicMT"/>
          <w:b/>
          <w:i/>
          <w:color w:val="231F20"/>
          <w:sz w:val="18"/>
        </w:rPr>
        <w:t>for</w:t>
      </w:r>
      <w:r>
        <w:rPr>
          <w:rFonts w:ascii="Arial-BoldItalicMT" w:hAnsi="Arial-BoldItalicMT"/>
          <w:b/>
          <w:i/>
          <w:color w:val="231F20"/>
          <w:spacing w:val="-7"/>
          <w:sz w:val="18"/>
        </w:rPr>
        <w:t xml:space="preserve"> </w:t>
      </w:r>
      <w:r>
        <w:rPr>
          <w:rFonts w:ascii="Arial-BoldItalicMT" w:hAnsi="Arial-BoldItalicMT"/>
          <w:b/>
          <w:i/>
          <w:color w:val="231F20"/>
          <w:sz w:val="18"/>
        </w:rPr>
        <w:t>Victoria</w:t>
      </w:r>
      <w:r>
        <w:rPr>
          <w:rFonts w:ascii="Arial-BoldItalicMT" w:hAnsi="Arial-BoldItalicMT"/>
          <w:b/>
          <w:i/>
          <w:color w:val="231F20"/>
          <w:spacing w:val="-7"/>
          <w:sz w:val="18"/>
        </w:rPr>
        <w:t xml:space="preserve"> </w:t>
      </w:r>
      <w:r>
        <w:rPr>
          <w:rFonts w:ascii="Arial-BoldItalicMT" w:hAnsi="Arial-BoldItalicMT"/>
          <w:b/>
          <w:i/>
          <w:color w:val="231F20"/>
          <w:sz w:val="18"/>
        </w:rPr>
        <w:t>Police’s</w:t>
      </w:r>
      <w:r>
        <w:rPr>
          <w:rFonts w:ascii="Arial-BoldItalicMT" w:hAnsi="Arial-BoldItalicMT"/>
          <w:b/>
          <w:i/>
          <w:color w:val="231F20"/>
          <w:spacing w:val="-7"/>
          <w:sz w:val="18"/>
        </w:rPr>
        <w:t xml:space="preserve"> </w:t>
      </w:r>
      <w:r>
        <w:rPr>
          <w:rFonts w:ascii="Arial-BoldItalicMT" w:hAnsi="Arial-BoldItalicMT"/>
          <w:b/>
          <w:i/>
          <w:color w:val="231F20"/>
          <w:sz w:val="18"/>
        </w:rPr>
        <w:t>portfolio</w:t>
      </w:r>
      <w:r>
        <w:rPr>
          <w:rFonts w:ascii="Arial-BoldItalicMT" w:hAnsi="Arial-BoldItalicMT"/>
          <w:b/>
          <w:i/>
          <w:color w:val="231F20"/>
          <w:spacing w:val="-7"/>
          <w:sz w:val="18"/>
        </w:rPr>
        <w:t xml:space="preserve"> </w:t>
      </w:r>
      <w:r>
        <w:rPr>
          <w:rFonts w:ascii="Arial-BoldItalicMT" w:hAnsi="Arial-BoldItalicMT"/>
          <w:b/>
          <w:i/>
          <w:color w:val="231F20"/>
          <w:sz w:val="18"/>
        </w:rPr>
        <w:t>agencies</w:t>
      </w:r>
      <w:r>
        <w:rPr>
          <w:rFonts w:ascii="Arial-BoldItalicMT" w:hAnsi="Arial-BoldItalicMT"/>
          <w:b/>
          <w:i/>
          <w:color w:val="231F20"/>
          <w:spacing w:val="-7"/>
          <w:sz w:val="18"/>
        </w:rPr>
        <w:t xml:space="preserve"> </w:t>
      </w:r>
      <w:r>
        <w:rPr>
          <w:rFonts w:ascii="Arial-BoldItalicMT" w:hAnsi="Arial-BoldItalicMT"/>
          <w:b/>
          <w:i/>
          <w:color w:val="231F20"/>
          <w:sz w:val="18"/>
        </w:rPr>
        <w:t>in</w:t>
      </w:r>
      <w:r>
        <w:rPr>
          <w:rFonts w:ascii="Arial-BoldItalicMT" w:hAnsi="Arial-BoldItalicMT"/>
          <w:b/>
          <w:i/>
          <w:color w:val="231F20"/>
          <w:spacing w:val="-6"/>
          <w:sz w:val="18"/>
        </w:rPr>
        <w:t xml:space="preserve"> </w:t>
      </w:r>
      <w:r>
        <w:rPr>
          <w:rFonts w:ascii="Arial-BoldItalicMT" w:hAnsi="Arial-BoldItalicMT"/>
          <w:b/>
          <w:i/>
          <w:color w:val="231F20"/>
          <w:spacing w:val="-2"/>
          <w:sz w:val="18"/>
        </w:rPr>
        <w:t>2021–22</w:t>
      </w:r>
    </w:p>
    <w:p w14:paraId="574B3FF2" w14:textId="77777777" w:rsidR="00345EE3" w:rsidRDefault="00345EE3" w:rsidP="00345EE3">
      <w:pPr>
        <w:pStyle w:val="BodyText"/>
        <w:spacing w:before="5"/>
        <w:rPr>
          <w:rFonts w:ascii="Arial-BoldItalicMT"/>
          <w:b/>
          <w:i/>
          <w:sz w:val="5"/>
        </w:rPr>
      </w:pPr>
    </w:p>
    <w:tbl>
      <w:tblPr>
        <w:tblW w:w="0" w:type="auto"/>
        <w:tblInd w:w="115" w:type="dxa"/>
        <w:tblLayout w:type="fixed"/>
        <w:tblCellMar>
          <w:left w:w="0" w:type="dxa"/>
          <w:right w:w="0" w:type="dxa"/>
        </w:tblCellMar>
        <w:tblLook w:val="01E0" w:firstRow="1" w:lastRow="1" w:firstColumn="1" w:lastColumn="1" w:noHBand="0" w:noVBand="0"/>
      </w:tblPr>
      <w:tblGrid>
        <w:gridCol w:w="2494"/>
        <w:gridCol w:w="963"/>
        <w:gridCol w:w="409"/>
        <w:gridCol w:w="554"/>
        <w:gridCol w:w="963"/>
        <w:gridCol w:w="486"/>
        <w:gridCol w:w="477"/>
        <w:gridCol w:w="964"/>
        <w:gridCol w:w="391"/>
        <w:gridCol w:w="573"/>
        <w:gridCol w:w="964"/>
        <w:gridCol w:w="964"/>
      </w:tblGrid>
      <w:tr w:rsidR="00345EE3" w14:paraId="7F29127F" w14:textId="77777777" w:rsidTr="00D73130">
        <w:trPr>
          <w:trHeight w:val="405"/>
        </w:trPr>
        <w:tc>
          <w:tcPr>
            <w:tcW w:w="2494" w:type="dxa"/>
            <w:shd w:val="clear" w:color="auto" w:fill="00529F"/>
          </w:tcPr>
          <w:p w14:paraId="7CE102C6" w14:textId="77777777" w:rsidR="00345EE3" w:rsidRDefault="00345EE3" w:rsidP="00D73130">
            <w:pPr>
              <w:pStyle w:val="TableParagraph"/>
              <w:spacing w:before="63"/>
              <w:ind w:left="2"/>
              <w:jc w:val="left"/>
              <w:rPr>
                <w:b/>
                <w:sz w:val="24"/>
              </w:rPr>
            </w:pPr>
            <w:r>
              <w:rPr>
                <w:b/>
                <w:color w:val="FFFFFF"/>
                <w:sz w:val="24"/>
              </w:rPr>
              <w:t>Portfolio</w:t>
            </w:r>
            <w:r>
              <w:rPr>
                <w:b/>
                <w:color w:val="FFFFFF"/>
                <w:spacing w:val="4"/>
                <w:sz w:val="24"/>
              </w:rPr>
              <w:t xml:space="preserve"> </w:t>
            </w:r>
            <w:r>
              <w:rPr>
                <w:b/>
                <w:color w:val="FFFFFF"/>
                <w:spacing w:val="-2"/>
                <w:sz w:val="24"/>
              </w:rPr>
              <w:t>agencies</w:t>
            </w:r>
          </w:p>
        </w:tc>
        <w:tc>
          <w:tcPr>
            <w:tcW w:w="1372" w:type="dxa"/>
            <w:gridSpan w:val="2"/>
            <w:shd w:val="clear" w:color="auto" w:fill="00529F"/>
          </w:tcPr>
          <w:p w14:paraId="5F345A4B" w14:textId="77777777" w:rsidR="00345EE3" w:rsidRDefault="00345EE3" w:rsidP="00D73130">
            <w:pPr>
              <w:pStyle w:val="TableParagraph"/>
              <w:spacing w:before="63"/>
              <w:ind w:left="689"/>
              <w:jc w:val="left"/>
              <w:rPr>
                <w:b/>
                <w:sz w:val="24"/>
              </w:rPr>
            </w:pPr>
            <w:r>
              <w:rPr>
                <w:b/>
                <w:color w:val="FFFFFF"/>
                <w:spacing w:val="-2"/>
                <w:sz w:val="24"/>
              </w:rPr>
              <w:t>Total</w:t>
            </w:r>
          </w:p>
        </w:tc>
        <w:tc>
          <w:tcPr>
            <w:tcW w:w="554" w:type="dxa"/>
            <w:shd w:val="clear" w:color="auto" w:fill="00529F"/>
          </w:tcPr>
          <w:p w14:paraId="7678CC87" w14:textId="77777777" w:rsidR="00345EE3" w:rsidRDefault="00345EE3" w:rsidP="00D73130">
            <w:pPr>
              <w:pStyle w:val="TableParagraph"/>
              <w:spacing w:before="0"/>
              <w:jc w:val="left"/>
              <w:rPr>
                <w:rFonts w:ascii="Times New Roman"/>
                <w:sz w:val="14"/>
              </w:rPr>
            </w:pPr>
          </w:p>
        </w:tc>
        <w:tc>
          <w:tcPr>
            <w:tcW w:w="1449" w:type="dxa"/>
            <w:gridSpan w:val="2"/>
            <w:shd w:val="clear" w:color="auto" w:fill="00529F"/>
          </w:tcPr>
          <w:p w14:paraId="134B5CB8" w14:textId="77777777" w:rsidR="00345EE3" w:rsidRDefault="00345EE3" w:rsidP="00D73130">
            <w:pPr>
              <w:pStyle w:val="TableParagraph"/>
              <w:spacing w:before="63"/>
              <w:ind w:left="537"/>
              <w:jc w:val="left"/>
              <w:rPr>
                <w:b/>
                <w:sz w:val="24"/>
              </w:rPr>
            </w:pPr>
            <w:r>
              <w:rPr>
                <w:b/>
                <w:color w:val="FFFFFF"/>
                <w:spacing w:val="-2"/>
                <w:sz w:val="24"/>
              </w:rPr>
              <w:t>Women</w:t>
            </w:r>
          </w:p>
        </w:tc>
        <w:tc>
          <w:tcPr>
            <w:tcW w:w="477" w:type="dxa"/>
            <w:shd w:val="clear" w:color="auto" w:fill="00529F"/>
          </w:tcPr>
          <w:p w14:paraId="4D30B41E" w14:textId="77777777" w:rsidR="00345EE3" w:rsidRDefault="00345EE3" w:rsidP="00D73130">
            <w:pPr>
              <w:pStyle w:val="TableParagraph"/>
              <w:spacing w:before="0"/>
              <w:jc w:val="left"/>
              <w:rPr>
                <w:rFonts w:ascii="Times New Roman"/>
                <w:sz w:val="14"/>
              </w:rPr>
            </w:pPr>
          </w:p>
        </w:tc>
        <w:tc>
          <w:tcPr>
            <w:tcW w:w="1355" w:type="dxa"/>
            <w:gridSpan w:val="2"/>
            <w:shd w:val="clear" w:color="auto" w:fill="00529F"/>
          </w:tcPr>
          <w:p w14:paraId="607AC25B" w14:textId="77777777" w:rsidR="00345EE3" w:rsidRDefault="00345EE3" w:rsidP="00D73130">
            <w:pPr>
              <w:pStyle w:val="TableParagraph"/>
              <w:spacing w:before="63"/>
              <w:ind w:left="729"/>
              <w:jc w:val="left"/>
              <w:rPr>
                <w:b/>
                <w:sz w:val="24"/>
              </w:rPr>
            </w:pPr>
            <w:r>
              <w:rPr>
                <w:b/>
                <w:color w:val="FFFFFF"/>
                <w:spacing w:val="-5"/>
                <w:sz w:val="24"/>
              </w:rPr>
              <w:t>Men</w:t>
            </w:r>
          </w:p>
        </w:tc>
        <w:tc>
          <w:tcPr>
            <w:tcW w:w="573" w:type="dxa"/>
            <w:shd w:val="clear" w:color="auto" w:fill="00529F"/>
          </w:tcPr>
          <w:p w14:paraId="607F06A2" w14:textId="77777777" w:rsidR="00345EE3" w:rsidRDefault="00345EE3" w:rsidP="00D73130">
            <w:pPr>
              <w:pStyle w:val="TableParagraph"/>
              <w:spacing w:before="0"/>
              <w:jc w:val="left"/>
              <w:rPr>
                <w:rFonts w:ascii="Times New Roman"/>
                <w:sz w:val="14"/>
              </w:rPr>
            </w:pPr>
          </w:p>
        </w:tc>
        <w:tc>
          <w:tcPr>
            <w:tcW w:w="1928" w:type="dxa"/>
            <w:gridSpan w:val="2"/>
            <w:shd w:val="clear" w:color="auto" w:fill="00529F"/>
          </w:tcPr>
          <w:p w14:paraId="042E4C12" w14:textId="77777777" w:rsidR="00345EE3" w:rsidRDefault="00345EE3" w:rsidP="00D73130">
            <w:pPr>
              <w:pStyle w:val="TableParagraph"/>
              <w:spacing w:before="63"/>
              <w:ind w:left="137"/>
              <w:jc w:val="left"/>
              <w:rPr>
                <w:b/>
                <w:sz w:val="24"/>
              </w:rPr>
            </w:pPr>
            <w:r>
              <w:rPr>
                <w:b/>
                <w:color w:val="FFFFFF"/>
                <w:sz w:val="24"/>
              </w:rPr>
              <w:t>Self-</w:t>
            </w:r>
            <w:r>
              <w:rPr>
                <w:b/>
                <w:color w:val="FFFFFF"/>
                <w:spacing w:val="-2"/>
                <w:sz w:val="24"/>
              </w:rPr>
              <w:t>described</w:t>
            </w:r>
          </w:p>
        </w:tc>
      </w:tr>
      <w:tr w:rsidR="00345EE3" w14:paraId="593970FC" w14:textId="77777777" w:rsidTr="00D73130">
        <w:trPr>
          <w:trHeight w:val="397"/>
        </w:trPr>
        <w:tc>
          <w:tcPr>
            <w:tcW w:w="2494" w:type="dxa"/>
            <w:shd w:val="clear" w:color="auto" w:fill="00529F"/>
          </w:tcPr>
          <w:p w14:paraId="65B788AC" w14:textId="77777777" w:rsidR="00345EE3" w:rsidRDefault="00345EE3" w:rsidP="00D73130">
            <w:pPr>
              <w:pStyle w:val="TableParagraph"/>
              <w:spacing w:before="0"/>
              <w:jc w:val="left"/>
              <w:rPr>
                <w:rFonts w:ascii="Times New Roman"/>
                <w:sz w:val="14"/>
              </w:rPr>
            </w:pPr>
          </w:p>
        </w:tc>
        <w:tc>
          <w:tcPr>
            <w:tcW w:w="963" w:type="dxa"/>
            <w:shd w:val="clear" w:color="auto" w:fill="00529F"/>
          </w:tcPr>
          <w:p w14:paraId="4D03161C" w14:textId="77777777" w:rsidR="00345EE3" w:rsidRDefault="00345EE3" w:rsidP="00D73130">
            <w:pPr>
              <w:pStyle w:val="TableParagraph"/>
              <w:spacing w:before="59"/>
              <w:ind w:right="1"/>
              <w:rPr>
                <w:b/>
                <w:sz w:val="24"/>
              </w:rPr>
            </w:pPr>
            <w:r>
              <w:rPr>
                <w:b/>
                <w:color w:val="FFFFFF"/>
                <w:spacing w:val="-5"/>
                <w:sz w:val="24"/>
              </w:rPr>
              <w:t>No.</w:t>
            </w:r>
          </w:p>
        </w:tc>
        <w:tc>
          <w:tcPr>
            <w:tcW w:w="409" w:type="dxa"/>
            <w:shd w:val="clear" w:color="auto" w:fill="00529F"/>
          </w:tcPr>
          <w:p w14:paraId="0A741208" w14:textId="77777777" w:rsidR="00345EE3" w:rsidRDefault="00345EE3" w:rsidP="00D73130">
            <w:pPr>
              <w:pStyle w:val="TableParagraph"/>
              <w:spacing w:before="0"/>
              <w:jc w:val="left"/>
              <w:rPr>
                <w:rFonts w:ascii="Times New Roman"/>
                <w:sz w:val="14"/>
              </w:rPr>
            </w:pPr>
          </w:p>
        </w:tc>
        <w:tc>
          <w:tcPr>
            <w:tcW w:w="554" w:type="dxa"/>
            <w:shd w:val="clear" w:color="auto" w:fill="00529F"/>
          </w:tcPr>
          <w:p w14:paraId="21E478ED" w14:textId="77777777" w:rsidR="00345EE3" w:rsidRDefault="00345EE3" w:rsidP="00D73130">
            <w:pPr>
              <w:pStyle w:val="TableParagraph"/>
              <w:spacing w:before="59"/>
              <w:ind w:left="136"/>
              <w:jc w:val="left"/>
              <w:rPr>
                <w:b/>
                <w:sz w:val="24"/>
              </w:rPr>
            </w:pPr>
            <w:r>
              <w:rPr>
                <w:b/>
                <w:color w:val="FFFFFF"/>
                <w:spacing w:val="-13"/>
                <w:sz w:val="24"/>
              </w:rPr>
              <w:t>Var.</w:t>
            </w:r>
          </w:p>
        </w:tc>
        <w:tc>
          <w:tcPr>
            <w:tcW w:w="963" w:type="dxa"/>
            <w:shd w:val="clear" w:color="auto" w:fill="00529F"/>
          </w:tcPr>
          <w:p w14:paraId="54FFE288" w14:textId="77777777" w:rsidR="00345EE3" w:rsidRDefault="00345EE3" w:rsidP="00D73130">
            <w:pPr>
              <w:pStyle w:val="TableParagraph"/>
              <w:spacing w:before="59"/>
              <w:ind w:right="-15"/>
              <w:rPr>
                <w:b/>
                <w:sz w:val="24"/>
              </w:rPr>
            </w:pPr>
            <w:r>
              <w:rPr>
                <w:b/>
                <w:color w:val="FFFFFF"/>
                <w:spacing w:val="-5"/>
                <w:sz w:val="24"/>
              </w:rPr>
              <w:t>No.</w:t>
            </w:r>
          </w:p>
        </w:tc>
        <w:tc>
          <w:tcPr>
            <w:tcW w:w="486" w:type="dxa"/>
            <w:shd w:val="clear" w:color="auto" w:fill="00529F"/>
          </w:tcPr>
          <w:p w14:paraId="77A24B5A" w14:textId="77777777" w:rsidR="00345EE3" w:rsidRDefault="00345EE3" w:rsidP="00D73130">
            <w:pPr>
              <w:pStyle w:val="TableParagraph"/>
              <w:spacing w:before="0"/>
              <w:jc w:val="left"/>
              <w:rPr>
                <w:rFonts w:ascii="Times New Roman"/>
                <w:sz w:val="14"/>
              </w:rPr>
            </w:pPr>
          </w:p>
        </w:tc>
        <w:tc>
          <w:tcPr>
            <w:tcW w:w="477" w:type="dxa"/>
            <w:shd w:val="clear" w:color="auto" w:fill="00529F"/>
          </w:tcPr>
          <w:p w14:paraId="2831B4A2" w14:textId="77777777" w:rsidR="00345EE3" w:rsidRDefault="00345EE3" w:rsidP="00D73130">
            <w:pPr>
              <w:pStyle w:val="TableParagraph"/>
              <w:spacing w:before="59"/>
              <w:ind w:left="60"/>
              <w:jc w:val="left"/>
              <w:rPr>
                <w:b/>
                <w:sz w:val="24"/>
              </w:rPr>
            </w:pPr>
            <w:r>
              <w:rPr>
                <w:b/>
                <w:color w:val="FFFFFF"/>
                <w:spacing w:val="-13"/>
                <w:sz w:val="24"/>
              </w:rPr>
              <w:t>Var.</w:t>
            </w:r>
          </w:p>
        </w:tc>
        <w:tc>
          <w:tcPr>
            <w:tcW w:w="964" w:type="dxa"/>
            <w:shd w:val="clear" w:color="auto" w:fill="00529F"/>
          </w:tcPr>
          <w:p w14:paraId="15EB64ED" w14:textId="77777777" w:rsidR="00345EE3" w:rsidRDefault="00345EE3" w:rsidP="00D73130">
            <w:pPr>
              <w:pStyle w:val="TableParagraph"/>
              <w:spacing w:before="59"/>
              <w:ind w:right="-15"/>
              <w:rPr>
                <w:b/>
                <w:sz w:val="24"/>
              </w:rPr>
            </w:pPr>
            <w:r>
              <w:rPr>
                <w:b/>
                <w:color w:val="FFFFFF"/>
                <w:spacing w:val="-5"/>
                <w:sz w:val="24"/>
              </w:rPr>
              <w:t>No.</w:t>
            </w:r>
          </w:p>
        </w:tc>
        <w:tc>
          <w:tcPr>
            <w:tcW w:w="391" w:type="dxa"/>
            <w:shd w:val="clear" w:color="auto" w:fill="00529F"/>
          </w:tcPr>
          <w:p w14:paraId="028B82D0" w14:textId="77777777" w:rsidR="00345EE3" w:rsidRDefault="00345EE3" w:rsidP="00D73130">
            <w:pPr>
              <w:pStyle w:val="TableParagraph"/>
              <w:spacing w:before="0"/>
              <w:jc w:val="left"/>
              <w:rPr>
                <w:rFonts w:ascii="Times New Roman"/>
                <w:sz w:val="14"/>
              </w:rPr>
            </w:pPr>
          </w:p>
        </w:tc>
        <w:tc>
          <w:tcPr>
            <w:tcW w:w="573" w:type="dxa"/>
            <w:shd w:val="clear" w:color="auto" w:fill="00529F"/>
          </w:tcPr>
          <w:p w14:paraId="3D260735" w14:textId="77777777" w:rsidR="00345EE3" w:rsidRDefault="00345EE3" w:rsidP="00D73130">
            <w:pPr>
              <w:pStyle w:val="TableParagraph"/>
              <w:spacing w:before="59"/>
              <w:ind w:left="156"/>
              <w:jc w:val="left"/>
              <w:rPr>
                <w:b/>
                <w:sz w:val="24"/>
              </w:rPr>
            </w:pPr>
            <w:r>
              <w:rPr>
                <w:b/>
                <w:color w:val="FFFFFF"/>
                <w:spacing w:val="-13"/>
                <w:sz w:val="24"/>
              </w:rPr>
              <w:t>Var.</w:t>
            </w:r>
          </w:p>
        </w:tc>
        <w:tc>
          <w:tcPr>
            <w:tcW w:w="964" w:type="dxa"/>
            <w:shd w:val="clear" w:color="auto" w:fill="00529F"/>
          </w:tcPr>
          <w:p w14:paraId="76EF4515" w14:textId="77777777" w:rsidR="00345EE3" w:rsidRDefault="00345EE3" w:rsidP="00D73130">
            <w:pPr>
              <w:pStyle w:val="TableParagraph"/>
              <w:spacing w:before="59"/>
              <w:ind w:right="-15"/>
              <w:rPr>
                <w:b/>
                <w:sz w:val="24"/>
              </w:rPr>
            </w:pPr>
            <w:r>
              <w:rPr>
                <w:b/>
                <w:color w:val="FFFFFF"/>
                <w:spacing w:val="-5"/>
                <w:sz w:val="24"/>
              </w:rPr>
              <w:t>No.</w:t>
            </w:r>
          </w:p>
        </w:tc>
        <w:tc>
          <w:tcPr>
            <w:tcW w:w="964" w:type="dxa"/>
            <w:shd w:val="clear" w:color="auto" w:fill="00529F"/>
          </w:tcPr>
          <w:p w14:paraId="543A3CC0" w14:textId="77777777" w:rsidR="00345EE3" w:rsidRDefault="00345EE3" w:rsidP="00D73130">
            <w:pPr>
              <w:pStyle w:val="TableParagraph"/>
              <w:spacing w:before="59"/>
              <w:ind w:right="-15"/>
              <w:rPr>
                <w:b/>
                <w:sz w:val="24"/>
              </w:rPr>
            </w:pPr>
            <w:r>
              <w:rPr>
                <w:b/>
                <w:color w:val="FFFFFF"/>
                <w:spacing w:val="-5"/>
                <w:sz w:val="24"/>
              </w:rPr>
              <w:t>No.</w:t>
            </w:r>
          </w:p>
        </w:tc>
      </w:tr>
      <w:tr w:rsidR="00345EE3" w14:paraId="52B6196A" w14:textId="77777777" w:rsidTr="00D73130">
        <w:trPr>
          <w:trHeight w:val="396"/>
        </w:trPr>
        <w:tc>
          <w:tcPr>
            <w:tcW w:w="2494" w:type="dxa"/>
            <w:tcBorders>
              <w:bottom w:val="single" w:sz="2" w:space="0" w:color="939598"/>
              <w:right w:val="single" w:sz="2" w:space="0" w:color="939598"/>
            </w:tcBorders>
          </w:tcPr>
          <w:p w14:paraId="0BB04838" w14:textId="77777777" w:rsidR="00345EE3" w:rsidRDefault="00345EE3" w:rsidP="00D73130">
            <w:pPr>
              <w:pStyle w:val="TableParagraph"/>
              <w:jc w:val="left"/>
              <w:rPr>
                <w:sz w:val="24"/>
              </w:rPr>
            </w:pPr>
            <w:r>
              <w:rPr>
                <w:color w:val="231F20"/>
                <w:spacing w:val="-2"/>
                <w:sz w:val="24"/>
              </w:rPr>
              <w:t>ANZPAA</w:t>
            </w:r>
          </w:p>
        </w:tc>
        <w:tc>
          <w:tcPr>
            <w:tcW w:w="963" w:type="dxa"/>
            <w:tcBorders>
              <w:left w:val="single" w:sz="2" w:space="0" w:color="939598"/>
              <w:bottom w:val="single" w:sz="2" w:space="0" w:color="939598"/>
              <w:right w:val="single" w:sz="2" w:space="0" w:color="939598"/>
            </w:tcBorders>
          </w:tcPr>
          <w:p w14:paraId="04CF4990" w14:textId="77777777" w:rsidR="00345EE3" w:rsidRDefault="00345EE3" w:rsidP="00D73130">
            <w:pPr>
              <w:pStyle w:val="TableParagraph"/>
              <w:ind w:right="-15"/>
              <w:rPr>
                <w:sz w:val="24"/>
              </w:rPr>
            </w:pPr>
            <w:r>
              <w:rPr>
                <w:color w:val="231F20"/>
                <w:sz w:val="24"/>
              </w:rPr>
              <w:t>1</w:t>
            </w:r>
          </w:p>
        </w:tc>
        <w:tc>
          <w:tcPr>
            <w:tcW w:w="963" w:type="dxa"/>
            <w:gridSpan w:val="2"/>
            <w:tcBorders>
              <w:left w:val="single" w:sz="2" w:space="0" w:color="939598"/>
              <w:bottom w:val="single" w:sz="2" w:space="0" w:color="939598"/>
              <w:right w:val="single" w:sz="2" w:space="0" w:color="939598"/>
            </w:tcBorders>
          </w:tcPr>
          <w:p w14:paraId="1F45DC27" w14:textId="77777777" w:rsidR="00345EE3" w:rsidRDefault="00345EE3" w:rsidP="00D73130">
            <w:pPr>
              <w:pStyle w:val="TableParagraph"/>
              <w:ind w:right="-15"/>
              <w:rPr>
                <w:sz w:val="24"/>
              </w:rPr>
            </w:pPr>
            <w:r>
              <w:rPr>
                <w:color w:val="231F20"/>
                <w:spacing w:val="-3"/>
                <w:sz w:val="24"/>
              </w:rPr>
              <w:t>-</w:t>
            </w:r>
            <w:r>
              <w:rPr>
                <w:color w:val="231F20"/>
                <w:spacing w:val="-10"/>
                <w:sz w:val="24"/>
              </w:rPr>
              <w:t>2</w:t>
            </w:r>
          </w:p>
        </w:tc>
        <w:tc>
          <w:tcPr>
            <w:tcW w:w="963" w:type="dxa"/>
            <w:tcBorders>
              <w:left w:val="single" w:sz="2" w:space="0" w:color="939598"/>
              <w:bottom w:val="single" w:sz="2" w:space="0" w:color="939598"/>
              <w:right w:val="single" w:sz="2" w:space="0" w:color="939598"/>
            </w:tcBorders>
          </w:tcPr>
          <w:p w14:paraId="561B788B" w14:textId="77777777" w:rsidR="00345EE3" w:rsidRDefault="00345EE3" w:rsidP="00D73130">
            <w:pPr>
              <w:pStyle w:val="TableParagraph"/>
              <w:ind w:right="-15"/>
              <w:rPr>
                <w:sz w:val="24"/>
              </w:rPr>
            </w:pPr>
            <w:r>
              <w:rPr>
                <w:color w:val="231F20"/>
                <w:sz w:val="24"/>
              </w:rPr>
              <w:t>1</w:t>
            </w:r>
          </w:p>
        </w:tc>
        <w:tc>
          <w:tcPr>
            <w:tcW w:w="963" w:type="dxa"/>
            <w:gridSpan w:val="2"/>
            <w:tcBorders>
              <w:left w:val="single" w:sz="2" w:space="0" w:color="939598"/>
              <w:bottom w:val="single" w:sz="2" w:space="0" w:color="939598"/>
              <w:right w:val="single" w:sz="2" w:space="0" w:color="939598"/>
            </w:tcBorders>
          </w:tcPr>
          <w:p w14:paraId="76EC450F" w14:textId="77777777" w:rsidR="00345EE3" w:rsidRDefault="00345EE3" w:rsidP="00D73130">
            <w:pPr>
              <w:pStyle w:val="TableParagraph"/>
              <w:ind w:right="-15"/>
              <w:rPr>
                <w:sz w:val="24"/>
              </w:rPr>
            </w:pPr>
            <w:r>
              <w:rPr>
                <w:color w:val="231F20"/>
                <w:spacing w:val="-3"/>
                <w:sz w:val="24"/>
              </w:rPr>
              <w:t>-</w:t>
            </w:r>
            <w:r>
              <w:rPr>
                <w:color w:val="231F20"/>
                <w:spacing w:val="-10"/>
                <w:sz w:val="24"/>
              </w:rPr>
              <w:t>2</w:t>
            </w:r>
          </w:p>
        </w:tc>
        <w:tc>
          <w:tcPr>
            <w:tcW w:w="964" w:type="dxa"/>
            <w:tcBorders>
              <w:left w:val="single" w:sz="2" w:space="0" w:color="939598"/>
              <w:bottom w:val="single" w:sz="2" w:space="0" w:color="939598"/>
              <w:right w:val="single" w:sz="2" w:space="0" w:color="939598"/>
            </w:tcBorders>
          </w:tcPr>
          <w:p w14:paraId="6122451C" w14:textId="77777777" w:rsidR="00345EE3" w:rsidRDefault="00345EE3" w:rsidP="00D73130">
            <w:pPr>
              <w:pStyle w:val="TableParagraph"/>
              <w:ind w:right="-15"/>
              <w:rPr>
                <w:sz w:val="24"/>
              </w:rPr>
            </w:pPr>
            <w:r>
              <w:rPr>
                <w:color w:val="231F20"/>
                <w:sz w:val="24"/>
              </w:rPr>
              <w:t>0</w:t>
            </w:r>
          </w:p>
        </w:tc>
        <w:tc>
          <w:tcPr>
            <w:tcW w:w="964" w:type="dxa"/>
            <w:gridSpan w:val="2"/>
            <w:tcBorders>
              <w:left w:val="single" w:sz="2" w:space="0" w:color="939598"/>
              <w:bottom w:val="single" w:sz="2" w:space="0" w:color="939598"/>
              <w:right w:val="single" w:sz="2" w:space="0" w:color="939598"/>
            </w:tcBorders>
          </w:tcPr>
          <w:p w14:paraId="7AC23C54" w14:textId="77777777" w:rsidR="00345EE3" w:rsidRDefault="00345EE3" w:rsidP="00D73130">
            <w:pPr>
              <w:pStyle w:val="TableParagraph"/>
              <w:ind w:right="-15"/>
              <w:rPr>
                <w:sz w:val="24"/>
              </w:rPr>
            </w:pPr>
            <w:r>
              <w:rPr>
                <w:color w:val="231F20"/>
                <w:sz w:val="24"/>
              </w:rPr>
              <w:t>0</w:t>
            </w:r>
          </w:p>
        </w:tc>
        <w:tc>
          <w:tcPr>
            <w:tcW w:w="964" w:type="dxa"/>
            <w:tcBorders>
              <w:left w:val="single" w:sz="2" w:space="0" w:color="939598"/>
              <w:bottom w:val="single" w:sz="2" w:space="0" w:color="939598"/>
              <w:right w:val="single" w:sz="2" w:space="0" w:color="939598"/>
            </w:tcBorders>
          </w:tcPr>
          <w:p w14:paraId="089157B5" w14:textId="77777777" w:rsidR="00345EE3" w:rsidRDefault="00345EE3" w:rsidP="00D73130">
            <w:pPr>
              <w:pStyle w:val="TableParagraph"/>
              <w:ind w:right="-15"/>
              <w:rPr>
                <w:sz w:val="24"/>
              </w:rPr>
            </w:pPr>
            <w:r>
              <w:rPr>
                <w:color w:val="231F20"/>
                <w:sz w:val="24"/>
              </w:rPr>
              <w:t>0</w:t>
            </w:r>
          </w:p>
        </w:tc>
        <w:tc>
          <w:tcPr>
            <w:tcW w:w="964" w:type="dxa"/>
            <w:tcBorders>
              <w:left w:val="single" w:sz="2" w:space="0" w:color="939598"/>
              <w:bottom w:val="single" w:sz="2" w:space="0" w:color="939598"/>
              <w:right w:val="single" w:sz="2" w:space="0" w:color="939598"/>
            </w:tcBorders>
          </w:tcPr>
          <w:p w14:paraId="4ADE7187" w14:textId="77777777" w:rsidR="00345EE3" w:rsidRDefault="00345EE3" w:rsidP="00D73130">
            <w:pPr>
              <w:pStyle w:val="TableParagraph"/>
              <w:ind w:right="-15"/>
              <w:rPr>
                <w:sz w:val="24"/>
              </w:rPr>
            </w:pPr>
            <w:r>
              <w:rPr>
                <w:color w:val="231F20"/>
                <w:sz w:val="24"/>
              </w:rPr>
              <w:t>0</w:t>
            </w:r>
          </w:p>
        </w:tc>
      </w:tr>
      <w:tr w:rsidR="00345EE3" w14:paraId="0A066CD7" w14:textId="77777777" w:rsidTr="00D73130">
        <w:trPr>
          <w:trHeight w:val="391"/>
        </w:trPr>
        <w:tc>
          <w:tcPr>
            <w:tcW w:w="2494" w:type="dxa"/>
            <w:tcBorders>
              <w:top w:val="single" w:sz="2" w:space="0" w:color="939598"/>
              <w:bottom w:val="single" w:sz="6" w:space="0" w:color="231F20"/>
            </w:tcBorders>
          </w:tcPr>
          <w:p w14:paraId="2EF9DB63" w14:textId="77777777" w:rsidR="00345EE3" w:rsidRDefault="00345EE3" w:rsidP="00D73130">
            <w:pPr>
              <w:pStyle w:val="TableParagraph"/>
              <w:ind w:left="3"/>
              <w:jc w:val="left"/>
              <w:rPr>
                <w:b/>
                <w:sz w:val="24"/>
              </w:rPr>
            </w:pPr>
            <w:r>
              <w:rPr>
                <w:b/>
                <w:color w:val="231F20"/>
                <w:spacing w:val="-2"/>
                <w:sz w:val="24"/>
              </w:rPr>
              <w:t>Total</w:t>
            </w:r>
          </w:p>
        </w:tc>
        <w:tc>
          <w:tcPr>
            <w:tcW w:w="963" w:type="dxa"/>
            <w:tcBorders>
              <w:top w:val="single" w:sz="2" w:space="0" w:color="939598"/>
              <w:bottom w:val="single" w:sz="6" w:space="0" w:color="231F20"/>
              <w:right w:val="single" w:sz="2" w:space="0" w:color="939598"/>
            </w:tcBorders>
          </w:tcPr>
          <w:p w14:paraId="426243AD" w14:textId="77777777" w:rsidR="00345EE3" w:rsidRDefault="00345EE3" w:rsidP="00D73130">
            <w:pPr>
              <w:pStyle w:val="TableParagraph"/>
              <w:ind w:right="-15"/>
              <w:rPr>
                <w:b/>
                <w:sz w:val="24"/>
              </w:rPr>
            </w:pPr>
            <w:r>
              <w:rPr>
                <w:b/>
                <w:color w:val="231F20"/>
                <w:sz w:val="24"/>
              </w:rPr>
              <w:t>1</w:t>
            </w:r>
          </w:p>
        </w:tc>
        <w:tc>
          <w:tcPr>
            <w:tcW w:w="963" w:type="dxa"/>
            <w:gridSpan w:val="2"/>
            <w:tcBorders>
              <w:top w:val="single" w:sz="2" w:space="0" w:color="939598"/>
              <w:left w:val="single" w:sz="2" w:space="0" w:color="939598"/>
              <w:bottom w:val="single" w:sz="6" w:space="0" w:color="231F20"/>
              <w:right w:val="single" w:sz="2" w:space="0" w:color="939598"/>
            </w:tcBorders>
          </w:tcPr>
          <w:p w14:paraId="4ECB0E1A" w14:textId="77777777" w:rsidR="00345EE3" w:rsidRDefault="00345EE3" w:rsidP="00D73130">
            <w:pPr>
              <w:pStyle w:val="TableParagraph"/>
              <w:ind w:right="-15"/>
              <w:rPr>
                <w:b/>
                <w:sz w:val="24"/>
              </w:rPr>
            </w:pPr>
            <w:r>
              <w:rPr>
                <w:b/>
                <w:color w:val="231F20"/>
                <w:sz w:val="24"/>
              </w:rPr>
              <w:t>-</w:t>
            </w:r>
            <w:r>
              <w:rPr>
                <w:b/>
                <w:color w:val="231F20"/>
                <w:spacing w:val="-10"/>
                <w:sz w:val="24"/>
              </w:rPr>
              <w:t>2</w:t>
            </w:r>
          </w:p>
        </w:tc>
        <w:tc>
          <w:tcPr>
            <w:tcW w:w="963" w:type="dxa"/>
            <w:tcBorders>
              <w:top w:val="single" w:sz="2" w:space="0" w:color="939598"/>
              <w:left w:val="single" w:sz="2" w:space="0" w:color="939598"/>
              <w:bottom w:val="single" w:sz="6" w:space="0" w:color="231F20"/>
              <w:right w:val="single" w:sz="2" w:space="0" w:color="939598"/>
            </w:tcBorders>
          </w:tcPr>
          <w:p w14:paraId="5EE8D582" w14:textId="77777777" w:rsidR="00345EE3" w:rsidRDefault="00345EE3" w:rsidP="00D73130">
            <w:pPr>
              <w:pStyle w:val="TableParagraph"/>
              <w:ind w:right="-15"/>
              <w:rPr>
                <w:b/>
                <w:sz w:val="24"/>
              </w:rPr>
            </w:pPr>
            <w:r>
              <w:rPr>
                <w:b/>
                <w:color w:val="231F20"/>
                <w:sz w:val="24"/>
              </w:rPr>
              <w:t>1</w:t>
            </w:r>
          </w:p>
        </w:tc>
        <w:tc>
          <w:tcPr>
            <w:tcW w:w="963" w:type="dxa"/>
            <w:gridSpan w:val="2"/>
            <w:tcBorders>
              <w:top w:val="single" w:sz="2" w:space="0" w:color="939598"/>
              <w:left w:val="single" w:sz="2" w:space="0" w:color="939598"/>
              <w:bottom w:val="single" w:sz="6" w:space="0" w:color="231F20"/>
              <w:right w:val="single" w:sz="2" w:space="0" w:color="939598"/>
            </w:tcBorders>
          </w:tcPr>
          <w:p w14:paraId="2553C2CE" w14:textId="77777777" w:rsidR="00345EE3" w:rsidRDefault="00345EE3" w:rsidP="00D73130">
            <w:pPr>
              <w:pStyle w:val="TableParagraph"/>
              <w:ind w:right="-15"/>
              <w:rPr>
                <w:b/>
                <w:sz w:val="24"/>
              </w:rPr>
            </w:pPr>
            <w:r>
              <w:rPr>
                <w:b/>
                <w:color w:val="231F20"/>
                <w:sz w:val="24"/>
              </w:rPr>
              <w:t>-</w:t>
            </w:r>
            <w:r>
              <w:rPr>
                <w:b/>
                <w:color w:val="231F20"/>
                <w:spacing w:val="-10"/>
                <w:sz w:val="24"/>
              </w:rPr>
              <w:t>2</w:t>
            </w:r>
          </w:p>
        </w:tc>
        <w:tc>
          <w:tcPr>
            <w:tcW w:w="964" w:type="dxa"/>
            <w:tcBorders>
              <w:top w:val="single" w:sz="2" w:space="0" w:color="939598"/>
              <w:left w:val="single" w:sz="2" w:space="0" w:color="939598"/>
              <w:bottom w:val="single" w:sz="6" w:space="0" w:color="231F20"/>
              <w:right w:val="single" w:sz="2" w:space="0" w:color="939598"/>
            </w:tcBorders>
          </w:tcPr>
          <w:p w14:paraId="196525DD" w14:textId="77777777" w:rsidR="00345EE3" w:rsidRDefault="00345EE3" w:rsidP="00D73130">
            <w:pPr>
              <w:pStyle w:val="TableParagraph"/>
              <w:ind w:right="-15"/>
              <w:rPr>
                <w:b/>
                <w:sz w:val="24"/>
              </w:rPr>
            </w:pPr>
            <w:r>
              <w:rPr>
                <w:b/>
                <w:color w:val="231F20"/>
                <w:sz w:val="24"/>
              </w:rPr>
              <w:t>0</w:t>
            </w:r>
          </w:p>
        </w:tc>
        <w:tc>
          <w:tcPr>
            <w:tcW w:w="964" w:type="dxa"/>
            <w:gridSpan w:val="2"/>
            <w:tcBorders>
              <w:top w:val="single" w:sz="2" w:space="0" w:color="939598"/>
              <w:left w:val="single" w:sz="2" w:space="0" w:color="939598"/>
              <w:bottom w:val="single" w:sz="6" w:space="0" w:color="231F20"/>
              <w:right w:val="single" w:sz="2" w:space="0" w:color="939598"/>
            </w:tcBorders>
          </w:tcPr>
          <w:p w14:paraId="586A5EA2" w14:textId="77777777" w:rsidR="00345EE3" w:rsidRDefault="00345EE3" w:rsidP="00D73130">
            <w:pPr>
              <w:pStyle w:val="TableParagraph"/>
              <w:ind w:right="-15"/>
              <w:rPr>
                <w:b/>
                <w:sz w:val="24"/>
              </w:rPr>
            </w:pPr>
            <w:r>
              <w:rPr>
                <w:b/>
                <w:color w:val="231F20"/>
                <w:sz w:val="24"/>
              </w:rPr>
              <w:t>0</w:t>
            </w:r>
          </w:p>
        </w:tc>
        <w:tc>
          <w:tcPr>
            <w:tcW w:w="964" w:type="dxa"/>
            <w:tcBorders>
              <w:top w:val="single" w:sz="2" w:space="0" w:color="939598"/>
              <w:left w:val="single" w:sz="2" w:space="0" w:color="939598"/>
              <w:bottom w:val="single" w:sz="6" w:space="0" w:color="231F20"/>
              <w:right w:val="single" w:sz="2" w:space="0" w:color="939598"/>
            </w:tcBorders>
          </w:tcPr>
          <w:p w14:paraId="03BD5468" w14:textId="77777777" w:rsidR="00345EE3" w:rsidRDefault="00345EE3" w:rsidP="00D73130">
            <w:pPr>
              <w:pStyle w:val="TableParagraph"/>
              <w:ind w:right="-15"/>
              <w:rPr>
                <w:b/>
                <w:sz w:val="24"/>
              </w:rPr>
            </w:pPr>
            <w:r>
              <w:rPr>
                <w:b/>
                <w:color w:val="231F20"/>
                <w:sz w:val="24"/>
              </w:rPr>
              <w:t>0</w:t>
            </w:r>
          </w:p>
        </w:tc>
        <w:tc>
          <w:tcPr>
            <w:tcW w:w="964" w:type="dxa"/>
            <w:tcBorders>
              <w:top w:val="single" w:sz="2" w:space="0" w:color="939598"/>
              <w:left w:val="single" w:sz="2" w:space="0" w:color="939598"/>
              <w:bottom w:val="single" w:sz="6" w:space="0" w:color="231F20"/>
            </w:tcBorders>
          </w:tcPr>
          <w:p w14:paraId="115BCE4F" w14:textId="77777777" w:rsidR="00345EE3" w:rsidRDefault="00345EE3" w:rsidP="00D73130">
            <w:pPr>
              <w:pStyle w:val="TableParagraph"/>
              <w:ind w:right="-15"/>
              <w:rPr>
                <w:b/>
                <w:sz w:val="24"/>
              </w:rPr>
            </w:pPr>
            <w:r>
              <w:rPr>
                <w:b/>
                <w:color w:val="231F20"/>
                <w:sz w:val="24"/>
              </w:rPr>
              <w:t>0</w:t>
            </w:r>
          </w:p>
        </w:tc>
      </w:tr>
    </w:tbl>
    <w:p w14:paraId="338A3A2A" w14:textId="77777777" w:rsidR="00345EE3" w:rsidRPr="00ED2501" w:rsidRDefault="00345EE3" w:rsidP="00345EE3">
      <w:pPr>
        <w:spacing w:before="72"/>
        <w:ind w:left="110"/>
        <w:rPr>
          <w:sz w:val="18"/>
          <w:szCs w:val="18"/>
        </w:rPr>
      </w:pPr>
      <w:r w:rsidRPr="00ED2501">
        <w:rPr>
          <w:rFonts w:ascii="Arial-BoldItalicMT"/>
          <w:b/>
          <w:i/>
          <w:color w:val="231F20"/>
          <w:sz w:val="18"/>
          <w:szCs w:val="18"/>
        </w:rPr>
        <w:t>Source:</w:t>
      </w:r>
      <w:r w:rsidRPr="00ED2501">
        <w:rPr>
          <w:rFonts w:ascii="Arial-BoldItalicMT"/>
          <w:b/>
          <w:i/>
          <w:color w:val="231F20"/>
          <w:spacing w:val="-2"/>
          <w:sz w:val="18"/>
          <w:szCs w:val="18"/>
        </w:rPr>
        <w:t xml:space="preserve"> </w:t>
      </w:r>
      <w:r w:rsidRPr="00ED2501">
        <w:rPr>
          <w:color w:val="231F20"/>
          <w:sz w:val="18"/>
          <w:szCs w:val="18"/>
        </w:rPr>
        <w:t>Human Resources</w:t>
      </w:r>
      <w:r w:rsidRPr="00ED2501">
        <w:rPr>
          <w:color w:val="231F20"/>
          <w:spacing w:val="-1"/>
          <w:sz w:val="18"/>
          <w:szCs w:val="18"/>
        </w:rPr>
        <w:t xml:space="preserve"> </w:t>
      </w:r>
      <w:r w:rsidRPr="00ED2501">
        <w:rPr>
          <w:color w:val="231F20"/>
          <w:sz w:val="18"/>
          <w:szCs w:val="18"/>
        </w:rPr>
        <w:t>Command. Data</w:t>
      </w:r>
      <w:r w:rsidRPr="00ED2501">
        <w:rPr>
          <w:color w:val="231F20"/>
          <w:spacing w:val="-1"/>
          <w:sz w:val="18"/>
          <w:szCs w:val="18"/>
        </w:rPr>
        <w:t xml:space="preserve"> </w:t>
      </w:r>
      <w:r w:rsidRPr="00ED2501">
        <w:rPr>
          <w:color w:val="231F20"/>
          <w:sz w:val="18"/>
          <w:szCs w:val="18"/>
        </w:rPr>
        <w:t>extracted from</w:t>
      </w:r>
      <w:r w:rsidRPr="00ED2501">
        <w:rPr>
          <w:color w:val="231F20"/>
          <w:spacing w:val="-1"/>
          <w:sz w:val="18"/>
          <w:szCs w:val="18"/>
        </w:rPr>
        <w:t xml:space="preserve"> </w:t>
      </w:r>
      <w:r w:rsidRPr="00ED2501">
        <w:rPr>
          <w:color w:val="231F20"/>
          <w:sz w:val="18"/>
          <w:szCs w:val="18"/>
        </w:rPr>
        <w:t>HR Assist</w:t>
      </w:r>
      <w:r w:rsidRPr="00ED2501">
        <w:rPr>
          <w:color w:val="231F20"/>
          <w:spacing w:val="-1"/>
          <w:sz w:val="18"/>
          <w:szCs w:val="18"/>
        </w:rPr>
        <w:t xml:space="preserve"> </w:t>
      </w:r>
      <w:r w:rsidRPr="00ED2501">
        <w:rPr>
          <w:color w:val="231F20"/>
          <w:sz w:val="18"/>
          <w:szCs w:val="18"/>
        </w:rPr>
        <w:t>at 18</w:t>
      </w:r>
      <w:r w:rsidRPr="00ED2501">
        <w:rPr>
          <w:color w:val="231F20"/>
          <w:spacing w:val="-1"/>
          <w:sz w:val="18"/>
          <w:szCs w:val="18"/>
        </w:rPr>
        <w:t xml:space="preserve"> </w:t>
      </w:r>
      <w:r w:rsidRPr="00ED2501">
        <w:rPr>
          <w:color w:val="231F20"/>
          <w:sz w:val="18"/>
          <w:szCs w:val="18"/>
        </w:rPr>
        <w:t xml:space="preserve">June </w:t>
      </w:r>
      <w:r w:rsidRPr="00ED2501">
        <w:rPr>
          <w:color w:val="231F20"/>
          <w:spacing w:val="-2"/>
          <w:sz w:val="18"/>
          <w:szCs w:val="18"/>
        </w:rPr>
        <w:t>2022.</w:t>
      </w:r>
    </w:p>
    <w:p w14:paraId="58E630BA" w14:textId="77777777" w:rsidR="00345EE3" w:rsidRPr="00ED2501" w:rsidRDefault="00345EE3" w:rsidP="00345EE3">
      <w:pPr>
        <w:spacing w:before="27"/>
        <w:ind w:left="110"/>
        <w:rPr>
          <w:rFonts w:ascii="Arial-BoldItalicMT"/>
          <w:b/>
          <w:i/>
          <w:sz w:val="18"/>
          <w:szCs w:val="18"/>
        </w:rPr>
      </w:pPr>
      <w:r w:rsidRPr="00ED2501">
        <w:rPr>
          <w:rFonts w:ascii="Arial-BoldItalicMT"/>
          <w:b/>
          <w:i/>
          <w:color w:val="231F20"/>
          <w:spacing w:val="-2"/>
          <w:sz w:val="18"/>
          <w:szCs w:val="18"/>
        </w:rPr>
        <w:t>Notes:</w:t>
      </w:r>
    </w:p>
    <w:p w14:paraId="11E836C0" w14:textId="77777777" w:rsidR="00345EE3" w:rsidRPr="00ED2501" w:rsidRDefault="00345EE3">
      <w:pPr>
        <w:pStyle w:val="ListParagraph"/>
        <w:numPr>
          <w:ilvl w:val="0"/>
          <w:numId w:val="45"/>
        </w:numPr>
        <w:tabs>
          <w:tab w:val="left" w:pos="338"/>
        </w:tabs>
        <w:spacing w:before="27"/>
        <w:ind w:hanging="228"/>
        <w:rPr>
          <w:sz w:val="18"/>
          <w:szCs w:val="18"/>
        </w:rPr>
      </w:pPr>
      <w:r w:rsidRPr="00ED2501">
        <w:rPr>
          <w:color w:val="231F20"/>
          <w:sz w:val="18"/>
          <w:szCs w:val="18"/>
        </w:rPr>
        <w:t>ANZPAA</w:t>
      </w:r>
      <w:r w:rsidRPr="00ED2501">
        <w:rPr>
          <w:color w:val="231F20"/>
          <w:spacing w:val="-1"/>
          <w:sz w:val="18"/>
          <w:szCs w:val="18"/>
        </w:rPr>
        <w:t xml:space="preserve"> </w:t>
      </w:r>
      <w:r w:rsidRPr="00ED2501">
        <w:rPr>
          <w:color w:val="231F20"/>
          <w:sz w:val="18"/>
          <w:szCs w:val="18"/>
        </w:rPr>
        <w:t>is</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only</w:t>
      </w:r>
      <w:r w:rsidRPr="00ED2501">
        <w:rPr>
          <w:color w:val="231F20"/>
          <w:spacing w:val="-1"/>
          <w:sz w:val="18"/>
          <w:szCs w:val="18"/>
        </w:rPr>
        <w:t xml:space="preserve"> </w:t>
      </w:r>
      <w:r w:rsidRPr="00ED2501">
        <w:rPr>
          <w:color w:val="231F20"/>
          <w:sz w:val="18"/>
          <w:szCs w:val="18"/>
        </w:rPr>
        <w:t>Statutory</w:t>
      </w:r>
      <w:r w:rsidRPr="00ED2501">
        <w:rPr>
          <w:color w:val="231F20"/>
          <w:spacing w:val="-1"/>
          <w:sz w:val="18"/>
          <w:szCs w:val="18"/>
        </w:rPr>
        <w:t xml:space="preserve"> </w:t>
      </w:r>
      <w:r w:rsidRPr="00ED2501">
        <w:rPr>
          <w:color w:val="231F20"/>
          <w:sz w:val="18"/>
          <w:szCs w:val="18"/>
        </w:rPr>
        <w:t>Body</w:t>
      </w:r>
      <w:r w:rsidRPr="00ED2501">
        <w:rPr>
          <w:color w:val="231F20"/>
          <w:spacing w:val="-1"/>
          <w:sz w:val="18"/>
          <w:szCs w:val="18"/>
        </w:rPr>
        <w:t xml:space="preserve"> </w:t>
      </w:r>
      <w:r w:rsidRPr="00ED2501">
        <w:rPr>
          <w:color w:val="231F20"/>
          <w:sz w:val="18"/>
          <w:szCs w:val="18"/>
        </w:rPr>
        <w:t>that</w:t>
      </w:r>
      <w:r w:rsidRPr="00ED2501">
        <w:rPr>
          <w:color w:val="231F20"/>
          <w:spacing w:val="-1"/>
          <w:sz w:val="18"/>
          <w:szCs w:val="18"/>
        </w:rPr>
        <w:t xml:space="preserve"> </w:t>
      </w:r>
      <w:r w:rsidRPr="00ED2501">
        <w:rPr>
          <w:color w:val="231F20"/>
          <w:sz w:val="18"/>
          <w:szCs w:val="18"/>
        </w:rPr>
        <w:t>has</w:t>
      </w:r>
      <w:r w:rsidRPr="00ED2501">
        <w:rPr>
          <w:color w:val="231F20"/>
          <w:spacing w:val="-1"/>
          <w:sz w:val="18"/>
          <w:szCs w:val="18"/>
        </w:rPr>
        <w:t xml:space="preserve"> </w:t>
      </w:r>
      <w:r w:rsidRPr="00ED2501">
        <w:rPr>
          <w:color w:val="231F20"/>
          <w:sz w:val="18"/>
          <w:szCs w:val="18"/>
        </w:rPr>
        <w:t>SES</w:t>
      </w:r>
      <w:r w:rsidRPr="00ED2501">
        <w:rPr>
          <w:color w:val="231F20"/>
          <w:spacing w:val="-1"/>
          <w:sz w:val="18"/>
          <w:szCs w:val="18"/>
        </w:rPr>
        <w:t xml:space="preserve"> </w:t>
      </w:r>
      <w:r w:rsidRPr="00ED2501">
        <w:rPr>
          <w:color w:val="231F20"/>
          <w:spacing w:val="-2"/>
          <w:sz w:val="18"/>
          <w:szCs w:val="18"/>
        </w:rPr>
        <w:t>classifications.</w:t>
      </w:r>
    </w:p>
    <w:p w14:paraId="14891BCD" w14:textId="77777777" w:rsidR="00345EE3" w:rsidRPr="00ED2501" w:rsidRDefault="00345EE3">
      <w:pPr>
        <w:pStyle w:val="ListParagraph"/>
        <w:numPr>
          <w:ilvl w:val="0"/>
          <w:numId w:val="45"/>
        </w:numPr>
        <w:tabs>
          <w:tab w:val="left" w:pos="338"/>
        </w:tabs>
        <w:spacing w:before="28"/>
        <w:ind w:hanging="228"/>
        <w:rPr>
          <w:sz w:val="18"/>
          <w:szCs w:val="18"/>
        </w:rPr>
      </w:pPr>
      <w:r w:rsidRPr="00ED2501">
        <w:rPr>
          <w:color w:val="231F20"/>
          <w:sz w:val="18"/>
          <w:szCs w:val="18"/>
        </w:rPr>
        <w:t>‘Var’</w:t>
      </w:r>
      <w:r w:rsidRPr="00ED2501">
        <w:rPr>
          <w:color w:val="231F20"/>
          <w:spacing w:val="-2"/>
          <w:sz w:val="18"/>
          <w:szCs w:val="18"/>
        </w:rPr>
        <w:t xml:space="preserve"> </w:t>
      </w:r>
      <w:r w:rsidRPr="00ED2501">
        <w:rPr>
          <w:color w:val="231F20"/>
          <w:sz w:val="18"/>
          <w:szCs w:val="18"/>
        </w:rPr>
        <w:t>denotes</w:t>
      </w:r>
      <w:r w:rsidRPr="00ED2501">
        <w:rPr>
          <w:color w:val="231F20"/>
          <w:spacing w:val="-2"/>
          <w:sz w:val="18"/>
          <w:szCs w:val="18"/>
        </w:rPr>
        <w:t xml:space="preserve"> </w:t>
      </w:r>
      <w:r w:rsidRPr="00ED2501">
        <w:rPr>
          <w:color w:val="231F20"/>
          <w:sz w:val="18"/>
          <w:szCs w:val="18"/>
        </w:rPr>
        <w:t>variance</w:t>
      </w:r>
      <w:r w:rsidRPr="00ED2501">
        <w:rPr>
          <w:color w:val="231F20"/>
          <w:spacing w:val="-2"/>
          <w:sz w:val="18"/>
          <w:szCs w:val="18"/>
        </w:rPr>
        <w:t xml:space="preserve"> </w:t>
      </w:r>
      <w:r w:rsidRPr="00ED2501">
        <w:rPr>
          <w:color w:val="231F20"/>
          <w:sz w:val="18"/>
          <w:szCs w:val="18"/>
        </w:rPr>
        <w:t>between</w:t>
      </w:r>
      <w:r w:rsidRPr="00ED2501">
        <w:rPr>
          <w:color w:val="231F20"/>
          <w:spacing w:val="-2"/>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current</w:t>
      </w:r>
      <w:r w:rsidRPr="00ED2501">
        <w:rPr>
          <w:color w:val="231F20"/>
          <w:spacing w:val="-2"/>
          <w:sz w:val="18"/>
          <w:szCs w:val="18"/>
        </w:rPr>
        <w:t xml:space="preserve"> </w:t>
      </w:r>
      <w:r w:rsidRPr="00ED2501">
        <w:rPr>
          <w:color w:val="231F20"/>
          <w:sz w:val="18"/>
          <w:szCs w:val="18"/>
        </w:rPr>
        <w:t>(2021–22)</w:t>
      </w:r>
      <w:r w:rsidRPr="00ED2501">
        <w:rPr>
          <w:color w:val="231F20"/>
          <w:spacing w:val="-2"/>
          <w:sz w:val="18"/>
          <w:szCs w:val="18"/>
        </w:rPr>
        <w:t xml:space="preserve"> </w:t>
      </w:r>
      <w:r w:rsidRPr="00ED2501">
        <w:rPr>
          <w:color w:val="231F20"/>
          <w:sz w:val="18"/>
          <w:szCs w:val="18"/>
        </w:rPr>
        <w:t>and</w:t>
      </w:r>
      <w:r w:rsidRPr="00ED2501">
        <w:rPr>
          <w:color w:val="231F20"/>
          <w:spacing w:val="-2"/>
          <w:sz w:val="18"/>
          <w:szCs w:val="18"/>
        </w:rPr>
        <w:t xml:space="preserve"> </w:t>
      </w:r>
      <w:r w:rsidRPr="00ED2501">
        <w:rPr>
          <w:color w:val="231F20"/>
          <w:sz w:val="18"/>
          <w:szCs w:val="18"/>
        </w:rPr>
        <w:t>previous</w:t>
      </w:r>
      <w:r w:rsidRPr="00ED2501">
        <w:rPr>
          <w:color w:val="231F20"/>
          <w:spacing w:val="-1"/>
          <w:sz w:val="18"/>
          <w:szCs w:val="18"/>
        </w:rPr>
        <w:t xml:space="preserve"> </w:t>
      </w:r>
      <w:r w:rsidRPr="00ED2501">
        <w:rPr>
          <w:color w:val="231F20"/>
          <w:sz w:val="18"/>
          <w:szCs w:val="18"/>
        </w:rPr>
        <w:t>(2020–21)</w:t>
      </w:r>
      <w:r w:rsidRPr="00ED2501">
        <w:rPr>
          <w:color w:val="231F20"/>
          <w:spacing w:val="-2"/>
          <w:sz w:val="18"/>
          <w:szCs w:val="18"/>
        </w:rPr>
        <w:t xml:space="preserve"> </w:t>
      </w:r>
      <w:r w:rsidRPr="00ED2501">
        <w:rPr>
          <w:color w:val="231F20"/>
          <w:sz w:val="18"/>
          <w:szCs w:val="18"/>
        </w:rPr>
        <w:t>reporting</w:t>
      </w:r>
      <w:r w:rsidRPr="00ED2501">
        <w:rPr>
          <w:color w:val="231F20"/>
          <w:spacing w:val="-2"/>
          <w:sz w:val="18"/>
          <w:szCs w:val="18"/>
        </w:rPr>
        <w:t xml:space="preserve"> </w:t>
      </w:r>
      <w:r w:rsidRPr="00ED2501">
        <w:rPr>
          <w:color w:val="231F20"/>
          <w:sz w:val="18"/>
          <w:szCs w:val="18"/>
        </w:rPr>
        <w:t>periods</w:t>
      </w:r>
      <w:r w:rsidRPr="00ED2501">
        <w:rPr>
          <w:color w:val="231F20"/>
          <w:spacing w:val="-2"/>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detailed</w:t>
      </w:r>
      <w:r w:rsidRPr="00ED2501">
        <w:rPr>
          <w:color w:val="231F20"/>
          <w:spacing w:val="-1"/>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DTF</w:t>
      </w:r>
      <w:r w:rsidRPr="00ED2501">
        <w:rPr>
          <w:color w:val="231F20"/>
          <w:spacing w:val="-2"/>
          <w:sz w:val="18"/>
          <w:szCs w:val="18"/>
        </w:rPr>
        <w:t xml:space="preserve"> </w:t>
      </w:r>
      <w:r w:rsidRPr="00ED2501">
        <w:rPr>
          <w:color w:val="231F20"/>
          <w:sz w:val="18"/>
          <w:szCs w:val="18"/>
        </w:rPr>
        <w:t>Model</w:t>
      </w:r>
      <w:r w:rsidRPr="00ED2501">
        <w:rPr>
          <w:color w:val="231F20"/>
          <w:spacing w:val="-1"/>
          <w:sz w:val="18"/>
          <w:szCs w:val="18"/>
        </w:rPr>
        <w:t xml:space="preserve"> </w:t>
      </w:r>
      <w:r w:rsidRPr="00ED2501">
        <w:rPr>
          <w:color w:val="231F20"/>
          <w:spacing w:val="-2"/>
          <w:sz w:val="18"/>
          <w:szCs w:val="18"/>
        </w:rPr>
        <w:t>Report.</w:t>
      </w:r>
    </w:p>
    <w:p w14:paraId="6AFC35DA" w14:textId="77777777" w:rsidR="00345EE3" w:rsidRPr="00ED2501" w:rsidRDefault="00345EE3">
      <w:pPr>
        <w:pStyle w:val="ListParagraph"/>
        <w:numPr>
          <w:ilvl w:val="0"/>
          <w:numId w:val="45"/>
        </w:numPr>
        <w:tabs>
          <w:tab w:val="left" w:pos="338"/>
        </w:tabs>
        <w:spacing w:before="27"/>
        <w:ind w:hanging="228"/>
        <w:rPr>
          <w:sz w:val="18"/>
          <w:szCs w:val="18"/>
        </w:rPr>
      </w:pPr>
      <w:r w:rsidRPr="00ED2501">
        <w:rPr>
          <w:color w:val="231F20"/>
          <w:sz w:val="18"/>
          <w:szCs w:val="18"/>
        </w:rPr>
        <w:t>This</w:t>
      </w:r>
      <w:r w:rsidRPr="00ED2501">
        <w:rPr>
          <w:color w:val="231F20"/>
          <w:spacing w:val="-5"/>
          <w:sz w:val="18"/>
          <w:szCs w:val="18"/>
        </w:rPr>
        <w:t xml:space="preserve"> </w:t>
      </w:r>
      <w:r w:rsidRPr="00ED2501">
        <w:rPr>
          <w:color w:val="231F20"/>
          <w:sz w:val="18"/>
          <w:szCs w:val="18"/>
        </w:rPr>
        <w:t>table</w:t>
      </w:r>
      <w:r w:rsidRPr="00ED2501">
        <w:rPr>
          <w:color w:val="231F20"/>
          <w:spacing w:val="-2"/>
          <w:sz w:val="18"/>
          <w:szCs w:val="18"/>
        </w:rPr>
        <w:t xml:space="preserve"> </w:t>
      </w:r>
      <w:r w:rsidRPr="00ED2501">
        <w:rPr>
          <w:color w:val="231F20"/>
          <w:sz w:val="18"/>
          <w:szCs w:val="18"/>
        </w:rPr>
        <w:t>lists</w:t>
      </w:r>
      <w:r w:rsidRPr="00ED2501">
        <w:rPr>
          <w:color w:val="231F20"/>
          <w:spacing w:val="-2"/>
          <w:sz w:val="18"/>
          <w:szCs w:val="18"/>
        </w:rPr>
        <w:t xml:space="preserve"> </w:t>
      </w:r>
      <w:r w:rsidRPr="00ED2501">
        <w:rPr>
          <w:color w:val="231F20"/>
          <w:sz w:val="18"/>
          <w:szCs w:val="18"/>
        </w:rPr>
        <w:t>SES</w:t>
      </w:r>
      <w:r w:rsidRPr="00ED2501">
        <w:rPr>
          <w:color w:val="231F20"/>
          <w:spacing w:val="-2"/>
          <w:sz w:val="18"/>
          <w:szCs w:val="18"/>
        </w:rPr>
        <w:t xml:space="preserve"> </w:t>
      </w:r>
      <w:r w:rsidRPr="00ED2501">
        <w:rPr>
          <w:color w:val="231F20"/>
          <w:sz w:val="18"/>
          <w:szCs w:val="18"/>
        </w:rPr>
        <w:t>Statutory</w:t>
      </w:r>
      <w:r w:rsidRPr="00ED2501">
        <w:rPr>
          <w:color w:val="231F20"/>
          <w:spacing w:val="-2"/>
          <w:sz w:val="18"/>
          <w:szCs w:val="18"/>
        </w:rPr>
        <w:t xml:space="preserve"> </w:t>
      </w:r>
      <w:r w:rsidRPr="00ED2501">
        <w:rPr>
          <w:color w:val="231F20"/>
          <w:sz w:val="18"/>
          <w:szCs w:val="18"/>
        </w:rPr>
        <w:t>Bodies</w:t>
      </w:r>
      <w:r w:rsidRPr="00ED2501">
        <w:rPr>
          <w:color w:val="231F20"/>
          <w:spacing w:val="-2"/>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at</w:t>
      </w:r>
      <w:r w:rsidRPr="00ED2501">
        <w:rPr>
          <w:color w:val="231F20"/>
          <w:spacing w:val="-2"/>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end</w:t>
      </w:r>
      <w:r w:rsidRPr="00ED2501">
        <w:rPr>
          <w:color w:val="231F20"/>
          <w:spacing w:val="-3"/>
          <w:sz w:val="18"/>
          <w:szCs w:val="18"/>
        </w:rPr>
        <w:t xml:space="preserve"> </w:t>
      </w:r>
      <w:r w:rsidRPr="00ED2501">
        <w:rPr>
          <w:color w:val="231F20"/>
          <w:sz w:val="18"/>
          <w:szCs w:val="18"/>
        </w:rPr>
        <w:t>of</w:t>
      </w:r>
      <w:r w:rsidRPr="00ED2501">
        <w:rPr>
          <w:color w:val="231F20"/>
          <w:spacing w:val="-2"/>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last</w:t>
      </w:r>
      <w:r w:rsidRPr="00ED2501">
        <w:rPr>
          <w:color w:val="231F20"/>
          <w:spacing w:val="-2"/>
          <w:sz w:val="18"/>
          <w:szCs w:val="18"/>
        </w:rPr>
        <w:t xml:space="preserve"> </w:t>
      </w:r>
      <w:r w:rsidRPr="00ED2501">
        <w:rPr>
          <w:color w:val="231F20"/>
          <w:sz w:val="18"/>
          <w:szCs w:val="18"/>
        </w:rPr>
        <w:t>full</w:t>
      </w:r>
      <w:r w:rsidRPr="00ED2501">
        <w:rPr>
          <w:color w:val="231F20"/>
          <w:spacing w:val="-2"/>
          <w:sz w:val="18"/>
          <w:szCs w:val="18"/>
        </w:rPr>
        <w:t xml:space="preserve"> </w:t>
      </w:r>
      <w:r w:rsidRPr="00ED2501">
        <w:rPr>
          <w:color w:val="231F20"/>
          <w:sz w:val="18"/>
          <w:szCs w:val="18"/>
        </w:rPr>
        <w:t>pay</w:t>
      </w:r>
      <w:r w:rsidRPr="00ED2501">
        <w:rPr>
          <w:color w:val="231F20"/>
          <w:spacing w:val="-2"/>
          <w:sz w:val="18"/>
          <w:szCs w:val="18"/>
        </w:rPr>
        <w:t xml:space="preserve"> </w:t>
      </w:r>
      <w:r w:rsidRPr="00ED2501">
        <w:rPr>
          <w:color w:val="231F20"/>
          <w:sz w:val="18"/>
          <w:szCs w:val="18"/>
        </w:rPr>
        <w:t>period</w:t>
      </w:r>
      <w:r w:rsidRPr="00ED2501">
        <w:rPr>
          <w:color w:val="231F20"/>
          <w:spacing w:val="-2"/>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18</w:t>
      </w:r>
      <w:r w:rsidRPr="00ED2501">
        <w:rPr>
          <w:color w:val="231F20"/>
          <w:spacing w:val="-2"/>
          <w:sz w:val="18"/>
          <w:szCs w:val="18"/>
        </w:rPr>
        <w:t xml:space="preserve"> </w:t>
      </w:r>
      <w:r w:rsidRPr="00ED2501">
        <w:rPr>
          <w:color w:val="231F20"/>
          <w:sz w:val="18"/>
          <w:szCs w:val="18"/>
        </w:rPr>
        <w:t>June</w:t>
      </w:r>
      <w:r w:rsidRPr="00ED2501">
        <w:rPr>
          <w:color w:val="231F20"/>
          <w:spacing w:val="-2"/>
          <w:sz w:val="18"/>
          <w:szCs w:val="18"/>
        </w:rPr>
        <w:t xml:space="preserve"> 2022.</w:t>
      </w:r>
    </w:p>
    <w:p w14:paraId="68AAD6BE" w14:textId="77777777" w:rsidR="00345EE3" w:rsidRDefault="00345EE3" w:rsidP="00345EE3">
      <w:pPr>
        <w:rPr>
          <w:sz w:val="14"/>
        </w:rPr>
        <w:sectPr w:rsidR="00345EE3">
          <w:pgSz w:w="11910" w:h="16840"/>
          <w:pgMar w:top="700" w:right="720" w:bottom="280" w:left="740" w:header="720" w:footer="720" w:gutter="0"/>
          <w:cols w:space="720"/>
        </w:sectPr>
      </w:pPr>
    </w:p>
    <w:p w14:paraId="7CFD1C40" w14:textId="77777777" w:rsidR="00345EE3" w:rsidRPr="00B07858" w:rsidRDefault="00345EE3">
      <w:pPr>
        <w:pStyle w:val="Heading1"/>
        <w:numPr>
          <w:ilvl w:val="0"/>
          <w:numId w:val="93"/>
        </w:numPr>
        <w:tabs>
          <w:tab w:val="left" w:pos="726"/>
        </w:tabs>
        <w:spacing w:before="91" w:line="223" w:lineRule="auto"/>
        <w:ind w:left="110" w:right="776" w:firstLine="0"/>
        <w:rPr>
          <w:b w:val="0"/>
          <w:bCs/>
          <w:sz w:val="56"/>
          <w:szCs w:val="56"/>
        </w:rPr>
      </w:pPr>
      <w:bookmarkStart w:id="6" w:name="_TOC_250001"/>
      <w:r w:rsidRPr="00B07858">
        <w:rPr>
          <w:b w:val="0"/>
          <w:bCs/>
          <w:color w:val="00529F"/>
          <w:spacing w:val="-2"/>
          <w:sz w:val="56"/>
          <w:szCs w:val="56"/>
        </w:rPr>
        <w:t>Financial</w:t>
      </w:r>
      <w:r w:rsidRPr="00B07858">
        <w:rPr>
          <w:b w:val="0"/>
          <w:bCs/>
          <w:color w:val="00529F"/>
          <w:spacing w:val="-37"/>
          <w:sz w:val="56"/>
          <w:szCs w:val="56"/>
        </w:rPr>
        <w:t xml:space="preserve"> </w:t>
      </w:r>
      <w:r w:rsidRPr="00B07858">
        <w:rPr>
          <w:b w:val="0"/>
          <w:bCs/>
          <w:color w:val="00529F"/>
          <w:spacing w:val="-2"/>
          <w:sz w:val="56"/>
          <w:szCs w:val="56"/>
        </w:rPr>
        <w:t>Performance</w:t>
      </w:r>
      <w:r w:rsidRPr="00B07858">
        <w:rPr>
          <w:b w:val="0"/>
          <w:bCs/>
          <w:color w:val="00529F"/>
          <w:spacing w:val="-37"/>
          <w:sz w:val="56"/>
          <w:szCs w:val="56"/>
        </w:rPr>
        <w:t xml:space="preserve"> </w:t>
      </w:r>
      <w:r w:rsidRPr="00B07858">
        <w:rPr>
          <w:b w:val="0"/>
          <w:bCs/>
          <w:color w:val="00529F"/>
          <w:spacing w:val="-2"/>
          <w:sz w:val="56"/>
          <w:szCs w:val="56"/>
        </w:rPr>
        <w:t>and</w:t>
      </w:r>
      <w:r w:rsidRPr="00B07858">
        <w:rPr>
          <w:b w:val="0"/>
          <w:bCs/>
          <w:color w:val="00529F"/>
          <w:spacing w:val="-37"/>
          <w:sz w:val="56"/>
          <w:szCs w:val="56"/>
        </w:rPr>
        <w:t xml:space="preserve"> </w:t>
      </w:r>
      <w:bookmarkEnd w:id="6"/>
      <w:r w:rsidRPr="00B07858">
        <w:rPr>
          <w:b w:val="0"/>
          <w:bCs/>
          <w:color w:val="00529F"/>
          <w:spacing w:val="-2"/>
          <w:sz w:val="56"/>
          <w:szCs w:val="56"/>
        </w:rPr>
        <w:t>Financial Statements</w:t>
      </w:r>
    </w:p>
    <w:p w14:paraId="1531AC4D" w14:textId="77777777" w:rsidR="00345EE3" w:rsidRPr="00D6225D" w:rsidRDefault="00345EE3" w:rsidP="00345EE3">
      <w:pPr>
        <w:pStyle w:val="Heading2"/>
        <w:spacing w:before="215"/>
        <w:rPr>
          <w:sz w:val="32"/>
          <w:szCs w:val="32"/>
        </w:rPr>
      </w:pPr>
      <w:r w:rsidRPr="00D6225D">
        <w:rPr>
          <w:color w:val="00529F"/>
          <w:sz w:val="32"/>
          <w:szCs w:val="32"/>
        </w:rPr>
        <w:t>Report</w:t>
      </w:r>
      <w:r w:rsidRPr="00D6225D">
        <w:rPr>
          <w:color w:val="00529F"/>
          <w:spacing w:val="-3"/>
          <w:sz w:val="32"/>
          <w:szCs w:val="32"/>
        </w:rPr>
        <w:t xml:space="preserve"> </w:t>
      </w:r>
      <w:r w:rsidRPr="00D6225D">
        <w:rPr>
          <w:color w:val="00529F"/>
          <w:spacing w:val="-2"/>
          <w:sz w:val="32"/>
          <w:szCs w:val="32"/>
        </w:rPr>
        <w:t>Structure</w:t>
      </w:r>
    </w:p>
    <w:p w14:paraId="2DABD2ED" w14:textId="77777777" w:rsidR="00345EE3" w:rsidRDefault="00345EE3" w:rsidP="00345EE3">
      <w:pPr>
        <w:pStyle w:val="BodyText"/>
        <w:spacing w:before="72" w:line="242" w:lineRule="auto"/>
      </w:pPr>
      <w:r>
        <w:rPr>
          <w:color w:val="231F20"/>
        </w:rPr>
        <w:t>The</w:t>
      </w:r>
      <w:r>
        <w:rPr>
          <w:color w:val="231F20"/>
          <w:spacing w:val="-10"/>
        </w:rPr>
        <w:t xml:space="preserve"> </w:t>
      </w:r>
      <w:r>
        <w:rPr>
          <w:color w:val="231F20"/>
        </w:rPr>
        <w:t>Chief</w:t>
      </w:r>
      <w:r>
        <w:rPr>
          <w:color w:val="231F20"/>
          <w:spacing w:val="-9"/>
        </w:rPr>
        <w:t xml:space="preserve"> </w:t>
      </w:r>
      <w:r>
        <w:rPr>
          <w:color w:val="231F20"/>
        </w:rPr>
        <w:t>Commissioner</w:t>
      </w:r>
      <w:r>
        <w:rPr>
          <w:color w:val="231F20"/>
          <w:spacing w:val="-9"/>
        </w:rPr>
        <w:t xml:space="preserve"> </w:t>
      </w:r>
      <w:r>
        <w:rPr>
          <w:color w:val="231F20"/>
        </w:rPr>
        <w:t>of</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has</w:t>
      </w:r>
      <w:r>
        <w:rPr>
          <w:color w:val="231F20"/>
          <w:spacing w:val="-9"/>
        </w:rPr>
        <w:t xml:space="preserve"> </w:t>
      </w:r>
      <w:r>
        <w:rPr>
          <w:color w:val="231F20"/>
        </w:rPr>
        <w:t>the</w:t>
      </w:r>
      <w:r>
        <w:rPr>
          <w:color w:val="231F20"/>
          <w:spacing w:val="-10"/>
        </w:rPr>
        <w:t xml:space="preserve"> </w:t>
      </w:r>
      <w:r>
        <w:rPr>
          <w:color w:val="231F20"/>
        </w:rPr>
        <w:t>pleasure</w:t>
      </w:r>
      <w:r>
        <w:rPr>
          <w:color w:val="231F20"/>
          <w:spacing w:val="-10"/>
        </w:rPr>
        <w:t xml:space="preserve"> </w:t>
      </w:r>
      <w:r>
        <w:rPr>
          <w:color w:val="231F20"/>
        </w:rPr>
        <w:t>of</w:t>
      </w:r>
      <w:r>
        <w:rPr>
          <w:color w:val="231F20"/>
          <w:spacing w:val="-9"/>
        </w:rPr>
        <w:t xml:space="preserve"> </w:t>
      </w:r>
      <w:r>
        <w:rPr>
          <w:color w:val="231F20"/>
        </w:rPr>
        <w:t>presenting</w:t>
      </w:r>
      <w:r>
        <w:rPr>
          <w:color w:val="231F20"/>
          <w:spacing w:val="-10"/>
        </w:rPr>
        <w:t xml:space="preserve"> </w:t>
      </w:r>
      <w:r>
        <w:rPr>
          <w:color w:val="231F20"/>
        </w:rPr>
        <w:t>the</w:t>
      </w:r>
      <w:r>
        <w:rPr>
          <w:color w:val="231F20"/>
          <w:spacing w:val="-10"/>
        </w:rPr>
        <w:t xml:space="preserve"> </w:t>
      </w:r>
      <w:r>
        <w:rPr>
          <w:color w:val="231F20"/>
        </w:rPr>
        <w:t>audited</w:t>
      </w:r>
      <w:r>
        <w:rPr>
          <w:color w:val="231F20"/>
          <w:spacing w:val="-10"/>
        </w:rPr>
        <w:t xml:space="preserve"> </w:t>
      </w:r>
      <w:r>
        <w:rPr>
          <w:color w:val="231F20"/>
        </w:rPr>
        <w:t>general purpose financial statements of Victoria Police for the financial year ended 30 June 2022.</w:t>
      </w:r>
    </w:p>
    <w:p w14:paraId="33C7967B" w14:textId="77777777" w:rsidR="00345EE3" w:rsidRDefault="00345EE3" w:rsidP="00D241B3">
      <w:pPr>
        <w:pStyle w:val="BodyText"/>
        <w:spacing w:before="2" w:after="120" w:line="242" w:lineRule="auto"/>
      </w:pPr>
      <w:r>
        <w:rPr>
          <w:color w:val="231F20"/>
        </w:rPr>
        <w:t>These</w:t>
      </w:r>
      <w:r>
        <w:rPr>
          <w:color w:val="231F20"/>
          <w:spacing w:val="-14"/>
        </w:rPr>
        <w:t xml:space="preserve"> </w:t>
      </w:r>
      <w:r>
        <w:rPr>
          <w:color w:val="231F20"/>
        </w:rPr>
        <w:t>financial</w:t>
      </w:r>
      <w:r>
        <w:rPr>
          <w:color w:val="231F20"/>
          <w:spacing w:val="-14"/>
        </w:rPr>
        <w:t xml:space="preserve"> </w:t>
      </w:r>
      <w:r>
        <w:rPr>
          <w:color w:val="231F20"/>
        </w:rPr>
        <w:t>statements</w:t>
      </w:r>
      <w:r>
        <w:rPr>
          <w:color w:val="231F20"/>
          <w:spacing w:val="-13"/>
        </w:rPr>
        <w:t xml:space="preserve"> </w:t>
      </w:r>
      <w:r>
        <w:rPr>
          <w:color w:val="231F20"/>
        </w:rPr>
        <w:t>provide</w:t>
      </w:r>
      <w:r>
        <w:rPr>
          <w:color w:val="231F20"/>
          <w:spacing w:val="-14"/>
        </w:rPr>
        <w:t xml:space="preserve"> </w:t>
      </w:r>
      <w:r>
        <w:rPr>
          <w:color w:val="231F20"/>
        </w:rPr>
        <w:t>users</w:t>
      </w:r>
      <w:r>
        <w:rPr>
          <w:color w:val="231F20"/>
          <w:spacing w:val="-13"/>
        </w:rPr>
        <w:t xml:space="preserve"> </w:t>
      </w:r>
      <w:r>
        <w:rPr>
          <w:color w:val="231F20"/>
        </w:rPr>
        <w:t>with</w:t>
      </w:r>
      <w:r>
        <w:rPr>
          <w:color w:val="231F20"/>
          <w:spacing w:val="-14"/>
        </w:rPr>
        <w:t xml:space="preserve"> </w:t>
      </w:r>
      <w:r>
        <w:rPr>
          <w:color w:val="231F20"/>
        </w:rPr>
        <w:t>information</w:t>
      </w:r>
      <w:r>
        <w:rPr>
          <w:color w:val="231F20"/>
          <w:spacing w:val="-14"/>
        </w:rPr>
        <w:t xml:space="preserve"> </w:t>
      </w:r>
      <w:r>
        <w:rPr>
          <w:color w:val="231F20"/>
        </w:rPr>
        <w:t>about</w:t>
      </w:r>
      <w:r>
        <w:rPr>
          <w:color w:val="231F20"/>
          <w:spacing w:val="-13"/>
        </w:rPr>
        <w:t xml:space="preserve"> </w:t>
      </w:r>
      <w:r>
        <w:rPr>
          <w:color w:val="231F20"/>
        </w:rPr>
        <w:t>Victoria</w:t>
      </w:r>
      <w:r>
        <w:rPr>
          <w:color w:val="231F20"/>
          <w:spacing w:val="-14"/>
        </w:rPr>
        <w:t xml:space="preserve"> </w:t>
      </w:r>
      <w:r>
        <w:rPr>
          <w:color w:val="231F20"/>
        </w:rPr>
        <w:t>Police’s</w:t>
      </w:r>
      <w:r>
        <w:rPr>
          <w:color w:val="231F20"/>
          <w:spacing w:val="-13"/>
        </w:rPr>
        <w:t xml:space="preserve"> </w:t>
      </w:r>
      <w:r>
        <w:rPr>
          <w:color w:val="231F20"/>
        </w:rPr>
        <w:t>stewardship</w:t>
      </w:r>
      <w:r>
        <w:rPr>
          <w:color w:val="231F20"/>
          <w:spacing w:val="-14"/>
        </w:rPr>
        <w:t xml:space="preserve"> </w:t>
      </w:r>
      <w:r>
        <w:rPr>
          <w:color w:val="231F20"/>
        </w:rPr>
        <w:t>of resources entrusted to it. It is presented in the following structure:</w:t>
      </w:r>
    </w:p>
    <w:tbl>
      <w:tblPr>
        <w:tblW w:w="0" w:type="auto"/>
        <w:tblInd w:w="-8" w:type="dxa"/>
        <w:tblLayout w:type="fixed"/>
        <w:tblCellMar>
          <w:left w:w="0" w:type="dxa"/>
          <w:right w:w="0" w:type="dxa"/>
        </w:tblCellMar>
        <w:tblLook w:val="0000" w:firstRow="0" w:lastRow="0" w:firstColumn="0" w:lastColumn="0" w:noHBand="0" w:noVBand="0"/>
      </w:tblPr>
      <w:tblGrid>
        <w:gridCol w:w="2438"/>
        <w:gridCol w:w="6803"/>
        <w:gridCol w:w="964"/>
      </w:tblGrid>
      <w:tr w:rsidR="00D241B3" w:rsidRPr="00D241B3" w14:paraId="3CAAC134" w14:textId="77777777">
        <w:trPr>
          <w:trHeight w:val="60"/>
          <w:tblHeader/>
        </w:trPr>
        <w:tc>
          <w:tcPr>
            <w:tcW w:w="2438"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21ECBCC2" w14:textId="77777777" w:rsidR="00D241B3" w:rsidRPr="00D241B3" w:rsidRDefault="00D241B3" w:rsidP="00D241B3">
            <w:pPr>
              <w:widowControl/>
              <w:adjustRightInd w:val="0"/>
              <w:rPr>
                <w:rFonts w:eastAsia="Myriad Pro"/>
                <w:lang w:val="en-GB"/>
              </w:rPr>
            </w:pPr>
          </w:p>
        </w:tc>
        <w:tc>
          <w:tcPr>
            <w:tcW w:w="6803"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21231A6" w14:textId="77777777" w:rsidR="00D241B3" w:rsidRPr="00D241B3" w:rsidRDefault="00D241B3" w:rsidP="00D241B3">
            <w:pPr>
              <w:widowControl/>
              <w:adjustRightInd w:val="0"/>
              <w:rPr>
                <w:rFonts w:eastAsia="Myriad Pro"/>
                <w:lang w:val="en-GB"/>
              </w:rPr>
            </w:pPr>
          </w:p>
        </w:tc>
        <w:tc>
          <w:tcPr>
            <w:tcW w:w="964"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5F07789B" w14:textId="77777777" w:rsidR="00D241B3" w:rsidRPr="00D241B3" w:rsidRDefault="00D241B3" w:rsidP="00D241B3">
            <w:pPr>
              <w:widowControl/>
              <w:tabs>
                <w:tab w:val="left" w:pos="240"/>
              </w:tabs>
              <w:suppressAutoHyphens/>
              <w:adjustRightInd w:val="0"/>
              <w:spacing w:after="57" w:line="280" w:lineRule="atLeast"/>
              <w:jc w:val="right"/>
              <w:textAlignment w:val="center"/>
              <w:rPr>
                <w:rFonts w:eastAsia="Myriad Pro"/>
                <w:b/>
                <w:bCs/>
                <w:color w:val="FFFFFF"/>
                <w:spacing w:val="-2"/>
                <w:lang w:val="en-GB"/>
              </w:rPr>
            </w:pPr>
            <w:r w:rsidRPr="00D241B3">
              <w:rPr>
                <w:rFonts w:eastAsia="Myriad Pro"/>
                <w:b/>
                <w:bCs/>
                <w:color w:val="FFFFFF"/>
                <w:spacing w:val="-2"/>
                <w:lang w:val="en-GB"/>
              </w:rPr>
              <w:t>Pages</w:t>
            </w:r>
          </w:p>
        </w:tc>
      </w:tr>
      <w:tr w:rsidR="00D241B3" w:rsidRPr="00D241B3" w14:paraId="41404A27" w14:textId="77777777">
        <w:trPr>
          <w:trHeight w:val="60"/>
        </w:trPr>
        <w:tc>
          <w:tcPr>
            <w:tcW w:w="2438" w:type="dxa"/>
            <w:vMerge w:val="restart"/>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7DC2BB22" w14:textId="77777777" w:rsidR="00D241B3" w:rsidRPr="00D241B3" w:rsidRDefault="00D241B3" w:rsidP="00D241B3">
            <w:pPr>
              <w:widowControl/>
              <w:tabs>
                <w:tab w:val="left" w:pos="240"/>
              </w:tabs>
              <w:suppressAutoHyphens/>
              <w:adjustRightInd w:val="0"/>
              <w:spacing w:after="57" w:line="280" w:lineRule="atLeast"/>
              <w:textAlignment w:val="center"/>
              <w:rPr>
                <w:rFonts w:eastAsia="Myriad Pro"/>
                <w:color w:val="000000"/>
                <w:lang w:val="en-GB"/>
              </w:rPr>
            </w:pPr>
            <w:r w:rsidRPr="00D241B3">
              <w:rPr>
                <w:rFonts w:eastAsia="Myriad Pro"/>
                <w:b/>
                <w:bCs/>
                <w:color w:val="000000"/>
                <w:lang w:val="en-GB"/>
              </w:rPr>
              <w:t>Report Certifications</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291FFFD"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Accountable Officer’s and Chief Finance and Accounting Officer’s Declaration</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6165179" w14:textId="21800343"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108</w:t>
            </w:r>
          </w:p>
        </w:tc>
      </w:tr>
      <w:tr w:rsidR="00D241B3" w:rsidRPr="00D241B3" w14:paraId="589BDB53" w14:textId="77777777">
        <w:trPr>
          <w:trHeight w:val="60"/>
        </w:trPr>
        <w:tc>
          <w:tcPr>
            <w:tcW w:w="2438" w:type="dxa"/>
            <w:vMerge/>
            <w:tcBorders>
              <w:top w:val="single" w:sz="6" w:space="0" w:color="000000"/>
              <w:left w:val="single" w:sz="6" w:space="0" w:color="000000"/>
              <w:bottom w:val="single" w:sz="6" w:space="0" w:color="000000"/>
              <w:right w:val="single" w:sz="2" w:space="0" w:color="9D9C9C"/>
            </w:tcBorders>
          </w:tcPr>
          <w:p w14:paraId="5A6980AD"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1C7A43C4"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Independent Auditor’s Report from the Victorian Auditor-General’s Office</w:t>
            </w:r>
          </w:p>
        </w:tc>
        <w:tc>
          <w:tcPr>
            <w:tcW w:w="964" w:type="dxa"/>
            <w:tcBorders>
              <w:top w:val="single" w:sz="2" w:space="0" w:color="9D9C9C"/>
              <w:left w:val="single" w:sz="2" w:space="0" w:color="9D9C9C"/>
              <w:bottom w:val="single" w:sz="6" w:space="0" w:color="000000"/>
              <w:right w:val="single" w:sz="6" w:space="0" w:color="9D9C9C"/>
            </w:tcBorders>
            <w:tcMar>
              <w:top w:w="113" w:type="dxa"/>
              <w:left w:w="14" w:type="dxa"/>
              <w:bottom w:w="113" w:type="dxa"/>
              <w:right w:w="14" w:type="dxa"/>
            </w:tcMar>
          </w:tcPr>
          <w:p w14:paraId="198684A8" w14:textId="63567B72"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109-110</w:t>
            </w:r>
          </w:p>
        </w:tc>
      </w:tr>
      <w:tr w:rsidR="00D241B3" w:rsidRPr="00D241B3" w14:paraId="0679A96A" w14:textId="77777777">
        <w:trPr>
          <w:trHeight w:val="60"/>
        </w:trPr>
        <w:tc>
          <w:tcPr>
            <w:tcW w:w="2438" w:type="dxa"/>
            <w:vMerge w:val="restart"/>
            <w:tcBorders>
              <w:top w:val="single" w:sz="6" w:space="0" w:color="000000"/>
              <w:left w:val="single" w:sz="6" w:space="0" w:color="000000"/>
              <w:bottom w:val="single" w:sz="6" w:space="0" w:color="000000"/>
              <w:right w:val="single" w:sz="2" w:space="0" w:color="9D9C9C"/>
            </w:tcBorders>
            <w:tcMar>
              <w:top w:w="113" w:type="dxa"/>
              <w:left w:w="14" w:type="dxa"/>
              <w:bottom w:w="113" w:type="dxa"/>
              <w:right w:w="14" w:type="dxa"/>
            </w:tcMar>
          </w:tcPr>
          <w:p w14:paraId="6E39E521" w14:textId="77777777" w:rsidR="00D241B3" w:rsidRPr="00D241B3" w:rsidRDefault="00D241B3" w:rsidP="00D241B3">
            <w:pPr>
              <w:widowControl/>
              <w:tabs>
                <w:tab w:val="left" w:pos="240"/>
              </w:tabs>
              <w:suppressAutoHyphens/>
              <w:adjustRightInd w:val="0"/>
              <w:spacing w:after="57" w:line="280" w:lineRule="atLeast"/>
              <w:textAlignment w:val="center"/>
              <w:rPr>
                <w:rFonts w:eastAsia="Myriad Pro"/>
                <w:color w:val="000000"/>
                <w:lang w:val="en-GB"/>
              </w:rPr>
            </w:pPr>
            <w:r w:rsidRPr="00D241B3">
              <w:rPr>
                <w:rFonts w:eastAsia="Myriad Pro"/>
                <w:b/>
                <w:bCs/>
                <w:color w:val="000000"/>
                <w:lang w:val="en-GB"/>
              </w:rPr>
              <w:t>Primary Statements</w:t>
            </w:r>
          </w:p>
        </w:tc>
        <w:tc>
          <w:tcPr>
            <w:tcW w:w="6803" w:type="dxa"/>
            <w:tcBorders>
              <w:top w:val="single" w:sz="6"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3E1804FF"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Comprehensive Operating Statement</w:t>
            </w:r>
          </w:p>
        </w:tc>
        <w:tc>
          <w:tcPr>
            <w:tcW w:w="964" w:type="dxa"/>
            <w:tcBorders>
              <w:top w:val="single" w:sz="6"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3A847497" w14:textId="21511875"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111</w:t>
            </w:r>
          </w:p>
        </w:tc>
      </w:tr>
      <w:tr w:rsidR="00D241B3" w:rsidRPr="00D241B3" w14:paraId="6B90C9C8" w14:textId="77777777">
        <w:trPr>
          <w:trHeight w:val="60"/>
        </w:trPr>
        <w:tc>
          <w:tcPr>
            <w:tcW w:w="2438" w:type="dxa"/>
            <w:vMerge/>
            <w:tcBorders>
              <w:top w:val="single" w:sz="6" w:space="0" w:color="000000"/>
              <w:left w:val="single" w:sz="6" w:space="0" w:color="000000"/>
              <w:bottom w:val="single" w:sz="6" w:space="0" w:color="000000"/>
              <w:right w:val="single" w:sz="2" w:space="0" w:color="9D9C9C"/>
            </w:tcBorders>
          </w:tcPr>
          <w:p w14:paraId="0464F1D9"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F9EB6FF"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Balance Sheet</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6DF3212" w14:textId="32FF7996"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112</w:t>
            </w:r>
          </w:p>
        </w:tc>
      </w:tr>
      <w:tr w:rsidR="00D241B3" w:rsidRPr="00D241B3" w14:paraId="691329C1" w14:textId="77777777">
        <w:trPr>
          <w:trHeight w:val="60"/>
        </w:trPr>
        <w:tc>
          <w:tcPr>
            <w:tcW w:w="2438" w:type="dxa"/>
            <w:vMerge/>
            <w:tcBorders>
              <w:top w:val="single" w:sz="6" w:space="0" w:color="000000"/>
              <w:left w:val="single" w:sz="6" w:space="0" w:color="000000"/>
              <w:bottom w:val="single" w:sz="6" w:space="0" w:color="000000"/>
              <w:right w:val="single" w:sz="2" w:space="0" w:color="9D9C9C"/>
            </w:tcBorders>
          </w:tcPr>
          <w:p w14:paraId="2C99F791"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BB3D89"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Statement of Changes in Equity</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F346BAB" w14:textId="3CCD7E01"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112</w:t>
            </w:r>
          </w:p>
        </w:tc>
      </w:tr>
      <w:tr w:rsidR="00D241B3" w:rsidRPr="00D241B3" w14:paraId="0BD8E738" w14:textId="77777777">
        <w:trPr>
          <w:trHeight w:val="60"/>
        </w:trPr>
        <w:tc>
          <w:tcPr>
            <w:tcW w:w="2438" w:type="dxa"/>
            <w:vMerge/>
            <w:tcBorders>
              <w:top w:val="single" w:sz="6" w:space="0" w:color="000000"/>
              <w:left w:val="single" w:sz="6" w:space="0" w:color="000000"/>
              <w:bottom w:val="single" w:sz="6" w:space="0" w:color="000000"/>
              <w:right w:val="single" w:sz="2" w:space="0" w:color="9D9C9C"/>
            </w:tcBorders>
          </w:tcPr>
          <w:p w14:paraId="1F35B884"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6AF46CE7"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Cash Flow Statement</w:t>
            </w:r>
          </w:p>
        </w:tc>
        <w:tc>
          <w:tcPr>
            <w:tcW w:w="964" w:type="dxa"/>
            <w:tcBorders>
              <w:top w:val="single" w:sz="2" w:space="0" w:color="9D9C9C"/>
              <w:left w:val="single" w:sz="2" w:space="0" w:color="9D9C9C"/>
              <w:bottom w:val="single" w:sz="6" w:space="0" w:color="000000"/>
              <w:right w:val="single" w:sz="6" w:space="0" w:color="9D9C9C"/>
            </w:tcBorders>
            <w:tcMar>
              <w:top w:w="113" w:type="dxa"/>
              <w:left w:w="14" w:type="dxa"/>
              <w:bottom w:w="113" w:type="dxa"/>
              <w:right w:w="14" w:type="dxa"/>
            </w:tcMar>
          </w:tcPr>
          <w:p w14:paraId="3E02C8AA" w14:textId="4BD63CFE"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114</w:t>
            </w:r>
          </w:p>
        </w:tc>
      </w:tr>
      <w:tr w:rsidR="00D241B3" w:rsidRPr="00D241B3" w14:paraId="1C58271A" w14:textId="77777777">
        <w:trPr>
          <w:trHeight w:val="60"/>
        </w:trPr>
        <w:tc>
          <w:tcPr>
            <w:tcW w:w="2438" w:type="dxa"/>
            <w:tcBorders>
              <w:top w:val="single" w:sz="6" w:space="0" w:color="000000"/>
              <w:left w:val="single" w:sz="6" w:space="0" w:color="000000"/>
              <w:bottom w:val="single" w:sz="6" w:space="0" w:color="9D9C9C"/>
              <w:right w:val="single" w:sz="2" w:space="0" w:color="9D9C9C"/>
            </w:tcBorders>
            <w:tcMar>
              <w:top w:w="113" w:type="dxa"/>
              <w:left w:w="14" w:type="dxa"/>
              <w:bottom w:w="113" w:type="dxa"/>
              <w:right w:w="14" w:type="dxa"/>
            </w:tcMar>
          </w:tcPr>
          <w:p w14:paraId="1B2B116F" w14:textId="77777777" w:rsidR="00D241B3" w:rsidRPr="00D241B3" w:rsidRDefault="00D241B3" w:rsidP="00D241B3">
            <w:pPr>
              <w:widowControl/>
              <w:tabs>
                <w:tab w:val="left" w:pos="240"/>
              </w:tabs>
              <w:suppressAutoHyphens/>
              <w:adjustRightInd w:val="0"/>
              <w:spacing w:after="57" w:line="280" w:lineRule="atLeast"/>
              <w:textAlignment w:val="center"/>
              <w:rPr>
                <w:rFonts w:eastAsia="Myriad Pro"/>
                <w:color w:val="000000"/>
                <w:lang w:val="en-GB"/>
              </w:rPr>
            </w:pPr>
            <w:r w:rsidRPr="00D241B3">
              <w:rPr>
                <w:rFonts w:eastAsia="Myriad Pro"/>
                <w:b/>
                <w:bCs/>
                <w:color w:val="000000"/>
                <w:lang w:val="en-GB"/>
              </w:rPr>
              <w:t>Notes to the financial statements</w:t>
            </w:r>
          </w:p>
        </w:tc>
        <w:tc>
          <w:tcPr>
            <w:tcW w:w="6803" w:type="dxa"/>
            <w:tcBorders>
              <w:top w:val="single" w:sz="6"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5E488ABE"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1. About This Report</w:t>
            </w:r>
          </w:p>
          <w:p w14:paraId="1FFF7670"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The basis on which the financial statements have been prepared and compliance with reporting regulations</w:t>
            </w:r>
          </w:p>
        </w:tc>
        <w:tc>
          <w:tcPr>
            <w:tcW w:w="964" w:type="dxa"/>
            <w:tcBorders>
              <w:top w:val="single" w:sz="6"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266F713E" w14:textId="335AF91C"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115-116</w:t>
            </w:r>
          </w:p>
        </w:tc>
      </w:tr>
      <w:tr w:rsidR="00D241B3" w:rsidRPr="00D241B3" w14:paraId="4ABE25EB"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7CE0C02C"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394CDF"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2. Funding Delivery of Our Services</w:t>
            </w:r>
          </w:p>
          <w:p w14:paraId="1246EEA4"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Revenue Recognised in Respect of Grants from Government, Sale of Goods and Services and Other Sources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63DC512" w14:textId="567828CE"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117</w:t>
            </w:r>
          </w:p>
        </w:tc>
      </w:tr>
      <w:tr w:rsidR="00D241B3" w:rsidRPr="00D241B3" w14:paraId="0B9F19D4"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7BC1952A"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846292"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2.1</w:t>
            </w:r>
            <w:r w:rsidRPr="00D241B3">
              <w:rPr>
                <w:rFonts w:eastAsia="Myriad Pro"/>
                <w:i/>
                <w:iCs/>
                <w:color w:val="000000"/>
                <w:spacing w:val="-4"/>
                <w:lang w:val="en-GB"/>
              </w:rPr>
              <w:tab/>
              <w:t>Summary of Income that Funds the Delivery of Our Services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DC64DB0" w14:textId="3E6645E0"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117</w:t>
            </w:r>
          </w:p>
        </w:tc>
      </w:tr>
      <w:tr w:rsidR="00D241B3" w:rsidRPr="00D241B3" w14:paraId="6FE2AE49"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71AE9907"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319887"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2.2 </w:t>
            </w:r>
            <w:r w:rsidRPr="00D241B3">
              <w:rPr>
                <w:rFonts w:eastAsia="Myriad Pro"/>
                <w:i/>
                <w:iCs/>
                <w:color w:val="000000"/>
                <w:spacing w:val="-4"/>
                <w:lang w:val="en-GB"/>
              </w:rPr>
              <w:tab/>
              <w:t>Grants from Victorian Government</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3B55DF7" w14:textId="61474226"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117</w:t>
            </w:r>
          </w:p>
        </w:tc>
      </w:tr>
      <w:tr w:rsidR="00D241B3" w:rsidRPr="00D241B3" w14:paraId="0DA01ACC"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66451363"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05BA53"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2.3 </w:t>
            </w:r>
            <w:r w:rsidRPr="00D241B3">
              <w:rPr>
                <w:rFonts w:eastAsia="Myriad Pro"/>
                <w:i/>
                <w:iCs/>
                <w:color w:val="000000"/>
                <w:spacing w:val="-4"/>
                <w:lang w:val="en-GB"/>
              </w:rPr>
              <w:tab/>
              <w:t>Income from Transactions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DC9B136" w14:textId="0F76877A"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116-119</w:t>
            </w:r>
          </w:p>
        </w:tc>
      </w:tr>
      <w:tr w:rsidR="00D241B3" w:rsidRPr="00D241B3" w14:paraId="5BDC19D3"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5230B4BD"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928C14"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2.4 </w:t>
            </w:r>
            <w:r w:rsidRPr="00D241B3">
              <w:rPr>
                <w:rFonts w:eastAsia="Myriad Pro"/>
                <w:i/>
                <w:iCs/>
                <w:color w:val="000000"/>
                <w:spacing w:val="-4"/>
                <w:lang w:val="en-GB"/>
              </w:rPr>
              <w:tab/>
              <w:t>Interest Income</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E14B7CD" w14:textId="63BD068B"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119</w:t>
            </w:r>
          </w:p>
        </w:tc>
      </w:tr>
      <w:tr w:rsidR="00D241B3" w:rsidRPr="00D241B3" w14:paraId="4D42DBA2"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5D79224"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A0E246D"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2.5 </w:t>
            </w:r>
            <w:r w:rsidRPr="00D241B3">
              <w:rPr>
                <w:rFonts w:eastAsia="Myriad Pro"/>
                <w:i/>
                <w:iCs/>
                <w:color w:val="000000"/>
                <w:spacing w:val="-4"/>
                <w:lang w:val="en-GB"/>
              </w:rPr>
              <w:tab/>
              <w:t>Other Income</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B985006" w14:textId="79478646"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119</w:t>
            </w:r>
          </w:p>
        </w:tc>
      </w:tr>
      <w:tr w:rsidR="00D241B3" w:rsidRPr="00D241B3" w14:paraId="1AAD2C62"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18F0AD98"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406E98"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2.6 </w:t>
            </w:r>
            <w:r w:rsidRPr="00D241B3">
              <w:rPr>
                <w:rFonts w:eastAsia="Myriad Pro"/>
                <w:i/>
                <w:iCs/>
                <w:color w:val="000000"/>
                <w:spacing w:val="-4"/>
                <w:lang w:val="en-GB"/>
              </w:rPr>
              <w:tab/>
              <w:t>Annotated Income Agreements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6DF96E9" w14:textId="15C51CB6"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120</w:t>
            </w:r>
          </w:p>
        </w:tc>
      </w:tr>
      <w:tr w:rsidR="00D241B3" w:rsidRPr="00D241B3" w14:paraId="0CBFB48E"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008C66E0"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553467D"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3. The Cost of Delivering Services</w:t>
            </w:r>
          </w:p>
          <w:p w14:paraId="06C3FC36"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Operating Expenses of Victoria Police</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7AF5795" w14:textId="72E2462A"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121</w:t>
            </w:r>
          </w:p>
        </w:tc>
      </w:tr>
      <w:tr w:rsidR="00D241B3" w:rsidRPr="00D241B3" w14:paraId="7F8DE913"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317E5702"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6DCB863"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3.1</w:t>
            </w:r>
            <w:r w:rsidRPr="00D241B3">
              <w:rPr>
                <w:rFonts w:eastAsia="Myriad Pro"/>
                <w:i/>
                <w:iCs/>
                <w:color w:val="000000"/>
                <w:spacing w:val="-4"/>
                <w:lang w:val="en-GB"/>
              </w:rPr>
              <w:tab/>
              <w:t>Expenses Incurred in Delivery of Services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C9A8930" w14:textId="7163EC39"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121-125</w:t>
            </w:r>
          </w:p>
        </w:tc>
      </w:tr>
      <w:tr w:rsidR="00D241B3" w:rsidRPr="00D241B3" w14:paraId="2D1D8217"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02337AD0"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BFB2940"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3.2 </w:t>
            </w:r>
            <w:r w:rsidRPr="00D241B3">
              <w:rPr>
                <w:rFonts w:eastAsia="Myriad Pro"/>
                <w:i/>
                <w:iCs/>
                <w:color w:val="000000"/>
                <w:spacing w:val="-4"/>
                <w:lang w:val="en-GB"/>
              </w:rPr>
              <w:tab/>
              <w:t>Capital Asset Charge</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D6A2BC2" w14:textId="65186296"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125</w:t>
            </w:r>
          </w:p>
        </w:tc>
      </w:tr>
      <w:tr w:rsidR="00D241B3" w:rsidRPr="00D241B3" w14:paraId="01C86F72" w14:textId="77777777">
        <w:trPr>
          <w:trHeight w:val="60"/>
        </w:trPr>
        <w:tc>
          <w:tcPr>
            <w:tcW w:w="2438" w:type="dxa"/>
            <w:tcBorders>
              <w:top w:val="single" w:sz="6"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01487FE"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B1FABC"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3.3 </w:t>
            </w:r>
            <w:r w:rsidRPr="00D241B3">
              <w:rPr>
                <w:rFonts w:eastAsia="Myriad Pro"/>
                <w:i/>
                <w:iCs/>
                <w:color w:val="000000"/>
                <w:spacing w:val="-4"/>
                <w:lang w:val="en-GB"/>
              </w:rPr>
              <w:tab/>
              <w:t>Operating Expenses (Including Ex-Gratia Payments)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CECC182" w14:textId="3DC002EB"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126-127</w:t>
            </w:r>
          </w:p>
        </w:tc>
      </w:tr>
      <w:tr w:rsidR="00D241B3" w:rsidRPr="00D241B3" w14:paraId="60186CB2" w14:textId="77777777">
        <w:trPr>
          <w:trHeight w:val="60"/>
        </w:trPr>
        <w:tc>
          <w:tcPr>
            <w:tcW w:w="2438" w:type="dxa"/>
            <w:tcBorders>
              <w:top w:val="single" w:sz="2"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01682C61"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47B2F0E"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4. Administered Items</w:t>
            </w:r>
          </w:p>
          <w:p w14:paraId="54C8DDD5"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Policing Services Output and Administered (Non-Controlled) Items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8F31279" w14:textId="47A7819A"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127-128</w:t>
            </w:r>
          </w:p>
        </w:tc>
      </w:tr>
      <w:tr w:rsidR="00D241B3" w:rsidRPr="00D241B3" w14:paraId="0534C9A3"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40EC01B"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ECA4AC"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4.1 </w:t>
            </w:r>
            <w:r w:rsidRPr="00D241B3">
              <w:rPr>
                <w:rFonts w:eastAsia="Myriad Pro"/>
                <w:i/>
                <w:iCs/>
                <w:color w:val="000000"/>
                <w:spacing w:val="-4"/>
                <w:lang w:val="en-GB"/>
              </w:rPr>
              <w:tab/>
              <w:t>Administered Items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57644A8" w14:textId="708F116B"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129-130</w:t>
            </w:r>
          </w:p>
        </w:tc>
      </w:tr>
      <w:tr w:rsidR="00D241B3" w:rsidRPr="00D241B3" w14:paraId="41AF15E5"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55281535"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C2656C"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5. Key Assets Available To Support Output Delivery</w:t>
            </w:r>
          </w:p>
          <w:p w14:paraId="25B9D1E7"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Land, Buildings, Plant and Equipment, Motor Vehicles and Intangible Assets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4B65386" w14:textId="65FB3407"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131</w:t>
            </w:r>
          </w:p>
        </w:tc>
      </w:tr>
      <w:tr w:rsidR="00D241B3" w:rsidRPr="00D241B3" w14:paraId="3E3757F1"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74E7C057"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CAB4C0"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5.1 </w:t>
            </w:r>
            <w:r w:rsidRPr="00D241B3">
              <w:rPr>
                <w:rFonts w:eastAsia="Myriad Pro"/>
                <w:i/>
                <w:iCs/>
                <w:color w:val="000000"/>
                <w:spacing w:val="-4"/>
                <w:lang w:val="en-GB"/>
              </w:rPr>
              <w:tab/>
              <w:t>Property, Plant and Equipment</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085205C" w14:textId="6AD5551D"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132-141</w:t>
            </w:r>
          </w:p>
        </w:tc>
      </w:tr>
      <w:tr w:rsidR="00D241B3" w:rsidRPr="00D241B3" w14:paraId="221C6F30"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6C358F64"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DCADD2C"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5.2 </w:t>
            </w:r>
            <w:r w:rsidRPr="00D241B3">
              <w:rPr>
                <w:rFonts w:eastAsia="Myriad Pro"/>
                <w:i/>
                <w:iCs/>
                <w:color w:val="000000"/>
                <w:spacing w:val="-4"/>
                <w:lang w:val="en-GB"/>
              </w:rPr>
              <w:tab/>
              <w:t>Intangible Assets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A93C5EA" w14:textId="46D1F470"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142-143</w:t>
            </w:r>
          </w:p>
        </w:tc>
      </w:tr>
      <w:tr w:rsidR="00D241B3" w:rsidRPr="00D241B3" w14:paraId="4EDB8C92"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37E23B5C"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0C17BA"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5.3 </w:t>
            </w:r>
            <w:r w:rsidRPr="00D241B3">
              <w:rPr>
                <w:rFonts w:eastAsia="Myriad Pro"/>
                <w:i/>
                <w:iCs/>
                <w:color w:val="000000"/>
                <w:spacing w:val="-4"/>
                <w:lang w:val="en-GB"/>
              </w:rPr>
              <w:tab/>
              <w:t>Physical Asset Revaluation Surplus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3F73C92" w14:textId="0613492A"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143-144</w:t>
            </w:r>
          </w:p>
        </w:tc>
      </w:tr>
      <w:tr w:rsidR="00D241B3" w:rsidRPr="00D241B3" w14:paraId="61EEEC31"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57ACAD95"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8C003A"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6. Other Assets and Liabilities</w:t>
            </w:r>
          </w:p>
          <w:p w14:paraId="13F17568"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Working Capital Balances and Other Key Assets and Liabilities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131E36F" w14:textId="6816A7C8"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145</w:t>
            </w:r>
          </w:p>
        </w:tc>
      </w:tr>
      <w:tr w:rsidR="00D241B3" w:rsidRPr="00D241B3" w14:paraId="3A107CAC"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5E80FF5"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B90305"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6.1 </w:t>
            </w:r>
            <w:r w:rsidRPr="00D241B3">
              <w:rPr>
                <w:rFonts w:eastAsia="Myriad Pro"/>
                <w:i/>
                <w:iCs/>
                <w:color w:val="000000"/>
                <w:spacing w:val="-4"/>
                <w:lang w:val="en-GB"/>
              </w:rPr>
              <w:tab/>
              <w:t>Receivables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EB5A891" w14:textId="10375144"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145-146</w:t>
            </w:r>
          </w:p>
        </w:tc>
      </w:tr>
      <w:tr w:rsidR="00D241B3" w:rsidRPr="00D241B3" w14:paraId="6857A6B7"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58B9C97"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0318FB"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6.2 </w:t>
            </w:r>
            <w:r w:rsidRPr="00D241B3">
              <w:rPr>
                <w:rFonts w:eastAsia="Myriad Pro"/>
                <w:i/>
                <w:iCs/>
                <w:color w:val="000000"/>
                <w:spacing w:val="-4"/>
                <w:lang w:val="en-GB"/>
              </w:rPr>
              <w:tab/>
              <w:t>Derivative Financial Instruments and Hedge Accounting</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9E24401" w14:textId="329B702D"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146-147</w:t>
            </w:r>
          </w:p>
        </w:tc>
      </w:tr>
      <w:tr w:rsidR="00D241B3" w:rsidRPr="00D241B3" w14:paraId="70D7EABB"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05A397D8"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004F961"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6.3 </w:t>
            </w:r>
            <w:r w:rsidRPr="00D241B3">
              <w:rPr>
                <w:rFonts w:eastAsia="Myriad Pro"/>
                <w:i/>
                <w:iCs/>
                <w:color w:val="000000"/>
                <w:spacing w:val="-4"/>
                <w:lang w:val="en-GB"/>
              </w:rPr>
              <w:tab/>
              <w:t>Payables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9DFFC1F" w14:textId="64ACE18B"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147-148</w:t>
            </w:r>
          </w:p>
        </w:tc>
      </w:tr>
      <w:tr w:rsidR="00D241B3" w:rsidRPr="00D241B3" w14:paraId="3A8E394D"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654EDFD"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33AC5AC"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6.4 </w:t>
            </w:r>
            <w:r w:rsidRPr="00D241B3">
              <w:rPr>
                <w:rFonts w:eastAsia="Myriad Pro"/>
                <w:i/>
                <w:iCs/>
                <w:color w:val="000000"/>
                <w:spacing w:val="-4"/>
                <w:lang w:val="en-GB"/>
              </w:rPr>
              <w:tab/>
              <w:t>Other Non-Financial Assets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0BE2B42" w14:textId="4E435BD6"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148</w:t>
            </w:r>
          </w:p>
        </w:tc>
      </w:tr>
      <w:tr w:rsidR="00D241B3" w:rsidRPr="00D241B3" w14:paraId="0ABA474C"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7D390CE5"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B0A9CD"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6.5 </w:t>
            </w:r>
            <w:r w:rsidRPr="00D241B3">
              <w:rPr>
                <w:rFonts w:eastAsia="Myriad Pro"/>
                <w:i/>
                <w:iCs/>
                <w:color w:val="000000"/>
                <w:spacing w:val="-4"/>
                <w:lang w:val="en-GB"/>
              </w:rPr>
              <w:tab/>
              <w:t>Other Provisions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46ED3A5" w14:textId="6A06E1B6"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148-149</w:t>
            </w:r>
          </w:p>
        </w:tc>
      </w:tr>
      <w:tr w:rsidR="00D241B3" w:rsidRPr="00D241B3" w14:paraId="0597C569"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74DE6BC"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996FA5"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7. Financing Our Operations</w:t>
            </w:r>
          </w:p>
          <w:p w14:paraId="035CF35F"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Borrowings, Cash Flow Information and Leases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FF142AE" w14:textId="24290E57"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150</w:t>
            </w:r>
          </w:p>
        </w:tc>
      </w:tr>
      <w:tr w:rsidR="00D241B3" w:rsidRPr="00D241B3" w14:paraId="4F546EA2"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A7D0977"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9E0D62D"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7.1 </w:t>
            </w:r>
            <w:r w:rsidRPr="00D241B3">
              <w:rPr>
                <w:rFonts w:eastAsia="Myriad Pro"/>
                <w:i/>
                <w:iCs/>
                <w:color w:val="000000"/>
                <w:spacing w:val="-4"/>
                <w:lang w:val="en-GB"/>
              </w:rPr>
              <w:tab/>
              <w:t>Borrowings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1853BCF" w14:textId="6A995EBC"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151</w:t>
            </w:r>
          </w:p>
        </w:tc>
      </w:tr>
      <w:tr w:rsidR="00D241B3" w:rsidRPr="00D241B3" w14:paraId="491C0060"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75250F0C"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BF232A"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7.2 </w:t>
            </w:r>
            <w:r w:rsidRPr="00D241B3">
              <w:rPr>
                <w:rFonts w:eastAsia="Myriad Pro"/>
                <w:i/>
                <w:iCs/>
                <w:color w:val="000000"/>
                <w:spacing w:val="-4"/>
                <w:lang w:val="en-GB"/>
              </w:rPr>
              <w:tab/>
              <w:t>Leases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4B4DA00" w14:textId="6A910D96"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152-154</w:t>
            </w:r>
          </w:p>
        </w:tc>
      </w:tr>
      <w:tr w:rsidR="00D241B3" w:rsidRPr="00D241B3" w14:paraId="313CC2C5"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52473C90"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EB4A6A"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7.3 </w:t>
            </w:r>
            <w:r w:rsidRPr="00D241B3">
              <w:rPr>
                <w:rFonts w:eastAsia="Myriad Pro"/>
                <w:i/>
                <w:iCs/>
                <w:color w:val="000000"/>
                <w:spacing w:val="-4"/>
                <w:lang w:val="en-GB"/>
              </w:rPr>
              <w:tab/>
              <w:t>Cash Flow Information and Balances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A927FC8" w14:textId="1A28FB0E"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154-155</w:t>
            </w:r>
          </w:p>
        </w:tc>
      </w:tr>
      <w:tr w:rsidR="00D241B3" w:rsidRPr="00D241B3" w14:paraId="29E55E91"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0308D25E"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7B089D"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7.4 </w:t>
            </w:r>
            <w:r w:rsidRPr="00D241B3">
              <w:rPr>
                <w:rFonts w:eastAsia="Myriad Pro"/>
                <w:i/>
                <w:iCs/>
                <w:color w:val="000000"/>
                <w:spacing w:val="-4"/>
                <w:lang w:val="en-GB"/>
              </w:rPr>
              <w:tab/>
              <w:t>Trust Account Balances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F0625CE" w14:textId="5BCB7526"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155-158</w:t>
            </w:r>
          </w:p>
        </w:tc>
      </w:tr>
      <w:tr w:rsidR="00D241B3" w:rsidRPr="00D241B3" w14:paraId="451D79BA"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5F69AC47"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4030432"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7.5 </w:t>
            </w:r>
            <w:r w:rsidRPr="00D241B3">
              <w:rPr>
                <w:rFonts w:eastAsia="Myriad Pro"/>
                <w:i/>
                <w:iCs/>
                <w:color w:val="000000"/>
                <w:spacing w:val="-4"/>
                <w:lang w:val="en-GB"/>
              </w:rPr>
              <w:tab/>
              <w:t>Capital Structure</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2C4DB4A" w14:textId="1BA280E7" w:rsidR="00D241B3" w:rsidRPr="00D241B3" w:rsidRDefault="00D241B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sidRPr="00D241B3">
              <w:rPr>
                <w:rFonts w:eastAsia="Myriad Pro"/>
                <w:color w:val="000000"/>
                <w:spacing w:val="-2"/>
                <w:lang w:val="en-GB"/>
              </w:rPr>
              <w:t>1</w:t>
            </w:r>
            <w:r w:rsidR="00FC0B03">
              <w:rPr>
                <w:rFonts w:eastAsia="Myriad Pro"/>
                <w:color w:val="000000"/>
                <w:spacing w:val="-2"/>
                <w:lang w:val="en-GB"/>
              </w:rPr>
              <w:t>58</w:t>
            </w:r>
          </w:p>
        </w:tc>
      </w:tr>
      <w:tr w:rsidR="00D241B3" w:rsidRPr="00D241B3" w14:paraId="0529B638"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16D3B83A"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34F52E0"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7.6 </w:t>
            </w:r>
            <w:r w:rsidRPr="00D241B3">
              <w:rPr>
                <w:rFonts w:eastAsia="Myriad Pro"/>
                <w:i/>
                <w:iCs/>
                <w:color w:val="000000"/>
                <w:spacing w:val="-4"/>
                <w:lang w:val="en-GB"/>
              </w:rPr>
              <w:tab/>
              <w:t>Commitments for Expenditure</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52B31FE" w14:textId="52C8DF8D" w:rsidR="00D241B3" w:rsidRPr="00D241B3" w:rsidRDefault="0099613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159-</w:t>
            </w:r>
            <w:r w:rsidR="00D241B3" w:rsidRPr="00D241B3">
              <w:rPr>
                <w:rFonts w:eastAsia="Myriad Pro"/>
                <w:color w:val="000000"/>
                <w:spacing w:val="-2"/>
                <w:lang w:val="en-GB"/>
              </w:rPr>
              <w:t>1</w:t>
            </w:r>
            <w:r>
              <w:rPr>
                <w:rFonts w:eastAsia="Myriad Pro"/>
                <w:color w:val="000000"/>
                <w:spacing w:val="-2"/>
                <w:lang w:val="en-GB"/>
              </w:rPr>
              <w:t>60</w:t>
            </w:r>
          </w:p>
        </w:tc>
      </w:tr>
      <w:tr w:rsidR="00D241B3" w:rsidRPr="00D241B3" w14:paraId="355EA3FA"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C4026C3"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41BC4F5"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8. Risks, Contingencies and Valuation Judgements</w:t>
            </w:r>
          </w:p>
          <w:p w14:paraId="285FB4BC"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Financial Risk Management, Contingent Liabilities, Contingent Assets and Fair Value Determination Disclosures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AA55FF1" w14:textId="0FE319C3" w:rsidR="00D241B3" w:rsidRPr="00D241B3" w:rsidRDefault="00D241B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sidRPr="00D241B3">
              <w:rPr>
                <w:rFonts w:eastAsia="Myriad Pro"/>
                <w:color w:val="000000"/>
                <w:spacing w:val="-2"/>
                <w:lang w:val="en-GB"/>
              </w:rPr>
              <w:t>1</w:t>
            </w:r>
            <w:r w:rsidR="00996131">
              <w:rPr>
                <w:rFonts w:eastAsia="Myriad Pro"/>
                <w:color w:val="000000"/>
                <w:spacing w:val="-2"/>
                <w:lang w:val="en-GB"/>
              </w:rPr>
              <w:t>60</w:t>
            </w:r>
          </w:p>
        </w:tc>
      </w:tr>
      <w:tr w:rsidR="00D241B3" w:rsidRPr="00D241B3" w14:paraId="79800089"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0AC57861"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A7CA73"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8.1 </w:t>
            </w:r>
            <w:r w:rsidRPr="00D241B3">
              <w:rPr>
                <w:rFonts w:eastAsia="Myriad Pro"/>
                <w:i/>
                <w:iCs/>
                <w:color w:val="000000"/>
                <w:spacing w:val="-4"/>
                <w:lang w:val="en-GB"/>
              </w:rPr>
              <w:tab/>
              <w:t>Financial Instruments Specific Disclosures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40E73DF" w14:textId="583DF4F1" w:rsidR="00D241B3" w:rsidRPr="00D241B3" w:rsidRDefault="0099613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160-177</w:t>
            </w:r>
          </w:p>
        </w:tc>
      </w:tr>
      <w:tr w:rsidR="00D241B3" w:rsidRPr="00D241B3" w14:paraId="344A12D9"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3EA16F65"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3B579F"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8.2 </w:t>
            </w:r>
            <w:r w:rsidRPr="00D241B3">
              <w:rPr>
                <w:rFonts w:eastAsia="Myriad Pro"/>
                <w:i/>
                <w:iCs/>
                <w:color w:val="000000"/>
                <w:spacing w:val="-4"/>
                <w:lang w:val="en-GB"/>
              </w:rPr>
              <w:tab/>
              <w:t>Contingent Liabilities and Contingent Assets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99D581C" w14:textId="2870C365" w:rsidR="00D241B3" w:rsidRPr="00D241B3" w:rsidRDefault="0099613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178</w:t>
            </w:r>
          </w:p>
        </w:tc>
      </w:tr>
      <w:tr w:rsidR="00D241B3" w:rsidRPr="00D241B3" w14:paraId="02A55D36" w14:textId="77777777">
        <w:trPr>
          <w:trHeight w:val="60"/>
        </w:trPr>
        <w:tc>
          <w:tcPr>
            <w:tcW w:w="2438" w:type="dxa"/>
            <w:tcBorders>
              <w:top w:val="single" w:sz="6"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8C1DF28"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09AD094"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8.3 </w:t>
            </w:r>
            <w:r w:rsidRPr="00D241B3">
              <w:rPr>
                <w:rFonts w:eastAsia="Myriad Pro"/>
                <w:i/>
                <w:iCs/>
                <w:color w:val="000000"/>
                <w:spacing w:val="-4"/>
                <w:lang w:val="en-GB"/>
              </w:rPr>
              <w:tab/>
              <w:t>Fair Value Determination</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E40AFCF" w14:textId="37AB9518" w:rsidR="00D241B3" w:rsidRPr="00D241B3" w:rsidRDefault="0099613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178-188</w:t>
            </w:r>
          </w:p>
        </w:tc>
      </w:tr>
      <w:tr w:rsidR="00D241B3" w:rsidRPr="00D241B3" w14:paraId="7C7634B4" w14:textId="77777777">
        <w:trPr>
          <w:trHeight w:val="60"/>
        </w:trPr>
        <w:tc>
          <w:tcPr>
            <w:tcW w:w="2438" w:type="dxa"/>
            <w:tcBorders>
              <w:top w:val="single" w:sz="2"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1CF59F42"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5EB7B20"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9. Other Disclosures</w:t>
            </w:r>
          </w:p>
          <w:p w14:paraId="05DF446F"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Additional Disclosures that are Material for the Understanding of this Financial Report</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1510694" w14:textId="56A0AC0C" w:rsidR="00D241B3" w:rsidRPr="00D241B3" w:rsidRDefault="0099613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189</w:t>
            </w:r>
          </w:p>
        </w:tc>
      </w:tr>
      <w:tr w:rsidR="00D241B3" w:rsidRPr="00D241B3" w14:paraId="624A2A98"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5DD0CE88"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901C09"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9.1 </w:t>
            </w:r>
            <w:r w:rsidRPr="00D241B3">
              <w:rPr>
                <w:rFonts w:eastAsia="Myriad Pro"/>
                <w:i/>
                <w:iCs/>
                <w:color w:val="000000"/>
                <w:spacing w:val="-4"/>
                <w:lang w:val="en-GB"/>
              </w:rPr>
              <w:tab/>
              <w:t>Other Economic Flows Included in Net Result</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9905CEF" w14:textId="1CDE2245" w:rsidR="00D241B3" w:rsidRPr="00D241B3" w:rsidRDefault="0099613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189-190</w:t>
            </w:r>
          </w:p>
        </w:tc>
      </w:tr>
      <w:tr w:rsidR="00D241B3" w:rsidRPr="00D241B3" w14:paraId="2B4EFDA4"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5250E707"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BBE145"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9.2 </w:t>
            </w:r>
            <w:r w:rsidRPr="00D241B3">
              <w:rPr>
                <w:rFonts w:eastAsia="Myriad Pro"/>
                <w:i/>
                <w:iCs/>
                <w:color w:val="000000"/>
                <w:spacing w:val="-4"/>
                <w:lang w:val="en-GB"/>
              </w:rPr>
              <w:tab/>
              <w:t>Responsible Persons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6BDD2DB" w14:textId="60E62891"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191-192</w:t>
            </w:r>
          </w:p>
        </w:tc>
      </w:tr>
      <w:tr w:rsidR="00D241B3" w:rsidRPr="00D241B3" w14:paraId="09633B90"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10654D81"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95B07EF"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9.3 </w:t>
            </w:r>
            <w:r w:rsidRPr="00D241B3">
              <w:rPr>
                <w:rFonts w:eastAsia="Myriad Pro"/>
                <w:i/>
                <w:iCs/>
                <w:color w:val="000000"/>
                <w:spacing w:val="-4"/>
                <w:lang w:val="en-GB"/>
              </w:rPr>
              <w:tab/>
              <w:t>Remuneration of Executives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44C2CE5" w14:textId="3510517B"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192</w:t>
            </w:r>
          </w:p>
        </w:tc>
      </w:tr>
      <w:tr w:rsidR="00D241B3" w:rsidRPr="00D241B3" w14:paraId="6C21E755"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3EF0CC25"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6D47033"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9.4 </w:t>
            </w:r>
            <w:r w:rsidRPr="00D241B3">
              <w:rPr>
                <w:rFonts w:eastAsia="Myriad Pro"/>
                <w:i/>
                <w:iCs/>
                <w:color w:val="000000"/>
                <w:spacing w:val="-4"/>
                <w:lang w:val="en-GB"/>
              </w:rPr>
              <w:tab/>
              <w:t>Related Parties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EE11651" w14:textId="2E682851"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193-197</w:t>
            </w:r>
          </w:p>
        </w:tc>
      </w:tr>
      <w:tr w:rsidR="00D241B3" w:rsidRPr="00D241B3" w14:paraId="1B8DE4EF"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6BB493C6"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996025A"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9.5 </w:t>
            </w:r>
            <w:r w:rsidRPr="00D241B3">
              <w:rPr>
                <w:rFonts w:eastAsia="Myriad Pro"/>
                <w:i/>
                <w:iCs/>
                <w:color w:val="000000"/>
                <w:spacing w:val="-4"/>
                <w:lang w:val="en-GB"/>
              </w:rPr>
              <w:tab/>
              <w:t>Subsequent Events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AE4EE11" w14:textId="72D6C329"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197</w:t>
            </w:r>
          </w:p>
        </w:tc>
      </w:tr>
      <w:tr w:rsidR="00D241B3" w:rsidRPr="00D241B3" w14:paraId="29EEA6E0"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D9467BD"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5C7901"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9.6 </w:t>
            </w:r>
            <w:r w:rsidRPr="00D241B3">
              <w:rPr>
                <w:rFonts w:eastAsia="Myriad Pro"/>
                <w:i/>
                <w:iCs/>
                <w:color w:val="000000"/>
                <w:spacing w:val="-4"/>
                <w:lang w:val="en-GB"/>
              </w:rPr>
              <w:tab/>
              <w:t>COVID-19 Statement</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39AEFCF" w14:textId="5279DD18"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197</w:t>
            </w:r>
          </w:p>
        </w:tc>
      </w:tr>
      <w:tr w:rsidR="00D241B3" w:rsidRPr="00D241B3" w14:paraId="407854E2"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4384AE93"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2A1704"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9.7 </w:t>
            </w:r>
            <w:r w:rsidRPr="00D241B3">
              <w:rPr>
                <w:rFonts w:eastAsia="Myriad Pro"/>
                <w:i/>
                <w:iCs/>
                <w:color w:val="000000"/>
                <w:spacing w:val="-4"/>
                <w:lang w:val="en-GB"/>
              </w:rPr>
              <w:tab/>
              <w:t>Other Accounting Policies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DC1D795" w14:textId="4E20FC3C"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198</w:t>
            </w:r>
          </w:p>
        </w:tc>
      </w:tr>
      <w:tr w:rsidR="00D241B3" w:rsidRPr="00D241B3" w14:paraId="27620D3F"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635D2F5A"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8EE73F4"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9.8 </w:t>
            </w:r>
            <w:r w:rsidRPr="00D241B3">
              <w:rPr>
                <w:rFonts w:eastAsia="Myriad Pro"/>
                <w:i/>
                <w:iCs/>
                <w:color w:val="000000"/>
                <w:spacing w:val="-4"/>
                <w:lang w:val="en-GB"/>
              </w:rPr>
              <w:tab/>
              <w:t>Australian Accounting Standards Issued That Are Not Yet Effective</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EE30C77" w14:textId="149949CE"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198</w:t>
            </w:r>
          </w:p>
        </w:tc>
      </w:tr>
      <w:tr w:rsidR="00D241B3" w:rsidRPr="00D241B3" w14:paraId="1551BBD7" w14:textId="77777777">
        <w:trPr>
          <w:trHeight w:val="60"/>
        </w:trPr>
        <w:tc>
          <w:tcPr>
            <w:tcW w:w="2438" w:type="dxa"/>
            <w:tcBorders>
              <w:top w:val="single" w:sz="6"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77A2DF75"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3E6386D6"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9.9 </w:t>
            </w:r>
            <w:r w:rsidRPr="00D241B3">
              <w:rPr>
                <w:rFonts w:eastAsia="Myriad Pro"/>
                <w:i/>
                <w:iCs/>
                <w:color w:val="000000"/>
                <w:spacing w:val="-4"/>
                <w:lang w:val="en-GB"/>
              </w:rPr>
              <w:tab/>
              <w:t>Style Conventions</w:t>
            </w:r>
          </w:p>
        </w:tc>
        <w:tc>
          <w:tcPr>
            <w:tcW w:w="964" w:type="dxa"/>
            <w:tcBorders>
              <w:top w:val="single" w:sz="2" w:space="0" w:color="9D9C9C"/>
              <w:left w:val="single" w:sz="2" w:space="0" w:color="9D9C9C"/>
              <w:bottom w:val="single" w:sz="6" w:space="0" w:color="000000"/>
              <w:right w:val="single" w:sz="6" w:space="0" w:color="9D9C9C"/>
            </w:tcBorders>
            <w:tcMar>
              <w:top w:w="113" w:type="dxa"/>
              <w:left w:w="14" w:type="dxa"/>
              <w:bottom w:w="113" w:type="dxa"/>
              <w:right w:w="14" w:type="dxa"/>
            </w:tcMar>
          </w:tcPr>
          <w:p w14:paraId="0B3898FC" w14:textId="59B16F63"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199</w:t>
            </w:r>
          </w:p>
        </w:tc>
      </w:tr>
    </w:tbl>
    <w:p w14:paraId="0AE4B1FF" w14:textId="77777777" w:rsidR="00345EE3" w:rsidRDefault="00345EE3" w:rsidP="00345EE3">
      <w:pPr>
        <w:pStyle w:val="BodyText"/>
        <w:spacing w:before="1"/>
        <w:rPr>
          <w:sz w:val="12"/>
        </w:rPr>
      </w:pPr>
    </w:p>
    <w:p w14:paraId="7CDB7CB0" w14:textId="77777777" w:rsidR="00345EE3" w:rsidRDefault="00345EE3" w:rsidP="00345EE3">
      <w:pPr>
        <w:pStyle w:val="BodyText"/>
        <w:spacing w:before="2"/>
        <w:rPr>
          <w:sz w:val="2"/>
        </w:rPr>
      </w:pPr>
    </w:p>
    <w:p w14:paraId="7BA2700E" w14:textId="77777777" w:rsidR="00345EE3" w:rsidRDefault="00345EE3" w:rsidP="00345EE3">
      <w:pPr>
        <w:rPr>
          <w:sz w:val="24"/>
        </w:rPr>
        <w:sectPr w:rsidR="00345EE3">
          <w:pgSz w:w="11910" w:h="16840"/>
          <w:pgMar w:top="800" w:right="720" w:bottom="280" w:left="740" w:header="720" w:footer="720" w:gutter="0"/>
          <w:cols w:space="720"/>
        </w:sectPr>
      </w:pPr>
    </w:p>
    <w:p w14:paraId="21B1BECD" w14:textId="77777777" w:rsidR="00345EE3" w:rsidRDefault="00345EE3" w:rsidP="00345EE3">
      <w:pPr>
        <w:pStyle w:val="BodyText"/>
        <w:ind w:left="115"/>
        <w:rPr>
          <w:sz w:val="20"/>
        </w:rPr>
      </w:pPr>
      <w:r>
        <w:rPr>
          <w:noProof/>
          <w:sz w:val="20"/>
        </w:rPr>
        <w:drawing>
          <wp:inline distT="0" distB="0" distL="0" distR="0" wp14:anchorId="52FFEC02" wp14:editId="3F0DEBC8">
            <wp:extent cx="6196055" cy="8846439"/>
            <wp:effectExtent l="0" t="0" r="0" b="0"/>
            <wp:docPr id="13" name="image7.jpeg" descr="The Accountable Officer's and Chief Finance Officer's Declaration. Signed by Chief Commissioner Victoria Police Shane Patton APM and Chief Financial Officer Victoria Police Byron Crawford in Melbourne on 1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The Accountable Officer's and Chief Finance Officer's Declaration. Signed by Chief Commissioner Victoria Police Shane Patton APM and Chief Financial Officer Victoria Police Byron Crawford in Melbourne on 1 September 2022"/>
                    <pic:cNvPicPr/>
                  </pic:nvPicPr>
                  <pic:blipFill>
                    <a:blip r:embed="rId41" cstate="print"/>
                    <a:stretch>
                      <a:fillRect/>
                    </a:stretch>
                  </pic:blipFill>
                  <pic:spPr>
                    <a:xfrm>
                      <a:off x="0" y="0"/>
                      <a:ext cx="6196055" cy="8846439"/>
                    </a:xfrm>
                    <a:prstGeom prst="rect">
                      <a:avLst/>
                    </a:prstGeom>
                  </pic:spPr>
                </pic:pic>
              </a:graphicData>
            </a:graphic>
          </wp:inline>
        </w:drawing>
      </w:r>
    </w:p>
    <w:p w14:paraId="3AF17FBC" w14:textId="77777777" w:rsidR="00345EE3" w:rsidRDefault="00345EE3" w:rsidP="00345EE3">
      <w:pPr>
        <w:rPr>
          <w:sz w:val="20"/>
        </w:rPr>
        <w:sectPr w:rsidR="00345EE3">
          <w:pgSz w:w="11910" w:h="16840"/>
          <w:pgMar w:top="960" w:right="720" w:bottom="280" w:left="740" w:header="720" w:footer="720" w:gutter="0"/>
          <w:cols w:space="720"/>
        </w:sectPr>
      </w:pPr>
    </w:p>
    <w:p w14:paraId="5DBE3127" w14:textId="77777777" w:rsidR="00345EE3" w:rsidRDefault="00345EE3" w:rsidP="00345EE3">
      <w:pPr>
        <w:pStyle w:val="BodyText"/>
        <w:rPr>
          <w:sz w:val="20"/>
        </w:rPr>
      </w:pPr>
      <w:r>
        <w:rPr>
          <w:noProof/>
          <w:sz w:val="20"/>
        </w:rPr>
        <w:drawing>
          <wp:inline distT="0" distB="0" distL="0" distR="0" wp14:anchorId="141B3672" wp14:editId="73045E45">
            <wp:extent cx="6102186" cy="8616124"/>
            <wp:effectExtent l="0" t="0" r="0" b="0"/>
            <wp:docPr id="15" name="image8.jpeg" descr="Page 1 of 2 from the Victorian Auditor-General's Office 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Page 1 of 2 from the Victorian Auditor-General's Office Independent Auditor's Report."/>
                    <pic:cNvPicPr/>
                  </pic:nvPicPr>
                  <pic:blipFill>
                    <a:blip r:embed="rId42" cstate="print"/>
                    <a:stretch>
                      <a:fillRect/>
                    </a:stretch>
                  </pic:blipFill>
                  <pic:spPr>
                    <a:xfrm>
                      <a:off x="0" y="0"/>
                      <a:ext cx="6102186" cy="8616124"/>
                    </a:xfrm>
                    <a:prstGeom prst="rect">
                      <a:avLst/>
                    </a:prstGeom>
                  </pic:spPr>
                </pic:pic>
              </a:graphicData>
            </a:graphic>
          </wp:inline>
        </w:drawing>
      </w:r>
    </w:p>
    <w:p w14:paraId="6470878C" w14:textId="77777777" w:rsidR="00345EE3" w:rsidRDefault="00345EE3" w:rsidP="00345EE3">
      <w:pPr>
        <w:rPr>
          <w:sz w:val="20"/>
        </w:rPr>
        <w:sectPr w:rsidR="00345EE3">
          <w:pgSz w:w="11910" w:h="16840"/>
          <w:pgMar w:top="1280" w:right="720" w:bottom="280" w:left="740" w:header="720" w:footer="720" w:gutter="0"/>
          <w:cols w:space="720"/>
        </w:sectPr>
      </w:pPr>
    </w:p>
    <w:p w14:paraId="4C0CF2A8" w14:textId="77777777" w:rsidR="00345EE3" w:rsidRDefault="00345EE3" w:rsidP="00345EE3">
      <w:pPr>
        <w:pStyle w:val="BodyText"/>
        <w:ind w:left="244"/>
        <w:rPr>
          <w:sz w:val="20"/>
        </w:rPr>
      </w:pPr>
      <w:r>
        <w:rPr>
          <w:noProof/>
          <w:sz w:val="20"/>
        </w:rPr>
        <w:drawing>
          <wp:inline distT="0" distB="0" distL="0" distR="0" wp14:anchorId="09A17960" wp14:editId="12BA188B">
            <wp:extent cx="5948619" cy="8341518"/>
            <wp:effectExtent l="0" t="0" r="0" b="0"/>
            <wp:docPr id="17" name="image9.jpeg" descr="Page 2 of 2 from the Victorian Auditor-General's Office Independent Auditor's Report. Signed by Andrew Greaves in Melbourne on 2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Page 2 of 2 from the Victorian Auditor-General's Office Independent Auditor's Report. Signed by Andrew Greaves in Melbourne on 2 September 2022."/>
                    <pic:cNvPicPr/>
                  </pic:nvPicPr>
                  <pic:blipFill>
                    <a:blip r:embed="rId43" cstate="print"/>
                    <a:stretch>
                      <a:fillRect/>
                    </a:stretch>
                  </pic:blipFill>
                  <pic:spPr>
                    <a:xfrm>
                      <a:off x="0" y="0"/>
                      <a:ext cx="5948619" cy="8341518"/>
                    </a:xfrm>
                    <a:prstGeom prst="rect">
                      <a:avLst/>
                    </a:prstGeom>
                  </pic:spPr>
                </pic:pic>
              </a:graphicData>
            </a:graphic>
          </wp:inline>
        </w:drawing>
      </w:r>
    </w:p>
    <w:p w14:paraId="27C5E6FB" w14:textId="77777777" w:rsidR="00345EE3" w:rsidRDefault="00345EE3" w:rsidP="00345EE3">
      <w:pPr>
        <w:rPr>
          <w:sz w:val="20"/>
        </w:rPr>
        <w:sectPr w:rsidR="00345EE3">
          <w:pgSz w:w="11910" w:h="16840"/>
          <w:pgMar w:top="1240" w:right="720" w:bottom="280" w:left="740" w:header="720" w:footer="720" w:gutter="0"/>
          <w:cols w:space="720"/>
        </w:sectPr>
      </w:pPr>
    </w:p>
    <w:p w14:paraId="6E3AFDC1" w14:textId="77777777" w:rsidR="00345EE3" w:rsidRPr="00D6225D" w:rsidRDefault="00345EE3" w:rsidP="00345EE3">
      <w:pPr>
        <w:pStyle w:val="Heading2"/>
        <w:rPr>
          <w:sz w:val="32"/>
          <w:szCs w:val="32"/>
        </w:rPr>
      </w:pPr>
      <w:r w:rsidRPr="00D6225D">
        <w:rPr>
          <w:color w:val="00529F"/>
          <w:spacing w:val="-2"/>
          <w:sz w:val="32"/>
          <w:szCs w:val="32"/>
        </w:rPr>
        <w:t>Comprehensive</w:t>
      </w:r>
      <w:r w:rsidRPr="00D6225D">
        <w:rPr>
          <w:color w:val="00529F"/>
          <w:spacing w:val="-7"/>
          <w:sz w:val="32"/>
          <w:szCs w:val="32"/>
        </w:rPr>
        <w:t xml:space="preserve"> </w:t>
      </w:r>
      <w:r w:rsidRPr="00D6225D">
        <w:rPr>
          <w:color w:val="00529F"/>
          <w:spacing w:val="-2"/>
          <w:sz w:val="32"/>
          <w:szCs w:val="32"/>
        </w:rPr>
        <w:t>Operating</w:t>
      </w:r>
      <w:r w:rsidRPr="00D6225D">
        <w:rPr>
          <w:color w:val="00529F"/>
          <w:spacing w:val="-4"/>
          <w:sz w:val="32"/>
          <w:szCs w:val="32"/>
        </w:rPr>
        <w:t xml:space="preserve"> </w:t>
      </w:r>
      <w:r w:rsidRPr="00D6225D">
        <w:rPr>
          <w:color w:val="00529F"/>
          <w:spacing w:val="-2"/>
          <w:sz w:val="32"/>
          <w:szCs w:val="32"/>
        </w:rPr>
        <w:t>Statement</w:t>
      </w:r>
    </w:p>
    <w:p w14:paraId="6825B565" w14:textId="77777777" w:rsidR="00345EE3" w:rsidRDefault="00345EE3" w:rsidP="00345EE3">
      <w:pPr>
        <w:pStyle w:val="Heading5"/>
        <w:spacing w:before="72"/>
      </w:pPr>
      <w:r>
        <w:rPr>
          <w:color w:val="231F20"/>
        </w:rPr>
        <w:t>For</w:t>
      </w:r>
      <w:r>
        <w:rPr>
          <w:color w:val="231F20"/>
          <w:spacing w:val="-5"/>
        </w:rPr>
        <w:t xml:space="preserve"> </w:t>
      </w:r>
      <w:r>
        <w:rPr>
          <w:color w:val="231F20"/>
        </w:rPr>
        <w:t>the</w:t>
      </w:r>
      <w:r>
        <w:rPr>
          <w:color w:val="231F20"/>
          <w:spacing w:val="-4"/>
        </w:rPr>
        <w:t xml:space="preserve"> </w:t>
      </w:r>
      <w:r>
        <w:rPr>
          <w:color w:val="231F20"/>
        </w:rPr>
        <w:t>financial</w:t>
      </w:r>
      <w:r>
        <w:rPr>
          <w:color w:val="231F20"/>
          <w:spacing w:val="-3"/>
        </w:rPr>
        <w:t xml:space="preserve"> </w:t>
      </w:r>
      <w:r>
        <w:rPr>
          <w:color w:val="231F20"/>
        </w:rPr>
        <w:t>year</w:t>
      </w:r>
      <w:r>
        <w:rPr>
          <w:color w:val="231F20"/>
          <w:spacing w:val="-4"/>
        </w:rPr>
        <w:t xml:space="preserve"> </w:t>
      </w:r>
      <w:r>
        <w:rPr>
          <w:color w:val="231F20"/>
        </w:rPr>
        <w:t>ended</w:t>
      </w:r>
      <w:r>
        <w:rPr>
          <w:color w:val="231F20"/>
          <w:spacing w:val="-3"/>
        </w:rPr>
        <w:t xml:space="preserve"> </w:t>
      </w:r>
      <w:r>
        <w:rPr>
          <w:color w:val="231F20"/>
        </w:rPr>
        <w:t>30</w:t>
      </w:r>
      <w:r>
        <w:rPr>
          <w:color w:val="231F20"/>
          <w:spacing w:val="-4"/>
        </w:rPr>
        <w:t xml:space="preserve"> </w:t>
      </w:r>
      <w:r>
        <w:rPr>
          <w:color w:val="231F20"/>
        </w:rPr>
        <w:t>June</w:t>
      </w:r>
      <w:r>
        <w:rPr>
          <w:color w:val="231F20"/>
          <w:spacing w:val="-4"/>
        </w:rPr>
        <w:t xml:space="preserve"> 2022</w:t>
      </w:r>
    </w:p>
    <w:p w14:paraId="09ACCD45" w14:textId="77777777" w:rsidR="00345EE3" w:rsidRDefault="00345EE3" w:rsidP="00345EE3">
      <w:pPr>
        <w:pStyle w:val="BodyText"/>
        <w:spacing w:before="6"/>
        <w:rPr>
          <w:b/>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690"/>
        <w:gridCol w:w="1134"/>
        <w:gridCol w:w="1191"/>
        <w:gridCol w:w="1191"/>
      </w:tblGrid>
      <w:tr w:rsidR="00345EE3" w14:paraId="7C9DA1B1" w14:textId="77777777" w:rsidTr="00D73130">
        <w:trPr>
          <w:trHeight w:val="405"/>
        </w:trPr>
        <w:tc>
          <w:tcPr>
            <w:tcW w:w="10206" w:type="dxa"/>
            <w:gridSpan w:val="4"/>
            <w:tcBorders>
              <w:top w:val="nil"/>
              <w:left w:val="nil"/>
              <w:bottom w:val="nil"/>
              <w:right w:val="nil"/>
            </w:tcBorders>
            <w:shd w:val="clear" w:color="auto" w:fill="00529F"/>
          </w:tcPr>
          <w:p w14:paraId="454B80EB" w14:textId="77777777" w:rsidR="00345EE3" w:rsidRDefault="00345EE3" w:rsidP="00D73130">
            <w:pPr>
              <w:pStyle w:val="TableParagraph"/>
              <w:spacing w:before="63"/>
              <w:ind w:right="1"/>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190D2BE6" w14:textId="77777777" w:rsidTr="00D73130">
        <w:trPr>
          <w:trHeight w:val="397"/>
        </w:trPr>
        <w:tc>
          <w:tcPr>
            <w:tcW w:w="6690" w:type="dxa"/>
            <w:tcBorders>
              <w:top w:val="nil"/>
              <w:left w:val="nil"/>
              <w:bottom w:val="nil"/>
              <w:right w:val="nil"/>
            </w:tcBorders>
            <w:shd w:val="clear" w:color="auto" w:fill="00529F"/>
          </w:tcPr>
          <w:p w14:paraId="4650F9D6"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2B8D6E5F" w14:textId="77777777" w:rsidR="00345EE3" w:rsidRDefault="00345EE3" w:rsidP="00D73130">
            <w:pPr>
              <w:pStyle w:val="TableParagraph"/>
              <w:spacing w:before="59"/>
              <w:ind w:left="218" w:right="218"/>
              <w:jc w:val="center"/>
              <w:rPr>
                <w:b/>
                <w:sz w:val="24"/>
              </w:rPr>
            </w:pPr>
            <w:r>
              <w:rPr>
                <w:b/>
                <w:color w:val="FFFFFF"/>
                <w:spacing w:val="-2"/>
                <w:sz w:val="24"/>
              </w:rPr>
              <w:t>Notes</w:t>
            </w:r>
          </w:p>
        </w:tc>
        <w:tc>
          <w:tcPr>
            <w:tcW w:w="1191" w:type="dxa"/>
            <w:tcBorders>
              <w:top w:val="nil"/>
              <w:left w:val="nil"/>
              <w:bottom w:val="nil"/>
              <w:right w:val="nil"/>
            </w:tcBorders>
            <w:shd w:val="clear" w:color="auto" w:fill="00529F"/>
          </w:tcPr>
          <w:p w14:paraId="6BCFEE01" w14:textId="77777777" w:rsidR="00345EE3" w:rsidRDefault="00345EE3" w:rsidP="00D73130">
            <w:pPr>
              <w:pStyle w:val="TableParagraph"/>
              <w:spacing w:before="59"/>
              <w:ind w:right="58"/>
              <w:rPr>
                <w:b/>
                <w:sz w:val="24"/>
              </w:rPr>
            </w:pPr>
            <w:r>
              <w:rPr>
                <w:b/>
                <w:color w:val="FFFFFF"/>
                <w:spacing w:val="-4"/>
                <w:sz w:val="24"/>
              </w:rPr>
              <w:t>2022</w:t>
            </w:r>
          </w:p>
        </w:tc>
        <w:tc>
          <w:tcPr>
            <w:tcW w:w="1191" w:type="dxa"/>
            <w:tcBorders>
              <w:top w:val="nil"/>
              <w:left w:val="nil"/>
              <w:bottom w:val="nil"/>
              <w:right w:val="nil"/>
            </w:tcBorders>
            <w:shd w:val="clear" w:color="auto" w:fill="00529F"/>
          </w:tcPr>
          <w:p w14:paraId="22EA7EBF" w14:textId="77777777" w:rsidR="00345EE3" w:rsidRDefault="00345EE3" w:rsidP="00D73130">
            <w:pPr>
              <w:pStyle w:val="TableParagraph"/>
              <w:spacing w:before="59"/>
              <w:ind w:right="58"/>
              <w:rPr>
                <w:b/>
                <w:sz w:val="24"/>
              </w:rPr>
            </w:pPr>
            <w:r>
              <w:rPr>
                <w:b/>
                <w:color w:val="FFFFFF"/>
                <w:spacing w:val="-4"/>
                <w:sz w:val="24"/>
              </w:rPr>
              <w:t>2021</w:t>
            </w:r>
          </w:p>
        </w:tc>
      </w:tr>
      <w:tr w:rsidR="00345EE3" w14:paraId="05706795" w14:textId="77777777" w:rsidTr="00D73130">
        <w:trPr>
          <w:trHeight w:val="396"/>
        </w:trPr>
        <w:tc>
          <w:tcPr>
            <w:tcW w:w="6690" w:type="dxa"/>
            <w:tcBorders>
              <w:top w:val="nil"/>
              <w:left w:val="nil"/>
            </w:tcBorders>
          </w:tcPr>
          <w:p w14:paraId="2959C71C" w14:textId="77777777" w:rsidR="00345EE3" w:rsidRDefault="00345EE3" w:rsidP="00D73130">
            <w:pPr>
              <w:pStyle w:val="TableParagraph"/>
              <w:ind w:left="-3"/>
              <w:jc w:val="left"/>
              <w:rPr>
                <w:b/>
                <w:sz w:val="24"/>
              </w:rPr>
            </w:pPr>
            <w:r>
              <w:rPr>
                <w:b/>
                <w:color w:val="231F20"/>
                <w:sz w:val="24"/>
              </w:rPr>
              <w:t xml:space="preserve">Income From </w:t>
            </w:r>
            <w:r>
              <w:rPr>
                <w:b/>
                <w:color w:val="231F20"/>
                <w:spacing w:val="-2"/>
                <w:sz w:val="24"/>
              </w:rPr>
              <w:t>Transactions</w:t>
            </w:r>
          </w:p>
        </w:tc>
        <w:tc>
          <w:tcPr>
            <w:tcW w:w="1134" w:type="dxa"/>
            <w:tcBorders>
              <w:top w:val="nil"/>
            </w:tcBorders>
          </w:tcPr>
          <w:p w14:paraId="74384B9E" w14:textId="77777777" w:rsidR="00345EE3" w:rsidRDefault="00345EE3" w:rsidP="00D73130">
            <w:pPr>
              <w:pStyle w:val="TableParagraph"/>
              <w:spacing w:before="0"/>
              <w:jc w:val="left"/>
              <w:rPr>
                <w:rFonts w:ascii="Times New Roman"/>
              </w:rPr>
            </w:pPr>
          </w:p>
        </w:tc>
        <w:tc>
          <w:tcPr>
            <w:tcW w:w="1191" w:type="dxa"/>
            <w:tcBorders>
              <w:top w:val="nil"/>
            </w:tcBorders>
            <w:shd w:val="clear" w:color="auto" w:fill="E6E7E8"/>
          </w:tcPr>
          <w:p w14:paraId="2EB9F36C" w14:textId="77777777" w:rsidR="00345EE3" w:rsidRDefault="00345EE3" w:rsidP="00D73130">
            <w:pPr>
              <w:pStyle w:val="TableParagraph"/>
              <w:spacing w:before="0"/>
              <w:jc w:val="left"/>
              <w:rPr>
                <w:rFonts w:ascii="Times New Roman"/>
              </w:rPr>
            </w:pPr>
          </w:p>
        </w:tc>
        <w:tc>
          <w:tcPr>
            <w:tcW w:w="1191" w:type="dxa"/>
            <w:tcBorders>
              <w:top w:val="nil"/>
              <w:right w:val="nil"/>
            </w:tcBorders>
          </w:tcPr>
          <w:p w14:paraId="2EBC3600" w14:textId="77777777" w:rsidR="00345EE3" w:rsidRDefault="00345EE3" w:rsidP="00D73130">
            <w:pPr>
              <w:pStyle w:val="TableParagraph"/>
              <w:spacing w:before="0"/>
              <w:jc w:val="left"/>
              <w:rPr>
                <w:rFonts w:ascii="Times New Roman"/>
              </w:rPr>
            </w:pPr>
          </w:p>
        </w:tc>
      </w:tr>
      <w:tr w:rsidR="00345EE3" w14:paraId="2AF0145A" w14:textId="77777777" w:rsidTr="00D73130">
        <w:trPr>
          <w:trHeight w:val="396"/>
        </w:trPr>
        <w:tc>
          <w:tcPr>
            <w:tcW w:w="6690" w:type="dxa"/>
            <w:tcBorders>
              <w:left w:val="nil"/>
            </w:tcBorders>
          </w:tcPr>
          <w:p w14:paraId="444280D7" w14:textId="77777777" w:rsidR="00345EE3" w:rsidRDefault="00345EE3" w:rsidP="00D73130">
            <w:pPr>
              <w:pStyle w:val="TableParagraph"/>
              <w:ind w:left="167"/>
              <w:jc w:val="left"/>
              <w:rPr>
                <w:sz w:val="24"/>
              </w:rPr>
            </w:pPr>
            <w:r>
              <w:rPr>
                <w:color w:val="231F20"/>
                <w:sz w:val="24"/>
              </w:rPr>
              <w:t>Grants</w:t>
            </w:r>
            <w:r>
              <w:rPr>
                <w:color w:val="231F20"/>
                <w:spacing w:val="-5"/>
                <w:sz w:val="24"/>
              </w:rPr>
              <w:t xml:space="preserve"> </w:t>
            </w:r>
            <w:r>
              <w:rPr>
                <w:color w:val="231F20"/>
                <w:sz w:val="24"/>
              </w:rPr>
              <w:t>from</w:t>
            </w:r>
            <w:r>
              <w:rPr>
                <w:color w:val="231F20"/>
                <w:spacing w:val="-4"/>
                <w:sz w:val="24"/>
              </w:rPr>
              <w:t xml:space="preserve"> </w:t>
            </w:r>
            <w:r>
              <w:rPr>
                <w:color w:val="231F20"/>
                <w:sz w:val="24"/>
              </w:rPr>
              <w:t>Victorian</w:t>
            </w:r>
            <w:r>
              <w:rPr>
                <w:color w:val="231F20"/>
                <w:spacing w:val="-4"/>
                <w:sz w:val="24"/>
              </w:rPr>
              <w:t xml:space="preserve"> </w:t>
            </w:r>
            <w:r>
              <w:rPr>
                <w:color w:val="231F20"/>
                <w:spacing w:val="-2"/>
                <w:sz w:val="24"/>
              </w:rPr>
              <w:t>Government</w:t>
            </w:r>
          </w:p>
        </w:tc>
        <w:tc>
          <w:tcPr>
            <w:tcW w:w="1134" w:type="dxa"/>
          </w:tcPr>
          <w:p w14:paraId="46559D69" w14:textId="77777777" w:rsidR="00345EE3" w:rsidRDefault="00345EE3" w:rsidP="00D73130">
            <w:pPr>
              <w:pStyle w:val="TableParagraph"/>
              <w:ind w:left="281" w:right="282"/>
              <w:jc w:val="center"/>
              <w:rPr>
                <w:sz w:val="24"/>
              </w:rPr>
            </w:pPr>
            <w:r>
              <w:rPr>
                <w:color w:val="231F20"/>
                <w:spacing w:val="-5"/>
                <w:sz w:val="24"/>
              </w:rPr>
              <w:t>2.2</w:t>
            </w:r>
          </w:p>
        </w:tc>
        <w:tc>
          <w:tcPr>
            <w:tcW w:w="1191" w:type="dxa"/>
            <w:shd w:val="clear" w:color="auto" w:fill="E6E7E8"/>
          </w:tcPr>
          <w:p w14:paraId="5D848ECC" w14:textId="77777777" w:rsidR="00345EE3" w:rsidRDefault="00345EE3" w:rsidP="00D73130">
            <w:pPr>
              <w:pStyle w:val="TableParagraph"/>
              <w:ind w:right="56"/>
              <w:rPr>
                <w:sz w:val="24"/>
              </w:rPr>
            </w:pPr>
            <w:r>
              <w:rPr>
                <w:color w:val="231F20"/>
                <w:spacing w:val="-2"/>
                <w:sz w:val="24"/>
              </w:rPr>
              <w:t>4,082,978</w:t>
            </w:r>
          </w:p>
        </w:tc>
        <w:tc>
          <w:tcPr>
            <w:tcW w:w="1191" w:type="dxa"/>
            <w:tcBorders>
              <w:right w:val="nil"/>
            </w:tcBorders>
          </w:tcPr>
          <w:p w14:paraId="41671727" w14:textId="77777777" w:rsidR="00345EE3" w:rsidRDefault="00345EE3" w:rsidP="00D73130">
            <w:pPr>
              <w:pStyle w:val="TableParagraph"/>
              <w:ind w:right="56"/>
              <w:rPr>
                <w:sz w:val="24"/>
              </w:rPr>
            </w:pPr>
            <w:r>
              <w:rPr>
                <w:color w:val="231F20"/>
                <w:spacing w:val="-2"/>
                <w:sz w:val="24"/>
              </w:rPr>
              <w:t>4,088,960</w:t>
            </w:r>
          </w:p>
        </w:tc>
      </w:tr>
      <w:tr w:rsidR="00345EE3" w14:paraId="77A714AF" w14:textId="77777777" w:rsidTr="00D73130">
        <w:trPr>
          <w:trHeight w:val="396"/>
        </w:trPr>
        <w:tc>
          <w:tcPr>
            <w:tcW w:w="6690" w:type="dxa"/>
            <w:tcBorders>
              <w:left w:val="nil"/>
            </w:tcBorders>
          </w:tcPr>
          <w:p w14:paraId="57498AB9" w14:textId="77777777" w:rsidR="00345EE3" w:rsidRDefault="00345EE3" w:rsidP="00D73130">
            <w:pPr>
              <w:pStyle w:val="TableParagraph"/>
              <w:ind w:left="167"/>
              <w:jc w:val="left"/>
              <w:rPr>
                <w:sz w:val="24"/>
              </w:rPr>
            </w:pPr>
            <w:r>
              <w:rPr>
                <w:color w:val="231F20"/>
                <w:sz w:val="24"/>
              </w:rPr>
              <w:t>Sale</w:t>
            </w:r>
            <w:r>
              <w:rPr>
                <w:color w:val="231F20"/>
                <w:spacing w:val="-2"/>
                <w:sz w:val="24"/>
              </w:rPr>
              <w:t xml:space="preserve"> </w:t>
            </w:r>
            <w:r>
              <w:rPr>
                <w:color w:val="231F20"/>
                <w:sz w:val="24"/>
              </w:rPr>
              <w:t>of</w:t>
            </w:r>
            <w:r>
              <w:rPr>
                <w:color w:val="231F20"/>
                <w:spacing w:val="-3"/>
                <w:sz w:val="24"/>
              </w:rPr>
              <w:t xml:space="preserve"> </w:t>
            </w:r>
            <w:r>
              <w:rPr>
                <w:color w:val="231F20"/>
                <w:sz w:val="24"/>
              </w:rPr>
              <w:t>goods</w:t>
            </w:r>
            <w:r>
              <w:rPr>
                <w:color w:val="231F20"/>
                <w:spacing w:val="-3"/>
                <w:sz w:val="24"/>
              </w:rPr>
              <w:t xml:space="preserve"> </w:t>
            </w:r>
            <w:r>
              <w:rPr>
                <w:color w:val="231F20"/>
                <w:sz w:val="24"/>
              </w:rPr>
              <w:t>and</w:t>
            </w:r>
            <w:r>
              <w:rPr>
                <w:color w:val="231F20"/>
                <w:spacing w:val="-2"/>
                <w:sz w:val="24"/>
              </w:rPr>
              <w:t xml:space="preserve"> services</w:t>
            </w:r>
          </w:p>
        </w:tc>
        <w:tc>
          <w:tcPr>
            <w:tcW w:w="1134" w:type="dxa"/>
          </w:tcPr>
          <w:p w14:paraId="3B5BC6BB" w14:textId="77777777" w:rsidR="00345EE3" w:rsidRDefault="00345EE3" w:rsidP="00D73130">
            <w:pPr>
              <w:pStyle w:val="TableParagraph"/>
              <w:ind w:left="281" w:right="282"/>
              <w:jc w:val="center"/>
              <w:rPr>
                <w:sz w:val="24"/>
              </w:rPr>
            </w:pPr>
            <w:r>
              <w:rPr>
                <w:color w:val="231F20"/>
                <w:spacing w:val="-2"/>
                <w:sz w:val="24"/>
              </w:rPr>
              <w:t>2.3.1</w:t>
            </w:r>
          </w:p>
        </w:tc>
        <w:tc>
          <w:tcPr>
            <w:tcW w:w="1191" w:type="dxa"/>
            <w:shd w:val="clear" w:color="auto" w:fill="E6E7E8"/>
          </w:tcPr>
          <w:p w14:paraId="4AE3C083" w14:textId="77777777" w:rsidR="00345EE3" w:rsidRDefault="00345EE3" w:rsidP="00D73130">
            <w:pPr>
              <w:pStyle w:val="TableParagraph"/>
              <w:ind w:right="55"/>
              <w:rPr>
                <w:sz w:val="24"/>
              </w:rPr>
            </w:pPr>
            <w:r>
              <w:rPr>
                <w:color w:val="231F20"/>
                <w:spacing w:val="-2"/>
                <w:sz w:val="24"/>
              </w:rPr>
              <w:t>1,789</w:t>
            </w:r>
          </w:p>
        </w:tc>
        <w:tc>
          <w:tcPr>
            <w:tcW w:w="1191" w:type="dxa"/>
            <w:tcBorders>
              <w:right w:val="nil"/>
            </w:tcBorders>
          </w:tcPr>
          <w:p w14:paraId="1E5D2D7F" w14:textId="77777777" w:rsidR="00345EE3" w:rsidRDefault="00345EE3" w:rsidP="00D73130">
            <w:pPr>
              <w:pStyle w:val="TableParagraph"/>
              <w:ind w:right="56"/>
              <w:rPr>
                <w:sz w:val="24"/>
              </w:rPr>
            </w:pPr>
            <w:r>
              <w:rPr>
                <w:color w:val="231F20"/>
                <w:spacing w:val="-2"/>
                <w:sz w:val="24"/>
              </w:rPr>
              <w:t>1,336</w:t>
            </w:r>
          </w:p>
        </w:tc>
      </w:tr>
      <w:tr w:rsidR="00345EE3" w14:paraId="01960078" w14:textId="77777777" w:rsidTr="00D73130">
        <w:trPr>
          <w:trHeight w:val="396"/>
        </w:trPr>
        <w:tc>
          <w:tcPr>
            <w:tcW w:w="6690" w:type="dxa"/>
            <w:tcBorders>
              <w:left w:val="nil"/>
            </w:tcBorders>
          </w:tcPr>
          <w:p w14:paraId="5FD17C93" w14:textId="77777777" w:rsidR="00345EE3" w:rsidRDefault="00345EE3" w:rsidP="00D73130">
            <w:pPr>
              <w:pStyle w:val="TableParagraph"/>
              <w:ind w:left="167"/>
              <w:jc w:val="left"/>
              <w:rPr>
                <w:sz w:val="24"/>
              </w:rPr>
            </w:pPr>
            <w:r>
              <w:rPr>
                <w:color w:val="231F20"/>
                <w:sz w:val="24"/>
              </w:rPr>
              <w:t xml:space="preserve">Other </w:t>
            </w:r>
            <w:r>
              <w:rPr>
                <w:color w:val="231F20"/>
                <w:spacing w:val="-2"/>
                <w:sz w:val="24"/>
              </w:rPr>
              <w:t>grants</w:t>
            </w:r>
          </w:p>
        </w:tc>
        <w:tc>
          <w:tcPr>
            <w:tcW w:w="1134" w:type="dxa"/>
          </w:tcPr>
          <w:p w14:paraId="02A50F1D" w14:textId="77777777" w:rsidR="00345EE3" w:rsidRDefault="00345EE3" w:rsidP="00D73130">
            <w:pPr>
              <w:pStyle w:val="TableParagraph"/>
              <w:ind w:left="281" w:right="282"/>
              <w:jc w:val="center"/>
              <w:rPr>
                <w:sz w:val="24"/>
              </w:rPr>
            </w:pPr>
            <w:r>
              <w:rPr>
                <w:color w:val="231F20"/>
                <w:spacing w:val="-2"/>
                <w:sz w:val="24"/>
              </w:rPr>
              <w:t>2.3.2</w:t>
            </w:r>
          </w:p>
        </w:tc>
        <w:tc>
          <w:tcPr>
            <w:tcW w:w="1191" w:type="dxa"/>
            <w:shd w:val="clear" w:color="auto" w:fill="E6E7E8"/>
          </w:tcPr>
          <w:p w14:paraId="11417ABE" w14:textId="77777777" w:rsidR="00345EE3" w:rsidRDefault="00345EE3" w:rsidP="00D73130">
            <w:pPr>
              <w:pStyle w:val="TableParagraph"/>
              <w:ind w:right="55"/>
              <w:rPr>
                <w:sz w:val="24"/>
              </w:rPr>
            </w:pPr>
            <w:r>
              <w:rPr>
                <w:color w:val="231F20"/>
                <w:spacing w:val="-2"/>
                <w:sz w:val="24"/>
              </w:rPr>
              <w:t>11,941</w:t>
            </w:r>
          </w:p>
        </w:tc>
        <w:tc>
          <w:tcPr>
            <w:tcW w:w="1191" w:type="dxa"/>
            <w:tcBorders>
              <w:right w:val="nil"/>
            </w:tcBorders>
          </w:tcPr>
          <w:p w14:paraId="180E8F23" w14:textId="77777777" w:rsidR="00345EE3" w:rsidRDefault="00345EE3" w:rsidP="00D73130">
            <w:pPr>
              <w:pStyle w:val="TableParagraph"/>
              <w:ind w:right="56"/>
              <w:rPr>
                <w:sz w:val="24"/>
              </w:rPr>
            </w:pPr>
            <w:r>
              <w:rPr>
                <w:color w:val="231F20"/>
                <w:spacing w:val="-2"/>
                <w:sz w:val="24"/>
              </w:rPr>
              <w:t>18,012</w:t>
            </w:r>
          </w:p>
        </w:tc>
      </w:tr>
      <w:tr w:rsidR="00345EE3" w14:paraId="57CB3E3C" w14:textId="77777777" w:rsidTr="00D73130">
        <w:trPr>
          <w:trHeight w:val="676"/>
        </w:trPr>
        <w:tc>
          <w:tcPr>
            <w:tcW w:w="6690" w:type="dxa"/>
            <w:tcBorders>
              <w:left w:val="nil"/>
            </w:tcBorders>
          </w:tcPr>
          <w:p w14:paraId="729CAB65" w14:textId="77777777" w:rsidR="00345EE3" w:rsidRDefault="00345EE3" w:rsidP="00D73130">
            <w:pPr>
              <w:pStyle w:val="TableParagraph"/>
              <w:spacing w:line="242" w:lineRule="auto"/>
              <w:ind w:left="167"/>
              <w:jc w:val="left"/>
              <w:rPr>
                <w:sz w:val="24"/>
              </w:rPr>
            </w:pPr>
            <w:r>
              <w:rPr>
                <w:color w:val="231F20"/>
                <w:sz w:val="24"/>
              </w:rPr>
              <w:t>Fair</w:t>
            </w:r>
            <w:r>
              <w:rPr>
                <w:color w:val="231F20"/>
                <w:spacing w:val="-4"/>
                <w:sz w:val="24"/>
              </w:rPr>
              <w:t xml:space="preserve"> </w:t>
            </w:r>
            <w:r>
              <w:rPr>
                <w:color w:val="231F20"/>
                <w:sz w:val="24"/>
              </w:rPr>
              <w:t>value</w:t>
            </w:r>
            <w:r>
              <w:rPr>
                <w:color w:val="231F20"/>
                <w:spacing w:val="-4"/>
                <w:sz w:val="24"/>
              </w:rPr>
              <w:t xml:space="preserve"> </w:t>
            </w:r>
            <w:r>
              <w:rPr>
                <w:color w:val="231F20"/>
                <w:sz w:val="24"/>
              </w:rPr>
              <w:t>of</w:t>
            </w:r>
            <w:r>
              <w:rPr>
                <w:color w:val="231F20"/>
                <w:spacing w:val="-5"/>
                <w:sz w:val="24"/>
              </w:rPr>
              <w:t xml:space="preserve"> </w:t>
            </w:r>
            <w:r>
              <w:rPr>
                <w:color w:val="231F20"/>
                <w:sz w:val="24"/>
              </w:rPr>
              <w:t>assets</w:t>
            </w:r>
            <w:r>
              <w:rPr>
                <w:color w:val="231F20"/>
                <w:spacing w:val="-5"/>
                <w:sz w:val="24"/>
              </w:rPr>
              <w:t xml:space="preserve"> </w:t>
            </w:r>
            <w:r>
              <w:rPr>
                <w:color w:val="231F20"/>
                <w:sz w:val="24"/>
              </w:rPr>
              <w:t>received</w:t>
            </w:r>
            <w:r>
              <w:rPr>
                <w:color w:val="231F20"/>
                <w:spacing w:val="-4"/>
                <w:sz w:val="24"/>
              </w:rPr>
              <w:t xml:space="preserve"> </w:t>
            </w:r>
            <w:r>
              <w:rPr>
                <w:color w:val="231F20"/>
                <w:sz w:val="24"/>
              </w:rPr>
              <w:t>free</w:t>
            </w:r>
            <w:r>
              <w:rPr>
                <w:color w:val="231F20"/>
                <w:spacing w:val="-4"/>
                <w:sz w:val="24"/>
              </w:rPr>
              <w:t xml:space="preserve"> </w:t>
            </w:r>
            <w:r>
              <w:rPr>
                <w:color w:val="231F20"/>
                <w:sz w:val="24"/>
              </w:rPr>
              <w:t>of</w:t>
            </w:r>
            <w:r>
              <w:rPr>
                <w:color w:val="231F20"/>
                <w:spacing w:val="-5"/>
                <w:sz w:val="24"/>
              </w:rPr>
              <w:t xml:space="preserve"> </w:t>
            </w:r>
            <w:r>
              <w:rPr>
                <w:color w:val="231F20"/>
                <w:sz w:val="24"/>
              </w:rPr>
              <w:t>charge</w:t>
            </w:r>
            <w:r>
              <w:rPr>
                <w:color w:val="231F20"/>
                <w:spacing w:val="-4"/>
                <w:sz w:val="24"/>
              </w:rPr>
              <w:t xml:space="preserve"> </w:t>
            </w:r>
            <w:r>
              <w:rPr>
                <w:color w:val="231F20"/>
                <w:sz w:val="24"/>
              </w:rPr>
              <w:t>or</w:t>
            </w:r>
            <w:r>
              <w:rPr>
                <w:color w:val="231F20"/>
                <w:spacing w:val="-5"/>
                <w:sz w:val="24"/>
              </w:rPr>
              <w:t xml:space="preserve"> </w:t>
            </w:r>
            <w:r>
              <w:rPr>
                <w:color w:val="231F20"/>
                <w:sz w:val="24"/>
              </w:rPr>
              <w:t>for</w:t>
            </w:r>
            <w:r>
              <w:rPr>
                <w:color w:val="231F20"/>
                <w:spacing w:val="-4"/>
                <w:sz w:val="24"/>
              </w:rPr>
              <w:t xml:space="preserve"> </w:t>
            </w:r>
            <w:r>
              <w:rPr>
                <w:color w:val="231F20"/>
                <w:sz w:val="24"/>
              </w:rPr>
              <w:t xml:space="preserve">nominal </w:t>
            </w:r>
            <w:r>
              <w:rPr>
                <w:color w:val="231F20"/>
                <w:spacing w:val="-2"/>
                <w:sz w:val="24"/>
              </w:rPr>
              <w:t>consideration</w:t>
            </w:r>
          </w:p>
        </w:tc>
        <w:tc>
          <w:tcPr>
            <w:tcW w:w="1134" w:type="dxa"/>
          </w:tcPr>
          <w:p w14:paraId="7F683D8C" w14:textId="77777777" w:rsidR="00345EE3" w:rsidRDefault="00345EE3" w:rsidP="00D73130">
            <w:pPr>
              <w:pStyle w:val="TableParagraph"/>
              <w:spacing w:before="0"/>
              <w:jc w:val="left"/>
              <w:rPr>
                <w:rFonts w:ascii="Times New Roman"/>
              </w:rPr>
            </w:pPr>
          </w:p>
        </w:tc>
        <w:tc>
          <w:tcPr>
            <w:tcW w:w="1191" w:type="dxa"/>
            <w:shd w:val="clear" w:color="auto" w:fill="E6E7E8"/>
          </w:tcPr>
          <w:p w14:paraId="5D0E12FA" w14:textId="77777777" w:rsidR="00345EE3" w:rsidRDefault="00345EE3" w:rsidP="00D73130">
            <w:pPr>
              <w:pStyle w:val="TableParagraph"/>
              <w:ind w:right="55"/>
              <w:rPr>
                <w:sz w:val="24"/>
              </w:rPr>
            </w:pPr>
            <w:r>
              <w:rPr>
                <w:color w:val="231F20"/>
                <w:spacing w:val="-2"/>
                <w:sz w:val="24"/>
              </w:rPr>
              <w:t>3,088</w:t>
            </w:r>
          </w:p>
        </w:tc>
        <w:tc>
          <w:tcPr>
            <w:tcW w:w="1191" w:type="dxa"/>
            <w:tcBorders>
              <w:right w:val="nil"/>
            </w:tcBorders>
          </w:tcPr>
          <w:p w14:paraId="7FFAE90B" w14:textId="77777777" w:rsidR="00345EE3" w:rsidRDefault="00345EE3" w:rsidP="00D73130">
            <w:pPr>
              <w:pStyle w:val="TableParagraph"/>
              <w:ind w:right="56"/>
              <w:rPr>
                <w:sz w:val="24"/>
              </w:rPr>
            </w:pPr>
            <w:r>
              <w:rPr>
                <w:color w:val="231F20"/>
                <w:spacing w:val="-5"/>
                <w:sz w:val="24"/>
              </w:rPr>
              <w:t>183</w:t>
            </w:r>
          </w:p>
        </w:tc>
      </w:tr>
      <w:tr w:rsidR="00345EE3" w14:paraId="1F9D5F04" w14:textId="77777777" w:rsidTr="00D73130">
        <w:trPr>
          <w:trHeight w:val="396"/>
        </w:trPr>
        <w:tc>
          <w:tcPr>
            <w:tcW w:w="6690" w:type="dxa"/>
            <w:tcBorders>
              <w:left w:val="nil"/>
            </w:tcBorders>
          </w:tcPr>
          <w:p w14:paraId="2B1F6BB9" w14:textId="77777777" w:rsidR="00345EE3" w:rsidRDefault="00345EE3" w:rsidP="00D73130">
            <w:pPr>
              <w:pStyle w:val="TableParagraph"/>
              <w:ind w:left="167"/>
              <w:jc w:val="left"/>
              <w:rPr>
                <w:sz w:val="24"/>
              </w:rPr>
            </w:pPr>
            <w:r>
              <w:rPr>
                <w:color w:val="231F20"/>
                <w:sz w:val="24"/>
              </w:rPr>
              <w:t xml:space="preserve">Interest </w:t>
            </w:r>
            <w:r>
              <w:rPr>
                <w:color w:val="231F20"/>
                <w:spacing w:val="-2"/>
                <w:sz w:val="24"/>
              </w:rPr>
              <w:t>income</w:t>
            </w:r>
          </w:p>
        </w:tc>
        <w:tc>
          <w:tcPr>
            <w:tcW w:w="1134" w:type="dxa"/>
          </w:tcPr>
          <w:p w14:paraId="6F746F92" w14:textId="77777777" w:rsidR="00345EE3" w:rsidRDefault="00345EE3" w:rsidP="00D73130">
            <w:pPr>
              <w:pStyle w:val="TableParagraph"/>
              <w:spacing w:before="0"/>
              <w:jc w:val="left"/>
              <w:rPr>
                <w:rFonts w:ascii="Times New Roman"/>
              </w:rPr>
            </w:pPr>
          </w:p>
        </w:tc>
        <w:tc>
          <w:tcPr>
            <w:tcW w:w="1191" w:type="dxa"/>
            <w:shd w:val="clear" w:color="auto" w:fill="E6E7E8"/>
          </w:tcPr>
          <w:p w14:paraId="60E92C4C" w14:textId="77777777" w:rsidR="00345EE3" w:rsidRDefault="00345EE3" w:rsidP="00D73130">
            <w:pPr>
              <w:pStyle w:val="TableParagraph"/>
              <w:ind w:right="52"/>
              <w:rPr>
                <w:sz w:val="24"/>
              </w:rPr>
            </w:pPr>
            <w:r>
              <w:rPr>
                <w:color w:val="231F20"/>
                <w:sz w:val="24"/>
              </w:rPr>
              <w:t>4</w:t>
            </w:r>
          </w:p>
        </w:tc>
        <w:tc>
          <w:tcPr>
            <w:tcW w:w="1191" w:type="dxa"/>
            <w:tcBorders>
              <w:right w:val="nil"/>
            </w:tcBorders>
          </w:tcPr>
          <w:p w14:paraId="6C554DFA" w14:textId="77777777" w:rsidR="00345EE3" w:rsidRDefault="00345EE3" w:rsidP="00D73130">
            <w:pPr>
              <w:pStyle w:val="TableParagraph"/>
              <w:ind w:right="56"/>
              <w:rPr>
                <w:sz w:val="24"/>
              </w:rPr>
            </w:pPr>
            <w:r>
              <w:rPr>
                <w:color w:val="231F20"/>
                <w:spacing w:val="-5"/>
                <w:sz w:val="24"/>
              </w:rPr>
              <w:t>60</w:t>
            </w:r>
          </w:p>
        </w:tc>
      </w:tr>
      <w:tr w:rsidR="00345EE3" w14:paraId="14549295" w14:textId="77777777" w:rsidTr="00D73130">
        <w:trPr>
          <w:trHeight w:val="393"/>
        </w:trPr>
        <w:tc>
          <w:tcPr>
            <w:tcW w:w="6690" w:type="dxa"/>
            <w:tcBorders>
              <w:left w:val="nil"/>
              <w:bottom w:val="single" w:sz="4" w:space="0" w:color="231F20"/>
            </w:tcBorders>
          </w:tcPr>
          <w:p w14:paraId="7352E535" w14:textId="77777777" w:rsidR="00345EE3" w:rsidRDefault="00345EE3" w:rsidP="00D73130">
            <w:pPr>
              <w:pStyle w:val="TableParagraph"/>
              <w:ind w:left="167"/>
              <w:jc w:val="left"/>
              <w:rPr>
                <w:sz w:val="24"/>
              </w:rPr>
            </w:pPr>
            <w:r>
              <w:rPr>
                <w:color w:val="231F20"/>
                <w:sz w:val="24"/>
              </w:rPr>
              <w:t xml:space="preserve">Other </w:t>
            </w:r>
            <w:r>
              <w:rPr>
                <w:color w:val="231F20"/>
                <w:spacing w:val="-2"/>
                <w:sz w:val="24"/>
              </w:rPr>
              <w:t>income</w:t>
            </w:r>
          </w:p>
        </w:tc>
        <w:tc>
          <w:tcPr>
            <w:tcW w:w="1134" w:type="dxa"/>
            <w:tcBorders>
              <w:bottom w:val="single" w:sz="4" w:space="0" w:color="231F20"/>
            </w:tcBorders>
          </w:tcPr>
          <w:p w14:paraId="4E300A67" w14:textId="77777777" w:rsidR="00345EE3" w:rsidRDefault="00345EE3" w:rsidP="00D73130">
            <w:pPr>
              <w:pStyle w:val="TableParagraph"/>
              <w:spacing w:before="0"/>
              <w:jc w:val="left"/>
              <w:rPr>
                <w:rFonts w:ascii="Times New Roman"/>
              </w:rPr>
            </w:pPr>
          </w:p>
        </w:tc>
        <w:tc>
          <w:tcPr>
            <w:tcW w:w="1191" w:type="dxa"/>
            <w:tcBorders>
              <w:bottom w:val="single" w:sz="4" w:space="0" w:color="231F20"/>
            </w:tcBorders>
            <w:shd w:val="clear" w:color="auto" w:fill="E6E7E8"/>
          </w:tcPr>
          <w:p w14:paraId="240BFDD7" w14:textId="77777777" w:rsidR="00345EE3" w:rsidRDefault="00345EE3" w:rsidP="00D73130">
            <w:pPr>
              <w:pStyle w:val="TableParagraph"/>
              <w:ind w:right="55"/>
              <w:rPr>
                <w:sz w:val="24"/>
              </w:rPr>
            </w:pPr>
            <w:r>
              <w:rPr>
                <w:color w:val="231F20"/>
                <w:spacing w:val="-2"/>
                <w:sz w:val="24"/>
              </w:rPr>
              <w:t>2,552</w:t>
            </w:r>
          </w:p>
        </w:tc>
        <w:tc>
          <w:tcPr>
            <w:tcW w:w="1191" w:type="dxa"/>
            <w:tcBorders>
              <w:bottom w:val="single" w:sz="4" w:space="0" w:color="231F20"/>
              <w:right w:val="nil"/>
            </w:tcBorders>
          </w:tcPr>
          <w:p w14:paraId="7B15F493" w14:textId="77777777" w:rsidR="00345EE3" w:rsidRDefault="00345EE3" w:rsidP="00D73130">
            <w:pPr>
              <w:pStyle w:val="TableParagraph"/>
              <w:ind w:right="57"/>
              <w:rPr>
                <w:sz w:val="24"/>
              </w:rPr>
            </w:pPr>
            <w:r>
              <w:rPr>
                <w:color w:val="231F20"/>
                <w:spacing w:val="-2"/>
                <w:sz w:val="24"/>
              </w:rPr>
              <w:t>2,135</w:t>
            </w:r>
          </w:p>
        </w:tc>
      </w:tr>
      <w:tr w:rsidR="00345EE3" w14:paraId="6D5713FD" w14:textId="77777777" w:rsidTr="00D73130">
        <w:trPr>
          <w:trHeight w:val="393"/>
        </w:trPr>
        <w:tc>
          <w:tcPr>
            <w:tcW w:w="6690" w:type="dxa"/>
            <w:tcBorders>
              <w:top w:val="single" w:sz="4" w:space="0" w:color="231F20"/>
              <w:left w:val="nil"/>
            </w:tcBorders>
          </w:tcPr>
          <w:p w14:paraId="0B881641" w14:textId="77777777" w:rsidR="00345EE3" w:rsidRDefault="00345EE3" w:rsidP="00D73130">
            <w:pPr>
              <w:pStyle w:val="TableParagraph"/>
              <w:spacing w:before="58"/>
              <w:ind w:left="-3"/>
              <w:jc w:val="left"/>
              <w:rPr>
                <w:b/>
                <w:sz w:val="24"/>
              </w:rPr>
            </w:pPr>
            <w:r>
              <w:rPr>
                <w:b/>
                <w:color w:val="231F20"/>
                <w:sz w:val="24"/>
              </w:rPr>
              <w:t>Total</w:t>
            </w:r>
            <w:r>
              <w:rPr>
                <w:b/>
                <w:color w:val="231F20"/>
                <w:spacing w:val="-6"/>
                <w:sz w:val="24"/>
              </w:rPr>
              <w:t xml:space="preserve"> </w:t>
            </w:r>
            <w:r>
              <w:rPr>
                <w:b/>
                <w:color w:val="231F20"/>
                <w:sz w:val="24"/>
              </w:rPr>
              <w:t>Income</w:t>
            </w:r>
            <w:r>
              <w:rPr>
                <w:b/>
                <w:color w:val="231F20"/>
                <w:spacing w:val="-6"/>
                <w:sz w:val="24"/>
              </w:rPr>
              <w:t xml:space="preserve"> </w:t>
            </w:r>
            <w:r>
              <w:rPr>
                <w:b/>
                <w:color w:val="231F20"/>
                <w:sz w:val="24"/>
              </w:rPr>
              <w:t>From</w:t>
            </w:r>
            <w:r>
              <w:rPr>
                <w:b/>
                <w:color w:val="231F20"/>
                <w:spacing w:val="-6"/>
                <w:sz w:val="24"/>
              </w:rPr>
              <w:t xml:space="preserve"> </w:t>
            </w:r>
            <w:r>
              <w:rPr>
                <w:b/>
                <w:color w:val="231F20"/>
                <w:spacing w:val="-2"/>
                <w:sz w:val="24"/>
              </w:rPr>
              <w:t>Transactions</w:t>
            </w:r>
          </w:p>
        </w:tc>
        <w:tc>
          <w:tcPr>
            <w:tcW w:w="1134" w:type="dxa"/>
            <w:tcBorders>
              <w:top w:val="single" w:sz="4" w:space="0" w:color="231F20"/>
            </w:tcBorders>
          </w:tcPr>
          <w:p w14:paraId="7ECA70F5" w14:textId="77777777" w:rsidR="00345EE3" w:rsidRDefault="00345EE3" w:rsidP="00D73130">
            <w:pPr>
              <w:pStyle w:val="TableParagraph"/>
              <w:spacing w:before="0"/>
              <w:jc w:val="left"/>
              <w:rPr>
                <w:rFonts w:ascii="Times New Roman"/>
              </w:rPr>
            </w:pPr>
          </w:p>
        </w:tc>
        <w:tc>
          <w:tcPr>
            <w:tcW w:w="1191" w:type="dxa"/>
            <w:tcBorders>
              <w:top w:val="single" w:sz="4" w:space="0" w:color="231F20"/>
            </w:tcBorders>
            <w:shd w:val="clear" w:color="auto" w:fill="E6E7E8"/>
          </w:tcPr>
          <w:p w14:paraId="375C73CC" w14:textId="77777777" w:rsidR="00345EE3" w:rsidRDefault="00345EE3" w:rsidP="00D73130">
            <w:pPr>
              <w:pStyle w:val="TableParagraph"/>
              <w:spacing w:before="58"/>
              <w:ind w:right="53"/>
              <w:rPr>
                <w:b/>
                <w:sz w:val="24"/>
              </w:rPr>
            </w:pPr>
            <w:r>
              <w:rPr>
                <w:b/>
                <w:color w:val="231F20"/>
                <w:spacing w:val="-2"/>
                <w:sz w:val="24"/>
              </w:rPr>
              <w:t>4,102,352</w:t>
            </w:r>
          </w:p>
        </w:tc>
        <w:tc>
          <w:tcPr>
            <w:tcW w:w="1191" w:type="dxa"/>
            <w:tcBorders>
              <w:top w:val="single" w:sz="4" w:space="0" w:color="231F20"/>
              <w:right w:val="nil"/>
            </w:tcBorders>
          </w:tcPr>
          <w:p w14:paraId="70D31845" w14:textId="77777777" w:rsidR="00345EE3" w:rsidRDefault="00345EE3" w:rsidP="00D73130">
            <w:pPr>
              <w:pStyle w:val="TableParagraph"/>
              <w:spacing w:before="58"/>
              <w:ind w:right="53"/>
              <w:rPr>
                <w:b/>
                <w:sz w:val="24"/>
              </w:rPr>
            </w:pPr>
            <w:r>
              <w:rPr>
                <w:b/>
                <w:color w:val="231F20"/>
                <w:spacing w:val="-2"/>
                <w:sz w:val="24"/>
              </w:rPr>
              <w:t>4,110,686</w:t>
            </w:r>
          </w:p>
        </w:tc>
      </w:tr>
      <w:tr w:rsidR="00345EE3" w14:paraId="4DCA3A01" w14:textId="77777777" w:rsidTr="00D73130">
        <w:trPr>
          <w:trHeight w:val="396"/>
        </w:trPr>
        <w:tc>
          <w:tcPr>
            <w:tcW w:w="6690" w:type="dxa"/>
            <w:tcBorders>
              <w:left w:val="nil"/>
            </w:tcBorders>
          </w:tcPr>
          <w:p w14:paraId="40A6B3BE" w14:textId="77777777" w:rsidR="00345EE3" w:rsidRDefault="00345EE3" w:rsidP="00D73130">
            <w:pPr>
              <w:pStyle w:val="TableParagraph"/>
              <w:ind w:left="-3"/>
              <w:jc w:val="left"/>
              <w:rPr>
                <w:b/>
                <w:sz w:val="24"/>
              </w:rPr>
            </w:pPr>
            <w:r>
              <w:rPr>
                <w:b/>
                <w:color w:val="231F20"/>
                <w:sz w:val="24"/>
              </w:rPr>
              <w:t xml:space="preserve">Expenses From </w:t>
            </w:r>
            <w:r>
              <w:rPr>
                <w:b/>
                <w:color w:val="231F20"/>
                <w:spacing w:val="-2"/>
                <w:sz w:val="24"/>
              </w:rPr>
              <w:t>Transactions</w:t>
            </w:r>
          </w:p>
        </w:tc>
        <w:tc>
          <w:tcPr>
            <w:tcW w:w="1134" w:type="dxa"/>
          </w:tcPr>
          <w:p w14:paraId="564A49FA" w14:textId="77777777" w:rsidR="00345EE3" w:rsidRDefault="00345EE3" w:rsidP="00D73130">
            <w:pPr>
              <w:pStyle w:val="TableParagraph"/>
              <w:spacing w:before="0"/>
              <w:jc w:val="left"/>
              <w:rPr>
                <w:rFonts w:ascii="Times New Roman"/>
              </w:rPr>
            </w:pPr>
          </w:p>
        </w:tc>
        <w:tc>
          <w:tcPr>
            <w:tcW w:w="1191" w:type="dxa"/>
            <w:shd w:val="clear" w:color="auto" w:fill="E6E7E8"/>
          </w:tcPr>
          <w:p w14:paraId="7B04E05F" w14:textId="77777777" w:rsidR="00345EE3" w:rsidRDefault="00345EE3" w:rsidP="00D73130">
            <w:pPr>
              <w:pStyle w:val="TableParagraph"/>
              <w:spacing w:before="0"/>
              <w:jc w:val="left"/>
              <w:rPr>
                <w:rFonts w:ascii="Times New Roman"/>
              </w:rPr>
            </w:pPr>
          </w:p>
        </w:tc>
        <w:tc>
          <w:tcPr>
            <w:tcW w:w="1191" w:type="dxa"/>
            <w:tcBorders>
              <w:right w:val="nil"/>
            </w:tcBorders>
          </w:tcPr>
          <w:p w14:paraId="05209394" w14:textId="77777777" w:rsidR="00345EE3" w:rsidRDefault="00345EE3" w:rsidP="00D73130">
            <w:pPr>
              <w:pStyle w:val="TableParagraph"/>
              <w:spacing w:before="0"/>
              <w:jc w:val="left"/>
              <w:rPr>
                <w:rFonts w:ascii="Times New Roman"/>
              </w:rPr>
            </w:pPr>
          </w:p>
        </w:tc>
      </w:tr>
      <w:tr w:rsidR="00345EE3" w14:paraId="0AECB62F" w14:textId="77777777" w:rsidTr="00D73130">
        <w:trPr>
          <w:trHeight w:val="396"/>
        </w:trPr>
        <w:tc>
          <w:tcPr>
            <w:tcW w:w="6690" w:type="dxa"/>
            <w:tcBorders>
              <w:left w:val="nil"/>
            </w:tcBorders>
          </w:tcPr>
          <w:p w14:paraId="62201CC4" w14:textId="77777777" w:rsidR="00345EE3" w:rsidRDefault="00345EE3" w:rsidP="00D73130">
            <w:pPr>
              <w:pStyle w:val="TableParagraph"/>
              <w:ind w:left="167"/>
              <w:jc w:val="left"/>
              <w:rPr>
                <w:sz w:val="24"/>
              </w:rPr>
            </w:pPr>
            <w:r>
              <w:rPr>
                <w:color w:val="231F20"/>
                <w:sz w:val="24"/>
              </w:rPr>
              <w:t xml:space="preserve">Employee </w:t>
            </w:r>
            <w:r>
              <w:rPr>
                <w:color w:val="231F20"/>
                <w:spacing w:val="-2"/>
                <w:sz w:val="24"/>
              </w:rPr>
              <w:t>expenses</w:t>
            </w:r>
          </w:p>
        </w:tc>
        <w:tc>
          <w:tcPr>
            <w:tcW w:w="1134" w:type="dxa"/>
          </w:tcPr>
          <w:p w14:paraId="04FC7455" w14:textId="77777777" w:rsidR="00345EE3" w:rsidRDefault="00345EE3" w:rsidP="00D73130">
            <w:pPr>
              <w:pStyle w:val="TableParagraph"/>
              <w:ind w:left="282" w:right="282"/>
              <w:jc w:val="center"/>
              <w:rPr>
                <w:sz w:val="24"/>
              </w:rPr>
            </w:pPr>
            <w:r>
              <w:rPr>
                <w:color w:val="231F20"/>
                <w:spacing w:val="-2"/>
                <w:sz w:val="24"/>
              </w:rPr>
              <w:t>3.1.1</w:t>
            </w:r>
          </w:p>
        </w:tc>
        <w:tc>
          <w:tcPr>
            <w:tcW w:w="1191" w:type="dxa"/>
            <w:shd w:val="clear" w:color="auto" w:fill="E6E7E8"/>
          </w:tcPr>
          <w:p w14:paraId="64078E49" w14:textId="77777777" w:rsidR="00345EE3" w:rsidRDefault="00345EE3" w:rsidP="00D73130">
            <w:pPr>
              <w:pStyle w:val="TableParagraph"/>
              <w:ind w:right="55"/>
              <w:rPr>
                <w:sz w:val="24"/>
              </w:rPr>
            </w:pPr>
            <w:r>
              <w:rPr>
                <w:color w:val="231F20"/>
                <w:spacing w:val="-2"/>
                <w:sz w:val="24"/>
              </w:rPr>
              <w:t>3,124,802</w:t>
            </w:r>
          </w:p>
        </w:tc>
        <w:tc>
          <w:tcPr>
            <w:tcW w:w="1191" w:type="dxa"/>
            <w:tcBorders>
              <w:right w:val="nil"/>
            </w:tcBorders>
          </w:tcPr>
          <w:p w14:paraId="10EA6336" w14:textId="77777777" w:rsidR="00345EE3" w:rsidRDefault="00345EE3" w:rsidP="00D73130">
            <w:pPr>
              <w:pStyle w:val="TableParagraph"/>
              <w:ind w:right="56"/>
              <w:rPr>
                <w:sz w:val="24"/>
              </w:rPr>
            </w:pPr>
            <w:r>
              <w:rPr>
                <w:color w:val="231F20"/>
                <w:spacing w:val="-2"/>
                <w:sz w:val="24"/>
              </w:rPr>
              <w:t>3,028,633</w:t>
            </w:r>
          </w:p>
        </w:tc>
      </w:tr>
      <w:tr w:rsidR="00345EE3" w14:paraId="65E496F8" w14:textId="77777777" w:rsidTr="00D73130">
        <w:trPr>
          <w:trHeight w:val="396"/>
        </w:trPr>
        <w:tc>
          <w:tcPr>
            <w:tcW w:w="6690" w:type="dxa"/>
            <w:tcBorders>
              <w:left w:val="nil"/>
            </w:tcBorders>
          </w:tcPr>
          <w:p w14:paraId="3615D8F4" w14:textId="77777777" w:rsidR="00345EE3" w:rsidRDefault="00345EE3" w:rsidP="00D73130">
            <w:pPr>
              <w:pStyle w:val="TableParagraph"/>
              <w:ind w:left="167"/>
              <w:jc w:val="left"/>
              <w:rPr>
                <w:sz w:val="24"/>
              </w:rPr>
            </w:pPr>
            <w:r>
              <w:rPr>
                <w:color w:val="231F20"/>
                <w:sz w:val="24"/>
              </w:rPr>
              <w:t>Depreciation</w:t>
            </w:r>
            <w:r>
              <w:rPr>
                <w:color w:val="231F20"/>
                <w:spacing w:val="-8"/>
                <w:sz w:val="24"/>
              </w:rPr>
              <w:t xml:space="preserve"> </w:t>
            </w:r>
            <w:r>
              <w:rPr>
                <w:color w:val="231F20"/>
                <w:sz w:val="24"/>
              </w:rPr>
              <w:t>and</w:t>
            </w:r>
            <w:r>
              <w:rPr>
                <w:color w:val="231F20"/>
                <w:spacing w:val="-7"/>
                <w:sz w:val="24"/>
              </w:rPr>
              <w:t xml:space="preserve"> </w:t>
            </w:r>
            <w:r>
              <w:rPr>
                <w:color w:val="231F20"/>
                <w:spacing w:val="-2"/>
                <w:sz w:val="24"/>
              </w:rPr>
              <w:t>amortisation</w:t>
            </w:r>
          </w:p>
        </w:tc>
        <w:tc>
          <w:tcPr>
            <w:tcW w:w="1134" w:type="dxa"/>
          </w:tcPr>
          <w:p w14:paraId="7F30E519" w14:textId="77777777" w:rsidR="00345EE3" w:rsidRDefault="00345EE3" w:rsidP="00D73130">
            <w:pPr>
              <w:pStyle w:val="TableParagraph"/>
              <w:ind w:left="282" w:right="282"/>
              <w:jc w:val="center"/>
              <w:rPr>
                <w:sz w:val="24"/>
              </w:rPr>
            </w:pPr>
            <w:r>
              <w:rPr>
                <w:color w:val="231F20"/>
                <w:spacing w:val="-2"/>
                <w:sz w:val="24"/>
              </w:rPr>
              <w:t>5.1.1</w:t>
            </w:r>
          </w:p>
        </w:tc>
        <w:tc>
          <w:tcPr>
            <w:tcW w:w="1191" w:type="dxa"/>
            <w:shd w:val="clear" w:color="auto" w:fill="E6E7E8"/>
          </w:tcPr>
          <w:p w14:paraId="11D1F5D5" w14:textId="77777777" w:rsidR="00345EE3" w:rsidRDefault="00345EE3" w:rsidP="00D73130">
            <w:pPr>
              <w:pStyle w:val="TableParagraph"/>
              <w:ind w:right="55"/>
              <w:rPr>
                <w:sz w:val="24"/>
              </w:rPr>
            </w:pPr>
            <w:r>
              <w:rPr>
                <w:color w:val="231F20"/>
                <w:spacing w:val="-2"/>
                <w:sz w:val="24"/>
              </w:rPr>
              <w:t>260,214</w:t>
            </w:r>
          </w:p>
        </w:tc>
        <w:tc>
          <w:tcPr>
            <w:tcW w:w="1191" w:type="dxa"/>
            <w:tcBorders>
              <w:right w:val="nil"/>
            </w:tcBorders>
          </w:tcPr>
          <w:p w14:paraId="3ED0A8B2" w14:textId="77777777" w:rsidR="00345EE3" w:rsidRDefault="00345EE3" w:rsidP="00D73130">
            <w:pPr>
              <w:pStyle w:val="TableParagraph"/>
              <w:ind w:right="56"/>
              <w:rPr>
                <w:sz w:val="24"/>
              </w:rPr>
            </w:pPr>
            <w:r>
              <w:rPr>
                <w:color w:val="231F20"/>
                <w:spacing w:val="-2"/>
                <w:sz w:val="24"/>
              </w:rPr>
              <w:t>241,357</w:t>
            </w:r>
          </w:p>
        </w:tc>
      </w:tr>
      <w:tr w:rsidR="00345EE3" w14:paraId="1C6C26DC" w14:textId="77777777" w:rsidTr="00D73130">
        <w:trPr>
          <w:trHeight w:val="396"/>
        </w:trPr>
        <w:tc>
          <w:tcPr>
            <w:tcW w:w="6690" w:type="dxa"/>
            <w:tcBorders>
              <w:left w:val="nil"/>
            </w:tcBorders>
          </w:tcPr>
          <w:p w14:paraId="0D808DED" w14:textId="77777777" w:rsidR="00345EE3" w:rsidRDefault="00345EE3" w:rsidP="00D73130">
            <w:pPr>
              <w:pStyle w:val="TableParagraph"/>
              <w:ind w:left="167"/>
              <w:jc w:val="left"/>
              <w:rPr>
                <w:sz w:val="24"/>
              </w:rPr>
            </w:pPr>
            <w:r>
              <w:rPr>
                <w:color w:val="231F20"/>
                <w:sz w:val="24"/>
              </w:rPr>
              <w:t xml:space="preserve">Interest </w:t>
            </w:r>
            <w:r>
              <w:rPr>
                <w:color w:val="231F20"/>
                <w:spacing w:val="-2"/>
                <w:sz w:val="24"/>
              </w:rPr>
              <w:t>expense</w:t>
            </w:r>
          </w:p>
        </w:tc>
        <w:tc>
          <w:tcPr>
            <w:tcW w:w="1134" w:type="dxa"/>
          </w:tcPr>
          <w:p w14:paraId="17D16ACF" w14:textId="77777777" w:rsidR="00345EE3" w:rsidRDefault="00345EE3" w:rsidP="00D73130">
            <w:pPr>
              <w:pStyle w:val="TableParagraph"/>
              <w:ind w:left="282" w:right="282"/>
              <w:jc w:val="center"/>
              <w:rPr>
                <w:sz w:val="24"/>
              </w:rPr>
            </w:pPr>
            <w:r>
              <w:rPr>
                <w:color w:val="231F20"/>
                <w:spacing w:val="-5"/>
                <w:sz w:val="24"/>
              </w:rPr>
              <w:t>7.1</w:t>
            </w:r>
          </w:p>
        </w:tc>
        <w:tc>
          <w:tcPr>
            <w:tcW w:w="1191" w:type="dxa"/>
            <w:shd w:val="clear" w:color="auto" w:fill="E6E7E8"/>
          </w:tcPr>
          <w:p w14:paraId="57FB3308" w14:textId="77777777" w:rsidR="00345EE3" w:rsidRDefault="00345EE3" w:rsidP="00D73130">
            <w:pPr>
              <w:pStyle w:val="TableParagraph"/>
              <w:ind w:right="55"/>
              <w:rPr>
                <w:sz w:val="24"/>
              </w:rPr>
            </w:pPr>
            <w:r>
              <w:rPr>
                <w:color w:val="231F20"/>
                <w:spacing w:val="-2"/>
                <w:sz w:val="24"/>
              </w:rPr>
              <w:t>61,320</w:t>
            </w:r>
          </w:p>
        </w:tc>
        <w:tc>
          <w:tcPr>
            <w:tcW w:w="1191" w:type="dxa"/>
            <w:tcBorders>
              <w:right w:val="nil"/>
            </w:tcBorders>
          </w:tcPr>
          <w:p w14:paraId="5AE19DB6" w14:textId="77777777" w:rsidR="00345EE3" w:rsidRDefault="00345EE3" w:rsidP="00D73130">
            <w:pPr>
              <w:pStyle w:val="TableParagraph"/>
              <w:ind w:right="56"/>
              <w:rPr>
                <w:sz w:val="24"/>
              </w:rPr>
            </w:pPr>
            <w:r>
              <w:rPr>
                <w:color w:val="231F20"/>
                <w:spacing w:val="-2"/>
                <w:sz w:val="24"/>
              </w:rPr>
              <w:t>63,237</w:t>
            </w:r>
          </w:p>
        </w:tc>
      </w:tr>
      <w:tr w:rsidR="00345EE3" w14:paraId="2A2EE455" w14:textId="77777777" w:rsidTr="00D73130">
        <w:trPr>
          <w:trHeight w:val="396"/>
        </w:trPr>
        <w:tc>
          <w:tcPr>
            <w:tcW w:w="6690" w:type="dxa"/>
            <w:tcBorders>
              <w:left w:val="nil"/>
            </w:tcBorders>
          </w:tcPr>
          <w:p w14:paraId="7C1B944B" w14:textId="77777777" w:rsidR="00345EE3" w:rsidRDefault="00345EE3" w:rsidP="00D73130">
            <w:pPr>
              <w:pStyle w:val="TableParagraph"/>
              <w:ind w:left="167"/>
              <w:jc w:val="left"/>
              <w:rPr>
                <w:sz w:val="24"/>
              </w:rPr>
            </w:pPr>
            <w:r>
              <w:rPr>
                <w:color w:val="231F20"/>
                <w:sz w:val="24"/>
              </w:rPr>
              <w:t>Capital</w:t>
            </w:r>
            <w:r>
              <w:rPr>
                <w:color w:val="231F20"/>
                <w:spacing w:val="-6"/>
                <w:sz w:val="24"/>
              </w:rPr>
              <w:t xml:space="preserve"> </w:t>
            </w:r>
            <w:r>
              <w:rPr>
                <w:color w:val="231F20"/>
                <w:sz w:val="24"/>
              </w:rPr>
              <w:t>asset</w:t>
            </w:r>
            <w:r>
              <w:rPr>
                <w:color w:val="231F20"/>
                <w:spacing w:val="-6"/>
                <w:sz w:val="24"/>
              </w:rPr>
              <w:t xml:space="preserve"> </w:t>
            </w:r>
            <w:r>
              <w:rPr>
                <w:color w:val="231F20"/>
                <w:spacing w:val="-2"/>
                <w:sz w:val="24"/>
              </w:rPr>
              <w:t>charge</w:t>
            </w:r>
          </w:p>
        </w:tc>
        <w:tc>
          <w:tcPr>
            <w:tcW w:w="1134" w:type="dxa"/>
          </w:tcPr>
          <w:p w14:paraId="4915014C" w14:textId="77777777" w:rsidR="00345EE3" w:rsidRDefault="00345EE3" w:rsidP="00D73130">
            <w:pPr>
              <w:pStyle w:val="TableParagraph"/>
              <w:ind w:left="282" w:right="282"/>
              <w:jc w:val="center"/>
              <w:rPr>
                <w:sz w:val="24"/>
              </w:rPr>
            </w:pPr>
            <w:r>
              <w:rPr>
                <w:color w:val="231F20"/>
                <w:spacing w:val="-5"/>
                <w:sz w:val="24"/>
              </w:rPr>
              <w:t>3.2</w:t>
            </w:r>
          </w:p>
        </w:tc>
        <w:tc>
          <w:tcPr>
            <w:tcW w:w="1191" w:type="dxa"/>
            <w:shd w:val="clear" w:color="auto" w:fill="E6E7E8"/>
          </w:tcPr>
          <w:p w14:paraId="45DFAAC8" w14:textId="77777777" w:rsidR="00345EE3" w:rsidRDefault="00345EE3" w:rsidP="00D73130">
            <w:pPr>
              <w:pStyle w:val="TableParagraph"/>
              <w:ind w:right="52"/>
              <w:rPr>
                <w:sz w:val="24"/>
              </w:rPr>
            </w:pPr>
            <w:r>
              <w:rPr>
                <w:color w:val="231F20"/>
                <w:sz w:val="24"/>
              </w:rPr>
              <w:t>-</w:t>
            </w:r>
          </w:p>
        </w:tc>
        <w:tc>
          <w:tcPr>
            <w:tcW w:w="1191" w:type="dxa"/>
            <w:tcBorders>
              <w:right w:val="nil"/>
            </w:tcBorders>
          </w:tcPr>
          <w:p w14:paraId="30A7A342" w14:textId="77777777" w:rsidR="00345EE3" w:rsidRDefault="00345EE3" w:rsidP="00D73130">
            <w:pPr>
              <w:pStyle w:val="TableParagraph"/>
              <w:ind w:right="56"/>
              <w:rPr>
                <w:sz w:val="24"/>
              </w:rPr>
            </w:pPr>
            <w:r>
              <w:rPr>
                <w:color w:val="231F20"/>
                <w:spacing w:val="-2"/>
                <w:sz w:val="24"/>
              </w:rPr>
              <w:t>125,847</w:t>
            </w:r>
          </w:p>
        </w:tc>
      </w:tr>
      <w:tr w:rsidR="00345EE3" w14:paraId="25CA9714" w14:textId="77777777" w:rsidTr="00D73130">
        <w:trPr>
          <w:trHeight w:val="393"/>
        </w:trPr>
        <w:tc>
          <w:tcPr>
            <w:tcW w:w="6690" w:type="dxa"/>
            <w:tcBorders>
              <w:left w:val="nil"/>
              <w:bottom w:val="single" w:sz="4" w:space="0" w:color="231F20"/>
            </w:tcBorders>
          </w:tcPr>
          <w:p w14:paraId="63FA640C" w14:textId="77777777" w:rsidR="00345EE3" w:rsidRDefault="00345EE3" w:rsidP="00D73130">
            <w:pPr>
              <w:pStyle w:val="TableParagraph"/>
              <w:ind w:left="167"/>
              <w:jc w:val="left"/>
              <w:rPr>
                <w:sz w:val="24"/>
              </w:rPr>
            </w:pPr>
            <w:r>
              <w:rPr>
                <w:color w:val="231F20"/>
                <w:sz w:val="24"/>
              </w:rPr>
              <w:t xml:space="preserve">Operating </w:t>
            </w:r>
            <w:r>
              <w:rPr>
                <w:color w:val="231F20"/>
                <w:spacing w:val="-2"/>
                <w:sz w:val="24"/>
              </w:rPr>
              <w:t>expenses</w:t>
            </w:r>
          </w:p>
        </w:tc>
        <w:tc>
          <w:tcPr>
            <w:tcW w:w="1134" w:type="dxa"/>
            <w:tcBorders>
              <w:bottom w:val="single" w:sz="4" w:space="0" w:color="231F20"/>
            </w:tcBorders>
          </w:tcPr>
          <w:p w14:paraId="17DD1207" w14:textId="77777777" w:rsidR="00345EE3" w:rsidRDefault="00345EE3" w:rsidP="00D73130">
            <w:pPr>
              <w:pStyle w:val="TableParagraph"/>
              <w:ind w:left="282" w:right="282"/>
              <w:jc w:val="center"/>
              <w:rPr>
                <w:sz w:val="24"/>
              </w:rPr>
            </w:pPr>
            <w:r>
              <w:rPr>
                <w:color w:val="231F20"/>
                <w:spacing w:val="-5"/>
                <w:sz w:val="24"/>
              </w:rPr>
              <w:t>3.3</w:t>
            </w:r>
          </w:p>
        </w:tc>
        <w:tc>
          <w:tcPr>
            <w:tcW w:w="1191" w:type="dxa"/>
            <w:tcBorders>
              <w:bottom w:val="single" w:sz="4" w:space="0" w:color="231F20"/>
            </w:tcBorders>
            <w:shd w:val="clear" w:color="auto" w:fill="E6E7E8"/>
          </w:tcPr>
          <w:p w14:paraId="17095F14" w14:textId="77777777" w:rsidR="00345EE3" w:rsidRDefault="00345EE3" w:rsidP="00D73130">
            <w:pPr>
              <w:pStyle w:val="TableParagraph"/>
              <w:ind w:right="55"/>
              <w:rPr>
                <w:sz w:val="24"/>
              </w:rPr>
            </w:pPr>
            <w:r>
              <w:rPr>
                <w:color w:val="231F20"/>
                <w:spacing w:val="-2"/>
                <w:sz w:val="24"/>
              </w:rPr>
              <w:t>654,266</w:t>
            </w:r>
          </w:p>
        </w:tc>
        <w:tc>
          <w:tcPr>
            <w:tcW w:w="1191" w:type="dxa"/>
            <w:tcBorders>
              <w:bottom w:val="single" w:sz="4" w:space="0" w:color="231F20"/>
              <w:right w:val="nil"/>
            </w:tcBorders>
          </w:tcPr>
          <w:p w14:paraId="5D912F25" w14:textId="77777777" w:rsidR="00345EE3" w:rsidRDefault="00345EE3" w:rsidP="00D73130">
            <w:pPr>
              <w:pStyle w:val="TableParagraph"/>
              <w:ind w:right="56"/>
              <w:rPr>
                <w:sz w:val="24"/>
              </w:rPr>
            </w:pPr>
            <w:r>
              <w:rPr>
                <w:color w:val="231F20"/>
                <w:spacing w:val="-2"/>
                <w:sz w:val="24"/>
              </w:rPr>
              <w:t>648,749</w:t>
            </w:r>
          </w:p>
        </w:tc>
      </w:tr>
      <w:tr w:rsidR="00345EE3" w14:paraId="4F3F9A35" w14:textId="77777777" w:rsidTr="00D73130">
        <w:trPr>
          <w:trHeight w:val="391"/>
        </w:trPr>
        <w:tc>
          <w:tcPr>
            <w:tcW w:w="6690" w:type="dxa"/>
            <w:tcBorders>
              <w:top w:val="single" w:sz="4" w:space="0" w:color="231F20"/>
              <w:left w:val="nil"/>
              <w:bottom w:val="single" w:sz="4" w:space="0" w:color="231F20"/>
            </w:tcBorders>
          </w:tcPr>
          <w:p w14:paraId="68129EAC" w14:textId="77777777" w:rsidR="00345EE3" w:rsidRDefault="00345EE3" w:rsidP="00D73130">
            <w:pPr>
              <w:pStyle w:val="TableParagraph"/>
              <w:spacing w:before="58"/>
              <w:ind w:left="-3"/>
              <w:jc w:val="left"/>
              <w:rPr>
                <w:b/>
                <w:sz w:val="24"/>
              </w:rPr>
            </w:pPr>
            <w:r>
              <w:rPr>
                <w:b/>
                <w:color w:val="231F20"/>
                <w:sz w:val="24"/>
              </w:rPr>
              <w:t>Total</w:t>
            </w:r>
            <w:r>
              <w:rPr>
                <w:b/>
                <w:color w:val="231F20"/>
                <w:spacing w:val="-6"/>
                <w:sz w:val="24"/>
              </w:rPr>
              <w:t xml:space="preserve"> </w:t>
            </w:r>
            <w:r>
              <w:rPr>
                <w:b/>
                <w:color w:val="231F20"/>
                <w:sz w:val="24"/>
              </w:rPr>
              <w:t>Expenses</w:t>
            </w:r>
            <w:r>
              <w:rPr>
                <w:b/>
                <w:color w:val="231F20"/>
                <w:spacing w:val="-6"/>
                <w:sz w:val="24"/>
              </w:rPr>
              <w:t xml:space="preserve"> </w:t>
            </w:r>
            <w:r>
              <w:rPr>
                <w:b/>
                <w:color w:val="231F20"/>
                <w:sz w:val="24"/>
              </w:rPr>
              <w:t>From</w:t>
            </w:r>
            <w:r>
              <w:rPr>
                <w:b/>
                <w:color w:val="231F20"/>
                <w:spacing w:val="-6"/>
                <w:sz w:val="24"/>
              </w:rPr>
              <w:t xml:space="preserve"> </w:t>
            </w:r>
            <w:r>
              <w:rPr>
                <w:b/>
                <w:color w:val="231F20"/>
                <w:spacing w:val="-2"/>
                <w:sz w:val="24"/>
              </w:rPr>
              <w:t>Transactions</w:t>
            </w:r>
          </w:p>
        </w:tc>
        <w:tc>
          <w:tcPr>
            <w:tcW w:w="1134" w:type="dxa"/>
            <w:tcBorders>
              <w:top w:val="single" w:sz="4" w:space="0" w:color="231F20"/>
              <w:bottom w:val="single" w:sz="4" w:space="0" w:color="231F20"/>
            </w:tcBorders>
          </w:tcPr>
          <w:p w14:paraId="2D5E2678" w14:textId="77777777" w:rsidR="00345EE3" w:rsidRDefault="00345EE3" w:rsidP="00D73130">
            <w:pPr>
              <w:pStyle w:val="TableParagraph"/>
              <w:spacing w:before="0"/>
              <w:jc w:val="left"/>
              <w:rPr>
                <w:rFonts w:ascii="Times New Roman"/>
              </w:rPr>
            </w:pPr>
          </w:p>
        </w:tc>
        <w:tc>
          <w:tcPr>
            <w:tcW w:w="1191" w:type="dxa"/>
            <w:tcBorders>
              <w:top w:val="single" w:sz="4" w:space="0" w:color="231F20"/>
              <w:bottom w:val="single" w:sz="4" w:space="0" w:color="231F20"/>
            </w:tcBorders>
            <w:shd w:val="clear" w:color="auto" w:fill="E6E7E8"/>
          </w:tcPr>
          <w:p w14:paraId="0FF69859" w14:textId="77777777" w:rsidR="00345EE3" w:rsidRDefault="00345EE3" w:rsidP="00D73130">
            <w:pPr>
              <w:pStyle w:val="TableParagraph"/>
              <w:spacing w:before="58"/>
              <w:ind w:right="53"/>
              <w:rPr>
                <w:b/>
                <w:sz w:val="24"/>
              </w:rPr>
            </w:pPr>
            <w:r>
              <w:rPr>
                <w:b/>
                <w:color w:val="231F20"/>
                <w:spacing w:val="-2"/>
                <w:sz w:val="24"/>
              </w:rPr>
              <w:t>4,100,602</w:t>
            </w:r>
          </w:p>
        </w:tc>
        <w:tc>
          <w:tcPr>
            <w:tcW w:w="1191" w:type="dxa"/>
            <w:tcBorders>
              <w:top w:val="single" w:sz="4" w:space="0" w:color="231F20"/>
              <w:bottom w:val="single" w:sz="4" w:space="0" w:color="231F20"/>
              <w:right w:val="nil"/>
            </w:tcBorders>
          </w:tcPr>
          <w:p w14:paraId="023F3E24" w14:textId="77777777" w:rsidR="00345EE3" w:rsidRDefault="00345EE3" w:rsidP="00D73130">
            <w:pPr>
              <w:pStyle w:val="TableParagraph"/>
              <w:spacing w:before="58"/>
              <w:ind w:right="53"/>
              <w:rPr>
                <w:b/>
                <w:sz w:val="24"/>
              </w:rPr>
            </w:pPr>
            <w:r>
              <w:rPr>
                <w:b/>
                <w:color w:val="231F20"/>
                <w:spacing w:val="-2"/>
                <w:sz w:val="24"/>
              </w:rPr>
              <w:t>4,107,823</w:t>
            </w:r>
          </w:p>
        </w:tc>
      </w:tr>
      <w:tr w:rsidR="00345EE3" w14:paraId="538F0C24" w14:textId="77777777" w:rsidTr="00D73130">
        <w:trPr>
          <w:trHeight w:val="386"/>
        </w:trPr>
        <w:tc>
          <w:tcPr>
            <w:tcW w:w="6690" w:type="dxa"/>
            <w:tcBorders>
              <w:top w:val="single" w:sz="4" w:space="0" w:color="231F20"/>
              <w:left w:val="nil"/>
              <w:bottom w:val="single" w:sz="8" w:space="0" w:color="231F20"/>
            </w:tcBorders>
          </w:tcPr>
          <w:p w14:paraId="560BC6C3" w14:textId="77777777" w:rsidR="00345EE3" w:rsidRDefault="00345EE3" w:rsidP="00D73130">
            <w:pPr>
              <w:pStyle w:val="TableParagraph"/>
              <w:spacing w:before="58"/>
              <w:ind w:left="-3"/>
              <w:jc w:val="left"/>
              <w:rPr>
                <w:b/>
                <w:sz w:val="24"/>
              </w:rPr>
            </w:pPr>
            <w:r>
              <w:rPr>
                <w:b/>
                <w:color w:val="231F20"/>
                <w:sz w:val="24"/>
              </w:rPr>
              <w:t>Net</w:t>
            </w:r>
            <w:r>
              <w:rPr>
                <w:b/>
                <w:color w:val="231F20"/>
                <w:spacing w:val="-7"/>
                <w:sz w:val="24"/>
              </w:rPr>
              <w:t xml:space="preserve"> </w:t>
            </w:r>
            <w:r>
              <w:rPr>
                <w:b/>
                <w:color w:val="231F20"/>
                <w:sz w:val="24"/>
              </w:rPr>
              <w:t>Result</w:t>
            </w:r>
            <w:r>
              <w:rPr>
                <w:b/>
                <w:color w:val="231F20"/>
                <w:spacing w:val="-6"/>
                <w:sz w:val="24"/>
              </w:rPr>
              <w:t xml:space="preserve"> </w:t>
            </w:r>
            <w:r>
              <w:rPr>
                <w:b/>
                <w:color w:val="231F20"/>
                <w:sz w:val="24"/>
              </w:rPr>
              <w:t>From</w:t>
            </w:r>
            <w:r>
              <w:rPr>
                <w:b/>
                <w:color w:val="231F20"/>
                <w:spacing w:val="-5"/>
                <w:sz w:val="24"/>
              </w:rPr>
              <w:t xml:space="preserve"> </w:t>
            </w:r>
            <w:r>
              <w:rPr>
                <w:b/>
                <w:color w:val="231F20"/>
                <w:sz w:val="24"/>
              </w:rPr>
              <w:t>Transactions</w:t>
            </w:r>
            <w:r>
              <w:rPr>
                <w:b/>
                <w:color w:val="231F20"/>
                <w:spacing w:val="-6"/>
                <w:sz w:val="24"/>
              </w:rPr>
              <w:t xml:space="preserve"> </w:t>
            </w:r>
            <w:r>
              <w:rPr>
                <w:b/>
                <w:color w:val="231F20"/>
                <w:sz w:val="24"/>
              </w:rPr>
              <w:t>(Net</w:t>
            </w:r>
            <w:r>
              <w:rPr>
                <w:b/>
                <w:color w:val="231F20"/>
                <w:spacing w:val="-5"/>
                <w:sz w:val="24"/>
              </w:rPr>
              <w:t xml:space="preserve"> </w:t>
            </w:r>
            <w:r>
              <w:rPr>
                <w:b/>
                <w:color w:val="231F20"/>
                <w:sz w:val="24"/>
              </w:rPr>
              <w:t>Operating</w:t>
            </w:r>
            <w:r>
              <w:rPr>
                <w:b/>
                <w:color w:val="231F20"/>
                <w:spacing w:val="-5"/>
                <w:sz w:val="24"/>
              </w:rPr>
              <w:t xml:space="preserve"> </w:t>
            </w:r>
            <w:r>
              <w:rPr>
                <w:b/>
                <w:color w:val="231F20"/>
                <w:spacing w:val="-2"/>
                <w:sz w:val="24"/>
              </w:rPr>
              <w:t>Balance)</w:t>
            </w:r>
          </w:p>
        </w:tc>
        <w:tc>
          <w:tcPr>
            <w:tcW w:w="1134" w:type="dxa"/>
            <w:tcBorders>
              <w:top w:val="single" w:sz="4" w:space="0" w:color="231F20"/>
              <w:bottom w:val="single" w:sz="8" w:space="0" w:color="231F20"/>
            </w:tcBorders>
          </w:tcPr>
          <w:p w14:paraId="1CD4F9B7" w14:textId="77777777" w:rsidR="00345EE3" w:rsidRDefault="00345EE3" w:rsidP="00D73130">
            <w:pPr>
              <w:pStyle w:val="TableParagraph"/>
              <w:spacing w:before="0"/>
              <w:jc w:val="left"/>
              <w:rPr>
                <w:rFonts w:ascii="Times New Roman"/>
              </w:rPr>
            </w:pPr>
          </w:p>
        </w:tc>
        <w:tc>
          <w:tcPr>
            <w:tcW w:w="1191" w:type="dxa"/>
            <w:tcBorders>
              <w:top w:val="single" w:sz="4" w:space="0" w:color="231F20"/>
              <w:bottom w:val="single" w:sz="8" w:space="0" w:color="231F20"/>
            </w:tcBorders>
            <w:shd w:val="clear" w:color="auto" w:fill="E6E7E8"/>
          </w:tcPr>
          <w:p w14:paraId="317C90E9" w14:textId="77777777" w:rsidR="00345EE3" w:rsidRDefault="00345EE3" w:rsidP="00D73130">
            <w:pPr>
              <w:pStyle w:val="TableParagraph"/>
              <w:spacing w:before="58"/>
              <w:ind w:right="53"/>
              <w:rPr>
                <w:b/>
                <w:sz w:val="24"/>
              </w:rPr>
            </w:pPr>
            <w:r>
              <w:rPr>
                <w:b/>
                <w:color w:val="231F20"/>
                <w:spacing w:val="-2"/>
                <w:sz w:val="24"/>
              </w:rPr>
              <w:t>1,750</w:t>
            </w:r>
          </w:p>
        </w:tc>
        <w:tc>
          <w:tcPr>
            <w:tcW w:w="1191" w:type="dxa"/>
            <w:tcBorders>
              <w:top w:val="single" w:sz="4" w:space="0" w:color="231F20"/>
              <w:bottom w:val="single" w:sz="8" w:space="0" w:color="231F20"/>
              <w:right w:val="nil"/>
            </w:tcBorders>
          </w:tcPr>
          <w:p w14:paraId="12D013AA" w14:textId="77777777" w:rsidR="00345EE3" w:rsidRDefault="00345EE3" w:rsidP="00D73130">
            <w:pPr>
              <w:pStyle w:val="TableParagraph"/>
              <w:spacing w:before="58"/>
              <w:ind w:right="53"/>
              <w:rPr>
                <w:b/>
                <w:sz w:val="24"/>
              </w:rPr>
            </w:pPr>
            <w:r>
              <w:rPr>
                <w:b/>
                <w:color w:val="231F20"/>
                <w:spacing w:val="-2"/>
                <w:sz w:val="24"/>
              </w:rPr>
              <w:t>2,863</w:t>
            </w:r>
          </w:p>
        </w:tc>
      </w:tr>
      <w:tr w:rsidR="00345EE3" w14:paraId="3D5186A8" w14:textId="77777777" w:rsidTr="00D73130">
        <w:trPr>
          <w:trHeight w:val="388"/>
        </w:trPr>
        <w:tc>
          <w:tcPr>
            <w:tcW w:w="6690" w:type="dxa"/>
            <w:tcBorders>
              <w:top w:val="single" w:sz="8" w:space="0" w:color="231F20"/>
              <w:left w:val="nil"/>
            </w:tcBorders>
          </w:tcPr>
          <w:p w14:paraId="31D1A170" w14:textId="77777777" w:rsidR="00345EE3" w:rsidRDefault="00345EE3" w:rsidP="00D73130">
            <w:pPr>
              <w:pStyle w:val="TableParagraph"/>
              <w:spacing w:before="53"/>
              <w:ind w:left="-3"/>
              <w:jc w:val="left"/>
              <w:rPr>
                <w:b/>
                <w:sz w:val="24"/>
              </w:rPr>
            </w:pPr>
            <w:r>
              <w:rPr>
                <w:b/>
                <w:color w:val="231F20"/>
                <w:sz w:val="24"/>
              </w:rPr>
              <w:t>Other</w:t>
            </w:r>
            <w:r>
              <w:rPr>
                <w:b/>
                <w:color w:val="231F20"/>
                <w:spacing w:val="-1"/>
                <w:sz w:val="24"/>
              </w:rPr>
              <w:t xml:space="preserve"> </w:t>
            </w:r>
            <w:r>
              <w:rPr>
                <w:b/>
                <w:color w:val="231F20"/>
                <w:sz w:val="24"/>
              </w:rPr>
              <w:t>Economic Flows Included</w:t>
            </w:r>
            <w:r>
              <w:rPr>
                <w:b/>
                <w:color w:val="231F20"/>
                <w:spacing w:val="-1"/>
                <w:sz w:val="24"/>
              </w:rPr>
              <w:t xml:space="preserve"> </w:t>
            </w:r>
            <w:r>
              <w:rPr>
                <w:b/>
                <w:color w:val="231F20"/>
                <w:sz w:val="24"/>
              </w:rPr>
              <w:t>in Net</w:t>
            </w:r>
            <w:r>
              <w:rPr>
                <w:b/>
                <w:color w:val="231F20"/>
                <w:spacing w:val="-1"/>
                <w:sz w:val="24"/>
              </w:rPr>
              <w:t xml:space="preserve"> </w:t>
            </w:r>
            <w:r>
              <w:rPr>
                <w:b/>
                <w:color w:val="231F20"/>
                <w:spacing w:val="-2"/>
                <w:sz w:val="24"/>
              </w:rPr>
              <w:t>Result</w:t>
            </w:r>
          </w:p>
        </w:tc>
        <w:tc>
          <w:tcPr>
            <w:tcW w:w="1134" w:type="dxa"/>
            <w:tcBorders>
              <w:top w:val="single" w:sz="8" w:space="0" w:color="231F20"/>
            </w:tcBorders>
          </w:tcPr>
          <w:p w14:paraId="522B0FCA" w14:textId="77777777" w:rsidR="00345EE3" w:rsidRDefault="00345EE3" w:rsidP="00D73130">
            <w:pPr>
              <w:pStyle w:val="TableParagraph"/>
              <w:spacing w:before="0"/>
              <w:jc w:val="left"/>
              <w:rPr>
                <w:rFonts w:ascii="Times New Roman"/>
              </w:rPr>
            </w:pPr>
          </w:p>
        </w:tc>
        <w:tc>
          <w:tcPr>
            <w:tcW w:w="1191" w:type="dxa"/>
            <w:tcBorders>
              <w:top w:val="single" w:sz="8" w:space="0" w:color="231F20"/>
            </w:tcBorders>
            <w:shd w:val="clear" w:color="auto" w:fill="E6E7E8"/>
          </w:tcPr>
          <w:p w14:paraId="5909AADF" w14:textId="77777777" w:rsidR="00345EE3" w:rsidRDefault="00345EE3" w:rsidP="00D73130">
            <w:pPr>
              <w:pStyle w:val="TableParagraph"/>
              <w:spacing w:before="0"/>
              <w:jc w:val="left"/>
              <w:rPr>
                <w:rFonts w:ascii="Times New Roman"/>
              </w:rPr>
            </w:pPr>
          </w:p>
        </w:tc>
        <w:tc>
          <w:tcPr>
            <w:tcW w:w="1191" w:type="dxa"/>
            <w:tcBorders>
              <w:top w:val="single" w:sz="8" w:space="0" w:color="231F20"/>
              <w:right w:val="nil"/>
            </w:tcBorders>
          </w:tcPr>
          <w:p w14:paraId="62ED1BD4" w14:textId="77777777" w:rsidR="00345EE3" w:rsidRDefault="00345EE3" w:rsidP="00D73130">
            <w:pPr>
              <w:pStyle w:val="TableParagraph"/>
              <w:spacing w:before="0"/>
              <w:jc w:val="left"/>
              <w:rPr>
                <w:rFonts w:ascii="Times New Roman"/>
              </w:rPr>
            </w:pPr>
          </w:p>
        </w:tc>
      </w:tr>
      <w:tr w:rsidR="00345EE3" w14:paraId="5080DEA7" w14:textId="77777777" w:rsidTr="00D73130">
        <w:trPr>
          <w:trHeight w:val="396"/>
        </w:trPr>
        <w:tc>
          <w:tcPr>
            <w:tcW w:w="6690" w:type="dxa"/>
            <w:tcBorders>
              <w:left w:val="nil"/>
            </w:tcBorders>
          </w:tcPr>
          <w:p w14:paraId="7BA7B16C" w14:textId="77777777" w:rsidR="00345EE3" w:rsidRDefault="00345EE3" w:rsidP="00D73130">
            <w:pPr>
              <w:pStyle w:val="TableParagraph"/>
              <w:ind w:left="167"/>
              <w:jc w:val="left"/>
              <w:rPr>
                <w:sz w:val="24"/>
              </w:rPr>
            </w:pPr>
            <w:r>
              <w:rPr>
                <w:color w:val="231F20"/>
                <w:sz w:val="24"/>
              </w:rPr>
              <w:t>Net</w:t>
            </w:r>
            <w:r>
              <w:rPr>
                <w:color w:val="231F20"/>
                <w:spacing w:val="-8"/>
                <w:sz w:val="24"/>
              </w:rPr>
              <w:t xml:space="preserve"> </w:t>
            </w:r>
            <w:r>
              <w:rPr>
                <w:color w:val="231F20"/>
                <w:sz w:val="24"/>
              </w:rPr>
              <w:t>gain/(loss)</w:t>
            </w:r>
            <w:r>
              <w:rPr>
                <w:color w:val="231F20"/>
                <w:spacing w:val="-7"/>
                <w:sz w:val="24"/>
              </w:rPr>
              <w:t xml:space="preserve"> </w:t>
            </w:r>
            <w:r>
              <w:rPr>
                <w:color w:val="231F20"/>
                <w:sz w:val="24"/>
              </w:rPr>
              <w:t>on</w:t>
            </w:r>
            <w:r>
              <w:rPr>
                <w:color w:val="231F20"/>
                <w:spacing w:val="-7"/>
                <w:sz w:val="24"/>
              </w:rPr>
              <w:t xml:space="preserve"> </w:t>
            </w:r>
            <w:r>
              <w:rPr>
                <w:color w:val="231F20"/>
                <w:sz w:val="24"/>
              </w:rPr>
              <w:t>non-financial</w:t>
            </w:r>
            <w:r>
              <w:rPr>
                <w:color w:val="231F20"/>
                <w:spacing w:val="-7"/>
                <w:sz w:val="24"/>
              </w:rPr>
              <w:t xml:space="preserve"> </w:t>
            </w:r>
            <w:r>
              <w:rPr>
                <w:color w:val="231F20"/>
                <w:spacing w:val="-2"/>
                <w:sz w:val="24"/>
              </w:rPr>
              <w:t>assets</w:t>
            </w:r>
          </w:p>
        </w:tc>
        <w:tc>
          <w:tcPr>
            <w:tcW w:w="1134" w:type="dxa"/>
          </w:tcPr>
          <w:p w14:paraId="6B4E66A1" w14:textId="77777777" w:rsidR="00345EE3" w:rsidRDefault="00345EE3" w:rsidP="00D73130">
            <w:pPr>
              <w:pStyle w:val="TableParagraph"/>
              <w:ind w:left="282" w:right="282"/>
              <w:jc w:val="center"/>
              <w:rPr>
                <w:sz w:val="24"/>
              </w:rPr>
            </w:pPr>
            <w:r>
              <w:rPr>
                <w:color w:val="231F20"/>
                <w:spacing w:val="-5"/>
                <w:sz w:val="24"/>
              </w:rPr>
              <w:t>9.1</w:t>
            </w:r>
          </w:p>
        </w:tc>
        <w:tc>
          <w:tcPr>
            <w:tcW w:w="1191" w:type="dxa"/>
            <w:shd w:val="clear" w:color="auto" w:fill="E6E7E8"/>
          </w:tcPr>
          <w:p w14:paraId="39C42BFE" w14:textId="77777777" w:rsidR="00345EE3" w:rsidRDefault="00345EE3" w:rsidP="00D73130">
            <w:pPr>
              <w:pStyle w:val="TableParagraph"/>
              <w:ind w:right="55"/>
              <w:rPr>
                <w:sz w:val="24"/>
              </w:rPr>
            </w:pPr>
            <w:r>
              <w:rPr>
                <w:color w:val="231F20"/>
                <w:spacing w:val="-2"/>
                <w:sz w:val="24"/>
              </w:rPr>
              <w:t>15,352</w:t>
            </w:r>
          </w:p>
        </w:tc>
        <w:tc>
          <w:tcPr>
            <w:tcW w:w="1191" w:type="dxa"/>
            <w:tcBorders>
              <w:right w:val="nil"/>
            </w:tcBorders>
          </w:tcPr>
          <w:p w14:paraId="35D892B4" w14:textId="77777777" w:rsidR="00345EE3" w:rsidRDefault="00345EE3" w:rsidP="00D73130">
            <w:pPr>
              <w:pStyle w:val="TableParagraph"/>
              <w:ind w:right="56"/>
              <w:rPr>
                <w:sz w:val="24"/>
              </w:rPr>
            </w:pPr>
            <w:r>
              <w:rPr>
                <w:color w:val="231F20"/>
                <w:spacing w:val="-2"/>
                <w:sz w:val="24"/>
              </w:rPr>
              <w:t>15,697</w:t>
            </w:r>
          </w:p>
        </w:tc>
      </w:tr>
      <w:tr w:rsidR="00345EE3" w14:paraId="3FD11000" w14:textId="77777777" w:rsidTr="00D73130">
        <w:trPr>
          <w:trHeight w:val="393"/>
        </w:trPr>
        <w:tc>
          <w:tcPr>
            <w:tcW w:w="6690" w:type="dxa"/>
            <w:tcBorders>
              <w:left w:val="nil"/>
              <w:bottom w:val="single" w:sz="4" w:space="0" w:color="231F20"/>
            </w:tcBorders>
          </w:tcPr>
          <w:p w14:paraId="7AEA8FA5" w14:textId="77777777" w:rsidR="00345EE3" w:rsidRDefault="00345EE3" w:rsidP="00D73130">
            <w:pPr>
              <w:pStyle w:val="TableParagraph"/>
              <w:spacing w:before="61"/>
              <w:ind w:left="167"/>
              <w:jc w:val="left"/>
              <w:rPr>
                <w:sz w:val="24"/>
              </w:rPr>
            </w:pPr>
            <w:r>
              <w:rPr>
                <w:color w:val="231F20"/>
                <w:sz w:val="24"/>
              </w:rPr>
              <w:t>Net</w:t>
            </w:r>
            <w:r>
              <w:rPr>
                <w:color w:val="231F20"/>
                <w:spacing w:val="-6"/>
                <w:sz w:val="24"/>
              </w:rPr>
              <w:t xml:space="preserve"> </w:t>
            </w:r>
            <w:r>
              <w:rPr>
                <w:color w:val="231F20"/>
                <w:sz w:val="24"/>
              </w:rPr>
              <w:t>gain/(loss)</w:t>
            </w:r>
            <w:r>
              <w:rPr>
                <w:color w:val="231F20"/>
                <w:spacing w:val="-6"/>
                <w:sz w:val="24"/>
              </w:rPr>
              <w:t xml:space="preserve"> </w:t>
            </w:r>
            <w:r>
              <w:rPr>
                <w:color w:val="231F20"/>
                <w:sz w:val="24"/>
              </w:rPr>
              <w:t>from</w:t>
            </w:r>
            <w:r>
              <w:rPr>
                <w:color w:val="231F20"/>
                <w:spacing w:val="-4"/>
                <w:sz w:val="24"/>
              </w:rPr>
              <w:t xml:space="preserve"> </w:t>
            </w:r>
            <w:r>
              <w:rPr>
                <w:color w:val="231F20"/>
                <w:sz w:val="24"/>
              </w:rPr>
              <w:t>other</w:t>
            </w:r>
            <w:r>
              <w:rPr>
                <w:color w:val="231F20"/>
                <w:spacing w:val="-6"/>
                <w:sz w:val="24"/>
              </w:rPr>
              <w:t xml:space="preserve"> </w:t>
            </w:r>
            <w:r>
              <w:rPr>
                <w:color w:val="231F20"/>
                <w:sz w:val="24"/>
              </w:rPr>
              <w:t>economic</w:t>
            </w:r>
            <w:r>
              <w:rPr>
                <w:color w:val="231F20"/>
                <w:spacing w:val="-5"/>
                <w:sz w:val="24"/>
              </w:rPr>
              <w:t xml:space="preserve"> </w:t>
            </w:r>
            <w:r>
              <w:rPr>
                <w:color w:val="231F20"/>
                <w:spacing w:val="-2"/>
                <w:sz w:val="24"/>
              </w:rPr>
              <w:t>flows</w:t>
            </w:r>
          </w:p>
        </w:tc>
        <w:tc>
          <w:tcPr>
            <w:tcW w:w="1134" w:type="dxa"/>
            <w:tcBorders>
              <w:bottom w:val="single" w:sz="4" w:space="0" w:color="231F20"/>
            </w:tcBorders>
          </w:tcPr>
          <w:p w14:paraId="1395AB20" w14:textId="77777777" w:rsidR="00345EE3" w:rsidRDefault="00345EE3" w:rsidP="00D73130">
            <w:pPr>
              <w:pStyle w:val="TableParagraph"/>
              <w:spacing w:before="61"/>
              <w:ind w:left="282" w:right="282"/>
              <w:jc w:val="center"/>
              <w:rPr>
                <w:sz w:val="24"/>
              </w:rPr>
            </w:pPr>
            <w:r>
              <w:rPr>
                <w:color w:val="231F20"/>
                <w:spacing w:val="-5"/>
                <w:sz w:val="24"/>
              </w:rPr>
              <w:t>9.1</w:t>
            </w:r>
          </w:p>
        </w:tc>
        <w:tc>
          <w:tcPr>
            <w:tcW w:w="1191" w:type="dxa"/>
            <w:tcBorders>
              <w:bottom w:val="single" w:sz="4" w:space="0" w:color="231F20"/>
            </w:tcBorders>
            <w:shd w:val="clear" w:color="auto" w:fill="E6E7E8"/>
          </w:tcPr>
          <w:p w14:paraId="6FD2999A" w14:textId="77777777" w:rsidR="00345EE3" w:rsidRDefault="00345EE3" w:rsidP="00D73130">
            <w:pPr>
              <w:pStyle w:val="TableParagraph"/>
              <w:spacing w:before="61"/>
              <w:ind w:right="55"/>
              <w:rPr>
                <w:sz w:val="24"/>
              </w:rPr>
            </w:pPr>
            <w:r>
              <w:rPr>
                <w:color w:val="231F20"/>
                <w:spacing w:val="-2"/>
                <w:sz w:val="24"/>
              </w:rPr>
              <w:t>69,837</w:t>
            </w:r>
          </w:p>
        </w:tc>
        <w:tc>
          <w:tcPr>
            <w:tcW w:w="1191" w:type="dxa"/>
            <w:tcBorders>
              <w:bottom w:val="single" w:sz="4" w:space="0" w:color="231F20"/>
              <w:right w:val="nil"/>
            </w:tcBorders>
          </w:tcPr>
          <w:p w14:paraId="7D5BA4E0" w14:textId="77777777" w:rsidR="00345EE3" w:rsidRDefault="00345EE3" w:rsidP="00D73130">
            <w:pPr>
              <w:pStyle w:val="TableParagraph"/>
              <w:spacing w:before="61"/>
              <w:ind w:right="57"/>
              <w:rPr>
                <w:sz w:val="24"/>
              </w:rPr>
            </w:pPr>
            <w:r>
              <w:rPr>
                <w:color w:val="231F20"/>
                <w:spacing w:val="-2"/>
                <w:sz w:val="24"/>
              </w:rPr>
              <w:t>6,433</w:t>
            </w:r>
          </w:p>
        </w:tc>
      </w:tr>
      <w:tr w:rsidR="00345EE3" w14:paraId="3BC20156" w14:textId="77777777" w:rsidTr="00D73130">
        <w:trPr>
          <w:trHeight w:val="391"/>
        </w:trPr>
        <w:tc>
          <w:tcPr>
            <w:tcW w:w="6690" w:type="dxa"/>
            <w:tcBorders>
              <w:top w:val="single" w:sz="4" w:space="0" w:color="231F20"/>
              <w:left w:val="nil"/>
              <w:bottom w:val="single" w:sz="4" w:space="0" w:color="231F20"/>
            </w:tcBorders>
          </w:tcPr>
          <w:p w14:paraId="525F95C2" w14:textId="77777777" w:rsidR="00345EE3" w:rsidRDefault="00345EE3" w:rsidP="00D73130">
            <w:pPr>
              <w:pStyle w:val="TableParagraph"/>
              <w:spacing w:before="58"/>
              <w:ind w:left="-3"/>
              <w:jc w:val="left"/>
              <w:rPr>
                <w:b/>
                <w:sz w:val="24"/>
              </w:rPr>
            </w:pPr>
            <w:r>
              <w:rPr>
                <w:b/>
                <w:color w:val="231F20"/>
                <w:sz w:val="24"/>
              </w:rPr>
              <w:t>Total</w:t>
            </w:r>
            <w:r>
              <w:rPr>
                <w:b/>
                <w:color w:val="231F20"/>
                <w:spacing w:val="-3"/>
                <w:sz w:val="24"/>
              </w:rPr>
              <w:t xml:space="preserve"> </w:t>
            </w:r>
            <w:r>
              <w:rPr>
                <w:b/>
                <w:color w:val="231F20"/>
                <w:sz w:val="24"/>
              </w:rPr>
              <w:t>Other</w:t>
            </w:r>
            <w:r>
              <w:rPr>
                <w:b/>
                <w:color w:val="231F20"/>
                <w:spacing w:val="-3"/>
                <w:sz w:val="24"/>
              </w:rPr>
              <w:t xml:space="preserve"> </w:t>
            </w:r>
            <w:r>
              <w:rPr>
                <w:b/>
                <w:color w:val="231F20"/>
                <w:sz w:val="24"/>
              </w:rPr>
              <w:t>Economic</w:t>
            </w:r>
            <w:r>
              <w:rPr>
                <w:b/>
                <w:color w:val="231F20"/>
                <w:spacing w:val="-3"/>
                <w:sz w:val="24"/>
              </w:rPr>
              <w:t xml:space="preserve"> </w:t>
            </w:r>
            <w:r>
              <w:rPr>
                <w:b/>
                <w:color w:val="231F20"/>
                <w:sz w:val="24"/>
              </w:rPr>
              <w:t>Flows</w:t>
            </w:r>
            <w:r>
              <w:rPr>
                <w:b/>
                <w:color w:val="231F20"/>
                <w:spacing w:val="-3"/>
                <w:sz w:val="24"/>
              </w:rPr>
              <w:t xml:space="preserve"> </w:t>
            </w:r>
            <w:r>
              <w:rPr>
                <w:b/>
                <w:color w:val="231F20"/>
                <w:sz w:val="24"/>
              </w:rPr>
              <w:t>Included</w:t>
            </w:r>
            <w:r>
              <w:rPr>
                <w:b/>
                <w:color w:val="231F20"/>
                <w:spacing w:val="-3"/>
                <w:sz w:val="24"/>
              </w:rPr>
              <w:t xml:space="preserve"> </w:t>
            </w:r>
            <w:r>
              <w:rPr>
                <w:b/>
                <w:color w:val="231F20"/>
                <w:sz w:val="24"/>
              </w:rPr>
              <w:t>in</w:t>
            </w:r>
            <w:r>
              <w:rPr>
                <w:b/>
                <w:color w:val="231F20"/>
                <w:spacing w:val="-3"/>
                <w:sz w:val="24"/>
              </w:rPr>
              <w:t xml:space="preserve"> </w:t>
            </w:r>
            <w:r>
              <w:rPr>
                <w:b/>
                <w:color w:val="231F20"/>
                <w:sz w:val="24"/>
              </w:rPr>
              <w:t>Net</w:t>
            </w:r>
            <w:r>
              <w:rPr>
                <w:b/>
                <w:color w:val="231F20"/>
                <w:spacing w:val="-3"/>
                <w:sz w:val="24"/>
              </w:rPr>
              <w:t xml:space="preserve"> </w:t>
            </w:r>
            <w:r>
              <w:rPr>
                <w:b/>
                <w:color w:val="231F20"/>
                <w:spacing w:val="-2"/>
                <w:sz w:val="24"/>
              </w:rPr>
              <w:t>Result</w:t>
            </w:r>
          </w:p>
        </w:tc>
        <w:tc>
          <w:tcPr>
            <w:tcW w:w="1134" w:type="dxa"/>
            <w:tcBorders>
              <w:top w:val="single" w:sz="4" w:space="0" w:color="231F20"/>
              <w:bottom w:val="single" w:sz="4" w:space="0" w:color="231F20"/>
            </w:tcBorders>
          </w:tcPr>
          <w:p w14:paraId="38011170" w14:textId="77777777" w:rsidR="00345EE3" w:rsidRDefault="00345EE3" w:rsidP="00D73130">
            <w:pPr>
              <w:pStyle w:val="TableParagraph"/>
              <w:spacing w:before="0"/>
              <w:jc w:val="left"/>
              <w:rPr>
                <w:rFonts w:ascii="Times New Roman"/>
              </w:rPr>
            </w:pPr>
          </w:p>
        </w:tc>
        <w:tc>
          <w:tcPr>
            <w:tcW w:w="1191" w:type="dxa"/>
            <w:tcBorders>
              <w:top w:val="single" w:sz="4" w:space="0" w:color="231F20"/>
              <w:bottom w:val="single" w:sz="4" w:space="0" w:color="231F20"/>
            </w:tcBorders>
            <w:shd w:val="clear" w:color="auto" w:fill="E6E7E8"/>
          </w:tcPr>
          <w:p w14:paraId="1C06C6FD" w14:textId="77777777" w:rsidR="00345EE3" w:rsidRDefault="00345EE3" w:rsidP="00D73130">
            <w:pPr>
              <w:pStyle w:val="TableParagraph"/>
              <w:spacing w:before="58"/>
              <w:ind w:right="53"/>
              <w:rPr>
                <w:b/>
                <w:sz w:val="24"/>
              </w:rPr>
            </w:pPr>
            <w:r>
              <w:rPr>
                <w:b/>
                <w:color w:val="231F20"/>
                <w:spacing w:val="-2"/>
                <w:sz w:val="24"/>
              </w:rPr>
              <w:t>85,189</w:t>
            </w:r>
          </w:p>
        </w:tc>
        <w:tc>
          <w:tcPr>
            <w:tcW w:w="1191" w:type="dxa"/>
            <w:tcBorders>
              <w:top w:val="single" w:sz="4" w:space="0" w:color="231F20"/>
              <w:bottom w:val="single" w:sz="4" w:space="0" w:color="231F20"/>
              <w:right w:val="nil"/>
            </w:tcBorders>
          </w:tcPr>
          <w:p w14:paraId="4B0C8E75" w14:textId="77777777" w:rsidR="00345EE3" w:rsidRDefault="00345EE3" w:rsidP="00D73130">
            <w:pPr>
              <w:pStyle w:val="TableParagraph"/>
              <w:spacing w:before="58"/>
              <w:ind w:right="53"/>
              <w:rPr>
                <w:b/>
                <w:sz w:val="24"/>
              </w:rPr>
            </w:pPr>
            <w:r>
              <w:rPr>
                <w:b/>
                <w:color w:val="231F20"/>
                <w:spacing w:val="-2"/>
                <w:sz w:val="24"/>
              </w:rPr>
              <w:t>22,130</w:t>
            </w:r>
          </w:p>
        </w:tc>
      </w:tr>
      <w:tr w:rsidR="00345EE3" w14:paraId="360EDB3F" w14:textId="77777777" w:rsidTr="00D73130">
        <w:trPr>
          <w:trHeight w:val="391"/>
        </w:trPr>
        <w:tc>
          <w:tcPr>
            <w:tcW w:w="6690" w:type="dxa"/>
            <w:tcBorders>
              <w:top w:val="single" w:sz="4" w:space="0" w:color="231F20"/>
              <w:left w:val="nil"/>
              <w:bottom w:val="single" w:sz="4" w:space="0" w:color="231F20"/>
            </w:tcBorders>
          </w:tcPr>
          <w:p w14:paraId="1CBA0A20" w14:textId="77777777" w:rsidR="00345EE3" w:rsidRDefault="00345EE3" w:rsidP="00D73130">
            <w:pPr>
              <w:pStyle w:val="TableParagraph"/>
              <w:spacing w:before="58"/>
              <w:ind w:left="-3"/>
              <w:jc w:val="left"/>
              <w:rPr>
                <w:b/>
                <w:sz w:val="24"/>
              </w:rPr>
            </w:pPr>
            <w:r>
              <w:rPr>
                <w:b/>
                <w:color w:val="231F20"/>
                <w:spacing w:val="-2"/>
                <w:sz w:val="24"/>
              </w:rPr>
              <w:t>Net–Result</w:t>
            </w:r>
          </w:p>
        </w:tc>
        <w:tc>
          <w:tcPr>
            <w:tcW w:w="1134" w:type="dxa"/>
            <w:tcBorders>
              <w:top w:val="single" w:sz="4" w:space="0" w:color="231F20"/>
              <w:bottom w:val="single" w:sz="4" w:space="0" w:color="231F20"/>
            </w:tcBorders>
          </w:tcPr>
          <w:p w14:paraId="282324D9" w14:textId="77777777" w:rsidR="00345EE3" w:rsidRDefault="00345EE3" w:rsidP="00D73130">
            <w:pPr>
              <w:pStyle w:val="TableParagraph"/>
              <w:spacing w:before="0"/>
              <w:jc w:val="left"/>
              <w:rPr>
                <w:rFonts w:ascii="Times New Roman"/>
              </w:rPr>
            </w:pPr>
          </w:p>
        </w:tc>
        <w:tc>
          <w:tcPr>
            <w:tcW w:w="1191" w:type="dxa"/>
            <w:tcBorders>
              <w:top w:val="single" w:sz="4" w:space="0" w:color="231F20"/>
              <w:bottom w:val="single" w:sz="4" w:space="0" w:color="231F20"/>
            </w:tcBorders>
            <w:shd w:val="clear" w:color="auto" w:fill="E6E7E8"/>
          </w:tcPr>
          <w:p w14:paraId="67496DA6" w14:textId="77777777" w:rsidR="00345EE3" w:rsidRDefault="00345EE3" w:rsidP="00D73130">
            <w:pPr>
              <w:pStyle w:val="TableParagraph"/>
              <w:spacing w:before="58"/>
              <w:ind w:right="53"/>
              <w:rPr>
                <w:b/>
                <w:sz w:val="24"/>
              </w:rPr>
            </w:pPr>
            <w:r>
              <w:rPr>
                <w:b/>
                <w:color w:val="231F20"/>
                <w:spacing w:val="-2"/>
                <w:sz w:val="24"/>
              </w:rPr>
              <w:t>86,939</w:t>
            </w:r>
          </w:p>
        </w:tc>
        <w:tc>
          <w:tcPr>
            <w:tcW w:w="1191" w:type="dxa"/>
            <w:tcBorders>
              <w:top w:val="single" w:sz="4" w:space="0" w:color="231F20"/>
              <w:bottom w:val="single" w:sz="4" w:space="0" w:color="231F20"/>
              <w:right w:val="nil"/>
            </w:tcBorders>
          </w:tcPr>
          <w:p w14:paraId="07006AD3" w14:textId="77777777" w:rsidR="00345EE3" w:rsidRDefault="00345EE3" w:rsidP="00D73130">
            <w:pPr>
              <w:pStyle w:val="TableParagraph"/>
              <w:spacing w:before="58"/>
              <w:ind w:right="53"/>
              <w:rPr>
                <w:b/>
                <w:sz w:val="24"/>
              </w:rPr>
            </w:pPr>
            <w:r>
              <w:rPr>
                <w:b/>
                <w:color w:val="231F20"/>
                <w:spacing w:val="-2"/>
                <w:sz w:val="24"/>
              </w:rPr>
              <w:t>24,993</w:t>
            </w:r>
          </w:p>
        </w:tc>
      </w:tr>
      <w:tr w:rsidR="00345EE3" w14:paraId="3A3F67AB" w14:textId="77777777" w:rsidTr="00D73130">
        <w:trPr>
          <w:trHeight w:val="393"/>
        </w:trPr>
        <w:tc>
          <w:tcPr>
            <w:tcW w:w="6690" w:type="dxa"/>
            <w:tcBorders>
              <w:top w:val="single" w:sz="4" w:space="0" w:color="231F20"/>
              <w:left w:val="nil"/>
            </w:tcBorders>
          </w:tcPr>
          <w:p w14:paraId="72FDDB5F" w14:textId="77777777" w:rsidR="00345EE3" w:rsidRDefault="00345EE3" w:rsidP="00D73130">
            <w:pPr>
              <w:pStyle w:val="TableParagraph"/>
              <w:spacing w:before="58"/>
              <w:ind w:left="-3"/>
              <w:jc w:val="left"/>
              <w:rPr>
                <w:b/>
                <w:sz w:val="24"/>
              </w:rPr>
            </w:pPr>
            <w:r>
              <w:rPr>
                <w:b/>
                <w:color w:val="231F20"/>
                <w:sz w:val="24"/>
              </w:rPr>
              <w:t>Other</w:t>
            </w:r>
            <w:r>
              <w:rPr>
                <w:b/>
                <w:color w:val="231F20"/>
                <w:spacing w:val="-3"/>
                <w:sz w:val="24"/>
              </w:rPr>
              <w:t xml:space="preserve"> </w:t>
            </w:r>
            <w:r>
              <w:rPr>
                <w:b/>
                <w:color w:val="231F20"/>
                <w:sz w:val="24"/>
              </w:rPr>
              <w:t>Economic</w:t>
            </w:r>
            <w:r>
              <w:rPr>
                <w:b/>
                <w:color w:val="231F20"/>
                <w:spacing w:val="-2"/>
                <w:sz w:val="24"/>
              </w:rPr>
              <w:t xml:space="preserve"> </w:t>
            </w:r>
            <w:r>
              <w:rPr>
                <w:b/>
                <w:color w:val="231F20"/>
                <w:sz w:val="24"/>
              </w:rPr>
              <w:t>Flows</w:t>
            </w:r>
            <w:r>
              <w:rPr>
                <w:b/>
                <w:color w:val="231F20"/>
                <w:spacing w:val="-2"/>
                <w:sz w:val="24"/>
              </w:rPr>
              <w:t xml:space="preserve"> </w:t>
            </w:r>
            <w:r>
              <w:rPr>
                <w:b/>
                <w:color w:val="231F20"/>
                <w:sz w:val="24"/>
              </w:rPr>
              <w:t>–</w:t>
            </w:r>
            <w:r>
              <w:rPr>
                <w:b/>
                <w:color w:val="231F20"/>
                <w:spacing w:val="-3"/>
                <w:sz w:val="24"/>
              </w:rPr>
              <w:t xml:space="preserve"> </w:t>
            </w:r>
            <w:r>
              <w:rPr>
                <w:b/>
                <w:color w:val="231F20"/>
                <w:sz w:val="24"/>
              </w:rPr>
              <w:t>Other</w:t>
            </w:r>
            <w:r>
              <w:rPr>
                <w:b/>
                <w:color w:val="231F20"/>
                <w:spacing w:val="-2"/>
                <w:sz w:val="24"/>
              </w:rPr>
              <w:t xml:space="preserve"> </w:t>
            </w:r>
            <w:r>
              <w:rPr>
                <w:b/>
                <w:color w:val="231F20"/>
                <w:sz w:val="24"/>
              </w:rPr>
              <w:t>Comprehensive</w:t>
            </w:r>
            <w:r>
              <w:rPr>
                <w:b/>
                <w:color w:val="231F20"/>
                <w:spacing w:val="-2"/>
                <w:sz w:val="24"/>
              </w:rPr>
              <w:t xml:space="preserve"> Income</w:t>
            </w:r>
          </w:p>
        </w:tc>
        <w:tc>
          <w:tcPr>
            <w:tcW w:w="1134" w:type="dxa"/>
            <w:tcBorders>
              <w:top w:val="single" w:sz="4" w:space="0" w:color="231F20"/>
            </w:tcBorders>
          </w:tcPr>
          <w:p w14:paraId="0FD5C366" w14:textId="77777777" w:rsidR="00345EE3" w:rsidRDefault="00345EE3" w:rsidP="00D73130">
            <w:pPr>
              <w:pStyle w:val="TableParagraph"/>
              <w:spacing w:before="0"/>
              <w:jc w:val="left"/>
              <w:rPr>
                <w:rFonts w:ascii="Times New Roman"/>
              </w:rPr>
            </w:pPr>
          </w:p>
        </w:tc>
        <w:tc>
          <w:tcPr>
            <w:tcW w:w="1191" w:type="dxa"/>
            <w:tcBorders>
              <w:top w:val="single" w:sz="4" w:space="0" w:color="231F20"/>
            </w:tcBorders>
            <w:shd w:val="clear" w:color="auto" w:fill="E6E7E8"/>
          </w:tcPr>
          <w:p w14:paraId="16B5EB83" w14:textId="77777777" w:rsidR="00345EE3" w:rsidRDefault="00345EE3" w:rsidP="00D73130">
            <w:pPr>
              <w:pStyle w:val="TableParagraph"/>
              <w:spacing w:before="0"/>
              <w:jc w:val="left"/>
              <w:rPr>
                <w:rFonts w:ascii="Times New Roman"/>
              </w:rPr>
            </w:pPr>
          </w:p>
        </w:tc>
        <w:tc>
          <w:tcPr>
            <w:tcW w:w="1191" w:type="dxa"/>
            <w:tcBorders>
              <w:top w:val="single" w:sz="4" w:space="0" w:color="231F20"/>
              <w:right w:val="nil"/>
            </w:tcBorders>
          </w:tcPr>
          <w:p w14:paraId="5C18B0B1" w14:textId="77777777" w:rsidR="00345EE3" w:rsidRDefault="00345EE3" w:rsidP="00D73130">
            <w:pPr>
              <w:pStyle w:val="TableParagraph"/>
              <w:spacing w:before="0"/>
              <w:jc w:val="left"/>
              <w:rPr>
                <w:rFonts w:ascii="Times New Roman"/>
              </w:rPr>
            </w:pPr>
          </w:p>
        </w:tc>
      </w:tr>
      <w:tr w:rsidR="00345EE3" w14:paraId="32B9A6F5" w14:textId="77777777" w:rsidTr="00D73130">
        <w:trPr>
          <w:trHeight w:val="676"/>
        </w:trPr>
        <w:tc>
          <w:tcPr>
            <w:tcW w:w="6690" w:type="dxa"/>
            <w:tcBorders>
              <w:left w:val="nil"/>
            </w:tcBorders>
          </w:tcPr>
          <w:p w14:paraId="2D78DE25" w14:textId="77777777" w:rsidR="00345EE3" w:rsidRDefault="00345EE3" w:rsidP="00D73130">
            <w:pPr>
              <w:pStyle w:val="TableParagraph"/>
              <w:spacing w:before="61" w:line="242" w:lineRule="auto"/>
              <w:ind w:left="-3" w:right="18"/>
              <w:jc w:val="left"/>
              <w:rPr>
                <w:b/>
                <w:sz w:val="24"/>
              </w:rPr>
            </w:pPr>
            <w:r>
              <w:rPr>
                <w:b/>
                <w:color w:val="231F20"/>
                <w:sz w:val="24"/>
              </w:rPr>
              <w:t>Items</w:t>
            </w:r>
            <w:r>
              <w:rPr>
                <w:b/>
                <w:color w:val="231F20"/>
                <w:spacing w:val="-8"/>
                <w:sz w:val="24"/>
              </w:rPr>
              <w:t xml:space="preserve"> </w:t>
            </w:r>
            <w:r>
              <w:rPr>
                <w:b/>
                <w:color w:val="231F20"/>
                <w:sz w:val="24"/>
              </w:rPr>
              <w:t>That</w:t>
            </w:r>
            <w:r>
              <w:rPr>
                <w:b/>
                <w:color w:val="231F20"/>
                <w:spacing w:val="-8"/>
                <w:sz w:val="24"/>
              </w:rPr>
              <w:t xml:space="preserve"> </w:t>
            </w:r>
            <w:r>
              <w:rPr>
                <w:b/>
                <w:color w:val="231F20"/>
                <w:sz w:val="24"/>
              </w:rPr>
              <w:t>May</w:t>
            </w:r>
            <w:r>
              <w:rPr>
                <w:b/>
                <w:color w:val="231F20"/>
                <w:spacing w:val="-8"/>
                <w:sz w:val="24"/>
              </w:rPr>
              <w:t xml:space="preserve"> </w:t>
            </w:r>
            <w:r>
              <w:rPr>
                <w:b/>
                <w:color w:val="231F20"/>
                <w:sz w:val="24"/>
              </w:rPr>
              <w:t>Be</w:t>
            </w:r>
            <w:r>
              <w:rPr>
                <w:b/>
                <w:color w:val="231F20"/>
                <w:spacing w:val="-9"/>
                <w:sz w:val="24"/>
              </w:rPr>
              <w:t xml:space="preserve"> </w:t>
            </w:r>
            <w:r>
              <w:rPr>
                <w:b/>
                <w:color w:val="231F20"/>
                <w:sz w:val="24"/>
              </w:rPr>
              <w:t>Reclassified</w:t>
            </w:r>
            <w:r>
              <w:rPr>
                <w:b/>
                <w:color w:val="231F20"/>
                <w:spacing w:val="-9"/>
                <w:sz w:val="24"/>
              </w:rPr>
              <w:t xml:space="preserve"> </w:t>
            </w:r>
            <w:r>
              <w:rPr>
                <w:b/>
                <w:color w:val="231F20"/>
                <w:sz w:val="24"/>
              </w:rPr>
              <w:t>Subsequently</w:t>
            </w:r>
            <w:r>
              <w:rPr>
                <w:b/>
                <w:color w:val="231F20"/>
                <w:spacing w:val="-8"/>
                <w:sz w:val="24"/>
              </w:rPr>
              <w:t xml:space="preserve"> </w:t>
            </w:r>
            <w:r>
              <w:rPr>
                <w:b/>
                <w:color w:val="231F20"/>
                <w:sz w:val="24"/>
              </w:rPr>
              <w:t>To</w:t>
            </w:r>
            <w:r>
              <w:rPr>
                <w:b/>
                <w:color w:val="231F20"/>
                <w:spacing w:val="-8"/>
                <w:sz w:val="24"/>
              </w:rPr>
              <w:t xml:space="preserve"> </w:t>
            </w:r>
            <w:r>
              <w:rPr>
                <w:b/>
                <w:color w:val="231F20"/>
                <w:sz w:val="24"/>
              </w:rPr>
              <w:t xml:space="preserve">Net </w:t>
            </w:r>
            <w:r>
              <w:rPr>
                <w:b/>
                <w:color w:val="231F20"/>
                <w:spacing w:val="-2"/>
                <w:sz w:val="24"/>
              </w:rPr>
              <w:t>Result</w:t>
            </w:r>
          </w:p>
        </w:tc>
        <w:tc>
          <w:tcPr>
            <w:tcW w:w="1134" w:type="dxa"/>
          </w:tcPr>
          <w:p w14:paraId="10EEEED0" w14:textId="77777777" w:rsidR="00345EE3" w:rsidRDefault="00345EE3" w:rsidP="00D73130">
            <w:pPr>
              <w:pStyle w:val="TableParagraph"/>
              <w:spacing w:before="0"/>
              <w:jc w:val="left"/>
              <w:rPr>
                <w:rFonts w:ascii="Times New Roman"/>
              </w:rPr>
            </w:pPr>
          </w:p>
        </w:tc>
        <w:tc>
          <w:tcPr>
            <w:tcW w:w="1191" w:type="dxa"/>
            <w:shd w:val="clear" w:color="auto" w:fill="E6E7E8"/>
          </w:tcPr>
          <w:p w14:paraId="394C4BF9" w14:textId="77777777" w:rsidR="00345EE3" w:rsidRDefault="00345EE3" w:rsidP="00D73130">
            <w:pPr>
              <w:pStyle w:val="TableParagraph"/>
              <w:spacing w:before="0"/>
              <w:jc w:val="left"/>
              <w:rPr>
                <w:rFonts w:ascii="Times New Roman"/>
              </w:rPr>
            </w:pPr>
          </w:p>
        </w:tc>
        <w:tc>
          <w:tcPr>
            <w:tcW w:w="1191" w:type="dxa"/>
            <w:tcBorders>
              <w:right w:val="nil"/>
            </w:tcBorders>
          </w:tcPr>
          <w:p w14:paraId="3F0B61F4" w14:textId="77777777" w:rsidR="00345EE3" w:rsidRDefault="00345EE3" w:rsidP="00D73130">
            <w:pPr>
              <w:pStyle w:val="TableParagraph"/>
              <w:spacing w:before="0"/>
              <w:jc w:val="left"/>
              <w:rPr>
                <w:rFonts w:ascii="Times New Roman"/>
              </w:rPr>
            </w:pPr>
          </w:p>
        </w:tc>
      </w:tr>
      <w:tr w:rsidR="00345EE3" w14:paraId="40088188" w14:textId="77777777" w:rsidTr="00D73130">
        <w:trPr>
          <w:trHeight w:val="676"/>
        </w:trPr>
        <w:tc>
          <w:tcPr>
            <w:tcW w:w="6690" w:type="dxa"/>
            <w:tcBorders>
              <w:left w:val="nil"/>
            </w:tcBorders>
          </w:tcPr>
          <w:p w14:paraId="1746CC43" w14:textId="77777777" w:rsidR="00345EE3" w:rsidRDefault="00345EE3" w:rsidP="00D73130">
            <w:pPr>
              <w:pStyle w:val="TableParagraph"/>
              <w:spacing w:before="61" w:line="242" w:lineRule="auto"/>
              <w:ind w:left="167"/>
              <w:jc w:val="left"/>
              <w:rPr>
                <w:sz w:val="24"/>
              </w:rPr>
            </w:pPr>
            <w:r>
              <w:rPr>
                <w:color w:val="231F20"/>
                <w:sz w:val="24"/>
              </w:rPr>
              <w:t>Fair</w:t>
            </w:r>
            <w:r>
              <w:rPr>
                <w:color w:val="231F20"/>
                <w:spacing w:val="-5"/>
                <w:sz w:val="24"/>
              </w:rPr>
              <w:t xml:space="preserve"> </w:t>
            </w:r>
            <w:r>
              <w:rPr>
                <w:color w:val="231F20"/>
                <w:sz w:val="24"/>
              </w:rPr>
              <w:t>value</w:t>
            </w:r>
            <w:r>
              <w:rPr>
                <w:color w:val="231F20"/>
                <w:spacing w:val="-5"/>
                <w:sz w:val="24"/>
              </w:rPr>
              <w:t xml:space="preserve"> </w:t>
            </w:r>
            <w:r>
              <w:rPr>
                <w:color w:val="231F20"/>
                <w:sz w:val="24"/>
              </w:rPr>
              <w:t>gain/(loss)</w:t>
            </w:r>
            <w:r>
              <w:rPr>
                <w:color w:val="231F20"/>
                <w:spacing w:val="-6"/>
                <w:sz w:val="24"/>
              </w:rPr>
              <w:t xml:space="preserve"> </w:t>
            </w:r>
            <w:r>
              <w:rPr>
                <w:color w:val="231F20"/>
                <w:sz w:val="24"/>
              </w:rPr>
              <w:t>arising</w:t>
            </w:r>
            <w:r>
              <w:rPr>
                <w:color w:val="231F20"/>
                <w:spacing w:val="-6"/>
                <w:sz w:val="24"/>
              </w:rPr>
              <w:t xml:space="preserve"> </w:t>
            </w:r>
            <w:r>
              <w:rPr>
                <w:color w:val="231F20"/>
                <w:sz w:val="24"/>
              </w:rPr>
              <w:t>from</w:t>
            </w:r>
            <w:r>
              <w:rPr>
                <w:color w:val="231F20"/>
                <w:spacing w:val="-5"/>
                <w:sz w:val="24"/>
              </w:rPr>
              <w:t xml:space="preserve"> </w:t>
            </w:r>
            <w:r>
              <w:rPr>
                <w:color w:val="231F20"/>
                <w:sz w:val="24"/>
              </w:rPr>
              <w:t>cash</w:t>
            </w:r>
            <w:r>
              <w:rPr>
                <w:color w:val="231F20"/>
                <w:spacing w:val="-5"/>
                <w:sz w:val="24"/>
              </w:rPr>
              <w:t xml:space="preserve"> </w:t>
            </w:r>
            <w:r>
              <w:rPr>
                <w:color w:val="231F20"/>
                <w:sz w:val="24"/>
              </w:rPr>
              <w:t>flow</w:t>
            </w:r>
            <w:r>
              <w:rPr>
                <w:color w:val="231F20"/>
                <w:spacing w:val="-5"/>
                <w:sz w:val="24"/>
              </w:rPr>
              <w:t xml:space="preserve"> </w:t>
            </w:r>
            <w:r>
              <w:rPr>
                <w:color w:val="231F20"/>
                <w:sz w:val="24"/>
              </w:rPr>
              <w:t>hedging instruments during the year</w:t>
            </w:r>
          </w:p>
        </w:tc>
        <w:tc>
          <w:tcPr>
            <w:tcW w:w="1134" w:type="dxa"/>
          </w:tcPr>
          <w:p w14:paraId="1216F637" w14:textId="77777777" w:rsidR="00345EE3" w:rsidRDefault="00345EE3" w:rsidP="00D73130">
            <w:pPr>
              <w:pStyle w:val="TableParagraph"/>
              <w:spacing w:before="0"/>
              <w:jc w:val="left"/>
              <w:rPr>
                <w:rFonts w:ascii="Times New Roman"/>
              </w:rPr>
            </w:pPr>
          </w:p>
        </w:tc>
        <w:tc>
          <w:tcPr>
            <w:tcW w:w="1191" w:type="dxa"/>
            <w:shd w:val="clear" w:color="auto" w:fill="E6E7E8"/>
          </w:tcPr>
          <w:p w14:paraId="15F06796" w14:textId="77777777" w:rsidR="00345EE3" w:rsidRDefault="00345EE3" w:rsidP="00D73130">
            <w:pPr>
              <w:pStyle w:val="TableParagraph"/>
              <w:spacing w:before="61"/>
              <w:ind w:right="55"/>
              <w:rPr>
                <w:sz w:val="24"/>
              </w:rPr>
            </w:pPr>
            <w:r>
              <w:rPr>
                <w:color w:val="231F20"/>
                <w:spacing w:val="-2"/>
                <w:sz w:val="24"/>
              </w:rPr>
              <w:t>10,248</w:t>
            </w:r>
          </w:p>
        </w:tc>
        <w:tc>
          <w:tcPr>
            <w:tcW w:w="1191" w:type="dxa"/>
            <w:tcBorders>
              <w:right w:val="nil"/>
            </w:tcBorders>
          </w:tcPr>
          <w:p w14:paraId="42C2A388" w14:textId="77777777" w:rsidR="00345EE3" w:rsidRDefault="00345EE3" w:rsidP="00D73130">
            <w:pPr>
              <w:pStyle w:val="TableParagraph"/>
              <w:spacing w:before="61"/>
              <w:ind w:right="55"/>
              <w:rPr>
                <w:sz w:val="24"/>
              </w:rPr>
            </w:pPr>
            <w:r>
              <w:rPr>
                <w:color w:val="231F20"/>
                <w:spacing w:val="-2"/>
                <w:sz w:val="24"/>
              </w:rPr>
              <w:t>(7,587)</w:t>
            </w:r>
          </w:p>
        </w:tc>
      </w:tr>
      <w:tr w:rsidR="00345EE3" w14:paraId="30634E52" w14:textId="77777777" w:rsidTr="00D73130">
        <w:trPr>
          <w:trHeight w:val="396"/>
        </w:trPr>
        <w:tc>
          <w:tcPr>
            <w:tcW w:w="6690" w:type="dxa"/>
            <w:tcBorders>
              <w:left w:val="nil"/>
            </w:tcBorders>
          </w:tcPr>
          <w:p w14:paraId="215E122E" w14:textId="77777777" w:rsidR="00345EE3" w:rsidRDefault="00345EE3" w:rsidP="00D73130">
            <w:pPr>
              <w:pStyle w:val="TableParagraph"/>
              <w:spacing w:before="61"/>
              <w:ind w:left="-3"/>
              <w:jc w:val="left"/>
              <w:rPr>
                <w:b/>
                <w:sz w:val="24"/>
              </w:rPr>
            </w:pPr>
            <w:r>
              <w:rPr>
                <w:b/>
                <w:color w:val="231F20"/>
                <w:sz w:val="24"/>
              </w:rPr>
              <w:t>Items</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Will</w:t>
            </w:r>
            <w:r>
              <w:rPr>
                <w:b/>
                <w:color w:val="231F20"/>
                <w:spacing w:val="-4"/>
                <w:sz w:val="24"/>
              </w:rPr>
              <w:t xml:space="preserve"> </w:t>
            </w:r>
            <w:r>
              <w:rPr>
                <w:b/>
                <w:color w:val="231F20"/>
                <w:sz w:val="24"/>
              </w:rPr>
              <w:t>Not</w:t>
            </w:r>
            <w:r>
              <w:rPr>
                <w:b/>
                <w:color w:val="231F20"/>
                <w:spacing w:val="-6"/>
                <w:sz w:val="24"/>
              </w:rPr>
              <w:t xml:space="preserve"> </w:t>
            </w:r>
            <w:r>
              <w:rPr>
                <w:b/>
                <w:color w:val="231F20"/>
                <w:sz w:val="24"/>
              </w:rPr>
              <w:t>Be</w:t>
            </w:r>
            <w:r>
              <w:rPr>
                <w:b/>
                <w:color w:val="231F20"/>
                <w:spacing w:val="-6"/>
                <w:sz w:val="24"/>
              </w:rPr>
              <w:t xml:space="preserve"> </w:t>
            </w:r>
            <w:r>
              <w:rPr>
                <w:b/>
                <w:color w:val="231F20"/>
                <w:sz w:val="24"/>
              </w:rPr>
              <w:t>Reclassified</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Net</w:t>
            </w:r>
            <w:r>
              <w:rPr>
                <w:b/>
                <w:color w:val="231F20"/>
                <w:spacing w:val="-5"/>
                <w:sz w:val="24"/>
              </w:rPr>
              <w:t xml:space="preserve"> </w:t>
            </w:r>
            <w:r>
              <w:rPr>
                <w:b/>
                <w:color w:val="231F20"/>
                <w:spacing w:val="-2"/>
                <w:sz w:val="24"/>
              </w:rPr>
              <w:t>Result</w:t>
            </w:r>
          </w:p>
        </w:tc>
        <w:tc>
          <w:tcPr>
            <w:tcW w:w="1134" w:type="dxa"/>
          </w:tcPr>
          <w:p w14:paraId="30EC2509" w14:textId="77777777" w:rsidR="00345EE3" w:rsidRDefault="00345EE3" w:rsidP="00D73130">
            <w:pPr>
              <w:pStyle w:val="TableParagraph"/>
              <w:spacing w:before="0"/>
              <w:jc w:val="left"/>
              <w:rPr>
                <w:rFonts w:ascii="Times New Roman"/>
              </w:rPr>
            </w:pPr>
          </w:p>
        </w:tc>
        <w:tc>
          <w:tcPr>
            <w:tcW w:w="1191" w:type="dxa"/>
            <w:shd w:val="clear" w:color="auto" w:fill="E6E7E8"/>
          </w:tcPr>
          <w:p w14:paraId="6E559831" w14:textId="77777777" w:rsidR="00345EE3" w:rsidRDefault="00345EE3" w:rsidP="00D73130">
            <w:pPr>
              <w:pStyle w:val="TableParagraph"/>
              <w:spacing w:before="0"/>
              <w:jc w:val="left"/>
              <w:rPr>
                <w:rFonts w:ascii="Times New Roman"/>
              </w:rPr>
            </w:pPr>
          </w:p>
        </w:tc>
        <w:tc>
          <w:tcPr>
            <w:tcW w:w="1191" w:type="dxa"/>
            <w:tcBorders>
              <w:right w:val="nil"/>
            </w:tcBorders>
          </w:tcPr>
          <w:p w14:paraId="64BC8C68" w14:textId="77777777" w:rsidR="00345EE3" w:rsidRDefault="00345EE3" w:rsidP="00D73130">
            <w:pPr>
              <w:pStyle w:val="TableParagraph"/>
              <w:spacing w:before="0"/>
              <w:jc w:val="left"/>
              <w:rPr>
                <w:rFonts w:ascii="Times New Roman"/>
              </w:rPr>
            </w:pPr>
          </w:p>
        </w:tc>
      </w:tr>
      <w:tr w:rsidR="00345EE3" w14:paraId="768B8DB9" w14:textId="77777777" w:rsidTr="00D73130">
        <w:trPr>
          <w:trHeight w:val="393"/>
        </w:trPr>
        <w:tc>
          <w:tcPr>
            <w:tcW w:w="6690" w:type="dxa"/>
            <w:tcBorders>
              <w:left w:val="nil"/>
              <w:bottom w:val="single" w:sz="4" w:space="0" w:color="231F20"/>
            </w:tcBorders>
          </w:tcPr>
          <w:p w14:paraId="6CC05FC7" w14:textId="77777777" w:rsidR="00345EE3" w:rsidRDefault="00345EE3" w:rsidP="00D73130">
            <w:pPr>
              <w:pStyle w:val="TableParagraph"/>
              <w:spacing w:before="61"/>
              <w:ind w:left="168"/>
              <w:jc w:val="left"/>
              <w:rPr>
                <w:sz w:val="24"/>
              </w:rPr>
            </w:pPr>
            <w:r>
              <w:rPr>
                <w:color w:val="231F20"/>
                <w:sz w:val="24"/>
              </w:rPr>
              <w:t>Changes</w:t>
            </w:r>
            <w:r>
              <w:rPr>
                <w:color w:val="231F20"/>
                <w:spacing w:val="-5"/>
                <w:sz w:val="24"/>
              </w:rPr>
              <w:t xml:space="preserve"> </w:t>
            </w:r>
            <w:r>
              <w:rPr>
                <w:color w:val="231F20"/>
                <w:sz w:val="24"/>
              </w:rPr>
              <w:t>in</w:t>
            </w:r>
            <w:r>
              <w:rPr>
                <w:color w:val="231F20"/>
                <w:spacing w:val="-5"/>
                <w:sz w:val="24"/>
              </w:rPr>
              <w:t xml:space="preserve"> </w:t>
            </w:r>
            <w:r>
              <w:rPr>
                <w:color w:val="231F20"/>
                <w:sz w:val="24"/>
              </w:rPr>
              <w:t>physical</w:t>
            </w:r>
            <w:r>
              <w:rPr>
                <w:color w:val="231F20"/>
                <w:spacing w:val="-4"/>
                <w:sz w:val="24"/>
              </w:rPr>
              <w:t xml:space="preserve"> </w:t>
            </w:r>
            <w:r>
              <w:rPr>
                <w:color w:val="231F20"/>
                <w:sz w:val="24"/>
              </w:rPr>
              <w:t>asset</w:t>
            </w:r>
            <w:r>
              <w:rPr>
                <w:color w:val="231F20"/>
                <w:spacing w:val="-5"/>
                <w:sz w:val="24"/>
              </w:rPr>
              <w:t xml:space="preserve"> </w:t>
            </w:r>
            <w:r>
              <w:rPr>
                <w:color w:val="231F20"/>
                <w:sz w:val="24"/>
              </w:rPr>
              <w:t>revaluation</w:t>
            </w:r>
            <w:r>
              <w:rPr>
                <w:color w:val="231F20"/>
                <w:spacing w:val="-3"/>
                <w:sz w:val="24"/>
              </w:rPr>
              <w:t xml:space="preserve"> </w:t>
            </w:r>
            <w:r>
              <w:rPr>
                <w:color w:val="231F20"/>
                <w:spacing w:val="-2"/>
                <w:sz w:val="24"/>
              </w:rPr>
              <w:t>surplus</w:t>
            </w:r>
          </w:p>
        </w:tc>
        <w:tc>
          <w:tcPr>
            <w:tcW w:w="1134" w:type="dxa"/>
            <w:tcBorders>
              <w:bottom w:val="single" w:sz="4" w:space="0" w:color="231F20"/>
            </w:tcBorders>
          </w:tcPr>
          <w:p w14:paraId="2B2733C7" w14:textId="77777777" w:rsidR="00345EE3" w:rsidRDefault="00345EE3" w:rsidP="00D73130">
            <w:pPr>
              <w:pStyle w:val="TableParagraph"/>
              <w:spacing w:before="61"/>
              <w:ind w:left="282" w:right="282"/>
              <w:jc w:val="center"/>
              <w:rPr>
                <w:sz w:val="24"/>
              </w:rPr>
            </w:pPr>
            <w:r>
              <w:rPr>
                <w:color w:val="231F20"/>
                <w:spacing w:val="-5"/>
                <w:sz w:val="24"/>
              </w:rPr>
              <w:t>5.3</w:t>
            </w:r>
          </w:p>
        </w:tc>
        <w:tc>
          <w:tcPr>
            <w:tcW w:w="1191" w:type="dxa"/>
            <w:tcBorders>
              <w:bottom w:val="single" w:sz="4" w:space="0" w:color="231F20"/>
            </w:tcBorders>
            <w:shd w:val="clear" w:color="auto" w:fill="E6E7E8"/>
          </w:tcPr>
          <w:p w14:paraId="19FA3515" w14:textId="77777777" w:rsidR="00345EE3" w:rsidRDefault="00345EE3" w:rsidP="00D73130">
            <w:pPr>
              <w:pStyle w:val="TableParagraph"/>
              <w:spacing w:before="61"/>
              <w:ind w:right="55"/>
              <w:rPr>
                <w:sz w:val="24"/>
              </w:rPr>
            </w:pPr>
            <w:r>
              <w:rPr>
                <w:color w:val="231F20"/>
                <w:spacing w:val="-2"/>
                <w:sz w:val="24"/>
              </w:rPr>
              <w:t>(3,395)</w:t>
            </w:r>
          </w:p>
        </w:tc>
        <w:tc>
          <w:tcPr>
            <w:tcW w:w="1191" w:type="dxa"/>
            <w:tcBorders>
              <w:bottom w:val="single" w:sz="4" w:space="0" w:color="231F20"/>
              <w:right w:val="nil"/>
            </w:tcBorders>
          </w:tcPr>
          <w:p w14:paraId="2ED32DAA" w14:textId="77777777" w:rsidR="00345EE3" w:rsidRDefault="00345EE3" w:rsidP="00D73130">
            <w:pPr>
              <w:pStyle w:val="TableParagraph"/>
              <w:spacing w:before="61"/>
              <w:ind w:right="55"/>
              <w:rPr>
                <w:sz w:val="24"/>
              </w:rPr>
            </w:pPr>
            <w:r>
              <w:rPr>
                <w:color w:val="231F20"/>
                <w:spacing w:val="-2"/>
                <w:sz w:val="24"/>
              </w:rPr>
              <w:t>11,318</w:t>
            </w:r>
          </w:p>
        </w:tc>
      </w:tr>
      <w:tr w:rsidR="00345EE3" w14:paraId="5A6E0D9A" w14:textId="77777777" w:rsidTr="00D73130">
        <w:trPr>
          <w:trHeight w:val="671"/>
        </w:trPr>
        <w:tc>
          <w:tcPr>
            <w:tcW w:w="6690" w:type="dxa"/>
            <w:tcBorders>
              <w:top w:val="single" w:sz="4" w:space="0" w:color="231F20"/>
              <w:left w:val="nil"/>
              <w:bottom w:val="single" w:sz="4" w:space="0" w:color="231F20"/>
            </w:tcBorders>
          </w:tcPr>
          <w:p w14:paraId="62C8F089" w14:textId="77777777" w:rsidR="00345EE3" w:rsidRDefault="00345EE3" w:rsidP="00D73130">
            <w:pPr>
              <w:pStyle w:val="TableParagraph"/>
              <w:spacing w:before="58" w:line="242" w:lineRule="auto"/>
              <w:ind w:left="-3"/>
              <w:jc w:val="left"/>
              <w:rPr>
                <w:b/>
                <w:sz w:val="24"/>
              </w:rPr>
            </w:pPr>
            <w:r>
              <w:rPr>
                <w:b/>
                <w:color w:val="231F20"/>
                <w:sz w:val="24"/>
              </w:rPr>
              <w:t>Total</w:t>
            </w:r>
            <w:r>
              <w:rPr>
                <w:b/>
                <w:color w:val="231F20"/>
                <w:spacing w:val="-9"/>
                <w:sz w:val="24"/>
              </w:rPr>
              <w:t xml:space="preserve"> </w:t>
            </w:r>
            <w:r>
              <w:rPr>
                <w:b/>
                <w:color w:val="231F20"/>
                <w:sz w:val="24"/>
              </w:rPr>
              <w:t>Other</w:t>
            </w:r>
            <w:r>
              <w:rPr>
                <w:b/>
                <w:color w:val="231F20"/>
                <w:spacing w:val="-9"/>
                <w:sz w:val="24"/>
              </w:rPr>
              <w:t xml:space="preserve"> </w:t>
            </w:r>
            <w:r>
              <w:rPr>
                <w:b/>
                <w:color w:val="231F20"/>
                <w:sz w:val="24"/>
              </w:rPr>
              <w:t>Economic</w:t>
            </w:r>
            <w:r>
              <w:rPr>
                <w:b/>
                <w:color w:val="231F20"/>
                <w:spacing w:val="-9"/>
                <w:sz w:val="24"/>
              </w:rPr>
              <w:t xml:space="preserve"> </w:t>
            </w:r>
            <w:r>
              <w:rPr>
                <w:b/>
                <w:color w:val="231F20"/>
                <w:sz w:val="24"/>
              </w:rPr>
              <w:t>Flows</w:t>
            </w:r>
            <w:r>
              <w:rPr>
                <w:b/>
                <w:color w:val="231F20"/>
                <w:spacing w:val="-9"/>
                <w:sz w:val="24"/>
              </w:rPr>
              <w:t xml:space="preserve"> </w:t>
            </w:r>
            <w:r>
              <w:rPr>
                <w:b/>
                <w:color w:val="231F20"/>
                <w:sz w:val="24"/>
              </w:rPr>
              <w:t>–</w:t>
            </w:r>
            <w:r>
              <w:rPr>
                <w:b/>
                <w:color w:val="231F20"/>
                <w:spacing w:val="-10"/>
                <w:sz w:val="24"/>
              </w:rPr>
              <w:t xml:space="preserve"> </w:t>
            </w:r>
            <w:r>
              <w:rPr>
                <w:b/>
                <w:color w:val="231F20"/>
                <w:sz w:val="24"/>
              </w:rPr>
              <w:t>Other</w:t>
            </w:r>
            <w:r>
              <w:rPr>
                <w:b/>
                <w:color w:val="231F20"/>
                <w:spacing w:val="-9"/>
                <w:sz w:val="24"/>
              </w:rPr>
              <w:t xml:space="preserve"> </w:t>
            </w:r>
            <w:r>
              <w:rPr>
                <w:b/>
                <w:color w:val="231F20"/>
                <w:sz w:val="24"/>
              </w:rPr>
              <w:t xml:space="preserve">Comprehensive </w:t>
            </w:r>
            <w:r>
              <w:rPr>
                <w:b/>
                <w:color w:val="231F20"/>
                <w:spacing w:val="-2"/>
                <w:sz w:val="24"/>
              </w:rPr>
              <w:t>Income</w:t>
            </w:r>
          </w:p>
        </w:tc>
        <w:tc>
          <w:tcPr>
            <w:tcW w:w="1134" w:type="dxa"/>
            <w:tcBorders>
              <w:top w:val="single" w:sz="4" w:space="0" w:color="231F20"/>
              <w:bottom w:val="single" w:sz="4" w:space="0" w:color="231F20"/>
            </w:tcBorders>
          </w:tcPr>
          <w:p w14:paraId="51C09B33" w14:textId="77777777" w:rsidR="00345EE3" w:rsidRDefault="00345EE3" w:rsidP="00D73130">
            <w:pPr>
              <w:pStyle w:val="TableParagraph"/>
              <w:spacing w:before="0"/>
              <w:jc w:val="left"/>
              <w:rPr>
                <w:rFonts w:ascii="Times New Roman"/>
              </w:rPr>
            </w:pPr>
          </w:p>
        </w:tc>
        <w:tc>
          <w:tcPr>
            <w:tcW w:w="1191" w:type="dxa"/>
            <w:tcBorders>
              <w:top w:val="single" w:sz="4" w:space="0" w:color="231F20"/>
              <w:bottom w:val="single" w:sz="4" w:space="0" w:color="231F20"/>
            </w:tcBorders>
            <w:shd w:val="clear" w:color="auto" w:fill="E6E7E8"/>
          </w:tcPr>
          <w:p w14:paraId="650ECECA" w14:textId="77777777" w:rsidR="00345EE3" w:rsidRDefault="00345EE3" w:rsidP="00D73130">
            <w:pPr>
              <w:pStyle w:val="TableParagraph"/>
              <w:spacing w:before="58"/>
              <w:ind w:right="54"/>
              <w:rPr>
                <w:b/>
                <w:sz w:val="24"/>
              </w:rPr>
            </w:pPr>
            <w:r>
              <w:rPr>
                <w:b/>
                <w:color w:val="231F20"/>
                <w:spacing w:val="-2"/>
                <w:sz w:val="24"/>
              </w:rPr>
              <w:t>6,853</w:t>
            </w:r>
          </w:p>
        </w:tc>
        <w:tc>
          <w:tcPr>
            <w:tcW w:w="1191" w:type="dxa"/>
            <w:tcBorders>
              <w:top w:val="single" w:sz="4" w:space="0" w:color="231F20"/>
              <w:bottom w:val="single" w:sz="4" w:space="0" w:color="231F20"/>
              <w:right w:val="nil"/>
            </w:tcBorders>
          </w:tcPr>
          <w:p w14:paraId="041FFE5E" w14:textId="77777777" w:rsidR="00345EE3" w:rsidRDefault="00345EE3" w:rsidP="00D73130">
            <w:pPr>
              <w:pStyle w:val="TableParagraph"/>
              <w:spacing w:before="58"/>
              <w:ind w:right="53"/>
              <w:rPr>
                <w:b/>
                <w:sz w:val="24"/>
              </w:rPr>
            </w:pPr>
            <w:r>
              <w:rPr>
                <w:b/>
                <w:color w:val="231F20"/>
                <w:spacing w:val="-2"/>
                <w:sz w:val="24"/>
              </w:rPr>
              <w:t>3,731</w:t>
            </w:r>
          </w:p>
        </w:tc>
      </w:tr>
      <w:tr w:rsidR="00345EE3" w14:paraId="04B0DDA9" w14:textId="77777777" w:rsidTr="00D73130">
        <w:trPr>
          <w:trHeight w:val="386"/>
        </w:trPr>
        <w:tc>
          <w:tcPr>
            <w:tcW w:w="6690" w:type="dxa"/>
            <w:tcBorders>
              <w:top w:val="single" w:sz="4" w:space="0" w:color="231F20"/>
              <w:left w:val="nil"/>
              <w:bottom w:val="single" w:sz="8" w:space="0" w:color="231F20"/>
            </w:tcBorders>
          </w:tcPr>
          <w:p w14:paraId="4B0CA24A" w14:textId="77777777" w:rsidR="00345EE3" w:rsidRDefault="00345EE3" w:rsidP="00D73130">
            <w:pPr>
              <w:pStyle w:val="TableParagraph"/>
              <w:spacing w:before="58"/>
              <w:ind w:left="-3"/>
              <w:jc w:val="left"/>
              <w:rPr>
                <w:b/>
                <w:sz w:val="24"/>
              </w:rPr>
            </w:pPr>
            <w:r>
              <w:rPr>
                <w:b/>
                <w:color w:val="231F20"/>
                <w:sz w:val="24"/>
              </w:rPr>
              <w:t>Comprehensive</w:t>
            </w:r>
            <w:r>
              <w:rPr>
                <w:b/>
                <w:color w:val="231F20"/>
                <w:spacing w:val="-13"/>
                <w:sz w:val="24"/>
              </w:rPr>
              <w:t xml:space="preserve"> </w:t>
            </w:r>
            <w:r>
              <w:rPr>
                <w:b/>
                <w:color w:val="231F20"/>
                <w:spacing w:val="-2"/>
                <w:sz w:val="24"/>
              </w:rPr>
              <w:t>Result</w:t>
            </w:r>
          </w:p>
        </w:tc>
        <w:tc>
          <w:tcPr>
            <w:tcW w:w="1134" w:type="dxa"/>
            <w:tcBorders>
              <w:top w:val="single" w:sz="4" w:space="0" w:color="231F20"/>
              <w:bottom w:val="single" w:sz="8" w:space="0" w:color="231F20"/>
            </w:tcBorders>
          </w:tcPr>
          <w:p w14:paraId="3EBAC674" w14:textId="77777777" w:rsidR="00345EE3" w:rsidRDefault="00345EE3" w:rsidP="00D73130">
            <w:pPr>
              <w:pStyle w:val="TableParagraph"/>
              <w:spacing w:before="0"/>
              <w:jc w:val="left"/>
              <w:rPr>
                <w:rFonts w:ascii="Times New Roman"/>
              </w:rPr>
            </w:pPr>
          </w:p>
        </w:tc>
        <w:tc>
          <w:tcPr>
            <w:tcW w:w="1191" w:type="dxa"/>
            <w:tcBorders>
              <w:top w:val="single" w:sz="4" w:space="0" w:color="231F20"/>
              <w:bottom w:val="single" w:sz="8" w:space="0" w:color="231F20"/>
            </w:tcBorders>
            <w:shd w:val="clear" w:color="auto" w:fill="E6E7E8"/>
          </w:tcPr>
          <w:p w14:paraId="1E5C1441" w14:textId="77777777" w:rsidR="00345EE3" w:rsidRDefault="00345EE3" w:rsidP="00D73130">
            <w:pPr>
              <w:pStyle w:val="TableParagraph"/>
              <w:spacing w:before="58"/>
              <w:ind w:right="53"/>
              <w:rPr>
                <w:b/>
                <w:sz w:val="24"/>
              </w:rPr>
            </w:pPr>
            <w:r>
              <w:rPr>
                <w:b/>
                <w:color w:val="231F20"/>
                <w:spacing w:val="-2"/>
                <w:sz w:val="24"/>
              </w:rPr>
              <w:t>93,792</w:t>
            </w:r>
          </w:p>
        </w:tc>
        <w:tc>
          <w:tcPr>
            <w:tcW w:w="1191" w:type="dxa"/>
            <w:tcBorders>
              <w:top w:val="single" w:sz="4" w:space="0" w:color="231F20"/>
              <w:bottom w:val="single" w:sz="8" w:space="0" w:color="231F20"/>
              <w:right w:val="nil"/>
            </w:tcBorders>
          </w:tcPr>
          <w:p w14:paraId="4D81B95C" w14:textId="77777777" w:rsidR="00345EE3" w:rsidRDefault="00345EE3" w:rsidP="00D73130">
            <w:pPr>
              <w:pStyle w:val="TableParagraph"/>
              <w:spacing w:before="58"/>
              <w:ind w:right="53"/>
              <w:rPr>
                <w:b/>
                <w:sz w:val="24"/>
              </w:rPr>
            </w:pPr>
            <w:r>
              <w:rPr>
                <w:b/>
                <w:color w:val="231F20"/>
                <w:spacing w:val="-2"/>
                <w:sz w:val="24"/>
              </w:rPr>
              <w:t>28,724</w:t>
            </w:r>
          </w:p>
        </w:tc>
      </w:tr>
    </w:tbl>
    <w:p w14:paraId="10344AB4" w14:textId="77777777" w:rsidR="00345EE3" w:rsidRPr="00ED2501" w:rsidRDefault="00345EE3" w:rsidP="00345EE3">
      <w:pPr>
        <w:spacing w:before="90"/>
        <w:ind w:left="110"/>
        <w:rPr>
          <w:rFonts w:ascii="Arial-BoldItalicMT"/>
          <w:b/>
          <w:i/>
          <w:sz w:val="18"/>
          <w:szCs w:val="18"/>
        </w:rPr>
      </w:pPr>
      <w:r w:rsidRPr="00ED2501">
        <w:rPr>
          <w:rFonts w:ascii="Arial-BoldItalicMT"/>
          <w:b/>
          <w:i/>
          <w:color w:val="231F20"/>
          <w:spacing w:val="-2"/>
          <w:sz w:val="18"/>
          <w:szCs w:val="18"/>
        </w:rPr>
        <w:t>Note:</w:t>
      </w:r>
    </w:p>
    <w:p w14:paraId="4122989B" w14:textId="77777777" w:rsidR="00345EE3" w:rsidRPr="00ED2501" w:rsidRDefault="00345EE3" w:rsidP="00345EE3">
      <w:pPr>
        <w:spacing w:before="28"/>
        <w:ind w:left="110"/>
        <w:rPr>
          <w:color w:val="231F20"/>
          <w:spacing w:val="-2"/>
          <w:sz w:val="18"/>
          <w:szCs w:val="18"/>
        </w:rPr>
      </w:pPr>
      <w:r w:rsidRPr="00ED2501">
        <w:rPr>
          <w:color w:val="231F20"/>
          <w:sz w:val="18"/>
          <w:szCs w:val="18"/>
        </w:rPr>
        <w:t>The</w:t>
      </w:r>
      <w:r w:rsidRPr="00ED2501">
        <w:rPr>
          <w:color w:val="231F20"/>
          <w:spacing w:val="-2"/>
          <w:sz w:val="18"/>
          <w:szCs w:val="18"/>
        </w:rPr>
        <w:t xml:space="preserve"> </w:t>
      </w:r>
      <w:r w:rsidRPr="00ED2501">
        <w:rPr>
          <w:color w:val="231F20"/>
          <w:sz w:val="18"/>
          <w:szCs w:val="18"/>
        </w:rPr>
        <w:t>above</w:t>
      </w:r>
      <w:r w:rsidRPr="00ED2501">
        <w:rPr>
          <w:color w:val="231F20"/>
          <w:spacing w:val="-1"/>
          <w:sz w:val="18"/>
          <w:szCs w:val="18"/>
        </w:rPr>
        <w:t xml:space="preserve"> </w:t>
      </w:r>
      <w:r w:rsidRPr="00ED2501">
        <w:rPr>
          <w:color w:val="231F20"/>
          <w:sz w:val="18"/>
          <w:szCs w:val="18"/>
        </w:rPr>
        <w:t>Comprehensive</w:t>
      </w:r>
      <w:r w:rsidRPr="00ED2501">
        <w:rPr>
          <w:color w:val="231F20"/>
          <w:spacing w:val="-1"/>
          <w:sz w:val="18"/>
          <w:szCs w:val="18"/>
        </w:rPr>
        <w:t xml:space="preserve"> </w:t>
      </w:r>
      <w:r w:rsidRPr="00ED2501">
        <w:rPr>
          <w:color w:val="231F20"/>
          <w:sz w:val="18"/>
          <w:szCs w:val="18"/>
        </w:rPr>
        <w:t>Operating</w:t>
      </w:r>
      <w:r w:rsidRPr="00ED2501">
        <w:rPr>
          <w:color w:val="231F20"/>
          <w:spacing w:val="-1"/>
          <w:sz w:val="18"/>
          <w:szCs w:val="18"/>
        </w:rPr>
        <w:t xml:space="preserve"> </w:t>
      </w:r>
      <w:r w:rsidRPr="00ED2501">
        <w:rPr>
          <w:color w:val="231F20"/>
          <w:sz w:val="18"/>
          <w:szCs w:val="18"/>
        </w:rPr>
        <w:t>Statement</w:t>
      </w:r>
      <w:r w:rsidRPr="00ED2501">
        <w:rPr>
          <w:color w:val="231F20"/>
          <w:spacing w:val="-2"/>
          <w:sz w:val="18"/>
          <w:szCs w:val="18"/>
        </w:rPr>
        <w:t xml:space="preserve"> </w:t>
      </w:r>
      <w:r w:rsidRPr="00ED2501">
        <w:rPr>
          <w:color w:val="231F20"/>
          <w:sz w:val="18"/>
          <w:szCs w:val="18"/>
        </w:rPr>
        <w:t>should</w:t>
      </w:r>
      <w:r w:rsidRPr="00ED2501">
        <w:rPr>
          <w:color w:val="231F20"/>
          <w:spacing w:val="-1"/>
          <w:sz w:val="18"/>
          <w:szCs w:val="18"/>
        </w:rPr>
        <w:t xml:space="preserve"> </w:t>
      </w:r>
      <w:r w:rsidRPr="00ED2501">
        <w:rPr>
          <w:color w:val="231F20"/>
          <w:sz w:val="18"/>
          <w:szCs w:val="18"/>
        </w:rPr>
        <w:t>be</w:t>
      </w:r>
      <w:r w:rsidRPr="00ED2501">
        <w:rPr>
          <w:color w:val="231F20"/>
          <w:spacing w:val="-1"/>
          <w:sz w:val="18"/>
          <w:szCs w:val="18"/>
        </w:rPr>
        <w:t xml:space="preserve"> </w:t>
      </w:r>
      <w:r w:rsidRPr="00ED2501">
        <w:rPr>
          <w:color w:val="231F20"/>
          <w:sz w:val="18"/>
          <w:szCs w:val="18"/>
        </w:rPr>
        <w:t>read</w:t>
      </w:r>
      <w:r w:rsidRPr="00ED2501">
        <w:rPr>
          <w:color w:val="231F20"/>
          <w:spacing w:val="-1"/>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conjunction</w:t>
      </w:r>
      <w:r w:rsidRPr="00ED2501">
        <w:rPr>
          <w:color w:val="231F20"/>
          <w:spacing w:val="-1"/>
          <w:sz w:val="18"/>
          <w:szCs w:val="18"/>
        </w:rPr>
        <w:t xml:space="preserve"> </w:t>
      </w:r>
      <w:r w:rsidRPr="00ED2501">
        <w:rPr>
          <w:color w:val="231F20"/>
          <w:sz w:val="18"/>
          <w:szCs w:val="18"/>
        </w:rPr>
        <w:t>with</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accompanying</w:t>
      </w:r>
      <w:r w:rsidRPr="00ED2501">
        <w:rPr>
          <w:color w:val="231F20"/>
          <w:spacing w:val="-1"/>
          <w:sz w:val="18"/>
          <w:szCs w:val="18"/>
        </w:rPr>
        <w:t xml:space="preserve"> </w:t>
      </w:r>
      <w:r w:rsidRPr="00ED2501">
        <w:rPr>
          <w:color w:val="231F20"/>
          <w:spacing w:val="-2"/>
          <w:sz w:val="18"/>
          <w:szCs w:val="18"/>
        </w:rPr>
        <w:t>notes.</w:t>
      </w:r>
    </w:p>
    <w:p w14:paraId="67455B81" w14:textId="77777777" w:rsidR="00345EE3" w:rsidRDefault="00345EE3" w:rsidP="00345EE3">
      <w:pPr>
        <w:rPr>
          <w:color w:val="231F20"/>
          <w:spacing w:val="-2"/>
          <w:sz w:val="14"/>
        </w:rPr>
      </w:pPr>
      <w:r>
        <w:rPr>
          <w:color w:val="231F20"/>
          <w:spacing w:val="-2"/>
          <w:sz w:val="14"/>
        </w:rPr>
        <w:br w:type="page"/>
      </w:r>
    </w:p>
    <w:p w14:paraId="6AD464F6" w14:textId="77777777" w:rsidR="00345EE3" w:rsidRDefault="00345EE3" w:rsidP="00345EE3">
      <w:pPr>
        <w:spacing w:before="28"/>
        <w:ind w:left="110"/>
        <w:rPr>
          <w:sz w:val="14"/>
        </w:rPr>
      </w:pPr>
    </w:p>
    <w:p w14:paraId="7132304B" w14:textId="77777777" w:rsidR="00345EE3" w:rsidRPr="00D6225D" w:rsidRDefault="00345EE3" w:rsidP="00345EE3">
      <w:pPr>
        <w:pStyle w:val="Heading2"/>
        <w:rPr>
          <w:sz w:val="32"/>
          <w:szCs w:val="32"/>
        </w:rPr>
      </w:pPr>
      <w:r w:rsidRPr="00D6225D">
        <w:rPr>
          <w:color w:val="00529F"/>
          <w:sz w:val="32"/>
          <w:szCs w:val="32"/>
        </w:rPr>
        <w:t>Balance</w:t>
      </w:r>
      <w:r w:rsidRPr="00D6225D">
        <w:rPr>
          <w:color w:val="00529F"/>
          <w:spacing w:val="-13"/>
          <w:sz w:val="32"/>
          <w:szCs w:val="32"/>
        </w:rPr>
        <w:t xml:space="preserve"> </w:t>
      </w:r>
      <w:r w:rsidRPr="00D6225D">
        <w:rPr>
          <w:color w:val="00529F"/>
          <w:spacing w:val="-4"/>
          <w:sz w:val="32"/>
          <w:szCs w:val="32"/>
        </w:rPr>
        <w:t>Sheet</w:t>
      </w:r>
    </w:p>
    <w:p w14:paraId="2D73A210" w14:textId="77777777" w:rsidR="00345EE3" w:rsidRDefault="00345EE3" w:rsidP="00345EE3">
      <w:pPr>
        <w:pStyle w:val="Heading5"/>
        <w:spacing w:before="72"/>
      </w:pPr>
      <w:r>
        <w:rPr>
          <w:color w:val="231F20"/>
        </w:rPr>
        <w:t>As</w:t>
      </w:r>
      <w:r>
        <w:rPr>
          <w:color w:val="231F20"/>
          <w:spacing w:val="-2"/>
        </w:rPr>
        <w:t xml:space="preserve"> </w:t>
      </w:r>
      <w:r>
        <w:rPr>
          <w:color w:val="231F20"/>
        </w:rPr>
        <w:t>at</w:t>
      </w:r>
      <w:r>
        <w:rPr>
          <w:color w:val="231F20"/>
          <w:spacing w:val="-2"/>
        </w:rPr>
        <w:t xml:space="preserve"> </w:t>
      </w:r>
      <w:r>
        <w:rPr>
          <w:color w:val="231F20"/>
        </w:rPr>
        <w:t>30</w:t>
      </w:r>
      <w:r>
        <w:rPr>
          <w:color w:val="231F20"/>
          <w:spacing w:val="-2"/>
        </w:rPr>
        <w:t xml:space="preserve"> </w:t>
      </w:r>
      <w:r>
        <w:rPr>
          <w:color w:val="231F20"/>
        </w:rPr>
        <w:t>June</w:t>
      </w:r>
      <w:r>
        <w:rPr>
          <w:color w:val="231F20"/>
          <w:spacing w:val="-2"/>
        </w:rPr>
        <w:t xml:space="preserve"> </w:t>
      </w:r>
      <w:r>
        <w:rPr>
          <w:color w:val="231F20"/>
          <w:spacing w:val="-4"/>
        </w:rPr>
        <w:t>2022</w:t>
      </w:r>
    </w:p>
    <w:p w14:paraId="481CFA2E" w14:textId="77777777" w:rsidR="00345EE3" w:rsidRDefault="00345EE3" w:rsidP="00345EE3">
      <w:pPr>
        <w:pStyle w:val="BodyText"/>
        <w:spacing w:before="6"/>
        <w:rPr>
          <w:b/>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917"/>
        <w:gridCol w:w="794"/>
        <w:gridCol w:w="1248"/>
        <w:gridCol w:w="1248"/>
      </w:tblGrid>
      <w:tr w:rsidR="00345EE3" w14:paraId="6BB141EA" w14:textId="77777777" w:rsidTr="00D73130">
        <w:trPr>
          <w:trHeight w:val="405"/>
        </w:trPr>
        <w:tc>
          <w:tcPr>
            <w:tcW w:w="10207" w:type="dxa"/>
            <w:gridSpan w:val="4"/>
            <w:tcBorders>
              <w:top w:val="nil"/>
              <w:left w:val="nil"/>
              <w:bottom w:val="nil"/>
              <w:right w:val="nil"/>
            </w:tcBorders>
            <w:shd w:val="clear" w:color="auto" w:fill="00529F"/>
          </w:tcPr>
          <w:p w14:paraId="1AB6A3A9" w14:textId="77777777" w:rsidR="00345EE3" w:rsidRDefault="00345EE3" w:rsidP="00D73130">
            <w:pPr>
              <w:pStyle w:val="TableParagraph"/>
              <w:spacing w:before="63"/>
              <w:ind w:right="2"/>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2C061D67" w14:textId="77777777" w:rsidTr="00D73130">
        <w:trPr>
          <w:trHeight w:val="397"/>
        </w:trPr>
        <w:tc>
          <w:tcPr>
            <w:tcW w:w="6917" w:type="dxa"/>
            <w:tcBorders>
              <w:top w:val="nil"/>
              <w:left w:val="nil"/>
              <w:bottom w:val="nil"/>
              <w:right w:val="nil"/>
            </w:tcBorders>
            <w:shd w:val="clear" w:color="auto" w:fill="00529F"/>
          </w:tcPr>
          <w:p w14:paraId="0A3A9EB4" w14:textId="77777777" w:rsidR="00345EE3" w:rsidRDefault="00345EE3" w:rsidP="00D73130">
            <w:pPr>
              <w:pStyle w:val="TableParagraph"/>
              <w:spacing w:before="0"/>
              <w:jc w:val="left"/>
              <w:rPr>
                <w:rFonts w:ascii="Times New Roman"/>
              </w:rPr>
            </w:pPr>
          </w:p>
        </w:tc>
        <w:tc>
          <w:tcPr>
            <w:tcW w:w="794" w:type="dxa"/>
            <w:tcBorders>
              <w:top w:val="nil"/>
              <w:left w:val="nil"/>
              <w:bottom w:val="nil"/>
              <w:right w:val="nil"/>
            </w:tcBorders>
            <w:shd w:val="clear" w:color="auto" w:fill="00529F"/>
          </w:tcPr>
          <w:p w14:paraId="05E71A10" w14:textId="77777777" w:rsidR="00345EE3" w:rsidRDefault="00345EE3" w:rsidP="00D73130">
            <w:pPr>
              <w:pStyle w:val="TableParagraph"/>
              <w:spacing w:before="59"/>
              <w:ind w:right="58"/>
              <w:rPr>
                <w:b/>
                <w:sz w:val="24"/>
              </w:rPr>
            </w:pPr>
            <w:r>
              <w:rPr>
                <w:b/>
                <w:color w:val="FFFFFF"/>
                <w:spacing w:val="-2"/>
                <w:sz w:val="24"/>
              </w:rPr>
              <w:t>Notes</w:t>
            </w:r>
          </w:p>
        </w:tc>
        <w:tc>
          <w:tcPr>
            <w:tcW w:w="1248" w:type="dxa"/>
            <w:tcBorders>
              <w:top w:val="nil"/>
              <w:left w:val="nil"/>
              <w:bottom w:val="nil"/>
              <w:right w:val="nil"/>
            </w:tcBorders>
            <w:shd w:val="clear" w:color="auto" w:fill="00529F"/>
          </w:tcPr>
          <w:p w14:paraId="0DDF93E9" w14:textId="77777777" w:rsidR="00345EE3" w:rsidRDefault="00345EE3" w:rsidP="00D73130">
            <w:pPr>
              <w:pStyle w:val="TableParagraph"/>
              <w:spacing w:before="59"/>
              <w:ind w:right="58"/>
              <w:rPr>
                <w:b/>
                <w:sz w:val="24"/>
              </w:rPr>
            </w:pPr>
            <w:r>
              <w:rPr>
                <w:b/>
                <w:color w:val="FFFFFF"/>
                <w:spacing w:val="-4"/>
                <w:sz w:val="24"/>
              </w:rPr>
              <w:t>2022</w:t>
            </w:r>
          </w:p>
        </w:tc>
        <w:tc>
          <w:tcPr>
            <w:tcW w:w="1248" w:type="dxa"/>
            <w:tcBorders>
              <w:top w:val="nil"/>
              <w:left w:val="nil"/>
              <w:bottom w:val="nil"/>
              <w:right w:val="nil"/>
            </w:tcBorders>
            <w:shd w:val="clear" w:color="auto" w:fill="00529F"/>
          </w:tcPr>
          <w:p w14:paraId="5539F8AE" w14:textId="77777777" w:rsidR="00345EE3" w:rsidRDefault="00345EE3" w:rsidP="00D73130">
            <w:pPr>
              <w:pStyle w:val="TableParagraph"/>
              <w:spacing w:before="59"/>
              <w:ind w:right="59"/>
              <w:rPr>
                <w:b/>
                <w:sz w:val="24"/>
              </w:rPr>
            </w:pPr>
            <w:r>
              <w:rPr>
                <w:b/>
                <w:color w:val="FFFFFF"/>
                <w:spacing w:val="-4"/>
                <w:sz w:val="24"/>
              </w:rPr>
              <w:t>2021</w:t>
            </w:r>
          </w:p>
        </w:tc>
      </w:tr>
      <w:tr w:rsidR="00345EE3" w14:paraId="3204EAD9" w14:textId="77777777" w:rsidTr="00D73130">
        <w:trPr>
          <w:trHeight w:val="396"/>
        </w:trPr>
        <w:tc>
          <w:tcPr>
            <w:tcW w:w="6917" w:type="dxa"/>
            <w:tcBorders>
              <w:top w:val="nil"/>
              <w:left w:val="nil"/>
            </w:tcBorders>
          </w:tcPr>
          <w:p w14:paraId="01A2CB5E" w14:textId="77777777" w:rsidR="00345EE3" w:rsidRDefault="00345EE3" w:rsidP="00D73130">
            <w:pPr>
              <w:pStyle w:val="TableParagraph"/>
              <w:ind w:left="-3"/>
              <w:jc w:val="left"/>
              <w:rPr>
                <w:b/>
                <w:sz w:val="24"/>
              </w:rPr>
            </w:pPr>
            <w:r>
              <w:rPr>
                <w:b/>
                <w:color w:val="231F20"/>
                <w:spacing w:val="-2"/>
                <w:sz w:val="24"/>
              </w:rPr>
              <w:t>Assets</w:t>
            </w:r>
          </w:p>
        </w:tc>
        <w:tc>
          <w:tcPr>
            <w:tcW w:w="794" w:type="dxa"/>
            <w:tcBorders>
              <w:top w:val="nil"/>
            </w:tcBorders>
          </w:tcPr>
          <w:p w14:paraId="5D608B8B" w14:textId="77777777" w:rsidR="00345EE3" w:rsidRDefault="00345EE3" w:rsidP="00D73130">
            <w:pPr>
              <w:pStyle w:val="TableParagraph"/>
              <w:spacing w:before="0"/>
              <w:jc w:val="left"/>
              <w:rPr>
                <w:rFonts w:ascii="Times New Roman"/>
              </w:rPr>
            </w:pPr>
          </w:p>
        </w:tc>
        <w:tc>
          <w:tcPr>
            <w:tcW w:w="1248" w:type="dxa"/>
            <w:tcBorders>
              <w:top w:val="nil"/>
            </w:tcBorders>
            <w:shd w:val="clear" w:color="auto" w:fill="E6E7E8"/>
          </w:tcPr>
          <w:p w14:paraId="5BD64EC1" w14:textId="77777777" w:rsidR="00345EE3" w:rsidRDefault="00345EE3" w:rsidP="00D73130">
            <w:pPr>
              <w:pStyle w:val="TableParagraph"/>
              <w:spacing w:before="0"/>
              <w:jc w:val="left"/>
              <w:rPr>
                <w:rFonts w:ascii="Times New Roman"/>
              </w:rPr>
            </w:pPr>
          </w:p>
        </w:tc>
        <w:tc>
          <w:tcPr>
            <w:tcW w:w="1248" w:type="dxa"/>
            <w:tcBorders>
              <w:top w:val="nil"/>
              <w:right w:val="nil"/>
            </w:tcBorders>
          </w:tcPr>
          <w:p w14:paraId="47981FB3" w14:textId="77777777" w:rsidR="00345EE3" w:rsidRDefault="00345EE3" w:rsidP="00D73130">
            <w:pPr>
              <w:pStyle w:val="TableParagraph"/>
              <w:spacing w:before="0"/>
              <w:jc w:val="left"/>
              <w:rPr>
                <w:rFonts w:ascii="Times New Roman"/>
              </w:rPr>
            </w:pPr>
          </w:p>
        </w:tc>
      </w:tr>
      <w:tr w:rsidR="00345EE3" w14:paraId="43A80318" w14:textId="77777777" w:rsidTr="00D73130">
        <w:trPr>
          <w:trHeight w:val="396"/>
        </w:trPr>
        <w:tc>
          <w:tcPr>
            <w:tcW w:w="6917" w:type="dxa"/>
            <w:tcBorders>
              <w:left w:val="nil"/>
            </w:tcBorders>
          </w:tcPr>
          <w:p w14:paraId="01B251FD" w14:textId="77777777" w:rsidR="00345EE3" w:rsidRDefault="00345EE3" w:rsidP="00D73130">
            <w:pPr>
              <w:pStyle w:val="TableParagraph"/>
              <w:ind w:left="-3"/>
              <w:jc w:val="left"/>
              <w:rPr>
                <w:b/>
                <w:sz w:val="24"/>
              </w:rPr>
            </w:pPr>
            <w:r>
              <w:rPr>
                <w:b/>
                <w:color w:val="231F20"/>
                <w:sz w:val="24"/>
              </w:rPr>
              <w:t>Financial</w:t>
            </w:r>
            <w:r>
              <w:rPr>
                <w:b/>
                <w:color w:val="231F20"/>
                <w:spacing w:val="-9"/>
                <w:sz w:val="24"/>
              </w:rPr>
              <w:t xml:space="preserve"> </w:t>
            </w:r>
            <w:r>
              <w:rPr>
                <w:b/>
                <w:color w:val="231F20"/>
                <w:spacing w:val="-2"/>
                <w:sz w:val="24"/>
              </w:rPr>
              <w:t>Assets</w:t>
            </w:r>
          </w:p>
        </w:tc>
        <w:tc>
          <w:tcPr>
            <w:tcW w:w="794" w:type="dxa"/>
          </w:tcPr>
          <w:p w14:paraId="31001181" w14:textId="77777777" w:rsidR="00345EE3" w:rsidRDefault="00345EE3" w:rsidP="00D73130">
            <w:pPr>
              <w:pStyle w:val="TableParagraph"/>
              <w:spacing w:before="0"/>
              <w:jc w:val="left"/>
              <w:rPr>
                <w:rFonts w:ascii="Times New Roman"/>
              </w:rPr>
            </w:pPr>
          </w:p>
        </w:tc>
        <w:tc>
          <w:tcPr>
            <w:tcW w:w="1248" w:type="dxa"/>
            <w:shd w:val="clear" w:color="auto" w:fill="E6E7E8"/>
          </w:tcPr>
          <w:p w14:paraId="6AAC5D5A" w14:textId="77777777" w:rsidR="00345EE3" w:rsidRDefault="00345EE3" w:rsidP="00D73130">
            <w:pPr>
              <w:pStyle w:val="TableParagraph"/>
              <w:spacing w:before="0"/>
              <w:jc w:val="left"/>
              <w:rPr>
                <w:rFonts w:ascii="Times New Roman"/>
              </w:rPr>
            </w:pPr>
          </w:p>
        </w:tc>
        <w:tc>
          <w:tcPr>
            <w:tcW w:w="1248" w:type="dxa"/>
            <w:tcBorders>
              <w:right w:val="nil"/>
            </w:tcBorders>
          </w:tcPr>
          <w:p w14:paraId="71862E38" w14:textId="77777777" w:rsidR="00345EE3" w:rsidRDefault="00345EE3" w:rsidP="00D73130">
            <w:pPr>
              <w:pStyle w:val="TableParagraph"/>
              <w:spacing w:before="0"/>
              <w:jc w:val="left"/>
              <w:rPr>
                <w:rFonts w:ascii="Times New Roman"/>
              </w:rPr>
            </w:pPr>
          </w:p>
        </w:tc>
      </w:tr>
      <w:tr w:rsidR="00345EE3" w14:paraId="12DD39A4" w14:textId="77777777" w:rsidTr="00D73130">
        <w:trPr>
          <w:trHeight w:val="396"/>
        </w:trPr>
        <w:tc>
          <w:tcPr>
            <w:tcW w:w="6917" w:type="dxa"/>
            <w:tcBorders>
              <w:left w:val="nil"/>
            </w:tcBorders>
          </w:tcPr>
          <w:p w14:paraId="1F8B872A" w14:textId="77777777" w:rsidR="00345EE3" w:rsidRDefault="00345EE3" w:rsidP="00D73130">
            <w:pPr>
              <w:pStyle w:val="TableParagraph"/>
              <w:ind w:left="167"/>
              <w:jc w:val="left"/>
              <w:rPr>
                <w:sz w:val="24"/>
              </w:rPr>
            </w:pPr>
            <w:r>
              <w:rPr>
                <w:color w:val="231F20"/>
                <w:sz w:val="24"/>
              </w:rPr>
              <w:t>Cash</w:t>
            </w:r>
            <w:r>
              <w:rPr>
                <w:color w:val="231F20"/>
                <w:spacing w:val="-4"/>
                <w:sz w:val="24"/>
              </w:rPr>
              <w:t xml:space="preserve"> </w:t>
            </w:r>
            <w:r>
              <w:rPr>
                <w:color w:val="231F20"/>
                <w:sz w:val="24"/>
              </w:rPr>
              <w:t>and</w:t>
            </w:r>
            <w:r>
              <w:rPr>
                <w:color w:val="231F20"/>
                <w:spacing w:val="-3"/>
                <w:sz w:val="24"/>
              </w:rPr>
              <w:t xml:space="preserve"> </w:t>
            </w:r>
            <w:r>
              <w:rPr>
                <w:color w:val="231F20"/>
                <w:spacing w:val="-2"/>
                <w:sz w:val="24"/>
              </w:rPr>
              <w:t>deposits</w:t>
            </w:r>
          </w:p>
        </w:tc>
        <w:tc>
          <w:tcPr>
            <w:tcW w:w="794" w:type="dxa"/>
          </w:tcPr>
          <w:p w14:paraId="46CD08C2" w14:textId="77777777" w:rsidR="00345EE3" w:rsidRDefault="00345EE3" w:rsidP="00D73130">
            <w:pPr>
              <w:pStyle w:val="TableParagraph"/>
              <w:ind w:right="55"/>
              <w:rPr>
                <w:sz w:val="24"/>
              </w:rPr>
            </w:pPr>
            <w:r>
              <w:rPr>
                <w:color w:val="231F20"/>
                <w:spacing w:val="-5"/>
                <w:sz w:val="24"/>
              </w:rPr>
              <w:t>7.3</w:t>
            </w:r>
          </w:p>
        </w:tc>
        <w:tc>
          <w:tcPr>
            <w:tcW w:w="1248" w:type="dxa"/>
            <w:shd w:val="clear" w:color="auto" w:fill="E6E7E8"/>
          </w:tcPr>
          <w:p w14:paraId="42D5E4A6" w14:textId="77777777" w:rsidR="00345EE3" w:rsidRDefault="00345EE3" w:rsidP="00D73130">
            <w:pPr>
              <w:pStyle w:val="TableParagraph"/>
              <w:ind w:right="56"/>
              <w:rPr>
                <w:sz w:val="24"/>
              </w:rPr>
            </w:pPr>
            <w:r>
              <w:rPr>
                <w:color w:val="231F20"/>
                <w:spacing w:val="-2"/>
                <w:sz w:val="24"/>
              </w:rPr>
              <w:t>62,483</w:t>
            </w:r>
          </w:p>
        </w:tc>
        <w:tc>
          <w:tcPr>
            <w:tcW w:w="1248" w:type="dxa"/>
            <w:tcBorders>
              <w:right w:val="nil"/>
            </w:tcBorders>
          </w:tcPr>
          <w:p w14:paraId="22B19CE8" w14:textId="77777777" w:rsidR="00345EE3" w:rsidRDefault="00345EE3" w:rsidP="00D73130">
            <w:pPr>
              <w:pStyle w:val="TableParagraph"/>
              <w:ind w:right="57"/>
              <w:rPr>
                <w:sz w:val="24"/>
              </w:rPr>
            </w:pPr>
            <w:r>
              <w:rPr>
                <w:color w:val="231F20"/>
                <w:spacing w:val="-2"/>
                <w:sz w:val="24"/>
              </w:rPr>
              <w:t>53,852</w:t>
            </w:r>
          </w:p>
        </w:tc>
      </w:tr>
      <w:tr w:rsidR="00345EE3" w14:paraId="5ED8D849" w14:textId="77777777" w:rsidTr="00D73130">
        <w:trPr>
          <w:trHeight w:val="393"/>
        </w:trPr>
        <w:tc>
          <w:tcPr>
            <w:tcW w:w="6917" w:type="dxa"/>
            <w:tcBorders>
              <w:left w:val="nil"/>
              <w:bottom w:val="single" w:sz="4" w:space="0" w:color="231F20"/>
            </w:tcBorders>
          </w:tcPr>
          <w:p w14:paraId="4BF8F563" w14:textId="77777777" w:rsidR="00345EE3" w:rsidRDefault="00345EE3" w:rsidP="00D73130">
            <w:pPr>
              <w:pStyle w:val="TableParagraph"/>
              <w:ind w:left="167"/>
              <w:jc w:val="left"/>
              <w:rPr>
                <w:sz w:val="24"/>
              </w:rPr>
            </w:pPr>
            <w:r>
              <w:rPr>
                <w:color w:val="231F20"/>
                <w:spacing w:val="-2"/>
                <w:sz w:val="24"/>
              </w:rPr>
              <w:t>Receivables</w:t>
            </w:r>
          </w:p>
        </w:tc>
        <w:tc>
          <w:tcPr>
            <w:tcW w:w="794" w:type="dxa"/>
            <w:tcBorders>
              <w:bottom w:val="single" w:sz="4" w:space="0" w:color="231F20"/>
            </w:tcBorders>
          </w:tcPr>
          <w:p w14:paraId="28EAA245" w14:textId="77777777" w:rsidR="00345EE3" w:rsidRDefault="00345EE3" w:rsidP="00D73130">
            <w:pPr>
              <w:pStyle w:val="TableParagraph"/>
              <w:ind w:right="55"/>
              <w:rPr>
                <w:sz w:val="24"/>
              </w:rPr>
            </w:pPr>
            <w:r>
              <w:rPr>
                <w:color w:val="231F20"/>
                <w:spacing w:val="-5"/>
                <w:sz w:val="24"/>
              </w:rPr>
              <w:t>6.1</w:t>
            </w:r>
          </w:p>
        </w:tc>
        <w:tc>
          <w:tcPr>
            <w:tcW w:w="1248" w:type="dxa"/>
            <w:tcBorders>
              <w:bottom w:val="single" w:sz="4" w:space="0" w:color="231F20"/>
            </w:tcBorders>
            <w:shd w:val="clear" w:color="auto" w:fill="E6E7E8"/>
          </w:tcPr>
          <w:p w14:paraId="4C5FF999" w14:textId="77777777" w:rsidR="00345EE3" w:rsidRDefault="00345EE3" w:rsidP="00D73130">
            <w:pPr>
              <w:pStyle w:val="TableParagraph"/>
              <w:ind w:right="56"/>
              <w:rPr>
                <w:sz w:val="24"/>
              </w:rPr>
            </w:pPr>
            <w:r>
              <w:rPr>
                <w:color w:val="231F20"/>
                <w:spacing w:val="-2"/>
                <w:sz w:val="24"/>
              </w:rPr>
              <w:t>919,680</w:t>
            </w:r>
          </w:p>
        </w:tc>
        <w:tc>
          <w:tcPr>
            <w:tcW w:w="1248" w:type="dxa"/>
            <w:tcBorders>
              <w:bottom w:val="single" w:sz="4" w:space="0" w:color="231F20"/>
              <w:right w:val="nil"/>
            </w:tcBorders>
          </w:tcPr>
          <w:p w14:paraId="18F735D4" w14:textId="77777777" w:rsidR="00345EE3" w:rsidRDefault="00345EE3" w:rsidP="00D73130">
            <w:pPr>
              <w:pStyle w:val="TableParagraph"/>
              <w:ind w:right="57"/>
              <w:rPr>
                <w:sz w:val="24"/>
              </w:rPr>
            </w:pPr>
            <w:r>
              <w:rPr>
                <w:color w:val="231F20"/>
                <w:spacing w:val="-2"/>
                <w:sz w:val="24"/>
              </w:rPr>
              <w:t>702,118</w:t>
            </w:r>
          </w:p>
        </w:tc>
      </w:tr>
      <w:tr w:rsidR="00345EE3" w14:paraId="2209A134" w14:textId="77777777" w:rsidTr="00D73130">
        <w:trPr>
          <w:trHeight w:val="391"/>
        </w:trPr>
        <w:tc>
          <w:tcPr>
            <w:tcW w:w="6917" w:type="dxa"/>
            <w:tcBorders>
              <w:top w:val="single" w:sz="4" w:space="0" w:color="231F20"/>
              <w:left w:val="nil"/>
              <w:bottom w:val="single" w:sz="4" w:space="0" w:color="231F20"/>
            </w:tcBorders>
          </w:tcPr>
          <w:p w14:paraId="3FEE534B" w14:textId="77777777" w:rsidR="00345EE3" w:rsidRDefault="00345EE3" w:rsidP="00D73130">
            <w:pPr>
              <w:pStyle w:val="TableParagraph"/>
              <w:spacing w:before="58"/>
              <w:ind w:left="-3"/>
              <w:jc w:val="left"/>
              <w:rPr>
                <w:b/>
                <w:sz w:val="24"/>
              </w:rPr>
            </w:pPr>
            <w:r>
              <w:rPr>
                <w:b/>
                <w:color w:val="231F20"/>
                <w:sz w:val="24"/>
              </w:rPr>
              <w:t>Total</w:t>
            </w:r>
            <w:r>
              <w:rPr>
                <w:b/>
                <w:color w:val="231F20"/>
                <w:spacing w:val="-13"/>
                <w:sz w:val="24"/>
              </w:rPr>
              <w:t xml:space="preserve"> </w:t>
            </w:r>
            <w:r>
              <w:rPr>
                <w:b/>
                <w:color w:val="231F20"/>
                <w:sz w:val="24"/>
              </w:rPr>
              <w:t>Financial</w:t>
            </w:r>
            <w:r>
              <w:rPr>
                <w:b/>
                <w:color w:val="231F20"/>
                <w:spacing w:val="-16"/>
                <w:sz w:val="24"/>
              </w:rPr>
              <w:t xml:space="preserve"> </w:t>
            </w:r>
            <w:r>
              <w:rPr>
                <w:b/>
                <w:color w:val="231F20"/>
                <w:spacing w:val="-2"/>
                <w:sz w:val="24"/>
              </w:rPr>
              <w:t>Assets</w:t>
            </w:r>
          </w:p>
        </w:tc>
        <w:tc>
          <w:tcPr>
            <w:tcW w:w="794" w:type="dxa"/>
            <w:tcBorders>
              <w:top w:val="single" w:sz="4" w:space="0" w:color="231F20"/>
              <w:bottom w:val="single" w:sz="4" w:space="0" w:color="231F20"/>
            </w:tcBorders>
          </w:tcPr>
          <w:p w14:paraId="34FE37DE" w14:textId="77777777" w:rsidR="00345EE3" w:rsidRDefault="00345EE3" w:rsidP="00D73130">
            <w:pPr>
              <w:pStyle w:val="TableParagraph"/>
              <w:spacing w:before="0"/>
              <w:jc w:val="left"/>
              <w:rPr>
                <w:rFonts w:ascii="Times New Roman"/>
              </w:rPr>
            </w:pPr>
          </w:p>
        </w:tc>
        <w:tc>
          <w:tcPr>
            <w:tcW w:w="1248" w:type="dxa"/>
            <w:tcBorders>
              <w:top w:val="single" w:sz="4" w:space="0" w:color="231F20"/>
              <w:bottom w:val="single" w:sz="4" w:space="0" w:color="231F20"/>
            </w:tcBorders>
            <w:shd w:val="clear" w:color="auto" w:fill="E6E7E8"/>
          </w:tcPr>
          <w:p w14:paraId="17B20E67" w14:textId="77777777" w:rsidR="00345EE3" w:rsidRDefault="00345EE3" w:rsidP="00D73130">
            <w:pPr>
              <w:pStyle w:val="TableParagraph"/>
              <w:spacing w:before="58"/>
              <w:ind w:right="54"/>
              <w:rPr>
                <w:b/>
                <w:sz w:val="24"/>
              </w:rPr>
            </w:pPr>
            <w:r>
              <w:rPr>
                <w:b/>
                <w:color w:val="231F20"/>
                <w:spacing w:val="-2"/>
                <w:sz w:val="24"/>
              </w:rPr>
              <w:t>982,163</w:t>
            </w:r>
          </w:p>
        </w:tc>
        <w:tc>
          <w:tcPr>
            <w:tcW w:w="1248" w:type="dxa"/>
            <w:tcBorders>
              <w:top w:val="single" w:sz="4" w:space="0" w:color="231F20"/>
              <w:bottom w:val="single" w:sz="4" w:space="0" w:color="231F20"/>
              <w:right w:val="nil"/>
            </w:tcBorders>
          </w:tcPr>
          <w:p w14:paraId="24DF3539" w14:textId="77777777" w:rsidR="00345EE3" w:rsidRDefault="00345EE3" w:rsidP="00D73130">
            <w:pPr>
              <w:pStyle w:val="TableParagraph"/>
              <w:spacing w:before="58"/>
              <w:ind w:right="54"/>
              <w:rPr>
                <w:b/>
                <w:sz w:val="24"/>
              </w:rPr>
            </w:pPr>
            <w:r>
              <w:rPr>
                <w:b/>
                <w:color w:val="231F20"/>
                <w:spacing w:val="-2"/>
                <w:sz w:val="24"/>
              </w:rPr>
              <w:t>755,970</w:t>
            </w:r>
          </w:p>
        </w:tc>
      </w:tr>
      <w:tr w:rsidR="00345EE3" w14:paraId="1FDF9EC9" w14:textId="77777777" w:rsidTr="00D73130">
        <w:trPr>
          <w:trHeight w:val="394"/>
        </w:trPr>
        <w:tc>
          <w:tcPr>
            <w:tcW w:w="6917" w:type="dxa"/>
            <w:tcBorders>
              <w:top w:val="single" w:sz="4" w:space="0" w:color="231F20"/>
              <w:left w:val="nil"/>
            </w:tcBorders>
          </w:tcPr>
          <w:p w14:paraId="667A0508" w14:textId="77777777" w:rsidR="00345EE3" w:rsidRDefault="00345EE3" w:rsidP="00D73130">
            <w:pPr>
              <w:pStyle w:val="TableParagraph"/>
              <w:spacing w:before="58"/>
              <w:ind w:left="-3"/>
              <w:jc w:val="left"/>
              <w:rPr>
                <w:b/>
                <w:sz w:val="24"/>
              </w:rPr>
            </w:pPr>
            <w:r>
              <w:rPr>
                <w:b/>
                <w:color w:val="231F20"/>
                <w:spacing w:val="-2"/>
                <w:sz w:val="24"/>
              </w:rPr>
              <w:t>Non-Financial</w:t>
            </w:r>
            <w:r>
              <w:rPr>
                <w:b/>
                <w:color w:val="231F20"/>
                <w:spacing w:val="4"/>
                <w:sz w:val="24"/>
              </w:rPr>
              <w:t xml:space="preserve"> </w:t>
            </w:r>
            <w:r>
              <w:rPr>
                <w:b/>
                <w:color w:val="231F20"/>
                <w:spacing w:val="-2"/>
                <w:sz w:val="24"/>
              </w:rPr>
              <w:t>Assets</w:t>
            </w:r>
          </w:p>
        </w:tc>
        <w:tc>
          <w:tcPr>
            <w:tcW w:w="794" w:type="dxa"/>
            <w:tcBorders>
              <w:top w:val="single" w:sz="4" w:space="0" w:color="231F20"/>
            </w:tcBorders>
          </w:tcPr>
          <w:p w14:paraId="721FE622" w14:textId="77777777" w:rsidR="00345EE3" w:rsidRDefault="00345EE3" w:rsidP="00D73130">
            <w:pPr>
              <w:pStyle w:val="TableParagraph"/>
              <w:spacing w:before="0"/>
              <w:jc w:val="left"/>
              <w:rPr>
                <w:rFonts w:ascii="Times New Roman"/>
              </w:rPr>
            </w:pPr>
          </w:p>
        </w:tc>
        <w:tc>
          <w:tcPr>
            <w:tcW w:w="1248" w:type="dxa"/>
            <w:tcBorders>
              <w:top w:val="single" w:sz="4" w:space="0" w:color="231F20"/>
            </w:tcBorders>
            <w:shd w:val="clear" w:color="auto" w:fill="E6E7E8"/>
          </w:tcPr>
          <w:p w14:paraId="4CCCAB93" w14:textId="77777777" w:rsidR="00345EE3" w:rsidRDefault="00345EE3" w:rsidP="00D73130">
            <w:pPr>
              <w:pStyle w:val="TableParagraph"/>
              <w:spacing w:before="0"/>
              <w:jc w:val="left"/>
              <w:rPr>
                <w:rFonts w:ascii="Times New Roman"/>
              </w:rPr>
            </w:pPr>
          </w:p>
        </w:tc>
        <w:tc>
          <w:tcPr>
            <w:tcW w:w="1248" w:type="dxa"/>
            <w:tcBorders>
              <w:top w:val="single" w:sz="4" w:space="0" w:color="231F20"/>
              <w:right w:val="nil"/>
            </w:tcBorders>
          </w:tcPr>
          <w:p w14:paraId="62DEFEBE" w14:textId="77777777" w:rsidR="00345EE3" w:rsidRDefault="00345EE3" w:rsidP="00D73130">
            <w:pPr>
              <w:pStyle w:val="TableParagraph"/>
              <w:spacing w:before="0"/>
              <w:jc w:val="left"/>
              <w:rPr>
                <w:rFonts w:ascii="Times New Roman"/>
              </w:rPr>
            </w:pPr>
          </w:p>
        </w:tc>
      </w:tr>
      <w:tr w:rsidR="00345EE3" w14:paraId="6E636B35" w14:textId="77777777" w:rsidTr="00D73130">
        <w:trPr>
          <w:trHeight w:val="396"/>
        </w:trPr>
        <w:tc>
          <w:tcPr>
            <w:tcW w:w="6917" w:type="dxa"/>
            <w:tcBorders>
              <w:left w:val="nil"/>
            </w:tcBorders>
          </w:tcPr>
          <w:p w14:paraId="60DB3DBD" w14:textId="77777777" w:rsidR="00345EE3" w:rsidRDefault="00345EE3" w:rsidP="00D73130">
            <w:pPr>
              <w:pStyle w:val="TableParagraph"/>
              <w:ind w:left="167"/>
              <w:jc w:val="left"/>
              <w:rPr>
                <w:sz w:val="24"/>
              </w:rPr>
            </w:pPr>
            <w:r>
              <w:rPr>
                <w:color w:val="231F20"/>
                <w:spacing w:val="-2"/>
                <w:sz w:val="24"/>
              </w:rPr>
              <w:t>Inventories</w:t>
            </w:r>
          </w:p>
        </w:tc>
        <w:tc>
          <w:tcPr>
            <w:tcW w:w="794" w:type="dxa"/>
          </w:tcPr>
          <w:p w14:paraId="55DC68C1" w14:textId="77777777" w:rsidR="00345EE3" w:rsidRDefault="00345EE3" w:rsidP="00D73130">
            <w:pPr>
              <w:pStyle w:val="TableParagraph"/>
              <w:spacing w:before="0"/>
              <w:jc w:val="left"/>
              <w:rPr>
                <w:rFonts w:ascii="Times New Roman"/>
              </w:rPr>
            </w:pPr>
          </w:p>
        </w:tc>
        <w:tc>
          <w:tcPr>
            <w:tcW w:w="1248" w:type="dxa"/>
            <w:shd w:val="clear" w:color="auto" w:fill="E6E7E8"/>
          </w:tcPr>
          <w:p w14:paraId="03AB9FF0" w14:textId="77777777" w:rsidR="00345EE3" w:rsidRDefault="00345EE3" w:rsidP="00D73130">
            <w:pPr>
              <w:pStyle w:val="TableParagraph"/>
              <w:ind w:right="56"/>
              <w:rPr>
                <w:sz w:val="24"/>
              </w:rPr>
            </w:pPr>
            <w:r>
              <w:rPr>
                <w:color w:val="231F20"/>
                <w:spacing w:val="-2"/>
                <w:sz w:val="24"/>
              </w:rPr>
              <w:t>8,284</w:t>
            </w:r>
          </w:p>
        </w:tc>
        <w:tc>
          <w:tcPr>
            <w:tcW w:w="1248" w:type="dxa"/>
            <w:tcBorders>
              <w:right w:val="nil"/>
            </w:tcBorders>
          </w:tcPr>
          <w:p w14:paraId="6A237C46" w14:textId="77777777" w:rsidR="00345EE3" w:rsidRDefault="00345EE3" w:rsidP="00D73130">
            <w:pPr>
              <w:pStyle w:val="TableParagraph"/>
              <w:ind w:right="58"/>
              <w:rPr>
                <w:sz w:val="24"/>
              </w:rPr>
            </w:pPr>
            <w:r>
              <w:rPr>
                <w:color w:val="231F20"/>
                <w:spacing w:val="-2"/>
                <w:sz w:val="24"/>
              </w:rPr>
              <w:t>7,333</w:t>
            </w:r>
          </w:p>
        </w:tc>
      </w:tr>
      <w:tr w:rsidR="00345EE3" w14:paraId="72CC85BA" w14:textId="77777777" w:rsidTr="00D73130">
        <w:trPr>
          <w:trHeight w:val="396"/>
        </w:trPr>
        <w:tc>
          <w:tcPr>
            <w:tcW w:w="6917" w:type="dxa"/>
            <w:tcBorders>
              <w:left w:val="nil"/>
            </w:tcBorders>
          </w:tcPr>
          <w:p w14:paraId="7714D207" w14:textId="77777777" w:rsidR="00345EE3" w:rsidRDefault="00345EE3" w:rsidP="00D73130">
            <w:pPr>
              <w:pStyle w:val="TableParagraph"/>
              <w:ind w:left="167"/>
              <w:jc w:val="left"/>
              <w:rPr>
                <w:sz w:val="24"/>
              </w:rPr>
            </w:pPr>
            <w:r>
              <w:rPr>
                <w:color w:val="231F20"/>
                <w:sz w:val="24"/>
              </w:rPr>
              <w:t>Non-financial</w:t>
            </w:r>
            <w:r>
              <w:rPr>
                <w:color w:val="231F20"/>
                <w:spacing w:val="-10"/>
                <w:sz w:val="24"/>
              </w:rPr>
              <w:t xml:space="preserve"> </w:t>
            </w:r>
            <w:r>
              <w:rPr>
                <w:color w:val="231F20"/>
                <w:sz w:val="24"/>
              </w:rPr>
              <w:t>physical</w:t>
            </w:r>
            <w:r>
              <w:rPr>
                <w:color w:val="231F20"/>
                <w:spacing w:val="-8"/>
                <w:sz w:val="24"/>
              </w:rPr>
              <w:t xml:space="preserve"> </w:t>
            </w:r>
            <w:r>
              <w:rPr>
                <w:color w:val="231F20"/>
                <w:sz w:val="24"/>
              </w:rPr>
              <w:t>assets</w:t>
            </w:r>
            <w:r>
              <w:rPr>
                <w:color w:val="231F20"/>
                <w:spacing w:val="-8"/>
                <w:sz w:val="24"/>
              </w:rPr>
              <w:t xml:space="preserve"> </w:t>
            </w:r>
            <w:r>
              <w:rPr>
                <w:color w:val="231F20"/>
                <w:sz w:val="24"/>
              </w:rPr>
              <w:t>classified</w:t>
            </w:r>
            <w:r>
              <w:rPr>
                <w:color w:val="231F20"/>
                <w:spacing w:val="-7"/>
                <w:sz w:val="24"/>
              </w:rPr>
              <w:t xml:space="preserve"> </w:t>
            </w:r>
            <w:r>
              <w:rPr>
                <w:color w:val="231F20"/>
                <w:sz w:val="24"/>
              </w:rPr>
              <w:t>as</w:t>
            </w:r>
            <w:r>
              <w:rPr>
                <w:color w:val="231F20"/>
                <w:spacing w:val="-7"/>
                <w:sz w:val="24"/>
              </w:rPr>
              <w:t xml:space="preserve"> </w:t>
            </w:r>
            <w:r>
              <w:rPr>
                <w:color w:val="231F20"/>
                <w:sz w:val="24"/>
              </w:rPr>
              <w:t>held-for-</w:t>
            </w:r>
            <w:r>
              <w:rPr>
                <w:color w:val="231F20"/>
                <w:spacing w:val="-4"/>
                <w:sz w:val="24"/>
              </w:rPr>
              <w:t>sale</w:t>
            </w:r>
          </w:p>
        </w:tc>
        <w:tc>
          <w:tcPr>
            <w:tcW w:w="794" w:type="dxa"/>
          </w:tcPr>
          <w:p w14:paraId="74CA4775" w14:textId="77777777" w:rsidR="00345EE3" w:rsidRDefault="00345EE3" w:rsidP="00D73130">
            <w:pPr>
              <w:pStyle w:val="TableParagraph"/>
              <w:spacing w:before="0"/>
              <w:jc w:val="left"/>
              <w:rPr>
                <w:rFonts w:ascii="Times New Roman"/>
              </w:rPr>
            </w:pPr>
          </w:p>
        </w:tc>
        <w:tc>
          <w:tcPr>
            <w:tcW w:w="1248" w:type="dxa"/>
            <w:shd w:val="clear" w:color="auto" w:fill="E6E7E8"/>
          </w:tcPr>
          <w:p w14:paraId="0F244985" w14:textId="77777777" w:rsidR="00345EE3" w:rsidRDefault="00345EE3" w:rsidP="00D73130">
            <w:pPr>
              <w:pStyle w:val="TableParagraph"/>
              <w:ind w:right="56"/>
              <w:rPr>
                <w:sz w:val="24"/>
              </w:rPr>
            </w:pPr>
            <w:r>
              <w:rPr>
                <w:color w:val="231F20"/>
                <w:spacing w:val="-2"/>
                <w:sz w:val="24"/>
              </w:rPr>
              <w:t>3,630</w:t>
            </w:r>
          </w:p>
        </w:tc>
        <w:tc>
          <w:tcPr>
            <w:tcW w:w="1248" w:type="dxa"/>
            <w:tcBorders>
              <w:right w:val="nil"/>
            </w:tcBorders>
          </w:tcPr>
          <w:p w14:paraId="7E252A16" w14:textId="77777777" w:rsidR="00345EE3" w:rsidRDefault="00345EE3" w:rsidP="00D73130">
            <w:pPr>
              <w:pStyle w:val="TableParagraph"/>
              <w:ind w:right="56"/>
              <w:rPr>
                <w:sz w:val="24"/>
              </w:rPr>
            </w:pPr>
            <w:r>
              <w:rPr>
                <w:color w:val="231F20"/>
                <w:spacing w:val="-2"/>
                <w:sz w:val="24"/>
              </w:rPr>
              <w:t>1,242</w:t>
            </w:r>
          </w:p>
        </w:tc>
      </w:tr>
      <w:tr w:rsidR="00345EE3" w14:paraId="508EC7CE" w14:textId="77777777" w:rsidTr="00D73130">
        <w:trPr>
          <w:trHeight w:val="396"/>
        </w:trPr>
        <w:tc>
          <w:tcPr>
            <w:tcW w:w="6917" w:type="dxa"/>
            <w:tcBorders>
              <w:left w:val="nil"/>
            </w:tcBorders>
          </w:tcPr>
          <w:p w14:paraId="2B33149A" w14:textId="77777777" w:rsidR="00345EE3" w:rsidRDefault="00345EE3" w:rsidP="00D73130">
            <w:pPr>
              <w:pStyle w:val="TableParagraph"/>
              <w:ind w:left="168"/>
              <w:jc w:val="left"/>
              <w:rPr>
                <w:sz w:val="24"/>
              </w:rPr>
            </w:pPr>
            <w:r>
              <w:rPr>
                <w:color w:val="231F20"/>
                <w:sz w:val="24"/>
              </w:rPr>
              <w:t>Property,</w:t>
            </w:r>
            <w:r>
              <w:rPr>
                <w:color w:val="231F20"/>
                <w:spacing w:val="-9"/>
                <w:sz w:val="24"/>
              </w:rPr>
              <w:t xml:space="preserve"> </w:t>
            </w:r>
            <w:r>
              <w:rPr>
                <w:color w:val="231F20"/>
                <w:sz w:val="24"/>
              </w:rPr>
              <w:t>plant</w:t>
            </w:r>
            <w:r>
              <w:rPr>
                <w:color w:val="231F20"/>
                <w:spacing w:val="-9"/>
                <w:sz w:val="24"/>
              </w:rPr>
              <w:t xml:space="preserve"> </w:t>
            </w:r>
            <w:r>
              <w:rPr>
                <w:color w:val="231F20"/>
                <w:sz w:val="24"/>
              </w:rPr>
              <w:t>and</w:t>
            </w:r>
            <w:r>
              <w:rPr>
                <w:color w:val="231F20"/>
                <w:spacing w:val="-8"/>
                <w:sz w:val="24"/>
              </w:rPr>
              <w:t xml:space="preserve"> </w:t>
            </w:r>
            <w:r>
              <w:rPr>
                <w:color w:val="231F20"/>
                <w:spacing w:val="-2"/>
                <w:sz w:val="24"/>
              </w:rPr>
              <w:t>equipment</w:t>
            </w:r>
          </w:p>
        </w:tc>
        <w:tc>
          <w:tcPr>
            <w:tcW w:w="794" w:type="dxa"/>
          </w:tcPr>
          <w:p w14:paraId="61AA1E4D" w14:textId="77777777" w:rsidR="00345EE3" w:rsidRDefault="00345EE3" w:rsidP="00D73130">
            <w:pPr>
              <w:pStyle w:val="TableParagraph"/>
              <w:ind w:right="55"/>
              <w:rPr>
                <w:sz w:val="24"/>
              </w:rPr>
            </w:pPr>
            <w:r>
              <w:rPr>
                <w:color w:val="231F20"/>
                <w:spacing w:val="-5"/>
                <w:sz w:val="24"/>
              </w:rPr>
              <w:t>5.1</w:t>
            </w:r>
          </w:p>
        </w:tc>
        <w:tc>
          <w:tcPr>
            <w:tcW w:w="1248" w:type="dxa"/>
            <w:shd w:val="clear" w:color="auto" w:fill="E6E7E8"/>
          </w:tcPr>
          <w:p w14:paraId="56595F51" w14:textId="77777777" w:rsidR="00345EE3" w:rsidRDefault="00345EE3" w:rsidP="00D73130">
            <w:pPr>
              <w:pStyle w:val="TableParagraph"/>
              <w:ind w:right="56"/>
              <w:rPr>
                <w:sz w:val="24"/>
              </w:rPr>
            </w:pPr>
            <w:r>
              <w:rPr>
                <w:color w:val="231F20"/>
                <w:spacing w:val="-2"/>
                <w:sz w:val="24"/>
              </w:rPr>
              <w:t>3,654,784</w:t>
            </w:r>
          </w:p>
        </w:tc>
        <w:tc>
          <w:tcPr>
            <w:tcW w:w="1248" w:type="dxa"/>
            <w:tcBorders>
              <w:right w:val="nil"/>
            </w:tcBorders>
          </w:tcPr>
          <w:p w14:paraId="3DAA7D1E" w14:textId="77777777" w:rsidR="00345EE3" w:rsidRDefault="00345EE3" w:rsidP="00D73130">
            <w:pPr>
              <w:pStyle w:val="TableParagraph"/>
              <w:ind w:right="56"/>
              <w:rPr>
                <w:sz w:val="24"/>
              </w:rPr>
            </w:pPr>
            <w:r>
              <w:rPr>
                <w:color w:val="231F20"/>
                <w:spacing w:val="-2"/>
                <w:sz w:val="24"/>
              </w:rPr>
              <w:t>3,735,127</w:t>
            </w:r>
          </w:p>
        </w:tc>
      </w:tr>
      <w:tr w:rsidR="00345EE3" w14:paraId="5B9D4866" w14:textId="77777777" w:rsidTr="00D73130">
        <w:trPr>
          <w:trHeight w:val="396"/>
        </w:trPr>
        <w:tc>
          <w:tcPr>
            <w:tcW w:w="6917" w:type="dxa"/>
            <w:tcBorders>
              <w:left w:val="nil"/>
            </w:tcBorders>
          </w:tcPr>
          <w:p w14:paraId="109416DC" w14:textId="77777777" w:rsidR="00345EE3" w:rsidRDefault="00345EE3" w:rsidP="00D73130">
            <w:pPr>
              <w:pStyle w:val="TableParagraph"/>
              <w:ind w:left="168"/>
              <w:jc w:val="left"/>
              <w:rPr>
                <w:sz w:val="24"/>
              </w:rPr>
            </w:pPr>
            <w:r>
              <w:rPr>
                <w:color w:val="231F20"/>
                <w:sz w:val="24"/>
              </w:rPr>
              <w:t xml:space="preserve">Intangible </w:t>
            </w:r>
            <w:r>
              <w:rPr>
                <w:color w:val="231F20"/>
                <w:spacing w:val="-2"/>
                <w:sz w:val="24"/>
              </w:rPr>
              <w:t>assets</w:t>
            </w:r>
          </w:p>
        </w:tc>
        <w:tc>
          <w:tcPr>
            <w:tcW w:w="794" w:type="dxa"/>
          </w:tcPr>
          <w:p w14:paraId="1C3DB46A" w14:textId="77777777" w:rsidR="00345EE3" w:rsidRDefault="00345EE3" w:rsidP="00D73130">
            <w:pPr>
              <w:pStyle w:val="TableParagraph"/>
              <w:ind w:right="55"/>
              <w:rPr>
                <w:sz w:val="24"/>
              </w:rPr>
            </w:pPr>
            <w:r>
              <w:rPr>
                <w:color w:val="231F20"/>
                <w:spacing w:val="-5"/>
                <w:sz w:val="24"/>
              </w:rPr>
              <w:t>5.2</w:t>
            </w:r>
          </w:p>
        </w:tc>
        <w:tc>
          <w:tcPr>
            <w:tcW w:w="1248" w:type="dxa"/>
            <w:shd w:val="clear" w:color="auto" w:fill="E6E7E8"/>
          </w:tcPr>
          <w:p w14:paraId="063F0CB8" w14:textId="77777777" w:rsidR="00345EE3" w:rsidRDefault="00345EE3" w:rsidP="00D73130">
            <w:pPr>
              <w:pStyle w:val="TableParagraph"/>
              <w:ind w:right="56"/>
              <w:rPr>
                <w:sz w:val="24"/>
              </w:rPr>
            </w:pPr>
            <w:r>
              <w:rPr>
                <w:color w:val="231F20"/>
                <w:spacing w:val="-2"/>
                <w:sz w:val="24"/>
              </w:rPr>
              <w:t>90,020</w:t>
            </w:r>
          </w:p>
        </w:tc>
        <w:tc>
          <w:tcPr>
            <w:tcW w:w="1248" w:type="dxa"/>
            <w:tcBorders>
              <w:right w:val="nil"/>
            </w:tcBorders>
          </w:tcPr>
          <w:p w14:paraId="3BD7A9E3" w14:textId="77777777" w:rsidR="00345EE3" w:rsidRDefault="00345EE3" w:rsidP="00D73130">
            <w:pPr>
              <w:pStyle w:val="TableParagraph"/>
              <w:ind w:right="54"/>
              <w:rPr>
                <w:sz w:val="24"/>
              </w:rPr>
            </w:pPr>
            <w:r>
              <w:rPr>
                <w:color w:val="231F20"/>
                <w:spacing w:val="-2"/>
                <w:sz w:val="24"/>
              </w:rPr>
              <w:t>109,611</w:t>
            </w:r>
          </w:p>
        </w:tc>
      </w:tr>
      <w:tr w:rsidR="00345EE3" w14:paraId="738E51ED" w14:textId="77777777" w:rsidTr="00D73130">
        <w:trPr>
          <w:trHeight w:val="393"/>
        </w:trPr>
        <w:tc>
          <w:tcPr>
            <w:tcW w:w="6917" w:type="dxa"/>
            <w:tcBorders>
              <w:left w:val="nil"/>
              <w:bottom w:val="single" w:sz="4" w:space="0" w:color="231F20"/>
            </w:tcBorders>
          </w:tcPr>
          <w:p w14:paraId="3BEF5037" w14:textId="77777777" w:rsidR="00345EE3" w:rsidRDefault="00345EE3" w:rsidP="00D73130">
            <w:pPr>
              <w:pStyle w:val="TableParagraph"/>
              <w:ind w:left="168"/>
              <w:jc w:val="left"/>
              <w:rPr>
                <w:sz w:val="24"/>
              </w:rPr>
            </w:pPr>
            <w:r>
              <w:rPr>
                <w:color w:val="231F20"/>
                <w:sz w:val="24"/>
              </w:rPr>
              <w:t>Other</w:t>
            </w:r>
            <w:r>
              <w:rPr>
                <w:color w:val="231F20"/>
                <w:spacing w:val="-7"/>
                <w:sz w:val="24"/>
              </w:rPr>
              <w:t xml:space="preserve"> </w:t>
            </w:r>
            <w:r>
              <w:rPr>
                <w:color w:val="231F20"/>
                <w:sz w:val="24"/>
              </w:rPr>
              <w:t>non-financial</w:t>
            </w:r>
            <w:r>
              <w:rPr>
                <w:color w:val="231F20"/>
                <w:spacing w:val="-6"/>
                <w:sz w:val="24"/>
              </w:rPr>
              <w:t xml:space="preserve"> </w:t>
            </w:r>
            <w:r>
              <w:rPr>
                <w:color w:val="231F20"/>
                <w:spacing w:val="-2"/>
                <w:sz w:val="24"/>
              </w:rPr>
              <w:t>assets</w:t>
            </w:r>
          </w:p>
        </w:tc>
        <w:tc>
          <w:tcPr>
            <w:tcW w:w="794" w:type="dxa"/>
            <w:tcBorders>
              <w:bottom w:val="single" w:sz="4" w:space="0" w:color="231F20"/>
            </w:tcBorders>
          </w:tcPr>
          <w:p w14:paraId="66E51BAE" w14:textId="77777777" w:rsidR="00345EE3" w:rsidRDefault="00345EE3" w:rsidP="00D73130">
            <w:pPr>
              <w:pStyle w:val="TableParagraph"/>
              <w:ind w:right="55"/>
              <w:rPr>
                <w:sz w:val="24"/>
              </w:rPr>
            </w:pPr>
            <w:r>
              <w:rPr>
                <w:color w:val="231F20"/>
                <w:spacing w:val="-5"/>
                <w:sz w:val="24"/>
              </w:rPr>
              <w:t>6.4</w:t>
            </w:r>
          </w:p>
        </w:tc>
        <w:tc>
          <w:tcPr>
            <w:tcW w:w="1248" w:type="dxa"/>
            <w:tcBorders>
              <w:bottom w:val="single" w:sz="4" w:space="0" w:color="231F20"/>
            </w:tcBorders>
            <w:shd w:val="clear" w:color="auto" w:fill="E6E7E8"/>
          </w:tcPr>
          <w:p w14:paraId="7E63C9E9" w14:textId="77777777" w:rsidR="00345EE3" w:rsidRDefault="00345EE3" w:rsidP="00D73130">
            <w:pPr>
              <w:pStyle w:val="TableParagraph"/>
              <w:ind w:right="56"/>
              <w:rPr>
                <w:sz w:val="24"/>
              </w:rPr>
            </w:pPr>
            <w:r>
              <w:rPr>
                <w:color w:val="231F20"/>
                <w:spacing w:val="-2"/>
                <w:sz w:val="24"/>
              </w:rPr>
              <w:t>65,272</w:t>
            </w:r>
          </w:p>
        </w:tc>
        <w:tc>
          <w:tcPr>
            <w:tcW w:w="1248" w:type="dxa"/>
            <w:tcBorders>
              <w:bottom w:val="single" w:sz="4" w:space="0" w:color="231F20"/>
              <w:right w:val="nil"/>
            </w:tcBorders>
          </w:tcPr>
          <w:p w14:paraId="5545D878" w14:textId="77777777" w:rsidR="00345EE3" w:rsidRDefault="00345EE3" w:rsidP="00D73130">
            <w:pPr>
              <w:pStyle w:val="TableParagraph"/>
              <w:ind w:right="56"/>
              <w:rPr>
                <w:sz w:val="24"/>
              </w:rPr>
            </w:pPr>
            <w:r>
              <w:rPr>
                <w:color w:val="231F20"/>
                <w:spacing w:val="-2"/>
                <w:sz w:val="24"/>
              </w:rPr>
              <w:t>42,288</w:t>
            </w:r>
          </w:p>
        </w:tc>
      </w:tr>
      <w:tr w:rsidR="00345EE3" w14:paraId="27F9778F" w14:textId="77777777" w:rsidTr="00D73130">
        <w:trPr>
          <w:trHeight w:val="391"/>
        </w:trPr>
        <w:tc>
          <w:tcPr>
            <w:tcW w:w="6917" w:type="dxa"/>
            <w:tcBorders>
              <w:top w:val="single" w:sz="4" w:space="0" w:color="231F20"/>
              <w:left w:val="nil"/>
              <w:bottom w:val="single" w:sz="4" w:space="0" w:color="231F20"/>
            </w:tcBorders>
          </w:tcPr>
          <w:p w14:paraId="35E9E53D"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3"/>
                <w:sz w:val="24"/>
              </w:rPr>
              <w:t xml:space="preserve"> </w:t>
            </w:r>
            <w:r>
              <w:rPr>
                <w:b/>
                <w:color w:val="231F20"/>
                <w:spacing w:val="-2"/>
                <w:sz w:val="24"/>
              </w:rPr>
              <w:t>Non-Financial</w:t>
            </w:r>
            <w:r>
              <w:rPr>
                <w:b/>
                <w:color w:val="231F20"/>
                <w:spacing w:val="-7"/>
                <w:sz w:val="24"/>
              </w:rPr>
              <w:t xml:space="preserve"> </w:t>
            </w:r>
            <w:r>
              <w:rPr>
                <w:b/>
                <w:color w:val="231F20"/>
                <w:spacing w:val="-2"/>
                <w:sz w:val="24"/>
              </w:rPr>
              <w:t>Assets</w:t>
            </w:r>
          </w:p>
        </w:tc>
        <w:tc>
          <w:tcPr>
            <w:tcW w:w="794" w:type="dxa"/>
            <w:tcBorders>
              <w:top w:val="single" w:sz="4" w:space="0" w:color="231F20"/>
              <w:bottom w:val="single" w:sz="4" w:space="0" w:color="231F20"/>
            </w:tcBorders>
          </w:tcPr>
          <w:p w14:paraId="690C1D9D" w14:textId="77777777" w:rsidR="00345EE3" w:rsidRDefault="00345EE3" w:rsidP="00D73130">
            <w:pPr>
              <w:pStyle w:val="TableParagraph"/>
              <w:spacing w:before="0"/>
              <w:jc w:val="left"/>
              <w:rPr>
                <w:rFonts w:ascii="Times New Roman"/>
              </w:rPr>
            </w:pPr>
          </w:p>
        </w:tc>
        <w:tc>
          <w:tcPr>
            <w:tcW w:w="1248" w:type="dxa"/>
            <w:tcBorders>
              <w:top w:val="single" w:sz="4" w:space="0" w:color="231F20"/>
              <w:bottom w:val="single" w:sz="4" w:space="0" w:color="231F20"/>
            </w:tcBorders>
            <w:shd w:val="clear" w:color="auto" w:fill="E6E7E8"/>
          </w:tcPr>
          <w:p w14:paraId="10D902AE" w14:textId="77777777" w:rsidR="00345EE3" w:rsidRDefault="00345EE3" w:rsidP="00D73130">
            <w:pPr>
              <w:pStyle w:val="TableParagraph"/>
              <w:spacing w:before="58"/>
              <w:ind w:right="53"/>
              <w:rPr>
                <w:b/>
                <w:sz w:val="24"/>
              </w:rPr>
            </w:pPr>
            <w:r>
              <w:rPr>
                <w:b/>
                <w:color w:val="231F20"/>
                <w:spacing w:val="-2"/>
                <w:sz w:val="24"/>
              </w:rPr>
              <w:t>3,821,990</w:t>
            </w:r>
          </w:p>
        </w:tc>
        <w:tc>
          <w:tcPr>
            <w:tcW w:w="1248" w:type="dxa"/>
            <w:tcBorders>
              <w:top w:val="single" w:sz="4" w:space="0" w:color="231F20"/>
              <w:bottom w:val="single" w:sz="4" w:space="0" w:color="231F20"/>
              <w:right w:val="nil"/>
            </w:tcBorders>
          </w:tcPr>
          <w:p w14:paraId="70487D3D" w14:textId="77777777" w:rsidR="00345EE3" w:rsidRDefault="00345EE3" w:rsidP="00D73130">
            <w:pPr>
              <w:pStyle w:val="TableParagraph"/>
              <w:spacing w:before="58"/>
              <w:ind w:right="54"/>
              <w:rPr>
                <w:b/>
                <w:sz w:val="24"/>
              </w:rPr>
            </w:pPr>
            <w:r>
              <w:rPr>
                <w:b/>
                <w:color w:val="231F20"/>
                <w:spacing w:val="-2"/>
                <w:sz w:val="24"/>
              </w:rPr>
              <w:t>3,895,601</w:t>
            </w:r>
          </w:p>
        </w:tc>
      </w:tr>
      <w:tr w:rsidR="00345EE3" w14:paraId="092C1255" w14:textId="77777777" w:rsidTr="00D73130">
        <w:trPr>
          <w:trHeight w:val="391"/>
        </w:trPr>
        <w:tc>
          <w:tcPr>
            <w:tcW w:w="6917" w:type="dxa"/>
            <w:tcBorders>
              <w:top w:val="single" w:sz="4" w:space="0" w:color="231F20"/>
              <w:left w:val="nil"/>
              <w:bottom w:val="single" w:sz="4" w:space="0" w:color="231F20"/>
            </w:tcBorders>
          </w:tcPr>
          <w:p w14:paraId="286C8018" w14:textId="77777777" w:rsidR="00345EE3" w:rsidRDefault="00345EE3" w:rsidP="00D73130">
            <w:pPr>
              <w:pStyle w:val="TableParagraph"/>
              <w:spacing w:before="58"/>
              <w:ind w:left="-3"/>
              <w:jc w:val="left"/>
              <w:rPr>
                <w:b/>
                <w:sz w:val="24"/>
              </w:rPr>
            </w:pPr>
            <w:r>
              <w:rPr>
                <w:b/>
                <w:color w:val="231F20"/>
                <w:spacing w:val="-4"/>
                <w:sz w:val="24"/>
              </w:rPr>
              <w:t>Total</w:t>
            </w:r>
            <w:r>
              <w:rPr>
                <w:b/>
                <w:color w:val="231F20"/>
                <w:spacing w:val="-7"/>
                <w:sz w:val="24"/>
              </w:rPr>
              <w:t xml:space="preserve"> </w:t>
            </w:r>
            <w:r>
              <w:rPr>
                <w:b/>
                <w:color w:val="231F20"/>
                <w:spacing w:val="-2"/>
                <w:sz w:val="24"/>
              </w:rPr>
              <w:t>Assets</w:t>
            </w:r>
          </w:p>
        </w:tc>
        <w:tc>
          <w:tcPr>
            <w:tcW w:w="794" w:type="dxa"/>
            <w:tcBorders>
              <w:top w:val="single" w:sz="4" w:space="0" w:color="231F20"/>
              <w:bottom w:val="single" w:sz="4" w:space="0" w:color="231F20"/>
            </w:tcBorders>
          </w:tcPr>
          <w:p w14:paraId="657AD5B5" w14:textId="77777777" w:rsidR="00345EE3" w:rsidRDefault="00345EE3" w:rsidP="00D73130">
            <w:pPr>
              <w:pStyle w:val="TableParagraph"/>
              <w:spacing w:before="0"/>
              <w:jc w:val="left"/>
              <w:rPr>
                <w:rFonts w:ascii="Times New Roman"/>
              </w:rPr>
            </w:pPr>
          </w:p>
        </w:tc>
        <w:tc>
          <w:tcPr>
            <w:tcW w:w="1248" w:type="dxa"/>
            <w:tcBorders>
              <w:top w:val="single" w:sz="4" w:space="0" w:color="231F20"/>
              <w:bottom w:val="single" w:sz="4" w:space="0" w:color="231F20"/>
            </w:tcBorders>
            <w:shd w:val="clear" w:color="auto" w:fill="E6E7E8"/>
          </w:tcPr>
          <w:p w14:paraId="34657B6A" w14:textId="77777777" w:rsidR="00345EE3" w:rsidRDefault="00345EE3" w:rsidP="00D73130">
            <w:pPr>
              <w:pStyle w:val="TableParagraph"/>
              <w:spacing w:before="58"/>
              <w:ind w:right="53"/>
              <w:rPr>
                <w:b/>
                <w:sz w:val="24"/>
              </w:rPr>
            </w:pPr>
            <w:r>
              <w:rPr>
                <w:b/>
                <w:color w:val="231F20"/>
                <w:spacing w:val="-2"/>
                <w:sz w:val="24"/>
              </w:rPr>
              <w:t>4,804,153</w:t>
            </w:r>
          </w:p>
        </w:tc>
        <w:tc>
          <w:tcPr>
            <w:tcW w:w="1248" w:type="dxa"/>
            <w:tcBorders>
              <w:top w:val="single" w:sz="4" w:space="0" w:color="231F20"/>
              <w:bottom w:val="single" w:sz="4" w:space="0" w:color="231F20"/>
              <w:right w:val="nil"/>
            </w:tcBorders>
          </w:tcPr>
          <w:p w14:paraId="343C523F" w14:textId="77777777" w:rsidR="00345EE3" w:rsidRDefault="00345EE3" w:rsidP="00D73130">
            <w:pPr>
              <w:pStyle w:val="TableParagraph"/>
              <w:spacing w:before="58"/>
              <w:ind w:right="54"/>
              <w:rPr>
                <w:b/>
                <w:sz w:val="24"/>
              </w:rPr>
            </w:pPr>
            <w:r>
              <w:rPr>
                <w:b/>
                <w:color w:val="231F20"/>
                <w:spacing w:val="-2"/>
                <w:sz w:val="24"/>
              </w:rPr>
              <w:t>4,651,571</w:t>
            </w:r>
          </w:p>
        </w:tc>
      </w:tr>
      <w:tr w:rsidR="00345EE3" w14:paraId="6C4DCA15" w14:textId="77777777" w:rsidTr="00D73130">
        <w:trPr>
          <w:trHeight w:val="393"/>
        </w:trPr>
        <w:tc>
          <w:tcPr>
            <w:tcW w:w="6917" w:type="dxa"/>
            <w:tcBorders>
              <w:top w:val="single" w:sz="4" w:space="0" w:color="231F20"/>
              <w:left w:val="nil"/>
            </w:tcBorders>
          </w:tcPr>
          <w:p w14:paraId="7AC7F961" w14:textId="77777777" w:rsidR="00345EE3" w:rsidRDefault="00345EE3" w:rsidP="00D73130">
            <w:pPr>
              <w:pStyle w:val="TableParagraph"/>
              <w:spacing w:before="58"/>
              <w:ind w:left="-3"/>
              <w:jc w:val="left"/>
              <w:rPr>
                <w:b/>
                <w:sz w:val="24"/>
              </w:rPr>
            </w:pPr>
            <w:r>
              <w:rPr>
                <w:b/>
                <w:color w:val="231F20"/>
                <w:spacing w:val="-2"/>
                <w:sz w:val="24"/>
              </w:rPr>
              <w:t>Liabilities</w:t>
            </w:r>
          </w:p>
        </w:tc>
        <w:tc>
          <w:tcPr>
            <w:tcW w:w="794" w:type="dxa"/>
            <w:tcBorders>
              <w:top w:val="single" w:sz="4" w:space="0" w:color="231F20"/>
            </w:tcBorders>
          </w:tcPr>
          <w:p w14:paraId="64B6E869" w14:textId="77777777" w:rsidR="00345EE3" w:rsidRDefault="00345EE3" w:rsidP="00D73130">
            <w:pPr>
              <w:pStyle w:val="TableParagraph"/>
              <w:spacing w:before="0"/>
              <w:jc w:val="left"/>
              <w:rPr>
                <w:rFonts w:ascii="Times New Roman"/>
              </w:rPr>
            </w:pPr>
          </w:p>
        </w:tc>
        <w:tc>
          <w:tcPr>
            <w:tcW w:w="1248" w:type="dxa"/>
            <w:tcBorders>
              <w:top w:val="single" w:sz="4" w:space="0" w:color="231F20"/>
            </w:tcBorders>
            <w:shd w:val="clear" w:color="auto" w:fill="E6E7E8"/>
          </w:tcPr>
          <w:p w14:paraId="57FEECD1" w14:textId="77777777" w:rsidR="00345EE3" w:rsidRDefault="00345EE3" w:rsidP="00D73130">
            <w:pPr>
              <w:pStyle w:val="TableParagraph"/>
              <w:spacing w:before="0"/>
              <w:jc w:val="left"/>
              <w:rPr>
                <w:rFonts w:ascii="Times New Roman"/>
              </w:rPr>
            </w:pPr>
          </w:p>
        </w:tc>
        <w:tc>
          <w:tcPr>
            <w:tcW w:w="1248" w:type="dxa"/>
            <w:tcBorders>
              <w:top w:val="single" w:sz="4" w:space="0" w:color="231F20"/>
              <w:right w:val="nil"/>
            </w:tcBorders>
          </w:tcPr>
          <w:p w14:paraId="69D0049C" w14:textId="77777777" w:rsidR="00345EE3" w:rsidRDefault="00345EE3" w:rsidP="00D73130">
            <w:pPr>
              <w:pStyle w:val="TableParagraph"/>
              <w:spacing w:before="0"/>
              <w:jc w:val="left"/>
              <w:rPr>
                <w:rFonts w:ascii="Times New Roman"/>
              </w:rPr>
            </w:pPr>
          </w:p>
        </w:tc>
      </w:tr>
      <w:tr w:rsidR="00345EE3" w14:paraId="1557FB9E" w14:textId="77777777" w:rsidTr="00D73130">
        <w:trPr>
          <w:trHeight w:val="396"/>
        </w:trPr>
        <w:tc>
          <w:tcPr>
            <w:tcW w:w="6917" w:type="dxa"/>
            <w:tcBorders>
              <w:left w:val="nil"/>
            </w:tcBorders>
          </w:tcPr>
          <w:p w14:paraId="7F4E79AB" w14:textId="77777777" w:rsidR="00345EE3" w:rsidRDefault="00345EE3" w:rsidP="00D73130">
            <w:pPr>
              <w:pStyle w:val="TableParagraph"/>
              <w:ind w:left="168"/>
              <w:jc w:val="left"/>
              <w:rPr>
                <w:sz w:val="24"/>
              </w:rPr>
            </w:pPr>
            <w:r>
              <w:rPr>
                <w:color w:val="231F20"/>
                <w:spacing w:val="-2"/>
                <w:sz w:val="24"/>
              </w:rPr>
              <w:t>Payables</w:t>
            </w:r>
          </w:p>
        </w:tc>
        <w:tc>
          <w:tcPr>
            <w:tcW w:w="794" w:type="dxa"/>
          </w:tcPr>
          <w:p w14:paraId="009E80A6" w14:textId="77777777" w:rsidR="00345EE3" w:rsidRDefault="00345EE3" w:rsidP="00D73130">
            <w:pPr>
              <w:pStyle w:val="TableParagraph"/>
              <w:ind w:right="55"/>
              <w:rPr>
                <w:sz w:val="24"/>
              </w:rPr>
            </w:pPr>
            <w:r>
              <w:rPr>
                <w:color w:val="231F20"/>
                <w:spacing w:val="-5"/>
                <w:sz w:val="24"/>
              </w:rPr>
              <w:t>6.3</w:t>
            </w:r>
          </w:p>
        </w:tc>
        <w:tc>
          <w:tcPr>
            <w:tcW w:w="1248" w:type="dxa"/>
            <w:shd w:val="clear" w:color="auto" w:fill="E6E7E8"/>
          </w:tcPr>
          <w:p w14:paraId="5BBA0697" w14:textId="77777777" w:rsidR="00345EE3" w:rsidRDefault="00345EE3" w:rsidP="00D73130">
            <w:pPr>
              <w:pStyle w:val="TableParagraph"/>
              <w:ind w:right="56"/>
              <w:rPr>
                <w:sz w:val="24"/>
              </w:rPr>
            </w:pPr>
            <w:r>
              <w:rPr>
                <w:color w:val="231F20"/>
                <w:spacing w:val="-2"/>
                <w:sz w:val="24"/>
              </w:rPr>
              <w:t>126,527</w:t>
            </w:r>
          </w:p>
        </w:tc>
        <w:tc>
          <w:tcPr>
            <w:tcW w:w="1248" w:type="dxa"/>
            <w:tcBorders>
              <w:right w:val="nil"/>
            </w:tcBorders>
          </w:tcPr>
          <w:p w14:paraId="0A9BC818" w14:textId="77777777" w:rsidR="00345EE3" w:rsidRDefault="00345EE3" w:rsidP="00D73130">
            <w:pPr>
              <w:pStyle w:val="TableParagraph"/>
              <w:ind w:right="56"/>
              <w:rPr>
                <w:sz w:val="24"/>
              </w:rPr>
            </w:pPr>
            <w:r>
              <w:rPr>
                <w:color w:val="231F20"/>
                <w:spacing w:val="-2"/>
                <w:sz w:val="24"/>
              </w:rPr>
              <w:t>104,936</w:t>
            </w:r>
          </w:p>
        </w:tc>
      </w:tr>
      <w:tr w:rsidR="00345EE3" w14:paraId="62A59F08" w14:textId="77777777" w:rsidTr="00D73130">
        <w:trPr>
          <w:trHeight w:val="396"/>
        </w:trPr>
        <w:tc>
          <w:tcPr>
            <w:tcW w:w="6917" w:type="dxa"/>
            <w:tcBorders>
              <w:left w:val="nil"/>
            </w:tcBorders>
          </w:tcPr>
          <w:p w14:paraId="6B5C8708" w14:textId="77777777" w:rsidR="00345EE3" w:rsidRDefault="00345EE3" w:rsidP="00D73130">
            <w:pPr>
              <w:pStyle w:val="TableParagraph"/>
              <w:ind w:left="168"/>
              <w:jc w:val="left"/>
              <w:rPr>
                <w:sz w:val="24"/>
              </w:rPr>
            </w:pPr>
            <w:r>
              <w:rPr>
                <w:color w:val="231F20"/>
                <w:spacing w:val="-2"/>
                <w:sz w:val="24"/>
              </w:rPr>
              <w:t>Borrowings</w:t>
            </w:r>
          </w:p>
        </w:tc>
        <w:tc>
          <w:tcPr>
            <w:tcW w:w="794" w:type="dxa"/>
          </w:tcPr>
          <w:p w14:paraId="57B5254E" w14:textId="77777777" w:rsidR="00345EE3" w:rsidRDefault="00345EE3" w:rsidP="00D73130">
            <w:pPr>
              <w:pStyle w:val="TableParagraph"/>
              <w:ind w:right="55"/>
              <w:rPr>
                <w:sz w:val="24"/>
              </w:rPr>
            </w:pPr>
            <w:r>
              <w:rPr>
                <w:color w:val="231F20"/>
                <w:spacing w:val="-5"/>
                <w:sz w:val="24"/>
              </w:rPr>
              <w:t>7.1</w:t>
            </w:r>
          </w:p>
        </w:tc>
        <w:tc>
          <w:tcPr>
            <w:tcW w:w="1248" w:type="dxa"/>
            <w:shd w:val="clear" w:color="auto" w:fill="E6E7E8"/>
          </w:tcPr>
          <w:p w14:paraId="5B6514A6" w14:textId="77777777" w:rsidR="00345EE3" w:rsidRDefault="00345EE3" w:rsidP="00D73130">
            <w:pPr>
              <w:pStyle w:val="TableParagraph"/>
              <w:ind w:right="56"/>
              <w:rPr>
                <w:sz w:val="24"/>
              </w:rPr>
            </w:pPr>
            <w:r>
              <w:rPr>
                <w:color w:val="231F20"/>
                <w:spacing w:val="-2"/>
                <w:sz w:val="24"/>
              </w:rPr>
              <w:t>1,861,468</w:t>
            </w:r>
          </w:p>
        </w:tc>
        <w:tc>
          <w:tcPr>
            <w:tcW w:w="1248" w:type="dxa"/>
            <w:tcBorders>
              <w:right w:val="nil"/>
            </w:tcBorders>
          </w:tcPr>
          <w:p w14:paraId="4FD6130C" w14:textId="77777777" w:rsidR="00345EE3" w:rsidRDefault="00345EE3" w:rsidP="00D73130">
            <w:pPr>
              <w:pStyle w:val="TableParagraph"/>
              <w:ind w:right="56"/>
              <w:rPr>
                <w:sz w:val="24"/>
              </w:rPr>
            </w:pPr>
            <w:r>
              <w:rPr>
                <w:color w:val="231F20"/>
                <w:spacing w:val="-2"/>
                <w:sz w:val="24"/>
              </w:rPr>
              <w:t>1,888,860</w:t>
            </w:r>
          </w:p>
        </w:tc>
      </w:tr>
      <w:tr w:rsidR="00345EE3" w14:paraId="7F0D5506" w14:textId="77777777" w:rsidTr="00D73130">
        <w:trPr>
          <w:trHeight w:val="396"/>
        </w:trPr>
        <w:tc>
          <w:tcPr>
            <w:tcW w:w="6917" w:type="dxa"/>
            <w:tcBorders>
              <w:left w:val="nil"/>
            </w:tcBorders>
          </w:tcPr>
          <w:p w14:paraId="06D2D06C" w14:textId="77777777" w:rsidR="00345EE3" w:rsidRDefault="00345EE3" w:rsidP="00D73130">
            <w:pPr>
              <w:pStyle w:val="TableParagraph"/>
              <w:ind w:left="168"/>
              <w:jc w:val="left"/>
              <w:rPr>
                <w:sz w:val="24"/>
              </w:rPr>
            </w:pPr>
            <w:r>
              <w:rPr>
                <w:color w:val="231F20"/>
                <w:sz w:val="24"/>
              </w:rPr>
              <w:t xml:space="preserve">Employee related </w:t>
            </w:r>
            <w:r>
              <w:rPr>
                <w:color w:val="231F20"/>
                <w:spacing w:val="-2"/>
                <w:sz w:val="24"/>
              </w:rPr>
              <w:t>provisions</w:t>
            </w:r>
          </w:p>
        </w:tc>
        <w:tc>
          <w:tcPr>
            <w:tcW w:w="794" w:type="dxa"/>
          </w:tcPr>
          <w:p w14:paraId="609282E5" w14:textId="77777777" w:rsidR="00345EE3" w:rsidRDefault="00345EE3" w:rsidP="00D73130">
            <w:pPr>
              <w:pStyle w:val="TableParagraph"/>
              <w:ind w:right="55"/>
              <w:rPr>
                <w:sz w:val="24"/>
              </w:rPr>
            </w:pPr>
            <w:r>
              <w:rPr>
                <w:color w:val="231F20"/>
                <w:spacing w:val="-2"/>
                <w:sz w:val="24"/>
              </w:rPr>
              <w:t>3.1.2</w:t>
            </w:r>
          </w:p>
        </w:tc>
        <w:tc>
          <w:tcPr>
            <w:tcW w:w="1248" w:type="dxa"/>
            <w:shd w:val="clear" w:color="auto" w:fill="E6E7E8"/>
          </w:tcPr>
          <w:p w14:paraId="6FB465DA" w14:textId="77777777" w:rsidR="00345EE3" w:rsidRDefault="00345EE3" w:rsidP="00D73130">
            <w:pPr>
              <w:pStyle w:val="TableParagraph"/>
              <w:ind w:right="56"/>
              <w:rPr>
                <w:sz w:val="24"/>
              </w:rPr>
            </w:pPr>
            <w:r>
              <w:rPr>
                <w:color w:val="231F20"/>
                <w:spacing w:val="-2"/>
                <w:sz w:val="24"/>
              </w:rPr>
              <w:t>808,881</w:t>
            </w:r>
          </w:p>
        </w:tc>
        <w:tc>
          <w:tcPr>
            <w:tcW w:w="1248" w:type="dxa"/>
            <w:tcBorders>
              <w:right w:val="nil"/>
            </w:tcBorders>
          </w:tcPr>
          <w:p w14:paraId="76B45427" w14:textId="77777777" w:rsidR="00345EE3" w:rsidRDefault="00345EE3" w:rsidP="00D73130">
            <w:pPr>
              <w:pStyle w:val="TableParagraph"/>
              <w:ind w:right="56"/>
              <w:rPr>
                <w:sz w:val="24"/>
              </w:rPr>
            </w:pPr>
            <w:r>
              <w:rPr>
                <w:color w:val="231F20"/>
                <w:spacing w:val="-2"/>
                <w:sz w:val="24"/>
              </w:rPr>
              <w:t>801,660</w:t>
            </w:r>
          </w:p>
        </w:tc>
      </w:tr>
      <w:tr w:rsidR="00345EE3" w14:paraId="06E9C7B3" w14:textId="77777777" w:rsidTr="00D73130">
        <w:trPr>
          <w:trHeight w:val="393"/>
        </w:trPr>
        <w:tc>
          <w:tcPr>
            <w:tcW w:w="6917" w:type="dxa"/>
            <w:tcBorders>
              <w:left w:val="nil"/>
              <w:bottom w:val="single" w:sz="4" w:space="0" w:color="231F20"/>
            </w:tcBorders>
          </w:tcPr>
          <w:p w14:paraId="3D83C6EF" w14:textId="77777777" w:rsidR="00345EE3" w:rsidRDefault="00345EE3" w:rsidP="00D73130">
            <w:pPr>
              <w:pStyle w:val="TableParagraph"/>
              <w:ind w:left="168"/>
              <w:jc w:val="left"/>
              <w:rPr>
                <w:sz w:val="24"/>
              </w:rPr>
            </w:pPr>
            <w:r>
              <w:rPr>
                <w:color w:val="231F20"/>
                <w:sz w:val="24"/>
              </w:rPr>
              <w:t xml:space="preserve">Other </w:t>
            </w:r>
            <w:r>
              <w:rPr>
                <w:color w:val="231F20"/>
                <w:spacing w:val="-2"/>
                <w:sz w:val="24"/>
              </w:rPr>
              <w:t>provisions</w:t>
            </w:r>
          </w:p>
        </w:tc>
        <w:tc>
          <w:tcPr>
            <w:tcW w:w="794" w:type="dxa"/>
            <w:tcBorders>
              <w:bottom w:val="single" w:sz="4" w:space="0" w:color="231F20"/>
            </w:tcBorders>
          </w:tcPr>
          <w:p w14:paraId="03738D21" w14:textId="77777777" w:rsidR="00345EE3" w:rsidRDefault="00345EE3" w:rsidP="00D73130">
            <w:pPr>
              <w:pStyle w:val="TableParagraph"/>
              <w:ind w:right="55"/>
              <w:rPr>
                <w:sz w:val="24"/>
              </w:rPr>
            </w:pPr>
            <w:r>
              <w:rPr>
                <w:color w:val="231F20"/>
                <w:spacing w:val="-5"/>
                <w:sz w:val="24"/>
              </w:rPr>
              <w:t>6.5</w:t>
            </w:r>
          </w:p>
        </w:tc>
        <w:tc>
          <w:tcPr>
            <w:tcW w:w="1248" w:type="dxa"/>
            <w:tcBorders>
              <w:bottom w:val="single" w:sz="4" w:space="0" w:color="231F20"/>
            </w:tcBorders>
            <w:shd w:val="clear" w:color="auto" w:fill="E6E7E8"/>
          </w:tcPr>
          <w:p w14:paraId="02F9D75A" w14:textId="77777777" w:rsidR="00345EE3" w:rsidRDefault="00345EE3" w:rsidP="00D73130">
            <w:pPr>
              <w:pStyle w:val="TableParagraph"/>
              <w:ind w:right="56"/>
              <w:rPr>
                <w:sz w:val="24"/>
              </w:rPr>
            </w:pPr>
            <w:r>
              <w:rPr>
                <w:color w:val="231F20"/>
                <w:spacing w:val="-2"/>
                <w:sz w:val="24"/>
              </w:rPr>
              <w:t>34,343</w:t>
            </w:r>
          </w:p>
        </w:tc>
        <w:tc>
          <w:tcPr>
            <w:tcW w:w="1248" w:type="dxa"/>
            <w:tcBorders>
              <w:bottom w:val="single" w:sz="4" w:space="0" w:color="231F20"/>
              <w:right w:val="nil"/>
            </w:tcBorders>
          </w:tcPr>
          <w:p w14:paraId="45C73930" w14:textId="77777777" w:rsidR="00345EE3" w:rsidRDefault="00345EE3" w:rsidP="00D73130">
            <w:pPr>
              <w:pStyle w:val="TableParagraph"/>
              <w:ind w:right="56"/>
              <w:rPr>
                <w:sz w:val="24"/>
              </w:rPr>
            </w:pPr>
            <w:r>
              <w:rPr>
                <w:color w:val="231F20"/>
                <w:spacing w:val="-2"/>
                <w:sz w:val="24"/>
              </w:rPr>
              <w:t>13,512</w:t>
            </w:r>
          </w:p>
        </w:tc>
      </w:tr>
      <w:tr w:rsidR="00345EE3" w14:paraId="16A740C2" w14:textId="77777777" w:rsidTr="00D73130">
        <w:trPr>
          <w:trHeight w:val="391"/>
        </w:trPr>
        <w:tc>
          <w:tcPr>
            <w:tcW w:w="6917" w:type="dxa"/>
            <w:tcBorders>
              <w:top w:val="single" w:sz="4" w:space="0" w:color="231F20"/>
              <w:left w:val="nil"/>
              <w:bottom w:val="single" w:sz="4" w:space="0" w:color="231F20"/>
            </w:tcBorders>
          </w:tcPr>
          <w:p w14:paraId="519EDFAA"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8"/>
                <w:sz w:val="24"/>
              </w:rPr>
              <w:t xml:space="preserve"> </w:t>
            </w:r>
            <w:r>
              <w:rPr>
                <w:b/>
                <w:color w:val="231F20"/>
                <w:spacing w:val="-2"/>
                <w:sz w:val="24"/>
              </w:rPr>
              <w:t>Liabilities</w:t>
            </w:r>
          </w:p>
        </w:tc>
        <w:tc>
          <w:tcPr>
            <w:tcW w:w="794" w:type="dxa"/>
            <w:tcBorders>
              <w:top w:val="single" w:sz="4" w:space="0" w:color="231F20"/>
              <w:bottom w:val="single" w:sz="4" w:space="0" w:color="231F20"/>
            </w:tcBorders>
          </w:tcPr>
          <w:p w14:paraId="56F75B17" w14:textId="77777777" w:rsidR="00345EE3" w:rsidRDefault="00345EE3" w:rsidP="00D73130">
            <w:pPr>
              <w:pStyle w:val="TableParagraph"/>
              <w:spacing w:before="0"/>
              <w:jc w:val="left"/>
              <w:rPr>
                <w:rFonts w:ascii="Times New Roman"/>
              </w:rPr>
            </w:pPr>
          </w:p>
        </w:tc>
        <w:tc>
          <w:tcPr>
            <w:tcW w:w="1248" w:type="dxa"/>
            <w:tcBorders>
              <w:top w:val="single" w:sz="4" w:space="0" w:color="231F20"/>
              <w:bottom w:val="single" w:sz="4" w:space="0" w:color="231F20"/>
            </w:tcBorders>
            <w:shd w:val="clear" w:color="auto" w:fill="E6E7E8"/>
          </w:tcPr>
          <w:p w14:paraId="6A6E757E" w14:textId="77777777" w:rsidR="00345EE3" w:rsidRDefault="00345EE3" w:rsidP="00D73130">
            <w:pPr>
              <w:pStyle w:val="TableParagraph"/>
              <w:spacing w:before="58"/>
              <w:ind w:right="53"/>
              <w:rPr>
                <w:b/>
                <w:sz w:val="24"/>
              </w:rPr>
            </w:pPr>
            <w:r>
              <w:rPr>
                <w:b/>
                <w:color w:val="231F20"/>
                <w:spacing w:val="-2"/>
                <w:sz w:val="24"/>
              </w:rPr>
              <w:t>2,831,219</w:t>
            </w:r>
          </w:p>
        </w:tc>
        <w:tc>
          <w:tcPr>
            <w:tcW w:w="1248" w:type="dxa"/>
            <w:tcBorders>
              <w:top w:val="single" w:sz="4" w:space="0" w:color="231F20"/>
              <w:bottom w:val="single" w:sz="4" w:space="0" w:color="231F20"/>
              <w:right w:val="nil"/>
            </w:tcBorders>
          </w:tcPr>
          <w:p w14:paraId="2A9E5172" w14:textId="77777777" w:rsidR="00345EE3" w:rsidRDefault="00345EE3" w:rsidP="00D73130">
            <w:pPr>
              <w:pStyle w:val="TableParagraph"/>
              <w:spacing w:before="58"/>
              <w:ind w:right="54"/>
              <w:rPr>
                <w:b/>
                <w:sz w:val="24"/>
              </w:rPr>
            </w:pPr>
            <w:r>
              <w:rPr>
                <w:b/>
                <w:color w:val="231F20"/>
                <w:spacing w:val="-2"/>
                <w:sz w:val="24"/>
              </w:rPr>
              <w:t>2,808,968</w:t>
            </w:r>
          </w:p>
        </w:tc>
      </w:tr>
      <w:tr w:rsidR="00345EE3" w14:paraId="28A02E85" w14:textId="77777777" w:rsidTr="00D73130">
        <w:trPr>
          <w:trHeight w:val="391"/>
        </w:trPr>
        <w:tc>
          <w:tcPr>
            <w:tcW w:w="6917" w:type="dxa"/>
            <w:tcBorders>
              <w:top w:val="single" w:sz="4" w:space="0" w:color="231F20"/>
              <w:left w:val="nil"/>
              <w:bottom w:val="single" w:sz="4" w:space="0" w:color="231F20"/>
            </w:tcBorders>
          </w:tcPr>
          <w:p w14:paraId="296C0AC0" w14:textId="77777777" w:rsidR="00345EE3" w:rsidRDefault="00345EE3" w:rsidP="00D73130">
            <w:pPr>
              <w:pStyle w:val="TableParagraph"/>
              <w:spacing w:before="58"/>
              <w:ind w:left="-3"/>
              <w:jc w:val="left"/>
              <w:rPr>
                <w:b/>
                <w:sz w:val="24"/>
              </w:rPr>
            </w:pPr>
            <w:r>
              <w:rPr>
                <w:b/>
                <w:color w:val="231F20"/>
                <w:sz w:val="24"/>
              </w:rPr>
              <w:t>Net</w:t>
            </w:r>
            <w:r>
              <w:rPr>
                <w:b/>
                <w:color w:val="231F20"/>
                <w:spacing w:val="-11"/>
                <w:sz w:val="24"/>
              </w:rPr>
              <w:t xml:space="preserve"> </w:t>
            </w:r>
            <w:r>
              <w:rPr>
                <w:b/>
                <w:color w:val="231F20"/>
                <w:spacing w:val="-2"/>
                <w:sz w:val="24"/>
              </w:rPr>
              <w:t>Assets</w:t>
            </w:r>
          </w:p>
        </w:tc>
        <w:tc>
          <w:tcPr>
            <w:tcW w:w="794" w:type="dxa"/>
            <w:tcBorders>
              <w:top w:val="single" w:sz="4" w:space="0" w:color="231F20"/>
              <w:bottom w:val="single" w:sz="4" w:space="0" w:color="231F20"/>
            </w:tcBorders>
          </w:tcPr>
          <w:p w14:paraId="30E52B09" w14:textId="77777777" w:rsidR="00345EE3" w:rsidRDefault="00345EE3" w:rsidP="00D73130">
            <w:pPr>
              <w:pStyle w:val="TableParagraph"/>
              <w:spacing w:before="0"/>
              <w:jc w:val="left"/>
              <w:rPr>
                <w:rFonts w:ascii="Times New Roman"/>
              </w:rPr>
            </w:pPr>
          </w:p>
        </w:tc>
        <w:tc>
          <w:tcPr>
            <w:tcW w:w="1248" w:type="dxa"/>
            <w:tcBorders>
              <w:top w:val="single" w:sz="4" w:space="0" w:color="231F20"/>
              <w:bottom w:val="single" w:sz="4" w:space="0" w:color="231F20"/>
            </w:tcBorders>
            <w:shd w:val="clear" w:color="auto" w:fill="E6E7E8"/>
          </w:tcPr>
          <w:p w14:paraId="62B0D674" w14:textId="77777777" w:rsidR="00345EE3" w:rsidRDefault="00345EE3" w:rsidP="00D73130">
            <w:pPr>
              <w:pStyle w:val="TableParagraph"/>
              <w:spacing w:before="58"/>
              <w:ind w:right="53"/>
              <w:rPr>
                <w:b/>
                <w:sz w:val="24"/>
              </w:rPr>
            </w:pPr>
            <w:r>
              <w:rPr>
                <w:b/>
                <w:color w:val="231F20"/>
                <w:spacing w:val="-2"/>
                <w:sz w:val="24"/>
              </w:rPr>
              <w:t>1,972,934</w:t>
            </w:r>
          </w:p>
        </w:tc>
        <w:tc>
          <w:tcPr>
            <w:tcW w:w="1248" w:type="dxa"/>
            <w:tcBorders>
              <w:top w:val="single" w:sz="4" w:space="0" w:color="231F20"/>
              <w:bottom w:val="single" w:sz="4" w:space="0" w:color="231F20"/>
              <w:right w:val="nil"/>
            </w:tcBorders>
          </w:tcPr>
          <w:p w14:paraId="35200658" w14:textId="77777777" w:rsidR="00345EE3" w:rsidRDefault="00345EE3" w:rsidP="00D73130">
            <w:pPr>
              <w:pStyle w:val="TableParagraph"/>
              <w:spacing w:before="58"/>
              <w:ind w:right="54"/>
              <w:rPr>
                <w:b/>
                <w:sz w:val="24"/>
              </w:rPr>
            </w:pPr>
            <w:r>
              <w:rPr>
                <w:b/>
                <w:color w:val="231F20"/>
                <w:spacing w:val="-2"/>
                <w:sz w:val="24"/>
              </w:rPr>
              <w:t>1,842,603</w:t>
            </w:r>
          </w:p>
        </w:tc>
      </w:tr>
      <w:tr w:rsidR="00345EE3" w14:paraId="0ED53B3F" w14:textId="77777777" w:rsidTr="00D73130">
        <w:trPr>
          <w:trHeight w:val="393"/>
        </w:trPr>
        <w:tc>
          <w:tcPr>
            <w:tcW w:w="6917" w:type="dxa"/>
            <w:tcBorders>
              <w:top w:val="single" w:sz="4" w:space="0" w:color="231F20"/>
              <w:left w:val="nil"/>
            </w:tcBorders>
          </w:tcPr>
          <w:p w14:paraId="242561E9" w14:textId="77777777" w:rsidR="00345EE3" w:rsidRDefault="00345EE3" w:rsidP="00D73130">
            <w:pPr>
              <w:pStyle w:val="TableParagraph"/>
              <w:spacing w:before="58"/>
              <w:ind w:left="-3"/>
              <w:jc w:val="left"/>
              <w:rPr>
                <w:b/>
                <w:sz w:val="24"/>
              </w:rPr>
            </w:pPr>
            <w:r>
              <w:rPr>
                <w:b/>
                <w:color w:val="231F20"/>
                <w:spacing w:val="-2"/>
                <w:sz w:val="24"/>
              </w:rPr>
              <w:t>Equity</w:t>
            </w:r>
          </w:p>
        </w:tc>
        <w:tc>
          <w:tcPr>
            <w:tcW w:w="794" w:type="dxa"/>
            <w:tcBorders>
              <w:top w:val="single" w:sz="4" w:space="0" w:color="231F20"/>
            </w:tcBorders>
          </w:tcPr>
          <w:p w14:paraId="4929E6F5" w14:textId="77777777" w:rsidR="00345EE3" w:rsidRDefault="00345EE3" w:rsidP="00D73130">
            <w:pPr>
              <w:pStyle w:val="TableParagraph"/>
              <w:spacing w:before="0"/>
              <w:jc w:val="left"/>
              <w:rPr>
                <w:rFonts w:ascii="Times New Roman"/>
              </w:rPr>
            </w:pPr>
          </w:p>
        </w:tc>
        <w:tc>
          <w:tcPr>
            <w:tcW w:w="1248" w:type="dxa"/>
            <w:tcBorders>
              <w:top w:val="single" w:sz="4" w:space="0" w:color="231F20"/>
            </w:tcBorders>
            <w:shd w:val="clear" w:color="auto" w:fill="E6E7E8"/>
          </w:tcPr>
          <w:p w14:paraId="678E317F" w14:textId="77777777" w:rsidR="00345EE3" w:rsidRDefault="00345EE3" w:rsidP="00D73130">
            <w:pPr>
              <w:pStyle w:val="TableParagraph"/>
              <w:spacing w:before="0"/>
              <w:jc w:val="left"/>
              <w:rPr>
                <w:rFonts w:ascii="Times New Roman"/>
              </w:rPr>
            </w:pPr>
          </w:p>
        </w:tc>
        <w:tc>
          <w:tcPr>
            <w:tcW w:w="1248" w:type="dxa"/>
            <w:tcBorders>
              <w:top w:val="single" w:sz="4" w:space="0" w:color="231F20"/>
              <w:right w:val="nil"/>
            </w:tcBorders>
          </w:tcPr>
          <w:p w14:paraId="550DD5F0" w14:textId="77777777" w:rsidR="00345EE3" w:rsidRDefault="00345EE3" w:rsidP="00D73130">
            <w:pPr>
              <w:pStyle w:val="TableParagraph"/>
              <w:spacing w:before="0"/>
              <w:jc w:val="left"/>
              <w:rPr>
                <w:rFonts w:ascii="Times New Roman"/>
              </w:rPr>
            </w:pPr>
          </w:p>
        </w:tc>
      </w:tr>
      <w:tr w:rsidR="00345EE3" w14:paraId="3A5C8EFA" w14:textId="77777777" w:rsidTr="00D73130">
        <w:trPr>
          <w:trHeight w:val="396"/>
        </w:trPr>
        <w:tc>
          <w:tcPr>
            <w:tcW w:w="6917" w:type="dxa"/>
            <w:tcBorders>
              <w:left w:val="nil"/>
            </w:tcBorders>
          </w:tcPr>
          <w:p w14:paraId="254E984F" w14:textId="77777777" w:rsidR="00345EE3" w:rsidRDefault="00345EE3" w:rsidP="00D73130">
            <w:pPr>
              <w:pStyle w:val="TableParagraph"/>
              <w:ind w:left="168"/>
              <w:jc w:val="left"/>
              <w:rPr>
                <w:sz w:val="24"/>
              </w:rPr>
            </w:pPr>
            <w:r>
              <w:rPr>
                <w:color w:val="231F20"/>
                <w:sz w:val="24"/>
              </w:rPr>
              <w:t xml:space="preserve">Accumulated </w:t>
            </w:r>
            <w:r>
              <w:rPr>
                <w:color w:val="231F20"/>
                <w:spacing w:val="-2"/>
                <w:sz w:val="24"/>
              </w:rPr>
              <w:t>surplus</w:t>
            </w:r>
          </w:p>
        </w:tc>
        <w:tc>
          <w:tcPr>
            <w:tcW w:w="794" w:type="dxa"/>
          </w:tcPr>
          <w:p w14:paraId="5335DFEC" w14:textId="77777777" w:rsidR="00345EE3" w:rsidRDefault="00345EE3" w:rsidP="00D73130">
            <w:pPr>
              <w:pStyle w:val="TableParagraph"/>
              <w:spacing w:before="0"/>
              <w:jc w:val="left"/>
              <w:rPr>
                <w:rFonts w:ascii="Times New Roman"/>
              </w:rPr>
            </w:pPr>
          </w:p>
        </w:tc>
        <w:tc>
          <w:tcPr>
            <w:tcW w:w="1248" w:type="dxa"/>
            <w:shd w:val="clear" w:color="auto" w:fill="E6E7E8"/>
          </w:tcPr>
          <w:p w14:paraId="54DC36AD" w14:textId="77777777" w:rsidR="00345EE3" w:rsidRDefault="00345EE3" w:rsidP="00D73130">
            <w:pPr>
              <w:pStyle w:val="TableParagraph"/>
              <w:ind w:right="56"/>
              <w:rPr>
                <w:sz w:val="24"/>
              </w:rPr>
            </w:pPr>
            <w:r>
              <w:rPr>
                <w:color w:val="231F20"/>
                <w:spacing w:val="-2"/>
                <w:sz w:val="24"/>
              </w:rPr>
              <w:t>136,753</w:t>
            </w:r>
          </w:p>
        </w:tc>
        <w:tc>
          <w:tcPr>
            <w:tcW w:w="1248" w:type="dxa"/>
            <w:tcBorders>
              <w:right w:val="nil"/>
            </w:tcBorders>
          </w:tcPr>
          <w:p w14:paraId="1F2A71CD" w14:textId="77777777" w:rsidR="00345EE3" w:rsidRDefault="00345EE3" w:rsidP="00D73130">
            <w:pPr>
              <w:pStyle w:val="TableParagraph"/>
              <w:ind w:right="56"/>
              <w:rPr>
                <w:sz w:val="24"/>
              </w:rPr>
            </w:pPr>
            <w:r>
              <w:rPr>
                <w:color w:val="231F20"/>
                <w:spacing w:val="-2"/>
                <w:sz w:val="24"/>
              </w:rPr>
              <w:t>49,814</w:t>
            </w:r>
          </w:p>
        </w:tc>
      </w:tr>
      <w:tr w:rsidR="00345EE3" w14:paraId="5B653876" w14:textId="77777777" w:rsidTr="00D73130">
        <w:trPr>
          <w:trHeight w:val="396"/>
        </w:trPr>
        <w:tc>
          <w:tcPr>
            <w:tcW w:w="6917" w:type="dxa"/>
            <w:tcBorders>
              <w:left w:val="nil"/>
            </w:tcBorders>
          </w:tcPr>
          <w:p w14:paraId="0BE5EDEE" w14:textId="77777777" w:rsidR="00345EE3" w:rsidRDefault="00345EE3" w:rsidP="00D73130">
            <w:pPr>
              <w:pStyle w:val="TableParagraph"/>
              <w:spacing w:before="61"/>
              <w:ind w:left="168"/>
              <w:jc w:val="left"/>
              <w:rPr>
                <w:sz w:val="24"/>
              </w:rPr>
            </w:pPr>
            <w:r>
              <w:rPr>
                <w:color w:val="231F20"/>
                <w:sz w:val="24"/>
              </w:rPr>
              <w:t>Hedging</w:t>
            </w:r>
            <w:r>
              <w:rPr>
                <w:color w:val="231F20"/>
                <w:spacing w:val="-7"/>
                <w:sz w:val="24"/>
              </w:rPr>
              <w:t xml:space="preserve"> </w:t>
            </w:r>
            <w:r>
              <w:rPr>
                <w:color w:val="231F20"/>
                <w:spacing w:val="-2"/>
                <w:sz w:val="24"/>
              </w:rPr>
              <w:t>reserves</w:t>
            </w:r>
          </w:p>
        </w:tc>
        <w:tc>
          <w:tcPr>
            <w:tcW w:w="794" w:type="dxa"/>
          </w:tcPr>
          <w:p w14:paraId="0EE58686" w14:textId="77777777" w:rsidR="00345EE3" w:rsidRDefault="00345EE3" w:rsidP="00D73130">
            <w:pPr>
              <w:pStyle w:val="TableParagraph"/>
              <w:spacing w:before="0"/>
              <w:jc w:val="left"/>
              <w:rPr>
                <w:rFonts w:ascii="Times New Roman"/>
              </w:rPr>
            </w:pPr>
          </w:p>
        </w:tc>
        <w:tc>
          <w:tcPr>
            <w:tcW w:w="1248" w:type="dxa"/>
            <w:shd w:val="clear" w:color="auto" w:fill="E6E7E8"/>
          </w:tcPr>
          <w:p w14:paraId="16668BF6" w14:textId="77777777" w:rsidR="00345EE3" w:rsidRDefault="00345EE3" w:rsidP="00D73130">
            <w:pPr>
              <w:pStyle w:val="TableParagraph"/>
              <w:spacing w:before="61"/>
              <w:ind w:right="55"/>
              <w:rPr>
                <w:sz w:val="24"/>
              </w:rPr>
            </w:pPr>
            <w:r>
              <w:rPr>
                <w:color w:val="231F20"/>
                <w:spacing w:val="-2"/>
                <w:sz w:val="24"/>
              </w:rPr>
              <w:t>(5,143)</w:t>
            </w:r>
          </w:p>
        </w:tc>
        <w:tc>
          <w:tcPr>
            <w:tcW w:w="1248" w:type="dxa"/>
            <w:tcBorders>
              <w:right w:val="nil"/>
            </w:tcBorders>
          </w:tcPr>
          <w:p w14:paraId="77142891" w14:textId="77777777" w:rsidR="00345EE3" w:rsidRDefault="00345EE3" w:rsidP="00D73130">
            <w:pPr>
              <w:pStyle w:val="TableParagraph"/>
              <w:spacing w:before="61"/>
              <w:ind w:right="56"/>
              <w:rPr>
                <w:sz w:val="24"/>
              </w:rPr>
            </w:pPr>
            <w:r>
              <w:rPr>
                <w:color w:val="231F20"/>
                <w:spacing w:val="-2"/>
                <w:sz w:val="24"/>
              </w:rPr>
              <w:t>(15,391)</w:t>
            </w:r>
          </w:p>
        </w:tc>
      </w:tr>
      <w:tr w:rsidR="00345EE3" w14:paraId="1D9FC750" w14:textId="77777777" w:rsidTr="00D73130">
        <w:trPr>
          <w:trHeight w:val="396"/>
        </w:trPr>
        <w:tc>
          <w:tcPr>
            <w:tcW w:w="6917" w:type="dxa"/>
            <w:tcBorders>
              <w:left w:val="nil"/>
            </w:tcBorders>
          </w:tcPr>
          <w:p w14:paraId="5533F563" w14:textId="77777777" w:rsidR="00345EE3" w:rsidRDefault="00345EE3" w:rsidP="00D73130">
            <w:pPr>
              <w:pStyle w:val="TableParagraph"/>
              <w:spacing w:before="61"/>
              <w:ind w:left="168"/>
              <w:jc w:val="left"/>
              <w:rPr>
                <w:sz w:val="24"/>
              </w:rPr>
            </w:pPr>
            <w:r>
              <w:rPr>
                <w:color w:val="231F20"/>
                <w:sz w:val="24"/>
              </w:rPr>
              <w:t>Physical</w:t>
            </w:r>
            <w:r>
              <w:rPr>
                <w:color w:val="231F20"/>
                <w:spacing w:val="-2"/>
                <w:sz w:val="24"/>
              </w:rPr>
              <w:t xml:space="preserve"> </w:t>
            </w:r>
            <w:r>
              <w:rPr>
                <w:color w:val="231F20"/>
                <w:sz w:val="24"/>
              </w:rPr>
              <w:t>asset</w:t>
            </w:r>
            <w:r>
              <w:rPr>
                <w:color w:val="231F20"/>
                <w:spacing w:val="-2"/>
                <w:sz w:val="24"/>
              </w:rPr>
              <w:t xml:space="preserve"> </w:t>
            </w:r>
            <w:r>
              <w:rPr>
                <w:color w:val="231F20"/>
                <w:sz w:val="24"/>
              </w:rPr>
              <w:t>revaluation</w:t>
            </w:r>
            <w:r>
              <w:rPr>
                <w:color w:val="231F20"/>
                <w:spacing w:val="-1"/>
                <w:sz w:val="24"/>
              </w:rPr>
              <w:t xml:space="preserve"> </w:t>
            </w:r>
            <w:r>
              <w:rPr>
                <w:color w:val="231F20"/>
                <w:spacing w:val="-2"/>
                <w:sz w:val="24"/>
              </w:rPr>
              <w:t>reserves</w:t>
            </w:r>
          </w:p>
        </w:tc>
        <w:tc>
          <w:tcPr>
            <w:tcW w:w="794" w:type="dxa"/>
          </w:tcPr>
          <w:p w14:paraId="4559ADBB" w14:textId="77777777" w:rsidR="00345EE3" w:rsidRDefault="00345EE3" w:rsidP="00D73130">
            <w:pPr>
              <w:pStyle w:val="TableParagraph"/>
              <w:spacing w:before="61"/>
              <w:ind w:right="55"/>
              <w:rPr>
                <w:sz w:val="24"/>
              </w:rPr>
            </w:pPr>
            <w:r>
              <w:rPr>
                <w:color w:val="231F20"/>
                <w:spacing w:val="-5"/>
                <w:sz w:val="24"/>
              </w:rPr>
              <w:t>5.3</w:t>
            </w:r>
          </w:p>
        </w:tc>
        <w:tc>
          <w:tcPr>
            <w:tcW w:w="1248" w:type="dxa"/>
            <w:shd w:val="clear" w:color="auto" w:fill="E6E7E8"/>
          </w:tcPr>
          <w:p w14:paraId="1C6AC5D0" w14:textId="77777777" w:rsidR="00345EE3" w:rsidRDefault="00345EE3" w:rsidP="00D73130">
            <w:pPr>
              <w:pStyle w:val="TableParagraph"/>
              <w:spacing w:before="61"/>
              <w:ind w:right="56"/>
              <w:rPr>
                <w:sz w:val="24"/>
              </w:rPr>
            </w:pPr>
            <w:r>
              <w:rPr>
                <w:color w:val="231F20"/>
                <w:spacing w:val="-2"/>
                <w:sz w:val="24"/>
              </w:rPr>
              <w:t>874,797</w:t>
            </w:r>
          </w:p>
        </w:tc>
        <w:tc>
          <w:tcPr>
            <w:tcW w:w="1248" w:type="dxa"/>
            <w:tcBorders>
              <w:right w:val="nil"/>
            </w:tcBorders>
          </w:tcPr>
          <w:p w14:paraId="47337F19" w14:textId="77777777" w:rsidR="00345EE3" w:rsidRDefault="00345EE3" w:rsidP="00D73130">
            <w:pPr>
              <w:pStyle w:val="TableParagraph"/>
              <w:spacing w:before="61"/>
              <w:ind w:right="56"/>
              <w:rPr>
                <w:sz w:val="24"/>
              </w:rPr>
            </w:pPr>
            <w:r>
              <w:rPr>
                <w:color w:val="231F20"/>
                <w:spacing w:val="-2"/>
                <w:sz w:val="24"/>
              </w:rPr>
              <w:t>878,192</w:t>
            </w:r>
          </w:p>
        </w:tc>
      </w:tr>
      <w:tr w:rsidR="00345EE3" w14:paraId="3B5DF845" w14:textId="77777777" w:rsidTr="00D73130">
        <w:trPr>
          <w:trHeight w:val="393"/>
        </w:trPr>
        <w:tc>
          <w:tcPr>
            <w:tcW w:w="6917" w:type="dxa"/>
            <w:tcBorders>
              <w:left w:val="nil"/>
              <w:bottom w:val="single" w:sz="4" w:space="0" w:color="231F20"/>
            </w:tcBorders>
          </w:tcPr>
          <w:p w14:paraId="15AE0AC0" w14:textId="77777777" w:rsidR="00345EE3" w:rsidRDefault="00345EE3" w:rsidP="00D73130">
            <w:pPr>
              <w:pStyle w:val="TableParagraph"/>
              <w:spacing w:before="61"/>
              <w:ind w:left="168"/>
              <w:jc w:val="left"/>
              <w:rPr>
                <w:sz w:val="24"/>
              </w:rPr>
            </w:pPr>
            <w:r>
              <w:rPr>
                <w:color w:val="231F20"/>
                <w:sz w:val="24"/>
              </w:rPr>
              <w:t>Contributed</w:t>
            </w:r>
            <w:r>
              <w:rPr>
                <w:color w:val="231F20"/>
                <w:spacing w:val="-11"/>
                <w:sz w:val="24"/>
              </w:rPr>
              <w:t xml:space="preserve"> </w:t>
            </w:r>
            <w:r>
              <w:rPr>
                <w:color w:val="231F20"/>
                <w:spacing w:val="-2"/>
                <w:sz w:val="24"/>
              </w:rPr>
              <w:t>capital</w:t>
            </w:r>
          </w:p>
        </w:tc>
        <w:tc>
          <w:tcPr>
            <w:tcW w:w="794" w:type="dxa"/>
            <w:tcBorders>
              <w:bottom w:val="single" w:sz="4" w:space="0" w:color="231F20"/>
            </w:tcBorders>
          </w:tcPr>
          <w:p w14:paraId="50DF348D" w14:textId="77777777" w:rsidR="00345EE3" w:rsidRDefault="00345EE3" w:rsidP="00D73130">
            <w:pPr>
              <w:pStyle w:val="TableParagraph"/>
              <w:spacing w:before="0"/>
              <w:jc w:val="left"/>
              <w:rPr>
                <w:rFonts w:ascii="Times New Roman"/>
              </w:rPr>
            </w:pPr>
          </w:p>
        </w:tc>
        <w:tc>
          <w:tcPr>
            <w:tcW w:w="1248" w:type="dxa"/>
            <w:tcBorders>
              <w:bottom w:val="single" w:sz="4" w:space="0" w:color="231F20"/>
            </w:tcBorders>
            <w:shd w:val="clear" w:color="auto" w:fill="E6E7E8"/>
          </w:tcPr>
          <w:p w14:paraId="1DEFE608" w14:textId="77777777" w:rsidR="00345EE3" w:rsidRDefault="00345EE3" w:rsidP="00D73130">
            <w:pPr>
              <w:pStyle w:val="TableParagraph"/>
              <w:spacing w:before="61"/>
              <w:ind w:right="56"/>
              <w:rPr>
                <w:sz w:val="24"/>
              </w:rPr>
            </w:pPr>
            <w:r>
              <w:rPr>
                <w:color w:val="231F20"/>
                <w:spacing w:val="-2"/>
                <w:sz w:val="24"/>
              </w:rPr>
              <w:t>966,527</w:t>
            </w:r>
          </w:p>
        </w:tc>
        <w:tc>
          <w:tcPr>
            <w:tcW w:w="1248" w:type="dxa"/>
            <w:tcBorders>
              <w:bottom w:val="single" w:sz="4" w:space="0" w:color="231F20"/>
              <w:right w:val="nil"/>
            </w:tcBorders>
          </w:tcPr>
          <w:p w14:paraId="17588E76" w14:textId="77777777" w:rsidR="00345EE3" w:rsidRDefault="00345EE3" w:rsidP="00D73130">
            <w:pPr>
              <w:pStyle w:val="TableParagraph"/>
              <w:spacing w:before="61"/>
              <w:ind w:right="56"/>
              <w:rPr>
                <w:sz w:val="24"/>
              </w:rPr>
            </w:pPr>
            <w:r>
              <w:rPr>
                <w:color w:val="231F20"/>
                <w:spacing w:val="-2"/>
                <w:sz w:val="24"/>
              </w:rPr>
              <w:t>929,988</w:t>
            </w:r>
          </w:p>
        </w:tc>
      </w:tr>
      <w:tr w:rsidR="00345EE3" w14:paraId="31253B91" w14:textId="77777777" w:rsidTr="00D73130">
        <w:trPr>
          <w:trHeight w:val="386"/>
        </w:trPr>
        <w:tc>
          <w:tcPr>
            <w:tcW w:w="6917" w:type="dxa"/>
            <w:tcBorders>
              <w:top w:val="single" w:sz="4" w:space="0" w:color="231F20"/>
              <w:left w:val="nil"/>
              <w:bottom w:val="single" w:sz="8" w:space="0" w:color="231F20"/>
            </w:tcBorders>
          </w:tcPr>
          <w:p w14:paraId="1F0A39C6" w14:textId="77777777" w:rsidR="00345EE3" w:rsidRDefault="00345EE3" w:rsidP="00D73130">
            <w:pPr>
              <w:pStyle w:val="TableParagraph"/>
              <w:spacing w:before="58"/>
              <w:ind w:left="-3"/>
              <w:jc w:val="left"/>
              <w:rPr>
                <w:b/>
                <w:sz w:val="24"/>
              </w:rPr>
            </w:pPr>
            <w:r>
              <w:rPr>
                <w:b/>
                <w:color w:val="231F20"/>
                <w:sz w:val="24"/>
              </w:rPr>
              <w:t>Net</w:t>
            </w:r>
            <w:r>
              <w:rPr>
                <w:b/>
                <w:color w:val="231F20"/>
                <w:spacing w:val="-5"/>
                <w:sz w:val="24"/>
              </w:rPr>
              <w:t xml:space="preserve"> </w:t>
            </w:r>
            <w:r>
              <w:rPr>
                <w:b/>
                <w:color w:val="231F20"/>
                <w:spacing w:val="-2"/>
                <w:sz w:val="24"/>
              </w:rPr>
              <w:t>Worth</w:t>
            </w:r>
          </w:p>
        </w:tc>
        <w:tc>
          <w:tcPr>
            <w:tcW w:w="794" w:type="dxa"/>
            <w:tcBorders>
              <w:top w:val="single" w:sz="4" w:space="0" w:color="231F20"/>
              <w:bottom w:val="single" w:sz="8" w:space="0" w:color="231F20"/>
            </w:tcBorders>
          </w:tcPr>
          <w:p w14:paraId="66571813" w14:textId="77777777" w:rsidR="00345EE3" w:rsidRDefault="00345EE3" w:rsidP="00D73130">
            <w:pPr>
              <w:pStyle w:val="TableParagraph"/>
              <w:spacing w:before="0"/>
              <w:jc w:val="left"/>
              <w:rPr>
                <w:rFonts w:ascii="Times New Roman"/>
              </w:rPr>
            </w:pPr>
          </w:p>
        </w:tc>
        <w:tc>
          <w:tcPr>
            <w:tcW w:w="1248" w:type="dxa"/>
            <w:tcBorders>
              <w:top w:val="single" w:sz="4" w:space="0" w:color="231F20"/>
              <w:bottom w:val="single" w:sz="8" w:space="0" w:color="231F20"/>
            </w:tcBorders>
            <w:shd w:val="clear" w:color="auto" w:fill="E6E7E8"/>
          </w:tcPr>
          <w:p w14:paraId="3643851E" w14:textId="77777777" w:rsidR="00345EE3" w:rsidRDefault="00345EE3" w:rsidP="00D73130">
            <w:pPr>
              <w:pStyle w:val="TableParagraph"/>
              <w:spacing w:before="58"/>
              <w:ind w:right="53"/>
              <w:rPr>
                <w:b/>
                <w:sz w:val="24"/>
              </w:rPr>
            </w:pPr>
            <w:r>
              <w:rPr>
                <w:b/>
                <w:color w:val="231F20"/>
                <w:spacing w:val="-2"/>
                <w:sz w:val="24"/>
              </w:rPr>
              <w:t>1,972,934</w:t>
            </w:r>
          </w:p>
        </w:tc>
        <w:tc>
          <w:tcPr>
            <w:tcW w:w="1248" w:type="dxa"/>
            <w:tcBorders>
              <w:top w:val="single" w:sz="4" w:space="0" w:color="231F20"/>
              <w:bottom w:val="single" w:sz="8" w:space="0" w:color="231F20"/>
              <w:right w:val="nil"/>
            </w:tcBorders>
          </w:tcPr>
          <w:p w14:paraId="57569F2C" w14:textId="77777777" w:rsidR="00345EE3" w:rsidRDefault="00345EE3" w:rsidP="00D73130">
            <w:pPr>
              <w:pStyle w:val="TableParagraph"/>
              <w:spacing w:before="58"/>
              <w:ind w:right="54"/>
              <w:rPr>
                <w:b/>
                <w:sz w:val="24"/>
              </w:rPr>
            </w:pPr>
            <w:r>
              <w:rPr>
                <w:b/>
                <w:color w:val="231F20"/>
                <w:spacing w:val="-2"/>
                <w:sz w:val="24"/>
              </w:rPr>
              <w:t>1,842,603</w:t>
            </w:r>
          </w:p>
        </w:tc>
      </w:tr>
    </w:tbl>
    <w:p w14:paraId="7C6B08AE" w14:textId="77777777" w:rsidR="00345EE3" w:rsidRPr="00ED2501" w:rsidRDefault="00345EE3" w:rsidP="00345EE3">
      <w:pPr>
        <w:spacing w:before="88"/>
        <w:ind w:left="110"/>
        <w:rPr>
          <w:rFonts w:ascii="Arial-BoldItalicMT"/>
          <w:b/>
          <w:i/>
          <w:sz w:val="18"/>
          <w:szCs w:val="18"/>
        </w:rPr>
      </w:pPr>
      <w:r w:rsidRPr="00ED2501">
        <w:rPr>
          <w:rFonts w:ascii="Arial-BoldItalicMT"/>
          <w:b/>
          <w:i/>
          <w:color w:val="231F20"/>
          <w:spacing w:val="-2"/>
          <w:sz w:val="18"/>
          <w:szCs w:val="18"/>
        </w:rPr>
        <w:t>Note:</w:t>
      </w:r>
    </w:p>
    <w:p w14:paraId="313907B4" w14:textId="77777777" w:rsidR="00345EE3" w:rsidRPr="00ED2501" w:rsidRDefault="00345EE3" w:rsidP="00345EE3">
      <w:pPr>
        <w:spacing w:before="28"/>
        <w:ind w:left="110"/>
        <w:rPr>
          <w:sz w:val="18"/>
          <w:szCs w:val="18"/>
        </w:rPr>
      </w:pPr>
      <w:r w:rsidRPr="00ED2501">
        <w:rPr>
          <w:color w:val="231F20"/>
          <w:sz w:val="18"/>
          <w:szCs w:val="18"/>
        </w:rPr>
        <w:t>The</w:t>
      </w:r>
      <w:r w:rsidRPr="00ED2501">
        <w:rPr>
          <w:color w:val="231F20"/>
          <w:spacing w:val="-2"/>
          <w:sz w:val="18"/>
          <w:szCs w:val="18"/>
        </w:rPr>
        <w:t xml:space="preserve"> </w:t>
      </w:r>
      <w:r w:rsidRPr="00ED2501">
        <w:rPr>
          <w:color w:val="231F20"/>
          <w:sz w:val="18"/>
          <w:szCs w:val="18"/>
        </w:rPr>
        <w:t>above</w:t>
      </w:r>
      <w:r w:rsidRPr="00ED2501">
        <w:rPr>
          <w:color w:val="231F20"/>
          <w:spacing w:val="-1"/>
          <w:sz w:val="18"/>
          <w:szCs w:val="18"/>
        </w:rPr>
        <w:t xml:space="preserve"> </w:t>
      </w:r>
      <w:r w:rsidRPr="00ED2501">
        <w:rPr>
          <w:color w:val="231F20"/>
          <w:sz w:val="18"/>
          <w:szCs w:val="18"/>
        </w:rPr>
        <w:t>Balance</w:t>
      </w:r>
      <w:r w:rsidRPr="00ED2501">
        <w:rPr>
          <w:color w:val="231F20"/>
          <w:spacing w:val="-1"/>
          <w:sz w:val="18"/>
          <w:szCs w:val="18"/>
        </w:rPr>
        <w:t xml:space="preserve"> </w:t>
      </w:r>
      <w:r w:rsidRPr="00ED2501">
        <w:rPr>
          <w:color w:val="231F20"/>
          <w:sz w:val="18"/>
          <w:szCs w:val="18"/>
        </w:rPr>
        <w:t>Sheet</w:t>
      </w:r>
      <w:r w:rsidRPr="00ED2501">
        <w:rPr>
          <w:color w:val="231F20"/>
          <w:spacing w:val="-2"/>
          <w:sz w:val="18"/>
          <w:szCs w:val="18"/>
        </w:rPr>
        <w:t xml:space="preserve"> </w:t>
      </w:r>
      <w:r w:rsidRPr="00ED2501">
        <w:rPr>
          <w:color w:val="231F20"/>
          <w:sz w:val="18"/>
          <w:szCs w:val="18"/>
        </w:rPr>
        <w:t>should</w:t>
      </w:r>
      <w:r w:rsidRPr="00ED2501">
        <w:rPr>
          <w:color w:val="231F20"/>
          <w:spacing w:val="-1"/>
          <w:sz w:val="18"/>
          <w:szCs w:val="18"/>
        </w:rPr>
        <w:t xml:space="preserve"> </w:t>
      </w:r>
      <w:r w:rsidRPr="00ED2501">
        <w:rPr>
          <w:color w:val="231F20"/>
          <w:sz w:val="18"/>
          <w:szCs w:val="18"/>
        </w:rPr>
        <w:t>be</w:t>
      </w:r>
      <w:r w:rsidRPr="00ED2501">
        <w:rPr>
          <w:color w:val="231F20"/>
          <w:spacing w:val="-1"/>
          <w:sz w:val="18"/>
          <w:szCs w:val="18"/>
        </w:rPr>
        <w:t xml:space="preserve"> </w:t>
      </w:r>
      <w:r w:rsidRPr="00ED2501">
        <w:rPr>
          <w:color w:val="231F20"/>
          <w:sz w:val="18"/>
          <w:szCs w:val="18"/>
        </w:rPr>
        <w:t>read</w:t>
      </w:r>
      <w:r w:rsidRPr="00ED2501">
        <w:rPr>
          <w:color w:val="231F20"/>
          <w:spacing w:val="-2"/>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conjunction</w:t>
      </w:r>
      <w:r w:rsidRPr="00ED2501">
        <w:rPr>
          <w:color w:val="231F20"/>
          <w:spacing w:val="-1"/>
          <w:sz w:val="18"/>
          <w:szCs w:val="18"/>
        </w:rPr>
        <w:t xml:space="preserve"> </w:t>
      </w:r>
      <w:r w:rsidRPr="00ED2501">
        <w:rPr>
          <w:color w:val="231F20"/>
          <w:sz w:val="18"/>
          <w:szCs w:val="18"/>
        </w:rPr>
        <w:t>with</w:t>
      </w:r>
      <w:r w:rsidRPr="00ED2501">
        <w:rPr>
          <w:color w:val="231F20"/>
          <w:spacing w:val="-2"/>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accompanying</w:t>
      </w:r>
      <w:r w:rsidRPr="00ED2501">
        <w:rPr>
          <w:color w:val="231F20"/>
          <w:spacing w:val="-1"/>
          <w:sz w:val="18"/>
          <w:szCs w:val="18"/>
        </w:rPr>
        <w:t xml:space="preserve"> </w:t>
      </w:r>
      <w:r w:rsidRPr="00ED2501">
        <w:rPr>
          <w:color w:val="231F20"/>
          <w:spacing w:val="-2"/>
          <w:sz w:val="18"/>
          <w:szCs w:val="18"/>
        </w:rPr>
        <w:t>notes.</w:t>
      </w:r>
    </w:p>
    <w:p w14:paraId="73E94E0B" w14:textId="77777777" w:rsidR="00345EE3" w:rsidRDefault="00345EE3" w:rsidP="00345EE3">
      <w:pPr>
        <w:rPr>
          <w:color w:val="00529F"/>
          <w:sz w:val="32"/>
          <w:szCs w:val="32"/>
        </w:rPr>
      </w:pPr>
      <w:r>
        <w:rPr>
          <w:color w:val="00529F"/>
        </w:rPr>
        <w:br w:type="page"/>
      </w:r>
    </w:p>
    <w:p w14:paraId="5863EB0A" w14:textId="77777777" w:rsidR="00345EE3" w:rsidRPr="00D6225D" w:rsidRDefault="00345EE3" w:rsidP="00345EE3">
      <w:pPr>
        <w:pStyle w:val="Heading2"/>
        <w:rPr>
          <w:sz w:val="32"/>
          <w:szCs w:val="32"/>
        </w:rPr>
      </w:pPr>
      <w:r w:rsidRPr="00D6225D">
        <w:rPr>
          <w:color w:val="00529F"/>
          <w:sz w:val="32"/>
          <w:szCs w:val="32"/>
        </w:rPr>
        <w:t>Statement</w:t>
      </w:r>
      <w:r w:rsidRPr="00D6225D">
        <w:rPr>
          <w:color w:val="00529F"/>
          <w:spacing w:val="-13"/>
          <w:sz w:val="32"/>
          <w:szCs w:val="32"/>
        </w:rPr>
        <w:t xml:space="preserve"> </w:t>
      </w:r>
      <w:r w:rsidRPr="00D6225D">
        <w:rPr>
          <w:color w:val="00529F"/>
          <w:sz w:val="32"/>
          <w:szCs w:val="32"/>
        </w:rPr>
        <w:t>of</w:t>
      </w:r>
      <w:r w:rsidRPr="00D6225D">
        <w:rPr>
          <w:color w:val="00529F"/>
          <w:spacing w:val="-12"/>
          <w:sz w:val="32"/>
          <w:szCs w:val="32"/>
        </w:rPr>
        <w:t xml:space="preserve"> </w:t>
      </w:r>
      <w:r w:rsidRPr="00D6225D">
        <w:rPr>
          <w:color w:val="00529F"/>
          <w:sz w:val="32"/>
          <w:szCs w:val="32"/>
        </w:rPr>
        <w:t>Changes</w:t>
      </w:r>
      <w:r w:rsidRPr="00D6225D">
        <w:rPr>
          <w:color w:val="00529F"/>
          <w:spacing w:val="-12"/>
          <w:sz w:val="32"/>
          <w:szCs w:val="32"/>
        </w:rPr>
        <w:t xml:space="preserve"> </w:t>
      </w:r>
      <w:r w:rsidRPr="00D6225D">
        <w:rPr>
          <w:color w:val="00529F"/>
          <w:sz w:val="32"/>
          <w:szCs w:val="32"/>
        </w:rPr>
        <w:t>in</w:t>
      </w:r>
      <w:r w:rsidRPr="00D6225D">
        <w:rPr>
          <w:color w:val="00529F"/>
          <w:spacing w:val="-12"/>
          <w:sz w:val="32"/>
          <w:szCs w:val="32"/>
        </w:rPr>
        <w:t xml:space="preserve"> </w:t>
      </w:r>
      <w:r w:rsidRPr="00D6225D">
        <w:rPr>
          <w:color w:val="00529F"/>
          <w:spacing w:val="-2"/>
          <w:sz w:val="32"/>
          <w:szCs w:val="32"/>
        </w:rPr>
        <w:t>Equity</w:t>
      </w:r>
    </w:p>
    <w:p w14:paraId="0C3CBFF8" w14:textId="77777777" w:rsidR="00345EE3" w:rsidRDefault="00345EE3" w:rsidP="00345EE3">
      <w:pPr>
        <w:pStyle w:val="Heading5"/>
        <w:spacing w:before="72"/>
      </w:pPr>
      <w:r>
        <w:rPr>
          <w:color w:val="231F20"/>
        </w:rPr>
        <w:t>For</w:t>
      </w:r>
      <w:r>
        <w:rPr>
          <w:color w:val="231F20"/>
          <w:spacing w:val="-5"/>
        </w:rPr>
        <w:t xml:space="preserve"> </w:t>
      </w:r>
      <w:r>
        <w:rPr>
          <w:color w:val="231F20"/>
        </w:rPr>
        <w:t>the</w:t>
      </w:r>
      <w:r>
        <w:rPr>
          <w:color w:val="231F20"/>
          <w:spacing w:val="-4"/>
        </w:rPr>
        <w:t xml:space="preserve"> </w:t>
      </w:r>
      <w:r>
        <w:rPr>
          <w:color w:val="231F20"/>
        </w:rPr>
        <w:t>financial</w:t>
      </w:r>
      <w:r>
        <w:rPr>
          <w:color w:val="231F20"/>
          <w:spacing w:val="-3"/>
        </w:rPr>
        <w:t xml:space="preserve"> </w:t>
      </w:r>
      <w:r>
        <w:rPr>
          <w:color w:val="231F20"/>
        </w:rPr>
        <w:t>year</w:t>
      </w:r>
      <w:r>
        <w:rPr>
          <w:color w:val="231F20"/>
          <w:spacing w:val="-4"/>
        </w:rPr>
        <w:t xml:space="preserve"> </w:t>
      </w:r>
      <w:r>
        <w:rPr>
          <w:color w:val="231F20"/>
        </w:rPr>
        <w:t>ended</w:t>
      </w:r>
      <w:r>
        <w:rPr>
          <w:color w:val="231F20"/>
          <w:spacing w:val="-3"/>
        </w:rPr>
        <w:t xml:space="preserve"> </w:t>
      </w:r>
      <w:r>
        <w:rPr>
          <w:color w:val="231F20"/>
        </w:rPr>
        <w:t>30</w:t>
      </w:r>
      <w:r>
        <w:rPr>
          <w:color w:val="231F20"/>
          <w:spacing w:val="-4"/>
        </w:rPr>
        <w:t xml:space="preserve"> </w:t>
      </w:r>
      <w:r>
        <w:rPr>
          <w:color w:val="231F20"/>
        </w:rPr>
        <w:t>June</w:t>
      </w:r>
      <w:r>
        <w:rPr>
          <w:color w:val="231F20"/>
          <w:spacing w:val="-4"/>
        </w:rPr>
        <w:t xml:space="preserve"> 2022</w:t>
      </w:r>
    </w:p>
    <w:p w14:paraId="119D3EB3" w14:textId="77777777" w:rsidR="00345EE3" w:rsidRDefault="00345EE3" w:rsidP="00345EE3">
      <w:pPr>
        <w:pStyle w:val="BodyText"/>
        <w:spacing w:before="6"/>
        <w:rPr>
          <w:b/>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721"/>
        <w:gridCol w:w="737"/>
        <w:gridCol w:w="1417"/>
        <w:gridCol w:w="1134"/>
        <w:gridCol w:w="1588"/>
        <w:gridCol w:w="1475"/>
        <w:gridCol w:w="1135"/>
      </w:tblGrid>
      <w:tr w:rsidR="00345EE3" w14:paraId="0505B23E" w14:textId="77777777" w:rsidTr="00D73130">
        <w:trPr>
          <w:trHeight w:val="405"/>
        </w:trPr>
        <w:tc>
          <w:tcPr>
            <w:tcW w:w="10207" w:type="dxa"/>
            <w:gridSpan w:val="7"/>
            <w:tcBorders>
              <w:top w:val="nil"/>
              <w:left w:val="nil"/>
              <w:bottom w:val="nil"/>
              <w:right w:val="nil"/>
            </w:tcBorders>
            <w:shd w:val="clear" w:color="auto" w:fill="00529F"/>
          </w:tcPr>
          <w:p w14:paraId="587B15F1" w14:textId="77777777" w:rsidR="00345EE3" w:rsidRDefault="00345EE3" w:rsidP="00D73130">
            <w:pPr>
              <w:pStyle w:val="TableParagraph"/>
              <w:spacing w:before="63"/>
              <w:ind w:right="2"/>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6D36A479" w14:textId="77777777" w:rsidTr="00D73130">
        <w:trPr>
          <w:trHeight w:val="1237"/>
        </w:trPr>
        <w:tc>
          <w:tcPr>
            <w:tcW w:w="2721" w:type="dxa"/>
            <w:tcBorders>
              <w:top w:val="nil"/>
              <w:left w:val="nil"/>
              <w:bottom w:val="nil"/>
              <w:right w:val="nil"/>
            </w:tcBorders>
            <w:shd w:val="clear" w:color="auto" w:fill="00529F"/>
          </w:tcPr>
          <w:p w14:paraId="4693B962" w14:textId="77777777" w:rsidR="00345EE3" w:rsidRDefault="00345EE3" w:rsidP="00D73130">
            <w:pPr>
              <w:pStyle w:val="TableParagraph"/>
              <w:spacing w:before="0"/>
              <w:jc w:val="left"/>
              <w:rPr>
                <w:rFonts w:ascii="Times New Roman"/>
              </w:rPr>
            </w:pPr>
          </w:p>
        </w:tc>
        <w:tc>
          <w:tcPr>
            <w:tcW w:w="737" w:type="dxa"/>
            <w:tcBorders>
              <w:top w:val="nil"/>
              <w:left w:val="nil"/>
              <w:bottom w:val="nil"/>
              <w:right w:val="nil"/>
            </w:tcBorders>
            <w:shd w:val="clear" w:color="auto" w:fill="00529F"/>
          </w:tcPr>
          <w:p w14:paraId="2C3BBBAB" w14:textId="77777777" w:rsidR="00345EE3" w:rsidRDefault="00345EE3" w:rsidP="00D73130">
            <w:pPr>
              <w:pStyle w:val="TableParagraph"/>
              <w:spacing w:before="59"/>
              <w:ind w:right="57"/>
              <w:rPr>
                <w:b/>
                <w:sz w:val="24"/>
              </w:rPr>
            </w:pPr>
            <w:r>
              <w:rPr>
                <w:b/>
                <w:color w:val="FFFFFF"/>
                <w:spacing w:val="-2"/>
                <w:sz w:val="24"/>
              </w:rPr>
              <w:t>Notes</w:t>
            </w:r>
          </w:p>
        </w:tc>
        <w:tc>
          <w:tcPr>
            <w:tcW w:w="1417" w:type="dxa"/>
            <w:tcBorders>
              <w:top w:val="nil"/>
              <w:left w:val="nil"/>
              <w:bottom w:val="nil"/>
              <w:right w:val="nil"/>
            </w:tcBorders>
            <w:shd w:val="clear" w:color="auto" w:fill="00529F"/>
          </w:tcPr>
          <w:p w14:paraId="0A9B6B83" w14:textId="77777777" w:rsidR="00345EE3" w:rsidRDefault="00345EE3" w:rsidP="00D73130">
            <w:pPr>
              <w:pStyle w:val="TableParagraph"/>
              <w:spacing w:before="59"/>
              <w:ind w:right="56"/>
              <w:rPr>
                <w:b/>
                <w:sz w:val="24"/>
              </w:rPr>
            </w:pPr>
            <w:r>
              <w:rPr>
                <w:b/>
                <w:color w:val="FFFFFF"/>
                <w:spacing w:val="-2"/>
                <w:sz w:val="24"/>
              </w:rPr>
              <w:t>Physical</w:t>
            </w:r>
          </w:p>
          <w:p w14:paraId="077832A5" w14:textId="77777777" w:rsidR="00345EE3" w:rsidRDefault="00345EE3" w:rsidP="00D73130">
            <w:pPr>
              <w:pStyle w:val="TableParagraph"/>
              <w:spacing w:before="4" w:line="242" w:lineRule="auto"/>
              <w:ind w:left="24" w:right="56" w:firstLine="692"/>
              <w:rPr>
                <w:b/>
                <w:sz w:val="24"/>
              </w:rPr>
            </w:pPr>
            <w:r>
              <w:rPr>
                <w:b/>
                <w:color w:val="FFFFFF"/>
                <w:spacing w:val="-4"/>
                <w:sz w:val="24"/>
              </w:rPr>
              <w:t xml:space="preserve">Asset </w:t>
            </w:r>
            <w:r>
              <w:rPr>
                <w:b/>
                <w:color w:val="FFFFFF"/>
                <w:spacing w:val="-5"/>
                <w:sz w:val="24"/>
              </w:rPr>
              <w:t>Revaluation</w:t>
            </w:r>
          </w:p>
          <w:p w14:paraId="293BA44E" w14:textId="77777777" w:rsidR="00345EE3" w:rsidRDefault="00345EE3" w:rsidP="00D73130">
            <w:pPr>
              <w:pStyle w:val="TableParagraph"/>
              <w:spacing w:before="2"/>
              <w:ind w:right="56"/>
              <w:rPr>
                <w:b/>
                <w:sz w:val="24"/>
              </w:rPr>
            </w:pPr>
            <w:r>
              <w:rPr>
                <w:b/>
                <w:color w:val="FFFFFF"/>
                <w:spacing w:val="-2"/>
                <w:sz w:val="24"/>
              </w:rPr>
              <w:t>Reserve</w:t>
            </w:r>
          </w:p>
        </w:tc>
        <w:tc>
          <w:tcPr>
            <w:tcW w:w="1134" w:type="dxa"/>
            <w:tcBorders>
              <w:top w:val="nil"/>
              <w:left w:val="nil"/>
              <w:bottom w:val="nil"/>
              <w:right w:val="nil"/>
            </w:tcBorders>
            <w:shd w:val="clear" w:color="auto" w:fill="00529F"/>
          </w:tcPr>
          <w:p w14:paraId="701B1F4C" w14:textId="77777777" w:rsidR="00345EE3" w:rsidRDefault="00345EE3" w:rsidP="00D73130">
            <w:pPr>
              <w:pStyle w:val="TableParagraph"/>
              <w:spacing w:before="59" w:line="242" w:lineRule="auto"/>
              <w:ind w:left="27" w:right="50" w:firstLine="105"/>
              <w:jc w:val="left"/>
              <w:rPr>
                <w:b/>
                <w:sz w:val="24"/>
              </w:rPr>
            </w:pPr>
            <w:r>
              <w:rPr>
                <w:b/>
                <w:color w:val="FFFFFF"/>
                <w:spacing w:val="-4"/>
                <w:sz w:val="24"/>
              </w:rPr>
              <w:t xml:space="preserve">Hedging </w:t>
            </w:r>
            <w:r>
              <w:rPr>
                <w:b/>
                <w:color w:val="FFFFFF"/>
                <w:spacing w:val="-5"/>
                <w:sz w:val="24"/>
              </w:rPr>
              <w:t>Reserves</w:t>
            </w:r>
          </w:p>
        </w:tc>
        <w:tc>
          <w:tcPr>
            <w:tcW w:w="1588" w:type="dxa"/>
            <w:tcBorders>
              <w:top w:val="nil"/>
              <w:left w:val="nil"/>
              <w:bottom w:val="nil"/>
              <w:right w:val="nil"/>
            </w:tcBorders>
            <w:shd w:val="clear" w:color="auto" w:fill="00529F"/>
          </w:tcPr>
          <w:p w14:paraId="5B8C9414" w14:textId="77777777" w:rsidR="00345EE3" w:rsidRDefault="00345EE3" w:rsidP="00D73130">
            <w:pPr>
              <w:pStyle w:val="TableParagraph"/>
              <w:spacing w:before="59"/>
              <w:ind w:right="58"/>
              <w:rPr>
                <w:b/>
                <w:sz w:val="24"/>
              </w:rPr>
            </w:pPr>
            <w:r>
              <w:rPr>
                <w:b/>
                <w:color w:val="FFFFFF"/>
                <w:spacing w:val="-2"/>
                <w:sz w:val="24"/>
              </w:rPr>
              <w:t>Accumulated</w:t>
            </w:r>
          </w:p>
          <w:p w14:paraId="3B19ABA4" w14:textId="77777777" w:rsidR="00345EE3" w:rsidRDefault="00345EE3" w:rsidP="00D73130">
            <w:pPr>
              <w:pStyle w:val="TableParagraph"/>
              <w:spacing w:before="4"/>
              <w:ind w:right="57"/>
              <w:rPr>
                <w:b/>
                <w:sz w:val="24"/>
              </w:rPr>
            </w:pPr>
            <w:r>
              <w:rPr>
                <w:b/>
                <w:color w:val="FFFFFF"/>
                <w:spacing w:val="-2"/>
                <w:sz w:val="24"/>
              </w:rPr>
              <w:t>Surplus/</w:t>
            </w:r>
          </w:p>
        </w:tc>
        <w:tc>
          <w:tcPr>
            <w:tcW w:w="1475" w:type="dxa"/>
            <w:tcBorders>
              <w:top w:val="nil"/>
              <w:left w:val="nil"/>
              <w:bottom w:val="nil"/>
              <w:right w:val="nil"/>
            </w:tcBorders>
            <w:shd w:val="clear" w:color="auto" w:fill="00529F"/>
          </w:tcPr>
          <w:p w14:paraId="62DA8D64" w14:textId="77777777" w:rsidR="00345EE3" w:rsidRDefault="00345EE3" w:rsidP="00D73130">
            <w:pPr>
              <w:pStyle w:val="TableParagraph"/>
              <w:spacing w:before="59"/>
              <w:ind w:right="59"/>
              <w:rPr>
                <w:b/>
                <w:sz w:val="24"/>
              </w:rPr>
            </w:pPr>
            <w:r>
              <w:rPr>
                <w:b/>
                <w:color w:val="FFFFFF"/>
                <w:spacing w:val="-2"/>
                <w:sz w:val="24"/>
              </w:rPr>
              <w:t>Contributed</w:t>
            </w:r>
          </w:p>
          <w:p w14:paraId="756F14DC" w14:textId="77777777" w:rsidR="00345EE3" w:rsidRDefault="00345EE3" w:rsidP="00D73130">
            <w:pPr>
              <w:pStyle w:val="TableParagraph"/>
              <w:spacing w:before="4"/>
              <w:ind w:right="58"/>
              <w:rPr>
                <w:b/>
                <w:sz w:val="24"/>
              </w:rPr>
            </w:pPr>
            <w:r>
              <w:rPr>
                <w:b/>
                <w:color w:val="FFFFFF"/>
                <w:spacing w:val="-2"/>
                <w:sz w:val="24"/>
              </w:rPr>
              <w:t>Capital</w:t>
            </w:r>
          </w:p>
        </w:tc>
        <w:tc>
          <w:tcPr>
            <w:tcW w:w="1135" w:type="dxa"/>
            <w:tcBorders>
              <w:top w:val="nil"/>
              <w:left w:val="nil"/>
              <w:bottom w:val="nil"/>
              <w:right w:val="nil"/>
            </w:tcBorders>
            <w:shd w:val="clear" w:color="auto" w:fill="00529F"/>
          </w:tcPr>
          <w:p w14:paraId="41802C77" w14:textId="77777777" w:rsidR="00345EE3" w:rsidRDefault="00345EE3" w:rsidP="00D73130">
            <w:pPr>
              <w:pStyle w:val="TableParagraph"/>
              <w:spacing w:before="59"/>
              <w:ind w:right="58"/>
              <w:rPr>
                <w:b/>
                <w:sz w:val="24"/>
              </w:rPr>
            </w:pPr>
            <w:r>
              <w:rPr>
                <w:b/>
                <w:color w:val="FFFFFF"/>
                <w:spacing w:val="-2"/>
                <w:sz w:val="24"/>
              </w:rPr>
              <w:t>Total</w:t>
            </w:r>
          </w:p>
        </w:tc>
      </w:tr>
      <w:tr w:rsidR="00345EE3" w14:paraId="7B400CD7" w14:textId="77777777" w:rsidTr="00D73130">
        <w:trPr>
          <w:trHeight w:val="396"/>
        </w:trPr>
        <w:tc>
          <w:tcPr>
            <w:tcW w:w="2721" w:type="dxa"/>
            <w:tcBorders>
              <w:top w:val="nil"/>
              <w:left w:val="nil"/>
            </w:tcBorders>
          </w:tcPr>
          <w:p w14:paraId="6450AE97" w14:textId="77777777" w:rsidR="00345EE3" w:rsidRDefault="00345EE3" w:rsidP="00D73130">
            <w:pPr>
              <w:pStyle w:val="TableParagraph"/>
              <w:ind w:right="169"/>
              <w:rPr>
                <w:b/>
                <w:sz w:val="24"/>
              </w:rPr>
            </w:pPr>
            <w:r>
              <w:rPr>
                <w:b/>
                <w:color w:val="231F20"/>
                <w:sz w:val="24"/>
              </w:rPr>
              <w:t>Balance</w:t>
            </w:r>
            <w:r>
              <w:rPr>
                <w:b/>
                <w:color w:val="231F20"/>
                <w:spacing w:val="-4"/>
                <w:sz w:val="24"/>
              </w:rPr>
              <w:t xml:space="preserve"> </w:t>
            </w:r>
            <w:r>
              <w:rPr>
                <w:b/>
                <w:color w:val="231F20"/>
                <w:sz w:val="24"/>
              </w:rPr>
              <w:t>at</w:t>
            </w:r>
            <w:r>
              <w:rPr>
                <w:b/>
                <w:color w:val="231F20"/>
                <w:spacing w:val="-3"/>
                <w:sz w:val="24"/>
              </w:rPr>
              <w:t xml:space="preserve"> </w:t>
            </w:r>
            <w:r>
              <w:rPr>
                <w:b/>
                <w:color w:val="231F20"/>
                <w:sz w:val="24"/>
              </w:rPr>
              <w:t>1</w:t>
            </w:r>
            <w:r>
              <w:rPr>
                <w:b/>
                <w:color w:val="231F20"/>
                <w:spacing w:val="-4"/>
                <w:sz w:val="24"/>
              </w:rPr>
              <w:t xml:space="preserve"> </w:t>
            </w:r>
            <w:r>
              <w:rPr>
                <w:b/>
                <w:color w:val="231F20"/>
                <w:sz w:val="24"/>
              </w:rPr>
              <w:t>July</w:t>
            </w:r>
            <w:r>
              <w:rPr>
                <w:b/>
                <w:color w:val="231F20"/>
                <w:spacing w:val="-3"/>
                <w:sz w:val="24"/>
              </w:rPr>
              <w:t xml:space="preserve"> </w:t>
            </w:r>
            <w:r>
              <w:rPr>
                <w:b/>
                <w:color w:val="231F20"/>
                <w:spacing w:val="-4"/>
                <w:sz w:val="24"/>
              </w:rPr>
              <w:t>2020</w:t>
            </w:r>
          </w:p>
        </w:tc>
        <w:tc>
          <w:tcPr>
            <w:tcW w:w="737" w:type="dxa"/>
            <w:tcBorders>
              <w:top w:val="nil"/>
            </w:tcBorders>
          </w:tcPr>
          <w:p w14:paraId="0646C1C8" w14:textId="77777777" w:rsidR="00345EE3" w:rsidRDefault="00345EE3" w:rsidP="00D73130">
            <w:pPr>
              <w:pStyle w:val="TableParagraph"/>
              <w:spacing w:before="0"/>
              <w:jc w:val="left"/>
              <w:rPr>
                <w:rFonts w:ascii="Times New Roman"/>
              </w:rPr>
            </w:pPr>
          </w:p>
        </w:tc>
        <w:tc>
          <w:tcPr>
            <w:tcW w:w="1417" w:type="dxa"/>
            <w:tcBorders>
              <w:top w:val="nil"/>
            </w:tcBorders>
          </w:tcPr>
          <w:p w14:paraId="6384D0D9" w14:textId="77777777" w:rsidR="00345EE3" w:rsidRDefault="00345EE3" w:rsidP="00D73130">
            <w:pPr>
              <w:pStyle w:val="TableParagraph"/>
              <w:ind w:right="51"/>
              <w:rPr>
                <w:b/>
                <w:sz w:val="24"/>
              </w:rPr>
            </w:pPr>
            <w:r>
              <w:rPr>
                <w:b/>
                <w:color w:val="231F20"/>
                <w:spacing w:val="-2"/>
                <w:sz w:val="24"/>
              </w:rPr>
              <w:t>866,874</w:t>
            </w:r>
          </w:p>
        </w:tc>
        <w:tc>
          <w:tcPr>
            <w:tcW w:w="1134" w:type="dxa"/>
            <w:tcBorders>
              <w:top w:val="nil"/>
            </w:tcBorders>
          </w:tcPr>
          <w:p w14:paraId="794D01B3" w14:textId="77777777" w:rsidR="00345EE3" w:rsidRDefault="00345EE3" w:rsidP="00D73130">
            <w:pPr>
              <w:pStyle w:val="TableParagraph"/>
              <w:ind w:right="51"/>
              <w:rPr>
                <w:b/>
                <w:sz w:val="24"/>
              </w:rPr>
            </w:pPr>
            <w:r>
              <w:rPr>
                <w:b/>
                <w:color w:val="231F20"/>
                <w:spacing w:val="-2"/>
                <w:sz w:val="24"/>
              </w:rPr>
              <w:t>(7,804)</w:t>
            </w:r>
          </w:p>
        </w:tc>
        <w:tc>
          <w:tcPr>
            <w:tcW w:w="1588" w:type="dxa"/>
            <w:tcBorders>
              <w:top w:val="nil"/>
            </w:tcBorders>
          </w:tcPr>
          <w:p w14:paraId="1A472D4F" w14:textId="77777777" w:rsidR="00345EE3" w:rsidRDefault="00345EE3" w:rsidP="00D73130">
            <w:pPr>
              <w:pStyle w:val="TableParagraph"/>
              <w:ind w:right="52"/>
              <w:rPr>
                <w:b/>
                <w:sz w:val="24"/>
              </w:rPr>
            </w:pPr>
            <w:r>
              <w:rPr>
                <w:b/>
                <w:color w:val="231F20"/>
                <w:spacing w:val="-2"/>
                <w:sz w:val="24"/>
              </w:rPr>
              <w:t>24,821</w:t>
            </w:r>
          </w:p>
        </w:tc>
        <w:tc>
          <w:tcPr>
            <w:tcW w:w="1475" w:type="dxa"/>
            <w:tcBorders>
              <w:top w:val="nil"/>
            </w:tcBorders>
          </w:tcPr>
          <w:p w14:paraId="37A1FE26" w14:textId="77777777" w:rsidR="00345EE3" w:rsidRDefault="00345EE3" w:rsidP="00D73130">
            <w:pPr>
              <w:pStyle w:val="TableParagraph"/>
              <w:ind w:right="53"/>
              <w:rPr>
                <w:b/>
                <w:sz w:val="24"/>
              </w:rPr>
            </w:pPr>
            <w:r>
              <w:rPr>
                <w:b/>
                <w:color w:val="231F20"/>
                <w:spacing w:val="-2"/>
                <w:sz w:val="24"/>
              </w:rPr>
              <w:t>865,864</w:t>
            </w:r>
          </w:p>
        </w:tc>
        <w:tc>
          <w:tcPr>
            <w:tcW w:w="1135" w:type="dxa"/>
            <w:tcBorders>
              <w:top w:val="nil"/>
              <w:right w:val="nil"/>
            </w:tcBorders>
          </w:tcPr>
          <w:p w14:paraId="5C9FD876" w14:textId="77777777" w:rsidR="00345EE3" w:rsidRDefault="00345EE3" w:rsidP="00D73130">
            <w:pPr>
              <w:pStyle w:val="TableParagraph"/>
              <w:ind w:right="54"/>
              <w:rPr>
                <w:b/>
                <w:sz w:val="24"/>
              </w:rPr>
            </w:pPr>
            <w:r>
              <w:rPr>
                <w:b/>
                <w:color w:val="231F20"/>
                <w:spacing w:val="-2"/>
                <w:sz w:val="24"/>
              </w:rPr>
              <w:t>1,749,755</w:t>
            </w:r>
          </w:p>
        </w:tc>
      </w:tr>
      <w:tr w:rsidR="00345EE3" w14:paraId="069A5982" w14:textId="77777777" w:rsidTr="00D73130">
        <w:trPr>
          <w:trHeight w:val="396"/>
        </w:trPr>
        <w:tc>
          <w:tcPr>
            <w:tcW w:w="2721" w:type="dxa"/>
            <w:tcBorders>
              <w:left w:val="nil"/>
            </w:tcBorders>
          </w:tcPr>
          <w:p w14:paraId="63399C79" w14:textId="77777777" w:rsidR="00345EE3" w:rsidRDefault="00345EE3" w:rsidP="00D73130">
            <w:pPr>
              <w:pStyle w:val="TableParagraph"/>
              <w:ind w:right="238"/>
              <w:rPr>
                <w:sz w:val="24"/>
              </w:rPr>
            </w:pPr>
            <w:r>
              <w:rPr>
                <w:color w:val="231F20"/>
                <w:sz w:val="24"/>
              </w:rPr>
              <w:t>Net</w:t>
            </w:r>
            <w:r>
              <w:rPr>
                <w:color w:val="231F20"/>
                <w:spacing w:val="-4"/>
                <w:sz w:val="24"/>
              </w:rPr>
              <w:t xml:space="preserve"> </w:t>
            </w:r>
            <w:r>
              <w:rPr>
                <w:color w:val="231F20"/>
                <w:sz w:val="24"/>
              </w:rPr>
              <w:t>result for</w:t>
            </w:r>
            <w:r>
              <w:rPr>
                <w:color w:val="231F20"/>
                <w:spacing w:val="-1"/>
                <w:sz w:val="24"/>
              </w:rPr>
              <w:t xml:space="preserve"> </w:t>
            </w:r>
            <w:r>
              <w:rPr>
                <w:color w:val="231F20"/>
                <w:sz w:val="24"/>
              </w:rPr>
              <w:t xml:space="preserve">the </w:t>
            </w:r>
            <w:r>
              <w:rPr>
                <w:color w:val="231F20"/>
                <w:spacing w:val="-4"/>
                <w:sz w:val="24"/>
              </w:rPr>
              <w:t>year</w:t>
            </w:r>
          </w:p>
        </w:tc>
        <w:tc>
          <w:tcPr>
            <w:tcW w:w="737" w:type="dxa"/>
          </w:tcPr>
          <w:p w14:paraId="3434BE47" w14:textId="77777777" w:rsidR="00345EE3" w:rsidRDefault="00345EE3" w:rsidP="00D73130">
            <w:pPr>
              <w:pStyle w:val="TableParagraph"/>
              <w:spacing w:before="0"/>
              <w:jc w:val="left"/>
              <w:rPr>
                <w:rFonts w:ascii="Times New Roman"/>
              </w:rPr>
            </w:pPr>
          </w:p>
        </w:tc>
        <w:tc>
          <w:tcPr>
            <w:tcW w:w="1417" w:type="dxa"/>
          </w:tcPr>
          <w:p w14:paraId="667467FB" w14:textId="77777777" w:rsidR="00345EE3" w:rsidRDefault="00345EE3" w:rsidP="00D73130">
            <w:pPr>
              <w:pStyle w:val="TableParagraph"/>
              <w:ind w:right="51"/>
              <w:rPr>
                <w:sz w:val="24"/>
              </w:rPr>
            </w:pPr>
            <w:r>
              <w:rPr>
                <w:color w:val="231F20"/>
                <w:sz w:val="24"/>
              </w:rPr>
              <w:t>-</w:t>
            </w:r>
          </w:p>
        </w:tc>
        <w:tc>
          <w:tcPr>
            <w:tcW w:w="1134" w:type="dxa"/>
          </w:tcPr>
          <w:p w14:paraId="1AC5FF3F" w14:textId="77777777" w:rsidR="00345EE3" w:rsidRDefault="00345EE3" w:rsidP="00D73130">
            <w:pPr>
              <w:pStyle w:val="TableParagraph"/>
              <w:ind w:right="51"/>
              <w:rPr>
                <w:sz w:val="24"/>
              </w:rPr>
            </w:pPr>
            <w:r>
              <w:rPr>
                <w:color w:val="231F20"/>
                <w:sz w:val="24"/>
              </w:rPr>
              <w:t>-</w:t>
            </w:r>
          </w:p>
        </w:tc>
        <w:tc>
          <w:tcPr>
            <w:tcW w:w="1588" w:type="dxa"/>
          </w:tcPr>
          <w:p w14:paraId="38DDDF6A" w14:textId="77777777" w:rsidR="00345EE3" w:rsidRDefault="00345EE3" w:rsidP="00D73130">
            <w:pPr>
              <w:pStyle w:val="TableParagraph"/>
              <w:ind w:right="54"/>
              <w:rPr>
                <w:sz w:val="24"/>
              </w:rPr>
            </w:pPr>
            <w:r>
              <w:rPr>
                <w:color w:val="231F20"/>
                <w:spacing w:val="-2"/>
                <w:sz w:val="24"/>
              </w:rPr>
              <w:t>24,993</w:t>
            </w:r>
          </w:p>
        </w:tc>
        <w:tc>
          <w:tcPr>
            <w:tcW w:w="1475" w:type="dxa"/>
          </w:tcPr>
          <w:p w14:paraId="32D0C2F2" w14:textId="77777777" w:rsidR="00345EE3" w:rsidRDefault="00345EE3" w:rsidP="00D73130">
            <w:pPr>
              <w:pStyle w:val="TableParagraph"/>
              <w:ind w:right="53"/>
              <w:rPr>
                <w:sz w:val="24"/>
              </w:rPr>
            </w:pPr>
            <w:r>
              <w:rPr>
                <w:color w:val="231F20"/>
                <w:sz w:val="24"/>
              </w:rPr>
              <w:t>-</w:t>
            </w:r>
          </w:p>
        </w:tc>
        <w:tc>
          <w:tcPr>
            <w:tcW w:w="1135" w:type="dxa"/>
            <w:tcBorders>
              <w:right w:val="nil"/>
            </w:tcBorders>
          </w:tcPr>
          <w:p w14:paraId="0DD384CD" w14:textId="77777777" w:rsidR="00345EE3" w:rsidRDefault="00345EE3" w:rsidP="00D73130">
            <w:pPr>
              <w:pStyle w:val="TableParagraph"/>
              <w:ind w:right="57"/>
              <w:rPr>
                <w:sz w:val="24"/>
              </w:rPr>
            </w:pPr>
            <w:r>
              <w:rPr>
                <w:color w:val="231F20"/>
                <w:spacing w:val="-2"/>
                <w:sz w:val="24"/>
              </w:rPr>
              <w:t>24,993</w:t>
            </w:r>
          </w:p>
        </w:tc>
      </w:tr>
      <w:tr w:rsidR="00345EE3" w14:paraId="72A841D6" w14:textId="77777777" w:rsidTr="00D73130">
        <w:trPr>
          <w:trHeight w:val="956"/>
        </w:trPr>
        <w:tc>
          <w:tcPr>
            <w:tcW w:w="2721" w:type="dxa"/>
            <w:tcBorders>
              <w:left w:val="nil"/>
            </w:tcBorders>
          </w:tcPr>
          <w:p w14:paraId="6A688A12" w14:textId="77777777" w:rsidR="00345EE3" w:rsidRDefault="00345EE3" w:rsidP="00D73130">
            <w:pPr>
              <w:pStyle w:val="TableParagraph"/>
              <w:spacing w:line="242" w:lineRule="auto"/>
              <w:ind w:left="167" w:right="386"/>
              <w:jc w:val="both"/>
              <w:rPr>
                <w:sz w:val="24"/>
              </w:rPr>
            </w:pPr>
            <w:r>
              <w:rPr>
                <w:color w:val="231F20"/>
                <w:sz w:val="24"/>
              </w:rPr>
              <w:t xml:space="preserve">Capital contribution from/(to) other state </w:t>
            </w:r>
            <w:r>
              <w:rPr>
                <w:color w:val="231F20"/>
                <w:spacing w:val="-2"/>
                <w:sz w:val="24"/>
              </w:rPr>
              <w:t>departments/entities</w:t>
            </w:r>
          </w:p>
        </w:tc>
        <w:tc>
          <w:tcPr>
            <w:tcW w:w="737" w:type="dxa"/>
          </w:tcPr>
          <w:p w14:paraId="4785B712" w14:textId="77777777" w:rsidR="00345EE3" w:rsidRDefault="00345EE3" w:rsidP="00D73130">
            <w:pPr>
              <w:pStyle w:val="TableParagraph"/>
              <w:spacing w:before="0"/>
              <w:jc w:val="left"/>
              <w:rPr>
                <w:rFonts w:ascii="Times New Roman"/>
              </w:rPr>
            </w:pPr>
          </w:p>
        </w:tc>
        <w:tc>
          <w:tcPr>
            <w:tcW w:w="1417" w:type="dxa"/>
          </w:tcPr>
          <w:p w14:paraId="6FCD01E8" w14:textId="77777777" w:rsidR="00345EE3" w:rsidRDefault="00345EE3" w:rsidP="00D73130">
            <w:pPr>
              <w:pStyle w:val="TableParagraph"/>
              <w:spacing w:before="61"/>
              <w:ind w:right="51"/>
              <w:rPr>
                <w:sz w:val="24"/>
              </w:rPr>
            </w:pPr>
            <w:r>
              <w:rPr>
                <w:color w:val="231F20"/>
                <w:sz w:val="24"/>
              </w:rPr>
              <w:t>-</w:t>
            </w:r>
          </w:p>
        </w:tc>
        <w:tc>
          <w:tcPr>
            <w:tcW w:w="1134" w:type="dxa"/>
          </w:tcPr>
          <w:p w14:paraId="26CF0F5A" w14:textId="77777777" w:rsidR="00345EE3" w:rsidRDefault="00345EE3" w:rsidP="00D73130">
            <w:pPr>
              <w:pStyle w:val="TableParagraph"/>
              <w:spacing w:before="61"/>
              <w:ind w:right="51"/>
              <w:rPr>
                <w:sz w:val="24"/>
              </w:rPr>
            </w:pPr>
            <w:r>
              <w:rPr>
                <w:color w:val="231F20"/>
                <w:sz w:val="24"/>
              </w:rPr>
              <w:t>-</w:t>
            </w:r>
          </w:p>
        </w:tc>
        <w:tc>
          <w:tcPr>
            <w:tcW w:w="1588" w:type="dxa"/>
          </w:tcPr>
          <w:p w14:paraId="708CC316" w14:textId="77777777" w:rsidR="00345EE3" w:rsidRDefault="00345EE3" w:rsidP="00D73130">
            <w:pPr>
              <w:pStyle w:val="TableParagraph"/>
              <w:spacing w:before="61"/>
              <w:ind w:right="52"/>
              <w:rPr>
                <w:sz w:val="24"/>
              </w:rPr>
            </w:pPr>
            <w:r>
              <w:rPr>
                <w:color w:val="231F20"/>
                <w:sz w:val="24"/>
              </w:rPr>
              <w:t>-</w:t>
            </w:r>
          </w:p>
        </w:tc>
        <w:tc>
          <w:tcPr>
            <w:tcW w:w="1475" w:type="dxa"/>
          </w:tcPr>
          <w:p w14:paraId="63252990" w14:textId="77777777" w:rsidR="00345EE3" w:rsidRDefault="00345EE3" w:rsidP="00D73130">
            <w:pPr>
              <w:pStyle w:val="TableParagraph"/>
              <w:spacing w:before="61"/>
              <w:ind w:right="53"/>
              <w:rPr>
                <w:sz w:val="24"/>
              </w:rPr>
            </w:pPr>
            <w:r>
              <w:rPr>
                <w:color w:val="231F20"/>
                <w:sz w:val="24"/>
              </w:rPr>
              <w:t>-</w:t>
            </w:r>
          </w:p>
        </w:tc>
        <w:tc>
          <w:tcPr>
            <w:tcW w:w="1135" w:type="dxa"/>
            <w:tcBorders>
              <w:right w:val="nil"/>
            </w:tcBorders>
          </w:tcPr>
          <w:p w14:paraId="23B85BD8" w14:textId="77777777" w:rsidR="00345EE3" w:rsidRDefault="00345EE3" w:rsidP="00D73130">
            <w:pPr>
              <w:pStyle w:val="TableParagraph"/>
              <w:spacing w:before="61"/>
              <w:ind w:right="54"/>
              <w:rPr>
                <w:sz w:val="24"/>
              </w:rPr>
            </w:pPr>
            <w:r>
              <w:rPr>
                <w:color w:val="231F20"/>
                <w:sz w:val="24"/>
              </w:rPr>
              <w:t>-</w:t>
            </w:r>
          </w:p>
        </w:tc>
      </w:tr>
      <w:tr w:rsidR="00345EE3" w14:paraId="46A831AC" w14:textId="77777777" w:rsidTr="00D73130">
        <w:trPr>
          <w:trHeight w:val="956"/>
        </w:trPr>
        <w:tc>
          <w:tcPr>
            <w:tcW w:w="2721" w:type="dxa"/>
            <w:tcBorders>
              <w:left w:val="nil"/>
            </w:tcBorders>
          </w:tcPr>
          <w:p w14:paraId="3BF29CD0" w14:textId="77777777" w:rsidR="00345EE3" w:rsidRDefault="00345EE3" w:rsidP="00D73130">
            <w:pPr>
              <w:pStyle w:val="TableParagraph"/>
              <w:spacing w:before="61" w:line="242" w:lineRule="auto"/>
              <w:ind w:left="167"/>
              <w:jc w:val="left"/>
              <w:rPr>
                <w:sz w:val="24"/>
              </w:rPr>
            </w:pPr>
            <w:r>
              <w:rPr>
                <w:color w:val="231F20"/>
                <w:sz w:val="24"/>
              </w:rPr>
              <w:t>Capital contribution by Victorian Government as</w:t>
            </w:r>
            <w:r>
              <w:rPr>
                <w:color w:val="231F20"/>
                <w:spacing w:val="-10"/>
                <w:sz w:val="24"/>
              </w:rPr>
              <w:t xml:space="preserve"> </w:t>
            </w:r>
            <w:r>
              <w:rPr>
                <w:color w:val="231F20"/>
                <w:sz w:val="24"/>
              </w:rPr>
              <w:t>part</w:t>
            </w:r>
            <w:r>
              <w:rPr>
                <w:color w:val="231F20"/>
                <w:spacing w:val="-10"/>
                <w:sz w:val="24"/>
              </w:rPr>
              <w:t xml:space="preserve"> </w:t>
            </w:r>
            <w:r>
              <w:rPr>
                <w:color w:val="231F20"/>
                <w:sz w:val="24"/>
              </w:rPr>
              <w:t>of</w:t>
            </w:r>
            <w:r>
              <w:rPr>
                <w:color w:val="231F20"/>
                <w:spacing w:val="-10"/>
                <w:sz w:val="24"/>
              </w:rPr>
              <w:t xml:space="preserve"> </w:t>
            </w:r>
            <w:r>
              <w:rPr>
                <w:color w:val="231F20"/>
                <w:sz w:val="24"/>
              </w:rPr>
              <w:t>annual</w:t>
            </w:r>
            <w:r>
              <w:rPr>
                <w:color w:val="231F20"/>
                <w:spacing w:val="-10"/>
                <w:sz w:val="24"/>
              </w:rPr>
              <w:t xml:space="preserve"> </w:t>
            </w:r>
            <w:r>
              <w:rPr>
                <w:color w:val="231F20"/>
                <w:sz w:val="24"/>
              </w:rPr>
              <w:t>grants</w:t>
            </w:r>
          </w:p>
        </w:tc>
        <w:tc>
          <w:tcPr>
            <w:tcW w:w="737" w:type="dxa"/>
          </w:tcPr>
          <w:p w14:paraId="6576AAF5" w14:textId="77777777" w:rsidR="00345EE3" w:rsidRDefault="00345EE3" w:rsidP="00D73130">
            <w:pPr>
              <w:pStyle w:val="TableParagraph"/>
              <w:spacing w:before="0"/>
              <w:jc w:val="left"/>
              <w:rPr>
                <w:rFonts w:ascii="Times New Roman"/>
              </w:rPr>
            </w:pPr>
          </w:p>
        </w:tc>
        <w:tc>
          <w:tcPr>
            <w:tcW w:w="1417" w:type="dxa"/>
          </w:tcPr>
          <w:p w14:paraId="14895937" w14:textId="77777777" w:rsidR="00345EE3" w:rsidRDefault="00345EE3" w:rsidP="00D73130">
            <w:pPr>
              <w:pStyle w:val="TableParagraph"/>
              <w:spacing w:before="61"/>
              <w:ind w:right="51"/>
              <w:rPr>
                <w:sz w:val="24"/>
              </w:rPr>
            </w:pPr>
            <w:r>
              <w:rPr>
                <w:color w:val="231F20"/>
                <w:sz w:val="24"/>
              </w:rPr>
              <w:t>-</w:t>
            </w:r>
          </w:p>
        </w:tc>
        <w:tc>
          <w:tcPr>
            <w:tcW w:w="1134" w:type="dxa"/>
          </w:tcPr>
          <w:p w14:paraId="74304F25" w14:textId="77777777" w:rsidR="00345EE3" w:rsidRDefault="00345EE3" w:rsidP="00D73130">
            <w:pPr>
              <w:pStyle w:val="TableParagraph"/>
              <w:spacing w:before="61"/>
              <w:ind w:right="51"/>
              <w:rPr>
                <w:sz w:val="24"/>
              </w:rPr>
            </w:pPr>
            <w:r>
              <w:rPr>
                <w:color w:val="231F20"/>
                <w:sz w:val="24"/>
              </w:rPr>
              <w:t>-</w:t>
            </w:r>
          </w:p>
        </w:tc>
        <w:tc>
          <w:tcPr>
            <w:tcW w:w="1588" w:type="dxa"/>
          </w:tcPr>
          <w:p w14:paraId="7C59392C" w14:textId="77777777" w:rsidR="00345EE3" w:rsidRDefault="00345EE3" w:rsidP="00D73130">
            <w:pPr>
              <w:pStyle w:val="TableParagraph"/>
              <w:spacing w:before="61"/>
              <w:ind w:right="52"/>
              <w:rPr>
                <w:sz w:val="24"/>
              </w:rPr>
            </w:pPr>
            <w:r>
              <w:rPr>
                <w:color w:val="231F20"/>
                <w:sz w:val="24"/>
              </w:rPr>
              <w:t>-</w:t>
            </w:r>
          </w:p>
        </w:tc>
        <w:tc>
          <w:tcPr>
            <w:tcW w:w="1475" w:type="dxa"/>
          </w:tcPr>
          <w:p w14:paraId="05F33B35" w14:textId="77777777" w:rsidR="00345EE3" w:rsidRDefault="00345EE3" w:rsidP="00D73130">
            <w:pPr>
              <w:pStyle w:val="TableParagraph"/>
              <w:spacing w:before="61"/>
              <w:ind w:right="56"/>
              <w:rPr>
                <w:sz w:val="24"/>
              </w:rPr>
            </w:pPr>
            <w:r>
              <w:rPr>
                <w:color w:val="231F20"/>
                <w:spacing w:val="-2"/>
                <w:sz w:val="24"/>
              </w:rPr>
              <w:t>64,124</w:t>
            </w:r>
          </w:p>
        </w:tc>
        <w:tc>
          <w:tcPr>
            <w:tcW w:w="1135" w:type="dxa"/>
            <w:tcBorders>
              <w:right w:val="nil"/>
            </w:tcBorders>
          </w:tcPr>
          <w:p w14:paraId="5F331B39" w14:textId="77777777" w:rsidR="00345EE3" w:rsidRDefault="00345EE3" w:rsidP="00D73130">
            <w:pPr>
              <w:pStyle w:val="TableParagraph"/>
              <w:spacing w:before="61"/>
              <w:ind w:right="57"/>
              <w:rPr>
                <w:sz w:val="24"/>
              </w:rPr>
            </w:pPr>
            <w:r>
              <w:rPr>
                <w:color w:val="231F20"/>
                <w:spacing w:val="-2"/>
                <w:sz w:val="24"/>
              </w:rPr>
              <w:t>64,124</w:t>
            </w:r>
          </w:p>
        </w:tc>
      </w:tr>
      <w:tr w:rsidR="00345EE3" w14:paraId="47EADE86" w14:textId="77777777" w:rsidTr="00D73130">
        <w:trPr>
          <w:trHeight w:val="396"/>
        </w:trPr>
        <w:tc>
          <w:tcPr>
            <w:tcW w:w="2721" w:type="dxa"/>
            <w:tcBorders>
              <w:left w:val="nil"/>
            </w:tcBorders>
          </w:tcPr>
          <w:p w14:paraId="3D8676C4" w14:textId="77777777" w:rsidR="00345EE3" w:rsidRDefault="00345EE3" w:rsidP="00D73130">
            <w:pPr>
              <w:pStyle w:val="TableParagraph"/>
              <w:spacing w:before="61"/>
              <w:ind w:left="167"/>
              <w:jc w:val="left"/>
              <w:rPr>
                <w:sz w:val="24"/>
              </w:rPr>
            </w:pPr>
            <w:r>
              <w:rPr>
                <w:color w:val="231F20"/>
                <w:sz w:val="24"/>
              </w:rPr>
              <w:t>Cost</w:t>
            </w:r>
            <w:r>
              <w:rPr>
                <w:color w:val="231F20"/>
                <w:spacing w:val="-3"/>
                <w:sz w:val="24"/>
              </w:rPr>
              <w:t xml:space="preserve"> </w:t>
            </w:r>
            <w:r>
              <w:rPr>
                <w:color w:val="231F20"/>
                <w:sz w:val="24"/>
              </w:rPr>
              <w:t>of</w:t>
            </w:r>
            <w:r>
              <w:rPr>
                <w:color w:val="231F20"/>
                <w:spacing w:val="-3"/>
                <w:sz w:val="24"/>
              </w:rPr>
              <w:t xml:space="preserve"> </w:t>
            </w:r>
            <w:r>
              <w:rPr>
                <w:color w:val="231F20"/>
                <w:spacing w:val="-2"/>
                <w:sz w:val="24"/>
              </w:rPr>
              <w:t>hedging</w:t>
            </w:r>
          </w:p>
        </w:tc>
        <w:tc>
          <w:tcPr>
            <w:tcW w:w="737" w:type="dxa"/>
          </w:tcPr>
          <w:p w14:paraId="6A870A87" w14:textId="77777777" w:rsidR="00345EE3" w:rsidRDefault="00345EE3" w:rsidP="00D73130">
            <w:pPr>
              <w:pStyle w:val="TableParagraph"/>
              <w:spacing w:before="0"/>
              <w:jc w:val="left"/>
              <w:rPr>
                <w:rFonts w:ascii="Times New Roman"/>
              </w:rPr>
            </w:pPr>
          </w:p>
        </w:tc>
        <w:tc>
          <w:tcPr>
            <w:tcW w:w="1417" w:type="dxa"/>
          </w:tcPr>
          <w:p w14:paraId="59ABC844" w14:textId="77777777" w:rsidR="00345EE3" w:rsidRDefault="00345EE3" w:rsidP="00D73130">
            <w:pPr>
              <w:pStyle w:val="TableParagraph"/>
              <w:spacing w:before="61"/>
              <w:ind w:right="51"/>
              <w:rPr>
                <w:sz w:val="24"/>
              </w:rPr>
            </w:pPr>
            <w:r>
              <w:rPr>
                <w:color w:val="231F20"/>
                <w:sz w:val="24"/>
              </w:rPr>
              <w:t>-</w:t>
            </w:r>
          </w:p>
        </w:tc>
        <w:tc>
          <w:tcPr>
            <w:tcW w:w="1134" w:type="dxa"/>
          </w:tcPr>
          <w:p w14:paraId="2E2EAFC5" w14:textId="77777777" w:rsidR="00345EE3" w:rsidRDefault="00345EE3" w:rsidP="00D73130">
            <w:pPr>
              <w:pStyle w:val="TableParagraph"/>
              <w:spacing w:before="61"/>
              <w:ind w:right="54"/>
              <w:rPr>
                <w:sz w:val="24"/>
              </w:rPr>
            </w:pPr>
            <w:r>
              <w:rPr>
                <w:color w:val="231F20"/>
                <w:spacing w:val="-2"/>
                <w:sz w:val="24"/>
              </w:rPr>
              <w:t>(1,256)</w:t>
            </w:r>
          </w:p>
        </w:tc>
        <w:tc>
          <w:tcPr>
            <w:tcW w:w="1588" w:type="dxa"/>
          </w:tcPr>
          <w:p w14:paraId="5019F4F4" w14:textId="77777777" w:rsidR="00345EE3" w:rsidRDefault="00345EE3" w:rsidP="00D73130">
            <w:pPr>
              <w:pStyle w:val="TableParagraph"/>
              <w:spacing w:before="61"/>
              <w:ind w:right="52"/>
              <w:rPr>
                <w:sz w:val="24"/>
              </w:rPr>
            </w:pPr>
            <w:r>
              <w:rPr>
                <w:color w:val="231F20"/>
                <w:sz w:val="24"/>
              </w:rPr>
              <w:t>-</w:t>
            </w:r>
          </w:p>
        </w:tc>
        <w:tc>
          <w:tcPr>
            <w:tcW w:w="1475" w:type="dxa"/>
          </w:tcPr>
          <w:p w14:paraId="0ED70D0F" w14:textId="77777777" w:rsidR="00345EE3" w:rsidRDefault="00345EE3" w:rsidP="00D73130">
            <w:pPr>
              <w:pStyle w:val="TableParagraph"/>
              <w:spacing w:before="61"/>
              <w:ind w:right="53"/>
              <w:rPr>
                <w:sz w:val="24"/>
              </w:rPr>
            </w:pPr>
            <w:r>
              <w:rPr>
                <w:color w:val="231F20"/>
                <w:sz w:val="24"/>
              </w:rPr>
              <w:t>-</w:t>
            </w:r>
          </w:p>
        </w:tc>
        <w:tc>
          <w:tcPr>
            <w:tcW w:w="1135" w:type="dxa"/>
            <w:tcBorders>
              <w:right w:val="nil"/>
            </w:tcBorders>
          </w:tcPr>
          <w:p w14:paraId="6B1CB8CF" w14:textId="77777777" w:rsidR="00345EE3" w:rsidRDefault="00345EE3" w:rsidP="00D73130">
            <w:pPr>
              <w:pStyle w:val="TableParagraph"/>
              <w:spacing w:before="61"/>
              <w:ind w:right="56"/>
              <w:rPr>
                <w:sz w:val="24"/>
              </w:rPr>
            </w:pPr>
            <w:r>
              <w:rPr>
                <w:color w:val="231F20"/>
                <w:spacing w:val="-2"/>
                <w:sz w:val="24"/>
              </w:rPr>
              <w:t>(1,256)</w:t>
            </w:r>
          </w:p>
        </w:tc>
      </w:tr>
      <w:tr w:rsidR="00345EE3" w14:paraId="48EEBB04" w14:textId="77777777" w:rsidTr="00D73130">
        <w:trPr>
          <w:trHeight w:val="1236"/>
        </w:trPr>
        <w:tc>
          <w:tcPr>
            <w:tcW w:w="2721" w:type="dxa"/>
            <w:tcBorders>
              <w:left w:val="nil"/>
            </w:tcBorders>
          </w:tcPr>
          <w:p w14:paraId="1867A84D" w14:textId="77777777" w:rsidR="00345EE3" w:rsidRDefault="00345EE3" w:rsidP="00D73130">
            <w:pPr>
              <w:pStyle w:val="TableParagraph"/>
              <w:spacing w:before="61" w:line="242" w:lineRule="auto"/>
              <w:ind w:left="167"/>
              <w:jc w:val="left"/>
              <w:rPr>
                <w:sz w:val="24"/>
              </w:rPr>
            </w:pPr>
            <w:r>
              <w:rPr>
                <w:color w:val="231F20"/>
                <w:sz w:val="24"/>
              </w:rPr>
              <w:t>Fair value gain/(loss) arising</w:t>
            </w:r>
            <w:r>
              <w:rPr>
                <w:color w:val="231F20"/>
                <w:spacing w:val="-13"/>
                <w:sz w:val="24"/>
              </w:rPr>
              <w:t xml:space="preserve"> </w:t>
            </w:r>
            <w:r>
              <w:rPr>
                <w:color w:val="231F20"/>
                <w:sz w:val="24"/>
              </w:rPr>
              <w:t>from</w:t>
            </w:r>
            <w:r>
              <w:rPr>
                <w:color w:val="231F20"/>
                <w:spacing w:val="-12"/>
                <w:sz w:val="24"/>
              </w:rPr>
              <w:t xml:space="preserve"> </w:t>
            </w:r>
            <w:r>
              <w:rPr>
                <w:color w:val="231F20"/>
                <w:sz w:val="24"/>
              </w:rPr>
              <w:t>cash</w:t>
            </w:r>
            <w:r>
              <w:rPr>
                <w:color w:val="231F20"/>
                <w:spacing w:val="-12"/>
                <w:sz w:val="24"/>
              </w:rPr>
              <w:t xml:space="preserve"> </w:t>
            </w:r>
            <w:r>
              <w:rPr>
                <w:color w:val="231F20"/>
                <w:sz w:val="24"/>
              </w:rPr>
              <w:t>flow hedging instruments during the year</w:t>
            </w:r>
          </w:p>
        </w:tc>
        <w:tc>
          <w:tcPr>
            <w:tcW w:w="737" w:type="dxa"/>
          </w:tcPr>
          <w:p w14:paraId="5BB061D8" w14:textId="77777777" w:rsidR="00345EE3" w:rsidRDefault="00345EE3" w:rsidP="00D73130">
            <w:pPr>
              <w:pStyle w:val="TableParagraph"/>
              <w:spacing w:before="0"/>
              <w:jc w:val="left"/>
              <w:rPr>
                <w:rFonts w:ascii="Times New Roman"/>
              </w:rPr>
            </w:pPr>
          </w:p>
        </w:tc>
        <w:tc>
          <w:tcPr>
            <w:tcW w:w="1417" w:type="dxa"/>
          </w:tcPr>
          <w:p w14:paraId="18A68D70" w14:textId="77777777" w:rsidR="00345EE3" w:rsidRDefault="00345EE3" w:rsidP="00D73130">
            <w:pPr>
              <w:pStyle w:val="TableParagraph"/>
              <w:spacing w:before="61"/>
              <w:ind w:right="51"/>
              <w:rPr>
                <w:sz w:val="24"/>
              </w:rPr>
            </w:pPr>
            <w:r>
              <w:rPr>
                <w:color w:val="231F20"/>
                <w:sz w:val="24"/>
              </w:rPr>
              <w:t>-</w:t>
            </w:r>
          </w:p>
        </w:tc>
        <w:tc>
          <w:tcPr>
            <w:tcW w:w="1134" w:type="dxa"/>
          </w:tcPr>
          <w:p w14:paraId="488CBFBA" w14:textId="77777777" w:rsidR="00345EE3" w:rsidRDefault="00345EE3" w:rsidP="00D73130">
            <w:pPr>
              <w:pStyle w:val="TableParagraph"/>
              <w:spacing w:before="61"/>
              <w:ind w:right="54"/>
              <w:rPr>
                <w:sz w:val="24"/>
              </w:rPr>
            </w:pPr>
            <w:r>
              <w:rPr>
                <w:color w:val="231F20"/>
                <w:spacing w:val="-2"/>
                <w:sz w:val="24"/>
              </w:rPr>
              <w:t>(6,331)</w:t>
            </w:r>
          </w:p>
        </w:tc>
        <w:tc>
          <w:tcPr>
            <w:tcW w:w="1588" w:type="dxa"/>
          </w:tcPr>
          <w:p w14:paraId="5AA42BB2" w14:textId="77777777" w:rsidR="00345EE3" w:rsidRDefault="00345EE3" w:rsidP="00D73130">
            <w:pPr>
              <w:pStyle w:val="TableParagraph"/>
              <w:spacing w:before="61"/>
              <w:ind w:right="52"/>
              <w:rPr>
                <w:sz w:val="24"/>
              </w:rPr>
            </w:pPr>
            <w:r>
              <w:rPr>
                <w:color w:val="231F20"/>
                <w:sz w:val="24"/>
              </w:rPr>
              <w:t>-</w:t>
            </w:r>
          </w:p>
        </w:tc>
        <w:tc>
          <w:tcPr>
            <w:tcW w:w="1475" w:type="dxa"/>
          </w:tcPr>
          <w:p w14:paraId="672D1F6F" w14:textId="77777777" w:rsidR="00345EE3" w:rsidRDefault="00345EE3" w:rsidP="00D73130">
            <w:pPr>
              <w:pStyle w:val="TableParagraph"/>
              <w:spacing w:before="61"/>
              <w:ind w:right="53"/>
              <w:rPr>
                <w:sz w:val="24"/>
              </w:rPr>
            </w:pPr>
            <w:r>
              <w:rPr>
                <w:color w:val="231F20"/>
                <w:sz w:val="24"/>
              </w:rPr>
              <w:t>-</w:t>
            </w:r>
          </w:p>
        </w:tc>
        <w:tc>
          <w:tcPr>
            <w:tcW w:w="1135" w:type="dxa"/>
            <w:tcBorders>
              <w:right w:val="nil"/>
            </w:tcBorders>
          </w:tcPr>
          <w:p w14:paraId="491BC203" w14:textId="77777777" w:rsidR="00345EE3" w:rsidRDefault="00345EE3" w:rsidP="00D73130">
            <w:pPr>
              <w:pStyle w:val="TableParagraph"/>
              <w:spacing w:before="61"/>
              <w:ind w:right="56"/>
              <w:rPr>
                <w:sz w:val="24"/>
              </w:rPr>
            </w:pPr>
            <w:r>
              <w:rPr>
                <w:color w:val="231F20"/>
                <w:spacing w:val="-2"/>
                <w:sz w:val="24"/>
              </w:rPr>
              <w:t>(6,331)</w:t>
            </w:r>
          </w:p>
        </w:tc>
      </w:tr>
      <w:tr w:rsidR="00345EE3" w14:paraId="23BACD9F" w14:textId="77777777" w:rsidTr="00D73130">
        <w:trPr>
          <w:trHeight w:val="673"/>
        </w:trPr>
        <w:tc>
          <w:tcPr>
            <w:tcW w:w="2721" w:type="dxa"/>
            <w:tcBorders>
              <w:left w:val="nil"/>
              <w:bottom w:val="single" w:sz="4" w:space="0" w:color="231F20"/>
            </w:tcBorders>
          </w:tcPr>
          <w:p w14:paraId="09895EB3" w14:textId="77777777" w:rsidR="00345EE3" w:rsidRDefault="00345EE3" w:rsidP="00D73130">
            <w:pPr>
              <w:pStyle w:val="TableParagraph"/>
              <w:spacing w:before="61" w:line="242" w:lineRule="auto"/>
              <w:ind w:left="167"/>
              <w:jc w:val="left"/>
              <w:rPr>
                <w:sz w:val="24"/>
              </w:rPr>
            </w:pPr>
            <w:r>
              <w:rPr>
                <w:color w:val="231F20"/>
                <w:sz w:val="24"/>
              </w:rPr>
              <w:t>Revaluation</w:t>
            </w:r>
            <w:r>
              <w:rPr>
                <w:color w:val="231F20"/>
                <w:spacing w:val="-17"/>
                <w:sz w:val="24"/>
              </w:rPr>
              <w:t xml:space="preserve"> </w:t>
            </w:r>
            <w:r>
              <w:rPr>
                <w:color w:val="231F20"/>
                <w:sz w:val="24"/>
              </w:rPr>
              <w:t xml:space="preserve">surplus </w:t>
            </w:r>
            <w:r>
              <w:rPr>
                <w:color w:val="231F20"/>
                <w:spacing w:val="-2"/>
                <w:sz w:val="24"/>
              </w:rPr>
              <w:t>adjustment</w:t>
            </w:r>
          </w:p>
        </w:tc>
        <w:tc>
          <w:tcPr>
            <w:tcW w:w="737" w:type="dxa"/>
            <w:tcBorders>
              <w:bottom w:val="single" w:sz="4" w:space="0" w:color="231F20"/>
            </w:tcBorders>
          </w:tcPr>
          <w:p w14:paraId="7602AF1F" w14:textId="77777777" w:rsidR="00345EE3" w:rsidRDefault="00345EE3" w:rsidP="00D73130">
            <w:pPr>
              <w:pStyle w:val="TableParagraph"/>
              <w:spacing w:before="61"/>
              <w:ind w:right="54"/>
              <w:rPr>
                <w:sz w:val="24"/>
              </w:rPr>
            </w:pPr>
            <w:r>
              <w:rPr>
                <w:color w:val="231F20"/>
                <w:spacing w:val="-5"/>
                <w:sz w:val="24"/>
              </w:rPr>
              <w:t>5.3</w:t>
            </w:r>
          </w:p>
        </w:tc>
        <w:tc>
          <w:tcPr>
            <w:tcW w:w="1417" w:type="dxa"/>
            <w:tcBorders>
              <w:bottom w:val="single" w:sz="4" w:space="0" w:color="231F20"/>
            </w:tcBorders>
          </w:tcPr>
          <w:p w14:paraId="60053E02" w14:textId="77777777" w:rsidR="00345EE3" w:rsidRDefault="00345EE3" w:rsidP="00D73130">
            <w:pPr>
              <w:pStyle w:val="TableParagraph"/>
              <w:spacing w:before="61"/>
              <w:ind w:right="54"/>
              <w:rPr>
                <w:sz w:val="24"/>
              </w:rPr>
            </w:pPr>
            <w:r>
              <w:rPr>
                <w:color w:val="231F20"/>
                <w:spacing w:val="-2"/>
                <w:sz w:val="24"/>
              </w:rPr>
              <w:t>11,318</w:t>
            </w:r>
          </w:p>
        </w:tc>
        <w:tc>
          <w:tcPr>
            <w:tcW w:w="1134" w:type="dxa"/>
            <w:tcBorders>
              <w:bottom w:val="single" w:sz="4" w:space="0" w:color="231F20"/>
            </w:tcBorders>
          </w:tcPr>
          <w:p w14:paraId="4428B568" w14:textId="77777777" w:rsidR="00345EE3" w:rsidRDefault="00345EE3" w:rsidP="00D73130">
            <w:pPr>
              <w:pStyle w:val="TableParagraph"/>
              <w:spacing w:before="61"/>
              <w:ind w:right="51"/>
              <w:rPr>
                <w:sz w:val="24"/>
              </w:rPr>
            </w:pPr>
            <w:r>
              <w:rPr>
                <w:color w:val="231F20"/>
                <w:sz w:val="24"/>
              </w:rPr>
              <w:t>-</w:t>
            </w:r>
          </w:p>
        </w:tc>
        <w:tc>
          <w:tcPr>
            <w:tcW w:w="1588" w:type="dxa"/>
            <w:tcBorders>
              <w:bottom w:val="single" w:sz="4" w:space="0" w:color="231F20"/>
            </w:tcBorders>
          </w:tcPr>
          <w:p w14:paraId="68C43916" w14:textId="77777777" w:rsidR="00345EE3" w:rsidRDefault="00345EE3" w:rsidP="00D73130">
            <w:pPr>
              <w:pStyle w:val="TableParagraph"/>
              <w:spacing w:before="61"/>
              <w:ind w:right="52"/>
              <w:rPr>
                <w:sz w:val="24"/>
              </w:rPr>
            </w:pPr>
            <w:r>
              <w:rPr>
                <w:color w:val="231F20"/>
                <w:sz w:val="24"/>
              </w:rPr>
              <w:t>-</w:t>
            </w:r>
          </w:p>
        </w:tc>
        <w:tc>
          <w:tcPr>
            <w:tcW w:w="1475" w:type="dxa"/>
            <w:tcBorders>
              <w:bottom w:val="single" w:sz="4" w:space="0" w:color="231F20"/>
            </w:tcBorders>
          </w:tcPr>
          <w:p w14:paraId="4ACEE6D2" w14:textId="77777777" w:rsidR="00345EE3" w:rsidRDefault="00345EE3" w:rsidP="00D73130">
            <w:pPr>
              <w:pStyle w:val="TableParagraph"/>
              <w:spacing w:before="61"/>
              <w:ind w:right="53"/>
              <w:rPr>
                <w:sz w:val="24"/>
              </w:rPr>
            </w:pPr>
            <w:r>
              <w:rPr>
                <w:color w:val="231F20"/>
                <w:sz w:val="24"/>
              </w:rPr>
              <w:t>-</w:t>
            </w:r>
          </w:p>
        </w:tc>
        <w:tc>
          <w:tcPr>
            <w:tcW w:w="1135" w:type="dxa"/>
            <w:tcBorders>
              <w:bottom w:val="single" w:sz="4" w:space="0" w:color="231F20"/>
              <w:right w:val="nil"/>
            </w:tcBorders>
          </w:tcPr>
          <w:p w14:paraId="7E79DA5B" w14:textId="77777777" w:rsidR="00345EE3" w:rsidRDefault="00345EE3" w:rsidP="00D73130">
            <w:pPr>
              <w:pStyle w:val="TableParagraph"/>
              <w:spacing w:before="61"/>
              <w:ind w:right="57"/>
              <w:rPr>
                <w:sz w:val="24"/>
              </w:rPr>
            </w:pPr>
            <w:r>
              <w:rPr>
                <w:color w:val="231F20"/>
                <w:spacing w:val="-2"/>
                <w:sz w:val="24"/>
              </w:rPr>
              <w:t>11,318</w:t>
            </w:r>
          </w:p>
        </w:tc>
      </w:tr>
      <w:tr w:rsidR="00345EE3" w14:paraId="61D2891B" w14:textId="77777777" w:rsidTr="00D73130">
        <w:trPr>
          <w:trHeight w:val="671"/>
        </w:trPr>
        <w:tc>
          <w:tcPr>
            <w:tcW w:w="2721" w:type="dxa"/>
            <w:tcBorders>
              <w:top w:val="single" w:sz="4" w:space="0" w:color="231F20"/>
              <w:left w:val="nil"/>
              <w:bottom w:val="single" w:sz="4" w:space="0" w:color="231F20"/>
            </w:tcBorders>
          </w:tcPr>
          <w:p w14:paraId="506F0A47" w14:textId="77777777" w:rsidR="00345EE3" w:rsidRDefault="00345EE3" w:rsidP="00D73130">
            <w:pPr>
              <w:pStyle w:val="TableParagraph"/>
              <w:spacing w:before="59" w:line="242" w:lineRule="auto"/>
              <w:ind w:left="-3" w:right="98"/>
              <w:jc w:val="left"/>
              <w:rPr>
                <w:b/>
                <w:sz w:val="24"/>
              </w:rPr>
            </w:pPr>
            <w:r>
              <w:rPr>
                <w:b/>
                <w:color w:val="231F20"/>
                <w:sz w:val="24"/>
              </w:rPr>
              <w:t>Balance</w:t>
            </w:r>
            <w:r>
              <w:rPr>
                <w:b/>
                <w:color w:val="231F20"/>
                <w:spacing w:val="-12"/>
                <w:sz w:val="24"/>
              </w:rPr>
              <w:t xml:space="preserve"> </w:t>
            </w:r>
            <w:r>
              <w:rPr>
                <w:b/>
                <w:color w:val="231F20"/>
                <w:sz w:val="24"/>
              </w:rPr>
              <w:t>at</w:t>
            </w:r>
            <w:r>
              <w:rPr>
                <w:b/>
                <w:color w:val="231F20"/>
                <w:spacing w:val="-12"/>
                <w:sz w:val="24"/>
              </w:rPr>
              <w:t xml:space="preserve"> </w:t>
            </w:r>
            <w:r>
              <w:rPr>
                <w:b/>
                <w:color w:val="231F20"/>
                <w:sz w:val="24"/>
              </w:rPr>
              <w:t>30</w:t>
            </w:r>
            <w:r>
              <w:rPr>
                <w:b/>
                <w:color w:val="231F20"/>
                <w:spacing w:val="-12"/>
                <w:sz w:val="24"/>
              </w:rPr>
              <w:t xml:space="preserve"> </w:t>
            </w:r>
            <w:r>
              <w:rPr>
                <w:b/>
                <w:color w:val="231F20"/>
                <w:sz w:val="24"/>
              </w:rPr>
              <w:t xml:space="preserve">June </w:t>
            </w:r>
            <w:r>
              <w:rPr>
                <w:b/>
                <w:color w:val="231F20"/>
                <w:spacing w:val="-4"/>
                <w:sz w:val="24"/>
              </w:rPr>
              <w:t>2021</w:t>
            </w:r>
          </w:p>
        </w:tc>
        <w:tc>
          <w:tcPr>
            <w:tcW w:w="737" w:type="dxa"/>
            <w:tcBorders>
              <w:top w:val="single" w:sz="4" w:space="0" w:color="231F20"/>
              <w:bottom w:val="single" w:sz="4" w:space="0" w:color="231F20"/>
            </w:tcBorders>
          </w:tcPr>
          <w:p w14:paraId="4EEA2480" w14:textId="77777777" w:rsidR="00345EE3" w:rsidRDefault="00345EE3" w:rsidP="00D73130">
            <w:pPr>
              <w:pStyle w:val="TableParagraph"/>
              <w:spacing w:before="0"/>
              <w:jc w:val="left"/>
              <w:rPr>
                <w:rFonts w:ascii="Times New Roman"/>
              </w:rPr>
            </w:pPr>
          </w:p>
        </w:tc>
        <w:tc>
          <w:tcPr>
            <w:tcW w:w="1417" w:type="dxa"/>
            <w:tcBorders>
              <w:top w:val="single" w:sz="4" w:space="0" w:color="231F20"/>
              <w:bottom w:val="single" w:sz="4" w:space="0" w:color="231F20"/>
            </w:tcBorders>
          </w:tcPr>
          <w:p w14:paraId="0787331F" w14:textId="77777777" w:rsidR="00345EE3" w:rsidRDefault="00345EE3" w:rsidP="00D73130">
            <w:pPr>
              <w:pStyle w:val="TableParagraph"/>
              <w:spacing w:before="59"/>
              <w:ind w:right="51"/>
              <w:rPr>
                <w:b/>
                <w:sz w:val="24"/>
              </w:rPr>
            </w:pPr>
            <w:r>
              <w:rPr>
                <w:b/>
                <w:color w:val="231F20"/>
                <w:spacing w:val="-2"/>
                <w:sz w:val="24"/>
              </w:rPr>
              <w:t>878,192</w:t>
            </w:r>
          </w:p>
        </w:tc>
        <w:tc>
          <w:tcPr>
            <w:tcW w:w="1134" w:type="dxa"/>
            <w:tcBorders>
              <w:top w:val="single" w:sz="4" w:space="0" w:color="231F20"/>
              <w:bottom w:val="single" w:sz="4" w:space="0" w:color="231F20"/>
            </w:tcBorders>
          </w:tcPr>
          <w:p w14:paraId="68C0DFF6" w14:textId="77777777" w:rsidR="00345EE3" w:rsidRDefault="00345EE3" w:rsidP="00D73130">
            <w:pPr>
              <w:pStyle w:val="TableParagraph"/>
              <w:spacing w:before="59"/>
              <w:ind w:right="51"/>
              <w:rPr>
                <w:b/>
                <w:sz w:val="24"/>
              </w:rPr>
            </w:pPr>
            <w:r>
              <w:rPr>
                <w:b/>
                <w:color w:val="231F20"/>
                <w:spacing w:val="-2"/>
                <w:sz w:val="24"/>
              </w:rPr>
              <w:t>(15,391)</w:t>
            </w:r>
          </w:p>
        </w:tc>
        <w:tc>
          <w:tcPr>
            <w:tcW w:w="1588" w:type="dxa"/>
            <w:tcBorders>
              <w:top w:val="single" w:sz="4" w:space="0" w:color="231F20"/>
              <w:bottom w:val="single" w:sz="4" w:space="0" w:color="231F20"/>
            </w:tcBorders>
          </w:tcPr>
          <w:p w14:paraId="4A5CC6F2" w14:textId="77777777" w:rsidR="00345EE3" w:rsidRDefault="00345EE3" w:rsidP="00D73130">
            <w:pPr>
              <w:pStyle w:val="TableParagraph"/>
              <w:spacing w:before="59"/>
              <w:ind w:right="52"/>
              <w:rPr>
                <w:b/>
                <w:sz w:val="24"/>
              </w:rPr>
            </w:pPr>
            <w:r>
              <w:rPr>
                <w:b/>
                <w:color w:val="231F20"/>
                <w:spacing w:val="-2"/>
                <w:sz w:val="24"/>
              </w:rPr>
              <w:t>49,814</w:t>
            </w:r>
          </w:p>
        </w:tc>
        <w:tc>
          <w:tcPr>
            <w:tcW w:w="1475" w:type="dxa"/>
            <w:tcBorders>
              <w:top w:val="single" w:sz="4" w:space="0" w:color="231F20"/>
              <w:bottom w:val="single" w:sz="4" w:space="0" w:color="231F20"/>
            </w:tcBorders>
          </w:tcPr>
          <w:p w14:paraId="6448FEF0" w14:textId="77777777" w:rsidR="00345EE3" w:rsidRDefault="00345EE3" w:rsidP="00D73130">
            <w:pPr>
              <w:pStyle w:val="TableParagraph"/>
              <w:spacing w:before="59"/>
              <w:ind w:right="53"/>
              <w:rPr>
                <w:b/>
                <w:sz w:val="24"/>
              </w:rPr>
            </w:pPr>
            <w:r>
              <w:rPr>
                <w:b/>
                <w:color w:val="231F20"/>
                <w:spacing w:val="-2"/>
                <w:sz w:val="24"/>
              </w:rPr>
              <w:t>929,988</w:t>
            </w:r>
          </w:p>
        </w:tc>
        <w:tc>
          <w:tcPr>
            <w:tcW w:w="1135" w:type="dxa"/>
            <w:tcBorders>
              <w:top w:val="single" w:sz="4" w:space="0" w:color="231F20"/>
              <w:bottom w:val="single" w:sz="4" w:space="0" w:color="231F20"/>
              <w:right w:val="nil"/>
            </w:tcBorders>
          </w:tcPr>
          <w:p w14:paraId="5F6932E6" w14:textId="77777777" w:rsidR="00345EE3" w:rsidRDefault="00345EE3" w:rsidP="00D73130">
            <w:pPr>
              <w:pStyle w:val="TableParagraph"/>
              <w:spacing w:before="59"/>
              <w:ind w:right="54"/>
              <w:rPr>
                <w:b/>
                <w:sz w:val="24"/>
              </w:rPr>
            </w:pPr>
            <w:r>
              <w:rPr>
                <w:b/>
                <w:color w:val="231F20"/>
                <w:spacing w:val="-2"/>
                <w:sz w:val="24"/>
              </w:rPr>
              <w:t>1,842,603</w:t>
            </w:r>
          </w:p>
        </w:tc>
      </w:tr>
      <w:tr w:rsidR="00345EE3" w14:paraId="1F5D4891" w14:textId="77777777" w:rsidTr="00D73130">
        <w:trPr>
          <w:trHeight w:val="393"/>
        </w:trPr>
        <w:tc>
          <w:tcPr>
            <w:tcW w:w="2721" w:type="dxa"/>
            <w:tcBorders>
              <w:top w:val="single" w:sz="4" w:space="0" w:color="231F20"/>
              <w:left w:val="nil"/>
            </w:tcBorders>
          </w:tcPr>
          <w:p w14:paraId="64E2ABB2" w14:textId="77777777" w:rsidR="00345EE3" w:rsidRDefault="00345EE3" w:rsidP="00D73130">
            <w:pPr>
              <w:pStyle w:val="TableParagraph"/>
              <w:spacing w:before="59"/>
              <w:ind w:right="238"/>
              <w:rPr>
                <w:sz w:val="24"/>
              </w:rPr>
            </w:pPr>
            <w:r>
              <w:rPr>
                <w:color w:val="231F20"/>
                <w:sz w:val="24"/>
              </w:rPr>
              <w:t>Net</w:t>
            </w:r>
            <w:r>
              <w:rPr>
                <w:color w:val="231F20"/>
                <w:spacing w:val="-4"/>
                <w:sz w:val="24"/>
              </w:rPr>
              <w:t xml:space="preserve"> </w:t>
            </w:r>
            <w:r>
              <w:rPr>
                <w:color w:val="231F20"/>
                <w:sz w:val="24"/>
              </w:rPr>
              <w:t>result for</w:t>
            </w:r>
            <w:r>
              <w:rPr>
                <w:color w:val="231F20"/>
                <w:spacing w:val="-1"/>
                <w:sz w:val="24"/>
              </w:rPr>
              <w:t xml:space="preserve"> </w:t>
            </w:r>
            <w:r>
              <w:rPr>
                <w:color w:val="231F20"/>
                <w:sz w:val="24"/>
              </w:rPr>
              <w:t xml:space="preserve">the </w:t>
            </w:r>
            <w:r>
              <w:rPr>
                <w:color w:val="231F20"/>
                <w:spacing w:val="-4"/>
                <w:sz w:val="24"/>
              </w:rPr>
              <w:t>year</w:t>
            </w:r>
          </w:p>
        </w:tc>
        <w:tc>
          <w:tcPr>
            <w:tcW w:w="737" w:type="dxa"/>
            <w:tcBorders>
              <w:top w:val="single" w:sz="4" w:space="0" w:color="231F20"/>
            </w:tcBorders>
          </w:tcPr>
          <w:p w14:paraId="66E1B22A" w14:textId="77777777" w:rsidR="00345EE3" w:rsidRDefault="00345EE3" w:rsidP="00D73130">
            <w:pPr>
              <w:pStyle w:val="TableParagraph"/>
              <w:spacing w:before="0"/>
              <w:jc w:val="left"/>
              <w:rPr>
                <w:rFonts w:ascii="Times New Roman"/>
              </w:rPr>
            </w:pPr>
          </w:p>
        </w:tc>
        <w:tc>
          <w:tcPr>
            <w:tcW w:w="1417" w:type="dxa"/>
            <w:tcBorders>
              <w:top w:val="single" w:sz="4" w:space="0" w:color="231F20"/>
            </w:tcBorders>
            <w:shd w:val="clear" w:color="auto" w:fill="E6E7E8"/>
          </w:tcPr>
          <w:p w14:paraId="7B7CE1AD" w14:textId="77777777" w:rsidR="00345EE3" w:rsidRDefault="00345EE3" w:rsidP="00D73130">
            <w:pPr>
              <w:pStyle w:val="TableParagraph"/>
              <w:spacing w:before="59"/>
              <w:ind w:right="51"/>
              <w:rPr>
                <w:sz w:val="24"/>
              </w:rPr>
            </w:pPr>
            <w:r>
              <w:rPr>
                <w:color w:val="231F20"/>
                <w:sz w:val="24"/>
              </w:rPr>
              <w:t>-</w:t>
            </w:r>
          </w:p>
        </w:tc>
        <w:tc>
          <w:tcPr>
            <w:tcW w:w="1134" w:type="dxa"/>
            <w:tcBorders>
              <w:top w:val="single" w:sz="4" w:space="0" w:color="231F20"/>
            </w:tcBorders>
            <w:shd w:val="clear" w:color="auto" w:fill="E6E7E8"/>
          </w:tcPr>
          <w:p w14:paraId="00EAA3AF" w14:textId="77777777" w:rsidR="00345EE3" w:rsidRDefault="00345EE3" w:rsidP="00D73130">
            <w:pPr>
              <w:pStyle w:val="TableParagraph"/>
              <w:spacing w:before="59"/>
              <w:ind w:right="51"/>
              <w:rPr>
                <w:sz w:val="24"/>
              </w:rPr>
            </w:pPr>
            <w:r>
              <w:rPr>
                <w:color w:val="231F20"/>
                <w:sz w:val="24"/>
              </w:rPr>
              <w:t>-</w:t>
            </w:r>
          </w:p>
        </w:tc>
        <w:tc>
          <w:tcPr>
            <w:tcW w:w="1588" w:type="dxa"/>
            <w:tcBorders>
              <w:top w:val="single" w:sz="4" w:space="0" w:color="231F20"/>
            </w:tcBorders>
            <w:shd w:val="clear" w:color="auto" w:fill="E6E7E8"/>
          </w:tcPr>
          <w:p w14:paraId="44963189" w14:textId="77777777" w:rsidR="00345EE3" w:rsidRDefault="00345EE3" w:rsidP="00D73130">
            <w:pPr>
              <w:pStyle w:val="TableParagraph"/>
              <w:spacing w:before="59"/>
              <w:ind w:right="54"/>
              <w:rPr>
                <w:sz w:val="24"/>
              </w:rPr>
            </w:pPr>
            <w:r>
              <w:rPr>
                <w:color w:val="231F20"/>
                <w:spacing w:val="-2"/>
                <w:sz w:val="24"/>
              </w:rPr>
              <w:t>86,939</w:t>
            </w:r>
          </w:p>
        </w:tc>
        <w:tc>
          <w:tcPr>
            <w:tcW w:w="1475" w:type="dxa"/>
            <w:tcBorders>
              <w:top w:val="single" w:sz="4" w:space="0" w:color="231F20"/>
            </w:tcBorders>
            <w:shd w:val="clear" w:color="auto" w:fill="E6E7E8"/>
          </w:tcPr>
          <w:p w14:paraId="50F7411E" w14:textId="77777777" w:rsidR="00345EE3" w:rsidRDefault="00345EE3" w:rsidP="00D73130">
            <w:pPr>
              <w:pStyle w:val="TableParagraph"/>
              <w:spacing w:before="59"/>
              <w:ind w:right="53"/>
              <w:rPr>
                <w:sz w:val="24"/>
              </w:rPr>
            </w:pPr>
            <w:r>
              <w:rPr>
                <w:color w:val="231F20"/>
                <w:sz w:val="24"/>
              </w:rPr>
              <w:t>-</w:t>
            </w:r>
          </w:p>
        </w:tc>
        <w:tc>
          <w:tcPr>
            <w:tcW w:w="1135" w:type="dxa"/>
            <w:tcBorders>
              <w:top w:val="single" w:sz="4" w:space="0" w:color="231F20"/>
              <w:right w:val="nil"/>
            </w:tcBorders>
            <w:shd w:val="clear" w:color="auto" w:fill="E6E7E8"/>
          </w:tcPr>
          <w:p w14:paraId="3889F3DD" w14:textId="77777777" w:rsidR="00345EE3" w:rsidRDefault="00345EE3" w:rsidP="00D73130">
            <w:pPr>
              <w:pStyle w:val="TableParagraph"/>
              <w:spacing w:before="59"/>
              <w:ind w:right="57"/>
              <w:rPr>
                <w:sz w:val="24"/>
              </w:rPr>
            </w:pPr>
            <w:r>
              <w:rPr>
                <w:color w:val="231F20"/>
                <w:spacing w:val="-2"/>
                <w:sz w:val="24"/>
              </w:rPr>
              <w:t>86,939</w:t>
            </w:r>
          </w:p>
        </w:tc>
      </w:tr>
      <w:tr w:rsidR="00345EE3" w14:paraId="165E4C2C" w14:textId="77777777" w:rsidTr="00D73130">
        <w:trPr>
          <w:trHeight w:val="956"/>
        </w:trPr>
        <w:tc>
          <w:tcPr>
            <w:tcW w:w="2721" w:type="dxa"/>
            <w:tcBorders>
              <w:left w:val="nil"/>
            </w:tcBorders>
          </w:tcPr>
          <w:p w14:paraId="58B5B000" w14:textId="77777777" w:rsidR="00345EE3" w:rsidRDefault="00345EE3" w:rsidP="00D73130">
            <w:pPr>
              <w:pStyle w:val="TableParagraph"/>
              <w:spacing w:before="61" w:line="242" w:lineRule="auto"/>
              <w:ind w:left="167" w:right="386"/>
              <w:jc w:val="both"/>
              <w:rPr>
                <w:sz w:val="24"/>
              </w:rPr>
            </w:pPr>
            <w:r>
              <w:rPr>
                <w:color w:val="231F20"/>
                <w:sz w:val="24"/>
              </w:rPr>
              <w:t xml:space="preserve">Capital contribution from/(to) other state </w:t>
            </w:r>
            <w:r>
              <w:rPr>
                <w:color w:val="231F20"/>
                <w:spacing w:val="-2"/>
                <w:sz w:val="24"/>
              </w:rPr>
              <w:t>departments/entities</w:t>
            </w:r>
          </w:p>
        </w:tc>
        <w:tc>
          <w:tcPr>
            <w:tcW w:w="737" w:type="dxa"/>
          </w:tcPr>
          <w:p w14:paraId="4D2DDB39" w14:textId="77777777" w:rsidR="00345EE3" w:rsidRDefault="00345EE3" w:rsidP="00D73130">
            <w:pPr>
              <w:pStyle w:val="TableParagraph"/>
              <w:spacing w:before="0"/>
              <w:jc w:val="left"/>
              <w:rPr>
                <w:rFonts w:ascii="Times New Roman"/>
              </w:rPr>
            </w:pPr>
          </w:p>
        </w:tc>
        <w:tc>
          <w:tcPr>
            <w:tcW w:w="1417" w:type="dxa"/>
            <w:shd w:val="clear" w:color="auto" w:fill="E6E7E8"/>
          </w:tcPr>
          <w:p w14:paraId="733FF0C5" w14:textId="77777777" w:rsidR="00345EE3" w:rsidRDefault="00345EE3" w:rsidP="00D73130">
            <w:pPr>
              <w:pStyle w:val="TableParagraph"/>
              <w:spacing w:before="61"/>
              <w:ind w:right="51"/>
              <w:rPr>
                <w:sz w:val="24"/>
              </w:rPr>
            </w:pPr>
            <w:r>
              <w:rPr>
                <w:color w:val="231F20"/>
                <w:sz w:val="24"/>
              </w:rPr>
              <w:t>-</w:t>
            </w:r>
          </w:p>
        </w:tc>
        <w:tc>
          <w:tcPr>
            <w:tcW w:w="1134" w:type="dxa"/>
            <w:shd w:val="clear" w:color="auto" w:fill="E6E7E8"/>
          </w:tcPr>
          <w:p w14:paraId="7704B850" w14:textId="77777777" w:rsidR="00345EE3" w:rsidRDefault="00345EE3" w:rsidP="00D73130">
            <w:pPr>
              <w:pStyle w:val="TableParagraph"/>
              <w:spacing w:before="61"/>
              <w:ind w:right="51"/>
              <w:rPr>
                <w:sz w:val="24"/>
              </w:rPr>
            </w:pPr>
            <w:r>
              <w:rPr>
                <w:color w:val="231F20"/>
                <w:sz w:val="24"/>
              </w:rPr>
              <w:t>-</w:t>
            </w:r>
          </w:p>
        </w:tc>
        <w:tc>
          <w:tcPr>
            <w:tcW w:w="1588" w:type="dxa"/>
            <w:shd w:val="clear" w:color="auto" w:fill="E6E7E8"/>
          </w:tcPr>
          <w:p w14:paraId="0B1FD3EB" w14:textId="77777777" w:rsidR="00345EE3" w:rsidRDefault="00345EE3" w:rsidP="00D73130">
            <w:pPr>
              <w:pStyle w:val="TableParagraph"/>
              <w:spacing w:before="61"/>
              <w:ind w:right="52"/>
              <w:rPr>
                <w:sz w:val="24"/>
              </w:rPr>
            </w:pPr>
            <w:r>
              <w:rPr>
                <w:color w:val="231F20"/>
                <w:sz w:val="24"/>
              </w:rPr>
              <w:t>-</w:t>
            </w:r>
          </w:p>
        </w:tc>
        <w:tc>
          <w:tcPr>
            <w:tcW w:w="1475" w:type="dxa"/>
            <w:shd w:val="clear" w:color="auto" w:fill="E6E7E8"/>
          </w:tcPr>
          <w:p w14:paraId="5F11A5C7" w14:textId="77777777" w:rsidR="00345EE3" w:rsidRDefault="00345EE3" w:rsidP="00D73130">
            <w:pPr>
              <w:pStyle w:val="TableParagraph"/>
              <w:spacing w:before="61"/>
              <w:ind w:right="57"/>
              <w:rPr>
                <w:sz w:val="24"/>
              </w:rPr>
            </w:pPr>
            <w:r>
              <w:rPr>
                <w:color w:val="231F20"/>
                <w:spacing w:val="-2"/>
                <w:sz w:val="24"/>
              </w:rPr>
              <w:t>4,250</w:t>
            </w:r>
          </w:p>
        </w:tc>
        <w:tc>
          <w:tcPr>
            <w:tcW w:w="1135" w:type="dxa"/>
            <w:tcBorders>
              <w:right w:val="nil"/>
            </w:tcBorders>
            <w:shd w:val="clear" w:color="auto" w:fill="E6E7E8"/>
          </w:tcPr>
          <w:p w14:paraId="4311A11A" w14:textId="77777777" w:rsidR="00345EE3" w:rsidRDefault="00345EE3" w:rsidP="00D73130">
            <w:pPr>
              <w:pStyle w:val="TableParagraph"/>
              <w:spacing w:before="61"/>
              <w:ind w:right="57"/>
              <w:rPr>
                <w:sz w:val="24"/>
              </w:rPr>
            </w:pPr>
            <w:r>
              <w:rPr>
                <w:color w:val="231F20"/>
                <w:spacing w:val="-2"/>
                <w:sz w:val="24"/>
              </w:rPr>
              <w:t>4,250</w:t>
            </w:r>
          </w:p>
        </w:tc>
      </w:tr>
      <w:tr w:rsidR="00345EE3" w14:paraId="7B7B9379" w14:textId="77777777" w:rsidTr="00D73130">
        <w:trPr>
          <w:trHeight w:val="956"/>
        </w:trPr>
        <w:tc>
          <w:tcPr>
            <w:tcW w:w="2721" w:type="dxa"/>
            <w:tcBorders>
              <w:left w:val="nil"/>
            </w:tcBorders>
          </w:tcPr>
          <w:p w14:paraId="3A9CF2C6" w14:textId="77777777" w:rsidR="00345EE3" w:rsidRDefault="00345EE3" w:rsidP="00D73130">
            <w:pPr>
              <w:pStyle w:val="TableParagraph"/>
              <w:spacing w:before="61" w:line="242" w:lineRule="auto"/>
              <w:ind w:left="167"/>
              <w:jc w:val="left"/>
              <w:rPr>
                <w:sz w:val="24"/>
              </w:rPr>
            </w:pPr>
            <w:r>
              <w:rPr>
                <w:color w:val="231F20"/>
                <w:sz w:val="24"/>
              </w:rPr>
              <w:t>Capital contribution by Victorian Government as</w:t>
            </w:r>
            <w:r>
              <w:rPr>
                <w:color w:val="231F20"/>
                <w:spacing w:val="-10"/>
                <w:sz w:val="24"/>
              </w:rPr>
              <w:t xml:space="preserve"> </w:t>
            </w:r>
            <w:r>
              <w:rPr>
                <w:color w:val="231F20"/>
                <w:sz w:val="24"/>
              </w:rPr>
              <w:t>part</w:t>
            </w:r>
            <w:r>
              <w:rPr>
                <w:color w:val="231F20"/>
                <w:spacing w:val="-10"/>
                <w:sz w:val="24"/>
              </w:rPr>
              <w:t xml:space="preserve"> </w:t>
            </w:r>
            <w:r>
              <w:rPr>
                <w:color w:val="231F20"/>
                <w:sz w:val="24"/>
              </w:rPr>
              <w:t>of</w:t>
            </w:r>
            <w:r>
              <w:rPr>
                <w:color w:val="231F20"/>
                <w:spacing w:val="-10"/>
                <w:sz w:val="24"/>
              </w:rPr>
              <w:t xml:space="preserve"> </w:t>
            </w:r>
            <w:r>
              <w:rPr>
                <w:color w:val="231F20"/>
                <w:sz w:val="24"/>
              </w:rPr>
              <w:t>annual</w:t>
            </w:r>
            <w:r>
              <w:rPr>
                <w:color w:val="231F20"/>
                <w:spacing w:val="-10"/>
                <w:sz w:val="24"/>
              </w:rPr>
              <w:t xml:space="preserve"> </w:t>
            </w:r>
            <w:r>
              <w:rPr>
                <w:color w:val="231F20"/>
                <w:sz w:val="24"/>
              </w:rPr>
              <w:t>grants</w:t>
            </w:r>
          </w:p>
        </w:tc>
        <w:tc>
          <w:tcPr>
            <w:tcW w:w="737" w:type="dxa"/>
          </w:tcPr>
          <w:p w14:paraId="321A7803" w14:textId="77777777" w:rsidR="00345EE3" w:rsidRDefault="00345EE3" w:rsidP="00D73130">
            <w:pPr>
              <w:pStyle w:val="TableParagraph"/>
              <w:spacing w:before="0"/>
              <w:jc w:val="left"/>
              <w:rPr>
                <w:rFonts w:ascii="Times New Roman"/>
              </w:rPr>
            </w:pPr>
          </w:p>
        </w:tc>
        <w:tc>
          <w:tcPr>
            <w:tcW w:w="1417" w:type="dxa"/>
            <w:shd w:val="clear" w:color="auto" w:fill="E6E7E8"/>
          </w:tcPr>
          <w:p w14:paraId="3C7ADC03" w14:textId="77777777" w:rsidR="00345EE3" w:rsidRDefault="00345EE3" w:rsidP="00D73130">
            <w:pPr>
              <w:pStyle w:val="TableParagraph"/>
              <w:spacing w:before="62"/>
              <w:ind w:right="51"/>
              <w:rPr>
                <w:sz w:val="24"/>
              </w:rPr>
            </w:pPr>
            <w:r>
              <w:rPr>
                <w:color w:val="231F20"/>
                <w:sz w:val="24"/>
              </w:rPr>
              <w:t>-</w:t>
            </w:r>
          </w:p>
        </w:tc>
        <w:tc>
          <w:tcPr>
            <w:tcW w:w="1134" w:type="dxa"/>
            <w:shd w:val="clear" w:color="auto" w:fill="E6E7E8"/>
          </w:tcPr>
          <w:p w14:paraId="50573F86" w14:textId="77777777" w:rsidR="00345EE3" w:rsidRDefault="00345EE3" w:rsidP="00D73130">
            <w:pPr>
              <w:pStyle w:val="TableParagraph"/>
              <w:spacing w:before="62"/>
              <w:ind w:right="51"/>
              <w:rPr>
                <w:sz w:val="24"/>
              </w:rPr>
            </w:pPr>
            <w:r>
              <w:rPr>
                <w:color w:val="231F20"/>
                <w:sz w:val="24"/>
              </w:rPr>
              <w:t>-</w:t>
            </w:r>
          </w:p>
        </w:tc>
        <w:tc>
          <w:tcPr>
            <w:tcW w:w="1588" w:type="dxa"/>
            <w:shd w:val="clear" w:color="auto" w:fill="E6E7E8"/>
          </w:tcPr>
          <w:p w14:paraId="3E2CC8C1" w14:textId="77777777" w:rsidR="00345EE3" w:rsidRDefault="00345EE3" w:rsidP="00D73130">
            <w:pPr>
              <w:pStyle w:val="TableParagraph"/>
              <w:spacing w:before="62"/>
              <w:ind w:right="52"/>
              <w:rPr>
                <w:sz w:val="24"/>
              </w:rPr>
            </w:pPr>
            <w:r>
              <w:rPr>
                <w:color w:val="231F20"/>
                <w:sz w:val="24"/>
              </w:rPr>
              <w:t>-</w:t>
            </w:r>
          </w:p>
        </w:tc>
        <w:tc>
          <w:tcPr>
            <w:tcW w:w="1475" w:type="dxa"/>
            <w:shd w:val="clear" w:color="auto" w:fill="E6E7E8"/>
          </w:tcPr>
          <w:p w14:paraId="571E5C1E" w14:textId="77777777" w:rsidR="00345EE3" w:rsidRDefault="00345EE3" w:rsidP="00D73130">
            <w:pPr>
              <w:pStyle w:val="TableParagraph"/>
              <w:spacing w:before="62"/>
              <w:ind w:right="56"/>
              <w:rPr>
                <w:sz w:val="24"/>
              </w:rPr>
            </w:pPr>
            <w:r>
              <w:rPr>
                <w:color w:val="231F20"/>
                <w:spacing w:val="-2"/>
                <w:sz w:val="24"/>
              </w:rPr>
              <w:t>32,289</w:t>
            </w:r>
          </w:p>
        </w:tc>
        <w:tc>
          <w:tcPr>
            <w:tcW w:w="1135" w:type="dxa"/>
            <w:tcBorders>
              <w:right w:val="nil"/>
            </w:tcBorders>
            <w:shd w:val="clear" w:color="auto" w:fill="E6E7E8"/>
          </w:tcPr>
          <w:p w14:paraId="42C0DA18" w14:textId="77777777" w:rsidR="00345EE3" w:rsidRDefault="00345EE3" w:rsidP="00D73130">
            <w:pPr>
              <w:pStyle w:val="TableParagraph"/>
              <w:spacing w:before="62"/>
              <w:ind w:right="57"/>
              <w:rPr>
                <w:sz w:val="24"/>
              </w:rPr>
            </w:pPr>
            <w:r>
              <w:rPr>
                <w:color w:val="231F20"/>
                <w:spacing w:val="-2"/>
                <w:sz w:val="24"/>
              </w:rPr>
              <w:t>32,289</w:t>
            </w:r>
          </w:p>
        </w:tc>
      </w:tr>
      <w:tr w:rsidR="00345EE3" w14:paraId="410B6F80" w14:textId="77777777" w:rsidTr="00D73130">
        <w:trPr>
          <w:trHeight w:val="396"/>
        </w:trPr>
        <w:tc>
          <w:tcPr>
            <w:tcW w:w="2721" w:type="dxa"/>
            <w:tcBorders>
              <w:left w:val="nil"/>
            </w:tcBorders>
          </w:tcPr>
          <w:p w14:paraId="4ED5711B" w14:textId="77777777" w:rsidR="00345EE3" w:rsidRDefault="00345EE3" w:rsidP="00D73130">
            <w:pPr>
              <w:pStyle w:val="TableParagraph"/>
              <w:spacing w:before="62"/>
              <w:ind w:left="167"/>
              <w:jc w:val="left"/>
              <w:rPr>
                <w:sz w:val="24"/>
              </w:rPr>
            </w:pPr>
            <w:r>
              <w:rPr>
                <w:color w:val="231F20"/>
                <w:sz w:val="24"/>
              </w:rPr>
              <w:t>Cost</w:t>
            </w:r>
            <w:r>
              <w:rPr>
                <w:color w:val="231F20"/>
                <w:spacing w:val="-3"/>
                <w:sz w:val="24"/>
              </w:rPr>
              <w:t xml:space="preserve"> </w:t>
            </w:r>
            <w:r>
              <w:rPr>
                <w:color w:val="231F20"/>
                <w:sz w:val="24"/>
              </w:rPr>
              <w:t>of</w:t>
            </w:r>
            <w:r>
              <w:rPr>
                <w:color w:val="231F20"/>
                <w:spacing w:val="-3"/>
                <w:sz w:val="24"/>
              </w:rPr>
              <w:t xml:space="preserve"> </w:t>
            </w:r>
            <w:r>
              <w:rPr>
                <w:color w:val="231F20"/>
                <w:spacing w:val="-2"/>
                <w:sz w:val="24"/>
              </w:rPr>
              <w:t>hedging</w:t>
            </w:r>
          </w:p>
        </w:tc>
        <w:tc>
          <w:tcPr>
            <w:tcW w:w="737" w:type="dxa"/>
          </w:tcPr>
          <w:p w14:paraId="6D61053A" w14:textId="77777777" w:rsidR="00345EE3" w:rsidRDefault="00345EE3" w:rsidP="00D73130">
            <w:pPr>
              <w:pStyle w:val="TableParagraph"/>
              <w:spacing w:before="0"/>
              <w:jc w:val="left"/>
              <w:rPr>
                <w:rFonts w:ascii="Times New Roman"/>
              </w:rPr>
            </w:pPr>
          </w:p>
        </w:tc>
        <w:tc>
          <w:tcPr>
            <w:tcW w:w="1417" w:type="dxa"/>
            <w:shd w:val="clear" w:color="auto" w:fill="E6E7E8"/>
          </w:tcPr>
          <w:p w14:paraId="3E127BE7" w14:textId="77777777" w:rsidR="00345EE3" w:rsidRDefault="00345EE3" w:rsidP="00D73130">
            <w:pPr>
              <w:pStyle w:val="TableParagraph"/>
              <w:spacing w:before="62"/>
              <w:ind w:right="51"/>
              <w:rPr>
                <w:sz w:val="24"/>
              </w:rPr>
            </w:pPr>
            <w:r>
              <w:rPr>
                <w:color w:val="231F20"/>
                <w:sz w:val="24"/>
              </w:rPr>
              <w:t>-</w:t>
            </w:r>
          </w:p>
        </w:tc>
        <w:tc>
          <w:tcPr>
            <w:tcW w:w="1134" w:type="dxa"/>
            <w:shd w:val="clear" w:color="auto" w:fill="E6E7E8"/>
          </w:tcPr>
          <w:p w14:paraId="6628343E" w14:textId="77777777" w:rsidR="00345EE3" w:rsidRDefault="00345EE3" w:rsidP="00D73130">
            <w:pPr>
              <w:pStyle w:val="TableParagraph"/>
              <w:spacing w:before="62"/>
              <w:ind w:right="54"/>
              <w:rPr>
                <w:sz w:val="24"/>
              </w:rPr>
            </w:pPr>
            <w:r>
              <w:rPr>
                <w:color w:val="231F20"/>
                <w:spacing w:val="-2"/>
                <w:sz w:val="24"/>
              </w:rPr>
              <w:t>2,667</w:t>
            </w:r>
          </w:p>
        </w:tc>
        <w:tc>
          <w:tcPr>
            <w:tcW w:w="1588" w:type="dxa"/>
            <w:shd w:val="clear" w:color="auto" w:fill="E6E7E8"/>
          </w:tcPr>
          <w:p w14:paraId="2F691ADF" w14:textId="77777777" w:rsidR="00345EE3" w:rsidRDefault="00345EE3" w:rsidP="00D73130">
            <w:pPr>
              <w:pStyle w:val="TableParagraph"/>
              <w:spacing w:before="62"/>
              <w:ind w:right="52"/>
              <w:rPr>
                <w:sz w:val="24"/>
              </w:rPr>
            </w:pPr>
            <w:r>
              <w:rPr>
                <w:color w:val="231F20"/>
                <w:sz w:val="24"/>
              </w:rPr>
              <w:t>-</w:t>
            </w:r>
          </w:p>
        </w:tc>
        <w:tc>
          <w:tcPr>
            <w:tcW w:w="1475" w:type="dxa"/>
            <w:shd w:val="clear" w:color="auto" w:fill="E6E7E8"/>
          </w:tcPr>
          <w:p w14:paraId="6E38A983" w14:textId="77777777" w:rsidR="00345EE3" w:rsidRDefault="00345EE3" w:rsidP="00D73130">
            <w:pPr>
              <w:pStyle w:val="TableParagraph"/>
              <w:spacing w:before="62"/>
              <w:ind w:right="53"/>
              <w:rPr>
                <w:sz w:val="24"/>
              </w:rPr>
            </w:pPr>
            <w:r>
              <w:rPr>
                <w:color w:val="231F20"/>
                <w:sz w:val="24"/>
              </w:rPr>
              <w:t>-</w:t>
            </w:r>
          </w:p>
        </w:tc>
        <w:tc>
          <w:tcPr>
            <w:tcW w:w="1135" w:type="dxa"/>
            <w:tcBorders>
              <w:right w:val="nil"/>
            </w:tcBorders>
            <w:shd w:val="clear" w:color="auto" w:fill="E6E7E8"/>
          </w:tcPr>
          <w:p w14:paraId="0ECBF1E4" w14:textId="77777777" w:rsidR="00345EE3" w:rsidRDefault="00345EE3" w:rsidP="00D73130">
            <w:pPr>
              <w:pStyle w:val="TableParagraph"/>
              <w:spacing w:before="62"/>
              <w:ind w:right="57"/>
              <w:rPr>
                <w:sz w:val="24"/>
              </w:rPr>
            </w:pPr>
            <w:r>
              <w:rPr>
                <w:color w:val="231F20"/>
                <w:spacing w:val="-2"/>
                <w:sz w:val="24"/>
              </w:rPr>
              <w:t>2,667</w:t>
            </w:r>
          </w:p>
        </w:tc>
      </w:tr>
      <w:tr w:rsidR="00345EE3" w14:paraId="559F57CE" w14:textId="77777777" w:rsidTr="00D73130">
        <w:trPr>
          <w:trHeight w:val="1236"/>
        </w:trPr>
        <w:tc>
          <w:tcPr>
            <w:tcW w:w="2721" w:type="dxa"/>
            <w:tcBorders>
              <w:left w:val="nil"/>
            </w:tcBorders>
          </w:tcPr>
          <w:p w14:paraId="6EC159C3" w14:textId="77777777" w:rsidR="00345EE3" w:rsidRDefault="00345EE3" w:rsidP="00D73130">
            <w:pPr>
              <w:pStyle w:val="TableParagraph"/>
              <w:spacing w:before="62" w:line="242" w:lineRule="auto"/>
              <w:ind w:left="167"/>
              <w:jc w:val="left"/>
              <w:rPr>
                <w:sz w:val="24"/>
              </w:rPr>
            </w:pPr>
            <w:r>
              <w:rPr>
                <w:color w:val="231F20"/>
                <w:sz w:val="24"/>
              </w:rPr>
              <w:t>Fair value gain/(loss) arising</w:t>
            </w:r>
            <w:r>
              <w:rPr>
                <w:color w:val="231F20"/>
                <w:spacing w:val="-13"/>
                <w:sz w:val="24"/>
              </w:rPr>
              <w:t xml:space="preserve"> </w:t>
            </w:r>
            <w:r>
              <w:rPr>
                <w:color w:val="231F20"/>
                <w:sz w:val="24"/>
              </w:rPr>
              <w:t>from</w:t>
            </w:r>
            <w:r>
              <w:rPr>
                <w:color w:val="231F20"/>
                <w:spacing w:val="-12"/>
                <w:sz w:val="24"/>
              </w:rPr>
              <w:t xml:space="preserve"> </w:t>
            </w:r>
            <w:r>
              <w:rPr>
                <w:color w:val="231F20"/>
                <w:sz w:val="24"/>
              </w:rPr>
              <w:t>cash</w:t>
            </w:r>
            <w:r>
              <w:rPr>
                <w:color w:val="231F20"/>
                <w:spacing w:val="-12"/>
                <w:sz w:val="24"/>
              </w:rPr>
              <w:t xml:space="preserve"> </w:t>
            </w:r>
            <w:r>
              <w:rPr>
                <w:color w:val="231F20"/>
                <w:sz w:val="24"/>
              </w:rPr>
              <w:t>flow hedging instruments during the year</w:t>
            </w:r>
          </w:p>
        </w:tc>
        <w:tc>
          <w:tcPr>
            <w:tcW w:w="737" w:type="dxa"/>
          </w:tcPr>
          <w:p w14:paraId="0A9D8CFF" w14:textId="77777777" w:rsidR="00345EE3" w:rsidRDefault="00345EE3" w:rsidP="00D73130">
            <w:pPr>
              <w:pStyle w:val="TableParagraph"/>
              <w:spacing w:before="0"/>
              <w:jc w:val="left"/>
              <w:rPr>
                <w:rFonts w:ascii="Times New Roman"/>
              </w:rPr>
            </w:pPr>
          </w:p>
        </w:tc>
        <w:tc>
          <w:tcPr>
            <w:tcW w:w="1417" w:type="dxa"/>
            <w:shd w:val="clear" w:color="auto" w:fill="E6E7E8"/>
          </w:tcPr>
          <w:p w14:paraId="5936CF8D" w14:textId="77777777" w:rsidR="00345EE3" w:rsidRDefault="00345EE3" w:rsidP="00D73130">
            <w:pPr>
              <w:pStyle w:val="TableParagraph"/>
              <w:spacing w:before="62"/>
              <w:ind w:right="51"/>
              <w:rPr>
                <w:sz w:val="24"/>
              </w:rPr>
            </w:pPr>
            <w:r>
              <w:rPr>
                <w:color w:val="231F20"/>
                <w:sz w:val="24"/>
              </w:rPr>
              <w:t>-</w:t>
            </w:r>
          </w:p>
        </w:tc>
        <w:tc>
          <w:tcPr>
            <w:tcW w:w="1134" w:type="dxa"/>
            <w:shd w:val="clear" w:color="auto" w:fill="E6E7E8"/>
          </w:tcPr>
          <w:p w14:paraId="26C547EA" w14:textId="77777777" w:rsidR="00345EE3" w:rsidRDefault="00345EE3" w:rsidP="00D73130">
            <w:pPr>
              <w:pStyle w:val="TableParagraph"/>
              <w:spacing w:before="62"/>
              <w:ind w:right="54"/>
              <w:rPr>
                <w:sz w:val="24"/>
              </w:rPr>
            </w:pPr>
            <w:r>
              <w:rPr>
                <w:color w:val="231F20"/>
                <w:spacing w:val="-2"/>
                <w:sz w:val="24"/>
              </w:rPr>
              <w:t>7,581</w:t>
            </w:r>
          </w:p>
        </w:tc>
        <w:tc>
          <w:tcPr>
            <w:tcW w:w="1588" w:type="dxa"/>
            <w:shd w:val="clear" w:color="auto" w:fill="E6E7E8"/>
          </w:tcPr>
          <w:p w14:paraId="7964A0DD" w14:textId="77777777" w:rsidR="00345EE3" w:rsidRDefault="00345EE3" w:rsidP="00D73130">
            <w:pPr>
              <w:pStyle w:val="TableParagraph"/>
              <w:spacing w:before="62"/>
              <w:ind w:right="52"/>
              <w:rPr>
                <w:sz w:val="24"/>
              </w:rPr>
            </w:pPr>
            <w:r>
              <w:rPr>
                <w:color w:val="231F20"/>
                <w:sz w:val="24"/>
              </w:rPr>
              <w:t>-</w:t>
            </w:r>
          </w:p>
        </w:tc>
        <w:tc>
          <w:tcPr>
            <w:tcW w:w="1475" w:type="dxa"/>
            <w:shd w:val="clear" w:color="auto" w:fill="E6E7E8"/>
          </w:tcPr>
          <w:p w14:paraId="247C3BB8" w14:textId="77777777" w:rsidR="00345EE3" w:rsidRDefault="00345EE3" w:rsidP="00D73130">
            <w:pPr>
              <w:pStyle w:val="TableParagraph"/>
              <w:spacing w:before="62"/>
              <w:ind w:right="53"/>
              <w:rPr>
                <w:sz w:val="24"/>
              </w:rPr>
            </w:pPr>
            <w:r>
              <w:rPr>
                <w:color w:val="231F20"/>
                <w:sz w:val="24"/>
              </w:rPr>
              <w:t>-</w:t>
            </w:r>
          </w:p>
        </w:tc>
        <w:tc>
          <w:tcPr>
            <w:tcW w:w="1135" w:type="dxa"/>
            <w:tcBorders>
              <w:right w:val="nil"/>
            </w:tcBorders>
            <w:shd w:val="clear" w:color="auto" w:fill="E6E7E8"/>
          </w:tcPr>
          <w:p w14:paraId="4D0BB804" w14:textId="77777777" w:rsidR="00345EE3" w:rsidRDefault="00345EE3" w:rsidP="00D73130">
            <w:pPr>
              <w:pStyle w:val="TableParagraph"/>
              <w:spacing w:before="62"/>
              <w:ind w:right="58"/>
              <w:rPr>
                <w:sz w:val="24"/>
              </w:rPr>
            </w:pPr>
            <w:r>
              <w:rPr>
                <w:color w:val="231F20"/>
                <w:spacing w:val="-2"/>
                <w:sz w:val="24"/>
              </w:rPr>
              <w:t>7,581</w:t>
            </w:r>
          </w:p>
        </w:tc>
      </w:tr>
      <w:tr w:rsidR="00345EE3" w14:paraId="556D4ED4" w14:textId="77777777" w:rsidTr="00D73130">
        <w:trPr>
          <w:trHeight w:val="673"/>
        </w:trPr>
        <w:tc>
          <w:tcPr>
            <w:tcW w:w="2721" w:type="dxa"/>
            <w:tcBorders>
              <w:left w:val="nil"/>
              <w:bottom w:val="single" w:sz="4" w:space="0" w:color="231F20"/>
            </w:tcBorders>
          </w:tcPr>
          <w:p w14:paraId="5CF85852" w14:textId="77777777" w:rsidR="00345EE3" w:rsidRDefault="00345EE3" w:rsidP="00D73130">
            <w:pPr>
              <w:pStyle w:val="TableParagraph"/>
              <w:spacing w:before="62" w:line="242" w:lineRule="auto"/>
              <w:ind w:left="167"/>
              <w:jc w:val="left"/>
              <w:rPr>
                <w:sz w:val="24"/>
              </w:rPr>
            </w:pPr>
            <w:r>
              <w:rPr>
                <w:color w:val="231F20"/>
                <w:sz w:val="24"/>
              </w:rPr>
              <w:t>Revaluation</w:t>
            </w:r>
            <w:r>
              <w:rPr>
                <w:color w:val="231F20"/>
                <w:spacing w:val="-17"/>
                <w:sz w:val="24"/>
              </w:rPr>
              <w:t xml:space="preserve"> </w:t>
            </w:r>
            <w:r>
              <w:rPr>
                <w:color w:val="231F20"/>
                <w:sz w:val="24"/>
              </w:rPr>
              <w:t xml:space="preserve">surplus </w:t>
            </w:r>
            <w:r>
              <w:rPr>
                <w:color w:val="231F20"/>
                <w:spacing w:val="-2"/>
                <w:sz w:val="24"/>
              </w:rPr>
              <w:t>adjustment</w:t>
            </w:r>
          </w:p>
        </w:tc>
        <w:tc>
          <w:tcPr>
            <w:tcW w:w="737" w:type="dxa"/>
            <w:tcBorders>
              <w:bottom w:val="single" w:sz="4" w:space="0" w:color="231F20"/>
            </w:tcBorders>
          </w:tcPr>
          <w:p w14:paraId="3E611D80" w14:textId="77777777" w:rsidR="00345EE3" w:rsidRDefault="00345EE3" w:rsidP="00D73130">
            <w:pPr>
              <w:pStyle w:val="TableParagraph"/>
              <w:spacing w:before="62"/>
              <w:ind w:right="54"/>
              <w:rPr>
                <w:sz w:val="24"/>
              </w:rPr>
            </w:pPr>
            <w:r>
              <w:rPr>
                <w:color w:val="231F20"/>
                <w:spacing w:val="-5"/>
                <w:sz w:val="24"/>
              </w:rPr>
              <w:t>5.3</w:t>
            </w:r>
          </w:p>
        </w:tc>
        <w:tc>
          <w:tcPr>
            <w:tcW w:w="1417" w:type="dxa"/>
            <w:tcBorders>
              <w:bottom w:val="single" w:sz="4" w:space="0" w:color="231F20"/>
            </w:tcBorders>
            <w:shd w:val="clear" w:color="auto" w:fill="E6E7E8"/>
          </w:tcPr>
          <w:p w14:paraId="2EB59DEE" w14:textId="77777777" w:rsidR="00345EE3" w:rsidRDefault="00345EE3" w:rsidP="00D73130">
            <w:pPr>
              <w:pStyle w:val="TableParagraph"/>
              <w:spacing w:before="62"/>
              <w:ind w:right="53"/>
              <w:rPr>
                <w:sz w:val="24"/>
              </w:rPr>
            </w:pPr>
            <w:r>
              <w:rPr>
                <w:color w:val="231F20"/>
                <w:spacing w:val="-2"/>
                <w:sz w:val="24"/>
              </w:rPr>
              <w:t>(3,395)</w:t>
            </w:r>
          </w:p>
        </w:tc>
        <w:tc>
          <w:tcPr>
            <w:tcW w:w="1134" w:type="dxa"/>
            <w:tcBorders>
              <w:bottom w:val="single" w:sz="4" w:space="0" w:color="231F20"/>
            </w:tcBorders>
            <w:shd w:val="clear" w:color="auto" w:fill="E6E7E8"/>
          </w:tcPr>
          <w:p w14:paraId="0878728E" w14:textId="77777777" w:rsidR="00345EE3" w:rsidRDefault="00345EE3" w:rsidP="00D73130">
            <w:pPr>
              <w:pStyle w:val="TableParagraph"/>
              <w:spacing w:before="62"/>
              <w:ind w:right="51"/>
              <w:rPr>
                <w:sz w:val="24"/>
              </w:rPr>
            </w:pPr>
            <w:r>
              <w:rPr>
                <w:color w:val="231F20"/>
                <w:sz w:val="24"/>
              </w:rPr>
              <w:t>-</w:t>
            </w:r>
          </w:p>
        </w:tc>
        <w:tc>
          <w:tcPr>
            <w:tcW w:w="1588" w:type="dxa"/>
            <w:tcBorders>
              <w:bottom w:val="single" w:sz="4" w:space="0" w:color="231F20"/>
            </w:tcBorders>
            <w:shd w:val="clear" w:color="auto" w:fill="E6E7E8"/>
          </w:tcPr>
          <w:p w14:paraId="0FCF62D1" w14:textId="77777777" w:rsidR="00345EE3" w:rsidRDefault="00345EE3" w:rsidP="00D73130">
            <w:pPr>
              <w:pStyle w:val="TableParagraph"/>
              <w:spacing w:before="62"/>
              <w:ind w:right="52"/>
              <w:rPr>
                <w:sz w:val="24"/>
              </w:rPr>
            </w:pPr>
            <w:r>
              <w:rPr>
                <w:color w:val="231F20"/>
                <w:sz w:val="24"/>
              </w:rPr>
              <w:t>-</w:t>
            </w:r>
          </w:p>
        </w:tc>
        <w:tc>
          <w:tcPr>
            <w:tcW w:w="1475" w:type="dxa"/>
            <w:tcBorders>
              <w:bottom w:val="single" w:sz="4" w:space="0" w:color="231F20"/>
            </w:tcBorders>
            <w:shd w:val="clear" w:color="auto" w:fill="E6E7E8"/>
          </w:tcPr>
          <w:p w14:paraId="220EAC5E" w14:textId="77777777" w:rsidR="00345EE3" w:rsidRDefault="00345EE3" w:rsidP="00D73130">
            <w:pPr>
              <w:pStyle w:val="TableParagraph"/>
              <w:spacing w:before="62"/>
              <w:ind w:right="53"/>
              <w:rPr>
                <w:sz w:val="24"/>
              </w:rPr>
            </w:pPr>
            <w:r>
              <w:rPr>
                <w:color w:val="231F20"/>
                <w:sz w:val="24"/>
              </w:rPr>
              <w:t>-</w:t>
            </w:r>
          </w:p>
        </w:tc>
        <w:tc>
          <w:tcPr>
            <w:tcW w:w="1135" w:type="dxa"/>
            <w:tcBorders>
              <w:bottom w:val="single" w:sz="4" w:space="0" w:color="231F20"/>
              <w:right w:val="nil"/>
            </w:tcBorders>
            <w:shd w:val="clear" w:color="auto" w:fill="E6E7E8"/>
          </w:tcPr>
          <w:p w14:paraId="27F74DB8" w14:textId="77777777" w:rsidR="00345EE3" w:rsidRDefault="00345EE3" w:rsidP="00D73130">
            <w:pPr>
              <w:pStyle w:val="TableParagraph"/>
              <w:spacing w:before="62"/>
              <w:ind w:right="56"/>
              <w:rPr>
                <w:sz w:val="24"/>
              </w:rPr>
            </w:pPr>
            <w:r>
              <w:rPr>
                <w:color w:val="231F20"/>
                <w:spacing w:val="-2"/>
                <w:sz w:val="24"/>
              </w:rPr>
              <w:t>(3,395)</w:t>
            </w:r>
          </w:p>
        </w:tc>
      </w:tr>
      <w:tr w:rsidR="00345EE3" w14:paraId="68130109" w14:textId="77777777" w:rsidTr="00D73130">
        <w:trPr>
          <w:trHeight w:val="666"/>
        </w:trPr>
        <w:tc>
          <w:tcPr>
            <w:tcW w:w="2721" w:type="dxa"/>
            <w:tcBorders>
              <w:top w:val="single" w:sz="4" w:space="0" w:color="231F20"/>
              <w:left w:val="nil"/>
              <w:bottom w:val="single" w:sz="8" w:space="0" w:color="231F20"/>
            </w:tcBorders>
          </w:tcPr>
          <w:p w14:paraId="5D7603B0" w14:textId="77777777" w:rsidR="00345EE3" w:rsidRDefault="00345EE3" w:rsidP="00D73130">
            <w:pPr>
              <w:pStyle w:val="TableParagraph"/>
              <w:spacing w:before="59" w:line="242" w:lineRule="auto"/>
              <w:ind w:left="-3" w:right="98"/>
              <w:jc w:val="left"/>
              <w:rPr>
                <w:b/>
                <w:sz w:val="24"/>
              </w:rPr>
            </w:pPr>
            <w:r>
              <w:rPr>
                <w:b/>
                <w:color w:val="231F20"/>
                <w:sz w:val="24"/>
              </w:rPr>
              <w:t>Balance</w:t>
            </w:r>
            <w:r>
              <w:rPr>
                <w:b/>
                <w:color w:val="231F20"/>
                <w:spacing w:val="-12"/>
                <w:sz w:val="24"/>
              </w:rPr>
              <w:t xml:space="preserve"> </w:t>
            </w:r>
            <w:r>
              <w:rPr>
                <w:b/>
                <w:color w:val="231F20"/>
                <w:sz w:val="24"/>
              </w:rPr>
              <w:t>at</w:t>
            </w:r>
            <w:r>
              <w:rPr>
                <w:b/>
                <w:color w:val="231F20"/>
                <w:spacing w:val="-12"/>
                <w:sz w:val="24"/>
              </w:rPr>
              <w:t xml:space="preserve"> </w:t>
            </w:r>
            <w:r>
              <w:rPr>
                <w:b/>
                <w:color w:val="231F20"/>
                <w:sz w:val="24"/>
              </w:rPr>
              <w:t>30</w:t>
            </w:r>
            <w:r>
              <w:rPr>
                <w:b/>
                <w:color w:val="231F20"/>
                <w:spacing w:val="-12"/>
                <w:sz w:val="24"/>
              </w:rPr>
              <w:t xml:space="preserve"> </w:t>
            </w:r>
            <w:r>
              <w:rPr>
                <w:b/>
                <w:color w:val="231F20"/>
                <w:sz w:val="24"/>
              </w:rPr>
              <w:t xml:space="preserve">June </w:t>
            </w:r>
            <w:r>
              <w:rPr>
                <w:b/>
                <w:color w:val="231F20"/>
                <w:spacing w:val="-4"/>
                <w:sz w:val="24"/>
              </w:rPr>
              <w:t>2022</w:t>
            </w:r>
          </w:p>
        </w:tc>
        <w:tc>
          <w:tcPr>
            <w:tcW w:w="737" w:type="dxa"/>
            <w:tcBorders>
              <w:top w:val="single" w:sz="4" w:space="0" w:color="231F20"/>
              <w:bottom w:val="single" w:sz="8" w:space="0" w:color="231F20"/>
            </w:tcBorders>
          </w:tcPr>
          <w:p w14:paraId="13786DA1" w14:textId="77777777" w:rsidR="00345EE3" w:rsidRDefault="00345EE3" w:rsidP="00D73130">
            <w:pPr>
              <w:pStyle w:val="TableParagraph"/>
              <w:spacing w:before="0"/>
              <w:jc w:val="left"/>
              <w:rPr>
                <w:rFonts w:ascii="Times New Roman"/>
              </w:rPr>
            </w:pPr>
          </w:p>
        </w:tc>
        <w:tc>
          <w:tcPr>
            <w:tcW w:w="1417" w:type="dxa"/>
            <w:tcBorders>
              <w:top w:val="single" w:sz="4" w:space="0" w:color="231F20"/>
              <w:bottom w:val="single" w:sz="8" w:space="0" w:color="231F20"/>
            </w:tcBorders>
            <w:shd w:val="clear" w:color="auto" w:fill="E6E7E8"/>
          </w:tcPr>
          <w:p w14:paraId="0E12622D" w14:textId="77777777" w:rsidR="00345EE3" w:rsidRDefault="00345EE3" w:rsidP="00D73130">
            <w:pPr>
              <w:pStyle w:val="TableParagraph"/>
              <w:spacing w:before="59"/>
              <w:ind w:right="51"/>
              <w:rPr>
                <w:b/>
                <w:sz w:val="24"/>
              </w:rPr>
            </w:pPr>
            <w:r>
              <w:rPr>
                <w:b/>
                <w:color w:val="231F20"/>
                <w:spacing w:val="-2"/>
                <w:sz w:val="24"/>
              </w:rPr>
              <w:t>874,797</w:t>
            </w:r>
          </w:p>
        </w:tc>
        <w:tc>
          <w:tcPr>
            <w:tcW w:w="1134" w:type="dxa"/>
            <w:tcBorders>
              <w:top w:val="single" w:sz="4" w:space="0" w:color="231F20"/>
              <w:bottom w:val="single" w:sz="8" w:space="0" w:color="231F20"/>
            </w:tcBorders>
            <w:shd w:val="clear" w:color="auto" w:fill="E6E7E8"/>
          </w:tcPr>
          <w:p w14:paraId="724D2406" w14:textId="77777777" w:rsidR="00345EE3" w:rsidRDefault="00345EE3" w:rsidP="00D73130">
            <w:pPr>
              <w:pStyle w:val="TableParagraph"/>
              <w:spacing w:before="59"/>
              <w:ind w:right="51"/>
              <w:rPr>
                <w:b/>
                <w:sz w:val="24"/>
              </w:rPr>
            </w:pPr>
            <w:r>
              <w:rPr>
                <w:b/>
                <w:color w:val="231F20"/>
                <w:spacing w:val="-2"/>
                <w:sz w:val="24"/>
              </w:rPr>
              <w:t>(5,143)</w:t>
            </w:r>
          </w:p>
        </w:tc>
        <w:tc>
          <w:tcPr>
            <w:tcW w:w="1588" w:type="dxa"/>
            <w:tcBorders>
              <w:top w:val="single" w:sz="4" w:space="0" w:color="231F20"/>
              <w:bottom w:val="single" w:sz="8" w:space="0" w:color="231F20"/>
            </w:tcBorders>
            <w:shd w:val="clear" w:color="auto" w:fill="E6E7E8"/>
          </w:tcPr>
          <w:p w14:paraId="146BE58E" w14:textId="77777777" w:rsidR="00345EE3" w:rsidRDefault="00345EE3" w:rsidP="00D73130">
            <w:pPr>
              <w:pStyle w:val="TableParagraph"/>
              <w:spacing w:before="59"/>
              <w:ind w:right="52"/>
              <w:rPr>
                <w:b/>
                <w:sz w:val="24"/>
              </w:rPr>
            </w:pPr>
            <w:r>
              <w:rPr>
                <w:b/>
                <w:color w:val="231F20"/>
                <w:spacing w:val="-2"/>
                <w:sz w:val="24"/>
              </w:rPr>
              <w:t>136,753</w:t>
            </w:r>
          </w:p>
        </w:tc>
        <w:tc>
          <w:tcPr>
            <w:tcW w:w="1475" w:type="dxa"/>
            <w:tcBorders>
              <w:top w:val="single" w:sz="4" w:space="0" w:color="231F20"/>
              <w:bottom w:val="single" w:sz="8" w:space="0" w:color="231F20"/>
            </w:tcBorders>
            <w:shd w:val="clear" w:color="auto" w:fill="E6E7E8"/>
          </w:tcPr>
          <w:p w14:paraId="0A52374E" w14:textId="77777777" w:rsidR="00345EE3" w:rsidRDefault="00345EE3" w:rsidP="00D73130">
            <w:pPr>
              <w:pStyle w:val="TableParagraph"/>
              <w:spacing w:before="59"/>
              <w:ind w:right="53"/>
              <w:rPr>
                <w:b/>
                <w:sz w:val="24"/>
              </w:rPr>
            </w:pPr>
            <w:r>
              <w:rPr>
                <w:b/>
                <w:color w:val="231F20"/>
                <w:spacing w:val="-2"/>
                <w:sz w:val="24"/>
              </w:rPr>
              <w:t>966,527</w:t>
            </w:r>
          </w:p>
        </w:tc>
        <w:tc>
          <w:tcPr>
            <w:tcW w:w="1135" w:type="dxa"/>
            <w:tcBorders>
              <w:top w:val="single" w:sz="4" w:space="0" w:color="231F20"/>
              <w:bottom w:val="single" w:sz="8" w:space="0" w:color="231F20"/>
              <w:right w:val="nil"/>
            </w:tcBorders>
            <w:shd w:val="clear" w:color="auto" w:fill="E6E7E8"/>
          </w:tcPr>
          <w:p w14:paraId="0F206017" w14:textId="77777777" w:rsidR="00345EE3" w:rsidRDefault="00345EE3" w:rsidP="00D73130">
            <w:pPr>
              <w:pStyle w:val="TableParagraph"/>
              <w:spacing w:before="59"/>
              <w:ind w:right="54"/>
              <w:rPr>
                <w:b/>
                <w:sz w:val="24"/>
              </w:rPr>
            </w:pPr>
            <w:r>
              <w:rPr>
                <w:b/>
                <w:color w:val="231F20"/>
                <w:spacing w:val="-2"/>
                <w:sz w:val="24"/>
              </w:rPr>
              <w:t>1,972,934</w:t>
            </w:r>
          </w:p>
        </w:tc>
      </w:tr>
    </w:tbl>
    <w:p w14:paraId="3C1B9654" w14:textId="77777777" w:rsidR="00345EE3" w:rsidRDefault="00345EE3" w:rsidP="00345EE3">
      <w:pPr>
        <w:spacing w:before="82"/>
        <w:ind w:left="110"/>
        <w:rPr>
          <w:rFonts w:ascii="Arial-BoldItalicMT"/>
          <w:b/>
          <w:i/>
          <w:sz w:val="14"/>
        </w:rPr>
      </w:pPr>
      <w:r>
        <w:rPr>
          <w:rFonts w:ascii="Arial-BoldItalicMT"/>
          <w:b/>
          <w:i/>
          <w:color w:val="231F20"/>
          <w:spacing w:val="-2"/>
          <w:sz w:val="14"/>
        </w:rPr>
        <w:t>Note:</w:t>
      </w:r>
    </w:p>
    <w:p w14:paraId="0962E91D" w14:textId="77777777" w:rsidR="00345EE3" w:rsidRDefault="00345EE3" w:rsidP="00345EE3">
      <w:pPr>
        <w:spacing w:before="27"/>
        <w:ind w:left="110"/>
        <w:rPr>
          <w:color w:val="231F20"/>
          <w:spacing w:val="-2"/>
          <w:sz w:val="14"/>
        </w:rPr>
      </w:pPr>
      <w:r>
        <w:rPr>
          <w:color w:val="231F20"/>
          <w:sz w:val="14"/>
        </w:rPr>
        <w:t>The</w:t>
      </w:r>
      <w:r>
        <w:rPr>
          <w:color w:val="231F20"/>
          <w:spacing w:val="-2"/>
          <w:sz w:val="14"/>
        </w:rPr>
        <w:t xml:space="preserve"> </w:t>
      </w:r>
      <w:r>
        <w:rPr>
          <w:color w:val="231F20"/>
          <w:sz w:val="14"/>
        </w:rPr>
        <w:t>above</w:t>
      </w:r>
      <w:r>
        <w:rPr>
          <w:color w:val="231F20"/>
          <w:spacing w:val="-2"/>
          <w:sz w:val="14"/>
        </w:rPr>
        <w:t xml:space="preserve"> </w:t>
      </w:r>
      <w:r>
        <w:rPr>
          <w:color w:val="231F20"/>
          <w:sz w:val="14"/>
        </w:rPr>
        <w:t>Statement</w:t>
      </w:r>
      <w:r>
        <w:rPr>
          <w:color w:val="231F20"/>
          <w:spacing w:val="-1"/>
          <w:sz w:val="14"/>
        </w:rPr>
        <w:t xml:space="preserve"> </w:t>
      </w:r>
      <w:r>
        <w:rPr>
          <w:color w:val="231F20"/>
          <w:sz w:val="14"/>
        </w:rPr>
        <w:t>of</w:t>
      </w:r>
      <w:r>
        <w:rPr>
          <w:color w:val="231F20"/>
          <w:spacing w:val="-2"/>
          <w:sz w:val="14"/>
        </w:rPr>
        <w:t xml:space="preserve"> </w:t>
      </w:r>
      <w:r>
        <w:rPr>
          <w:color w:val="231F20"/>
          <w:sz w:val="14"/>
        </w:rPr>
        <w:t>Changes</w:t>
      </w:r>
      <w:r>
        <w:rPr>
          <w:color w:val="231F20"/>
          <w:spacing w:val="-2"/>
          <w:sz w:val="14"/>
        </w:rPr>
        <w:t xml:space="preserve"> </w:t>
      </w:r>
      <w:r>
        <w:rPr>
          <w:color w:val="231F20"/>
          <w:sz w:val="14"/>
        </w:rPr>
        <w:t>in</w:t>
      </w:r>
      <w:r>
        <w:rPr>
          <w:color w:val="231F20"/>
          <w:spacing w:val="-1"/>
          <w:sz w:val="14"/>
        </w:rPr>
        <w:t xml:space="preserve"> </w:t>
      </w:r>
      <w:r>
        <w:rPr>
          <w:color w:val="231F20"/>
          <w:sz w:val="14"/>
        </w:rPr>
        <w:t>Equity</w:t>
      </w:r>
      <w:r>
        <w:rPr>
          <w:color w:val="231F20"/>
          <w:spacing w:val="-2"/>
          <w:sz w:val="14"/>
        </w:rPr>
        <w:t xml:space="preserve"> </w:t>
      </w:r>
      <w:r>
        <w:rPr>
          <w:color w:val="231F20"/>
          <w:sz w:val="14"/>
        </w:rPr>
        <w:t>should</w:t>
      </w:r>
      <w:r>
        <w:rPr>
          <w:color w:val="231F20"/>
          <w:spacing w:val="-2"/>
          <w:sz w:val="14"/>
        </w:rPr>
        <w:t xml:space="preserve"> </w:t>
      </w:r>
      <w:r>
        <w:rPr>
          <w:color w:val="231F20"/>
          <w:sz w:val="14"/>
        </w:rPr>
        <w:t>be</w:t>
      </w:r>
      <w:r>
        <w:rPr>
          <w:color w:val="231F20"/>
          <w:spacing w:val="-1"/>
          <w:sz w:val="14"/>
        </w:rPr>
        <w:t xml:space="preserve"> </w:t>
      </w:r>
      <w:r>
        <w:rPr>
          <w:color w:val="231F20"/>
          <w:sz w:val="14"/>
        </w:rPr>
        <w:t>read</w:t>
      </w:r>
      <w:r>
        <w:rPr>
          <w:color w:val="231F20"/>
          <w:spacing w:val="-2"/>
          <w:sz w:val="14"/>
        </w:rPr>
        <w:t xml:space="preserve"> </w:t>
      </w:r>
      <w:r>
        <w:rPr>
          <w:color w:val="231F20"/>
          <w:sz w:val="14"/>
        </w:rPr>
        <w:t>in</w:t>
      </w:r>
      <w:r>
        <w:rPr>
          <w:color w:val="231F20"/>
          <w:spacing w:val="-2"/>
          <w:sz w:val="14"/>
        </w:rPr>
        <w:t xml:space="preserve"> </w:t>
      </w:r>
      <w:r>
        <w:rPr>
          <w:color w:val="231F20"/>
          <w:sz w:val="14"/>
        </w:rPr>
        <w:t>conjunction</w:t>
      </w:r>
      <w:r>
        <w:rPr>
          <w:color w:val="231F20"/>
          <w:spacing w:val="-1"/>
          <w:sz w:val="14"/>
        </w:rPr>
        <w:t xml:space="preserve"> </w:t>
      </w:r>
      <w:r>
        <w:rPr>
          <w:color w:val="231F20"/>
          <w:sz w:val="14"/>
        </w:rPr>
        <w:t>with</w:t>
      </w:r>
      <w:r>
        <w:rPr>
          <w:color w:val="231F20"/>
          <w:spacing w:val="-2"/>
          <w:sz w:val="14"/>
        </w:rPr>
        <w:t xml:space="preserve"> </w:t>
      </w:r>
      <w:r>
        <w:rPr>
          <w:color w:val="231F20"/>
          <w:sz w:val="14"/>
        </w:rPr>
        <w:t>the</w:t>
      </w:r>
      <w:r>
        <w:rPr>
          <w:color w:val="231F20"/>
          <w:spacing w:val="-2"/>
          <w:sz w:val="14"/>
        </w:rPr>
        <w:t xml:space="preserve"> </w:t>
      </w:r>
      <w:r>
        <w:rPr>
          <w:color w:val="231F20"/>
          <w:sz w:val="14"/>
        </w:rPr>
        <w:t>accompanying</w:t>
      </w:r>
      <w:r>
        <w:rPr>
          <w:color w:val="231F20"/>
          <w:spacing w:val="-1"/>
          <w:sz w:val="14"/>
        </w:rPr>
        <w:t xml:space="preserve"> </w:t>
      </w:r>
      <w:r>
        <w:rPr>
          <w:color w:val="231F20"/>
          <w:spacing w:val="-2"/>
          <w:sz w:val="14"/>
        </w:rPr>
        <w:t>notes.</w:t>
      </w:r>
    </w:p>
    <w:p w14:paraId="3295B3C9" w14:textId="77777777" w:rsidR="00345EE3" w:rsidRDefault="00345EE3" w:rsidP="00345EE3">
      <w:pPr>
        <w:rPr>
          <w:color w:val="231F20"/>
          <w:spacing w:val="-2"/>
          <w:sz w:val="14"/>
        </w:rPr>
      </w:pPr>
      <w:r>
        <w:rPr>
          <w:color w:val="231F20"/>
          <w:spacing w:val="-2"/>
          <w:sz w:val="14"/>
        </w:rPr>
        <w:br w:type="page"/>
      </w:r>
    </w:p>
    <w:p w14:paraId="341EECFA" w14:textId="77777777" w:rsidR="00345EE3" w:rsidRPr="00D6225D" w:rsidRDefault="00345EE3" w:rsidP="00345EE3">
      <w:pPr>
        <w:pStyle w:val="Heading2"/>
        <w:rPr>
          <w:sz w:val="32"/>
          <w:szCs w:val="32"/>
        </w:rPr>
      </w:pPr>
      <w:r w:rsidRPr="00D6225D">
        <w:rPr>
          <w:color w:val="00529F"/>
          <w:sz w:val="32"/>
          <w:szCs w:val="32"/>
        </w:rPr>
        <w:t>Cash</w:t>
      </w:r>
      <w:r w:rsidRPr="00D6225D">
        <w:rPr>
          <w:color w:val="00529F"/>
          <w:spacing w:val="-11"/>
          <w:sz w:val="32"/>
          <w:szCs w:val="32"/>
        </w:rPr>
        <w:t xml:space="preserve"> </w:t>
      </w:r>
      <w:r w:rsidRPr="00D6225D">
        <w:rPr>
          <w:color w:val="00529F"/>
          <w:sz w:val="32"/>
          <w:szCs w:val="32"/>
        </w:rPr>
        <w:t>Flow</w:t>
      </w:r>
      <w:r w:rsidRPr="00D6225D">
        <w:rPr>
          <w:color w:val="00529F"/>
          <w:spacing w:val="-10"/>
          <w:sz w:val="32"/>
          <w:szCs w:val="32"/>
        </w:rPr>
        <w:t xml:space="preserve"> </w:t>
      </w:r>
      <w:r w:rsidRPr="00D6225D">
        <w:rPr>
          <w:color w:val="00529F"/>
          <w:spacing w:val="-2"/>
          <w:sz w:val="32"/>
          <w:szCs w:val="32"/>
        </w:rPr>
        <w:t>Statement</w:t>
      </w:r>
    </w:p>
    <w:p w14:paraId="21760D30" w14:textId="77777777" w:rsidR="00345EE3" w:rsidRDefault="00345EE3" w:rsidP="00345EE3">
      <w:pPr>
        <w:pStyle w:val="Heading5"/>
        <w:spacing w:before="72"/>
      </w:pPr>
      <w:r>
        <w:rPr>
          <w:color w:val="231F20"/>
        </w:rPr>
        <w:t>For</w:t>
      </w:r>
      <w:r>
        <w:rPr>
          <w:color w:val="231F20"/>
          <w:spacing w:val="-5"/>
        </w:rPr>
        <w:t xml:space="preserve"> </w:t>
      </w:r>
      <w:r>
        <w:rPr>
          <w:color w:val="231F20"/>
        </w:rPr>
        <w:t>the</w:t>
      </w:r>
      <w:r>
        <w:rPr>
          <w:color w:val="231F20"/>
          <w:spacing w:val="-4"/>
        </w:rPr>
        <w:t xml:space="preserve"> </w:t>
      </w:r>
      <w:r>
        <w:rPr>
          <w:color w:val="231F20"/>
        </w:rPr>
        <w:t>financial</w:t>
      </w:r>
      <w:r>
        <w:rPr>
          <w:color w:val="231F20"/>
          <w:spacing w:val="-3"/>
        </w:rPr>
        <w:t xml:space="preserve"> </w:t>
      </w:r>
      <w:r>
        <w:rPr>
          <w:color w:val="231F20"/>
        </w:rPr>
        <w:t>year</w:t>
      </w:r>
      <w:r>
        <w:rPr>
          <w:color w:val="231F20"/>
          <w:spacing w:val="-4"/>
        </w:rPr>
        <w:t xml:space="preserve"> </w:t>
      </w:r>
      <w:r>
        <w:rPr>
          <w:color w:val="231F20"/>
        </w:rPr>
        <w:t>ended</w:t>
      </w:r>
      <w:r>
        <w:rPr>
          <w:color w:val="231F20"/>
          <w:spacing w:val="-3"/>
        </w:rPr>
        <w:t xml:space="preserve"> </w:t>
      </w:r>
      <w:r>
        <w:rPr>
          <w:color w:val="231F20"/>
        </w:rPr>
        <w:t>30</w:t>
      </w:r>
      <w:r>
        <w:rPr>
          <w:color w:val="231F20"/>
          <w:spacing w:val="-4"/>
        </w:rPr>
        <w:t xml:space="preserve"> </w:t>
      </w:r>
      <w:r>
        <w:rPr>
          <w:color w:val="231F20"/>
        </w:rPr>
        <w:t>June</w:t>
      </w:r>
      <w:r>
        <w:rPr>
          <w:color w:val="231F20"/>
          <w:spacing w:val="-4"/>
        </w:rPr>
        <w:t xml:space="preserve"> 2022</w:t>
      </w:r>
    </w:p>
    <w:p w14:paraId="48E4A029" w14:textId="77777777" w:rsidR="00345EE3" w:rsidRDefault="00345EE3" w:rsidP="00345EE3">
      <w:pPr>
        <w:pStyle w:val="BodyText"/>
        <w:spacing w:before="6"/>
        <w:rPr>
          <w:b/>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520"/>
        <w:gridCol w:w="964"/>
        <w:gridCol w:w="1361"/>
        <w:gridCol w:w="1361"/>
      </w:tblGrid>
      <w:tr w:rsidR="00345EE3" w14:paraId="29C0B452" w14:textId="77777777" w:rsidTr="00D73130">
        <w:trPr>
          <w:trHeight w:val="405"/>
        </w:trPr>
        <w:tc>
          <w:tcPr>
            <w:tcW w:w="10206" w:type="dxa"/>
            <w:gridSpan w:val="4"/>
            <w:tcBorders>
              <w:top w:val="nil"/>
              <w:left w:val="nil"/>
              <w:bottom w:val="nil"/>
              <w:right w:val="nil"/>
            </w:tcBorders>
            <w:shd w:val="clear" w:color="auto" w:fill="00529F"/>
          </w:tcPr>
          <w:p w14:paraId="05E127CE" w14:textId="77777777" w:rsidR="00345EE3" w:rsidRDefault="00345EE3" w:rsidP="00D73130">
            <w:pPr>
              <w:pStyle w:val="TableParagraph"/>
              <w:spacing w:before="63"/>
              <w:ind w:right="1"/>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1C429B5F" w14:textId="77777777" w:rsidTr="00D73130">
        <w:trPr>
          <w:trHeight w:val="397"/>
        </w:trPr>
        <w:tc>
          <w:tcPr>
            <w:tcW w:w="6520" w:type="dxa"/>
            <w:tcBorders>
              <w:top w:val="nil"/>
              <w:left w:val="nil"/>
              <w:bottom w:val="nil"/>
              <w:right w:val="nil"/>
            </w:tcBorders>
            <w:shd w:val="clear" w:color="auto" w:fill="00529F"/>
          </w:tcPr>
          <w:p w14:paraId="60D28740" w14:textId="77777777" w:rsidR="00345EE3" w:rsidRDefault="00345EE3" w:rsidP="00D73130">
            <w:pPr>
              <w:pStyle w:val="TableParagraph"/>
              <w:spacing w:before="0"/>
              <w:jc w:val="left"/>
              <w:rPr>
                <w:rFonts w:ascii="Times New Roman"/>
              </w:rPr>
            </w:pPr>
          </w:p>
        </w:tc>
        <w:tc>
          <w:tcPr>
            <w:tcW w:w="964" w:type="dxa"/>
            <w:tcBorders>
              <w:top w:val="nil"/>
              <w:left w:val="nil"/>
              <w:bottom w:val="nil"/>
              <w:right w:val="nil"/>
            </w:tcBorders>
            <w:shd w:val="clear" w:color="auto" w:fill="00529F"/>
          </w:tcPr>
          <w:p w14:paraId="079B9DCF" w14:textId="77777777" w:rsidR="00345EE3" w:rsidRDefault="00345EE3" w:rsidP="00D73130">
            <w:pPr>
              <w:pStyle w:val="TableParagraph"/>
              <w:spacing w:before="59"/>
              <w:ind w:right="3"/>
              <w:rPr>
                <w:b/>
                <w:sz w:val="24"/>
              </w:rPr>
            </w:pPr>
            <w:r>
              <w:rPr>
                <w:b/>
                <w:color w:val="FFFFFF"/>
                <w:spacing w:val="-2"/>
                <w:sz w:val="24"/>
              </w:rPr>
              <w:t>Notes</w:t>
            </w:r>
          </w:p>
        </w:tc>
        <w:tc>
          <w:tcPr>
            <w:tcW w:w="1361" w:type="dxa"/>
            <w:tcBorders>
              <w:top w:val="nil"/>
              <w:left w:val="nil"/>
              <w:bottom w:val="nil"/>
              <w:right w:val="nil"/>
            </w:tcBorders>
            <w:shd w:val="clear" w:color="auto" w:fill="00529F"/>
          </w:tcPr>
          <w:p w14:paraId="7801D5D4" w14:textId="77777777" w:rsidR="00345EE3" w:rsidRDefault="00345EE3" w:rsidP="00D73130">
            <w:pPr>
              <w:pStyle w:val="TableParagraph"/>
              <w:spacing w:before="59"/>
              <w:ind w:right="58"/>
              <w:rPr>
                <w:b/>
                <w:sz w:val="24"/>
              </w:rPr>
            </w:pPr>
            <w:r>
              <w:rPr>
                <w:b/>
                <w:color w:val="FFFFFF"/>
                <w:spacing w:val="-4"/>
                <w:sz w:val="24"/>
              </w:rPr>
              <w:t>2022</w:t>
            </w:r>
          </w:p>
        </w:tc>
        <w:tc>
          <w:tcPr>
            <w:tcW w:w="1361" w:type="dxa"/>
            <w:tcBorders>
              <w:top w:val="nil"/>
              <w:left w:val="nil"/>
              <w:bottom w:val="nil"/>
              <w:right w:val="nil"/>
            </w:tcBorders>
            <w:shd w:val="clear" w:color="auto" w:fill="00529F"/>
          </w:tcPr>
          <w:p w14:paraId="797518BA" w14:textId="77777777" w:rsidR="00345EE3" w:rsidRDefault="00345EE3" w:rsidP="00D73130">
            <w:pPr>
              <w:pStyle w:val="TableParagraph"/>
              <w:spacing w:before="59"/>
              <w:ind w:left="1"/>
              <w:rPr>
                <w:b/>
                <w:sz w:val="24"/>
              </w:rPr>
            </w:pPr>
            <w:r>
              <w:rPr>
                <w:b/>
                <w:color w:val="FFFFFF"/>
                <w:spacing w:val="-4"/>
                <w:sz w:val="24"/>
              </w:rPr>
              <w:t>2021</w:t>
            </w:r>
          </w:p>
        </w:tc>
      </w:tr>
      <w:tr w:rsidR="00345EE3" w14:paraId="76DC220E" w14:textId="77777777" w:rsidTr="00D73130">
        <w:trPr>
          <w:trHeight w:val="396"/>
        </w:trPr>
        <w:tc>
          <w:tcPr>
            <w:tcW w:w="6520" w:type="dxa"/>
            <w:tcBorders>
              <w:top w:val="nil"/>
              <w:left w:val="nil"/>
              <w:right w:val="dashed" w:sz="2" w:space="0" w:color="939598"/>
            </w:tcBorders>
          </w:tcPr>
          <w:p w14:paraId="424F5278" w14:textId="77777777" w:rsidR="00345EE3" w:rsidRDefault="00345EE3" w:rsidP="00D73130">
            <w:pPr>
              <w:pStyle w:val="TableParagraph"/>
              <w:ind w:left="-3"/>
              <w:jc w:val="left"/>
              <w:rPr>
                <w:b/>
                <w:sz w:val="24"/>
              </w:rPr>
            </w:pP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Operating</w:t>
            </w:r>
            <w:r>
              <w:rPr>
                <w:b/>
                <w:color w:val="231F20"/>
                <w:spacing w:val="-10"/>
                <w:sz w:val="24"/>
              </w:rPr>
              <w:t xml:space="preserve"> </w:t>
            </w:r>
            <w:r>
              <w:rPr>
                <w:b/>
                <w:color w:val="231F20"/>
                <w:spacing w:val="-2"/>
                <w:sz w:val="24"/>
              </w:rPr>
              <w:t>Activities</w:t>
            </w:r>
          </w:p>
        </w:tc>
        <w:tc>
          <w:tcPr>
            <w:tcW w:w="964" w:type="dxa"/>
            <w:tcBorders>
              <w:top w:val="nil"/>
              <w:left w:val="dashed" w:sz="2" w:space="0" w:color="939598"/>
              <w:right w:val="dashed" w:sz="2" w:space="0" w:color="939598"/>
            </w:tcBorders>
          </w:tcPr>
          <w:p w14:paraId="781B9FF4" w14:textId="77777777" w:rsidR="00345EE3" w:rsidRDefault="00345EE3" w:rsidP="00D73130">
            <w:pPr>
              <w:pStyle w:val="TableParagraph"/>
              <w:spacing w:before="0"/>
              <w:jc w:val="left"/>
              <w:rPr>
                <w:rFonts w:ascii="Times New Roman"/>
              </w:rPr>
            </w:pPr>
          </w:p>
        </w:tc>
        <w:tc>
          <w:tcPr>
            <w:tcW w:w="1361" w:type="dxa"/>
            <w:tcBorders>
              <w:top w:val="nil"/>
              <w:left w:val="dashed" w:sz="2" w:space="0" w:color="939598"/>
            </w:tcBorders>
            <w:shd w:val="clear" w:color="auto" w:fill="E6E7E8"/>
          </w:tcPr>
          <w:p w14:paraId="56D45617" w14:textId="77777777" w:rsidR="00345EE3" w:rsidRDefault="00345EE3" w:rsidP="00D73130">
            <w:pPr>
              <w:pStyle w:val="TableParagraph"/>
              <w:spacing w:before="0"/>
              <w:jc w:val="left"/>
              <w:rPr>
                <w:rFonts w:ascii="Times New Roman"/>
              </w:rPr>
            </w:pPr>
          </w:p>
        </w:tc>
        <w:tc>
          <w:tcPr>
            <w:tcW w:w="1361" w:type="dxa"/>
            <w:tcBorders>
              <w:top w:val="nil"/>
              <w:right w:val="nil"/>
            </w:tcBorders>
          </w:tcPr>
          <w:p w14:paraId="2AF79356" w14:textId="77777777" w:rsidR="00345EE3" w:rsidRDefault="00345EE3" w:rsidP="00D73130">
            <w:pPr>
              <w:pStyle w:val="TableParagraph"/>
              <w:spacing w:before="0"/>
              <w:jc w:val="left"/>
              <w:rPr>
                <w:rFonts w:ascii="Times New Roman"/>
              </w:rPr>
            </w:pPr>
          </w:p>
        </w:tc>
      </w:tr>
      <w:tr w:rsidR="00345EE3" w14:paraId="3BB87411" w14:textId="77777777" w:rsidTr="00D73130">
        <w:trPr>
          <w:trHeight w:val="396"/>
        </w:trPr>
        <w:tc>
          <w:tcPr>
            <w:tcW w:w="6520" w:type="dxa"/>
            <w:tcBorders>
              <w:left w:val="nil"/>
              <w:right w:val="dashed" w:sz="2" w:space="0" w:color="939598"/>
            </w:tcBorders>
          </w:tcPr>
          <w:p w14:paraId="76136ECA" w14:textId="77777777" w:rsidR="00345EE3" w:rsidRDefault="00345EE3" w:rsidP="00D73130">
            <w:pPr>
              <w:pStyle w:val="TableParagraph"/>
              <w:ind w:left="167"/>
              <w:jc w:val="left"/>
              <w:rPr>
                <w:b/>
                <w:sz w:val="24"/>
              </w:rPr>
            </w:pPr>
            <w:r>
              <w:rPr>
                <w:b/>
                <w:color w:val="231F20"/>
                <w:spacing w:val="-2"/>
                <w:sz w:val="24"/>
              </w:rPr>
              <w:t>Receipts</w:t>
            </w:r>
          </w:p>
        </w:tc>
        <w:tc>
          <w:tcPr>
            <w:tcW w:w="964" w:type="dxa"/>
            <w:tcBorders>
              <w:left w:val="dashed" w:sz="2" w:space="0" w:color="939598"/>
              <w:right w:val="dashed" w:sz="2" w:space="0" w:color="939598"/>
            </w:tcBorders>
          </w:tcPr>
          <w:p w14:paraId="628E3763" w14:textId="77777777" w:rsidR="00345EE3" w:rsidRDefault="00345EE3" w:rsidP="00D73130">
            <w:pPr>
              <w:pStyle w:val="TableParagraph"/>
              <w:spacing w:before="0"/>
              <w:jc w:val="left"/>
              <w:rPr>
                <w:rFonts w:ascii="Times New Roman"/>
              </w:rPr>
            </w:pPr>
          </w:p>
        </w:tc>
        <w:tc>
          <w:tcPr>
            <w:tcW w:w="1361" w:type="dxa"/>
            <w:tcBorders>
              <w:left w:val="dashed" w:sz="2" w:space="0" w:color="939598"/>
            </w:tcBorders>
            <w:shd w:val="clear" w:color="auto" w:fill="E6E7E8"/>
          </w:tcPr>
          <w:p w14:paraId="04EFC27C" w14:textId="77777777" w:rsidR="00345EE3" w:rsidRDefault="00345EE3" w:rsidP="00D73130">
            <w:pPr>
              <w:pStyle w:val="TableParagraph"/>
              <w:spacing w:before="0"/>
              <w:jc w:val="left"/>
              <w:rPr>
                <w:rFonts w:ascii="Times New Roman"/>
              </w:rPr>
            </w:pPr>
          </w:p>
        </w:tc>
        <w:tc>
          <w:tcPr>
            <w:tcW w:w="1361" w:type="dxa"/>
            <w:tcBorders>
              <w:right w:val="nil"/>
            </w:tcBorders>
          </w:tcPr>
          <w:p w14:paraId="7D04C9A3" w14:textId="77777777" w:rsidR="00345EE3" w:rsidRDefault="00345EE3" w:rsidP="00D73130">
            <w:pPr>
              <w:pStyle w:val="TableParagraph"/>
              <w:spacing w:before="0"/>
              <w:jc w:val="left"/>
              <w:rPr>
                <w:rFonts w:ascii="Times New Roman"/>
              </w:rPr>
            </w:pPr>
          </w:p>
        </w:tc>
      </w:tr>
      <w:tr w:rsidR="00345EE3" w14:paraId="4A490D60" w14:textId="77777777" w:rsidTr="00D73130">
        <w:trPr>
          <w:trHeight w:val="396"/>
        </w:trPr>
        <w:tc>
          <w:tcPr>
            <w:tcW w:w="6520" w:type="dxa"/>
            <w:tcBorders>
              <w:left w:val="nil"/>
              <w:right w:val="dashed" w:sz="2" w:space="0" w:color="939598"/>
            </w:tcBorders>
          </w:tcPr>
          <w:p w14:paraId="2E4981C6" w14:textId="77777777" w:rsidR="00345EE3" w:rsidRDefault="00345EE3" w:rsidP="00D73130">
            <w:pPr>
              <w:pStyle w:val="TableParagraph"/>
              <w:ind w:left="167"/>
              <w:jc w:val="left"/>
              <w:rPr>
                <w:sz w:val="24"/>
              </w:rPr>
            </w:pPr>
            <w:r>
              <w:rPr>
                <w:color w:val="231F20"/>
                <w:sz w:val="24"/>
              </w:rPr>
              <w:t>Receipts</w:t>
            </w:r>
            <w:r>
              <w:rPr>
                <w:color w:val="231F20"/>
                <w:spacing w:val="-8"/>
                <w:sz w:val="24"/>
              </w:rPr>
              <w:t xml:space="preserve"> </w:t>
            </w:r>
            <w:r>
              <w:rPr>
                <w:color w:val="231F20"/>
                <w:sz w:val="24"/>
              </w:rPr>
              <w:t>from</w:t>
            </w:r>
            <w:r>
              <w:rPr>
                <w:color w:val="231F20"/>
                <w:spacing w:val="-6"/>
                <w:sz w:val="24"/>
              </w:rPr>
              <w:t xml:space="preserve"> </w:t>
            </w:r>
            <w:r>
              <w:rPr>
                <w:color w:val="231F20"/>
                <w:sz w:val="24"/>
              </w:rPr>
              <w:t>Victorian</w:t>
            </w:r>
            <w:r>
              <w:rPr>
                <w:color w:val="231F20"/>
                <w:spacing w:val="-7"/>
                <w:sz w:val="24"/>
              </w:rPr>
              <w:t xml:space="preserve"> </w:t>
            </w:r>
            <w:r>
              <w:rPr>
                <w:color w:val="231F20"/>
                <w:spacing w:val="-2"/>
                <w:sz w:val="24"/>
              </w:rPr>
              <w:t>Government</w:t>
            </w:r>
          </w:p>
        </w:tc>
        <w:tc>
          <w:tcPr>
            <w:tcW w:w="964" w:type="dxa"/>
            <w:tcBorders>
              <w:left w:val="dashed" w:sz="2" w:space="0" w:color="939598"/>
              <w:right w:val="dashed" w:sz="2" w:space="0" w:color="939598"/>
            </w:tcBorders>
          </w:tcPr>
          <w:p w14:paraId="55045B5A" w14:textId="77777777" w:rsidR="00345EE3" w:rsidRDefault="00345EE3" w:rsidP="00D73130">
            <w:pPr>
              <w:pStyle w:val="TableParagraph"/>
              <w:spacing w:before="0"/>
              <w:jc w:val="left"/>
              <w:rPr>
                <w:rFonts w:ascii="Times New Roman"/>
              </w:rPr>
            </w:pPr>
          </w:p>
        </w:tc>
        <w:tc>
          <w:tcPr>
            <w:tcW w:w="1361" w:type="dxa"/>
            <w:tcBorders>
              <w:left w:val="dashed" w:sz="2" w:space="0" w:color="939598"/>
            </w:tcBorders>
            <w:shd w:val="clear" w:color="auto" w:fill="E6E7E8"/>
          </w:tcPr>
          <w:p w14:paraId="23315E0B" w14:textId="77777777" w:rsidR="00345EE3" w:rsidRDefault="00345EE3" w:rsidP="00D73130">
            <w:pPr>
              <w:pStyle w:val="TableParagraph"/>
              <w:ind w:right="56"/>
              <w:rPr>
                <w:sz w:val="24"/>
              </w:rPr>
            </w:pPr>
            <w:r>
              <w:rPr>
                <w:color w:val="231F20"/>
                <w:spacing w:val="-2"/>
                <w:sz w:val="24"/>
              </w:rPr>
              <w:t>3,861,432</w:t>
            </w:r>
          </w:p>
        </w:tc>
        <w:tc>
          <w:tcPr>
            <w:tcW w:w="1361" w:type="dxa"/>
            <w:tcBorders>
              <w:right w:val="nil"/>
            </w:tcBorders>
          </w:tcPr>
          <w:p w14:paraId="37F19760" w14:textId="77777777" w:rsidR="00345EE3" w:rsidRDefault="00345EE3" w:rsidP="00D73130">
            <w:pPr>
              <w:pStyle w:val="TableParagraph"/>
              <w:ind w:right="56"/>
              <w:rPr>
                <w:sz w:val="24"/>
              </w:rPr>
            </w:pPr>
            <w:r>
              <w:rPr>
                <w:color w:val="231F20"/>
                <w:spacing w:val="-2"/>
                <w:sz w:val="24"/>
              </w:rPr>
              <w:t>3,985,563</w:t>
            </w:r>
          </w:p>
        </w:tc>
      </w:tr>
      <w:tr w:rsidR="00345EE3" w14:paraId="4CFC8618" w14:textId="77777777" w:rsidTr="00D73130">
        <w:trPr>
          <w:trHeight w:val="396"/>
        </w:trPr>
        <w:tc>
          <w:tcPr>
            <w:tcW w:w="6520" w:type="dxa"/>
            <w:tcBorders>
              <w:left w:val="nil"/>
              <w:right w:val="dashed" w:sz="2" w:space="0" w:color="939598"/>
            </w:tcBorders>
          </w:tcPr>
          <w:p w14:paraId="6F92EAFF" w14:textId="77777777" w:rsidR="00345EE3" w:rsidRDefault="00345EE3" w:rsidP="00D73130">
            <w:pPr>
              <w:pStyle w:val="TableParagraph"/>
              <w:ind w:left="167"/>
              <w:jc w:val="left"/>
              <w:rPr>
                <w:sz w:val="24"/>
              </w:rPr>
            </w:pPr>
            <w:r>
              <w:rPr>
                <w:color w:val="231F20"/>
                <w:sz w:val="24"/>
              </w:rPr>
              <w:t>Grants</w:t>
            </w:r>
            <w:r>
              <w:rPr>
                <w:color w:val="231F20"/>
                <w:spacing w:val="-3"/>
                <w:sz w:val="24"/>
              </w:rPr>
              <w:t xml:space="preserve"> </w:t>
            </w:r>
            <w:r>
              <w:rPr>
                <w:color w:val="231F20"/>
                <w:sz w:val="24"/>
              </w:rPr>
              <w:t>and</w:t>
            </w:r>
            <w:r>
              <w:rPr>
                <w:color w:val="231F20"/>
                <w:spacing w:val="-3"/>
                <w:sz w:val="24"/>
              </w:rPr>
              <w:t xml:space="preserve"> </w:t>
            </w:r>
            <w:r>
              <w:rPr>
                <w:color w:val="231F20"/>
                <w:sz w:val="24"/>
              </w:rPr>
              <w:t>other</w:t>
            </w:r>
            <w:r>
              <w:rPr>
                <w:color w:val="231F20"/>
                <w:spacing w:val="-2"/>
                <w:sz w:val="24"/>
              </w:rPr>
              <w:t xml:space="preserve"> income</w:t>
            </w:r>
          </w:p>
        </w:tc>
        <w:tc>
          <w:tcPr>
            <w:tcW w:w="964" w:type="dxa"/>
            <w:tcBorders>
              <w:left w:val="dashed" w:sz="2" w:space="0" w:color="939598"/>
              <w:right w:val="dashed" w:sz="2" w:space="0" w:color="939598"/>
            </w:tcBorders>
          </w:tcPr>
          <w:p w14:paraId="724E31A5" w14:textId="77777777" w:rsidR="00345EE3" w:rsidRDefault="00345EE3" w:rsidP="00D73130">
            <w:pPr>
              <w:pStyle w:val="TableParagraph"/>
              <w:spacing w:before="0"/>
              <w:jc w:val="left"/>
              <w:rPr>
                <w:rFonts w:ascii="Times New Roman"/>
              </w:rPr>
            </w:pPr>
          </w:p>
        </w:tc>
        <w:tc>
          <w:tcPr>
            <w:tcW w:w="1361" w:type="dxa"/>
            <w:tcBorders>
              <w:left w:val="dashed" w:sz="2" w:space="0" w:color="939598"/>
            </w:tcBorders>
            <w:shd w:val="clear" w:color="auto" w:fill="E6E7E8"/>
          </w:tcPr>
          <w:p w14:paraId="3CD36E45" w14:textId="77777777" w:rsidR="00345EE3" w:rsidRDefault="00345EE3" w:rsidP="00D73130">
            <w:pPr>
              <w:pStyle w:val="TableParagraph"/>
              <w:ind w:right="56"/>
              <w:rPr>
                <w:sz w:val="24"/>
              </w:rPr>
            </w:pPr>
            <w:r>
              <w:rPr>
                <w:color w:val="231F20"/>
                <w:spacing w:val="-2"/>
                <w:sz w:val="24"/>
              </w:rPr>
              <w:t>18,716</w:t>
            </w:r>
          </w:p>
        </w:tc>
        <w:tc>
          <w:tcPr>
            <w:tcW w:w="1361" w:type="dxa"/>
            <w:tcBorders>
              <w:right w:val="nil"/>
            </w:tcBorders>
          </w:tcPr>
          <w:p w14:paraId="163A1321" w14:textId="77777777" w:rsidR="00345EE3" w:rsidRDefault="00345EE3" w:rsidP="00D73130">
            <w:pPr>
              <w:pStyle w:val="TableParagraph"/>
              <w:ind w:right="56"/>
              <w:rPr>
                <w:sz w:val="24"/>
              </w:rPr>
            </w:pPr>
            <w:r>
              <w:rPr>
                <w:color w:val="231F20"/>
                <w:spacing w:val="-2"/>
                <w:sz w:val="24"/>
              </w:rPr>
              <w:t>18,547</w:t>
            </w:r>
          </w:p>
        </w:tc>
      </w:tr>
      <w:tr w:rsidR="00345EE3" w14:paraId="403F2C20" w14:textId="77777777" w:rsidTr="00D73130">
        <w:trPr>
          <w:trHeight w:val="396"/>
        </w:trPr>
        <w:tc>
          <w:tcPr>
            <w:tcW w:w="6520" w:type="dxa"/>
            <w:tcBorders>
              <w:left w:val="nil"/>
              <w:right w:val="dashed" w:sz="2" w:space="0" w:color="939598"/>
            </w:tcBorders>
          </w:tcPr>
          <w:p w14:paraId="0EB12DE6" w14:textId="77777777" w:rsidR="00345EE3" w:rsidRDefault="00345EE3" w:rsidP="00D73130">
            <w:pPr>
              <w:pStyle w:val="TableParagraph"/>
              <w:ind w:left="167"/>
              <w:jc w:val="left"/>
              <w:rPr>
                <w:sz w:val="24"/>
              </w:rPr>
            </w:pPr>
            <w:r>
              <w:rPr>
                <w:color w:val="231F20"/>
                <w:sz w:val="24"/>
              </w:rPr>
              <w:t>Sales</w:t>
            </w:r>
            <w:r>
              <w:rPr>
                <w:color w:val="231F20"/>
                <w:spacing w:val="-2"/>
                <w:sz w:val="24"/>
              </w:rPr>
              <w:t xml:space="preserve"> </w:t>
            </w:r>
            <w:r>
              <w:rPr>
                <w:color w:val="231F20"/>
                <w:sz w:val="24"/>
              </w:rPr>
              <w:t>of</w:t>
            </w:r>
            <w:r>
              <w:rPr>
                <w:color w:val="231F20"/>
                <w:spacing w:val="-3"/>
                <w:sz w:val="24"/>
              </w:rPr>
              <w:t xml:space="preserve"> </w:t>
            </w:r>
            <w:r>
              <w:rPr>
                <w:color w:val="231F20"/>
                <w:sz w:val="24"/>
              </w:rPr>
              <w:t>goods</w:t>
            </w:r>
            <w:r>
              <w:rPr>
                <w:color w:val="231F20"/>
                <w:spacing w:val="-3"/>
                <w:sz w:val="24"/>
              </w:rPr>
              <w:t xml:space="preserve"> </w:t>
            </w:r>
            <w:r>
              <w:rPr>
                <w:color w:val="231F20"/>
                <w:sz w:val="24"/>
              </w:rPr>
              <w:t>and</w:t>
            </w:r>
            <w:r>
              <w:rPr>
                <w:color w:val="231F20"/>
                <w:spacing w:val="-2"/>
                <w:sz w:val="24"/>
              </w:rPr>
              <w:t xml:space="preserve"> services</w:t>
            </w:r>
          </w:p>
        </w:tc>
        <w:tc>
          <w:tcPr>
            <w:tcW w:w="964" w:type="dxa"/>
            <w:tcBorders>
              <w:left w:val="dashed" w:sz="2" w:space="0" w:color="939598"/>
              <w:right w:val="dashed" w:sz="2" w:space="0" w:color="939598"/>
            </w:tcBorders>
          </w:tcPr>
          <w:p w14:paraId="3E3A889A" w14:textId="77777777" w:rsidR="00345EE3" w:rsidRDefault="00345EE3" w:rsidP="00D73130">
            <w:pPr>
              <w:pStyle w:val="TableParagraph"/>
              <w:spacing w:before="0"/>
              <w:jc w:val="left"/>
              <w:rPr>
                <w:rFonts w:ascii="Times New Roman"/>
              </w:rPr>
            </w:pPr>
          </w:p>
        </w:tc>
        <w:tc>
          <w:tcPr>
            <w:tcW w:w="1361" w:type="dxa"/>
            <w:tcBorders>
              <w:left w:val="dashed" w:sz="2" w:space="0" w:color="939598"/>
            </w:tcBorders>
            <w:shd w:val="clear" w:color="auto" w:fill="E6E7E8"/>
          </w:tcPr>
          <w:p w14:paraId="669750B0" w14:textId="77777777" w:rsidR="00345EE3" w:rsidRDefault="00345EE3" w:rsidP="00D73130">
            <w:pPr>
              <w:pStyle w:val="TableParagraph"/>
              <w:ind w:right="56"/>
              <w:rPr>
                <w:sz w:val="24"/>
              </w:rPr>
            </w:pPr>
            <w:r>
              <w:rPr>
                <w:color w:val="231F20"/>
                <w:spacing w:val="-2"/>
                <w:sz w:val="24"/>
              </w:rPr>
              <w:t>1,553</w:t>
            </w:r>
          </w:p>
        </w:tc>
        <w:tc>
          <w:tcPr>
            <w:tcW w:w="1361" w:type="dxa"/>
            <w:tcBorders>
              <w:right w:val="nil"/>
            </w:tcBorders>
          </w:tcPr>
          <w:p w14:paraId="55FF5A7C" w14:textId="77777777" w:rsidR="00345EE3" w:rsidRDefault="00345EE3" w:rsidP="00D73130">
            <w:pPr>
              <w:pStyle w:val="TableParagraph"/>
              <w:ind w:right="56"/>
              <w:rPr>
                <w:sz w:val="24"/>
              </w:rPr>
            </w:pPr>
            <w:r>
              <w:rPr>
                <w:color w:val="231F20"/>
                <w:spacing w:val="-2"/>
                <w:sz w:val="24"/>
              </w:rPr>
              <w:t>1,341</w:t>
            </w:r>
          </w:p>
        </w:tc>
      </w:tr>
      <w:tr w:rsidR="00345EE3" w14:paraId="1D2F0EDE" w14:textId="77777777" w:rsidTr="00D73130">
        <w:trPr>
          <w:trHeight w:val="396"/>
        </w:trPr>
        <w:tc>
          <w:tcPr>
            <w:tcW w:w="6520" w:type="dxa"/>
            <w:tcBorders>
              <w:left w:val="nil"/>
              <w:right w:val="dashed" w:sz="2" w:space="0" w:color="939598"/>
            </w:tcBorders>
          </w:tcPr>
          <w:p w14:paraId="528CA2BD" w14:textId="77777777" w:rsidR="00345EE3" w:rsidRDefault="00345EE3" w:rsidP="00D73130">
            <w:pPr>
              <w:pStyle w:val="TableParagraph"/>
              <w:ind w:left="167"/>
              <w:jc w:val="left"/>
              <w:rPr>
                <w:sz w:val="24"/>
              </w:rPr>
            </w:pPr>
            <w:r>
              <w:rPr>
                <w:color w:val="231F20"/>
                <w:sz w:val="24"/>
              </w:rPr>
              <w:t xml:space="preserve">Interest </w:t>
            </w:r>
            <w:r>
              <w:rPr>
                <w:color w:val="231F20"/>
                <w:spacing w:val="-2"/>
                <w:sz w:val="24"/>
              </w:rPr>
              <w:t>received</w:t>
            </w:r>
          </w:p>
        </w:tc>
        <w:tc>
          <w:tcPr>
            <w:tcW w:w="964" w:type="dxa"/>
            <w:tcBorders>
              <w:left w:val="dashed" w:sz="2" w:space="0" w:color="939598"/>
              <w:right w:val="dashed" w:sz="2" w:space="0" w:color="939598"/>
            </w:tcBorders>
          </w:tcPr>
          <w:p w14:paraId="784C01B3" w14:textId="77777777" w:rsidR="00345EE3" w:rsidRDefault="00345EE3" w:rsidP="00D73130">
            <w:pPr>
              <w:pStyle w:val="TableParagraph"/>
              <w:ind w:right="1"/>
              <w:rPr>
                <w:sz w:val="24"/>
              </w:rPr>
            </w:pPr>
            <w:r>
              <w:rPr>
                <w:color w:val="231F20"/>
                <w:spacing w:val="-5"/>
                <w:sz w:val="24"/>
              </w:rPr>
              <w:t>2.1</w:t>
            </w:r>
          </w:p>
        </w:tc>
        <w:tc>
          <w:tcPr>
            <w:tcW w:w="1361" w:type="dxa"/>
            <w:tcBorders>
              <w:left w:val="dashed" w:sz="2" w:space="0" w:color="939598"/>
            </w:tcBorders>
            <w:shd w:val="clear" w:color="auto" w:fill="E6E7E8"/>
          </w:tcPr>
          <w:p w14:paraId="16EA3674" w14:textId="77777777" w:rsidR="00345EE3" w:rsidRDefault="00345EE3" w:rsidP="00D73130">
            <w:pPr>
              <w:pStyle w:val="TableParagraph"/>
              <w:ind w:right="53"/>
              <w:rPr>
                <w:sz w:val="24"/>
              </w:rPr>
            </w:pPr>
            <w:r>
              <w:rPr>
                <w:color w:val="231F20"/>
                <w:sz w:val="24"/>
              </w:rPr>
              <w:t>4</w:t>
            </w:r>
          </w:p>
        </w:tc>
        <w:tc>
          <w:tcPr>
            <w:tcW w:w="1361" w:type="dxa"/>
            <w:tcBorders>
              <w:right w:val="nil"/>
            </w:tcBorders>
          </w:tcPr>
          <w:p w14:paraId="3237AE86" w14:textId="77777777" w:rsidR="00345EE3" w:rsidRDefault="00345EE3" w:rsidP="00D73130">
            <w:pPr>
              <w:pStyle w:val="TableParagraph"/>
              <w:ind w:right="56"/>
              <w:rPr>
                <w:sz w:val="24"/>
              </w:rPr>
            </w:pPr>
            <w:r>
              <w:rPr>
                <w:color w:val="231F20"/>
                <w:spacing w:val="-5"/>
                <w:sz w:val="24"/>
              </w:rPr>
              <w:t>60</w:t>
            </w:r>
          </w:p>
        </w:tc>
      </w:tr>
      <w:tr w:rsidR="00345EE3" w14:paraId="5CC6E82C" w14:textId="77777777" w:rsidTr="00D73130">
        <w:trPr>
          <w:trHeight w:val="393"/>
        </w:trPr>
        <w:tc>
          <w:tcPr>
            <w:tcW w:w="6520" w:type="dxa"/>
            <w:tcBorders>
              <w:left w:val="nil"/>
              <w:bottom w:val="single" w:sz="4" w:space="0" w:color="231F20"/>
              <w:right w:val="dashed" w:sz="2" w:space="0" w:color="939598"/>
            </w:tcBorders>
          </w:tcPr>
          <w:p w14:paraId="315A195D" w14:textId="77777777" w:rsidR="00345EE3" w:rsidRDefault="00345EE3" w:rsidP="00D73130">
            <w:pPr>
              <w:pStyle w:val="TableParagraph"/>
              <w:ind w:left="167"/>
              <w:jc w:val="left"/>
              <w:rPr>
                <w:sz w:val="14"/>
              </w:rPr>
            </w:pPr>
            <w:r>
              <w:rPr>
                <w:color w:val="231F20"/>
                <w:sz w:val="24"/>
              </w:rPr>
              <w:t>GST</w:t>
            </w:r>
            <w:r>
              <w:rPr>
                <w:color w:val="231F20"/>
                <w:spacing w:val="-12"/>
                <w:sz w:val="24"/>
              </w:rPr>
              <w:t xml:space="preserve"> </w:t>
            </w:r>
            <w:r>
              <w:rPr>
                <w:color w:val="231F20"/>
                <w:sz w:val="24"/>
              </w:rPr>
              <w:t>received</w:t>
            </w:r>
            <w:r>
              <w:rPr>
                <w:color w:val="231F20"/>
                <w:spacing w:val="58"/>
                <w:sz w:val="24"/>
              </w:rPr>
              <w:t xml:space="preserve"> </w:t>
            </w:r>
            <w:r>
              <w:rPr>
                <w:color w:val="231F20"/>
                <w:sz w:val="24"/>
              </w:rPr>
              <w:t>from</w:t>
            </w:r>
            <w:r>
              <w:rPr>
                <w:color w:val="231F20"/>
                <w:spacing w:val="44"/>
                <w:sz w:val="24"/>
              </w:rPr>
              <w:t xml:space="preserve"> </w:t>
            </w:r>
            <w:r>
              <w:rPr>
                <w:color w:val="231F20"/>
                <w:sz w:val="24"/>
              </w:rPr>
              <w:t>ATO</w:t>
            </w:r>
            <w:r>
              <w:rPr>
                <w:color w:val="231F20"/>
                <w:spacing w:val="-29"/>
                <w:sz w:val="24"/>
              </w:rPr>
              <w:t xml:space="preserve"> </w:t>
            </w:r>
            <w:r>
              <w:rPr>
                <w:color w:val="231F20"/>
                <w:spacing w:val="-5"/>
                <w:position w:val="8"/>
                <w:sz w:val="14"/>
              </w:rPr>
              <w:t>(a)</w:t>
            </w:r>
          </w:p>
        </w:tc>
        <w:tc>
          <w:tcPr>
            <w:tcW w:w="964" w:type="dxa"/>
            <w:tcBorders>
              <w:left w:val="dashed" w:sz="2" w:space="0" w:color="939598"/>
              <w:bottom w:val="single" w:sz="4" w:space="0" w:color="231F20"/>
              <w:right w:val="dashed" w:sz="2" w:space="0" w:color="939598"/>
            </w:tcBorders>
          </w:tcPr>
          <w:p w14:paraId="688BDFE5" w14:textId="77777777" w:rsidR="00345EE3" w:rsidRDefault="00345EE3" w:rsidP="00D73130">
            <w:pPr>
              <w:pStyle w:val="TableParagraph"/>
              <w:spacing w:before="0"/>
              <w:jc w:val="left"/>
              <w:rPr>
                <w:rFonts w:ascii="Times New Roman"/>
              </w:rPr>
            </w:pPr>
          </w:p>
        </w:tc>
        <w:tc>
          <w:tcPr>
            <w:tcW w:w="1361" w:type="dxa"/>
            <w:tcBorders>
              <w:left w:val="dashed" w:sz="2" w:space="0" w:color="939598"/>
              <w:bottom w:val="single" w:sz="4" w:space="0" w:color="231F20"/>
            </w:tcBorders>
            <w:shd w:val="clear" w:color="auto" w:fill="E6E7E8"/>
          </w:tcPr>
          <w:p w14:paraId="59194F99" w14:textId="77777777" w:rsidR="00345EE3" w:rsidRDefault="00345EE3" w:rsidP="00D73130">
            <w:pPr>
              <w:pStyle w:val="TableParagraph"/>
              <w:ind w:right="55"/>
              <w:rPr>
                <w:sz w:val="24"/>
              </w:rPr>
            </w:pPr>
            <w:r>
              <w:rPr>
                <w:color w:val="231F20"/>
                <w:spacing w:val="-2"/>
                <w:sz w:val="24"/>
              </w:rPr>
              <w:t>87,627</w:t>
            </w:r>
          </w:p>
        </w:tc>
        <w:tc>
          <w:tcPr>
            <w:tcW w:w="1361" w:type="dxa"/>
            <w:tcBorders>
              <w:bottom w:val="single" w:sz="4" w:space="0" w:color="231F20"/>
              <w:right w:val="nil"/>
            </w:tcBorders>
          </w:tcPr>
          <w:p w14:paraId="3B0F80A4" w14:textId="77777777" w:rsidR="00345EE3" w:rsidRDefault="00345EE3" w:rsidP="00D73130">
            <w:pPr>
              <w:pStyle w:val="TableParagraph"/>
              <w:ind w:right="56"/>
              <w:rPr>
                <w:sz w:val="24"/>
              </w:rPr>
            </w:pPr>
            <w:r>
              <w:rPr>
                <w:color w:val="231F20"/>
                <w:spacing w:val="-2"/>
                <w:sz w:val="24"/>
              </w:rPr>
              <w:t>99,044</w:t>
            </w:r>
          </w:p>
        </w:tc>
      </w:tr>
      <w:tr w:rsidR="00345EE3" w14:paraId="15A4099E" w14:textId="77777777" w:rsidTr="00D73130">
        <w:trPr>
          <w:trHeight w:val="393"/>
        </w:trPr>
        <w:tc>
          <w:tcPr>
            <w:tcW w:w="6520" w:type="dxa"/>
            <w:tcBorders>
              <w:top w:val="single" w:sz="4" w:space="0" w:color="231F20"/>
              <w:left w:val="nil"/>
              <w:right w:val="dashed" w:sz="2" w:space="0" w:color="939598"/>
            </w:tcBorders>
          </w:tcPr>
          <w:p w14:paraId="55C5BC98" w14:textId="77777777" w:rsidR="00345EE3" w:rsidRDefault="00345EE3" w:rsidP="00D73130">
            <w:pPr>
              <w:pStyle w:val="TableParagraph"/>
              <w:spacing w:before="58"/>
              <w:ind w:left="167"/>
              <w:jc w:val="left"/>
              <w:rPr>
                <w:b/>
                <w:sz w:val="24"/>
              </w:rPr>
            </w:pPr>
            <w:r>
              <w:rPr>
                <w:b/>
                <w:color w:val="231F20"/>
                <w:spacing w:val="-2"/>
                <w:sz w:val="24"/>
              </w:rPr>
              <w:t>Total</w:t>
            </w:r>
            <w:r>
              <w:rPr>
                <w:b/>
                <w:color w:val="231F20"/>
                <w:spacing w:val="-8"/>
                <w:sz w:val="24"/>
              </w:rPr>
              <w:t xml:space="preserve"> </w:t>
            </w:r>
            <w:r>
              <w:rPr>
                <w:b/>
                <w:color w:val="231F20"/>
                <w:spacing w:val="-2"/>
                <w:sz w:val="24"/>
              </w:rPr>
              <w:t>Receipts</w:t>
            </w:r>
          </w:p>
        </w:tc>
        <w:tc>
          <w:tcPr>
            <w:tcW w:w="964" w:type="dxa"/>
            <w:tcBorders>
              <w:top w:val="single" w:sz="4" w:space="0" w:color="231F20"/>
              <w:left w:val="dashed" w:sz="2" w:space="0" w:color="939598"/>
              <w:right w:val="dashed" w:sz="2" w:space="0" w:color="939598"/>
            </w:tcBorders>
          </w:tcPr>
          <w:p w14:paraId="1DE1008B" w14:textId="77777777" w:rsidR="00345EE3" w:rsidRDefault="00345EE3" w:rsidP="00D73130">
            <w:pPr>
              <w:pStyle w:val="TableParagraph"/>
              <w:spacing w:before="0"/>
              <w:jc w:val="left"/>
              <w:rPr>
                <w:rFonts w:ascii="Times New Roman"/>
              </w:rPr>
            </w:pPr>
          </w:p>
        </w:tc>
        <w:tc>
          <w:tcPr>
            <w:tcW w:w="1361" w:type="dxa"/>
            <w:tcBorders>
              <w:top w:val="single" w:sz="4" w:space="0" w:color="231F20"/>
              <w:left w:val="dashed" w:sz="2" w:space="0" w:color="939598"/>
            </w:tcBorders>
            <w:shd w:val="clear" w:color="auto" w:fill="E6E7E8"/>
          </w:tcPr>
          <w:p w14:paraId="5BDE887F" w14:textId="77777777" w:rsidR="00345EE3" w:rsidRDefault="00345EE3" w:rsidP="00D73130">
            <w:pPr>
              <w:pStyle w:val="TableParagraph"/>
              <w:spacing w:before="58"/>
              <w:ind w:right="53"/>
              <w:rPr>
                <w:b/>
                <w:sz w:val="24"/>
              </w:rPr>
            </w:pPr>
            <w:r>
              <w:rPr>
                <w:b/>
                <w:color w:val="231F20"/>
                <w:spacing w:val="-2"/>
                <w:sz w:val="24"/>
              </w:rPr>
              <w:t>3,969,332</w:t>
            </w:r>
          </w:p>
        </w:tc>
        <w:tc>
          <w:tcPr>
            <w:tcW w:w="1361" w:type="dxa"/>
            <w:tcBorders>
              <w:top w:val="single" w:sz="4" w:space="0" w:color="231F20"/>
              <w:right w:val="nil"/>
            </w:tcBorders>
          </w:tcPr>
          <w:p w14:paraId="03274C3A" w14:textId="77777777" w:rsidR="00345EE3" w:rsidRDefault="00345EE3" w:rsidP="00D73130">
            <w:pPr>
              <w:pStyle w:val="TableParagraph"/>
              <w:spacing w:before="58"/>
              <w:ind w:right="54"/>
              <w:rPr>
                <w:b/>
                <w:sz w:val="24"/>
              </w:rPr>
            </w:pPr>
            <w:r>
              <w:rPr>
                <w:b/>
                <w:color w:val="231F20"/>
                <w:spacing w:val="-2"/>
                <w:sz w:val="24"/>
              </w:rPr>
              <w:t>4,104,555</w:t>
            </w:r>
          </w:p>
        </w:tc>
      </w:tr>
      <w:tr w:rsidR="00345EE3" w14:paraId="6E99149D" w14:textId="77777777" w:rsidTr="00D73130">
        <w:trPr>
          <w:trHeight w:val="396"/>
        </w:trPr>
        <w:tc>
          <w:tcPr>
            <w:tcW w:w="6520" w:type="dxa"/>
            <w:tcBorders>
              <w:left w:val="nil"/>
              <w:right w:val="dashed" w:sz="2" w:space="0" w:color="939598"/>
            </w:tcBorders>
          </w:tcPr>
          <w:p w14:paraId="51119CE2" w14:textId="77777777" w:rsidR="00345EE3" w:rsidRDefault="00345EE3" w:rsidP="00D73130">
            <w:pPr>
              <w:pStyle w:val="TableParagraph"/>
              <w:ind w:left="167"/>
              <w:jc w:val="left"/>
              <w:rPr>
                <w:b/>
                <w:sz w:val="24"/>
              </w:rPr>
            </w:pPr>
            <w:r>
              <w:rPr>
                <w:b/>
                <w:color w:val="231F20"/>
                <w:spacing w:val="-2"/>
                <w:sz w:val="24"/>
              </w:rPr>
              <w:t>Payments</w:t>
            </w:r>
          </w:p>
        </w:tc>
        <w:tc>
          <w:tcPr>
            <w:tcW w:w="964" w:type="dxa"/>
            <w:tcBorders>
              <w:left w:val="dashed" w:sz="2" w:space="0" w:color="939598"/>
              <w:right w:val="dashed" w:sz="2" w:space="0" w:color="939598"/>
            </w:tcBorders>
          </w:tcPr>
          <w:p w14:paraId="2BBC7A92" w14:textId="77777777" w:rsidR="00345EE3" w:rsidRDefault="00345EE3" w:rsidP="00D73130">
            <w:pPr>
              <w:pStyle w:val="TableParagraph"/>
              <w:spacing w:before="0"/>
              <w:jc w:val="left"/>
              <w:rPr>
                <w:rFonts w:ascii="Times New Roman"/>
              </w:rPr>
            </w:pPr>
          </w:p>
        </w:tc>
        <w:tc>
          <w:tcPr>
            <w:tcW w:w="1361" w:type="dxa"/>
            <w:tcBorders>
              <w:left w:val="dashed" w:sz="2" w:space="0" w:color="939598"/>
            </w:tcBorders>
            <w:shd w:val="clear" w:color="auto" w:fill="E6E7E8"/>
          </w:tcPr>
          <w:p w14:paraId="78B6FF2A" w14:textId="77777777" w:rsidR="00345EE3" w:rsidRDefault="00345EE3" w:rsidP="00D73130">
            <w:pPr>
              <w:pStyle w:val="TableParagraph"/>
              <w:spacing w:before="0"/>
              <w:jc w:val="left"/>
              <w:rPr>
                <w:rFonts w:ascii="Times New Roman"/>
              </w:rPr>
            </w:pPr>
          </w:p>
        </w:tc>
        <w:tc>
          <w:tcPr>
            <w:tcW w:w="1361" w:type="dxa"/>
            <w:tcBorders>
              <w:right w:val="nil"/>
            </w:tcBorders>
          </w:tcPr>
          <w:p w14:paraId="1F67DD14" w14:textId="77777777" w:rsidR="00345EE3" w:rsidRDefault="00345EE3" w:rsidP="00D73130">
            <w:pPr>
              <w:pStyle w:val="TableParagraph"/>
              <w:spacing w:before="0"/>
              <w:jc w:val="left"/>
              <w:rPr>
                <w:rFonts w:ascii="Times New Roman"/>
              </w:rPr>
            </w:pPr>
          </w:p>
        </w:tc>
      </w:tr>
      <w:tr w:rsidR="00345EE3" w14:paraId="61AA698B" w14:textId="77777777" w:rsidTr="00D73130">
        <w:trPr>
          <w:trHeight w:val="396"/>
        </w:trPr>
        <w:tc>
          <w:tcPr>
            <w:tcW w:w="6520" w:type="dxa"/>
            <w:tcBorders>
              <w:left w:val="nil"/>
              <w:right w:val="dashed" w:sz="2" w:space="0" w:color="939598"/>
            </w:tcBorders>
          </w:tcPr>
          <w:p w14:paraId="01B8CEC3" w14:textId="77777777" w:rsidR="00345EE3" w:rsidRDefault="00345EE3" w:rsidP="00D73130">
            <w:pPr>
              <w:pStyle w:val="TableParagraph"/>
              <w:ind w:left="167"/>
              <w:jc w:val="left"/>
              <w:rPr>
                <w:sz w:val="24"/>
              </w:rPr>
            </w:pPr>
            <w:r>
              <w:rPr>
                <w:color w:val="231F20"/>
                <w:sz w:val="24"/>
              </w:rPr>
              <w:t>Payments</w:t>
            </w:r>
            <w:r>
              <w:rPr>
                <w:color w:val="231F20"/>
                <w:spacing w:val="-1"/>
                <w:sz w:val="24"/>
              </w:rPr>
              <w:t xml:space="preserve"> </w:t>
            </w:r>
            <w:r>
              <w:rPr>
                <w:color w:val="231F20"/>
                <w:sz w:val="24"/>
              </w:rPr>
              <w:t>to suppliers</w:t>
            </w:r>
            <w:r>
              <w:rPr>
                <w:color w:val="231F20"/>
                <w:spacing w:val="-1"/>
                <w:sz w:val="24"/>
              </w:rPr>
              <w:t xml:space="preserve"> </w:t>
            </w:r>
            <w:r>
              <w:rPr>
                <w:color w:val="231F20"/>
                <w:sz w:val="24"/>
              </w:rPr>
              <w:t>and</w:t>
            </w:r>
            <w:r>
              <w:rPr>
                <w:color w:val="231F20"/>
                <w:spacing w:val="-1"/>
                <w:sz w:val="24"/>
              </w:rPr>
              <w:t xml:space="preserve"> </w:t>
            </w:r>
            <w:r>
              <w:rPr>
                <w:color w:val="231F20"/>
                <w:spacing w:val="-2"/>
                <w:sz w:val="24"/>
              </w:rPr>
              <w:t>employees</w:t>
            </w:r>
          </w:p>
        </w:tc>
        <w:tc>
          <w:tcPr>
            <w:tcW w:w="964" w:type="dxa"/>
            <w:tcBorders>
              <w:left w:val="dashed" w:sz="2" w:space="0" w:color="939598"/>
              <w:right w:val="dashed" w:sz="2" w:space="0" w:color="939598"/>
            </w:tcBorders>
          </w:tcPr>
          <w:p w14:paraId="29E0CEE8" w14:textId="77777777" w:rsidR="00345EE3" w:rsidRDefault="00345EE3" w:rsidP="00D73130">
            <w:pPr>
              <w:pStyle w:val="TableParagraph"/>
              <w:spacing w:before="0"/>
              <w:jc w:val="left"/>
              <w:rPr>
                <w:rFonts w:ascii="Times New Roman"/>
              </w:rPr>
            </w:pPr>
          </w:p>
        </w:tc>
        <w:tc>
          <w:tcPr>
            <w:tcW w:w="1361" w:type="dxa"/>
            <w:tcBorders>
              <w:left w:val="dashed" w:sz="2" w:space="0" w:color="939598"/>
            </w:tcBorders>
            <w:shd w:val="clear" w:color="auto" w:fill="E6E7E8"/>
          </w:tcPr>
          <w:p w14:paraId="306E5960" w14:textId="77777777" w:rsidR="00345EE3" w:rsidRDefault="00345EE3" w:rsidP="00D73130">
            <w:pPr>
              <w:pStyle w:val="TableParagraph"/>
              <w:ind w:right="55"/>
              <w:rPr>
                <w:sz w:val="24"/>
              </w:rPr>
            </w:pPr>
            <w:r>
              <w:rPr>
                <w:color w:val="231F20"/>
                <w:spacing w:val="-2"/>
                <w:sz w:val="24"/>
              </w:rPr>
              <w:t>(3,755,444)</w:t>
            </w:r>
          </w:p>
        </w:tc>
        <w:tc>
          <w:tcPr>
            <w:tcW w:w="1361" w:type="dxa"/>
            <w:tcBorders>
              <w:right w:val="nil"/>
            </w:tcBorders>
          </w:tcPr>
          <w:p w14:paraId="1467801C" w14:textId="77777777" w:rsidR="00345EE3" w:rsidRDefault="00345EE3" w:rsidP="00D73130">
            <w:pPr>
              <w:pStyle w:val="TableParagraph"/>
              <w:ind w:right="55"/>
              <w:rPr>
                <w:sz w:val="24"/>
              </w:rPr>
            </w:pPr>
            <w:r>
              <w:rPr>
                <w:color w:val="231F20"/>
                <w:spacing w:val="-2"/>
                <w:sz w:val="24"/>
              </w:rPr>
              <w:t>(3,758,376)</w:t>
            </w:r>
          </w:p>
        </w:tc>
      </w:tr>
      <w:tr w:rsidR="00345EE3" w14:paraId="5C5B8ED1" w14:textId="77777777" w:rsidTr="00D73130">
        <w:trPr>
          <w:trHeight w:val="396"/>
        </w:trPr>
        <w:tc>
          <w:tcPr>
            <w:tcW w:w="6520" w:type="dxa"/>
            <w:tcBorders>
              <w:left w:val="nil"/>
              <w:right w:val="dashed" w:sz="2" w:space="0" w:color="939598"/>
            </w:tcBorders>
          </w:tcPr>
          <w:p w14:paraId="619FDC40" w14:textId="77777777" w:rsidR="00345EE3" w:rsidRDefault="00345EE3" w:rsidP="00D73130">
            <w:pPr>
              <w:pStyle w:val="TableParagraph"/>
              <w:ind w:left="167"/>
              <w:jc w:val="left"/>
              <w:rPr>
                <w:sz w:val="24"/>
              </w:rPr>
            </w:pPr>
            <w:r>
              <w:rPr>
                <w:color w:val="231F20"/>
                <w:sz w:val="24"/>
              </w:rPr>
              <w:t>Capital</w:t>
            </w:r>
            <w:r>
              <w:rPr>
                <w:color w:val="231F20"/>
                <w:spacing w:val="-5"/>
                <w:sz w:val="24"/>
              </w:rPr>
              <w:t xml:space="preserve"> </w:t>
            </w:r>
            <w:r>
              <w:rPr>
                <w:color w:val="231F20"/>
                <w:sz w:val="24"/>
              </w:rPr>
              <w:t>asset</w:t>
            </w:r>
            <w:r>
              <w:rPr>
                <w:color w:val="231F20"/>
                <w:spacing w:val="-4"/>
                <w:sz w:val="24"/>
              </w:rPr>
              <w:t xml:space="preserve"> </w:t>
            </w:r>
            <w:r>
              <w:rPr>
                <w:color w:val="231F20"/>
                <w:sz w:val="24"/>
              </w:rPr>
              <w:t>charge</w:t>
            </w:r>
            <w:r>
              <w:rPr>
                <w:color w:val="231F20"/>
                <w:spacing w:val="-3"/>
                <w:sz w:val="24"/>
              </w:rPr>
              <w:t xml:space="preserve"> </w:t>
            </w:r>
            <w:r>
              <w:rPr>
                <w:color w:val="231F20"/>
                <w:spacing w:val="-2"/>
                <w:sz w:val="24"/>
              </w:rPr>
              <w:t>payments</w:t>
            </w:r>
          </w:p>
        </w:tc>
        <w:tc>
          <w:tcPr>
            <w:tcW w:w="964" w:type="dxa"/>
            <w:tcBorders>
              <w:left w:val="dashed" w:sz="2" w:space="0" w:color="939598"/>
              <w:right w:val="dashed" w:sz="2" w:space="0" w:color="939598"/>
            </w:tcBorders>
          </w:tcPr>
          <w:p w14:paraId="4CD16C86" w14:textId="77777777" w:rsidR="00345EE3" w:rsidRDefault="00345EE3" w:rsidP="00D73130">
            <w:pPr>
              <w:pStyle w:val="TableParagraph"/>
              <w:ind w:right="1"/>
              <w:rPr>
                <w:sz w:val="24"/>
              </w:rPr>
            </w:pPr>
            <w:r>
              <w:rPr>
                <w:color w:val="231F20"/>
                <w:spacing w:val="-5"/>
                <w:sz w:val="24"/>
              </w:rPr>
              <w:t>3.2</w:t>
            </w:r>
          </w:p>
        </w:tc>
        <w:tc>
          <w:tcPr>
            <w:tcW w:w="1361" w:type="dxa"/>
            <w:tcBorders>
              <w:left w:val="dashed" w:sz="2" w:space="0" w:color="939598"/>
            </w:tcBorders>
            <w:shd w:val="clear" w:color="auto" w:fill="E6E7E8"/>
          </w:tcPr>
          <w:p w14:paraId="193D3264" w14:textId="77777777" w:rsidR="00345EE3" w:rsidRDefault="00345EE3" w:rsidP="00D73130">
            <w:pPr>
              <w:pStyle w:val="TableParagraph"/>
              <w:ind w:right="54"/>
              <w:rPr>
                <w:sz w:val="24"/>
              </w:rPr>
            </w:pPr>
            <w:r>
              <w:rPr>
                <w:color w:val="231F20"/>
                <w:sz w:val="24"/>
              </w:rPr>
              <w:t>-</w:t>
            </w:r>
          </w:p>
        </w:tc>
        <w:tc>
          <w:tcPr>
            <w:tcW w:w="1361" w:type="dxa"/>
            <w:tcBorders>
              <w:right w:val="nil"/>
            </w:tcBorders>
          </w:tcPr>
          <w:p w14:paraId="5BC2D468" w14:textId="77777777" w:rsidR="00345EE3" w:rsidRDefault="00345EE3" w:rsidP="00D73130">
            <w:pPr>
              <w:pStyle w:val="TableParagraph"/>
              <w:ind w:right="55"/>
              <w:rPr>
                <w:sz w:val="24"/>
              </w:rPr>
            </w:pPr>
            <w:r>
              <w:rPr>
                <w:color w:val="231F20"/>
                <w:spacing w:val="-2"/>
                <w:sz w:val="24"/>
              </w:rPr>
              <w:t>(125,847)</w:t>
            </w:r>
          </w:p>
        </w:tc>
      </w:tr>
      <w:tr w:rsidR="00345EE3" w14:paraId="2501A23E" w14:textId="77777777" w:rsidTr="00D73130">
        <w:trPr>
          <w:trHeight w:val="393"/>
        </w:trPr>
        <w:tc>
          <w:tcPr>
            <w:tcW w:w="6520" w:type="dxa"/>
            <w:tcBorders>
              <w:left w:val="nil"/>
              <w:bottom w:val="single" w:sz="4" w:space="0" w:color="231F20"/>
              <w:right w:val="dashed" w:sz="2" w:space="0" w:color="939598"/>
            </w:tcBorders>
          </w:tcPr>
          <w:p w14:paraId="3F82DD7D" w14:textId="77777777" w:rsidR="00345EE3" w:rsidRDefault="00345EE3" w:rsidP="00D73130">
            <w:pPr>
              <w:pStyle w:val="TableParagraph"/>
              <w:ind w:left="167"/>
              <w:jc w:val="left"/>
              <w:rPr>
                <w:sz w:val="24"/>
              </w:rPr>
            </w:pPr>
            <w:r>
              <w:rPr>
                <w:color w:val="231F20"/>
                <w:sz w:val="24"/>
              </w:rPr>
              <w:t>Interest</w:t>
            </w:r>
            <w:r>
              <w:rPr>
                <w:color w:val="231F20"/>
                <w:spacing w:val="-4"/>
                <w:sz w:val="24"/>
              </w:rPr>
              <w:t xml:space="preserve"> </w:t>
            </w:r>
            <w:r>
              <w:rPr>
                <w:color w:val="231F20"/>
                <w:sz w:val="24"/>
              </w:rPr>
              <w:t>and</w:t>
            </w:r>
            <w:r>
              <w:rPr>
                <w:color w:val="231F20"/>
                <w:spacing w:val="-2"/>
                <w:sz w:val="24"/>
              </w:rPr>
              <w:t xml:space="preserve"> </w:t>
            </w:r>
            <w:r>
              <w:rPr>
                <w:color w:val="231F20"/>
                <w:sz w:val="24"/>
              </w:rPr>
              <w:t>other</w:t>
            </w:r>
            <w:r>
              <w:rPr>
                <w:color w:val="231F20"/>
                <w:spacing w:val="-2"/>
                <w:sz w:val="24"/>
              </w:rPr>
              <w:t xml:space="preserve"> </w:t>
            </w:r>
            <w:r>
              <w:rPr>
                <w:color w:val="231F20"/>
                <w:sz w:val="24"/>
              </w:rPr>
              <w:t>costs</w:t>
            </w:r>
            <w:r>
              <w:rPr>
                <w:color w:val="231F20"/>
                <w:spacing w:val="-1"/>
                <w:sz w:val="24"/>
              </w:rPr>
              <w:t xml:space="preserve"> </w:t>
            </w:r>
            <w:r>
              <w:rPr>
                <w:color w:val="231F20"/>
                <w:sz w:val="24"/>
              </w:rPr>
              <w:t>of</w:t>
            </w:r>
            <w:r>
              <w:rPr>
                <w:color w:val="231F20"/>
                <w:spacing w:val="-2"/>
                <w:sz w:val="24"/>
              </w:rPr>
              <w:t xml:space="preserve"> </w:t>
            </w:r>
            <w:r>
              <w:rPr>
                <w:color w:val="231F20"/>
                <w:sz w:val="24"/>
              </w:rPr>
              <w:t>finance</w:t>
            </w:r>
            <w:r>
              <w:rPr>
                <w:color w:val="231F20"/>
                <w:spacing w:val="-1"/>
                <w:sz w:val="24"/>
              </w:rPr>
              <w:t xml:space="preserve"> </w:t>
            </w:r>
            <w:r>
              <w:rPr>
                <w:color w:val="231F20"/>
                <w:spacing w:val="-4"/>
                <w:sz w:val="24"/>
              </w:rPr>
              <w:t>paid</w:t>
            </w:r>
          </w:p>
        </w:tc>
        <w:tc>
          <w:tcPr>
            <w:tcW w:w="964" w:type="dxa"/>
            <w:tcBorders>
              <w:left w:val="dashed" w:sz="2" w:space="0" w:color="939598"/>
              <w:bottom w:val="single" w:sz="4" w:space="0" w:color="231F20"/>
              <w:right w:val="dashed" w:sz="2" w:space="0" w:color="939598"/>
            </w:tcBorders>
          </w:tcPr>
          <w:p w14:paraId="1A77DE07" w14:textId="77777777" w:rsidR="00345EE3" w:rsidRDefault="00345EE3" w:rsidP="00D73130">
            <w:pPr>
              <w:pStyle w:val="TableParagraph"/>
              <w:spacing w:before="0"/>
              <w:jc w:val="left"/>
              <w:rPr>
                <w:rFonts w:ascii="Times New Roman"/>
              </w:rPr>
            </w:pPr>
          </w:p>
        </w:tc>
        <w:tc>
          <w:tcPr>
            <w:tcW w:w="1361" w:type="dxa"/>
            <w:tcBorders>
              <w:left w:val="dashed" w:sz="2" w:space="0" w:color="939598"/>
              <w:bottom w:val="single" w:sz="4" w:space="0" w:color="231F20"/>
            </w:tcBorders>
            <w:shd w:val="clear" w:color="auto" w:fill="E6E7E8"/>
          </w:tcPr>
          <w:p w14:paraId="038D6F50" w14:textId="77777777" w:rsidR="00345EE3" w:rsidRDefault="00345EE3" w:rsidP="00D73130">
            <w:pPr>
              <w:pStyle w:val="TableParagraph"/>
              <w:ind w:right="55"/>
              <w:rPr>
                <w:sz w:val="24"/>
              </w:rPr>
            </w:pPr>
            <w:r>
              <w:rPr>
                <w:color w:val="231F20"/>
                <w:spacing w:val="-2"/>
                <w:sz w:val="24"/>
              </w:rPr>
              <w:t>(61,320)</w:t>
            </w:r>
          </w:p>
        </w:tc>
        <w:tc>
          <w:tcPr>
            <w:tcW w:w="1361" w:type="dxa"/>
            <w:tcBorders>
              <w:bottom w:val="single" w:sz="4" w:space="0" w:color="231F20"/>
              <w:right w:val="nil"/>
            </w:tcBorders>
          </w:tcPr>
          <w:p w14:paraId="63F40F73" w14:textId="77777777" w:rsidR="00345EE3" w:rsidRDefault="00345EE3" w:rsidP="00D73130">
            <w:pPr>
              <w:pStyle w:val="TableParagraph"/>
              <w:ind w:right="55"/>
              <w:rPr>
                <w:sz w:val="24"/>
              </w:rPr>
            </w:pPr>
            <w:r>
              <w:rPr>
                <w:color w:val="231F20"/>
                <w:spacing w:val="-2"/>
                <w:sz w:val="24"/>
              </w:rPr>
              <w:t>(63,237)</w:t>
            </w:r>
          </w:p>
        </w:tc>
      </w:tr>
      <w:tr w:rsidR="00345EE3" w14:paraId="721CD947" w14:textId="77777777" w:rsidTr="00D73130">
        <w:trPr>
          <w:trHeight w:val="391"/>
        </w:trPr>
        <w:tc>
          <w:tcPr>
            <w:tcW w:w="6520" w:type="dxa"/>
            <w:tcBorders>
              <w:top w:val="single" w:sz="4" w:space="0" w:color="231F20"/>
              <w:left w:val="nil"/>
              <w:bottom w:val="single" w:sz="4" w:space="0" w:color="231F20"/>
              <w:right w:val="dashed" w:sz="2" w:space="0" w:color="939598"/>
            </w:tcBorders>
          </w:tcPr>
          <w:p w14:paraId="4AB9FAD7" w14:textId="77777777" w:rsidR="00345EE3" w:rsidRDefault="00345EE3" w:rsidP="00D73130">
            <w:pPr>
              <w:pStyle w:val="TableParagraph"/>
              <w:spacing w:before="58"/>
              <w:ind w:left="167"/>
              <w:jc w:val="left"/>
              <w:rPr>
                <w:b/>
                <w:sz w:val="24"/>
              </w:rPr>
            </w:pPr>
            <w:r>
              <w:rPr>
                <w:b/>
                <w:color w:val="231F20"/>
                <w:spacing w:val="-2"/>
                <w:sz w:val="24"/>
              </w:rPr>
              <w:t>Total</w:t>
            </w:r>
            <w:r>
              <w:rPr>
                <w:b/>
                <w:color w:val="231F20"/>
                <w:spacing w:val="-8"/>
                <w:sz w:val="24"/>
              </w:rPr>
              <w:t xml:space="preserve"> </w:t>
            </w:r>
            <w:r>
              <w:rPr>
                <w:b/>
                <w:color w:val="231F20"/>
                <w:spacing w:val="-2"/>
                <w:sz w:val="24"/>
              </w:rPr>
              <w:t>Payments</w:t>
            </w:r>
          </w:p>
        </w:tc>
        <w:tc>
          <w:tcPr>
            <w:tcW w:w="964" w:type="dxa"/>
            <w:tcBorders>
              <w:top w:val="single" w:sz="4" w:space="0" w:color="231F20"/>
              <w:left w:val="dashed" w:sz="2" w:space="0" w:color="939598"/>
              <w:bottom w:val="single" w:sz="4" w:space="0" w:color="231F20"/>
              <w:right w:val="dashed" w:sz="2" w:space="0" w:color="939598"/>
            </w:tcBorders>
          </w:tcPr>
          <w:p w14:paraId="5BD8ED89" w14:textId="77777777" w:rsidR="00345EE3" w:rsidRDefault="00345EE3" w:rsidP="00D73130">
            <w:pPr>
              <w:pStyle w:val="TableParagraph"/>
              <w:spacing w:before="0"/>
              <w:jc w:val="left"/>
              <w:rPr>
                <w:rFonts w:ascii="Times New Roman"/>
              </w:rPr>
            </w:pPr>
          </w:p>
        </w:tc>
        <w:tc>
          <w:tcPr>
            <w:tcW w:w="1361" w:type="dxa"/>
            <w:tcBorders>
              <w:top w:val="single" w:sz="4" w:space="0" w:color="231F20"/>
              <w:left w:val="dashed" w:sz="2" w:space="0" w:color="939598"/>
              <w:bottom w:val="single" w:sz="4" w:space="0" w:color="231F20"/>
            </w:tcBorders>
            <w:shd w:val="clear" w:color="auto" w:fill="E6E7E8"/>
          </w:tcPr>
          <w:p w14:paraId="2C1D7C09" w14:textId="77777777" w:rsidR="00345EE3" w:rsidRDefault="00345EE3" w:rsidP="00D73130">
            <w:pPr>
              <w:pStyle w:val="TableParagraph"/>
              <w:spacing w:before="58"/>
              <w:ind w:right="52"/>
              <w:rPr>
                <w:b/>
                <w:sz w:val="24"/>
              </w:rPr>
            </w:pPr>
            <w:r>
              <w:rPr>
                <w:b/>
                <w:color w:val="231F20"/>
                <w:spacing w:val="-2"/>
                <w:sz w:val="24"/>
              </w:rPr>
              <w:t>(3,816,764)</w:t>
            </w:r>
          </w:p>
        </w:tc>
        <w:tc>
          <w:tcPr>
            <w:tcW w:w="1361" w:type="dxa"/>
            <w:tcBorders>
              <w:top w:val="single" w:sz="4" w:space="0" w:color="231F20"/>
              <w:bottom w:val="single" w:sz="4" w:space="0" w:color="231F20"/>
              <w:right w:val="nil"/>
            </w:tcBorders>
          </w:tcPr>
          <w:p w14:paraId="022C21E4" w14:textId="77777777" w:rsidR="00345EE3" w:rsidRDefault="00345EE3" w:rsidP="00D73130">
            <w:pPr>
              <w:pStyle w:val="TableParagraph"/>
              <w:spacing w:before="58"/>
              <w:ind w:right="53"/>
              <w:rPr>
                <w:b/>
                <w:sz w:val="24"/>
              </w:rPr>
            </w:pPr>
            <w:r>
              <w:rPr>
                <w:b/>
                <w:color w:val="231F20"/>
                <w:spacing w:val="-2"/>
                <w:sz w:val="24"/>
              </w:rPr>
              <w:t>(3,947,460)</w:t>
            </w:r>
          </w:p>
        </w:tc>
      </w:tr>
      <w:tr w:rsidR="00345EE3" w14:paraId="61DF63FD" w14:textId="77777777" w:rsidTr="00D73130">
        <w:trPr>
          <w:trHeight w:val="393"/>
        </w:trPr>
        <w:tc>
          <w:tcPr>
            <w:tcW w:w="6520" w:type="dxa"/>
            <w:tcBorders>
              <w:top w:val="single" w:sz="4" w:space="0" w:color="231F20"/>
              <w:left w:val="nil"/>
              <w:right w:val="dashed" w:sz="2" w:space="0" w:color="939598"/>
            </w:tcBorders>
          </w:tcPr>
          <w:p w14:paraId="57C87480" w14:textId="77777777" w:rsidR="00345EE3" w:rsidRDefault="00345EE3" w:rsidP="00D73130">
            <w:pPr>
              <w:pStyle w:val="TableParagraph"/>
              <w:spacing w:before="58"/>
              <w:ind w:left="-3"/>
              <w:jc w:val="left"/>
              <w:rPr>
                <w:b/>
                <w:sz w:val="24"/>
              </w:rPr>
            </w:pPr>
            <w:r>
              <w:rPr>
                <w:b/>
                <w:color w:val="231F20"/>
                <w:sz w:val="24"/>
              </w:rPr>
              <w:t>Net</w:t>
            </w:r>
            <w:r>
              <w:rPr>
                <w:b/>
                <w:color w:val="231F20"/>
                <w:spacing w:val="-3"/>
                <w:sz w:val="24"/>
              </w:rPr>
              <w:t xml:space="preserve"> </w:t>
            </w: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Operating</w:t>
            </w:r>
            <w:r>
              <w:rPr>
                <w:b/>
                <w:color w:val="231F20"/>
                <w:spacing w:val="-10"/>
                <w:sz w:val="24"/>
              </w:rPr>
              <w:t xml:space="preserve"> </w:t>
            </w:r>
            <w:r>
              <w:rPr>
                <w:b/>
                <w:color w:val="231F20"/>
                <w:spacing w:val="-2"/>
                <w:sz w:val="24"/>
              </w:rPr>
              <w:t>Activities</w:t>
            </w:r>
          </w:p>
        </w:tc>
        <w:tc>
          <w:tcPr>
            <w:tcW w:w="964" w:type="dxa"/>
            <w:tcBorders>
              <w:top w:val="single" w:sz="4" w:space="0" w:color="231F20"/>
              <w:left w:val="dashed" w:sz="2" w:space="0" w:color="939598"/>
              <w:right w:val="dashed" w:sz="2" w:space="0" w:color="939598"/>
            </w:tcBorders>
          </w:tcPr>
          <w:p w14:paraId="402A3F12" w14:textId="77777777" w:rsidR="00345EE3" w:rsidRDefault="00345EE3" w:rsidP="00D73130">
            <w:pPr>
              <w:pStyle w:val="TableParagraph"/>
              <w:spacing w:before="58"/>
              <w:rPr>
                <w:b/>
                <w:sz w:val="24"/>
              </w:rPr>
            </w:pPr>
            <w:r>
              <w:rPr>
                <w:b/>
                <w:color w:val="231F20"/>
                <w:spacing w:val="-2"/>
                <w:sz w:val="24"/>
              </w:rPr>
              <w:t>7.3.1</w:t>
            </w:r>
          </w:p>
        </w:tc>
        <w:tc>
          <w:tcPr>
            <w:tcW w:w="1361" w:type="dxa"/>
            <w:tcBorders>
              <w:top w:val="single" w:sz="4" w:space="0" w:color="231F20"/>
              <w:left w:val="dashed" w:sz="2" w:space="0" w:color="939598"/>
            </w:tcBorders>
            <w:shd w:val="clear" w:color="auto" w:fill="E6E7E8"/>
          </w:tcPr>
          <w:p w14:paraId="2FC276F2" w14:textId="77777777" w:rsidR="00345EE3" w:rsidRDefault="00345EE3" w:rsidP="00D73130">
            <w:pPr>
              <w:pStyle w:val="TableParagraph"/>
              <w:spacing w:before="58"/>
              <w:ind w:right="53"/>
              <w:rPr>
                <w:b/>
                <w:sz w:val="24"/>
              </w:rPr>
            </w:pPr>
            <w:r>
              <w:rPr>
                <w:b/>
                <w:color w:val="231F20"/>
                <w:spacing w:val="-2"/>
                <w:sz w:val="24"/>
              </w:rPr>
              <w:t>152,568</w:t>
            </w:r>
          </w:p>
        </w:tc>
        <w:tc>
          <w:tcPr>
            <w:tcW w:w="1361" w:type="dxa"/>
            <w:tcBorders>
              <w:top w:val="single" w:sz="4" w:space="0" w:color="231F20"/>
              <w:right w:val="nil"/>
            </w:tcBorders>
          </w:tcPr>
          <w:p w14:paraId="525A00D9" w14:textId="77777777" w:rsidR="00345EE3" w:rsidRDefault="00345EE3" w:rsidP="00D73130">
            <w:pPr>
              <w:pStyle w:val="TableParagraph"/>
              <w:spacing w:before="58"/>
              <w:ind w:right="53"/>
              <w:rPr>
                <w:b/>
                <w:sz w:val="24"/>
              </w:rPr>
            </w:pPr>
            <w:r>
              <w:rPr>
                <w:b/>
                <w:color w:val="231F20"/>
                <w:spacing w:val="-2"/>
                <w:sz w:val="24"/>
              </w:rPr>
              <w:t>157,095</w:t>
            </w:r>
          </w:p>
        </w:tc>
      </w:tr>
      <w:tr w:rsidR="00345EE3" w14:paraId="1BF17899" w14:textId="77777777" w:rsidTr="00D73130">
        <w:trPr>
          <w:trHeight w:val="396"/>
        </w:trPr>
        <w:tc>
          <w:tcPr>
            <w:tcW w:w="6520" w:type="dxa"/>
            <w:tcBorders>
              <w:left w:val="nil"/>
              <w:right w:val="dashed" w:sz="2" w:space="0" w:color="939598"/>
            </w:tcBorders>
          </w:tcPr>
          <w:p w14:paraId="520BD4F9" w14:textId="77777777" w:rsidR="00345EE3" w:rsidRDefault="00345EE3" w:rsidP="00D73130">
            <w:pPr>
              <w:pStyle w:val="TableParagraph"/>
              <w:ind w:left="-3"/>
              <w:jc w:val="left"/>
              <w:rPr>
                <w:b/>
                <w:sz w:val="24"/>
              </w:rPr>
            </w:pP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Investing</w:t>
            </w:r>
            <w:r>
              <w:rPr>
                <w:b/>
                <w:color w:val="231F20"/>
                <w:spacing w:val="-10"/>
                <w:sz w:val="24"/>
              </w:rPr>
              <w:t xml:space="preserve"> </w:t>
            </w:r>
            <w:r>
              <w:rPr>
                <w:b/>
                <w:color w:val="231F20"/>
                <w:spacing w:val="-2"/>
                <w:sz w:val="24"/>
              </w:rPr>
              <w:t>Activities</w:t>
            </w:r>
          </w:p>
        </w:tc>
        <w:tc>
          <w:tcPr>
            <w:tcW w:w="964" w:type="dxa"/>
            <w:tcBorders>
              <w:left w:val="dashed" w:sz="2" w:space="0" w:color="939598"/>
              <w:right w:val="dashed" w:sz="2" w:space="0" w:color="939598"/>
            </w:tcBorders>
          </w:tcPr>
          <w:p w14:paraId="2AF63C29" w14:textId="77777777" w:rsidR="00345EE3" w:rsidRDefault="00345EE3" w:rsidP="00D73130">
            <w:pPr>
              <w:pStyle w:val="TableParagraph"/>
              <w:spacing w:before="0"/>
              <w:jc w:val="left"/>
              <w:rPr>
                <w:rFonts w:ascii="Times New Roman"/>
              </w:rPr>
            </w:pPr>
          </w:p>
        </w:tc>
        <w:tc>
          <w:tcPr>
            <w:tcW w:w="1361" w:type="dxa"/>
            <w:tcBorders>
              <w:left w:val="dashed" w:sz="2" w:space="0" w:color="939598"/>
            </w:tcBorders>
            <w:shd w:val="clear" w:color="auto" w:fill="E6E7E8"/>
          </w:tcPr>
          <w:p w14:paraId="436EB35B" w14:textId="77777777" w:rsidR="00345EE3" w:rsidRDefault="00345EE3" w:rsidP="00D73130">
            <w:pPr>
              <w:pStyle w:val="TableParagraph"/>
              <w:spacing w:before="0"/>
              <w:jc w:val="left"/>
              <w:rPr>
                <w:rFonts w:ascii="Times New Roman"/>
              </w:rPr>
            </w:pPr>
          </w:p>
        </w:tc>
        <w:tc>
          <w:tcPr>
            <w:tcW w:w="1361" w:type="dxa"/>
            <w:tcBorders>
              <w:right w:val="nil"/>
            </w:tcBorders>
          </w:tcPr>
          <w:p w14:paraId="08E38852" w14:textId="77777777" w:rsidR="00345EE3" w:rsidRDefault="00345EE3" w:rsidP="00D73130">
            <w:pPr>
              <w:pStyle w:val="TableParagraph"/>
              <w:spacing w:before="0"/>
              <w:jc w:val="left"/>
              <w:rPr>
                <w:rFonts w:ascii="Times New Roman"/>
              </w:rPr>
            </w:pPr>
          </w:p>
        </w:tc>
      </w:tr>
      <w:tr w:rsidR="00345EE3" w14:paraId="117C29D3" w14:textId="77777777" w:rsidTr="00D73130">
        <w:trPr>
          <w:trHeight w:val="676"/>
        </w:trPr>
        <w:tc>
          <w:tcPr>
            <w:tcW w:w="6520" w:type="dxa"/>
            <w:tcBorders>
              <w:left w:val="nil"/>
            </w:tcBorders>
          </w:tcPr>
          <w:p w14:paraId="19AC5203" w14:textId="77777777" w:rsidR="00345EE3" w:rsidRDefault="00345EE3" w:rsidP="00D73130">
            <w:pPr>
              <w:pStyle w:val="TableParagraph"/>
              <w:spacing w:line="242" w:lineRule="auto"/>
              <w:ind w:left="167"/>
              <w:jc w:val="left"/>
              <w:rPr>
                <w:sz w:val="24"/>
              </w:rPr>
            </w:pPr>
            <w:r>
              <w:rPr>
                <w:color w:val="231F20"/>
                <w:sz w:val="24"/>
              </w:rPr>
              <w:t>Proceeds</w:t>
            </w:r>
            <w:r>
              <w:rPr>
                <w:color w:val="231F20"/>
                <w:spacing w:val="-7"/>
                <w:sz w:val="24"/>
              </w:rPr>
              <w:t xml:space="preserve"> </w:t>
            </w:r>
            <w:r>
              <w:rPr>
                <w:color w:val="231F20"/>
                <w:sz w:val="24"/>
              </w:rPr>
              <w:t>from</w:t>
            </w:r>
            <w:r>
              <w:rPr>
                <w:color w:val="231F20"/>
                <w:spacing w:val="-7"/>
                <w:sz w:val="24"/>
              </w:rPr>
              <w:t xml:space="preserve"> </w:t>
            </w:r>
            <w:r>
              <w:rPr>
                <w:color w:val="231F20"/>
                <w:sz w:val="24"/>
              </w:rPr>
              <w:t>sale</w:t>
            </w:r>
            <w:r>
              <w:rPr>
                <w:color w:val="231F20"/>
                <w:spacing w:val="-7"/>
                <w:sz w:val="24"/>
              </w:rPr>
              <w:t xml:space="preserve"> </w:t>
            </w:r>
            <w:r>
              <w:rPr>
                <w:color w:val="231F20"/>
                <w:sz w:val="24"/>
              </w:rPr>
              <w:t>of</w:t>
            </w:r>
            <w:r>
              <w:rPr>
                <w:color w:val="231F20"/>
                <w:spacing w:val="-8"/>
                <w:sz w:val="24"/>
              </w:rPr>
              <w:t xml:space="preserve"> </w:t>
            </w:r>
            <w:r>
              <w:rPr>
                <w:color w:val="231F20"/>
                <w:sz w:val="24"/>
              </w:rPr>
              <w:t>property,</w:t>
            </w:r>
            <w:r>
              <w:rPr>
                <w:color w:val="231F20"/>
                <w:spacing w:val="-7"/>
                <w:sz w:val="24"/>
              </w:rPr>
              <w:t xml:space="preserve"> </w:t>
            </w:r>
            <w:r>
              <w:rPr>
                <w:color w:val="231F20"/>
                <w:sz w:val="24"/>
              </w:rPr>
              <w:t>motor</w:t>
            </w:r>
            <w:r>
              <w:rPr>
                <w:color w:val="231F20"/>
                <w:spacing w:val="-7"/>
                <w:sz w:val="24"/>
              </w:rPr>
              <w:t xml:space="preserve"> </w:t>
            </w:r>
            <w:r>
              <w:rPr>
                <w:color w:val="231F20"/>
                <w:sz w:val="24"/>
              </w:rPr>
              <w:t>vehicles,</w:t>
            </w:r>
            <w:r>
              <w:rPr>
                <w:color w:val="231F20"/>
                <w:spacing w:val="-7"/>
                <w:sz w:val="24"/>
              </w:rPr>
              <w:t xml:space="preserve"> </w:t>
            </w:r>
            <w:r>
              <w:rPr>
                <w:color w:val="231F20"/>
                <w:sz w:val="24"/>
              </w:rPr>
              <w:t>plant</w:t>
            </w:r>
            <w:r>
              <w:rPr>
                <w:color w:val="231F20"/>
                <w:spacing w:val="-8"/>
                <w:sz w:val="24"/>
              </w:rPr>
              <w:t xml:space="preserve"> </w:t>
            </w:r>
            <w:r>
              <w:rPr>
                <w:color w:val="231F20"/>
                <w:sz w:val="24"/>
              </w:rPr>
              <w:t xml:space="preserve">and </w:t>
            </w:r>
            <w:r>
              <w:rPr>
                <w:color w:val="231F20"/>
                <w:spacing w:val="-2"/>
                <w:sz w:val="24"/>
              </w:rPr>
              <w:t>equipment</w:t>
            </w:r>
          </w:p>
        </w:tc>
        <w:tc>
          <w:tcPr>
            <w:tcW w:w="964" w:type="dxa"/>
          </w:tcPr>
          <w:p w14:paraId="02D2FB0F" w14:textId="77777777" w:rsidR="00345EE3" w:rsidRDefault="00345EE3" w:rsidP="00D73130">
            <w:pPr>
              <w:pStyle w:val="TableParagraph"/>
              <w:spacing w:before="0"/>
              <w:jc w:val="left"/>
              <w:rPr>
                <w:rFonts w:ascii="Times New Roman"/>
              </w:rPr>
            </w:pPr>
          </w:p>
        </w:tc>
        <w:tc>
          <w:tcPr>
            <w:tcW w:w="1361" w:type="dxa"/>
            <w:shd w:val="clear" w:color="auto" w:fill="E6E7E8"/>
          </w:tcPr>
          <w:p w14:paraId="72F62A3D" w14:textId="77777777" w:rsidR="00345EE3" w:rsidRDefault="00345EE3" w:rsidP="00D73130">
            <w:pPr>
              <w:pStyle w:val="TableParagraph"/>
              <w:ind w:right="55"/>
              <w:rPr>
                <w:sz w:val="24"/>
              </w:rPr>
            </w:pPr>
            <w:r>
              <w:rPr>
                <w:color w:val="231F20"/>
                <w:spacing w:val="-2"/>
                <w:sz w:val="24"/>
              </w:rPr>
              <w:t>31,054</w:t>
            </w:r>
          </w:p>
        </w:tc>
        <w:tc>
          <w:tcPr>
            <w:tcW w:w="1361" w:type="dxa"/>
            <w:tcBorders>
              <w:right w:val="nil"/>
            </w:tcBorders>
          </w:tcPr>
          <w:p w14:paraId="68BF646A" w14:textId="77777777" w:rsidR="00345EE3" w:rsidRDefault="00345EE3" w:rsidP="00D73130">
            <w:pPr>
              <w:pStyle w:val="TableParagraph"/>
              <w:ind w:right="56"/>
              <w:rPr>
                <w:sz w:val="24"/>
              </w:rPr>
            </w:pPr>
            <w:r>
              <w:rPr>
                <w:color w:val="231F20"/>
                <w:spacing w:val="-2"/>
                <w:sz w:val="24"/>
              </w:rPr>
              <w:t>26,822</w:t>
            </w:r>
          </w:p>
        </w:tc>
      </w:tr>
      <w:tr w:rsidR="00345EE3" w14:paraId="06874F98" w14:textId="77777777" w:rsidTr="00D73130">
        <w:trPr>
          <w:trHeight w:val="393"/>
        </w:trPr>
        <w:tc>
          <w:tcPr>
            <w:tcW w:w="6520" w:type="dxa"/>
            <w:tcBorders>
              <w:left w:val="nil"/>
              <w:bottom w:val="single" w:sz="4" w:space="0" w:color="231F20"/>
            </w:tcBorders>
          </w:tcPr>
          <w:p w14:paraId="635D4C08" w14:textId="77777777" w:rsidR="00345EE3" w:rsidRDefault="00345EE3" w:rsidP="00D73130">
            <w:pPr>
              <w:pStyle w:val="TableParagraph"/>
              <w:ind w:left="167"/>
              <w:jc w:val="left"/>
              <w:rPr>
                <w:sz w:val="24"/>
              </w:rPr>
            </w:pPr>
            <w:r>
              <w:rPr>
                <w:color w:val="231F20"/>
                <w:sz w:val="24"/>
              </w:rPr>
              <w:t>Payments</w:t>
            </w:r>
            <w:r>
              <w:rPr>
                <w:color w:val="231F20"/>
                <w:spacing w:val="-9"/>
                <w:sz w:val="24"/>
              </w:rPr>
              <w:t xml:space="preserve"> </w:t>
            </w:r>
            <w:r>
              <w:rPr>
                <w:color w:val="231F20"/>
                <w:sz w:val="24"/>
              </w:rPr>
              <w:t>for</w:t>
            </w:r>
            <w:r>
              <w:rPr>
                <w:color w:val="231F20"/>
                <w:spacing w:val="-6"/>
                <w:sz w:val="24"/>
              </w:rPr>
              <w:t xml:space="preserve"> </w:t>
            </w:r>
            <w:r>
              <w:rPr>
                <w:color w:val="231F20"/>
                <w:sz w:val="24"/>
              </w:rPr>
              <w:t>property,</w:t>
            </w:r>
            <w:r>
              <w:rPr>
                <w:color w:val="231F20"/>
                <w:spacing w:val="-6"/>
                <w:sz w:val="24"/>
              </w:rPr>
              <w:t xml:space="preserve"> </w:t>
            </w:r>
            <w:r>
              <w:rPr>
                <w:color w:val="231F20"/>
                <w:sz w:val="24"/>
              </w:rPr>
              <w:t>plant</w:t>
            </w:r>
            <w:r>
              <w:rPr>
                <w:color w:val="231F20"/>
                <w:spacing w:val="-7"/>
                <w:sz w:val="24"/>
              </w:rPr>
              <w:t xml:space="preserve"> </w:t>
            </w:r>
            <w:r>
              <w:rPr>
                <w:color w:val="231F20"/>
                <w:sz w:val="24"/>
              </w:rPr>
              <w:t>and</w:t>
            </w:r>
            <w:r>
              <w:rPr>
                <w:color w:val="231F20"/>
                <w:spacing w:val="-7"/>
                <w:sz w:val="24"/>
              </w:rPr>
              <w:t xml:space="preserve"> </w:t>
            </w:r>
            <w:r>
              <w:rPr>
                <w:color w:val="231F20"/>
                <w:spacing w:val="-2"/>
                <w:sz w:val="24"/>
              </w:rPr>
              <w:t>equipment</w:t>
            </w:r>
          </w:p>
        </w:tc>
        <w:tc>
          <w:tcPr>
            <w:tcW w:w="964" w:type="dxa"/>
            <w:tcBorders>
              <w:bottom w:val="single" w:sz="4" w:space="0" w:color="231F20"/>
            </w:tcBorders>
          </w:tcPr>
          <w:p w14:paraId="0D3ABA95" w14:textId="77777777" w:rsidR="00345EE3" w:rsidRDefault="00345EE3" w:rsidP="00D73130">
            <w:pPr>
              <w:pStyle w:val="TableParagraph"/>
              <w:spacing w:before="0"/>
              <w:jc w:val="left"/>
              <w:rPr>
                <w:rFonts w:ascii="Times New Roman"/>
              </w:rPr>
            </w:pPr>
          </w:p>
        </w:tc>
        <w:tc>
          <w:tcPr>
            <w:tcW w:w="1361" w:type="dxa"/>
            <w:tcBorders>
              <w:bottom w:val="single" w:sz="4" w:space="0" w:color="231F20"/>
            </w:tcBorders>
            <w:shd w:val="clear" w:color="auto" w:fill="E6E7E8"/>
          </w:tcPr>
          <w:p w14:paraId="21149A48" w14:textId="77777777" w:rsidR="00345EE3" w:rsidRDefault="00345EE3" w:rsidP="00D73130">
            <w:pPr>
              <w:pStyle w:val="TableParagraph"/>
              <w:ind w:right="55"/>
              <w:rPr>
                <w:sz w:val="24"/>
              </w:rPr>
            </w:pPr>
            <w:r>
              <w:rPr>
                <w:color w:val="231F20"/>
                <w:spacing w:val="-2"/>
                <w:sz w:val="24"/>
              </w:rPr>
              <w:t>(110,812)</w:t>
            </w:r>
          </w:p>
        </w:tc>
        <w:tc>
          <w:tcPr>
            <w:tcW w:w="1361" w:type="dxa"/>
            <w:tcBorders>
              <w:bottom w:val="single" w:sz="4" w:space="0" w:color="231F20"/>
              <w:right w:val="nil"/>
            </w:tcBorders>
          </w:tcPr>
          <w:p w14:paraId="2E6F7FD1" w14:textId="77777777" w:rsidR="00345EE3" w:rsidRDefault="00345EE3" w:rsidP="00D73130">
            <w:pPr>
              <w:pStyle w:val="TableParagraph"/>
              <w:ind w:right="55"/>
              <w:rPr>
                <w:sz w:val="24"/>
              </w:rPr>
            </w:pPr>
            <w:r>
              <w:rPr>
                <w:color w:val="231F20"/>
                <w:spacing w:val="-2"/>
                <w:sz w:val="24"/>
              </w:rPr>
              <w:t>(153,451)</w:t>
            </w:r>
          </w:p>
        </w:tc>
      </w:tr>
      <w:tr w:rsidR="00345EE3" w14:paraId="3014B094" w14:textId="77777777" w:rsidTr="00D73130">
        <w:trPr>
          <w:trHeight w:val="393"/>
        </w:trPr>
        <w:tc>
          <w:tcPr>
            <w:tcW w:w="6520" w:type="dxa"/>
            <w:tcBorders>
              <w:top w:val="single" w:sz="4" w:space="0" w:color="231F20"/>
              <w:left w:val="nil"/>
            </w:tcBorders>
          </w:tcPr>
          <w:p w14:paraId="10052575" w14:textId="77777777" w:rsidR="00345EE3" w:rsidRDefault="00345EE3" w:rsidP="00D73130">
            <w:pPr>
              <w:pStyle w:val="TableParagraph"/>
              <w:spacing w:before="58"/>
              <w:ind w:left="-3"/>
              <w:jc w:val="left"/>
              <w:rPr>
                <w:b/>
                <w:sz w:val="24"/>
              </w:rPr>
            </w:pPr>
            <w:r>
              <w:rPr>
                <w:b/>
                <w:color w:val="231F20"/>
                <w:sz w:val="24"/>
              </w:rPr>
              <w:t>Net</w:t>
            </w:r>
            <w:r>
              <w:rPr>
                <w:b/>
                <w:color w:val="231F20"/>
                <w:spacing w:val="-2"/>
                <w:sz w:val="24"/>
              </w:rPr>
              <w:t xml:space="preserve"> </w:t>
            </w: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(Used</w:t>
            </w:r>
            <w:r>
              <w:rPr>
                <w:b/>
                <w:color w:val="231F20"/>
                <w:spacing w:val="-1"/>
                <w:sz w:val="24"/>
              </w:rPr>
              <w:t xml:space="preserve"> </w:t>
            </w:r>
            <w:r>
              <w:rPr>
                <w:b/>
                <w:color w:val="231F20"/>
                <w:sz w:val="24"/>
              </w:rPr>
              <w:t>In)</w:t>
            </w:r>
            <w:r>
              <w:rPr>
                <w:b/>
                <w:color w:val="231F20"/>
                <w:spacing w:val="-1"/>
                <w:sz w:val="24"/>
              </w:rPr>
              <w:t xml:space="preserve"> </w:t>
            </w:r>
            <w:r>
              <w:rPr>
                <w:b/>
                <w:color w:val="231F20"/>
                <w:sz w:val="24"/>
              </w:rPr>
              <w:t>Investing</w:t>
            </w:r>
            <w:r>
              <w:rPr>
                <w:b/>
                <w:color w:val="231F20"/>
                <w:spacing w:val="-10"/>
                <w:sz w:val="24"/>
              </w:rPr>
              <w:t xml:space="preserve"> </w:t>
            </w:r>
            <w:r>
              <w:rPr>
                <w:b/>
                <w:color w:val="231F20"/>
                <w:spacing w:val="-2"/>
                <w:sz w:val="24"/>
              </w:rPr>
              <w:t>Activities</w:t>
            </w:r>
          </w:p>
        </w:tc>
        <w:tc>
          <w:tcPr>
            <w:tcW w:w="964" w:type="dxa"/>
            <w:tcBorders>
              <w:top w:val="single" w:sz="4" w:space="0" w:color="231F20"/>
            </w:tcBorders>
          </w:tcPr>
          <w:p w14:paraId="307AA590" w14:textId="77777777" w:rsidR="00345EE3" w:rsidRDefault="00345EE3" w:rsidP="00D73130">
            <w:pPr>
              <w:pStyle w:val="TableParagraph"/>
              <w:spacing w:before="0"/>
              <w:jc w:val="left"/>
              <w:rPr>
                <w:rFonts w:ascii="Times New Roman"/>
              </w:rPr>
            </w:pPr>
          </w:p>
        </w:tc>
        <w:tc>
          <w:tcPr>
            <w:tcW w:w="1361" w:type="dxa"/>
            <w:tcBorders>
              <w:top w:val="single" w:sz="4" w:space="0" w:color="231F20"/>
            </w:tcBorders>
            <w:shd w:val="clear" w:color="auto" w:fill="E6E7E8"/>
          </w:tcPr>
          <w:p w14:paraId="6C2E57A8" w14:textId="77777777" w:rsidR="00345EE3" w:rsidRDefault="00345EE3" w:rsidP="00D73130">
            <w:pPr>
              <w:pStyle w:val="TableParagraph"/>
              <w:spacing w:before="58"/>
              <w:ind w:right="52"/>
              <w:rPr>
                <w:b/>
                <w:sz w:val="24"/>
              </w:rPr>
            </w:pPr>
            <w:r>
              <w:rPr>
                <w:b/>
                <w:color w:val="231F20"/>
                <w:spacing w:val="-2"/>
                <w:sz w:val="24"/>
              </w:rPr>
              <w:t>(79,758)</w:t>
            </w:r>
          </w:p>
        </w:tc>
        <w:tc>
          <w:tcPr>
            <w:tcW w:w="1361" w:type="dxa"/>
            <w:tcBorders>
              <w:top w:val="single" w:sz="4" w:space="0" w:color="231F20"/>
              <w:right w:val="nil"/>
            </w:tcBorders>
          </w:tcPr>
          <w:p w14:paraId="48E5B9C6" w14:textId="77777777" w:rsidR="00345EE3" w:rsidRDefault="00345EE3" w:rsidP="00D73130">
            <w:pPr>
              <w:pStyle w:val="TableParagraph"/>
              <w:spacing w:before="58"/>
              <w:ind w:right="53"/>
              <w:rPr>
                <w:b/>
                <w:sz w:val="24"/>
              </w:rPr>
            </w:pPr>
            <w:r>
              <w:rPr>
                <w:b/>
                <w:color w:val="231F20"/>
                <w:spacing w:val="-2"/>
                <w:sz w:val="24"/>
              </w:rPr>
              <w:t>(126,629)</w:t>
            </w:r>
          </w:p>
        </w:tc>
      </w:tr>
      <w:tr w:rsidR="00345EE3" w14:paraId="1A480993" w14:textId="77777777" w:rsidTr="00D73130">
        <w:trPr>
          <w:trHeight w:val="396"/>
        </w:trPr>
        <w:tc>
          <w:tcPr>
            <w:tcW w:w="6520" w:type="dxa"/>
            <w:tcBorders>
              <w:left w:val="nil"/>
            </w:tcBorders>
          </w:tcPr>
          <w:p w14:paraId="24C6FAD4" w14:textId="77777777" w:rsidR="00345EE3" w:rsidRDefault="00345EE3" w:rsidP="00D73130">
            <w:pPr>
              <w:pStyle w:val="TableParagraph"/>
              <w:spacing w:before="61"/>
              <w:ind w:left="-3"/>
              <w:jc w:val="left"/>
              <w:rPr>
                <w:b/>
                <w:sz w:val="24"/>
              </w:rPr>
            </w:pP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Financing</w:t>
            </w:r>
            <w:r>
              <w:rPr>
                <w:b/>
                <w:color w:val="231F20"/>
                <w:spacing w:val="-10"/>
                <w:sz w:val="24"/>
              </w:rPr>
              <w:t xml:space="preserve"> </w:t>
            </w:r>
            <w:r>
              <w:rPr>
                <w:b/>
                <w:color w:val="231F20"/>
                <w:spacing w:val="-2"/>
                <w:sz w:val="24"/>
              </w:rPr>
              <w:t>Activities</w:t>
            </w:r>
          </w:p>
        </w:tc>
        <w:tc>
          <w:tcPr>
            <w:tcW w:w="964" w:type="dxa"/>
          </w:tcPr>
          <w:p w14:paraId="0091616C" w14:textId="77777777" w:rsidR="00345EE3" w:rsidRDefault="00345EE3" w:rsidP="00D73130">
            <w:pPr>
              <w:pStyle w:val="TableParagraph"/>
              <w:spacing w:before="0"/>
              <w:jc w:val="left"/>
              <w:rPr>
                <w:rFonts w:ascii="Times New Roman"/>
              </w:rPr>
            </w:pPr>
          </w:p>
        </w:tc>
        <w:tc>
          <w:tcPr>
            <w:tcW w:w="1361" w:type="dxa"/>
            <w:shd w:val="clear" w:color="auto" w:fill="E6E7E8"/>
          </w:tcPr>
          <w:p w14:paraId="64532DDF" w14:textId="77777777" w:rsidR="00345EE3" w:rsidRDefault="00345EE3" w:rsidP="00D73130">
            <w:pPr>
              <w:pStyle w:val="TableParagraph"/>
              <w:spacing w:before="0"/>
              <w:jc w:val="left"/>
              <w:rPr>
                <w:rFonts w:ascii="Times New Roman"/>
              </w:rPr>
            </w:pPr>
          </w:p>
        </w:tc>
        <w:tc>
          <w:tcPr>
            <w:tcW w:w="1361" w:type="dxa"/>
            <w:tcBorders>
              <w:right w:val="nil"/>
            </w:tcBorders>
          </w:tcPr>
          <w:p w14:paraId="6613A258" w14:textId="77777777" w:rsidR="00345EE3" w:rsidRDefault="00345EE3" w:rsidP="00D73130">
            <w:pPr>
              <w:pStyle w:val="TableParagraph"/>
              <w:spacing w:before="0"/>
              <w:jc w:val="left"/>
              <w:rPr>
                <w:rFonts w:ascii="Times New Roman"/>
              </w:rPr>
            </w:pPr>
          </w:p>
        </w:tc>
      </w:tr>
      <w:tr w:rsidR="00345EE3" w14:paraId="6C3B988F" w14:textId="77777777" w:rsidTr="00D73130">
        <w:trPr>
          <w:trHeight w:val="396"/>
        </w:trPr>
        <w:tc>
          <w:tcPr>
            <w:tcW w:w="6520" w:type="dxa"/>
            <w:tcBorders>
              <w:left w:val="nil"/>
            </w:tcBorders>
          </w:tcPr>
          <w:p w14:paraId="58A40CB1" w14:textId="77777777" w:rsidR="00345EE3" w:rsidRDefault="00345EE3" w:rsidP="00D73130">
            <w:pPr>
              <w:pStyle w:val="TableParagraph"/>
              <w:spacing w:before="61"/>
              <w:ind w:left="167"/>
              <w:jc w:val="left"/>
              <w:rPr>
                <w:sz w:val="24"/>
              </w:rPr>
            </w:pPr>
            <w:r>
              <w:rPr>
                <w:color w:val="231F20"/>
                <w:sz w:val="24"/>
              </w:rPr>
              <w:t>Proceeds</w:t>
            </w:r>
            <w:r>
              <w:rPr>
                <w:color w:val="231F20"/>
                <w:spacing w:val="-3"/>
                <w:sz w:val="24"/>
              </w:rPr>
              <w:t xml:space="preserve"> </w:t>
            </w:r>
            <w:r>
              <w:rPr>
                <w:color w:val="231F20"/>
                <w:sz w:val="24"/>
              </w:rPr>
              <w:t>from</w:t>
            </w:r>
            <w:r>
              <w:rPr>
                <w:color w:val="231F20"/>
                <w:spacing w:val="-2"/>
                <w:sz w:val="24"/>
              </w:rPr>
              <w:t xml:space="preserve"> </w:t>
            </w:r>
            <w:r>
              <w:rPr>
                <w:color w:val="231F20"/>
                <w:sz w:val="24"/>
              </w:rPr>
              <w:t>capital</w:t>
            </w:r>
            <w:r>
              <w:rPr>
                <w:color w:val="231F20"/>
                <w:spacing w:val="-2"/>
                <w:sz w:val="24"/>
              </w:rPr>
              <w:t xml:space="preserve"> </w:t>
            </w:r>
            <w:r>
              <w:rPr>
                <w:color w:val="231F20"/>
                <w:sz w:val="24"/>
              </w:rPr>
              <w:t>contributed</w:t>
            </w:r>
            <w:r>
              <w:rPr>
                <w:color w:val="231F20"/>
                <w:spacing w:val="-2"/>
                <w:sz w:val="24"/>
              </w:rPr>
              <w:t xml:space="preserve"> </w:t>
            </w:r>
            <w:r>
              <w:rPr>
                <w:color w:val="231F20"/>
                <w:sz w:val="24"/>
              </w:rPr>
              <w:t>by</w:t>
            </w:r>
            <w:r>
              <w:rPr>
                <w:color w:val="231F20"/>
                <w:spacing w:val="-3"/>
                <w:sz w:val="24"/>
              </w:rPr>
              <w:t xml:space="preserve"> </w:t>
            </w:r>
            <w:r>
              <w:rPr>
                <w:color w:val="231F20"/>
                <w:sz w:val="24"/>
              </w:rPr>
              <w:t>Victorian</w:t>
            </w:r>
            <w:r>
              <w:rPr>
                <w:color w:val="231F20"/>
                <w:spacing w:val="-3"/>
                <w:sz w:val="24"/>
              </w:rPr>
              <w:t xml:space="preserve"> </w:t>
            </w:r>
            <w:r>
              <w:rPr>
                <w:color w:val="231F20"/>
                <w:spacing w:val="-2"/>
                <w:sz w:val="24"/>
              </w:rPr>
              <w:t>Government</w:t>
            </w:r>
          </w:p>
        </w:tc>
        <w:tc>
          <w:tcPr>
            <w:tcW w:w="964" w:type="dxa"/>
          </w:tcPr>
          <w:p w14:paraId="2887B64C" w14:textId="77777777" w:rsidR="00345EE3" w:rsidRDefault="00345EE3" w:rsidP="00D73130">
            <w:pPr>
              <w:pStyle w:val="TableParagraph"/>
              <w:spacing w:before="0"/>
              <w:jc w:val="left"/>
              <w:rPr>
                <w:rFonts w:ascii="Times New Roman"/>
              </w:rPr>
            </w:pPr>
          </w:p>
        </w:tc>
        <w:tc>
          <w:tcPr>
            <w:tcW w:w="1361" w:type="dxa"/>
            <w:shd w:val="clear" w:color="auto" w:fill="E6E7E8"/>
          </w:tcPr>
          <w:p w14:paraId="79694CD6" w14:textId="77777777" w:rsidR="00345EE3" w:rsidRDefault="00345EE3" w:rsidP="00D73130">
            <w:pPr>
              <w:pStyle w:val="TableParagraph"/>
              <w:spacing w:before="61"/>
              <w:ind w:right="55"/>
              <w:rPr>
                <w:sz w:val="24"/>
              </w:rPr>
            </w:pPr>
            <w:r>
              <w:rPr>
                <w:color w:val="231F20"/>
                <w:spacing w:val="-2"/>
                <w:sz w:val="24"/>
              </w:rPr>
              <w:t>32,287</w:t>
            </w:r>
          </w:p>
        </w:tc>
        <w:tc>
          <w:tcPr>
            <w:tcW w:w="1361" w:type="dxa"/>
            <w:tcBorders>
              <w:right w:val="nil"/>
            </w:tcBorders>
          </w:tcPr>
          <w:p w14:paraId="57B595AB" w14:textId="77777777" w:rsidR="00345EE3" w:rsidRDefault="00345EE3" w:rsidP="00D73130">
            <w:pPr>
              <w:pStyle w:val="TableParagraph"/>
              <w:spacing w:before="61"/>
              <w:ind w:right="56"/>
              <w:rPr>
                <w:sz w:val="24"/>
              </w:rPr>
            </w:pPr>
            <w:r>
              <w:rPr>
                <w:color w:val="231F20"/>
                <w:spacing w:val="-2"/>
                <w:sz w:val="24"/>
              </w:rPr>
              <w:t>64,128</w:t>
            </w:r>
          </w:p>
        </w:tc>
      </w:tr>
      <w:tr w:rsidR="00345EE3" w14:paraId="196115E4" w14:textId="77777777" w:rsidTr="00D73130">
        <w:trPr>
          <w:trHeight w:val="673"/>
        </w:trPr>
        <w:tc>
          <w:tcPr>
            <w:tcW w:w="6520" w:type="dxa"/>
            <w:tcBorders>
              <w:left w:val="nil"/>
              <w:bottom w:val="single" w:sz="4" w:space="0" w:color="231F20"/>
            </w:tcBorders>
          </w:tcPr>
          <w:p w14:paraId="4558A52D" w14:textId="77777777" w:rsidR="00345EE3" w:rsidRDefault="00345EE3" w:rsidP="00D73130">
            <w:pPr>
              <w:pStyle w:val="TableParagraph"/>
              <w:spacing w:before="61" w:line="242" w:lineRule="auto"/>
              <w:ind w:left="167"/>
              <w:jc w:val="left"/>
              <w:rPr>
                <w:sz w:val="24"/>
              </w:rPr>
            </w:pPr>
            <w:r>
              <w:rPr>
                <w:color w:val="231F20"/>
                <w:sz w:val="24"/>
              </w:rPr>
              <w:t>Repayment</w:t>
            </w:r>
            <w:r>
              <w:rPr>
                <w:color w:val="231F20"/>
                <w:spacing w:val="-6"/>
                <w:sz w:val="24"/>
              </w:rPr>
              <w:t xml:space="preserve"> </w:t>
            </w:r>
            <w:r>
              <w:rPr>
                <w:color w:val="231F20"/>
                <w:sz w:val="24"/>
              </w:rPr>
              <w:t>of</w:t>
            </w:r>
            <w:r>
              <w:rPr>
                <w:color w:val="231F20"/>
                <w:spacing w:val="-6"/>
                <w:sz w:val="24"/>
              </w:rPr>
              <w:t xml:space="preserve"> </w:t>
            </w:r>
            <w:r>
              <w:rPr>
                <w:color w:val="231F20"/>
                <w:sz w:val="24"/>
              </w:rPr>
              <w:t>borrowings</w:t>
            </w:r>
            <w:r>
              <w:rPr>
                <w:color w:val="231F20"/>
                <w:spacing w:val="-6"/>
                <w:sz w:val="24"/>
              </w:rPr>
              <w:t xml:space="preserve"> </w:t>
            </w:r>
            <w:r>
              <w:rPr>
                <w:color w:val="231F20"/>
                <w:sz w:val="24"/>
              </w:rPr>
              <w:t>and</w:t>
            </w:r>
            <w:r>
              <w:rPr>
                <w:color w:val="231F20"/>
                <w:spacing w:val="-6"/>
                <w:sz w:val="24"/>
              </w:rPr>
              <w:t xml:space="preserve"> </w:t>
            </w:r>
            <w:r>
              <w:rPr>
                <w:color w:val="231F20"/>
                <w:sz w:val="24"/>
              </w:rPr>
              <w:t>principal</w:t>
            </w:r>
            <w:r>
              <w:rPr>
                <w:color w:val="231F20"/>
                <w:spacing w:val="-6"/>
                <w:sz w:val="24"/>
              </w:rPr>
              <w:t xml:space="preserve"> </w:t>
            </w:r>
            <w:r>
              <w:rPr>
                <w:color w:val="231F20"/>
                <w:sz w:val="24"/>
              </w:rPr>
              <w:t>portion</w:t>
            </w:r>
            <w:r>
              <w:rPr>
                <w:color w:val="231F20"/>
                <w:spacing w:val="-6"/>
                <w:sz w:val="24"/>
              </w:rPr>
              <w:t xml:space="preserve"> </w:t>
            </w:r>
            <w:r>
              <w:rPr>
                <w:color w:val="231F20"/>
                <w:sz w:val="24"/>
              </w:rPr>
              <w:t>of</w:t>
            </w:r>
            <w:r>
              <w:rPr>
                <w:color w:val="231F20"/>
                <w:spacing w:val="-6"/>
                <w:sz w:val="24"/>
              </w:rPr>
              <w:t xml:space="preserve"> </w:t>
            </w:r>
            <w:r>
              <w:rPr>
                <w:color w:val="231F20"/>
                <w:sz w:val="24"/>
              </w:rPr>
              <w:t xml:space="preserve">lease </w:t>
            </w:r>
            <w:r>
              <w:rPr>
                <w:color w:val="231F20"/>
                <w:spacing w:val="-2"/>
                <w:sz w:val="24"/>
              </w:rPr>
              <w:t>liabilities</w:t>
            </w:r>
          </w:p>
        </w:tc>
        <w:tc>
          <w:tcPr>
            <w:tcW w:w="964" w:type="dxa"/>
            <w:tcBorders>
              <w:bottom w:val="single" w:sz="4" w:space="0" w:color="231F20"/>
            </w:tcBorders>
          </w:tcPr>
          <w:p w14:paraId="74C599AB" w14:textId="77777777" w:rsidR="00345EE3" w:rsidRDefault="00345EE3" w:rsidP="00D73130">
            <w:pPr>
              <w:pStyle w:val="TableParagraph"/>
              <w:spacing w:before="0"/>
              <w:jc w:val="left"/>
              <w:rPr>
                <w:rFonts w:ascii="Times New Roman"/>
              </w:rPr>
            </w:pPr>
          </w:p>
        </w:tc>
        <w:tc>
          <w:tcPr>
            <w:tcW w:w="1361" w:type="dxa"/>
            <w:tcBorders>
              <w:bottom w:val="single" w:sz="4" w:space="0" w:color="231F20"/>
            </w:tcBorders>
            <w:shd w:val="clear" w:color="auto" w:fill="E6E7E8"/>
          </w:tcPr>
          <w:p w14:paraId="5BA52BA8" w14:textId="77777777" w:rsidR="00345EE3" w:rsidRDefault="00345EE3" w:rsidP="00D73130">
            <w:pPr>
              <w:pStyle w:val="TableParagraph"/>
              <w:spacing w:before="61"/>
              <w:ind w:right="55"/>
              <w:rPr>
                <w:sz w:val="24"/>
              </w:rPr>
            </w:pPr>
            <w:r>
              <w:rPr>
                <w:color w:val="231F20"/>
                <w:spacing w:val="-2"/>
                <w:sz w:val="24"/>
              </w:rPr>
              <w:t>(96,466)</w:t>
            </w:r>
          </w:p>
        </w:tc>
        <w:tc>
          <w:tcPr>
            <w:tcW w:w="1361" w:type="dxa"/>
            <w:tcBorders>
              <w:bottom w:val="single" w:sz="4" w:space="0" w:color="231F20"/>
              <w:right w:val="nil"/>
            </w:tcBorders>
          </w:tcPr>
          <w:p w14:paraId="6A88B3A8" w14:textId="77777777" w:rsidR="00345EE3" w:rsidRDefault="00345EE3" w:rsidP="00D73130">
            <w:pPr>
              <w:pStyle w:val="TableParagraph"/>
              <w:spacing w:before="61"/>
              <w:ind w:right="55"/>
              <w:rPr>
                <w:sz w:val="24"/>
              </w:rPr>
            </w:pPr>
            <w:r>
              <w:rPr>
                <w:color w:val="231F20"/>
                <w:spacing w:val="-2"/>
                <w:sz w:val="24"/>
              </w:rPr>
              <w:t>(90,015)</w:t>
            </w:r>
          </w:p>
        </w:tc>
      </w:tr>
      <w:tr w:rsidR="00345EE3" w14:paraId="71B58797" w14:textId="77777777" w:rsidTr="00D73130">
        <w:trPr>
          <w:trHeight w:val="391"/>
        </w:trPr>
        <w:tc>
          <w:tcPr>
            <w:tcW w:w="6520" w:type="dxa"/>
            <w:tcBorders>
              <w:top w:val="single" w:sz="4" w:space="0" w:color="231F20"/>
              <w:left w:val="nil"/>
              <w:bottom w:val="single" w:sz="4" w:space="0" w:color="231F20"/>
            </w:tcBorders>
          </w:tcPr>
          <w:p w14:paraId="3C9187D9" w14:textId="77777777" w:rsidR="00345EE3" w:rsidRDefault="00345EE3" w:rsidP="00D73130">
            <w:pPr>
              <w:pStyle w:val="TableParagraph"/>
              <w:spacing w:before="58"/>
              <w:ind w:left="-3"/>
              <w:jc w:val="left"/>
              <w:rPr>
                <w:b/>
                <w:sz w:val="24"/>
              </w:rPr>
            </w:pPr>
            <w:r>
              <w:rPr>
                <w:b/>
                <w:color w:val="231F20"/>
                <w:sz w:val="24"/>
              </w:rPr>
              <w:t>Net</w:t>
            </w:r>
            <w:r>
              <w:rPr>
                <w:b/>
                <w:color w:val="231F20"/>
                <w:spacing w:val="-3"/>
                <w:sz w:val="24"/>
              </w:rPr>
              <w:t xml:space="preserve"> </w:t>
            </w: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Financing</w:t>
            </w:r>
            <w:r>
              <w:rPr>
                <w:b/>
                <w:color w:val="231F20"/>
                <w:spacing w:val="-10"/>
                <w:sz w:val="24"/>
              </w:rPr>
              <w:t xml:space="preserve"> </w:t>
            </w:r>
            <w:r>
              <w:rPr>
                <w:b/>
                <w:color w:val="231F20"/>
                <w:spacing w:val="-2"/>
                <w:sz w:val="24"/>
              </w:rPr>
              <w:t>Activities</w:t>
            </w:r>
          </w:p>
        </w:tc>
        <w:tc>
          <w:tcPr>
            <w:tcW w:w="964" w:type="dxa"/>
            <w:tcBorders>
              <w:top w:val="single" w:sz="4" w:space="0" w:color="231F20"/>
              <w:bottom w:val="single" w:sz="4" w:space="0" w:color="231F20"/>
            </w:tcBorders>
          </w:tcPr>
          <w:p w14:paraId="36155644" w14:textId="77777777" w:rsidR="00345EE3" w:rsidRDefault="00345EE3" w:rsidP="00D73130">
            <w:pPr>
              <w:pStyle w:val="TableParagraph"/>
              <w:spacing w:before="0"/>
              <w:jc w:val="left"/>
              <w:rPr>
                <w:rFonts w:ascii="Times New Roman"/>
              </w:rPr>
            </w:pPr>
          </w:p>
        </w:tc>
        <w:tc>
          <w:tcPr>
            <w:tcW w:w="1361" w:type="dxa"/>
            <w:tcBorders>
              <w:top w:val="single" w:sz="4" w:space="0" w:color="231F20"/>
              <w:bottom w:val="single" w:sz="4" w:space="0" w:color="231F20"/>
            </w:tcBorders>
            <w:shd w:val="clear" w:color="auto" w:fill="E6E7E8"/>
          </w:tcPr>
          <w:p w14:paraId="6B9B3EA6" w14:textId="77777777" w:rsidR="00345EE3" w:rsidRDefault="00345EE3" w:rsidP="00D73130">
            <w:pPr>
              <w:pStyle w:val="TableParagraph"/>
              <w:spacing w:before="58"/>
              <w:ind w:right="52"/>
              <w:rPr>
                <w:b/>
                <w:sz w:val="24"/>
              </w:rPr>
            </w:pPr>
            <w:r>
              <w:rPr>
                <w:b/>
                <w:color w:val="231F20"/>
                <w:spacing w:val="-2"/>
                <w:sz w:val="24"/>
              </w:rPr>
              <w:t>(64,179)</w:t>
            </w:r>
          </w:p>
        </w:tc>
        <w:tc>
          <w:tcPr>
            <w:tcW w:w="1361" w:type="dxa"/>
            <w:tcBorders>
              <w:top w:val="single" w:sz="4" w:space="0" w:color="231F20"/>
              <w:bottom w:val="single" w:sz="4" w:space="0" w:color="231F20"/>
              <w:right w:val="nil"/>
            </w:tcBorders>
          </w:tcPr>
          <w:p w14:paraId="3DBF5F3D" w14:textId="77777777" w:rsidR="00345EE3" w:rsidRDefault="00345EE3" w:rsidP="00D73130">
            <w:pPr>
              <w:pStyle w:val="TableParagraph"/>
              <w:spacing w:before="58"/>
              <w:ind w:right="53"/>
              <w:rPr>
                <w:b/>
                <w:sz w:val="24"/>
              </w:rPr>
            </w:pPr>
            <w:r>
              <w:rPr>
                <w:b/>
                <w:color w:val="231F20"/>
                <w:spacing w:val="-2"/>
                <w:sz w:val="24"/>
              </w:rPr>
              <w:t>(25,887)</w:t>
            </w:r>
          </w:p>
        </w:tc>
      </w:tr>
      <w:tr w:rsidR="00345EE3" w14:paraId="04E0022E" w14:textId="77777777" w:rsidTr="00D73130">
        <w:trPr>
          <w:trHeight w:val="393"/>
        </w:trPr>
        <w:tc>
          <w:tcPr>
            <w:tcW w:w="6520" w:type="dxa"/>
            <w:tcBorders>
              <w:top w:val="single" w:sz="4" w:space="0" w:color="231F20"/>
              <w:left w:val="nil"/>
            </w:tcBorders>
          </w:tcPr>
          <w:p w14:paraId="5C1FA34A" w14:textId="77777777" w:rsidR="00345EE3" w:rsidRDefault="00345EE3" w:rsidP="00D73130">
            <w:pPr>
              <w:pStyle w:val="TableParagraph"/>
              <w:spacing w:before="58"/>
              <w:ind w:left="-3"/>
              <w:jc w:val="left"/>
              <w:rPr>
                <w:b/>
                <w:sz w:val="24"/>
              </w:rPr>
            </w:pPr>
            <w:r>
              <w:rPr>
                <w:b/>
                <w:color w:val="231F20"/>
                <w:sz w:val="24"/>
              </w:rPr>
              <w:t>Net</w:t>
            </w:r>
            <w:r>
              <w:rPr>
                <w:b/>
                <w:color w:val="231F20"/>
                <w:spacing w:val="-5"/>
                <w:sz w:val="24"/>
              </w:rPr>
              <w:t xml:space="preserve"> </w:t>
            </w:r>
            <w:r>
              <w:rPr>
                <w:b/>
                <w:color w:val="231F20"/>
                <w:sz w:val="24"/>
              </w:rPr>
              <w:t>Increase</w:t>
            </w:r>
            <w:r>
              <w:rPr>
                <w:b/>
                <w:color w:val="231F20"/>
                <w:spacing w:val="-2"/>
                <w:sz w:val="24"/>
              </w:rPr>
              <w:t xml:space="preserve"> </w:t>
            </w:r>
            <w:r>
              <w:rPr>
                <w:b/>
                <w:color w:val="231F20"/>
                <w:sz w:val="24"/>
              </w:rPr>
              <w:t>In</w:t>
            </w:r>
            <w:r>
              <w:rPr>
                <w:b/>
                <w:color w:val="231F20"/>
                <w:spacing w:val="-2"/>
                <w:sz w:val="24"/>
              </w:rPr>
              <w:t xml:space="preserve"> </w:t>
            </w:r>
            <w:r>
              <w:rPr>
                <w:b/>
                <w:color w:val="231F20"/>
                <w:sz w:val="24"/>
              </w:rPr>
              <w:t>Cash</w:t>
            </w:r>
            <w:r>
              <w:rPr>
                <w:b/>
                <w:color w:val="231F20"/>
                <w:spacing w:val="-10"/>
                <w:sz w:val="24"/>
              </w:rPr>
              <w:t xml:space="preserve"> </w:t>
            </w:r>
            <w:r>
              <w:rPr>
                <w:b/>
                <w:color w:val="231F20"/>
                <w:sz w:val="24"/>
              </w:rPr>
              <w:t>And</w:t>
            </w:r>
            <w:r>
              <w:rPr>
                <w:b/>
                <w:color w:val="231F20"/>
                <w:spacing w:val="-3"/>
                <w:sz w:val="24"/>
              </w:rPr>
              <w:t xml:space="preserve"> </w:t>
            </w:r>
            <w:r>
              <w:rPr>
                <w:b/>
                <w:color w:val="231F20"/>
                <w:sz w:val="24"/>
              </w:rPr>
              <w:t>Cash</w:t>
            </w:r>
            <w:r>
              <w:rPr>
                <w:b/>
                <w:color w:val="231F20"/>
                <w:spacing w:val="-2"/>
                <w:sz w:val="24"/>
              </w:rPr>
              <w:t xml:space="preserve"> Equivalents</w:t>
            </w:r>
          </w:p>
        </w:tc>
        <w:tc>
          <w:tcPr>
            <w:tcW w:w="964" w:type="dxa"/>
            <w:tcBorders>
              <w:top w:val="single" w:sz="4" w:space="0" w:color="231F20"/>
            </w:tcBorders>
          </w:tcPr>
          <w:p w14:paraId="44C83C67" w14:textId="77777777" w:rsidR="00345EE3" w:rsidRDefault="00345EE3" w:rsidP="00D73130">
            <w:pPr>
              <w:pStyle w:val="TableParagraph"/>
              <w:spacing w:before="0"/>
              <w:jc w:val="left"/>
              <w:rPr>
                <w:rFonts w:ascii="Times New Roman"/>
              </w:rPr>
            </w:pPr>
          </w:p>
        </w:tc>
        <w:tc>
          <w:tcPr>
            <w:tcW w:w="1361" w:type="dxa"/>
            <w:tcBorders>
              <w:top w:val="single" w:sz="4" w:space="0" w:color="231F20"/>
            </w:tcBorders>
            <w:shd w:val="clear" w:color="auto" w:fill="E6E7E8"/>
          </w:tcPr>
          <w:p w14:paraId="50C2122F" w14:textId="77777777" w:rsidR="00345EE3" w:rsidRDefault="00345EE3" w:rsidP="00D73130">
            <w:pPr>
              <w:pStyle w:val="TableParagraph"/>
              <w:spacing w:before="58"/>
              <w:ind w:right="53"/>
              <w:rPr>
                <w:b/>
                <w:sz w:val="24"/>
              </w:rPr>
            </w:pPr>
            <w:r>
              <w:rPr>
                <w:b/>
                <w:color w:val="231F20"/>
                <w:spacing w:val="-2"/>
                <w:sz w:val="24"/>
              </w:rPr>
              <w:t>8,631</w:t>
            </w:r>
          </w:p>
        </w:tc>
        <w:tc>
          <w:tcPr>
            <w:tcW w:w="1361" w:type="dxa"/>
            <w:tcBorders>
              <w:top w:val="single" w:sz="4" w:space="0" w:color="231F20"/>
              <w:right w:val="nil"/>
            </w:tcBorders>
          </w:tcPr>
          <w:p w14:paraId="40407BF3" w14:textId="77777777" w:rsidR="00345EE3" w:rsidRDefault="00345EE3" w:rsidP="00D73130">
            <w:pPr>
              <w:pStyle w:val="TableParagraph"/>
              <w:spacing w:before="58"/>
              <w:ind w:right="53"/>
              <w:rPr>
                <w:b/>
                <w:sz w:val="24"/>
              </w:rPr>
            </w:pPr>
            <w:r>
              <w:rPr>
                <w:b/>
                <w:color w:val="231F20"/>
                <w:spacing w:val="-2"/>
                <w:sz w:val="24"/>
              </w:rPr>
              <w:t>4,579</w:t>
            </w:r>
          </w:p>
        </w:tc>
      </w:tr>
      <w:tr w:rsidR="00345EE3" w14:paraId="0BE897FA" w14:textId="77777777" w:rsidTr="00D73130">
        <w:trPr>
          <w:trHeight w:val="673"/>
        </w:trPr>
        <w:tc>
          <w:tcPr>
            <w:tcW w:w="6520" w:type="dxa"/>
            <w:tcBorders>
              <w:left w:val="nil"/>
              <w:bottom w:val="single" w:sz="4" w:space="0" w:color="231F20"/>
            </w:tcBorders>
          </w:tcPr>
          <w:p w14:paraId="20C05D94" w14:textId="77777777" w:rsidR="00345EE3" w:rsidRDefault="00345EE3" w:rsidP="00D73130">
            <w:pPr>
              <w:pStyle w:val="TableParagraph"/>
              <w:spacing w:before="61" w:line="242" w:lineRule="auto"/>
              <w:ind w:left="167"/>
              <w:jc w:val="left"/>
              <w:rPr>
                <w:sz w:val="24"/>
              </w:rPr>
            </w:pPr>
            <w:r>
              <w:rPr>
                <w:color w:val="231F20"/>
                <w:sz w:val="24"/>
              </w:rPr>
              <w:t>Cash</w:t>
            </w:r>
            <w:r>
              <w:rPr>
                <w:color w:val="231F20"/>
                <w:spacing w:val="-5"/>
                <w:sz w:val="24"/>
              </w:rPr>
              <w:t xml:space="preserve"> </w:t>
            </w:r>
            <w:r>
              <w:rPr>
                <w:color w:val="231F20"/>
                <w:sz w:val="24"/>
              </w:rPr>
              <w:t>and</w:t>
            </w:r>
            <w:r>
              <w:rPr>
                <w:color w:val="231F20"/>
                <w:spacing w:val="-5"/>
                <w:sz w:val="24"/>
              </w:rPr>
              <w:t xml:space="preserve"> </w:t>
            </w:r>
            <w:r>
              <w:rPr>
                <w:color w:val="231F20"/>
                <w:sz w:val="24"/>
              </w:rPr>
              <w:t>cash</w:t>
            </w:r>
            <w:r>
              <w:rPr>
                <w:color w:val="231F20"/>
                <w:spacing w:val="-4"/>
                <w:sz w:val="24"/>
              </w:rPr>
              <w:t xml:space="preserve"> </w:t>
            </w:r>
            <w:r>
              <w:rPr>
                <w:color w:val="231F20"/>
                <w:sz w:val="24"/>
              </w:rPr>
              <w:t>equivalents</w:t>
            </w:r>
            <w:r>
              <w:rPr>
                <w:color w:val="231F20"/>
                <w:spacing w:val="-5"/>
                <w:sz w:val="24"/>
              </w:rPr>
              <w:t xml:space="preserve"> </w:t>
            </w:r>
            <w:r>
              <w:rPr>
                <w:color w:val="231F20"/>
                <w:sz w:val="24"/>
              </w:rPr>
              <w:t>at</w:t>
            </w:r>
            <w:r>
              <w:rPr>
                <w:color w:val="231F20"/>
                <w:spacing w:val="-5"/>
                <w:sz w:val="24"/>
              </w:rPr>
              <w:t xml:space="preserve"> </w:t>
            </w:r>
            <w:r>
              <w:rPr>
                <w:color w:val="231F20"/>
                <w:sz w:val="24"/>
              </w:rPr>
              <w:t>the</w:t>
            </w:r>
            <w:r>
              <w:rPr>
                <w:color w:val="231F20"/>
                <w:spacing w:val="-4"/>
                <w:sz w:val="24"/>
              </w:rPr>
              <w:t xml:space="preserve"> </w:t>
            </w:r>
            <w:r>
              <w:rPr>
                <w:color w:val="231F20"/>
                <w:sz w:val="24"/>
              </w:rPr>
              <w:t>beginning</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4"/>
                <w:sz w:val="24"/>
              </w:rPr>
              <w:t xml:space="preserve"> </w:t>
            </w:r>
            <w:r>
              <w:rPr>
                <w:color w:val="231F20"/>
                <w:sz w:val="24"/>
              </w:rPr>
              <w:t xml:space="preserve">financial </w:t>
            </w:r>
            <w:r>
              <w:rPr>
                <w:color w:val="231F20"/>
                <w:spacing w:val="-4"/>
                <w:sz w:val="24"/>
              </w:rPr>
              <w:t>year</w:t>
            </w:r>
          </w:p>
        </w:tc>
        <w:tc>
          <w:tcPr>
            <w:tcW w:w="964" w:type="dxa"/>
            <w:tcBorders>
              <w:bottom w:val="single" w:sz="4" w:space="0" w:color="231F20"/>
            </w:tcBorders>
          </w:tcPr>
          <w:p w14:paraId="0ED2B975" w14:textId="77777777" w:rsidR="00345EE3" w:rsidRDefault="00345EE3" w:rsidP="00D73130">
            <w:pPr>
              <w:pStyle w:val="TableParagraph"/>
              <w:spacing w:before="0"/>
              <w:jc w:val="left"/>
              <w:rPr>
                <w:rFonts w:ascii="Times New Roman"/>
              </w:rPr>
            </w:pPr>
          </w:p>
        </w:tc>
        <w:tc>
          <w:tcPr>
            <w:tcW w:w="1361" w:type="dxa"/>
            <w:tcBorders>
              <w:bottom w:val="single" w:sz="4" w:space="0" w:color="231F20"/>
            </w:tcBorders>
            <w:shd w:val="clear" w:color="auto" w:fill="E6E7E8"/>
          </w:tcPr>
          <w:p w14:paraId="452163F1" w14:textId="77777777" w:rsidR="00345EE3" w:rsidRDefault="00345EE3" w:rsidP="00D73130">
            <w:pPr>
              <w:pStyle w:val="TableParagraph"/>
              <w:spacing w:before="61"/>
              <w:ind w:right="55"/>
              <w:rPr>
                <w:sz w:val="24"/>
              </w:rPr>
            </w:pPr>
            <w:r>
              <w:rPr>
                <w:color w:val="231F20"/>
                <w:spacing w:val="-2"/>
                <w:sz w:val="24"/>
              </w:rPr>
              <w:t>53,852</w:t>
            </w:r>
          </w:p>
        </w:tc>
        <w:tc>
          <w:tcPr>
            <w:tcW w:w="1361" w:type="dxa"/>
            <w:tcBorders>
              <w:bottom w:val="single" w:sz="4" w:space="0" w:color="231F20"/>
              <w:right w:val="nil"/>
            </w:tcBorders>
          </w:tcPr>
          <w:p w14:paraId="2D03F55C" w14:textId="77777777" w:rsidR="00345EE3" w:rsidRDefault="00345EE3" w:rsidP="00D73130">
            <w:pPr>
              <w:pStyle w:val="TableParagraph"/>
              <w:spacing w:before="61"/>
              <w:ind w:right="56"/>
              <w:rPr>
                <w:sz w:val="24"/>
              </w:rPr>
            </w:pPr>
            <w:r>
              <w:rPr>
                <w:color w:val="231F20"/>
                <w:spacing w:val="-2"/>
                <w:sz w:val="24"/>
              </w:rPr>
              <w:t>49,273</w:t>
            </w:r>
          </w:p>
        </w:tc>
      </w:tr>
      <w:tr w:rsidR="00345EE3" w14:paraId="71AAC843" w14:textId="77777777" w:rsidTr="00D73130">
        <w:trPr>
          <w:trHeight w:val="666"/>
        </w:trPr>
        <w:tc>
          <w:tcPr>
            <w:tcW w:w="6520" w:type="dxa"/>
            <w:tcBorders>
              <w:top w:val="single" w:sz="4" w:space="0" w:color="231F20"/>
              <w:left w:val="nil"/>
              <w:bottom w:val="single" w:sz="8" w:space="0" w:color="231F20"/>
            </w:tcBorders>
          </w:tcPr>
          <w:p w14:paraId="751B0538" w14:textId="77777777" w:rsidR="00345EE3" w:rsidRDefault="00345EE3" w:rsidP="00D73130">
            <w:pPr>
              <w:pStyle w:val="TableParagraph"/>
              <w:spacing w:before="58" w:line="242" w:lineRule="auto"/>
              <w:ind w:left="-3"/>
              <w:jc w:val="left"/>
              <w:rPr>
                <w:b/>
                <w:sz w:val="24"/>
              </w:rPr>
            </w:pPr>
            <w:r>
              <w:rPr>
                <w:b/>
                <w:color w:val="231F20"/>
                <w:sz w:val="24"/>
              </w:rPr>
              <w:t>Cash</w:t>
            </w:r>
            <w:r>
              <w:rPr>
                <w:b/>
                <w:color w:val="231F20"/>
                <w:spacing w:val="-5"/>
                <w:sz w:val="24"/>
              </w:rPr>
              <w:t xml:space="preserve"> </w:t>
            </w:r>
            <w:r>
              <w:rPr>
                <w:b/>
                <w:color w:val="231F20"/>
                <w:sz w:val="24"/>
              </w:rPr>
              <w:t>and</w:t>
            </w:r>
            <w:r>
              <w:rPr>
                <w:b/>
                <w:color w:val="231F20"/>
                <w:spacing w:val="-5"/>
                <w:sz w:val="24"/>
              </w:rPr>
              <w:t xml:space="preserve"> </w:t>
            </w:r>
            <w:r>
              <w:rPr>
                <w:b/>
                <w:color w:val="231F20"/>
                <w:sz w:val="24"/>
              </w:rPr>
              <w:t>Cash</w:t>
            </w:r>
            <w:r>
              <w:rPr>
                <w:b/>
                <w:color w:val="231F20"/>
                <w:spacing w:val="-5"/>
                <w:sz w:val="24"/>
              </w:rPr>
              <w:t xml:space="preserve"> </w:t>
            </w:r>
            <w:r>
              <w:rPr>
                <w:b/>
                <w:color w:val="231F20"/>
                <w:sz w:val="24"/>
              </w:rPr>
              <w:t>Equivalents</w:t>
            </w:r>
            <w:r>
              <w:rPr>
                <w:b/>
                <w:color w:val="231F20"/>
                <w:spacing w:val="-12"/>
                <w:sz w:val="24"/>
              </w:rPr>
              <w:t xml:space="preserve"> </w:t>
            </w:r>
            <w:r>
              <w:rPr>
                <w:b/>
                <w:color w:val="231F20"/>
                <w:sz w:val="24"/>
              </w:rPr>
              <w:t>At</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End</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 xml:space="preserve">Financial </w:t>
            </w:r>
            <w:r>
              <w:rPr>
                <w:b/>
                <w:color w:val="231F20"/>
                <w:spacing w:val="-4"/>
                <w:sz w:val="24"/>
              </w:rPr>
              <w:t>Year</w:t>
            </w:r>
          </w:p>
        </w:tc>
        <w:tc>
          <w:tcPr>
            <w:tcW w:w="964" w:type="dxa"/>
            <w:tcBorders>
              <w:top w:val="single" w:sz="4" w:space="0" w:color="231F20"/>
              <w:bottom w:val="single" w:sz="8" w:space="0" w:color="231F20"/>
            </w:tcBorders>
          </w:tcPr>
          <w:p w14:paraId="28A4266A" w14:textId="77777777" w:rsidR="00345EE3" w:rsidRDefault="00345EE3" w:rsidP="00D73130">
            <w:pPr>
              <w:pStyle w:val="TableParagraph"/>
              <w:spacing w:before="58"/>
              <w:rPr>
                <w:b/>
                <w:sz w:val="24"/>
              </w:rPr>
            </w:pPr>
            <w:r>
              <w:rPr>
                <w:b/>
                <w:color w:val="231F20"/>
                <w:spacing w:val="-5"/>
                <w:sz w:val="24"/>
              </w:rPr>
              <w:t>7.3</w:t>
            </w:r>
          </w:p>
        </w:tc>
        <w:tc>
          <w:tcPr>
            <w:tcW w:w="1361" w:type="dxa"/>
            <w:tcBorders>
              <w:top w:val="single" w:sz="4" w:space="0" w:color="231F20"/>
              <w:bottom w:val="single" w:sz="8" w:space="0" w:color="231F20"/>
            </w:tcBorders>
            <w:shd w:val="clear" w:color="auto" w:fill="E6E7E8"/>
          </w:tcPr>
          <w:p w14:paraId="3C6267BB" w14:textId="77777777" w:rsidR="00345EE3" w:rsidRDefault="00345EE3" w:rsidP="00D73130">
            <w:pPr>
              <w:pStyle w:val="TableParagraph"/>
              <w:spacing w:before="58"/>
              <w:ind w:right="53"/>
              <w:rPr>
                <w:b/>
                <w:sz w:val="24"/>
              </w:rPr>
            </w:pPr>
            <w:r>
              <w:rPr>
                <w:b/>
                <w:color w:val="231F20"/>
                <w:spacing w:val="-2"/>
                <w:sz w:val="24"/>
              </w:rPr>
              <w:t>62,483</w:t>
            </w:r>
          </w:p>
        </w:tc>
        <w:tc>
          <w:tcPr>
            <w:tcW w:w="1361" w:type="dxa"/>
            <w:tcBorders>
              <w:top w:val="single" w:sz="4" w:space="0" w:color="231F20"/>
              <w:bottom w:val="single" w:sz="8" w:space="0" w:color="231F20"/>
              <w:right w:val="nil"/>
            </w:tcBorders>
          </w:tcPr>
          <w:p w14:paraId="263245C1" w14:textId="77777777" w:rsidR="00345EE3" w:rsidRDefault="00345EE3" w:rsidP="00D73130">
            <w:pPr>
              <w:pStyle w:val="TableParagraph"/>
              <w:spacing w:before="58"/>
              <w:ind w:right="53"/>
              <w:rPr>
                <w:b/>
                <w:sz w:val="24"/>
              </w:rPr>
            </w:pPr>
            <w:r>
              <w:rPr>
                <w:b/>
                <w:color w:val="231F20"/>
                <w:spacing w:val="-2"/>
                <w:sz w:val="24"/>
              </w:rPr>
              <w:t>53,852</w:t>
            </w:r>
          </w:p>
        </w:tc>
      </w:tr>
    </w:tbl>
    <w:p w14:paraId="3FD1B9A9" w14:textId="77777777" w:rsidR="00345EE3" w:rsidRDefault="00345EE3" w:rsidP="00345EE3">
      <w:pPr>
        <w:pStyle w:val="BodyText"/>
        <w:spacing w:before="117"/>
      </w:pPr>
      <w:r>
        <w:rPr>
          <w:color w:val="231F20"/>
        </w:rPr>
        <w:t>The</w:t>
      </w:r>
      <w:r>
        <w:rPr>
          <w:color w:val="231F20"/>
          <w:spacing w:val="-2"/>
        </w:rPr>
        <w:t xml:space="preserve"> </w:t>
      </w:r>
      <w:r>
        <w:rPr>
          <w:color w:val="231F20"/>
        </w:rPr>
        <w:t>above</w:t>
      </w:r>
      <w:r>
        <w:rPr>
          <w:color w:val="231F20"/>
          <w:spacing w:val="-3"/>
        </w:rPr>
        <w:t xml:space="preserve"> </w:t>
      </w:r>
      <w:r>
        <w:rPr>
          <w:color w:val="231F20"/>
        </w:rPr>
        <w:t>Cash</w:t>
      </w:r>
      <w:r>
        <w:rPr>
          <w:color w:val="231F20"/>
          <w:spacing w:val="-3"/>
        </w:rPr>
        <w:t xml:space="preserve"> </w:t>
      </w:r>
      <w:r>
        <w:rPr>
          <w:color w:val="231F20"/>
        </w:rPr>
        <w:t>Flow</w:t>
      </w:r>
      <w:r>
        <w:rPr>
          <w:color w:val="231F20"/>
          <w:spacing w:val="-2"/>
        </w:rPr>
        <w:t xml:space="preserve"> </w:t>
      </w:r>
      <w:r>
        <w:rPr>
          <w:color w:val="231F20"/>
        </w:rPr>
        <w:t>Statement</w:t>
      </w:r>
      <w:r>
        <w:rPr>
          <w:color w:val="231F20"/>
          <w:spacing w:val="-1"/>
        </w:rPr>
        <w:t xml:space="preserve"> </w:t>
      </w:r>
      <w:r>
        <w:rPr>
          <w:color w:val="231F20"/>
        </w:rPr>
        <w:t>should</w:t>
      </w:r>
      <w:r>
        <w:rPr>
          <w:color w:val="231F20"/>
          <w:spacing w:val="-2"/>
        </w:rPr>
        <w:t xml:space="preserve"> </w:t>
      </w:r>
      <w:r>
        <w:rPr>
          <w:color w:val="231F20"/>
        </w:rPr>
        <w:t>be</w:t>
      </w:r>
      <w:r>
        <w:rPr>
          <w:color w:val="231F20"/>
          <w:spacing w:val="-3"/>
        </w:rPr>
        <w:t xml:space="preserve"> </w:t>
      </w:r>
      <w:r>
        <w:rPr>
          <w:color w:val="231F20"/>
        </w:rPr>
        <w:t>read</w:t>
      </w:r>
      <w:r>
        <w:rPr>
          <w:color w:val="231F20"/>
          <w:spacing w:val="-2"/>
        </w:rPr>
        <w:t xml:space="preserve"> </w:t>
      </w:r>
      <w:r>
        <w:rPr>
          <w:color w:val="231F20"/>
        </w:rPr>
        <w:t>in</w:t>
      </w:r>
      <w:r>
        <w:rPr>
          <w:color w:val="231F20"/>
          <w:spacing w:val="-2"/>
        </w:rPr>
        <w:t xml:space="preserve"> </w:t>
      </w:r>
      <w:r>
        <w:rPr>
          <w:color w:val="231F20"/>
        </w:rPr>
        <w:t>conjunction</w:t>
      </w:r>
      <w:r>
        <w:rPr>
          <w:color w:val="231F20"/>
          <w:spacing w:val="-2"/>
        </w:rPr>
        <w:t xml:space="preserve"> </w:t>
      </w:r>
      <w:r>
        <w:rPr>
          <w:color w:val="231F20"/>
        </w:rPr>
        <w:t>with</w:t>
      </w:r>
      <w:r>
        <w:rPr>
          <w:color w:val="231F20"/>
          <w:spacing w:val="-3"/>
        </w:rPr>
        <w:t xml:space="preserve"> </w:t>
      </w:r>
      <w:r>
        <w:rPr>
          <w:color w:val="231F20"/>
        </w:rPr>
        <w:t>the</w:t>
      </w:r>
      <w:r>
        <w:rPr>
          <w:color w:val="231F20"/>
          <w:spacing w:val="-2"/>
        </w:rPr>
        <w:t xml:space="preserve"> </w:t>
      </w:r>
      <w:r>
        <w:rPr>
          <w:color w:val="231F20"/>
        </w:rPr>
        <w:t>accompanying</w:t>
      </w:r>
      <w:r>
        <w:rPr>
          <w:color w:val="231F20"/>
          <w:spacing w:val="-2"/>
        </w:rPr>
        <w:t xml:space="preserve"> notes.</w:t>
      </w:r>
    </w:p>
    <w:p w14:paraId="6BCC6408" w14:textId="77777777" w:rsidR="00345EE3" w:rsidRPr="000C71FB" w:rsidRDefault="00345EE3" w:rsidP="00345EE3">
      <w:pPr>
        <w:spacing w:before="33"/>
        <w:ind w:left="110"/>
        <w:rPr>
          <w:rFonts w:ascii="Arial-BoldItalicMT"/>
          <w:b/>
          <w:i/>
          <w:sz w:val="18"/>
          <w:szCs w:val="18"/>
        </w:rPr>
      </w:pPr>
      <w:r w:rsidRPr="000C71FB">
        <w:rPr>
          <w:rFonts w:ascii="Arial-BoldItalicMT"/>
          <w:b/>
          <w:i/>
          <w:color w:val="231F20"/>
          <w:spacing w:val="-2"/>
          <w:sz w:val="18"/>
          <w:szCs w:val="18"/>
        </w:rPr>
        <w:t>Note:</w:t>
      </w:r>
    </w:p>
    <w:p w14:paraId="1B26665E" w14:textId="77777777" w:rsidR="00345EE3" w:rsidRPr="000C71FB" w:rsidRDefault="00345EE3" w:rsidP="00345EE3">
      <w:pPr>
        <w:spacing w:before="28"/>
        <w:ind w:left="110"/>
        <w:rPr>
          <w:sz w:val="18"/>
          <w:szCs w:val="18"/>
        </w:rPr>
      </w:pPr>
      <w:r w:rsidRPr="000C71FB">
        <w:rPr>
          <w:color w:val="231F20"/>
          <w:sz w:val="18"/>
          <w:szCs w:val="18"/>
        </w:rPr>
        <w:t>(a)</w:t>
      </w:r>
      <w:r w:rsidRPr="000C71FB">
        <w:rPr>
          <w:color w:val="231F20"/>
          <w:spacing w:val="23"/>
          <w:sz w:val="18"/>
          <w:szCs w:val="18"/>
        </w:rPr>
        <w:t xml:space="preserve"> </w:t>
      </w:r>
      <w:r w:rsidRPr="000C71FB">
        <w:rPr>
          <w:color w:val="231F20"/>
          <w:sz w:val="18"/>
          <w:szCs w:val="18"/>
        </w:rPr>
        <w:t>Goods</w:t>
      </w:r>
      <w:r w:rsidRPr="000C71FB">
        <w:rPr>
          <w:color w:val="231F20"/>
          <w:spacing w:val="-4"/>
          <w:sz w:val="18"/>
          <w:szCs w:val="18"/>
        </w:rPr>
        <w:t xml:space="preserve"> </w:t>
      </w:r>
      <w:r w:rsidRPr="000C71FB">
        <w:rPr>
          <w:color w:val="231F20"/>
          <w:sz w:val="18"/>
          <w:szCs w:val="18"/>
        </w:rPr>
        <w:t>and</w:t>
      </w:r>
      <w:r w:rsidRPr="000C71FB">
        <w:rPr>
          <w:color w:val="231F20"/>
          <w:spacing w:val="-3"/>
          <w:sz w:val="18"/>
          <w:szCs w:val="18"/>
        </w:rPr>
        <w:t xml:space="preserve"> </w:t>
      </w:r>
      <w:r w:rsidRPr="000C71FB">
        <w:rPr>
          <w:color w:val="231F20"/>
          <w:sz w:val="18"/>
          <w:szCs w:val="18"/>
        </w:rPr>
        <w:t>Services</w:t>
      </w:r>
      <w:r w:rsidRPr="000C71FB">
        <w:rPr>
          <w:color w:val="231F20"/>
          <w:spacing w:val="-4"/>
          <w:sz w:val="18"/>
          <w:szCs w:val="18"/>
        </w:rPr>
        <w:t xml:space="preserve"> </w:t>
      </w:r>
      <w:r w:rsidRPr="000C71FB">
        <w:rPr>
          <w:color w:val="231F20"/>
          <w:sz w:val="18"/>
          <w:szCs w:val="18"/>
        </w:rPr>
        <w:t>Tax</w:t>
      </w:r>
      <w:r w:rsidRPr="000C71FB">
        <w:rPr>
          <w:color w:val="231F20"/>
          <w:spacing w:val="-3"/>
          <w:sz w:val="18"/>
          <w:szCs w:val="18"/>
        </w:rPr>
        <w:t xml:space="preserve"> </w:t>
      </w:r>
      <w:r w:rsidRPr="000C71FB">
        <w:rPr>
          <w:color w:val="231F20"/>
          <w:sz w:val="18"/>
          <w:szCs w:val="18"/>
        </w:rPr>
        <w:t>is</w:t>
      </w:r>
      <w:r w:rsidRPr="000C71FB">
        <w:rPr>
          <w:color w:val="231F20"/>
          <w:spacing w:val="-4"/>
          <w:sz w:val="18"/>
          <w:szCs w:val="18"/>
        </w:rPr>
        <w:t xml:space="preserve"> </w:t>
      </w:r>
      <w:r w:rsidRPr="000C71FB">
        <w:rPr>
          <w:color w:val="231F20"/>
          <w:sz w:val="18"/>
          <w:szCs w:val="18"/>
        </w:rPr>
        <w:t>presented</w:t>
      </w:r>
      <w:r w:rsidRPr="000C71FB">
        <w:rPr>
          <w:color w:val="231F20"/>
          <w:spacing w:val="-3"/>
          <w:sz w:val="18"/>
          <w:szCs w:val="18"/>
        </w:rPr>
        <w:t xml:space="preserve"> </w:t>
      </w:r>
      <w:r w:rsidRPr="000C71FB">
        <w:rPr>
          <w:color w:val="231F20"/>
          <w:sz w:val="18"/>
          <w:szCs w:val="18"/>
        </w:rPr>
        <w:t>on</w:t>
      </w:r>
      <w:r w:rsidRPr="000C71FB">
        <w:rPr>
          <w:color w:val="231F20"/>
          <w:spacing w:val="-4"/>
          <w:sz w:val="18"/>
          <w:szCs w:val="18"/>
        </w:rPr>
        <w:t xml:space="preserve"> </w:t>
      </w:r>
      <w:r w:rsidRPr="000C71FB">
        <w:rPr>
          <w:color w:val="231F20"/>
          <w:sz w:val="18"/>
          <w:szCs w:val="18"/>
        </w:rPr>
        <w:t>a</w:t>
      </w:r>
      <w:r w:rsidRPr="000C71FB">
        <w:rPr>
          <w:color w:val="231F20"/>
          <w:spacing w:val="-3"/>
          <w:sz w:val="18"/>
          <w:szCs w:val="18"/>
        </w:rPr>
        <w:t xml:space="preserve"> </w:t>
      </w:r>
      <w:r w:rsidRPr="000C71FB">
        <w:rPr>
          <w:color w:val="231F20"/>
          <w:sz w:val="18"/>
          <w:szCs w:val="18"/>
        </w:rPr>
        <w:t>net</w:t>
      </w:r>
      <w:r w:rsidRPr="000C71FB">
        <w:rPr>
          <w:color w:val="231F20"/>
          <w:spacing w:val="-3"/>
          <w:sz w:val="18"/>
          <w:szCs w:val="18"/>
        </w:rPr>
        <w:t xml:space="preserve"> </w:t>
      </w:r>
      <w:r w:rsidRPr="000C71FB">
        <w:rPr>
          <w:color w:val="231F20"/>
          <w:spacing w:val="-2"/>
          <w:sz w:val="18"/>
          <w:szCs w:val="18"/>
        </w:rPr>
        <w:t>basis.</w:t>
      </w:r>
    </w:p>
    <w:p w14:paraId="2B31E783" w14:textId="77777777" w:rsidR="00345EE3" w:rsidRDefault="00345EE3" w:rsidP="00345EE3">
      <w:pPr>
        <w:rPr>
          <w:sz w:val="14"/>
        </w:rPr>
        <w:sectPr w:rsidR="00345EE3">
          <w:pgSz w:w="11910" w:h="16840"/>
          <w:pgMar w:top="700" w:right="720" w:bottom="280" w:left="740" w:header="720" w:footer="720" w:gutter="0"/>
          <w:cols w:space="720"/>
        </w:sectPr>
      </w:pPr>
    </w:p>
    <w:p w14:paraId="348B4B61" w14:textId="77777777" w:rsidR="00345EE3" w:rsidRPr="00D6225D" w:rsidRDefault="00345EE3">
      <w:pPr>
        <w:pStyle w:val="Heading2"/>
        <w:numPr>
          <w:ilvl w:val="0"/>
          <w:numId w:val="44"/>
        </w:numPr>
        <w:tabs>
          <w:tab w:val="left" w:pos="449"/>
        </w:tabs>
        <w:ind w:left="306" w:hanging="339"/>
        <w:rPr>
          <w:sz w:val="32"/>
          <w:szCs w:val="32"/>
        </w:rPr>
      </w:pPr>
      <w:r w:rsidRPr="00D6225D">
        <w:rPr>
          <w:color w:val="00529F"/>
          <w:sz w:val="32"/>
          <w:szCs w:val="32"/>
        </w:rPr>
        <w:t>About</w:t>
      </w:r>
      <w:r w:rsidRPr="00D6225D">
        <w:rPr>
          <w:color w:val="00529F"/>
          <w:spacing w:val="-6"/>
          <w:sz w:val="32"/>
          <w:szCs w:val="32"/>
        </w:rPr>
        <w:t xml:space="preserve"> </w:t>
      </w:r>
      <w:r w:rsidRPr="00D6225D">
        <w:rPr>
          <w:color w:val="00529F"/>
          <w:sz w:val="32"/>
          <w:szCs w:val="32"/>
        </w:rPr>
        <w:t>this</w:t>
      </w:r>
      <w:r w:rsidRPr="00D6225D">
        <w:rPr>
          <w:color w:val="00529F"/>
          <w:spacing w:val="-6"/>
          <w:sz w:val="32"/>
          <w:szCs w:val="32"/>
        </w:rPr>
        <w:t xml:space="preserve"> </w:t>
      </w:r>
      <w:r w:rsidRPr="00D6225D">
        <w:rPr>
          <w:color w:val="00529F"/>
          <w:spacing w:val="-2"/>
          <w:sz w:val="32"/>
          <w:szCs w:val="32"/>
        </w:rPr>
        <w:t>Report</w:t>
      </w:r>
    </w:p>
    <w:p w14:paraId="5ED7AA51" w14:textId="77777777" w:rsidR="00345EE3" w:rsidRDefault="00345EE3" w:rsidP="00345EE3">
      <w:pPr>
        <w:pStyle w:val="BodyText"/>
        <w:spacing w:before="72" w:line="242" w:lineRule="auto"/>
        <w:ind w:right="115"/>
      </w:pPr>
      <w:r>
        <w:rPr>
          <w:color w:val="231F20"/>
        </w:rPr>
        <w:t>Victoria</w:t>
      </w:r>
      <w:r>
        <w:rPr>
          <w:color w:val="231F20"/>
          <w:spacing w:val="-9"/>
        </w:rPr>
        <w:t xml:space="preserve"> </w:t>
      </w:r>
      <w:r>
        <w:rPr>
          <w:color w:val="231F20"/>
        </w:rPr>
        <w:t>Police</w:t>
      </w:r>
      <w:r>
        <w:rPr>
          <w:color w:val="231F20"/>
          <w:spacing w:val="-9"/>
        </w:rPr>
        <w:t xml:space="preserve"> </w:t>
      </w:r>
      <w:r>
        <w:rPr>
          <w:color w:val="231F20"/>
        </w:rPr>
        <w:t>is</w:t>
      </w:r>
      <w:r>
        <w:rPr>
          <w:color w:val="231F20"/>
          <w:spacing w:val="-8"/>
        </w:rPr>
        <w:t xml:space="preserve"> </w:t>
      </w:r>
      <w:r>
        <w:rPr>
          <w:color w:val="231F20"/>
        </w:rPr>
        <w:t>the</w:t>
      </w:r>
      <w:r>
        <w:rPr>
          <w:color w:val="231F20"/>
          <w:spacing w:val="-9"/>
        </w:rPr>
        <w:t xml:space="preserve"> </w:t>
      </w:r>
      <w:r>
        <w:rPr>
          <w:color w:val="231F20"/>
        </w:rPr>
        <w:t>primary</w:t>
      </w:r>
      <w:r>
        <w:rPr>
          <w:color w:val="231F20"/>
          <w:spacing w:val="-8"/>
        </w:rPr>
        <w:t xml:space="preserve"> </w:t>
      </w:r>
      <w:r>
        <w:rPr>
          <w:color w:val="231F20"/>
        </w:rPr>
        <w:t>law</w:t>
      </w:r>
      <w:r>
        <w:rPr>
          <w:color w:val="231F20"/>
          <w:spacing w:val="-9"/>
        </w:rPr>
        <w:t xml:space="preserve"> </w:t>
      </w:r>
      <w:r>
        <w:rPr>
          <w:color w:val="231F20"/>
        </w:rPr>
        <w:t>enforcement</w:t>
      </w:r>
      <w:r>
        <w:rPr>
          <w:color w:val="231F20"/>
          <w:spacing w:val="-8"/>
        </w:rPr>
        <w:t xml:space="preserve"> </w:t>
      </w:r>
      <w:r>
        <w:rPr>
          <w:color w:val="231F20"/>
        </w:rPr>
        <w:t>agency</w:t>
      </w:r>
      <w:r>
        <w:rPr>
          <w:color w:val="231F20"/>
          <w:spacing w:val="-8"/>
        </w:rPr>
        <w:t xml:space="preserve"> </w:t>
      </w:r>
      <w:r>
        <w:rPr>
          <w:color w:val="231F20"/>
        </w:rPr>
        <w:t>of</w:t>
      </w:r>
      <w:r>
        <w:rPr>
          <w:color w:val="231F20"/>
          <w:spacing w:val="-8"/>
        </w:rPr>
        <w:t xml:space="preserve"> </w:t>
      </w:r>
      <w:r>
        <w:rPr>
          <w:color w:val="231F20"/>
        </w:rPr>
        <w:t>Victoria,</w:t>
      </w:r>
      <w:r>
        <w:rPr>
          <w:color w:val="231F20"/>
          <w:spacing w:val="-8"/>
        </w:rPr>
        <w:t xml:space="preserve"> </w:t>
      </w:r>
      <w:r>
        <w:rPr>
          <w:color w:val="231F20"/>
        </w:rPr>
        <w:t>Australia</w:t>
      </w:r>
      <w:r>
        <w:rPr>
          <w:color w:val="231F20"/>
          <w:spacing w:val="-9"/>
        </w:rPr>
        <w:t xml:space="preserve"> </w:t>
      </w:r>
      <w:r>
        <w:rPr>
          <w:color w:val="231F20"/>
        </w:rPr>
        <w:t>that</w:t>
      </w:r>
      <w:r>
        <w:rPr>
          <w:color w:val="231F20"/>
          <w:spacing w:val="-8"/>
        </w:rPr>
        <w:t xml:space="preserve"> </w:t>
      </w:r>
      <w:r>
        <w:rPr>
          <w:color w:val="231F20"/>
        </w:rPr>
        <w:t>provides</w:t>
      </w:r>
      <w:r>
        <w:rPr>
          <w:color w:val="231F20"/>
          <w:spacing w:val="-8"/>
        </w:rPr>
        <w:t xml:space="preserve"> </w:t>
      </w:r>
      <w:r>
        <w:rPr>
          <w:color w:val="231F20"/>
        </w:rPr>
        <w:t>policing services to</w:t>
      </w:r>
      <w:r>
        <w:rPr>
          <w:color w:val="231F20"/>
          <w:spacing w:val="-1"/>
        </w:rPr>
        <w:t xml:space="preserve"> </w:t>
      </w:r>
      <w:r>
        <w:rPr>
          <w:color w:val="231F20"/>
        </w:rPr>
        <w:t>the</w:t>
      </w:r>
      <w:r>
        <w:rPr>
          <w:color w:val="231F20"/>
          <w:spacing w:val="-1"/>
        </w:rPr>
        <w:t xml:space="preserve"> </w:t>
      </w:r>
      <w:r>
        <w:rPr>
          <w:color w:val="231F20"/>
        </w:rPr>
        <w:t>community. It was formed</w:t>
      </w:r>
      <w:r>
        <w:rPr>
          <w:color w:val="231F20"/>
          <w:spacing w:val="-1"/>
        </w:rPr>
        <w:t xml:space="preserve"> </w:t>
      </w:r>
      <w:r>
        <w:rPr>
          <w:color w:val="231F20"/>
        </w:rPr>
        <w:t>in</w:t>
      </w:r>
      <w:r>
        <w:rPr>
          <w:color w:val="231F20"/>
          <w:spacing w:val="-1"/>
        </w:rPr>
        <w:t xml:space="preserve"> </w:t>
      </w:r>
      <w:r>
        <w:rPr>
          <w:color w:val="231F20"/>
        </w:rPr>
        <w:t>1853</w:t>
      </w:r>
      <w:r>
        <w:rPr>
          <w:color w:val="231F20"/>
          <w:spacing w:val="-1"/>
        </w:rPr>
        <w:t xml:space="preserve"> </w:t>
      </w:r>
      <w:r>
        <w:rPr>
          <w:color w:val="231F20"/>
        </w:rPr>
        <w:t>and</w:t>
      </w:r>
      <w:r>
        <w:rPr>
          <w:color w:val="231F20"/>
          <w:spacing w:val="-1"/>
        </w:rPr>
        <w:t xml:space="preserve"> </w:t>
      </w:r>
      <w:r>
        <w:rPr>
          <w:color w:val="231F20"/>
        </w:rPr>
        <w:t>operates under the</w:t>
      </w:r>
      <w:r>
        <w:rPr>
          <w:color w:val="231F20"/>
          <w:spacing w:val="-1"/>
        </w:rPr>
        <w:t xml:space="preserve"> </w:t>
      </w:r>
      <w:r>
        <w:rPr>
          <w:i/>
          <w:color w:val="231F20"/>
        </w:rPr>
        <w:t>Victoria</w:t>
      </w:r>
      <w:r>
        <w:rPr>
          <w:i/>
          <w:color w:val="231F20"/>
          <w:spacing w:val="-9"/>
        </w:rPr>
        <w:t xml:space="preserve"> </w:t>
      </w:r>
      <w:r>
        <w:rPr>
          <w:i/>
          <w:color w:val="231F20"/>
        </w:rPr>
        <w:t>Police</w:t>
      </w:r>
      <w:r>
        <w:rPr>
          <w:i/>
          <w:color w:val="231F20"/>
          <w:spacing w:val="-9"/>
        </w:rPr>
        <w:t xml:space="preserve"> </w:t>
      </w:r>
      <w:r>
        <w:rPr>
          <w:i/>
          <w:color w:val="231F20"/>
        </w:rPr>
        <w:t xml:space="preserve">Act </w:t>
      </w:r>
      <w:r>
        <w:rPr>
          <w:color w:val="231F20"/>
        </w:rPr>
        <w:t>2013. Victoria Police is an administrative agency acting on behalf of the Crown. A description</w:t>
      </w:r>
    </w:p>
    <w:p w14:paraId="12ADDCB7" w14:textId="77777777" w:rsidR="00345EE3" w:rsidRDefault="00345EE3" w:rsidP="00345EE3">
      <w:pPr>
        <w:pStyle w:val="BodyText"/>
        <w:spacing w:before="4" w:line="242" w:lineRule="auto"/>
      </w:pPr>
      <w:r>
        <w:rPr>
          <w:color w:val="231F20"/>
        </w:rPr>
        <w:t>of</w:t>
      </w:r>
      <w:r>
        <w:rPr>
          <w:color w:val="231F20"/>
          <w:spacing w:val="-7"/>
        </w:rPr>
        <w:t xml:space="preserve"> </w:t>
      </w:r>
      <w:r>
        <w:rPr>
          <w:color w:val="231F20"/>
        </w:rPr>
        <w:t>the</w:t>
      </w:r>
      <w:r>
        <w:rPr>
          <w:color w:val="231F20"/>
          <w:spacing w:val="-8"/>
        </w:rPr>
        <w:t xml:space="preserve"> </w:t>
      </w:r>
      <w:r>
        <w:rPr>
          <w:color w:val="231F20"/>
        </w:rPr>
        <w:t>nature</w:t>
      </w:r>
      <w:r>
        <w:rPr>
          <w:color w:val="231F20"/>
          <w:spacing w:val="-8"/>
        </w:rPr>
        <w:t xml:space="preserve"> </w:t>
      </w:r>
      <w:r>
        <w:rPr>
          <w:color w:val="231F20"/>
        </w:rPr>
        <w:t>of</w:t>
      </w:r>
      <w:r>
        <w:rPr>
          <w:color w:val="231F20"/>
          <w:spacing w:val="-7"/>
        </w:rPr>
        <w:t xml:space="preserve"> </w:t>
      </w:r>
      <w:r>
        <w:rPr>
          <w:color w:val="231F20"/>
        </w:rPr>
        <w:t>its</w:t>
      </w:r>
      <w:r>
        <w:rPr>
          <w:color w:val="231F20"/>
          <w:spacing w:val="-7"/>
        </w:rPr>
        <w:t xml:space="preserve"> </w:t>
      </w:r>
      <w:r>
        <w:rPr>
          <w:color w:val="231F20"/>
        </w:rPr>
        <w:t>operations</w:t>
      </w:r>
      <w:r>
        <w:rPr>
          <w:color w:val="231F20"/>
          <w:spacing w:val="-7"/>
        </w:rPr>
        <w:t xml:space="preserve"> </w:t>
      </w:r>
      <w:r>
        <w:rPr>
          <w:color w:val="231F20"/>
        </w:rPr>
        <w:t>and</w:t>
      </w:r>
      <w:r>
        <w:rPr>
          <w:color w:val="231F20"/>
          <w:spacing w:val="-8"/>
        </w:rPr>
        <w:t xml:space="preserve"> </w:t>
      </w:r>
      <w:r>
        <w:rPr>
          <w:color w:val="231F20"/>
        </w:rPr>
        <w:t>its</w:t>
      </w:r>
      <w:r>
        <w:rPr>
          <w:color w:val="231F20"/>
          <w:spacing w:val="-7"/>
        </w:rPr>
        <w:t xml:space="preserve"> </w:t>
      </w:r>
      <w:r>
        <w:rPr>
          <w:color w:val="231F20"/>
        </w:rPr>
        <w:t>principal</w:t>
      </w:r>
      <w:r>
        <w:rPr>
          <w:color w:val="231F20"/>
          <w:spacing w:val="-8"/>
        </w:rPr>
        <w:t xml:space="preserve"> </w:t>
      </w:r>
      <w:r>
        <w:rPr>
          <w:color w:val="231F20"/>
        </w:rPr>
        <w:t>activities</w:t>
      </w:r>
      <w:r>
        <w:rPr>
          <w:color w:val="231F20"/>
          <w:spacing w:val="-7"/>
        </w:rPr>
        <w:t xml:space="preserve"> </w:t>
      </w:r>
      <w:r>
        <w:rPr>
          <w:color w:val="231F20"/>
        </w:rPr>
        <w:t>is</w:t>
      </w:r>
      <w:r>
        <w:rPr>
          <w:color w:val="231F20"/>
          <w:spacing w:val="-7"/>
        </w:rPr>
        <w:t xml:space="preserve"> </w:t>
      </w:r>
      <w:r>
        <w:rPr>
          <w:color w:val="231F20"/>
        </w:rPr>
        <w:t>included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Report</w:t>
      </w:r>
      <w:r>
        <w:rPr>
          <w:color w:val="231F20"/>
          <w:spacing w:val="-7"/>
        </w:rPr>
        <w:t xml:space="preserve"> </w:t>
      </w:r>
      <w:r>
        <w:rPr>
          <w:color w:val="231F20"/>
        </w:rPr>
        <w:t>of</w:t>
      </w:r>
      <w:r>
        <w:rPr>
          <w:color w:val="231F20"/>
          <w:spacing w:val="-7"/>
        </w:rPr>
        <w:t xml:space="preserve"> </w:t>
      </w:r>
      <w:r>
        <w:rPr>
          <w:color w:val="231F20"/>
        </w:rPr>
        <w:t>Operations, which does not form part of these financial statements. Its principal address is:</w:t>
      </w:r>
    </w:p>
    <w:p w14:paraId="32F9128D" w14:textId="77777777" w:rsidR="00345EE3" w:rsidRDefault="00345EE3" w:rsidP="00345EE3">
      <w:pPr>
        <w:pStyle w:val="BodyText"/>
        <w:spacing w:before="116" w:line="242" w:lineRule="auto"/>
        <w:ind w:left="4078" w:right="4069"/>
      </w:pPr>
      <w:r>
        <w:rPr>
          <w:color w:val="231F20"/>
        </w:rPr>
        <w:t>Victoria</w:t>
      </w:r>
      <w:r>
        <w:rPr>
          <w:color w:val="231F20"/>
          <w:spacing w:val="-17"/>
        </w:rPr>
        <w:t xml:space="preserve"> </w:t>
      </w:r>
      <w:r>
        <w:rPr>
          <w:color w:val="231F20"/>
        </w:rPr>
        <w:t>Police</w:t>
      </w:r>
      <w:r>
        <w:rPr>
          <w:color w:val="231F20"/>
          <w:spacing w:val="-17"/>
        </w:rPr>
        <w:t xml:space="preserve"> </w:t>
      </w:r>
      <w:r>
        <w:rPr>
          <w:color w:val="231F20"/>
        </w:rPr>
        <w:t>Centre 311 Spencer Street</w:t>
      </w:r>
    </w:p>
    <w:p w14:paraId="18497C4C" w14:textId="77777777" w:rsidR="00345EE3" w:rsidRDefault="00345EE3" w:rsidP="00345EE3">
      <w:pPr>
        <w:pStyle w:val="BodyText"/>
        <w:spacing w:before="3"/>
        <w:ind w:left="4078"/>
      </w:pPr>
      <w:r>
        <w:rPr>
          <w:color w:val="231F20"/>
        </w:rPr>
        <w:t>Docklands</w:t>
      </w:r>
      <w:r>
        <w:rPr>
          <w:color w:val="231F20"/>
          <w:spacing w:val="-8"/>
        </w:rPr>
        <w:t xml:space="preserve"> </w:t>
      </w:r>
      <w:r>
        <w:rPr>
          <w:color w:val="231F20"/>
        </w:rPr>
        <w:t>VIC</w:t>
      </w:r>
      <w:r>
        <w:rPr>
          <w:color w:val="231F20"/>
          <w:spacing w:val="-5"/>
        </w:rPr>
        <w:t xml:space="preserve"> </w:t>
      </w:r>
      <w:r>
        <w:rPr>
          <w:color w:val="231F20"/>
          <w:spacing w:val="-4"/>
        </w:rPr>
        <w:t>3008</w:t>
      </w:r>
    </w:p>
    <w:p w14:paraId="5632379D" w14:textId="77777777" w:rsidR="00345EE3" w:rsidRDefault="00345EE3" w:rsidP="00345EE3">
      <w:pPr>
        <w:pStyle w:val="BodyText"/>
        <w:spacing w:before="117" w:line="242" w:lineRule="auto"/>
        <w:ind w:right="451"/>
        <w:jc w:val="both"/>
      </w:pPr>
      <w:r>
        <w:rPr>
          <w:color w:val="231F20"/>
        </w:rPr>
        <w:t>The</w:t>
      </w:r>
      <w:r>
        <w:rPr>
          <w:color w:val="231F20"/>
          <w:spacing w:val="-13"/>
        </w:rPr>
        <w:t xml:space="preserve"> </w:t>
      </w:r>
      <w:r>
        <w:rPr>
          <w:color w:val="231F20"/>
        </w:rPr>
        <w:t>annual</w:t>
      </w:r>
      <w:r>
        <w:rPr>
          <w:color w:val="231F20"/>
          <w:spacing w:val="-13"/>
        </w:rPr>
        <w:t xml:space="preserve"> </w:t>
      </w:r>
      <w:r>
        <w:rPr>
          <w:color w:val="231F20"/>
        </w:rPr>
        <w:t>financial</w:t>
      </w:r>
      <w:r>
        <w:rPr>
          <w:color w:val="231F20"/>
          <w:spacing w:val="-13"/>
        </w:rPr>
        <w:t xml:space="preserve"> </w:t>
      </w:r>
      <w:r>
        <w:rPr>
          <w:color w:val="231F20"/>
        </w:rPr>
        <w:t>statements</w:t>
      </w:r>
      <w:r>
        <w:rPr>
          <w:color w:val="231F20"/>
          <w:spacing w:val="-12"/>
        </w:rPr>
        <w:t xml:space="preserve"> </w:t>
      </w:r>
      <w:r>
        <w:rPr>
          <w:color w:val="231F20"/>
        </w:rPr>
        <w:t>represent</w:t>
      </w:r>
      <w:r>
        <w:rPr>
          <w:color w:val="231F20"/>
          <w:spacing w:val="-12"/>
        </w:rPr>
        <w:t xml:space="preserve"> </w:t>
      </w:r>
      <w:r>
        <w:rPr>
          <w:color w:val="231F20"/>
        </w:rPr>
        <w:t>the</w:t>
      </w:r>
      <w:r>
        <w:rPr>
          <w:color w:val="231F20"/>
          <w:spacing w:val="-13"/>
        </w:rPr>
        <w:t xml:space="preserve"> </w:t>
      </w:r>
      <w:r>
        <w:rPr>
          <w:color w:val="231F20"/>
        </w:rPr>
        <w:t>audited</w:t>
      </w:r>
      <w:r>
        <w:rPr>
          <w:color w:val="231F20"/>
          <w:spacing w:val="-13"/>
        </w:rPr>
        <w:t xml:space="preserve"> </w:t>
      </w:r>
      <w:r>
        <w:rPr>
          <w:color w:val="231F20"/>
        </w:rPr>
        <w:t>general</w:t>
      </w:r>
      <w:r>
        <w:rPr>
          <w:color w:val="231F20"/>
          <w:spacing w:val="-13"/>
        </w:rPr>
        <w:t xml:space="preserve"> </w:t>
      </w:r>
      <w:r>
        <w:rPr>
          <w:color w:val="231F20"/>
        </w:rPr>
        <w:t>purpose</w:t>
      </w:r>
      <w:r>
        <w:rPr>
          <w:color w:val="231F20"/>
          <w:spacing w:val="-13"/>
        </w:rPr>
        <w:t xml:space="preserve"> </w:t>
      </w:r>
      <w:r>
        <w:rPr>
          <w:color w:val="231F20"/>
        </w:rPr>
        <w:t>financial</w:t>
      </w:r>
      <w:r>
        <w:rPr>
          <w:color w:val="231F20"/>
          <w:spacing w:val="-13"/>
        </w:rPr>
        <w:t xml:space="preserve"> </w:t>
      </w:r>
      <w:r>
        <w:rPr>
          <w:color w:val="231F20"/>
        </w:rPr>
        <w:t>statements</w:t>
      </w:r>
      <w:r>
        <w:rPr>
          <w:color w:val="231F20"/>
          <w:spacing w:val="-12"/>
        </w:rPr>
        <w:t xml:space="preserve"> </w:t>
      </w:r>
      <w:r>
        <w:rPr>
          <w:color w:val="231F20"/>
        </w:rPr>
        <w:t>of Victoria</w:t>
      </w:r>
      <w:r>
        <w:rPr>
          <w:color w:val="231F20"/>
          <w:spacing w:val="-5"/>
        </w:rPr>
        <w:t xml:space="preserve"> </w:t>
      </w:r>
      <w:r>
        <w:rPr>
          <w:color w:val="231F20"/>
        </w:rPr>
        <w:t>Police</w:t>
      </w:r>
      <w:r>
        <w:rPr>
          <w:color w:val="231F20"/>
          <w:spacing w:val="-5"/>
        </w:rPr>
        <w:t xml:space="preserve"> </w:t>
      </w:r>
      <w:r>
        <w:rPr>
          <w:color w:val="231F20"/>
        </w:rPr>
        <w:t>for</w:t>
      </w:r>
      <w:r>
        <w:rPr>
          <w:color w:val="231F20"/>
          <w:spacing w:val="-4"/>
        </w:rPr>
        <w:t xml:space="preserve"> </w:t>
      </w:r>
      <w:r>
        <w:rPr>
          <w:color w:val="231F20"/>
        </w:rPr>
        <w:t>the</w:t>
      </w:r>
      <w:r>
        <w:rPr>
          <w:color w:val="231F20"/>
          <w:spacing w:val="-5"/>
        </w:rPr>
        <w:t xml:space="preserve"> </w:t>
      </w:r>
      <w:r>
        <w:rPr>
          <w:color w:val="231F20"/>
        </w:rPr>
        <w:t>year</w:t>
      </w:r>
      <w:r>
        <w:rPr>
          <w:color w:val="231F20"/>
          <w:spacing w:val="-4"/>
        </w:rPr>
        <w:t xml:space="preserve"> </w:t>
      </w:r>
      <w:r>
        <w:rPr>
          <w:color w:val="231F20"/>
        </w:rPr>
        <w:t>ended</w:t>
      </w:r>
      <w:r>
        <w:rPr>
          <w:color w:val="231F20"/>
          <w:spacing w:val="-5"/>
        </w:rPr>
        <w:t xml:space="preserve"> </w:t>
      </w:r>
      <w:r>
        <w:rPr>
          <w:color w:val="231F20"/>
        </w:rPr>
        <w:t>30</w:t>
      </w:r>
      <w:r>
        <w:rPr>
          <w:color w:val="231F20"/>
          <w:spacing w:val="-5"/>
        </w:rPr>
        <w:t xml:space="preserve"> </w:t>
      </w:r>
      <w:r>
        <w:rPr>
          <w:color w:val="231F20"/>
        </w:rPr>
        <w:t>June</w:t>
      </w:r>
      <w:r>
        <w:rPr>
          <w:color w:val="231F20"/>
          <w:spacing w:val="-5"/>
        </w:rPr>
        <w:t xml:space="preserve"> </w:t>
      </w:r>
      <w:r>
        <w:rPr>
          <w:color w:val="231F20"/>
        </w:rPr>
        <w:t>2022.</w:t>
      </w:r>
      <w:r>
        <w:rPr>
          <w:color w:val="231F20"/>
          <w:spacing w:val="-4"/>
        </w:rPr>
        <w:t xml:space="preserve"> </w:t>
      </w:r>
      <w:r>
        <w:rPr>
          <w:color w:val="231F20"/>
        </w:rPr>
        <w:t>The</w:t>
      </w:r>
      <w:r>
        <w:rPr>
          <w:color w:val="231F20"/>
          <w:spacing w:val="-5"/>
        </w:rPr>
        <w:t xml:space="preserve"> </w:t>
      </w:r>
      <w:r>
        <w:rPr>
          <w:color w:val="231F20"/>
        </w:rPr>
        <w:t>purpose</w:t>
      </w:r>
      <w:r>
        <w:rPr>
          <w:color w:val="231F20"/>
          <w:spacing w:val="-5"/>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report</w:t>
      </w:r>
      <w:r>
        <w:rPr>
          <w:color w:val="231F20"/>
          <w:spacing w:val="-4"/>
        </w:rPr>
        <w:t xml:space="preserve"> </w:t>
      </w:r>
      <w:r>
        <w:rPr>
          <w:color w:val="231F20"/>
        </w:rPr>
        <w:t>is</w:t>
      </w:r>
      <w:r>
        <w:rPr>
          <w:color w:val="231F20"/>
          <w:spacing w:val="-4"/>
        </w:rPr>
        <w:t xml:space="preserve"> </w:t>
      </w:r>
      <w:r>
        <w:rPr>
          <w:color w:val="231F20"/>
        </w:rPr>
        <w:t>to</w:t>
      </w:r>
      <w:r>
        <w:rPr>
          <w:color w:val="231F20"/>
          <w:spacing w:val="-5"/>
        </w:rPr>
        <w:t xml:space="preserve"> </w:t>
      </w:r>
      <w:r>
        <w:rPr>
          <w:color w:val="231F20"/>
        </w:rPr>
        <w:t>provide</w:t>
      </w:r>
      <w:r>
        <w:rPr>
          <w:color w:val="231F20"/>
          <w:spacing w:val="-5"/>
        </w:rPr>
        <w:t xml:space="preserve"> </w:t>
      </w:r>
      <w:r>
        <w:rPr>
          <w:color w:val="231F20"/>
        </w:rPr>
        <w:t>users with information about Victoria Police’s stewardship of resources entrusted to it.</w:t>
      </w:r>
    </w:p>
    <w:p w14:paraId="5F8C713A" w14:textId="77777777" w:rsidR="00345EE3" w:rsidRDefault="00345EE3" w:rsidP="002A27BA">
      <w:pPr>
        <w:pStyle w:val="Heading3"/>
      </w:pPr>
      <w:r>
        <w:t>Basis of Preparation</w:t>
      </w:r>
    </w:p>
    <w:p w14:paraId="29E0AD31" w14:textId="77777777" w:rsidR="00345EE3" w:rsidRDefault="00345EE3" w:rsidP="00345EE3">
      <w:pPr>
        <w:pStyle w:val="BodyText"/>
        <w:spacing w:before="52" w:line="242" w:lineRule="auto"/>
        <w:ind w:right="147"/>
      </w:pPr>
      <w:r>
        <w:rPr>
          <w:color w:val="231F20"/>
        </w:rPr>
        <w:t>These</w:t>
      </w:r>
      <w:r>
        <w:rPr>
          <w:color w:val="231F20"/>
          <w:spacing w:val="-11"/>
        </w:rPr>
        <w:t xml:space="preserve"> </w:t>
      </w:r>
      <w:r>
        <w:rPr>
          <w:color w:val="231F20"/>
        </w:rPr>
        <w:t>financial</w:t>
      </w:r>
      <w:r>
        <w:rPr>
          <w:color w:val="231F20"/>
          <w:spacing w:val="-11"/>
        </w:rPr>
        <w:t xml:space="preserve"> </w:t>
      </w:r>
      <w:r>
        <w:rPr>
          <w:color w:val="231F20"/>
        </w:rPr>
        <w:t>statements</w:t>
      </w:r>
      <w:r>
        <w:rPr>
          <w:color w:val="231F20"/>
          <w:spacing w:val="-10"/>
        </w:rPr>
        <w:t xml:space="preserve"> </w:t>
      </w:r>
      <w:r>
        <w:rPr>
          <w:color w:val="231F20"/>
        </w:rPr>
        <w:t>are</w:t>
      </w:r>
      <w:r>
        <w:rPr>
          <w:color w:val="231F20"/>
          <w:spacing w:val="-11"/>
        </w:rPr>
        <w:t xml:space="preserve"> </w:t>
      </w:r>
      <w:r>
        <w:rPr>
          <w:color w:val="231F20"/>
        </w:rPr>
        <w:t>prepared</w:t>
      </w:r>
      <w:r>
        <w:rPr>
          <w:color w:val="231F20"/>
          <w:spacing w:val="-11"/>
        </w:rPr>
        <w:t xml:space="preserve"> </w:t>
      </w:r>
      <w:r>
        <w:rPr>
          <w:color w:val="231F20"/>
        </w:rPr>
        <w:t>in</w:t>
      </w:r>
      <w:r>
        <w:rPr>
          <w:color w:val="231F20"/>
          <w:spacing w:val="-11"/>
        </w:rPr>
        <w:t xml:space="preserve"> </w:t>
      </w:r>
      <w:r>
        <w:rPr>
          <w:color w:val="231F20"/>
        </w:rPr>
        <w:t>accordance</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historical</w:t>
      </w:r>
      <w:r>
        <w:rPr>
          <w:color w:val="231F20"/>
          <w:spacing w:val="-11"/>
        </w:rPr>
        <w:t xml:space="preserve"> </w:t>
      </w:r>
      <w:r>
        <w:rPr>
          <w:color w:val="231F20"/>
        </w:rPr>
        <w:t>cost</w:t>
      </w:r>
      <w:r>
        <w:rPr>
          <w:color w:val="231F20"/>
          <w:spacing w:val="-10"/>
        </w:rPr>
        <w:t xml:space="preserve"> </w:t>
      </w:r>
      <w:r>
        <w:rPr>
          <w:color w:val="231F20"/>
        </w:rPr>
        <w:t>convention</w:t>
      </w:r>
      <w:r>
        <w:rPr>
          <w:color w:val="231F20"/>
          <w:spacing w:val="-11"/>
        </w:rPr>
        <w:t xml:space="preserve"> </w:t>
      </w:r>
      <w:r>
        <w:rPr>
          <w:color w:val="231F20"/>
        </w:rPr>
        <w:t>except for non-financial physical assets which, subsequent to acquisition, are measured at a revalued amount being</w:t>
      </w:r>
      <w:r>
        <w:rPr>
          <w:color w:val="231F20"/>
          <w:spacing w:val="-1"/>
        </w:rPr>
        <w:t xml:space="preserve"> </w:t>
      </w:r>
      <w:r>
        <w:rPr>
          <w:color w:val="231F20"/>
        </w:rPr>
        <w:t>their fair value</w:t>
      </w:r>
      <w:r>
        <w:rPr>
          <w:color w:val="231F20"/>
          <w:spacing w:val="-1"/>
        </w:rPr>
        <w:t xml:space="preserve"> </w:t>
      </w:r>
      <w:r>
        <w:rPr>
          <w:color w:val="231F20"/>
        </w:rPr>
        <w:t>at the</w:t>
      </w:r>
      <w:r>
        <w:rPr>
          <w:color w:val="231F20"/>
          <w:spacing w:val="-1"/>
        </w:rPr>
        <w:t xml:space="preserve"> </w:t>
      </w:r>
      <w:r>
        <w:rPr>
          <w:color w:val="231F20"/>
        </w:rPr>
        <w:t>date</w:t>
      </w:r>
      <w:r>
        <w:rPr>
          <w:color w:val="231F20"/>
          <w:spacing w:val="-1"/>
        </w:rPr>
        <w:t xml:space="preserve"> </w:t>
      </w:r>
      <w:r>
        <w:rPr>
          <w:color w:val="231F20"/>
        </w:rPr>
        <w:t>of the</w:t>
      </w:r>
      <w:r>
        <w:rPr>
          <w:color w:val="231F20"/>
          <w:spacing w:val="-1"/>
        </w:rPr>
        <w:t xml:space="preserve"> </w:t>
      </w:r>
      <w:r>
        <w:rPr>
          <w:color w:val="231F20"/>
        </w:rPr>
        <w:t>revaluation</w:t>
      </w:r>
      <w:r>
        <w:rPr>
          <w:color w:val="231F20"/>
          <w:spacing w:val="-1"/>
        </w:rPr>
        <w:t xml:space="preserve"> </w:t>
      </w:r>
      <w:r>
        <w:rPr>
          <w:color w:val="231F20"/>
        </w:rPr>
        <w:t>less any subsequent accumulated depreciation</w:t>
      </w:r>
      <w:r>
        <w:rPr>
          <w:color w:val="231F20"/>
          <w:spacing w:val="-1"/>
        </w:rPr>
        <w:t xml:space="preserve"> </w:t>
      </w:r>
      <w:r>
        <w:rPr>
          <w:color w:val="231F20"/>
        </w:rPr>
        <w:t>and</w:t>
      </w:r>
      <w:r>
        <w:rPr>
          <w:color w:val="231F20"/>
          <w:spacing w:val="-1"/>
        </w:rPr>
        <w:t xml:space="preserve"> </w:t>
      </w:r>
      <w:r>
        <w:rPr>
          <w:color w:val="231F20"/>
        </w:rPr>
        <w:t>subsequent impairment losses. Refer to</w:t>
      </w:r>
      <w:r>
        <w:rPr>
          <w:color w:val="231F20"/>
          <w:spacing w:val="-1"/>
        </w:rPr>
        <w:t xml:space="preserve"> </w:t>
      </w:r>
      <w:r>
        <w:rPr>
          <w:color w:val="231F20"/>
        </w:rPr>
        <w:t>Note</w:t>
      </w:r>
      <w:r>
        <w:rPr>
          <w:color w:val="231F20"/>
          <w:spacing w:val="-1"/>
        </w:rPr>
        <w:t xml:space="preserve"> </w:t>
      </w:r>
      <w:r>
        <w:rPr>
          <w:color w:val="231F20"/>
        </w:rPr>
        <w:t>8.3.2</w:t>
      </w:r>
      <w:r>
        <w:rPr>
          <w:color w:val="231F20"/>
          <w:spacing w:val="-1"/>
        </w:rPr>
        <w:t xml:space="preserve"> </w:t>
      </w:r>
      <w:r>
        <w:rPr>
          <w:color w:val="231F20"/>
        </w:rPr>
        <w:t>Fair Value</w:t>
      </w:r>
      <w:r>
        <w:rPr>
          <w:color w:val="231F20"/>
          <w:spacing w:val="-1"/>
        </w:rPr>
        <w:t xml:space="preserve"> </w:t>
      </w:r>
      <w:r>
        <w:rPr>
          <w:color w:val="231F20"/>
        </w:rPr>
        <w:t>Determination: Non-Financial Physical Assets.</w:t>
      </w:r>
    </w:p>
    <w:p w14:paraId="2B60F297" w14:textId="77777777" w:rsidR="00345EE3" w:rsidRDefault="00345EE3" w:rsidP="00345EE3">
      <w:pPr>
        <w:pStyle w:val="BodyText"/>
        <w:spacing w:before="120" w:line="242" w:lineRule="auto"/>
        <w:ind w:right="115"/>
      </w:pPr>
      <w:r>
        <w:rPr>
          <w:color w:val="231F20"/>
        </w:rPr>
        <w:t>The accrual basis of accounting has been applied in the preparation of these financial statements</w:t>
      </w:r>
      <w:r>
        <w:rPr>
          <w:color w:val="231F20"/>
          <w:spacing w:val="-13"/>
        </w:rPr>
        <w:t xml:space="preserve"> </w:t>
      </w:r>
      <w:r>
        <w:rPr>
          <w:color w:val="231F20"/>
        </w:rPr>
        <w:t>whereby</w:t>
      </w:r>
      <w:r>
        <w:rPr>
          <w:color w:val="231F20"/>
          <w:spacing w:val="-13"/>
        </w:rPr>
        <w:t xml:space="preserve"> </w:t>
      </w:r>
      <w:r>
        <w:rPr>
          <w:color w:val="231F20"/>
        </w:rPr>
        <w:t>assets,</w:t>
      </w:r>
      <w:r>
        <w:rPr>
          <w:color w:val="231F20"/>
          <w:spacing w:val="-13"/>
        </w:rPr>
        <w:t xml:space="preserve"> </w:t>
      </w:r>
      <w:r>
        <w:rPr>
          <w:color w:val="231F20"/>
        </w:rPr>
        <w:t>liabilities,</w:t>
      </w:r>
      <w:r>
        <w:rPr>
          <w:color w:val="231F20"/>
          <w:spacing w:val="-13"/>
        </w:rPr>
        <w:t xml:space="preserve"> </w:t>
      </w:r>
      <w:r>
        <w:rPr>
          <w:color w:val="231F20"/>
        </w:rPr>
        <w:t>equity,</w:t>
      </w:r>
      <w:r>
        <w:rPr>
          <w:color w:val="231F20"/>
          <w:spacing w:val="-13"/>
        </w:rPr>
        <w:t xml:space="preserve"> </w:t>
      </w:r>
      <w:r>
        <w:rPr>
          <w:color w:val="231F20"/>
        </w:rPr>
        <w:t>income</w:t>
      </w:r>
      <w:r>
        <w:rPr>
          <w:color w:val="231F20"/>
          <w:spacing w:val="-13"/>
        </w:rPr>
        <w:t xml:space="preserve"> </w:t>
      </w:r>
      <w:r>
        <w:rPr>
          <w:color w:val="231F20"/>
        </w:rPr>
        <w:t>and</w:t>
      </w:r>
      <w:r>
        <w:rPr>
          <w:color w:val="231F20"/>
          <w:spacing w:val="-13"/>
        </w:rPr>
        <w:t xml:space="preserve"> </w:t>
      </w:r>
      <w:r>
        <w:rPr>
          <w:color w:val="231F20"/>
        </w:rPr>
        <w:t>expenses</w:t>
      </w:r>
      <w:r>
        <w:rPr>
          <w:color w:val="231F20"/>
          <w:spacing w:val="-13"/>
        </w:rPr>
        <w:t xml:space="preserve"> </w:t>
      </w:r>
      <w:r>
        <w:rPr>
          <w:color w:val="231F20"/>
        </w:rPr>
        <w:t>are</w:t>
      </w:r>
      <w:r>
        <w:rPr>
          <w:color w:val="231F20"/>
          <w:spacing w:val="-13"/>
        </w:rPr>
        <w:t xml:space="preserve"> </w:t>
      </w:r>
      <w:r>
        <w:rPr>
          <w:color w:val="231F20"/>
        </w:rPr>
        <w:t>recognised</w:t>
      </w:r>
      <w:r>
        <w:rPr>
          <w:color w:val="231F20"/>
          <w:spacing w:val="-13"/>
        </w:rPr>
        <w:t xml:space="preserve"> </w:t>
      </w:r>
      <w:r>
        <w:rPr>
          <w:color w:val="231F20"/>
        </w:rPr>
        <w:t>in</w:t>
      </w:r>
      <w:r>
        <w:rPr>
          <w:color w:val="231F20"/>
          <w:spacing w:val="-13"/>
        </w:rPr>
        <w:t xml:space="preserve"> </w:t>
      </w:r>
      <w:r>
        <w:rPr>
          <w:color w:val="231F20"/>
        </w:rPr>
        <w:t>the reporting period to which they relate, regardless of when cash is received or paid.</w:t>
      </w:r>
    </w:p>
    <w:p w14:paraId="414750C4" w14:textId="77777777" w:rsidR="00345EE3" w:rsidRDefault="00345EE3" w:rsidP="00345EE3">
      <w:pPr>
        <w:pStyle w:val="BodyText"/>
        <w:spacing w:before="117" w:line="242" w:lineRule="auto"/>
        <w:ind w:right="115"/>
      </w:pPr>
      <w:r>
        <w:rPr>
          <w:color w:val="231F20"/>
        </w:rPr>
        <w:t>Consistent</w:t>
      </w:r>
      <w:r>
        <w:rPr>
          <w:color w:val="231F20"/>
          <w:spacing w:val="-15"/>
        </w:rPr>
        <w:t xml:space="preserve"> </w:t>
      </w:r>
      <w:r>
        <w:rPr>
          <w:color w:val="231F20"/>
        </w:rPr>
        <w:t>with</w:t>
      </w:r>
      <w:r>
        <w:rPr>
          <w:color w:val="231F20"/>
          <w:spacing w:val="-15"/>
        </w:rPr>
        <w:t xml:space="preserve"> </w:t>
      </w:r>
      <w:r>
        <w:rPr>
          <w:color w:val="231F20"/>
        </w:rPr>
        <w:t>the</w:t>
      </w:r>
      <w:r>
        <w:rPr>
          <w:color w:val="231F20"/>
          <w:spacing w:val="-15"/>
        </w:rPr>
        <w:t xml:space="preserve"> </w:t>
      </w:r>
      <w:r>
        <w:rPr>
          <w:color w:val="231F20"/>
        </w:rPr>
        <w:t>requirements</w:t>
      </w:r>
      <w:r>
        <w:rPr>
          <w:color w:val="231F20"/>
          <w:spacing w:val="-15"/>
        </w:rPr>
        <w:t xml:space="preserve"> </w:t>
      </w:r>
      <w:r>
        <w:rPr>
          <w:color w:val="231F20"/>
        </w:rPr>
        <w:t>of</w:t>
      </w:r>
      <w:r>
        <w:rPr>
          <w:color w:val="231F20"/>
          <w:spacing w:val="-15"/>
        </w:rPr>
        <w:t xml:space="preserve"> </w:t>
      </w:r>
      <w:r>
        <w:rPr>
          <w:color w:val="231F20"/>
        </w:rPr>
        <w:t>AASB</w:t>
      </w:r>
      <w:r>
        <w:rPr>
          <w:color w:val="231F20"/>
          <w:spacing w:val="-15"/>
        </w:rPr>
        <w:t xml:space="preserve"> </w:t>
      </w:r>
      <w:r>
        <w:rPr>
          <w:color w:val="231F20"/>
        </w:rPr>
        <w:t>1004</w:t>
      </w:r>
      <w:r>
        <w:rPr>
          <w:color w:val="231F20"/>
          <w:spacing w:val="-15"/>
        </w:rPr>
        <w:t xml:space="preserve"> </w:t>
      </w:r>
      <w:r>
        <w:rPr>
          <w:i/>
          <w:color w:val="231F20"/>
        </w:rPr>
        <w:t>Contributions</w:t>
      </w:r>
      <w:r>
        <w:rPr>
          <w:color w:val="231F20"/>
        </w:rPr>
        <w:t>,</w:t>
      </w:r>
      <w:r>
        <w:rPr>
          <w:color w:val="231F20"/>
          <w:spacing w:val="-15"/>
        </w:rPr>
        <w:t xml:space="preserve"> </w:t>
      </w:r>
      <w:r>
        <w:rPr>
          <w:color w:val="231F20"/>
        </w:rPr>
        <w:t>contributions</w:t>
      </w:r>
      <w:r>
        <w:rPr>
          <w:color w:val="231F20"/>
          <w:spacing w:val="-15"/>
        </w:rPr>
        <w:t xml:space="preserve"> </w:t>
      </w:r>
      <w:r>
        <w:rPr>
          <w:color w:val="231F20"/>
        </w:rPr>
        <w:t>by</w:t>
      </w:r>
      <w:r>
        <w:rPr>
          <w:color w:val="231F20"/>
          <w:spacing w:val="-15"/>
        </w:rPr>
        <w:t xml:space="preserve"> </w:t>
      </w:r>
      <w:r>
        <w:rPr>
          <w:color w:val="231F20"/>
        </w:rPr>
        <w:t>owners</w:t>
      </w:r>
      <w:r>
        <w:rPr>
          <w:color w:val="231F20"/>
          <w:spacing w:val="-15"/>
        </w:rPr>
        <w:t xml:space="preserve"> </w:t>
      </w:r>
      <w:r>
        <w:rPr>
          <w:color w:val="231F20"/>
        </w:rPr>
        <w:t>(that</w:t>
      </w:r>
      <w:r>
        <w:rPr>
          <w:color w:val="231F20"/>
          <w:spacing w:val="-15"/>
        </w:rPr>
        <w:t xml:space="preserve"> </w:t>
      </w:r>
      <w:r>
        <w:rPr>
          <w:color w:val="231F20"/>
        </w:rPr>
        <w:t>is, contributed</w:t>
      </w:r>
      <w:r>
        <w:rPr>
          <w:color w:val="231F20"/>
          <w:spacing w:val="-3"/>
        </w:rPr>
        <w:t xml:space="preserve"> </w:t>
      </w:r>
      <w:r>
        <w:rPr>
          <w:color w:val="231F20"/>
        </w:rPr>
        <w:t>capital</w:t>
      </w:r>
      <w:r>
        <w:rPr>
          <w:color w:val="231F20"/>
          <w:spacing w:val="-3"/>
        </w:rPr>
        <w:t xml:space="preserve"> </w:t>
      </w:r>
      <w:r>
        <w:rPr>
          <w:color w:val="231F20"/>
        </w:rPr>
        <w:t>and</w:t>
      </w:r>
      <w:r>
        <w:rPr>
          <w:color w:val="231F20"/>
          <w:spacing w:val="-3"/>
        </w:rPr>
        <w:t xml:space="preserve"> </w:t>
      </w:r>
      <w:r>
        <w:rPr>
          <w:color w:val="231F20"/>
        </w:rPr>
        <w:t>its</w:t>
      </w:r>
      <w:r>
        <w:rPr>
          <w:color w:val="231F20"/>
          <w:spacing w:val="-2"/>
        </w:rPr>
        <w:t xml:space="preserve"> </w:t>
      </w:r>
      <w:r>
        <w:rPr>
          <w:color w:val="231F20"/>
        </w:rPr>
        <w:t>repayment)</w:t>
      </w:r>
      <w:r>
        <w:rPr>
          <w:color w:val="231F20"/>
          <w:spacing w:val="-2"/>
        </w:rPr>
        <w:t xml:space="preserve"> </w:t>
      </w:r>
      <w:r>
        <w:rPr>
          <w:color w:val="231F20"/>
        </w:rPr>
        <w:t>are</w:t>
      </w:r>
      <w:r>
        <w:rPr>
          <w:color w:val="231F20"/>
          <w:spacing w:val="-3"/>
        </w:rPr>
        <w:t xml:space="preserve"> </w:t>
      </w:r>
      <w:r>
        <w:rPr>
          <w:color w:val="231F20"/>
        </w:rPr>
        <w:t>treated</w:t>
      </w:r>
      <w:r>
        <w:rPr>
          <w:color w:val="231F20"/>
          <w:spacing w:val="-3"/>
        </w:rPr>
        <w:t xml:space="preserve"> </w:t>
      </w:r>
      <w:r>
        <w:rPr>
          <w:color w:val="231F20"/>
        </w:rPr>
        <w:t>as</w:t>
      </w:r>
      <w:r>
        <w:rPr>
          <w:color w:val="231F20"/>
          <w:spacing w:val="-2"/>
        </w:rPr>
        <w:t xml:space="preserve"> </w:t>
      </w:r>
      <w:r>
        <w:rPr>
          <w:color w:val="231F20"/>
        </w:rPr>
        <w:t>equity</w:t>
      </w:r>
      <w:r>
        <w:rPr>
          <w:color w:val="231F20"/>
          <w:spacing w:val="-2"/>
        </w:rPr>
        <w:t xml:space="preserve"> </w:t>
      </w:r>
      <w:r>
        <w:rPr>
          <w:color w:val="231F20"/>
        </w:rPr>
        <w:t>transactions</w:t>
      </w:r>
      <w:r>
        <w:rPr>
          <w:color w:val="231F20"/>
          <w:spacing w:val="-2"/>
        </w:rPr>
        <w:t xml:space="preserve"> </w:t>
      </w:r>
      <w:r>
        <w:rPr>
          <w:color w:val="231F20"/>
        </w:rPr>
        <w:t>and</w:t>
      </w:r>
      <w:r>
        <w:rPr>
          <w:color w:val="231F20"/>
          <w:spacing w:val="-3"/>
        </w:rPr>
        <w:t xml:space="preserve"> </w:t>
      </w:r>
      <w:r>
        <w:rPr>
          <w:color w:val="231F20"/>
        </w:rPr>
        <w:t>therefore,</w:t>
      </w:r>
      <w:r>
        <w:rPr>
          <w:color w:val="231F20"/>
          <w:spacing w:val="-2"/>
        </w:rPr>
        <w:t xml:space="preserve"> </w:t>
      </w:r>
      <w:r>
        <w:rPr>
          <w:color w:val="231F20"/>
        </w:rPr>
        <w:t>do</w:t>
      </w:r>
      <w:r>
        <w:rPr>
          <w:color w:val="231F20"/>
          <w:spacing w:val="-3"/>
        </w:rPr>
        <w:t xml:space="preserve"> </w:t>
      </w:r>
      <w:r>
        <w:rPr>
          <w:color w:val="231F20"/>
        </w:rPr>
        <w:t>not form part of the income and expenses of Victoria Police.</w:t>
      </w:r>
    </w:p>
    <w:p w14:paraId="67F234BC" w14:textId="77777777" w:rsidR="00345EE3" w:rsidRDefault="00345EE3" w:rsidP="00345EE3">
      <w:pPr>
        <w:pStyle w:val="BodyText"/>
        <w:spacing w:before="118" w:line="242" w:lineRule="auto"/>
        <w:ind w:right="327"/>
      </w:pPr>
      <w:r>
        <w:rPr>
          <w:color w:val="231F20"/>
        </w:rPr>
        <w:t>Additions</w:t>
      </w:r>
      <w:r>
        <w:rPr>
          <w:color w:val="231F20"/>
          <w:spacing w:val="-10"/>
        </w:rPr>
        <w:t xml:space="preserve"> </w:t>
      </w:r>
      <w:r>
        <w:rPr>
          <w:color w:val="231F20"/>
        </w:rPr>
        <w:t>to</w:t>
      </w:r>
      <w:r>
        <w:rPr>
          <w:color w:val="231F20"/>
          <w:spacing w:val="-11"/>
        </w:rPr>
        <w:t xml:space="preserve"> </w:t>
      </w:r>
      <w:r>
        <w:rPr>
          <w:color w:val="231F20"/>
        </w:rPr>
        <w:t>net</w:t>
      </w:r>
      <w:r>
        <w:rPr>
          <w:color w:val="231F20"/>
          <w:spacing w:val="-10"/>
        </w:rPr>
        <w:t xml:space="preserve"> </w:t>
      </w:r>
      <w:r>
        <w:rPr>
          <w:color w:val="231F20"/>
        </w:rPr>
        <w:t>assets</w:t>
      </w:r>
      <w:r>
        <w:rPr>
          <w:color w:val="231F20"/>
          <w:spacing w:val="-10"/>
        </w:rPr>
        <w:t xml:space="preserve"> </w:t>
      </w:r>
      <w:r>
        <w:rPr>
          <w:color w:val="231F20"/>
        </w:rPr>
        <w:t>which</w:t>
      </w:r>
      <w:r>
        <w:rPr>
          <w:color w:val="231F20"/>
          <w:spacing w:val="-11"/>
        </w:rPr>
        <w:t xml:space="preserve"> </w:t>
      </w:r>
      <w:r>
        <w:rPr>
          <w:color w:val="231F20"/>
        </w:rPr>
        <w:t>have</w:t>
      </w:r>
      <w:r>
        <w:rPr>
          <w:color w:val="231F20"/>
          <w:spacing w:val="-11"/>
        </w:rPr>
        <w:t xml:space="preserve"> </w:t>
      </w:r>
      <w:r>
        <w:rPr>
          <w:color w:val="231F20"/>
        </w:rPr>
        <w:t>been</w:t>
      </w:r>
      <w:r>
        <w:rPr>
          <w:color w:val="231F20"/>
          <w:spacing w:val="-11"/>
        </w:rPr>
        <w:t xml:space="preserve"> </w:t>
      </w:r>
      <w:r>
        <w:rPr>
          <w:color w:val="231F20"/>
        </w:rPr>
        <w:t>designated</w:t>
      </w:r>
      <w:r>
        <w:rPr>
          <w:color w:val="231F20"/>
          <w:spacing w:val="-11"/>
        </w:rPr>
        <w:t xml:space="preserve"> </w:t>
      </w:r>
      <w:r>
        <w:rPr>
          <w:color w:val="231F20"/>
        </w:rPr>
        <w:t>as</w:t>
      </w:r>
      <w:r>
        <w:rPr>
          <w:color w:val="231F20"/>
          <w:spacing w:val="-10"/>
        </w:rPr>
        <w:t xml:space="preserve"> </w:t>
      </w:r>
      <w:r>
        <w:rPr>
          <w:color w:val="231F20"/>
        </w:rPr>
        <w:t>contributions</w:t>
      </w:r>
      <w:r>
        <w:rPr>
          <w:color w:val="231F20"/>
          <w:spacing w:val="-10"/>
        </w:rPr>
        <w:t xml:space="preserve"> </w:t>
      </w:r>
      <w:r>
        <w:rPr>
          <w:color w:val="231F20"/>
        </w:rPr>
        <w:t>by</w:t>
      </w:r>
      <w:r>
        <w:rPr>
          <w:color w:val="231F20"/>
          <w:spacing w:val="-10"/>
        </w:rPr>
        <w:t xml:space="preserve"> </w:t>
      </w:r>
      <w:r>
        <w:rPr>
          <w:color w:val="231F20"/>
        </w:rPr>
        <w:t>owners</w:t>
      </w:r>
      <w:r>
        <w:rPr>
          <w:color w:val="231F20"/>
          <w:spacing w:val="-10"/>
        </w:rPr>
        <w:t xml:space="preserve"> </w:t>
      </w:r>
      <w:r>
        <w:rPr>
          <w:color w:val="231F20"/>
        </w:rPr>
        <w:t>are</w:t>
      </w:r>
      <w:r>
        <w:rPr>
          <w:color w:val="231F20"/>
          <w:spacing w:val="-11"/>
        </w:rPr>
        <w:t xml:space="preserve"> </w:t>
      </w:r>
      <w:r>
        <w:rPr>
          <w:color w:val="231F20"/>
        </w:rPr>
        <w:t>recognised as contributed capital.</w:t>
      </w:r>
    </w:p>
    <w:p w14:paraId="51DDFFB7" w14:textId="77777777" w:rsidR="00345EE3" w:rsidRDefault="00345EE3" w:rsidP="00345EE3">
      <w:pPr>
        <w:pStyle w:val="BodyText"/>
        <w:spacing w:before="116" w:line="242" w:lineRule="auto"/>
        <w:ind w:right="327"/>
      </w:pPr>
      <w:r>
        <w:rPr>
          <w:color w:val="231F20"/>
        </w:rPr>
        <w:t>Other</w:t>
      </w:r>
      <w:r>
        <w:rPr>
          <w:color w:val="231F20"/>
          <w:spacing w:val="-8"/>
        </w:rPr>
        <w:t xml:space="preserve"> </w:t>
      </w:r>
      <w:r>
        <w:rPr>
          <w:color w:val="231F20"/>
        </w:rPr>
        <w:t>transfers</w:t>
      </w:r>
      <w:r>
        <w:rPr>
          <w:color w:val="231F20"/>
          <w:spacing w:val="-8"/>
        </w:rPr>
        <w:t xml:space="preserve"> </w:t>
      </w:r>
      <w:r>
        <w:rPr>
          <w:color w:val="231F20"/>
        </w:rPr>
        <w:t>that</w:t>
      </w:r>
      <w:r>
        <w:rPr>
          <w:color w:val="231F20"/>
          <w:spacing w:val="-8"/>
        </w:rPr>
        <w:t xml:space="preserve"> </w:t>
      </w:r>
      <w:r>
        <w:rPr>
          <w:color w:val="231F20"/>
        </w:rPr>
        <w:t>are</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nature</w:t>
      </w:r>
      <w:r>
        <w:rPr>
          <w:color w:val="231F20"/>
          <w:spacing w:val="-9"/>
        </w:rPr>
        <w:t xml:space="preserve"> </w:t>
      </w:r>
      <w:r>
        <w:rPr>
          <w:color w:val="231F20"/>
        </w:rPr>
        <w:t>of</w:t>
      </w:r>
      <w:r>
        <w:rPr>
          <w:color w:val="231F20"/>
          <w:spacing w:val="-8"/>
        </w:rPr>
        <w:t xml:space="preserve"> </w:t>
      </w:r>
      <w:r>
        <w:rPr>
          <w:color w:val="231F20"/>
        </w:rPr>
        <w:t>contributions</w:t>
      </w:r>
      <w:r>
        <w:rPr>
          <w:color w:val="231F20"/>
          <w:spacing w:val="-8"/>
        </w:rPr>
        <w:t xml:space="preserve"> </w:t>
      </w:r>
      <w:r>
        <w:rPr>
          <w:color w:val="231F20"/>
        </w:rPr>
        <w:t>to</w:t>
      </w:r>
      <w:r>
        <w:rPr>
          <w:color w:val="231F20"/>
          <w:spacing w:val="-9"/>
        </w:rPr>
        <w:t xml:space="preserve"> </w:t>
      </w:r>
      <w:r>
        <w:rPr>
          <w:color w:val="231F20"/>
        </w:rPr>
        <w:t>or</w:t>
      </w:r>
      <w:r>
        <w:rPr>
          <w:color w:val="231F20"/>
          <w:spacing w:val="-8"/>
        </w:rPr>
        <w:t xml:space="preserve"> </w:t>
      </w:r>
      <w:r>
        <w:rPr>
          <w:color w:val="231F20"/>
        </w:rPr>
        <w:t>distributions</w:t>
      </w:r>
      <w:r>
        <w:rPr>
          <w:color w:val="231F20"/>
          <w:spacing w:val="-8"/>
        </w:rPr>
        <w:t xml:space="preserve"> </w:t>
      </w:r>
      <w:r>
        <w:rPr>
          <w:color w:val="231F20"/>
        </w:rPr>
        <w:t>by</w:t>
      </w:r>
      <w:r>
        <w:rPr>
          <w:color w:val="231F20"/>
          <w:spacing w:val="-8"/>
        </w:rPr>
        <w:t xml:space="preserve"> </w:t>
      </w:r>
      <w:r>
        <w:rPr>
          <w:color w:val="231F20"/>
        </w:rPr>
        <w:t>owners</w:t>
      </w:r>
      <w:r>
        <w:rPr>
          <w:color w:val="231F20"/>
          <w:spacing w:val="-8"/>
        </w:rPr>
        <w:t xml:space="preserve"> </w:t>
      </w:r>
      <w:r>
        <w:rPr>
          <w:color w:val="231F20"/>
        </w:rPr>
        <w:t>have</w:t>
      </w:r>
      <w:r>
        <w:rPr>
          <w:color w:val="231F20"/>
          <w:spacing w:val="-9"/>
        </w:rPr>
        <w:t xml:space="preserve"> </w:t>
      </w:r>
      <w:r>
        <w:rPr>
          <w:color w:val="231F20"/>
        </w:rPr>
        <w:t>also been designated as contributions by owners.</w:t>
      </w:r>
    </w:p>
    <w:p w14:paraId="4CA7ED24" w14:textId="77777777" w:rsidR="00345EE3" w:rsidRDefault="00345EE3" w:rsidP="00345EE3">
      <w:pPr>
        <w:pStyle w:val="BodyText"/>
        <w:spacing w:before="116" w:line="242" w:lineRule="auto"/>
        <w:ind w:right="115"/>
      </w:pPr>
      <w:r>
        <w:rPr>
          <w:color w:val="231F20"/>
        </w:rPr>
        <w:t>Judgements,</w:t>
      </w:r>
      <w:r>
        <w:rPr>
          <w:color w:val="231F20"/>
          <w:spacing w:val="-9"/>
        </w:rPr>
        <w:t xml:space="preserve"> </w:t>
      </w:r>
      <w:r>
        <w:rPr>
          <w:color w:val="231F20"/>
        </w:rPr>
        <w:t>estimates</w:t>
      </w:r>
      <w:r>
        <w:rPr>
          <w:color w:val="231F20"/>
          <w:spacing w:val="-9"/>
        </w:rPr>
        <w:t xml:space="preserve"> </w:t>
      </w:r>
      <w:r>
        <w:rPr>
          <w:color w:val="231F20"/>
        </w:rPr>
        <w:t>and</w:t>
      </w:r>
      <w:r>
        <w:rPr>
          <w:color w:val="231F20"/>
          <w:spacing w:val="-10"/>
        </w:rPr>
        <w:t xml:space="preserve"> </w:t>
      </w:r>
      <w:r>
        <w:rPr>
          <w:color w:val="231F20"/>
        </w:rPr>
        <w:t>assumptions</w:t>
      </w:r>
      <w:r>
        <w:rPr>
          <w:color w:val="231F20"/>
          <w:spacing w:val="-9"/>
        </w:rPr>
        <w:t xml:space="preserve"> </w:t>
      </w:r>
      <w:r>
        <w:rPr>
          <w:color w:val="231F20"/>
        </w:rPr>
        <w:t>are</w:t>
      </w:r>
      <w:r>
        <w:rPr>
          <w:color w:val="231F20"/>
          <w:spacing w:val="-10"/>
        </w:rPr>
        <w:t xml:space="preserve"> </w:t>
      </w:r>
      <w:r>
        <w:rPr>
          <w:color w:val="231F20"/>
        </w:rPr>
        <w:t>required</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made</w:t>
      </w:r>
      <w:r>
        <w:rPr>
          <w:color w:val="231F20"/>
          <w:spacing w:val="-10"/>
        </w:rPr>
        <w:t xml:space="preserve"> </w:t>
      </w:r>
      <w:r>
        <w:rPr>
          <w:color w:val="231F20"/>
        </w:rPr>
        <w:t>about</w:t>
      </w:r>
      <w:r>
        <w:rPr>
          <w:color w:val="231F20"/>
          <w:spacing w:val="-9"/>
        </w:rPr>
        <w:t xml:space="preserve"> </w:t>
      </w:r>
      <w:r>
        <w:rPr>
          <w:color w:val="231F20"/>
        </w:rPr>
        <w:t>the</w:t>
      </w:r>
      <w:r>
        <w:rPr>
          <w:color w:val="231F20"/>
          <w:spacing w:val="-10"/>
        </w:rPr>
        <w:t xml:space="preserve"> </w:t>
      </w:r>
      <w:r>
        <w:rPr>
          <w:color w:val="231F20"/>
        </w:rPr>
        <w:t>financial</w:t>
      </w:r>
      <w:r>
        <w:rPr>
          <w:color w:val="231F20"/>
          <w:spacing w:val="-10"/>
        </w:rPr>
        <w:t xml:space="preserve"> </w:t>
      </w:r>
      <w:r>
        <w:rPr>
          <w:color w:val="231F20"/>
        </w:rPr>
        <w:t>information being presented. The significant judgements made in the preparation of these financial statements are disclosed in the notes where amounts affected by those judgements are disclosed.</w:t>
      </w:r>
      <w:r>
        <w:rPr>
          <w:color w:val="231F20"/>
          <w:spacing w:val="-13"/>
        </w:rPr>
        <w:t xml:space="preserve"> </w:t>
      </w:r>
      <w:r>
        <w:rPr>
          <w:color w:val="231F20"/>
        </w:rPr>
        <w:t>Estimates</w:t>
      </w:r>
      <w:r>
        <w:rPr>
          <w:color w:val="231F20"/>
          <w:spacing w:val="-13"/>
        </w:rPr>
        <w:t xml:space="preserve"> </w:t>
      </w:r>
      <w:r>
        <w:rPr>
          <w:color w:val="231F20"/>
        </w:rPr>
        <w:t>and</w:t>
      </w:r>
      <w:r>
        <w:rPr>
          <w:color w:val="231F20"/>
          <w:spacing w:val="-14"/>
        </w:rPr>
        <w:t xml:space="preserve"> </w:t>
      </w:r>
      <w:r>
        <w:rPr>
          <w:color w:val="231F20"/>
        </w:rPr>
        <w:t>associated</w:t>
      </w:r>
      <w:r>
        <w:rPr>
          <w:color w:val="231F20"/>
          <w:spacing w:val="-14"/>
        </w:rPr>
        <w:t xml:space="preserve"> </w:t>
      </w:r>
      <w:r>
        <w:rPr>
          <w:color w:val="231F20"/>
        </w:rPr>
        <w:t>assumptions</w:t>
      </w:r>
      <w:r>
        <w:rPr>
          <w:color w:val="231F20"/>
          <w:spacing w:val="-13"/>
        </w:rPr>
        <w:t xml:space="preserve"> </w:t>
      </w:r>
      <w:r>
        <w:rPr>
          <w:color w:val="231F20"/>
        </w:rPr>
        <w:t>are</w:t>
      </w:r>
      <w:r>
        <w:rPr>
          <w:color w:val="231F20"/>
          <w:spacing w:val="-14"/>
        </w:rPr>
        <w:t xml:space="preserve"> </w:t>
      </w:r>
      <w:r>
        <w:rPr>
          <w:color w:val="231F20"/>
        </w:rPr>
        <w:t>based</w:t>
      </w:r>
      <w:r>
        <w:rPr>
          <w:color w:val="231F20"/>
          <w:spacing w:val="-14"/>
        </w:rPr>
        <w:t xml:space="preserve"> </w:t>
      </w:r>
      <w:r>
        <w:rPr>
          <w:color w:val="231F20"/>
        </w:rPr>
        <w:t>on</w:t>
      </w:r>
      <w:r>
        <w:rPr>
          <w:color w:val="231F20"/>
          <w:spacing w:val="-14"/>
        </w:rPr>
        <w:t xml:space="preserve"> </w:t>
      </w:r>
      <w:r>
        <w:rPr>
          <w:color w:val="231F20"/>
        </w:rPr>
        <w:t>professional</w:t>
      </w:r>
      <w:r>
        <w:rPr>
          <w:color w:val="231F20"/>
          <w:spacing w:val="-14"/>
        </w:rPr>
        <w:t xml:space="preserve"> </w:t>
      </w:r>
      <w:r>
        <w:rPr>
          <w:color w:val="231F20"/>
        </w:rPr>
        <w:t>judgements</w:t>
      </w:r>
      <w:r>
        <w:rPr>
          <w:color w:val="231F20"/>
          <w:spacing w:val="-13"/>
        </w:rPr>
        <w:t xml:space="preserve"> </w:t>
      </w:r>
      <w:r>
        <w:rPr>
          <w:color w:val="231F20"/>
        </w:rPr>
        <w:t>derived from</w:t>
      </w:r>
      <w:r>
        <w:rPr>
          <w:color w:val="231F20"/>
          <w:spacing w:val="-6"/>
        </w:rPr>
        <w:t xml:space="preserve"> </w:t>
      </w:r>
      <w:r>
        <w:rPr>
          <w:color w:val="231F20"/>
        </w:rPr>
        <w:t>historical</w:t>
      </w:r>
      <w:r>
        <w:rPr>
          <w:color w:val="231F20"/>
          <w:spacing w:val="-7"/>
        </w:rPr>
        <w:t xml:space="preserve"> </w:t>
      </w:r>
      <w:r>
        <w:rPr>
          <w:color w:val="231F20"/>
        </w:rPr>
        <w:t>experience</w:t>
      </w:r>
      <w:r>
        <w:rPr>
          <w:color w:val="231F20"/>
          <w:spacing w:val="-7"/>
        </w:rPr>
        <w:t xml:space="preserve"> </w:t>
      </w:r>
      <w:r>
        <w:rPr>
          <w:color w:val="231F20"/>
        </w:rPr>
        <w:t>and</w:t>
      </w:r>
      <w:r>
        <w:rPr>
          <w:color w:val="231F20"/>
          <w:spacing w:val="-7"/>
        </w:rPr>
        <w:t xml:space="preserve"> </w:t>
      </w:r>
      <w:r>
        <w:rPr>
          <w:color w:val="231F20"/>
        </w:rPr>
        <w:t>various</w:t>
      </w:r>
      <w:r>
        <w:rPr>
          <w:color w:val="231F20"/>
          <w:spacing w:val="-6"/>
        </w:rPr>
        <w:t xml:space="preserve"> </w:t>
      </w:r>
      <w:r>
        <w:rPr>
          <w:color w:val="231F20"/>
        </w:rPr>
        <w:t>other</w:t>
      </w:r>
      <w:r>
        <w:rPr>
          <w:color w:val="231F20"/>
          <w:spacing w:val="-6"/>
        </w:rPr>
        <w:t xml:space="preserve"> </w:t>
      </w:r>
      <w:r>
        <w:rPr>
          <w:color w:val="231F20"/>
        </w:rPr>
        <w:t>factors</w:t>
      </w:r>
      <w:r>
        <w:rPr>
          <w:color w:val="231F20"/>
          <w:spacing w:val="-6"/>
        </w:rPr>
        <w:t xml:space="preserve"> </w:t>
      </w:r>
      <w:r>
        <w:rPr>
          <w:color w:val="231F20"/>
        </w:rPr>
        <w:t>that</w:t>
      </w:r>
      <w:r>
        <w:rPr>
          <w:color w:val="231F20"/>
          <w:spacing w:val="-6"/>
        </w:rPr>
        <w:t xml:space="preserve"> </w:t>
      </w:r>
      <w:r>
        <w:rPr>
          <w:color w:val="231F20"/>
        </w:rPr>
        <w:t>are</w:t>
      </w:r>
      <w:r>
        <w:rPr>
          <w:color w:val="231F20"/>
          <w:spacing w:val="-7"/>
        </w:rPr>
        <w:t xml:space="preserve"> </w:t>
      </w:r>
      <w:r>
        <w:rPr>
          <w:color w:val="231F20"/>
        </w:rPr>
        <w:t>believed</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reasonable</w:t>
      </w:r>
      <w:r>
        <w:rPr>
          <w:color w:val="231F20"/>
          <w:spacing w:val="-7"/>
        </w:rPr>
        <w:t xml:space="preserve"> </w:t>
      </w:r>
      <w:r>
        <w:rPr>
          <w:color w:val="231F20"/>
        </w:rPr>
        <w:t>under</w:t>
      </w:r>
      <w:r>
        <w:rPr>
          <w:color w:val="231F20"/>
          <w:spacing w:val="-6"/>
        </w:rPr>
        <w:t xml:space="preserve"> </w:t>
      </w:r>
      <w:r>
        <w:rPr>
          <w:color w:val="231F20"/>
        </w:rPr>
        <w:t>the circumstances. Actual results may differ from these estimates.</w:t>
      </w:r>
    </w:p>
    <w:p w14:paraId="614159DD" w14:textId="77777777" w:rsidR="00345EE3" w:rsidRDefault="00345EE3" w:rsidP="00345EE3">
      <w:pPr>
        <w:pStyle w:val="BodyText"/>
        <w:spacing w:before="121" w:line="242" w:lineRule="auto"/>
        <w:ind w:right="327"/>
      </w:pPr>
      <w:r>
        <w:rPr>
          <w:color w:val="231F20"/>
        </w:rPr>
        <w:t>Revisions</w:t>
      </w:r>
      <w:r>
        <w:rPr>
          <w:color w:val="231F20"/>
          <w:spacing w:val="-8"/>
        </w:rPr>
        <w:t xml:space="preserve"> </w:t>
      </w:r>
      <w:r>
        <w:rPr>
          <w:color w:val="231F20"/>
        </w:rPr>
        <w:t>to</w:t>
      </w:r>
      <w:r>
        <w:rPr>
          <w:color w:val="231F20"/>
          <w:spacing w:val="-9"/>
        </w:rPr>
        <w:t xml:space="preserve"> </w:t>
      </w:r>
      <w:r>
        <w:rPr>
          <w:color w:val="231F20"/>
        </w:rPr>
        <w:t>accounting</w:t>
      </w:r>
      <w:r>
        <w:rPr>
          <w:color w:val="231F20"/>
          <w:spacing w:val="-9"/>
        </w:rPr>
        <w:t xml:space="preserve"> </w:t>
      </w:r>
      <w:r>
        <w:rPr>
          <w:color w:val="231F20"/>
        </w:rPr>
        <w:t>estimates</w:t>
      </w:r>
      <w:r>
        <w:rPr>
          <w:color w:val="231F20"/>
          <w:spacing w:val="-8"/>
        </w:rPr>
        <w:t xml:space="preserve"> </w:t>
      </w:r>
      <w:r>
        <w:rPr>
          <w:color w:val="231F20"/>
        </w:rPr>
        <w:t>are</w:t>
      </w:r>
      <w:r>
        <w:rPr>
          <w:color w:val="231F20"/>
          <w:spacing w:val="-9"/>
        </w:rPr>
        <w:t xml:space="preserve"> </w:t>
      </w:r>
      <w:r>
        <w:rPr>
          <w:color w:val="231F20"/>
        </w:rPr>
        <w:t>recognised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period</w:t>
      </w:r>
      <w:r>
        <w:rPr>
          <w:color w:val="231F20"/>
          <w:spacing w:val="-9"/>
        </w:rPr>
        <w:t xml:space="preserve"> </w:t>
      </w:r>
      <w:r>
        <w:rPr>
          <w:color w:val="231F20"/>
        </w:rPr>
        <w:t>in</w:t>
      </w:r>
      <w:r>
        <w:rPr>
          <w:color w:val="231F20"/>
          <w:spacing w:val="-9"/>
        </w:rPr>
        <w:t xml:space="preserve"> </w:t>
      </w:r>
      <w:r>
        <w:rPr>
          <w:color w:val="231F20"/>
        </w:rPr>
        <w:t>which</w:t>
      </w:r>
      <w:r>
        <w:rPr>
          <w:color w:val="231F20"/>
          <w:spacing w:val="-9"/>
        </w:rPr>
        <w:t xml:space="preserve"> </w:t>
      </w:r>
      <w:r>
        <w:rPr>
          <w:color w:val="231F20"/>
        </w:rPr>
        <w:t>the</w:t>
      </w:r>
      <w:r>
        <w:rPr>
          <w:color w:val="231F20"/>
          <w:spacing w:val="-9"/>
        </w:rPr>
        <w:t xml:space="preserve"> </w:t>
      </w:r>
      <w:r>
        <w:rPr>
          <w:color w:val="231F20"/>
        </w:rPr>
        <w:t>estimate</w:t>
      </w:r>
      <w:r>
        <w:rPr>
          <w:color w:val="231F20"/>
          <w:spacing w:val="-9"/>
        </w:rPr>
        <w:t xml:space="preserve"> </w:t>
      </w:r>
      <w:r>
        <w:rPr>
          <w:color w:val="231F20"/>
        </w:rPr>
        <w:t>is</w:t>
      </w:r>
      <w:r>
        <w:rPr>
          <w:color w:val="231F20"/>
          <w:spacing w:val="-8"/>
        </w:rPr>
        <w:t xml:space="preserve"> </w:t>
      </w:r>
      <w:r>
        <w:rPr>
          <w:color w:val="231F20"/>
        </w:rPr>
        <w:t>revised and also in future periods that are affected by the revision. Judgements and assumptions made</w:t>
      </w:r>
      <w:r>
        <w:rPr>
          <w:color w:val="231F20"/>
          <w:spacing w:val="-2"/>
        </w:rPr>
        <w:t xml:space="preserve"> </w:t>
      </w:r>
      <w:r>
        <w:rPr>
          <w:color w:val="231F20"/>
        </w:rPr>
        <w:t>by</w:t>
      </w:r>
      <w:r>
        <w:rPr>
          <w:color w:val="231F20"/>
          <w:spacing w:val="-1"/>
        </w:rPr>
        <w:t xml:space="preserve"> </w:t>
      </w:r>
      <w:r>
        <w:rPr>
          <w:color w:val="231F20"/>
        </w:rPr>
        <w:t>management</w:t>
      </w:r>
      <w:r>
        <w:rPr>
          <w:color w:val="231F20"/>
          <w:spacing w:val="-1"/>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application</w:t>
      </w:r>
      <w:r>
        <w:rPr>
          <w:color w:val="231F20"/>
          <w:spacing w:val="-2"/>
        </w:rPr>
        <w:t xml:space="preserve"> </w:t>
      </w:r>
      <w:r>
        <w:rPr>
          <w:color w:val="231F20"/>
        </w:rPr>
        <w:t>of</w:t>
      </w:r>
      <w:r>
        <w:rPr>
          <w:color w:val="231F20"/>
          <w:spacing w:val="-1"/>
        </w:rPr>
        <w:t xml:space="preserve"> </w:t>
      </w:r>
      <w:r>
        <w:rPr>
          <w:color w:val="231F20"/>
        </w:rPr>
        <w:t>Australian</w:t>
      </w:r>
      <w:r>
        <w:rPr>
          <w:color w:val="231F20"/>
          <w:spacing w:val="-2"/>
        </w:rPr>
        <w:t xml:space="preserve"> </w:t>
      </w:r>
      <w:r>
        <w:rPr>
          <w:color w:val="231F20"/>
        </w:rPr>
        <w:t>Accounting</w:t>
      </w:r>
      <w:r>
        <w:rPr>
          <w:color w:val="231F20"/>
          <w:spacing w:val="-2"/>
        </w:rPr>
        <w:t xml:space="preserve"> </w:t>
      </w:r>
      <w:r>
        <w:rPr>
          <w:color w:val="231F20"/>
        </w:rPr>
        <w:t>Standards</w:t>
      </w:r>
      <w:r>
        <w:rPr>
          <w:color w:val="231F20"/>
          <w:spacing w:val="-1"/>
        </w:rPr>
        <w:t xml:space="preserve"> </w:t>
      </w:r>
      <w:r>
        <w:rPr>
          <w:color w:val="231F20"/>
        </w:rPr>
        <w:t>(AASs)</w:t>
      </w:r>
      <w:r>
        <w:rPr>
          <w:color w:val="231F20"/>
          <w:spacing w:val="-1"/>
        </w:rPr>
        <w:t xml:space="preserve"> </w:t>
      </w:r>
      <w:r>
        <w:rPr>
          <w:color w:val="231F20"/>
        </w:rPr>
        <w:t>that</w:t>
      </w:r>
      <w:r>
        <w:rPr>
          <w:color w:val="231F20"/>
          <w:spacing w:val="-1"/>
        </w:rPr>
        <w:t xml:space="preserve"> </w:t>
      </w:r>
      <w:r>
        <w:rPr>
          <w:color w:val="231F20"/>
        </w:rPr>
        <w:t>have significant effects on the financial statements and estimates relate to:</w:t>
      </w:r>
    </w:p>
    <w:p w14:paraId="232160AF" w14:textId="77777777" w:rsidR="00345EE3" w:rsidRDefault="00345EE3">
      <w:pPr>
        <w:pStyle w:val="ListParagraph"/>
        <w:numPr>
          <w:ilvl w:val="0"/>
          <w:numId w:val="43"/>
        </w:numPr>
        <w:tabs>
          <w:tab w:val="left" w:pos="393"/>
          <w:tab w:val="left" w:pos="394"/>
        </w:tabs>
        <w:spacing w:line="242" w:lineRule="auto"/>
        <w:ind w:right="514"/>
        <w:rPr>
          <w:sz w:val="24"/>
        </w:rPr>
      </w:pPr>
      <w:r>
        <w:rPr>
          <w:color w:val="231F20"/>
          <w:sz w:val="24"/>
        </w:rPr>
        <w:t>the</w:t>
      </w:r>
      <w:r>
        <w:rPr>
          <w:color w:val="231F20"/>
          <w:spacing w:val="-12"/>
          <w:sz w:val="24"/>
        </w:rPr>
        <w:t xml:space="preserve"> </w:t>
      </w:r>
      <w:r>
        <w:rPr>
          <w:color w:val="231F20"/>
          <w:sz w:val="24"/>
        </w:rPr>
        <w:t>fair</w:t>
      </w:r>
      <w:r>
        <w:rPr>
          <w:color w:val="231F20"/>
          <w:spacing w:val="-11"/>
          <w:sz w:val="24"/>
        </w:rPr>
        <w:t xml:space="preserve"> </w:t>
      </w:r>
      <w:r>
        <w:rPr>
          <w:color w:val="231F20"/>
          <w:sz w:val="24"/>
        </w:rPr>
        <w:t>value</w:t>
      </w:r>
      <w:r>
        <w:rPr>
          <w:color w:val="231F20"/>
          <w:spacing w:val="-12"/>
          <w:sz w:val="24"/>
        </w:rPr>
        <w:t xml:space="preserve"> </w:t>
      </w:r>
      <w:r>
        <w:rPr>
          <w:color w:val="231F20"/>
          <w:sz w:val="24"/>
        </w:rPr>
        <w:t>of</w:t>
      </w:r>
      <w:r>
        <w:rPr>
          <w:color w:val="231F20"/>
          <w:spacing w:val="-11"/>
          <w:sz w:val="24"/>
        </w:rPr>
        <w:t xml:space="preserve"> </w:t>
      </w:r>
      <w:r>
        <w:rPr>
          <w:color w:val="231F20"/>
          <w:sz w:val="24"/>
        </w:rPr>
        <w:t>land,</w:t>
      </w:r>
      <w:r>
        <w:rPr>
          <w:color w:val="231F20"/>
          <w:spacing w:val="-11"/>
          <w:sz w:val="24"/>
        </w:rPr>
        <w:t xml:space="preserve"> </w:t>
      </w:r>
      <w:r>
        <w:rPr>
          <w:color w:val="231F20"/>
          <w:sz w:val="24"/>
        </w:rPr>
        <w:t>buildings,</w:t>
      </w:r>
      <w:r>
        <w:rPr>
          <w:color w:val="231F20"/>
          <w:spacing w:val="-11"/>
          <w:sz w:val="24"/>
        </w:rPr>
        <w:t xml:space="preserve"> </w:t>
      </w:r>
      <w:r>
        <w:rPr>
          <w:color w:val="231F20"/>
          <w:sz w:val="24"/>
        </w:rPr>
        <w:t>plant</w:t>
      </w:r>
      <w:r>
        <w:rPr>
          <w:color w:val="231F20"/>
          <w:spacing w:val="-11"/>
          <w:sz w:val="24"/>
        </w:rPr>
        <w:t xml:space="preserve"> </w:t>
      </w:r>
      <w:r>
        <w:rPr>
          <w:color w:val="231F20"/>
          <w:sz w:val="24"/>
        </w:rPr>
        <w:t>and</w:t>
      </w:r>
      <w:r>
        <w:rPr>
          <w:color w:val="231F20"/>
          <w:spacing w:val="-12"/>
          <w:sz w:val="24"/>
        </w:rPr>
        <w:t xml:space="preserve"> </w:t>
      </w:r>
      <w:r>
        <w:rPr>
          <w:color w:val="231F20"/>
          <w:sz w:val="24"/>
        </w:rPr>
        <w:t>equipment</w:t>
      </w:r>
      <w:r>
        <w:rPr>
          <w:color w:val="231F20"/>
          <w:spacing w:val="-11"/>
          <w:sz w:val="24"/>
        </w:rPr>
        <w:t xml:space="preserve"> </w:t>
      </w:r>
      <w:r>
        <w:rPr>
          <w:color w:val="231F20"/>
          <w:sz w:val="24"/>
        </w:rPr>
        <w:t>–</w:t>
      </w:r>
      <w:r>
        <w:rPr>
          <w:color w:val="231F20"/>
          <w:spacing w:val="-12"/>
          <w:sz w:val="24"/>
        </w:rPr>
        <w:t xml:space="preserve"> </w:t>
      </w:r>
      <w:r>
        <w:rPr>
          <w:color w:val="231F20"/>
          <w:sz w:val="24"/>
        </w:rPr>
        <w:t>refer</w:t>
      </w:r>
      <w:r>
        <w:rPr>
          <w:color w:val="231F20"/>
          <w:spacing w:val="-11"/>
          <w:sz w:val="24"/>
        </w:rPr>
        <w:t xml:space="preserve"> </w:t>
      </w:r>
      <w:r>
        <w:rPr>
          <w:color w:val="231F20"/>
          <w:sz w:val="24"/>
        </w:rPr>
        <w:t>to</w:t>
      </w:r>
      <w:r>
        <w:rPr>
          <w:color w:val="231F20"/>
          <w:spacing w:val="-12"/>
          <w:sz w:val="24"/>
        </w:rPr>
        <w:t xml:space="preserve"> </w:t>
      </w:r>
      <w:r>
        <w:rPr>
          <w:color w:val="231F20"/>
          <w:sz w:val="24"/>
        </w:rPr>
        <w:t>Note</w:t>
      </w:r>
      <w:r>
        <w:rPr>
          <w:color w:val="231F20"/>
          <w:spacing w:val="-12"/>
          <w:sz w:val="24"/>
        </w:rPr>
        <w:t xml:space="preserve"> </w:t>
      </w:r>
      <w:r>
        <w:rPr>
          <w:color w:val="231F20"/>
          <w:sz w:val="24"/>
        </w:rPr>
        <w:t>5.1</w:t>
      </w:r>
      <w:r>
        <w:rPr>
          <w:color w:val="231F20"/>
          <w:spacing w:val="-12"/>
          <w:sz w:val="24"/>
        </w:rPr>
        <w:t xml:space="preserve"> </w:t>
      </w:r>
      <w:r>
        <w:rPr>
          <w:color w:val="231F20"/>
          <w:sz w:val="24"/>
        </w:rPr>
        <w:t>Property,</w:t>
      </w:r>
      <w:r>
        <w:rPr>
          <w:color w:val="231F20"/>
          <w:spacing w:val="-11"/>
          <w:sz w:val="24"/>
        </w:rPr>
        <w:t xml:space="preserve"> </w:t>
      </w:r>
      <w:r>
        <w:rPr>
          <w:color w:val="231F20"/>
          <w:sz w:val="24"/>
        </w:rPr>
        <w:t>Plant</w:t>
      </w:r>
      <w:r>
        <w:rPr>
          <w:color w:val="231F20"/>
          <w:spacing w:val="-11"/>
          <w:sz w:val="24"/>
        </w:rPr>
        <w:t xml:space="preserve"> </w:t>
      </w:r>
      <w:r>
        <w:rPr>
          <w:color w:val="231F20"/>
          <w:sz w:val="24"/>
        </w:rPr>
        <w:t>and Equipment and Note 8.3 Fair Value Determination;</w:t>
      </w:r>
    </w:p>
    <w:p w14:paraId="5286D48B" w14:textId="77777777" w:rsidR="00345EE3" w:rsidRDefault="00345EE3">
      <w:pPr>
        <w:pStyle w:val="ListParagraph"/>
        <w:numPr>
          <w:ilvl w:val="0"/>
          <w:numId w:val="43"/>
        </w:numPr>
        <w:tabs>
          <w:tab w:val="left" w:pos="393"/>
          <w:tab w:val="left" w:pos="394"/>
        </w:tabs>
        <w:spacing w:before="31" w:line="242" w:lineRule="auto"/>
        <w:ind w:right="318"/>
        <w:rPr>
          <w:sz w:val="24"/>
        </w:rPr>
      </w:pPr>
      <w:r>
        <w:rPr>
          <w:color w:val="231F20"/>
          <w:sz w:val="24"/>
        </w:rPr>
        <w:t>actuarial</w:t>
      </w:r>
      <w:r>
        <w:rPr>
          <w:color w:val="231F20"/>
          <w:spacing w:val="-13"/>
          <w:sz w:val="24"/>
        </w:rPr>
        <w:t xml:space="preserve"> </w:t>
      </w:r>
      <w:r>
        <w:rPr>
          <w:color w:val="231F20"/>
          <w:sz w:val="24"/>
        </w:rPr>
        <w:t>assumptions</w:t>
      </w:r>
      <w:r>
        <w:rPr>
          <w:color w:val="231F20"/>
          <w:spacing w:val="-12"/>
          <w:sz w:val="24"/>
        </w:rPr>
        <w:t xml:space="preserve"> </w:t>
      </w:r>
      <w:r>
        <w:rPr>
          <w:color w:val="231F20"/>
          <w:sz w:val="24"/>
        </w:rPr>
        <w:t>for</w:t>
      </w:r>
      <w:r>
        <w:rPr>
          <w:color w:val="231F20"/>
          <w:spacing w:val="-12"/>
          <w:sz w:val="24"/>
        </w:rPr>
        <w:t xml:space="preserve"> </w:t>
      </w:r>
      <w:r>
        <w:rPr>
          <w:color w:val="231F20"/>
          <w:sz w:val="24"/>
        </w:rPr>
        <w:t>employee</w:t>
      </w:r>
      <w:r>
        <w:rPr>
          <w:color w:val="231F20"/>
          <w:spacing w:val="-13"/>
          <w:sz w:val="24"/>
        </w:rPr>
        <w:t xml:space="preserve"> </w:t>
      </w:r>
      <w:r>
        <w:rPr>
          <w:color w:val="231F20"/>
          <w:sz w:val="24"/>
        </w:rPr>
        <w:t>benefit</w:t>
      </w:r>
      <w:r>
        <w:rPr>
          <w:color w:val="231F20"/>
          <w:spacing w:val="-12"/>
          <w:sz w:val="24"/>
        </w:rPr>
        <w:t xml:space="preserve"> </w:t>
      </w:r>
      <w:r>
        <w:rPr>
          <w:color w:val="231F20"/>
          <w:sz w:val="24"/>
        </w:rPr>
        <w:t>provisions</w:t>
      </w:r>
      <w:r>
        <w:rPr>
          <w:color w:val="231F20"/>
          <w:spacing w:val="-12"/>
          <w:sz w:val="24"/>
        </w:rPr>
        <w:t xml:space="preserve"> </w:t>
      </w:r>
      <w:r>
        <w:rPr>
          <w:color w:val="231F20"/>
          <w:sz w:val="24"/>
        </w:rPr>
        <w:t>based</w:t>
      </w:r>
      <w:r>
        <w:rPr>
          <w:color w:val="231F20"/>
          <w:spacing w:val="-13"/>
          <w:sz w:val="24"/>
        </w:rPr>
        <w:t xml:space="preserve"> </w:t>
      </w:r>
      <w:r>
        <w:rPr>
          <w:color w:val="231F20"/>
          <w:sz w:val="24"/>
        </w:rPr>
        <w:t>on</w:t>
      </w:r>
      <w:r>
        <w:rPr>
          <w:color w:val="231F20"/>
          <w:spacing w:val="-13"/>
          <w:sz w:val="24"/>
        </w:rPr>
        <w:t xml:space="preserve"> </w:t>
      </w:r>
      <w:r>
        <w:rPr>
          <w:color w:val="231F20"/>
          <w:sz w:val="24"/>
        </w:rPr>
        <w:t>likely</w:t>
      </w:r>
      <w:r>
        <w:rPr>
          <w:color w:val="231F20"/>
          <w:spacing w:val="-12"/>
          <w:sz w:val="24"/>
        </w:rPr>
        <w:t xml:space="preserve"> </w:t>
      </w:r>
      <w:r>
        <w:rPr>
          <w:color w:val="231F20"/>
          <w:sz w:val="24"/>
        </w:rPr>
        <w:t>tenure</w:t>
      </w:r>
      <w:r>
        <w:rPr>
          <w:color w:val="231F20"/>
          <w:spacing w:val="-13"/>
          <w:sz w:val="24"/>
        </w:rPr>
        <w:t xml:space="preserve"> </w:t>
      </w:r>
      <w:r>
        <w:rPr>
          <w:color w:val="231F20"/>
          <w:sz w:val="24"/>
        </w:rPr>
        <w:t>of</w:t>
      </w:r>
      <w:r>
        <w:rPr>
          <w:color w:val="231F20"/>
          <w:spacing w:val="-12"/>
          <w:sz w:val="24"/>
        </w:rPr>
        <w:t xml:space="preserve"> </w:t>
      </w:r>
      <w:r>
        <w:rPr>
          <w:color w:val="231F20"/>
          <w:sz w:val="24"/>
        </w:rPr>
        <w:t>existing</w:t>
      </w:r>
      <w:r>
        <w:rPr>
          <w:color w:val="231F20"/>
          <w:spacing w:val="-13"/>
          <w:sz w:val="24"/>
        </w:rPr>
        <w:t xml:space="preserve"> </w:t>
      </w:r>
      <w:r>
        <w:rPr>
          <w:color w:val="231F20"/>
          <w:sz w:val="24"/>
        </w:rPr>
        <w:t>staff, patterns of leave claims, future salary movements and future discount rates – refer to Note</w:t>
      </w:r>
    </w:p>
    <w:p w14:paraId="1994B077" w14:textId="77777777" w:rsidR="00345EE3" w:rsidRDefault="00345EE3" w:rsidP="00345EE3">
      <w:pPr>
        <w:pStyle w:val="BodyText"/>
        <w:spacing w:before="3"/>
        <w:ind w:left="393"/>
      </w:pPr>
      <w:r>
        <w:rPr>
          <w:color w:val="231F20"/>
          <w:spacing w:val="-2"/>
        </w:rPr>
        <w:t>3.1.2</w:t>
      </w:r>
      <w:r>
        <w:rPr>
          <w:color w:val="231F20"/>
          <w:spacing w:val="-12"/>
        </w:rPr>
        <w:t xml:space="preserve"> </w:t>
      </w:r>
      <w:r>
        <w:rPr>
          <w:color w:val="231F20"/>
          <w:spacing w:val="-2"/>
        </w:rPr>
        <w:t>Employee</w:t>
      </w:r>
      <w:r>
        <w:rPr>
          <w:color w:val="231F20"/>
          <w:spacing w:val="-12"/>
        </w:rPr>
        <w:t xml:space="preserve"> </w:t>
      </w:r>
      <w:r>
        <w:rPr>
          <w:color w:val="231F20"/>
          <w:spacing w:val="-2"/>
        </w:rPr>
        <w:t>Related</w:t>
      </w:r>
      <w:r>
        <w:rPr>
          <w:color w:val="231F20"/>
          <w:spacing w:val="-12"/>
        </w:rPr>
        <w:t xml:space="preserve"> </w:t>
      </w:r>
      <w:r>
        <w:rPr>
          <w:color w:val="231F20"/>
          <w:spacing w:val="-2"/>
        </w:rPr>
        <w:t>Provisions.</w:t>
      </w:r>
    </w:p>
    <w:p w14:paraId="78428225" w14:textId="77777777" w:rsidR="00345EE3" w:rsidRDefault="00345EE3">
      <w:pPr>
        <w:pStyle w:val="ListParagraph"/>
        <w:numPr>
          <w:ilvl w:val="0"/>
          <w:numId w:val="43"/>
        </w:numPr>
        <w:tabs>
          <w:tab w:val="left" w:pos="393"/>
          <w:tab w:val="left" w:pos="394"/>
        </w:tabs>
        <w:rPr>
          <w:sz w:val="24"/>
        </w:rPr>
      </w:pPr>
      <w:r>
        <w:rPr>
          <w:color w:val="231F20"/>
          <w:sz w:val="24"/>
        </w:rPr>
        <w:t>exercising</w:t>
      </w:r>
      <w:r>
        <w:rPr>
          <w:color w:val="231F20"/>
          <w:spacing w:val="-10"/>
          <w:sz w:val="24"/>
        </w:rPr>
        <w:t xml:space="preserve"> </w:t>
      </w:r>
      <w:r>
        <w:rPr>
          <w:color w:val="231F20"/>
          <w:sz w:val="24"/>
        </w:rPr>
        <w:t>of</w:t>
      </w:r>
      <w:r>
        <w:rPr>
          <w:color w:val="231F20"/>
          <w:spacing w:val="-8"/>
          <w:sz w:val="24"/>
        </w:rPr>
        <w:t xml:space="preserve"> </w:t>
      </w:r>
      <w:r>
        <w:rPr>
          <w:color w:val="231F20"/>
          <w:sz w:val="24"/>
        </w:rPr>
        <w:t>lease</w:t>
      </w:r>
      <w:r>
        <w:rPr>
          <w:color w:val="231F20"/>
          <w:spacing w:val="-9"/>
          <w:sz w:val="24"/>
        </w:rPr>
        <w:t xml:space="preserve"> </w:t>
      </w:r>
      <w:r>
        <w:rPr>
          <w:color w:val="231F20"/>
          <w:sz w:val="24"/>
        </w:rPr>
        <w:t>options</w:t>
      </w:r>
      <w:r>
        <w:rPr>
          <w:color w:val="231F20"/>
          <w:spacing w:val="-8"/>
          <w:sz w:val="24"/>
        </w:rPr>
        <w:t xml:space="preserve"> </w:t>
      </w:r>
      <w:r>
        <w:rPr>
          <w:color w:val="231F20"/>
          <w:sz w:val="24"/>
        </w:rPr>
        <w:t>under</w:t>
      </w:r>
      <w:r>
        <w:rPr>
          <w:color w:val="231F20"/>
          <w:spacing w:val="-8"/>
          <w:sz w:val="24"/>
        </w:rPr>
        <w:t xml:space="preserve"> </w:t>
      </w:r>
      <w:r>
        <w:rPr>
          <w:color w:val="231F20"/>
          <w:sz w:val="24"/>
        </w:rPr>
        <w:t>AASB</w:t>
      </w:r>
      <w:r>
        <w:rPr>
          <w:color w:val="231F20"/>
          <w:spacing w:val="-8"/>
          <w:sz w:val="24"/>
        </w:rPr>
        <w:t xml:space="preserve"> </w:t>
      </w:r>
      <w:r>
        <w:rPr>
          <w:color w:val="231F20"/>
          <w:sz w:val="24"/>
        </w:rPr>
        <w:t>16</w:t>
      </w:r>
      <w:r>
        <w:rPr>
          <w:color w:val="231F20"/>
          <w:spacing w:val="-9"/>
          <w:sz w:val="24"/>
        </w:rPr>
        <w:t xml:space="preserve"> </w:t>
      </w:r>
      <w:r>
        <w:rPr>
          <w:i/>
          <w:color w:val="231F20"/>
          <w:spacing w:val="-2"/>
          <w:sz w:val="24"/>
        </w:rPr>
        <w:t>Leases</w:t>
      </w:r>
      <w:r>
        <w:rPr>
          <w:color w:val="231F20"/>
          <w:spacing w:val="-2"/>
          <w:sz w:val="24"/>
        </w:rPr>
        <w:t>.</w:t>
      </w:r>
    </w:p>
    <w:p w14:paraId="2A87B922" w14:textId="77777777" w:rsidR="00345EE3" w:rsidRDefault="00345EE3">
      <w:pPr>
        <w:pStyle w:val="ListParagraph"/>
        <w:numPr>
          <w:ilvl w:val="0"/>
          <w:numId w:val="43"/>
        </w:numPr>
        <w:tabs>
          <w:tab w:val="left" w:pos="393"/>
          <w:tab w:val="left" w:pos="394"/>
        </w:tabs>
        <w:spacing w:before="33"/>
        <w:rPr>
          <w:sz w:val="24"/>
        </w:rPr>
      </w:pPr>
      <w:r>
        <w:rPr>
          <w:color w:val="231F20"/>
          <w:spacing w:val="-2"/>
          <w:sz w:val="24"/>
        </w:rPr>
        <w:t>provisions.</w:t>
      </w:r>
    </w:p>
    <w:p w14:paraId="33D61236" w14:textId="77777777" w:rsidR="00345EE3" w:rsidRDefault="00345EE3" w:rsidP="00345EE3">
      <w:pPr>
        <w:pStyle w:val="BodyText"/>
        <w:spacing w:before="117" w:line="242" w:lineRule="auto"/>
      </w:pPr>
      <w:r>
        <w:rPr>
          <w:color w:val="231F20"/>
        </w:rPr>
        <w:t>The primary financial statements show controlled items which generally reflect the capacity of Victoria</w:t>
      </w:r>
      <w:r>
        <w:rPr>
          <w:color w:val="231F20"/>
          <w:spacing w:val="-8"/>
        </w:rPr>
        <w:t xml:space="preserve"> </w:t>
      </w:r>
      <w:r>
        <w:rPr>
          <w:color w:val="231F20"/>
        </w:rPr>
        <w:t>Police</w:t>
      </w:r>
      <w:r>
        <w:rPr>
          <w:color w:val="231F20"/>
          <w:spacing w:val="-8"/>
        </w:rPr>
        <w:t xml:space="preserve"> </w:t>
      </w:r>
      <w:r>
        <w:rPr>
          <w:color w:val="231F20"/>
        </w:rPr>
        <w:t>to</w:t>
      </w:r>
      <w:r>
        <w:rPr>
          <w:color w:val="231F20"/>
          <w:spacing w:val="-8"/>
        </w:rPr>
        <w:t xml:space="preserve"> </w:t>
      </w:r>
      <w:r>
        <w:rPr>
          <w:color w:val="231F20"/>
        </w:rPr>
        <w:t>benefit</w:t>
      </w:r>
      <w:r>
        <w:rPr>
          <w:color w:val="231F20"/>
          <w:spacing w:val="-7"/>
        </w:rPr>
        <w:t xml:space="preserve"> </w:t>
      </w:r>
      <w:r>
        <w:rPr>
          <w:color w:val="231F20"/>
        </w:rPr>
        <w:t>from</w:t>
      </w:r>
      <w:r>
        <w:rPr>
          <w:color w:val="231F20"/>
          <w:spacing w:val="-7"/>
        </w:rPr>
        <w:t xml:space="preserve"> </w:t>
      </w:r>
      <w:r>
        <w:rPr>
          <w:color w:val="231F20"/>
        </w:rPr>
        <w:t>that</w:t>
      </w:r>
      <w:r>
        <w:rPr>
          <w:color w:val="231F20"/>
          <w:spacing w:val="-7"/>
        </w:rPr>
        <w:t xml:space="preserve"> </w:t>
      </w:r>
      <w:r>
        <w:rPr>
          <w:color w:val="231F20"/>
        </w:rPr>
        <w:t>item</w:t>
      </w:r>
      <w:r>
        <w:rPr>
          <w:color w:val="231F20"/>
          <w:spacing w:val="-7"/>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pursuit</w:t>
      </w:r>
      <w:r>
        <w:rPr>
          <w:color w:val="231F20"/>
          <w:spacing w:val="-7"/>
        </w:rPr>
        <w:t xml:space="preserve"> </w:t>
      </w:r>
      <w:r>
        <w:rPr>
          <w:color w:val="231F20"/>
        </w:rPr>
        <w:t>of</w:t>
      </w:r>
      <w:r>
        <w:rPr>
          <w:color w:val="231F20"/>
          <w:spacing w:val="-7"/>
        </w:rPr>
        <w:t xml:space="preserve"> </w:t>
      </w:r>
      <w:r>
        <w:rPr>
          <w:color w:val="231F20"/>
        </w:rPr>
        <w:t>its</w:t>
      </w:r>
      <w:r>
        <w:rPr>
          <w:color w:val="231F20"/>
          <w:spacing w:val="-7"/>
        </w:rPr>
        <w:t xml:space="preserve"> </w:t>
      </w:r>
      <w:r>
        <w:rPr>
          <w:color w:val="231F20"/>
        </w:rPr>
        <w:t>objectives</w:t>
      </w:r>
      <w:r>
        <w:rPr>
          <w:color w:val="231F20"/>
          <w:spacing w:val="-7"/>
        </w:rPr>
        <w:t xml:space="preserve"> </w:t>
      </w:r>
      <w:r>
        <w:rPr>
          <w:color w:val="231F20"/>
        </w:rPr>
        <w:t>and</w:t>
      </w:r>
      <w:r>
        <w:rPr>
          <w:color w:val="231F20"/>
          <w:spacing w:val="-8"/>
        </w:rPr>
        <w:t xml:space="preserve"> </w:t>
      </w:r>
      <w:r>
        <w:rPr>
          <w:color w:val="231F20"/>
        </w:rPr>
        <w:t>to</w:t>
      </w:r>
      <w:r>
        <w:rPr>
          <w:color w:val="231F20"/>
          <w:spacing w:val="-8"/>
        </w:rPr>
        <w:t xml:space="preserve"> </w:t>
      </w:r>
      <w:r>
        <w:rPr>
          <w:color w:val="231F20"/>
        </w:rPr>
        <w:t>deny</w:t>
      </w:r>
      <w:r>
        <w:rPr>
          <w:color w:val="231F20"/>
          <w:spacing w:val="-7"/>
        </w:rPr>
        <w:t xml:space="preserve"> </w:t>
      </w:r>
      <w:r>
        <w:rPr>
          <w:color w:val="231F20"/>
        </w:rPr>
        <w:t>or</w:t>
      </w:r>
      <w:r>
        <w:rPr>
          <w:color w:val="231F20"/>
          <w:spacing w:val="-7"/>
        </w:rPr>
        <w:t xml:space="preserve"> </w:t>
      </w:r>
      <w:r>
        <w:rPr>
          <w:color w:val="231F20"/>
        </w:rPr>
        <w:t>regulate</w:t>
      </w:r>
      <w:r>
        <w:rPr>
          <w:color w:val="231F20"/>
          <w:spacing w:val="-8"/>
        </w:rPr>
        <w:t xml:space="preserve"> </w:t>
      </w:r>
      <w:r>
        <w:rPr>
          <w:color w:val="231F20"/>
        </w:rPr>
        <w:t>the access of others to that benefit.</w:t>
      </w:r>
    </w:p>
    <w:p w14:paraId="368578AF" w14:textId="77777777" w:rsidR="00345EE3" w:rsidRDefault="00345EE3" w:rsidP="00345EE3">
      <w:pPr>
        <w:pStyle w:val="BodyText"/>
        <w:spacing w:before="62" w:line="242" w:lineRule="auto"/>
      </w:pPr>
      <w:r>
        <w:rPr>
          <w:color w:val="231F20"/>
        </w:rPr>
        <w:t>Administered items as disclosed in Note 4 are transactions and activities that are managed or administered</w:t>
      </w:r>
      <w:r>
        <w:rPr>
          <w:color w:val="231F20"/>
          <w:spacing w:val="-12"/>
        </w:rPr>
        <w:t xml:space="preserve"> </w:t>
      </w:r>
      <w:r>
        <w:rPr>
          <w:color w:val="231F20"/>
        </w:rPr>
        <w:t>by</w:t>
      </w:r>
      <w:r>
        <w:rPr>
          <w:color w:val="231F20"/>
          <w:spacing w:val="-11"/>
        </w:rPr>
        <w:t xml:space="preserve"> </w:t>
      </w:r>
      <w:r>
        <w:rPr>
          <w:color w:val="231F20"/>
        </w:rPr>
        <w:t>Victoria</w:t>
      </w:r>
      <w:r>
        <w:rPr>
          <w:color w:val="231F20"/>
          <w:spacing w:val="-12"/>
        </w:rPr>
        <w:t xml:space="preserve"> </w:t>
      </w:r>
      <w:r>
        <w:rPr>
          <w:color w:val="231F20"/>
        </w:rPr>
        <w:t>Police</w:t>
      </w:r>
      <w:r>
        <w:rPr>
          <w:color w:val="231F20"/>
          <w:spacing w:val="-12"/>
        </w:rPr>
        <w:t xml:space="preserve"> </w:t>
      </w:r>
      <w:r>
        <w:rPr>
          <w:color w:val="231F20"/>
        </w:rPr>
        <w:t>on</w:t>
      </w:r>
      <w:r>
        <w:rPr>
          <w:color w:val="231F20"/>
          <w:spacing w:val="-12"/>
        </w:rPr>
        <w:t xml:space="preserve"> </w:t>
      </w:r>
      <w:r>
        <w:rPr>
          <w:color w:val="231F20"/>
        </w:rPr>
        <w:t>behalf</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state</w:t>
      </w:r>
      <w:r>
        <w:rPr>
          <w:color w:val="231F20"/>
          <w:spacing w:val="-12"/>
        </w:rPr>
        <w:t xml:space="preserve"> </w:t>
      </w:r>
      <w:r>
        <w:rPr>
          <w:color w:val="231F20"/>
        </w:rPr>
        <w:t>or</w:t>
      </w:r>
      <w:r>
        <w:rPr>
          <w:color w:val="231F20"/>
          <w:spacing w:val="-11"/>
        </w:rPr>
        <w:t xml:space="preserve"> </w:t>
      </w:r>
      <w:r>
        <w:rPr>
          <w:color w:val="231F20"/>
        </w:rPr>
        <w:t>another</w:t>
      </w:r>
      <w:r>
        <w:rPr>
          <w:color w:val="231F20"/>
          <w:spacing w:val="-11"/>
        </w:rPr>
        <w:t xml:space="preserve"> </w:t>
      </w:r>
      <w:r>
        <w:rPr>
          <w:color w:val="231F20"/>
        </w:rPr>
        <w:t>entity.</w:t>
      </w:r>
      <w:r>
        <w:rPr>
          <w:color w:val="231F20"/>
          <w:spacing w:val="-11"/>
        </w:rPr>
        <w:t xml:space="preserve"> </w:t>
      </w:r>
      <w:r>
        <w:rPr>
          <w:color w:val="231F20"/>
        </w:rPr>
        <w:t>Generally,</w:t>
      </w:r>
      <w:r>
        <w:rPr>
          <w:color w:val="231F20"/>
          <w:spacing w:val="-11"/>
        </w:rPr>
        <w:t xml:space="preserve"> </w:t>
      </w:r>
      <w:r>
        <w:rPr>
          <w:color w:val="231F20"/>
        </w:rPr>
        <w:t>Victoria</w:t>
      </w:r>
      <w:r>
        <w:rPr>
          <w:color w:val="231F20"/>
          <w:spacing w:val="-12"/>
        </w:rPr>
        <w:t xml:space="preserve"> </w:t>
      </w:r>
      <w:r>
        <w:rPr>
          <w:color w:val="231F20"/>
        </w:rPr>
        <w:t>Police would lack the capacity to benefit from such transactions in pursuit of the state or other entity’s objectives</w:t>
      </w:r>
      <w:r>
        <w:rPr>
          <w:color w:val="231F20"/>
          <w:spacing w:val="-1"/>
        </w:rPr>
        <w:t xml:space="preserve"> </w:t>
      </w:r>
      <w:r>
        <w:rPr>
          <w:color w:val="231F20"/>
        </w:rPr>
        <w:t>and</w:t>
      </w:r>
      <w:r>
        <w:rPr>
          <w:color w:val="231F20"/>
          <w:spacing w:val="-2"/>
        </w:rPr>
        <w:t xml:space="preserve"> </w:t>
      </w:r>
      <w:r>
        <w:rPr>
          <w:color w:val="231F20"/>
        </w:rPr>
        <w:t>deny</w:t>
      </w:r>
      <w:r>
        <w:rPr>
          <w:color w:val="231F20"/>
          <w:spacing w:val="-1"/>
        </w:rPr>
        <w:t xml:space="preserve"> </w:t>
      </w:r>
      <w:r>
        <w:rPr>
          <w:color w:val="231F20"/>
        </w:rPr>
        <w:t>or</w:t>
      </w:r>
      <w:r>
        <w:rPr>
          <w:color w:val="231F20"/>
          <w:spacing w:val="-1"/>
        </w:rPr>
        <w:t xml:space="preserve"> </w:t>
      </w:r>
      <w:r>
        <w:rPr>
          <w:color w:val="231F20"/>
        </w:rPr>
        <w:t>regulate</w:t>
      </w:r>
      <w:r>
        <w:rPr>
          <w:color w:val="231F20"/>
          <w:spacing w:val="-2"/>
        </w:rPr>
        <w:t xml:space="preserve"> </w:t>
      </w:r>
      <w:r>
        <w:rPr>
          <w:color w:val="231F20"/>
        </w:rPr>
        <w:t>access</w:t>
      </w:r>
      <w:r>
        <w:rPr>
          <w:color w:val="231F20"/>
          <w:spacing w:val="-1"/>
        </w:rPr>
        <w:t xml:space="preserve"> </w:t>
      </w:r>
      <w:r>
        <w:rPr>
          <w:color w:val="231F20"/>
        </w:rPr>
        <w:t>of</w:t>
      </w:r>
      <w:r>
        <w:rPr>
          <w:color w:val="231F20"/>
          <w:spacing w:val="-1"/>
        </w:rPr>
        <w:t xml:space="preserve"> </w:t>
      </w:r>
      <w:r>
        <w:rPr>
          <w:color w:val="231F20"/>
        </w:rPr>
        <w:t>others</w:t>
      </w:r>
      <w:r>
        <w:rPr>
          <w:color w:val="231F20"/>
          <w:spacing w:val="-1"/>
        </w:rPr>
        <w:t xml:space="preserve"> </w:t>
      </w:r>
      <w:r>
        <w:rPr>
          <w:color w:val="231F20"/>
        </w:rPr>
        <w:t>to</w:t>
      </w:r>
      <w:r>
        <w:rPr>
          <w:color w:val="231F20"/>
          <w:spacing w:val="-2"/>
        </w:rPr>
        <w:t xml:space="preserve"> </w:t>
      </w:r>
      <w:r>
        <w:rPr>
          <w:color w:val="231F20"/>
        </w:rPr>
        <w:t>that</w:t>
      </w:r>
      <w:r>
        <w:rPr>
          <w:color w:val="231F20"/>
          <w:spacing w:val="-1"/>
        </w:rPr>
        <w:t xml:space="preserve"> </w:t>
      </w:r>
      <w:r>
        <w:rPr>
          <w:color w:val="231F20"/>
        </w:rPr>
        <w:t>benefit.</w:t>
      </w:r>
      <w:r>
        <w:rPr>
          <w:color w:val="231F20"/>
          <w:spacing w:val="-1"/>
        </w:rPr>
        <w:t xml:space="preserve"> </w:t>
      </w:r>
      <w:r>
        <w:rPr>
          <w:color w:val="231F20"/>
        </w:rPr>
        <w:t>Administered</w:t>
      </w:r>
      <w:r>
        <w:rPr>
          <w:color w:val="231F20"/>
          <w:spacing w:val="-2"/>
        </w:rPr>
        <w:t xml:space="preserve"> </w:t>
      </w:r>
      <w:r>
        <w:rPr>
          <w:color w:val="231F20"/>
        </w:rPr>
        <w:t>transactions</w:t>
      </w:r>
      <w:r>
        <w:rPr>
          <w:color w:val="231F20"/>
          <w:spacing w:val="-1"/>
        </w:rPr>
        <w:t xml:space="preserve"> </w:t>
      </w:r>
      <w:r>
        <w:rPr>
          <w:color w:val="231F20"/>
        </w:rPr>
        <w:t>give rise to income, expenses, assets and liabilities.</w:t>
      </w:r>
    </w:p>
    <w:p w14:paraId="3973ADF6" w14:textId="77777777" w:rsidR="00345EE3" w:rsidRDefault="00345EE3" w:rsidP="00345EE3">
      <w:pPr>
        <w:pStyle w:val="BodyText"/>
        <w:spacing w:before="120" w:line="242" w:lineRule="auto"/>
      </w:pPr>
      <w:r>
        <w:rPr>
          <w:color w:val="231F20"/>
        </w:rPr>
        <w:t>Amounts</w:t>
      </w:r>
      <w:r>
        <w:rPr>
          <w:color w:val="231F20"/>
          <w:spacing w:val="-9"/>
        </w:rPr>
        <w:t xml:space="preserve"> </w:t>
      </w:r>
      <w:r>
        <w:rPr>
          <w:color w:val="231F20"/>
        </w:rPr>
        <w:t>have</w:t>
      </w:r>
      <w:r>
        <w:rPr>
          <w:color w:val="231F20"/>
          <w:spacing w:val="-10"/>
        </w:rPr>
        <w:t xml:space="preserve"> </w:t>
      </w:r>
      <w:r>
        <w:rPr>
          <w:color w:val="231F20"/>
        </w:rPr>
        <w:t>been</w:t>
      </w:r>
      <w:r>
        <w:rPr>
          <w:color w:val="231F20"/>
          <w:spacing w:val="-10"/>
        </w:rPr>
        <w:t xml:space="preserve"> </w:t>
      </w:r>
      <w:r>
        <w:rPr>
          <w:color w:val="231F20"/>
        </w:rPr>
        <w:t>rounded</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nearest</w:t>
      </w:r>
      <w:r>
        <w:rPr>
          <w:color w:val="231F20"/>
          <w:spacing w:val="-9"/>
        </w:rPr>
        <w:t xml:space="preserve"> </w:t>
      </w:r>
      <w:r>
        <w:rPr>
          <w:color w:val="231F20"/>
        </w:rPr>
        <w:t>thousand</w:t>
      </w:r>
      <w:r>
        <w:rPr>
          <w:color w:val="231F20"/>
          <w:spacing w:val="-10"/>
        </w:rPr>
        <w:t xml:space="preserve"> </w:t>
      </w:r>
      <w:r>
        <w:rPr>
          <w:color w:val="231F20"/>
        </w:rPr>
        <w:t>dollars</w:t>
      </w:r>
      <w:r>
        <w:rPr>
          <w:color w:val="231F20"/>
          <w:spacing w:val="-9"/>
        </w:rPr>
        <w:t xml:space="preserve"> </w:t>
      </w:r>
      <w:r>
        <w:rPr>
          <w:color w:val="231F20"/>
        </w:rPr>
        <w:t>unless</w:t>
      </w:r>
      <w:r>
        <w:rPr>
          <w:color w:val="231F20"/>
          <w:spacing w:val="-9"/>
        </w:rPr>
        <w:t xml:space="preserve"> </w:t>
      </w:r>
      <w:r>
        <w:rPr>
          <w:color w:val="231F20"/>
        </w:rPr>
        <w:t>otherwise</w:t>
      </w:r>
      <w:r>
        <w:rPr>
          <w:color w:val="231F20"/>
          <w:spacing w:val="-10"/>
        </w:rPr>
        <w:t xml:space="preserve"> </w:t>
      </w:r>
      <w:r>
        <w:rPr>
          <w:color w:val="231F20"/>
        </w:rPr>
        <w:t>stated.</w:t>
      </w:r>
      <w:r>
        <w:rPr>
          <w:color w:val="231F20"/>
          <w:spacing w:val="-9"/>
        </w:rPr>
        <w:t xml:space="preserve"> </w:t>
      </w:r>
      <w:r>
        <w:rPr>
          <w:color w:val="231F20"/>
        </w:rPr>
        <w:t>The functional and presentation currency of Victoria Police is Australian dollars.</w:t>
      </w:r>
    </w:p>
    <w:p w14:paraId="25E58EC9" w14:textId="77777777" w:rsidR="00345EE3" w:rsidRDefault="00345EE3" w:rsidP="002A27BA">
      <w:pPr>
        <w:pStyle w:val="Heading3"/>
      </w:pPr>
      <w:r>
        <w:t>Compliance</w:t>
      </w:r>
      <w:r>
        <w:rPr>
          <w:spacing w:val="-7"/>
        </w:rPr>
        <w:t xml:space="preserve"> </w:t>
      </w:r>
      <w:r>
        <w:rPr>
          <w:spacing w:val="-2"/>
        </w:rPr>
        <w:t>Information</w:t>
      </w:r>
    </w:p>
    <w:p w14:paraId="72A37561" w14:textId="77777777" w:rsidR="00345EE3" w:rsidRDefault="00345EE3" w:rsidP="00345EE3">
      <w:pPr>
        <w:spacing w:before="53" w:line="242" w:lineRule="auto"/>
        <w:ind w:left="110" w:right="115"/>
        <w:rPr>
          <w:sz w:val="24"/>
        </w:rPr>
      </w:pPr>
      <w:r>
        <w:rPr>
          <w:color w:val="231F20"/>
          <w:sz w:val="24"/>
        </w:rPr>
        <w:t xml:space="preserve">These general purpose financial statements have been prepared in accordance with the </w:t>
      </w:r>
      <w:r>
        <w:rPr>
          <w:i/>
          <w:color w:val="231F20"/>
          <w:spacing w:val="-2"/>
          <w:sz w:val="24"/>
        </w:rPr>
        <w:t>Financial</w:t>
      </w:r>
      <w:r>
        <w:rPr>
          <w:i/>
          <w:color w:val="231F20"/>
          <w:spacing w:val="-14"/>
          <w:sz w:val="24"/>
        </w:rPr>
        <w:t xml:space="preserve"> </w:t>
      </w:r>
      <w:r>
        <w:rPr>
          <w:i/>
          <w:color w:val="231F20"/>
          <w:spacing w:val="-2"/>
          <w:sz w:val="24"/>
        </w:rPr>
        <w:t>Management</w:t>
      </w:r>
      <w:r>
        <w:rPr>
          <w:i/>
          <w:color w:val="231F20"/>
          <w:spacing w:val="-14"/>
          <w:sz w:val="24"/>
        </w:rPr>
        <w:t xml:space="preserve"> </w:t>
      </w:r>
      <w:r>
        <w:rPr>
          <w:i/>
          <w:color w:val="231F20"/>
          <w:spacing w:val="-2"/>
          <w:sz w:val="24"/>
        </w:rPr>
        <w:t>Act</w:t>
      </w:r>
      <w:r>
        <w:rPr>
          <w:i/>
          <w:color w:val="231F20"/>
          <w:spacing w:val="-14"/>
          <w:sz w:val="24"/>
        </w:rPr>
        <w:t xml:space="preserve"> </w:t>
      </w:r>
      <w:r>
        <w:rPr>
          <w:i/>
          <w:color w:val="231F20"/>
          <w:spacing w:val="-2"/>
          <w:sz w:val="24"/>
        </w:rPr>
        <w:t>1994</w:t>
      </w:r>
      <w:r>
        <w:rPr>
          <w:i/>
          <w:color w:val="231F20"/>
          <w:spacing w:val="-14"/>
          <w:sz w:val="24"/>
        </w:rPr>
        <w:t xml:space="preserve"> </w:t>
      </w:r>
      <w:r>
        <w:rPr>
          <w:color w:val="231F20"/>
          <w:spacing w:val="-2"/>
          <w:sz w:val="24"/>
        </w:rPr>
        <w:t>(FMA)</w:t>
      </w:r>
      <w:r>
        <w:rPr>
          <w:color w:val="231F20"/>
          <w:spacing w:val="-6"/>
          <w:sz w:val="24"/>
        </w:rPr>
        <w:t xml:space="preserve"> </w:t>
      </w:r>
      <w:r>
        <w:rPr>
          <w:color w:val="231F20"/>
          <w:spacing w:val="-2"/>
          <w:sz w:val="24"/>
        </w:rPr>
        <w:t>and</w:t>
      </w:r>
      <w:r>
        <w:rPr>
          <w:color w:val="231F20"/>
          <w:spacing w:val="-6"/>
          <w:sz w:val="24"/>
        </w:rPr>
        <w:t xml:space="preserve"> </w:t>
      </w:r>
      <w:r>
        <w:rPr>
          <w:color w:val="231F20"/>
          <w:spacing w:val="-2"/>
          <w:sz w:val="24"/>
        </w:rPr>
        <w:t>applicable</w:t>
      </w:r>
      <w:r>
        <w:rPr>
          <w:color w:val="231F20"/>
          <w:spacing w:val="-6"/>
          <w:sz w:val="24"/>
        </w:rPr>
        <w:t xml:space="preserve"> </w:t>
      </w:r>
      <w:r>
        <w:rPr>
          <w:color w:val="231F20"/>
          <w:spacing w:val="-2"/>
          <w:sz w:val="24"/>
        </w:rPr>
        <w:t>Australian</w:t>
      </w:r>
      <w:r>
        <w:rPr>
          <w:color w:val="231F20"/>
          <w:spacing w:val="-6"/>
          <w:sz w:val="24"/>
        </w:rPr>
        <w:t xml:space="preserve"> </w:t>
      </w:r>
      <w:r>
        <w:rPr>
          <w:color w:val="231F20"/>
          <w:spacing w:val="-2"/>
          <w:sz w:val="24"/>
        </w:rPr>
        <w:t>Accounting</w:t>
      </w:r>
      <w:r>
        <w:rPr>
          <w:color w:val="231F20"/>
          <w:spacing w:val="-6"/>
          <w:sz w:val="24"/>
        </w:rPr>
        <w:t xml:space="preserve"> </w:t>
      </w:r>
      <w:r>
        <w:rPr>
          <w:color w:val="231F20"/>
          <w:spacing w:val="-2"/>
          <w:sz w:val="24"/>
        </w:rPr>
        <w:t>Standards</w:t>
      </w:r>
      <w:r>
        <w:rPr>
          <w:color w:val="231F20"/>
          <w:spacing w:val="-6"/>
          <w:sz w:val="24"/>
        </w:rPr>
        <w:t xml:space="preserve"> </w:t>
      </w:r>
      <w:r>
        <w:rPr>
          <w:color w:val="231F20"/>
          <w:spacing w:val="-2"/>
          <w:sz w:val="24"/>
        </w:rPr>
        <w:t xml:space="preserve">(AASs) </w:t>
      </w:r>
      <w:r>
        <w:rPr>
          <w:color w:val="231F20"/>
          <w:sz w:val="24"/>
        </w:rPr>
        <w:t>which</w:t>
      </w:r>
      <w:r>
        <w:rPr>
          <w:color w:val="231F20"/>
          <w:spacing w:val="-12"/>
          <w:sz w:val="24"/>
        </w:rPr>
        <w:t xml:space="preserve"> </w:t>
      </w:r>
      <w:r>
        <w:rPr>
          <w:color w:val="231F20"/>
          <w:sz w:val="24"/>
        </w:rPr>
        <w:t>include</w:t>
      </w:r>
      <w:r>
        <w:rPr>
          <w:color w:val="231F20"/>
          <w:spacing w:val="-12"/>
          <w:sz w:val="24"/>
        </w:rPr>
        <w:t xml:space="preserve"> </w:t>
      </w:r>
      <w:r>
        <w:rPr>
          <w:color w:val="231F20"/>
          <w:sz w:val="24"/>
        </w:rPr>
        <w:t>Interpretations,</w:t>
      </w:r>
      <w:r>
        <w:rPr>
          <w:color w:val="231F20"/>
          <w:spacing w:val="-12"/>
          <w:sz w:val="24"/>
        </w:rPr>
        <w:t xml:space="preserve"> </w:t>
      </w:r>
      <w:r>
        <w:rPr>
          <w:color w:val="231F20"/>
          <w:sz w:val="24"/>
        </w:rPr>
        <w:t>issued</w:t>
      </w:r>
      <w:r>
        <w:rPr>
          <w:color w:val="231F20"/>
          <w:spacing w:val="-12"/>
          <w:sz w:val="24"/>
        </w:rPr>
        <w:t xml:space="preserve"> </w:t>
      </w:r>
      <w:r>
        <w:rPr>
          <w:color w:val="231F20"/>
          <w:sz w:val="24"/>
        </w:rPr>
        <w:t>by</w:t>
      </w:r>
      <w:r>
        <w:rPr>
          <w:color w:val="231F20"/>
          <w:spacing w:val="-12"/>
          <w:sz w:val="24"/>
        </w:rPr>
        <w:t xml:space="preserve"> </w:t>
      </w:r>
      <w:r>
        <w:rPr>
          <w:color w:val="231F20"/>
          <w:sz w:val="24"/>
        </w:rPr>
        <w:t>the</w:t>
      </w:r>
      <w:r>
        <w:rPr>
          <w:color w:val="231F20"/>
          <w:spacing w:val="-12"/>
          <w:sz w:val="24"/>
        </w:rPr>
        <w:t xml:space="preserve"> </w:t>
      </w:r>
      <w:r>
        <w:rPr>
          <w:color w:val="231F20"/>
          <w:sz w:val="24"/>
        </w:rPr>
        <w:t>Australian</w:t>
      </w:r>
      <w:r>
        <w:rPr>
          <w:color w:val="231F20"/>
          <w:spacing w:val="-12"/>
          <w:sz w:val="24"/>
        </w:rPr>
        <w:t xml:space="preserve"> </w:t>
      </w:r>
      <w:r>
        <w:rPr>
          <w:color w:val="231F20"/>
          <w:sz w:val="24"/>
        </w:rPr>
        <w:t>Accounting</w:t>
      </w:r>
      <w:r>
        <w:rPr>
          <w:color w:val="231F20"/>
          <w:spacing w:val="-12"/>
          <w:sz w:val="24"/>
        </w:rPr>
        <w:t xml:space="preserve"> </w:t>
      </w:r>
      <w:r>
        <w:rPr>
          <w:color w:val="231F20"/>
          <w:sz w:val="24"/>
        </w:rPr>
        <w:t>Standards</w:t>
      </w:r>
      <w:r>
        <w:rPr>
          <w:color w:val="231F20"/>
          <w:spacing w:val="-12"/>
          <w:sz w:val="24"/>
        </w:rPr>
        <w:t xml:space="preserve"> </w:t>
      </w:r>
      <w:r>
        <w:rPr>
          <w:color w:val="231F20"/>
          <w:sz w:val="24"/>
        </w:rPr>
        <w:t>Board</w:t>
      </w:r>
      <w:r>
        <w:rPr>
          <w:color w:val="231F20"/>
          <w:spacing w:val="-12"/>
          <w:sz w:val="24"/>
        </w:rPr>
        <w:t xml:space="preserve"> </w:t>
      </w:r>
      <w:r>
        <w:rPr>
          <w:color w:val="231F20"/>
          <w:sz w:val="24"/>
        </w:rPr>
        <w:t>(AASB).</w:t>
      </w:r>
      <w:r>
        <w:rPr>
          <w:color w:val="231F20"/>
          <w:spacing w:val="-12"/>
          <w:sz w:val="24"/>
        </w:rPr>
        <w:t xml:space="preserve"> </w:t>
      </w:r>
      <w:r>
        <w:rPr>
          <w:color w:val="231F20"/>
          <w:sz w:val="24"/>
        </w:rPr>
        <w:t>In particular,</w:t>
      </w:r>
      <w:r>
        <w:rPr>
          <w:color w:val="231F20"/>
          <w:spacing w:val="-2"/>
          <w:sz w:val="24"/>
        </w:rPr>
        <w:t xml:space="preserve"> </w:t>
      </w:r>
      <w:r>
        <w:rPr>
          <w:color w:val="231F20"/>
          <w:sz w:val="24"/>
        </w:rPr>
        <w:t>they</w:t>
      </w:r>
      <w:r>
        <w:rPr>
          <w:color w:val="231F20"/>
          <w:spacing w:val="-2"/>
          <w:sz w:val="24"/>
        </w:rPr>
        <w:t xml:space="preserve"> </w:t>
      </w:r>
      <w:r>
        <w:rPr>
          <w:color w:val="231F20"/>
          <w:sz w:val="24"/>
        </w:rPr>
        <w:t>are</w:t>
      </w:r>
      <w:r>
        <w:rPr>
          <w:color w:val="231F20"/>
          <w:spacing w:val="-2"/>
          <w:sz w:val="24"/>
        </w:rPr>
        <w:t xml:space="preserve"> </w:t>
      </w:r>
      <w:r>
        <w:rPr>
          <w:color w:val="231F20"/>
          <w:sz w:val="24"/>
        </w:rPr>
        <w:t>presented</w:t>
      </w:r>
      <w:r>
        <w:rPr>
          <w:color w:val="231F20"/>
          <w:spacing w:val="-2"/>
          <w:sz w:val="24"/>
        </w:rPr>
        <w:t xml:space="preserve"> </w:t>
      </w:r>
      <w:r>
        <w:rPr>
          <w:color w:val="231F20"/>
          <w:sz w:val="24"/>
        </w:rPr>
        <w:t>in</w:t>
      </w:r>
      <w:r>
        <w:rPr>
          <w:color w:val="231F20"/>
          <w:spacing w:val="-2"/>
          <w:sz w:val="24"/>
        </w:rPr>
        <w:t xml:space="preserve"> </w:t>
      </w:r>
      <w:r>
        <w:rPr>
          <w:color w:val="231F20"/>
          <w:sz w:val="24"/>
        </w:rPr>
        <w:t>a</w:t>
      </w:r>
      <w:r>
        <w:rPr>
          <w:color w:val="231F20"/>
          <w:spacing w:val="-2"/>
          <w:sz w:val="24"/>
        </w:rPr>
        <w:t xml:space="preserve"> </w:t>
      </w:r>
      <w:r>
        <w:rPr>
          <w:color w:val="231F20"/>
          <w:sz w:val="24"/>
        </w:rPr>
        <w:t>manner</w:t>
      </w:r>
      <w:r>
        <w:rPr>
          <w:color w:val="231F20"/>
          <w:spacing w:val="-2"/>
          <w:sz w:val="24"/>
        </w:rPr>
        <w:t xml:space="preserve"> </w:t>
      </w:r>
      <w:r>
        <w:rPr>
          <w:color w:val="231F20"/>
          <w:sz w:val="24"/>
        </w:rPr>
        <w:t>consistent</w:t>
      </w:r>
      <w:r>
        <w:rPr>
          <w:color w:val="231F20"/>
          <w:spacing w:val="-2"/>
          <w:sz w:val="24"/>
        </w:rPr>
        <w:t xml:space="preserve"> </w:t>
      </w:r>
      <w:r>
        <w:rPr>
          <w:color w:val="231F20"/>
          <w:sz w:val="24"/>
        </w:rPr>
        <w:t>with</w:t>
      </w:r>
      <w:r>
        <w:rPr>
          <w:color w:val="231F20"/>
          <w:spacing w:val="-2"/>
          <w:sz w:val="24"/>
        </w:rPr>
        <w:t xml:space="preserve"> </w:t>
      </w:r>
      <w:r>
        <w:rPr>
          <w:color w:val="231F20"/>
          <w:sz w:val="24"/>
        </w:rPr>
        <w:t>the</w:t>
      </w:r>
      <w:r>
        <w:rPr>
          <w:color w:val="231F20"/>
          <w:spacing w:val="-2"/>
          <w:sz w:val="24"/>
        </w:rPr>
        <w:t xml:space="preserve"> </w:t>
      </w:r>
      <w:r>
        <w:rPr>
          <w:color w:val="231F20"/>
          <w:sz w:val="24"/>
        </w:rPr>
        <w:t>requirements</w:t>
      </w:r>
      <w:r>
        <w:rPr>
          <w:color w:val="231F20"/>
          <w:spacing w:val="-2"/>
          <w:sz w:val="24"/>
        </w:rPr>
        <w:t xml:space="preserve"> </w:t>
      </w:r>
      <w:r>
        <w:rPr>
          <w:color w:val="231F20"/>
          <w:sz w:val="24"/>
        </w:rPr>
        <w:t>of</w:t>
      </w:r>
      <w:r>
        <w:rPr>
          <w:color w:val="231F20"/>
          <w:spacing w:val="-2"/>
          <w:sz w:val="24"/>
        </w:rPr>
        <w:t xml:space="preserve"> </w:t>
      </w:r>
      <w:r>
        <w:rPr>
          <w:color w:val="231F20"/>
          <w:sz w:val="24"/>
        </w:rPr>
        <w:t>the</w:t>
      </w:r>
      <w:r>
        <w:rPr>
          <w:color w:val="231F20"/>
          <w:spacing w:val="-2"/>
          <w:sz w:val="24"/>
        </w:rPr>
        <w:t xml:space="preserve"> </w:t>
      </w:r>
      <w:r>
        <w:rPr>
          <w:color w:val="231F20"/>
          <w:sz w:val="24"/>
        </w:rPr>
        <w:t>AASB</w:t>
      </w:r>
      <w:r>
        <w:rPr>
          <w:color w:val="231F20"/>
          <w:spacing w:val="-2"/>
          <w:sz w:val="24"/>
        </w:rPr>
        <w:t xml:space="preserve"> </w:t>
      </w:r>
      <w:r>
        <w:rPr>
          <w:color w:val="231F20"/>
          <w:sz w:val="24"/>
        </w:rPr>
        <w:t xml:space="preserve">1049 </w:t>
      </w:r>
      <w:r>
        <w:rPr>
          <w:i/>
          <w:color w:val="231F20"/>
          <w:spacing w:val="-2"/>
          <w:sz w:val="24"/>
        </w:rPr>
        <w:t>Whole</w:t>
      </w:r>
      <w:r>
        <w:rPr>
          <w:i/>
          <w:color w:val="231F20"/>
          <w:spacing w:val="-13"/>
          <w:sz w:val="24"/>
        </w:rPr>
        <w:t xml:space="preserve"> </w:t>
      </w:r>
      <w:r>
        <w:rPr>
          <w:i/>
          <w:color w:val="231F20"/>
          <w:spacing w:val="-2"/>
          <w:sz w:val="24"/>
        </w:rPr>
        <w:t>of</w:t>
      </w:r>
      <w:r>
        <w:rPr>
          <w:i/>
          <w:color w:val="231F20"/>
          <w:spacing w:val="-13"/>
          <w:sz w:val="24"/>
        </w:rPr>
        <w:t xml:space="preserve"> </w:t>
      </w:r>
      <w:r>
        <w:rPr>
          <w:i/>
          <w:color w:val="231F20"/>
          <w:spacing w:val="-2"/>
          <w:sz w:val="24"/>
        </w:rPr>
        <w:t>Government</w:t>
      </w:r>
      <w:r>
        <w:rPr>
          <w:i/>
          <w:color w:val="231F20"/>
          <w:spacing w:val="-13"/>
          <w:sz w:val="24"/>
        </w:rPr>
        <w:t xml:space="preserve"> </w:t>
      </w:r>
      <w:r>
        <w:rPr>
          <w:i/>
          <w:color w:val="231F20"/>
          <w:spacing w:val="-2"/>
          <w:sz w:val="24"/>
        </w:rPr>
        <w:t>and</w:t>
      </w:r>
      <w:r>
        <w:rPr>
          <w:i/>
          <w:color w:val="231F20"/>
          <w:spacing w:val="-13"/>
          <w:sz w:val="24"/>
        </w:rPr>
        <w:t xml:space="preserve"> </w:t>
      </w:r>
      <w:r>
        <w:rPr>
          <w:i/>
          <w:color w:val="231F20"/>
          <w:spacing w:val="-2"/>
          <w:sz w:val="24"/>
        </w:rPr>
        <w:t>General</w:t>
      </w:r>
      <w:r>
        <w:rPr>
          <w:i/>
          <w:color w:val="231F20"/>
          <w:spacing w:val="-13"/>
          <w:sz w:val="24"/>
        </w:rPr>
        <w:t xml:space="preserve"> </w:t>
      </w:r>
      <w:r>
        <w:rPr>
          <w:i/>
          <w:color w:val="231F20"/>
          <w:spacing w:val="-2"/>
          <w:sz w:val="24"/>
        </w:rPr>
        <w:t>Government</w:t>
      </w:r>
      <w:r>
        <w:rPr>
          <w:i/>
          <w:color w:val="231F20"/>
          <w:spacing w:val="-13"/>
          <w:sz w:val="24"/>
        </w:rPr>
        <w:t xml:space="preserve"> </w:t>
      </w:r>
      <w:r>
        <w:rPr>
          <w:i/>
          <w:color w:val="231F20"/>
          <w:spacing w:val="-2"/>
          <w:sz w:val="24"/>
        </w:rPr>
        <w:t>Sector</w:t>
      </w:r>
      <w:r>
        <w:rPr>
          <w:i/>
          <w:color w:val="231F20"/>
          <w:spacing w:val="-13"/>
          <w:sz w:val="24"/>
        </w:rPr>
        <w:t xml:space="preserve"> </w:t>
      </w:r>
      <w:r>
        <w:rPr>
          <w:i/>
          <w:color w:val="231F20"/>
          <w:spacing w:val="-2"/>
          <w:sz w:val="24"/>
        </w:rPr>
        <w:t>Financial</w:t>
      </w:r>
      <w:r>
        <w:rPr>
          <w:i/>
          <w:color w:val="231F20"/>
          <w:spacing w:val="-13"/>
          <w:sz w:val="24"/>
        </w:rPr>
        <w:t xml:space="preserve"> </w:t>
      </w:r>
      <w:r>
        <w:rPr>
          <w:i/>
          <w:color w:val="231F20"/>
          <w:spacing w:val="-2"/>
          <w:sz w:val="24"/>
        </w:rPr>
        <w:t>Reporting</w:t>
      </w:r>
      <w:r>
        <w:rPr>
          <w:color w:val="231F20"/>
          <w:spacing w:val="-2"/>
          <w:sz w:val="24"/>
        </w:rPr>
        <w:t>.</w:t>
      </w:r>
    </w:p>
    <w:p w14:paraId="03DB0B92" w14:textId="77777777" w:rsidR="00345EE3" w:rsidRDefault="00345EE3" w:rsidP="00345EE3">
      <w:pPr>
        <w:pStyle w:val="BodyText"/>
        <w:spacing w:before="120" w:line="242" w:lineRule="auto"/>
      </w:pPr>
      <w:r>
        <w:rPr>
          <w:color w:val="231F20"/>
        </w:rPr>
        <w:t>Where</w:t>
      </w:r>
      <w:r>
        <w:rPr>
          <w:color w:val="231F20"/>
          <w:spacing w:val="-12"/>
        </w:rPr>
        <w:t xml:space="preserve"> </w:t>
      </w:r>
      <w:r>
        <w:rPr>
          <w:color w:val="231F20"/>
        </w:rPr>
        <w:t>appropriate,</w:t>
      </w:r>
      <w:r>
        <w:rPr>
          <w:color w:val="231F20"/>
          <w:spacing w:val="-12"/>
        </w:rPr>
        <w:t xml:space="preserve"> </w:t>
      </w:r>
      <w:r>
        <w:rPr>
          <w:color w:val="231F20"/>
        </w:rPr>
        <w:t>those</w:t>
      </w:r>
      <w:r>
        <w:rPr>
          <w:color w:val="231F20"/>
          <w:spacing w:val="-12"/>
        </w:rPr>
        <w:t xml:space="preserve"> </w:t>
      </w:r>
      <w:r>
        <w:rPr>
          <w:color w:val="231F20"/>
        </w:rPr>
        <w:t>AAS</w:t>
      </w:r>
      <w:r>
        <w:rPr>
          <w:color w:val="231F20"/>
          <w:spacing w:val="-12"/>
        </w:rPr>
        <w:t xml:space="preserve"> </w:t>
      </w:r>
      <w:r>
        <w:rPr>
          <w:color w:val="231F20"/>
        </w:rPr>
        <w:t>paragraphs</w:t>
      </w:r>
      <w:r>
        <w:rPr>
          <w:color w:val="231F20"/>
          <w:spacing w:val="-12"/>
        </w:rPr>
        <w:t xml:space="preserve"> </w:t>
      </w:r>
      <w:r>
        <w:rPr>
          <w:color w:val="231F20"/>
        </w:rPr>
        <w:t>applicable</w:t>
      </w:r>
      <w:r>
        <w:rPr>
          <w:color w:val="231F20"/>
          <w:spacing w:val="-12"/>
        </w:rPr>
        <w:t xml:space="preserve"> </w:t>
      </w:r>
      <w:r>
        <w:rPr>
          <w:color w:val="231F20"/>
        </w:rPr>
        <w:t>to</w:t>
      </w:r>
      <w:r>
        <w:rPr>
          <w:color w:val="231F20"/>
          <w:spacing w:val="-12"/>
        </w:rPr>
        <w:t xml:space="preserve"> </w:t>
      </w:r>
      <w:r>
        <w:rPr>
          <w:color w:val="231F20"/>
        </w:rPr>
        <w:t>not-for-profit</w:t>
      </w:r>
      <w:r>
        <w:rPr>
          <w:color w:val="231F20"/>
          <w:spacing w:val="-12"/>
        </w:rPr>
        <w:t xml:space="preserve"> </w:t>
      </w:r>
      <w:r>
        <w:rPr>
          <w:color w:val="231F20"/>
        </w:rPr>
        <w:t>entities</w:t>
      </w:r>
      <w:r>
        <w:rPr>
          <w:color w:val="231F20"/>
          <w:spacing w:val="-12"/>
        </w:rPr>
        <w:t xml:space="preserve"> </w:t>
      </w:r>
      <w:r>
        <w:rPr>
          <w:color w:val="231F20"/>
        </w:rPr>
        <w:t>have</w:t>
      </w:r>
      <w:r>
        <w:rPr>
          <w:color w:val="231F20"/>
          <w:spacing w:val="-12"/>
        </w:rPr>
        <w:t xml:space="preserve"> </w:t>
      </w:r>
      <w:r>
        <w:rPr>
          <w:color w:val="231F20"/>
        </w:rPr>
        <w:t>been</w:t>
      </w:r>
      <w:r>
        <w:rPr>
          <w:color w:val="231F20"/>
          <w:spacing w:val="-12"/>
        </w:rPr>
        <w:t xml:space="preserve"> </w:t>
      </w:r>
      <w:r>
        <w:rPr>
          <w:color w:val="231F20"/>
        </w:rPr>
        <w:t>applied. Accounting policies are selected and applied in a manner which ensures that the resulting financial</w:t>
      </w:r>
      <w:r>
        <w:rPr>
          <w:color w:val="231F20"/>
          <w:spacing w:val="-2"/>
        </w:rPr>
        <w:t xml:space="preserve"> </w:t>
      </w:r>
      <w:r>
        <w:rPr>
          <w:color w:val="231F20"/>
        </w:rPr>
        <w:t>information</w:t>
      </w:r>
      <w:r>
        <w:rPr>
          <w:color w:val="231F20"/>
          <w:spacing w:val="-2"/>
        </w:rPr>
        <w:t xml:space="preserve"> </w:t>
      </w:r>
      <w:r>
        <w:rPr>
          <w:color w:val="231F20"/>
        </w:rPr>
        <w:t>satisfies</w:t>
      </w:r>
      <w:r>
        <w:rPr>
          <w:color w:val="231F20"/>
          <w:spacing w:val="-1"/>
        </w:rPr>
        <w:t xml:space="preserve"> </w:t>
      </w:r>
      <w:r>
        <w:rPr>
          <w:color w:val="231F20"/>
        </w:rPr>
        <w:t>the</w:t>
      </w:r>
      <w:r>
        <w:rPr>
          <w:color w:val="231F20"/>
          <w:spacing w:val="-2"/>
        </w:rPr>
        <w:t xml:space="preserve"> </w:t>
      </w:r>
      <w:r>
        <w:rPr>
          <w:color w:val="231F20"/>
        </w:rPr>
        <w:t>concepts</w:t>
      </w:r>
      <w:r>
        <w:rPr>
          <w:color w:val="231F20"/>
          <w:spacing w:val="-1"/>
        </w:rPr>
        <w:t xml:space="preserve"> </w:t>
      </w:r>
      <w:r>
        <w:rPr>
          <w:color w:val="231F20"/>
        </w:rPr>
        <w:t>of</w:t>
      </w:r>
      <w:r>
        <w:rPr>
          <w:color w:val="231F20"/>
          <w:spacing w:val="-1"/>
        </w:rPr>
        <w:t xml:space="preserve"> </w:t>
      </w:r>
      <w:r>
        <w:rPr>
          <w:color w:val="231F20"/>
        </w:rPr>
        <w:t>relevance</w:t>
      </w:r>
      <w:r>
        <w:rPr>
          <w:color w:val="231F20"/>
          <w:spacing w:val="-2"/>
        </w:rPr>
        <w:t xml:space="preserve"> </w:t>
      </w:r>
      <w:r>
        <w:rPr>
          <w:color w:val="231F20"/>
        </w:rPr>
        <w:t>and</w:t>
      </w:r>
      <w:r>
        <w:rPr>
          <w:color w:val="231F20"/>
          <w:spacing w:val="-2"/>
        </w:rPr>
        <w:t xml:space="preserve"> </w:t>
      </w:r>
      <w:r>
        <w:rPr>
          <w:color w:val="231F20"/>
        </w:rPr>
        <w:t>reliability,</w:t>
      </w:r>
      <w:r>
        <w:rPr>
          <w:color w:val="231F20"/>
          <w:spacing w:val="-1"/>
        </w:rPr>
        <w:t xml:space="preserve"> </w:t>
      </w:r>
      <w:r>
        <w:rPr>
          <w:color w:val="231F20"/>
        </w:rPr>
        <w:t>thereby</w:t>
      </w:r>
      <w:r>
        <w:rPr>
          <w:color w:val="231F20"/>
          <w:spacing w:val="-1"/>
        </w:rPr>
        <w:t xml:space="preserve"> </w:t>
      </w:r>
      <w:r>
        <w:rPr>
          <w:color w:val="231F20"/>
        </w:rPr>
        <w:t>ensuring</w:t>
      </w:r>
      <w:r>
        <w:rPr>
          <w:color w:val="231F20"/>
          <w:spacing w:val="-2"/>
        </w:rPr>
        <w:t xml:space="preserve"> </w:t>
      </w:r>
      <w:r>
        <w:rPr>
          <w:color w:val="231F20"/>
        </w:rPr>
        <w:t>that</w:t>
      </w:r>
      <w:r>
        <w:rPr>
          <w:color w:val="231F20"/>
          <w:spacing w:val="-1"/>
        </w:rPr>
        <w:t xml:space="preserve"> </w:t>
      </w:r>
      <w:r>
        <w:rPr>
          <w:color w:val="231F20"/>
        </w:rPr>
        <w:t>the substance of the underlying transactions or other events is reported.</w:t>
      </w:r>
    </w:p>
    <w:p w14:paraId="055780F0" w14:textId="77777777" w:rsidR="00345EE3" w:rsidRDefault="00345EE3" w:rsidP="00345EE3">
      <w:pPr>
        <w:pStyle w:val="BodyText"/>
        <w:spacing w:before="118"/>
      </w:pPr>
      <w:r>
        <w:rPr>
          <w:color w:val="231F20"/>
        </w:rPr>
        <w:t>The</w:t>
      </w:r>
      <w:r>
        <w:rPr>
          <w:color w:val="231F20"/>
          <w:spacing w:val="-6"/>
        </w:rPr>
        <w:t xml:space="preserve"> </w:t>
      </w:r>
      <w:r>
        <w:rPr>
          <w:color w:val="231F20"/>
        </w:rPr>
        <w:t>style</w:t>
      </w:r>
      <w:r>
        <w:rPr>
          <w:color w:val="231F20"/>
          <w:spacing w:val="-6"/>
        </w:rPr>
        <w:t xml:space="preserve"> </w:t>
      </w:r>
      <w:r>
        <w:rPr>
          <w:color w:val="231F20"/>
        </w:rPr>
        <w:t>conventions</w:t>
      </w:r>
      <w:r>
        <w:rPr>
          <w:color w:val="231F20"/>
          <w:spacing w:val="-5"/>
        </w:rPr>
        <w:t xml:space="preserve"> </w:t>
      </w:r>
      <w:r>
        <w:rPr>
          <w:color w:val="231F20"/>
        </w:rPr>
        <w:t>used</w:t>
      </w:r>
      <w:r>
        <w:rPr>
          <w:color w:val="231F20"/>
          <w:spacing w:val="-6"/>
        </w:rPr>
        <w:t xml:space="preserve"> </w:t>
      </w:r>
      <w:r>
        <w:rPr>
          <w:color w:val="231F20"/>
        </w:rPr>
        <w:t>in</w:t>
      </w:r>
      <w:r>
        <w:rPr>
          <w:color w:val="231F20"/>
          <w:spacing w:val="-6"/>
        </w:rPr>
        <w:t xml:space="preserve"> </w:t>
      </w:r>
      <w:r>
        <w:rPr>
          <w:color w:val="231F20"/>
        </w:rPr>
        <w:t>this</w:t>
      </w:r>
      <w:r>
        <w:rPr>
          <w:color w:val="231F20"/>
          <w:spacing w:val="-5"/>
        </w:rPr>
        <w:t xml:space="preserve"> </w:t>
      </w:r>
      <w:r>
        <w:rPr>
          <w:color w:val="231F20"/>
        </w:rPr>
        <w:t>report</w:t>
      </w:r>
      <w:r>
        <w:rPr>
          <w:color w:val="231F20"/>
          <w:spacing w:val="-5"/>
        </w:rPr>
        <w:t xml:space="preserve"> </w:t>
      </w:r>
      <w:r>
        <w:rPr>
          <w:color w:val="231F20"/>
        </w:rPr>
        <w:t>can</w:t>
      </w:r>
      <w:r>
        <w:rPr>
          <w:color w:val="231F20"/>
          <w:spacing w:val="-6"/>
        </w:rPr>
        <w:t xml:space="preserve"> </w:t>
      </w:r>
      <w:r>
        <w:rPr>
          <w:color w:val="231F20"/>
        </w:rPr>
        <w:t>be</w:t>
      </w:r>
      <w:r>
        <w:rPr>
          <w:color w:val="231F20"/>
          <w:spacing w:val="-6"/>
        </w:rPr>
        <w:t xml:space="preserve"> </w:t>
      </w:r>
      <w:r>
        <w:rPr>
          <w:color w:val="231F20"/>
        </w:rPr>
        <w:t>found</w:t>
      </w:r>
      <w:r>
        <w:rPr>
          <w:color w:val="231F20"/>
          <w:spacing w:val="-6"/>
        </w:rPr>
        <w:t xml:space="preserve"> </w:t>
      </w:r>
      <w:r>
        <w:rPr>
          <w:color w:val="231F20"/>
        </w:rPr>
        <w:t>in</w:t>
      </w:r>
      <w:r>
        <w:rPr>
          <w:color w:val="231F20"/>
          <w:spacing w:val="-6"/>
        </w:rPr>
        <w:t xml:space="preserve"> </w:t>
      </w:r>
      <w:r>
        <w:rPr>
          <w:color w:val="231F20"/>
        </w:rPr>
        <w:t>Note</w:t>
      </w:r>
      <w:r>
        <w:rPr>
          <w:color w:val="231F20"/>
          <w:spacing w:val="-5"/>
        </w:rPr>
        <w:t xml:space="preserve"> </w:t>
      </w:r>
      <w:r>
        <w:rPr>
          <w:color w:val="231F20"/>
          <w:spacing w:val="-4"/>
        </w:rPr>
        <w:t>9.9.</w:t>
      </w:r>
    </w:p>
    <w:p w14:paraId="08FA20B4" w14:textId="77777777" w:rsidR="00345EE3" w:rsidRDefault="00345EE3" w:rsidP="00345EE3">
      <w:pPr>
        <w:pStyle w:val="BodyText"/>
        <w:spacing w:before="118" w:line="242" w:lineRule="auto"/>
        <w:ind w:right="147"/>
      </w:pPr>
      <w:r>
        <w:rPr>
          <w:color w:val="231F20"/>
        </w:rPr>
        <w:t>The</w:t>
      </w:r>
      <w:r>
        <w:rPr>
          <w:color w:val="231F20"/>
          <w:spacing w:val="-10"/>
        </w:rPr>
        <w:t xml:space="preserve"> </w:t>
      </w:r>
      <w:r>
        <w:rPr>
          <w:color w:val="231F20"/>
        </w:rPr>
        <w:t>annual</w:t>
      </w:r>
      <w:r>
        <w:rPr>
          <w:color w:val="231F20"/>
          <w:spacing w:val="-10"/>
        </w:rPr>
        <w:t xml:space="preserve"> </w:t>
      </w:r>
      <w:r>
        <w:rPr>
          <w:color w:val="231F20"/>
        </w:rPr>
        <w:t>financial</w:t>
      </w:r>
      <w:r>
        <w:rPr>
          <w:color w:val="231F20"/>
          <w:spacing w:val="-10"/>
        </w:rPr>
        <w:t xml:space="preserve"> </w:t>
      </w:r>
      <w:r>
        <w:rPr>
          <w:color w:val="231F20"/>
        </w:rPr>
        <w:t>statements</w:t>
      </w:r>
      <w:r>
        <w:rPr>
          <w:color w:val="231F20"/>
          <w:spacing w:val="-9"/>
        </w:rPr>
        <w:t xml:space="preserve"> </w:t>
      </w:r>
      <w:r>
        <w:rPr>
          <w:color w:val="231F20"/>
        </w:rPr>
        <w:t>were</w:t>
      </w:r>
      <w:r>
        <w:rPr>
          <w:color w:val="231F20"/>
          <w:spacing w:val="-10"/>
        </w:rPr>
        <w:t xml:space="preserve"> </w:t>
      </w:r>
      <w:r>
        <w:rPr>
          <w:color w:val="231F20"/>
        </w:rPr>
        <w:t>authorised</w:t>
      </w:r>
      <w:r>
        <w:rPr>
          <w:color w:val="231F20"/>
          <w:spacing w:val="-10"/>
        </w:rPr>
        <w:t xml:space="preserve"> </w:t>
      </w:r>
      <w:r>
        <w:rPr>
          <w:color w:val="231F20"/>
        </w:rPr>
        <w:t>for</w:t>
      </w:r>
      <w:r>
        <w:rPr>
          <w:color w:val="231F20"/>
          <w:spacing w:val="-9"/>
        </w:rPr>
        <w:t xml:space="preserve"> </w:t>
      </w:r>
      <w:r>
        <w:rPr>
          <w:color w:val="231F20"/>
        </w:rPr>
        <w:t>issue</w:t>
      </w:r>
      <w:r>
        <w:rPr>
          <w:color w:val="231F20"/>
          <w:spacing w:val="-10"/>
        </w:rPr>
        <w:t xml:space="preserve"> </w:t>
      </w:r>
      <w:r>
        <w:rPr>
          <w:color w:val="231F20"/>
        </w:rPr>
        <w:t>by</w:t>
      </w:r>
      <w:r>
        <w:rPr>
          <w:color w:val="231F20"/>
          <w:spacing w:val="-9"/>
        </w:rPr>
        <w:t xml:space="preserve"> </w:t>
      </w:r>
      <w:r>
        <w:rPr>
          <w:color w:val="231F20"/>
        </w:rPr>
        <w:t>the</w:t>
      </w:r>
      <w:r>
        <w:rPr>
          <w:color w:val="231F20"/>
          <w:spacing w:val="-10"/>
        </w:rPr>
        <w:t xml:space="preserve"> </w:t>
      </w:r>
      <w:r>
        <w:rPr>
          <w:color w:val="231F20"/>
        </w:rPr>
        <w:t>Chief</w:t>
      </w:r>
      <w:r>
        <w:rPr>
          <w:color w:val="231F20"/>
          <w:spacing w:val="-9"/>
        </w:rPr>
        <w:t xml:space="preserve"> </w:t>
      </w:r>
      <w:r>
        <w:rPr>
          <w:color w:val="231F20"/>
        </w:rPr>
        <w:t>Commissioner</w:t>
      </w:r>
      <w:r>
        <w:rPr>
          <w:color w:val="231F20"/>
          <w:spacing w:val="-9"/>
        </w:rPr>
        <w:t xml:space="preserve"> </w:t>
      </w:r>
      <w:r>
        <w:rPr>
          <w:color w:val="231F20"/>
        </w:rPr>
        <w:t>of</w:t>
      </w:r>
      <w:r>
        <w:rPr>
          <w:color w:val="231F20"/>
          <w:spacing w:val="-9"/>
        </w:rPr>
        <w:t xml:space="preserve"> </w:t>
      </w:r>
      <w:r>
        <w:rPr>
          <w:color w:val="231F20"/>
        </w:rPr>
        <w:t>Police on 01 September 2022.</w:t>
      </w:r>
    </w:p>
    <w:p w14:paraId="7EC53EA0" w14:textId="77777777" w:rsidR="00345EE3" w:rsidRDefault="00345EE3" w:rsidP="002A27BA">
      <w:pPr>
        <w:pStyle w:val="Heading3"/>
      </w:pPr>
      <w:r>
        <w:t>Reporting</w:t>
      </w:r>
      <w:r>
        <w:rPr>
          <w:spacing w:val="5"/>
        </w:rPr>
        <w:t xml:space="preserve"> </w:t>
      </w:r>
      <w:r>
        <w:rPr>
          <w:spacing w:val="-2"/>
        </w:rPr>
        <w:t>Entity</w:t>
      </w:r>
    </w:p>
    <w:p w14:paraId="70008AE4" w14:textId="77777777" w:rsidR="00345EE3" w:rsidRDefault="00345EE3" w:rsidP="00345EE3">
      <w:pPr>
        <w:pStyle w:val="BodyText"/>
        <w:spacing w:before="52"/>
      </w:pPr>
      <w:r>
        <w:rPr>
          <w:color w:val="231F20"/>
        </w:rPr>
        <w:t>The</w:t>
      </w:r>
      <w:r>
        <w:rPr>
          <w:color w:val="231F20"/>
          <w:spacing w:val="-12"/>
        </w:rPr>
        <w:t xml:space="preserve"> </w:t>
      </w:r>
      <w:r>
        <w:rPr>
          <w:color w:val="231F20"/>
        </w:rPr>
        <w:t>financial</w:t>
      </w:r>
      <w:r>
        <w:rPr>
          <w:color w:val="231F20"/>
          <w:spacing w:val="-10"/>
        </w:rPr>
        <w:t xml:space="preserve"> </w:t>
      </w:r>
      <w:r>
        <w:rPr>
          <w:color w:val="231F20"/>
        </w:rPr>
        <w:t>statements</w:t>
      </w:r>
      <w:r>
        <w:rPr>
          <w:color w:val="231F20"/>
          <w:spacing w:val="-8"/>
        </w:rPr>
        <w:t xml:space="preserve"> </w:t>
      </w:r>
      <w:r>
        <w:rPr>
          <w:color w:val="231F20"/>
        </w:rPr>
        <w:t>cover</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9"/>
        </w:rPr>
        <w:t xml:space="preserve"> </w:t>
      </w:r>
      <w:r>
        <w:rPr>
          <w:color w:val="231F20"/>
        </w:rPr>
        <w:t>as</w:t>
      </w:r>
      <w:r>
        <w:rPr>
          <w:color w:val="231F20"/>
          <w:spacing w:val="-9"/>
        </w:rPr>
        <w:t xml:space="preserve"> </w:t>
      </w:r>
      <w:r>
        <w:rPr>
          <w:color w:val="231F20"/>
        </w:rPr>
        <w:t>an</w:t>
      </w:r>
      <w:r>
        <w:rPr>
          <w:color w:val="231F20"/>
          <w:spacing w:val="-9"/>
        </w:rPr>
        <w:t xml:space="preserve"> </w:t>
      </w:r>
      <w:r>
        <w:rPr>
          <w:color w:val="231F20"/>
        </w:rPr>
        <w:t>individual</w:t>
      </w:r>
      <w:r>
        <w:rPr>
          <w:color w:val="231F20"/>
          <w:spacing w:val="-10"/>
        </w:rPr>
        <w:t xml:space="preserve"> </w:t>
      </w:r>
      <w:r>
        <w:rPr>
          <w:color w:val="231F20"/>
        </w:rPr>
        <w:t>reporting</w:t>
      </w:r>
      <w:r>
        <w:rPr>
          <w:color w:val="231F20"/>
          <w:spacing w:val="-9"/>
        </w:rPr>
        <w:t xml:space="preserve"> </w:t>
      </w:r>
      <w:r>
        <w:rPr>
          <w:color w:val="231F20"/>
          <w:spacing w:val="-2"/>
        </w:rPr>
        <w:t>entity.</w:t>
      </w:r>
    </w:p>
    <w:p w14:paraId="5FDD35F3" w14:textId="77777777" w:rsidR="00345EE3" w:rsidRDefault="00345EE3" w:rsidP="00345EE3">
      <w:pPr>
        <w:pStyle w:val="BodyText"/>
        <w:spacing w:before="118" w:line="242" w:lineRule="auto"/>
      </w:pPr>
      <w:r>
        <w:rPr>
          <w:color w:val="231F20"/>
        </w:rPr>
        <w:t>The</w:t>
      </w:r>
      <w:r>
        <w:rPr>
          <w:color w:val="231F20"/>
          <w:spacing w:val="-10"/>
        </w:rPr>
        <w:t xml:space="preserve"> </w:t>
      </w:r>
      <w:r>
        <w:rPr>
          <w:color w:val="231F20"/>
        </w:rPr>
        <w:t>financial</w:t>
      </w:r>
      <w:r>
        <w:rPr>
          <w:color w:val="231F20"/>
          <w:spacing w:val="-10"/>
        </w:rPr>
        <w:t xml:space="preserve"> </w:t>
      </w:r>
      <w:r>
        <w:rPr>
          <w:color w:val="231F20"/>
        </w:rPr>
        <w:t>statements</w:t>
      </w:r>
      <w:r>
        <w:rPr>
          <w:color w:val="231F20"/>
          <w:spacing w:val="-9"/>
        </w:rPr>
        <w:t xml:space="preserve"> </w:t>
      </w:r>
      <w:r>
        <w:rPr>
          <w:color w:val="231F20"/>
        </w:rPr>
        <w:t>include</w:t>
      </w:r>
      <w:r>
        <w:rPr>
          <w:color w:val="231F20"/>
          <w:spacing w:val="-10"/>
        </w:rPr>
        <w:t xml:space="preserve"> </w:t>
      </w:r>
      <w:r>
        <w:rPr>
          <w:color w:val="231F20"/>
        </w:rPr>
        <w:t>all</w:t>
      </w:r>
      <w:r>
        <w:rPr>
          <w:color w:val="231F20"/>
          <w:spacing w:val="-10"/>
        </w:rPr>
        <w:t xml:space="preserve"> </w:t>
      </w:r>
      <w:r>
        <w:rPr>
          <w:color w:val="231F20"/>
        </w:rPr>
        <w:t>the</w:t>
      </w:r>
      <w:r>
        <w:rPr>
          <w:color w:val="231F20"/>
          <w:spacing w:val="-10"/>
        </w:rPr>
        <w:t xml:space="preserve"> </w:t>
      </w:r>
      <w:r>
        <w:rPr>
          <w:color w:val="231F20"/>
        </w:rPr>
        <w:t>controlled</w:t>
      </w:r>
      <w:r>
        <w:rPr>
          <w:color w:val="231F20"/>
          <w:spacing w:val="-10"/>
        </w:rPr>
        <w:t xml:space="preserve"> </w:t>
      </w:r>
      <w:r>
        <w:rPr>
          <w:color w:val="231F20"/>
        </w:rPr>
        <w:t>activities</w:t>
      </w:r>
      <w:r>
        <w:rPr>
          <w:color w:val="231F20"/>
          <w:spacing w:val="-9"/>
        </w:rPr>
        <w:t xml:space="preserve"> </w:t>
      </w:r>
      <w:r>
        <w:rPr>
          <w:color w:val="231F20"/>
        </w:rPr>
        <w:t>of</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9"/>
        </w:rPr>
        <w:t xml:space="preserve"> </w:t>
      </w:r>
      <w:r>
        <w:rPr>
          <w:color w:val="231F20"/>
        </w:rPr>
        <w:t>including</w:t>
      </w:r>
      <w:r>
        <w:rPr>
          <w:color w:val="231F20"/>
          <w:spacing w:val="-10"/>
        </w:rPr>
        <w:t xml:space="preserve"> </w:t>
      </w:r>
      <w:r>
        <w:rPr>
          <w:color w:val="231F20"/>
        </w:rPr>
        <w:t>all</w:t>
      </w:r>
      <w:r>
        <w:rPr>
          <w:color w:val="231F20"/>
          <w:spacing w:val="-10"/>
        </w:rPr>
        <w:t xml:space="preserve"> </w:t>
      </w:r>
      <w:r>
        <w:rPr>
          <w:color w:val="231F20"/>
        </w:rPr>
        <w:t>funds through which Victoria Police controls the resources to carry on its functions.</w:t>
      </w:r>
    </w:p>
    <w:p w14:paraId="446BA57C" w14:textId="77777777" w:rsidR="00345EE3" w:rsidRDefault="00345EE3" w:rsidP="002A27BA">
      <w:pPr>
        <w:pStyle w:val="Heading3"/>
      </w:pPr>
      <w:r>
        <w:t>Basis of Consolidation</w:t>
      </w:r>
    </w:p>
    <w:p w14:paraId="70B869B3" w14:textId="77777777" w:rsidR="00345EE3" w:rsidRDefault="00345EE3" w:rsidP="00345EE3">
      <w:pPr>
        <w:pStyle w:val="BodyText"/>
        <w:spacing w:before="53" w:line="242" w:lineRule="auto"/>
        <w:ind w:right="115"/>
      </w:pPr>
      <w:r>
        <w:rPr>
          <w:color w:val="231F20"/>
          <w:spacing w:val="-2"/>
        </w:rPr>
        <w:t>In</w:t>
      </w:r>
      <w:r>
        <w:rPr>
          <w:color w:val="231F20"/>
          <w:spacing w:val="-9"/>
        </w:rPr>
        <w:t xml:space="preserve"> </w:t>
      </w:r>
      <w:r>
        <w:rPr>
          <w:color w:val="231F20"/>
          <w:spacing w:val="-2"/>
        </w:rPr>
        <w:t>accordance</w:t>
      </w:r>
      <w:r>
        <w:rPr>
          <w:color w:val="231F20"/>
          <w:spacing w:val="-8"/>
        </w:rPr>
        <w:t xml:space="preserve"> </w:t>
      </w:r>
      <w:r>
        <w:rPr>
          <w:color w:val="231F20"/>
          <w:spacing w:val="-2"/>
        </w:rPr>
        <w:t>with</w:t>
      </w:r>
      <w:r>
        <w:rPr>
          <w:color w:val="231F20"/>
          <w:spacing w:val="-8"/>
        </w:rPr>
        <w:t xml:space="preserve"> </w:t>
      </w:r>
      <w:r>
        <w:rPr>
          <w:color w:val="231F20"/>
          <w:spacing w:val="-2"/>
        </w:rPr>
        <w:t>AASB</w:t>
      </w:r>
      <w:r>
        <w:rPr>
          <w:color w:val="231F20"/>
          <w:spacing w:val="-7"/>
        </w:rPr>
        <w:t xml:space="preserve"> </w:t>
      </w:r>
      <w:r>
        <w:rPr>
          <w:color w:val="231F20"/>
          <w:spacing w:val="-2"/>
        </w:rPr>
        <w:t>10</w:t>
      </w:r>
      <w:r>
        <w:rPr>
          <w:color w:val="231F20"/>
          <w:spacing w:val="-8"/>
        </w:rPr>
        <w:t xml:space="preserve"> </w:t>
      </w:r>
      <w:r>
        <w:rPr>
          <w:i/>
          <w:color w:val="231F20"/>
          <w:spacing w:val="-2"/>
        </w:rPr>
        <w:t>Consolidated</w:t>
      </w:r>
      <w:r>
        <w:rPr>
          <w:i/>
          <w:color w:val="231F20"/>
          <w:spacing w:val="-15"/>
        </w:rPr>
        <w:t xml:space="preserve"> </w:t>
      </w:r>
      <w:r>
        <w:rPr>
          <w:i/>
          <w:color w:val="231F20"/>
          <w:spacing w:val="-2"/>
        </w:rPr>
        <w:t>Financial</w:t>
      </w:r>
      <w:r>
        <w:rPr>
          <w:i/>
          <w:color w:val="231F20"/>
          <w:spacing w:val="-15"/>
        </w:rPr>
        <w:t xml:space="preserve"> </w:t>
      </w:r>
      <w:r>
        <w:rPr>
          <w:i/>
          <w:color w:val="231F20"/>
          <w:spacing w:val="-2"/>
        </w:rPr>
        <w:t>Statements</w:t>
      </w:r>
      <w:r>
        <w:rPr>
          <w:color w:val="231F20"/>
          <w:spacing w:val="-2"/>
        </w:rPr>
        <w:t>,</w:t>
      </w:r>
      <w:r>
        <w:rPr>
          <w:color w:val="231F20"/>
          <w:spacing w:val="-7"/>
        </w:rPr>
        <w:t xml:space="preserve"> </w:t>
      </w:r>
      <w:r>
        <w:rPr>
          <w:color w:val="231F20"/>
          <w:spacing w:val="-2"/>
        </w:rPr>
        <w:t>the</w:t>
      </w:r>
      <w:r>
        <w:rPr>
          <w:color w:val="231F20"/>
          <w:spacing w:val="-8"/>
        </w:rPr>
        <w:t xml:space="preserve"> </w:t>
      </w:r>
      <w:r>
        <w:rPr>
          <w:color w:val="231F20"/>
          <w:spacing w:val="-2"/>
        </w:rPr>
        <w:t>financial</w:t>
      </w:r>
      <w:r>
        <w:rPr>
          <w:color w:val="231F20"/>
          <w:spacing w:val="-8"/>
        </w:rPr>
        <w:t xml:space="preserve"> </w:t>
      </w:r>
      <w:r>
        <w:rPr>
          <w:color w:val="231F20"/>
          <w:spacing w:val="-2"/>
        </w:rPr>
        <w:t>statements</w:t>
      </w:r>
      <w:r>
        <w:rPr>
          <w:color w:val="231F20"/>
          <w:spacing w:val="-7"/>
        </w:rPr>
        <w:t xml:space="preserve"> </w:t>
      </w:r>
      <w:r>
        <w:rPr>
          <w:color w:val="231F20"/>
          <w:spacing w:val="-2"/>
        </w:rPr>
        <w:t xml:space="preserve">exclude </w:t>
      </w:r>
      <w:r>
        <w:rPr>
          <w:color w:val="231F20"/>
        </w:rPr>
        <w:t>bodies within Victoria Police’s portfolio that are not controlled by Victoria Police, and therefore are not consolidated. Bodies such as the Australia New Zealand Policing Advisory Agency (ANZPAA) and activities that are administered are also not controlled and not consolidated.</w:t>
      </w:r>
    </w:p>
    <w:p w14:paraId="6DBBE831" w14:textId="77777777" w:rsidR="00345EE3" w:rsidRDefault="00345EE3" w:rsidP="00345EE3">
      <w:pPr>
        <w:pStyle w:val="BodyText"/>
        <w:spacing w:before="5"/>
      </w:pPr>
      <w:r>
        <w:rPr>
          <w:color w:val="231F20"/>
        </w:rPr>
        <w:t>Details</w:t>
      </w:r>
      <w:r>
        <w:rPr>
          <w:color w:val="231F20"/>
          <w:spacing w:val="-14"/>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are</w:t>
      </w:r>
      <w:r>
        <w:rPr>
          <w:color w:val="231F20"/>
          <w:spacing w:val="-13"/>
        </w:rPr>
        <w:t xml:space="preserve"> </w:t>
      </w:r>
      <w:r>
        <w:rPr>
          <w:color w:val="231F20"/>
        </w:rPr>
        <w:t>disclosed</w:t>
      </w:r>
      <w:r>
        <w:rPr>
          <w:color w:val="231F20"/>
          <w:spacing w:val="-12"/>
        </w:rPr>
        <w:t xml:space="preserve"> </w:t>
      </w:r>
      <w:r>
        <w:rPr>
          <w:color w:val="231F20"/>
        </w:rPr>
        <w:t>in</w:t>
      </w:r>
      <w:r>
        <w:rPr>
          <w:color w:val="231F20"/>
          <w:spacing w:val="-12"/>
        </w:rPr>
        <w:t xml:space="preserve"> </w:t>
      </w:r>
      <w:r>
        <w:rPr>
          <w:color w:val="231F20"/>
        </w:rPr>
        <w:t>Note</w:t>
      </w:r>
      <w:r>
        <w:rPr>
          <w:color w:val="231F20"/>
          <w:spacing w:val="-12"/>
        </w:rPr>
        <w:t xml:space="preserve"> </w:t>
      </w:r>
      <w:r>
        <w:rPr>
          <w:color w:val="231F20"/>
        </w:rPr>
        <w:t>4.1</w:t>
      </w:r>
      <w:r>
        <w:rPr>
          <w:color w:val="231F20"/>
          <w:spacing w:val="-12"/>
        </w:rPr>
        <w:t xml:space="preserve"> </w:t>
      </w:r>
      <w:r>
        <w:rPr>
          <w:color w:val="231F20"/>
        </w:rPr>
        <w:t>Administered</w:t>
      </w:r>
      <w:r>
        <w:rPr>
          <w:color w:val="231F20"/>
          <w:spacing w:val="-12"/>
        </w:rPr>
        <w:t xml:space="preserve"> </w:t>
      </w:r>
      <w:r>
        <w:rPr>
          <w:color w:val="231F20"/>
          <w:spacing w:val="-2"/>
        </w:rPr>
        <w:t>Items.</w:t>
      </w:r>
    </w:p>
    <w:p w14:paraId="5CC79CDB" w14:textId="77777777" w:rsidR="00345EE3" w:rsidRDefault="00345EE3" w:rsidP="002A27BA">
      <w:pPr>
        <w:pStyle w:val="Heading3"/>
      </w:pPr>
      <w:r>
        <w:t>Accounting</w:t>
      </w:r>
      <w:r>
        <w:rPr>
          <w:spacing w:val="-6"/>
        </w:rPr>
        <w:t xml:space="preserve"> </w:t>
      </w:r>
      <w:r>
        <w:t>for</w:t>
      </w:r>
      <w:r>
        <w:rPr>
          <w:spacing w:val="-4"/>
        </w:rPr>
        <w:t xml:space="preserve"> </w:t>
      </w:r>
      <w:r>
        <w:t>the</w:t>
      </w:r>
      <w:r>
        <w:rPr>
          <w:spacing w:val="-4"/>
        </w:rPr>
        <w:t xml:space="preserve"> </w:t>
      </w:r>
      <w:r>
        <w:t>Goods</w:t>
      </w:r>
      <w:r>
        <w:rPr>
          <w:spacing w:val="-4"/>
        </w:rPr>
        <w:t xml:space="preserve"> </w:t>
      </w:r>
      <w:r>
        <w:t>and</w:t>
      </w:r>
      <w:r>
        <w:rPr>
          <w:spacing w:val="-3"/>
        </w:rPr>
        <w:t xml:space="preserve"> </w:t>
      </w:r>
      <w:r>
        <w:t>Services</w:t>
      </w:r>
      <w:r>
        <w:rPr>
          <w:spacing w:val="-4"/>
        </w:rPr>
        <w:t xml:space="preserve"> </w:t>
      </w:r>
      <w:r>
        <w:t>Tax</w:t>
      </w:r>
      <w:r>
        <w:rPr>
          <w:spacing w:val="-4"/>
        </w:rPr>
        <w:t xml:space="preserve"> </w:t>
      </w:r>
      <w:r>
        <w:rPr>
          <w:spacing w:val="-2"/>
        </w:rPr>
        <w:t>(GST)</w:t>
      </w:r>
    </w:p>
    <w:p w14:paraId="70D95D8A" w14:textId="77777777" w:rsidR="00345EE3" w:rsidRDefault="00345EE3" w:rsidP="00345EE3">
      <w:pPr>
        <w:pStyle w:val="BodyText"/>
        <w:spacing w:before="52" w:line="242" w:lineRule="auto"/>
        <w:ind w:right="549"/>
      </w:pPr>
      <w:r>
        <w:rPr>
          <w:color w:val="231F20"/>
        </w:rPr>
        <w:t>Income, expenses and assets are recognised net of the amount of associated GST, except where</w:t>
      </w:r>
      <w:r>
        <w:rPr>
          <w:color w:val="231F20"/>
          <w:spacing w:val="-1"/>
        </w:rPr>
        <w:t xml:space="preserve"> </w:t>
      </w:r>
      <w:r>
        <w:rPr>
          <w:color w:val="231F20"/>
        </w:rPr>
        <w:t>GST incurred</w:t>
      </w:r>
      <w:r>
        <w:rPr>
          <w:color w:val="231F20"/>
          <w:spacing w:val="-1"/>
        </w:rPr>
        <w:t xml:space="preserve"> </w:t>
      </w:r>
      <w:r>
        <w:rPr>
          <w:color w:val="231F20"/>
        </w:rPr>
        <w:t>is not recoverable</w:t>
      </w:r>
      <w:r>
        <w:rPr>
          <w:color w:val="231F20"/>
          <w:spacing w:val="-1"/>
        </w:rPr>
        <w:t xml:space="preserve"> </w:t>
      </w:r>
      <w:r>
        <w:rPr>
          <w:color w:val="231F20"/>
        </w:rPr>
        <w:t>from the</w:t>
      </w:r>
      <w:r>
        <w:rPr>
          <w:color w:val="231F20"/>
          <w:spacing w:val="-1"/>
        </w:rPr>
        <w:t xml:space="preserve"> </w:t>
      </w:r>
      <w:r>
        <w:rPr>
          <w:color w:val="231F20"/>
        </w:rPr>
        <w:t>Australian</w:t>
      </w:r>
      <w:r>
        <w:rPr>
          <w:color w:val="231F20"/>
          <w:spacing w:val="-1"/>
        </w:rPr>
        <w:t xml:space="preserve"> </w:t>
      </w:r>
      <w:r>
        <w:rPr>
          <w:color w:val="231F20"/>
        </w:rPr>
        <w:t>Tax Office</w:t>
      </w:r>
      <w:r>
        <w:rPr>
          <w:color w:val="231F20"/>
          <w:spacing w:val="-1"/>
        </w:rPr>
        <w:t xml:space="preserve"> </w:t>
      </w:r>
      <w:r>
        <w:rPr>
          <w:color w:val="231F20"/>
        </w:rPr>
        <w:t>(ATO). In</w:t>
      </w:r>
      <w:r>
        <w:rPr>
          <w:color w:val="231F20"/>
          <w:spacing w:val="-1"/>
        </w:rPr>
        <w:t xml:space="preserve"> </w:t>
      </w:r>
      <w:r>
        <w:rPr>
          <w:color w:val="231F20"/>
        </w:rPr>
        <w:t>this case, the</w:t>
      </w:r>
      <w:r>
        <w:rPr>
          <w:color w:val="231F20"/>
          <w:spacing w:val="-6"/>
        </w:rPr>
        <w:t xml:space="preserve"> </w:t>
      </w:r>
      <w:r>
        <w:rPr>
          <w:color w:val="231F20"/>
        </w:rPr>
        <w:t>GST</w:t>
      </w:r>
      <w:r>
        <w:rPr>
          <w:color w:val="231F20"/>
          <w:spacing w:val="-5"/>
        </w:rPr>
        <w:t xml:space="preserve"> </w:t>
      </w:r>
      <w:r>
        <w:rPr>
          <w:color w:val="231F20"/>
        </w:rPr>
        <w:t>payable</w:t>
      </w:r>
      <w:r>
        <w:rPr>
          <w:color w:val="231F20"/>
          <w:spacing w:val="-6"/>
        </w:rPr>
        <w:t xml:space="preserve"> </w:t>
      </w:r>
      <w:r>
        <w:rPr>
          <w:color w:val="231F20"/>
        </w:rPr>
        <w:t>is</w:t>
      </w:r>
      <w:r>
        <w:rPr>
          <w:color w:val="231F20"/>
          <w:spacing w:val="-5"/>
        </w:rPr>
        <w:t xml:space="preserve"> </w:t>
      </w:r>
      <w:r>
        <w:rPr>
          <w:color w:val="231F20"/>
        </w:rPr>
        <w:t>recognised</w:t>
      </w:r>
      <w:r>
        <w:rPr>
          <w:color w:val="231F20"/>
          <w:spacing w:val="-6"/>
        </w:rPr>
        <w:t xml:space="preserve"> </w:t>
      </w:r>
      <w:r>
        <w:rPr>
          <w:color w:val="231F20"/>
        </w:rPr>
        <w:t>as</w:t>
      </w:r>
      <w:r>
        <w:rPr>
          <w:color w:val="231F20"/>
          <w:spacing w:val="-5"/>
        </w:rPr>
        <w:t xml:space="preserve"> </w:t>
      </w:r>
      <w:r>
        <w:rPr>
          <w:color w:val="231F20"/>
        </w:rPr>
        <w:t>part</w:t>
      </w:r>
      <w:r>
        <w:rPr>
          <w:color w:val="231F20"/>
          <w:spacing w:val="-5"/>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cost</w:t>
      </w:r>
      <w:r>
        <w:rPr>
          <w:color w:val="231F20"/>
          <w:spacing w:val="-5"/>
        </w:rPr>
        <w:t xml:space="preserve"> </w:t>
      </w:r>
      <w:r>
        <w:rPr>
          <w:color w:val="231F20"/>
        </w:rPr>
        <w:t>of</w:t>
      </w:r>
      <w:r>
        <w:rPr>
          <w:color w:val="231F20"/>
          <w:spacing w:val="-5"/>
        </w:rPr>
        <w:t xml:space="preserve"> </w:t>
      </w:r>
      <w:r>
        <w:rPr>
          <w:color w:val="231F20"/>
        </w:rPr>
        <w:t>acquisition</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asset</w:t>
      </w:r>
      <w:r>
        <w:rPr>
          <w:color w:val="231F20"/>
          <w:spacing w:val="-5"/>
        </w:rPr>
        <w:t xml:space="preserve"> </w:t>
      </w:r>
      <w:r>
        <w:rPr>
          <w:color w:val="231F20"/>
        </w:rPr>
        <w:t>or</w:t>
      </w:r>
      <w:r>
        <w:rPr>
          <w:color w:val="231F20"/>
          <w:spacing w:val="-5"/>
        </w:rPr>
        <w:t xml:space="preserve"> </w:t>
      </w:r>
      <w:r>
        <w:rPr>
          <w:color w:val="231F20"/>
        </w:rPr>
        <w:t>as</w:t>
      </w:r>
      <w:r>
        <w:rPr>
          <w:color w:val="231F20"/>
          <w:spacing w:val="-5"/>
        </w:rPr>
        <w:t xml:space="preserve"> </w:t>
      </w:r>
      <w:r>
        <w:rPr>
          <w:color w:val="231F20"/>
        </w:rPr>
        <w:t>part</w:t>
      </w:r>
      <w:r>
        <w:rPr>
          <w:color w:val="231F20"/>
          <w:spacing w:val="-5"/>
        </w:rPr>
        <w:t xml:space="preserve"> </w:t>
      </w:r>
      <w:r>
        <w:rPr>
          <w:color w:val="231F20"/>
        </w:rPr>
        <w:t>of</w:t>
      </w:r>
      <w:r>
        <w:rPr>
          <w:color w:val="231F20"/>
          <w:spacing w:val="-5"/>
        </w:rPr>
        <w:t xml:space="preserve"> </w:t>
      </w:r>
      <w:r>
        <w:rPr>
          <w:color w:val="231F20"/>
        </w:rPr>
        <w:t xml:space="preserve">the </w:t>
      </w:r>
      <w:r>
        <w:rPr>
          <w:color w:val="231F20"/>
          <w:spacing w:val="-2"/>
        </w:rPr>
        <w:t>expense.</w:t>
      </w:r>
    </w:p>
    <w:p w14:paraId="5DE66B1F" w14:textId="77777777" w:rsidR="00345EE3" w:rsidRDefault="00345EE3" w:rsidP="00345EE3">
      <w:pPr>
        <w:pStyle w:val="BodyText"/>
        <w:spacing w:before="119" w:line="242" w:lineRule="auto"/>
      </w:pPr>
      <w:r>
        <w:rPr>
          <w:color w:val="231F20"/>
        </w:rPr>
        <w:t>Receivables</w:t>
      </w:r>
      <w:r>
        <w:rPr>
          <w:color w:val="231F20"/>
          <w:spacing w:val="-2"/>
        </w:rPr>
        <w:t xml:space="preserve"> </w:t>
      </w:r>
      <w:r>
        <w:rPr>
          <w:color w:val="231F20"/>
        </w:rPr>
        <w:t>and</w:t>
      </w:r>
      <w:r>
        <w:rPr>
          <w:color w:val="231F20"/>
          <w:spacing w:val="-3"/>
        </w:rPr>
        <w:t xml:space="preserve"> </w:t>
      </w:r>
      <w:r>
        <w:rPr>
          <w:color w:val="231F20"/>
        </w:rPr>
        <w:t>payables</w:t>
      </w:r>
      <w:r>
        <w:rPr>
          <w:color w:val="231F20"/>
          <w:spacing w:val="-2"/>
        </w:rPr>
        <w:t xml:space="preserve"> </w:t>
      </w:r>
      <w:r>
        <w:rPr>
          <w:color w:val="231F20"/>
        </w:rPr>
        <w:t>are</w:t>
      </w:r>
      <w:r>
        <w:rPr>
          <w:color w:val="231F20"/>
          <w:spacing w:val="-3"/>
        </w:rPr>
        <w:t xml:space="preserve"> </w:t>
      </w:r>
      <w:r>
        <w:rPr>
          <w:color w:val="231F20"/>
        </w:rPr>
        <w:t>stated</w:t>
      </w:r>
      <w:r>
        <w:rPr>
          <w:color w:val="231F20"/>
          <w:spacing w:val="-3"/>
        </w:rPr>
        <w:t xml:space="preserve"> </w:t>
      </w:r>
      <w:r>
        <w:rPr>
          <w:color w:val="231F20"/>
        </w:rPr>
        <w:t>inclusive</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amount</w:t>
      </w:r>
      <w:r>
        <w:rPr>
          <w:color w:val="231F20"/>
          <w:spacing w:val="-2"/>
        </w:rPr>
        <w:t xml:space="preserve"> </w:t>
      </w:r>
      <w:r>
        <w:rPr>
          <w:color w:val="231F20"/>
        </w:rPr>
        <w:t>of</w:t>
      </w:r>
      <w:r>
        <w:rPr>
          <w:color w:val="231F20"/>
          <w:spacing w:val="-2"/>
        </w:rPr>
        <w:t xml:space="preserve"> </w:t>
      </w:r>
      <w:r>
        <w:rPr>
          <w:color w:val="231F20"/>
        </w:rPr>
        <w:t>GST</w:t>
      </w:r>
      <w:r>
        <w:rPr>
          <w:color w:val="231F20"/>
          <w:spacing w:val="-2"/>
        </w:rPr>
        <w:t xml:space="preserve"> </w:t>
      </w:r>
      <w:r>
        <w:rPr>
          <w:color w:val="231F20"/>
        </w:rPr>
        <w:t>receivable</w:t>
      </w:r>
      <w:r>
        <w:rPr>
          <w:color w:val="231F20"/>
          <w:spacing w:val="-3"/>
        </w:rPr>
        <w:t xml:space="preserve"> </w:t>
      </w:r>
      <w:r>
        <w:rPr>
          <w:color w:val="231F20"/>
        </w:rPr>
        <w:t>or</w:t>
      </w:r>
      <w:r>
        <w:rPr>
          <w:color w:val="231F20"/>
          <w:spacing w:val="-2"/>
        </w:rPr>
        <w:t xml:space="preserve"> </w:t>
      </w:r>
      <w:r>
        <w:rPr>
          <w:color w:val="231F20"/>
        </w:rPr>
        <w:t>payable.</w:t>
      </w:r>
      <w:r>
        <w:rPr>
          <w:color w:val="231F20"/>
          <w:spacing w:val="-2"/>
        </w:rPr>
        <w:t xml:space="preserve"> </w:t>
      </w:r>
      <w:r>
        <w:rPr>
          <w:color w:val="231F20"/>
        </w:rPr>
        <w:t>The net</w:t>
      </w:r>
      <w:r>
        <w:rPr>
          <w:color w:val="231F20"/>
          <w:spacing w:val="-10"/>
        </w:rPr>
        <w:t xml:space="preserve"> </w:t>
      </w:r>
      <w:r>
        <w:rPr>
          <w:color w:val="231F20"/>
        </w:rPr>
        <w:t>amount</w:t>
      </w:r>
      <w:r>
        <w:rPr>
          <w:color w:val="231F20"/>
          <w:spacing w:val="-10"/>
        </w:rPr>
        <w:t xml:space="preserve"> </w:t>
      </w:r>
      <w:r>
        <w:rPr>
          <w:color w:val="231F20"/>
        </w:rPr>
        <w:t>of</w:t>
      </w:r>
      <w:r>
        <w:rPr>
          <w:color w:val="231F20"/>
          <w:spacing w:val="-10"/>
        </w:rPr>
        <w:t xml:space="preserve"> </w:t>
      </w:r>
      <w:r>
        <w:rPr>
          <w:color w:val="231F20"/>
        </w:rPr>
        <w:t>GST</w:t>
      </w:r>
      <w:r>
        <w:rPr>
          <w:color w:val="231F20"/>
          <w:spacing w:val="-10"/>
        </w:rPr>
        <w:t xml:space="preserve"> </w:t>
      </w:r>
      <w:r>
        <w:rPr>
          <w:color w:val="231F20"/>
        </w:rPr>
        <w:t>recoverable</w:t>
      </w:r>
      <w:r>
        <w:rPr>
          <w:color w:val="231F20"/>
          <w:spacing w:val="-11"/>
        </w:rPr>
        <w:t xml:space="preserve"> </w:t>
      </w:r>
      <w:r>
        <w:rPr>
          <w:color w:val="231F20"/>
        </w:rPr>
        <w:t>from,</w:t>
      </w:r>
      <w:r>
        <w:rPr>
          <w:color w:val="231F20"/>
          <w:spacing w:val="-10"/>
        </w:rPr>
        <w:t xml:space="preserve"> </w:t>
      </w:r>
      <w:r>
        <w:rPr>
          <w:color w:val="231F20"/>
        </w:rPr>
        <w:t>or</w:t>
      </w:r>
      <w:r>
        <w:rPr>
          <w:color w:val="231F20"/>
          <w:spacing w:val="-10"/>
        </w:rPr>
        <w:t xml:space="preserve"> </w:t>
      </w:r>
      <w:r>
        <w:rPr>
          <w:color w:val="231F20"/>
        </w:rPr>
        <w:t>payable</w:t>
      </w:r>
      <w:r>
        <w:rPr>
          <w:color w:val="231F20"/>
          <w:spacing w:val="-11"/>
        </w:rPr>
        <w:t xml:space="preserve"> </w:t>
      </w:r>
      <w:r>
        <w:rPr>
          <w:color w:val="231F20"/>
        </w:rPr>
        <w:t>to,</w:t>
      </w:r>
      <w:r>
        <w:rPr>
          <w:color w:val="231F20"/>
          <w:spacing w:val="-10"/>
        </w:rPr>
        <w:t xml:space="preserve"> </w:t>
      </w:r>
      <w:r>
        <w:rPr>
          <w:color w:val="231F20"/>
        </w:rPr>
        <w:t>the</w:t>
      </w:r>
      <w:r>
        <w:rPr>
          <w:color w:val="231F20"/>
          <w:spacing w:val="-11"/>
        </w:rPr>
        <w:t xml:space="preserve"> </w:t>
      </w:r>
      <w:r>
        <w:rPr>
          <w:color w:val="231F20"/>
        </w:rPr>
        <w:t>ATO</w:t>
      </w:r>
      <w:r>
        <w:rPr>
          <w:color w:val="231F20"/>
          <w:spacing w:val="-10"/>
        </w:rPr>
        <w:t xml:space="preserve"> </w:t>
      </w:r>
      <w:r>
        <w:rPr>
          <w:color w:val="231F20"/>
        </w:rPr>
        <w:t>is</w:t>
      </w:r>
      <w:r>
        <w:rPr>
          <w:color w:val="231F20"/>
          <w:spacing w:val="-10"/>
        </w:rPr>
        <w:t xml:space="preserve"> </w:t>
      </w:r>
      <w:r>
        <w:rPr>
          <w:color w:val="231F20"/>
        </w:rPr>
        <w:t>included</w:t>
      </w:r>
      <w:r>
        <w:rPr>
          <w:color w:val="231F20"/>
          <w:spacing w:val="-11"/>
        </w:rPr>
        <w:t xml:space="preserve"> </w:t>
      </w:r>
      <w:r>
        <w:rPr>
          <w:color w:val="231F20"/>
        </w:rPr>
        <w:t>with</w:t>
      </w:r>
      <w:r>
        <w:rPr>
          <w:color w:val="231F20"/>
          <w:spacing w:val="-11"/>
        </w:rPr>
        <w:t xml:space="preserve"> </w:t>
      </w:r>
      <w:r>
        <w:rPr>
          <w:color w:val="231F20"/>
        </w:rPr>
        <w:t>other</w:t>
      </w:r>
      <w:r>
        <w:rPr>
          <w:color w:val="231F20"/>
          <w:spacing w:val="-10"/>
        </w:rPr>
        <w:t xml:space="preserve"> </w:t>
      </w:r>
      <w:r>
        <w:rPr>
          <w:color w:val="231F20"/>
        </w:rPr>
        <w:t>receivables</w:t>
      </w:r>
      <w:r>
        <w:rPr>
          <w:color w:val="231F20"/>
          <w:spacing w:val="-10"/>
        </w:rPr>
        <w:t xml:space="preserve"> </w:t>
      </w:r>
      <w:r>
        <w:rPr>
          <w:color w:val="231F20"/>
        </w:rPr>
        <w:t>or payables in the Balance Sheet.</w:t>
      </w:r>
    </w:p>
    <w:p w14:paraId="6BA864FE" w14:textId="77777777" w:rsidR="00345EE3" w:rsidRDefault="00345EE3" w:rsidP="00345EE3">
      <w:pPr>
        <w:pStyle w:val="BodyText"/>
        <w:spacing w:before="117" w:line="242" w:lineRule="auto"/>
        <w:ind w:right="115"/>
      </w:pPr>
      <w:r>
        <w:rPr>
          <w:color w:val="231F20"/>
        </w:rPr>
        <w:t>Cash flows are presented on a gross basis. The GST components of cash flows arising from investing</w:t>
      </w:r>
      <w:r>
        <w:rPr>
          <w:color w:val="231F20"/>
          <w:spacing w:val="-12"/>
        </w:rPr>
        <w:t xml:space="preserve"> </w:t>
      </w:r>
      <w:r>
        <w:rPr>
          <w:color w:val="231F20"/>
        </w:rPr>
        <w:t>or</w:t>
      </w:r>
      <w:r>
        <w:rPr>
          <w:color w:val="231F20"/>
          <w:spacing w:val="-11"/>
        </w:rPr>
        <w:t xml:space="preserve"> </w:t>
      </w:r>
      <w:r>
        <w:rPr>
          <w:color w:val="231F20"/>
        </w:rPr>
        <w:t>financing</w:t>
      </w:r>
      <w:r>
        <w:rPr>
          <w:color w:val="231F20"/>
          <w:spacing w:val="-12"/>
        </w:rPr>
        <w:t xml:space="preserve"> </w:t>
      </w:r>
      <w:r>
        <w:rPr>
          <w:color w:val="231F20"/>
        </w:rPr>
        <w:t>activities</w:t>
      </w:r>
      <w:r>
        <w:rPr>
          <w:color w:val="231F20"/>
          <w:spacing w:val="-11"/>
        </w:rPr>
        <w:t xml:space="preserve"> </w:t>
      </w:r>
      <w:r>
        <w:rPr>
          <w:color w:val="231F20"/>
        </w:rPr>
        <w:t>which</w:t>
      </w:r>
      <w:r>
        <w:rPr>
          <w:color w:val="231F20"/>
          <w:spacing w:val="-12"/>
        </w:rPr>
        <w:t xml:space="preserve"> </w:t>
      </w:r>
      <w:r>
        <w:rPr>
          <w:color w:val="231F20"/>
        </w:rPr>
        <w:t>are</w:t>
      </w:r>
      <w:r>
        <w:rPr>
          <w:color w:val="231F20"/>
          <w:spacing w:val="-12"/>
        </w:rPr>
        <w:t xml:space="preserve"> </w:t>
      </w:r>
      <w:r>
        <w:rPr>
          <w:color w:val="231F20"/>
        </w:rPr>
        <w:t>recoverable</w:t>
      </w:r>
      <w:r>
        <w:rPr>
          <w:color w:val="231F20"/>
          <w:spacing w:val="-12"/>
        </w:rPr>
        <w:t xml:space="preserve"> </w:t>
      </w:r>
      <w:r>
        <w:rPr>
          <w:color w:val="231F20"/>
        </w:rPr>
        <w:t>from,</w:t>
      </w:r>
      <w:r>
        <w:rPr>
          <w:color w:val="231F20"/>
          <w:spacing w:val="-11"/>
        </w:rPr>
        <w:t xml:space="preserve"> </w:t>
      </w:r>
      <w:r>
        <w:rPr>
          <w:color w:val="231F20"/>
        </w:rPr>
        <w:t>or</w:t>
      </w:r>
      <w:r>
        <w:rPr>
          <w:color w:val="231F20"/>
          <w:spacing w:val="-11"/>
        </w:rPr>
        <w:t xml:space="preserve"> </w:t>
      </w:r>
      <w:r>
        <w:rPr>
          <w:color w:val="231F20"/>
        </w:rPr>
        <w:t>payable</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ATO</w:t>
      </w:r>
      <w:r>
        <w:rPr>
          <w:color w:val="231F20"/>
          <w:spacing w:val="-11"/>
        </w:rPr>
        <w:t xml:space="preserve"> </w:t>
      </w:r>
      <w:r>
        <w:rPr>
          <w:color w:val="231F20"/>
        </w:rPr>
        <w:t>are</w:t>
      </w:r>
      <w:r>
        <w:rPr>
          <w:color w:val="231F20"/>
          <w:spacing w:val="-12"/>
        </w:rPr>
        <w:t xml:space="preserve"> </w:t>
      </w:r>
      <w:r>
        <w:rPr>
          <w:color w:val="231F20"/>
        </w:rPr>
        <w:t>presented as cash flow from operating activities.</w:t>
      </w:r>
    </w:p>
    <w:p w14:paraId="36375138" w14:textId="77777777" w:rsidR="00345EE3" w:rsidRDefault="00345EE3" w:rsidP="00345EE3">
      <w:pPr>
        <w:pStyle w:val="BodyText"/>
        <w:spacing w:before="117"/>
        <w:rPr>
          <w:color w:val="231F20"/>
          <w:spacing w:val="-4"/>
        </w:rPr>
      </w:pPr>
      <w:r>
        <w:rPr>
          <w:color w:val="231F20"/>
        </w:rPr>
        <w:t>Commitments</w:t>
      </w:r>
      <w:r>
        <w:rPr>
          <w:color w:val="231F20"/>
          <w:spacing w:val="-11"/>
        </w:rPr>
        <w:t xml:space="preserve"> </w:t>
      </w:r>
      <w:r>
        <w:rPr>
          <w:color w:val="231F20"/>
        </w:rPr>
        <w:t>and</w:t>
      </w:r>
      <w:r>
        <w:rPr>
          <w:color w:val="231F20"/>
          <w:spacing w:val="-11"/>
        </w:rPr>
        <w:t xml:space="preserve"> </w:t>
      </w:r>
      <w:r>
        <w:rPr>
          <w:color w:val="231F20"/>
        </w:rPr>
        <w:t>contingent</w:t>
      </w:r>
      <w:r>
        <w:rPr>
          <w:color w:val="231F20"/>
          <w:spacing w:val="-11"/>
        </w:rPr>
        <w:t xml:space="preserve"> </w:t>
      </w:r>
      <w:r>
        <w:rPr>
          <w:color w:val="231F20"/>
        </w:rPr>
        <w:t>liabilities</w:t>
      </w:r>
      <w:r>
        <w:rPr>
          <w:color w:val="231F20"/>
          <w:spacing w:val="-10"/>
        </w:rPr>
        <w:t xml:space="preserve"> </w:t>
      </w:r>
      <w:r>
        <w:rPr>
          <w:color w:val="231F20"/>
        </w:rPr>
        <w:t>are</w:t>
      </w:r>
      <w:r>
        <w:rPr>
          <w:color w:val="231F20"/>
          <w:spacing w:val="-11"/>
        </w:rPr>
        <w:t xml:space="preserve"> </w:t>
      </w:r>
      <w:r>
        <w:rPr>
          <w:color w:val="231F20"/>
        </w:rPr>
        <w:t>also</w:t>
      </w:r>
      <w:r>
        <w:rPr>
          <w:color w:val="231F20"/>
          <w:spacing w:val="-12"/>
        </w:rPr>
        <w:t xml:space="preserve"> </w:t>
      </w:r>
      <w:r>
        <w:rPr>
          <w:color w:val="231F20"/>
        </w:rPr>
        <w:t>stated</w:t>
      </w:r>
      <w:r>
        <w:rPr>
          <w:color w:val="231F20"/>
          <w:spacing w:val="-11"/>
        </w:rPr>
        <w:t xml:space="preserve"> </w:t>
      </w:r>
      <w:r>
        <w:rPr>
          <w:color w:val="231F20"/>
        </w:rPr>
        <w:t>inclusive</w:t>
      </w:r>
      <w:r>
        <w:rPr>
          <w:color w:val="231F20"/>
          <w:spacing w:val="-11"/>
        </w:rPr>
        <w:t xml:space="preserve"> </w:t>
      </w:r>
      <w:r>
        <w:rPr>
          <w:color w:val="231F20"/>
        </w:rPr>
        <w:t>of</w:t>
      </w:r>
      <w:r>
        <w:rPr>
          <w:color w:val="231F20"/>
          <w:spacing w:val="-10"/>
        </w:rPr>
        <w:t xml:space="preserve"> </w:t>
      </w:r>
      <w:r>
        <w:rPr>
          <w:color w:val="231F20"/>
          <w:spacing w:val="-4"/>
        </w:rPr>
        <w:t>GST.</w:t>
      </w:r>
    </w:p>
    <w:p w14:paraId="0333AF62" w14:textId="77777777" w:rsidR="00345EE3" w:rsidRDefault="00345EE3" w:rsidP="00345EE3">
      <w:pPr>
        <w:rPr>
          <w:color w:val="231F20"/>
          <w:spacing w:val="-4"/>
          <w:sz w:val="24"/>
          <w:szCs w:val="24"/>
        </w:rPr>
      </w:pPr>
      <w:r>
        <w:rPr>
          <w:color w:val="231F20"/>
          <w:spacing w:val="-4"/>
        </w:rPr>
        <w:br w:type="page"/>
      </w:r>
    </w:p>
    <w:p w14:paraId="70DBF480" w14:textId="77777777" w:rsidR="00345EE3" w:rsidRPr="00D6225D" w:rsidRDefault="00345EE3">
      <w:pPr>
        <w:pStyle w:val="Heading2"/>
        <w:numPr>
          <w:ilvl w:val="0"/>
          <w:numId w:val="44"/>
        </w:numPr>
        <w:tabs>
          <w:tab w:val="left" w:pos="465"/>
        </w:tabs>
        <w:spacing w:before="216"/>
        <w:ind w:left="464" w:hanging="355"/>
        <w:rPr>
          <w:sz w:val="32"/>
          <w:szCs w:val="32"/>
        </w:rPr>
      </w:pPr>
      <w:r w:rsidRPr="00D6225D">
        <w:rPr>
          <w:color w:val="00529F"/>
          <w:sz w:val="32"/>
          <w:szCs w:val="32"/>
        </w:rPr>
        <w:t>Funding</w:t>
      </w:r>
      <w:r w:rsidRPr="00D6225D">
        <w:rPr>
          <w:color w:val="00529F"/>
          <w:spacing w:val="-13"/>
          <w:sz w:val="32"/>
          <w:szCs w:val="32"/>
        </w:rPr>
        <w:t xml:space="preserve"> </w:t>
      </w:r>
      <w:r w:rsidRPr="00D6225D">
        <w:rPr>
          <w:color w:val="00529F"/>
          <w:sz w:val="32"/>
          <w:szCs w:val="32"/>
        </w:rPr>
        <w:t>Delivery</w:t>
      </w:r>
      <w:r w:rsidRPr="00D6225D">
        <w:rPr>
          <w:color w:val="00529F"/>
          <w:spacing w:val="-13"/>
          <w:sz w:val="32"/>
          <w:szCs w:val="32"/>
        </w:rPr>
        <w:t xml:space="preserve"> </w:t>
      </w:r>
      <w:r w:rsidRPr="00D6225D">
        <w:rPr>
          <w:color w:val="00529F"/>
          <w:sz w:val="32"/>
          <w:szCs w:val="32"/>
        </w:rPr>
        <w:t>of</w:t>
      </w:r>
      <w:r w:rsidRPr="00D6225D">
        <w:rPr>
          <w:color w:val="00529F"/>
          <w:spacing w:val="-13"/>
          <w:sz w:val="32"/>
          <w:szCs w:val="32"/>
        </w:rPr>
        <w:t xml:space="preserve"> </w:t>
      </w:r>
      <w:r w:rsidRPr="00D6225D">
        <w:rPr>
          <w:color w:val="00529F"/>
          <w:sz w:val="32"/>
          <w:szCs w:val="32"/>
        </w:rPr>
        <w:t>our</w:t>
      </w:r>
      <w:r w:rsidRPr="00D6225D">
        <w:rPr>
          <w:color w:val="00529F"/>
          <w:spacing w:val="-12"/>
          <w:sz w:val="32"/>
          <w:szCs w:val="32"/>
        </w:rPr>
        <w:t xml:space="preserve"> </w:t>
      </w:r>
      <w:r w:rsidRPr="00D6225D">
        <w:rPr>
          <w:color w:val="00529F"/>
          <w:spacing w:val="-2"/>
          <w:sz w:val="32"/>
          <w:szCs w:val="32"/>
        </w:rPr>
        <w:t>Services</w:t>
      </w:r>
    </w:p>
    <w:p w14:paraId="413FD1A8" w14:textId="77777777" w:rsidR="00345EE3" w:rsidRDefault="00345EE3" w:rsidP="002A27BA">
      <w:pPr>
        <w:pStyle w:val="Heading3"/>
      </w:pPr>
      <w:r>
        <w:t>Introduction</w:t>
      </w:r>
    </w:p>
    <w:p w14:paraId="485AEDE0" w14:textId="77777777" w:rsidR="00345EE3" w:rsidRDefault="00345EE3" w:rsidP="00345EE3">
      <w:pPr>
        <w:pStyle w:val="BodyText"/>
        <w:spacing w:before="62" w:line="242" w:lineRule="auto"/>
      </w:pPr>
      <w:r>
        <w:rPr>
          <w:color w:val="231F20"/>
        </w:rPr>
        <w:t>Victoria Police’s role is to provide effective police and law enforcement services that aim to prevent, detect, investigate</w:t>
      </w:r>
      <w:r>
        <w:rPr>
          <w:color w:val="231F20"/>
          <w:spacing w:val="-1"/>
        </w:rPr>
        <w:t xml:space="preserve"> </w:t>
      </w:r>
      <w:r>
        <w:rPr>
          <w:color w:val="231F20"/>
        </w:rPr>
        <w:t>and</w:t>
      </w:r>
      <w:r>
        <w:rPr>
          <w:color w:val="231F20"/>
          <w:spacing w:val="-1"/>
        </w:rPr>
        <w:t xml:space="preserve"> </w:t>
      </w:r>
      <w:r>
        <w:rPr>
          <w:color w:val="231F20"/>
        </w:rPr>
        <w:t>prosecute</w:t>
      </w:r>
      <w:r>
        <w:rPr>
          <w:color w:val="231F20"/>
          <w:spacing w:val="-1"/>
        </w:rPr>
        <w:t xml:space="preserve"> </w:t>
      </w:r>
      <w:r>
        <w:rPr>
          <w:color w:val="231F20"/>
        </w:rPr>
        <w:t>crime, and</w:t>
      </w:r>
      <w:r>
        <w:rPr>
          <w:color w:val="231F20"/>
          <w:spacing w:val="-1"/>
        </w:rPr>
        <w:t xml:space="preserve"> </w:t>
      </w:r>
      <w:r>
        <w:rPr>
          <w:color w:val="231F20"/>
        </w:rPr>
        <w:t>promote</w:t>
      </w:r>
      <w:r>
        <w:rPr>
          <w:color w:val="231F20"/>
          <w:spacing w:val="-1"/>
        </w:rPr>
        <w:t xml:space="preserve"> </w:t>
      </w:r>
      <w:r>
        <w:rPr>
          <w:color w:val="231F20"/>
        </w:rPr>
        <w:t>safer road</w:t>
      </w:r>
      <w:r>
        <w:rPr>
          <w:color w:val="231F20"/>
          <w:spacing w:val="-1"/>
        </w:rPr>
        <w:t xml:space="preserve"> </w:t>
      </w:r>
      <w:r>
        <w:rPr>
          <w:color w:val="231F20"/>
        </w:rPr>
        <w:t>user behaviour. It focuses</w:t>
      </w:r>
      <w:r>
        <w:rPr>
          <w:color w:val="231F20"/>
          <w:spacing w:val="-10"/>
        </w:rPr>
        <w:t xml:space="preserve"> </w:t>
      </w:r>
      <w:r>
        <w:rPr>
          <w:color w:val="231F20"/>
        </w:rPr>
        <w:t>on</w:t>
      </w:r>
      <w:r>
        <w:rPr>
          <w:color w:val="231F20"/>
          <w:spacing w:val="-11"/>
        </w:rPr>
        <w:t xml:space="preserve"> </w:t>
      </w:r>
      <w:r>
        <w:rPr>
          <w:color w:val="231F20"/>
        </w:rPr>
        <w:t>activities</w:t>
      </w:r>
      <w:r>
        <w:rPr>
          <w:color w:val="231F20"/>
          <w:spacing w:val="-10"/>
        </w:rPr>
        <w:t xml:space="preserve"> </w:t>
      </w:r>
      <w:r>
        <w:rPr>
          <w:color w:val="231F20"/>
        </w:rPr>
        <w:t>which</w:t>
      </w:r>
      <w:r>
        <w:rPr>
          <w:color w:val="231F20"/>
          <w:spacing w:val="-11"/>
        </w:rPr>
        <w:t xml:space="preserve"> </w:t>
      </w:r>
      <w:r>
        <w:rPr>
          <w:color w:val="231F20"/>
        </w:rPr>
        <w:t>enable</w:t>
      </w:r>
      <w:r>
        <w:rPr>
          <w:color w:val="231F20"/>
          <w:spacing w:val="-11"/>
        </w:rPr>
        <w:t xml:space="preserve"> </w:t>
      </w:r>
      <w:r>
        <w:rPr>
          <w:color w:val="231F20"/>
        </w:rPr>
        <w:t>Victorians</w:t>
      </w:r>
      <w:r>
        <w:rPr>
          <w:color w:val="231F20"/>
          <w:spacing w:val="-10"/>
        </w:rPr>
        <w:t xml:space="preserve"> </w:t>
      </w:r>
      <w:r>
        <w:rPr>
          <w:color w:val="231F20"/>
        </w:rPr>
        <w:t>to</w:t>
      </w:r>
      <w:r>
        <w:rPr>
          <w:color w:val="231F20"/>
          <w:spacing w:val="-11"/>
        </w:rPr>
        <w:t xml:space="preserve"> </w:t>
      </w:r>
      <w:r>
        <w:rPr>
          <w:color w:val="231F20"/>
        </w:rPr>
        <w:t>undertake</w:t>
      </w:r>
      <w:r>
        <w:rPr>
          <w:color w:val="231F20"/>
          <w:spacing w:val="-11"/>
        </w:rPr>
        <w:t xml:space="preserve"> </w:t>
      </w:r>
      <w:r>
        <w:rPr>
          <w:color w:val="231F20"/>
        </w:rPr>
        <w:t>their</w:t>
      </w:r>
      <w:r>
        <w:rPr>
          <w:color w:val="231F20"/>
          <w:spacing w:val="-10"/>
        </w:rPr>
        <w:t xml:space="preserve"> </w:t>
      </w:r>
      <w:r>
        <w:rPr>
          <w:color w:val="231F20"/>
        </w:rPr>
        <w:t>lawful</w:t>
      </w:r>
      <w:r>
        <w:rPr>
          <w:color w:val="231F20"/>
          <w:spacing w:val="-11"/>
        </w:rPr>
        <w:t xml:space="preserve"> </w:t>
      </w:r>
      <w:r>
        <w:rPr>
          <w:color w:val="231F20"/>
        </w:rPr>
        <w:t>pursuits</w:t>
      </w:r>
      <w:r>
        <w:rPr>
          <w:color w:val="231F20"/>
          <w:spacing w:val="-10"/>
        </w:rPr>
        <w:t xml:space="preserve"> </w:t>
      </w:r>
      <w:r>
        <w:rPr>
          <w:color w:val="231F20"/>
        </w:rPr>
        <w:t>confidently,</w:t>
      </w:r>
      <w:r>
        <w:rPr>
          <w:color w:val="231F20"/>
          <w:spacing w:val="-10"/>
        </w:rPr>
        <w:t xml:space="preserve"> </w:t>
      </w:r>
      <w:r>
        <w:rPr>
          <w:color w:val="231F20"/>
        </w:rPr>
        <w:t>safely and without fear of crime.</w:t>
      </w:r>
    </w:p>
    <w:p w14:paraId="63648E07" w14:textId="77777777" w:rsidR="00345EE3" w:rsidRDefault="00345EE3" w:rsidP="00345EE3">
      <w:pPr>
        <w:pStyle w:val="BodyText"/>
        <w:spacing w:before="119" w:line="242" w:lineRule="auto"/>
      </w:pPr>
      <w:r>
        <w:rPr>
          <w:color w:val="231F20"/>
        </w:rPr>
        <w:t>This</w:t>
      </w:r>
      <w:r>
        <w:rPr>
          <w:color w:val="231F20"/>
          <w:spacing w:val="-8"/>
        </w:rPr>
        <w:t xml:space="preserve"> </w:t>
      </w:r>
      <w:r>
        <w:rPr>
          <w:color w:val="231F20"/>
        </w:rPr>
        <w:t>section</w:t>
      </w:r>
      <w:r>
        <w:rPr>
          <w:color w:val="231F20"/>
          <w:spacing w:val="-9"/>
        </w:rPr>
        <w:t xml:space="preserve"> </w:t>
      </w:r>
      <w:r>
        <w:rPr>
          <w:color w:val="231F20"/>
        </w:rPr>
        <w:t>presents</w:t>
      </w:r>
      <w:r>
        <w:rPr>
          <w:color w:val="231F20"/>
          <w:spacing w:val="-8"/>
        </w:rPr>
        <w:t xml:space="preserve"> </w:t>
      </w:r>
      <w:r>
        <w:rPr>
          <w:color w:val="231F20"/>
        </w:rPr>
        <w:t>the</w:t>
      </w:r>
      <w:r>
        <w:rPr>
          <w:color w:val="231F20"/>
          <w:spacing w:val="-9"/>
        </w:rPr>
        <w:t xml:space="preserve"> </w:t>
      </w:r>
      <w:r>
        <w:rPr>
          <w:color w:val="231F20"/>
        </w:rPr>
        <w:t>sources</w:t>
      </w:r>
      <w:r>
        <w:rPr>
          <w:color w:val="231F20"/>
          <w:spacing w:val="-8"/>
        </w:rPr>
        <w:t xml:space="preserve"> </w:t>
      </w:r>
      <w:r>
        <w:rPr>
          <w:color w:val="231F20"/>
        </w:rPr>
        <w:t>and</w:t>
      </w:r>
      <w:r>
        <w:rPr>
          <w:color w:val="231F20"/>
          <w:spacing w:val="-9"/>
        </w:rPr>
        <w:t xml:space="preserve"> </w:t>
      </w:r>
      <w:r>
        <w:rPr>
          <w:color w:val="231F20"/>
        </w:rPr>
        <w:t>amounts</w:t>
      </w:r>
      <w:r>
        <w:rPr>
          <w:color w:val="231F20"/>
          <w:spacing w:val="-8"/>
        </w:rPr>
        <w:t xml:space="preserve"> </w:t>
      </w:r>
      <w:r>
        <w:rPr>
          <w:color w:val="231F20"/>
        </w:rPr>
        <w:t>of</w:t>
      </w:r>
      <w:r>
        <w:rPr>
          <w:color w:val="231F20"/>
          <w:spacing w:val="-8"/>
        </w:rPr>
        <w:t xml:space="preserve"> </w:t>
      </w:r>
      <w:r>
        <w:rPr>
          <w:color w:val="231F20"/>
        </w:rPr>
        <w:t>revenue</w:t>
      </w:r>
      <w:r>
        <w:rPr>
          <w:color w:val="231F20"/>
          <w:spacing w:val="-9"/>
        </w:rPr>
        <w:t xml:space="preserve"> </w:t>
      </w:r>
      <w:r>
        <w:rPr>
          <w:color w:val="231F20"/>
        </w:rPr>
        <w:t>raised</w:t>
      </w:r>
      <w:r>
        <w:rPr>
          <w:color w:val="231F20"/>
          <w:spacing w:val="-9"/>
        </w:rPr>
        <w:t xml:space="preserve"> </w:t>
      </w:r>
      <w:r>
        <w:rPr>
          <w:color w:val="231F20"/>
        </w:rPr>
        <w:t>to</w:t>
      </w:r>
      <w:r>
        <w:rPr>
          <w:color w:val="231F20"/>
          <w:spacing w:val="-9"/>
        </w:rPr>
        <w:t xml:space="preserve"> </w:t>
      </w:r>
      <w:r>
        <w:rPr>
          <w:color w:val="231F20"/>
        </w:rPr>
        <w:t>enable</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to deliver its services.</w:t>
      </w:r>
    </w:p>
    <w:p w14:paraId="23A992B6" w14:textId="77777777" w:rsidR="00345EE3" w:rsidRDefault="00345EE3" w:rsidP="00345EE3">
      <w:pPr>
        <w:pStyle w:val="BodyText"/>
        <w:rPr>
          <w:sz w:val="12"/>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34"/>
        <w:gridCol w:w="7937"/>
        <w:gridCol w:w="1134"/>
      </w:tblGrid>
      <w:tr w:rsidR="00345EE3" w14:paraId="1338FCAB" w14:textId="77777777" w:rsidTr="00D73130">
        <w:trPr>
          <w:trHeight w:val="401"/>
        </w:trPr>
        <w:tc>
          <w:tcPr>
            <w:tcW w:w="1134" w:type="dxa"/>
            <w:tcBorders>
              <w:top w:val="nil"/>
              <w:left w:val="nil"/>
              <w:bottom w:val="nil"/>
              <w:right w:val="nil"/>
            </w:tcBorders>
            <w:shd w:val="clear" w:color="auto" w:fill="00529F"/>
          </w:tcPr>
          <w:p w14:paraId="3B6E26BC" w14:textId="77777777" w:rsidR="00345EE3" w:rsidRDefault="00345EE3" w:rsidP="00D73130">
            <w:pPr>
              <w:pStyle w:val="TableParagraph"/>
              <w:spacing w:before="63"/>
              <w:jc w:val="left"/>
              <w:rPr>
                <w:b/>
                <w:sz w:val="24"/>
              </w:rPr>
            </w:pPr>
            <w:r>
              <w:rPr>
                <w:b/>
                <w:color w:val="FFFFFF"/>
                <w:spacing w:val="-2"/>
                <w:sz w:val="24"/>
              </w:rPr>
              <w:t>Structure</w:t>
            </w:r>
          </w:p>
        </w:tc>
        <w:tc>
          <w:tcPr>
            <w:tcW w:w="7937" w:type="dxa"/>
            <w:tcBorders>
              <w:top w:val="nil"/>
              <w:left w:val="nil"/>
              <w:bottom w:val="nil"/>
              <w:right w:val="nil"/>
            </w:tcBorders>
            <w:shd w:val="clear" w:color="auto" w:fill="00529F"/>
          </w:tcPr>
          <w:p w14:paraId="0BD0D33E" w14:textId="77777777" w:rsidR="00345EE3" w:rsidRDefault="00345EE3" w:rsidP="00D73130">
            <w:pPr>
              <w:pStyle w:val="TableParagraph"/>
              <w:spacing w:before="0"/>
              <w:jc w:val="left"/>
              <w:rPr>
                <w:rFonts w:ascii="Times New Roman"/>
                <w:sz w:val="24"/>
              </w:rPr>
            </w:pPr>
          </w:p>
        </w:tc>
        <w:tc>
          <w:tcPr>
            <w:tcW w:w="1134" w:type="dxa"/>
            <w:tcBorders>
              <w:top w:val="nil"/>
              <w:left w:val="nil"/>
              <w:bottom w:val="nil"/>
              <w:right w:val="nil"/>
            </w:tcBorders>
            <w:shd w:val="clear" w:color="auto" w:fill="00529F"/>
          </w:tcPr>
          <w:p w14:paraId="654495F0" w14:textId="77777777" w:rsidR="00345EE3" w:rsidRDefault="00345EE3" w:rsidP="00D73130">
            <w:pPr>
              <w:pStyle w:val="TableParagraph"/>
              <w:spacing w:before="63"/>
              <w:rPr>
                <w:b/>
                <w:sz w:val="24"/>
              </w:rPr>
            </w:pPr>
            <w:r>
              <w:rPr>
                <w:b/>
                <w:color w:val="FFFFFF"/>
                <w:spacing w:val="-2"/>
                <w:sz w:val="24"/>
              </w:rPr>
              <w:t>Pages</w:t>
            </w:r>
          </w:p>
        </w:tc>
      </w:tr>
      <w:tr w:rsidR="00345EE3" w14:paraId="54CA2DCF" w14:textId="77777777" w:rsidTr="00D73130">
        <w:trPr>
          <w:trHeight w:val="398"/>
        </w:trPr>
        <w:tc>
          <w:tcPr>
            <w:tcW w:w="1134" w:type="dxa"/>
            <w:tcBorders>
              <w:top w:val="nil"/>
              <w:left w:val="nil"/>
            </w:tcBorders>
          </w:tcPr>
          <w:p w14:paraId="0C41F5DB" w14:textId="77777777" w:rsidR="00345EE3" w:rsidRDefault="00345EE3" w:rsidP="00D73130">
            <w:pPr>
              <w:pStyle w:val="TableParagraph"/>
              <w:spacing w:before="63"/>
              <w:ind w:left="-3"/>
              <w:jc w:val="left"/>
              <w:rPr>
                <w:sz w:val="24"/>
              </w:rPr>
            </w:pPr>
            <w:r>
              <w:rPr>
                <w:color w:val="231F20"/>
                <w:spacing w:val="-5"/>
                <w:sz w:val="24"/>
              </w:rPr>
              <w:t>2.1</w:t>
            </w:r>
          </w:p>
        </w:tc>
        <w:tc>
          <w:tcPr>
            <w:tcW w:w="7937" w:type="dxa"/>
            <w:tcBorders>
              <w:top w:val="nil"/>
            </w:tcBorders>
          </w:tcPr>
          <w:p w14:paraId="59817BD8" w14:textId="77777777" w:rsidR="00345EE3" w:rsidRDefault="00345EE3" w:rsidP="00D73130">
            <w:pPr>
              <w:pStyle w:val="TableParagraph"/>
              <w:spacing w:before="63"/>
              <w:ind w:left="-1"/>
              <w:jc w:val="left"/>
              <w:rPr>
                <w:sz w:val="24"/>
              </w:rPr>
            </w:pPr>
            <w:r>
              <w:rPr>
                <w:color w:val="231F20"/>
                <w:sz w:val="24"/>
              </w:rPr>
              <w:t>Summary</w:t>
            </w:r>
            <w:r>
              <w:rPr>
                <w:color w:val="231F20"/>
                <w:spacing w:val="-1"/>
                <w:sz w:val="24"/>
              </w:rPr>
              <w:t xml:space="preserve"> </w:t>
            </w:r>
            <w:r>
              <w:rPr>
                <w:color w:val="231F20"/>
                <w:sz w:val="24"/>
              </w:rPr>
              <w:t>of</w:t>
            </w:r>
            <w:r>
              <w:rPr>
                <w:color w:val="231F20"/>
                <w:spacing w:val="-2"/>
                <w:sz w:val="24"/>
              </w:rPr>
              <w:t xml:space="preserve"> </w:t>
            </w:r>
            <w:r>
              <w:rPr>
                <w:color w:val="231F20"/>
                <w:sz w:val="24"/>
              </w:rPr>
              <w:t>Income</w:t>
            </w:r>
            <w:r>
              <w:rPr>
                <w:color w:val="231F20"/>
                <w:spacing w:val="-1"/>
                <w:sz w:val="24"/>
              </w:rPr>
              <w:t xml:space="preserve"> </w:t>
            </w:r>
            <w:r>
              <w:rPr>
                <w:color w:val="231F20"/>
                <w:sz w:val="24"/>
              </w:rPr>
              <w:t>that</w:t>
            </w:r>
            <w:r>
              <w:rPr>
                <w:color w:val="231F20"/>
                <w:spacing w:val="-1"/>
                <w:sz w:val="24"/>
              </w:rPr>
              <w:t xml:space="preserve"> </w:t>
            </w:r>
            <w:r>
              <w:rPr>
                <w:color w:val="231F20"/>
                <w:sz w:val="24"/>
              </w:rPr>
              <w:t>Funds</w:t>
            </w:r>
            <w:r>
              <w:rPr>
                <w:color w:val="231F20"/>
                <w:spacing w:val="-2"/>
                <w:sz w:val="24"/>
              </w:rPr>
              <w:t xml:space="preserve"> </w:t>
            </w:r>
            <w:r>
              <w:rPr>
                <w:color w:val="231F20"/>
                <w:sz w:val="24"/>
              </w:rPr>
              <w:t>the</w:t>
            </w:r>
            <w:r>
              <w:rPr>
                <w:color w:val="231F20"/>
                <w:spacing w:val="-1"/>
                <w:sz w:val="24"/>
              </w:rPr>
              <w:t xml:space="preserve"> </w:t>
            </w:r>
            <w:r>
              <w:rPr>
                <w:color w:val="231F20"/>
                <w:sz w:val="24"/>
              </w:rPr>
              <w:t>Delivery</w:t>
            </w:r>
            <w:r>
              <w:rPr>
                <w:color w:val="231F20"/>
                <w:spacing w:val="-1"/>
                <w:sz w:val="24"/>
              </w:rPr>
              <w:t xml:space="preserve"> </w:t>
            </w:r>
            <w:r>
              <w:rPr>
                <w:color w:val="231F20"/>
                <w:sz w:val="24"/>
              </w:rPr>
              <w:t>of</w:t>
            </w:r>
            <w:r>
              <w:rPr>
                <w:color w:val="231F20"/>
                <w:spacing w:val="-2"/>
                <w:sz w:val="24"/>
              </w:rPr>
              <w:t xml:space="preserve"> </w:t>
            </w:r>
            <w:r>
              <w:rPr>
                <w:color w:val="231F20"/>
                <w:sz w:val="24"/>
              </w:rPr>
              <w:t>Our</w:t>
            </w:r>
            <w:r>
              <w:rPr>
                <w:color w:val="231F20"/>
                <w:spacing w:val="-1"/>
                <w:sz w:val="24"/>
              </w:rPr>
              <w:t xml:space="preserve"> </w:t>
            </w:r>
            <w:r>
              <w:rPr>
                <w:color w:val="231F20"/>
                <w:spacing w:val="-2"/>
                <w:sz w:val="24"/>
              </w:rPr>
              <w:t>Services</w:t>
            </w:r>
          </w:p>
        </w:tc>
        <w:tc>
          <w:tcPr>
            <w:tcW w:w="1134" w:type="dxa"/>
            <w:tcBorders>
              <w:top w:val="nil"/>
              <w:right w:val="nil"/>
            </w:tcBorders>
          </w:tcPr>
          <w:p w14:paraId="5778EA87" w14:textId="1F062D9F" w:rsidR="00345EE3" w:rsidRDefault="007370D0" w:rsidP="00D73130">
            <w:pPr>
              <w:pStyle w:val="TableParagraph"/>
              <w:spacing w:before="63"/>
              <w:rPr>
                <w:sz w:val="24"/>
              </w:rPr>
            </w:pPr>
            <w:r>
              <w:rPr>
                <w:color w:val="231F20"/>
                <w:spacing w:val="-5"/>
                <w:sz w:val="24"/>
              </w:rPr>
              <w:t>117</w:t>
            </w:r>
          </w:p>
        </w:tc>
      </w:tr>
      <w:tr w:rsidR="00345EE3" w14:paraId="120A39FE" w14:textId="77777777" w:rsidTr="00D73130">
        <w:trPr>
          <w:trHeight w:val="396"/>
        </w:trPr>
        <w:tc>
          <w:tcPr>
            <w:tcW w:w="1134" w:type="dxa"/>
            <w:tcBorders>
              <w:left w:val="nil"/>
            </w:tcBorders>
          </w:tcPr>
          <w:p w14:paraId="6B4C4633" w14:textId="77777777" w:rsidR="00345EE3" w:rsidRDefault="00345EE3" w:rsidP="00D73130">
            <w:pPr>
              <w:pStyle w:val="TableParagraph"/>
              <w:ind w:left="-3"/>
              <w:jc w:val="left"/>
              <w:rPr>
                <w:sz w:val="24"/>
              </w:rPr>
            </w:pPr>
            <w:r>
              <w:rPr>
                <w:color w:val="231F20"/>
                <w:spacing w:val="-5"/>
                <w:sz w:val="24"/>
              </w:rPr>
              <w:t>2.2</w:t>
            </w:r>
          </w:p>
        </w:tc>
        <w:tc>
          <w:tcPr>
            <w:tcW w:w="7937" w:type="dxa"/>
          </w:tcPr>
          <w:p w14:paraId="682DF0DC" w14:textId="77777777" w:rsidR="00345EE3" w:rsidRDefault="00345EE3" w:rsidP="00D73130">
            <w:pPr>
              <w:pStyle w:val="TableParagraph"/>
              <w:jc w:val="left"/>
              <w:rPr>
                <w:sz w:val="24"/>
              </w:rPr>
            </w:pPr>
            <w:r>
              <w:rPr>
                <w:color w:val="231F20"/>
                <w:sz w:val="24"/>
              </w:rPr>
              <w:t>Grants</w:t>
            </w:r>
            <w:r>
              <w:rPr>
                <w:color w:val="231F20"/>
                <w:spacing w:val="-5"/>
                <w:sz w:val="24"/>
              </w:rPr>
              <w:t xml:space="preserve"> </w:t>
            </w:r>
            <w:r>
              <w:rPr>
                <w:color w:val="231F20"/>
                <w:sz w:val="24"/>
              </w:rPr>
              <w:t>from</w:t>
            </w:r>
            <w:r>
              <w:rPr>
                <w:color w:val="231F20"/>
                <w:spacing w:val="-4"/>
                <w:sz w:val="24"/>
              </w:rPr>
              <w:t xml:space="preserve"> </w:t>
            </w:r>
            <w:r>
              <w:rPr>
                <w:color w:val="231F20"/>
                <w:sz w:val="24"/>
              </w:rPr>
              <w:t>Victorian</w:t>
            </w:r>
            <w:r>
              <w:rPr>
                <w:color w:val="231F20"/>
                <w:spacing w:val="-4"/>
                <w:sz w:val="24"/>
              </w:rPr>
              <w:t xml:space="preserve"> </w:t>
            </w:r>
            <w:r>
              <w:rPr>
                <w:color w:val="231F20"/>
                <w:spacing w:val="-2"/>
                <w:sz w:val="24"/>
              </w:rPr>
              <w:t>Government</w:t>
            </w:r>
          </w:p>
        </w:tc>
        <w:tc>
          <w:tcPr>
            <w:tcW w:w="1134" w:type="dxa"/>
            <w:tcBorders>
              <w:right w:val="nil"/>
            </w:tcBorders>
          </w:tcPr>
          <w:p w14:paraId="457E1C23" w14:textId="0C3975B7" w:rsidR="00345EE3" w:rsidRDefault="007370D0" w:rsidP="00D73130">
            <w:pPr>
              <w:pStyle w:val="TableParagraph"/>
              <w:ind w:right="-15"/>
              <w:rPr>
                <w:sz w:val="24"/>
              </w:rPr>
            </w:pPr>
            <w:r>
              <w:rPr>
                <w:color w:val="231F20"/>
                <w:spacing w:val="-5"/>
                <w:sz w:val="24"/>
              </w:rPr>
              <w:t>117-118</w:t>
            </w:r>
          </w:p>
        </w:tc>
      </w:tr>
      <w:tr w:rsidR="00345EE3" w14:paraId="7E74C998" w14:textId="77777777" w:rsidTr="00D73130">
        <w:trPr>
          <w:trHeight w:val="396"/>
        </w:trPr>
        <w:tc>
          <w:tcPr>
            <w:tcW w:w="1134" w:type="dxa"/>
            <w:tcBorders>
              <w:left w:val="nil"/>
            </w:tcBorders>
          </w:tcPr>
          <w:p w14:paraId="2D5F7F7F" w14:textId="77777777" w:rsidR="00345EE3" w:rsidRDefault="00345EE3" w:rsidP="00D73130">
            <w:pPr>
              <w:pStyle w:val="TableParagraph"/>
              <w:ind w:left="-3"/>
              <w:jc w:val="left"/>
              <w:rPr>
                <w:sz w:val="24"/>
              </w:rPr>
            </w:pPr>
            <w:r>
              <w:rPr>
                <w:color w:val="231F20"/>
                <w:spacing w:val="-5"/>
                <w:sz w:val="24"/>
              </w:rPr>
              <w:t>2.3</w:t>
            </w:r>
          </w:p>
        </w:tc>
        <w:tc>
          <w:tcPr>
            <w:tcW w:w="7937" w:type="dxa"/>
          </w:tcPr>
          <w:p w14:paraId="43AAE3C8" w14:textId="77777777" w:rsidR="00345EE3" w:rsidRDefault="00345EE3" w:rsidP="00D73130">
            <w:pPr>
              <w:pStyle w:val="TableParagraph"/>
              <w:jc w:val="left"/>
              <w:rPr>
                <w:sz w:val="24"/>
              </w:rPr>
            </w:pPr>
            <w:r>
              <w:rPr>
                <w:color w:val="231F20"/>
                <w:sz w:val="24"/>
              </w:rPr>
              <w:t>Income from</w:t>
            </w:r>
            <w:r>
              <w:rPr>
                <w:color w:val="231F20"/>
                <w:spacing w:val="-5"/>
                <w:sz w:val="24"/>
              </w:rPr>
              <w:t xml:space="preserve"> </w:t>
            </w:r>
            <w:r>
              <w:rPr>
                <w:color w:val="231F20"/>
                <w:spacing w:val="-2"/>
                <w:sz w:val="24"/>
              </w:rPr>
              <w:t>Transactions</w:t>
            </w:r>
          </w:p>
        </w:tc>
        <w:tc>
          <w:tcPr>
            <w:tcW w:w="1134" w:type="dxa"/>
            <w:tcBorders>
              <w:right w:val="nil"/>
            </w:tcBorders>
          </w:tcPr>
          <w:p w14:paraId="0DF155C9" w14:textId="45EC8529" w:rsidR="00345EE3" w:rsidRDefault="007370D0" w:rsidP="00D73130">
            <w:pPr>
              <w:pStyle w:val="TableParagraph"/>
              <w:rPr>
                <w:sz w:val="24"/>
              </w:rPr>
            </w:pPr>
            <w:r>
              <w:rPr>
                <w:color w:val="231F20"/>
                <w:spacing w:val="-3"/>
                <w:sz w:val="24"/>
              </w:rPr>
              <w:t>118-119</w:t>
            </w:r>
          </w:p>
        </w:tc>
      </w:tr>
      <w:tr w:rsidR="00345EE3" w14:paraId="7AD18A1F" w14:textId="77777777" w:rsidTr="00D73130">
        <w:trPr>
          <w:trHeight w:val="396"/>
        </w:trPr>
        <w:tc>
          <w:tcPr>
            <w:tcW w:w="1134" w:type="dxa"/>
            <w:tcBorders>
              <w:left w:val="nil"/>
            </w:tcBorders>
          </w:tcPr>
          <w:p w14:paraId="6166DAA8" w14:textId="77777777" w:rsidR="00345EE3" w:rsidRDefault="00345EE3" w:rsidP="00D73130">
            <w:pPr>
              <w:pStyle w:val="TableParagraph"/>
              <w:spacing w:before="61"/>
              <w:ind w:left="-3"/>
              <w:jc w:val="left"/>
              <w:rPr>
                <w:sz w:val="24"/>
              </w:rPr>
            </w:pPr>
            <w:r>
              <w:rPr>
                <w:color w:val="231F20"/>
                <w:spacing w:val="-5"/>
                <w:sz w:val="24"/>
              </w:rPr>
              <w:t>2.4</w:t>
            </w:r>
          </w:p>
        </w:tc>
        <w:tc>
          <w:tcPr>
            <w:tcW w:w="7937" w:type="dxa"/>
          </w:tcPr>
          <w:p w14:paraId="41DF4469" w14:textId="77777777" w:rsidR="00345EE3" w:rsidRDefault="00345EE3" w:rsidP="00D73130">
            <w:pPr>
              <w:pStyle w:val="TableParagraph"/>
              <w:spacing w:before="61"/>
              <w:jc w:val="left"/>
              <w:rPr>
                <w:sz w:val="24"/>
              </w:rPr>
            </w:pPr>
            <w:r>
              <w:rPr>
                <w:color w:val="231F20"/>
                <w:sz w:val="24"/>
              </w:rPr>
              <w:t xml:space="preserve">Interest </w:t>
            </w:r>
            <w:r>
              <w:rPr>
                <w:color w:val="231F20"/>
                <w:spacing w:val="-2"/>
                <w:sz w:val="24"/>
              </w:rPr>
              <w:t>Income</w:t>
            </w:r>
          </w:p>
        </w:tc>
        <w:tc>
          <w:tcPr>
            <w:tcW w:w="1134" w:type="dxa"/>
            <w:tcBorders>
              <w:right w:val="nil"/>
            </w:tcBorders>
          </w:tcPr>
          <w:p w14:paraId="2D5040C5" w14:textId="03D38440" w:rsidR="00345EE3" w:rsidRDefault="007370D0" w:rsidP="00D73130">
            <w:pPr>
              <w:pStyle w:val="TableParagraph"/>
              <w:spacing w:before="61"/>
              <w:ind w:right="-15"/>
              <w:rPr>
                <w:sz w:val="24"/>
              </w:rPr>
            </w:pPr>
            <w:r>
              <w:rPr>
                <w:color w:val="231F20"/>
                <w:spacing w:val="-5"/>
                <w:sz w:val="24"/>
              </w:rPr>
              <w:t>119</w:t>
            </w:r>
          </w:p>
        </w:tc>
      </w:tr>
      <w:tr w:rsidR="00345EE3" w14:paraId="1FB83198" w14:textId="77777777" w:rsidTr="00D73130">
        <w:trPr>
          <w:trHeight w:val="396"/>
        </w:trPr>
        <w:tc>
          <w:tcPr>
            <w:tcW w:w="1134" w:type="dxa"/>
            <w:tcBorders>
              <w:left w:val="nil"/>
            </w:tcBorders>
          </w:tcPr>
          <w:p w14:paraId="53ACCF2E" w14:textId="77777777" w:rsidR="00345EE3" w:rsidRDefault="00345EE3" w:rsidP="00D73130">
            <w:pPr>
              <w:pStyle w:val="TableParagraph"/>
              <w:spacing w:before="61"/>
              <w:ind w:left="-2"/>
              <w:jc w:val="left"/>
              <w:rPr>
                <w:sz w:val="24"/>
              </w:rPr>
            </w:pPr>
            <w:r>
              <w:rPr>
                <w:color w:val="231F20"/>
                <w:spacing w:val="-5"/>
                <w:sz w:val="24"/>
              </w:rPr>
              <w:t>2.5</w:t>
            </w:r>
          </w:p>
        </w:tc>
        <w:tc>
          <w:tcPr>
            <w:tcW w:w="7937" w:type="dxa"/>
          </w:tcPr>
          <w:p w14:paraId="279504BC" w14:textId="77777777" w:rsidR="00345EE3" w:rsidRDefault="00345EE3" w:rsidP="00D73130">
            <w:pPr>
              <w:pStyle w:val="TableParagraph"/>
              <w:spacing w:before="61"/>
              <w:jc w:val="left"/>
              <w:rPr>
                <w:sz w:val="24"/>
              </w:rPr>
            </w:pPr>
            <w:r>
              <w:rPr>
                <w:color w:val="231F20"/>
                <w:sz w:val="24"/>
              </w:rPr>
              <w:t xml:space="preserve">Other </w:t>
            </w:r>
            <w:r>
              <w:rPr>
                <w:color w:val="231F20"/>
                <w:spacing w:val="-2"/>
                <w:sz w:val="24"/>
              </w:rPr>
              <w:t>Income</w:t>
            </w:r>
          </w:p>
        </w:tc>
        <w:tc>
          <w:tcPr>
            <w:tcW w:w="1134" w:type="dxa"/>
            <w:tcBorders>
              <w:right w:val="nil"/>
            </w:tcBorders>
          </w:tcPr>
          <w:p w14:paraId="1AE35ECA" w14:textId="12E7A7ED" w:rsidR="00345EE3" w:rsidRDefault="007370D0" w:rsidP="00D73130">
            <w:pPr>
              <w:pStyle w:val="TableParagraph"/>
              <w:spacing w:before="61"/>
              <w:ind w:right="-15"/>
              <w:rPr>
                <w:sz w:val="24"/>
              </w:rPr>
            </w:pPr>
            <w:r>
              <w:rPr>
                <w:color w:val="231F20"/>
                <w:spacing w:val="-5"/>
                <w:sz w:val="24"/>
              </w:rPr>
              <w:t>119</w:t>
            </w:r>
          </w:p>
        </w:tc>
      </w:tr>
      <w:tr w:rsidR="00345EE3" w14:paraId="7CA5366C" w14:textId="77777777" w:rsidTr="00D73130">
        <w:trPr>
          <w:trHeight w:val="396"/>
        </w:trPr>
        <w:tc>
          <w:tcPr>
            <w:tcW w:w="1134" w:type="dxa"/>
            <w:tcBorders>
              <w:left w:val="nil"/>
            </w:tcBorders>
          </w:tcPr>
          <w:p w14:paraId="78534F42" w14:textId="77777777" w:rsidR="00345EE3" w:rsidRDefault="00345EE3" w:rsidP="00D73130">
            <w:pPr>
              <w:pStyle w:val="TableParagraph"/>
              <w:spacing w:before="61"/>
              <w:ind w:left="-2"/>
              <w:jc w:val="left"/>
              <w:rPr>
                <w:sz w:val="24"/>
              </w:rPr>
            </w:pPr>
            <w:r>
              <w:rPr>
                <w:color w:val="231F20"/>
                <w:spacing w:val="-5"/>
                <w:sz w:val="24"/>
              </w:rPr>
              <w:t>2.6</w:t>
            </w:r>
          </w:p>
        </w:tc>
        <w:tc>
          <w:tcPr>
            <w:tcW w:w="7937" w:type="dxa"/>
          </w:tcPr>
          <w:p w14:paraId="2F149C46" w14:textId="77777777" w:rsidR="00345EE3" w:rsidRDefault="00345EE3" w:rsidP="00D73130">
            <w:pPr>
              <w:pStyle w:val="TableParagraph"/>
              <w:spacing w:before="61"/>
              <w:jc w:val="left"/>
              <w:rPr>
                <w:sz w:val="24"/>
              </w:rPr>
            </w:pPr>
            <w:r>
              <w:rPr>
                <w:color w:val="231F20"/>
                <w:sz w:val="24"/>
              </w:rPr>
              <w:t>Annotated Income</w:t>
            </w:r>
            <w:r>
              <w:rPr>
                <w:color w:val="231F20"/>
                <w:spacing w:val="-14"/>
                <w:sz w:val="24"/>
              </w:rPr>
              <w:t xml:space="preserve"> </w:t>
            </w:r>
            <w:r>
              <w:rPr>
                <w:color w:val="231F20"/>
                <w:spacing w:val="-2"/>
                <w:sz w:val="24"/>
              </w:rPr>
              <w:t>Agreements</w:t>
            </w:r>
          </w:p>
        </w:tc>
        <w:tc>
          <w:tcPr>
            <w:tcW w:w="1134" w:type="dxa"/>
            <w:tcBorders>
              <w:right w:val="nil"/>
            </w:tcBorders>
          </w:tcPr>
          <w:p w14:paraId="44BC08AA" w14:textId="5E66C15B" w:rsidR="00345EE3" w:rsidRDefault="007370D0" w:rsidP="00D73130">
            <w:pPr>
              <w:pStyle w:val="TableParagraph"/>
              <w:spacing w:before="61"/>
              <w:ind w:right="-15"/>
              <w:rPr>
                <w:sz w:val="24"/>
              </w:rPr>
            </w:pPr>
            <w:r>
              <w:rPr>
                <w:color w:val="231F20"/>
                <w:spacing w:val="-5"/>
                <w:sz w:val="24"/>
              </w:rPr>
              <w:t>120</w:t>
            </w:r>
          </w:p>
        </w:tc>
      </w:tr>
    </w:tbl>
    <w:p w14:paraId="6925D72D" w14:textId="77777777" w:rsidR="00345EE3" w:rsidRDefault="00345EE3" w:rsidP="002A27BA">
      <w:pPr>
        <w:pStyle w:val="Heading3"/>
        <w:numPr>
          <w:ilvl w:val="1"/>
          <w:numId w:val="44"/>
        </w:numPr>
      </w:pPr>
      <w:r>
        <w:t>Summary</w:t>
      </w:r>
      <w:r>
        <w:rPr>
          <w:spacing w:val="-5"/>
        </w:rPr>
        <w:t xml:space="preserve"> </w:t>
      </w:r>
      <w:r>
        <w:t>of</w:t>
      </w:r>
      <w:r>
        <w:rPr>
          <w:spacing w:val="-1"/>
        </w:rPr>
        <w:t xml:space="preserve"> </w:t>
      </w:r>
      <w:r>
        <w:t>Income</w:t>
      </w:r>
      <w:r>
        <w:rPr>
          <w:spacing w:val="-2"/>
        </w:rPr>
        <w:t xml:space="preserve"> </w:t>
      </w:r>
      <w:r>
        <w:t>that</w:t>
      </w:r>
      <w:r>
        <w:rPr>
          <w:spacing w:val="-2"/>
        </w:rPr>
        <w:t xml:space="preserve"> </w:t>
      </w:r>
      <w:r>
        <w:t>Funds</w:t>
      </w:r>
      <w:r>
        <w:rPr>
          <w:spacing w:val="-3"/>
        </w:rPr>
        <w:t xml:space="preserve"> </w:t>
      </w:r>
      <w:r>
        <w:t>the</w:t>
      </w:r>
      <w:r>
        <w:rPr>
          <w:spacing w:val="-2"/>
        </w:rPr>
        <w:t xml:space="preserve"> </w:t>
      </w:r>
      <w:r>
        <w:t>Delivery</w:t>
      </w:r>
      <w:r>
        <w:rPr>
          <w:spacing w:val="-2"/>
        </w:rPr>
        <w:t xml:space="preserve"> </w:t>
      </w:r>
      <w:r>
        <w:t>of</w:t>
      </w:r>
      <w:r>
        <w:rPr>
          <w:spacing w:val="-1"/>
        </w:rPr>
        <w:t xml:space="preserve"> </w:t>
      </w:r>
      <w:r>
        <w:t>Our</w:t>
      </w:r>
      <w:r>
        <w:rPr>
          <w:spacing w:val="-2"/>
        </w:rPr>
        <w:t xml:space="preserve"> Services</w:t>
      </w:r>
    </w:p>
    <w:p w14:paraId="6BBCC29F" w14:textId="77777777" w:rsidR="00345EE3" w:rsidRDefault="00345EE3" w:rsidP="00345EE3">
      <w:pPr>
        <w:pStyle w:val="BodyText"/>
        <w:spacing w:before="10"/>
        <w:rPr>
          <w:b/>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973"/>
        <w:gridCol w:w="850"/>
        <w:gridCol w:w="1190"/>
        <w:gridCol w:w="1190"/>
      </w:tblGrid>
      <w:tr w:rsidR="00345EE3" w14:paraId="6B8EEF3E" w14:textId="77777777" w:rsidTr="00D73130">
        <w:trPr>
          <w:trHeight w:val="802"/>
        </w:trPr>
        <w:tc>
          <w:tcPr>
            <w:tcW w:w="7823" w:type="dxa"/>
            <w:gridSpan w:val="2"/>
            <w:tcBorders>
              <w:top w:val="nil"/>
              <w:left w:val="nil"/>
              <w:bottom w:val="nil"/>
              <w:right w:val="nil"/>
            </w:tcBorders>
            <w:shd w:val="clear" w:color="auto" w:fill="00529F"/>
          </w:tcPr>
          <w:p w14:paraId="43832F78" w14:textId="77777777" w:rsidR="00345EE3" w:rsidRDefault="00345EE3" w:rsidP="00D73130">
            <w:pPr>
              <w:pStyle w:val="TableParagraph"/>
              <w:spacing w:before="0"/>
              <w:jc w:val="left"/>
              <w:rPr>
                <w:b/>
                <w:sz w:val="26"/>
              </w:rPr>
            </w:pPr>
          </w:p>
          <w:p w14:paraId="1AC0E30A" w14:textId="77777777" w:rsidR="00345EE3" w:rsidRDefault="00345EE3" w:rsidP="00D73130">
            <w:pPr>
              <w:pStyle w:val="TableParagraph"/>
              <w:spacing w:before="165"/>
              <w:ind w:right="56"/>
              <w:rPr>
                <w:b/>
                <w:sz w:val="24"/>
              </w:rPr>
            </w:pPr>
            <w:r>
              <w:rPr>
                <w:b/>
                <w:color w:val="FFFFFF"/>
                <w:spacing w:val="-2"/>
                <w:sz w:val="24"/>
              </w:rPr>
              <w:t>Notes</w:t>
            </w:r>
          </w:p>
        </w:tc>
        <w:tc>
          <w:tcPr>
            <w:tcW w:w="2380" w:type="dxa"/>
            <w:gridSpan w:val="2"/>
            <w:tcBorders>
              <w:top w:val="nil"/>
              <w:left w:val="nil"/>
              <w:bottom w:val="nil"/>
              <w:right w:val="nil"/>
            </w:tcBorders>
            <w:shd w:val="clear" w:color="auto" w:fill="00529F"/>
          </w:tcPr>
          <w:p w14:paraId="74D2C54E"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p w14:paraId="54E836E6" w14:textId="77777777" w:rsidR="00345EE3" w:rsidRDefault="00345EE3" w:rsidP="00D73130">
            <w:pPr>
              <w:pStyle w:val="TableParagraph"/>
              <w:tabs>
                <w:tab w:val="left" w:pos="1190"/>
              </w:tabs>
              <w:spacing w:before="125"/>
              <w:ind w:right="56"/>
              <w:rPr>
                <w:b/>
                <w:sz w:val="24"/>
              </w:rPr>
            </w:pPr>
            <w:r>
              <w:rPr>
                <w:b/>
                <w:color w:val="FFFFFF"/>
                <w:spacing w:val="-4"/>
                <w:sz w:val="24"/>
              </w:rPr>
              <w:t>2022</w:t>
            </w:r>
            <w:r>
              <w:rPr>
                <w:b/>
                <w:color w:val="FFFFFF"/>
                <w:sz w:val="24"/>
              </w:rPr>
              <w:tab/>
            </w:r>
            <w:r>
              <w:rPr>
                <w:b/>
                <w:color w:val="FFFFFF"/>
                <w:spacing w:val="-4"/>
                <w:sz w:val="24"/>
              </w:rPr>
              <w:t>2021</w:t>
            </w:r>
          </w:p>
        </w:tc>
      </w:tr>
      <w:tr w:rsidR="00345EE3" w14:paraId="33573BB2" w14:textId="77777777" w:rsidTr="00D73130">
        <w:trPr>
          <w:trHeight w:val="396"/>
        </w:trPr>
        <w:tc>
          <w:tcPr>
            <w:tcW w:w="6973" w:type="dxa"/>
            <w:tcBorders>
              <w:top w:val="nil"/>
              <w:left w:val="nil"/>
            </w:tcBorders>
          </w:tcPr>
          <w:p w14:paraId="657D079F" w14:textId="77777777" w:rsidR="00345EE3" w:rsidRDefault="00345EE3" w:rsidP="00D73130">
            <w:pPr>
              <w:pStyle w:val="TableParagraph"/>
              <w:ind w:left="-3"/>
              <w:jc w:val="left"/>
              <w:rPr>
                <w:sz w:val="24"/>
              </w:rPr>
            </w:pPr>
            <w:r>
              <w:rPr>
                <w:color w:val="231F20"/>
                <w:sz w:val="24"/>
              </w:rPr>
              <w:t>Grants</w:t>
            </w:r>
            <w:r>
              <w:rPr>
                <w:color w:val="231F20"/>
                <w:spacing w:val="-5"/>
                <w:sz w:val="24"/>
              </w:rPr>
              <w:t xml:space="preserve"> </w:t>
            </w:r>
            <w:r>
              <w:rPr>
                <w:color w:val="231F20"/>
                <w:sz w:val="24"/>
              </w:rPr>
              <w:t>from</w:t>
            </w:r>
            <w:r>
              <w:rPr>
                <w:color w:val="231F20"/>
                <w:spacing w:val="-4"/>
                <w:sz w:val="24"/>
              </w:rPr>
              <w:t xml:space="preserve"> </w:t>
            </w:r>
            <w:r>
              <w:rPr>
                <w:color w:val="231F20"/>
                <w:sz w:val="24"/>
              </w:rPr>
              <w:t>Victorian</w:t>
            </w:r>
            <w:r>
              <w:rPr>
                <w:color w:val="231F20"/>
                <w:spacing w:val="-4"/>
                <w:sz w:val="24"/>
              </w:rPr>
              <w:t xml:space="preserve"> </w:t>
            </w:r>
            <w:r>
              <w:rPr>
                <w:color w:val="231F20"/>
                <w:spacing w:val="-2"/>
                <w:sz w:val="24"/>
              </w:rPr>
              <w:t>Government</w:t>
            </w:r>
          </w:p>
        </w:tc>
        <w:tc>
          <w:tcPr>
            <w:tcW w:w="850" w:type="dxa"/>
            <w:tcBorders>
              <w:top w:val="nil"/>
            </w:tcBorders>
          </w:tcPr>
          <w:p w14:paraId="089A4066" w14:textId="77777777" w:rsidR="00345EE3" w:rsidRDefault="00345EE3" w:rsidP="00D73130">
            <w:pPr>
              <w:pStyle w:val="TableParagraph"/>
              <w:ind w:right="54"/>
              <w:rPr>
                <w:sz w:val="24"/>
              </w:rPr>
            </w:pPr>
            <w:r>
              <w:rPr>
                <w:color w:val="231F20"/>
                <w:spacing w:val="-5"/>
                <w:sz w:val="24"/>
              </w:rPr>
              <w:t>2.2</w:t>
            </w:r>
          </w:p>
        </w:tc>
        <w:tc>
          <w:tcPr>
            <w:tcW w:w="1190" w:type="dxa"/>
            <w:tcBorders>
              <w:top w:val="nil"/>
            </w:tcBorders>
            <w:shd w:val="clear" w:color="auto" w:fill="E6E7E8"/>
          </w:tcPr>
          <w:p w14:paraId="20A5302B" w14:textId="77777777" w:rsidR="00345EE3" w:rsidRDefault="00345EE3" w:rsidP="00D73130">
            <w:pPr>
              <w:pStyle w:val="TableParagraph"/>
              <w:ind w:right="54"/>
              <w:rPr>
                <w:sz w:val="24"/>
              </w:rPr>
            </w:pPr>
            <w:r>
              <w:rPr>
                <w:color w:val="231F20"/>
                <w:spacing w:val="-2"/>
                <w:sz w:val="24"/>
              </w:rPr>
              <w:t>4,082,978</w:t>
            </w:r>
          </w:p>
        </w:tc>
        <w:tc>
          <w:tcPr>
            <w:tcW w:w="1190" w:type="dxa"/>
            <w:tcBorders>
              <w:top w:val="nil"/>
              <w:right w:val="nil"/>
            </w:tcBorders>
          </w:tcPr>
          <w:p w14:paraId="7C35B46A" w14:textId="77777777" w:rsidR="00345EE3" w:rsidRDefault="00345EE3" w:rsidP="00D73130">
            <w:pPr>
              <w:pStyle w:val="TableParagraph"/>
              <w:ind w:right="54"/>
              <w:rPr>
                <w:sz w:val="24"/>
              </w:rPr>
            </w:pPr>
            <w:r>
              <w:rPr>
                <w:color w:val="231F20"/>
                <w:spacing w:val="-2"/>
                <w:sz w:val="24"/>
              </w:rPr>
              <w:t>4,088,960</w:t>
            </w:r>
          </w:p>
        </w:tc>
      </w:tr>
      <w:tr w:rsidR="00345EE3" w14:paraId="3011A840" w14:textId="77777777" w:rsidTr="00D73130">
        <w:trPr>
          <w:trHeight w:val="396"/>
        </w:trPr>
        <w:tc>
          <w:tcPr>
            <w:tcW w:w="6973" w:type="dxa"/>
            <w:tcBorders>
              <w:left w:val="nil"/>
            </w:tcBorders>
          </w:tcPr>
          <w:p w14:paraId="3499F8CD" w14:textId="77777777" w:rsidR="00345EE3" w:rsidRDefault="00345EE3" w:rsidP="00D73130">
            <w:pPr>
              <w:pStyle w:val="TableParagraph"/>
              <w:ind w:left="-3"/>
              <w:jc w:val="left"/>
              <w:rPr>
                <w:sz w:val="24"/>
              </w:rPr>
            </w:pPr>
            <w:r>
              <w:rPr>
                <w:color w:val="231F20"/>
                <w:sz w:val="24"/>
              </w:rPr>
              <w:t>Sale</w:t>
            </w:r>
            <w:r>
              <w:rPr>
                <w:color w:val="231F20"/>
                <w:spacing w:val="-2"/>
                <w:sz w:val="24"/>
              </w:rPr>
              <w:t xml:space="preserve"> </w:t>
            </w:r>
            <w:r>
              <w:rPr>
                <w:color w:val="231F20"/>
                <w:sz w:val="24"/>
              </w:rPr>
              <w:t>of</w:t>
            </w:r>
            <w:r>
              <w:rPr>
                <w:color w:val="231F20"/>
                <w:spacing w:val="-3"/>
                <w:sz w:val="24"/>
              </w:rPr>
              <w:t xml:space="preserve"> </w:t>
            </w:r>
            <w:r>
              <w:rPr>
                <w:color w:val="231F20"/>
                <w:sz w:val="24"/>
              </w:rPr>
              <w:t>goods</w:t>
            </w:r>
            <w:r>
              <w:rPr>
                <w:color w:val="231F20"/>
                <w:spacing w:val="-3"/>
                <w:sz w:val="24"/>
              </w:rPr>
              <w:t xml:space="preserve"> </w:t>
            </w:r>
            <w:r>
              <w:rPr>
                <w:color w:val="231F20"/>
                <w:sz w:val="24"/>
              </w:rPr>
              <w:t>and</w:t>
            </w:r>
            <w:r>
              <w:rPr>
                <w:color w:val="231F20"/>
                <w:spacing w:val="-2"/>
                <w:sz w:val="24"/>
              </w:rPr>
              <w:t xml:space="preserve"> services</w:t>
            </w:r>
          </w:p>
        </w:tc>
        <w:tc>
          <w:tcPr>
            <w:tcW w:w="850" w:type="dxa"/>
          </w:tcPr>
          <w:p w14:paraId="11EAA1D9" w14:textId="77777777" w:rsidR="00345EE3" w:rsidRDefault="00345EE3" w:rsidP="00D73130">
            <w:pPr>
              <w:pStyle w:val="TableParagraph"/>
              <w:ind w:right="54"/>
              <w:rPr>
                <w:sz w:val="24"/>
              </w:rPr>
            </w:pPr>
            <w:r>
              <w:rPr>
                <w:color w:val="231F20"/>
                <w:spacing w:val="-2"/>
                <w:sz w:val="24"/>
              </w:rPr>
              <w:t>2.3.1</w:t>
            </w:r>
          </w:p>
        </w:tc>
        <w:tc>
          <w:tcPr>
            <w:tcW w:w="1190" w:type="dxa"/>
            <w:shd w:val="clear" w:color="auto" w:fill="E6E7E8"/>
          </w:tcPr>
          <w:p w14:paraId="714FBF58" w14:textId="77777777" w:rsidR="00345EE3" w:rsidRDefault="00345EE3" w:rsidP="00D73130">
            <w:pPr>
              <w:pStyle w:val="TableParagraph"/>
              <w:ind w:right="54"/>
              <w:rPr>
                <w:sz w:val="24"/>
              </w:rPr>
            </w:pPr>
            <w:r>
              <w:rPr>
                <w:color w:val="231F20"/>
                <w:spacing w:val="-2"/>
                <w:sz w:val="24"/>
              </w:rPr>
              <w:t>1,789</w:t>
            </w:r>
          </w:p>
        </w:tc>
        <w:tc>
          <w:tcPr>
            <w:tcW w:w="1190" w:type="dxa"/>
            <w:tcBorders>
              <w:right w:val="nil"/>
            </w:tcBorders>
          </w:tcPr>
          <w:p w14:paraId="1B6C980B" w14:textId="77777777" w:rsidR="00345EE3" w:rsidRDefault="00345EE3" w:rsidP="00D73130">
            <w:pPr>
              <w:pStyle w:val="TableParagraph"/>
              <w:ind w:right="53"/>
              <w:rPr>
                <w:sz w:val="24"/>
              </w:rPr>
            </w:pPr>
            <w:r>
              <w:rPr>
                <w:color w:val="231F20"/>
                <w:spacing w:val="-2"/>
                <w:sz w:val="24"/>
              </w:rPr>
              <w:t>1,336</w:t>
            </w:r>
          </w:p>
        </w:tc>
      </w:tr>
      <w:tr w:rsidR="00345EE3" w14:paraId="5721F1A8" w14:textId="77777777" w:rsidTr="00D73130">
        <w:trPr>
          <w:trHeight w:val="396"/>
        </w:trPr>
        <w:tc>
          <w:tcPr>
            <w:tcW w:w="6973" w:type="dxa"/>
            <w:tcBorders>
              <w:left w:val="nil"/>
            </w:tcBorders>
          </w:tcPr>
          <w:p w14:paraId="30707951" w14:textId="77777777" w:rsidR="00345EE3" w:rsidRDefault="00345EE3" w:rsidP="00D73130">
            <w:pPr>
              <w:pStyle w:val="TableParagraph"/>
              <w:ind w:left="-3"/>
              <w:jc w:val="left"/>
              <w:rPr>
                <w:sz w:val="24"/>
              </w:rPr>
            </w:pPr>
            <w:r>
              <w:rPr>
                <w:color w:val="231F20"/>
                <w:sz w:val="24"/>
              </w:rPr>
              <w:t xml:space="preserve">Other </w:t>
            </w:r>
            <w:r>
              <w:rPr>
                <w:color w:val="231F20"/>
                <w:spacing w:val="-2"/>
                <w:sz w:val="24"/>
              </w:rPr>
              <w:t>grants</w:t>
            </w:r>
          </w:p>
        </w:tc>
        <w:tc>
          <w:tcPr>
            <w:tcW w:w="850" w:type="dxa"/>
          </w:tcPr>
          <w:p w14:paraId="65EAD8A3" w14:textId="77777777" w:rsidR="00345EE3" w:rsidRDefault="00345EE3" w:rsidP="00D73130">
            <w:pPr>
              <w:pStyle w:val="TableParagraph"/>
              <w:ind w:right="54"/>
              <w:rPr>
                <w:sz w:val="24"/>
              </w:rPr>
            </w:pPr>
            <w:r>
              <w:rPr>
                <w:color w:val="231F20"/>
                <w:spacing w:val="-2"/>
                <w:sz w:val="24"/>
              </w:rPr>
              <w:t>2.3.2</w:t>
            </w:r>
          </w:p>
        </w:tc>
        <w:tc>
          <w:tcPr>
            <w:tcW w:w="1190" w:type="dxa"/>
            <w:shd w:val="clear" w:color="auto" w:fill="E6E7E8"/>
          </w:tcPr>
          <w:p w14:paraId="7D85D89A" w14:textId="77777777" w:rsidR="00345EE3" w:rsidRDefault="00345EE3" w:rsidP="00D73130">
            <w:pPr>
              <w:pStyle w:val="TableParagraph"/>
              <w:ind w:right="54"/>
              <w:rPr>
                <w:sz w:val="24"/>
              </w:rPr>
            </w:pPr>
            <w:r>
              <w:rPr>
                <w:color w:val="231F20"/>
                <w:spacing w:val="-2"/>
                <w:sz w:val="24"/>
              </w:rPr>
              <w:t>11,941</w:t>
            </w:r>
          </w:p>
        </w:tc>
        <w:tc>
          <w:tcPr>
            <w:tcW w:w="1190" w:type="dxa"/>
            <w:tcBorders>
              <w:right w:val="nil"/>
            </w:tcBorders>
          </w:tcPr>
          <w:p w14:paraId="12D381A9" w14:textId="77777777" w:rsidR="00345EE3" w:rsidRDefault="00345EE3" w:rsidP="00D73130">
            <w:pPr>
              <w:pStyle w:val="TableParagraph"/>
              <w:ind w:right="53"/>
              <w:rPr>
                <w:sz w:val="24"/>
              </w:rPr>
            </w:pPr>
            <w:r>
              <w:rPr>
                <w:color w:val="231F20"/>
                <w:spacing w:val="-2"/>
                <w:sz w:val="24"/>
              </w:rPr>
              <w:t>18,012</w:t>
            </w:r>
          </w:p>
        </w:tc>
      </w:tr>
      <w:tr w:rsidR="00345EE3" w14:paraId="7525C53C" w14:textId="77777777" w:rsidTr="00D73130">
        <w:trPr>
          <w:trHeight w:val="676"/>
        </w:trPr>
        <w:tc>
          <w:tcPr>
            <w:tcW w:w="6973" w:type="dxa"/>
            <w:tcBorders>
              <w:left w:val="nil"/>
            </w:tcBorders>
          </w:tcPr>
          <w:p w14:paraId="4C409BE3" w14:textId="77777777" w:rsidR="00345EE3" w:rsidRDefault="00345EE3" w:rsidP="00D73130">
            <w:pPr>
              <w:pStyle w:val="TableParagraph"/>
              <w:spacing w:line="242" w:lineRule="auto"/>
              <w:ind w:left="-3"/>
              <w:jc w:val="left"/>
              <w:rPr>
                <w:sz w:val="24"/>
              </w:rPr>
            </w:pPr>
            <w:r>
              <w:rPr>
                <w:color w:val="231F20"/>
                <w:sz w:val="24"/>
              </w:rPr>
              <w:t>Fair</w:t>
            </w:r>
            <w:r>
              <w:rPr>
                <w:color w:val="231F20"/>
                <w:spacing w:val="-4"/>
                <w:sz w:val="24"/>
              </w:rPr>
              <w:t xml:space="preserve"> </w:t>
            </w:r>
            <w:r>
              <w:rPr>
                <w:color w:val="231F20"/>
                <w:sz w:val="24"/>
              </w:rPr>
              <w:t>value</w:t>
            </w:r>
            <w:r>
              <w:rPr>
                <w:color w:val="231F20"/>
                <w:spacing w:val="-4"/>
                <w:sz w:val="24"/>
              </w:rPr>
              <w:t xml:space="preserve"> </w:t>
            </w:r>
            <w:r>
              <w:rPr>
                <w:color w:val="231F20"/>
                <w:sz w:val="24"/>
              </w:rPr>
              <w:t>of</w:t>
            </w:r>
            <w:r>
              <w:rPr>
                <w:color w:val="231F20"/>
                <w:spacing w:val="-5"/>
                <w:sz w:val="24"/>
              </w:rPr>
              <w:t xml:space="preserve"> </w:t>
            </w:r>
            <w:r>
              <w:rPr>
                <w:color w:val="231F20"/>
                <w:sz w:val="24"/>
              </w:rPr>
              <w:t>assets</w:t>
            </w:r>
            <w:r>
              <w:rPr>
                <w:color w:val="231F20"/>
                <w:spacing w:val="-5"/>
                <w:sz w:val="24"/>
              </w:rPr>
              <w:t xml:space="preserve"> </w:t>
            </w:r>
            <w:r>
              <w:rPr>
                <w:color w:val="231F20"/>
                <w:sz w:val="24"/>
              </w:rPr>
              <w:t>received</w:t>
            </w:r>
            <w:r>
              <w:rPr>
                <w:color w:val="231F20"/>
                <w:spacing w:val="-4"/>
                <w:sz w:val="24"/>
              </w:rPr>
              <w:t xml:space="preserve"> </w:t>
            </w:r>
            <w:r>
              <w:rPr>
                <w:color w:val="231F20"/>
                <w:sz w:val="24"/>
              </w:rPr>
              <w:t>free</w:t>
            </w:r>
            <w:r>
              <w:rPr>
                <w:color w:val="231F20"/>
                <w:spacing w:val="-4"/>
                <w:sz w:val="24"/>
              </w:rPr>
              <w:t xml:space="preserve"> </w:t>
            </w:r>
            <w:r>
              <w:rPr>
                <w:color w:val="231F20"/>
                <w:sz w:val="24"/>
              </w:rPr>
              <w:t>of</w:t>
            </w:r>
            <w:r>
              <w:rPr>
                <w:color w:val="231F20"/>
                <w:spacing w:val="-5"/>
                <w:sz w:val="24"/>
              </w:rPr>
              <w:t xml:space="preserve"> </w:t>
            </w:r>
            <w:r>
              <w:rPr>
                <w:color w:val="231F20"/>
                <w:sz w:val="24"/>
              </w:rPr>
              <w:t>charge</w:t>
            </w:r>
            <w:r>
              <w:rPr>
                <w:color w:val="231F20"/>
                <w:spacing w:val="-4"/>
                <w:sz w:val="24"/>
              </w:rPr>
              <w:t xml:space="preserve"> </w:t>
            </w:r>
            <w:r>
              <w:rPr>
                <w:color w:val="231F20"/>
                <w:sz w:val="24"/>
              </w:rPr>
              <w:t>or</w:t>
            </w:r>
            <w:r>
              <w:rPr>
                <w:color w:val="231F20"/>
                <w:spacing w:val="-5"/>
                <w:sz w:val="24"/>
              </w:rPr>
              <w:t xml:space="preserve"> </w:t>
            </w:r>
            <w:r>
              <w:rPr>
                <w:color w:val="231F20"/>
                <w:sz w:val="24"/>
              </w:rPr>
              <w:t>for</w:t>
            </w:r>
            <w:r>
              <w:rPr>
                <w:color w:val="231F20"/>
                <w:spacing w:val="-4"/>
                <w:sz w:val="24"/>
              </w:rPr>
              <w:t xml:space="preserve"> </w:t>
            </w:r>
            <w:r>
              <w:rPr>
                <w:color w:val="231F20"/>
                <w:sz w:val="24"/>
              </w:rPr>
              <w:t xml:space="preserve">nominal </w:t>
            </w:r>
            <w:r>
              <w:rPr>
                <w:color w:val="231F20"/>
                <w:spacing w:val="-2"/>
                <w:sz w:val="24"/>
              </w:rPr>
              <w:t>consideration</w:t>
            </w:r>
          </w:p>
        </w:tc>
        <w:tc>
          <w:tcPr>
            <w:tcW w:w="850" w:type="dxa"/>
          </w:tcPr>
          <w:p w14:paraId="65A935D8" w14:textId="77777777" w:rsidR="00345EE3" w:rsidRDefault="00345EE3" w:rsidP="00D73130">
            <w:pPr>
              <w:pStyle w:val="TableParagraph"/>
              <w:spacing w:before="0"/>
              <w:jc w:val="left"/>
              <w:rPr>
                <w:rFonts w:ascii="Times New Roman"/>
                <w:sz w:val="24"/>
              </w:rPr>
            </w:pPr>
          </w:p>
        </w:tc>
        <w:tc>
          <w:tcPr>
            <w:tcW w:w="1190" w:type="dxa"/>
            <w:shd w:val="clear" w:color="auto" w:fill="E6E7E8"/>
          </w:tcPr>
          <w:p w14:paraId="27838C44" w14:textId="77777777" w:rsidR="00345EE3" w:rsidRDefault="00345EE3" w:rsidP="00D73130">
            <w:pPr>
              <w:pStyle w:val="TableParagraph"/>
              <w:ind w:right="53"/>
              <w:rPr>
                <w:sz w:val="24"/>
              </w:rPr>
            </w:pPr>
            <w:r>
              <w:rPr>
                <w:color w:val="231F20"/>
                <w:spacing w:val="-2"/>
                <w:sz w:val="24"/>
              </w:rPr>
              <w:t>3,088</w:t>
            </w:r>
          </w:p>
        </w:tc>
        <w:tc>
          <w:tcPr>
            <w:tcW w:w="1190" w:type="dxa"/>
            <w:tcBorders>
              <w:right w:val="nil"/>
            </w:tcBorders>
          </w:tcPr>
          <w:p w14:paraId="7CA8DCA6" w14:textId="77777777" w:rsidR="00345EE3" w:rsidRDefault="00345EE3" w:rsidP="00D73130">
            <w:pPr>
              <w:pStyle w:val="TableParagraph"/>
              <w:ind w:right="53"/>
              <w:rPr>
                <w:sz w:val="24"/>
              </w:rPr>
            </w:pPr>
            <w:r>
              <w:rPr>
                <w:color w:val="231F20"/>
                <w:spacing w:val="-5"/>
                <w:sz w:val="24"/>
              </w:rPr>
              <w:t>183</w:t>
            </w:r>
          </w:p>
        </w:tc>
      </w:tr>
      <w:tr w:rsidR="00345EE3" w14:paraId="37B46673" w14:textId="77777777" w:rsidTr="00D73130">
        <w:trPr>
          <w:trHeight w:val="396"/>
        </w:trPr>
        <w:tc>
          <w:tcPr>
            <w:tcW w:w="6973" w:type="dxa"/>
            <w:tcBorders>
              <w:left w:val="nil"/>
            </w:tcBorders>
          </w:tcPr>
          <w:p w14:paraId="450C9598" w14:textId="77777777" w:rsidR="00345EE3" w:rsidRDefault="00345EE3" w:rsidP="00D73130">
            <w:pPr>
              <w:pStyle w:val="TableParagraph"/>
              <w:ind w:left="-3"/>
              <w:jc w:val="left"/>
              <w:rPr>
                <w:sz w:val="24"/>
              </w:rPr>
            </w:pPr>
            <w:r>
              <w:rPr>
                <w:color w:val="231F20"/>
                <w:sz w:val="24"/>
              </w:rPr>
              <w:t xml:space="preserve">Interest </w:t>
            </w:r>
            <w:r>
              <w:rPr>
                <w:color w:val="231F20"/>
                <w:spacing w:val="-2"/>
                <w:sz w:val="24"/>
              </w:rPr>
              <w:t>income</w:t>
            </w:r>
          </w:p>
        </w:tc>
        <w:tc>
          <w:tcPr>
            <w:tcW w:w="850" w:type="dxa"/>
          </w:tcPr>
          <w:p w14:paraId="0ED3B95F" w14:textId="77777777" w:rsidR="00345EE3" w:rsidRDefault="00345EE3" w:rsidP="00D73130">
            <w:pPr>
              <w:pStyle w:val="TableParagraph"/>
              <w:spacing w:before="0"/>
              <w:jc w:val="left"/>
              <w:rPr>
                <w:rFonts w:ascii="Times New Roman"/>
                <w:sz w:val="24"/>
              </w:rPr>
            </w:pPr>
          </w:p>
        </w:tc>
        <w:tc>
          <w:tcPr>
            <w:tcW w:w="1190" w:type="dxa"/>
            <w:shd w:val="clear" w:color="auto" w:fill="E6E7E8"/>
          </w:tcPr>
          <w:p w14:paraId="6B7B1A1F" w14:textId="77777777" w:rsidR="00345EE3" w:rsidRDefault="00345EE3" w:rsidP="00D73130">
            <w:pPr>
              <w:pStyle w:val="TableParagraph"/>
              <w:ind w:right="50"/>
              <w:rPr>
                <w:sz w:val="24"/>
              </w:rPr>
            </w:pPr>
            <w:r>
              <w:rPr>
                <w:color w:val="231F20"/>
                <w:sz w:val="24"/>
              </w:rPr>
              <w:t>4</w:t>
            </w:r>
          </w:p>
        </w:tc>
        <w:tc>
          <w:tcPr>
            <w:tcW w:w="1190" w:type="dxa"/>
            <w:tcBorders>
              <w:right w:val="nil"/>
            </w:tcBorders>
          </w:tcPr>
          <w:p w14:paraId="6CA60255" w14:textId="77777777" w:rsidR="00345EE3" w:rsidRDefault="00345EE3" w:rsidP="00D73130">
            <w:pPr>
              <w:pStyle w:val="TableParagraph"/>
              <w:ind w:right="53"/>
              <w:rPr>
                <w:sz w:val="24"/>
              </w:rPr>
            </w:pPr>
            <w:r>
              <w:rPr>
                <w:color w:val="231F20"/>
                <w:spacing w:val="-5"/>
                <w:sz w:val="24"/>
              </w:rPr>
              <w:t>60</w:t>
            </w:r>
          </w:p>
        </w:tc>
      </w:tr>
      <w:tr w:rsidR="00345EE3" w14:paraId="7A1D5174" w14:textId="77777777" w:rsidTr="00D73130">
        <w:trPr>
          <w:trHeight w:val="393"/>
        </w:trPr>
        <w:tc>
          <w:tcPr>
            <w:tcW w:w="6973" w:type="dxa"/>
            <w:tcBorders>
              <w:left w:val="nil"/>
              <w:bottom w:val="single" w:sz="4" w:space="0" w:color="231F20"/>
            </w:tcBorders>
          </w:tcPr>
          <w:p w14:paraId="1ECB0F17" w14:textId="77777777" w:rsidR="00345EE3" w:rsidRDefault="00345EE3" w:rsidP="00D73130">
            <w:pPr>
              <w:pStyle w:val="TableParagraph"/>
              <w:ind w:left="-3"/>
              <w:jc w:val="left"/>
              <w:rPr>
                <w:sz w:val="24"/>
              </w:rPr>
            </w:pPr>
            <w:r>
              <w:rPr>
                <w:color w:val="231F20"/>
                <w:sz w:val="24"/>
              </w:rPr>
              <w:t xml:space="preserve">Other </w:t>
            </w:r>
            <w:r>
              <w:rPr>
                <w:color w:val="231F20"/>
                <w:spacing w:val="-2"/>
                <w:sz w:val="24"/>
              </w:rPr>
              <w:t>income</w:t>
            </w:r>
          </w:p>
        </w:tc>
        <w:tc>
          <w:tcPr>
            <w:tcW w:w="850" w:type="dxa"/>
            <w:tcBorders>
              <w:bottom w:val="single" w:sz="4" w:space="0" w:color="231F20"/>
            </w:tcBorders>
          </w:tcPr>
          <w:p w14:paraId="6F0E9981" w14:textId="77777777" w:rsidR="00345EE3" w:rsidRDefault="00345EE3" w:rsidP="00D73130">
            <w:pPr>
              <w:pStyle w:val="TableParagraph"/>
              <w:spacing w:before="0"/>
              <w:jc w:val="left"/>
              <w:rPr>
                <w:rFonts w:ascii="Times New Roman"/>
                <w:sz w:val="24"/>
              </w:rPr>
            </w:pPr>
          </w:p>
        </w:tc>
        <w:tc>
          <w:tcPr>
            <w:tcW w:w="1190" w:type="dxa"/>
            <w:tcBorders>
              <w:bottom w:val="single" w:sz="4" w:space="0" w:color="231F20"/>
            </w:tcBorders>
            <w:shd w:val="clear" w:color="auto" w:fill="E6E7E8"/>
          </w:tcPr>
          <w:p w14:paraId="1E23D3E4" w14:textId="77777777" w:rsidR="00345EE3" w:rsidRDefault="00345EE3" w:rsidP="00D73130">
            <w:pPr>
              <w:pStyle w:val="TableParagraph"/>
              <w:ind w:right="53"/>
              <w:rPr>
                <w:sz w:val="24"/>
              </w:rPr>
            </w:pPr>
            <w:r>
              <w:rPr>
                <w:color w:val="231F20"/>
                <w:spacing w:val="-2"/>
                <w:sz w:val="24"/>
              </w:rPr>
              <w:t>2,552</w:t>
            </w:r>
          </w:p>
        </w:tc>
        <w:tc>
          <w:tcPr>
            <w:tcW w:w="1190" w:type="dxa"/>
            <w:tcBorders>
              <w:bottom w:val="single" w:sz="4" w:space="0" w:color="231F20"/>
              <w:right w:val="nil"/>
            </w:tcBorders>
          </w:tcPr>
          <w:p w14:paraId="5F848634" w14:textId="77777777" w:rsidR="00345EE3" w:rsidRDefault="00345EE3" w:rsidP="00D73130">
            <w:pPr>
              <w:pStyle w:val="TableParagraph"/>
              <w:ind w:right="53"/>
              <w:rPr>
                <w:sz w:val="24"/>
              </w:rPr>
            </w:pPr>
            <w:r>
              <w:rPr>
                <w:color w:val="231F20"/>
                <w:spacing w:val="-2"/>
                <w:sz w:val="24"/>
              </w:rPr>
              <w:t>2,135</w:t>
            </w:r>
          </w:p>
        </w:tc>
      </w:tr>
      <w:tr w:rsidR="00345EE3" w14:paraId="5DDEBEEB" w14:textId="77777777" w:rsidTr="00D73130">
        <w:trPr>
          <w:trHeight w:val="386"/>
        </w:trPr>
        <w:tc>
          <w:tcPr>
            <w:tcW w:w="6973" w:type="dxa"/>
            <w:tcBorders>
              <w:top w:val="single" w:sz="4" w:space="0" w:color="231F20"/>
              <w:left w:val="nil"/>
              <w:bottom w:val="single" w:sz="8" w:space="0" w:color="231F20"/>
            </w:tcBorders>
          </w:tcPr>
          <w:p w14:paraId="51CAC3CE" w14:textId="77777777" w:rsidR="00345EE3" w:rsidRDefault="00345EE3" w:rsidP="00D73130">
            <w:pPr>
              <w:pStyle w:val="TableParagraph"/>
              <w:spacing w:before="58"/>
              <w:ind w:left="-3"/>
              <w:jc w:val="left"/>
              <w:rPr>
                <w:b/>
                <w:sz w:val="24"/>
              </w:rPr>
            </w:pPr>
            <w:r>
              <w:rPr>
                <w:b/>
                <w:color w:val="231F20"/>
                <w:sz w:val="24"/>
              </w:rPr>
              <w:t>Total</w:t>
            </w:r>
            <w:r>
              <w:rPr>
                <w:b/>
                <w:color w:val="231F20"/>
                <w:spacing w:val="-6"/>
                <w:sz w:val="24"/>
              </w:rPr>
              <w:t xml:space="preserve"> </w:t>
            </w:r>
            <w:r>
              <w:rPr>
                <w:b/>
                <w:color w:val="231F20"/>
                <w:sz w:val="24"/>
              </w:rPr>
              <w:t>Income</w:t>
            </w:r>
            <w:r>
              <w:rPr>
                <w:b/>
                <w:color w:val="231F20"/>
                <w:spacing w:val="-6"/>
                <w:sz w:val="24"/>
              </w:rPr>
              <w:t xml:space="preserve"> </w:t>
            </w:r>
            <w:r>
              <w:rPr>
                <w:b/>
                <w:color w:val="231F20"/>
                <w:sz w:val="24"/>
              </w:rPr>
              <w:t>From</w:t>
            </w:r>
            <w:r>
              <w:rPr>
                <w:b/>
                <w:color w:val="231F20"/>
                <w:spacing w:val="-6"/>
                <w:sz w:val="24"/>
              </w:rPr>
              <w:t xml:space="preserve"> </w:t>
            </w:r>
            <w:r>
              <w:rPr>
                <w:b/>
                <w:color w:val="231F20"/>
                <w:spacing w:val="-2"/>
                <w:sz w:val="24"/>
              </w:rPr>
              <w:t>Transactions</w:t>
            </w:r>
          </w:p>
        </w:tc>
        <w:tc>
          <w:tcPr>
            <w:tcW w:w="850" w:type="dxa"/>
            <w:tcBorders>
              <w:top w:val="single" w:sz="4" w:space="0" w:color="231F20"/>
              <w:bottom w:val="single" w:sz="8" w:space="0" w:color="231F20"/>
            </w:tcBorders>
          </w:tcPr>
          <w:p w14:paraId="6AC688A1" w14:textId="77777777" w:rsidR="00345EE3" w:rsidRDefault="00345EE3" w:rsidP="00D73130">
            <w:pPr>
              <w:pStyle w:val="TableParagraph"/>
              <w:spacing w:before="0"/>
              <w:jc w:val="left"/>
              <w:rPr>
                <w:rFonts w:ascii="Times New Roman"/>
                <w:sz w:val="24"/>
              </w:rPr>
            </w:pPr>
          </w:p>
        </w:tc>
        <w:tc>
          <w:tcPr>
            <w:tcW w:w="1190" w:type="dxa"/>
            <w:tcBorders>
              <w:top w:val="single" w:sz="4" w:space="0" w:color="231F20"/>
              <w:bottom w:val="single" w:sz="8" w:space="0" w:color="231F20"/>
            </w:tcBorders>
            <w:shd w:val="clear" w:color="auto" w:fill="E6E7E8"/>
          </w:tcPr>
          <w:p w14:paraId="5D747DAD" w14:textId="77777777" w:rsidR="00345EE3" w:rsidRDefault="00345EE3" w:rsidP="00D73130">
            <w:pPr>
              <w:pStyle w:val="TableParagraph"/>
              <w:spacing w:before="58"/>
              <w:ind w:right="51"/>
              <w:rPr>
                <w:b/>
                <w:sz w:val="24"/>
              </w:rPr>
            </w:pPr>
            <w:r>
              <w:rPr>
                <w:b/>
                <w:color w:val="231F20"/>
                <w:spacing w:val="-2"/>
                <w:sz w:val="24"/>
              </w:rPr>
              <w:t>4,102,352</w:t>
            </w:r>
          </w:p>
        </w:tc>
        <w:tc>
          <w:tcPr>
            <w:tcW w:w="1190" w:type="dxa"/>
            <w:tcBorders>
              <w:top w:val="single" w:sz="4" w:space="0" w:color="231F20"/>
              <w:bottom w:val="single" w:sz="8" w:space="0" w:color="231F20"/>
              <w:right w:val="nil"/>
            </w:tcBorders>
          </w:tcPr>
          <w:p w14:paraId="590632FB" w14:textId="77777777" w:rsidR="00345EE3" w:rsidRDefault="00345EE3" w:rsidP="00D73130">
            <w:pPr>
              <w:pStyle w:val="TableParagraph"/>
              <w:spacing w:before="58"/>
              <w:ind w:right="51"/>
              <w:rPr>
                <w:b/>
                <w:sz w:val="24"/>
              </w:rPr>
            </w:pPr>
            <w:r>
              <w:rPr>
                <w:b/>
                <w:color w:val="231F20"/>
                <w:spacing w:val="-2"/>
                <w:sz w:val="24"/>
              </w:rPr>
              <w:t>4,110,686</w:t>
            </w:r>
          </w:p>
        </w:tc>
      </w:tr>
    </w:tbl>
    <w:p w14:paraId="454F2140" w14:textId="77777777" w:rsidR="00345EE3" w:rsidRDefault="00345EE3" w:rsidP="00345EE3">
      <w:pPr>
        <w:pStyle w:val="Heading5"/>
        <w:spacing w:before="217"/>
      </w:pPr>
      <w:r>
        <w:rPr>
          <w:color w:val="231F20"/>
        </w:rPr>
        <w:t>Income</w:t>
      </w:r>
      <w:r>
        <w:rPr>
          <w:color w:val="231F20"/>
          <w:spacing w:val="-2"/>
        </w:rPr>
        <w:t xml:space="preserve"> </w:t>
      </w:r>
      <w:r>
        <w:rPr>
          <w:color w:val="231F20"/>
        </w:rPr>
        <w:t>Recognition</w:t>
      </w:r>
      <w:r>
        <w:rPr>
          <w:color w:val="231F20"/>
          <w:spacing w:val="-2"/>
        </w:rPr>
        <w:t xml:space="preserve"> </w:t>
      </w:r>
      <w:r>
        <w:rPr>
          <w:color w:val="231F20"/>
        </w:rPr>
        <w:t>and</w:t>
      </w:r>
      <w:r>
        <w:rPr>
          <w:color w:val="231F20"/>
          <w:spacing w:val="-1"/>
        </w:rPr>
        <w:t xml:space="preserve"> </w:t>
      </w:r>
      <w:r>
        <w:rPr>
          <w:color w:val="231F20"/>
          <w:spacing w:val="-2"/>
        </w:rPr>
        <w:t>Measurement</w:t>
      </w:r>
    </w:p>
    <w:p w14:paraId="07BB72F7" w14:textId="77777777" w:rsidR="00345EE3" w:rsidRDefault="00345EE3" w:rsidP="00345EE3">
      <w:pPr>
        <w:pStyle w:val="BodyText"/>
        <w:spacing w:before="61" w:line="242" w:lineRule="auto"/>
      </w:pPr>
      <w:r>
        <w:rPr>
          <w:color w:val="231F20"/>
        </w:rPr>
        <w:t>Revenue and income that fund the delivery of Victoria Police’s services are consistently accounted for with the requirements of the relevant accounting standards disclosed in the respective</w:t>
      </w:r>
      <w:r>
        <w:rPr>
          <w:color w:val="231F20"/>
          <w:spacing w:val="-9"/>
        </w:rPr>
        <w:t xml:space="preserve"> </w:t>
      </w:r>
      <w:r>
        <w:rPr>
          <w:color w:val="231F20"/>
        </w:rPr>
        <w:t>notes</w:t>
      </w:r>
      <w:r>
        <w:rPr>
          <w:color w:val="231F20"/>
          <w:spacing w:val="-8"/>
        </w:rPr>
        <w:t xml:space="preserve"> </w:t>
      </w:r>
      <w:r>
        <w:rPr>
          <w:color w:val="231F20"/>
        </w:rPr>
        <w:t>in</w:t>
      </w:r>
      <w:r>
        <w:rPr>
          <w:color w:val="231F20"/>
          <w:spacing w:val="-9"/>
        </w:rPr>
        <w:t xml:space="preserve"> </w:t>
      </w:r>
      <w:r>
        <w:rPr>
          <w:color w:val="231F20"/>
        </w:rPr>
        <w:t>this</w:t>
      </w:r>
      <w:r>
        <w:rPr>
          <w:color w:val="231F20"/>
          <w:spacing w:val="-8"/>
        </w:rPr>
        <w:t xml:space="preserve"> </w:t>
      </w:r>
      <w:r>
        <w:rPr>
          <w:color w:val="231F20"/>
        </w:rPr>
        <w:t>section.</w:t>
      </w:r>
      <w:r>
        <w:rPr>
          <w:color w:val="231F20"/>
          <w:spacing w:val="-8"/>
        </w:rPr>
        <w:t xml:space="preserve"> </w:t>
      </w:r>
      <w:r>
        <w:rPr>
          <w:color w:val="231F20"/>
        </w:rPr>
        <w:t>All</w:t>
      </w:r>
      <w:r>
        <w:rPr>
          <w:color w:val="231F20"/>
          <w:spacing w:val="-9"/>
        </w:rPr>
        <w:t xml:space="preserve"> </w:t>
      </w:r>
      <w:r>
        <w:rPr>
          <w:color w:val="231F20"/>
        </w:rPr>
        <w:t>amounts</w:t>
      </w:r>
      <w:r>
        <w:rPr>
          <w:color w:val="231F20"/>
          <w:spacing w:val="-8"/>
        </w:rPr>
        <w:t xml:space="preserve"> </w:t>
      </w:r>
      <w:r>
        <w:rPr>
          <w:color w:val="231F20"/>
        </w:rPr>
        <w:t>of</w:t>
      </w:r>
      <w:r>
        <w:rPr>
          <w:color w:val="231F20"/>
          <w:spacing w:val="-8"/>
        </w:rPr>
        <w:t xml:space="preserve"> </w:t>
      </w:r>
      <w:r>
        <w:rPr>
          <w:color w:val="231F20"/>
        </w:rPr>
        <w:t>income</w:t>
      </w:r>
      <w:r>
        <w:rPr>
          <w:color w:val="231F20"/>
          <w:spacing w:val="-9"/>
        </w:rPr>
        <w:t xml:space="preserve"> </w:t>
      </w:r>
      <w:r>
        <w:rPr>
          <w:color w:val="231F20"/>
        </w:rPr>
        <w:t>over</w:t>
      </w:r>
      <w:r>
        <w:rPr>
          <w:color w:val="231F20"/>
          <w:spacing w:val="-8"/>
        </w:rPr>
        <w:t xml:space="preserve"> </w:t>
      </w:r>
      <w:r>
        <w:rPr>
          <w:color w:val="231F20"/>
        </w:rPr>
        <w:t>which</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does</w:t>
      </w:r>
      <w:r>
        <w:rPr>
          <w:color w:val="231F20"/>
          <w:spacing w:val="-8"/>
        </w:rPr>
        <w:t xml:space="preserve"> </w:t>
      </w:r>
      <w:r>
        <w:rPr>
          <w:color w:val="231F20"/>
        </w:rPr>
        <w:t>not</w:t>
      </w:r>
      <w:r>
        <w:rPr>
          <w:color w:val="231F20"/>
          <w:spacing w:val="-8"/>
        </w:rPr>
        <w:t xml:space="preserve"> </w:t>
      </w:r>
      <w:r>
        <w:rPr>
          <w:color w:val="231F20"/>
        </w:rPr>
        <w:t>have control are disclosed as administered income in Note 4.1 Administered Items.</w:t>
      </w:r>
    </w:p>
    <w:p w14:paraId="3D36119F" w14:textId="77777777" w:rsidR="00345EE3" w:rsidRDefault="00345EE3" w:rsidP="002A27BA">
      <w:pPr>
        <w:pStyle w:val="Heading3"/>
        <w:numPr>
          <w:ilvl w:val="1"/>
          <w:numId w:val="44"/>
        </w:numPr>
      </w:pPr>
      <w:r>
        <w:t>Grants</w:t>
      </w:r>
      <w:r>
        <w:rPr>
          <w:spacing w:val="-1"/>
        </w:rPr>
        <w:t xml:space="preserve"> </w:t>
      </w:r>
      <w:r>
        <w:t>from Victorian</w:t>
      </w:r>
      <w:r>
        <w:rPr>
          <w:spacing w:val="1"/>
        </w:rPr>
        <w:t xml:space="preserve"> </w:t>
      </w:r>
      <w:r>
        <w:rPr>
          <w:spacing w:val="-2"/>
        </w:rPr>
        <w:t>Government</w:t>
      </w:r>
    </w:p>
    <w:p w14:paraId="5E4EDAD3" w14:textId="77777777" w:rsidR="00345EE3" w:rsidRDefault="00345EE3" w:rsidP="00345EE3">
      <w:pPr>
        <w:pStyle w:val="BodyText"/>
        <w:spacing w:before="10"/>
        <w:rPr>
          <w:b/>
          <w:sz w:val="5"/>
        </w:rPr>
      </w:pPr>
    </w:p>
    <w:tbl>
      <w:tblPr>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597"/>
        <w:gridCol w:w="1304"/>
        <w:gridCol w:w="1304"/>
      </w:tblGrid>
      <w:tr w:rsidR="00345EE3" w14:paraId="3752C138" w14:textId="77777777" w:rsidTr="00D73130">
        <w:trPr>
          <w:trHeight w:val="803"/>
        </w:trPr>
        <w:tc>
          <w:tcPr>
            <w:tcW w:w="10205" w:type="dxa"/>
            <w:gridSpan w:val="3"/>
            <w:tcBorders>
              <w:top w:val="nil"/>
              <w:left w:val="nil"/>
              <w:bottom w:val="nil"/>
              <w:right w:val="nil"/>
            </w:tcBorders>
            <w:shd w:val="clear" w:color="auto" w:fill="00529F"/>
          </w:tcPr>
          <w:p w14:paraId="122DB73B"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p w14:paraId="7EDB1F75" w14:textId="77777777" w:rsidR="00345EE3" w:rsidRDefault="00345EE3" w:rsidP="00D73130">
            <w:pPr>
              <w:pStyle w:val="TableParagraph"/>
              <w:tabs>
                <w:tab w:val="left" w:pos="1306"/>
              </w:tabs>
              <w:spacing w:before="125"/>
              <w:ind w:right="1"/>
              <w:rPr>
                <w:b/>
                <w:sz w:val="24"/>
              </w:rPr>
            </w:pPr>
            <w:r>
              <w:rPr>
                <w:b/>
                <w:color w:val="FFFFFF"/>
                <w:spacing w:val="-4"/>
                <w:sz w:val="24"/>
              </w:rPr>
              <w:t>2022</w:t>
            </w:r>
            <w:r>
              <w:rPr>
                <w:b/>
                <w:color w:val="FFFFFF"/>
                <w:sz w:val="24"/>
              </w:rPr>
              <w:tab/>
            </w:r>
            <w:r>
              <w:rPr>
                <w:b/>
                <w:color w:val="FFFFFF"/>
                <w:spacing w:val="-4"/>
                <w:sz w:val="24"/>
              </w:rPr>
              <w:t>2021</w:t>
            </w:r>
          </w:p>
        </w:tc>
      </w:tr>
      <w:tr w:rsidR="00345EE3" w14:paraId="475EB8C0" w14:textId="77777777" w:rsidTr="00D73130">
        <w:trPr>
          <w:trHeight w:val="393"/>
        </w:trPr>
        <w:tc>
          <w:tcPr>
            <w:tcW w:w="7597" w:type="dxa"/>
            <w:tcBorders>
              <w:top w:val="nil"/>
              <w:left w:val="nil"/>
              <w:right w:val="single" w:sz="2" w:space="0" w:color="939598"/>
            </w:tcBorders>
          </w:tcPr>
          <w:p w14:paraId="7CCB429A" w14:textId="77777777" w:rsidR="00345EE3" w:rsidRDefault="00345EE3" w:rsidP="00D73130">
            <w:pPr>
              <w:pStyle w:val="TableParagraph"/>
              <w:ind w:left="-3"/>
              <w:jc w:val="left"/>
              <w:rPr>
                <w:sz w:val="24"/>
              </w:rPr>
            </w:pPr>
            <w:r>
              <w:rPr>
                <w:color w:val="231F20"/>
                <w:sz w:val="24"/>
              </w:rPr>
              <w:t>Grants</w:t>
            </w:r>
            <w:r>
              <w:rPr>
                <w:color w:val="231F20"/>
                <w:spacing w:val="-5"/>
                <w:sz w:val="24"/>
              </w:rPr>
              <w:t xml:space="preserve"> </w:t>
            </w:r>
            <w:r>
              <w:rPr>
                <w:color w:val="231F20"/>
                <w:sz w:val="24"/>
              </w:rPr>
              <w:t>from</w:t>
            </w:r>
            <w:r>
              <w:rPr>
                <w:color w:val="231F20"/>
                <w:spacing w:val="-4"/>
                <w:sz w:val="24"/>
              </w:rPr>
              <w:t xml:space="preserve"> </w:t>
            </w:r>
            <w:r>
              <w:rPr>
                <w:color w:val="231F20"/>
                <w:sz w:val="24"/>
              </w:rPr>
              <w:t>Victorian</w:t>
            </w:r>
            <w:r>
              <w:rPr>
                <w:color w:val="231F20"/>
                <w:spacing w:val="-4"/>
                <w:sz w:val="24"/>
              </w:rPr>
              <w:t xml:space="preserve"> </w:t>
            </w:r>
            <w:r>
              <w:rPr>
                <w:color w:val="231F20"/>
                <w:spacing w:val="-2"/>
                <w:sz w:val="24"/>
              </w:rPr>
              <w:t>Government</w:t>
            </w:r>
          </w:p>
        </w:tc>
        <w:tc>
          <w:tcPr>
            <w:tcW w:w="1304" w:type="dxa"/>
            <w:tcBorders>
              <w:top w:val="nil"/>
              <w:left w:val="single" w:sz="2" w:space="0" w:color="939598"/>
              <w:right w:val="single" w:sz="2" w:space="0" w:color="939598"/>
            </w:tcBorders>
            <w:shd w:val="clear" w:color="auto" w:fill="E6E7E8"/>
          </w:tcPr>
          <w:p w14:paraId="1CC7162B" w14:textId="77777777" w:rsidR="00345EE3" w:rsidRDefault="00345EE3" w:rsidP="00D73130">
            <w:pPr>
              <w:pStyle w:val="TableParagraph"/>
              <w:ind w:right="1"/>
              <w:rPr>
                <w:sz w:val="24"/>
              </w:rPr>
            </w:pPr>
            <w:r>
              <w:rPr>
                <w:color w:val="231F20"/>
                <w:spacing w:val="-2"/>
                <w:sz w:val="24"/>
              </w:rPr>
              <w:t>4,082,978</w:t>
            </w:r>
          </w:p>
        </w:tc>
        <w:tc>
          <w:tcPr>
            <w:tcW w:w="1304" w:type="dxa"/>
            <w:tcBorders>
              <w:top w:val="nil"/>
              <w:left w:val="single" w:sz="2" w:space="0" w:color="939598"/>
              <w:right w:val="nil"/>
            </w:tcBorders>
          </w:tcPr>
          <w:p w14:paraId="1CAA2BCA" w14:textId="77777777" w:rsidR="00345EE3" w:rsidRDefault="00345EE3" w:rsidP="00D73130">
            <w:pPr>
              <w:pStyle w:val="TableParagraph"/>
              <w:ind w:right="1"/>
              <w:rPr>
                <w:sz w:val="24"/>
              </w:rPr>
            </w:pPr>
            <w:r>
              <w:rPr>
                <w:color w:val="231F20"/>
                <w:spacing w:val="-2"/>
                <w:sz w:val="24"/>
              </w:rPr>
              <w:t>4,088,960</w:t>
            </w:r>
          </w:p>
        </w:tc>
      </w:tr>
      <w:tr w:rsidR="00345EE3" w14:paraId="5AF9204C" w14:textId="77777777" w:rsidTr="00D73130">
        <w:trPr>
          <w:trHeight w:val="386"/>
        </w:trPr>
        <w:tc>
          <w:tcPr>
            <w:tcW w:w="7597" w:type="dxa"/>
            <w:tcBorders>
              <w:left w:val="nil"/>
              <w:bottom w:val="single" w:sz="8" w:space="0" w:color="231F20"/>
              <w:right w:val="single" w:sz="2" w:space="0" w:color="939598"/>
            </w:tcBorders>
          </w:tcPr>
          <w:p w14:paraId="17E28BD3" w14:textId="77777777" w:rsidR="00345EE3" w:rsidRDefault="00345EE3" w:rsidP="00D73130">
            <w:pPr>
              <w:pStyle w:val="TableParagraph"/>
              <w:spacing w:before="58"/>
              <w:ind w:left="-3"/>
              <w:jc w:val="left"/>
              <w:rPr>
                <w:b/>
                <w:sz w:val="24"/>
              </w:rPr>
            </w:pPr>
            <w:r>
              <w:rPr>
                <w:b/>
                <w:color w:val="231F20"/>
                <w:sz w:val="24"/>
              </w:rPr>
              <w:t>Total</w:t>
            </w:r>
            <w:r>
              <w:rPr>
                <w:b/>
                <w:color w:val="231F20"/>
                <w:spacing w:val="-8"/>
                <w:sz w:val="24"/>
              </w:rPr>
              <w:t xml:space="preserve"> </w:t>
            </w:r>
            <w:r>
              <w:rPr>
                <w:b/>
                <w:color w:val="231F20"/>
                <w:sz w:val="24"/>
              </w:rPr>
              <w:t>Grants</w:t>
            </w:r>
            <w:r>
              <w:rPr>
                <w:b/>
                <w:color w:val="231F20"/>
                <w:spacing w:val="-6"/>
                <w:sz w:val="24"/>
              </w:rPr>
              <w:t xml:space="preserve"> </w:t>
            </w:r>
            <w:r>
              <w:rPr>
                <w:b/>
                <w:color w:val="231F20"/>
                <w:sz w:val="24"/>
              </w:rPr>
              <w:t>from</w:t>
            </w:r>
            <w:r>
              <w:rPr>
                <w:b/>
                <w:color w:val="231F20"/>
                <w:spacing w:val="-6"/>
                <w:sz w:val="24"/>
              </w:rPr>
              <w:t xml:space="preserve"> </w:t>
            </w:r>
            <w:r>
              <w:rPr>
                <w:b/>
                <w:color w:val="231F20"/>
                <w:sz w:val="24"/>
              </w:rPr>
              <w:t>Victorian</w:t>
            </w:r>
            <w:r>
              <w:rPr>
                <w:b/>
                <w:color w:val="231F20"/>
                <w:spacing w:val="-5"/>
                <w:sz w:val="24"/>
              </w:rPr>
              <w:t xml:space="preserve"> </w:t>
            </w:r>
            <w:r>
              <w:rPr>
                <w:b/>
                <w:color w:val="231F20"/>
                <w:spacing w:val="-2"/>
                <w:sz w:val="24"/>
              </w:rPr>
              <w:t>Government</w:t>
            </w:r>
          </w:p>
        </w:tc>
        <w:tc>
          <w:tcPr>
            <w:tcW w:w="1304" w:type="dxa"/>
            <w:tcBorders>
              <w:left w:val="single" w:sz="2" w:space="0" w:color="939598"/>
              <w:bottom w:val="single" w:sz="8" w:space="0" w:color="231F20"/>
              <w:right w:val="single" w:sz="2" w:space="0" w:color="939598"/>
            </w:tcBorders>
            <w:shd w:val="clear" w:color="auto" w:fill="E6E7E8"/>
          </w:tcPr>
          <w:p w14:paraId="691ACA9B" w14:textId="77777777" w:rsidR="00345EE3" w:rsidRDefault="00345EE3" w:rsidP="00D73130">
            <w:pPr>
              <w:pStyle w:val="TableParagraph"/>
              <w:spacing w:before="58"/>
              <w:ind w:right="1"/>
              <w:rPr>
                <w:b/>
                <w:sz w:val="24"/>
              </w:rPr>
            </w:pPr>
            <w:r>
              <w:rPr>
                <w:b/>
                <w:color w:val="231F20"/>
                <w:spacing w:val="-2"/>
                <w:sz w:val="24"/>
              </w:rPr>
              <w:t>4,082,978</w:t>
            </w:r>
          </w:p>
        </w:tc>
        <w:tc>
          <w:tcPr>
            <w:tcW w:w="1304" w:type="dxa"/>
            <w:tcBorders>
              <w:left w:val="single" w:sz="2" w:space="0" w:color="939598"/>
              <w:bottom w:val="single" w:sz="8" w:space="0" w:color="231F20"/>
              <w:right w:val="nil"/>
            </w:tcBorders>
          </w:tcPr>
          <w:p w14:paraId="43DB9BE9" w14:textId="77777777" w:rsidR="00345EE3" w:rsidRDefault="00345EE3" w:rsidP="00D73130">
            <w:pPr>
              <w:pStyle w:val="TableParagraph"/>
              <w:spacing w:before="58"/>
              <w:ind w:right="-15"/>
              <w:rPr>
                <w:b/>
                <w:sz w:val="24"/>
              </w:rPr>
            </w:pPr>
            <w:r>
              <w:rPr>
                <w:b/>
                <w:color w:val="231F20"/>
                <w:spacing w:val="-2"/>
                <w:sz w:val="24"/>
              </w:rPr>
              <w:t>4,088,960</w:t>
            </w:r>
          </w:p>
        </w:tc>
      </w:tr>
    </w:tbl>
    <w:p w14:paraId="2258D79B" w14:textId="77777777" w:rsidR="00345EE3" w:rsidRDefault="00345EE3" w:rsidP="00345EE3">
      <w:pPr>
        <w:pStyle w:val="Heading5"/>
        <w:spacing w:before="213"/>
      </w:pPr>
      <w:r>
        <w:rPr>
          <w:color w:val="231F20"/>
        </w:rPr>
        <w:t>Grants</w:t>
      </w:r>
      <w:r>
        <w:rPr>
          <w:color w:val="231F20"/>
          <w:spacing w:val="-3"/>
        </w:rPr>
        <w:t xml:space="preserve"> </w:t>
      </w:r>
      <w:r>
        <w:rPr>
          <w:color w:val="231F20"/>
        </w:rPr>
        <w:t>Received</w:t>
      </w:r>
      <w:r>
        <w:rPr>
          <w:color w:val="231F20"/>
          <w:spacing w:val="-3"/>
        </w:rPr>
        <w:t xml:space="preserve"> </w:t>
      </w:r>
      <w:r>
        <w:rPr>
          <w:color w:val="231F20"/>
        </w:rPr>
        <w:t>from</w:t>
      </w:r>
      <w:r>
        <w:rPr>
          <w:color w:val="231F20"/>
          <w:spacing w:val="-2"/>
        </w:rPr>
        <w:t xml:space="preserve"> </w:t>
      </w:r>
      <w:r>
        <w:rPr>
          <w:color w:val="231F20"/>
        </w:rPr>
        <w:t>Victorian</w:t>
      </w:r>
      <w:r>
        <w:rPr>
          <w:color w:val="231F20"/>
          <w:spacing w:val="-3"/>
        </w:rPr>
        <w:t xml:space="preserve"> </w:t>
      </w:r>
      <w:r>
        <w:rPr>
          <w:color w:val="231F20"/>
          <w:spacing w:val="-2"/>
        </w:rPr>
        <w:t>Government</w:t>
      </w:r>
    </w:p>
    <w:p w14:paraId="45542089" w14:textId="77777777" w:rsidR="00345EE3" w:rsidRDefault="00345EE3" w:rsidP="00345EE3">
      <w:pPr>
        <w:pStyle w:val="BodyText"/>
        <w:spacing w:before="61" w:line="242" w:lineRule="auto"/>
      </w:pPr>
      <w:r>
        <w:rPr>
          <w:color w:val="231F20"/>
        </w:rPr>
        <w:t>Income from grants received is based on the output Victoria Police provides to the public and is recognised</w:t>
      </w:r>
      <w:r>
        <w:rPr>
          <w:color w:val="231F20"/>
          <w:spacing w:val="-9"/>
        </w:rPr>
        <w:t xml:space="preserve"> </w:t>
      </w:r>
      <w:r>
        <w:rPr>
          <w:color w:val="231F20"/>
        </w:rPr>
        <w:t>when</w:t>
      </w:r>
      <w:r>
        <w:rPr>
          <w:color w:val="231F20"/>
          <w:spacing w:val="-9"/>
        </w:rPr>
        <w:t xml:space="preserve"> </w:t>
      </w:r>
      <w:r>
        <w:rPr>
          <w:color w:val="231F20"/>
        </w:rPr>
        <w:t>the</w:t>
      </w:r>
      <w:r>
        <w:rPr>
          <w:color w:val="231F20"/>
          <w:spacing w:val="-9"/>
        </w:rPr>
        <w:t xml:space="preserve"> </w:t>
      </w:r>
      <w:r>
        <w:rPr>
          <w:color w:val="231F20"/>
        </w:rPr>
        <w:t>output</w:t>
      </w:r>
      <w:r>
        <w:rPr>
          <w:color w:val="231F20"/>
          <w:spacing w:val="-8"/>
        </w:rPr>
        <w:t xml:space="preserve"> </w:t>
      </w:r>
      <w:r>
        <w:rPr>
          <w:color w:val="231F20"/>
        </w:rPr>
        <w:t>has</w:t>
      </w:r>
      <w:r>
        <w:rPr>
          <w:color w:val="231F20"/>
          <w:spacing w:val="-8"/>
        </w:rPr>
        <w:t xml:space="preserve"> </w:t>
      </w:r>
      <w:r>
        <w:rPr>
          <w:color w:val="231F20"/>
        </w:rPr>
        <w:t>been</w:t>
      </w:r>
      <w:r>
        <w:rPr>
          <w:color w:val="231F20"/>
          <w:spacing w:val="-9"/>
        </w:rPr>
        <w:t xml:space="preserve"> </w:t>
      </w:r>
      <w:r>
        <w:rPr>
          <w:color w:val="231F20"/>
        </w:rPr>
        <w:t>delivered</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relevant</w:t>
      </w:r>
      <w:r>
        <w:rPr>
          <w:color w:val="231F20"/>
          <w:spacing w:val="-8"/>
        </w:rPr>
        <w:t xml:space="preserve"> </w:t>
      </w:r>
      <w:r>
        <w:rPr>
          <w:color w:val="231F20"/>
        </w:rPr>
        <w:t>Minister</w:t>
      </w:r>
      <w:r>
        <w:rPr>
          <w:color w:val="231F20"/>
          <w:spacing w:val="-8"/>
        </w:rPr>
        <w:t xml:space="preserve"> </w:t>
      </w:r>
      <w:r>
        <w:rPr>
          <w:color w:val="231F20"/>
        </w:rPr>
        <w:t>has</w:t>
      </w:r>
      <w:r>
        <w:rPr>
          <w:color w:val="231F20"/>
          <w:spacing w:val="-8"/>
        </w:rPr>
        <w:t xml:space="preserve"> </w:t>
      </w:r>
      <w:r>
        <w:rPr>
          <w:color w:val="231F20"/>
        </w:rPr>
        <w:t>certified</w:t>
      </w:r>
      <w:r>
        <w:rPr>
          <w:color w:val="231F20"/>
          <w:spacing w:val="-9"/>
        </w:rPr>
        <w:t xml:space="preserve"> </w:t>
      </w:r>
      <w:r>
        <w:rPr>
          <w:color w:val="231F20"/>
        </w:rPr>
        <w:t>delivery</w:t>
      </w:r>
      <w:r>
        <w:rPr>
          <w:color w:val="231F20"/>
          <w:spacing w:val="-8"/>
        </w:rPr>
        <w:t xml:space="preserve"> </w:t>
      </w:r>
      <w:r>
        <w:rPr>
          <w:color w:val="231F20"/>
        </w:rPr>
        <w:t>of the</w:t>
      </w:r>
      <w:r>
        <w:rPr>
          <w:color w:val="231F20"/>
          <w:spacing w:val="-4"/>
        </w:rPr>
        <w:t xml:space="preserve"> </w:t>
      </w:r>
      <w:r>
        <w:rPr>
          <w:color w:val="231F20"/>
        </w:rPr>
        <w:t>output</w:t>
      </w:r>
      <w:r>
        <w:rPr>
          <w:color w:val="231F20"/>
          <w:spacing w:val="-3"/>
        </w:rPr>
        <w:t xml:space="preserve"> </w:t>
      </w:r>
      <w:r>
        <w:rPr>
          <w:color w:val="231F20"/>
        </w:rPr>
        <w:t>in</w:t>
      </w:r>
      <w:r>
        <w:rPr>
          <w:color w:val="231F20"/>
          <w:spacing w:val="-4"/>
        </w:rPr>
        <w:t xml:space="preserve"> </w:t>
      </w:r>
      <w:r>
        <w:rPr>
          <w:color w:val="231F20"/>
        </w:rPr>
        <w:t>accordance</w:t>
      </w:r>
      <w:r>
        <w:rPr>
          <w:color w:val="231F20"/>
          <w:spacing w:val="-4"/>
        </w:rPr>
        <w:t xml:space="preserve"> </w:t>
      </w:r>
      <w:r>
        <w:rPr>
          <w:color w:val="231F20"/>
        </w:rPr>
        <w:t>with</w:t>
      </w:r>
      <w:r>
        <w:rPr>
          <w:color w:val="231F20"/>
          <w:spacing w:val="-4"/>
        </w:rPr>
        <w:t xml:space="preserve"> </w:t>
      </w:r>
      <w:r>
        <w:rPr>
          <w:color w:val="231F20"/>
        </w:rPr>
        <w:t>specified</w:t>
      </w:r>
      <w:r>
        <w:rPr>
          <w:color w:val="231F20"/>
          <w:spacing w:val="-4"/>
        </w:rPr>
        <w:t xml:space="preserve"> </w:t>
      </w:r>
      <w:r>
        <w:rPr>
          <w:color w:val="231F20"/>
        </w:rPr>
        <w:t>performance</w:t>
      </w:r>
      <w:r>
        <w:rPr>
          <w:color w:val="231F20"/>
          <w:spacing w:val="-4"/>
        </w:rPr>
        <w:t xml:space="preserve"> </w:t>
      </w:r>
      <w:r>
        <w:rPr>
          <w:color w:val="231F20"/>
        </w:rPr>
        <w:t>criteria.</w:t>
      </w:r>
      <w:r>
        <w:rPr>
          <w:color w:val="231F20"/>
          <w:spacing w:val="-3"/>
        </w:rPr>
        <w:t xml:space="preserve"> </w:t>
      </w:r>
      <w:r>
        <w:rPr>
          <w:color w:val="231F20"/>
        </w:rPr>
        <w:t>Please</w:t>
      </w:r>
      <w:r>
        <w:rPr>
          <w:color w:val="231F20"/>
          <w:spacing w:val="-4"/>
        </w:rPr>
        <w:t xml:space="preserve"> </w:t>
      </w:r>
      <w:r>
        <w:rPr>
          <w:color w:val="231F20"/>
        </w:rPr>
        <w:t>refer</w:t>
      </w:r>
      <w:r>
        <w:rPr>
          <w:color w:val="231F20"/>
          <w:spacing w:val="-3"/>
        </w:rPr>
        <w:t xml:space="preserve"> </w:t>
      </w:r>
      <w:r>
        <w:rPr>
          <w:color w:val="231F20"/>
        </w:rPr>
        <w:t>to</w:t>
      </w:r>
      <w:r>
        <w:rPr>
          <w:color w:val="231F20"/>
          <w:spacing w:val="-4"/>
        </w:rPr>
        <w:t xml:space="preserve"> </w:t>
      </w:r>
      <w:r>
        <w:rPr>
          <w:color w:val="231F20"/>
        </w:rPr>
        <w:t>accounting</w:t>
      </w:r>
      <w:r>
        <w:rPr>
          <w:color w:val="231F20"/>
          <w:spacing w:val="-4"/>
        </w:rPr>
        <w:t xml:space="preserve"> </w:t>
      </w:r>
      <w:r>
        <w:rPr>
          <w:color w:val="231F20"/>
        </w:rPr>
        <w:t>policy</w:t>
      </w:r>
      <w:r>
        <w:rPr>
          <w:color w:val="231F20"/>
          <w:spacing w:val="-3"/>
        </w:rPr>
        <w:t xml:space="preserve"> </w:t>
      </w:r>
      <w:r>
        <w:rPr>
          <w:color w:val="231F20"/>
        </w:rPr>
        <w:t>in Note</w:t>
      </w:r>
      <w:r>
        <w:rPr>
          <w:color w:val="231F20"/>
          <w:spacing w:val="-5"/>
        </w:rPr>
        <w:t xml:space="preserve"> </w:t>
      </w:r>
      <w:r>
        <w:rPr>
          <w:color w:val="231F20"/>
        </w:rPr>
        <w:t>2.3.2</w:t>
      </w:r>
      <w:r>
        <w:rPr>
          <w:color w:val="231F20"/>
          <w:spacing w:val="-5"/>
        </w:rPr>
        <w:t xml:space="preserve"> </w:t>
      </w:r>
      <w:r>
        <w:rPr>
          <w:color w:val="231F20"/>
        </w:rPr>
        <w:t>Grants</w:t>
      </w:r>
      <w:r>
        <w:rPr>
          <w:color w:val="231F20"/>
          <w:spacing w:val="-4"/>
        </w:rPr>
        <w:t xml:space="preserve"> </w:t>
      </w:r>
      <w:r>
        <w:rPr>
          <w:color w:val="231F20"/>
        </w:rPr>
        <w:t>Recognised</w:t>
      </w:r>
      <w:r>
        <w:rPr>
          <w:color w:val="231F20"/>
          <w:spacing w:val="-5"/>
        </w:rPr>
        <w:t xml:space="preserve"> </w:t>
      </w:r>
      <w:r>
        <w:rPr>
          <w:color w:val="231F20"/>
        </w:rPr>
        <w:t>Under</w:t>
      </w:r>
      <w:r>
        <w:rPr>
          <w:color w:val="231F20"/>
          <w:spacing w:val="-4"/>
        </w:rPr>
        <w:t xml:space="preserve"> </w:t>
      </w:r>
      <w:r>
        <w:rPr>
          <w:color w:val="231F20"/>
        </w:rPr>
        <w:t>AASB</w:t>
      </w:r>
      <w:r>
        <w:rPr>
          <w:color w:val="231F20"/>
          <w:spacing w:val="-4"/>
        </w:rPr>
        <w:t xml:space="preserve"> </w:t>
      </w:r>
      <w:r>
        <w:rPr>
          <w:color w:val="231F20"/>
        </w:rPr>
        <w:t>1058</w:t>
      </w:r>
      <w:r>
        <w:rPr>
          <w:color w:val="231F20"/>
          <w:spacing w:val="-5"/>
        </w:rPr>
        <w:t xml:space="preserve"> </w:t>
      </w:r>
      <w:r>
        <w:rPr>
          <w:i/>
          <w:color w:val="231F20"/>
        </w:rPr>
        <w:t>Income</w:t>
      </w:r>
      <w:r>
        <w:rPr>
          <w:i/>
          <w:color w:val="231F20"/>
          <w:spacing w:val="-12"/>
        </w:rPr>
        <w:t xml:space="preserve"> </w:t>
      </w:r>
      <w:r>
        <w:rPr>
          <w:i/>
          <w:color w:val="231F20"/>
        </w:rPr>
        <w:t>of</w:t>
      </w:r>
      <w:r>
        <w:rPr>
          <w:i/>
          <w:color w:val="231F20"/>
          <w:spacing w:val="-12"/>
        </w:rPr>
        <w:t xml:space="preserve"> </w:t>
      </w:r>
      <w:r>
        <w:rPr>
          <w:i/>
          <w:color w:val="231F20"/>
        </w:rPr>
        <w:t>Not-for-Profit</w:t>
      </w:r>
      <w:r>
        <w:rPr>
          <w:i/>
          <w:color w:val="231F20"/>
          <w:spacing w:val="-12"/>
        </w:rPr>
        <w:t xml:space="preserve"> </w:t>
      </w:r>
      <w:r>
        <w:rPr>
          <w:i/>
          <w:color w:val="231F20"/>
        </w:rPr>
        <w:t>Entities</w:t>
      </w:r>
      <w:r>
        <w:rPr>
          <w:i/>
          <w:color w:val="231F20"/>
          <w:spacing w:val="-8"/>
        </w:rPr>
        <w:t xml:space="preserve"> </w:t>
      </w:r>
      <w:r>
        <w:rPr>
          <w:color w:val="231F20"/>
        </w:rPr>
        <w:t>(AASB</w:t>
      </w:r>
      <w:r>
        <w:rPr>
          <w:color w:val="231F20"/>
          <w:spacing w:val="-4"/>
        </w:rPr>
        <w:t xml:space="preserve"> </w:t>
      </w:r>
      <w:r>
        <w:rPr>
          <w:color w:val="231F20"/>
        </w:rPr>
        <w:t>1058).</w:t>
      </w:r>
    </w:p>
    <w:p w14:paraId="47710FB2" w14:textId="77777777" w:rsidR="00345EE3" w:rsidRDefault="00345EE3" w:rsidP="002A27BA">
      <w:pPr>
        <w:pStyle w:val="Heading3"/>
        <w:numPr>
          <w:ilvl w:val="1"/>
          <w:numId w:val="44"/>
        </w:numPr>
      </w:pPr>
      <w:r>
        <w:t>Income from Transactions</w:t>
      </w:r>
    </w:p>
    <w:p w14:paraId="5773F708" w14:textId="77777777" w:rsidR="00345EE3" w:rsidRDefault="00345EE3">
      <w:pPr>
        <w:pStyle w:val="Heading5"/>
        <w:numPr>
          <w:ilvl w:val="2"/>
          <w:numId w:val="44"/>
        </w:numPr>
        <w:tabs>
          <w:tab w:val="left" w:pos="711"/>
        </w:tabs>
        <w:spacing w:before="108"/>
        <w:ind w:left="2329" w:hanging="601"/>
      </w:pPr>
      <w:r>
        <w:rPr>
          <w:color w:val="58595B"/>
        </w:rPr>
        <w:t>Sale</w:t>
      </w:r>
      <w:r>
        <w:rPr>
          <w:color w:val="58595B"/>
          <w:spacing w:val="-1"/>
        </w:rPr>
        <w:t xml:space="preserve"> </w:t>
      </w:r>
      <w:r>
        <w:rPr>
          <w:color w:val="58595B"/>
        </w:rPr>
        <w:t>of Goods</w:t>
      </w:r>
      <w:r>
        <w:rPr>
          <w:color w:val="58595B"/>
          <w:spacing w:val="-1"/>
        </w:rPr>
        <w:t xml:space="preserve"> </w:t>
      </w:r>
      <w:r>
        <w:rPr>
          <w:color w:val="58595B"/>
        </w:rPr>
        <w:t>and</w:t>
      </w:r>
      <w:r>
        <w:rPr>
          <w:color w:val="58595B"/>
          <w:spacing w:val="-1"/>
        </w:rPr>
        <w:t xml:space="preserve"> </w:t>
      </w:r>
      <w:r>
        <w:rPr>
          <w:color w:val="58595B"/>
          <w:spacing w:val="-2"/>
        </w:rPr>
        <w:t>Services</w:t>
      </w:r>
    </w:p>
    <w:p w14:paraId="16D8BFCE" w14:textId="77777777" w:rsidR="00345EE3" w:rsidRDefault="00345EE3" w:rsidP="00345EE3">
      <w:pPr>
        <w:pStyle w:val="BodyText"/>
        <w:spacing w:before="5" w:line="242" w:lineRule="auto"/>
        <w:ind w:right="115"/>
      </w:pPr>
      <w:r>
        <w:rPr>
          <w:color w:val="231F20"/>
        </w:rPr>
        <w:t>The</w:t>
      </w:r>
      <w:r>
        <w:rPr>
          <w:color w:val="231F20"/>
          <w:spacing w:val="-8"/>
        </w:rPr>
        <w:t xml:space="preserve"> </w:t>
      </w:r>
      <w:r>
        <w:rPr>
          <w:color w:val="231F20"/>
        </w:rPr>
        <w:t>sale</w:t>
      </w:r>
      <w:r>
        <w:rPr>
          <w:color w:val="231F20"/>
          <w:spacing w:val="-8"/>
        </w:rPr>
        <w:t xml:space="preserve"> </w:t>
      </w:r>
      <w:r>
        <w:rPr>
          <w:color w:val="231F20"/>
        </w:rPr>
        <w:t>of</w:t>
      </w:r>
      <w:r>
        <w:rPr>
          <w:color w:val="231F20"/>
          <w:spacing w:val="-7"/>
        </w:rPr>
        <w:t xml:space="preserve"> </w:t>
      </w:r>
      <w:r>
        <w:rPr>
          <w:color w:val="231F20"/>
        </w:rPr>
        <w:t>goods</w:t>
      </w:r>
      <w:r>
        <w:rPr>
          <w:color w:val="231F20"/>
          <w:spacing w:val="-7"/>
        </w:rPr>
        <w:t xml:space="preserve"> </w:t>
      </w:r>
      <w:r>
        <w:rPr>
          <w:color w:val="231F20"/>
        </w:rPr>
        <w:t>and</w:t>
      </w:r>
      <w:r>
        <w:rPr>
          <w:color w:val="231F20"/>
          <w:spacing w:val="-8"/>
        </w:rPr>
        <w:t xml:space="preserve"> </w:t>
      </w:r>
      <w:r>
        <w:rPr>
          <w:color w:val="231F20"/>
        </w:rPr>
        <w:t>rendering</w:t>
      </w:r>
      <w:r>
        <w:rPr>
          <w:color w:val="231F20"/>
          <w:spacing w:val="-8"/>
        </w:rPr>
        <w:t xml:space="preserve"> </w:t>
      </w:r>
      <w:r>
        <w:rPr>
          <w:color w:val="231F20"/>
        </w:rPr>
        <w:t>of</w:t>
      </w:r>
      <w:r>
        <w:rPr>
          <w:color w:val="231F20"/>
          <w:spacing w:val="-7"/>
        </w:rPr>
        <w:t xml:space="preserve"> </w:t>
      </w:r>
      <w:r>
        <w:rPr>
          <w:color w:val="231F20"/>
        </w:rPr>
        <w:t>services</w:t>
      </w:r>
      <w:r>
        <w:rPr>
          <w:color w:val="231F20"/>
          <w:spacing w:val="-7"/>
        </w:rPr>
        <w:t xml:space="preserve"> </w:t>
      </w:r>
      <w:r>
        <w:rPr>
          <w:color w:val="231F20"/>
        </w:rPr>
        <w:t>are</w:t>
      </w:r>
      <w:r>
        <w:rPr>
          <w:color w:val="231F20"/>
          <w:spacing w:val="-8"/>
        </w:rPr>
        <w:t xml:space="preserve"> </w:t>
      </w:r>
      <w:r>
        <w:rPr>
          <w:color w:val="231F20"/>
        </w:rPr>
        <w:t>transactions</w:t>
      </w:r>
      <w:r>
        <w:rPr>
          <w:color w:val="231F20"/>
          <w:spacing w:val="-7"/>
        </w:rPr>
        <w:t xml:space="preserve"> </w:t>
      </w:r>
      <w:r>
        <w:rPr>
          <w:color w:val="231F20"/>
        </w:rPr>
        <w:t>that</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has</w:t>
      </w:r>
      <w:r>
        <w:rPr>
          <w:color w:val="231F20"/>
          <w:spacing w:val="-7"/>
        </w:rPr>
        <w:t xml:space="preserve"> </w:t>
      </w:r>
      <w:r>
        <w:rPr>
          <w:color w:val="231F20"/>
        </w:rPr>
        <w:t>determined to be classified as revenue from contracts with customers in accordance with AASB 15.</w:t>
      </w:r>
    </w:p>
    <w:p w14:paraId="144309C5" w14:textId="77777777" w:rsidR="00345EE3" w:rsidRDefault="00345EE3" w:rsidP="00345EE3">
      <w:pPr>
        <w:pStyle w:val="Heading5"/>
        <w:spacing w:before="229"/>
      </w:pPr>
      <w:r>
        <w:rPr>
          <w:color w:val="231F20"/>
        </w:rPr>
        <w:t>Performance</w:t>
      </w:r>
      <w:r>
        <w:rPr>
          <w:color w:val="231F20"/>
          <w:spacing w:val="-7"/>
        </w:rPr>
        <w:t xml:space="preserve"> </w:t>
      </w:r>
      <w:r>
        <w:rPr>
          <w:color w:val="231F20"/>
        </w:rPr>
        <w:t>Obligations</w:t>
      </w:r>
      <w:r>
        <w:rPr>
          <w:color w:val="231F20"/>
          <w:spacing w:val="-4"/>
        </w:rPr>
        <w:t xml:space="preserve"> </w:t>
      </w:r>
      <w:r>
        <w:rPr>
          <w:color w:val="231F20"/>
        </w:rPr>
        <w:t>and</w:t>
      </w:r>
      <w:r>
        <w:rPr>
          <w:color w:val="231F20"/>
          <w:spacing w:val="-4"/>
        </w:rPr>
        <w:t xml:space="preserve"> </w:t>
      </w:r>
      <w:r>
        <w:rPr>
          <w:color w:val="231F20"/>
        </w:rPr>
        <w:t>Revenue</w:t>
      </w:r>
      <w:r>
        <w:rPr>
          <w:color w:val="231F20"/>
          <w:spacing w:val="-4"/>
        </w:rPr>
        <w:t xml:space="preserve"> </w:t>
      </w:r>
      <w:r>
        <w:rPr>
          <w:color w:val="231F20"/>
        </w:rPr>
        <w:t>Recognition</w:t>
      </w:r>
      <w:r>
        <w:rPr>
          <w:color w:val="231F20"/>
          <w:spacing w:val="-3"/>
        </w:rPr>
        <w:t xml:space="preserve"> </w:t>
      </w:r>
      <w:r>
        <w:rPr>
          <w:color w:val="231F20"/>
          <w:spacing w:val="-2"/>
        </w:rPr>
        <w:t>Policies</w:t>
      </w:r>
    </w:p>
    <w:p w14:paraId="6ADA8C6D" w14:textId="77777777" w:rsidR="00345EE3" w:rsidRDefault="00345EE3" w:rsidP="00345EE3">
      <w:pPr>
        <w:pStyle w:val="BodyText"/>
        <w:spacing w:before="61" w:line="242" w:lineRule="auto"/>
      </w:pPr>
      <w:r>
        <w:rPr>
          <w:color w:val="231F20"/>
        </w:rPr>
        <w:t>Revenue is measured based on the consideration specified in the contract with the customer. Victoria</w:t>
      </w:r>
      <w:r>
        <w:rPr>
          <w:color w:val="231F20"/>
          <w:spacing w:val="-8"/>
        </w:rPr>
        <w:t xml:space="preserve"> </w:t>
      </w:r>
      <w:r>
        <w:rPr>
          <w:color w:val="231F20"/>
        </w:rPr>
        <w:t>Police</w:t>
      </w:r>
      <w:r>
        <w:rPr>
          <w:color w:val="231F20"/>
          <w:spacing w:val="-8"/>
        </w:rPr>
        <w:t xml:space="preserve"> </w:t>
      </w:r>
      <w:r>
        <w:rPr>
          <w:color w:val="231F20"/>
        </w:rPr>
        <w:t>recognises</w:t>
      </w:r>
      <w:r>
        <w:rPr>
          <w:color w:val="231F20"/>
          <w:spacing w:val="-7"/>
        </w:rPr>
        <w:t xml:space="preserve"> </w:t>
      </w:r>
      <w:r>
        <w:rPr>
          <w:color w:val="231F20"/>
        </w:rPr>
        <w:t>revenue</w:t>
      </w:r>
      <w:r>
        <w:rPr>
          <w:color w:val="231F20"/>
          <w:spacing w:val="-8"/>
        </w:rPr>
        <w:t xml:space="preserve"> </w:t>
      </w:r>
      <w:r>
        <w:rPr>
          <w:color w:val="231F20"/>
        </w:rPr>
        <w:t>when</w:t>
      </w:r>
      <w:r>
        <w:rPr>
          <w:color w:val="231F20"/>
          <w:spacing w:val="-8"/>
        </w:rPr>
        <w:t xml:space="preserve"> </w:t>
      </w:r>
      <w:r>
        <w:rPr>
          <w:color w:val="231F20"/>
        </w:rPr>
        <w:t>it</w:t>
      </w:r>
      <w:r>
        <w:rPr>
          <w:color w:val="231F20"/>
          <w:spacing w:val="-7"/>
        </w:rPr>
        <w:t xml:space="preserve"> </w:t>
      </w:r>
      <w:r>
        <w:rPr>
          <w:color w:val="231F20"/>
        </w:rPr>
        <w:t>transfers</w:t>
      </w:r>
      <w:r>
        <w:rPr>
          <w:color w:val="231F20"/>
          <w:spacing w:val="-7"/>
        </w:rPr>
        <w:t xml:space="preserve"> </w:t>
      </w:r>
      <w:r>
        <w:rPr>
          <w:color w:val="231F20"/>
        </w:rPr>
        <w:t>control</w:t>
      </w:r>
      <w:r>
        <w:rPr>
          <w:color w:val="231F20"/>
          <w:spacing w:val="-8"/>
        </w:rPr>
        <w:t xml:space="preserve"> </w:t>
      </w:r>
      <w:r>
        <w:rPr>
          <w:color w:val="231F20"/>
        </w:rPr>
        <w:t>of</w:t>
      </w:r>
      <w:r>
        <w:rPr>
          <w:color w:val="231F20"/>
          <w:spacing w:val="-7"/>
        </w:rPr>
        <w:t xml:space="preserve"> </w:t>
      </w:r>
      <w:r>
        <w:rPr>
          <w:color w:val="231F20"/>
        </w:rPr>
        <w:t>a</w:t>
      </w:r>
      <w:r>
        <w:rPr>
          <w:color w:val="231F20"/>
          <w:spacing w:val="-8"/>
        </w:rPr>
        <w:t xml:space="preserve"> </w:t>
      </w:r>
      <w:r>
        <w:rPr>
          <w:color w:val="231F20"/>
        </w:rPr>
        <w:t>good</w:t>
      </w:r>
      <w:r>
        <w:rPr>
          <w:color w:val="231F20"/>
          <w:spacing w:val="-8"/>
        </w:rPr>
        <w:t xml:space="preserve"> </w:t>
      </w:r>
      <w:r>
        <w:rPr>
          <w:color w:val="231F20"/>
        </w:rPr>
        <w:t>or</w:t>
      </w:r>
      <w:r>
        <w:rPr>
          <w:color w:val="231F20"/>
          <w:spacing w:val="-7"/>
        </w:rPr>
        <w:t xml:space="preserve"> </w:t>
      </w:r>
      <w:r>
        <w:rPr>
          <w:color w:val="231F20"/>
        </w:rPr>
        <w:t>service</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customer,</w:t>
      </w:r>
    </w:p>
    <w:p w14:paraId="5D4A24D6" w14:textId="77777777" w:rsidR="00345EE3" w:rsidRDefault="00345EE3" w:rsidP="00345EE3">
      <w:pPr>
        <w:pStyle w:val="BodyText"/>
        <w:spacing w:before="2" w:line="242" w:lineRule="auto"/>
        <w:ind w:right="115"/>
      </w:pPr>
      <w:r>
        <w:rPr>
          <w:color w:val="231F20"/>
        </w:rPr>
        <w:t>i.e.</w:t>
      </w:r>
      <w:r>
        <w:rPr>
          <w:color w:val="231F20"/>
          <w:spacing w:val="-6"/>
        </w:rPr>
        <w:t xml:space="preserve"> </w:t>
      </w:r>
      <w:r>
        <w:rPr>
          <w:color w:val="231F20"/>
        </w:rPr>
        <w:t>when,</w:t>
      </w:r>
      <w:r>
        <w:rPr>
          <w:color w:val="231F20"/>
          <w:spacing w:val="-6"/>
        </w:rPr>
        <w:t xml:space="preserve"> </w:t>
      </w:r>
      <w:r>
        <w:rPr>
          <w:color w:val="231F20"/>
        </w:rPr>
        <w:t>or</w:t>
      </w:r>
      <w:r>
        <w:rPr>
          <w:color w:val="231F20"/>
          <w:spacing w:val="-6"/>
        </w:rPr>
        <w:t xml:space="preserve"> </w:t>
      </w:r>
      <w:r>
        <w:rPr>
          <w:color w:val="231F20"/>
        </w:rPr>
        <w:t>as,</w:t>
      </w:r>
      <w:r>
        <w:rPr>
          <w:color w:val="231F20"/>
          <w:spacing w:val="-6"/>
        </w:rPr>
        <w:t xml:space="preserve"> </w:t>
      </w:r>
      <w:r>
        <w:rPr>
          <w:color w:val="231F20"/>
        </w:rPr>
        <w:t>the</w:t>
      </w:r>
      <w:r>
        <w:rPr>
          <w:color w:val="231F20"/>
          <w:spacing w:val="-7"/>
        </w:rPr>
        <w:t xml:space="preserve"> </w:t>
      </w:r>
      <w:r>
        <w:rPr>
          <w:color w:val="231F20"/>
        </w:rPr>
        <w:t>performance</w:t>
      </w:r>
      <w:r>
        <w:rPr>
          <w:color w:val="231F20"/>
          <w:spacing w:val="-7"/>
        </w:rPr>
        <w:t xml:space="preserve"> </w:t>
      </w:r>
      <w:r>
        <w:rPr>
          <w:color w:val="231F20"/>
        </w:rPr>
        <w:t>obligations</w:t>
      </w:r>
      <w:r>
        <w:rPr>
          <w:color w:val="231F20"/>
          <w:spacing w:val="-6"/>
        </w:rPr>
        <w:t xml:space="preserve"> </w:t>
      </w:r>
      <w:r>
        <w:rPr>
          <w:color w:val="231F20"/>
        </w:rPr>
        <w:t>for</w:t>
      </w:r>
      <w:r>
        <w:rPr>
          <w:color w:val="231F20"/>
          <w:spacing w:val="-6"/>
        </w:rPr>
        <w:t xml:space="preserve"> </w:t>
      </w:r>
      <w:r>
        <w:rPr>
          <w:color w:val="231F20"/>
        </w:rPr>
        <w:t>the</w:t>
      </w:r>
      <w:r>
        <w:rPr>
          <w:color w:val="231F20"/>
          <w:spacing w:val="-7"/>
        </w:rPr>
        <w:t xml:space="preserve"> </w:t>
      </w:r>
      <w:r>
        <w:rPr>
          <w:color w:val="231F20"/>
        </w:rPr>
        <w:t>sale</w:t>
      </w:r>
      <w:r>
        <w:rPr>
          <w:color w:val="231F20"/>
          <w:spacing w:val="-7"/>
        </w:rPr>
        <w:t xml:space="preserve"> </w:t>
      </w:r>
      <w:r>
        <w:rPr>
          <w:color w:val="231F20"/>
        </w:rPr>
        <w:t>of</w:t>
      </w:r>
      <w:r>
        <w:rPr>
          <w:color w:val="231F20"/>
          <w:spacing w:val="-6"/>
        </w:rPr>
        <w:t xml:space="preserve"> </w:t>
      </w:r>
      <w:r>
        <w:rPr>
          <w:color w:val="231F20"/>
        </w:rPr>
        <w:t>goods</w:t>
      </w:r>
      <w:r>
        <w:rPr>
          <w:color w:val="231F20"/>
          <w:spacing w:val="-6"/>
        </w:rPr>
        <w:t xml:space="preserve"> </w:t>
      </w:r>
      <w:r>
        <w:rPr>
          <w:color w:val="231F20"/>
        </w:rPr>
        <w:t>and</w:t>
      </w:r>
      <w:r>
        <w:rPr>
          <w:color w:val="231F20"/>
          <w:spacing w:val="-7"/>
        </w:rPr>
        <w:t xml:space="preserve"> </w:t>
      </w:r>
      <w:r>
        <w:rPr>
          <w:color w:val="231F20"/>
        </w:rPr>
        <w:t>services</w:t>
      </w:r>
      <w:r>
        <w:rPr>
          <w:color w:val="231F20"/>
          <w:spacing w:val="-6"/>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customer are satisfied.</w:t>
      </w:r>
    </w:p>
    <w:p w14:paraId="00740DAC" w14:textId="77777777" w:rsidR="00345EE3" w:rsidRDefault="00345EE3">
      <w:pPr>
        <w:pStyle w:val="ListParagraph"/>
        <w:numPr>
          <w:ilvl w:val="3"/>
          <w:numId w:val="44"/>
        </w:numPr>
        <w:tabs>
          <w:tab w:val="left" w:pos="393"/>
          <w:tab w:val="left" w:pos="394"/>
        </w:tabs>
        <w:spacing w:before="116" w:line="242" w:lineRule="auto"/>
        <w:ind w:right="303" w:hanging="284"/>
        <w:rPr>
          <w:sz w:val="24"/>
        </w:rPr>
      </w:pPr>
      <w:r>
        <w:rPr>
          <w:color w:val="231F20"/>
          <w:sz w:val="24"/>
        </w:rPr>
        <w:t>Customers</w:t>
      </w:r>
      <w:r>
        <w:rPr>
          <w:color w:val="231F20"/>
          <w:spacing w:val="-7"/>
          <w:sz w:val="24"/>
        </w:rPr>
        <w:t xml:space="preserve"> </w:t>
      </w:r>
      <w:r>
        <w:rPr>
          <w:color w:val="231F20"/>
          <w:sz w:val="24"/>
        </w:rPr>
        <w:t>obtain</w:t>
      </w:r>
      <w:r>
        <w:rPr>
          <w:color w:val="231F20"/>
          <w:spacing w:val="-8"/>
          <w:sz w:val="24"/>
        </w:rPr>
        <w:t xml:space="preserve"> </w:t>
      </w:r>
      <w:r>
        <w:rPr>
          <w:color w:val="231F20"/>
          <w:sz w:val="24"/>
        </w:rPr>
        <w:t>control</w:t>
      </w:r>
      <w:r>
        <w:rPr>
          <w:color w:val="231F20"/>
          <w:spacing w:val="-8"/>
          <w:sz w:val="24"/>
        </w:rPr>
        <w:t xml:space="preserve"> </w:t>
      </w:r>
      <w:r>
        <w:rPr>
          <w:color w:val="231F20"/>
          <w:sz w:val="24"/>
        </w:rPr>
        <w:t>of</w:t>
      </w:r>
      <w:r>
        <w:rPr>
          <w:color w:val="231F20"/>
          <w:spacing w:val="-7"/>
          <w:sz w:val="24"/>
        </w:rPr>
        <w:t xml:space="preserve"> </w:t>
      </w:r>
      <w:r>
        <w:rPr>
          <w:color w:val="231F20"/>
          <w:sz w:val="24"/>
        </w:rPr>
        <w:t>the</w:t>
      </w:r>
      <w:r>
        <w:rPr>
          <w:color w:val="231F20"/>
          <w:spacing w:val="-8"/>
          <w:sz w:val="24"/>
        </w:rPr>
        <w:t xml:space="preserve"> </w:t>
      </w:r>
      <w:r>
        <w:rPr>
          <w:color w:val="231F20"/>
          <w:sz w:val="24"/>
        </w:rPr>
        <w:t>supplies</w:t>
      </w:r>
      <w:r>
        <w:rPr>
          <w:color w:val="231F20"/>
          <w:spacing w:val="-7"/>
          <w:sz w:val="24"/>
        </w:rPr>
        <w:t xml:space="preserve"> </w:t>
      </w:r>
      <w:r>
        <w:rPr>
          <w:color w:val="231F20"/>
          <w:sz w:val="24"/>
        </w:rPr>
        <w:t>and</w:t>
      </w:r>
      <w:r>
        <w:rPr>
          <w:color w:val="231F20"/>
          <w:spacing w:val="-8"/>
          <w:sz w:val="24"/>
        </w:rPr>
        <w:t xml:space="preserve"> </w:t>
      </w:r>
      <w:r>
        <w:rPr>
          <w:color w:val="231F20"/>
          <w:sz w:val="24"/>
        </w:rPr>
        <w:t>consumables</w:t>
      </w:r>
      <w:r>
        <w:rPr>
          <w:color w:val="231F20"/>
          <w:spacing w:val="-7"/>
          <w:sz w:val="24"/>
        </w:rPr>
        <w:t xml:space="preserve"> </w:t>
      </w:r>
      <w:r>
        <w:rPr>
          <w:color w:val="231F20"/>
          <w:sz w:val="24"/>
        </w:rPr>
        <w:t>at</w:t>
      </w:r>
      <w:r>
        <w:rPr>
          <w:color w:val="231F20"/>
          <w:spacing w:val="-7"/>
          <w:sz w:val="24"/>
        </w:rPr>
        <w:t xml:space="preserve"> </w:t>
      </w:r>
      <w:r>
        <w:rPr>
          <w:color w:val="231F20"/>
          <w:sz w:val="24"/>
        </w:rPr>
        <w:t>a</w:t>
      </w:r>
      <w:r>
        <w:rPr>
          <w:color w:val="231F20"/>
          <w:spacing w:val="-8"/>
          <w:sz w:val="24"/>
        </w:rPr>
        <w:t xml:space="preserve"> </w:t>
      </w:r>
      <w:r>
        <w:rPr>
          <w:color w:val="231F20"/>
          <w:sz w:val="24"/>
        </w:rPr>
        <w:t>point</w:t>
      </w:r>
      <w:r>
        <w:rPr>
          <w:color w:val="231F20"/>
          <w:spacing w:val="-7"/>
          <w:sz w:val="24"/>
        </w:rPr>
        <w:t xml:space="preserve"> </w:t>
      </w:r>
      <w:r>
        <w:rPr>
          <w:color w:val="231F20"/>
          <w:sz w:val="24"/>
        </w:rPr>
        <w:t>in</w:t>
      </w:r>
      <w:r>
        <w:rPr>
          <w:color w:val="231F20"/>
          <w:spacing w:val="-8"/>
          <w:sz w:val="24"/>
        </w:rPr>
        <w:t xml:space="preserve"> </w:t>
      </w:r>
      <w:r>
        <w:rPr>
          <w:color w:val="231F20"/>
          <w:sz w:val="24"/>
        </w:rPr>
        <w:t>time</w:t>
      </w:r>
      <w:r>
        <w:rPr>
          <w:color w:val="231F20"/>
          <w:spacing w:val="-8"/>
          <w:sz w:val="24"/>
        </w:rPr>
        <w:t xml:space="preserve"> </w:t>
      </w:r>
      <w:r>
        <w:rPr>
          <w:color w:val="231F20"/>
          <w:sz w:val="24"/>
        </w:rPr>
        <w:t>when</w:t>
      </w:r>
      <w:r>
        <w:rPr>
          <w:color w:val="231F20"/>
          <w:spacing w:val="-8"/>
          <w:sz w:val="24"/>
        </w:rPr>
        <w:t xml:space="preserve"> </w:t>
      </w:r>
      <w:r>
        <w:rPr>
          <w:color w:val="231F20"/>
          <w:sz w:val="24"/>
        </w:rPr>
        <w:t>the</w:t>
      </w:r>
      <w:r>
        <w:rPr>
          <w:color w:val="231F20"/>
          <w:spacing w:val="-8"/>
          <w:sz w:val="24"/>
        </w:rPr>
        <w:t xml:space="preserve"> </w:t>
      </w:r>
      <w:r>
        <w:rPr>
          <w:color w:val="231F20"/>
          <w:sz w:val="24"/>
        </w:rPr>
        <w:t>goods are delivered to and have been accepted at their premises.</w:t>
      </w:r>
    </w:p>
    <w:p w14:paraId="7F3D307C" w14:textId="77777777" w:rsidR="00345EE3" w:rsidRDefault="00345EE3">
      <w:pPr>
        <w:pStyle w:val="ListParagraph"/>
        <w:numPr>
          <w:ilvl w:val="3"/>
          <w:numId w:val="44"/>
        </w:numPr>
        <w:tabs>
          <w:tab w:val="left" w:pos="393"/>
          <w:tab w:val="left" w:pos="394"/>
        </w:tabs>
        <w:spacing w:before="31" w:line="242" w:lineRule="auto"/>
        <w:ind w:right="208" w:hanging="284"/>
        <w:rPr>
          <w:sz w:val="24"/>
        </w:rPr>
      </w:pPr>
      <w:r>
        <w:rPr>
          <w:color w:val="231F20"/>
          <w:sz w:val="24"/>
        </w:rPr>
        <w:t>Revenue</w:t>
      </w:r>
      <w:r>
        <w:rPr>
          <w:color w:val="231F20"/>
          <w:spacing w:val="-9"/>
          <w:sz w:val="24"/>
        </w:rPr>
        <w:t xml:space="preserve"> </w:t>
      </w:r>
      <w:r>
        <w:rPr>
          <w:color w:val="231F20"/>
          <w:sz w:val="24"/>
        </w:rPr>
        <w:t>from</w:t>
      </w:r>
      <w:r>
        <w:rPr>
          <w:color w:val="231F20"/>
          <w:spacing w:val="-8"/>
          <w:sz w:val="24"/>
        </w:rPr>
        <w:t xml:space="preserve"> </w:t>
      </w:r>
      <w:r>
        <w:rPr>
          <w:color w:val="231F20"/>
          <w:sz w:val="24"/>
        </w:rPr>
        <w:t>the</w:t>
      </w:r>
      <w:r>
        <w:rPr>
          <w:color w:val="231F20"/>
          <w:spacing w:val="-9"/>
          <w:sz w:val="24"/>
        </w:rPr>
        <w:t xml:space="preserve"> </w:t>
      </w:r>
      <w:r>
        <w:rPr>
          <w:color w:val="231F20"/>
          <w:sz w:val="24"/>
        </w:rPr>
        <w:t>sale</w:t>
      </w:r>
      <w:r>
        <w:rPr>
          <w:color w:val="231F20"/>
          <w:spacing w:val="-9"/>
          <w:sz w:val="24"/>
        </w:rPr>
        <w:t xml:space="preserve"> </w:t>
      </w:r>
      <w:r>
        <w:rPr>
          <w:color w:val="231F20"/>
          <w:sz w:val="24"/>
        </w:rPr>
        <w:t>of</w:t>
      </w:r>
      <w:r>
        <w:rPr>
          <w:color w:val="231F20"/>
          <w:spacing w:val="-8"/>
          <w:sz w:val="24"/>
        </w:rPr>
        <w:t xml:space="preserve"> </w:t>
      </w:r>
      <w:r>
        <w:rPr>
          <w:color w:val="231F20"/>
          <w:sz w:val="24"/>
        </w:rPr>
        <w:t>goods</w:t>
      </w:r>
      <w:r>
        <w:rPr>
          <w:color w:val="231F20"/>
          <w:spacing w:val="-8"/>
          <w:sz w:val="24"/>
        </w:rPr>
        <w:t xml:space="preserve"> </w:t>
      </w:r>
      <w:r>
        <w:rPr>
          <w:color w:val="231F20"/>
          <w:sz w:val="24"/>
        </w:rPr>
        <w:t>are</w:t>
      </w:r>
      <w:r>
        <w:rPr>
          <w:color w:val="231F20"/>
          <w:spacing w:val="-9"/>
          <w:sz w:val="24"/>
        </w:rPr>
        <w:t xml:space="preserve"> </w:t>
      </w:r>
      <w:r>
        <w:rPr>
          <w:color w:val="231F20"/>
          <w:sz w:val="24"/>
        </w:rPr>
        <w:t>recognised</w:t>
      </w:r>
      <w:r>
        <w:rPr>
          <w:color w:val="231F20"/>
          <w:spacing w:val="-9"/>
          <w:sz w:val="24"/>
        </w:rPr>
        <w:t xml:space="preserve"> </w:t>
      </w:r>
      <w:r>
        <w:rPr>
          <w:color w:val="231F20"/>
          <w:sz w:val="24"/>
        </w:rPr>
        <w:t>when</w:t>
      </w:r>
      <w:r>
        <w:rPr>
          <w:color w:val="231F20"/>
          <w:spacing w:val="-9"/>
          <w:sz w:val="24"/>
        </w:rPr>
        <w:t xml:space="preserve"> </w:t>
      </w:r>
      <w:r>
        <w:rPr>
          <w:color w:val="231F20"/>
          <w:sz w:val="24"/>
        </w:rPr>
        <w:t>the</w:t>
      </w:r>
      <w:r>
        <w:rPr>
          <w:color w:val="231F20"/>
          <w:spacing w:val="-9"/>
          <w:sz w:val="24"/>
        </w:rPr>
        <w:t xml:space="preserve"> </w:t>
      </w:r>
      <w:r>
        <w:rPr>
          <w:color w:val="231F20"/>
          <w:sz w:val="24"/>
        </w:rPr>
        <w:t>goods</w:t>
      </w:r>
      <w:r>
        <w:rPr>
          <w:color w:val="231F20"/>
          <w:spacing w:val="-8"/>
          <w:sz w:val="24"/>
        </w:rPr>
        <w:t xml:space="preserve"> </w:t>
      </w:r>
      <w:r>
        <w:rPr>
          <w:color w:val="231F20"/>
          <w:sz w:val="24"/>
        </w:rPr>
        <w:t>are</w:t>
      </w:r>
      <w:r>
        <w:rPr>
          <w:color w:val="231F20"/>
          <w:spacing w:val="-9"/>
          <w:sz w:val="24"/>
        </w:rPr>
        <w:t xml:space="preserve"> </w:t>
      </w:r>
      <w:r>
        <w:rPr>
          <w:color w:val="231F20"/>
          <w:sz w:val="24"/>
        </w:rPr>
        <w:t>delivered</w:t>
      </w:r>
      <w:r>
        <w:rPr>
          <w:color w:val="231F20"/>
          <w:spacing w:val="-9"/>
          <w:sz w:val="24"/>
        </w:rPr>
        <w:t xml:space="preserve"> </w:t>
      </w:r>
      <w:r>
        <w:rPr>
          <w:color w:val="231F20"/>
          <w:sz w:val="24"/>
        </w:rPr>
        <w:t>and</w:t>
      </w:r>
      <w:r>
        <w:rPr>
          <w:color w:val="231F20"/>
          <w:spacing w:val="-9"/>
          <w:sz w:val="24"/>
        </w:rPr>
        <w:t xml:space="preserve"> </w:t>
      </w:r>
      <w:r>
        <w:rPr>
          <w:color w:val="231F20"/>
          <w:sz w:val="24"/>
        </w:rPr>
        <w:t>have</w:t>
      </w:r>
      <w:r>
        <w:rPr>
          <w:color w:val="231F20"/>
          <w:spacing w:val="-9"/>
          <w:sz w:val="24"/>
        </w:rPr>
        <w:t xml:space="preserve"> </w:t>
      </w:r>
      <w:r>
        <w:rPr>
          <w:color w:val="231F20"/>
          <w:sz w:val="24"/>
        </w:rPr>
        <w:t>been accepted by the customer at their premises.</w:t>
      </w:r>
    </w:p>
    <w:p w14:paraId="6979FD4E" w14:textId="77777777" w:rsidR="00345EE3" w:rsidRDefault="00345EE3">
      <w:pPr>
        <w:pStyle w:val="ListParagraph"/>
        <w:numPr>
          <w:ilvl w:val="3"/>
          <w:numId w:val="44"/>
        </w:numPr>
        <w:tabs>
          <w:tab w:val="left" w:pos="393"/>
          <w:tab w:val="left" w:pos="394"/>
        </w:tabs>
        <w:spacing w:before="31" w:line="242" w:lineRule="auto"/>
        <w:ind w:right="136" w:hanging="284"/>
        <w:rPr>
          <w:sz w:val="24"/>
        </w:rPr>
      </w:pPr>
      <w:r>
        <w:rPr>
          <w:color w:val="231F20"/>
          <w:sz w:val="24"/>
        </w:rPr>
        <w:t>Revenue</w:t>
      </w:r>
      <w:r>
        <w:rPr>
          <w:color w:val="231F20"/>
          <w:spacing w:val="-6"/>
          <w:sz w:val="24"/>
        </w:rPr>
        <w:t xml:space="preserve"> </w:t>
      </w:r>
      <w:r>
        <w:rPr>
          <w:color w:val="231F20"/>
          <w:sz w:val="24"/>
        </w:rPr>
        <w:t>from</w:t>
      </w:r>
      <w:r>
        <w:rPr>
          <w:color w:val="231F20"/>
          <w:spacing w:val="-6"/>
          <w:sz w:val="24"/>
        </w:rPr>
        <w:t xml:space="preserve"> </w:t>
      </w:r>
      <w:r>
        <w:rPr>
          <w:color w:val="231F20"/>
          <w:sz w:val="24"/>
        </w:rPr>
        <w:t>the</w:t>
      </w:r>
      <w:r>
        <w:rPr>
          <w:color w:val="231F20"/>
          <w:spacing w:val="-6"/>
          <w:sz w:val="24"/>
        </w:rPr>
        <w:t xml:space="preserve"> </w:t>
      </w:r>
      <w:r>
        <w:rPr>
          <w:color w:val="231F20"/>
          <w:sz w:val="24"/>
        </w:rPr>
        <w:t>rendering</w:t>
      </w:r>
      <w:r>
        <w:rPr>
          <w:color w:val="231F20"/>
          <w:spacing w:val="-6"/>
          <w:sz w:val="24"/>
        </w:rPr>
        <w:t xml:space="preserve"> </w:t>
      </w:r>
      <w:r>
        <w:rPr>
          <w:color w:val="231F20"/>
          <w:sz w:val="24"/>
        </w:rPr>
        <w:t>of</w:t>
      </w:r>
      <w:r>
        <w:rPr>
          <w:color w:val="231F20"/>
          <w:spacing w:val="-6"/>
          <w:sz w:val="24"/>
        </w:rPr>
        <w:t xml:space="preserve"> </w:t>
      </w:r>
      <w:r>
        <w:rPr>
          <w:color w:val="231F20"/>
          <w:sz w:val="24"/>
        </w:rPr>
        <w:t>services</w:t>
      </w:r>
      <w:r>
        <w:rPr>
          <w:color w:val="231F20"/>
          <w:spacing w:val="-6"/>
          <w:sz w:val="24"/>
        </w:rPr>
        <w:t xml:space="preserve"> </w:t>
      </w:r>
      <w:r>
        <w:rPr>
          <w:color w:val="231F20"/>
          <w:sz w:val="24"/>
        </w:rPr>
        <w:t>is</w:t>
      </w:r>
      <w:r>
        <w:rPr>
          <w:color w:val="231F20"/>
          <w:spacing w:val="-6"/>
          <w:sz w:val="24"/>
        </w:rPr>
        <w:t xml:space="preserve"> </w:t>
      </w:r>
      <w:r>
        <w:rPr>
          <w:color w:val="231F20"/>
          <w:sz w:val="24"/>
        </w:rPr>
        <w:t>recognised</w:t>
      </w:r>
      <w:r>
        <w:rPr>
          <w:color w:val="231F20"/>
          <w:spacing w:val="-6"/>
          <w:sz w:val="24"/>
        </w:rPr>
        <w:t xml:space="preserve"> </w:t>
      </w:r>
      <w:r>
        <w:rPr>
          <w:color w:val="231F20"/>
          <w:sz w:val="24"/>
        </w:rPr>
        <w:t>at</w:t>
      </w:r>
      <w:r>
        <w:rPr>
          <w:color w:val="231F20"/>
          <w:spacing w:val="-6"/>
          <w:sz w:val="24"/>
        </w:rPr>
        <w:t xml:space="preserve"> </w:t>
      </w:r>
      <w:r>
        <w:rPr>
          <w:color w:val="231F20"/>
          <w:sz w:val="24"/>
        </w:rPr>
        <w:t>a</w:t>
      </w:r>
      <w:r>
        <w:rPr>
          <w:color w:val="231F20"/>
          <w:spacing w:val="-6"/>
          <w:sz w:val="24"/>
        </w:rPr>
        <w:t xml:space="preserve"> </w:t>
      </w:r>
      <w:r>
        <w:rPr>
          <w:color w:val="231F20"/>
          <w:sz w:val="24"/>
        </w:rPr>
        <w:t>point</w:t>
      </w:r>
      <w:r>
        <w:rPr>
          <w:color w:val="231F20"/>
          <w:spacing w:val="-6"/>
          <w:sz w:val="24"/>
        </w:rPr>
        <w:t xml:space="preserve"> </w:t>
      </w:r>
      <w:r>
        <w:rPr>
          <w:color w:val="231F20"/>
          <w:sz w:val="24"/>
        </w:rPr>
        <w:t>in</w:t>
      </w:r>
      <w:r>
        <w:rPr>
          <w:color w:val="231F20"/>
          <w:spacing w:val="-6"/>
          <w:sz w:val="24"/>
        </w:rPr>
        <w:t xml:space="preserve"> </w:t>
      </w:r>
      <w:r>
        <w:rPr>
          <w:color w:val="231F20"/>
          <w:sz w:val="24"/>
        </w:rPr>
        <w:t>time</w:t>
      </w:r>
      <w:r>
        <w:rPr>
          <w:color w:val="231F20"/>
          <w:spacing w:val="-6"/>
          <w:sz w:val="24"/>
        </w:rPr>
        <w:t xml:space="preserve"> </w:t>
      </w:r>
      <w:r>
        <w:rPr>
          <w:color w:val="231F20"/>
          <w:sz w:val="24"/>
        </w:rPr>
        <w:t>when</w:t>
      </w:r>
      <w:r>
        <w:rPr>
          <w:color w:val="231F20"/>
          <w:spacing w:val="-6"/>
          <w:sz w:val="24"/>
        </w:rPr>
        <w:t xml:space="preserve"> </w:t>
      </w:r>
      <w:r>
        <w:rPr>
          <w:color w:val="231F20"/>
          <w:sz w:val="24"/>
        </w:rPr>
        <w:t>the</w:t>
      </w:r>
      <w:r>
        <w:rPr>
          <w:color w:val="231F20"/>
          <w:spacing w:val="-6"/>
          <w:sz w:val="24"/>
        </w:rPr>
        <w:t xml:space="preserve"> </w:t>
      </w:r>
      <w:r>
        <w:rPr>
          <w:color w:val="231F20"/>
          <w:sz w:val="24"/>
        </w:rPr>
        <w:t>performance obligation is satisfied when the service is completed; and over time when the customer simultaneously receives and consumes the services as it is provided.</w:t>
      </w:r>
    </w:p>
    <w:p w14:paraId="07F7933F" w14:textId="77777777" w:rsidR="00345EE3" w:rsidRDefault="00345EE3" w:rsidP="00345EE3">
      <w:pPr>
        <w:pStyle w:val="BodyText"/>
        <w:spacing w:before="117" w:line="242" w:lineRule="auto"/>
        <w:ind w:right="115"/>
      </w:pPr>
      <w:r>
        <w:rPr>
          <w:color w:val="231F20"/>
        </w:rPr>
        <w:t>Customers</w:t>
      </w:r>
      <w:r>
        <w:rPr>
          <w:color w:val="231F20"/>
          <w:spacing w:val="-9"/>
        </w:rPr>
        <w:t xml:space="preserve"> </w:t>
      </w:r>
      <w:r>
        <w:rPr>
          <w:color w:val="231F20"/>
        </w:rPr>
        <w:t>are</w:t>
      </w:r>
      <w:r>
        <w:rPr>
          <w:color w:val="231F20"/>
          <w:spacing w:val="-10"/>
        </w:rPr>
        <w:t xml:space="preserve"> </w:t>
      </w:r>
      <w:r>
        <w:rPr>
          <w:color w:val="231F20"/>
        </w:rPr>
        <w:t>invoiced</w:t>
      </w:r>
      <w:r>
        <w:rPr>
          <w:color w:val="231F20"/>
          <w:spacing w:val="-10"/>
        </w:rPr>
        <w:t xml:space="preserve"> </w:t>
      </w:r>
      <w:r>
        <w:rPr>
          <w:color w:val="231F20"/>
        </w:rPr>
        <w:t>and</w:t>
      </w:r>
      <w:r>
        <w:rPr>
          <w:color w:val="231F20"/>
          <w:spacing w:val="-10"/>
        </w:rPr>
        <w:t xml:space="preserve"> </w:t>
      </w:r>
      <w:r>
        <w:rPr>
          <w:color w:val="231F20"/>
        </w:rPr>
        <w:t>revenue</w:t>
      </w:r>
      <w:r>
        <w:rPr>
          <w:color w:val="231F20"/>
          <w:spacing w:val="-10"/>
        </w:rPr>
        <w:t xml:space="preserve"> </w:t>
      </w:r>
      <w:r>
        <w:rPr>
          <w:color w:val="231F20"/>
        </w:rPr>
        <w:t>is</w:t>
      </w:r>
      <w:r>
        <w:rPr>
          <w:color w:val="231F20"/>
          <w:spacing w:val="-9"/>
        </w:rPr>
        <w:t xml:space="preserve"> </w:t>
      </w:r>
      <w:r>
        <w:rPr>
          <w:color w:val="231F20"/>
        </w:rPr>
        <w:t>recognised</w:t>
      </w:r>
      <w:r>
        <w:rPr>
          <w:color w:val="231F20"/>
          <w:spacing w:val="-10"/>
        </w:rPr>
        <w:t xml:space="preserve"> </w:t>
      </w:r>
      <w:r>
        <w:rPr>
          <w:color w:val="231F20"/>
        </w:rPr>
        <w:t>when</w:t>
      </w:r>
      <w:r>
        <w:rPr>
          <w:color w:val="231F20"/>
          <w:spacing w:val="-10"/>
        </w:rPr>
        <w:t xml:space="preserve"> </w:t>
      </w:r>
      <w:r>
        <w:rPr>
          <w:color w:val="231F20"/>
        </w:rPr>
        <w:t>the</w:t>
      </w:r>
      <w:r>
        <w:rPr>
          <w:color w:val="231F20"/>
          <w:spacing w:val="-10"/>
        </w:rPr>
        <w:t xml:space="preserve"> </w:t>
      </w:r>
      <w:r>
        <w:rPr>
          <w:color w:val="231F20"/>
        </w:rPr>
        <w:t>goods</w:t>
      </w:r>
      <w:r>
        <w:rPr>
          <w:color w:val="231F20"/>
          <w:spacing w:val="-9"/>
        </w:rPr>
        <w:t xml:space="preserve"> </w:t>
      </w:r>
      <w:r>
        <w:rPr>
          <w:color w:val="231F20"/>
        </w:rPr>
        <w:t>are</w:t>
      </w:r>
      <w:r>
        <w:rPr>
          <w:color w:val="231F20"/>
          <w:spacing w:val="-10"/>
        </w:rPr>
        <w:t xml:space="preserve"> </w:t>
      </w:r>
      <w:r>
        <w:rPr>
          <w:color w:val="231F20"/>
        </w:rPr>
        <w:t>delivered</w:t>
      </w:r>
      <w:r>
        <w:rPr>
          <w:color w:val="231F20"/>
          <w:spacing w:val="-10"/>
        </w:rPr>
        <w:t xml:space="preserve"> </w:t>
      </w:r>
      <w:r>
        <w:rPr>
          <w:color w:val="231F20"/>
        </w:rPr>
        <w:t>and</w:t>
      </w:r>
      <w:r>
        <w:rPr>
          <w:color w:val="231F20"/>
          <w:spacing w:val="-10"/>
        </w:rPr>
        <w:t xml:space="preserve"> </w:t>
      </w:r>
      <w:r>
        <w:rPr>
          <w:color w:val="231F20"/>
        </w:rPr>
        <w:t>accepted by customers. In rare circumstance where there may be a change in the scope of services provided, the customer will be provided with a new contract for the additional services to be rendered and revenue is recognised consistent with accounting policy above.</w:t>
      </w:r>
    </w:p>
    <w:p w14:paraId="3FD89FAB" w14:textId="77777777" w:rsidR="00345EE3" w:rsidRDefault="00345EE3" w:rsidP="00345EE3">
      <w:pPr>
        <w:pStyle w:val="BodyText"/>
        <w:spacing w:before="119" w:line="242" w:lineRule="auto"/>
        <w:ind w:right="327"/>
      </w:pPr>
      <w:r>
        <w:rPr>
          <w:color w:val="231F20"/>
        </w:rPr>
        <w:t>Consideration</w:t>
      </w:r>
      <w:r>
        <w:rPr>
          <w:color w:val="231F20"/>
          <w:spacing w:val="-5"/>
        </w:rPr>
        <w:t xml:space="preserve"> </w:t>
      </w:r>
      <w:r>
        <w:rPr>
          <w:color w:val="231F20"/>
        </w:rPr>
        <w:t>received</w:t>
      </w:r>
      <w:r>
        <w:rPr>
          <w:color w:val="231F20"/>
          <w:spacing w:val="-5"/>
        </w:rPr>
        <w:t xml:space="preserve"> </w:t>
      </w:r>
      <w:r>
        <w:rPr>
          <w:color w:val="231F20"/>
        </w:rPr>
        <w:t>in</w:t>
      </w:r>
      <w:r>
        <w:rPr>
          <w:color w:val="231F20"/>
          <w:spacing w:val="-5"/>
        </w:rPr>
        <w:t xml:space="preserve"> </w:t>
      </w:r>
      <w:r>
        <w:rPr>
          <w:color w:val="231F20"/>
        </w:rPr>
        <w:t>advance</w:t>
      </w:r>
      <w:r>
        <w:rPr>
          <w:color w:val="231F20"/>
          <w:spacing w:val="-5"/>
        </w:rPr>
        <w:t xml:space="preserve"> </w:t>
      </w:r>
      <w:r>
        <w:rPr>
          <w:color w:val="231F20"/>
        </w:rPr>
        <w:t>of</w:t>
      </w:r>
      <w:r>
        <w:rPr>
          <w:color w:val="231F20"/>
          <w:spacing w:val="-4"/>
        </w:rPr>
        <w:t xml:space="preserve"> </w:t>
      </w:r>
      <w:r>
        <w:rPr>
          <w:color w:val="231F20"/>
        </w:rPr>
        <w:t>recognising</w:t>
      </w:r>
      <w:r>
        <w:rPr>
          <w:color w:val="231F20"/>
          <w:spacing w:val="-5"/>
        </w:rPr>
        <w:t xml:space="preserve"> </w:t>
      </w:r>
      <w:r>
        <w:rPr>
          <w:color w:val="231F20"/>
        </w:rPr>
        <w:t>the</w:t>
      </w:r>
      <w:r>
        <w:rPr>
          <w:color w:val="231F20"/>
          <w:spacing w:val="-5"/>
        </w:rPr>
        <w:t xml:space="preserve"> </w:t>
      </w:r>
      <w:r>
        <w:rPr>
          <w:color w:val="231F20"/>
        </w:rPr>
        <w:t>associated</w:t>
      </w:r>
      <w:r>
        <w:rPr>
          <w:color w:val="231F20"/>
          <w:spacing w:val="-5"/>
        </w:rPr>
        <w:t xml:space="preserve"> </w:t>
      </w:r>
      <w:r>
        <w:rPr>
          <w:color w:val="231F20"/>
        </w:rPr>
        <w:t>revenue</w:t>
      </w:r>
      <w:r>
        <w:rPr>
          <w:color w:val="231F20"/>
          <w:spacing w:val="-5"/>
        </w:rPr>
        <w:t xml:space="preserve"> </w:t>
      </w:r>
      <w:r>
        <w:rPr>
          <w:color w:val="231F20"/>
        </w:rPr>
        <w:t>from</w:t>
      </w:r>
      <w:r>
        <w:rPr>
          <w:color w:val="231F20"/>
          <w:spacing w:val="-4"/>
        </w:rPr>
        <w:t xml:space="preserve"> </w:t>
      </w:r>
      <w:r>
        <w:rPr>
          <w:color w:val="231F20"/>
        </w:rPr>
        <w:t>the</w:t>
      </w:r>
      <w:r>
        <w:rPr>
          <w:color w:val="231F20"/>
          <w:spacing w:val="-5"/>
        </w:rPr>
        <w:t xml:space="preserve"> </w:t>
      </w:r>
      <w:r>
        <w:rPr>
          <w:color w:val="231F20"/>
        </w:rPr>
        <w:t>customer will be recorded as unearned revenue (contract liability) in Note 6.3 Payables. Where the performance</w:t>
      </w:r>
      <w:r>
        <w:rPr>
          <w:color w:val="231F20"/>
          <w:spacing w:val="-11"/>
        </w:rPr>
        <w:t xml:space="preserve"> </w:t>
      </w:r>
      <w:r>
        <w:rPr>
          <w:color w:val="231F20"/>
        </w:rPr>
        <w:t>obligations</w:t>
      </w:r>
      <w:r>
        <w:rPr>
          <w:color w:val="231F20"/>
          <w:spacing w:val="-10"/>
        </w:rPr>
        <w:t xml:space="preserve"> </w:t>
      </w:r>
      <w:r>
        <w:rPr>
          <w:color w:val="231F20"/>
        </w:rPr>
        <w:t>are</w:t>
      </w:r>
      <w:r>
        <w:rPr>
          <w:color w:val="231F20"/>
          <w:spacing w:val="-11"/>
        </w:rPr>
        <w:t xml:space="preserve"> </w:t>
      </w:r>
      <w:r>
        <w:rPr>
          <w:color w:val="231F20"/>
        </w:rPr>
        <w:t>satisfied</w:t>
      </w:r>
      <w:r>
        <w:rPr>
          <w:color w:val="231F20"/>
          <w:spacing w:val="-11"/>
        </w:rPr>
        <w:t xml:space="preserve"> </w:t>
      </w:r>
      <w:r>
        <w:rPr>
          <w:color w:val="231F20"/>
        </w:rPr>
        <w:t>but</w:t>
      </w:r>
      <w:r>
        <w:rPr>
          <w:color w:val="231F20"/>
          <w:spacing w:val="-10"/>
        </w:rPr>
        <w:t xml:space="preserve"> </w:t>
      </w:r>
      <w:r>
        <w:rPr>
          <w:color w:val="231F20"/>
        </w:rPr>
        <w:t>not</w:t>
      </w:r>
      <w:r>
        <w:rPr>
          <w:color w:val="231F20"/>
          <w:spacing w:val="-10"/>
        </w:rPr>
        <w:t xml:space="preserve"> </w:t>
      </w:r>
      <w:r>
        <w:rPr>
          <w:color w:val="231F20"/>
        </w:rPr>
        <w:t>yet</w:t>
      </w:r>
      <w:r>
        <w:rPr>
          <w:color w:val="231F20"/>
          <w:spacing w:val="-10"/>
        </w:rPr>
        <w:t xml:space="preserve"> </w:t>
      </w:r>
      <w:r>
        <w:rPr>
          <w:color w:val="231F20"/>
        </w:rPr>
        <w:t>billed,</w:t>
      </w:r>
      <w:r>
        <w:rPr>
          <w:color w:val="231F20"/>
          <w:spacing w:val="-10"/>
        </w:rPr>
        <w:t xml:space="preserve"> </w:t>
      </w:r>
      <w:r>
        <w:rPr>
          <w:color w:val="231F20"/>
        </w:rPr>
        <w:t>an</w:t>
      </w:r>
      <w:r>
        <w:rPr>
          <w:color w:val="231F20"/>
          <w:spacing w:val="-11"/>
        </w:rPr>
        <w:t xml:space="preserve"> </w:t>
      </w:r>
      <w:r>
        <w:rPr>
          <w:color w:val="231F20"/>
        </w:rPr>
        <w:t>other</w:t>
      </w:r>
      <w:r>
        <w:rPr>
          <w:color w:val="231F20"/>
          <w:spacing w:val="-10"/>
        </w:rPr>
        <w:t xml:space="preserve"> </w:t>
      </w:r>
      <w:r>
        <w:rPr>
          <w:color w:val="231F20"/>
        </w:rPr>
        <w:t>receivable</w:t>
      </w:r>
      <w:r>
        <w:rPr>
          <w:color w:val="231F20"/>
          <w:spacing w:val="-11"/>
        </w:rPr>
        <w:t xml:space="preserve"> </w:t>
      </w:r>
      <w:r>
        <w:rPr>
          <w:color w:val="231F20"/>
        </w:rPr>
        <w:t>(contract</w:t>
      </w:r>
      <w:r>
        <w:rPr>
          <w:color w:val="231F20"/>
          <w:spacing w:val="-10"/>
        </w:rPr>
        <w:t xml:space="preserve"> </w:t>
      </w:r>
      <w:r>
        <w:rPr>
          <w:color w:val="231F20"/>
        </w:rPr>
        <w:t>asset)</w:t>
      </w:r>
      <w:r>
        <w:rPr>
          <w:color w:val="231F20"/>
          <w:spacing w:val="-10"/>
        </w:rPr>
        <w:t xml:space="preserve"> </w:t>
      </w:r>
      <w:r>
        <w:rPr>
          <w:color w:val="231F20"/>
        </w:rPr>
        <w:t>is recorded in Note 6.1 Receivables.</w:t>
      </w:r>
    </w:p>
    <w:p w14:paraId="74723D68" w14:textId="77777777" w:rsidR="00345EE3" w:rsidRPr="00CD743F" w:rsidRDefault="00345EE3" w:rsidP="00345EE3">
      <w:pPr>
        <w:widowControl/>
        <w:tabs>
          <w:tab w:val="left" w:pos="283"/>
        </w:tabs>
        <w:suppressAutoHyphens/>
        <w:adjustRightInd w:val="0"/>
        <w:spacing w:before="120" w:after="120" w:line="280" w:lineRule="atLeast"/>
        <w:ind w:left="142"/>
        <w:textAlignment w:val="center"/>
        <w:rPr>
          <w:rFonts w:eastAsiaTheme="minorHAnsi"/>
          <w:b/>
          <w:bCs/>
          <w:color w:val="000000"/>
          <w:sz w:val="24"/>
          <w:szCs w:val="24"/>
          <w:lang w:val="en-GB"/>
        </w:rPr>
      </w:pPr>
      <w:r w:rsidRPr="00CD743F">
        <w:rPr>
          <w:rFonts w:eastAsiaTheme="minorHAnsi"/>
          <w:b/>
          <w:bCs/>
          <w:color w:val="000000"/>
          <w:sz w:val="24"/>
          <w:szCs w:val="24"/>
          <w:lang w:val="en-GB"/>
        </w:rPr>
        <w:t>2.3.2 Other Grants</w:t>
      </w:r>
    </w:p>
    <w:tbl>
      <w:tblPr>
        <w:tblW w:w="0" w:type="auto"/>
        <w:tblInd w:w="156" w:type="dxa"/>
        <w:tblLayout w:type="fixed"/>
        <w:tblCellMar>
          <w:left w:w="0" w:type="dxa"/>
          <w:right w:w="0" w:type="dxa"/>
        </w:tblCellMar>
        <w:tblLook w:val="0000" w:firstRow="0" w:lastRow="0" w:firstColumn="0" w:lastColumn="0" w:noHBand="0" w:noVBand="0"/>
      </w:tblPr>
      <w:tblGrid>
        <w:gridCol w:w="7937"/>
        <w:gridCol w:w="1134"/>
        <w:gridCol w:w="1134"/>
      </w:tblGrid>
      <w:tr w:rsidR="00345EE3" w:rsidRPr="00CD743F" w14:paraId="79B8835D" w14:textId="77777777" w:rsidTr="00D73130">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5DAABA43"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CD743F">
              <w:rPr>
                <w:rFonts w:eastAsiaTheme="minorHAnsi"/>
                <w:b/>
                <w:bCs/>
                <w:color w:val="FFFFFF"/>
                <w:spacing w:val="-2"/>
                <w:sz w:val="24"/>
                <w:szCs w:val="24"/>
                <w:lang w:val="en-GB"/>
              </w:rPr>
              <w:t>($ thousand)</w:t>
            </w:r>
          </w:p>
        </w:tc>
      </w:tr>
      <w:tr w:rsidR="00345EE3" w:rsidRPr="00CD743F" w14:paraId="4F5A3120" w14:textId="77777777" w:rsidTr="00D73130">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6947D9F" w14:textId="77777777" w:rsidR="00345EE3" w:rsidRPr="00CD743F"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9A419E5"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CD743F">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27825DEE"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CD743F">
              <w:rPr>
                <w:rFonts w:eastAsiaTheme="minorHAnsi"/>
                <w:b/>
                <w:bCs/>
                <w:color w:val="FFFFFF"/>
                <w:spacing w:val="-2"/>
                <w:sz w:val="24"/>
                <w:szCs w:val="24"/>
                <w:lang w:val="en-GB"/>
              </w:rPr>
              <w:t>2021</w:t>
            </w:r>
          </w:p>
        </w:tc>
      </w:tr>
      <w:tr w:rsidR="00345EE3" w:rsidRPr="00CD743F" w14:paraId="0A0B12D3"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21B8545" w14:textId="77777777" w:rsidR="00345EE3" w:rsidRPr="00CD743F"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CD743F">
              <w:rPr>
                <w:rFonts w:eastAsiaTheme="minorHAnsi"/>
                <w:color w:val="000000"/>
                <w:sz w:val="24"/>
                <w:szCs w:val="24"/>
                <w:lang w:val="en-GB"/>
              </w:rPr>
              <w:t>Donations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D49072"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color w:val="000000"/>
                <w:spacing w:val="-2"/>
                <w:sz w:val="24"/>
                <w:szCs w:val="24"/>
                <w:lang w:val="en-GB"/>
              </w:rPr>
              <w:t>18</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9B619DD"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color w:val="000000"/>
                <w:spacing w:val="-2"/>
                <w:sz w:val="24"/>
                <w:szCs w:val="24"/>
                <w:lang w:val="en-GB"/>
              </w:rPr>
              <w:t>26</w:t>
            </w:r>
          </w:p>
        </w:tc>
      </w:tr>
      <w:tr w:rsidR="00345EE3" w:rsidRPr="00CD743F" w14:paraId="7161D5DD"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5DDCC77" w14:textId="77777777" w:rsidR="00345EE3" w:rsidRPr="00CD743F"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CD743F">
              <w:rPr>
                <w:rFonts w:eastAsiaTheme="minorHAnsi"/>
                <w:color w:val="000000"/>
                <w:sz w:val="24"/>
                <w:szCs w:val="24"/>
                <w:lang w:val="en-GB"/>
              </w:rPr>
              <w:t>Other specific purpose grants without any sufficiently specific performance obligations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F9EAB1"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color w:val="000000"/>
                <w:spacing w:val="-2"/>
                <w:sz w:val="24"/>
                <w:szCs w:val="24"/>
                <w:lang w:val="en-GB"/>
              </w:rPr>
              <w:t>465</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6AD4CA2"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color w:val="000000"/>
                <w:spacing w:val="-2"/>
                <w:sz w:val="24"/>
                <w:szCs w:val="24"/>
                <w:lang w:val="en-GB"/>
              </w:rPr>
              <w:t>221</w:t>
            </w:r>
          </w:p>
        </w:tc>
      </w:tr>
      <w:tr w:rsidR="00345EE3" w:rsidRPr="00CD743F" w14:paraId="2F57F86E"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51567898" w14:textId="77777777" w:rsidR="00345EE3" w:rsidRPr="00CD743F"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CD743F">
              <w:rPr>
                <w:rFonts w:eastAsiaTheme="minorHAnsi"/>
                <w:color w:val="000000"/>
                <w:sz w:val="24"/>
                <w:szCs w:val="24"/>
                <w:lang w:val="en-GB"/>
              </w:rPr>
              <w:t>Other specific purpose grants with sufficiently specific performance obligations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D5D3C0D"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color w:val="000000"/>
                <w:spacing w:val="-2"/>
                <w:sz w:val="24"/>
                <w:szCs w:val="24"/>
                <w:lang w:val="en-GB"/>
              </w:rPr>
              <w:t>11,458</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7CD5C0F2"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color w:val="000000"/>
                <w:spacing w:val="-2"/>
                <w:sz w:val="24"/>
                <w:szCs w:val="24"/>
                <w:lang w:val="en-GB"/>
              </w:rPr>
              <w:t>17,765</w:t>
            </w:r>
          </w:p>
        </w:tc>
      </w:tr>
      <w:tr w:rsidR="00345EE3" w:rsidRPr="00CD743F" w14:paraId="0CE0CFE8" w14:textId="77777777" w:rsidTr="00D73130">
        <w:trPr>
          <w:trHeight w:val="60"/>
        </w:trPr>
        <w:tc>
          <w:tcPr>
            <w:tcW w:w="793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5CE258D2" w14:textId="77777777" w:rsidR="00345EE3" w:rsidRPr="00CD743F"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CD743F">
              <w:rPr>
                <w:rFonts w:eastAsiaTheme="minorHAnsi"/>
                <w:b/>
                <w:bCs/>
                <w:color w:val="000000"/>
                <w:sz w:val="24"/>
                <w:szCs w:val="24"/>
                <w:lang w:val="en-GB"/>
              </w:rPr>
              <w:t>Total Grants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276475A"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b/>
                <w:bCs/>
                <w:color w:val="000000"/>
                <w:sz w:val="24"/>
                <w:szCs w:val="24"/>
                <w:lang w:val="en-GB"/>
              </w:rPr>
              <w:t>11,941</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3E9C4A72"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b/>
                <w:bCs/>
                <w:color w:val="000000"/>
                <w:sz w:val="24"/>
                <w:szCs w:val="24"/>
                <w:lang w:val="en-GB"/>
              </w:rPr>
              <w:t>18,012</w:t>
            </w:r>
          </w:p>
        </w:tc>
      </w:tr>
    </w:tbl>
    <w:p w14:paraId="2794BE9D" w14:textId="77777777" w:rsidR="00345EE3" w:rsidRDefault="00345EE3" w:rsidP="00345EE3">
      <w:pPr>
        <w:spacing w:before="92"/>
        <w:ind w:left="110"/>
        <w:rPr>
          <w:b/>
          <w:sz w:val="24"/>
        </w:rPr>
      </w:pPr>
      <w:r>
        <w:rPr>
          <w:b/>
          <w:color w:val="231F20"/>
          <w:sz w:val="24"/>
        </w:rPr>
        <w:t>Grants</w:t>
      </w:r>
      <w:r>
        <w:rPr>
          <w:b/>
          <w:color w:val="231F20"/>
          <w:spacing w:val="-6"/>
          <w:sz w:val="24"/>
        </w:rPr>
        <w:t xml:space="preserve"> </w:t>
      </w:r>
      <w:r>
        <w:rPr>
          <w:b/>
          <w:color w:val="231F20"/>
          <w:sz w:val="24"/>
        </w:rPr>
        <w:t>Recognised</w:t>
      </w:r>
      <w:r>
        <w:rPr>
          <w:b/>
          <w:color w:val="231F20"/>
          <w:spacing w:val="-3"/>
          <w:sz w:val="24"/>
        </w:rPr>
        <w:t xml:space="preserve"> </w:t>
      </w:r>
      <w:r>
        <w:rPr>
          <w:b/>
          <w:color w:val="231F20"/>
          <w:sz w:val="24"/>
        </w:rPr>
        <w:t>Under</w:t>
      </w:r>
      <w:r>
        <w:rPr>
          <w:b/>
          <w:color w:val="231F20"/>
          <w:spacing w:val="-4"/>
          <w:sz w:val="24"/>
        </w:rPr>
        <w:t xml:space="preserve"> </w:t>
      </w:r>
      <w:r>
        <w:rPr>
          <w:b/>
          <w:color w:val="231F20"/>
          <w:sz w:val="24"/>
        </w:rPr>
        <w:t>AASB</w:t>
      </w:r>
      <w:r>
        <w:rPr>
          <w:b/>
          <w:color w:val="231F20"/>
          <w:spacing w:val="-3"/>
          <w:sz w:val="24"/>
        </w:rPr>
        <w:t xml:space="preserve"> </w:t>
      </w:r>
      <w:r>
        <w:rPr>
          <w:b/>
          <w:color w:val="231F20"/>
          <w:sz w:val="24"/>
        </w:rPr>
        <w:t>1058</w:t>
      </w:r>
      <w:r>
        <w:rPr>
          <w:b/>
          <w:color w:val="231F20"/>
          <w:spacing w:val="-4"/>
          <w:sz w:val="24"/>
        </w:rPr>
        <w:t xml:space="preserve"> </w:t>
      </w:r>
      <w:r>
        <w:rPr>
          <w:rFonts w:ascii="Arial-BoldItalicMT"/>
          <w:b/>
          <w:i/>
          <w:color w:val="231F20"/>
          <w:sz w:val="24"/>
        </w:rPr>
        <w:t>Income</w:t>
      </w:r>
      <w:r>
        <w:rPr>
          <w:rFonts w:ascii="Arial-BoldItalicMT"/>
          <w:b/>
          <w:i/>
          <w:color w:val="231F20"/>
          <w:spacing w:val="-4"/>
          <w:sz w:val="24"/>
        </w:rPr>
        <w:t xml:space="preserve"> </w:t>
      </w:r>
      <w:r>
        <w:rPr>
          <w:rFonts w:ascii="Arial-BoldItalicMT"/>
          <w:b/>
          <w:i/>
          <w:color w:val="231F20"/>
          <w:sz w:val="24"/>
        </w:rPr>
        <w:t>of</w:t>
      </w:r>
      <w:r>
        <w:rPr>
          <w:rFonts w:ascii="Arial-BoldItalicMT"/>
          <w:b/>
          <w:i/>
          <w:color w:val="231F20"/>
          <w:spacing w:val="-2"/>
          <w:sz w:val="24"/>
        </w:rPr>
        <w:t xml:space="preserve"> </w:t>
      </w:r>
      <w:r>
        <w:rPr>
          <w:rFonts w:ascii="Arial-BoldItalicMT"/>
          <w:b/>
          <w:i/>
          <w:color w:val="231F20"/>
          <w:sz w:val="24"/>
        </w:rPr>
        <w:t>Not-for-Profit</w:t>
      </w:r>
      <w:r>
        <w:rPr>
          <w:rFonts w:ascii="Arial-BoldItalicMT"/>
          <w:b/>
          <w:i/>
          <w:color w:val="231F20"/>
          <w:spacing w:val="-3"/>
          <w:sz w:val="24"/>
        </w:rPr>
        <w:t xml:space="preserve"> </w:t>
      </w:r>
      <w:r>
        <w:rPr>
          <w:rFonts w:ascii="Arial-BoldItalicMT"/>
          <w:b/>
          <w:i/>
          <w:color w:val="231F20"/>
          <w:sz w:val="24"/>
        </w:rPr>
        <w:t>Entities</w:t>
      </w:r>
      <w:r>
        <w:rPr>
          <w:rFonts w:ascii="Arial-BoldItalicMT"/>
          <w:b/>
          <w:i/>
          <w:color w:val="231F20"/>
          <w:spacing w:val="-3"/>
          <w:sz w:val="24"/>
        </w:rPr>
        <w:t xml:space="preserve"> </w:t>
      </w:r>
      <w:r>
        <w:rPr>
          <w:b/>
          <w:color w:val="231F20"/>
          <w:sz w:val="24"/>
        </w:rPr>
        <w:t>(AASB</w:t>
      </w:r>
      <w:r>
        <w:rPr>
          <w:b/>
          <w:color w:val="231F20"/>
          <w:spacing w:val="-2"/>
          <w:sz w:val="24"/>
        </w:rPr>
        <w:t xml:space="preserve"> 1058)</w:t>
      </w:r>
    </w:p>
    <w:p w14:paraId="106163E1" w14:textId="77777777" w:rsidR="00345EE3" w:rsidRDefault="00345EE3" w:rsidP="00345EE3">
      <w:pPr>
        <w:pStyle w:val="BodyText"/>
        <w:spacing w:before="61" w:line="242" w:lineRule="auto"/>
        <w:ind w:right="115"/>
      </w:pPr>
      <w:r>
        <w:rPr>
          <w:color w:val="231F20"/>
        </w:rPr>
        <w:t>Victoria</w:t>
      </w:r>
      <w:r>
        <w:rPr>
          <w:color w:val="231F20"/>
          <w:spacing w:val="-8"/>
        </w:rPr>
        <w:t xml:space="preserve"> </w:t>
      </w:r>
      <w:r>
        <w:rPr>
          <w:color w:val="231F20"/>
        </w:rPr>
        <w:t>Police</w:t>
      </w:r>
      <w:r>
        <w:rPr>
          <w:color w:val="231F20"/>
          <w:spacing w:val="-8"/>
        </w:rPr>
        <w:t xml:space="preserve"> </w:t>
      </w:r>
      <w:r>
        <w:rPr>
          <w:color w:val="231F20"/>
        </w:rPr>
        <w:t>has</w:t>
      </w:r>
      <w:r>
        <w:rPr>
          <w:color w:val="231F20"/>
          <w:spacing w:val="-7"/>
        </w:rPr>
        <w:t xml:space="preserve"> </w:t>
      </w:r>
      <w:r>
        <w:rPr>
          <w:color w:val="231F20"/>
        </w:rPr>
        <w:t>determined</w:t>
      </w:r>
      <w:r>
        <w:rPr>
          <w:color w:val="231F20"/>
          <w:spacing w:val="-8"/>
        </w:rPr>
        <w:t xml:space="preserve"> </w:t>
      </w:r>
      <w:r>
        <w:rPr>
          <w:color w:val="231F20"/>
        </w:rPr>
        <w:t>that</w:t>
      </w:r>
      <w:r>
        <w:rPr>
          <w:color w:val="231F20"/>
          <w:spacing w:val="-7"/>
        </w:rPr>
        <w:t xml:space="preserve"> </w:t>
      </w:r>
      <w:r>
        <w:rPr>
          <w:color w:val="231F20"/>
        </w:rPr>
        <w:t>the</w:t>
      </w:r>
      <w:r>
        <w:rPr>
          <w:color w:val="231F20"/>
          <w:spacing w:val="-8"/>
        </w:rPr>
        <w:t xml:space="preserve"> </w:t>
      </w:r>
      <w:r>
        <w:rPr>
          <w:color w:val="231F20"/>
        </w:rPr>
        <w:t>grant</w:t>
      </w:r>
      <w:r>
        <w:rPr>
          <w:color w:val="231F20"/>
          <w:spacing w:val="-7"/>
        </w:rPr>
        <w:t xml:space="preserve"> </w:t>
      </w:r>
      <w:r>
        <w:rPr>
          <w:color w:val="231F20"/>
        </w:rPr>
        <w:t>income</w:t>
      </w:r>
      <w:r>
        <w:rPr>
          <w:color w:val="231F20"/>
          <w:spacing w:val="-8"/>
        </w:rPr>
        <w:t xml:space="preserve"> </w:t>
      </w:r>
      <w:r>
        <w:rPr>
          <w:color w:val="231F20"/>
        </w:rPr>
        <w:t>included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table</w:t>
      </w:r>
      <w:r>
        <w:rPr>
          <w:color w:val="231F20"/>
          <w:spacing w:val="-8"/>
        </w:rPr>
        <w:t xml:space="preserve"> </w:t>
      </w:r>
      <w:r>
        <w:rPr>
          <w:color w:val="231F20"/>
        </w:rPr>
        <w:t>above</w:t>
      </w:r>
      <w:r>
        <w:rPr>
          <w:color w:val="231F20"/>
          <w:spacing w:val="-8"/>
        </w:rPr>
        <w:t xml:space="preserve"> </w:t>
      </w:r>
      <w:r>
        <w:rPr>
          <w:color w:val="231F20"/>
        </w:rPr>
        <w:t>under</w:t>
      </w:r>
      <w:r>
        <w:rPr>
          <w:color w:val="231F20"/>
          <w:spacing w:val="-7"/>
        </w:rPr>
        <w:t xml:space="preserve"> </w:t>
      </w:r>
      <w:r>
        <w:rPr>
          <w:color w:val="231F20"/>
        </w:rPr>
        <w:t>AASB 1058 has been earned under arrangements that are either not enforceable and/or linked to sufficiently specific performance obligations.</w:t>
      </w:r>
    </w:p>
    <w:p w14:paraId="03417639" w14:textId="77777777" w:rsidR="00345EE3" w:rsidRDefault="00345EE3" w:rsidP="00345EE3">
      <w:pPr>
        <w:pStyle w:val="BodyText"/>
        <w:spacing w:before="117" w:line="242" w:lineRule="auto"/>
      </w:pPr>
      <w:r>
        <w:rPr>
          <w:color w:val="231F20"/>
        </w:rPr>
        <w:t>Income from grants without any sufficiently specific performance obligations, or that are not enforceable,</w:t>
      </w:r>
      <w:r>
        <w:rPr>
          <w:color w:val="231F20"/>
          <w:spacing w:val="-8"/>
        </w:rPr>
        <w:t xml:space="preserve"> </w:t>
      </w:r>
      <w:r>
        <w:rPr>
          <w:color w:val="231F20"/>
        </w:rPr>
        <w:t>is</w:t>
      </w:r>
      <w:r>
        <w:rPr>
          <w:color w:val="231F20"/>
          <w:spacing w:val="-8"/>
        </w:rPr>
        <w:t xml:space="preserve"> </w:t>
      </w:r>
      <w:r>
        <w:rPr>
          <w:color w:val="231F20"/>
        </w:rPr>
        <w:t>recognised</w:t>
      </w:r>
      <w:r>
        <w:rPr>
          <w:color w:val="231F20"/>
          <w:spacing w:val="-9"/>
        </w:rPr>
        <w:t xml:space="preserve"> </w:t>
      </w:r>
      <w:r>
        <w:rPr>
          <w:color w:val="231F20"/>
        </w:rPr>
        <w:t>when</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has</w:t>
      </w:r>
      <w:r>
        <w:rPr>
          <w:color w:val="231F20"/>
          <w:spacing w:val="-8"/>
        </w:rPr>
        <w:t xml:space="preserve"> </w:t>
      </w:r>
      <w:r>
        <w:rPr>
          <w:color w:val="231F20"/>
        </w:rPr>
        <w:t>an</w:t>
      </w:r>
      <w:r>
        <w:rPr>
          <w:color w:val="231F20"/>
          <w:spacing w:val="-9"/>
        </w:rPr>
        <w:t xml:space="preserve"> </w:t>
      </w:r>
      <w:r>
        <w:rPr>
          <w:color w:val="231F20"/>
        </w:rPr>
        <w:t>unconditional</w:t>
      </w:r>
      <w:r>
        <w:rPr>
          <w:color w:val="231F20"/>
          <w:spacing w:val="-9"/>
        </w:rPr>
        <w:t xml:space="preserve"> </w:t>
      </w:r>
      <w:r>
        <w:rPr>
          <w:color w:val="231F20"/>
        </w:rPr>
        <w:t>right</w:t>
      </w:r>
      <w:r>
        <w:rPr>
          <w:color w:val="231F20"/>
          <w:spacing w:val="-8"/>
        </w:rPr>
        <w:t xml:space="preserve"> </w:t>
      </w:r>
      <w:r>
        <w:rPr>
          <w:color w:val="231F20"/>
        </w:rPr>
        <w:t>to</w:t>
      </w:r>
      <w:r>
        <w:rPr>
          <w:color w:val="231F20"/>
          <w:spacing w:val="-9"/>
        </w:rPr>
        <w:t xml:space="preserve"> </w:t>
      </w:r>
      <w:r>
        <w:rPr>
          <w:color w:val="231F20"/>
        </w:rPr>
        <w:t>receive</w:t>
      </w:r>
      <w:r>
        <w:rPr>
          <w:color w:val="231F20"/>
          <w:spacing w:val="-9"/>
        </w:rPr>
        <w:t xml:space="preserve"> </w:t>
      </w:r>
      <w:r>
        <w:rPr>
          <w:color w:val="231F20"/>
        </w:rPr>
        <w:t>cash</w:t>
      </w:r>
      <w:r>
        <w:rPr>
          <w:color w:val="231F20"/>
          <w:spacing w:val="-9"/>
        </w:rPr>
        <w:t xml:space="preserve"> </w:t>
      </w:r>
      <w:r>
        <w:rPr>
          <w:color w:val="231F20"/>
        </w:rPr>
        <w:t>which usually coincides with the receipt of cash. On initial recognition of the asset, Victoria Police recognises</w:t>
      </w:r>
      <w:r>
        <w:rPr>
          <w:color w:val="231F20"/>
          <w:spacing w:val="-8"/>
        </w:rPr>
        <w:t xml:space="preserve"> </w:t>
      </w:r>
      <w:r>
        <w:rPr>
          <w:color w:val="231F20"/>
        </w:rPr>
        <w:t>any</w:t>
      </w:r>
      <w:r>
        <w:rPr>
          <w:color w:val="231F20"/>
          <w:spacing w:val="-8"/>
        </w:rPr>
        <w:t xml:space="preserve"> </w:t>
      </w:r>
      <w:r>
        <w:rPr>
          <w:color w:val="231F20"/>
        </w:rPr>
        <w:t>related</w:t>
      </w:r>
      <w:r>
        <w:rPr>
          <w:color w:val="231F20"/>
          <w:spacing w:val="-9"/>
        </w:rPr>
        <w:t xml:space="preserve"> </w:t>
      </w:r>
      <w:r>
        <w:rPr>
          <w:color w:val="231F20"/>
        </w:rPr>
        <w:t>contributions</w:t>
      </w:r>
      <w:r>
        <w:rPr>
          <w:color w:val="231F20"/>
          <w:spacing w:val="-8"/>
        </w:rPr>
        <w:t xml:space="preserve"> </w:t>
      </w:r>
      <w:r>
        <w:rPr>
          <w:color w:val="231F20"/>
        </w:rPr>
        <w:t>by</w:t>
      </w:r>
      <w:r>
        <w:rPr>
          <w:color w:val="231F20"/>
          <w:spacing w:val="-8"/>
        </w:rPr>
        <w:t xml:space="preserve"> </w:t>
      </w:r>
      <w:r>
        <w:rPr>
          <w:color w:val="231F20"/>
        </w:rPr>
        <w:t>owners,</w:t>
      </w:r>
      <w:r>
        <w:rPr>
          <w:color w:val="231F20"/>
          <w:spacing w:val="-8"/>
        </w:rPr>
        <w:t xml:space="preserve"> </w:t>
      </w:r>
      <w:r>
        <w:rPr>
          <w:color w:val="231F20"/>
        </w:rPr>
        <w:t>increases</w:t>
      </w:r>
      <w:r>
        <w:rPr>
          <w:color w:val="231F20"/>
          <w:spacing w:val="-8"/>
        </w:rPr>
        <w:t xml:space="preserve"> </w:t>
      </w:r>
      <w:r>
        <w:rPr>
          <w:color w:val="231F20"/>
        </w:rPr>
        <w:t>in</w:t>
      </w:r>
      <w:r>
        <w:rPr>
          <w:color w:val="231F20"/>
          <w:spacing w:val="-9"/>
        </w:rPr>
        <w:t xml:space="preserve"> </w:t>
      </w:r>
      <w:r>
        <w:rPr>
          <w:color w:val="231F20"/>
        </w:rPr>
        <w:t>liabilities,</w:t>
      </w:r>
      <w:r>
        <w:rPr>
          <w:color w:val="231F20"/>
          <w:spacing w:val="-8"/>
        </w:rPr>
        <w:t xml:space="preserve"> </w:t>
      </w:r>
      <w:r>
        <w:rPr>
          <w:color w:val="231F20"/>
        </w:rPr>
        <w:t>decreases</w:t>
      </w:r>
      <w:r>
        <w:rPr>
          <w:color w:val="231F20"/>
          <w:spacing w:val="-8"/>
        </w:rPr>
        <w:t xml:space="preserve"> </w:t>
      </w:r>
      <w:r>
        <w:rPr>
          <w:color w:val="231F20"/>
        </w:rPr>
        <w:t>in</w:t>
      </w:r>
      <w:r>
        <w:rPr>
          <w:color w:val="231F20"/>
          <w:spacing w:val="-9"/>
        </w:rPr>
        <w:t xml:space="preserve"> </w:t>
      </w:r>
      <w:r>
        <w:rPr>
          <w:color w:val="231F20"/>
        </w:rPr>
        <w:t>assets,</w:t>
      </w:r>
      <w:r>
        <w:rPr>
          <w:color w:val="231F20"/>
          <w:spacing w:val="-8"/>
        </w:rPr>
        <w:t xml:space="preserve"> </w:t>
      </w:r>
      <w:r>
        <w:rPr>
          <w:color w:val="231F20"/>
        </w:rPr>
        <w:t>and revenue</w:t>
      </w:r>
      <w:r>
        <w:rPr>
          <w:color w:val="231F20"/>
          <w:spacing w:val="-2"/>
        </w:rPr>
        <w:t xml:space="preserve"> </w:t>
      </w:r>
      <w:r>
        <w:rPr>
          <w:color w:val="231F20"/>
        </w:rPr>
        <w:t>(‘related</w:t>
      </w:r>
      <w:r>
        <w:rPr>
          <w:color w:val="231F20"/>
          <w:spacing w:val="-2"/>
        </w:rPr>
        <w:t xml:space="preserve"> </w:t>
      </w:r>
      <w:r>
        <w:rPr>
          <w:color w:val="231F20"/>
        </w:rPr>
        <w:t>amounts’)</w:t>
      </w:r>
      <w:r>
        <w:rPr>
          <w:color w:val="231F20"/>
          <w:spacing w:val="-1"/>
        </w:rPr>
        <w:t xml:space="preserve"> </w:t>
      </w:r>
      <w:r>
        <w:rPr>
          <w:color w:val="231F20"/>
        </w:rPr>
        <w:t>in</w:t>
      </w:r>
      <w:r>
        <w:rPr>
          <w:color w:val="231F20"/>
          <w:spacing w:val="-2"/>
        </w:rPr>
        <w:t xml:space="preserve"> </w:t>
      </w:r>
      <w:r>
        <w:rPr>
          <w:color w:val="231F20"/>
        </w:rPr>
        <w:t>accordance</w:t>
      </w:r>
      <w:r>
        <w:rPr>
          <w:color w:val="231F20"/>
          <w:spacing w:val="-2"/>
        </w:rPr>
        <w:t xml:space="preserve"> </w:t>
      </w:r>
      <w:r>
        <w:rPr>
          <w:color w:val="231F20"/>
        </w:rPr>
        <w:t>with</w:t>
      </w:r>
      <w:r>
        <w:rPr>
          <w:color w:val="231F20"/>
          <w:spacing w:val="-2"/>
        </w:rPr>
        <w:t xml:space="preserve"> </w:t>
      </w:r>
      <w:r>
        <w:rPr>
          <w:color w:val="231F20"/>
        </w:rPr>
        <w:t>other</w:t>
      </w:r>
      <w:r>
        <w:rPr>
          <w:color w:val="231F20"/>
          <w:spacing w:val="-1"/>
        </w:rPr>
        <w:t xml:space="preserve"> </w:t>
      </w:r>
      <w:r>
        <w:rPr>
          <w:color w:val="231F20"/>
        </w:rPr>
        <w:t>Australian</w:t>
      </w:r>
      <w:r>
        <w:rPr>
          <w:color w:val="231F20"/>
          <w:spacing w:val="-2"/>
        </w:rPr>
        <w:t xml:space="preserve"> </w:t>
      </w:r>
      <w:r>
        <w:rPr>
          <w:color w:val="231F20"/>
        </w:rPr>
        <w:t>Accounting</w:t>
      </w:r>
      <w:r>
        <w:rPr>
          <w:color w:val="231F20"/>
          <w:spacing w:val="-2"/>
        </w:rPr>
        <w:t xml:space="preserve"> </w:t>
      </w:r>
      <w:r>
        <w:rPr>
          <w:color w:val="231F20"/>
        </w:rPr>
        <w:t>Standards.</w:t>
      </w:r>
      <w:r>
        <w:rPr>
          <w:color w:val="231F20"/>
          <w:spacing w:val="-1"/>
        </w:rPr>
        <w:t xml:space="preserve"> </w:t>
      </w:r>
      <w:r>
        <w:rPr>
          <w:color w:val="231F20"/>
        </w:rPr>
        <w:t>Related amounts may take the form of:</w:t>
      </w:r>
    </w:p>
    <w:p w14:paraId="01612720" w14:textId="77777777" w:rsidR="00345EE3" w:rsidRDefault="00345EE3">
      <w:pPr>
        <w:pStyle w:val="ListParagraph"/>
        <w:numPr>
          <w:ilvl w:val="3"/>
          <w:numId w:val="44"/>
        </w:numPr>
        <w:tabs>
          <w:tab w:val="left" w:pos="393"/>
          <w:tab w:val="left" w:pos="394"/>
        </w:tabs>
        <w:spacing w:before="36"/>
        <w:ind w:hanging="284"/>
        <w:rPr>
          <w:sz w:val="24"/>
        </w:rPr>
      </w:pPr>
      <w:r>
        <w:rPr>
          <w:color w:val="231F20"/>
          <w:sz w:val="24"/>
        </w:rPr>
        <w:t>contributions</w:t>
      </w:r>
      <w:r>
        <w:rPr>
          <w:color w:val="231F20"/>
          <w:spacing w:val="-7"/>
          <w:sz w:val="24"/>
        </w:rPr>
        <w:t xml:space="preserve"> </w:t>
      </w:r>
      <w:r>
        <w:rPr>
          <w:color w:val="231F20"/>
          <w:sz w:val="24"/>
        </w:rPr>
        <w:t>by</w:t>
      </w:r>
      <w:r>
        <w:rPr>
          <w:color w:val="231F20"/>
          <w:spacing w:val="-5"/>
          <w:sz w:val="24"/>
        </w:rPr>
        <w:t xml:space="preserve"> </w:t>
      </w:r>
      <w:r>
        <w:rPr>
          <w:color w:val="231F20"/>
          <w:sz w:val="24"/>
        </w:rPr>
        <w:t>owners,</w:t>
      </w:r>
      <w:r>
        <w:rPr>
          <w:color w:val="231F20"/>
          <w:spacing w:val="-5"/>
          <w:sz w:val="24"/>
        </w:rPr>
        <w:t xml:space="preserve"> </w:t>
      </w:r>
      <w:r>
        <w:rPr>
          <w:color w:val="231F20"/>
          <w:sz w:val="24"/>
        </w:rPr>
        <w:t>in</w:t>
      </w:r>
      <w:r>
        <w:rPr>
          <w:color w:val="231F20"/>
          <w:spacing w:val="-6"/>
          <w:sz w:val="24"/>
        </w:rPr>
        <w:t xml:space="preserve"> </w:t>
      </w:r>
      <w:r>
        <w:rPr>
          <w:color w:val="231F20"/>
          <w:sz w:val="24"/>
        </w:rPr>
        <w:t>accordance</w:t>
      </w:r>
      <w:r>
        <w:rPr>
          <w:color w:val="231F20"/>
          <w:spacing w:val="-5"/>
          <w:sz w:val="24"/>
        </w:rPr>
        <w:t xml:space="preserve"> </w:t>
      </w:r>
      <w:r>
        <w:rPr>
          <w:color w:val="231F20"/>
          <w:sz w:val="24"/>
        </w:rPr>
        <w:t>with</w:t>
      </w:r>
      <w:r>
        <w:rPr>
          <w:color w:val="231F20"/>
          <w:spacing w:val="-6"/>
          <w:sz w:val="24"/>
        </w:rPr>
        <w:t xml:space="preserve"> </w:t>
      </w:r>
      <w:r>
        <w:rPr>
          <w:color w:val="231F20"/>
          <w:sz w:val="24"/>
        </w:rPr>
        <w:t>AASB</w:t>
      </w:r>
      <w:r>
        <w:rPr>
          <w:color w:val="231F20"/>
          <w:spacing w:val="-5"/>
          <w:sz w:val="24"/>
        </w:rPr>
        <w:t xml:space="preserve"> </w:t>
      </w:r>
      <w:r>
        <w:rPr>
          <w:color w:val="231F20"/>
          <w:sz w:val="24"/>
        </w:rPr>
        <w:t>1004</w:t>
      </w:r>
      <w:r>
        <w:rPr>
          <w:color w:val="231F20"/>
          <w:spacing w:val="-5"/>
          <w:sz w:val="24"/>
        </w:rPr>
        <w:t xml:space="preserve"> </w:t>
      </w:r>
      <w:r>
        <w:rPr>
          <w:i/>
          <w:color w:val="231F20"/>
          <w:spacing w:val="-2"/>
          <w:sz w:val="24"/>
        </w:rPr>
        <w:t>Contributions</w:t>
      </w:r>
      <w:r>
        <w:rPr>
          <w:color w:val="231F20"/>
          <w:spacing w:val="-2"/>
          <w:sz w:val="24"/>
        </w:rPr>
        <w:t>;</w:t>
      </w:r>
    </w:p>
    <w:p w14:paraId="0726B5DF" w14:textId="77777777" w:rsidR="00345EE3" w:rsidRDefault="00345EE3">
      <w:pPr>
        <w:pStyle w:val="ListParagraph"/>
        <w:numPr>
          <w:ilvl w:val="3"/>
          <w:numId w:val="44"/>
        </w:numPr>
        <w:tabs>
          <w:tab w:val="left" w:pos="393"/>
          <w:tab w:val="left" w:pos="394"/>
        </w:tabs>
        <w:spacing w:line="242" w:lineRule="auto"/>
        <w:ind w:right="764" w:hanging="284"/>
        <w:rPr>
          <w:sz w:val="24"/>
        </w:rPr>
      </w:pPr>
      <w:r>
        <w:rPr>
          <w:color w:val="231F20"/>
          <w:sz w:val="24"/>
        </w:rPr>
        <w:t>revenue</w:t>
      </w:r>
      <w:r>
        <w:rPr>
          <w:color w:val="231F20"/>
          <w:spacing w:val="-9"/>
          <w:sz w:val="24"/>
        </w:rPr>
        <w:t xml:space="preserve"> </w:t>
      </w:r>
      <w:r>
        <w:rPr>
          <w:color w:val="231F20"/>
          <w:sz w:val="24"/>
        </w:rPr>
        <w:t>or</w:t>
      </w:r>
      <w:r>
        <w:rPr>
          <w:color w:val="231F20"/>
          <w:spacing w:val="-8"/>
          <w:sz w:val="24"/>
        </w:rPr>
        <w:t xml:space="preserve"> </w:t>
      </w:r>
      <w:r>
        <w:rPr>
          <w:color w:val="231F20"/>
          <w:sz w:val="24"/>
        </w:rPr>
        <w:t>a</w:t>
      </w:r>
      <w:r>
        <w:rPr>
          <w:color w:val="231F20"/>
          <w:spacing w:val="-9"/>
          <w:sz w:val="24"/>
        </w:rPr>
        <w:t xml:space="preserve"> </w:t>
      </w:r>
      <w:r>
        <w:rPr>
          <w:color w:val="231F20"/>
          <w:sz w:val="24"/>
        </w:rPr>
        <w:t>contract</w:t>
      </w:r>
      <w:r>
        <w:rPr>
          <w:color w:val="231F20"/>
          <w:spacing w:val="-8"/>
          <w:sz w:val="24"/>
        </w:rPr>
        <w:t xml:space="preserve"> </w:t>
      </w:r>
      <w:r>
        <w:rPr>
          <w:color w:val="231F20"/>
          <w:sz w:val="24"/>
        </w:rPr>
        <w:t>liability</w:t>
      </w:r>
      <w:r>
        <w:rPr>
          <w:color w:val="231F20"/>
          <w:spacing w:val="-8"/>
          <w:sz w:val="24"/>
        </w:rPr>
        <w:t xml:space="preserve"> </w:t>
      </w:r>
      <w:r>
        <w:rPr>
          <w:color w:val="231F20"/>
          <w:sz w:val="24"/>
        </w:rPr>
        <w:t>arising</w:t>
      </w:r>
      <w:r>
        <w:rPr>
          <w:color w:val="231F20"/>
          <w:spacing w:val="-9"/>
          <w:sz w:val="24"/>
        </w:rPr>
        <w:t xml:space="preserve"> </w:t>
      </w:r>
      <w:r>
        <w:rPr>
          <w:color w:val="231F20"/>
          <w:sz w:val="24"/>
        </w:rPr>
        <w:t>from</w:t>
      </w:r>
      <w:r>
        <w:rPr>
          <w:color w:val="231F20"/>
          <w:spacing w:val="-8"/>
          <w:sz w:val="24"/>
        </w:rPr>
        <w:t xml:space="preserve"> </w:t>
      </w:r>
      <w:r>
        <w:rPr>
          <w:color w:val="231F20"/>
          <w:sz w:val="24"/>
        </w:rPr>
        <w:t>a</w:t>
      </w:r>
      <w:r>
        <w:rPr>
          <w:color w:val="231F20"/>
          <w:spacing w:val="-9"/>
          <w:sz w:val="24"/>
        </w:rPr>
        <w:t xml:space="preserve"> </w:t>
      </w:r>
      <w:r>
        <w:rPr>
          <w:color w:val="231F20"/>
          <w:sz w:val="24"/>
        </w:rPr>
        <w:t>contract</w:t>
      </w:r>
      <w:r>
        <w:rPr>
          <w:color w:val="231F20"/>
          <w:spacing w:val="-8"/>
          <w:sz w:val="24"/>
        </w:rPr>
        <w:t xml:space="preserve"> </w:t>
      </w:r>
      <w:r>
        <w:rPr>
          <w:color w:val="231F20"/>
          <w:sz w:val="24"/>
        </w:rPr>
        <w:t>with</w:t>
      </w:r>
      <w:r>
        <w:rPr>
          <w:color w:val="231F20"/>
          <w:spacing w:val="-9"/>
          <w:sz w:val="24"/>
        </w:rPr>
        <w:t xml:space="preserve"> </w:t>
      </w:r>
      <w:r>
        <w:rPr>
          <w:color w:val="231F20"/>
          <w:sz w:val="24"/>
        </w:rPr>
        <w:t>a</w:t>
      </w:r>
      <w:r>
        <w:rPr>
          <w:color w:val="231F20"/>
          <w:spacing w:val="-9"/>
          <w:sz w:val="24"/>
        </w:rPr>
        <w:t xml:space="preserve"> </w:t>
      </w:r>
      <w:r>
        <w:rPr>
          <w:color w:val="231F20"/>
          <w:sz w:val="24"/>
        </w:rPr>
        <w:t>customer,</w:t>
      </w:r>
      <w:r>
        <w:rPr>
          <w:color w:val="231F20"/>
          <w:spacing w:val="-8"/>
          <w:sz w:val="24"/>
        </w:rPr>
        <w:t xml:space="preserve"> </w:t>
      </w:r>
      <w:r>
        <w:rPr>
          <w:color w:val="231F20"/>
          <w:sz w:val="24"/>
        </w:rPr>
        <w:t>in</w:t>
      </w:r>
      <w:r>
        <w:rPr>
          <w:color w:val="231F20"/>
          <w:spacing w:val="-9"/>
          <w:sz w:val="24"/>
        </w:rPr>
        <w:t xml:space="preserve"> </w:t>
      </w:r>
      <w:r>
        <w:rPr>
          <w:color w:val="231F20"/>
          <w:sz w:val="24"/>
        </w:rPr>
        <w:t>accordance</w:t>
      </w:r>
      <w:r>
        <w:rPr>
          <w:color w:val="231F20"/>
          <w:spacing w:val="-9"/>
          <w:sz w:val="24"/>
        </w:rPr>
        <w:t xml:space="preserve"> </w:t>
      </w:r>
      <w:r>
        <w:rPr>
          <w:color w:val="231F20"/>
          <w:sz w:val="24"/>
        </w:rPr>
        <w:t>with AASB 15;</w:t>
      </w:r>
    </w:p>
    <w:p w14:paraId="731BDBCF" w14:textId="77777777" w:rsidR="00345EE3" w:rsidRDefault="00345EE3">
      <w:pPr>
        <w:pStyle w:val="ListParagraph"/>
        <w:numPr>
          <w:ilvl w:val="3"/>
          <w:numId w:val="44"/>
        </w:numPr>
        <w:tabs>
          <w:tab w:val="left" w:pos="394"/>
        </w:tabs>
        <w:spacing w:before="62"/>
        <w:ind w:hanging="284"/>
        <w:jc w:val="both"/>
        <w:rPr>
          <w:sz w:val="24"/>
        </w:rPr>
      </w:pPr>
      <w:r>
        <w:rPr>
          <w:color w:val="231F20"/>
          <w:sz w:val="24"/>
        </w:rPr>
        <w:t>a</w:t>
      </w:r>
      <w:r>
        <w:rPr>
          <w:color w:val="231F20"/>
          <w:spacing w:val="-8"/>
          <w:sz w:val="24"/>
        </w:rPr>
        <w:t xml:space="preserve"> </w:t>
      </w:r>
      <w:r>
        <w:rPr>
          <w:color w:val="231F20"/>
          <w:sz w:val="24"/>
        </w:rPr>
        <w:t>lease</w:t>
      </w:r>
      <w:r>
        <w:rPr>
          <w:color w:val="231F20"/>
          <w:spacing w:val="-5"/>
          <w:sz w:val="24"/>
        </w:rPr>
        <w:t xml:space="preserve"> </w:t>
      </w:r>
      <w:r>
        <w:rPr>
          <w:color w:val="231F20"/>
          <w:sz w:val="24"/>
        </w:rPr>
        <w:t>liability</w:t>
      </w:r>
      <w:r>
        <w:rPr>
          <w:color w:val="231F20"/>
          <w:spacing w:val="-5"/>
          <w:sz w:val="24"/>
        </w:rPr>
        <w:t xml:space="preserve"> </w:t>
      </w:r>
      <w:r>
        <w:rPr>
          <w:color w:val="231F20"/>
          <w:sz w:val="24"/>
        </w:rPr>
        <w:t>in</w:t>
      </w:r>
      <w:r>
        <w:rPr>
          <w:color w:val="231F20"/>
          <w:spacing w:val="-5"/>
          <w:sz w:val="24"/>
        </w:rPr>
        <w:t xml:space="preserve"> </w:t>
      </w:r>
      <w:r>
        <w:rPr>
          <w:color w:val="231F20"/>
          <w:sz w:val="24"/>
        </w:rPr>
        <w:t>accordance</w:t>
      </w:r>
      <w:r>
        <w:rPr>
          <w:color w:val="231F20"/>
          <w:spacing w:val="-6"/>
          <w:sz w:val="24"/>
        </w:rPr>
        <w:t xml:space="preserve"> </w:t>
      </w:r>
      <w:r>
        <w:rPr>
          <w:color w:val="231F20"/>
          <w:sz w:val="24"/>
        </w:rPr>
        <w:t>with</w:t>
      </w:r>
      <w:r>
        <w:rPr>
          <w:color w:val="231F20"/>
          <w:spacing w:val="-5"/>
          <w:sz w:val="24"/>
        </w:rPr>
        <w:t xml:space="preserve"> </w:t>
      </w:r>
      <w:r>
        <w:rPr>
          <w:color w:val="231F20"/>
          <w:sz w:val="24"/>
        </w:rPr>
        <w:t>AASB</w:t>
      </w:r>
      <w:r>
        <w:rPr>
          <w:color w:val="231F20"/>
          <w:spacing w:val="-5"/>
          <w:sz w:val="24"/>
        </w:rPr>
        <w:t xml:space="preserve"> </w:t>
      </w:r>
      <w:r>
        <w:rPr>
          <w:color w:val="231F20"/>
          <w:sz w:val="24"/>
        </w:rPr>
        <w:t>16</w:t>
      </w:r>
      <w:r>
        <w:rPr>
          <w:color w:val="231F20"/>
          <w:spacing w:val="-5"/>
          <w:sz w:val="24"/>
        </w:rPr>
        <w:t xml:space="preserve"> </w:t>
      </w:r>
      <w:r>
        <w:rPr>
          <w:i/>
          <w:color w:val="231F20"/>
          <w:spacing w:val="-2"/>
          <w:sz w:val="24"/>
        </w:rPr>
        <w:t>Leases</w:t>
      </w:r>
      <w:r>
        <w:rPr>
          <w:color w:val="231F20"/>
          <w:spacing w:val="-2"/>
          <w:sz w:val="24"/>
        </w:rPr>
        <w:t>;</w:t>
      </w:r>
    </w:p>
    <w:p w14:paraId="0ECC7CEF" w14:textId="77777777" w:rsidR="00345EE3" w:rsidRDefault="00345EE3">
      <w:pPr>
        <w:pStyle w:val="ListParagraph"/>
        <w:numPr>
          <w:ilvl w:val="3"/>
          <w:numId w:val="44"/>
        </w:numPr>
        <w:tabs>
          <w:tab w:val="left" w:pos="394"/>
        </w:tabs>
        <w:ind w:hanging="284"/>
        <w:jc w:val="both"/>
        <w:rPr>
          <w:sz w:val="24"/>
        </w:rPr>
      </w:pPr>
      <w:r>
        <w:rPr>
          <w:color w:val="231F20"/>
          <w:sz w:val="24"/>
        </w:rPr>
        <w:t>a</w:t>
      </w:r>
      <w:r>
        <w:rPr>
          <w:color w:val="231F20"/>
          <w:spacing w:val="-19"/>
          <w:sz w:val="24"/>
        </w:rPr>
        <w:t xml:space="preserve"> </w:t>
      </w:r>
      <w:r>
        <w:rPr>
          <w:color w:val="231F20"/>
          <w:sz w:val="24"/>
        </w:rPr>
        <w:t>financial</w:t>
      </w:r>
      <w:r>
        <w:rPr>
          <w:color w:val="231F20"/>
          <w:spacing w:val="-17"/>
          <w:sz w:val="24"/>
        </w:rPr>
        <w:t xml:space="preserve"> </w:t>
      </w:r>
      <w:r>
        <w:rPr>
          <w:color w:val="231F20"/>
          <w:sz w:val="24"/>
        </w:rPr>
        <w:t>instrument,</w:t>
      </w:r>
      <w:r>
        <w:rPr>
          <w:color w:val="231F20"/>
          <w:spacing w:val="-16"/>
          <w:sz w:val="24"/>
        </w:rPr>
        <w:t xml:space="preserve"> </w:t>
      </w:r>
      <w:r>
        <w:rPr>
          <w:color w:val="231F20"/>
          <w:sz w:val="24"/>
        </w:rPr>
        <w:t>in</w:t>
      </w:r>
      <w:r>
        <w:rPr>
          <w:color w:val="231F20"/>
          <w:spacing w:val="-17"/>
          <w:sz w:val="24"/>
        </w:rPr>
        <w:t xml:space="preserve"> </w:t>
      </w:r>
      <w:r>
        <w:rPr>
          <w:color w:val="231F20"/>
          <w:sz w:val="24"/>
        </w:rPr>
        <w:t>accordance</w:t>
      </w:r>
      <w:r>
        <w:rPr>
          <w:color w:val="231F20"/>
          <w:spacing w:val="-16"/>
          <w:sz w:val="24"/>
        </w:rPr>
        <w:t xml:space="preserve"> </w:t>
      </w:r>
      <w:r>
        <w:rPr>
          <w:color w:val="231F20"/>
          <w:sz w:val="24"/>
        </w:rPr>
        <w:t>with</w:t>
      </w:r>
      <w:r>
        <w:rPr>
          <w:color w:val="231F20"/>
          <w:spacing w:val="-16"/>
          <w:sz w:val="24"/>
        </w:rPr>
        <w:t xml:space="preserve"> </w:t>
      </w:r>
      <w:r>
        <w:rPr>
          <w:color w:val="231F20"/>
          <w:sz w:val="24"/>
        </w:rPr>
        <w:t>AASB</w:t>
      </w:r>
      <w:r>
        <w:rPr>
          <w:color w:val="231F20"/>
          <w:spacing w:val="-14"/>
          <w:sz w:val="24"/>
        </w:rPr>
        <w:t xml:space="preserve"> </w:t>
      </w:r>
      <w:r>
        <w:rPr>
          <w:color w:val="231F20"/>
          <w:sz w:val="24"/>
        </w:rPr>
        <w:t>9</w:t>
      </w:r>
      <w:r>
        <w:rPr>
          <w:color w:val="231F20"/>
          <w:spacing w:val="-16"/>
          <w:sz w:val="24"/>
        </w:rPr>
        <w:t xml:space="preserve"> </w:t>
      </w:r>
      <w:r>
        <w:rPr>
          <w:i/>
          <w:color w:val="231F20"/>
          <w:sz w:val="24"/>
        </w:rPr>
        <w:t>Financial</w:t>
      </w:r>
      <w:r>
        <w:rPr>
          <w:i/>
          <w:color w:val="231F20"/>
          <w:spacing w:val="-17"/>
          <w:sz w:val="24"/>
        </w:rPr>
        <w:t xml:space="preserve"> </w:t>
      </w:r>
      <w:r>
        <w:rPr>
          <w:i/>
          <w:color w:val="231F20"/>
          <w:sz w:val="24"/>
        </w:rPr>
        <w:t>Instruments</w:t>
      </w:r>
      <w:r>
        <w:rPr>
          <w:color w:val="231F20"/>
          <w:sz w:val="24"/>
        </w:rPr>
        <w:t>;</w:t>
      </w:r>
      <w:r>
        <w:rPr>
          <w:color w:val="231F20"/>
          <w:spacing w:val="-14"/>
          <w:sz w:val="24"/>
        </w:rPr>
        <w:t xml:space="preserve"> </w:t>
      </w:r>
      <w:r>
        <w:rPr>
          <w:color w:val="231F20"/>
          <w:spacing w:val="-5"/>
          <w:sz w:val="24"/>
        </w:rPr>
        <w:t>or</w:t>
      </w:r>
    </w:p>
    <w:p w14:paraId="55E195B2" w14:textId="77777777" w:rsidR="00345EE3" w:rsidRDefault="00345EE3">
      <w:pPr>
        <w:pStyle w:val="ListParagraph"/>
        <w:numPr>
          <w:ilvl w:val="3"/>
          <w:numId w:val="44"/>
        </w:numPr>
        <w:tabs>
          <w:tab w:val="left" w:pos="394"/>
        </w:tabs>
        <w:spacing w:before="33" w:line="242" w:lineRule="auto"/>
        <w:ind w:right="657" w:hanging="284"/>
        <w:jc w:val="both"/>
        <w:rPr>
          <w:sz w:val="24"/>
        </w:rPr>
      </w:pPr>
      <w:r>
        <w:rPr>
          <w:color w:val="231F20"/>
          <w:spacing w:val="-2"/>
          <w:sz w:val="24"/>
        </w:rPr>
        <w:t>a</w:t>
      </w:r>
      <w:r>
        <w:rPr>
          <w:color w:val="231F20"/>
          <w:spacing w:val="-15"/>
          <w:sz w:val="24"/>
        </w:rPr>
        <w:t xml:space="preserve"> </w:t>
      </w:r>
      <w:r>
        <w:rPr>
          <w:color w:val="231F20"/>
          <w:spacing w:val="-2"/>
          <w:sz w:val="24"/>
        </w:rPr>
        <w:t>provision,</w:t>
      </w:r>
      <w:r>
        <w:rPr>
          <w:color w:val="231F20"/>
          <w:spacing w:val="-15"/>
          <w:sz w:val="24"/>
        </w:rPr>
        <w:t xml:space="preserve"> </w:t>
      </w:r>
      <w:r>
        <w:rPr>
          <w:color w:val="231F20"/>
          <w:spacing w:val="-2"/>
          <w:sz w:val="24"/>
        </w:rPr>
        <w:t>in</w:t>
      </w:r>
      <w:r>
        <w:rPr>
          <w:color w:val="231F20"/>
          <w:spacing w:val="-14"/>
          <w:sz w:val="24"/>
        </w:rPr>
        <w:t xml:space="preserve"> </w:t>
      </w:r>
      <w:r>
        <w:rPr>
          <w:color w:val="231F20"/>
          <w:spacing w:val="-2"/>
          <w:sz w:val="24"/>
        </w:rPr>
        <w:t>accordance</w:t>
      </w:r>
      <w:r>
        <w:rPr>
          <w:color w:val="231F20"/>
          <w:spacing w:val="-15"/>
          <w:sz w:val="24"/>
        </w:rPr>
        <w:t xml:space="preserve"> </w:t>
      </w:r>
      <w:r>
        <w:rPr>
          <w:color w:val="231F20"/>
          <w:spacing w:val="-2"/>
          <w:sz w:val="24"/>
        </w:rPr>
        <w:t>with</w:t>
      </w:r>
      <w:r>
        <w:rPr>
          <w:color w:val="231F20"/>
          <w:spacing w:val="-15"/>
          <w:sz w:val="24"/>
        </w:rPr>
        <w:t xml:space="preserve"> </w:t>
      </w:r>
      <w:r>
        <w:rPr>
          <w:color w:val="231F20"/>
          <w:spacing w:val="-2"/>
          <w:sz w:val="24"/>
        </w:rPr>
        <w:t>AASB</w:t>
      </w:r>
      <w:r>
        <w:rPr>
          <w:color w:val="231F20"/>
          <w:spacing w:val="-11"/>
          <w:sz w:val="24"/>
        </w:rPr>
        <w:t xml:space="preserve"> </w:t>
      </w:r>
      <w:r>
        <w:rPr>
          <w:color w:val="231F20"/>
          <w:spacing w:val="-2"/>
          <w:sz w:val="24"/>
        </w:rPr>
        <w:t>137</w:t>
      </w:r>
      <w:r>
        <w:rPr>
          <w:color w:val="231F20"/>
          <w:spacing w:val="-12"/>
          <w:sz w:val="24"/>
        </w:rPr>
        <w:t xml:space="preserve"> </w:t>
      </w:r>
      <w:r>
        <w:rPr>
          <w:i/>
          <w:color w:val="231F20"/>
          <w:spacing w:val="-2"/>
          <w:sz w:val="24"/>
        </w:rPr>
        <w:t>Provisions,</w:t>
      </w:r>
      <w:r>
        <w:rPr>
          <w:i/>
          <w:color w:val="231F20"/>
          <w:spacing w:val="-15"/>
          <w:sz w:val="24"/>
        </w:rPr>
        <w:t xml:space="preserve"> </w:t>
      </w:r>
      <w:r>
        <w:rPr>
          <w:i/>
          <w:color w:val="231F20"/>
          <w:spacing w:val="-2"/>
          <w:sz w:val="24"/>
        </w:rPr>
        <w:t>Contingent</w:t>
      </w:r>
      <w:r>
        <w:rPr>
          <w:i/>
          <w:color w:val="231F20"/>
          <w:spacing w:val="-15"/>
          <w:sz w:val="24"/>
        </w:rPr>
        <w:t xml:space="preserve"> </w:t>
      </w:r>
      <w:r>
        <w:rPr>
          <w:i/>
          <w:color w:val="231F20"/>
          <w:spacing w:val="-2"/>
          <w:sz w:val="24"/>
        </w:rPr>
        <w:t>Liabilities</w:t>
      </w:r>
      <w:r>
        <w:rPr>
          <w:i/>
          <w:color w:val="231F20"/>
          <w:spacing w:val="-14"/>
          <w:sz w:val="24"/>
        </w:rPr>
        <w:t xml:space="preserve"> </w:t>
      </w:r>
      <w:r>
        <w:rPr>
          <w:i/>
          <w:color w:val="231F20"/>
          <w:spacing w:val="-2"/>
          <w:sz w:val="24"/>
        </w:rPr>
        <w:t>and</w:t>
      </w:r>
      <w:r>
        <w:rPr>
          <w:i/>
          <w:color w:val="231F20"/>
          <w:spacing w:val="-15"/>
          <w:sz w:val="24"/>
        </w:rPr>
        <w:t xml:space="preserve"> </w:t>
      </w:r>
      <w:r>
        <w:rPr>
          <w:i/>
          <w:color w:val="231F20"/>
          <w:spacing w:val="-2"/>
          <w:sz w:val="24"/>
        </w:rPr>
        <w:t>Contingent Assets</w:t>
      </w:r>
      <w:r>
        <w:rPr>
          <w:color w:val="231F20"/>
          <w:spacing w:val="-2"/>
          <w:sz w:val="24"/>
        </w:rPr>
        <w:t>.</w:t>
      </w:r>
    </w:p>
    <w:p w14:paraId="4A38A255" w14:textId="77777777" w:rsidR="00345EE3" w:rsidRDefault="00345EE3" w:rsidP="00345EE3">
      <w:pPr>
        <w:pStyle w:val="BodyText"/>
        <w:spacing w:before="116" w:line="242" w:lineRule="auto"/>
        <w:ind w:right="1027"/>
        <w:jc w:val="both"/>
      </w:pPr>
      <w:r>
        <w:rPr>
          <w:color w:val="231F20"/>
        </w:rPr>
        <w:t>Income</w:t>
      </w:r>
      <w:r>
        <w:rPr>
          <w:color w:val="231F20"/>
          <w:spacing w:val="-10"/>
        </w:rPr>
        <w:t xml:space="preserve"> </w:t>
      </w:r>
      <w:r>
        <w:rPr>
          <w:color w:val="231F20"/>
        </w:rPr>
        <w:t>received</w:t>
      </w:r>
      <w:r>
        <w:rPr>
          <w:color w:val="231F20"/>
          <w:spacing w:val="-10"/>
        </w:rPr>
        <w:t xml:space="preserve"> </w:t>
      </w:r>
      <w:r>
        <w:rPr>
          <w:color w:val="231F20"/>
        </w:rPr>
        <w:t>for</w:t>
      </w:r>
      <w:r>
        <w:rPr>
          <w:color w:val="231F20"/>
          <w:spacing w:val="-9"/>
        </w:rPr>
        <w:t xml:space="preserve"> </w:t>
      </w:r>
      <w:r>
        <w:rPr>
          <w:color w:val="231F20"/>
        </w:rPr>
        <w:t>specific</w:t>
      </w:r>
      <w:r>
        <w:rPr>
          <w:color w:val="231F20"/>
          <w:spacing w:val="-9"/>
        </w:rPr>
        <w:t xml:space="preserve"> </w:t>
      </w:r>
      <w:r>
        <w:rPr>
          <w:color w:val="231F20"/>
        </w:rPr>
        <w:t>purpose</w:t>
      </w:r>
      <w:r>
        <w:rPr>
          <w:color w:val="231F20"/>
          <w:spacing w:val="-10"/>
        </w:rPr>
        <w:t xml:space="preserve"> </w:t>
      </w:r>
      <w:r>
        <w:rPr>
          <w:color w:val="231F20"/>
        </w:rPr>
        <w:t>grants</w:t>
      </w:r>
      <w:r>
        <w:rPr>
          <w:color w:val="231F20"/>
          <w:spacing w:val="-9"/>
        </w:rPr>
        <w:t xml:space="preserve"> </w:t>
      </w:r>
      <w:r>
        <w:rPr>
          <w:color w:val="231F20"/>
        </w:rPr>
        <w:t>for</w:t>
      </w:r>
      <w:r>
        <w:rPr>
          <w:color w:val="231F20"/>
          <w:spacing w:val="-9"/>
        </w:rPr>
        <w:t xml:space="preserve"> </w:t>
      </w:r>
      <w:r>
        <w:rPr>
          <w:color w:val="231F20"/>
        </w:rPr>
        <w:t>on-passing</w:t>
      </w:r>
      <w:r>
        <w:rPr>
          <w:color w:val="231F20"/>
          <w:spacing w:val="-10"/>
        </w:rPr>
        <w:t xml:space="preserve"> </w:t>
      </w:r>
      <w:r>
        <w:rPr>
          <w:color w:val="231F20"/>
        </w:rPr>
        <w:t>is</w:t>
      </w:r>
      <w:r>
        <w:rPr>
          <w:color w:val="231F20"/>
          <w:spacing w:val="-9"/>
        </w:rPr>
        <w:t xml:space="preserve"> </w:t>
      </w:r>
      <w:r>
        <w:rPr>
          <w:color w:val="231F20"/>
        </w:rPr>
        <w:t>recognised</w:t>
      </w:r>
      <w:r>
        <w:rPr>
          <w:color w:val="231F20"/>
          <w:spacing w:val="-10"/>
        </w:rPr>
        <w:t xml:space="preserve"> </w:t>
      </w:r>
      <w:r>
        <w:rPr>
          <w:color w:val="231F20"/>
        </w:rPr>
        <w:t>simultaneously as</w:t>
      </w:r>
      <w:r>
        <w:rPr>
          <w:color w:val="231F20"/>
          <w:spacing w:val="-7"/>
        </w:rPr>
        <w:t xml:space="preserve"> </w:t>
      </w:r>
      <w:r>
        <w:rPr>
          <w:color w:val="231F20"/>
        </w:rPr>
        <w:t>the</w:t>
      </w:r>
      <w:r>
        <w:rPr>
          <w:color w:val="231F20"/>
          <w:spacing w:val="-8"/>
        </w:rPr>
        <w:t xml:space="preserve"> </w:t>
      </w:r>
      <w:r>
        <w:rPr>
          <w:color w:val="231F20"/>
        </w:rPr>
        <w:t>funds</w:t>
      </w:r>
      <w:r>
        <w:rPr>
          <w:color w:val="231F20"/>
          <w:spacing w:val="-7"/>
        </w:rPr>
        <w:t xml:space="preserve"> </w:t>
      </w:r>
      <w:r>
        <w:rPr>
          <w:color w:val="231F20"/>
        </w:rPr>
        <w:t>are</w:t>
      </w:r>
      <w:r>
        <w:rPr>
          <w:color w:val="231F20"/>
          <w:spacing w:val="-8"/>
        </w:rPr>
        <w:t xml:space="preserve"> </w:t>
      </w:r>
      <w:r>
        <w:rPr>
          <w:color w:val="231F20"/>
        </w:rPr>
        <w:t>immediately</w:t>
      </w:r>
      <w:r>
        <w:rPr>
          <w:color w:val="231F20"/>
          <w:spacing w:val="-7"/>
        </w:rPr>
        <w:t xml:space="preserve"> </w:t>
      </w:r>
      <w:r>
        <w:rPr>
          <w:color w:val="231F20"/>
        </w:rPr>
        <w:t>on-passed</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relevant</w:t>
      </w:r>
      <w:r>
        <w:rPr>
          <w:color w:val="231F20"/>
          <w:spacing w:val="-7"/>
        </w:rPr>
        <w:t xml:space="preserve"> </w:t>
      </w:r>
      <w:r>
        <w:rPr>
          <w:color w:val="231F20"/>
        </w:rPr>
        <w:t>recipient</w:t>
      </w:r>
      <w:r>
        <w:rPr>
          <w:color w:val="231F20"/>
          <w:spacing w:val="-7"/>
        </w:rPr>
        <w:t xml:space="preserve"> </w:t>
      </w:r>
      <w:r>
        <w:rPr>
          <w:color w:val="231F20"/>
        </w:rPr>
        <w:t>entities</w:t>
      </w:r>
      <w:r>
        <w:rPr>
          <w:color w:val="231F20"/>
          <w:spacing w:val="-7"/>
        </w:rPr>
        <w:t xml:space="preserve"> </w:t>
      </w:r>
      <w:r>
        <w:rPr>
          <w:color w:val="231F20"/>
        </w:rPr>
        <w:t>on</w:t>
      </w:r>
      <w:r>
        <w:rPr>
          <w:color w:val="231F20"/>
          <w:spacing w:val="-8"/>
        </w:rPr>
        <w:t xml:space="preserve"> </w:t>
      </w:r>
      <w:r>
        <w:rPr>
          <w:color w:val="231F20"/>
        </w:rPr>
        <w:t>behalf</w:t>
      </w:r>
      <w:r>
        <w:rPr>
          <w:color w:val="231F20"/>
          <w:spacing w:val="-7"/>
        </w:rPr>
        <w:t xml:space="preserve"> </w:t>
      </w:r>
      <w:r>
        <w:rPr>
          <w:color w:val="231F20"/>
        </w:rPr>
        <w:t>of</w:t>
      </w:r>
      <w:r>
        <w:rPr>
          <w:color w:val="231F20"/>
          <w:spacing w:val="-7"/>
        </w:rPr>
        <w:t xml:space="preserve"> </w:t>
      </w:r>
      <w:r>
        <w:rPr>
          <w:color w:val="231F20"/>
        </w:rPr>
        <w:t>the Commonwealth Government.</w:t>
      </w:r>
    </w:p>
    <w:p w14:paraId="79B87A75" w14:textId="77777777" w:rsidR="00345EE3" w:rsidRDefault="00345EE3" w:rsidP="00345EE3">
      <w:pPr>
        <w:spacing w:before="230"/>
        <w:ind w:left="110"/>
        <w:rPr>
          <w:b/>
          <w:sz w:val="24"/>
        </w:rPr>
      </w:pPr>
      <w:r>
        <w:rPr>
          <w:b/>
          <w:color w:val="231F20"/>
          <w:sz w:val="24"/>
        </w:rPr>
        <w:t>Grants</w:t>
      </w:r>
      <w:r>
        <w:rPr>
          <w:b/>
          <w:color w:val="231F20"/>
          <w:spacing w:val="-8"/>
          <w:sz w:val="24"/>
        </w:rPr>
        <w:t xml:space="preserve"> </w:t>
      </w:r>
      <w:r>
        <w:rPr>
          <w:b/>
          <w:color w:val="231F20"/>
          <w:sz w:val="24"/>
        </w:rPr>
        <w:t>Recognised</w:t>
      </w:r>
      <w:r>
        <w:rPr>
          <w:b/>
          <w:color w:val="231F20"/>
          <w:spacing w:val="-4"/>
          <w:sz w:val="24"/>
        </w:rPr>
        <w:t xml:space="preserve"> </w:t>
      </w:r>
      <w:r>
        <w:rPr>
          <w:b/>
          <w:color w:val="231F20"/>
          <w:sz w:val="24"/>
        </w:rPr>
        <w:t>Under</w:t>
      </w:r>
      <w:r>
        <w:rPr>
          <w:b/>
          <w:color w:val="231F20"/>
          <w:spacing w:val="-5"/>
          <w:sz w:val="24"/>
        </w:rPr>
        <w:t xml:space="preserve"> </w:t>
      </w:r>
      <w:r>
        <w:rPr>
          <w:b/>
          <w:color w:val="231F20"/>
          <w:sz w:val="24"/>
        </w:rPr>
        <w:t>AASB</w:t>
      </w:r>
      <w:r>
        <w:rPr>
          <w:b/>
          <w:color w:val="231F20"/>
          <w:spacing w:val="-5"/>
          <w:sz w:val="24"/>
        </w:rPr>
        <w:t xml:space="preserve"> </w:t>
      </w:r>
      <w:r>
        <w:rPr>
          <w:b/>
          <w:color w:val="231F20"/>
          <w:sz w:val="24"/>
        </w:rPr>
        <w:t>15</w:t>
      </w:r>
      <w:r>
        <w:rPr>
          <w:b/>
          <w:color w:val="231F20"/>
          <w:spacing w:val="-5"/>
          <w:sz w:val="24"/>
        </w:rPr>
        <w:t xml:space="preserve"> </w:t>
      </w:r>
      <w:r>
        <w:rPr>
          <w:rFonts w:ascii="Arial-BoldItalicMT"/>
          <w:b/>
          <w:i/>
          <w:color w:val="231F20"/>
          <w:sz w:val="24"/>
        </w:rPr>
        <w:t>Revenue</w:t>
      </w:r>
      <w:r>
        <w:rPr>
          <w:rFonts w:ascii="Arial-BoldItalicMT"/>
          <w:b/>
          <w:i/>
          <w:color w:val="231F20"/>
          <w:spacing w:val="-5"/>
          <w:sz w:val="24"/>
        </w:rPr>
        <w:t xml:space="preserve"> </w:t>
      </w:r>
      <w:r>
        <w:rPr>
          <w:rFonts w:ascii="Arial-BoldItalicMT"/>
          <w:b/>
          <w:i/>
          <w:color w:val="231F20"/>
          <w:sz w:val="24"/>
        </w:rPr>
        <w:t>from</w:t>
      </w:r>
      <w:r>
        <w:rPr>
          <w:rFonts w:ascii="Arial-BoldItalicMT"/>
          <w:b/>
          <w:i/>
          <w:color w:val="231F20"/>
          <w:spacing w:val="-5"/>
          <w:sz w:val="24"/>
        </w:rPr>
        <w:t xml:space="preserve"> </w:t>
      </w:r>
      <w:r>
        <w:rPr>
          <w:rFonts w:ascii="Arial-BoldItalicMT"/>
          <w:b/>
          <w:i/>
          <w:color w:val="231F20"/>
          <w:sz w:val="24"/>
        </w:rPr>
        <w:t>Contracts</w:t>
      </w:r>
      <w:r>
        <w:rPr>
          <w:rFonts w:ascii="Arial-BoldItalicMT"/>
          <w:b/>
          <w:i/>
          <w:color w:val="231F20"/>
          <w:spacing w:val="-5"/>
          <w:sz w:val="24"/>
        </w:rPr>
        <w:t xml:space="preserve"> </w:t>
      </w:r>
      <w:r>
        <w:rPr>
          <w:rFonts w:ascii="Arial-BoldItalicMT"/>
          <w:b/>
          <w:i/>
          <w:color w:val="231F20"/>
          <w:sz w:val="24"/>
        </w:rPr>
        <w:t>with</w:t>
      </w:r>
      <w:r>
        <w:rPr>
          <w:rFonts w:ascii="Arial-BoldItalicMT"/>
          <w:b/>
          <w:i/>
          <w:color w:val="231F20"/>
          <w:spacing w:val="-4"/>
          <w:sz w:val="24"/>
        </w:rPr>
        <w:t xml:space="preserve"> </w:t>
      </w:r>
      <w:r>
        <w:rPr>
          <w:rFonts w:ascii="Arial-BoldItalicMT"/>
          <w:b/>
          <w:i/>
          <w:color w:val="231F20"/>
          <w:sz w:val="24"/>
        </w:rPr>
        <w:t>Customers</w:t>
      </w:r>
      <w:r>
        <w:rPr>
          <w:rFonts w:ascii="Arial-BoldItalicMT"/>
          <w:b/>
          <w:i/>
          <w:color w:val="231F20"/>
          <w:spacing w:val="-4"/>
          <w:sz w:val="24"/>
        </w:rPr>
        <w:t xml:space="preserve"> </w:t>
      </w:r>
      <w:r>
        <w:rPr>
          <w:b/>
          <w:color w:val="231F20"/>
          <w:sz w:val="24"/>
        </w:rPr>
        <w:t>(AASB</w:t>
      </w:r>
      <w:r>
        <w:rPr>
          <w:b/>
          <w:color w:val="231F20"/>
          <w:spacing w:val="-4"/>
          <w:sz w:val="24"/>
        </w:rPr>
        <w:t xml:space="preserve"> </w:t>
      </w:r>
      <w:r>
        <w:rPr>
          <w:b/>
          <w:color w:val="231F20"/>
          <w:spacing w:val="-5"/>
          <w:sz w:val="24"/>
        </w:rPr>
        <w:t>15)</w:t>
      </w:r>
    </w:p>
    <w:p w14:paraId="353EC3B4" w14:textId="77777777" w:rsidR="00345EE3" w:rsidRDefault="00345EE3" w:rsidP="00345EE3">
      <w:pPr>
        <w:pStyle w:val="BodyText"/>
        <w:spacing w:before="61" w:line="242" w:lineRule="auto"/>
        <w:ind w:right="147"/>
      </w:pPr>
      <w:r>
        <w:rPr>
          <w:color w:val="231F20"/>
        </w:rPr>
        <w:t>Income</w:t>
      </w:r>
      <w:r>
        <w:rPr>
          <w:color w:val="231F20"/>
          <w:spacing w:val="-3"/>
        </w:rPr>
        <w:t xml:space="preserve"> </w:t>
      </w:r>
      <w:r>
        <w:rPr>
          <w:color w:val="231F20"/>
        </w:rPr>
        <w:t>from</w:t>
      </w:r>
      <w:r>
        <w:rPr>
          <w:color w:val="231F20"/>
          <w:spacing w:val="-2"/>
        </w:rPr>
        <w:t xml:space="preserve"> </w:t>
      </w:r>
      <w:r>
        <w:rPr>
          <w:color w:val="231F20"/>
        </w:rPr>
        <w:t>grants</w:t>
      </w:r>
      <w:r>
        <w:rPr>
          <w:color w:val="231F20"/>
          <w:spacing w:val="-2"/>
        </w:rPr>
        <w:t xml:space="preserve"> </w:t>
      </w:r>
      <w:r>
        <w:rPr>
          <w:color w:val="231F20"/>
        </w:rPr>
        <w:t>that</w:t>
      </w:r>
      <w:r>
        <w:rPr>
          <w:color w:val="231F20"/>
          <w:spacing w:val="-2"/>
        </w:rPr>
        <w:t xml:space="preserve"> </w:t>
      </w:r>
      <w:r>
        <w:rPr>
          <w:color w:val="231F20"/>
        </w:rPr>
        <w:t>are</w:t>
      </w:r>
      <w:r>
        <w:rPr>
          <w:color w:val="231F20"/>
          <w:spacing w:val="-3"/>
        </w:rPr>
        <w:t xml:space="preserve"> </w:t>
      </w:r>
      <w:r>
        <w:rPr>
          <w:color w:val="231F20"/>
        </w:rPr>
        <w:t>enforceable</w:t>
      </w:r>
      <w:r>
        <w:rPr>
          <w:color w:val="231F20"/>
          <w:spacing w:val="-3"/>
        </w:rPr>
        <w:t xml:space="preserve"> </w:t>
      </w:r>
      <w:r>
        <w:rPr>
          <w:color w:val="231F20"/>
        </w:rPr>
        <w:t>and</w:t>
      </w:r>
      <w:r>
        <w:rPr>
          <w:color w:val="231F20"/>
          <w:spacing w:val="-3"/>
        </w:rPr>
        <w:t xml:space="preserve"> </w:t>
      </w:r>
      <w:r>
        <w:rPr>
          <w:color w:val="231F20"/>
        </w:rPr>
        <w:t>with</w:t>
      </w:r>
      <w:r>
        <w:rPr>
          <w:color w:val="231F20"/>
          <w:spacing w:val="-3"/>
        </w:rPr>
        <w:t xml:space="preserve"> </w:t>
      </w:r>
      <w:r>
        <w:rPr>
          <w:color w:val="231F20"/>
        </w:rPr>
        <w:t>sufficiently</w:t>
      </w:r>
      <w:r>
        <w:rPr>
          <w:color w:val="231F20"/>
          <w:spacing w:val="-2"/>
        </w:rPr>
        <w:t xml:space="preserve"> </w:t>
      </w:r>
      <w:r>
        <w:rPr>
          <w:color w:val="231F20"/>
        </w:rPr>
        <w:t>specific</w:t>
      </w:r>
      <w:r>
        <w:rPr>
          <w:color w:val="231F20"/>
          <w:spacing w:val="-2"/>
        </w:rPr>
        <w:t xml:space="preserve"> </w:t>
      </w:r>
      <w:r>
        <w:rPr>
          <w:color w:val="231F20"/>
        </w:rPr>
        <w:t>performance</w:t>
      </w:r>
      <w:r>
        <w:rPr>
          <w:color w:val="231F20"/>
          <w:spacing w:val="-3"/>
        </w:rPr>
        <w:t xml:space="preserve"> </w:t>
      </w:r>
      <w:r>
        <w:rPr>
          <w:color w:val="231F20"/>
        </w:rPr>
        <w:t>obligations are accounted for as revenue from contracts with customers under AASB 15. These grants relate</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funding</w:t>
      </w:r>
      <w:r>
        <w:rPr>
          <w:color w:val="231F20"/>
          <w:spacing w:val="-11"/>
        </w:rPr>
        <w:t xml:space="preserve"> </w:t>
      </w:r>
      <w:r>
        <w:rPr>
          <w:color w:val="231F20"/>
        </w:rPr>
        <w:t>of</w:t>
      </w:r>
      <w:r>
        <w:rPr>
          <w:color w:val="231F20"/>
          <w:spacing w:val="-10"/>
        </w:rPr>
        <w:t xml:space="preserve"> </w:t>
      </w:r>
      <w:r>
        <w:rPr>
          <w:color w:val="231F20"/>
        </w:rPr>
        <w:t>various</w:t>
      </w:r>
      <w:r>
        <w:rPr>
          <w:color w:val="231F20"/>
          <w:spacing w:val="-10"/>
        </w:rPr>
        <w:t xml:space="preserve"> </w:t>
      </w:r>
      <w:r>
        <w:rPr>
          <w:color w:val="231F20"/>
        </w:rPr>
        <w:t>programs/projects.</w:t>
      </w:r>
      <w:r>
        <w:rPr>
          <w:color w:val="231F20"/>
          <w:spacing w:val="-10"/>
        </w:rPr>
        <w:t xml:space="preserve"> </w:t>
      </w:r>
      <w:r>
        <w:rPr>
          <w:color w:val="231F20"/>
        </w:rPr>
        <w:t>Revenue</w:t>
      </w:r>
      <w:r>
        <w:rPr>
          <w:color w:val="231F20"/>
          <w:spacing w:val="-11"/>
        </w:rPr>
        <w:t xml:space="preserve"> </w:t>
      </w:r>
      <w:r>
        <w:rPr>
          <w:color w:val="231F20"/>
        </w:rPr>
        <w:t>is</w:t>
      </w:r>
      <w:r>
        <w:rPr>
          <w:color w:val="231F20"/>
          <w:spacing w:val="-10"/>
        </w:rPr>
        <w:t xml:space="preserve"> </w:t>
      </w:r>
      <w:r>
        <w:rPr>
          <w:color w:val="231F20"/>
        </w:rPr>
        <w:t>recognised</w:t>
      </w:r>
      <w:r>
        <w:rPr>
          <w:color w:val="231F20"/>
          <w:spacing w:val="-11"/>
        </w:rPr>
        <w:t xml:space="preserve"> </w:t>
      </w:r>
      <w:r>
        <w:rPr>
          <w:color w:val="231F20"/>
        </w:rPr>
        <w:t>when</w:t>
      </w:r>
      <w:r>
        <w:rPr>
          <w:color w:val="231F20"/>
          <w:spacing w:val="-11"/>
        </w:rPr>
        <w:t xml:space="preserve"> </w:t>
      </w:r>
      <w:r>
        <w:rPr>
          <w:color w:val="231F20"/>
        </w:rPr>
        <w:t>Victoria</w:t>
      </w:r>
      <w:r>
        <w:rPr>
          <w:color w:val="231F20"/>
          <w:spacing w:val="-11"/>
        </w:rPr>
        <w:t xml:space="preserve"> </w:t>
      </w:r>
      <w:r>
        <w:rPr>
          <w:color w:val="231F20"/>
        </w:rPr>
        <w:t>Police satisfies</w:t>
      </w:r>
      <w:r>
        <w:rPr>
          <w:color w:val="231F20"/>
          <w:spacing w:val="-6"/>
        </w:rPr>
        <w:t xml:space="preserve"> </w:t>
      </w:r>
      <w:r>
        <w:rPr>
          <w:color w:val="231F20"/>
        </w:rPr>
        <w:t>its</w:t>
      </w:r>
      <w:r>
        <w:rPr>
          <w:color w:val="231F20"/>
          <w:spacing w:val="-6"/>
        </w:rPr>
        <w:t xml:space="preserve"> </w:t>
      </w:r>
      <w:r>
        <w:rPr>
          <w:color w:val="231F20"/>
        </w:rPr>
        <w:t>performance</w:t>
      </w:r>
      <w:r>
        <w:rPr>
          <w:color w:val="231F20"/>
          <w:spacing w:val="-7"/>
        </w:rPr>
        <w:t xml:space="preserve"> </w:t>
      </w:r>
      <w:r>
        <w:rPr>
          <w:color w:val="231F20"/>
        </w:rPr>
        <w:t>obligation.</w:t>
      </w:r>
      <w:r>
        <w:rPr>
          <w:color w:val="231F20"/>
          <w:spacing w:val="-6"/>
        </w:rPr>
        <w:t xml:space="preserve"> </w:t>
      </w:r>
      <w:r>
        <w:rPr>
          <w:color w:val="231F20"/>
        </w:rPr>
        <w:t>This</w:t>
      </w:r>
      <w:r>
        <w:rPr>
          <w:color w:val="231F20"/>
          <w:spacing w:val="-6"/>
        </w:rPr>
        <w:t xml:space="preserve"> </w:t>
      </w:r>
      <w:r>
        <w:rPr>
          <w:color w:val="231F20"/>
        </w:rPr>
        <w:t>is</w:t>
      </w:r>
      <w:r>
        <w:rPr>
          <w:color w:val="231F20"/>
          <w:spacing w:val="-6"/>
        </w:rPr>
        <w:t xml:space="preserve"> </w:t>
      </w:r>
      <w:r>
        <w:rPr>
          <w:color w:val="231F20"/>
        </w:rPr>
        <w:t>recognised</w:t>
      </w:r>
      <w:r>
        <w:rPr>
          <w:color w:val="231F20"/>
          <w:spacing w:val="-7"/>
        </w:rPr>
        <w:t xml:space="preserve"> </w:t>
      </w:r>
      <w:r>
        <w:rPr>
          <w:color w:val="231F20"/>
        </w:rPr>
        <w:t>based</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consideration</w:t>
      </w:r>
      <w:r>
        <w:rPr>
          <w:color w:val="231F20"/>
          <w:spacing w:val="-7"/>
        </w:rPr>
        <w:t xml:space="preserve"> </w:t>
      </w:r>
      <w:r>
        <w:rPr>
          <w:color w:val="231F20"/>
        </w:rPr>
        <w:t>specified</w:t>
      </w:r>
      <w:r>
        <w:rPr>
          <w:color w:val="231F20"/>
          <w:spacing w:val="-7"/>
        </w:rPr>
        <w:t xml:space="preserve"> </w:t>
      </w:r>
      <w:r>
        <w:rPr>
          <w:color w:val="231F20"/>
        </w:rPr>
        <w:t>in the funding agreement and to the extent that it is highly probable a significant reversal of the revenue</w:t>
      </w:r>
      <w:r>
        <w:rPr>
          <w:color w:val="231F20"/>
          <w:spacing w:val="-10"/>
        </w:rPr>
        <w:t xml:space="preserve"> </w:t>
      </w:r>
      <w:r>
        <w:rPr>
          <w:color w:val="231F20"/>
        </w:rPr>
        <w:t>will</w:t>
      </w:r>
      <w:r>
        <w:rPr>
          <w:color w:val="231F20"/>
          <w:spacing w:val="-10"/>
        </w:rPr>
        <w:t xml:space="preserve"> </w:t>
      </w:r>
      <w:r>
        <w:rPr>
          <w:color w:val="231F20"/>
        </w:rPr>
        <w:t>not</w:t>
      </w:r>
      <w:r>
        <w:rPr>
          <w:color w:val="231F20"/>
          <w:spacing w:val="-9"/>
        </w:rPr>
        <w:t xml:space="preserve"> </w:t>
      </w:r>
      <w:r>
        <w:rPr>
          <w:color w:val="231F20"/>
        </w:rPr>
        <w:t>occur.</w:t>
      </w:r>
      <w:r>
        <w:rPr>
          <w:color w:val="231F20"/>
          <w:spacing w:val="-9"/>
        </w:rPr>
        <w:t xml:space="preserve"> </w:t>
      </w:r>
      <w:r>
        <w:rPr>
          <w:color w:val="231F20"/>
        </w:rPr>
        <w:t>The</w:t>
      </w:r>
      <w:r>
        <w:rPr>
          <w:color w:val="231F20"/>
          <w:spacing w:val="-10"/>
        </w:rPr>
        <w:t xml:space="preserve"> </w:t>
      </w:r>
      <w:r>
        <w:rPr>
          <w:color w:val="231F20"/>
        </w:rPr>
        <w:t>funding</w:t>
      </w:r>
      <w:r>
        <w:rPr>
          <w:color w:val="231F20"/>
          <w:spacing w:val="-10"/>
        </w:rPr>
        <w:t xml:space="preserve"> </w:t>
      </w:r>
      <w:r>
        <w:rPr>
          <w:color w:val="231F20"/>
        </w:rPr>
        <w:t>payments</w:t>
      </w:r>
      <w:r>
        <w:rPr>
          <w:color w:val="231F20"/>
          <w:spacing w:val="-9"/>
        </w:rPr>
        <w:t xml:space="preserve"> </w:t>
      </w:r>
      <w:r>
        <w:rPr>
          <w:color w:val="231F20"/>
        </w:rPr>
        <w:t>are</w:t>
      </w:r>
      <w:r>
        <w:rPr>
          <w:color w:val="231F20"/>
          <w:spacing w:val="-10"/>
        </w:rPr>
        <w:t xml:space="preserve"> </w:t>
      </w:r>
      <w:r>
        <w:rPr>
          <w:color w:val="231F20"/>
        </w:rPr>
        <w:t>normally</w:t>
      </w:r>
      <w:r>
        <w:rPr>
          <w:color w:val="231F20"/>
          <w:spacing w:val="-9"/>
        </w:rPr>
        <w:t xml:space="preserve"> </w:t>
      </w:r>
      <w:r>
        <w:rPr>
          <w:color w:val="231F20"/>
        </w:rPr>
        <w:t>received</w:t>
      </w:r>
      <w:r>
        <w:rPr>
          <w:color w:val="231F20"/>
          <w:spacing w:val="-10"/>
        </w:rPr>
        <w:t xml:space="preserve"> </w:t>
      </w:r>
      <w:r>
        <w:rPr>
          <w:color w:val="231F20"/>
        </w:rPr>
        <w:t>in</w:t>
      </w:r>
      <w:r>
        <w:rPr>
          <w:color w:val="231F20"/>
          <w:spacing w:val="-10"/>
        </w:rPr>
        <w:t xml:space="preserve"> </w:t>
      </w:r>
      <w:r>
        <w:rPr>
          <w:color w:val="231F20"/>
        </w:rPr>
        <w:t>advance</w:t>
      </w:r>
      <w:r>
        <w:rPr>
          <w:color w:val="231F20"/>
          <w:spacing w:val="-10"/>
        </w:rPr>
        <w:t xml:space="preserve"> </w:t>
      </w:r>
      <w:r>
        <w:rPr>
          <w:color w:val="231F20"/>
        </w:rPr>
        <w:t>or</w:t>
      </w:r>
      <w:r>
        <w:rPr>
          <w:color w:val="231F20"/>
          <w:spacing w:val="-9"/>
        </w:rPr>
        <w:t xml:space="preserve"> </w:t>
      </w:r>
      <w:r>
        <w:rPr>
          <w:color w:val="231F20"/>
        </w:rPr>
        <w:t>shortly</w:t>
      </w:r>
      <w:r>
        <w:rPr>
          <w:color w:val="231F20"/>
          <w:spacing w:val="-9"/>
        </w:rPr>
        <w:t xml:space="preserve"> </w:t>
      </w:r>
      <w:r>
        <w:rPr>
          <w:color w:val="231F20"/>
        </w:rPr>
        <w:t>after the relevant obligation is satisfied.</w:t>
      </w:r>
    </w:p>
    <w:p w14:paraId="43E6AB21" w14:textId="77777777" w:rsidR="00345EE3" w:rsidRDefault="00345EE3">
      <w:pPr>
        <w:pStyle w:val="ListParagraph"/>
        <w:numPr>
          <w:ilvl w:val="2"/>
          <w:numId w:val="44"/>
        </w:numPr>
        <w:tabs>
          <w:tab w:val="left" w:pos="711"/>
        </w:tabs>
        <w:spacing w:before="180" w:line="242" w:lineRule="auto"/>
        <w:ind w:left="110" w:right="351" w:firstLine="0"/>
        <w:rPr>
          <w:sz w:val="24"/>
        </w:rPr>
      </w:pPr>
      <w:r>
        <w:rPr>
          <w:b/>
          <w:color w:val="58595B"/>
          <w:sz w:val="24"/>
        </w:rPr>
        <w:t>Fair Value of</w:t>
      </w:r>
      <w:r>
        <w:rPr>
          <w:b/>
          <w:color w:val="58595B"/>
          <w:spacing w:val="-1"/>
          <w:sz w:val="24"/>
        </w:rPr>
        <w:t xml:space="preserve"> </w:t>
      </w:r>
      <w:r>
        <w:rPr>
          <w:b/>
          <w:color w:val="58595B"/>
          <w:sz w:val="24"/>
        </w:rPr>
        <w:t xml:space="preserve">Assets Received Free of Charge or for Nominal Consideration </w:t>
      </w:r>
      <w:r>
        <w:rPr>
          <w:color w:val="231F20"/>
          <w:sz w:val="24"/>
        </w:rPr>
        <w:t>Contributions</w:t>
      </w:r>
      <w:r>
        <w:rPr>
          <w:color w:val="231F20"/>
          <w:spacing w:val="-5"/>
          <w:sz w:val="24"/>
        </w:rPr>
        <w:t xml:space="preserve"> </w:t>
      </w:r>
      <w:r>
        <w:rPr>
          <w:color w:val="231F20"/>
          <w:sz w:val="24"/>
        </w:rPr>
        <w:t>of</w:t>
      </w:r>
      <w:r>
        <w:rPr>
          <w:color w:val="231F20"/>
          <w:spacing w:val="-5"/>
          <w:sz w:val="24"/>
        </w:rPr>
        <w:t xml:space="preserve"> </w:t>
      </w:r>
      <w:r>
        <w:rPr>
          <w:color w:val="231F20"/>
          <w:sz w:val="24"/>
        </w:rPr>
        <w:t>resources</w:t>
      </w:r>
      <w:r>
        <w:rPr>
          <w:color w:val="231F20"/>
          <w:spacing w:val="-5"/>
          <w:sz w:val="24"/>
        </w:rPr>
        <w:t xml:space="preserve"> </w:t>
      </w:r>
      <w:r>
        <w:rPr>
          <w:color w:val="231F20"/>
          <w:sz w:val="24"/>
        </w:rPr>
        <w:t>received</w:t>
      </w:r>
      <w:r>
        <w:rPr>
          <w:color w:val="231F20"/>
          <w:spacing w:val="-6"/>
          <w:sz w:val="24"/>
        </w:rPr>
        <w:t xml:space="preserve"> </w:t>
      </w:r>
      <w:r>
        <w:rPr>
          <w:color w:val="231F20"/>
          <w:sz w:val="24"/>
        </w:rPr>
        <w:t>free</w:t>
      </w:r>
      <w:r>
        <w:rPr>
          <w:color w:val="231F20"/>
          <w:spacing w:val="-6"/>
          <w:sz w:val="24"/>
        </w:rPr>
        <w:t xml:space="preserve"> </w:t>
      </w:r>
      <w:r>
        <w:rPr>
          <w:color w:val="231F20"/>
          <w:sz w:val="24"/>
        </w:rPr>
        <w:t>of</w:t>
      </w:r>
      <w:r>
        <w:rPr>
          <w:color w:val="231F20"/>
          <w:spacing w:val="-5"/>
          <w:sz w:val="24"/>
        </w:rPr>
        <w:t xml:space="preserve"> </w:t>
      </w:r>
      <w:r>
        <w:rPr>
          <w:color w:val="231F20"/>
          <w:sz w:val="24"/>
        </w:rPr>
        <w:t>charge</w:t>
      </w:r>
      <w:r>
        <w:rPr>
          <w:color w:val="231F20"/>
          <w:spacing w:val="-6"/>
          <w:sz w:val="24"/>
        </w:rPr>
        <w:t xml:space="preserve"> </w:t>
      </w:r>
      <w:r>
        <w:rPr>
          <w:color w:val="231F20"/>
          <w:sz w:val="24"/>
        </w:rPr>
        <w:t>or</w:t>
      </w:r>
      <w:r>
        <w:rPr>
          <w:color w:val="231F20"/>
          <w:spacing w:val="-5"/>
          <w:sz w:val="24"/>
        </w:rPr>
        <w:t xml:space="preserve"> </w:t>
      </w:r>
      <w:r>
        <w:rPr>
          <w:color w:val="231F20"/>
          <w:sz w:val="24"/>
        </w:rPr>
        <w:t>for</w:t>
      </w:r>
      <w:r>
        <w:rPr>
          <w:color w:val="231F20"/>
          <w:spacing w:val="-5"/>
          <w:sz w:val="24"/>
        </w:rPr>
        <w:t xml:space="preserve"> </w:t>
      </w:r>
      <w:r>
        <w:rPr>
          <w:color w:val="231F20"/>
          <w:sz w:val="24"/>
        </w:rPr>
        <w:t>nominal</w:t>
      </w:r>
      <w:r>
        <w:rPr>
          <w:color w:val="231F20"/>
          <w:spacing w:val="-6"/>
          <w:sz w:val="24"/>
        </w:rPr>
        <w:t xml:space="preserve"> </w:t>
      </w:r>
      <w:r>
        <w:rPr>
          <w:color w:val="231F20"/>
          <w:sz w:val="24"/>
        </w:rPr>
        <w:t>consideration</w:t>
      </w:r>
      <w:r>
        <w:rPr>
          <w:color w:val="231F20"/>
          <w:spacing w:val="-6"/>
          <w:sz w:val="24"/>
        </w:rPr>
        <w:t xml:space="preserve"> </w:t>
      </w:r>
      <w:r>
        <w:rPr>
          <w:color w:val="231F20"/>
          <w:sz w:val="24"/>
        </w:rPr>
        <w:t>are</w:t>
      </w:r>
      <w:r>
        <w:rPr>
          <w:color w:val="231F20"/>
          <w:spacing w:val="-6"/>
          <w:sz w:val="24"/>
        </w:rPr>
        <w:t xml:space="preserve"> </w:t>
      </w:r>
      <w:r>
        <w:rPr>
          <w:color w:val="231F20"/>
          <w:sz w:val="24"/>
        </w:rPr>
        <w:t>recognised at</w:t>
      </w:r>
      <w:r>
        <w:rPr>
          <w:color w:val="231F20"/>
          <w:spacing w:val="-9"/>
          <w:sz w:val="24"/>
        </w:rPr>
        <w:t xml:space="preserve"> </w:t>
      </w:r>
      <w:r>
        <w:rPr>
          <w:color w:val="231F20"/>
          <w:sz w:val="24"/>
        </w:rPr>
        <w:t>fair</w:t>
      </w:r>
      <w:r>
        <w:rPr>
          <w:color w:val="231F20"/>
          <w:spacing w:val="-9"/>
          <w:sz w:val="24"/>
        </w:rPr>
        <w:t xml:space="preserve"> </w:t>
      </w:r>
      <w:r>
        <w:rPr>
          <w:color w:val="231F20"/>
          <w:sz w:val="24"/>
        </w:rPr>
        <w:t>value</w:t>
      </w:r>
      <w:r>
        <w:rPr>
          <w:color w:val="231F20"/>
          <w:spacing w:val="-10"/>
          <w:sz w:val="24"/>
        </w:rPr>
        <w:t xml:space="preserve"> </w:t>
      </w:r>
      <w:r>
        <w:rPr>
          <w:color w:val="231F20"/>
          <w:sz w:val="24"/>
        </w:rPr>
        <w:t>when</w:t>
      </w:r>
      <w:r>
        <w:rPr>
          <w:color w:val="231F20"/>
          <w:spacing w:val="-10"/>
          <w:sz w:val="24"/>
        </w:rPr>
        <w:t xml:space="preserve"> </w:t>
      </w:r>
      <w:r>
        <w:rPr>
          <w:color w:val="231F20"/>
          <w:sz w:val="24"/>
        </w:rPr>
        <w:t>control</w:t>
      </w:r>
      <w:r>
        <w:rPr>
          <w:color w:val="231F20"/>
          <w:spacing w:val="-10"/>
          <w:sz w:val="24"/>
        </w:rPr>
        <w:t xml:space="preserve"> </w:t>
      </w:r>
      <w:r>
        <w:rPr>
          <w:color w:val="231F20"/>
          <w:sz w:val="24"/>
        </w:rPr>
        <w:t>is</w:t>
      </w:r>
      <w:r>
        <w:rPr>
          <w:color w:val="231F20"/>
          <w:spacing w:val="-9"/>
          <w:sz w:val="24"/>
        </w:rPr>
        <w:t xml:space="preserve"> </w:t>
      </w:r>
      <w:r>
        <w:rPr>
          <w:color w:val="231F20"/>
          <w:sz w:val="24"/>
        </w:rPr>
        <w:t>obtained</w:t>
      </w:r>
      <w:r>
        <w:rPr>
          <w:color w:val="231F20"/>
          <w:spacing w:val="-10"/>
          <w:sz w:val="24"/>
        </w:rPr>
        <w:t xml:space="preserve"> </w:t>
      </w:r>
      <w:r>
        <w:rPr>
          <w:color w:val="231F20"/>
          <w:sz w:val="24"/>
        </w:rPr>
        <w:t>over</w:t>
      </w:r>
      <w:r>
        <w:rPr>
          <w:color w:val="231F20"/>
          <w:spacing w:val="-9"/>
          <w:sz w:val="24"/>
        </w:rPr>
        <w:t xml:space="preserve"> </w:t>
      </w:r>
      <w:r>
        <w:rPr>
          <w:color w:val="231F20"/>
          <w:sz w:val="24"/>
        </w:rPr>
        <w:t>them,</w:t>
      </w:r>
      <w:r>
        <w:rPr>
          <w:color w:val="231F20"/>
          <w:spacing w:val="-9"/>
          <w:sz w:val="24"/>
        </w:rPr>
        <w:t xml:space="preserve"> </w:t>
      </w:r>
      <w:r>
        <w:rPr>
          <w:color w:val="231F20"/>
          <w:sz w:val="24"/>
        </w:rPr>
        <w:t>irrespective</w:t>
      </w:r>
      <w:r>
        <w:rPr>
          <w:color w:val="231F20"/>
          <w:spacing w:val="-10"/>
          <w:sz w:val="24"/>
        </w:rPr>
        <w:t xml:space="preserve"> </w:t>
      </w:r>
      <w:r>
        <w:rPr>
          <w:color w:val="231F20"/>
          <w:sz w:val="24"/>
        </w:rPr>
        <w:t>of</w:t>
      </w:r>
      <w:r>
        <w:rPr>
          <w:color w:val="231F20"/>
          <w:spacing w:val="-9"/>
          <w:sz w:val="24"/>
        </w:rPr>
        <w:t xml:space="preserve"> </w:t>
      </w:r>
      <w:r>
        <w:rPr>
          <w:color w:val="231F20"/>
          <w:sz w:val="24"/>
        </w:rPr>
        <w:t>whether</w:t>
      </w:r>
      <w:r>
        <w:rPr>
          <w:color w:val="231F20"/>
          <w:spacing w:val="-9"/>
          <w:sz w:val="24"/>
        </w:rPr>
        <w:t xml:space="preserve"> </w:t>
      </w:r>
      <w:r>
        <w:rPr>
          <w:color w:val="231F20"/>
          <w:sz w:val="24"/>
        </w:rPr>
        <w:t>these</w:t>
      </w:r>
      <w:r>
        <w:rPr>
          <w:color w:val="231F20"/>
          <w:spacing w:val="-10"/>
          <w:sz w:val="24"/>
        </w:rPr>
        <w:t xml:space="preserve"> </w:t>
      </w:r>
      <w:r>
        <w:rPr>
          <w:color w:val="231F20"/>
          <w:sz w:val="24"/>
        </w:rPr>
        <w:t>contributions</w:t>
      </w:r>
      <w:r>
        <w:rPr>
          <w:color w:val="231F20"/>
          <w:spacing w:val="-9"/>
          <w:sz w:val="24"/>
        </w:rPr>
        <w:t xml:space="preserve"> </w:t>
      </w:r>
      <w:r>
        <w:rPr>
          <w:color w:val="231F20"/>
          <w:sz w:val="24"/>
        </w:rPr>
        <w:t>are subject to restrictions or conditions over their use.</w:t>
      </w:r>
    </w:p>
    <w:p w14:paraId="033FE98F" w14:textId="77777777" w:rsidR="00345EE3" w:rsidRDefault="00345EE3" w:rsidP="00345EE3">
      <w:pPr>
        <w:pStyle w:val="BodyText"/>
        <w:spacing w:before="118" w:line="242" w:lineRule="auto"/>
      </w:pPr>
      <w:r>
        <w:rPr>
          <w:color w:val="231F20"/>
        </w:rPr>
        <w:t>Contributions</w:t>
      </w:r>
      <w:r>
        <w:rPr>
          <w:color w:val="231F20"/>
          <w:spacing w:val="-6"/>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form</w:t>
      </w:r>
      <w:r>
        <w:rPr>
          <w:color w:val="231F20"/>
          <w:spacing w:val="-6"/>
        </w:rPr>
        <w:t xml:space="preserve"> </w:t>
      </w:r>
      <w:r>
        <w:rPr>
          <w:color w:val="231F20"/>
        </w:rPr>
        <w:t>of</w:t>
      </w:r>
      <w:r>
        <w:rPr>
          <w:color w:val="231F20"/>
          <w:spacing w:val="-6"/>
        </w:rPr>
        <w:t xml:space="preserve"> </w:t>
      </w:r>
      <w:r>
        <w:rPr>
          <w:color w:val="231F20"/>
        </w:rPr>
        <w:t>services</w:t>
      </w:r>
      <w:r>
        <w:rPr>
          <w:color w:val="231F20"/>
          <w:spacing w:val="-6"/>
        </w:rPr>
        <w:t xml:space="preserve"> </w:t>
      </w:r>
      <w:r>
        <w:rPr>
          <w:color w:val="231F20"/>
        </w:rPr>
        <w:t>are</w:t>
      </w:r>
      <w:r>
        <w:rPr>
          <w:color w:val="231F20"/>
          <w:spacing w:val="-7"/>
        </w:rPr>
        <w:t xml:space="preserve"> </w:t>
      </w:r>
      <w:r>
        <w:rPr>
          <w:color w:val="231F20"/>
        </w:rPr>
        <w:t>only</w:t>
      </w:r>
      <w:r>
        <w:rPr>
          <w:color w:val="231F20"/>
          <w:spacing w:val="-6"/>
        </w:rPr>
        <w:t xml:space="preserve"> </w:t>
      </w:r>
      <w:r>
        <w:rPr>
          <w:color w:val="231F20"/>
        </w:rPr>
        <w:t>recognised</w:t>
      </w:r>
      <w:r>
        <w:rPr>
          <w:color w:val="231F20"/>
          <w:spacing w:val="-7"/>
        </w:rPr>
        <w:t xml:space="preserve"> </w:t>
      </w:r>
      <w:r>
        <w:rPr>
          <w:color w:val="231F20"/>
        </w:rPr>
        <w:t>when</w:t>
      </w:r>
      <w:r>
        <w:rPr>
          <w:color w:val="231F20"/>
          <w:spacing w:val="-7"/>
        </w:rPr>
        <w:t xml:space="preserve"> </w:t>
      </w:r>
      <w:r>
        <w:rPr>
          <w:color w:val="231F20"/>
        </w:rPr>
        <w:t>a</w:t>
      </w:r>
      <w:r>
        <w:rPr>
          <w:color w:val="231F20"/>
          <w:spacing w:val="-7"/>
        </w:rPr>
        <w:t xml:space="preserve"> </w:t>
      </w:r>
      <w:r>
        <w:rPr>
          <w:color w:val="231F20"/>
        </w:rPr>
        <w:t>fair</w:t>
      </w:r>
      <w:r>
        <w:rPr>
          <w:color w:val="231F20"/>
          <w:spacing w:val="-6"/>
        </w:rPr>
        <w:t xml:space="preserve"> </w:t>
      </w:r>
      <w:r>
        <w:rPr>
          <w:color w:val="231F20"/>
        </w:rPr>
        <w:t>value</w:t>
      </w:r>
      <w:r>
        <w:rPr>
          <w:color w:val="231F20"/>
          <w:spacing w:val="-7"/>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reliably determined and the services would have been purchased if not received as a donation.</w:t>
      </w:r>
    </w:p>
    <w:p w14:paraId="45EFBAE3" w14:textId="77777777" w:rsidR="00345EE3" w:rsidRPr="00D6225D" w:rsidRDefault="00345EE3">
      <w:pPr>
        <w:pStyle w:val="Heading2"/>
        <w:numPr>
          <w:ilvl w:val="1"/>
          <w:numId w:val="44"/>
        </w:numPr>
        <w:tabs>
          <w:tab w:val="left" w:pos="641"/>
        </w:tabs>
        <w:spacing w:before="213"/>
        <w:ind w:left="640" w:hanging="531"/>
        <w:rPr>
          <w:color w:val="00529F"/>
          <w:sz w:val="32"/>
          <w:szCs w:val="32"/>
        </w:rPr>
      </w:pPr>
      <w:r w:rsidRPr="00D6225D">
        <w:rPr>
          <w:color w:val="00529F"/>
          <w:spacing w:val="-2"/>
          <w:sz w:val="32"/>
          <w:szCs w:val="32"/>
        </w:rPr>
        <w:t>Interest</w:t>
      </w:r>
      <w:r w:rsidRPr="00D6225D">
        <w:rPr>
          <w:color w:val="00529F"/>
          <w:spacing w:val="-10"/>
          <w:sz w:val="32"/>
          <w:szCs w:val="32"/>
        </w:rPr>
        <w:t xml:space="preserve"> </w:t>
      </w:r>
      <w:r w:rsidRPr="00D6225D">
        <w:rPr>
          <w:color w:val="00529F"/>
          <w:spacing w:val="-2"/>
          <w:sz w:val="32"/>
          <w:szCs w:val="32"/>
        </w:rPr>
        <w:t>Income</w:t>
      </w:r>
    </w:p>
    <w:p w14:paraId="18E16931" w14:textId="77777777" w:rsidR="00345EE3" w:rsidRDefault="00345EE3" w:rsidP="00345EE3">
      <w:pPr>
        <w:pStyle w:val="BodyText"/>
        <w:spacing w:before="73" w:line="242" w:lineRule="auto"/>
      </w:pPr>
      <w:r>
        <w:rPr>
          <w:b/>
          <w:color w:val="231F20"/>
        </w:rPr>
        <w:t>Interest</w:t>
      </w:r>
      <w:r>
        <w:rPr>
          <w:b/>
          <w:color w:val="231F20"/>
          <w:spacing w:val="-9"/>
        </w:rPr>
        <w:t xml:space="preserve"> </w:t>
      </w:r>
      <w:r>
        <w:rPr>
          <w:b/>
          <w:color w:val="231F20"/>
        </w:rPr>
        <w:t>income</w:t>
      </w:r>
      <w:r>
        <w:rPr>
          <w:b/>
          <w:color w:val="231F20"/>
          <w:spacing w:val="-10"/>
        </w:rPr>
        <w:t xml:space="preserve"> </w:t>
      </w:r>
      <w:r>
        <w:rPr>
          <w:color w:val="231F20"/>
        </w:rPr>
        <w:t>includes</w:t>
      </w:r>
      <w:r>
        <w:rPr>
          <w:color w:val="231F20"/>
          <w:spacing w:val="-9"/>
        </w:rPr>
        <w:t xml:space="preserve"> </w:t>
      </w:r>
      <w:r>
        <w:rPr>
          <w:color w:val="231F20"/>
        </w:rPr>
        <w:t>interest</w:t>
      </w:r>
      <w:r>
        <w:rPr>
          <w:color w:val="231F20"/>
          <w:spacing w:val="-9"/>
        </w:rPr>
        <w:t xml:space="preserve"> </w:t>
      </w:r>
      <w:r>
        <w:rPr>
          <w:color w:val="231F20"/>
        </w:rPr>
        <w:t>received</w:t>
      </w:r>
      <w:r>
        <w:rPr>
          <w:color w:val="231F20"/>
          <w:spacing w:val="-10"/>
        </w:rPr>
        <w:t xml:space="preserve"> </w:t>
      </w:r>
      <w:r>
        <w:rPr>
          <w:color w:val="231F20"/>
        </w:rPr>
        <w:t>on</w:t>
      </w:r>
      <w:r>
        <w:rPr>
          <w:color w:val="231F20"/>
          <w:spacing w:val="-10"/>
        </w:rPr>
        <w:t xml:space="preserve"> </w:t>
      </w:r>
      <w:r>
        <w:rPr>
          <w:color w:val="231F20"/>
        </w:rPr>
        <w:t>bank</w:t>
      </w:r>
      <w:r>
        <w:rPr>
          <w:color w:val="231F20"/>
          <w:spacing w:val="-9"/>
        </w:rPr>
        <w:t xml:space="preserve"> </w:t>
      </w:r>
      <w:r>
        <w:rPr>
          <w:color w:val="231F20"/>
        </w:rPr>
        <w:t>term</w:t>
      </w:r>
      <w:r>
        <w:rPr>
          <w:color w:val="231F20"/>
          <w:spacing w:val="-9"/>
        </w:rPr>
        <w:t xml:space="preserve"> </w:t>
      </w:r>
      <w:r>
        <w:rPr>
          <w:color w:val="231F20"/>
        </w:rPr>
        <w:t>deposits.</w:t>
      </w:r>
      <w:r>
        <w:rPr>
          <w:color w:val="231F20"/>
          <w:spacing w:val="-9"/>
        </w:rPr>
        <w:t xml:space="preserve"> </w:t>
      </w:r>
      <w:r>
        <w:rPr>
          <w:color w:val="231F20"/>
        </w:rPr>
        <w:t>Interest</w:t>
      </w:r>
      <w:r>
        <w:rPr>
          <w:color w:val="231F20"/>
          <w:spacing w:val="-9"/>
        </w:rPr>
        <w:t xml:space="preserve"> </w:t>
      </w:r>
      <w:r>
        <w:rPr>
          <w:color w:val="231F20"/>
        </w:rPr>
        <w:t>income</w:t>
      </w:r>
      <w:r>
        <w:rPr>
          <w:color w:val="231F20"/>
          <w:spacing w:val="-10"/>
        </w:rPr>
        <w:t xml:space="preserve"> </w:t>
      </w:r>
      <w:r>
        <w:rPr>
          <w:color w:val="231F20"/>
        </w:rPr>
        <w:t>is</w:t>
      </w:r>
      <w:r>
        <w:rPr>
          <w:color w:val="231F20"/>
          <w:spacing w:val="-9"/>
        </w:rPr>
        <w:t xml:space="preserve"> </w:t>
      </w:r>
      <w:r>
        <w:rPr>
          <w:color w:val="231F20"/>
        </w:rPr>
        <w:t>recognised using the effective interest method which allocates the interest over the relevant period.</w:t>
      </w:r>
    </w:p>
    <w:p w14:paraId="1A8D354D" w14:textId="77777777" w:rsidR="00345EE3" w:rsidRPr="00D6225D" w:rsidRDefault="00345EE3">
      <w:pPr>
        <w:pStyle w:val="Heading2"/>
        <w:numPr>
          <w:ilvl w:val="1"/>
          <w:numId w:val="44"/>
        </w:numPr>
        <w:tabs>
          <w:tab w:val="left" w:pos="642"/>
        </w:tabs>
        <w:spacing w:before="214"/>
        <w:ind w:left="641" w:hanging="532"/>
        <w:rPr>
          <w:color w:val="00529F"/>
          <w:sz w:val="32"/>
          <w:szCs w:val="32"/>
        </w:rPr>
      </w:pPr>
      <w:r w:rsidRPr="00D6225D">
        <w:rPr>
          <w:color w:val="00529F"/>
          <w:sz w:val="32"/>
          <w:szCs w:val="32"/>
        </w:rPr>
        <w:t>Other</w:t>
      </w:r>
      <w:r w:rsidRPr="00D6225D">
        <w:rPr>
          <w:color w:val="00529F"/>
          <w:spacing w:val="-5"/>
          <w:sz w:val="32"/>
          <w:szCs w:val="32"/>
        </w:rPr>
        <w:t xml:space="preserve"> </w:t>
      </w:r>
      <w:r w:rsidRPr="00D6225D">
        <w:rPr>
          <w:color w:val="00529F"/>
          <w:spacing w:val="-2"/>
          <w:sz w:val="32"/>
          <w:szCs w:val="32"/>
        </w:rPr>
        <w:t>Income</w:t>
      </w:r>
    </w:p>
    <w:p w14:paraId="36427CCD" w14:textId="77777777" w:rsidR="00345EE3" w:rsidRDefault="00345EE3" w:rsidP="00345EE3">
      <w:pPr>
        <w:pStyle w:val="BodyText"/>
        <w:spacing w:before="72" w:line="242" w:lineRule="auto"/>
        <w:ind w:right="314"/>
        <w:rPr>
          <w:color w:val="231F20"/>
        </w:rPr>
      </w:pPr>
      <w:r>
        <w:rPr>
          <w:b/>
          <w:color w:val="231F20"/>
        </w:rPr>
        <w:t xml:space="preserve">Other income </w:t>
      </w:r>
      <w:r>
        <w:rPr>
          <w:color w:val="231F20"/>
        </w:rPr>
        <w:t>relates primarily to boarding fees paid by recruits at the Police Academy and other miscellaneous income earned during the year. Victoria Police recognises the income when</w:t>
      </w:r>
      <w:r>
        <w:rPr>
          <w:color w:val="231F20"/>
          <w:spacing w:val="-7"/>
        </w:rPr>
        <w:t xml:space="preserve"> </w:t>
      </w:r>
      <w:r>
        <w:rPr>
          <w:color w:val="231F20"/>
        </w:rPr>
        <w:t>it</w:t>
      </w:r>
      <w:r>
        <w:rPr>
          <w:color w:val="231F20"/>
          <w:spacing w:val="-6"/>
        </w:rPr>
        <w:t xml:space="preserve"> </w:t>
      </w:r>
      <w:r>
        <w:rPr>
          <w:color w:val="231F20"/>
        </w:rPr>
        <w:t>transfers</w:t>
      </w:r>
      <w:r>
        <w:rPr>
          <w:color w:val="231F20"/>
          <w:spacing w:val="-6"/>
        </w:rPr>
        <w:t xml:space="preserve"> </w:t>
      </w:r>
      <w:r>
        <w:rPr>
          <w:color w:val="231F20"/>
        </w:rPr>
        <w:t>control</w:t>
      </w:r>
      <w:r>
        <w:rPr>
          <w:color w:val="231F20"/>
          <w:spacing w:val="-7"/>
        </w:rPr>
        <w:t xml:space="preserve"> </w:t>
      </w:r>
      <w:r>
        <w:rPr>
          <w:color w:val="231F20"/>
        </w:rPr>
        <w:t>of</w:t>
      </w:r>
      <w:r>
        <w:rPr>
          <w:color w:val="231F20"/>
          <w:spacing w:val="-6"/>
        </w:rPr>
        <w:t xml:space="preserve"> </w:t>
      </w:r>
      <w:r>
        <w:rPr>
          <w:color w:val="231F20"/>
        </w:rPr>
        <w:t>a</w:t>
      </w:r>
      <w:r>
        <w:rPr>
          <w:color w:val="231F20"/>
          <w:spacing w:val="-7"/>
        </w:rPr>
        <w:t xml:space="preserve"> </w:t>
      </w:r>
      <w:r>
        <w:rPr>
          <w:color w:val="231F20"/>
        </w:rPr>
        <w:t>good</w:t>
      </w:r>
      <w:r>
        <w:rPr>
          <w:color w:val="231F20"/>
          <w:spacing w:val="-7"/>
        </w:rPr>
        <w:t xml:space="preserve"> </w:t>
      </w:r>
      <w:r>
        <w:rPr>
          <w:color w:val="231F20"/>
        </w:rPr>
        <w:t>or</w:t>
      </w:r>
      <w:r>
        <w:rPr>
          <w:color w:val="231F20"/>
          <w:spacing w:val="-6"/>
        </w:rPr>
        <w:t xml:space="preserve"> </w:t>
      </w:r>
      <w:r>
        <w:rPr>
          <w:color w:val="231F20"/>
        </w:rPr>
        <w:t>service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customer,</w:t>
      </w:r>
      <w:r>
        <w:rPr>
          <w:color w:val="231F20"/>
          <w:spacing w:val="-6"/>
        </w:rPr>
        <w:t xml:space="preserve"> </w:t>
      </w:r>
      <w:r>
        <w:rPr>
          <w:color w:val="231F20"/>
        </w:rPr>
        <w:t>i.e.</w:t>
      </w:r>
      <w:r>
        <w:rPr>
          <w:color w:val="231F20"/>
          <w:spacing w:val="-6"/>
        </w:rPr>
        <w:t xml:space="preserve"> </w:t>
      </w:r>
      <w:r>
        <w:rPr>
          <w:color w:val="231F20"/>
        </w:rPr>
        <w:t>when,</w:t>
      </w:r>
      <w:r>
        <w:rPr>
          <w:color w:val="231F20"/>
          <w:spacing w:val="-6"/>
        </w:rPr>
        <w:t xml:space="preserve"> </w:t>
      </w:r>
      <w:r>
        <w:rPr>
          <w:color w:val="231F20"/>
        </w:rPr>
        <w:t>or</w:t>
      </w:r>
      <w:r>
        <w:rPr>
          <w:color w:val="231F20"/>
          <w:spacing w:val="-6"/>
        </w:rPr>
        <w:t xml:space="preserve"> </w:t>
      </w:r>
      <w:r>
        <w:rPr>
          <w:color w:val="231F20"/>
        </w:rPr>
        <w:t>as,</w:t>
      </w:r>
      <w:r>
        <w:rPr>
          <w:color w:val="231F20"/>
          <w:spacing w:val="-6"/>
        </w:rPr>
        <w:t xml:space="preserve"> </w:t>
      </w:r>
      <w:r>
        <w:rPr>
          <w:color w:val="231F20"/>
        </w:rPr>
        <w:t>the</w:t>
      </w:r>
      <w:r>
        <w:rPr>
          <w:color w:val="231F20"/>
          <w:spacing w:val="-7"/>
        </w:rPr>
        <w:t xml:space="preserve"> </w:t>
      </w:r>
      <w:r>
        <w:rPr>
          <w:color w:val="231F20"/>
        </w:rPr>
        <w:t>performance obligations for the sale of goods and services to the customer are satisfied.</w:t>
      </w:r>
    </w:p>
    <w:p w14:paraId="2FBA964C" w14:textId="77777777" w:rsidR="00345EE3" w:rsidRDefault="00345EE3" w:rsidP="00345EE3">
      <w:pPr>
        <w:rPr>
          <w:color w:val="231F20"/>
          <w:sz w:val="24"/>
          <w:szCs w:val="24"/>
        </w:rPr>
      </w:pPr>
      <w:r>
        <w:rPr>
          <w:color w:val="231F20"/>
        </w:rPr>
        <w:br w:type="page"/>
      </w:r>
    </w:p>
    <w:p w14:paraId="2424A293" w14:textId="77777777" w:rsidR="00345EE3" w:rsidRPr="00D6225D" w:rsidRDefault="00345EE3">
      <w:pPr>
        <w:pStyle w:val="Heading2"/>
        <w:numPr>
          <w:ilvl w:val="1"/>
          <w:numId w:val="44"/>
        </w:numPr>
        <w:tabs>
          <w:tab w:val="left" w:pos="640"/>
        </w:tabs>
        <w:spacing w:before="217"/>
        <w:ind w:left="639" w:hanging="530"/>
        <w:rPr>
          <w:color w:val="00529F"/>
          <w:sz w:val="32"/>
          <w:szCs w:val="32"/>
        </w:rPr>
      </w:pPr>
      <w:r w:rsidRPr="00D6225D">
        <w:rPr>
          <w:color w:val="00529F"/>
          <w:sz w:val="32"/>
          <w:szCs w:val="32"/>
        </w:rPr>
        <w:t>Annotated</w:t>
      </w:r>
      <w:r w:rsidRPr="00D6225D">
        <w:rPr>
          <w:color w:val="00529F"/>
          <w:spacing w:val="-14"/>
          <w:sz w:val="32"/>
          <w:szCs w:val="32"/>
        </w:rPr>
        <w:t xml:space="preserve"> </w:t>
      </w:r>
      <w:r w:rsidRPr="00D6225D">
        <w:rPr>
          <w:color w:val="00529F"/>
          <w:sz w:val="32"/>
          <w:szCs w:val="32"/>
        </w:rPr>
        <w:t>Income</w:t>
      </w:r>
      <w:r w:rsidRPr="00D6225D">
        <w:rPr>
          <w:color w:val="00529F"/>
          <w:spacing w:val="-13"/>
          <w:sz w:val="32"/>
          <w:szCs w:val="32"/>
        </w:rPr>
        <w:t xml:space="preserve"> </w:t>
      </w:r>
      <w:r w:rsidRPr="00D6225D">
        <w:rPr>
          <w:color w:val="00529F"/>
          <w:spacing w:val="-2"/>
          <w:sz w:val="32"/>
          <w:szCs w:val="32"/>
        </w:rPr>
        <w:t>Agreements</w:t>
      </w:r>
    </w:p>
    <w:p w14:paraId="2C7DA763" w14:textId="77777777" w:rsidR="00345EE3" w:rsidRDefault="00345EE3" w:rsidP="00345EE3">
      <w:pPr>
        <w:pStyle w:val="VicPol-Bodytext-2022Bodytext"/>
        <w:ind w:left="142"/>
      </w:pPr>
      <w:r>
        <w:t>Victoria Police is permitted under Section 29 of the Financial Management Act (FMA) to have certain income annotated to the annual appropriation. The income, which forms part of a Section 29 agreement, is recognised by Victoria Police and the receipts are paid into the Consolidated Fund. At the point of income recognition, Section 29 provides for an equivalent amount to be added to the annual appropriation. The following is a listing of the annotated income agreements approved by the Treasurer.</w:t>
      </w:r>
    </w:p>
    <w:tbl>
      <w:tblPr>
        <w:tblW w:w="0" w:type="auto"/>
        <w:tblInd w:w="156" w:type="dxa"/>
        <w:tblLayout w:type="fixed"/>
        <w:tblCellMar>
          <w:left w:w="0" w:type="dxa"/>
          <w:right w:w="0" w:type="dxa"/>
        </w:tblCellMar>
        <w:tblLook w:val="0000" w:firstRow="0" w:lastRow="0" w:firstColumn="0" w:lastColumn="0" w:noHBand="0" w:noVBand="0"/>
      </w:tblPr>
      <w:tblGrid>
        <w:gridCol w:w="7937"/>
        <w:gridCol w:w="1134"/>
        <w:gridCol w:w="1134"/>
      </w:tblGrid>
      <w:tr w:rsidR="00345EE3" w14:paraId="5A27B987" w14:textId="77777777" w:rsidTr="00D73130">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6B8B4D77" w14:textId="77777777" w:rsidR="00345EE3" w:rsidRDefault="00345EE3" w:rsidP="00D73130">
            <w:pPr>
              <w:pStyle w:val="VicPol-TableHeadingWhiteRight-2022Tables"/>
            </w:pPr>
            <w:r>
              <w:t>($ thousand)</w:t>
            </w:r>
          </w:p>
        </w:tc>
      </w:tr>
      <w:tr w:rsidR="00345EE3" w14:paraId="72F7C85E" w14:textId="77777777" w:rsidTr="00D73130">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1054E14" w14:textId="77777777" w:rsidR="00345EE3" w:rsidRDefault="00345EE3" w:rsidP="00D73130">
            <w:pPr>
              <w:pStyle w:val="NoParagraphStyle"/>
              <w:spacing w:line="240" w:lineRule="auto"/>
              <w:textAlignment w:val="auto"/>
              <w:rPr>
                <w:rFonts w:ascii="Arial" w:hAnsi="Arial" w:cs="Arial"/>
                <w:color w:val="auto"/>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3912D89" w14:textId="77777777" w:rsidR="00345EE3" w:rsidRDefault="00345EE3" w:rsidP="00D73130">
            <w:pPr>
              <w:pStyle w:val="VicPol-TableHeadingWhiteRight-2022Tables"/>
            </w:pPr>
            <w: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738C9332" w14:textId="77777777" w:rsidR="00345EE3" w:rsidRDefault="00345EE3" w:rsidP="00D73130">
            <w:pPr>
              <w:pStyle w:val="VicPol-TableHeadingWhiteRight-2022Tables"/>
            </w:pPr>
            <w:r>
              <w:t>2021</w:t>
            </w:r>
          </w:p>
        </w:tc>
      </w:tr>
      <w:tr w:rsidR="00345EE3" w14:paraId="4DE03887"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6CEAADF" w14:textId="77777777" w:rsidR="00345EE3" w:rsidRDefault="00345EE3" w:rsidP="00D73130">
            <w:pPr>
              <w:pStyle w:val="VicPol-TableBodyLeft-2022Tables"/>
            </w:pPr>
            <w:r>
              <w:rPr>
                <w:rStyle w:val="Heavy"/>
              </w:rPr>
              <w:t>User Charges Or Sales of Goods and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17DF611" w14:textId="77777777" w:rsidR="00345EE3" w:rsidRDefault="00345EE3" w:rsidP="00D73130">
            <w:pPr>
              <w:pStyle w:val="NoParagraphStyle"/>
              <w:spacing w:line="240" w:lineRule="auto"/>
              <w:textAlignment w:val="auto"/>
              <w:rPr>
                <w:rFonts w:ascii="Arial" w:hAnsi="Arial" w:cs="Arial"/>
                <w:color w:val="auto"/>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855C7D6" w14:textId="77777777" w:rsidR="00345EE3" w:rsidRDefault="00345EE3" w:rsidP="00D73130">
            <w:pPr>
              <w:pStyle w:val="NoParagraphStyle"/>
              <w:spacing w:line="240" w:lineRule="auto"/>
              <w:textAlignment w:val="auto"/>
              <w:rPr>
                <w:rFonts w:ascii="Arial" w:hAnsi="Arial" w:cs="Arial"/>
                <w:color w:val="auto"/>
              </w:rPr>
            </w:pPr>
          </w:p>
        </w:tc>
      </w:tr>
      <w:tr w:rsidR="00345EE3" w14:paraId="2BCCB0F0"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DE58071" w14:textId="77777777" w:rsidR="00345EE3" w:rsidRDefault="00345EE3" w:rsidP="00D73130">
            <w:pPr>
              <w:pStyle w:val="VicPol-TableBodyLeftindented-2022Tables"/>
            </w:pPr>
            <w:r>
              <w:t>Information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7D2A05" w14:textId="77777777" w:rsidR="00345EE3" w:rsidRDefault="00345EE3" w:rsidP="00D73130">
            <w:pPr>
              <w:pStyle w:val="VicPol-TableBodyRight-2022Tables"/>
            </w:pPr>
            <w:r>
              <w:t>2,570</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4C1D9C8" w14:textId="77777777" w:rsidR="00345EE3" w:rsidRDefault="00345EE3" w:rsidP="00D73130">
            <w:pPr>
              <w:pStyle w:val="VicPol-TableBodyRight-2022Tables"/>
            </w:pPr>
            <w:r>
              <w:t xml:space="preserve">2,708 </w:t>
            </w:r>
          </w:p>
        </w:tc>
      </w:tr>
      <w:tr w:rsidR="00345EE3" w14:paraId="145726E1"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6ACB483" w14:textId="77777777" w:rsidR="00345EE3" w:rsidRDefault="00345EE3" w:rsidP="00D73130">
            <w:pPr>
              <w:pStyle w:val="VicPol-TableBodyLeftindented-2022Tables"/>
            </w:pPr>
            <w:r>
              <w:t>Event management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A95F0D1" w14:textId="77777777" w:rsidR="00345EE3" w:rsidRDefault="00345EE3" w:rsidP="00D73130">
            <w:pPr>
              <w:pStyle w:val="VicPol-TableBodyRight-2022Tables"/>
            </w:pPr>
            <w:r>
              <w:t>4,488</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54432A1" w14:textId="77777777" w:rsidR="00345EE3" w:rsidRDefault="00345EE3" w:rsidP="00D73130">
            <w:pPr>
              <w:pStyle w:val="VicPol-TableBodyRight-2022Tables"/>
            </w:pPr>
            <w:r>
              <w:t xml:space="preserve">2,218 </w:t>
            </w:r>
          </w:p>
        </w:tc>
      </w:tr>
      <w:tr w:rsidR="00345EE3" w14:paraId="40F63DB1"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E7B37CA" w14:textId="77777777" w:rsidR="00345EE3" w:rsidRDefault="00345EE3" w:rsidP="00D73130">
            <w:pPr>
              <w:pStyle w:val="VicPol-TableBodyLeftindented-2022Tables"/>
            </w:pPr>
            <w:r>
              <w:t>Insurance</w:t>
            </w:r>
            <w:r>
              <w:rPr>
                <w:vertAlign w:val="superscript"/>
              </w:rPr>
              <w:t xml:space="preserve"> (a)</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18271D"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1A13836" w14:textId="77777777" w:rsidR="00345EE3" w:rsidRDefault="00345EE3" w:rsidP="00D73130">
            <w:pPr>
              <w:pStyle w:val="VicPol-TableBodyRight-2022Tables"/>
            </w:pPr>
            <w:r>
              <w:t>15,271</w:t>
            </w:r>
          </w:p>
        </w:tc>
      </w:tr>
      <w:tr w:rsidR="00345EE3" w14:paraId="1170454A"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41A9937B" w14:textId="77777777" w:rsidR="00345EE3" w:rsidRDefault="00345EE3" w:rsidP="00D73130">
            <w:pPr>
              <w:pStyle w:val="VicPol-TableBodyLeftindented-2022Tables"/>
            </w:pPr>
            <w:r>
              <w:t>Other income</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218BA9E8" w14:textId="77777777" w:rsidR="00345EE3" w:rsidRDefault="00345EE3" w:rsidP="00D73130">
            <w:pPr>
              <w:pStyle w:val="VicPol-TableBodyRight-2022Tables"/>
            </w:pPr>
            <w:r>
              <w:t>4,063</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0601E30E" w14:textId="77777777" w:rsidR="00345EE3" w:rsidRDefault="00345EE3" w:rsidP="00D73130">
            <w:pPr>
              <w:pStyle w:val="VicPol-TableBodyRight-2022Tables"/>
            </w:pPr>
            <w:r>
              <w:t>1,141</w:t>
            </w:r>
          </w:p>
        </w:tc>
      </w:tr>
      <w:tr w:rsidR="00345EE3" w14:paraId="5A9DC0BF" w14:textId="77777777" w:rsidTr="00D73130">
        <w:trPr>
          <w:trHeight w:val="60"/>
        </w:trPr>
        <w:tc>
          <w:tcPr>
            <w:tcW w:w="7937"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1B1EDA03" w14:textId="77777777" w:rsidR="00345EE3" w:rsidRDefault="00345EE3" w:rsidP="00D73130">
            <w:pPr>
              <w:pStyle w:val="VicPol-TableBodyLeft-2022Tables"/>
            </w:pPr>
            <w:r>
              <w:rPr>
                <w:rStyle w:val="Heavy"/>
              </w:rPr>
              <w:t>Total User Charges Or Sales of Goods and Services</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99E6C6D" w14:textId="77777777" w:rsidR="00345EE3" w:rsidRDefault="00345EE3" w:rsidP="00D73130">
            <w:pPr>
              <w:pStyle w:val="VicPol-TableBodyRight-2022Tables"/>
            </w:pPr>
            <w:r>
              <w:rPr>
                <w:rStyle w:val="Heavy"/>
                <w:spacing w:val="0"/>
              </w:rPr>
              <w:t>11,121</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1DB24214" w14:textId="77777777" w:rsidR="00345EE3" w:rsidRDefault="00345EE3" w:rsidP="00D73130">
            <w:pPr>
              <w:pStyle w:val="VicPol-TableBodyRight-2022Tables"/>
            </w:pPr>
            <w:r>
              <w:rPr>
                <w:rStyle w:val="Heavy"/>
                <w:spacing w:val="0"/>
              </w:rPr>
              <w:t xml:space="preserve">21,338 </w:t>
            </w:r>
          </w:p>
        </w:tc>
      </w:tr>
      <w:tr w:rsidR="00345EE3" w14:paraId="3C0F676A" w14:textId="77777777" w:rsidTr="00D73130">
        <w:trPr>
          <w:trHeight w:val="60"/>
        </w:trPr>
        <w:tc>
          <w:tcPr>
            <w:tcW w:w="7937"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70F8442A" w14:textId="77777777" w:rsidR="00345EE3" w:rsidRDefault="00345EE3" w:rsidP="00D73130">
            <w:pPr>
              <w:pStyle w:val="VicPol-TableBodyLeft-2022Tables"/>
            </w:pPr>
            <w:r>
              <w:rPr>
                <w:rStyle w:val="Heavy"/>
              </w:rPr>
              <w:t>Asset Sales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F5BE4DB" w14:textId="77777777" w:rsidR="00345EE3" w:rsidRDefault="00345EE3" w:rsidP="00D73130">
            <w:pPr>
              <w:pStyle w:val="NoParagraphStyle"/>
              <w:spacing w:line="240" w:lineRule="auto"/>
              <w:textAlignment w:val="auto"/>
              <w:rPr>
                <w:rFonts w:ascii="Arial" w:hAnsi="Arial" w:cs="Arial"/>
                <w:color w:val="auto"/>
              </w:rPr>
            </w:pP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0367B174" w14:textId="77777777" w:rsidR="00345EE3" w:rsidRDefault="00345EE3" w:rsidP="00D73130">
            <w:pPr>
              <w:pStyle w:val="NoParagraphStyle"/>
              <w:spacing w:line="240" w:lineRule="auto"/>
              <w:textAlignment w:val="auto"/>
              <w:rPr>
                <w:rFonts w:ascii="Arial" w:hAnsi="Arial" w:cs="Arial"/>
                <w:color w:val="auto"/>
              </w:rPr>
            </w:pPr>
          </w:p>
        </w:tc>
      </w:tr>
      <w:tr w:rsidR="00345EE3" w14:paraId="74873B4E"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5FF10CB" w14:textId="77777777" w:rsidR="00345EE3" w:rsidRDefault="00345EE3" w:rsidP="00D73130">
            <w:pPr>
              <w:pStyle w:val="VicPol-TableBodyLeftindented-2022Tables"/>
            </w:pPr>
            <w:r>
              <w:t>Motor vehicles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53419EF"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AD3A5AB" w14:textId="77777777" w:rsidR="00345EE3" w:rsidRDefault="00345EE3" w:rsidP="00D73130">
            <w:pPr>
              <w:pStyle w:val="VicPol-TableBodyRight-2022Tables"/>
            </w:pPr>
            <w:r>
              <w:t xml:space="preserve">27 </w:t>
            </w:r>
          </w:p>
        </w:tc>
      </w:tr>
      <w:tr w:rsidR="00345EE3" w14:paraId="0DA177B7"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2FB034B" w14:textId="77777777" w:rsidR="00345EE3" w:rsidRDefault="00345EE3" w:rsidP="00D73130">
            <w:pPr>
              <w:pStyle w:val="VicPol-TableBodyLeftindented-2022Tables"/>
            </w:pPr>
            <w:r>
              <w:t>Land and buildings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2BA13B5" w14:textId="77777777" w:rsidR="00345EE3" w:rsidRDefault="00345EE3" w:rsidP="00D73130">
            <w:pPr>
              <w:pStyle w:val="VicPol-TableBodyRight-2022Tables"/>
            </w:pPr>
            <w:r>
              <w:t>959</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7930130" w14:textId="77777777" w:rsidR="00345EE3" w:rsidRDefault="00345EE3" w:rsidP="00D73130">
            <w:pPr>
              <w:pStyle w:val="VicPol-TableBodyRight-2022Tables"/>
            </w:pPr>
            <w:r>
              <w:t xml:space="preserve"> -  </w:t>
            </w:r>
          </w:p>
        </w:tc>
      </w:tr>
      <w:tr w:rsidR="00345EE3" w14:paraId="5BDC4FAD"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067A62D4" w14:textId="77777777" w:rsidR="00345EE3" w:rsidRDefault="00345EE3" w:rsidP="00D73130">
            <w:pPr>
              <w:pStyle w:val="VicPol-TableBodyLeftindented-2022Tables"/>
            </w:pPr>
            <w:r>
              <w:t>Plant and equipment</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202E0D19" w14:textId="77777777" w:rsidR="00345EE3" w:rsidRDefault="00345EE3" w:rsidP="00D73130">
            <w:pPr>
              <w:pStyle w:val="VicPol-TableBodyRight-2022Tables"/>
            </w:pPr>
            <w:r>
              <w:t>80</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21B946C2" w14:textId="77777777" w:rsidR="00345EE3" w:rsidRDefault="00345EE3" w:rsidP="00D73130">
            <w:pPr>
              <w:pStyle w:val="VicPol-TableBodyRight-2022Tables"/>
            </w:pPr>
            <w:r>
              <w:t xml:space="preserve">60 </w:t>
            </w:r>
          </w:p>
        </w:tc>
      </w:tr>
      <w:tr w:rsidR="00345EE3" w14:paraId="24F92B95" w14:textId="77777777" w:rsidTr="00D73130">
        <w:trPr>
          <w:trHeight w:val="60"/>
        </w:trPr>
        <w:tc>
          <w:tcPr>
            <w:tcW w:w="7937"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2DE97977" w14:textId="77777777" w:rsidR="00345EE3" w:rsidRDefault="00345EE3" w:rsidP="00D73130">
            <w:pPr>
              <w:pStyle w:val="VicPol-TableBodyLeft-2022Tables"/>
            </w:pPr>
            <w:r>
              <w:rPr>
                <w:rStyle w:val="Heavy"/>
              </w:rPr>
              <w:t>Total Proceeds From Asset Sales</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0E586FF" w14:textId="77777777" w:rsidR="00345EE3" w:rsidRDefault="00345EE3" w:rsidP="00D73130">
            <w:pPr>
              <w:pStyle w:val="VicPol-TableBodyRight-2022Tables"/>
            </w:pPr>
            <w:r>
              <w:rPr>
                <w:rStyle w:val="Heavy"/>
                <w:spacing w:val="0"/>
              </w:rPr>
              <w:t>1,039</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3078CA64" w14:textId="77777777" w:rsidR="00345EE3" w:rsidRDefault="00345EE3" w:rsidP="00D73130">
            <w:pPr>
              <w:pStyle w:val="VicPol-TableBodyRight-2022Tables"/>
            </w:pPr>
            <w:r>
              <w:rPr>
                <w:rStyle w:val="Heavy"/>
                <w:spacing w:val="0"/>
              </w:rPr>
              <w:t xml:space="preserve">87 </w:t>
            </w:r>
          </w:p>
        </w:tc>
      </w:tr>
      <w:tr w:rsidR="00345EE3" w14:paraId="5EB720CF" w14:textId="77777777" w:rsidTr="00D73130">
        <w:trPr>
          <w:trHeight w:val="60"/>
        </w:trPr>
        <w:tc>
          <w:tcPr>
            <w:tcW w:w="7937"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0609B106" w14:textId="77777777" w:rsidR="00345EE3" w:rsidRDefault="00345EE3" w:rsidP="00D73130">
            <w:pPr>
              <w:pStyle w:val="VicPol-TableBodyLeft-2022Tables"/>
            </w:pPr>
            <w:r>
              <w:rPr>
                <w:rStyle w:val="Heavy"/>
              </w:rPr>
              <w:t>Commonwealth Specific Purpose Payments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CD8E801" w14:textId="77777777" w:rsidR="00345EE3" w:rsidRDefault="00345EE3" w:rsidP="00D73130">
            <w:pPr>
              <w:pStyle w:val="NoParagraphStyle"/>
              <w:spacing w:line="240" w:lineRule="auto"/>
              <w:textAlignment w:val="auto"/>
              <w:rPr>
                <w:rFonts w:ascii="Arial" w:hAnsi="Arial" w:cs="Arial"/>
                <w:color w:val="auto"/>
              </w:rPr>
            </w:pP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68494A60" w14:textId="77777777" w:rsidR="00345EE3" w:rsidRDefault="00345EE3" w:rsidP="00D73130">
            <w:pPr>
              <w:pStyle w:val="NoParagraphStyle"/>
              <w:spacing w:line="240" w:lineRule="auto"/>
              <w:textAlignment w:val="auto"/>
              <w:rPr>
                <w:rFonts w:ascii="Arial" w:hAnsi="Arial" w:cs="Arial"/>
                <w:color w:val="auto"/>
              </w:rPr>
            </w:pPr>
          </w:p>
        </w:tc>
      </w:tr>
      <w:tr w:rsidR="00345EE3" w14:paraId="3527916F"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272A088" w14:textId="77777777" w:rsidR="00345EE3" w:rsidRDefault="00345EE3" w:rsidP="00D73130">
            <w:pPr>
              <w:pStyle w:val="VicPol-TableBodyLeftindented-2022Tables"/>
            </w:pPr>
            <w:r>
              <w:t>Commonwealth Special Purpose Grants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2855A7E" w14:textId="77777777" w:rsidR="00345EE3" w:rsidRDefault="00345EE3" w:rsidP="00D73130">
            <w:pPr>
              <w:pStyle w:val="VicPol-TableBodyRight-2022Tables"/>
            </w:pPr>
            <w:r>
              <w:t>625</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0ED92DB" w14:textId="77777777" w:rsidR="00345EE3" w:rsidRDefault="00345EE3" w:rsidP="00D73130">
            <w:pPr>
              <w:pStyle w:val="VicPol-TableBodyRight-2022Tables"/>
            </w:pPr>
            <w:r>
              <w:t>825</w:t>
            </w:r>
          </w:p>
        </w:tc>
      </w:tr>
      <w:tr w:rsidR="00345EE3" w14:paraId="21218E02"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4A0319CE" w14:textId="77777777" w:rsidR="00345EE3" w:rsidRDefault="00345EE3" w:rsidP="00D73130">
            <w:pPr>
              <w:pStyle w:val="VicPol-TableBodyLeft-2022Tables"/>
            </w:pPr>
            <w:r>
              <w:rPr>
                <w:rStyle w:val="Heavy"/>
              </w:rPr>
              <w:t>Total Commonwealth Specific Purpose Payments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401C7F1" w14:textId="77777777" w:rsidR="00345EE3" w:rsidRDefault="00345EE3" w:rsidP="00D73130">
            <w:pPr>
              <w:pStyle w:val="VicPol-TableBodyRight-2022Tables"/>
            </w:pPr>
            <w:r>
              <w:rPr>
                <w:rStyle w:val="Heavy"/>
                <w:spacing w:val="0"/>
              </w:rPr>
              <w:t>625</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03605174" w14:textId="77777777" w:rsidR="00345EE3" w:rsidRDefault="00345EE3" w:rsidP="00D73130">
            <w:pPr>
              <w:pStyle w:val="VicPol-TableBodyRight-2022Tables"/>
            </w:pPr>
            <w:r>
              <w:rPr>
                <w:rStyle w:val="Heavy"/>
                <w:spacing w:val="0"/>
              </w:rPr>
              <w:t>825</w:t>
            </w:r>
          </w:p>
        </w:tc>
      </w:tr>
      <w:tr w:rsidR="00345EE3" w14:paraId="0A7D63C8" w14:textId="77777777" w:rsidTr="00D73130">
        <w:trPr>
          <w:trHeight w:val="60"/>
        </w:trPr>
        <w:tc>
          <w:tcPr>
            <w:tcW w:w="793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1F51A56A" w14:textId="77777777" w:rsidR="00345EE3" w:rsidRDefault="00345EE3" w:rsidP="00D73130">
            <w:pPr>
              <w:pStyle w:val="VicPol-TableBodyLeft-2022Tables"/>
            </w:pPr>
            <w:r>
              <w:rPr>
                <w:rStyle w:val="Heavy"/>
              </w:rPr>
              <w:t>Total Annotated Income Agreements</w:t>
            </w:r>
            <w:r>
              <w:rPr>
                <w:rStyle w:val="Heavy"/>
                <w:vertAlign w:val="superscript"/>
              </w:rPr>
              <w:t xml:space="preserve"> (b)</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A43A050" w14:textId="77777777" w:rsidR="00345EE3" w:rsidRDefault="00345EE3" w:rsidP="00D73130">
            <w:pPr>
              <w:pStyle w:val="VicPol-TableBodyRight-2022Tables"/>
            </w:pPr>
            <w:r>
              <w:rPr>
                <w:rStyle w:val="Heavy"/>
                <w:spacing w:val="0"/>
              </w:rPr>
              <w:t>12,785</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2F69D782" w14:textId="77777777" w:rsidR="00345EE3" w:rsidRDefault="00345EE3" w:rsidP="00D73130">
            <w:pPr>
              <w:pStyle w:val="VicPol-TableBodyRight-2022Tables"/>
            </w:pPr>
            <w:r>
              <w:rPr>
                <w:rStyle w:val="Heavy"/>
                <w:spacing w:val="0"/>
              </w:rPr>
              <w:t xml:space="preserve">22,250 </w:t>
            </w:r>
          </w:p>
        </w:tc>
      </w:tr>
    </w:tbl>
    <w:p w14:paraId="0769A310" w14:textId="77777777" w:rsidR="00345EE3" w:rsidRPr="000C71FB" w:rsidRDefault="00345EE3" w:rsidP="00345EE3">
      <w:pPr>
        <w:spacing w:before="79"/>
        <w:ind w:left="142"/>
        <w:rPr>
          <w:rFonts w:ascii="Arial-BoldItalicMT"/>
          <w:b/>
          <w:i/>
          <w:sz w:val="18"/>
          <w:szCs w:val="18"/>
        </w:rPr>
      </w:pPr>
      <w:r w:rsidRPr="000C71FB">
        <w:rPr>
          <w:rFonts w:ascii="Arial-BoldItalicMT"/>
          <w:b/>
          <w:i/>
          <w:color w:val="231F20"/>
          <w:spacing w:val="-2"/>
          <w:sz w:val="18"/>
          <w:szCs w:val="18"/>
        </w:rPr>
        <w:t>Notes:</w:t>
      </w:r>
    </w:p>
    <w:p w14:paraId="7AA14126" w14:textId="77777777" w:rsidR="00345EE3" w:rsidRPr="000C71FB" w:rsidRDefault="00345EE3">
      <w:pPr>
        <w:pStyle w:val="ListParagraph"/>
        <w:numPr>
          <w:ilvl w:val="0"/>
          <w:numId w:val="42"/>
        </w:numPr>
        <w:tabs>
          <w:tab w:val="left" w:pos="338"/>
        </w:tabs>
        <w:spacing w:before="27"/>
        <w:ind w:right="318"/>
        <w:rPr>
          <w:sz w:val="18"/>
          <w:szCs w:val="18"/>
        </w:rPr>
      </w:pPr>
      <w:r w:rsidRPr="000C71FB">
        <w:rPr>
          <w:color w:val="231F20"/>
          <w:sz w:val="18"/>
          <w:szCs w:val="18"/>
        </w:rPr>
        <w:t>In</w:t>
      </w:r>
      <w:r w:rsidRPr="000C71FB">
        <w:rPr>
          <w:color w:val="231F20"/>
          <w:spacing w:val="-1"/>
          <w:sz w:val="18"/>
          <w:szCs w:val="18"/>
        </w:rPr>
        <w:t xml:space="preserve"> </w:t>
      </w:r>
      <w:r w:rsidRPr="000C71FB">
        <w:rPr>
          <w:color w:val="231F20"/>
          <w:sz w:val="18"/>
          <w:szCs w:val="18"/>
        </w:rPr>
        <w:t>2021,</w:t>
      </w:r>
      <w:r w:rsidRPr="000C71FB">
        <w:rPr>
          <w:color w:val="231F20"/>
          <w:spacing w:val="-1"/>
          <w:sz w:val="18"/>
          <w:szCs w:val="18"/>
        </w:rPr>
        <w:t xml:space="preserve"> </w:t>
      </w:r>
      <w:r w:rsidRPr="000C71FB">
        <w:rPr>
          <w:color w:val="231F20"/>
          <w:sz w:val="18"/>
          <w:szCs w:val="18"/>
        </w:rPr>
        <w:t>this</w:t>
      </w:r>
      <w:r w:rsidRPr="000C71FB">
        <w:rPr>
          <w:color w:val="231F20"/>
          <w:spacing w:val="-1"/>
          <w:sz w:val="18"/>
          <w:szCs w:val="18"/>
        </w:rPr>
        <w:t xml:space="preserve"> </w:t>
      </w:r>
      <w:r w:rsidRPr="000C71FB">
        <w:rPr>
          <w:color w:val="231F20"/>
          <w:sz w:val="18"/>
          <w:szCs w:val="18"/>
        </w:rPr>
        <w:t>balance</w:t>
      </w:r>
      <w:r w:rsidRPr="000C71FB">
        <w:rPr>
          <w:color w:val="231F20"/>
          <w:spacing w:val="-1"/>
          <w:sz w:val="18"/>
          <w:szCs w:val="18"/>
        </w:rPr>
        <w:t xml:space="preserve"> </w:t>
      </w:r>
      <w:r w:rsidRPr="000C71FB">
        <w:rPr>
          <w:color w:val="231F20"/>
          <w:sz w:val="18"/>
          <w:szCs w:val="18"/>
        </w:rPr>
        <w:t>primarily</w:t>
      </w:r>
      <w:r w:rsidRPr="000C71FB">
        <w:rPr>
          <w:color w:val="231F20"/>
          <w:spacing w:val="-1"/>
          <w:sz w:val="18"/>
          <w:szCs w:val="18"/>
        </w:rPr>
        <w:t xml:space="preserve"> </w:t>
      </w:r>
      <w:r w:rsidRPr="000C71FB">
        <w:rPr>
          <w:color w:val="231F20"/>
          <w:sz w:val="18"/>
          <w:szCs w:val="18"/>
        </w:rPr>
        <w:t>represented</w:t>
      </w:r>
      <w:r w:rsidRPr="000C71FB">
        <w:rPr>
          <w:color w:val="231F20"/>
          <w:spacing w:val="-1"/>
          <w:sz w:val="18"/>
          <w:szCs w:val="18"/>
        </w:rPr>
        <w:t xml:space="preserve"> </w:t>
      </w:r>
      <w:r w:rsidRPr="000C71FB">
        <w:rPr>
          <w:color w:val="231F20"/>
          <w:sz w:val="18"/>
          <w:szCs w:val="18"/>
        </w:rPr>
        <w:t>partial</w:t>
      </w:r>
      <w:r w:rsidRPr="000C71FB">
        <w:rPr>
          <w:color w:val="231F20"/>
          <w:spacing w:val="-1"/>
          <w:sz w:val="18"/>
          <w:szCs w:val="18"/>
        </w:rPr>
        <w:t xml:space="preserve"> </w:t>
      </w:r>
      <w:r w:rsidRPr="000C71FB">
        <w:rPr>
          <w:color w:val="231F20"/>
          <w:sz w:val="18"/>
          <w:szCs w:val="18"/>
        </w:rPr>
        <w:t>reimbursement</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costs</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Royal</w:t>
      </w:r>
      <w:r w:rsidRPr="000C71FB">
        <w:rPr>
          <w:color w:val="231F20"/>
          <w:spacing w:val="-1"/>
          <w:sz w:val="18"/>
          <w:szCs w:val="18"/>
        </w:rPr>
        <w:t xml:space="preserve"> </w:t>
      </w:r>
      <w:r w:rsidRPr="000C71FB">
        <w:rPr>
          <w:color w:val="231F20"/>
          <w:sz w:val="18"/>
          <w:szCs w:val="18"/>
        </w:rPr>
        <w:t>Commission</w:t>
      </w:r>
      <w:r w:rsidRPr="000C71FB">
        <w:rPr>
          <w:color w:val="231F20"/>
          <w:spacing w:val="-1"/>
          <w:sz w:val="18"/>
          <w:szCs w:val="18"/>
        </w:rPr>
        <w:t xml:space="preserve"> </w:t>
      </w:r>
      <w:r w:rsidRPr="000C71FB">
        <w:rPr>
          <w:color w:val="231F20"/>
          <w:sz w:val="18"/>
          <w:szCs w:val="18"/>
        </w:rPr>
        <w:t>into</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Management</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Police</w:t>
      </w:r>
      <w:r w:rsidRPr="000C71FB">
        <w:rPr>
          <w:color w:val="231F20"/>
          <w:spacing w:val="-1"/>
          <w:sz w:val="18"/>
          <w:szCs w:val="18"/>
        </w:rPr>
        <w:t xml:space="preserve"> </w:t>
      </w:r>
      <w:r w:rsidRPr="000C71FB">
        <w:rPr>
          <w:color w:val="231F20"/>
          <w:sz w:val="18"/>
          <w:szCs w:val="18"/>
        </w:rPr>
        <w:t>Informants.</w:t>
      </w:r>
      <w:r w:rsidRPr="000C71FB">
        <w:rPr>
          <w:color w:val="231F20"/>
          <w:spacing w:val="-1"/>
          <w:sz w:val="18"/>
          <w:szCs w:val="18"/>
        </w:rPr>
        <w:t xml:space="preserve"> </w:t>
      </w:r>
      <w:r w:rsidRPr="000C71FB">
        <w:rPr>
          <w:color w:val="231F20"/>
          <w:sz w:val="18"/>
          <w:szCs w:val="18"/>
        </w:rPr>
        <w:t>There</w:t>
      </w:r>
      <w:r w:rsidRPr="000C71FB">
        <w:rPr>
          <w:color w:val="231F20"/>
          <w:spacing w:val="-1"/>
          <w:sz w:val="18"/>
          <w:szCs w:val="18"/>
        </w:rPr>
        <w:t xml:space="preserve"> </w:t>
      </w:r>
      <w:r w:rsidRPr="000C71FB">
        <w:rPr>
          <w:color w:val="231F20"/>
          <w:sz w:val="18"/>
          <w:szCs w:val="18"/>
        </w:rPr>
        <w:t>were</w:t>
      </w:r>
      <w:r w:rsidRPr="000C71FB">
        <w:rPr>
          <w:color w:val="231F20"/>
          <w:spacing w:val="-1"/>
          <w:sz w:val="18"/>
          <w:szCs w:val="18"/>
        </w:rPr>
        <w:t xml:space="preserve"> </w:t>
      </w:r>
      <w:r w:rsidRPr="000C71FB">
        <w:rPr>
          <w:color w:val="231F20"/>
          <w:sz w:val="18"/>
          <w:szCs w:val="18"/>
        </w:rPr>
        <w:t>no</w:t>
      </w:r>
      <w:r w:rsidRPr="000C71FB">
        <w:rPr>
          <w:color w:val="231F20"/>
          <w:spacing w:val="40"/>
          <w:sz w:val="18"/>
          <w:szCs w:val="18"/>
        </w:rPr>
        <w:t xml:space="preserve"> </w:t>
      </w:r>
      <w:r w:rsidRPr="000C71FB">
        <w:rPr>
          <w:color w:val="231F20"/>
          <w:sz w:val="18"/>
          <w:szCs w:val="18"/>
        </w:rPr>
        <w:t>such reimbursements in 2022.</w:t>
      </w:r>
    </w:p>
    <w:p w14:paraId="174D52AE" w14:textId="77777777" w:rsidR="00345EE3" w:rsidRPr="000C71FB" w:rsidRDefault="00345EE3">
      <w:pPr>
        <w:pStyle w:val="ListParagraph"/>
        <w:numPr>
          <w:ilvl w:val="0"/>
          <w:numId w:val="42"/>
        </w:numPr>
        <w:tabs>
          <w:tab w:val="left" w:pos="338"/>
        </w:tabs>
        <w:spacing w:before="26"/>
        <w:ind w:left="110" w:right="873" w:firstLine="0"/>
        <w:rPr>
          <w:color w:val="231F20"/>
          <w:spacing w:val="-2"/>
          <w:sz w:val="18"/>
          <w:szCs w:val="18"/>
        </w:rPr>
      </w:pPr>
      <w:r w:rsidRPr="000C71FB">
        <w:rPr>
          <w:color w:val="231F20"/>
          <w:sz w:val="18"/>
          <w:szCs w:val="18"/>
        </w:rPr>
        <w:t>The</w:t>
      </w:r>
      <w:r w:rsidRPr="000C71FB">
        <w:rPr>
          <w:color w:val="231F20"/>
          <w:spacing w:val="-1"/>
          <w:sz w:val="18"/>
          <w:szCs w:val="18"/>
        </w:rPr>
        <w:t xml:space="preserve"> </w:t>
      </w:r>
      <w:r w:rsidRPr="000C71FB">
        <w:rPr>
          <w:color w:val="231F20"/>
          <w:sz w:val="18"/>
          <w:szCs w:val="18"/>
        </w:rPr>
        <w:t>annotated</w:t>
      </w:r>
      <w:r w:rsidRPr="000C71FB">
        <w:rPr>
          <w:color w:val="231F20"/>
          <w:spacing w:val="-1"/>
          <w:sz w:val="18"/>
          <w:szCs w:val="18"/>
        </w:rPr>
        <w:t xml:space="preserve"> </w:t>
      </w:r>
      <w:r w:rsidRPr="000C71FB">
        <w:rPr>
          <w:color w:val="231F20"/>
          <w:sz w:val="18"/>
          <w:szCs w:val="18"/>
        </w:rPr>
        <w:t>income</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$12.8</w:t>
      </w:r>
      <w:r w:rsidRPr="000C71FB">
        <w:rPr>
          <w:color w:val="231F20"/>
          <w:spacing w:val="-1"/>
          <w:sz w:val="18"/>
          <w:szCs w:val="18"/>
        </w:rPr>
        <w:t xml:space="preserve"> </w:t>
      </w:r>
      <w:r w:rsidRPr="000C71FB">
        <w:rPr>
          <w:color w:val="231F20"/>
          <w:sz w:val="18"/>
          <w:szCs w:val="18"/>
        </w:rPr>
        <w:t>million</w:t>
      </w:r>
      <w:r w:rsidRPr="000C71FB">
        <w:rPr>
          <w:color w:val="231F20"/>
          <w:spacing w:val="-1"/>
          <w:sz w:val="18"/>
          <w:szCs w:val="18"/>
        </w:rPr>
        <w:t xml:space="preserve"> </w:t>
      </w:r>
      <w:r w:rsidRPr="000C71FB">
        <w:rPr>
          <w:color w:val="231F20"/>
          <w:sz w:val="18"/>
          <w:szCs w:val="18"/>
        </w:rPr>
        <w:t>(2021:</w:t>
      </w:r>
      <w:r w:rsidRPr="000C71FB">
        <w:rPr>
          <w:color w:val="231F20"/>
          <w:spacing w:val="-1"/>
          <w:sz w:val="18"/>
          <w:szCs w:val="18"/>
        </w:rPr>
        <w:t xml:space="preserve"> </w:t>
      </w:r>
      <w:r w:rsidRPr="000C71FB">
        <w:rPr>
          <w:color w:val="231F20"/>
          <w:sz w:val="18"/>
          <w:szCs w:val="18"/>
        </w:rPr>
        <w:t>$22.2</w:t>
      </w:r>
      <w:r w:rsidRPr="000C71FB">
        <w:rPr>
          <w:color w:val="231F20"/>
          <w:spacing w:val="-1"/>
          <w:sz w:val="18"/>
          <w:szCs w:val="18"/>
        </w:rPr>
        <w:t xml:space="preserve"> </w:t>
      </w:r>
      <w:r w:rsidRPr="000C71FB">
        <w:rPr>
          <w:color w:val="231F20"/>
          <w:sz w:val="18"/>
          <w:szCs w:val="18"/>
        </w:rPr>
        <w:t>million)</w:t>
      </w:r>
      <w:r w:rsidRPr="000C71FB">
        <w:rPr>
          <w:color w:val="231F20"/>
          <w:spacing w:val="-1"/>
          <w:sz w:val="18"/>
          <w:szCs w:val="18"/>
        </w:rPr>
        <w:t xml:space="preserve"> </w:t>
      </w:r>
      <w:r w:rsidRPr="000C71FB">
        <w:rPr>
          <w:color w:val="231F20"/>
          <w:sz w:val="18"/>
          <w:szCs w:val="18"/>
        </w:rPr>
        <w:t>forms</w:t>
      </w:r>
      <w:r w:rsidRPr="000C71FB">
        <w:rPr>
          <w:color w:val="231F20"/>
          <w:spacing w:val="-1"/>
          <w:sz w:val="18"/>
          <w:szCs w:val="18"/>
        </w:rPr>
        <w:t xml:space="preserve"> </w:t>
      </w:r>
      <w:r w:rsidRPr="000C71FB">
        <w:rPr>
          <w:color w:val="231F20"/>
          <w:sz w:val="18"/>
          <w:szCs w:val="18"/>
        </w:rPr>
        <w:t>part</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Grants</w:t>
      </w:r>
      <w:r w:rsidRPr="000C71FB">
        <w:rPr>
          <w:color w:val="231F20"/>
          <w:spacing w:val="-1"/>
          <w:sz w:val="18"/>
          <w:szCs w:val="18"/>
        </w:rPr>
        <w:t xml:space="preserve"> </w:t>
      </w:r>
      <w:r w:rsidRPr="000C71FB">
        <w:rPr>
          <w:color w:val="231F20"/>
          <w:sz w:val="18"/>
          <w:szCs w:val="18"/>
        </w:rPr>
        <w:t>from</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Victorian</w:t>
      </w:r>
      <w:r w:rsidRPr="000C71FB">
        <w:rPr>
          <w:color w:val="231F20"/>
          <w:spacing w:val="-1"/>
          <w:sz w:val="18"/>
          <w:szCs w:val="18"/>
        </w:rPr>
        <w:t xml:space="preserve"> </w:t>
      </w:r>
      <w:r w:rsidRPr="000C71FB">
        <w:rPr>
          <w:color w:val="231F20"/>
          <w:sz w:val="18"/>
          <w:szCs w:val="18"/>
        </w:rPr>
        <w:t>Government</w:t>
      </w:r>
      <w:r w:rsidRPr="000C71FB">
        <w:rPr>
          <w:color w:val="231F20"/>
          <w:spacing w:val="-1"/>
          <w:sz w:val="18"/>
          <w:szCs w:val="18"/>
        </w:rPr>
        <w:t xml:space="preserve"> </w:t>
      </w:r>
      <w:r w:rsidRPr="000C71FB">
        <w:rPr>
          <w:color w:val="231F20"/>
          <w:sz w:val="18"/>
          <w:szCs w:val="18"/>
        </w:rPr>
        <w:t>in</w:t>
      </w:r>
      <w:r w:rsidRPr="000C71FB">
        <w:rPr>
          <w:color w:val="231F20"/>
          <w:spacing w:val="-1"/>
          <w:sz w:val="18"/>
          <w:szCs w:val="18"/>
        </w:rPr>
        <w:t xml:space="preserve"> </w:t>
      </w:r>
      <w:r w:rsidRPr="000C71FB">
        <w:rPr>
          <w:color w:val="231F20"/>
          <w:sz w:val="18"/>
          <w:szCs w:val="18"/>
        </w:rPr>
        <w:t>Note</w:t>
      </w:r>
      <w:r w:rsidRPr="000C71FB">
        <w:rPr>
          <w:color w:val="231F20"/>
          <w:spacing w:val="-1"/>
          <w:sz w:val="18"/>
          <w:szCs w:val="18"/>
        </w:rPr>
        <w:t xml:space="preserve"> </w:t>
      </w:r>
      <w:r w:rsidRPr="000C71FB">
        <w:rPr>
          <w:color w:val="231F20"/>
          <w:sz w:val="18"/>
          <w:szCs w:val="18"/>
        </w:rPr>
        <w:t>2.2</w:t>
      </w:r>
      <w:r w:rsidRPr="000C71FB">
        <w:rPr>
          <w:color w:val="231F20"/>
          <w:spacing w:val="-1"/>
          <w:sz w:val="18"/>
          <w:szCs w:val="18"/>
        </w:rPr>
        <w:t xml:space="preserve"> </w:t>
      </w:r>
      <w:r w:rsidRPr="000C71FB">
        <w:rPr>
          <w:color w:val="231F20"/>
          <w:sz w:val="18"/>
          <w:szCs w:val="18"/>
        </w:rPr>
        <w:t>Grants</w:t>
      </w:r>
      <w:r w:rsidRPr="000C71FB">
        <w:rPr>
          <w:color w:val="231F20"/>
          <w:spacing w:val="-1"/>
          <w:sz w:val="18"/>
          <w:szCs w:val="18"/>
        </w:rPr>
        <w:t xml:space="preserve"> </w:t>
      </w:r>
      <w:r w:rsidRPr="000C71FB">
        <w:rPr>
          <w:color w:val="231F20"/>
          <w:sz w:val="18"/>
          <w:szCs w:val="18"/>
        </w:rPr>
        <w:t>from</w:t>
      </w:r>
      <w:r w:rsidRPr="000C71FB">
        <w:rPr>
          <w:color w:val="231F20"/>
          <w:spacing w:val="-1"/>
          <w:sz w:val="18"/>
          <w:szCs w:val="18"/>
        </w:rPr>
        <w:t xml:space="preserve"> </w:t>
      </w:r>
      <w:r w:rsidRPr="000C71FB">
        <w:rPr>
          <w:color w:val="231F20"/>
          <w:sz w:val="18"/>
          <w:szCs w:val="18"/>
        </w:rPr>
        <w:t>Victorian</w:t>
      </w:r>
      <w:r w:rsidRPr="000C71FB">
        <w:rPr>
          <w:color w:val="231F20"/>
          <w:spacing w:val="40"/>
          <w:sz w:val="18"/>
          <w:szCs w:val="18"/>
        </w:rPr>
        <w:t xml:space="preserve"> </w:t>
      </w:r>
      <w:r w:rsidRPr="000C71FB">
        <w:rPr>
          <w:color w:val="231F20"/>
          <w:spacing w:val="-2"/>
          <w:sz w:val="18"/>
          <w:szCs w:val="18"/>
        </w:rPr>
        <w:t>Government.</w:t>
      </w:r>
    </w:p>
    <w:p w14:paraId="0C69AB11" w14:textId="77777777" w:rsidR="00345EE3" w:rsidRDefault="00345EE3" w:rsidP="00345EE3">
      <w:pPr>
        <w:rPr>
          <w:color w:val="231F20"/>
          <w:spacing w:val="-2"/>
          <w:sz w:val="14"/>
        </w:rPr>
      </w:pPr>
      <w:r>
        <w:rPr>
          <w:color w:val="231F20"/>
          <w:spacing w:val="-2"/>
          <w:sz w:val="14"/>
        </w:rPr>
        <w:br w:type="page"/>
      </w:r>
    </w:p>
    <w:p w14:paraId="4CD45416" w14:textId="77777777" w:rsidR="00345EE3" w:rsidRPr="00E528CF" w:rsidRDefault="00345EE3">
      <w:pPr>
        <w:pStyle w:val="Heading2"/>
        <w:numPr>
          <w:ilvl w:val="0"/>
          <w:numId w:val="44"/>
        </w:numPr>
        <w:tabs>
          <w:tab w:val="left" w:pos="465"/>
        </w:tabs>
        <w:ind w:left="464" w:hanging="355"/>
        <w:rPr>
          <w:sz w:val="32"/>
          <w:szCs w:val="32"/>
        </w:rPr>
      </w:pPr>
      <w:r w:rsidRPr="00E528CF">
        <w:rPr>
          <w:color w:val="00529F"/>
          <w:sz w:val="32"/>
          <w:szCs w:val="32"/>
        </w:rPr>
        <w:t>The</w:t>
      </w:r>
      <w:r w:rsidRPr="00E528CF">
        <w:rPr>
          <w:color w:val="00529F"/>
          <w:spacing w:val="-11"/>
          <w:sz w:val="32"/>
          <w:szCs w:val="32"/>
        </w:rPr>
        <w:t xml:space="preserve"> </w:t>
      </w:r>
      <w:r w:rsidRPr="00E528CF">
        <w:rPr>
          <w:color w:val="00529F"/>
          <w:sz w:val="32"/>
          <w:szCs w:val="32"/>
        </w:rPr>
        <w:t>Cost</w:t>
      </w:r>
      <w:r w:rsidRPr="00E528CF">
        <w:rPr>
          <w:color w:val="00529F"/>
          <w:spacing w:val="-10"/>
          <w:sz w:val="32"/>
          <w:szCs w:val="32"/>
        </w:rPr>
        <w:t xml:space="preserve"> </w:t>
      </w:r>
      <w:r w:rsidRPr="00E528CF">
        <w:rPr>
          <w:color w:val="00529F"/>
          <w:sz w:val="32"/>
          <w:szCs w:val="32"/>
        </w:rPr>
        <w:t>of</w:t>
      </w:r>
      <w:r w:rsidRPr="00E528CF">
        <w:rPr>
          <w:color w:val="00529F"/>
          <w:spacing w:val="-10"/>
          <w:sz w:val="32"/>
          <w:szCs w:val="32"/>
        </w:rPr>
        <w:t xml:space="preserve"> </w:t>
      </w:r>
      <w:r w:rsidRPr="00E528CF">
        <w:rPr>
          <w:color w:val="00529F"/>
          <w:sz w:val="32"/>
          <w:szCs w:val="32"/>
        </w:rPr>
        <w:t>Delivering</w:t>
      </w:r>
      <w:r w:rsidRPr="00E528CF">
        <w:rPr>
          <w:color w:val="00529F"/>
          <w:spacing w:val="-10"/>
          <w:sz w:val="32"/>
          <w:szCs w:val="32"/>
        </w:rPr>
        <w:t xml:space="preserve"> </w:t>
      </w:r>
      <w:r w:rsidRPr="00E528CF">
        <w:rPr>
          <w:color w:val="00529F"/>
          <w:spacing w:val="-2"/>
          <w:sz w:val="32"/>
          <w:szCs w:val="32"/>
        </w:rPr>
        <w:t>Services</w:t>
      </w:r>
    </w:p>
    <w:p w14:paraId="08AAB094" w14:textId="77777777" w:rsidR="00345EE3" w:rsidRDefault="00345EE3" w:rsidP="002A27BA">
      <w:pPr>
        <w:pStyle w:val="Heading3"/>
      </w:pPr>
      <w:r>
        <w:t>Introduction</w:t>
      </w:r>
    </w:p>
    <w:p w14:paraId="1744D66A" w14:textId="77777777" w:rsidR="00345EE3" w:rsidRDefault="00345EE3" w:rsidP="00345EE3">
      <w:pPr>
        <w:pStyle w:val="BodyText"/>
        <w:spacing w:before="52" w:line="242" w:lineRule="auto"/>
        <w:ind w:right="115"/>
      </w:pPr>
      <w:r>
        <w:rPr>
          <w:color w:val="231F20"/>
        </w:rPr>
        <w:t>This</w:t>
      </w:r>
      <w:r>
        <w:rPr>
          <w:color w:val="231F20"/>
          <w:spacing w:val="-8"/>
        </w:rPr>
        <w:t xml:space="preserve"> </w:t>
      </w:r>
      <w:r>
        <w:rPr>
          <w:color w:val="231F20"/>
        </w:rPr>
        <w:t>section</w:t>
      </w:r>
      <w:r>
        <w:rPr>
          <w:color w:val="231F20"/>
          <w:spacing w:val="-9"/>
        </w:rPr>
        <w:t xml:space="preserve"> </w:t>
      </w:r>
      <w:r>
        <w:rPr>
          <w:color w:val="231F20"/>
        </w:rPr>
        <w:t>provides</w:t>
      </w:r>
      <w:r>
        <w:rPr>
          <w:color w:val="231F20"/>
          <w:spacing w:val="-8"/>
        </w:rPr>
        <w:t xml:space="preserve"> </w:t>
      </w:r>
      <w:r>
        <w:rPr>
          <w:color w:val="231F20"/>
        </w:rPr>
        <w:t>an</w:t>
      </w:r>
      <w:r>
        <w:rPr>
          <w:color w:val="231F20"/>
          <w:spacing w:val="-9"/>
        </w:rPr>
        <w:t xml:space="preserve"> </w:t>
      </w:r>
      <w:r>
        <w:rPr>
          <w:color w:val="231F20"/>
        </w:rPr>
        <w:t>account</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operating</w:t>
      </w:r>
      <w:r>
        <w:rPr>
          <w:color w:val="231F20"/>
          <w:spacing w:val="-9"/>
        </w:rPr>
        <w:t xml:space="preserve"> </w:t>
      </w:r>
      <w:r>
        <w:rPr>
          <w:color w:val="231F20"/>
        </w:rPr>
        <w:t>expenses</w:t>
      </w:r>
      <w:r>
        <w:rPr>
          <w:color w:val="231F20"/>
          <w:spacing w:val="-8"/>
        </w:rPr>
        <w:t xml:space="preserve"> </w:t>
      </w:r>
      <w:r>
        <w:rPr>
          <w:color w:val="231F20"/>
        </w:rPr>
        <w:t>incurred</w:t>
      </w:r>
      <w:r>
        <w:rPr>
          <w:color w:val="231F20"/>
          <w:spacing w:val="-9"/>
        </w:rPr>
        <w:t xml:space="preserve"> </w:t>
      </w:r>
      <w:r>
        <w:rPr>
          <w:color w:val="231F20"/>
        </w:rPr>
        <w:t>by</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in providing effective policing and law enforcement services.</w:t>
      </w:r>
    </w:p>
    <w:p w14:paraId="46E26046" w14:textId="77777777" w:rsidR="00345EE3" w:rsidRDefault="00345EE3" w:rsidP="00345EE3">
      <w:pPr>
        <w:pStyle w:val="BodyText"/>
        <w:spacing w:before="116" w:line="242" w:lineRule="auto"/>
      </w:pPr>
      <w:r>
        <w:rPr>
          <w:color w:val="231F20"/>
        </w:rPr>
        <w:t>In</w:t>
      </w:r>
      <w:r>
        <w:rPr>
          <w:color w:val="231F20"/>
          <w:spacing w:val="-7"/>
        </w:rPr>
        <w:t xml:space="preserve"> </w:t>
      </w:r>
      <w:r>
        <w:rPr>
          <w:color w:val="231F20"/>
        </w:rPr>
        <w:t>Section</w:t>
      </w:r>
      <w:r>
        <w:rPr>
          <w:color w:val="231F20"/>
          <w:spacing w:val="-7"/>
        </w:rPr>
        <w:t xml:space="preserve"> </w:t>
      </w:r>
      <w:r>
        <w:rPr>
          <w:color w:val="231F20"/>
        </w:rPr>
        <w:t>2,</w:t>
      </w:r>
      <w:r>
        <w:rPr>
          <w:color w:val="231F20"/>
          <w:spacing w:val="-6"/>
        </w:rPr>
        <w:t xml:space="preserve"> </w:t>
      </w:r>
      <w:r>
        <w:rPr>
          <w:color w:val="231F20"/>
        </w:rPr>
        <w:t>the</w:t>
      </w:r>
      <w:r>
        <w:rPr>
          <w:color w:val="231F20"/>
          <w:spacing w:val="-7"/>
        </w:rPr>
        <w:t xml:space="preserve"> </w:t>
      </w:r>
      <w:r>
        <w:rPr>
          <w:color w:val="231F20"/>
        </w:rPr>
        <w:t>funds</w:t>
      </w:r>
      <w:r>
        <w:rPr>
          <w:color w:val="231F20"/>
          <w:spacing w:val="-6"/>
        </w:rPr>
        <w:t xml:space="preserve"> </w:t>
      </w:r>
      <w:r>
        <w:rPr>
          <w:color w:val="231F20"/>
        </w:rPr>
        <w:t>that</w:t>
      </w:r>
      <w:r>
        <w:rPr>
          <w:color w:val="231F20"/>
          <w:spacing w:val="-6"/>
        </w:rPr>
        <w:t xml:space="preserve"> </w:t>
      </w:r>
      <w:r>
        <w:rPr>
          <w:color w:val="231F20"/>
        </w:rPr>
        <w:t>enable</w:t>
      </w:r>
      <w:r>
        <w:rPr>
          <w:color w:val="231F20"/>
          <w:spacing w:val="-7"/>
        </w:rPr>
        <w:t xml:space="preserve"> </w:t>
      </w:r>
      <w:r>
        <w:rPr>
          <w:color w:val="231F20"/>
        </w:rPr>
        <w:t>the</w:t>
      </w:r>
      <w:r>
        <w:rPr>
          <w:color w:val="231F20"/>
          <w:spacing w:val="-7"/>
        </w:rPr>
        <w:t xml:space="preserve"> </w:t>
      </w:r>
      <w:r>
        <w:rPr>
          <w:color w:val="231F20"/>
        </w:rPr>
        <w:t>provision</w:t>
      </w:r>
      <w:r>
        <w:rPr>
          <w:color w:val="231F20"/>
          <w:spacing w:val="-7"/>
        </w:rPr>
        <w:t xml:space="preserve"> </w:t>
      </w:r>
      <w:r>
        <w:rPr>
          <w:color w:val="231F20"/>
        </w:rPr>
        <w:t>of</w:t>
      </w:r>
      <w:r>
        <w:rPr>
          <w:color w:val="231F20"/>
          <w:spacing w:val="-6"/>
        </w:rPr>
        <w:t xml:space="preserve"> </w:t>
      </w:r>
      <w:r>
        <w:rPr>
          <w:color w:val="231F20"/>
        </w:rPr>
        <w:t>such</w:t>
      </w:r>
      <w:r>
        <w:rPr>
          <w:color w:val="231F20"/>
          <w:spacing w:val="-7"/>
        </w:rPr>
        <w:t xml:space="preserve"> </w:t>
      </w:r>
      <w:r>
        <w:rPr>
          <w:color w:val="231F20"/>
        </w:rPr>
        <w:t>services</w:t>
      </w:r>
      <w:r>
        <w:rPr>
          <w:color w:val="231F20"/>
          <w:spacing w:val="-6"/>
        </w:rPr>
        <w:t xml:space="preserve"> </w:t>
      </w:r>
      <w:r>
        <w:rPr>
          <w:color w:val="231F20"/>
        </w:rPr>
        <w:t>were</w:t>
      </w:r>
      <w:r>
        <w:rPr>
          <w:color w:val="231F20"/>
          <w:spacing w:val="-7"/>
        </w:rPr>
        <w:t xml:space="preserve"> </w:t>
      </w:r>
      <w:r>
        <w:rPr>
          <w:color w:val="231F20"/>
        </w:rPr>
        <w:t>disclosed</w:t>
      </w:r>
      <w:r>
        <w:rPr>
          <w:color w:val="231F20"/>
          <w:spacing w:val="-7"/>
        </w:rPr>
        <w:t xml:space="preserve"> </w:t>
      </w:r>
      <w:r>
        <w:rPr>
          <w:color w:val="231F20"/>
        </w:rPr>
        <w:t>and</w:t>
      </w:r>
      <w:r>
        <w:rPr>
          <w:color w:val="231F20"/>
          <w:spacing w:val="-7"/>
        </w:rPr>
        <w:t xml:space="preserve"> </w:t>
      </w:r>
      <w:r>
        <w:rPr>
          <w:color w:val="231F20"/>
        </w:rPr>
        <w:t>in</w:t>
      </w:r>
      <w:r>
        <w:rPr>
          <w:color w:val="231F20"/>
          <w:spacing w:val="-7"/>
        </w:rPr>
        <w:t xml:space="preserve"> </w:t>
      </w:r>
      <w:r>
        <w:rPr>
          <w:color w:val="231F20"/>
        </w:rPr>
        <w:t>this</w:t>
      </w:r>
      <w:r>
        <w:rPr>
          <w:color w:val="231F20"/>
          <w:spacing w:val="-6"/>
        </w:rPr>
        <w:t xml:space="preserve"> </w:t>
      </w:r>
      <w:r>
        <w:rPr>
          <w:color w:val="231F20"/>
        </w:rPr>
        <w:t>note, the costs associated with such provisions are recorded.</w:t>
      </w:r>
    </w:p>
    <w:p w14:paraId="75942702" w14:textId="77777777" w:rsidR="00345EE3" w:rsidRDefault="00345EE3" w:rsidP="00345EE3">
      <w:pPr>
        <w:pStyle w:val="BodyText"/>
        <w:spacing w:before="1"/>
        <w:rPr>
          <w:sz w:val="12"/>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34"/>
        <w:gridCol w:w="7937"/>
        <w:gridCol w:w="1134"/>
      </w:tblGrid>
      <w:tr w:rsidR="00345EE3" w14:paraId="2FCD20DA" w14:textId="77777777" w:rsidTr="00D73130">
        <w:trPr>
          <w:trHeight w:val="401"/>
        </w:trPr>
        <w:tc>
          <w:tcPr>
            <w:tcW w:w="10205" w:type="dxa"/>
            <w:gridSpan w:val="3"/>
            <w:tcBorders>
              <w:top w:val="nil"/>
              <w:left w:val="nil"/>
              <w:bottom w:val="nil"/>
              <w:right w:val="nil"/>
            </w:tcBorders>
            <w:shd w:val="clear" w:color="auto" w:fill="00529F"/>
          </w:tcPr>
          <w:p w14:paraId="4FA95FCD" w14:textId="77777777" w:rsidR="00345EE3" w:rsidRDefault="00345EE3" w:rsidP="00D73130">
            <w:pPr>
              <w:pStyle w:val="TableParagraph"/>
              <w:spacing w:before="0"/>
              <w:jc w:val="left"/>
              <w:rPr>
                <w:rFonts w:ascii="Times New Roman"/>
                <w:sz w:val="24"/>
              </w:rPr>
            </w:pPr>
          </w:p>
        </w:tc>
      </w:tr>
      <w:tr w:rsidR="00345EE3" w14:paraId="791A53B4" w14:textId="77777777" w:rsidTr="00D73130">
        <w:trPr>
          <w:trHeight w:val="398"/>
        </w:trPr>
        <w:tc>
          <w:tcPr>
            <w:tcW w:w="1134" w:type="dxa"/>
            <w:tcBorders>
              <w:top w:val="nil"/>
              <w:left w:val="nil"/>
            </w:tcBorders>
          </w:tcPr>
          <w:p w14:paraId="6B721BD1" w14:textId="77777777" w:rsidR="00345EE3" w:rsidRDefault="00345EE3" w:rsidP="00D73130">
            <w:pPr>
              <w:pStyle w:val="TableParagraph"/>
              <w:spacing w:before="63"/>
              <w:ind w:left="-3"/>
              <w:jc w:val="left"/>
              <w:rPr>
                <w:sz w:val="24"/>
              </w:rPr>
            </w:pPr>
            <w:r>
              <w:rPr>
                <w:color w:val="231F20"/>
                <w:spacing w:val="-5"/>
                <w:sz w:val="24"/>
              </w:rPr>
              <w:t>3.1</w:t>
            </w:r>
          </w:p>
        </w:tc>
        <w:tc>
          <w:tcPr>
            <w:tcW w:w="7937" w:type="dxa"/>
            <w:tcBorders>
              <w:top w:val="nil"/>
            </w:tcBorders>
          </w:tcPr>
          <w:p w14:paraId="13A20BDA" w14:textId="77777777" w:rsidR="00345EE3" w:rsidRDefault="00345EE3" w:rsidP="00D73130">
            <w:pPr>
              <w:pStyle w:val="TableParagraph"/>
              <w:spacing w:before="63"/>
              <w:ind w:left="-1"/>
              <w:jc w:val="left"/>
              <w:rPr>
                <w:sz w:val="24"/>
              </w:rPr>
            </w:pPr>
            <w:r>
              <w:rPr>
                <w:color w:val="231F20"/>
                <w:sz w:val="24"/>
              </w:rPr>
              <w:t>Expenses</w:t>
            </w:r>
            <w:r>
              <w:rPr>
                <w:color w:val="231F20"/>
                <w:spacing w:val="-4"/>
                <w:sz w:val="24"/>
              </w:rPr>
              <w:t xml:space="preserve"> </w:t>
            </w:r>
            <w:r>
              <w:rPr>
                <w:color w:val="231F20"/>
                <w:sz w:val="24"/>
              </w:rPr>
              <w:t>Incurred</w:t>
            </w:r>
            <w:r>
              <w:rPr>
                <w:color w:val="231F20"/>
                <w:spacing w:val="-2"/>
                <w:sz w:val="24"/>
              </w:rPr>
              <w:t xml:space="preserve"> </w:t>
            </w:r>
            <w:r>
              <w:rPr>
                <w:color w:val="231F20"/>
                <w:sz w:val="24"/>
              </w:rPr>
              <w:t>in</w:t>
            </w:r>
            <w:r>
              <w:rPr>
                <w:color w:val="231F20"/>
                <w:spacing w:val="-3"/>
                <w:sz w:val="24"/>
              </w:rPr>
              <w:t xml:space="preserve"> </w:t>
            </w:r>
            <w:r>
              <w:rPr>
                <w:color w:val="231F20"/>
                <w:sz w:val="24"/>
              </w:rPr>
              <w:t>Delivery</w:t>
            </w:r>
            <w:r>
              <w:rPr>
                <w:color w:val="231F20"/>
                <w:spacing w:val="-3"/>
                <w:sz w:val="24"/>
              </w:rPr>
              <w:t xml:space="preserve"> </w:t>
            </w:r>
            <w:r>
              <w:rPr>
                <w:color w:val="231F20"/>
                <w:sz w:val="24"/>
              </w:rPr>
              <w:t>of</w:t>
            </w:r>
            <w:r>
              <w:rPr>
                <w:color w:val="231F20"/>
                <w:spacing w:val="-2"/>
                <w:sz w:val="24"/>
              </w:rPr>
              <w:t xml:space="preserve"> Services</w:t>
            </w:r>
          </w:p>
        </w:tc>
        <w:tc>
          <w:tcPr>
            <w:tcW w:w="1134" w:type="dxa"/>
            <w:tcBorders>
              <w:top w:val="nil"/>
              <w:right w:val="nil"/>
            </w:tcBorders>
          </w:tcPr>
          <w:p w14:paraId="4AAD6577" w14:textId="5FFB80B3" w:rsidR="00345EE3" w:rsidRDefault="007370D0" w:rsidP="00D73130">
            <w:pPr>
              <w:pStyle w:val="TableParagraph"/>
              <w:spacing w:before="63"/>
              <w:rPr>
                <w:sz w:val="24"/>
              </w:rPr>
            </w:pPr>
            <w:r>
              <w:rPr>
                <w:color w:val="231F20"/>
                <w:spacing w:val="-3"/>
                <w:sz w:val="24"/>
              </w:rPr>
              <w:t>121</w:t>
            </w:r>
            <w:r w:rsidR="00EB53BC">
              <w:rPr>
                <w:color w:val="231F20"/>
                <w:spacing w:val="-3"/>
                <w:sz w:val="24"/>
              </w:rPr>
              <w:t>-125</w:t>
            </w:r>
          </w:p>
        </w:tc>
      </w:tr>
      <w:tr w:rsidR="00345EE3" w14:paraId="7F5FAC66" w14:textId="77777777" w:rsidTr="00D73130">
        <w:trPr>
          <w:trHeight w:val="396"/>
        </w:trPr>
        <w:tc>
          <w:tcPr>
            <w:tcW w:w="1134" w:type="dxa"/>
            <w:tcBorders>
              <w:left w:val="nil"/>
            </w:tcBorders>
          </w:tcPr>
          <w:p w14:paraId="020A198E" w14:textId="77777777" w:rsidR="00345EE3" w:rsidRDefault="00345EE3" w:rsidP="00D73130">
            <w:pPr>
              <w:pStyle w:val="TableParagraph"/>
              <w:ind w:left="-3"/>
              <w:jc w:val="left"/>
              <w:rPr>
                <w:sz w:val="24"/>
              </w:rPr>
            </w:pPr>
            <w:r>
              <w:rPr>
                <w:color w:val="231F20"/>
                <w:spacing w:val="-5"/>
                <w:sz w:val="24"/>
              </w:rPr>
              <w:t>3.2</w:t>
            </w:r>
          </w:p>
        </w:tc>
        <w:tc>
          <w:tcPr>
            <w:tcW w:w="7937" w:type="dxa"/>
          </w:tcPr>
          <w:p w14:paraId="5883051F" w14:textId="77777777" w:rsidR="00345EE3" w:rsidRDefault="00345EE3" w:rsidP="00D73130">
            <w:pPr>
              <w:pStyle w:val="TableParagraph"/>
              <w:ind w:left="-1"/>
              <w:jc w:val="left"/>
              <w:rPr>
                <w:sz w:val="24"/>
              </w:rPr>
            </w:pPr>
            <w:r>
              <w:rPr>
                <w:color w:val="231F20"/>
                <w:sz w:val="24"/>
              </w:rPr>
              <w:t>Capital</w:t>
            </w:r>
            <w:r>
              <w:rPr>
                <w:color w:val="231F20"/>
                <w:spacing w:val="-17"/>
                <w:sz w:val="24"/>
              </w:rPr>
              <w:t xml:space="preserve"> </w:t>
            </w:r>
            <w:r>
              <w:rPr>
                <w:color w:val="231F20"/>
                <w:sz w:val="24"/>
              </w:rPr>
              <w:t>Asset</w:t>
            </w:r>
            <w:r>
              <w:rPr>
                <w:color w:val="231F20"/>
                <w:spacing w:val="-3"/>
                <w:sz w:val="24"/>
              </w:rPr>
              <w:t xml:space="preserve"> </w:t>
            </w:r>
            <w:r>
              <w:rPr>
                <w:color w:val="231F20"/>
                <w:spacing w:val="-2"/>
                <w:sz w:val="24"/>
              </w:rPr>
              <w:t>Charge</w:t>
            </w:r>
          </w:p>
        </w:tc>
        <w:tc>
          <w:tcPr>
            <w:tcW w:w="1134" w:type="dxa"/>
            <w:tcBorders>
              <w:right w:val="nil"/>
            </w:tcBorders>
          </w:tcPr>
          <w:p w14:paraId="35685A5F" w14:textId="1C25AB75" w:rsidR="00345EE3" w:rsidRDefault="00EB53BC" w:rsidP="00D73130">
            <w:pPr>
              <w:pStyle w:val="TableParagraph"/>
              <w:rPr>
                <w:sz w:val="24"/>
              </w:rPr>
            </w:pPr>
            <w:r>
              <w:rPr>
                <w:color w:val="231F20"/>
                <w:spacing w:val="-5"/>
                <w:sz w:val="24"/>
              </w:rPr>
              <w:t>125</w:t>
            </w:r>
          </w:p>
        </w:tc>
      </w:tr>
      <w:tr w:rsidR="00345EE3" w14:paraId="154FB36F" w14:textId="77777777" w:rsidTr="00D73130">
        <w:trPr>
          <w:trHeight w:val="396"/>
        </w:trPr>
        <w:tc>
          <w:tcPr>
            <w:tcW w:w="1134" w:type="dxa"/>
            <w:tcBorders>
              <w:left w:val="nil"/>
            </w:tcBorders>
          </w:tcPr>
          <w:p w14:paraId="1465C69C" w14:textId="77777777" w:rsidR="00345EE3" w:rsidRDefault="00345EE3" w:rsidP="00D73130">
            <w:pPr>
              <w:pStyle w:val="TableParagraph"/>
              <w:ind w:left="-3"/>
              <w:jc w:val="left"/>
              <w:rPr>
                <w:sz w:val="24"/>
              </w:rPr>
            </w:pPr>
            <w:r>
              <w:rPr>
                <w:color w:val="231F20"/>
                <w:spacing w:val="-5"/>
                <w:sz w:val="24"/>
              </w:rPr>
              <w:t>3.3</w:t>
            </w:r>
          </w:p>
        </w:tc>
        <w:tc>
          <w:tcPr>
            <w:tcW w:w="7937" w:type="dxa"/>
          </w:tcPr>
          <w:p w14:paraId="1F810466" w14:textId="77777777" w:rsidR="00345EE3" w:rsidRDefault="00345EE3" w:rsidP="00D73130">
            <w:pPr>
              <w:pStyle w:val="TableParagraph"/>
              <w:jc w:val="left"/>
              <w:rPr>
                <w:sz w:val="24"/>
              </w:rPr>
            </w:pPr>
            <w:r>
              <w:rPr>
                <w:color w:val="231F20"/>
                <w:sz w:val="24"/>
              </w:rPr>
              <w:t xml:space="preserve">Operating Expenses (Including Ex-Gratia </w:t>
            </w:r>
            <w:r>
              <w:rPr>
                <w:color w:val="231F20"/>
                <w:spacing w:val="-2"/>
                <w:sz w:val="24"/>
              </w:rPr>
              <w:t>Payments)</w:t>
            </w:r>
          </w:p>
        </w:tc>
        <w:tc>
          <w:tcPr>
            <w:tcW w:w="1134" w:type="dxa"/>
            <w:tcBorders>
              <w:right w:val="nil"/>
            </w:tcBorders>
          </w:tcPr>
          <w:p w14:paraId="33927999" w14:textId="7D887397" w:rsidR="00345EE3" w:rsidRDefault="00EB53BC" w:rsidP="00D73130">
            <w:pPr>
              <w:pStyle w:val="TableParagraph"/>
              <w:rPr>
                <w:sz w:val="24"/>
              </w:rPr>
            </w:pPr>
            <w:r>
              <w:rPr>
                <w:color w:val="231F20"/>
                <w:spacing w:val="-3"/>
                <w:sz w:val="24"/>
              </w:rPr>
              <w:t>126-127</w:t>
            </w:r>
          </w:p>
        </w:tc>
      </w:tr>
    </w:tbl>
    <w:p w14:paraId="2DA35C6D" w14:textId="77777777" w:rsidR="00345EE3" w:rsidRDefault="00345EE3" w:rsidP="002A27BA">
      <w:pPr>
        <w:pStyle w:val="Heading3"/>
        <w:numPr>
          <w:ilvl w:val="1"/>
          <w:numId w:val="44"/>
        </w:numPr>
      </w:pPr>
      <w:r>
        <w:t>Expenses</w:t>
      </w:r>
      <w:r>
        <w:rPr>
          <w:spacing w:val="-2"/>
        </w:rPr>
        <w:t xml:space="preserve"> </w:t>
      </w:r>
      <w:r>
        <w:t>Incurred</w:t>
      </w:r>
      <w:r>
        <w:rPr>
          <w:spacing w:val="-2"/>
        </w:rPr>
        <w:t xml:space="preserve"> </w:t>
      </w:r>
      <w:r>
        <w:t>in</w:t>
      </w:r>
      <w:r>
        <w:rPr>
          <w:spacing w:val="-1"/>
        </w:rPr>
        <w:t xml:space="preserve"> </w:t>
      </w:r>
      <w:r>
        <w:t>Delivery</w:t>
      </w:r>
      <w:r>
        <w:rPr>
          <w:spacing w:val="-2"/>
        </w:rPr>
        <w:t xml:space="preserve"> </w:t>
      </w:r>
      <w:r>
        <w:t>of</w:t>
      </w:r>
      <w:r>
        <w:rPr>
          <w:spacing w:val="-1"/>
        </w:rPr>
        <w:t xml:space="preserve"> </w:t>
      </w:r>
      <w:r>
        <w:rPr>
          <w:spacing w:val="-2"/>
        </w:rPr>
        <w:t>Services</w:t>
      </w:r>
    </w:p>
    <w:p w14:paraId="6F1D96CA" w14:textId="77777777" w:rsidR="00345EE3" w:rsidRDefault="00345EE3">
      <w:pPr>
        <w:pStyle w:val="Heading5"/>
        <w:numPr>
          <w:ilvl w:val="2"/>
          <w:numId w:val="44"/>
        </w:numPr>
        <w:tabs>
          <w:tab w:val="left" w:pos="711"/>
        </w:tabs>
        <w:spacing w:before="109" w:after="19"/>
        <w:ind w:left="2329" w:hanging="601"/>
      </w:pPr>
      <w:r>
        <w:rPr>
          <w:color w:val="58595B"/>
        </w:rPr>
        <w:t xml:space="preserve">Employee </w:t>
      </w:r>
      <w:r>
        <w:rPr>
          <w:color w:val="58595B"/>
          <w:spacing w:val="-2"/>
        </w:rPr>
        <w:t>Expenses</w:t>
      </w: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690"/>
        <w:gridCol w:w="907"/>
        <w:gridCol w:w="1304"/>
        <w:gridCol w:w="1304"/>
      </w:tblGrid>
      <w:tr w:rsidR="00345EE3" w14:paraId="0746E77F" w14:textId="77777777" w:rsidTr="00D73130">
        <w:trPr>
          <w:trHeight w:val="803"/>
        </w:trPr>
        <w:tc>
          <w:tcPr>
            <w:tcW w:w="7597" w:type="dxa"/>
            <w:gridSpan w:val="2"/>
            <w:tcBorders>
              <w:top w:val="nil"/>
              <w:left w:val="nil"/>
              <w:bottom w:val="nil"/>
              <w:right w:val="nil"/>
            </w:tcBorders>
            <w:shd w:val="clear" w:color="auto" w:fill="00529F"/>
          </w:tcPr>
          <w:p w14:paraId="5D2EB160" w14:textId="77777777" w:rsidR="00345EE3" w:rsidRDefault="00345EE3" w:rsidP="00D73130">
            <w:pPr>
              <w:pStyle w:val="TableParagraph"/>
              <w:spacing w:before="0"/>
              <w:jc w:val="left"/>
              <w:rPr>
                <w:b/>
                <w:sz w:val="26"/>
              </w:rPr>
            </w:pPr>
          </w:p>
          <w:p w14:paraId="6357A297" w14:textId="77777777" w:rsidR="00345EE3" w:rsidRDefault="00345EE3" w:rsidP="00D73130">
            <w:pPr>
              <w:pStyle w:val="TableParagraph"/>
              <w:spacing w:before="165"/>
              <w:ind w:right="3"/>
              <w:rPr>
                <w:b/>
                <w:sz w:val="24"/>
              </w:rPr>
            </w:pPr>
            <w:r>
              <w:rPr>
                <w:b/>
                <w:color w:val="FFFFFF"/>
                <w:spacing w:val="-2"/>
                <w:sz w:val="24"/>
              </w:rPr>
              <w:t>Notes</w:t>
            </w:r>
          </w:p>
        </w:tc>
        <w:tc>
          <w:tcPr>
            <w:tcW w:w="2608" w:type="dxa"/>
            <w:gridSpan w:val="2"/>
            <w:tcBorders>
              <w:top w:val="nil"/>
              <w:left w:val="nil"/>
              <w:bottom w:val="nil"/>
              <w:right w:val="nil"/>
            </w:tcBorders>
            <w:shd w:val="clear" w:color="auto" w:fill="00529F"/>
          </w:tcPr>
          <w:p w14:paraId="34055838"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p w14:paraId="4C161C42" w14:textId="77777777" w:rsidR="00345EE3" w:rsidRDefault="00345EE3" w:rsidP="00D73130">
            <w:pPr>
              <w:pStyle w:val="TableParagraph"/>
              <w:tabs>
                <w:tab w:val="left" w:pos="1306"/>
              </w:tabs>
              <w:spacing w:before="125"/>
              <w:ind w:right="1"/>
              <w:rPr>
                <w:b/>
                <w:sz w:val="24"/>
              </w:rPr>
            </w:pPr>
            <w:r>
              <w:rPr>
                <w:b/>
                <w:color w:val="FFFFFF"/>
                <w:spacing w:val="-4"/>
                <w:sz w:val="24"/>
              </w:rPr>
              <w:t>2022</w:t>
            </w:r>
            <w:r>
              <w:rPr>
                <w:b/>
                <w:color w:val="FFFFFF"/>
                <w:sz w:val="24"/>
              </w:rPr>
              <w:tab/>
            </w:r>
            <w:r>
              <w:rPr>
                <w:b/>
                <w:color w:val="FFFFFF"/>
                <w:spacing w:val="-4"/>
                <w:sz w:val="24"/>
              </w:rPr>
              <w:t>2021</w:t>
            </w:r>
          </w:p>
        </w:tc>
      </w:tr>
      <w:tr w:rsidR="00345EE3" w14:paraId="6663CD64" w14:textId="77777777" w:rsidTr="00D73130">
        <w:trPr>
          <w:trHeight w:val="396"/>
        </w:trPr>
        <w:tc>
          <w:tcPr>
            <w:tcW w:w="6690" w:type="dxa"/>
            <w:tcBorders>
              <w:top w:val="nil"/>
              <w:left w:val="nil"/>
            </w:tcBorders>
          </w:tcPr>
          <w:p w14:paraId="462BAC9B" w14:textId="77777777" w:rsidR="00345EE3" w:rsidRDefault="00345EE3" w:rsidP="00D73130">
            <w:pPr>
              <w:pStyle w:val="TableParagraph"/>
              <w:ind w:left="-3"/>
              <w:jc w:val="left"/>
              <w:rPr>
                <w:sz w:val="24"/>
              </w:rPr>
            </w:pPr>
            <w:r>
              <w:rPr>
                <w:color w:val="231F20"/>
                <w:sz w:val="24"/>
              </w:rPr>
              <w:t>Salaries,</w:t>
            </w:r>
            <w:r>
              <w:rPr>
                <w:color w:val="231F20"/>
                <w:spacing w:val="-6"/>
                <w:sz w:val="24"/>
              </w:rPr>
              <w:t xml:space="preserve"> </w:t>
            </w:r>
            <w:r>
              <w:rPr>
                <w:color w:val="231F20"/>
                <w:sz w:val="24"/>
              </w:rPr>
              <w:t>wages,</w:t>
            </w:r>
            <w:r>
              <w:rPr>
                <w:color w:val="231F20"/>
                <w:spacing w:val="-4"/>
                <w:sz w:val="24"/>
              </w:rPr>
              <w:t xml:space="preserve"> </w:t>
            </w:r>
            <w:r>
              <w:rPr>
                <w:color w:val="231F20"/>
                <w:sz w:val="24"/>
              </w:rPr>
              <w:t>annual</w:t>
            </w:r>
            <w:r>
              <w:rPr>
                <w:color w:val="231F20"/>
                <w:spacing w:val="-4"/>
                <w:sz w:val="24"/>
              </w:rPr>
              <w:t xml:space="preserve"> </w:t>
            </w:r>
            <w:r>
              <w:rPr>
                <w:color w:val="231F20"/>
                <w:sz w:val="24"/>
              </w:rPr>
              <w:t>leave</w:t>
            </w:r>
            <w:r>
              <w:rPr>
                <w:color w:val="231F20"/>
                <w:spacing w:val="-4"/>
                <w:sz w:val="24"/>
              </w:rPr>
              <w:t xml:space="preserve"> </w:t>
            </w:r>
            <w:r>
              <w:rPr>
                <w:color w:val="231F20"/>
                <w:sz w:val="24"/>
              </w:rPr>
              <w:t>and</w:t>
            </w:r>
            <w:r>
              <w:rPr>
                <w:color w:val="231F20"/>
                <w:spacing w:val="-4"/>
                <w:sz w:val="24"/>
              </w:rPr>
              <w:t xml:space="preserve"> </w:t>
            </w:r>
            <w:r>
              <w:rPr>
                <w:color w:val="231F20"/>
                <w:spacing w:val="-2"/>
                <w:sz w:val="24"/>
              </w:rPr>
              <w:t>others</w:t>
            </w:r>
          </w:p>
        </w:tc>
        <w:tc>
          <w:tcPr>
            <w:tcW w:w="907" w:type="dxa"/>
            <w:tcBorders>
              <w:top w:val="nil"/>
            </w:tcBorders>
          </w:tcPr>
          <w:p w14:paraId="14899C5D" w14:textId="77777777" w:rsidR="00345EE3" w:rsidRDefault="00345EE3" w:rsidP="00D73130">
            <w:pPr>
              <w:pStyle w:val="TableParagraph"/>
              <w:spacing w:before="0"/>
              <w:jc w:val="left"/>
              <w:rPr>
                <w:rFonts w:ascii="Times New Roman"/>
                <w:sz w:val="24"/>
              </w:rPr>
            </w:pPr>
          </w:p>
        </w:tc>
        <w:tc>
          <w:tcPr>
            <w:tcW w:w="1304" w:type="dxa"/>
            <w:tcBorders>
              <w:top w:val="nil"/>
            </w:tcBorders>
            <w:shd w:val="clear" w:color="auto" w:fill="E6E7E8"/>
          </w:tcPr>
          <w:p w14:paraId="7E405E65" w14:textId="77777777" w:rsidR="00345EE3" w:rsidRDefault="00345EE3" w:rsidP="00D73130">
            <w:pPr>
              <w:pStyle w:val="TableParagraph"/>
              <w:ind w:right="1"/>
              <w:rPr>
                <w:sz w:val="24"/>
              </w:rPr>
            </w:pPr>
            <w:r>
              <w:rPr>
                <w:color w:val="231F20"/>
                <w:spacing w:val="-2"/>
                <w:sz w:val="24"/>
              </w:rPr>
              <w:t>2,417,434</w:t>
            </w:r>
          </w:p>
        </w:tc>
        <w:tc>
          <w:tcPr>
            <w:tcW w:w="1304" w:type="dxa"/>
            <w:tcBorders>
              <w:top w:val="nil"/>
              <w:right w:val="nil"/>
            </w:tcBorders>
          </w:tcPr>
          <w:p w14:paraId="067234E4" w14:textId="77777777" w:rsidR="00345EE3" w:rsidRDefault="00345EE3" w:rsidP="00D73130">
            <w:pPr>
              <w:pStyle w:val="TableParagraph"/>
              <w:rPr>
                <w:sz w:val="24"/>
              </w:rPr>
            </w:pPr>
            <w:r>
              <w:rPr>
                <w:color w:val="231F20"/>
                <w:spacing w:val="-2"/>
                <w:sz w:val="24"/>
              </w:rPr>
              <w:t>2,405,562</w:t>
            </w:r>
          </w:p>
        </w:tc>
      </w:tr>
      <w:tr w:rsidR="00345EE3" w14:paraId="248ACD72" w14:textId="77777777" w:rsidTr="00D73130">
        <w:trPr>
          <w:trHeight w:val="396"/>
        </w:trPr>
        <w:tc>
          <w:tcPr>
            <w:tcW w:w="6690" w:type="dxa"/>
            <w:tcBorders>
              <w:left w:val="nil"/>
            </w:tcBorders>
          </w:tcPr>
          <w:p w14:paraId="1DCB68DF" w14:textId="77777777" w:rsidR="00345EE3" w:rsidRDefault="00345EE3" w:rsidP="00D73130">
            <w:pPr>
              <w:pStyle w:val="TableParagraph"/>
              <w:ind w:left="-3"/>
              <w:jc w:val="left"/>
              <w:rPr>
                <w:sz w:val="24"/>
              </w:rPr>
            </w:pPr>
            <w:r>
              <w:rPr>
                <w:color w:val="231F20"/>
                <w:sz w:val="24"/>
              </w:rPr>
              <w:t>Defined</w:t>
            </w:r>
            <w:r>
              <w:rPr>
                <w:color w:val="231F20"/>
                <w:spacing w:val="-3"/>
                <w:sz w:val="24"/>
              </w:rPr>
              <w:t xml:space="preserve"> </w:t>
            </w:r>
            <w:r>
              <w:rPr>
                <w:color w:val="231F20"/>
                <w:sz w:val="24"/>
              </w:rPr>
              <w:t>contribution</w:t>
            </w:r>
            <w:r>
              <w:rPr>
                <w:color w:val="231F20"/>
                <w:spacing w:val="-2"/>
                <w:sz w:val="24"/>
              </w:rPr>
              <w:t xml:space="preserve"> </w:t>
            </w:r>
            <w:r>
              <w:rPr>
                <w:color w:val="231F20"/>
                <w:sz w:val="24"/>
              </w:rPr>
              <w:t>superannuation</w:t>
            </w:r>
            <w:r>
              <w:rPr>
                <w:color w:val="231F20"/>
                <w:spacing w:val="-2"/>
                <w:sz w:val="24"/>
              </w:rPr>
              <w:t xml:space="preserve"> expense</w:t>
            </w:r>
          </w:p>
        </w:tc>
        <w:tc>
          <w:tcPr>
            <w:tcW w:w="907" w:type="dxa"/>
          </w:tcPr>
          <w:p w14:paraId="1F82E9F0" w14:textId="77777777" w:rsidR="00345EE3" w:rsidRDefault="00345EE3" w:rsidP="00D73130">
            <w:pPr>
              <w:pStyle w:val="TableParagraph"/>
              <w:rPr>
                <w:sz w:val="24"/>
              </w:rPr>
            </w:pPr>
            <w:r>
              <w:rPr>
                <w:color w:val="231F20"/>
                <w:spacing w:val="-2"/>
                <w:sz w:val="24"/>
              </w:rPr>
              <w:t>3.1.3</w:t>
            </w:r>
          </w:p>
        </w:tc>
        <w:tc>
          <w:tcPr>
            <w:tcW w:w="1304" w:type="dxa"/>
            <w:shd w:val="clear" w:color="auto" w:fill="E6E7E8"/>
          </w:tcPr>
          <w:p w14:paraId="7C555521" w14:textId="77777777" w:rsidR="00345EE3" w:rsidRDefault="00345EE3" w:rsidP="00D73130">
            <w:pPr>
              <w:pStyle w:val="TableParagraph"/>
              <w:ind w:right="1"/>
              <w:rPr>
                <w:sz w:val="24"/>
              </w:rPr>
            </w:pPr>
            <w:r>
              <w:rPr>
                <w:color w:val="231F20"/>
                <w:spacing w:val="-2"/>
                <w:sz w:val="24"/>
              </w:rPr>
              <w:t>45,979</w:t>
            </w:r>
          </w:p>
        </w:tc>
        <w:tc>
          <w:tcPr>
            <w:tcW w:w="1304" w:type="dxa"/>
            <w:tcBorders>
              <w:right w:val="nil"/>
            </w:tcBorders>
          </w:tcPr>
          <w:p w14:paraId="70AFD4FC" w14:textId="77777777" w:rsidR="00345EE3" w:rsidRDefault="00345EE3" w:rsidP="00D73130">
            <w:pPr>
              <w:pStyle w:val="TableParagraph"/>
              <w:rPr>
                <w:sz w:val="24"/>
              </w:rPr>
            </w:pPr>
            <w:r>
              <w:rPr>
                <w:color w:val="231F20"/>
                <w:spacing w:val="-2"/>
                <w:sz w:val="24"/>
              </w:rPr>
              <w:t>36,812</w:t>
            </w:r>
          </w:p>
        </w:tc>
      </w:tr>
      <w:tr w:rsidR="00345EE3" w14:paraId="0291754C" w14:textId="77777777" w:rsidTr="00D73130">
        <w:trPr>
          <w:trHeight w:val="396"/>
        </w:trPr>
        <w:tc>
          <w:tcPr>
            <w:tcW w:w="6690" w:type="dxa"/>
            <w:tcBorders>
              <w:left w:val="nil"/>
            </w:tcBorders>
          </w:tcPr>
          <w:p w14:paraId="7BF858AA" w14:textId="77777777" w:rsidR="00345EE3" w:rsidRDefault="00345EE3" w:rsidP="00D73130">
            <w:pPr>
              <w:pStyle w:val="TableParagraph"/>
              <w:ind w:left="-3"/>
              <w:jc w:val="left"/>
              <w:rPr>
                <w:sz w:val="24"/>
              </w:rPr>
            </w:pPr>
            <w:r>
              <w:rPr>
                <w:color w:val="231F20"/>
                <w:sz w:val="24"/>
              </w:rPr>
              <w:t>Defined</w:t>
            </w:r>
            <w:r>
              <w:rPr>
                <w:color w:val="231F20"/>
                <w:spacing w:val="-5"/>
                <w:sz w:val="24"/>
              </w:rPr>
              <w:t xml:space="preserve"> </w:t>
            </w:r>
            <w:r>
              <w:rPr>
                <w:color w:val="231F20"/>
                <w:sz w:val="24"/>
              </w:rPr>
              <w:t>benefit</w:t>
            </w:r>
            <w:r>
              <w:rPr>
                <w:color w:val="231F20"/>
                <w:spacing w:val="-5"/>
                <w:sz w:val="24"/>
              </w:rPr>
              <w:t xml:space="preserve"> </w:t>
            </w:r>
            <w:r>
              <w:rPr>
                <w:color w:val="231F20"/>
                <w:sz w:val="24"/>
              </w:rPr>
              <w:t>superannuation</w:t>
            </w:r>
            <w:r>
              <w:rPr>
                <w:color w:val="231F20"/>
                <w:spacing w:val="-4"/>
                <w:sz w:val="24"/>
              </w:rPr>
              <w:t xml:space="preserve"> </w:t>
            </w:r>
            <w:r>
              <w:rPr>
                <w:color w:val="231F20"/>
                <w:spacing w:val="-2"/>
                <w:sz w:val="24"/>
              </w:rPr>
              <w:t>expense</w:t>
            </w:r>
          </w:p>
        </w:tc>
        <w:tc>
          <w:tcPr>
            <w:tcW w:w="907" w:type="dxa"/>
          </w:tcPr>
          <w:p w14:paraId="016E7230" w14:textId="77777777" w:rsidR="00345EE3" w:rsidRDefault="00345EE3" w:rsidP="00D73130">
            <w:pPr>
              <w:pStyle w:val="TableParagraph"/>
              <w:rPr>
                <w:sz w:val="24"/>
              </w:rPr>
            </w:pPr>
            <w:r>
              <w:rPr>
                <w:color w:val="231F20"/>
                <w:spacing w:val="-2"/>
                <w:sz w:val="24"/>
              </w:rPr>
              <w:t>3.1.3</w:t>
            </w:r>
          </w:p>
        </w:tc>
        <w:tc>
          <w:tcPr>
            <w:tcW w:w="1304" w:type="dxa"/>
            <w:shd w:val="clear" w:color="auto" w:fill="E6E7E8"/>
          </w:tcPr>
          <w:p w14:paraId="051F5BCE" w14:textId="77777777" w:rsidR="00345EE3" w:rsidRDefault="00345EE3" w:rsidP="00D73130">
            <w:pPr>
              <w:pStyle w:val="TableParagraph"/>
              <w:ind w:right="1"/>
              <w:rPr>
                <w:sz w:val="24"/>
              </w:rPr>
            </w:pPr>
            <w:r>
              <w:rPr>
                <w:color w:val="231F20"/>
                <w:spacing w:val="-2"/>
                <w:sz w:val="24"/>
              </w:rPr>
              <w:t>235,375</w:t>
            </w:r>
          </w:p>
        </w:tc>
        <w:tc>
          <w:tcPr>
            <w:tcW w:w="1304" w:type="dxa"/>
            <w:tcBorders>
              <w:right w:val="nil"/>
            </w:tcBorders>
          </w:tcPr>
          <w:p w14:paraId="1F11A270" w14:textId="77777777" w:rsidR="00345EE3" w:rsidRDefault="00345EE3" w:rsidP="00D73130">
            <w:pPr>
              <w:pStyle w:val="TableParagraph"/>
              <w:rPr>
                <w:sz w:val="24"/>
              </w:rPr>
            </w:pPr>
            <w:r>
              <w:rPr>
                <w:color w:val="231F20"/>
                <w:spacing w:val="-2"/>
                <w:sz w:val="24"/>
              </w:rPr>
              <w:t>240,212</w:t>
            </w:r>
          </w:p>
        </w:tc>
      </w:tr>
      <w:tr w:rsidR="00345EE3" w14:paraId="0E630953" w14:textId="77777777" w:rsidTr="00D73130">
        <w:trPr>
          <w:trHeight w:val="396"/>
        </w:trPr>
        <w:tc>
          <w:tcPr>
            <w:tcW w:w="6690" w:type="dxa"/>
            <w:tcBorders>
              <w:left w:val="nil"/>
            </w:tcBorders>
          </w:tcPr>
          <w:p w14:paraId="214D8731" w14:textId="77777777" w:rsidR="00345EE3" w:rsidRDefault="00345EE3" w:rsidP="00D73130">
            <w:pPr>
              <w:pStyle w:val="TableParagraph"/>
              <w:ind w:left="-3"/>
              <w:jc w:val="left"/>
              <w:rPr>
                <w:sz w:val="24"/>
              </w:rPr>
            </w:pPr>
            <w:r>
              <w:rPr>
                <w:color w:val="231F20"/>
                <w:sz w:val="24"/>
              </w:rPr>
              <w:t>Long</w:t>
            </w:r>
            <w:r>
              <w:rPr>
                <w:color w:val="231F20"/>
                <w:spacing w:val="-3"/>
                <w:sz w:val="24"/>
              </w:rPr>
              <w:t xml:space="preserve"> </w:t>
            </w:r>
            <w:r>
              <w:rPr>
                <w:color w:val="231F20"/>
                <w:sz w:val="24"/>
              </w:rPr>
              <w:t>service</w:t>
            </w:r>
            <w:r>
              <w:rPr>
                <w:color w:val="231F20"/>
                <w:spacing w:val="-1"/>
                <w:sz w:val="24"/>
              </w:rPr>
              <w:t xml:space="preserve"> </w:t>
            </w:r>
            <w:r>
              <w:rPr>
                <w:color w:val="231F20"/>
                <w:spacing w:val="-2"/>
                <w:sz w:val="24"/>
              </w:rPr>
              <w:t>leave</w:t>
            </w:r>
          </w:p>
        </w:tc>
        <w:tc>
          <w:tcPr>
            <w:tcW w:w="907" w:type="dxa"/>
          </w:tcPr>
          <w:p w14:paraId="364822D5" w14:textId="77777777" w:rsidR="00345EE3" w:rsidRDefault="00345EE3" w:rsidP="00D73130">
            <w:pPr>
              <w:pStyle w:val="TableParagraph"/>
              <w:spacing w:before="0"/>
              <w:jc w:val="left"/>
              <w:rPr>
                <w:rFonts w:ascii="Times New Roman"/>
                <w:sz w:val="24"/>
              </w:rPr>
            </w:pPr>
          </w:p>
        </w:tc>
        <w:tc>
          <w:tcPr>
            <w:tcW w:w="1304" w:type="dxa"/>
            <w:shd w:val="clear" w:color="auto" w:fill="E6E7E8"/>
          </w:tcPr>
          <w:p w14:paraId="086D04CF" w14:textId="77777777" w:rsidR="00345EE3" w:rsidRDefault="00345EE3" w:rsidP="00D73130">
            <w:pPr>
              <w:pStyle w:val="TableParagraph"/>
              <w:ind w:right="1"/>
              <w:rPr>
                <w:sz w:val="24"/>
              </w:rPr>
            </w:pPr>
            <w:r>
              <w:rPr>
                <w:color w:val="231F20"/>
                <w:spacing w:val="-2"/>
                <w:sz w:val="24"/>
              </w:rPr>
              <w:t>142,464</w:t>
            </w:r>
          </w:p>
        </w:tc>
        <w:tc>
          <w:tcPr>
            <w:tcW w:w="1304" w:type="dxa"/>
            <w:tcBorders>
              <w:right w:val="nil"/>
            </w:tcBorders>
          </w:tcPr>
          <w:p w14:paraId="595E36A4" w14:textId="77777777" w:rsidR="00345EE3" w:rsidRDefault="00345EE3" w:rsidP="00D73130">
            <w:pPr>
              <w:pStyle w:val="TableParagraph"/>
              <w:rPr>
                <w:sz w:val="24"/>
              </w:rPr>
            </w:pPr>
            <w:r>
              <w:rPr>
                <w:color w:val="231F20"/>
                <w:spacing w:val="-2"/>
                <w:sz w:val="24"/>
              </w:rPr>
              <w:t>93,870</w:t>
            </w:r>
          </w:p>
        </w:tc>
      </w:tr>
      <w:tr w:rsidR="00345EE3" w14:paraId="6DFAC9AE" w14:textId="77777777" w:rsidTr="00D73130">
        <w:trPr>
          <w:trHeight w:val="673"/>
        </w:trPr>
        <w:tc>
          <w:tcPr>
            <w:tcW w:w="6690" w:type="dxa"/>
            <w:tcBorders>
              <w:left w:val="nil"/>
              <w:bottom w:val="single" w:sz="4" w:space="0" w:color="231F20"/>
            </w:tcBorders>
          </w:tcPr>
          <w:p w14:paraId="08695D2B" w14:textId="77777777" w:rsidR="00345EE3" w:rsidRDefault="00345EE3" w:rsidP="00D73130">
            <w:pPr>
              <w:pStyle w:val="TableParagraph"/>
              <w:spacing w:line="242" w:lineRule="auto"/>
              <w:ind w:left="-3" w:right="18"/>
              <w:jc w:val="left"/>
              <w:rPr>
                <w:sz w:val="24"/>
              </w:rPr>
            </w:pPr>
            <w:r>
              <w:rPr>
                <w:color w:val="231F20"/>
                <w:sz w:val="24"/>
              </w:rPr>
              <w:t>Other</w:t>
            </w:r>
            <w:r>
              <w:rPr>
                <w:color w:val="231F20"/>
                <w:spacing w:val="-13"/>
                <w:sz w:val="24"/>
              </w:rPr>
              <w:t xml:space="preserve"> </w:t>
            </w:r>
            <w:r>
              <w:rPr>
                <w:color w:val="231F20"/>
                <w:sz w:val="24"/>
              </w:rPr>
              <w:t>on-costs</w:t>
            </w:r>
            <w:r>
              <w:rPr>
                <w:color w:val="231F20"/>
                <w:spacing w:val="-14"/>
                <w:sz w:val="24"/>
              </w:rPr>
              <w:t xml:space="preserve"> </w:t>
            </w:r>
            <w:r>
              <w:rPr>
                <w:color w:val="231F20"/>
                <w:sz w:val="24"/>
              </w:rPr>
              <w:t>(Fringe</w:t>
            </w:r>
            <w:r>
              <w:rPr>
                <w:color w:val="231F20"/>
                <w:spacing w:val="-13"/>
                <w:sz w:val="24"/>
              </w:rPr>
              <w:t xml:space="preserve"> </w:t>
            </w:r>
            <w:r>
              <w:rPr>
                <w:color w:val="231F20"/>
                <w:sz w:val="24"/>
              </w:rPr>
              <w:t>Benefits</w:t>
            </w:r>
            <w:r>
              <w:rPr>
                <w:color w:val="231F20"/>
                <w:spacing w:val="-17"/>
                <w:sz w:val="24"/>
              </w:rPr>
              <w:t xml:space="preserve"> </w:t>
            </w:r>
            <w:r>
              <w:rPr>
                <w:color w:val="231F20"/>
                <w:sz w:val="24"/>
              </w:rPr>
              <w:t>Tax,</w:t>
            </w:r>
            <w:r>
              <w:rPr>
                <w:color w:val="231F20"/>
                <w:spacing w:val="-13"/>
                <w:sz w:val="24"/>
              </w:rPr>
              <w:t xml:space="preserve"> </w:t>
            </w:r>
            <w:r>
              <w:rPr>
                <w:color w:val="231F20"/>
                <w:sz w:val="24"/>
              </w:rPr>
              <w:t>Payroll</w:t>
            </w:r>
            <w:r>
              <w:rPr>
                <w:color w:val="231F20"/>
                <w:spacing w:val="-17"/>
                <w:sz w:val="24"/>
              </w:rPr>
              <w:t xml:space="preserve"> </w:t>
            </w:r>
            <w:r>
              <w:rPr>
                <w:color w:val="231F20"/>
                <w:sz w:val="24"/>
              </w:rPr>
              <w:t>Tax</w:t>
            </w:r>
            <w:r>
              <w:rPr>
                <w:color w:val="231F20"/>
                <w:spacing w:val="-13"/>
                <w:sz w:val="24"/>
              </w:rPr>
              <w:t xml:space="preserve"> </w:t>
            </w:r>
            <w:r>
              <w:rPr>
                <w:color w:val="231F20"/>
                <w:sz w:val="24"/>
              </w:rPr>
              <w:t>and WorkCover Levy)</w:t>
            </w:r>
          </w:p>
        </w:tc>
        <w:tc>
          <w:tcPr>
            <w:tcW w:w="907" w:type="dxa"/>
            <w:tcBorders>
              <w:bottom w:val="single" w:sz="4" w:space="0" w:color="231F20"/>
            </w:tcBorders>
          </w:tcPr>
          <w:p w14:paraId="4D27EDF2" w14:textId="77777777" w:rsidR="00345EE3" w:rsidRDefault="00345EE3" w:rsidP="00D73130">
            <w:pPr>
              <w:pStyle w:val="TableParagraph"/>
              <w:spacing w:before="0"/>
              <w:jc w:val="left"/>
              <w:rPr>
                <w:rFonts w:ascii="Times New Roman"/>
                <w:sz w:val="24"/>
              </w:rPr>
            </w:pPr>
          </w:p>
        </w:tc>
        <w:tc>
          <w:tcPr>
            <w:tcW w:w="1304" w:type="dxa"/>
            <w:tcBorders>
              <w:bottom w:val="single" w:sz="4" w:space="0" w:color="231F20"/>
            </w:tcBorders>
            <w:shd w:val="clear" w:color="auto" w:fill="E6E7E8"/>
          </w:tcPr>
          <w:p w14:paraId="0FE04704" w14:textId="77777777" w:rsidR="00345EE3" w:rsidRDefault="00345EE3" w:rsidP="00D73130">
            <w:pPr>
              <w:pStyle w:val="TableParagraph"/>
              <w:ind w:right="1"/>
              <w:rPr>
                <w:sz w:val="24"/>
              </w:rPr>
            </w:pPr>
            <w:r>
              <w:rPr>
                <w:color w:val="231F20"/>
                <w:spacing w:val="-2"/>
                <w:sz w:val="24"/>
              </w:rPr>
              <w:t>283,550</w:t>
            </w:r>
          </w:p>
        </w:tc>
        <w:tc>
          <w:tcPr>
            <w:tcW w:w="1304" w:type="dxa"/>
            <w:tcBorders>
              <w:bottom w:val="single" w:sz="4" w:space="0" w:color="231F20"/>
              <w:right w:val="nil"/>
            </w:tcBorders>
          </w:tcPr>
          <w:p w14:paraId="2A111FB9" w14:textId="77777777" w:rsidR="00345EE3" w:rsidRDefault="00345EE3" w:rsidP="00D73130">
            <w:pPr>
              <w:pStyle w:val="TableParagraph"/>
              <w:rPr>
                <w:sz w:val="24"/>
              </w:rPr>
            </w:pPr>
            <w:r>
              <w:rPr>
                <w:color w:val="231F20"/>
                <w:spacing w:val="-2"/>
                <w:sz w:val="24"/>
              </w:rPr>
              <w:t>252,177</w:t>
            </w:r>
          </w:p>
        </w:tc>
      </w:tr>
      <w:tr w:rsidR="00345EE3" w14:paraId="45501EC1" w14:textId="77777777" w:rsidTr="00D73130">
        <w:trPr>
          <w:trHeight w:val="386"/>
        </w:trPr>
        <w:tc>
          <w:tcPr>
            <w:tcW w:w="6690" w:type="dxa"/>
            <w:tcBorders>
              <w:top w:val="single" w:sz="4" w:space="0" w:color="231F20"/>
              <w:left w:val="nil"/>
              <w:bottom w:val="single" w:sz="8" w:space="0" w:color="231F20"/>
            </w:tcBorders>
          </w:tcPr>
          <w:p w14:paraId="4918115F" w14:textId="77777777" w:rsidR="00345EE3" w:rsidRDefault="00345EE3" w:rsidP="00D73130">
            <w:pPr>
              <w:pStyle w:val="TableParagraph"/>
              <w:spacing w:before="58"/>
              <w:ind w:left="-3"/>
              <w:jc w:val="left"/>
              <w:rPr>
                <w:b/>
                <w:sz w:val="24"/>
              </w:rPr>
            </w:pPr>
            <w:r>
              <w:rPr>
                <w:b/>
                <w:color w:val="231F20"/>
                <w:sz w:val="24"/>
              </w:rPr>
              <w:t>Total</w:t>
            </w:r>
            <w:r>
              <w:rPr>
                <w:b/>
                <w:color w:val="231F20"/>
                <w:spacing w:val="-9"/>
                <w:sz w:val="24"/>
              </w:rPr>
              <w:t xml:space="preserve"> </w:t>
            </w:r>
            <w:r>
              <w:rPr>
                <w:b/>
                <w:color w:val="231F20"/>
                <w:sz w:val="24"/>
              </w:rPr>
              <w:t>Employee</w:t>
            </w:r>
            <w:r>
              <w:rPr>
                <w:b/>
                <w:color w:val="231F20"/>
                <w:spacing w:val="-9"/>
                <w:sz w:val="24"/>
              </w:rPr>
              <w:t xml:space="preserve"> </w:t>
            </w:r>
            <w:r>
              <w:rPr>
                <w:b/>
                <w:color w:val="231F20"/>
                <w:spacing w:val="-2"/>
                <w:sz w:val="24"/>
              </w:rPr>
              <w:t>Expenses</w:t>
            </w:r>
          </w:p>
        </w:tc>
        <w:tc>
          <w:tcPr>
            <w:tcW w:w="907" w:type="dxa"/>
            <w:tcBorders>
              <w:top w:val="single" w:sz="4" w:space="0" w:color="231F20"/>
              <w:bottom w:val="single" w:sz="8" w:space="0" w:color="231F20"/>
            </w:tcBorders>
          </w:tcPr>
          <w:p w14:paraId="3B5F3869" w14:textId="77777777" w:rsidR="00345EE3" w:rsidRDefault="00345EE3" w:rsidP="00D73130">
            <w:pPr>
              <w:pStyle w:val="TableParagraph"/>
              <w:spacing w:before="0"/>
              <w:jc w:val="left"/>
              <w:rPr>
                <w:rFonts w:ascii="Times New Roman"/>
                <w:sz w:val="24"/>
              </w:rPr>
            </w:pPr>
          </w:p>
        </w:tc>
        <w:tc>
          <w:tcPr>
            <w:tcW w:w="1304" w:type="dxa"/>
            <w:tcBorders>
              <w:top w:val="single" w:sz="4" w:space="0" w:color="231F20"/>
              <w:bottom w:val="single" w:sz="8" w:space="0" w:color="231F20"/>
            </w:tcBorders>
            <w:shd w:val="clear" w:color="auto" w:fill="E6E7E8"/>
          </w:tcPr>
          <w:p w14:paraId="4F03F840" w14:textId="77777777" w:rsidR="00345EE3" w:rsidRDefault="00345EE3" w:rsidP="00D73130">
            <w:pPr>
              <w:pStyle w:val="TableParagraph"/>
              <w:spacing w:before="58"/>
              <w:rPr>
                <w:b/>
                <w:sz w:val="24"/>
              </w:rPr>
            </w:pPr>
            <w:r>
              <w:rPr>
                <w:b/>
                <w:color w:val="231F20"/>
                <w:spacing w:val="-2"/>
                <w:sz w:val="24"/>
              </w:rPr>
              <w:t>3,124,802</w:t>
            </w:r>
          </w:p>
        </w:tc>
        <w:tc>
          <w:tcPr>
            <w:tcW w:w="1304" w:type="dxa"/>
            <w:tcBorders>
              <w:top w:val="single" w:sz="4" w:space="0" w:color="231F20"/>
              <w:bottom w:val="single" w:sz="8" w:space="0" w:color="231F20"/>
              <w:right w:val="nil"/>
            </w:tcBorders>
          </w:tcPr>
          <w:p w14:paraId="66577C80" w14:textId="77777777" w:rsidR="00345EE3" w:rsidRDefault="00345EE3" w:rsidP="00D73130">
            <w:pPr>
              <w:pStyle w:val="TableParagraph"/>
              <w:spacing w:before="58"/>
              <w:ind w:right="-15"/>
              <w:rPr>
                <w:b/>
                <w:sz w:val="24"/>
              </w:rPr>
            </w:pPr>
            <w:r>
              <w:rPr>
                <w:b/>
                <w:color w:val="231F20"/>
                <w:spacing w:val="-2"/>
                <w:sz w:val="24"/>
              </w:rPr>
              <w:t>3,028,633</w:t>
            </w:r>
          </w:p>
        </w:tc>
      </w:tr>
    </w:tbl>
    <w:p w14:paraId="2DB8AD4D" w14:textId="77777777" w:rsidR="00345EE3" w:rsidRDefault="00345EE3" w:rsidP="00345EE3">
      <w:pPr>
        <w:pStyle w:val="BodyText"/>
        <w:spacing w:before="101" w:line="242" w:lineRule="auto"/>
      </w:pPr>
      <w:r>
        <w:rPr>
          <w:color w:val="231F20"/>
        </w:rPr>
        <w:t>Employee</w:t>
      </w:r>
      <w:r>
        <w:rPr>
          <w:color w:val="231F20"/>
          <w:spacing w:val="-12"/>
        </w:rPr>
        <w:t xml:space="preserve"> </w:t>
      </w:r>
      <w:r>
        <w:rPr>
          <w:color w:val="231F20"/>
        </w:rPr>
        <w:t>expenses</w:t>
      </w:r>
      <w:r>
        <w:rPr>
          <w:color w:val="231F20"/>
          <w:spacing w:val="-11"/>
        </w:rPr>
        <w:t xml:space="preserve"> </w:t>
      </w:r>
      <w:r>
        <w:rPr>
          <w:color w:val="231F20"/>
        </w:rPr>
        <w:t>include</w:t>
      </w:r>
      <w:r>
        <w:rPr>
          <w:color w:val="231F20"/>
          <w:spacing w:val="-12"/>
        </w:rPr>
        <w:t xml:space="preserve"> </w:t>
      </w:r>
      <w:r>
        <w:rPr>
          <w:color w:val="231F20"/>
        </w:rPr>
        <w:t>all</w:t>
      </w:r>
      <w:r>
        <w:rPr>
          <w:color w:val="231F20"/>
          <w:spacing w:val="-12"/>
        </w:rPr>
        <w:t xml:space="preserve"> </w:t>
      </w:r>
      <w:r>
        <w:rPr>
          <w:color w:val="231F20"/>
        </w:rPr>
        <w:t>costs</w:t>
      </w:r>
      <w:r>
        <w:rPr>
          <w:color w:val="231F20"/>
          <w:spacing w:val="-11"/>
        </w:rPr>
        <w:t xml:space="preserve"> </w:t>
      </w:r>
      <w:r>
        <w:rPr>
          <w:color w:val="231F20"/>
        </w:rPr>
        <w:t>related</w:t>
      </w:r>
      <w:r>
        <w:rPr>
          <w:color w:val="231F20"/>
          <w:spacing w:val="-12"/>
        </w:rPr>
        <w:t xml:space="preserve"> </w:t>
      </w:r>
      <w:r>
        <w:rPr>
          <w:color w:val="231F20"/>
        </w:rPr>
        <w:t>to</w:t>
      </w:r>
      <w:r>
        <w:rPr>
          <w:color w:val="231F20"/>
          <w:spacing w:val="-12"/>
        </w:rPr>
        <w:t xml:space="preserve"> </w:t>
      </w:r>
      <w:r>
        <w:rPr>
          <w:color w:val="231F20"/>
        </w:rPr>
        <w:t>employment</w:t>
      </w:r>
      <w:r>
        <w:rPr>
          <w:color w:val="231F20"/>
          <w:spacing w:val="-11"/>
        </w:rPr>
        <w:t xml:space="preserve"> </w:t>
      </w:r>
      <w:r>
        <w:rPr>
          <w:color w:val="231F20"/>
        </w:rPr>
        <w:t>including</w:t>
      </w:r>
      <w:r>
        <w:rPr>
          <w:color w:val="231F20"/>
          <w:spacing w:val="-12"/>
        </w:rPr>
        <w:t xml:space="preserve"> </w:t>
      </w:r>
      <w:r>
        <w:rPr>
          <w:color w:val="231F20"/>
        </w:rPr>
        <w:t>wages</w:t>
      </w:r>
      <w:r>
        <w:rPr>
          <w:color w:val="231F20"/>
          <w:spacing w:val="-11"/>
        </w:rPr>
        <w:t xml:space="preserve"> </w:t>
      </w:r>
      <w:r>
        <w:rPr>
          <w:color w:val="231F20"/>
        </w:rPr>
        <w:t>and</w:t>
      </w:r>
      <w:r>
        <w:rPr>
          <w:color w:val="231F20"/>
          <w:spacing w:val="-12"/>
        </w:rPr>
        <w:t xml:space="preserve"> </w:t>
      </w:r>
      <w:r>
        <w:rPr>
          <w:color w:val="231F20"/>
        </w:rPr>
        <w:t>salaries,</w:t>
      </w:r>
      <w:r>
        <w:rPr>
          <w:color w:val="231F20"/>
          <w:spacing w:val="-11"/>
        </w:rPr>
        <w:t xml:space="preserve"> </w:t>
      </w:r>
      <w:r>
        <w:rPr>
          <w:color w:val="231F20"/>
        </w:rPr>
        <w:t>fringe benefits tax, leave entitlements, termination payments and WorkCover premiums.</w:t>
      </w:r>
    </w:p>
    <w:p w14:paraId="20DD3EFD" w14:textId="77777777" w:rsidR="00345EE3" w:rsidRDefault="00345EE3" w:rsidP="00345EE3">
      <w:pPr>
        <w:pStyle w:val="BodyText"/>
        <w:spacing w:before="116" w:line="242" w:lineRule="auto"/>
        <w:ind w:right="115"/>
        <w:rPr>
          <w:color w:val="231F20"/>
          <w:spacing w:val="-2"/>
        </w:rPr>
      </w:pPr>
      <w:r>
        <w:rPr>
          <w:color w:val="231F20"/>
        </w:rPr>
        <w:t>The</w:t>
      </w:r>
      <w:r>
        <w:rPr>
          <w:color w:val="231F20"/>
          <w:spacing w:val="-12"/>
        </w:rPr>
        <w:t xml:space="preserve"> </w:t>
      </w:r>
      <w:r>
        <w:rPr>
          <w:color w:val="231F20"/>
        </w:rPr>
        <w:t>amount</w:t>
      </w:r>
      <w:r>
        <w:rPr>
          <w:color w:val="231F20"/>
          <w:spacing w:val="-11"/>
        </w:rPr>
        <w:t xml:space="preserve"> </w:t>
      </w:r>
      <w:r>
        <w:rPr>
          <w:color w:val="231F20"/>
        </w:rPr>
        <w:t>recognised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Comprehensive</w:t>
      </w:r>
      <w:r>
        <w:rPr>
          <w:color w:val="231F20"/>
          <w:spacing w:val="-12"/>
        </w:rPr>
        <w:t xml:space="preserve"> </w:t>
      </w:r>
      <w:r>
        <w:rPr>
          <w:color w:val="231F20"/>
        </w:rPr>
        <w:t>Operating</w:t>
      </w:r>
      <w:r>
        <w:rPr>
          <w:color w:val="231F20"/>
          <w:spacing w:val="-12"/>
        </w:rPr>
        <w:t xml:space="preserve"> </w:t>
      </w:r>
      <w:r>
        <w:rPr>
          <w:color w:val="231F20"/>
        </w:rPr>
        <w:t>Statement</w:t>
      </w:r>
      <w:r>
        <w:rPr>
          <w:color w:val="231F20"/>
          <w:spacing w:val="-12"/>
        </w:rPr>
        <w:t xml:space="preserve"> </w:t>
      </w:r>
      <w:r>
        <w:rPr>
          <w:color w:val="231F20"/>
        </w:rPr>
        <w:t>in</w:t>
      </w:r>
      <w:r>
        <w:rPr>
          <w:color w:val="231F20"/>
          <w:spacing w:val="-12"/>
        </w:rPr>
        <w:t xml:space="preserve"> </w:t>
      </w:r>
      <w:r>
        <w:rPr>
          <w:color w:val="231F20"/>
        </w:rPr>
        <w:t>relation</w:t>
      </w:r>
      <w:r>
        <w:rPr>
          <w:color w:val="231F20"/>
          <w:spacing w:val="-12"/>
        </w:rPr>
        <w:t xml:space="preserve"> </w:t>
      </w:r>
      <w:r>
        <w:rPr>
          <w:color w:val="231F20"/>
        </w:rPr>
        <w:t>to</w:t>
      </w:r>
      <w:r>
        <w:rPr>
          <w:color w:val="231F20"/>
          <w:spacing w:val="-12"/>
        </w:rPr>
        <w:t xml:space="preserve"> </w:t>
      </w:r>
      <w:r>
        <w:rPr>
          <w:color w:val="231F20"/>
        </w:rPr>
        <w:t xml:space="preserve">superannuation is employer contributions for members of both defined benefit and defined contribution superannuation plans that are paid or payable during the reporting period. Victoria Police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w:t>
      </w:r>
      <w:r>
        <w:rPr>
          <w:color w:val="231F20"/>
          <w:spacing w:val="-2"/>
        </w:rPr>
        <w:t>employer).</w:t>
      </w:r>
    </w:p>
    <w:p w14:paraId="62C6257B" w14:textId="77777777" w:rsidR="00345EE3" w:rsidRDefault="00345EE3" w:rsidP="00345EE3">
      <w:pPr>
        <w:rPr>
          <w:color w:val="231F20"/>
          <w:spacing w:val="-2"/>
          <w:sz w:val="24"/>
          <w:szCs w:val="24"/>
        </w:rPr>
      </w:pPr>
      <w:r>
        <w:rPr>
          <w:color w:val="231F20"/>
          <w:spacing w:val="-2"/>
        </w:rPr>
        <w:br w:type="page"/>
      </w:r>
    </w:p>
    <w:p w14:paraId="6698DB03" w14:textId="77777777" w:rsidR="00345EE3" w:rsidRDefault="00345EE3" w:rsidP="00E528CF">
      <w:pPr>
        <w:pStyle w:val="Heading5"/>
        <w:numPr>
          <w:ilvl w:val="2"/>
          <w:numId w:val="44"/>
        </w:numPr>
        <w:tabs>
          <w:tab w:val="left" w:pos="711"/>
        </w:tabs>
        <w:spacing w:before="181"/>
        <w:ind w:left="2329" w:hanging="2329"/>
      </w:pPr>
      <w:r>
        <w:rPr>
          <w:color w:val="58595B"/>
        </w:rPr>
        <w:t>Employee</w:t>
      </w:r>
      <w:r>
        <w:rPr>
          <w:color w:val="58595B"/>
          <w:spacing w:val="-4"/>
        </w:rPr>
        <w:t xml:space="preserve"> </w:t>
      </w:r>
      <w:r>
        <w:rPr>
          <w:color w:val="58595B"/>
        </w:rPr>
        <w:t>Related</w:t>
      </w:r>
      <w:r>
        <w:rPr>
          <w:color w:val="58595B"/>
          <w:spacing w:val="-3"/>
        </w:rPr>
        <w:t xml:space="preserve"> </w:t>
      </w:r>
      <w:r>
        <w:rPr>
          <w:color w:val="58595B"/>
          <w:spacing w:val="-2"/>
        </w:rPr>
        <w:t>Provisions</w:t>
      </w:r>
    </w:p>
    <w:p w14:paraId="1117018C" w14:textId="77777777" w:rsidR="00345EE3" w:rsidRDefault="00345EE3" w:rsidP="00345EE3">
      <w:pPr>
        <w:pStyle w:val="BodyText"/>
        <w:spacing w:before="4" w:line="242" w:lineRule="auto"/>
        <w:ind w:right="327"/>
      </w:pPr>
      <w:r>
        <w:rPr>
          <w:color w:val="231F20"/>
        </w:rPr>
        <w:t>Provision</w:t>
      </w:r>
      <w:r>
        <w:rPr>
          <w:color w:val="231F20"/>
          <w:spacing w:val="-5"/>
        </w:rPr>
        <w:t xml:space="preserve"> </w:t>
      </w:r>
      <w:r>
        <w:rPr>
          <w:color w:val="231F20"/>
        </w:rPr>
        <w:t>is</w:t>
      </w:r>
      <w:r>
        <w:rPr>
          <w:color w:val="231F20"/>
          <w:spacing w:val="-4"/>
        </w:rPr>
        <w:t xml:space="preserve"> </w:t>
      </w:r>
      <w:r>
        <w:rPr>
          <w:color w:val="231F20"/>
        </w:rPr>
        <w:t>made</w:t>
      </w:r>
      <w:r>
        <w:rPr>
          <w:color w:val="231F20"/>
          <w:spacing w:val="-5"/>
        </w:rPr>
        <w:t xml:space="preserve"> </w:t>
      </w:r>
      <w:r>
        <w:rPr>
          <w:color w:val="231F20"/>
        </w:rPr>
        <w:t>for</w:t>
      </w:r>
      <w:r>
        <w:rPr>
          <w:color w:val="231F20"/>
          <w:spacing w:val="-4"/>
        </w:rPr>
        <w:t xml:space="preserve"> </w:t>
      </w:r>
      <w:r>
        <w:rPr>
          <w:color w:val="231F20"/>
        </w:rPr>
        <w:t>benefits</w:t>
      </w:r>
      <w:r>
        <w:rPr>
          <w:color w:val="231F20"/>
          <w:spacing w:val="-4"/>
        </w:rPr>
        <w:t xml:space="preserve"> </w:t>
      </w:r>
      <w:r>
        <w:rPr>
          <w:color w:val="231F20"/>
        </w:rPr>
        <w:t>accruing</w:t>
      </w:r>
      <w:r>
        <w:rPr>
          <w:color w:val="231F20"/>
          <w:spacing w:val="-5"/>
        </w:rPr>
        <w:t xml:space="preserve"> </w:t>
      </w:r>
      <w:r>
        <w:rPr>
          <w:color w:val="231F20"/>
        </w:rPr>
        <w:t>to</w:t>
      </w:r>
      <w:r>
        <w:rPr>
          <w:color w:val="231F20"/>
          <w:spacing w:val="-5"/>
        </w:rPr>
        <w:t xml:space="preserve"> </w:t>
      </w:r>
      <w:r>
        <w:rPr>
          <w:color w:val="231F20"/>
        </w:rPr>
        <w:t>employees</w:t>
      </w:r>
      <w:r>
        <w:rPr>
          <w:color w:val="231F20"/>
          <w:spacing w:val="-4"/>
        </w:rPr>
        <w:t xml:space="preserve"> </w:t>
      </w:r>
      <w:r>
        <w:rPr>
          <w:color w:val="231F20"/>
        </w:rPr>
        <w:t>in</w:t>
      </w:r>
      <w:r>
        <w:rPr>
          <w:color w:val="231F20"/>
          <w:spacing w:val="-5"/>
        </w:rPr>
        <w:t xml:space="preserve"> </w:t>
      </w:r>
      <w:r>
        <w:rPr>
          <w:color w:val="231F20"/>
        </w:rPr>
        <w:t>respect</w:t>
      </w:r>
      <w:r>
        <w:rPr>
          <w:color w:val="231F20"/>
          <w:spacing w:val="-4"/>
        </w:rPr>
        <w:t xml:space="preserve"> </w:t>
      </w:r>
      <w:r>
        <w:rPr>
          <w:color w:val="231F20"/>
        </w:rPr>
        <w:t>of</w:t>
      </w:r>
      <w:r>
        <w:rPr>
          <w:color w:val="231F20"/>
          <w:spacing w:val="-4"/>
        </w:rPr>
        <w:t xml:space="preserve"> </w:t>
      </w:r>
      <w:r>
        <w:rPr>
          <w:color w:val="231F20"/>
        </w:rPr>
        <w:t>wages</w:t>
      </w:r>
      <w:r>
        <w:rPr>
          <w:color w:val="231F20"/>
          <w:spacing w:val="-4"/>
        </w:rPr>
        <w:t xml:space="preserve"> </w:t>
      </w:r>
      <w:r>
        <w:rPr>
          <w:color w:val="231F20"/>
        </w:rPr>
        <w:t>and</w:t>
      </w:r>
      <w:r>
        <w:rPr>
          <w:color w:val="231F20"/>
          <w:spacing w:val="-5"/>
        </w:rPr>
        <w:t xml:space="preserve"> </w:t>
      </w:r>
      <w:r>
        <w:rPr>
          <w:color w:val="231F20"/>
        </w:rPr>
        <w:t>salaries,</w:t>
      </w:r>
      <w:r>
        <w:rPr>
          <w:color w:val="231F20"/>
          <w:spacing w:val="-4"/>
        </w:rPr>
        <w:t xml:space="preserve"> </w:t>
      </w:r>
      <w:r>
        <w:rPr>
          <w:color w:val="231F20"/>
        </w:rPr>
        <w:t>annual leave</w:t>
      </w:r>
      <w:r>
        <w:rPr>
          <w:color w:val="231F20"/>
          <w:spacing w:val="-7"/>
        </w:rPr>
        <w:t xml:space="preserve"> </w:t>
      </w:r>
      <w:r>
        <w:rPr>
          <w:color w:val="231F20"/>
        </w:rPr>
        <w:t>and</w:t>
      </w:r>
      <w:r>
        <w:rPr>
          <w:color w:val="231F20"/>
          <w:spacing w:val="-7"/>
        </w:rPr>
        <w:t xml:space="preserve"> </w:t>
      </w:r>
      <w:r>
        <w:rPr>
          <w:color w:val="231F20"/>
        </w:rPr>
        <w:t>long</w:t>
      </w:r>
      <w:r>
        <w:rPr>
          <w:color w:val="231F20"/>
          <w:spacing w:val="-7"/>
        </w:rPr>
        <w:t xml:space="preserve"> </w:t>
      </w:r>
      <w:r>
        <w:rPr>
          <w:color w:val="231F20"/>
        </w:rPr>
        <w:t>service</w:t>
      </w:r>
      <w:r>
        <w:rPr>
          <w:color w:val="231F20"/>
          <w:spacing w:val="-7"/>
        </w:rPr>
        <w:t xml:space="preserve"> </w:t>
      </w:r>
      <w:r>
        <w:rPr>
          <w:color w:val="231F20"/>
        </w:rPr>
        <w:t>leave</w:t>
      </w:r>
      <w:r>
        <w:rPr>
          <w:color w:val="231F20"/>
          <w:spacing w:val="-7"/>
        </w:rPr>
        <w:t xml:space="preserve"> </w:t>
      </w:r>
      <w:r>
        <w:rPr>
          <w:color w:val="231F20"/>
        </w:rPr>
        <w:t>(LSL)</w:t>
      </w:r>
      <w:r>
        <w:rPr>
          <w:color w:val="231F20"/>
          <w:spacing w:val="-7"/>
        </w:rPr>
        <w:t xml:space="preserve"> </w:t>
      </w:r>
      <w:r>
        <w:rPr>
          <w:color w:val="231F20"/>
        </w:rPr>
        <w:t>for</w:t>
      </w:r>
      <w:r>
        <w:rPr>
          <w:color w:val="231F20"/>
          <w:spacing w:val="-7"/>
        </w:rPr>
        <w:t xml:space="preserve"> </w:t>
      </w:r>
      <w:r>
        <w:rPr>
          <w:color w:val="231F20"/>
        </w:rPr>
        <w:t>services</w:t>
      </w:r>
      <w:r>
        <w:rPr>
          <w:color w:val="231F20"/>
          <w:spacing w:val="-7"/>
        </w:rPr>
        <w:t xml:space="preserve"> </w:t>
      </w:r>
      <w:r>
        <w:rPr>
          <w:color w:val="231F20"/>
        </w:rPr>
        <w:t>rendered</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reporting</w:t>
      </w:r>
      <w:r>
        <w:rPr>
          <w:color w:val="231F20"/>
          <w:spacing w:val="-7"/>
        </w:rPr>
        <w:t xml:space="preserve"> </w:t>
      </w:r>
      <w:r>
        <w:rPr>
          <w:color w:val="231F20"/>
        </w:rPr>
        <w:t>date</w:t>
      </w:r>
      <w:r>
        <w:rPr>
          <w:color w:val="231F20"/>
          <w:spacing w:val="-7"/>
        </w:rPr>
        <w:t xml:space="preserve"> </w:t>
      </w:r>
      <w:r>
        <w:rPr>
          <w:color w:val="231F20"/>
        </w:rPr>
        <w:t>and</w:t>
      </w:r>
      <w:r>
        <w:rPr>
          <w:color w:val="231F20"/>
          <w:spacing w:val="-7"/>
        </w:rPr>
        <w:t xml:space="preserve"> </w:t>
      </w:r>
      <w:r>
        <w:rPr>
          <w:color w:val="231F20"/>
        </w:rPr>
        <w:t>recorded</w:t>
      </w:r>
      <w:r>
        <w:rPr>
          <w:color w:val="231F20"/>
          <w:spacing w:val="-7"/>
        </w:rPr>
        <w:t xml:space="preserve"> </w:t>
      </w:r>
      <w:r>
        <w:rPr>
          <w:color w:val="231F20"/>
        </w:rPr>
        <w:t>as an expense during the period the services are delivered.</w:t>
      </w:r>
    </w:p>
    <w:p w14:paraId="3AA30A36" w14:textId="77777777" w:rsidR="00345EE3" w:rsidRDefault="00345EE3" w:rsidP="00345EE3">
      <w:pPr>
        <w:pStyle w:val="BodyText"/>
        <w:spacing w:before="1"/>
        <w:rPr>
          <w:sz w:val="12"/>
        </w:rPr>
      </w:pPr>
    </w:p>
    <w:tbl>
      <w:tblPr>
        <w:tblW w:w="0" w:type="auto"/>
        <w:tblInd w:w="156" w:type="dxa"/>
        <w:tblLayout w:type="fixed"/>
        <w:tblCellMar>
          <w:left w:w="0" w:type="dxa"/>
          <w:right w:w="0" w:type="dxa"/>
        </w:tblCellMar>
        <w:tblLook w:val="0000" w:firstRow="0" w:lastRow="0" w:firstColumn="0" w:lastColumn="0" w:noHBand="0" w:noVBand="0"/>
      </w:tblPr>
      <w:tblGrid>
        <w:gridCol w:w="7937"/>
        <w:gridCol w:w="1134"/>
        <w:gridCol w:w="1134"/>
      </w:tblGrid>
      <w:tr w:rsidR="00345EE3" w:rsidRPr="00930C1B" w14:paraId="6C40BD09" w14:textId="77777777" w:rsidTr="00D73130">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91" w:type="dxa"/>
              <w:left w:w="14" w:type="dxa"/>
              <w:bottom w:w="91" w:type="dxa"/>
              <w:right w:w="14" w:type="dxa"/>
            </w:tcMar>
          </w:tcPr>
          <w:p w14:paraId="1BCB95D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thousand)</w:t>
            </w:r>
          </w:p>
        </w:tc>
      </w:tr>
      <w:tr w:rsidR="00345EE3" w:rsidRPr="00930C1B" w14:paraId="02B22B39" w14:textId="77777777" w:rsidTr="00D73130">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91" w:type="dxa"/>
              <w:left w:w="14" w:type="dxa"/>
              <w:bottom w:w="91" w:type="dxa"/>
              <w:right w:w="14" w:type="dxa"/>
            </w:tcMar>
          </w:tcPr>
          <w:p w14:paraId="0AA0F13E"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1" w:type="dxa"/>
              <w:left w:w="14" w:type="dxa"/>
              <w:bottom w:w="91" w:type="dxa"/>
              <w:right w:w="14" w:type="dxa"/>
            </w:tcMar>
          </w:tcPr>
          <w:p w14:paraId="5B538B7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91" w:type="dxa"/>
              <w:left w:w="14" w:type="dxa"/>
              <w:bottom w:w="91" w:type="dxa"/>
              <w:right w:w="14" w:type="dxa"/>
            </w:tcMar>
          </w:tcPr>
          <w:p w14:paraId="2F198FE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2021</w:t>
            </w:r>
          </w:p>
        </w:tc>
      </w:tr>
      <w:tr w:rsidR="00345EE3" w:rsidRPr="00930C1B" w14:paraId="14DA387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0830D3D2"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Current Provisions: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543AD5EA"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702D4C6F" w14:textId="77777777" w:rsidR="00345EE3" w:rsidRPr="00930C1B" w:rsidRDefault="00345EE3" w:rsidP="00D73130">
            <w:pPr>
              <w:widowControl/>
              <w:adjustRightInd w:val="0"/>
              <w:rPr>
                <w:rFonts w:eastAsiaTheme="minorHAnsi"/>
                <w:sz w:val="24"/>
                <w:szCs w:val="24"/>
                <w:lang w:val="en-GB"/>
              </w:rPr>
            </w:pPr>
          </w:p>
        </w:tc>
      </w:tr>
      <w:tr w:rsidR="00345EE3" w:rsidRPr="00930C1B" w14:paraId="1FBE276F"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12B4BD5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Annual Leave</w:t>
            </w:r>
            <w:r w:rsidRPr="00930C1B">
              <w:rPr>
                <w:rFonts w:eastAsiaTheme="minorHAnsi"/>
                <w:b/>
                <w:bCs/>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3AD08E78"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6DF65F97" w14:textId="77777777" w:rsidR="00345EE3" w:rsidRPr="00930C1B" w:rsidRDefault="00345EE3" w:rsidP="00D73130">
            <w:pPr>
              <w:widowControl/>
              <w:adjustRightInd w:val="0"/>
              <w:rPr>
                <w:rFonts w:eastAsiaTheme="minorHAnsi"/>
                <w:sz w:val="24"/>
                <w:szCs w:val="24"/>
                <w:lang w:val="en-GB"/>
              </w:rPr>
            </w:pPr>
          </w:p>
        </w:tc>
      </w:tr>
      <w:tr w:rsidR="00345EE3" w:rsidRPr="00930C1B" w14:paraId="26B7A38D"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5CFB7F4D"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Unconditional and expected to be settled within 12 months</w:t>
            </w:r>
            <w:r w:rsidRPr="00930C1B">
              <w:rPr>
                <w:rFonts w:eastAsiaTheme="minorHAnsi"/>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374F8CB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57,447</w:t>
            </w: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01D6C10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83,082</w:t>
            </w:r>
          </w:p>
        </w:tc>
      </w:tr>
      <w:tr w:rsidR="00345EE3" w:rsidRPr="00930C1B" w14:paraId="340B5B11"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6E0A1DAE"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Long Service Leave</w:t>
            </w:r>
            <w:r w:rsidRPr="00930C1B">
              <w:rPr>
                <w:rFonts w:eastAsiaTheme="minorHAnsi"/>
                <w:b/>
                <w:bCs/>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15219BAB"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455DA18C" w14:textId="77777777" w:rsidR="00345EE3" w:rsidRPr="00930C1B" w:rsidRDefault="00345EE3" w:rsidP="00D73130">
            <w:pPr>
              <w:widowControl/>
              <w:adjustRightInd w:val="0"/>
              <w:rPr>
                <w:rFonts w:eastAsiaTheme="minorHAnsi"/>
                <w:sz w:val="24"/>
                <w:szCs w:val="24"/>
                <w:lang w:val="en-GB"/>
              </w:rPr>
            </w:pPr>
          </w:p>
        </w:tc>
      </w:tr>
      <w:tr w:rsidR="00345EE3" w:rsidRPr="00930C1B" w14:paraId="3FDA2FF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32B16189"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Unconditional and expected to be settled within 12 months</w:t>
            </w:r>
            <w:r w:rsidRPr="00930C1B">
              <w:rPr>
                <w:rFonts w:eastAsiaTheme="minorHAnsi"/>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59F78DC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30,412</w:t>
            </w: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0905D57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29,006</w:t>
            </w:r>
          </w:p>
        </w:tc>
      </w:tr>
      <w:tr w:rsidR="00345EE3" w:rsidRPr="00930C1B" w14:paraId="2FAF62BA"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306EB707"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Unconditional and expected to be settled after 12 months</w:t>
            </w:r>
            <w:r w:rsidRPr="00930C1B">
              <w:rPr>
                <w:rFonts w:eastAsiaTheme="minorHAnsi"/>
                <w:color w:val="000000"/>
                <w:sz w:val="24"/>
                <w:szCs w:val="24"/>
                <w:vertAlign w:val="superscript"/>
                <w:lang w:val="en-GB"/>
              </w:rPr>
              <w:t xml:space="preserve"> (c)</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2270460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476,439</w:t>
            </w: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483B8D7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454,387</w:t>
            </w:r>
          </w:p>
        </w:tc>
      </w:tr>
      <w:tr w:rsidR="00345EE3" w:rsidRPr="00930C1B" w14:paraId="0B45F22F"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766B5880"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Provisions For On-Costs: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0F2F2C07"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1FB8B008" w14:textId="77777777" w:rsidR="00345EE3" w:rsidRPr="00930C1B" w:rsidRDefault="00345EE3" w:rsidP="00D73130">
            <w:pPr>
              <w:widowControl/>
              <w:adjustRightInd w:val="0"/>
              <w:rPr>
                <w:rFonts w:eastAsiaTheme="minorHAnsi"/>
                <w:sz w:val="24"/>
                <w:szCs w:val="24"/>
                <w:lang w:val="en-GB"/>
              </w:rPr>
            </w:pPr>
          </w:p>
        </w:tc>
      </w:tr>
      <w:tr w:rsidR="00345EE3" w:rsidRPr="00930C1B" w14:paraId="35F1E0AE"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1568AF4C"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Unconditional and expected to be settled within 12 months</w:t>
            </w:r>
            <w:r w:rsidRPr="00930C1B">
              <w:rPr>
                <w:rFonts w:eastAsiaTheme="minorHAnsi"/>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6C19AF4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22,903</w:t>
            </w: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306536B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26,914</w:t>
            </w:r>
          </w:p>
        </w:tc>
      </w:tr>
      <w:tr w:rsidR="00345EE3" w:rsidRPr="00930C1B" w14:paraId="2D2D266C"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1B453BE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Unconditional and expected to be settled after 12 months</w:t>
            </w:r>
            <w:r w:rsidRPr="00930C1B">
              <w:rPr>
                <w:rFonts w:eastAsiaTheme="minorHAnsi"/>
                <w:color w:val="000000"/>
                <w:sz w:val="24"/>
                <w:szCs w:val="24"/>
                <w:vertAlign w:val="superscript"/>
                <w:lang w:val="en-GB"/>
              </w:rPr>
              <w:t xml:space="preserve"> (c)</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4A177B0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127,781</w:t>
            </w: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01D6EC2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111,076</w:t>
            </w:r>
          </w:p>
        </w:tc>
      </w:tr>
      <w:tr w:rsidR="00345EE3" w:rsidRPr="00930C1B" w14:paraId="2E51CF84"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3827C9D0"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Commuted Overtime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69761377"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71D5B370" w14:textId="77777777" w:rsidR="00345EE3" w:rsidRPr="00930C1B" w:rsidRDefault="00345EE3" w:rsidP="00D73130">
            <w:pPr>
              <w:widowControl/>
              <w:adjustRightInd w:val="0"/>
              <w:rPr>
                <w:rFonts w:eastAsiaTheme="minorHAnsi"/>
                <w:sz w:val="24"/>
                <w:szCs w:val="24"/>
                <w:lang w:val="en-GB"/>
              </w:rPr>
            </w:pPr>
          </w:p>
        </w:tc>
      </w:tr>
      <w:tr w:rsidR="00345EE3" w:rsidRPr="00930C1B" w14:paraId="0FB82F68"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91" w:type="dxa"/>
              <w:left w:w="14" w:type="dxa"/>
              <w:bottom w:w="91" w:type="dxa"/>
              <w:right w:w="14" w:type="dxa"/>
            </w:tcMar>
          </w:tcPr>
          <w:p w14:paraId="1392D04D"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Commuted overtime allowance</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91" w:type="dxa"/>
              <w:left w:w="14" w:type="dxa"/>
              <w:bottom w:w="91" w:type="dxa"/>
              <w:right w:w="14" w:type="dxa"/>
            </w:tcMar>
          </w:tcPr>
          <w:p w14:paraId="024DC92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1,737</w:t>
            </w:r>
          </w:p>
        </w:tc>
        <w:tc>
          <w:tcPr>
            <w:tcW w:w="1134" w:type="dxa"/>
            <w:tcBorders>
              <w:top w:val="single" w:sz="2" w:space="0" w:color="9D9C9C"/>
              <w:left w:val="single" w:sz="2" w:space="0" w:color="9D9C9C"/>
              <w:bottom w:val="single" w:sz="4" w:space="0" w:color="000000"/>
              <w:right w:val="single" w:sz="6" w:space="0" w:color="9D9C9C"/>
            </w:tcBorders>
            <w:tcMar>
              <w:top w:w="91" w:type="dxa"/>
              <w:left w:w="14" w:type="dxa"/>
              <w:bottom w:w="91" w:type="dxa"/>
              <w:right w:w="14" w:type="dxa"/>
            </w:tcMar>
          </w:tcPr>
          <w:p w14:paraId="7D2BADD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1,921</w:t>
            </w:r>
          </w:p>
        </w:tc>
      </w:tr>
      <w:tr w:rsidR="00345EE3" w:rsidRPr="00930C1B" w14:paraId="0D4A3E21" w14:textId="77777777" w:rsidTr="00D73130">
        <w:trPr>
          <w:trHeight w:val="60"/>
        </w:trPr>
        <w:tc>
          <w:tcPr>
            <w:tcW w:w="7937" w:type="dxa"/>
            <w:tcBorders>
              <w:top w:val="single" w:sz="4" w:space="0" w:color="000000"/>
              <w:left w:val="single" w:sz="6" w:space="0" w:color="000000"/>
              <w:bottom w:val="single" w:sz="4" w:space="0" w:color="000000"/>
              <w:right w:val="single" w:sz="2" w:space="0" w:color="9D9C9C"/>
            </w:tcBorders>
            <w:tcMar>
              <w:top w:w="91" w:type="dxa"/>
              <w:left w:w="14" w:type="dxa"/>
              <w:bottom w:w="91" w:type="dxa"/>
              <w:right w:w="14" w:type="dxa"/>
            </w:tcMar>
          </w:tcPr>
          <w:p w14:paraId="27FF525E"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Current Provisions for Employee Benefits</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91" w:type="dxa"/>
              <w:left w:w="14" w:type="dxa"/>
              <w:bottom w:w="91" w:type="dxa"/>
              <w:right w:w="14" w:type="dxa"/>
            </w:tcMar>
          </w:tcPr>
          <w:p w14:paraId="0907B2B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716,719</w:t>
            </w:r>
          </w:p>
        </w:tc>
        <w:tc>
          <w:tcPr>
            <w:tcW w:w="1134" w:type="dxa"/>
            <w:tcBorders>
              <w:top w:val="single" w:sz="4" w:space="0" w:color="000000"/>
              <w:left w:val="single" w:sz="2" w:space="0" w:color="9D9C9C"/>
              <w:bottom w:val="single" w:sz="4" w:space="0" w:color="000000"/>
              <w:right w:val="single" w:sz="6" w:space="0" w:color="9D9C9C"/>
            </w:tcBorders>
            <w:tcMar>
              <w:top w:w="91" w:type="dxa"/>
              <w:left w:w="14" w:type="dxa"/>
              <w:bottom w:w="91" w:type="dxa"/>
              <w:right w:w="14" w:type="dxa"/>
            </w:tcMar>
          </w:tcPr>
          <w:p w14:paraId="07601D2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706,386</w:t>
            </w:r>
          </w:p>
        </w:tc>
      </w:tr>
      <w:tr w:rsidR="00345EE3" w:rsidRPr="00930C1B" w14:paraId="6E4BB2B6" w14:textId="77777777" w:rsidTr="00D73130">
        <w:trPr>
          <w:trHeight w:val="60"/>
        </w:trPr>
        <w:tc>
          <w:tcPr>
            <w:tcW w:w="7937" w:type="dxa"/>
            <w:tcBorders>
              <w:top w:val="single" w:sz="4" w:space="0" w:color="000000"/>
              <w:left w:val="single" w:sz="6" w:space="0" w:color="000000"/>
              <w:bottom w:val="single" w:sz="2" w:space="0" w:color="9D9C9C"/>
              <w:right w:val="single" w:sz="2" w:space="0" w:color="9D9C9C"/>
            </w:tcBorders>
            <w:tcMar>
              <w:top w:w="91" w:type="dxa"/>
              <w:left w:w="14" w:type="dxa"/>
              <w:bottom w:w="91" w:type="dxa"/>
              <w:right w:w="14" w:type="dxa"/>
            </w:tcMar>
          </w:tcPr>
          <w:p w14:paraId="743E21DF"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Non-Current Provisions: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0EA65676"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91" w:type="dxa"/>
              <w:left w:w="14" w:type="dxa"/>
              <w:bottom w:w="91" w:type="dxa"/>
              <w:right w:w="14" w:type="dxa"/>
            </w:tcMar>
          </w:tcPr>
          <w:p w14:paraId="1E4F9674" w14:textId="77777777" w:rsidR="00345EE3" w:rsidRPr="00930C1B" w:rsidRDefault="00345EE3" w:rsidP="00D73130">
            <w:pPr>
              <w:widowControl/>
              <w:adjustRightInd w:val="0"/>
              <w:rPr>
                <w:rFonts w:eastAsiaTheme="minorHAnsi"/>
                <w:sz w:val="24"/>
                <w:szCs w:val="24"/>
                <w:lang w:val="en-GB"/>
              </w:rPr>
            </w:pPr>
          </w:p>
        </w:tc>
      </w:tr>
      <w:tr w:rsidR="00345EE3" w:rsidRPr="00930C1B" w14:paraId="542FF0B7"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6913D06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Employee benefits – conditional long service leave</w:t>
            </w:r>
            <w:r w:rsidRPr="00930C1B">
              <w:rPr>
                <w:rFonts w:eastAsiaTheme="minorHAnsi"/>
                <w:color w:val="000000"/>
                <w:sz w:val="24"/>
                <w:szCs w:val="24"/>
                <w:vertAlign w:val="superscript"/>
                <w:lang w:val="en-GB"/>
              </w:rPr>
              <w:t xml:space="preserve"> (a) (c)</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382EC2A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67,967</w:t>
            </w: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74ED71B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72,005</w:t>
            </w:r>
          </w:p>
        </w:tc>
      </w:tr>
      <w:tr w:rsidR="00345EE3" w:rsidRPr="00930C1B" w14:paraId="01078154"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4E326CB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On-costs</w:t>
            </w:r>
            <w:r w:rsidRPr="00930C1B">
              <w:rPr>
                <w:rFonts w:eastAsiaTheme="minorHAnsi"/>
                <w:color w:val="000000"/>
                <w:sz w:val="24"/>
                <w:szCs w:val="24"/>
                <w:vertAlign w:val="superscript"/>
                <w:lang w:val="en-GB"/>
              </w:rPr>
              <w:t xml:space="preserve"> (c)</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7F820A0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19,131</w:t>
            </w: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3AC70B4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18,518</w:t>
            </w:r>
          </w:p>
        </w:tc>
      </w:tr>
      <w:tr w:rsidR="00345EE3" w:rsidRPr="00930C1B" w14:paraId="221ACD75"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91" w:type="dxa"/>
              <w:left w:w="14" w:type="dxa"/>
              <w:bottom w:w="91" w:type="dxa"/>
              <w:right w:w="14" w:type="dxa"/>
            </w:tcMar>
          </w:tcPr>
          <w:p w14:paraId="17F91649"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Deferred salary scheme for Sworn members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91" w:type="dxa"/>
              <w:left w:w="14" w:type="dxa"/>
              <w:bottom w:w="91" w:type="dxa"/>
              <w:right w:w="14" w:type="dxa"/>
            </w:tcMar>
          </w:tcPr>
          <w:p w14:paraId="49D8ACC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5,064</w:t>
            </w:r>
          </w:p>
        </w:tc>
        <w:tc>
          <w:tcPr>
            <w:tcW w:w="1134" w:type="dxa"/>
            <w:tcBorders>
              <w:top w:val="single" w:sz="2" w:space="0" w:color="9D9C9C"/>
              <w:left w:val="single" w:sz="2" w:space="0" w:color="9D9C9C"/>
              <w:bottom w:val="single" w:sz="4" w:space="0" w:color="000000"/>
              <w:right w:val="single" w:sz="6" w:space="0" w:color="9D9C9C"/>
            </w:tcBorders>
            <w:tcMar>
              <w:top w:w="91" w:type="dxa"/>
              <w:left w:w="14" w:type="dxa"/>
              <w:bottom w:w="91" w:type="dxa"/>
              <w:right w:w="14" w:type="dxa"/>
            </w:tcMar>
          </w:tcPr>
          <w:p w14:paraId="18697E3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4,751</w:t>
            </w:r>
          </w:p>
        </w:tc>
      </w:tr>
      <w:tr w:rsidR="00345EE3" w:rsidRPr="00930C1B" w14:paraId="64C792A9" w14:textId="77777777" w:rsidTr="00D73130">
        <w:trPr>
          <w:trHeight w:val="60"/>
        </w:trPr>
        <w:tc>
          <w:tcPr>
            <w:tcW w:w="7937" w:type="dxa"/>
            <w:tcBorders>
              <w:top w:val="single" w:sz="4" w:space="0" w:color="000000"/>
              <w:left w:val="single" w:sz="6" w:space="0" w:color="000000"/>
              <w:bottom w:val="single" w:sz="4" w:space="0" w:color="000000"/>
              <w:right w:val="single" w:sz="2" w:space="0" w:color="9D9C9C"/>
            </w:tcBorders>
            <w:tcMar>
              <w:top w:w="91" w:type="dxa"/>
              <w:left w:w="14" w:type="dxa"/>
              <w:bottom w:w="91" w:type="dxa"/>
              <w:right w:w="14" w:type="dxa"/>
            </w:tcMar>
          </w:tcPr>
          <w:p w14:paraId="7948C90F"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Non-Current Provisions for Employee Benefits</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91" w:type="dxa"/>
              <w:left w:w="14" w:type="dxa"/>
              <w:bottom w:w="91" w:type="dxa"/>
              <w:right w:w="14" w:type="dxa"/>
            </w:tcMar>
          </w:tcPr>
          <w:p w14:paraId="7856303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92,162</w:t>
            </w:r>
          </w:p>
        </w:tc>
        <w:tc>
          <w:tcPr>
            <w:tcW w:w="1134" w:type="dxa"/>
            <w:tcBorders>
              <w:top w:val="single" w:sz="4" w:space="0" w:color="000000"/>
              <w:left w:val="single" w:sz="2" w:space="0" w:color="9D9C9C"/>
              <w:bottom w:val="single" w:sz="4" w:space="0" w:color="000000"/>
              <w:right w:val="single" w:sz="6" w:space="0" w:color="9D9C9C"/>
            </w:tcBorders>
            <w:tcMar>
              <w:top w:w="91" w:type="dxa"/>
              <w:left w:w="14" w:type="dxa"/>
              <w:bottom w:w="91" w:type="dxa"/>
              <w:right w:w="14" w:type="dxa"/>
            </w:tcMar>
          </w:tcPr>
          <w:p w14:paraId="1D83CFC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95,274</w:t>
            </w:r>
          </w:p>
        </w:tc>
      </w:tr>
      <w:tr w:rsidR="00345EE3" w:rsidRPr="00930C1B" w14:paraId="1916DF92" w14:textId="77777777" w:rsidTr="00D73130">
        <w:trPr>
          <w:trHeight w:val="60"/>
        </w:trPr>
        <w:tc>
          <w:tcPr>
            <w:tcW w:w="7937" w:type="dxa"/>
            <w:tcBorders>
              <w:top w:val="single" w:sz="4" w:space="0" w:color="000000"/>
              <w:left w:val="single" w:sz="6" w:space="0" w:color="9D9C9C"/>
              <w:bottom w:val="single" w:sz="8" w:space="0" w:color="000000"/>
              <w:right w:val="single" w:sz="2" w:space="0" w:color="9D9C9C"/>
            </w:tcBorders>
            <w:tcMar>
              <w:top w:w="91" w:type="dxa"/>
              <w:left w:w="14" w:type="dxa"/>
              <w:bottom w:w="91" w:type="dxa"/>
              <w:right w:w="14" w:type="dxa"/>
            </w:tcMar>
          </w:tcPr>
          <w:p w14:paraId="5752372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Provisions for Employee Benefits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91" w:type="dxa"/>
              <w:left w:w="14" w:type="dxa"/>
              <w:bottom w:w="91" w:type="dxa"/>
              <w:right w:w="14" w:type="dxa"/>
            </w:tcMar>
          </w:tcPr>
          <w:p w14:paraId="081AEA9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808,881</w:t>
            </w:r>
          </w:p>
        </w:tc>
        <w:tc>
          <w:tcPr>
            <w:tcW w:w="1134" w:type="dxa"/>
            <w:tcBorders>
              <w:top w:val="single" w:sz="4" w:space="0" w:color="000000"/>
              <w:left w:val="single" w:sz="2" w:space="0" w:color="9D9C9C"/>
              <w:bottom w:val="single" w:sz="8" w:space="0" w:color="000000"/>
              <w:right w:val="single" w:sz="6" w:space="0" w:color="9D9C9C"/>
            </w:tcBorders>
            <w:tcMar>
              <w:top w:w="91" w:type="dxa"/>
              <w:left w:w="14" w:type="dxa"/>
              <w:bottom w:w="91" w:type="dxa"/>
              <w:right w:w="14" w:type="dxa"/>
            </w:tcMar>
          </w:tcPr>
          <w:p w14:paraId="0BA6CD1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801,660</w:t>
            </w:r>
          </w:p>
        </w:tc>
      </w:tr>
    </w:tbl>
    <w:p w14:paraId="1D8BB351" w14:textId="77777777" w:rsidR="00345EE3" w:rsidRPr="000C71FB" w:rsidRDefault="00345EE3" w:rsidP="00345EE3">
      <w:pPr>
        <w:spacing w:before="75"/>
        <w:ind w:left="110"/>
        <w:rPr>
          <w:sz w:val="18"/>
          <w:szCs w:val="18"/>
        </w:rPr>
      </w:pPr>
      <w:r w:rsidRPr="000C71FB">
        <w:rPr>
          <w:rFonts w:ascii="Arial-BoldItalicMT"/>
          <w:b/>
          <w:i/>
          <w:color w:val="231F20"/>
          <w:spacing w:val="-2"/>
          <w:sz w:val="18"/>
          <w:szCs w:val="18"/>
        </w:rPr>
        <w:t>Notes</w:t>
      </w:r>
      <w:r w:rsidRPr="000C71FB">
        <w:rPr>
          <w:color w:val="231F20"/>
          <w:spacing w:val="-2"/>
          <w:sz w:val="18"/>
          <w:szCs w:val="18"/>
        </w:rPr>
        <w:t>:</w:t>
      </w:r>
    </w:p>
    <w:p w14:paraId="136AE4A6" w14:textId="77777777" w:rsidR="00345EE3" w:rsidRPr="000C71FB" w:rsidRDefault="00345EE3">
      <w:pPr>
        <w:pStyle w:val="ListParagraph"/>
        <w:numPr>
          <w:ilvl w:val="0"/>
          <w:numId w:val="41"/>
        </w:numPr>
        <w:tabs>
          <w:tab w:val="left" w:pos="338"/>
        </w:tabs>
        <w:spacing w:before="28"/>
        <w:ind w:hanging="228"/>
        <w:rPr>
          <w:sz w:val="18"/>
          <w:szCs w:val="18"/>
        </w:rPr>
      </w:pPr>
      <w:r w:rsidRPr="000C71FB">
        <w:rPr>
          <w:color w:val="231F20"/>
          <w:sz w:val="18"/>
          <w:szCs w:val="18"/>
        </w:rPr>
        <w:t>Provisions</w:t>
      </w:r>
      <w:r w:rsidRPr="000C71FB">
        <w:rPr>
          <w:color w:val="231F20"/>
          <w:spacing w:val="-4"/>
          <w:sz w:val="18"/>
          <w:szCs w:val="18"/>
        </w:rPr>
        <w:t xml:space="preserve"> </w:t>
      </w:r>
      <w:r w:rsidRPr="000C71FB">
        <w:rPr>
          <w:color w:val="231F20"/>
          <w:sz w:val="18"/>
          <w:szCs w:val="18"/>
        </w:rPr>
        <w:t>for</w:t>
      </w:r>
      <w:r w:rsidRPr="000C71FB">
        <w:rPr>
          <w:color w:val="231F20"/>
          <w:spacing w:val="-2"/>
          <w:sz w:val="18"/>
          <w:szCs w:val="18"/>
        </w:rPr>
        <w:t xml:space="preserve"> </w:t>
      </w:r>
      <w:r w:rsidRPr="000C71FB">
        <w:rPr>
          <w:color w:val="231F20"/>
          <w:sz w:val="18"/>
          <w:szCs w:val="18"/>
        </w:rPr>
        <w:t>annual</w:t>
      </w:r>
      <w:r w:rsidRPr="000C71FB">
        <w:rPr>
          <w:color w:val="231F20"/>
          <w:spacing w:val="-1"/>
          <w:sz w:val="18"/>
          <w:szCs w:val="18"/>
        </w:rPr>
        <w:t xml:space="preserve"> </w:t>
      </w:r>
      <w:r w:rsidRPr="000C71FB">
        <w:rPr>
          <w:color w:val="231F20"/>
          <w:sz w:val="18"/>
          <w:szCs w:val="18"/>
        </w:rPr>
        <w:t>leave</w:t>
      </w:r>
      <w:r w:rsidRPr="000C71FB">
        <w:rPr>
          <w:color w:val="231F20"/>
          <w:spacing w:val="-2"/>
          <w:sz w:val="18"/>
          <w:szCs w:val="18"/>
        </w:rPr>
        <w:t xml:space="preserve"> </w:t>
      </w:r>
      <w:r w:rsidRPr="000C71FB">
        <w:rPr>
          <w:color w:val="231F20"/>
          <w:sz w:val="18"/>
          <w:szCs w:val="18"/>
        </w:rPr>
        <w:t>and</w:t>
      </w:r>
      <w:r w:rsidRPr="000C71FB">
        <w:rPr>
          <w:color w:val="231F20"/>
          <w:spacing w:val="-2"/>
          <w:sz w:val="18"/>
          <w:szCs w:val="18"/>
        </w:rPr>
        <w:t xml:space="preserve"> </w:t>
      </w:r>
      <w:r w:rsidRPr="000C71FB">
        <w:rPr>
          <w:color w:val="231F20"/>
          <w:sz w:val="18"/>
          <w:szCs w:val="18"/>
        </w:rPr>
        <w:t>long</w:t>
      </w:r>
      <w:r w:rsidRPr="000C71FB">
        <w:rPr>
          <w:color w:val="231F20"/>
          <w:spacing w:val="-1"/>
          <w:sz w:val="18"/>
          <w:szCs w:val="18"/>
        </w:rPr>
        <w:t xml:space="preserve"> </w:t>
      </w:r>
      <w:r w:rsidRPr="000C71FB">
        <w:rPr>
          <w:color w:val="231F20"/>
          <w:sz w:val="18"/>
          <w:szCs w:val="18"/>
        </w:rPr>
        <w:t>service</w:t>
      </w:r>
      <w:r w:rsidRPr="000C71FB">
        <w:rPr>
          <w:color w:val="231F20"/>
          <w:spacing w:val="-2"/>
          <w:sz w:val="18"/>
          <w:szCs w:val="18"/>
        </w:rPr>
        <w:t xml:space="preserve"> </w:t>
      </w:r>
      <w:r w:rsidRPr="000C71FB">
        <w:rPr>
          <w:color w:val="231F20"/>
          <w:sz w:val="18"/>
          <w:szCs w:val="18"/>
        </w:rPr>
        <w:t>leave</w:t>
      </w:r>
      <w:r w:rsidRPr="000C71FB">
        <w:rPr>
          <w:color w:val="231F20"/>
          <w:spacing w:val="-2"/>
          <w:sz w:val="18"/>
          <w:szCs w:val="18"/>
        </w:rPr>
        <w:t xml:space="preserve"> </w:t>
      </w:r>
      <w:r w:rsidRPr="000C71FB">
        <w:rPr>
          <w:color w:val="231F20"/>
          <w:sz w:val="18"/>
          <w:szCs w:val="18"/>
        </w:rPr>
        <w:t>accrued</w:t>
      </w:r>
      <w:r w:rsidRPr="000C71FB">
        <w:rPr>
          <w:color w:val="231F20"/>
          <w:spacing w:val="-1"/>
          <w:sz w:val="18"/>
          <w:szCs w:val="18"/>
        </w:rPr>
        <w:t xml:space="preserve"> </w:t>
      </w:r>
      <w:r w:rsidRPr="000C71FB">
        <w:rPr>
          <w:color w:val="231F20"/>
          <w:sz w:val="18"/>
          <w:szCs w:val="18"/>
        </w:rPr>
        <w:t>by</w:t>
      </w:r>
      <w:r w:rsidRPr="000C71FB">
        <w:rPr>
          <w:color w:val="231F20"/>
          <w:spacing w:val="-2"/>
          <w:sz w:val="18"/>
          <w:szCs w:val="18"/>
        </w:rPr>
        <w:t xml:space="preserve"> </w:t>
      </w:r>
      <w:r w:rsidRPr="000C71FB">
        <w:rPr>
          <w:color w:val="231F20"/>
          <w:sz w:val="18"/>
          <w:szCs w:val="18"/>
        </w:rPr>
        <w:t>employees</w:t>
      </w:r>
      <w:r w:rsidRPr="000C71FB">
        <w:rPr>
          <w:color w:val="231F20"/>
          <w:spacing w:val="-2"/>
          <w:sz w:val="18"/>
          <w:szCs w:val="18"/>
        </w:rPr>
        <w:t xml:space="preserve"> </w:t>
      </w:r>
      <w:r w:rsidRPr="000C71FB">
        <w:rPr>
          <w:color w:val="231F20"/>
          <w:sz w:val="18"/>
          <w:szCs w:val="18"/>
        </w:rPr>
        <w:t>do</w:t>
      </w:r>
      <w:r w:rsidRPr="000C71FB">
        <w:rPr>
          <w:color w:val="231F20"/>
          <w:spacing w:val="-1"/>
          <w:sz w:val="18"/>
          <w:szCs w:val="18"/>
        </w:rPr>
        <w:t xml:space="preserve"> </w:t>
      </w:r>
      <w:r w:rsidRPr="000C71FB">
        <w:rPr>
          <w:color w:val="231F20"/>
          <w:sz w:val="18"/>
          <w:szCs w:val="18"/>
        </w:rPr>
        <w:t>not</w:t>
      </w:r>
      <w:r w:rsidRPr="000C71FB">
        <w:rPr>
          <w:color w:val="231F20"/>
          <w:spacing w:val="-2"/>
          <w:sz w:val="18"/>
          <w:szCs w:val="18"/>
        </w:rPr>
        <w:t xml:space="preserve"> </w:t>
      </w:r>
      <w:r w:rsidRPr="000C71FB">
        <w:rPr>
          <w:color w:val="231F20"/>
          <w:sz w:val="18"/>
          <w:szCs w:val="18"/>
        </w:rPr>
        <w:t>include</w:t>
      </w:r>
      <w:r w:rsidRPr="000C71FB">
        <w:rPr>
          <w:color w:val="231F20"/>
          <w:spacing w:val="-1"/>
          <w:sz w:val="18"/>
          <w:szCs w:val="18"/>
        </w:rPr>
        <w:t xml:space="preserve"> </w:t>
      </w:r>
      <w:r w:rsidRPr="000C71FB">
        <w:rPr>
          <w:color w:val="231F20"/>
          <w:sz w:val="18"/>
          <w:szCs w:val="18"/>
        </w:rPr>
        <w:t>on-</w:t>
      </w:r>
      <w:r w:rsidRPr="000C71FB">
        <w:rPr>
          <w:color w:val="231F20"/>
          <w:spacing w:val="-2"/>
          <w:sz w:val="18"/>
          <w:szCs w:val="18"/>
        </w:rPr>
        <w:t>costs.</w:t>
      </w:r>
    </w:p>
    <w:p w14:paraId="06D26CF4" w14:textId="77777777" w:rsidR="00345EE3" w:rsidRPr="000C71FB" w:rsidRDefault="00345EE3">
      <w:pPr>
        <w:pStyle w:val="ListParagraph"/>
        <w:numPr>
          <w:ilvl w:val="0"/>
          <w:numId w:val="41"/>
        </w:numPr>
        <w:tabs>
          <w:tab w:val="left" w:pos="338"/>
        </w:tabs>
        <w:spacing w:before="27"/>
        <w:ind w:hanging="228"/>
        <w:rPr>
          <w:sz w:val="18"/>
          <w:szCs w:val="18"/>
        </w:rPr>
      </w:pPr>
      <w:r w:rsidRPr="000C71FB">
        <w:rPr>
          <w:color w:val="231F20"/>
          <w:sz w:val="18"/>
          <w:szCs w:val="18"/>
        </w:rPr>
        <w:t>The</w:t>
      </w:r>
      <w:r w:rsidRPr="000C71FB">
        <w:rPr>
          <w:color w:val="231F20"/>
          <w:spacing w:val="-2"/>
          <w:sz w:val="18"/>
          <w:szCs w:val="18"/>
        </w:rPr>
        <w:t xml:space="preserve"> </w:t>
      </w:r>
      <w:r w:rsidRPr="000C71FB">
        <w:rPr>
          <w:color w:val="231F20"/>
          <w:sz w:val="18"/>
          <w:szCs w:val="18"/>
        </w:rPr>
        <w:t>amounts</w:t>
      </w:r>
      <w:r w:rsidRPr="000C71FB">
        <w:rPr>
          <w:color w:val="231F20"/>
          <w:spacing w:val="-1"/>
          <w:sz w:val="18"/>
          <w:szCs w:val="18"/>
        </w:rPr>
        <w:t xml:space="preserve"> </w:t>
      </w:r>
      <w:r w:rsidRPr="000C71FB">
        <w:rPr>
          <w:color w:val="231F20"/>
          <w:sz w:val="18"/>
          <w:szCs w:val="18"/>
        </w:rPr>
        <w:t>disclosed</w:t>
      </w:r>
      <w:r w:rsidRPr="000C71FB">
        <w:rPr>
          <w:color w:val="231F20"/>
          <w:spacing w:val="-2"/>
          <w:sz w:val="18"/>
          <w:szCs w:val="18"/>
        </w:rPr>
        <w:t xml:space="preserve"> </w:t>
      </w:r>
      <w:r w:rsidRPr="000C71FB">
        <w:rPr>
          <w:color w:val="231F20"/>
          <w:sz w:val="18"/>
          <w:szCs w:val="18"/>
        </w:rPr>
        <w:t>are</w:t>
      </w:r>
      <w:r w:rsidRPr="000C71FB">
        <w:rPr>
          <w:color w:val="231F20"/>
          <w:spacing w:val="-1"/>
          <w:sz w:val="18"/>
          <w:szCs w:val="18"/>
        </w:rPr>
        <w:t xml:space="preserve"> </w:t>
      </w:r>
      <w:r w:rsidRPr="000C71FB">
        <w:rPr>
          <w:color w:val="231F20"/>
          <w:sz w:val="18"/>
          <w:szCs w:val="18"/>
        </w:rPr>
        <w:t>nominal</w:t>
      </w:r>
      <w:r w:rsidRPr="000C71FB">
        <w:rPr>
          <w:color w:val="231F20"/>
          <w:spacing w:val="-1"/>
          <w:sz w:val="18"/>
          <w:szCs w:val="18"/>
        </w:rPr>
        <w:t xml:space="preserve"> </w:t>
      </w:r>
      <w:r w:rsidRPr="000C71FB">
        <w:rPr>
          <w:color w:val="231F20"/>
          <w:spacing w:val="-2"/>
          <w:sz w:val="18"/>
          <w:szCs w:val="18"/>
        </w:rPr>
        <w:t>amounts.</w:t>
      </w:r>
    </w:p>
    <w:p w14:paraId="51AA8C67" w14:textId="77777777" w:rsidR="00345EE3" w:rsidRPr="000C71FB" w:rsidRDefault="00345EE3">
      <w:pPr>
        <w:pStyle w:val="ListParagraph"/>
        <w:numPr>
          <w:ilvl w:val="0"/>
          <w:numId w:val="41"/>
        </w:numPr>
        <w:tabs>
          <w:tab w:val="left" w:pos="338"/>
        </w:tabs>
        <w:spacing w:before="27"/>
        <w:ind w:hanging="228"/>
        <w:rPr>
          <w:sz w:val="18"/>
          <w:szCs w:val="18"/>
        </w:rPr>
      </w:pPr>
      <w:r w:rsidRPr="000C71FB">
        <w:rPr>
          <w:color w:val="231F20"/>
          <w:sz w:val="18"/>
          <w:szCs w:val="18"/>
        </w:rPr>
        <w:t>The</w:t>
      </w:r>
      <w:r w:rsidRPr="000C71FB">
        <w:rPr>
          <w:color w:val="231F20"/>
          <w:spacing w:val="-4"/>
          <w:sz w:val="18"/>
          <w:szCs w:val="18"/>
        </w:rPr>
        <w:t xml:space="preserve"> </w:t>
      </w:r>
      <w:r w:rsidRPr="000C71FB">
        <w:rPr>
          <w:color w:val="231F20"/>
          <w:sz w:val="18"/>
          <w:szCs w:val="18"/>
        </w:rPr>
        <w:t>amounts</w:t>
      </w:r>
      <w:r w:rsidRPr="000C71FB">
        <w:rPr>
          <w:color w:val="231F20"/>
          <w:spacing w:val="-2"/>
          <w:sz w:val="18"/>
          <w:szCs w:val="18"/>
        </w:rPr>
        <w:t xml:space="preserve"> </w:t>
      </w:r>
      <w:r w:rsidRPr="000C71FB">
        <w:rPr>
          <w:color w:val="231F20"/>
          <w:sz w:val="18"/>
          <w:szCs w:val="18"/>
        </w:rPr>
        <w:t>disclosed</w:t>
      </w:r>
      <w:r w:rsidRPr="000C71FB">
        <w:rPr>
          <w:color w:val="231F20"/>
          <w:spacing w:val="-2"/>
          <w:sz w:val="18"/>
          <w:szCs w:val="18"/>
        </w:rPr>
        <w:t xml:space="preserve"> </w:t>
      </w:r>
      <w:r w:rsidRPr="000C71FB">
        <w:rPr>
          <w:color w:val="231F20"/>
          <w:sz w:val="18"/>
          <w:szCs w:val="18"/>
        </w:rPr>
        <w:t>are</w:t>
      </w:r>
      <w:r w:rsidRPr="000C71FB">
        <w:rPr>
          <w:color w:val="231F20"/>
          <w:spacing w:val="-1"/>
          <w:sz w:val="18"/>
          <w:szCs w:val="18"/>
        </w:rPr>
        <w:t xml:space="preserve"> </w:t>
      </w:r>
      <w:r w:rsidRPr="000C71FB">
        <w:rPr>
          <w:color w:val="231F20"/>
          <w:sz w:val="18"/>
          <w:szCs w:val="18"/>
        </w:rPr>
        <w:t>discounted</w:t>
      </w:r>
      <w:r w:rsidRPr="000C71FB">
        <w:rPr>
          <w:color w:val="231F20"/>
          <w:spacing w:val="-2"/>
          <w:sz w:val="18"/>
          <w:szCs w:val="18"/>
        </w:rPr>
        <w:t xml:space="preserve"> </w:t>
      </w:r>
      <w:r w:rsidRPr="000C71FB">
        <w:rPr>
          <w:color w:val="231F20"/>
          <w:sz w:val="18"/>
          <w:szCs w:val="18"/>
        </w:rPr>
        <w:t>to</w:t>
      </w:r>
      <w:r w:rsidRPr="000C71FB">
        <w:rPr>
          <w:color w:val="231F20"/>
          <w:spacing w:val="-2"/>
          <w:sz w:val="18"/>
          <w:szCs w:val="18"/>
        </w:rPr>
        <w:t xml:space="preserve"> </w:t>
      </w:r>
      <w:r w:rsidRPr="000C71FB">
        <w:rPr>
          <w:color w:val="231F20"/>
          <w:sz w:val="18"/>
          <w:szCs w:val="18"/>
        </w:rPr>
        <w:t>present</w:t>
      </w:r>
      <w:r w:rsidRPr="000C71FB">
        <w:rPr>
          <w:color w:val="231F20"/>
          <w:spacing w:val="-1"/>
          <w:sz w:val="18"/>
          <w:szCs w:val="18"/>
        </w:rPr>
        <w:t xml:space="preserve"> </w:t>
      </w:r>
      <w:r w:rsidRPr="000C71FB">
        <w:rPr>
          <w:color w:val="231F20"/>
          <w:spacing w:val="-2"/>
          <w:sz w:val="18"/>
          <w:szCs w:val="18"/>
        </w:rPr>
        <w:t>values.</w:t>
      </w:r>
    </w:p>
    <w:p w14:paraId="16D93B5D" w14:textId="77777777" w:rsidR="00345EE3" w:rsidRDefault="00345EE3" w:rsidP="00345EE3">
      <w:pPr>
        <w:rPr>
          <w:b/>
          <w:color w:val="58595B"/>
          <w:sz w:val="24"/>
        </w:rPr>
      </w:pPr>
      <w:r>
        <w:rPr>
          <w:b/>
          <w:color w:val="58595B"/>
          <w:sz w:val="24"/>
        </w:rPr>
        <w:br w:type="page"/>
      </w:r>
    </w:p>
    <w:p w14:paraId="26C72080" w14:textId="77777777" w:rsidR="00345EE3" w:rsidRPr="00930C1B" w:rsidRDefault="00345EE3" w:rsidP="00345EE3">
      <w:pPr>
        <w:widowControl/>
        <w:suppressAutoHyphens/>
        <w:adjustRightInd w:val="0"/>
        <w:spacing w:before="113" w:after="57" w:line="280" w:lineRule="atLeast"/>
        <w:ind w:left="142"/>
        <w:textAlignment w:val="center"/>
        <w:rPr>
          <w:rFonts w:eastAsiaTheme="minorHAnsi"/>
          <w:b/>
          <w:bCs/>
          <w:color w:val="000000"/>
          <w:sz w:val="24"/>
          <w:szCs w:val="24"/>
          <w:lang w:val="en-GB"/>
        </w:rPr>
      </w:pPr>
      <w:r w:rsidRPr="00930C1B">
        <w:rPr>
          <w:rFonts w:eastAsiaTheme="minorHAnsi"/>
          <w:b/>
          <w:bCs/>
          <w:color w:val="000000"/>
          <w:sz w:val="24"/>
          <w:szCs w:val="24"/>
          <w:lang w:val="en-GB"/>
        </w:rPr>
        <w:t>Reconciliation of Movement in On-Cost and Commuted Overtime Provisions</w:t>
      </w:r>
    </w:p>
    <w:tbl>
      <w:tblPr>
        <w:tblW w:w="0" w:type="auto"/>
        <w:tblInd w:w="156" w:type="dxa"/>
        <w:tblLayout w:type="fixed"/>
        <w:tblCellMar>
          <w:left w:w="0" w:type="dxa"/>
          <w:right w:w="0" w:type="dxa"/>
        </w:tblCellMar>
        <w:tblLook w:val="0000" w:firstRow="0" w:lastRow="0" w:firstColumn="0" w:lastColumn="0" w:noHBand="0" w:noVBand="0"/>
      </w:tblPr>
      <w:tblGrid>
        <w:gridCol w:w="6463"/>
        <w:gridCol w:w="1134"/>
        <w:gridCol w:w="1474"/>
        <w:gridCol w:w="1134"/>
      </w:tblGrid>
      <w:tr w:rsidR="00345EE3" w:rsidRPr="00930C1B" w14:paraId="07DCF1B6" w14:textId="77777777" w:rsidTr="00D73130">
        <w:trPr>
          <w:trHeight w:val="60"/>
          <w:tblHeader/>
        </w:trPr>
        <w:tc>
          <w:tcPr>
            <w:tcW w:w="10205" w:type="dxa"/>
            <w:gridSpan w:val="4"/>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40368D7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thousand)</w:t>
            </w:r>
          </w:p>
        </w:tc>
      </w:tr>
      <w:tr w:rsidR="00345EE3" w:rsidRPr="00930C1B" w14:paraId="0909B14C" w14:textId="77777777" w:rsidTr="00D73130">
        <w:trPr>
          <w:trHeight w:val="60"/>
          <w:tblHeader/>
        </w:trPr>
        <w:tc>
          <w:tcPr>
            <w:tcW w:w="6463"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231756F"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E73048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On-Costs</w:t>
            </w:r>
          </w:p>
        </w:tc>
        <w:tc>
          <w:tcPr>
            <w:tcW w:w="147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D80B94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Commuted</w:t>
            </w:r>
            <w:r w:rsidRPr="00930C1B">
              <w:rPr>
                <w:rFonts w:eastAsiaTheme="minorHAnsi"/>
                <w:b/>
                <w:bCs/>
                <w:color w:val="FFFFFF"/>
                <w:spacing w:val="-2"/>
                <w:sz w:val="24"/>
                <w:szCs w:val="24"/>
                <w:lang w:val="en-GB"/>
              </w:rPr>
              <w:br/>
              <w:t>Overtime</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6E4FDE2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xml:space="preserve">Total </w:t>
            </w:r>
            <w:r w:rsidRPr="00930C1B">
              <w:rPr>
                <w:rFonts w:eastAsiaTheme="minorHAnsi"/>
                <w:b/>
                <w:bCs/>
                <w:color w:val="FFFFFF"/>
                <w:spacing w:val="-2"/>
                <w:sz w:val="24"/>
                <w:szCs w:val="24"/>
                <w:lang w:val="en-GB"/>
              </w:rPr>
              <w:br/>
              <w:t>2022</w:t>
            </w:r>
          </w:p>
        </w:tc>
      </w:tr>
      <w:tr w:rsidR="00345EE3" w:rsidRPr="00930C1B" w14:paraId="746312C3" w14:textId="77777777" w:rsidTr="00D73130">
        <w:trPr>
          <w:trHeight w:val="60"/>
        </w:trPr>
        <w:tc>
          <w:tcPr>
            <w:tcW w:w="646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3E3564C"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Opening Balance 1 July 2021</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372897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156,507</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10444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1,921</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717BAB8"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158,428</w:t>
            </w:r>
          </w:p>
        </w:tc>
      </w:tr>
      <w:tr w:rsidR="00345EE3" w:rsidRPr="00930C1B" w14:paraId="2BA2EC59" w14:textId="77777777" w:rsidTr="00D73130">
        <w:trPr>
          <w:trHeight w:val="60"/>
        </w:trPr>
        <w:tc>
          <w:tcPr>
            <w:tcW w:w="646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7D3AE97"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Additional provisions recognised</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DD922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40,222</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53BA31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26</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BECEF3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40,248</w:t>
            </w:r>
          </w:p>
        </w:tc>
      </w:tr>
      <w:tr w:rsidR="00345EE3" w:rsidRPr="00930C1B" w14:paraId="1C63B6BB" w14:textId="77777777" w:rsidTr="00D73130">
        <w:trPr>
          <w:trHeight w:val="60"/>
        </w:trPr>
        <w:tc>
          <w:tcPr>
            <w:tcW w:w="646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451EF7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Reductions arising from payments/other sacrifices of future economic benefits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765C9FF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(26,914)</w:t>
            </w:r>
          </w:p>
        </w:tc>
        <w:tc>
          <w:tcPr>
            <w:tcW w:w="147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5A71AA9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(210)</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55AB017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(27,124)</w:t>
            </w:r>
          </w:p>
        </w:tc>
      </w:tr>
      <w:tr w:rsidR="00345EE3" w:rsidRPr="00930C1B" w14:paraId="4618AB3C" w14:textId="77777777" w:rsidTr="00D73130">
        <w:trPr>
          <w:trHeight w:val="60"/>
        </w:trPr>
        <w:tc>
          <w:tcPr>
            <w:tcW w:w="6463"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3865D384"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Closing Balance 30 June 2022</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35702F8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169,815</w:t>
            </w:r>
          </w:p>
        </w:tc>
        <w:tc>
          <w:tcPr>
            <w:tcW w:w="147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2BDCB10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1,737</w:t>
            </w:r>
          </w:p>
        </w:tc>
        <w:tc>
          <w:tcPr>
            <w:tcW w:w="1134" w:type="dxa"/>
            <w:tcBorders>
              <w:top w:val="single" w:sz="4" w:space="0" w:color="000000"/>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4C7F2E1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171,552</w:t>
            </w:r>
          </w:p>
        </w:tc>
      </w:tr>
      <w:tr w:rsidR="00345EE3" w:rsidRPr="00930C1B" w14:paraId="185C693B" w14:textId="77777777" w:rsidTr="00D73130">
        <w:trPr>
          <w:trHeight w:val="60"/>
        </w:trPr>
        <w:tc>
          <w:tcPr>
            <w:tcW w:w="6463"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3B6DE614"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Current</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0220597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150,684</w:t>
            </w:r>
          </w:p>
        </w:tc>
        <w:tc>
          <w:tcPr>
            <w:tcW w:w="147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2E15200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1,737</w:t>
            </w:r>
          </w:p>
        </w:tc>
        <w:tc>
          <w:tcPr>
            <w:tcW w:w="1134" w:type="dxa"/>
            <w:tcBorders>
              <w:top w:val="single" w:sz="4" w:space="0" w:color="000000"/>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7B7A27F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152,421</w:t>
            </w:r>
          </w:p>
        </w:tc>
      </w:tr>
      <w:tr w:rsidR="00345EE3" w:rsidRPr="00930C1B" w14:paraId="400518D9" w14:textId="77777777" w:rsidTr="00D73130">
        <w:trPr>
          <w:trHeight w:val="60"/>
        </w:trPr>
        <w:tc>
          <w:tcPr>
            <w:tcW w:w="6463"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2C3DB3F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Non-current</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562D885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19,131</w:t>
            </w:r>
          </w:p>
        </w:tc>
        <w:tc>
          <w:tcPr>
            <w:tcW w:w="147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2BD405E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 -  </w:t>
            </w:r>
          </w:p>
        </w:tc>
        <w:tc>
          <w:tcPr>
            <w:tcW w:w="1134" w:type="dxa"/>
            <w:tcBorders>
              <w:top w:val="single" w:sz="4" w:space="0" w:color="000000"/>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7FF39E1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19,131</w:t>
            </w:r>
          </w:p>
        </w:tc>
      </w:tr>
      <w:tr w:rsidR="00345EE3" w:rsidRPr="00930C1B" w14:paraId="5E708A7C" w14:textId="77777777" w:rsidTr="00D73130">
        <w:trPr>
          <w:trHeight w:val="60"/>
        </w:trPr>
        <w:tc>
          <w:tcPr>
            <w:tcW w:w="6463"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1E9708BD"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Closing Balance 30 June 2022</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2336EE3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169,815</w:t>
            </w:r>
          </w:p>
        </w:tc>
        <w:tc>
          <w:tcPr>
            <w:tcW w:w="147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0D5D664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1,737</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5328C73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171,552</w:t>
            </w:r>
          </w:p>
        </w:tc>
      </w:tr>
    </w:tbl>
    <w:p w14:paraId="1E7DA5A5" w14:textId="77777777" w:rsidR="00345EE3" w:rsidRDefault="00345EE3" w:rsidP="00345EE3">
      <w:pPr>
        <w:spacing w:before="240"/>
        <w:ind w:left="110"/>
        <w:rPr>
          <w:b/>
          <w:sz w:val="24"/>
        </w:rPr>
      </w:pPr>
      <w:r>
        <w:rPr>
          <w:b/>
          <w:color w:val="231F20"/>
          <w:sz w:val="24"/>
        </w:rPr>
        <w:t>Wages</w:t>
      </w:r>
      <w:r>
        <w:rPr>
          <w:b/>
          <w:color w:val="231F20"/>
          <w:spacing w:val="-4"/>
          <w:sz w:val="24"/>
        </w:rPr>
        <w:t xml:space="preserve"> </w:t>
      </w:r>
      <w:r>
        <w:rPr>
          <w:b/>
          <w:color w:val="231F20"/>
          <w:sz w:val="24"/>
        </w:rPr>
        <w:t>and</w:t>
      </w:r>
      <w:r>
        <w:rPr>
          <w:b/>
          <w:color w:val="231F20"/>
          <w:spacing w:val="-2"/>
          <w:sz w:val="24"/>
        </w:rPr>
        <w:t xml:space="preserve"> </w:t>
      </w:r>
      <w:r>
        <w:rPr>
          <w:b/>
          <w:color w:val="231F20"/>
          <w:sz w:val="24"/>
        </w:rPr>
        <w:t>Salaries</w:t>
      </w:r>
      <w:r>
        <w:rPr>
          <w:b/>
          <w:color w:val="231F20"/>
          <w:spacing w:val="-4"/>
          <w:sz w:val="24"/>
        </w:rPr>
        <w:t xml:space="preserve"> </w:t>
      </w:r>
      <w:r>
        <w:rPr>
          <w:b/>
          <w:color w:val="231F20"/>
          <w:sz w:val="24"/>
        </w:rPr>
        <w:t>and</w:t>
      </w:r>
      <w:r>
        <w:rPr>
          <w:b/>
          <w:color w:val="231F20"/>
          <w:spacing w:val="-2"/>
          <w:sz w:val="24"/>
        </w:rPr>
        <w:t xml:space="preserve"> </w:t>
      </w:r>
      <w:r>
        <w:rPr>
          <w:b/>
          <w:color w:val="231F20"/>
          <w:sz w:val="24"/>
        </w:rPr>
        <w:t>Annual</w:t>
      </w:r>
      <w:r>
        <w:rPr>
          <w:b/>
          <w:color w:val="231F20"/>
          <w:spacing w:val="-2"/>
          <w:sz w:val="24"/>
        </w:rPr>
        <w:t xml:space="preserve"> </w:t>
      </w:r>
      <w:r>
        <w:rPr>
          <w:b/>
          <w:color w:val="231F20"/>
          <w:spacing w:val="-4"/>
          <w:sz w:val="24"/>
        </w:rPr>
        <w:t>Leave</w:t>
      </w:r>
    </w:p>
    <w:p w14:paraId="55486250" w14:textId="77777777" w:rsidR="00345EE3" w:rsidRDefault="00345EE3" w:rsidP="00345EE3">
      <w:pPr>
        <w:pStyle w:val="BodyText"/>
        <w:spacing w:before="61" w:line="242" w:lineRule="auto"/>
        <w:ind w:right="115"/>
      </w:pPr>
      <w:r>
        <w:rPr>
          <w:color w:val="231F20"/>
        </w:rPr>
        <w:t>Liabilities</w:t>
      </w:r>
      <w:r>
        <w:rPr>
          <w:color w:val="231F20"/>
          <w:spacing w:val="-11"/>
        </w:rPr>
        <w:t xml:space="preserve"> </w:t>
      </w:r>
      <w:r>
        <w:rPr>
          <w:color w:val="231F20"/>
        </w:rPr>
        <w:t>for</w:t>
      </w:r>
      <w:r>
        <w:rPr>
          <w:color w:val="231F20"/>
          <w:spacing w:val="-11"/>
        </w:rPr>
        <w:t xml:space="preserve"> </w:t>
      </w:r>
      <w:r>
        <w:rPr>
          <w:color w:val="231F20"/>
        </w:rPr>
        <w:t>wages</w:t>
      </w:r>
      <w:r>
        <w:rPr>
          <w:color w:val="231F20"/>
          <w:spacing w:val="-11"/>
        </w:rPr>
        <w:t xml:space="preserve"> </w:t>
      </w:r>
      <w:r>
        <w:rPr>
          <w:color w:val="231F20"/>
        </w:rPr>
        <w:t>and</w:t>
      </w:r>
      <w:r>
        <w:rPr>
          <w:color w:val="231F20"/>
          <w:spacing w:val="-11"/>
        </w:rPr>
        <w:t xml:space="preserve"> </w:t>
      </w:r>
      <w:r>
        <w:rPr>
          <w:color w:val="231F20"/>
        </w:rPr>
        <w:t>salaries</w:t>
      </w:r>
      <w:r>
        <w:rPr>
          <w:color w:val="231F20"/>
          <w:spacing w:val="-11"/>
        </w:rPr>
        <w:t xml:space="preserve"> </w:t>
      </w:r>
      <w:r>
        <w:rPr>
          <w:color w:val="231F20"/>
        </w:rPr>
        <w:t>(including</w:t>
      </w:r>
      <w:r>
        <w:rPr>
          <w:color w:val="231F20"/>
          <w:spacing w:val="-11"/>
        </w:rPr>
        <w:t xml:space="preserve"> </w:t>
      </w:r>
      <w:r>
        <w:rPr>
          <w:color w:val="231F20"/>
        </w:rPr>
        <w:t>non-monetary</w:t>
      </w:r>
      <w:r>
        <w:rPr>
          <w:color w:val="231F20"/>
          <w:spacing w:val="-11"/>
        </w:rPr>
        <w:t xml:space="preserve"> </w:t>
      </w:r>
      <w:r>
        <w:rPr>
          <w:color w:val="231F20"/>
        </w:rPr>
        <w:t>benefits,</w:t>
      </w:r>
      <w:r>
        <w:rPr>
          <w:color w:val="231F20"/>
          <w:spacing w:val="-11"/>
        </w:rPr>
        <w:t xml:space="preserve"> </w:t>
      </w:r>
      <w:r>
        <w:rPr>
          <w:color w:val="231F20"/>
        </w:rPr>
        <w:t>annual</w:t>
      </w:r>
      <w:r>
        <w:rPr>
          <w:color w:val="231F20"/>
          <w:spacing w:val="-11"/>
        </w:rPr>
        <w:t xml:space="preserve"> </w:t>
      </w:r>
      <w:r>
        <w:rPr>
          <w:color w:val="231F20"/>
        </w:rPr>
        <w:t>leave</w:t>
      </w:r>
      <w:r>
        <w:rPr>
          <w:color w:val="231F20"/>
          <w:spacing w:val="-11"/>
        </w:rPr>
        <w:t xml:space="preserve"> </w:t>
      </w:r>
      <w:r>
        <w:rPr>
          <w:color w:val="231F20"/>
        </w:rPr>
        <w:t>and</w:t>
      </w:r>
      <w:r>
        <w:rPr>
          <w:color w:val="231F20"/>
          <w:spacing w:val="-11"/>
        </w:rPr>
        <w:t xml:space="preserve"> </w:t>
      </w:r>
      <w:r>
        <w:rPr>
          <w:color w:val="231F20"/>
        </w:rPr>
        <w:t>on-costs) are all recognised in the provision for employee benefits as current liabilities because Victoria Police does not have an unconditional right to defer settlements of these liabilities.</w:t>
      </w:r>
    </w:p>
    <w:p w14:paraId="54F079D1" w14:textId="77777777" w:rsidR="00345EE3" w:rsidRDefault="00345EE3" w:rsidP="00345EE3">
      <w:pPr>
        <w:pStyle w:val="BodyText"/>
        <w:spacing w:before="117" w:line="242" w:lineRule="auto"/>
      </w:pPr>
      <w:r>
        <w:rPr>
          <w:color w:val="231F20"/>
        </w:rPr>
        <w:t>The</w:t>
      </w:r>
      <w:r>
        <w:rPr>
          <w:color w:val="231F20"/>
          <w:spacing w:val="-9"/>
        </w:rPr>
        <w:t xml:space="preserve"> </w:t>
      </w:r>
      <w:r>
        <w:rPr>
          <w:color w:val="231F20"/>
        </w:rPr>
        <w:t>liability</w:t>
      </w:r>
      <w:r>
        <w:rPr>
          <w:color w:val="231F20"/>
          <w:spacing w:val="-8"/>
        </w:rPr>
        <w:t xml:space="preserve"> </w:t>
      </w:r>
      <w:r>
        <w:rPr>
          <w:color w:val="231F20"/>
        </w:rPr>
        <w:t>for</w:t>
      </w:r>
      <w:r>
        <w:rPr>
          <w:color w:val="231F20"/>
          <w:spacing w:val="-8"/>
        </w:rPr>
        <w:t xml:space="preserve"> </w:t>
      </w:r>
      <w:r>
        <w:rPr>
          <w:color w:val="231F20"/>
        </w:rPr>
        <w:t>salaries</w:t>
      </w:r>
      <w:r>
        <w:rPr>
          <w:color w:val="231F20"/>
          <w:spacing w:val="-8"/>
        </w:rPr>
        <w:t xml:space="preserve"> </w:t>
      </w:r>
      <w:r>
        <w:rPr>
          <w:color w:val="231F20"/>
        </w:rPr>
        <w:t>and</w:t>
      </w:r>
      <w:r>
        <w:rPr>
          <w:color w:val="231F20"/>
          <w:spacing w:val="-9"/>
        </w:rPr>
        <w:t xml:space="preserve"> </w:t>
      </w:r>
      <w:r>
        <w:rPr>
          <w:color w:val="231F20"/>
        </w:rPr>
        <w:t>wages</w:t>
      </w:r>
      <w:r>
        <w:rPr>
          <w:color w:val="231F20"/>
          <w:spacing w:val="-8"/>
        </w:rPr>
        <w:t xml:space="preserve"> </w:t>
      </w:r>
      <w:r>
        <w:rPr>
          <w:color w:val="231F20"/>
        </w:rPr>
        <w:t>are</w:t>
      </w:r>
      <w:r>
        <w:rPr>
          <w:color w:val="231F20"/>
          <w:spacing w:val="-9"/>
        </w:rPr>
        <w:t xml:space="preserve"> </w:t>
      </w:r>
      <w:r>
        <w:rPr>
          <w:color w:val="231F20"/>
        </w:rPr>
        <w:t>recognised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Balance</w:t>
      </w:r>
      <w:r>
        <w:rPr>
          <w:color w:val="231F20"/>
          <w:spacing w:val="-9"/>
        </w:rPr>
        <w:t xml:space="preserve"> </w:t>
      </w:r>
      <w:r>
        <w:rPr>
          <w:color w:val="231F20"/>
        </w:rPr>
        <w:t>Sheet</w:t>
      </w:r>
      <w:r>
        <w:rPr>
          <w:color w:val="231F20"/>
          <w:spacing w:val="-8"/>
        </w:rPr>
        <w:t xml:space="preserve"> </w:t>
      </w:r>
      <w:r>
        <w:rPr>
          <w:color w:val="231F20"/>
        </w:rPr>
        <w:t>at</w:t>
      </w:r>
      <w:r>
        <w:rPr>
          <w:color w:val="231F20"/>
          <w:spacing w:val="-8"/>
        </w:rPr>
        <w:t xml:space="preserve"> </w:t>
      </w:r>
      <w:r>
        <w:rPr>
          <w:color w:val="231F20"/>
        </w:rPr>
        <w:t>remuneration</w:t>
      </w:r>
      <w:r>
        <w:rPr>
          <w:color w:val="231F20"/>
          <w:spacing w:val="-9"/>
        </w:rPr>
        <w:t xml:space="preserve"> </w:t>
      </w:r>
      <w:r>
        <w:rPr>
          <w:color w:val="231F20"/>
        </w:rPr>
        <w:t>rates which are current at the reporting date. As Victoria Police expects the liabilities to be wholly settled within 12 months of reporting date, they are measured at undiscounted amounts.</w:t>
      </w:r>
    </w:p>
    <w:p w14:paraId="287E3034" w14:textId="77777777" w:rsidR="00345EE3" w:rsidRDefault="00345EE3" w:rsidP="00345EE3">
      <w:pPr>
        <w:pStyle w:val="BodyText"/>
        <w:spacing w:before="117" w:line="242" w:lineRule="auto"/>
        <w:ind w:right="618"/>
        <w:jc w:val="both"/>
      </w:pPr>
      <w:r>
        <w:rPr>
          <w:color w:val="231F20"/>
        </w:rPr>
        <w:t>The</w:t>
      </w:r>
      <w:r>
        <w:rPr>
          <w:color w:val="231F20"/>
          <w:spacing w:val="-10"/>
        </w:rPr>
        <w:t xml:space="preserve"> </w:t>
      </w:r>
      <w:r>
        <w:rPr>
          <w:color w:val="231F20"/>
        </w:rPr>
        <w:t>annual</w:t>
      </w:r>
      <w:r>
        <w:rPr>
          <w:color w:val="231F20"/>
          <w:spacing w:val="-10"/>
        </w:rPr>
        <w:t xml:space="preserve"> </w:t>
      </w:r>
      <w:r>
        <w:rPr>
          <w:color w:val="231F20"/>
        </w:rPr>
        <w:t>leave</w:t>
      </w:r>
      <w:r>
        <w:rPr>
          <w:color w:val="231F20"/>
          <w:spacing w:val="-10"/>
        </w:rPr>
        <w:t xml:space="preserve"> </w:t>
      </w:r>
      <w:r>
        <w:rPr>
          <w:color w:val="231F20"/>
        </w:rPr>
        <w:t>liability</w:t>
      </w:r>
      <w:r>
        <w:rPr>
          <w:color w:val="231F20"/>
          <w:spacing w:val="-9"/>
        </w:rPr>
        <w:t xml:space="preserve"> </w:t>
      </w:r>
      <w:r>
        <w:rPr>
          <w:color w:val="231F20"/>
        </w:rPr>
        <w:t>is</w:t>
      </w:r>
      <w:r>
        <w:rPr>
          <w:color w:val="231F20"/>
          <w:spacing w:val="-9"/>
        </w:rPr>
        <w:t xml:space="preserve"> </w:t>
      </w:r>
      <w:r>
        <w:rPr>
          <w:color w:val="231F20"/>
        </w:rPr>
        <w:t>classified</w:t>
      </w:r>
      <w:r>
        <w:rPr>
          <w:color w:val="231F20"/>
          <w:spacing w:val="-10"/>
        </w:rPr>
        <w:t xml:space="preserve"> </w:t>
      </w:r>
      <w:r>
        <w:rPr>
          <w:color w:val="231F20"/>
        </w:rPr>
        <w:t>as</w:t>
      </w:r>
      <w:r>
        <w:rPr>
          <w:color w:val="231F20"/>
          <w:spacing w:val="-9"/>
        </w:rPr>
        <w:t xml:space="preserve"> </w:t>
      </w:r>
      <w:r>
        <w:rPr>
          <w:color w:val="231F20"/>
        </w:rPr>
        <w:t>a</w:t>
      </w:r>
      <w:r>
        <w:rPr>
          <w:color w:val="231F20"/>
          <w:spacing w:val="-10"/>
        </w:rPr>
        <w:t xml:space="preserve"> </w:t>
      </w:r>
      <w:r>
        <w:rPr>
          <w:color w:val="231F20"/>
        </w:rPr>
        <w:t>current</w:t>
      </w:r>
      <w:r>
        <w:rPr>
          <w:color w:val="231F20"/>
          <w:spacing w:val="-9"/>
        </w:rPr>
        <w:t xml:space="preserve"> </w:t>
      </w:r>
      <w:r>
        <w:rPr>
          <w:color w:val="231F20"/>
        </w:rPr>
        <w:t>liability</w:t>
      </w:r>
      <w:r>
        <w:rPr>
          <w:color w:val="231F20"/>
          <w:spacing w:val="-9"/>
        </w:rPr>
        <w:t xml:space="preserve"> </w:t>
      </w:r>
      <w:r>
        <w:rPr>
          <w:color w:val="231F20"/>
        </w:rPr>
        <w:t>and</w:t>
      </w:r>
      <w:r>
        <w:rPr>
          <w:color w:val="231F20"/>
          <w:spacing w:val="-10"/>
        </w:rPr>
        <w:t xml:space="preserve"> </w:t>
      </w:r>
      <w:r>
        <w:rPr>
          <w:color w:val="231F20"/>
        </w:rPr>
        <w:t>measured</w:t>
      </w:r>
      <w:r>
        <w:rPr>
          <w:color w:val="231F20"/>
          <w:spacing w:val="-10"/>
        </w:rPr>
        <w:t xml:space="preserve"> </w:t>
      </w:r>
      <w:r>
        <w:rPr>
          <w:color w:val="231F20"/>
        </w:rPr>
        <w:t>at</w:t>
      </w:r>
      <w:r>
        <w:rPr>
          <w:color w:val="231F20"/>
          <w:spacing w:val="-9"/>
        </w:rPr>
        <w:t xml:space="preserve"> </w:t>
      </w:r>
      <w:r>
        <w:rPr>
          <w:color w:val="231F20"/>
        </w:rPr>
        <w:t>the</w:t>
      </w:r>
      <w:r>
        <w:rPr>
          <w:color w:val="231F20"/>
          <w:spacing w:val="-10"/>
        </w:rPr>
        <w:t xml:space="preserve"> </w:t>
      </w:r>
      <w:r>
        <w:rPr>
          <w:color w:val="231F20"/>
        </w:rPr>
        <w:t>undiscounted amount</w:t>
      </w:r>
      <w:r>
        <w:rPr>
          <w:color w:val="231F20"/>
          <w:spacing w:val="-4"/>
        </w:rPr>
        <w:t xml:space="preserve"> </w:t>
      </w:r>
      <w:r>
        <w:rPr>
          <w:color w:val="231F20"/>
        </w:rPr>
        <w:t>expected</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paid,</w:t>
      </w:r>
      <w:r>
        <w:rPr>
          <w:color w:val="231F20"/>
          <w:spacing w:val="-4"/>
        </w:rPr>
        <w:t xml:space="preserve"> </w:t>
      </w:r>
      <w:r>
        <w:rPr>
          <w:color w:val="231F20"/>
        </w:rPr>
        <w:t>as</w:t>
      </w:r>
      <w:r>
        <w:rPr>
          <w:color w:val="231F20"/>
          <w:spacing w:val="-4"/>
        </w:rPr>
        <w:t xml:space="preserve"> </w:t>
      </w:r>
      <w:r>
        <w:rPr>
          <w:color w:val="231F20"/>
        </w:rPr>
        <w:t>Victoria</w:t>
      </w:r>
      <w:r>
        <w:rPr>
          <w:color w:val="231F20"/>
          <w:spacing w:val="-5"/>
        </w:rPr>
        <w:t xml:space="preserve"> </w:t>
      </w:r>
      <w:r>
        <w:rPr>
          <w:color w:val="231F20"/>
        </w:rPr>
        <w:t>Police</w:t>
      </w:r>
      <w:r>
        <w:rPr>
          <w:color w:val="231F20"/>
          <w:spacing w:val="-5"/>
        </w:rPr>
        <w:t xml:space="preserve"> </w:t>
      </w:r>
      <w:r>
        <w:rPr>
          <w:color w:val="231F20"/>
        </w:rPr>
        <w:t>does</w:t>
      </w:r>
      <w:r>
        <w:rPr>
          <w:color w:val="231F20"/>
          <w:spacing w:val="-4"/>
        </w:rPr>
        <w:t xml:space="preserve"> </w:t>
      </w:r>
      <w:r>
        <w:rPr>
          <w:color w:val="231F20"/>
        </w:rPr>
        <w:t>not</w:t>
      </w:r>
      <w:r>
        <w:rPr>
          <w:color w:val="231F20"/>
          <w:spacing w:val="-4"/>
        </w:rPr>
        <w:t xml:space="preserve"> </w:t>
      </w:r>
      <w:r>
        <w:rPr>
          <w:color w:val="231F20"/>
        </w:rPr>
        <w:t>have</w:t>
      </w:r>
      <w:r>
        <w:rPr>
          <w:color w:val="231F20"/>
          <w:spacing w:val="-5"/>
        </w:rPr>
        <w:t xml:space="preserve"> </w:t>
      </w:r>
      <w:r>
        <w:rPr>
          <w:color w:val="231F20"/>
        </w:rPr>
        <w:t>an</w:t>
      </w:r>
      <w:r>
        <w:rPr>
          <w:color w:val="231F20"/>
          <w:spacing w:val="-5"/>
        </w:rPr>
        <w:t xml:space="preserve"> </w:t>
      </w:r>
      <w:r>
        <w:rPr>
          <w:color w:val="231F20"/>
        </w:rPr>
        <w:t>unconditional</w:t>
      </w:r>
      <w:r>
        <w:rPr>
          <w:color w:val="231F20"/>
          <w:spacing w:val="-5"/>
        </w:rPr>
        <w:t xml:space="preserve"> </w:t>
      </w:r>
      <w:r>
        <w:rPr>
          <w:color w:val="231F20"/>
        </w:rPr>
        <w:t>right</w:t>
      </w:r>
      <w:r>
        <w:rPr>
          <w:color w:val="231F20"/>
          <w:spacing w:val="-4"/>
        </w:rPr>
        <w:t xml:space="preserve"> </w:t>
      </w:r>
      <w:r>
        <w:rPr>
          <w:color w:val="231F20"/>
        </w:rPr>
        <w:t>to</w:t>
      </w:r>
      <w:r>
        <w:rPr>
          <w:color w:val="231F20"/>
          <w:spacing w:val="-5"/>
        </w:rPr>
        <w:t xml:space="preserve"> </w:t>
      </w:r>
      <w:r>
        <w:rPr>
          <w:color w:val="231F20"/>
        </w:rPr>
        <w:t>defer settlement of the liability for at least 12 months after the end of the reporting period.</w:t>
      </w:r>
    </w:p>
    <w:p w14:paraId="0C0BF63D" w14:textId="77777777" w:rsidR="00345EE3" w:rsidRDefault="00345EE3" w:rsidP="00345EE3">
      <w:pPr>
        <w:pStyle w:val="BodyText"/>
        <w:spacing w:before="62" w:line="242" w:lineRule="auto"/>
        <w:ind w:right="115"/>
      </w:pPr>
      <w:r>
        <w:rPr>
          <w:color w:val="231F20"/>
        </w:rPr>
        <w:t>No provision has been made for sick leave as all sick leave is non-vesting and it is not considered</w:t>
      </w:r>
      <w:r>
        <w:rPr>
          <w:color w:val="231F20"/>
          <w:spacing w:val="-1"/>
        </w:rPr>
        <w:t xml:space="preserve"> </w:t>
      </w:r>
      <w:r>
        <w:rPr>
          <w:color w:val="231F20"/>
        </w:rPr>
        <w:t>probable</w:t>
      </w:r>
      <w:r>
        <w:rPr>
          <w:color w:val="231F20"/>
          <w:spacing w:val="-1"/>
        </w:rPr>
        <w:t xml:space="preserve"> </w:t>
      </w:r>
      <w:r>
        <w:rPr>
          <w:color w:val="231F20"/>
        </w:rPr>
        <w:t>that the</w:t>
      </w:r>
      <w:r>
        <w:rPr>
          <w:color w:val="231F20"/>
          <w:spacing w:val="-1"/>
        </w:rPr>
        <w:t xml:space="preserve"> </w:t>
      </w:r>
      <w:r>
        <w:rPr>
          <w:color w:val="231F20"/>
        </w:rPr>
        <w:t>average</w:t>
      </w:r>
      <w:r>
        <w:rPr>
          <w:color w:val="231F20"/>
          <w:spacing w:val="-1"/>
        </w:rPr>
        <w:t xml:space="preserve"> </w:t>
      </w:r>
      <w:r>
        <w:rPr>
          <w:color w:val="231F20"/>
        </w:rPr>
        <w:t>sick leave</w:t>
      </w:r>
      <w:r>
        <w:rPr>
          <w:color w:val="231F20"/>
          <w:spacing w:val="-1"/>
        </w:rPr>
        <w:t xml:space="preserve"> </w:t>
      </w:r>
      <w:r>
        <w:rPr>
          <w:color w:val="231F20"/>
        </w:rPr>
        <w:t>taken</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future</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greater than</w:t>
      </w:r>
      <w:r>
        <w:rPr>
          <w:color w:val="231F20"/>
          <w:spacing w:val="-1"/>
        </w:rPr>
        <w:t xml:space="preserve"> </w:t>
      </w:r>
      <w:r>
        <w:rPr>
          <w:color w:val="231F20"/>
        </w:rPr>
        <w:t>the benefits</w:t>
      </w:r>
      <w:r>
        <w:rPr>
          <w:color w:val="231F20"/>
          <w:spacing w:val="-7"/>
        </w:rPr>
        <w:t xml:space="preserve"> </w:t>
      </w:r>
      <w:r>
        <w:rPr>
          <w:color w:val="231F20"/>
        </w:rPr>
        <w:t>accrued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future.</w:t>
      </w:r>
      <w:r>
        <w:rPr>
          <w:color w:val="231F20"/>
          <w:spacing w:val="-7"/>
        </w:rPr>
        <w:t xml:space="preserve"> </w:t>
      </w:r>
      <w:r>
        <w:rPr>
          <w:color w:val="231F20"/>
        </w:rPr>
        <w:t>As</w:t>
      </w:r>
      <w:r>
        <w:rPr>
          <w:color w:val="231F20"/>
          <w:spacing w:val="-7"/>
        </w:rPr>
        <w:t xml:space="preserve"> </w:t>
      </w:r>
      <w:r>
        <w:rPr>
          <w:color w:val="231F20"/>
        </w:rPr>
        <w:t>sick</w:t>
      </w:r>
      <w:r>
        <w:rPr>
          <w:color w:val="231F20"/>
          <w:spacing w:val="-7"/>
        </w:rPr>
        <w:t xml:space="preserve"> </w:t>
      </w:r>
      <w:r>
        <w:rPr>
          <w:color w:val="231F20"/>
        </w:rPr>
        <w:t>leave</w:t>
      </w:r>
      <w:r>
        <w:rPr>
          <w:color w:val="231F20"/>
          <w:spacing w:val="-8"/>
        </w:rPr>
        <w:t xml:space="preserve"> </w:t>
      </w:r>
      <w:r>
        <w:rPr>
          <w:color w:val="231F20"/>
        </w:rPr>
        <w:t>is</w:t>
      </w:r>
      <w:r>
        <w:rPr>
          <w:color w:val="231F20"/>
          <w:spacing w:val="-7"/>
        </w:rPr>
        <w:t xml:space="preserve"> </w:t>
      </w:r>
      <w:r>
        <w:rPr>
          <w:color w:val="231F20"/>
        </w:rPr>
        <w:t>non-vesting,</w:t>
      </w:r>
      <w:r>
        <w:rPr>
          <w:color w:val="231F20"/>
          <w:spacing w:val="-7"/>
        </w:rPr>
        <w:t xml:space="preserve"> </w:t>
      </w:r>
      <w:r>
        <w:rPr>
          <w:color w:val="231F20"/>
        </w:rPr>
        <w:t>an</w:t>
      </w:r>
      <w:r>
        <w:rPr>
          <w:color w:val="231F20"/>
          <w:spacing w:val="-8"/>
        </w:rPr>
        <w:t xml:space="preserve"> </w:t>
      </w:r>
      <w:r>
        <w:rPr>
          <w:color w:val="231F20"/>
        </w:rPr>
        <w:t>expense</w:t>
      </w:r>
      <w:r>
        <w:rPr>
          <w:color w:val="231F20"/>
          <w:spacing w:val="-8"/>
        </w:rPr>
        <w:t xml:space="preserve"> </w:t>
      </w:r>
      <w:r>
        <w:rPr>
          <w:color w:val="231F20"/>
        </w:rPr>
        <w:t>is</w:t>
      </w:r>
      <w:r>
        <w:rPr>
          <w:color w:val="231F20"/>
          <w:spacing w:val="-7"/>
        </w:rPr>
        <w:t xml:space="preserve"> </w:t>
      </w:r>
      <w:r>
        <w:rPr>
          <w:color w:val="231F20"/>
        </w:rPr>
        <w:t>recognised</w:t>
      </w:r>
      <w:r>
        <w:rPr>
          <w:color w:val="231F20"/>
          <w:spacing w:val="-8"/>
        </w:rPr>
        <w:t xml:space="preserve"> </w:t>
      </w:r>
      <w:r>
        <w:rPr>
          <w:color w:val="231F20"/>
        </w:rPr>
        <w:t>in</w:t>
      </w:r>
      <w:r>
        <w:rPr>
          <w:color w:val="231F20"/>
          <w:spacing w:val="-8"/>
        </w:rPr>
        <w:t xml:space="preserve"> </w:t>
      </w:r>
      <w:r>
        <w:rPr>
          <w:color w:val="231F20"/>
        </w:rPr>
        <w:t>the Comprehensive Operating Statement as it is taken.</w:t>
      </w:r>
    </w:p>
    <w:p w14:paraId="41F2303E" w14:textId="77777777" w:rsidR="00345EE3" w:rsidRDefault="00345EE3" w:rsidP="00345EE3">
      <w:pPr>
        <w:pStyle w:val="BodyText"/>
        <w:spacing w:before="119" w:line="242" w:lineRule="auto"/>
      </w:pPr>
      <w:r>
        <w:rPr>
          <w:color w:val="231F20"/>
        </w:rPr>
        <w:t>Employment on-costs such as payroll tax, workers compensation and superannuation are not employee</w:t>
      </w:r>
      <w:r>
        <w:rPr>
          <w:color w:val="231F20"/>
          <w:spacing w:val="-11"/>
        </w:rPr>
        <w:t xml:space="preserve"> </w:t>
      </w:r>
      <w:r>
        <w:rPr>
          <w:color w:val="231F20"/>
        </w:rPr>
        <w:t>benefits.</w:t>
      </w:r>
      <w:r>
        <w:rPr>
          <w:color w:val="231F20"/>
          <w:spacing w:val="-10"/>
        </w:rPr>
        <w:t xml:space="preserve"> </w:t>
      </w:r>
      <w:r>
        <w:rPr>
          <w:color w:val="231F20"/>
        </w:rPr>
        <w:t>They</w:t>
      </w:r>
      <w:r>
        <w:rPr>
          <w:color w:val="231F20"/>
          <w:spacing w:val="-10"/>
        </w:rPr>
        <w:t xml:space="preserve"> </w:t>
      </w:r>
      <w:r>
        <w:rPr>
          <w:color w:val="231F20"/>
        </w:rPr>
        <w:t>are</w:t>
      </w:r>
      <w:r>
        <w:rPr>
          <w:color w:val="231F20"/>
          <w:spacing w:val="-11"/>
        </w:rPr>
        <w:t xml:space="preserve"> </w:t>
      </w:r>
      <w:r>
        <w:rPr>
          <w:color w:val="231F20"/>
        </w:rPr>
        <w:t>disclosed</w:t>
      </w:r>
      <w:r>
        <w:rPr>
          <w:color w:val="231F20"/>
          <w:spacing w:val="-11"/>
        </w:rPr>
        <w:t xml:space="preserve"> </w:t>
      </w:r>
      <w:r>
        <w:rPr>
          <w:color w:val="231F20"/>
        </w:rPr>
        <w:t>separately</w:t>
      </w:r>
      <w:r>
        <w:rPr>
          <w:color w:val="231F20"/>
          <w:spacing w:val="-10"/>
        </w:rPr>
        <w:t xml:space="preserve"> </w:t>
      </w:r>
      <w:r>
        <w:rPr>
          <w:color w:val="231F20"/>
        </w:rPr>
        <w:t>as</w:t>
      </w:r>
      <w:r>
        <w:rPr>
          <w:color w:val="231F20"/>
          <w:spacing w:val="-10"/>
        </w:rPr>
        <w:t xml:space="preserve"> </w:t>
      </w:r>
      <w:r>
        <w:rPr>
          <w:color w:val="231F20"/>
        </w:rPr>
        <w:t>a</w:t>
      </w:r>
      <w:r>
        <w:rPr>
          <w:color w:val="231F20"/>
          <w:spacing w:val="-11"/>
        </w:rPr>
        <w:t xml:space="preserve"> </w:t>
      </w:r>
      <w:r>
        <w:rPr>
          <w:color w:val="231F20"/>
        </w:rPr>
        <w:t>component</w:t>
      </w:r>
      <w:r>
        <w:rPr>
          <w:color w:val="231F20"/>
          <w:spacing w:val="-10"/>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provision</w:t>
      </w:r>
      <w:r>
        <w:rPr>
          <w:color w:val="231F20"/>
          <w:spacing w:val="-11"/>
        </w:rPr>
        <w:t xml:space="preserve"> </w:t>
      </w:r>
      <w:r>
        <w:rPr>
          <w:color w:val="231F20"/>
        </w:rPr>
        <w:t>for</w:t>
      </w:r>
      <w:r>
        <w:rPr>
          <w:color w:val="231F20"/>
          <w:spacing w:val="-10"/>
        </w:rPr>
        <w:t xml:space="preserve"> </w:t>
      </w:r>
      <w:r>
        <w:rPr>
          <w:color w:val="231F20"/>
        </w:rPr>
        <w:t>employee benefits when the employment to which they relate has occurred.</w:t>
      </w:r>
    </w:p>
    <w:p w14:paraId="03318934" w14:textId="77777777" w:rsidR="00345EE3" w:rsidRDefault="00345EE3" w:rsidP="00345EE3">
      <w:pPr>
        <w:pStyle w:val="Heading5"/>
        <w:spacing w:before="230"/>
      </w:pPr>
      <w:r>
        <w:rPr>
          <w:color w:val="231F20"/>
        </w:rPr>
        <w:t>Long</w:t>
      </w:r>
      <w:r>
        <w:rPr>
          <w:color w:val="231F20"/>
          <w:spacing w:val="1"/>
        </w:rPr>
        <w:t xml:space="preserve"> </w:t>
      </w:r>
      <w:r>
        <w:rPr>
          <w:color w:val="231F20"/>
        </w:rPr>
        <w:t>Service</w:t>
      </w:r>
      <w:r>
        <w:rPr>
          <w:color w:val="231F20"/>
          <w:spacing w:val="1"/>
        </w:rPr>
        <w:t xml:space="preserve"> </w:t>
      </w:r>
      <w:r>
        <w:rPr>
          <w:color w:val="231F20"/>
          <w:spacing w:val="-4"/>
        </w:rPr>
        <w:t>Leave</w:t>
      </w:r>
    </w:p>
    <w:p w14:paraId="1E6938BB" w14:textId="77777777" w:rsidR="00345EE3" w:rsidRDefault="00345EE3" w:rsidP="00345EE3">
      <w:pPr>
        <w:pStyle w:val="BodyText"/>
        <w:spacing w:before="61"/>
      </w:pPr>
      <w:r>
        <w:rPr>
          <w:color w:val="231F20"/>
        </w:rPr>
        <w:t>Liability</w:t>
      </w:r>
      <w:r>
        <w:rPr>
          <w:color w:val="231F20"/>
          <w:spacing w:val="-11"/>
        </w:rPr>
        <w:t xml:space="preserve"> </w:t>
      </w:r>
      <w:r>
        <w:rPr>
          <w:color w:val="231F20"/>
        </w:rPr>
        <w:t>for</w:t>
      </w:r>
      <w:r>
        <w:rPr>
          <w:color w:val="231F20"/>
          <w:spacing w:val="-8"/>
        </w:rPr>
        <w:t xml:space="preserve"> </w:t>
      </w:r>
      <w:r>
        <w:rPr>
          <w:color w:val="231F20"/>
        </w:rPr>
        <w:t>long</w:t>
      </w:r>
      <w:r>
        <w:rPr>
          <w:color w:val="231F20"/>
          <w:spacing w:val="-9"/>
        </w:rPr>
        <w:t xml:space="preserve"> </w:t>
      </w:r>
      <w:r>
        <w:rPr>
          <w:color w:val="231F20"/>
        </w:rPr>
        <w:t>service</w:t>
      </w:r>
      <w:r>
        <w:rPr>
          <w:color w:val="231F20"/>
          <w:spacing w:val="-9"/>
        </w:rPr>
        <w:t xml:space="preserve"> </w:t>
      </w:r>
      <w:r>
        <w:rPr>
          <w:color w:val="231F20"/>
        </w:rPr>
        <w:t>leave</w:t>
      </w:r>
      <w:r>
        <w:rPr>
          <w:color w:val="231F20"/>
          <w:spacing w:val="-9"/>
        </w:rPr>
        <w:t xml:space="preserve"> </w:t>
      </w:r>
      <w:r>
        <w:rPr>
          <w:color w:val="231F20"/>
        </w:rPr>
        <w:t>(LSL)</w:t>
      </w:r>
      <w:r>
        <w:rPr>
          <w:color w:val="231F20"/>
          <w:spacing w:val="-8"/>
        </w:rPr>
        <w:t xml:space="preserve"> </w:t>
      </w:r>
      <w:r>
        <w:rPr>
          <w:color w:val="231F20"/>
        </w:rPr>
        <w:t>is</w:t>
      </w:r>
      <w:r>
        <w:rPr>
          <w:color w:val="231F20"/>
          <w:spacing w:val="-9"/>
        </w:rPr>
        <w:t xml:space="preserve"> </w:t>
      </w:r>
      <w:r>
        <w:rPr>
          <w:color w:val="231F20"/>
        </w:rPr>
        <w:t>recognised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provision</w:t>
      </w:r>
      <w:r>
        <w:rPr>
          <w:color w:val="231F20"/>
          <w:spacing w:val="-9"/>
        </w:rPr>
        <w:t xml:space="preserve"> </w:t>
      </w:r>
      <w:r>
        <w:rPr>
          <w:color w:val="231F20"/>
        </w:rPr>
        <w:t>for</w:t>
      </w:r>
      <w:r>
        <w:rPr>
          <w:color w:val="231F20"/>
          <w:spacing w:val="-8"/>
        </w:rPr>
        <w:t xml:space="preserve"> </w:t>
      </w:r>
      <w:r>
        <w:rPr>
          <w:color w:val="231F20"/>
        </w:rPr>
        <w:t>employee</w:t>
      </w:r>
      <w:r>
        <w:rPr>
          <w:color w:val="231F20"/>
          <w:spacing w:val="-9"/>
        </w:rPr>
        <w:t xml:space="preserve"> </w:t>
      </w:r>
      <w:r>
        <w:rPr>
          <w:color w:val="231F20"/>
          <w:spacing w:val="-2"/>
        </w:rPr>
        <w:t>benefits.</w:t>
      </w:r>
    </w:p>
    <w:p w14:paraId="45B21130" w14:textId="77777777" w:rsidR="00345EE3" w:rsidRDefault="00345EE3" w:rsidP="00345EE3">
      <w:pPr>
        <w:pStyle w:val="BodyText"/>
        <w:spacing w:before="118" w:line="242" w:lineRule="auto"/>
        <w:ind w:right="115"/>
      </w:pPr>
      <w:r>
        <w:rPr>
          <w:b/>
          <w:color w:val="231F20"/>
        </w:rPr>
        <w:t xml:space="preserve">Unconditional LSL </w:t>
      </w:r>
      <w:r>
        <w:rPr>
          <w:color w:val="231F20"/>
        </w:rPr>
        <w:t>is disclosed in the notes to the financial statements as a current liability, even</w:t>
      </w:r>
      <w:r>
        <w:rPr>
          <w:color w:val="231F20"/>
          <w:spacing w:val="-9"/>
        </w:rPr>
        <w:t xml:space="preserve"> </w:t>
      </w:r>
      <w:r>
        <w:rPr>
          <w:color w:val="231F20"/>
        </w:rPr>
        <w:t>where</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does</w:t>
      </w:r>
      <w:r>
        <w:rPr>
          <w:color w:val="231F20"/>
          <w:spacing w:val="-8"/>
        </w:rPr>
        <w:t xml:space="preserve"> </w:t>
      </w:r>
      <w:r>
        <w:rPr>
          <w:color w:val="231F20"/>
        </w:rPr>
        <w:t>not</w:t>
      </w:r>
      <w:r>
        <w:rPr>
          <w:color w:val="231F20"/>
          <w:spacing w:val="-8"/>
        </w:rPr>
        <w:t xml:space="preserve"> </w:t>
      </w:r>
      <w:r>
        <w:rPr>
          <w:color w:val="231F20"/>
        </w:rPr>
        <w:t>expect</w:t>
      </w:r>
      <w:r>
        <w:rPr>
          <w:color w:val="231F20"/>
          <w:spacing w:val="-8"/>
        </w:rPr>
        <w:t xml:space="preserve"> </w:t>
      </w:r>
      <w:r>
        <w:rPr>
          <w:color w:val="231F20"/>
        </w:rPr>
        <w:t>to</w:t>
      </w:r>
      <w:r>
        <w:rPr>
          <w:color w:val="231F20"/>
          <w:spacing w:val="-9"/>
        </w:rPr>
        <w:t xml:space="preserve"> </w:t>
      </w:r>
      <w:r>
        <w:rPr>
          <w:color w:val="231F20"/>
        </w:rPr>
        <w:t>settle</w:t>
      </w:r>
      <w:r>
        <w:rPr>
          <w:color w:val="231F20"/>
          <w:spacing w:val="-9"/>
        </w:rPr>
        <w:t xml:space="preserve"> </w:t>
      </w:r>
      <w:r>
        <w:rPr>
          <w:color w:val="231F20"/>
        </w:rPr>
        <w:t>the</w:t>
      </w:r>
      <w:r>
        <w:rPr>
          <w:color w:val="231F20"/>
          <w:spacing w:val="-9"/>
        </w:rPr>
        <w:t xml:space="preserve"> </w:t>
      </w:r>
      <w:r>
        <w:rPr>
          <w:color w:val="231F20"/>
        </w:rPr>
        <w:t>liability</w:t>
      </w:r>
      <w:r>
        <w:rPr>
          <w:color w:val="231F20"/>
          <w:spacing w:val="-8"/>
        </w:rPr>
        <w:t xml:space="preserve"> </w:t>
      </w:r>
      <w:r>
        <w:rPr>
          <w:color w:val="231F20"/>
        </w:rPr>
        <w:t>within</w:t>
      </w:r>
      <w:r>
        <w:rPr>
          <w:color w:val="231F20"/>
          <w:spacing w:val="-9"/>
        </w:rPr>
        <w:t xml:space="preserve"> </w:t>
      </w:r>
      <w:r>
        <w:rPr>
          <w:color w:val="231F20"/>
        </w:rPr>
        <w:t>12</w:t>
      </w:r>
      <w:r>
        <w:rPr>
          <w:color w:val="231F20"/>
          <w:spacing w:val="-9"/>
        </w:rPr>
        <w:t xml:space="preserve"> </w:t>
      </w:r>
      <w:r>
        <w:rPr>
          <w:color w:val="231F20"/>
        </w:rPr>
        <w:t>months</w:t>
      </w:r>
      <w:r>
        <w:rPr>
          <w:color w:val="231F20"/>
          <w:spacing w:val="-8"/>
        </w:rPr>
        <w:t xml:space="preserve"> </w:t>
      </w:r>
      <w:r>
        <w:rPr>
          <w:color w:val="231F20"/>
        </w:rPr>
        <w:t>because</w:t>
      </w:r>
      <w:r>
        <w:rPr>
          <w:color w:val="231F20"/>
          <w:spacing w:val="-9"/>
        </w:rPr>
        <w:t xml:space="preserve"> </w:t>
      </w:r>
      <w:r>
        <w:rPr>
          <w:color w:val="231F20"/>
        </w:rPr>
        <w:t>it</w:t>
      </w:r>
      <w:r>
        <w:rPr>
          <w:color w:val="231F20"/>
          <w:spacing w:val="-8"/>
        </w:rPr>
        <w:t xml:space="preserve"> </w:t>
      </w:r>
      <w:r>
        <w:rPr>
          <w:color w:val="231F20"/>
        </w:rPr>
        <w:t>will not have the unconditional right to defer the settlement of the entitlement should an employee take leave within 12 months.</w:t>
      </w:r>
    </w:p>
    <w:p w14:paraId="5B4A3235" w14:textId="77777777" w:rsidR="00345EE3" w:rsidRDefault="00345EE3" w:rsidP="00345EE3">
      <w:pPr>
        <w:pStyle w:val="BodyText"/>
        <w:spacing w:before="118"/>
      </w:pPr>
      <w:r>
        <w:rPr>
          <w:color w:val="231F20"/>
        </w:rPr>
        <w:t>The</w:t>
      </w:r>
      <w:r>
        <w:rPr>
          <w:color w:val="231F20"/>
          <w:spacing w:val="-11"/>
        </w:rPr>
        <w:t xml:space="preserve"> </w:t>
      </w:r>
      <w:r>
        <w:rPr>
          <w:color w:val="231F20"/>
        </w:rPr>
        <w:t>components</w:t>
      </w:r>
      <w:r>
        <w:rPr>
          <w:color w:val="231F20"/>
          <w:spacing w:val="-7"/>
        </w:rPr>
        <w:t xml:space="preserve"> </w:t>
      </w:r>
      <w:r>
        <w:rPr>
          <w:color w:val="231F20"/>
        </w:rPr>
        <w:t>of</w:t>
      </w:r>
      <w:r>
        <w:rPr>
          <w:color w:val="231F20"/>
          <w:spacing w:val="-8"/>
        </w:rPr>
        <w:t xml:space="preserve"> </w:t>
      </w:r>
      <w:r>
        <w:rPr>
          <w:color w:val="231F20"/>
        </w:rPr>
        <w:t>this</w:t>
      </w:r>
      <w:r>
        <w:rPr>
          <w:color w:val="231F20"/>
          <w:spacing w:val="-7"/>
        </w:rPr>
        <w:t xml:space="preserve"> </w:t>
      </w:r>
      <w:r>
        <w:rPr>
          <w:color w:val="231F20"/>
        </w:rPr>
        <w:t>current</w:t>
      </w:r>
      <w:r>
        <w:rPr>
          <w:color w:val="231F20"/>
          <w:spacing w:val="-8"/>
        </w:rPr>
        <w:t xml:space="preserve"> </w:t>
      </w:r>
      <w:r>
        <w:rPr>
          <w:color w:val="231F20"/>
        </w:rPr>
        <w:t>LSL</w:t>
      </w:r>
      <w:r>
        <w:rPr>
          <w:color w:val="231F20"/>
          <w:spacing w:val="-8"/>
        </w:rPr>
        <w:t xml:space="preserve"> </w:t>
      </w:r>
      <w:r>
        <w:rPr>
          <w:color w:val="231F20"/>
        </w:rPr>
        <w:t>liability</w:t>
      </w:r>
      <w:r>
        <w:rPr>
          <w:color w:val="231F20"/>
          <w:spacing w:val="-8"/>
        </w:rPr>
        <w:t xml:space="preserve"> </w:t>
      </w:r>
      <w:r>
        <w:rPr>
          <w:color w:val="231F20"/>
        </w:rPr>
        <w:t>are</w:t>
      </w:r>
      <w:r>
        <w:rPr>
          <w:color w:val="231F20"/>
          <w:spacing w:val="-8"/>
        </w:rPr>
        <w:t xml:space="preserve"> </w:t>
      </w:r>
      <w:r>
        <w:rPr>
          <w:color w:val="231F20"/>
        </w:rPr>
        <w:t>measured</w:t>
      </w:r>
      <w:r>
        <w:rPr>
          <w:color w:val="231F20"/>
          <w:spacing w:val="-8"/>
        </w:rPr>
        <w:t xml:space="preserve"> </w:t>
      </w:r>
      <w:r>
        <w:rPr>
          <w:color w:val="231F20"/>
          <w:spacing w:val="-5"/>
        </w:rPr>
        <w:t>at:</w:t>
      </w:r>
    </w:p>
    <w:p w14:paraId="4874F7F1" w14:textId="77777777" w:rsidR="00345EE3" w:rsidRDefault="00345EE3">
      <w:pPr>
        <w:pStyle w:val="ListParagraph"/>
        <w:numPr>
          <w:ilvl w:val="0"/>
          <w:numId w:val="40"/>
        </w:numPr>
        <w:tabs>
          <w:tab w:val="left" w:pos="393"/>
          <w:tab w:val="left" w:pos="394"/>
        </w:tabs>
        <w:rPr>
          <w:sz w:val="24"/>
        </w:rPr>
      </w:pPr>
      <w:r>
        <w:rPr>
          <w:color w:val="231F20"/>
          <w:sz w:val="24"/>
        </w:rPr>
        <w:t>undiscounted</w:t>
      </w:r>
      <w:r>
        <w:rPr>
          <w:color w:val="231F20"/>
          <w:spacing w:val="-12"/>
          <w:sz w:val="24"/>
        </w:rPr>
        <w:t xml:space="preserve"> </w:t>
      </w:r>
      <w:r>
        <w:rPr>
          <w:color w:val="231F20"/>
          <w:sz w:val="24"/>
        </w:rPr>
        <w:t>value</w:t>
      </w:r>
      <w:r>
        <w:rPr>
          <w:color w:val="231F20"/>
          <w:spacing w:val="-10"/>
          <w:sz w:val="24"/>
        </w:rPr>
        <w:t xml:space="preserve"> </w:t>
      </w:r>
      <w:r>
        <w:rPr>
          <w:color w:val="231F20"/>
          <w:sz w:val="24"/>
        </w:rPr>
        <w:t>–</w:t>
      </w:r>
      <w:r>
        <w:rPr>
          <w:color w:val="231F20"/>
          <w:spacing w:val="-10"/>
          <w:sz w:val="24"/>
        </w:rPr>
        <w:t xml:space="preserve"> </w:t>
      </w:r>
      <w:r>
        <w:rPr>
          <w:color w:val="231F20"/>
          <w:sz w:val="24"/>
        </w:rPr>
        <w:t>if</w:t>
      </w:r>
      <w:r>
        <w:rPr>
          <w:color w:val="231F20"/>
          <w:spacing w:val="-9"/>
          <w:sz w:val="24"/>
        </w:rPr>
        <w:t xml:space="preserve"> </w:t>
      </w: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expects</w:t>
      </w:r>
      <w:r>
        <w:rPr>
          <w:color w:val="231F20"/>
          <w:spacing w:val="-9"/>
          <w:sz w:val="24"/>
        </w:rPr>
        <w:t xml:space="preserve"> </w:t>
      </w:r>
      <w:r>
        <w:rPr>
          <w:color w:val="231F20"/>
          <w:sz w:val="24"/>
        </w:rPr>
        <w:t>to</w:t>
      </w:r>
      <w:r>
        <w:rPr>
          <w:color w:val="231F20"/>
          <w:spacing w:val="-10"/>
          <w:sz w:val="24"/>
        </w:rPr>
        <w:t xml:space="preserve"> </w:t>
      </w:r>
      <w:r>
        <w:rPr>
          <w:color w:val="231F20"/>
          <w:sz w:val="24"/>
        </w:rPr>
        <w:t>wholly</w:t>
      </w:r>
      <w:r>
        <w:rPr>
          <w:color w:val="231F20"/>
          <w:spacing w:val="-9"/>
          <w:sz w:val="24"/>
        </w:rPr>
        <w:t xml:space="preserve"> </w:t>
      </w:r>
      <w:r>
        <w:rPr>
          <w:color w:val="231F20"/>
          <w:sz w:val="24"/>
        </w:rPr>
        <w:t>settle</w:t>
      </w:r>
      <w:r>
        <w:rPr>
          <w:color w:val="231F20"/>
          <w:spacing w:val="-10"/>
          <w:sz w:val="24"/>
        </w:rPr>
        <w:t xml:space="preserve"> </w:t>
      </w:r>
      <w:r>
        <w:rPr>
          <w:color w:val="231F20"/>
          <w:sz w:val="24"/>
        </w:rPr>
        <w:t>within</w:t>
      </w:r>
      <w:r>
        <w:rPr>
          <w:color w:val="231F20"/>
          <w:spacing w:val="-9"/>
          <w:sz w:val="24"/>
        </w:rPr>
        <w:t xml:space="preserve"> </w:t>
      </w:r>
      <w:r>
        <w:rPr>
          <w:color w:val="231F20"/>
          <w:sz w:val="24"/>
        </w:rPr>
        <w:t>12</w:t>
      </w:r>
      <w:r>
        <w:rPr>
          <w:color w:val="231F20"/>
          <w:spacing w:val="-9"/>
          <w:sz w:val="24"/>
        </w:rPr>
        <w:t xml:space="preserve"> </w:t>
      </w:r>
      <w:r>
        <w:rPr>
          <w:color w:val="231F20"/>
          <w:sz w:val="24"/>
        </w:rPr>
        <w:t>months;</w:t>
      </w:r>
      <w:r>
        <w:rPr>
          <w:color w:val="231F20"/>
          <w:spacing w:val="-9"/>
          <w:sz w:val="24"/>
        </w:rPr>
        <w:t xml:space="preserve"> </w:t>
      </w:r>
      <w:r>
        <w:rPr>
          <w:color w:val="231F20"/>
          <w:spacing w:val="-5"/>
          <w:sz w:val="24"/>
        </w:rPr>
        <w:t>and</w:t>
      </w:r>
    </w:p>
    <w:p w14:paraId="4A58A67A" w14:textId="77777777" w:rsidR="00345EE3" w:rsidRDefault="00345EE3">
      <w:pPr>
        <w:pStyle w:val="ListParagraph"/>
        <w:numPr>
          <w:ilvl w:val="0"/>
          <w:numId w:val="40"/>
        </w:numPr>
        <w:tabs>
          <w:tab w:val="left" w:pos="393"/>
          <w:tab w:val="left" w:pos="394"/>
        </w:tabs>
        <w:rPr>
          <w:color w:val="231F20"/>
          <w:spacing w:val="-2"/>
          <w:sz w:val="24"/>
        </w:rPr>
      </w:pPr>
      <w:r>
        <w:rPr>
          <w:color w:val="231F20"/>
          <w:sz w:val="24"/>
        </w:rPr>
        <w:t>present</w:t>
      </w:r>
      <w:r>
        <w:rPr>
          <w:color w:val="231F20"/>
          <w:spacing w:val="-10"/>
          <w:sz w:val="24"/>
        </w:rPr>
        <w:t xml:space="preserve"> </w:t>
      </w:r>
      <w:r>
        <w:rPr>
          <w:color w:val="231F20"/>
          <w:sz w:val="24"/>
        </w:rPr>
        <w:t>value</w:t>
      </w:r>
      <w:r>
        <w:rPr>
          <w:color w:val="231F20"/>
          <w:spacing w:val="-8"/>
          <w:sz w:val="24"/>
        </w:rPr>
        <w:t xml:space="preserve"> </w:t>
      </w:r>
      <w:r>
        <w:rPr>
          <w:color w:val="231F20"/>
          <w:sz w:val="24"/>
        </w:rPr>
        <w:t>–</w:t>
      </w:r>
      <w:r>
        <w:rPr>
          <w:color w:val="231F20"/>
          <w:spacing w:val="-8"/>
          <w:sz w:val="24"/>
        </w:rPr>
        <w:t xml:space="preserve"> </w:t>
      </w:r>
      <w:r>
        <w:rPr>
          <w:color w:val="231F20"/>
          <w:sz w:val="24"/>
        </w:rPr>
        <w:t>if</w:t>
      </w:r>
      <w:r>
        <w:rPr>
          <w:color w:val="231F20"/>
          <w:spacing w:val="-7"/>
          <w:sz w:val="24"/>
        </w:rPr>
        <w:t xml:space="preserve"> </w:t>
      </w:r>
      <w:r>
        <w:rPr>
          <w:color w:val="231F20"/>
          <w:sz w:val="24"/>
        </w:rPr>
        <w:t>Victoria</w:t>
      </w:r>
      <w:r>
        <w:rPr>
          <w:color w:val="231F20"/>
          <w:spacing w:val="-8"/>
          <w:sz w:val="24"/>
        </w:rPr>
        <w:t xml:space="preserve"> </w:t>
      </w:r>
      <w:r>
        <w:rPr>
          <w:color w:val="231F20"/>
          <w:sz w:val="24"/>
        </w:rPr>
        <w:t>Police</w:t>
      </w:r>
      <w:r>
        <w:rPr>
          <w:color w:val="231F20"/>
          <w:spacing w:val="-8"/>
          <w:sz w:val="24"/>
        </w:rPr>
        <w:t xml:space="preserve"> </w:t>
      </w:r>
      <w:r>
        <w:rPr>
          <w:color w:val="231F20"/>
          <w:sz w:val="24"/>
        </w:rPr>
        <w:t>does</w:t>
      </w:r>
      <w:r>
        <w:rPr>
          <w:color w:val="231F20"/>
          <w:spacing w:val="-7"/>
          <w:sz w:val="24"/>
        </w:rPr>
        <w:t xml:space="preserve"> </w:t>
      </w:r>
      <w:r>
        <w:rPr>
          <w:color w:val="231F20"/>
          <w:sz w:val="24"/>
        </w:rPr>
        <w:t>not</w:t>
      </w:r>
      <w:r>
        <w:rPr>
          <w:color w:val="231F20"/>
          <w:spacing w:val="-7"/>
          <w:sz w:val="24"/>
        </w:rPr>
        <w:t xml:space="preserve"> </w:t>
      </w:r>
      <w:r>
        <w:rPr>
          <w:color w:val="231F20"/>
          <w:sz w:val="24"/>
        </w:rPr>
        <w:t>expect</w:t>
      </w:r>
      <w:r>
        <w:rPr>
          <w:color w:val="231F20"/>
          <w:spacing w:val="-7"/>
          <w:sz w:val="24"/>
        </w:rPr>
        <w:t xml:space="preserve"> </w:t>
      </w:r>
      <w:r>
        <w:rPr>
          <w:color w:val="231F20"/>
          <w:sz w:val="24"/>
        </w:rPr>
        <w:t>to</w:t>
      </w:r>
      <w:r>
        <w:rPr>
          <w:color w:val="231F20"/>
          <w:spacing w:val="-8"/>
          <w:sz w:val="24"/>
        </w:rPr>
        <w:t xml:space="preserve"> </w:t>
      </w:r>
      <w:r>
        <w:rPr>
          <w:color w:val="231F20"/>
          <w:sz w:val="24"/>
        </w:rPr>
        <w:t>wholly</w:t>
      </w:r>
      <w:r>
        <w:rPr>
          <w:color w:val="231F20"/>
          <w:spacing w:val="-7"/>
          <w:sz w:val="24"/>
        </w:rPr>
        <w:t xml:space="preserve"> </w:t>
      </w:r>
      <w:r>
        <w:rPr>
          <w:color w:val="231F20"/>
          <w:sz w:val="24"/>
        </w:rPr>
        <w:t>settle</w:t>
      </w:r>
      <w:r>
        <w:rPr>
          <w:color w:val="231F20"/>
          <w:spacing w:val="-8"/>
          <w:sz w:val="24"/>
        </w:rPr>
        <w:t xml:space="preserve"> </w:t>
      </w:r>
      <w:r>
        <w:rPr>
          <w:color w:val="231F20"/>
          <w:sz w:val="24"/>
        </w:rPr>
        <w:t>within</w:t>
      </w:r>
      <w:r>
        <w:rPr>
          <w:color w:val="231F20"/>
          <w:spacing w:val="-8"/>
          <w:sz w:val="24"/>
        </w:rPr>
        <w:t xml:space="preserve"> </w:t>
      </w:r>
      <w:r>
        <w:rPr>
          <w:color w:val="231F20"/>
          <w:sz w:val="24"/>
        </w:rPr>
        <w:t>12</w:t>
      </w:r>
      <w:r>
        <w:rPr>
          <w:color w:val="231F20"/>
          <w:spacing w:val="-8"/>
          <w:sz w:val="24"/>
        </w:rPr>
        <w:t xml:space="preserve"> </w:t>
      </w:r>
      <w:r>
        <w:rPr>
          <w:color w:val="231F20"/>
          <w:spacing w:val="-2"/>
          <w:sz w:val="24"/>
        </w:rPr>
        <w:t>months.</w:t>
      </w:r>
    </w:p>
    <w:p w14:paraId="45F76C90" w14:textId="77777777" w:rsidR="00345EE3" w:rsidRDefault="00345EE3" w:rsidP="00345EE3">
      <w:pPr>
        <w:rPr>
          <w:color w:val="231F20"/>
          <w:spacing w:val="-2"/>
          <w:sz w:val="24"/>
        </w:rPr>
      </w:pPr>
      <w:r>
        <w:rPr>
          <w:color w:val="231F20"/>
          <w:spacing w:val="-2"/>
          <w:sz w:val="24"/>
        </w:rPr>
        <w:br w:type="page"/>
      </w:r>
    </w:p>
    <w:p w14:paraId="400CACC6" w14:textId="77777777" w:rsidR="00345EE3" w:rsidRDefault="00345EE3" w:rsidP="00345EE3">
      <w:pPr>
        <w:pStyle w:val="BodyText"/>
        <w:spacing w:before="118" w:line="242" w:lineRule="auto"/>
        <w:ind w:right="115"/>
      </w:pPr>
      <w:r>
        <w:rPr>
          <w:b/>
          <w:color w:val="231F20"/>
        </w:rPr>
        <w:t>Conditional</w:t>
      </w:r>
      <w:r>
        <w:rPr>
          <w:b/>
          <w:color w:val="231F20"/>
          <w:spacing w:val="-7"/>
        </w:rPr>
        <w:t xml:space="preserve"> </w:t>
      </w:r>
      <w:r>
        <w:rPr>
          <w:b/>
          <w:color w:val="231F20"/>
        </w:rPr>
        <w:t>LSL</w:t>
      </w:r>
      <w:r>
        <w:rPr>
          <w:b/>
          <w:color w:val="231F20"/>
          <w:spacing w:val="-7"/>
        </w:rPr>
        <w:t xml:space="preserve"> </w:t>
      </w:r>
      <w:r>
        <w:rPr>
          <w:color w:val="231F20"/>
        </w:rPr>
        <w:t>is</w:t>
      </w:r>
      <w:r>
        <w:rPr>
          <w:color w:val="231F20"/>
          <w:spacing w:val="-7"/>
        </w:rPr>
        <w:t xml:space="preserve"> </w:t>
      </w:r>
      <w:r>
        <w:rPr>
          <w:color w:val="231F20"/>
        </w:rPr>
        <w:t>disclosed</w:t>
      </w:r>
      <w:r>
        <w:rPr>
          <w:color w:val="231F20"/>
          <w:spacing w:val="-8"/>
        </w:rPr>
        <w:t xml:space="preserve"> </w:t>
      </w:r>
      <w:r>
        <w:rPr>
          <w:color w:val="231F20"/>
        </w:rPr>
        <w:t>as</w:t>
      </w:r>
      <w:r>
        <w:rPr>
          <w:color w:val="231F20"/>
          <w:spacing w:val="-7"/>
        </w:rPr>
        <w:t xml:space="preserve"> </w:t>
      </w:r>
      <w:r>
        <w:rPr>
          <w:color w:val="231F20"/>
        </w:rPr>
        <w:t>a</w:t>
      </w:r>
      <w:r>
        <w:rPr>
          <w:color w:val="231F20"/>
          <w:spacing w:val="-8"/>
        </w:rPr>
        <w:t xml:space="preserve"> </w:t>
      </w:r>
      <w:r>
        <w:rPr>
          <w:color w:val="231F20"/>
        </w:rPr>
        <w:t>non-current</w:t>
      </w:r>
      <w:r>
        <w:rPr>
          <w:color w:val="231F20"/>
          <w:spacing w:val="-7"/>
        </w:rPr>
        <w:t xml:space="preserve"> </w:t>
      </w:r>
      <w:r>
        <w:rPr>
          <w:color w:val="231F20"/>
        </w:rPr>
        <w:t>liability.</w:t>
      </w:r>
      <w:r>
        <w:rPr>
          <w:color w:val="231F20"/>
          <w:spacing w:val="-7"/>
        </w:rPr>
        <w:t xml:space="preserve"> </w:t>
      </w:r>
      <w:r>
        <w:rPr>
          <w:color w:val="231F20"/>
        </w:rPr>
        <w:t>There</w:t>
      </w:r>
      <w:r>
        <w:rPr>
          <w:color w:val="231F20"/>
          <w:spacing w:val="-8"/>
        </w:rPr>
        <w:t xml:space="preserve"> </w:t>
      </w:r>
      <w:r>
        <w:rPr>
          <w:color w:val="231F20"/>
        </w:rPr>
        <w:t>is</w:t>
      </w:r>
      <w:r>
        <w:rPr>
          <w:color w:val="231F20"/>
          <w:spacing w:val="-7"/>
        </w:rPr>
        <w:t xml:space="preserve"> </w:t>
      </w:r>
      <w:r>
        <w:rPr>
          <w:color w:val="231F20"/>
        </w:rPr>
        <w:t>a</w:t>
      </w:r>
      <w:r>
        <w:rPr>
          <w:color w:val="231F20"/>
          <w:spacing w:val="-8"/>
        </w:rPr>
        <w:t xml:space="preserve"> </w:t>
      </w:r>
      <w:r>
        <w:rPr>
          <w:color w:val="231F20"/>
        </w:rPr>
        <w:t>conditional</w:t>
      </w:r>
      <w:r>
        <w:rPr>
          <w:color w:val="231F20"/>
          <w:spacing w:val="-8"/>
        </w:rPr>
        <w:t xml:space="preserve"> </w:t>
      </w:r>
      <w:r>
        <w:rPr>
          <w:color w:val="231F20"/>
        </w:rPr>
        <w:t>right</w:t>
      </w:r>
      <w:r>
        <w:rPr>
          <w:color w:val="231F20"/>
          <w:spacing w:val="-7"/>
        </w:rPr>
        <w:t xml:space="preserve"> </w:t>
      </w:r>
      <w:r>
        <w:rPr>
          <w:color w:val="231F20"/>
        </w:rPr>
        <w:t>to</w:t>
      </w:r>
      <w:r>
        <w:rPr>
          <w:color w:val="231F20"/>
          <w:spacing w:val="-8"/>
        </w:rPr>
        <w:t xml:space="preserve"> </w:t>
      </w:r>
      <w:r>
        <w:rPr>
          <w:color w:val="231F20"/>
        </w:rPr>
        <w:t>defer</w:t>
      </w:r>
      <w:r>
        <w:rPr>
          <w:color w:val="231F20"/>
          <w:spacing w:val="-7"/>
        </w:rPr>
        <w:t xml:space="preserve"> </w:t>
      </w:r>
      <w:r>
        <w:rPr>
          <w:color w:val="231F20"/>
        </w:rPr>
        <w:t>the settlement of the entitlement until the employee has completed the requisite years of service. This non-current LSL liability is measured at present value.</w:t>
      </w:r>
    </w:p>
    <w:p w14:paraId="414D0750" w14:textId="77777777" w:rsidR="00345EE3" w:rsidRDefault="00345EE3" w:rsidP="00345EE3">
      <w:pPr>
        <w:pStyle w:val="BodyText"/>
        <w:spacing w:before="117" w:line="242" w:lineRule="auto"/>
      </w:pPr>
      <w:r>
        <w:rPr>
          <w:color w:val="231F20"/>
        </w:rPr>
        <w:t>Any</w:t>
      </w:r>
      <w:r>
        <w:rPr>
          <w:color w:val="231F20"/>
          <w:spacing w:val="-8"/>
        </w:rPr>
        <w:t xml:space="preserve"> </w:t>
      </w:r>
      <w:r>
        <w:rPr>
          <w:color w:val="231F20"/>
        </w:rPr>
        <w:t>gain</w:t>
      </w:r>
      <w:r>
        <w:rPr>
          <w:color w:val="231F20"/>
          <w:spacing w:val="-8"/>
        </w:rPr>
        <w:t xml:space="preserve"> </w:t>
      </w:r>
      <w:r>
        <w:rPr>
          <w:color w:val="231F20"/>
        </w:rPr>
        <w:t>or</w:t>
      </w:r>
      <w:r>
        <w:rPr>
          <w:color w:val="231F20"/>
          <w:spacing w:val="-8"/>
        </w:rPr>
        <w:t xml:space="preserve"> </w:t>
      </w:r>
      <w:r>
        <w:rPr>
          <w:color w:val="231F20"/>
        </w:rPr>
        <w:t>loss</w:t>
      </w:r>
      <w:r>
        <w:rPr>
          <w:color w:val="231F20"/>
          <w:spacing w:val="-8"/>
        </w:rPr>
        <w:t xml:space="preserve"> </w:t>
      </w:r>
      <w:r>
        <w:rPr>
          <w:color w:val="231F20"/>
        </w:rPr>
        <w:t>following</w:t>
      </w:r>
      <w:r>
        <w:rPr>
          <w:color w:val="231F20"/>
          <w:spacing w:val="-8"/>
        </w:rPr>
        <w:t xml:space="preserve"> </w:t>
      </w:r>
      <w:r>
        <w:rPr>
          <w:color w:val="231F20"/>
        </w:rPr>
        <w:t>the</w:t>
      </w:r>
      <w:r>
        <w:rPr>
          <w:color w:val="231F20"/>
          <w:spacing w:val="-8"/>
        </w:rPr>
        <w:t xml:space="preserve"> </w:t>
      </w:r>
      <w:r>
        <w:rPr>
          <w:color w:val="231F20"/>
        </w:rPr>
        <w:t>revaluation</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present</w:t>
      </w:r>
      <w:r>
        <w:rPr>
          <w:color w:val="231F20"/>
          <w:spacing w:val="-8"/>
        </w:rPr>
        <w:t xml:space="preserve"> </w:t>
      </w:r>
      <w:r>
        <w:rPr>
          <w:color w:val="231F20"/>
        </w:rPr>
        <w:t>value</w:t>
      </w:r>
      <w:r>
        <w:rPr>
          <w:color w:val="231F20"/>
          <w:spacing w:val="-8"/>
        </w:rPr>
        <w:t xml:space="preserve"> </w:t>
      </w:r>
      <w:r>
        <w:rPr>
          <w:color w:val="231F20"/>
        </w:rPr>
        <w:t>of</w:t>
      </w:r>
      <w:r>
        <w:rPr>
          <w:color w:val="231F20"/>
          <w:spacing w:val="-8"/>
        </w:rPr>
        <w:t xml:space="preserve"> </w:t>
      </w:r>
      <w:r>
        <w:rPr>
          <w:color w:val="231F20"/>
        </w:rPr>
        <w:t>LSL</w:t>
      </w:r>
      <w:r>
        <w:rPr>
          <w:color w:val="231F20"/>
          <w:spacing w:val="-8"/>
        </w:rPr>
        <w:t xml:space="preserve"> </w:t>
      </w:r>
      <w:r>
        <w:rPr>
          <w:color w:val="231F20"/>
        </w:rPr>
        <w:t>liability</w:t>
      </w:r>
      <w:r>
        <w:rPr>
          <w:color w:val="231F20"/>
          <w:spacing w:val="-8"/>
        </w:rPr>
        <w:t xml:space="preserve"> </w:t>
      </w:r>
      <w:r>
        <w:rPr>
          <w:color w:val="231F20"/>
        </w:rPr>
        <w:t>is</w:t>
      </w:r>
      <w:r>
        <w:rPr>
          <w:color w:val="231F20"/>
          <w:spacing w:val="-8"/>
        </w:rPr>
        <w:t xml:space="preserve"> </w:t>
      </w:r>
      <w:r>
        <w:rPr>
          <w:color w:val="231F20"/>
        </w:rPr>
        <w:t>recognised</w:t>
      </w:r>
      <w:r>
        <w:rPr>
          <w:color w:val="231F20"/>
          <w:spacing w:val="-8"/>
        </w:rPr>
        <w:t xml:space="preserve"> </w:t>
      </w:r>
      <w:r>
        <w:rPr>
          <w:color w:val="231F20"/>
        </w:rPr>
        <w:t>in</w:t>
      </w:r>
      <w:r>
        <w:rPr>
          <w:color w:val="231F20"/>
          <w:spacing w:val="-8"/>
        </w:rPr>
        <w:t xml:space="preserve"> </w:t>
      </w:r>
      <w:r>
        <w:rPr>
          <w:color w:val="231F20"/>
        </w:rPr>
        <w:t>the ‘net result from transactions’, except to</w:t>
      </w:r>
      <w:r>
        <w:rPr>
          <w:color w:val="231F20"/>
          <w:spacing w:val="-1"/>
        </w:rPr>
        <w:t xml:space="preserve"> </w:t>
      </w:r>
      <w:r>
        <w:rPr>
          <w:color w:val="231F20"/>
        </w:rPr>
        <w:t>the</w:t>
      </w:r>
      <w:r>
        <w:rPr>
          <w:color w:val="231F20"/>
          <w:spacing w:val="-1"/>
        </w:rPr>
        <w:t xml:space="preserve"> </w:t>
      </w:r>
      <w:r>
        <w:rPr>
          <w:color w:val="231F20"/>
        </w:rPr>
        <w:t>extent that any gain</w:t>
      </w:r>
      <w:r>
        <w:rPr>
          <w:color w:val="231F20"/>
          <w:spacing w:val="-1"/>
        </w:rPr>
        <w:t xml:space="preserve"> </w:t>
      </w:r>
      <w:r>
        <w:rPr>
          <w:color w:val="231F20"/>
        </w:rPr>
        <w:t>or loss arising</w:t>
      </w:r>
      <w:r>
        <w:rPr>
          <w:color w:val="231F20"/>
          <w:spacing w:val="-1"/>
        </w:rPr>
        <w:t xml:space="preserve"> </w:t>
      </w:r>
      <w:r>
        <w:rPr>
          <w:color w:val="231F20"/>
        </w:rPr>
        <w:t>from changes in bond</w:t>
      </w:r>
      <w:r>
        <w:rPr>
          <w:color w:val="231F20"/>
          <w:spacing w:val="-7"/>
        </w:rPr>
        <w:t xml:space="preserve"> </w:t>
      </w:r>
      <w:r>
        <w:rPr>
          <w:color w:val="231F20"/>
        </w:rPr>
        <w:t>interest</w:t>
      </w:r>
      <w:r>
        <w:rPr>
          <w:color w:val="231F20"/>
          <w:spacing w:val="-6"/>
        </w:rPr>
        <w:t xml:space="preserve"> </w:t>
      </w:r>
      <w:r>
        <w:rPr>
          <w:color w:val="231F20"/>
        </w:rPr>
        <w:t>rates</w:t>
      </w:r>
      <w:r>
        <w:rPr>
          <w:color w:val="231F20"/>
          <w:spacing w:val="-6"/>
        </w:rPr>
        <w:t xml:space="preserve"> </w:t>
      </w:r>
      <w:r>
        <w:rPr>
          <w:color w:val="231F20"/>
        </w:rPr>
        <w:t>is</w:t>
      </w:r>
      <w:r>
        <w:rPr>
          <w:color w:val="231F20"/>
          <w:spacing w:val="-6"/>
        </w:rPr>
        <w:t xml:space="preserve"> </w:t>
      </w:r>
      <w:r>
        <w:rPr>
          <w:color w:val="231F20"/>
        </w:rPr>
        <w:t>recognised</w:t>
      </w:r>
      <w:r>
        <w:rPr>
          <w:color w:val="231F20"/>
          <w:spacing w:val="-7"/>
        </w:rPr>
        <w:t xml:space="preserve"> </w:t>
      </w:r>
      <w:r>
        <w:rPr>
          <w:color w:val="231F20"/>
        </w:rPr>
        <w:t>as</w:t>
      </w:r>
      <w:r>
        <w:rPr>
          <w:color w:val="231F20"/>
          <w:spacing w:val="-6"/>
        </w:rPr>
        <w:t xml:space="preserve"> </w:t>
      </w:r>
      <w:r>
        <w:rPr>
          <w:color w:val="231F20"/>
        </w:rPr>
        <w:t>an</w:t>
      </w:r>
      <w:r>
        <w:rPr>
          <w:color w:val="231F20"/>
          <w:spacing w:val="-7"/>
        </w:rPr>
        <w:t xml:space="preserve"> </w:t>
      </w:r>
      <w:r>
        <w:rPr>
          <w:color w:val="231F20"/>
        </w:rPr>
        <w:t>Other</w:t>
      </w:r>
      <w:r>
        <w:rPr>
          <w:color w:val="231F20"/>
          <w:spacing w:val="-6"/>
        </w:rPr>
        <w:t xml:space="preserve"> </w:t>
      </w:r>
      <w:r>
        <w:rPr>
          <w:color w:val="231F20"/>
        </w:rPr>
        <w:t>Economic</w:t>
      </w:r>
      <w:r>
        <w:rPr>
          <w:color w:val="231F20"/>
          <w:spacing w:val="-6"/>
        </w:rPr>
        <w:t xml:space="preserve"> </w:t>
      </w:r>
      <w:r>
        <w:rPr>
          <w:color w:val="231F20"/>
        </w:rPr>
        <w:t>Flow</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net</w:t>
      </w:r>
      <w:r>
        <w:rPr>
          <w:color w:val="231F20"/>
          <w:spacing w:val="-6"/>
        </w:rPr>
        <w:t xml:space="preserve"> </w:t>
      </w:r>
      <w:r>
        <w:rPr>
          <w:color w:val="231F20"/>
        </w:rPr>
        <w:t>result</w:t>
      </w:r>
      <w:r>
        <w:rPr>
          <w:color w:val="231F20"/>
          <w:spacing w:val="-6"/>
        </w:rPr>
        <w:t xml:space="preserve"> </w:t>
      </w:r>
      <w:r>
        <w:rPr>
          <w:color w:val="231F20"/>
        </w:rPr>
        <w:t>–</w:t>
      </w:r>
      <w:r>
        <w:rPr>
          <w:color w:val="231F20"/>
          <w:spacing w:val="-7"/>
        </w:rPr>
        <w:t xml:space="preserve"> </w:t>
      </w:r>
      <w:r>
        <w:rPr>
          <w:color w:val="231F20"/>
        </w:rPr>
        <w:t>refer</w:t>
      </w:r>
      <w:r>
        <w:rPr>
          <w:color w:val="231F20"/>
          <w:spacing w:val="-6"/>
        </w:rPr>
        <w:t xml:space="preserve"> </w:t>
      </w:r>
      <w:r>
        <w:rPr>
          <w:color w:val="231F20"/>
        </w:rPr>
        <w:t>to</w:t>
      </w:r>
      <w:r>
        <w:rPr>
          <w:color w:val="231F20"/>
          <w:spacing w:val="-7"/>
        </w:rPr>
        <w:t xml:space="preserve"> </w:t>
      </w:r>
      <w:r>
        <w:rPr>
          <w:color w:val="231F20"/>
        </w:rPr>
        <w:t>Note</w:t>
      </w:r>
      <w:r>
        <w:rPr>
          <w:color w:val="231F20"/>
          <w:spacing w:val="-7"/>
        </w:rPr>
        <w:t xml:space="preserve"> </w:t>
      </w:r>
      <w:r>
        <w:rPr>
          <w:color w:val="231F20"/>
        </w:rPr>
        <w:t>9.1 Other Economic Flows Included in Net Result.</w:t>
      </w:r>
    </w:p>
    <w:p w14:paraId="431E6AAB" w14:textId="77777777" w:rsidR="00345EE3" w:rsidRDefault="00345EE3" w:rsidP="00345EE3">
      <w:pPr>
        <w:pStyle w:val="BodyText"/>
        <w:spacing w:before="119" w:line="242" w:lineRule="auto"/>
      </w:pPr>
      <w:r>
        <w:rPr>
          <w:color w:val="231F20"/>
        </w:rPr>
        <w:t>The</w:t>
      </w:r>
      <w:r>
        <w:rPr>
          <w:color w:val="231F20"/>
          <w:spacing w:val="-10"/>
        </w:rPr>
        <w:t xml:space="preserve"> </w:t>
      </w:r>
      <w:r>
        <w:rPr>
          <w:color w:val="231F20"/>
        </w:rPr>
        <w:t>Minister</w:t>
      </w:r>
      <w:r>
        <w:rPr>
          <w:color w:val="231F20"/>
          <w:spacing w:val="-9"/>
        </w:rPr>
        <w:t xml:space="preserve"> </w:t>
      </w:r>
      <w:r>
        <w:rPr>
          <w:color w:val="231F20"/>
        </w:rPr>
        <w:t>for</w:t>
      </w:r>
      <w:r>
        <w:rPr>
          <w:color w:val="231F20"/>
          <w:spacing w:val="-9"/>
        </w:rPr>
        <w:t xml:space="preserve"> </w:t>
      </w:r>
      <w:r>
        <w:rPr>
          <w:color w:val="231F20"/>
        </w:rPr>
        <w:t>Finance</w:t>
      </w:r>
      <w:r>
        <w:rPr>
          <w:color w:val="231F20"/>
          <w:spacing w:val="-10"/>
        </w:rPr>
        <w:t xml:space="preserve"> </w:t>
      </w:r>
      <w:r>
        <w:rPr>
          <w:color w:val="231F20"/>
        </w:rPr>
        <w:t>approved</w:t>
      </w:r>
      <w:r>
        <w:rPr>
          <w:color w:val="231F20"/>
          <w:spacing w:val="-10"/>
        </w:rPr>
        <w:t xml:space="preserve"> </w:t>
      </w:r>
      <w:r>
        <w:rPr>
          <w:color w:val="231F20"/>
        </w:rPr>
        <w:t>an</w:t>
      </w:r>
      <w:r>
        <w:rPr>
          <w:color w:val="231F20"/>
          <w:spacing w:val="-10"/>
        </w:rPr>
        <w:t xml:space="preserve"> </w:t>
      </w:r>
      <w:r>
        <w:rPr>
          <w:color w:val="231F20"/>
        </w:rPr>
        <w:t>alternative</w:t>
      </w:r>
      <w:r>
        <w:rPr>
          <w:color w:val="231F20"/>
          <w:spacing w:val="-10"/>
        </w:rPr>
        <w:t xml:space="preserve"> </w:t>
      </w:r>
      <w:r>
        <w:rPr>
          <w:color w:val="231F20"/>
        </w:rPr>
        <w:t>wage</w:t>
      </w:r>
      <w:r>
        <w:rPr>
          <w:color w:val="231F20"/>
          <w:spacing w:val="-10"/>
        </w:rPr>
        <w:t xml:space="preserve"> </w:t>
      </w:r>
      <w:r>
        <w:rPr>
          <w:color w:val="231F20"/>
        </w:rPr>
        <w:t>inflation</w:t>
      </w:r>
      <w:r>
        <w:rPr>
          <w:color w:val="231F20"/>
          <w:spacing w:val="-10"/>
        </w:rPr>
        <w:t xml:space="preserve"> </w:t>
      </w:r>
      <w:r>
        <w:rPr>
          <w:color w:val="231F20"/>
        </w:rPr>
        <w:t>rate</w:t>
      </w:r>
      <w:r>
        <w:rPr>
          <w:color w:val="231F20"/>
          <w:spacing w:val="-10"/>
        </w:rPr>
        <w:t xml:space="preserve"> </w:t>
      </w:r>
      <w:r>
        <w:rPr>
          <w:color w:val="231F20"/>
        </w:rPr>
        <w:t>of</w:t>
      </w:r>
      <w:r>
        <w:rPr>
          <w:color w:val="231F20"/>
          <w:spacing w:val="-9"/>
        </w:rPr>
        <w:t xml:space="preserve"> </w:t>
      </w:r>
      <w:r>
        <w:rPr>
          <w:color w:val="231F20"/>
        </w:rPr>
        <w:t>5.2%</w:t>
      </w:r>
      <w:r>
        <w:rPr>
          <w:color w:val="231F20"/>
          <w:spacing w:val="-10"/>
        </w:rPr>
        <w:t xml:space="preserve"> </w:t>
      </w:r>
      <w:r>
        <w:rPr>
          <w:color w:val="231F20"/>
        </w:rPr>
        <w:t>to</w:t>
      </w:r>
      <w:r>
        <w:rPr>
          <w:color w:val="231F20"/>
          <w:spacing w:val="-10"/>
        </w:rPr>
        <w:t xml:space="preserve"> </w:t>
      </w:r>
      <w:r>
        <w:rPr>
          <w:color w:val="231F20"/>
        </w:rPr>
        <w:t>calculate</w:t>
      </w:r>
      <w:r>
        <w:rPr>
          <w:color w:val="231F20"/>
          <w:spacing w:val="-10"/>
        </w:rPr>
        <w:t xml:space="preserve"> </w:t>
      </w:r>
      <w:r>
        <w:rPr>
          <w:color w:val="231F20"/>
        </w:rPr>
        <w:t>the</w:t>
      </w:r>
      <w:r>
        <w:rPr>
          <w:color w:val="231F20"/>
          <w:spacing w:val="-10"/>
        </w:rPr>
        <w:t xml:space="preserve"> </w:t>
      </w:r>
      <w:r>
        <w:rPr>
          <w:color w:val="231F20"/>
        </w:rPr>
        <w:t>LSL liabilities for Sworn members from 2019–23 until the expiry of the current Enterprise Bargaining Agreement (EBA) on 30 November 2023.</w:t>
      </w:r>
    </w:p>
    <w:p w14:paraId="00EEFD76" w14:textId="77777777" w:rsidR="00345EE3" w:rsidRDefault="00345EE3" w:rsidP="00345EE3">
      <w:pPr>
        <w:pStyle w:val="BodyText"/>
        <w:spacing w:before="117"/>
      </w:pPr>
      <w:r>
        <w:rPr>
          <w:color w:val="231F20"/>
        </w:rPr>
        <w:t>The</w:t>
      </w:r>
      <w:r>
        <w:rPr>
          <w:color w:val="231F20"/>
          <w:spacing w:val="-12"/>
        </w:rPr>
        <w:t xml:space="preserve"> </w:t>
      </w:r>
      <w:r>
        <w:rPr>
          <w:color w:val="231F20"/>
        </w:rPr>
        <w:t>approved</w:t>
      </w:r>
      <w:r>
        <w:rPr>
          <w:color w:val="231F20"/>
          <w:spacing w:val="-9"/>
        </w:rPr>
        <w:t xml:space="preserve"> </w:t>
      </w:r>
      <w:r>
        <w:rPr>
          <w:color w:val="231F20"/>
        </w:rPr>
        <w:t>inflation</w:t>
      </w:r>
      <w:r>
        <w:rPr>
          <w:color w:val="231F20"/>
          <w:spacing w:val="-9"/>
        </w:rPr>
        <w:t xml:space="preserve"> </w:t>
      </w:r>
      <w:r>
        <w:rPr>
          <w:color w:val="231F20"/>
        </w:rPr>
        <w:t>rate</w:t>
      </w:r>
      <w:r>
        <w:rPr>
          <w:color w:val="231F20"/>
          <w:spacing w:val="-9"/>
        </w:rPr>
        <w:t xml:space="preserve"> </w:t>
      </w:r>
      <w:r>
        <w:rPr>
          <w:color w:val="231F20"/>
        </w:rPr>
        <w:t>for</w:t>
      </w:r>
      <w:r>
        <w:rPr>
          <w:color w:val="231F20"/>
          <w:spacing w:val="-9"/>
        </w:rPr>
        <w:t xml:space="preserve"> </w:t>
      </w:r>
      <w:r>
        <w:rPr>
          <w:color w:val="231F20"/>
        </w:rPr>
        <w:t>Victoria</w:t>
      </w:r>
      <w:r>
        <w:rPr>
          <w:color w:val="231F20"/>
          <w:spacing w:val="-9"/>
        </w:rPr>
        <w:t xml:space="preserve"> </w:t>
      </w:r>
      <w:r>
        <w:rPr>
          <w:color w:val="231F20"/>
        </w:rPr>
        <w:t>Public</w:t>
      </w:r>
      <w:r>
        <w:rPr>
          <w:color w:val="231F20"/>
          <w:spacing w:val="-8"/>
        </w:rPr>
        <w:t xml:space="preserve"> </w:t>
      </w:r>
      <w:r>
        <w:rPr>
          <w:color w:val="231F20"/>
        </w:rPr>
        <w:t>Servant</w:t>
      </w:r>
      <w:r>
        <w:rPr>
          <w:color w:val="231F20"/>
          <w:spacing w:val="-9"/>
        </w:rPr>
        <w:t xml:space="preserve"> </w:t>
      </w:r>
      <w:r>
        <w:rPr>
          <w:color w:val="231F20"/>
        </w:rPr>
        <w:t>(VPS)</w:t>
      </w:r>
      <w:r>
        <w:rPr>
          <w:color w:val="231F20"/>
          <w:spacing w:val="-8"/>
        </w:rPr>
        <w:t xml:space="preserve"> </w:t>
      </w:r>
      <w:r>
        <w:rPr>
          <w:color w:val="231F20"/>
        </w:rPr>
        <w:t>employees</w:t>
      </w:r>
      <w:r>
        <w:rPr>
          <w:color w:val="231F20"/>
          <w:spacing w:val="-9"/>
        </w:rPr>
        <w:t xml:space="preserve"> </w:t>
      </w:r>
      <w:r>
        <w:rPr>
          <w:color w:val="231F20"/>
        </w:rPr>
        <w:t>for</w:t>
      </w:r>
      <w:r>
        <w:rPr>
          <w:color w:val="231F20"/>
          <w:spacing w:val="-8"/>
        </w:rPr>
        <w:t xml:space="preserve"> </w:t>
      </w:r>
      <w:r>
        <w:rPr>
          <w:color w:val="231F20"/>
        </w:rPr>
        <w:t>LSL</w:t>
      </w:r>
      <w:r>
        <w:rPr>
          <w:color w:val="231F20"/>
          <w:spacing w:val="-9"/>
        </w:rPr>
        <w:t xml:space="preserve"> </w:t>
      </w:r>
      <w:r>
        <w:rPr>
          <w:color w:val="231F20"/>
        </w:rPr>
        <w:t>is</w:t>
      </w:r>
      <w:r>
        <w:rPr>
          <w:color w:val="231F20"/>
          <w:spacing w:val="-8"/>
        </w:rPr>
        <w:t xml:space="preserve"> </w:t>
      </w:r>
      <w:r>
        <w:rPr>
          <w:color w:val="231F20"/>
          <w:spacing w:val="-2"/>
        </w:rPr>
        <w:t>3.85%.</w:t>
      </w:r>
    </w:p>
    <w:p w14:paraId="6B7E5B73" w14:textId="77777777" w:rsidR="00345EE3" w:rsidRDefault="00345EE3" w:rsidP="00345EE3">
      <w:pPr>
        <w:pStyle w:val="Heading5"/>
        <w:spacing w:before="231"/>
      </w:pPr>
      <w:r>
        <w:rPr>
          <w:color w:val="231F20"/>
        </w:rPr>
        <w:t>Deferred</w:t>
      </w:r>
      <w:r>
        <w:rPr>
          <w:color w:val="231F20"/>
          <w:spacing w:val="2"/>
        </w:rPr>
        <w:t xml:space="preserve"> </w:t>
      </w:r>
      <w:r>
        <w:rPr>
          <w:color w:val="231F20"/>
        </w:rPr>
        <w:t>Salary</w:t>
      </w:r>
      <w:r>
        <w:rPr>
          <w:color w:val="231F20"/>
          <w:spacing w:val="2"/>
        </w:rPr>
        <w:t xml:space="preserve"> </w:t>
      </w:r>
      <w:r>
        <w:rPr>
          <w:color w:val="231F20"/>
        </w:rPr>
        <w:t>Scheme</w:t>
      </w:r>
      <w:r>
        <w:rPr>
          <w:color w:val="231F20"/>
          <w:spacing w:val="2"/>
        </w:rPr>
        <w:t xml:space="preserve"> </w:t>
      </w:r>
      <w:r>
        <w:rPr>
          <w:color w:val="231F20"/>
          <w:spacing w:val="-2"/>
        </w:rPr>
        <w:t>(Scheme)</w:t>
      </w:r>
    </w:p>
    <w:p w14:paraId="698744D6" w14:textId="77777777" w:rsidR="00345EE3" w:rsidRDefault="00345EE3" w:rsidP="00345EE3">
      <w:pPr>
        <w:pStyle w:val="BodyText"/>
        <w:spacing w:before="61" w:line="242" w:lineRule="auto"/>
      </w:pPr>
      <w:r>
        <w:rPr>
          <w:color w:val="231F20"/>
        </w:rPr>
        <w:t>Public service employees may choose to participate in a deferred salary scheme which allows them to be paid the equivalent of four years’ salary over a five-year period. During the first four years, the employee receives 80% of their salary. A provision is raised for the balance, which is paid</w:t>
      </w:r>
      <w:r>
        <w:rPr>
          <w:color w:val="231F20"/>
          <w:spacing w:val="-11"/>
        </w:rPr>
        <w:t xml:space="preserve"> </w:t>
      </w:r>
      <w:r>
        <w:rPr>
          <w:color w:val="231F20"/>
        </w:rPr>
        <w:t>during</w:t>
      </w:r>
      <w:r>
        <w:rPr>
          <w:color w:val="231F20"/>
          <w:spacing w:val="-11"/>
        </w:rPr>
        <w:t xml:space="preserve"> </w:t>
      </w:r>
      <w:r>
        <w:rPr>
          <w:color w:val="231F20"/>
        </w:rPr>
        <w:t>the</w:t>
      </w:r>
      <w:r>
        <w:rPr>
          <w:color w:val="231F20"/>
          <w:spacing w:val="-11"/>
        </w:rPr>
        <w:t xml:space="preserve"> </w:t>
      </w:r>
      <w:r>
        <w:rPr>
          <w:color w:val="231F20"/>
        </w:rPr>
        <w:t>fifth</w:t>
      </w:r>
      <w:r>
        <w:rPr>
          <w:color w:val="231F20"/>
          <w:spacing w:val="-11"/>
        </w:rPr>
        <w:t xml:space="preserve"> </w:t>
      </w:r>
      <w:r>
        <w:rPr>
          <w:color w:val="231F20"/>
        </w:rPr>
        <w:t>year</w:t>
      </w:r>
      <w:r>
        <w:rPr>
          <w:color w:val="231F20"/>
          <w:spacing w:val="-10"/>
        </w:rPr>
        <w:t xml:space="preserve"> </w:t>
      </w:r>
      <w:r>
        <w:rPr>
          <w:color w:val="231F20"/>
        </w:rPr>
        <w:t>while</w:t>
      </w:r>
      <w:r>
        <w:rPr>
          <w:color w:val="231F20"/>
          <w:spacing w:val="-11"/>
        </w:rPr>
        <w:t xml:space="preserve"> </w:t>
      </w:r>
      <w:r>
        <w:rPr>
          <w:color w:val="231F20"/>
        </w:rPr>
        <w:t>the</w:t>
      </w:r>
      <w:r>
        <w:rPr>
          <w:color w:val="231F20"/>
          <w:spacing w:val="-11"/>
        </w:rPr>
        <w:t xml:space="preserve"> </w:t>
      </w:r>
      <w:r>
        <w:rPr>
          <w:color w:val="231F20"/>
        </w:rPr>
        <w:t>employee</w:t>
      </w:r>
      <w:r>
        <w:rPr>
          <w:color w:val="231F20"/>
          <w:spacing w:val="-11"/>
        </w:rPr>
        <w:t xml:space="preserve"> </w:t>
      </w:r>
      <w:r>
        <w:rPr>
          <w:color w:val="231F20"/>
        </w:rPr>
        <w:t>is</w:t>
      </w:r>
      <w:r>
        <w:rPr>
          <w:color w:val="231F20"/>
          <w:spacing w:val="-10"/>
        </w:rPr>
        <w:t xml:space="preserve"> </w:t>
      </w:r>
      <w:r>
        <w:rPr>
          <w:color w:val="231F20"/>
        </w:rPr>
        <w:t>on</w:t>
      </w:r>
      <w:r>
        <w:rPr>
          <w:color w:val="231F20"/>
          <w:spacing w:val="-11"/>
        </w:rPr>
        <w:t xml:space="preserve"> </w:t>
      </w:r>
      <w:r>
        <w:rPr>
          <w:color w:val="231F20"/>
        </w:rPr>
        <w:t>leave.</w:t>
      </w:r>
      <w:r>
        <w:rPr>
          <w:color w:val="231F20"/>
          <w:spacing w:val="-10"/>
        </w:rPr>
        <w:t xml:space="preserve"> </w:t>
      </w:r>
      <w:r>
        <w:rPr>
          <w:color w:val="231F20"/>
        </w:rPr>
        <w:t>Effective</w:t>
      </w:r>
      <w:r>
        <w:rPr>
          <w:color w:val="231F20"/>
          <w:spacing w:val="-11"/>
        </w:rPr>
        <w:t xml:space="preserve"> </w:t>
      </w:r>
      <w:r>
        <w:rPr>
          <w:color w:val="231F20"/>
        </w:rPr>
        <w:t>from</w:t>
      </w:r>
      <w:r>
        <w:rPr>
          <w:color w:val="231F20"/>
          <w:spacing w:val="-10"/>
        </w:rPr>
        <w:t xml:space="preserve"> </w:t>
      </w:r>
      <w:r>
        <w:rPr>
          <w:color w:val="231F20"/>
        </w:rPr>
        <w:t>2017,</w:t>
      </w:r>
      <w:r>
        <w:rPr>
          <w:color w:val="231F20"/>
          <w:spacing w:val="-10"/>
        </w:rPr>
        <w:t xml:space="preserve"> </w:t>
      </w:r>
      <w:r>
        <w:rPr>
          <w:color w:val="231F20"/>
        </w:rPr>
        <w:t>this</w:t>
      </w:r>
      <w:r>
        <w:rPr>
          <w:color w:val="231F20"/>
          <w:spacing w:val="-10"/>
        </w:rPr>
        <w:t xml:space="preserve"> </w:t>
      </w:r>
      <w:r>
        <w:rPr>
          <w:color w:val="231F20"/>
        </w:rPr>
        <w:t>Scheme</w:t>
      </w:r>
      <w:r>
        <w:rPr>
          <w:color w:val="231F20"/>
          <w:spacing w:val="-11"/>
        </w:rPr>
        <w:t xml:space="preserve"> </w:t>
      </w:r>
      <w:r>
        <w:rPr>
          <w:color w:val="231F20"/>
        </w:rPr>
        <w:t>is</w:t>
      </w:r>
      <w:r>
        <w:rPr>
          <w:color w:val="231F20"/>
          <w:spacing w:val="-10"/>
        </w:rPr>
        <w:t xml:space="preserve"> </w:t>
      </w:r>
      <w:r>
        <w:rPr>
          <w:color w:val="231F20"/>
        </w:rPr>
        <w:t>only made available to Sworn members.</w:t>
      </w:r>
    </w:p>
    <w:p w14:paraId="0568A714" w14:textId="77777777" w:rsidR="00345EE3" w:rsidRDefault="00345EE3" w:rsidP="00345EE3">
      <w:pPr>
        <w:pStyle w:val="Heading5"/>
        <w:spacing w:before="176"/>
      </w:pPr>
      <w:r>
        <w:rPr>
          <w:color w:val="58595B"/>
        </w:rPr>
        <w:t>3.1.3</w:t>
      </w:r>
      <w:r>
        <w:rPr>
          <w:color w:val="58595B"/>
          <w:spacing w:val="-2"/>
        </w:rPr>
        <w:t xml:space="preserve"> </w:t>
      </w:r>
      <w:r>
        <w:rPr>
          <w:color w:val="58595B"/>
        </w:rPr>
        <w:t>Superannuation</w:t>
      </w:r>
      <w:r>
        <w:rPr>
          <w:color w:val="58595B"/>
          <w:spacing w:val="-2"/>
        </w:rPr>
        <w:t xml:space="preserve"> Contributions</w:t>
      </w:r>
    </w:p>
    <w:p w14:paraId="1ADE5BDF" w14:textId="77777777" w:rsidR="00345EE3" w:rsidRDefault="00345EE3" w:rsidP="00345EE3">
      <w:pPr>
        <w:pStyle w:val="BodyText"/>
        <w:spacing w:before="118" w:line="242" w:lineRule="auto"/>
      </w:pPr>
      <w:r>
        <w:rPr>
          <w:color w:val="231F20"/>
        </w:rPr>
        <w:t>Employees</w:t>
      </w:r>
      <w:r>
        <w:rPr>
          <w:color w:val="231F20"/>
          <w:spacing w:val="-10"/>
        </w:rPr>
        <w:t xml:space="preserve"> </w:t>
      </w:r>
      <w:r>
        <w:rPr>
          <w:color w:val="231F20"/>
        </w:rPr>
        <w:t>of</w:t>
      </w:r>
      <w:r>
        <w:rPr>
          <w:color w:val="231F20"/>
          <w:spacing w:val="-10"/>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are</w:t>
      </w:r>
      <w:r>
        <w:rPr>
          <w:color w:val="231F20"/>
          <w:spacing w:val="-11"/>
        </w:rPr>
        <w:t xml:space="preserve"> </w:t>
      </w:r>
      <w:r>
        <w:rPr>
          <w:color w:val="231F20"/>
        </w:rPr>
        <w:t>entitled</w:t>
      </w:r>
      <w:r>
        <w:rPr>
          <w:color w:val="231F20"/>
          <w:spacing w:val="-11"/>
        </w:rPr>
        <w:t xml:space="preserve"> </w:t>
      </w:r>
      <w:r>
        <w:rPr>
          <w:color w:val="231F20"/>
        </w:rPr>
        <w:t>to</w:t>
      </w:r>
      <w:r>
        <w:rPr>
          <w:color w:val="231F20"/>
          <w:spacing w:val="-11"/>
        </w:rPr>
        <w:t xml:space="preserve"> </w:t>
      </w:r>
      <w:r>
        <w:rPr>
          <w:color w:val="231F20"/>
        </w:rPr>
        <w:t>receive</w:t>
      </w:r>
      <w:r>
        <w:rPr>
          <w:color w:val="231F20"/>
          <w:spacing w:val="-11"/>
        </w:rPr>
        <w:t xml:space="preserve"> </w:t>
      </w:r>
      <w:r>
        <w:rPr>
          <w:color w:val="231F20"/>
        </w:rPr>
        <w:t>superannuation</w:t>
      </w:r>
      <w:r>
        <w:rPr>
          <w:color w:val="231F20"/>
          <w:spacing w:val="-11"/>
        </w:rPr>
        <w:t xml:space="preserve"> </w:t>
      </w:r>
      <w:r>
        <w:rPr>
          <w:color w:val="231F20"/>
        </w:rPr>
        <w:t>benefits</w:t>
      </w:r>
      <w:r>
        <w:rPr>
          <w:color w:val="231F20"/>
          <w:spacing w:val="-10"/>
        </w:rPr>
        <w:t xml:space="preserve"> </w:t>
      </w:r>
      <w:r>
        <w:rPr>
          <w:color w:val="231F20"/>
        </w:rPr>
        <w:t>and</w:t>
      </w:r>
      <w:r>
        <w:rPr>
          <w:color w:val="231F20"/>
          <w:spacing w:val="-11"/>
        </w:rPr>
        <w:t xml:space="preserve"> </w:t>
      </w:r>
      <w:r>
        <w:rPr>
          <w:color w:val="231F20"/>
        </w:rPr>
        <w:t>Victoria</w:t>
      </w:r>
      <w:r>
        <w:rPr>
          <w:color w:val="231F20"/>
          <w:spacing w:val="-11"/>
        </w:rPr>
        <w:t xml:space="preserve"> </w:t>
      </w:r>
      <w:r>
        <w:rPr>
          <w:color w:val="231F20"/>
        </w:rPr>
        <w:t>Police contributes to both defined benefit and defined contribution plans. The defined benefit plan(s) provides benefits based on years of service and final average salary.</w:t>
      </w:r>
    </w:p>
    <w:p w14:paraId="5F7736ED" w14:textId="77777777" w:rsidR="00345EE3" w:rsidRDefault="00345EE3" w:rsidP="00345EE3">
      <w:pPr>
        <w:pStyle w:val="BodyText"/>
        <w:spacing w:before="117" w:line="242" w:lineRule="auto"/>
      </w:pPr>
      <w:r>
        <w:rPr>
          <w:color w:val="231F20"/>
        </w:rPr>
        <w:t>As</w:t>
      </w:r>
      <w:r>
        <w:rPr>
          <w:color w:val="231F20"/>
          <w:spacing w:val="-3"/>
        </w:rPr>
        <w:t xml:space="preserve"> </w:t>
      </w:r>
      <w:r>
        <w:rPr>
          <w:color w:val="231F20"/>
        </w:rPr>
        <w:t>noted</w:t>
      </w:r>
      <w:r>
        <w:rPr>
          <w:color w:val="231F20"/>
          <w:spacing w:val="-4"/>
        </w:rPr>
        <w:t xml:space="preserve"> </w:t>
      </w:r>
      <w:r>
        <w:rPr>
          <w:color w:val="231F20"/>
        </w:rPr>
        <w:t>before</w:t>
      </w:r>
      <w:r>
        <w:rPr>
          <w:color w:val="231F20"/>
          <w:spacing w:val="-4"/>
        </w:rPr>
        <w:t xml:space="preserve"> </w:t>
      </w:r>
      <w:r>
        <w:rPr>
          <w:color w:val="231F20"/>
        </w:rPr>
        <w:t>(in</w:t>
      </w:r>
      <w:r>
        <w:rPr>
          <w:color w:val="231F20"/>
          <w:spacing w:val="-4"/>
        </w:rPr>
        <w:t xml:space="preserve"> </w:t>
      </w:r>
      <w:r>
        <w:rPr>
          <w:color w:val="231F20"/>
        </w:rPr>
        <w:t>Note</w:t>
      </w:r>
      <w:r>
        <w:rPr>
          <w:color w:val="231F20"/>
          <w:spacing w:val="-4"/>
        </w:rPr>
        <w:t xml:space="preserve"> </w:t>
      </w:r>
      <w:r>
        <w:rPr>
          <w:color w:val="231F20"/>
        </w:rPr>
        <w:t>3.1.1),</w:t>
      </w:r>
      <w:r>
        <w:rPr>
          <w:color w:val="231F20"/>
          <w:spacing w:val="-3"/>
        </w:rPr>
        <w:t xml:space="preserve"> </w:t>
      </w:r>
      <w:r>
        <w:rPr>
          <w:color w:val="231F20"/>
        </w:rPr>
        <w:t>the</w:t>
      </w:r>
      <w:r>
        <w:rPr>
          <w:color w:val="231F20"/>
          <w:spacing w:val="-4"/>
        </w:rPr>
        <w:t xml:space="preserve"> </w:t>
      </w:r>
      <w:r>
        <w:rPr>
          <w:color w:val="231F20"/>
        </w:rPr>
        <w:t>defined</w:t>
      </w:r>
      <w:r>
        <w:rPr>
          <w:color w:val="231F20"/>
          <w:spacing w:val="-4"/>
        </w:rPr>
        <w:t xml:space="preserve"> </w:t>
      </w:r>
      <w:r>
        <w:rPr>
          <w:color w:val="231F20"/>
        </w:rPr>
        <w:t>benefit</w:t>
      </w:r>
      <w:r>
        <w:rPr>
          <w:color w:val="231F20"/>
          <w:spacing w:val="-3"/>
        </w:rPr>
        <w:t xml:space="preserve"> </w:t>
      </w:r>
      <w:r>
        <w:rPr>
          <w:color w:val="231F20"/>
        </w:rPr>
        <w:t>liability</w:t>
      </w:r>
      <w:r>
        <w:rPr>
          <w:color w:val="231F20"/>
          <w:spacing w:val="-3"/>
        </w:rPr>
        <w:t xml:space="preserve"> </w:t>
      </w:r>
      <w:r>
        <w:rPr>
          <w:color w:val="231F20"/>
        </w:rPr>
        <w:t>is</w:t>
      </w:r>
      <w:r>
        <w:rPr>
          <w:color w:val="231F20"/>
          <w:spacing w:val="-3"/>
        </w:rPr>
        <w:t xml:space="preserve"> </w:t>
      </w:r>
      <w:r>
        <w:rPr>
          <w:color w:val="231F20"/>
        </w:rPr>
        <w:t>recognised</w:t>
      </w:r>
      <w:r>
        <w:rPr>
          <w:color w:val="231F20"/>
          <w:spacing w:val="-4"/>
        </w:rPr>
        <w:t xml:space="preserve"> </w:t>
      </w:r>
      <w:r>
        <w:rPr>
          <w:color w:val="231F20"/>
        </w:rPr>
        <w:t>by</w:t>
      </w:r>
      <w:r>
        <w:rPr>
          <w:color w:val="231F20"/>
          <w:spacing w:val="-3"/>
        </w:rPr>
        <w:t xml:space="preserve"> </w:t>
      </w:r>
      <w:r>
        <w:rPr>
          <w:color w:val="231F20"/>
        </w:rPr>
        <w:t>the</w:t>
      </w:r>
      <w:r>
        <w:rPr>
          <w:color w:val="231F20"/>
          <w:spacing w:val="-4"/>
        </w:rPr>
        <w:t xml:space="preserve"> </w:t>
      </w:r>
      <w:r>
        <w:rPr>
          <w:color w:val="231F20"/>
        </w:rPr>
        <w:t>Department</w:t>
      </w:r>
      <w:r>
        <w:rPr>
          <w:color w:val="231F20"/>
          <w:spacing w:val="-3"/>
        </w:rPr>
        <w:t xml:space="preserve"> </w:t>
      </w:r>
      <w:r>
        <w:rPr>
          <w:color w:val="231F20"/>
        </w:rPr>
        <w:t xml:space="preserve">of </w:t>
      </w:r>
      <w:r>
        <w:rPr>
          <w:color w:val="231F20"/>
          <w:spacing w:val="-2"/>
        </w:rPr>
        <w:t>Treasury</w:t>
      </w:r>
      <w:r>
        <w:rPr>
          <w:color w:val="231F20"/>
          <w:spacing w:val="-3"/>
        </w:rPr>
        <w:t xml:space="preserve"> </w:t>
      </w:r>
      <w:r>
        <w:rPr>
          <w:color w:val="231F20"/>
          <w:spacing w:val="-2"/>
        </w:rPr>
        <w:t>and</w:t>
      </w:r>
      <w:r>
        <w:rPr>
          <w:color w:val="231F20"/>
          <w:spacing w:val="-3"/>
        </w:rPr>
        <w:t xml:space="preserve"> </w:t>
      </w:r>
      <w:r>
        <w:rPr>
          <w:color w:val="231F20"/>
          <w:spacing w:val="-2"/>
        </w:rPr>
        <w:t>Finance</w:t>
      </w:r>
      <w:r>
        <w:rPr>
          <w:color w:val="231F20"/>
          <w:spacing w:val="-3"/>
        </w:rPr>
        <w:t xml:space="preserve"> </w:t>
      </w:r>
      <w:r>
        <w:rPr>
          <w:color w:val="231F20"/>
          <w:spacing w:val="-2"/>
        </w:rPr>
        <w:t>(DTF)</w:t>
      </w:r>
      <w:r>
        <w:rPr>
          <w:color w:val="231F20"/>
          <w:spacing w:val="-3"/>
        </w:rPr>
        <w:t xml:space="preserve"> </w:t>
      </w:r>
      <w:r>
        <w:rPr>
          <w:color w:val="231F20"/>
          <w:spacing w:val="-2"/>
        </w:rPr>
        <w:t>as</w:t>
      </w:r>
      <w:r>
        <w:rPr>
          <w:color w:val="231F20"/>
          <w:spacing w:val="-3"/>
        </w:rPr>
        <w:t xml:space="preserve"> </w:t>
      </w:r>
      <w:r>
        <w:rPr>
          <w:color w:val="231F20"/>
          <w:spacing w:val="-2"/>
        </w:rPr>
        <w:t>an</w:t>
      </w:r>
      <w:r>
        <w:rPr>
          <w:color w:val="231F20"/>
          <w:spacing w:val="-3"/>
        </w:rPr>
        <w:t xml:space="preserve"> </w:t>
      </w:r>
      <w:r>
        <w:rPr>
          <w:color w:val="231F20"/>
          <w:spacing w:val="-2"/>
        </w:rPr>
        <w:t>administered</w:t>
      </w:r>
      <w:r>
        <w:rPr>
          <w:color w:val="231F20"/>
          <w:spacing w:val="-3"/>
        </w:rPr>
        <w:t xml:space="preserve"> </w:t>
      </w:r>
      <w:r>
        <w:rPr>
          <w:color w:val="231F20"/>
          <w:spacing w:val="-2"/>
        </w:rPr>
        <w:t>liability.</w:t>
      </w:r>
      <w:r>
        <w:rPr>
          <w:color w:val="231F20"/>
          <w:spacing w:val="-3"/>
        </w:rPr>
        <w:t xml:space="preserve"> </w:t>
      </w:r>
      <w:r>
        <w:rPr>
          <w:color w:val="231F20"/>
          <w:spacing w:val="-2"/>
        </w:rPr>
        <w:t>However,</w:t>
      </w:r>
      <w:r>
        <w:rPr>
          <w:color w:val="231F20"/>
          <w:spacing w:val="-3"/>
        </w:rPr>
        <w:t xml:space="preserve"> </w:t>
      </w:r>
      <w:r>
        <w:rPr>
          <w:color w:val="231F20"/>
          <w:spacing w:val="-2"/>
        </w:rPr>
        <w:t>superannuation</w:t>
      </w:r>
      <w:r>
        <w:rPr>
          <w:color w:val="231F20"/>
          <w:spacing w:val="-3"/>
        </w:rPr>
        <w:t xml:space="preserve"> </w:t>
      </w:r>
      <w:r>
        <w:rPr>
          <w:color w:val="231F20"/>
          <w:spacing w:val="-2"/>
        </w:rPr>
        <w:t xml:space="preserve">contributions </w:t>
      </w:r>
      <w:r>
        <w:rPr>
          <w:color w:val="231F20"/>
        </w:rPr>
        <w:t>paid or payable for the reporting period are included as part of employee benefits in the Comprehensive Operating Statement of Victoria Police.</w:t>
      </w:r>
    </w:p>
    <w:p w14:paraId="7B8315C9" w14:textId="77777777" w:rsidR="00345EE3" w:rsidRDefault="00345EE3" w:rsidP="00345EE3">
      <w:pPr>
        <w:rPr>
          <w:rFonts w:eastAsiaTheme="minorHAnsi"/>
          <w:color w:val="000000"/>
          <w:sz w:val="24"/>
          <w:szCs w:val="24"/>
          <w:lang w:val="en-GB"/>
        </w:rPr>
      </w:pPr>
      <w:r>
        <w:rPr>
          <w:rFonts w:eastAsiaTheme="minorHAnsi"/>
          <w:color w:val="000000"/>
          <w:sz w:val="24"/>
          <w:szCs w:val="24"/>
          <w:lang w:val="en-GB"/>
        </w:rPr>
        <w:br w:type="page"/>
      </w:r>
    </w:p>
    <w:p w14:paraId="6EE7AB3D" w14:textId="77777777" w:rsidR="00345EE3" w:rsidRPr="00930C1B" w:rsidRDefault="00345EE3" w:rsidP="00345EE3">
      <w:pPr>
        <w:widowControl/>
        <w:suppressAutoHyphens/>
        <w:adjustRightInd w:val="0"/>
        <w:spacing w:before="120" w:after="113" w:line="280" w:lineRule="atLeast"/>
        <w:ind w:left="142"/>
        <w:textAlignment w:val="center"/>
        <w:rPr>
          <w:rFonts w:eastAsiaTheme="minorHAnsi"/>
          <w:color w:val="000000"/>
          <w:sz w:val="24"/>
          <w:szCs w:val="24"/>
          <w:lang w:val="en-GB"/>
        </w:rPr>
      </w:pPr>
      <w:r w:rsidRPr="00930C1B">
        <w:rPr>
          <w:rFonts w:eastAsiaTheme="minorHAnsi"/>
          <w:color w:val="000000"/>
          <w:sz w:val="24"/>
          <w:szCs w:val="24"/>
          <w:lang w:val="en-GB"/>
        </w:rPr>
        <w:t>The names, details and amounts expensed in relation to the major employee superannuation funds and contributions made by Victoria Police are as follows:</w:t>
      </w:r>
    </w:p>
    <w:tbl>
      <w:tblPr>
        <w:tblW w:w="0" w:type="auto"/>
        <w:tblInd w:w="156" w:type="dxa"/>
        <w:tblLayout w:type="fixed"/>
        <w:tblCellMar>
          <w:left w:w="0" w:type="dxa"/>
          <w:right w:w="0" w:type="dxa"/>
        </w:tblCellMar>
        <w:tblLook w:val="0000" w:firstRow="0" w:lastRow="0" w:firstColumn="0" w:lastColumn="0" w:noHBand="0" w:noVBand="0"/>
      </w:tblPr>
      <w:tblGrid>
        <w:gridCol w:w="5669"/>
        <w:gridCol w:w="1134"/>
        <w:gridCol w:w="1134"/>
        <w:gridCol w:w="1134"/>
        <w:gridCol w:w="1134"/>
      </w:tblGrid>
      <w:tr w:rsidR="00345EE3" w:rsidRPr="00930C1B" w14:paraId="6D3A9D2F" w14:textId="77777777" w:rsidTr="00D73130">
        <w:trPr>
          <w:trHeight w:val="60"/>
          <w:tblHeader/>
        </w:trPr>
        <w:tc>
          <w:tcPr>
            <w:tcW w:w="10205" w:type="dxa"/>
            <w:gridSpan w:val="5"/>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48A140A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thousand)</w:t>
            </w:r>
          </w:p>
        </w:tc>
      </w:tr>
      <w:tr w:rsidR="00345EE3" w:rsidRPr="00930C1B" w14:paraId="2324C07E" w14:textId="77777777" w:rsidTr="00D73130">
        <w:trPr>
          <w:trHeight w:val="60"/>
          <w:tblHeader/>
        </w:trPr>
        <w:tc>
          <w:tcPr>
            <w:tcW w:w="5669"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CAD15B2" w14:textId="77777777" w:rsidR="00345EE3" w:rsidRPr="00930C1B" w:rsidRDefault="00345EE3" w:rsidP="00D73130">
            <w:pPr>
              <w:widowControl/>
              <w:adjustRightInd w:val="0"/>
              <w:rPr>
                <w:rFonts w:eastAsiaTheme="minorHAnsi"/>
                <w:sz w:val="24"/>
                <w:szCs w:val="24"/>
                <w:lang w:val="en-GB"/>
              </w:rPr>
            </w:pP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17265729" w14:textId="77777777" w:rsidR="00345EE3" w:rsidRPr="00930C1B"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30C1B">
              <w:rPr>
                <w:rFonts w:eastAsiaTheme="minorHAnsi"/>
                <w:b/>
                <w:bCs/>
                <w:color w:val="FFFFFF"/>
                <w:sz w:val="24"/>
                <w:szCs w:val="24"/>
                <w:lang w:val="en-GB"/>
              </w:rPr>
              <w:t>Contributions Paid For The Year</w:t>
            </w: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34EA7F5C" w14:textId="77777777" w:rsidR="00345EE3" w:rsidRPr="00930C1B"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30C1B">
              <w:rPr>
                <w:rFonts w:eastAsiaTheme="minorHAnsi"/>
                <w:b/>
                <w:bCs/>
                <w:color w:val="FFFFFF"/>
                <w:sz w:val="24"/>
                <w:szCs w:val="24"/>
                <w:lang w:val="en-GB"/>
              </w:rPr>
              <w:t>Contributions Outstanding At Year End</w:t>
            </w:r>
            <w:r w:rsidRPr="00930C1B">
              <w:rPr>
                <w:rFonts w:eastAsiaTheme="minorHAnsi"/>
                <w:b/>
                <w:bCs/>
                <w:color w:val="FFFFFF"/>
                <w:sz w:val="24"/>
                <w:szCs w:val="24"/>
                <w:vertAlign w:val="superscript"/>
                <w:lang w:val="en-GB"/>
              </w:rPr>
              <w:t xml:space="preserve"> (b)</w:t>
            </w:r>
          </w:p>
        </w:tc>
      </w:tr>
      <w:tr w:rsidR="00345EE3" w:rsidRPr="00930C1B" w14:paraId="5B1208E5" w14:textId="77777777" w:rsidTr="00D73130">
        <w:trPr>
          <w:trHeight w:val="60"/>
          <w:tblHeader/>
        </w:trPr>
        <w:tc>
          <w:tcPr>
            <w:tcW w:w="5669"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3F973F8"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3E2D4E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00E534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09E58F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5C8953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2021</w:t>
            </w:r>
          </w:p>
        </w:tc>
      </w:tr>
      <w:tr w:rsidR="00345EE3" w:rsidRPr="00930C1B" w14:paraId="0FDEA1AF"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DEC1AD2"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Defined Benefit Plans</w:t>
            </w:r>
            <w:r w:rsidRPr="00930C1B">
              <w:rPr>
                <w:rFonts w:eastAsiaTheme="minorHAnsi"/>
                <w:b/>
                <w:bCs/>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CDDE21"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5CF6ACA"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1406FD9"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00F8E9B" w14:textId="77777777" w:rsidR="00345EE3" w:rsidRPr="00930C1B" w:rsidRDefault="00345EE3" w:rsidP="00D73130">
            <w:pPr>
              <w:widowControl/>
              <w:adjustRightInd w:val="0"/>
              <w:rPr>
                <w:rFonts w:eastAsiaTheme="minorHAnsi"/>
                <w:sz w:val="24"/>
                <w:szCs w:val="24"/>
                <w:lang w:val="en-GB"/>
              </w:rPr>
            </w:pPr>
          </w:p>
        </w:tc>
      </w:tr>
      <w:tr w:rsidR="00345EE3" w:rsidRPr="00930C1B" w14:paraId="275CFABF" w14:textId="77777777" w:rsidTr="00D73130">
        <w:trPr>
          <w:trHeight w:val="60"/>
        </w:trPr>
        <w:tc>
          <w:tcPr>
            <w:tcW w:w="5669"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6AED7F97" w14:textId="77777777" w:rsidR="00345EE3" w:rsidRPr="00930C1B"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930C1B">
              <w:rPr>
                <w:rFonts w:eastAsiaTheme="minorHAnsi"/>
                <w:color w:val="000000"/>
                <w:sz w:val="24"/>
                <w:szCs w:val="24"/>
                <w:lang w:val="en-GB"/>
              </w:rPr>
              <w:t xml:space="preserve">Emergency Services and State Super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444B13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236,710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4A4F55AF"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237,102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096F81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(1,335)</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AB831D8"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3,110 </w:t>
            </w:r>
          </w:p>
        </w:tc>
      </w:tr>
      <w:tr w:rsidR="00345EE3" w:rsidRPr="00930C1B" w14:paraId="03D5E730" w14:textId="77777777" w:rsidTr="00D73130">
        <w:trPr>
          <w:trHeight w:val="60"/>
        </w:trPr>
        <w:tc>
          <w:tcPr>
            <w:tcW w:w="5669"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350C2B9B"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Subtotal</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2EF1B85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236,710 </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0A38E18F"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237,102 </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331CE2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(1,335)</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68BF095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3,110 </w:t>
            </w:r>
          </w:p>
        </w:tc>
      </w:tr>
      <w:tr w:rsidR="00345EE3" w:rsidRPr="00930C1B" w14:paraId="2439D4D9" w14:textId="77777777" w:rsidTr="00D73130">
        <w:trPr>
          <w:trHeight w:val="60"/>
        </w:trPr>
        <w:tc>
          <w:tcPr>
            <w:tcW w:w="5669"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4012BFBB"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Defined Contribution Plans: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A52319E"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2E463538"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746F5F"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4BE17B09" w14:textId="77777777" w:rsidR="00345EE3" w:rsidRPr="00930C1B" w:rsidRDefault="00345EE3" w:rsidP="00D73130">
            <w:pPr>
              <w:widowControl/>
              <w:adjustRightInd w:val="0"/>
              <w:rPr>
                <w:rFonts w:eastAsiaTheme="minorHAnsi"/>
                <w:sz w:val="24"/>
                <w:szCs w:val="24"/>
                <w:lang w:val="en-GB"/>
              </w:rPr>
            </w:pPr>
          </w:p>
        </w:tc>
      </w:tr>
      <w:tr w:rsidR="00345EE3" w:rsidRPr="00930C1B" w14:paraId="6C6401A3"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9A754BC" w14:textId="77777777" w:rsidR="00345EE3" w:rsidRPr="00930C1B"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930C1B">
              <w:rPr>
                <w:rFonts w:eastAsiaTheme="minorHAnsi"/>
                <w:color w:val="000000"/>
                <w:sz w:val="24"/>
                <w:szCs w:val="24"/>
                <w:lang w:val="en-GB"/>
              </w:rPr>
              <w:t>VicSuper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36A8A3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20,561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45124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19,965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9DA433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(174)</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552967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254 </w:t>
            </w:r>
          </w:p>
        </w:tc>
      </w:tr>
      <w:tr w:rsidR="00345EE3" w:rsidRPr="00930C1B" w14:paraId="1C143C71" w14:textId="77777777" w:rsidTr="00D73130">
        <w:trPr>
          <w:trHeight w:val="60"/>
        </w:trPr>
        <w:tc>
          <w:tcPr>
            <w:tcW w:w="5669"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539FCE50" w14:textId="77777777" w:rsidR="00345EE3" w:rsidRPr="00930C1B"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930C1B">
              <w:rPr>
                <w:rFonts w:eastAsiaTheme="minorHAnsi"/>
                <w:color w:val="000000"/>
                <w:sz w:val="24"/>
                <w:szCs w:val="24"/>
                <w:lang w:val="en-GB"/>
              </w:rPr>
              <w:t>Other</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4BAB5E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25,748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79E0DC1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16,380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2677C2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(156)</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711AC8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213 </w:t>
            </w:r>
          </w:p>
        </w:tc>
      </w:tr>
      <w:tr w:rsidR="00345EE3" w:rsidRPr="00930C1B" w14:paraId="249CE03F" w14:textId="77777777" w:rsidTr="00D73130">
        <w:trPr>
          <w:trHeight w:val="60"/>
        </w:trPr>
        <w:tc>
          <w:tcPr>
            <w:tcW w:w="5669"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4F5F718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Subtotal</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B92FD8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46,309 </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71158B7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36,345 </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295645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(331)</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183782A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467 </w:t>
            </w:r>
          </w:p>
        </w:tc>
      </w:tr>
      <w:tr w:rsidR="00345EE3" w:rsidRPr="00930C1B" w14:paraId="2B576051" w14:textId="77777777" w:rsidTr="00D73130">
        <w:trPr>
          <w:trHeight w:val="60"/>
        </w:trPr>
        <w:tc>
          <w:tcPr>
            <w:tcW w:w="5669"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3153899C"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CD2EC6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283,019 </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72C4173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273,447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7BC67AF"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(1,665)</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41E28D6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3,577 </w:t>
            </w:r>
          </w:p>
        </w:tc>
      </w:tr>
    </w:tbl>
    <w:p w14:paraId="5216CA3B" w14:textId="77777777" w:rsidR="00345EE3" w:rsidRPr="00930C1B" w:rsidRDefault="00345EE3" w:rsidP="00345EE3">
      <w:pPr>
        <w:widowControl/>
        <w:tabs>
          <w:tab w:val="left" w:pos="227"/>
          <w:tab w:val="left" w:pos="340"/>
        </w:tabs>
        <w:suppressAutoHyphens/>
        <w:adjustRightInd w:val="0"/>
        <w:spacing w:after="28" w:line="160" w:lineRule="atLeast"/>
        <w:ind w:left="142"/>
        <w:textAlignment w:val="center"/>
        <w:rPr>
          <w:rFonts w:eastAsiaTheme="minorHAnsi"/>
          <w:b/>
          <w:bCs/>
          <w:i/>
          <w:iCs/>
          <w:color w:val="000000"/>
          <w:sz w:val="18"/>
          <w:szCs w:val="18"/>
          <w:lang w:val="en-GB"/>
        </w:rPr>
      </w:pPr>
      <w:r w:rsidRPr="00930C1B">
        <w:rPr>
          <w:rFonts w:eastAsiaTheme="minorHAnsi"/>
          <w:b/>
          <w:bCs/>
          <w:i/>
          <w:iCs/>
          <w:color w:val="000000"/>
          <w:sz w:val="18"/>
          <w:szCs w:val="18"/>
          <w:lang w:val="en-GB"/>
        </w:rPr>
        <w:t>Note:</w:t>
      </w:r>
    </w:p>
    <w:p w14:paraId="4F592C39" w14:textId="77777777" w:rsidR="00345EE3" w:rsidRPr="00930C1B" w:rsidRDefault="00345EE3" w:rsidP="00345EE3">
      <w:pPr>
        <w:widowControl/>
        <w:tabs>
          <w:tab w:val="left" w:pos="227"/>
          <w:tab w:val="left" w:pos="340"/>
        </w:tabs>
        <w:suppressAutoHyphens/>
        <w:adjustRightInd w:val="0"/>
        <w:spacing w:after="28" w:line="160" w:lineRule="atLeast"/>
        <w:ind w:left="142"/>
        <w:textAlignment w:val="center"/>
        <w:rPr>
          <w:rFonts w:eastAsiaTheme="minorHAnsi"/>
          <w:color w:val="000000"/>
          <w:spacing w:val="-1"/>
          <w:sz w:val="18"/>
          <w:szCs w:val="18"/>
          <w:lang w:val="en-GB"/>
        </w:rPr>
      </w:pPr>
      <w:r w:rsidRPr="00930C1B">
        <w:rPr>
          <w:rFonts w:eastAsiaTheme="minorHAnsi"/>
          <w:color w:val="000000"/>
          <w:spacing w:val="-1"/>
          <w:sz w:val="18"/>
          <w:szCs w:val="18"/>
          <w:lang w:val="en-GB"/>
        </w:rPr>
        <w:t>(a) The basis for determining the level of contributions is determined by the various actuaries of the defined benefit superannuation plans.</w:t>
      </w:r>
    </w:p>
    <w:p w14:paraId="2B026B0A" w14:textId="77777777" w:rsidR="00345EE3" w:rsidRPr="00930C1B" w:rsidRDefault="00345EE3" w:rsidP="00345EE3">
      <w:pPr>
        <w:widowControl/>
        <w:tabs>
          <w:tab w:val="left" w:pos="227"/>
          <w:tab w:val="left" w:pos="340"/>
        </w:tabs>
        <w:suppressAutoHyphens/>
        <w:adjustRightInd w:val="0"/>
        <w:spacing w:after="113" w:line="160" w:lineRule="atLeast"/>
        <w:ind w:left="142"/>
        <w:textAlignment w:val="center"/>
        <w:rPr>
          <w:rFonts w:eastAsiaTheme="minorHAnsi"/>
          <w:color w:val="000000"/>
          <w:spacing w:val="-1"/>
          <w:sz w:val="18"/>
          <w:szCs w:val="18"/>
          <w:lang w:val="en-GB"/>
        </w:rPr>
      </w:pPr>
      <w:r w:rsidRPr="00930C1B">
        <w:rPr>
          <w:rFonts w:eastAsiaTheme="minorHAnsi"/>
          <w:color w:val="000000"/>
          <w:spacing w:val="-1"/>
          <w:sz w:val="18"/>
          <w:szCs w:val="18"/>
          <w:lang w:val="en-GB"/>
        </w:rPr>
        <w:t xml:space="preserve">(b) The contributions outstanding at 30 June 2022 represent prepaid balances at year-end. </w:t>
      </w:r>
    </w:p>
    <w:p w14:paraId="16D11A6E" w14:textId="77777777" w:rsidR="00345EE3" w:rsidRPr="00930C1B" w:rsidRDefault="00345EE3" w:rsidP="00345EE3">
      <w:pPr>
        <w:widowControl/>
        <w:suppressAutoHyphens/>
        <w:adjustRightInd w:val="0"/>
        <w:spacing w:before="240" w:after="85" w:line="340" w:lineRule="atLeast"/>
        <w:ind w:left="142"/>
        <w:textAlignment w:val="center"/>
        <w:rPr>
          <w:rFonts w:eastAsiaTheme="minorHAnsi"/>
          <w:color w:val="004996"/>
          <w:sz w:val="32"/>
          <w:szCs w:val="32"/>
          <w:lang w:val="en-GB"/>
        </w:rPr>
      </w:pPr>
      <w:r w:rsidRPr="00930C1B">
        <w:rPr>
          <w:rFonts w:eastAsiaTheme="minorHAnsi"/>
          <w:color w:val="004996"/>
          <w:sz w:val="32"/>
          <w:szCs w:val="32"/>
          <w:lang w:val="en-GB"/>
        </w:rPr>
        <w:t>3.2 Capital Asset Charge</w:t>
      </w:r>
    </w:p>
    <w:tbl>
      <w:tblPr>
        <w:tblW w:w="0" w:type="auto"/>
        <w:tblInd w:w="156" w:type="dxa"/>
        <w:tblLayout w:type="fixed"/>
        <w:tblCellMar>
          <w:left w:w="0" w:type="dxa"/>
          <w:right w:w="0" w:type="dxa"/>
        </w:tblCellMar>
        <w:tblLook w:val="0000" w:firstRow="0" w:lastRow="0" w:firstColumn="0" w:lastColumn="0" w:noHBand="0" w:noVBand="0"/>
      </w:tblPr>
      <w:tblGrid>
        <w:gridCol w:w="7937"/>
        <w:gridCol w:w="1134"/>
        <w:gridCol w:w="1134"/>
      </w:tblGrid>
      <w:tr w:rsidR="00345EE3" w:rsidRPr="00930C1B" w14:paraId="79C65AB8" w14:textId="77777777" w:rsidTr="00D73130">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6EEF9F7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thousand)</w:t>
            </w:r>
          </w:p>
        </w:tc>
      </w:tr>
      <w:tr w:rsidR="00345EE3" w:rsidRPr="00930C1B" w14:paraId="49C64804" w14:textId="77777777" w:rsidTr="00D73130">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9933CA7"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08ABD98"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55982B6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2021</w:t>
            </w:r>
          </w:p>
        </w:tc>
      </w:tr>
      <w:tr w:rsidR="00345EE3" w:rsidRPr="00930C1B" w14:paraId="6B8CA44E"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56C5985E"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Capital asset charge</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57342F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61DCB80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125,847 </w:t>
            </w:r>
          </w:p>
        </w:tc>
      </w:tr>
      <w:tr w:rsidR="00345EE3" w:rsidRPr="00930C1B" w14:paraId="15FD3A14" w14:textId="77777777" w:rsidTr="00D73130">
        <w:trPr>
          <w:trHeight w:val="60"/>
        </w:trPr>
        <w:tc>
          <w:tcPr>
            <w:tcW w:w="793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0D88344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Capital Asset Charge</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D4A700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6BB83CB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125,847 </w:t>
            </w:r>
          </w:p>
        </w:tc>
      </w:tr>
    </w:tbl>
    <w:p w14:paraId="2EA9DAC6" w14:textId="77777777" w:rsidR="00345EE3" w:rsidRDefault="00345EE3" w:rsidP="00345EE3">
      <w:pPr>
        <w:pStyle w:val="BodyText"/>
        <w:spacing w:before="98" w:line="242" w:lineRule="auto"/>
        <w:ind w:right="186"/>
      </w:pPr>
      <w:r>
        <w:rPr>
          <w:color w:val="231F20"/>
        </w:rPr>
        <w:t xml:space="preserve">A </w:t>
      </w:r>
      <w:r>
        <w:rPr>
          <w:b/>
          <w:color w:val="231F20"/>
        </w:rPr>
        <w:t xml:space="preserve">capital asset charge </w:t>
      </w:r>
      <w:r>
        <w:rPr>
          <w:color w:val="231F20"/>
        </w:rPr>
        <w:t>was a charge levied on the budgeted written-down value of controlled non-current</w:t>
      </w:r>
      <w:r>
        <w:rPr>
          <w:color w:val="231F20"/>
          <w:spacing w:val="-8"/>
        </w:rPr>
        <w:t xml:space="preserve"> </w:t>
      </w:r>
      <w:r>
        <w:rPr>
          <w:color w:val="231F20"/>
        </w:rPr>
        <w:t>physical</w:t>
      </w:r>
      <w:r>
        <w:rPr>
          <w:color w:val="231F20"/>
          <w:spacing w:val="-9"/>
        </w:rPr>
        <w:t xml:space="preserve"> </w:t>
      </w:r>
      <w:r>
        <w:rPr>
          <w:color w:val="231F20"/>
        </w:rPr>
        <w:t>assets</w:t>
      </w:r>
      <w:r>
        <w:rPr>
          <w:color w:val="231F20"/>
          <w:spacing w:val="-8"/>
        </w:rPr>
        <w:t xml:space="preserve"> </w:t>
      </w:r>
      <w:r>
        <w:rPr>
          <w:color w:val="231F20"/>
        </w:rPr>
        <w:t>in</w:t>
      </w:r>
      <w:r>
        <w:rPr>
          <w:color w:val="231F20"/>
          <w:spacing w:val="-9"/>
        </w:rPr>
        <w:t xml:space="preserve"> </w:t>
      </w:r>
      <w:r>
        <w:rPr>
          <w:color w:val="231F20"/>
        </w:rPr>
        <w:t>Victoria</w:t>
      </w:r>
      <w:r>
        <w:rPr>
          <w:color w:val="231F20"/>
          <w:spacing w:val="-9"/>
        </w:rPr>
        <w:t xml:space="preserve"> </w:t>
      </w:r>
      <w:r>
        <w:rPr>
          <w:color w:val="231F20"/>
        </w:rPr>
        <w:t>Police’s</w:t>
      </w:r>
      <w:r>
        <w:rPr>
          <w:color w:val="231F20"/>
          <w:spacing w:val="-8"/>
        </w:rPr>
        <w:t xml:space="preserve"> </w:t>
      </w:r>
      <w:r>
        <w:rPr>
          <w:color w:val="231F20"/>
        </w:rPr>
        <w:t>Balance</w:t>
      </w:r>
      <w:r>
        <w:rPr>
          <w:color w:val="231F20"/>
          <w:spacing w:val="-9"/>
        </w:rPr>
        <w:t xml:space="preserve"> </w:t>
      </w:r>
      <w:r>
        <w:rPr>
          <w:color w:val="231F20"/>
        </w:rPr>
        <w:t>Sheet.</w:t>
      </w:r>
      <w:r>
        <w:rPr>
          <w:color w:val="231F20"/>
          <w:spacing w:val="-8"/>
        </w:rPr>
        <w:t xml:space="preserve"> </w:t>
      </w:r>
      <w:r>
        <w:rPr>
          <w:color w:val="231F20"/>
        </w:rPr>
        <w:t>Its</w:t>
      </w:r>
      <w:r>
        <w:rPr>
          <w:color w:val="231F20"/>
          <w:spacing w:val="-8"/>
        </w:rPr>
        <w:t xml:space="preserve"> </w:t>
      </w:r>
      <w:r>
        <w:rPr>
          <w:color w:val="231F20"/>
        </w:rPr>
        <w:t>aim</w:t>
      </w:r>
      <w:r>
        <w:rPr>
          <w:color w:val="231F20"/>
          <w:spacing w:val="-8"/>
        </w:rPr>
        <w:t xml:space="preserve"> </w:t>
      </w:r>
      <w:r>
        <w:rPr>
          <w:color w:val="231F20"/>
        </w:rPr>
        <w:t>was</w:t>
      </w:r>
      <w:r>
        <w:rPr>
          <w:color w:val="231F20"/>
          <w:spacing w:val="-8"/>
        </w:rPr>
        <w:t xml:space="preserve"> </w:t>
      </w:r>
      <w:r>
        <w:rPr>
          <w:color w:val="231F20"/>
        </w:rPr>
        <w:t>to</w:t>
      </w:r>
      <w:r>
        <w:rPr>
          <w:color w:val="231F20"/>
          <w:spacing w:val="-9"/>
        </w:rPr>
        <w:t xml:space="preserve"> </w:t>
      </w:r>
      <w:r>
        <w:rPr>
          <w:color w:val="231F20"/>
        </w:rPr>
        <w:t>attribute</w:t>
      </w:r>
      <w:r>
        <w:rPr>
          <w:color w:val="231F20"/>
          <w:spacing w:val="-9"/>
        </w:rPr>
        <w:t xml:space="preserve"> </w:t>
      </w:r>
      <w:r>
        <w:rPr>
          <w:color w:val="231F20"/>
        </w:rPr>
        <w:t>to</w:t>
      </w:r>
      <w:r>
        <w:rPr>
          <w:color w:val="231F20"/>
          <w:spacing w:val="-9"/>
        </w:rPr>
        <w:t xml:space="preserve"> </w:t>
      </w:r>
      <w:r>
        <w:rPr>
          <w:color w:val="231F20"/>
        </w:rPr>
        <w:t>Victoria Police’s outputs, a cost of capital used in service delivery. Imposing this charge provided incentives for Victoria Police to identify and dispose of underutilised or surplus non-current physical</w:t>
      </w:r>
      <w:r>
        <w:rPr>
          <w:color w:val="231F20"/>
          <w:spacing w:val="-1"/>
        </w:rPr>
        <w:t xml:space="preserve"> </w:t>
      </w:r>
      <w:r>
        <w:rPr>
          <w:color w:val="231F20"/>
        </w:rPr>
        <w:t>assets. A capital</w:t>
      </w:r>
      <w:r>
        <w:rPr>
          <w:color w:val="231F20"/>
          <w:spacing w:val="-1"/>
        </w:rPr>
        <w:t xml:space="preserve"> </w:t>
      </w:r>
      <w:r>
        <w:rPr>
          <w:color w:val="231F20"/>
        </w:rPr>
        <w:t>asset charge</w:t>
      </w:r>
      <w:r>
        <w:rPr>
          <w:color w:val="231F20"/>
          <w:spacing w:val="-1"/>
        </w:rPr>
        <w:t xml:space="preserve"> </w:t>
      </w:r>
      <w:r>
        <w:rPr>
          <w:color w:val="231F20"/>
        </w:rPr>
        <w:t>(CAC) was a</w:t>
      </w:r>
      <w:r>
        <w:rPr>
          <w:color w:val="231F20"/>
          <w:spacing w:val="-1"/>
        </w:rPr>
        <w:t xml:space="preserve"> </w:t>
      </w:r>
      <w:r>
        <w:rPr>
          <w:color w:val="231F20"/>
        </w:rPr>
        <w:t>charge</w:t>
      </w:r>
      <w:r>
        <w:rPr>
          <w:color w:val="231F20"/>
          <w:spacing w:val="-1"/>
        </w:rPr>
        <w:t xml:space="preserve"> </w:t>
      </w:r>
      <w:r>
        <w:rPr>
          <w:color w:val="231F20"/>
        </w:rPr>
        <w:t>levied</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written-down</w:t>
      </w:r>
      <w:r>
        <w:rPr>
          <w:color w:val="231F20"/>
          <w:spacing w:val="-1"/>
        </w:rPr>
        <w:t xml:space="preserve"> </w:t>
      </w:r>
      <w:r>
        <w:rPr>
          <w:color w:val="231F20"/>
        </w:rPr>
        <w:t>value</w:t>
      </w:r>
      <w:r>
        <w:rPr>
          <w:color w:val="231F20"/>
          <w:spacing w:val="-1"/>
        </w:rPr>
        <w:t xml:space="preserve"> </w:t>
      </w:r>
      <w:r>
        <w:rPr>
          <w:color w:val="231F20"/>
        </w:rPr>
        <w:t>of controlled</w:t>
      </w:r>
      <w:r>
        <w:rPr>
          <w:color w:val="231F20"/>
          <w:spacing w:val="-9"/>
        </w:rPr>
        <w:t xml:space="preserve"> </w:t>
      </w:r>
      <w:r>
        <w:rPr>
          <w:color w:val="231F20"/>
        </w:rPr>
        <w:t>non-current</w:t>
      </w:r>
      <w:r>
        <w:rPr>
          <w:color w:val="231F20"/>
          <w:spacing w:val="-8"/>
        </w:rPr>
        <w:t xml:space="preserve"> </w:t>
      </w:r>
      <w:r>
        <w:rPr>
          <w:color w:val="231F20"/>
        </w:rPr>
        <w:t>physical</w:t>
      </w:r>
      <w:r>
        <w:rPr>
          <w:color w:val="231F20"/>
          <w:spacing w:val="-9"/>
        </w:rPr>
        <w:t xml:space="preserve"> </w:t>
      </w:r>
      <w:r>
        <w:rPr>
          <w:color w:val="231F20"/>
        </w:rPr>
        <w:t>assets</w:t>
      </w:r>
      <w:r>
        <w:rPr>
          <w:color w:val="231F20"/>
          <w:spacing w:val="-8"/>
        </w:rPr>
        <w:t xml:space="preserve"> </w:t>
      </w:r>
      <w:r>
        <w:rPr>
          <w:color w:val="231F20"/>
        </w:rPr>
        <w:t>in</w:t>
      </w:r>
      <w:r>
        <w:rPr>
          <w:color w:val="231F20"/>
          <w:spacing w:val="-9"/>
        </w:rPr>
        <w:t xml:space="preserve"> </w:t>
      </w:r>
      <w:r>
        <w:rPr>
          <w:color w:val="231F20"/>
        </w:rPr>
        <w:t>Victoria</w:t>
      </w:r>
      <w:r>
        <w:rPr>
          <w:color w:val="231F20"/>
          <w:spacing w:val="-9"/>
        </w:rPr>
        <w:t xml:space="preserve"> </w:t>
      </w:r>
      <w:r>
        <w:rPr>
          <w:color w:val="231F20"/>
        </w:rPr>
        <w:t>Police’s</w:t>
      </w:r>
      <w:r>
        <w:rPr>
          <w:color w:val="231F20"/>
          <w:spacing w:val="-8"/>
        </w:rPr>
        <w:t xml:space="preserve"> </w:t>
      </w:r>
      <w:r>
        <w:rPr>
          <w:color w:val="231F20"/>
        </w:rPr>
        <w:t>balance</w:t>
      </w:r>
      <w:r>
        <w:rPr>
          <w:color w:val="231F20"/>
          <w:spacing w:val="-9"/>
        </w:rPr>
        <w:t xml:space="preserve"> </w:t>
      </w:r>
      <w:r>
        <w:rPr>
          <w:color w:val="231F20"/>
        </w:rPr>
        <w:t>sheet.</w:t>
      </w:r>
      <w:r>
        <w:rPr>
          <w:color w:val="231F20"/>
          <w:spacing w:val="-8"/>
        </w:rPr>
        <w:t xml:space="preserve"> </w:t>
      </w:r>
      <w:r>
        <w:rPr>
          <w:color w:val="231F20"/>
        </w:rPr>
        <w:t>In</w:t>
      </w:r>
      <w:r>
        <w:rPr>
          <w:color w:val="231F20"/>
          <w:spacing w:val="-9"/>
        </w:rPr>
        <w:t xml:space="preserve"> </w:t>
      </w:r>
      <w:r>
        <w:rPr>
          <w:color w:val="231F20"/>
        </w:rPr>
        <w:t>previous</w:t>
      </w:r>
      <w:r>
        <w:rPr>
          <w:color w:val="231F20"/>
          <w:spacing w:val="-8"/>
        </w:rPr>
        <w:t xml:space="preserve"> </w:t>
      </w:r>
      <w:r>
        <w:rPr>
          <w:color w:val="231F20"/>
        </w:rPr>
        <w:t>years,</w:t>
      </w:r>
      <w:r>
        <w:rPr>
          <w:color w:val="231F20"/>
          <w:spacing w:val="-8"/>
        </w:rPr>
        <w:t xml:space="preserve"> </w:t>
      </w:r>
      <w:r>
        <w:rPr>
          <w:color w:val="231F20"/>
        </w:rPr>
        <w:t>CAC had been used to demonstrate the opportunity cost of utilising government assets.</w:t>
      </w:r>
    </w:p>
    <w:p w14:paraId="453A98AC" w14:textId="77777777" w:rsidR="00345EE3" w:rsidRDefault="00345EE3" w:rsidP="00345EE3">
      <w:pPr>
        <w:pStyle w:val="BodyText"/>
        <w:spacing w:before="123" w:line="242" w:lineRule="auto"/>
        <w:ind w:right="115"/>
      </w:pPr>
      <w:r>
        <w:rPr>
          <w:color w:val="231F20"/>
        </w:rPr>
        <w:t>It should be noted that the capital asset charge policy was discontinued in 2021–22 and also reflected in the 2021–22 Budget. While the inclusion of CAC was previously reflected in output cost, it did not reflect a net distribution of funds from Victoria Police to the Department of Treasury</w:t>
      </w:r>
      <w:r>
        <w:rPr>
          <w:color w:val="231F20"/>
          <w:spacing w:val="-9"/>
        </w:rPr>
        <w:t xml:space="preserve"> </w:t>
      </w:r>
      <w:r>
        <w:rPr>
          <w:color w:val="231F20"/>
        </w:rPr>
        <w:t>and</w:t>
      </w:r>
      <w:r>
        <w:rPr>
          <w:color w:val="231F20"/>
          <w:spacing w:val="-10"/>
        </w:rPr>
        <w:t xml:space="preserve"> </w:t>
      </w:r>
      <w:r>
        <w:rPr>
          <w:color w:val="231F20"/>
        </w:rPr>
        <w:t>Finance</w:t>
      </w:r>
      <w:r>
        <w:rPr>
          <w:color w:val="231F20"/>
          <w:spacing w:val="-10"/>
        </w:rPr>
        <w:t xml:space="preserve"> </w:t>
      </w:r>
      <w:r>
        <w:rPr>
          <w:color w:val="231F20"/>
        </w:rPr>
        <w:t>because</w:t>
      </w:r>
      <w:r>
        <w:rPr>
          <w:color w:val="231F20"/>
          <w:spacing w:val="-10"/>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was</w:t>
      </w:r>
      <w:r>
        <w:rPr>
          <w:color w:val="231F20"/>
          <w:spacing w:val="-9"/>
        </w:rPr>
        <w:t xml:space="preserve"> </w:t>
      </w:r>
      <w:r>
        <w:rPr>
          <w:color w:val="231F20"/>
        </w:rPr>
        <w:t>funded</w:t>
      </w:r>
      <w:r>
        <w:rPr>
          <w:color w:val="231F20"/>
          <w:spacing w:val="-10"/>
        </w:rPr>
        <w:t xml:space="preserve"> </w:t>
      </w:r>
      <w:r>
        <w:rPr>
          <w:color w:val="231F20"/>
        </w:rPr>
        <w:t>from</w:t>
      </w:r>
      <w:r>
        <w:rPr>
          <w:color w:val="231F20"/>
          <w:spacing w:val="-9"/>
        </w:rPr>
        <w:t xml:space="preserve"> </w:t>
      </w:r>
      <w:r>
        <w:rPr>
          <w:color w:val="231F20"/>
        </w:rPr>
        <w:t>the</w:t>
      </w:r>
      <w:r>
        <w:rPr>
          <w:color w:val="231F20"/>
          <w:spacing w:val="-10"/>
        </w:rPr>
        <w:t xml:space="preserve"> </w:t>
      </w:r>
      <w:r>
        <w:rPr>
          <w:color w:val="231F20"/>
        </w:rPr>
        <w:t>budget</w:t>
      </w:r>
      <w:r>
        <w:rPr>
          <w:color w:val="231F20"/>
          <w:spacing w:val="-9"/>
        </w:rPr>
        <w:t xml:space="preserve"> </w:t>
      </w:r>
      <w:r>
        <w:rPr>
          <w:color w:val="231F20"/>
        </w:rPr>
        <w:t>for</w:t>
      </w:r>
      <w:r>
        <w:rPr>
          <w:color w:val="231F20"/>
          <w:spacing w:val="-9"/>
        </w:rPr>
        <w:t xml:space="preserve"> </w:t>
      </w:r>
      <w:r>
        <w:rPr>
          <w:color w:val="231F20"/>
        </w:rPr>
        <w:t>its</w:t>
      </w:r>
      <w:r>
        <w:rPr>
          <w:color w:val="231F20"/>
          <w:spacing w:val="-9"/>
        </w:rPr>
        <w:t xml:space="preserve"> </w:t>
      </w:r>
      <w:r>
        <w:rPr>
          <w:color w:val="231F20"/>
        </w:rPr>
        <w:t>CAC</w:t>
      </w:r>
      <w:r>
        <w:rPr>
          <w:color w:val="231F20"/>
          <w:spacing w:val="-10"/>
        </w:rPr>
        <w:t xml:space="preserve"> </w:t>
      </w:r>
      <w:r>
        <w:rPr>
          <w:color w:val="231F20"/>
        </w:rPr>
        <w:t>expense and was then required to pay the same amount back into the Consolidated Fund.</w:t>
      </w:r>
    </w:p>
    <w:p w14:paraId="73FFE7E8" w14:textId="77777777" w:rsidR="00345EE3" w:rsidRPr="00930C1B" w:rsidRDefault="00345EE3" w:rsidP="00345EE3">
      <w:pPr>
        <w:widowControl/>
        <w:suppressAutoHyphens/>
        <w:adjustRightInd w:val="0"/>
        <w:spacing w:before="113" w:after="57" w:line="300" w:lineRule="atLeast"/>
        <w:ind w:left="142"/>
        <w:textAlignment w:val="center"/>
        <w:rPr>
          <w:rFonts w:eastAsiaTheme="minorHAnsi"/>
          <w:b/>
          <w:bCs/>
          <w:color w:val="004996"/>
          <w:sz w:val="28"/>
          <w:szCs w:val="28"/>
          <w:lang w:val="en-GB"/>
        </w:rPr>
      </w:pPr>
      <w:r w:rsidRPr="00930C1B">
        <w:rPr>
          <w:rFonts w:eastAsiaTheme="minorHAnsi"/>
          <w:b/>
          <w:bCs/>
          <w:color w:val="004996"/>
          <w:sz w:val="28"/>
          <w:szCs w:val="28"/>
          <w:lang w:val="en-GB"/>
        </w:rPr>
        <w:t>3.3 Operating Expenses</w:t>
      </w:r>
    </w:p>
    <w:tbl>
      <w:tblPr>
        <w:tblW w:w="0" w:type="auto"/>
        <w:tblInd w:w="156" w:type="dxa"/>
        <w:tblLayout w:type="fixed"/>
        <w:tblCellMar>
          <w:left w:w="0" w:type="dxa"/>
          <w:right w:w="0" w:type="dxa"/>
        </w:tblCellMar>
        <w:tblLook w:val="0000" w:firstRow="0" w:lastRow="0" w:firstColumn="0" w:lastColumn="0" w:noHBand="0" w:noVBand="0"/>
      </w:tblPr>
      <w:tblGrid>
        <w:gridCol w:w="7937"/>
        <w:gridCol w:w="1134"/>
        <w:gridCol w:w="1134"/>
      </w:tblGrid>
      <w:tr w:rsidR="00345EE3" w:rsidRPr="00930C1B" w14:paraId="6A8DB673" w14:textId="77777777" w:rsidTr="00D73130">
        <w:trPr>
          <w:trHeight w:val="60"/>
          <w:tblHeader/>
        </w:trPr>
        <w:tc>
          <w:tcPr>
            <w:tcW w:w="10205" w:type="dxa"/>
            <w:gridSpan w:val="3"/>
            <w:tcBorders>
              <w:top w:val="single" w:sz="6" w:space="0" w:color="auto"/>
              <w:left w:val="single" w:sz="6" w:space="0" w:color="004996"/>
              <w:bottom w:val="single" w:sz="2" w:space="0" w:color="FFFFFF"/>
              <w:right w:val="single" w:sz="6" w:space="0" w:color="auto"/>
            </w:tcBorders>
            <w:shd w:val="solid" w:color="004996" w:fill="auto"/>
            <w:tcMar>
              <w:top w:w="113" w:type="dxa"/>
              <w:left w:w="14" w:type="dxa"/>
              <w:bottom w:w="113" w:type="dxa"/>
              <w:right w:w="14" w:type="dxa"/>
            </w:tcMar>
          </w:tcPr>
          <w:p w14:paraId="3B709EE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thousand)</w:t>
            </w:r>
          </w:p>
        </w:tc>
      </w:tr>
      <w:tr w:rsidR="00345EE3" w:rsidRPr="00930C1B" w14:paraId="74CF6737" w14:textId="77777777" w:rsidTr="00D73130">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99D3723"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F591FF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192D2AC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2021</w:t>
            </w:r>
          </w:p>
        </w:tc>
      </w:tr>
      <w:tr w:rsidR="00345EE3" w:rsidRPr="00930C1B" w14:paraId="7830BE88"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3B78F0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Supplies and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3F70F08"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80879AC" w14:textId="77777777" w:rsidR="00345EE3" w:rsidRPr="00930C1B" w:rsidRDefault="00345EE3" w:rsidP="00D73130">
            <w:pPr>
              <w:widowControl/>
              <w:adjustRightInd w:val="0"/>
              <w:rPr>
                <w:rFonts w:eastAsiaTheme="minorHAnsi"/>
                <w:sz w:val="24"/>
                <w:szCs w:val="24"/>
                <w:lang w:val="en-GB"/>
              </w:rPr>
            </w:pPr>
          </w:p>
        </w:tc>
      </w:tr>
      <w:tr w:rsidR="00345EE3" w:rsidRPr="00930C1B" w14:paraId="17141700"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10A5BC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Motor vehicle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56F71D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49,805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F6F978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49,449 </w:t>
            </w:r>
          </w:p>
        </w:tc>
      </w:tr>
      <w:tr w:rsidR="00345EE3" w:rsidRPr="00930C1B" w14:paraId="2798EE08"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8C31B19"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Travel and accommodation</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FF38A3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48,132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D09AF5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36,444 </w:t>
            </w:r>
          </w:p>
        </w:tc>
      </w:tr>
      <w:tr w:rsidR="00345EE3" w:rsidRPr="00930C1B" w14:paraId="58BFE0E3"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0F076C2"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Contributions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408BFC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6,622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EB1095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6,367 </w:t>
            </w:r>
          </w:p>
        </w:tc>
      </w:tr>
      <w:tr w:rsidR="00345EE3" w:rsidRPr="00930C1B" w14:paraId="22B7C461"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4234A97"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Property rental and maintenance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8F172C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95,933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1CDE43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87,462 </w:t>
            </w:r>
          </w:p>
        </w:tc>
      </w:tr>
      <w:tr w:rsidR="00345EE3" w:rsidRPr="00930C1B" w14:paraId="5C1EE2EF"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EF586E4"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Utilities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C44C7E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15,978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5B4975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14,378 </w:t>
            </w:r>
          </w:p>
        </w:tc>
      </w:tr>
      <w:tr w:rsidR="00345EE3" w:rsidRPr="00930C1B" w14:paraId="07475C8C"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7F4CE1B"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Property maintenance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93AF2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42,639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DB2969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36,661 </w:t>
            </w:r>
          </w:p>
        </w:tc>
      </w:tr>
      <w:tr w:rsidR="00345EE3" w:rsidRPr="00930C1B" w14:paraId="310CB909"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7B623D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Lease rental</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18A367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8,203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E59408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3,473 </w:t>
            </w:r>
          </w:p>
        </w:tc>
      </w:tr>
      <w:tr w:rsidR="00345EE3" w:rsidRPr="00930C1B" w14:paraId="260B30E8"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0234C4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Rental outgoings and related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31EBE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29,113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7334C8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32,950 </w:t>
            </w:r>
          </w:p>
        </w:tc>
      </w:tr>
      <w:tr w:rsidR="00345EE3" w:rsidRPr="00930C1B" w14:paraId="682DBAF5"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65FFCA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Computer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B6CCB1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127,896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7B725B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137,517 </w:t>
            </w:r>
          </w:p>
        </w:tc>
      </w:tr>
      <w:tr w:rsidR="00345EE3" w:rsidRPr="00930C1B" w14:paraId="096883DF"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D6A4A0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 xml:space="preserve">Legal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1A6E68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44,903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AE5B548"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43,615 </w:t>
            </w:r>
          </w:p>
        </w:tc>
      </w:tr>
      <w:tr w:rsidR="00345EE3" w:rsidRPr="00930C1B" w14:paraId="04B8481D"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997A71B"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Operational support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9F266E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177,588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362EA0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183,624 </w:t>
            </w:r>
          </w:p>
        </w:tc>
      </w:tr>
      <w:tr w:rsidR="00345EE3" w:rsidRPr="00930C1B" w14:paraId="6C21F27F"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CB33DE7"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Communications</w:t>
            </w:r>
            <w:r w:rsidRPr="00930C1B">
              <w:rPr>
                <w:rFonts w:eastAsiaTheme="minorHAnsi"/>
                <w:i/>
                <w:iCs/>
                <w:color w:val="000000"/>
                <w:spacing w:val="-4"/>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35A97B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58,049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57A33C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57,175 </w:t>
            </w:r>
          </w:p>
        </w:tc>
      </w:tr>
      <w:tr w:rsidR="00345EE3" w:rsidRPr="00930C1B" w14:paraId="7A7BF9D5"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D60E6CC"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Aviation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83194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27,819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56D3AF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36,291 </w:t>
            </w:r>
          </w:p>
        </w:tc>
      </w:tr>
      <w:tr w:rsidR="00345EE3" w:rsidRPr="00930C1B" w14:paraId="628059D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12C53FF"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Professional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C9F1B9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26,139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EF2C51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28,065 </w:t>
            </w:r>
          </w:p>
        </w:tc>
      </w:tr>
      <w:tr w:rsidR="00345EE3" w:rsidRPr="00930C1B" w14:paraId="46FB47E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10351B3"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Agency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62383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3,393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E1356F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3,002 </w:t>
            </w:r>
          </w:p>
        </w:tc>
      </w:tr>
      <w:tr w:rsidR="00345EE3" w:rsidRPr="00930C1B" w14:paraId="502E8DE3"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1020F3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Mobile Data Network/Radio</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70E372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26,007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7659C6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30,308 </w:t>
            </w:r>
          </w:p>
        </w:tc>
      </w:tr>
      <w:tr w:rsidR="00345EE3" w:rsidRPr="00930C1B" w14:paraId="4A98CA4D"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5060F37"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Transcription costs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826AF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2,331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A4EC2E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2,318 </w:t>
            </w:r>
          </w:p>
        </w:tc>
      </w:tr>
      <w:tr w:rsidR="00345EE3" w:rsidRPr="00930C1B" w14:paraId="45A50C7A"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295BB6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Inquiry Fees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543003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15,294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66BEE6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5,612 </w:t>
            </w:r>
          </w:p>
        </w:tc>
      </w:tr>
      <w:tr w:rsidR="00345EE3" w:rsidRPr="00930C1B" w14:paraId="1EC1B329"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7DC8D3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xml:space="preserve">- Others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322829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18,556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DF8041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20,853 </w:t>
            </w:r>
          </w:p>
        </w:tc>
      </w:tr>
      <w:tr w:rsidR="00345EE3" w:rsidRPr="00930C1B" w14:paraId="7EC3F37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802E65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Other operating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24B652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102,914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174894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104,019 </w:t>
            </w:r>
          </w:p>
        </w:tc>
      </w:tr>
      <w:tr w:rsidR="00345EE3" w:rsidRPr="00930C1B" w14:paraId="7A1B25B7"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E5FE151"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Equipment and office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F53A62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38,204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71B370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23,533 </w:t>
            </w:r>
          </w:p>
        </w:tc>
      </w:tr>
      <w:tr w:rsidR="00345EE3" w:rsidRPr="00930C1B" w14:paraId="27C3B1F5"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E82C853"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Uniforms and personal equipment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A4C194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12,642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471AB4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16,238 </w:t>
            </w:r>
          </w:p>
        </w:tc>
      </w:tr>
      <w:tr w:rsidR="00345EE3" w:rsidRPr="00930C1B" w14:paraId="30527543"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98ED993"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Incidentals</w:t>
            </w:r>
            <w:r w:rsidRPr="00930C1B">
              <w:rPr>
                <w:rFonts w:eastAsiaTheme="minorHAnsi"/>
                <w:i/>
                <w:iCs/>
                <w:color w:val="000000"/>
                <w:spacing w:val="-4"/>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83DA08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41,306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F439FB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52,744 </w:t>
            </w:r>
          </w:p>
        </w:tc>
      </w:tr>
      <w:tr w:rsidR="00345EE3" w:rsidRPr="00930C1B" w14:paraId="56A08782"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6696002"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Option premium</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395104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221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89F698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184 </w:t>
            </w:r>
          </w:p>
        </w:tc>
      </w:tr>
      <w:tr w:rsidR="00345EE3" w:rsidRPr="00930C1B" w14:paraId="0095107E"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77B5EC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Prisoner supplies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F0600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1,517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AA17F1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1,771 </w:t>
            </w:r>
          </w:p>
        </w:tc>
      </w:tr>
      <w:tr w:rsidR="00345EE3" w:rsidRPr="00930C1B" w14:paraId="2568AC71"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71A65D4E"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Custody centres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65667A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9,024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0BD27F4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9,549 </w:t>
            </w:r>
          </w:p>
        </w:tc>
      </w:tr>
      <w:tr w:rsidR="00345EE3" w:rsidRPr="00930C1B" w14:paraId="5EDBE166" w14:textId="77777777" w:rsidTr="00D73130">
        <w:trPr>
          <w:trHeight w:val="60"/>
        </w:trPr>
        <w:tc>
          <w:tcPr>
            <w:tcW w:w="7937"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3BAC3DFF"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Subtotal for Supplies and Services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9D33C6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653,793 </w:t>
            </w: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17C0E9F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648,497 </w:t>
            </w:r>
          </w:p>
        </w:tc>
      </w:tr>
      <w:tr w:rsidR="00345EE3" w:rsidRPr="00930C1B" w14:paraId="64B20B2E"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462E2E4"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Bad debts from transactions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0A720B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236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69DF44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(5)</w:t>
            </w:r>
          </w:p>
        </w:tc>
      </w:tr>
      <w:tr w:rsidR="00345EE3" w:rsidRPr="00930C1B" w14:paraId="03173B1F"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1D63E26B"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Ex-gratia expenses</w:t>
            </w:r>
            <w:r w:rsidRPr="00930C1B">
              <w:rPr>
                <w:rFonts w:eastAsiaTheme="minorHAnsi"/>
                <w:color w:val="000000"/>
                <w:sz w:val="24"/>
                <w:szCs w:val="24"/>
                <w:vertAlign w:val="superscript"/>
                <w:lang w:val="en-GB"/>
              </w:rPr>
              <w:t xml:space="preserve"> (c)</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BF1DC4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237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289BFBC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257 </w:t>
            </w:r>
          </w:p>
        </w:tc>
      </w:tr>
      <w:tr w:rsidR="00345EE3" w:rsidRPr="00930C1B" w14:paraId="2BB00B70" w14:textId="77777777" w:rsidTr="00D73130">
        <w:trPr>
          <w:trHeight w:val="60"/>
        </w:trPr>
        <w:tc>
          <w:tcPr>
            <w:tcW w:w="793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2D43B35C"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Operating Expenses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944928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654,266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76B57E0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648,749 </w:t>
            </w:r>
          </w:p>
        </w:tc>
      </w:tr>
    </w:tbl>
    <w:p w14:paraId="1BB39325" w14:textId="77777777" w:rsidR="00345EE3" w:rsidRPr="000C71FB" w:rsidRDefault="00345EE3" w:rsidP="00345EE3">
      <w:pPr>
        <w:spacing w:before="86"/>
        <w:ind w:left="110"/>
        <w:rPr>
          <w:rFonts w:ascii="Arial-BoldItalicMT"/>
          <w:b/>
          <w:i/>
          <w:sz w:val="18"/>
          <w:szCs w:val="18"/>
        </w:rPr>
      </w:pPr>
      <w:r w:rsidRPr="000C71FB">
        <w:rPr>
          <w:rFonts w:ascii="Arial-BoldItalicMT"/>
          <w:b/>
          <w:i/>
          <w:color w:val="231F20"/>
          <w:spacing w:val="-2"/>
          <w:sz w:val="18"/>
          <w:szCs w:val="18"/>
        </w:rPr>
        <w:t>Note:</w:t>
      </w:r>
    </w:p>
    <w:p w14:paraId="5320A28B" w14:textId="77777777" w:rsidR="00345EE3" w:rsidRPr="000C71FB" w:rsidRDefault="00345EE3">
      <w:pPr>
        <w:pStyle w:val="ListParagraph"/>
        <w:numPr>
          <w:ilvl w:val="0"/>
          <w:numId w:val="39"/>
        </w:numPr>
        <w:tabs>
          <w:tab w:val="left" w:pos="338"/>
        </w:tabs>
        <w:spacing w:before="28"/>
        <w:ind w:hanging="228"/>
        <w:rPr>
          <w:sz w:val="18"/>
          <w:szCs w:val="18"/>
        </w:rPr>
      </w:pPr>
      <w:r w:rsidRPr="000C71FB">
        <w:rPr>
          <w:color w:val="231F20"/>
          <w:sz w:val="18"/>
          <w:szCs w:val="18"/>
        </w:rPr>
        <w:t>This</w:t>
      </w:r>
      <w:r w:rsidRPr="000C71FB">
        <w:rPr>
          <w:color w:val="231F20"/>
          <w:spacing w:val="-3"/>
          <w:sz w:val="18"/>
          <w:szCs w:val="18"/>
        </w:rPr>
        <w:t xml:space="preserve"> </w:t>
      </w:r>
      <w:r w:rsidRPr="000C71FB">
        <w:rPr>
          <w:color w:val="231F20"/>
          <w:sz w:val="18"/>
          <w:szCs w:val="18"/>
        </w:rPr>
        <w:t>balance relates</w:t>
      </w:r>
      <w:r w:rsidRPr="000C71FB">
        <w:rPr>
          <w:color w:val="231F20"/>
          <w:spacing w:val="-1"/>
          <w:sz w:val="18"/>
          <w:szCs w:val="18"/>
        </w:rPr>
        <w:t xml:space="preserve"> </w:t>
      </w:r>
      <w:r w:rsidRPr="000C71FB">
        <w:rPr>
          <w:color w:val="231F20"/>
          <w:sz w:val="18"/>
          <w:szCs w:val="18"/>
        </w:rPr>
        <w:t>to expenses</w:t>
      </w:r>
      <w:r w:rsidRPr="000C71FB">
        <w:rPr>
          <w:color w:val="231F20"/>
          <w:spacing w:val="-1"/>
          <w:sz w:val="18"/>
          <w:szCs w:val="18"/>
        </w:rPr>
        <w:t xml:space="preserve"> </w:t>
      </w:r>
      <w:r w:rsidRPr="000C71FB">
        <w:rPr>
          <w:color w:val="231F20"/>
          <w:sz w:val="18"/>
          <w:szCs w:val="18"/>
        </w:rPr>
        <w:t>associated with</w:t>
      </w:r>
      <w:r w:rsidRPr="000C71FB">
        <w:rPr>
          <w:color w:val="231F20"/>
          <w:spacing w:val="-1"/>
          <w:sz w:val="18"/>
          <w:szCs w:val="18"/>
        </w:rPr>
        <w:t xml:space="preserve"> </w:t>
      </w:r>
      <w:r w:rsidRPr="000C71FB">
        <w:rPr>
          <w:color w:val="231F20"/>
          <w:sz w:val="18"/>
          <w:szCs w:val="18"/>
        </w:rPr>
        <w:t>the Emergency</w:t>
      </w:r>
      <w:r w:rsidRPr="000C71FB">
        <w:rPr>
          <w:color w:val="231F20"/>
          <w:spacing w:val="-1"/>
          <w:sz w:val="18"/>
          <w:szCs w:val="18"/>
        </w:rPr>
        <w:t xml:space="preserve"> </w:t>
      </w:r>
      <w:r w:rsidRPr="000C71FB">
        <w:rPr>
          <w:color w:val="231F20"/>
          <w:sz w:val="18"/>
          <w:szCs w:val="18"/>
        </w:rPr>
        <w:t>Services Telecommunication</w:t>
      </w:r>
      <w:r w:rsidRPr="000C71FB">
        <w:rPr>
          <w:color w:val="231F20"/>
          <w:spacing w:val="-1"/>
          <w:sz w:val="18"/>
          <w:szCs w:val="18"/>
        </w:rPr>
        <w:t xml:space="preserve"> </w:t>
      </w:r>
      <w:r w:rsidRPr="000C71FB">
        <w:rPr>
          <w:color w:val="231F20"/>
          <w:sz w:val="18"/>
          <w:szCs w:val="18"/>
        </w:rPr>
        <w:t xml:space="preserve">Authority </w:t>
      </w:r>
      <w:r w:rsidRPr="000C71FB">
        <w:rPr>
          <w:color w:val="231F20"/>
          <w:spacing w:val="-2"/>
          <w:sz w:val="18"/>
          <w:szCs w:val="18"/>
        </w:rPr>
        <w:t>(ESTA).</w:t>
      </w:r>
    </w:p>
    <w:p w14:paraId="26089FDD" w14:textId="77777777" w:rsidR="00345EE3" w:rsidRPr="000C71FB" w:rsidRDefault="00345EE3">
      <w:pPr>
        <w:pStyle w:val="ListParagraph"/>
        <w:numPr>
          <w:ilvl w:val="0"/>
          <w:numId w:val="39"/>
        </w:numPr>
        <w:tabs>
          <w:tab w:val="left" w:pos="338"/>
        </w:tabs>
        <w:spacing w:before="27"/>
        <w:ind w:right="206"/>
        <w:rPr>
          <w:sz w:val="18"/>
          <w:szCs w:val="18"/>
        </w:rPr>
      </w:pPr>
      <w:r w:rsidRPr="000C71FB">
        <w:rPr>
          <w:color w:val="231F20"/>
          <w:sz w:val="18"/>
          <w:szCs w:val="18"/>
        </w:rPr>
        <w:t>Included</w:t>
      </w:r>
      <w:r w:rsidRPr="000C71FB">
        <w:rPr>
          <w:color w:val="231F20"/>
          <w:spacing w:val="-2"/>
          <w:sz w:val="18"/>
          <w:szCs w:val="18"/>
        </w:rPr>
        <w:t xml:space="preserve"> </w:t>
      </w:r>
      <w:r w:rsidRPr="000C71FB">
        <w:rPr>
          <w:color w:val="231F20"/>
          <w:sz w:val="18"/>
          <w:szCs w:val="18"/>
        </w:rPr>
        <w:t>in</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Incidental</w:t>
      </w:r>
      <w:r w:rsidRPr="000C71FB">
        <w:rPr>
          <w:color w:val="231F20"/>
          <w:spacing w:val="-2"/>
          <w:sz w:val="18"/>
          <w:szCs w:val="18"/>
        </w:rPr>
        <w:t xml:space="preserve"> </w:t>
      </w:r>
      <w:r w:rsidRPr="000C71FB">
        <w:rPr>
          <w:color w:val="231F20"/>
          <w:sz w:val="18"/>
          <w:szCs w:val="18"/>
        </w:rPr>
        <w:t>Expenses</w:t>
      </w:r>
      <w:r w:rsidRPr="000C71FB">
        <w:rPr>
          <w:color w:val="231F20"/>
          <w:spacing w:val="-2"/>
          <w:sz w:val="18"/>
          <w:szCs w:val="18"/>
        </w:rPr>
        <w:t xml:space="preserve"> </w:t>
      </w:r>
      <w:r w:rsidRPr="000C71FB">
        <w:rPr>
          <w:color w:val="231F20"/>
          <w:sz w:val="18"/>
          <w:szCs w:val="18"/>
        </w:rPr>
        <w:t>is</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agreed</w:t>
      </w:r>
      <w:r w:rsidRPr="000C71FB">
        <w:rPr>
          <w:color w:val="231F20"/>
          <w:spacing w:val="-2"/>
          <w:sz w:val="18"/>
          <w:szCs w:val="18"/>
        </w:rPr>
        <w:t xml:space="preserve"> </w:t>
      </w:r>
      <w:r w:rsidRPr="000C71FB">
        <w:rPr>
          <w:color w:val="231F20"/>
          <w:sz w:val="18"/>
          <w:szCs w:val="18"/>
        </w:rPr>
        <w:t>audit</w:t>
      </w:r>
      <w:r w:rsidRPr="000C71FB">
        <w:rPr>
          <w:color w:val="231F20"/>
          <w:spacing w:val="-2"/>
          <w:sz w:val="18"/>
          <w:szCs w:val="18"/>
        </w:rPr>
        <w:t xml:space="preserve"> </w:t>
      </w:r>
      <w:r w:rsidRPr="000C71FB">
        <w:rPr>
          <w:color w:val="231F20"/>
          <w:sz w:val="18"/>
          <w:szCs w:val="18"/>
        </w:rPr>
        <w:t>fee</w:t>
      </w:r>
      <w:r w:rsidRPr="000C71FB">
        <w:rPr>
          <w:color w:val="231F20"/>
          <w:spacing w:val="-2"/>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$379,300</w:t>
      </w:r>
      <w:r w:rsidRPr="000C71FB">
        <w:rPr>
          <w:color w:val="231F20"/>
          <w:spacing w:val="-2"/>
          <w:sz w:val="18"/>
          <w:szCs w:val="18"/>
        </w:rPr>
        <w:t xml:space="preserve"> </w:t>
      </w:r>
      <w:r w:rsidRPr="000C71FB">
        <w:rPr>
          <w:color w:val="231F20"/>
          <w:sz w:val="18"/>
          <w:szCs w:val="18"/>
        </w:rPr>
        <w:t>(2021:</w:t>
      </w:r>
      <w:r w:rsidRPr="000C71FB">
        <w:rPr>
          <w:color w:val="231F20"/>
          <w:spacing w:val="-2"/>
          <w:sz w:val="18"/>
          <w:szCs w:val="18"/>
        </w:rPr>
        <w:t xml:space="preserve"> </w:t>
      </w:r>
      <w:r w:rsidRPr="000C71FB">
        <w:rPr>
          <w:color w:val="231F20"/>
          <w:sz w:val="18"/>
          <w:szCs w:val="18"/>
        </w:rPr>
        <w:t>$379,300)</w:t>
      </w:r>
      <w:r w:rsidRPr="000C71FB">
        <w:rPr>
          <w:color w:val="231F20"/>
          <w:spacing w:val="-2"/>
          <w:sz w:val="18"/>
          <w:szCs w:val="18"/>
        </w:rPr>
        <w:t xml:space="preserve"> </w:t>
      </w:r>
      <w:r w:rsidRPr="000C71FB">
        <w:rPr>
          <w:color w:val="231F20"/>
          <w:sz w:val="18"/>
          <w:szCs w:val="18"/>
        </w:rPr>
        <w:t>for</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year-ended</w:t>
      </w:r>
      <w:r w:rsidRPr="000C71FB">
        <w:rPr>
          <w:color w:val="231F20"/>
          <w:spacing w:val="-2"/>
          <w:sz w:val="18"/>
          <w:szCs w:val="18"/>
        </w:rPr>
        <w:t xml:space="preserve"> </w:t>
      </w:r>
      <w:r w:rsidRPr="000C71FB">
        <w:rPr>
          <w:color w:val="231F20"/>
          <w:sz w:val="18"/>
          <w:szCs w:val="18"/>
        </w:rPr>
        <w:t>30</w:t>
      </w:r>
      <w:r w:rsidRPr="000C71FB">
        <w:rPr>
          <w:color w:val="231F20"/>
          <w:spacing w:val="-2"/>
          <w:sz w:val="18"/>
          <w:szCs w:val="18"/>
        </w:rPr>
        <w:t xml:space="preserve"> </w:t>
      </w:r>
      <w:r w:rsidRPr="000C71FB">
        <w:rPr>
          <w:color w:val="231F20"/>
          <w:sz w:val="18"/>
          <w:szCs w:val="18"/>
        </w:rPr>
        <w:t>June</w:t>
      </w:r>
      <w:r w:rsidRPr="000C71FB">
        <w:rPr>
          <w:color w:val="231F20"/>
          <w:spacing w:val="-2"/>
          <w:sz w:val="18"/>
          <w:szCs w:val="18"/>
        </w:rPr>
        <w:t xml:space="preserve"> </w:t>
      </w:r>
      <w:r w:rsidRPr="000C71FB">
        <w:rPr>
          <w:color w:val="231F20"/>
          <w:sz w:val="18"/>
          <w:szCs w:val="18"/>
        </w:rPr>
        <w:t>2022,</w:t>
      </w:r>
      <w:r w:rsidRPr="000C71FB">
        <w:rPr>
          <w:color w:val="231F20"/>
          <w:spacing w:val="-2"/>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which</w:t>
      </w:r>
      <w:r w:rsidRPr="000C71FB">
        <w:rPr>
          <w:color w:val="231F20"/>
          <w:spacing w:val="-2"/>
          <w:sz w:val="18"/>
          <w:szCs w:val="18"/>
        </w:rPr>
        <w:t xml:space="preserve"> </w:t>
      </w:r>
      <w:r w:rsidRPr="000C71FB">
        <w:rPr>
          <w:color w:val="231F20"/>
          <w:sz w:val="18"/>
          <w:szCs w:val="18"/>
        </w:rPr>
        <w:t>$255,000</w:t>
      </w:r>
      <w:r w:rsidRPr="000C71FB">
        <w:rPr>
          <w:color w:val="231F20"/>
          <w:spacing w:val="-2"/>
          <w:sz w:val="18"/>
          <w:szCs w:val="18"/>
        </w:rPr>
        <w:t xml:space="preserve"> </w:t>
      </w:r>
      <w:r w:rsidRPr="000C71FB">
        <w:rPr>
          <w:color w:val="231F20"/>
          <w:sz w:val="18"/>
          <w:szCs w:val="18"/>
        </w:rPr>
        <w:t>(2021:</w:t>
      </w:r>
      <w:r w:rsidRPr="000C71FB">
        <w:rPr>
          <w:color w:val="231F20"/>
          <w:spacing w:val="-2"/>
          <w:sz w:val="18"/>
          <w:szCs w:val="18"/>
        </w:rPr>
        <w:t xml:space="preserve"> </w:t>
      </w:r>
      <w:r w:rsidRPr="000C71FB">
        <w:rPr>
          <w:color w:val="231F20"/>
          <w:sz w:val="18"/>
          <w:szCs w:val="18"/>
        </w:rPr>
        <w:t>$218,000)</w:t>
      </w:r>
      <w:r w:rsidRPr="000C71FB">
        <w:rPr>
          <w:color w:val="231F20"/>
          <w:spacing w:val="40"/>
          <w:sz w:val="18"/>
          <w:szCs w:val="18"/>
        </w:rPr>
        <w:t xml:space="preserve"> </w:t>
      </w:r>
      <w:r w:rsidRPr="000C71FB">
        <w:rPr>
          <w:color w:val="231F20"/>
          <w:sz w:val="18"/>
          <w:szCs w:val="18"/>
        </w:rPr>
        <w:t>was recognised in the current year.</w:t>
      </w:r>
    </w:p>
    <w:p w14:paraId="33E9B44F" w14:textId="77777777" w:rsidR="00345EE3" w:rsidRPr="000C71FB" w:rsidRDefault="00345EE3">
      <w:pPr>
        <w:pStyle w:val="ListParagraph"/>
        <w:numPr>
          <w:ilvl w:val="0"/>
          <w:numId w:val="39"/>
        </w:numPr>
        <w:tabs>
          <w:tab w:val="left" w:pos="338"/>
        </w:tabs>
        <w:spacing w:before="26"/>
        <w:ind w:right="322"/>
        <w:rPr>
          <w:sz w:val="18"/>
          <w:szCs w:val="18"/>
        </w:rPr>
      </w:pPr>
      <w:r w:rsidRPr="000C71FB">
        <w:rPr>
          <w:color w:val="231F20"/>
          <w:sz w:val="18"/>
          <w:szCs w:val="18"/>
        </w:rPr>
        <w:t>These</w:t>
      </w:r>
      <w:r w:rsidRPr="000C71FB">
        <w:rPr>
          <w:color w:val="231F20"/>
          <w:spacing w:val="-1"/>
          <w:sz w:val="18"/>
          <w:szCs w:val="18"/>
        </w:rPr>
        <w:t xml:space="preserve"> </w:t>
      </w:r>
      <w:r w:rsidRPr="000C71FB">
        <w:rPr>
          <w:color w:val="231F20"/>
          <w:sz w:val="18"/>
          <w:szCs w:val="18"/>
        </w:rPr>
        <w:t>are</w:t>
      </w:r>
      <w:r w:rsidRPr="000C71FB">
        <w:rPr>
          <w:color w:val="231F20"/>
          <w:spacing w:val="-1"/>
          <w:sz w:val="18"/>
          <w:szCs w:val="18"/>
        </w:rPr>
        <w:t xml:space="preserve"> </w:t>
      </w:r>
      <w:r w:rsidRPr="000C71FB">
        <w:rPr>
          <w:color w:val="231F20"/>
          <w:sz w:val="18"/>
          <w:szCs w:val="18"/>
        </w:rPr>
        <w:t>voluntary</w:t>
      </w:r>
      <w:r w:rsidRPr="000C71FB">
        <w:rPr>
          <w:color w:val="231F20"/>
          <w:spacing w:val="-1"/>
          <w:sz w:val="18"/>
          <w:szCs w:val="18"/>
        </w:rPr>
        <w:t xml:space="preserve"> </w:t>
      </w:r>
      <w:r w:rsidRPr="000C71FB">
        <w:rPr>
          <w:color w:val="231F20"/>
          <w:sz w:val="18"/>
          <w:szCs w:val="18"/>
        </w:rPr>
        <w:t>payments</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money</w:t>
      </w:r>
      <w:r w:rsidRPr="000C71FB">
        <w:rPr>
          <w:color w:val="231F20"/>
          <w:spacing w:val="-1"/>
          <w:sz w:val="18"/>
          <w:szCs w:val="18"/>
        </w:rPr>
        <w:t xml:space="preserve"> </w:t>
      </w:r>
      <w:r w:rsidRPr="000C71FB">
        <w:rPr>
          <w:color w:val="231F20"/>
          <w:sz w:val="18"/>
          <w:szCs w:val="18"/>
        </w:rPr>
        <w:t>that</w:t>
      </w:r>
      <w:r w:rsidRPr="000C71FB">
        <w:rPr>
          <w:color w:val="231F20"/>
          <w:spacing w:val="-1"/>
          <w:sz w:val="18"/>
          <w:szCs w:val="18"/>
        </w:rPr>
        <w:t xml:space="preserve"> </w:t>
      </w:r>
      <w:r w:rsidRPr="000C71FB">
        <w:rPr>
          <w:color w:val="231F20"/>
          <w:sz w:val="18"/>
          <w:szCs w:val="18"/>
        </w:rPr>
        <w:t>are</w:t>
      </w:r>
      <w:r w:rsidRPr="000C71FB">
        <w:rPr>
          <w:color w:val="231F20"/>
          <w:spacing w:val="-1"/>
          <w:sz w:val="18"/>
          <w:szCs w:val="18"/>
        </w:rPr>
        <w:t xml:space="preserve"> </w:t>
      </w:r>
      <w:r w:rsidRPr="000C71FB">
        <w:rPr>
          <w:color w:val="231F20"/>
          <w:sz w:val="18"/>
          <w:szCs w:val="18"/>
        </w:rPr>
        <w:t>not</w:t>
      </w:r>
      <w:r w:rsidRPr="000C71FB">
        <w:rPr>
          <w:color w:val="231F20"/>
          <w:spacing w:val="-1"/>
          <w:sz w:val="18"/>
          <w:szCs w:val="18"/>
        </w:rPr>
        <w:t xml:space="preserve"> </w:t>
      </w:r>
      <w:r w:rsidRPr="000C71FB">
        <w:rPr>
          <w:color w:val="231F20"/>
          <w:sz w:val="18"/>
          <w:szCs w:val="18"/>
        </w:rPr>
        <w:t>made</w:t>
      </w:r>
      <w:r w:rsidRPr="000C71FB">
        <w:rPr>
          <w:color w:val="231F20"/>
          <w:spacing w:val="-1"/>
          <w:sz w:val="18"/>
          <w:szCs w:val="18"/>
        </w:rPr>
        <w:t xml:space="preserve"> </w:t>
      </w:r>
      <w:r w:rsidRPr="000C71FB">
        <w:rPr>
          <w:color w:val="231F20"/>
          <w:sz w:val="18"/>
          <w:szCs w:val="18"/>
        </w:rPr>
        <w:t>either</w:t>
      </w:r>
      <w:r w:rsidRPr="000C71FB">
        <w:rPr>
          <w:color w:val="231F20"/>
          <w:spacing w:val="-1"/>
          <w:sz w:val="18"/>
          <w:szCs w:val="18"/>
        </w:rPr>
        <w:t xml:space="preserve"> </w:t>
      </w:r>
      <w:r w:rsidRPr="000C71FB">
        <w:rPr>
          <w:color w:val="231F20"/>
          <w:sz w:val="18"/>
          <w:szCs w:val="18"/>
        </w:rPr>
        <w:t>to</w:t>
      </w:r>
      <w:r w:rsidRPr="000C71FB">
        <w:rPr>
          <w:color w:val="231F20"/>
          <w:spacing w:val="-1"/>
          <w:sz w:val="18"/>
          <w:szCs w:val="18"/>
        </w:rPr>
        <w:t xml:space="preserve"> </w:t>
      </w:r>
      <w:r w:rsidRPr="000C71FB">
        <w:rPr>
          <w:color w:val="231F20"/>
          <w:sz w:val="18"/>
          <w:szCs w:val="18"/>
        </w:rPr>
        <w:t>acquire</w:t>
      </w:r>
      <w:r w:rsidRPr="000C71FB">
        <w:rPr>
          <w:color w:val="231F20"/>
          <w:spacing w:val="-1"/>
          <w:sz w:val="18"/>
          <w:szCs w:val="18"/>
        </w:rPr>
        <w:t xml:space="preserve"> </w:t>
      </w:r>
      <w:r w:rsidRPr="000C71FB">
        <w:rPr>
          <w:color w:val="231F20"/>
          <w:sz w:val="18"/>
          <w:szCs w:val="18"/>
        </w:rPr>
        <w:t>goods,</w:t>
      </w:r>
      <w:r w:rsidRPr="000C71FB">
        <w:rPr>
          <w:color w:val="231F20"/>
          <w:spacing w:val="-1"/>
          <w:sz w:val="18"/>
          <w:szCs w:val="18"/>
        </w:rPr>
        <w:t xml:space="preserve"> </w:t>
      </w:r>
      <w:r w:rsidRPr="000C71FB">
        <w:rPr>
          <w:color w:val="231F20"/>
          <w:sz w:val="18"/>
          <w:szCs w:val="18"/>
        </w:rPr>
        <w:t>services</w:t>
      </w:r>
      <w:r w:rsidRPr="000C71FB">
        <w:rPr>
          <w:color w:val="231F20"/>
          <w:spacing w:val="-1"/>
          <w:sz w:val="18"/>
          <w:szCs w:val="18"/>
        </w:rPr>
        <w:t xml:space="preserve"> </w:t>
      </w:r>
      <w:r w:rsidRPr="000C71FB">
        <w:rPr>
          <w:color w:val="231F20"/>
          <w:sz w:val="18"/>
          <w:szCs w:val="18"/>
        </w:rPr>
        <w:t>or</w:t>
      </w:r>
      <w:r w:rsidRPr="000C71FB">
        <w:rPr>
          <w:color w:val="231F20"/>
          <w:spacing w:val="-1"/>
          <w:sz w:val="18"/>
          <w:szCs w:val="18"/>
        </w:rPr>
        <w:t xml:space="preserve"> </w:t>
      </w:r>
      <w:r w:rsidRPr="000C71FB">
        <w:rPr>
          <w:color w:val="231F20"/>
          <w:sz w:val="18"/>
          <w:szCs w:val="18"/>
        </w:rPr>
        <w:t>other</w:t>
      </w:r>
      <w:r w:rsidRPr="000C71FB">
        <w:rPr>
          <w:color w:val="231F20"/>
          <w:spacing w:val="-1"/>
          <w:sz w:val="18"/>
          <w:szCs w:val="18"/>
        </w:rPr>
        <w:t xml:space="preserve"> </w:t>
      </w:r>
      <w:r w:rsidRPr="000C71FB">
        <w:rPr>
          <w:color w:val="231F20"/>
          <w:sz w:val="18"/>
          <w:szCs w:val="18"/>
        </w:rPr>
        <w:t>benefits</w:t>
      </w:r>
      <w:r w:rsidRPr="000C71FB">
        <w:rPr>
          <w:color w:val="231F20"/>
          <w:spacing w:val="-1"/>
          <w:sz w:val="18"/>
          <w:szCs w:val="18"/>
        </w:rPr>
        <w:t xml:space="preserve"> </w:t>
      </w:r>
      <w:r w:rsidRPr="000C71FB">
        <w:rPr>
          <w:color w:val="231F20"/>
          <w:sz w:val="18"/>
          <w:szCs w:val="18"/>
        </w:rPr>
        <w:t>for</w:t>
      </w:r>
      <w:r w:rsidRPr="000C71FB">
        <w:rPr>
          <w:color w:val="231F20"/>
          <w:spacing w:val="-1"/>
          <w:sz w:val="18"/>
          <w:szCs w:val="18"/>
        </w:rPr>
        <w:t xml:space="preserve"> </w:t>
      </w:r>
      <w:r w:rsidRPr="000C71FB">
        <w:rPr>
          <w:color w:val="231F20"/>
          <w:sz w:val="18"/>
          <w:szCs w:val="18"/>
        </w:rPr>
        <w:t>Victoria</w:t>
      </w:r>
      <w:r w:rsidRPr="000C71FB">
        <w:rPr>
          <w:color w:val="231F20"/>
          <w:spacing w:val="-1"/>
          <w:sz w:val="18"/>
          <w:szCs w:val="18"/>
        </w:rPr>
        <w:t xml:space="preserve"> </w:t>
      </w:r>
      <w:r w:rsidRPr="000C71FB">
        <w:rPr>
          <w:color w:val="231F20"/>
          <w:sz w:val="18"/>
          <w:szCs w:val="18"/>
        </w:rPr>
        <w:t>Police</w:t>
      </w:r>
      <w:r w:rsidRPr="000C71FB">
        <w:rPr>
          <w:color w:val="231F20"/>
          <w:spacing w:val="-1"/>
          <w:sz w:val="18"/>
          <w:szCs w:val="18"/>
        </w:rPr>
        <w:t xml:space="preserve"> </w:t>
      </w:r>
      <w:r w:rsidRPr="000C71FB">
        <w:rPr>
          <w:color w:val="231F20"/>
          <w:sz w:val="18"/>
          <w:szCs w:val="18"/>
        </w:rPr>
        <w:t>or</w:t>
      </w:r>
      <w:r w:rsidRPr="000C71FB">
        <w:rPr>
          <w:color w:val="231F20"/>
          <w:spacing w:val="-1"/>
          <w:sz w:val="18"/>
          <w:szCs w:val="18"/>
        </w:rPr>
        <w:t xml:space="preserve"> </w:t>
      </w:r>
      <w:r w:rsidRPr="000C71FB">
        <w:rPr>
          <w:color w:val="231F20"/>
          <w:sz w:val="18"/>
          <w:szCs w:val="18"/>
        </w:rPr>
        <w:t>to</w:t>
      </w:r>
      <w:r w:rsidRPr="000C71FB">
        <w:rPr>
          <w:color w:val="231F20"/>
          <w:spacing w:val="-1"/>
          <w:sz w:val="18"/>
          <w:szCs w:val="18"/>
        </w:rPr>
        <w:t xml:space="preserve"> </w:t>
      </w:r>
      <w:r w:rsidRPr="000C71FB">
        <w:rPr>
          <w:color w:val="231F20"/>
          <w:sz w:val="18"/>
          <w:szCs w:val="18"/>
        </w:rPr>
        <w:t>meet</w:t>
      </w:r>
      <w:r w:rsidRPr="000C71FB">
        <w:rPr>
          <w:color w:val="231F20"/>
          <w:spacing w:val="-1"/>
          <w:sz w:val="18"/>
          <w:szCs w:val="18"/>
        </w:rPr>
        <w:t xml:space="preserve"> </w:t>
      </w:r>
      <w:r w:rsidRPr="000C71FB">
        <w:rPr>
          <w:color w:val="231F20"/>
          <w:sz w:val="18"/>
          <w:szCs w:val="18"/>
        </w:rPr>
        <w:t>a</w:t>
      </w:r>
      <w:r w:rsidRPr="000C71FB">
        <w:rPr>
          <w:color w:val="231F20"/>
          <w:spacing w:val="-1"/>
          <w:sz w:val="18"/>
          <w:szCs w:val="18"/>
        </w:rPr>
        <w:t xml:space="preserve"> </w:t>
      </w:r>
      <w:r w:rsidRPr="000C71FB">
        <w:rPr>
          <w:color w:val="231F20"/>
          <w:sz w:val="18"/>
          <w:szCs w:val="18"/>
        </w:rPr>
        <w:t>legal</w:t>
      </w:r>
      <w:r w:rsidRPr="000C71FB">
        <w:rPr>
          <w:color w:val="231F20"/>
          <w:spacing w:val="-1"/>
          <w:sz w:val="18"/>
          <w:szCs w:val="18"/>
        </w:rPr>
        <w:t xml:space="preserve"> </w:t>
      </w:r>
      <w:r w:rsidRPr="000C71FB">
        <w:rPr>
          <w:color w:val="231F20"/>
          <w:sz w:val="18"/>
          <w:szCs w:val="18"/>
        </w:rPr>
        <w:t>liability</w:t>
      </w:r>
      <w:r w:rsidRPr="000C71FB">
        <w:rPr>
          <w:color w:val="231F20"/>
          <w:spacing w:val="-1"/>
          <w:sz w:val="18"/>
          <w:szCs w:val="18"/>
        </w:rPr>
        <w:t xml:space="preserve"> </w:t>
      </w:r>
      <w:r w:rsidRPr="000C71FB">
        <w:rPr>
          <w:color w:val="231F20"/>
          <w:sz w:val="18"/>
          <w:szCs w:val="18"/>
        </w:rPr>
        <w:t>or</w:t>
      </w:r>
      <w:r w:rsidRPr="000C71FB">
        <w:rPr>
          <w:color w:val="231F20"/>
          <w:spacing w:val="-1"/>
          <w:sz w:val="18"/>
          <w:szCs w:val="18"/>
        </w:rPr>
        <w:t xml:space="preserve"> </w:t>
      </w:r>
      <w:r w:rsidRPr="000C71FB">
        <w:rPr>
          <w:color w:val="231F20"/>
          <w:sz w:val="18"/>
          <w:szCs w:val="18"/>
        </w:rPr>
        <w:t>to</w:t>
      </w:r>
      <w:r w:rsidRPr="000C71FB">
        <w:rPr>
          <w:color w:val="231F20"/>
          <w:spacing w:val="40"/>
          <w:sz w:val="18"/>
          <w:szCs w:val="18"/>
        </w:rPr>
        <w:t xml:space="preserve"> </w:t>
      </w:r>
      <w:r w:rsidRPr="000C71FB">
        <w:rPr>
          <w:color w:val="231F20"/>
          <w:sz w:val="18"/>
          <w:szCs w:val="18"/>
        </w:rPr>
        <w:t>settle or resolve a possible legal liability of or claim against Victoria Police.</w:t>
      </w:r>
    </w:p>
    <w:p w14:paraId="27B6F811" w14:textId="77777777" w:rsidR="00345EE3" w:rsidRDefault="00345EE3" w:rsidP="00345EE3">
      <w:pPr>
        <w:pStyle w:val="BodyText"/>
        <w:spacing w:before="117" w:line="242" w:lineRule="auto"/>
      </w:pPr>
      <w:r>
        <w:rPr>
          <w:b/>
          <w:color w:val="231F20"/>
        </w:rPr>
        <w:t>Operating</w:t>
      </w:r>
      <w:r>
        <w:rPr>
          <w:b/>
          <w:color w:val="231F20"/>
          <w:spacing w:val="-8"/>
        </w:rPr>
        <w:t xml:space="preserve"> </w:t>
      </w:r>
      <w:r>
        <w:rPr>
          <w:b/>
          <w:color w:val="231F20"/>
        </w:rPr>
        <w:t>expenses</w:t>
      </w:r>
      <w:r>
        <w:rPr>
          <w:b/>
          <w:color w:val="231F20"/>
          <w:spacing w:val="-9"/>
        </w:rPr>
        <w:t xml:space="preserve"> </w:t>
      </w:r>
      <w:r>
        <w:rPr>
          <w:color w:val="231F20"/>
        </w:rPr>
        <w:t>generally</w:t>
      </w:r>
      <w:r>
        <w:rPr>
          <w:color w:val="231F20"/>
          <w:spacing w:val="-8"/>
        </w:rPr>
        <w:t xml:space="preserve"> </w:t>
      </w:r>
      <w:r>
        <w:rPr>
          <w:color w:val="231F20"/>
        </w:rPr>
        <w:t>represent</w:t>
      </w:r>
      <w:r>
        <w:rPr>
          <w:color w:val="231F20"/>
          <w:spacing w:val="-8"/>
        </w:rPr>
        <w:t xml:space="preserve"> </w:t>
      </w:r>
      <w:r>
        <w:rPr>
          <w:color w:val="231F20"/>
        </w:rPr>
        <w:t>the</w:t>
      </w:r>
      <w:r>
        <w:rPr>
          <w:color w:val="231F20"/>
          <w:spacing w:val="-9"/>
        </w:rPr>
        <w:t xml:space="preserve"> </w:t>
      </w:r>
      <w:r>
        <w:rPr>
          <w:color w:val="231F20"/>
        </w:rPr>
        <w:t>day-to-day</w:t>
      </w:r>
      <w:r>
        <w:rPr>
          <w:color w:val="231F20"/>
          <w:spacing w:val="-8"/>
        </w:rPr>
        <w:t xml:space="preserve"> </w:t>
      </w:r>
      <w:r>
        <w:rPr>
          <w:color w:val="231F20"/>
        </w:rPr>
        <w:t>running</w:t>
      </w:r>
      <w:r>
        <w:rPr>
          <w:color w:val="231F20"/>
          <w:spacing w:val="-9"/>
        </w:rPr>
        <w:t xml:space="preserve"> </w:t>
      </w:r>
      <w:r>
        <w:rPr>
          <w:color w:val="231F20"/>
        </w:rPr>
        <w:t>costs</w:t>
      </w:r>
      <w:r>
        <w:rPr>
          <w:color w:val="231F20"/>
          <w:spacing w:val="-8"/>
        </w:rPr>
        <w:t xml:space="preserve"> </w:t>
      </w:r>
      <w:r>
        <w:rPr>
          <w:color w:val="231F20"/>
        </w:rPr>
        <w:t>incurred</w:t>
      </w:r>
      <w:r>
        <w:rPr>
          <w:color w:val="231F20"/>
          <w:spacing w:val="-9"/>
        </w:rPr>
        <w:t xml:space="preserve"> </w:t>
      </w:r>
      <w:r>
        <w:rPr>
          <w:color w:val="231F20"/>
        </w:rPr>
        <w:t>in</w:t>
      </w:r>
      <w:r>
        <w:rPr>
          <w:color w:val="231F20"/>
          <w:spacing w:val="-9"/>
        </w:rPr>
        <w:t xml:space="preserve"> </w:t>
      </w:r>
      <w:r>
        <w:rPr>
          <w:color w:val="231F20"/>
        </w:rPr>
        <w:t xml:space="preserve">normal </w:t>
      </w:r>
      <w:r>
        <w:rPr>
          <w:color w:val="231F20"/>
          <w:spacing w:val="-2"/>
        </w:rPr>
        <w:t>operations.</w:t>
      </w:r>
    </w:p>
    <w:p w14:paraId="315774F3" w14:textId="77777777" w:rsidR="00345EE3" w:rsidRDefault="00345EE3" w:rsidP="00345EE3">
      <w:pPr>
        <w:pStyle w:val="BodyText"/>
        <w:spacing w:before="116" w:line="242" w:lineRule="auto"/>
      </w:pPr>
      <w:r>
        <w:rPr>
          <w:b/>
          <w:color w:val="231F20"/>
        </w:rPr>
        <w:t>Supplies</w:t>
      </w:r>
      <w:r>
        <w:rPr>
          <w:b/>
          <w:color w:val="231F20"/>
          <w:spacing w:val="-5"/>
        </w:rPr>
        <w:t xml:space="preserve"> </w:t>
      </w:r>
      <w:r>
        <w:rPr>
          <w:b/>
          <w:color w:val="231F20"/>
        </w:rPr>
        <w:t>and</w:t>
      </w:r>
      <w:r>
        <w:rPr>
          <w:b/>
          <w:color w:val="231F20"/>
          <w:spacing w:val="-4"/>
        </w:rPr>
        <w:t xml:space="preserve"> </w:t>
      </w:r>
      <w:r>
        <w:rPr>
          <w:b/>
          <w:color w:val="231F20"/>
        </w:rPr>
        <w:t>services</w:t>
      </w:r>
      <w:r>
        <w:rPr>
          <w:b/>
          <w:color w:val="231F20"/>
          <w:spacing w:val="-4"/>
        </w:rPr>
        <w:t xml:space="preserve"> </w:t>
      </w:r>
      <w:r>
        <w:rPr>
          <w:color w:val="231F20"/>
        </w:rPr>
        <w:t>are</w:t>
      </w:r>
      <w:r>
        <w:rPr>
          <w:color w:val="231F20"/>
          <w:spacing w:val="-5"/>
        </w:rPr>
        <w:t xml:space="preserve"> </w:t>
      </w:r>
      <w:r>
        <w:rPr>
          <w:color w:val="231F20"/>
        </w:rPr>
        <w:t>recognised</w:t>
      </w:r>
      <w:r>
        <w:rPr>
          <w:color w:val="231F20"/>
          <w:spacing w:val="-5"/>
        </w:rPr>
        <w:t xml:space="preserve"> </w:t>
      </w:r>
      <w:r>
        <w:rPr>
          <w:color w:val="231F20"/>
        </w:rPr>
        <w:t>as</w:t>
      </w:r>
      <w:r>
        <w:rPr>
          <w:color w:val="231F20"/>
          <w:spacing w:val="-4"/>
        </w:rPr>
        <w:t xml:space="preserve"> </w:t>
      </w:r>
      <w:r>
        <w:rPr>
          <w:color w:val="231F20"/>
        </w:rPr>
        <w:t>an</w:t>
      </w:r>
      <w:r>
        <w:rPr>
          <w:color w:val="231F20"/>
          <w:spacing w:val="-5"/>
        </w:rPr>
        <w:t xml:space="preserve"> </w:t>
      </w:r>
      <w:r>
        <w:rPr>
          <w:color w:val="231F20"/>
        </w:rPr>
        <w:t>expense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reporting</w:t>
      </w:r>
      <w:r>
        <w:rPr>
          <w:color w:val="231F20"/>
          <w:spacing w:val="-5"/>
        </w:rPr>
        <w:t xml:space="preserve"> </w:t>
      </w:r>
      <w:r>
        <w:rPr>
          <w:color w:val="231F20"/>
        </w:rPr>
        <w:t>period</w:t>
      </w:r>
      <w:r>
        <w:rPr>
          <w:color w:val="231F20"/>
          <w:spacing w:val="-5"/>
        </w:rPr>
        <w:t xml:space="preserve"> </w:t>
      </w:r>
      <w:r>
        <w:rPr>
          <w:color w:val="231F20"/>
        </w:rPr>
        <w:t>in</w:t>
      </w:r>
      <w:r>
        <w:rPr>
          <w:color w:val="231F20"/>
          <w:spacing w:val="-5"/>
        </w:rPr>
        <w:t xml:space="preserve"> </w:t>
      </w:r>
      <w:r>
        <w:rPr>
          <w:color w:val="231F20"/>
        </w:rPr>
        <w:t>which</w:t>
      </w:r>
      <w:r>
        <w:rPr>
          <w:color w:val="231F20"/>
          <w:spacing w:val="-5"/>
        </w:rPr>
        <w:t xml:space="preserve"> </w:t>
      </w:r>
      <w:r>
        <w:rPr>
          <w:color w:val="231F20"/>
        </w:rPr>
        <w:t>they</w:t>
      </w:r>
      <w:r>
        <w:rPr>
          <w:color w:val="231F20"/>
          <w:spacing w:val="-4"/>
        </w:rPr>
        <w:t xml:space="preserve"> </w:t>
      </w:r>
      <w:r>
        <w:rPr>
          <w:color w:val="231F20"/>
        </w:rPr>
        <w:t>are incurred. The carrying amounts of any inventories held for distribution are expensed when the inventories are distributed.</w:t>
      </w:r>
    </w:p>
    <w:p w14:paraId="032E60C7" w14:textId="77777777" w:rsidR="00345EE3" w:rsidRDefault="00345EE3" w:rsidP="00345EE3">
      <w:pPr>
        <w:pStyle w:val="BodyText"/>
        <w:spacing w:before="118"/>
      </w:pPr>
      <w:r>
        <w:rPr>
          <w:color w:val="231F20"/>
        </w:rPr>
        <w:t>The</w:t>
      </w:r>
      <w:r>
        <w:rPr>
          <w:color w:val="231F20"/>
          <w:spacing w:val="-12"/>
        </w:rPr>
        <w:t xml:space="preserve"> </w:t>
      </w:r>
      <w:r>
        <w:rPr>
          <w:color w:val="231F20"/>
        </w:rPr>
        <w:t>following</w:t>
      </w:r>
      <w:r>
        <w:rPr>
          <w:color w:val="231F20"/>
          <w:spacing w:val="-10"/>
        </w:rPr>
        <w:t xml:space="preserve"> </w:t>
      </w:r>
      <w:r>
        <w:rPr>
          <w:color w:val="231F20"/>
        </w:rPr>
        <w:t>lease</w:t>
      </w:r>
      <w:r>
        <w:rPr>
          <w:color w:val="231F20"/>
          <w:spacing w:val="-10"/>
        </w:rPr>
        <w:t xml:space="preserve"> </w:t>
      </w:r>
      <w:r>
        <w:rPr>
          <w:color w:val="231F20"/>
        </w:rPr>
        <w:t>payments</w:t>
      </w:r>
      <w:r>
        <w:rPr>
          <w:color w:val="231F20"/>
          <w:spacing w:val="-9"/>
        </w:rPr>
        <w:t xml:space="preserve"> </w:t>
      </w:r>
      <w:r>
        <w:rPr>
          <w:color w:val="231F20"/>
        </w:rPr>
        <w:t>are</w:t>
      </w:r>
      <w:r>
        <w:rPr>
          <w:color w:val="231F20"/>
          <w:spacing w:val="-10"/>
        </w:rPr>
        <w:t xml:space="preserve"> </w:t>
      </w:r>
      <w:r>
        <w:rPr>
          <w:color w:val="231F20"/>
        </w:rPr>
        <w:t>recognised</w:t>
      </w:r>
      <w:r>
        <w:rPr>
          <w:color w:val="231F20"/>
          <w:spacing w:val="-10"/>
        </w:rPr>
        <w:t xml:space="preserve"> </w:t>
      </w:r>
      <w:r>
        <w:rPr>
          <w:color w:val="231F20"/>
        </w:rPr>
        <w:t>on</w:t>
      </w:r>
      <w:r>
        <w:rPr>
          <w:color w:val="231F20"/>
          <w:spacing w:val="-10"/>
        </w:rPr>
        <w:t xml:space="preserve"> </w:t>
      </w:r>
      <w:r>
        <w:rPr>
          <w:color w:val="231F20"/>
        </w:rPr>
        <w:t>a</w:t>
      </w:r>
      <w:r>
        <w:rPr>
          <w:color w:val="231F20"/>
          <w:spacing w:val="-10"/>
        </w:rPr>
        <w:t xml:space="preserve"> </w:t>
      </w:r>
      <w:r>
        <w:rPr>
          <w:color w:val="231F20"/>
        </w:rPr>
        <w:t>straight-line</w:t>
      </w:r>
      <w:r>
        <w:rPr>
          <w:color w:val="231F20"/>
          <w:spacing w:val="-9"/>
        </w:rPr>
        <w:t xml:space="preserve"> </w:t>
      </w:r>
      <w:r>
        <w:rPr>
          <w:color w:val="231F20"/>
          <w:spacing w:val="-2"/>
        </w:rPr>
        <w:t>basis:</w:t>
      </w:r>
    </w:p>
    <w:p w14:paraId="2543653F" w14:textId="77777777" w:rsidR="00345EE3" w:rsidRDefault="00345EE3">
      <w:pPr>
        <w:pStyle w:val="ListParagraph"/>
        <w:numPr>
          <w:ilvl w:val="0"/>
          <w:numId w:val="2"/>
        </w:numPr>
        <w:tabs>
          <w:tab w:val="left" w:pos="393"/>
          <w:tab w:val="left" w:pos="394"/>
        </w:tabs>
        <w:rPr>
          <w:sz w:val="24"/>
        </w:rPr>
      </w:pPr>
      <w:r>
        <w:rPr>
          <w:color w:val="231F20"/>
          <w:sz w:val="24"/>
        </w:rPr>
        <w:t>short-term</w:t>
      </w:r>
      <w:r>
        <w:rPr>
          <w:color w:val="231F20"/>
          <w:spacing w:val="-9"/>
          <w:sz w:val="24"/>
        </w:rPr>
        <w:t xml:space="preserve"> </w:t>
      </w:r>
      <w:r>
        <w:rPr>
          <w:color w:val="231F20"/>
          <w:sz w:val="24"/>
        </w:rPr>
        <w:t>lease</w:t>
      </w:r>
      <w:r>
        <w:rPr>
          <w:color w:val="231F20"/>
          <w:spacing w:val="-7"/>
          <w:sz w:val="24"/>
        </w:rPr>
        <w:t xml:space="preserve"> </w:t>
      </w:r>
      <w:r>
        <w:rPr>
          <w:color w:val="231F20"/>
          <w:sz w:val="24"/>
        </w:rPr>
        <w:t>–</w:t>
      </w:r>
      <w:r>
        <w:rPr>
          <w:color w:val="231F20"/>
          <w:spacing w:val="-7"/>
          <w:sz w:val="24"/>
        </w:rPr>
        <w:t xml:space="preserve"> </w:t>
      </w:r>
      <w:r>
        <w:rPr>
          <w:color w:val="231F20"/>
          <w:sz w:val="24"/>
        </w:rPr>
        <w:t>leases</w:t>
      </w:r>
      <w:r>
        <w:rPr>
          <w:color w:val="231F20"/>
          <w:spacing w:val="-6"/>
          <w:sz w:val="24"/>
        </w:rPr>
        <w:t xml:space="preserve"> </w:t>
      </w:r>
      <w:r>
        <w:rPr>
          <w:color w:val="231F20"/>
          <w:sz w:val="24"/>
        </w:rPr>
        <w:t>with</w:t>
      </w:r>
      <w:r>
        <w:rPr>
          <w:color w:val="231F20"/>
          <w:spacing w:val="-7"/>
          <w:sz w:val="24"/>
        </w:rPr>
        <w:t xml:space="preserve"> </w:t>
      </w:r>
      <w:r>
        <w:rPr>
          <w:color w:val="231F20"/>
          <w:sz w:val="24"/>
        </w:rPr>
        <w:t>a</w:t>
      </w:r>
      <w:r>
        <w:rPr>
          <w:color w:val="231F20"/>
          <w:spacing w:val="-8"/>
          <w:sz w:val="24"/>
        </w:rPr>
        <w:t xml:space="preserve"> </w:t>
      </w:r>
      <w:r>
        <w:rPr>
          <w:color w:val="231F20"/>
          <w:sz w:val="24"/>
        </w:rPr>
        <w:t>term</w:t>
      </w:r>
      <w:r>
        <w:rPr>
          <w:color w:val="231F20"/>
          <w:spacing w:val="-6"/>
          <w:sz w:val="24"/>
        </w:rPr>
        <w:t xml:space="preserve"> </w:t>
      </w:r>
      <w:r>
        <w:rPr>
          <w:color w:val="231F20"/>
          <w:sz w:val="24"/>
        </w:rPr>
        <w:t>less</w:t>
      </w:r>
      <w:r>
        <w:rPr>
          <w:color w:val="231F20"/>
          <w:spacing w:val="-6"/>
          <w:sz w:val="24"/>
        </w:rPr>
        <w:t xml:space="preserve"> </w:t>
      </w:r>
      <w:r>
        <w:rPr>
          <w:color w:val="231F20"/>
          <w:sz w:val="24"/>
        </w:rPr>
        <w:t>than</w:t>
      </w:r>
      <w:r>
        <w:rPr>
          <w:color w:val="231F20"/>
          <w:spacing w:val="-7"/>
          <w:sz w:val="24"/>
        </w:rPr>
        <w:t xml:space="preserve"> </w:t>
      </w:r>
      <w:r>
        <w:rPr>
          <w:color w:val="231F20"/>
          <w:sz w:val="24"/>
        </w:rPr>
        <w:t>12</w:t>
      </w:r>
      <w:r>
        <w:rPr>
          <w:color w:val="231F20"/>
          <w:spacing w:val="-7"/>
          <w:sz w:val="24"/>
        </w:rPr>
        <w:t xml:space="preserve"> </w:t>
      </w:r>
      <w:r>
        <w:rPr>
          <w:color w:val="231F20"/>
          <w:sz w:val="24"/>
        </w:rPr>
        <w:t>months;</w:t>
      </w:r>
      <w:r>
        <w:rPr>
          <w:color w:val="231F20"/>
          <w:spacing w:val="-6"/>
          <w:sz w:val="24"/>
        </w:rPr>
        <w:t xml:space="preserve"> </w:t>
      </w:r>
      <w:r>
        <w:rPr>
          <w:color w:val="231F20"/>
          <w:spacing w:val="-5"/>
          <w:sz w:val="24"/>
        </w:rPr>
        <w:t>and</w:t>
      </w:r>
    </w:p>
    <w:p w14:paraId="258FE926" w14:textId="77777777" w:rsidR="00345EE3" w:rsidRDefault="00345EE3">
      <w:pPr>
        <w:pStyle w:val="ListParagraph"/>
        <w:numPr>
          <w:ilvl w:val="0"/>
          <w:numId w:val="2"/>
        </w:numPr>
        <w:tabs>
          <w:tab w:val="left" w:pos="393"/>
          <w:tab w:val="left" w:pos="394"/>
        </w:tabs>
        <w:spacing w:line="242" w:lineRule="auto"/>
        <w:ind w:right="367"/>
        <w:rPr>
          <w:sz w:val="24"/>
        </w:rPr>
      </w:pPr>
      <w:r>
        <w:rPr>
          <w:color w:val="231F20"/>
          <w:sz w:val="24"/>
        </w:rPr>
        <w:t>low</w:t>
      </w:r>
      <w:r>
        <w:rPr>
          <w:color w:val="231F20"/>
          <w:spacing w:val="-10"/>
          <w:sz w:val="24"/>
        </w:rPr>
        <w:t xml:space="preserve"> </w:t>
      </w:r>
      <w:r>
        <w:rPr>
          <w:color w:val="231F20"/>
          <w:sz w:val="24"/>
        </w:rPr>
        <w:t>value</w:t>
      </w:r>
      <w:r>
        <w:rPr>
          <w:color w:val="231F20"/>
          <w:spacing w:val="-10"/>
          <w:sz w:val="24"/>
        </w:rPr>
        <w:t xml:space="preserve"> </w:t>
      </w:r>
      <w:r>
        <w:rPr>
          <w:color w:val="231F20"/>
          <w:sz w:val="24"/>
        </w:rPr>
        <w:t>leases</w:t>
      </w:r>
      <w:r>
        <w:rPr>
          <w:color w:val="231F20"/>
          <w:spacing w:val="-10"/>
          <w:sz w:val="24"/>
        </w:rPr>
        <w:t xml:space="preserve"> </w:t>
      </w:r>
      <w:r>
        <w:rPr>
          <w:color w:val="231F20"/>
          <w:sz w:val="24"/>
        </w:rPr>
        <w:t>–</w:t>
      </w:r>
      <w:r>
        <w:rPr>
          <w:color w:val="231F20"/>
          <w:spacing w:val="-10"/>
          <w:sz w:val="24"/>
        </w:rPr>
        <w:t xml:space="preserve"> </w:t>
      </w:r>
      <w:r>
        <w:rPr>
          <w:color w:val="231F20"/>
          <w:sz w:val="24"/>
        </w:rPr>
        <w:t>leases</w:t>
      </w:r>
      <w:r>
        <w:rPr>
          <w:color w:val="231F20"/>
          <w:spacing w:val="-10"/>
          <w:sz w:val="24"/>
        </w:rPr>
        <w:t xml:space="preserve"> </w:t>
      </w:r>
      <w:r>
        <w:rPr>
          <w:color w:val="231F20"/>
          <w:sz w:val="24"/>
        </w:rPr>
        <w:t>with</w:t>
      </w:r>
      <w:r>
        <w:rPr>
          <w:color w:val="231F20"/>
          <w:spacing w:val="-10"/>
          <w:sz w:val="24"/>
        </w:rPr>
        <w:t xml:space="preserve"> </w:t>
      </w:r>
      <w:r>
        <w:rPr>
          <w:color w:val="231F20"/>
          <w:sz w:val="24"/>
        </w:rPr>
        <w:t>the</w:t>
      </w:r>
      <w:r>
        <w:rPr>
          <w:color w:val="231F20"/>
          <w:spacing w:val="-10"/>
          <w:sz w:val="24"/>
        </w:rPr>
        <w:t xml:space="preserve"> </w:t>
      </w:r>
      <w:r>
        <w:rPr>
          <w:color w:val="231F20"/>
          <w:sz w:val="24"/>
        </w:rPr>
        <w:t>underlying</w:t>
      </w:r>
      <w:r>
        <w:rPr>
          <w:color w:val="231F20"/>
          <w:spacing w:val="-10"/>
          <w:sz w:val="24"/>
        </w:rPr>
        <w:t xml:space="preserve"> </w:t>
      </w:r>
      <w:r>
        <w:rPr>
          <w:color w:val="231F20"/>
          <w:sz w:val="24"/>
        </w:rPr>
        <w:t>asset’s</w:t>
      </w:r>
      <w:r>
        <w:rPr>
          <w:color w:val="231F20"/>
          <w:spacing w:val="-10"/>
          <w:sz w:val="24"/>
        </w:rPr>
        <w:t xml:space="preserve"> </w:t>
      </w:r>
      <w:r>
        <w:rPr>
          <w:color w:val="231F20"/>
          <w:sz w:val="24"/>
        </w:rPr>
        <w:t>fair</w:t>
      </w:r>
      <w:r>
        <w:rPr>
          <w:color w:val="231F20"/>
          <w:spacing w:val="-10"/>
          <w:sz w:val="24"/>
        </w:rPr>
        <w:t xml:space="preserve"> </w:t>
      </w:r>
      <w:r>
        <w:rPr>
          <w:color w:val="231F20"/>
          <w:sz w:val="24"/>
        </w:rPr>
        <w:t>value</w:t>
      </w:r>
      <w:r>
        <w:rPr>
          <w:color w:val="231F20"/>
          <w:spacing w:val="-10"/>
          <w:sz w:val="24"/>
        </w:rPr>
        <w:t xml:space="preserve"> </w:t>
      </w:r>
      <w:r>
        <w:rPr>
          <w:color w:val="231F20"/>
          <w:sz w:val="24"/>
        </w:rPr>
        <w:t>(when</w:t>
      </w:r>
      <w:r>
        <w:rPr>
          <w:color w:val="231F20"/>
          <w:spacing w:val="-10"/>
          <w:sz w:val="24"/>
        </w:rPr>
        <w:t xml:space="preserve"> </w:t>
      </w:r>
      <w:r>
        <w:rPr>
          <w:color w:val="231F20"/>
          <w:sz w:val="24"/>
        </w:rPr>
        <w:t>new,</w:t>
      </w:r>
      <w:r>
        <w:rPr>
          <w:color w:val="231F20"/>
          <w:spacing w:val="-10"/>
          <w:sz w:val="24"/>
        </w:rPr>
        <w:t xml:space="preserve"> </w:t>
      </w:r>
      <w:r>
        <w:rPr>
          <w:color w:val="231F20"/>
          <w:sz w:val="24"/>
        </w:rPr>
        <w:t>regardless</w:t>
      </w:r>
      <w:r>
        <w:rPr>
          <w:color w:val="231F20"/>
          <w:spacing w:val="-10"/>
          <w:sz w:val="24"/>
        </w:rPr>
        <w:t xml:space="preserve"> </w:t>
      </w:r>
      <w:r>
        <w:rPr>
          <w:color w:val="231F20"/>
          <w:sz w:val="24"/>
        </w:rPr>
        <w:t>of</w:t>
      </w:r>
      <w:r>
        <w:rPr>
          <w:color w:val="231F20"/>
          <w:spacing w:val="-10"/>
          <w:sz w:val="24"/>
        </w:rPr>
        <w:t xml:space="preserve"> </w:t>
      </w:r>
      <w:r>
        <w:rPr>
          <w:color w:val="231F20"/>
          <w:sz w:val="24"/>
        </w:rPr>
        <w:t>the age of the assets being leased) is no more than $10,000.</w:t>
      </w:r>
    </w:p>
    <w:p w14:paraId="1CF01752" w14:textId="77777777" w:rsidR="00345EE3" w:rsidRDefault="00345EE3" w:rsidP="00345EE3">
      <w:pPr>
        <w:pStyle w:val="BodyText"/>
        <w:spacing w:before="116" w:line="242" w:lineRule="auto"/>
        <w:ind w:right="115"/>
      </w:pPr>
      <w:r>
        <w:rPr>
          <w:color w:val="231F20"/>
        </w:rPr>
        <w:t>Variable</w:t>
      </w:r>
      <w:r>
        <w:rPr>
          <w:color w:val="231F20"/>
          <w:spacing w:val="-1"/>
        </w:rPr>
        <w:t xml:space="preserve"> </w:t>
      </w:r>
      <w:r>
        <w:rPr>
          <w:color w:val="231F20"/>
        </w:rPr>
        <w:t>lease</w:t>
      </w:r>
      <w:r>
        <w:rPr>
          <w:color w:val="231F20"/>
          <w:spacing w:val="-1"/>
        </w:rPr>
        <w:t xml:space="preserve"> </w:t>
      </w:r>
      <w:r>
        <w:rPr>
          <w:color w:val="231F20"/>
        </w:rPr>
        <w:t>payments that are</w:t>
      </w:r>
      <w:r>
        <w:rPr>
          <w:color w:val="231F20"/>
          <w:spacing w:val="-1"/>
        </w:rPr>
        <w:t xml:space="preserve"> </w:t>
      </w:r>
      <w:r>
        <w:rPr>
          <w:color w:val="231F20"/>
        </w:rPr>
        <w:t>not included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measurement of the</w:t>
      </w:r>
      <w:r>
        <w:rPr>
          <w:color w:val="231F20"/>
          <w:spacing w:val="-1"/>
        </w:rPr>
        <w:t xml:space="preserve"> </w:t>
      </w:r>
      <w:r>
        <w:rPr>
          <w:color w:val="231F20"/>
        </w:rPr>
        <w:t>lease</w:t>
      </w:r>
      <w:r>
        <w:rPr>
          <w:color w:val="231F20"/>
          <w:spacing w:val="-1"/>
        </w:rPr>
        <w:t xml:space="preserve"> </w:t>
      </w:r>
      <w:r>
        <w:rPr>
          <w:color w:val="231F20"/>
        </w:rPr>
        <w:t>liability (i.e. variable lease payments that do not depend on an index or a rate and which are not, in substance fixed) such as those based on performance or usage of the underlying asset, are recognised</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Comprehensive</w:t>
      </w:r>
      <w:r>
        <w:rPr>
          <w:color w:val="231F20"/>
          <w:spacing w:val="-14"/>
        </w:rPr>
        <w:t xml:space="preserve"> </w:t>
      </w:r>
      <w:r>
        <w:rPr>
          <w:color w:val="231F20"/>
        </w:rPr>
        <w:t>Operating</w:t>
      </w:r>
      <w:r>
        <w:rPr>
          <w:color w:val="231F20"/>
          <w:spacing w:val="-14"/>
        </w:rPr>
        <w:t xml:space="preserve"> </w:t>
      </w:r>
      <w:r>
        <w:rPr>
          <w:color w:val="231F20"/>
        </w:rPr>
        <w:t>Statement</w:t>
      </w:r>
      <w:r>
        <w:rPr>
          <w:color w:val="231F20"/>
          <w:spacing w:val="-13"/>
        </w:rPr>
        <w:t xml:space="preserve"> </w:t>
      </w:r>
      <w:r>
        <w:rPr>
          <w:color w:val="231F20"/>
        </w:rPr>
        <w:t>(except</w:t>
      </w:r>
      <w:r>
        <w:rPr>
          <w:color w:val="231F20"/>
          <w:spacing w:val="-13"/>
        </w:rPr>
        <w:t xml:space="preserve"> </w:t>
      </w:r>
      <w:r>
        <w:rPr>
          <w:color w:val="231F20"/>
        </w:rPr>
        <w:t>for</w:t>
      </w:r>
      <w:r>
        <w:rPr>
          <w:color w:val="231F20"/>
          <w:spacing w:val="-13"/>
        </w:rPr>
        <w:t xml:space="preserve"> </w:t>
      </w:r>
      <w:r>
        <w:rPr>
          <w:color w:val="231F20"/>
        </w:rPr>
        <w:t>payments</w:t>
      </w:r>
      <w:r>
        <w:rPr>
          <w:color w:val="231F20"/>
          <w:spacing w:val="-13"/>
        </w:rPr>
        <w:t xml:space="preserve"> </w:t>
      </w:r>
      <w:r>
        <w:rPr>
          <w:color w:val="231F20"/>
        </w:rPr>
        <w:t>which</w:t>
      </w:r>
      <w:r>
        <w:rPr>
          <w:color w:val="231F20"/>
          <w:spacing w:val="-14"/>
        </w:rPr>
        <w:t xml:space="preserve"> </w:t>
      </w:r>
      <w:r>
        <w:rPr>
          <w:color w:val="231F20"/>
        </w:rPr>
        <w:t>have</w:t>
      </w:r>
      <w:r>
        <w:rPr>
          <w:color w:val="231F20"/>
          <w:spacing w:val="-14"/>
        </w:rPr>
        <w:t xml:space="preserve"> </w:t>
      </w:r>
      <w:r>
        <w:rPr>
          <w:color w:val="231F20"/>
        </w:rPr>
        <w:t>been included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carrying</w:t>
      </w:r>
      <w:r>
        <w:rPr>
          <w:color w:val="231F20"/>
          <w:spacing w:val="-1"/>
        </w:rPr>
        <w:t xml:space="preserve"> </w:t>
      </w:r>
      <w:r>
        <w:rPr>
          <w:color w:val="231F20"/>
        </w:rPr>
        <w:t>amount of another asset) in</w:t>
      </w:r>
      <w:r>
        <w:rPr>
          <w:color w:val="231F20"/>
          <w:spacing w:val="-1"/>
        </w:rPr>
        <w:t xml:space="preserve"> </w:t>
      </w:r>
      <w:r>
        <w:rPr>
          <w:color w:val="231F20"/>
        </w:rPr>
        <w:t>the</w:t>
      </w:r>
      <w:r>
        <w:rPr>
          <w:color w:val="231F20"/>
          <w:spacing w:val="-1"/>
        </w:rPr>
        <w:t xml:space="preserve"> </w:t>
      </w:r>
      <w:r>
        <w:rPr>
          <w:color w:val="231F20"/>
        </w:rPr>
        <w:t>period</w:t>
      </w:r>
      <w:r>
        <w:rPr>
          <w:color w:val="231F20"/>
          <w:spacing w:val="-1"/>
        </w:rPr>
        <w:t xml:space="preserve"> </w:t>
      </w:r>
      <w:r>
        <w:rPr>
          <w:color w:val="231F20"/>
        </w:rPr>
        <w:t>in</w:t>
      </w:r>
      <w:r>
        <w:rPr>
          <w:color w:val="231F20"/>
          <w:spacing w:val="-1"/>
        </w:rPr>
        <w:t xml:space="preserve"> </w:t>
      </w:r>
      <w:r>
        <w:rPr>
          <w:color w:val="231F20"/>
        </w:rPr>
        <w:t>which</w:t>
      </w:r>
      <w:r>
        <w:rPr>
          <w:color w:val="231F20"/>
          <w:spacing w:val="-1"/>
        </w:rPr>
        <w:t xml:space="preserve"> </w:t>
      </w:r>
      <w:r>
        <w:rPr>
          <w:color w:val="231F20"/>
        </w:rPr>
        <w:t>the</w:t>
      </w:r>
      <w:r>
        <w:rPr>
          <w:color w:val="231F20"/>
          <w:spacing w:val="-1"/>
        </w:rPr>
        <w:t xml:space="preserve"> </w:t>
      </w:r>
      <w:r>
        <w:rPr>
          <w:color w:val="231F20"/>
        </w:rPr>
        <w:t>event or condition that triggers those payments occur.</w:t>
      </w:r>
    </w:p>
    <w:p w14:paraId="41BB6753" w14:textId="77777777" w:rsidR="00345EE3" w:rsidRPr="00E528CF" w:rsidRDefault="00345EE3" w:rsidP="00E528CF">
      <w:pPr>
        <w:pStyle w:val="Heading2"/>
        <w:numPr>
          <w:ilvl w:val="0"/>
          <w:numId w:val="44"/>
        </w:numPr>
        <w:tabs>
          <w:tab w:val="left" w:pos="461"/>
        </w:tabs>
        <w:spacing w:before="219"/>
        <w:ind w:left="426" w:hanging="460"/>
        <w:rPr>
          <w:sz w:val="32"/>
          <w:szCs w:val="32"/>
        </w:rPr>
      </w:pPr>
      <w:r w:rsidRPr="00E528CF">
        <w:rPr>
          <w:color w:val="00529F"/>
          <w:spacing w:val="-2"/>
          <w:sz w:val="32"/>
          <w:szCs w:val="32"/>
        </w:rPr>
        <w:t>Administered</w:t>
      </w:r>
      <w:r w:rsidRPr="00E528CF">
        <w:rPr>
          <w:color w:val="00529F"/>
          <w:spacing w:val="-15"/>
          <w:sz w:val="32"/>
          <w:szCs w:val="32"/>
        </w:rPr>
        <w:t xml:space="preserve"> </w:t>
      </w:r>
      <w:r w:rsidRPr="00E528CF">
        <w:rPr>
          <w:color w:val="00529F"/>
          <w:spacing w:val="-4"/>
          <w:sz w:val="32"/>
          <w:szCs w:val="32"/>
        </w:rPr>
        <w:t>Items</w:t>
      </w:r>
    </w:p>
    <w:p w14:paraId="4D77C061" w14:textId="77777777" w:rsidR="00345EE3" w:rsidRDefault="00345EE3" w:rsidP="002A27BA">
      <w:pPr>
        <w:pStyle w:val="Heading3"/>
      </w:pPr>
      <w:r>
        <w:t>Introduction</w:t>
      </w:r>
    </w:p>
    <w:p w14:paraId="061C324B" w14:textId="77777777" w:rsidR="00345EE3" w:rsidRDefault="00345EE3" w:rsidP="00345EE3">
      <w:pPr>
        <w:pStyle w:val="BodyText"/>
        <w:spacing w:before="53" w:line="242" w:lineRule="auto"/>
        <w:ind w:right="314"/>
      </w:pPr>
      <w:r>
        <w:rPr>
          <w:color w:val="231F20"/>
        </w:rPr>
        <w:t>Victoria Police administers or manages activities and resources on behalf of the state and other entities such as Australia and New Zealand Policing Advisory Agency (ANZPAA). The transactions</w:t>
      </w:r>
      <w:r>
        <w:rPr>
          <w:color w:val="231F20"/>
          <w:spacing w:val="-9"/>
        </w:rPr>
        <w:t xml:space="preserve"> </w:t>
      </w:r>
      <w:r>
        <w:rPr>
          <w:color w:val="231F20"/>
        </w:rPr>
        <w:t>relating</w:t>
      </w:r>
      <w:r>
        <w:rPr>
          <w:color w:val="231F20"/>
          <w:spacing w:val="-10"/>
        </w:rPr>
        <w:t xml:space="preserve"> </w:t>
      </w:r>
      <w:r>
        <w:rPr>
          <w:color w:val="231F20"/>
        </w:rPr>
        <w:t>to</w:t>
      </w:r>
      <w:r>
        <w:rPr>
          <w:color w:val="231F20"/>
          <w:spacing w:val="-10"/>
        </w:rPr>
        <w:t xml:space="preserve"> </w:t>
      </w:r>
      <w:r>
        <w:rPr>
          <w:color w:val="231F20"/>
        </w:rPr>
        <w:t>these</w:t>
      </w:r>
      <w:r>
        <w:rPr>
          <w:color w:val="231F20"/>
          <w:spacing w:val="-10"/>
        </w:rPr>
        <w:t xml:space="preserve"> </w:t>
      </w:r>
      <w:r>
        <w:rPr>
          <w:color w:val="231F20"/>
        </w:rPr>
        <w:t>activities</w:t>
      </w:r>
      <w:r>
        <w:rPr>
          <w:color w:val="231F20"/>
          <w:spacing w:val="-9"/>
        </w:rPr>
        <w:t xml:space="preserve"> </w:t>
      </w:r>
      <w:r>
        <w:rPr>
          <w:color w:val="231F20"/>
        </w:rPr>
        <w:t>are</w:t>
      </w:r>
      <w:r>
        <w:rPr>
          <w:color w:val="231F20"/>
          <w:spacing w:val="-10"/>
        </w:rPr>
        <w:t xml:space="preserve"> </w:t>
      </w:r>
      <w:r>
        <w:rPr>
          <w:color w:val="231F20"/>
        </w:rPr>
        <w:t>reported</w:t>
      </w:r>
      <w:r>
        <w:rPr>
          <w:color w:val="231F20"/>
          <w:spacing w:val="-10"/>
        </w:rPr>
        <w:t xml:space="preserve"> </w:t>
      </w:r>
      <w:r>
        <w:rPr>
          <w:color w:val="231F20"/>
        </w:rPr>
        <w:t>as</w:t>
      </w:r>
      <w:r>
        <w:rPr>
          <w:color w:val="231F20"/>
          <w:spacing w:val="-9"/>
        </w:rPr>
        <w:t xml:space="preserve"> </w:t>
      </w:r>
      <w:r>
        <w:rPr>
          <w:color w:val="231F20"/>
        </w:rPr>
        <w:t>administered</w:t>
      </w:r>
      <w:r>
        <w:rPr>
          <w:color w:val="231F20"/>
          <w:spacing w:val="-10"/>
        </w:rPr>
        <w:t xml:space="preserve"> </w:t>
      </w:r>
      <w:r>
        <w:rPr>
          <w:color w:val="231F20"/>
        </w:rPr>
        <w:t>items</w:t>
      </w:r>
      <w:r>
        <w:rPr>
          <w:color w:val="231F20"/>
          <w:spacing w:val="-9"/>
        </w:rPr>
        <w:t xml:space="preserve"> </w:t>
      </w:r>
      <w:r>
        <w:rPr>
          <w:color w:val="231F20"/>
        </w:rPr>
        <w:t>in</w:t>
      </w:r>
      <w:r>
        <w:rPr>
          <w:color w:val="231F20"/>
          <w:spacing w:val="-10"/>
        </w:rPr>
        <w:t xml:space="preserve"> </w:t>
      </w:r>
      <w:r>
        <w:rPr>
          <w:color w:val="231F20"/>
        </w:rPr>
        <w:t>this</w:t>
      </w:r>
      <w:r>
        <w:rPr>
          <w:color w:val="231F20"/>
          <w:spacing w:val="-9"/>
        </w:rPr>
        <w:t xml:space="preserve"> </w:t>
      </w:r>
      <w:r>
        <w:rPr>
          <w:color w:val="231F20"/>
        </w:rPr>
        <w:t>note,</w:t>
      </w:r>
      <w:r>
        <w:rPr>
          <w:color w:val="231F20"/>
          <w:spacing w:val="-9"/>
        </w:rPr>
        <w:t xml:space="preserve"> </w:t>
      </w:r>
      <w:r>
        <w:rPr>
          <w:color w:val="231F20"/>
        </w:rPr>
        <w:t>and</w:t>
      </w:r>
      <w:r>
        <w:rPr>
          <w:color w:val="231F20"/>
          <w:spacing w:val="-10"/>
        </w:rPr>
        <w:t xml:space="preserve"> </w:t>
      </w:r>
      <w:r>
        <w:rPr>
          <w:color w:val="231F20"/>
        </w:rPr>
        <w:t>they include third party funds under management for the ANZPAA. Administered transactions give rise to income, expenses, assets and liabilities.</w:t>
      </w:r>
    </w:p>
    <w:p w14:paraId="02C20DB0" w14:textId="77777777" w:rsidR="00345EE3" w:rsidRDefault="00345EE3" w:rsidP="00345EE3">
      <w:pPr>
        <w:pStyle w:val="BodyText"/>
        <w:spacing w:before="120" w:line="242" w:lineRule="auto"/>
      </w:pPr>
      <w:r>
        <w:rPr>
          <w:color w:val="231F20"/>
        </w:rPr>
        <w:t>Administered income includes fees, seized monies, fines and the proceeds from the sale of administered</w:t>
      </w:r>
      <w:r>
        <w:rPr>
          <w:color w:val="231F20"/>
          <w:spacing w:val="-6"/>
        </w:rPr>
        <w:t xml:space="preserve"> </w:t>
      </w:r>
      <w:r>
        <w:rPr>
          <w:color w:val="231F20"/>
        </w:rPr>
        <w:t>surplus</w:t>
      </w:r>
      <w:r>
        <w:rPr>
          <w:color w:val="231F20"/>
          <w:spacing w:val="-5"/>
        </w:rPr>
        <w:t xml:space="preserve"> </w:t>
      </w:r>
      <w:r>
        <w:rPr>
          <w:color w:val="231F20"/>
        </w:rPr>
        <w:t>land</w:t>
      </w:r>
      <w:r>
        <w:rPr>
          <w:color w:val="231F20"/>
          <w:spacing w:val="-6"/>
        </w:rPr>
        <w:t xml:space="preserve"> </w:t>
      </w:r>
      <w:r>
        <w:rPr>
          <w:color w:val="231F20"/>
        </w:rPr>
        <w:t>and</w:t>
      </w:r>
      <w:r>
        <w:rPr>
          <w:color w:val="231F20"/>
          <w:spacing w:val="-6"/>
        </w:rPr>
        <w:t xml:space="preserve"> </w:t>
      </w:r>
      <w:r>
        <w:rPr>
          <w:color w:val="231F20"/>
        </w:rPr>
        <w:t>buildings.</w:t>
      </w:r>
      <w:r>
        <w:rPr>
          <w:color w:val="231F20"/>
          <w:spacing w:val="-5"/>
        </w:rPr>
        <w:t xml:space="preserve"> </w:t>
      </w:r>
      <w:r>
        <w:rPr>
          <w:color w:val="231F20"/>
        </w:rPr>
        <w:t>Administered</w:t>
      </w:r>
      <w:r>
        <w:rPr>
          <w:color w:val="231F20"/>
          <w:spacing w:val="-6"/>
        </w:rPr>
        <w:t xml:space="preserve"> </w:t>
      </w:r>
      <w:r>
        <w:rPr>
          <w:color w:val="231F20"/>
        </w:rPr>
        <w:t>expenses</w:t>
      </w:r>
      <w:r>
        <w:rPr>
          <w:color w:val="231F20"/>
          <w:spacing w:val="-5"/>
        </w:rPr>
        <w:t xml:space="preserve"> </w:t>
      </w:r>
      <w:r>
        <w:rPr>
          <w:color w:val="231F20"/>
        </w:rPr>
        <w:t>include</w:t>
      </w:r>
      <w:r>
        <w:rPr>
          <w:color w:val="231F20"/>
          <w:spacing w:val="-6"/>
        </w:rPr>
        <w:t xml:space="preserve"> </w:t>
      </w:r>
      <w:r>
        <w:rPr>
          <w:color w:val="231F20"/>
        </w:rPr>
        <w:t>payments</w:t>
      </w:r>
      <w:r>
        <w:rPr>
          <w:color w:val="231F20"/>
          <w:spacing w:val="-5"/>
        </w:rPr>
        <w:t xml:space="preserve"> </w:t>
      </w:r>
      <w:r>
        <w:rPr>
          <w:color w:val="231F20"/>
        </w:rPr>
        <w:t>made</w:t>
      </w:r>
      <w:r>
        <w:rPr>
          <w:color w:val="231F20"/>
          <w:spacing w:val="-6"/>
        </w:rPr>
        <w:t xml:space="preserve"> </w:t>
      </w:r>
      <w:r>
        <w:rPr>
          <w:color w:val="231F20"/>
        </w:rPr>
        <w:t>on behalf</w:t>
      </w:r>
      <w:r>
        <w:rPr>
          <w:color w:val="231F20"/>
          <w:spacing w:val="-12"/>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state</w:t>
      </w:r>
      <w:r>
        <w:rPr>
          <w:color w:val="231F20"/>
          <w:spacing w:val="-13"/>
        </w:rPr>
        <w:t xml:space="preserve"> </w:t>
      </w:r>
      <w:r>
        <w:rPr>
          <w:color w:val="231F20"/>
        </w:rPr>
        <w:t>and</w:t>
      </w:r>
      <w:r>
        <w:rPr>
          <w:color w:val="231F20"/>
          <w:spacing w:val="-13"/>
        </w:rPr>
        <w:t xml:space="preserve"> </w:t>
      </w:r>
      <w:r>
        <w:rPr>
          <w:color w:val="231F20"/>
        </w:rPr>
        <w:t>entity,</w:t>
      </w:r>
      <w:r>
        <w:rPr>
          <w:color w:val="231F20"/>
          <w:spacing w:val="-12"/>
        </w:rPr>
        <w:t xml:space="preserve"> </w:t>
      </w:r>
      <w:r>
        <w:rPr>
          <w:color w:val="231F20"/>
        </w:rPr>
        <w:t>and</w:t>
      </w:r>
      <w:r>
        <w:rPr>
          <w:color w:val="231F20"/>
          <w:spacing w:val="-13"/>
        </w:rPr>
        <w:t xml:space="preserve"> </w:t>
      </w:r>
      <w:r>
        <w:rPr>
          <w:color w:val="231F20"/>
        </w:rPr>
        <w:t>payments</w:t>
      </w:r>
      <w:r>
        <w:rPr>
          <w:color w:val="231F20"/>
          <w:spacing w:val="-12"/>
        </w:rPr>
        <w:t xml:space="preserve"> </w:t>
      </w:r>
      <w:r>
        <w:rPr>
          <w:color w:val="231F20"/>
        </w:rPr>
        <w:t>into</w:t>
      </w:r>
      <w:r>
        <w:rPr>
          <w:color w:val="231F20"/>
          <w:spacing w:val="-13"/>
        </w:rPr>
        <w:t xml:space="preserve"> </w:t>
      </w:r>
      <w:r>
        <w:rPr>
          <w:color w:val="231F20"/>
        </w:rPr>
        <w:t>the</w:t>
      </w:r>
      <w:r>
        <w:rPr>
          <w:color w:val="231F20"/>
          <w:spacing w:val="-13"/>
        </w:rPr>
        <w:t xml:space="preserve"> </w:t>
      </w:r>
      <w:r>
        <w:rPr>
          <w:color w:val="231F20"/>
        </w:rPr>
        <w:t>Consolidated</w:t>
      </w:r>
      <w:r>
        <w:rPr>
          <w:color w:val="231F20"/>
          <w:spacing w:val="-13"/>
        </w:rPr>
        <w:t xml:space="preserve"> </w:t>
      </w:r>
      <w:r>
        <w:rPr>
          <w:color w:val="231F20"/>
        </w:rPr>
        <w:t>Fund.</w:t>
      </w:r>
      <w:r>
        <w:rPr>
          <w:color w:val="231F20"/>
          <w:spacing w:val="-12"/>
        </w:rPr>
        <w:t xml:space="preserve"> </w:t>
      </w:r>
      <w:r>
        <w:rPr>
          <w:color w:val="231F20"/>
        </w:rPr>
        <w:t>Administered</w:t>
      </w:r>
      <w:r>
        <w:rPr>
          <w:color w:val="231F20"/>
          <w:spacing w:val="-13"/>
        </w:rPr>
        <w:t xml:space="preserve"> </w:t>
      </w:r>
      <w:r>
        <w:rPr>
          <w:color w:val="231F20"/>
        </w:rPr>
        <w:t>assets include government income earned but yet to be collected. Administered liabilities include government expenses incurred but yet to be paid.</w:t>
      </w:r>
    </w:p>
    <w:p w14:paraId="6993D361" w14:textId="77777777" w:rsidR="00345EE3" w:rsidRDefault="00345EE3" w:rsidP="00345EE3">
      <w:pPr>
        <w:pStyle w:val="BodyText"/>
        <w:spacing w:before="120" w:line="242" w:lineRule="auto"/>
      </w:pPr>
      <w:r>
        <w:rPr>
          <w:color w:val="231F20"/>
        </w:rPr>
        <w:t>Except</w:t>
      </w:r>
      <w:r>
        <w:rPr>
          <w:color w:val="231F20"/>
          <w:spacing w:val="-9"/>
        </w:rPr>
        <w:t xml:space="preserve"> </w:t>
      </w:r>
      <w:r>
        <w:rPr>
          <w:color w:val="231F20"/>
        </w:rPr>
        <w:t>as</w:t>
      </w:r>
      <w:r>
        <w:rPr>
          <w:color w:val="231F20"/>
          <w:spacing w:val="-9"/>
        </w:rPr>
        <w:t xml:space="preserve"> </w:t>
      </w:r>
      <w:r>
        <w:rPr>
          <w:color w:val="231F20"/>
        </w:rPr>
        <w:t>otherwise</w:t>
      </w:r>
      <w:r>
        <w:rPr>
          <w:color w:val="231F20"/>
          <w:spacing w:val="-9"/>
        </w:rPr>
        <w:t xml:space="preserve"> </w:t>
      </w:r>
      <w:r>
        <w:rPr>
          <w:color w:val="231F20"/>
        </w:rPr>
        <w:t>disclosed,</w:t>
      </w:r>
      <w:r>
        <w:rPr>
          <w:color w:val="231F20"/>
          <w:spacing w:val="-9"/>
        </w:rPr>
        <w:t xml:space="preserve"> </w:t>
      </w:r>
      <w:r>
        <w:rPr>
          <w:color w:val="231F20"/>
        </w:rPr>
        <w:t>administered</w:t>
      </w:r>
      <w:r>
        <w:rPr>
          <w:color w:val="231F20"/>
          <w:spacing w:val="-9"/>
        </w:rPr>
        <w:t xml:space="preserve"> </w:t>
      </w:r>
      <w:r>
        <w:rPr>
          <w:color w:val="231F20"/>
        </w:rPr>
        <w:t>resources</w:t>
      </w:r>
      <w:r>
        <w:rPr>
          <w:color w:val="231F20"/>
          <w:spacing w:val="-9"/>
        </w:rPr>
        <w:t xml:space="preserve"> </w:t>
      </w:r>
      <w:r>
        <w:rPr>
          <w:color w:val="231F20"/>
        </w:rPr>
        <w:t>are</w:t>
      </w:r>
      <w:r>
        <w:rPr>
          <w:color w:val="231F20"/>
          <w:spacing w:val="-9"/>
        </w:rPr>
        <w:t xml:space="preserve"> </w:t>
      </w:r>
      <w:r>
        <w:rPr>
          <w:color w:val="231F20"/>
        </w:rPr>
        <w:t>accounted</w:t>
      </w:r>
      <w:r>
        <w:rPr>
          <w:color w:val="231F20"/>
          <w:spacing w:val="-9"/>
        </w:rPr>
        <w:t xml:space="preserve"> </w:t>
      </w:r>
      <w:r>
        <w:rPr>
          <w:color w:val="231F20"/>
        </w:rPr>
        <w:t>for</w:t>
      </w:r>
      <w:r>
        <w:rPr>
          <w:color w:val="231F20"/>
          <w:spacing w:val="-9"/>
        </w:rPr>
        <w:t xml:space="preserve"> </w:t>
      </w:r>
      <w:r>
        <w:rPr>
          <w:color w:val="231F20"/>
        </w:rPr>
        <w:t>on</w:t>
      </w:r>
      <w:r>
        <w:rPr>
          <w:color w:val="231F20"/>
          <w:spacing w:val="-9"/>
        </w:rPr>
        <w:t xml:space="preserve"> </w:t>
      </w:r>
      <w:r>
        <w:rPr>
          <w:color w:val="231F20"/>
        </w:rPr>
        <w:t>an</w:t>
      </w:r>
      <w:r>
        <w:rPr>
          <w:color w:val="231F20"/>
          <w:spacing w:val="-9"/>
        </w:rPr>
        <w:t xml:space="preserve"> </w:t>
      </w:r>
      <w:r>
        <w:rPr>
          <w:color w:val="231F20"/>
        </w:rPr>
        <w:t>accrual</w:t>
      </w:r>
      <w:r>
        <w:rPr>
          <w:color w:val="231F20"/>
          <w:spacing w:val="-9"/>
        </w:rPr>
        <w:t xml:space="preserve"> </w:t>
      </w:r>
      <w:r>
        <w:rPr>
          <w:color w:val="231F20"/>
        </w:rPr>
        <w:t>basis using the same accounting policies adopted for recognition of the Victoria Police items in the financial statements.</w:t>
      </w:r>
    </w:p>
    <w:p w14:paraId="67212427" w14:textId="77777777" w:rsidR="00345EE3" w:rsidRDefault="00345EE3" w:rsidP="00345EE3">
      <w:pPr>
        <w:pStyle w:val="BodyText"/>
        <w:spacing w:before="117" w:after="240" w:line="242" w:lineRule="auto"/>
        <w:ind w:right="115"/>
        <w:rPr>
          <w:color w:val="231F20"/>
        </w:rPr>
      </w:pPr>
      <w:r>
        <w:rPr>
          <w:color w:val="231F20"/>
        </w:rPr>
        <w:t>Victoria</w:t>
      </w:r>
      <w:r>
        <w:rPr>
          <w:color w:val="231F20"/>
          <w:spacing w:val="-9"/>
        </w:rPr>
        <w:t xml:space="preserve"> </w:t>
      </w:r>
      <w:r>
        <w:rPr>
          <w:color w:val="231F20"/>
        </w:rPr>
        <w:t>Police</w:t>
      </w:r>
      <w:r>
        <w:rPr>
          <w:color w:val="231F20"/>
          <w:spacing w:val="-9"/>
        </w:rPr>
        <w:t xml:space="preserve"> </w:t>
      </w:r>
      <w:r>
        <w:rPr>
          <w:color w:val="231F20"/>
        </w:rPr>
        <w:t>does</w:t>
      </w:r>
      <w:r>
        <w:rPr>
          <w:color w:val="231F20"/>
          <w:spacing w:val="-8"/>
        </w:rPr>
        <w:t xml:space="preserve"> </w:t>
      </w:r>
      <w:r>
        <w:rPr>
          <w:color w:val="231F20"/>
        </w:rPr>
        <w:t>not</w:t>
      </w:r>
      <w:r>
        <w:rPr>
          <w:color w:val="231F20"/>
          <w:spacing w:val="-8"/>
        </w:rPr>
        <w:t xml:space="preserve"> </w:t>
      </w:r>
      <w:r>
        <w:rPr>
          <w:color w:val="231F20"/>
        </w:rPr>
        <w:t>gain</w:t>
      </w:r>
      <w:r>
        <w:rPr>
          <w:color w:val="231F20"/>
          <w:spacing w:val="-9"/>
        </w:rPr>
        <w:t xml:space="preserve"> </w:t>
      </w:r>
      <w:r>
        <w:rPr>
          <w:color w:val="231F20"/>
        </w:rPr>
        <w:t>control</w:t>
      </w:r>
      <w:r>
        <w:rPr>
          <w:color w:val="231F20"/>
          <w:spacing w:val="-9"/>
        </w:rPr>
        <w:t xml:space="preserve"> </w:t>
      </w:r>
      <w:r>
        <w:rPr>
          <w:color w:val="231F20"/>
        </w:rPr>
        <w:t>over</w:t>
      </w:r>
      <w:r>
        <w:rPr>
          <w:color w:val="231F20"/>
          <w:spacing w:val="-8"/>
        </w:rPr>
        <w:t xml:space="preserve"> </w:t>
      </w:r>
      <w:r>
        <w:rPr>
          <w:color w:val="231F20"/>
        </w:rPr>
        <w:t>assets</w:t>
      </w:r>
      <w:r>
        <w:rPr>
          <w:color w:val="231F20"/>
          <w:spacing w:val="-8"/>
        </w:rPr>
        <w:t xml:space="preserve"> </w:t>
      </w:r>
      <w:r>
        <w:rPr>
          <w:color w:val="231F20"/>
        </w:rPr>
        <w:t>arising</w:t>
      </w:r>
      <w:r>
        <w:rPr>
          <w:color w:val="231F20"/>
          <w:spacing w:val="-9"/>
        </w:rPr>
        <w:t xml:space="preserve"> </w:t>
      </w:r>
      <w:r>
        <w:rPr>
          <w:color w:val="231F20"/>
        </w:rPr>
        <w:t>from</w:t>
      </w:r>
      <w:r>
        <w:rPr>
          <w:color w:val="231F20"/>
          <w:spacing w:val="-8"/>
        </w:rPr>
        <w:t xml:space="preserve"> </w:t>
      </w:r>
      <w:r>
        <w:rPr>
          <w:color w:val="231F20"/>
        </w:rPr>
        <w:t>fees</w:t>
      </w:r>
      <w:r>
        <w:rPr>
          <w:color w:val="231F20"/>
          <w:spacing w:val="-8"/>
        </w:rPr>
        <w:t xml:space="preserve"> </w:t>
      </w:r>
      <w:r>
        <w:rPr>
          <w:color w:val="231F20"/>
        </w:rPr>
        <w:t>and</w:t>
      </w:r>
      <w:r>
        <w:rPr>
          <w:color w:val="231F20"/>
          <w:spacing w:val="-9"/>
        </w:rPr>
        <w:t xml:space="preserve"> </w:t>
      </w:r>
      <w:r>
        <w:rPr>
          <w:color w:val="231F20"/>
        </w:rPr>
        <w:t>fines,</w:t>
      </w:r>
      <w:r>
        <w:rPr>
          <w:color w:val="231F20"/>
          <w:spacing w:val="-8"/>
        </w:rPr>
        <w:t xml:space="preserve"> </w:t>
      </w:r>
      <w:r>
        <w:rPr>
          <w:color w:val="231F20"/>
        </w:rPr>
        <w:t>consequently</w:t>
      </w:r>
      <w:r>
        <w:rPr>
          <w:color w:val="231F20"/>
          <w:spacing w:val="-8"/>
        </w:rPr>
        <w:t xml:space="preserve"> </w:t>
      </w:r>
      <w:r>
        <w:rPr>
          <w:color w:val="231F20"/>
        </w:rPr>
        <w:t>no income is recognised in Victoria Police’s financial statements. Victoria Police collects these amounts on behalf of the state. Accordingly, the amounts are disclosed as income in the schedule</w:t>
      </w:r>
      <w:r>
        <w:rPr>
          <w:color w:val="231F20"/>
          <w:spacing w:val="-12"/>
        </w:rPr>
        <w:t xml:space="preserve"> </w:t>
      </w:r>
      <w:r>
        <w:rPr>
          <w:color w:val="231F20"/>
        </w:rPr>
        <w:t>of</w:t>
      </w:r>
      <w:r>
        <w:rPr>
          <w:color w:val="231F20"/>
          <w:spacing w:val="-11"/>
        </w:rPr>
        <w:t xml:space="preserve"> </w:t>
      </w:r>
      <w:r>
        <w:rPr>
          <w:color w:val="231F20"/>
        </w:rPr>
        <w:t>Administered</w:t>
      </w:r>
      <w:r>
        <w:rPr>
          <w:color w:val="231F20"/>
          <w:spacing w:val="-12"/>
        </w:rPr>
        <w:t xml:space="preserve"> </w:t>
      </w:r>
      <w:r>
        <w:rPr>
          <w:color w:val="231F20"/>
        </w:rPr>
        <w:t>Items.</w:t>
      </w:r>
      <w:r>
        <w:rPr>
          <w:color w:val="231F20"/>
          <w:spacing w:val="-11"/>
        </w:rPr>
        <w:t xml:space="preserve"> </w:t>
      </w:r>
      <w:r>
        <w:rPr>
          <w:color w:val="231F20"/>
        </w:rPr>
        <w:t>Both</w:t>
      </w:r>
      <w:r>
        <w:rPr>
          <w:color w:val="231F20"/>
          <w:spacing w:val="-12"/>
        </w:rPr>
        <w:t xml:space="preserve"> </w:t>
      </w:r>
      <w:r>
        <w:rPr>
          <w:color w:val="231F20"/>
        </w:rPr>
        <w:t>controlled</w:t>
      </w:r>
      <w:r>
        <w:rPr>
          <w:color w:val="231F20"/>
          <w:spacing w:val="-12"/>
        </w:rPr>
        <w:t xml:space="preserve"> </w:t>
      </w:r>
      <w:r>
        <w:rPr>
          <w:color w:val="231F20"/>
        </w:rPr>
        <w:t>and</w:t>
      </w:r>
      <w:r>
        <w:rPr>
          <w:color w:val="231F20"/>
          <w:spacing w:val="-12"/>
        </w:rPr>
        <w:t xml:space="preserve"> </w:t>
      </w:r>
      <w:r>
        <w:rPr>
          <w:color w:val="231F20"/>
        </w:rPr>
        <w:t>administered</w:t>
      </w:r>
      <w:r>
        <w:rPr>
          <w:color w:val="231F20"/>
          <w:spacing w:val="-12"/>
        </w:rPr>
        <w:t xml:space="preserve"> </w:t>
      </w:r>
      <w:r>
        <w:rPr>
          <w:color w:val="231F20"/>
        </w:rPr>
        <w:t>items</w:t>
      </w:r>
      <w:r>
        <w:rPr>
          <w:color w:val="231F20"/>
          <w:spacing w:val="-11"/>
        </w:rPr>
        <w:t xml:space="preserve"> </w:t>
      </w:r>
      <w:r>
        <w:rPr>
          <w:color w:val="231F20"/>
        </w:rPr>
        <w:t>of</w:t>
      </w:r>
      <w:r>
        <w:rPr>
          <w:color w:val="231F20"/>
          <w:spacing w:val="-11"/>
        </w:rPr>
        <w:t xml:space="preserve"> </w:t>
      </w:r>
      <w:r>
        <w:rPr>
          <w:color w:val="231F20"/>
        </w:rPr>
        <w:t>Victoria</w:t>
      </w:r>
      <w:r>
        <w:rPr>
          <w:color w:val="231F20"/>
          <w:spacing w:val="-12"/>
        </w:rPr>
        <w:t xml:space="preserve"> </w:t>
      </w:r>
      <w:r>
        <w:rPr>
          <w:color w:val="231F20"/>
        </w:rPr>
        <w:t>Police</w:t>
      </w:r>
      <w:r>
        <w:rPr>
          <w:color w:val="231F20"/>
          <w:spacing w:val="-12"/>
        </w:rPr>
        <w:t xml:space="preserve"> </w:t>
      </w:r>
      <w:r>
        <w:rPr>
          <w:color w:val="231F20"/>
        </w:rPr>
        <w:t>are consolidated into the financial statements of the state.</w:t>
      </w:r>
    </w:p>
    <w:tbl>
      <w:tblPr>
        <w:tblW w:w="10205" w:type="dxa"/>
        <w:tblInd w:w="156" w:type="dxa"/>
        <w:tblLayout w:type="fixed"/>
        <w:tblCellMar>
          <w:left w:w="0" w:type="dxa"/>
          <w:right w:w="0" w:type="dxa"/>
        </w:tblCellMar>
        <w:tblLook w:val="0000" w:firstRow="0" w:lastRow="0" w:firstColumn="0" w:lastColumn="0" w:noHBand="0" w:noVBand="0"/>
      </w:tblPr>
      <w:tblGrid>
        <w:gridCol w:w="1134"/>
        <w:gridCol w:w="7937"/>
        <w:gridCol w:w="1134"/>
      </w:tblGrid>
      <w:tr w:rsidR="00345EE3" w:rsidRPr="00930C1B" w14:paraId="225C10FD" w14:textId="77777777" w:rsidTr="00D73130">
        <w:trPr>
          <w:trHeight w:val="60"/>
          <w:tblHeader/>
        </w:trPr>
        <w:tc>
          <w:tcPr>
            <w:tcW w:w="9071" w:type="dxa"/>
            <w:gridSpan w:val="2"/>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D74DCEE"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930C1B">
              <w:rPr>
                <w:rFonts w:eastAsiaTheme="minorHAnsi"/>
                <w:b/>
                <w:bCs/>
                <w:color w:val="FFFFFF"/>
                <w:sz w:val="24"/>
                <w:szCs w:val="24"/>
                <w:lang w:val="en-GB"/>
              </w:rPr>
              <w:t>Structure</w:t>
            </w:r>
          </w:p>
        </w:tc>
        <w:tc>
          <w:tcPr>
            <w:tcW w:w="1134"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074CA4D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Page</w:t>
            </w:r>
          </w:p>
        </w:tc>
      </w:tr>
      <w:tr w:rsidR="00345EE3" w:rsidRPr="00930C1B" w14:paraId="62F3ADB4"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10487B0"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4.1</w:t>
            </w:r>
          </w:p>
        </w:tc>
        <w:tc>
          <w:tcPr>
            <w:tcW w:w="79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5D6333E"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Administered Items</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578B63A" w14:textId="2A3BACA1" w:rsidR="00345EE3" w:rsidRPr="00930C1B" w:rsidRDefault="00EB53BC"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127-130</w:t>
            </w:r>
          </w:p>
        </w:tc>
      </w:tr>
    </w:tbl>
    <w:p w14:paraId="395BBC0A" w14:textId="77777777" w:rsidR="00345EE3" w:rsidRDefault="00345EE3" w:rsidP="00345EE3">
      <w:pPr>
        <w:rPr>
          <w:b/>
          <w:bCs/>
          <w:color w:val="3D68AD"/>
          <w:sz w:val="28"/>
          <w:szCs w:val="28"/>
        </w:rPr>
      </w:pPr>
      <w:r>
        <w:rPr>
          <w:color w:val="3D68AD"/>
        </w:rPr>
        <w:br w:type="page"/>
      </w:r>
    </w:p>
    <w:p w14:paraId="0F49A9D2" w14:textId="77777777" w:rsidR="00345EE3" w:rsidRDefault="00345EE3" w:rsidP="002A27BA">
      <w:pPr>
        <w:pStyle w:val="Heading3"/>
        <w:numPr>
          <w:ilvl w:val="1"/>
          <w:numId w:val="44"/>
        </w:numPr>
      </w:pPr>
      <w:r>
        <w:t>Administered</w:t>
      </w:r>
      <w:r>
        <w:rPr>
          <w:spacing w:val="-12"/>
        </w:rPr>
        <w:t xml:space="preserve"> </w:t>
      </w:r>
      <w:r>
        <w:rPr>
          <w:spacing w:val="-2"/>
        </w:rPr>
        <w:t>Items</w:t>
      </w:r>
    </w:p>
    <w:p w14:paraId="18049D21" w14:textId="77777777" w:rsidR="00345EE3" w:rsidRPr="00930C1B" w:rsidRDefault="00345EE3" w:rsidP="00345EE3">
      <w:pPr>
        <w:pStyle w:val="VicPol-Header4-2022Headings"/>
        <w:ind w:left="142"/>
        <w:rPr>
          <w:color w:val="808080" w:themeColor="background1" w:themeShade="80"/>
        </w:rPr>
      </w:pPr>
      <w:r w:rsidRPr="001C106C">
        <w:rPr>
          <w:color w:val="000000" w:themeColor="text1"/>
        </w:rPr>
        <w:t>Administered (Non-Controlled) Income and Expenses</w:t>
      </w:r>
    </w:p>
    <w:p w14:paraId="040CCB8A" w14:textId="77777777" w:rsidR="00345EE3" w:rsidRDefault="00345EE3" w:rsidP="00345EE3">
      <w:pPr>
        <w:pStyle w:val="VicPol-Header5-2022Headings"/>
        <w:ind w:left="142"/>
        <w:rPr>
          <w:b/>
          <w:bCs/>
        </w:rPr>
      </w:pPr>
      <w:r>
        <w:rPr>
          <w:b/>
          <w:bCs/>
        </w:rPr>
        <w:t>For the financial year ended 30 June 2022</w:t>
      </w:r>
    </w:p>
    <w:tbl>
      <w:tblPr>
        <w:tblW w:w="0" w:type="auto"/>
        <w:tblInd w:w="156" w:type="dxa"/>
        <w:tblLayout w:type="fixed"/>
        <w:tblCellMar>
          <w:left w:w="0" w:type="dxa"/>
          <w:right w:w="0" w:type="dxa"/>
        </w:tblCellMar>
        <w:tblLook w:val="0000" w:firstRow="0" w:lastRow="0" w:firstColumn="0" w:lastColumn="0" w:noHBand="0" w:noVBand="0"/>
      </w:tblPr>
      <w:tblGrid>
        <w:gridCol w:w="7937"/>
        <w:gridCol w:w="1134"/>
        <w:gridCol w:w="1134"/>
      </w:tblGrid>
      <w:tr w:rsidR="00345EE3" w:rsidRPr="00930C1B" w14:paraId="0118E0E4" w14:textId="77777777" w:rsidTr="00D73130">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79E92AB8"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thousand)</w:t>
            </w:r>
          </w:p>
        </w:tc>
      </w:tr>
      <w:tr w:rsidR="00345EE3" w:rsidRPr="00930C1B" w14:paraId="671C8A2F" w14:textId="77777777" w:rsidTr="00D73130">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2782AAC"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709E9E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625EBA4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2021</w:t>
            </w:r>
          </w:p>
        </w:tc>
      </w:tr>
      <w:tr w:rsidR="00345EE3" w:rsidRPr="00930C1B" w14:paraId="589DEBC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CEE11D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Administered Income From Transactions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42FBDCC"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69120A4" w14:textId="77777777" w:rsidR="00345EE3" w:rsidRPr="00930C1B" w:rsidRDefault="00345EE3" w:rsidP="00D73130">
            <w:pPr>
              <w:widowControl/>
              <w:adjustRightInd w:val="0"/>
              <w:rPr>
                <w:rFonts w:eastAsiaTheme="minorHAnsi"/>
                <w:sz w:val="24"/>
                <w:szCs w:val="24"/>
                <w:lang w:val="en-GB"/>
              </w:rPr>
            </w:pPr>
          </w:p>
        </w:tc>
      </w:tr>
      <w:tr w:rsidR="00345EE3" w:rsidRPr="00930C1B" w14:paraId="5B89935F"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D6AED9C"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Regulatory fees and fines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A2A5BF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30,843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6176BA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27,506 </w:t>
            </w:r>
          </w:p>
        </w:tc>
      </w:tr>
      <w:tr w:rsidR="00345EE3" w:rsidRPr="00930C1B" w14:paraId="6907717D"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7E79C12"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Sale of goods and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5B425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8,231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70D01B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2,957 </w:t>
            </w:r>
          </w:p>
        </w:tc>
      </w:tr>
      <w:tr w:rsidR="00345EE3" w:rsidRPr="00930C1B" w14:paraId="7DB72E55"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D99C87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Seized and unclaimed monies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FAC40F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31,731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E45255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11,964 </w:t>
            </w:r>
          </w:p>
        </w:tc>
      </w:tr>
      <w:tr w:rsidR="00345EE3" w:rsidRPr="00930C1B" w14:paraId="3D07467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7797301"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93DDE9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625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590BF4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825 </w:t>
            </w:r>
          </w:p>
        </w:tc>
      </w:tr>
      <w:tr w:rsidR="00345EE3" w:rsidRPr="00930C1B" w14:paraId="7C6A2F7E"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B26E8C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Other agency contributions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EBCA77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4,220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671F25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3,826 </w:t>
            </w:r>
          </w:p>
        </w:tc>
      </w:tr>
      <w:tr w:rsidR="00345EE3" w:rsidRPr="00930C1B" w14:paraId="0B8E4CB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0ACF0B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Interest income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9B140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95BA32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 </w:t>
            </w:r>
          </w:p>
        </w:tc>
      </w:tr>
      <w:tr w:rsidR="00345EE3" w:rsidRPr="00930C1B" w14:paraId="5E684B7A"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6D21912B"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 xml:space="preserve">Other income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BCB218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1,402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7AD1D1B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16,859 </w:t>
            </w:r>
          </w:p>
        </w:tc>
      </w:tr>
      <w:tr w:rsidR="00345EE3" w:rsidRPr="00930C1B" w14:paraId="513D63B9" w14:textId="77777777" w:rsidTr="00D73130">
        <w:trPr>
          <w:trHeight w:val="60"/>
        </w:trPr>
        <w:tc>
          <w:tcPr>
            <w:tcW w:w="7937"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62245F0F"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Income From Transactions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85FB73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77,056 </w:t>
            </w: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7B03862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63,939 </w:t>
            </w:r>
          </w:p>
        </w:tc>
      </w:tr>
      <w:tr w:rsidR="00345EE3" w:rsidRPr="00930C1B" w14:paraId="10B0E300"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B2791D7"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Administered Expenses From Transactions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812B294"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059D0EE" w14:textId="77777777" w:rsidR="00345EE3" w:rsidRPr="00930C1B" w:rsidRDefault="00345EE3" w:rsidP="00D73130">
            <w:pPr>
              <w:widowControl/>
              <w:adjustRightInd w:val="0"/>
              <w:rPr>
                <w:rFonts w:eastAsiaTheme="minorHAnsi"/>
                <w:sz w:val="24"/>
                <w:szCs w:val="24"/>
                <w:lang w:val="en-GB"/>
              </w:rPr>
            </w:pPr>
          </w:p>
        </w:tc>
      </w:tr>
      <w:tr w:rsidR="00345EE3" w:rsidRPr="00930C1B" w14:paraId="7805D443"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D0134BD"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Payments into the Consolidated Fund</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5138A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43,798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0F6D2E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59,327 </w:t>
            </w:r>
          </w:p>
        </w:tc>
      </w:tr>
      <w:tr w:rsidR="00345EE3" w:rsidRPr="00930C1B" w14:paraId="0AB2C21E"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2AD013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Payment of seized and unclaimed monies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214134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29,053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733D658"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10,009 </w:t>
            </w:r>
          </w:p>
        </w:tc>
      </w:tr>
      <w:tr w:rsidR="00345EE3" w:rsidRPr="00930C1B" w14:paraId="1C4DC7A7"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6CDABB4"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Employee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40D1B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3,848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0BA0B3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3,690 </w:t>
            </w:r>
          </w:p>
        </w:tc>
      </w:tr>
      <w:tr w:rsidR="00345EE3" w:rsidRPr="00930C1B" w14:paraId="4D76BCD8"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EF116C0"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Depreciation</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202AFB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C1C1C4F"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 -  </w:t>
            </w:r>
          </w:p>
        </w:tc>
      </w:tr>
      <w:tr w:rsidR="00345EE3" w:rsidRPr="00930C1B" w14:paraId="0396045B"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5F378282"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Other expenses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F969F7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891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0070D488"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658 </w:t>
            </w:r>
          </w:p>
        </w:tc>
      </w:tr>
      <w:tr w:rsidR="00345EE3" w:rsidRPr="00930C1B" w14:paraId="2F4E97B0" w14:textId="77777777" w:rsidTr="00D73130">
        <w:trPr>
          <w:trHeight w:val="60"/>
        </w:trPr>
        <w:tc>
          <w:tcPr>
            <w:tcW w:w="7937"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2D31CB3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Expenses From Transactions</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A4DA5C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77,591 </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3FDD7E9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73,684 </w:t>
            </w:r>
          </w:p>
        </w:tc>
      </w:tr>
      <w:tr w:rsidR="00345EE3" w:rsidRPr="00930C1B" w14:paraId="69F53929" w14:textId="77777777" w:rsidTr="00D73130">
        <w:trPr>
          <w:trHeight w:val="60"/>
        </w:trPr>
        <w:tc>
          <w:tcPr>
            <w:tcW w:w="7937"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751E0830"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Net Loss From Transactions (Net Operating Balance)</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C2CFDB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(535)</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050D4AA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(9,745)</w:t>
            </w:r>
          </w:p>
        </w:tc>
      </w:tr>
      <w:tr w:rsidR="00345EE3" w:rsidRPr="00930C1B" w14:paraId="4ED45576" w14:textId="77777777" w:rsidTr="00D73130">
        <w:trPr>
          <w:trHeight w:val="60"/>
        </w:trPr>
        <w:tc>
          <w:tcPr>
            <w:tcW w:w="7937"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7F9ED3F3"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Administered Other Economic Flows Included In Administered Net Result</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B360D5D"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33AB5478" w14:textId="77777777" w:rsidR="00345EE3" w:rsidRPr="00930C1B" w:rsidRDefault="00345EE3" w:rsidP="00D73130">
            <w:pPr>
              <w:widowControl/>
              <w:adjustRightInd w:val="0"/>
              <w:rPr>
                <w:rFonts w:eastAsiaTheme="minorHAnsi"/>
                <w:sz w:val="24"/>
                <w:szCs w:val="24"/>
                <w:lang w:val="en-GB"/>
              </w:rPr>
            </w:pPr>
          </w:p>
        </w:tc>
      </w:tr>
      <w:tr w:rsidR="00345EE3" w:rsidRPr="00930C1B" w14:paraId="59C064C3"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2DF6FD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Net gain/(loss) on non-financial assets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0D2CBD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1,134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1E2180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102 </w:t>
            </w:r>
          </w:p>
        </w:tc>
      </w:tr>
      <w:tr w:rsidR="00345EE3" w:rsidRPr="00930C1B" w14:paraId="68D91461"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44E66AB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Other gains/(losses) from other economic flows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69942E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17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50A86FE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 </w:t>
            </w:r>
          </w:p>
        </w:tc>
      </w:tr>
      <w:tr w:rsidR="00345EE3" w:rsidRPr="00930C1B" w14:paraId="3EBA14D1" w14:textId="77777777" w:rsidTr="00D73130">
        <w:trPr>
          <w:trHeight w:val="60"/>
        </w:trPr>
        <w:tc>
          <w:tcPr>
            <w:tcW w:w="793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6AEFC0ED"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Administered Net Gain / (Loss)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0AC92F5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616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632933E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(9,642)</w:t>
            </w:r>
          </w:p>
        </w:tc>
      </w:tr>
    </w:tbl>
    <w:p w14:paraId="03BD6A39" w14:textId="6D0547F7" w:rsidR="00345EE3" w:rsidRPr="00930C1B" w:rsidRDefault="00345EE3" w:rsidP="00345EE3">
      <w:pPr>
        <w:pStyle w:val="BodyText"/>
        <w:rPr>
          <w:b/>
          <w:sz w:val="20"/>
        </w:rPr>
      </w:pPr>
    </w:p>
    <w:p w14:paraId="14A0CD73" w14:textId="77777777" w:rsidR="00345EE3" w:rsidRPr="00930C1B" w:rsidRDefault="00345EE3" w:rsidP="00345EE3">
      <w:pPr>
        <w:pStyle w:val="ListParagraph"/>
        <w:widowControl/>
        <w:tabs>
          <w:tab w:val="left" w:pos="283"/>
        </w:tabs>
        <w:suppressAutoHyphens/>
        <w:adjustRightInd w:val="0"/>
        <w:spacing w:before="57" w:line="280" w:lineRule="atLeast"/>
        <w:ind w:left="142" w:firstLine="0"/>
        <w:textAlignment w:val="center"/>
        <w:rPr>
          <w:rFonts w:eastAsiaTheme="minorHAnsi"/>
          <w:b/>
          <w:bCs/>
          <w:color w:val="808080" w:themeColor="background1" w:themeShade="80"/>
          <w:sz w:val="24"/>
          <w:szCs w:val="24"/>
          <w:lang w:val="en-GB"/>
        </w:rPr>
      </w:pPr>
      <w:r w:rsidRPr="001C106C">
        <w:rPr>
          <w:rFonts w:eastAsiaTheme="minorHAnsi"/>
          <w:b/>
          <w:bCs/>
          <w:color w:val="000000" w:themeColor="text1"/>
          <w:sz w:val="24"/>
          <w:szCs w:val="24"/>
          <w:lang w:val="en-GB"/>
        </w:rPr>
        <w:t>Administered (Non-Controlled) Assets and Liabilities</w:t>
      </w:r>
    </w:p>
    <w:p w14:paraId="77F665DA" w14:textId="77777777" w:rsidR="00345EE3" w:rsidRPr="00930C1B" w:rsidRDefault="00345EE3" w:rsidP="00345EE3">
      <w:pPr>
        <w:pStyle w:val="ListParagraph"/>
        <w:widowControl/>
        <w:suppressAutoHyphens/>
        <w:adjustRightInd w:val="0"/>
        <w:spacing w:before="113" w:after="57" w:line="280" w:lineRule="atLeast"/>
        <w:ind w:left="142" w:firstLine="0"/>
        <w:textAlignment w:val="center"/>
        <w:rPr>
          <w:rFonts w:eastAsiaTheme="minorHAnsi"/>
          <w:b/>
          <w:bCs/>
          <w:color w:val="000000"/>
          <w:sz w:val="24"/>
          <w:szCs w:val="24"/>
          <w:lang w:val="en-GB"/>
        </w:rPr>
      </w:pPr>
      <w:r w:rsidRPr="00930C1B">
        <w:rPr>
          <w:rFonts w:eastAsiaTheme="minorHAnsi"/>
          <w:b/>
          <w:bCs/>
          <w:color w:val="000000"/>
          <w:sz w:val="24"/>
          <w:szCs w:val="24"/>
          <w:lang w:val="en-GB"/>
        </w:rPr>
        <w:t>As at 30 June 2022</w:t>
      </w:r>
    </w:p>
    <w:tbl>
      <w:tblPr>
        <w:tblW w:w="0" w:type="auto"/>
        <w:tblInd w:w="156" w:type="dxa"/>
        <w:tblLayout w:type="fixed"/>
        <w:tblCellMar>
          <w:left w:w="0" w:type="dxa"/>
          <w:right w:w="0" w:type="dxa"/>
        </w:tblCellMar>
        <w:tblLook w:val="0000" w:firstRow="0" w:lastRow="0" w:firstColumn="0" w:lastColumn="0" w:noHBand="0" w:noVBand="0"/>
      </w:tblPr>
      <w:tblGrid>
        <w:gridCol w:w="6803"/>
        <w:gridCol w:w="1134"/>
        <w:gridCol w:w="1134"/>
        <w:gridCol w:w="1134"/>
      </w:tblGrid>
      <w:tr w:rsidR="00345EE3" w:rsidRPr="00930C1B" w14:paraId="35F6288F" w14:textId="77777777" w:rsidTr="00D73130">
        <w:trPr>
          <w:trHeight w:val="60"/>
          <w:tblHeader/>
        </w:trPr>
        <w:tc>
          <w:tcPr>
            <w:tcW w:w="10205" w:type="dxa"/>
            <w:gridSpan w:val="4"/>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42AE5B6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thousand)</w:t>
            </w:r>
          </w:p>
        </w:tc>
      </w:tr>
      <w:tr w:rsidR="00345EE3" w:rsidRPr="00930C1B" w14:paraId="73A9B202" w14:textId="77777777" w:rsidTr="00D73130">
        <w:trPr>
          <w:trHeight w:val="60"/>
          <w:tblHeader/>
        </w:trPr>
        <w:tc>
          <w:tcPr>
            <w:tcW w:w="6803"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F7EC61F"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D837AB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Notes</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808789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3806B06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2021</w:t>
            </w:r>
          </w:p>
        </w:tc>
      </w:tr>
      <w:tr w:rsidR="00345EE3" w:rsidRPr="00930C1B" w14:paraId="2B22012F"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01EF41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Administered Financial Assets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869F1F"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D934BC5"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6CE806F" w14:textId="77777777" w:rsidR="00345EE3" w:rsidRPr="00930C1B" w:rsidRDefault="00345EE3" w:rsidP="00D73130">
            <w:pPr>
              <w:widowControl/>
              <w:adjustRightInd w:val="0"/>
              <w:rPr>
                <w:rFonts w:eastAsiaTheme="minorHAnsi"/>
                <w:sz w:val="24"/>
                <w:szCs w:val="24"/>
                <w:lang w:val="en-GB"/>
              </w:rPr>
            </w:pPr>
          </w:p>
        </w:tc>
      </w:tr>
      <w:tr w:rsidR="00345EE3" w:rsidRPr="00930C1B" w14:paraId="4250C29F"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2944044"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Cash held at Treasury</w:t>
            </w:r>
            <w:r w:rsidRPr="00930C1B">
              <w:rPr>
                <w:rFonts w:eastAsiaTheme="minorHAnsi"/>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72428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7.4</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6EF60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71,514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9E070B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75,683 </w:t>
            </w:r>
          </w:p>
        </w:tc>
      </w:tr>
      <w:tr w:rsidR="00345EE3" w:rsidRPr="00930C1B" w14:paraId="514FE179" w14:textId="77777777" w:rsidTr="00D73130">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F4712B2"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 xml:space="preserve">Receivables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54A514B3"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C17EF4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1,931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D43E90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1,914 </w:t>
            </w:r>
          </w:p>
        </w:tc>
      </w:tr>
      <w:tr w:rsidR="00345EE3" w:rsidRPr="00930C1B" w14:paraId="21AA0E72" w14:textId="77777777" w:rsidTr="00D73130">
        <w:trPr>
          <w:trHeight w:val="60"/>
        </w:trPr>
        <w:tc>
          <w:tcPr>
            <w:tcW w:w="6803"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0089CBAF"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Financial Assets</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41579B31"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8E97D7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73,445 </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1080362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77,597</w:t>
            </w:r>
          </w:p>
        </w:tc>
      </w:tr>
      <w:tr w:rsidR="00345EE3" w:rsidRPr="00930C1B" w14:paraId="089ECFB9" w14:textId="77777777" w:rsidTr="00D73130">
        <w:trPr>
          <w:trHeight w:val="60"/>
        </w:trPr>
        <w:tc>
          <w:tcPr>
            <w:tcW w:w="6803"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13F8FF90"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Administered Non-Financial Assets</w:t>
            </w: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5270EA1D"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0D23A38"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2C104E76" w14:textId="77777777" w:rsidR="00345EE3" w:rsidRPr="00930C1B" w:rsidRDefault="00345EE3" w:rsidP="00D73130">
            <w:pPr>
              <w:widowControl/>
              <w:adjustRightInd w:val="0"/>
              <w:rPr>
                <w:rFonts w:eastAsiaTheme="minorHAnsi"/>
                <w:sz w:val="24"/>
                <w:szCs w:val="24"/>
                <w:lang w:val="en-GB"/>
              </w:rPr>
            </w:pPr>
          </w:p>
        </w:tc>
      </w:tr>
      <w:tr w:rsidR="00345EE3" w:rsidRPr="00930C1B" w14:paraId="481EC948" w14:textId="77777777" w:rsidTr="00D73130">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4F93B14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Non-current physical assets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70054FDA"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6D5549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16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11AB1A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 -  </w:t>
            </w:r>
          </w:p>
        </w:tc>
      </w:tr>
      <w:tr w:rsidR="00345EE3" w:rsidRPr="00930C1B" w14:paraId="318CE8D9" w14:textId="77777777" w:rsidTr="00D73130">
        <w:trPr>
          <w:trHeight w:val="60"/>
        </w:trPr>
        <w:tc>
          <w:tcPr>
            <w:tcW w:w="6803"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601CB907"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Non-Financial Assets</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48F334A2"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53704B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16 </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1ABBCBF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 -  </w:t>
            </w:r>
          </w:p>
        </w:tc>
      </w:tr>
      <w:tr w:rsidR="00345EE3" w:rsidRPr="00930C1B" w14:paraId="63662EEC" w14:textId="77777777" w:rsidTr="00D73130">
        <w:trPr>
          <w:trHeight w:val="60"/>
        </w:trPr>
        <w:tc>
          <w:tcPr>
            <w:tcW w:w="6803"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05CD9B10"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Assets</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3BC25A34"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2A0B48DF"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73,461 </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0DF74D8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77,597 </w:t>
            </w:r>
          </w:p>
        </w:tc>
      </w:tr>
      <w:tr w:rsidR="00345EE3" w:rsidRPr="00930C1B" w14:paraId="5ED0E8D7" w14:textId="77777777" w:rsidTr="00D73130">
        <w:trPr>
          <w:trHeight w:val="60"/>
        </w:trPr>
        <w:tc>
          <w:tcPr>
            <w:tcW w:w="6803"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62230FBD"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Administered Liabilities</w:t>
            </w: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761FB719"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C03A6F"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1E8E9403" w14:textId="77777777" w:rsidR="00345EE3" w:rsidRPr="00930C1B" w:rsidRDefault="00345EE3" w:rsidP="00D73130">
            <w:pPr>
              <w:widowControl/>
              <w:adjustRightInd w:val="0"/>
              <w:rPr>
                <w:rFonts w:eastAsiaTheme="minorHAnsi"/>
                <w:sz w:val="24"/>
                <w:szCs w:val="24"/>
                <w:lang w:val="en-GB"/>
              </w:rPr>
            </w:pPr>
          </w:p>
        </w:tc>
      </w:tr>
      <w:tr w:rsidR="00345EE3" w:rsidRPr="00930C1B" w14:paraId="4F687644"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F817153"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Trade creditors and accruals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E5423C"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D2AE3C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291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170CCA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100 </w:t>
            </w:r>
          </w:p>
        </w:tc>
      </w:tr>
      <w:tr w:rsidR="00345EE3" w:rsidRPr="00930C1B" w14:paraId="4E17B81A"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58DE6BE"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Seized and Unclaimed Funds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FD9F145"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709D3C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67,875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F0E993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73,073 </w:t>
            </w:r>
          </w:p>
        </w:tc>
      </w:tr>
      <w:tr w:rsidR="00345EE3" w:rsidRPr="00930C1B" w14:paraId="577F00DF"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EFEAC5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Unearned revenue</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B2658DB"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92B758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611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34920DF"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171 </w:t>
            </w:r>
          </w:p>
        </w:tc>
      </w:tr>
      <w:tr w:rsidR="00345EE3" w:rsidRPr="00930C1B" w14:paraId="40188134"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E516093"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Employee provisions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F2C104"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E3999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676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787CEE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790 </w:t>
            </w:r>
          </w:p>
        </w:tc>
      </w:tr>
      <w:tr w:rsidR="00345EE3" w:rsidRPr="00930C1B" w14:paraId="5339EB06" w14:textId="77777777" w:rsidTr="00D73130">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07217E3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Other liabilities – Trusts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2AF39AAF"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E8206D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3,392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3D4D22B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13,105 </w:t>
            </w:r>
          </w:p>
        </w:tc>
      </w:tr>
      <w:tr w:rsidR="00345EE3" w:rsidRPr="00930C1B" w14:paraId="57FCFE6C" w14:textId="77777777" w:rsidTr="00D73130">
        <w:trPr>
          <w:trHeight w:val="60"/>
        </w:trPr>
        <w:tc>
          <w:tcPr>
            <w:tcW w:w="6803"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6FFA1A8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Liabilities</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68D85C3F"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F57C78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72,845 </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758DB24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87,239 </w:t>
            </w:r>
          </w:p>
        </w:tc>
      </w:tr>
      <w:tr w:rsidR="00345EE3" w:rsidRPr="00930C1B" w14:paraId="48DDB6F5" w14:textId="77777777" w:rsidTr="00D73130">
        <w:trPr>
          <w:trHeight w:val="60"/>
        </w:trPr>
        <w:tc>
          <w:tcPr>
            <w:tcW w:w="6803"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1FB94ABB"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Net Assets</w:t>
            </w:r>
            <w:r w:rsidRPr="00930C1B">
              <w:rPr>
                <w:rFonts w:eastAsiaTheme="minorHAnsi"/>
                <w:b/>
                <w:bCs/>
                <w:color w:val="000000"/>
                <w:sz w:val="24"/>
                <w:szCs w:val="24"/>
                <w:vertAlign w:val="superscript"/>
                <w:lang w:val="en-GB"/>
              </w:rPr>
              <w:t xml:space="preserve"> (b)</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2274A514"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FEDAC2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616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0BF1733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(9,642)</w:t>
            </w:r>
          </w:p>
        </w:tc>
      </w:tr>
    </w:tbl>
    <w:p w14:paraId="7CC0B4C2" w14:textId="77777777" w:rsidR="00345EE3" w:rsidRPr="000C71FB" w:rsidRDefault="00345EE3" w:rsidP="00345EE3">
      <w:pPr>
        <w:spacing w:before="76"/>
        <w:ind w:left="110"/>
        <w:rPr>
          <w:rFonts w:ascii="Arial-BoldItalicMT"/>
          <w:b/>
          <w:i/>
          <w:sz w:val="18"/>
          <w:szCs w:val="18"/>
        </w:rPr>
      </w:pPr>
      <w:r w:rsidRPr="000C71FB">
        <w:rPr>
          <w:rFonts w:ascii="Arial-BoldItalicMT"/>
          <w:b/>
          <w:i/>
          <w:color w:val="231F20"/>
          <w:spacing w:val="-2"/>
          <w:sz w:val="18"/>
          <w:szCs w:val="18"/>
        </w:rPr>
        <w:t>Note:</w:t>
      </w:r>
    </w:p>
    <w:p w14:paraId="07E37BED" w14:textId="77777777" w:rsidR="00345EE3" w:rsidRPr="000C71FB" w:rsidRDefault="00345EE3">
      <w:pPr>
        <w:pStyle w:val="ListParagraph"/>
        <w:numPr>
          <w:ilvl w:val="0"/>
          <w:numId w:val="38"/>
        </w:numPr>
        <w:tabs>
          <w:tab w:val="left" w:pos="338"/>
        </w:tabs>
        <w:spacing w:before="27"/>
        <w:ind w:right="454"/>
        <w:rPr>
          <w:sz w:val="18"/>
          <w:szCs w:val="18"/>
        </w:rPr>
      </w:pPr>
      <w:r w:rsidRPr="000C71FB">
        <w:rPr>
          <w:color w:val="231F20"/>
          <w:sz w:val="18"/>
          <w:szCs w:val="18"/>
        </w:rPr>
        <w:t>This</w:t>
      </w:r>
      <w:r w:rsidRPr="000C71FB">
        <w:rPr>
          <w:color w:val="231F20"/>
          <w:spacing w:val="-2"/>
          <w:sz w:val="18"/>
          <w:szCs w:val="18"/>
        </w:rPr>
        <w:t xml:space="preserve"> </w:t>
      </w:r>
      <w:r w:rsidRPr="000C71FB">
        <w:rPr>
          <w:color w:val="231F20"/>
          <w:sz w:val="18"/>
          <w:szCs w:val="18"/>
        </w:rPr>
        <w:t>balance</w:t>
      </w:r>
      <w:r w:rsidRPr="000C71FB">
        <w:rPr>
          <w:color w:val="231F20"/>
          <w:spacing w:val="-2"/>
          <w:sz w:val="18"/>
          <w:szCs w:val="18"/>
        </w:rPr>
        <w:t xml:space="preserve"> </w:t>
      </w:r>
      <w:r w:rsidRPr="000C71FB">
        <w:rPr>
          <w:color w:val="231F20"/>
          <w:sz w:val="18"/>
          <w:szCs w:val="18"/>
        </w:rPr>
        <w:t>is</w:t>
      </w:r>
      <w:r w:rsidRPr="000C71FB">
        <w:rPr>
          <w:color w:val="231F20"/>
          <w:spacing w:val="-2"/>
          <w:sz w:val="18"/>
          <w:szCs w:val="18"/>
        </w:rPr>
        <w:t xml:space="preserve"> </w:t>
      </w:r>
      <w:r w:rsidRPr="000C71FB">
        <w:rPr>
          <w:color w:val="231F20"/>
          <w:sz w:val="18"/>
          <w:szCs w:val="18"/>
        </w:rPr>
        <w:t>made</w:t>
      </w:r>
      <w:r w:rsidRPr="000C71FB">
        <w:rPr>
          <w:color w:val="231F20"/>
          <w:spacing w:val="-2"/>
          <w:sz w:val="18"/>
          <w:szCs w:val="18"/>
        </w:rPr>
        <w:t xml:space="preserve"> </w:t>
      </w:r>
      <w:r w:rsidRPr="000C71FB">
        <w:rPr>
          <w:color w:val="231F20"/>
          <w:sz w:val="18"/>
          <w:szCs w:val="18"/>
        </w:rPr>
        <w:t>up</w:t>
      </w:r>
      <w:r w:rsidRPr="000C71FB">
        <w:rPr>
          <w:color w:val="231F20"/>
          <w:spacing w:val="-2"/>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Administered</w:t>
      </w:r>
      <w:r w:rsidRPr="000C71FB">
        <w:rPr>
          <w:color w:val="231F20"/>
          <w:spacing w:val="-2"/>
          <w:sz w:val="18"/>
          <w:szCs w:val="18"/>
        </w:rPr>
        <w:t xml:space="preserve"> </w:t>
      </w:r>
      <w:r w:rsidRPr="000C71FB">
        <w:rPr>
          <w:color w:val="231F20"/>
          <w:sz w:val="18"/>
          <w:szCs w:val="18"/>
        </w:rPr>
        <w:t>Trusts</w:t>
      </w:r>
      <w:r w:rsidRPr="000C71FB">
        <w:rPr>
          <w:color w:val="231F20"/>
          <w:spacing w:val="-2"/>
          <w:sz w:val="18"/>
          <w:szCs w:val="18"/>
        </w:rPr>
        <w:t xml:space="preserve"> </w:t>
      </w:r>
      <w:r w:rsidRPr="000C71FB">
        <w:rPr>
          <w:color w:val="231F20"/>
          <w:sz w:val="18"/>
          <w:szCs w:val="18"/>
        </w:rPr>
        <w:t>and</w:t>
      </w:r>
      <w:r w:rsidRPr="000C71FB">
        <w:rPr>
          <w:color w:val="231F20"/>
          <w:spacing w:val="-2"/>
          <w:sz w:val="18"/>
          <w:szCs w:val="18"/>
        </w:rPr>
        <w:t xml:space="preserve"> </w:t>
      </w:r>
      <w:r w:rsidRPr="000C71FB">
        <w:rPr>
          <w:color w:val="231F20"/>
          <w:sz w:val="18"/>
          <w:szCs w:val="18"/>
        </w:rPr>
        <w:t>Australia</w:t>
      </w:r>
      <w:r w:rsidRPr="000C71FB">
        <w:rPr>
          <w:color w:val="231F20"/>
          <w:spacing w:val="-2"/>
          <w:sz w:val="18"/>
          <w:szCs w:val="18"/>
        </w:rPr>
        <w:t xml:space="preserve"> </w:t>
      </w:r>
      <w:r w:rsidRPr="000C71FB">
        <w:rPr>
          <w:color w:val="231F20"/>
          <w:sz w:val="18"/>
          <w:szCs w:val="18"/>
        </w:rPr>
        <w:t>and</w:t>
      </w:r>
      <w:r w:rsidRPr="000C71FB">
        <w:rPr>
          <w:color w:val="231F20"/>
          <w:spacing w:val="-2"/>
          <w:sz w:val="18"/>
          <w:szCs w:val="18"/>
        </w:rPr>
        <w:t xml:space="preserve"> </w:t>
      </w:r>
      <w:r w:rsidRPr="000C71FB">
        <w:rPr>
          <w:color w:val="231F20"/>
          <w:sz w:val="18"/>
          <w:szCs w:val="18"/>
        </w:rPr>
        <w:t>New</w:t>
      </w:r>
      <w:r w:rsidRPr="000C71FB">
        <w:rPr>
          <w:color w:val="231F20"/>
          <w:spacing w:val="-2"/>
          <w:sz w:val="18"/>
          <w:szCs w:val="18"/>
        </w:rPr>
        <w:t xml:space="preserve"> </w:t>
      </w:r>
      <w:r w:rsidRPr="000C71FB">
        <w:rPr>
          <w:color w:val="231F20"/>
          <w:sz w:val="18"/>
          <w:szCs w:val="18"/>
        </w:rPr>
        <w:t>Zealand</w:t>
      </w:r>
      <w:r w:rsidRPr="000C71FB">
        <w:rPr>
          <w:color w:val="231F20"/>
          <w:spacing w:val="-2"/>
          <w:sz w:val="18"/>
          <w:szCs w:val="18"/>
        </w:rPr>
        <w:t xml:space="preserve"> </w:t>
      </w:r>
      <w:r w:rsidRPr="000C71FB">
        <w:rPr>
          <w:color w:val="231F20"/>
          <w:sz w:val="18"/>
          <w:szCs w:val="18"/>
        </w:rPr>
        <w:t>Policing</w:t>
      </w:r>
      <w:r w:rsidRPr="000C71FB">
        <w:rPr>
          <w:color w:val="231F20"/>
          <w:spacing w:val="-2"/>
          <w:sz w:val="18"/>
          <w:szCs w:val="18"/>
        </w:rPr>
        <w:t xml:space="preserve"> </w:t>
      </w:r>
      <w:r w:rsidRPr="000C71FB">
        <w:rPr>
          <w:color w:val="231F20"/>
          <w:sz w:val="18"/>
          <w:szCs w:val="18"/>
        </w:rPr>
        <w:t>Advisory</w:t>
      </w:r>
      <w:r w:rsidRPr="000C71FB">
        <w:rPr>
          <w:color w:val="231F20"/>
          <w:spacing w:val="-2"/>
          <w:sz w:val="18"/>
          <w:szCs w:val="18"/>
        </w:rPr>
        <w:t xml:space="preserve"> </w:t>
      </w:r>
      <w:r w:rsidRPr="000C71FB">
        <w:rPr>
          <w:color w:val="231F20"/>
          <w:sz w:val="18"/>
          <w:szCs w:val="18"/>
        </w:rPr>
        <w:t>Agency</w:t>
      </w:r>
      <w:r w:rsidRPr="000C71FB">
        <w:rPr>
          <w:color w:val="231F20"/>
          <w:spacing w:val="-2"/>
          <w:sz w:val="18"/>
          <w:szCs w:val="18"/>
        </w:rPr>
        <w:t xml:space="preserve"> </w:t>
      </w:r>
      <w:r w:rsidRPr="000C71FB">
        <w:rPr>
          <w:color w:val="231F20"/>
          <w:sz w:val="18"/>
          <w:szCs w:val="18"/>
        </w:rPr>
        <w:t>(ANZPAA)</w:t>
      </w:r>
      <w:r w:rsidRPr="000C71FB">
        <w:rPr>
          <w:color w:val="231F20"/>
          <w:spacing w:val="-2"/>
          <w:sz w:val="18"/>
          <w:szCs w:val="18"/>
        </w:rPr>
        <w:t xml:space="preserve"> </w:t>
      </w:r>
      <w:r w:rsidRPr="000C71FB">
        <w:rPr>
          <w:color w:val="231F20"/>
          <w:sz w:val="18"/>
          <w:szCs w:val="18"/>
        </w:rPr>
        <w:t>balances</w:t>
      </w:r>
      <w:r w:rsidRPr="000C71FB">
        <w:rPr>
          <w:color w:val="231F20"/>
          <w:spacing w:val="-2"/>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$68.4</w:t>
      </w:r>
      <w:r w:rsidRPr="000C71FB">
        <w:rPr>
          <w:color w:val="231F20"/>
          <w:spacing w:val="-2"/>
          <w:sz w:val="18"/>
          <w:szCs w:val="18"/>
        </w:rPr>
        <w:t xml:space="preserve"> </w:t>
      </w:r>
      <w:r w:rsidRPr="000C71FB">
        <w:rPr>
          <w:color w:val="231F20"/>
          <w:sz w:val="18"/>
          <w:szCs w:val="18"/>
        </w:rPr>
        <w:t>million</w:t>
      </w:r>
      <w:r w:rsidRPr="000C71FB">
        <w:rPr>
          <w:color w:val="231F20"/>
          <w:spacing w:val="-2"/>
          <w:sz w:val="18"/>
          <w:szCs w:val="18"/>
        </w:rPr>
        <w:t xml:space="preserve"> </w:t>
      </w:r>
      <w:r w:rsidRPr="000C71FB">
        <w:rPr>
          <w:color w:val="231F20"/>
          <w:sz w:val="18"/>
          <w:szCs w:val="18"/>
        </w:rPr>
        <w:t>and</w:t>
      </w:r>
      <w:r w:rsidRPr="000C71FB">
        <w:rPr>
          <w:color w:val="231F20"/>
          <w:spacing w:val="-2"/>
          <w:sz w:val="18"/>
          <w:szCs w:val="18"/>
        </w:rPr>
        <w:t xml:space="preserve"> </w:t>
      </w:r>
      <w:r w:rsidRPr="000C71FB">
        <w:rPr>
          <w:color w:val="231F20"/>
          <w:sz w:val="18"/>
          <w:szCs w:val="18"/>
        </w:rPr>
        <w:t>$3.1</w:t>
      </w:r>
      <w:r w:rsidRPr="000C71FB">
        <w:rPr>
          <w:color w:val="231F20"/>
          <w:spacing w:val="40"/>
          <w:sz w:val="18"/>
          <w:szCs w:val="18"/>
        </w:rPr>
        <w:t xml:space="preserve"> </w:t>
      </w:r>
      <w:r w:rsidRPr="000C71FB">
        <w:rPr>
          <w:color w:val="231F20"/>
          <w:sz w:val="18"/>
          <w:szCs w:val="18"/>
        </w:rPr>
        <w:t>million (2021: $73.4 million and $2.2 million) respectively.</w:t>
      </w:r>
    </w:p>
    <w:p w14:paraId="3D15F9E8" w14:textId="77777777" w:rsidR="00345EE3" w:rsidRPr="000C71FB" w:rsidRDefault="00345EE3">
      <w:pPr>
        <w:pStyle w:val="ListParagraph"/>
        <w:numPr>
          <w:ilvl w:val="0"/>
          <w:numId w:val="38"/>
        </w:numPr>
        <w:tabs>
          <w:tab w:val="left" w:pos="338"/>
        </w:tabs>
        <w:spacing w:before="26"/>
        <w:ind w:right="663"/>
        <w:rPr>
          <w:sz w:val="18"/>
          <w:szCs w:val="18"/>
        </w:rPr>
      </w:pPr>
      <w:r w:rsidRPr="000C71FB">
        <w:rPr>
          <w:color w:val="231F20"/>
          <w:sz w:val="18"/>
          <w:szCs w:val="18"/>
        </w:rPr>
        <w:t>The</w:t>
      </w:r>
      <w:r w:rsidRPr="000C71FB">
        <w:rPr>
          <w:color w:val="231F20"/>
          <w:spacing w:val="-1"/>
          <w:sz w:val="18"/>
          <w:szCs w:val="18"/>
        </w:rPr>
        <w:t xml:space="preserve"> </w:t>
      </w:r>
      <w:r w:rsidRPr="000C71FB">
        <w:rPr>
          <w:color w:val="231F20"/>
          <w:sz w:val="18"/>
          <w:szCs w:val="18"/>
        </w:rPr>
        <w:t>net</w:t>
      </w:r>
      <w:r w:rsidRPr="000C71FB">
        <w:rPr>
          <w:color w:val="231F20"/>
          <w:spacing w:val="-1"/>
          <w:sz w:val="18"/>
          <w:szCs w:val="18"/>
        </w:rPr>
        <w:t xml:space="preserve"> </w:t>
      </w:r>
      <w:r w:rsidRPr="000C71FB">
        <w:rPr>
          <w:color w:val="231F20"/>
          <w:sz w:val="18"/>
          <w:szCs w:val="18"/>
        </w:rPr>
        <w:t>administered</w:t>
      </w:r>
      <w:r w:rsidRPr="000C71FB">
        <w:rPr>
          <w:color w:val="231F20"/>
          <w:spacing w:val="-1"/>
          <w:sz w:val="18"/>
          <w:szCs w:val="18"/>
        </w:rPr>
        <w:t xml:space="preserve"> </w:t>
      </w:r>
      <w:r w:rsidRPr="000C71FB">
        <w:rPr>
          <w:color w:val="231F20"/>
          <w:sz w:val="18"/>
          <w:szCs w:val="18"/>
        </w:rPr>
        <w:t>assets</w:t>
      </w:r>
      <w:r w:rsidRPr="000C71FB">
        <w:rPr>
          <w:color w:val="231F20"/>
          <w:spacing w:val="-1"/>
          <w:sz w:val="18"/>
          <w:szCs w:val="18"/>
        </w:rPr>
        <w:t xml:space="preserve"> </w:t>
      </w:r>
      <w:r w:rsidRPr="000C71FB">
        <w:rPr>
          <w:color w:val="231F20"/>
          <w:sz w:val="18"/>
          <w:szCs w:val="18"/>
        </w:rPr>
        <w:t>position</w:t>
      </w:r>
      <w:r w:rsidRPr="000C71FB">
        <w:rPr>
          <w:color w:val="231F20"/>
          <w:spacing w:val="-1"/>
          <w:sz w:val="18"/>
          <w:szCs w:val="18"/>
        </w:rPr>
        <w:t xml:space="preserve"> </w:t>
      </w:r>
      <w:r w:rsidRPr="000C71FB">
        <w:rPr>
          <w:color w:val="231F20"/>
          <w:sz w:val="18"/>
          <w:szCs w:val="18"/>
        </w:rPr>
        <w:t>is</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result</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timing</w:t>
      </w:r>
      <w:r w:rsidRPr="000C71FB">
        <w:rPr>
          <w:color w:val="231F20"/>
          <w:spacing w:val="-1"/>
          <w:sz w:val="18"/>
          <w:szCs w:val="18"/>
        </w:rPr>
        <w:t xml:space="preserve"> </w:t>
      </w:r>
      <w:r w:rsidRPr="000C71FB">
        <w:rPr>
          <w:color w:val="231F20"/>
          <w:sz w:val="18"/>
          <w:szCs w:val="18"/>
        </w:rPr>
        <w:t>difference</w:t>
      </w:r>
      <w:r w:rsidRPr="000C71FB">
        <w:rPr>
          <w:color w:val="231F20"/>
          <w:spacing w:val="-1"/>
          <w:sz w:val="18"/>
          <w:szCs w:val="18"/>
        </w:rPr>
        <w:t xml:space="preserve"> </w:t>
      </w:r>
      <w:r w:rsidRPr="000C71FB">
        <w:rPr>
          <w:color w:val="231F20"/>
          <w:sz w:val="18"/>
          <w:szCs w:val="18"/>
        </w:rPr>
        <w:t>between</w:t>
      </w:r>
      <w:r w:rsidRPr="000C71FB">
        <w:rPr>
          <w:color w:val="231F20"/>
          <w:spacing w:val="-1"/>
          <w:sz w:val="18"/>
          <w:szCs w:val="18"/>
        </w:rPr>
        <w:t xml:space="preserve"> </w:t>
      </w:r>
      <w:r w:rsidRPr="000C71FB">
        <w:rPr>
          <w:color w:val="231F20"/>
          <w:sz w:val="18"/>
          <w:szCs w:val="18"/>
        </w:rPr>
        <w:t>financial</w:t>
      </w:r>
      <w:r w:rsidRPr="000C71FB">
        <w:rPr>
          <w:color w:val="231F20"/>
          <w:spacing w:val="-1"/>
          <w:sz w:val="18"/>
          <w:szCs w:val="18"/>
        </w:rPr>
        <w:t xml:space="preserve"> </w:t>
      </w:r>
      <w:r w:rsidRPr="000C71FB">
        <w:rPr>
          <w:color w:val="231F20"/>
          <w:sz w:val="18"/>
          <w:szCs w:val="18"/>
        </w:rPr>
        <w:t>years</w:t>
      </w:r>
      <w:r w:rsidRPr="000C71FB">
        <w:rPr>
          <w:color w:val="231F20"/>
          <w:spacing w:val="-1"/>
          <w:sz w:val="18"/>
          <w:szCs w:val="18"/>
        </w:rPr>
        <w:t xml:space="preserve"> </w:t>
      </w:r>
      <w:r w:rsidRPr="000C71FB">
        <w:rPr>
          <w:color w:val="231F20"/>
          <w:sz w:val="18"/>
          <w:szCs w:val="18"/>
        </w:rPr>
        <w:t>in</w:t>
      </w:r>
      <w:r w:rsidRPr="000C71FB">
        <w:rPr>
          <w:color w:val="231F20"/>
          <w:spacing w:val="-1"/>
          <w:sz w:val="18"/>
          <w:szCs w:val="18"/>
        </w:rPr>
        <w:t xml:space="preserve"> </w:t>
      </w:r>
      <w:r w:rsidRPr="000C71FB">
        <w:rPr>
          <w:color w:val="231F20"/>
          <w:sz w:val="18"/>
          <w:szCs w:val="18"/>
        </w:rPr>
        <w:t>regard</w:t>
      </w:r>
      <w:r w:rsidRPr="000C71FB">
        <w:rPr>
          <w:color w:val="231F20"/>
          <w:spacing w:val="-1"/>
          <w:sz w:val="18"/>
          <w:szCs w:val="18"/>
        </w:rPr>
        <w:t xml:space="preserve"> </w:t>
      </w:r>
      <w:r w:rsidRPr="000C71FB">
        <w:rPr>
          <w:color w:val="231F20"/>
          <w:sz w:val="18"/>
          <w:szCs w:val="18"/>
        </w:rPr>
        <w:t>to</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receipts</w:t>
      </w:r>
      <w:r w:rsidRPr="000C71FB">
        <w:rPr>
          <w:color w:val="231F20"/>
          <w:spacing w:val="-1"/>
          <w:sz w:val="18"/>
          <w:szCs w:val="18"/>
        </w:rPr>
        <w:t xml:space="preserve"> </w:t>
      </w:r>
      <w:r w:rsidRPr="000C71FB">
        <w:rPr>
          <w:color w:val="231F20"/>
          <w:sz w:val="18"/>
          <w:szCs w:val="18"/>
        </w:rPr>
        <w:t>and</w:t>
      </w:r>
      <w:r w:rsidRPr="000C71FB">
        <w:rPr>
          <w:color w:val="231F20"/>
          <w:spacing w:val="-1"/>
          <w:sz w:val="18"/>
          <w:szCs w:val="18"/>
        </w:rPr>
        <w:t xml:space="preserve"> </w:t>
      </w:r>
      <w:r w:rsidRPr="000C71FB">
        <w:rPr>
          <w:color w:val="231F20"/>
          <w:sz w:val="18"/>
          <w:szCs w:val="18"/>
        </w:rPr>
        <w:t>payments</w:t>
      </w:r>
      <w:r w:rsidRPr="000C71FB">
        <w:rPr>
          <w:color w:val="231F20"/>
          <w:spacing w:val="-1"/>
          <w:sz w:val="18"/>
          <w:szCs w:val="18"/>
        </w:rPr>
        <w:t xml:space="preserve"> </w:t>
      </w:r>
      <w:r w:rsidRPr="000C71FB">
        <w:rPr>
          <w:color w:val="231F20"/>
          <w:sz w:val="18"/>
          <w:szCs w:val="18"/>
        </w:rPr>
        <w:t>associated</w:t>
      </w:r>
      <w:r w:rsidRPr="000C71FB">
        <w:rPr>
          <w:color w:val="231F20"/>
          <w:spacing w:val="-1"/>
          <w:sz w:val="18"/>
          <w:szCs w:val="18"/>
        </w:rPr>
        <w:t xml:space="preserve"> </w:t>
      </w:r>
      <w:r w:rsidRPr="000C71FB">
        <w:rPr>
          <w:color w:val="231F20"/>
          <w:sz w:val="18"/>
          <w:szCs w:val="18"/>
        </w:rPr>
        <w:t>with</w:t>
      </w:r>
      <w:r w:rsidRPr="000C71FB">
        <w:rPr>
          <w:color w:val="231F20"/>
          <w:spacing w:val="-1"/>
          <w:sz w:val="18"/>
          <w:szCs w:val="18"/>
        </w:rPr>
        <w:t xml:space="preserve"> </w:t>
      </w:r>
      <w:r w:rsidRPr="000C71FB">
        <w:rPr>
          <w:color w:val="231F20"/>
          <w:sz w:val="18"/>
          <w:szCs w:val="18"/>
        </w:rPr>
        <w:t>the</w:t>
      </w:r>
      <w:r w:rsidRPr="000C71FB">
        <w:rPr>
          <w:color w:val="231F20"/>
          <w:spacing w:val="40"/>
          <w:sz w:val="18"/>
          <w:szCs w:val="18"/>
        </w:rPr>
        <w:t xml:space="preserve"> </w:t>
      </w:r>
      <w:r w:rsidRPr="000C71FB">
        <w:rPr>
          <w:color w:val="231F20"/>
          <w:sz w:val="18"/>
          <w:szCs w:val="18"/>
        </w:rPr>
        <w:t>Consolidated</w:t>
      </w:r>
      <w:r w:rsidRPr="000C71FB">
        <w:rPr>
          <w:color w:val="231F20"/>
          <w:spacing w:val="-8"/>
          <w:sz w:val="18"/>
          <w:szCs w:val="18"/>
        </w:rPr>
        <w:t xml:space="preserve"> </w:t>
      </w:r>
      <w:r w:rsidRPr="000C71FB">
        <w:rPr>
          <w:color w:val="231F20"/>
          <w:sz w:val="18"/>
          <w:szCs w:val="18"/>
        </w:rPr>
        <w:t>Fund.</w:t>
      </w:r>
    </w:p>
    <w:p w14:paraId="0F2105B6" w14:textId="77777777" w:rsidR="00345EE3" w:rsidRDefault="00345EE3" w:rsidP="00345EE3">
      <w:pPr>
        <w:rPr>
          <w:sz w:val="13"/>
          <w:szCs w:val="24"/>
        </w:rPr>
      </w:pPr>
      <w:r>
        <w:rPr>
          <w:sz w:val="13"/>
          <w:szCs w:val="24"/>
        </w:rPr>
        <w:br w:type="page"/>
      </w:r>
    </w:p>
    <w:p w14:paraId="00E4D516" w14:textId="77777777" w:rsidR="00345EE3" w:rsidRPr="00E528CF" w:rsidRDefault="00345EE3">
      <w:pPr>
        <w:pStyle w:val="Heading2"/>
        <w:numPr>
          <w:ilvl w:val="0"/>
          <w:numId w:val="44"/>
        </w:numPr>
        <w:tabs>
          <w:tab w:val="left" w:pos="464"/>
        </w:tabs>
        <w:spacing w:before="0"/>
        <w:ind w:left="463" w:hanging="354"/>
        <w:rPr>
          <w:sz w:val="32"/>
          <w:szCs w:val="32"/>
        </w:rPr>
      </w:pPr>
      <w:r w:rsidRPr="00E528CF">
        <w:rPr>
          <w:color w:val="00529F"/>
          <w:sz w:val="32"/>
          <w:szCs w:val="32"/>
        </w:rPr>
        <w:t>Key</w:t>
      </w:r>
      <w:r w:rsidRPr="00E528CF">
        <w:rPr>
          <w:color w:val="00529F"/>
          <w:spacing w:val="-16"/>
          <w:sz w:val="32"/>
          <w:szCs w:val="32"/>
        </w:rPr>
        <w:t xml:space="preserve"> </w:t>
      </w:r>
      <w:r w:rsidRPr="00E528CF">
        <w:rPr>
          <w:color w:val="00529F"/>
          <w:sz w:val="32"/>
          <w:szCs w:val="32"/>
        </w:rPr>
        <w:t>Assets</w:t>
      </w:r>
      <w:r w:rsidRPr="00E528CF">
        <w:rPr>
          <w:color w:val="00529F"/>
          <w:spacing w:val="-14"/>
          <w:sz w:val="32"/>
          <w:szCs w:val="32"/>
        </w:rPr>
        <w:t xml:space="preserve"> </w:t>
      </w:r>
      <w:r w:rsidRPr="00E528CF">
        <w:rPr>
          <w:color w:val="00529F"/>
          <w:sz w:val="32"/>
          <w:szCs w:val="32"/>
        </w:rPr>
        <w:t>Available</w:t>
      </w:r>
      <w:r w:rsidRPr="00E528CF">
        <w:rPr>
          <w:color w:val="00529F"/>
          <w:spacing w:val="-15"/>
          <w:sz w:val="32"/>
          <w:szCs w:val="32"/>
        </w:rPr>
        <w:t xml:space="preserve"> </w:t>
      </w:r>
      <w:r w:rsidRPr="00E528CF">
        <w:rPr>
          <w:color w:val="00529F"/>
          <w:sz w:val="32"/>
          <w:szCs w:val="32"/>
        </w:rPr>
        <w:t>to</w:t>
      </w:r>
      <w:r w:rsidRPr="00E528CF">
        <w:rPr>
          <w:color w:val="00529F"/>
          <w:spacing w:val="-15"/>
          <w:sz w:val="32"/>
          <w:szCs w:val="32"/>
        </w:rPr>
        <w:t xml:space="preserve"> </w:t>
      </w:r>
      <w:r w:rsidRPr="00E528CF">
        <w:rPr>
          <w:color w:val="00529F"/>
          <w:sz w:val="32"/>
          <w:szCs w:val="32"/>
        </w:rPr>
        <w:t>Support</w:t>
      </w:r>
      <w:r w:rsidRPr="00E528CF">
        <w:rPr>
          <w:color w:val="00529F"/>
          <w:spacing w:val="-14"/>
          <w:sz w:val="32"/>
          <w:szCs w:val="32"/>
        </w:rPr>
        <w:t xml:space="preserve"> </w:t>
      </w:r>
      <w:r w:rsidRPr="00E528CF">
        <w:rPr>
          <w:color w:val="00529F"/>
          <w:sz w:val="32"/>
          <w:szCs w:val="32"/>
        </w:rPr>
        <w:t>Output</w:t>
      </w:r>
      <w:r w:rsidRPr="00E528CF">
        <w:rPr>
          <w:color w:val="00529F"/>
          <w:spacing w:val="-13"/>
          <w:sz w:val="32"/>
          <w:szCs w:val="32"/>
        </w:rPr>
        <w:t xml:space="preserve"> </w:t>
      </w:r>
      <w:r w:rsidRPr="00E528CF">
        <w:rPr>
          <w:color w:val="00529F"/>
          <w:spacing w:val="-2"/>
          <w:sz w:val="32"/>
          <w:szCs w:val="32"/>
        </w:rPr>
        <w:t>Delivery</w:t>
      </w:r>
    </w:p>
    <w:p w14:paraId="65CF68C8" w14:textId="77777777" w:rsidR="00345EE3" w:rsidRDefault="00345EE3" w:rsidP="002A27BA">
      <w:pPr>
        <w:pStyle w:val="Heading3"/>
      </w:pPr>
      <w:r>
        <w:t>Introduction</w:t>
      </w:r>
    </w:p>
    <w:p w14:paraId="60F3BEE9" w14:textId="77777777" w:rsidR="00345EE3" w:rsidRDefault="00345EE3" w:rsidP="00345EE3">
      <w:pPr>
        <w:pStyle w:val="BodyText"/>
        <w:spacing w:before="52" w:line="242" w:lineRule="auto"/>
      </w:pPr>
      <w:r>
        <w:rPr>
          <w:color w:val="231F20"/>
        </w:rPr>
        <w:t>Victoria Police controls property, plant and equipment and intangible assets that are utilised in fulfilling</w:t>
      </w:r>
      <w:r>
        <w:rPr>
          <w:color w:val="231F20"/>
          <w:spacing w:val="-11"/>
        </w:rPr>
        <w:t xml:space="preserve"> </w:t>
      </w:r>
      <w:r>
        <w:rPr>
          <w:color w:val="231F20"/>
        </w:rPr>
        <w:t>its</w:t>
      </w:r>
      <w:r>
        <w:rPr>
          <w:color w:val="231F20"/>
          <w:spacing w:val="-10"/>
        </w:rPr>
        <w:t xml:space="preserve"> </w:t>
      </w:r>
      <w:r>
        <w:rPr>
          <w:color w:val="231F20"/>
        </w:rPr>
        <w:t>objectives</w:t>
      </w:r>
      <w:r>
        <w:rPr>
          <w:color w:val="231F20"/>
          <w:spacing w:val="-10"/>
        </w:rPr>
        <w:t xml:space="preserve"> </w:t>
      </w:r>
      <w:r>
        <w:rPr>
          <w:color w:val="231F20"/>
        </w:rPr>
        <w:t>and</w:t>
      </w:r>
      <w:r>
        <w:rPr>
          <w:color w:val="231F20"/>
          <w:spacing w:val="-11"/>
        </w:rPr>
        <w:t xml:space="preserve"> </w:t>
      </w:r>
      <w:r>
        <w:rPr>
          <w:color w:val="231F20"/>
        </w:rPr>
        <w:t>conducting</w:t>
      </w:r>
      <w:r>
        <w:rPr>
          <w:color w:val="231F20"/>
          <w:spacing w:val="-11"/>
        </w:rPr>
        <w:t xml:space="preserve"> </w:t>
      </w:r>
      <w:r>
        <w:rPr>
          <w:color w:val="231F20"/>
        </w:rPr>
        <w:t>its</w:t>
      </w:r>
      <w:r>
        <w:rPr>
          <w:color w:val="231F20"/>
          <w:spacing w:val="-10"/>
        </w:rPr>
        <w:t xml:space="preserve"> </w:t>
      </w:r>
      <w:r>
        <w:rPr>
          <w:color w:val="231F20"/>
        </w:rPr>
        <w:t>activities.</w:t>
      </w:r>
      <w:r>
        <w:rPr>
          <w:color w:val="231F20"/>
          <w:spacing w:val="-10"/>
        </w:rPr>
        <w:t xml:space="preserve"> </w:t>
      </w:r>
      <w:r>
        <w:rPr>
          <w:color w:val="231F20"/>
        </w:rPr>
        <w:t>They</w:t>
      </w:r>
      <w:r>
        <w:rPr>
          <w:color w:val="231F20"/>
          <w:spacing w:val="-10"/>
        </w:rPr>
        <w:t xml:space="preserve"> </w:t>
      </w:r>
      <w:r>
        <w:rPr>
          <w:color w:val="231F20"/>
        </w:rPr>
        <w:t>represent</w:t>
      </w:r>
      <w:r>
        <w:rPr>
          <w:color w:val="231F20"/>
          <w:spacing w:val="-10"/>
        </w:rPr>
        <w:t xml:space="preserve"> </w:t>
      </w:r>
      <w:r>
        <w:rPr>
          <w:color w:val="231F20"/>
        </w:rPr>
        <w:t>the</w:t>
      </w:r>
      <w:r>
        <w:rPr>
          <w:color w:val="231F20"/>
          <w:spacing w:val="-11"/>
        </w:rPr>
        <w:t xml:space="preserve"> </w:t>
      </w:r>
      <w:r>
        <w:rPr>
          <w:color w:val="231F20"/>
        </w:rPr>
        <w:t>resources</w:t>
      </w:r>
      <w:r>
        <w:rPr>
          <w:color w:val="231F20"/>
          <w:spacing w:val="-10"/>
        </w:rPr>
        <w:t xml:space="preserve"> </w:t>
      </w:r>
      <w:r>
        <w:rPr>
          <w:color w:val="231F20"/>
        </w:rPr>
        <w:t>that</w:t>
      </w:r>
      <w:r>
        <w:rPr>
          <w:color w:val="231F20"/>
          <w:spacing w:val="-10"/>
        </w:rPr>
        <w:t xml:space="preserve"> </w:t>
      </w:r>
      <w:r>
        <w:rPr>
          <w:color w:val="231F20"/>
        </w:rPr>
        <w:t>have</w:t>
      </w:r>
      <w:r>
        <w:rPr>
          <w:color w:val="231F20"/>
          <w:spacing w:val="-11"/>
        </w:rPr>
        <w:t xml:space="preserve"> </w:t>
      </w:r>
      <w:r>
        <w:rPr>
          <w:color w:val="231F20"/>
        </w:rPr>
        <w:t>been entrusted to Victoria Police to be utilised for delivery of those outputs.</w:t>
      </w:r>
    </w:p>
    <w:p w14:paraId="01EFD86D" w14:textId="77777777" w:rsidR="00345EE3" w:rsidRDefault="00345EE3" w:rsidP="00345EE3">
      <w:pPr>
        <w:pStyle w:val="BodyText"/>
        <w:spacing w:before="117" w:line="242" w:lineRule="auto"/>
      </w:pPr>
      <w:r>
        <w:rPr>
          <w:color w:val="231F20"/>
        </w:rPr>
        <w:t>Where the assets included in this section are carried at fair value, additional information is disclosed</w:t>
      </w:r>
      <w:r>
        <w:rPr>
          <w:color w:val="231F20"/>
          <w:spacing w:val="-10"/>
        </w:rPr>
        <w:t xml:space="preserve"> </w:t>
      </w:r>
      <w:r>
        <w:rPr>
          <w:color w:val="231F20"/>
        </w:rPr>
        <w:t>in</w:t>
      </w:r>
      <w:r>
        <w:rPr>
          <w:color w:val="231F20"/>
          <w:spacing w:val="-10"/>
        </w:rPr>
        <w:t xml:space="preserve"> </w:t>
      </w:r>
      <w:r>
        <w:rPr>
          <w:color w:val="231F20"/>
        </w:rPr>
        <w:t>Note</w:t>
      </w:r>
      <w:r>
        <w:rPr>
          <w:color w:val="231F20"/>
          <w:spacing w:val="-10"/>
        </w:rPr>
        <w:t xml:space="preserve"> </w:t>
      </w:r>
      <w:r>
        <w:rPr>
          <w:color w:val="231F20"/>
        </w:rPr>
        <w:t>8.3</w:t>
      </w:r>
      <w:r>
        <w:rPr>
          <w:color w:val="231F20"/>
          <w:spacing w:val="-9"/>
        </w:rPr>
        <w:t xml:space="preserve"> </w:t>
      </w:r>
      <w:r>
        <w:rPr>
          <w:color w:val="231F20"/>
        </w:rPr>
        <w:t>Fair</w:t>
      </w:r>
      <w:r>
        <w:rPr>
          <w:color w:val="231F20"/>
          <w:spacing w:val="-9"/>
        </w:rPr>
        <w:t xml:space="preserve"> </w:t>
      </w:r>
      <w:r>
        <w:rPr>
          <w:color w:val="231F20"/>
        </w:rPr>
        <w:t>Value</w:t>
      </w:r>
      <w:r>
        <w:rPr>
          <w:color w:val="231F20"/>
          <w:spacing w:val="-10"/>
        </w:rPr>
        <w:t xml:space="preserve"> </w:t>
      </w:r>
      <w:r>
        <w:rPr>
          <w:color w:val="231F20"/>
        </w:rPr>
        <w:t>Determination</w:t>
      </w:r>
      <w:r>
        <w:rPr>
          <w:color w:val="231F20"/>
          <w:spacing w:val="-10"/>
        </w:rPr>
        <w:t xml:space="preserve"> </w:t>
      </w:r>
      <w:r>
        <w:rPr>
          <w:color w:val="231F20"/>
        </w:rPr>
        <w:t>in</w:t>
      </w:r>
      <w:r>
        <w:rPr>
          <w:color w:val="231F20"/>
          <w:spacing w:val="-10"/>
        </w:rPr>
        <w:t xml:space="preserve"> </w:t>
      </w:r>
      <w:r>
        <w:rPr>
          <w:color w:val="231F20"/>
        </w:rPr>
        <w:t>connection</w:t>
      </w:r>
      <w:r>
        <w:rPr>
          <w:color w:val="231F20"/>
          <w:spacing w:val="-10"/>
        </w:rPr>
        <w:t xml:space="preserve"> </w:t>
      </w:r>
      <w:r>
        <w:rPr>
          <w:color w:val="231F20"/>
        </w:rPr>
        <w:t>with</w:t>
      </w:r>
      <w:r>
        <w:rPr>
          <w:color w:val="231F20"/>
          <w:spacing w:val="-10"/>
        </w:rPr>
        <w:t xml:space="preserve"> </w:t>
      </w:r>
      <w:r>
        <w:rPr>
          <w:color w:val="231F20"/>
        </w:rPr>
        <w:t>how</w:t>
      </w:r>
      <w:r>
        <w:rPr>
          <w:color w:val="231F20"/>
          <w:spacing w:val="-10"/>
        </w:rPr>
        <w:t xml:space="preserve"> </w:t>
      </w:r>
      <w:r>
        <w:rPr>
          <w:color w:val="231F20"/>
        </w:rPr>
        <w:t>those</w:t>
      </w:r>
      <w:r>
        <w:rPr>
          <w:color w:val="231F20"/>
          <w:spacing w:val="-10"/>
        </w:rPr>
        <w:t xml:space="preserve"> </w:t>
      </w:r>
      <w:r>
        <w:rPr>
          <w:color w:val="231F20"/>
        </w:rPr>
        <w:t>fair</w:t>
      </w:r>
      <w:r>
        <w:rPr>
          <w:color w:val="231F20"/>
          <w:spacing w:val="-9"/>
        </w:rPr>
        <w:t xml:space="preserve"> </w:t>
      </w:r>
      <w:r>
        <w:rPr>
          <w:color w:val="231F20"/>
        </w:rPr>
        <w:t>values</w:t>
      </w:r>
      <w:r>
        <w:rPr>
          <w:color w:val="231F20"/>
          <w:spacing w:val="-9"/>
        </w:rPr>
        <w:t xml:space="preserve"> </w:t>
      </w:r>
      <w:r>
        <w:rPr>
          <w:color w:val="231F20"/>
        </w:rPr>
        <w:t xml:space="preserve">were </w:t>
      </w:r>
      <w:r>
        <w:rPr>
          <w:color w:val="231F20"/>
          <w:spacing w:val="-2"/>
        </w:rPr>
        <w:t>determined.</w:t>
      </w:r>
    </w:p>
    <w:p w14:paraId="694E70A9" w14:textId="77777777" w:rsidR="00345EE3" w:rsidRDefault="00345EE3" w:rsidP="00345EE3">
      <w:pPr>
        <w:pStyle w:val="BodyText"/>
        <w:spacing w:before="2"/>
        <w:rPr>
          <w:sz w:val="12"/>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34"/>
        <w:gridCol w:w="7937"/>
        <w:gridCol w:w="1134"/>
      </w:tblGrid>
      <w:tr w:rsidR="00345EE3" w14:paraId="36131E4C" w14:textId="77777777" w:rsidTr="00D73130">
        <w:trPr>
          <w:trHeight w:val="401"/>
        </w:trPr>
        <w:tc>
          <w:tcPr>
            <w:tcW w:w="1134" w:type="dxa"/>
            <w:tcBorders>
              <w:top w:val="nil"/>
              <w:left w:val="nil"/>
              <w:bottom w:val="nil"/>
              <w:right w:val="nil"/>
            </w:tcBorders>
            <w:shd w:val="clear" w:color="auto" w:fill="00529F"/>
          </w:tcPr>
          <w:p w14:paraId="014503E7" w14:textId="77777777" w:rsidR="00345EE3" w:rsidRDefault="00345EE3" w:rsidP="00D73130">
            <w:pPr>
              <w:pStyle w:val="TableParagraph"/>
              <w:spacing w:before="63"/>
              <w:jc w:val="left"/>
              <w:rPr>
                <w:b/>
                <w:sz w:val="24"/>
              </w:rPr>
            </w:pPr>
            <w:r>
              <w:rPr>
                <w:b/>
                <w:color w:val="FFFFFF"/>
                <w:spacing w:val="-2"/>
                <w:sz w:val="24"/>
              </w:rPr>
              <w:t>Structure</w:t>
            </w:r>
          </w:p>
        </w:tc>
        <w:tc>
          <w:tcPr>
            <w:tcW w:w="7937" w:type="dxa"/>
            <w:tcBorders>
              <w:top w:val="nil"/>
              <w:left w:val="nil"/>
              <w:bottom w:val="nil"/>
              <w:right w:val="nil"/>
            </w:tcBorders>
            <w:shd w:val="clear" w:color="auto" w:fill="00529F"/>
          </w:tcPr>
          <w:p w14:paraId="4FB36CBD"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315F74DD" w14:textId="77777777" w:rsidR="00345EE3" w:rsidRDefault="00345EE3" w:rsidP="00D73130">
            <w:pPr>
              <w:pStyle w:val="TableParagraph"/>
              <w:spacing w:before="63"/>
              <w:rPr>
                <w:b/>
                <w:sz w:val="24"/>
              </w:rPr>
            </w:pPr>
            <w:r>
              <w:rPr>
                <w:b/>
                <w:color w:val="FFFFFF"/>
                <w:spacing w:val="-2"/>
                <w:sz w:val="24"/>
              </w:rPr>
              <w:t>Pages</w:t>
            </w:r>
          </w:p>
        </w:tc>
      </w:tr>
      <w:tr w:rsidR="00345EE3" w14:paraId="4A778A86" w14:textId="77777777" w:rsidTr="00D73130">
        <w:trPr>
          <w:trHeight w:val="398"/>
        </w:trPr>
        <w:tc>
          <w:tcPr>
            <w:tcW w:w="1134" w:type="dxa"/>
            <w:tcBorders>
              <w:top w:val="nil"/>
              <w:left w:val="nil"/>
            </w:tcBorders>
          </w:tcPr>
          <w:p w14:paraId="167E258D" w14:textId="77777777" w:rsidR="00345EE3" w:rsidRDefault="00345EE3" w:rsidP="00D73130">
            <w:pPr>
              <w:pStyle w:val="TableParagraph"/>
              <w:spacing w:before="63"/>
              <w:ind w:left="-3"/>
              <w:jc w:val="left"/>
              <w:rPr>
                <w:sz w:val="24"/>
              </w:rPr>
            </w:pPr>
            <w:r>
              <w:rPr>
                <w:color w:val="231F20"/>
                <w:spacing w:val="-5"/>
                <w:sz w:val="24"/>
              </w:rPr>
              <w:t>5.1</w:t>
            </w:r>
          </w:p>
        </w:tc>
        <w:tc>
          <w:tcPr>
            <w:tcW w:w="7937" w:type="dxa"/>
            <w:tcBorders>
              <w:top w:val="nil"/>
            </w:tcBorders>
          </w:tcPr>
          <w:p w14:paraId="007340D5" w14:textId="77777777" w:rsidR="00345EE3" w:rsidRDefault="00345EE3" w:rsidP="00D73130">
            <w:pPr>
              <w:pStyle w:val="TableParagraph"/>
              <w:spacing w:before="63"/>
              <w:ind w:left="-1"/>
              <w:jc w:val="left"/>
              <w:rPr>
                <w:sz w:val="24"/>
              </w:rPr>
            </w:pPr>
            <w:r>
              <w:rPr>
                <w:color w:val="231F20"/>
                <w:sz w:val="24"/>
              </w:rPr>
              <w:t>Property,</w:t>
            </w:r>
            <w:r>
              <w:rPr>
                <w:color w:val="231F20"/>
                <w:spacing w:val="-7"/>
                <w:sz w:val="24"/>
              </w:rPr>
              <w:t xml:space="preserve"> </w:t>
            </w:r>
            <w:r>
              <w:rPr>
                <w:color w:val="231F20"/>
                <w:sz w:val="24"/>
              </w:rPr>
              <w:t>Plant</w:t>
            </w:r>
            <w:r>
              <w:rPr>
                <w:color w:val="231F20"/>
                <w:spacing w:val="-7"/>
                <w:sz w:val="24"/>
              </w:rPr>
              <w:t xml:space="preserve"> </w:t>
            </w:r>
            <w:r>
              <w:rPr>
                <w:color w:val="231F20"/>
                <w:sz w:val="24"/>
              </w:rPr>
              <w:t>and</w:t>
            </w:r>
            <w:r>
              <w:rPr>
                <w:color w:val="231F20"/>
                <w:spacing w:val="-7"/>
                <w:sz w:val="24"/>
              </w:rPr>
              <w:t xml:space="preserve"> </w:t>
            </w:r>
            <w:r>
              <w:rPr>
                <w:color w:val="231F20"/>
                <w:spacing w:val="-2"/>
                <w:sz w:val="24"/>
              </w:rPr>
              <w:t>Equipment</w:t>
            </w:r>
          </w:p>
        </w:tc>
        <w:tc>
          <w:tcPr>
            <w:tcW w:w="1134" w:type="dxa"/>
            <w:tcBorders>
              <w:top w:val="nil"/>
              <w:right w:val="nil"/>
            </w:tcBorders>
          </w:tcPr>
          <w:p w14:paraId="608ADE1B" w14:textId="22A63AD4" w:rsidR="00345EE3" w:rsidRDefault="000C235A" w:rsidP="00D73130">
            <w:pPr>
              <w:pStyle w:val="TableParagraph"/>
              <w:spacing w:before="63"/>
              <w:rPr>
                <w:sz w:val="24"/>
              </w:rPr>
            </w:pPr>
            <w:r>
              <w:rPr>
                <w:color w:val="231F20"/>
                <w:spacing w:val="-3"/>
                <w:sz w:val="24"/>
              </w:rPr>
              <w:t>132-141</w:t>
            </w:r>
          </w:p>
        </w:tc>
      </w:tr>
      <w:tr w:rsidR="00345EE3" w14:paraId="720C6BB5" w14:textId="77777777" w:rsidTr="00D73130">
        <w:trPr>
          <w:trHeight w:val="396"/>
        </w:trPr>
        <w:tc>
          <w:tcPr>
            <w:tcW w:w="1134" w:type="dxa"/>
            <w:tcBorders>
              <w:left w:val="nil"/>
            </w:tcBorders>
          </w:tcPr>
          <w:p w14:paraId="670A1E61" w14:textId="77777777" w:rsidR="00345EE3" w:rsidRDefault="00345EE3" w:rsidP="00D73130">
            <w:pPr>
              <w:pStyle w:val="TableParagraph"/>
              <w:ind w:left="-3"/>
              <w:jc w:val="left"/>
              <w:rPr>
                <w:sz w:val="24"/>
              </w:rPr>
            </w:pPr>
            <w:r>
              <w:rPr>
                <w:color w:val="231F20"/>
                <w:spacing w:val="-5"/>
                <w:sz w:val="24"/>
              </w:rPr>
              <w:t>5.2</w:t>
            </w:r>
          </w:p>
        </w:tc>
        <w:tc>
          <w:tcPr>
            <w:tcW w:w="7937" w:type="dxa"/>
          </w:tcPr>
          <w:p w14:paraId="0A3C5811" w14:textId="77777777" w:rsidR="00345EE3" w:rsidRDefault="00345EE3" w:rsidP="00D73130">
            <w:pPr>
              <w:pStyle w:val="TableParagraph"/>
              <w:ind w:left="-1"/>
              <w:jc w:val="left"/>
              <w:rPr>
                <w:sz w:val="24"/>
              </w:rPr>
            </w:pPr>
            <w:r>
              <w:rPr>
                <w:color w:val="231F20"/>
                <w:sz w:val="24"/>
              </w:rPr>
              <w:t>Intangible</w:t>
            </w:r>
            <w:r>
              <w:rPr>
                <w:color w:val="231F20"/>
                <w:spacing w:val="-13"/>
                <w:sz w:val="24"/>
              </w:rPr>
              <w:t xml:space="preserve"> </w:t>
            </w:r>
            <w:r>
              <w:rPr>
                <w:color w:val="231F20"/>
                <w:spacing w:val="-2"/>
                <w:sz w:val="24"/>
              </w:rPr>
              <w:t>Assets</w:t>
            </w:r>
          </w:p>
        </w:tc>
        <w:tc>
          <w:tcPr>
            <w:tcW w:w="1134" w:type="dxa"/>
            <w:tcBorders>
              <w:right w:val="nil"/>
            </w:tcBorders>
          </w:tcPr>
          <w:p w14:paraId="480B3C12" w14:textId="691AF9E5" w:rsidR="00345EE3" w:rsidRDefault="000C235A" w:rsidP="00D73130">
            <w:pPr>
              <w:pStyle w:val="TableParagraph"/>
              <w:rPr>
                <w:sz w:val="24"/>
              </w:rPr>
            </w:pPr>
            <w:r>
              <w:rPr>
                <w:color w:val="231F20"/>
                <w:spacing w:val="-5"/>
                <w:sz w:val="24"/>
              </w:rPr>
              <w:t>142-143</w:t>
            </w:r>
          </w:p>
        </w:tc>
      </w:tr>
      <w:tr w:rsidR="00345EE3" w14:paraId="36B08A3E" w14:textId="77777777" w:rsidTr="00D73130">
        <w:trPr>
          <w:trHeight w:val="396"/>
        </w:trPr>
        <w:tc>
          <w:tcPr>
            <w:tcW w:w="1134" w:type="dxa"/>
            <w:tcBorders>
              <w:left w:val="nil"/>
            </w:tcBorders>
          </w:tcPr>
          <w:p w14:paraId="618CF18B" w14:textId="77777777" w:rsidR="00345EE3" w:rsidRDefault="00345EE3" w:rsidP="00D73130">
            <w:pPr>
              <w:pStyle w:val="TableParagraph"/>
              <w:ind w:left="-3"/>
              <w:jc w:val="left"/>
              <w:rPr>
                <w:sz w:val="24"/>
              </w:rPr>
            </w:pPr>
            <w:r>
              <w:rPr>
                <w:color w:val="231F20"/>
                <w:spacing w:val="-5"/>
                <w:sz w:val="24"/>
              </w:rPr>
              <w:t>5.3</w:t>
            </w:r>
          </w:p>
        </w:tc>
        <w:tc>
          <w:tcPr>
            <w:tcW w:w="7937" w:type="dxa"/>
          </w:tcPr>
          <w:p w14:paraId="771B45D2" w14:textId="77777777" w:rsidR="00345EE3" w:rsidRDefault="00345EE3" w:rsidP="00D73130">
            <w:pPr>
              <w:pStyle w:val="TableParagraph"/>
              <w:ind w:left="-1"/>
              <w:jc w:val="left"/>
              <w:rPr>
                <w:sz w:val="24"/>
              </w:rPr>
            </w:pPr>
            <w:r>
              <w:rPr>
                <w:color w:val="231F20"/>
                <w:sz w:val="24"/>
              </w:rPr>
              <w:t>Physical</w:t>
            </w:r>
            <w:r>
              <w:rPr>
                <w:color w:val="231F20"/>
                <w:spacing w:val="-17"/>
                <w:sz w:val="24"/>
              </w:rPr>
              <w:t xml:space="preserve"> </w:t>
            </w:r>
            <w:r>
              <w:rPr>
                <w:color w:val="231F20"/>
                <w:sz w:val="24"/>
              </w:rPr>
              <w:t>Asset</w:t>
            </w:r>
            <w:r>
              <w:rPr>
                <w:color w:val="231F20"/>
                <w:spacing w:val="-4"/>
                <w:sz w:val="24"/>
              </w:rPr>
              <w:t xml:space="preserve"> </w:t>
            </w:r>
            <w:r>
              <w:rPr>
                <w:color w:val="231F20"/>
                <w:sz w:val="24"/>
              </w:rPr>
              <w:t>Revaluation</w:t>
            </w:r>
            <w:r>
              <w:rPr>
                <w:color w:val="231F20"/>
                <w:spacing w:val="-4"/>
                <w:sz w:val="24"/>
              </w:rPr>
              <w:t xml:space="preserve"> </w:t>
            </w:r>
            <w:r>
              <w:rPr>
                <w:color w:val="231F20"/>
                <w:spacing w:val="-2"/>
                <w:sz w:val="24"/>
              </w:rPr>
              <w:t>Surplus</w:t>
            </w:r>
          </w:p>
        </w:tc>
        <w:tc>
          <w:tcPr>
            <w:tcW w:w="1134" w:type="dxa"/>
            <w:tcBorders>
              <w:right w:val="nil"/>
            </w:tcBorders>
          </w:tcPr>
          <w:p w14:paraId="6C5291CE" w14:textId="7BAD193C" w:rsidR="00345EE3" w:rsidRDefault="000C235A" w:rsidP="00D73130">
            <w:pPr>
              <w:pStyle w:val="TableParagraph"/>
              <w:rPr>
                <w:sz w:val="24"/>
              </w:rPr>
            </w:pPr>
            <w:r>
              <w:rPr>
                <w:color w:val="231F20"/>
                <w:spacing w:val="-3"/>
                <w:sz w:val="24"/>
              </w:rPr>
              <w:t>143-144</w:t>
            </w:r>
          </w:p>
        </w:tc>
      </w:tr>
    </w:tbl>
    <w:p w14:paraId="2DB4307C" w14:textId="77777777" w:rsidR="00345EE3" w:rsidRDefault="00345EE3" w:rsidP="00345EE3">
      <w:pPr>
        <w:rPr>
          <w:sz w:val="8"/>
        </w:rPr>
        <w:sectPr w:rsidR="00345EE3">
          <w:pgSz w:w="11910" w:h="16840"/>
          <w:pgMar w:top="840" w:right="720" w:bottom="280" w:left="740" w:header="720" w:footer="720" w:gutter="0"/>
          <w:cols w:space="720"/>
        </w:sectPr>
      </w:pPr>
    </w:p>
    <w:p w14:paraId="74B4D538" w14:textId="77777777" w:rsidR="00345EE3" w:rsidRPr="00187832" w:rsidRDefault="00345EE3" w:rsidP="00345EE3">
      <w:pPr>
        <w:pStyle w:val="ListParagraph"/>
        <w:widowControl/>
        <w:suppressAutoHyphens/>
        <w:adjustRightInd w:val="0"/>
        <w:spacing w:before="113" w:after="120" w:line="300" w:lineRule="atLeast"/>
        <w:ind w:left="142" w:firstLine="0"/>
        <w:textAlignment w:val="center"/>
        <w:rPr>
          <w:rFonts w:eastAsiaTheme="minorHAnsi"/>
          <w:b/>
          <w:bCs/>
          <w:color w:val="3D68AD"/>
          <w:sz w:val="28"/>
          <w:szCs w:val="28"/>
          <w:lang w:val="en-GB"/>
        </w:rPr>
      </w:pPr>
      <w:r w:rsidRPr="00187832">
        <w:rPr>
          <w:rFonts w:eastAsiaTheme="minorHAnsi"/>
          <w:b/>
          <w:bCs/>
          <w:color w:val="3D68AD"/>
          <w:sz w:val="28"/>
          <w:szCs w:val="28"/>
          <w:lang w:val="en-GB"/>
        </w:rPr>
        <w:t>5.1 Property, Plant and Equipment</w:t>
      </w:r>
    </w:p>
    <w:tbl>
      <w:tblPr>
        <w:tblW w:w="0" w:type="auto"/>
        <w:tblInd w:w="156" w:type="dxa"/>
        <w:tblLayout w:type="fixed"/>
        <w:tblCellMar>
          <w:left w:w="0" w:type="dxa"/>
          <w:right w:w="0" w:type="dxa"/>
        </w:tblCellMar>
        <w:tblLook w:val="0000" w:firstRow="0" w:lastRow="0" w:firstColumn="0" w:lastColumn="0" w:noHBand="0" w:noVBand="0"/>
      </w:tblPr>
      <w:tblGrid>
        <w:gridCol w:w="3402"/>
        <w:gridCol w:w="1133"/>
        <w:gridCol w:w="1134"/>
        <w:gridCol w:w="1134"/>
        <w:gridCol w:w="1134"/>
        <w:gridCol w:w="1134"/>
        <w:gridCol w:w="1134"/>
      </w:tblGrid>
      <w:tr w:rsidR="00345EE3" w:rsidRPr="00187832" w14:paraId="2946C849" w14:textId="77777777" w:rsidTr="00D73130">
        <w:trPr>
          <w:trHeight w:val="60"/>
          <w:tblHeader/>
        </w:trPr>
        <w:tc>
          <w:tcPr>
            <w:tcW w:w="10205" w:type="dxa"/>
            <w:gridSpan w:val="7"/>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5864ACD2"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87832">
              <w:rPr>
                <w:rFonts w:eastAsiaTheme="minorHAnsi"/>
                <w:b/>
                <w:bCs/>
                <w:color w:val="FFFFFF"/>
                <w:spacing w:val="-2"/>
                <w:sz w:val="24"/>
                <w:szCs w:val="24"/>
                <w:lang w:val="en-GB"/>
              </w:rPr>
              <w:t>($ thousand)</w:t>
            </w:r>
          </w:p>
        </w:tc>
      </w:tr>
      <w:tr w:rsidR="00345EE3" w:rsidRPr="00187832" w14:paraId="7F8EA2D9" w14:textId="77777777" w:rsidTr="00D73130">
        <w:trPr>
          <w:trHeight w:val="60"/>
          <w:tblHeader/>
        </w:trPr>
        <w:tc>
          <w:tcPr>
            <w:tcW w:w="3402"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B7E63C0" w14:textId="77777777" w:rsidR="00345EE3" w:rsidRPr="00187832" w:rsidRDefault="00345EE3" w:rsidP="00D73130">
            <w:pPr>
              <w:widowControl/>
              <w:adjustRightInd w:val="0"/>
              <w:rPr>
                <w:rFonts w:eastAsiaTheme="minorHAnsi"/>
                <w:sz w:val="24"/>
                <w:szCs w:val="24"/>
                <w:lang w:val="en-GB"/>
              </w:rPr>
            </w:pPr>
          </w:p>
        </w:tc>
        <w:tc>
          <w:tcPr>
            <w:tcW w:w="2267"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57" w:type="dxa"/>
            </w:tcMar>
          </w:tcPr>
          <w:p w14:paraId="5AC57E50" w14:textId="77777777" w:rsidR="00345EE3" w:rsidRPr="00187832"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187832">
              <w:rPr>
                <w:rFonts w:eastAsiaTheme="minorHAnsi"/>
                <w:b/>
                <w:bCs/>
                <w:color w:val="FFFFFF"/>
                <w:sz w:val="24"/>
                <w:szCs w:val="24"/>
                <w:lang w:val="en-GB"/>
              </w:rPr>
              <w:t>Gross Carrying Amount</w:t>
            </w: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57" w:type="dxa"/>
            </w:tcMar>
          </w:tcPr>
          <w:p w14:paraId="658B9A6D" w14:textId="77777777" w:rsidR="00345EE3" w:rsidRPr="00187832"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187832">
              <w:rPr>
                <w:rFonts w:eastAsiaTheme="minorHAnsi"/>
                <w:b/>
                <w:bCs/>
                <w:color w:val="FFFFFF"/>
                <w:sz w:val="24"/>
                <w:szCs w:val="24"/>
                <w:lang w:val="en-GB"/>
              </w:rPr>
              <w:t>Accumulated Depreciation</w:t>
            </w: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57" w:type="dxa"/>
            </w:tcMar>
          </w:tcPr>
          <w:p w14:paraId="37B03FDC" w14:textId="77777777" w:rsidR="00345EE3" w:rsidRPr="00187832"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187832">
              <w:rPr>
                <w:rFonts w:eastAsiaTheme="minorHAnsi"/>
                <w:b/>
                <w:bCs/>
                <w:color w:val="FFFFFF"/>
                <w:sz w:val="24"/>
                <w:szCs w:val="24"/>
                <w:lang w:val="en-GB"/>
              </w:rPr>
              <w:t>Net Carrying Amount</w:t>
            </w:r>
          </w:p>
        </w:tc>
      </w:tr>
      <w:tr w:rsidR="00345EE3" w:rsidRPr="00187832" w14:paraId="407431AF" w14:textId="77777777" w:rsidTr="00D73130">
        <w:trPr>
          <w:trHeight w:val="60"/>
          <w:tblHeader/>
        </w:trPr>
        <w:tc>
          <w:tcPr>
            <w:tcW w:w="3402"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E0A6D6C" w14:textId="77777777" w:rsidR="00345EE3" w:rsidRPr="00187832" w:rsidRDefault="00345EE3" w:rsidP="00D73130">
            <w:pPr>
              <w:widowControl/>
              <w:adjustRightInd w:val="0"/>
              <w:rPr>
                <w:rFonts w:eastAsiaTheme="minorHAnsi"/>
                <w:sz w:val="24"/>
                <w:szCs w:val="24"/>
                <w:lang w:val="en-GB"/>
              </w:rPr>
            </w:pPr>
          </w:p>
        </w:tc>
        <w:tc>
          <w:tcPr>
            <w:tcW w:w="1133"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11149530"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87832">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5DAC1AD1"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87832">
              <w:rPr>
                <w:rFonts w:eastAsiaTheme="minorHAnsi"/>
                <w:b/>
                <w:bCs/>
                <w:color w:val="FFFFFF"/>
                <w:spacing w:val="-2"/>
                <w:sz w:val="24"/>
                <w:szCs w:val="24"/>
                <w:lang w:val="en-GB"/>
              </w:rP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2E8DAF99"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87832">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0C965B19"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87832">
              <w:rPr>
                <w:rFonts w:eastAsiaTheme="minorHAnsi"/>
                <w:b/>
                <w:bCs/>
                <w:color w:val="FFFFFF"/>
                <w:spacing w:val="-2"/>
                <w:sz w:val="24"/>
                <w:szCs w:val="24"/>
                <w:lang w:val="en-GB"/>
              </w:rP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7F3191BD"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87832">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9D9C9C"/>
            </w:tcBorders>
            <w:shd w:val="solid" w:color="004996" w:fill="auto"/>
            <w:tcMar>
              <w:top w:w="113" w:type="dxa"/>
              <w:left w:w="14" w:type="dxa"/>
              <w:bottom w:w="113" w:type="dxa"/>
              <w:right w:w="57" w:type="dxa"/>
            </w:tcMar>
          </w:tcPr>
          <w:p w14:paraId="2BB100B0"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87832">
              <w:rPr>
                <w:rFonts w:eastAsiaTheme="minorHAnsi"/>
                <w:b/>
                <w:bCs/>
                <w:color w:val="FFFFFF"/>
                <w:spacing w:val="-2"/>
                <w:sz w:val="24"/>
                <w:szCs w:val="24"/>
                <w:lang w:val="en-GB"/>
              </w:rPr>
              <w:t>2021</w:t>
            </w:r>
          </w:p>
        </w:tc>
      </w:tr>
      <w:tr w:rsidR="00345EE3" w:rsidRPr="00187832" w14:paraId="6173CA81"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4A2E6EF"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color w:val="000000"/>
                <w:sz w:val="24"/>
                <w:szCs w:val="24"/>
                <w:lang w:val="en-GB"/>
              </w:rPr>
              <w:t>Crown land at fair value</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88228EE"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658,402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468FE96"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636,914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AFBAF4F"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4815C6B"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11C32BF2"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658,402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0779A9CD"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636,914 </w:t>
            </w:r>
          </w:p>
        </w:tc>
      </w:tr>
      <w:tr w:rsidR="00345EE3" w:rsidRPr="00187832" w14:paraId="3C42854E"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22C9713"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color w:val="000000"/>
                <w:sz w:val="24"/>
                <w:szCs w:val="24"/>
                <w:lang w:val="en-GB"/>
              </w:rPr>
              <w:t>Land (right-of-use assets) at fair value</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3AC7011"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14,958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95436E9"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14,958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6ECB5080"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1,234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8DC1FC3"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590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FBB269F"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13,724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49C59719"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14,368 </w:t>
            </w:r>
          </w:p>
        </w:tc>
      </w:tr>
      <w:tr w:rsidR="00345EE3" w:rsidRPr="00187832" w14:paraId="5AE10CF1"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F00D867"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color w:val="000000"/>
                <w:sz w:val="24"/>
                <w:szCs w:val="24"/>
                <w:lang w:val="en-GB"/>
              </w:rPr>
              <w:t>Buildings at fair value (excluding heritage buildings)</w:t>
            </w:r>
            <w:r w:rsidRPr="00187832">
              <w:rPr>
                <w:rFonts w:eastAsiaTheme="minorHAnsi"/>
                <w:color w:val="000000"/>
                <w:sz w:val="24"/>
                <w:szCs w:val="24"/>
                <w:vertAlign w:val="superscript"/>
                <w:lang w:val="en-GB"/>
              </w:rPr>
              <w:t xml:space="preserve"> (a)</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E7AC3CE"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2,852,529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6B68E41"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2,795,951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247C13FB"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341,411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71738C8"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245,401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60EA3E20"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2,511,118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155E39EE"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2,550,550 </w:t>
            </w:r>
          </w:p>
        </w:tc>
      </w:tr>
      <w:tr w:rsidR="00345EE3" w:rsidRPr="00187832" w14:paraId="05FD3D69"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6BA5D36"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color w:val="000000"/>
                <w:sz w:val="24"/>
                <w:szCs w:val="24"/>
                <w:lang w:val="en-GB"/>
              </w:rPr>
              <w:t>Heritage buildings at fair value</w:t>
            </w:r>
            <w:r w:rsidRPr="00187832">
              <w:rPr>
                <w:rFonts w:eastAsiaTheme="minorHAnsi"/>
                <w:color w:val="000000"/>
                <w:sz w:val="24"/>
                <w:szCs w:val="24"/>
                <w:vertAlign w:val="superscript"/>
                <w:lang w:val="en-GB"/>
              </w:rPr>
              <w:t xml:space="preserve"> (b)</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696840F"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68,085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7550A11"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67,126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2470071E"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3,844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8CDD4AC"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0B64D554"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64,241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3658C152"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67,126 </w:t>
            </w:r>
          </w:p>
        </w:tc>
      </w:tr>
      <w:tr w:rsidR="00345EE3" w:rsidRPr="00187832" w14:paraId="4036A85F"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F2997B8"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color w:val="000000"/>
                <w:sz w:val="24"/>
                <w:szCs w:val="24"/>
                <w:lang w:val="en-GB"/>
              </w:rPr>
              <w:t>Plant and equipment at fair value</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59AE5EFC"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679,849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17ECE07"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654,484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48B2AC46"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318,062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987C915"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280,192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939E154"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361,787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7C861DEB"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374,292 </w:t>
            </w:r>
          </w:p>
        </w:tc>
      </w:tr>
      <w:tr w:rsidR="00345EE3" w:rsidRPr="00187832" w14:paraId="05DAF82E"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BE622DA"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color w:val="000000"/>
                <w:sz w:val="24"/>
                <w:szCs w:val="24"/>
                <w:lang w:val="en-GB"/>
              </w:rPr>
              <w:t>Assets under construction at cost</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16D3AC9C"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40,224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191A4FA"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86,638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5B72EF86"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35BC650"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52D3D4B6"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40,224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2394284E"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86,638 </w:t>
            </w:r>
          </w:p>
        </w:tc>
      </w:tr>
      <w:tr w:rsidR="00345EE3" w:rsidRPr="00187832" w14:paraId="32E0AEE1" w14:textId="77777777" w:rsidTr="00D73130">
        <w:trPr>
          <w:trHeight w:val="60"/>
        </w:trPr>
        <w:tc>
          <w:tcPr>
            <w:tcW w:w="3402"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3C6FA6E5"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color w:val="000000"/>
                <w:sz w:val="24"/>
                <w:szCs w:val="24"/>
                <w:lang w:val="en-GB"/>
              </w:rPr>
              <w:t>Cultural artworks at fair value</w:t>
            </w:r>
          </w:p>
        </w:tc>
        <w:tc>
          <w:tcPr>
            <w:tcW w:w="1133"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57" w:type="dxa"/>
            </w:tcMar>
          </w:tcPr>
          <w:p w14:paraId="22628326"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5,288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57" w:type="dxa"/>
            </w:tcMar>
          </w:tcPr>
          <w:p w14:paraId="384E081F"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5,239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57" w:type="dxa"/>
            </w:tcMar>
          </w:tcPr>
          <w:p w14:paraId="249A5366"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57" w:type="dxa"/>
            </w:tcMar>
          </w:tcPr>
          <w:p w14:paraId="4F7E2421"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57" w:type="dxa"/>
            </w:tcMar>
          </w:tcPr>
          <w:p w14:paraId="353CE90B"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5,288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57" w:type="dxa"/>
            </w:tcMar>
          </w:tcPr>
          <w:p w14:paraId="7CC529C7"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5,239 </w:t>
            </w:r>
          </w:p>
        </w:tc>
      </w:tr>
      <w:tr w:rsidR="00345EE3" w:rsidRPr="00187832" w14:paraId="53699E6F" w14:textId="77777777" w:rsidTr="00D73130">
        <w:trPr>
          <w:trHeight w:val="60"/>
        </w:trPr>
        <w:tc>
          <w:tcPr>
            <w:tcW w:w="3402"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70A1C3AE"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b/>
                <w:bCs/>
                <w:color w:val="000000"/>
                <w:sz w:val="24"/>
                <w:szCs w:val="24"/>
                <w:lang w:val="en-GB"/>
              </w:rPr>
              <w:t>Net Carrying Amount</w:t>
            </w:r>
          </w:p>
        </w:tc>
        <w:tc>
          <w:tcPr>
            <w:tcW w:w="1133"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57" w:type="dxa"/>
            </w:tcMar>
          </w:tcPr>
          <w:p w14:paraId="08DCD12B"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b/>
                <w:bCs/>
                <w:color w:val="000000"/>
                <w:sz w:val="24"/>
                <w:szCs w:val="24"/>
                <w:lang w:val="en-GB"/>
              </w:rPr>
              <w:t xml:space="preserve">4,319,335 </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57" w:type="dxa"/>
            </w:tcMar>
          </w:tcPr>
          <w:p w14:paraId="1A5101EA"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b/>
                <w:bCs/>
                <w:color w:val="000000"/>
                <w:sz w:val="24"/>
                <w:szCs w:val="24"/>
                <w:lang w:val="en-GB"/>
              </w:rPr>
              <w:t xml:space="preserve">4,261,310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57" w:type="dxa"/>
            </w:tcMar>
          </w:tcPr>
          <w:p w14:paraId="30C336B1"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b/>
                <w:bCs/>
                <w:color w:val="000000"/>
                <w:sz w:val="24"/>
                <w:szCs w:val="24"/>
                <w:lang w:val="en-GB"/>
              </w:rPr>
              <w:t xml:space="preserve">664,551 </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57" w:type="dxa"/>
            </w:tcMar>
          </w:tcPr>
          <w:p w14:paraId="4C15DF1E"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b/>
                <w:bCs/>
                <w:color w:val="000000"/>
                <w:sz w:val="24"/>
                <w:szCs w:val="24"/>
                <w:lang w:val="en-GB"/>
              </w:rPr>
              <w:t xml:space="preserve">526,183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57" w:type="dxa"/>
            </w:tcMar>
          </w:tcPr>
          <w:p w14:paraId="7E1D724A"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b/>
                <w:bCs/>
                <w:color w:val="000000"/>
                <w:sz w:val="24"/>
                <w:szCs w:val="24"/>
                <w:lang w:val="en-GB"/>
              </w:rPr>
              <w:t xml:space="preserve">3,654,784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57" w:type="dxa"/>
            </w:tcMar>
          </w:tcPr>
          <w:p w14:paraId="4AB66C68"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b/>
                <w:bCs/>
                <w:color w:val="000000"/>
                <w:sz w:val="24"/>
                <w:szCs w:val="24"/>
                <w:lang w:val="en-GB"/>
              </w:rPr>
              <w:t xml:space="preserve">3,735,127 </w:t>
            </w:r>
          </w:p>
        </w:tc>
      </w:tr>
    </w:tbl>
    <w:p w14:paraId="15EFDB33" w14:textId="77777777" w:rsidR="00345EE3" w:rsidRPr="000C71FB" w:rsidRDefault="00345EE3" w:rsidP="00345EE3">
      <w:pPr>
        <w:widowControl/>
        <w:tabs>
          <w:tab w:val="left" w:pos="227"/>
          <w:tab w:val="left" w:pos="340"/>
        </w:tabs>
        <w:suppressAutoHyphens/>
        <w:adjustRightInd w:val="0"/>
        <w:spacing w:after="28" w:line="160" w:lineRule="atLeast"/>
        <w:ind w:left="142"/>
        <w:textAlignment w:val="center"/>
        <w:rPr>
          <w:rFonts w:eastAsiaTheme="minorHAnsi"/>
          <w:b/>
          <w:bCs/>
          <w:i/>
          <w:iCs/>
          <w:color w:val="000000"/>
          <w:sz w:val="18"/>
          <w:szCs w:val="18"/>
          <w:lang w:val="en-GB"/>
        </w:rPr>
      </w:pPr>
      <w:r w:rsidRPr="000C71FB">
        <w:rPr>
          <w:rFonts w:eastAsiaTheme="minorHAnsi"/>
          <w:b/>
          <w:bCs/>
          <w:i/>
          <w:iCs/>
          <w:color w:val="000000"/>
          <w:sz w:val="18"/>
          <w:szCs w:val="18"/>
          <w:lang w:val="en-GB"/>
        </w:rPr>
        <w:t>Notes:</w:t>
      </w:r>
    </w:p>
    <w:p w14:paraId="2DB8E2F5" w14:textId="77777777" w:rsidR="00345EE3" w:rsidRPr="000C71FB" w:rsidRDefault="00345EE3">
      <w:pPr>
        <w:pStyle w:val="ListParagraph"/>
        <w:widowControl/>
        <w:numPr>
          <w:ilvl w:val="0"/>
          <w:numId w:val="37"/>
        </w:numPr>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0C71FB">
        <w:rPr>
          <w:rFonts w:eastAsiaTheme="minorHAnsi"/>
          <w:color w:val="000000"/>
          <w:spacing w:val="-1"/>
          <w:sz w:val="18"/>
          <w:szCs w:val="18"/>
          <w:lang w:val="en-GB"/>
        </w:rPr>
        <w:t xml:space="preserve">Leasehold improvements are included in this balance. </w:t>
      </w:r>
    </w:p>
    <w:p w14:paraId="28E7AA05" w14:textId="77777777" w:rsidR="00345EE3" w:rsidRPr="000C71FB" w:rsidRDefault="00345EE3">
      <w:pPr>
        <w:pStyle w:val="ListParagraph"/>
        <w:widowControl/>
        <w:numPr>
          <w:ilvl w:val="0"/>
          <w:numId w:val="37"/>
        </w:numPr>
        <w:tabs>
          <w:tab w:val="left" w:pos="227"/>
          <w:tab w:val="left" w:pos="340"/>
        </w:tabs>
        <w:suppressAutoHyphens/>
        <w:adjustRightInd w:val="0"/>
        <w:spacing w:after="113" w:line="160" w:lineRule="atLeast"/>
        <w:textAlignment w:val="center"/>
        <w:rPr>
          <w:rFonts w:eastAsiaTheme="minorHAnsi"/>
          <w:color w:val="000000"/>
          <w:spacing w:val="-1"/>
          <w:sz w:val="18"/>
          <w:szCs w:val="18"/>
          <w:lang w:val="en-GB"/>
        </w:rPr>
      </w:pPr>
      <w:r w:rsidRPr="000C71FB">
        <w:rPr>
          <w:rFonts w:eastAsiaTheme="minorHAnsi"/>
          <w:color w:val="000000"/>
          <w:spacing w:val="-1"/>
          <w:sz w:val="18"/>
          <w:szCs w:val="18"/>
          <w:lang w:val="en-GB"/>
        </w:rPr>
        <w:tab/>
        <w:t>These heritage assets cannot be modified or disposed of without formal Ministerial approval.</w:t>
      </w:r>
    </w:p>
    <w:p w14:paraId="5A725390" w14:textId="77777777" w:rsidR="00345EE3" w:rsidRDefault="00345EE3" w:rsidP="00345EE3">
      <w:pPr>
        <w:rPr>
          <w:color w:val="231F20"/>
          <w:sz w:val="24"/>
          <w:szCs w:val="24"/>
        </w:rPr>
      </w:pPr>
      <w:r>
        <w:rPr>
          <w:color w:val="231F20"/>
        </w:rPr>
        <w:br w:type="page"/>
      </w:r>
    </w:p>
    <w:p w14:paraId="6EFC9BAB" w14:textId="77777777" w:rsidR="00345EE3" w:rsidRDefault="00345EE3" w:rsidP="00345EE3">
      <w:pPr>
        <w:pStyle w:val="BodyText"/>
        <w:spacing w:before="139"/>
      </w:pPr>
      <w:r>
        <w:rPr>
          <w:color w:val="231F20"/>
        </w:rPr>
        <w:t>The</w:t>
      </w:r>
      <w:r>
        <w:rPr>
          <w:color w:val="231F20"/>
          <w:spacing w:val="-12"/>
        </w:rPr>
        <w:t xml:space="preserve"> </w:t>
      </w:r>
      <w:r>
        <w:rPr>
          <w:color w:val="231F20"/>
        </w:rPr>
        <w:t>following</w:t>
      </w:r>
      <w:r>
        <w:rPr>
          <w:color w:val="231F20"/>
          <w:spacing w:val="-10"/>
        </w:rPr>
        <w:t xml:space="preserve"> </w:t>
      </w:r>
      <w:r>
        <w:rPr>
          <w:color w:val="231F20"/>
        </w:rPr>
        <w:t>tables</w:t>
      </w:r>
      <w:r>
        <w:rPr>
          <w:color w:val="231F20"/>
          <w:spacing w:val="-9"/>
        </w:rPr>
        <w:t xml:space="preserve"> </w:t>
      </w:r>
      <w:r>
        <w:rPr>
          <w:color w:val="231F20"/>
        </w:rPr>
        <w:t>are</w:t>
      </w:r>
      <w:r>
        <w:rPr>
          <w:color w:val="231F20"/>
          <w:spacing w:val="-9"/>
        </w:rPr>
        <w:t xml:space="preserve"> </w:t>
      </w:r>
      <w:r>
        <w:rPr>
          <w:color w:val="231F20"/>
        </w:rPr>
        <w:t>subsets</w:t>
      </w:r>
      <w:r>
        <w:rPr>
          <w:color w:val="231F20"/>
          <w:spacing w:val="-9"/>
        </w:rPr>
        <w:t xml:space="preserve"> </w:t>
      </w:r>
      <w:r>
        <w:rPr>
          <w:color w:val="231F20"/>
        </w:rPr>
        <w:t>of</w:t>
      </w:r>
      <w:r>
        <w:rPr>
          <w:color w:val="231F20"/>
          <w:spacing w:val="-9"/>
        </w:rPr>
        <w:t xml:space="preserve"> </w:t>
      </w:r>
      <w:r>
        <w:rPr>
          <w:color w:val="231F20"/>
        </w:rPr>
        <w:t>buildings,</w:t>
      </w:r>
      <w:r>
        <w:rPr>
          <w:color w:val="231F20"/>
          <w:spacing w:val="-9"/>
        </w:rPr>
        <w:t xml:space="preserve"> </w:t>
      </w:r>
      <w:r>
        <w:rPr>
          <w:color w:val="231F20"/>
        </w:rPr>
        <w:t>and</w:t>
      </w:r>
      <w:r>
        <w:rPr>
          <w:color w:val="231F20"/>
          <w:spacing w:val="-10"/>
        </w:rPr>
        <w:t xml:space="preserve"> </w:t>
      </w:r>
      <w:r>
        <w:rPr>
          <w:color w:val="231F20"/>
        </w:rPr>
        <w:t>plant</w:t>
      </w:r>
      <w:r>
        <w:rPr>
          <w:color w:val="231F20"/>
          <w:spacing w:val="-8"/>
        </w:rPr>
        <w:t xml:space="preserve"> </w:t>
      </w:r>
      <w:r>
        <w:rPr>
          <w:color w:val="231F20"/>
        </w:rPr>
        <w:t>and</w:t>
      </w:r>
      <w:r>
        <w:rPr>
          <w:color w:val="231F20"/>
          <w:spacing w:val="-10"/>
        </w:rPr>
        <w:t xml:space="preserve"> </w:t>
      </w:r>
      <w:r>
        <w:rPr>
          <w:color w:val="231F20"/>
        </w:rPr>
        <w:t>equipment</w:t>
      </w:r>
      <w:r>
        <w:rPr>
          <w:color w:val="231F20"/>
          <w:spacing w:val="-9"/>
        </w:rPr>
        <w:t xml:space="preserve"> </w:t>
      </w:r>
      <w:r>
        <w:rPr>
          <w:color w:val="231F20"/>
        </w:rPr>
        <w:t>by</w:t>
      </w:r>
      <w:r>
        <w:rPr>
          <w:color w:val="231F20"/>
          <w:spacing w:val="-9"/>
        </w:rPr>
        <w:t xml:space="preserve"> </w:t>
      </w:r>
      <w:r>
        <w:rPr>
          <w:color w:val="231F20"/>
        </w:rPr>
        <w:t>right-of-use</w:t>
      </w:r>
      <w:r>
        <w:rPr>
          <w:color w:val="231F20"/>
          <w:spacing w:val="-9"/>
        </w:rPr>
        <w:t xml:space="preserve"> </w:t>
      </w:r>
      <w:r>
        <w:rPr>
          <w:color w:val="231F20"/>
          <w:spacing w:val="-2"/>
        </w:rPr>
        <w:t>assets.</w:t>
      </w:r>
    </w:p>
    <w:p w14:paraId="6BECDF96" w14:textId="77777777" w:rsidR="00345EE3" w:rsidRDefault="00345EE3" w:rsidP="00345EE3">
      <w:pPr>
        <w:spacing w:before="213" w:after="120"/>
        <w:ind w:left="110"/>
        <w:rPr>
          <w:b/>
          <w:sz w:val="28"/>
        </w:rPr>
      </w:pPr>
      <w:r>
        <w:rPr>
          <w:b/>
          <w:color w:val="3D68AD"/>
          <w:sz w:val="28"/>
        </w:rPr>
        <w:t>5.1(a)</w:t>
      </w:r>
      <w:r>
        <w:rPr>
          <w:b/>
          <w:color w:val="3D68AD"/>
          <w:spacing w:val="-17"/>
          <w:sz w:val="28"/>
        </w:rPr>
        <w:t xml:space="preserve"> </w:t>
      </w:r>
      <w:r>
        <w:rPr>
          <w:b/>
          <w:color w:val="3D68AD"/>
          <w:sz w:val="28"/>
        </w:rPr>
        <w:t>Total</w:t>
      </w:r>
      <w:r>
        <w:rPr>
          <w:b/>
          <w:color w:val="3D68AD"/>
          <w:spacing w:val="-14"/>
          <w:sz w:val="28"/>
        </w:rPr>
        <w:t xml:space="preserve"> </w:t>
      </w:r>
      <w:r w:rsidRPr="00187832">
        <w:rPr>
          <w:b/>
          <w:color w:val="3D68AD"/>
          <w:sz w:val="28"/>
        </w:rPr>
        <w:t>Right-of-Use</w:t>
      </w:r>
      <w:r>
        <w:rPr>
          <w:b/>
          <w:color w:val="3D68AD"/>
          <w:spacing w:val="-14"/>
          <w:sz w:val="28"/>
        </w:rPr>
        <w:t xml:space="preserve"> </w:t>
      </w:r>
      <w:r>
        <w:rPr>
          <w:b/>
          <w:color w:val="3D68AD"/>
          <w:sz w:val="28"/>
        </w:rPr>
        <w:t>Assets:</w:t>
      </w:r>
      <w:r>
        <w:rPr>
          <w:b/>
          <w:color w:val="3D68AD"/>
          <w:spacing w:val="-14"/>
          <w:sz w:val="28"/>
        </w:rPr>
        <w:t xml:space="preserve"> </w:t>
      </w:r>
      <w:r>
        <w:rPr>
          <w:b/>
          <w:color w:val="3D68AD"/>
          <w:sz w:val="28"/>
        </w:rPr>
        <w:t>Buildings,</w:t>
      </w:r>
      <w:r>
        <w:rPr>
          <w:b/>
          <w:color w:val="3D68AD"/>
          <w:spacing w:val="-14"/>
          <w:sz w:val="28"/>
        </w:rPr>
        <w:t xml:space="preserve"> </w:t>
      </w:r>
      <w:r>
        <w:rPr>
          <w:b/>
          <w:color w:val="3D68AD"/>
          <w:sz w:val="28"/>
        </w:rPr>
        <w:t>Plant,</w:t>
      </w:r>
      <w:r>
        <w:rPr>
          <w:b/>
          <w:color w:val="3D68AD"/>
          <w:spacing w:val="-14"/>
          <w:sz w:val="28"/>
        </w:rPr>
        <w:t xml:space="preserve"> </w:t>
      </w:r>
      <w:r>
        <w:rPr>
          <w:b/>
          <w:color w:val="3D68AD"/>
          <w:sz w:val="28"/>
        </w:rPr>
        <w:t>Equipment</w:t>
      </w:r>
      <w:r>
        <w:rPr>
          <w:b/>
          <w:color w:val="3D68AD"/>
          <w:spacing w:val="-14"/>
          <w:sz w:val="28"/>
        </w:rPr>
        <w:t xml:space="preserve"> </w:t>
      </w:r>
      <w:r>
        <w:rPr>
          <w:b/>
          <w:color w:val="3D68AD"/>
          <w:sz w:val="28"/>
        </w:rPr>
        <w:t>and</w:t>
      </w:r>
      <w:r>
        <w:rPr>
          <w:b/>
          <w:color w:val="3D68AD"/>
          <w:spacing w:val="-14"/>
          <w:sz w:val="28"/>
        </w:rPr>
        <w:t xml:space="preserve"> </w:t>
      </w:r>
      <w:r>
        <w:rPr>
          <w:b/>
          <w:color w:val="3D68AD"/>
          <w:spacing w:val="-2"/>
          <w:sz w:val="28"/>
        </w:rPr>
        <w:t>Vehicles</w:t>
      </w:r>
    </w:p>
    <w:tbl>
      <w:tblPr>
        <w:tblW w:w="0" w:type="auto"/>
        <w:tblInd w:w="156" w:type="dxa"/>
        <w:tblLayout w:type="fixed"/>
        <w:tblCellMar>
          <w:left w:w="0" w:type="dxa"/>
          <w:right w:w="0" w:type="dxa"/>
        </w:tblCellMar>
        <w:tblLook w:val="0000" w:firstRow="0" w:lastRow="0" w:firstColumn="0" w:lastColumn="0" w:noHBand="0" w:noVBand="0"/>
      </w:tblPr>
      <w:tblGrid>
        <w:gridCol w:w="1757"/>
        <w:gridCol w:w="1248"/>
        <w:gridCol w:w="1701"/>
        <w:gridCol w:w="1247"/>
        <w:gridCol w:w="1247"/>
        <w:gridCol w:w="1701"/>
        <w:gridCol w:w="1304"/>
      </w:tblGrid>
      <w:tr w:rsidR="00345EE3" w14:paraId="37B9BEF3" w14:textId="77777777" w:rsidTr="00D73130">
        <w:trPr>
          <w:trHeight w:val="60"/>
          <w:tblHeader/>
        </w:trPr>
        <w:tc>
          <w:tcPr>
            <w:tcW w:w="10205" w:type="dxa"/>
            <w:gridSpan w:val="7"/>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794A700E" w14:textId="77777777" w:rsidR="00345EE3" w:rsidRDefault="00345EE3" w:rsidP="00D73130">
            <w:pPr>
              <w:pStyle w:val="VicPol-TableHeadingWhiteRight-2022Tables"/>
            </w:pPr>
            <w:r>
              <w:t>($ thousand)</w:t>
            </w:r>
          </w:p>
        </w:tc>
      </w:tr>
      <w:tr w:rsidR="00345EE3" w14:paraId="0DD6A179" w14:textId="77777777" w:rsidTr="00D73130">
        <w:trPr>
          <w:trHeight w:val="60"/>
          <w:tblHeader/>
        </w:trPr>
        <w:tc>
          <w:tcPr>
            <w:tcW w:w="175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6BDF3F79" w14:textId="77777777" w:rsidR="00345EE3" w:rsidRDefault="00345EE3" w:rsidP="00D73130">
            <w:pPr>
              <w:pStyle w:val="NoParagraphStyle"/>
              <w:spacing w:line="240" w:lineRule="auto"/>
              <w:textAlignment w:val="auto"/>
              <w:rPr>
                <w:color w:val="auto"/>
              </w:rPr>
            </w:pPr>
          </w:p>
        </w:tc>
        <w:tc>
          <w:tcPr>
            <w:tcW w:w="4196"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57" w:type="dxa"/>
              <w:bottom w:w="113" w:type="dxa"/>
              <w:right w:w="14" w:type="dxa"/>
            </w:tcMar>
          </w:tcPr>
          <w:p w14:paraId="6E9304EF" w14:textId="77777777" w:rsidR="00345EE3" w:rsidRDefault="00345EE3" w:rsidP="00D73130">
            <w:pPr>
              <w:pStyle w:val="VicPol-TableHeadingWhiteLeft-2022Tables"/>
              <w:jc w:val="center"/>
            </w:pPr>
            <w:r>
              <w:t>2022</w:t>
            </w:r>
          </w:p>
        </w:tc>
        <w:tc>
          <w:tcPr>
            <w:tcW w:w="4252"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57" w:type="dxa"/>
              <w:bottom w:w="113" w:type="dxa"/>
              <w:right w:w="14" w:type="dxa"/>
            </w:tcMar>
          </w:tcPr>
          <w:p w14:paraId="193127F5" w14:textId="77777777" w:rsidR="00345EE3" w:rsidRDefault="00345EE3" w:rsidP="00D73130">
            <w:pPr>
              <w:pStyle w:val="VicPol-TableHeadingWhiteLeft-2022Tables"/>
              <w:jc w:val="center"/>
            </w:pPr>
            <w:r>
              <w:t>2021</w:t>
            </w:r>
          </w:p>
        </w:tc>
      </w:tr>
      <w:tr w:rsidR="00345EE3" w14:paraId="15F848B6" w14:textId="77777777" w:rsidTr="00D73130">
        <w:trPr>
          <w:trHeight w:val="60"/>
          <w:tblHeader/>
        </w:trPr>
        <w:tc>
          <w:tcPr>
            <w:tcW w:w="1757"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DFD4CA9" w14:textId="77777777" w:rsidR="00345EE3" w:rsidRDefault="00345EE3" w:rsidP="00D73130">
            <w:pPr>
              <w:pStyle w:val="NoParagraphStyle"/>
              <w:spacing w:line="240" w:lineRule="auto"/>
              <w:textAlignment w:val="auto"/>
              <w:rPr>
                <w:color w:val="auto"/>
              </w:rPr>
            </w:pPr>
          </w:p>
        </w:tc>
        <w:tc>
          <w:tcPr>
            <w:tcW w:w="1248" w:type="dxa"/>
            <w:tcBorders>
              <w:top w:val="single" w:sz="2" w:space="0" w:color="FFFFFF"/>
              <w:left w:val="single" w:sz="2" w:space="0" w:color="FFFFFF"/>
              <w:bottom w:val="single" w:sz="6" w:space="0" w:color="9D9C9C"/>
              <w:right w:val="single" w:sz="2" w:space="0" w:color="FFFFFF"/>
            </w:tcBorders>
            <w:shd w:val="solid" w:color="004996" w:fill="auto"/>
            <w:tcMar>
              <w:top w:w="113" w:type="dxa"/>
              <w:left w:w="57" w:type="dxa"/>
              <w:bottom w:w="113" w:type="dxa"/>
              <w:right w:w="14" w:type="dxa"/>
            </w:tcMar>
          </w:tcPr>
          <w:p w14:paraId="7972E7F3" w14:textId="77777777" w:rsidR="00345EE3" w:rsidRDefault="00345EE3" w:rsidP="00D73130">
            <w:pPr>
              <w:pStyle w:val="VicPol-TableHeadingWhiteRight-2022Tables"/>
            </w:pPr>
            <w:r>
              <w:t>Gross Carrying Amount</w:t>
            </w:r>
          </w:p>
        </w:tc>
        <w:tc>
          <w:tcPr>
            <w:tcW w:w="170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57" w:type="dxa"/>
              <w:bottom w:w="113" w:type="dxa"/>
              <w:right w:w="14" w:type="dxa"/>
            </w:tcMar>
          </w:tcPr>
          <w:p w14:paraId="48395F85" w14:textId="77777777" w:rsidR="00345EE3" w:rsidRDefault="00345EE3" w:rsidP="00D73130">
            <w:pPr>
              <w:pStyle w:val="VicPol-TableHeadingWhiteRight-2022Tables"/>
            </w:pPr>
            <w:r>
              <w:t>Accumulated Depreciation</w:t>
            </w:r>
          </w:p>
        </w:tc>
        <w:tc>
          <w:tcPr>
            <w:tcW w:w="124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57" w:type="dxa"/>
              <w:bottom w:w="113" w:type="dxa"/>
              <w:right w:w="14" w:type="dxa"/>
            </w:tcMar>
          </w:tcPr>
          <w:p w14:paraId="5C125019" w14:textId="77777777" w:rsidR="00345EE3" w:rsidRDefault="00345EE3" w:rsidP="00D73130">
            <w:pPr>
              <w:pStyle w:val="VicPol-TableHeadingWhiteRight-2022Tables"/>
            </w:pPr>
            <w:r>
              <w:t>Net Carrying Amount</w:t>
            </w:r>
          </w:p>
        </w:tc>
        <w:tc>
          <w:tcPr>
            <w:tcW w:w="124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57" w:type="dxa"/>
              <w:bottom w:w="113" w:type="dxa"/>
              <w:right w:w="14" w:type="dxa"/>
            </w:tcMar>
          </w:tcPr>
          <w:p w14:paraId="4597C6AB" w14:textId="77777777" w:rsidR="00345EE3" w:rsidRDefault="00345EE3" w:rsidP="00D73130">
            <w:pPr>
              <w:pStyle w:val="VicPol-TableHeadingWhiteRight-2022Tables"/>
            </w:pPr>
            <w:r>
              <w:t>Gross Carrying Amount</w:t>
            </w:r>
          </w:p>
        </w:tc>
        <w:tc>
          <w:tcPr>
            <w:tcW w:w="170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57" w:type="dxa"/>
              <w:bottom w:w="113" w:type="dxa"/>
              <w:right w:w="14" w:type="dxa"/>
            </w:tcMar>
          </w:tcPr>
          <w:p w14:paraId="6AAD6410" w14:textId="77777777" w:rsidR="00345EE3" w:rsidRDefault="00345EE3" w:rsidP="00D73130">
            <w:pPr>
              <w:pStyle w:val="VicPol-TableHeadingWhiteRight-2022Tables"/>
            </w:pPr>
            <w:r>
              <w:t>Accumulated Depreciation</w:t>
            </w:r>
          </w:p>
        </w:tc>
        <w:tc>
          <w:tcPr>
            <w:tcW w:w="1304" w:type="dxa"/>
            <w:tcBorders>
              <w:top w:val="single" w:sz="2" w:space="0" w:color="FFFFFF"/>
              <w:left w:val="single" w:sz="2" w:space="0" w:color="FFFFFF"/>
              <w:bottom w:val="single" w:sz="6" w:space="0" w:color="auto"/>
              <w:right w:val="single" w:sz="6" w:space="0" w:color="auto"/>
            </w:tcBorders>
            <w:shd w:val="solid" w:color="004996" w:fill="auto"/>
            <w:tcMar>
              <w:top w:w="113" w:type="dxa"/>
              <w:left w:w="57" w:type="dxa"/>
              <w:bottom w:w="113" w:type="dxa"/>
              <w:right w:w="14" w:type="dxa"/>
            </w:tcMar>
          </w:tcPr>
          <w:p w14:paraId="18E4A0C4" w14:textId="77777777" w:rsidR="00345EE3" w:rsidRDefault="00345EE3" w:rsidP="00D73130">
            <w:pPr>
              <w:pStyle w:val="VicPol-TableHeadingWhiteRight-2022Tables"/>
            </w:pPr>
            <w:r>
              <w:t>Net Carrying Amount</w:t>
            </w:r>
          </w:p>
        </w:tc>
      </w:tr>
      <w:tr w:rsidR="00345EE3" w14:paraId="1D799F53" w14:textId="77777777" w:rsidTr="00D73130">
        <w:trPr>
          <w:trHeight w:val="60"/>
        </w:trPr>
        <w:tc>
          <w:tcPr>
            <w:tcW w:w="175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10A28DC" w14:textId="77777777" w:rsidR="00345EE3" w:rsidRDefault="00345EE3" w:rsidP="00D73130">
            <w:pPr>
              <w:pStyle w:val="VicPol-TableBodyLeft-2022Tables"/>
            </w:pPr>
            <w:r>
              <w:t xml:space="preserve">Land </w:t>
            </w:r>
          </w:p>
        </w:tc>
        <w:tc>
          <w:tcPr>
            <w:tcW w:w="124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2DCE6959" w14:textId="77777777" w:rsidR="00345EE3" w:rsidRDefault="00345EE3" w:rsidP="00D73130">
            <w:pPr>
              <w:pStyle w:val="VicPol-TableBodyRight-2022Tables"/>
            </w:pPr>
            <w:r>
              <w:t xml:space="preserve">14,958 </w:t>
            </w:r>
          </w:p>
        </w:tc>
        <w:tc>
          <w:tcPr>
            <w:tcW w:w="170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62AC44AF" w14:textId="77777777" w:rsidR="00345EE3" w:rsidRDefault="00345EE3" w:rsidP="00D73130">
            <w:pPr>
              <w:pStyle w:val="VicPol-TableBodyRight-2022Tables"/>
            </w:pPr>
            <w:r>
              <w:t xml:space="preserve">1,234 </w:t>
            </w:r>
          </w:p>
        </w:tc>
        <w:tc>
          <w:tcPr>
            <w:tcW w:w="124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05D3E71D" w14:textId="77777777" w:rsidR="00345EE3" w:rsidRDefault="00345EE3" w:rsidP="00D73130">
            <w:pPr>
              <w:pStyle w:val="VicPol-TableBodyRight-2022Tables"/>
            </w:pPr>
            <w:r>
              <w:t xml:space="preserve">13,724 </w:t>
            </w:r>
          </w:p>
        </w:tc>
        <w:tc>
          <w:tcPr>
            <w:tcW w:w="1247" w:type="dxa"/>
            <w:tcBorders>
              <w:top w:val="single" w:sz="2" w:space="0" w:color="9D9C9C"/>
              <w:left w:val="single" w:sz="2" w:space="0" w:color="9D9C9C"/>
              <w:bottom w:val="single" w:sz="2" w:space="0" w:color="9D9C9C"/>
              <w:right w:val="single" w:sz="2" w:space="0" w:color="9D9C9C"/>
            </w:tcBorders>
            <w:tcMar>
              <w:top w:w="113" w:type="dxa"/>
              <w:left w:w="57" w:type="dxa"/>
              <w:bottom w:w="113" w:type="dxa"/>
              <w:right w:w="14" w:type="dxa"/>
            </w:tcMar>
          </w:tcPr>
          <w:p w14:paraId="2D55E87A" w14:textId="77777777" w:rsidR="00345EE3" w:rsidRDefault="00345EE3" w:rsidP="00D73130">
            <w:pPr>
              <w:pStyle w:val="VicPol-TableBodyRight-2022Tables"/>
            </w:pPr>
            <w:r>
              <w:t xml:space="preserve">14,958 </w:t>
            </w:r>
          </w:p>
        </w:tc>
        <w:tc>
          <w:tcPr>
            <w:tcW w:w="1701" w:type="dxa"/>
            <w:tcBorders>
              <w:top w:val="single" w:sz="2" w:space="0" w:color="9D9C9C"/>
              <w:left w:val="single" w:sz="2" w:space="0" w:color="9D9C9C"/>
              <w:bottom w:val="single" w:sz="2" w:space="0" w:color="9D9C9C"/>
              <w:right w:val="single" w:sz="2" w:space="0" w:color="9D9C9C"/>
            </w:tcBorders>
            <w:tcMar>
              <w:top w:w="113" w:type="dxa"/>
              <w:left w:w="57" w:type="dxa"/>
              <w:bottom w:w="113" w:type="dxa"/>
              <w:right w:w="14" w:type="dxa"/>
            </w:tcMar>
          </w:tcPr>
          <w:p w14:paraId="53C458DA" w14:textId="77777777" w:rsidR="00345EE3" w:rsidRDefault="00345EE3" w:rsidP="00D73130">
            <w:pPr>
              <w:pStyle w:val="VicPol-TableBodyRight-2022Tables"/>
            </w:pPr>
            <w:r>
              <w:t xml:space="preserve">590 </w:t>
            </w:r>
          </w:p>
        </w:tc>
        <w:tc>
          <w:tcPr>
            <w:tcW w:w="1304" w:type="dxa"/>
            <w:tcBorders>
              <w:top w:val="single" w:sz="2" w:space="0" w:color="9D9C9C"/>
              <w:left w:val="single" w:sz="2" w:space="0" w:color="9D9C9C"/>
              <w:bottom w:val="single" w:sz="2" w:space="0" w:color="9D9C9C"/>
              <w:right w:val="single" w:sz="6" w:space="0" w:color="9D9C9C"/>
            </w:tcBorders>
            <w:tcMar>
              <w:top w:w="113" w:type="dxa"/>
              <w:left w:w="57" w:type="dxa"/>
              <w:bottom w:w="113" w:type="dxa"/>
              <w:right w:w="14" w:type="dxa"/>
            </w:tcMar>
          </w:tcPr>
          <w:p w14:paraId="2E917671" w14:textId="77777777" w:rsidR="00345EE3" w:rsidRDefault="00345EE3" w:rsidP="00D73130">
            <w:pPr>
              <w:pStyle w:val="VicPol-TableBodyRight-2022Tables"/>
            </w:pPr>
            <w:r>
              <w:t xml:space="preserve">14,368 </w:t>
            </w:r>
          </w:p>
        </w:tc>
      </w:tr>
      <w:tr w:rsidR="00345EE3" w14:paraId="20FA703D" w14:textId="77777777" w:rsidTr="00D73130">
        <w:trPr>
          <w:trHeight w:val="60"/>
        </w:trPr>
        <w:tc>
          <w:tcPr>
            <w:tcW w:w="175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DE1F78F" w14:textId="77777777" w:rsidR="00345EE3" w:rsidRDefault="00345EE3" w:rsidP="00D73130">
            <w:pPr>
              <w:pStyle w:val="VicPol-TableBodyLeft-2022Tables"/>
            </w:pPr>
            <w:r>
              <w:t>Buildings</w:t>
            </w:r>
          </w:p>
        </w:tc>
        <w:tc>
          <w:tcPr>
            <w:tcW w:w="124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40E322EF" w14:textId="77777777" w:rsidR="00345EE3" w:rsidRDefault="00345EE3" w:rsidP="00D73130">
            <w:pPr>
              <w:pStyle w:val="VicPol-TableBodyRight-2022Tables"/>
            </w:pPr>
            <w:r>
              <w:t xml:space="preserve">1,710,348 </w:t>
            </w:r>
          </w:p>
        </w:tc>
        <w:tc>
          <w:tcPr>
            <w:tcW w:w="170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64BFF992" w14:textId="77777777" w:rsidR="00345EE3" w:rsidRDefault="00345EE3" w:rsidP="00D73130">
            <w:pPr>
              <w:pStyle w:val="VicPol-TableBodyRight-2022Tables"/>
            </w:pPr>
            <w:r>
              <w:t xml:space="preserve">209,542 </w:t>
            </w:r>
          </w:p>
        </w:tc>
        <w:tc>
          <w:tcPr>
            <w:tcW w:w="124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33D65292" w14:textId="77777777" w:rsidR="00345EE3" w:rsidRDefault="00345EE3" w:rsidP="00D73130">
            <w:pPr>
              <w:pStyle w:val="VicPol-TableBodyRight-2022Tables"/>
            </w:pPr>
            <w:r>
              <w:t xml:space="preserve">1,500,806 </w:t>
            </w:r>
          </w:p>
        </w:tc>
        <w:tc>
          <w:tcPr>
            <w:tcW w:w="1247" w:type="dxa"/>
            <w:tcBorders>
              <w:top w:val="single" w:sz="2" w:space="0" w:color="9D9C9C"/>
              <w:left w:val="single" w:sz="2" w:space="0" w:color="9D9C9C"/>
              <w:bottom w:val="single" w:sz="2" w:space="0" w:color="9D9C9C"/>
              <w:right w:val="single" w:sz="2" w:space="0" w:color="9D9C9C"/>
            </w:tcBorders>
            <w:tcMar>
              <w:top w:w="113" w:type="dxa"/>
              <w:left w:w="57" w:type="dxa"/>
              <w:bottom w:w="113" w:type="dxa"/>
              <w:right w:w="14" w:type="dxa"/>
            </w:tcMar>
          </w:tcPr>
          <w:p w14:paraId="402A8088" w14:textId="77777777" w:rsidR="00345EE3" w:rsidRDefault="00345EE3" w:rsidP="00D73130">
            <w:pPr>
              <w:pStyle w:val="VicPol-TableBodyRight-2022Tables"/>
            </w:pPr>
            <w:r>
              <w:t xml:space="preserve">1,714,168 </w:t>
            </w:r>
          </w:p>
        </w:tc>
        <w:tc>
          <w:tcPr>
            <w:tcW w:w="1701" w:type="dxa"/>
            <w:tcBorders>
              <w:top w:val="single" w:sz="2" w:space="0" w:color="9D9C9C"/>
              <w:left w:val="single" w:sz="2" w:space="0" w:color="9D9C9C"/>
              <w:bottom w:val="single" w:sz="2" w:space="0" w:color="9D9C9C"/>
              <w:right w:val="single" w:sz="2" w:space="0" w:color="9D9C9C"/>
            </w:tcBorders>
            <w:tcMar>
              <w:top w:w="113" w:type="dxa"/>
              <w:left w:w="57" w:type="dxa"/>
              <w:bottom w:w="113" w:type="dxa"/>
              <w:right w:w="14" w:type="dxa"/>
            </w:tcMar>
          </w:tcPr>
          <w:p w14:paraId="3991C4E9" w14:textId="77777777" w:rsidR="00345EE3" w:rsidRDefault="00345EE3" w:rsidP="00D73130">
            <w:pPr>
              <w:pStyle w:val="VicPol-TableBodyRight-2022Tables"/>
            </w:pPr>
            <w:r>
              <w:t xml:space="preserve">137,903 </w:t>
            </w:r>
          </w:p>
        </w:tc>
        <w:tc>
          <w:tcPr>
            <w:tcW w:w="1304" w:type="dxa"/>
            <w:tcBorders>
              <w:top w:val="single" w:sz="2" w:space="0" w:color="9D9C9C"/>
              <w:left w:val="single" w:sz="2" w:space="0" w:color="9D9C9C"/>
              <w:bottom w:val="single" w:sz="2" w:space="0" w:color="9D9C9C"/>
              <w:right w:val="single" w:sz="6" w:space="0" w:color="9D9C9C"/>
            </w:tcBorders>
            <w:tcMar>
              <w:top w:w="113" w:type="dxa"/>
              <w:left w:w="57" w:type="dxa"/>
              <w:bottom w:w="113" w:type="dxa"/>
              <w:right w:w="14" w:type="dxa"/>
            </w:tcMar>
          </w:tcPr>
          <w:p w14:paraId="283C00E1" w14:textId="77777777" w:rsidR="00345EE3" w:rsidRDefault="00345EE3" w:rsidP="00D73130">
            <w:pPr>
              <w:pStyle w:val="VicPol-TableBodyRight-2022Tables"/>
            </w:pPr>
            <w:r>
              <w:t xml:space="preserve">1,576,265 </w:t>
            </w:r>
          </w:p>
        </w:tc>
      </w:tr>
      <w:tr w:rsidR="00345EE3" w14:paraId="4C065EE0" w14:textId="77777777" w:rsidTr="00D73130">
        <w:trPr>
          <w:trHeight w:val="60"/>
        </w:trPr>
        <w:tc>
          <w:tcPr>
            <w:tcW w:w="175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2B085FD" w14:textId="77777777" w:rsidR="00345EE3" w:rsidRDefault="00345EE3" w:rsidP="00D73130">
            <w:pPr>
              <w:pStyle w:val="VicPol-TableBodyLeft-2022Tables"/>
            </w:pPr>
            <w:r>
              <w:t>Aviation</w:t>
            </w:r>
          </w:p>
        </w:tc>
        <w:tc>
          <w:tcPr>
            <w:tcW w:w="124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09110CBC" w14:textId="77777777" w:rsidR="00345EE3" w:rsidRDefault="00345EE3" w:rsidP="00D73130">
            <w:pPr>
              <w:pStyle w:val="VicPol-TableBodyRight-2022Tables"/>
            </w:pPr>
            <w:r>
              <w:t xml:space="preserve">140,313 </w:t>
            </w:r>
          </w:p>
        </w:tc>
        <w:tc>
          <w:tcPr>
            <w:tcW w:w="170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6E224942" w14:textId="77777777" w:rsidR="00345EE3" w:rsidRDefault="00345EE3" w:rsidP="00D73130">
            <w:pPr>
              <w:pStyle w:val="VicPol-TableBodyRight-2022Tables"/>
            </w:pPr>
            <w:r>
              <w:t xml:space="preserve">40,644 </w:t>
            </w:r>
          </w:p>
        </w:tc>
        <w:tc>
          <w:tcPr>
            <w:tcW w:w="124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34615553" w14:textId="77777777" w:rsidR="00345EE3" w:rsidRDefault="00345EE3" w:rsidP="00D73130">
            <w:pPr>
              <w:pStyle w:val="VicPol-TableBodyRight-2022Tables"/>
            </w:pPr>
            <w:r>
              <w:t xml:space="preserve">99,669 </w:t>
            </w:r>
          </w:p>
        </w:tc>
        <w:tc>
          <w:tcPr>
            <w:tcW w:w="1247" w:type="dxa"/>
            <w:tcBorders>
              <w:top w:val="single" w:sz="2" w:space="0" w:color="9D9C9C"/>
              <w:left w:val="single" w:sz="2" w:space="0" w:color="9D9C9C"/>
              <w:bottom w:val="single" w:sz="2" w:space="0" w:color="9D9C9C"/>
              <w:right w:val="single" w:sz="2" w:space="0" w:color="9D9C9C"/>
            </w:tcBorders>
            <w:tcMar>
              <w:top w:w="113" w:type="dxa"/>
              <w:left w:w="57" w:type="dxa"/>
              <w:bottom w:w="113" w:type="dxa"/>
              <w:right w:w="14" w:type="dxa"/>
            </w:tcMar>
          </w:tcPr>
          <w:p w14:paraId="15131DCF" w14:textId="77777777" w:rsidR="00345EE3" w:rsidRDefault="00345EE3" w:rsidP="00D73130">
            <w:pPr>
              <w:pStyle w:val="VicPol-TableBodyRight-2022Tables"/>
            </w:pPr>
            <w:r>
              <w:t xml:space="preserve">140,313 </w:t>
            </w:r>
          </w:p>
        </w:tc>
        <w:tc>
          <w:tcPr>
            <w:tcW w:w="1701" w:type="dxa"/>
            <w:tcBorders>
              <w:top w:val="single" w:sz="2" w:space="0" w:color="9D9C9C"/>
              <w:left w:val="single" w:sz="2" w:space="0" w:color="9D9C9C"/>
              <w:bottom w:val="single" w:sz="2" w:space="0" w:color="9D9C9C"/>
              <w:right w:val="single" w:sz="2" w:space="0" w:color="9D9C9C"/>
            </w:tcBorders>
            <w:tcMar>
              <w:top w:w="113" w:type="dxa"/>
              <w:left w:w="57" w:type="dxa"/>
              <w:bottom w:w="113" w:type="dxa"/>
              <w:right w:w="14" w:type="dxa"/>
            </w:tcMar>
          </w:tcPr>
          <w:p w14:paraId="196B3AB6" w14:textId="77777777" w:rsidR="00345EE3" w:rsidRDefault="00345EE3" w:rsidP="00D73130">
            <w:pPr>
              <w:pStyle w:val="VicPol-TableBodyRight-2022Tables"/>
            </w:pPr>
            <w:r>
              <w:t xml:space="preserve">27,382 </w:t>
            </w:r>
          </w:p>
        </w:tc>
        <w:tc>
          <w:tcPr>
            <w:tcW w:w="1304" w:type="dxa"/>
            <w:tcBorders>
              <w:top w:val="single" w:sz="2" w:space="0" w:color="9D9C9C"/>
              <w:left w:val="single" w:sz="2" w:space="0" w:color="9D9C9C"/>
              <w:bottom w:val="single" w:sz="2" w:space="0" w:color="9D9C9C"/>
              <w:right w:val="single" w:sz="6" w:space="0" w:color="9D9C9C"/>
            </w:tcBorders>
            <w:tcMar>
              <w:top w:w="113" w:type="dxa"/>
              <w:left w:w="57" w:type="dxa"/>
              <w:bottom w:w="113" w:type="dxa"/>
              <w:right w:w="14" w:type="dxa"/>
            </w:tcMar>
          </w:tcPr>
          <w:p w14:paraId="41B8078C" w14:textId="77777777" w:rsidR="00345EE3" w:rsidRDefault="00345EE3" w:rsidP="00D73130">
            <w:pPr>
              <w:pStyle w:val="VicPol-TableBodyRight-2022Tables"/>
            </w:pPr>
            <w:r>
              <w:t xml:space="preserve">112,931 </w:t>
            </w:r>
          </w:p>
        </w:tc>
      </w:tr>
      <w:tr w:rsidR="00345EE3" w14:paraId="05091C3A" w14:textId="77777777" w:rsidTr="00D73130">
        <w:trPr>
          <w:trHeight w:val="60"/>
        </w:trPr>
        <w:tc>
          <w:tcPr>
            <w:tcW w:w="175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B728920" w14:textId="77777777" w:rsidR="00345EE3" w:rsidRDefault="00345EE3" w:rsidP="00D73130">
            <w:pPr>
              <w:pStyle w:val="VicPol-TableBodyLeft-2022Tables"/>
            </w:pPr>
            <w:r>
              <w:t>Motor vehicles</w:t>
            </w:r>
          </w:p>
        </w:tc>
        <w:tc>
          <w:tcPr>
            <w:tcW w:w="1248" w:type="dxa"/>
            <w:tcBorders>
              <w:top w:val="single" w:sz="2" w:space="0" w:color="9D9C9C"/>
              <w:left w:val="single" w:sz="2" w:space="0" w:color="9D9C9C"/>
              <w:bottom w:val="single" w:sz="4" w:space="0" w:color="000000"/>
              <w:right w:val="single" w:sz="2" w:space="0" w:color="9D9C9C"/>
            </w:tcBorders>
            <w:shd w:val="solid" w:color="ECECEC" w:fill="auto"/>
            <w:tcMar>
              <w:top w:w="113" w:type="dxa"/>
              <w:left w:w="57" w:type="dxa"/>
              <w:bottom w:w="113" w:type="dxa"/>
              <w:right w:w="14" w:type="dxa"/>
            </w:tcMar>
          </w:tcPr>
          <w:p w14:paraId="64034A9E" w14:textId="77777777" w:rsidR="00345EE3" w:rsidRDefault="00345EE3" w:rsidP="00D73130">
            <w:pPr>
              <w:pStyle w:val="VicPol-TableBodyRight-2022Tables"/>
            </w:pPr>
            <w:r>
              <w:t xml:space="preserve">190,598 </w:t>
            </w:r>
          </w:p>
        </w:tc>
        <w:tc>
          <w:tcPr>
            <w:tcW w:w="1701" w:type="dxa"/>
            <w:tcBorders>
              <w:top w:val="single" w:sz="2" w:space="0" w:color="9D9C9C"/>
              <w:left w:val="single" w:sz="2" w:space="0" w:color="9D9C9C"/>
              <w:bottom w:val="single" w:sz="4" w:space="0" w:color="000000"/>
              <w:right w:val="single" w:sz="2" w:space="0" w:color="9D9C9C"/>
            </w:tcBorders>
            <w:shd w:val="solid" w:color="ECECEC" w:fill="auto"/>
            <w:tcMar>
              <w:top w:w="113" w:type="dxa"/>
              <w:left w:w="57" w:type="dxa"/>
              <w:bottom w:w="113" w:type="dxa"/>
              <w:right w:w="14" w:type="dxa"/>
            </w:tcMar>
          </w:tcPr>
          <w:p w14:paraId="6D527FDD" w14:textId="77777777" w:rsidR="00345EE3" w:rsidRDefault="00345EE3" w:rsidP="00D73130">
            <w:pPr>
              <w:pStyle w:val="VicPol-TableBodyRight-2022Tables"/>
            </w:pPr>
            <w:r>
              <w:t xml:space="preserve">62,656 </w:t>
            </w:r>
          </w:p>
        </w:tc>
        <w:tc>
          <w:tcPr>
            <w:tcW w:w="1247" w:type="dxa"/>
            <w:tcBorders>
              <w:top w:val="single" w:sz="2" w:space="0" w:color="9D9C9C"/>
              <w:left w:val="single" w:sz="2" w:space="0" w:color="9D9C9C"/>
              <w:bottom w:val="single" w:sz="4" w:space="0" w:color="000000"/>
              <w:right w:val="single" w:sz="2" w:space="0" w:color="9D9C9C"/>
            </w:tcBorders>
            <w:shd w:val="solid" w:color="ECECEC" w:fill="auto"/>
            <w:tcMar>
              <w:top w:w="113" w:type="dxa"/>
              <w:left w:w="57" w:type="dxa"/>
              <w:bottom w:w="113" w:type="dxa"/>
              <w:right w:w="14" w:type="dxa"/>
            </w:tcMar>
          </w:tcPr>
          <w:p w14:paraId="110033C7" w14:textId="77777777" w:rsidR="00345EE3" w:rsidRDefault="00345EE3" w:rsidP="00D73130">
            <w:pPr>
              <w:pStyle w:val="VicPol-TableBodyRight-2022Tables"/>
            </w:pPr>
            <w:r>
              <w:t xml:space="preserve">127,942 </w:t>
            </w:r>
          </w:p>
        </w:tc>
        <w:tc>
          <w:tcPr>
            <w:tcW w:w="1247" w:type="dxa"/>
            <w:tcBorders>
              <w:top w:val="single" w:sz="2" w:space="0" w:color="9D9C9C"/>
              <w:left w:val="single" w:sz="2" w:space="0" w:color="9D9C9C"/>
              <w:bottom w:val="single" w:sz="4" w:space="0" w:color="000000"/>
              <w:right w:val="single" w:sz="2" w:space="0" w:color="9D9C9C"/>
            </w:tcBorders>
            <w:tcMar>
              <w:top w:w="113" w:type="dxa"/>
              <w:left w:w="57" w:type="dxa"/>
              <w:bottom w:w="113" w:type="dxa"/>
              <w:right w:w="14" w:type="dxa"/>
            </w:tcMar>
          </w:tcPr>
          <w:p w14:paraId="4FCF21BF" w14:textId="77777777" w:rsidR="00345EE3" w:rsidRDefault="00345EE3" w:rsidP="00D73130">
            <w:pPr>
              <w:pStyle w:val="VicPol-TableBodyRight-2022Tables"/>
            </w:pPr>
            <w:r>
              <w:t xml:space="preserve">172,392 </w:t>
            </w:r>
          </w:p>
        </w:tc>
        <w:tc>
          <w:tcPr>
            <w:tcW w:w="1701" w:type="dxa"/>
            <w:tcBorders>
              <w:top w:val="single" w:sz="2" w:space="0" w:color="9D9C9C"/>
              <w:left w:val="single" w:sz="2" w:space="0" w:color="9D9C9C"/>
              <w:bottom w:val="single" w:sz="4" w:space="0" w:color="000000"/>
              <w:right w:val="single" w:sz="2" w:space="0" w:color="9D9C9C"/>
            </w:tcBorders>
            <w:tcMar>
              <w:top w:w="113" w:type="dxa"/>
              <w:left w:w="57" w:type="dxa"/>
              <w:bottom w:w="113" w:type="dxa"/>
              <w:right w:w="14" w:type="dxa"/>
            </w:tcMar>
          </w:tcPr>
          <w:p w14:paraId="584E8F07" w14:textId="77777777" w:rsidR="00345EE3" w:rsidRDefault="00345EE3" w:rsidP="00D73130">
            <w:pPr>
              <w:pStyle w:val="VicPol-TableBodyRight-2022Tables"/>
            </w:pPr>
            <w:r>
              <w:t xml:space="preserve">59,149 </w:t>
            </w:r>
          </w:p>
        </w:tc>
        <w:tc>
          <w:tcPr>
            <w:tcW w:w="1304" w:type="dxa"/>
            <w:tcBorders>
              <w:top w:val="single" w:sz="2" w:space="0" w:color="9D9C9C"/>
              <w:left w:val="single" w:sz="2" w:space="0" w:color="9D9C9C"/>
              <w:bottom w:val="single" w:sz="4" w:space="0" w:color="000000"/>
              <w:right w:val="single" w:sz="6" w:space="0" w:color="9D9C9C"/>
            </w:tcBorders>
            <w:tcMar>
              <w:top w:w="113" w:type="dxa"/>
              <w:left w:w="57" w:type="dxa"/>
              <w:bottom w:w="113" w:type="dxa"/>
              <w:right w:w="14" w:type="dxa"/>
            </w:tcMar>
          </w:tcPr>
          <w:p w14:paraId="58D1D5EF" w14:textId="77777777" w:rsidR="00345EE3" w:rsidRDefault="00345EE3" w:rsidP="00D73130">
            <w:pPr>
              <w:pStyle w:val="VicPol-TableBodyRight-2022Tables"/>
            </w:pPr>
            <w:r>
              <w:t xml:space="preserve">113,243 </w:t>
            </w:r>
          </w:p>
        </w:tc>
      </w:tr>
      <w:tr w:rsidR="00345EE3" w14:paraId="66DEEBA8" w14:textId="77777777" w:rsidTr="00D73130">
        <w:trPr>
          <w:trHeight w:val="60"/>
        </w:trPr>
        <w:tc>
          <w:tcPr>
            <w:tcW w:w="175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498C8DD9" w14:textId="77777777" w:rsidR="00345EE3" w:rsidRDefault="00345EE3" w:rsidP="00D73130">
            <w:pPr>
              <w:pStyle w:val="VicPol-TableBodyLeft-2022Tables"/>
            </w:pPr>
            <w:r>
              <w:rPr>
                <w:rStyle w:val="Heavy"/>
              </w:rPr>
              <w:t xml:space="preserve">Closing Balance – </w:t>
            </w:r>
            <w:r>
              <w:rPr>
                <w:rStyle w:val="Heavy"/>
              </w:rPr>
              <w:br/>
              <w:t>30 June 2022</w:t>
            </w:r>
          </w:p>
        </w:tc>
        <w:tc>
          <w:tcPr>
            <w:tcW w:w="1248" w:type="dxa"/>
            <w:tcBorders>
              <w:top w:val="single" w:sz="4" w:space="0" w:color="000000"/>
              <w:left w:val="single" w:sz="2" w:space="0" w:color="9D9C9C"/>
              <w:bottom w:val="single" w:sz="8" w:space="0" w:color="000000"/>
              <w:right w:val="single" w:sz="2" w:space="0" w:color="9D9C9C"/>
            </w:tcBorders>
            <w:shd w:val="solid" w:color="ECECEC" w:fill="auto"/>
            <w:tcMar>
              <w:top w:w="113" w:type="dxa"/>
              <w:left w:w="57" w:type="dxa"/>
              <w:bottom w:w="113" w:type="dxa"/>
              <w:right w:w="14" w:type="dxa"/>
            </w:tcMar>
          </w:tcPr>
          <w:p w14:paraId="302AA130" w14:textId="77777777" w:rsidR="00345EE3" w:rsidRDefault="00345EE3" w:rsidP="00D73130">
            <w:pPr>
              <w:pStyle w:val="VicPol-TableBodyRight-2022Tables"/>
            </w:pPr>
            <w:r>
              <w:rPr>
                <w:rStyle w:val="Heavy"/>
                <w:spacing w:val="0"/>
              </w:rPr>
              <w:t xml:space="preserve">2,056,217 </w:t>
            </w:r>
          </w:p>
        </w:tc>
        <w:tc>
          <w:tcPr>
            <w:tcW w:w="1701" w:type="dxa"/>
            <w:tcBorders>
              <w:top w:val="single" w:sz="4" w:space="0" w:color="000000"/>
              <w:left w:val="single" w:sz="2" w:space="0" w:color="9D9C9C"/>
              <w:bottom w:val="single" w:sz="8" w:space="0" w:color="000000"/>
              <w:right w:val="single" w:sz="2" w:space="0" w:color="9D9C9C"/>
            </w:tcBorders>
            <w:shd w:val="solid" w:color="ECECEC" w:fill="auto"/>
            <w:tcMar>
              <w:top w:w="113" w:type="dxa"/>
              <w:left w:w="57" w:type="dxa"/>
              <w:bottom w:w="113" w:type="dxa"/>
              <w:right w:w="14" w:type="dxa"/>
            </w:tcMar>
          </w:tcPr>
          <w:p w14:paraId="6E7682BB" w14:textId="77777777" w:rsidR="00345EE3" w:rsidRDefault="00345EE3" w:rsidP="00D73130">
            <w:pPr>
              <w:pStyle w:val="VicPol-TableBodyRight-2022Tables"/>
            </w:pPr>
            <w:r>
              <w:rPr>
                <w:rStyle w:val="Heavy"/>
                <w:spacing w:val="0"/>
              </w:rPr>
              <w:t xml:space="preserve">314,076 </w:t>
            </w:r>
          </w:p>
        </w:tc>
        <w:tc>
          <w:tcPr>
            <w:tcW w:w="1247" w:type="dxa"/>
            <w:tcBorders>
              <w:top w:val="single" w:sz="4" w:space="0" w:color="000000"/>
              <w:left w:val="single" w:sz="2" w:space="0" w:color="9D9C9C"/>
              <w:bottom w:val="single" w:sz="8" w:space="0" w:color="000000"/>
              <w:right w:val="single" w:sz="2" w:space="0" w:color="9D9C9C"/>
            </w:tcBorders>
            <w:shd w:val="solid" w:color="ECECEC" w:fill="auto"/>
            <w:tcMar>
              <w:top w:w="113" w:type="dxa"/>
              <w:left w:w="57" w:type="dxa"/>
              <w:bottom w:w="113" w:type="dxa"/>
              <w:right w:w="14" w:type="dxa"/>
            </w:tcMar>
          </w:tcPr>
          <w:p w14:paraId="53822709" w14:textId="77777777" w:rsidR="00345EE3" w:rsidRDefault="00345EE3" w:rsidP="00D73130">
            <w:pPr>
              <w:pStyle w:val="VicPol-TableBodyRight-2022Tables"/>
            </w:pPr>
            <w:r>
              <w:rPr>
                <w:rStyle w:val="Heavy"/>
                <w:spacing w:val="0"/>
              </w:rPr>
              <w:t xml:space="preserve">1,742,141 </w:t>
            </w:r>
          </w:p>
        </w:tc>
        <w:tc>
          <w:tcPr>
            <w:tcW w:w="1247" w:type="dxa"/>
            <w:tcBorders>
              <w:top w:val="single" w:sz="4" w:space="0" w:color="000000"/>
              <w:left w:val="single" w:sz="2" w:space="0" w:color="9D9C9C"/>
              <w:bottom w:val="single" w:sz="8" w:space="0" w:color="000000"/>
              <w:right w:val="single" w:sz="2" w:space="0" w:color="9D9C9C"/>
            </w:tcBorders>
            <w:tcMar>
              <w:top w:w="113" w:type="dxa"/>
              <w:left w:w="57" w:type="dxa"/>
              <w:bottom w:w="113" w:type="dxa"/>
              <w:right w:w="14" w:type="dxa"/>
            </w:tcMar>
          </w:tcPr>
          <w:p w14:paraId="43205BB6" w14:textId="77777777" w:rsidR="00345EE3" w:rsidRDefault="00345EE3" w:rsidP="00D73130">
            <w:pPr>
              <w:pStyle w:val="VicPol-TableBodyRight-2022Tables"/>
            </w:pPr>
            <w:r>
              <w:rPr>
                <w:rStyle w:val="Heavy"/>
                <w:spacing w:val="0"/>
              </w:rPr>
              <w:t xml:space="preserve">2,041,831 </w:t>
            </w:r>
          </w:p>
        </w:tc>
        <w:tc>
          <w:tcPr>
            <w:tcW w:w="1701" w:type="dxa"/>
            <w:tcBorders>
              <w:top w:val="single" w:sz="4" w:space="0" w:color="000000"/>
              <w:left w:val="single" w:sz="2" w:space="0" w:color="9D9C9C"/>
              <w:bottom w:val="single" w:sz="8" w:space="0" w:color="000000"/>
              <w:right w:val="single" w:sz="2" w:space="0" w:color="9D9C9C"/>
            </w:tcBorders>
            <w:tcMar>
              <w:top w:w="113" w:type="dxa"/>
              <w:left w:w="57" w:type="dxa"/>
              <w:bottom w:w="113" w:type="dxa"/>
              <w:right w:w="14" w:type="dxa"/>
            </w:tcMar>
          </w:tcPr>
          <w:p w14:paraId="4B6B2DFB" w14:textId="77777777" w:rsidR="00345EE3" w:rsidRDefault="00345EE3" w:rsidP="00D73130">
            <w:pPr>
              <w:pStyle w:val="VicPol-TableBodyRight-2022Tables"/>
            </w:pPr>
            <w:r>
              <w:rPr>
                <w:rStyle w:val="Heavy"/>
                <w:spacing w:val="0"/>
              </w:rPr>
              <w:t xml:space="preserve">225,024 </w:t>
            </w:r>
          </w:p>
        </w:tc>
        <w:tc>
          <w:tcPr>
            <w:tcW w:w="1304" w:type="dxa"/>
            <w:tcBorders>
              <w:top w:val="single" w:sz="4" w:space="0" w:color="000000"/>
              <w:left w:val="single" w:sz="2" w:space="0" w:color="9D9C9C"/>
              <w:bottom w:val="single" w:sz="8" w:space="0" w:color="000000"/>
              <w:right w:val="single" w:sz="6" w:space="0" w:color="9D9C9C"/>
            </w:tcBorders>
            <w:tcMar>
              <w:top w:w="113" w:type="dxa"/>
              <w:left w:w="57" w:type="dxa"/>
              <w:bottom w:w="113" w:type="dxa"/>
              <w:right w:w="14" w:type="dxa"/>
            </w:tcMar>
          </w:tcPr>
          <w:p w14:paraId="69CFE05B" w14:textId="77777777" w:rsidR="00345EE3" w:rsidRDefault="00345EE3" w:rsidP="00D73130">
            <w:pPr>
              <w:pStyle w:val="VicPol-TableBodyRight-2022Tables"/>
            </w:pPr>
            <w:r>
              <w:rPr>
                <w:rStyle w:val="Heavy"/>
                <w:spacing w:val="0"/>
              </w:rPr>
              <w:t>1,816,807</w:t>
            </w:r>
          </w:p>
        </w:tc>
      </w:tr>
    </w:tbl>
    <w:p w14:paraId="11037BC1" w14:textId="77777777" w:rsidR="00345EE3" w:rsidRDefault="00345EE3" w:rsidP="00345EE3">
      <w:pPr>
        <w:pStyle w:val="VicPol-Header3-2022Headings"/>
        <w:ind w:left="142"/>
        <w:rPr>
          <w:color w:val="3D68AD"/>
        </w:rPr>
      </w:pPr>
    </w:p>
    <w:p w14:paraId="4DAF47EB" w14:textId="77777777" w:rsidR="00345EE3" w:rsidRDefault="00345EE3" w:rsidP="00345EE3">
      <w:pPr>
        <w:rPr>
          <w:rFonts w:eastAsiaTheme="minorHAnsi"/>
          <w:b/>
          <w:bCs/>
          <w:color w:val="3D68AD"/>
          <w:sz w:val="28"/>
          <w:szCs w:val="28"/>
          <w:lang w:val="en-GB"/>
        </w:rPr>
      </w:pPr>
      <w:r>
        <w:rPr>
          <w:color w:val="3D68AD"/>
        </w:rPr>
        <w:br w:type="page"/>
      </w:r>
    </w:p>
    <w:p w14:paraId="5866F409" w14:textId="77777777" w:rsidR="00345EE3" w:rsidRPr="00BC7507" w:rsidRDefault="00345EE3" w:rsidP="00345EE3">
      <w:pPr>
        <w:pStyle w:val="VicPol-Header3-2022Headings"/>
        <w:ind w:left="142"/>
        <w:rPr>
          <w:b w:val="0"/>
          <w:bCs w:val="0"/>
          <w:color w:val="3D68AD"/>
          <w:spacing w:val="-3"/>
          <w:sz w:val="18"/>
          <w:szCs w:val="18"/>
        </w:rPr>
      </w:pPr>
      <w:r w:rsidRPr="00BC7507">
        <w:rPr>
          <w:color w:val="3D68AD"/>
        </w:rPr>
        <w:t>5.1(a) Total Right-of-Use Assets: Buildings, Plant, Equipment and Vehicles (Cont’d)</w:t>
      </w:r>
    </w:p>
    <w:tbl>
      <w:tblPr>
        <w:tblW w:w="10205" w:type="dxa"/>
        <w:tblInd w:w="156" w:type="dxa"/>
        <w:tblLayout w:type="fixed"/>
        <w:tblCellMar>
          <w:left w:w="0" w:type="dxa"/>
          <w:right w:w="0" w:type="dxa"/>
        </w:tblCellMar>
        <w:tblLook w:val="0000" w:firstRow="0" w:lastRow="0" w:firstColumn="0" w:lastColumn="0" w:noHBand="0" w:noVBand="0"/>
      </w:tblPr>
      <w:tblGrid>
        <w:gridCol w:w="4082"/>
        <w:gridCol w:w="1134"/>
        <w:gridCol w:w="1304"/>
        <w:gridCol w:w="1190"/>
        <w:gridCol w:w="1191"/>
        <w:gridCol w:w="1304"/>
      </w:tblGrid>
      <w:tr w:rsidR="00345EE3" w:rsidRPr="00BC7507" w14:paraId="04ECDA82" w14:textId="77777777" w:rsidTr="00D73130">
        <w:trPr>
          <w:trHeight w:val="60"/>
          <w:tblHeader/>
        </w:trPr>
        <w:tc>
          <w:tcPr>
            <w:tcW w:w="10205" w:type="dxa"/>
            <w:gridSpan w:val="6"/>
            <w:tcBorders>
              <w:top w:val="single" w:sz="6" w:space="0" w:color="auto"/>
              <w:left w:val="single" w:sz="6" w:space="0" w:color="004996"/>
              <w:bottom w:val="single" w:sz="2" w:space="0" w:color="FFFFFF"/>
              <w:right w:val="single" w:sz="6" w:space="0" w:color="auto"/>
            </w:tcBorders>
            <w:shd w:val="solid" w:color="004996" w:fill="auto"/>
            <w:tcMar>
              <w:top w:w="113" w:type="dxa"/>
              <w:left w:w="14" w:type="dxa"/>
              <w:bottom w:w="113" w:type="dxa"/>
              <w:right w:w="14" w:type="dxa"/>
            </w:tcMar>
          </w:tcPr>
          <w:p w14:paraId="00ACEC2B"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BC7507">
              <w:rPr>
                <w:rFonts w:eastAsiaTheme="minorHAnsi"/>
                <w:b/>
                <w:bCs/>
                <w:color w:val="FFFFFF"/>
                <w:spacing w:val="-2"/>
                <w:sz w:val="24"/>
                <w:szCs w:val="24"/>
                <w:lang w:val="en-GB"/>
              </w:rPr>
              <w:t>($ thousand)</w:t>
            </w:r>
          </w:p>
        </w:tc>
      </w:tr>
      <w:tr w:rsidR="00345EE3" w:rsidRPr="00BC7507" w14:paraId="00F9C5B2" w14:textId="77777777" w:rsidTr="00D73130">
        <w:trPr>
          <w:trHeight w:val="60"/>
          <w:tblHeader/>
        </w:trPr>
        <w:tc>
          <w:tcPr>
            <w:tcW w:w="4082"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0D875924" w14:textId="77777777" w:rsidR="00345EE3" w:rsidRPr="00BC7507"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C7363A0"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BC7507">
              <w:rPr>
                <w:rFonts w:eastAsiaTheme="minorHAnsi"/>
                <w:b/>
                <w:bCs/>
                <w:color w:val="FFFFFF"/>
                <w:spacing w:val="-2"/>
                <w:sz w:val="24"/>
                <w:szCs w:val="24"/>
                <w:lang w:val="en-GB"/>
              </w:rPr>
              <w:t>Land</w:t>
            </w:r>
          </w:p>
        </w:tc>
        <w:tc>
          <w:tcPr>
            <w:tcW w:w="130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1C1A569"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BC7507">
              <w:rPr>
                <w:rFonts w:eastAsiaTheme="minorHAnsi"/>
                <w:b/>
                <w:bCs/>
                <w:color w:val="FFFFFF"/>
                <w:spacing w:val="-2"/>
                <w:sz w:val="24"/>
                <w:szCs w:val="24"/>
                <w:lang w:val="en-GB"/>
              </w:rPr>
              <w:t>Buildings</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CF3603F"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BC7507">
              <w:rPr>
                <w:rFonts w:eastAsiaTheme="minorHAnsi"/>
                <w:b/>
                <w:bCs/>
                <w:color w:val="FFFFFF"/>
                <w:spacing w:val="-2"/>
                <w:sz w:val="24"/>
                <w:szCs w:val="24"/>
                <w:lang w:val="en-GB"/>
              </w:rPr>
              <w:t>Aviation</w:t>
            </w:r>
          </w:p>
        </w:tc>
        <w:tc>
          <w:tcPr>
            <w:tcW w:w="119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FC02615"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BC7507">
              <w:rPr>
                <w:rFonts w:eastAsiaTheme="minorHAnsi"/>
                <w:b/>
                <w:bCs/>
                <w:color w:val="FFFFFF"/>
                <w:spacing w:val="-2"/>
                <w:sz w:val="24"/>
                <w:szCs w:val="24"/>
                <w:lang w:val="en-GB"/>
              </w:rPr>
              <w:t>Motor Vehicles</w:t>
            </w:r>
          </w:p>
        </w:tc>
        <w:tc>
          <w:tcPr>
            <w:tcW w:w="130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7981BB4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BC7507">
              <w:rPr>
                <w:rFonts w:eastAsiaTheme="minorHAnsi"/>
                <w:b/>
                <w:bCs/>
                <w:color w:val="FFFFFF"/>
                <w:spacing w:val="-2"/>
                <w:sz w:val="24"/>
                <w:szCs w:val="24"/>
                <w:lang w:val="en-GB"/>
              </w:rPr>
              <w:t>Total</w:t>
            </w:r>
          </w:p>
        </w:tc>
      </w:tr>
      <w:tr w:rsidR="00345EE3" w:rsidRPr="00BC7507" w14:paraId="6E0C779E"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921F4BD"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Opening balance – 1 July 2021</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6B6BD8A"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14,368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B925C64"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1,576,265 </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8EF574D"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112,932 </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0F4D8D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113,242 </w:t>
            </w:r>
          </w:p>
        </w:tc>
        <w:tc>
          <w:tcPr>
            <w:tcW w:w="130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C2EE4CE"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1,816,807 </w:t>
            </w:r>
          </w:p>
        </w:tc>
      </w:tr>
      <w:tr w:rsidR="00345EE3" w:rsidRPr="00BC7507" w14:paraId="36B365A2"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F55DEDC"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Additions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C537E81"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A28F9F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666 </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09A60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A32868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72,894 </w:t>
            </w:r>
          </w:p>
        </w:tc>
        <w:tc>
          <w:tcPr>
            <w:tcW w:w="130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F60914E"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73,560 </w:t>
            </w:r>
          </w:p>
        </w:tc>
      </w:tr>
      <w:tr w:rsidR="00345EE3" w:rsidRPr="00BC7507" w14:paraId="35362394"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B4EBAEA"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Disposals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6656C4A"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BF81F15"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8CD5E6B"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ABF706"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(15,157)</w:t>
            </w:r>
          </w:p>
        </w:tc>
        <w:tc>
          <w:tcPr>
            <w:tcW w:w="130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5309E50"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(15,157)</w:t>
            </w:r>
          </w:p>
        </w:tc>
      </w:tr>
      <w:tr w:rsidR="00345EE3" w:rsidRPr="00BC7507" w14:paraId="7F546309"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8FFA74C"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Adjustment to carrying value of right-of-use assets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C21A34"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B73FFA6"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(4,351)</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C237D70"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90257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CF99EF8"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(4,351)</w:t>
            </w:r>
          </w:p>
        </w:tc>
      </w:tr>
      <w:tr w:rsidR="00345EE3" w:rsidRPr="00BC7507" w14:paraId="2E37FFFA"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3685364"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Transfers (to)/from assets classified as held for sale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4541EB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A2BF25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2FD61A8"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D982047"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(2,406)</w:t>
            </w:r>
          </w:p>
        </w:tc>
        <w:tc>
          <w:tcPr>
            <w:tcW w:w="130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01B311E"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(2,406)</w:t>
            </w:r>
          </w:p>
        </w:tc>
      </w:tr>
      <w:tr w:rsidR="00345EE3" w:rsidRPr="00BC7507" w14:paraId="218655C8" w14:textId="77777777" w:rsidTr="00D73130">
        <w:trPr>
          <w:trHeight w:val="60"/>
        </w:trPr>
        <w:tc>
          <w:tcPr>
            <w:tcW w:w="4082"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3563D684"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Depreciation</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2294CC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(644)</w:t>
            </w:r>
          </w:p>
        </w:tc>
        <w:tc>
          <w:tcPr>
            <w:tcW w:w="130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572A145"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(71,774)</w:t>
            </w:r>
          </w:p>
        </w:tc>
        <w:tc>
          <w:tcPr>
            <w:tcW w:w="1190"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9A19208"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(13,263)</w:t>
            </w:r>
          </w:p>
        </w:tc>
        <w:tc>
          <w:tcPr>
            <w:tcW w:w="1191"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66C1F0F"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(40,631)</w:t>
            </w:r>
          </w:p>
        </w:tc>
        <w:tc>
          <w:tcPr>
            <w:tcW w:w="130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2CF080B4"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(126,312)</w:t>
            </w:r>
          </w:p>
        </w:tc>
      </w:tr>
      <w:tr w:rsidR="00345EE3" w:rsidRPr="00BC7507" w14:paraId="16392DA2" w14:textId="77777777" w:rsidTr="00D73130">
        <w:trPr>
          <w:trHeight w:val="60"/>
        </w:trPr>
        <w:tc>
          <w:tcPr>
            <w:tcW w:w="4082"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39958BB6"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b/>
                <w:bCs/>
                <w:color w:val="000000"/>
                <w:sz w:val="24"/>
                <w:szCs w:val="24"/>
                <w:lang w:val="en-GB"/>
              </w:rPr>
              <w:t>Closing balance – 30 June 2022</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91D857B"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13,724 </w:t>
            </w:r>
          </w:p>
        </w:tc>
        <w:tc>
          <w:tcPr>
            <w:tcW w:w="130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C969AA6"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1,500,806 </w:t>
            </w:r>
          </w:p>
        </w:tc>
        <w:tc>
          <w:tcPr>
            <w:tcW w:w="1190"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8B79969"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99,669 </w:t>
            </w:r>
          </w:p>
        </w:tc>
        <w:tc>
          <w:tcPr>
            <w:tcW w:w="1191"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685397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127,942 </w:t>
            </w:r>
          </w:p>
        </w:tc>
        <w:tc>
          <w:tcPr>
            <w:tcW w:w="130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2FF99E4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1,742,141 </w:t>
            </w:r>
          </w:p>
        </w:tc>
      </w:tr>
      <w:tr w:rsidR="00345EE3" w:rsidRPr="00BC7507" w14:paraId="1933197B" w14:textId="77777777" w:rsidTr="00D73130">
        <w:trPr>
          <w:trHeight w:val="60"/>
        </w:trPr>
        <w:tc>
          <w:tcPr>
            <w:tcW w:w="4082"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2A9869A8"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Opening balance – 1 July 2020</w:t>
            </w: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341A28A6"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6A96413E"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638,973 </w:t>
            </w:r>
          </w:p>
        </w:tc>
        <w:tc>
          <w:tcPr>
            <w:tcW w:w="1190"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2151D8AB"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37,154 </w:t>
            </w:r>
          </w:p>
        </w:tc>
        <w:tc>
          <w:tcPr>
            <w:tcW w:w="1191"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5BF1D63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104,708 </w:t>
            </w:r>
          </w:p>
        </w:tc>
        <w:tc>
          <w:tcPr>
            <w:tcW w:w="1304" w:type="dxa"/>
            <w:tcBorders>
              <w:top w:val="single" w:sz="8"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67B4ABE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780,835 </w:t>
            </w:r>
          </w:p>
        </w:tc>
      </w:tr>
      <w:tr w:rsidR="00345EE3" w:rsidRPr="00BC7507" w14:paraId="79966BEE"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8653A61"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Additions</w:t>
            </w:r>
            <w:r w:rsidRPr="00BC7507">
              <w:rPr>
                <w:rFonts w:eastAsiaTheme="minorHAnsi"/>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7D8C01"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14,958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70EA5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962,091 </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3DBD01F"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93,310 </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CC031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55,298 </w:t>
            </w:r>
          </w:p>
        </w:tc>
        <w:tc>
          <w:tcPr>
            <w:tcW w:w="130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7A03ED0"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1,125,657 </w:t>
            </w:r>
          </w:p>
        </w:tc>
      </w:tr>
      <w:tr w:rsidR="00345EE3" w:rsidRPr="00BC7507" w14:paraId="65E337F6"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AB77669"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Disposals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B4651D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3BD973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5E0B97"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(3,987)</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EF8310"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(10,837)</w:t>
            </w:r>
          </w:p>
        </w:tc>
        <w:tc>
          <w:tcPr>
            <w:tcW w:w="130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C83C32B"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(14,824)</w:t>
            </w:r>
          </w:p>
        </w:tc>
      </w:tr>
      <w:tr w:rsidR="00345EE3" w:rsidRPr="00BC7507" w14:paraId="0AF0C854"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8E6D592"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Adjustment to carrying value of right-of-use assets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A9C2FE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4E5D5E1"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54,623 </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4AFE57"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1,350 </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80C352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75F37EA"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55,973 </w:t>
            </w:r>
          </w:p>
        </w:tc>
      </w:tr>
      <w:tr w:rsidR="00345EE3" w:rsidRPr="00BC7507" w14:paraId="3E00DB81"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241FA75"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Transfers (to)/from assets classified as held for sale</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324055"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ADAD0F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8ECC79"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4721C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1,238 </w:t>
            </w:r>
          </w:p>
        </w:tc>
        <w:tc>
          <w:tcPr>
            <w:tcW w:w="130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FE70D94"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1,238 </w:t>
            </w:r>
          </w:p>
        </w:tc>
      </w:tr>
      <w:tr w:rsidR="00345EE3" w:rsidRPr="00BC7507" w14:paraId="12379EB8" w14:textId="77777777" w:rsidTr="00D73130">
        <w:trPr>
          <w:trHeight w:val="60"/>
        </w:trPr>
        <w:tc>
          <w:tcPr>
            <w:tcW w:w="4082"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41F1BD8D"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Depreciation</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7201B45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(590)</w:t>
            </w:r>
          </w:p>
        </w:tc>
        <w:tc>
          <w:tcPr>
            <w:tcW w:w="130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466F8F6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(79,422)</w:t>
            </w:r>
          </w:p>
        </w:tc>
        <w:tc>
          <w:tcPr>
            <w:tcW w:w="1190"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40DDEFC9"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(14,895)</w:t>
            </w:r>
          </w:p>
        </w:tc>
        <w:tc>
          <w:tcPr>
            <w:tcW w:w="1191"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1D44CBC9"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(37,165)</w:t>
            </w:r>
          </w:p>
        </w:tc>
        <w:tc>
          <w:tcPr>
            <w:tcW w:w="130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734AA8B8"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(132,072)</w:t>
            </w:r>
          </w:p>
        </w:tc>
      </w:tr>
      <w:tr w:rsidR="00345EE3" w:rsidRPr="00BC7507" w14:paraId="5E9A615C" w14:textId="77777777" w:rsidTr="00D73130">
        <w:trPr>
          <w:trHeight w:val="60"/>
        </w:trPr>
        <w:tc>
          <w:tcPr>
            <w:tcW w:w="4082"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7AD0C6B1"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b/>
                <w:bCs/>
                <w:color w:val="000000"/>
                <w:sz w:val="24"/>
                <w:szCs w:val="24"/>
                <w:lang w:val="en-GB"/>
              </w:rPr>
              <w:t>Closing balance – 30 June 2021</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366369F0"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14,368 </w:t>
            </w:r>
          </w:p>
        </w:tc>
        <w:tc>
          <w:tcPr>
            <w:tcW w:w="130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1EE3FCE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1,576,265 </w:t>
            </w:r>
          </w:p>
        </w:tc>
        <w:tc>
          <w:tcPr>
            <w:tcW w:w="1190"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2B6AB05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112,932 </w:t>
            </w:r>
          </w:p>
        </w:tc>
        <w:tc>
          <w:tcPr>
            <w:tcW w:w="1191"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36FAF150"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113,242 </w:t>
            </w:r>
          </w:p>
        </w:tc>
        <w:tc>
          <w:tcPr>
            <w:tcW w:w="130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54085464"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1,816,807</w:t>
            </w:r>
          </w:p>
        </w:tc>
      </w:tr>
    </w:tbl>
    <w:p w14:paraId="6395E8E0" w14:textId="77777777" w:rsidR="00345EE3" w:rsidRPr="000C71FB" w:rsidRDefault="00345EE3" w:rsidP="00345EE3">
      <w:pPr>
        <w:spacing w:before="99"/>
        <w:ind w:left="110"/>
        <w:rPr>
          <w:rFonts w:ascii="Arial-BoldItalicMT"/>
          <w:b/>
          <w:i/>
          <w:sz w:val="18"/>
          <w:szCs w:val="18"/>
        </w:rPr>
      </w:pPr>
      <w:r w:rsidRPr="000C71FB">
        <w:rPr>
          <w:rFonts w:ascii="Arial-BoldItalicMT"/>
          <w:b/>
          <w:i/>
          <w:color w:val="231F20"/>
          <w:spacing w:val="-2"/>
          <w:sz w:val="18"/>
          <w:szCs w:val="18"/>
        </w:rPr>
        <w:t>Note:</w:t>
      </w:r>
    </w:p>
    <w:p w14:paraId="0913CD25" w14:textId="77777777" w:rsidR="00345EE3" w:rsidRPr="000C71FB" w:rsidRDefault="00345EE3">
      <w:pPr>
        <w:pStyle w:val="ListParagraph"/>
        <w:numPr>
          <w:ilvl w:val="0"/>
          <w:numId w:val="36"/>
        </w:numPr>
        <w:tabs>
          <w:tab w:val="left" w:pos="338"/>
        </w:tabs>
        <w:spacing w:before="27"/>
        <w:ind w:right="342"/>
        <w:rPr>
          <w:color w:val="231F20"/>
          <w:sz w:val="18"/>
          <w:szCs w:val="18"/>
        </w:rPr>
      </w:pPr>
      <w:r w:rsidRPr="000C71FB">
        <w:rPr>
          <w:color w:val="231F20"/>
          <w:sz w:val="18"/>
          <w:szCs w:val="18"/>
        </w:rPr>
        <w:t>The</w:t>
      </w:r>
      <w:r w:rsidRPr="000C71FB">
        <w:rPr>
          <w:color w:val="231F20"/>
          <w:spacing w:val="-2"/>
          <w:sz w:val="18"/>
          <w:szCs w:val="18"/>
        </w:rPr>
        <w:t xml:space="preserve"> </w:t>
      </w:r>
      <w:r w:rsidRPr="000C71FB">
        <w:rPr>
          <w:color w:val="231F20"/>
          <w:sz w:val="18"/>
          <w:szCs w:val="18"/>
        </w:rPr>
        <w:t>additions</w:t>
      </w:r>
      <w:r w:rsidRPr="000C71FB">
        <w:rPr>
          <w:color w:val="231F20"/>
          <w:spacing w:val="-2"/>
          <w:sz w:val="18"/>
          <w:szCs w:val="18"/>
        </w:rPr>
        <w:t xml:space="preserve"> </w:t>
      </w:r>
      <w:r w:rsidRPr="000C71FB">
        <w:rPr>
          <w:color w:val="231F20"/>
          <w:sz w:val="18"/>
          <w:szCs w:val="18"/>
        </w:rPr>
        <w:t>to</w:t>
      </w:r>
      <w:r w:rsidRPr="000C71FB">
        <w:rPr>
          <w:color w:val="231F20"/>
          <w:spacing w:val="-2"/>
          <w:sz w:val="18"/>
          <w:szCs w:val="18"/>
        </w:rPr>
        <w:t xml:space="preserve"> </w:t>
      </w:r>
      <w:r w:rsidRPr="000C71FB">
        <w:rPr>
          <w:color w:val="231F20"/>
          <w:sz w:val="18"/>
          <w:szCs w:val="18"/>
        </w:rPr>
        <w:t>buildings</w:t>
      </w:r>
      <w:r w:rsidRPr="000C71FB">
        <w:rPr>
          <w:color w:val="231F20"/>
          <w:spacing w:val="-2"/>
          <w:sz w:val="18"/>
          <w:szCs w:val="18"/>
        </w:rPr>
        <w:t xml:space="preserve"> </w:t>
      </w:r>
      <w:r w:rsidRPr="000C71FB">
        <w:rPr>
          <w:color w:val="231F20"/>
          <w:sz w:val="18"/>
          <w:szCs w:val="18"/>
        </w:rPr>
        <w:t>relate</w:t>
      </w:r>
      <w:r w:rsidRPr="000C71FB">
        <w:rPr>
          <w:color w:val="231F20"/>
          <w:spacing w:val="-2"/>
          <w:sz w:val="18"/>
          <w:szCs w:val="18"/>
        </w:rPr>
        <w:t xml:space="preserve"> </w:t>
      </w:r>
      <w:r w:rsidRPr="000C71FB">
        <w:rPr>
          <w:color w:val="231F20"/>
          <w:sz w:val="18"/>
          <w:szCs w:val="18"/>
        </w:rPr>
        <w:t>primarily</w:t>
      </w:r>
      <w:r w:rsidRPr="000C71FB">
        <w:rPr>
          <w:color w:val="231F20"/>
          <w:spacing w:val="-2"/>
          <w:sz w:val="18"/>
          <w:szCs w:val="18"/>
        </w:rPr>
        <w:t xml:space="preserve"> </w:t>
      </w:r>
      <w:r w:rsidRPr="000C71FB">
        <w:rPr>
          <w:color w:val="231F20"/>
          <w:sz w:val="18"/>
          <w:szCs w:val="18"/>
        </w:rPr>
        <w:t>to</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new</w:t>
      </w:r>
      <w:r w:rsidRPr="000C71FB">
        <w:rPr>
          <w:color w:val="231F20"/>
          <w:spacing w:val="-2"/>
          <w:sz w:val="18"/>
          <w:szCs w:val="18"/>
        </w:rPr>
        <w:t xml:space="preserve"> </w:t>
      </w:r>
      <w:r w:rsidRPr="000C71FB">
        <w:rPr>
          <w:color w:val="231F20"/>
          <w:sz w:val="18"/>
          <w:szCs w:val="18"/>
        </w:rPr>
        <w:t>Victoria</w:t>
      </w:r>
      <w:r w:rsidRPr="000C71FB">
        <w:rPr>
          <w:color w:val="231F20"/>
          <w:spacing w:val="-2"/>
          <w:sz w:val="18"/>
          <w:szCs w:val="18"/>
        </w:rPr>
        <w:t xml:space="preserve"> </w:t>
      </w:r>
      <w:r w:rsidRPr="000C71FB">
        <w:rPr>
          <w:color w:val="231F20"/>
          <w:sz w:val="18"/>
          <w:szCs w:val="18"/>
        </w:rPr>
        <w:t>Police</w:t>
      </w:r>
      <w:r w:rsidRPr="000C71FB">
        <w:rPr>
          <w:color w:val="231F20"/>
          <w:spacing w:val="-2"/>
          <w:sz w:val="18"/>
          <w:szCs w:val="18"/>
        </w:rPr>
        <w:t xml:space="preserve"> </w:t>
      </w:r>
      <w:r w:rsidRPr="000C71FB">
        <w:rPr>
          <w:color w:val="231F20"/>
          <w:sz w:val="18"/>
          <w:szCs w:val="18"/>
        </w:rPr>
        <w:t>Centre</w:t>
      </w:r>
      <w:r w:rsidRPr="000C71FB">
        <w:rPr>
          <w:color w:val="231F20"/>
          <w:spacing w:val="-2"/>
          <w:sz w:val="18"/>
          <w:szCs w:val="18"/>
        </w:rPr>
        <w:t xml:space="preserve"> </w:t>
      </w:r>
      <w:r w:rsidRPr="000C71FB">
        <w:rPr>
          <w:color w:val="231F20"/>
          <w:sz w:val="18"/>
          <w:szCs w:val="18"/>
        </w:rPr>
        <w:t>(VPC)</w:t>
      </w:r>
      <w:r w:rsidRPr="000C71FB">
        <w:rPr>
          <w:color w:val="231F20"/>
          <w:spacing w:val="-2"/>
          <w:sz w:val="18"/>
          <w:szCs w:val="18"/>
        </w:rPr>
        <w:t xml:space="preserve"> </w:t>
      </w:r>
      <w:r w:rsidRPr="000C71FB">
        <w:rPr>
          <w:color w:val="231F20"/>
          <w:sz w:val="18"/>
          <w:szCs w:val="18"/>
        </w:rPr>
        <w:t>at</w:t>
      </w:r>
      <w:r w:rsidRPr="000C71FB">
        <w:rPr>
          <w:color w:val="231F20"/>
          <w:spacing w:val="-2"/>
          <w:sz w:val="18"/>
          <w:szCs w:val="18"/>
        </w:rPr>
        <w:t xml:space="preserve"> </w:t>
      </w:r>
      <w:r w:rsidRPr="000C71FB">
        <w:rPr>
          <w:color w:val="231F20"/>
          <w:sz w:val="18"/>
          <w:szCs w:val="18"/>
        </w:rPr>
        <w:t>311</w:t>
      </w:r>
      <w:r w:rsidRPr="000C71FB">
        <w:rPr>
          <w:color w:val="231F20"/>
          <w:spacing w:val="-2"/>
          <w:sz w:val="18"/>
          <w:szCs w:val="18"/>
        </w:rPr>
        <w:t xml:space="preserve"> </w:t>
      </w:r>
      <w:r w:rsidRPr="000C71FB">
        <w:rPr>
          <w:color w:val="231F20"/>
          <w:sz w:val="18"/>
          <w:szCs w:val="18"/>
        </w:rPr>
        <w:t>Spencer</w:t>
      </w:r>
      <w:r w:rsidRPr="000C71FB">
        <w:rPr>
          <w:color w:val="231F20"/>
          <w:spacing w:val="-2"/>
          <w:sz w:val="18"/>
          <w:szCs w:val="18"/>
        </w:rPr>
        <w:t xml:space="preserve"> </w:t>
      </w:r>
      <w:r w:rsidRPr="000C71FB">
        <w:rPr>
          <w:color w:val="231F20"/>
          <w:sz w:val="18"/>
          <w:szCs w:val="18"/>
        </w:rPr>
        <w:t>Street</w:t>
      </w:r>
      <w:r w:rsidRPr="000C71FB">
        <w:rPr>
          <w:color w:val="231F20"/>
          <w:spacing w:val="-2"/>
          <w:sz w:val="18"/>
          <w:szCs w:val="18"/>
        </w:rPr>
        <w:t xml:space="preserve"> </w:t>
      </w:r>
      <w:r w:rsidRPr="000C71FB">
        <w:rPr>
          <w:color w:val="231F20"/>
          <w:sz w:val="18"/>
          <w:szCs w:val="18"/>
        </w:rPr>
        <w:t>with</w:t>
      </w:r>
      <w:r w:rsidRPr="000C71FB">
        <w:rPr>
          <w:color w:val="231F20"/>
          <w:spacing w:val="-2"/>
          <w:sz w:val="18"/>
          <w:szCs w:val="18"/>
        </w:rPr>
        <w:t xml:space="preserve"> </w:t>
      </w:r>
      <w:r w:rsidRPr="000C71FB">
        <w:rPr>
          <w:color w:val="231F20"/>
          <w:sz w:val="18"/>
          <w:szCs w:val="18"/>
        </w:rPr>
        <w:t>a</w:t>
      </w:r>
      <w:r w:rsidRPr="000C71FB">
        <w:rPr>
          <w:color w:val="231F20"/>
          <w:spacing w:val="-2"/>
          <w:sz w:val="18"/>
          <w:szCs w:val="18"/>
        </w:rPr>
        <w:t xml:space="preserve"> </w:t>
      </w:r>
      <w:r w:rsidRPr="000C71FB">
        <w:rPr>
          <w:color w:val="231F20"/>
          <w:sz w:val="18"/>
          <w:szCs w:val="18"/>
        </w:rPr>
        <w:t>carrying</w:t>
      </w:r>
      <w:r w:rsidRPr="000C71FB">
        <w:rPr>
          <w:color w:val="231F20"/>
          <w:spacing w:val="-2"/>
          <w:sz w:val="18"/>
          <w:szCs w:val="18"/>
        </w:rPr>
        <w:t xml:space="preserve"> </w:t>
      </w:r>
      <w:r w:rsidRPr="000C71FB">
        <w:rPr>
          <w:color w:val="231F20"/>
          <w:sz w:val="18"/>
          <w:szCs w:val="18"/>
        </w:rPr>
        <w:t>value</w:t>
      </w:r>
      <w:r w:rsidRPr="000C71FB">
        <w:rPr>
          <w:color w:val="231F20"/>
          <w:spacing w:val="-2"/>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approximately</w:t>
      </w:r>
      <w:r w:rsidRPr="000C71FB">
        <w:rPr>
          <w:color w:val="231F20"/>
          <w:spacing w:val="-2"/>
          <w:sz w:val="18"/>
          <w:szCs w:val="18"/>
        </w:rPr>
        <w:t xml:space="preserve"> </w:t>
      </w:r>
      <w:r w:rsidRPr="000C71FB">
        <w:rPr>
          <w:color w:val="231F20"/>
          <w:sz w:val="18"/>
          <w:szCs w:val="18"/>
        </w:rPr>
        <w:t>$958.1</w:t>
      </w:r>
      <w:r w:rsidRPr="000C71FB">
        <w:rPr>
          <w:color w:val="231F20"/>
          <w:spacing w:val="-2"/>
          <w:sz w:val="18"/>
          <w:szCs w:val="18"/>
        </w:rPr>
        <w:t xml:space="preserve"> </w:t>
      </w:r>
      <w:r w:rsidRPr="000C71FB">
        <w:rPr>
          <w:color w:val="231F20"/>
          <w:sz w:val="18"/>
          <w:szCs w:val="18"/>
        </w:rPr>
        <w:t>million.</w:t>
      </w:r>
      <w:r w:rsidRPr="000C71FB">
        <w:rPr>
          <w:color w:val="231F20"/>
          <w:spacing w:val="40"/>
          <w:sz w:val="18"/>
          <w:szCs w:val="18"/>
        </w:rPr>
        <w:t xml:space="preserve"> </w:t>
      </w:r>
      <w:r w:rsidRPr="000C71FB">
        <w:rPr>
          <w:color w:val="231F20"/>
          <w:sz w:val="18"/>
          <w:szCs w:val="18"/>
        </w:rPr>
        <w:t>The additionsto Aviation relates to 1 Fixed Wing and 2 Rotary Wing aircrafts.</w:t>
      </w:r>
    </w:p>
    <w:p w14:paraId="57B1A9E8" w14:textId="77777777" w:rsidR="00345EE3" w:rsidRDefault="00345EE3" w:rsidP="00345EE3">
      <w:pPr>
        <w:pStyle w:val="BodyText"/>
        <w:spacing w:before="138" w:line="242" w:lineRule="auto"/>
      </w:pPr>
      <w:r>
        <w:rPr>
          <w:b/>
          <w:color w:val="231F20"/>
        </w:rPr>
        <w:t>Initial</w:t>
      </w:r>
      <w:r>
        <w:rPr>
          <w:b/>
          <w:color w:val="231F20"/>
          <w:spacing w:val="-9"/>
        </w:rPr>
        <w:t xml:space="preserve"> </w:t>
      </w:r>
      <w:r>
        <w:rPr>
          <w:b/>
          <w:color w:val="231F20"/>
        </w:rPr>
        <w:t>recognition:</w:t>
      </w:r>
      <w:r>
        <w:rPr>
          <w:b/>
          <w:color w:val="231F20"/>
          <w:spacing w:val="-10"/>
        </w:rPr>
        <w:t xml:space="preserve"> </w:t>
      </w:r>
      <w:r>
        <w:rPr>
          <w:color w:val="231F20"/>
        </w:rPr>
        <w:t>Items</w:t>
      </w:r>
      <w:r>
        <w:rPr>
          <w:color w:val="231F20"/>
          <w:spacing w:val="-9"/>
        </w:rPr>
        <w:t xml:space="preserve"> </w:t>
      </w:r>
      <w:r>
        <w:rPr>
          <w:color w:val="231F20"/>
        </w:rPr>
        <w:t>of</w:t>
      </w:r>
      <w:r>
        <w:rPr>
          <w:color w:val="231F20"/>
          <w:spacing w:val="-9"/>
        </w:rPr>
        <w:t xml:space="preserve"> </w:t>
      </w:r>
      <w:r>
        <w:rPr>
          <w:color w:val="231F20"/>
        </w:rPr>
        <w:t>property,</w:t>
      </w:r>
      <w:r>
        <w:rPr>
          <w:color w:val="231F20"/>
          <w:spacing w:val="-9"/>
        </w:rPr>
        <w:t xml:space="preserve"> </w:t>
      </w:r>
      <w:r>
        <w:rPr>
          <w:color w:val="231F20"/>
        </w:rPr>
        <w:t>plant</w:t>
      </w:r>
      <w:r>
        <w:rPr>
          <w:color w:val="231F20"/>
          <w:spacing w:val="-9"/>
        </w:rPr>
        <w:t xml:space="preserve"> </w:t>
      </w:r>
      <w:r>
        <w:rPr>
          <w:color w:val="231F20"/>
        </w:rPr>
        <w:t>and</w:t>
      </w:r>
      <w:r>
        <w:rPr>
          <w:color w:val="231F20"/>
          <w:spacing w:val="-10"/>
        </w:rPr>
        <w:t xml:space="preserve"> </w:t>
      </w:r>
      <w:r>
        <w:rPr>
          <w:color w:val="231F20"/>
        </w:rPr>
        <w:t>equipment,</w:t>
      </w:r>
      <w:r>
        <w:rPr>
          <w:color w:val="231F20"/>
          <w:spacing w:val="-9"/>
        </w:rPr>
        <w:t xml:space="preserve"> </w:t>
      </w:r>
      <w:r>
        <w:rPr>
          <w:color w:val="231F20"/>
        </w:rPr>
        <w:t>are</w:t>
      </w:r>
      <w:r>
        <w:rPr>
          <w:color w:val="231F20"/>
          <w:spacing w:val="-10"/>
        </w:rPr>
        <w:t xml:space="preserve"> </w:t>
      </w:r>
      <w:r>
        <w:rPr>
          <w:color w:val="231F20"/>
        </w:rPr>
        <w:t>measured</w:t>
      </w:r>
      <w:r>
        <w:rPr>
          <w:color w:val="231F20"/>
          <w:spacing w:val="-10"/>
        </w:rPr>
        <w:t xml:space="preserve"> </w:t>
      </w:r>
      <w:r>
        <w:rPr>
          <w:color w:val="231F20"/>
        </w:rPr>
        <w:t>initially</w:t>
      </w:r>
      <w:r>
        <w:rPr>
          <w:color w:val="231F20"/>
          <w:spacing w:val="-9"/>
        </w:rPr>
        <w:t xml:space="preserve"> </w:t>
      </w:r>
      <w:r>
        <w:rPr>
          <w:color w:val="231F20"/>
        </w:rPr>
        <w:t>at</w:t>
      </w:r>
      <w:r>
        <w:rPr>
          <w:color w:val="231F20"/>
          <w:spacing w:val="-9"/>
        </w:rPr>
        <w:t xml:space="preserve"> </w:t>
      </w:r>
      <w:r>
        <w:rPr>
          <w:color w:val="231F20"/>
        </w:rPr>
        <w:t>cost.</w:t>
      </w:r>
      <w:r>
        <w:rPr>
          <w:color w:val="231F20"/>
          <w:spacing w:val="-9"/>
        </w:rPr>
        <w:t xml:space="preserve"> </w:t>
      </w:r>
      <w:r>
        <w:rPr>
          <w:color w:val="231F20"/>
        </w:rPr>
        <w:t xml:space="preserve">Where an asset is acquired for no or nominal cost, the cost recorded is its fair value at the date of </w:t>
      </w:r>
      <w:r>
        <w:rPr>
          <w:color w:val="231F20"/>
          <w:spacing w:val="-2"/>
        </w:rPr>
        <w:t>acquisition.</w:t>
      </w:r>
    </w:p>
    <w:p w14:paraId="55CFFC3A" w14:textId="77777777" w:rsidR="00345EE3" w:rsidRDefault="00345EE3" w:rsidP="00345EE3">
      <w:pPr>
        <w:pStyle w:val="BodyText"/>
        <w:spacing w:before="117" w:line="242" w:lineRule="auto"/>
      </w:pPr>
      <w:r>
        <w:rPr>
          <w:color w:val="231F20"/>
        </w:rPr>
        <w:t>The</w:t>
      </w:r>
      <w:r>
        <w:rPr>
          <w:color w:val="231F20"/>
          <w:spacing w:val="-8"/>
        </w:rPr>
        <w:t xml:space="preserve"> </w:t>
      </w:r>
      <w:r>
        <w:rPr>
          <w:color w:val="231F20"/>
        </w:rPr>
        <w:t>cost</w:t>
      </w:r>
      <w:r>
        <w:rPr>
          <w:color w:val="231F20"/>
          <w:spacing w:val="-7"/>
        </w:rPr>
        <w:t xml:space="preserve"> </w:t>
      </w:r>
      <w:r>
        <w:rPr>
          <w:color w:val="231F20"/>
        </w:rPr>
        <w:t>of</w:t>
      </w:r>
      <w:r>
        <w:rPr>
          <w:color w:val="231F20"/>
          <w:spacing w:val="-7"/>
        </w:rPr>
        <w:t xml:space="preserve"> </w:t>
      </w:r>
      <w:r>
        <w:rPr>
          <w:color w:val="231F20"/>
        </w:rPr>
        <w:t>constructed</w:t>
      </w:r>
      <w:r>
        <w:rPr>
          <w:color w:val="231F20"/>
          <w:spacing w:val="-8"/>
        </w:rPr>
        <w:t xml:space="preserve"> </w:t>
      </w:r>
      <w:r>
        <w:rPr>
          <w:color w:val="231F20"/>
        </w:rPr>
        <w:t>non-financial</w:t>
      </w:r>
      <w:r>
        <w:rPr>
          <w:color w:val="231F20"/>
          <w:spacing w:val="-8"/>
        </w:rPr>
        <w:t xml:space="preserve"> </w:t>
      </w:r>
      <w:r>
        <w:rPr>
          <w:color w:val="231F20"/>
        </w:rPr>
        <w:t>physical</w:t>
      </w:r>
      <w:r>
        <w:rPr>
          <w:color w:val="231F20"/>
          <w:spacing w:val="-8"/>
        </w:rPr>
        <w:t xml:space="preserve"> </w:t>
      </w:r>
      <w:r>
        <w:rPr>
          <w:color w:val="231F20"/>
        </w:rPr>
        <w:t>assets</w:t>
      </w:r>
      <w:r>
        <w:rPr>
          <w:color w:val="231F20"/>
          <w:spacing w:val="-7"/>
        </w:rPr>
        <w:t xml:space="preserve"> </w:t>
      </w:r>
      <w:r>
        <w:rPr>
          <w:color w:val="231F20"/>
        </w:rPr>
        <w:t>includes</w:t>
      </w:r>
      <w:r>
        <w:rPr>
          <w:color w:val="231F20"/>
          <w:spacing w:val="-7"/>
        </w:rPr>
        <w:t xml:space="preserve"> </w:t>
      </w:r>
      <w:r>
        <w:rPr>
          <w:color w:val="231F20"/>
        </w:rPr>
        <w:t>the</w:t>
      </w:r>
      <w:r>
        <w:rPr>
          <w:color w:val="231F20"/>
          <w:spacing w:val="-8"/>
        </w:rPr>
        <w:t xml:space="preserve"> </w:t>
      </w:r>
      <w:r>
        <w:rPr>
          <w:color w:val="231F20"/>
        </w:rPr>
        <w:t>cost</w:t>
      </w:r>
      <w:r>
        <w:rPr>
          <w:color w:val="231F20"/>
          <w:spacing w:val="-7"/>
        </w:rPr>
        <w:t xml:space="preserve"> </w:t>
      </w:r>
      <w:r>
        <w:rPr>
          <w:color w:val="231F20"/>
        </w:rPr>
        <w:t>of</w:t>
      </w:r>
      <w:r>
        <w:rPr>
          <w:color w:val="231F20"/>
          <w:spacing w:val="-7"/>
        </w:rPr>
        <w:t xml:space="preserve"> </w:t>
      </w:r>
      <w:r>
        <w:rPr>
          <w:color w:val="231F20"/>
        </w:rPr>
        <w:t>all</w:t>
      </w:r>
      <w:r>
        <w:rPr>
          <w:color w:val="231F20"/>
          <w:spacing w:val="-8"/>
        </w:rPr>
        <w:t xml:space="preserve"> </w:t>
      </w:r>
      <w:r>
        <w:rPr>
          <w:color w:val="231F20"/>
        </w:rPr>
        <w:t>materials</w:t>
      </w:r>
      <w:r>
        <w:rPr>
          <w:color w:val="231F20"/>
          <w:spacing w:val="-7"/>
        </w:rPr>
        <w:t xml:space="preserve"> </w:t>
      </w:r>
      <w:r>
        <w:rPr>
          <w:color w:val="231F20"/>
        </w:rPr>
        <w:t>used</w:t>
      </w:r>
      <w:r>
        <w:rPr>
          <w:color w:val="231F20"/>
          <w:spacing w:val="-8"/>
        </w:rPr>
        <w:t xml:space="preserve"> </w:t>
      </w:r>
      <w:r>
        <w:rPr>
          <w:color w:val="231F20"/>
        </w:rPr>
        <w:t xml:space="preserve">in construction, direct labour on the project and an appropriate proportion of variable and fixed </w:t>
      </w:r>
      <w:r>
        <w:rPr>
          <w:color w:val="231F20"/>
          <w:spacing w:val="-2"/>
        </w:rPr>
        <w:t>overheads.</w:t>
      </w:r>
    </w:p>
    <w:p w14:paraId="270C19D5" w14:textId="77777777" w:rsidR="00345EE3" w:rsidRDefault="00345EE3" w:rsidP="00345EE3">
      <w:pPr>
        <w:pStyle w:val="BodyText"/>
        <w:spacing w:before="117" w:line="242" w:lineRule="auto"/>
      </w:pPr>
      <w:r>
        <w:rPr>
          <w:color w:val="231F20"/>
        </w:rPr>
        <w:t>The</w:t>
      </w:r>
      <w:r>
        <w:rPr>
          <w:color w:val="231F20"/>
          <w:spacing w:val="-10"/>
        </w:rPr>
        <w:t xml:space="preserve"> </w:t>
      </w:r>
      <w:r>
        <w:rPr>
          <w:color w:val="231F20"/>
        </w:rPr>
        <w:t>cost</w:t>
      </w:r>
      <w:r>
        <w:rPr>
          <w:color w:val="231F20"/>
          <w:spacing w:val="-9"/>
        </w:rPr>
        <w:t xml:space="preserve"> </w:t>
      </w:r>
      <w:r>
        <w:rPr>
          <w:color w:val="231F20"/>
        </w:rPr>
        <w:t>of</w:t>
      </w:r>
      <w:r>
        <w:rPr>
          <w:color w:val="231F20"/>
          <w:spacing w:val="-9"/>
        </w:rPr>
        <w:t xml:space="preserve"> </w:t>
      </w:r>
      <w:r>
        <w:rPr>
          <w:color w:val="231F20"/>
        </w:rPr>
        <w:t>leasehold</w:t>
      </w:r>
      <w:r>
        <w:rPr>
          <w:color w:val="231F20"/>
          <w:spacing w:val="-10"/>
        </w:rPr>
        <w:t xml:space="preserve"> </w:t>
      </w:r>
      <w:r>
        <w:rPr>
          <w:color w:val="231F20"/>
        </w:rPr>
        <w:t>improvements</w:t>
      </w:r>
      <w:r>
        <w:rPr>
          <w:color w:val="231F20"/>
          <w:spacing w:val="-9"/>
        </w:rPr>
        <w:t xml:space="preserve"> </w:t>
      </w:r>
      <w:r>
        <w:rPr>
          <w:color w:val="231F20"/>
        </w:rPr>
        <w:t>is</w:t>
      </w:r>
      <w:r>
        <w:rPr>
          <w:color w:val="231F20"/>
          <w:spacing w:val="-9"/>
        </w:rPr>
        <w:t xml:space="preserve"> </w:t>
      </w:r>
      <w:r>
        <w:rPr>
          <w:color w:val="231F20"/>
        </w:rPr>
        <w:t>capitalised</w:t>
      </w:r>
      <w:r>
        <w:rPr>
          <w:color w:val="231F20"/>
          <w:spacing w:val="-10"/>
        </w:rPr>
        <w:t xml:space="preserve"> </w:t>
      </w:r>
      <w:r>
        <w:rPr>
          <w:color w:val="231F20"/>
        </w:rPr>
        <w:t>and</w:t>
      </w:r>
      <w:r>
        <w:rPr>
          <w:color w:val="231F20"/>
          <w:spacing w:val="-10"/>
        </w:rPr>
        <w:t xml:space="preserve"> </w:t>
      </w:r>
      <w:r>
        <w:rPr>
          <w:color w:val="231F20"/>
        </w:rPr>
        <w:t>depreciated</w:t>
      </w:r>
      <w:r>
        <w:rPr>
          <w:color w:val="231F20"/>
          <w:spacing w:val="-10"/>
        </w:rPr>
        <w:t xml:space="preserve"> </w:t>
      </w:r>
      <w:r>
        <w:rPr>
          <w:color w:val="231F20"/>
        </w:rPr>
        <w:t>over</w:t>
      </w:r>
      <w:r>
        <w:rPr>
          <w:color w:val="231F20"/>
          <w:spacing w:val="-9"/>
        </w:rPr>
        <w:t xml:space="preserve"> </w:t>
      </w:r>
      <w:r>
        <w:rPr>
          <w:color w:val="231F20"/>
        </w:rPr>
        <w:t>the</w:t>
      </w:r>
      <w:r>
        <w:rPr>
          <w:color w:val="231F20"/>
          <w:spacing w:val="-10"/>
        </w:rPr>
        <w:t xml:space="preserve"> </w:t>
      </w:r>
      <w:r>
        <w:rPr>
          <w:color w:val="231F20"/>
        </w:rPr>
        <w:t>shorter</w:t>
      </w:r>
      <w:r>
        <w:rPr>
          <w:color w:val="231F20"/>
          <w:spacing w:val="-9"/>
        </w:rPr>
        <w:t xml:space="preserve"> </w:t>
      </w:r>
      <w:r>
        <w:rPr>
          <w:color w:val="231F20"/>
        </w:rPr>
        <w:t>of</w:t>
      </w:r>
      <w:r>
        <w:rPr>
          <w:color w:val="231F20"/>
          <w:spacing w:val="-9"/>
        </w:rPr>
        <w:t xml:space="preserve"> </w:t>
      </w:r>
      <w:r>
        <w:rPr>
          <w:color w:val="231F20"/>
        </w:rPr>
        <w:t>the remaining term of the lease or the estimated useful lives.</w:t>
      </w:r>
    </w:p>
    <w:p w14:paraId="1647D547" w14:textId="77777777" w:rsidR="00345EE3" w:rsidRDefault="00345EE3" w:rsidP="00345EE3">
      <w:pPr>
        <w:rPr>
          <w:b/>
          <w:bCs/>
          <w:color w:val="231F20"/>
          <w:sz w:val="24"/>
          <w:szCs w:val="24"/>
        </w:rPr>
      </w:pPr>
      <w:r>
        <w:rPr>
          <w:color w:val="231F20"/>
        </w:rPr>
        <w:br w:type="page"/>
      </w:r>
    </w:p>
    <w:p w14:paraId="5CCDB08D" w14:textId="77777777" w:rsidR="00345EE3" w:rsidRDefault="00345EE3" w:rsidP="00345EE3">
      <w:pPr>
        <w:pStyle w:val="Heading5"/>
        <w:spacing w:before="230"/>
      </w:pPr>
      <w:r>
        <w:rPr>
          <w:color w:val="231F20"/>
        </w:rPr>
        <w:t>Subsequent</w:t>
      </w:r>
      <w:r>
        <w:rPr>
          <w:color w:val="231F20"/>
          <w:spacing w:val="-7"/>
        </w:rPr>
        <w:t xml:space="preserve"> </w:t>
      </w:r>
      <w:r>
        <w:rPr>
          <w:color w:val="231F20"/>
          <w:spacing w:val="-2"/>
        </w:rPr>
        <w:t>Measurements</w:t>
      </w:r>
    </w:p>
    <w:p w14:paraId="59FAEE0F" w14:textId="77777777" w:rsidR="00345EE3" w:rsidRDefault="00345EE3" w:rsidP="00345EE3">
      <w:pPr>
        <w:pStyle w:val="BodyText"/>
        <w:spacing w:before="61" w:line="242" w:lineRule="auto"/>
        <w:ind w:right="147"/>
      </w:pPr>
      <w:r>
        <w:rPr>
          <w:color w:val="231F20"/>
        </w:rPr>
        <w:t>Items</w:t>
      </w:r>
      <w:r>
        <w:rPr>
          <w:color w:val="231F20"/>
          <w:spacing w:val="-12"/>
        </w:rPr>
        <w:t xml:space="preserve"> </w:t>
      </w:r>
      <w:r>
        <w:rPr>
          <w:color w:val="231F20"/>
        </w:rPr>
        <w:t>of</w:t>
      </w:r>
      <w:r>
        <w:rPr>
          <w:color w:val="231F20"/>
          <w:spacing w:val="-12"/>
        </w:rPr>
        <w:t xml:space="preserve"> </w:t>
      </w:r>
      <w:r>
        <w:rPr>
          <w:color w:val="231F20"/>
        </w:rPr>
        <w:t>property,</w:t>
      </w:r>
      <w:r>
        <w:rPr>
          <w:color w:val="231F20"/>
          <w:spacing w:val="-12"/>
        </w:rPr>
        <w:t xml:space="preserve"> </w:t>
      </w:r>
      <w:r>
        <w:rPr>
          <w:color w:val="231F20"/>
        </w:rPr>
        <w:t>plant</w:t>
      </w:r>
      <w:r>
        <w:rPr>
          <w:color w:val="231F20"/>
          <w:spacing w:val="-12"/>
        </w:rPr>
        <w:t xml:space="preserve"> </w:t>
      </w:r>
      <w:r>
        <w:rPr>
          <w:color w:val="231F20"/>
        </w:rPr>
        <w:t>and</w:t>
      </w:r>
      <w:r>
        <w:rPr>
          <w:color w:val="231F20"/>
          <w:spacing w:val="-13"/>
        </w:rPr>
        <w:t xml:space="preserve"> </w:t>
      </w:r>
      <w:r>
        <w:rPr>
          <w:color w:val="231F20"/>
        </w:rPr>
        <w:t>equipment,</w:t>
      </w:r>
      <w:r>
        <w:rPr>
          <w:color w:val="231F20"/>
          <w:spacing w:val="-12"/>
        </w:rPr>
        <w:t xml:space="preserve"> </w:t>
      </w:r>
      <w:r>
        <w:rPr>
          <w:color w:val="231F20"/>
        </w:rPr>
        <w:t>are</w:t>
      </w:r>
      <w:r>
        <w:rPr>
          <w:color w:val="231F20"/>
          <w:spacing w:val="-13"/>
        </w:rPr>
        <w:t xml:space="preserve"> </w:t>
      </w:r>
      <w:r>
        <w:rPr>
          <w:color w:val="231F20"/>
        </w:rPr>
        <w:t>subsequently</w:t>
      </w:r>
      <w:r>
        <w:rPr>
          <w:color w:val="231F20"/>
          <w:spacing w:val="-12"/>
        </w:rPr>
        <w:t xml:space="preserve"> </w:t>
      </w:r>
      <w:r>
        <w:rPr>
          <w:color w:val="231F20"/>
        </w:rPr>
        <w:t>revalued</w:t>
      </w:r>
      <w:r>
        <w:rPr>
          <w:color w:val="231F20"/>
          <w:spacing w:val="-13"/>
        </w:rPr>
        <w:t xml:space="preserve"> </w:t>
      </w:r>
      <w:r>
        <w:rPr>
          <w:color w:val="231F20"/>
        </w:rPr>
        <w:t>at</w:t>
      </w:r>
      <w:r>
        <w:rPr>
          <w:color w:val="231F20"/>
          <w:spacing w:val="-12"/>
        </w:rPr>
        <w:t xml:space="preserve"> </w:t>
      </w:r>
      <w:r>
        <w:rPr>
          <w:color w:val="231F20"/>
        </w:rPr>
        <w:t>fair</w:t>
      </w:r>
      <w:r>
        <w:rPr>
          <w:color w:val="231F20"/>
          <w:spacing w:val="-12"/>
        </w:rPr>
        <w:t xml:space="preserve"> </w:t>
      </w:r>
      <w:r>
        <w:rPr>
          <w:color w:val="231F20"/>
        </w:rPr>
        <w:t>value</w:t>
      </w:r>
      <w:r>
        <w:rPr>
          <w:color w:val="231F20"/>
          <w:spacing w:val="-13"/>
        </w:rPr>
        <w:t xml:space="preserve"> </w:t>
      </w:r>
      <w:r>
        <w:rPr>
          <w:color w:val="231F20"/>
        </w:rPr>
        <w:t>less</w:t>
      </w:r>
      <w:r>
        <w:rPr>
          <w:color w:val="231F20"/>
          <w:spacing w:val="-12"/>
        </w:rPr>
        <w:t xml:space="preserve"> </w:t>
      </w:r>
      <w:r>
        <w:rPr>
          <w:color w:val="231F20"/>
        </w:rPr>
        <w:t>accumulated depreciation and impairment. Fair value is determined with regard to the asset’s highest and best</w:t>
      </w:r>
      <w:r>
        <w:rPr>
          <w:color w:val="231F20"/>
          <w:spacing w:val="-4"/>
        </w:rPr>
        <w:t xml:space="preserve"> </w:t>
      </w:r>
      <w:r>
        <w:rPr>
          <w:color w:val="231F20"/>
        </w:rPr>
        <w:t>use</w:t>
      </w:r>
      <w:r>
        <w:rPr>
          <w:color w:val="231F20"/>
          <w:spacing w:val="-5"/>
        </w:rPr>
        <w:t xml:space="preserve"> </w:t>
      </w:r>
      <w:r>
        <w:rPr>
          <w:color w:val="231F20"/>
        </w:rPr>
        <w:t>(considering</w:t>
      </w:r>
      <w:r>
        <w:rPr>
          <w:color w:val="231F20"/>
          <w:spacing w:val="-5"/>
        </w:rPr>
        <w:t xml:space="preserve"> </w:t>
      </w:r>
      <w:r>
        <w:rPr>
          <w:color w:val="231F20"/>
        </w:rPr>
        <w:t>legal</w:t>
      </w:r>
      <w:r>
        <w:rPr>
          <w:color w:val="231F20"/>
          <w:spacing w:val="-5"/>
        </w:rPr>
        <w:t xml:space="preserve"> </w:t>
      </w:r>
      <w:r>
        <w:rPr>
          <w:color w:val="231F20"/>
        </w:rPr>
        <w:t>or</w:t>
      </w:r>
      <w:r>
        <w:rPr>
          <w:color w:val="231F20"/>
          <w:spacing w:val="-4"/>
        </w:rPr>
        <w:t xml:space="preserve"> </w:t>
      </w:r>
      <w:r>
        <w:rPr>
          <w:color w:val="231F20"/>
        </w:rPr>
        <w:t>physical</w:t>
      </w:r>
      <w:r>
        <w:rPr>
          <w:color w:val="231F20"/>
          <w:spacing w:val="-5"/>
        </w:rPr>
        <w:t xml:space="preserve"> </w:t>
      </w:r>
      <w:r>
        <w:rPr>
          <w:color w:val="231F20"/>
        </w:rPr>
        <w:t>restrictions</w:t>
      </w:r>
      <w:r>
        <w:rPr>
          <w:color w:val="231F20"/>
          <w:spacing w:val="-4"/>
        </w:rPr>
        <w:t xml:space="preserve"> </w:t>
      </w:r>
      <w:r>
        <w:rPr>
          <w:color w:val="231F20"/>
        </w:rPr>
        <w:t>imposed</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asset,</w:t>
      </w:r>
      <w:r>
        <w:rPr>
          <w:color w:val="231F20"/>
          <w:spacing w:val="-4"/>
        </w:rPr>
        <w:t xml:space="preserve"> </w:t>
      </w:r>
      <w:r>
        <w:rPr>
          <w:color w:val="231F20"/>
        </w:rPr>
        <w:t>public</w:t>
      </w:r>
      <w:r>
        <w:rPr>
          <w:color w:val="231F20"/>
          <w:spacing w:val="-4"/>
        </w:rPr>
        <w:t xml:space="preserve"> </w:t>
      </w:r>
      <w:r>
        <w:rPr>
          <w:color w:val="231F20"/>
        </w:rPr>
        <w:t>announcements or commitments made in relation to the intended use of the asset) and is summarised below by asset category.</w:t>
      </w:r>
    </w:p>
    <w:p w14:paraId="0A8B9151" w14:textId="77777777" w:rsidR="00345EE3" w:rsidRDefault="00345EE3" w:rsidP="00345EE3">
      <w:pPr>
        <w:pStyle w:val="Heading5"/>
        <w:spacing w:before="233"/>
      </w:pPr>
      <w:r>
        <w:rPr>
          <w:color w:val="231F20"/>
        </w:rPr>
        <w:t>Right-of-Use</w:t>
      </w:r>
      <w:r>
        <w:rPr>
          <w:color w:val="231F20"/>
          <w:spacing w:val="-5"/>
        </w:rPr>
        <w:t xml:space="preserve"> </w:t>
      </w:r>
      <w:r>
        <w:rPr>
          <w:color w:val="231F20"/>
        </w:rPr>
        <w:t>Assets</w:t>
      </w:r>
      <w:r>
        <w:rPr>
          <w:color w:val="231F20"/>
          <w:spacing w:val="-3"/>
        </w:rPr>
        <w:t xml:space="preserve"> </w:t>
      </w:r>
      <w:r>
        <w:rPr>
          <w:color w:val="231F20"/>
        </w:rPr>
        <w:t>Acquired</w:t>
      </w:r>
      <w:r>
        <w:rPr>
          <w:color w:val="231F20"/>
          <w:spacing w:val="-2"/>
        </w:rPr>
        <w:t xml:space="preserve"> </w:t>
      </w:r>
      <w:r>
        <w:rPr>
          <w:color w:val="231F20"/>
        </w:rPr>
        <w:t>by</w:t>
      </w:r>
      <w:r>
        <w:rPr>
          <w:color w:val="231F20"/>
          <w:spacing w:val="-3"/>
        </w:rPr>
        <w:t xml:space="preserve"> </w:t>
      </w:r>
      <w:r>
        <w:rPr>
          <w:color w:val="231F20"/>
        </w:rPr>
        <w:t>Lessees</w:t>
      </w:r>
      <w:r>
        <w:rPr>
          <w:color w:val="231F20"/>
          <w:spacing w:val="-3"/>
        </w:rPr>
        <w:t xml:space="preserve"> </w:t>
      </w:r>
      <w:r>
        <w:rPr>
          <w:color w:val="231F20"/>
        </w:rPr>
        <w:t>–</w:t>
      </w:r>
      <w:r>
        <w:rPr>
          <w:color w:val="231F20"/>
          <w:spacing w:val="-3"/>
        </w:rPr>
        <w:t xml:space="preserve"> </w:t>
      </w:r>
      <w:r>
        <w:rPr>
          <w:color w:val="231F20"/>
        </w:rPr>
        <w:t>Initial</w:t>
      </w:r>
      <w:r>
        <w:rPr>
          <w:color w:val="231F20"/>
          <w:spacing w:val="-1"/>
        </w:rPr>
        <w:t xml:space="preserve"> </w:t>
      </w:r>
      <w:r>
        <w:rPr>
          <w:color w:val="231F20"/>
          <w:spacing w:val="-2"/>
        </w:rPr>
        <w:t>Measurement</w:t>
      </w:r>
    </w:p>
    <w:p w14:paraId="27527811" w14:textId="77777777" w:rsidR="00345EE3" w:rsidRDefault="00345EE3" w:rsidP="00345EE3">
      <w:pPr>
        <w:pStyle w:val="BodyText"/>
        <w:spacing w:before="61" w:line="242" w:lineRule="auto"/>
      </w:pPr>
      <w:r>
        <w:rPr>
          <w:color w:val="231F20"/>
        </w:rPr>
        <w:t>Victoria Police recognises a right-of-use asset and a lease liability at the lease commencement date.</w:t>
      </w:r>
      <w:r>
        <w:rPr>
          <w:color w:val="231F20"/>
          <w:spacing w:val="-8"/>
        </w:rPr>
        <w:t xml:space="preserve"> </w:t>
      </w:r>
      <w:r>
        <w:rPr>
          <w:color w:val="231F20"/>
        </w:rPr>
        <w:t>The</w:t>
      </w:r>
      <w:r>
        <w:rPr>
          <w:color w:val="231F20"/>
          <w:spacing w:val="-9"/>
        </w:rPr>
        <w:t xml:space="preserve"> </w:t>
      </w:r>
      <w:r>
        <w:rPr>
          <w:color w:val="231F20"/>
        </w:rPr>
        <w:t>right-of-use</w:t>
      </w:r>
      <w:r>
        <w:rPr>
          <w:color w:val="231F20"/>
          <w:spacing w:val="-9"/>
        </w:rPr>
        <w:t xml:space="preserve"> </w:t>
      </w:r>
      <w:r>
        <w:rPr>
          <w:color w:val="231F20"/>
        </w:rPr>
        <w:t>asset</w:t>
      </w:r>
      <w:r>
        <w:rPr>
          <w:color w:val="231F20"/>
          <w:spacing w:val="-8"/>
        </w:rPr>
        <w:t xml:space="preserve"> </w:t>
      </w:r>
      <w:r>
        <w:rPr>
          <w:color w:val="231F20"/>
        </w:rPr>
        <w:t>is</w:t>
      </w:r>
      <w:r>
        <w:rPr>
          <w:color w:val="231F20"/>
          <w:spacing w:val="-8"/>
        </w:rPr>
        <w:t xml:space="preserve"> </w:t>
      </w:r>
      <w:r>
        <w:rPr>
          <w:color w:val="231F20"/>
        </w:rPr>
        <w:t>initially</w:t>
      </w:r>
      <w:r>
        <w:rPr>
          <w:color w:val="231F20"/>
          <w:spacing w:val="-8"/>
        </w:rPr>
        <w:t xml:space="preserve"> </w:t>
      </w:r>
      <w:r>
        <w:rPr>
          <w:color w:val="231F20"/>
        </w:rPr>
        <w:t>measured</w:t>
      </w:r>
      <w:r>
        <w:rPr>
          <w:color w:val="231F20"/>
          <w:spacing w:val="-9"/>
        </w:rPr>
        <w:t xml:space="preserve"> </w:t>
      </w:r>
      <w:r>
        <w:rPr>
          <w:color w:val="231F20"/>
        </w:rPr>
        <w:t>at</w:t>
      </w:r>
      <w:r>
        <w:rPr>
          <w:color w:val="231F20"/>
          <w:spacing w:val="-8"/>
        </w:rPr>
        <w:t xml:space="preserve"> </w:t>
      </w:r>
      <w:r>
        <w:rPr>
          <w:color w:val="231F20"/>
        </w:rPr>
        <w:t>cost</w:t>
      </w:r>
      <w:r>
        <w:rPr>
          <w:color w:val="231F20"/>
          <w:spacing w:val="-8"/>
        </w:rPr>
        <w:t xml:space="preserve"> </w:t>
      </w:r>
      <w:r>
        <w:rPr>
          <w:color w:val="231F20"/>
        </w:rPr>
        <w:t>which</w:t>
      </w:r>
      <w:r>
        <w:rPr>
          <w:color w:val="231F20"/>
          <w:spacing w:val="-9"/>
        </w:rPr>
        <w:t xml:space="preserve"> </w:t>
      </w:r>
      <w:r>
        <w:rPr>
          <w:color w:val="231F20"/>
        </w:rPr>
        <w:t>comprises</w:t>
      </w:r>
      <w:r>
        <w:rPr>
          <w:color w:val="231F20"/>
          <w:spacing w:val="-8"/>
        </w:rPr>
        <w:t xml:space="preserve"> </w:t>
      </w:r>
      <w:r>
        <w:rPr>
          <w:color w:val="231F20"/>
        </w:rPr>
        <w:t>the</w:t>
      </w:r>
      <w:r>
        <w:rPr>
          <w:color w:val="231F20"/>
          <w:spacing w:val="-9"/>
        </w:rPr>
        <w:t xml:space="preserve"> </w:t>
      </w:r>
      <w:r>
        <w:rPr>
          <w:color w:val="231F20"/>
        </w:rPr>
        <w:t>initial</w:t>
      </w:r>
      <w:r>
        <w:rPr>
          <w:color w:val="231F20"/>
          <w:spacing w:val="-9"/>
        </w:rPr>
        <w:t xml:space="preserve"> </w:t>
      </w:r>
      <w:r>
        <w:rPr>
          <w:color w:val="231F20"/>
        </w:rPr>
        <w:t>amount</w:t>
      </w:r>
      <w:r>
        <w:rPr>
          <w:color w:val="231F20"/>
          <w:spacing w:val="-8"/>
        </w:rPr>
        <w:t xml:space="preserve"> </w:t>
      </w:r>
      <w:r>
        <w:rPr>
          <w:color w:val="231F20"/>
        </w:rPr>
        <w:t>of</w:t>
      </w:r>
      <w:r>
        <w:rPr>
          <w:color w:val="231F20"/>
          <w:spacing w:val="-8"/>
        </w:rPr>
        <w:t xml:space="preserve"> </w:t>
      </w:r>
      <w:r>
        <w:rPr>
          <w:color w:val="231F20"/>
        </w:rPr>
        <w:t>the lease liability adjusted for:</w:t>
      </w:r>
    </w:p>
    <w:p w14:paraId="21D4DB07" w14:textId="77777777" w:rsidR="00345EE3" w:rsidRDefault="00345EE3">
      <w:pPr>
        <w:pStyle w:val="ListParagraph"/>
        <w:numPr>
          <w:ilvl w:val="0"/>
          <w:numId w:val="35"/>
        </w:numPr>
        <w:tabs>
          <w:tab w:val="left" w:pos="393"/>
          <w:tab w:val="left" w:pos="394"/>
        </w:tabs>
        <w:spacing w:before="31" w:line="242" w:lineRule="auto"/>
        <w:ind w:right="346"/>
        <w:rPr>
          <w:sz w:val="24"/>
        </w:rPr>
      </w:pPr>
      <w:r>
        <w:rPr>
          <w:color w:val="231F20"/>
          <w:sz w:val="24"/>
        </w:rPr>
        <w:t>any</w:t>
      </w:r>
      <w:r>
        <w:rPr>
          <w:color w:val="231F20"/>
          <w:spacing w:val="-10"/>
          <w:sz w:val="24"/>
        </w:rPr>
        <w:t xml:space="preserve"> </w:t>
      </w:r>
      <w:r>
        <w:rPr>
          <w:color w:val="231F20"/>
          <w:sz w:val="24"/>
        </w:rPr>
        <w:t>lease</w:t>
      </w:r>
      <w:r>
        <w:rPr>
          <w:color w:val="231F20"/>
          <w:spacing w:val="-11"/>
          <w:sz w:val="24"/>
        </w:rPr>
        <w:t xml:space="preserve"> </w:t>
      </w:r>
      <w:r>
        <w:rPr>
          <w:color w:val="231F20"/>
          <w:sz w:val="24"/>
        </w:rPr>
        <w:t>payments</w:t>
      </w:r>
      <w:r>
        <w:rPr>
          <w:color w:val="231F20"/>
          <w:spacing w:val="-10"/>
          <w:sz w:val="24"/>
        </w:rPr>
        <w:t xml:space="preserve"> </w:t>
      </w:r>
      <w:r>
        <w:rPr>
          <w:color w:val="231F20"/>
          <w:sz w:val="24"/>
        </w:rPr>
        <w:t>made</w:t>
      </w:r>
      <w:r>
        <w:rPr>
          <w:color w:val="231F20"/>
          <w:spacing w:val="-11"/>
          <w:sz w:val="24"/>
        </w:rPr>
        <w:t xml:space="preserve"> </w:t>
      </w:r>
      <w:r>
        <w:rPr>
          <w:color w:val="231F20"/>
          <w:sz w:val="24"/>
        </w:rPr>
        <w:t>at</w:t>
      </w:r>
      <w:r>
        <w:rPr>
          <w:color w:val="231F20"/>
          <w:spacing w:val="-10"/>
          <w:sz w:val="24"/>
        </w:rPr>
        <w:t xml:space="preserve"> </w:t>
      </w:r>
      <w:r>
        <w:rPr>
          <w:color w:val="231F20"/>
          <w:sz w:val="24"/>
        </w:rPr>
        <w:t>or</w:t>
      </w:r>
      <w:r>
        <w:rPr>
          <w:color w:val="231F20"/>
          <w:spacing w:val="-10"/>
          <w:sz w:val="24"/>
        </w:rPr>
        <w:t xml:space="preserve"> </w:t>
      </w:r>
      <w:r>
        <w:rPr>
          <w:color w:val="231F20"/>
          <w:sz w:val="24"/>
        </w:rPr>
        <w:t>before</w:t>
      </w:r>
      <w:r>
        <w:rPr>
          <w:color w:val="231F20"/>
          <w:spacing w:val="-11"/>
          <w:sz w:val="24"/>
        </w:rPr>
        <w:t xml:space="preserve"> </w:t>
      </w:r>
      <w:r>
        <w:rPr>
          <w:color w:val="231F20"/>
          <w:sz w:val="24"/>
        </w:rPr>
        <w:t>the</w:t>
      </w:r>
      <w:r>
        <w:rPr>
          <w:color w:val="231F20"/>
          <w:spacing w:val="-11"/>
          <w:sz w:val="24"/>
        </w:rPr>
        <w:t xml:space="preserve"> </w:t>
      </w:r>
      <w:r>
        <w:rPr>
          <w:color w:val="231F20"/>
          <w:sz w:val="24"/>
        </w:rPr>
        <w:t>commencement</w:t>
      </w:r>
      <w:r>
        <w:rPr>
          <w:color w:val="231F20"/>
          <w:spacing w:val="-10"/>
          <w:sz w:val="24"/>
        </w:rPr>
        <w:t xml:space="preserve"> </w:t>
      </w:r>
      <w:r>
        <w:rPr>
          <w:color w:val="231F20"/>
          <w:sz w:val="24"/>
        </w:rPr>
        <w:t>date</w:t>
      </w:r>
      <w:r>
        <w:rPr>
          <w:color w:val="231F20"/>
          <w:spacing w:val="-11"/>
          <w:sz w:val="24"/>
        </w:rPr>
        <w:t xml:space="preserve"> </w:t>
      </w:r>
      <w:r>
        <w:rPr>
          <w:color w:val="231F20"/>
          <w:sz w:val="24"/>
        </w:rPr>
        <w:t>less</w:t>
      </w:r>
      <w:r>
        <w:rPr>
          <w:color w:val="231F20"/>
          <w:spacing w:val="-10"/>
          <w:sz w:val="24"/>
        </w:rPr>
        <w:t xml:space="preserve"> </w:t>
      </w:r>
      <w:r>
        <w:rPr>
          <w:color w:val="231F20"/>
          <w:sz w:val="24"/>
        </w:rPr>
        <w:t>any</w:t>
      </w:r>
      <w:r>
        <w:rPr>
          <w:color w:val="231F20"/>
          <w:spacing w:val="-10"/>
          <w:sz w:val="24"/>
        </w:rPr>
        <w:t xml:space="preserve"> </w:t>
      </w:r>
      <w:r>
        <w:rPr>
          <w:color w:val="231F20"/>
          <w:sz w:val="24"/>
        </w:rPr>
        <w:t>incentive</w:t>
      </w:r>
      <w:r>
        <w:rPr>
          <w:color w:val="231F20"/>
          <w:spacing w:val="-11"/>
          <w:sz w:val="24"/>
        </w:rPr>
        <w:t xml:space="preserve"> </w:t>
      </w:r>
      <w:r>
        <w:rPr>
          <w:color w:val="231F20"/>
          <w:sz w:val="24"/>
        </w:rPr>
        <w:t xml:space="preserve">received; </w:t>
      </w:r>
      <w:r>
        <w:rPr>
          <w:color w:val="231F20"/>
          <w:spacing w:val="-4"/>
          <w:sz w:val="24"/>
        </w:rPr>
        <w:t>plus</w:t>
      </w:r>
    </w:p>
    <w:p w14:paraId="7DE34D84" w14:textId="77777777" w:rsidR="00345EE3" w:rsidRDefault="00345EE3">
      <w:pPr>
        <w:pStyle w:val="ListParagraph"/>
        <w:numPr>
          <w:ilvl w:val="0"/>
          <w:numId w:val="35"/>
        </w:numPr>
        <w:tabs>
          <w:tab w:val="left" w:pos="393"/>
          <w:tab w:val="left" w:pos="394"/>
        </w:tabs>
        <w:spacing w:before="31"/>
        <w:rPr>
          <w:sz w:val="24"/>
        </w:rPr>
      </w:pPr>
      <w:r>
        <w:rPr>
          <w:color w:val="231F20"/>
          <w:sz w:val="24"/>
        </w:rPr>
        <w:t>any</w:t>
      </w:r>
      <w:r>
        <w:rPr>
          <w:color w:val="231F20"/>
          <w:spacing w:val="-12"/>
          <w:sz w:val="24"/>
        </w:rPr>
        <w:t xml:space="preserve"> </w:t>
      </w:r>
      <w:r>
        <w:rPr>
          <w:color w:val="231F20"/>
          <w:sz w:val="24"/>
        </w:rPr>
        <w:t>initial</w:t>
      </w:r>
      <w:r>
        <w:rPr>
          <w:color w:val="231F20"/>
          <w:spacing w:val="-10"/>
          <w:sz w:val="24"/>
        </w:rPr>
        <w:t xml:space="preserve"> </w:t>
      </w:r>
      <w:r>
        <w:rPr>
          <w:color w:val="231F20"/>
          <w:sz w:val="24"/>
        </w:rPr>
        <w:t>direct</w:t>
      </w:r>
      <w:r>
        <w:rPr>
          <w:color w:val="231F20"/>
          <w:spacing w:val="-10"/>
          <w:sz w:val="24"/>
        </w:rPr>
        <w:t xml:space="preserve"> </w:t>
      </w:r>
      <w:r>
        <w:rPr>
          <w:color w:val="231F20"/>
          <w:sz w:val="24"/>
        </w:rPr>
        <w:t>costs</w:t>
      </w:r>
      <w:r>
        <w:rPr>
          <w:color w:val="231F20"/>
          <w:spacing w:val="-9"/>
          <w:sz w:val="24"/>
        </w:rPr>
        <w:t xml:space="preserve"> </w:t>
      </w:r>
      <w:r>
        <w:rPr>
          <w:color w:val="231F20"/>
          <w:sz w:val="24"/>
        </w:rPr>
        <w:t>incurred;</w:t>
      </w:r>
      <w:r>
        <w:rPr>
          <w:color w:val="231F20"/>
          <w:spacing w:val="-9"/>
          <w:sz w:val="24"/>
        </w:rPr>
        <w:t xml:space="preserve"> </w:t>
      </w:r>
      <w:r>
        <w:rPr>
          <w:color w:val="231F20"/>
          <w:spacing w:val="-5"/>
          <w:sz w:val="24"/>
        </w:rPr>
        <w:t>and</w:t>
      </w:r>
    </w:p>
    <w:p w14:paraId="1421C714" w14:textId="77777777" w:rsidR="00345EE3" w:rsidRDefault="00345EE3">
      <w:pPr>
        <w:pStyle w:val="ListParagraph"/>
        <w:numPr>
          <w:ilvl w:val="0"/>
          <w:numId w:val="35"/>
        </w:numPr>
        <w:tabs>
          <w:tab w:val="left" w:pos="393"/>
          <w:tab w:val="left" w:pos="394"/>
        </w:tabs>
        <w:spacing w:line="242" w:lineRule="auto"/>
        <w:ind w:right="165"/>
        <w:rPr>
          <w:sz w:val="24"/>
        </w:rPr>
      </w:pPr>
      <w:r>
        <w:rPr>
          <w:color w:val="231F20"/>
          <w:sz w:val="24"/>
        </w:rPr>
        <w:t>an</w:t>
      </w:r>
      <w:r>
        <w:rPr>
          <w:color w:val="231F20"/>
          <w:spacing w:val="-9"/>
          <w:sz w:val="24"/>
        </w:rPr>
        <w:t xml:space="preserve"> </w:t>
      </w:r>
      <w:r>
        <w:rPr>
          <w:color w:val="231F20"/>
          <w:sz w:val="24"/>
        </w:rPr>
        <w:t>estimate</w:t>
      </w:r>
      <w:r>
        <w:rPr>
          <w:color w:val="231F20"/>
          <w:spacing w:val="-9"/>
          <w:sz w:val="24"/>
        </w:rPr>
        <w:t xml:space="preserve"> </w:t>
      </w:r>
      <w:r>
        <w:rPr>
          <w:color w:val="231F20"/>
          <w:sz w:val="24"/>
        </w:rPr>
        <w:t>of</w:t>
      </w:r>
      <w:r>
        <w:rPr>
          <w:color w:val="231F20"/>
          <w:spacing w:val="-8"/>
          <w:sz w:val="24"/>
        </w:rPr>
        <w:t xml:space="preserve"> </w:t>
      </w:r>
      <w:r>
        <w:rPr>
          <w:color w:val="231F20"/>
          <w:sz w:val="24"/>
        </w:rPr>
        <w:t>costs</w:t>
      </w:r>
      <w:r>
        <w:rPr>
          <w:color w:val="231F20"/>
          <w:spacing w:val="-8"/>
          <w:sz w:val="24"/>
        </w:rPr>
        <w:t xml:space="preserve"> </w:t>
      </w:r>
      <w:r>
        <w:rPr>
          <w:color w:val="231F20"/>
          <w:sz w:val="24"/>
        </w:rPr>
        <w:t>to</w:t>
      </w:r>
      <w:r>
        <w:rPr>
          <w:color w:val="231F20"/>
          <w:spacing w:val="-9"/>
          <w:sz w:val="24"/>
        </w:rPr>
        <w:t xml:space="preserve"> </w:t>
      </w:r>
      <w:r>
        <w:rPr>
          <w:color w:val="231F20"/>
          <w:sz w:val="24"/>
        </w:rPr>
        <w:t>dismantle</w:t>
      </w:r>
      <w:r>
        <w:rPr>
          <w:color w:val="231F20"/>
          <w:spacing w:val="-9"/>
          <w:sz w:val="24"/>
        </w:rPr>
        <w:t xml:space="preserve"> </w:t>
      </w:r>
      <w:r>
        <w:rPr>
          <w:color w:val="231F20"/>
          <w:sz w:val="24"/>
        </w:rPr>
        <w:t>and</w:t>
      </w:r>
      <w:r>
        <w:rPr>
          <w:color w:val="231F20"/>
          <w:spacing w:val="-9"/>
          <w:sz w:val="24"/>
        </w:rPr>
        <w:t xml:space="preserve"> </w:t>
      </w:r>
      <w:r>
        <w:rPr>
          <w:color w:val="231F20"/>
          <w:sz w:val="24"/>
        </w:rPr>
        <w:t>remove</w:t>
      </w:r>
      <w:r>
        <w:rPr>
          <w:color w:val="231F20"/>
          <w:spacing w:val="-9"/>
          <w:sz w:val="24"/>
        </w:rPr>
        <w:t xml:space="preserve"> </w:t>
      </w:r>
      <w:r>
        <w:rPr>
          <w:color w:val="231F20"/>
          <w:sz w:val="24"/>
        </w:rPr>
        <w:t>the</w:t>
      </w:r>
      <w:r>
        <w:rPr>
          <w:color w:val="231F20"/>
          <w:spacing w:val="-9"/>
          <w:sz w:val="24"/>
        </w:rPr>
        <w:t xml:space="preserve"> </w:t>
      </w:r>
      <w:r>
        <w:rPr>
          <w:color w:val="231F20"/>
          <w:sz w:val="24"/>
        </w:rPr>
        <w:t>underlying</w:t>
      </w:r>
      <w:r>
        <w:rPr>
          <w:color w:val="231F20"/>
          <w:spacing w:val="-9"/>
          <w:sz w:val="24"/>
        </w:rPr>
        <w:t xml:space="preserve"> </w:t>
      </w:r>
      <w:r>
        <w:rPr>
          <w:color w:val="231F20"/>
          <w:sz w:val="24"/>
        </w:rPr>
        <w:t>asset</w:t>
      </w:r>
      <w:r>
        <w:rPr>
          <w:color w:val="231F20"/>
          <w:spacing w:val="-8"/>
          <w:sz w:val="24"/>
        </w:rPr>
        <w:t xml:space="preserve"> </w:t>
      </w:r>
      <w:r>
        <w:rPr>
          <w:color w:val="231F20"/>
          <w:sz w:val="24"/>
        </w:rPr>
        <w:t>or</w:t>
      </w:r>
      <w:r>
        <w:rPr>
          <w:color w:val="231F20"/>
          <w:spacing w:val="-8"/>
          <w:sz w:val="24"/>
        </w:rPr>
        <w:t xml:space="preserve"> </w:t>
      </w:r>
      <w:r>
        <w:rPr>
          <w:color w:val="231F20"/>
          <w:sz w:val="24"/>
        </w:rPr>
        <w:t>to</w:t>
      </w:r>
      <w:r>
        <w:rPr>
          <w:color w:val="231F20"/>
          <w:spacing w:val="-9"/>
          <w:sz w:val="24"/>
        </w:rPr>
        <w:t xml:space="preserve"> </w:t>
      </w:r>
      <w:r>
        <w:rPr>
          <w:color w:val="231F20"/>
          <w:sz w:val="24"/>
        </w:rPr>
        <w:t>restore</w:t>
      </w:r>
      <w:r>
        <w:rPr>
          <w:color w:val="231F20"/>
          <w:spacing w:val="-9"/>
          <w:sz w:val="24"/>
        </w:rPr>
        <w:t xml:space="preserve"> </w:t>
      </w:r>
      <w:r>
        <w:rPr>
          <w:color w:val="231F20"/>
          <w:sz w:val="24"/>
        </w:rPr>
        <w:t>the</w:t>
      </w:r>
      <w:r>
        <w:rPr>
          <w:color w:val="231F20"/>
          <w:spacing w:val="-9"/>
          <w:sz w:val="24"/>
        </w:rPr>
        <w:t xml:space="preserve"> </w:t>
      </w:r>
      <w:r>
        <w:rPr>
          <w:color w:val="231F20"/>
          <w:sz w:val="24"/>
        </w:rPr>
        <w:t>underlying asset or the site on which it is located.</w:t>
      </w:r>
    </w:p>
    <w:p w14:paraId="6EDF0322" w14:textId="77777777" w:rsidR="00345EE3" w:rsidRDefault="00345EE3" w:rsidP="00345EE3">
      <w:pPr>
        <w:pStyle w:val="Heading5"/>
        <w:spacing w:before="230"/>
      </w:pPr>
      <w:r>
        <w:rPr>
          <w:color w:val="231F20"/>
        </w:rPr>
        <w:t>Right-of-Use</w:t>
      </w:r>
      <w:r>
        <w:rPr>
          <w:color w:val="231F20"/>
          <w:spacing w:val="-6"/>
        </w:rPr>
        <w:t xml:space="preserve"> </w:t>
      </w:r>
      <w:r>
        <w:rPr>
          <w:color w:val="231F20"/>
        </w:rPr>
        <w:t>Assets</w:t>
      </w:r>
      <w:r>
        <w:rPr>
          <w:color w:val="231F20"/>
          <w:spacing w:val="-4"/>
        </w:rPr>
        <w:t xml:space="preserve"> </w:t>
      </w:r>
      <w:r>
        <w:rPr>
          <w:color w:val="231F20"/>
        </w:rPr>
        <w:t>Acquired</w:t>
      </w:r>
      <w:r>
        <w:rPr>
          <w:color w:val="231F20"/>
          <w:spacing w:val="-3"/>
        </w:rPr>
        <w:t xml:space="preserve"> </w:t>
      </w:r>
      <w:r>
        <w:rPr>
          <w:color w:val="231F20"/>
        </w:rPr>
        <w:t>by</w:t>
      </w:r>
      <w:r>
        <w:rPr>
          <w:color w:val="231F20"/>
          <w:spacing w:val="-3"/>
        </w:rPr>
        <w:t xml:space="preserve"> </w:t>
      </w:r>
      <w:r>
        <w:rPr>
          <w:color w:val="231F20"/>
        </w:rPr>
        <w:t>Lessees</w:t>
      </w:r>
      <w:r>
        <w:rPr>
          <w:color w:val="231F20"/>
          <w:spacing w:val="-4"/>
        </w:rPr>
        <w:t xml:space="preserve"> </w:t>
      </w:r>
      <w:r>
        <w:rPr>
          <w:color w:val="231F20"/>
        </w:rPr>
        <w:t>–</w:t>
      </w:r>
      <w:r>
        <w:rPr>
          <w:color w:val="231F20"/>
          <w:spacing w:val="-4"/>
        </w:rPr>
        <w:t xml:space="preserve"> </w:t>
      </w:r>
      <w:r>
        <w:rPr>
          <w:color w:val="231F20"/>
        </w:rPr>
        <w:t>Subsequent</w:t>
      </w:r>
      <w:r>
        <w:rPr>
          <w:color w:val="231F20"/>
          <w:spacing w:val="-2"/>
        </w:rPr>
        <w:t xml:space="preserve"> Measurement</w:t>
      </w:r>
    </w:p>
    <w:p w14:paraId="7C882A61" w14:textId="77777777" w:rsidR="00345EE3" w:rsidRDefault="00345EE3" w:rsidP="00345EE3">
      <w:pPr>
        <w:pStyle w:val="BodyText"/>
        <w:spacing w:before="61" w:line="242" w:lineRule="auto"/>
        <w:ind w:right="115"/>
      </w:pPr>
      <w:r>
        <w:rPr>
          <w:color w:val="231F20"/>
        </w:rPr>
        <w:t>Victoria Police depreciates the right-of-use assets on a straight-line basis from the lease commencement</w:t>
      </w:r>
      <w:r>
        <w:rPr>
          <w:color w:val="231F20"/>
          <w:spacing w:val="-6"/>
        </w:rPr>
        <w:t xml:space="preserve"> </w:t>
      </w:r>
      <w:r>
        <w:rPr>
          <w:color w:val="231F20"/>
        </w:rPr>
        <w:t>date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earlier</w:t>
      </w:r>
      <w:r>
        <w:rPr>
          <w:color w:val="231F20"/>
          <w:spacing w:val="-6"/>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end</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useful</w:t>
      </w:r>
      <w:r>
        <w:rPr>
          <w:color w:val="231F20"/>
          <w:spacing w:val="-7"/>
        </w:rPr>
        <w:t xml:space="preserve"> </w:t>
      </w:r>
      <w:r>
        <w:rPr>
          <w:color w:val="231F20"/>
        </w:rPr>
        <w:t>life</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right-of-use</w:t>
      </w:r>
      <w:r>
        <w:rPr>
          <w:color w:val="231F20"/>
          <w:spacing w:val="-7"/>
        </w:rPr>
        <w:t xml:space="preserve"> </w:t>
      </w:r>
      <w:r>
        <w:rPr>
          <w:color w:val="231F20"/>
        </w:rPr>
        <w:t>asset</w:t>
      </w:r>
      <w:r>
        <w:rPr>
          <w:color w:val="231F20"/>
          <w:spacing w:val="-6"/>
        </w:rPr>
        <w:t xml:space="preserve"> </w:t>
      </w:r>
      <w:r>
        <w:rPr>
          <w:color w:val="231F20"/>
        </w:rPr>
        <w:t>or</w:t>
      </w:r>
      <w:r>
        <w:rPr>
          <w:color w:val="231F20"/>
          <w:spacing w:val="-6"/>
        </w:rPr>
        <w:t xml:space="preserve"> </w:t>
      </w:r>
      <w:r>
        <w:rPr>
          <w:color w:val="231F20"/>
        </w:rPr>
        <w:t>the</w:t>
      </w:r>
      <w:r>
        <w:rPr>
          <w:color w:val="231F20"/>
          <w:spacing w:val="-7"/>
        </w:rPr>
        <w:t xml:space="preserve"> </w:t>
      </w:r>
      <w:r>
        <w:rPr>
          <w:color w:val="231F20"/>
        </w:rPr>
        <w:t>end of the lease term. The right-of-use assets are also subject to revaluation.</w:t>
      </w:r>
    </w:p>
    <w:p w14:paraId="0ECED556" w14:textId="77777777" w:rsidR="00345EE3" w:rsidRDefault="00345EE3" w:rsidP="00345EE3">
      <w:pPr>
        <w:pStyle w:val="BodyText"/>
        <w:spacing w:before="117" w:line="242" w:lineRule="auto"/>
        <w:ind w:right="147"/>
      </w:pPr>
      <w:r>
        <w:rPr>
          <w:color w:val="231F20"/>
        </w:rPr>
        <w:t>In</w:t>
      </w:r>
      <w:r>
        <w:rPr>
          <w:color w:val="231F20"/>
          <w:spacing w:val="-9"/>
        </w:rPr>
        <w:t xml:space="preserve"> </w:t>
      </w:r>
      <w:r>
        <w:rPr>
          <w:color w:val="231F20"/>
        </w:rPr>
        <w:t>addition,</w:t>
      </w:r>
      <w:r>
        <w:rPr>
          <w:color w:val="231F20"/>
          <w:spacing w:val="-9"/>
        </w:rPr>
        <w:t xml:space="preserve"> </w:t>
      </w:r>
      <w:r>
        <w:rPr>
          <w:color w:val="231F20"/>
        </w:rPr>
        <w:t>the</w:t>
      </w:r>
      <w:r>
        <w:rPr>
          <w:color w:val="231F20"/>
          <w:spacing w:val="-9"/>
        </w:rPr>
        <w:t xml:space="preserve"> </w:t>
      </w:r>
      <w:r>
        <w:rPr>
          <w:color w:val="231F20"/>
        </w:rPr>
        <w:t>right-of-use</w:t>
      </w:r>
      <w:r>
        <w:rPr>
          <w:color w:val="231F20"/>
          <w:spacing w:val="-9"/>
        </w:rPr>
        <w:t xml:space="preserve"> </w:t>
      </w:r>
      <w:r>
        <w:rPr>
          <w:color w:val="231F20"/>
        </w:rPr>
        <w:t>asset</w:t>
      </w:r>
      <w:r>
        <w:rPr>
          <w:color w:val="231F20"/>
          <w:spacing w:val="-9"/>
        </w:rPr>
        <w:t xml:space="preserve"> </w:t>
      </w:r>
      <w:r>
        <w:rPr>
          <w:color w:val="231F20"/>
        </w:rPr>
        <w:t>is</w:t>
      </w:r>
      <w:r>
        <w:rPr>
          <w:color w:val="231F20"/>
          <w:spacing w:val="-9"/>
        </w:rPr>
        <w:t xml:space="preserve"> </w:t>
      </w:r>
      <w:r>
        <w:rPr>
          <w:color w:val="231F20"/>
        </w:rPr>
        <w:t>periodically</w:t>
      </w:r>
      <w:r>
        <w:rPr>
          <w:color w:val="231F20"/>
          <w:spacing w:val="-9"/>
        </w:rPr>
        <w:t xml:space="preserve"> </w:t>
      </w:r>
      <w:r>
        <w:rPr>
          <w:color w:val="231F20"/>
        </w:rPr>
        <w:t>reduced</w:t>
      </w:r>
      <w:r>
        <w:rPr>
          <w:color w:val="231F20"/>
          <w:spacing w:val="-9"/>
        </w:rPr>
        <w:t xml:space="preserve"> </w:t>
      </w:r>
      <w:r>
        <w:rPr>
          <w:color w:val="231F20"/>
        </w:rPr>
        <w:t>by</w:t>
      </w:r>
      <w:r>
        <w:rPr>
          <w:color w:val="231F20"/>
          <w:spacing w:val="-9"/>
        </w:rPr>
        <w:t xml:space="preserve"> </w:t>
      </w:r>
      <w:r>
        <w:rPr>
          <w:color w:val="231F20"/>
        </w:rPr>
        <w:t>impairment</w:t>
      </w:r>
      <w:r>
        <w:rPr>
          <w:color w:val="231F20"/>
          <w:spacing w:val="-9"/>
        </w:rPr>
        <w:t xml:space="preserve"> </w:t>
      </w:r>
      <w:r>
        <w:rPr>
          <w:color w:val="231F20"/>
        </w:rPr>
        <w:t>losses,</w:t>
      </w:r>
      <w:r>
        <w:rPr>
          <w:color w:val="231F20"/>
          <w:spacing w:val="-9"/>
        </w:rPr>
        <w:t xml:space="preserve"> </w:t>
      </w:r>
      <w:r>
        <w:rPr>
          <w:color w:val="231F20"/>
        </w:rPr>
        <w:t>if</w:t>
      </w:r>
      <w:r>
        <w:rPr>
          <w:color w:val="231F20"/>
          <w:spacing w:val="-9"/>
        </w:rPr>
        <w:t xml:space="preserve"> </w:t>
      </w:r>
      <w:r>
        <w:rPr>
          <w:color w:val="231F20"/>
        </w:rPr>
        <w:t>any</w:t>
      </w:r>
      <w:r>
        <w:rPr>
          <w:color w:val="231F20"/>
          <w:spacing w:val="-9"/>
        </w:rPr>
        <w:t xml:space="preserve"> </w:t>
      </w:r>
      <w:r>
        <w:rPr>
          <w:color w:val="231F20"/>
        </w:rPr>
        <w:t>and adjusted for certain remeasurements of the lease liability.</w:t>
      </w:r>
    </w:p>
    <w:p w14:paraId="2FDAEEBA" w14:textId="77777777" w:rsidR="00345EE3" w:rsidRDefault="00345EE3" w:rsidP="00345EE3">
      <w:pPr>
        <w:pStyle w:val="Heading5"/>
        <w:spacing w:before="62"/>
      </w:pPr>
      <w:r>
        <w:rPr>
          <w:color w:val="231F20"/>
        </w:rPr>
        <w:t>Right-of-Use</w:t>
      </w:r>
      <w:r>
        <w:rPr>
          <w:color w:val="231F20"/>
          <w:spacing w:val="-4"/>
        </w:rPr>
        <w:t xml:space="preserve"> </w:t>
      </w:r>
      <w:r>
        <w:rPr>
          <w:color w:val="231F20"/>
        </w:rPr>
        <w:t>Assets</w:t>
      </w:r>
      <w:r>
        <w:rPr>
          <w:color w:val="231F20"/>
          <w:spacing w:val="-4"/>
        </w:rPr>
        <w:t xml:space="preserve"> </w:t>
      </w:r>
      <w:r>
        <w:rPr>
          <w:color w:val="231F20"/>
        </w:rPr>
        <w:t>–</w:t>
      </w:r>
      <w:r>
        <w:rPr>
          <w:color w:val="231F20"/>
          <w:spacing w:val="-4"/>
        </w:rPr>
        <w:t xml:space="preserve"> </w:t>
      </w:r>
      <w:r>
        <w:rPr>
          <w:color w:val="231F20"/>
        </w:rPr>
        <w:t>Fair</w:t>
      </w:r>
      <w:r>
        <w:rPr>
          <w:color w:val="231F20"/>
          <w:spacing w:val="-4"/>
        </w:rPr>
        <w:t xml:space="preserve"> </w:t>
      </w:r>
      <w:r>
        <w:rPr>
          <w:color w:val="231F20"/>
        </w:rPr>
        <w:t>Value</w:t>
      </w:r>
      <w:r>
        <w:rPr>
          <w:color w:val="231F20"/>
          <w:spacing w:val="-3"/>
        </w:rPr>
        <w:t xml:space="preserve"> </w:t>
      </w:r>
      <w:r>
        <w:rPr>
          <w:color w:val="231F20"/>
          <w:spacing w:val="-2"/>
        </w:rPr>
        <w:t>Measurement</w:t>
      </w:r>
    </w:p>
    <w:p w14:paraId="7D052F08" w14:textId="77777777" w:rsidR="00345EE3" w:rsidRDefault="00345EE3" w:rsidP="00345EE3">
      <w:pPr>
        <w:pStyle w:val="BodyText"/>
        <w:spacing w:before="61" w:line="242" w:lineRule="auto"/>
      </w:pPr>
      <w:r>
        <w:rPr>
          <w:color w:val="231F20"/>
        </w:rPr>
        <w:t>As</w:t>
      </w:r>
      <w:r>
        <w:rPr>
          <w:color w:val="231F20"/>
          <w:spacing w:val="-6"/>
        </w:rPr>
        <w:t xml:space="preserve"> </w:t>
      </w:r>
      <w:r>
        <w:rPr>
          <w:color w:val="231F20"/>
        </w:rPr>
        <w:t>at</w:t>
      </w:r>
      <w:r>
        <w:rPr>
          <w:color w:val="231F20"/>
          <w:spacing w:val="-6"/>
        </w:rPr>
        <w:t xml:space="preserve"> </w:t>
      </w:r>
      <w:r>
        <w:rPr>
          <w:color w:val="231F20"/>
        </w:rPr>
        <w:t>30</w:t>
      </w:r>
      <w:r>
        <w:rPr>
          <w:color w:val="231F20"/>
          <w:spacing w:val="-7"/>
        </w:rPr>
        <w:t xml:space="preserve"> </w:t>
      </w:r>
      <w:r>
        <w:rPr>
          <w:color w:val="231F20"/>
        </w:rPr>
        <w:t>June</w:t>
      </w:r>
      <w:r>
        <w:rPr>
          <w:color w:val="231F20"/>
          <w:spacing w:val="-7"/>
        </w:rPr>
        <w:t xml:space="preserve"> </w:t>
      </w:r>
      <w:r>
        <w:rPr>
          <w:color w:val="231F20"/>
        </w:rPr>
        <w:t>2022,</w:t>
      </w:r>
      <w:r>
        <w:rPr>
          <w:color w:val="231F20"/>
          <w:spacing w:val="-6"/>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has</w:t>
      </w:r>
      <w:r>
        <w:rPr>
          <w:color w:val="231F20"/>
          <w:spacing w:val="-6"/>
        </w:rPr>
        <w:t xml:space="preserve"> </w:t>
      </w:r>
      <w:r>
        <w:rPr>
          <w:color w:val="231F20"/>
        </w:rPr>
        <w:t>assessed</w:t>
      </w:r>
      <w:r>
        <w:rPr>
          <w:color w:val="231F20"/>
          <w:spacing w:val="-7"/>
        </w:rPr>
        <w:t xml:space="preserve"> </w:t>
      </w:r>
      <w:r>
        <w:rPr>
          <w:color w:val="231F20"/>
        </w:rPr>
        <w:t>the</w:t>
      </w:r>
      <w:r>
        <w:rPr>
          <w:color w:val="231F20"/>
          <w:spacing w:val="-7"/>
        </w:rPr>
        <w:t xml:space="preserve"> </w:t>
      </w:r>
      <w:r>
        <w:rPr>
          <w:color w:val="231F20"/>
        </w:rPr>
        <w:t>fair</w:t>
      </w:r>
      <w:r>
        <w:rPr>
          <w:color w:val="231F20"/>
          <w:spacing w:val="-6"/>
        </w:rPr>
        <w:t xml:space="preserve"> </w:t>
      </w:r>
      <w:r>
        <w:rPr>
          <w:color w:val="231F20"/>
        </w:rPr>
        <w:t>value</w:t>
      </w:r>
      <w:r>
        <w:rPr>
          <w:color w:val="231F20"/>
          <w:spacing w:val="-7"/>
        </w:rPr>
        <w:t xml:space="preserve"> </w:t>
      </w:r>
      <w:r>
        <w:rPr>
          <w:color w:val="231F20"/>
        </w:rPr>
        <w:t>of</w:t>
      </w:r>
      <w:r>
        <w:rPr>
          <w:color w:val="231F20"/>
          <w:spacing w:val="-6"/>
        </w:rPr>
        <w:t xml:space="preserve"> </w:t>
      </w:r>
      <w:r>
        <w:rPr>
          <w:color w:val="231F20"/>
        </w:rPr>
        <w:t>all</w:t>
      </w:r>
      <w:r>
        <w:rPr>
          <w:color w:val="231F20"/>
          <w:spacing w:val="-7"/>
        </w:rPr>
        <w:t xml:space="preserve"> </w:t>
      </w:r>
      <w:r>
        <w:rPr>
          <w:color w:val="231F20"/>
        </w:rPr>
        <w:t>its</w:t>
      </w:r>
      <w:r>
        <w:rPr>
          <w:color w:val="231F20"/>
          <w:spacing w:val="-6"/>
        </w:rPr>
        <w:t xml:space="preserve"> </w:t>
      </w:r>
      <w:r>
        <w:rPr>
          <w:color w:val="231F20"/>
        </w:rPr>
        <w:t>non-financial</w:t>
      </w:r>
      <w:r>
        <w:rPr>
          <w:color w:val="231F20"/>
          <w:spacing w:val="-7"/>
        </w:rPr>
        <w:t xml:space="preserve"> </w:t>
      </w:r>
      <w:r>
        <w:rPr>
          <w:color w:val="231F20"/>
        </w:rPr>
        <w:t>physical assets including right-of-use assets using the revaluation model.</w:t>
      </w:r>
    </w:p>
    <w:p w14:paraId="4AEA4176" w14:textId="77777777" w:rsidR="00345EE3" w:rsidRDefault="00345EE3" w:rsidP="00345EE3">
      <w:pPr>
        <w:pStyle w:val="BodyText"/>
        <w:spacing w:before="116" w:line="242" w:lineRule="auto"/>
        <w:ind w:right="115"/>
      </w:pPr>
      <w:r>
        <w:rPr>
          <w:color w:val="231F20"/>
        </w:rPr>
        <w:t>This</w:t>
      </w:r>
      <w:r>
        <w:rPr>
          <w:color w:val="231F20"/>
          <w:spacing w:val="-3"/>
        </w:rPr>
        <w:t xml:space="preserve"> </w:t>
      </w:r>
      <w:r>
        <w:rPr>
          <w:color w:val="231F20"/>
        </w:rPr>
        <w:t>is</w:t>
      </w:r>
      <w:r>
        <w:rPr>
          <w:color w:val="231F20"/>
          <w:spacing w:val="-3"/>
        </w:rPr>
        <w:t xml:space="preserve"> </w:t>
      </w:r>
      <w:r>
        <w:rPr>
          <w:color w:val="231F20"/>
        </w:rPr>
        <w:t>in</w:t>
      </w:r>
      <w:r>
        <w:rPr>
          <w:color w:val="231F20"/>
          <w:spacing w:val="-4"/>
        </w:rPr>
        <w:t xml:space="preserve"> </w:t>
      </w:r>
      <w:r>
        <w:rPr>
          <w:color w:val="231F20"/>
        </w:rPr>
        <w:t>accordance</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updated</w:t>
      </w:r>
      <w:r>
        <w:rPr>
          <w:color w:val="231F20"/>
          <w:spacing w:val="-4"/>
        </w:rPr>
        <w:t xml:space="preserve"> </w:t>
      </w:r>
      <w:r>
        <w:rPr>
          <w:color w:val="231F20"/>
        </w:rPr>
        <w:t>FRD</w:t>
      </w:r>
      <w:r>
        <w:rPr>
          <w:color w:val="231F20"/>
          <w:spacing w:val="-4"/>
        </w:rPr>
        <w:t xml:space="preserve"> </w:t>
      </w:r>
      <w:r>
        <w:rPr>
          <w:color w:val="231F20"/>
        </w:rPr>
        <w:t>103</w:t>
      </w:r>
      <w:r>
        <w:rPr>
          <w:color w:val="231F20"/>
          <w:spacing w:val="-4"/>
        </w:rPr>
        <w:t xml:space="preserve"> </w:t>
      </w:r>
      <w:r>
        <w:rPr>
          <w:i/>
          <w:color w:val="231F20"/>
        </w:rPr>
        <w:t>Non-Financial</w:t>
      </w:r>
      <w:r>
        <w:rPr>
          <w:i/>
          <w:color w:val="231F20"/>
          <w:spacing w:val="-12"/>
        </w:rPr>
        <w:t xml:space="preserve"> </w:t>
      </w:r>
      <w:r>
        <w:rPr>
          <w:i/>
          <w:color w:val="231F20"/>
        </w:rPr>
        <w:t>Physical</w:t>
      </w:r>
      <w:r>
        <w:rPr>
          <w:i/>
          <w:color w:val="231F20"/>
          <w:spacing w:val="-12"/>
        </w:rPr>
        <w:t xml:space="preserve"> </w:t>
      </w:r>
      <w:r>
        <w:rPr>
          <w:i/>
          <w:color w:val="231F20"/>
        </w:rPr>
        <w:t>Assets</w:t>
      </w:r>
      <w:r>
        <w:rPr>
          <w:i/>
          <w:color w:val="231F20"/>
          <w:spacing w:val="-7"/>
        </w:rPr>
        <w:t xml:space="preserve"> </w:t>
      </w:r>
      <w:r>
        <w:rPr>
          <w:color w:val="231F20"/>
        </w:rPr>
        <w:t>issued</w:t>
      </w:r>
      <w:r>
        <w:rPr>
          <w:color w:val="231F20"/>
          <w:spacing w:val="-4"/>
        </w:rPr>
        <w:t xml:space="preserve"> </w:t>
      </w:r>
      <w:r>
        <w:rPr>
          <w:color w:val="231F20"/>
        </w:rPr>
        <w:t>in</w:t>
      </w:r>
      <w:r>
        <w:rPr>
          <w:color w:val="231F20"/>
          <w:spacing w:val="-4"/>
        </w:rPr>
        <w:t xml:space="preserve"> </w:t>
      </w:r>
      <w:r>
        <w:rPr>
          <w:color w:val="231F20"/>
        </w:rPr>
        <w:t>April 2022</w:t>
      </w:r>
      <w:r>
        <w:rPr>
          <w:color w:val="231F20"/>
          <w:spacing w:val="-9"/>
        </w:rPr>
        <w:t xml:space="preserve"> </w:t>
      </w:r>
      <w:r>
        <w:rPr>
          <w:color w:val="231F20"/>
        </w:rPr>
        <w:t>which</w:t>
      </w:r>
      <w:r>
        <w:rPr>
          <w:color w:val="231F20"/>
          <w:spacing w:val="-9"/>
        </w:rPr>
        <w:t xml:space="preserve"> </w:t>
      </w:r>
      <w:r>
        <w:rPr>
          <w:color w:val="231F20"/>
        </w:rPr>
        <w:t>states</w:t>
      </w:r>
      <w:r>
        <w:rPr>
          <w:color w:val="231F20"/>
          <w:spacing w:val="-8"/>
        </w:rPr>
        <w:t xml:space="preserve"> </w:t>
      </w:r>
      <w:r>
        <w:rPr>
          <w:color w:val="231F20"/>
        </w:rPr>
        <w:t>that</w:t>
      </w:r>
      <w:r>
        <w:rPr>
          <w:color w:val="231F20"/>
          <w:spacing w:val="-8"/>
        </w:rPr>
        <w:t xml:space="preserve"> </w:t>
      </w:r>
      <w:r>
        <w:rPr>
          <w:color w:val="231F20"/>
        </w:rPr>
        <w:t>all</w:t>
      </w:r>
      <w:r>
        <w:rPr>
          <w:color w:val="231F20"/>
          <w:spacing w:val="-9"/>
        </w:rPr>
        <w:t xml:space="preserve"> </w:t>
      </w:r>
      <w:r>
        <w:rPr>
          <w:color w:val="231F20"/>
        </w:rPr>
        <w:t>non-financial</w:t>
      </w:r>
      <w:r>
        <w:rPr>
          <w:color w:val="231F20"/>
          <w:spacing w:val="-9"/>
        </w:rPr>
        <w:t xml:space="preserve"> </w:t>
      </w:r>
      <w:r>
        <w:rPr>
          <w:color w:val="231F20"/>
        </w:rPr>
        <w:t>physical</w:t>
      </w:r>
      <w:r>
        <w:rPr>
          <w:color w:val="231F20"/>
          <w:spacing w:val="-9"/>
        </w:rPr>
        <w:t xml:space="preserve"> </w:t>
      </w:r>
      <w:r>
        <w:rPr>
          <w:color w:val="231F20"/>
        </w:rPr>
        <w:t>assets</w:t>
      </w:r>
      <w:r>
        <w:rPr>
          <w:color w:val="231F20"/>
          <w:spacing w:val="-8"/>
        </w:rPr>
        <w:t xml:space="preserve"> </w:t>
      </w:r>
      <w:r>
        <w:rPr>
          <w:color w:val="231F20"/>
        </w:rPr>
        <w:t>including</w:t>
      </w:r>
      <w:r>
        <w:rPr>
          <w:color w:val="231F20"/>
          <w:spacing w:val="-9"/>
        </w:rPr>
        <w:t xml:space="preserve"> </w:t>
      </w:r>
      <w:r>
        <w:rPr>
          <w:color w:val="231F20"/>
        </w:rPr>
        <w:t>right-of-use</w:t>
      </w:r>
      <w:r>
        <w:rPr>
          <w:color w:val="231F20"/>
          <w:spacing w:val="-9"/>
        </w:rPr>
        <w:t xml:space="preserve"> </w:t>
      </w:r>
      <w:r>
        <w:rPr>
          <w:color w:val="231F20"/>
        </w:rPr>
        <w:t>assets</w:t>
      </w:r>
      <w:r>
        <w:rPr>
          <w:color w:val="231F20"/>
          <w:spacing w:val="-8"/>
        </w:rPr>
        <w:t xml:space="preserve"> </w:t>
      </w:r>
      <w:r>
        <w:rPr>
          <w:color w:val="231F20"/>
        </w:rPr>
        <w:t>will</w:t>
      </w:r>
      <w:r>
        <w:rPr>
          <w:color w:val="231F20"/>
          <w:spacing w:val="-9"/>
        </w:rPr>
        <w:t xml:space="preserve"> </w:t>
      </w:r>
      <w:r>
        <w:rPr>
          <w:color w:val="231F20"/>
        </w:rPr>
        <w:t>need</w:t>
      </w:r>
      <w:r>
        <w:rPr>
          <w:color w:val="231F20"/>
          <w:spacing w:val="-9"/>
        </w:rPr>
        <w:t xml:space="preserve"> </w:t>
      </w:r>
      <w:r>
        <w:rPr>
          <w:color w:val="231F20"/>
        </w:rPr>
        <w:t>to be measured using the revaluation model at the end of each annual reporting period.</w:t>
      </w:r>
    </w:p>
    <w:p w14:paraId="17DE39F1" w14:textId="77777777" w:rsidR="00345EE3" w:rsidRDefault="00345EE3" w:rsidP="00345EE3">
      <w:pPr>
        <w:pStyle w:val="BodyText"/>
        <w:spacing w:before="117"/>
      </w:pPr>
      <w:r>
        <w:rPr>
          <w:color w:val="231F20"/>
        </w:rPr>
        <w:t>In</w:t>
      </w:r>
      <w:r>
        <w:rPr>
          <w:color w:val="231F20"/>
          <w:spacing w:val="-10"/>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the</w:t>
      </w:r>
      <w:r>
        <w:rPr>
          <w:color w:val="231F20"/>
          <w:spacing w:val="-8"/>
        </w:rPr>
        <w:t xml:space="preserve"> </w:t>
      </w:r>
      <w:r>
        <w:rPr>
          <w:color w:val="231F20"/>
        </w:rPr>
        <w:t>right-of-use</w:t>
      </w:r>
      <w:r>
        <w:rPr>
          <w:color w:val="231F20"/>
          <w:spacing w:val="-7"/>
        </w:rPr>
        <w:t xml:space="preserve"> </w:t>
      </w:r>
      <w:r>
        <w:rPr>
          <w:color w:val="231F20"/>
        </w:rPr>
        <w:t>assets</w:t>
      </w:r>
      <w:r>
        <w:rPr>
          <w:color w:val="231F20"/>
          <w:spacing w:val="-8"/>
        </w:rPr>
        <w:t xml:space="preserve"> </w:t>
      </w:r>
      <w:r>
        <w:rPr>
          <w:color w:val="231F20"/>
        </w:rPr>
        <w:t>comprise</w:t>
      </w:r>
      <w:r>
        <w:rPr>
          <w:color w:val="231F20"/>
          <w:spacing w:val="-8"/>
        </w:rPr>
        <w:t xml:space="preserve"> </w:t>
      </w:r>
      <w:r>
        <w:rPr>
          <w:color w:val="231F20"/>
        </w:rPr>
        <w:t>the</w:t>
      </w:r>
      <w:r>
        <w:rPr>
          <w:color w:val="231F20"/>
          <w:spacing w:val="-8"/>
        </w:rPr>
        <w:t xml:space="preserve"> </w:t>
      </w:r>
      <w:r>
        <w:rPr>
          <w:color w:val="231F20"/>
        </w:rPr>
        <w:t>following</w:t>
      </w:r>
      <w:r>
        <w:rPr>
          <w:color w:val="231F20"/>
          <w:spacing w:val="-7"/>
        </w:rPr>
        <w:t xml:space="preserve"> </w:t>
      </w:r>
      <w:r>
        <w:rPr>
          <w:color w:val="231F20"/>
          <w:spacing w:val="-2"/>
        </w:rPr>
        <w:t>categories:</w:t>
      </w:r>
    </w:p>
    <w:p w14:paraId="43617F82" w14:textId="77777777" w:rsidR="00345EE3" w:rsidRDefault="00345EE3">
      <w:pPr>
        <w:pStyle w:val="ListParagraph"/>
        <w:numPr>
          <w:ilvl w:val="2"/>
          <w:numId w:val="34"/>
        </w:numPr>
        <w:tabs>
          <w:tab w:val="left" w:pos="393"/>
          <w:tab w:val="left" w:pos="394"/>
        </w:tabs>
        <w:rPr>
          <w:sz w:val="24"/>
        </w:rPr>
      </w:pPr>
      <w:r>
        <w:rPr>
          <w:color w:val="231F20"/>
          <w:sz w:val="24"/>
        </w:rPr>
        <w:t>Buildings</w:t>
      </w:r>
      <w:r>
        <w:rPr>
          <w:color w:val="231F20"/>
          <w:spacing w:val="-14"/>
          <w:sz w:val="24"/>
        </w:rPr>
        <w:t xml:space="preserve"> </w:t>
      </w:r>
      <w:r>
        <w:rPr>
          <w:color w:val="231F20"/>
          <w:sz w:val="24"/>
        </w:rPr>
        <w:t>–</w:t>
      </w:r>
      <w:r>
        <w:rPr>
          <w:color w:val="231F20"/>
          <w:spacing w:val="-14"/>
          <w:sz w:val="24"/>
        </w:rPr>
        <w:t xml:space="preserve"> </w:t>
      </w:r>
      <w:r>
        <w:rPr>
          <w:color w:val="231F20"/>
          <w:sz w:val="24"/>
        </w:rPr>
        <w:t>$1.5</w:t>
      </w:r>
      <w:r>
        <w:rPr>
          <w:color w:val="231F20"/>
          <w:spacing w:val="-13"/>
          <w:sz w:val="24"/>
        </w:rPr>
        <w:t xml:space="preserve"> </w:t>
      </w:r>
      <w:r>
        <w:rPr>
          <w:color w:val="231F20"/>
          <w:sz w:val="24"/>
        </w:rPr>
        <w:t>billion</w:t>
      </w:r>
      <w:r>
        <w:rPr>
          <w:color w:val="231F20"/>
          <w:spacing w:val="-14"/>
          <w:sz w:val="24"/>
        </w:rPr>
        <w:t xml:space="preserve"> </w:t>
      </w:r>
      <w:r>
        <w:rPr>
          <w:color w:val="231F20"/>
          <w:spacing w:val="-2"/>
          <w:sz w:val="24"/>
        </w:rPr>
        <w:t>(86%);</w:t>
      </w:r>
    </w:p>
    <w:p w14:paraId="0E657778" w14:textId="77777777" w:rsidR="00345EE3" w:rsidRDefault="00345EE3">
      <w:pPr>
        <w:pStyle w:val="ListParagraph"/>
        <w:numPr>
          <w:ilvl w:val="2"/>
          <w:numId w:val="34"/>
        </w:numPr>
        <w:tabs>
          <w:tab w:val="left" w:pos="393"/>
          <w:tab w:val="left" w:pos="394"/>
        </w:tabs>
        <w:rPr>
          <w:sz w:val="24"/>
        </w:rPr>
      </w:pPr>
      <w:r>
        <w:rPr>
          <w:color w:val="231F20"/>
          <w:spacing w:val="-2"/>
          <w:sz w:val="24"/>
        </w:rPr>
        <w:t>Motor</w:t>
      </w:r>
      <w:r>
        <w:rPr>
          <w:color w:val="231F20"/>
          <w:spacing w:val="-8"/>
          <w:sz w:val="24"/>
        </w:rPr>
        <w:t xml:space="preserve"> </w:t>
      </w:r>
      <w:r>
        <w:rPr>
          <w:color w:val="231F20"/>
          <w:spacing w:val="-2"/>
          <w:sz w:val="24"/>
        </w:rPr>
        <w:t>vehicles</w:t>
      </w:r>
      <w:r>
        <w:rPr>
          <w:color w:val="231F20"/>
          <w:spacing w:val="-7"/>
          <w:sz w:val="24"/>
        </w:rPr>
        <w:t xml:space="preserve"> </w:t>
      </w:r>
      <w:r>
        <w:rPr>
          <w:color w:val="231F20"/>
          <w:spacing w:val="-2"/>
          <w:sz w:val="24"/>
        </w:rPr>
        <w:t>–</w:t>
      </w:r>
      <w:r>
        <w:rPr>
          <w:color w:val="231F20"/>
          <w:spacing w:val="-8"/>
          <w:sz w:val="24"/>
        </w:rPr>
        <w:t xml:space="preserve"> </w:t>
      </w:r>
      <w:r>
        <w:rPr>
          <w:color w:val="231F20"/>
          <w:spacing w:val="-2"/>
          <w:sz w:val="24"/>
        </w:rPr>
        <w:t>$127.9</w:t>
      </w:r>
      <w:r>
        <w:rPr>
          <w:color w:val="231F20"/>
          <w:spacing w:val="-8"/>
          <w:sz w:val="24"/>
        </w:rPr>
        <w:t xml:space="preserve"> </w:t>
      </w:r>
      <w:r>
        <w:rPr>
          <w:color w:val="231F20"/>
          <w:spacing w:val="-2"/>
          <w:sz w:val="24"/>
        </w:rPr>
        <w:t>million</w:t>
      </w:r>
      <w:r>
        <w:rPr>
          <w:color w:val="231F20"/>
          <w:spacing w:val="-8"/>
          <w:sz w:val="24"/>
        </w:rPr>
        <w:t xml:space="preserve"> </w:t>
      </w:r>
      <w:r>
        <w:rPr>
          <w:color w:val="231F20"/>
          <w:spacing w:val="-4"/>
          <w:sz w:val="24"/>
        </w:rPr>
        <w:t>(7%);</w:t>
      </w:r>
    </w:p>
    <w:p w14:paraId="65A4F6E1" w14:textId="77777777" w:rsidR="00345EE3" w:rsidRDefault="00345EE3">
      <w:pPr>
        <w:pStyle w:val="ListParagraph"/>
        <w:numPr>
          <w:ilvl w:val="2"/>
          <w:numId w:val="34"/>
        </w:numPr>
        <w:tabs>
          <w:tab w:val="left" w:pos="393"/>
          <w:tab w:val="left" w:pos="394"/>
        </w:tabs>
        <w:spacing w:before="33"/>
        <w:rPr>
          <w:sz w:val="24"/>
        </w:rPr>
      </w:pPr>
      <w:r>
        <w:rPr>
          <w:color w:val="231F20"/>
          <w:sz w:val="24"/>
        </w:rPr>
        <w:t>Aviation</w:t>
      </w:r>
      <w:r>
        <w:rPr>
          <w:color w:val="231F20"/>
          <w:spacing w:val="-17"/>
          <w:sz w:val="24"/>
        </w:rPr>
        <w:t xml:space="preserve"> </w:t>
      </w:r>
      <w:r>
        <w:rPr>
          <w:color w:val="231F20"/>
          <w:sz w:val="24"/>
        </w:rPr>
        <w:t>–</w:t>
      </w:r>
      <w:r>
        <w:rPr>
          <w:color w:val="231F20"/>
          <w:spacing w:val="-17"/>
          <w:sz w:val="24"/>
        </w:rPr>
        <w:t xml:space="preserve"> </w:t>
      </w:r>
      <w:r>
        <w:rPr>
          <w:color w:val="231F20"/>
          <w:sz w:val="24"/>
        </w:rPr>
        <w:t>$99.7</w:t>
      </w:r>
      <w:r>
        <w:rPr>
          <w:color w:val="231F20"/>
          <w:spacing w:val="-16"/>
          <w:sz w:val="24"/>
        </w:rPr>
        <w:t xml:space="preserve"> </w:t>
      </w:r>
      <w:r>
        <w:rPr>
          <w:color w:val="231F20"/>
          <w:sz w:val="24"/>
        </w:rPr>
        <w:t>million</w:t>
      </w:r>
      <w:r>
        <w:rPr>
          <w:color w:val="231F20"/>
          <w:spacing w:val="-17"/>
          <w:sz w:val="24"/>
        </w:rPr>
        <w:t xml:space="preserve"> </w:t>
      </w:r>
      <w:r>
        <w:rPr>
          <w:color w:val="231F20"/>
          <w:sz w:val="24"/>
        </w:rPr>
        <w:t>(6%);</w:t>
      </w:r>
      <w:r>
        <w:rPr>
          <w:color w:val="231F20"/>
          <w:spacing w:val="-15"/>
          <w:sz w:val="24"/>
        </w:rPr>
        <w:t xml:space="preserve"> </w:t>
      </w:r>
      <w:r>
        <w:rPr>
          <w:color w:val="231F20"/>
          <w:spacing w:val="-5"/>
          <w:sz w:val="24"/>
        </w:rPr>
        <w:t>and</w:t>
      </w:r>
    </w:p>
    <w:p w14:paraId="04A0101A" w14:textId="77777777" w:rsidR="00345EE3" w:rsidRDefault="00345EE3">
      <w:pPr>
        <w:pStyle w:val="ListParagraph"/>
        <w:numPr>
          <w:ilvl w:val="2"/>
          <w:numId w:val="34"/>
        </w:numPr>
        <w:tabs>
          <w:tab w:val="left" w:pos="393"/>
          <w:tab w:val="left" w:pos="394"/>
        </w:tabs>
        <w:rPr>
          <w:sz w:val="24"/>
        </w:rPr>
      </w:pPr>
      <w:r>
        <w:rPr>
          <w:color w:val="231F20"/>
          <w:sz w:val="24"/>
        </w:rPr>
        <w:t>Land</w:t>
      </w:r>
      <w:r>
        <w:rPr>
          <w:color w:val="231F20"/>
          <w:spacing w:val="-14"/>
          <w:sz w:val="24"/>
        </w:rPr>
        <w:t xml:space="preserve"> </w:t>
      </w:r>
      <w:r>
        <w:rPr>
          <w:color w:val="231F20"/>
          <w:sz w:val="24"/>
        </w:rPr>
        <w:t>–</w:t>
      </w:r>
      <w:r>
        <w:rPr>
          <w:color w:val="231F20"/>
          <w:spacing w:val="-14"/>
          <w:sz w:val="24"/>
        </w:rPr>
        <w:t xml:space="preserve"> </w:t>
      </w:r>
      <w:r>
        <w:rPr>
          <w:color w:val="231F20"/>
          <w:sz w:val="24"/>
        </w:rPr>
        <w:t>$13.7</w:t>
      </w:r>
      <w:r>
        <w:rPr>
          <w:color w:val="231F20"/>
          <w:spacing w:val="-14"/>
          <w:sz w:val="24"/>
        </w:rPr>
        <w:t xml:space="preserve"> </w:t>
      </w:r>
      <w:r>
        <w:rPr>
          <w:color w:val="231F20"/>
          <w:sz w:val="24"/>
        </w:rPr>
        <w:t>million</w:t>
      </w:r>
      <w:r>
        <w:rPr>
          <w:color w:val="231F20"/>
          <w:spacing w:val="-14"/>
          <w:sz w:val="24"/>
        </w:rPr>
        <w:t xml:space="preserve"> </w:t>
      </w:r>
      <w:r>
        <w:rPr>
          <w:color w:val="231F20"/>
          <w:spacing w:val="-2"/>
          <w:sz w:val="24"/>
        </w:rPr>
        <w:t>(1%).</w:t>
      </w:r>
    </w:p>
    <w:p w14:paraId="0B965A50" w14:textId="77777777" w:rsidR="00345EE3" w:rsidRDefault="00345EE3" w:rsidP="00345EE3">
      <w:pPr>
        <w:pStyle w:val="Heading5"/>
        <w:spacing w:before="231"/>
      </w:pPr>
      <w:r>
        <w:rPr>
          <w:color w:val="231F20"/>
          <w:spacing w:val="-2"/>
        </w:rPr>
        <w:t>Buildings</w:t>
      </w:r>
    </w:p>
    <w:p w14:paraId="221370A0" w14:textId="77777777" w:rsidR="00345EE3" w:rsidRDefault="00345EE3" w:rsidP="00345EE3">
      <w:pPr>
        <w:pStyle w:val="BodyText"/>
        <w:spacing w:before="61" w:line="242" w:lineRule="auto"/>
        <w:ind w:right="549"/>
      </w:pPr>
      <w:r>
        <w:rPr>
          <w:color w:val="231F20"/>
        </w:rPr>
        <w:t>In determining the fair value of Victoria Police’s two significant right-of-use assets, namely Victoria</w:t>
      </w:r>
      <w:r>
        <w:rPr>
          <w:color w:val="231F20"/>
          <w:spacing w:val="-10"/>
        </w:rPr>
        <w:t xml:space="preserve"> </w:t>
      </w:r>
      <w:r>
        <w:rPr>
          <w:color w:val="231F20"/>
        </w:rPr>
        <w:t>Police</w:t>
      </w:r>
      <w:r>
        <w:rPr>
          <w:color w:val="231F20"/>
          <w:spacing w:val="-10"/>
        </w:rPr>
        <w:t xml:space="preserve"> </w:t>
      </w:r>
      <w:r>
        <w:rPr>
          <w:color w:val="231F20"/>
        </w:rPr>
        <w:t>Centre</w:t>
      </w:r>
      <w:r>
        <w:rPr>
          <w:color w:val="231F20"/>
          <w:spacing w:val="-10"/>
        </w:rPr>
        <w:t xml:space="preserve"> </w:t>
      </w:r>
      <w:r>
        <w:rPr>
          <w:color w:val="231F20"/>
        </w:rPr>
        <w:t>1</w:t>
      </w:r>
      <w:r>
        <w:rPr>
          <w:color w:val="231F20"/>
          <w:spacing w:val="-10"/>
        </w:rPr>
        <w:t xml:space="preserve"> </w:t>
      </w:r>
      <w:r>
        <w:rPr>
          <w:color w:val="231F20"/>
        </w:rPr>
        <w:t>(located</w:t>
      </w:r>
      <w:r>
        <w:rPr>
          <w:color w:val="231F20"/>
          <w:spacing w:val="-10"/>
        </w:rPr>
        <w:t xml:space="preserve"> </w:t>
      </w:r>
      <w:r>
        <w:rPr>
          <w:color w:val="231F20"/>
        </w:rPr>
        <w:t>at</w:t>
      </w:r>
      <w:r>
        <w:rPr>
          <w:color w:val="231F20"/>
          <w:spacing w:val="-9"/>
        </w:rPr>
        <w:t xml:space="preserve"> </w:t>
      </w:r>
      <w:r>
        <w:rPr>
          <w:color w:val="231F20"/>
        </w:rPr>
        <w:t>311</w:t>
      </w:r>
      <w:r>
        <w:rPr>
          <w:color w:val="231F20"/>
          <w:spacing w:val="-10"/>
        </w:rPr>
        <w:t xml:space="preserve"> </w:t>
      </w:r>
      <w:r>
        <w:rPr>
          <w:color w:val="231F20"/>
        </w:rPr>
        <w:t>Spencer</w:t>
      </w:r>
      <w:r>
        <w:rPr>
          <w:color w:val="231F20"/>
          <w:spacing w:val="-9"/>
        </w:rPr>
        <w:t xml:space="preserve"> </w:t>
      </w:r>
      <w:r>
        <w:rPr>
          <w:color w:val="231F20"/>
        </w:rPr>
        <w:t>Street)</w:t>
      </w:r>
      <w:r>
        <w:rPr>
          <w:color w:val="231F20"/>
          <w:spacing w:val="-9"/>
        </w:rPr>
        <w:t xml:space="preserve"> </w:t>
      </w:r>
      <w:r>
        <w:rPr>
          <w:color w:val="231F20"/>
        </w:rPr>
        <w:t>and</w:t>
      </w:r>
      <w:r>
        <w:rPr>
          <w:color w:val="231F20"/>
          <w:spacing w:val="-10"/>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Centre</w:t>
      </w:r>
      <w:r>
        <w:rPr>
          <w:color w:val="231F20"/>
          <w:spacing w:val="-10"/>
        </w:rPr>
        <w:t xml:space="preserve"> </w:t>
      </w:r>
      <w:r>
        <w:rPr>
          <w:color w:val="231F20"/>
        </w:rPr>
        <w:t>2</w:t>
      </w:r>
      <w:r>
        <w:rPr>
          <w:color w:val="231F20"/>
          <w:spacing w:val="-10"/>
        </w:rPr>
        <w:t xml:space="preserve"> </w:t>
      </w:r>
      <w:r>
        <w:rPr>
          <w:color w:val="231F20"/>
        </w:rPr>
        <w:t>(located at</w:t>
      </w:r>
      <w:r>
        <w:rPr>
          <w:color w:val="231F20"/>
          <w:spacing w:val="-11"/>
        </w:rPr>
        <w:t xml:space="preserve"> </w:t>
      </w:r>
      <w:r>
        <w:rPr>
          <w:color w:val="231F20"/>
        </w:rPr>
        <w:t>313</w:t>
      </w:r>
      <w:r>
        <w:rPr>
          <w:color w:val="231F20"/>
          <w:spacing w:val="-11"/>
        </w:rPr>
        <w:t xml:space="preserve"> </w:t>
      </w:r>
      <w:r>
        <w:rPr>
          <w:color w:val="231F20"/>
        </w:rPr>
        <w:t>Spencer</w:t>
      </w:r>
      <w:r>
        <w:rPr>
          <w:color w:val="231F20"/>
          <w:spacing w:val="-10"/>
        </w:rPr>
        <w:t xml:space="preserve"> </w:t>
      </w:r>
      <w:r>
        <w:rPr>
          <w:color w:val="231F20"/>
        </w:rPr>
        <w:t>Street)</w:t>
      </w:r>
      <w:r>
        <w:rPr>
          <w:color w:val="231F20"/>
          <w:spacing w:val="-10"/>
        </w:rPr>
        <w:t xml:space="preserve"> </w:t>
      </w:r>
      <w:r>
        <w:rPr>
          <w:color w:val="231F20"/>
        </w:rPr>
        <w:t>in</w:t>
      </w:r>
      <w:r>
        <w:rPr>
          <w:color w:val="231F20"/>
          <w:spacing w:val="-11"/>
        </w:rPr>
        <w:t xml:space="preserve"> </w:t>
      </w:r>
      <w:r>
        <w:rPr>
          <w:color w:val="231F20"/>
        </w:rPr>
        <w:t>the</w:t>
      </w:r>
      <w:r>
        <w:rPr>
          <w:color w:val="231F20"/>
          <w:spacing w:val="-12"/>
        </w:rPr>
        <w:t xml:space="preserve"> </w:t>
      </w:r>
      <w:r>
        <w:rPr>
          <w:color w:val="231F20"/>
        </w:rPr>
        <w:t>metropolitan</w:t>
      </w:r>
      <w:r>
        <w:rPr>
          <w:color w:val="231F20"/>
          <w:spacing w:val="-11"/>
        </w:rPr>
        <w:t xml:space="preserve"> </w:t>
      </w:r>
      <w:r>
        <w:rPr>
          <w:color w:val="231F20"/>
        </w:rPr>
        <w:t>central</w:t>
      </w:r>
      <w:r>
        <w:rPr>
          <w:color w:val="231F20"/>
          <w:spacing w:val="-11"/>
        </w:rPr>
        <w:t xml:space="preserve"> </w:t>
      </w:r>
      <w:r>
        <w:rPr>
          <w:color w:val="231F20"/>
        </w:rPr>
        <w:t>business</w:t>
      </w:r>
      <w:r>
        <w:rPr>
          <w:color w:val="231F20"/>
          <w:spacing w:val="-10"/>
        </w:rPr>
        <w:t xml:space="preserve"> </w:t>
      </w:r>
      <w:r>
        <w:rPr>
          <w:color w:val="231F20"/>
        </w:rPr>
        <w:t>district,</w:t>
      </w:r>
      <w:r>
        <w:rPr>
          <w:color w:val="231F20"/>
          <w:spacing w:val="-10"/>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engaged</w:t>
      </w:r>
      <w:r>
        <w:rPr>
          <w:color w:val="231F20"/>
          <w:spacing w:val="-11"/>
        </w:rPr>
        <w:t xml:space="preserve"> </w:t>
      </w:r>
      <w:r>
        <w:rPr>
          <w:color w:val="231F20"/>
          <w:spacing w:val="-10"/>
        </w:rPr>
        <w:t>a</w:t>
      </w:r>
    </w:p>
    <w:p w14:paraId="5ED4817D" w14:textId="77777777" w:rsidR="00345EE3" w:rsidRDefault="00345EE3" w:rsidP="00345EE3">
      <w:pPr>
        <w:pStyle w:val="BodyText"/>
        <w:spacing w:before="4" w:line="242" w:lineRule="auto"/>
        <w:ind w:right="115"/>
      </w:pPr>
      <w:r>
        <w:rPr>
          <w:color w:val="231F20"/>
        </w:rPr>
        <w:t>valuation</w:t>
      </w:r>
      <w:r>
        <w:rPr>
          <w:color w:val="231F20"/>
          <w:spacing w:val="-10"/>
        </w:rPr>
        <w:t xml:space="preserve"> </w:t>
      </w:r>
      <w:r>
        <w:rPr>
          <w:color w:val="231F20"/>
        </w:rPr>
        <w:t>expert</w:t>
      </w:r>
      <w:r>
        <w:rPr>
          <w:color w:val="231F20"/>
          <w:spacing w:val="-9"/>
        </w:rPr>
        <w:t xml:space="preserve"> </w:t>
      </w:r>
      <w:r>
        <w:rPr>
          <w:color w:val="231F20"/>
        </w:rPr>
        <w:t>to</w:t>
      </w:r>
      <w:r>
        <w:rPr>
          <w:color w:val="231F20"/>
          <w:spacing w:val="-10"/>
        </w:rPr>
        <w:t xml:space="preserve"> </w:t>
      </w:r>
      <w:r>
        <w:rPr>
          <w:color w:val="231F20"/>
        </w:rPr>
        <w:t>assess</w:t>
      </w:r>
      <w:r>
        <w:rPr>
          <w:color w:val="231F20"/>
          <w:spacing w:val="-9"/>
        </w:rPr>
        <w:t xml:space="preserve"> </w:t>
      </w:r>
      <w:r>
        <w:rPr>
          <w:color w:val="231F20"/>
        </w:rPr>
        <w:t>if</w:t>
      </w:r>
      <w:r>
        <w:rPr>
          <w:color w:val="231F20"/>
          <w:spacing w:val="-9"/>
        </w:rPr>
        <w:t xml:space="preserve"> </w:t>
      </w:r>
      <w:r>
        <w:rPr>
          <w:color w:val="231F20"/>
        </w:rPr>
        <w:t>the</w:t>
      </w:r>
      <w:r>
        <w:rPr>
          <w:color w:val="231F20"/>
          <w:spacing w:val="-10"/>
        </w:rPr>
        <w:t xml:space="preserve"> </w:t>
      </w:r>
      <w:r>
        <w:rPr>
          <w:color w:val="231F20"/>
        </w:rPr>
        <w:t>contracted</w:t>
      </w:r>
      <w:r>
        <w:rPr>
          <w:color w:val="231F20"/>
          <w:spacing w:val="-10"/>
        </w:rPr>
        <w:t xml:space="preserve"> </w:t>
      </w:r>
      <w:r>
        <w:rPr>
          <w:color w:val="231F20"/>
        </w:rPr>
        <w:t>lease</w:t>
      </w:r>
      <w:r>
        <w:rPr>
          <w:color w:val="231F20"/>
          <w:spacing w:val="-10"/>
        </w:rPr>
        <w:t xml:space="preserve"> </w:t>
      </w:r>
      <w:r>
        <w:rPr>
          <w:color w:val="231F20"/>
        </w:rPr>
        <w:t>payments</w:t>
      </w:r>
      <w:r>
        <w:rPr>
          <w:color w:val="231F20"/>
          <w:spacing w:val="-9"/>
        </w:rPr>
        <w:t xml:space="preserve"> </w:t>
      </w:r>
      <w:r>
        <w:rPr>
          <w:color w:val="231F20"/>
        </w:rPr>
        <w:t>are</w:t>
      </w:r>
      <w:r>
        <w:rPr>
          <w:color w:val="231F20"/>
          <w:spacing w:val="-10"/>
        </w:rPr>
        <w:t xml:space="preserve"> </w:t>
      </w:r>
      <w:r>
        <w:rPr>
          <w:color w:val="231F20"/>
        </w:rPr>
        <w:t>within</w:t>
      </w:r>
      <w:r>
        <w:rPr>
          <w:color w:val="231F20"/>
          <w:spacing w:val="-10"/>
        </w:rPr>
        <w:t xml:space="preserve"> </w:t>
      </w:r>
      <w:r>
        <w:rPr>
          <w:color w:val="231F20"/>
        </w:rPr>
        <w:t>the</w:t>
      </w:r>
      <w:r>
        <w:rPr>
          <w:color w:val="231F20"/>
          <w:spacing w:val="-10"/>
        </w:rPr>
        <w:t xml:space="preserve"> </w:t>
      </w:r>
      <w:r>
        <w:rPr>
          <w:color w:val="231F20"/>
        </w:rPr>
        <w:t>current</w:t>
      </w:r>
      <w:r>
        <w:rPr>
          <w:color w:val="231F20"/>
          <w:spacing w:val="-9"/>
        </w:rPr>
        <w:t xml:space="preserve"> </w:t>
      </w:r>
      <w:r>
        <w:rPr>
          <w:color w:val="231F20"/>
        </w:rPr>
        <w:t>market</w:t>
      </w:r>
      <w:r>
        <w:rPr>
          <w:color w:val="231F20"/>
          <w:spacing w:val="-9"/>
        </w:rPr>
        <w:t xml:space="preserve"> </w:t>
      </w:r>
      <w:r>
        <w:rPr>
          <w:color w:val="231F20"/>
        </w:rPr>
        <w:t>rentals of equivalent properties and whether fair value adjustments to the carrying value of right-of-use assets is required. The carrying value of these two buildings as at 30 June 2022 are $894.9 million and $392.6 million respectively. These two right-of-use assets represent approximately 86% of the right-of-use assets buildings.</w:t>
      </w:r>
    </w:p>
    <w:p w14:paraId="197890AC" w14:textId="77777777" w:rsidR="00345EE3" w:rsidRDefault="00345EE3" w:rsidP="00345EE3">
      <w:pPr>
        <w:pStyle w:val="BodyText"/>
        <w:spacing w:before="120" w:line="242" w:lineRule="auto"/>
        <w:ind w:right="327"/>
      </w:pPr>
      <w:r>
        <w:rPr>
          <w:color w:val="231F20"/>
        </w:rPr>
        <w:t>In</w:t>
      </w:r>
      <w:r>
        <w:rPr>
          <w:color w:val="231F20"/>
          <w:spacing w:val="-13"/>
        </w:rPr>
        <w:t xml:space="preserve"> </w:t>
      </w:r>
      <w:r>
        <w:rPr>
          <w:color w:val="231F20"/>
        </w:rPr>
        <w:t>assessing</w:t>
      </w:r>
      <w:r>
        <w:rPr>
          <w:color w:val="231F20"/>
          <w:spacing w:val="-13"/>
        </w:rPr>
        <w:t xml:space="preserve"> </w:t>
      </w:r>
      <w:r>
        <w:rPr>
          <w:color w:val="231F20"/>
        </w:rPr>
        <w:t>the</w:t>
      </w:r>
      <w:r>
        <w:rPr>
          <w:color w:val="231F20"/>
          <w:spacing w:val="-13"/>
        </w:rPr>
        <w:t xml:space="preserve"> </w:t>
      </w:r>
      <w:r>
        <w:rPr>
          <w:color w:val="231F20"/>
        </w:rPr>
        <w:t>fair</w:t>
      </w:r>
      <w:r>
        <w:rPr>
          <w:color w:val="231F20"/>
          <w:spacing w:val="-12"/>
        </w:rPr>
        <w:t xml:space="preserve"> </w:t>
      </w:r>
      <w:r>
        <w:rPr>
          <w:color w:val="231F20"/>
        </w:rPr>
        <w:t>value,</w:t>
      </w:r>
      <w:r>
        <w:rPr>
          <w:color w:val="231F20"/>
          <w:spacing w:val="-12"/>
        </w:rPr>
        <w:t xml:space="preserve"> </w:t>
      </w:r>
      <w:r>
        <w:rPr>
          <w:color w:val="231F20"/>
        </w:rPr>
        <w:t>the</w:t>
      </w:r>
      <w:r>
        <w:rPr>
          <w:color w:val="231F20"/>
          <w:spacing w:val="-13"/>
        </w:rPr>
        <w:t xml:space="preserve"> </w:t>
      </w:r>
      <w:r>
        <w:rPr>
          <w:color w:val="231F20"/>
        </w:rPr>
        <w:t>following</w:t>
      </w:r>
      <w:r>
        <w:rPr>
          <w:color w:val="231F20"/>
          <w:spacing w:val="-13"/>
        </w:rPr>
        <w:t xml:space="preserve"> </w:t>
      </w:r>
      <w:r>
        <w:rPr>
          <w:color w:val="231F20"/>
        </w:rPr>
        <w:t>assumptions</w:t>
      </w:r>
      <w:r>
        <w:rPr>
          <w:color w:val="231F20"/>
          <w:spacing w:val="-12"/>
        </w:rPr>
        <w:t xml:space="preserve"> </w:t>
      </w:r>
      <w:r>
        <w:rPr>
          <w:color w:val="231F20"/>
        </w:rPr>
        <w:t>were</w:t>
      </w:r>
      <w:r>
        <w:rPr>
          <w:color w:val="231F20"/>
          <w:spacing w:val="-13"/>
        </w:rPr>
        <w:t xml:space="preserve"> </w:t>
      </w:r>
      <w:r>
        <w:rPr>
          <w:color w:val="231F20"/>
        </w:rPr>
        <w:t>made</w:t>
      </w:r>
      <w:r>
        <w:rPr>
          <w:color w:val="231F20"/>
          <w:spacing w:val="-13"/>
        </w:rPr>
        <w:t xml:space="preserve"> </w:t>
      </w:r>
      <w:r>
        <w:rPr>
          <w:color w:val="231F20"/>
        </w:rPr>
        <w:t>by</w:t>
      </w:r>
      <w:r>
        <w:rPr>
          <w:color w:val="231F20"/>
          <w:spacing w:val="-12"/>
        </w:rPr>
        <w:t xml:space="preserve"> </w:t>
      </w:r>
      <w:r>
        <w:rPr>
          <w:color w:val="231F20"/>
        </w:rPr>
        <w:t>management</w:t>
      </w:r>
      <w:r>
        <w:rPr>
          <w:color w:val="231F20"/>
          <w:spacing w:val="-12"/>
        </w:rPr>
        <w:t xml:space="preserve"> </w:t>
      </w:r>
      <w:r>
        <w:rPr>
          <w:color w:val="231F20"/>
        </w:rPr>
        <w:t>for</w:t>
      </w:r>
      <w:r>
        <w:rPr>
          <w:color w:val="231F20"/>
          <w:spacing w:val="-12"/>
        </w:rPr>
        <w:t xml:space="preserve"> </w:t>
      </w:r>
      <w:r>
        <w:rPr>
          <w:color w:val="231F20"/>
        </w:rPr>
        <w:t>311</w:t>
      </w:r>
      <w:r>
        <w:rPr>
          <w:color w:val="231F20"/>
          <w:spacing w:val="-13"/>
        </w:rPr>
        <w:t xml:space="preserve"> </w:t>
      </w:r>
      <w:r>
        <w:rPr>
          <w:color w:val="231F20"/>
        </w:rPr>
        <w:t>and 313 Spencer Street:</w:t>
      </w:r>
    </w:p>
    <w:p w14:paraId="4152DE6A" w14:textId="77777777" w:rsidR="00345EE3" w:rsidRDefault="00345EE3">
      <w:pPr>
        <w:pStyle w:val="ListParagraph"/>
        <w:numPr>
          <w:ilvl w:val="2"/>
          <w:numId w:val="34"/>
        </w:numPr>
        <w:tabs>
          <w:tab w:val="left" w:pos="393"/>
          <w:tab w:val="left" w:pos="394"/>
        </w:tabs>
        <w:spacing w:before="30" w:line="242" w:lineRule="auto"/>
        <w:ind w:right="131"/>
        <w:rPr>
          <w:sz w:val="24"/>
        </w:rPr>
      </w:pPr>
      <w:r>
        <w:rPr>
          <w:color w:val="231F20"/>
          <w:sz w:val="24"/>
        </w:rPr>
        <w:t>exercising</w:t>
      </w:r>
      <w:r>
        <w:rPr>
          <w:color w:val="231F20"/>
          <w:spacing w:val="-11"/>
          <w:sz w:val="24"/>
        </w:rPr>
        <w:t xml:space="preserve"> </w:t>
      </w:r>
      <w:r>
        <w:rPr>
          <w:color w:val="231F20"/>
          <w:sz w:val="24"/>
        </w:rPr>
        <w:t>of</w:t>
      </w:r>
      <w:r>
        <w:rPr>
          <w:color w:val="231F20"/>
          <w:spacing w:val="-10"/>
          <w:sz w:val="24"/>
        </w:rPr>
        <w:t xml:space="preserve"> </w:t>
      </w:r>
      <w:r>
        <w:rPr>
          <w:color w:val="231F20"/>
          <w:sz w:val="24"/>
        </w:rPr>
        <w:t>options</w:t>
      </w:r>
      <w:r>
        <w:rPr>
          <w:color w:val="231F20"/>
          <w:spacing w:val="-10"/>
          <w:sz w:val="24"/>
        </w:rPr>
        <w:t xml:space="preserve"> </w:t>
      </w:r>
      <w:r>
        <w:rPr>
          <w:color w:val="231F20"/>
          <w:sz w:val="24"/>
        </w:rPr>
        <w:t>within</w:t>
      </w:r>
      <w:r>
        <w:rPr>
          <w:color w:val="231F20"/>
          <w:spacing w:val="-11"/>
          <w:sz w:val="24"/>
        </w:rPr>
        <w:t xml:space="preserve"> </w:t>
      </w:r>
      <w:r>
        <w:rPr>
          <w:color w:val="231F20"/>
          <w:sz w:val="24"/>
        </w:rPr>
        <w:t>the</w:t>
      </w:r>
      <w:r>
        <w:rPr>
          <w:color w:val="231F20"/>
          <w:spacing w:val="-11"/>
          <w:sz w:val="24"/>
        </w:rPr>
        <w:t xml:space="preserve"> </w:t>
      </w:r>
      <w:r>
        <w:rPr>
          <w:color w:val="231F20"/>
          <w:sz w:val="24"/>
        </w:rPr>
        <w:t>lease</w:t>
      </w:r>
      <w:r>
        <w:rPr>
          <w:color w:val="231F20"/>
          <w:spacing w:val="-11"/>
          <w:sz w:val="24"/>
        </w:rPr>
        <w:t xml:space="preserve"> </w:t>
      </w:r>
      <w:r>
        <w:rPr>
          <w:color w:val="231F20"/>
          <w:sz w:val="24"/>
        </w:rPr>
        <w:t>contracts</w:t>
      </w:r>
      <w:r>
        <w:rPr>
          <w:color w:val="231F20"/>
          <w:spacing w:val="-10"/>
          <w:sz w:val="24"/>
        </w:rPr>
        <w:t xml:space="preserve"> </w:t>
      </w:r>
      <w:r>
        <w:rPr>
          <w:color w:val="231F20"/>
          <w:sz w:val="24"/>
        </w:rPr>
        <w:t>where</w:t>
      </w:r>
      <w:r>
        <w:rPr>
          <w:color w:val="231F20"/>
          <w:spacing w:val="-11"/>
          <w:sz w:val="24"/>
        </w:rPr>
        <w:t xml:space="preserve"> </w:t>
      </w:r>
      <w:r>
        <w:rPr>
          <w:color w:val="231F20"/>
          <w:sz w:val="24"/>
        </w:rPr>
        <w:t>management</w:t>
      </w:r>
      <w:r>
        <w:rPr>
          <w:color w:val="231F20"/>
          <w:spacing w:val="-10"/>
          <w:sz w:val="24"/>
        </w:rPr>
        <w:t xml:space="preserve"> </w:t>
      </w:r>
      <w:r>
        <w:rPr>
          <w:color w:val="231F20"/>
          <w:sz w:val="24"/>
        </w:rPr>
        <w:t>assumed</w:t>
      </w:r>
      <w:r>
        <w:rPr>
          <w:color w:val="231F20"/>
          <w:spacing w:val="-11"/>
          <w:sz w:val="24"/>
        </w:rPr>
        <w:t xml:space="preserve"> </w:t>
      </w:r>
      <w:r>
        <w:rPr>
          <w:color w:val="231F20"/>
          <w:sz w:val="24"/>
        </w:rPr>
        <w:t>that</w:t>
      </w:r>
      <w:r>
        <w:rPr>
          <w:color w:val="231F20"/>
          <w:spacing w:val="-10"/>
          <w:sz w:val="24"/>
        </w:rPr>
        <w:t xml:space="preserve"> </w:t>
      </w:r>
      <w:r>
        <w:rPr>
          <w:color w:val="231F20"/>
          <w:sz w:val="24"/>
        </w:rPr>
        <w:t>three</w:t>
      </w:r>
      <w:r>
        <w:rPr>
          <w:color w:val="231F20"/>
          <w:spacing w:val="-11"/>
          <w:sz w:val="24"/>
        </w:rPr>
        <w:t xml:space="preserve"> </w:t>
      </w:r>
      <w:r>
        <w:rPr>
          <w:color w:val="231F20"/>
          <w:sz w:val="24"/>
        </w:rPr>
        <w:t>5-year lease</w:t>
      </w:r>
      <w:r>
        <w:rPr>
          <w:color w:val="231F20"/>
          <w:spacing w:val="-2"/>
          <w:sz w:val="24"/>
        </w:rPr>
        <w:t xml:space="preserve"> </w:t>
      </w:r>
      <w:r>
        <w:rPr>
          <w:color w:val="231F20"/>
          <w:sz w:val="24"/>
        </w:rPr>
        <w:t>options</w:t>
      </w:r>
      <w:r>
        <w:rPr>
          <w:color w:val="231F20"/>
          <w:spacing w:val="-1"/>
          <w:sz w:val="24"/>
        </w:rPr>
        <w:t xml:space="preserve"> </w:t>
      </w:r>
      <w:r>
        <w:rPr>
          <w:color w:val="231F20"/>
          <w:sz w:val="24"/>
        </w:rPr>
        <w:t>will</w:t>
      </w:r>
      <w:r>
        <w:rPr>
          <w:color w:val="231F20"/>
          <w:spacing w:val="-2"/>
          <w:sz w:val="24"/>
        </w:rPr>
        <w:t xml:space="preserve"> </w:t>
      </w:r>
      <w:r>
        <w:rPr>
          <w:color w:val="231F20"/>
          <w:sz w:val="24"/>
        </w:rPr>
        <w:t>be</w:t>
      </w:r>
      <w:r>
        <w:rPr>
          <w:color w:val="231F20"/>
          <w:spacing w:val="-2"/>
          <w:sz w:val="24"/>
        </w:rPr>
        <w:t xml:space="preserve"> </w:t>
      </w:r>
      <w:r>
        <w:rPr>
          <w:color w:val="231F20"/>
          <w:sz w:val="24"/>
        </w:rPr>
        <w:t>exercised</w:t>
      </w:r>
      <w:r>
        <w:rPr>
          <w:color w:val="231F20"/>
          <w:spacing w:val="-2"/>
          <w:sz w:val="24"/>
        </w:rPr>
        <w:t xml:space="preserve"> </w:t>
      </w:r>
      <w:r>
        <w:rPr>
          <w:color w:val="231F20"/>
          <w:sz w:val="24"/>
        </w:rPr>
        <w:t>for</w:t>
      </w:r>
      <w:r>
        <w:rPr>
          <w:color w:val="231F20"/>
          <w:spacing w:val="-1"/>
          <w:sz w:val="24"/>
        </w:rPr>
        <w:t xml:space="preserve"> </w:t>
      </w:r>
      <w:r>
        <w:rPr>
          <w:color w:val="231F20"/>
          <w:sz w:val="24"/>
        </w:rPr>
        <w:t>313</w:t>
      </w:r>
      <w:r>
        <w:rPr>
          <w:color w:val="231F20"/>
          <w:spacing w:val="-2"/>
          <w:sz w:val="24"/>
        </w:rPr>
        <w:t xml:space="preserve"> </w:t>
      </w:r>
      <w:r>
        <w:rPr>
          <w:color w:val="231F20"/>
          <w:sz w:val="24"/>
        </w:rPr>
        <w:t>and</w:t>
      </w:r>
      <w:r>
        <w:rPr>
          <w:color w:val="231F20"/>
          <w:spacing w:val="-2"/>
          <w:sz w:val="24"/>
        </w:rPr>
        <w:t xml:space="preserve"> </w:t>
      </w:r>
      <w:r>
        <w:rPr>
          <w:color w:val="231F20"/>
          <w:sz w:val="24"/>
        </w:rPr>
        <w:t>no</w:t>
      </w:r>
      <w:r>
        <w:rPr>
          <w:color w:val="231F20"/>
          <w:spacing w:val="-2"/>
          <w:sz w:val="24"/>
        </w:rPr>
        <w:t xml:space="preserve"> </w:t>
      </w:r>
      <w:r>
        <w:rPr>
          <w:color w:val="231F20"/>
          <w:sz w:val="24"/>
        </w:rPr>
        <w:t>lease</w:t>
      </w:r>
      <w:r>
        <w:rPr>
          <w:color w:val="231F20"/>
          <w:spacing w:val="-2"/>
          <w:sz w:val="24"/>
        </w:rPr>
        <w:t xml:space="preserve"> </w:t>
      </w:r>
      <w:r>
        <w:rPr>
          <w:color w:val="231F20"/>
          <w:sz w:val="24"/>
        </w:rPr>
        <w:t>options</w:t>
      </w:r>
      <w:r>
        <w:rPr>
          <w:color w:val="231F20"/>
          <w:spacing w:val="-1"/>
          <w:sz w:val="24"/>
        </w:rPr>
        <w:t xml:space="preserve"> </w:t>
      </w:r>
      <w:r>
        <w:rPr>
          <w:color w:val="231F20"/>
          <w:sz w:val="24"/>
        </w:rPr>
        <w:t>will</w:t>
      </w:r>
      <w:r>
        <w:rPr>
          <w:color w:val="231F20"/>
          <w:spacing w:val="-2"/>
          <w:sz w:val="24"/>
        </w:rPr>
        <w:t xml:space="preserve"> </w:t>
      </w:r>
      <w:r>
        <w:rPr>
          <w:color w:val="231F20"/>
          <w:sz w:val="24"/>
        </w:rPr>
        <w:t>be</w:t>
      </w:r>
      <w:r>
        <w:rPr>
          <w:color w:val="231F20"/>
          <w:spacing w:val="-2"/>
          <w:sz w:val="24"/>
        </w:rPr>
        <w:t xml:space="preserve"> </w:t>
      </w:r>
      <w:r>
        <w:rPr>
          <w:color w:val="231F20"/>
          <w:sz w:val="24"/>
        </w:rPr>
        <w:t>exercised</w:t>
      </w:r>
      <w:r>
        <w:rPr>
          <w:color w:val="231F20"/>
          <w:spacing w:val="-2"/>
          <w:sz w:val="24"/>
        </w:rPr>
        <w:t xml:space="preserve"> </w:t>
      </w:r>
      <w:r>
        <w:rPr>
          <w:color w:val="231F20"/>
          <w:sz w:val="24"/>
        </w:rPr>
        <w:t>for</w:t>
      </w:r>
      <w:r>
        <w:rPr>
          <w:color w:val="231F20"/>
          <w:spacing w:val="-1"/>
          <w:sz w:val="24"/>
        </w:rPr>
        <w:t xml:space="preserve"> </w:t>
      </w:r>
      <w:r>
        <w:rPr>
          <w:color w:val="231F20"/>
          <w:sz w:val="24"/>
        </w:rPr>
        <w:t>311</w:t>
      </w:r>
      <w:r>
        <w:rPr>
          <w:color w:val="231F20"/>
          <w:spacing w:val="-2"/>
          <w:sz w:val="24"/>
        </w:rPr>
        <w:t xml:space="preserve"> </w:t>
      </w:r>
      <w:r>
        <w:rPr>
          <w:color w:val="231F20"/>
          <w:sz w:val="24"/>
        </w:rPr>
        <w:t>due</w:t>
      </w:r>
      <w:r>
        <w:rPr>
          <w:color w:val="231F20"/>
          <w:spacing w:val="-2"/>
          <w:sz w:val="24"/>
        </w:rPr>
        <w:t xml:space="preserve"> </w:t>
      </w:r>
      <w:r>
        <w:rPr>
          <w:color w:val="231F20"/>
          <w:sz w:val="24"/>
        </w:rPr>
        <w:t>to the degree of uncertainty associated with a 30-year lease;</w:t>
      </w:r>
    </w:p>
    <w:p w14:paraId="232B70BC" w14:textId="77777777" w:rsidR="00345EE3" w:rsidRDefault="00345EE3">
      <w:pPr>
        <w:pStyle w:val="ListParagraph"/>
        <w:numPr>
          <w:ilvl w:val="2"/>
          <w:numId w:val="34"/>
        </w:numPr>
        <w:tabs>
          <w:tab w:val="left" w:pos="393"/>
          <w:tab w:val="left" w:pos="394"/>
        </w:tabs>
        <w:rPr>
          <w:sz w:val="24"/>
        </w:rPr>
      </w:pPr>
      <w:r>
        <w:rPr>
          <w:color w:val="231F20"/>
          <w:sz w:val="24"/>
        </w:rPr>
        <w:t>range</w:t>
      </w:r>
      <w:r>
        <w:rPr>
          <w:color w:val="231F20"/>
          <w:spacing w:val="-10"/>
          <w:sz w:val="24"/>
        </w:rPr>
        <w:t xml:space="preserve"> </w:t>
      </w:r>
      <w:r>
        <w:rPr>
          <w:color w:val="231F20"/>
          <w:sz w:val="24"/>
        </w:rPr>
        <w:t>of</w:t>
      </w:r>
      <w:r>
        <w:rPr>
          <w:color w:val="231F20"/>
          <w:spacing w:val="-8"/>
          <w:sz w:val="24"/>
        </w:rPr>
        <w:t xml:space="preserve"> </w:t>
      </w:r>
      <w:r>
        <w:rPr>
          <w:color w:val="231F20"/>
          <w:sz w:val="24"/>
        </w:rPr>
        <w:t>rental</w:t>
      </w:r>
      <w:r>
        <w:rPr>
          <w:color w:val="231F20"/>
          <w:spacing w:val="-7"/>
          <w:sz w:val="24"/>
        </w:rPr>
        <w:t xml:space="preserve"> </w:t>
      </w:r>
      <w:r>
        <w:rPr>
          <w:color w:val="231F20"/>
          <w:sz w:val="24"/>
        </w:rPr>
        <w:t>incentives</w:t>
      </w:r>
      <w:r>
        <w:rPr>
          <w:color w:val="231F20"/>
          <w:spacing w:val="-8"/>
          <w:sz w:val="24"/>
        </w:rPr>
        <w:t xml:space="preserve"> </w:t>
      </w:r>
      <w:r>
        <w:rPr>
          <w:color w:val="231F20"/>
          <w:sz w:val="24"/>
        </w:rPr>
        <w:t>offered</w:t>
      </w:r>
      <w:r>
        <w:rPr>
          <w:color w:val="231F20"/>
          <w:spacing w:val="-8"/>
          <w:sz w:val="24"/>
        </w:rPr>
        <w:t xml:space="preserve"> </w:t>
      </w:r>
      <w:r>
        <w:rPr>
          <w:color w:val="231F20"/>
          <w:sz w:val="24"/>
        </w:rPr>
        <w:t>in</w:t>
      </w:r>
      <w:r>
        <w:rPr>
          <w:color w:val="231F20"/>
          <w:spacing w:val="-7"/>
          <w:sz w:val="24"/>
        </w:rPr>
        <w:t xml:space="preserve"> </w:t>
      </w:r>
      <w:r>
        <w:rPr>
          <w:color w:val="231F20"/>
          <w:sz w:val="24"/>
        </w:rPr>
        <w:t>the</w:t>
      </w:r>
      <w:r>
        <w:rPr>
          <w:color w:val="231F20"/>
          <w:spacing w:val="-8"/>
          <w:sz w:val="24"/>
        </w:rPr>
        <w:t xml:space="preserve"> </w:t>
      </w:r>
      <w:r>
        <w:rPr>
          <w:color w:val="231F20"/>
          <w:sz w:val="24"/>
        </w:rPr>
        <w:t>current</w:t>
      </w:r>
      <w:r>
        <w:rPr>
          <w:color w:val="231F20"/>
          <w:spacing w:val="-8"/>
          <w:sz w:val="24"/>
        </w:rPr>
        <w:t xml:space="preserve"> </w:t>
      </w:r>
      <w:r>
        <w:rPr>
          <w:color w:val="231F20"/>
          <w:sz w:val="24"/>
        </w:rPr>
        <w:t>rental</w:t>
      </w:r>
      <w:r>
        <w:rPr>
          <w:color w:val="231F20"/>
          <w:spacing w:val="-7"/>
          <w:sz w:val="24"/>
        </w:rPr>
        <w:t xml:space="preserve"> </w:t>
      </w:r>
      <w:r>
        <w:rPr>
          <w:color w:val="231F20"/>
          <w:spacing w:val="-2"/>
          <w:sz w:val="24"/>
        </w:rPr>
        <w:t>market;</w:t>
      </w:r>
    </w:p>
    <w:p w14:paraId="5490A92C" w14:textId="77777777" w:rsidR="00345EE3" w:rsidRDefault="00345EE3">
      <w:pPr>
        <w:pStyle w:val="ListParagraph"/>
        <w:numPr>
          <w:ilvl w:val="2"/>
          <w:numId w:val="34"/>
        </w:numPr>
        <w:tabs>
          <w:tab w:val="left" w:pos="393"/>
          <w:tab w:val="left" w:pos="394"/>
        </w:tabs>
        <w:spacing w:before="33" w:line="242" w:lineRule="auto"/>
        <w:ind w:right="572"/>
        <w:rPr>
          <w:sz w:val="24"/>
        </w:rPr>
      </w:pPr>
      <w:r>
        <w:rPr>
          <w:color w:val="231F20"/>
          <w:sz w:val="24"/>
        </w:rPr>
        <w:t>current</w:t>
      </w:r>
      <w:r>
        <w:rPr>
          <w:color w:val="231F20"/>
          <w:spacing w:val="-10"/>
          <w:sz w:val="24"/>
        </w:rPr>
        <w:t xml:space="preserve"> </w:t>
      </w:r>
      <w:r>
        <w:rPr>
          <w:color w:val="231F20"/>
          <w:sz w:val="24"/>
        </w:rPr>
        <w:t>market</w:t>
      </w:r>
      <w:r>
        <w:rPr>
          <w:color w:val="231F20"/>
          <w:spacing w:val="-10"/>
          <w:sz w:val="24"/>
        </w:rPr>
        <w:t xml:space="preserve"> </w:t>
      </w:r>
      <w:r>
        <w:rPr>
          <w:color w:val="231F20"/>
          <w:sz w:val="24"/>
        </w:rPr>
        <w:t>rental</w:t>
      </w:r>
      <w:r>
        <w:rPr>
          <w:color w:val="231F20"/>
          <w:spacing w:val="-11"/>
          <w:sz w:val="24"/>
        </w:rPr>
        <w:t xml:space="preserve"> </w:t>
      </w:r>
      <w:r>
        <w:rPr>
          <w:color w:val="231F20"/>
          <w:sz w:val="24"/>
        </w:rPr>
        <w:t>attributable</w:t>
      </w:r>
      <w:r>
        <w:rPr>
          <w:color w:val="231F20"/>
          <w:spacing w:val="-11"/>
          <w:sz w:val="24"/>
        </w:rPr>
        <w:t xml:space="preserve"> </w:t>
      </w:r>
      <w:r>
        <w:rPr>
          <w:color w:val="231F20"/>
          <w:sz w:val="24"/>
        </w:rPr>
        <w:t>to</w:t>
      </w:r>
      <w:r>
        <w:rPr>
          <w:color w:val="231F20"/>
          <w:spacing w:val="-11"/>
          <w:sz w:val="24"/>
        </w:rPr>
        <w:t xml:space="preserve"> </w:t>
      </w:r>
      <w:r>
        <w:rPr>
          <w:color w:val="231F20"/>
          <w:sz w:val="24"/>
        </w:rPr>
        <w:t>special</w:t>
      </w:r>
      <w:r>
        <w:rPr>
          <w:color w:val="231F20"/>
          <w:spacing w:val="-11"/>
          <w:sz w:val="24"/>
        </w:rPr>
        <w:t xml:space="preserve"> </w:t>
      </w:r>
      <w:r>
        <w:rPr>
          <w:color w:val="231F20"/>
          <w:sz w:val="24"/>
        </w:rPr>
        <w:t>features</w:t>
      </w:r>
      <w:r>
        <w:rPr>
          <w:color w:val="231F20"/>
          <w:spacing w:val="-10"/>
          <w:sz w:val="24"/>
        </w:rPr>
        <w:t xml:space="preserve"> </w:t>
      </w:r>
      <w:r>
        <w:rPr>
          <w:color w:val="231F20"/>
          <w:sz w:val="24"/>
        </w:rPr>
        <w:t>of</w:t>
      </w:r>
      <w:r>
        <w:rPr>
          <w:color w:val="231F20"/>
          <w:spacing w:val="-10"/>
          <w:sz w:val="24"/>
        </w:rPr>
        <w:t xml:space="preserve"> </w:t>
      </w:r>
      <w:r>
        <w:rPr>
          <w:color w:val="231F20"/>
          <w:sz w:val="24"/>
        </w:rPr>
        <w:t>these</w:t>
      </w:r>
      <w:r>
        <w:rPr>
          <w:color w:val="231F20"/>
          <w:spacing w:val="-11"/>
          <w:sz w:val="24"/>
        </w:rPr>
        <w:t xml:space="preserve"> </w:t>
      </w:r>
      <w:r>
        <w:rPr>
          <w:color w:val="231F20"/>
          <w:sz w:val="24"/>
        </w:rPr>
        <w:t>specialised</w:t>
      </w:r>
      <w:r>
        <w:rPr>
          <w:color w:val="231F20"/>
          <w:spacing w:val="-11"/>
          <w:sz w:val="24"/>
        </w:rPr>
        <w:t xml:space="preserve"> </w:t>
      </w:r>
      <w:r>
        <w:rPr>
          <w:color w:val="231F20"/>
          <w:sz w:val="24"/>
        </w:rPr>
        <w:t>buildings</w:t>
      </w:r>
      <w:r>
        <w:rPr>
          <w:color w:val="231F20"/>
          <w:spacing w:val="-10"/>
          <w:sz w:val="24"/>
        </w:rPr>
        <w:t xml:space="preserve"> </w:t>
      </w:r>
      <w:r>
        <w:rPr>
          <w:color w:val="231F20"/>
          <w:sz w:val="24"/>
        </w:rPr>
        <w:t>such</w:t>
      </w:r>
      <w:r>
        <w:rPr>
          <w:color w:val="231F20"/>
          <w:spacing w:val="-11"/>
          <w:sz w:val="24"/>
        </w:rPr>
        <w:t xml:space="preserve"> </w:t>
      </w:r>
      <w:r>
        <w:rPr>
          <w:color w:val="231F20"/>
          <w:sz w:val="24"/>
        </w:rPr>
        <w:t>as blast protection, slab strengthening, additional security features etc;</w:t>
      </w:r>
    </w:p>
    <w:p w14:paraId="4CB6E4C2" w14:textId="77777777" w:rsidR="00345EE3" w:rsidRDefault="00345EE3">
      <w:pPr>
        <w:pStyle w:val="ListParagraph"/>
        <w:numPr>
          <w:ilvl w:val="2"/>
          <w:numId w:val="34"/>
        </w:numPr>
        <w:tabs>
          <w:tab w:val="left" w:pos="393"/>
          <w:tab w:val="left" w:pos="394"/>
        </w:tabs>
        <w:spacing w:before="30"/>
        <w:rPr>
          <w:sz w:val="24"/>
        </w:rPr>
      </w:pPr>
      <w:r>
        <w:rPr>
          <w:color w:val="231F20"/>
          <w:sz w:val="24"/>
        </w:rPr>
        <w:t>useful</w:t>
      </w:r>
      <w:r>
        <w:rPr>
          <w:color w:val="231F20"/>
          <w:spacing w:val="-12"/>
          <w:sz w:val="24"/>
        </w:rPr>
        <w:t xml:space="preserve"> </w:t>
      </w:r>
      <w:r>
        <w:rPr>
          <w:color w:val="231F20"/>
          <w:sz w:val="24"/>
        </w:rPr>
        <w:t>life</w:t>
      </w:r>
      <w:r>
        <w:rPr>
          <w:color w:val="231F20"/>
          <w:spacing w:val="-9"/>
          <w:sz w:val="24"/>
        </w:rPr>
        <w:t xml:space="preserve"> </w:t>
      </w:r>
      <w:r>
        <w:rPr>
          <w:color w:val="231F20"/>
          <w:sz w:val="24"/>
        </w:rPr>
        <w:t>of</w:t>
      </w:r>
      <w:r>
        <w:rPr>
          <w:color w:val="231F20"/>
          <w:spacing w:val="-9"/>
          <w:sz w:val="24"/>
        </w:rPr>
        <w:t xml:space="preserve"> </w:t>
      </w:r>
      <w:r>
        <w:rPr>
          <w:color w:val="231F20"/>
          <w:sz w:val="24"/>
        </w:rPr>
        <w:t>lease</w:t>
      </w:r>
      <w:r>
        <w:rPr>
          <w:color w:val="231F20"/>
          <w:spacing w:val="-9"/>
          <w:sz w:val="24"/>
        </w:rPr>
        <w:t xml:space="preserve"> </w:t>
      </w:r>
      <w:r>
        <w:rPr>
          <w:color w:val="231F20"/>
          <w:sz w:val="24"/>
        </w:rPr>
        <w:t>incentive</w:t>
      </w:r>
      <w:r>
        <w:rPr>
          <w:color w:val="231F20"/>
          <w:spacing w:val="-10"/>
          <w:sz w:val="24"/>
        </w:rPr>
        <w:t xml:space="preserve"> </w:t>
      </w:r>
      <w:r>
        <w:rPr>
          <w:color w:val="231F20"/>
          <w:sz w:val="24"/>
        </w:rPr>
        <w:t>fit-outs</w:t>
      </w:r>
      <w:r>
        <w:rPr>
          <w:color w:val="231F20"/>
          <w:spacing w:val="-8"/>
          <w:sz w:val="24"/>
        </w:rPr>
        <w:t xml:space="preserve"> </w:t>
      </w:r>
      <w:r>
        <w:rPr>
          <w:color w:val="231F20"/>
          <w:sz w:val="24"/>
        </w:rPr>
        <w:t>and</w:t>
      </w:r>
      <w:r>
        <w:rPr>
          <w:color w:val="231F20"/>
          <w:spacing w:val="-10"/>
          <w:sz w:val="24"/>
        </w:rPr>
        <w:t xml:space="preserve"> </w:t>
      </w:r>
      <w:r>
        <w:rPr>
          <w:color w:val="231F20"/>
          <w:sz w:val="24"/>
        </w:rPr>
        <w:t>inclusions</w:t>
      </w:r>
      <w:r>
        <w:rPr>
          <w:color w:val="231F20"/>
          <w:spacing w:val="-8"/>
          <w:sz w:val="24"/>
        </w:rPr>
        <w:t xml:space="preserve"> </w:t>
      </w:r>
      <w:r>
        <w:rPr>
          <w:color w:val="231F20"/>
          <w:sz w:val="24"/>
        </w:rPr>
        <w:t>received</w:t>
      </w:r>
      <w:r>
        <w:rPr>
          <w:color w:val="231F20"/>
          <w:spacing w:val="-10"/>
          <w:sz w:val="24"/>
        </w:rPr>
        <w:t xml:space="preserve"> </w:t>
      </w:r>
      <w:r>
        <w:rPr>
          <w:color w:val="231F20"/>
          <w:sz w:val="24"/>
        </w:rPr>
        <w:t>by</w:t>
      </w:r>
      <w:r>
        <w:rPr>
          <w:color w:val="231F20"/>
          <w:spacing w:val="-8"/>
          <w:sz w:val="24"/>
        </w:rPr>
        <w:t xml:space="preserve"> </w:t>
      </w:r>
      <w:r>
        <w:rPr>
          <w:color w:val="231F20"/>
          <w:sz w:val="24"/>
        </w:rPr>
        <w:t>Victoria</w:t>
      </w:r>
      <w:r>
        <w:rPr>
          <w:color w:val="231F20"/>
          <w:spacing w:val="-9"/>
          <w:sz w:val="24"/>
        </w:rPr>
        <w:t xml:space="preserve"> </w:t>
      </w:r>
      <w:r>
        <w:rPr>
          <w:color w:val="231F20"/>
          <w:spacing w:val="-2"/>
          <w:sz w:val="24"/>
        </w:rPr>
        <w:t>Police;</w:t>
      </w:r>
    </w:p>
    <w:p w14:paraId="1F72D646" w14:textId="77777777" w:rsidR="00345EE3" w:rsidRDefault="00345EE3">
      <w:pPr>
        <w:pStyle w:val="ListParagraph"/>
        <w:numPr>
          <w:ilvl w:val="2"/>
          <w:numId w:val="34"/>
        </w:numPr>
        <w:tabs>
          <w:tab w:val="left" w:pos="393"/>
          <w:tab w:val="left" w:pos="394"/>
        </w:tabs>
        <w:spacing w:before="33" w:line="242" w:lineRule="auto"/>
        <w:ind w:right="703"/>
        <w:rPr>
          <w:sz w:val="24"/>
        </w:rPr>
      </w:pPr>
      <w:r>
        <w:rPr>
          <w:color w:val="231F20"/>
          <w:sz w:val="24"/>
        </w:rPr>
        <w:t>adjustments</w:t>
      </w:r>
      <w:r>
        <w:rPr>
          <w:color w:val="231F20"/>
          <w:spacing w:val="-7"/>
          <w:sz w:val="24"/>
        </w:rPr>
        <w:t xml:space="preserve"> </w:t>
      </w:r>
      <w:r>
        <w:rPr>
          <w:color w:val="231F20"/>
          <w:sz w:val="24"/>
        </w:rPr>
        <w:t>required</w:t>
      </w:r>
      <w:r>
        <w:rPr>
          <w:color w:val="231F20"/>
          <w:spacing w:val="-8"/>
          <w:sz w:val="24"/>
        </w:rPr>
        <w:t xml:space="preserve"> </w:t>
      </w:r>
      <w:r>
        <w:rPr>
          <w:color w:val="231F20"/>
          <w:sz w:val="24"/>
        </w:rPr>
        <w:t>for</w:t>
      </w:r>
      <w:r>
        <w:rPr>
          <w:color w:val="231F20"/>
          <w:spacing w:val="-7"/>
          <w:sz w:val="24"/>
        </w:rPr>
        <w:t xml:space="preserve"> </w:t>
      </w:r>
      <w:r>
        <w:rPr>
          <w:color w:val="231F20"/>
          <w:sz w:val="24"/>
        </w:rPr>
        <w:t>location</w:t>
      </w:r>
      <w:r>
        <w:rPr>
          <w:color w:val="231F20"/>
          <w:spacing w:val="-8"/>
          <w:sz w:val="24"/>
        </w:rPr>
        <w:t xml:space="preserve"> </w:t>
      </w:r>
      <w:r>
        <w:rPr>
          <w:color w:val="231F20"/>
          <w:sz w:val="24"/>
        </w:rPr>
        <w:t>of</w:t>
      </w:r>
      <w:r>
        <w:rPr>
          <w:color w:val="231F20"/>
          <w:spacing w:val="-7"/>
          <w:sz w:val="24"/>
        </w:rPr>
        <w:t xml:space="preserve"> </w:t>
      </w:r>
      <w:r>
        <w:rPr>
          <w:color w:val="231F20"/>
          <w:sz w:val="24"/>
        </w:rPr>
        <w:t>the</w:t>
      </w:r>
      <w:r>
        <w:rPr>
          <w:color w:val="231F20"/>
          <w:spacing w:val="-8"/>
          <w:sz w:val="24"/>
        </w:rPr>
        <w:t xml:space="preserve"> </w:t>
      </w:r>
      <w:r>
        <w:rPr>
          <w:color w:val="231F20"/>
          <w:sz w:val="24"/>
        </w:rPr>
        <w:t>properties,</w:t>
      </w:r>
      <w:r>
        <w:rPr>
          <w:color w:val="231F20"/>
          <w:spacing w:val="-7"/>
          <w:sz w:val="24"/>
        </w:rPr>
        <w:t xml:space="preserve"> </w:t>
      </w:r>
      <w:r>
        <w:rPr>
          <w:color w:val="231F20"/>
          <w:sz w:val="24"/>
        </w:rPr>
        <w:t>quality</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8"/>
          <w:sz w:val="24"/>
        </w:rPr>
        <w:t xml:space="preserve"> </w:t>
      </w:r>
      <w:r>
        <w:rPr>
          <w:color w:val="231F20"/>
          <w:sz w:val="24"/>
        </w:rPr>
        <w:t>properties,</w:t>
      </w:r>
      <w:r>
        <w:rPr>
          <w:color w:val="231F20"/>
          <w:spacing w:val="-7"/>
          <w:sz w:val="24"/>
        </w:rPr>
        <w:t xml:space="preserve"> </w:t>
      </w:r>
      <w:r>
        <w:rPr>
          <w:color w:val="231F20"/>
          <w:sz w:val="24"/>
        </w:rPr>
        <w:t>quality</w:t>
      </w:r>
      <w:r>
        <w:rPr>
          <w:color w:val="231F20"/>
          <w:spacing w:val="-7"/>
          <w:sz w:val="24"/>
        </w:rPr>
        <w:t xml:space="preserve"> </w:t>
      </w:r>
      <w:r>
        <w:rPr>
          <w:color w:val="231F20"/>
          <w:sz w:val="24"/>
        </w:rPr>
        <w:t>of</w:t>
      </w:r>
      <w:r>
        <w:rPr>
          <w:color w:val="231F20"/>
          <w:spacing w:val="-7"/>
          <w:sz w:val="24"/>
        </w:rPr>
        <w:t xml:space="preserve"> </w:t>
      </w:r>
      <w:r>
        <w:rPr>
          <w:color w:val="231F20"/>
          <w:sz w:val="24"/>
        </w:rPr>
        <w:t>the tenant and the tenure of the leases.</w:t>
      </w:r>
    </w:p>
    <w:p w14:paraId="1392EF35" w14:textId="77777777" w:rsidR="00345EE3" w:rsidRDefault="00345EE3" w:rsidP="00345EE3">
      <w:pPr>
        <w:pStyle w:val="BodyText"/>
        <w:spacing w:before="116" w:line="242" w:lineRule="auto"/>
      </w:pPr>
      <w:r>
        <w:rPr>
          <w:color w:val="231F20"/>
        </w:rPr>
        <w:t>The remaining 14% comprises primarily of ‘B’ grade buildings consisting of police stations, warehouses</w:t>
      </w:r>
      <w:r>
        <w:rPr>
          <w:color w:val="231F20"/>
          <w:spacing w:val="-10"/>
        </w:rPr>
        <w:t xml:space="preserve"> </w:t>
      </w:r>
      <w:r>
        <w:rPr>
          <w:color w:val="231F20"/>
        </w:rPr>
        <w:t>and</w:t>
      </w:r>
      <w:r>
        <w:rPr>
          <w:color w:val="231F20"/>
          <w:spacing w:val="-11"/>
        </w:rPr>
        <w:t xml:space="preserve"> </w:t>
      </w:r>
      <w:r>
        <w:rPr>
          <w:color w:val="231F20"/>
        </w:rPr>
        <w:t>storage</w:t>
      </w:r>
      <w:r>
        <w:rPr>
          <w:color w:val="231F20"/>
          <w:spacing w:val="-11"/>
        </w:rPr>
        <w:t xml:space="preserve"> </w:t>
      </w:r>
      <w:r>
        <w:rPr>
          <w:color w:val="231F20"/>
        </w:rPr>
        <w:t>facilities</w:t>
      </w:r>
      <w:r>
        <w:rPr>
          <w:color w:val="231F20"/>
          <w:spacing w:val="-10"/>
        </w:rPr>
        <w:t xml:space="preserve"> </w:t>
      </w:r>
      <w:r>
        <w:rPr>
          <w:color w:val="231F20"/>
        </w:rPr>
        <w:t>located</w:t>
      </w:r>
      <w:r>
        <w:rPr>
          <w:color w:val="231F20"/>
          <w:spacing w:val="-11"/>
        </w:rPr>
        <w:t xml:space="preserve"> </w:t>
      </w:r>
      <w:r>
        <w:rPr>
          <w:color w:val="231F20"/>
        </w:rPr>
        <w:t>across</w:t>
      </w:r>
      <w:r>
        <w:rPr>
          <w:color w:val="231F20"/>
          <w:spacing w:val="-10"/>
        </w:rPr>
        <w:t xml:space="preserve"> </w:t>
      </w:r>
      <w:r>
        <w:rPr>
          <w:color w:val="231F20"/>
        </w:rPr>
        <w:t>Victoria,</w:t>
      </w:r>
      <w:r>
        <w:rPr>
          <w:color w:val="231F20"/>
          <w:spacing w:val="-10"/>
        </w:rPr>
        <w:t xml:space="preserve"> </w:t>
      </w:r>
      <w:r>
        <w:rPr>
          <w:color w:val="231F20"/>
        </w:rPr>
        <w:t>including</w:t>
      </w:r>
      <w:r>
        <w:rPr>
          <w:color w:val="231F20"/>
          <w:spacing w:val="-11"/>
        </w:rPr>
        <w:t xml:space="preserve"> </w:t>
      </w:r>
      <w:r>
        <w:rPr>
          <w:color w:val="231F20"/>
        </w:rPr>
        <w:t>rural</w:t>
      </w:r>
      <w:r>
        <w:rPr>
          <w:color w:val="231F20"/>
          <w:spacing w:val="-11"/>
        </w:rPr>
        <w:t xml:space="preserve"> </w:t>
      </w:r>
      <w:r>
        <w:rPr>
          <w:color w:val="231F20"/>
        </w:rPr>
        <w:t>and</w:t>
      </w:r>
      <w:r>
        <w:rPr>
          <w:color w:val="231F20"/>
          <w:spacing w:val="-11"/>
        </w:rPr>
        <w:t xml:space="preserve"> </w:t>
      </w:r>
      <w:r>
        <w:rPr>
          <w:color w:val="231F20"/>
        </w:rPr>
        <w:t>regional</w:t>
      </w:r>
      <w:r>
        <w:rPr>
          <w:color w:val="231F20"/>
          <w:spacing w:val="-11"/>
        </w:rPr>
        <w:t xml:space="preserve"> </w:t>
      </w:r>
      <w:r>
        <w:rPr>
          <w:color w:val="231F20"/>
        </w:rPr>
        <w:t>Victoria.</w:t>
      </w:r>
    </w:p>
    <w:p w14:paraId="06EF8B71" w14:textId="77777777" w:rsidR="00345EE3" w:rsidRDefault="00345EE3" w:rsidP="00345EE3">
      <w:pPr>
        <w:pStyle w:val="BodyText"/>
        <w:spacing w:before="116" w:line="242" w:lineRule="auto"/>
        <w:ind w:right="327"/>
      </w:pPr>
      <w:r>
        <w:rPr>
          <w:color w:val="231F20"/>
        </w:rPr>
        <w:t>For this remaining 14% of right-of-use-assets buildings, Victoria Police engaged a valuation expert to assess on a sample basis if the contracted lease payments are within the current market</w:t>
      </w:r>
      <w:r>
        <w:rPr>
          <w:color w:val="231F20"/>
          <w:spacing w:val="-10"/>
        </w:rPr>
        <w:t xml:space="preserve"> </w:t>
      </w:r>
      <w:r>
        <w:rPr>
          <w:color w:val="231F20"/>
        </w:rPr>
        <w:t>rentals</w:t>
      </w:r>
      <w:r>
        <w:rPr>
          <w:color w:val="231F20"/>
          <w:spacing w:val="-10"/>
        </w:rPr>
        <w:t xml:space="preserve"> </w:t>
      </w:r>
      <w:r>
        <w:rPr>
          <w:color w:val="231F20"/>
        </w:rPr>
        <w:t>of</w:t>
      </w:r>
      <w:r>
        <w:rPr>
          <w:color w:val="231F20"/>
          <w:spacing w:val="-10"/>
        </w:rPr>
        <w:t xml:space="preserve"> </w:t>
      </w:r>
      <w:r>
        <w:rPr>
          <w:color w:val="231F20"/>
        </w:rPr>
        <w:t>equivalent</w:t>
      </w:r>
      <w:r>
        <w:rPr>
          <w:color w:val="231F20"/>
          <w:spacing w:val="-10"/>
        </w:rPr>
        <w:t xml:space="preserve"> </w:t>
      </w:r>
      <w:r>
        <w:rPr>
          <w:color w:val="231F20"/>
        </w:rPr>
        <w:t>properties</w:t>
      </w:r>
      <w:r>
        <w:rPr>
          <w:color w:val="231F20"/>
          <w:spacing w:val="-10"/>
        </w:rPr>
        <w:t xml:space="preserve"> </w:t>
      </w:r>
      <w:r>
        <w:rPr>
          <w:color w:val="231F20"/>
        </w:rPr>
        <w:t>and</w:t>
      </w:r>
      <w:r>
        <w:rPr>
          <w:color w:val="231F20"/>
          <w:spacing w:val="-10"/>
        </w:rPr>
        <w:t xml:space="preserve"> </w:t>
      </w:r>
      <w:r>
        <w:rPr>
          <w:color w:val="231F20"/>
        </w:rPr>
        <w:t>whether</w:t>
      </w:r>
      <w:r>
        <w:rPr>
          <w:color w:val="231F20"/>
          <w:spacing w:val="-10"/>
        </w:rPr>
        <w:t xml:space="preserve"> </w:t>
      </w:r>
      <w:r>
        <w:rPr>
          <w:color w:val="231F20"/>
        </w:rPr>
        <w:t>fair</w:t>
      </w:r>
      <w:r>
        <w:rPr>
          <w:color w:val="231F20"/>
          <w:spacing w:val="-10"/>
        </w:rPr>
        <w:t xml:space="preserve"> </w:t>
      </w:r>
      <w:r>
        <w:rPr>
          <w:color w:val="231F20"/>
        </w:rPr>
        <w:t>value</w:t>
      </w:r>
      <w:r>
        <w:rPr>
          <w:color w:val="231F20"/>
          <w:spacing w:val="-10"/>
        </w:rPr>
        <w:t xml:space="preserve"> </w:t>
      </w:r>
      <w:r>
        <w:rPr>
          <w:color w:val="231F20"/>
        </w:rPr>
        <w:t>adjustments</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carrying</w:t>
      </w:r>
      <w:r>
        <w:rPr>
          <w:color w:val="231F20"/>
          <w:spacing w:val="-10"/>
        </w:rPr>
        <w:t xml:space="preserve"> </w:t>
      </w:r>
      <w:r>
        <w:rPr>
          <w:color w:val="231F20"/>
        </w:rPr>
        <w:t>value of right-of-use assets is required.</w:t>
      </w:r>
    </w:p>
    <w:p w14:paraId="2EC51098" w14:textId="77777777" w:rsidR="00345EE3" w:rsidRDefault="00345EE3" w:rsidP="00345EE3">
      <w:pPr>
        <w:pStyle w:val="BodyText"/>
        <w:spacing w:before="118" w:line="242" w:lineRule="auto"/>
        <w:ind w:right="327"/>
      </w:pPr>
      <w:r>
        <w:rPr>
          <w:color w:val="231F20"/>
        </w:rPr>
        <w:t>In</w:t>
      </w:r>
      <w:r>
        <w:rPr>
          <w:color w:val="231F20"/>
          <w:spacing w:val="-3"/>
        </w:rPr>
        <w:t xml:space="preserve"> </w:t>
      </w:r>
      <w:r>
        <w:rPr>
          <w:color w:val="231F20"/>
        </w:rPr>
        <w:t>assessing</w:t>
      </w:r>
      <w:r>
        <w:rPr>
          <w:color w:val="231F20"/>
          <w:spacing w:val="-3"/>
        </w:rPr>
        <w:t xml:space="preserve"> </w:t>
      </w:r>
      <w:r>
        <w:rPr>
          <w:color w:val="231F20"/>
        </w:rPr>
        <w:t>if</w:t>
      </w:r>
      <w:r>
        <w:rPr>
          <w:color w:val="231F20"/>
          <w:spacing w:val="-2"/>
        </w:rPr>
        <w:t xml:space="preserve"> </w:t>
      </w:r>
      <w:r>
        <w:rPr>
          <w:color w:val="231F20"/>
        </w:rPr>
        <w:t>the</w:t>
      </w:r>
      <w:r>
        <w:rPr>
          <w:color w:val="231F20"/>
          <w:spacing w:val="-3"/>
        </w:rPr>
        <w:t xml:space="preserve"> </w:t>
      </w:r>
      <w:r>
        <w:rPr>
          <w:color w:val="231F20"/>
        </w:rPr>
        <w:t>current</w:t>
      </w:r>
      <w:r>
        <w:rPr>
          <w:color w:val="231F20"/>
          <w:spacing w:val="-2"/>
        </w:rPr>
        <w:t xml:space="preserve"> </w:t>
      </w:r>
      <w:r>
        <w:rPr>
          <w:color w:val="231F20"/>
        </w:rPr>
        <w:t>lease</w:t>
      </w:r>
      <w:r>
        <w:rPr>
          <w:color w:val="231F20"/>
          <w:spacing w:val="-3"/>
        </w:rPr>
        <w:t xml:space="preserve"> </w:t>
      </w:r>
      <w:r>
        <w:rPr>
          <w:color w:val="231F20"/>
        </w:rPr>
        <w:t>payments</w:t>
      </w:r>
      <w:r>
        <w:rPr>
          <w:color w:val="231F20"/>
          <w:spacing w:val="-2"/>
        </w:rPr>
        <w:t xml:space="preserve"> </w:t>
      </w:r>
      <w:r>
        <w:rPr>
          <w:color w:val="231F20"/>
        </w:rPr>
        <w:t>under</w:t>
      </w:r>
      <w:r>
        <w:rPr>
          <w:color w:val="231F20"/>
          <w:spacing w:val="-2"/>
        </w:rPr>
        <w:t xml:space="preserve"> </w:t>
      </w:r>
      <w:r>
        <w:rPr>
          <w:color w:val="231F20"/>
        </w:rPr>
        <w:t>the</w:t>
      </w:r>
      <w:r>
        <w:rPr>
          <w:color w:val="231F20"/>
          <w:spacing w:val="-3"/>
        </w:rPr>
        <w:t xml:space="preserve"> </w:t>
      </w:r>
      <w:r>
        <w:rPr>
          <w:color w:val="231F20"/>
        </w:rPr>
        <w:t>contracts</w:t>
      </w:r>
      <w:r>
        <w:rPr>
          <w:color w:val="231F20"/>
          <w:spacing w:val="-2"/>
        </w:rPr>
        <w:t xml:space="preserve"> </w:t>
      </w:r>
      <w:r>
        <w:rPr>
          <w:color w:val="231F20"/>
        </w:rPr>
        <w:t>approximate</w:t>
      </w:r>
      <w:r>
        <w:rPr>
          <w:color w:val="231F20"/>
          <w:spacing w:val="-3"/>
        </w:rPr>
        <w:t xml:space="preserve"> </w:t>
      </w:r>
      <w:r>
        <w:rPr>
          <w:color w:val="231F20"/>
        </w:rPr>
        <w:t>the</w:t>
      </w:r>
      <w:r>
        <w:rPr>
          <w:color w:val="231F20"/>
          <w:spacing w:val="-3"/>
        </w:rPr>
        <w:t xml:space="preserve"> </w:t>
      </w:r>
      <w:r>
        <w:rPr>
          <w:color w:val="231F20"/>
        </w:rPr>
        <w:t>current</w:t>
      </w:r>
      <w:r>
        <w:rPr>
          <w:color w:val="231F20"/>
          <w:spacing w:val="-2"/>
        </w:rPr>
        <w:t xml:space="preserve"> </w:t>
      </w:r>
      <w:r>
        <w:rPr>
          <w:color w:val="231F20"/>
        </w:rPr>
        <w:t>market rentals for equivalent properties, Victoria Police compared the rent of equivalent properties at similar locations. Adjustments to the right-of-use-assets carrying amount will only be made if the movement in the carrying amount compared to the market is material. No adjustment has been</w:t>
      </w:r>
      <w:r>
        <w:rPr>
          <w:color w:val="231F20"/>
          <w:spacing w:val="-7"/>
        </w:rPr>
        <w:t xml:space="preserve"> </w:t>
      </w:r>
      <w:r>
        <w:rPr>
          <w:color w:val="231F20"/>
        </w:rPr>
        <w:t>made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right-of-use-assets</w:t>
      </w:r>
      <w:r>
        <w:rPr>
          <w:color w:val="231F20"/>
          <w:spacing w:val="-6"/>
        </w:rPr>
        <w:t xml:space="preserve"> </w:t>
      </w:r>
      <w:r>
        <w:rPr>
          <w:color w:val="231F20"/>
        </w:rPr>
        <w:t>carrying</w:t>
      </w:r>
      <w:r>
        <w:rPr>
          <w:color w:val="231F20"/>
          <w:spacing w:val="-7"/>
        </w:rPr>
        <w:t xml:space="preserve"> </w:t>
      </w:r>
      <w:r>
        <w:rPr>
          <w:color w:val="231F20"/>
        </w:rPr>
        <w:t>amount</w:t>
      </w:r>
      <w:r>
        <w:rPr>
          <w:color w:val="231F20"/>
          <w:spacing w:val="-6"/>
        </w:rPr>
        <w:t xml:space="preserve"> </w:t>
      </w:r>
      <w:r>
        <w:rPr>
          <w:color w:val="231F20"/>
        </w:rPr>
        <w:t>as</w:t>
      </w:r>
      <w:r>
        <w:rPr>
          <w:color w:val="231F20"/>
          <w:spacing w:val="-6"/>
        </w:rPr>
        <w:t xml:space="preserve"> </w:t>
      </w:r>
      <w:r>
        <w:rPr>
          <w:color w:val="231F20"/>
        </w:rPr>
        <w:t>the</w:t>
      </w:r>
      <w:r>
        <w:rPr>
          <w:color w:val="231F20"/>
          <w:spacing w:val="-7"/>
        </w:rPr>
        <w:t xml:space="preserve"> </w:t>
      </w:r>
      <w:r>
        <w:rPr>
          <w:color w:val="231F20"/>
        </w:rPr>
        <w:t>movement</w:t>
      </w:r>
      <w:r>
        <w:rPr>
          <w:color w:val="231F20"/>
          <w:spacing w:val="-6"/>
        </w:rPr>
        <w:t xml:space="preserve"> </w:t>
      </w:r>
      <w:r>
        <w:rPr>
          <w:color w:val="231F20"/>
        </w:rPr>
        <w:t>when</w:t>
      </w:r>
      <w:r>
        <w:rPr>
          <w:color w:val="231F20"/>
          <w:spacing w:val="-7"/>
        </w:rPr>
        <w:t xml:space="preserve"> </w:t>
      </w:r>
      <w:r>
        <w:rPr>
          <w:color w:val="231F20"/>
        </w:rPr>
        <w:t>compared</w:t>
      </w:r>
      <w:r>
        <w:rPr>
          <w:color w:val="231F20"/>
          <w:spacing w:val="-7"/>
        </w:rPr>
        <w:t xml:space="preserve"> </w:t>
      </w:r>
      <w:r>
        <w:rPr>
          <w:color w:val="231F20"/>
        </w:rPr>
        <w:t>to</w:t>
      </w:r>
      <w:r>
        <w:rPr>
          <w:color w:val="231F20"/>
          <w:spacing w:val="-7"/>
        </w:rPr>
        <w:t xml:space="preserve"> </w:t>
      </w:r>
      <w:r>
        <w:rPr>
          <w:color w:val="231F20"/>
        </w:rPr>
        <w:t>the carrying amount as the movement is not material.</w:t>
      </w:r>
    </w:p>
    <w:p w14:paraId="591A66F1" w14:textId="77777777" w:rsidR="00345EE3" w:rsidRDefault="00345EE3" w:rsidP="00345EE3">
      <w:pPr>
        <w:pStyle w:val="BodyText"/>
        <w:spacing w:before="122" w:line="242" w:lineRule="auto"/>
      </w:pPr>
      <w:r>
        <w:rPr>
          <w:color w:val="231F20"/>
        </w:rPr>
        <w:t>For</w:t>
      </w:r>
      <w:r>
        <w:rPr>
          <w:color w:val="231F20"/>
          <w:spacing w:val="-7"/>
        </w:rPr>
        <w:t xml:space="preserve"> </w:t>
      </w:r>
      <w:r>
        <w:rPr>
          <w:color w:val="231F20"/>
        </w:rPr>
        <w:t>the</w:t>
      </w:r>
      <w:r>
        <w:rPr>
          <w:color w:val="231F20"/>
          <w:spacing w:val="-8"/>
        </w:rPr>
        <w:t xml:space="preserve"> </w:t>
      </w:r>
      <w:r>
        <w:rPr>
          <w:color w:val="231F20"/>
        </w:rPr>
        <w:t>following</w:t>
      </w:r>
      <w:r>
        <w:rPr>
          <w:color w:val="231F20"/>
          <w:spacing w:val="-8"/>
        </w:rPr>
        <w:t xml:space="preserve"> </w:t>
      </w:r>
      <w:r>
        <w:rPr>
          <w:color w:val="231F20"/>
        </w:rPr>
        <w:t>lease</w:t>
      </w:r>
      <w:r>
        <w:rPr>
          <w:color w:val="231F20"/>
          <w:spacing w:val="-8"/>
        </w:rPr>
        <w:t xml:space="preserve"> </w:t>
      </w:r>
      <w:r>
        <w:rPr>
          <w:color w:val="231F20"/>
        </w:rPr>
        <w:t>properties,</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has</w:t>
      </w:r>
      <w:r>
        <w:rPr>
          <w:color w:val="231F20"/>
          <w:spacing w:val="-7"/>
        </w:rPr>
        <w:t xml:space="preserve"> </w:t>
      </w:r>
      <w:r>
        <w:rPr>
          <w:color w:val="231F20"/>
        </w:rPr>
        <w:t>assumed</w:t>
      </w:r>
      <w:r>
        <w:rPr>
          <w:color w:val="231F20"/>
          <w:spacing w:val="-8"/>
        </w:rPr>
        <w:t xml:space="preserve"> </w:t>
      </w:r>
      <w:r>
        <w:rPr>
          <w:color w:val="231F20"/>
        </w:rPr>
        <w:t>that</w:t>
      </w:r>
      <w:r>
        <w:rPr>
          <w:color w:val="231F20"/>
          <w:spacing w:val="-7"/>
        </w:rPr>
        <w:t xml:space="preserve"> </w:t>
      </w:r>
      <w:r>
        <w:rPr>
          <w:color w:val="231F20"/>
        </w:rPr>
        <w:t>the</w:t>
      </w:r>
      <w:r>
        <w:rPr>
          <w:color w:val="231F20"/>
          <w:spacing w:val="-8"/>
        </w:rPr>
        <w:t xml:space="preserve"> </w:t>
      </w:r>
      <w:r>
        <w:rPr>
          <w:color w:val="231F20"/>
        </w:rPr>
        <w:t>carrying</w:t>
      </w:r>
      <w:r>
        <w:rPr>
          <w:color w:val="231F20"/>
          <w:spacing w:val="-8"/>
        </w:rPr>
        <w:t xml:space="preserve"> </w:t>
      </w:r>
      <w:r>
        <w:rPr>
          <w:color w:val="231F20"/>
        </w:rPr>
        <w:t>amount approximates its fair value due to the absence of adequate market indices:</w:t>
      </w:r>
    </w:p>
    <w:p w14:paraId="64EC0F94" w14:textId="77777777" w:rsidR="00345EE3" w:rsidRDefault="00345EE3">
      <w:pPr>
        <w:pStyle w:val="ListParagraph"/>
        <w:numPr>
          <w:ilvl w:val="2"/>
          <w:numId w:val="34"/>
        </w:numPr>
        <w:tabs>
          <w:tab w:val="left" w:pos="393"/>
          <w:tab w:val="left" w:pos="394"/>
        </w:tabs>
        <w:spacing w:before="30"/>
        <w:rPr>
          <w:sz w:val="24"/>
        </w:rPr>
      </w:pPr>
      <w:r>
        <w:rPr>
          <w:color w:val="231F20"/>
          <w:sz w:val="24"/>
        </w:rPr>
        <w:t>all</w:t>
      </w:r>
      <w:r>
        <w:rPr>
          <w:color w:val="231F20"/>
          <w:spacing w:val="-10"/>
          <w:sz w:val="24"/>
        </w:rPr>
        <w:t xml:space="preserve"> </w:t>
      </w:r>
      <w:r>
        <w:rPr>
          <w:color w:val="231F20"/>
          <w:sz w:val="24"/>
        </w:rPr>
        <w:t>non-office</w:t>
      </w:r>
      <w:r>
        <w:rPr>
          <w:color w:val="231F20"/>
          <w:spacing w:val="-7"/>
          <w:sz w:val="24"/>
        </w:rPr>
        <w:t xml:space="preserve"> </w:t>
      </w:r>
      <w:r>
        <w:rPr>
          <w:color w:val="231F20"/>
          <w:sz w:val="24"/>
        </w:rPr>
        <w:t>buildings</w:t>
      </w:r>
      <w:r>
        <w:rPr>
          <w:color w:val="231F20"/>
          <w:spacing w:val="-6"/>
          <w:sz w:val="24"/>
        </w:rPr>
        <w:t xml:space="preserve"> </w:t>
      </w:r>
      <w:r>
        <w:rPr>
          <w:color w:val="231F20"/>
          <w:sz w:val="24"/>
        </w:rPr>
        <w:t>such</w:t>
      </w:r>
      <w:r>
        <w:rPr>
          <w:color w:val="231F20"/>
          <w:spacing w:val="-7"/>
          <w:sz w:val="24"/>
        </w:rPr>
        <w:t xml:space="preserve"> </w:t>
      </w:r>
      <w:r>
        <w:rPr>
          <w:color w:val="231F20"/>
          <w:sz w:val="24"/>
        </w:rPr>
        <w:t>as</w:t>
      </w:r>
      <w:r>
        <w:rPr>
          <w:color w:val="231F20"/>
          <w:spacing w:val="-7"/>
          <w:sz w:val="24"/>
        </w:rPr>
        <w:t xml:space="preserve"> </w:t>
      </w:r>
      <w:r>
        <w:rPr>
          <w:color w:val="231F20"/>
          <w:sz w:val="24"/>
        </w:rPr>
        <w:t>warehouses</w:t>
      </w:r>
      <w:r>
        <w:rPr>
          <w:color w:val="231F20"/>
          <w:spacing w:val="-6"/>
          <w:sz w:val="24"/>
        </w:rPr>
        <w:t xml:space="preserve"> </w:t>
      </w:r>
      <w:r>
        <w:rPr>
          <w:color w:val="231F20"/>
          <w:sz w:val="24"/>
        </w:rPr>
        <w:t>and</w:t>
      </w:r>
      <w:r>
        <w:rPr>
          <w:color w:val="231F20"/>
          <w:spacing w:val="-7"/>
          <w:sz w:val="24"/>
        </w:rPr>
        <w:t xml:space="preserve"> </w:t>
      </w:r>
      <w:r>
        <w:rPr>
          <w:color w:val="231F20"/>
          <w:sz w:val="24"/>
        </w:rPr>
        <w:t>storage</w:t>
      </w:r>
      <w:r>
        <w:rPr>
          <w:color w:val="231F20"/>
          <w:spacing w:val="-7"/>
          <w:sz w:val="24"/>
        </w:rPr>
        <w:t xml:space="preserve"> </w:t>
      </w:r>
      <w:r>
        <w:rPr>
          <w:color w:val="231F20"/>
          <w:spacing w:val="-2"/>
          <w:sz w:val="24"/>
        </w:rPr>
        <w:t>premises;</w:t>
      </w:r>
    </w:p>
    <w:p w14:paraId="4F1E8D69" w14:textId="77777777" w:rsidR="00345EE3" w:rsidRDefault="00345EE3">
      <w:pPr>
        <w:pStyle w:val="ListParagraph"/>
        <w:numPr>
          <w:ilvl w:val="2"/>
          <w:numId w:val="34"/>
        </w:numPr>
        <w:tabs>
          <w:tab w:val="left" w:pos="393"/>
          <w:tab w:val="left" w:pos="394"/>
        </w:tabs>
        <w:rPr>
          <w:sz w:val="24"/>
        </w:rPr>
      </w:pPr>
      <w:r>
        <w:rPr>
          <w:color w:val="231F20"/>
          <w:sz w:val="24"/>
        </w:rPr>
        <w:t>properties</w:t>
      </w:r>
      <w:r>
        <w:rPr>
          <w:color w:val="231F20"/>
          <w:spacing w:val="-10"/>
          <w:sz w:val="24"/>
        </w:rPr>
        <w:t xml:space="preserve"> </w:t>
      </w:r>
      <w:r>
        <w:rPr>
          <w:color w:val="231F20"/>
          <w:sz w:val="24"/>
        </w:rPr>
        <w:t>in</w:t>
      </w:r>
      <w:r>
        <w:rPr>
          <w:color w:val="231F20"/>
          <w:spacing w:val="-8"/>
          <w:sz w:val="24"/>
        </w:rPr>
        <w:t xml:space="preserve"> </w:t>
      </w:r>
      <w:r>
        <w:rPr>
          <w:color w:val="231F20"/>
          <w:sz w:val="24"/>
        </w:rPr>
        <w:t>the</w:t>
      </w:r>
      <w:r>
        <w:rPr>
          <w:color w:val="231F20"/>
          <w:spacing w:val="-8"/>
          <w:sz w:val="24"/>
        </w:rPr>
        <w:t xml:space="preserve"> </w:t>
      </w:r>
      <w:r>
        <w:rPr>
          <w:color w:val="231F20"/>
          <w:sz w:val="24"/>
        </w:rPr>
        <w:t>rural</w:t>
      </w:r>
      <w:r>
        <w:rPr>
          <w:color w:val="231F20"/>
          <w:spacing w:val="-8"/>
          <w:sz w:val="24"/>
        </w:rPr>
        <w:t xml:space="preserve"> </w:t>
      </w:r>
      <w:r>
        <w:rPr>
          <w:color w:val="231F20"/>
          <w:sz w:val="24"/>
        </w:rPr>
        <w:t>and</w:t>
      </w:r>
      <w:r>
        <w:rPr>
          <w:color w:val="231F20"/>
          <w:spacing w:val="-8"/>
          <w:sz w:val="24"/>
        </w:rPr>
        <w:t xml:space="preserve"> </w:t>
      </w:r>
      <w:r>
        <w:rPr>
          <w:color w:val="231F20"/>
          <w:sz w:val="24"/>
        </w:rPr>
        <w:t>regional</w:t>
      </w:r>
      <w:r>
        <w:rPr>
          <w:color w:val="231F20"/>
          <w:spacing w:val="-8"/>
          <w:sz w:val="24"/>
        </w:rPr>
        <w:t xml:space="preserve"> </w:t>
      </w:r>
      <w:r>
        <w:rPr>
          <w:color w:val="231F20"/>
          <w:sz w:val="24"/>
        </w:rPr>
        <w:t>area</w:t>
      </w:r>
      <w:r>
        <w:rPr>
          <w:color w:val="231F20"/>
          <w:spacing w:val="-7"/>
          <w:sz w:val="24"/>
        </w:rPr>
        <w:t xml:space="preserve"> </w:t>
      </w:r>
      <w:r>
        <w:rPr>
          <w:color w:val="231F20"/>
          <w:sz w:val="24"/>
        </w:rPr>
        <w:t>where</w:t>
      </w:r>
      <w:r>
        <w:rPr>
          <w:color w:val="231F20"/>
          <w:spacing w:val="-8"/>
          <w:sz w:val="24"/>
        </w:rPr>
        <w:t xml:space="preserve"> </w:t>
      </w:r>
      <w:r>
        <w:rPr>
          <w:color w:val="231F20"/>
          <w:sz w:val="24"/>
        </w:rPr>
        <w:t>adequate</w:t>
      </w:r>
      <w:r>
        <w:rPr>
          <w:color w:val="231F20"/>
          <w:spacing w:val="-8"/>
          <w:sz w:val="24"/>
        </w:rPr>
        <w:t xml:space="preserve"> </w:t>
      </w:r>
      <w:r>
        <w:rPr>
          <w:color w:val="231F20"/>
          <w:sz w:val="24"/>
        </w:rPr>
        <w:t>and</w:t>
      </w:r>
      <w:r>
        <w:rPr>
          <w:color w:val="231F20"/>
          <w:spacing w:val="-8"/>
          <w:sz w:val="24"/>
        </w:rPr>
        <w:t xml:space="preserve"> </w:t>
      </w:r>
      <w:r>
        <w:rPr>
          <w:color w:val="231F20"/>
          <w:sz w:val="24"/>
        </w:rPr>
        <w:t>reliable</w:t>
      </w:r>
      <w:r>
        <w:rPr>
          <w:color w:val="231F20"/>
          <w:spacing w:val="-8"/>
          <w:sz w:val="24"/>
        </w:rPr>
        <w:t xml:space="preserve"> </w:t>
      </w:r>
      <w:r>
        <w:rPr>
          <w:color w:val="231F20"/>
          <w:sz w:val="24"/>
        </w:rPr>
        <w:t>data</w:t>
      </w:r>
      <w:r>
        <w:rPr>
          <w:color w:val="231F20"/>
          <w:spacing w:val="-8"/>
          <w:sz w:val="24"/>
        </w:rPr>
        <w:t xml:space="preserve"> </w:t>
      </w:r>
      <w:r>
        <w:rPr>
          <w:color w:val="231F20"/>
          <w:sz w:val="24"/>
        </w:rPr>
        <w:t>are</w:t>
      </w:r>
      <w:r>
        <w:rPr>
          <w:color w:val="231F20"/>
          <w:spacing w:val="-8"/>
          <w:sz w:val="24"/>
        </w:rPr>
        <w:t xml:space="preserve"> </w:t>
      </w:r>
      <w:r>
        <w:rPr>
          <w:color w:val="231F20"/>
          <w:sz w:val="24"/>
        </w:rPr>
        <w:t>absent;</w:t>
      </w:r>
      <w:r>
        <w:rPr>
          <w:color w:val="231F20"/>
          <w:spacing w:val="-7"/>
          <w:sz w:val="24"/>
        </w:rPr>
        <w:t xml:space="preserve"> </w:t>
      </w:r>
      <w:r>
        <w:rPr>
          <w:color w:val="231F20"/>
          <w:spacing w:val="-5"/>
          <w:sz w:val="24"/>
        </w:rPr>
        <w:t>and</w:t>
      </w:r>
    </w:p>
    <w:p w14:paraId="6223DD85" w14:textId="77777777" w:rsidR="00345EE3" w:rsidRDefault="00345EE3">
      <w:pPr>
        <w:pStyle w:val="ListParagraph"/>
        <w:numPr>
          <w:ilvl w:val="2"/>
          <w:numId w:val="34"/>
        </w:numPr>
        <w:tabs>
          <w:tab w:val="left" w:pos="393"/>
          <w:tab w:val="left" w:pos="394"/>
        </w:tabs>
        <w:spacing w:before="33"/>
        <w:rPr>
          <w:sz w:val="24"/>
        </w:rPr>
      </w:pPr>
      <w:r>
        <w:rPr>
          <w:color w:val="231F20"/>
          <w:sz w:val="24"/>
        </w:rPr>
        <w:t>restrictive</w:t>
      </w:r>
      <w:r>
        <w:rPr>
          <w:color w:val="231F20"/>
          <w:spacing w:val="-16"/>
          <w:sz w:val="24"/>
        </w:rPr>
        <w:t xml:space="preserve"> </w:t>
      </w:r>
      <w:r>
        <w:rPr>
          <w:color w:val="231F20"/>
          <w:spacing w:val="-2"/>
          <w:sz w:val="24"/>
        </w:rPr>
        <w:t>properties.</w:t>
      </w:r>
    </w:p>
    <w:p w14:paraId="14F61222" w14:textId="77777777" w:rsidR="00345EE3" w:rsidRDefault="00345EE3" w:rsidP="00345EE3">
      <w:pPr>
        <w:pStyle w:val="BodyText"/>
        <w:spacing w:before="62" w:line="242" w:lineRule="auto"/>
        <w:ind w:right="327"/>
      </w:pPr>
      <w:r>
        <w:rPr>
          <w:color w:val="231F20"/>
        </w:rPr>
        <w:t>As</w:t>
      </w:r>
      <w:r>
        <w:rPr>
          <w:color w:val="231F20"/>
          <w:spacing w:val="-9"/>
        </w:rPr>
        <w:t xml:space="preserve"> </w:t>
      </w:r>
      <w:r>
        <w:rPr>
          <w:color w:val="231F20"/>
        </w:rPr>
        <w:t>such,</w:t>
      </w:r>
      <w:r>
        <w:rPr>
          <w:color w:val="231F20"/>
          <w:spacing w:val="-9"/>
        </w:rPr>
        <w:t xml:space="preserve"> </w:t>
      </w:r>
      <w:r>
        <w:rPr>
          <w:color w:val="231F20"/>
        </w:rPr>
        <w:t>they</w:t>
      </w:r>
      <w:r>
        <w:rPr>
          <w:color w:val="231F20"/>
          <w:spacing w:val="-9"/>
        </w:rPr>
        <w:t xml:space="preserve"> </w:t>
      </w:r>
      <w:r>
        <w:rPr>
          <w:color w:val="231F20"/>
        </w:rPr>
        <w:t>were</w:t>
      </w:r>
      <w:r>
        <w:rPr>
          <w:color w:val="231F20"/>
          <w:spacing w:val="-10"/>
        </w:rPr>
        <w:t xml:space="preserve"> </w:t>
      </w:r>
      <w:r>
        <w:rPr>
          <w:color w:val="231F20"/>
        </w:rPr>
        <w:t>excluded</w:t>
      </w:r>
      <w:r>
        <w:rPr>
          <w:color w:val="231F20"/>
          <w:spacing w:val="-10"/>
        </w:rPr>
        <w:t xml:space="preserve"> </w:t>
      </w:r>
      <w:r>
        <w:rPr>
          <w:color w:val="231F20"/>
        </w:rPr>
        <w:t>from</w:t>
      </w:r>
      <w:r>
        <w:rPr>
          <w:color w:val="231F20"/>
          <w:spacing w:val="-9"/>
        </w:rPr>
        <w:t xml:space="preserve"> </w:t>
      </w:r>
      <w:r>
        <w:rPr>
          <w:color w:val="231F20"/>
        </w:rPr>
        <w:t>the</w:t>
      </w:r>
      <w:r>
        <w:rPr>
          <w:color w:val="231F20"/>
          <w:spacing w:val="-10"/>
        </w:rPr>
        <w:t xml:space="preserve"> </w:t>
      </w:r>
      <w:r>
        <w:rPr>
          <w:color w:val="231F20"/>
        </w:rPr>
        <w:t>market</w:t>
      </w:r>
      <w:r>
        <w:rPr>
          <w:color w:val="231F20"/>
          <w:spacing w:val="-9"/>
        </w:rPr>
        <w:t xml:space="preserve"> </w:t>
      </w:r>
      <w:r>
        <w:rPr>
          <w:color w:val="231F20"/>
        </w:rPr>
        <w:t>indices</w:t>
      </w:r>
      <w:r>
        <w:rPr>
          <w:color w:val="231F20"/>
          <w:spacing w:val="-9"/>
        </w:rPr>
        <w:t xml:space="preserve"> </w:t>
      </w:r>
      <w:r>
        <w:rPr>
          <w:color w:val="231F20"/>
        </w:rPr>
        <w:t>assessment</w:t>
      </w:r>
      <w:r>
        <w:rPr>
          <w:color w:val="231F20"/>
          <w:spacing w:val="-9"/>
        </w:rPr>
        <w:t xml:space="preserve"> </w:t>
      </w:r>
      <w:r>
        <w:rPr>
          <w:color w:val="231F20"/>
        </w:rPr>
        <w:t>together</w:t>
      </w:r>
      <w:r>
        <w:rPr>
          <w:color w:val="231F20"/>
          <w:spacing w:val="-9"/>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fact</w:t>
      </w:r>
      <w:r>
        <w:rPr>
          <w:color w:val="231F20"/>
          <w:spacing w:val="-9"/>
        </w:rPr>
        <w:t xml:space="preserve"> </w:t>
      </w:r>
      <w:r>
        <w:rPr>
          <w:color w:val="231F20"/>
        </w:rPr>
        <w:t>that these</w:t>
      </w:r>
      <w:r>
        <w:rPr>
          <w:color w:val="231F20"/>
          <w:spacing w:val="-2"/>
        </w:rPr>
        <w:t xml:space="preserve"> </w:t>
      </w:r>
      <w:r>
        <w:rPr>
          <w:color w:val="231F20"/>
        </w:rPr>
        <w:t>balances</w:t>
      </w:r>
      <w:r>
        <w:rPr>
          <w:color w:val="231F20"/>
          <w:spacing w:val="-1"/>
        </w:rPr>
        <w:t xml:space="preserve"> </w:t>
      </w:r>
      <w:r>
        <w:rPr>
          <w:color w:val="231F20"/>
        </w:rPr>
        <w:t>approximate</w:t>
      </w:r>
      <w:r>
        <w:rPr>
          <w:color w:val="231F20"/>
          <w:spacing w:val="-2"/>
        </w:rPr>
        <w:t xml:space="preserve"> </w:t>
      </w:r>
      <w:r>
        <w:rPr>
          <w:color w:val="231F20"/>
        </w:rPr>
        <w:t>2%</w:t>
      </w:r>
      <w:r>
        <w:rPr>
          <w:color w:val="231F20"/>
          <w:spacing w:val="-2"/>
        </w:rPr>
        <w:t xml:space="preserve"> </w:t>
      </w:r>
      <w:r>
        <w:rPr>
          <w:color w:val="231F20"/>
        </w:rPr>
        <w:t>($29.1</w:t>
      </w:r>
      <w:r>
        <w:rPr>
          <w:color w:val="231F20"/>
          <w:spacing w:val="-2"/>
        </w:rPr>
        <w:t xml:space="preserve"> </w:t>
      </w:r>
      <w:r>
        <w:rPr>
          <w:color w:val="231F20"/>
        </w:rPr>
        <w:t>million)</w:t>
      </w:r>
      <w:r>
        <w:rPr>
          <w:color w:val="231F20"/>
          <w:spacing w:val="-1"/>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total</w:t>
      </w:r>
      <w:r>
        <w:rPr>
          <w:color w:val="231F20"/>
          <w:spacing w:val="-2"/>
        </w:rPr>
        <w:t xml:space="preserve"> </w:t>
      </w:r>
      <w:r>
        <w:rPr>
          <w:color w:val="231F20"/>
        </w:rPr>
        <w:t>value</w:t>
      </w:r>
      <w:r>
        <w:rPr>
          <w:color w:val="231F20"/>
          <w:spacing w:val="-2"/>
        </w:rPr>
        <w:t xml:space="preserve"> </w:t>
      </w:r>
      <w:r>
        <w:rPr>
          <w:color w:val="231F20"/>
        </w:rPr>
        <w:t>which</w:t>
      </w:r>
      <w:r>
        <w:rPr>
          <w:color w:val="231F20"/>
          <w:spacing w:val="-2"/>
        </w:rPr>
        <w:t xml:space="preserve"> </w:t>
      </w:r>
      <w:r>
        <w:rPr>
          <w:color w:val="231F20"/>
        </w:rPr>
        <w:t>is</w:t>
      </w:r>
      <w:r>
        <w:rPr>
          <w:color w:val="231F20"/>
          <w:spacing w:val="-1"/>
        </w:rPr>
        <w:t xml:space="preserve"> </w:t>
      </w:r>
      <w:r>
        <w:rPr>
          <w:color w:val="231F20"/>
        </w:rPr>
        <w:t>not</w:t>
      </w:r>
      <w:r>
        <w:rPr>
          <w:color w:val="231F20"/>
          <w:spacing w:val="-1"/>
        </w:rPr>
        <w:t xml:space="preserve"> </w:t>
      </w:r>
      <w:r>
        <w:rPr>
          <w:color w:val="231F20"/>
        </w:rPr>
        <w:t>material.</w:t>
      </w:r>
    </w:p>
    <w:p w14:paraId="3F225B86" w14:textId="77777777" w:rsidR="00345EE3" w:rsidRDefault="00345EE3" w:rsidP="00345EE3">
      <w:pPr>
        <w:pStyle w:val="Heading5"/>
        <w:spacing w:before="229"/>
      </w:pPr>
      <w:r>
        <w:rPr>
          <w:color w:val="231F20"/>
        </w:rPr>
        <w:t>Motor</w:t>
      </w:r>
      <w:r>
        <w:rPr>
          <w:color w:val="231F20"/>
          <w:spacing w:val="-2"/>
        </w:rPr>
        <w:t xml:space="preserve"> Vehicles</w:t>
      </w:r>
    </w:p>
    <w:p w14:paraId="241DEDDC" w14:textId="77777777" w:rsidR="00345EE3" w:rsidRDefault="00345EE3" w:rsidP="00345EE3">
      <w:pPr>
        <w:pStyle w:val="BodyText"/>
        <w:spacing w:before="61" w:line="242" w:lineRule="auto"/>
      </w:pPr>
      <w:r>
        <w:rPr>
          <w:color w:val="231F20"/>
        </w:rPr>
        <w:t>Due</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average</w:t>
      </w:r>
      <w:r>
        <w:rPr>
          <w:color w:val="231F20"/>
          <w:spacing w:val="-9"/>
        </w:rPr>
        <w:t xml:space="preserve"> </w:t>
      </w:r>
      <w:r>
        <w:rPr>
          <w:color w:val="231F20"/>
        </w:rPr>
        <w:t>short-term</w:t>
      </w:r>
      <w:r>
        <w:rPr>
          <w:color w:val="231F20"/>
          <w:spacing w:val="-8"/>
        </w:rPr>
        <w:t xml:space="preserve"> </w:t>
      </w:r>
      <w:r>
        <w:rPr>
          <w:color w:val="231F20"/>
        </w:rPr>
        <w:t>useful</w:t>
      </w:r>
      <w:r>
        <w:rPr>
          <w:color w:val="231F20"/>
          <w:spacing w:val="-9"/>
        </w:rPr>
        <w:t xml:space="preserve"> </w:t>
      </w:r>
      <w:r>
        <w:rPr>
          <w:color w:val="231F20"/>
        </w:rPr>
        <w:t>life</w:t>
      </w:r>
      <w:r>
        <w:rPr>
          <w:color w:val="231F20"/>
          <w:spacing w:val="-9"/>
        </w:rPr>
        <w:t xml:space="preserve"> </w:t>
      </w:r>
      <w:r>
        <w:rPr>
          <w:color w:val="231F20"/>
        </w:rPr>
        <w:t>of</w:t>
      </w:r>
      <w:r>
        <w:rPr>
          <w:color w:val="231F20"/>
          <w:spacing w:val="-8"/>
        </w:rPr>
        <w:t xml:space="preserve"> </w:t>
      </w:r>
      <w:r>
        <w:rPr>
          <w:color w:val="231F20"/>
        </w:rPr>
        <w:t>motor</w:t>
      </w:r>
      <w:r>
        <w:rPr>
          <w:color w:val="231F20"/>
          <w:spacing w:val="-8"/>
        </w:rPr>
        <w:t xml:space="preserve"> </w:t>
      </w:r>
      <w:r>
        <w:rPr>
          <w:color w:val="231F20"/>
        </w:rPr>
        <w:t>vehicles,</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has</w:t>
      </w:r>
      <w:r>
        <w:rPr>
          <w:color w:val="231F20"/>
          <w:spacing w:val="-8"/>
        </w:rPr>
        <w:t xml:space="preserve"> </w:t>
      </w:r>
      <w:r>
        <w:rPr>
          <w:color w:val="231F20"/>
        </w:rPr>
        <w:t>considered</w:t>
      </w:r>
      <w:r>
        <w:rPr>
          <w:color w:val="231F20"/>
          <w:spacing w:val="-9"/>
        </w:rPr>
        <w:t xml:space="preserve"> </w:t>
      </w:r>
      <w:r>
        <w:rPr>
          <w:color w:val="231F20"/>
        </w:rPr>
        <w:t>the carrying amount approximates the fair value at 30 June 2022.</w:t>
      </w:r>
    </w:p>
    <w:p w14:paraId="2B3AE405" w14:textId="77777777" w:rsidR="00345EE3" w:rsidRDefault="00345EE3" w:rsidP="00345EE3">
      <w:pPr>
        <w:pStyle w:val="Heading5"/>
        <w:spacing w:before="222"/>
      </w:pPr>
      <w:r>
        <w:rPr>
          <w:color w:val="231F20"/>
          <w:spacing w:val="-2"/>
        </w:rPr>
        <w:t>Aviation</w:t>
      </w:r>
    </w:p>
    <w:p w14:paraId="0D4A5828" w14:textId="77777777" w:rsidR="00345EE3" w:rsidRDefault="00345EE3" w:rsidP="00345EE3">
      <w:pPr>
        <w:pStyle w:val="BodyText"/>
        <w:spacing w:before="61" w:line="242" w:lineRule="auto"/>
      </w:pPr>
      <w:r>
        <w:rPr>
          <w:color w:val="231F20"/>
        </w:rPr>
        <w:t>Due</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very</w:t>
      </w:r>
      <w:r>
        <w:rPr>
          <w:color w:val="231F20"/>
          <w:spacing w:val="-7"/>
        </w:rPr>
        <w:t xml:space="preserve"> </w:t>
      </w:r>
      <w:r>
        <w:rPr>
          <w:color w:val="231F20"/>
        </w:rPr>
        <w:t>specialised</w:t>
      </w:r>
      <w:r>
        <w:rPr>
          <w:color w:val="231F20"/>
          <w:spacing w:val="-8"/>
        </w:rPr>
        <w:t xml:space="preserve"> </w:t>
      </w:r>
      <w:r>
        <w:rPr>
          <w:color w:val="231F20"/>
        </w:rPr>
        <w:t>nature</w:t>
      </w:r>
      <w:r>
        <w:rPr>
          <w:color w:val="231F20"/>
          <w:spacing w:val="-8"/>
        </w:rPr>
        <w:t xml:space="preserve"> </w:t>
      </w:r>
      <w:r>
        <w:rPr>
          <w:color w:val="231F20"/>
        </w:rPr>
        <w:t>of</w:t>
      </w:r>
      <w:r>
        <w:rPr>
          <w:color w:val="231F20"/>
          <w:spacing w:val="-7"/>
        </w:rPr>
        <w:t xml:space="preserve"> </w:t>
      </w:r>
      <w:r>
        <w:rPr>
          <w:color w:val="231F20"/>
        </w:rPr>
        <w:t>aircraft</w:t>
      </w:r>
      <w:r>
        <w:rPr>
          <w:color w:val="231F20"/>
          <w:spacing w:val="-7"/>
        </w:rPr>
        <w:t xml:space="preserve"> </w:t>
      </w:r>
      <w:r>
        <w:rPr>
          <w:color w:val="231F20"/>
        </w:rPr>
        <w:t>and</w:t>
      </w:r>
      <w:r>
        <w:rPr>
          <w:color w:val="231F20"/>
          <w:spacing w:val="-8"/>
        </w:rPr>
        <w:t xml:space="preserve"> </w:t>
      </w:r>
      <w:r>
        <w:rPr>
          <w:color w:val="231F20"/>
        </w:rPr>
        <w:t>being</w:t>
      </w:r>
      <w:r>
        <w:rPr>
          <w:color w:val="231F20"/>
          <w:spacing w:val="-8"/>
        </w:rPr>
        <w:t xml:space="preserve"> </w:t>
      </w:r>
      <w:r>
        <w:rPr>
          <w:color w:val="231F20"/>
        </w:rPr>
        <w:t>custom-built</w:t>
      </w:r>
      <w:r>
        <w:rPr>
          <w:color w:val="231F20"/>
          <w:spacing w:val="-7"/>
        </w:rPr>
        <w:t xml:space="preserve"> </w:t>
      </w:r>
      <w:r>
        <w:rPr>
          <w:color w:val="231F20"/>
        </w:rPr>
        <w:t>for</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7"/>
        </w:rPr>
        <w:t xml:space="preserve"> </w:t>
      </w:r>
      <w:r>
        <w:rPr>
          <w:color w:val="231F20"/>
        </w:rPr>
        <w:t>Victoria Police has considered the carrying amount approximates the fair value at 30 June 2022.</w:t>
      </w:r>
    </w:p>
    <w:p w14:paraId="78249CD1" w14:textId="77777777" w:rsidR="00345EE3" w:rsidRDefault="00345EE3" w:rsidP="00345EE3">
      <w:pPr>
        <w:spacing w:before="116" w:line="242" w:lineRule="auto"/>
        <w:ind w:left="110" w:right="327"/>
        <w:rPr>
          <w:sz w:val="24"/>
        </w:rPr>
      </w:pPr>
      <w:r>
        <w:rPr>
          <w:b/>
          <w:color w:val="231F20"/>
          <w:sz w:val="24"/>
        </w:rPr>
        <w:t>Non-specialised</w:t>
      </w:r>
      <w:r>
        <w:rPr>
          <w:b/>
          <w:color w:val="231F20"/>
          <w:spacing w:val="-3"/>
          <w:sz w:val="24"/>
        </w:rPr>
        <w:t xml:space="preserve"> </w:t>
      </w:r>
      <w:r>
        <w:rPr>
          <w:b/>
          <w:color w:val="231F20"/>
          <w:sz w:val="24"/>
        </w:rPr>
        <w:t>land,</w:t>
      </w:r>
      <w:r>
        <w:rPr>
          <w:b/>
          <w:color w:val="231F20"/>
          <w:spacing w:val="-3"/>
          <w:sz w:val="24"/>
        </w:rPr>
        <w:t xml:space="preserve"> </w:t>
      </w:r>
      <w:r>
        <w:rPr>
          <w:b/>
          <w:color w:val="231F20"/>
          <w:sz w:val="24"/>
        </w:rPr>
        <w:t>non-specialised</w:t>
      </w:r>
      <w:r>
        <w:rPr>
          <w:b/>
          <w:color w:val="231F20"/>
          <w:spacing w:val="-3"/>
          <w:sz w:val="24"/>
        </w:rPr>
        <w:t xml:space="preserve"> </w:t>
      </w:r>
      <w:r>
        <w:rPr>
          <w:b/>
          <w:color w:val="231F20"/>
          <w:sz w:val="24"/>
        </w:rPr>
        <w:t>buildings</w:t>
      </w:r>
      <w:r>
        <w:rPr>
          <w:b/>
          <w:color w:val="231F20"/>
          <w:spacing w:val="-4"/>
          <w:sz w:val="24"/>
        </w:rPr>
        <w:t xml:space="preserve"> </w:t>
      </w:r>
      <w:r>
        <w:rPr>
          <w:b/>
          <w:color w:val="231F20"/>
          <w:sz w:val="24"/>
        </w:rPr>
        <w:t>and</w:t>
      </w:r>
      <w:r>
        <w:rPr>
          <w:b/>
          <w:color w:val="231F20"/>
          <w:spacing w:val="-3"/>
          <w:sz w:val="24"/>
        </w:rPr>
        <w:t xml:space="preserve"> </w:t>
      </w:r>
      <w:r>
        <w:rPr>
          <w:b/>
          <w:color w:val="231F20"/>
          <w:sz w:val="24"/>
        </w:rPr>
        <w:t>cultural</w:t>
      </w:r>
      <w:r>
        <w:rPr>
          <w:b/>
          <w:color w:val="231F20"/>
          <w:spacing w:val="-3"/>
          <w:sz w:val="24"/>
        </w:rPr>
        <w:t xml:space="preserve"> </w:t>
      </w:r>
      <w:r>
        <w:rPr>
          <w:b/>
          <w:color w:val="231F20"/>
          <w:sz w:val="24"/>
        </w:rPr>
        <w:t>artworks</w:t>
      </w:r>
      <w:r>
        <w:rPr>
          <w:b/>
          <w:color w:val="231F20"/>
          <w:spacing w:val="-3"/>
          <w:sz w:val="24"/>
        </w:rPr>
        <w:t xml:space="preserve"> </w:t>
      </w:r>
      <w:r>
        <w:rPr>
          <w:color w:val="231F20"/>
          <w:sz w:val="24"/>
        </w:rPr>
        <w:t>are</w:t>
      </w:r>
      <w:r>
        <w:rPr>
          <w:color w:val="231F20"/>
          <w:spacing w:val="-3"/>
          <w:sz w:val="24"/>
        </w:rPr>
        <w:t xml:space="preserve"> </w:t>
      </w:r>
      <w:r>
        <w:rPr>
          <w:color w:val="231F20"/>
          <w:sz w:val="24"/>
        </w:rPr>
        <w:t>valued</w:t>
      </w:r>
      <w:r>
        <w:rPr>
          <w:color w:val="231F20"/>
          <w:spacing w:val="-3"/>
          <w:sz w:val="24"/>
        </w:rPr>
        <w:t xml:space="preserve"> </w:t>
      </w:r>
      <w:r>
        <w:rPr>
          <w:color w:val="231F20"/>
          <w:sz w:val="24"/>
        </w:rPr>
        <w:t>using the market approach, whereby assets are compared to recent comparable sales or sales of comparable assets that are considered to have nominal value.</w:t>
      </w:r>
    </w:p>
    <w:p w14:paraId="2FA0F729" w14:textId="77777777" w:rsidR="00345EE3" w:rsidRDefault="00345EE3" w:rsidP="00345EE3">
      <w:pPr>
        <w:pStyle w:val="BodyText"/>
        <w:spacing w:before="117" w:line="242" w:lineRule="auto"/>
        <w:ind w:right="115"/>
      </w:pPr>
      <w:r>
        <w:rPr>
          <w:b/>
          <w:color w:val="231F20"/>
        </w:rPr>
        <w:t>Specialised</w:t>
      </w:r>
      <w:r>
        <w:rPr>
          <w:b/>
          <w:color w:val="231F20"/>
          <w:spacing w:val="-7"/>
        </w:rPr>
        <w:t xml:space="preserve"> </w:t>
      </w:r>
      <w:r>
        <w:rPr>
          <w:b/>
          <w:color w:val="231F20"/>
        </w:rPr>
        <w:t>land</w:t>
      </w:r>
      <w:r>
        <w:rPr>
          <w:b/>
          <w:color w:val="231F20"/>
          <w:spacing w:val="-7"/>
        </w:rPr>
        <w:t xml:space="preserve"> </w:t>
      </w:r>
      <w:r>
        <w:rPr>
          <w:b/>
          <w:color w:val="231F20"/>
        </w:rPr>
        <w:t>and</w:t>
      </w:r>
      <w:r>
        <w:rPr>
          <w:b/>
          <w:color w:val="231F20"/>
          <w:spacing w:val="-7"/>
        </w:rPr>
        <w:t xml:space="preserve"> </w:t>
      </w:r>
      <w:r>
        <w:rPr>
          <w:b/>
          <w:color w:val="231F20"/>
        </w:rPr>
        <w:t>specialised</w:t>
      </w:r>
      <w:r>
        <w:rPr>
          <w:b/>
          <w:color w:val="231F20"/>
          <w:spacing w:val="-7"/>
        </w:rPr>
        <w:t xml:space="preserve"> </w:t>
      </w:r>
      <w:r>
        <w:rPr>
          <w:b/>
          <w:color w:val="231F20"/>
        </w:rPr>
        <w:t>buildings:</w:t>
      </w:r>
      <w:r>
        <w:rPr>
          <w:b/>
          <w:color w:val="231F20"/>
          <w:spacing w:val="-7"/>
        </w:rPr>
        <w:t xml:space="preserve"> </w:t>
      </w:r>
      <w:r>
        <w:rPr>
          <w:color w:val="231F20"/>
        </w:rPr>
        <w:t>The</w:t>
      </w:r>
      <w:r>
        <w:rPr>
          <w:color w:val="231F20"/>
          <w:spacing w:val="-8"/>
        </w:rPr>
        <w:t xml:space="preserve"> </w:t>
      </w:r>
      <w:r>
        <w:rPr>
          <w:color w:val="231F20"/>
        </w:rPr>
        <w:t>market</w:t>
      </w:r>
      <w:r>
        <w:rPr>
          <w:color w:val="231F20"/>
          <w:spacing w:val="-7"/>
        </w:rPr>
        <w:t xml:space="preserve"> </w:t>
      </w:r>
      <w:r>
        <w:rPr>
          <w:color w:val="231F20"/>
        </w:rPr>
        <w:t>approach</w:t>
      </w:r>
      <w:r>
        <w:rPr>
          <w:color w:val="231F20"/>
          <w:spacing w:val="-8"/>
        </w:rPr>
        <w:t xml:space="preserve"> </w:t>
      </w:r>
      <w:r>
        <w:rPr>
          <w:color w:val="231F20"/>
        </w:rPr>
        <w:t>is</w:t>
      </w:r>
      <w:r>
        <w:rPr>
          <w:color w:val="231F20"/>
          <w:spacing w:val="-7"/>
        </w:rPr>
        <w:t xml:space="preserve"> </w:t>
      </w:r>
      <w:r>
        <w:rPr>
          <w:color w:val="231F20"/>
        </w:rPr>
        <w:t>also</w:t>
      </w:r>
      <w:r>
        <w:rPr>
          <w:color w:val="231F20"/>
          <w:spacing w:val="-8"/>
        </w:rPr>
        <w:t xml:space="preserve"> </w:t>
      </w:r>
      <w:r>
        <w:rPr>
          <w:color w:val="231F20"/>
        </w:rPr>
        <w:t>used</w:t>
      </w:r>
      <w:r>
        <w:rPr>
          <w:color w:val="231F20"/>
          <w:spacing w:val="-8"/>
        </w:rPr>
        <w:t xml:space="preserve"> </w:t>
      </w:r>
      <w:r>
        <w:rPr>
          <w:color w:val="231F20"/>
        </w:rPr>
        <w:t>for</w:t>
      </w:r>
      <w:r>
        <w:rPr>
          <w:color w:val="231F20"/>
          <w:spacing w:val="-7"/>
        </w:rPr>
        <w:t xml:space="preserve"> </w:t>
      </w:r>
      <w:r>
        <w:rPr>
          <w:color w:val="231F20"/>
        </w:rPr>
        <w:t>specialised land, although it is adjusted for the Community Service Obligation (CSO) to reflect the specialised nature of the land being valued.</w:t>
      </w:r>
    </w:p>
    <w:p w14:paraId="4D36B5D6" w14:textId="77777777" w:rsidR="00345EE3" w:rsidRDefault="00345EE3" w:rsidP="00345EE3">
      <w:pPr>
        <w:pStyle w:val="BodyText"/>
        <w:spacing w:before="117" w:line="242" w:lineRule="auto"/>
        <w:ind w:right="115"/>
      </w:pPr>
      <w:r>
        <w:rPr>
          <w:color w:val="231F20"/>
        </w:rPr>
        <w:t>The</w:t>
      </w:r>
      <w:r>
        <w:rPr>
          <w:color w:val="231F20"/>
          <w:spacing w:val="-1"/>
        </w:rPr>
        <w:t xml:space="preserve"> </w:t>
      </w:r>
      <w:r>
        <w:rPr>
          <w:color w:val="231F20"/>
        </w:rPr>
        <w:t>CSO adjustment is a</w:t>
      </w:r>
      <w:r>
        <w:rPr>
          <w:color w:val="231F20"/>
          <w:spacing w:val="-1"/>
        </w:rPr>
        <w:t xml:space="preserve"> </w:t>
      </w:r>
      <w:r>
        <w:rPr>
          <w:color w:val="231F20"/>
        </w:rPr>
        <w:t>reflection</w:t>
      </w:r>
      <w:r>
        <w:rPr>
          <w:color w:val="231F20"/>
          <w:spacing w:val="-1"/>
        </w:rPr>
        <w:t xml:space="preserve"> </w:t>
      </w:r>
      <w:r>
        <w:rPr>
          <w:color w:val="231F20"/>
        </w:rPr>
        <w:t>of the</w:t>
      </w:r>
      <w:r>
        <w:rPr>
          <w:color w:val="231F20"/>
          <w:spacing w:val="-1"/>
        </w:rPr>
        <w:t xml:space="preserve"> </w:t>
      </w:r>
      <w:r>
        <w:rPr>
          <w:color w:val="231F20"/>
        </w:rPr>
        <w:t>valuer’s assessment of the</w:t>
      </w:r>
      <w:r>
        <w:rPr>
          <w:color w:val="231F20"/>
          <w:spacing w:val="-1"/>
        </w:rPr>
        <w:t xml:space="preserve"> </w:t>
      </w:r>
      <w:r>
        <w:rPr>
          <w:color w:val="231F20"/>
        </w:rPr>
        <w:t>impact of restrictions associated</w:t>
      </w:r>
      <w:r>
        <w:rPr>
          <w:color w:val="231F20"/>
          <w:spacing w:val="-9"/>
        </w:rPr>
        <w:t xml:space="preserve"> </w:t>
      </w:r>
      <w:r>
        <w:rPr>
          <w:color w:val="231F20"/>
        </w:rPr>
        <w:t>with</w:t>
      </w:r>
      <w:r>
        <w:rPr>
          <w:color w:val="231F20"/>
          <w:spacing w:val="-9"/>
        </w:rPr>
        <w:t xml:space="preserve"> </w:t>
      </w:r>
      <w:r>
        <w:rPr>
          <w:color w:val="231F20"/>
        </w:rPr>
        <w:t>an</w:t>
      </w:r>
      <w:r>
        <w:rPr>
          <w:color w:val="231F20"/>
          <w:spacing w:val="-9"/>
        </w:rPr>
        <w:t xml:space="preserve"> </w:t>
      </w:r>
      <w:r>
        <w:rPr>
          <w:color w:val="231F20"/>
        </w:rPr>
        <w:t>asset</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extent</w:t>
      </w:r>
      <w:r>
        <w:rPr>
          <w:color w:val="231F20"/>
          <w:spacing w:val="-8"/>
        </w:rPr>
        <w:t xml:space="preserve"> </w:t>
      </w:r>
      <w:r>
        <w:rPr>
          <w:color w:val="231F20"/>
        </w:rPr>
        <w:t>that</w:t>
      </w:r>
      <w:r>
        <w:rPr>
          <w:color w:val="231F20"/>
          <w:spacing w:val="-8"/>
        </w:rPr>
        <w:t xml:space="preserve"> </w:t>
      </w:r>
      <w:r>
        <w:rPr>
          <w:color w:val="231F20"/>
        </w:rPr>
        <w:t>the</w:t>
      </w:r>
      <w:r>
        <w:rPr>
          <w:color w:val="231F20"/>
          <w:spacing w:val="-9"/>
        </w:rPr>
        <w:t xml:space="preserve"> </w:t>
      </w:r>
      <w:r>
        <w:rPr>
          <w:color w:val="231F20"/>
        </w:rPr>
        <w:t>CSO</w:t>
      </w:r>
      <w:r>
        <w:rPr>
          <w:color w:val="231F20"/>
          <w:spacing w:val="-8"/>
        </w:rPr>
        <w:t xml:space="preserve"> </w:t>
      </w:r>
      <w:r>
        <w:rPr>
          <w:color w:val="231F20"/>
        </w:rPr>
        <w:t>adjustment</w:t>
      </w:r>
      <w:r>
        <w:rPr>
          <w:color w:val="231F20"/>
          <w:spacing w:val="-8"/>
        </w:rPr>
        <w:t xml:space="preserve"> </w:t>
      </w:r>
      <w:r>
        <w:rPr>
          <w:color w:val="231F20"/>
        </w:rPr>
        <w:t>is</w:t>
      </w:r>
      <w:r>
        <w:rPr>
          <w:color w:val="231F20"/>
          <w:spacing w:val="-8"/>
        </w:rPr>
        <w:t xml:space="preserve"> </w:t>
      </w:r>
      <w:r>
        <w:rPr>
          <w:color w:val="231F20"/>
        </w:rPr>
        <w:t>also</w:t>
      </w:r>
      <w:r>
        <w:rPr>
          <w:color w:val="231F20"/>
          <w:spacing w:val="-9"/>
        </w:rPr>
        <w:t xml:space="preserve"> </w:t>
      </w:r>
      <w:r>
        <w:rPr>
          <w:color w:val="231F20"/>
        </w:rPr>
        <w:t>equally</w:t>
      </w:r>
      <w:r>
        <w:rPr>
          <w:color w:val="231F20"/>
          <w:spacing w:val="-8"/>
        </w:rPr>
        <w:t xml:space="preserve"> </w:t>
      </w:r>
      <w:r>
        <w:rPr>
          <w:color w:val="231F20"/>
        </w:rPr>
        <w:t>applicable</w:t>
      </w:r>
      <w:r>
        <w:rPr>
          <w:color w:val="231F20"/>
          <w:spacing w:val="-9"/>
        </w:rPr>
        <w:t xml:space="preserve"> </w:t>
      </w:r>
      <w:r>
        <w:rPr>
          <w:color w:val="231F20"/>
        </w:rPr>
        <w:t>to market participants.</w:t>
      </w:r>
    </w:p>
    <w:p w14:paraId="46EAB9B2" w14:textId="77777777" w:rsidR="00345EE3" w:rsidRDefault="00345EE3" w:rsidP="00345EE3">
      <w:pPr>
        <w:pStyle w:val="BodyText"/>
        <w:spacing w:before="118" w:line="242" w:lineRule="auto"/>
      </w:pPr>
      <w:r>
        <w:rPr>
          <w:color w:val="231F20"/>
        </w:rPr>
        <w:t>For</w:t>
      </w:r>
      <w:r>
        <w:rPr>
          <w:color w:val="231F20"/>
          <w:spacing w:val="-10"/>
        </w:rPr>
        <w:t xml:space="preserve"> </w:t>
      </w:r>
      <w:r>
        <w:rPr>
          <w:color w:val="231F20"/>
        </w:rPr>
        <w:t>the</w:t>
      </w:r>
      <w:r>
        <w:rPr>
          <w:color w:val="231F20"/>
          <w:spacing w:val="-11"/>
        </w:rPr>
        <w:t xml:space="preserve"> </w:t>
      </w:r>
      <w:r>
        <w:rPr>
          <w:color w:val="231F20"/>
        </w:rPr>
        <w:t>majority</w:t>
      </w:r>
      <w:r>
        <w:rPr>
          <w:color w:val="231F20"/>
          <w:spacing w:val="-10"/>
        </w:rPr>
        <w:t xml:space="preserve"> </w:t>
      </w:r>
      <w:r>
        <w:rPr>
          <w:color w:val="231F20"/>
        </w:rPr>
        <w:t>of</w:t>
      </w:r>
      <w:r>
        <w:rPr>
          <w:color w:val="231F20"/>
          <w:spacing w:val="-10"/>
        </w:rPr>
        <w:t xml:space="preserve"> </w:t>
      </w:r>
      <w:r>
        <w:rPr>
          <w:color w:val="231F20"/>
        </w:rPr>
        <w:t>Victoria</w:t>
      </w:r>
      <w:r>
        <w:rPr>
          <w:color w:val="231F20"/>
          <w:spacing w:val="-11"/>
        </w:rPr>
        <w:t xml:space="preserve"> </w:t>
      </w:r>
      <w:r>
        <w:rPr>
          <w:color w:val="231F20"/>
        </w:rPr>
        <w:t>Police’s</w:t>
      </w:r>
      <w:r>
        <w:rPr>
          <w:color w:val="231F20"/>
          <w:spacing w:val="-10"/>
        </w:rPr>
        <w:t xml:space="preserve"> </w:t>
      </w:r>
      <w:r>
        <w:rPr>
          <w:color w:val="231F20"/>
        </w:rPr>
        <w:t>specialised</w:t>
      </w:r>
      <w:r>
        <w:rPr>
          <w:color w:val="231F20"/>
          <w:spacing w:val="-11"/>
        </w:rPr>
        <w:t xml:space="preserve"> </w:t>
      </w:r>
      <w:r>
        <w:rPr>
          <w:color w:val="231F20"/>
        </w:rPr>
        <w:t>buildings,</w:t>
      </w:r>
      <w:r>
        <w:rPr>
          <w:color w:val="231F20"/>
          <w:spacing w:val="-10"/>
        </w:rPr>
        <w:t xml:space="preserve"> </w:t>
      </w:r>
      <w:r>
        <w:rPr>
          <w:color w:val="231F20"/>
        </w:rPr>
        <w:t>the</w:t>
      </w:r>
      <w:r>
        <w:rPr>
          <w:color w:val="231F20"/>
          <w:spacing w:val="-11"/>
        </w:rPr>
        <w:t xml:space="preserve"> </w:t>
      </w:r>
      <w:r>
        <w:rPr>
          <w:color w:val="231F20"/>
        </w:rPr>
        <w:t>current</w:t>
      </w:r>
      <w:r>
        <w:rPr>
          <w:color w:val="231F20"/>
          <w:spacing w:val="-10"/>
        </w:rPr>
        <w:t xml:space="preserve"> </w:t>
      </w:r>
      <w:r>
        <w:rPr>
          <w:color w:val="231F20"/>
        </w:rPr>
        <w:t>replacement</w:t>
      </w:r>
      <w:r>
        <w:rPr>
          <w:color w:val="231F20"/>
          <w:spacing w:val="-10"/>
        </w:rPr>
        <w:t xml:space="preserve"> </w:t>
      </w:r>
      <w:r>
        <w:rPr>
          <w:color w:val="231F20"/>
        </w:rPr>
        <w:t>cost</w:t>
      </w:r>
      <w:r>
        <w:rPr>
          <w:color w:val="231F20"/>
          <w:spacing w:val="-10"/>
        </w:rPr>
        <w:t xml:space="preserve"> </w:t>
      </w:r>
      <w:r>
        <w:rPr>
          <w:color w:val="231F20"/>
        </w:rPr>
        <w:t>method</w:t>
      </w:r>
      <w:r>
        <w:rPr>
          <w:color w:val="231F20"/>
          <w:spacing w:val="-11"/>
        </w:rPr>
        <w:t xml:space="preserve"> </w:t>
      </w:r>
      <w:r>
        <w:rPr>
          <w:color w:val="231F20"/>
        </w:rPr>
        <w:t>is used, adjusting for the associated depreciation.</w:t>
      </w:r>
    </w:p>
    <w:p w14:paraId="35E2AB2B" w14:textId="77777777" w:rsidR="00345EE3" w:rsidRDefault="00345EE3" w:rsidP="00345EE3">
      <w:pPr>
        <w:pStyle w:val="BodyText"/>
        <w:spacing w:before="116" w:line="242" w:lineRule="auto"/>
      </w:pPr>
      <w:r>
        <w:rPr>
          <w:b/>
          <w:color w:val="231F20"/>
        </w:rPr>
        <w:t xml:space="preserve">Heritage buildings </w:t>
      </w:r>
      <w:r>
        <w:rPr>
          <w:color w:val="231F20"/>
        </w:rPr>
        <w:t>are valued using the current replacement cost method. This cost generally represents</w:t>
      </w:r>
      <w:r>
        <w:rPr>
          <w:color w:val="231F20"/>
          <w:spacing w:val="-10"/>
        </w:rPr>
        <w:t xml:space="preserve"> </w:t>
      </w:r>
      <w:r>
        <w:rPr>
          <w:color w:val="231F20"/>
        </w:rPr>
        <w:t>the</w:t>
      </w:r>
      <w:r>
        <w:rPr>
          <w:color w:val="231F20"/>
          <w:spacing w:val="-11"/>
        </w:rPr>
        <w:t xml:space="preserve"> </w:t>
      </w:r>
      <w:r>
        <w:rPr>
          <w:color w:val="231F20"/>
        </w:rPr>
        <w:t>replacement</w:t>
      </w:r>
      <w:r>
        <w:rPr>
          <w:color w:val="231F20"/>
          <w:spacing w:val="-10"/>
        </w:rPr>
        <w:t xml:space="preserve"> </w:t>
      </w:r>
      <w:r>
        <w:rPr>
          <w:color w:val="231F20"/>
        </w:rPr>
        <w:t>cost</w:t>
      </w:r>
      <w:r>
        <w:rPr>
          <w:color w:val="231F20"/>
          <w:spacing w:val="-10"/>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building/component</w:t>
      </w:r>
      <w:r>
        <w:rPr>
          <w:color w:val="231F20"/>
          <w:spacing w:val="-10"/>
        </w:rPr>
        <w:t xml:space="preserve"> </w:t>
      </w:r>
      <w:r>
        <w:rPr>
          <w:color w:val="231F20"/>
        </w:rPr>
        <w:t>after</w:t>
      </w:r>
      <w:r>
        <w:rPr>
          <w:color w:val="231F20"/>
          <w:spacing w:val="-10"/>
        </w:rPr>
        <w:t xml:space="preserve"> </w:t>
      </w:r>
      <w:r>
        <w:rPr>
          <w:color w:val="231F20"/>
        </w:rPr>
        <w:t>applying</w:t>
      </w:r>
      <w:r>
        <w:rPr>
          <w:color w:val="231F20"/>
          <w:spacing w:val="-11"/>
        </w:rPr>
        <w:t xml:space="preserve"> </w:t>
      </w:r>
      <w:r>
        <w:rPr>
          <w:color w:val="231F20"/>
        </w:rPr>
        <w:t>depreciation</w:t>
      </w:r>
      <w:r>
        <w:rPr>
          <w:color w:val="231F20"/>
          <w:spacing w:val="-11"/>
        </w:rPr>
        <w:t xml:space="preserve"> </w:t>
      </w:r>
      <w:r>
        <w:rPr>
          <w:color w:val="231F20"/>
        </w:rPr>
        <w:t>rates</w:t>
      </w:r>
      <w:r>
        <w:rPr>
          <w:color w:val="231F20"/>
          <w:spacing w:val="-10"/>
        </w:rPr>
        <w:t xml:space="preserve"> </w:t>
      </w:r>
      <w:r>
        <w:rPr>
          <w:color w:val="231F20"/>
        </w:rPr>
        <w:t>on</w:t>
      </w:r>
      <w:r>
        <w:rPr>
          <w:color w:val="231F20"/>
          <w:spacing w:val="-11"/>
        </w:rPr>
        <w:t xml:space="preserve"> </w:t>
      </w:r>
      <w:r>
        <w:rPr>
          <w:color w:val="231F20"/>
        </w:rPr>
        <w:t>a useful</w:t>
      </w:r>
      <w:r>
        <w:rPr>
          <w:color w:val="231F20"/>
          <w:spacing w:val="-9"/>
        </w:rPr>
        <w:t xml:space="preserve"> </w:t>
      </w:r>
      <w:r>
        <w:rPr>
          <w:color w:val="231F20"/>
        </w:rPr>
        <w:t>life</w:t>
      </w:r>
      <w:r>
        <w:rPr>
          <w:color w:val="231F20"/>
          <w:spacing w:val="-9"/>
        </w:rPr>
        <w:t xml:space="preserve"> </w:t>
      </w:r>
      <w:r>
        <w:rPr>
          <w:color w:val="231F20"/>
        </w:rPr>
        <w:t>basis.</w:t>
      </w:r>
      <w:r>
        <w:rPr>
          <w:color w:val="231F20"/>
          <w:spacing w:val="-8"/>
        </w:rPr>
        <w:t xml:space="preserve"> </w:t>
      </w:r>
      <w:r>
        <w:rPr>
          <w:color w:val="231F20"/>
        </w:rPr>
        <w:t>However,</w:t>
      </w:r>
      <w:r>
        <w:rPr>
          <w:color w:val="231F20"/>
          <w:spacing w:val="-8"/>
        </w:rPr>
        <w:t xml:space="preserve"> </w:t>
      </w:r>
      <w:r>
        <w:rPr>
          <w:color w:val="231F20"/>
        </w:rPr>
        <w:t>for</w:t>
      </w:r>
      <w:r>
        <w:rPr>
          <w:color w:val="231F20"/>
          <w:spacing w:val="-8"/>
        </w:rPr>
        <w:t xml:space="preserve"> </w:t>
      </w:r>
      <w:r>
        <w:rPr>
          <w:color w:val="231F20"/>
        </w:rPr>
        <w:t>some</w:t>
      </w:r>
      <w:r>
        <w:rPr>
          <w:color w:val="231F20"/>
          <w:spacing w:val="-9"/>
        </w:rPr>
        <w:t xml:space="preserve"> </w:t>
      </w:r>
      <w:r>
        <w:rPr>
          <w:color w:val="231F20"/>
        </w:rPr>
        <w:t>heritage</w:t>
      </w:r>
      <w:r>
        <w:rPr>
          <w:color w:val="231F20"/>
          <w:spacing w:val="-9"/>
        </w:rPr>
        <w:t xml:space="preserve"> </w:t>
      </w:r>
      <w:r>
        <w:rPr>
          <w:color w:val="231F20"/>
        </w:rPr>
        <w:t>and</w:t>
      </w:r>
      <w:r>
        <w:rPr>
          <w:color w:val="231F20"/>
          <w:spacing w:val="-9"/>
        </w:rPr>
        <w:t xml:space="preserve"> </w:t>
      </w:r>
      <w:r>
        <w:rPr>
          <w:color w:val="231F20"/>
        </w:rPr>
        <w:t>iconic</w:t>
      </w:r>
      <w:r>
        <w:rPr>
          <w:color w:val="231F20"/>
          <w:spacing w:val="-8"/>
        </w:rPr>
        <w:t xml:space="preserve"> </w:t>
      </w:r>
      <w:r>
        <w:rPr>
          <w:color w:val="231F20"/>
        </w:rPr>
        <w:t>assets,</w:t>
      </w:r>
      <w:r>
        <w:rPr>
          <w:color w:val="231F20"/>
          <w:spacing w:val="-8"/>
        </w:rPr>
        <w:t xml:space="preserve"> </w:t>
      </w:r>
      <w:r>
        <w:rPr>
          <w:color w:val="231F20"/>
        </w:rPr>
        <w:t>the</w:t>
      </w:r>
      <w:r>
        <w:rPr>
          <w:color w:val="231F20"/>
          <w:spacing w:val="-9"/>
        </w:rPr>
        <w:t xml:space="preserve"> </w:t>
      </w:r>
      <w:r>
        <w:rPr>
          <w:color w:val="231F20"/>
        </w:rPr>
        <w:t>cost</w:t>
      </w:r>
      <w:r>
        <w:rPr>
          <w:color w:val="231F20"/>
          <w:spacing w:val="-8"/>
        </w:rPr>
        <w:t xml:space="preserve"> </w:t>
      </w:r>
      <w:r>
        <w:rPr>
          <w:color w:val="231F20"/>
        </w:rPr>
        <w:t>may</w:t>
      </w:r>
      <w:r>
        <w:rPr>
          <w:color w:val="231F20"/>
          <w:spacing w:val="-8"/>
        </w:rPr>
        <w:t xml:space="preserve"> </w:t>
      </w:r>
      <w:r>
        <w:rPr>
          <w:color w:val="231F20"/>
        </w:rPr>
        <w:t>be</w:t>
      </w:r>
      <w:r>
        <w:rPr>
          <w:color w:val="231F20"/>
          <w:spacing w:val="-9"/>
        </w:rPr>
        <w:t xml:space="preserve"> </w:t>
      </w:r>
      <w:r>
        <w:rPr>
          <w:color w:val="231F20"/>
        </w:rPr>
        <w:t>the</w:t>
      </w:r>
      <w:r>
        <w:rPr>
          <w:color w:val="231F20"/>
          <w:spacing w:val="-9"/>
        </w:rPr>
        <w:t xml:space="preserve"> </w:t>
      </w:r>
      <w:r>
        <w:rPr>
          <w:color w:val="231F20"/>
        </w:rPr>
        <w:t>reproduction cost</w:t>
      </w:r>
      <w:r>
        <w:rPr>
          <w:color w:val="231F20"/>
          <w:spacing w:val="-4"/>
        </w:rPr>
        <w:t xml:space="preserve"> </w:t>
      </w:r>
      <w:r>
        <w:rPr>
          <w:color w:val="231F20"/>
        </w:rPr>
        <w:t>rather</w:t>
      </w:r>
      <w:r>
        <w:rPr>
          <w:color w:val="231F20"/>
          <w:spacing w:val="-4"/>
        </w:rPr>
        <w:t xml:space="preserve"> </w:t>
      </w:r>
      <w:r>
        <w:rPr>
          <w:color w:val="231F20"/>
        </w:rPr>
        <w:t>than</w:t>
      </w:r>
      <w:r>
        <w:rPr>
          <w:color w:val="231F20"/>
          <w:spacing w:val="-5"/>
        </w:rPr>
        <w:t xml:space="preserve"> </w:t>
      </w:r>
      <w:r>
        <w:rPr>
          <w:color w:val="231F20"/>
        </w:rPr>
        <w:t>the</w:t>
      </w:r>
      <w:r>
        <w:rPr>
          <w:color w:val="231F20"/>
          <w:spacing w:val="-5"/>
        </w:rPr>
        <w:t xml:space="preserve"> </w:t>
      </w:r>
      <w:r>
        <w:rPr>
          <w:color w:val="231F20"/>
        </w:rPr>
        <w:t>replacement</w:t>
      </w:r>
      <w:r>
        <w:rPr>
          <w:color w:val="231F20"/>
          <w:spacing w:val="-4"/>
        </w:rPr>
        <w:t xml:space="preserve"> </w:t>
      </w:r>
      <w:r>
        <w:rPr>
          <w:color w:val="231F20"/>
        </w:rPr>
        <w:t>cost</w:t>
      </w:r>
      <w:r>
        <w:rPr>
          <w:color w:val="231F20"/>
          <w:spacing w:val="-4"/>
        </w:rPr>
        <w:t xml:space="preserve"> </w:t>
      </w:r>
      <w:r>
        <w:rPr>
          <w:color w:val="231F20"/>
        </w:rPr>
        <w:t>if</w:t>
      </w:r>
      <w:r>
        <w:rPr>
          <w:color w:val="231F20"/>
          <w:spacing w:val="-4"/>
        </w:rPr>
        <w:t xml:space="preserve"> </w:t>
      </w:r>
      <w:r>
        <w:rPr>
          <w:color w:val="231F20"/>
        </w:rPr>
        <w:t>those</w:t>
      </w:r>
      <w:r>
        <w:rPr>
          <w:color w:val="231F20"/>
          <w:spacing w:val="-5"/>
        </w:rPr>
        <w:t xml:space="preserve"> </w:t>
      </w:r>
      <w:r>
        <w:rPr>
          <w:color w:val="231F20"/>
        </w:rPr>
        <w:t>assets’</w:t>
      </w:r>
      <w:r>
        <w:rPr>
          <w:color w:val="231F20"/>
          <w:spacing w:val="-5"/>
        </w:rPr>
        <w:t xml:space="preserve"> </w:t>
      </w:r>
      <w:r>
        <w:rPr>
          <w:color w:val="231F20"/>
        </w:rPr>
        <w:t>service</w:t>
      </w:r>
      <w:r>
        <w:rPr>
          <w:color w:val="231F20"/>
          <w:spacing w:val="-5"/>
        </w:rPr>
        <w:t xml:space="preserve"> </w:t>
      </w:r>
      <w:r>
        <w:rPr>
          <w:color w:val="231F20"/>
        </w:rPr>
        <w:t>potential</w:t>
      </w:r>
      <w:r>
        <w:rPr>
          <w:color w:val="231F20"/>
          <w:spacing w:val="-5"/>
        </w:rPr>
        <w:t xml:space="preserve"> </w:t>
      </w:r>
      <w:r>
        <w:rPr>
          <w:color w:val="231F20"/>
        </w:rPr>
        <w:t>could</w:t>
      </w:r>
      <w:r>
        <w:rPr>
          <w:color w:val="231F20"/>
          <w:spacing w:val="-5"/>
        </w:rPr>
        <w:t xml:space="preserve"> </w:t>
      </w:r>
      <w:r>
        <w:rPr>
          <w:color w:val="231F20"/>
        </w:rPr>
        <w:t>only</w:t>
      </w:r>
      <w:r>
        <w:rPr>
          <w:color w:val="231F20"/>
          <w:spacing w:val="-4"/>
        </w:rPr>
        <w:t xml:space="preserve"> </w:t>
      </w:r>
      <w:r>
        <w:rPr>
          <w:color w:val="231F20"/>
        </w:rPr>
        <w:t>be</w:t>
      </w:r>
      <w:r>
        <w:rPr>
          <w:color w:val="231F20"/>
          <w:spacing w:val="-5"/>
        </w:rPr>
        <w:t xml:space="preserve"> </w:t>
      </w:r>
      <w:r>
        <w:rPr>
          <w:color w:val="231F20"/>
        </w:rPr>
        <w:t>replaced</w:t>
      </w:r>
      <w:r>
        <w:rPr>
          <w:color w:val="231F20"/>
          <w:spacing w:val="-5"/>
        </w:rPr>
        <w:t xml:space="preserve"> </w:t>
      </w:r>
      <w:r>
        <w:rPr>
          <w:color w:val="231F20"/>
        </w:rPr>
        <w:t>by reproducing them with the same materials.</w:t>
      </w:r>
    </w:p>
    <w:p w14:paraId="53CD71BA" w14:textId="77777777" w:rsidR="00345EE3" w:rsidRDefault="00345EE3" w:rsidP="00345EE3">
      <w:pPr>
        <w:rPr>
          <w:b/>
          <w:color w:val="231F20"/>
          <w:sz w:val="24"/>
          <w:szCs w:val="24"/>
        </w:rPr>
      </w:pPr>
      <w:r>
        <w:rPr>
          <w:b/>
          <w:color w:val="231F20"/>
        </w:rPr>
        <w:br w:type="page"/>
      </w:r>
    </w:p>
    <w:p w14:paraId="0B90D5FF" w14:textId="77777777" w:rsidR="00345EE3" w:rsidRDefault="00345EE3" w:rsidP="00345EE3">
      <w:pPr>
        <w:pStyle w:val="BodyText"/>
        <w:spacing w:before="120" w:line="242" w:lineRule="auto"/>
      </w:pPr>
      <w:r>
        <w:rPr>
          <w:b/>
          <w:color w:val="231F20"/>
        </w:rPr>
        <w:t xml:space="preserve">Vehicles </w:t>
      </w:r>
      <w:r>
        <w:rPr>
          <w:color w:val="231F20"/>
        </w:rPr>
        <w:t>are valued using the current replacement cost method. Victoria Police acquires new vehicles and at times disposes of them before the end of their economic life. The process of acquisition,</w:t>
      </w:r>
      <w:r>
        <w:rPr>
          <w:color w:val="231F20"/>
          <w:spacing w:val="-10"/>
        </w:rPr>
        <w:t xml:space="preserve"> </w:t>
      </w:r>
      <w:r>
        <w:rPr>
          <w:color w:val="231F20"/>
        </w:rPr>
        <w:t>use</w:t>
      </w:r>
      <w:r>
        <w:rPr>
          <w:color w:val="231F20"/>
          <w:spacing w:val="-10"/>
        </w:rPr>
        <w:t xml:space="preserve"> </w:t>
      </w:r>
      <w:r>
        <w:rPr>
          <w:color w:val="231F20"/>
        </w:rPr>
        <w:t>and</w:t>
      </w:r>
      <w:r>
        <w:rPr>
          <w:color w:val="231F20"/>
          <w:spacing w:val="-10"/>
        </w:rPr>
        <w:t xml:space="preserve"> </w:t>
      </w:r>
      <w:r>
        <w:rPr>
          <w:color w:val="231F20"/>
        </w:rPr>
        <w:t>disposal</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market</w:t>
      </w:r>
      <w:r>
        <w:rPr>
          <w:color w:val="231F20"/>
          <w:spacing w:val="-10"/>
        </w:rPr>
        <w:t xml:space="preserve"> </w:t>
      </w:r>
      <w:r>
        <w:rPr>
          <w:color w:val="231F20"/>
        </w:rPr>
        <w:t>is</w:t>
      </w:r>
      <w:r>
        <w:rPr>
          <w:color w:val="231F20"/>
          <w:spacing w:val="-10"/>
        </w:rPr>
        <w:t xml:space="preserve"> </w:t>
      </w:r>
      <w:r>
        <w:rPr>
          <w:color w:val="231F20"/>
        </w:rPr>
        <w:t>managed</w:t>
      </w:r>
      <w:r>
        <w:rPr>
          <w:color w:val="231F20"/>
          <w:spacing w:val="-10"/>
        </w:rPr>
        <w:t xml:space="preserve"> </w:t>
      </w:r>
      <w:r>
        <w:rPr>
          <w:color w:val="231F20"/>
        </w:rPr>
        <w:t>by</w:t>
      </w:r>
      <w:r>
        <w:rPr>
          <w:color w:val="231F20"/>
          <w:spacing w:val="-10"/>
        </w:rPr>
        <w:t xml:space="preserve"> </w:t>
      </w:r>
      <w:r>
        <w:rPr>
          <w:color w:val="231F20"/>
        </w:rPr>
        <w:t>experienced</w:t>
      </w:r>
      <w:r>
        <w:rPr>
          <w:color w:val="231F20"/>
          <w:spacing w:val="-10"/>
        </w:rPr>
        <w:t xml:space="preserve"> </w:t>
      </w:r>
      <w:r>
        <w:rPr>
          <w:color w:val="231F20"/>
        </w:rPr>
        <w:t>fleet</w:t>
      </w:r>
      <w:r>
        <w:rPr>
          <w:color w:val="231F20"/>
          <w:spacing w:val="-10"/>
        </w:rPr>
        <w:t xml:space="preserve"> </w:t>
      </w:r>
      <w:r>
        <w:rPr>
          <w:color w:val="231F20"/>
        </w:rPr>
        <w:t>managers</w:t>
      </w:r>
      <w:r>
        <w:rPr>
          <w:color w:val="231F20"/>
          <w:spacing w:val="-10"/>
        </w:rPr>
        <w:t xml:space="preserve"> </w:t>
      </w:r>
      <w:r>
        <w:rPr>
          <w:color w:val="231F20"/>
        </w:rPr>
        <w:t>in</w:t>
      </w:r>
      <w:r>
        <w:rPr>
          <w:color w:val="231F20"/>
          <w:spacing w:val="-10"/>
        </w:rPr>
        <w:t xml:space="preserve"> </w:t>
      </w:r>
      <w:r>
        <w:rPr>
          <w:color w:val="231F20"/>
        </w:rPr>
        <w:t>Victoria Police who set relevant depreciation rates during use to reflect the utilisation of the vehicles.</w:t>
      </w:r>
    </w:p>
    <w:p w14:paraId="4E6E60EB" w14:textId="77777777" w:rsidR="00345EE3" w:rsidRDefault="00345EE3" w:rsidP="00345EE3">
      <w:pPr>
        <w:pStyle w:val="BodyText"/>
        <w:spacing w:before="118" w:line="242" w:lineRule="auto"/>
      </w:pPr>
      <w:r>
        <w:rPr>
          <w:color w:val="231F20"/>
        </w:rPr>
        <w:t>Fair</w:t>
      </w:r>
      <w:r>
        <w:rPr>
          <w:color w:val="231F20"/>
          <w:spacing w:val="-7"/>
        </w:rPr>
        <w:t xml:space="preserve"> </w:t>
      </w:r>
      <w:r>
        <w:rPr>
          <w:color w:val="231F20"/>
        </w:rPr>
        <w:t>value</w:t>
      </w:r>
      <w:r>
        <w:rPr>
          <w:color w:val="231F20"/>
          <w:spacing w:val="-7"/>
        </w:rPr>
        <w:t xml:space="preserve"> </w:t>
      </w:r>
      <w:r>
        <w:rPr>
          <w:color w:val="231F20"/>
        </w:rPr>
        <w:t>for</w:t>
      </w:r>
      <w:r>
        <w:rPr>
          <w:color w:val="231F20"/>
          <w:spacing w:val="-8"/>
        </w:rPr>
        <w:t xml:space="preserve"> </w:t>
      </w:r>
      <w:r>
        <w:rPr>
          <w:b/>
          <w:color w:val="231F20"/>
        </w:rPr>
        <w:t>plant</w:t>
      </w:r>
      <w:r>
        <w:rPr>
          <w:b/>
          <w:color w:val="231F20"/>
          <w:spacing w:val="-7"/>
        </w:rPr>
        <w:t xml:space="preserve"> </w:t>
      </w:r>
      <w:r>
        <w:rPr>
          <w:b/>
          <w:color w:val="231F20"/>
        </w:rPr>
        <w:t>and</w:t>
      </w:r>
      <w:r>
        <w:rPr>
          <w:b/>
          <w:color w:val="231F20"/>
          <w:spacing w:val="-7"/>
        </w:rPr>
        <w:t xml:space="preserve"> </w:t>
      </w:r>
      <w:r>
        <w:rPr>
          <w:b/>
          <w:color w:val="231F20"/>
        </w:rPr>
        <w:t>equipment</w:t>
      </w:r>
      <w:r>
        <w:rPr>
          <w:b/>
          <w:color w:val="231F20"/>
          <w:spacing w:val="-7"/>
        </w:rPr>
        <w:t xml:space="preserve"> </w:t>
      </w:r>
      <w:r>
        <w:rPr>
          <w:color w:val="231F20"/>
        </w:rPr>
        <w:t>that</w:t>
      </w:r>
      <w:r>
        <w:rPr>
          <w:color w:val="231F20"/>
          <w:spacing w:val="-7"/>
        </w:rPr>
        <w:t xml:space="preserve"> </w:t>
      </w:r>
      <w:r>
        <w:rPr>
          <w:color w:val="231F20"/>
        </w:rPr>
        <w:t>are</w:t>
      </w:r>
      <w:r>
        <w:rPr>
          <w:color w:val="231F20"/>
          <w:spacing w:val="-8"/>
        </w:rPr>
        <w:t xml:space="preserve"> </w:t>
      </w:r>
      <w:r>
        <w:rPr>
          <w:color w:val="231F20"/>
        </w:rPr>
        <w:t>specialised</w:t>
      </w:r>
      <w:r>
        <w:rPr>
          <w:color w:val="231F20"/>
          <w:spacing w:val="-8"/>
        </w:rPr>
        <w:t xml:space="preserve"> </w:t>
      </w:r>
      <w:r>
        <w:rPr>
          <w:color w:val="231F20"/>
        </w:rPr>
        <w:t>in</w:t>
      </w:r>
      <w:r>
        <w:rPr>
          <w:color w:val="231F20"/>
          <w:spacing w:val="-8"/>
        </w:rPr>
        <w:t xml:space="preserve"> </w:t>
      </w:r>
      <w:r>
        <w:rPr>
          <w:color w:val="231F20"/>
        </w:rPr>
        <w:t>use</w:t>
      </w:r>
      <w:r>
        <w:rPr>
          <w:color w:val="231F20"/>
          <w:spacing w:val="-8"/>
        </w:rPr>
        <w:t xml:space="preserve"> </w:t>
      </w:r>
      <w:r>
        <w:rPr>
          <w:color w:val="231F20"/>
        </w:rPr>
        <w:t>is</w:t>
      </w:r>
      <w:r>
        <w:rPr>
          <w:color w:val="231F20"/>
          <w:spacing w:val="-7"/>
        </w:rPr>
        <w:t xml:space="preserve"> </w:t>
      </w:r>
      <w:r>
        <w:rPr>
          <w:color w:val="231F20"/>
        </w:rPr>
        <w:t>determined</w:t>
      </w:r>
      <w:r>
        <w:rPr>
          <w:color w:val="231F20"/>
          <w:spacing w:val="-8"/>
        </w:rPr>
        <w:t xml:space="preserve"> </w:t>
      </w:r>
      <w:r>
        <w:rPr>
          <w:color w:val="231F20"/>
        </w:rPr>
        <w:t>using</w:t>
      </w:r>
      <w:r>
        <w:rPr>
          <w:color w:val="231F20"/>
          <w:spacing w:val="-8"/>
        </w:rPr>
        <w:t xml:space="preserve"> </w:t>
      </w:r>
      <w:r>
        <w:rPr>
          <w:color w:val="231F20"/>
        </w:rPr>
        <w:t>the</w:t>
      </w:r>
      <w:r>
        <w:rPr>
          <w:color w:val="231F20"/>
          <w:spacing w:val="-8"/>
        </w:rPr>
        <w:t xml:space="preserve"> </w:t>
      </w:r>
      <w:r>
        <w:rPr>
          <w:color w:val="231F20"/>
        </w:rPr>
        <w:t>current replacement cost method.</w:t>
      </w:r>
    </w:p>
    <w:p w14:paraId="7B88E392" w14:textId="77777777" w:rsidR="00345EE3" w:rsidRDefault="00345EE3" w:rsidP="00345EE3">
      <w:pPr>
        <w:pStyle w:val="BodyText"/>
        <w:spacing w:before="116" w:line="242" w:lineRule="auto"/>
        <w:ind w:right="314"/>
      </w:pPr>
      <w:r>
        <w:rPr>
          <w:color w:val="231F20"/>
        </w:rPr>
        <w:t>Refer</w:t>
      </w:r>
      <w:r>
        <w:rPr>
          <w:color w:val="231F20"/>
          <w:spacing w:val="-12"/>
        </w:rPr>
        <w:t xml:space="preserve"> </w:t>
      </w:r>
      <w:r>
        <w:rPr>
          <w:color w:val="231F20"/>
        </w:rPr>
        <w:t>to</w:t>
      </w:r>
      <w:r>
        <w:rPr>
          <w:color w:val="231F20"/>
          <w:spacing w:val="-13"/>
        </w:rPr>
        <w:t xml:space="preserve"> </w:t>
      </w:r>
      <w:r>
        <w:rPr>
          <w:color w:val="231F20"/>
        </w:rPr>
        <w:t>Note</w:t>
      </w:r>
      <w:r>
        <w:rPr>
          <w:color w:val="231F20"/>
          <w:spacing w:val="-13"/>
        </w:rPr>
        <w:t xml:space="preserve"> </w:t>
      </w:r>
      <w:r>
        <w:rPr>
          <w:color w:val="231F20"/>
        </w:rPr>
        <w:t>8.3</w:t>
      </w:r>
      <w:r>
        <w:rPr>
          <w:color w:val="231F20"/>
          <w:spacing w:val="-12"/>
        </w:rPr>
        <w:t xml:space="preserve"> </w:t>
      </w:r>
      <w:r>
        <w:rPr>
          <w:color w:val="231F20"/>
        </w:rPr>
        <w:t>Fair</w:t>
      </w:r>
      <w:r>
        <w:rPr>
          <w:color w:val="231F20"/>
          <w:spacing w:val="-12"/>
        </w:rPr>
        <w:t xml:space="preserve"> </w:t>
      </w:r>
      <w:r>
        <w:rPr>
          <w:color w:val="231F20"/>
        </w:rPr>
        <w:t>Value</w:t>
      </w:r>
      <w:r>
        <w:rPr>
          <w:color w:val="231F20"/>
          <w:spacing w:val="-13"/>
        </w:rPr>
        <w:t xml:space="preserve"> </w:t>
      </w:r>
      <w:r>
        <w:rPr>
          <w:color w:val="231F20"/>
        </w:rPr>
        <w:t>Determination</w:t>
      </w:r>
      <w:r>
        <w:rPr>
          <w:color w:val="231F20"/>
          <w:spacing w:val="-13"/>
        </w:rPr>
        <w:t xml:space="preserve"> </w:t>
      </w:r>
      <w:r>
        <w:rPr>
          <w:color w:val="231F20"/>
        </w:rPr>
        <w:t>for</w:t>
      </w:r>
      <w:r>
        <w:rPr>
          <w:color w:val="231F20"/>
          <w:spacing w:val="-12"/>
        </w:rPr>
        <w:t xml:space="preserve"> </w:t>
      </w:r>
      <w:r>
        <w:rPr>
          <w:color w:val="231F20"/>
        </w:rPr>
        <w:t>additional</w:t>
      </w:r>
      <w:r>
        <w:rPr>
          <w:color w:val="231F20"/>
          <w:spacing w:val="-13"/>
        </w:rPr>
        <w:t xml:space="preserve"> </w:t>
      </w:r>
      <w:r>
        <w:rPr>
          <w:color w:val="231F20"/>
        </w:rPr>
        <w:t>information</w:t>
      </w:r>
      <w:r>
        <w:rPr>
          <w:color w:val="231F20"/>
          <w:spacing w:val="-13"/>
        </w:rPr>
        <w:t xml:space="preserve"> </w:t>
      </w:r>
      <w:r>
        <w:rPr>
          <w:color w:val="231F20"/>
        </w:rPr>
        <w:t>on</w:t>
      </w:r>
      <w:r>
        <w:rPr>
          <w:color w:val="231F20"/>
          <w:spacing w:val="-13"/>
        </w:rPr>
        <w:t xml:space="preserve"> </w:t>
      </w:r>
      <w:r>
        <w:rPr>
          <w:color w:val="231F20"/>
        </w:rPr>
        <w:t>fair</w:t>
      </w:r>
      <w:r>
        <w:rPr>
          <w:color w:val="231F20"/>
          <w:spacing w:val="-12"/>
        </w:rPr>
        <w:t xml:space="preserve"> </w:t>
      </w:r>
      <w:r>
        <w:rPr>
          <w:color w:val="231F20"/>
        </w:rPr>
        <w:t>value</w:t>
      </w:r>
      <w:r>
        <w:rPr>
          <w:color w:val="231F20"/>
          <w:spacing w:val="-13"/>
        </w:rPr>
        <w:t xml:space="preserve"> </w:t>
      </w:r>
      <w:r>
        <w:rPr>
          <w:color w:val="231F20"/>
        </w:rPr>
        <w:t>determination of property, plant and equipment.</w:t>
      </w:r>
    </w:p>
    <w:p w14:paraId="4D8F4DD3" w14:textId="77777777" w:rsidR="00345EE3" w:rsidRDefault="00345EE3" w:rsidP="00345EE3">
      <w:pPr>
        <w:pStyle w:val="Heading5"/>
        <w:spacing w:before="230"/>
      </w:pPr>
      <w:r>
        <w:rPr>
          <w:color w:val="231F20"/>
        </w:rPr>
        <w:t>Impairment</w:t>
      </w:r>
      <w:r>
        <w:rPr>
          <w:color w:val="231F20"/>
          <w:spacing w:val="-4"/>
        </w:rPr>
        <w:t xml:space="preserve"> </w:t>
      </w:r>
      <w:r>
        <w:rPr>
          <w:color w:val="231F20"/>
        </w:rPr>
        <w:t>of</w:t>
      </w:r>
      <w:r>
        <w:rPr>
          <w:color w:val="231F20"/>
          <w:spacing w:val="-3"/>
        </w:rPr>
        <w:t xml:space="preserve"> </w:t>
      </w:r>
      <w:r>
        <w:rPr>
          <w:color w:val="231F20"/>
        </w:rPr>
        <w:t>Property,</w:t>
      </w:r>
      <w:r>
        <w:rPr>
          <w:color w:val="231F20"/>
          <w:spacing w:val="-3"/>
        </w:rPr>
        <w:t xml:space="preserve"> </w:t>
      </w:r>
      <w:r>
        <w:rPr>
          <w:color w:val="231F20"/>
        </w:rPr>
        <w:t>Plant</w:t>
      </w:r>
      <w:r>
        <w:rPr>
          <w:color w:val="231F20"/>
          <w:spacing w:val="-3"/>
        </w:rPr>
        <w:t xml:space="preserve"> </w:t>
      </w:r>
      <w:r>
        <w:rPr>
          <w:color w:val="231F20"/>
        </w:rPr>
        <w:t>and</w:t>
      </w:r>
      <w:r>
        <w:rPr>
          <w:color w:val="231F20"/>
          <w:spacing w:val="-3"/>
        </w:rPr>
        <w:t xml:space="preserve"> </w:t>
      </w:r>
      <w:r>
        <w:rPr>
          <w:color w:val="231F20"/>
          <w:spacing w:val="-2"/>
        </w:rPr>
        <w:t>Equipment</w:t>
      </w:r>
    </w:p>
    <w:p w14:paraId="0DA9862D" w14:textId="77777777" w:rsidR="00345EE3" w:rsidRDefault="00345EE3" w:rsidP="00345EE3">
      <w:pPr>
        <w:pStyle w:val="BodyText"/>
        <w:spacing w:before="60" w:line="242" w:lineRule="auto"/>
        <w:ind w:right="549"/>
        <w:rPr>
          <w:i/>
        </w:rPr>
      </w:pPr>
      <w:r>
        <w:rPr>
          <w:color w:val="231F20"/>
        </w:rPr>
        <w:t>The recoverable amount of primarily non-cash-generating assets of not-for-profit entities, which</w:t>
      </w:r>
      <w:r>
        <w:rPr>
          <w:color w:val="231F20"/>
          <w:spacing w:val="-8"/>
        </w:rPr>
        <w:t xml:space="preserve"> </w:t>
      </w:r>
      <w:r>
        <w:rPr>
          <w:color w:val="231F20"/>
        </w:rPr>
        <w:t>are</w:t>
      </w:r>
      <w:r>
        <w:rPr>
          <w:color w:val="231F20"/>
          <w:spacing w:val="-8"/>
        </w:rPr>
        <w:t xml:space="preserve"> </w:t>
      </w:r>
      <w:r>
        <w:rPr>
          <w:color w:val="231F20"/>
        </w:rPr>
        <w:t>typically</w:t>
      </w:r>
      <w:r>
        <w:rPr>
          <w:color w:val="231F20"/>
          <w:spacing w:val="-7"/>
        </w:rPr>
        <w:t xml:space="preserve"> </w:t>
      </w:r>
      <w:r>
        <w:rPr>
          <w:color w:val="231F20"/>
        </w:rPr>
        <w:t>specialised</w:t>
      </w:r>
      <w:r>
        <w:rPr>
          <w:color w:val="231F20"/>
          <w:spacing w:val="-8"/>
        </w:rPr>
        <w:t xml:space="preserve"> </w:t>
      </w:r>
      <w:r>
        <w:rPr>
          <w:color w:val="231F20"/>
        </w:rPr>
        <w:t>in</w:t>
      </w:r>
      <w:r>
        <w:rPr>
          <w:color w:val="231F20"/>
          <w:spacing w:val="-8"/>
        </w:rPr>
        <w:t xml:space="preserve"> </w:t>
      </w:r>
      <w:r>
        <w:rPr>
          <w:color w:val="231F20"/>
        </w:rPr>
        <w:t>nature</w:t>
      </w:r>
      <w:r>
        <w:rPr>
          <w:color w:val="231F20"/>
          <w:spacing w:val="-8"/>
        </w:rPr>
        <w:t xml:space="preserve"> </w:t>
      </w:r>
      <w:r>
        <w:rPr>
          <w:color w:val="231F20"/>
        </w:rPr>
        <w:t>and</w:t>
      </w:r>
      <w:r>
        <w:rPr>
          <w:color w:val="231F20"/>
          <w:spacing w:val="-8"/>
        </w:rPr>
        <w:t xml:space="preserve"> </w:t>
      </w:r>
      <w:r>
        <w:rPr>
          <w:color w:val="231F20"/>
        </w:rPr>
        <w:t>held</w:t>
      </w:r>
      <w:r>
        <w:rPr>
          <w:color w:val="231F20"/>
          <w:spacing w:val="-8"/>
        </w:rPr>
        <w:t xml:space="preserve"> </w:t>
      </w:r>
      <w:r>
        <w:rPr>
          <w:color w:val="231F20"/>
        </w:rPr>
        <w:t>for</w:t>
      </w:r>
      <w:r>
        <w:rPr>
          <w:color w:val="231F20"/>
          <w:spacing w:val="-7"/>
        </w:rPr>
        <w:t xml:space="preserve"> </w:t>
      </w:r>
      <w:r>
        <w:rPr>
          <w:color w:val="231F20"/>
        </w:rPr>
        <w:t>continuing</w:t>
      </w:r>
      <w:r>
        <w:rPr>
          <w:color w:val="231F20"/>
          <w:spacing w:val="-8"/>
        </w:rPr>
        <w:t xml:space="preserve"> </w:t>
      </w:r>
      <w:r>
        <w:rPr>
          <w:color w:val="231F20"/>
        </w:rPr>
        <w:t>use</w:t>
      </w:r>
      <w:r>
        <w:rPr>
          <w:color w:val="231F20"/>
          <w:spacing w:val="-8"/>
        </w:rPr>
        <w:t xml:space="preserve"> </w:t>
      </w:r>
      <w:r>
        <w:rPr>
          <w:color w:val="231F20"/>
        </w:rPr>
        <w:t>of</w:t>
      </w:r>
      <w:r>
        <w:rPr>
          <w:color w:val="231F20"/>
          <w:spacing w:val="-7"/>
        </w:rPr>
        <w:t xml:space="preserve"> </w:t>
      </w:r>
      <w:r>
        <w:rPr>
          <w:color w:val="231F20"/>
        </w:rPr>
        <w:t>their</w:t>
      </w:r>
      <w:r>
        <w:rPr>
          <w:color w:val="231F20"/>
          <w:spacing w:val="-7"/>
        </w:rPr>
        <w:t xml:space="preserve"> </w:t>
      </w:r>
      <w:r>
        <w:rPr>
          <w:color w:val="231F20"/>
        </w:rPr>
        <w:t>service</w:t>
      </w:r>
      <w:r>
        <w:rPr>
          <w:color w:val="231F20"/>
          <w:spacing w:val="-8"/>
        </w:rPr>
        <w:t xml:space="preserve"> </w:t>
      </w:r>
      <w:r>
        <w:rPr>
          <w:color w:val="231F20"/>
        </w:rPr>
        <w:t>capacity, is expected</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materially the</w:t>
      </w:r>
      <w:r>
        <w:rPr>
          <w:color w:val="231F20"/>
          <w:spacing w:val="-1"/>
        </w:rPr>
        <w:t xml:space="preserve"> </w:t>
      </w:r>
      <w:r>
        <w:rPr>
          <w:color w:val="231F20"/>
        </w:rPr>
        <w:t>same</w:t>
      </w:r>
      <w:r>
        <w:rPr>
          <w:color w:val="231F20"/>
          <w:spacing w:val="-1"/>
        </w:rPr>
        <w:t xml:space="preserve"> </w:t>
      </w:r>
      <w:r>
        <w:rPr>
          <w:color w:val="231F20"/>
        </w:rPr>
        <w:t>as fair value</w:t>
      </w:r>
      <w:r>
        <w:rPr>
          <w:color w:val="231F20"/>
          <w:spacing w:val="-1"/>
        </w:rPr>
        <w:t xml:space="preserve"> </w:t>
      </w:r>
      <w:r>
        <w:rPr>
          <w:color w:val="231F20"/>
        </w:rPr>
        <w:t>determined</w:t>
      </w:r>
      <w:r>
        <w:rPr>
          <w:color w:val="231F20"/>
          <w:spacing w:val="-1"/>
        </w:rPr>
        <w:t xml:space="preserve"> </w:t>
      </w:r>
      <w:r>
        <w:rPr>
          <w:color w:val="231F20"/>
        </w:rPr>
        <w:t>under AASB 13</w:t>
      </w:r>
      <w:r>
        <w:rPr>
          <w:color w:val="231F20"/>
          <w:spacing w:val="-1"/>
        </w:rPr>
        <w:t xml:space="preserve"> </w:t>
      </w:r>
      <w:r>
        <w:rPr>
          <w:i/>
          <w:color w:val="231F20"/>
        </w:rPr>
        <w:t>Fair</w:t>
      </w:r>
      <w:r>
        <w:rPr>
          <w:i/>
          <w:color w:val="231F20"/>
          <w:spacing w:val="-9"/>
        </w:rPr>
        <w:t xml:space="preserve"> </w:t>
      </w:r>
      <w:r>
        <w:rPr>
          <w:i/>
          <w:color w:val="231F20"/>
        </w:rPr>
        <w:t>Value</w:t>
      </w:r>
    </w:p>
    <w:p w14:paraId="3B8D1CC0" w14:textId="431A39BF" w:rsidR="00345EE3" w:rsidRDefault="00345EE3" w:rsidP="00345EE3">
      <w:pPr>
        <w:spacing w:before="5" w:line="242" w:lineRule="auto"/>
        <w:ind w:left="110"/>
        <w:rPr>
          <w:color w:val="231F20"/>
          <w:sz w:val="24"/>
        </w:rPr>
      </w:pPr>
      <w:r>
        <w:rPr>
          <w:i/>
          <w:color w:val="231F20"/>
          <w:sz w:val="24"/>
        </w:rPr>
        <w:t>Measurement</w:t>
      </w:r>
      <w:r>
        <w:rPr>
          <w:color w:val="231F20"/>
          <w:sz w:val="24"/>
        </w:rPr>
        <w:t>,</w:t>
      </w:r>
      <w:r>
        <w:rPr>
          <w:color w:val="231F20"/>
          <w:spacing w:val="-17"/>
          <w:sz w:val="24"/>
        </w:rPr>
        <w:t xml:space="preserve"> </w:t>
      </w:r>
      <w:r>
        <w:rPr>
          <w:color w:val="231F20"/>
          <w:sz w:val="24"/>
        </w:rPr>
        <w:t>with</w:t>
      </w:r>
      <w:r>
        <w:rPr>
          <w:color w:val="231F20"/>
          <w:spacing w:val="-17"/>
          <w:sz w:val="24"/>
        </w:rPr>
        <w:t xml:space="preserve"> </w:t>
      </w:r>
      <w:r>
        <w:rPr>
          <w:color w:val="231F20"/>
          <w:sz w:val="24"/>
        </w:rPr>
        <w:t>the</w:t>
      </w:r>
      <w:r>
        <w:rPr>
          <w:color w:val="231F20"/>
          <w:spacing w:val="-16"/>
          <w:sz w:val="24"/>
        </w:rPr>
        <w:t xml:space="preserve"> </w:t>
      </w:r>
      <w:r>
        <w:rPr>
          <w:color w:val="231F20"/>
          <w:sz w:val="24"/>
        </w:rPr>
        <w:t>consequence</w:t>
      </w:r>
      <w:r>
        <w:rPr>
          <w:color w:val="231F20"/>
          <w:spacing w:val="-17"/>
          <w:sz w:val="24"/>
        </w:rPr>
        <w:t xml:space="preserve"> </w:t>
      </w:r>
      <w:r>
        <w:rPr>
          <w:color w:val="231F20"/>
          <w:sz w:val="24"/>
        </w:rPr>
        <w:t>that</w:t>
      </w:r>
      <w:r>
        <w:rPr>
          <w:color w:val="231F20"/>
          <w:spacing w:val="-17"/>
          <w:sz w:val="24"/>
        </w:rPr>
        <w:t xml:space="preserve"> </w:t>
      </w:r>
      <w:r>
        <w:rPr>
          <w:color w:val="231F20"/>
          <w:sz w:val="24"/>
        </w:rPr>
        <w:t>AASB</w:t>
      </w:r>
      <w:r>
        <w:rPr>
          <w:color w:val="231F20"/>
          <w:spacing w:val="-17"/>
          <w:sz w:val="24"/>
        </w:rPr>
        <w:t xml:space="preserve"> </w:t>
      </w:r>
      <w:r>
        <w:rPr>
          <w:color w:val="231F20"/>
          <w:sz w:val="24"/>
        </w:rPr>
        <w:t>136</w:t>
      </w:r>
      <w:r>
        <w:rPr>
          <w:color w:val="231F20"/>
          <w:spacing w:val="-16"/>
          <w:sz w:val="24"/>
        </w:rPr>
        <w:t xml:space="preserve"> </w:t>
      </w:r>
      <w:r>
        <w:rPr>
          <w:i/>
          <w:color w:val="231F20"/>
          <w:sz w:val="24"/>
        </w:rPr>
        <w:t>Impairment</w:t>
      </w:r>
      <w:r>
        <w:rPr>
          <w:i/>
          <w:color w:val="231F20"/>
          <w:spacing w:val="-17"/>
          <w:sz w:val="24"/>
        </w:rPr>
        <w:t xml:space="preserve"> </w:t>
      </w:r>
      <w:r>
        <w:rPr>
          <w:i/>
          <w:color w:val="231F20"/>
          <w:sz w:val="24"/>
        </w:rPr>
        <w:t>of</w:t>
      </w:r>
      <w:r>
        <w:rPr>
          <w:i/>
          <w:color w:val="231F20"/>
          <w:spacing w:val="-17"/>
          <w:sz w:val="24"/>
        </w:rPr>
        <w:t xml:space="preserve"> </w:t>
      </w:r>
      <w:r>
        <w:rPr>
          <w:i/>
          <w:color w:val="231F20"/>
          <w:sz w:val="24"/>
        </w:rPr>
        <w:t>Assets</w:t>
      </w:r>
      <w:r>
        <w:rPr>
          <w:i/>
          <w:color w:val="231F20"/>
          <w:spacing w:val="-16"/>
          <w:sz w:val="24"/>
        </w:rPr>
        <w:t xml:space="preserve"> </w:t>
      </w:r>
      <w:r>
        <w:rPr>
          <w:color w:val="231F20"/>
          <w:sz w:val="24"/>
        </w:rPr>
        <w:t>does</w:t>
      </w:r>
      <w:r>
        <w:rPr>
          <w:color w:val="231F20"/>
          <w:spacing w:val="-17"/>
          <w:sz w:val="24"/>
        </w:rPr>
        <w:t xml:space="preserve"> </w:t>
      </w:r>
      <w:r>
        <w:rPr>
          <w:color w:val="231F20"/>
          <w:sz w:val="24"/>
        </w:rPr>
        <w:t>not</w:t>
      </w:r>
      <w:r>
        <w:rPr>
          <w:color w:val="231F20"/>
          <w:spacing w:val="-17"/>
          <w:sz w:val="24"/>
        </w:rPr>
        <w:t xml:space="preserve"> </w:t>
      </w:r>
      <w:r>
        <w:rPr>
          <w:color w:val="231F20"/>
          <w:sz w:val="24"/>
        </w:rPr>
        <w:t>apply</w:t>
      </w:r>
      <w:r>
        <w:rPr>
          <w:color w:val="231F20"/>
          <w:spacing w:val="-16"/>
          <w:sz w:val="24"/>
        </w:rPr>
        <w:t xml:space="preserve"> </w:t>
      </w:r>
      <w:r>
        <w:rPr>
          <w:color w:val="231F20"/>
          <w:sz w:val="24"/>
        </w:rPr>
        <w:t>to</w:t>
      </w:r>
      <w:r>
        <w:rPr>
          <w:color w:val="231F20"/>
          <w:spacing w:val="-17"/>
          <w:sz w:val="24"/>
        </w:rPr>
        <w:t xml:space="preserve"> </w:t>
      </w:r>
      <w:r>
        <w:rPr>
          <w:color w:val="231F20"/>
          <w:sz w:val="24"/>
        </w:rPr>
        <w:t>such assets that are regularly revalued.</w:t>
      </w:r>
    </w:p>
    <w:p w14:paraId="60263AD0" w14:textId="1C8CB50E" w:rsidR="00F109AB" w:rsidRPr="00F109AB" w:rsidRDefault="00F109AB" w:rsidP="00F109AB">
      <w:pPr>
        <w:widowControl/>
        <w:tabs>
          <w:tab w:val="left" w:pos="283"/>
        </w:tabs>
        <w:suppressAutoHyphens/>
        <w:adjustRightInd w:val="0"/>
        <w:spacing w:before="240" w:after="120" w:line="280" w:lineRule="atLeast"/>
        <w:textAlignment w:val="center"/>
        <w:rPr>
          <w:rFonts w:eastAsia="Myriad Pro"/>
          <w:b/>
          <w:bCs/>
          <w:color w:val="000000"/>
          <w:sz w:val="24"/>
          <w:szCs w:val="24"/>
          <w:lang w:val="en-GB"/>
        </w:rPr>
      </w:pPr>
      <w:r w:rsidRPr="00F109AB">
        <w:rPr>
          <w:rFonts w:eastAsia="Myriad Pro"/>
          <w:b/>
          <w:bCs/>
          <w:color w:val="000000"/>
          <w:sz w:val="24"/>
          <w:szCs w:val="24"/>
          <w:lang w:val="en-GB"/>
        </w:rPr>
        <w:t>5.1.1 Depreciation and Amortisation</w:t>
      </w:r>
    </w:p>
    <w:tbl>
      <w:tblPr>
        <w:tblW w:w="0" w:type="auto"/>
        <w:tblInd w:w="-8" w:type="dxa"/>
        <w:tblLayout w:type="fixed"/>
        <w:tblCellMar>
          <w:left w:w="0" w:type="dxa"/>
          <w:right w:w="0" w:type="dxa"/>
        </w:tblCellMar>
        <w:tblLook w:val="0000" w:firstRow="0" w:lastRow="0" w:firstColumn="0" w:lastColumn="0" w:noHBand="0" w:noVBand="0"/>
      </w:tblPr>
      <w:tblGrid>
        <w:gridCol w:w="6803"/>
        <w:gridCol w:w="1134"/>
        <w:gridCol w:w="1134"/>
        <w:gridCol w:w="1134"/>
      </w:tblGrid>
      <w:tr w:rsidR="00F109AB" w:rsidRPr="00F109AB" w14:paraId="1CFA3969" w14:textId="77777777" w:rsidTr="00F109AB">
        <w:trPr>
          <w:trHeight w:val="60"/>
          <w:tblHeader/>
        </w:trPr>
        <w:tc>
          <w:tcPr>
            <w:tcW w:w="10205" w:type="dxa"/>
            <w:gridSpan w:val="4"/>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0E2783DC"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 thousand)</w:t>
            </w:r>
          </w:p>
        </w:tc>
      </w:tr>
      <w:tr w:rsidR="00F109AB" w:rsidRPr="00F109AB" w14:paraId="1132F8AA" w14:textId="77777777" w:rsidTr="00F109AB">
        <w:trPr>
          <w:trHeight w:val="60"/>
          <w:tblHeader/>
        </w:trPr>
        <w:tc>
          <w:tcPr>
            <w:tcW w:w="6803"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679243F"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0705A1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Notes</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13C9F42"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6DB699B0"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2021</w:t>
            </w:r>
          </w:p>
        </w:tc>
      </w:tr>
      <w:tr w:rsidR="00F109AB" w:rsidRPr="00F109AB" w14:paraId="2C9C2275" w14:textId="77777777" w:rsidTr="00F109AB">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B7A51D2"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Land (right-of-use assets)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A1CABE"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FEBB2C4"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644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035D79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590 </w:t>
            </w:r>
          </w:p>
        </w:tc>
      </w:tr>
      <w:tr w:rsidR="00F109AB" w:rsidRPr="00F109AB" w14:paraId="0A61DDAA" w14:textId="77777777" w:rsidTr="00F109AB">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CE2A63D"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Depreciation of buildings (including heritage buildings and right-of-use assets)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10622E"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934777"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141,740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E298862"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129,961 </w:t>
            </w:r>
          </w:p>
        </w:tc>
      </w:tr>
      <w:tr w:rsidR="00F109AB" w:rsidRPr="00F109AB" w14:paraId="09B07765" w14:textId="77777777" w:rsidTr="00F109AB">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7816FDD"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Depreciation of plant and equipment</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AD5876"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278546"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90,195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B30C98A"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83,613 </w:t>
            </w:r>
          </w:p>
        </w:tc>
      </w:tr>
      <w:tr w:rsidR="00F109AB" w:rsidRPr="00F109AB" w14:paraId="14880E79" w14:textId="77777777" w:rsidTr="00F109AB">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51E12360"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Amortisation of intangible assets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4516F0DE"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5.2</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C234A12"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27,635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0DD4AB7"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27,193 </w:t>
            </w:r>
          </w:p>
        </w:tc>
      </w:tr>
      <w:tr w:rsidR="00F109AB" w:rsidRPr="00F109AB" w14:paraId="04F15633" w14:textId="77777777" w:rsidTr="00F109AB">
        <w:trPr>
          <w:trHeight w:val="60"/>
        </w:trPr>
        <w:tc>
          <w:tcPr>
            <w:tcW w:w="6803"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429FF014"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b/>
                <w:bCs/>
                <w:color w:val="000000"/>
                <w:sz w:val="24"/>
                <w:szCs w:val="24"/>
                <w:lang w:val="en-GB"/>
              </w:rPr>
              <w:t>Total Depreciation and Amortisation</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0CCA0AFB" w14:textId="77777777" w:rsidR="00F109AB" w:rsidRPr="00F109AB" w:rsidRDefault="00F109AB" w:rsidP="00F109AB">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E13FF3F"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260,214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2033F958"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241,357 </w:t>
            </w:r>
          </w:p>
        </w:tc>
      </w:tr>
    </w:tbl>
    <w:p w14:paraId="49A5383F" w14:textId="77777777" w:rsidR="00345EE3" w:rsidRDefault="00345EE3" w:rsidP="00345EE3">
      <w:pPr>
        <w:pStyle w:val="BodyText"/>
        <w:spacing w:before="101" w:line="242" w:lineRule="auto"/>
      </w:pPr>
      <w:r>
        <w:rPr>
          <w:color w:val="231F20"/>
        </w:rPr>
        <w:t>All</w:t>
      </w:r>
      <w:r>
        <w:rPr>
          <w:color w:val="231F20"/>
          <w:spacing w:val="-1"/>
        </w:rPr>
        <w:t xml:space="preserve"> </w:t>
      </w:r>
      <w:r>
        <w:rPr>
          <w:color w:val="231F20"/>
        </w:rPr>
        <w:t>buildings (including</w:t>
      </w:r>
      <w:r>
        <w:rPr>
          <w:color w:val="231F20"/>
          <w:spacing w:val="-1"/>
        </w:rPr>
        <w:t xml:space="preserve"> </w:t>
      </w:r>
      <w:r>
        <w:rPr>
          <w:color w:val="231F20"/>
        </w:rPr>
        <w:t>leasehold</w:t>
      </w:r>
      <w:r>
        <w:rPr>
          <w:color w:val="231F20"/>
          <w:spacing w:val="-1"/>
        </w:rPr>
        <w:t xml:space="preserve"> </w:t>
      </w:r>
      <w:r>
        <w:rPr>
          <w:color w:val="231F20"/>
        </w:rPr>
        <w:t>improvements), plant and</w:t>
      </w:r>
      <w:r>
        <w:rPr>
          <w:color w:val="231F20"/>
          <w:spacing w:val="-1"/>
        </w:rPr>
        <w:t xml:space="preserve"> </w:t>
      </w:r>
      <w:r>
        <w:rPr>
          <w:color w:val="231F20"/>
        </w:rPr>
        <w:t>equipment and</w:t>
      </w:r>
      <w:r>
        <w:rPr>
          <w:color w:val="231F20"/>
          <w:spacing w:val="-1"/>
        </w:rPr>
        <w:t xml:space="preserve"> </w:t>
      </w:r>
      <w:r>
        <w:rPr>
          <w:color w:val="231F20"/>
        </w:rPr>
        <w:t>other non-financial physical</w:t>
      </w:r>
      <w:r>
        <w:rPr>
          <w:color w:val="231F20"/>
          <w:spacing w:val="-1"/>
        </w:rPr>
        <w:t xml:space="preserve"> </w:t>
      </w:r>
      <w:r>
        <w:rPr>
          <w:color w:val="231F20"/>
        </w:rPr>
        <w:t>assets that have</w:t>
      </w:r>
      <w:r>
        <w:rPr>
          <w:color w:val="231F20"/>
          <w:spacing w:val="-1"/>
        </w:rPr>
        <w:t xml:space="preserve"> </w:t>
      </w:r>
      <w:r>
        <w:rPr>
          <w:color w:val="231F20"/>
        </w:rPr>
        <w:t>finite</w:t>
      </w:r>
      <w:r>
        <w:rPr>
          <w:color w:val="231F20"/>
          <w:spacing w:val="-1"/>
        </w:rPr>
        <w:t xml:space="preserve"> </w:t>
      </w:r>
      <w:r>
        <w:rPr>
          <w:color w:val="231F20"/>
        </w:rPr>
        <w:t>useful</w:t>
      </w:r>
      <w:r>
        <w:rPr>
          <w:color w:val="231F20"/>
          <w:spacing w:val="-1"/>
        </w:rPr>
        <w:t xml:space="preserve"> </w:t>
      </w:r>
      <w:r>
        <w:rPr>
          <w:color w:val="231F20"/>
        </w:rPr>
        <w:t>lives are</w:t>
      </w:r>
      <w:r>
        <w:rPr>
          <w:color w:val="231F20"/>
          <w:spacing w:val="-1"/>
        </w:rPr>
        <w:t xml:space="preserve"> </w:t>
      </w:r>
      <w:r>
        <w:rPr>
          <w:color w:val="231F20"/>
        </w:rPr>
        <w:t>depreciated. The</w:t>
      </w:r>
      <w:r>
        <w:rPr>
          <w:color w:val="231F20"/>
          <w:spacing w:val="-1"/>
        </w:rPr>
        <w:t xml:space="preserve"> </w:t>
      </w:r>
      <w:r>
        <w:rPr>
          <w:color w:val="231F20"/>
        </w:rPr>
        <w:t>exceptions to</w:t>
      </w:r>
      <w:r>
        <w:rPr>
          <w:color w:val="231F20"/>
          <w:spacing w:val="-1"/>
        </w:rPr>
        <w:t xml:space="preserve"> </w:t>
      </w:r>
      <w:r>
        <w:rPr>
          <w:color w:val="231F20"/>
        </w:rPr>
        <w:t>this rule</w:t>
      </w:r>
      <w:r>
        <w:rPr>
          <w:color w:val="231F20"/>
          <w:spacing w:val="-1"/>
        </w:rPr>
        <w:t xml:space="preserve"> </w:t>
      </w:r>
      <w:r>
        <w:rPr>
          <w:color w:val="231F20"/>
        </w:rPr>
        <w:t>include items under assets held for sale and land. Depreciation is calculated on a straight-line basis, at rates</w:t>
      </w:r>
      <w:r>
        <w:rPr>
          <w:color w:val="231F20"/>
          <w:spacing w:val="-12"/>
        </w:rPr>
        <w:t xml:space="preserve"> </w:t>
      </w:r>
      <w:r>
        <w:rPr>
          <w:color w:val="231F20"/>
        </w:rPr>
        <w:t>that</w:t>
      </w:r>
      <w:r>
        <w:rPr>
          <w:color w:val="231F20"/>
          <w:spacing w:val="-12"/>
        </w:rPr>
        <w:t xml:space="preserve"> </w:t>
      </w:r>
      <w:r>
        <w:rPr>
          <w:color w:val="231F20"/>
        </w:rPr>
        <w:t>allocate</w:t>
      </w:r>
      <w:r>
        <w:rPr>
          <w:color w:val="231F20"/>
          <w:spacing w:val="-13"/>
        </w:rPr>
        <w:t xml:space="preserve"> </w:t>
      </w:r>
      <w:r>
        <w:rPr>
          <w:color w:val="231F20"/>
        </w:rPr>
        <w:t>the</w:t>
      </w:r>
      <w:r>
        <w:rPr>
          <w:color w:val="231F20"/>
          <w:spacing w:val="-13"/>
        </w:rPr>
        <w:t xml:space="preserve"> </w:t>
      </w:r>
      <w:r>
        <w:rPr>
          <w:color w:val="231F20"/>
        </w:rPr>
        <w:t>asset’s</w:t>
      </w:r>
      <w:r>
        <w:rPr>
          <w:color w:val="231F20"/>
          <w:spacing w:val="-12"/>
        </w:rPr>
        <w:t xml:space="preserve"> </w:t>
      </w:r>
      <w:r>
        <w:rPr>
          <w:color w:val="231F20"/>
        </w:rPr>
        <w:t>value,</w:t>
      </w:r>
      <w:r>
        <w:rPr>
          <w:color w:val="231F20"/>
          <w:spacing w:val="-12"/>
        </w:rPr>
        <w:t xml:space="preserve"> </w:t>
      </w:r>
      <w:r>
        <w:rPr>
          <w:color w:val="231F20"/>
        </w:rPr>
        <w:t>less</w:t>
      </w:r>
      <w:r>
        <w:rPr>
          <w:color w:val="231F20"/>
          <w:spacing w:val="-12"/>
        </w:rPr>
        <w:t xml:space="preserve"> </w:t>
      </w:r>
      <w:r>
        <w:rPr>
          <w:color w:val="231F20"/>
        </w:rPr>
        <w:t>any</w:t>
      </w:r>
      <w:r>
        <w:rPr>
          <w:color w:val="231F20"/>
          <w:spacing w:val="-12"/>
        </w:rPr>
        <w:t xml:space="preserve"> </w:t>
      </w:r>
      <w:r>
        <w:rPr>
          <w:color w:val="231F20"/>
        </w:rPr>
        <w:t>estimated</w:t>
      </w:r>
      <w:r>
        <w:rPr>
          <w:color w:val="231F20"/>
          <w:spacing w:val="-13"/>
        </w:rPr>
        <w:t xml:space="preserve"> </w:t>
      </w:r>
      <w:r>
        <w:rPr>
          <w:color w:val="231F20"/>
        </w:rPr>
        <w:t>residual</w:t>
      </w:r>
      <w:r>
        <w:rPr>
          <w:color w:val="231F20"/>
          <w:spacing w:val="-13"/>
        </w:rPr>
        <w:t xml:space="preserve"> </w:t>
      </w:r>
      <w:r>
        <w:rPr>
          <w:color w:val="231F20"/>
        </w:rPr>
        <w:t>value,</w:t>
      </w:r>
      <w:r>
        <w:rPr>
          <w:color w:val="231F20"/>
          <w:spacing w:val="-12"/>
        </w:rPr>
        <w:t xml:space="preserve"> </w:t>
      </w:r>
      <w:r>
        <w:rPr>
          <w:color w:val="231F20"/>
        </w:rPr>
        <w:t>over</w:t>
      </w:r>
      <w:r>
        <w:rPr>
          <w:color w:val="231F20"/>
          <w:spacing w:val="-12"/>
        </w:rPr>
        <w:t xml:space="preserve"> </w:t>
      </w:r>
      <w:r>
        <w:rPr>
          <w:color w:val="231F20"/>
        </w:rPr>
        <w:t>the</w:t>
      </w:r>
      <w:r>
        <w:rPr>
          <w:color w:val="231F20"/>
          <w:spacing w:val="-13"/>
        </w:rPr>
        <w:t xml:space="preserve"> </w:t>
      </w:r>
      <w:r>
        <w:rPr>
          <w:color w:val="231F20"/>
        </w:rPr>
        <w:t>estimated</w:t>
      </w:r>
      <w:r>
        <w:rPr>
          <w:color w:val="231F20"/>
          <w:spacing w:val="-13"/>
        </w:rPr>
        <w:t xml:space="preserve"> </w:t>
      </w:r>
      <w:r>
        <w:rPr>
          <w:color w:val="231F20"/>
        </w:rPr>
        <w:t xml:space="preserve">useful </w:t>
      </w:r>
      <w:r>
        <w:rPr>
          <w:color w:val="231F20"/>
          <w:spacing w:val="-2"/>
        </w:rPr>
        <w:t>life.</w:t>
      </w:r>
    </w:p>
    <w:p w14:paraId="626B995C" w14:textId="77777777" w:rsidR="00345EE3" w:rsidRDefault="00345EE3" w:rsidP="002A27BA">
      <w:pPr>
        <w:pStyle w:val="Heading3"/>
      </w:pPr>
      <w:r>
        <w:t>5.1</w:t>
      </w:r>
      <w:r>
        <w:rPr>
          <w:spacing w:val="-12"/>
        </w:rPr>
        <w:t xml:space="preserve"> </w:t>
      </w:r>
      <w:r>
        <w:t>Property,</w:t>
      </w:r>
      <w:r>
        <w:rPr>
          <w:spacing w:val="-9"/>
        </w:rPr>
        <w:t xml:space="preserve"> </w:t>
      </w:r>
      <w:r>
        <w:t>Plant</w:t>
      </w:r>
      <w:r>
        <w:rPr>
          <w:spacing w:val="-10"/>
        </w:rPr>
        <w:t xml:space="preserve"> </w:t>
      </w:r>
      <w:r>
        <w:t>and</w:t>
      </w:r>
      <w:r>
        <w:rPr>
          <w:spacing w:val="-9"/>
        </w:rPr>
        <w:t xml:space="preserve"> </w:t>
      </w:r>
      <w:r>
        <w:t>Equipment</w:t>
      </w:r>
      <w:r>
        <w:rPr>
          <w:spacing w:val="-9"/>
        </w:rPr>
        <w:t xml:space="preserve"> </w:t>
      </w:r>
      <w:r>
        <w:rPr>
          <w:spacing w:val="-2"/>
        </w:rPr>
        <w:t>(Cont’d)</w:t>
      </w:r>
    </w:p>
    <w:p w14:paraId="54E73B68" w14:textId="46BA1846" w:rsidR="00345EE3" w:rsidRDefault="00345EE3" w:rsidP="00345EE3">
      <w:pPr>
        <w:pStyle w:val="BodyText"/>
        <w:spacing w:before="108" w:line="242" w:lineRule="auto"/>
        <w:ind w:right="147"/>
      </w:pPr>
      <w:r>
        <w:rPr>
          <w:color w:val="231F20"/>
        </w:rPr>
        <w:t>The</w:t>
      </w:r>
      <w:r>
        <w:rPr>
          <w:color w:val="231F20"/>
          <w:spacing w:val="-8"/>
        </w:rPr>
        <w:t xml:space="preserve"> </w:t>
      </w:r>
      <w:r>
        <w:rPr>
          <w:color w:val="231F20"/>
        </w:rPr>
        <w:t>right-of-use</w:t>
      </w:r>
      <w:r>
        <w:rPr>
          <w:color w:val="231F20"/>
          <w:spacing w:val="-8"/>
        </w:rPr>
        <w:t xml:space="preserve"> </w:t>
      </w:r>
      <w:r>
        <w:rPr>
          <w:color w:val="231F20"/>
        </w:rPr>
        <w:t>assets</w:t>
      </w:r>
      <w:r>
        <w:rPr>
          <w:color w:val="231F20"/>
          <w:spacing w:val="-8"/>
        </w:rPr>
        <w:t xml:space="preserve"> </w:t>
      </w:r>
      <w:r>
        <w:rPr>
          <w:color w:val="231F20"/>
        </w:rPr>
        <w:t>are</w:t>
      </w:r>
      <w:r>
        <w:rPr>
          <w:color w:val="231F20"/>
          <w:spacing w:val="-8"/>
        </w:rPr>
        <w:t xml:space="preserve"> </w:t>
      </w:r>
      <w:r>
        <w:rPr>
          <w:color w:val="231F20"/>
        </w:rPr>
        <w:t>depreciated</w:t>
      </w:r>
      <w:r>
        <w:rPr>
          <w:color w:val="231F20"/>
          <w:spacing w:val="-8"/>
        </w:rPr>
        <w:t xml:space="preserve"> </w:t>
      </w:r>
      <w:r>
        <w:rPr>
          <w:color w:val="231F20"/>
        </w:rPr>
        <w:t>on</w:t>
      </w:r>
      <w:r>
        <w:rPr>
          <w:color w:val="231F20"/>
          <w:spacing w:val="-8"/>
        </w:rPr>
        <w:t xml:space="preserve"> </w:t>
      </w:r>
      <w:r>
        <w:rPr>
          <w:color w:val="231F20"/>
        </w:rPr>
        <w:t>a</w:t>
      </w:r>
      <w:r>
        <w:rPr>
          <w:color w:val="231F20"/>
          <w:spacing w:val="-8"/>
        </w:rPr>
        <w:t xml:space="preserve"> </w:t>
      </w:r>
      <w:r>
        <w:rPr>
          <w:color w:val="231F20"/>
        </w:rPr>
        <w:t>straight-line</w:t>
      </w:r>
      <w:r>
        <w:rPr>
          <w:color w:val="231F20"/>
          <w:spacing w:val="-8"/>
        </w:rPr>
        <w:t xml:space="preserve"> </w:t>
      </w:r>
      <w:r>
        <w:rPr>
          <w:color w:val="231F20"/>
        </w:rPr>
        <w:t>basis</w:t>
      </w:r>
      <w:r>
        <w:rPr>
          <w:color w:val="231F20"/>
          <w:spacing w:val="-8"/>
        </w:rPr>
        <w:t xml:space="preserve"> </w:t>
      </w:r>
      <w:r>
        <w:rPr>
          <w:color w:val="231F20"/>
        </w:rPr>
        <w:t>over</w:t>
      </w:r>
      <w:r>
        <w:rPr>
          <w:color w:val="231F20"/>
          <w:spacing w:val="-8"/>
        </w:rPr>
        <w:t xml:space="preserve"> </w:t>
      </w:r>
      <w:r>
        <w:rPr>
          <w:color w:val="231F20"/>
        </w:rPr>
        <w:t>the</w:t>
      </w:r>
      <w:r>
        <w:rPr>
          <w:color w:val="231F20"/>
          <w:spacing w:val="-8"/>
        </w:rPr>
        <w:t xml:space="preserve"> </w:t>
      </w:r>
      <w:r w:rsidR="00A10CBC">
        <w:rPr>
          <w:color w:val="231F20"/>
        </w:rPr>
        <w:t>shorter</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lease term and the estimated useful lives of the assets.</w:t>
      </w:r>
    </w:p>
    <w:p w14:paraId="45DEEE94" w14:textId="77777777" w:rsidR="00345EE3" w:rsidRDefault="00345EE3" w:rsidP="00345EE3">
      <w:pPr>
        <w:pStyle w:val="BodyText"/>
        <w:spacing w:before="116" w:line="242" w:lineRule="auto"/>
        <w:ind w:right="115"/>
      </w:pPr>
      <w:r>
        <w:rPr>
          <w:color w:val="231F20"/>
        </w:rPr>
        <w:t>Typical</w:t>
      </w:r>
      <w:r>
        <w:rPr>
          <w:color w:val="231F20"/>
          <w:spacing w:val="-10"/>
        </w:rPr>
        <w:t xml:space="preserve"> </w:t>
      </w:r>
      <w:r>
        <w:rPr>
          <w:color w:val="231F20"/>
        </w:rPr>
        <w:t>estimated</w:t>
      </w:r>
      <w:r>
        <w:rPr>
          <w:color w:val="231F20"/>
          <w:spacing w:val="-10"/>
        </w:rPr>
        <w:t xml:space="preserve"> </w:t>
      </w:r>
      <w:r>
        <w:rPr>
          <w:color w:val="231F20"/>
        </w:rPr>
        <w:t>useful</w:t>
      </w:r>
      <w:r>
        <w:rPr>
          <w:color w:val="231F20"/>
          <w:spacing w:val="-10"/>
        </w:rPr>
        <w:t xml:space="preserve"> </w:t>
      </w:r>
      <w:r>
        <w:rPr>
          <w:color w:val="231F20"/>
        </w:rPr>
        <w:t>lives</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different</w:t>
      </w:r>
      <w:r>
        <w:rPr>
          <w:color w:val="231F20"/>
          <w:spacing w:val="-10"/>
        </w:rPr>
        <w:t xml:space="preserve"> </w:t>
      </w:r>
      <w:r>
        <w:rPr>
          <w:color w:val="231F20"/>
        </w:rPr>
        <w:t>asset</w:t>
      </w:r>
      <w:r>
        <w:rPr>
          <w:color w:val="231F20"/>
          <w:spacing w:val="-10"/>
        </w:rPr>
        <w:t xml:space="preserve"> </w:t>
      </w:r>
      <w:r>
        <w:rPr>
          <w:color w:val="231F20"/>
        </w:rPr>
        <w:t>classes</w:t>
      </w:r>
      <w:r>
        <w:rPr>
          <w:color w:val="231F20"/>
          <w:spacing w:val="-10"/>
        </w:rPr>
        <w:t xml:space="preserve"> </w:t>
      </w:r>
      <w:r>
        <w:rPr>
          <w:color w:val="231F20"/>
        </w:rPr>
        <w:t>for</w:t>
      </w:r>
      <w:r>
        <w:rPr>
          <w:color w:val="231F20"/>
          <w:spacing w:val="-10"/>
        </w:rPr>
        <w:t xml:space="preserve"> </w:t>
      </w:r>
      <w:r>
        <w:rPr>
          <w:color w:val="231F20"/>
        </w:rPr>
        <w:t>current</w:t>
      </w:r>
      <w:r>
        <w:rPr>
          <w:color w:val="231F20"/>
          <w:spacing w:val="-10"/>
        </w:rPr>
        <w:t xml:space="preserve"> </w:t>
      </w:r>
      <w:r>
        <w:rPr>
          <w:color w:val="231F20"/>
        </w:rPr>
        <w:t>and</w:t>
      </w:r>
      <w:r>
        <w:rPr>
          <w:color w:val="231F20"/>
          <w:spacing w:val="-10"/>
        </w:rPr>
        <w:t xml:space="preserve"> </w:t>
      </w:r>
      <w:r>
        <w:rPr>
          <w:color w:val="231F20"/>
        </w:rPr>
        <w:t>prior</w:t>
      </w:r>
      <w:r>
        <w:rPr>
          <w:color w:val="231F20"/>
          <w:spacing w:val="-10"/>
        </w:rPr>
        <w:t xml:space="preserve"> </w:t>
      </w:r>
      <w:r>
        <w:rPr>
          <w:color w:val="231F20"/>
        </w:rPr>
        <w:t>years</w:t>
      </w:r>
      <w:r>
        <w:rPr>
          <w:color w:val="231F20"/>
          <w:spacing w:val="-10"/>
        </w:rPr>
        <w:t xml:space="preserve"> </w:t>
      </w:r>
      <w:r>
        <w:rPr>
          <w:color w:val="231F20"/>
        </w:rPr>
        <w:t>are included in the table below:</w:t>
      </w:r>
    </w:p>
    <w:p w14:paraId="14738FE4" w14:textId="77777777" w:rsidR="00345EE3" w:rsidRDefault="00345EE3" w:rsidP="00345EE3">
      <w:pPr>
        <w:pStyle w:val="BodyText"/>
        <w:spacing w:before="7"/>
        <w:rPr>
          <w:sz w:val="11"/>
        </w:rPr>
      </w:pP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937"/>
        <w:gridCol w:w="2268"/>
      </w:tblGrid>
      <w:tr w:rsidR="00345EE3" w14:paraId="660D391A" w14:textId="77777777" w:rsidTr="00F109AB">
        <w:trPr>
          <w:trHeight w:val="401"/>
        </w:trPr>
        <w:tc>
          <w:tcPr>
            <w:tcW w:w="7937" w:type="dxa"/>
            <w:tcBorders>
              <w:top w:val="nil"/>
              <w:left w:val="nil"/>
              <w:bottom w:val="nil"/>
              <w:right w:val="nil"/>
            </w:tcBorders>
            <w:shd w:val="clear" w:color="auto" w:fill="00529F"/>
          </w:tcPr>
          <w:p w14:paraId="3063D56D" w14:textId="77777777" w:rsidR="00345EE3" w:rsidRDefault="00345EE3" w:rsidP="00D73130">
            <w:pPr>
              <w:pStyle w:val="TableParagraph"/>
              <w:spacing w:before="63"/>
              <w:jc w:val="left"/>
              <w:rPr>
                <w:b/>
                <w:sz w:val="24"/>
              </w:rPr>
            </w:pPr>
            <w:r>
              <w:rPr>
                <w:b/>
                <w:color w:val="FFFFFF"/>
                <w:spacing w:val="-2"/>
                <w:sz w:val="24"/>
              </w:rPr>
              <w:t>Assets</w:t>
            </w:r>
          </w:p>
        </w:tc>
        <w:tc>
          <w:tcPr>
            <w:tcW w:w="2268" w:type="dxa"/>
            <w:tcBorders>
              <w:top w:val="nil"/>
              <w:left w:val="nil"/>
              <w:bottom w:val="nil"/>
              <w:right w:val="nil"/>
            </w:tcBorders>
            <w:shd w:val="clear" w:color="auto" w:fill="00529F"/>
          </w:tcPr>
          <w:p w14:paraId="00FF87E6" w14:textId="77777777" w:rsidR="00345EE3" w:rsidRDefault="00345EE3" w:rsidP="00D73130">
            <w:pPr>
              <w:pStyle w:val="TableParagraph"/>
              <w:spacing w:before="63"/>
              <w:rPr>
                <w:b/>
                <w:sz w:val="24"/>
              </w:rPr>
            </w:pPr>
            <w:r>
              <w:rPr>
                <w:b/>
                <w:color w:val="FFFFFF"/>
                <w:spacing w:val="-2"/>
                <w:sz w:val="24"/>
              </w:rPr>
              <w:t>Useful</w:t>
            </w:r>
            <w:r>
              <w:rPr>
                <w:b/>
                <w:color w:val="FFFFFF"/>
                <w:spacing w:val="-8"/>
                <w:sz w:val="24"/>
              </w:rPr>
              <w:t xml:space="preserve"> </w:t>
            </w:r>
            <w:r>
              <w:rPr>
                <w:b/>
                <w:color w:val="FFFFFF"/>
                <w:spacing w:val="-4"/>
                <w:sz w:val="24"/>
              </w:rPr>
              <w:t>life</w:t>
            </w:r>
          </w:p>
        </w:tc>
      </w:tr>
      <w:tr w:rsidR="00345EE3" w14:paraId="182E2E49" w14:textId="77777777" w:rsidTr="00F109AB">
        <w:trPr>
          <w:trHeight w:val="396"/>
        </w:trPr>
        <w:tc>
          <w:tcPr>
            <w:tcW w:w="7937" w:type="dxa"/>
            <w:tcBorders>
              <w:top w:val="nil"/>
              <w:left w:val="nil"/>
            </w:tcBorders>
          </w:tcPr>
          <w:p w14:paraId="24547D47" w14:textId="77777777" w:rsidR="00345EE3" w:rsidRDefault="00345EE3" w:rsidP="00D73130">
            <w:pPr>
              <w:pStyle w:val="TableParagraph"/>
              <w:ind w:left="-3"/>
              <w:jc w:val="left"/>
              <w:rPr>
                <w:sz w:val="24"/>
              </w:rPr>
            </w:pPr>
            <w:r>
              <w:rPr>
                <w:color w:val="231F20"/>
                <w:sz w:val="24"/>
              </w:rPr>
              <w:t>Land</w:t>
            </w:r>
            <w:r>
              <w:rPr>
                <w:color w:val="231F20"/>
                <w:spacing w:val="-3"/>
                <w:sz w:val="24"/>
              </w:rPr>
              <w:t xml:space="preserve"> </w:t>
            </w:r>
            <w:r>
              <w:rPr>
                <w:color w:val="231F20"/>
                <w:sz w:val="24"/>
              </w:rPr>
              <w:t>(right-of-use</w:t>
            </w:r>
            <w:r>
              <w:rPr>
                <w:color w:val="231F20"/>
                <w:spacing w:val="-1"/>
                <w:sz w:val="24"/>
              </w:rPr>
              <w:t xml:space="preserve"> </w:t>
            </w:r>
            <w:r>
              <w:rPr>
                <w:color w:val="231F20"/>
                <w:spacing w:val="-2"/>
                <w:sz w:val="24"/>
              </w:rPr>
              <w:t>asset)</w:t>
            </w:r>
          </w:p>
        </w:tc>
        <w:tc>
          <w:tcPr>
            <w:tcW w:w="2268" w:type="dxa"/>
            <w:tcBorders>
              <w:top w:val="nil"/>
              <w:right w:val="nil"/>
            </w:tcBorders>
          </w:tcPr>
          <w:p w14:paraId="5856E223" w14:textId="77777777" w:rsidR="00345EE3" w:rsidRDefault="00345EE3" w:rsidP="00D73130">
            <w:pPr>
              <w:pStyle w:val="TableParagraph"/>
              <w:rPr>
                <w:sz w:val="24"/>
              </w:rPr>
            </w:pPr>
            <w:r>
              <w:rPr>
                <w:color w:val="231F20"/>
                <w:sz w:val="24"/>
              </w:rPr>
              <w:t>1–40</w:t>
            </w:r>
            <w:r>
              <w:rPr>
                <w:color w:val="231F20"/>
                <w:spacing w:val="-14"/>
                <w:sz w:val="24"/>
              </w:rPr>
              <w:t xml:space="preserve"> </w:t>
            </w:r>
            <w:r>
              <w:rPr>
                <w:color w:val="231F20"/>
                <w:spacing w:val="-2"/>
                <w:sz w:val="24"/>
              </w:rPr>
              <w:t>years</w:t>
            </w:r>
          </w:p>
        </w:tc>
      </w:tr>
      <w:tr w:rsidR="00345EE3" w14:paraId="7D9F4CD0" w14:textId="77777777" w:rsidTr="00F109AB">
        <w:trPr>
          <w:trHeight w:val="396"/>
        </w:trPr>
        <w:tc>
          <w:tcPr>
            <w:tcW w:w="7937" w:type="dxa"/>
            <w:tcBorders>
              <w:left w:val="nil"/>
            </w:tcBorders>
          </w:tcPr>
          <w:p w14:paraId="3EB26AA1" w14:textId="77777777" w:rsidR="00345EE3" w:rsidRDefault="00345EE3" w:rsidP="00D73130">
            <w:pPr>
              <w:pStyle w:val="TableParagraph"/>
              <w:ind w:left="-3"/>
              <w:jc w:val="left"/>
              <w:rPr>
                <w:sz w:val="24"/>
              </w:rPr>
            </w:pPr>
            <w:r>
              <w:rPr>
                <w:color w:val="231F20"/>
                <w:sz w:val="24"/>
              </w:rPr>
              <w:t>Buildings</w:t>
            </w:r>
            <w:r>
              <w:rPr>
                <w:color w:val="231F20"/>
                <w:spacing w:val="-2"/>
                <w:sz w:val="24"/>
              </w:rPr>
              <w:t xml:space="preserve"> </w:t>
            </w:r>
            <w:r>
              <w:rPr>
                <w:color w:val="231F20"/>
                <w:sz w:val="24"/>
              </w:rPr>
              <w:t>(inclusive</w:t>
            </w:r>
            <w:r>
              <w:rPr>
                <w:color w:val="231F20"/>
                <w:spacing w:val="-2"/>
                <w:sz w:val="24"/>
              </w:rPr>
              <w:t xml:space="preserve"> </w:t>
            </w:r>
            <w:r>
              <w:rPr>
                <w:color w:val="231F20"/>
                <w:sz w:val="24"/>
              </w:rPr>
              <w:t>of</w:t>
            </w:r>
            <w:r>
              <w:rPr>
                <w:color w:val="231F20"/>
                <w:spacing w:val="-3"/>
                <w:sz w:val="24"/>
              </w:rPr>
              <w:t xml:space="preserve"> </w:t>
            </w:r>
            <w:r>
              <w:rPr>
                <w:color w:val="231F20"/>
                <w:sz w:val="24"/>
              </w:rPr>
              <w:t>heritage</w:t>
            </w:r>
            <w:r>
              <w:rPr>
                <w:color w:val="231F20"/>
                <w:spacing w:val="-2"/>
                <w:sz w:val="24"/>
              </w:rPr>
              <w:t xml:space="preserve"> </w:t>
            </w:r>
            <w:r>
              <w:rPr>
                <w:color w:val="231F20"/>
                <w:sz w:val="24"/>
              </w:rPr>
              <w:t>and</w:t>
            </w:r>
            <w:r>
              <w:rPr>
                <w:color w:val="231F20"/>
                <w:spacing w:val="-3"/>
                <w:sz w:val="24"/>
              </w:rPr>
              <w:t xml:space="preserve"> </w:t>
            </w:r>
            <w:r>
              <w:rPr>
                <w:color w:val="231F20"/>
                <w:sz w:val="24"/>
              </w:rPr>
              <w:t>right-of-use</w:t>
            </w:r>
            <w:r>
              <w:rPr>
                <w:color w:val="231F20"/>
                <w:spacing w:val="-1"/>
                <w:sz w:val="24"/>
              </w:rPr>
              <w:t xml:space="preserve"> </w:t>
            </w:r>
            <w:r>
              <w:rPr>
                <w:color w:val="231F20"/>
                <w:spacing w:val="-2"/>
                <w:sz w:val="24"/>
              </w:rPr>
              <w:t>assets)</w:t>
            </w:r>
          </w:p>
        </w:tc>
        <w:tc>
          <w:tcPr>
            <w:tcW w:w="2268" w:type="dxa"/>
            <w:tcBorders>
              <w:right w:val="nil"/>
            </w:tcBorders>
          </w:tcPr>
          <w:p w14:paraId="5DB18099" w14:textId="77777777" w:rsidR="00345EE3" w:rsidRDefault="00345EE3" w:rsidP="00D73130">
            <w:pPr>
              <w:pStyle w:val="TableParagraph"/>
              <w:rPr>
                <w:sz w:val="24"/>
              </w:rPr>
            </w:pPr>
            <w:r>
              <w:rPr>
                <w:color w:val="231F20"/>
                <w:sz w:val="24"/>
              </w:rPr>
              <w:t>1–50</w:t>
            </w:r>
            <w:r>
              <w:rPr>
                <w:color w:val="231F20"/>
                <w:spacing w:val="-14"/>
                <w:sz w:val="24"/>
              </w:rPr>
              <w:t xml:space="preserve"> </w:t>
            </w:r>
            <w:r>
              <w:rPr>
                <w:color w:val="231F20"/>
                <w:spacing w:val="-2"/>
                <w:sz w:val="24"/>
              </w:rPr>
              <w:t>years</w:t>
            </w:r>
          </w:p>
        </w:tc>
      </w:tr>
      <w:tr w:rsidR="00345EE3" w14:paraId="15964F0E" w14:textId="77777777" w:rsidTr="00F109AB">
        <w:trPr>
          <w:trHeight w:val="396"/>
        </w:trPr>
        <w:tc>
          <w:tcPr>
            <w:tcW w:w="7937" w:type="dxa"/>
            <w:tcBorders>
              <w:left w:val="nil"/>
            </w:tcBorders>
          </w:tcPr>
          <w:p w14:paraId="6352C298" w14:textId="77777777" w:rsidR="00345EE3" w:rsidRDefault="00345EE3" w:rsidP="00D73130">
            <w:pPr>
              <w:pStyle w:val="TableParagraph"/>
              <w:ind w:left="-3"/>
              <w:jc w:val="left"/>
              <w:rPr>
                <w:sz w:val="24"/>
              </w:rPr>
            </w:pPr>
            <w:r>
              <w:rPr>
                <w:color w:val="231F20"/>
                <w:sz w:val="24"/>
              </w:rPr>
              <w:t>Plant</w:t>
            </w:r>
            <w:r>
              <w:rPr>
                <w:color w:val="231F20"/>
                <w:spacing w:val="-2"/>
                <w:sz w:val="24"/>
              </w:rPr>
              <w:t xml:space="preserve"> </w:t>
            </w:r>
            <w:r>
              <w:rPr>
                <w:color w:val="231F20"/>
                <w:sz w:val="24"/>
              </w:rPr>
              <w:t>and</w:t>
            </w:r>
            <w:r>
              <w:rPr>
                <w:color w:val="231F20"/>
                <w:spacing w:val="-3"/>
                <w:sz w:val="24"/>
              </w:rPr>
              <w:t xml:space="preserve"> </w:t>
            </w:r>
            <w:r>
              <w:rPr>
                <w:color w:val="231F20"/>
                <w:sz w:val="24"/>
              </w:rPr>
              <w:t>equipment</w:t>
            </w:r>
            <w:r>
              <w:rPr>
                <w:color w:val="231F20"/>
                <w:spacing w:val="-3"/>
                <w:sz w:val="24"/>
              </w:rPr>
              <w:t xml:space="preserve"> </w:t>
            </w:r>
            <w:r>
              <w:rPr>
                <w:color w:val="231F20"/>
                <w:sz w:val="24"/>
              </w:rPr>
              <w:t>(inclusive</w:t>
            </w:r>
            <w:r>
              <w:rPr>
                <w:color w:val="231F20"/>
                <w:spacing w:val="-2"/>
                <w:sz w:val="24"/>
              </w:rPr>
              <w:t xml:space="preserve"> </w:t>
            </w:r>
            <w:r>
              <w:rPr>
                <w:color w:val="231F20"/>
                <w:sz w:val="24"/>
              </w:rPr>
              <w:t>of</w:t>
            </w:r>
            <w:r>
              <w:rPr>
                <w:color w:val="231F20"/>
                <w:spacing w:val="-3"/>
                <w:sz w:val="24"/>
              </w:rPr>
              <w:t xml:space="preserve"> </w:t>
            </w:r>
            <w:r>
              <w:rPr>
                <w:color w:val="231F20"/>
                <w:sz w:val="24"/>
              </w:rPr>
              <w:t>right-of-use</w:t>
            </w:r>
            <w:r>
              <w:rPr>
                <w:color w:val="231F20"/>
                <w:spacing w:val="-1"/>
                <w:sz w:val="24"/>
              </w:rPr>
              <w:t xml:space="preserve"> </w:t>
            </w:r>
            <w:r>
              <w:rPr>
                <w:color w:val="231F20"/>
                <w:spacing w:val="-2"/>
                <w:sz w:val="24"/>
              </w:rPr>
              <w:t>assets)</w:t>
            </w:r>
          </w:p>
        </w:tc>
        <w:tc>
          <w:tcPr>
            <w:tcW w:w="2268" w:type="dxa"/>
            <w:tcBorders>
              <w:right w:val="nil"/>
            </w:tcBorders>
          </w:tcPr>
          <w:p w14:paraId="790024F2" w14:textId="77777777" w:rsidR="00345EE3" w:rsidRDefault="00345EE3" w:rsidP="00D73130">
            <w:pPr>
              <w:pStyle w:val="TableParagraph"/>
              <w:rPr>
                <w:sz w:val="24"/>
              </w:rPr>
            </w:pPr>
            <w:r>
              <w:rPr>
                <w:color w:val="231F20"/>
                <w:sz w:val="24"/>
              </w:rPr>
              <w:t>1–40</w:t>
            </w:r>
            <w:r>
              <w:rPr>
                <w:color w:val="231F20"/>
                <w:spacing w:val="-14"/>
                <w:sz w:val="24"/>
              </w:rPr>
              <w:t xml:space="preserve"> </w:t>
            </w:r>
            <w:r>
              <w:rPr>
                <w:color w:val="231F20"/>
                <w:spacing w:val="-2"/>
                <w:sz w:val="24"/>
              </w:rPr>
              <w:t>years</w:t>
            </w:r>
          </w:p>
        </w:tc>
      </w:tr>
      <w:tr w:rsidR="00345EE3" w14:paraId="0D294F70" w14:textId="77777777" w:rsidTr="00F109AB">
        <w:trPr>
          <w:trHeight w:val="396"/>
        </w:trPr>
        <w:tc>
          <w:tcPr>
            <w:tcW w:w="7937" w:type="dxa"/>
            <w:tcBorders>
              <w:left w:val="nil"/>
            </w:tcBorders>
          </w:tcPr>
          <w:p w14:paraId="4263785E" w14:textId="77777777" w:rsidR="00345EE3" w:rsidRDefault="00345EE3" w:rsidP="00D73130">
            <w:pPr>
              <w:pStyle w:val="TableParagraph"/>
              <w:ind w:left="-3"/>
              <w:jc w:val="left"/>
              <w:rPr>
                <w:sz w:val="24"/>
              </w:rPr>
            </w:pPr>
            <w:r>
              <w:rPr>
                <w:color w:val="231F20"/>
                <w:sz w:val="24"/>
              </w:rPr>
              <w:t>Heritage</w:t>
            </w:r>
            <w:r>
              <w:rPr>
                <w:color w:val="231F20"/>
                <w:spacing w:val="-8"/>
                <w:sz w:val="24"/>
              </w:rPr>
              <w:t xml:space="preserve"> </w:t>
            </w:r>
            <w:r>
              <w:rPr>
                <w:color w:val="231F20"/>
                <w:spacing w:val="-2"/>
                <w:sz w:val="24"/>
              </w:rPr>
              <w:t>assets</w:t>
            </w:r>
          </w:p>
        </w:tc>
        <w:tc>
          <w:tcPr>
            <w:tcW w:w="2268" w:type="dxa"/>
            <w:tcBorders>
              <w:right w:val="nil"/>
            </w:tcBorders>
          </w:tcPr>
          <w:p w14:paraId="7D0D9565" w14:textId="77777777" w:rsidR="00345EE3" w:rsidRDefault="00345EE3" w:rsidP="00D73130">
            <w:pPr>
              <w:pStyle w:val="TableParagraph"/>
              <w:rPr>
                <w:sz w:val="24"/>
              </w:rPr>
            </w:pPr>
            <w:r>
              <w:rPr>
                <w:color w:val="231F20"/>
                <w:sz w:val="24"/>
              </w:rPr>
              <w:t>1–50</w:t>
            </w:r>
            <w:r>
              <w:rPr>
                <w:color w:val="231F20"/>
                <w:spacing w:val="-14"/>
                <w:sz w:val="24"/>
              </w:rPr>
              <w:t xml:space="preserve"> </w:t>
            </w:r>
            <w:r>
              <w:rPr>
                <w:color w:val="231F20"/>
                <w:spacing w:val="-2"/>
                <w:sz w:val="24"/>
              </w:rPr>
              <w:t>years</w:t>
            </w:r>
          </w:p>
        </w:tc>
      </w:tr>
      <w:tr w:rsidR="00345EE3" w14:paraId="70F42030" w14:textId="77777777" w:rsidTr="00F109AB">
        <w:trPr>
          <w:trHeight w:val="396"/>
        </w:trPr>
        <w:tc>
          <w:tcPr>
            <w:tcW w:w="7937" w:type="dxa"/>
            <w:tcBorders>
              <w:left w:val="nil"/>
            </w:tcBorders>
          </w:tcPr>
          <w:p w14:paraId="04D92607" w14:textId="77777777" w:rsidR="00345EE3" w:rsidRDefault="00345EE3" w:rsidP="00D73130">
            <w:pPr>
              <w:pStyle w:val="TableParagraph"/>
              <w:ind w:left="-3"/>
              <w:jc w:val="left"/>
              <w:rPr>
                <w:sz w:val="24"/>
              </w:rPr>
            </w:pPr>
            <w:r>
              <w:rPr>
                <w:color w:val="231F20"/>
                <w:sz w:val="24"/>
              </w:rPr>
              <w:t>Cultural</w:t>
            </w:r>
            <w:r>
              <w:rPr>
                <w:color w:val="231F20"/>
                <w:spacing w:val="-10"/>
                <w:sz w:val="24"/>
              </w:rPr>
              <w:t xml:space="preserve"> </w:t>
            </w:r>
            <w:r>
              <w:rPr>
                <w:color w:val="231F20"/>
                <w:spacing w:val="-2"/>
                <w:sz w:val="24"/>
              </w:rPr>
              <w:t>artworks</w:t>
            </w:r>
          </w:p>
        </w:tc>
        <w:tc>
          <w:tcPr>
            <w:tcW w:w="2268" w:type="dxa"/>
            <w:tcBorders>
              <w:right w:val="nil"/>
            </w:tcBorders>
          </w:tcPr>
          <w:p w14:paraId="19947FB6" w14:textId="77777777" w:rsidR="00345EE3" w:rsidRDefault="00345EE3" w:rsidP="00D73130">
            <w:pPr>
              <w:pStyle w:val="TableParagraph"/>
              <w:ind w:right="-15"/>
              <w:rPr>
                <w:sz w:val="24"/>
              </w:rPr>
            </w:pPr>
            <w:r>
              <w:rPr>
                <w:color w:val="231F20"/>
                <w:spacing w:val="-2"/>
                <w:sz w:val="24"/>
              </w:rPr>
              <w:t>Indefinite</w:t>
            </w:r>
            <w:r>
              <w:rPr>
                <w:color w:val="231F20"/>
                <w:spacing w:val="-10"/>
                <w:sz w:val="24"/>
              </w:rPr>
              <w:t xml:space="preserve"> </w:t>
            </w:r>
            <w:r>
              <w:rPr>
                <w:color w:val="231F20"/>
                <w:spacing w:val="-2"/>
                <w:sz w:val="24"/>
              </w:rPr>
              <w:t>Useful</w:t>
            </w:r>
            <w:r>
              <w:rPr>
                <w:color w:val="231F20"/>
                <w:spacing w:val="-10"/>
                <w:sz w:val="24"/>
              </w:rPr>
              <w:t xml:space="preserve"> </w:t>
            </w:r>
            <w:r>
              <w:rPr>
                <w:color w:val="231F20"/>
                <w:spacing w:val="-4"/>
                <w:sz w:val="24"/>
              </w:rPr>
              <w:t>Life</w:t>
            </w:r>
          </w:p>
        </w:tc>
      </w:tr>
      <w:tr w:rsidR="00345EE3" w14:paraId="10E5540C" w14:textId="77777777" w:rsidTr="00F109AB">
        <w:trPr>
          <w:trHeight w:val="391"/>
        </w:trPr>
        <w:tc>
          <w:tcPr>
            <w:tcW w:w="7937" w:type="dxa"/>
            <w:tcBorders>
              <w:left w:val="nil"/>
              <w:bottom w:val="single" w:sz="6" w:space="0" w:color="231F20"/>
            </w:tcBorders>
          </w:tcPr>
          <w:p w14:paraId="6083BEAE" w14:textId="77777777" w:rsidR="00345EE3" w:rsidRDefault="00345EE3" w:rsidP="00D73130">
            <w:pPr>
              <w:pStyle w:val="TableParagraph"/>
              <w:ind w:left="-3"/>
              <w:jc w:val="left"/>
              <w:rPr>
                <w:sz w:val="24"/>
              </w:rPr>
            </w:pPr>
            <w:r>
              <w:rPr>
                <w:color w:val="231F20"/>
                <w:sz w:val="24"/>
              </w:rPr>
              <w:t>Software –</w:t>
            </w:r>
            <w:r>
              <w:rPr>
                <w:color w:val="231F20"/>
                <w:spacing w:val="-1"/>
                <w:sz w:val="24"/>
              </w:rPr>
              <w:t xml:space="preserve"> </w:t>
            </w:r>
            <w:r>
              <w:rPr>
                <w:color w:val="231F20"/>
                <w:sz w:val="24"/>
              </w:rPr>
              <w:t>Internally Generated Intangible</w:t>
            </w:r>
            <w:r>
              <w:rPr>
                <w:color w:val="231F20"/>
                <w:spacing w:val="-13"/>
                <w:sz w:val="24"/>
              </w:rPr>
              <w:t xml:space="preserve"> </w:t>
            </w:r>
            <w:r>
              <w:rPr>
                <w:color w:val="231F20"/>
                <w:spacing w:val="-2"/>
                <w:sz w:val="24"/>
              </w:rPr>
              <w:t>Asset</w:t>
            </w:r>
          </w:p>
        </w:tc>
        <w:tc>
          <w:tcPr>
            <w:tcW w:w="2268" w:type="dxa"/>
            <w:tcBorders>
              <w:bottom w:val="single" w:sz="6" w:space="0" w:color="231F20"/>
              <w:right w:val="nil"/>
            </w:tcBorders>
          </w:tcPr>
          <w:p w14:paraId="3937131F" w14:textId="77777777" w:rsidR="00345EE3" w:rsidRDefault="00345EE3" w:rsidP="00D73130">
            <w:pPr>
              <w:pStyle w:val="TableParagraph"/>
              <w:rPr>
                <w:sz w:val="24"/>
              </w:rPr>
            </w:pPr>
            <w:r>
              <w:rPr>
                <w:color w:val="231F20"/>
                <w:sz w:val="24"/>
              </w:rPr>
              <w:t>1–12</w:t>
            </w:r>
            <w:r>
              <w:rPr>
                <w:color w:val="231F20"/>
                <w:spacing w:val="-14"/>
                <w:sz w:val="24"/>
              </w:rPr>
              <w:t xml:space="preserve"> </w:t>
            </w:r>
            <w:r>
              <w:rPr>
                <w:color w:val="231F20"/>
                <w:spacing w:val="-2"/>
                <w:sz w:val="24"/>
              </w:rPr>
              <w:t>years</w:t>
            </w:r>
          </w:p>
        </w:tc>
      </w:tr>
    </w:tbl>
    <w:p w14:paraId="48D60449" w14:textId="77777777" w:rsidR="00345EE3" w:rsidRDefault="00345EE3" w:rsidP="00345EE3">
      <w:pPr>
        <w:pStyle w:val="BodyText"/>
        <w:spacing w:before="99" w:line="242" w:lineRule="auto"/>
      </w:pPr>
      <w:r>
        <w:rPr>
          <w:color w:val="231F20"/>
        </w:rPr>
        <w:t>The</w:t>
      </w:r>
      <w:r>
        <w:rPr>
          <w:color w:val="231F20"/>
          <w:spacing w:val="-11"/>
        </w:rPr>
        <w:t xml:space="preserve"> </w:t>
      </w:r>
      <w:r>
        <w:rPr>
          <w:color w:val="231F20"/>
        </w:rPr>
        <w:t>estimated</w:t>
      </w:r>
      <w:r>
        <w:rPr>
          <w:color w:val="231F20"/>
          <w:spacing w:val="-11"/>
        </w:rPr>
        <w:t xml:space="preserve"> </w:t>
      </w:r>
      <w:r>
        <w:rPr>
          <w:color w:val="231F20"/>
        </w:rPr>
        <w:t>useful</w:t>
      </w:r>
      <w:r>
        <w:rPr>
          <w:color w:val="231F20"/>
          <w:spacing w:val="-11"/>
        </w:rPr>
        <w:t xml:space="preserve"> </w:t>
      </w:r>
      <w:r>
        <w:rPr>
          <w:color w:val="231F20"/>
        </w:rPr>
        <w:t>lives,</w:t>
      </w:r>
      <w:r>
        <w:rPr>
          <w:color w:val="231F20"/>
          <w:spacing w:val="-10"/>
        </w:rPr>
        <w:t xml:space="preserve"> </w:t>
      </w:r>
      <w:r>
        <w:rPr>
          <w:color w:val="231F20"/>
        </w:rPr>
        <w:t>residual</w:t>
      </w:r>
      <w:r>
        <w:rPr>
          <w:color w:val="231F20"/>
          <w:spacing w:val="-11"/>
        </w:rPr>
        <w:t xml:space="preserve"> </w:t>
      </w:r>
      <w:r>
        <w:rPr>
          <w:color w:val="231F20"/>
        </w:rPr>
        <w:t>values</w:t>
      </w:r>
      <w:r>
        <w:rPr>
          <w:color w:val="231F20"/>
          <w:spacing w:val="-10"/>
        </w:rPr>
        <w:t xml:space="preserve"> </w:t>
      </w:r>
      <w:r>
        <w:rPr>
          <w:color w:val="231F20"/>
        </w:rPr>
        <w:t>and</w:t>
      </w:r>
      <w:r>
        <w:rPr>
          <w:color w:val="231F20"/>
          <w:spacing w:val="-11"/>
        </w:rPr>
        <w:t xml:space="preserve"> </w:t>
      </w:r>
      <w:r>
        <w:rPr>
          <w:color w:val="231F20"/>
        </w:rPr>
        <w:t>depreciation</w:t>
      </w:r>
      <w:r>
        <w:rPr>
          <w:color w:val="231F20"/>
          <w:spacing w:val="-11"/>
        </w:rPr>
        <w:t xml:space="preserve"> </w:t>
      </w:r>
      <w:r>
        <w:rPr>
          <w:color w:val="231F20"/>
        </w:rPr>
        <w:t>method</w:t>
      </w:r>
      <w:r>
        <w:rPr>
          <w:color w:val="231F20"/>
          <w:spacing w:val="-11"/>
        </w:rPr>
        <w:t xml:space="preserve"> </w:t>
      </w:r>
      <w:r>
        <w:rPr>
          <w:color w:val="231F20"/>
        </w:rPr>
        <w:t>are</w:t>
      </w:r>
      <w:r>
        <w:rPr>
          <w:color w:val="231F20"/>
          <w:spacing w:val="-11"/>
        </w:rPr>
        <w:t xml:space="preserve"> </w:t>
      </w:r>
      <w:r>
        <w:rPr>
          <w:color w:val="231F20"/>
        </w:rPr>
        <w:t>reviewed</w:t>
      </w:r>
      <w:r>
        <w:rPr>
          <w:color w:val="231F20"/>
          <w:spacing w:val="-11"/>
        </w:rPr>
        <w:t xml:space="preserve"> </w:t>
      </w:r>
      <w:r>
        <w:rPr>
          <w:color w:val="231F20"/>
        </w:rPr>
        <w:t>at</w:t>
      </w:r>
      <w:r>
        <w:rPr>
          <w:color w:val="231F20"/>
          <w:spacing w:val="-10"/>
        </w:rPr>
        <w:t xml:space="preserve"> </w:t>
      </w:r>
      <w:r>
        <w:rPr>
          <w:color w:val="231F20"/>
        </w:rPr>
        <w:t>the</w:t>
      </w:r>
      <w:r>
        <w:rPr>
          <w:color w:val="231F20"/>
          <w:spacing w:val="-11"/>
        </w:rPr>
        <w:t xml:space="preserve"> </w:t>
      </w:r>
      <w:r>
        <w:rPr>
          <w:color w:val="231F20"/>
        </w:rPr>
        <w:t>end</w:t>
      </w:r>
      <w:r>
        <w:rPr>
          <w:color w:val="231F20"/>
          <w:spacing w:val="-11"/>
        </w:rPr>
        <w:t xml:space="preserve"> </w:t>
      </w:r>
      <w:r>
        <w:rPr>
          <w:color w:val="231F20"/>
        </w:rPr>
        <w:t>of each annual reporting period, and adjustments are made where appropriate.</w:t>
      </w:r>
    </w:p>
    <w:p w14:paraId="556F39A3" w14:textId="77777777" w:rsidR="00345EE3" w:rsidRDefault="00345EE3" w:rsidP="00345EE3">
      <w:pPr>
        <w:pStyle w:val="BodyText"/>
        <w:spacing w:before="116" w:line="242" w:lineRule="auto"/>
        <w:ind w:right="115"/>
      </w:pPr>
      <w:r>
        <w:rPr>
          <w:color w:val="231F20"/>
        </w:rPr>
        <w:t>Right-of-use</w:t>
      </w:r>
      <w:r>
        <w:rPr>
          <w:color w:val="231F20"/>
          <w:spacing w:val="-10"/>
        </w:rPr>
        <w:t xml:space="preserve"> </w:t>
      </w:r>
      <w:r>
        <w:rPr>
          <w:color w:val="231F20"/>
        </w:rPr>
        <w:t>assets</w:t>
      </w:r>
      <w:r>
        <w:rPr>
          <w:color w:val="231F20"/>
          <w:spacing w:val="-9"/>
        </w:rPr>
        <w:t xml:space="preserve"> </w:t>
      </w:r>
      <w:r>
        <w:rPr>
          <w:color w:val="231F20"/>
        </w:rPr>
        <w:t>are</w:t>
      </w:r>
      <w:r>
        <w:rPr>
          <w:color w:val="231F20"/>
          <w:spacing w:val="-10"/>
        </w:rPr>
        <w:t xml:space="preserve"> </w:t>
      </w:r>
      <w:r>
        <w:rPr>
          <w:color w:val="231F20"/>
        </w:rPr>
        <w:t>depreciated</w:t>
      </w:r>
      <w:r>
        <w:rPr>
          <w:color w:val="231F20"/>
          <w:spacing w:val="-10"/>
        </w:rPr>
        <w:t xml:space="preserve"> </w:t>
      </w:r>
      <w:r>
        <w:rPr>
          <w:color w:val="231F20"/>
        </w:rPr>
        <w:t>on</w:t>
      </w:r>
      <w:r>
        <w:rPr>
          <w:color w:val="231F20"/>
          <w:spacing w:val="-10"/>
        </w:rPr>
        <w:t xml:space="preserve"> </w:t>
      </w:r>
      <w:r>
        <w:rPr>
          <w:color w:val="231F20"/>
        </w:rPr>
        <w:t>a</w:t>
      </w:r>
      <w:r>
        <w:rPr>
          <w:color w:val="231F20"/>
          <w:spacing w:val="-10"/>
        </w:rPr>
        <w:t xml:space="preserve"> </w:t>
      </w:r>
      <w:r>
        <w:rPr>
          <w:color w:val="231F20"/>
        </w:rPr>
        <w:t>straight-line</w:t>
      </w:r>
      <w:r>
        <w:rPr>
          <w:color w:val="231F20"/>
          <w:spacing w:val="-10"/>
        </w:rPr>
        <w:t xml:space="preserve"> </w:t>
      </w:r>
      <w:r>
        <w:rPr>
          <w:color w:val="231F20"/>
        </w:rPr>
        <w:t>basis</w:t>
      </w:r>
      <w:r>
        <w:rPr>
          <w:color w:val="231F20"/>
          <w:spacing w:val="-9"/>
        </w:rPr>
        <w:t xml:space="preserve"> </w:t>
      </w:r>
      <w:r>
        <w:rPr>
          <w:color w:val="231F20"/>
        </w:rPr>
        <w:t>over</w:t>
      </w:r>
      <w:r>
        <w:rPr>
          <w:color w:val="231F20"/>
          <w:spacing w:val="-9"/>
        </w:rPr>
        <w:t xml:space="preserve"> </w:t>
      </w:r>
      <w:r>
        <w:rPr>
          <w:color w:val="231F20"/>
        </w:rPr>
        <w:t>the</w:t>
      </w:r>
      <w:r>
        <w:rPr>
          <w:color w:val="231F20"/>
          <w:spacing w:val="-10"/>
        </w:rPr>
        <w:t xml:space="preserve"> </w:t>
      </w:r>
      <w:r>
        <w:rPr>
          <w:color w:val="231F20"/>
        </w:rPr>
        <w:t>shorter</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asset’s</w:t>
      </w:r>
      <w:r>
        <w:rPr>
          <w:color w:val="231F20"/>
          <w:spacing w:val="-9"/>
        </w:rPr>
        <w:t xml:space="preserve"> </w:t>
      </w:r>
      <w:r>
        <w:rPr>
          <w:color w:val="231F20"/>
        </w:rPr>
        <w:t>useful life and the lease term. Where Victoria Police obtains ownership of the underlying leased asset or if the cost of the right-of-use asset reflects that the entity will exercise a purchase option, the entity depreciates the right-of-use asset over its useful life.</w:t>
      </w:r>
    </w:p>
    <w:p w14:paraId="2703093E" w14:textId="77777777" w:rsidR="00345EE3" w:rsidRDefault="00345EE3" w:rsidP="00345EE3">
      <w:pPr>
        <w:pStyle w:val="BodyText"/>
        <w:spacing w:before="119" w:line="242" w:lineRule="auto"/>
        <w:ind w:right="327"/>
      </w:pPr>
      <w:r>
        <w:rPr>
          <w:color w:val="231F20"/>
        </w:rPr>
        <w:t>Leasehold</w:t>
      </w:r>
      <w:r>
        <w:rPr>
          <w:color w:val="231F20"/>
          <w:spacing w:val="-10"/>
        </w:rPr>
        <w:t xml:space="preserve"> </w:t>
      </w:r>
      <w:r>
        <w:rPr>
          <w:color w:val="231F20"/>
        </w:rPr>
        <w:t>improvements</w:t>
      </w:r>
      <w:r>
        <w:rPr>
          <w:color w:val="231F20"/>
          <w:spacing w:val="-10"/>
        </w:rPr>
        <w:t xml:space="preserve"> </w:t>
      </w:r>
      <w:r>
        <w:rPr>
          <w:color w:val="231F20"/>
        </w:rPr>
        <w:t>are</w:t>
      </w:r>
      <w:r>
        <w:rPr>
          <w:color w:val="231F20"/>
          <w:spacing w:val="-10"/>
        </w:rPr>
        <w:t xml:space="preserve"> </w:t>
      </w:r>
      <w:r>
        <w:rPr>
          <w:color w:val="231F20"/>
        </w:rPr>
        <w:t>depreciated</w:t>
      </w:r>
      <w:r>
        <w:rPr>
          <w:color w:val="231F20"/>
          <w:spacing w:val="-10"/>
        </w:rPr>
        <w:t xml:space="preserve"> </w:t>
      </w:r>
      <w:r>
        <w:rPr>
          <w:color w:val="231F20"/>
        </w:rPr>
        <w:t>over</w:t>
      </w:r>
      <w:r>
        <w:rPr>
          <w:color w:val="231F20"/>
          <w:spacing w:val="-10"/>
        </w:rPr>
        <w:t xml:space="preserve"> </w:t>
      </w:r>
      <w:r>
        <w:rPr>
          <w:color w:val="231F20"/>
        </w:rPr>
        <w:t>the</w:t>
      </w:r>
      <w:r>
        <w:rPr>
          <w:color w:val="231F20"/>
          <w:spacing w:val="-10"/>
        </w:rPr>
        <w:t xml:space="preserve"> </w:t>
      </w:r>
      <w:r>
        <w:rPr>
          <w:color w:val="231F20"/>
        </w:rPr>
        <w:t>shorter</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lease</w:t>
      </w:r>
      <w:r>
        <w:rPr>
          <w:color w:val="231F20"/>
          <w:spacing w:val="-10"/>
        </w:rPr>
        <w:t xml:space="preserve"> </w:t>
      </w:r>
      <w:r>
        <w:rPr>
          <w:color w:val="231F20"/>
        </w:rPr>
        <w:t>term</w:t>
      </w:r>
      <w:r>
        <w:rPr>
          <w:color w:val="231F20"/>
          <w:spacing w:val="-10"/>
        </w:rPr>
        <w:t xml:space="preserve"> </w:t>
      </w:r>
      <w:r>
        <w:rPr>
          <w:color w:val="231F20"/>
        </w:rPr>
        <w:t>and</w:t>
      </w:r>
      <w:r>
        <w:rPr>
          <w:color w:val="231F20"/>
          <w:spacing w:val="-10"/>
        </w:rPr>
        <w:t xml:space="preserve"> </w:t>
      </w:r>
      <w:r>
        <w:rPr>
          <w:color w:val="231F20"/>
        </w:rPr>
        <w:t>their</w:t>
      </w:r>
      <w:r>
        <w:rPr>
          <w:color w:val="231F20"/>
          <w:spacing w:val="-10"/>
        </w:rPr>
        <w:t xml:space="preserve"> </w:t>
      </w:r>
      <w:r>
        <w:rPr>
          <w:color w:val="231F20"/>
        </w:rPr>
        <w:t xml:space="preserve">useful </w:t>
      </w:r>
      <w:r>
        <w:rPr>
          <w:color w:val="231F20"/>
          <w:spacing w:val="-2"/>
        </w:rPr>
        <w:t>lives.</w:t>
      </w:r>
    </w:p>
    <w:p w14:paraId="3A865FFF" w14:textId="77777777" w:rsidR="00345EE3" w:rsidRDefault="00345EE3" w:rsidP="00345EE3">
      <w:pPr>
        <w:pStyle w:val="BodyText"/>
        <w:spacing w:before="116" w:line="242" w:lineRule="auto"/>
        <w:ind w:right="327"/>
      </w:pPr>
      <w:r>
        <w:rPr>
          <w:color w:val="231F20"/>
        </w:rPr>
        <w:t>In</w:t>
      </w:r>
      <w:r>
        <w:rPr>
          <w:color w:val="231F20"/>
          <w:spacing w:val="-7"/>
        </w:rPr>
        <w:t xml:space="preserve"> </w:t>
      </w:r>
      <w:r>
        <w:rPr>
          <w:color w:val="231F20"/>
        </w:rPr>
        <w:t>the</w:t>
      </w:r>
      <w:r>
        <w:rPr>
          <w:color w:val="231F20"/>
          <w:spacing w:val="-7"/>
        </w:rPr>
        <w:t xml:space="preserve"> </w:t>
      </w:r>
      <w:r>
        <w:rPr>
          <w:color w:val="231F20"/>
        </w:rPr>
        <w:t>event</w:t>
      </w:r>
      <w:r>
        <w:rPr>
          <w:color w:val="231F20"/>
          <w:spacing w:val="-6"/>
        </w:rPr>
        <w:t xml:space="preserve"> </w:t>
      </w:r>
      <w:r>
        <w:rPr>
          <w:color w:val="231F20"/>
        </w:rPr>
        <w:t>of</w:t>
      </w:r>
      <w:r>
        <w:rPr>
          <w:color w:val="231F20"/>
          <w:spacing w:val="-6"/>
        </w:rPr>
        <w:t xml:space="preserve"> </w:t>
      </w:r>
      <w:r>
        <w:rPr>
          <w:color w:val="231F20"/>
        </w:rPr>
        <w:t>a</w:t>
      </w:r>
      <w:r>
        <w:rPr>
          <w:color w:val="231F20"/>
          <w:spacing w:val="-7"/>
        </w:rPr>
        <w:t xml:space="preserve"> </w:t>
      </w:r>
      <w:r>
        <w:rPr>
          <w:color w:val="231F20"/>
        </w:rPr>
        <w:t>loss</w:t>
      </w:r>
      <w:r>
        <w:rPr>
          <w:color w:val="231F20"/>
          <w:spacing w:val="-6"/>
        </w:rPr>
        <w:t xml:space="preserve"> </w:t>
      </w:r>
      <w:r>
        <w:rPr>
          <w:color w:val="231F20"/>
        </w:rPr>
        <w:t>or</w:t>
      </w:r>
      <w:r>
        <w:rPr>
          <w:color w:val="231F20"/>
          <w:spacing w:val="-6"/>
        </w:rPr>
        <w:t xml:space="preserve"> </w:t>
      </w:r>
      <w:r>
        <w:rPr>
          <w:color w:val="231F20"/>
        </w:rPr>
        <w:t>destruction</w:t>
      </w:r>
      <w:r>
        <w:rPr>
          <w:color w:val="231F20"/>
          <w:spacing w:val="-7"/>
        </w:rPr>
        <w:t xml:space="preserve"> </w:t>
      </w:r>
      <w:r>
        <w:rPr>
          <w:color w:val="231F20"/>
        </w:rPr>
        <w:t>of</w:t>
      </w:r>
      <w:r>
        <w:rPr>
          <w:color w:val="231F20"/>
          <w:spacing w:val="-6"/>
        </w:rPr>
        <w:t xml:space="preserve"> </w:t>
      </w:r>
      <w:r>
        <w:rPr>
          <w:color w:val="231F20"/>
        </w:rPr>
        <w:t>an</w:t>
      </w:r>
      <w:r>
        <w:rPr>
          <w:color w:val="231F20"/>
          <w:spacing w:val="-7"/>
        </w:rPr>
        <w:t xml:space="preserve"> </w:t>
      </w:r>
      <w:r>
        <w:rPr>
          <w:color w:val="231F20"/>
        </w:rPr>
        <w:t>asset,</w:t>
      </w:r>
      <w:r>
        <w:rPr>
          <w:color w:val="231F20"/>
          <w:spacing w:val="-6"/>
        </w:rPr>
        <w:t xml:space="preserve"> </w:t>
      </w:r>
      <w:r>
        <w:rPr>
          <w:color w:val="231F20"/>
        </w:rPr>
        <w:t>the</w:t>
      </w:r>
      <w:r>
        <w:rPr>
          <w:color w:val="231F20"/>
          <w:spacing w:val="-7"/>
        </w:rPr>
        <w:t xml:space="preserve"> </w:t>
      </w:r>
      <w:r>
        <w:rPr>
          <w:color w:val="231F20"/>
        </w:rPr>
        <w:t>future</w:t>
      </w:r>
      <w:r>
        <w:rPr>
          <w:color w:val="231F20"/>
          <w:spacing w:val="-7"/>
        </w:rPr>
        <w:t xml:space="preserve"> </w:t>
      </w:r>
      <w:r>
        <w:rPr>
          <w:color w:val="231F20"/>
        </w:rPr>
        <w:t>economic</w:t>
      </w:r>
      <w:r>
        <w:rPr>
          <w:color w:val="231F20"/>
          <w:spacing w:val="-6"/>
        </w:rPr>
        <w:t xml:space="preserve"> </w:t>
      </w:r>
      <w:r>
        <w:rPr>
          <w:color w:val="231F20"/>
        </w:rPr>
        <w:t>benefits</w:t>
      </w:r>
      <w:r>
        <w:rPr>
          <w:color w:val="231F20"/>
          <w:spacing w:val="-6"/>
        </w:rPr>
        <w:t xml:space="preserve"> </w:t>
      </w:r>
      <w:r>
        <w:rPr>
          <w:color w:val="231F20"/>
        </w:rPr>
        <w:t>arising</w:t>
      </w:r>
      <w:r>
        <w:rPr>
          <w:color w:val="231F20"/>
          <w:spacing w:val="-7"/>
        </w:rPr>
        <w:t xml:space="preserve"> </w:t>
      </w:r>
      <w:r>
        <w:rPr>
          <w:color w:val="231F20"/>
        </w:rPr>
        <w:t>from</w:t>
      </w:r>
      <w:r>
        <w:rPr>
          <w:color w:val="231F20"/>
          <w:spacing w:val="-6"/>
        </w:rPr>
        <w:t xml:space="preserve"> </w:t>
      </w:r>
      <w:r>
        <w:rPr>
          <w:color w:val="231F20"/>
        </w:rPr>
        <w:t>the use of the asset will be replaced (unless a specific decision to the contrary has been made).</w:t>
      </w:r>
    </w:p>
    <w:p w14:paraId="501D969F" w14:textId="77777777" w:rsidR="00345EE3" w:rsidRDefault="00345EE3" w:rsidP="00345EE3">
      <w:pPr>
        <w:pStyle w:val="BodyText"/>
        <w:spacing w:before="115" w:line="242" w:lineRule="auto"/>
      </w:pPr>
      <w:r>
        <w:rPr>
          <w:b/>
          <w:color w:val="231F20"/>
        </w:rPr>
        <w:t>Indefinite</w:t>
      </w:r>
      <w:r>
        <w:rPr>
          <w:b/>
          <w:color w:val="231F20"/>
          <w:spacing w:val="-9"/>
        </w:rPr>
        <w:t xml:space="preserve"> </w:t>
      </w:r>
      <w:r>
        <w:rPr>
          <w:b/>
          <w:color w:val="231F20"/>
        </w:rPr>
        <w:t>Life</w:t>
      </w:r>
      <w:r>
        <w:rPr>
          <w:b/>
          <w:color w:val="231F20"/>
          <w:spacing w:val="-9"/>
        </w:rPr>
        <w:t xml:space="preserve"> </w:t>
      </w:r>
      <w:r>
        <w:rPr>
          <w:b/>
          <w:color w:val="231F20"/>
        </w:rPr>
        <w:t>Assets:</w:t>
      </w:r>
      <w:r>
        <w:rPr>
          <w:b/>
          <w:color w:val="231F20"/>
          <w:spacing w:val="-8"/>
        </w:rPr>
        <w:t xml:space="preserve"> </w:t>
      </w:r>
      <w:r>
        <w:rPr>
          <w:color w:val="231F20"/>
        </w:rPr>
        <w:t>Land</w:t>
      </w:r>
      <w:r>
        <w:rPr>
          <w:color w:val="231F20"/>
          <w:spacing w:val="-9"/>
        </w:rPr>
        <w:t xml:space="preserve"> </w:t>
      </w:r>
      <w:r>
        <w:rPr>
          <w:color w:val="231F20"/>
        </w:rPr>
        <w:t>and</w:t>
      </w:r>
      <w:r>
        <w:rPr>
          <w:color w:val="231F20"/>
          <w:spacing w:val="-9"/>
        </w:rPr>
        <w:t xml:space="preserve"> </w:t>
      </w:r>
      <w:r>
        <w:rPr>
          <w:color w:val="231F20"/>
        </w:rPr>
        <w:t>cultural</w:t>
      </w:r>
      <w:r>
        <w:rPr>
          <w:color w:val="231F20"/>
          <w:spacing w:val="-9"/>
        </w:rPr>
        <w:t xml:space="preserve"> </w:t>
      </w:r>
      <w:r>
        <w:rPr>
          <w:color w:val="231F20"/>
        </w:rPr>
        <w:t>assets</w:t>
      </w:r>
      <w:r>
        <w:rPr>
          <w:color w:val="231F20"/>
          <w:spacing w:val="-8"/>
        </w:rPr>
        <w:t xml:space="preserve"> </w:t>
      </w:r>
      <w:r>
        <w:rPr>
          <w:color w:val="231F20"/>
        </w:rPr>
        <w:t>which</w:t>
      </w:r>
      <w:r>
        <w:rPr>
          <w:color w:val="231F20"/>
          <w:spacing w:val="-9"/>
        </w:rPr>
        <w:t xml:space="preserve"> </w:t>
      </w:r>
      <w:r>
        <w:rPr>
          <w:color w:val="231F20"/>
        </w:rPr>
        <w:t>are</w:t>
      </w:r>
      <w:r>
        <w:rPr>
          <w:color w:val="231F20"/>
          <w:spacing w:val="-9"/>
        </w:rPr>
        <w:t xml:space="preserve"> </w:t>
      </w:r>
      <w:r>
        <w:rPr>
          <w:color w:val="231F20"/>
        </w:rPr>
        <w:t>considered</w:t>
      </w:r>
      <w:r>
        <w:rPr>
          <w:color w:val="231F20"/>
          <w:spacing w:val="-9"/>
        </w:rPr>
        <w:t xml:space="preserve"> </w:t>
      </w:r>
      <w:r>
        <w:rPr>
          <w:color w:val="231F20"/>
        </w:rPr>
        <w:t>to</w:t>
      </w:r>
      <w:r>
        <w:rPr>
          <w:color w:val="231F20"/>
          <w:spacing w:val="-9"/>
        </w:rPr>
        <w:t xml:space="preserve"> </w:t>
      </w:r>
      <w:r>
        <w:rPr>
          <w:color w:val="231F20"/>
        </w:rPr>
        <w:t>have</w:t>
      </w:r>
      <w:r>
        <w:rPr>
          <w:color w:val="231F20"/>
          <w:spacing w:val="-9"/>
        </w:rPr>
        <w:t xml:space="preserve"> </w:t>
      </w:r>
      <w:r>
        <w:rPr>
          <w:color w:val="231F20"/>
        </w:rPr>
        <w:t>an</w:t>
      </w:r>
      <w:r>
        <w:rPr>
          <w:color w:val="231F20"/>
          <w:spacing w:val="-9"/>
        </w:rPr>
        <w:t xml:space="preserve"> </w:t>
      </w:r>
      <w:r>
        <w:rPr>
          <w:color w:val="231F20"/>
        </w:rPr>
        <w:t>indefinite</w:t>
      </w:r>
      <w:r>
        <w:rPr>
          <w:color w:val="231F20"/>
          <w:spacing w:val="-9"/>
        </w:rPr>
        <w:t xml:space="preserve"> </w:t>
      </w:r>
      <w:r>
        <w:rPr>
          <w:color w:val="231F20"/>
        </w:rPr>
        <w:t>life, are not depreciated. Depreciation is not recognised in respect of these assets because their service potential has not, in any material sense, been consumed during the reporting period.</w:t>
      </w:r>
    </w:p>
    <w:p w14:paraId="1A283B90" w14:textId="77777777" w:rsidR="00345EE3" w:rsidRDefault="00345EE3" w:rsidP="00345EE3">
      <w:pPr>
        <w:spacing w:before="118"/>
        <w:ind w:left="110"/>
        <w:rPr>
          <w:sz w:val="24"/>
        </w:rPr>
      </w:pPr>
      <w:r>
        <w:rPr>
          <w:b/>
          <w:color w:val="231F20"/>
          <w:sz w:val="24"/>
        </w:rPr>
        <w:t>Internally</w:t>
      </w:r>
      <w:r>
        <w:rPr>
          <w:b/>
          <w:color w:val="231F20"/>
          <w:spacing w:val="-8"/>
          <w:sz w:val="24"/>
        </w:rPr>
        <w:t xml:space="preserve"> </w:t>
      </w:r>
      <w:r>
        <w:rPr>
          <w:b/>
          <w:color w:val="231F20"/>
          <w:sz w:val="24"/>
        </w:rPr>
        <w:t>Generated</w:t>
      </w:r>
      <w:r>
        <w:rPr>
          <w:b/>
          <w:color w:val="231F20"/>
          <w:spacing w:val="-6"/>
          <w:sz w:val="24"/>
        </w:rPr>
        <w:t xml:space="preserve"> </w:t>
      </w:r>
      <w:r>
        <w:rPr>
          <w:b/>
          <w:color w:val="231F20"/>
          <w:sz w:val="24"/>
        </w:rPr>
        <w:t>Intangible</w:t>
      </w:r>
      <w:r>
        <w:rPr>
          <w:b/>
          <w:color w:val="231F20"/>
          <w:spacing w:val="-6"/>
          <w:sz w:val="24"/>
        </w:rPr>
        <w:t xml:space="preserve"> </w:t>
      </w:r>
      <w:r>
        <w:rPr>
          <w:b/>
          <w:color w:val="231F20"/>
          <w:sz w:val="24"/>
        </w:rPr>
        <w:t>Assets:</w:t>
      </w:r>
      <w:r>
        <w:rPr>
          <w:b/>
          <w:color w:val="231F20"/>
          <w:spacing w:val="-7"/>
          <w:sz w:val="24"/>
        </w:rPr>
        <w:t xml:space="preserve"> </w:t>
      </w:r>
      <w:r>
        <w:rPr>
          <w:color w:val="231F20"/>
          <w:sz w:val="24"/>
        </w:rPr>
        <w:t>Refer</w:t>
      </w:r>
      <w:r>
        <w:rPr>
          <w:color w:val="231F20"/>
          <w:spacing w:val="-6"/>
          <w:sz w:val="24"/>
        </w:rPr>
        <w:t xml:space="preserve"> </w:t>
      </w:r>
      <w:r>
        <w:rPr>
          <w:color w:val="231F20"/>
          <w:sz w:val="24"/>
        </w:rPr>
        <w:t>to</w:t>
      </w:r>
      <w:r>
        <w:rPr>
          <w:color w:val="231F20"/>
          <w:spacing w:val="-6"/>
          <w:sz w:val="24"/>
        </w:rPr>
        <w:t xml:space="preserve"> </w:t>
      </w:r>
      <w:r>
        <w:rPr>
          <w:color w:val="231F20"/>
          <w:sz w:val="24"/>
        </w:rPr>
        <w:t>Note</w:t>
      </w:r>
      <w:r>
        <w:rPr>
          <w:color w:val="231F20"/>
          <w:spacing w:val="-7"/>
          <w:sz w:val="24"/>
        </w:rPr>
        <w:t xml:space="preserve"> </w:t>
      </w:r>
      <w:r>
        <w:rPr>
          <w:color w:val="231F20"/>
          <w:sz w:val="24"/>
        </w:rPr>
        <w:t>5.2</w:t>
      </w:r>
      <w:r>
        <w:rPr>
          <w:color w:val="231F20"/>
          <w:spacing w:val="-7"/>
          <w:sz w:val="24"/>
        </w:rPr>
        <w:t xml:space="preserve"> </w:t>
      </w:r>
      <w:r>
        <w:rPr>
          <w:color w:val="231F20"/>
          <w:sz w:val="24"/>
        </w:rPr>
        <w:t>Intangible</w:t>
      </w:r>
      <w:r>
        <w:rPr>
          <w:color w:val="231F20"/>
          <w:spacing w:val="-6"/>
          <w:sz w:val="24"/>
        </w:rPr>
        <w:t xml:space="preserve"> </w:t>
      </w:r>
      <w:r>
        <w:rPr>
          <w:color w:val="231F20"/>
          <w:spacing w:val="-2"/>
          <w:sz w:val="24"/>
        </w:rPr>
        <w:t>Assets.</w:t>
      </w:r>
    </w:p>
    <w:p w14:paraId="1481C913" w14:textId="77777777" w:rsidR="00345EE3" w:rsidRDefault="00345EE3" w:rsidP="00345EE3">
      <w:pPr>
        <w:pStyle w:val="Heading5"/>
        <w:spacing w:before="120"/>
      </w:pPr>
      <w:r>
        <w:rPr>
          <w:color w:val="231F20"/>
        </w:rPr>
        <w:t>Amortisation</w:t>
      </w:r>
      <w:r>
        <w:rPr>
          <w:color w:val="231F20"/>
          <w:spacing w:val="-2"/>
        </w:rPr>
        <w:t xml:space="preserve"> </w:t>
      </w:r>
      <w:r>
        <w:rPr>
          <w:color w:val="231F20"/>
        </w:rPr>
        <w:t>of</w:t>
      </w:r>
      <w:r>
        <w:rPr>
          <w:color w:val="231F20"/>
          <w:spacing w:val="1"/>
        </w:rPr>
        <w:t xml:space="preserve"> </w:t>
      </w:r>
      <w:r>
        <w:rPr>
          <w:color w:val="231F20"/>
        </w:rPr>
        <w:t>Internally Generated</w:t>
      </w:r>
      <w:r>
        <w:rPr>
          <w:color w:val="231F20"/>
          <w:spacing w:val="1"/>
        </w:rPr>
        <w:t xml:space="preserve"> </w:t>
      </w:r>
      <w:r>
        <w:rPr>
          <w:color w:val="231F20"/>
        </w:rPr>
        <w:t xml:space="preserve">Intangible </w:t>
      </w:r>
      <w:r>
        <w:rPr>
          <w:color w:val="231F20"/>
          <w:spacing w:val="-2"/>
        </w:rPr>
        <w:t>Assets</w:t>
      </w:r>
    </w:p>
    <w:p w14:paraId="520B9580" w14:textId="77777777" w:rsidR="00345EE3" w:rsidRDefault="00345EE3" w:rsidP="00345EE3">
      <w:pPr>
        <w:pStyle w:val="BodyText"/>
        <w:spacing w:before="61" w:line="242" w:lineRule="auto"/>
        <w:ind w:right="421"/>
      </w:pPr>
      <w:r>
        <w:rPr>
          <w:color w:val="231F20"/>
        </w:rPr>
        <w:t>Internally generated intangible assets with finite useful lives are amortised as an expense from</w:t>
      </w:r>
      <w:r>
        <w:rPr>
          <w:color w:val="231F20"/>
          <w:spacing w:val="-1"/>
        </w:rPr>
        <w:t xml:space="preserve"> </w:t>
      </w:r>
      <w:r>
        <w:rPr>
          <w:color w:val="231F20"/>
        </w:rPr>
        <w:t>transactions</w:t>
      </w:r>
      <w:r>
        <w:rPr>
          <w:color w:val="231F20"/>
          <w:spacing w:val="-1"/>
        </w:rPr>
        <w:t xml:space="preserve"> </w:t>
      </w:r>
      <w:r>
        <w:rPr>
          <w:color w:val="231F20"/>
        </w:rPr>
        <w:t>on</w:t>
      </w:r>
      <w:r>
        <w:rPr>
          <w:color w:val="231F20"/>
          <w:spacing w:val="-2"/>
        </w:rPr>
        <w:t xml:space="preserve"> </w:t>
      </w:r>
      <w:r>
        <w:rPr>
          <w:color w:val="231F20"/>
        </w:rPr>
        <w:t>a</w:t>
      </w:r>
      <w:r>
        <w:rPr>
          <w:color w:val="231F20"/>
          <w:spacing w:val="-2"/>
        </w:rPr>
        <w:t xml:space="preserve"> </w:t>
      </w:r>
      <w:r>
        <w:rPr>
          <w:color w:val="231F20"/>
        </w:rPr>
        <w:t>systematic</w:t>
      </w:r>
      <w:r>
        <w:rPr>
          <w:color w:val="231F20"/>
          <w:spacing w:val="-1"/>
        </w:rPr>
        <w:t xml:space="preserve"> </w:t>
      </w:r>
      <w:r>
        <w:rPr>
          <w:color w:val="231F20"/>
        </w:rPr>
        <w:t>(typically</w:t>
      </w:r>
      <w:r>
        <w:rPr>
          <w:color w:val="231F20"/>
          <w:spacing w:val="-1"/>
        </w:rPr>
        <w:t xml:space="preserve"> </w:t>
      </w:r>
      <w:r>
        <w:rPr>
          <w:color w:val="231F20"/>
        </w:rPr>
        <w:t>straight-line)</w:t>
      </w:r>
      <w:r>
        <w:rPr>
          <w:color w:val="231F20"/>
          <w:spacing w:val="-1"/>
        </w:rPr>
        <w:t xml:space="preserve"> </w:t>
      </w:r>
      <w:r>
        <w:rPr>
          <w:color w:val="231F20"/>
        </w:rPr>
        <w:t>basis</w:t>
      </w:r>
      <w:r>
        <w:rPr>
          <w:color w:val="231F20"/>
          <w:spacing w:val="-1"/>
        </w:rPr>
        <w:t xml:space="preserve"> </w:t>
      </w:r>
      <w:r>
        <w:rPr>
          <w:color w:val="231F20"/>
        </w:rPr>
        <w:t>over</w:t>
      </w:r>
      <w:r>
        <w:rPr>
          <w:color w:val="231F20"/>
          <w:spacing w:val="-1"/>
        </w:rPr>
        <w:t xml:space="preserve"> </w:t>
      </w:r>
      <w:r>
        <w:rPr>
          <w:color w:val="231F20"/>
        </w:rPr>
        <w:t>the</w:t>
      </w:r>
      <w:r>
        <w:rPr>
          <w:color w:val="231F20"/>
          <w:spacing w:val="-2"/>
        </w:rPr>
        <w:t xml:space="preserve"> </w:t>
      </w:r>
      <w:r>
        <w:rPr>
          <w:color w:val="231F20"/>
        </w:rPr>
        <w:t>asset’s</w:t>
      </w:r>
      <w:r>
        <w:rPr>
          <w:color w:val="231F20"/>
          <w:spacing w:val="-1"/>
        </w:rPr>
        <w:t xml:space="preserve"> </w:t>
      </w:r>
      <w:r>
        <w:rPr>
          <w:color w:val="231F20"/>
        </w:rPr>
        <w:t>useful</w:t>
      </w:r>
      <w:r>
        <w:rPr>
          <w:color w:val="231F20"/>
          <w:spacing w:val="-2"/>
        </w:rPr>
        <w:t xml:space="preserve"> </w:t>
      </w:r>
      <w:r>
        <w:rPr>
          <w:color w:val="231F20"/>
        </w:rPr>
        <w:t>life. Amortisation</w:t>
      </w:r>
      <w:r>
        <w:rPr>
          <w:color w:val="231F20"/>
          <w:spacing w:val="-1"/>
        </w:rPr>
        <w:t xml:space="preserve"> </w:t>
      </w:r>
      <w:r>
        <w:rPr>
          <w:color w:val="231F20"/>
        </w:rPr>
        <w:t>begins when</w:t>
      </w:r>
      <w:r>
        <w:rPr>
          <w:color w:val="231F20"/>
          <w:spacing w:val="-1"/>
        </w:rPr>
        <w:t xml:space="preserve"> </w:t>
      </w:r>
      <w:r>
        <w:rPr>
          <w:color w:val="231F20"/>
        </w:rPr>
        <w:t>the</w:t>
      </w:r>
      <w:r>
        <w:rPr>
          <w:color w:val="231F20"/>
          <w:spacing w:val="-1"/>
        </w:rPr>
        <w:t xml:space="preserve"> </w:t>
      </w:r>
      <w:r>
        <w:rPr>
          <w:color w:val="231F20"/>
        </w:rPr>
        <w:t>asset is available</w:t>
      </w:r>
      <w:r>
        <w:rPr>
          <w:color w:val="231F20"/>
          <w:spacing w:val="-1"/>
        </w:rPr>
        <w:t xml:space="preserve"> </w:t>
      </w:r>
      <w:r>
        <w:rPr>
          <w:color w:val="231F20"/>
        </w:rPr>
        <w:t>for use, that is, when</w:t>
      </w:r>
      <w:r>
        <w:rPr>
          <w:color w:val="231F20"/>
          <w:spacing w:val="-1"/>
        </w:rPr>
        <w:t xml:space="preserve"> </w:t>
      </w:r>
      <w:r>
        <w:rPr>
          <w:color w:val="231F20"/>
        </w:rPr>
        <w:t>it is in</w:t>
      </w:r>
      <w:r>
        <w:rPr>
          <w:color w:val="231F20"/>
          <w:spacing w:val="-1"/>
        </w:rPr>
        <w:t xml:space="preserve"> </w:t>
      </w:r>
      <w:r>
        <w:rPr>
          <w:color w:val="231F20"/>
        </w:rPr>
        <w:t>the</w:t>
      </w:r>
      <w:r>
        <w:rPr>
          <w:color w:val="231F20"/>
          <w:spacing w:val="-1"/>
        </w:rPr>
        <w:t xml:space="preserve"> </w:t>
      </w:r>
      <w:r>
        <w:rPr>
          <w:color w:val="231F20"/>
        </w:rPr>
        <w:t>location</w:t>
      </w:r>
      <w:r>
        <w:rPr>
          <w:color w:val="231F20"/>
          <w:spacing w:val="-1"/>
        </w:rPr>
        <w:t xml:space="preserve"> </w:t>
      </w:r>
      <w:r>
        <w:rPr>
          <w:color w:val="231F20"/>
        </w:rPr>
        <w:t>and condition</w:t>
      </w:r>
      <w:r>
        <w:rPr>
          <w:color w:val="231F20"/>
          <w:spacing w:val="-8"/>
        </w:rPr>
        <w:t xml:space="preserve"> </w:t>
      </w:r>
      <w:r>
        <w:rPr>
          <w:color w:val="231F20"/>
        </w:rPr>
        <w:t>necessary</w:t>
      </w:r>
      <w:r>
        <w:rPr>
          <w:color w:val="231F20"/>
          <w:spacing w:val="-7"/>
        </w:rPr>
        <w:t xml:space="preserve"> </w:t>
      </w:r>
      <w:r>
        <w:rPr>
          <w:color w:val="231F20"/>
        </w:rPr>
        <w:t>for</w:t>
      </w:r>
      <w:r>
        <w:rPr>
          <w:color w:val="231F20"/>
          <w:spacing w:val="-7"/>
        </w:rPr>
        <w:t xml:space="preserve"> </w:t>
      </w:r>
      <w:r>
        <w:rPr>
          <w:color w:val="231F20"/>
        </w:rPr>
        <w:t>it</w:t>
      </w:r>
      <w:r>
        <w:rPr>
          <w:color w:val="231F20"/>
          <w:spacing w:val="-7"/>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capable</w:t>
      </w:r>
      <w:r>
        <w:rPr>
          <w:color w:val="231F20"/>
          <w:spacing w:val="-8"/>
        </w:rPr>
        <w:t xml:space="preserve"> </w:t>
      </w:r>
      <w:r>
        <w:rPr>
          <w:color w:val="231F20"/>
        </w:rPr>
        <w:t>of</w:t>
      </w:r>
      <w:r>
        <w:rPr>
          <w:color w:val="231F20"/>
          <w:spacing w:val="-7"/>
        </w:rPr>
        <w:t xml:space="preserve"> </w:t>
      </w:r>
      <w:r>
        <w:rPr>
          <w:color w:val="231F20"/>
        </w:rPr>
        <w:t>operating</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manner</w:t>
      </w:r>
      <w:r>
        <w:rPr>
          <w:color w:val="231F20"/>
          <w:spacing w:val="-7"/>
        </w:rPr>
        <w:t xml:space="preserve"> </w:t>
      </w:r>
      <w:r>
        <w:rPr>
          <w:color w:val="231F20"/>
        </w:rPr>
        <w:t>intended</w:t>
      </w:r>
      <w:r>
        <w:rPr>
          <w:color w:val="231F20"/>
          <w:spacing w:val="-8"/>
        </w:rPr>
        <w:t xml:space="preserve"> </w:t>
      </w:r>
      <w:r>
        <w:rPr>
          <w:color w:val="231F20"/>
        </w:rPr>
        <w:t>by</w:t>
      </w:r>
      <w:r>
        <w:rPr>
          <w:color w:val="231F20"/>
          <w:spacing w:val="-7"/>
        </w:rPr>
        <w:t xml:space="preserve"> </w:t>
      </w:r>
      <w:r>
        <w:rPr>
          <w:color w:val="231F20"/>
        </w:rPr>
        <w:t>management.</w:t>
      </w:r>
    </w:p>
    <w:p w14:paraId="217320CD" w14:textId="77777777" w:rsidR="00345EE3" w:rsidRDefault="00345EE3" w:rsidP="00345EE3">
      <w:pPr>
        <w:pStyle w:val="BodyText"/>
        <w:spacing w:before="5" w:line="242" w:lineRule="auto"/>
      </w:pPr>
      <w:r>
        <w:rPr>
          <w:color w:val="231F20"/>
        </w:rPr>
        <w:t>The</w:t>
      </w:r>
      <w:r>
        <w:rPr>
          <w:color w:val="231F20"/>
          <w:spacing w:val="-10"/>
        </w:rPr>
        <w:t xml:space="preserve"> </w:t>
      </w:r>
      <w:r>
        <w:rPr>
          <w:color w:val="231F20"/>
        </w:rPr>
        <w:t>estimated</w:t>
      </w:r>
      <w:r>
        <w:rPr>
          <w:color w:val="231F20"/>
          <w:spacing w:val="-10"/>
        </w:rPr>
        <w:t xml:space="preserve"> </w:t>
      </w:r>
      <w:r>
        <w:rPr>
          <w:color w:val="231F20"/>
        </w:rPr>
        <w:t>useful</w:t>
      </w:r>
      <w:r>
        <w:rPr>
          <w:color w:val="231F20"/>
          <w:spacing w:val="-10"/>
        </w:rPr>
        <w:t xml:space="preserve"> </w:t>
      </w:r>
      <w:r>
        <w:rPr>
          <w:color w:val="231F20"/>
        </w:rPr>
        <w:t>lives,</w:t>
      </w:r>
      <w:r>
        <w:rPr>
          <w:color w:val="231F20"/>
          <w:spacing w:val="-9"/>
        </w:rPr>
        <w:t xml:space="preserve"> </w:t>
      </w:r>
      <w:r>
        <w:rPr>
          <w:color w:val="231F20"/>
        </w:rPr>
        <w:t>residual</w:t>
      </w:r>
      <w:r>
        <w:rPr>
          <w:color w:val="231F20"/>
          <w:spacing w:val="-10"/>
        </w:rPr>
        <w:t xml:space="preserve"> </w:t>
      </w:r>
      <w:r>
        <w:rPr>
          <w:color w:val="231F20"/>
        </w:rPr>
        <w:t>values</w:t>
      </w:r>
      <w:r>
        <w:rPr>
          <w:color w:val="231F20"/>
          <w:spacing w:val="-9"/>
        </w:rPr>
        <w:t xml:space="preserve"> </w:t>
      </w:r>
      <w:r>
        <w:rPr>
          <w:color w:val="231F20"/>
        </w:rPr>
        <w:t>and</w:t>
      </w:r>
      <w:r>
        <w:rPr>
          <w:color w:val="231F20"/>
          <w:spacing w:val="-10"/>
        </w:rPr>
        <w:t xml:space="preserve"> </w:t>
      </w:r>
      <w:r>
        <w:rPr>
          <w:color w:val="231F20"/>
        </w:rPr>
        <w:t>amortisation</w:t>
      </w:r>
      <w:r>
        <w:rPr>
          <w:color w:val="231F20"/>
          <w:spacing w:val="-10"/>
        </w:rPr>
        <w:t xml:space="preserve"> </w:t>
      </w:r>
      <w:r>
        <w:rPr>
          <w:color w:val="231F20"/>
        </w:rPr>
        <w:t>method</w:t>
      </w:r>
      <w:r>
        <w:rPr>
          <w:color w:val="231F20"/>
          <w:spacing w:val="-10"/>
        </w:rPr>
        <w:t xml:space="preserve"> </w:t>
      </w:r>
      <w:r>
        <w:rPr>
          <w:color w:val="231F20"/>
        </w:rPr>
        <w:t>are</w:t>
      </w:r>
      <w:r>
        <w:rPr>
          <w:color w:val="231F20"/>
          <w:spacing w:val="-10"/>
        </w:rPr>
        <w:t xml:space="preserve"> </w:t>
      </w:r>
      <w:r>
        <w:rPr>
          <w:color w:val="231F20"/>
        </w:rPr>
        <w:t>reviewed</w:t>
      </w:r>
      <w:r>
        <w:rPr>
          <w:color w:val="231F20"/>
          <w:spacing w:val="-10"/>
        </w:rPr>
        <w:t xml:space="preserve"> </w:t>
      </w:r>
      <w:r>
        <w:rPr>
          <w:color w:val="231F20"/>
        </w:rPr>
        <w:t>at</w:t>
      </w:r>
      <w:r>
        <w:rPr>
          <w:color w:val="231F20"/>
          <w:spacing w:val="-9"/>
        </w:rPr>
        <w:t xml:space="preserve"> </w:t>
      </w:r>
      <w:r>
        <w:rPr>
          <w:color w:val="231F20"/>
        </w:rPr>
        <w:t>the</w:t>
      </w:r>
      <w:r>
        <w:rPr>
          <w:color w:val="231F20"/>
          <w:spacing w:val="-10"/>
        </w:rPr>
        <w:t xml:space="preserve"> </w:t>
      </w:r>
      <w:r>
        <w:rPr>
          <w:color w:val="231F20"/>
        </w:rPr>
        <w:t>end</w:t>
      </w:r>
      <w:r>
        <w:rPr>
          <w:color w:val="231F20"/>
          <w:spacing w:val="-10"/>
        </w:rPr>
        <w:t xml:space="preserve"> </w:t>
      </w:r>
      <w:r>
        <w:rPr>
          <w:color w:val="231F20"/>
        </w:rPr>
        <w:t>of each annual reporting period and adjustments are made where appropriate.</w:t>
      </w:r>
    </w:p>
    <w:p w14:paraId="58BE0F05" w14:textId="77777777" w:rsidR="00345EE3" w:rsidRDefault="00345EE3" w:rsidP="00345EE3">
      <w:pPr>
        <w:spacing w:line="242" w:lineRule="auto"/>
        <w:sectPr w:rsidR="00345EE3">
          <w:pgSz w:w="11910" w:h="16840"/>
          <w:pgMar w:top="720" w:right="720" w:bottom="280" w:left="740" w:header="720" w:footer="720" w:gutter="0"/>
          <w:cols w:space="720"/>
        </w:sectPr>
      </w:pPr>
    </w:p>
    <w:p w14:paraId="0E5315A6" w14:textId="77777777" w:rsidR="00345EE3" w:rsidRDefault="00345EE3" w:rsidP="002A27BA">
      <w:pPr>
        <w:pStyle w:val="Heading3"/>
      </w:pPr>
      <w:r>
        <w:t>5.1</w:t>
      </w:r>
      <w:r>
        <w:rPr>
          <w:spacing w:val="-12"/>
        </w:rPr>
        <w:t xml:space="preserve"> </w:t>
      </w:r>
      <w:r>
        <w:t>Property,</w:t>
      </w:r>
      <w:r>
        <w:rPr>
          <w:spacing w:val="-9"/>
        </w:rPr>
        <w:t xml:space="preserve"> </w:t>
      </w:r>
      <w:r>
        <w:t>Plant</w:t>
      </w:r>
      <w:r>
        <w:rPr>
          <w:spacing w:val="-10"/>
        </w:rPr>
        <w:t xml:space="preserve"> </w:t>
      </w:r>
      <w:r>
        <w:t>and</w:t>
      </w:r>
      <w:r>
        <w:rPr>
          <w:spacing w:val="-9"/>
        </w:rPr>
        <w:t xml:space="preserve"> </w:t>
      </w:r>
      <w:r>
        <w:t>Equipment</w:t>
      </w:r>
      <w:r>
        <w:rPr>
          <w:spacing w:val="-9"/>
        </w:rPr>
        <w:t xml:space="preserve"> </w:t>
      </w:r>
      <w:r>
        <w:rPr>
          <w:spacing w:val="-2"/>
        </w:rPr>
        <w:t>(Cont’d)</w:t>
      </w:r>
    </w:p>
    <w:p w14:paraId="24724B30" w14:textId="77777777" w:rsidR="00345EE3" w:rsidRPr="00FF6776" w:rsidRDefault="00345EE3">
      <w:pPr>
        <w:pStyle w:val="Heading5"/>
        <w:numPr>
          <w:ilvl w:val="2"/>
          <w:numId w:val="33"/>
        </w:numPr>
        <w:tabs>
          <w:tab w:val="left" w:pos="711"/>
        </w:tabs>
        <w:spacing w:before="109" w:after="120"/>
        <w:ind w:left="673" w:hanging="564"/>
      </w:pPr>
      <w:r>
        <w:rPr>
          <w:color w:val="58595B"/>
        </w:rPr>
        <w:t>Reconciliation</w:t>
      </w:r>
      <w:r>
        <w:rPr>
          <w:color w:val="58595B"/>
          <w:spacing w:val="-6"/>
        </w:rPr>
        <w:t xml:space="preserve"> </w:t>
      </w:r>
      <w:r>
        <w:rPr>
          <w:color w:val="58595B"/>
        </w:rPr>
        <w:t>of</w:t>
      </w:r>
      <w:r>
        <w:rPr>
          <w:color w:val="58595B"/>
          <w:spacing w:val="-5"/>
        </w:rPr>
        <w:t xml:space="preserve"> </w:t>
      </w:r>
      <w:r>
        <w:rPr>
          <w:color w:val="58595B"/>
        </w:rPr>
        <w:t>Movements</w:t>
      </w:r>
      <w:r>
        <w:rPr>
          <w:color w:val="58595B"/>
          <w:spacing w:val="-4"/>
        </w:rPr>
        <w:t xml:space="preserve"> </w:t>
      </w:r>
      <w:r>
        <w:rPr>
          <w:color w:val="58595B"/>
        </w:rPr>
        <w:t>in</w:t>
      </w:r>
      <w:r>
        <w:rPr>
          <w:color w:val="58595B"/>
          <w:spacing w:val="-5"/>
        </w:rPr>
        <w:t xml:space="preserve"> </w:t>
      </w:r>
      <w:r>
        <w:rPr>
          <w:color w:val="58595B"/>
        </w:rPr>
        <w:t>Carrying</w:t>
      </w:r>
      <w:r>
        <w:rPr>
          <w:color w:val="58595B"/>
          <w:spacing w:val="-14"/>
        </w:rPr>
        <w:t xml:space="preserve"> </w:t>
      </w:r>
      <w:r>
        <w:rPr>
          <w:color w:val="58595B"/>
        </w:rPr>
        <w:t>Amounts</w:t>
      </w:r>
      <w:r>
        <w:rPr>
          <w:color w:val="58595B"/>
          <w:spacing w:val="-6"/>
        </w:rPr>
        <w:t xml:space="preserve"> </w:t>
      </w:r>
      <w:r>
        <w:rPr>
          <w:color w:val="58595B"/>
        </w:rPr>
        <w:t>of</w:t>
      </w:r>
      <w:r>
        <w:rPr>
          <w:color w:val="58595B"/>
          <w:spacing w:val="-4"/>
        </w:rPr>
        <w:t xml:space="preserve"> </w:t>
      </w:r>
      <w:r>
        <w:rPr>
          <w:color w:val="58595B"/>
        </w:rPr>
        <w:t>Property,</w:t>
      </w:r>
      <w:r>
        <w:rPr>
          <w:color w:val="58595B"/>
          <w:spacing w:val="-5"/>
        </w:rPr>
        <w:t xml:space="preserve"> </w:t>
      </w:r>
      <w:r>
        <w:rPr>
          <w:color w:val="58595B"/>
        </w:rPr>
        <w:t>Plant</w:t>
      </w:r>
      <w:r>
        <w:rPr>
          <w:color w:val="58595B"/>
          <w:spacing w:val="-5"/>
        </w:rPr>
        <w:t xml:space="preserve"> </w:t>
      </w:r>
      <w:r>
        <w:rPr>
          <w:color w:val="58595B"/>
        </w:rPr>
        <w:t>and</w:t>
      </w:r>
      <w:r>
        <w:rPr>
          <w:color w:val="58595B"/>
          <w:spacing w:val="-5"/>
        </w:rPr>
        <w:t xml:space="preserve"> </w:t>
      </w:r>
      <w:r>
        <w:rPr>
          <w:color w:val="58595B"/>
          <w:spacing w:val="-2"/>
        </w:rPr>
        <w:t>Equipment</w:t>
      </w:r>
    </w:p>
    <w:p w14:paraId="4FBB27A9" w14:textId="77777777" w:rsidR="00345EE3" w:rsidRDefault="00345EE3" w:rsidP="00345EE3">
      <w:pPr>
        <w:pStyle w:val="BodyText"/>
        <w:spacing w:line="20" w:lineRule="exact"/>
        <w:ind w:left="100"/>
        <w:rPr>
          <w:sz w:val="2"/>
        </w:rPr>
      </w:pPr>
    </w:p>
    <w:tbl>
      <w:tblPr>
        <w:tblW w:w="0" w:type="auto"/>
        <w:tblInd w:w="14" w:type="dxa"/>
        <w:tblLayout w:type="fixed"/>
        <w:tblCellMar>
          <w:left w:w="0" w:type="dxa"/>
          <w:right w:w="0" w:type="dxa"/>
        </w:tblCellMar>
        <w:tblLook w:val="0000" w:firstRow="0" w:lastRow="0" w:firstColumn="0" w:lastColumn="0" w:noHBand="0" w:noVBand="0"/>
      </w:tblPr>
      <w:tblGrid>
        <w:gridCol w:w="2211"/>
        <w:gridCol w:w="907"/>
        <w:gridCol w:w="907"/>
        <w:gridCol w:w="851"/>
        <w:gridCol w:w="793"/>
        <w:gridCol w:w="1134"/>
        <w:gridCol w:w="1134"/>
        <w:gridCol w:w="907"/>
        <w:gridCol w:w="907"/>
        <w:gridCol w:w="1021"/>
        <w:gridCol w:w="1020"/>
        <w:gridCol w:w="794"/>
        <w:gridCol w:w="737"/>
        <w:gridCol w:w="1134"/>
        <w:gridCol w:w="1134"/>
      </w:tblGrid>
      <w:tr w:rsidR="00345EE3" w14:paraId="4FA9694F" w14:textId="77777777" w:rsidTr="00D73130">
        <w:trPr>
          <w:trHeight w:val="60"/>
          <w:tblHeader/>
        </w:trPr>
        <w:tc>
          <w:tcPr>
            <w:tcW w:w="5669" w:type="dxa"/>
            <w:gridSpan w:val="5"/>
            <w:tcBorders>
              <w:top w:val="single" w:sz="2" w:space="0" w:color="004996"/>
              <w:left w:val="single" w:sz="6" w:space="0" w:color="auto"/>
              <w:bottom w:val="single" w:sz="2" w:space="0" w:color="FFFFFF"/>
              <w:right w:val="single" w:sz="6" w:space="0" w:color="auto"/>
            </w:tcBorders>
            <w:shd w:val="solid" w:color="004996" w:fill="auto"/>
            <w:tcMar>
              <w:top w:w="113" w:type="dxa"/>
              <w:left w:w="14" w:type="dxa"/>
              <w:bottom w:w="113" w:type="dxa"/>
              <w:right w:w="14" w:type="dxa"/>
            </w:tcMar>
          </w:tcPr>
          <w:p w14:paraId="59ED5336" w14:textId="77777777" w:rsidR="00345EE3" w:rsidRDefault="00345EE3" w:rsidP="00D73130">
            <w:pPr>
              <w:pStyle w:val="VicPol-TableHeadingWhiteRight-2022Tables"/>
            </w:pPr>
            <w:r>
              <w:t>($ thousand)</w:t>
            </w:r>
          </w:p>
        </w:tc>
        <w:tc>
          <w:tcPr>
            <w:tcW w:w="9922" w:type="dxa"/>
            <w:gridSpan w:val="10"/>
            <w:tcBorders>
              <w:top w:val="single" w:sz="2" w:space="0" w:color="004996"/>
              <w:left w:val="single" w:sz="6" w:space="0" w:color="auto"/>
              <w:bottom w:val="single" w:sz="2" w:space="0" w:color="FFFFFF"/>
              <w:right w:val="single" w:sz="6" w:space="0" w:color="auto"/>
            </w:tcBorders>
            <w:shd w:val="solid" w:color="004996" w:fill="auto"/>
            <w:tcMar>
              <w:top w:w="113" w:type="dxa"/>
              <w:left w:w="14" w:type="dxa"/>
              <w:bottom w:w="113" w:type="dxa"/>
              <w:right w:w="14" w:type="dxa"/>
            </w:tcMar>
          </w:tcPr>
          <w:p w14:paraId="009E3023" w14:textId="77777777" w:rsidR="00345EE3" w:rsidRDefault="00345EE3" w:rsidP="00D73130">
            <w:pPr>
              <w:pStyle w:val="VicPol-TableHeadingWhiteRight-2022Tables"/>
            </w:pPr>
            <w:r>
              <w:t>($ thousand)</w:t>
            </w:r>
          </w:p>
        </w:tc>
      </w:tr>
      <w:tr w:rsidR="00345EE3" w14:paraId="16EA9901" w14:textId="77777777" w:rsidTr="00D73130">
        <w:trPr>
          <w:trHeight w:val="60"/>
          <w:tblHeader/>
        </w:trPr>
        <w:tc>
          <w:tcPr>
            <w:tcW w:w="2211"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139D730" w14:textId="77777777" w:rsidR="00345EE3" w:rsidRDefault="00345EE3" w:rsidP="00D73130">
            <w:pPr>
              <w:pStyle w:val="NoParagraphStyle"/>
              <w:spacing w:line="240" w:lineRule="auto"/>
              <w:textAlignment w:val="auto"/>
              <w:rPr>
                <w:color w:val="auto"/>
              </w:rPr>
            </w:pPr>
          </w:p>
        </w:tc>
        <w:tc>
          <w:tcPr>
            <w:tcW w:w="1814"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1301296D" w14:textId="77777777" w:rsidR="00345EE3" w:rsidRDefault="00345EE3" w:rsidP="00D73130">
            <w:pPr>
              <w:pStyle w:val="VicPol-TableHeadingWhiteLeft-2022Tables"/>
              <w:jc w:val="center"/>
            </w:pPr>
            <w:r>
              <w:t>Crown land at fair value</w:t>
            </w:r>
          </w:p>
        </w:tc>
        <w:tc>
          <w:tcPr>
            <w:tcW w:w="1644"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E9EFE09" w14:textId="77777777" w:rsidR="00345EE3" w:rsidRDefault="00345EE3" w:rsidP="00D73130">
            <w:pPr>
              <w:pStyle w:val="VicPol-TableHeadingWhiteLeft-2022Tables"/>
              <w:jc w:val="center"/>
            </w:pPr>
            <w:r>
              <w:t>‘Land at fair value</w:t>
            </w:r>
            <w:r>
              <w:br/>
              <w:t>(Right-of-Use Assets)’</w:t>
            </w: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4846508" w14:textId="77777777" w:rsidR="00345EE3" w:rsidRDefault="00345EE3" w:rsidP="00D73130">
            <w:pPr>
              <w:pStyle w:val="VicPol-TableHeadingWhiteLeft-2022Tables"/>
              <w:jc w:val="center"/>
            </w:pPr>
            <w:r>
              <w:t>Buildings at fair value</w:t>
            </w:r>
          </w:p>
        </w:tc>
        <w:tc>
          <w:tcPr>
            <w:tcW w:w="1814"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06249B82" w14:textId="77777777" w:rsidR="00345EE3" w:rsidRDefault="00345EE3" w:rsidP="00D73130">
            <w:pPr>
              <w:pStyle w:val="VicPol-TableHeadingWhiteLeft-2022Tables"/>
              <w:jc w:val="center"/>
            </w:pPr>
            <w:r>
              <w:t>Plant and Equipment at fair value</w:t>
            </w:r>
          </w:p>
        </w:tc>
        <w:tc>
          <w:tcPr>
            <w:tcW w:w="2041"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456E7529" w14:textId="77777777" w:rsidR="00345EE3" w:rsidRDefault="00345EE3" w:rsidP="00D73130">
            <w:pPr>
              <w:pStyle w:val="VicPol-TableHeadingWhiteLeft-2022Tables"/>
              <w:jc w:val="center"/>
            </w:pPr>
            <w:r>
              <w:t>Assets under construction at cost</w:t>
            </w:r>
          </w:p>
        </w:tc>
        <w:tc>
          <w:tcPr>
            <w:tcW w:w="1531"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399182CE" w14:textId="77777777" w:rsidR="00345EE3" w:rsidRDefault="00345EE3" w:rsidP="00D73130">
            <w:pPr>
              <w:pStyle w:val="VicPol-TableHeadingWhiteLeft-2022Tables"/>
              <w:jc w:val="center"/>
            </w:pPr>
            <w:r>
              <w:t>Cultural artworks at fair value</w:t>
            </w:r>
          </w:p>
        </w:tc>
        <w:tc>
          <w:tcPr>
            <w:tcW w:w="2268" w:type="dxa"/>
            <w:gridSpan w:val="2"/>
            <w:tcBorders>
              <w:top w:val="single" w:sz="2" w:space="0" w:color="FFFFFF"/>
              <w:left w:val="single" w:sz="2" w:space="0" w:color="FFFFFF"/>
              <w:bottom w:val="single" w:sz="2" w:space="0" w:color="FFFFFF"/>
              <w:right w:val="single" w:sz="6" w:space="0" w:color="auto"/>
            </w:tcBorders>
            <w:shd w:val="solid" w:color="004996" w:fill="auto"/>
            <w:tcMar>
              <w:top w:w="113" w:type="dxa"/>
              <w:left w:w="14" w:type="dxa"/>
              <w:bottom w:w="113" w:type="dxa"/>
              <w:right w:w="14" w:type="dxa"/>
            </w:tcMar>
          </w:tcPr>
          <w:p w14:paraId="1E53FBAB" w14:textId="77777777" w:rsidR="00345EE3" w:rsidRDefault="00345EE3" w:rsidP="00D73130">
            <w:pPr>
              <w:pStyle w:val="VicPol-TableHeadingWhiteLeft-2022Tables"/>
              <w:jc w:val="center"/>
            </w:pPr>
            <w:r>
              <w:t>Total</w:t>
            </w:r>
          </w:p>
        </w:tc>
      </w:tr>
      <w:tr w:rsidR="00345EE3" w14:paraId="37829824" w14:textId="77777777" w:rsidTr="00D73130">
        <w:trPr>
          <w:trHeight w:val="60"/>
          <w:tblHeader/>
        </w:trPr>
        <w:tc>
          <w:tcPr>
            <w:tcW w:w="2211"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0FC7296" w14:textId="77777777" w:rsidR="00345EE3" w:rsidRDefault="00345EE3" w:rsidP="00D73130">
            <w:pPr>
              <w:pStyle w:val="NoParagraphStyle"/>
              <w:spacing w:line="240" w:lineRule="auto"/>
              <w:textAlignment w:val="auto"/>
              <w:rPr>
                <w:color w:val="auto"/>
              </w:rPr>
            </w:pP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FC4B950" w14:textId="77777777" w:rsidR="00345EE3" w:rsidRDefault="00345EE3" w:rsidP="00D73130">
            <w:pPr>
              <w:pStyle w:val="VicPol-TableHeadingWhiteRight-2022Tables"/>
            </w:pPr>
            <w:r>
              <w:t>2022</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905FD38" w14:textId="77777777" w:rsidR="00345EE3" w:rsidRDefault="00345EE3" w:rsidP="00D73130">
            <w:pPr>
              <w:pStyle w:val="VicPol-TableHeadingWhiteRight-2022Tables"/>
            </w:pPr>
            <w:r>
              <w:t>2021</w:t>
            </w:r>
          </w:p>
        </w:tc>
        <w:tc>
          <w:tcPr>
            <w:tcW w:w="85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5D007F0" w14:textId="77777777" w:rsidR="00345EE3" w:rsidRDefault="00345EE3" w:rsidP="00D73130">
            <w:pPr>
              <w:pStyle w:val="VicPol-TableHeadingWhiteRight-2022Tables"/>
            </w:pPr>
            <w:r>
              <w:t>2022</w:t>
            </w:r>
          </w:p>
        </w:tc>
        <w:tc>
          <w:tcPr>
            <w:tcW w:w="793"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8CD5DAC" w14:textId="77777777" w:rsidR="00345EE3" w:rsidRDefault="00345EE3" w:rsidP="00D73130">
            <w:pPr>
              <w:pStyle w:val="VicPol-TableHeadingWhiteRight-2022Tables"/>
            </w:pPr>
            <w: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98F875E" w14:textId="77777777" w:rsidR="00345EE3" w:rsidRDefault="00345EE3" w:rsidP="00D73130">
            <w:pPr>
              <w:pStyle w:val="VicPol-TableHeadingWhiteRight-2022Tables"/>
            </w:pPr>
            <w: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24912F8" w14:textId="77777777" w:rsidR="00345EE3" w:rsidRDefault="00345EE3" w:rsidP="00D73130">
            <w:pPr>
              <w:pStyle w:val="VicPol-TableHeadingWhiteRight-2022Tables"/>
            </w:pPr>
            <w:r>
              <w:t>2021</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8696446" w14:textId="77777777" w:rsidR="00345EE3" w:rsidRDefault="00345EE3" w:rsidP="00D73130">
            <w:pPr>
              <w:pStyle w:val="VicPol-TableHeadingWhiteRight-2022Tables"/>
            </w:pPr>
            <w:r>
              <w:t>2022</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E38A367" w14:textId="77777777" w:rsidR="00345EE3" w:rsidRDefault="00345EE3" w:rsidP="00D73130">
            <w:pPr>
              <w:pStyle w:val="VicPol-TableHeadingWhiteRight-2022Tables"/>
            </w:pPr>
            <w:r>
              <w:t>2021</w:t>
            </w:r>
          </w:p>
        </w:tc>
        <w:tc>
          <w:tcPr>
            <w:tcW w:w="102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DE17550" w14:textId="77777777" w:rsidR="00345EE3" w:rsidRDefault="00345EE3" w:rsidP="00D73130">
            <w:pPr>
              <w:pStyle w:val="VicPol-TableHeadingWhiteRight-2022Tables"/>
            </w:pPr>
            <w:r>
              <w:t>2022</w:t>
            </w:r>
          </w:p>
        </w:tc>
        <w:tc>
          <w:tcPr>
            <w:tcW w:w="102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D5E8888" w14:textId="77777777" w:rsidR="00345EE3" w:rsidRDefault="00345EE3" w:rsidP="00D73130">
            <w:pPr>
              <w:pStyle w:val="VicPol-TableHeadingWhiteRight-2022Tables"/>
            </w:pPr>
            <w:r>
              <w:t>2021</w:t>
            </w:r>
          </w:p>
        </w:tc>
        <w:tc>
          <w:tcPr>
            <w:tcW w:w="79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EA896A8" w14:textId="77777777" w:rsidR="00345EE3" w:rsidRDefault="00345EE3" w:rsidP="00D73130">
            <w:pPr>
              <w:pStyle w:val="VicPol-TableHeadingWhiteRight-2022Tables"/>
            </w:pPr>
            <w:r>
              <w:t>2022</w:t>
            </w:r>
          </w:p>
        </w:tc>
        <w:tc>
          <w:tcPr>
            <w:tcW w:w="73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4A88F49" w14:textId="77777777" w:rsidR="00345EE3" w:rsidRDefault="00345EE3" w:rsidP="00D73130">
            <w:pPr>
              <w:pStyle w:val="VicPol-TableHeadingWhiteRight-2022Tables"/>
            </w:pPr>
            <w: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18DBEB5" w14:textId="77777777" w:rsidR="00345EE3" w:rsidRDefault="00345EE3" w:rsidP="00D73130">
            <w:pPr>
              <w:pStyle w:val="VicPol-TableHeadingWhiteRight-2022Tables"/>
            </w:pPr>
            <w: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25DA01C5" w14:textId="77777777" w:rsidR="00345EE3" w:rsidRDefault="00345EE3" w:rsidP="00D73130">
            <w:pPr>
              <w:pStyle w:val="VicPol-TableHeadingWhiteRight-2022Tables"/>
            </w:pPr>
            <w:r>
              <w:t>2021</w:t>
            </w:r>
          </w:p>
        </w:tc>
      </w:tr>
      <w:tr w:rsidR="00345EE3" w14:paraId="7A2AA806"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813720C" w14:textId="77777777" w:rsidR="00345EE3" w:rsidRDefault="00345EE3" w:rsidP="00D73130">
            <w:pPr>
              <w:pStyle w:val="VicPol-TableBodyLeft-2022Tables"/>
            </w:pPr>
            <w:r>
              <w:rPr>
                <w:rStyle w:val="Heavy"/>
              </w:rPr>
              <w:t>Opening Balance at 1 July</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D0B0F74" w14:textId="77777777" w:rsidR="00345EE3" w:rsidRDefault="00345EE3" w:rsidP="00D73130">
            <w:pPr>
              <w:pStyle w:val="VicPol-TableBodyRight-2022Tables"/>
            </w:pPr>
            <w:r>
              <w:rPr>
                <w:rStyle w:val="Heavy"/>
                <w:spacing w:val="0"/>
              </w:rPr>
              <w:t xml:space="preserve">636,914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5C877D" w14:textId="77777777" w:rsidR="00345EE3" w:rsidRDefault="00345EE3" w:rsidP="00D73130">
            <w:pPr>
              <w:pStyle w:val="VicPol-TableBodyRight-2022Tables"/>
            </w:pPr>
            <w:r>
              <w:rPr>
                <w:rStyle w:val="Heavy"/>
                <w:spacing w:val="0"/>
              </w:rPr>
              <w:t xml:space="preserve">507,026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C6C904" w14:textId="77777777" w:rsidR="00345EE3" w:rsidRDefault="00345EE3" w:rsidP="00D73130">
            <w:pPr>
              <w:pStyle w:val="VicPol-TableBodyRight-2022Tables"/>
            </w:pPr>
            <w:r>
              <w:rPr>
                <w:rStyle w:val="Heavy"/>
                <w:spacing w:val="0"/>
              </w:rPr>
              <w:t xml:space="preserve">14,368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91A42A4" w14:textId="77777777" w:rsidR="00345EE3" w:rsidRDefault="00345EE3" w:rsidP="00D73130">
            <w:pPr>
              <w:pStyle w:val="VicPol-TableBodyRight-2022Tables"/>
            </w:pPr>
            <w:r>
              <w:rPr>
                <w:rStyle w:val="Heavy"/>
                <w:spacing w:val="0"/>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F7B8383" w14:textId="77777777" w:rsidR="00345EE3" w:rsidRDefault="00345EE3" w:rsidP="00D73130">
            <w:pPr>
              <w:pStyle w:val="VicPol-TableBodyRight-2022Tables"/>
            </w:pPr>
            <w:r>
              <w:rPr>
                <w:rStyle w:val="Heavy"/>
                <w:spacing w:val="0"/>
              </w:rPr>
              <w:t xml:space="preserve">2,617,676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071350C" w14:textId="77777777" w:rsidR="00345EE3" w:rsidRDefault="00345EE3" w:rsidP="00D73130">
            <w:pPr>
              <w:pStyle w:val="VicPol-TableBodyRight-2022Tables"/>
            </w:pPr>
            <w:r>
              <w:rPr>
                <w:rStyle w:val="Heavy"/>
                <w:spacing w:val="0"/>
              </w:rPr>
              <w:t>1,688,674</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20CDBE3" w14:textId="77777777" w:rsidR="00345EE3" w:rsidRDefault="00345EE3" w:rsidP="00D73130">
            <w:pPr>
              <w:pStyle w:val="VicPol-TableBodyRight-2022Tables"/>
            </w:pPr>
            <w:r>
              <w:rPr>
                <w:rStyle w:val="Heavy"/>
                <w:spacing w:val="0"/>
              </w:rPr>
              <w:t xml:space="preserve">374,292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25C54BB" w14:textId="77777777" w:rsidR="00345EE3" w:rsidRDefault="00345EE3" w:rsidP="00D73130">
            <w:pPr>
              <w:pStyle w:val="VicPol-TableBodyRight-2022Tables"/>
            </w:pPr>
            <w:r>
              <w:rPr>
                <w:rStyle w:val="Heavy"/>
                <w:spacing w:val="0"/>
              </w:rPr>
              <w:t xml:space="preserve">281,172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2B456E" w14:textId="77777777" w:rsidR="00345EE3" w:rsidRDefault="00345EE3" w:rsidP="00D73130">
            <w:pPr>
              <w:pStyle w:val="VicPol-TableBodyRight-2022Tables"/>
            </w:pPr>
            <w:r>
              <w:rPr>
                <w:rStyle w:val="Heavy"/>
                <w:spacing w:val="0"/>
              </w:rPr>
              <w:t>86,638</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1348FA" w14:textId="77777777" w:rsidR="00345EE3" w:rsidRDefault="00345EE3" w:rsidP="00D73130">
            <w:pPr>
              <w:pStyle w:val="VicPol-TableBodyRight-2022Tables"/>
            </w:pPr>
            <w:r>
              <w:rPr>
                <w:rStyle w:val="Heavy"/>
                <w:spacing w:val="0"/>
              </w:rPr>
              <w:t>153,100</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CE38B9F" w14:textId="77777777" w:rsidR="00345EE3" w:rsidRDefault="00345EE3" w:rsidP="00D73130">
            <w:pPr>
              <w:pStyle w:val="VicPol-TableBodyRight-2022Tables"/>
            </w:pPr>
            <w:r>
              <w:rPr>
                <w:rStyle w:val="Heavy"/>
                <w:spacing w:val="0"/>
              </w:rPr>
              <w:t xml:space="preserve">5,239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6FFC5A" w14:textId="77777777" w:rsidR="00345EE3" w:rsidRDefault="00345EE3" w:rsidP="00D73130">
            <w:pPr>
              <w:pStyle w:val="VicPol-TableBodyRight-2022Tables"/>
            </w:pPr>
            <w:r>
              <w:rPr>
                <w:rStyle w:val="Heavy"/>
                <w:spacing w:val="0"/>
              </w:rPr>
              <w:t xml:space="preserve">4,879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330B4E7" w14:textId="77777777" w:rsidR="00345EE3" w:rsidRDefault="00345EE3" w:rsidP="00D73130">
            <w:pPr>
              <w:pStyle w:val="VicPol-TableBodyRight-2022Tables"/>
            </w:pPr>
            <w:r>
              <w:rPr>
                <w:rStyle w:val="Heavy"/>
                <w:spacing w:val="0"/>
              </w:rPr>
              <w:t>3,735,127</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E98E233" w14:textId="77777777" w:rsidR="00345EE3" w:rsidRDefault="00345EE3" w:rsidP="00D73130">
            <w:pPr>
              <w:pStyle w:val="VicPol-TableBodyRight-2022Tables"/>
            </w:pPr>
            <w:r>
              <w:rPr>
                <w:rStyle w:val="Heavy"/>
                <w:spacing w:val="0"/>
              </w:rPr>
              <w:t>2,634,851</w:t>
            </w:r>
          </w:p>
        </w:tc>
      </w:tr>
      <w:tr w:rsidR="00345EE3" w14:paraId="0EFD8524"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17CE4CA" w14:textId="77777777" w:rsidR="00345EE3" w:rsidRDefault="00345EE3" w:rsidP="00D73130">
            <w:pPr>
              <w:pStyle w:val="VicPol-TableBodyLeft-2022Tables"/>
            </w:pPr>
            <w:r>
              <w:t>Fair value of assets received free of charge or for nominal considerations</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F6207E7" w14:textId="77777777" w:rsidR="00345EE3" w:rsidRDefault="00345EE3" w:rsidP="00D73130">
            <w:pPr>
              <w:pStyle w:val="VicPol-TableBodyRight-2022Tables"/>
            </w:pPr>
            <w:r>
              <w:t>2,771</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D5FFB0"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BEC373"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5CFBAD"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9300113"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A61EF3"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FE4371" w14:textId="77777777" w:rsidR="00345EE3" w:rsidRDefault="00345EE3" w:rsidP="00D73130">
            <w:pPr>
              <w:pStyle w:val="VicPol-TableBodyRight-2022Tables"/>
            </w:pPr>
            <w:r>
              <w:t>363</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6E26DB" w14:textId="77777777" w:rsidR="00345EE3" w:rsidRDefault="00345EE3" w:rsidP="00D73130">
            <w:pPr>
              <w:pStyle w:val="VicPol-TableBodyRight-2022Tables"/>
            </w:pPr>
            <w:r>
              <w:t xml:space="preserve">183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D59379"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18762CD"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1E5FDC8"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F45BB0C"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125950D" w14:textId="77777777" w:rsidR="00345EE3" w:rsidRDefault="00345EE3" w:rsidP="00D73130">
            <w:pPr>
              <w:pStyle w:val="VicPol-TableBodyRight-2022Tables"/>
            </w:pPr>
            <w:r>
              <w:t>3,134</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9D3D775" w14:textId="77777777" w:rsidR="00345EE3" w:rsidRDefault="00345EE3" w:rsidP="00D73130">
            <w:pPr>
              <w:pStyle w:val="VicPol-TableBodyRight-2022Tables"/>
            </w:pPr>
            <w:r>
              <w:t>183</w:t>
            </w:r>
          </w:p>
        </w:tc>
      </w:tr>
      <w:tr w:rsidR="00345EE3" w14:paraId="022F4184"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E95D31" w14:textId="77777777" w:rsidR="00345EE3" w:rsidRDefault="00345EE3" w:rsidP="00D73130">
            <w:pPr>
              <w:pStyle w:val="VicPol-TableBodyLeft-2022Tables"/>
            </w:pPr>
            <w:r>
              <w:t>Fair value of assets recognised for first time</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9A8F399"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960367"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0D89EB"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970CDD1"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794B5C6"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F0E4784"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1DA83F1"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704B176" w14:textId="77777777" w:rsidR="00345EE3" w:rsidRDefault="00345EE3" w:rsidP="00D73130">
            <w:pPr>
              <w:pStyle w:val="VicPol-TableBodyRight-2022Tables"/>
            </w:pPr>
            <w:r>
              <w:t xml:space="preserve">49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A18A77A"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DDC239" w14:textId="77777777" w:rsidR="00345EE3" w:rsidRDefault="00345EE3" w:rsidP="00D73130">
            <w:pPr>
              <w:pStyle w:val="VicPol-TableBodyRight-2022Tables"/>
            </w:pPr>
            <w:r>
              <w:t>11</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70C272"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E08307"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C0F87E0"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ADC582B" w14:textId="77777777" w:rsidR="00345EE3" w:rsidRDefault="00345EE3" w:rsidP="00D73130">
            <w:pPr>
              <w:pStyle w:val="VicPol-TableBodyRight-2022Tables"/>
            </w:pPr>
            <w:r>
              <w:t>60</w:t>
            </w:r>
          </w:p>
        </w:tc>
      </w:tr>
      <w:tr w:rsidR="00345EE3" w14:paraId="565068F1"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9F11AE6" w14:textId="77777777" w:rsidR="00345EE3" w:rsidRDefault="00345EE3" w:rsidP="00D73130">
            <w:pPr>
              <w:pStyle w:val="VicPol-TableBodyLeft-2022Tables"/>
            </w:pPr>
            <w:r>
              <w:t>Additions</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1A1E15E"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A4FAEA3"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EB74BC"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EA421D" w14:textId="77777777" w:rsidR="00345EE3" w:rsidRDefault="00345EE3" w:rsidP="00D73130">
            <w:pPr>
              <w:pStyle w:val="VicPol-TableBodyRight-2022Tables"/>
            </w:pPr>
            <w:r>
              <w:t>14,958</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F72914" w14:textId="77777777" w:rsidR="00345EE3" w:rsidRDefault="00345EE3" w:rsidP="00D73130">
            <w:pPr>
              <w:pStyle w:val="VicPol-TableBodyRight-2022Tables"/>
            </w:pPr>
            <w:r>
              <w:t>1,503</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EFB63E" w14:textId="77777777" w:rsidR="00345EE3" w:rsidRDefault="00345EE3" w:rsidP="00D73130">
            <w:pPr>
              <w:pStyle w:val="VicPol-TableBodyRight-2022Tables"/>
            </w:pPr>
            <w:r>
              <w:t>962,317</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42F1110" w14:textId="77777777" w:rsidR="00345EE3" w:rsidRDefault="00345EE3" w:rsidP="00D73130">
            <w:pPr>
              <w:pStyle w:val="VicPol-TableBodyRight-2022Tables"/>
            </w:pPr>
            <w:r>
              <w:t>81,669</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CAE508F" w14:textId="77777777" w:rsidR="00345EE3" w:rsidRDefault="00345EE3" w:rsidP="00D73130">
            <w:pPr>
              <w:pStyle w:val="VicPol-TableBodyRight-2022Tables"/>
            </w:pPr>
            <w:r>
              <w:t xml:space="preserve">155,694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65524D7" w14:textId="77777777" w:rsidR="00345EE3" w:rsidRDefault="00345EE3" w:rsidP="00D73130">
            <w:pPr>
              <w:pStyle w:val="VicPol-TableBodyRight-2022Tables"/>
            </w:pPr>
            <w:r>
              <w:t>93,424</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7309FF" w14:textId="77777777" w:rsidR="00345EE3" w:rsidRDefault="00345EE3" w:rsidP="00D73130">
            <w:pPr>
              <w:pStyle w:val="VicPol-TableBodyRight-2022Tables"/>
            </w:pPr>
            <w:r>
              <w:t>127,320</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75356D3" w14:textId="77777777" w:rsidR="00345EE3" w:rsidRDefault="00345EE3" w:rsidP="00D73130">
            <w:pPr>
              <w:pStyle w:val="VicPol-TableBodyRight-2022Tables"/>
            </w:pPr>
            <w:r>
              <w:t>49</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36B8AB"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5572DB1" w14:textId="77777777" w:rsidR="00345EE3" w:rsidRDefault="00345EE3" w:rsidP="00D73130">
            <w:pPr>
              <w:pStyle w:val="VicPol-TableBodyRight-2022Tables"/>
            </w:pPr>
            <w:r>
              <w:t>176,645</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C80DAA2" w14:textId="77777777" w:rsidR="00345EE3" w:rsidRDefault="00345EE3" w:rsidP="00D73130">
            <w:pPr>
              <w:pStyle w:val="VicPol-TableBodyRight-2022Tables"/>
            </w:pPr>
            <w:r>
              <w:t>1,260,289</w:t>
            </w:r>
          </w:p>
        </w:tc>
      </w:tr>
      <w:tr w:rsidR="00345EE3" w14:paraId="02CCAFBD"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5D6DB90" w14:textId="77777777" w:rsidR="00345EE3" w:rsidRDefault="00345EE3" w:rsidP="00D73130">
            <w:pPr>
              <w:pStyle w:val="VicPol-TableBodyLeft-2022Tables"/>
            </w:pPr>
            <w:r>
              <w:t>Adjustment to carrying value of right-of-use assets</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EB2005F"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C52D48"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066E4DE"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66FDF3"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829434C" w14:textId="77777777" w:rsidR="00345EE3" w:rsidRDefault="00345EE3" w:rsidP="00D73130">
            <w:pPr>
              <w:pStyle w:val="VicPol-TableBodyRight-2022Tables"/>
            </w:pPr>
            <w:r>
              <w:t>(4,351)</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07834B" w14:textId="77777777" w:rsidR="00345EE3" w:rsidRDefault="00345EE3" w:rsidP="00D73130">
            <w:pPr>
              <w:pStyle w:val="VicPol-TableBodyRight-2022Tables"/>
            </w:pPr>
            <w:r>
              <w:t>54,623</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448F10"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2314935" w14:textId="77777777" w:rsidR="00345EE3" w:rsidRDefault="00345EE3" w:rsidP="00D73130">
            <w:pPr>
              <w:pStyle w:val="VicPol-TableBodyRight-2022Tables"/>
            </w:pPr>
            <w:r>
              <w:t xml:space="preserve">1,350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7D2527E"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AB37640"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CC6438"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2D92A2"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45F25F8" w14:textId="77777777" w:rsidR="00345EE3" w:rsidRDefault="00345EE3" w:rsidP="00D73130">
            <w:pPr>
              <w:pStyle w:val="VicPol-TableBodyRight-2022Tables"/>
            </w:pPr>
            <w:r>
              <w:t>(4,351)</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140821E" w14:textId="77777777" w:rsidR="00345EE3" w:rsidRDefault="00345EE3" w:rsidP="00D73130">
            <w:pPr>
              <w:pStyle w:val="VicPol-TableBodyRight-2022Tables"/>
            </w:pPr>
            <w:r>
              <w:t>55,973</w:t>
            </w:r>
          </w:p>
        </w:tc>
      </w:tr>
      <w:tr w:rsidR="00345EE3" w14:paraId="133904E6"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17E9C49" w14:textId="77777777" w:rsidR="00345EE3" w:rsidRDefault="00345EE3" w:rsidP="00D73130">
            <w:pPr>
              <w:pStyle w:val="VicPol-TableBodyLeft-2022Tables"/>
            </w:pPr>
            <w:r>
              <w:t>Disposals</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13E5FF4" w14:textId="77777777" w:rsidR="00345EE3" w:rsidRDefault="00345EE3" w:rsidP="00D73130">
            <w:pPr>
              <w:pStyle w:val="VicPol-TableBodyRight-2022Tables"/>
            </w:pPr>
            <w:r>
              <w:t>(735)</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0F416C3"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F19F8B4"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66DE45"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F69C9FC"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8767A42"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43D36E5" w14:textId="77777777" w:rsidR="00345EE3" w:rsidRDefault="00345EE3" w:rsidP="00D73130">
            <w:pPr>
              <w:pStyle w:val="VicPol-TableBodyRight-2022Tables"/>
            </w:pPr>
            <w:r>
              <w:t>(16,252)</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6FA331" w14:textId="77777777" w:rsidR="00345EE3" w:rsidRDefault="00345EE3" w:rsidP="00D73130">
            <w:pPr>
              <w:pStyle w:val="VicPol-TableBodyRight-2022Tables"/>
            </w:pPr>
            <w:r>
              <w:t>(15,010)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4D46AE3"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415695F"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78325D"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30CCE4"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30F5A8" w14:textId="77777777" w:rsidR="00345EE3" w:rsidRDefault="00345EE3" w:rsidP="00D73130">
            <w:pPr>
              <w:pStyle w:val="VicPol-TableBodyRight-2022Tables"/>
            </w:pPr>
            <w:r>
              <w:t>(16,987)</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24D1C06" w14:textId="77777777" w:rsidR="00345EE3" w:rsidRDefault="00345EE3" w:rsidP="00D73130">
            <w:pPr>
              <w:pStyle w:val="VicPol-TableBodyRight-2022Tables"/>
            </w:pPr>
            <w:r>
              <w:t>(15,010)</w:t>
            </w:r>
          </w:p>
        </w:tc>
      </w:tr>
      <w:tr w:rsidR="00345EE3" w14:paraId="533E75C6"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D7DA2A1" w14:textId="77777777" w:rsidR="00345EE3" w:rsidRDefault="00345EE3" w:rsidP="00D73130">
            <w:pPr>
              <w:pStyle w:val="VicPol-TableBodyLeft-2022Tables"/>
            </w:pPr>
            <w:r>
              <w:t>Transfer in/(out) of assets under construction</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D4C15F" w14:textId="77777777" w:rsidR="00345EE3" w:rsidRDefault="00345EE3" w:rsidP="00D73130">
            <w:pPr>
              <w:pStyle w:val="VicPol-TableBodyRight-2022Tables"/>
            </w:pPr>
            <w:r>
              <w:t>15,201</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80B2CE9" w14:textId="77777777" w:rsidR="00345EE3" w:rsidRDefault="00345EE3" w:rsidP="00D73130">
            <w:pPr>
              <w:pStyle w:val="VicPol-TableBodyRight-2022Tables"/>
            </w:pPr>
            <w:r>
              <w:t>5,811</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FC6A07D"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07BDF2"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E0E9AEB" w14:textId="77777777" w:rsidR="00345EE3" w:rsidRDefault="00345EE3" w:rsidP="00D73130">
            <w:pPr>
              <w:pStyle w:val="VicPol-TableBodyRight-2022Tables"/>
            </w:pPr>
            <w:r>
              <w:t>101,984</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5A1771" w14:textId="77777777" w:rsidR="00345EE3" w:rsidRDefault="00345EE3" w:rsidP="00D73130">
            <w:pPr>
              <w:pStyle w:val="VicPol-TableBodyRight-2022Tables"/>
            </w:pPr>
            <w:r>
              <w:t>153,243</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8421D60" w14:textId="77777777" w:rsidR="00345EE3" w:rsidRDefault="00345EE3" w:rsidP="00D73130">
            <w:pPr>
              <w:pStyle w:val="VicPol-TableBodyRight-2022Tables"/>
            </w:pPr>
            <w:r>
              <w:t>14,480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6D9EC0" w14:textId="77777777" w:rsidR="00345EE3" w:rsidRDefault="00345EE3" w:rsidP="00D73130">
            <w:pPr>
              <w:pStyle w:val="VicPol-TableBodyRight-2022Tables"/>
            </w:pPr>
            <w:r>
              <w:t xml:space="preserve">33,729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7701266" w14:textId="77777777" w:rsidR="00345EE3" w:rsidRDefault="00345EE3" w:rsidP="00D73130">
            <w:pPr>
              <w:pStyle w:val="VicPol-TableBodyRight-2022Tables"/>
            </w:pPr>
            <w:r>
              <w:t>(132,195)</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7ECD6A" w14:textId="77777777" w:rsidR="00345EE3" w:rsidRDefault="00345EE3" w:rsidP="00D73130">
            <w:pPr>
              <w:pStyle w:val="VicPol-TableBodyRight-2022Tables"/>
            </w:pPr>
            <w:r>
              <w:t>(190,060)</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89B26D0"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32CC219"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71EE5F7" w14:textId="77777777" w:rsidR="00345EE3" w:rsidRDefault="00345EE3" w:rsidP="00D73130">
            <w:pPr>
              <w:pStyle w:val="VicPol-TableBodyRight-2022Tables"/>
            </w:pPr>
            <w:r>
              <w:t>(530)</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7690701" w14:textId="77777777" w:rsidR="00345EE3" w:rsidRDefault="00345EE3" w:rsidP="00D73130">
            <w:pPr>
              <w:pStyle w:val="VicPol-TableBodyRight-2022Tables"/>
            </w:pPr>
            <w:r>
              <w:t>2,723</w:t>
            </w:r>
          </w:p>
        </w:tc>
      </w:tr>
      <w:tr w:rsidR="00345EE3" w14:paraId="78F633F6"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E39008D" w14:textId="77777777" w:rsidR="00345EE3" w:rsidRDefault="00345EE3" w:rsidP="00D73130">
            <w:pPr>
              <w:pStyle w:val="VicPol-TableBodyLeft-2022Tables"/>
            </w:pPr>
            <w:r>
              <w:t>Revaluation of PPE</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BD6EFFA"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C0F9A0" w14:textId="77777777" w:rsidR="00345EE3" w:rsidRDefault="00345EE3" w:rsidP="00D73130">
            <w:pPr>
              <w:pStyle w:val="VicPol-TableBodyRight-2022Tables"/>
            </w:pPr>
            <w:r>
              <w:t>124,077</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35449E"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9644E7"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EDE3426"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8374AB" w14:textId="77777777" w:rsidR="00345EE3" w:rsidRDefault="00345EE3" w:rsidP="00D73130">
            <w:pPr>
              <w:pStyle w:val="VicPol-TableBodyRight-2022Tables"/>
            </w:pPr>
            <w:r>
              <w:t>(113,119)</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71F75F4"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FCBD19" w14:textId="77777777" w:rsidR="00345EE3" w:rsidRDefault="00345EE3" w:rsidP="00D73130">
            <w:pPr>
              <w:pStyle w:val="VicPol-TableBodyRight-2022Tables"/>
            </w:pPr>
            <w:r>
              <w:t xml:space="preserve"> -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EF4F68" w14:textId="77777777" w:rsidR="00345EE3" w:rsidRDefault="00345EE3" w:rsidP="00D73130">
            <w:pPr>
              <w:pStyle w:val="VicPol-TableBodyRight-2022Tables"/>
            </w:pPr>
            <w:r>
              <w:t>(3,396)</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5C63522"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FF0FF7E"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B8649B4" w14:textId="77777777" w:rsidR="00345EE3" w:rsidRDefault="00345EE3" w:rsidP="00D73130">
            <w:pPr>
              <w:pStyle w:val="VicPol-TableBodyRight-2022Tables"/>
            </w:pPr>
            <w:r>
              <w:t xml:space="preserve">360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C682C9" w14:textId="77777777" w:rsidR="00345EE3" w:rsidRDefault="00345EE3" w:rsidP="00D73130">
            <w:pPr>
              <w:pStyle w:val="VicPol-TableBodyRight-2022Tables"/>
            </w:pPr>
            <w:r>
              <w:t>(3,396)</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F9457B8" w14:textId="77777777" w:rsidR="00345EE3" w:rsidRDefault="00345EE3" w:rsidP="00D73130">
            <w:pPr>
              <w:pStyle w:val="VicPol-TableBodyRight-2022Tables"/>
            </w:pPr>
            <w:r>
              <w:t>11,318</w:t>
            </w:r>
          </w:p>
        </w:tc>
      </w:tr>
      <w:tr w:rsidR="00345EE3" w14:paraId="50B69284"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83469F8" w14:textId="77777777" w:rsidR="00345EE3" w:rsidRDefault="00345EE3" w:rsidP="00D73130">
            <w:pPr>
              <w:pStyle w:val="VicPol-TableBodyLeft-2022Tables"/>
            </w:pPr>
            <w:r>
              <w:t>Transfers of assets via Contributed Capital</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DD1FD7A" w14:textId="77777777" w:rsidR="00345EE3" w:rsidRDefault="00345EE3" w:rsidP="00D73130">
            <w:pPr>
              <w:pStyle w:val="VicPol-TableBodyRight-2022Tables"/>
            </w:pPr>
            <w:r>
              <w:t>4,250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F5F581"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D83AF1"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35A0ABD"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05AD0AD"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704326D"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70F2E34"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6C59FB" w14:textId="77777777" w:rsidR="00345EE3" w:rsidRDefault="00345EE3" w:rsidP="00D73130">
            <w:pPr>
              <w:pStyle w:val="VicPol-TableBodyRight-2022Tables"/>
            </w:pPr>
            <w:r>
              <w:t xml:space="preserve"> -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3C4CAE6"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FA8B5CB"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652F73A"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7E334AC"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68AB0F" w14:textId="77777777" w:rsidR="00345EE3" w:rsidRDefault="00345EE3" w:rsidP="00D73130">
            <w:pPr>
              <w:pStyle w:val="VicPol-TableBodyRight-2022Tables"/>
            </w:pPr>
            <w:r>
              <w:t>4,250</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47752F6" w14:textId="77777777" w:rsidR="00345EE3" w:rsidRDefault="00345EE3" w:rsidP="00D73130">
            <w:pPr>
              <w:pStyle w:val="VicPol-TableBodyRight-2022Tables"/>
            </w:pPr>
            <w:r>
              <w:t xml:space="preserve"> -  </w:t>
            </w:r>
          </w:p>
        </w:tc>
      </w:tr>
      <w:tr w:rsidR="00345EE3" w14:paraId="2D31C819"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71FA20E" w14:textId="77777777" w:rsidR="00345EE3" w:rsidRDefault="00345EE3" w:rsidP="00D73130">
            <w:pPr>
              <w:pStyle w:val="VicPol-TableBodyLeft-2022Tables"/>
            </w:pPr>
            <w:r>
              <w:t xml:space="preserve">Transfer (to)/from Advances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398AD3A"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3A8879"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927435"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880DE9C"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E8D9D8"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F9FEC5"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AFBA77"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91141D" w14:textId="77777777" w:rsidR="00345EE3" w:rsidRDefault="00345EE3" w:rsidP="00D73130">
            <w:pPr>
              <w:pStyle w:val="VicPol-TableBodyRight-2022Tables"/>
            </w:pPr>
            <w:r>
              <w:t xml:space="preserve"> -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EBD6ECF" w14:textId="77777777" w:rsidR="00345EE3" w:rsidRDefault="00345EE3" w:rsidP="00D73130">
            <w:pPr>
              <w:pStyle w:val="VicPol-TableBodyRight-2022Tables"/>
            </w:pPr>
            <w:r>
              <w:t>7,884</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50BF9D" w14:textId="77777777" w:rsidR="00345EE3" w:rsidRDefault="00345EE3" w:rsidP="00D73130">
            <w:pPr>
              <w:pStyle w:val="VicPol-TableBodyRight-2022Tables"/>
            </w:pPr>
            <w:r>
              <w:t>(6,444)</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8D3974B"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85FE6FF"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22D9ACD" w14:textId="77777777" w:rsidR="00345EE3" w:rsidRDefault="00345EE3" w:rsidP="00D73130">
            <w:pPr>
              <w:pStyle w:val="VicPol-TableBodyRight-2022Tables"/>
            </w:pPr>
            <w:r>
              <w:t>7,884</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A98A654" w14:textId="77777777" w:rsidR="00345EE3" w:rsidRDefault="00345EE3" w:rsidP="00D73130">
            <w:pPr>
              <w:pStyle w:val="VicPol-TableBodyRight-2022Tables"/>
            </w:pPr>
            <w:r>
              <w:t>(6,444)</w:t>
            </w:r>
          </w:p>
        </w:tc>
      </w:tr>
      <w:tr w:rsidR="00345EE3" w14:paraId="3C70ED6C"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9D629EA" w14:textId="77777777" w:rsidR="00345EE3" w:rsidRDefault="00345EE3" w:rsidP="00D73130">
            <w:pPr>
              <w:pStyle w:val="VicPol-TableBodyLeft-2022Tables"/>
            </w:pPr>
            <w:r>
              <w:t>Depreciation (a)</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12F71C"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A9EC5BC"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814B1F5" w14:textId="77777777" w:rsidR="00345EE3" w:rsidRDefault="00345EE3" w:rsidP="00D73130">
            <w:pPr>
              <w:pStyle w:val="VicPol-TableBodyRight-2022Tables"/>
            </w:pPr>
            <w:r>
              <w:t>(644)</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FBFD16" w14:textId="77777777" w:rsidR="00345EE3" w:rsidRDefault="00345EE3" w:rsidP="00D73130">
            <w:pPr>
              <w:pStyle w:val="VicPol-TableBodyRight-2022Tables"/>
            </w:pPr>
            <w:r>
              <w:t>(590)</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A292336" w14:textId="77777777" w:rsidR="00345EE3" w:rsidRDefault="00345EE3" w:rsidP="00D73130">
            <w:pPr>
              <w:pStyle w:val="VicPol-TableBodyRight-2022Tables"/>
            </w:pPr>
            <w:r>
              <w:t>(141,740)</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38AFF3" w14:textId="77777777" w:rsidR="00345EE3" w:rsidRDefault="00345EE3" w:rsidP="00D73130">
            <w:pPr>
              <w:pStyle w:val="VicPol-TableBodyRight-2022Tables"/>
            </w:pPr>
            <w:r>
              <w:t>(129,961)</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4C2D53E" w14:textId="77777777" w:rsidR="00345EE3" w:rsidRDefault="00345EE3" w:rsidP="00D73130">
            <w:pPr>
              <w:pStyle w:val="VicPol-TableBodyRight-2022Tables"/>
            </w:pPr>
            <w:r>
              <w:t>(90,195)</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7B8ECE" w14:textId="77777777" w:rsidR="00345EE3" w:rsidRDefault="00345EE3" w:rsidP="00D73130">
            <w:pPr>
              <w:pStyle w:val="VicPol-TableBodyRight-2022Tables"/>
            </w:pPr>
            <w:r>
              <w:t>(83,612)</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C22422A"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9510A1D"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4FDF7F7"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E1E9B1D"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731A650" w14:textId="77777777" w:rsidR="00345EE3" w:rsidRDefault="00345EE3" w:rsidP="00D73130">
            <w:pPr>
              <w:pStyle w:val="VicPol-TableBodyRight-2022Tables"/>
            </w:pPr>
            <w:r>
              <w:t>(232,579)</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6C631CA" w14:textId="77777777" w:rsidR="00345EE3" w:rsidRDefault="00345EE3" w:rsidP="00D73130">
            <w:pPr>
              <w:pStyle w:val="VicPol-TableBodyRight-2022Tables"/>
            </w:pPr>
            <w:r>
              <w:t>(214,163)</w:t>
            </w:r>
          </w:p>
        </w:tc>
      </w:tr>
      <w:tr w:rsidR="00345EE3" w14:paraId="4E79C8D2"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351164F" w14:textId="77777777" w:rsidR="00345EE3" w:rsidRDefault="00345EE3" w:rsidP="00D73130">
            <w:pPr>
              <w:pStyle w:val="VicPol-TableBodyLeft-2022Tables"/>
            </w:pPr>
            <w:r>
              <w:t>Transfers (to)/from assets classified as held for sale</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8D1B8E0"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AE63F5"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D3D8E23"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D82B047"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B16C49"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93F3DB"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4FEC90A" w14:textId="77777777" w:rsidR="00345EE3" w:rsidRDefault="00345EE3" w:rsidP="00D73130">
            <w:pPr>
              <w:pStyle w:val="VicPol-TableBodyRight-2022Tables"/>
            </w:pPr>
            <w:r>
              <w:t>(2,406)</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734C1C" w14:textId="77777777" w:rsidR="00345EE3" w:rsidRDefault="00345EE3" w:rsidP="00D73130">
            <w:pPr>
              <w:pStyle w:val="VicPol-TableBodyRight-2022Tables"/>
            </w:pPr>
            <w:r>
              <w:t xml:space="preserve">1,239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B3BD950"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0CB7BD"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CF1BA28"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07F6AF8"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3378F26" w14:textId="77777777" w:rsidR="00345EE3" w:rsidRDefault="00345EE3" w:rsidP="00D73130">
            <w:pPr>
              <w:pStyle w:val="VicPol-TableBodyRight-2022Tables"/>
            </w:pPr>
            <w:r>
              <w:t>(2,406)</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57B83BD" w14:textId="77777777" w:rsidR="00345EE3" w:rsidRDefault="00345EE3" w:rsidP="00D73130">
            <w:pPr>
              <w:pStyle w:val="VicPol-TableBodyRight-2022Tables"/>
            </w:pPr>
            <w:r>
              <w:t>1,239</w:t>
            </w:r>
          </w:p>
        </w:tc>
      </w:tr>
      <w:tr w:rsidR="00345EE3" w14:paraId="6E3474D4"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119EDFE" w14:textId="77777777" w:rsidR="00345EE3" w:rsidRDefault="00345EE3" w:rsidP="00D73130">
            <w:pPr>
              <w:pStyle w:val="VicPol-TableBodyLeft-2022Tables"/>
            </w:pPr>
            <w:r>
              <w:t>Reclassification</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ACBEA9C"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BF44B80"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6012566"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50480DC"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8D06AB5" w14:textId="77777777" w:rsidR="00345EE3" w:rsidRDefault="00345EE3" w:rsidP="00D73130">
            <w:pPr>
              <w:pStyle w:val="VicPol-TableBodyRight-2022Tables"/>
            </w:pPr>
            <w:r>
              <w:t>260</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9AAC72" w14:textId="77777777" w:rsidR="00345EE3" w:rsidRDefault="00345EE3" w:rsidP="00D73130">
            <w:pPr>
              <w:pStyle w:val="VicPol-TableBodyRight-2022Tables"/>
            </w:pPr>
            <w:r>
              <w:t>1,899</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ED673A5" w14:textId="77777777" w:rsidR="00345EE3" w:rsidRDefault="00345EE3" w:rsidP="00D73130">
            <w:pPr>
              <w:pStyle w:val="VicPol-TableBodyRight-2022Tables"/>
            </w:pPr>
            <w:r>
              <w:t>(260)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41F5FE0" w14:textId="77777777" w:rsidR="00345EE3" w:rsidRDefault="00345EE3" w:rsidP="00D73130">
            <w:pPr>
              <w:pStyle w:val="VicPol-TableBodyRight-2022Tables"/>
            </w:pPr>
            <w:r>
              <w:t>(1,899)</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ADF38A"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649C78"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CD38F4C"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2D3014"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F9A1E19"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6816CB7" w14:textId="77777777" w:rsidR="00345EE3" w:rsidRDefault="00345EE3" w:rsidP="00D73130">
            <w:pPr>
              <w:pStyle w:val="VicPol-TableBodyRight-2022Tables"/>
            </w:pPr>
            <w:r>
              <w:t xml:space="preserve"> -  </w:t>
            </w:r>
          </w:p>
        </w:tc>
      </w:tr>
      <w:tr w:rsidR="00345EE3" w14:paraId="3CE16B5D" w14:textId="77777777" w:rsidTr="00D73130">
        <w:trPr>
          <w:trHeight w:val="60"/>
        </w:trPr>
        <w:tc>
          <w:tcPr>
            <w:tcW w:w="2211"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6D72ECBD" w14:textId="77777777" w:rsidR="00345EE3" w:rsidRDefault="00345EE3" w:rsidP="00D73130">
            <w:pPr>
              <w:pStyle w:val="VicPol-TableBodyLeft-2022Tables"/>
            </w:pPr>
            <w:r>
              <w:t>(Over)/under capitalisation</w:t>
            </w:r>
          </w:p>
        </w:tc>
        <w:tc>
          <w:tcPr>
            <w:tcW w:w="907"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CF0F516"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72F73284"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059F6F4"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6663B200"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9B08F28"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2570AD40"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EB3412C" w14:textId="77777777" w:rsidR="00345EE3" w:rsidRDefault="00345EE3" w:rsidP="00D73130">
            <w:pPr>
              <w:pStyle w:val="VicPol-TableBodyRight-2022Tables"/>
            </w:pPr>
            <w:r>
              <w:t>125</w:t>
            </w:r>
          </w:p>
        </w:tc>
        <w:tc>
          <w:tcPr>
            <w:tcW w:w="907"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6DD8156A" w14:textId="77777777" w:rsidR="00345EE3" w:rsidRDefault="00345EE3" w:rsidP="00D73130">
            <w:pPr>
              <w:pStyle w:val="VicPol-TableBodyRight-2022Tables"/>
            </w:pPr>
            <w:r>
              <w:t xml:space="preserve">1,397 </w:t>
            </w:r>
          </w:p>
        </w:tc>
        <w:tc>
          <w:tcPr>
            <w:tcW w:w="1021"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5BA7B05" w14:textId="77777777" w:rsidR="00345EE3" w:rsidRDefault="00345EE3" w:rsidP="00D73130">
            <w:pPr>
              <w:pStyle w:val="VicPol-TableBodyRight-2022Tables"/>
            </w:pPr>
            <w:r>
              <w:t>(12,132)</w:t>
            </w:r>
          </w:p>
        </w:tc>
        <w:tc>
          <w:tcPr>
            <w:tcW w:w="1020"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2E0E3DDE" w14:textId="77777777" w:rsidR="00345EE3" w:rsidRDefault="00345EE3" w:rsidP="00D73130">
            <w:pPr>
              <w:pStyle w:val="VicPol-TableBodyRight-2022Tables"/>
            </w:pPr>
            <w:r>
              <w:t>2,711</w:t>
            </w:r>
          </w:p>
        </w:tc>
        <w:tc>
          <w:tcPr>
            <w:tcW w:w="79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3683953"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06C1087"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CC2C9C2" w14:textId="77777777" w:rsidR="00345EE3" w:rsidRDefault="00345EE3" w:rsidP="00D73130">
            <w:pPr>
              <w:pStyle w:val="VicPol-TableBodyRight-2022Tables"/>
            </w:pPr>
            <w:r>
              <w:t>(12,007)</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67C2F297" w14:textId="77777777" w:rsidR="00345EE3" w:rsidRDefault="00345EE3" w:rsidP="00D73130">
            <w:pPr>
              <w:pStyle w:val="VicPol-TableBodyRight-2022Tables"/>
            </w:pPr>
            <w:r>
              <w:t>4,108</w:t>
            </w:r>
          </w:p>
        </w:tc>
      </w:tr>
      <w:tr w:rsidR="00345EE3" w14:paraId="4E1D7341" w14:textId="77777777" w:rsidTr="00D73130">
        <w:trPr>
          <w:trHeight w:val="60"/>
        </w:trPr>
        <w:tc>
          <w:tcPr>
            <w:tcW w:w="2211"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2EE0A6D4" w14:textId="77777777" w:rsidR="00345EE3" w:rsidRDefault="00345EE3" w:rsidP="00D73130">
            <w:pPr>
              <w:pStyle w:val="VicPol-TableBodyLeft-2022Tables"/>
            </w:pPr>
            <w:r>
              <w:rPr>
                <w:rStyle w:val="Heavy"/>
              </w:rPr>
              <w:t>Closing Balance at 30 June</w:t>
            </w:r>
          </w:p>
        </w:tc>
        <w:tc>
          <w:tcPr>
            <w:tcW w:w="907"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B6CD6E6" w14:textId="77777777" w:rsidR="00345EE3" w:rsidRDefault="00345EE3" w:rsidP="00D73130">
            <w:pPr>
              <w:pStyle w:val="VicPol-TableBodyRight-2022Tables"/>
            </w:pPr>
            <w:r>
              <w:rPr>
                <w:rStyle w:val="Heavy"/>
                <w:spacing w:val="0"/>
              </w:rPr>
              <w:t>658,401</w:t>
            </w:r>
          </w:p>
        </w:tc>
        <w:tc>
          <w:tcPr>
            <w:tcW w:w="907"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197D2520" w14:textId="77777777" w:rsidR="00345EE3" w:rsidRDefault="00345EE3" w:rsidP="00D73130">
            <w:pPr>
              <w:pStyle w:val="VicPol-TableBodyRight-2022Tables"/>
            </w:pPr>
            <w:r>
              <w:rPr>
                <w:rStyle w:val="Heavy"/>
                <w:spacing w:val="0"/>
              </w:rPr>
              <w:t>636,914</w:t>
            </w:r>
          </w:p>
        </w:tc>
        <w:tc>
          <w:tcPr>
            <w:tcW w:w="851"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10601EE" w14:textId="77777777" w:rsidR="00345EE3" w:rsidRDefault="00345EE3" w:rsidP="00D73130">
            <w:pPr>
              <w:pStyle w:val="VicPol-TableBodyRight-2022Tables"/>
            </w:pPr>
            <w:r>
              <w:rPr>
                <w:rStyle w:val="Heavy"/>
                <w:spacing w:val="0"/>
              </w:rPr>
              <w:t>13,724</w:t>
            </w:r>
          </w:p>
        </w:tc>
        <w:tc>
          <w:tcPr>
            <w:tcW w:w="793"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0E850857" w14:textId="77777777" w:rsidR="00345EE3" w:rsidRDefault="00345EE3" w:rsidP="00D73130">
            <w:pPr>
              <w:pStyle w:val="VicPol-TableBodyRight-2022Tables"/>
            </w:pPr>
            <w:r>
              <w:rPr>
                <w:rStyle w:val="Heavy"/>
                <w:spacing w:val="0"/>
              </w:rPr>
              <w:t>14,368</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209DB545" w14:textId="77777777" w:rsidR="00345EE3" w:rsidRDefault="00345EE3" w:rsidP="00D73130">
            <w:pPr>
              <w:pStyle w:val="VicPol-TableBodyRight-2022Tables"/>
            </w:pPr>
            <w:r>
              <w:rPr>
                <w:rStyle w:val="Heavy"/>
                <w:spacing w:val="0"/>
              </w:rPr>
              <w:t>2,575,332</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5D3FCC5D" w14:textId="77777777" w:rsidR="00345EE3" w:rsidRDefault="00345EE3" w:rsidP="00D73130">
            <w:pPr>
              <w:pStyle w:val="VicPol-TableBodyRight-2022Tables"/>
            </w:pPr>
            <w:r>
              <w:rPr>
                <w:rStyle w:val="Heavy"/>
                <w:spacing w:val="0"/>
              </w:rPr>
              <w:t>2,617,676</w:t>
            </w:r>
          </w:p>
        </w:tc>
        <w:tc>
          <w:tcPr>
            <w:tcW w:w="907"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39003BE" w14:textId="77777777" w:rsidR="00345EE3" w:rsidRDefault="00345EE3" w:rsidP="00D73130">
            <w:pPr>
              <w:pStyle w:val="VicPol-TableBodyRight-2022Tables"/>
            </w:pPr>
            <w:r>
              <w:rPr>
                <w:rStyle w:val="Heavy"/>
                <w:spacing w:val="0"/>
              </w:rPr>
              <w:t>361,816</w:t>
            </w:r>
          </w:p>
        </w:tc>
        <w:tc>
          <w:tcPr>
            <w:tcW w:w="907"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76EC88CE" w14:textId="77777777" w:rsidR="00345EE3" w:rsidRDefault="00345EE3" w:rsidP="00D73130">
            <w:pPr>
              <w:pStyle w:val="VicPol-TableBodyRight-2022Tables"/>
            </w:pPr>
            <w:r>
              <w:rPr>
                <w:rStyle w:val="Heavy"/>
                <w:spacing w:val="0"/>
              </w:rPr>
              <w:t>374,292</w:t>
            </w:r>
          </w:p>
        </w:tc>
        <w:tc>
          <w:tcPr>
            <w:tcW w:w="1021"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B493F8B" w14:textId="77777777" w:rsidR="00345EE3" w:rsidRDefault="00345EE3" w:rsidP="00D73130">
            <w:pPr>
              <w:pStyle w:val="VicPol-TableBodyRight-2022Tables"/>
            </w:pPr>
            <w:r>
              <w:rPr>
                <w:rStyle w:val="Heavy"/>
                <w:spacing w:val="0"/>
              </w:rPr>
              <w:t>40,223</w:t>
            </w:r>
          </w:p>
        </w:tc>
        <w:tc>
          <w:tcPr>
            <w:tcW w:w="1020"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7417A94F" w14:textId="77777777" w:rsidR="00345EE3" w:rsidRDefault="00345EE3" w:rsidP="00D73130">
            <w:pPr>
              <w:pStyle w:val="VicPol-TableBodyRight-2022Tables"/>
            </w:pPr>
            <w:r>
              <w:rPr>
                <w:rStyle w:val="Heavy"/>
                <w:spacing w:val="0"/>
              </w:rPr>
              <w:t>86,638</w:t>
            </w:r>
          </w:p>
        </w:tc>
        <w:tc>
          <w:tcPr>
            <w:tcW w:w="79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4AC7389B" w14:textId="77777777" w:rsidR="00345EE3" w:rsidRDefault="00345EE3" w:rsidP="00D73130">
            <w:pPr>
              <w:pStyle w:val="VicPol-TableBodyRight-2022Tables"/>
            </w:pPr>
            <w:r>
              <w:rPr>
                <w:rStyle w:val="Heavy"/>
                <w:spacing w:val="0"/>
              </w:rPr>
              <w:t>5,288</w:t>
            </w:r>
          </w:p>
        </w:tc>
        <w:tc>
          <w:tcPr>
            <w:tcW w:w="737"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57D3645B" w14:textId="77777777" w:rsidR="00345EE3" w:rsidRDefault="00345EE3" w:rsidP="00D73130">
            <w:pPr>
              <w:pStyle w:val="VicPol-TableBodyRight-2022Tables"/>
            </w:pPr>
            <w:r>
              <w:rPr>
                <w:rStyle w:val="Heavy"/>
                <w:spacing w:val="0"/>
              </w:rPr>
              <w:t>5,239</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3BDCCED" w14:textId="77777777" w:rsidR="00345EE3" w:rsidRDefault="00345EE3" w:rsidP="00D73130">
            <w:pPr>
              <w:pStyle w:val="VicPol-TableBodyRight-2022Tables"/>
            </w:pPr>
            <w:r>
              <w:rPr>
                <w:rStyle w:val="Heavy"/>
                <w:spacing w:val="0"/>
              </w:rPr>
              <w:t>3,654,784</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036B8016" w14:textId="77777777" w:rsidR="00345EE3" w:rsidRDefault="00345EE3" w:rsidP="00D73130">
            <w:pPr>
              <w:pStyle w:val="VicPol-TableBodyRight-2022Tables"/>
            </w:pPr>
            <w:r>
              <w:rPr>
                <w:rStyle w:val="Heavy"/>
                <w:spacing w:val="0"/>
              </w:rPr>
              <w:t>3,735,127</w:t>
            </w:r>
          </w:p>
        </w:tc>
      </w:tr>
    </w:tbl>
    <w:p w14:paraId="5ADB6558" w14:textId="77777777" w:rsidR="00345EE3" w:rsidRPr="000C71FB" w:rsidRDefault="00345EE3" w:rsidP="00345EE3">
      <w:pPr>
        <w:spacing w:before="62"/>
        <w:ind w:left="110"/>
        <w:rPr>
          <w:rFonts w:ascii="Arial-BoldItalicMT"/>
          <w:b/>
          <w:i/>
          <w:sz w:val="18"/>
          <w:szCs w:val="18"/>
        </w:rPr>
      </w:pPr>
      <w:r w:rsidRPr="000C71FB">
        <w:rPr>
          <w:rFonts w:ascii="Arial-BoldItalicMT"/>
          <w:b/>
          <w:i/>
          <w:color w:val="231F20"/>
          <w:spacing w:val="-2"/>
          <w:sz w:val="18"/>
          <w:szCs w:val="18"/>
        </w:rPr>
        <w:t>Note:</w:t>
      </w:r>
    </w:p>
    <w:p w14:paraId="2DCBCDEA" w14:textId="77777777" w:rsidR="00345EE3" w:rsidRPr="000C71FB" w:rsidRDefault="00345EE3" w:rsidP="00345EE3">
      <w:pPr>
        <w:spacing w:before="27"/>
        <w:ind w:left="337" w:right="51" w:hanging="227"/>
        <w:rPr>
          <w:sz w:val="18"/>
          <w:szCs w:val="18"/>
        </w:rPr>
      </w:pPr>
      <w:r w:rsidRPr="000C71FB">
        <w:rPr>
          <w:color w:val="231F20"/>
          <w:sz w:val="18"/>
          <w:szCs w:val="18"/>
        </w:rPr>
        <w:t>(a)</w:t>
      </w:r>
      <w:r w:rsidRPr="000C71FB">
        <w:rPr>
          <w:color w:val="231F20"/>
          <w:spacing w:val="26"/>
          <w:sz w:val="18"/>
          <w:szCs w:val="18"/>
        </w:rPr>
        <w:t xml:space="preserve"> </w:t>
      </w:r>
      <w:r w:rsidRPr="000C71FB">
        <w:rPr>
          <w:color w:val="231F20"/>
          <w:sz w:val="18"/>
          <w:szCs w:val="18"/>
        </w:rPr>
        <w:t>This</w:t>
      </w:r>
      <w:r w:rsidRPr="000C71FB">
        <w:rPr>
          <w:color w:val="231F20"/>
          <w:spacing w:val="-3"/>
          <w:sz w:val="18"/>
          <w:szCs w:val="18"/>
        </w:rPr>
        <w:t xml:space="preserve"> </w:t>
      </w:r>
      <w:r w:rsidRPr="000C71FB">
        <w:rPr>
          <w:color w:val="231F20"/>
          <w:sz w:val="18"/>
          <w:szCs w:val="18"/>
        </w:rPr>
        <w:t>note</w:t>
      </w:r>
      <w:r w:rsidRPr="000C71FB">
        <w:rPr>
          <w:color w:val="231F20"/>
          <w:spacing w:val="-3"/>
          <w:sz w:val="18"/>
          <w:szCs w:val="18"/>
        </w:rPr>
        <w:t xml:space="preserve"> </w:t>
      </w:r>
      <w:r w:rsidRPr="000C71FB">
        <w:rPr>
          <w:color w:val="231F20"/>
          <w:sz w:val="18"/>
          <w:szCs w:val="18"/>
        </w:rPr>
        <w:t>only</w:t>
      </w:r>
      <w:r w:rsidRPr="000C71FB">
        <w:rPr>
          <w:color w:val="231F20"/>
          <w:spacing w:val="-3"/>
          <w:sz w:val="18"/>
          <w:szCs w:val="18"/>
        </w:rPr>
        <w:t xml:space="preserve"> </w:t>
      </w:r>
      <w:r w:rsidRPr="000C71FB">
        <w:rPr>
          <w:color w:val="231F20"/>
          <w:sz w:val="18"/>
          <w:szCs w:val="18"/>
        </w:rPr>
        <w:t>discloses</w:t>
      </w:r>
      <w:r w:rsidRPr="000C71FB">
        <w:rPr>
          <w:color w:val="231F20"/>
          <w:spacing w:val="-3"/>
          <w:sz w:val="18"/>
          <w:szCs w:val="18"/>
        </w:rPr>
        <w:t xml:space="preserve"> </w:t>
      </w:r>
      <w:r w:rsidRPr="000C71FB">
        <w:rPr>
          <w:color w:val="231F20"/>
          <w:sz w:val="18"/>
          <w:szCs w:val="18"/>
        </w:rPr>
        <w:t>the</w:t>
      </w:r>
      <w:r w:rsidRPr="000C71FB">
        <w:rPr>
          <w:color w:val="231F20"/>
          <w:spacing w:val="-3"/>
          <w:sz w:val="18"/>
          <w:szCs w:val="18"/>
        </w:rPr>
        <w:t xml:space="preserve"> </w:t>
      </w:r>
      <w:r w:rsidRPr="000C71FB">
        <w:rPr>
          <w:color w:val="231F20"/>
          <w:sz w:val="18"/>
          <w:szCs w:val="18"/>
        </w:rPr>
        <w:t>total</w:t>
      </w:r>
      <w:r w:rsidRPr="000C71FB">
        <w:rPr>
          <w:color w:val="231F20"/>
          <w:spacing w:val="-3"/>
          <w:sz w:val="18"/>
          <w:szCs w:val="18"/>
        </w:rPr>
        <w:t xml:space="preserve"> </w:t>
      </w:r>
      <w:r w:rsidRPr="000C71FB">
        <w:rPr>
          <w:color w:val="231F20"/>
          <w:sz w:val="18"/>
          <w:szCs w:val="18"/>
        </w:rPr>
        <w:t>depreciation</w:t>
      </w:r>
      <w:r w:rsidRPr="000C71FB">
        <w:rPr>
          <w:color w:val="231F20"/>
          <w:spacing w:val="-3"/>
          <w:sz w:val="18"/>
          <w:szCs w:val="18"/>
        </w:rPr>
        <w:t xml:space="preserve"> </w:t>
      </w:r>
      <w:r w:rsidRPr="000C71FB">
        <w:rPr>
          <w:color w:val="231F20"/>
          <w:sz w:val="18"/>
          <w:szCs w:val="18"/>
        </w:rPr>
        <w:t>amount</w:t>
      </w:r>
      <w:r w:rsidRPr="000C71FB">
        <w:rPr>
          <w:color w:val="231F20"/>
          <w:spacing w:val="-3"/>
          <w:sz w:val="18"/>
          <w:szCs w:val="18"/>
        </w:rPr>
        <w:t xml:space="preserve"> </w:t>
      </w:r>
      <w:r w:rsidRPr="000C71FB">
        <w:rPr>
          <w:color w:val="231F20"/>
          <w:sz w:val="18"/>
          <w:szCs w:val="18"/>
        </w:rPr>
        <w:t>of</w:t>
      </w:r>
      <w:r w:rsidRPr="000C71FB">
        <w:rPr>
          <w:color w:val="231F20"/>
          <w:spacing w:val="-3"/>
          <w:sz w:val="18"/>
          <w:szCs w:val="18"/>
        </w:rPr>
        <w:t xml:space="preserve"> </w:t>
      </w:r>
      <w:r w:rsidRPr="000C71FB">
        <w:rPr>
          <w:color w:val="231F20"/>
          <w:sz w:val="18"/>
          <w:szCs w:val="18"/>
        </w:rPr>
        <w:t>$232.4</w:t>
      </w:r>
      <w:r w:rsidRPr="000C71FB">
        <w:rPr>
          <w:color w:val="231F20"/>
          <w:spacing w:val="-3"/>
          <w:sz w:val="18"/>
          <w:szCs w:val="18"/>
        </w:rPr>
        <w:t xml:space="preserve"> </w:t>
      </w:r>
      <w:r w:rsidRPr="000C71FB">
        <w:rPr>
          <w:color w:val="231F20"/>
          <w:sz w:val="18"/>
          <w:szCs w:val="18"/>
        </w:rPr>
        <w:t>million</w:t>
      </w:r>
      <w:r w:rsidRPr="000C71FB">
        <w:rPr>
          <w:color w:val="231F20"/>
          <w:spacing w:val="-3"/>
          <w:sz w:val="18"/>
          <w:szCs w:val="18"/>
        </w:rPr>
        <w:t xml:space="preserve"> </w:t>
      </w:r>
      <w:r w:rsidRPr="000C71FB">
        <w:rPr>
          <w:color w:val="231F20"/>
          <w:sz w:val="18"/>
          <w:szCs w:val="18"/>
        </w:rPr>
        <w:t>(2021:</w:t>
      </w:r>
      <w:r w:rsidRPr="000C71FB">
        <w:rPr>
          <w:color w:val="231F20"/>
          <w:spacing w:val="-3"/>
          <w:sz w:val="18"/>
          <w:szCs w:val="18"/>
        </w:rPr>
        <w:t xml:space="preserve"> </w:t>
      </w:r>
      <w:r w:rsidRPr="000C71FB">
        <w:rPr>
          <w:color w:val="231F20"/>
          <w:sz w:val="18"/>
          <w:szCs w:val="18"/>
        </w:rPr>
        <w:t>$214.2</w:t>
      </w:r>
      <w:r w:rsidRPr="000C71FB">
        <w:rPr>
          <w:color w:val="231F20"/>
          <w:spacing w:val="-3"/>
          <w:sz w:val="18"/>
          <w:szCs w:val="18"/>
        </w:rPr>
        <w:t xml:space="preserve"> </w:t>
      </w:r>
      <w:r w:rsidRPr="000C71FB">
        <w:rPr>
          <w:color w:val="231F20"/>
          <w:sz w:val="18"/>
          <w:szCs w:val="18"/>
        </w:rPr>
        <w:t>million),</w:t>
      </w:r>
      <w:r w:rsidRPr="000C71FB">
        <w:rPr>
          <w:color w:val="231F20"/>
          <w:spacing w:val="-3"/>
          <w:sz w:val="18"/>
          <w:szCs w:val="18"/>
        </w:rPr>
        <w:t xml:space="preserve"> </w:t>
      </w:r>
      <w:r w:rsidRPr="000C71FB">
        <w:rPr>
          <w:color w:val="231F20"/>
          <w:sz w:val="18"/>
          <w:szCs w:val="18"/>
        </w:rPr>
        <w:t>excluding</w:t>
      </w:r>
      <w:r w:rsidRPr="000C71FB">
        <w:rPr>
          <w:color w:val="231F20"/>
          <w:spacing w:val="-3"/>
          <w:sz w:val="18"/>
          <w:szCs w:val="18"/>
        </w:rPr>
        <w:t xml:space="preserve"> </w:t>
      </w:r>
      <w:r w:rsidRPr="000C71FB">
        <w:rPr>
          <w:color w:val="231F20"/>
          <w:sz w:val="18"/>
          <w:szCs w:val="18"/>
        </w:rPr>
        <w:t>amortisation</w:t>
      </w:r>
      <w:r w:rsidRPr="000C71FB">
        <w:rPr>
          <w:color w:val="231F20"/>
          <w:spacing w:val="-3"/>
          <w:sz w:val="18"/>
          <w:szCs w:val="18"/>
        </w:rPr>
        <w:t xml:space="preserve"> </w:t>
      </w:r>
      <w:r w:rsidRPr="000C71FB">
        <w:rPr>
          <w:color w:val="231F20"/>
          <w:sz w:val="18"/>
          <w:szCs w:val="18"/>
        </w:rPr>
        <w:t>amount</w:t>
      </w:r>
      <w:r w:rsidRPr="000C71FB">
        <w:rPr>
          <w:color w:val="231F20"/>
          <w:spacing w:val="-3"/>
          <w:sz w:val="18"/>
          <w:szCs w:val="18"/>
        </w:rPr>
        <w:t xml:space="preserve"> </w:t>
      </w:r>
      <w:r w:rsidRPr="000C71FB">
        <w:rPr>
          <w:color w:val="231F20"/>
          <w:sz w:val="18"/>
          <w:szCs w:val="18"/>
        </w:rPr>
        <w:t>of</w:t>
      </w:r>
      <w:r w:rsidRPr="000C71FB">
        <w:rPr>
          <w:color w:val="231F20"/>
          <w:spacing w:val="-3"/>
          <w:sz w:val="18"/>
          <w:szCs w:val="18"/>
        </w:rPr>
        <w:t xml:space="preserve"> </w:t>
      </w:r>
      <w:r w:rsidRPr="000C71FB">
        <w:rPr>
          <w:color w:val="231F20"/>
          <w:sz w:val="18"/>
          <w:szCs w:val="18"/>
        </w:rPr>
        <w:t>$27.6</w:t>
      </w:r>
      <w:r w:rsidRPr="000C71FB">
        <w:rPr>
          <w:color w:val="231F20"/>
          <w:spacing w:val="-3"/>
          <w:sz w:val="18"/>
          <w:szCs w:val="18"/>
        </w:rPr>
        <w:t xml:space="preserve"> </w:t>
      </w:r>
      <w:r w:rsidRPr="000C71FB">
        <w:rPr>
          <w:color w:val="231F20"/>
          <w:sz w:val="18"/>
          <w:szCs w:val="18"/>
        </w:rPr>
        <w:t>million</w:t>
      </w:r>
      <w:r w:rsidRPr="000C71FB">
        <w:rPr>
          <w:color w:val="231F20"/>
          <w:spacing w:val="-3"/>
          <w:sz w:val="18"/>
          <w:szCs w:val="18"/>
        </w:rPr>
        <w:t xml:space="preserve"> </w:t>
      </w:r>
      <w:r w:rsidRPr="000C71FB">
        <w:rPr>
          <w:color w:val="231F20"/>
          <w:sz w:val="18"/>
          <w:szCs w:val="18"/>
        </w:rPr>
        <w:t>(2021:</w:t>
      </w:r>
      <w:r w:rsidRPr="000C71FB">
        <w:rPr>
          <w:color w:val="231F20"/>
          <w:spacing w:val="-3"/>
          <w:sz w:val="18"/>
          <w:szCs w:val="18"/>
        </w:rPr>
        <w:t xml:space="preserve"> </w:t>
      </w:r>
      <w:r w:rsidRPr="000C71FB">
        <w:rPr>
          <w:color w:val="231F20"/>
          <w:sz w:val="18"/>
          <w:szCs w:val="18"/>
        </w:rPr>
        <w:t>$27.2</w:t>
      </w:r>
      <w:r w:rsidRPr="000C71FB">
        <w:rPr>
          <w:color w:val="231F20"/>
          <w:spacing w:val="-3"/>
          <w:sz w:val="18"/>
          <w:szCs w:val="18"/>
        </w:rPr>
        <w:t xml:space="preserve"> </w:t>
      </w:r>
      <w:r w:rsidRPr="000C71FB">
        <w:rPr>
          <w:color w:val="231F20"/>
          <w:sz w:val="18"/>
          <w:szCs w:val="18"/>
        </w:rPr>
        <w:t>million)</w:t>
      </w:r>
      <w:r w:rsidRPr="000C71FB">
        <w:rPr>
          <w:color w:val="231F20"/>
          <w:spacing w:val="-3"/>
          <w:sz w:val="18"/>
          <w:szCs w:val="18"/>
        </w:rPr>
        <w:t xml:space="preserve"> </w:t>
      </w:r>
      <w:r w:rsidRPr="000C71FB">
        <w:rPr>
          <w:color w:val="231F20"/>
          <w:sz w:val="18"/>
          <w:szCs w:val="18"/>
        </w:rPr>
        <w:t>for</w:t>
      </w:r>
      <w:r w:rsidRPr="000C71FB">
        <w:rPr>
          <w:color w:val="231F20"/>
          <w:spacing w:val="-3"/>
          <w:sz w:val="18"/>
          <w:szCs w:val="18"/>
        </w:rPr>
        <w:t xml:space="preserve"> </w:t>
      </w:r>
      <w:r w:rsidRPr="000C71FB">
        <w:rPr>
          <w:color w:val="231F20"/>
          <w:sz w:val="18"/>
          <w:szCs w:val="18"/>
        </w:rPr>
        <w:t>intangible</w:t>
      </w:r>
      <w:r w:rsidRPr="000C71FB">
        <w:rPr>
          <w:color w:val="231F20"/>
          <w:spacing w:val="-3"/>
          <w:sz w:val="18"/>
          <w:szCs w:val="18"/>
        </w:rPr>
        <w:t xml:space="preserve"> </w:t>
      </w:r>
      <w:r w:rsidRPr="000C71FB">
        <w:rPr>
          <w:color w:val="231F20"/>
          <w:sz w:val="18"/>
          <w:szCs w:val="18"/>
        </w:rPr>
        <w:t>assets.</w:t>
      </w:r>
      <w:r w:rsidRPr="000C71FB">
        <w:rPr>
          <w:color w:val="231F20"/>
          <w:spacing w:val="-3"/>
          <w:sz w:val="18"/>
          <w:szCs w:val="18"/>
        </w:rPr>
        <w:t xml:space="preserve"> </w:t>
      </w:r>
      <w:r w:rsidRPr="000C71FB">
        <w:rPr>
          <w:color w:val="231F20"/>
          <w:sz w:val="18"/>
          <w:szCs w:val="18"/>
        </w:rPr>
        <w:t>Refer</w:t>
      </w:r>
      <w:r w:rsidRPr="000C71FB">
        <w:rPr>
          <w:color w:val="231F20"/>
          <w:spacing w:val="-3"/>
          <w:sz w:val="18"/>
          <w:szCs w:val="18"/>
        </w:rPr>
        <w:t xml:space="preserve"> </w:t>
      </w:r>
      <w:r w:rsidRPr="000C71FB">
        <w:rPr>
          <w:color w:val="231F20"/>
          <w:sz w:val="18"/>
          <w:szCs w:val="18"/>
        </w:rPr>
        <w:t>to</w:t>
      </w:r>
      <w:r w:rsidRPr="000C71FB">
        <w:rPr>
          <w:color w:val="231F20"/>
          <w:spacing w:val="-3"/>
          <w:sz w:val="18"/>
          <w:szCs w:val="18"/>
        </w:rPr>
        <w:t xml:space="preserve"> </w:t>
      </w:r>
      <w:r w:rsidRPr="000C71FB">
        <w:rPr>
          <w:color w:val="231F20"/>
          <w:sz w:val="18"/>
          <w:szCs w:val="18"/>
        </w:rPr>
        <w:t>Note</w:t>
      </w:r>
      <w:r w:rsidRPr="000C71FB">
        <w:rPr>
          <w:color w:val="231F20"/>
          <w:spacing w:val="-3"/>
          <w:sz w:val="18"/>
          <w:szCs w:val="18"/>
        </w:rPr>
        <w:t xml:space="preserve"> </w:t>
      </w:r>
      <w:r w:rsidRPr="000C71FB">
        <w:rPr>
          <w:color w:val="231F20"/>
          <w:sz w:val="18"/>
          <w:szCs w:val="18"/>
        </w:rPr>
        <w:t>5.1.1</w:t>
      </w:r>
      <w:r w:rsidRPr="000C71FB">
        <w:rPr>
          <w:color w:val="231F20"/>
          <w:spacing w:val="-3"/>
          <w:sz w:val="18"/>
          <w:szCs w:val="18"/>
        </w:rPr>
        <w:t xml:space="preserve"> </w:t>
      </w:r>
      <w:r w:rsidRPr="000C71FB">
        <w:rPr>
          <w:color w:val="231F20"/>
          <w:sz w:val="18"/>
          <w:szCs w:val="18"/>
        </w:rPr>
        <w:t>Depreciation</w:t>
      </w:r>
      <w:r w:rsidRPr="000C71FB">
        <w:rPr>
          <w:color w:val="231F20"/>
          <w:spacing w:val="-3"/>
          <w:sz w:val="18"/>
          <w:szCs w:val="18"/>
        </w:rPr>
        <w:t xml:space="preserve"> </w:t>
      </w:r>
      <w:r w:rsidRPr="000C71FB">
        <w:rPr>
          <w:color w:val="231F20"/>
          <w:sz w:val="18"/>
          <w:szCs w:val="18"/>
        </w:rPr>
        <w:t>and</w:t>
      </w:r>
      <w:r w:rsidRPr="000C71FB">
        <w:rPr>
          <w:color w:val="231F20"/>
          <w:spacing w:val="-3"/>
          <w:sz w:val="18"/>
          <w:szCs w:val="18"/>
        </w:rPr>
        <w:t xml:space="preserve"> </w:t>
      </w:r>
      <w:r w:rsidRPr="000C71FB">
        <w:rPr>
          <w:color w:val="231F20"/>
          <w:sz w:val="18"/>
          <w:szCs w:val="18"/>
        </w:rPr>
        <w:t>Amortisation</w:t>
      </w:r>
      <w:r w:rsidRPr="000C71FB">
        <w:rPr>
          <w:color w:val="231F20"/>
          <w:spacing w:val="-3"/>
          <w:sz w:val="18"/>
          <w:szCs w:val="18"/>
        </w:rPr>
        <w:t xml:space="preserve"> </w:t>
      </w:r>
      <w:r w:rsidRPr="000C71FB">
        <w:rPr>
          <w:color w:val="231F20"/>
          <w:sz w:val="18"/>
          <w:szCs w:val="18"/>
        </w:rPr>
        <w:t>for</w:t>
      </w:r>
      <w:r w:rsidRPr="000C71FB">
        <w:rPr>
          <w:color w:val="231F20"/>
          <w:spacing w:val="-3"/>
          <w:sz w:val="18"/>
          <w:szCs w:val="18"/>
        </w:rPr>
        <w:t xml:space="preserve"> </w:t>
      </w:r>
      <w:r w:rsidRPr="000C71FB">
        <w:rPr>
          <w:color w:val="231F20"/>
          <w:sz w:val="18"/>
          <w:szCs w:val="18"/>
        </w:rPr>
        <w:t>the</w:t>
      </w:r>
      <w:r w:rsidRPr="000C71FB">
        <w:rPr>
          <w:color w:val="231F20"/>
          <w:spacing w:val="40"/>
          <w:sz w:val="18"/>
          <w:szCs w:val="18"/>
        </w:rPr>
        <w:t xml:space="preserve"> </w:t>
      </w:r>
      <w:r w:rsidRPr="000C71FB">
        <w:rPr>
          <w:color w:val="231F20"/>
          <w:sz w:val="18"/>
          <w:szCs w:val="18"/>
        </w:rPr>
        <w:t>aggregate amount of $260.2 million (2021: $241.4 million) for depreciation and amortisation.</w:t>
      </w:r>
    </w:p>
    <w:p w14:paraId="7EA767E4" w14:textId="77777777" w:rsidR="00345EE3" w:rsidRDefault="00345EE3" w:rsidP="00345EE3">
      <w:pPr>
        <w:rPr>
          <w:sz w:val="14"/>
        </w:rPr>
        <w:sectPr w:rsidR="00345EE3">
          <w:pgSz w:w="16840" w:h="11910" w:orient="landscape"/>
          <w:pgMar w:top="840" w:right="260" w:bottom="280" w:left="740" w:header="720" w:footer="720" w:gutter="0"/>
          <w:cols w:space="720"/>
        </w:sectPr>
      </w:pPr>
    </w:p>
    <w:p w14:paraId="77498684" w14:textId="5D0AA89C" w:rsidR="00345EE3" w:rsidRDefault="00345EE3" w:rsidP="002A27BA">
      <w:pPr>
        <w:pStyle w:val="Heading3"/>
        <w:numPr>
          <w:ilvl w:val="1"/>
          <w:numId w:val="33"/>
        </w:numPr>
      </w:pPr>
      <w:r>
        <w:t>Intangible</w:t>
      </w:r>
      <w:r>
        <w:rPr>
          <w:spacing w:val="-2"/>
        </w:rPr>
        <w:t xml:space="preserve"> Assets</w:t>
      </w:r>
    </w:p>
    <w:tbl>
      <w:tblPr>
        <w:tblW w:w="0" w:type="auto"/>
        <w:tblInd w:w="-8" w:type="dxa"/>
        <w:tblLayout w:type="fixed"/>
        <w:tblCellMar>
          <w:left w:w="0" w:type="dxa"/>
          <w:right w:w="0" w:type="dxa"/>
        </w:tblCellMar>
        <w:tblLook w:val="0000" w:firstRow="0" w:lastRow="0" w:firstColumn="0" w:lastColumn="0" w:noHBand="0" w:noVBand="0"/>
      </w:tblPr>
      <w:tblGrid>
        <w:gridCol w:w="3402"/>
        <w:gridCol w:w="1133"/>
        <w:gridCol w:w="1134"/>
        <w:gridCol w:w="1134"/>
        <w:gridCol w:w="1134"/>
        <w:gridCol w:w="1134"/>
        <w:gridCol w:w="1134"/>
      </w:tblGrid>
      <w:tr w:rsidR="00F109AB" w:rsidRPr="00F109AB" w14:paraId="0090313D" w14:textId="77777777">
        <w:trPr>
          <w:trHeight w:val="60"/>
          <w:tblHeader/>
        </w:trPr>
        <w:tc>
          <w:tcPr>
            <w:tcW w:w="10205" w:type="dxa"/>
            <w:gridSpan w:val="7"/>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288B3C2C"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 thousand)</w:t>
            </w:r>
          </w:p>
        </w:tc>
      </w:tr>
      <w:tr w:rsidR="00F109AB" w:rsidRPr="00F109AB" w14:paraId="4DAF8655" w14:textId="77777777">
        <w:trPr>
          <w:trHeight w:val="60"/>
          <w:tblHeader/>
        </w:trPr>
        <w:tc>
          <w:tcPr>
            <w:tcW w:w="3402"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6BDAF0D" w14:textId="77777777" w:rsidR="00F109AB" w:rsidRPr="00F109AB" w:rsidRDefault="00F109AB" w:rsidP="00F109AB">
            <w:pPr>
              <w:widowControl/>
              <w:adjustRightInd w:val="0"/>
              <w:rPr>
                <w:rFonts w:eastAsia="Myriad Pro"/>
                <w:sz w:val="24"/>
                <w:szCs w:val="24"/>
                <w:lang w:val="en-GB"/>
              </w:rPr>
            </w:pPr>
          </w:p>
        </w:tc>
        <w:tc>
          <w:tcPr>
            <w:tcW w:w="2267"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5F160EA" w14:textId="77777777" w:rsidR="00F109AB" w:rsidRPr="00F109AB" w:rsidRDefault="00F109AB" w:rsidP="00F109AB">
            <w:pPr>
              <w:widowControl/>
              <w:tabs>
                <w:tab w:val="left" w:pos="240"/>
              </w:tabs>
              <w:suppressAutoHyphens/>
              <w:adjustRightInd w:val="0"/>
              <w:spacing w:after="57" w:line="280" w:lineRule="atLeast"/>
              <w:jc w:val="center"/>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Capitalised Computer Software</w:t>
            </w: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381FB21F" w14:textId="77777777" w:rsidR="00F109AB" w:rsidRPr="00F109AB" w:rsidRDefault="00F109AB" w:rsidP="00F109AB">
            <w:pPr>
              <w:widowControl/>
              <w:tabs>
                <w:tab w:val="left" w:pos="240"/>
              </w:tabs>
              <w:suppressAutoHyphens/>
              <w:adjustRightInd w:val="0"/>
              <w:spacing w:after="57" w:line="280" w:lineRule="atLeast"/>
              <w:jc w:val="center"/>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Work-In-Progress Computer Software</w:t>
            </w: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3301232F" w14:textId="77777777" w:rsidR="00F109AB" w:rsidRPr="00F109AB" w:rsidRDefault="00F109AB" w:rsidP="00F109AB">
            <w:pPr>
              <w:widowControl/>
              <w:tabs>
                <w:tab w:val="left" w:pos="240"/>
              </w:tabs>
              <w:suppressAutoHyphens/>
              <w:adjustRightInd w:val="0"/>
              <w:spacing w:after="57" w:line="280" w:lineRule="atLeast"/>
              <w:jc w:val="center"/>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Total</w:t>
            </w:r>
          </w:p>
        </w:tc>
      </w:tr>
      <w:tr w:rsidR="00F109AB" w:rsidRPr="00F109AB" w14:paraId="16E0BCD1" w14:textId="77777777">
        <w:trPr>
          <w:trHeight w:val="60"/>
          <w:tblHeader/>
        </w:trPr>
        <w:tc>
          <w:tcPr>
            <w:tcW w:w="3402"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61C156EC" w14:textId="77777777" w:rsidR="00F109AB" w:rsidRPr="00F109AB" w:rsidRDefault="00F109AB" w:rsidP="00F109AB">
            <w:pPr>
              <w:widowControl/>
              <w:adjustRightInd w:val="0"/>
              <w:rPr>
                <w:rFonts w:eastAsia="Myriad Pro"/>
                <w:sz w:val="24"/>
                <w:szCs w:val="24"/>
                <w:lang w:val="en-GB"/>
              </w:rPr>
            </w:pPr>
          </w:p>
        </w:tc>
        <w:tc>
          <w:tcPr>
            <w:tcW w:w="1133"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1309917"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06DDCC6"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1BB7478"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F6FDF9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1E1359C"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67D2A3BF"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2021</w:t>
            </w:r>
          </w:p>
        </w:tc>
      </w:tr>
      <w:tr w:rsidR="00F109AB" w:rsidRPr="00F109AB" w14:paraId="3077A724" w14:textId="77777777">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6B85D04"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b/>
                <w:bCs/>
                <w:color w:val="000000"/>
                <w:sz w:val="24"/>
                <w:szCs w:val="24"/>
                <w:lang w:val="en-GB"/>
              </w:rPr>
              <w:t>Gross Carrying Amount</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D53A0C"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4209ECB"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278DA0B"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519B0F"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B657BC"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8506D23" w14:textId="77777777" w:rsidR="00F109AB" w:rsidRPr="00F109AB" w:rsidRDefault="00F109AB" w:rsidP="00F109AB">
            <w:pPr>
              <w:widowControl/>
              <w:adjustRightInd w:val="0"/>
              <w:rPr>
                <w:rFonts w:eastAsia="Myriad Pro"/>
                <w:sz w:val="24"/>
                <w:szCs w:val="24"/>
                <w:lang w:val="en-GB"/>
              </w:rPr>
            </w:pPr>
          </w:p>
        </w:tc>
      </w:tr>
      <w:tr w:rsidR="00F109AB" w:rsidRPr="00F109AB" w14:paraId="538A64E4" w14:textId="77777777">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953EF3C"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b/>
                <w:bCs/>
                <w:color w:val="000000"/>
                <w:sz w:val="24"/>
                <w:szCs w:val="24"/>
                <w:lang w:val="en-GB"/>
              </w:rPr>
              <w:t>Opening Balance</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40DC4DD"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149,674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F4613B3"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133,119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E6E8374"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7,078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0B5F9A4"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8,890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036F634"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156,752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78FD27A"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142,009 </w:t>
            </w:r>
          </w:p>
        </w:tc>
      </w:tr>
      <w:tr w:rsidR="00F109AB" w:rsidRPr="00F109AB" w14:paraId="0E485A1F" w14:textId="77777777">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F4D5F1C"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Additions from internal development</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469EA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84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41FCB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377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898060"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7,430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A0ED92F"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17,724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AED916"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7,514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CCAE1E0"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18,101 </w:t>
            </w:r>
          </w:p>
        </w:tc>
      </w:tr>
      <w:tr w:rsidR="00F109AB" w:rsidRPr="00F109AB" w14:paraId="1C36F94B" w14:textId="77777777">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8B6019A"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Transfers in/(out) of assets under construction</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968161C"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952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250D9C"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16,106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D87E08D"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(422)</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BE7AF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(18,828)</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80CF64"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530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6A111D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(2,722)</w:t>
            </w:r>
          </w:p>
        </w:tc>
      </w:tr>
      <w:tr w:rsidR="00F109AB" w:rsidRPr="00F109AB" w14:paraId="544BA16D" w14:textId="77777777">
        <w:trPr>
          <w:trHeight w:val="60"/>
        </w:trPr>
        <w:tc>
          <w:tcPr>
            <w:tcW w:w="3402"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04067A1B"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Other ((over)/under capitalisation)</w:t>
            </w:r>
          </w:p>
        </w:tc>
        <w:tc>
          <w:tcPr>
            <w:tcW w:w="1133"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78718B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64CB8263"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72</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E55F75D"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72FF9E19"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(708)</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36113E6"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4E45514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(636)</w:t>
            </w:r>
          </w:p>
        </w:tc>
      </w:tr>
      <w:tr w:rsidR="00F109AB" w:rsidRPr="00F109AB" w14:paraId="3C2EBB12" w14:textId="77777777">
        <w:trPr>
          <w:trHeight w:val="60"/>
        </w:trPr>
        <w:tc>
          <w:tcPr>
            <w:tcW w:w="3402"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747CB8DF"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b/>
                <w:bCs/>
                <w:color w:val="000000"/>
                <w:sz w:val="24"/>
                <w:szCs w:val="24"/>
                <w:lang w:val="en-GB"/>
              </w:rPr>
              <w:t>Closing Balance</w:t>
            </w:r>
          </w:p>
        </w:tc>
        <w:tc>
          <w:tcPr>
            <w:tcW w:w="1133"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FCD40E3"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150,710</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303F4AAA"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149,674 </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7201B87"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14,086 </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75CCAD42"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7,078 </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81FA50D"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164,796</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010BC91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156,752 </w:t>
            </w:r>
          </w:p>
        </w:tc>
      </w:tr>
      <w:tr w:rsidR="00F109AB" w:rsidRPr="00F109AB" w14:paraId="2F561F04" w14:textId="77777777">
        <w:trPr>
          <w:trHeight w:val="60"/>
        </w:trPr>
        <w:tc>
          <w:tcPr>
            <w:tcW w:w="3402"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67CB6619"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b/>
                <w:bCs/>
                <w:color w:val="000000"/>
                <w:sz w:val="24"/>
                <w:szCs w:val="24"/>
                <w:lang w:val="en-GB"/>
              </w:rPr>
              <w:t>Accumulated Depreciation, Amortisation and Impairment</w:t>
            </w:r>
          </w:p>
        </w:tc>
        <w:tc>
          <w:tcPr>
            <w:tcW w:w="1133"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118BA1B" w14:textId="77777777" w:rsidR="00F109AB" w:rsidRPr="00F109AB" w:rsidRDefault="00F109AB" w:rsidP="00F109AB">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2CA85C4D" w14:textId="77777777" w:rsidR="00F109AB" w:rsidRPr="00F109AB" w:rsidRDefault="00F109AB" w:rsidP="00F109AB">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E9BC2E" w14:textId="77777777" w:rsidR="00F109AB" w:rsidRPr="00F109AB" w:rsidRDefault="00F109AB" w:rsidP="00F109AB">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0EE51D9F" w14:textId="77777777" w:rsidR="00F109AB" w:rsidRPr="00F109AB" w:rsidRDefault="00F109AB" w:rsidP="00F109AB">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AE23F3" w14:textId="77777777" w:rsidR="00F109AB" w:rsidRPr="00F109AB" w:rsidRDefault="00F109AB" w:rsidP="00F109AB">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61A5C3D1" w14:textId="77777777" w:rsidR="00F109AB" w:rsidRPr="00F109AB" w:rsidRDefault="00F109AB" w:rsidP="00F109AB">
            <w:pPr>
              <w:widowControl/>
              <w:adjustRightInd w:val="0"/>
              <w:rPr>
                <w:rFonts w:eastAsia="Myriad Pro"/>
                <w:sz w:val="24"/>
                <w:szCs w:val="24"/>
                <w:lang w:val="en-GB"/>
              </w:rPr>
            </w:pPr>
          </w:p>
        </w:tc>
      </w:tr>
      <w:tr w:rsidR="00F109AB" w:rsidRPr="00F109AB" w14:paraId="586A4B78" w14:textId="77777777">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5F09A1F"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Opening balance</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A555D8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(47,141)</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F285DF"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(19,948)</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E0696D3"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DD4FC30"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DB879F"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(47,141)</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6EE8B7F"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(19,948)</w:t>
            </w:r>
          </w:p>
        </w:tc>
      </w:tr>
      <w:tr w:rsidR="00F109AB" w:rsidRPr="00F109AB" w14:paraId="6DA9C921" w14:textId="77777777">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0DE2D9D"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Amortisation</w:t>
            </w:r>
            <w:r w:rsidRPr="00F109AB">
              <w:rPr>
                <w:rFonts w:eastAsia="Myriad Pro"/>
                <w:color w:val="000000"/>
                <w:sz w:val="24"/>
                <w:szCs w:val="24"/>
                <w:vertAlign w:val="superscript"/>
                <w:lang w:val="en-GB"/>
              </w:rPr>
              <w:t xml:space="preserve"> (a)</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888C8A"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(27,635)</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84864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(27,193)</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A20A95D"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0E1E8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B57D9A"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(27,635)</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7A05A02"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(27,193)</w:t>
            </w:r>
          </w:p>
        </w:tc>
      </w:tr>
      <w:tr w:rsidR="00F109AB" w:rsidRPr="00F109AB" w14:paraId="6BDA5449" w14:textId="77777777">
        <w:trPr>
          <w:trHeight w:val="60"/>
        </w:trPr>
        <w:tc>
          <w:tcPr>
            <w:tcW w:w="3402"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595DEFE"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b/>
                <w:bCs/>
                <w:color w:val="000000"/>
                <w:sz w:val="24"/>
                <w:szCs w:val="24"/>
                <w:lang w:val="en-GB"/>
              </w:rPr>
              <w:t>Closing Balance</w:t>
            </w:r>
          </w:p>
        </w:tc>
        <w:tc>
          <w:tcPr>
            <w:tcW w:w="1133"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1986E40"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(74,776)</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4FCA34A9"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(47,141)</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B532611"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5FE823F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7B92ACC"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(74,776)</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45ABD36A"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(47,141)</w:t>
            </w:r>
          </w:p>
        </w:tc>
      </w:tr>
      <w:tr w:rsidR="00F109AB" w:rsidRPr="00F109AB" w14:paraId="314BAA30" w14:textId="77777777">
        <w:trPr>
          <w:trHeight w:val="60"/>
        </w:trPr>
        <w:tc>
          <w:tcPr>
            <w:tcW w:w="3402"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31E05900"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b/>
                <w:bCs/>
                <w:color w:val="000000"/>
                <w:sz w:val="24"/>
                <w:szCs w:val="24"/>
                <w:lang w:val="en-GB"/>
              </w:rPr>
              <w:t>Net Book Value At End Of Financial Year</w:t>
            </w:r>
          </w:p>
        </w:tc>
        <w:tc>
          <w:tcPr>
            <w:tcW w:w="1133"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06C31ECF"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75,934</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06819B7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102,533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5358A1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14,086 </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61FF1268"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7,078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1720443"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90,020</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5E1A4811"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109,611</w:t>
            </w:r>
          </w:p>
        </w:tc>
      </w:tr>
    </w:tbl>
    <w:p w14:paraId="67224AE6" w14:textId="77777777" w:rsidR="00345EE3" w:rsidRPr="000C71FB" w:rsidRDefault="00345EE3" w:rsidP="00F109AB">
      <w:pPr>
        <w:ind w:left="110"/>
        <w:rPr>
          <w:rFonts w:ascii="Arial-BoldItalicMT"/>
          <w:b/>
          <w:i/>
          <w:sz w:val="18"/>
          <w:szCs w:val="18"/>
        </w:rPr>
      </w:pPr>
      <w:r w:rsidRPr="000C71FB">
        <w:rPr>
          <w:rFonts w:ascii="Arial-BoldItalicMT"/>
          <w:b/>
          <w:i/>
          <w:color w:val="231F20"/>
          <w:spacing w:val="-2"/>
          <w:sz w:val="18"/>
          <w:szCs w:val="18"/>
        </w:rPr>
        <w:t>Note:</w:t>
      </w:r>
    </w:p>
    <w:p w14:paraId="29A03E69" w14:textId="77777777" w:rsidR="00345EE3" w:rsidRPr="000C71FB" w:rsidRDefault="00345EE3" w:rsidP="00F109AB">
      <w:pPr>
        <w:ind w:left="110"/>
        <w:rPr>
          <w:sz w:val="18"/>
          <w:szCs w:val="18"/>
        </w:rPr>
      </w:pPr>
      <w:r w:rsidRPr="000C71FB">
        <w:rPr>
          <w:color w:val="231F20"/>
          <w:sz w:val="18"/>
          <w:szCs w:val="18"/>
        </w:rPr>
        <w:t>(a)</w:t>
      </w:r>
      <w:r w:rsidRPr="000C71FB">
        <w:rPr>
          <w:color w:val="231F20"/>
          <w:spacing w:val="35"/>
          <w:sz w:val="18"/>
          <w:szCs w:val="18"/>
        </w:rPr>
        <w:t xml:space="preserve"> </w:t>
      </w:r>
      <w:r w:rsidRPr="000C71FB">
        <w:rPr>
          <w:color w:val="231F20"/>
          <w:sz w:val="18"/>
          <w:szCs w:val="18"/>
        </w:rPr>
        <w:t>Amortisation</w:t>
      </w:r>
      <w:r w:rsidRPr="000C71FB">
        <w:rPr>
          <w:color w:val="231F20"/>
          <w:spacing w:val="-2"/>
          <w:sz w:val="18"/>
          <w:szCs w:val="18"/>
        </w:rPr>
        <w:t xml:space="preserve"> </w:t>
      </w:r>
      <w:r w:rsidRPr="000C71FB">
        <w:rPr>
          <w:color w:val="231F20"/>
          <w:sz w:val="18"/>
          <w:szCs w:val="18"/>
        </w:rPr>
        <w:t>expense</w:t>
      </w:r>
      <w:r w:rsidRPr="000C71FB">
        <w:rPr>
          <w:color w:val="231F20"/>
          <w:spacing w:val="-1"/>
          <w:sz w:val="18"/>
          <w:szCs w:val="18"/>
        </w:rPr>
        <w:t xml:space="preserve"> </w:t>
      </w:r>
      <w:r w:rsidRPr="000C71FB">
        <w:rPr>
          <w:color w:val="231F20"/>
          <w:sz w:val="18"/>
          <w:szCs w:val="18"/>
        </w:rPr>
        <w:t>is</w:t>
      </w:r>
      <w:r w:rsidRPr="000C71FB">
        <w:rPr>
          <w:color w:val="231F20"/>
          <w:spacing w:val="-2"/>
          <w:sz w:val="18"/>
          <w:szCs w:val="18"/>
        </w:rPr>
        <w:t xml:space="preserve"> </w:t>
      </w:r>
      <w:r w:rsidRPr="000C71FB">
        <w:rPr>
          <w:color w:val="231F20"/>
          <w:sz w:val="18"/>
          <w:szCs w:val="18"/>
        </w:rPr>
        <w:t>included</w:t>
      </w:r>
      <w:r w:rsidRPr="000C71FB">
        <w:rPr>
          <w:color w:val="231F20"/>
          <w:spacing w:val="-2"/>
          <w:sz w:val="18"/>
          <w:szCs w:val="18"/>
        </w:rPr>
        <w:t xml:space="preserve"> </w:t>
      </w:r>
      <w:r w:rsidRPr="000C71FB">
        <w:rPr>
          <w:color w:val="231F20"/>
          <w:sz w:val="18"/>
          <w:szCs w:val="18"/>
        </w:rPr>
        <w:t>in</w:t>
      </w:r>
      <w:r w:rsidRPr="000C71FB">
        <w:rPr>
          <w:color w:val="231F20"/>
          <w:spacing w:val="-2"/>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line</w:t>
      </w:r>
      <w:r w:rsidRPr="000C71FB">
        <w:rPr>
          <w:color w:val="231F20"/>
          <w:spacing w:val="-2"/>
          <w:sz w:val="18"/>
          <w:szCs w:val="18"/>
        </w:rPr>
        <w:t xml:space="preserve"> </w:t>
      </w:r>
      <w:r w:rsidRPr="000C71FB">
        <w:rPr>
          <w:color w:val="231F20"/>
          <w:sz w:val="18"/>
          <w:szCs w:val="18"/>
        </w:rPr>
        <w:t>item</w:t>
      </w:r>
      <w:r w:rsidRPr="000C71FB">
        <w:rPr>
          <w:color w:val="231F20"/>
          <w:spacing w:val="-2"/>
          <w:sz w:val="18"/>
          <w:szCs w:val="18"/>
        </w:rPr>
        <w:t xml:space="preserve"> </w:t>
      </w:r>
      <w:r w:rsidRPr="000C71FB">
        <w:rPr>
          <w:color w:val="231F20"/>
          <w:sz w:val="18"/>
          <w:szCs w:val="18"/>
        </w:rPr>
        <w:t>‘depreciation</w:t>
      </w:r>
      <w:r w:rsidRPr="000C71FB">
        <w:rPr>
          <w:color w:val="231F20"/>
          <w:spacing w:val="-2"/>
          <w:sz w:val="18"/>
          <w:szCs w:val="18"/>
        </w:rPr>
        <w:t xml:space="preserve"> </w:t>
      </w:r>
      <w:r w:rsidRPr="000C71FB">
        <w:rPr>
          <w:color w:val="231F20"/>
          <w:sz w:val="18"/>
          <w:szCs w:val="18"/>
        </w:rPr>
        <w:t>and</w:t>
      </w:r>
      <w:r w:rsidRPr="000C71FB">
        <w:rPr>
          <w:color w:val="231F20"/>
          <w:spacing w:val="-1"/>
          <w:sz w:val="18"/>
          <w:szCs w:val="18"/>
        </w:rPr>
        <w:t xml:space="preserve"> </w:t>
      </w:r>
      <w:r w:rsidRPr="000C71FB">
        <w:rPr>
          <w:color w:val="231F20"/>
          <w:sz w:val="18"/>
          <w:szCs w:val="18"/>
        </w:rPr>
        <w:t>amortisation’</w:t>
      </w:r>
      <w:r w:rsidRPr="000C71FB">
        <w:rPr>
          <w:color w:val="231F20"/>
          <w:spacing w:val="-2"/>
          <w:sz w:val="18"/>
          <w:szCs w:val="18"/>
        </w:rPr>
        <w:t xml:space="preserve"> </w:t>
      </w:r>
      <w:r w:rsidRPr="000C71FB">
        <w:rPr>
          <w:color w:val="231F20"/>
          <w:sz w:val="18"/>
          <w:szCs w:val="18"/>
        </w:rPr>
        <w:t>in</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Comprehensive</w:t>
      </w:r>
      <w:r w:rsidRPr="000C71FB">
        <w:rPr>
          <w:color w:val="231F20"/>
          <w:spacing w:val="-1"/>
          <w:sz w:val="18"/>
          <w:szCs w:val="18"/>
        </w:rPr>
        <w:t xml:space="preserve"> </w:t>
      </w:r>
      <w:r w:rsidRPr="000C71FB">
        <w:rPr>
          <w:color w:val="231F20"/>
          <w:sz w:val="18"/>
          <w:szCs w:val="18"/>
        </w:rPr>
        <w:t>Operating</w:t>
      </w:r>
      <w:r w:rsidRPr="000C71FB">
        <w:rPr>
          <w:color w:val="231F20"/>
          <w:spacing w:val="-2"/>
          <w:sz w:val="18"/>
          <w:szCs w:val="18"/>
        </w:rPr>
        <w:t xml:space="preserve"> </w:t>
      </w:r>
      <w:r w:rsidRPr="000C71FB">
        <w:rPr>
          <w:color w:val="231F20"/>
          <w:sz w:val="18"/>
          <w:szCs w:val="18"/>
        </w:rPr>
        <w:t>Statement</w:t>
      </w:r>
      <w:r w:rsidRPr="000C71FB">
        <w:rPr>
          <w:color w:val="231F20"/>
          <w:spacing w:val="-2"/>
          <w:sz w:val="18"/>
          <w:szCs w:val="18"/>
        </w:rPr>
        <w:t xml:space="preserve"> </w:t>
      </w:r>
      <w:r w:rsidRPr="000C71FB">
        <w:rPr>
          <w:color w:val="231F20"/>
          <w:sz w:val="18"/>
          <w:szCs w:val="18"/>
        </w:rPr>
        <w:t>and</w:t>
      </w:r>
      <w:r w:rsidRPr="000C71FB">
        <w:rPr>
          <w:color w:val="231F20"/>
          <w:spacing w:val="-2"/>
          <w:sz w:val="18"/>
          <w:szCs w:val="18"/>
        </w:rPr>
        <w:t xml:space="preserve"> </w:t>
      </w:r>
      <w:r w:rsidRPr="000C71FB">
        <w:rPr>
          <w:color w:val="231F20"/>
          <w:sz w:val="18"/>
          <w:szCs w:val="18"/>
        </w:rPr>
        <w:t>is</w:t>
      </w:r>
      <w:r w:rsidRPr="000C71FB">
        <w:rPr>
          <w:color w:val="231F20"/>
          <w:spacing w:val="-1"/>
          <w:sz w:val="18"/>
          <w:szCs w:val="18"/>
        </w:rPr>
        <w:t xml:space="preserve"> </w:t>
      </w:r>
      <w:r w:rsidRPr="000C71FB">
        <w:rPr>
          <w:color w:val="231F20"/>
          <w:sz w:val="18"/>
          <w:szCs w:val="18"/>
        </w:rPr>
        <w:t>also</w:t>
      </w:r>
      <w:r w:rsidRPr="000C71FB">
        <w:rPr>
          <w:color w:val="231F20"/>
          <w:spacing w:val="-2"/>
          <w:sz w:val="18"/>
          <w:szCs w:val="18"/>
        </w:rPr>
        <w:t xml:space="preserve"> </w:t>
      </w:r>
      <w:r w:rsidRPr="000C71FB">
        <w:rPr>
          <w:color w:val="231F20"/>
          <w:sz w:val="18"/>
          <w:szCs w:val="18"/>
        </w:rPr>
        <w:t>disclosed</w:t>
      </w:r>
      <w:r w:rsidRPr="000C71FB">
        <w:rPr>
          <w:color w:val="231F20"/>
          <w:spacing w:val="-2"/>
          <w:sz w:val="18"/>
          <w:szCs w:val="18"/>
        </w:rPr>
        <w:t xml:space="preserve"> </w:t>
      </w:r>
      <w:r w:rsidRPr="000C71FB">
        <w:rPr>
          <w:color w:val="231F20"/>
          <w:sz w:val="18"/>
          <w:szCs w:val="18"/>
        </w:rPr>
        <w:t>in</w:t>
      </w:r>
      <w:r w:rsidRPr="000C71FB">
        <w:rPr>
          <w:color w:val="231F20"/>
          <w:spacing w:val="-2"/>
          <w:sz w:val="18"/>
          <w:szCs w:val="18"/>
        </w:rPr>
        <w:t xml:space="preserve"> </w:t>
      </w:r>
      <w:r w:rsidRPr="000C71FB">
        <w:rPr>
          <w:color w:val="231F20"/>
          <w:sz w:val="18"/>
          <w:szCs w:val="18"/>
        </w:rPr>
        <w:t>Note</w:t>
      </w:r>
      <w:r w:rsidRPr="000C71FB">
        <w:rPr>
          <w:color w:val="231F20"/>
          <w:spacing w:val="-1"/>
          <w:sz w:val="18"/>
          <w:szCs w:val="18"/>
        </w:rPr>
        <w:t xml:space="preserve"> </w:t>
      </w:r>
      <w:r w:rsidRPr="000C71FB">
        <w:rPr>
          <w:color w:val="231F20"/>
          <w:spacing w:val="-2"/>
          <w:sz w:val="18"/>
          <w:szCs w:val="18"/>
        </w:rPr>
        <w:t>5.1.1.</w:t>
      </w:r>
    </w:p>
    <w:p w14:paraId="0387085B" w14:textId="77777777" w:rsidR="00345EE3" w:rsidRDefault="00345EE3" w:rsidP="00345EE3">
      <w:pPr>
        <w:pStyle w:val="BodyText"/>
        <w:spacing w:before="10"/>
        <w:rPr>
          <w:sz w:val="21"/>
        </w:rPr>
      </w:pPr>
    </w:p>
    <w:p w14:paraId="6E584619" w14:textId="77777777" w:rsidR="00345EE3" w:rsidRDefault="00345EE3" w:rsidP="00345EE3">
      <w:pPr>
        <w:pStyle w:val="Heading5"/>
        <w:spacing w:before="1"/>
      </w:pPr>
      <w:r>
        <w:rPr>
          <w:color w:val="231F20"/>
        </w:rPr>
        <w:t>Initial</w:t>
      </w:r>
      <w:r>
        <w:rPr>
          <w:color w:val="231F20"/>
          <w:spacing w:val="-3"/>
        </w:rPr>
        <w:t xml:space="preserve"> </w:t>
      </w:r>
      <w:r>
        <w:rPr>
          <w:color w:val="231F20"/>
          <w:spacing w:val="-2"/>
        </w:rPr>
        <w:t>Recognition</w:t>
      </w:r>
    </w:p>
    <w:p w14:paraId="4B863261" w14:textId="77777777" w:rsidR="00345EE3" w:rsidRDefault="00345EE3" w:rsidP="00345EE3">
      <w:pPr>
        <w:pStyle w:val="BodyText"/>
        <w:spacing w:before="60" w:line="242" w:lineRule="auto"/>
        <w:ind w:right="687"/>
      </w:pPr>
      <w:r>
        <w:rPr>
          <w:b/>
          <w:color w:val="231F20"/>
        </w:rPr>
        <w:t>Purchased</w:t>
      </w:r>
      <w:r>
        <w:rPr>
          <w:b/>
          <w:color w:val="231F20"/>
          <w:spacing w:val="-6"/>
        </w:rPr>
        <w:t xml:space="preserve"> </w:t>
      </w:r>
      <w:r>
        <w:rPr>
          <w:b/>
          <w:color w:val="231F20"/>
        </w:rPr>
        <w:t>intangible</w:t>
      </w:r>
      <w:r>
        <w:rPr>
          <w:b/>
          <w:color w:val="231F20"/>
          <w:spacing w:val="-6"/>
        </w:rPr>
        <w:t xml:space="preserve"> </w:t>
      </w:r>
      <w:r>
        <w:rPr>
          <w:b/>
          <w:color w:val="231F20"/>
        </w:rPr>
        <w:t>assets</w:t>
      </w:r>
      <w:r>
        <w:rPr>
          <w:b/>
          <w:color w:val="231F20"/>
          <w:spacing w:val="-7"/>
        </w:rPr>
        <w:t xml:space="preserve"> </w:t>
      </w:r>
      <w:r>
        <w:rPr>
          <w:color w:val="231F20"/>
        </w:rPr>
        <w:t>are</w:t>
      </w:r>
      <w:r>
        <w:rPr>
          <w:color w:val="231F20"/>
          <w:spacing w:val="-7"/>
        </w:rPr>
        <w:t xml:space="preserve"> </w:t>
      </w:r>
      <w:r>
        <w:rPr>
          <w:color w:val="231F20"/>
        </w:rPr>
        <w:t>initially</w:t>
      </w:r>
      <w:r>
        <w:rPr>
          <w:color w:val="231F20"/>
          <w:spacing w:val="-6"/>
        </w:rPr>
        <w:t xml:space="preserve"> </w:t>
      </w:r>
      <w:r>
        <w:rPr>
          <w:color w:val="231F20"/>
        </w:rPr>
        <w:t>measured</w:t>
      </w:r>
      <w:r>
        <w:rPr>
          <w:color w:val="231F20"/>
          <w:spacing w:val="-7"/>
        </w:rPr>
        <w:t xml:space="preserve"> </w:t>
      </w:r>
      <w:r>
        <w:rPr>
          <w:color w:val="231F20"/>
        </w:rPr>
        <w:t>at</w:t>
      </w:r>
      <w:r>
        <w:rPr>
          <w:color w:val="231F20"/>
          <w:spacing w:val="-6"/>
        </w:rPr>
        <w:t xml:space="preserve"> </w:t>
      </w:r>
      <w:r>
        <w:rPr>
          <w:color w:val="231F20"/>
        </w:rPr>
        <w:t>cost.</w:t>
      </w:r>
      <w:r>
        <w:rPr>
          <w:color w:val="231F20"/>
          <w:spacing w:val="-6"/>
        </w:rPr>
        <w:t xml:space="preserve"> </w:t>
      </w:r>
      <w:r>
        <w:rPr>
          <w:color w:val="231F20"/>
        </w:rPr>
        <w:t>When</w:t>
      </w:r>
      <w:r>
        <w:rPr>
          <w:color w:val="231F20"/>
          <w:spacing w:val="-7"/>
        </w:rPr>
        <w:t xml:space="preserve"> </w:t>
      </w:r>
      <w:r>
        <w:rPr>
          <w:color w:val="231F20"/>
        </w:rPr>
        <w:t>the</w:t>
      </w:r>
      <w:r>
        <w:rPr>
          <w:color w:val="231F20"/>
          <w:spacing w:val="-7"/>
        </w:rPr>
        <w:t xml:space="preserve"> </w:t>
      </w:r>
      <w:r>
        <w:rPr>
          <w:color w:val="231F20"/>
        </w:rPr>
        <w:t>recognition</w:t>
      </w:r>
      <w:r>
        <w:rPr>
          <w:color w:val="231F20"/>
          <w:spacing w:val="-7"/>
        </w:rPr>
        <w:t xml:space="preserve"> </w:t>
      </w:r>
      <w:r>
        <w:rPr>
          <w:color w:val="231F20"/>
        </w:rPr>
        <w:t>criteria in</w:t>
      </w:r>
      <w:r>
        <w:rPr>
          <w:color w:val="231F20"/>
          <w:spacing w:val="-2"/>
        </w:rPr>
        <w:t xml:space="preserve"> </w:t>
      </w:r>
      <w:r>
        <w:rPr>
          <w:color w:val="231F20"/>
        </w:rPr>
        <w:t>AASB</w:t>
      </w:r>
      <w:r>
        <w:rPr>
          <w:color w:val="231F20"/>
          <w:spacing w:val="-1"/>
        </w:rPr>
        <w:t xml:space="preserve"> </w:t>
      </w:r>
      <w:r>
        <w:rPr>
          <w:color w:val="231F20"/>
        </w:rPr>
        <w:t>138</w:t>
      </w:r>
      <w:r>
        <w:rPr>
          <w:color w:val="231F20"/>
          <w:spacing w:val="-2"/>
        </w:rPr>
        <w:t xml:space="preserve"> </w:t>
      </w:r>
      <w:r>
        <w:rPr>
          <w:i/>
          <w:color w:val="231F20"/>
        </w:rPr>
        <w:t>Intangible</w:t>
      </w:r>
      <w:r>
        <w:rPr>
          <w:i/>
          <w:color w:val="231F20"/>
          <w:spacing w:val="-10"/>
        </w:rPr>
        <w:t xml:space="preserve"> </w:t>
      </w:r>
      <w:r>
        <w:rPr>
          <w:i/>
          <w:color w:val="231F20"/>
        </w:rPr>
        <w:t>Assets</w:t>
      </w:r>
      <w:r>
        <w:rPr>
          <w:i/>
          <w:color w:val="231F20"/>
          <w:spacing w:val="-5"/>
        </w:rPr>
        <w:t xml:space="preserve"> </w:t>
      </w:r>
      <w:r>
        <w:rPr>
          <w:color w:val="231F20"/>
        </w:rPr>
        <w:t>is</w:t>
      </w:r>
      <w:r>
        <w:rPr>
          <w:color w:val="231F20"/>
          <w:spacing w:val="-1"/>
        </w:rPr>
        <w:t xml:space="preserve"> </w:t>
      </w:r>
      <w:r>
        <w:rPr>
          <w:color w:val="231F20"/>
        </w:rPr>
        <w:t>met,</w:t>
      </w:r>
      <w:r>
        <w:rPr>
          <w:color w:val="231F20"/>
          <w:spacing w:val="-1"/>
        </w:rPr>
        <w:t xml:space="preserve"> </w:t>
      </w:r>
      <w:r>
        <w:rPr>
          <w:color w:val="231F20"/>
        </w:rPr>
        <w:t>internally</w:t>
      </w:r>
      <w:r>
        <w:rPr>
          <w:color w:val="231F20"/>
          <w:spacing w:val="-1"/>
        </w:rPr>
        <w:t xml:space="preserve"> </w:t>
      </w:r>
      <w:r>
        <w:rPr>
          <w:color w:val="231F20"/>
        </w:rPr>
        <w:t>generated</w:t>
      </w:r>
      <w:r>
        <w:rPr>
          <w:color w:val="231F20"/>
          <w:spacing w:val="-2"/>
        </w:rPr>
        <w:t xml:space="preserve"> </w:t>
      </w:r>
      <w:r>
        <w:rPr>
          <w:color w:val="231F20"/>
        </w:rPr>
        <w:t>assets</w:t>
      </w:r>
      <w:r>
        <w:rPr>
          <w:color w:val="231F20"/>
          <w:spacing w:val="-1"/>
        </w:rPr>
        <w:t xml:space="preserve"> </w:t>
      </w:r>
      <w:r>
        <w:rPr>
          <w:color w:val="231F20"/>
        </w:rPr>
        <w:t>are</w:t>
      </w:r>
      <w:r>
        <w:rPr>
          <w:color w:val="231F20"/>
          <w:spacing w:val="-2"/>
        </w:rPr>
        <w:t xml:space="preserve"> </w:t>
      </w:r>
      <w:r>
        <w:rPr>
          <w:color w:val="231F20"/>
        </w:rPr>
        <w:t>recognised</w:t>
      </w:r>
      <w:r>
        <w:rPr>
          <w:color w:val="231F20"/>
          <w:spacing w:val="-2"/>
        </w:rPr>
        <w:t xml:space="preserve"> </w:t>
      </w:r>
      <w:r>
        <w:rPr>
          <w:color w:val="231F20"/>
        </w:rPr>
        <w:t>at</w:t>
      </w:r>
      <w:r>
        <w:rPr>
          <w:color w:val="231F20"/>
          <w:spacing w:val="-1"/>
        </w:rPr>
        <w:t xml:space="preserve"> </w:t>
      </w:r>
      <w:r>
        <w:rPr>
          <w:color w:val="231F20"/>
        </w:rPr>
        <w:t>cost. Subsequently,</w:t>
      </w:r>
      <w:r>
        <w:rPr>
          <w:color w:val="231F20"/>
          <w:spacing w:val="-11"/>
        </w:rPr>
        <w:t xml:space="preserve"> </w:t>
      </w:r>
      <w:r>
        <w:rPr>
          <w:color w:val="231F20"/>
        </w:rPr>
        <w:t>intangible</w:t>
      </w:r>
      <w:r>
        <w:rPr>
          <w:color w:val="231F20"/>
          <w:spacing w:val="-12"/>
        </w:rPr>
        <w:t xml:space="preserve"> </w:t>
      </w:r>
      <w:r>
        <w:rPr>
          <w:color w:val="231F20"/>
        </w:rPr>
        <w:t>assets</w:t>
      </w:r>
      <w:r>
        <w:rPr>
          <w:color w:val="231F20"/>
          <w:spacing w:val="-11"/>
        </w:rPr>
        <w:t xml:space="preserve"> </w:t>
      </w:r>
      <w:r>
        <w:rPr>
          <w:color w:val="231F20"/>
        </w:rPr>
        <w:t>with</w:t>
      </w:r>
      <w:r>
        <w:rPr>
          <w:color w:val="231F20"/>
          <w:spacing w:val="-12"/>
        </w:rPr>
        <w:t xml:space="preserve"> </w:t>
      </w:r>
      <w:r>
        <w:rPr>
          <w:color w:val="231F20"/>
        </w:rPr>
        <w:t>finite</w:t>
      </w:r>
      <w:r>
        <w:rPr>
          <w:color w:val="231F20"/>
          <w:spacing w:val="-12"/>
        </w:rPr>
        <w:t xml:space="preserve"> </w:t>
      </w:r>
      <w:r>
        <w:rPr>
          <w:color w:val="231F20"/>
        </w:rPr>
        <w:t>useful</w:t>
      </w:r>
      <w:r>
        <w:rPr>
          <w:color w:val="231F20"/>
          <w:spacing w:val="-12"/>
        </w:rPr>
        <w:t xml:space="preserve"> </w:t>
      </w:r>
      <w:r>
        <w:rPr>
          <w:color w:val="231F20"/>
        </w:rPr>
        <w:t>lives</w:t>
      </w:r>
      <w:r>
        <w:rPr>
          <w:color w:val="231F20"/>
          <w:spacing w:val="-11"/>
        </w:rPr>
        <w:t xml:space="preserve"> </w:t>
      </w:r>
      <w:r>
        <w:rPr>
          <w:color w:val="231F20"/>
        </w:rPr>
        <w:t>are</w:t>
      </w:r>
      <w:r>
        <w:rPr>
          <w:color w:val="231F20"/>
          <w:spacing w:val="-12"/>
        </w:rPr>
        <w:t xml:space="preserve"> </w:t>
      </w:r>
      <w:r>
        <w:rPr>
          <w:color w:val="231F20"/>
        </w:rPr>
        <w:t>carried</w:t>
      </w:r>
      <w:r>
        <w:rPr>
          <w:color w:val="231F20"/>
          <w:spacing w:val="-12"/>
        </w:rPr>
        <w:t xml:space="preserve"> </w:t>
      </w:r>
      <w:r>
        <w:rPr>
          <w:color w:val="231F20"/>
        </w:rPr>
        <w:t>at</w:t>
      </w:r>
      <w:r>
        <w:rPr>
          <w:color w:val="231F20"/>
          <w:spacing w:val="-11"/>
        </w:rPr>
        <w:t xml:space="preserve"> </w:t>
      </w:r>
      <w:r>
        <w:rPr>
          <w:color w:val="231F20"/>
        </w:rPr>
        <w:t>cost</w:t>
      </w:r>
      <w:r>
        <w:rPr>
          <w:color w:val="231F20"/>
          <w:spacing w:val="-11"/>
        </w:rPr>
        <w:t xml:space="preserve"> </w:t>
      </w:r>
      <w:r>
        <w:rPr>
          <w:color w:val="231F20"/>
        </w:rPr>
        <w:t>less</w:t>
      </w:r>
      <w:r>
        <w:rPr>
          <w:color w:val="231F20"/>
          <w:spacing w:val="-11"/>
        </w:rPr>
        <w:t xml:space="preserve"> </w:t>
      </w:r>
      <w:r>
        <w:rPr>
          <w:color w:val="231F20"/>
        </w:rPr>
        <w:t>accumulated amortisation and accumulated impairment losses. Amortisation begins when the asset is</w:t>
      </w:r>
    </w:p>
    <w:p w14:paraId="76479278" w14:textId="77777777" w:rsidR="00345EE3" w:rsidRDefault="00345EE3" w:rsidP="00345EE3">
      <w:pPr>
        <w:pStyle w:val="BodyText"/>
        <w:spacing w:before="6" w:line="242" w:lineRule="auto"/>
      </w:pPr>
      <w:r>
        <w:rPr>
          <w:color w:val="231F20"/>
        </w:rPr>
        <w:t>available</w:t>
      </w:r>
      <w:r>
        <w:rPr>
          <w:color w:val="231F20"/>
          <w:spacing w:val="-6"/>
        </w:rPr>
        <w:t xml:space="preserve"> </w:t>
      </w:r>
      <w:r>
        <w:rPr>
          <w:color w:val="231F20"/>
        </w:rPr>
        <w:t>for</w:t>
      </w:r>
      <w:r>
        <w:rPr>
          <w:color w:val="231F20"/>
          <w:spacing w:val="-5"/>
        </w:rPr>
        <w:t xml:space="preserve"> </w:t>
      </w:r>
      <w:r>
        <w:rPr>
          <w:color w:val="231F20"/>
        </w:rPr>
        <w:t>use,</w:t>
      </w:r>
      <w:r>
        <w:rPr>
          <w:color w:val="231F20"/>
          <w:spacing w:val="-5"/>
        </w:rPr>
        <w:t xml:space="preserve"> </w:t>
      </w:r>
      <w:r>
        <w:rPr>
          <w:color w:val="231F20"/>
        </w:rPr>
        <w:t>that</w:t>
      </w:r>
      <w:r>
        <w:rPr>
          <w:color w:val="231F20"/>
          <w:spacing w:val="-5"/>
        </w:rPr>
        <w:t xml:space="preserve"> </w:t>
      </w:r>
      <w:r>
        <w:rPr>
          <w:color w:val="231F20"/>
        </w:rPr>
        <w:t>is,</w:t>
      </w:r>
      <w:r>
        <w:rPr>
          <w:color w:val="231F20"/>
          <w:spacing w:val="-5"/>
        </w:rPr>
        <w:t xml:space="preserve"> </w:t>
      </w:r>
      <w:r>
        <w:rPr>
          <w:color w:val="231F20"/>
        </w:rPr>
        <w:t>when</w:t>
      </w:r>
      <w:r>
        <w:rPr>
          <w:color w:val="231F20"/>
          <w:spacing w:val="-6"/>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location</w:t>
      </w:r>
      <w:r>
        <w:rPr>
          <w:color w:val="231F20"/>
          <w:spacing w:val="-6"/>
        </w:rPr>
        <w:t xml:space="preserve"> </w:t>
      </w:r>
      <w:r>
        <w:rPr>
          <w:color w:val="231F20"/>
        </w:rPr>
        <w:t>and</w:t>
      </w:r>
      <w:r>
        <w:rPr>
          <w:color w:val="231F20"/>
          <w:spacing w:val="-6"/>
        </w:rPr>
        <w:t xml:space="preserve"> </w:t>
      </w:r>
      <w:r>
        <w:rPr>
          <w:color w:val="231F20"/>
        </w:rPr>
        <w:t>condition</w:t>
      </w:r>
      <w:r>
        <w:rPr>
          <w:color w:val="231F20"/>
          <w:spacing w:val="-6"/>
        </w:rPr>
        <w:t xml:space="preserve"> </w:t>
      </w:r>
      <w:r>
        <w:rPr>
          <w:color w:val="231F20"/>
        </w:rPr>
        <w:t>necessary</w:t>
      </w:r>
      <w:r>
        <w:rPr>
          <w:color w:val="231F20"/>
          <w:spacing w:val="-5"/>
        </w:rPr>
        <w:t xml:space="preserve"> </w:t>
      </w:r>
      <w:r>
        <w:rPr>
          <w:color w:val="231F20"/>
        </w:rPr>
        <w:t>for</w:t>
      </w:r>
      <w:r>
        <w:rPr>
          <w:color w:val="231F20"/>
          <w:spacing w:val="-5"/>
        </w:rPr>
        <w:t xml:space="preserve"> </w:t>
      </w:r>
      <w:r>
        <w:rPr>
          <w:color w:val="231F20"/>
        </w:rPr>
        <w:t>it</w:t>
      </w:r>
      <w:r>
        <w:rPr>
          <w:color w:val="231F20"/>
          <w:spacing w:val="-5"/>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capable</w:t>
      </w:r>
      <w:r>
        <w:rPr>
          <w:color w:val="231F20"/>
          <w:spacing w:val="-6"/>
        </w:rPr>
        <w:t xml:space="preserve"> </w:t>
      </w:r>
      <w:r>
        <w:rPr>
          <w:color w:val="231F20"/>
        </w:rPr>
        <w:t>of operating in the manner intended by management.</w:t>
      </w:r>
    </w:p>
    <w:p w14:paraId="32CB00A1" w14:textId="77777777" w:rsidR="00345EE3" w:rsidRDefault="00345EE3" w:rsidP="00345EE3">
      <w:pPr>
        <w:pStyle w:val="BodyText"/>
        <w:spacing w:before="116" w:line="242" w:lineRule="auto"/>
      </w:pPr>
      <w:r>
        <w:rPr>
          <w:color w:val="231F20"/>
        </w:rPr>
        <w:t>Costs</w:t>
      </w:r>
      <w:r>
        <w:rPr>
          <w:color w:val="231F20"/>
          <w:spacing w:val="-10"/>
        </w:rPr>
        <w:t xml:space="preserve"> </w:t>
      </w:r>
      <w:r>
        <w:rPr>
          <w:color w:val="231F20"/>
        </w:rPr>
        <w:t>incurred</w:t>
      </w:r>
      <w:r>
        <w:rPr>
          <w:color w:val="231F20"/>
          <w:spacing w:val="-11"/>
        </w:rPr>
        <w:t xml:space="preserve"> </w:t>
      </w:r>
      <w:r>
        <w:rPr>
          <w:color w:val="231F20"/>
        </w:rPr>
        <w:t>subsequent</w:t>
      </w:r>
      <w:r>
        <w:rPr>
          <w:color w:val="231F20"/>
          <w:spacing w:val="-10"/>
        </w:rPr>
        <w:t xml:space="preserve"> </w:t>
      </w:r>
      <w:r>
        <w:rPr>
          <w:color w:val="231F20"/>
        </w:rPr>
        <w:t>to</w:t>
      </w:r>
      <w:r>
        <w:rPr>
          <w:color w:val="231F20"/>
          <w:spacing w:val="-11"/>
        </w:rPr>
        <w:t xml:space="preserve"> </w:t>
      </w:r>
      <w:r>
        <w:rPr>
          <w:color w:val="231F20"/>
        </w:rPr>
        <w:t>initial</w:t>
      </w:r>
      <w:r>
        <w:rPr>
          <w:color w:val="231F20"/>
          <w:spacing w:val="-11"/>
        </w:rPr>
        <w:t xml:space="preserve"> </w:t>
      </w:r>
      <w:r>
        <w:rPr>
          <w:color w:val="231F20"/>
        </w:rPr>
        <w:t>acquisition</w:t>
      </w:r>
      <w:r>
        <w:rPr>
          <w:color w:val="231F20"/>
          <w:spacing w:val="-11"/>
        </w:rPr>
        <w:t xml:space="preserve"> </w:t>
      </w:r>
      <w:r>
        <w:rPr>
          <w:color w:val="231F20"/>
        </w:rPr>
        <w:t>are</w:t>
      </w:r>
      <w:r>
        <w:rPr>
          <w:color w:val="231F20"/>
          <w:spacing w:val="-11"/>
        </w:rPr>
        <w:t xml:space="preserve"> </w:t>
      </w:r>
      <w:r>
        <w:rPr>
          <w:color w:val="231F20"/>
        </w:rPr>
        <w:t>capitalised</w:t>
      </w:r>
      <w:r>
        <w:rPr>
          <w:color w:val="231F20"/>
          <w:spacing w:val="-11"/>
        </w:rPr>
        <w:t xml:space="preserve"> </w:t>
      </w:r>
      <w:r>
        <w:rPr>
          <w:color w:val="231F20"/>
        </w:rPr>
        <w:t>when</w:t>
      </w:r>
      <w:r>
        <w:rPr>
          <w:color w:val="231F20"/>
          <w:spacing w:val="-11"/>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expected</w:t>
      </w:r>
      <w:r>
        <w:rPr>
          <w:color w:val="231F20"/>
          <w:spacing w:val="-11"/>
        </w:rPr>
        <w:t xml:space="preserve"> </w:t>
      </w:r>
      <w:r>
        <w:rPr>
          <w:color w:val="231F20"/>
        </w:rPr>
        <w:t>that</w:t>
      </w:r>
      <w:r>
        <w:rPr>
          <w:color w:val="231F20"/>
          <w:spacing w:val="-10"/>
        </w:rPr>
        <w:t xml:space="preserve"> </w:t>
      </w:r>
      <w:r>
        <w:rPr>
          <w:color w:val="231F20"/>
        </w:rPr>
        <w:t>additional future economic benefits will flow to Victoria Police.</w:t>
      </w:r>
    </w:p>
    <w:p w14:paraId="30E3DDDB" w14:textId="77777777" w:rsidR="00345EE3" w:rsidRDefault="00345EE3" w:rsidP="00345EE3">
      <w:pPr>
        <w:pStyle w:val="BodyText"/>
        <w:spacing w:before="116" w:line="256" w:lineRule="auto"/>
      </w:pPr>
      <w:r>
        <w:rPr>
          <w:color w:val="231F20"/>
        </w:rPr>
        <w:t>An</w:t>
      </w:r>
      <w:r>
        <w:rPr>
          <w:color w:val="231F20"/>
          <w:spacing w:val="-9"/>
        </w:rPr>
        <w:t xml:space="preserve"> </w:t>
      </w:r>
      <w:r>
        <w:rPr>
          <w:b/>
          <w:color w:val="231F20"/>
        </w:rPr>
        <w:t>internally</w:t>
      </w:r>
      <w:r>
        <w:rPr>
          <w:b/>
          <w:color w:val="231F20"/>
          <w:spacing w:val="-8"/>
        </w:rPr>
        <w:t xml:space="preserve"> </w:t>
      </w:r>
      <w:r>
        <w:rPr>
          <w:b/>
          <w:color w:val="231F20"/>
        </w:rPr>
        <w:t>generated</w:t>
      </w:r>
      <w:r>
        <w:rPr>
          <w:b/>
          <w:color w:val="231F20"/>
          <w:spacing w:val="-9"/>
        </w:rPr>
        <w:t xml:space="preserve"> </w:t>
      </w:r>
      <w:r>
        <w:rPr>
          <w:b/>
          <w:color w:val="231F20"/>
        </w:rPr>
        <w:t>intangible</w:t>
      </w:r>
      <w:r>
        <w:rPr>
          <w:b/>
          <w:color w:val="231F20"/>
          <w:spacing w:val="-8"/>
        </w:rPr>
        <w:t xml:space="preserve"> </w:t>
      </w:r>
      <w:r>
        <w:rPr>
          <w:b/>
          <w:color w:val="231F20"/>
        </w:rPr>
        <w:t>asset</w:t>
      </w:r>
      <w:r>
        <w:rPr>
          <w:b/>
          <w:color w:val="231F20"/>
          <w:spacing w:val="-9"/>
        </w:rPr>
        <w:t xml:space="preserve"> </w:t>
      </w:r>
      <w:r>
        <w:rPr>
          <w:color w:val="231F20"/>
        </w:rPr>
        <w:t>arising</w:t>
      </w:r>
      <w:r>
        <w:rPr>
          <w:color w:val="231F20"/>
          <w:spacing w:val="-8"/>
        </w:rPr>
        <w:t xml:space="preserve"> </w:t>
      </w:r>
      <w:r>
        <w:rPr>
          <w:color w:val="231F20"/>
        </w:rPr>
        <w:t>from</w:t>
      </w:r>
      <w:r>
        <w:rPr>
          <w:color w:val="231F20"/>
          <w:spacing w:val="-9"/>
        </w:rPr>
        <w:t xml:space="preserve"> </w:t>
      </w:r>
      <w:r>
        <w:rPr>
          <w:color w:val="231F20"/>
        </w:rPr>
        <w:t>development</w:t>
      </w:r>
      <w:r>
        <w:rPr>
          <w:color w:val="231F20"/>
          <w:spacing w:val="-8"/>
        </w:rPr>
        <w:t xml:space="preserve"> </w:t>
      </w:r>
      <w:r>
        <w:rPr>
          <w:color w:val="231F20"/>
        </w:rPr>
        <w:t>(or</w:t>
      </w:r>
      <w:r>
        <w:rPr>
          <w:color w:val="231F20"/>
          <w:spacing w:val="-9"/>
        </w:rPr>
        <w:t xml:space="preserve"> </w:t>
      </w:r>
      <w:r>
        <w:rPr>
          <w:color w:val="231F20"/>
        </w:rPr>
        <w:t>from</w:t>
      </w:r>
      <w:r>
        <w:rPr>
          <w:color w:val="231F20"/>
          <w:spacing w:val="-8"/>
        </w:rPr>
        <w:t xml:space="preserve"> </w:t>
      </w:r>
      <w:r>
        <w:rPr>
          <w:color w:val="231F20"/>
        </w:rPr>
        <w:t>the</w:t>
      </w:r>
      <w:r>
        <w:rPr>
          <w:color w:val="231F20"/>
          <w:spacing w:val="-9"/>
        </w:rPr>
        <w:t xml:space="preserve"> </w:t>
      </w:r>
      <w:r>
        <w:rPr>
          <w:color w:val="231F20"/>
        </w:rPr>
        <w:t>development phase</w:t>
      </w:r>
      <w:r>
        <w:rPr>
          <w:color w:val="231F20"/>
          <w:spacing w:val="-1"/>
        </w:rPr>
        <w:t xml:space="preserve"> </w:t>
      </w:r>
      <w:r>
        <w:rPr>
          <w:color w:val="231F20"/>
        </w:rPr>
        <w:t>of an</w:t>
      </w:r>
      <w:r>
        <w:rPr>
          <w:color w:val="231F20"/>
          <w:spacing w:val="-1"/>
        </w:rPr>
        <w:t xml:space="preserve"> </w:t>
      </w:r>
      <w:r>
        <w:rPr>
          <w:color w:val="231F20"/>
        </w:rPr>
        <w:t>internal</w:t>
      </w:r>
      <w:r>
        <w:rPr>
          <w:color w:val="231F20"/>
          <w:spacing w:val="-1"/>
        </w:rPr>
        <w:t xml:space="preserve"> </w:t>
      </w:r>
      <w:r>
        <w:rPr>
          <w:color w:val="231F20"/>
        </w:rPr>
        <w:t>project) is recognised</w:t>
      </w:r>
      <w:r>
        <w:rPr>
          <w:color w:val="231F20"/>
          <w:spacing w:val="-1"/>
        </w:rPr>
        <w:t xml:space="preserve"> </w:t>
      </w:r>
      <w:r>
        <w:rPr>
          <w:color w:val="231F20"/>
        </w:rPr>
        <w:t>if, and</w:t>
      </w:r>
      <w:r>
        <w:rPr>
          <w:color w:val="231F20"/>
          <w:spacing w:val="-1"/>
        </w:rPr>
        <w:t xml:space="preserve"> </w:t>
      </w:r>
      <w:r>
        <w:rPr>
          <w:color w:val="231F20"/>
        </w:rPr>
        <w:t>only if, all</w:t>
      </w:r>
      <w:r>
        <w:rPr>
          <w:color w:val="231F20"/>
          <w:spacing w:val="-1"/>
        </w:rPr>
        <w:t xml:space="preserve"> </w:t>
      </w:r>
      <w:r>
        <w:rPr>
          <w:color w:val="231F20"/>
        </w:rPr>
        <w:t>of the</w:t>
      </w:r>
      <w:r>
        <w:rPr>
          <w:color w:val="231F20"/>
          <w:spacing w:val="-1"/>
        </w:rPr>
        <w:t xml:space="preserve"> </w:t>
      </w:r>
      <w:r>
        <w:rPr>
          <w:color w:val="231F20"/>
        </w:rPr>
        <w:t>following</w:t>
      </w:r>
      <w:r>
        <w:rPr>
          <w:color w:val="231F20"/>
          <w:spacing w:val="-1"/>
        </w:rPr>
        <w:t xml:space="preserve"> </w:t>
      </w:r>
      <w:r>
        <w:rPr>
          <w:color w:val="231F20"/>
        </w:rPr>
        <w:t>are</w:t>
      </w:r>
      <w:r>
        <w:rPr>
          <w:color w:val="231F20"/>
          <w:spacing w:val="-1"/>
        </w:rPr>
        <w:t xml:space="preserve"> </w:t>
      </w:r>
      <w:r>
        <w:rPr>
          <w:color w:val="231F20"/>
        </w:rPr>
        <w:t>demonstrated: (a)the</w:t>
      </w:r>
      <w:r>
        <w:rPr>
          <w:color w:val="231F20"/>
          <w:spacing w:val="-16"/>
        </w:rPr>
        <w:t xml:space="preserve"> </w:t>
      </w:r>
      <w:r>
        <w:rPr>
          <w:color w:val="231F20"/>
        </w:rPr>
        <w:t>technical</w:t>
      </w:r>
      <w:r>
        <w:rPr>
          <w:color w:val="231F20"/>
          <w:spacing w:val="-16"/>
        </w:rPr>
        <w:t xml:space="preserve"> </w:t>
      </w:r>
      <w:r>
        <w:rPr>
          <w:color w:val="231F20"/>
        </w:rPr>
        <w:t>feasibility</w:t>
      </w:r>
      <w:r>
        <w:rPr>
          <w:color w:val="231F20"/>
          <w:spacing w:val="-16"/>
        </w:rPr>
        <w:t xml:space="preserve"> </w:t>
      </w:r>
      <w:r>
        <w:rPr>
          <w:color w:val="231F20"/>
        </w:rPr>
        <w:t>of</w:t>
      </w:r>
      <w:r>
        <w:rPr>
          <w:color w:val="231F20"/>
          <w:spacing w:val="-16"/>
        </w:rPr>
        <w:t xml:space="preserve"> </w:t>
      </w:r>
      <w:r>
        <w:rPr>
          <w:color w:val="231F20"/>
        </w:rPr>
        <w:t>completing</w:t>
      </w:r>
      <w:r>
        <w:rPr>
          <w:color w:val="231F20"/>
          <w:spacing w:val="-16"/>
        </w:rPr>
        <w:t xml:space="preserve"> </w:t>
      </w:r>
      <w:r>
        <w:rPr>
          <w:color w:val="231F20"/>
        </w:rPr>
        <w:t>the</w:t>
      </w:r>
      <w:r>
        <w:rPr>
          <w:color w:val="231F20"/>
          <w:spacing w:val="-16"/>
        </w:rPr>
        <w:t xml:space="preserve"> </w:t>
      </w:r>
      <w:r>
        <w:rPr>
          <w:color w:val="231F20"/>
        </w:rPr>
        <w:t>intangible</w:t>
      </w:r>
      <w:r>
        <w:rPr>
          <w:color w:val="231F20"/>
          <w:spacing w:val="-16"/>
        </w:rPr>
        <w:t xml:space="preserve"> </w:t>
      </w:r>
      <w:r>
        <w:rPr>
          <w:color w:val="231F20"/>
        </w:rPr>
        <w:t>asset</w:t>
      </w:r>
      <w:r>
        <w:rPr>
          <w:color w:val="231F20"/>
          <w:spacing w:val="-16"/>
        </w:rPr>
        <w:t xml:space="preserve"> </w:t>
      </w:r>
      <w:r>
        <w:rPr>
          <w:color w:val="231F20"/>
        </w:rPr>
        <w:t>so</w:t>
      </w:r>
      <w:r>
        <w:rPr>
          <w:color w:val="231F20"/>
          <w:spacing w:val="-16"/>
        </w:rPr>
        <w:t xml:space="preserve"> </w:t>
      </w:r>
      <w:r>
        <w:rPr>
          <w:color w:val="231F20"/>
        </w:rPr>
        <w:t>that</w:t>
      </w:r>
      <w:r>
        <w:rPr>
          <w:color w:val="231F20"/>
          <w:spacing w:val="-16"/>
        </w:rPr>
        <w:t xml:space="preserve"> </w:t>
      </w:r>
      <w:r>
        <w:rPr>
          <w:color w:val="231F20"/>
        </w:rPr>
        <w:t>it</w:t>
      </w:r>
      <w:r>
        <w:rPr>
          <w:color w:val="231F20"/>
          <w:spacing w:val="-16"/>
        </w:rPr>
        <w:t xml:space="preserve"> </w:t>
      </w:r>
      <w:r>
        <w:rPr>
          <w:color w:val="231F20"/>
        </w:rPr>
        <w:t>will</w:t>
      </w:r>
      <w:r>
        <w:rPr>
          <w:color w:val="231F20"/>
          <w:spacing w:val="-16"/>
        </w:rPr>
        <w:t xml:space="preserve"> </w:t>
      </w:r>
      <w:r>
        <w:rPr>
          <w:color w:val="231F20"/>
        </w:rPr>
        <w:t>be</w:t>
      </w:r>
      <w:r>
        <w:rPr>
          <w:color w:val="231F20"/>
          <w:spacing w:val="-16"/>
        </w:rPr>
        <w:t xml:space="preserve"> </w:t>
      </w:r>
      <w:r>
        <w:rPr>
          <w:color w:val="231F20"/>
        </w:rPr>
        <w:t>available</w:t>
      </w:r>
      <w:r>
        <w:rPr>
          <w:color w:val="231F20"/>
          <w:spacing w:val="-16"/>
        </w:rPr>
        <w:t xml:space="preserve"> </w:t>
      </w:r>
      <w:r>
        <w:rPr>
          <w:color w:val="231F20"/>
        </w:rPr>
        <w:t>for</w:t>
      </w:r>
      <w:r>
        <w:rPr>
          <w:color w:val="231F20"/>
          <w:spacing w:val="-16"/>
        </w:rPr>
        <w:t xml:space="preserve"> </w:t>
      </w:r>
      <w:r>
        <w:rPr>
          <w:color w:val="231F20"/>
        </w:rPr>
        <w:t>use</w:t>
      </w:r>
      <w:r>
        <w:rPr>
          <w:color w:val="231F20"/>
          <w:spacing w:val="-16"/>
        </w:rPr>
        <w:t xml:space="preserve"> </w:t>
      </w:r>
      <w:r>
        <w:rPr>
          <w:color w:val="231F20"/>
        </w:rPr>
        <w:t>or</w:t>
      </w:r>
    </w:p>
    <w:p w14:paraId="30C2EB55" w14:textId="77777777" w:rsidR="00345EE3" w:rsidRDefault="00345EE3" w:rsidP="00F109AB">
      <w:pPr>
        <w:pStyle w:val="BodyText"/>
        <w:spacing w:line="259" w:lineRule="exact"/>
      </w:pPr>
      <w:r>
        <w:rPr>
          <w:color w:val="231F20"/>
          <w:spacing w:val="-2"/>
        </w:rPr>
        <w:t>sale;</w:t>
      </w:r>
    </w:p>
    <w:p w14:paraId="40CAEE60" w14:textId="77777777" w:rsidR="00345EE3" w:rsidRDefault="00345EE3">
      <w:pPr>
        <w:pStyle w:val="ListParagraph"/>
        <w:numPr>
          <w:ilvl w:val="0"/>
          <w:numId w:val="36"/>
        </w:numPr>
        <w:tabs>
          <w:tab w:val="left" w:pos="398"/>
        </w:tabs>
        <w:ind w:left="397" w:hanging="288"/>
        <w:rPr>
          <w:color w:val="231F20"/>
        </w:rPr>
      </w:pPr>
      <w:r>
        <w:rPr>
          <w:color w:val="231F20"/>
          <w:spacing w:val="-2"/>
          <w:sz w:val="24"/>
        </w:rPr>
        <w:t>an</w:t>
      </w:r>
      <w:r>
        <w:rPr>
          <w:color w:val="231F20"/>
          <w:spacing w:val="-14"/>
          <w:sz w:val="24"/>
        </w:rPr>
        <w:t xml:space="preserve"> </w:t>
      </w:r>
      <w:r>
        <w:rPr>
          <w:color w:val="231F20"/>
          <w:spacing w:val="-2"/>
          <w:sz w:val="24"/>
        </w:rPr>
        <w:t>intention</w:t>
      </w:r>
      <w:r>
        <w:rPr>
          <w:color w:val="231F20"/>
          <w:spacing w:val="-13"/>
          <w:sz w:val="24"/>
        </w:rPr>
        <w:t xml:space="preserve"> </w:t>
      </w:r>
      <w:r>
        <w:rPr>
          <w:color w:val="231F20"/>
          <w:spacing w:val="-2"/>
          <w:sz w:val="24"/>
        </w:rPr>
        <w:t>to</w:t>
      </w:r>
      <w:r>
        <w:rPr>
          <w:color w:val="231F20"/>
          <w:spacing w:val="-14"/>
          <w:sz w:val="24"/>
        </w:rPr>
        <w:t xml:space="preserve"> </w:t>
      </w:r>
      <w:r>
        <w:rPr>
          <w:color w:val="231F20"/>
          <w:spacing w:val="-2"/>
          <w:sz w:val="24"/>
        </w:rPr>
        <w:t>complete</w:t>
      </w:r>
      <w:r>
        <w:rPr>
          <w:color w:val="231F20"/>
          <w:spacing w:val="-13"/>
          <w:sz w:val="24"/>
        </w:rPr>
        <w:t xml:space="preserve"> </w:t>
      </w:r>
      <w:r>
        <w:rPr>
          <w:color w:val="231F20"/>
          <w:spacing w:val="-2"/>
          <w:sz w:val="24"/>
        </w:rPr>
        <w:t>the</w:t>
      </w:r>
      <w:r>
        <w:rPr>
          <w:color w:val="231F20"/>
          <w:spacing w:val="-13"/>
          <w:sz w:val="24"/>
        </w:rPr>
        <w:t xml:space="preserve"> </w:t>
      </w:r>
      <w:r>
        <w:rPr>
          <w:color w:val="231F20"/>
          <w:spacing w:val="-2"/>
          <w:sz w:val="24"/>
        </w:rPr>
        <w:t>intangible</w:t>
      </w:r>
      <w:r>
        <w:rPr>
          <w:color w:val="231F20"/>
          <w:spacing w:val="-14"/>
          <w:sz w:val="24"/>
        </w:rPr>
        <w:t xml:space="preserve"> </w:t>
      </w:r>
      <w:r>
        <w:rPr>
          <w:color w:val="231F20"/>
          <w:spacing w:val="-2"/>
          <w:sz w:val="24"/>
        </w:rPr>
        <w:t>asset</w:t>
      </w:r>
      <w:r>
        <w:rPr>
          <w:color w:val="231F20"/>
          <w:spacing w:val="-13"/>
          <w:sz w:val="24"/>
        </w:rPr>
        <w:t xml:space="preserve"> </w:t>
      </w:r>
      <w:r>
        <w:rPr>
          <w:color w:val="231F20"/>
          <w:spacing w:val="-2"/>
          <w:sz w:val="24"/>
        </w:rPr>
        <w:t>for</w:t>
      </w:r>
      <w:r>
        <w:rPr>
          <w:color w:val="231F20"/>
          <w:spacing w:val="-14"/>
          <w:sz w:val="24"/>
        </w:rPr>
        <w:t xml:space="preserve"> </w:t>
      </w:r>
      <w:r>
        <w:rPr>
          <w:color w:val="231F20"/>
          <w:spacing w:val="-2"/>
          <w:sz w:val="24"/>
        </w:rPr>
        <w:t>use</w:t>
      </w:r>
      <w:r>
        <w:rPr>
          <w:color w:val="231F20"/>
          <w:spacing w:val="-13"/>
          <w:sz w:val="24"/>
        </w:rPr>
        <w:t xml:space="preserve"> </w:t>
      </w:r>
      <w:r>
        <w:rPr>
          <w:color w:val="231F20"/>
          <w:spacing w:val="-2"/>
          <w:sz w:val="24"/>
        </w:rPr>
        <w:t>or</w:t>
      </w:r>
      <w:r>
        <w:rPr>
          <w:color w:val="231F20"/>
          <w:spacing w:val="-13"/>
          <w:sz w:val="24"/>
        </w:rPr>
        <w:t xml:space="preserve"> </w:t>
      </w:r>
      <w:r>
        <w:rPr>
          <w:color w:val="231F20"/>
          <w:spacing w:val="-2"/>
          <w:sz w:val="24"/>
        </w:rPr>
        <w:t>sale;</w:t>
      </w:r>
    </w:p>
    <w:p w14:paraId="4427B231" w14:textId="77777777" w:rsidR="00345EE3" w:rsidRDefault="00345EE3">
      <w:pPr>
        <w:pStyle w:val="ListParagraph"/>
        <w:numPr>
          <w:ilvl w:val="0"/>
          <w:numId w:val="36"/>
        </w:numPr>
        <w:tabs>
          <w:tab w:val="left" w:pos="394"/>
        </w:tabs>
        <w:spacing w:before="33"/>
        <w:ind w:left="393" w:hanging="284"/>
        <w:rPr>
          <w:color w:val="231F20"/>
        </w:rPr>
      </w:pPr>
      <w:r>
        <w:rPr>
          <w:color w:val="231F20"/>
          <w:spacing w:val="-2"/>
          <w:sz w:val="24"/>
        </w:rPr>
        <w:t>the</w:t>
      </w:r>
      <w:r>
        <w:rPr>
          <w:color w:val="231F20"/>
          <w:spacing w:val="-15"/>
          <w:sz w:val="24"/>
        </w:rPr>
        <w:t xml:space="preserve"> </w:t>
      </w:r>
      <w:r>
        <w:rPr>
          <w:color w:val="231F20"/>
          <w:spacing w:val="-2"/>
          <w:sz w:val="24"/>
        </w:rPr>
        <w:t>ability</w:t>
      </w:r>
      <w:r>
        <w:rPr>
          <w:color w:val="231F20"/>
          <w:spacing w:val="-12"/>
          <w:sz w:val="24"/>
        </w:rPr>
        <w:t xml:space="preserve"> </w:t>
      </w:r>
      <w:r>
        <w:rPr>
          <w:color w:val="231F20"/>
          <w:spacing w:val="-2"/>
          <w:sz w:val="24"/>
        </w:rPr>
        <w:t>to</w:t>
      </w:r>
      <w:r>
        <w:rPr>
          <w:color w:val="231F20"/>
          <w:spacing w:val="-13"/>
          <w:sz w:val="24"/>
        </w:rPr>
        <w:t xml:space="preserve"> </w:t>
      </w:r>
      <w:r>
        <w:rPr>
          <w:color w:val="231F20"/>
          <w:spacing w:val="-2"/>
          <w:sz w:val="24"/>
        </w:rPr>
        <w:t>use</w:t>
      </w:r>
      <w:r>
        <w:rPr>
          <w:color w:val="231F20"/>
          <w:spacing w:val="-12"/>
          <w:sz w:val="24"/>
        </w:rPr>
        <w:t xml:space="preserve"> </w:t>
      </w:r>
      <w:r>
        <w:rPr>
          <w:color w:val="231F20"/>
          <w:spacing w:val="-2"/>
          <w:sz w:val="24"/>
        </w:rPr>
        <w:t>or</w:t>
      </w:r>
      <w:r>
        <w:rPr>
          <w:color w:val="231F20"/>
          <w:spacing w:val="-13"/>
          <w:sz w:val="24"/>
        </w:rPr>
        <w:t xml:space="preserve"> </w:t>
      </w:r>
      <w:r>
        <w:rPr>
          <w:color w:val="231F20"/>
          <w:spacing w:val="-2"/>
          <w:sz w:val="24"/>
        </w:rPr>
        <w:t>sell</w:t>
      </w:r>
      <w:r>
        <w:rPr>
          <w:color w:val="231F20"/>
          <w:spacing w:val="-12"/>
          <w:sz w:val="24"/>
        </w:rPr>
        <w:t xml:space="preserve"> </w:t>
      </w:r>
      <w:r>
        <w:rPr>
          <w:color w:val="231F20"/>
          <w:spacing w:val="-2"/>
          <w:sz w:val="24"/>
        </w:rPr>
        <w:t>the</w:t>
      </w:r>
      <w:r>
        <w:rPr>
          <w:color w:val="231F20"/>
          <w:spacing w:val="-13"/>
          <w:sz w:val="24"/>
        </w:rPr>
        <w:t xml:space="preserve"> </w:t>
      </w:r>
      <w:r>
        <w:rPr>
          <w:color w:val="231F20"/>
          <w:spacing w:val="-2"/>
          <w:sz w:val="24"/>
        </w:rPr>
        <w:t>intangible</w:t>
      </w:r>
      <w:r>
        <w:rPr>
          <w:color w:val="231F20"/>
          <w:spacing w:val="-12"/>
          <w:sz w:val="24"/>
        </w:rPr>
        <w:t xml:space="preserve"> </w:t>
      </w:r>
      <w:r>
        <w:rPr>
          <w:color w:val="231F20"/>
          <w:spacing w:val="-2"/>
          <w:sz w:val="24"/>
        </w:rPr>
        <w:t>asset;</w:t>
      </w:r>
    </w:p>
    <w:p w14:paraId="41EBC90F" w14:textId="77777777" w:rsidR="00345EE3" w:rsidRDefault="00345EE3">
      <w:pPr>
        <w:pStyle w:val="ListParagraph"/>
        <w:numPr>
          <w:ilvl w:val="0"/>
          <w:numId w:val="36"/>
        </w:numPr>
        <w:tabs>
          <w:tab w:val="left" w:pos="398"/>
        </w:tabs>
        <w:ind w:left="397" w:hanging="288"/>
        <w:rPr>
          <w:color w:val="231F20"/>
        </w:rPr>
      </w:pPr>
      <w:r>
        <w:rPr>
          <w:color w:val="231F20"/>
          <w:spacing w:val="-4"/>
          <w:sz w:val="24"/>
        </w:rPr>
        <w:t>the intangible asset will generate probable future economic benefits;</w:t>
      </w:r>
    </w:p>
    <w:p w14:paraId="0D8D1454" w14:textId="77777777" w:rsidR="00345EE3" w:rsidRDefault="00345EE3">
      <w:pPr>
        <w:pStyle w:val="ListParagraph"/>
        <w:numPr>
          <w:ilvl w:val="0"/>
          <w:numId w:val="36"/>
        </w:numPr>
        <w:tabs>
          <w:tab w:val="left" w:pos="398"/>
        </w:tabs>
        <w:spacing w:line="242" w:lineRule="auto"/>
        <w:ind w:left="393" w:right="156" w:hanging="284"/>
        <w:rPr>
          <w:color w:val="231F20"/>
        </w:rPr>
      </w:pPr>
      <w:r>
        <w:rPr>
          <w:color w:val="231F20"/>
          <w:spacing w:val="-4"/>
          <w:sz w:val="24"/>
        </w:rPr>
        <w:t xml:space="preserve">the availability of adequate technical, financial and other resources to complete the development </w:t>
      </w:r>
      <w:r>
        <w:rPr>
          <w:color w:val="231F20"/>
          <w:sz w:val="24"/>
        </w:rPr>
        <w:t>and</w:t>
      </w:r>
      <w:r>
        <w:rPr>
          <w:color w:val="231F20"/>
          <w:spacing w:val="-3"/>
          <w:sz w:val="24"/>
        </w:rPr>
        <w:t xml:space="preserve"> </w:t>
      </w:r>
      <w:r>
        <w:rPr>
          <w:color w:val="231F20"/>
          <w:sz w:val="24"/>
        </w:rPr>
        <w:t>to</w:t>
      </w:r>
      <w:r>
        <w:rPr>
          <w:color w:val="231F20"/>
          <w:spacing w:val="-3"/>
          <w:sz w:val="24"/>
        </w:rPr>
        <w:t xml:space="preserve"> </w:t>
      </w:r>
      <w:r>
        <w:rPr>
          <w:color w:val="231F20"/>
          <w:sz w:val="24"/>
        </w:rPr>
        <w:t>use</w:t>
      </w:r>
      <w:r>
        <w:rPr>
          <w:color w:val="231F20"/>
          <w:spacing w:val="-3"/>
          <w:sz w:val="24"/>
        </w:rPr>
        <w:t xml:space="preserve"> </w:t>
      </w:r>
      <w:r>
        <w:rPr>
          <w:color w:val="231F20"/>
          <w:sz w:val="24"/>
        </w:rPr>
        <w:t>or</w:t>
      </w:r>
      <w:r>
        <w:rPr>
          <w:color w:val="231F20"/>
          <w:spacing w:val="-3"/>
          <w:sz w:val="24"/>
        </w:rPr>
        <w:t xml:space="preserve"> </w:t>
      </w:r>
      <w:r>
        <w:rPr>
          <w:color w:val="231F20"/>
          <w:sz w:val="24"/>
        </w:rPr>
        <w:t>sell</w:t>
      </w:r>
      <w:r>
        <w:rPr>
          <w:color w:val="231F20"/>
          <w:spacing w:val="-3"/>
          <w:sz w:val="24"/>
        </w:rPr>
        <w:t xml:space="preserve"> </w:t>
      </w:r>
      <w:r>
        <w:rPr>
          <w:color w:val="231F20"/>
          <w:sz w:val="24"/>
        </w:rPr>
        <w:t>the</w:t>
      </w:r>
      <w:r>
        <w:rPr>
          <w:color w:val="231F20"/>
          <w:spacing w:val="-3"/>
          <w:sz w:val="24"/>
        </w:rPr>
        <w:t xml:space="preserve"> </w:t>
      </w:r>
      <w:r>
        <w:rPr>
          <w:color w:val="231F20"/>
          <w:sz w:val="24"/>
        </w:rPr>
        <w:t>intangible</w:t>
      </w:r>
      <w:r>
        <w:rPr>
          <w:color w:val="231F20"/>
          <w:spacing w:val="-3"/>
          <w:sz w:val="24"/>
        </w:rPr>
        <w:t xml:space="preserve"> </w:t>
      </w:r>
      <w:r>
        <w:rPr>
          <w:color w:val="231F20"/>
          <w:sz w:val="24"/>
        </w:rPr>
        <w:t>asset;</w:t>
      </w:r>
      <w:r>
        <w:rPr>
          <w:color w:val="231F20"/>
          <w:spacing w:val="-3"/>
          <w:sz w:val="24"/>
        </w:rPr>
        <w:t xml:space="preserve"> </w:t>
      </w:r>
      <w:r>
        <w:rPr>
          <w:color w:val="231F20"/>
          <w:sz w:val="24"/>
        </w:rPr>
        <w:t>and</w:t>
      </w:r>
    </w:p>
    <w:p w14:paraId="78517FC0" w14:textId="77777777" w:rsidR="00345EE3" w:rsidRDefault="00345EE3">
      <w:pPr>
        <w:pStyle w:val="ListParagraph"/>
        <w:numPr>
          <w:ilvl w:val="0"/>
          <w:numId w:val="36"/>
        </w:numPr>
        <w:tabs>
          <w:tab w:val="left" w:pos="394"/>
        </w:tabs>
        <w:spacing w:before="31" w:line="242" w:lineRule="auto"/>
        <w:ind w:left="393" w:right="848" w:hanging="284"/>
        <w:rPr>
          <w:color w:val="231F20"/>
          <w:spacing w:val="-2"/>
          <w:sz w:val="24"/>
        </w:rPr>
      </w:pPr>
      <w:r>
        <w:rPr>
          <w:color w:val="231F20"/>
          <w:spacing w:val="-2"/>
          <w:sz w:val="24"/>
        </w:rPr>
        <w:t>the</w:t>
      </w:r>
      <w:r>
        <w:rPr>
          <w:color w:val="231F20"/>
          <w:spacing w:val="-15"/>
          <w:sz w:val="24"/>
        </w:rPr>
        <w:t xml:space="preserve"> </w:t>
      </w:r>
      <w:r>
        <w:rPr>
          <w:color w:val="231F20"/>
          <w:spacing w:val="-2"/>
          <w:sz w:val="24"/>
        </w:rPr>
        <w:t>ability</w:t>
      </w:r>
      <w:r>
        <w:rPr>
          <w:color w:val="231F20"/>
          <w:spacing w:val="-15"/>
          <w:sz w:val="24"/>
        </w:rPr>
        <w:t xml:space="preserve"> </w:t>
      </w:r>
      <w:r>
        <w:rPr>
          <w:color w:val="231F20"/>
          <w:spacing w:val="-2"/>
          <w:sz w:val="24"/>
        </w:rPr>
        <w:t>to</w:t>
      </w:r>
      <w:r>
        <w:rPr>
          <w:color w:val="231F20"/>
          <w:spacing w:val="-14"/>
          <w:sz w:val="24"/>
        </w:rPr>
        <w:t xml:space="preserve"> </w:t>
      </w:r>
      <w:r>
        <w:rPr>
          <w:color w:val="231F20"/>
          <w:spacing w:val="-2"/>
          <w:sz w:val="24"/>
        </w:rPr>
        <w:t>measure</w:t>
      </w:r>
      <w:r>
        <w:rPr>
          <w:color w:val="231F20"/>
          <w:spacing w:val="-15"/>
          <w:sz w:val="24"/>
        </w:rPr>
        <w:t xml:space="preserve"> </w:t>
      </w:r>
      <w:r>
        <w:rPr>
          <w:color w:val="231F20"/>
          <w:spacing w:val="-2"/>
          <w:sz w:val="24"/>
        </w:rPr>
        <w:t>reliably</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2"/>
          <w:sz w:val="24"/>
        </w:rPr>
        <w:t>expenditure</w:t>
      </w:r>
      <w:r>
        <w:rPr>
          <w:color w:val="231F20"/>
          <w:spacing w:val="-14"/>
          <w:sz w:val="24"/>
        </w:rPr>
        <w:t xml:space="preserve"> </w:t>
      </w:r>
      <w:r>
        <w:rPr>
          <w:color w:val="231F20"/>
          <w:spacing w:val="-2"/>
          <w:sz w:val="24"/>
        </w:rPr>
        <w:t>attributable</w:t>
      </w:r>
      <w:r>
        <w:rPr>
          <w:color w:val="231F20"/>
          <w:spacing w:val="-15"/>
          <w:sz w:val="24"/>
        </w:rPr>
        <w:t xml:space="preserve"> </w:t>
      </w:r>
      <w:r>
        <w:rPr>
          <w:color w:val="231F20"/>
          <w:spacing w:val="-2"/>
          <w:sz w:val="24"/>
        </w:rPr>
        <w:t>to</w:t>
      </w:r>
      <w:r>
        <w:rPr>
          <w:color w:val="231F20"/>
          <w:spacing w:val="-15"/>
          <w:sz w:val="24"/>
        </w:rPr>
        <w:t xml:space="preserve"> </w:t>
      </w:r>
      <w:r>
        <w:rPr>
          <w:color w:val="231F20"/>
          <w:spacing w:val="-2"/>
          <w:sz w:val="24"/>
        </w:rPr>
        <w:t>the</w:t>
      </w:r>
      <w:r>
        <w:rPr>
          <w:color w:val="231F20"/>
          <w:spacing w:val="-14"/>
          <w:sz w:val="24"/>
        </w:rPr>
        <w:t xml:space="preserve"> </w:t>
      </w:r>
      <w:r>
        <w:rPr>
          <w:color w:val="231F20"/>
          <w:spacing w:val="-2"/>
          <w:sz w:val="24"/>
        </w:rPr>
        <w:t>intangible</w:t>
      </w:r>
      <w:r>
        <w:rPr>
          <w:color w:val="231F20"/>
          <w:spacing w:val="-15"/>
          <w:sz w:val="24"/>
        </w:rPr>
        <w:t xml:space="preserve"> </w:t>
      </w:r>
      <w:r>
        <w:rPr>
          <w:color w:val="231F20"/>
          <w:spacing w:val="-2"/>
          <w:sz w:val="24"/>
        </w:rPr>
        <w:t>asset</w:t>
      </w:r>
      <w:r>
        <w:rPr>
          <w:color w:val="231F20"/>
          <w:spacing w:val="-15"/>
          <w:sz w:val="24"/>
        </w:rPr>
        <w:t xml:space="preserve"> </w:t>
      </w:r>
      <w:r>
        <w:rPr>
          <w:color w:val="231F20"/>
          <w:spacing w:val="-2"/>
          <w:sz w:val="24"/>
        </w:rPr>
        <w:t>during</w:t>
      </w:r>
      <w:r>
        <w:rPr>
          <w:color w:val="231F20"/>
          <w:spacing w:val="-14"/>
          <w:sz w:val="24"/>
        </w:rPr>
        <w:t xml:space="preserve"> </w:t>
      </w:r>
      <w:r>
        <w:rPr>
          <w:color w:val="231F20"/>
          <w:spacing w:val="-2"/>
          <w:sz w:val="24"/>
        </w:rPr>
        <w:t>its development.</w:t>
      </w:r>
    </w:p>
    <w:p w14:paraId="11F0F815" w14:textId="77777777" w:rsidR="00345EE3" w:rsidRDefault="00345EE3" w:rsidP="00345EE3">
      <w:pPr>
        <w:pStyle w:val="Heading5"/>
        <w:spacing w:before="230"/>
      </w:pPr>
      <w:r>
        <w:rPr>
          <w:color w:val="231F20"/>
        </w:rPr>
        <w:t>Subsequent</w:t>
      </w:r>
      <w:r>
        <w:rPr>
          <w:color w:val="231F20"/>
          <w:spacing w:val="-7"/>
        </w:rPr>
        <w:t xml:space="preserve"> </w:t>
      </w:r>
      <w:r>
        <w:rPr>
          <w:color w:val="231F20"/>
          <w:spacing w:val="-2"/>
        </w:rPr>
        <w:t>Measurement</w:t>
      </w:r>
    </w:p>
    <w:p w14:paraId="6469EB09" w14:textId="77777777" w:rsidR="00345EE3" w:rsidRDefault="00345EE3" w:rsidP="00345EE3">
      <w:pPr>
        <w:pStyle w:val="BodyText"/>
        <w:spacing w:before="62" w:line="242" w:lineRule="auto"/>
        <w:ind w:right="687"/>
      </w:pPr>
      <w:r>
        <w:rPr>
          <w:color w:val="231F20"/>
        </w:rPr>
        <w:t>Intangible produced assets with finite useful lives, are amortised as an ‘expense from transactions’</w:t>
      </w:r>
      <w:r>
        <w:rPr>
          <w:color w:val="231F20"/>
          <w:spacing w:val="-13"/>
        </w:rPr>
        <w:t xml:space="preserve"> </w:t>
      </w:r>
      <w:r>
        <w:rPr>
          <w:color w:val="231F20"/>
        </w:rPr>
        <w:t>on</w:t>
      </w:r>
      <w:r>
        <w:rPr>
          <w:color w:val="231F20"/>
          <w:spacing w:val="-13"/>
        </w:rPr>
        <w:t xml:space="preserve"> </w:t>
      </w:r>
      <w:r>
        <w:rPr>
          <w:color w:val="231F20"/>
        </w:rPr>
        <w:t>a</w:t>
      </w:r>
      <w:r>
        <w:rPr>
          <w:color w:val="231F20"/>
          <w:spacing w:val="-13"/>
        </w:rPr>
        <w:t xml:space="preserve"> </w:t>
      </w:r>
      <w:r>
        <w:rPr>
          <w:color w:val="231F20"/>
        </w:rPr>
        <w:t>straight-line</w:t>
      </w:r>
      <w:r>
        <w:rPr>
          <w:color w:val="231F20"/>
          <w:spacing w:val="-13"/>
        </w:rPr>
        <w:t xml:space="preserve"> </w:t>
      </w:r>
      <w:r>
        <w:rPr>
          <w:color w:val="231F20"/>
        </w:rPr>
        <w:t>basis</w:t>
      </w:r>
      <w:r>
        <w:rPr>
          <w:color w:val="231F20"/>
          <w:spacing w:val="-12"/>
        </w:rPr>
        <w:t xml:space="preserve"> </w:t>
      </w:r>
      <w:r>
        <w:rPr>
          <w:color w:val="231F20"/>
        </w:rPr>
        <w:t>over</w:t>
      </w:r>
      <w:r>
        <w:rPr>
          <w:color w:val="231F20"/>
          <w:spacing w:val="-12"/>
        </w:rPr>
        <w:t xml:space="preserve"> </w:t>
      </w:r>
      <w:r>
        <w:rPr>
          <w:color w:val="231F20"/>
        </w:rPr>
        <w:t>their</w:t>
      </w:r>
      <w:r>
        <w:rPr>
          <w:color w:val="231F20"/>
          <w:spacing w:val="-12"/>
        </w:rPr>
        <w:t xml:space="preserve"> </w:t>
      </w:r>
      <w:r>
        <w:rPr>
          <w:color w:val="231F20"/>
        </w:rPr>
        <w:t>useful</w:t>
      </w:r>
      <w:r>
        <w:rPr>
          <w:color w:val="231F20"/>
          <w:spacing w:val="-13"/>
        </w:rPr>
        <w:t xml:space="preserve"> </w:t>
      </w:r>
      <w:r>
        <w:rPr>
          <w:color w:val="231F20"/>
        </w:rPr>
        <w:t>lives.</w:t>
      </w:r>
      <w:r>
        <w:rPr>
          <w:color w:val="231F20"/>
          <w:spacing w:val="-12"/>
        </w:rPr>
        <w:t xml:space="preserve"> </w:t>
      </w:r>
      <w:r>
        <w:rPr>
          <w:color w:val="231F20"/>
        </w:rPr>
        <w:t>Produced</w:t>
      </w:r>
      <w:r>
        <w:rPr>
          <w:color w:val="231F20"/>
          <w:spacing w:val="-13"/>
        </w:rPr>
        <w:t xml:space="preserve"> </w:t>
      </w:r>
      <w:r>
        <w:rPr>
          <w:color w:val="231F20"/>
        </w:rPr>
        <w:t>intangible</w:t>
      </w:r>
      <w:r>
        <w:rPr>
          <w:color w:val="231F20"/>
          <w:spacing w:val="-13"/>
        </w:rPr>
        <w:t xml:space="preserve"> </w:t>
      </w:r>
      <w:r>
        <w:rPr>
          <w:color w:val="231F20"/>
        </w:rPr>
        <w:t>assets</w:t>
      </w:r>
      <w:r>
        <w:rPr>
          <w:color w:val="231F20"/>
          <w:spacing w:val="-12"/>
        </w:rPr>
        <w:t xml:space="preserve"> </w:t>
      </w:r>
      <w:r>
        <w:rPr>
          <w:color w:val="231F20"/>
        </w:rPr>
        <w:t>have useful lives of between 3 and 12 years.</w:t>
      </w:r>
    </w:p>
    <w:p w14:paraId="4E6A94F5" w14:textId="77777777" w:rsidR="00345EE3" w:rsidRDefault="00345EE3" w:rsidP="00345EE3">
      <w:pPr>
        <w:pStyle w:val="BodyText"/>
        <w:spacing w:before="117" w:line="242" w:lineRule="auto"/>
        <w:ind w:right="381"/>
      </w:pPr>
      <w:r>
        <w:rPr>
          <w:color w:val="231F20"/>
        </w:rPr>
        <w:t>Intangible</w:t>
      </w:r>
      <w:r>
        <w:rPr>
          <w:color w:val="231F20"/>
          <w:spacing w:val="-7"/>
        </w:rPr>
        <w:t xml:space="preserve"> </w:t>
      </w:r>
      <w:r>
        <w:rPr>
          <w:color w:val="231F20"/>
        </w:rPr>
        <w:t>non-produced</w:t>
      </w:r>
      <w:r>
        <w:rPr>
          <w:color w:val="231F20"/>
          <w:spacing w:val="-7"/>
        </w:rPr>
        <w:t xml:space="preserve"> </w:t>
      </w:r>
      <w:r>
        <w:rPr>
          <w:color w:val="231F20"/>
        </w:rPr>
        <w:t>assets</w:t>
      </w:r>
      <w:r>
        <w:rPr>
          <w:color w:val="231F20"/>
          <w:spacing w:val="-7"/>
        </w:rPr>
        <w:t xml:space="preserve"> </w:t>
      </w:r>
      <w:r>
        <w:rPr>
          <w:color w:val="231F20"/>
        </w:rPr>
        <w:t>with</w:t>
      </w:r>
      <w:r>
        <w:rPr>
          <w:color w:val="231F20"/>
          <w:spacing w:val="-7"/>
        </w:rPr>
        <w:t xml:space="preserve"> </w:t>
      </w:r>
      <w:r>
        <w:rPr>
          <w:color w:val="231F20"/>
        </w:rPr>
        <w:t>finite</w:t>
      </w:r>
      <w:r>
        <w:rPr>
          <w:color w:val="231F20"/>
          <w:spacing w:val="-7"/>
        </w:rPr>
        <w:t xml:space="preserve"> </w:t>
      </w:r>
      <w:r>
        <w:rPr>
          <w:color w:val="231F20"/>
        </w:rPr>
        <w:t>lives</w:t>
      </w:r>
      <w:r>
        <w:rPr>
          <w:color w:val="231F20"/>
          <w:spacing w:val="-7"/>
        </w:rPr>
        <w:t xml:space="preserve"> </w:t>
      </w:r>
      <w:r>
        <w:rPr>
          <w:color w:val="231F20"/>
        </w:rPr>
        <w:t>are</w:t>
      </w:r>
      <w:r>
        <w:rPr>
          <w:color w:val="231F20"/>
          <w:spacing w:val="-7"/>
        </w:rPr>
        <w:t xml:space="preserve"> </w:t>
      </w:r>
      <w:r>
        <w:rPr>
          <w:color w:val="231F20"/>
        </w:rPr>
        <w:t>amortised</w:t>
      </w:r>
      <w:r>
        <w:rPr>
          <w:color w:val="231F20"/>
          <w:spacing w:val="-7"/>
        </w:rPr>
        <w:t xml:space="preserve"> </w:t>
      </w:r>
      <w:r>
        <w:rPr>
          <w:color w:val="231F20"/>
        </w:rPr>
        <w:t>as</w:t>
      </w:r>
      <w:r>
        <w:rPr>
          <w:color w:val="231F20"/>
          <w:spacing w:val="-7"/>
        </w:rPr>
        <w:t xml:space="preserve"> </w:t>
      </w:r>
      <w:r>
        <w:rPr>
          <w:color w:val="231F20"/>
        </w:rPr>
        <w:t>an</w:t>
      </w:r>
      <w:r>
        <w:rPr>
          <w:color w:val="231F20"/>
          <w:spacing w:val="-7"/>
        </w:rPr>
        <w:t xml:space="preserve"> </w:t>
      </w:r>
      <w:r>
        <w:rPr>
          <w:color w:val="231F20"/>
        </w:rPr>
        <w:t>‘other</w:t>
      </w:r>
      <w:r>
        <w:rPr>
          <w:color w:val="231F20"/>
          <w:spacing w:val="-7"/>
        </w:rPr>
        <w:t xml:space="preserve"> </w:t>
      </w:r>
      <w:r>
        <w:rPr>
          <w:color w:val="231F20"/>
        </w:rPr>
        <w:t>economic</w:t>
      </w:r>
      <w:r>
        <w:rPr>
          <w:color w:val="231F20"/>
          <w:spacing w:val="-7"/>
        </w:rPr>
        <w:t xml:space="preserve"> </w:t>
      </w:r>
      <w:r>
        <w:rPr>
          <w:color w:val="231F20"/>
        </w:rPr>
        <w:t>flow’</w:t>
      </w:r>
      <w:r>
        <w:rPr>
          <w:color w:val="231F20"/>
          <w:spacing w:val="-7"/>
        </w:rPr>
        <w:t xml:space="preserve"> </w:t>
      </w:r>
      <w:r>
        <w:rPr>
          <w:color w:val="231F20"/>
        </w:rPr>
        <w:t>on</w:t>
      </w:r>
      <w:r>
        <w:rPr>
          <w:color w:val="231F20"/>
          <w:spacing w:val="-7"/>
        </w:rPr>
        <w:t xml:space="preserve"> </w:t>
      </w:r>
      <w:r>
        <w:rPr>
          <w:color w:val="231F20"/>
        </w:rPr>
        <w:t>a straight-line basis over their useful lives. The amortisation period is 3 to 5 years.</w:t>
      </w:r>
    </w:p>
    <w:p w14:paraId="69E148ED" w14:textId="77777777" w:rsidR="00345EE3" w:rsidRDefault="00345EE3" w:rsidP="00345EE3">
      <w:pPr>
        <w:pStyle w:val="Heading5"/>
        <w:spacing w:before="230"/>
      </w:pPr>
      <w:r>
        <w:rPr>
          <w:color w:val="231F20"/>
        </w:rPr>
        <w:t>Impairment</w:t>
      </w:r>
      <w:r>
        <w:rPr>
          <w:color w:val="231F20"/>
          <w:spacing w:val="-1"/>
        </w:rPr>
        <w:t xml:space="preserve"> </w:t>
      </w:r>
      <w:r>
        <w:rPr>
          <w:color w:val="231F20"/>
        </w:rPr>
        <w:t>of</w:t>
      </w:r>
      <w:r>
        <w:rPr>
          <w:color w:val="231F20"/>
          <w:spacing w:val="-1"/>
        </w:rPr>
        <w:t xml:space="preserve"> </w:t>
      </w:r>
      <w:r>
        <w:rPr>
          <w:color w:val="231F20"/>
        </w:rPr>
        <w:t xml:space="preserve">Intangible </w:t>
      </w:r>
      <w:r>
        <w:rPr>
          <w:color w:val="231F20"/>
          <w:spacing w:val="-2"/>
        </w:rPr>
        <w:t>Assets</w:t>
      </w:r>
    </w:p>
    <w:p w14:paraId="02B7A8B5" w14:textId="77777777" w:rsidR="00345EE3" w:rsidRDefault="00345EE3" w:rsidP="00345EE3">
      <w:pPr>
        <w:pStyle w:val="BodyText"/>
        <w:spacing w:before="60" w:line="242" w:lineRule="auto"/>
      </w:pPr>
      <w:r>
        <w:rPr>
          <w:color w:val="231F20"/>
        </w:rPr>
        <w:t>Intangible assets with finite useful lives are tested for impairment whenever an indication of impairment</w:t>
      </w:r>
      <w:r>
        <w:rPr>
          <w:color w:val="231F20"/>
          <w:spacing w:val="-10"/>
        </w:rPr>
        <w:t xml:space="preserve"> </w:t>
      </w:r>
      <w:r>
        <w:rPr>
          <w:color w:val="231F20"/>
        </w:rPr>
        <w:t>is</w:t>
      </w:r>
      <w:r>
        <w:rPr>
          <w:color w:val="231F20"/>
          <w:spacing w:val="-8"/>
        </w:rPr>
        <w:t xml:space="preserve"> </w:t>
      </w:r>
      <w:r>
        <w:rPr>
          <w:color w:val="231F20"/>
        </w:rPr>
        <w:t>identified.</w:t>
      </w:r>
      <w:r>
        <w:rPr>
          <w:color w:val="231F20"/>
          <w:spacing w:val="-8"/>
        </w:rPr>
        <w:t xml:space="preserve"> </w:t>
      </w:r>
      <w:r>
        <w:rPr>
          <w:color w:val="231F20"/>
        </w:rPr>
        <w:t>The</w:t>
      </w:r>
      <w:r>
        <w:rPr>
          <w:color w:val="231F20"/>
          <w:spacing w:val="-9"/>
        </w:rPr>
        <w:t xml:space="preserve"> </w:t>
      </w:r>
      <w:r>
        <w:rPr>
          <w:color w:val="231F20"/>
        </w:rPr>
        <w:t>policy</w:t>
      </w:r>
      <w:r>
        <w:rPr>
          <w:color w:val="231F20"/>
          <w:spacing w:val="-8"/>
        </w:rPr>
        <w:t xml:space="preserve"> </w:t>
      </w:r>
      <w:r>
        <w:rPr>
          <w:color w:val="231F20"/>
        </w:rPr>
        <w:t>in</w:t>
      </w:r>
      <w:r>
        <w:rPr>
          <w:color w:val="231F20"/>
          <w:spacing w:val="-9"/>
        </w:rPr>
        <w:t xml:space="preserve"> </w:t>
      </w:r>
      <w:r>
        <w:rPr>
          <w:color w:val="231F20"/>
        </w:rPr>
        <w:t>connection</w:t>
      </w:r>
      <w:r>
        <w:rPr>
          <w:color w:val="231F20"/>
          <w:spacing w:val="-9"/>
        </w:rPr>
        <w:t xml:space="preserve"> </w:t>
      </w:r>
      <w:r>
        <w:rPr>
          <w:color w:val="231F20"/>
        </w:rPr>
        <w:t>with</w:t>
      </w:r>
      <w:r>
        <w:rPr>
          <w:color w:val="231F20"/>
          <w:spacing w:val="-8"/>
        </w:rPr>
        <w:t xml:space="preserve"> </w:t>
      </w:r>
      <w:r>
        <w:rPr>
          <w:color w:val="231F20"/>
        </w:rPr>
        <w:t>testing</w:t>
      </w:r>
      <w:r>
        <w:rPr>
          <w:color w:val="231F20"/>
          <w:spacing w:val="-9"/>
        </w:rPr>
        <w:t xml:space="preserve"> </w:t>
      </w:r>
      <w:r>
        <w:rPr>
          <w:color w:val="231F20"/>
        </w:rPr>
        <w:t>for</w:t>
      </w:r>
      <w:r>
        <w:rPr>
          <w:color w:val="231F20"/>
          <w:spacing w:val="-8"/>
        </w:rPr>
        <w:t xml:space="preserve"> </w:t>
      </w:r>
      <w:r>
        <w:rPr>
          <w:color w:val="231F20"/>
        </w:rPr>
        <w:t>impairments</w:t>
      </w:r>
      <w:r>
        <w:rPr>
          <w:color w:val="231F20"/>
          <w:spacing w:val="-8"/>
        </w:rPr>
        <w:t xml:space="preserve"> </w:t>
      </w:r>
      <w:r>
        <w:rPr>
          <w:color w:val="231F20"/>
        </w:rPr>
        <w:t>is</w:t>
      </w:r>
      <w:r>
        <w:rPr>
          <w:color w:val="231F20"/>
          <w:spacing w:val="-8"/>
        </w:rPr>
        <w:t xml:space="preserve"> </w:t>
      </w:r>
      <w:r>
        <w:rPr>
          <w:color w:val="231F20"/>
        </w:rPr>
        <w:t>outlined</w:t>
      </w:r>
      <w:r>
        <w:rPr>
          <w:color w:val="231F20"/>
          <w:spacing w:val="-9"/>
        </w:rPr>
        <w:t xml:space="preserve"> </w:t>
      </w:r>
      <w:r>
        <w:rPr>
          <w:color w:val="231F20"/>
        </w:rPr>
        <w:t>in</w:t>
      </w:r>
      <w:r>
        <w:rPr>
          <w:color w:val="231F20"/>
          <w:spacing w:val="-8"/>
        </w:rPr>
        <w:t xml:space="preserve"> </w:t>
      </w:r>
      <w:r>
        <w:rPr>
          <w:color w:val="231F20"/>
          <w:spacing w:val="-4"/>
        </w:rPr>
        <w:t>Note</w:t>
      </w:r>
    </w:p>
    <w:p w14:paraId="5ACFDDDA" w14:textId="77777777" w:rsidR="00345EE3" w:rsidRDefault="00345EE3" w:rsidP="00345EE3">
      <w:pPr>
        <w:pStyle w:val="BodyText"/>
        <w:spacing w:before="3" w:line="242" w:lineRule="auto"/>
      </w:pPr>
      <w:r>
        <w:rPr>
          <w:color w:val="231F20"/>
        </w:rPr>
        <w:t>5.1</w:t>
      </w:r>
      <w:r>
        <w:rPr>
          <w:color w:val="231F20"/>
          <w:spacing w:val="-12"/>
        </w:rPr>
        <w:t xml:space="preserve"> </w:t>
      </w:r>
      <w:r>
        <w:rPr>
          <w:color w:val="231F20"/>
        </w:rPr>
        <w:t>Property,</w:t>
      </w:r>
      <w:r>
        <w:rPr>
          <w:color w:val="231F20"/>
          <w:spacing w:val="-13"/>
        </w:rPr>
        <w:t xml:space="preserve"> </w:t>
      </w:r>
      <w:r>
        <w:rPr>
          <w:color w:val="231F20"/>
        </w:rPr>
        <w:t>Plant</w:t>
      </w:r>
      <w:r>
        <w:rPr>
          <w:color w:val="231F20"/>
          <w:spacing w:val="-12"/>
        </w:rPr>
        <w:t xml:space="preserve"> </w:t>
      </w:r>
      <w:r>
        <w:rPr>
          <w:color w:val="231F20"/>
        </w:rPr>
        <w:t>and</w:t>
      </w:r>
      <w:r>
        <w:rPr>
          <w:color w:val="231F20"/>
          <w:spacing w:val="-13"/>
        </w:rPr>
        <w:t xml:space="preserve"> </w:t>
      </w:r>
      <w:r>
        <w:rPr>
          <w:color w:val="231F20"/>
        </w:rPr>
        <w:t>Equipment.</w:t>
      </w:r>
      <w:r>
        <w:rPr>
          <w:color w:val="231F20"/>
          <w:spacing w:val="-12"/>
        </w:rPr>
        <w:t xml:space="preserve"> </w:t>
      </w:r>
      <w:r>
        <w:rPr>
          <w:color w:val="231F20"/>
        </w:rPr>
        <w:t>Victoria</w:t>
      </w:r>
      <w:r>
        <w:rPr>
          <w:color w:val="231F20"/>
          <w:spacing w:val="-13"/>
        </w:rPr>
        <w:t xml:space="preserve"> </w:t>
      </w:r>
      <w:r>
        <w:rPr>
          <w:color w:val="231F20"/>
        </w:rPr>
        <w:t>Police</w:t>
      </w:r>
      <w:r>
        <w:rPr>
          <w:color w:val="231F20"/>
          <w:spacing w:val="-13"/>
        </w:rPr>
        <w:t xml:space="preserve"> </w:t>
      </w:r>
      <w:r>
        <w:rPr>
          <w:color w:val="231F20"/>
        </w:rPr>
        <w:t>has</w:t>
      </w:r>
      <w:r>
        <w:rPr>
          <w:color w:val="231F20"/>
          <w:spacing w:val="-12"/>
        </w:rPr>
        <w:t xml:space="preserve"> </w:t>
      </w:r>
      <w:r>
        <w:rPr>
          <w:color w:val="231F20"/>
        </w:rPr>
        <w:t>no</w:t>
      </w:r>
      <w:r>
        <w:rPr>
          <w:color w:val="231F20"/>
          <w:spacing w:val="-13"/>
        </w:rPr>
        <w:t xml:space="preserve"> </w:t>
      </w:r>
      <w:r>
        <w:rPr>
          <w:color w:val="231F20"/>
        </w:rPr>
        <w:t>intangible</w:t>
      </w:r>
      <w:r>
        <w:rPr>
          <w:color w:val="231F20"/>
          <w:spacing w:val="-13"/>
        </w:rPr>
        <w:t xml:space="preserve"> </w:t>
      </w:r>
      <w:r>
        <w:rPr>
          <w:color w:val="231F20"/>
        </w:rPr>
        <w:t>assets</w:t>
      </w:r>
      <w:r>
        <w:rPr>
          <w:color w:val="231F20"/>
          <w:spacing w:val="-12"/>
        </w:rPr>
        <w:t xml:space="preserve"> </w:t>
      </w:r>
      <w:r>
        <w:rPr>
          <w:color w:val="231F20"/>
        </w:rPr>
        <w:t>with</w:t>
      </w:r>
      <w:r>
        <w:rPr>
          <w:color w:val="231F20"/>
          <w:spacing w:val="-13"/>
        </w:rPr>
        <w:t xml:space="preserve"> </w:t>
      </w:r>
      <w:r>
        <w:rPr>
          <w:color w:val="231F20"/>
        </w:rPr>
        <w:t>indefinite</w:t>
      </w:r>
      <w:r>
        <w:rPr>
          <w:color w:val="231F20"/>
          <w:spacing w:val="-13"/>
        </w:rPr>
        <w:t xml:space="preserve"> </w:t>
      </w:r>
      <w:r>
        <w:rPr>
          <w:color w:val="231F20"/>
        </w:rPr>
        <w:t xml:space="preserve">useful </w:t>
      </w:r>
      <w:r>
        <w:rPr>
          <w:color w:val="231F20"/>
          <w:spacing w:val="-2"/>
        </w:rPr>
        <w:t>lives.</w:t>
      </w:r>
    </w:p>
    <w:p w14:paraId="737ED394" w14:textId="77777777" w:rsidR="00345EE3" w:rsidRPr="00E528CF" w:rsidRDefault="00345EE3">
      <w:pPr>
        <w:pStyle w:val="Heading5"/>
        <w:numPr>
          <w:ilvl w:val="1"/>
          <w:numId w:val="33"/>
        </w:numPr>
        <w:tabs>
          <w:tab w:val="left" w:pos="493"/>
        </w:tabs>
        <w:spacing w:before="116"/>
        <w:ind w:left="492" w:hanging="383"/>
        <w:rPr>
          <w:color w:val="3D68AD"/>
          <w:sz w:val="28"/>
          <w:szCs w:val="28"/>
        </w:rPr>
      </w:pPr>
      <w:r w:rsidRPr="00E528CF">
        <w:rPr>
          <w:color w:val="3D68AD"/>
          <w:spacing w:val="-6"/>
          <w:sz w:val="28"/>
          <w:szCs w:val="28"/>
        </w:rPr>
        <w:t>Physical</w:t>
      </w:r>
      <w:r w:rsidRPr="00E528CF">
        <w:rPr>
          <w:color w:val="3D68AD"/>
          <w:spacing w:val="-8"/>
          <w:sz w:val="28"/>
          <w:szCs w:val="28"/>
        </w:rPr>
        <w:t xml:space="preserve"> </w:t>
      </w:r>
      <w:r w:rsidRPr="00E528CF">
        <w:rPr>
          <w:color w:val="3D68AD"/>
          <w:spacing w:val="-6"/>
          <w:sz w:val="28"/>
          <w:szCs w:val="28"/>
        </w:rPr>
        <w:t>Asset Revaluation</w:t>
      </w:r>
      <w:r w:rsidRPr="00E528CF">
        <w:rPr>
          <w:color w:val="3D68AD"/>
          <w:spacing w:val="-5"/>
          <w:sz w:val="28"/>
          <w:szCs w:val="28"/>
        </w:rPr>
        <w:t xml:space="preserve"> </w:t>
      </w:r>
      <w:r w:rsidRPr="00E528CF">
        <w:rPr>
          <w:color w:val="3D68AD"/>
          <w:spacing w:val="-6"/>
          <w:sz w:val="28"/>
          <w:szCs w:val="28"/>
        </w:rPr>
        <w:t>Surplus</w:t>
      </w:r>
    </w:p>
    <w:p w14:paraId="6387CE5F" w14:textId="77777777" w:rsidR="00345EE3" w:rsidRDefault="00345EE3" w:rsidP="00345EE3">
      <w:pPr>
        <w:pStyle w:val="BodyText"/>
        <w:spacing w:before="5" w:after="1"/>
        <w:rPr>
          <w:b/>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272"/>
        <w:gridCol w:w="1133"/>
        <w:gridCol w:w="1303"/>
        <w:gridCol w:w="1246"/>
        <w:gridCol w:w="1246"/>
      </w:tblGrid>
      <w:tr w:rsidR="00345EE3" w14:paraId="188C5516" w14:textId="77777777" w:rsidTr="00D73130">
        <w:trPr>
          <w:trHeight w:val="406"/>
        </w:trPr>
        <w:tc>
          <w:tcPr>
            <w:tcW w:w="10200" w:type="dxa"/>
            <w:gridSpan w:val="5"/>
            <w:tcBorders>
              <w:top w:val="nil"/>
              <w:left w:val="nil"/>
              <w:bottom w:val="nil"/>
              <w:right w:val="nil"/>
            </w:tcBorders>
            <w:shd w:val="clear" w:color="auto" w:fill="00529F"/>
          </w:tcPr>
          <w:p w14:paraId="6C050B38" w14:textId="77777777" w:rsidR="00345EE3" w:rsidRDefault="00345EE3" w:rsidP="00D73130">
            <w:pPr>
              <w:pStyle w:val="TableParagraph"/>
              <w:spacing w:before="63"/>
              <w:ind w:right="-15"/>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4184AE0A" w14:textId="77777777" w:rsidTr="00D73130">
        <w:trPr>
          <w:trHeight w:val="1236"/>
        </w:trPr>
        <w:tc>
          <w:tcPr>
            <w:tcW w:w="5272" w:type="dxa"/>
            <w:tcBorders>
              <w:top w:val="nil"/>
              <w:left w:val="nil"/>
              <w:bottom w:val="nil"/>
              <w:right w:val="nil"/>
            </w:tcBorders>
            <w:shd w:val="clear" w:color="auto" w:fill="00529F"/>
          </w:tcPr>
          <w:p w14:paraId="5AA8FCA4" w14:textId="77777777" w:rsidR="00345EE3" w:rsidRDefault="00345EE3" w:rsidP="00D73130">
            <w:pPr>
              <w:pStyle w:val="TableParagraph"/>
              <w:spacing w:before="0"/>
              <w:jc w:val="left"/>
              <w:rPr>
                <w:rFonts w:ascii="Times New Roman"/>
              </w:rPr>
            </w:pPr>
          </w:p>
        </w:tc>
        <w:tc>
          <w:tcPr>
            <w:tcW w:w="1133" w:type="dxa"/>
            <w:tcBorders>
              <w:top w:val="nil"/>
              <w:left w:val="nil"/>
              <w:bottom w:val="nil"/>
              <w:right w:val="nil"/>
            </w:tcBorders>
            <w:shd w:val="clear" w:color="auto" w:fill="00529F"/>
          </w:tcPr>
          <w:p w14:paraId="1FF0FCA4" w14:textId="77777777" w:rsidR="00345EE3" w:rsidRDefault="00345EE3" w:rsidP="00D73130">
            <w:pPr>
              <w:pStyle w:val="TableParagraph"/>
              <w:spacing w:before="59"/>
              <w:ind w:right="1"/>
              <w:rPr>
                <w:b/>
                <w:sz w:val="24"/>
              </w:rPr>
            </w:pPr>
            <w:r>
              <w:rPr>
                <w:b/>
                <w:color w:val="FFFFFF"/>
                <w:spacing w:val="-4"/>
                <w:sz w:val="24"/>
              </w:rPr>
              <w:t>Land</w:t>
            </w:r>
          </w:p>
        </w:tc>
        <w:tc>
          <w:tcPr>
            <w:tcW w:w="1303" w:type="dxa"/>
            <w:tcBorders>
              <w:top w:val="nil"/>
              <w:left w:val="nil"/>
              <w:bottom w:val="nil"/>
              <w:right w:val="nil"/>
            </w:tcBorders>
            <w:shd w:val="clear" w:color="auto" w:fill="00529F"/>
          </w:tcPr>
          <w:p w14:paraId="7B18E9FB" w14:textId="77777777" w:rsidR="00345EE3" w:rsidRDefault="00345EE3" w:rsidP="00D73130">
            <w:pPr>
              <w:pStyle w:val="TableParagraph"/>
              <w:spacing w:before="59"/>
              <w:ind w:right="1"/>
              <w:rPr>
                <w:b/>
                <w:sz w:val="24"/>
              </w:rPr>
            </w:pPr>
            <w:r>
              <w:rPr>
                <w:b/>
                <w:color w:val="FFFFFF"/>
                <w:spacing w:val="-2"/>
                <w:sz w:val="24"/>
              </w:rPr>
              <w:t>Buildings</w:t>
            </w:r>
          </w:p>
        </w:tc>
        <w:tc>
          <w:tcPr>
            <w:tcW w:w="1246" w:type="dxa"/>
            <w:tcBorders>
              <w:top w:val="nil"/>
              <w:left w:val="nil"/>
              <w:bottom w:val="nil"/>
              <w:right w:val="nil"/>
            </w:tcBorders>
            <w:shd w:val="clear" w:color="auto" w:fill="00529F"/>
          </w:tcPr>
          <w:p w14:paraId="05D52A30" w14:textId="77777777" w:rsidR="00345EE3" w:rsidRDefault="00345EE3" w:rsidP="00D73130">
            <w:pPr>
              <w:pStyle w:val="TableParagraph"/>
              <w:spacing w:before="59"/>
              <w:ind w:right="1"/>
              <w:rPr>
                <w:b/>
                <w:sz w:val="24"/>
              </w:rPr>
            </w:pPr>
            <w:r>
              <w:rPr>
                <w:b/>
                <w:color w:val="FFFFFF"/>
                <w:spacing w:val="-2"/>
                <w:sz w:val="24"/>
              </w:rPr>
              <w:t>Cultural</w:t>
            </w:r>
          </w:p>
          <w:p w14:paraId="5DC02B68" w14:textId="77777777" w:rsidR="00345EE3" w:rsidRDefault="00345EE3" w:rsidP="00D73130">
            <w:pPr>
              <w:pStyle w:val="TableParagraph"/>
              <w:spacing w:before="4" w:line="242" w:lineRule="auto"/>
              <w:ind w:left="303" w:right="1" w:firstLine="521"/>
              <w:rPr>
                <w:b/>
                <w:sz w:val="24"/>
              </w:rPr>
            </w:pPr>
            <w:r>
              <w:rPr>
                <w:b/>
                <w:color w:val="FFFFFF"/>
                <w:spacing w:val="-6"/>
                <w:sz w:val="24"/>
              </w:rPr>
              <w:t xml:space="preserve">and </w:t>
            </w:r>
            <w:r>
              <w:rPr>
                <w:b/>
                <w:color w:val="FFFFFF"/>
                <w:spacing w:val="-4"/>
                <w:sz w:val="24"/>
              </w:rPr>
              <w:t xml:space="preserve">Heritage </w:t>
            </w:r>
            <w:r>
              <w:rPr>
                <w:b/>
                <w:color w:val="FFFFFF"/>
                <w:spacing w:val="-2"/>
                <w:sz w:val="24"/>
              </w:rPr>
              <w:t>Assets</w:t>
            </w:r>
          </w:p>
        </w:tc>
        <w:tc>
          <w:tcPr>
            <w:tcW w:w="1246" w:type="dxa"/>
            <w:tcBorders>
              <w:top w:val="nil"/>
              <w:left w:val="nil"/>
              <w:bottom w:val="nil"/>
              <w:right w:val="nil"/>
            </w:tcBorders>
            <w:shd w:val="clear" w:color="auto" w:fill="00529F"/>
          </w:tcPr>
          <w:p w14:paraId="304E28EC" w14:textId="77777777" w:rsidR="00345EE3" w:rsidRDefault="00345EE3" w:rsidP="00D73130">
            <w:pPr>
              <w:pStyle w:val="TableParagraph"/>
              <w:spacing w:before="59"/>
              <w:ind w:right="-15"/>
              <w:rPr>
                <w:b/>
                <w:sz w:val="24"/>
              </w:rPr>
            </w:pPr>
            <w:r>
              <w:rPr>
                <w:b/>
                <w:color w:val="FFFFFF"/>
                <w:spacing w:val="-2"/>
                <w:sz w:val="24"/>
              </w:rPr>
              <w:t>Total</w:t>
            </w:r>
          </w:p>
        </w:tc>
      </w:tr>
      <w:tr w:rsidR="00345EE3" w14:paraId="17D88976" w14:textId="77777777" w:rsidTr="00D73130">
        <w:trPr>
          <w:trHeight w:val="396"/>
        </w:trPr>
        <w:tc>
          <w:tcPr>
            <w:tcW w:w="5272" w:type="dxa"/>
            <w:tcBorders>
              <w:top w:val="nil"/>
              <w:left w:val="nil"/>
            </w:tcBorders>
          </w:tcPr>
          <w:p w14:paraId="1A159A57" w14:textId="77777777" w:rsidR="00345EE3" w:rsidRDefault="00345EE3" w:rsidP="00D73130">
            <w:pPr>
              <w:pStyle w:val="TableParagraph"/>
              <w:spacing w:before="61"/>
              <w:ind w:left="-3"/>
              <w:jc w:val="left"/>
              <w:rPr>
                <w:b/>
                <w:sz w:val="24"/>
              </w:rPr>
            </w:pPr>
            <w:r>
              <w:rPr>
                <w:b/>
                <w:color w:val="231F20"/>
                <w:spacing w:val="-4"/>
                <w:sz w:val="24"/>
              </w:rPr>
              <w:t>2022</w:t>
            </w:r>
          </w:p>
        </w:tc>
        <w:tc>
          <w:tcPr>
            <w:tcW w:w="1133" w:type="dxa"/>
            <w:tcBorders>
              <w:top w:val="nil"/>
            </w:tcBorders>
            <w:shd w:val="clear" w:color="auto" w:fill="E6E7E8"/>
          </w:tcPr>
          <w:p w14:paraId="49CEB3E0" w14:textId="77777777" w:rsidR="00345EE3" w:rsidRDefault="00345EE3" w:rsidP="00D73130">
            <w:pPr>
              <w:pStyle w:val="TableParagraph"/>
              <w:spacing w:before="0"/>
              <w:jc w:val="left"/>
              <w:rPr>
                <w:rFonts w:ascii="Times New Roman"/>
              </w:rPr>
            </w:pPr>
          </w:p>
        </w:tc>
        <w:tc>
          <w:tcPr>
            <w:tcW w:w="1303" w:type="dxa"/>
            <w:tcBorders>
              <w:top w:val="nil"/>
            </w:tcBorders>
            <w:shd w:val="clear" w:color="auto" w:fill="E6E7E8"/>
          </w:tcPr>
          <w:p w14:paraId="19D78207" w14:textId="77777777" w:rsidR="00345EE3" w:rsidRDefault="00345EE3" w:rsidP="00D73130">
            <w:pPr>
              <w:pStyle w:val="TableParagraph"/>
              <w:spacing w:before="0"/>
              <w:jc w:val="left"/>
              <w:rPr>
                <w:rFonts w:ascii="Times New Roman"/>
              </w:rPr>
            </w:pPr>
          </w:p>
        </w:tc>
        <w:tc>
          <w:tcPr>
            <w:tcW w:w="1246" w:type="dxa"/>
            <w:tcBorders>
              <w:top w:val="nil"/>
            </w:tcBorders>
            <w:shd w:val="clear" w:color="auto" w:fill="E6E7E8"/>
          </w:tcPr>
          <w:p w14:paraId="7BA3FE5C" w14:textId="77777777" w:rsidR="00345EE3" w:rsidRDefault="00345EE3" w:rsidP="00D73130">
            <w:pPr>
              <w:pStyle w:val="TableParagraph"/>
              <w:spacing w:before="0"/>
              <w:jc w:val="left"/>
              <w:rPr>
                <w:rFonts w:ascii="Times New Roman"/>
              </w:rPr>
            </w:pPr>
          </w:p>
        </w:tc>
        <w:tc>
          <w:tcPr>
            <w:tcW w:w="1246" w:type="dxa"/>
            <w:tcBorders>
              <w:top w:val="nil"/>
              <w:right w:val="nil"/>
            </w:tcBorders>
            <w:shd w:val="clear" w:color="auto" w:fill="E6E7E8"/>
          </w:tcPr>
          <w:p w14:paraId="5D621BFC" w14:textId="77777777" w:rsidR="00345EE3" w:rsidRDefault="00345EE3" w:rsidP="00D73130">
            <w:pPr>
              <w:pStyle w:val="TableParagraph"/>
              <w:spacing w:before="0"/>
              <w:jc w:val="left"/>
              <w:rPr>
                <w:rFonts w:ascii="Times New Roman"/>
              </w:rPr>
            </w:pPr>
          </w:p>
        </w:tc>
      </w:tr>
      <w:tr w:rsidR="00345EE3" w14:paraId="16E849D9" w14:textId="77777777" w:rsidTr="00D73130">
        <w:trPr>
          <w:trHeight w:val="396"/>
        </w:trPr>
        <w:tc>
          <w:tcPr>
            <w:tcW w:w="5272" w:type="dxa"/>
            <w:tcBorders>
              <w:left w:val="nil"/>
            </w:tcBorders>
          </w:tcPr>
          <w:p w14:paraId="691E3175" w14:textId="77777777" w:rsidR="00345EE3" w:rsidRDefault="00345EE3" w:rsidP="00D73130">
            <w:pPr>
              <w:pStyle w:val="TableParagraph"/>
              <w:spacing w:before="61"/>
              <w:ind w:left="-3"/>
              <w:jc w:val="left"/>
              <w:rPr>
                <w:b/>
                <w:sz w:val="24"/>
              </w:rPr>
            </w:pPr>
            <w:r>
              <w:rPr>
                <w:b/>
                <w:color w:val="231F20"/>
                <w:sz w:val="24"/>
              </w:rPr>
              <w:t>Revaluation</w:t>
            </w:r>
            <w:r>
              <w:rPr>
                <w:b/>
                <w:color w:val="231F20"/>
                <w:spacing w:val="-11"/>
                <w:sz w:val="24"/>
              </w:rPr>
              <w:t xml:space="preserve"> </w:t>
            </w:r>
            <w:r>
              <w:rPr>
                <w:b/>
                <w:color w:val="231F20"/>
                <w:spacing w:val="-2"/>
                <w:sz w:val="24"/>
              </w:rPr>
              <w:t>Surplus</w:t>
            </w:r>
          </w:p>
        </w:tc>
        <w:tc>
          <w:tcPr>
            <w:tcW w:w="1133" w:type="dxa"/>
            <w:shd w:val="clear" w:color="auto" w:fill="E6E7E8"/>
          </w:tcPr>
          <w:p w14:paraId="465C3B2E" w14:textId="77777777" w:rsidR="00345EE3" w:rsidRDefault="00345EE3" w:rsidP="00D73130">
            <w:pPr>
              <w:pStyle w:val="TableParagraph"/>
              <w:spacing w:before="0"/>
              <w:jc w:val="left"/>
              <w:rPr>
                <w:rFonts w:ascii="Times New Roman"/>
              </w:rPr>
            </w:pPr>
          </w:p>
        </w:tc>
        <w:tc>
          <w:tcPr>
            <w:tcW w:w="1303" w:type="dxa"/>
            <w:shd w:val="clear" w:color="auto" w:fill="E6E7E8"/>
          </w:tcPr>
          <w:p w14:paraId="5B574035" w14:textId="77777777" w:rsidR="00345EE3" w:rsidRDefault="00345EE3" w:rsidP="00D73130">
            <w:pPr>
              <w:pStyle w:val="TableParagraph"/>
              <w:spacing w:before="0"/>
              <w:jc w:val="left"/>
              <w:rPr>
                <w:rFonts w:ascii="Times New Roman"/>
              </w:rPr>
            </w:pPr>
          </w:p>
        </w:tc>
        <w:tc>
          <w:tcPr>
            <w:tcW w:w="1246" w:type="dxa"/>
            <w:shd w:val="clear" w:color="auto" w:fill="E6E7E8"/>
          </w:tcPr>
          <w:p w14:paraId="3D470BB1" w14:textId="77777777" w:rsidR="00345EE3" w:rsidRDefault="00345EE3" w:rsidP="00D73130">
            <w:pPr>
              <w:pStyle w:val="TableParagraph"/>
              <w:spacing w:before="0"/>
              <w:jc w:val="left"/>
              <w:rPr>
                <w:rFonts w:ascii="Times New Roman"/>
              </w:rPr>
            </w:pPr>
          </w:p>
        </w:tc>
        <w:tc>
          <w:tcPr>
            <w:tcW w:w="1246" w:type="dxa"/>
            <w:tcBorders>
              <w:right w:val="nil"/>
            </w:tcBorders>
            <w:shd w:val="clear" w:color="auto" w:fill="E6E7E8"/>
          </w:tcPr>
          <w:p w14:paraId="6998685B" w14:textId="77777777" w:rsidR="00345EE3" w:rsidRDefault="00345EE3" w:rsidP="00D73130">
            <w:pPr>
              <w:pStyle w:val="TableParagraph"/>
              <w:spacing w:before="0"/>
              <w:jc w:val="left"/>
              <w:rPr>
                <w:rFonts w:ascii="Times New Roman"/>
              </w:rPr>
            </w:pPr>
          </w:p>
        </w:tc>
      </w:tr>
      <w:tr w:rsidR="00345EE3" w14:paraId="6F542CE6" w14:textId="77777777" w:rsidTr="00D73130">
        <w:trPr>
          <w:trHeight w:val="396"/>
        </w:trPr>
        <w:tc>
          <w:tcPr>
            <w:tcW w:w="5272" w:type="dxa"/>
            <w:tcBorders>
              <w:left w:val="nil"/>
            </w:tcBorders>
          </w:tcPr>
          <w:p w14:paraId="6865B4B0" w14:textId="77777777" w:rsidR="00345EE3" w:rsidRDefault="00345EE3" w:rsidP="00D73130">
            <w:pPr>
              <w:pStyle w:val="TableParagraph"/>
              <w:spacing w:before="61"/>
              <w:ind w:right="1108"/>
              <w:rPr>
                <w:sz w:val="24"/>
              </w:rPr>
            </w:pPr>
            <w:r>
              <w:rPr>
                <w:color w:val="231F20"/>
                <w:sz w:val="24"/>
              </w:rPr>
              <w:t>Balance</w:t>
            </w:r>
            <w:r>
              <w:rPr>
                <w:color w:val="231F20"/>
                <w:spacing w:val="-3"/>
                <w:sz w:val="24"/>
              </w:rPr>
              <w:t xml:space="preserve"> </w:t>
            </w:r>
            <w:r>
              <w:rPr>
                <w:color w:val="231F20"/>
                <w:sz w:val="24"/>
              </w:rPr>
              <w:t>at</w:t>
            </w:r>
            <w:r>
              <w:rPr>
                <w:color w:val="231F20"/>
                <w:spacing w:val="-2"/>
                <w:sz w:val="24"/>
              </w:rPr>
              <w:t xml:space="preserve"> </w:t>
            </w:r>
            <w:r>
              <w:rPr>
                <w:color w:val="231F20"/>
                <w:sz w:val="24"/>
              </w:rPr>
              <w:t>beginning</w:t>
            </w:r>
            <w:r>
              <w:rPr>
                <w:color w:val="231F20"/>
                <w:spacing w:val="-3"/>
                <w:sz w:val="24"/>
              </w:rPr>
              <w:t xml:space="preserve"> </w:t>
            </w:r>
            <w:r>
              <w:rPr>
                <w:color w:val="231F20"/>
                <w:sz w:val="24"/>
              </w:rPr>
              <w:t>of</w:t>
            </w:r>
            <w:r>
              <w:rPr>
                <w:color w:val="231F20"/>
                <w:spacing w:val="-3"/>
                <w:sz w:val="24"/>
              </w:rPr>
              <w:t xml:space="preserve"> </w:t>
            </w:r>
            <w:r>
              <w:rPr>
                <w:color w:val="231F20"/>
                <w:sz w:val="24"/>
              </w:rPr>
              <w:t>financial</w:t>
            </w:r>
            <w:r>
              <w:rPr>
                <w:color w:val="231F20"/>
                <w:spacing w:val="-2"/>
                <w:sz w:val="24"/>
              </w:rPr>
              <w:t xml:space="preserve"> </w:t>
            </w:r>
            <w:r>
              <w:rPr>
                <w:color w:val="231F20"/>
                <w:spacing w:val="-4"/>
                <w:sz w:val="24"/>
              </w:rPr>
              <w:t>year</w:t>
            </w:r>
          </w:p>
        </w:tc>
        <w:tc>
          <w:tcPr>
            <w:tcW w:w="1133" w:type="dxa"/>
            <w:shd w:val="clear" w:color="auto" w:fill="E6E7E8"/>
          </w:tcPr>
          <w:p w14:paraId="20D1C03F" w14:textId="77777777" w:rsidR="00345EE3" w:rsidRDefault="00345EE3" w:rsidP="00D73130">
            <w:pPr>
              <w:pStyle w:val="TableParagraph"/>
              <w:spacing w:before="61"/>
              <w:ind w:right="1"/>
              <w:rPr>
                <w:sz w:val="24"/>
              </w:rPr>
            </w:pPr>
            <w:r>
              <w:rPr>
                <w:color w:val="231F20"/>
                <w:spacing w:val="-2"/>
                <w:sz w:val="24"/>
              </w:rPr>
              <w:t>529,001</w:t>
            </w:r>
          </w:p>
        </w:tc>
        <w:tc>
          <w:tcPr>
            <w:tcW w:w="1303" w:type="dxa"/>
            <w:shd w:val="clear" w:color="auto" w:fill="E6E7E8"/>
          </w:tcPr>
          <w:p w14:paraId="29C8F17A" w14:textId="77777777" w:rsidR="00345EE3" w:rsidRDefault="00345EE3" w:rsidP="00D73130">
            <w:pPr>
              <w:pStyle w:val="TableParagraph"/>
              <w:spacing w:before="61"/>
              <w:rPr>
                <w:sz w:val="24"/>
              </w:rPr>
            </w:pPr>
            <w:r>
              <w:rPr>
                <w:color w:val="231F20"/>
                <w:spacing w:val="-2"/>
                <w:sz w:val="24"/>
              </w:rPr>
              <w:t>344,301</w:t>
            </w:r>
          </w:p>
        </w:tc>
        <w:tc>
          <w:tcPr>
            <w:tcW w:w="1246" w:type="dxa"/>
            <w:shd w:val="clear" w:color="auto" w:fill="E6E7E8"/>
          </w:tcPr>
          <w:p w14:paraId="1CE49ED4" w14:textId="77777777" w:rsidR="00345EE3" w:rsidRDefault="00345EE3" w:rsidP="00D73130">
            <w:pPr>
              <w:pStyle w:val="TableParagraph"/>
              <w:spacing w:before="61"/>
              <w:ind w:right="-15"/>
              <w:rPr>
                <w:sz w:val="24"/>
              </w:rPr>
            </w:pPr>
            <w:r>
              <w:rPr>
                <w:color w:val="231F20"/>
                <w:spacing w:val="-2"/>
                <w:sz w:val="24"/>
              </w:rPr>
              <w:t>4,890</w:t>
            </w:r>
          </w:p>
        </w:tc>
        <w:tc>
          <w:tcPr>
            <w:tcW w:w="1246" w:type="dxa"/>
            <w:tcBorders>
              <w:right w:val="nil"/>
            </w:tcBorders>
            <w:shd w:val="clear" w:color="auto" w:fill="E6E7E8"/>
          </w:tcPr>
          <w:p w14:paraId="09ADE5C3" w14:textId="77777777" w:rsidR="00345EE3" w:rsidRDefault="00345EE3" w:rsidP="00D73130">
            <w:pPr>
              <w:pStyle w:val="TableParagraph"/>
              <w:spacing w:before="61"/>
              <w:ind w:right="-15"/>
              <w:rPr>
                <w:sz w:val="24"/>
              </w:rPr>
            </w:pPr>
            <w:r>
              <w:rPr>
                <w:color w:val="231F20"/>
                <w:spacing w:val="-2"/>
                <w:sz w:val="24"/>
              </w:rPr>
              <w:t>878,192</w:t>
            </w:r>
          </w:p>
        </w:tc>
      </w:tr>
      <w:tr w:rsidR="00345EE3" w14:paraId="380E8406" w14:textId="77777777" w:rsidTr="00D73130">
        <w:trPr>
          <w:trHeight w:val="396"/>
        </w:trPr>
        <w:tc>
          <w:tcPr>
            <w:tcW w:w="5272" w:type="dxa"/>
            <w:tcBorders>
              <w:left w:val="nil"/>
            </w:tcBorders>
          </w:tcPr>
          <w:p w14:paraId="0B4B6334" w14:textId="77777777" w:rsidR="00345EE3" w:rsidRDefault="00345EE3" w:rsidP="00D73130">
            <w:pPr>
              <w:pStyle w:val="TableParagraph"/>
              <w:spacing w:before="61"/>
              <w:ind w:left="167"/>
              <w:jc w:val="left"/>
              <w:rPr>
                <w:sz w:val="24"/>
              </w:rPr>
            </w:pPr>
            <w:r>
              <w:rPr>
                <w:color w:val="231F20"/>
                <w:spacing w:val="-2"/>
                <w:sz w:val="24"/>
              </w:rPr>
              <w:t>Revaluation:</w:t>
            </w:r>
          </w:p>
        </w:tc>
        <w:tc>
          <w:tcPr>
            <w:tcW w:w="1133" w:type="dxa"/>
            <w:shd w:val="clear" w:color="auto" w:fill="E6E7E8"/>
          </w:tcPr>
          <w:p w14:paraId="662967E1" w14:textId="77777777" w:rsidR="00345EE3" w:rsidRDefault="00345EE3" w:rsidP="00D73130">
            <w:pPr>
              <w:pStyle w:val="TableParagraph"/>
              <w:spacing w:before="0"/>
              <w:jc w:val="left"/>
              <w:rPr>
                <w:rFonts w:ascii="Times New Roman"/>
              </w:rPr>
            </w:pPr>
          </w:p>
        </w:tc>
        <w:tc>
          <w:tcPr>
            <w:tcW w:w="1303" w:type="dxa"/>
            <w:shd w:val="clear" w:color="auto" w:fill="E6E7E8"/>
          </w:tcPr>
          <w:p w14:paraId="5D830019" w14:textId="77777777" w:rsidR="00345EE3" w:rsidRDefault="00345EE3" w:rsidP="00D73130">
            <w:pPr>
              <w:pStyle w:val="TableParagraph"/>
              <w:spacing w:before="0"/>
              <w:jc w:val="left"/>
              <w:rPr>
                <w:rFonts w:ascii="Times New Roman"/>
              </w:rPr>
            </w:pPr>
          </w:p>
        </w:tc>
        <w:tc>
          <w:tcPr>
            <w:tcW w:w="1246" w:type="dxa"/>
            <w:shd w:val="clear" w:color="auto" w:fill="E6E7E8"/>
          </w:tcPr>
          <w:p w14:paraId="05A7A55D" w14:textId="77777777" w:rsidR="00345EE3" w:rsidRDefault="00345EE3" w:rsidP="00D73130">
            <w:pPr>
              <w:pStyle w:val="TableParagraph"/>
              <w:spacing w:before="0"/>
              <w:jc w:val="left"/>
              <w:rPr>
                <w:rFonts w:ascii="Times New Roman"/>
              </w:rPr>
            </w:pPr>
          </w:p>
        </w:tc>
        <w:tc>
          <w:tcPr>
            <w:tcW w:w="1246" w:type="dxa"/>
            <w:tcBorders>
              <w:right w:val="nil"/>
            </w:tcBorders>
            <w:shd w:val="clear" w:color="auto" w:fill="E6E7E8"/>
          </w:tcPr>
          <w:p w14:paraId="0B7F91F1" w14:textId="77777777" w:rsidR="00345EE3" w:rsidRDefault="00345EE3" w:rsidP="00D73130">
            <w:pPr>
              <w:pStyle w:val="TableParagraph"/>
              <w:spacing w:before="0"/>
              <w:jc w:val="left"/>
              <w:rPr>
                <w:rFonts w:ascii="Times New Roman"/>
              </w:rPr>
            </w:pPr>
          </w:p>
        </w:tc>
      </w:tr>
      <w:tr w:rsidR="00345EE3" w14:paraId="6FC4F327" w14:textId="77777777" w:rsidTr="00D73130">
        <w:trPr>
          <w:trHeight w:val="393"/>
        </w:trPr>
        <w:tc>
          <w:tcPr>
            <w:tcW w:w="5272" w:type="dxa"/>
            <w:tcBorders>
              <w:left w:val="nil"/>
              <w:bottom w:val="single" w:sz="4" w:space="0" w:color="231F20"/>
            </w:tcBorders>
          </w:tcPr>
          <w:p w14:paraId="1FEB99DF" w14:textId="77777777" w:rsidR="00345EE3" w:rsidRDefault="00345EE3" w:rsidP="00D73130">
            <w:pPr>
              <w:pStyle w:val="TableParagraph"/>
              <w:spacing w:before="61"/>
              <w:ind w:left="167"/>
              <w:jc w:val="left"/>
              <w:rPr>
                <w:sz w:val="24"/>
              </w:rPr>
            </w:pPr>
            <w:r>
              <w:rPr>
                <w:color w:val="231F20"/>
                <w:sz w:val="24"/>
              </w:rPr>
              <w:t xml:space="preserve">- </w:t>
            </w:r>
            <w:r>
              <w:rPr>
                <w:color w:val="231F20"/>
                <w:spacing w:val="-2"/>
                <w:sz w:val="24"/>
              </w:rPr>
              <w:t>decrements</w:t>
            </w:r>
          </w:p>
        </w:tc>
        <w:tc>
          <w:tcPr>
            <w:tcW w:w="1133" w:type="dxa"/>
            <w:tcBorders>
              <w:bottom w:val="single" w:sz="4" w:space="0" w:color="231F20"/>
            </w:tcBorders>
            <w:shd w:val="clear" w:color="auto" w:fill="E6E7E8"/>
          </w:tcPr>
          <w:p w14:paraId="2C7AC2A0" w14:textId="77777777" w:rsidR="00345EE3" w:rsidRDefault="00345EE3" w:rsidP="00D73130">
            <w:pPr>
              <w:pStyle w:val="TableParagraph"/>
              <w:spacing w:before="61"/>
              <w:ind w:right="-15"/>
              <w:rPr>
                <w:sz w:val="24"/>
              </w:rPr>
            </w:pPr>
            <w:r>
              <w:rPr>
                <w:color w:val="231F20"/>
                <w:sz w:val="24"/>
              </w:rPr>
              <w:t>-</w:t>
            </w:r>
          </w:p>
        </w:tc>
        <w:tc>
          <w:tcPr>
            <w:tcW w:w="1303" w:type="dxa"/>
            <w:tcBorders>
              <w:bottom w:val="single" w:sz="4" w:space="0" w:color="231F20"/>
            </w:tcBorders>
            <w:shd w:val="clear" w:color="auto" w:fill="E6E7E8"/>
          </w:tcPr>
          <w:p w14:paraId="7C8939F4" w14:textId="77777777" w:rsidR="00345EE3" w:rsidRDefault="00345EE3" w:rsidP="00D73130">
            <w:pPr>
              <w:pStyle w:val="TableParagraph"/>
              <w:spacing w:before="61"/>
              <w:ind w:right="-15"/>
              <w:rPr>
                <w:sz w:val="24"/>
              </w:rPr>
            </w:pPr>
            <w:r>
              <w:rPr>
                <w:color w:val="231F20"/>
                <w:spacing w:val="-2"/>
                <w:sz w:val="24"/>
              </w:rPr>
              <w:t>(3,395)</w:t>
            </w:r>
          </w:p>
        </w:tc>
        <w:tc>
          <w:tcPr>
            <w:tcW w:w="1246" w:type="dxa"/>
            <w:tcBorders>
              <w:bottom w:val="single" w:sz="4" w:space="0" w:color="231F20"/>
            </w:tcBorders>
            <w:shd w:val="clear" w:color="auto" w:fill="E6E7E8"/>
          </w:tcPr>
          <w:p w14:paraId="378150EF" w14:textId="77777777" w:rsidR="00345EE3" w:rsidRDefault="00345EE3" w:rsidP="00D73130">
            <w:pPr>
              <w:pStyle w:val="TableParagraph"/>
              <w:spacing w:before="61"/>
              <w:ind w:right="-15"/>
              <w:rPr>
                <w:sz w:val="24"/>
              </w:rPr>
            </w:pPr>
            <w:r>
              <w:rPr>
                <w:color w:val="231F20"/>
                <w:sz w:val="24"/>
              </w:rPr>
              <w:t>-</w:t>
            </w:r>
          </w:p>
        </w:tc>
        <w:tc>
          <w:tcPr>
            <w:tcW w:w="1246" w:type="dxa"/>
            <w:tcBorders>
              <w:bottom w:val="single" w:sz="4" w:space="0" w:color="231F20"/>
              <w:right w:val="nil"/>
            </w:tcBorders>
            <w:shd w:val="clear" w:color="auto" w:fill="E6E7E8"/>
          </w:tcPr>
          <w:p w14:paraId="770AAE12" w14:textId="77777777" w:rsidR="00345EE3" w:rsidRDefault="00345EE3" w:rsidP="00D73130">
            <w:pPr>
              <w:pStyle w:val="TableParagraph"/>
              <w:spacing w:before="61"/>
              <w:ind w:right="-15"/>
              <w:rPr>
                <w:sz w:val="24"/>
              </w:rPr>
            </w:pPr>
            <w:r>
              <w:rPr>
                <w:color w:val="231F20"/>
                <w:spacing w:val="-2"/>
                <w:sz w:val="24"/>
              </w:rPr>
              <w:t>(3,395)</w:t>
            </w:r>
          </w:p>
        </w:tc>
      </w:tr>
      <w:tr w:rsidR="00345EE3" w14:paraId="54DC25BA" w14:textId="77777777" w:rsidTr="00D73130">
        <w:trPr>
          <w:trHeight w:val="386"/>
        </w:trPr>
        <w:tc>
          <w:tcPr>
            <w:tcW w:w="5272" w:type="dxa"/>
            <w:tcBorders>
              <w:top w:val="single" w:sz="4" w:space="0" w:color="231F20"/>
              <w:left w:val="nil"/>
              <w:bottom w:val="single" w:sz="8" w:space="0" w:color="231F20"/>
            </w:tcBorders>
          </w:tcPr>
          <w:p w14:paraId="71B120DE" w14:textId="77777777" w:rsidR="00345EE3" w:rsidRDefault="00345EE3" w:rsidP="00D73130">
            <w:pPr>
              <w:pStyle w:val="TableParagraph"/>
              <w:spacing w:before="58"/>
              <w:ind w:left="-3"/>
              <w:jc w:val="left"/>
              <w:rPr>
                <w:b/>
                <w:sz w:val="24"/>
              </w:rPr>
            </w:pPr>
            <w:r>
              <w:rPr>
                <w:b/>
                <w:color w:val="231F20"/>
                <w:sz w:val="24"/>
              </w:rPr>
              <w:t>Balance</w:t>
            </w:r>
            <w:r>
              <w:rPr>
                <w:b/>
                <w:color w:val="231F20"/>
                <w:spacing w:val="-3"/>
                <w:sz w:val="24"/>
              </w:rPr>
              <w:t xml:space="preserve"> </w:t>
            </w:r>
            <w:r>
              <w:rPr>
                <w:b/>
                <w:color w:val="231F20"/>
                <w:sz w:val="24"/>
              </w:rPr>
              <w:t>at</w:t>
            </w:r>
            <w:r>
              <w:rPr>
                <w:b/>
                <w:color w:val="231F20"/>
                <w:spacing w:val="-2"/>
                <w:sz w:val="24"/>
              </w:rPr>
              <w:t xml:space="preserve"> </w:t>
            </w:r>
            <w:r>
              <w:rPr>
                <w:b/>
                <w:color w:val="231F20"/>
                <w:sz w:val="24"/>
              </w:rPr>
              <w:t>End</w:t>
            </w:r>
            <w:r>
              <w:rPr>
                <w:b/>
                <w:color w:val="231F20"/>
                <w:spacing w:val="-2"/>
                <w:sz w:val="24"/>
              </w:rPr>
              <w:t xml:space="preserve"> </w:t>
            </w:r>
            <w:r>
              <w:rPr>
                <w:b/>
                <w:color w:val="231F20"/>
                <w:sz w:val="24"/>
              </w:rPr>
              <w:t>of</w:t>
            </w:r>
            <w:r>
              <w:rPr>
                <w:b/>
                <w:color w:val="231F20"/>
                <w:spacing w:val="-1"/>
                <w:sz w:val="24"/>
              </w:rPr>
              <w:t xml:space="preserve"> </w:t>
            </w:r>
            <w:r>
              <w:rPr>
                <w:b/>
                <w:color w:val="231F20"/>
                <w:sz w:val="24"/>
              </w:rPr>
              <w:t>Financial</w:t>
            </w:r>
            <w:r>
              <w:rPr>
                <w:b/>
                <w:color w:val="231F20"/>
                <w:spacing w:val="-6"/>
                <w:sz w:val="24"/>
              </w:rPr>
              <w:t xml:space="preserve"> </w:t>
            </w:r>
            <w:r>
              <w:rPr>
                <w:b/>
                <w:color w:val="231F20"/>
                <w:spacing w:val="-4"/>
                <w:sz w:val="24"/>
              </w:rPr>
              <w:t>Year</w:t>
            </w:r>
          </w:p>
        </w:tc>
        <w:tc>
          <w:tcPr>
            <w:tcW w:w="1133" w:type="dxa"/>
            <w:tcBorders>
              <w:top w:val="single" w:sz="4" w:space="0" w:color="231F20"/>
              <w:bottom w:val="single" w:sz="8" w:space="0" w:color="231F20"/>
            </w:tcBorders>
            <w:shd w:val="clear" w:color="auto" w:fill="E6E7E8"/>
          </w:tcPr>
          <w:p w14:paraId="3346CEAC" w14:textId="77777777" w:rsidR="00345EE3" w:rsidRDefault="00345EE3" w:rsidP="00D73130">
            <w:pPr>
              <w:pStyle w:val="TableParagraph"/>
              <w:spacing w:before="58"/>
              <w:ind w:right="-15"/>
              <w:rPr>
                <w:b/>
                <w:sz w:val="24"/>
              </w:rPr>
            </w:pPr>
            <w:r>
              <w:rPr>
                <w:b/>
                <w:color w:val="231F20"/>
                <w:spacing w:val="-2"/>
                <w:sz w:val="24"/>
              </w:rPr>
              <w:t>529,001</w:t>
            </w:r>
          </w:p>
        </w:tc>
        <w:tc>
          <w:tcPr>
            <w:tcW w:w="1303" w:type="dxa"/>
            <w:tcBorders>
              <w:top w:val="single" w:sz="4" w:space="0" w:color="231F20"/>
              <w:bottom w:val="single" w:sz="8" w:space="0" w:color="231F20"/>
            </w:tcBorders>
            <w:shd w:val="clear" w:color="auto" w:fill="E6E7E8"/>
          </w:tcPr>
          <w:p w14:paraId="3E737739" w14:textId="77777777" w:rsidR="00345EE3" w:rsidRDefault="00345EE3" w:rsidP="00D73130">
            <w:pPr>
              <w:pStyle w:val="TableParagraph"/>
              <w:spacing w:before="58"/>
              <w:ind w:right="-15"/>
              <w:rPr>
                <w:b/>
                <w:sz w:val="24"/>
              </w:rPr>
            </w:pPr>
            <w:r>
              <w:rPr>
                <w:b/>
                <w:color w:val="231F20"/>
                <w:spacing w:val="-2"/>
                <w:sz w:val="24"/>
              </w:rPr>
              <w:t>340,906</w:t>
            </w:r>
          </w:p>
        </w:tc>
        <w:tc>
          <w:tcPr>
            <w:tcW w:w="1246" w:type="dxa"/>
            <w:tcBorders>
              <w:top w:val="single" w:sz="4" w:space="0" w:color="231F20"/>
              <w:bottom w:val="single" w:sz="8" w:space="0" w:color="231F20"/>
            </w:tcBorders>
            <w:shd w:val="clear" w:color="auto" w:fill="E6E7E8"/>
          </w:tcPr>
          <w:p w14:paraId="6EB19E45" w14:textId="77777777" w:rsidR="00345EE3" w:rsidRDefault="00345EE3" w:rsidP="00D73130">
            <w:pPr>
              <w:pStyle w:val="TableParagraph"/>
              <w:spacing w:before="58"/>
              <w:ind w:right="-15"/>
              <w:rPr>
                <w:b/>
                <w:sz w:val="24"/>
              </w:rPr>
            </w:pPr>
            <w:r>
              <w:rPr>
                <w:b/>
                <w:color w:val="231F20"/>
                <w:spacing w:val="-2"/>
                <w:sz w:val="24"/>
              </w:rPr>
              <w:t>4,890</w:t>
            </w:r>
          </w:p>
        </w:tc>
        <w:tc>
          <w:tcPr>
            <w:tcW w:w="1246" w:type="dxa"/>
            <w:tcBorders>
              <w:top w:val="single" w:sz="4" w:space="0" w:color="231F20"/>
              <w:bottom w:val="single" w:sz="8" w:space="0" w:color="231F20"/>
              <w:right w:val="nil"/>
            </w:tcBorders>
            <w:shd w:val="clear" w:color="auto" w:fill="E6E7E8"/>
          </w:tcPr>
          <w:p w14:paraId="2F11B1BB" w14:textId="77777777" w:rsidR="00345EE3" w:rsidRDefault="00345EE3" w:rsidP="00D73130">
            <w:pPr>
              <w:pStyle w:val="TableParagraph"/>
              <w:spacing w:before="58"/>
              <w:ind w:right="-15"/>
              <w:rPr>
                <w:b/>
                <w:sz w:val="24"/>
              </w:rPr>
            </w:pPr>
            <w:r>
              <w:rPr>
                <w:b/>
                <w:color w:val="231F20"/>
                <w:spacing w:val="-2"/>
                <w:sz w:val="24"/>
              </w:rPr>
              <w:t>874,797</w:t>
            </w:r>
          </w:p>
        </w:tc>
      </w:tr>
      <w:tr w:rsidR="00345EE3" w14:paraId="32F698EF" w14:textId="77777777" w:rsidTr="00D73130">
        <w:trPr>
          <w:trHeight w:val="388"/>
        </w:trPr>
        <w:tc>
          <w:tcPr>
            <w:tcW w:w="5272" w:type="dxa"/>
            <w:tcBorders>
              <w:top w:val="single" w:sz="8" w:space="0" w:color="231F20"/>
              <w:left w:val="nil"/>
            </w:tcBorders>
          </w:tcPr>
          <w:p w14:paraId="1CA045C3" w14:textId="77777777" w:rsidR="00345EE3" w:rsidRDefault="00345EE3" w:rsidP="00D73130">
            <w:pPr>
              <w:pStyle w:val="TableParagraph"/>
              <w:spacing w:before="53"/>
              <w:ind w:left="-3"/>
              <w:jc w:val="left"/>
              <w:rPr>
                <w:b/>
                <w:sz w:val="24"/>
              </w:rPr>
            </w:pPr>
            <w:r>
              <w:rPr>
                <w:b/>
                <w:color w:val="231F20"/>
                <w:spacing w:val="-4"/>
                <w:sz w:val="24"/>
              </w:rPr>
              <w:t>2021</w:t>
            </w:r>
          </w:p>
        </w:tc>
        <w:tc>
          <w:tcPr>
            <w:tcW w:w="1133" w:type="dxa"/>
            <w:tcBorders>
              <w:top w:val="single" w:sz="8" w:space="0" w:color="231F20"/>
            </w:tcBorders>
          </w:tcPr>
          <w:p w14:paraId="4BA1009D" w14:textId="77777777" w:rsidR="00345EE3" w:rsidRDefault="00345EE3" w:rsidP="00D73130">
            <w:pPr>
              <w:pStyle w:val="TableParagraph"/>
              <w:spacing w:before="0"/>
              <w:jc w:val="left"/>
              <w:rPr>
                <w:rFonts w:ascii="Times New Roman"/>
              </w:rPr>
            </w:pPr>
          </w:p>
        </w:tc>
        <w:tc>
          <w:tcPr>
            <w:tcW w:w="1303" w:type="dxa"/>
            <w:tcBorders>
              <w:top w:val="single" w:sz="8" w:space="0" w:color="231F20"/>
            </w:tcBorders>
          </w:tcPr>
          <w:p w14:paraId="7AA15867" w14:textId="77777777" w:rsidR="00345EE3" w:rsidRDefault="00345EE3" w:rsidP="00D73130">
            <w:pPr>
              <w:pStyle w:val="TableParagraph"/>
              <w:spacing w:before="0"/>
              <w:jc w:val="left"/>
              <w:rPr>
                <w:rFonts w:ascii="Times New Roman"/>
              </w:rPr>
            </w:pPr>
          </w:p>
        </w:tc>
        <w:tc>
          <w:tcPr>
            <w:tcW w:w="1246" w:type="dxa"/>
            <w:tcBorders>
              <w:top w:val="single" w:sz="8" w:space="0" w:color="231F20"/>
            </w:tcBorders>
          </w:tcPr>
          <w:p w14:paraId="1AC971AA" w14:textId="77777777" w:rsidR="00345EE3" w:rsidRDefault="00345EE3" w:rsidP="00D73130">
            <w:pPr>
              <w:pStyle w:val="TableParagraph"/>
              <w:spacing w:before="0"/>
              <w:jc w:val="left"/>
              <w:rPr>
                <w:rFonts w:ascii="Times New Roman"/>
              </w:rPr>
            </w:pPr>
          </w:p>
        </w:tc>
        <w:tc>
          <w:tcPr>
            <w:tcW w:w="1246" w:type="dxa"/>
            <w:tcBorders>
              <w:top w:val="single" w:sz="8" w:space="0" w:color="231F20"/>
              <w:right w:val="nil"/>
            </w:tcBorders>
          </w:tcPr>
          <w:p w14:paraId="3D1A3F2E" w14:textId="77777777" w:rsidR="00345EE3" w:rsidRDefault="00345EE3" w:rsidP="00D73130">
            <w:pPr>
              <w:pStyle w:val="TableParagraph"/>
              <w:spacing w:before="0"/>
              <w:jc w:val="left"/>
              <w:rPr>
                <w:rFonts w:ascii="Times New Roman"/>
              </w:rPr>
            </w:pPr>
          </w:p>
        </w:tc>
      </w:tr>
      <w:tr w:rsidR="00345EE3" w14:paraId="091A0D42" w14:textId="77777777" w:rsidTr="00D73130">
        <w:trPr>
          <w:trHeight w:val="396"/>
        </w:trPr>
        <w:tc>
          <w:tcPr>
            <w:tcW w:w="5272" w:type="dxa"/>
            <w:tcBorders>
              <w:left w:val="nil"/>
            </w:tcBorders>
          </w:tcPr>
          <w:p w14:paraId="3955DEC5" w14:textId="77777777" w:rsidR="00345EE3" w:rsidRDefault="00345EE3" w:rsidP="00D73130">
            <w:pPr>
              <w:pStyle w:val="TableParagraph"/>
              <w:spacing w:before="61"/>
              <w:ind w:left="-3"/>
              <w:jc w:val="left"/>
              <w:rPr>
                <w:b/>
                <w:sz w:val="24"/>
              </w:rPr>
            </w:pPr>
            <w:r>
              <w:rPr>
                <w:b/>
                <w:color w:val="231F20"/>
                <w:sz w:val="24"/>
              </w:rPr>
              <w:t>Revaluation</w:t>
            </w:r>
            <w:r>
              <w:rPr>
                <w:b/>
                <w:color w:val="231F20"/>
                <w:spacing w:val="-11"/>
                <w:sz w:val="24"/>
              </w:rPr>
              <w:t xml:space="preserve"> </w:t>
            </w:r>
            <w:r>
              <w:rPr>
                <w:b/>
                <w:color w:val="231F20"/>
                <w:spacing w:val="-2"/>
                <w:sz w:val="24"/>
              </w:rPr>
              <w:t>Surplus</w:t>
            </w:r>
          </w:p>
        </w:tc>
        <w:tc>
          <w:tcPr>
            <w:tcW w:w="1133" w:type="dxa"/>
          </w:tcPr>
          <w:p w14:paraId="2E4FEC28" w14:textId="77777777" w:rsidR="00345EE3" w:rsidRDefault="00345EE3" w:rsidP="00D73130">
            <w:pPr>
              <w:pStyle w:val="TableParagraph"/>
              <w:spacing w:before="0"/>
              <w:jc w:val="left"/>
              <w:rPr>
                <w:rFonts w:ascii="Times New Roman"/>
              </w:rPr>
            </w:pPr>
          </w:p>
        </w:tc>
        <w:tc>
          <w:tcPr>
            <w:tcW w:w="1303" w:type="dxa"/>
          </w:tcPr>
          <w:p w14:paraId="4B238409" w14:textId="77777777" w:rsidR="00345EE3" w:rsidRDefault="00345EE3" w:rsidP="00D73130">
            <w:pPr>
              <w:pStyle w:val="TableParagraph"/>
              <w:spacing w:before="0"/>
              <w:jc w:val="left"/>
              <w:rPr>
                <w:rFonts w:ascii="Times New Roman"/>
              </w:rPr>
            </w:pPr>
          </w:p>
        </w:tc>
        <w:tc>
          <w:tcPr>
            <w:tcW w:w="1246" w:type="dxa"/>
          </w:tcPr>
          <w:p w14:paraId="2C8D2E61" w14:textId="77777777" w:rsidR="00345EE3" w:rsidRDefault="00345EE3" w:rsidP="00D73130">
            <w:pPr>
              <w:pStyle w:val="TableParagraph"/>
              <w:spacing w:before="0"/>
              <w:jc w:val="left"/>
              <w:rPr>
                <w:rFonts w:ascii="Times New Roman"/>
              </w:rPr>
            </w:pPr>
          </w:p>
        </w:tc>
        <w:tc>
          <w:tcPr>
            <w:tcW w:w="1246" w:type="dxa"/>
            <w:tcBorders>
              <w:right w:val="nil"/>
            </w:tcBorders>
          </w:tcPr>
          <w:p w14:paraId="3F39024D" w14:textId="77777777" w:rsidR="00345EE3" w:rsidRDefault="00345EE3" w:rsidP="00D73130">
            <w:pPr>
              <w:pStyle w:val="TableParagraph"/>
              <w:spacing w:before="0"/>
              <w:jc w:val="left"/>
              <w:rPr>
                <w:rFonts w:ascii="Times New Roman"/>
              </w:rPr>
            </w:pPr>
          </w:p>
        </w:tc>
      </w:tr>
      <w:tr w:rsidR="00345EE3" w14:paraId="43BF0F80" w14:textId="77777777" w:rsidTr="00D73130">
        <w:trPr>
          <w:trHeight w:val="396"/>
        </w:trPr>
        <w:tc>
          <w:tcPr>
            <w:tcW w:w="5272" w:type="dxa"/>
            <w:tcBorders>
              <w:left w:val="nil"/>
            </w:tcBorders>
          </w:tcPr>
          <w:p w14:paraId="477B42D1" w14:textId="77777777" w:rsidR="00345EE3" w:rsidRDefault="00345EE3" w:rsidP="00D73130">
            <w:pPr>
              <w:pStyle w:val="TableParagraph"/>
              <w:spacing w:before="61"/>
              <w:ind w:right="1108"/>
              <w:rPr>
                <w:sz w:val="24"/>
              </w:rPr>
            </w:pPr>
            <w:r>
              <w:rPr>
                <w:color w:val="231F20"/>
                <w:sz w:val="24"/>
              </w:rPr>
              <w:t>Balance</w:t>
            </w:r>
            <w:r>
              <w:rPr>
                <w:color w:val="231F20"/>
                <w:spacing w:val="-3"/>
                <w:sz w:val="24"/>
              </w:rPr>
              <w:t xml:space="preserve"> </w:t>
            </w:r>
            <w:r>
              <w:rPr>
                <w:color w:val="231F20"/>
                <w:sz w:val="24"/>
              </w:rPr>
              <w:t>at</w:t>
            </w:r>
            <w:r>
              <w:rPr>
                <w:color w:val="231F20"/>
                <w:spacing w:val="-2"/>
                <w:sz w:val="24"/>
              </w:rPr>
              <w:t xml:space="preserve"> </w:t>
            </w:r>
            <w:r>
              <w:rPr>
                <w:color w:val="231F20"/>
                <w:sz w:val="24"/>
              </w:rPr>
              <w:t>beginning</w:t>
            </w:r>
            <w:r>
              <w:rPr>
                <w:color w:val="231F20"/>
                <w:spacing w:val="-3"/>
                <w:sz w:val="24"/>
              </w:rPr>
              <w:t xml:space="preserve"> </w:t>
            </w:r>
            <w:r>
              <w:rPr>
                <w:color w:val="231F20"/>
                <w:sz w:val="24"/>
              </w:rPr>
              <w:t>of</w:t>
            </w:r>
            <w:r>
              <w:rPr>
                <w:color w:val="231F20"/>
                <w:spacing w:val="-3"/>
                <w:sz w:val="24"/>
              </w:rPr>
              <w:t xml:space="preserve"> </w:t>
            </w:r>
            <w:r>
              <w:rPr>
                <w:color w:val="231F20"/>
                <w:sz w:val="24"/>
              </w:rPr>
              <w:t>financial</w:t>
            </w:r>
            <w:r>
              <w:rPr>
                <w:color w:val="231F20"/>
                <w:spacing w:val="-2"/>
                <w:sz w:val="24"/>
              </w:rPr>
              <w:t xml:space="preserve"> </w:t>
            </w:r>
            <w:r>
              <w:rPr>
                <w:color w:val="231F20"/>
                <w:spacing w:val="-4"/>
                <w:sz w:val="24"/>
              </w:rPr>
              <w:t>year</w:t>
            </w:r>
          </w:p>
        </w:tc>
        <w:tc>
          <w:tcPr>
            <w:tcW w:w="1133" w:type="dxa"/>
          </w:tcPr>
          <w:p w14:paraId="5EBF1B59" w14:textId="77777777" w:rsidR="00345EE3" w:rsidRDefault="00345EE3" w:rsidP="00D73130">
            <w:pPr>
              <w:pStyle w:val="TableParagraph"/>
              <w:spacing w:before="61"/>
              <w:ind w:right="1"/>
              <w:rPr>
                <w:sz w:val="24"/>
              </w:rPr>
            </w:pPr>
            <w:r>
              <w:rPr>
                <w:color w:val="231F20"/>
                <w:spacing w:val="-2"/>
                <w:sz w:val="24"/>
              </w:rPr>
              <w:t>404,923</w:t>
            </w:r>
          </w:p>
        </w:tc>
        <w:tc>
          <w:tcPr>
            <w:tcW w:w="1303" w:type="dxa"/>
          </w:tcPr>
          <w:p w14:paraId="648913D9" w14:textId="77777777" w:rsidR="00345EE3" w:rsidRDefault="00345EE3" w:rsidP="00D73130">
            <w:pPr>
              <w:pStyle w:val="TableParagraph"/>
              <w:spacing w:before="61"/>
              <w:rPr>
                <w:sz w:val="24"/>
              </w:rPr>
            </w:pPr>
            <w:r>
              <w:rPr>
                <w:color w:val="231F20"/>
                <w:spacing w:val="-2"/>
                <w:sz w:val="24"/>
              </w:rPr>
              <w:t>457,420</w:t>
            </w:r>
          </w:p>
        </w:tc>
        <w:tc>
          <w:tcPr>
            <w:tcW w:w="1246" w:type="dxa"/>
          </w:tcPr>
          <w:p w14:paraId="79CB68F6" w14:textId="77777777" w:rsidR="00345EE3" w:rsidRDefault="00345EE3" w:rsidP="00D73130">
            <w:pPr>
              <w:pStyle w:val="TableParagraph"/>
              <w:spacing w:before="61"/>
              <w:ind w:right="-15"/>
              <w:rPr>
                <w:sz w:val="24"/>
              </w:rPr>
            </w:pPr>
            <w:r>
              <w:rPr>
                <w:color w:val="231F20"/>
                <w:spacing w:val="-2"/>
                <w:sz w:val="24"/>
              </w:rPr>
              <w:t>4,531</w:t>
            </w:r>
          </w:p>
        </w:tc>
        <w:tc>
          <w:tcPr>
            <w:tcW w:w="1246" w:type="dxa"/>
            <w:tcBorders>
              <w:right w:val="nil"/>
            </w:tcBorders>
          </w:tcPr>
          <w:p w14:paraId="0B868C3F" w14:textId="77777777" w:rsidR="00345EE3" w:rsidRDefault="00345EE3" w:rsidP="00D73130">
            <w:pPr>
              <w:pStyle w:val="TableParagraph"/>
              <w:spacing w:before="61"/>
              <w:ind w:right="-15"/>
              <w:rPr>
                <w:sz w:val="24"/>
              </w:rPr>
            </w:pPr>
            <w:r>
              <w:rPr>
                <w:color w:val="231F20"/>
                <w:spacing w:val="-2"/>
                <w:sz w:val="24"/>
              </w:rPr>
              <w:t>866,874</w:t>
            </w:r>
          </w:p>
        </w:tc>
      </w:tr>
      <w:tr w:rsidR="00345EE3" w14:paraId="64764087" w14:textId="77777777" w:rsidTr="00D73130">
        <w:trPr>
          <w:trHeight w:val="396"/>
        </w:trPr>
        <w:tc>
          <w:tcPr>
            <w:tcW w:w="5272" w:type="dxa"/>
            <w:tcBorders>
              <w:left w:val="nil"/>
            </w:tcBorders>
          </w:tcPr>
          <w:p w14:paraId="13C26756" w14:textId="77777777" w:rsidR="00345EE3" w:rsidRDefault="00345EE3" w:rsidP="00D73130">
            <w:pPr>
              <w:pStyle w:val="TableParagraph"/>
              <w:spacing w:before="61"/>
              <w:ind w:left="168"/>
              <w:jc w:val="left"/>
              <w:rPr>
                <w:sz w:val="24"/>
              </w:rPr>
            </w:pPr>
            <w:r>
              <w:rPr>
                <w:color w:val="231F20"/>
                <w:spacing w:val="-2"/>
                <w:sz w:val="24"/>
              </w:rPr>
              <w:t>Revaluation:</w:t>
            </w:r>
          </w:p>
        </w:tc>
        <w:tc>
          <w:tcPr>
            <w:tcW w:w="1133" w:type="dxa"/>
          </w:tcPr>
          <w:p w14:paraId="24030CCF" w14:textId="77777777" w:rsidR="00345EE3" w:rsidRDefault="00345EE3" w:rsidP="00D73130">
            <w:pPr>
              <w:pStyle w:val="TableParagraph"/>
              <w:spacing w:before="0"/>
              <w:jc w:val="left"/>
              <w:rPr>
                <w:rFonts w:ascii="Times New Roman"/>
              </w:rPr>
            </w:pPr>
          </w:p>
        </w:tc>
        <w:tc>
          <w:tcPr>
            <w:tcW w:w="1303" w:type="dxa"/>
          </w:tcPr>
          <w:p w14:paraId="240F2E61" w14:textId="77777777" w:rsidR="00345EE3" w:rsidRDefault="00345EE3" w:rsidP="00D73130">
            <w:pPr>
              <w:pStyle w:val="TableParagraph"/>
              <w:spacing w:before="0"/>
              <w:jc w:val="left"/>
              <w:rPr>
                <w:rFonts w:ascii="Times New Roman"/>
              </w:rPr>
            </w:pPr>
          </w:p>
        </w:tc>
        <w:tc>
          <w:tcPr>
            <w:tcW w:w="1246" w:type="dxa"/>
          </w:tcPr>
          <w:p w14:paraId="7572F628" w14:textId="77777777" w:rsidR="00345EE3" w:rsidRDefault="00345EE3" w:rsidP="00D73130">
            <w:pPr>
              <w:pStyle w:val="TableParagraph"/>
              <w:spacing w:before="0"/>
              <w:jc w:val="left"/>
              <w:rPr>
                <w:rFonts w:ascii="Times New Roman"/>
              </w:rPr>
            </w:pPr>
          </w:p>
        </w:tc>
        <w:tc>
          <w:tcPr>
            <w:tcW w:w="1246" w:type="dxa"/>
            <w:tcBorders>
              <w:right w:val="nil"/>
            </w:tcBorders>
          </w:tcPr>
          <w:p w14:paraId="565A6234" w14:textId="77777777" w:rsidR="00345EE3" w:rsidRDefault="00345EE3" w:rsidP="00D73130">
            <w:pPr>
              <w:pStyle w:val="TableParagraph"/>
              <w:spacing w:before="0"/>
              <w:jc w:val="left"/>
              <w:rPr>
                <w:rFonts w:ascii="Times New Roman"/>
              </w:rPr>
            </w:pPr>
          </w:p>
        </w:tc>
      </w:tr>
      <w:tr w:rsidR="00345EE3" w14:paraId="3372FC16" w14:textId="77777777" w:rsidTr="00D73130">
        <w:trPr>
          <w:trHeight w:val="396"/>
        </w:trPr>
        <w:tc>
          <w:tcPr>
            <w:tcW w:w="5272" w:type="dxa"/>
            <w:tcBorders>
              <w:left w:val="nil"/>
            </w:tcBorders>
          </w:tcPr>
          <w:p w14:paraId="27965A81" w14:textId="77777777" w:rsidR="00345EE3" w:rsidRDefault="00345EE3" w:rsidP="00D73130">
            <w:pPr>
              <w:pStyle w:val="TableParagraph"/>
              <w:spacing w:before="61"/>
              <w:ind w:left="168"/>
              <w:jc w:val="left"/>
              <w:rPr>
                <w:sz w:val="24"/>
              </w:rPr>
            </w:pPr>
            <w:r>
              <w:rPr>
                <w:color w:val="231F20"/>
                <w:sz w:val="24"/>
              </w:rPr>
              <w:t>-</w:t>
            </w:r>
            <w:r>
              <w:rPr>
                <w:color w:val="231F20"/>
                <w:spacing w:val="-9"/>
                <w:sz w:val="24"/>
              </w:rPr>
              <w:t xml:space="preserve"> </w:t>
            </w:r>
            <w:r>
              <w:rPr>
                <w:color w:val="231F20"/>
                <w:sz w:val="24"/>
              </w:rPr>
              <w:t>increments</w:t>
            </w:r>
            <w:r>
              <w:rPr>
                <w:color w:val="231F20"/>
                <w:spacing w:val="-29"/>
                <w:sz w:val="24"/>
              </w:rPr>
              <w:t xml:space="preserve"> </w:t>
            </w:r>
            <w:r>
              <w:rPr>
                <w:color w:val="231F20"/>
                <w:spacing w:val="-5"/>
                <w:sz w:val="24"/>
                <w:vertAlign w:val="superscript"/>
              </w:rPr>
              <w:t>(a)</w:t>
            </w:r>
          </w:p>
        </w:tc>
        <w:tc>
          <w:tcPr>
            <w:tcW w:w="1133" w:type="dxa"/>
          </w:tcPr>
          <w:p w14:paraId="4E1ACA13" w14:textId="77777777" w:rsidR="00345EE3" w:rsidRDefault="00345EE3" w:rsidP="00D73130">
            <w:pPr>
              <w:pStyle w:val="TableParagraph"/>
              <w:ind w:right="1"/>
              <w:rPr>
                <w:sz w:val="24"/>
              </w:rPr>
            </w:pPr>
            <w:r>
              <w:rPr>
                <w:color w:val="231F20"/>
                <w:spacing w:val="-2"/>
                <w:sz w:val="24"/>
              </w:rPr>
              <w:t>124,078</w:t>
            </w:r>
          </w:p>
        </w:tc>
        <w:tc>
          <w:tcPr>
            <w:tcW w:w="1303" w:type="dxa"/>
          </w:tcPr>
          <w:p w14:paraId="74C7121E" w14:textId="77777777" w:rsidR="00345EE3" w:rsidRDefault="00345EE3" w:rsidP="00D73130">
            <w:pPr>
              <w:pStyle w:val="TableParagraph"/>
              <w:ind w:right="-15"/>
              <w:rPr>
                <w:sz w:val="24"/>
              </w:rPr>
            </w:pPr>
            <w:r>
              <w:rPr>
                <w:color w:val="231F20"/>
                <w:sz w:val="24"/>
              </w:rPr>
              <w:t>-</w:t>
            </w:r>
          </w:p>
        </w:tc>
        <w:tc>
          <w:tcPr>
            <w:tcW w:w="1246" w:type="dxa"/>
          </w:tcPr>
          <w:p w14:paraId="140EF33A" w14:textId="77777777" w:rsidR="00345EE3" w:rsidRDefault="00345EE3" w:rsidP="00D73130">
            <w:pPr>
              <w:pStyle w:val="TableParagraph"/>
              <w:ind w:right="-15"/>
              <w:rPr>
                <w:sz w:val="24"/>
              </w:rPr>
            </w:pPr>
            <w:r>
              <w:rPr>
                <w:color w:val="231F20"/>
                <w:spacing w:val="-5"/>
                <w:sz w:val="24"/>
              </w:rPr>
              <w:t>359</w:t>
            </w:r>
          </w:p>
        </w:tc>
        <w:tc>
          <w:tcPr>
            <w:tcW w:w="1246" w:type="dxa"/>
            <w:tcBorders>
              <w:right w:val="nil"/>
            </w:tcBorders>
          </w:tcPr>
          <w:p w14:paraId="1C95A1F5" w14:textId="77777777" w:rsidR="00345EE3" w:rsidRDefault="00345EE3" w:rsidP="00D73130">
            <w:pPr>
              <w:pStyle w:val="TableParagraph"/>
              <w:ind w:right="-15"/>
              <w:rPr>
                <w:sz w:val="24"/>
              </w:rPr>
            </w:pPr>
            <w:r>
              <w:rPr>
                <w:color w:val="231F20"/>
                <w:spacing w:val="-2"/>
                <w:sz w:val="24"/>
              </w:rPr>
              <w:t>124,437</w:t>
            </w:r>
          </w:p>
        </w:tc>
      </w:tr>
      <w:tr w:rsidR="00345EE3" w14:paraId="0C50FDBD" w14:textId="77777777" w:rsidTr="00D73130">
        <w:trPr>
          <w:trHeight w:val="393"/>
        </w:trPr>
        <w:tc>
          <w:tcPr>
            <w:tcW w:w="5272" w:type="dxa"/>
            <w:tcBorders>
              <w:left w:val="nil"/>
              <w:bottom w:val="single" w:sz="4" w:space="0" w:color="231F20"/>
            </w:tcBorders>
          </w:tcPr>
          <w:p w14:paraId="5D3DA7CA" w14:textId="77777777" w:rsidR="00345EE3" w:rsidRDefault="00345EE3" w:rsidP="00D73130">
            <w:pPr>
              <w:pStyle w:val="TableParagraph"/>
              <w:ind w:left="167"/>
              <w:jc w:val="left"/>
              <w:rPr>
                <w:sz w:val="24"/>
              </w:rPr>
            </w:pPr>
            <w:r>
              <w:rPr>
                <w:color w:val="231F20"/>
                <w:sz w:val="24"/>
              </w:rPr>
              <w:t xml:space="preserve">- </w:t>
            </w:r>
            <w:r>
              <w:rPr>
                <w:color w:val="231F20"/>
                <w:spacing w:val="-2"/>
                <w:sz w:val="24"/>
              </w:rPr>
              <w:t>decrements</w:t>
            </w:r>
          </w:p>
        </w:tc>
        <w:tc>
          <w:tcPr>
            <w:tcW w:w="1133" w:type="dxa"/>
            <w:tcBorders>
              <w:bottom w:val="single" w:sz="4" w:space="0" w:color="231F20"/>
            </w:tcBorders>
          </w:tcPr>
          <w:p w14:paraId="215ADB62" w14:textId="77777777" w:rsidR="00345EE3" w:rsidRDefault="00345EE3" w:rsidP="00D73130">
            <w:pPr>
              <w:pStyle w:val="TableParagraph"/>
              <w:ind w:right="-15"/>
              <w:rPr>
                <w:sz w:val="24"/>
              </w:rPr>
            </w:pPr>
            <w:r>
              <w:rPr>
                <w:color w:val="231F20"/>
                <w:sz w:val="24"/>
              </w:rPr>
              <w:t>-</w:t>
            </w:r>
          </w:p>
        </w:tc>
        <w:tc>
          <w:tcPr>
            <w:tcW w:w="1303" w:type="dxa"/>
            <w:tcBorders>
              <w:bottom w:val="single" w:sz="4" w:space="0" w:color="231F20"/>
            </w:tcBorders>
          </w:tcPr>
          <w:p w14:paraId="359F00C4" w14:textId="77777777" w:rsidR="00345EE3" w:rsidRDefault="00345EE3" w:rsidP="00D73130">
            <w:pPr>
              <w:pStyle w:val="TableParagraph"/>
              <w:rPr>
                <w:sz w:val="24"/>
              </w:rPr>
            </w:pPr>
            <w:r>
              <w:rPr>
                <w:color w:val="231F20"/>
                <w:spacing w:val="-2"/>
                <w:sz w:val="24"/>
              </w:rPr>
              <w:t>(113,119)</w:t>
            </w:r>
          </w:p>
        </w:tc>
        <w:tc>
          <w:tcPr>
            <w:tcW w:w="1246" w:type="dxa"/>
            <w:tcBorders>
              <w:bottom w:val="single" w:sz="4" w:space="0" w:color="231F20"/>
            </w:tcBorders>
          </w:tcPr>
          <w:p w14:paraId="2FED2197" w14:textId="77777777" w:rsidR="00345EE3" w:rsidRDefault="00345EE3" w:rsidP="00D73130">
            <w:pPr>
              <w:pStyle w:val="TableParagraph"/>
              <w:ind w:right="-15"/>
              <w:rPr>
                <w:sz w:val="24"/>
              </w:rPr>
            </w:pPr>
            <w:r>
              <w:rPr>
                <w:color w:val="231F20"/>
                <w:sz w:val="24"/>
              </w:rPr>
              <w:t>-</w:t>
            </w:r>
          </w:p>
        </w:tc>
        <w:tc>
          <w:tcPr>
            <w:tcW w:w="1246" w:type="dxa"/>
            <w:tcBorders>
              <w:bottom w:val="single" w:sz="4" w:space="0" w:color="231F20"/>
              <w:right w:val="nil"/>
            </w:tcBorders>
          </w:tcPr>
          <w:p w14:paraId="372E7526" w14:textId="77777777" w:rsidR="00345EE3" w:rsidRDefault="00345EE3" w:rsidP="00D73130">
            <w:pPr>
              <w:pStyle w:val="TableParagraph"/>
              <w:ind w:right="-15"/>
              <w:rPr>
                <w:sz w:val="24"/>
              </w:rPr>
            </w:pPr>
            <w:r>
              <w:rPr>
                <w:color w:val="231F20"/>
                <w:spacing w:val="-2"/>
                <w:sz w:val="24"/>
              </w:rPr>
              <w:t>(113,119)</w:t>
            </w:r>
          </w:p>
        </w:tc>
      </w:tr>
      <w:tr w:rsidR="00345EE3" w14:paraId="1A9AF5A0" w14:textId="77777777" w:rsidTr="00D73130">
        <w:trPr>
          <w:trHeight w:val="386"/>
        </w:trPr>
        <w:tc>
          <w:tcPr>
            <w:tcW w:w="5272" w:type="dxa"/>
            <w:tcBorders>
              <w:top w:val="single" w:sz="4" w:space="0" w:color="231F20"/>
              <w:left w:val="nil"/>
              <w:bottom w:val="single" w:sz="8" w:space="0" w:color="231F20"/>
            </w:tcBorders>
          </w:tcPr>
          <w:p w14:paraId="1A22E15A" w14:textId="77777777" w:rsidR="00345EE3" w:rsidRDefault="00345EE3" w:rsidP="00D73130">
            <w:pPr>
              <w:pStyle w:val="TableParagraph"/>
              <w:spacing w:before="58"/>
              <w:ind w:left="-3"/>
              <w:jc w:val="left"/>
              <w:rPr>
                <w:b/>
                <w:sz w:val="24"/>
              </w:rPr>
            </w:pPr>
            <w:r>
              <w:rPr>
                <w:b/>
                <w:color w:val="231F20"/>
                <w:sz w:val="24"/>
              </w:rPr>
              <w:t>Balance</w:t>
            </w:r>
            <w:r>
              <w:rPr>
                <w:b/>
                <w:color w:val="231F20"/>
                <w:spacing w:val="-3"/>
                <w:sz w:val="24"/>
              </w:rPr>
              <w:t xml:space="preserve"> </w:t>
            </w:r>
            <w:r>
              <w:rPr>
                <w:b/>
                <w:color w:val="231F20"/>
                <w:sz w:val="24"/>
              </w:rPr>
              <w:t>at</w:t>
            </w:r>
            <w:r>
              <w:rPr>
                <w:b/>
                <w:color w:val="231F20"/>
                <w:spacing w:val="-2"/>
                <w:sz w:val="24"/>
              </w:rPr>
              <w:t xml:space="preserve"> </w:t>
            </w:r>
            <w:r>
              <w:rPr>
                <w:b/>
                <w:color w:val="231F20"/>
                <w:sz w:val="24"/>
              </w:rPr>
              <w:t>End</w:t>
            </w:r>
            <w:r>
              <w:rPr>
                <w:b/>
                <w:color w:val="231F20"/>
                <w:spacing w:val="-2"/>
                <w:sz w:val="24"/>
              </w:rPr>
              <w:t xml:space="preserve"> </w:t>
            </w:r>
            <w:r>
              <w:rPr>
                <w:b/>
                <w:color w:val="231F20"/>
                <w:sz w:val="24"/>
              </w:rPr>
              <w:t>of</w:t>
            </w:r>
            <w:r>
              <w:rPr>
                <w:b/>
                <w:color w:val="231F20"/>
                <w:spacing w:val="-1"/>
                <w:sz w:val="24"/>
              </w:rPr>
              <w:t xml:space="preserve"> </w:t>
            </w:r>
            <w:r>
              <w:rPr>
                <w:b/>
                <w:color w:val="231F20"/>
                <w:sz w:val="24"/>
              </w:rPr>
              <w:t>Financial</w:t>
            </w:r>
            <w:r>
              <w:rPr>
                <w:b/>
                <w:color w:val="231F20"/>
                <w:spacing w:val="-6"/>
                <w:sz w:val="24"/>
              </w:rPr>
              <w:t xml:space="preserve"> </w:t>
            </w:r>
            <w:r>
              <w:rPr>
                <w:b/>
                <w:color w:val="231F20"/>
                <w:spacing w:val="-4"/>
                <w:sz w:val="24"/>
              </w:rPr>
              <w:t>Year</w:t>
            </w:r>
          </w:p>
        </w:tc>
        <w:tc>
          <w:tcPr>
            <w:tcW w:w="1133" w:type="dxa"/>
            <w:tcBorders>
              <w:top w:val="single" w:sz="4" w:space="0" w:color="231F20"/>
              <w:bottom w:val="single" w:sz="8" w:space="0" w:color="231F20"/>
            </w:tcBorders>
          </w:tcPr>
          <w:p w14:paraId="472BFB2F" w14:textId="77777777" w:rsidR="00345EE3" w:rsidRDefault="00345EE3" w:rsidP="00D73130">
            <w:pPr>
              <w:pStyle w:val="TableParagraph"/>
              <w:spacing w:before="58"/>
              <w:ind w:right="-15"/>
              <w:rPr>
                <w:b/>
                <w:sz w:val="24"/>
              </w:rPr>
            </w:pPr>
            <w:r>
              <w:rPr>
                <w:b/>
                <w:color w:val="231F20"/>
                <w:spacing w:val="-2"/>
                <w:sz w:val="24"/>
              </w:rPr>
              <w:t>529,001</w:t>
            </w:r>
          </w:p>
        </w:tc>
        <w:tc>
          <w:tcPr>
            <w:tcW w:w="1303" w:type="dxa"/>
            <w:tcBorders>
              <w:top w:val="single" w:sz="4" w:space="0" w:color="231F20"/>
              <w:bottom w:val="single" w:sz="8" w:space="0" w:color="231F20"/>
            </w:tcBorders>
          </w:tcPr>
          <w:p w14:paraId="7D500A78" w14:textId="77777777" w:rsidR="00345EE3" w:rsidRDefault="00345EE3" w:rsidP="00D73130">
            <w:pPr>
              <w:pStyle w:val="TableParagraph"/>
              <w:spacing w:before="58"/>
              <w:ind w:right="-15"/>
              <w:rPr>
                <w:b/>
                <w:sz w:val="24"/>
              </w:rPr>
            </w:pPr>
            <w:r>
              <w:rPr>
                <w:b/>
                <w:color w:val="231F20"/>
                <w:spacing w:val="-2"/>
                <w:sz w:val="24"/>
              </w:rPr>
              <w:t>344,301</w:t>
            </w:r>
          </w:p>
        </w:tc>
        <w:tc>
          <w:tcPr>
            <w:tcW w:w="1246" w:type="dxa"/>
            <w:tcBorders>
              <w:top w:val="single" w:sz="4" w:space="0" w:color="231F20"/>
              <w:bottom w:val="single" w:sz="8" w:space="0" w:color="231F20"/>
            </w:tcBorders>
          </w:tcPr>
          <w:p w14:paraId="02AE99FB" w14:textId="77777777" w:rsidR="00345EE3" w:rsidRDefault="00345EE3" w:rsidP="00D73130">
            <w:pPr>
              <w:pStyle w:val="TableParagraph"/>
              <w:spacing w:before="58"/>
              <w:ind w:right="-15"/>
              <w:rPr>
                <w:b/>
                <w:sz w:val="24"/>
              </w:rPr>
            </w:pPr>
            <w:r>
              <w:rPr>
                <w:b/>
                <w:color w:val="231F20"/>
                <w:spacing w:val="-2"/>
                <w:sz w:val="24"/>
              </w:rPr>
              <w:t>4,890</w:t>
            </w:r>
          </w:p>
        </w:tc>
        <w:tc>
          <w:tcPr>
            <w:tcW w:w="1246" w:type="dxa"/>
            <w:tcBorders>
              <w:top w:val="single" w:sz="4" w:space="0" w:color="231F20"/>
              <w:bottom w:val="single" w:sz="8" w:space="0" w:color="231F20"/>
              <w:right w:val="nil"/>
            </w:tcBorders>
          </w:tcPr>
          <w:p w14:paraId="7F55D360" w14:textId="77777777" w:rsidR="00345EE3" w:rsidRDefault="00345EE3" w:rsidP="00D73130">
            <w:pPr>
              <w:pStyle w:val="TableParagraph"/>
              <w:spacing w:before="58"/>
              <w:ind w:right="-15"/>
              <w:rPr>
                <w:b/>
                <w:sz w:val="24"/>
              </w:rPr>
            </w:pPr>
            <w:r>
              <w:rPr>
                <w:b/>
                <w:color w:val="231F20"/>
                <w:spacing w:val="-2"/>
                <w:sz w:val="24"/>
              </w:rPr>
              <w:t>878,192</w:t>
            </w:r>
          </w:p>
        </w:tc>
      </w:tr>
    </w:tbl>
    <w:p w14:paraId="45CDCD52" w14:textId="77777777" w:rsidR="00345EE3" w:rsidRPr="000C71FB" w:rsidRDefault="00345EE3" w:rsidP="00345EE3">
      <w:pPr>
        <w:spacing w:before="81"/>
        <w:ind w:left="110"/>
        <w:rPr>
          <w:rFonts w:ascii="Arial-BoldItalicMT"/>
          <w:b/>
          <w:i/>
          <w:sz w:val="18"/>
          <w:szCs w:val="18"/>
        </w:rPr>
      </w:pPr>
      <w:r w:rsidRPr="000C71FB">
        <w:rPr>
          <w:rFonts w:ascii="Arial-BoldItalicMT"/>
          <w:b/>
          <w:i/>
          <w:color w:val="231F20"/>
          <w:spacing w:val="-2"/>
          <w:sz w:val="18"/>
          <w:szCs w:val="18"/>
        </w:rPr>
        <w:t>Note:</w:t>
      </w:r>
    </w:p>
    <w:p w14:paraId="034AA699" w14:textId="77777777" w:rsidR="00345EE3" w:rsidRPr="000C71FB" w:rsidRDefault="00345EE3" w:rsidP="00345EE3">
      <w:pPr>
        <w:spacing w:before="27"/>
        <w:ind w:left="337" w:right="158" w:hanging="227"/>
        <w:jc w:val="both"/>
        <w:rPr>
          <w:sz w:val="18"/>
          <w:szCs w:val="18"/>
        </w:rPr>
      </w:pPr>
      <w:r w:rsidRPr="000C71FB">
        <w:rPr>
          <w:color w:val="231F20"/>
          <w:sz w:val="18"/>
          <w:szCs w:val="18"/>
        </w:rPr>
        <w:t>(a)</w:t>
      </w:r>
      <w:r w:rsidRPr="000C71FB">
        <w:rPr>
          <w:color w:val="231F20"/>
          <w:spacing w:val="33"/>
          <w:sz w:val="18"/>
          <w:szCs w:val="18"/>
        </w:rPr>
        <w:t xml:space="preserve"> </w:t>
      </w:r>
      <w:r w:rsidRPr="000C71FB">
        <w:rPr>
          <w:color w:val="231F20"/>
          <w:sz w:val="18"/>
          <w:szCs w:val="18"/>
        </w:rPr>
        <w:t>The increase in this balance is primarily due to the correct recognition of two land property sizes in 2020–21 during the Valuer-General Victoria (VGV) valuation</w:t>
      </w:r>
      <w:r w:rsidRPr="000C71FB">
        <w:rPr>
          <w:color w:val="231F20"/>
          <w:spacing w:val="40"/>
          <w:sz w:val="18"/>
          <w:szCs w:val="18"/>
        </w:rPr>
        <w:t xml:space="preserve"> </w:t>
      </w:r>
      <w:r w:rsidRPr="000C71FB">
        <w:rPr>
          <w:color w:val="231F20"/>
          <w:sz w:val="18"/>
          <w:szCs w:val="18"/>
        </w:rPr>
        <w:t>assessment.</w:t>
      </w:r>
      <w:r w:rsidRPr="000C71FB">
        <w:rPr>
          <w:color w:val="231F20"/>
          <w:spacing w:val="-1"/>
          <w:sz w:val="18"/>
          <w:szCs w:val="18"/>
        </w:rPr>
        <w:t xml:space="preserve"> </w:t>
      </w:r>
      <w:r w:rsidRPr="000C71FB">
        <w:rPr>
          <w:color w:val="231F20"/>
          <w:sz w:val="18"/>
          <w:szCs w:val="18"/>
        </w:rPr>
        <w:t>These</w:t>
      </w:r>
      <w:r w:rsidRPr="000C71FB">
        <w:rPr>
          <w:color w:val="231F20"/>
          <w:spacing w:val="-1"/>
          <w:sz w:val="18"/>
          <w:szCs w:val="18"/>
        </w:rPr>
        <w:t xml:space="preserve"> </w:t>
      </w:r>
      <w:r w:rsidRPr="000C71FB">
        <w:rPr>
          <w:color w:val="231F20"/>
          <w:sz w:val="18"/>
          <w:szCs w:val="18"/>
        </w:rPr>
        <w:t>two</w:t>
      </w:r>
      <w:r w:rsidRPr="000C71FB">
        <w:rPr>
          <w:color w:val="231F20"/>
          <w:spacing w:val="-1"/>
          <w:sz w:val="18"/>
          <w:szCs w:val="18"/>
        </w:rPr>
        <w:t xml:space="preserve"> </w:t>
      </w:r>
      <w:r w:rsidRPr="000C71FB">
        <w:rPr>
          <w:color w:val="231F20"/>
          <w:sz w:val="18"/>
          <w:szCs w:val="18"/>
        </w:rPr>
        <w:t>land</w:t>
      </w:r>
      <w:r w:rsidRPr="000C71FB">
        <w:rPr>
          <w:color w:val="231F20"/>
          <w:spacing w:val="-1"/>
          <w:sz w:val="18"/>
          <w:szCs w:val="18"/>
        </w:rPr>
        <w:t xml:space="preserve"> </w:t>
      </w:r>
      <w:r w:rsidRPr="000C71FB">
        <w:rPr>
          <w:color w:val="231F20"/>
          <w:sz w:val="18"/>
          <w:szCs w:val="18"/>
        </w:rPr>
        <w:t>properties</w:t>
      </w:r>
      <w:r w:rsidRPr="000C71FB">
        <w:rPr>
          <w:color w:val="231F20"/>
          <w:spacing w:val="-1"/>
          <w:sz w:val="18"/>
          <w:szCs w:val="18"/>
        </w:rPr>
        <w:t xml:space="preserve"> </w:t>
      </w:r>
      <w:r w:rsidRPr="000C71FB">
        <w:rPr>
          <w:color w:val="231F20"/>
          <w:sz w:val="18"/>
          <w:szCs w:val="18"/>
        </w:rPr>
        <w:t>are</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Police</w:t>
      </w:r>
      <w:r w:rsidRPr="000C71FB">
        <w:rPr>
          <w:color w:val="231F20"/>
          <w:spacing w:val="-1"/>
          <w:sz w:val="18"/>
          <w:szCs w:val="18"/>
        </w:rPr>
        <w:t xml:space="preserve"> </w:t>
      </w:r>
      <w:r w:rsidRPr="000C71FB">
        <w:rPr>
          <w:color w:val="231F20"/>
          <w:sz w:val="18"/>
          <w:szCs w:val="18"/>
        </w:rPr>
        <w:t>Academy</w:t>
      </w:r>
      <w:r w:rsidRPr="000C71FB">
        <w:rPr>
          <w:color w:val="231F20"/>
          <w:spacing w:val="-1"/>
          <w:sz w:val="18"/>
          <w:szCs w:val="18"/>
        </w:rPr>
        <w:t xml:space="preserve"> </w:t>
      </w:r>
      <w:r w:rsidRPr="000C71FB">
        <w:rPr>
          <w:color w:val="231F20"/>
          <w:sz w:val="18"/>
          <w:szCs w:val="18"/>
        </w:rPr>
        <w:t>in</w:t>
      </w:r>
      <w:r w:rsidRPr="000C71FB">
        <w:rPr>
          <w:color w:val="231F20"/>
          <w:spacing w:val="-1"/>
          <w:sz w:val="18"/>
          <w:szCs w:val="18"/>
        </w:rPr>
        <w:t xml:space="preserve"> </w:t>
      </w:r>
      <w:r w:rsidRPr="000C71FB">
        <w:rPr>
          <w:color w:val="231F20"/>
          <w:sz w:val="18"/>
          <w:szCs w:val="18"/>
        </w:rPr>
        <w:t>Glen</w:t>
      </w:r>
      <w:r w:rsidRPr="000C71FB">
        <w:rPr>
          <w:color w:val="231F20"/>
          <w:spacing w:val="-1"/>
          <w:sz w:val="18"/>
          <w:szCs w:val="18"/>
        </w:rPr>
        <w:t xml:space="preserve"> </w:t>
      </w:r>
      <w:r w:rsidRPr="000C71FB">
        <w:rPr>
          <w:color w:val="231F20"/>
          <w:sz w:val="18"/>
          <w:szCs w:val="18"/>
        </w:rPr>
        <w:t>Waverley</w:t>
      </w:r>
      <w:r w:rsidRPr="000C71FB">
        <w:rPr>
          <w:color w:val="231F20"/>
          <w:spacing w:val="-1"/>
          <w:sz w:val="18"/>
          <w:szCs w:val="18"/>
        </w:rPr>
        <w:t xml:space="preserve"> </w:t>
      </w:r>
      <w:r w:rsidRPr="000C71FB">
        <w:rPr>
          <w:color w:val="231F20"/>
          <w:sz w:val="18"/>
          <w:szCs w:val="18"/>
        </w:rPr>
        <w:t>and</w:t>
      </w:r>
      <w:r w:rsidRPr="000C71FB">
        <w:rPr>
          <w:color w:val="231F20"/>
          <w:spacing w:val="-1"/>
          <w:sz w:val="18"/>
          <w:szCs w:val="18"/>
        </w:rPr>
        <w:t xml:space="preserve"> </w:t>
      </w:r>
      <w:r w:rsidRPr="000C71FB">
        <w:rPr>
          <w:color w:val="231F20"/>
          <w:sz w:val="18"/>
          <w:szCs w:val="18"/>
        </w:rPr>
        <w:t>Police</w:t>
      </w:r>
      <w:r w:rsidRPr="000C71FB">
        <w:rPr>
          <w:color w:val="231F20"/>
          <w:spacing w:val="-1"/>
          <w:sz w:val="18"/>
          <w:szCs w:val="18"/>
        </w:rPr>
        <w:t xml:space="preserve"> </w:t>
      </w:r>
      <w:r w:rsidRPr="000C71FB">
        <w:rPr>
          <w:color w:val="231F20"/>
          <w:sz w:val="18"/>
          <w:szCs w:val="18"/>
        </w:rPr>
        <w:t>Store</w:t>
      </w:r>
      <w:r w:rsidRPr="000C71FB">
        <w:rPr>
          <w:color w:val="231F20"/>
          <w:spacing w:val="-1"/>
          <w:sz w:val="18"/>
          <w:szCs w:val="18"/>
        </w:rPr>
        <w:t xml:space="preserve"> </w:t>
      </w:r>
      <w:r w:rsidRPr="000C71FB">
        <w:rPr>
          <w:color w:val="231F20"/>
          <w:sz w:val="18"/>
          <w:szCs w:val="18"/>
        </w:rPr>
        <w:t>in</w:t>
      </w:r>
      <w:r w:rsidRPr="000C71FB">
        <w:rPr>
          <w:color w:val="231F20"/>
          <w:spacing w:val="-1"/>
          <w:sz w:val="18"/>
          <w:szCs w:val="18"/>
        </w:rPr>
        <w:t xml:space="preserve"> </w:t>
      </w:r>
      <w:r w:rsidRPr="000C71FB">
        <w:rPr>
          <w:color w:val="231F20"/>
          <w:sz w:val="18"/>
          <w:szCs w:val="18"/>
        </w:rPr>
        <w:t>Collingwood.</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correction</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land</w:t>
      </w:r>
      <w:r w:rsidRPr="000C71FB">
        <w:rPr>
          <w:color w:val="231F20"/>
          <w:spacing w:val="-1"/>
          <w:sz w:val="18"/>
          <w:szCs w:val="18"/>
        </w:rPr>
        <w:t xml:space="preserve"> </w:t>
      </w:r>
      <w:r w:rsidRPr="000C71FB">
        <w:rPr>
          <w:color w:val="231F20"/>
          <w:sz w:val="18"/>
          <w:szCs w:val="18"/>
        </w:rPr>
        <w:t>sizes</w:t>
      </w:r>
      <w:r w:rsidRPr="000C71FB">
        <w:rPr>
          <w:color w:val="231F20"/>
          <w:spacing w:val="-1"/>
          <w:sz w:val="18"/>
          <w:szCs w:val="18"/>
        </w:rPr>
        <w:t xml:space="preserve"> </w:t>
      </w:r>
      <w:r w:rsidRPr="000C71FB">
        <w:rPr>
          <w:color w:val="231F20"/>
          <w:sz w:val="18"/>
          <w:szCs w:val="18"/>
        </w:rPr>
        <w:t>has</w:t>
      </w:r>
      <w:r w:rsidRPr="000C71FB">
        <w:rPr>
          <w:color w:val="231F20"/>
          <w:spacing w:val="-1"/>
          <w:sz w:val="18"/>
          <w:szCs w:val="18"/>
        </w:rPr>
        <w:t xml:space="preserve"> </w:t>
      </w:r>
      <w:r w:rsidRPr="000C71FB">
        <w:rPr>
          <w:color w:val="231F20"/>
          <w:sz w:val="18"/>
          <w:szCs w:val="18"/>
        </w:rPr>
        <w:t>resulted</w:t>
      </w:r>
      <w:r w:rsidRPr="000C71FB">
        <w:rPr>
          <w:color w:val="231F20"/>
          <w:spacing w:val="40"/>
          <w:sz w:val="18"/>
          <w:szCs w:val="18"/>
        </w:rPr>
        <w:t xml:space="preserve"> </w:t>
      </w:r>
      <w:r w:rsidRPr="000C71FB">
        <w:rPr>
          <w:color w:val="231F20"/>
          <w:sz w:val="18"/>
          <w:szCs w:val="18"/>
        </w:rPr>
        <w:t>in an increase in the carrying value of the Police Academy and Police Store by $52 million and $42 million respectively.</w:t>
      </w:r>
    </w:p>
    <w:p w14:paraId="61E5ECF5" w14:textId="77777777" w:rsidR="00345EE3" w:rsidRDefault="00345EE3" w:rsidP="00345EE3">
      <w:pPr>
        <w:rPr>
          <w:sz w:val="21"/>
          <w:szCs w:val="24"/>
        </w:rPr>
      </w:pPr>
      <w:r>
        <w:rPr>
          <w:sz w:val="21"/>
        </w:rPr>
        <w:br w:type="page"/>
      </w:r>
    </w:p>
    <w:p w14:paraId="4CC067BE" w14:textId="77777777" w:rsidR="00345EE3" w:rsidRDefault="00345EE3" w:rsidP="00345EE3">
      <w:pPr>
        <w:pStyle w:val="Heading5"/>
        <w:spacing w:before="1"/>
      </w:pPr>
      <w:r>
        <w:rPr>
          <w:color w:val="231F20"/>
        </w:rPr>
        <w:t>Revaluations</w:t>
      </w:r>
      <w:r>
        <w:rPr>
          <w:color w:val="231F20"/>
          <w:spacing w:val="-10"/>
        </w:rPr>
        <w:t xml:space="preserve"> </w:t>
      </w:r>
      <w:r>
        <w:rPr>
          <w:color w:val="231F20"/>
        </w:rPr>
        <w:t>and</w:t>
      </w:r>
      <w:r>
        <w:rPr>
          <w:color w:val="231F20"/>
          <w:spacing w:val="-7"/>
        </w:rPr>
        <w:t xml:space="preserve"> </w:t>
      </w:r>
      <w:r>
        <w:rPr>
          <w:color w:val="231F20"/>
        </w:rPr>
        <w:t>Subsequent</w:t>
      </w:r>
      <w:r>
        <w:rPr>
          <w:color w:val="231F20"/>
          <w:spacing w:val="-6"/>
        </w:rPr>
        <w:t xml:space="preserve"> </w:t>
      </w:r>
      <w:r>
        <w:rPr>
          <w:color w:val="231F20"/>
        </w:rPr>
        <w:t>Measurements</w:t>
      </w:r>
      <w:r>
        <w:rPr>
          <w:color w:val="231F20"/>
          <w:spacing w:val="-8"/>
        </w:rPr>
        <w:t xml:space="preserve"> </w:t>
      </w:r>
      <w:r>
        <w:rPr>
          <w:color w:val="231F20"/>
        </w:rPr>
        <w:t>of</w:t>
      </w:r>
      <w:r>
        <w:rPr>
          <w:color w:val="231F20"/>
          <w:spacing w:val="-6"/>
        </w:rPr>
        <w:t xml:space="preserve"> </w:t>
      </w:r>
      <w:r>
        <w:rPr>
          <w:color w:val="231F20"/>
        </w:rPr>
        <w:t>Non-Financial</w:t>
      </w:r>
      <w:r>
        <w:rPr>
          <w:color w:val="231F20"/>
          <w:spacing w:val="-7"/>
        </w:rPr>
        <w:t xml:space="preserve"> </w:t>
      </w:r>
      <w:r>
        <w:rPr>
          <w:color w:val="231F20"/>
        </w:rPr>
        <w:t>Physical</w:t>
      </w:r>
      <w:r>
        <w:rPr>
          <w:color w:val="231F20"/>
          <w:spacing w:val="-6"/>
        </w:rPr>
        <w:t xml:space="preserve"> </w:t>
      </w:r>
      <w:r>
        <w:rPr>
          <w:color w:val="231F20"/>
          <w:spacing w:val="-2"/>
        </w:rPr>
        <w:t>Assets</w:t>
      </w:r>
    </w:p>
    <w:p w14:paraId="0C58D4B8" w14:textId="77777777" w:rsidR="00345EE3" w:rsidRDefault="00345EE3" w:rsidP="00345EE3">
      <w:pPr>
        <w:pStyle w:val="BodyText"/>
        <w:spacing w:before="60" w:line="242" w:lineRule="auto"/>
      </w:pPr>
      <w:r>
        <w:rPr>
          <w:color w:val="231F20"/>
        </w:rPr>
        <w:t>Revaluations are made with sufficient regularity to ensure that the carrying amounts do not materially</w:t>
      </w:r>
      <w:r>
        <w:rPr>
          <w:color w:val="231F20"/>
          <w:spacing w:val="-8"/>
        </w:rPr>
        <w:t xml:space="preserve"> </w:t>
      </w:r>
      <w:r>
        <w:rPr>
          <w:color w:val="231F20"/>
        </w:rPr>
        <w:t>differ</w:t>
      </w:r>
      <w:r>
        <w:rPr>
          <w:color w:val="231F20"/>
          <w:spacing w:val="-8"/>
        </w:rPr>
        <w:t xml:space="preserve"> </w:t>
      </w:r>
      <w:r>
        <w:rPr>
          <w:color w:val="231F20"/>
        </w:rPr>
        <w:t>from</w:t>
      </w:r>
      <w:r>
        <w:rPr>
          <w:color w:val="231F20"/>
          <w:spacing w:val="-8"/>
        </w:rPr>
        <w:t xml:space="preserve"> </w:t>
      </w:r>
      <w:r>
        <w:rPr>
          <w:color w:val="231F20"/>
        </w:rPr>
        <w:t>their</w:t>
      </w:r>
      <w:r>
        <w:rPr>
          <w:color w:val="231F20"/>
          <w:spacing w:val="-8"/>
        </w:rPr>
        <w:t xml:space="preserve"> </w:t>
      </w:r>
      <w:r>
        <w:rPr>
          <w:color w:val="231F20"/>
        </w:rPr>
        <w:t>fair</w:t>
      </w:r>
      <w:r>
        <w:rPr>
          <w:color w:val="231F20"/>
          <w:spacing w:val="-8"/>
        </w:rPr>
        <w:t xml:space="preserve"> </w:t>
      </w:r>
      <w:r>
        <w:rPr>
          <w:color w:val="231F20"/>
        </w:rPr>
        <w:t>value.</w:t>
      </w:r>
      <w:r>
        <w:rPr>
          <w:color w:val="231F20"/>
          <w:spacing w:val="-8"/>
        </w:rPr>
        <w:t xml:space="preserve"> </w:t>
      </w:r>
      <w:r>
        <w:rPr>
          <w:color w:val="231F20"/>
        </w:rPr>
        <w:t>In</w:t>
      </w:r>
      <w:r>
        <w:rPr>
          <w:color w:val="231F20"/>
          <w:spacing w:val="-9"/>
        </w:rPr>
        <w:t xml:space="preserve"> </w:t>
      </w:r>
      <w:r>
        <w:rPr>
          <w:color w:val="231F20"/>
        </w:rPr>
        <w:t>determining</w:t>
      </w:r>
      <w:r>
        <w:rPr>
          <w:color w:val="231F20"/>
          <w:spacing w:val="-9"/>
        </w:rPr>
        <w:t xml:space="preserve"> </w:t>
      </w:r>
      <w:r>
        <w:rPr>
          <w:color w:val="231F20"/>
        </w:rPr>
        <w:t>the</w:t>
      </w:r>
      <w:r>
        <w:rPr>
          <w:color w:val="231F20"/>
          <w:spacing w:val="-9"/>
        </w:rPr>
        <w:t xml:space="preserve"> </w:t>
      </w:r>
      <w:r>
        <w:rPr>
          <w:color w:val="231F20"/>
        </w:rPr>
        <w:t>fair</w:t>
      </w:r>
      <w:r>
        <w:rPr>
          <w:color w:val="231F20"/>
          <w:spacing w:val="-8"/>
        </w:rPr>
        <w:t xml:space="preserve"> </w:t>
      </w:r>
      <w:r>
        <w:rPr>
          <w:color w:val="231F20"/>
        </w:rPr>
        <w:t>value</w:t>
      </w:r>
      <w:r>
        <w:rPr>
          <w:color w:val="231F20"/>
          <w:spacing w:val="-9"/>
        </w:rPr>
        <w:t xml:space="preserve"> </w:t>
      </w:r>
      <w:r>
        <w:rPr>
          <w:color w:val="231F20"/>
        </w:rPr>
        <w:t>of</w:t>
      </w:r>
      <w:r>
        <w:rPr>
          <w:color w:val="231F20"/>
          <w:spacing w:val="-8"/>
        </w:rPr>
        <w:t xml:space="preserve"> </w:t>
      </w:r>
      <w:r>
        <w:rPr>
          <w:color w:val="231F20"/>
        </w:rPr>
        <w:t>an</w:t>
      </w:r>
      <w:r>
        <w:rPr>
          <w:color w:val="231F20"/>
          <w:spacing w:val="-9"/>
        </w:rPr>
        <w:t xml:space="preserve"> </w:t>
      </w:r>
      <w:r>
        <w:rPr>
          <w:color w:val="231F20"/>
        </w:rPr>
        <w:t>asset</w:t>
      </w:r>
      <w:r>
        <w:rPr>
          <w:color w:val="231F20"/>
          <w:spacing w:val="-8"/>
        </w:rPr>
        <w:t xml:space="preserve"> </w:t>
      </w:r>
      <w:r>
        <w:rPr>
          <w:color w:val="231F20"/>
        </w:rPr>
        <w:t>other</w:t>
      </w:r>
      <w:r>
        <w:rPr>
          <w:color w:val="231F20"/>
          <w:spacing w:val="-8"/>
        </w:rPr>
        <w:t xml:space="preserve"> </w:t>
      </w:r>
      <w:r>
        <w:rPr>
          <w:color w:val="231F20"/>
        </w:rPr>
        <w:t>than</w:t>
      </w:r>
      <w:r>
        <w:rPr>
          <w:color w:val="231F20"/>
          <w:spacing w:val="-9"/>
        </w:rPr>
        <w:t xml:space="preserve"> </w:t>
      </w:r>
      <w:r>
        <w:rPr>
          <w:color w:val="231F20"/>
        </w:rPr>
        <w:t>land,</w:t>
      </w:r>
      <w:r>
        <w:rPr>
          <w:color w:val="231F20"/>
          <w:spacing w:val="-8"/>
        </w:rPr>
        <w:t xml:space="preserve"> </w:t>
      </w:r>
      <w:r>
        <w:rPr>
          <w:color w:val="231F20"/>
        </w:rPr>
        <w:t>it</w:t>
      </w:r>
      <w:r>
        <w:rPr>
          <w:color w:val="231F20"/>
          <w:spacing w:val="-8"/>
        </w:rPr>
        <w:t xml:space="preserve"> </w:t>
      </w:r>
      <w:r>
        <w:rPr>
          <w:color w:val="231F20"/>
        </w:rPr>
        <w:t>is generally based on the assets’ current replacement value.</w:t>
      </w:r>
    </w:p>
    <w:p w14:paraId="46E55183" w14:textId="77777777" w:rsidR="00345EE3" w:rsidRDefault="00345EE3" w:rsidP="00345EE3">
      <w:pPr>
        <w:pStyle w:val="BodyText"/>
        <w:spacing w:before="118" w:line="242" w:lineRule="auto"/>
      </w:pPr>
      <w:r>
        <w:rPr>
          <w:color w:val="231F20"/>
        </w:rPr>
        <w:t>Consistent</w:t>
      </w:r>
      <w:r>
        <w:rPr>
          <w:color w:val="231F20"/>
          <w:spacing w:val="-5"/>
        </w:rPr>
        <w:t xml:space="preserve"> </w:t>
      </w:r>
      <w:r>
        <w:rPr>
          <w:color w:val="231F20"/>
        </w:rPr>
        <w:t>with</w:t>
      </w:r>
      <w:r>
        <w:rPr>
          <w:color w:val="231F20"/>
          <w:spacing w:val="-6"/>
        </w:rPr>
        <w:t xml:space="preserve"> </w:t>
      </w:r>
      <w:r>
        <w:rPr>
          <w:color w:val="231F20"/>
        </w:rPr>
        <w:t>AASB</w:t>
      </w:r>
      <w:r>
        <w:rPr>
          <w:color w:val="231F20"/>
          <w:spacing w:val="-5"/>
        </w:rPr>
        <w:t xml:space="preserve"> </w:t>
      </w:r>
      <w:r>
        <w:rPr>
          <w:color w:val="231F20"/>
        </w:rPr>
        <w:t>13</w:t>
      </w:r>
      <w:r>
        <w:rPr>
          <w:color w:val="231F20"/>
          <w:spacing w:val="-6"/>
        </w:rPr>
        <w:t xml:space="preserve"> </w:t>
      </w:r>
      <w:r>
        <w:rPr>
          <w:i/>
          <w:color w:val="231F20"/>
        </w:rPr>
        <w:t>Fair</w:t>
      </w:r>
      <w:r>
        <w:rPr>
          <w:i/>
          <w:color w:val="231F20"/>
          <w:spacing w:val="-13"/>
        </w:rPr>
        <w:t xml:space="preserve"> </w:t>
      </w:r>
      <w:r>
        <w:rPr>
          <w:i/>
          <w:color w:val="231F20"/>
        </w:rPr>
        <w:t>Value</w:t>
      </w:r>
      <w:r>
        <w:rPr>
          <w:i/>
          <w:color w:val="231F20"/>
          <w:spacing w:val="-13"/>
        </w:rPr>
        <w:t xml:space="preserve"> </w:t>
      </w:r>
      <w:r>
        <w:rPr>
          <w:i/>
          <w:color w:val="231F20"/>
        </w:rPr>
        <w:t>Measurement</w:t>
      </w:r>
      <w:r>
        <w:rPr>
          <w:i/>
          <w:color w:val="231F20"/>
          <w:spacing w:val="-9"/>
        </w:rPr>
        <w:t xml:space="preserve"> </w:t>
      </w:r>
      <w:r>
        <w:rPr>
          <w:color w:val="231F20"/>
        </w:rPr>
        <w:t>(AASB</w:t>
      </w:r>
      <w:r>
        <w:rPr>
          <w:color w:val="231F20"/>
          <w:spacing w:val="-5"/>
        </w:rPr>
        <w:t xml:space="preserve"> </w:t>
      </w:r>
      <w:r>
        <w:rPr>
          <w:color w:val="231F20"/>
        </w:rPr>
        <w:t>13),</w:t>
      </w:r>
      <w:r>
        <w:rPr>
          <w:color w:val="231F20"/>
          <w:spacing w:val="-5"/>
        </w:rPr>
        <w:t xml:space="preserve"> </w:t>
      </w:r>
      <w:r>
        <w:rPr>
          <w:color w:val="231F20"/>
        </w:rPr>
        <w:t>Victoria</w:t>
      </w:r>
      <w:r>
        <w:rPr>
          <w:color w:val="231F20"/>
          <w:spacing w:val="-6"/>
        </w:rPr>
        <w:t xml:space="preserve"> </w:t>
      </w:r>
      <w:r>
        <w:rPr>
          <w:color w:val="231F20"/>
        </w:rPr>
        <w:t>Police</w:t>
      </w:r>
      <w:r>
        <w:rPr>
          <w:color w:val="231F20"/>
          <w:spacing w:val="-6"/>
        </w:rPr>
        <w:t xml:space="preserve"> </w:t>
      </w:r>
      <w:r>
        <w:rPr>
          <w:color w:val="231F20"/>
        </w:rPr>
        <w:t>determines</w:t>
      </w:r>
      <w:r>
        <w:rPr>
          <w:color w:val="231F20"/>
          <w:spacing w:val="-5"/>
        </w:rPr>
        <w:t xml:space="preserve"> </w:t>
      </w:r>
      <w:r>
        <w:rPr>
          <w:color w:val="231F20"/>
        </w:rPr>
        <w:t>the policies</w:t>
      </w:r>
      <w:r>
        <w:rPr>
          <w:color w:val="231F20"/>
          <w:spacing w:val="-7"/>
        </w:rPr>
        <w:t xml:space="preserve"> </w:t>
      </w:r>
      <w:r>
        <w:rPr>
          <w:color w:val="231F20"/>
        </w:rPr>
        <w:t>and</w:t>
      </w:r>
      <w:r>
        <w:rPr>
          <w:color w:val="231F20"/>
          <w:spacing w:val="-8"/>
        </w:rPr>
        <w:t xml:space="preserve"> </w:t>
      </w:r>
      <w:r>
        <w:rPr>
          <w:color w:val="231F20"/>
        </w:rPr>
        <w:t>procedures</w:t>
      </w:r>
      <w:r>
        <w:rPr>
          <w:color w:val="231F20"/>
          <w:spacing w:val="-7"/>
        </w:rPr>
        <w:t xml:space="preserve"> </w:t>
      </w:r>
      <w:r>
        <w:rPr>
          <w:color w:val="231F20"/>
        </w:rPr>
        <w:t>for</w:t>
      </w:r>
      <w:r>
        <w:rPr>
          <w:color w:val="231F20"/>
          <w:spacing w:val="-7"/>
        </w:rPr>
        <w:t xml:space="preserve"> </w:t>
      </w:r>
      <w:r>
        <w:rPr>
          <w:color w:val="231F20"/>
        </w:rPr>
        <w:t>both</w:t>
      </w:r>
      <w:r>
        <w:rPr>
          <w:color w:val="231F20"/>
          <w:spacing w:val="-8"/>
        </w:rPr>
        <w:t xml:space="preserve"> </w:t>
      </w:r>
      <w:r>
        <w:rPr>
          <w:color w:val="231F20"/>
        </w:rPr>
        <w:t>recurring</w:t>
      </w:r>
      <w:r>
        <w:rPr>
          <w:color w:val="231F20"/>
          <w:spacing w:val="-8"/>
        </w:rPr>
        <w:t xml:space="preserve"> </w:t>
      </w:r>
      <w:r>
        <w:rPr>
          <w:color w:val="231F20"/>
        </w:rPr>
        <w:t>and</w:t>
      </w:r>
      <w:r>
        <w:rPr>
          <w:color w:val="231F20"/>
          <w:spacing w:val="-8"/>
        </w:rPr>
        <w:t xml:space="preserve"> </w:t>
      </w:r>
      <w:r>
        <w:rPr>
          <w:color w:val="231F20"/>
        </w:rPr>
        <w:t>fair</w:t>
      </w:r>
      <w:r>
        <w:rPr>
          <w:color w:val="231F20"/>
          <w:spacing w:val="-7"/>
        </w:rPr>
        <w:t xml:space="preserve"> </w:t>
      </w:r>
      <w:r>
        <w:rPr>
          <w:color w:val="231F20"/>
        </w:rPr>
        <w:t>value</w:t>
      </w:r>
      <w:r>
        <w:rPr>
          <w:color w:val="231F20"/>
          <w:spacing w:val="-8"/>
        </w:rPr>
        <w:t xml:space="preserve"> </w:t>
      </w:r>
      <w:r>
        <w:rPr>
          <w:color w:val="231F20"/>
        </w:rPr>
        <w:t>measurements</w:t>
      </w:r>
      <w:r>
        <w:rPr>
          <w:color w:val="231F20"/>
          <w:spacing w:val="-7"/>
        </w:rPr>
        <w:t xml:space="preserve"> </w:t>
      </w:r>
      <w:r>
        <w:rPr>
          <w:color w:val="231F20"/>
        </w:rPr>
        <w:t>such</w:t>
      </w:r>
      <w:r>
        <w:rPr>
          <w:color w:val="231F20"/>
          <w:spacing w:val="-8"/>
        </w:rPr>
        <w:t xml:space="preserve"> </w:t>
      </w:r>
      <w:r>
        <w:rPr>
          <w:color w:val="231F20"/>
        </w:rPr>
        <w:t>as</w:t>
      </w:r>
      <w:r>
        <w:rPr>
          <w:color w:val="231F20"/>
          <w:spacing w:val="-7"/>
        </w:rPr>
        <w:t xml:space="preserve"> </w:t>
      </w:r>
      <w:r>
        <w:rPr>
          <w:color w:val="231F20"/>
        </w:rPr>
        <w:t>property,</w:t>
      </w:r>
      <w:r>
        <w:rPr>
          <w:color w:val="231F20"/>
          <w:spacing w:val="-7"/>
        </w:rPr>
        <w:t xml:space="preserve"> </w:t>
      </w:r>
      <w:r>
        <w:rPr>
          <w:color w:val="231F20"/>
        </w:rPr>
        <w:t>plant and equipment and for non-recurring fair value measurements such as non-financial physical assets</w:t>
      </w:r>
      <w:r>
        <w:rPr>
          <w:color w:val="231F20"/>
          <w:spacing w:val="-8"/>
        </w:rPr>
        <w:t xml:space="preserve"> </w:t>
      </w:r>
      <w:r>
        <w:rPr>
          <w:color w:val="231F20"/>
        </w:rPr>
        <w:t>held</w:t>
      </w:r>
      <w:r>
        <w:rPr>
          <w:color w:val="231F20"/>
          <w:spacing w:val="-9"/>
        </w:rPr>
        <w:t xml:space="preserve"> </w:t>
      </w:r>
      <w:r>
        <w:rPr>
          <w:color w:val="231F20"/>
        </w:rPr>
        <w:t>for</w:t>
      </w:r>
      <w:r>
        <w:rPr>
          <w:color w:val="231F20"/>
          <w:spacing w:val="-8"/>
        </w:rPr>
        <w:t xml:space="preserve"> </w:t>
      </w:r>
      <w:r>
        <w:rPr>
          <w:color w:val="231F20"/>
        </w:rPr>
        <w:t>sale</w:t>
      </w:r>
      <w:r>
        <w:rPr>
          <w:color w:val="231F20"/>
          <w:spacing w:val="-9"/>
        </w:rPr>
        <w:t xml:space="preserve"> </w:t>
      </w:r>
      <w:r>
        <w:rPr>
          <w:color w:val="231F20"/>
        </w:rPr>
        <w:t>in</w:t>
      </w:r>
      <w:r>
        <w:rPr>
          <w:color w:val="231F20"/>
          <w:spacing w:val="-9"/>
        </w:rPr>
        <w:t xml:space="preserve"> </w:t>
      </w:r>
      <w:r>
        <w:rPr>
          <w:color w:val="231F20"/>
        </w:rPr>
        <w:t>accordance</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requirements</w:t>
      </w:r>
      <w:r>
        <w:rPr>
          <w:color w:val="231F20"/>
          <w:spacing w:val="-8"/>
        </w:rPr>
        <w:t xml:space="preserve"> </w:t>
      </w:r>
      <w:r>
        <w:rPr>
          <w:color w:val="231F20"/>
        </w:rPr>
        <w:t>of</w:t>
      </w:r>
      <w:r>
        <w:rPr>
          <w:color w:val="231F20"/>
          <w:spacing w:val="-8"/>
        </w:rPr>
        <w:t xml:space="preserve"> </w:t>
      </w:r>
      <w:r>
        <w:rPr>
          <w:color w:val="231F20"/>
        </w:rPr>
        <w:t>AASB</w:t>
      </w:r>
      <w:r>
        <w:rPr>
          <w:color w:val="231F20"/>
          <w:spacing w:val="-8"/>
        </w:rPr>
        <w:t xml:space="preserve"> </w:t>
      </w:r>
      <w:r>
        <w:rPr>
          <w:color w:val="231F20"/>
        </w:rPr>
        <w:t>13</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relevant</w:t>
      </w:r>
      <w:r>
        <w:rPr>
          <w:color w:val="231F20"/>
          <w:spacing w:val="-8"/>
        </w:rPr>
        <w:t xml:space="preserve"> </w:t>
      </w:r>
      <w:r>
        <w:rPr>
          <w:color w:val="231F20"/>
        </w:rPr>
        <w:t>Financial Reporting Directions (FRDs).</w:t>
      </w:r>
    </w:p>
    <w:p w14:paraId="6674F10B" w14:textId="77777777" w:rsidR="00345EE3" w:rsidRDefault="00345EE3" w:rsidP="00345EE3">
      <w:pPr>
        <w:pStyle w:val="BodyText"/>
        <w:spacing w:before="120" w:line="242" w:lineRule="auto"/>
        <w:ind w:right="381"/>
      </w:pPr>
      <w:r>
        <w:rPr>
          <w:color w:val="231F20"/>
        </w:rPr>
        <w:t>All assets for which fair value is measured or disclosed in the financial statements are categorised</w:t>
      </w:r>
      <w:r>
        <w:rPr>
          <w:color w:val="231F20"/>
          <w:spacing w:val="-11"/>
        </w:rPr>
        <w:t xml:space="preserve"> </w:t>
      </w:r>
      <w:r>
        <w:rPr>
          <w:color w:val="231F20"/>
        </w:rPr>
        <w:t>within</w:t>
      </w:r>
      <w:r>
        <w:rPr>
          <w:color w:val="231F20"/>
          <w:spacing w:val="-11"/>
        </w:rPr>
        <w:t xml:space="preserve"> </w:t>
      </w:r>
      <w:r>
        <w:rPr>
          <w:color w:val="231F20"/>
        </w:rPr>
        <w:t>the</w:t>
      </w:r>
      <w:r>
        <w:rPr>
          <w:color w:val="231F20"/>
          <w:spacing w:val="-11"/>
        </w:rPr>
        <w:t xml:space="preserve"> </w:t>
      </w:r>
      <w:r>
        <w:rPr>
          <w:color w:val="231F20"/>
        </w:rPr>
        <w:t>fair</w:t>
      </w:r>
      <w:r>
        <w:rPr>
          <w:color w:val="231F20"/>
          <w:spacing w:val="-11"/>
        </w:rPr>
        <w:t xml:space="preserve"> </w:t>
      </w:r>
      <w:r>
        <w:rPr>
          <w:color w:val="231F20"/>
        </w:rPr>
        <w:t>value</w:t>
      </w:r>
      <w:r>
        <w:rPr>
          <w:color w:val="231F20"/>
          <w:spacing w:val="-11"/>
        </w:rPr>
        <w:t xml:space="preserve"> </w:t>
      </w:r>
      <w:r>
        <w:rPr>
          <w:color w:val="231F20"/>
        </w:rPr>
        <w:t>hierarchy</w:t>
      </w:r>
      <w:r>
        <w:rPr>
          <w:color w:val="231F20"/>
          <w:spacing w:val="-11"/>
        </w:rPr>
        <w:t xml:space="preserve"> </w:t>
      </w:r>
      <w:r>
        <w:rPr>
          <w:color w:val="231F20"/>
        </w:rPr>
        <w:t>as</w:t>
      </w:r>
      <w:r>
        <w:rPr>
          <w:color w:val="231F20"/>
          <w:spacing w:val="-11"/>
        </w:rPr>
        <w:t xml:space="preserve"> </w:t>
      </w:r>
      <w:r>
        <w:rPr>
          <w:color w:val="231F20"/>
        </w:rPr>
        <w:t>described</w:t>
      </w:r>
      <w:r>
        <w:rPr>
          <w:color w:val="231F20"/>
          <w:spacing w:val="-11"/>
        </w:rPr>
        <w:t xml:space="preserve"> </w:t>
      </w:r>
      <w:r>
        <w:rPr>
          <w:color w:val="231F20"/>
        </w:rPr>
        <w:t>in</w:t>
      </w:r>
      <w:r>
        <w:rPr>
          <w:color w:val="231F20"/>
          <w:spacing w:val="-11"/>
        </w:rPr>
        <w:t xml:space="preserve"> </w:t>
      </w:r>
      <w:r>
        <w:rPr>
          <w:color w:val="231F20"/>
        </w:rPr>
        <w:t>Note</w:t>
      </w:r>
      <w:r>
        <w:rPr>
          <w:color w:val="231F20"/>
          <w:spacing w:val="-11"/>
        </w:rPr>
        <w:t xml:space="preserve"> </w:t>
      </w:r>
      <w:r>
        <w:rPr>
          <w:color w:val="231F20"/>
        </w:rPr>
        <w:t>8.3</w:t>
      </w:r>
      <w:r>
        <w:rPr>
          <w:color w:val="231F20"/>
          <w:spacing w:val="-11"/>
        </w:rPr>
        <w:t xml:space="preserve"> </w:t>
      </w:r>
      <w:r>
        <w:rPr>
          <w:color w:val="231F20"/>
        </w:rPr>
        <w:t>Fair</w:t>
      </w:r>
      <w:r>
        <w:rPr>
          <w:color w:val="231F20"/>
          <w:spacing w:val="-11"/>
        </w:rPr>
        <w:t xml:space="preserve"> </w:t>
      </w:r>
      <w:r>
        <w:rPr>
          <w:color w:val="231F20"/>
        </w:rPr>
        <w:t>Value</w:t>
      </w:r>
      <w:r>
        <w:rPr>
          <w:color w:val="231F20"/>
          <w:spacing w:val="-11"/>
        </w:rPr>
        <w:t xml:space="preserve"> </w:t>
      </w:r>
      <w:r>
        <w:rPr>
          <w:color w:val="231F20"/>
        </w:rPr>
        <w:t>Determination.</w:t>
      </w:r>
    </w:p>
    <w:p w14:paraId="2F5026C3" w14:textId="77777777" w:rsidR="00345EE3" w:rsidRDefault="00345EE3" w:rsidP="00345EE3">
      <w:pPr>
        <w:pStyle w:val="Heading5"/>
        <w:spacing w:before="165"/>
      </w:pPr>
      <w:r>
        <w:rPr>
          <w:color w:val="231F20"/>
        </w:rPr>
        <w:t>Subsequent</w:t>
      </w:r>
      <w:r>
        <w:rPr>
          <w:color w:val="231F20"/>
          <w:spacing w:val="-7"/>
        </w:rPr>
        <w:t xml:space="preserve"> </w:t>
      </w:r>
      <w:r>
        <w:rPr>
          <w:color w:val="231F20"/>
          <w:spacing w:val="-2"/>
        </w:rPr>
        <w:t>Measurements</w:t>
      </w:r>
    </w:p>
    <w:p w14:paraId="30EBD2AB" w14:textId="77777777" w:rsidR="00345EE3" w:rsidRDefault="00345EE3" w:rsidP="00345EE3">
      <w:pPr>
        <w:pStyle w:val="BodyText"/>
        <w:spacing w:before="61" w:line="242" w:lineRule="auto"/>
        <w:ind w:right="187"/>
      </w:pPr>
      <w:r>
        <w:rPr>
          <w:color w:val="231F20"/>
        </w:rPr>
        <w:t>Non-financial</w:t>
      </w:r>
      <w:r>
        <w:rPr>
          <w:color w:val="231F20"/>
          <w:spacing w:val="-5"/>
        </w:rPr>
        <w:t xml:space="preserve"> </w:t>
      </w:r>
      <w:r>
        <w:rPr>
          <w:color w:val="231F20"/>
        </w:rPr>
        <w:t>physical</w:t>
      </w:r>
      <w:r>
        <w:rPr>
          <w:color w:val="231F20"/>
          <w:spacing w:val="-5"/>
        </w:rPr>
        <w:t xml:space="preserve"> </w:t>
      </w:r>
      <w:r>
        <w:rPr>
          <w:color w:val="231F20"/>
        </w:rPr>
        <w:t>assets</w:t>
      </w:r>
      <w:r>
        <w:rPr>
          <w:color w:val="231F20"/>
          <w:spacing w:val="-4"/>
        </w:rPr>
        <w:t xml:space="preserve"> </w:t>
      </w:r>
      <w:r>
        <w:rPr>
          <w:color w:val="231F20"/>
        </w:rPr>
        <w:t>are</w:t>
      </w:r>
      <w:r>
        <w:rPr>
          <w:color w:val="231F20"/>
          <w:spacing w:val="-5"/>
        </w:rPr>
        <w:t xml:space="preserve"> </w:t>
      </w:r>
      <w:r>
        <w:rPr>
          <w:color w:val="231F20"/>
        </w:rPr>
        <w:t>measured</w:t>
      </w:r>
      <w:r>
        <w:rPr>
          <w:color w:val="231F20"/>
          <w:spacing w:val="-5"/>
        </w:rPr>
        <w:t xml:space="preserve"> </w:t>
      </w:r>
      <w:r>
        <w:rPr>
          <w:color w:val="231F20"/>
        </w:rPr>
        <w:t>at</w:t>
      </w:r>
      <w:r>
        <w:rPr>
          <w:color w:val="231F20"/>
          <w:spacing w:val="-4"/>
        </w:rPr>
        <w:t xml:space="preserve"> </w:t>
      </w:r>
      <w:r>
        <w:rPr>
          <w:color w:val="231F20"/>
        </w:rPr>
        <w:t>fair</w:t>
      </w:r>
      <w:r>
        <w:rPr>
          <w:color w:val="231F20"/>
          <w:spacing w:val="-4"/>
        </w:rPr>
        <w:t xml:space="preserve"> </w:t>
      </w:r>
      <w:r>
        <w:rPr>
          <w:color w:val="231F20"/>
        </w:rPr>
        <w:t>value</w:t>
      </w:r>
      <w:r>
        <w:rPr>
          <w:color w:val="231F20"/>
          <w:spacing w:val="-5"/>
        </w:rPr>
        <w:t xml:space="preserve"> </w:t>
      </w:r>
      <w:r>
        <w:rPr>
          <w:color w:val="231F20"/>
        </w:rPr>
        <w:t>(AASB</w:t>
      </w:r>
      <w:r>
        <w:rPr>
          <w:color w:val="231F20"/>
          <w:spacing w:val="-4"/>
        </w:rPr>
        <w:t xml:space="preserve"> </w:t>
      </w:r>
      <w:r>
        <w:rPr>
          <w:color w:val="231F20"/>
        </w:rPr>
        <w:t>13</w:t>
      </w:r>
      <w:r>
        <w:rPr>
          <w:color w:val="231F20"/>
          <w:spacing w:val="-5"/>
        </w:rPr>
        <w:t xml:space="preserve"> </w:t>
      </w:r>
      <w:r>
        <w:rPr>
          <w:color w:val="231F20"/>
        </w:rPr>
        <w:t>-</w:t>
      </w:r>
      <w:r>
        <w:rPr>
          <w:color w:val="231F20"/>
          <w:spacing w:val="-4"/>
        </w:rPr>
        <w:t xml:space="preserve"> </w:t>
      </w:r>
      <w:r>
        <w:rPr>
          <w:i/>
          <w:color w:val="231F20"/>
        </w:rPr>
        <w:t>Fair</w:t>
      </w:r>
      <w:r>
        <w:rPr>
          <w:i/>
          <w:color w:val="231F20"/>
          <w:spacing w:val="-13"/>
        </w:rPr>
        <w:t xml:space="preserve"> </w:t>
      </w:r>
      <w:r>
        <w:rPr>
          <w:i/>
          <w:color w:val="231F20"/>
        </w:rPr>
        <w:t>Value</w:t>
      </w:r>
      <w:r>
        <w:rPr>
          <w:i/>
          <w:color w:val="231F20"/>
          <w:spacing w:val="-13"/>
        </w:rPr>
        <w:t xml:space="preserve"> </w:t>
      </w:r>
      <w:r>
        <w:rPr>
          <w:i/>
          <w:color w:val="231F20"/>
        </w:rPr>
        <w:t>Measurement</w:t>
      </w:r>
      <w:r>
        <w:rPr>
          <w:color w:val="231F20"/>
        </w:rPr>
        <w:t>) on</w:t>
      </w:r>
      <w:r>
        <w:rPr>
          <w:color w:val="231F20"/>
          <w:spacing w:val="-17"/>
        </w:rPr>
        <w:t xml:space="preserve"> </w:t>
      </w:r>
      <w:r>
        <w:rPr>
          <w:color w:val="231F20"/>
        </w:rPr>
        <w:t>a</w:t>
      </w:r>
      <w:r>
        <w:rPr>
          <w:color w:val="231F20"/>
          <w:spacing w:val="-17"/>
        </w:rPr>
        <w:t xml:space="preserve"> </w:t>
      </w:r>
      <w:r>
        <w:rPr>
          <w:color w:val="231F20"/>
        </w:rPr>
        <w:t>cyclical</w:t>
      </w:r>
      <w:r>
        <w:rPr>
          <w:color w:val="231F20"/>
          <w:spacing w:val="-16"/>
        </w:rPr>
        <w:t xml:space="preserve"> </w:t>
      </w:r>
      <w:r>
        <w:rPr>
          <w:color w:val="231F20"/>
        </w:rPr>
        <w:t>basis</w:t>
      </w:r>
      <w:r>
        <w:rPr>
          <w:color w:val="231F20"/>
          <w:spacing w:val="-16"/>
        </w:rPr>
        <w:t xml:space="preserve"> </w:t>
      </w:r>
      <w:r>
        <w:rPr>
          <w:color w:val="231F20"/>
        </w:rPr>
        <w:t>in</w:t>
      </w:r>
      <w:r>
        <w:rPr>
          <w:color w:val="231F20"/>
          <w:spacing w:val="-15"/>
        </w:rPr>
        <w:t xml:space="preserve"> </w:t>
      </w:r>
      <w:r>
        <w:rPr>
          <w:color w:val="231F20"/>
        </w:rPr>
        <w:t>accordance</w:t>
      </w:r>
      <w:r>
        <w:rPr>
          <w:color w:val="231F20"/>
          <w:spacing w:val="-16"/>
        </w:rPr>
        <w:t xml:space="preserve"> </w:t>
      </w:r>
      <w:r>
        <w:rPr>
          <w:color w:val="231F20"/>
        </w:rPr>
        <w:t>with</w:t>
      </w:r>
      <w:r>
        <w:rPr>
          <w:color w:val="231F20"/>
          <w:spacing w:val="-16"/>
        </w:rPr>
        <w:t xml:space="preserve"> </w:t>
      </w:r>
      <w:r>
        <w:rPr>
          <w:color w:val="231F20"/>
        </w:rPr>
        <w:t>Financial</w:t>
      </w:r>
      <w:r>
        <w:rPr>
          <w:color w:val="231F20"/>
          <w:spacing w:val="-16"/>
        </w:rPr>
        <w:t xml:space="preserve"> </w:t>
      </w:r>
      <w:r>
        <w:rPr>
          <w:color w:val="231F20"/>
        </w:rPr>
        <w:t>Reporting</w:t>
      </w:r>
      <w:r>
        <w:rPr>
          <w:color w:val="231F20"/>
          <w:spacing w:val="-16"/>
        </w:rPr>
        <w:t xml:space="preserve"> </w:t>
      </w:r>
      <w:r>
        <w:rPr>
          <w:color w:val="231F20"/>
        </w:rPr>
        <w:t>Direction</w:t>
      </w:r>
      <w:r>
        <w:rPr>
          <w:color w:val="231F20"/>
          <w:spacing w:val="-16"/>
        </w:rPr>
        <w:t xml:space="preserve"> </w:t>
      </w:r>
      <w:r>
        <w:rPr>
          <w:color w:val="231F20"/>
        </w:rPr>
        <w:t>103</w:t>
      </w:r>
      <w:r>
        <w:rPr>
          <w:color w:val="231F20"/>
          <w:spacing w:val="-16"/>
        </w:rPr>
        <w:t xml:space="preserve"> </w:t>
      </w:r>
      <w:r>
        <w:rPr>
          <w:i/>
          <w:color w:val="231F20"/>
        </w:rPr>
        <w:t>Non-Financial</w:t>
      </w:r>
      <w:r>
        <w:rPr>
          <w:i/>
          <w:color w:val="231F20"/>
          <w:spacing w:val="-17"/>
        </w:rPr>
        <w:t xml:space="preserve"> </w:t>
      </w:r>
      <w:r>
        <w:rPr>
          <w:i/>
          <w:color w:val="231F20"/>
        </w:rPr>
        <w:t>Physical Assets</w:t>
      </w:r>
      <w:r>
        <w:rPr>
          <w:i/>
          <w:color w:val="231F20"/>
          <w:spacing w:val="-9"/>
        </w:rPr>
        <w:t xml:space="preserve"> </w:t>
      </w:r>
      <w:r>
        <w:rPr>
          <w:color w:val="231F20"/>
        </w:rPr>
        <w:t>(FRD</w:t>
      </w:r>
      <w:r>
        <w:rPr>
          <w:color w:val="231F20"/>
          <w:spacing w:val="-5"/>
        </w:rPr>
        <w:t xml:space="preserve"> </w:t>
      </w:r>
      <w:r>
        <w:rPr>
          <w:color w:val="231F20"/>
        </w:rPr>
        <w:t>103)</w:t>
      </w:r>
      <w:r>
        <w:rPr>
          <w:color w:val="231F20"/>
          <w:spacing w:val="-4"/>
        </w:rPr>
        <w:t xml:space="preserve"> </w:t>
      </w:r>
      <w:r>
        <w:rPr>
          <w:color w:val="231F20"/>
        </w:rPr>
        <w:t>issued</w:t>
      </w:r>
      <w:r>
        <w:rPr>
          <w:color w:val="231F20"/>
          <w:spacing w:val="-5"/>
        </w:rPr>
        <w:t xml:space="preserve"> </w:t>
      </w:r>
      <w:r>
        <w:rPr>
          <w:color w:val="231F20"/>
        </w:rPr>
        <w:t>by</w:t>
      </w:r>
      <w:r>
        <w:rPr>
          <w:color w:val="231F20"/>
          <w:spacing w:val="-4"/>
        </w:rPr>
        <w:t xml:space="preserve"> </w:t>
      </w:r>
      <w:r>
        <w:rPr>
          <w:color w:val="231F20"/>
        </w:rPr>
        <w:t>the</w:t>
      </w:r>
      <w:r>
        <w:rPr>
          <w:color w:val="231F20"/>
          <w:spacing w:val="-5"/>
        </w:rPr>
        <w:t xml:space="preserve"> </w:t>
      </w:r>
      <w:r>
        <w:rPr>
          <w:color w:val="231F20"/>
        </w:rPr>
        <w:t>Assistant</w:t>
      </w:r>
      <w:r>
        <w:rPr>
          <w:color w:val="231F20"/>
          <w:spacing w:val="-4"/>
        </w:rPr>
        <w:t xml:space="preserve"> </w:t>
      </w:r>
      <w:r>
        <w:rPr>
          <w:color w:val="231F20"/>
        </w:rPr>
        <w:t>Treasurer.</w:t>
      </w:r>
      <w:r>
        <w:rPr>
          <w:color w:val="231F20"/>
          <w:spacing w:val="-4"/>
        </w:rPr>
        <w:t xml:space="preserve"> </w:t>
      </w:r>
      <w:r>
        <w:rPr>
          <w:color w:val="231F20"/>
        </w:rPr>
        <w:t>A</w:t>
      </w:r>
      <w:r>
        <w:rPr>
          <w:color w:val="231F20"/>
          <w:spacing w:val="-4"/>
        </w:rPr>
        <w:t xml:space="preserve"> </w:t>
      </w:r>
      <w:r>
        <w:rPr>
          <w:color w:val="231F20"/>
        </w:rPr>
        <w:t>full</w:t>
      </w:r>
      <w:r>
        <w:rPr>
          <w:color w:val="231F20"/>
          <w:spacing w:val="-5"/>
        </w:rPr>
        <w:t xml:space="preserve"> </w:t>
      </w:r>
      <w:r>
        <w:rPr>
          <w:color w:val="231F20"/>
        </w:rPr>
        <w:t>revaluation</w:t>
      </w:r>
      <w:r>
        <w:rPr>
          <w:color w:val="231F20"/>
          <w:spacing w:val="-5"/>
        </w:rPr>
        <w:t xml:space="preserve"> </w:t>
      </w:r>
      <w:r>
        <w:rPr>
          <w:color w:val="231F20"/>
        </w:rPr>
        <w:t>normally</w:t>
      </w:r>
      <w:r>
        <w:rPr>
          <w:color w:val="231F20"/>
          <w:spacing w:val="-4"/>
        </w:rPr>
        <w:t xml:space="preserve"> </w:t>
      </w:r>
      <w:r>
        <w:rPr>
          <w:color w:val="231F20"/>
        </w:rPr>
        <w:t>occurs</w:t>
      </w:r>
      <w:r>
        <w:rPr>
          <w:color w:val="231F20"/>
          <w:spacing w:val="-4"/>
        </w:rPr>
        <w:t xml:space="preserve"> </w:t>
      </w:r>
      <w:r>
        <w:rPr>
          <w:color w:val="231F20"/>
        </w:rPr>
        <w:t>every five years, based upon the government purpose classification of assets, but may occur more</w:t>
      </w:r>
    </w:p>
    <w:p w14:paraId="61FDBD11" w14:textId="77777777" w:rsidR="00345EE3" w:rsidRDefault="00345EE3" w:rsidP="00345EE3">
      <w:pPr>
        <w:pStyle w:val="BodyText"/>
        <w:spacing w:before="5" w:line="242" w:lineRule="auto"/>
      </w:pPr>
      <w:r>
        <w:rPr>
          <w:color w:val="231F20"/>
        </w:rPr>
        <w:t>frequently</w:t>
      </w:r>
      <w:r>
        <w:rPr>
          <w:color w:val="231F20"/>
          <w:spacing w:val="-12"/>
        </w:rPr>
        <w:t xml:space="preserve"> </w:t>
      </w:r>
      <w:r>
        <w:rPr>
          <w:color w:val="231F20"/>
        </w:rPr>
        <w:t>if</w:t>
      </w:r>
      <w:r>
        <w:rPr>
          <w:color w:val="231F20"/>
          <w:spacing w:val="-12"/>
        </w:rPr>
        <w:t xml:space="preserve"> </w:t>
      </w:r>
      <w:r>
        <w:rPr>
          <w:color w:val="231F20"/>
        </w:rPr>
        <w:t>fair</w:t>
      </w:r>
      <w:r>
        <w:rPr>
          <w:color w:val="231F20"/>
          <w:spacing w:val="-12"/>
        </w:rPr>
        <w:t xml:space="preserve"> </w:t>
      </w:r>
      <w:r>
        <w:rPr>
          <w:color w:val="231F20"/>
        </w:rPr>
        <w:t>value</w:t>
      </w:r>
      <w:r>
        <w:rPr>
          <w:color w:val="231F20"/>
          <w:spacing w:val="-13"/>
        </w:rPr>
        <w:t xml:space="preserve"> </w:t>
      </w:r>
      <w:r>
        <w:rPr>
          <w:color w:val="231F20"/>
        </w:rPr>
        <w:t>assessments</w:t>
      </w:r>
      <w:r>
        <w:rPr>
          <w:color w:val="231F20"/>
          <w:spacing w:val="-12"/>
        </w:rPr>
        <w:t xml:space="preserve"> </w:t>
      </w:r>
      <w:r>
        <w:rPr>
          <w:color w:val="231F20"/>
        </w:rPr>
        <w:t>indicate</w:t>
      </w:r>
      <w:r>
        <w:rPr>
          <w:color w:val="231F20"/>
          <w:spacing w:val="-13"/>
        </w:rPr>
        <w:t xml:space="preserve"> </w:t>
      </w:r>
      <w:r>
        <w:rPr>
          <w:color w:val="231F20"/>
        </w:rPr>
        <w:t>material</w:t>
      </w:r>
      <w:r>
        <w:rPr>
          <w:color w:val="231F20"/>
          <w:spacing w:val="-13"/>
        </w:rPr>
        <w:t xml:space="preserve"> </w:t>
      </w:r>
      <w:r>
        <w:rPr>
          <w:color w:val="231F20"/>
        </w:rPr>
        <w:t>changes</w:t>
      </w:r>
      <w:r>
        <w:rPr>
          <w:color w:val="231F20"/>
          <w:spacing w:val="-12"/>
        </w:rPr>
        <w:t xml:space="preserve"> </w:t>
      </w:r>
      <w:r>
        <w:rPr>
          <w:color w:val="231F20"/>
        </w:rPr>
        <w:t>in</w:t>
      </w:r>
      <w:r>
        <w:rPr>
          <w:color w:val="231F20"/>
          <w:spacing w:val="-13"/>
        </w:rPr>
        <w:t xml:space="preserve"> </w:t>
      </w:r>
      <w:r>
        <w:rPr>
          <w:color w:val="231F20"/>
        </w:rPr>
        <w:t>values.</w:t>
      </w:r>
      <w:r>
        <w:rPr>
          <w:color w:val="231F20"/>
          <w:spacing w:val="-12"/>
        </w:rPr>
        <w:t xml:space="preserve"> </w:t>
      </w:r>
      <w:r>
        <w:rPr>
          <w:color w:val="231F20"/>
        </w:rPr>
        <w:t>Independent</w:t>
      </w:r>
      <w:r>
        <w:rPr>
          <w:color w:val="231F20"/>
          <w:spacing w:val="-12"/>
        </w:rPr>
        <w:t xml:space="preserve"> </w:t>
      </w:r>
      <w:r>
        <w:rPr>
          <w:color w:val="231F20"/>
        </w:rPr>
        <w:t>valuers</w:t>
      </w:r>
      <w:r>
        <w:rPr>
          <w:color w:val="231F20"/>
          <w:spacing w:val="-12"/>
        </w:rPr>
        <w:t xml:space="preserve"> </w:t>
      </w:r>
      <w:r>
        <w:rPr>
          <w:color w:val="231F20"/>
        </w:rPr>
        <w:t>are used to conduct these scheduled revaluations and any interim revaluations are determined in accordance with the requirements of the FRDs.</w:t>
      </w:r>
    </w:p>
    <w:p w14:paraId="5E4B11EF" w14:textId="77777777" w:rsidR="00345EE3" w:rsidRDefault="00345EE3" w:rsidP="00345EE3">
      <w:pPr>
        <w:pStyle w:val="BodyText"/>
        <w:spacing w:before="118" w:line="242" w:lineRule="auto"/>
        <w:ind w:right="381"/>
      </w:pPr>
      <w:r>
        <w:rPr>
          <w:color w:val="231F20"/>
        </w:rPr>
        <w:t>Revaluation</w:t>
      </w:r>
      <w:r>
        <w:rPr>
          <w:color w:val="231F20"/>
          <w:spacing w:val="-11"/>
        </w:rPr>
        <w:t xml:space="preserve"> </w:t>
      </w:r>
      <w:r>
        <w:rPr>
          <w:color w:val="231F20"/>
        </w:rPr>
        <w:t>increases</w:t>
      </w:r>
      <w:r>
        <w:rPr>
          <w:color w:val="231F20"/>
          <w:spacing w:val="-10"/>
        </w:rPr>
        <w:t xml:space="preserve"> </w:t>
      </w:r>
      <w:r>
        <w:rPr>
          <w:color w:val="231F20"/>
        </w:rPr>
        <w:t>or</w:t>
      </w:r>
      <w:r>
        <w:rPr>
          <w:color w:val="231F20"/>
          <w:spacing w:val="-10"/>
        </w:rPr>
        <w:t xml:space="preserve"> </w:t>
      </w:r>
      <w:r>
        <w:rPr>
          <w:color w:val="231F20"/>
        </w:rPr>
        <w:t>decreases</w:t>
      </w:r>
      <w:r>
        <w:rPr>
          <w:color w:val="231F20"/>
          <w:spacing w:val="-10"/>
        </w:rPr>
        <w:t xml:space="preserve"> </w:t>
      </w:r>
      <w:r>
        <w:rPr>
          <w:color w:val="231F20"/>
        </w:rPr>
        <w:t>arise</w:t>
      </w:r>
      <w:r>
        <w:rPr>
          <w:color w:val="231F20"/>
          <w:spacing w:val="-11"/>
        </w:rPr>
        <w:t xml:space="preserve"> </w:t>
      </w:r>
      <w:r>
        <w:rPr>
          <w:color w:val="231F20"/>
        </w:rPr>
        <w:t>from</w:t>
      </w:r>
      <w:r>
        <w:rPr>
          <w:color w:val="231F20"/>
          <w:spacing w:val="-10"/>
        </w:rPr>
        <w:t xml:space="preserve"> </w:t>
      </w:r>
      <w:r>
        <w:rPr>
          <w:color w:val="231F20"/>
        </w:rPr>
        <w:t>differences</w:t>
      </w:r>
      <w:r>
        <w:rPr>
          <w:color w:val="231F20"/>
          <w:spacing w:val="-10"/>
        </w:rPr>
        <w:t xml:space="preserve"> </w:t>
      </w:r>
      <w:r>
        <w:rPr>
          <w:color w:val="231F20"/>
        </w:rPr>
        <w:t>between</w:t>
      </w:r>
      <w:r>
        <w:rPr>
          <w:color w:val="231F20"/>
          <w:spacing w:val="-11"/>
        </w:rPr>
        <w:t xml:space="preserve"> </w:t>
      </w:r>
      <w:r>
        <w:rPr>
          <w:color w:val="231F20"/>
        </w:rPr>
        <w:t>an</w:t>
      </w:r>
      <w:r>
        <w:rPr>
          <w:color w:val="231F20"/>
          <w:spacing w:val="-11"/>
        </w:rPr>
        <w:t xml:space="preserve"> </w:t>
      </w:r>
      <w:r>
        <w:rPr>
          <w:color w:val="231F20"/>
        </w:rPr>
        <w:t>asset’s</w:t>
      </w:r>
      <w:r>
        <w:rPr>
          <w:color w:val="231F20"/>
          <w:spacing w:val="-10"/>
        </w:rPr>
        <w:t xml:space="preserve"> </w:t>
      </w:r>
      <w:r>
        <w:rPr>
          <w:color w:val="231F20"/>
        </w:rPr>
        <w:t>carrying</w:t>
      </w:r>
      <w:r>
        <w:rPr>
          <w:color w:val="231F20"/>
          <w:spacing w:val="-11"/>
        </w:rPr>
        <w:t xml:space="preserve"> </w:t>
      </w:r>
      <w:r>
        <w:rPr>
          <w:color w:val="231F20"/>
        </w:rPr>
        <w:t>value and fair value.</w:t>
      </w:r>
    </w:p>
    <w:p w14:paraId="00FBF916" w14:textId="77777777" w:rsidR="00345EE3" w:rsidRDefault="00345EE3" w:rsidP="00345EE3">
      <w:pPr>
        <w:pStyle w:val="BodyText"/>
        <w:spacing w:before="116" w:line="242" w:lineRule="auto"/>
        <w:ind w:right="187"/>
      </w:pPr>
      <w:r>
        <w:rPr>
          <w:color w:val="231F20"/>
        </w:rPr>
        <w:t>Net revaluation increases (where the carrying amount of a class of assets is increased as a result of a revaluation) are recognised in ‘Other economic flows – changes in physical asset revaluation surplus’ and accumulated in equity under the physical asset revaluation surplus. However,</w:t>
      </w:r>
      <w:r>
        <w:rPr>
          <w:color w:val="231F20"/>
          <w:spacing w:val="-10"/>
        </w:rPr>
        <w:t xml:space="preserve"> </w:t>
      </w:r>
      <w:r>
        <w:rPr>
          <w:color w:val="231F20"/>
        </w:rPr>
        <w:t>the</w:t>
      </w:r>
      <w:r>
        <w:rPr>
          <w:color w:val="231F20"/>
          <w:spacing w:val="-11"/>
        </w:rPr>
        <w:t xml:space="preserve"> </w:t>
      </w:r>
      <w:r>
        <w:rPr>
          <w:color w:val="231F20"/>
        </w:rPr>
        <w:t>net</w:t>
      </w:r>
      <w:r>
        <w:rPr>
          <w:color w:val="231F20"/>
          <w:spacing w:val="-10"/>
        </w:rPr>
        <w:t xml:space="preserve"> </w:t>
      </w:r>
      <w:r>
        <w:rPr>
          <w:color w:val="231F20"/>
        </w:rPr>
        <w:t>revaluation</w:t>
      </w:r>
      <w:r>
        <w:rPr>
          <w:color w:val="231F20"/>
          <w:spacing w:val="-11"/>
        </w:rPr>
        <w:t xml:space="preserve"> </w:t>
      </w:r>
      <w:r>
        <w:rPr>
          <w:color w:val="231F20"/>
        </w:rPr>
        <w:t>increase</w:t>
      </w:r>
      <w:r>
        <w:rPr>
          <w:color w:val="231F20"/>
          <w:spacing w:val="-11"/>
        </w:rPr>
        <w:t xml:space="preserve"> </w:t>
      </w:r>
      <w:r>
        <w:rPr>
          <w:color w:val="231F20"/>
        </w:rPr>
        <w:t>is</w:t>
      </w:r>
      <w:r>
        <w:rPr>
          <w:color w:val="231F20"/>
          <w:spacing w:val="-10"/>
        </w:rPr>
        <w:t xml:space="preserve"> </w:t>
      </w:r>
      <w:r>
        <w:rPr>
          <w:color w:val="231F20"/>
        </w:rPr>
        <w:t>recognised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net</w:t>
      </w:r>
      <w:r>
        <w:rPr>
          <w:color w:val="231F20"/>
          <w:spacing w:val="-10"/>
        </w:rPr>
        <w:t xml:space="preserve"> </w:t>
      </w:r>
      <w:r>
        <w:rPr>
          <w:color w:val="231F20"/>
        </w:rPr>
        <w:t>result</w:t>
      </w:r>
      <w:r>
        <w:rPr>
          <w:color w:val="231F20"/>
          <w:spacing w:val="-10"/>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extent</w:t>
      </w:r>
      <w:r>
        <w:rPr>
          <w:color w:val="231F20"/>
          <w:spacing w:val="-10"/>
        </w:rPr>
        <w:t xml:space="preserve"> </w:t>
      </w:r>
      <w:r>
        <w:rPr>
          <w:color w:val="231F20"/>
        </w:rPr>
        <w:t>that</w:t>
      </w:r>
      <w:r>
        <w:rPr>
          <w:color w:val="231F20"/>
          <w:spacing w:val="-10"/>
        </w:rPr>
        <w:t xml:space="preserve"> </w:t>
      </w:r>
      <w:r>
        <w:rPr>
          <w:color w:val="231F20"/>
        </w:rPr>
        <w:t>it</w:t>
      </w:r>
      <w:r>
        <w:rPr>
          <w:color w:val="231F20"/>
          <w:spacing w:val="-10"/>
        </w:rPr>
        <w:t xml:space="preserve"> </w:t>
      </w:r>
      <w:r>
        <w:rPr>
          <w:color w:val="231F20"/>
        </w:rPr>
        <w:t>reverses a net revaluation decrease in respect of the same class of property, plant and equipment previously</w:t>
      </w:r>
      <w:r>
        <w:rPr>
          <w:color w:val="231F20"/>
          <w:spacing w:val="-1"/>
        </w:rPr>
        <w:t xml:space="preserve"> </w:t>
      </w:r>
      <w:r>
        <w:rPr>
          <w:color w:val="231F20"/>
        </w:rPr>
        <w:t>recognised</w:t>
      </w:r>
      <w:r>
        <w:rPr>
          <w:color w:val="231F20"/>
          <w:spacing w:val="-2"/>
        </w:rPr>
        <w:t xml:space="preserve"> </w:t>
      </w:r>
      <w:r>
        <w:rPr>
          <w:color w:val="231F20"/>
        </w:rPr>
        <w:t>as</w:t>
      </w:r>
      <w:r>
        <w:rPr>
          <w:color w:val="231F20"/>
          <w:spacing w:val="-1"/>
        </w:rPr>
        <w:t xml:space="preserve"> </w:t>
      </w:r>
      <w:r>
        <w:rPr>
          <w:color w:val="231F20"/>
        </w:rPr>
        <w:t>an</w:t>
      </w:r>
      <w:r>
        <w:rPr>
          <w:color w:val="231F20"/>
          <w:spacing w:val="-2"/>
        </w:rPr>
        <w:t xml:space="preserve"> </w:t>
      </w:r>
      <w:r>
        <w:rPr>
          <w:color w:val="231F20"/>
        </w:rPr>
        <w:t>expense</w:t>
      </w:r>
      <w:r>
        <w:rPr>
          <w:color w:val="231F20"/>
          <w:spacing w:val="-2"/>
        </w:rPr>
        <w:t xml:space="preserve"> </w:t>
      </w:r>
      <w:r>
        <w:rPr>
          <w:color w:val="231F20"/>
        </w:rPr>
        <w:t>(other</w:t>
      </w:r>
      <w:r>
        <w:rPr>
          <w:color w:val="231F20"/>
          <w:spacing w:val="-1"/>
        </w:rPr>
        <w:t xml:space="preserve"> </w:t>
      </w:r>
      <w:r>
        <w:rPr>
          <w:color w:val="231F20"/>
        </w:rPr>
        <w:t>economic</w:t>
      </w:r>
      <w:r>
        <w:rPr>
          <w:color w:val="231F20"/>
          <w:spacing w:val="-1"/>
        </w:rPr>
        <w:t xml:space="preserve"> </w:t>
      </w:r>
      <w:r>
        <w:rPr>
          <w:color w:val="231F20"/>
        </w:rPr>
        <w:t>flows)</w:t>
      </w:r>
      <w:r>
        <w:rPr>
          <w:color w:val="231F20"/>
          <w:spacing w:val="-1"/>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net</w:t>
      </w:r>
      <w:r>
        <w:rPr>
          <w:color w:val="231F20"/>
          <w:spacing w:val="-1"/>
        </w:rPr>
        <w:t xml:space="preserve"> </w:t>
      </w:r>
      <w:r>
        <w:rPr>
          <w:color w:val="231F20"/>
        </w:rPr>
        <w:t>result.</w:t>
      </w:r>
      <w:r>
        <w:rPr>
          <w:color w:val="231F20"/>
          <w:spacing w:val="-1"/>
        </w:rPr>
        <w:t xml:space="preserve"> </w:t>
      </w:r>
      <w:r>
        <w:rPr>
          <w:color w:val="231F20"/>
        </w:rPr>
        <w:t>Conversely,</w:t>
      </w:r>
    </w:p>
    <w:p w14:paraId="5D8F6CC0" w14:textId="77777777" w:rsidR="00345EE3" w:rsidRDefault="00345EE3" w:rsidP="00345EE3">
      <w:pPr>
        <w:pStyle w:val="BodyText"/>
        <w:spacing w:before="8" w:line="242" w:lineRule="auto"/>
        <w:ind w:right="687"/>
      </w:pPr>
      <w:r>
        <w:rPr>
          <w:color w:val="231F20"/>
        </w:rPr>
        <w:t>net revaluation decreases are recognised immediately as other economic flows in the net results</w:t>
      </w:r>
      <w:r>
        <w:rPr>
          <w:color w:val="231F20"/>
          <w:spacing w:val="-5"/>
        </w:rPr>
        <w:t xml:space="preserve"> </w:t>
      </w:r>
      <w:r>
        <w:rPr>
          <w:color w:val="231F20"/>
        </w:rPr>
        <w:t>unless</w:t>
      </w:r>
      <w:r>
        <w:rPr>
          <w:color w:val="231F20"/>
          <w:spacing w:val="-5"/>
        </w:rPr>
        <w:t xml:space="preserve"> </w:t>
      </w:r>
      <w:r>
        <w:rPr>
          <w:color w:val="231F20"/>
        </w:rPr>
        <w:t>a</w:t>
      </w:r>
      <w:r>
        <w:rPr>
          <w:color w:val="231F20"/>
          <w:spacing w:val="-6"/>
        </w:rPr>
        <w:t xml:space="preserve"> </w:t>
      </w:r>
      <w:r>
        <w:rPr>
          <w:color w:val="231F20"/>
        </w:rPr>
        <w:t>credit</w:t>
      </w:r>
      <w:r>
        <w:rPr>
          <w:color w:val="231F20"/>
          <w:spacing w:val="-5"/>
        </w:rPr>
        <w:t xml:space="preserve"> </w:t>
      </w:r>
      <w:r>
        <w:rPr>
          <w:color w:val="231F20"/>
        </w:rPr>
        <w:t>balance</w:t>
      </w:r>
      <w:r>
        <w:rPr>
          <w:color w:val="231F20"/>
          <w:spacing w:val="-6"/>
        </w:rPr>
        <w:t xml:space="preserve"> </w:t>
      </w:r>
      <w:r>
        <w:rPr>
          <w:color w:val="231F20"/>
        </w:rPr>
        <w:t>exists</w:t>
      </w:r>
      <w:r>
        <w:rPr>
          <w:color w:val="231F20"/>
          <w:spacing w:val="-5"/>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physical</w:t>
      </w:r>
      <w:r>
        <w:rPr>
          <w:color w:val="231F20"/>
          <w:spacing w:val="-6"/>
        </w:rPr>
        <w:t xml:space="preserve"> </w:t>
      </w:r>
      <w:r>
        <w:rPr>
          <w:color w:val="231F20"/>
        </w:rPr>
        <w:t>asset</w:t>
      </w:r>
      <w:r>
        <w:rPr>
          <w:color w:val="231F20"/>
          <w:spacing w:val="-5"/>
        </w:rPr>
        <w:t xml:space="preserve"> </w:t>
      </w:r>
      <w:r>
        <w:rPr>
          <w:color w:val="231F20"/>
        </w:rPr>
        <w:t>revaluation</w:t>
      </w:r>
      <w:r>
        <w:rPr>
          <w:color w:val="231F20"/>
          <w:spacing w:val="-6"/>
        </w:rPr>
        <w:t xml:space="preserve"> </w:t>
      </w:r>
      <w:r>
        <w:rPr>
          <w:color w:val="231F20"/>
        </w:rPr>
        <w:t>surplus,</w:t>
      </w:r>
      <w:r>
        <w:rPr>
          <w:color w:val="231F20"/>
          <w:spacing w:val="-5"/>
        </w:rPr>
        <w:t xml:space="preserve"> </w:t>
      </w:r>
      <w:r>
        <w:rPr>
          <w:color w:val="231F20"/>
        </w:rPr>
        <w:t>to</w:t>
      </w:r>
      <w:r>
        <w:rPr>
          <w:color w:val="231F20"/>
          <w:spacing w:val="-6"/>
        </w:rPr>
        <w:t xml:space="preserve"> </w:t>
      </w:r>
      <w:r>
        <w:rPr>
          <w:color w:val="231F20"/>
        </w:rPr>
        <w:t>which</w:t>
      </w:r>
      <w:r>
        <w:rPr>
          <w:color w:val="231F20"/>
          <w:spacing w:val="-6"/>
        </w:rPr>
        <w:t xml:space="preserve"> </w:t>
      </w:r>
      <w:r>
        <w:rPr>
          <w:color w:val="231F20"/>
        </w:rPr>
        <w:t>the net</w:t>
      </w:r>
      <w:r>
        <w:rPr>
          <w:color w:val="231F20"/>
          <w:spacing w:val="-9"/>
        </w:rPr>
        <w:t xml:space="preserve"> </w:t>
      </w:r>
      <w:r>
        <w:rPr>
          <w:color w:val="231F20"/>
        </w:rPr>
        <w:t>revaluation</w:t>
      </w:r>
      <w:r>
        <w:rPr>
          <w:color w:val="231F20"/>
          <w:spacing w:val="-9"/>
        </w:rPr>
        <w:t xml:space="preserve"> </w:t>
      </w:r>
      <w:r>
        <w:rPr>
          <w:color w:val="231F20"/>
        </w:rPr>
        <w:t>decrease</w:t>
      </w:r>
      <w:r>
        <w:rPr>
          <w:color w:val="231F20"/>
          <w:spacing w:val="-9"/>
        </w:rPr>
        <w:t xml:space="preserve"> </w:t>
      </w:r>
      <w:r>
        <w:rPr>
          <w:color w:val="231F20"/>
        </w:rPr>
        <w:t>is</w:t>
      </w:r>
      <w:r>
        <w:rPr>
          <w:color w:val="231F20"/>
          <w:spacing w:val="-9"/>
        </w:rPr>
        <w:t xml:space="preserve"> </w:t>
      </w:r>
      <w:r>
        <w:rPr>
          <w:color w:val="231F20"/>
        </w:rPr>
        <w:t>recognised</w:t>
      </w:r>
      <w:r>
        <w:rPr>
          <w:color w:val="231F20"/>
          <w:spacing w:val="-9"/>
        </w:rPr>
        <w:t xml:space="preserve"> </w:t>
      </w:r>
      <w:r>
        <w:rPr>
          <w:color w:val="231F20"/>
        </w:rPr>
        <w:t>in</w:t>
      </w:r>
      <w:r>
        <w:rPr>
          <w:color w:val="231F20"/>
          <w:spacing w:val="-9"/>
        </w:rPr>
        <w:t xml:space="preserve"> </w:t>
      </w:r>
      <w:r>
        <w:rPr>
          <w:color w:val="231F20"/>
        </w:rPr>
        <w:t>‘Other</w:t>
      </w:r>
      <w:r>
        <w:rPr>
          <w:color w:val="231F20"/>
          <w:spacing w:val="-9"/>
        </w:rPr>
        <w:t xml:space="preserve"> </w:t>
      </w:r>
      <w:r>
        <w:rPr>
          <w:color w:val="231F20"/>
        </w:rPr>
        <w:t>economic</w:t>
      </w:r>
      <w:r>
        <w:rPr>
          <w:color w:val="231F20"/>
          <w:spacing w:val="-9"/>
        </w:rPr>
        <w:t xml:space="preserve"> </w:t>
      </w:r>
      <w:r>
        <w:rPr>
          <w:color w:val="231F20"/>
        </w:rPr>
        <w:t>flow</w:t>
      </w:r>
      <w:r>
        <w:rPr>
          <w:color w:val="231F20"/>
          <w:spacing w:val="-9"/>
        </w:rPr>
        <w:t xml:space="preserve"> </w:t>
      </w:r>
      <w:r>
        <w:rPr>
          <w:color w:val="231F20"/>
        </w:rPr>
        <w:t>–</w:t>
      </w:r>
      <w:r>
        <w:rPr>
          <w:color w:val="231F20"/>
          <w:spacing w:val="-9"/>
        </w:rPr>
        <w:t xml:space="preserve"> </w:t>
      </w:r>
      <w:r>
        <w:rPr>
          <w:color w:val="231F20"/>
        </w:rPr>
        <w:t>changes</w:t>
      </w:r>
      <w:r>
        <w:rPr>
          <w:color w:val="231F20"/>
          <w:spacing w:val="-9"/>
        </w:rPr>
        <w:t xml:space="preserve"> </w:t>
      </w:r>
      <w:r>
        <w:rPr>
          <w:color w:val="231F20"/>
        </w:rPr>
        <w:t>in</w:t>
      </w:r>
      <w:r>
        <w:rPr>
          <w:color w:val="231F20"/>
          <w:spacing w:val="-9"/>
        </w:rPr>
        <w:t xml:space="preserve"> </w:t>
      </w:r>
      <w:r>
        <w:rPr>
          <w:color w:val="231F20"/>
        </w:rPr>
        <w:t>physical</w:t>
      </w:r>
      <w:r>
        <w:rPr>
          <w:color w:val="231F20"/>
          <w:spacing w:val="-9"/>
        </w:rPr>
        <w:t xml:space="preserve"> </w:t>
      </w:r>
      <w:r>
        <w:rPr>
          <w:color w:val="231F20"/>
        </w:rPr>
        <w:t>asset revaluation surplus’ to the extent of the credit balance.</w:t>
      </w:r>
    </w:p>
    <w:p w14:paraId="624BDE96" w14:textId="77777777" w:rsidR="00345EE3" w:rsidRDefault="00345EE3" w:rsidP="00345EE3">
      <w:pPr>
        <w:pStyle w:val="BodyText"/>
        <w:spacing w:before="118" w:line="242" w:lineRule="auto"/>
        <w:ind w:right="109"/>
      </w:pPr>
      <w:r>
        <w:rPr>
          <w:color w:val="231F20"/>
        </w:rPr>
        <w:t>Revaluation increases and decreases relating to individual assets within a class of property, plant</w:t>
      </w:r>
      <w:r>
        <w:rPr>
          <w:color w:val="231F20"/>
          <w:spacing w:val="-7"/>
        </w:rPr>
        <w:t xml:space="preserve"> </w:t>
      </w:r>
      <w:r>
        <w:rPr>
          <w:color w:val="231F20"/>
        </w:rPr>
        <w:t>and</w:t>
      </w:r>
      <w:r>
        <w:rPr>
          <w:color w:val="231F20"/>
          <w:spacing w:val="-8"/>
        </w:rPr>
        <w:t xml:space="preserve"> </w:t>
      </w:r>
      <w:r>
        <w:rPr>
          <w:color w:val="231F20"/>
        </w:rPr>
        <w:t>equipment,</w:t>
      </w:r>
      <w:r>
        <w:rPr>
          <w:color w:val="231F20"/>
          <w:spacing w:val="-7"/>
        </w:rPr>
        <w:t xml:space="preserve"> </w:t>
      </w:r>
      <w:r>
        <w:rPr>
          <w:color w:val="231F20"/>
        </w:rPr>
        <w:t>are</w:t>
      </w:r>
      <w:r>
        <w:rPr>
          <w:color w:val="231F20"/>
          <w:spacing w:val="-8"/>
        </w:rPr>
        <w:t xml:space="preserve"> </w:t>
      </w:r>
      <w:r>
        <w:rPr>
          <w:color w:val="231F20"/>
        </w:rPr>
        <w:t>offset</w:t>
      </w:r>
      <w:r>
        <w:rPr>
          <w:color w:val="231F20"/>
          <w:spacing w:val="-7"/>
        </w:rPr>
        <w:t xml:space="preserve"> </w:t>
      </w:r>
      <w:r>
        <w:rPr>
          <w:color w:val="231F20"/>
        </w:rPr>
        <w:t>against</w:t>
      </w:r>
      <w:r>
        <w:rPr>
          <w:color w:val="231F20"/>
          <w:spacing w:val="-7"/>
        </w:rPr>
        <w:t xml:space="preserve"> </w:t>
      </w:r>
      <w:r>
        <w:rPr>
          <w:color w:val="231F20"/>
        </w:rPr>
        <w:t>one</w:t>
      </w:r>
      <w:r>
        <w:rPr>
          <w:color w:val="231F20"/>
          <w:spacing w:val="-8"/>
        </w:rPr>
        <w:t xml:space="preserve"> </w:t>
      </w:r>
      <w:r>
        <w:rPr>
          <w:color w:val="231F20"/>
        </w:rPr>
        <w:t>another</w:t>
      </w:r>
      <w:r>
        <w:rPr>
          <w:color w:val="231F20"/>
          <w:spacing w:val="-7"/>
        </w:rPr>
        <w:t xml:space="preserve"> </w:t>
      </w:r>
      <w:r>
        <w:rPr>
          <w:color w:val="231F20"/>
        </w:rPr>
        <w:t>within</w:t>
      </w:r>
      <w:r>
        <w:rPr>
          <w:color w:val="231F20"/>
          <w:spacing w:val="-8"/>
        </w:rPr>
        <w:t xml:space="preserve"> </w:t>
      </w:r>
      <w:r>
        <w:rPr>
          <w:color w:val="231F20"/>
        </w:rPr>
        <w:t>that</w:t>
      </w:r>
      <w:r>
        <w:rPr>
          <w:color w:val="231F20"/>
          <w:spacing w:val="-7"/>
        </w:rPr>
        <w:t xml:space="preserve"> </w:t>
      </w:r>
      <w:r>
        <w:rPr>
          <w:color w:val="231F20"/>
        </w:rPr>
        <w:t>class</w:t>
      </w:r>
      <w:r>
        <w:rPr>
          <w:color w:val="231F20"/>
          <w:spacing w:val="-7"/>
        </w:rPr>
        <w:t xml:space="preserve"> </w:t>
      </w:r>
      <w:r>
        <w:rPr>
          <w:color w:val="231F20"/>
        </w:rPr>
        <w:t>but</w:t>
      </w:r>
      <w:r>
        <w:rPr>
          <w:color w:val="231F20"/>
          <w:spacing w:val="-7"/>
        </w:rPr>
        <w:t xml:space="preserve"> </w:t>
      </w:r>
      <w:r>
        <w:rPr>
          <w:color w:val="231F20"/>
        </w:rPr>
        <w:t>are</w:t>
      </w:r>
      <w:r>
        <w:rPr>
          <w:color w:val="231F20"/>
          <w:spacing w:val="-8"/>
        </w:rPr>
        <w:t xml:space="preserve"> </w:t>
      </w:r>
      <w:r>
        <w:rPr>
          <w:color w:val="231F20"/>
        </w:rPr>
        <w:t>not</w:t>
      </w:r>
      <w:r>
        <w:rPr>
          <w:color w:val="231F20"/>
          <w:spacing w:val="-7"/>
        </w:rPr>
        <w:t xml:space="preserve"> </w:t>
      </w:r>
      <w:r>
        <w:rPr>
          <w:color w:val="231F20"/>
        </w:rPr>
        <w:t>offset</w:t>
      </w:r>
      <w:r>
        <w:rPr>
          <w:color w:val="231F20"/>
          <w:spacing w:val="-7"/>
        </w:rPr>
        <w:t xml:space="preserve"> </w:t>
      </w:r>
      <w:r>
        <w:rPr>
          <w:color w:val="231F20"/>
        </w:rPr>
        <w:t>in</w:t>
      </w:r>
      <w:r>
        <w:rPr>
          <w:color w:val="231F20"/>
          <w:spacing w:val="-8"/>
        </w:rPr>
        <w:t xml:space="preserve"> </w:t>
      </w:r>
      <w:r>
        <w:rPr>
          <w:color w:val="231F20"/>
        </w:rPr>
        <w:t>respect of assets in different classes. Any asset revaluation surplus is not normally transferred to accumulated funds on derecognition of the relevant asset.</w:t>
      </w:r>
    </w:p>
    <w:p w14:paraId="13A707D2" w14:textId="77777777" w:rsidR="00345EE3" w:rsidRDefault="00345EE3" w:rsidP="00345EE3">
      <w:pPr>
        <w:pStyle w:val="BodyText"/>
        <w:spacing w:before="119" w:line="242" w:lineRule="auto"/>
        <w:ind w:right="187"/>
      </w:pPr>
      <w:r>
        <w:rPr>
          <w:color w:val="231F20"/>
        </w:rPr>
        <w:t>The</w:t>
      </w:r>
      <w:r>
        <w:rPr>
          <w:color w:val="231F20"/>
          <w:spacing w:val="-13"/>
        </w:rPr>
        <w:t xml:space="preserve"> </w:t>
      </w:r>
      <w:r>
        <w:rPr>
          <w:color w:val="231F20"/>
        </w:rPr>
        <w:t>last</w:t>
      </w:r>
      <w:r>
        <w:rPr>
          <w:color w:val="231F20"/>
          <w:spacing w:val="-12"/>
        </w:rPr>
        <w:t xml:space="preserve"> </w:t>
      </w:r>
      <w:r>
        <w:rPr>
          <w:color w:val="231F20"/>
        </w:rPr>
        <w:t>independent</w:t>
      </w:r>
      <w:r>
        <w:rPr>
          <w:color w:val="231F20"/>
          <w:spacing w:val="-12"/>
        </w:rPr>
        <w:t xml:space="preserve"> </w:t>
      </w:r>
      <w:r>
        <w:rPr>
          <w:color w:val="231F20"/>
        </w:rPr>
        <w:t>revaluation</w:t>
      </w:r>
      <w:r>
        <w:rPr>
          <w:color w:val="231F20"/>
          <w:spacing w:val="-13"/>
        </w:rPr>
        <w:t xml:space="preserve"> </w:t>
      </w:r>
      <w:r>
        <w:rPr>
          <w:color w:val="231F20"/>
        </w:rPr>
        <w:t>that</w:t>
      </w:r>
      <w:r>
        <w:rPr>
          <w:color w:val="231F20"/>
          <w:spacing w:val="-12"/>
        </w:rPr>
        <w:t xml:space="preserve"> </w:t>
      </w:r>
      <w:r>
        <w:rPr>
          <w:color w:val="231F20"/>
        </w:rPr>
        <w:t>was</w:t>
      </w:r>
      <w:r>
        <w:rPr>
          <w:color w:val="231F20"/>
          <w:spacing w:val="-12"/>
        </w:rPr>
        <w:t xml:space="preserve"> </w:t>
      </w:r>
      <w:r>
        <w:rPr>
          <w:color w:val="231F20"/>
        </w:rPr>
        <w:t>undertaken</w:t>
      </w:r>
      <w:r>
        <w:rPr>
          <w:color w:val="231F20"/>
          <w:spacing w:val="-13"/>
        </w:rPr>
        <w:t xml:space="preserve"> </w:t>
      </w:r>
      <w:r>
        <w:rPr>
          <w:color w:val="231F20"/>
        </w:rPr>
        <w:t>by</w:t>
      </w:r>
      <w:r>
        <w:rPr>
          <w:color w:val="231F20"/>
          <w:spacing w:val="-12"/>
        </w:rPr>
        <w:t xml:space="preserve"> </w:t>
      </w:r>
      <w:r>
        <w:rPr>
          <w:color w:val="231F20"/>
        </w:rPr>
        <w:t>the</w:t>
      </w:r>
      <w:r>
        <w:rPr>
          <w:color w:val="231F20"/>
          <w:spacing w:val="-13"/>
        </w:rPr>
        <w:t xml:space="preserve"> </w:t>
      </w:r>
      <w:r>
        <w:rPr>
          <w:color w:val="231F20"/>
        </w:rPr>
        <w:t>Valuer-General</w:t>
      </w:r>
      <w:r>
        <w:rPr>
          <w:color w:val="231F20"/>
          <w:spacing w:val="-13"/>
        </w:rPr>
        <w:t xml:space="preserve"> </w:t>
      </w:r>
      <w:r>
        <w:rPr>
          <w:color w:val="231F20"/>
        </w:rPr>
        <w:t>Victoria</w:t>
      </w:r>
      <w:r>
        <w:rPr>
          <w:color w:val="231F20"/>
          <w:spacing w:val="-13"/>
        </w:rPr>
        <w:t xml:space="preserve"> </w:t>
      </w:r>
      <w:r>
        <w:rPr>
          <w:color w:val="231F20"/>
        </w:rPr>
        <w:t>(VGV)</w:t>
      </w:r>
      <w:r>
        <w:rPr>
          <w:color w:val="231F20"/>
          <w:spacing w:val="-12"/>
        </w:rPr>
        <w:t xml:space="preserve"> </w:t>
      </w:r>
      <w:r>
        <w:rPr>
          <w:color w:val="231F20"/>
        </w:rPr>
        <w:t xml:space="preserve">was in 2020–21. On a semi-annual basis, Victoria Police monitors the changes in the fair value of each asset and liability through relevant data sources to determine whether any revaluation is </w:t>
      </w:r>
      <w:r>
        <w:rPr>
          <w:color w:val="231F20"/>
          <w:spacing w:val="-2"/>
        </w:rPr>
        <w:t>required.</w:t>
      </w:r>
    </w:p>
    <w:p w14:paraId="09E3C947" w14:textId="77777777" w:rsidR="00345EE3" w:rsidRDefault="00345EE3" w:rsidP="00345EE3">
      <w:pPr>
        <w:pStyle w:val="BodyText"/>
        <w:spacing w:before="119" w:line="242" w:lineRule="auto"/>
        <w:ind w:right="109"/>
      </w:pPr>
      <w:r>
        <w:rPr>
          <w:color w:val="231F20"/>
        </w:rPr>
        <w:t>A managerial revaluation review of land and buildings was undertaken in the current year using the</w:t>
      </w:r>
      <w:r>
        <w:rPr>
          <w:color w:val="231F20"/>
          <w:spacing w:val="-12"/>
        </w:rPr>
        <w:t xml:space="preserve"> </w:t>
      </w:r>
      <w:r>
        <w:rPr>
          <w:color w:val="231F20"/>
        </w:rPr>
        <w:t>indices</w:t>
      </w:r>
      <w:r>
        <w:rPr>
          <w:color w:val="231F20"/>
          <w:spacing w:val="-11"/>
        </w:rPr>
        <w:t xml:space="preserve"> </w:t>
      </w:r>
      <w:r>
        <w:rPr>
          <w:color w:val="231F20"/>
        </w:rPr>
        <w:t>provided</w:t>
      </w:r>
      <w:r>
        <w:rPr>
          <w:color w:val="231F20"/>
          <w:spacing w:val="-12"/>
        </w:rPr>
        <w:t xml:space="preserve"> </w:t>
      </w:r>
      <w:r>
        <w:rPr>
          <w:color w:val="231F20"/>
        </w:rPr>
        <w:t>by</w:t>
      </w:r>
      <w:r>
        <w:rPr>
          <w:color w:val="231F20"/>
          <w:spacing w:val="-11"/>
        </w:rPr>
        <w:t xml:space="preserve"> </w:t>
      </w:r>
      <w:r>
        <w:rPr>
          <w:color w:val="231F20"/>
        </w:rPr>
        <w:t>VGV.</w:t>
      </w:r>
      <w:r>
        <w:rPr>
          <w:color w:val="231F20"/>
          <w:spacing w:val="-11"/>
        </w:rPr>
        <w:t xml:space="preserve"> </w:t>
      </w:r>
      <w:r>
        <w:rPr>
          <w:color w:val="231F20"/>
        </w:rPr>
        <w:t>This</w:t>
      </w:r>
      <w:r>
        <w:rPr>
          <w:color w:val="231F20"/>
          <w:spacing w:val="-11"/>
        </w:rPr>
        <w:t xml:space="preserve"> </w:t>
      </w:r>
      <w:r>
        <w:rPr>
          <w:color w:val="231F20"/>
        </w:rPr>
        <w:t>review</w:t>
      </w:r>
      <w:r>
        <w:rPr>
          <w:color w:val="231F20"/>
          <w:spacing w:val="-12"/>
        </w:rPr>
        <w:t xml:space="preserve"> </w:t>
      </w:r>
      <w:r>
        <w:rPr>
          <w:color w:val="231F20"/>
        </w:rPr>
        <w:t>did</w:t>
      </w:r>
      <w:r>
        <w:rPr>
          <w:color w:val="231F20"/>
          <w:spacing w:val="-12"/>
        </w:rPr>
        <w:t xml:space="preserve"> </w:t>
      </w:r>
      <w:r>
        <w:rPr>
          <w:color w:val="231F20"/>
        </w:rPr>
        <w:t>not</w:t>
      </w:r>
      <w:r>
        <w:rPr>
          <w:color w:val="231F20"/>
          <w:spacing w:val="-11"/>
        </w:rPr>
        <w:t xml:space="preserve"> </w:t>
      </w:r>
      <w:r>
        <w:rPr>
          <w:color w:val="231F20"/>
        </w:rPr>
        <w:t>result</w:t>
      </w:r>
      <w:r>
        <w:rPr>
          <w:color w:val="231F20"/>
          <w:spacing w:val="-11"/>
        </w:rPr>
        <w:t xml:space="preserve"> </w:t>
      </w:r>
      <w:r>
        <w:rPr>
          <w:color w:val="231F20"/>
        </w:rPr>
        <w:t>in</w:t>
      </w:r>
      <w:r>
        <w:rPr>
          <w:color w:val="231F20"/>
          <w:spacing w:val="-12"/>
        </w:rPr>
        <w:t xml:space="preserve"> </w:t>
      </w:r>
      <w:r>
        <w:rPr>
          <w:color w:val="231F20"/>
        </w:rPr>
        <w:t>any</w:t>
      </w:r>
      <w:r>
        <w:rPr>
          <w:color w:val="231F20"/>
          <w:spacing w:val="-11"/>
        </w:rPr>
        <w:t xml:space="preserve"> </w:t>
      </w:r>
      <w:r>
        <w:rPr>
          <w:color w:val="231F20"/>
        </w:rPr>
        <w:t>revaluation</w:t>
      </w:r>
      <w:r>
        <w:rPr>
          <w:color w:val="231F20"/>
          <w:spacing w:val="-12"/>
        </w:rPr>
        <w:t xml:space="preserve"> </w:t>
      </w:r>
      <w:r>
        <w:rPr>
          <w:color w:val="231F20"/>
        </w:rPr>
        <w:t>of</w:t>
      </w:r>
      <w:r>
        <w:rPr>
          <w:color w:val="231F20"/>
          <w:spacing w:val="-11"/>
        </w:rPr>
        <w:t xml:space="preserve"> </w:t>
      </w:r>
      <w:r>
        <w:rPr>
          <w:color w:val="231F20"/>
        </w:rPr>
        <w:t>land</w:t>
      </w:r>
      <w:r>
        <w:rPr>
          <w:color w:val="231F20"/>
          <w:spacing w:val="-12"/>
        </w:rPr>
        <w:t xml:space="preserve"> </w:t>
      </w:r>
      <w:r>
        <w:rPr>
          <w:color w:val="231F20"/>
        </w:rPr>
        <w:t>and</w:t>
      </w:r>
      <w:r>
        <w:rPr>
          <w:color w:val="231F20"/>
          <w:spacing w:val="-12"/>
        </w:rPr>
        <w:t xml:space="preserve"> </w:t>
      </w:r>
      <w:r>
        <w:rPr>
          <w:color w:val="231F20"/>
        </w:rPr>
        <w:t>buildings</w:t>
      </w:r>
      <w:r>
        <w:rPr>
          <w:color w:val="231F20"/>
          <w:spacing w:val="-11"/>
        </w:rPr>
        <w:t xml:space="preserve"> </w:t>
      </w:r>
      <w:r>
        <w:rPr>
          <w:color w:val="231F20"/>
        </w:rPr>
        <w:t xml:space="preserve">as the net increase in its carrying amount is less than the 10% threshold required under FRD 103 </w:t>
      </w:r>
      <w:r>
        <w:rPr>
          <w:i/>
          <w:color w:val="231F20"/>
        </w:rPr>
        <w:t>Non-Financial</w:t>
      </w:r>
      <w:r>
        <w:rPr>
          <w:i/>
          <w:color w:val="231F20"/>
          <w:spacing w:val="-4"/>
        </w:rPr>
        <w:t xml:space="preserve"> </w:t>
      </w:r>
      <w:r>
        <w:rPr>
          <w:i/>
          <w:color w:val="231F20"/>
        </w:rPr>
        <w:t>Physical</w:t>
      </w:r>
      <w:r>
        <w:rPr>
          <w:i/>
          <w:color w:val="231F20"/>
          <w:spacing w:val="-4"/>
        </w:rPr>
        <w:t xml:space="preserve"> </w:t>
      </w:r>
      <w:r>
        <w:rPr>
          <w:i/>
          <w:color w:val="231F20"/>
        </w:rPr>
        <w:t>Assets</w:t>
      </w:r>
      <w:r>
        <w:rPr>
          <w:color w:val="231F20"/>
        </w:rPr>
        <w:t>.</w:t>
      </w:r>
    </w:p>
    <w:p w14:paraId="02AD4EEF" w14:textId="77777777" w:rsidR="00345EE3" w:rsidRDefault="00345EE3" w:rsidP="00345EE3">
      <w:pPr>
        <w:pStyle w:val="Heading5"/>
        <w:spacing w:before="232"/>
      </w:pPr>
      <w:r>
        <w:rPr>
          <w:color w:val="231F20"/>
        </w:rPr>
        <w:t>Impairment</w:t>
      </w:r>
      <w:r>
        <w:rPr>
          <w:color w:val="231F20"/>
          <w:spacing w:val="-4"/>
        </w:rPr>
        <w:t xml:space="preserve"> </w:t>
      </w:r>
      <w:r>
        <w:rPr>
          <w:color w:val="231F20"/>
        </w:rPr>
        <w:t>of</w:t>
      </w:r>
      <w:r>
        <w:rPr>
          <w:color w:val="231F20"/>
          <w:spacing w:val="-3"/>
        </w:rPr>
        <w:t xml:space="preserve"> </w:t>
      </w:r>
      <w:r>
        <w:rPr>
          <w:color w:val="231F20"/>
        </w:rPr>
        <w:t>Property,</w:t>
      </w:r>
      <w:r>
        <w:rPr>
          <w:color w:val="231F20"/>
          <w:spacing w:val="-3"/>
        </w:rPr>
        <w:t xml:space="preserve"> </w:t>
      </w:r>
      <w:r>
        <w:rPr>
          <w:color w:val="231F20"/>
        </w:rPr>
        <w:t>Plant</w:t>
      </w:r>
      <w:r>
        <w:rPr>
          <w:color w:val="231F20"/>
          <w:spacing w:val="-3"/>
        </w:rPr>
        <w:t xml:space="preserve"> </w:t>
      </w:r>
      <w:r>
        <w:rPr>
          <w:color w:val="231F20"/>
        </w:rPr>
        <w:t>and</w:t>
      </w:r>
      <w:r>
        <w:rPr>
          <w:color w:val="231F20"/>
          <w:spacing w:val="-3"/>
        </w:rPr>
        <w:t xml:space="preserve"> </w:t>
      </w:r>
      <w:r>
        <w:rPr>
          <w:color w:val="231F20"/>
          <w:spacing w:val="-2"/>
        </w:rPr>
        <w:t>Equipment</w:t>
      </w:r>
    </w:p>
    <w:p w14:paraId="4DB9EBC2" w14:textId="77777777" w:rsidR="00345EE3" w:rsidRDefault="00345EE3" w:rsidP="00345EE3">
      <w:pPr>
        <w:pStyle w:val="BodyText"/>
        <w:spacing w:before="60" w:line="242" w:lineRule="auto"/>
        <w:ind w:right="482"/>
      </w:pPr>
      <w:r>
        <w:rPr>
          <w:color w:val="231F20"/>
        </w:rPr>
        <w:t>The recoverable amount of primarily non-cash-generating assets of not-for-profit entities, which</w:t>
      </w:r>
      <w:r>
        <w:rPr>
          <w:color w:val="231F20"/>
          <w:spacing w:val="-8"/>
        </w:rPr>
        <w:t xml:space="preserve"> </w:t>
      </w:r>
      <w:r>
        <w:rPr>
          <w:color w:val="231F20"/>
        </w:rPr>
        <w:t>are</w:t>
      </w:r>
      <w:r>
        <w:rPr>
          <w:color w:val="231F20"/>
          <w:spacing w:val="-8"/>
        </w:rPr>
        <w:t xml:space="preserve"> </w:t>
      </w:r>
      <w:r>
        <w:rPr>
          <w:color w:val="231F20"/>
        </w:rPr>
        <w:t>typically</w:t>
      </w:r>
      <w:r>
        <w:rPr>
          <w:color w:val="231F20"/>
          <w:spacing w:val="-7"/>
        </w:rPr>
        <w:t xml:space="preserve"> </w:t>
      </w:r>
      <w:r>
        <w:rPr>
          <w:color w:val="231F20"/>
        </w:rPr>
        <w:t>specialised</w:t>
      </w:r>
      <w:r>
        <w:rPr>
          <w:color w:val="231F20"/>
          <w:spacing w:val="-8"/>
        </w:rPr>
        <w:t xml:space="preserve"> </w:t>
      </w:r>
      <w:r>
        <w:rPr>
          <w:color w:val="231F20"/>
        </w:rPr>
        <w:t>in</w:t>
      </w:r>
      <w:r>
        <w:rPr>
          <w:color w:val="231F20"/>
          <w:spacing w:val="-8"/>
        </w:rPr>
        <w:t xml:space="preserve"> </w:t>
      </w:r>
      <w:r>
        <w:rPr>
          <w:color w:val="231F20"/>
        </w:rPr>
        <w:t>nature</w:t>
      </w:r>
      <w:r>
        <w:rPr>
          <w:color w:val="231F20"/>
          <w:spacing w:val="-8"/>
        </w:rPr>
        <w:t xml:space="preserve"> </w:t>
      </w:r>
      <w:r>
        <w:rPr>
          <w:color w:val="231F20"/>
        </w:rPr>
        <w:t>and</w:t>
      </w:r>
      <w:r>
        <w:rPr>
          <w:color w:val="231F20"/>
          <w:spacing w:val="-8"/>
        </w:rPr>
        <w:t xml:space="preserve"> </w:t>
      </w:r>
      <w:r>
        <w:rPr>
          <w:color w:val="231F20"/>
        </w:rPr>
        <w:t>held</w:t>
      </w:r>
      <w:r>
        <w:rPr>
          <w:color w:val="231F20"/>
          <w:spacing w:val="-8"/>
        </w:rPr>
        <w:t xml:space="preserve"> </w:t>
      </w:r>
      <w:r>
        <w:rPr>
          <w:color w:val="231F20"/>
        </w:rPr>
        <w:t>for</w:t>
      </w:r>
      <w:r>
        <w:rPr>
          <w:color w:val="231F20"/>
          <w:spacing w:val="-7"/>
        </w:rPr>
        <w:t xml:space="preserve"> </w:t>
      </w:r>
      <w:r>
        <w:rPr>
          <w:color w:val="231F20"/>
        </w:rPr>
        <w:t>continuing</w:t>
      </w:r>
      <w:r>
        <w:rPr>
          <w:color w:val="231F20"/>
          <w:spacing w:val="-8"/>
        </w:rPr>
        <w:t xml:space="preserve"> </w:t>
      </w:r>
      <w:r>
        <w:rPr>
          <w:color w:val="231F20"/>
        </w:rPr>
        <w:t>use</w:t>
      </w:r>
      <w:r>
        <w:rPr>
          <w:color w:val="231F20"/>
          <w:spacing w:val="-8"/>
        </w:rPr>
        <w:t xml:space="preserve"> </w:t>
      </w:r>
      <w:r>
        <w:rPr>
          <w:color w:val="231F20"/>
        </w:rPr>
        <w:t>of</w:t>
      </w:r>
      <w:r>
        <w:rPr>
          <w:color w:val="231F20"/>
          <w:spacing w:val="-7"/>
        </w:rPr>
        <w:t xml:space="preserve"> </w:t>
      </w:r>
      <w:r>
        <w:rPr>
          <w:color w:val="231F20"/>
        </w:rPr>
        <w:t>their</w:t>
      </w:r>
      <w:r>
        <w:rPr>
          <w:color w:val="231F20"/>
          <w:spacing w:val="-7"/>
        </w:rPr>
        <w:t xml:space="preserve"> </w:t>
      </w:r>
      <w:r>
        <w:rPr>
          <w:color w:val="231F20"/>
        </w:rPr>
        <w:t>service</w:t>
      </w:r>
      <w:r>
        <w:rPr>
          <w:color w:val="231F20"/>
          <w:spacing w:val="-8"/>
        </w:rPr>
        <w:t xml:space="preserve"> </w:t>
      </w:r>
      <w:r>
        <w:rPr>
          <w:color w:val="231F20"/>
        </w:rPr>
        <w:t>capacity, is expected to be materially the same as fair value determined under AASB 13, with the consequence</w:t>
      </w:r>
      <w:r>
        <w:rPr>
          <w:color w:val="231F20"/>
          <w:spacing w:val="-1"/>
        </w:rPr>
        <w:t xml:space="preserve"> </w:t>
      </w:r>
      <w:r>
        <w:rPr>
          <w:color w:val="231F20"/>
        </w:rPr>
        <w:t>that AASB 136</w:t>
      </w:r>
      <w:r>
        <w:rPr>
          <w:color w:val="231F20"/>
          <w:spacing w:val="-1"/>
        </w:rPr>
        <w:t xml:space="preserve"> </w:t>
      </w:r>
      <w:r>
        <w:rPr>
          <w:i/>
          <w:color w:val="231F20"/>
        </w:rPr>
        <w:t>Impairment</w:t>
      </w:r>
      <w:r>
        <w:rPr>
          <w:i/>
          <w:color w:val="231F20"/>
          <w:spacing w:val="-9"/>
        </w:rPr>
        <w:t xml:space="preserve"> </w:t>
      </w:r>
      <w:r>
        <w:rPr>
          <w:i/>
          <w:color w:val="231F20"/>
        </w:rPr>
        <w:t>of</w:t>
      </w:r>
      <w:r>
        <w:rPr>
          <w:i/>
          <w:color w:val="231F20"/>
          <w:spacing w:val="-9"/>
        </w:rPr>
        <w:t xml:space="preserve"> </w:t>
      </w:r>
      <w:r>
        <w:rPr>
          <w:i/>
          <w:color w:val="231F20"/>
        </w:rPr>
        <w:t>Assets</w:t>
      </w:r>
      <w:r>
        <w:rPr>
          <w:i/>
          <w:color w:val="231F20"/>
          <w:spacing w:val="-9"/>
        </w:rPr>
        <w:t xml:space="preserve"> </w:t>
      </w:r>
      <w:r>
        <w:rPr>
          <w:color w:val="231F20"/>
        </w:rPr>
        <w:t>does not apply to</w:t>
      </w:r>
      <w:r>
        <w:rPr>
          <w:color w:val="231F20"/>
          <w:spacing w:val="-1"/>
        </w:rPr>
        <w:t xml:space="preserve"> </w:t>
      </w:r>
      <w:r>
        <w:rPr>
          <w:color w:val="231F20"/>
        </w:rPr>
        <w:t>such</w:t>
      </w:r>
      <w:r>
        <w:rPr>
          <w:color w:val="231F20"/>
          <w:spacing w:val="-1"/>
        </w:rPr>
        <w:t xml:space="preserve"> </w:t>
      </w:r>
      <w:r>
        <w:rPr>
          <w:color w:val="231F20"/>
        </w:rPr>
        <w:t>assets that are regularly revalued.</w:t>
      </w:r>
    </w:p>
    <w:p w14:paraId="70964F83" w14:textId="77777777" w:rsidR="00345EE3" w:rsidRDefault="00345EE3" w:rsidP="00345EE3">
      <w:pPr>
        <w:spacing w:line="242" w:lineRule="auto"/>
        <w:sectPr w:rsidR="00345EE3">
          <w:pgSz w:w="11910" w:h="16840"/>
          <w:pgMar w:top="700" w:right="740" w:bottom="280" w:left="740" w:header="720" w:footer="720" w:gutter="0"/>
          <w:cols w:space="720"/>
        </w:sectPr>
      </w:pPr>
    </w:p>
    <w:p w14:paraId="517543DC" w14:textId="77777777" w:rsidR="00345EE3" w:rsidRPr="00B2400F" w:rsidRDefault="00345EE3">
      <w:pPr>
        <w:pStyle w:val="Heading2"/>
        <w:numPr>
          <w:ilvl w:val="0"/>
          <w:numId w:val="44"/>
        </w:numPr>
        <w:tabs>
          <w:tab w:val="left" w:pos="464"/>
        </w:tabs>
        <w:ind w:left="463" w:hanging="354"/>
        <w:rPr>
          <w:sz w:val="32"/>
          <w:szCs w:val="32"/>
        </w:rPr>
      </w:pPr>
      <w:r w:rsidRPr="00B2400F">
        <w:rPr>
          <w:color w:val="00529F"/>
          <w:sz w:val="32"/>
          <w:szCs w:val="32"/>
        </w:rPr>
        <w:t>Other</w:t>
      </w:r>
      <w:r w:rsidRPr="00B2400F">
        <w:rPr>
          <w:color w:val="00529F"/>
          <w:spacing w:val="-8"/>
          <w:sz w:val="32"/>
          <w:szCs w:val="32"/>
        </w:rPr>
        <w:t xml:space="preserve"> </w:t>
      </w:r>
      <w:r w:rsidRPr="00B2400F">
        <w:rPr>
          <w:color w:val="00529F"/>
          <w:sz w:val="32"/>
          <w:szCs w:val="32"/>
        </w:rPr>
        <w:t>Assets</w:t>
      </w:r>
      <w:r w:rsidRPr="00B2400F">
        <w:rPr>
          <w:color w:val="00529F"/>
          <w:spacing w:val="-8"/>
          <w:sz w:val="32"/>
          <w:szCs w:val="32"/>
        </w:rPr>
        <w:t xml:space="preserve"> </w:t>
      </w:r>
      <w:r w:rsidRPr="00B2400F">
        <w:rPr>
          <w:color w:val="00529F"/>
          <w:sz w:val="32"/>
          <w:szCs w:val="32"/>
        </w:rPr>
        <w:t>and</w:t>
      </w:r>
      <w:r w:rsidRPr="00B2400F">
        <w:rPr>
          <w:color w:val="00529F"/>
          <w:spacing w:val="-7"/>
          <w:sz w:val="32"/>
          <w:szCs w:val="32"/>
        </w:rPr>
        <w:t xml:space="preserve"> </w:t>
      </w:r>
      <w:r w:rsidRPr="00B2400F">
        <w:rPr>
          <w:color w:val="00529F"/>
          <w:spacing w:val="-2"/>
          <w:sz w:val="32"/>
          <w:szCs w:val="32"/>
        </w:rPr>
        <w:t>Liabilities</w:t>
      </w:r>
    </w:p>
    <w:p w14:paraId="1AB91EB9" w14:textId="77777777" w:rsidR="00345EE3" w:rsidRDefault="00345EE3" w:rsidP="002A27BA">
      <w:pPr>
        <w:pStyle w:val="Heading3"/>
      </w:pPr>
      <w:r>
        <w:t>Introduction</w:t>
      </w:r>
    </w:p>
    <w:p w14:paraId="4ADC63D7" w14:textId="77777777" w:rsidR="00345EE3" w:rsidRDefault="00345EE3" w:rsidP="00345EE3">
      <w:pPr>
        <w:pStyle w:val="BodyText"/>
        <w:spacing w:before="52" w:line="242" w:lineRule="auto"/>
      </w:pPr>
      <w:r>
        <w:rPr>
          <w:color w:val="231F20"/>
        </w:rPr>
        <w:t>This</w:t>
      </w:r>
      <w:r>
        <w:rPr>
          <w:color w:val="231F20"/>
          <w:spacing w:val="-9"/>
        </w:rPr>
        <w:t xml:space="preserve"> </w:t>
      </w:r>
      <w:r>
        <w:rPr>
          <w:color w:val="231F20"/>
        </w:rPr>
        <w:t>section</w:t>
      </w:r>
      <w:r>
        <w:rPr>
          <w:color w:val="231F20"/>
          <w:spacing w:val="-10"/>
        </w:rPr>
        <w:t xml:space="preserve"> </w:t>
      </w:r>
      <w:r>
        <w:rPr>
          <w:color w:val="231F20"/>
        </w:rPr>
        <w:t>sets</w:t>
      </w:r>
      <w:r>
        <w:rPr>
          <w:color w:val="231F20"/>
          <w:spacing w:val="-9"/>
        </w:rPr>
        <w:t xml:space="preserve"> </w:t>
      </w:r>
      <w:r>
        <w:rPr>
          <w:color w:val="231F20"/>
        </w:rPr>
        <w:t>out</w:t>
      </w:r>
      <w:r>
        <w:rPr>
          <w:color w:val="231F20"/>
          <w:spacing w:val="-10"/>
        </w:rPr>
        <w:t xml:space="preserve"> </w:t>
      </w:r>
      <w:r>
        <w:rPr>
          <w:color w:val="231F20"/>
        </w:rPr>
        <w:t>those</w:t>
      </w:r>
      <w:r>
        <w:rPr>
          <w:color w:val="231F20"/>
          <w:spacing w:val="-10"/>
        </w:rPr>
        <w:t xml:space="preserve"> </w:t>
      </w:r>
      <w:r>
        <w:rPr>
          <w:color w:val="231F20"/>
        </w:rPr>
        <w:t>assets</w:t>
      </w:r>
      <w:r>
        <w:rPr>
          <w:color w:val="231F20"/>
          <w:spacing w:val="-9"/>
        </w:rPr>
        <w:t xml:space="preserve"> </w:t>
      </w:r>
      <w:r>
        <w:rPr>
          <w:color w:val="231F20"/>
        </w:rPr>
        <w:t>and</w:t>
      </w:r>
      <w:r>
        <w:rPr>
          <w:color w:val="231F20"/>
          <w:spacing w:val="-10"/>
        </w:rPr>
        <w:t xml:space="preserve"> </w:t>
      </w:r>
      <w:r>
        <w:rPr>
          <w:color w:val="231F20"/>
        </w:rPr>
        <w:t>liabilities</w:t>
      </w:r>
      <w:r>
        <w:rPr>
          <w:color w:val="231F20"/>
          <w:spacing w:val="-9"/>
        </w:rPr>
        <w:t xml:space="preserve"> </w:t>
      </w:r>
      <w:r>
        <w:rPr>
          <w:color w:val="231F20"/>
        </w:rPr>
        <w:t>that</w:t>
      </w:r>
      <w:r>
        <w:rPr>
          <w:color w:val="231F20"/>
          <w:spacing w:val="-10"/>
        </w:rPr>
        <w:t xml:space="preserve"> </w:t>
      </w:r>
      <w:r>
        <w:rPr>
          <w:color w:val="231F20"/>
        </w:rPr>
        <w:t>arose</w:t>
      </w:r>
      <w:r>
        <w:rPr>
          <w:color w:val="231F20"/>
          <w:spacing w:val="-10"/>
        </w:rPr>
        <w:t xml:space="preserve"> </w:t>
      </w:r>
      <w:r>
        <w:rPr>
          <w:color w:val="231F20"/>
        </w:rPr>
        <w:t>from</w:t>
      </w:r>
      <w:r>
        <w:rPr>
          <w:color w:val="231F20"/>
          <w:spacing w:val="-9"/>
        </w:rPr>
        <w:t xml:space="preserve"> </w:t>
      </w:r>
      <w:r>
        <w:rPr>
          <w:color w:val="231F20"/>
        </w:rPr>
        <w:t>Victoria</w:t>
      </w:r>
      <w:r>
        <w:rPr>
          <w:color w:val="231F20"/>
          <w:spacing w:val="-10"/>
        </w:rPr>
        <w:t xml:space="preserve"> </w:t>
      </w:r>
      <w:r>
        <w:rPr>
          <w:color w:val="231F20"/>
        </w:rPr>
        <w:t>Police’s</w:t>
      </w:r>
      <w:r>
        <w:rPr>
          <w:color w:val="231F20"/>
          <w:spacing w:val="-9"/>
        </w:rPr>
        <w:t xml:space="preserve"> </w:t>
      </w:r>
      <w:r>
        <w:rPr>
          <w:color w:val="231F20"/>
        </w:rPr>
        <w:t xml:space="preserve">controlled </w:t>
      </w:r>
      <w:r>
        <w:rPr>
          <w:color w:val="231F20"/>
          <w:spacing w:val="-2"/>
        </w:rPr>
        <w:t>operations.</w:t>
      </w:r>
    </w:p>
    <w:p w14:paraId="03EF17A2" w14:textId="77777777" w:rsidR="00345EE3" w:rsidRDefault="00345EE3" w:rsidP="00345EE3">
      <w:pPr>
        <w:pStyle w:val="BodyText"/>
        <w:spacing w:before="1"/>
        <w:rPr>
          <w:sz w:val="12"/>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34"/>
        <w:gridCol w:w="7937"/>
        <w:gridCol w:w="1134"/>
      </w:tblGrid>
      <w:tr w:rsidR="00345EE3" w14:paraId="3A944F74" w14:textId="77777777" w:rsidTr="00D73130">
        <w:trPr>
          <w:trHeight w:val="401"/>
        </w:trPr>
        <w:tc>
          <w:tcPr>
            <w:tcW w:w="10205" w:type="dxa"/>
            <w:gridSpan w:val="3"/>
            <w:tcBorders>
              <w:top w:val="nil"/>
              <w:left w:val="nil"/>
              <w:bottom w:val="nil"/>
              <w:right w:val="nil"/>
            </w:tcBorders>
            <w:shd w:val="clear" w:color="auto" w:fill="00529F"/>
          </w:tcPr>
          <w:p w14:paraId="066A643E" w14:textId="77777777" w:rsidR="00345EE3" w:rsidRDefault="00345EE3" w:rsidP="00D73130">
            <w:pPr>
              <w:pStyle w:val="TableParagraph"/>
              <w:spacing w:before="0"/>
              <w:jc w:val="left"/>
              <w:rPr>
                <w:rFonts w:ascii="Times New Roman"/>
              </w:rPr>
            </w:pPr>
          </w:p>
        </w:tc>
      </w:tr>
      <w:tr w:rsidR="00345EE3" w14:paraId="7F0CA626" w14:textId="77777777" w:rsidTr="00D73130">
        <w:trPr>
          <w:trHeight w:val="399"/>
        </w:trPr>
        <w:tc>
          <w:tcPr>
            <w:tcW w:w="1134" w:type="dxa"/>
            <w:tcBorders>
              <w:top w:val="nil"/>
              <w:left w:val="nil"/>
            </w:tcBorders>
          </w:tcPr>
          <w:p w14:paraId="66B8E011" w14:textId="77777777" w:rsidR="00345EE3" w:rsidRDefault="00345EE3" w:rsidP="00D73130">
            <w:pPr>
              <w:pStyle w:val="TableParagraph"/>
              <w:spacing w:before="63"/>
              <w:ind w:left="-3"/>
              <w:jc w:val="left"/>
              <w:rPr>
                <w:sz w:val="24"/>
              </w:rPr>
            </w:pPr>
            <w:r>
              <w:rPr>
                <w:color w:val="231F20"/>
                <w:spacing w:val="-5"/>
                <w:sz w:val="24"/>
              </w:rPr>
              <w:t>6.1</w:t>
            </w:r>
          </w:p>
        </w:tc>
        <w:tc>
          <w:tcPr>
            <w:tcW w:w="7937" w:type="dxa"/>
            <w:tcBorders>
              <w:top w:val="nil"/>
            </w:tcBorders>
          </w:tcPr>
          <w:p w14:paraId="5D78DE97" w14:textId="77777777" w:rsidR="00345EE3" w:rsidRDefault="00345EE3" w:rsidP="00D73130">
            <w:pPr>
              <w:pStyle w:val="TableParagraph"/>
              <w:spacing w:before="63"/>
              <w:ind w:left="-1"/>
              <w:jc w:val="left"/>
              <w:rPr>
                <w:sz w:val="24"/>
              </w:rPr>
            </w:pPr>
            <w:r>
              <w:rPr>
                <w:color w:val="231F20"/>
                <w:spacing w:val="-2"/>
                <w:sz w:val="24"/>
              </w:rPr>
              <w:t>Receivables</w:t>
            </w:r>
          </w:p>
        </w:tc>
        <w:tc>
          <w:tcPr>
            <w:tcW w:w="1134" w:type="dxa"/>
            <w:tcBorders>
              <w:top w:val="nil"/>
              <w:right w:val="nil"/>
            </w:tcBorders>
          </w:tcPr>
          <w:p w14:paraId="01002EB6" w14:textId="73649665" w:rsidR="00345EE3" w:rsidRDefault="00345EE3" w:rsidP="00D73130">
            <w:pPr>
              <w:pStyle w:val="TableParagraph"/>
              <w:spacing w:before="63"/>
              <w:rPr>
                <w:sz w:val="24"/>
              </w:rPr>
            </w:pPr>
            <w:r>
              <w:rPr>
                <w:color w:val="231F20"/>
                <w:spacing w:val="-5"/>
                <w:sz w:val="24"/>
              </w:rPr>
              <w:t>1</w:t>
            </w:r>
            <w:r w:rsidR="000C235A">
              <w:rPr>
                <w:color w:val="231F20"/>
                <w:spacing w:val="-5"/>
                <w:sz w:val="24"/>
              </w:rPr>
              <w:t>45-146</w:t>
            </w:r>
          </w:p>
        </w:tc>
      </w:tr>
      <w:tr w:rsidR="00345EE3" w14:paraId="06878477" w14:textId="77777777" w:rsidTr="00D73130">
        <w:trPr>
          <w:trHeight w:val="396"/>
        </w:trPr>
        <w:tc>
          <w:tcPr>
            <w:tcW w:w="1134" w:type="dxa"/>
            <w:tcBorders>
              <w:left w:val="nil"/>
            </w:tcBorders>
          </w:tcPr>
          <w:p w14:paraId="234EFC30" w14:textId="77777777" w:rsidR="00345EE3" w:rsidRDefault="00345EE3" w:rsidP="00D73130">
            <w:pPr>
              <w:pStyle w:val="TableParagraph"/>
              <w:ind w:left="-3"/>
              <w:jc w:val="left"/>
              <w:rPr>
                <w:sz w:val="24"/>
              </w:rPr>
            </w:pPr>
            <w:r>
              <w:rPr>
                <w:color w:val="231F20"/>
                <w:spacing w:val="-5"/>
                <w:sz w:val="24"/>
              </w:rPr>
              <w:t>6.2</w:t>
            </w:r>
          </w:p>
        </w:tc>
        <w:tc>
          <w:tcPr>
            <w:tcW w:w="7937" w:type="dxa"/>
          </w:tcPr>
          <w:p w14:paraId="282D9089" w14:textId="77777777" w:rsidR="00345EE3" w:rsidRDefault="00345EE3" w:rsidP="00D73130">
            <w:pPr>
              <w:pStyle w:val="TableParagraph"/>
              <w:ind w:left="-1"/>
              <w:jc w:val="left"/>
              <w:rPr>
                <w:sz w:val="24"/>
              </w:rPr>
            </w:pPr>
            <w:r>
              <w:rPr>
                <w:color w:val="231F20"/>
                <w:sz w:val="24"/>
              </w:rPr>
              <w:t>Derivative</w:t>
            </w:r>
            <w:r>
              <w:rPr>
                <w:color w:val="231F20"/>
                <w:spacing w:val="-5"/>
                <w:sz w:val="24"/>
              </w:rPr>
              <w:t xml:space="preserve"> </w:t>
            </w:r>
            <w:r>
              <w:rPr>
                <w:color w:val="231F20"/>
                <w:sz w:val="24"/>
              </w:rPr>
              <w:t>Financial</w:t>
            </w:r>
            <w:r>
              <w:rPr>
                <w:color w:val="231F20"/>
                <w:spacing w:val="-3"/>
                <w:sz w:val="24"/>
              </w:rPr>
              <w:t xml:space="preserve"> </w:t>
            </w:r>
            <w:r>
              <w:rPr>
                <w:color w:val="231F20"/>
                <w:sz w:val="24"/>
              </w:rPr>
              <w:t>Instruments</w:t>
            </w:r>
            <w:r>
              <w:rPr>
                <w:color w:val="231F20"/>
                <w:spacing w:val="-3"/>
                <w:sz w:val="24"/>
              </w:rPr>
              <w:t xml:space="preserve"> </w:t>
            </w:r>
            <w:r>
              <w:rPr>
                <w:color w:val="231F20"/>
                <w:sz w:val="24"/>
              </w:rPr>
              <w:t>and</w:t>
            </w:r>
            <w:r>
              <w:rPr>
                <w:color w:val="231F20"/>
                <w:spacing w:val="-4"/>
                <w:sz w:val="24"/>
              </w:rPr>
              <w:t xml:space="preserve"> </w:t>
            </w:r>
            <w:r>
              <w:rPr>
                <w:color w:val="231F20"/>
                <w:sz w:val="24"/>
              </w:rPr>
              <w:t>Hedge</w:t>
            </w:r>
            <w:r>
              <w:rPr>
                <w:color w:val="231F20"/>
                <w:spacing w:val="-15"/>
                <w:sz w:val="24"/>
              </w:rPr>
              <w:t xml:space="preserve"> </w:t>
            </w:r>
            <w:r>
              <w:rPr>
                <w:color w:val="231F20"/>
                <w:spacing w:val="-2"/>
                <w:sz w:val="24"/>
              </w:rPr>
              <w:t>Accounting</w:t>
            </w:r>
          </w:p>
        </w:tc>
        <w:tc>
          <w:tcPr>
            <w:tcW w:w="1134" w:type="dxa"/>
            <w:tcBorders>
              <w:right w:val="nil"/>
            </w:tcBorders>
          </w:tcPr>
          <w:p w14:paraId="770E9C1A" w14:textId="2F3E7D05" w:rsidR="00345EE3" w:rsidRDefault="000C235A" w:rsidP="00D73130">
            <w:pPr>
              <w:pStyle w:val="TableParagraph"/>
              <w:rPr>
                <w:sz w:val="24"/>
              </w:rPr>
            </w:pPr>
            <w:r>
              <w:rPr>
                <w:color w:val="231F20"/>
                <w:spacing w:val="-5"/>
                <w:sz w:val="24"/>
              </w:rPr>
              <w:t>146-147</w:t>
            </w:r>
          </w:p>
        </w:tc>
      </w:tr>
      <w:tr w:rsidR="00345EE3" w14:paraId="0D14407C" w14:textId="77777777" w:rsidTr="00D73130">
        <w:trPr>
          <w:trHeight w:val="396"/>
        </w:trPr>
        <w:tc>
          <w:tcPr>
            <w:tcW w:w="1134" w:type="dxa"/>
            <w:tcBorders>
              <w:left w:val="nil"/>
            </w:tcBorders>
          </w:tcPr>
          <w:p w14:paraId="17F175D1" w14:textId="77777777" w:rsidR="00345EE3" w:rsidRDefault="00345EE3" w:rsidP="00D73130">
            <w:pPr>
              <w:pStyle w:val="TableParagraph"/>
              <w:ind w:left="-3"/>
              <w:jc w:val="left"/>
              <w:rPr>
                <w:sz w:val="24"/>
              </w:rPr>
            </w:pPr>
            <w:r>
              <w:rPr>
                <w:color w:val="231F20"/>
                <w:spacing w:val="-5"/>
                <w:sz w:val="24"/>
              </w:rPr>
              <w:t>6.3</w:t>
            </w:r>
          </w:p>
        </w:tc>
        <w:tc>
          <w:tcPr>
            <w:tcW w:w="7937" w:type="dxa"/>
          </w:tcPr>
          <w:p w14:paraId="25418953" w14:textId="77777777" w:rsidR="00345EE3" w:rsidRDefault="00345EE3" w:rsidP="00D73130">
            <w:pPr>
              <w:pStyle w:val="TableParagraph"/>
              <w:ind w:left="-1"/>
              <w:jc w:val="left"/>
              <w:rPr>
                <w:sz w:val="24"/>
              </w:rPr>
            </w:pPr>
            <w:r>
              <w:rPr>
                <w:color w:val="231F20"/>
                <w:spacing w:val="-2"/>
                <w:sz w:val="24"/>
              </w:rPr>
              <w:t>Payables</w:t>
            </w:r>
          </w:p>
        </w:tc>
        <w:tc>
          <w:tcPr>
            <w:tcW w:w="1134" w:type="dxa"/>
            <w:tcBorders>
              <w:right w:val="nil"/>
            </w:tcBorders>
          </w:tcPr>
          <w:p w14:paraId="5E3E0A0B" w14:textId="68D84BEE" w:rsidR="00345EE3" w:rsidRDefault="000C235A" w:rsidP="00D73130">
            <w:pPr>
              <w:pStyle w:val="TableParagraph"/>
              <w:ind w:right="-15"/>
              <w:rPr>
                <w:sz w:val="24"/>
              </w:rPr>
            </w:pPr>
            <w:r>
              <w:rPr>
                <w:color w:val="231F20"/>
                <w:spacing w:val="-5"/>
                <w:sz w:val="24"/>
              </w:rPr>
              <w:t>147-148</w:t>
            </w:r>
          </w:p>
        </w:tc>
      </w:tr>
      <w:tr w:rsidR="00345EE3" w14:paraId="34191E54" w14:textId="77777777" w:rsidTr="00D73130">
        <w:trPr>
          <w:trHeight w:val="396"/>
        </w:trPr>
        <w:tc>
          <w:tcPr>
            <w:tcW w:w="1134" w:type="dxa"/>
            <w:tcBorders>
              <w:left w:val="nil"/>
            </w:tcBorders>
          </w:tcPr>
          <w:p w14:paraId="5CFA8B85" w14:textId="77777777" w:rsidR="00345EE3" w:rsidRDefault="00345EE3" w:rsidP="00D73130">
            <w:pPr>
              <w:pStyle w:val="TableParagraph"/>
              <w:ind w:left="-3"/>
              <w:jc w:val="left"/>
              <w:rPr>
                <w:sz w:val="24"/>
              </w:rPr>
            </w:pPr>
            <w:r>
              <w:rPr>
                <w:color w:val="231F20"/>
                <w:spacing w:val="-5"/>
                <w:sz w:val="24"/>
              </w:rPr>
              <w:t>6.4</w:t>
            </w:r>
          </w:p>
        </w:tc>
        <w:tc>
          <w:tcPr>
            <w:tcW w:w="7937" w:type="dxa"/>
          </w:tcPr>
          <w:p w14:paraId="12C7492E" w14:textId="77777777" w:rsidR="00345EE3" w:rsidRDefault="00345EE3" w:rsidP="00D73130">
            <w:pPr>
              <w:pStyle w:val="TableParagraph"/>
              <w:jc w:val="left"/>
              <w:rPr>
                <w:sz w:val="24"/>
              </w:rPr>
            </w:pPr>
            <w:r>
              <w:rPr>
                <w:color w:val="231F20"/>
                <w:sz w:val="24"/>
              </w:rPr>
              <w:t>Other</w:t>
            </w:r>
            <w:r>
              <w:rPr>
                <w:color w:val="231F20"/>
                <w:spacing w:val="-9"/>
                <w:sz w:val="24"/>
              </w:rPr>
              <w:t xml:space="preserve"> </w:t>
            </w:r>
            <w:r>
              <w:rPr>
                <w:color w:val="231F20"/>
                <w:sz w:val="24"/>
              </w:rPr>
              <w:t>Non-Financial</w:t>
            </w:r>
            <w:r>
              <w:rPr>
                <w:color w:val="231F20"/>
                <w:spacing w:val="-16"/>
                <w:sz w:val="24"/>
              </w:rPr>
              <w:t xml:space="preserve"> </w:t>
            </w:r>
            <w:r>
              <w:rPr>
                <w:color w:val="231F20"/>
                <w:spacing w:val="-2"/>
                <w:sz w:val="24"/>
              </w:rPr>
              <w:t>Assets</w:t>
            </w:r>
          </w:p>
        </w:tc>
        <w:tc>
          <w:tcPr>
            <w:tcW w:w="1134" w:type="dxa"/>
            <w:tcBorders>
              <w:right w:val="nil"/>
            </w:tcBorders>
          </w:tcPr>
          <w:p w14:paraId="024F37B7" w14:textId="649DDEF5" w:rsidR="00345EE3" w:rsidRDefault="00345EE3" w:rsidP="00D73130">
            <w:pPr>
              <w:pStyle w:val="TableParagraph"/>
              <w:ind w:right="15"/>
              <w:rPr>
                <w:sz w:val="24"/>
              </w:rPr>
            </w:pPr>
            <w:r>
              <w:rPr>
                <w:color w:val="231F20"/>
                <w:spacing w:val="-5"/>
                <w:sz w:val="24"/>
              </w:rPr>
              <w:t>1</w:t>
            </w:r>
            <w:r w:rsidR="000C235A">
              <w:rPr>
                <w:color w:val="231F20"/>
                <w:spacing w:val="-5"/>
                <w:sz w:val="24"/>
              </w:rPr>
              <w:t>48</w:t>
            </w:r>
          </w:p>
        </w:tc>
      </w:tr>
      <w:tr w:rsidR="00345EE3" w14:paraId="7C82BBC1" w14:textId="77777777" w:rsidTr="00D73130">
        <w:trPr>
          <w:trHeight w:val="396"/>
        </w:trPr>
        <w:tc>
          <w:tcPr>
            <w:tcW w:w="1134" w:type="dxa"/>
            <w:tcBorders>
              <w:left w:val="nil"/>
            </w:tcBorders>
          </w:tcPr>
          <w:p w14:paraId="42AD54DC" w14:textId="77777777" w:rsidR="00345EE3" w:rsidRDefault="00345EE3" w:rsidP="00D73130">
            <w:pPr>
              <w:pStyle w:val="TableParagraph"/>
              <w:ind w:left="-3"/>
              <w:jc w:val="left"/>
              <w:rPr>
                <w:sz w:val="24"/>
              </w:rPr>
            </w:pPr>
            <w:r>
              <w:rPr>
                <w:color w:val="231F20"/>
                <w:spacing w:val="-5"/>
                <w:sz w:val="24"/>
              </w:rPr>
              <w:t>6.5</w:t>
            </w:r>
          </w:p>
        </w:tc>
        <w:tc>
          <w:tcPr>
            <w:tcW w:w="7937" w:type="dxa"/>
          </w:tcPr>
          <w:p w14:paraId="0E9D4C53" w14:textId="77777777" w:rsidR="00345EE3" w:rsidRDefault="00345EE3" w:rsidP="00D73130">
            <w:pPr>
              <w:pStyle w:val="TableParagraph"/>
              <w:jc w:val="left"/>
              <w:rPr>
                <w:sz w:val="24"/>
              </w:rPr>
            </w:pPr>
            <w:r>
              <w:rPr>
                <w:color w:val="231F20"/>
                <w:sz w:val="24"/>
              </w:rPr>
              <w:t xml:space="preserve">Other </w:t>
            </w:r>
            <w:r>
              <w:rPr>
                <w:color w:val="231F20"/>
                <w:spacing w:val="-2"/>
                <w:sz w:val="24"/>
              </w:rPr>
              <w:t>Provisions</w:t>
            </w:r>
          </w:p>
        </w:tc>
        <w:tc>
          <w:tcPr>
            <w:tcW w:w="1134" w:type="dxa"/>
            <w:tcBorders>
              <w:right w:val="nil"/>
            </w:tcBorders>
          </w:tcPr>
          <w:p w14:paraId="4385BBCF" w14:textId="47575032" w:rsidR="00345EE3" w:rsidRDefault="000C235A" w:rsidP="00D73130">
            <w:pPr>
              <w:pStyle w:val="TableParagraph"/>
              <w:ind w:right="-15"/>
              <w:rPr>
                <w:sz w:val="24"/>
              </w:rPr>
            </w:pPr>
            <w:r>
              <w:rPr>
                <w:color w:val="231F20"/>
                <w:spacing w:val="-12"/>
                <w:sz w:val="24"/>
              </w:rPr>
              <w:t>148-149</w:t>
            </w:r>
          </w:p>
        </w:tc>
      </w:tr>
    </w:tbl>
    <w:p w14:paraId="3E69C6DC" w14:textId="77777777" w:rsidR="00345EE3" w:rsidRDefault="00345EE3" w:rsidP="002A27BA">
      <w:pPr>
        <w:pStyle w:val="Heading3"/>
        <w:numPr>
          <w:ilvl w:val="1"/>
          <w:numId w:val="44"/>
        </w:numPr>
      </w:pPr>
      <w:r>
        <w:t>Receivables</w:t>
      </w:r>
    </w:p>
    <w:p w14:paraId="7AFEC78D" w14:textId="77777777" w:rsidR="00345EE3" w:rsidRDefault="00345EE3" w:rsidP="00345EE3">
      <w:pPr>
        <w:pStyle w:val="BodyText"/>
        <w:spacing w:before="10"/>
        <w:rPr>
          <w:b/>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803"/>
        <w:gridCol w:w="1134"/>
        <w:gridCol w:w="1134"/>
        <w:gridCol w:w="1134"/>
      </w:tblGrid>
      <w:tr w:rsidR="00345EE3" w14:paraId="19B47F36" w14:textId="77777777" w:rsidTr="00D73130">
        <w:trPr>
          <w:trHeight w:val="802"/>
        </w:trPr>
        <w:tc>
          <w:tcPr>
            <w:tcW w:w="7937" w:type="dxa"/>
            <w:gridSpan w:val="2"/>
            <w:tcBorders>
              <w:top w:val="nil"/>
              <w:left w:val="nil"/>
              <w:bottom w:val="nil"/>
              <w:right w:val="nil"/>
            </w:tcBorders>
            <w:shd w:val="clear" w:color="auto" w:fill="00529F"/>
          </w:tcPr>
          <w:p w14:paraId="1B3A6010" w14:textId="77777777" w:rsidR="00345EE3" w:rsidRDefault="00345EE3" w:rsidP="00D73130">
            <w:pPr>
              <w:pStyle w:val="TableParagraph"/>
              <w:spacing w:before="0"/>
              <w:jc w:val="left"/>
              <w:rPr>
                <w:b/>
                <w:sz w:val="26"/>
              </w:rPr>
            </w:pPr>
          </w:p>
          <w:p w14:paraId="298418C3" w14:textId="77777777" w:rsidR="00345EE3" w:rsidRDefault="00345EE3" w:rsidP="00D73130">
            <w:pPr>
              <w:pStyle w:val="TableParagraph"/>
              <w:spacing w:before="165"/>
              <w:ind w:right="3"/>
              <w:rPr>
                <w:b/>
                <w:sz w:val="24"/>
              </w:rPr>
            </w:pPr>
            <w:r>
              <w:rPr>
                <w:b/>
                <w:color w:val="FFFFFF"/>
                <w:spacing w:val="-2"/>
                <w:sz w:val="24"/>
              </w:rPr>
              <w:t>Notes</w:t>
            </w:r>
          </w:p>
        </w:tc>
        <w:tc>
          <w:tcPr>
            <w:tcW w:w="2268" w:type="dxa"/>
            <w:gridSpan w:val="2"/>
            <w:tcBorders>
              <w:top w:val="nil"/>
              <w:left w:val="nil"/>
              <w:bottom w:val="nil"/>
              <w:right w:val="nil"/>
            </w:tcBorders>
            <w:shd w:val="clear" w:color="auto" w:fill="00529F"/>
          </w:tcPr>
          <w:p w14:paraId="4BB6A73D"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p w14:paraId="393AA40E" w14:textId="77777777" w:rsidR="00345EE3" w:rsidRDefault="00345EE3" w:rsidP="00D73130">
            <w:pPr>
              <w:pStyle w:val="TableParagraph"/>
              <w:tabs>
                <w:tab w:val="left" w:pos="1136"/>
              </w:tabs>
              <w:spacing w:before="125"/>
              <w:ind w:right="1"/>
              <w:rPr>
                <w:b/>
                <w:sz w:val="24"/>
              </w:rPr>
            </w:pPr>
            <w:r>
              <w:rPr>
                <w:b/>
                <w:color w:val="FFFFFF"/>
                <w:spacing w:val="-4"/>
                <w:sz w:val="24"/>
              </w:rPr>
              <w:t>2022</w:t>
            </w:r>
            <w:r>
              <w:rPr>
                <w:b/>
                <w:color w:val="FFFFFF"/>
                <w:sz w:val="24"/>
              </w:rPr>
              <w:tab/>
            </w:r>
            <w:r>
              <w:rPr>
                <w:b/>
                <w:color w:val="FFFFFF"/>
                <w:spacing w:val="-4"/>
                <w:sz w:val="24"/>
              </w:rPr>
              <w:t>2021</w:t>
            </w:r>
          </w:p>
        </w:tc>
      </w:tr>
      <w:tr w:rsidR="00345EE3" w14:paraId="7D83FF0C" w14:textId="77777777" w:rsidTr="00D73130">
        <w:trPr>
          <w:trHeight w:val="396"/>
        </w:trPr>
        <w:tc>
          <w:tcPr>
            <w:tcW w:w="6803" w:type="dxa"/>
            <w:tcBorders>
              <w:top w:val="nil"/>
              <w:left w:val="nil"/>
              <w:right w:val="dashed" w:sz="2" w:space="0" w:color="939598"/>
            </w:tcBorders>
          </w:tcPr>
          <w:p w14:paraId="3C80F117" w14:textId="77777777" w:rsidR="00345EE3" w:rsidRDefault="00345EE3" w:rsidP="00D73130">
            <w:pPr>
              <w:pStyle w:val="TableParagraph"/>
              <w:ind w:left="-3"/>
              <w:jc w:val="left"/>
              <w:rPr>
                <w:b/>
                <w:sz w:val="24"/>
              </w:rPr>
            </w:pPr>
            <w:r>
              <w:rPr>
                <w:b/>
                <w:color w:val="231F20"/>
                <w:spacing w:val="-2"/>
                <w:sz w:val="24"/>
              </w:rPr>
              <w:t>Contractual</w:t>
            </w:r>
          </w:p>
        </w:tc>
        <w:tc>
          <w:tcPr>
            <w:tcW w:w="1134" w:type="dxa"/>
            <w:tcBorders>
              <w:top w:val="nil"/>
              <w:left w:val="dashed" w:sz="2" w:space="0" w:color="939598"/>
            </w:tcBorders>
          </w:tcPr>
          <w:p w14:paraId="39ADDB38" w14:textId="77777777" w:rsidR="00345EE3" w:rsidRDefault="00345EE3" w:rsidP="00D73130">
            <w:pPr>
              <w:pStyle w:val="TableParagraph"/>
              <w:spacing w:before="0"/>
              <w:jc w:val="left"/>
              <w:rPr>
                <w:rFonts w:ascii="Times New Roman"/>
              </w:rPr>
            </w:pPr>
          </w:p>
        </w:tc>
        <w:tc>
          <w:tcPr>
            <w:tcW w:w="1134" w:type="dxa"/>
            <w:tcBorders>
              <w:top w:val="nil"/>
            </w:tcBorders>
            <w:shd w:val="clear" w:color="auto" w:fill="E6E7E8"/>
          </w:tcPr>
          <w:p w14:paraId="5DBFC158" w14:textId="77777777" w:rsidR="00345EE3" w:rsidRDefault="00345EE3" w:rsidP="00D73130">
            <w:pPr>
              <w:pStyle w:val="TableParagraph"/>
              <w:spacing w:before="0"/>
              <w:jc w:val="left"/>
              <w:rPr>
                <w:rFonts w:ascii="Times New Roman"/>
              </w:rPr>
            </w:pPr>
          </w:p>
        </w:tc>
        <w:tc>
          <w:tcPr>
            <w:tcW w:w="1134" w:type="dxa"/>
            <w:tcBorders>
              <w:top w:val="nil"/>
              <w:right w:val="nil"/>
            </w:tcBorders>
          </w:tcPr>
          <w:p w14:paraId="20692A2F" w14:textId="77777777" w:rsidR="00345EE3" w:rsidRDefault="00345EE3" w:rsidP="00D73130">
            <w:pPr>
              <w:pStyle w:val="TableParagraph"/>
              <w:spacing w:before="0"/>
              <w:jc w:val="left"/>
              <w:rPr>
                <w:rFonts w:ascii="Times New Roman"/>
              </w:rPr>
            </w:pPr>
          </w:p>
        </w:tc>
      </w:tr>
      <w:tr w:rsidR="00345EE3" w14:paraId="0C6969D2" w14:textId="77777777" w:rsidTr="00D73130">
        <w:trPr>
          <w:trHeight w:val="396"/>
        </w:trPr>
        <w:tc>
          <w:tcPr>
            <w:tcW w:w="6803" w:type="dxa"/>
            <w:tcBorders>
              <w:left w:val="nil"/>
              <w:right w:val="dashed" w:sz="2" w:space="0" w:color="939598"/>
            </w:tcBorders>
          </w:tcPr>
          <w:p w14:paraId="4BDC757B" w14:textId="77777777" w:rsidR="00345EE3" w:rsidRDefault="00345EE3" w:rsidP="00D73130">
            <w:pPr>
              <w:pStyle w:val="TableParagraph"/>
              <w:ind w:left="-3"/>
              <w:jc w:val="left"/>
              <w:rPr>
                <w:sz w:val="24"/>
              </w:rPr>
            </w:pPr>
            <w:r>
              <w:rPr>
                <w:color w:val="231F20"/>
                <w:sz w:val="24"/>
              </w:rPr>
              <w:t>Sale</w:t>
            </w:r>
            <w:r>
              <w:rPr>
                <w:color w:val="231F20"/>
                <w:spacing w:val="-2"/>
                <w:sz w:val="24"/>
              </w:rPr>
              <w:t xml:space="preserve"> </w:t>
            </w:r>
            <w:r>
              <w:rPr>
                <w:color w:val="231F20"/>
                <w:sz w:val="24"/>
              </w:rPr>
              <w:t>of</w:t>
            </w:r>
            <w:r>
              <w:rPr>
                <w:color w:val="231F20"/>
                <w:spacing w:val="-3"/>
                <w:sz w:val="24"/>
              </w:rPr>
              <w:t xml:space="preserve"> </w:t>
            </w:r>
            <w:r>
              <w:rPr>
                <w:color w:val="231F20"/>
                <w:sz w:val="24"/>
              </w:rPr>
              <w:t>goods</w:t>
            </w:r>
            <w:r>
              <w:rPr>
                <w:color w:val="231F20"/>
                <w:spacing w:val="-3"/>
                <w:sz w:val="24"/>
              </w:rPr>
              <w:t xml:space="preserve"> </w:t>
            </w:r>
            <w:r>
              <w:rPr>
                <w:color w:val="231F20"/>
                <w:sz w:val="24"/>
              </w:rPr>
              <w:t>and</w:t>
            </w:r>
            <w:r>
              <w:rPr>
                <w:color w:val="231F20"/>
                <w:spacing w:val="-2"/>
                <w:sz w:val="24"/>
              </w:rPr>
              <w:t xml:space="preserve"> services</w:t>
            </w:r>
          </w:p>
        </w:tc>
        <w:tc>
          <w:tcPr>
            <w:tcW w:w="1134" w:type="dxa"/>
            <w:tcBorders>
              <w:left w:val="dashed" w:sz="2" w:space="0" w:color="939598"/>
            </w:tcBorders>
          </w:tcPr>
          <w:p w14:paraId="6393CEEA" w14:textId="77777777" w:rsidR="00345EE3" w:rsidRDefault="00345EE3" w:rsidP="00D73130">
            <w:pPr>
              <w:pStyle w:val="TableParagraph"/>
              <w:spacing w:before="0"/>
              <w:jc w:val="left"/>
              <w:rPr>
                <w:rFonts w:ascii="Times New Roman"/>
              </w:rPr>
            </w:pPr>
          </w:p>
        </w:tc>
        <w:tc>
          <w:tcPr>
            <w:tcW w:w="1134" w:type="dxa"/>
            <w:shd w:val="clear" w:color="auto" w:fill="E6E7E8"/>
          </w:tcPr>
          <w:p w14:paraId="3875E20A" w14:textId="77777777" w:rsidR="00345EE3" w:rsidRDefault="00345EE3" w:rsidP="00D73130">
            <w:pPr>
              <w:pStyle w:val="TableParagraph"/>
              <w:rPr>
                <w:sz w:val="24"/>
              </w:rPr>
            </w:pPr>
            <w:r>
              <w:rPr>
                <w:color w:val="231F20"/>
                <w:spacing w:val="-2"/>
                <w:sz w:val="24"/>
              </w:rPr>
              <w:t>2,975</w:t>
            </w:r>
          </w:p>
        </w:tc>
        <w:tc>
          <w:tcPr>
            <w:tcW w:w="1134" w:type="dxa"/>
            <w:tcBorders>
              <w:right w:val="nil"/>
            </w:tcBorders>
          </w:tcPr>
          <w:p w14:paraId="1D6D7D37" w14:textId="77777777" w:rsidR="00345EE3" w:rsidRDefault="00345EE3" w:rsidP="00D73130">
            <w:pPr>
              <w:pStyle w:val="TableParagraph"/>
              <w:rPr>
                <w:sz w:val="24"/>
              </w:rPr>
            </w:pPr>
            <w:r>
              <w:rPr>
                <w:color w:val="231F20"/>
                <w:spacing w:val="-2"/>
                <w:sz w:val="24"/>
              </w:rPr>
              <w:t>5,163</w:t>
            </w:r>
          </w:p>
        </w:tc>
      </w:tr>
      <w:tr w:rsidR="00345EE3" w14:paraId="63BF1303" w14:textId="77777777" w:rsidTr="00D73130">
        <w:trPr>
          <w:trHeight w:val="396"/>
        </w:trPr>
        <w:tc>
          <w:tcPr>
            <w:tcW w:w="6803" w:type="dxa"/>
            <w:tcBorders>
              <w:left w:val="nil"/>
              <w:right w:val="dashed" w:sz="2" w:space="0" w:color="939598"/>
            </w:tcBorders>
          </w:tcPr>
          <w:p w14:paraId="430D51AA" w14:textId="77777777" w:rsidR="00345EE3" w:rsidRDefault="00345EE3" w:rsidP="00D73130">
            <w:pPr>
              <w:pStyle w:val="TableParagraph"/>
              <w:ind w:left="-3"/>
              <w:jc w:val="left"/>
              <w:rPr>
                <w:sz w:val="24"/>
              </w:rPr>
            </w:pPr>
            <w:r>
              <w:rPr>
                <w:color w:val="231F20"/>
                <w:sz w:val="24"/>
              </w:rPr>
              <w:t xml:space="preserve">Other </w:t>
            </w:r>
            <w:r>
              <w:rPr>
                <w:color w:val="231F20"/>
                <w:spacing w:val="-2"/>
                <w:sz w:val="24"/>
              </w:rPr>
              <w:t>receivables</w:t>
            </w:r>
          </w:p>
        </w:tc>
        <w:tc>
          <w:tcPr>
            <w:tcW w:w="1134" w:type="dxa"/>
            <w:tcBorders>
              <w:left w:val="dashed" w:sz="2" w:space="0" w:color="939598"/>
            </w:tcBorders>
          </w:tcPr>
          <w:p w14:paraId="7102BF52" w14:textId="77777777" w:rsidR="00345EE3" w:rsidRDefault="00345EE3" w:rsidP="00D73130">
            <w:pPr>
              <w:pStyle w:val="TableParagraph"/>
              <w:spacing w:before="0"/>
              <w:jc w:val="left"/>
              <w:rPr>
                <w:rFonts w:ascii="Times New Roman"/>
              </w:rPr>
            </w:pPr>
          </w:p>
        </w:tc>
        <w:tc>
          <w:tcPr>
            <w:tcW w:w="1134" w:type="dxa"/>
            <w:shd w:val="clear" w:color="auto" w:fill="E6E7E8"/>
          </w:tcPr>
          <w:p w14:paraId="1172A175" w14:textId="77777777" w:rsidR="00345EE3" w:rsidRDefault="00345EE3" w:rsidP="00D73130">
            <w:pPr>
              <w:pStyle w:val="TableParagraph"/>
              <w:ind w:right="2"/>
              <w:rPr>
                <w:sz w:val="24"/>
              </w:rPr>
            </w:pPr>
            <w:r>
              <w:rPr>
                <w:color w:val="231F20"/>
                <w:spacing w:val="-2"/>
                <w:sz w:val="24"/>
              </w:rPr>
              <w:t>12,649</w:t>
            </w:r>
          </w:p>
        </w:tc>
        <w:tc>
          <w:tcPr>
            <w:tcW w:w="1134" w:type="dxa"/>
            <w:tcBorders>
              <w:right w:val="nil"/>
            </w:tcBorders>
          </w:tcPr>
          <w:p w14:paraId="75A8B1EF" w14:textId="77777777" w:rsidR="00345EE3" w:rsidRDefault="00345EE3" w:rsidP="00D73130">
            <w:pPr>
              <w:pStyle w:val="TableParagraph"/>
              <w:rPr>
                <w:sz w:val="24"/>
              </w:rPr>
            </w:pPr>
            <w:r>
              <w:rPr>
                <w:color w:val="231F20"/>
                <w:spacing w:val="-2"/>
                <w:sz w:val="24"/>
              </w:rPr>
              <w:t>16,114</w:t>
            </w:r>
          </w:p>
        </w:tc>
      </w:tr>
      <w:tr w:rsidR="00345EE3" w14:paraId="2C645A1C" w14:textId="77777777" w:rsidTr="00D73130">
        <w:trPr>
          <w:trHeight w:val="396"/>
        </w:trPr>
        <w:tc>
          <w:tcPr>
            <w:tcW w:w="6803" w:type="dxa"/>
            <w:tcBorders>
              <w:left w:val="nil"/>
              <w:right w:val="dashed" w:sz="2" w:space="0" w:color="939598"/>
            </w:tcBorders>
          </w:tcPr>
          <w:p w14:paraId="3449373A" w14:textId="77777777" w:rsidR="00345EE3" w:rsidRDefault="00345EE3" w:rsidP="00D73130">
            <w:pPr>
              <w:pStyle w:val="TableParagraph"/>
              <w:ind w:left="-3"/>
              <w:jc w:val="left"/>
              <w:rPr>
                <w:sz w:val="24"/>
              </w:rPr>
            </w:pPr>
            <w:r>
              <w:rPr>
                <w:color w:val="231F20"/>
                <w:sz w:val="24"/>
              </w:rPr>
              <w:t>Provision</w:t>
            </w:r>
            <w:r>
              <w:rPr>
                <w:color w:val="231F20"/>
                <w:spacing w:val="-2"/>
                <w:sz w:val="24"/>
              </w:rPr>
              <w:t xml:space="preserve"> </w:t>
            </w:r>
            <w:r>
              <w:rPr>
                <w:color w:val="231F20"/>
                <w:sz w:val="24"/>
              </w:rPr>
              <w:t>for</w:t>
            </w:r>
            <w:r>
              <w:rPr>
                <w:color w:val="231F20"/>
                <w:spacing w:val="-2"/>
                <w:sz w:val="24"/>
              </w:rPr>
              <w:t xml:space="preserve"> </w:t>
            </w:r>
            <w:r>
              <w:rPr>
                <w:color w:val="231F20"/>
                <w:sz w:val="24"/>
              </w:rPr>
              <w:t>doubtful</w:t>
            </w:r>
            <w:r>
              <w:rPr>
                <w:color w:val="231F20"/>
                <w:spacing w:val="-3"/>
                <w:sz w:val="24"/>
              </w:rPr>
              <w:t xml:space="preserve"> </w:t>
            </w:r>
            <w:r>
              <w:rPr>
                <w:color w:val="231F20"/>
                <w:sz w:val="24"/>
              </w:rPr>
              <w:t>contractual</w:t>
            </w:r>
            <w:r>
              <w:rPr>
                <w:color w:val="231F20"/>
                <w:spacing w:val="-1"/>
                <w:sz w:val="24"/>
              </w:rPr>
              <w:t xml:space="preserve"> </w:t>
            </w:r>
            <w:r>
              <w:rPr>
                <w:color w:val="231F20"/>
                <w:spacing w:val="-2"/>
                <w:sz w:val="24"/>
              </w:rPr>
              <w:t>receivables</w:t>
            </w:r>
          </w:p>
        </w:tc>
        <w:tc>
          <w:tcPr>
            <w:tcW w:w="1134" w:type="dxa"/>
            <w:tcBorders>
              <w:left w:val="dashed" w:sz="2" w:space="0" w:color="939598"/>
            </w:tcBorders>
          </w:tcPr>
          <w:p w14:paraId="77D87D70" w14:textId="77777777" w:rsidR="00345EE3" w:rsidRDefault="00345EE3" w:rsidP="00D73130">
            <w:pPr>
              <w:pStyle w:val="TableParagraph"/>
              <w:spacing w:before="0"/>
              <w:jc w:val="left"/>
              <w:rPr>
                <w:rFonts w:ascii="Times New Roman"/>
              </w:rPr>
            </w:pPr>
          </w:p>
        </w:tc>
        <w:tc>
          <w:tcPr>
            <w:tcW w:w="1134" w:type="dxa"/>
            <w:shd w:val="clear" w:color="auto" w:fill="E6E7E8"/>
          </w:tcPr>
          <w:p w14:paraId="47513BEE" w14:textId="77777777" w:rsidR="00345EE3" w:rsidRDefault="00345EE3" w:rsidP="00D73130">
            <w:pPr>
              <w:pStyle w:val="TableParagraph"/>
              <w:rPr>
                <w:sz w:val="24"/>
              </w:rPr>
            </w:pPr>
            <w:r>
              <w:rPr>
                <w:color w:val="231F20"/>
                <w:spacing w:val="-2"/>
                <w:sz w:val="24"/>
              </w:rPr>
              <w:t>(3,900)</w:t>
            </w:r>
          </w:p>
        </w:tc>
        <w:tc>
          <w:tcPr>
            <w:tcW w:w="1134" w:type="dxa"/>
            <w:tcBorders>
              <w:right w:val="nil"/>
            </w:tcBorders>
          </w:tcPr>
          <w:p w14:paraId="1274F840" w14:textId="77777777" w:rsidR="00345EE3" w:rsidRDefault="00345EE3" w:rsidP="00D73130">
            <w:pPr>
              <w:pStyle w:val="TableParagraph"/>
              <w:rPr>
                <w:sz w:val="24"/>
              </w:rPr>
            </w:pPr>
            <w:r>
              <w:rPr>
                <w:color w:val="231F20"/>
                <w:spacing w:val="-2"/>
                <w:sz w:val="24"/>
              </w:rPr>
              <w:t>(5,625)</w:t>
            </w:r>
          </w:p>
        </w:tc>
      </w:tr>
      <w:tr w:rsidR="00345EE3" w14:paraId="7D47E4F5" w14:textId="77777777" w:rsidTr="00D73130">
        <w:trPr>
          <w:trHeight w:val="396"/>
        </w:trPr>
        <w:tc>
          <w:tcPr>
            <w:tcW w:w="6803" w:type="dxa"/>
            <w:tcBorders>
              <w:left w:val="nil"/>
              <w:right w:val="dashed" w:sz="2" w:space="0" w:color="939598"/>
            </w:tcBorders>
          </w:tcPr>
          <w:p w14:paraId="20E1BA1E" w14:textId="77777777" w:rsidR="00345EE3" w:rsidRDefault="00345EE3" w:rsidP="00D73130">
            <w:pPr>
              <w:pStyle w:val="TableParagraph"/>
              <w:ind w:left="-3"/>
              <w:jc w:val="left"/>
              <w:rPr>
                <w:sz w:val="24"/>
              </w:rPr>
            </w:pPr>
            <w:r>
              <w:rPr>
                <w:color w:val="231F20"/>
                <w:sz w:val="24"/>
              </w:rPr>
              <w:t>Derivative</w:t>
            </w:r>
            <w:r>
              <w:rPr>
                <w:color w:val="231F20"/>
                <w:spacing w:val="-6"/>
                <w:sz w:val="24"/>
              </w:rPr>
              <w:t xml:space="preserve"> </w:t>
            </w:r>
            <w:r>
              <w:rPr>
                <w:color w:val="231F20"/>
                <w:sz w:val="24"/>
              </w:rPr>
              <w:t>financial</w:t>
            </w:r>
            <w:r>
              <w:rPr>
                <w:color w:val="231F20"/>
                <w:spacing w:val="-4"/>
                <w:sz w:val="24"/>
              </w:rPr>
              <w:t xml:space="preserve"> </w:t>
            </w:r>
            <w:r>
              <w:rPr>
                <w:color w:val="231F20"/>
                <w:spacing w:val="-2"/>
                <w:sz w:val="24"/>
              </w:rPr>
              <w:t>instruments</w:t>
            </w:r>
          </w:p>
        </w:tc>
        <w:tc>
          <w:tcPr>
            <w:tcW w:w="1134" w:type="dxa"/>
            <w:tcBorders>
              <w:left w:val="dashed" w:sz="2" w:space="0" w:color="939598"/>
            </w:tcBorders>
          </w:tcPr>
          <w:p w14:paraId="0EADD17D" w14:textId="77777777" w:rsidR="00345EE3" w:rsidRDefault="00345EE3" w:rsidP="00D73130">
            <w:pPr>
              <w:pStyle w:val="TableParagraph"/>
              <w:ind w:left="604"/>
              <w:jc w:val="left"/>
              <w:rPr>
                <w:sz w:val="24"/>
              </w:rPr>
            </w:pPr>
            <w:r>
              <w:rPr>
                <w:color w:val="231F20"/>
                <w:spacing w:val="-5"/>
                <w:sz w:val="24"/>
              </w:rPr>
              <w:t>8.1.3</w:t>
            </w:r>
          </w:p>
        </w:tc>
        <w:tc>
          <w:tcPr>
            <w:tcW w:w="1134" w:type="dxa"/>
            <w:shd w:val="clear" w:color="auto" w:fill="E6E7E8"/>
          </w:tcPr>
          <w:p w14:paraId="3D4A71EA" w14:textId="77777777" w:rsidR="00345EE3" w:rsidRDefault="00345EE3" w:rsidP="00D73130">
            <w:pPr>
              <w:pStyle w:val="TableParagraph"/>
              <w:rPr>
                <w:sz w:val="24"/>
              </w:rPr>
            </w:pPr>
            <w:r>
              <w:rPr>
                <w:color w:val="231F20"/>
                <w:spacing w:val="-5"/>
                <w:sz w:val="24"/>
              </w:rPr>
              <w:t>862</w:t>
            </w:r>
          </w:p>
        </w:tc>
        <w:tc>
          <w:tcPr>
            <w:tcW w:w="1134" w:type="dxa"/>
            <w:tcBorders>
              <w:right w:val="nil"/>
            </w:tcBorders>
          </w:tcPr>
          <w:p w14:paraId="6C00FF1D" w14:textId="77777777" w:rsidR="00345EE3" w:rsidRDefault="00345EE3" w:rsidP="00D73130">
            <w:pPr>
              <w:pStyle w:val="TableParagraph"/>
              <w:rPr>
                <w:sz w:val="24"/>
              </w:rPr>
            </w:pPr>
            <w:r>
              <w:rPr>
                <w:color w:val="231F20"/>
                <w:spacing w:val="-5"/>
                <w:sz w:val="24"/>
              </w:rPr>
              <w:t>304</w:t>
            </w:r>
          </w:p>
        </w:tc>
      </w:tr>
      <w:tr w:rsidR="00345EE3" w14:paraId="5DD282FD" w14:textId="77777777" w:rsidTr="00D73130">
        <w:trPr>
          <w:trHeight w:val="396"/>
        </w:trPr>
        <w:tc>
          <w:tcPr>
            <w:tcW w:w="6803" w:type="dxa"/>
            <w:tcBorders>
              <w:left w:val="nil"/>
              <w:right w:val="dashed" w:sz="2" w:space="0" w:color="939598"/>
            </w:tcBorders>
          </w:tcPr>
          <w:p w14:paraId="4A277AB9" w14:textId="77777777" w:rsidR="00345EE3" w:rsidRDefault="00345EE3" w:rsidP="00D73130">
            <w:pPr>
              <w:pStyle w:val="TableParagraph"/>
              <w:ind w:left="-3"/>
              <w:jc w:val="left"/>
              <w:rPr>
                <w:b/>
                <w:sz w:val="24"/>
              </w:rPr>
            </w:pPr>
            <w:r>
              <w:rPr>
                <w:b/>
                <w:color w:val="231F20"/>
                <w:spacing w:val="-2"/>
                <w:sz w:val="24"/>
              </w:rPr>
              <w:t>Statutory</w:t>
            </w:r>
          </w:p>
        </w:tc>
        <w:tc>
          <w:tcPr>
            <w:tcW w:w="1134" w:type="dxa"/>
            <w:tcBorders>
              <w:left w:val="dashed" w:sz="2" w:space="0" w:color="939598"/>
            </w:tcBorders>
          </w:tcPr>
          <w:p w14:paraId="679BDE73" w14:textId="77777777" w:rsidR="00345EE3" w:rsidRDefault="00345EE3" w:rsidP="00D73130">
            <w:pPr>
              <w:pStyle w:val="TableParagraph"/>
              <w:spacing w:before="0"/>
              <w:jc w:val="left"/>
              <w:rPr>
                <w:rFonts w:ascii="Times New Roman"/>
              </w:rPr>
            </w:pPr>
          </w:p>
        </w:tc>
        <w:tc>
          <w:tcPr>
            <w:tcW w:w="1134" w:type="dxa"/>
            <w:shd w:val="clear" w:color="auto" w:fill="E6E7E8"/>
          </w:tcPr>
          <w:p w14:paraId="61B1DA69" w14:textId="77777777" w:rsidR="00345EE3" w:rsidRDefault="00345EE3" w:rsidP="00D73130">
            <w:pPr>
              <w:pStyle w:val="TableParagraph"/>
              <w:spacing w:before="0"/>
              <w:jc w:val="left"/>
              <w:rPr>
                <w:rFonts w:ascii="Times New Roman"/>
              </w:rPr>
            </w:pPr>
          </w:p>
        </w:tc>
        <w:tc>
          <w:tcPr>
            <w:tcW w:w="1134" w:type="dxa"/>
            <w:tcBorders>
              <w:right w:val="nil"/>
            </w:tcBorders>
          </w:tcPr>
          <w:p w14:paraId="7F14D8EA" w14:textId="77777777" w:rsidR="00345EE3" w:rsidRDefault="00345EE3" w:rsidP="00D73130">
            <w:pPr>
              <w:pStyle w:val="TableParagraph"/>
              <w:spacing w:before="0"/>
              <w:jc w:val="left"/>
              <w:rPr>
                <w:rFonts w:ascii="Times New Roman"/>
              </w:rPr>
            </w:pPr>
          </w:p>
        </w:tc>
      </w:tr>
      <w:tr w:rsidR="00345EE3" w14:paraId="3221C68B" w14:textId="77777777" w:rsidTr="00D73130">
        <w:trPr>
          <w:trHeight w:val="396"/>
        </w:trPr>
        <w:tc>
          <w:tcPr>
            <w:tcW w:w="6803" w:type="dxa"/>
            <w:tcBorders>
              <w:left w:val="nil"/>
              <w:right w:val="dashed" w:sz="2" w:space="0" w:color="939598"/>
            </w:tcBorders>
          </w:tcPr>
          <w:p w14:paraId="6FF81905" w14:textId="77777777" w:rsidR="00345EE3" w:rsidRDefault="00345EE3" w:rsidP="00D73130">
            <w:pPr>
              <w:pStyle w:val="TableParagraph"/>
              <w:ind w:left="-3"/>
              <w:jc w:val="left"/>
              <w:rPr>
                <w:sz w:val="14"/>
              </w:rPr>
            </w:pPr>
            <w:r>
              <w:rPr>
                <w:color w:val="231F20"/>
                <w:sz w:val="24"/>
              </w:rPr>
              <w:t>Amounts</w:t>
            </w:r>
            <w:r>
              <w:rPr>
                <w:color w:val="231F20"/>
                <w:spacing w:val="-4"/>
                <w:sz w:val="24"/>
              </w:rPr>
              <w:t xml:space="preserve"> </w:t>
            </w:r>
            <w:r>
              <w:rPr>
                <w:color w:val="231F20"/>
                <w:sz w:val="24"/>
              </w:rPr>
              <w:t>due</w:t>
            </w:r>
            <w:r>
              <w:rPr>
                <w:color w:val="231F20"/>
                <w:spacing w:val="-4"/>
                <w:sz w:val="24"/>
              </w:rPr>
              <w:t xml:space="preserve"> </w:t>
            </w:r>
            <w:r>
              <w:rPr>
                <w:color w:val="231F20"/>
                <w:sz w:val="24"/>
              </w:rPr>
              <w:t>from</w:t>
            </w:r>
            <w:r>
              <w:rPr>
                <w:color w:val="231F20"/>
                <w:spacing w:val="-2"/>
                <w:sz w:val="24"/>
              </w:rPr>
              <w:t xml:space="preserve"> </w:t>
            </w:r>
            <w:r>
              <w:rPr>
                <w:color w:val="231F20"/>
                <w:sz w:val="24"/>
              </w:rPr>
              <w:t>the</w:t>
            </w:r>
            <w:r>
              <w:rPr>
                <w:color w:val="231F20"/>
                <w:spacing w:val="-3"/>
                <w:sz w:val="24"/>
              </w:rPr>
              <w:t xml:space="preserve"> </w:t>
            </w:r>
            <w:r>
              <w:rPr>
                <w:color w:val="231F20"/>
                <w:sz w:val="24"/>
              </w:rPr>
              <w:t>Victorian</w:t>
            </w:r>
            <w:r>
              <w:rPr>
                <w:color w:val="231F20"/>
                <w:spacing w:val="-3"/>
                <w:sz w:val="24"/>
              </w:rPr>
              <w:t xml:space="preserve"> </w:t>
            </w:r>
            <w:r>
              <w:rPr>
                <w:color w:val="231F20"/>
                <w:sz w:val="24"/>
              </w:rPr>
              <w:t>Government</w:t>
            </w:r>
            <w:r>
              <w:rPr>
                <w:color w:val="231F20"/>
                <w:spacing w:val="-29"/>
                <w:sz w:val="24"/>
              </w:rPr>
              <w:t xml:space="preserve"> </w:t>
            </w:r>
            <w:r>
              <w:rPr>
                <w:color w:val="231F20"/>
                <w:spacing w:val="-5"/>
                <w:position w:val="8"/>
                <w:sz w:val="14"/>
              </w:rPr>
              <w:t>(a)</w:t>
            </w:r>
          </w:p>
        </w:tc>
        <w:tc>
          <w:tcPr>
            <w:tcW w:w="1134" w:type="dxa"/>
            <w:tcBorders>
              <w:left w:val="dashed" w:sz="2" w:space="0" w:color="939598"/>
            </w:tcBorders>
          </w:tcPr>
          <w:p w14:paraId="1BE4D15A" w14:textId="77777777" w:rsidR="00345EE3" w:rsidRDefault="00345EE3" w:rsidP="00D73130">
            <w:pPr>
              <w:pStyle w:val="TableParagraph"/>
              <w:spacing w:before="0"/>
              <w:jc w:val="left"/>
              <w:rPr>
                <w:rFonts w:ascii="Times New Roman"/>
              </w:rPr>
            </w:pPr>
          </w:p>
        </w:tc>
        <w:tc>
          <w:tcPr>
            <w:tcW w:w="1134" w:type="dxa"/>
            <w:shd w:val="clear" w:color="auto" w:fill="E6E7E8"/>
          </w:tcPr>
          <w:p w14:paraId="344018FA" w14:textId="77777777" w:rsidR="00345EE3" w:rsidRDefault="00345EE3" w:rsidP="00D73130">
            <w:pPr>
              <w:pStyle w:val="TableParagraph"/>
              <w:ind w:right="1"/>
              <w:rPr>
                <w:sz w:val="24"/>
              </w:rPr>
            </w:pPr>
            <w:r>
              <w:rPr>
                <w:color w:val="231F20"/>
                <w:spacing w:val="-2"/>
                <w:sz w:val="24"/>
              </w:rPr>
              <w:t>906,391</w:t>
            </w:r>
          </w:p>
        </w:tc>
        <w:tc>
          <w:tcPr>
            <w:tcW w:w="1134" w:type="dxa"/>
            <w:tcBorders>
              <w:right w:val="nil"/>
            </w:tcBorders>
          </w:tcPr>
          <w:p w14:paraId="1A0AF9E7" w14:textId="77777777" w:rsidR="00345EE3" w:rsidRDefault="00345EE3" w:rsidP="00D73130">
            <w:pPr>
              <w:pStyle w:val="TableParagraph"/>
              <w:rPr>
                <w:sz w:val="24"/>
              </w:rPr>
            </w:pPr>
            <w:r>
              <w:rPr>
                <w:color w:val="231F20"/>
                <w:spacing w:val="-2"/>
                <w:sz w:val="24"/>
              </w:rPr>
              <w:t>684,846</w:t>
            </w:r>
          </w:p>
        </w:tc>
      </w:tr>
      <w:tr w:rsidR="00345EE3" w14:paraId="22CB1224" w14:textId="77777777" w:rsidTr="00D73130">
        <w:trPr>
          <w:trHeight w:val="393"/>
        </w:trPr>
        <w:tc>
          <w:tcPr>
            <w:tcW w:w="6803" w:type="dxa"/>
            <w:tcBorders>
              <w:left w:val="nil"/>
              <w:bottom w:val="single" w:sz="4" w:space="0" w:color="231F20"/>
              <w:right w:val="dashed" w:sz="2" w:space="0" w:color="939598"/>
            </w:tcBorders>
          </w:tcPr>
          <w:p w14:paraId="54CAA21B" w14:textId="77777777" w:rsidR="00345EE3" w:rsidRDefault="00345EE3" w:rsidP="00D73130">
            <w:pPr>
              <w:pStyle w:val="TableParagraph"/>
              <w:ind w:left="-3"/>
              <w:jc w:val="left"/>
              <w:rPr>
                <w:sz w:val="24"/>
              </w:rPr>
            </w:pPr>
            <w:r>
              <w:rPr>
                <w:color w:val="231F20"/>
                <w:sz w:val="24"/>
              </w:rPr>
              <w:t>GST</w:t>
            </w:r>
            <w:r>
              <w:rPr>
                <w:color w:val="231F20"/>
                <w:spacing w:val="-6"/>
                <w:sz w:val="24"/>
              </w:rPr>
              <w:t xml:space="preserve"> </w:t>
            </w:r>
            <w:r>
              <w:rPr>
                <w:color w:val="231F20"/>
                <w:sz w:val="24"/>
              </w:rPr>
              <w:t>input</w:t>
            </w:r>
            <w:r>
              <w:rPr>
                <w:color w:val="231F20"/>
                <w:spacing w:val="-2"/>
                <w:sz w:val="24"/>
              </w:rPr>
              <w:t xml:space="preserve"> </w:t>
            </w:r>
            <w:r>
              <w:rPr>
                <w:color w:val="231F20"/>
                <w:sz w:val="24"/>
              </w:rPr>
              <w:t>tax</w:t>
            </w:r>
            <w:r>
              <w:rPr>
                <w:color w:val="231F20"/>
                <w:spacing w:val="-1"/>
                <w:sz w:val="24"/>
              </w:rPr>
              <w:t xml:space="preserve"> </w:t>
            </w:r>
            <w:r>
              <w:rPr>
                <w:color w:val="231F20"/>
                <w:sz w:val="24"/>
              </w:rPr>
              <w:t>credit</w:t>
            </w:r>
            <w:r>
              <w:rPr>
                <w:color w:val="231F20"/>
                <w:spacing w:val="-1"/>
                <w:sz w:val="24"/>
              </w:rPr>
              <w:t xml:space="preserve"> </w:t>
            </w:r>
            <w:r>
              <w:rPr>
                <w:color w:val="231F20"/>
                <w:spacing w:val="-2"/>
                <w:sz w:val="24"/>
              </w:rPr>
              <w:t>recoverable</w:t>
            </w:r>
          </w:p>
        </w:tc>
        <w:tc>
          <w:tcPr>
            <w:tcW w:w="1134" w:type="dxa"/>
            <w:tcBorders>
              <w:left w:val="dashed" w:sz="2" w:space="0" w:color="939598"/>
              <w:bottom w:val="single" w:sz="4" w:space="0" w:color="231F20"/>
            </w:tcBorders>
          </w:tcPr>
          <w:p w14:paraId="7CB9B6F4" w14:textId="77777777" w:rsidR="00345EE3" w:rsidRDefault="00345EE3" w:rsidP="00D73130">
            <w:pPr>
              <w:pStyle w:val="TableParagraph"/>
              <w:spacing w:before="0"/>
              <w:jc w:val="left"/>
              <w:rPr>
                <w:rFonts w:ascii="Times New Roman"/>
              </w:rPr>
            </w:pPr>
          </w:p>
        </w:tc>
        <w:tc>
          <w:tcPr>
            <w:tcW w:w="1134" w:type="dxa"/>
            <w:tcBorders>
              <w:bottom w:val="single" w:sz="4" w:space="0" w:color="231F20"/>
            </w:tcBorders>
            <w:shd w:val="clear" w:color="auto" w:fill="E6E7E8"/>
          </w:tcPr>
          <w:p w14:paraId="7BACA3FA" w14:textId="77777777" w:rsidR="00345EE3" w:rsidRDefault="00345EE3" w:rsidP="00D73130">
            <w:pPr>
              <w:pStyle w:val="TableParagraph"/>
              <w:rPr>
                <w:sz w:val="24"/>
              </w:rPr>
            </w:pPr>
            <w:r>
              <w:rPr>
                <w:color w:val="231F20"/>
                <w:spacing w:val="-5"/>
                <w:sz w:val="24"/>
              </w:rPr>
              <w:t>703</w:t>
            </w:r>
          </w:p>
        </w:tc>
        <w:tc>
          <w:tcPr>
            <w:tcW w:w="1134" w:type="dxa"/>
            <w:tcBorders>
              <w:bottom w:val="single" w:sz="4" w:space="0" w:color="231F20"/>
              <w:right w:val="nil"/>
            </w:tcBorders>
          </w:tcPr>
          <w:p w14:paraId="291B990B" w14:textId="77777777" w:rsidR="00345EE3" w:rsidRDefault="00345EE3" w:rsidP="00D73130">
            <w:pPr>
              <w:pStyle w:val="TableParagraph"/>
              <w:rPr>
                <w:sz w:val="24"/>
              </w:rPr>
            </w:pPr>
            <w:r>
              <w:rPr>
                <w:color w:val="231F20"/>
                <w:spacing w:val="-2"/>
                <w:sz w:val="24"/>
              </w:rPr>
              <w:t>1,316</w:t>
            </w:r>
          </w:p>
        </w:tc>
      </w:tr>
      <w:tr w:rsidR="00345EE3" w14:paraId="07BDFE7E" w14:textId="77777777" w:rsidTr="00D73130">
        <w:trPr>
          <w:trHeight w:val="391"/>
        </w:trPr>
        <w:tc>
          <w:tcPr>
            <w:tcW w:w="6803" w:type="dxa"/>
            <w:tcBorders>
              <w:top w:val="single" w:sz="4" w:space="0" w:color="231F20"/>
              <w:left w:val="nil"/>
              <w:bottom w:val="single" w:sz="4" w:space="0" w:color="231F20"/>
              <w:right w:val="dashed" w:sz="2" w:space="0" w:color="939598"/>
            </w:tcBorders>
          </w:tcPr>
          <w:p w14:paraId="6383AC11"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8"/>
                <w:sz w:val="24"/>
              </w:rPr>
              <w:t xml:space="preserve"> </w:t>
            </w:r>
            <w:r>
              <w:rPr>
                <w:b/>
                <w:color w:val="231F20"/>
                <w:spacing w:val="-2"/>
                <w:sz w:val="24"/>
              </w:rPr>
              <w:t>Receivables</w:t>
            </w:r>
          </w:p>
        </w:tc>
        <w:tc>
          <w:tcPr>
            <w:tcW w:w="1134" w:type="dxa"/>
            <w:tcBorders>
              <w:top w:val="single" w:sz="4" w:space="0" w:color="231F20"/>
              <w:left w:val="dashed" w:sz="2" w:space="0" w:color="939598"/>
              <w:bottom w:val="single" w:sz="4" w:space="0" w:color="231F20"/>
            </w:tcBorders>
          </w:tcPr>
          <w:p w14:paraId="4D6D02D5" w14:textId="77777777" w:rsidR="00345EE3" w:rsidRDefault="00345EE3" w:rsidP="00D73130">
            <w:pPr>
              <w:pStyle w:val="TableParagraph"/>
              <w:spacing w:before="0"/>
              <w:jc w:val="left"/>
              <w:rPr>
                <w:rFonts w:ascii="Times New Roman"/>
              </w:rPr>
            </w:pPr>
          </w:p>
        </w:tc>
        <w:tc>
          <w:tcPr>
            <w:tcW w:w="1134" w:type="dxa"/>
            <w:tcBorders>
              <w:top w:val="single" w:sz="4" w:space="0" w:color="231F20"/>
              <w:bottom w:val="single" w:sz="4" w:space="0" w:color="231F20"/>
            </w:tcBorders>
            <w:shd w:val="clear" w:color="auto" w:fill="E6E7E8"/>
          </w:tcPr>
          <w:p w14:paraId="6A128C7A" w14:textId="77777777" w:rsidR="00345EE3" w:rsidRDefault="00345EE3" w:rsidP="00D73130">
            <w:pPr>
              <w:pStyle w:val="TableParagraph"/>
              <w:spacing w:before="58"/>
              <w:rPr>
                <w:b/>
                <w:sz w:val="24"/>
              </w:rPr>
            </w:pPr>
            <w:r>
              <w:rPr>
                <w:b/>
                <w:color w:val="231F20"/>
                <w:spacing w:val="-2"/>
                <w:sz w:val="24"/>
              </w:rPr>
              <w:t>919,680</w:t>
            </w:r>
          </w:p>
        </w:tc>
        <w:tc>
          <w:tcPr>
            <w:tcW w:w="1134" w:type="dxa"/>
            <w:tcBorders>
              <w:top w:val="single" w:sz="4" w:space="0" w:color="231F20"/>
              <w:bottom w:val="single" w:sz="4" w:space="0" w:color="231F20"/>
              <w:right w:val="nil"/>
            </w:tcBorders>
          </w:tcPr>
          <w:p w14:paraId="64A4221F" w14:textId="77777777" w:rsidR="00345EE3" w:rsidRDefault="00345EE3" w:rsidP="00D73130">
            <w:pPr>
              <w:pStyle w:val="TableParagraph"/>
              <w:spacing w:before="58"/>
              <w:ind w:right="-15"/>
              <w:rPr>
                <w:b/>
                <w:sz w:val="24"/>
              </w:rPr>
            </w:pPr>
            <w:r>
              <w:rPr>
                <w:b/>
                <w:color w:val="231F20"/>
                <w:spacing w:val="-2"/>
                <w:sz w:val="24"/>
              </w:rPr>
              <w:t>702,118</w:t>
            </w:r>
          </w:p>
        </w:tc>
      </w:tr>
      <w:tr w:rsidR="00345EE3" w14:paraId="3C8D8B64" w14:textId="77777777" w:rsidTr="00D73130">
        <w:trPr>
          <w:trHeight w:val="393"/>
        </w:trPr>
        <w:tc>
          <w:tcPr>
            <w:tcW w:w="6803" w:type="dxa"/>
            <w:tcBorders>
              <w:top w:val="single" w:sz="4" w:space="0" w:color="231F20"/>
              <w:left w:val="nil"/>
              <w:right w:val="dashed" w:sz="2" w:space="0" w:color="939598"/>
            </w:tcBorders>
          </w:tcPr>
          <w:p w14:paraId="1ED8EB96" w14:textId="77777777" w:rsidR="00345EE3" w:rsidRDefault="00345EE3" w:rsidP="00D73130">
            <w:pPr>
              <w:pStyle w:val="TableParagraph"/>
              <w:spacing w:before="58"/>
              <w:ind w:left="-3"/>
              <w:jc w:val="left"/>
              <w:rPr>
                <w:rFonts w:ascii="Arial-BoldItalicMT"/>
                <w:b/>
                <w:i/>
                <w:sz w:val="24"/>
              </w:rPr>
            </w:pPr>
            <w:r>
              <w:rPr>
                <w:rFonts w:ascii="Arial-BoldItalicMT"/>
                <w:b/>
                <w:i/>
                <w:color w:val="231F20"/>
                <w:sz w:val="24"/>
              </w:rPr>
              <w:t>Represented</w:t>
            </w:r>
            <w:r>
              <w:rPr>
                <w:rFonts w:ascii="Arial-BoldItalicMT"/>
                <w:b/>
                <w:i/>
                <w:color w:val="231F20"/>
                <w:spacing w:val="-11"/>
                <w:sz w:val="24"/>
              </w:rPr>
              <w:t xml:space="preserve"> </w:t>
            </w:r>
            <w:r>
              <w:rPr>
                <w:rFonts w:ascii="Arial-BoldItalicMT"/>
                <w:b/>
                <w:i/>
                <w:color w:val="231F20"/>
                <w:spacing w:val="-5"/>
                <w:sz w:val="24"/>
              </w:rPr>
              <w:t>by:</w:t>
            </w:r>
          </w:p>
        </w:tc>
        <w:tc>
          <w:tcPr>
            <w:tcW w:w="1134" w:type="dxa"/>
            <w:tcBorders>
              <w:top w:val="single" w:sz="4" w:space="0" w:color="231F20"/>
              <w:left w:val="dashed" w:sz="2" w:space="0" w:color="939598"/>
            </w:tcBorders>
          </w:tcPr>
          <w:p w14:paraId="02D29BBC" w14:textId="77777777" w:rsidR="00345EE3" w:rsidRDefault="00345EE3" w:rsidP="00D73130">
            <w:pPr>
              <w:pStyle w:val="TableParagraph"/>
              <w:spacing w:before="0"/>
              <w:jc w:val="left"/>
              <w:rPr>
                <w:rFonts w:ascii="Times New Roman"/>
              </w:rPr>
            </w:pPr>
          </w:p>
        </w:tc>
        <w:tc>
          <w:tcPr>
            <w:tcW w:w="1134" w:type="dxa"/>
            <w:tcBorders>
              <w:top w:val="single" w:sz="4" w:space="0" w:color="231F20"/>
            </w:tcBorders>
            <w:shd w:val="clear" w:color="auto" w:fill="E6E7E8"/>
          </w:tcPr>
          <w:p w14:paraId="64AD1E49" w14:textId="77777777" w:rsidR="00345EE3" w:rsidRDefault="00345EE3" w:rsidP="00D73130">
            <w:pPr>
              <w:pStyle w:val="TableParagraph"/>
              <w:spacing w:before="0"/>
              <w:jc w:val="left"/>
              <w:rPr>
                <w:rFonts w:ascii="Times New Roman"/>
              </w:rPr>
            </w:pPr>
          </w:p>
        </w:tc>
        <w:tc>
          <w:tcPr>
            <w:tcW w:w="1134" w:type="dxa"/>
            <w:tcBorders>
              <w:top w:val="single" w:sz="4" w:space="0" w:color="231F20"/>
              <w:right w:val="nil"/>
            </w:tcBorders>
          </w:tcPr>
          <w:p w14:paraId="606FD00E" w14:textId="77777777" w:rsidR="00345EE3" w:rsidRDefault="00345EE3" w:rsidP="00D73130">
            <w:pPr>
              <w:pStyle w:val="TableParagraph"/>
              <w:spacing w:before="0"/>
              <w:jc w:val="left"/>
              <w:rPr>
                <w:rFonts w:ascii="Times New Roman"/>
              </w:rPr>
            </w:pPr>
          </w:p>
        </w:tc>
      </w:tr>
      <w:tr w:rsidR="00345EE3" w14:paraId="77BDBED7" w14:textId="77777777" w:rsidTr="00D73130">
        <w:trPr>
          <w:trHeight w:val="396"/>
        </w:trPr>
        <w:tc>
          <w:tcPr>
            <w:tcW w:w="6803" w:type="dxa"/>
            <w:tcBorders>
              <w:left w:val="nil"/>
              <w:right w:val="dashed" w:sz="2" w:space="0" w:color="939598"/>
            </w:tcBorders>
          </w:tcPr>
          <w:p w14:paraId="1D296128" w14:textId="77777777" w:rsidR="00345EE3" w:rsidRDefault="00345EE3" w:rsidP="00D73130">
            <w:pPr>
              <w:pStyle w:val="TableParagraph"/>
              <w:ind w:left="167"/>
              <w:jc w:val="left"/>
              <w:rPr>
                <w:sz w:val="24"/>
              </w:rPr>
            </w:pPr>
            <w:r>
              <w:rPr>
                <w:color w:val="231F20"/>
                <w:sz w:val="24"/>
              </w:rPr>
              <w:t>Current</w:t>
            </w:r>
            <w:r>
              <w:rPr>
                <w:color w:val="231F20"/>
                <w:spacing w:val="-7"/>
                <w:sz w:val="24"/>
              </w:rPr>
              <w:t xml:space="preserve"> </w:t>
            </w:r>
            <w:r>
              <w:rPr>
                <w:color w:val="231F20"/>
                <w:spacing w:val="-2"/>
                <w:sz w:val="24"/>
              </w:rPr>
              <w:t>receivable</w:t>
            </w:r>
          </w:p>
        </w:tc>
        <w:tc>
          <w:tcPr>
            <w:tcW w:w="1134" w:type="dxa"/>
            <w:tcBorders>
              <w:left w:val="dashed" w:sz="2" w:space="0" w:color="939598"/>
            </w:tcBorders>
          </w:tcPr>
          <w:p w14:paraId="57810F9A" w14:textId="77777777" w:rsidR="00345EE3" w:rsidRDefault="00345EE3" w:rsidP="00D73130">
            <w:pPr>
              <w:pStyle w:val="TableParagraph"/>
              <w:spacing w:before="0"/>
              <w:jc w:val="left"/>
              <w:rPr>
                <w:rFonts w:ascii="Times New Roman"/>
              </w:rPr>
            </w:pPr>
          </w:p>
        </w:tc>
        <w:tc>
          <w:tcPr>
            <w:tcW w:w="1134" w:type="dxa"/>
            <w:shd w:val="clear" w:color="auto" w:fill="E6E7E8"/>
          </w:tcPr>
          <w:p w14:paraId="0D405925" w14:textId="77777777" w:rsidR="00345EE3" w:rsidRDefault="00345EE3" w:rsidP="00D73130">
            <w:pPr>
              <w:pStyle w:val="TableParagraph"/>
              <w:ind w:right="1"/>
              <w:rPr>
                <w:sz w:val="24"/>
              </w:rPr>
            </w:pPr>
            <w:r>
              <w:rPr>
                <w:color w:val="231F20"/>
                <w:spacing w:val="-2"/>
                <w:sz w:val="24"/>
              </w:rPr>
              <w:t>164,531</w:t>
            </w:r>
          </w:p>
        </w:tc>
        <w:tc>
          <w:tcPr>
            <w:tcW w:w="1134" w:type="dxa"/>
            <w:tcBorders>
              <w:right w:val="nil"/>
            </w:tcBorders>
          </w:tcPr>
          <w:p w14:paraId="78A89DE1" w14:textId="77777777" w:rsidR="00345EE3" w:rsidRDefault="00345EE3" w:rsidP="00D73130">
            <w:pPr>
              <w:pStyle w:val="TableParagraph"/>
              <w:rPr>
                <w:sz w:val="24"/>
              </w:rPr>
            </w:pPr>
            <w:r>
              <w:rPr>
                <w:color w:val="231F20"/>
                <w:spacing w:val="-2"/>
                <w:sz w:val="24"/>
              </w:rPr>
              <w:t>359,092</w:t>
            </w:r>
          </w:p>
        </w:tc>
      </w:tr>
      <w:tr w:rsidR="00345EE3" w14:paraId="05446650" w14:textId="77777777" w:rsidTr="00D73130">
        <w:trPr>
          <w:trHeight w:val="393"/>
        </w:trPr>
        <w:tc>
          <w:tcPr>
            <w:tcW w:w="6803" w:type="dxa"/>
            <w:tcBorders>
              <w:left w:val="nil"/>
              <w:bottom w:val="single" w:sz="4" w:space="0" w:color="231F20"/>
              <w:right w:val="dashed" w:sz="2" w:space="0" w:color="939598"/>
            </w:tcBorders>
          </w:tcPr>
          <w:p w14:paraId="454F32EB" w14:textId="77777777" w:rsidR="00345EE3" w:rsidRDefault="00345EE3" w:rsidP="00D73130">
            <w:pPr>
              <w:pStyle w:val="TableParagraph"/>
              <w:ind w:left="167"/>
              <w:jc w:val="left"/>
              <w:rPr>
                <w:sz w:val="24"/>
              </w:rPr>
            </w:pPr>
            <w:r>
              <w:rPr>
                <w:color w:val="231F20"/>
                <w:sz w:val="24"/>
              </w:rPr>
              <w:t>Non-current</w:t>
            </w:r>
            <w:r>
              <w:rPr>
                <w:color w:val="231F20"/>
                <w:spacing w:val="-11"/>
                <w:sz w:val="24"/>
              </w:rPr>
              <w:t xml:space="preserve"> </w:t>
            </w:r>
            <w:r>
              <w:rPr>
                <w:color w:val="231F20"/>
                <w:spacing w:val="-2"/>
                <w:sz w:val="24"/>
              </w:rPr>
              <w:t>receivable</w:t>
            </w:r>
          </w:p>
        </w:tc>
        <w:tc>
          <w:tcPr>
            <w:tcW w:w="1134" w:type="dxa"/>
            <w:tcBorders>
              <w:left w:val="dashed" w:sz="2" w:space="0" w:color="939598"/>
              <w:bottom w:val="single" w:sz="4" w:space="0" w:color="231F20"/>
            </w:tcBorders>
          </w:tcPr>
          <w:p w14:paraId="0A61421B" w14:textId="77777777" w:rsidR="00345EE3" w:rsidRDefault="00345EE3" w:rsidP="00D73130">
            <w:pPr>
              <w:pStyle w:val="TableParagraph"/>
              <w:spacing w:before="0"/>
              <w:jc w:val="left"/>
              <w:rPr>
                <w:rFonts w:ascii="Times New Roman"/>
              </w:rPr>
            </w:pPr>
          </w:p>
        </w:tc>
        <w:tc>
          <w:tcPr>
            <w:tcW w:w="1134" w:type="dxa"/>
            <w:tcBorders>
              <w:bottom w:val="single" w:sz="4" w:space="0" w:color="231F20"/>
            </w:tcBorders>
            <w:shd w:val="clear" w:color="auto" w:fill="E6E7E8"/>
          </w:tcPr>
          <w:p w14:paraId="5031CC64" w14:textId="77777777" w:rsidR="00345EE3" w:rsidRDefault="00345EE3" w:rsidP="00D73130">
            <w:pPr>
              <w:pStyle w:val="TableParagraph"/>
              <w:ind w:right="1"/>
              <w:rPr>
                <w:sz w:val="24"/>
              </w:rPr>
            </w:pPr>
            <w:r>
              <w:rPr>
                <w:color w:val="231F20"/>
                <w:spacing w:val="-2"/>
                <w:sz w:val="24"/>
              </w:rPr>
              <w:t>755,149</w:t>
            </w:r>
          </w:p>
        </w:tc>
        <w:tc>
          <w:tcPr>
            <w:tcW w:w="1134" w:type="dxa"/>
            <w:tcBorders>
              <w:bottom w:val="single" w:sz="4" w:space="0" w:color="231F20"/>
              <w:right w:val="nil"/>
            </w:tcBorders>
          </w:tcPr>
          <w:p w14:paraId="217AF637" w14:textId="77777777" w:rsidR="00345EE3" w:rsidRDefault="00345EE3" w:rsidP="00D73130">
            <w:pPr>
              <w:pStyle w:val="TableParagraph"/>
              <w:rPr>
                <w:sz w:val="24"/>
              </w:rPr>
            </w:pPr>
            <w:r>
              <w:rPr>
                <w:color w:val="231F20"/>
                <w:spacing w:val="-2"/>
                <w:sz w:val="24"/>
              </w:rPr>
              <w:t>343,026</w:t>
            </w:r>
          </w:p>
        </w:tc>
      </w:tr>
      <w:tr w:rsidR="00345EE3" w14:paraId="604F26C9" w14:textId="77777777" w:rsidTr="00D73130">
        <w:trPr>
          <w:trHeight w:val="386"/>
        </w:trPr>
        <w:tc>
          <w:tcPr>
            <w:tcW w:w="6803" w:type="dxa"/>
            <w:tcBorders>
              <w:top w:val="single" w:sz="4" w:space="0" w:color="231F20"/>
              <w:left w:val="nil"/>
              <w:bottom w:val="single" w:sz="8" w:space="0" w:color="231F20"/>
              <w:right w:val="dashed" w:sz="2" w:space="0" w:color="939598"/>
            </w:tcBorders>
          </w:tcPr>
          <w:p w14:paraId="2C15C5BC"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8"/>
                <w:sz w:val="24"/>
              </w:rPr>
              <w:t xml:space="preserve"> </w:t>
            </w:r>
            <w:r>
              <w:rPr>
                <w:b/>
                <w:color w:val="231F20"/>
                <w:spacing w:val="-2"/>
                <w:sz w:val="24"/>
              </w:rPr>
              <w:t>Receivables</w:t>
            </w:r>
          </w:p>
        </w:tc>
        <w:tc>
          <w:tcPr>
            <w:tcW w:w="1134" w:type="dxa"/>
            <w:tcBorders>
              <w:top w:val="single" w:sz="4" w:space="0" w:color="231F20"/>
              <w:left w:val="dashed" w:sz="2" w:space="0" w:color="939598"/>
              <w:bottom w:val="single" w:sz="8" w:space="0" w:color="231F20"/>
            </w:tcBorders>
          </w:tcPr>
          <w:p w14:paraId="5A4F7963" w14:textId="77777777" w:rsidR="00345EE3" w:rsidRDefault="00345EE3" w:rsidP="00D73130">
            <w:pPr>
              <w:pStyle w:val="TableParagraph"/>
              <w:spacing w:before="0"/>
              <w:jc w:val="left"/>
              <w:rPr>
                <w:rFonts w:ascii="Times New Roman"/>
              </w:rPr>
            </w:pPr>
          </w:p>
        </w:tc>
        <w:tc>
          <w:tcPr>
            <w:tcW w:w="1134" w:type="dxa"/>
            <w:tcBorders>
              <w:top w:val="single" w:sz="4" w:space="0" w:color="231F20"/>
              <w:bottom w:val="single" w:sz="8" w:space="0" w:color="231F20"/>
            </w:tcBorders>
            <w:shd w:val="clear" w:color="auto" w:fill="E6E7E8"/>
          </w:tcPr>
          <w:p w14:paraId="35F0BEBB" w14:textId="77777777" w:rsidR="00345EE3" w:rsidRDefault="00345EE3" w:rsidP="00D73130">
            <w:pPr>
              <w:pStyle w:val="TableParagraph"/>
              <w:spacing w:before="58"/>
              <w:rPr>
                <w:b/>
                <w:sz w:val="24"/>
              </w:rPr>
            </w:pPr>
            <w:r>
              <w:rPr>
                <w:b/>
                <w:color w:val="231F20"/>
                <w:spacing w:val="-2"/>
                <w:sz w:val="24"/>
              </w:rPr>
              <w:t>919,680</w:t>
            </w:r>
          </w:p>
        </w:tc>
        <w:tc>
          <w:tcPr>
            <w:tcW w:w="1134" w:type="dxa"/>
            <w:tcBorders>
              <w:top w:val="single" w:sz="4" w:space="0" w:color="231F20"/>
              <w:bottom w:val="single" w:sz="8" w:space="0" w:color="231F20"/>
              <w:right w:val="nil"/>
            </w:tcBorders>
          </w:tcPr>
          <w:p w14:paraId="6FD1D7C2" w14:textId="77777777" w:rsidR="00345EE3" w:rsidRDefault="00345EE3" w:rsidP="00D73130">
            <w:pPr>
              <w:pStyle w:val="TableParagraph"/>
              <w:spacing w:before="58"/>
              <w:ind w:right="-15"/>
              <w:rPr>
                <w:b/>
                <w:sz w:val="24"/>
              </w:rPr>
            </w:pPr>
            <w:r>
              <w:rPr>
                <w:b/>
                <w:color w:val="231F20"/>
                <w:spacing w:val="-2"/>
                <w:sz w:val="24"/>
              </w:rPr>
              <w:t>702,118</w:t>
            </w:r>
          </w:p>
        </w:tc>
      </w:tr>
    </w:tbl>
    <w:p w14:paraId="578FC9DB" w14:textId="77777777" w:rsidR="00345EE3" w:rsidRPr="000C71FB" w:rsidRDefault="00345EE3" w:rsidP="00345EE3">
      <w:pPr>
        <w:spacing w:before="81"/>
        <w:ind w:left="110"/>
        <w:rPr>
          <w:rFonts w:ascii="Arial-BoldItalicMT"/>
          <w:b/>
          <w:i/>
          <w:sz w:val="18"/>
          <w:szCs w:val="18"/>
        </w:rPr>
      </w:pPr>
      <w:r w:rsidRPr="000C71FB">
        <w:rPr>
          <w:rFonts w:ascii="Arial-BoldItalicMT"/>
          <w:b/>
          <w:i/>
          <w:color w:val="231F20"/>
          <w:spacing w:val="-2"/>
          <w:sz w:val="18"/>
          <w:szCs w:val="18"/>
        </w:rPr>
        <w:t>Note:</w:t>
      </w:r>
    </w:p>
    <w:p w14:paraId="423FB26C" w14:textId="77777777" w:rsidR="00345EE3" w:rsidRPr="000C71FB" w:rsidRDefault="00345EE3" w:rsidP="00345EE3">
      <w:pPr>
        <w:spacing w:before="27"/>
        <w:ind w:left="337" w:right="187" w:hanging="227"/>
        <w:rPr>
          <w:sz w:val="18"/>
          <w:szCs w:val="18"/>
        </w:rPr>
      </w:pPr>
      <w:r w:rsidRPr="000C71FB">
        <w:rPr>
          <w:color w:val="231F20"/>
          <w:sz w:val="18"/>
          <w:szCs w:val="18"/>
        </w:rPr>
        <w:t>(a)</w:t>
      </w:r>
      <w:r w:rsidRPr="000C71FB">
        <w:rPr>
          <w:color w:val="231F20"/>
          <w:spacing w:val="30"/>
          <w:sz w:val="18"/>
          <w:szCs w:val="18"/>
        </w:rPr>
        <w:t xml:space="preserve"> </w:t>
      </w:r>
      <w:r w:rsidRPr="000C71FB">
        <w:rPr>
          <w:color w:val="231F20"/>
          <w:sz w:val="18"/>
          <w:szCs w:val="18"/>
        </w:rPr>
        <w:t>Amounts</w:t>
      </w:r>
      <w:r w:rsidRPr="000C71FB">
        <w:rPr>
          <w:color w:val="231F20"/>
          <w:spacing w:val="-1"/>
          <w:sz w:val="18"/>
          <w:szCs w:val="18"/>
        </w:rPr>
        <w:t xml:space="preserve"> </w:t>
      </w:r>
      <w:r w:rsidRPr="000C71FB">
        <w:rPr>
          <w:color w:val="231F20"/>
          <w:sz w:val="18"/>
          <w:szCs w:val="18"/>
        </w:rPr>
        <w:t>owing</w:t>
      </w:r>
      <w:r w:rsidRPr="000C71FB">
        <w:rPr>
          <w:color w:val="231F20"/>
          <w:spacing w:val="-1"/>
          <w:sz w:val="18"/>
          <w:szCs w:val="18"/>
        </w:rPr>
        <w:t xml:space="preserve"> </w:t>
      </w:r>
      <w:r w:rsidRPr="000C71FB">
        <w:rPr>
          <w:color w:val="231F20"/>
          <w:sz w:val="18"/>
          <w:szCs w:val="18"/>
        </w:rPr>
        <w:t>from</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Victorian</w:t>
      </w:r>
      <w:r w:rsidRPr="000C71FB">
        <w:rPr>
          <w:color w:val="231F20"/>
          <w:spacing w:val="-1"/>
          <w:sz w:val="18"/>
          <w:szCs w:val="18"/>
        </w:rPr>
        <w:t xml:space="preserve"> </w:t>
      </w:r>
      <w:r w:rsidRPr="000C71FB">
        <w:rPr>
          <w:color w:val="231F20"/>
          <w:sz w:val="18"/>
          <w:szCs w:val="18"/>
        </w:rPr>
        <w:t>Government</w:t>
      </w:r>
      <w:r w:rsidRPr="000C71FB">
        <w:rPr>
          <w:color w:val="231F20"/>
          <w:spacing w:val="-1"/>
          <w:sz w:val="18"/>
          <w:szCs w:val="18"/>
        </w:rPr>
        <w:t xml:space="preserve"> </w:t>
      </w:r>
      <w:r w:rsidRPr="000C71FB">
        <w:rPr>
          <w:color w:val="231F20"/>
          <w:sz w:val="18"/>
          <w:szCs w:val="18"/>
        </w:rPr>
        <w:t>relates</w:t>
      </w:r>
      <w:r w:rsidRPr="000C71FB">
        <w:rPr>
          <w:color w:val="231F20"/>
          <w:spacing w:val="-1"/>
          <w:sz w:val="18"/>
          <w:szCs w:val="18"/>
        </w:rPr>
        <w:t xml:space="preserve"> </w:t>
      </w:r>
      <w:r w:rsidRPr="000C71FB">
        <w:rPr>
          <w:color w:val="231F20"/>
          <w:sz w:val="18"/>
          <w:szCs w:val="18"/>
        </w:rPr>
        <w:t>to</w:t>
      </w:r>
      <w:r w:rsidRPr="000C71FB">
        <w:rPr>
          <w:color w:val="231F20"/>
          <w:spacing w:val="-1"/>
          <w:sz w:val="18"/>
          <w:szCs w:val="18"/>
        </w:rPr>
        <w:t xml:space="preserve"> </w:t>
      </w:r>
      <w:r w:rsidRPr="000C71FB">
        <w:rPr>
          <w:color w:val="231F20"/>
          <w:sz w:val="18"/>
          <w:szCs w:val="18"/>
        </w:rPr>
        <w:t>all</w:t>
      </w:r>
      <w:r w:rsidRPr="000C71FB">
        <w:rPr>
          <w:color w:val="231F20"/>
          <w:spacing w:val="-1"/>
          <w:sz w:val="18"/>
          <w:szCs w:val="18"/>
        </w:rPr>
        <w:t xml:space="preserve"> </w:t>
      </w:r>
      <w:r w:rsidRPr="000C71FB">
        <w:rPr>
          <w:color w:val="231F20"/>
          <w:sz w:val="18"/>
          <w:szCs w:val="18"/>
        </w:rPr>
        <w:t>funding</w:t>
      </w:r>
      <w:r w:rsidRPr="000C71FB">
        <w:rPr>
          <w:color w:val="231F20"/>
          <w:spacing w:val="37"/>
          <w:sz w:val="18"/>
          <w:szCs w:val="18"/>
        </w:rPr>
        <w:t xml:space="preserve"> </w:t>
      </w:r>
      <w:r w:rsidRPr="000C71FB">
        <w:rPr>
          <w:color w:val="231F20"/>
          <w:sz w:val="18"/>
          <w:szCs w:val="18"/>
        </w:rPr>
        <w:t>commitments</w:t>
      </w:r>
      <w:r w:rsidRPr="000C71FB">
        <w:rPr>
          <w:color w:val="231F20"/>
          <w:spacing w:val="-1"/>
          <w:sz w:val="18"/>
          <w:szCs w:val="18"/>
        </w:rPr>
        <w:t xml:space="preserve"> </w:t>
      </w:r>
      <w:r w:rsidRPr="000C71FB">
        <w:rPr>
          <w:color w:val="231F20"/>
          <w:sz w:val="18"/>
          <w:szCs w:val="18"/>
        </w:rPr>
        <w:t>incurred,</w:t>
      </w:r>
      <w:r w:rsidRPr="000C71FB">
        <w:rPr>
          <w:color w:val="231F20"/>
          <w:spacing w:val="-1"/>
          <w:sz w:val="18"/>
          <w:szCs w:val="18"/>
        </w:rPr>
        <w:t xml:space="preserve"> </w:t>
      </w:r>
      <w:r w:rsidRPr="000C71FB">
        <w:rPr>
          <w:color w:val="231F20"/>
          <w:sz w:val="18"/>
          <w:szCs w:val="18"/>
        </w:rPr>
        <w:t>which</w:t>
      </w:r>
      <w:r w:rsidRPr="000C71FB">
        <w:rPr>
          <w:color w:val="231F20"/>
          <w:spacing w:val="-1"/>
          <w:sz w:val="18"/>
          <w:szCs w:val="18"/>
        </w:rPr>
        <w:t xml:space="preserve"> </w:t>
      </w:r>
      <w:r w:rsidRPr="000C71FB">
        <w:rPr>
          <w:color w:val="231F20"/>
          <w:sz w:val="18"/>
          <w:szCs w:val="18"/>
        </w:rPr>
        <w:t>are</w:t>
      </w:r>
      <w:r w:rsidRPr="000C71FB">
        <w:rPr>
          <w:color w:val="231F20"/>
          <w:spacing w:val="-1"/>
          <w:sz w:val="18"/>
          <w:szCs w:val="18"/>
        </w:rPr>
        <w:t xml:space="preserve"> </w:t>
      </w:r>
      <w:r w:rsidRPr="000C71FB">
        <w:rPr>
          <w:color w:val="231F20"/>
          <w:sz w:val="18"/>
          <w:szCs w:val="18"/>
        </w:rPr>
        <w:t>drawn</w:t>
      </w:r>
      <w:r w:rsidRPr="000C71FB">
        <w:rPr>
          <w:color w:val="231F20"/>
          <w:spacing w:val="-1"/>
          <w:sz w:val="18"/>
          <w:szCs w:val="18"/>
        </w:rPr>
        <w:t xml:space="preserve"> </w:t>
      </w:r>
      <w:r w:rsidRPr="000C71FB">
        <w:rPr>
          <w:color w:val="231F20"/>
          <w:sz w:val="18"/>
          <w:szCs w:val="18"/>
        </w:rPr>
        <w:t>through</w:t>
      </w:r>
      <w:r w:rsidRPr="000C71FB">
        <w:rPr>
          <w:color w:val="231F20"/>
          <w:spacing w:val="-1"/>
          <w:sz w:val="18"/>
          <w:szCs w:val="18"/>
        </w:rPr>
        <w:t xml:space="preserve"> </w:t>
      </w:r>
      <w:r w:rsidRPr="000C71FB">
        <w:rPr>
          <w:color w:val="231F20"/>
          <w:sz w:val="18"/>
          <w:szCs w:val="18"/>
        </w:rPr>
        <w:t>grants</w:t>
      </w:r>
      <w:r w:rsidRPr="000C71FB">
        <w:rPr>
          <w:color w:val="231F20"/>
          <w:spacing w:val="-1"/>
          <w:sz w:val="18"/>
          <w:szCs w:val="18"/>
        </w:rPr>
        <w:t xml:space="preserve"> </w:t>
      </w:r>
      <w:r w:rsidRPr="000C71FB">
        <w:rPr>
          <w:color w:val="231F20"/>
          <w:sz w:val="18"/>
          <w:szCs w:val="18"/>
        </w:rPr>
        <w:t>from</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Consolidated</w:t>
      </w:r>
      <w:r w:rsidRPr="000C71FB">
        <w:rPr>
          <w:color w:val="231F20"/>
          <w:spacing w:val="-1"/>
          <w:sz w:val="18"/>
          <w:szCs w:val="18"/>
        </w:rPr>
        <w:t xml:space="preserve"> </w:t>
      </w:r>
      <w:r w:rsidRPr="000C71FB">
        <w:rPr>
          <w:color w:val="231F20"/>
          <w:sz w:val="18"/>
          <w:szCs w:val="18"/>
        </w:rPr>
        <w:t>Funds</w:t>
      </w:r>
      <w:r w:rsidRPr="000C71FB">
        <w:rPr>
          <w:color w:val="231F20"/>
          <w:spacing w:val="-1"/>
          <w:sz w:val="18"/>
          <w:szCs w:val="18"/>
        </w:rPr>
        <w:t xml:space="preserve"> </w:t>
      </w:r>
      <w:r w:rsidRPr="000C71FB">
        <w:rPr>
          <w:color w:val="231F20"/>
          <w:sz w:val="18"/>
          <w:szCs w:val="18"/>
        </w:rPr>
        <w:t>as</w:t>
      </w:r>
      <w:r w:rsidRPr="000C71FB">
        <w:rPr>
          <w:color w:val="231F20"/>
          <w:spacing w:val="40"/>
          <w:sz w:val="18"/>
          <w:szCs w:val="18"/>
        </w:rPr>
        <w:t xml:space="preserve"> </w:t>
      </w:r>
      <w:r w:rsidRPr="000C71FB">
        <w:rPr>
          <w:color w:val="231F20"/>
          <w:sz w:val="18"/>
          <w:szCs w:val="18"/>
        </w:rPr>
        <w:t>they fall due.</w:t>
      </w:r>
    </w:p>
    <w:p w14:paraId="20ACA73D" w14:textId="77777777" w:rsidR="00345EE3" w:rsidRDefault="00345EE3" w:rsidP="00345EE3">
      <w:pPr>
        <w:pStyle w:val="BodyText"/>
        <w:spacing w:before="138" w:line="242" w:lineRule="auto"/>
        <w:ind w:right="187"/>
      </w:pPr>
      <w:r>
        <w:rPr>
          <w:b/>
          <w:color w:val="231F20"/>
        </w:rPr>
        <w:t xml:space="preserve">Contractual receivables </w:t>
      </w:r>
      <w:r>
        <w:rPr>
          <w:color w:val="231F20"/>
        </w:rPr>
        <w:t>are classified as financial instruments and categorised as financial assets</w:t>
      </w:r>
      <w:r>
        <w:rPr>
          <w:color w:val="231F20"/>
          <w:spacing w:val="-9"/>
        </w:rPr>
        <w:t xml:space="preserve"> </w:t>
      </w:r>
      <w:r>
        <w:rPr>
          <w:color w:val="231F20"/>
        </w:rPr>
        <w:t>at</w:t>
      </w:r>
      <w:r>
        <w:rPr>
          <w:color w:val="231F20"/>
          <w:spacing w:val="-9"/>
        </w:rPr>
        <w:t xml:space="preserve"> </w:t>
      </w:r>
      <w:r>
        <w:rPr>
          <w:color w:val="231F20"/>
        </w:rPr>
        <w:t>amortised</w:t>
      </w:r>
      <w:r>
        <w:rPr>
          <w:color w:val="231F20"/>
          <w:spacing w:val="-10"/>
        </w:rPr>
        <w:t xml:space="preserve"> </w:t>
      </w:r>
      <w:r>
        <w:rPr>
          <w:color w:val="231F20"/>
        </w:rPr>
        <w:t>costs.</w:t>
      </w:r>
      <w:r>
        <w:rPr>
          <w:color w:val="231F20"/>
          <w:spacing w:val="-9"/>
        </w:rPr>
        <w:t xml:space="preserve"> </w:t>
      </w:r>
      <w:r>
        <w:rPr>
          <w:color w:val="231F20"/>
        </w:rPr>
        <w:t>They</w:t>
      </w:r>
      <w:r>
        <w:rPr>
          <w:color w:val="231F20"/>
          <w:spacing w:val="-9"/>
        </w:rPr>
        <w:t xml:space="preserve"> </w:t>
      </w:r>
      <w:r>
        <w:rPr>
          <w:color w:val="231F20"/>
        </w:rPr>
        <w:t>are</w:t>
      </w:r>
      <w:r>
        <w:rPr>
          <w:color w:val="231F20"/>
          <w:spacing w:val="-10"/>
        </w:rPr>
        <w:t xml:space="preserve"> </w:t>
      </w:r>
      <w:r>
        <w:rPr>
          <w:color w:val="231F20"/>
        </w:rPr>
        <w:t>initially</w:t>
      </w:r>
      <w:r>
        <w:rPr>
          <w:color w:val="231F20"/>
          <w:spacing w:val="-9"/>
        </w:rPr>
        <w:t xml:space="preserve"> </w:t>
      </w:r>
      <w:r>
        <w:rPr>
          <w:color w:val="231F20"/>
        </w:rPr>
        <w:t>recognised</w:t>
      </w:r>
      <w:r>
        <w:rPr>
          <w:color w:val="231F20"/>
          <w:spacing w:val="-10"/>
        </w:rPr>
        <w:t xml:space="preserve"> </w:t>
      </w:r>
      <w:r>
        <w:rPr>
          <w:color w:val="231F20"/>
        </w:rPr>
        <w:t>at</w:t>
      </w:r>
      <w:r>
        <w:rPr>
          <w:color w:val="231F20"/>
          <w:spacing w:val="-9"/>
        </w:rPr>
        <w:t xml:space="preserve"> </w:t>
      </w:r>
      <w:r>
        <w:rPr>
          <w:color w:val="231F20"/>
        </w:rPr>
        <w:t>fair</w:t>
      </w:r>
      <w:r>
        <w:rPr>
          <w:color w:val="231F20"/>
          <w:spacing w:val="-9"/>
        </w:rPr>
        <w:t xml:space="preserve"> </w:t>
      </w:r>
      <w:r>
        <w:rPr>
          <w:color w:val="231F20"/>
        </w:rPr>
        <w:t>value</w:t>
      </w:r>
      <w:r>
        <w:rPr>
          <w:color w:val="231F20"/>
          <w:spacing w:val="-10"/>
        </w:rPr>
        <w:t xml:space="preserve"> </w:t>
      </w:r>
      <w:r>
        <w:rPr>
          <w:color w:val="231F20"/>
        </w:rPr>
        <w:t>plus</w:t>
      </w:r>
      <w:r>
        <w:rPr>
          <w:color w:val="231F20"/>
          <w:spacing w:val="-9"/>
        </w:rPr>
        <w:t xml:space="preserve"> </w:t>
      </w:r>
      <w:r>
        <w:rPr>
          <w:color w:val="231F20"/>
        </w:rPr>
        <w:t>any</w:t>
      </w:r>
      <w:r>
        <w:rPr>
          <w:color w:val="231F20"/>
          <w:spacing w:val="-9"/>
        </w:rPr>
        <w:t xml:space="preserve"> </w:t>
      </w:r>
      <w:r>
        <w:rPr>
          <w:color w:val="231F20"/>
        </w:rPr>
        <w:t>directly</w:t>
      </w:r>
      <w:r>
        <w:rPr>
          <w:color w:val="231F20"/>
          <w:spacing w:val="-9"/>
        </w:rPr>
        <w:t xml:space="preserve"> </w:t>
      </w:r>
      <w:r>
        <w:rPr>
          <w:color w:val="231F20"/>
        </w:rPr>
        <w:t>attributable transaction costs. Victoria Police holds the contractual receivables with the objective to collect the contractual cash flows and therefore subsequently measured at amortised cost using the effective interest method, less any impairment.</w:t>
      </w:r>
    </w:p>
    <w:p w14:paraId="1A988603" w14:textId="77777777" w:rsidR="00345EE3" w:rsidRDefault="00345EE3" w:rsidP="00345EE3">
      <w:pPr>
        <w:pStyle w:val="BodyText"/>
        <w:spacing w:before="120" w:line="242" w:lineRule="auto"/>
        <w:ind w:right="482"/>
      </w:pPr>
      <w:r>
        <w:rPr>
          <w:b/>
          <w:color w:val="231F20"/>
        </w:rPr>
        <w:t xml:space="preserve">Statutory receivables </w:t>
      </w:r>
      <w:r>
        <w:rPr>
          <w:color w:val="231F20"/>
        </w:rPr>
        <w:t>do not arise from contracts and are recognised and measured similarly</w:t>
      </w:r>
      <w:r>
        <w:rPr>
          <w:color w:val="231F20"/>
          <w:spacing w:val="-3"/>
        </w:rPr>
        <w:t xml:space="preserve"> </w:t>
      </w:r>
      <w:r>
        <w:rPr>
          <w:color w:val="231F20"/>
        </w:rPr>
        <w:t>to</w:t>
      </w:r>
      <w:r>
        <w:rPr>
          <w:color w:val="231F20"/>
          <w:spacing w:val="-4"/>
        </w:rPr>
        <w:t xml:space="preserve"> </w:t>
      </w:r>
      <w:r>
        <w:rPr>
          <w:color w:val="231F20"/>
        </w:rPr>
        <w:t>contractual</w:t>
      </w:r>
      <w:r>
        <w:rPr>
          <w:color w:val="231F20"/>
          <w:spacing w:val="-4"/>
        </w:rPr>
        <w:t xml:space="preserve"> </w:t>
      </w:r>
      <w:r>
        <w:rPr>
          <w:color w:val="231F20"/>
        </w:rPr>
        <w:t>receivables</w:t>
      </w:r>
      <w:r>
        <w:rPr>
          <w:color w:val="231F20"/>
          <w:spacing w:val="-3"/>
        </w:rPr>
        <w:t xml:space="preserve"> </w:t>
      </w:r>
      <w:r>
        <w:rPr>
          <w:color w:val="231F20"/>
        </w:rPr>
        <w:t>(except</w:t>
      </w:r>
      <w:r>
        <w:rPr>
          <w:color w:val="231F20"/>
          <w:spacing w:val="-3"/>
        </w:rPr>
        <w:t xml:space="preserve"> </w:t>
      </w:r>
      <w:r>
        <w:rPr>
          <w:color w:val="231F20"/>
        </w:rPr>
        <w:t>for</w:t>
      </w:r>
      <w:r>
        <w:rPr>
          <w:color w:val="231F20"/>
          <w:spacing w:val="-3"/>
        </w:rPr>
        <w:t xml:space="preserve"> </w:t>
      </w:r>
      <w:r>
        <w:rPr>
          <w:color w:val="231F20"/>
        </w:rPr>
        <w:t>impairment)</w:t>
      </w:r>
      <w:r>
        <w:rPr>
          <w:color w:val="231F20"/>
          <w:spacing w:val="-3"/>
        </w:rPr>
        <w:t xml:space="preserve"> </w:t>
      </w:r>
      <w:r>
        <w:rPr>
          <w:color w:val="231F20"/>
        </w:rPr>
        <w:t>but</w:t>
      </w:r>
      <w:r>
        <w:rPr>
          <w:color w:val="231F20"/>
          <w:spacing w:val="-3"/>
        </w:rPr>
        <w:t xml:space="preserve"> </w:t>
      </w:r>
      <w:r>
        <w:rPr>
          <w:color w:val="231F20"/>
        </w:rPr>
        <w:t>are</w:t>
      </w:r>
      <w:r>
        <w:rPr>
          <w:color w:val="231F20"/>
          <w:spacing w:val="-4"/>
        </w:rPr>
        <w:t xml:space="preserve"> </w:t>
      </w:r>
      <w:r>
        <w:rPr>
          <w:color w:val="231F20"/>
        </w:rPr>
        <w:t>not</w:t>
      </w:r>
      <w:r>
        <w:rPr>
          <w:color w:val="231F20"/>
          <w:spacing w:val="-3"/>
        </w:rPr>
        <w:t xml:space="preserve"> </w:t>
      </w:r>
      <w:r>
        <w:rPr>
          <w:color w:val="231F20"/>
        </w:rPr>
        <w:t>classified</w:t>
      </w:r>
      <w:r>
        <w:rPr>
          <w:color w:val="231F20"/>
          <w:spacing w:val="-4"/>
        </w:rPr>
        <w:t xml:space="preserve"> </w:t>
      </w:r>
      <w:r>
        <w:rPr>
          <w:color w:val="231F20"/>
        </w:rPr>
        <w:t>as</w:t>
      </w:r>
      <w:r>
        <w:rPr>
          <w:color w:val="231F20"/>
          <w:spacing w:val="-3"/>
        </w:rPr>
        <w:t xml:space="preserve"> </w:t>
      </w:r>
      <w:r>
        <w:rPr>
          <w:color w:val="231F20"/>
        </w:rPr>
        <w:t>financial instruments</w:t>
      </w:r>
      <w:r>
        <w:rPr>
          <w:color w:val="231F20"/>
          <w:spacing w:val="-17"/>
        </w:rPr>
        <w:t xml:space="preserve"> </w:t>
      </w:r>
      <w:r>
        <w:rPr>
          <w:color w:val="231F20"/>
        </w:rPr>
        <w:t>for</w:t>
      </w:r>
      <w:r>
        <w:rPr>
          <w:color w:val="231F20"/>
          <w:spacing w:val="-17"/>
        </w:rPr>
        <w:t xml:space="preserve"> </w:t>
      </w:r>
      <w:r>
        <w:rPr>
          <w:color w:val="231F20"/>
        </w:rPr>
        <w:t>disclosure</w:t>
      </w:r>
      <w:r>
        <w:rPr>
          <w:color w:val="231F20"/>
          <w:spacing w:val="-16"/>
        </w:rPr>
        <w:t xml:space="preserve"> </w:t>
      </w:r>
      <w:r>
        <w:rPr>
          <w:color w:val="231F20"/>
        </w:rPr>
        <w:t>purposes.</w:t>
      </w:r>
      <w:r>
        <w:rPr>
          <w:color w:val="231F20"/>
          <w:spacing w:val="-17"/>
        </w:rPr>
        <w:t xml:space="preserve"> </w:t>
      </w:r>
      <w:r>
        <w:rPr>
          <w:color w:val="231F20"/>
        </w:rPr>
        <w:t>Victoria</w:t>
      </w:r>
      <w:r>
        <w:rPr>
          <w:color w:val="231F20"/>
          <w:spacing w:val="-17"/>
        </w:rPr>
        <w:t xml:space="preserve"> </w:t>
      </w:r>
      <w:r>
        <w:rPr>
          <w:color w:val="231F20"/>
        </w:rPr>
        <w:t>Police</w:t>
      </w:r>
      <w:r>
        <w:rPr>
          <w:color w:val="231F20"/>
          <w:spacing w:val="-17"/>
        </w:rPr>
        <w:t xml:space="preserve"> </w:t>
      </w:r>
      <w:r>
        <w:rPr>
          <w:color w:val="231F20"/>
        </w:rPr>
        <w:t>applies</w:t>
      </w:r>
      <w:r>
        <w:rPr>
          <w:color w:val="231F20"/>
          <w:spacing w:val="-16"/>
        </w:rPr>
        <w:t xml:space="preserve"> </w:t>
      </w:r>
      <w:r>
        <w:rPr>
          <w:color w:val="231F20"/>
        </w:rPr>
        <w:t>AASB</w:t>
      </w:r>
      <w:r>
        <w:rPr>
          <w:color w:val="231F20"/>
          <w:spacing w:val="-17"/>
        </w:rPr>
        <w:t xml:space="preserve"> </w:t>
      </w:r>
      <w:r>
        <w:rPr>
          <w:color w:val="231F20"/>
        </w:rPr>
        <w:t>9</w:t>
      </w:r>
      <w:r>
        <w:rPr>
          <w:color w:val="231F20"/>
          <w:spacing w:val="-17"/>
        </w:rPr>
        <w:t xml:space="preserve"> </w:t>
      </w:r>
      <w:r>
        <w:rPr>
          <w:i/>
          <w:color w:val="231F20"/>
        </w:rPr>
        <w:t>Financial</w:t>
      </w:r>
      <w:r>
        <w:rPr>
          <w:i/>
          <w:color w:val="231F20"/>
          <w:spacing w:val="-16"/>
        </w:rPr>
        <w:t xml:space="preserve"> </w:t>
      </w:r>
      <w:r>
        <w:rPr>
          <w:i/>
          <w:color w:val="231F20"/>
        </w:rPr>
        <w:t>Instruments</w:t>
      </w:r>
      <w:r>
        <w:rPr>
          <w:i/>
          <w:color w:val="231F20"/>
          <w:spacing w:val="-17"/>
        </w:rPr>
        <w:t xml:space="preserve"> </w:t>
      </w:r>
      <w:r>
        <w:rPr>
          <w:color w:val="231F20"/>
        </w:rPr>
        <w:t>for</w:t>
      </w:r>
    </w:p>
    <w:p w14:paraId="6859D311" w14:textId="77777777" w:rsidR="00345EE3" w:rsidRDefault="00345EE3" w:rsidP="00345EE3">
      <w:pPr>
        <w:pStyle w:val="BodyText"/>
        <w:spacing w:before="4" w:line="242" w:lineRule="auto"/>
      </w:pPr>
      <w:r>
        <w:rPr>
          <w:color w:val="231F20"/>
        </w:rPr>
        <w:t>initial measurement of the statutory receivables and as a result statutory receivables are initially recognised at fair value plus any directly attributable transaction cost. Amounts recognised from the</w:t>
      </w:r>
      <w:r>
        <w:rPr>
          <w:color w:val="231F20"/>
          <w:spacing w:val="-9"/>
        </w:rPr>
        <w:t xml:space="preserve"> </w:t>
      </w:r>
      <w:r>
        <w:rPr>
          <w:color w:val="231F20"/>
        </w:rPr>
        <w:t>Victorian</w:t>
      </w:r>
      <w:r>
        <w:rPr>
          <w:color w:val="231F20"/>
          <w:spacing w:val="-9"/>
        </w:rPr>
        <w:t xml:space="preserve"> </w:t>
      </w:r>
      <w:r>
        <w:rPr>
          <w:color w:val="231F20"/>
        </w:rPr>
        <w:t>Government</w:t>
      </w:r>
      <w:r>
        <w:rPr>
          <w:color w:val="231F20"/>
          <w:spacing w:val="-9"/>
        </w:rPr>
        <w:t xml:space="preserve"> </w:t>
      </w:r>
      <w:r>
        <w:rPr>
          <w:color w:val="231F20"/>
        </w:rPr>
        <w:t>represent</w:t>
      </w:r>
      <w:r>
        <w:rPr>
          <w:color w:val="231F20"/>
          <w:spacing w:val="-9"/>
        </w:rPr>
        <w:t xml:space="preserve"> </w:t>
      </w:r>
      <w:r>
        <w:rPr>
          <w:color w:val="231F20"/>
        </w:rPr>
        <w:t>funding</w:t>
      </w:r>
      <w:r>
        <w:rPr>
          <w:color w:val="231F20"/>
          <w:spacing w:val="-9"/>
        </w:rPr>
        <w:t xml:space="preserve"> </w:t>
      </w:r>
      <w:r>
        <w:rPr>
          <w:color w:val="231F20"/>
        </w:rPr>
        <w:t>for</w:t>
      </w:r>
      <w:r>
        <w:rPr>
          <w:color w:val="231F20"/>
          <w:spacing w:val="-9"/>
        </w:rPr>
        <w:t xml:space="preserve"> </w:t>
      </w:r>
      <w:r>
        <w:rPr>
          <w:color w:val="231F20"/>
        </w:rPr>
        <w:t>all</w:t>
      </w:r>
      <w:r>
        <w:rPr>
          <w:color w:val="231F20"/>
          <w:spacing w:val="-9"/>
        </w:rPr>
        <w:t xml:space="preserve"> </w:t>
      </w:r>
      <w:r>
        <w:rPr>
          <w:color w:val="231F20"/>
        </w:rPr>
        <w:t>commitments</w:t>
      </w:r>
      <w:r>
        <w:rPr>
          <w:color w:val="231F20"/>
          <w:spacing w:val="-9"/>
        </w:rPr>
        <w:t xml:space="preserve"> </w:t>
      </w:r>
      <w:r>
        <w:rPr>
          <w:color w:val="231F20"/>
        </w:rPr>
        <w:t>incurred</w:t>
      </w:r>
      <w:r>
        <w:rPr>
          <w:color w:val="231F20"/>
          <w:spacing w:val="-9"/>
        </w:rPr>
        <w:t xml:space="preserve"> </w:t>
      </w:r>
      <w:r>
        <w:rPr>
          <w:color w:val="231F20"/>
        </w:rPr>
        <w:t>and</w:t>
      </w:r>
      <w:r>
        <w:rPr>
          <w:color w:val="231F20"/>
          <w:spacing w:val="-9"/>
        </w:rPr>
        <w:t xml:space="preserve"> </w:t>
      </w:r>
      <w:r>
        <w:rPr>
          <w:color w:val="231F20"/>
        </w:rPr>
        <w:t>are</w:t>
      </w:r>
      <w:r>
        <w:rPr>
          <w:color w:val="231F20"/>
          <w:spacing w:val="-9"/>
        </w:rPr>
        <w:t xml:space="preserve"> </w:t>
      </w:r>
      <w:r>
        <w:rPr>
          <w:color w:val="231F20"/>
        </w:rPr>
        <w:t>drawn</w:t>
      </w:r>
      <w:r>
        <w:rPr>
          <w:color w:val="231F20"/>
          <w:spacing w:val="-9"/>
        </w:rPr>
        <w:t xml:space="preserve"> </w:t>
      </w:r>
      <w:r>
        <w:rPr>
          <w:color w:val="231F20"/>
        </w:rPr>
        <w:t>from</w:t>
      </w:r>
      <w:r>
        <w:rPr>
          <w:color w:val="231F20"/>
          <w:spacing w:val="-9"/>
        </w:rPr>
        <w:t xml:space="preserve"> </w:t>
      </w:r>
      <w:r>
        <w:rPr>
          <w:color w:val="231F20"/>
        </w:rPr>
        <w:t>the Consolidated Fund as the commitments fall due.</w:t>
      </w:r>
    </w:p>
    <w:p w14:paraId="590312EF" w14:textId="77777777" w:rsidR="00345EE3" w:rsidRDefault="00345EE3" w:rsidP="00345EE3">
      <w:pPr>
        <w:pStyle w:val="BodyText"/>
        <w:spacing w:before="118"/>
      </w:pPr>
      <w:r>
        <w:rPr>
          <w:color w:val="231F20"/>
        </w:rPr>
        <w:t>Details</w:t>
      </w:r>
      <w:r>
        <w:rPr>
          <w:color w:val="231F20"/>
          <w:spacing w:val="-11"/>
        </w:rPr>
        <w:t xml:space="preserve"> </w:t>
      </w:r>
      <w:r>
        <w:rPr>
          <w:color w:val="231F20"/>
        </w:rPr>
        <w:t>about</w:t>
      </w:r>
      <w:r>
        <w:rPr>
          <w:color w:val="231F20"/>
          <w:spacing w:val="-10"/>
        </w:rPr>
        <w:t xml:space="preserve"> </w:t>
      </w:r>
      <w:r>
        <w:rPr>
          <w:color w:val="231F20"/>
        </w:rPr>
        <w:t>Victoria</w:t>
      </w:r>
      <w:r>
        <w:rPr>
          <w:color w:val="231F20"/>
          <w:spacing w:val="-11"/>
        </w:rPr>
        <w:t xml:space="preserve"> </w:t>
      </w:r>
      <w:r>
        <w:rPr>
          <w:color w:val="231F20"/>
        </w:rPr>
        <w:t>Police’s</w:t>
      </w:r>
      <w:r>
        <w:rPr>
          <w:color w:val="231F20"/>
          <w:spacing w:val="-11"/>
        </w:rPr>
        <w:t xml:space="preserve"> </w:t>
      </w:r>
      <w:r>
        <w:rPr>
          <w:color w:val="231F20"/>
        </w:rPr>
        <w:t>impairment</w:t>
      </w:r>
      <w:r>
        <w:rPr>
          <w:color w:val="231F20"/>
          <w:spacing w:val="-10"/>
        </w:rPr>
        <w:t xml:space="preserve"> </w:t>
      </w:r>
      <w:r>
        <w:rPr>
          <w:color w:val="231F20"/>
        </w:rPr>
        <w:t>policies,</w:t>
      </w:r>
      <w:r>
        <w:rPr>
          <w:color w:val="231F20"/>
          <w:spacing w:val="-10"/>
        </w:rPr>
        <w:t xml:space="preserve"> </w:t>
      </w:r>
      <w:r>
        <w:rPr>
          <w:color w:val="231F20"/>
        </w:rPr>
        <w:t>exposure</w:t>
      </w:r>
      <w:r>
        <w:rPr>
          <w:color w:val="231F20"/>
          <w:spacing w:val="-11"/>
        </w:rPr>
        <w:t xml:space="preserve"> </w:t>
      </w:r>
      <w:r>
        <w:rPr>
          <w:color w:val="231F20"/>
        </w:rPr>
        <w:t>to</w:t>
      </w:r>
      <w:r>
        <w:rPr>
          <w:color w:val="231F20"/>
          <w:spacing w:val="-11"/>
        </w:rPr>
        <w:t xml:space="preserve"> </w:t>
      </w:r>
      <w:r>
        <w:rPr>
          <w:color w:val="231F20"/>
        </w:rPr>
        <w:t>credit</w:t>
      </w:r>
      <w:r>
        <w:rPr>
          <w:color w:val="231F20"/>
          <w:spacing w:val="-11"/>
        </w:rPr>
        <w:t xml:space="preserve"> </w:t>
      </w:r>
      <w:r>
        <w:rPr>
          <w:color w:val="231F20"/>
        </w:rPr>
        <w:t>risk</w:t>
      </w:r>
      <w:r>
        <w:rPr>
          <w:color w:val="231F20"/>
          <w:spacing w:val="-10"/>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calculation</w:t>
      </w:r>
      <w:r>
        <w:rPr>
          <w:color w:val="231F20"/>
          <w:spacing w:val="-11"/>
        </w:rPr>
        <w:t xml:space="preserve"> </w:t>
      </w:r>
      <w:r>
        <w:rPr>
          <w:color w:val="231F20"/>
          <w:spacing w:val="-5"/>
        </w:rPr>
        <w:t xml:space="preserve">of </w:t>
      </w:r>
      <w:r>
        <w:rPr>
          <w:color w:val="231F20"/>
        </w:rPr>
        <w:t>the</w:t>
      </w:r>
      <w:r>
        <w:rPr>
          <w:color w:val="231F20"/>
          <w:spacing w:val="-12"/>
        </w:rPr>
        <w:t xml:space="preserve"> </w:t>
      </w:r>
      <w:r>
        <w:rPr>
          <w:color w:val="231F20"/>
        </w:rPr>
        <w:t>loss</w:t>
      </w:r>
      <w:r>
        <w:rPr>
          <w:color w:val="231F20"/>
          <w:spacing w:val="-9"/>
        </w:rPr>
        <w:t xml:space="preserve"> </w:t>
      </w:r>
      <w:r>
        <w:rPr>
          <w:color w:val="231F20"/>
        </w:rPr>
        <w:t>allowance</w:t>
      </w:r>
      <w:r>
        <w:rPr>
          <w:color w:val="231F20"/>
          <w:spacing w:val="-10"/>
        </w:rPr>
        <w:t xml:space="preserve"> </w:t>
      </w:r>
      <w:r>
        <w:rPr>
          <w:color w:val="231F20"/>
        </w:rPr>
        <w:t>are</w:t>
      </w:r>
      <w:r>
        <w:rPr>
          <w:color w:val="231F20"/>
          <w:spacing w:val="-10"/>
        </w:rPr>
        <w:t xml:space="preserve"> </w:t>
      </w:r>
      <w:r>
        <w:rPr>
          <w:color w:val="231F20"/>
        </w:rPr>
        <w:t>set</w:t>
      </w:r>
      <w:r>
        <w:rPr>
          <w:color w:val="231F20"/>
          <w:spacing w:val="-9"/>
        </w:rPr>
        <w:t xml:space="preserve"> </w:t>
      </w:r>
      <w:r>
        <w:rPr>
          <w:color w:val="231F20"/>
        </w:rPr>
        <w:t>out</w:t>
      </w:r>
      <w:r>
        <w:rPr>
          <w:color w:val="231F20"/>
          <w:spacing w:val="-9"/>
        </w:rPr>
        <w:t xml:space="preserve"> </w:t>
      </w:r>
      <w:r>
        <w:rPr>
          <w:color w:val="231F20"/>
        </w:rPr>
        <w:t>in</w:t>
      </w:r>
      <w:r>
        <w:rPr>
          <w:color w:val="231F20"/>
          <w:spacing w:val="-10"/>
        </w:rPr>
        <w:t xml:space="preserve"> </w:t>
      </w:r>
      <w:r>
        <w:rPr>
          <w:color w:val="231F20"/>
        </w:rPr>
        <w:t>Note</w:t>
      </w:r>
      <w:r>
        <w:rPr>
          <w:color w:val="231F20"/>
          <w:spacing w:val="-10"/>
        </w:rPr>
        <w:t xml:space="preserve"> </w:t>
      </w:r>
      <w:r>
        <w:rPr>
          <w:color w:val="231F20"/>
        </w:rPr>
        <w:t>8.3.1</w:t>
      </w:r>
      <w:r>
        <w:rPr>
          <w:color w:val="231F20"/>
          <w:spacing w:val="-10"/>
        </w:rPr>
        <w:t xml:space="preserve"> </w:t>
      </w:r>
      <w:r>
        <w:rPr>
          <w:color w:val="231F20"/>
        </w:rPr>
        <w:t>Financial</w:t>
      </w:r>
      <w:r>
        <w:rPr>
          <w:color w:val="231F20"/>
          <w:spacing w:val="-10"/>
        </w:rPr>
        <w:t xml:space="preserve"> </w:t>
      </w:r>
      <w:r>
        <w:rPr>
          <w:color w:val="231F20"/>
        </w:rPr>
        <w:t>Risk</w:t>
      </w:r>
      <w:r>
        <w:rPr>
          <w:color w:val="231F20"/>
          <w:spacing w:val="-9"/>
        </w:rPr>
        <w:t xml:space="preserve"> </w:t>
      </w:r>
      <w:r>
        <w:rPr>
          <w:color w:val="231F20"/>
        </w:rPr>
        <w:t>Management</w:t>
      </w:r>
      <w:r>
        <w:rPr>
          <w:color w:val="231F20"/>
          <w:spacing w:val="-9"/>
        </w:rPr>
        <w:t xml:space="preserve"> </w:t>
      </w:r>
      <w:r>
        <w:rPr>
          <w:color w:val="231F20"/>
        </w:rPr>
        <w:t>Objectives</w:t>
      </w:r>
      <w:r>
        <w:rPr>
          <w:color w:val="231F20"/>
          <w:spacing w:val="-9"/>
        </w:rPr>
        <w:t xml:space="preserve"> </w:t>
      </w:r>
      <w:r>
        <w:rPr>
          <w:color w:val="231F20"/>
        </w:rPr>
        <w:t>and</w:t>
      </w:r>
      <w:r>
        <w:rPr>
          <w:color w:val="231F20"/>
          <w:spacing w:val="-9"/>
        </w:rPr>
        <w:t xml:space="preserve"> </w:t>
      </w:r>
      <w:r>
        <w:rPr>
          <w:color w:val="231F20"/>
          <w:spacing w:val="-2"/>
        </w:rPr>
        <w:t>Policies.</w:t>
      </w:r>
    </w:p>
    <w:p w14:paraId="65FA39E8" w14:textId="77777777" w:rsidR="00345EE3" w:rsidRDefault="00345EE3" w:rsidP="00345EE3">
      <w:pPr>
        <w:pStyle w:val="BodyText"/>
        <w:spacing w:before="117" w:line="242" w:lineRule="auto"/>
        <w:ind w:right="187"/>
      </w:pPr>
      <w:r>
        <w:rPr>
          <w:b/>
          <w:color w:val="231F20"/>
        </w:rPr>
        <w:t>Impairment</w:t>
      </w:r>
      <w:r>
        <w:rPr>
          <w:b/>
          <w:color w:val="231F20"/>
          <w:spacing w:val="-7"/>
        </w:rPr>
        <w:t xml:space="preserve"> </w:t>
      </w:r>
      <w:r>
        <w:rPr>
          <w:b/>
          <w:color w:val="231F20"/>
        </w:rPr>
        <w:t>of</w:t>
      </w:r>
      <w:r>
        <w:rPr>
          <w:b/>
          <w:color w:val="231F20"/>
          <w:spacing w:val="-7"/>
        </w:rPr>
        <w:t xml:space="preserve"> </w:t>
      </w:r>
      <w:r>
        <w:rPr>
          <w:b/>
          <w:color w:val="231F20"/>
        </w:rPr>
        <w:t>financial</w:t>
      </w:r>
      <w:r>
        <w:rPr>
          <w:b/>
          <w:color w:val="231F20"/>
          <w:spacing w:val="-7"/>
        </w:rPr>
        <w:t xml:space="preserve"> </w:t>
      </w:r>
      <w:r>
        <w:rPr>
          <w:b/>
          <w:color w:val="231F20"/>
        </w:rPr>
        <w:t>assets:</w:t>
      </w:r>
      <w:r>
        <w:rPr>
          <w:b/>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records</w:t>
      </w:r>
      <w:r>
        <w:rPr>
          <w:color w:val="231F20"/>
          <w:spacing w:val="-7"/>
        </w:rPr>
        <w:t xml:space="preserve"> </w:t>
      </w:r>
      <w:r>
        <w:rPr>
          <w:color w:val="231F20"/>
        </w:rPr>
        <w:t>the</w:t>
      </w:r>
      <w:r>
        <w:rPr>
          <w:color w:val="231F20"/>
          <w:spacing w:val="-8"/>
        </w:rPr>
        <w:t xml:space="preserve"> </w:t>
      </w:r>
      <w:r>
        <w:rPr>
          <w:color w:val="231F20"/>
        </w:rPr>
        <w:t>allowance</w:t>
      </w:r>
      <w:r>
        <w:rPr>
          <w:color w:val="231F20"/>
          <w:spacing w:val="-8"/>
        </w:rPr>
        <w:t xml:space="preserve"> </w:t>
      </w:r>
      <w:r>
        <w:rPr>
          <w:color w:val="231F20"/>
        </w:rPr>
        <w:t>for</w:t>
      </w:r>
      <w:r>
        <w:rPr>
          <w:color w:val="231F20"/>
          <w:spacing w:val="-7"/>
        </w:rPr>
        <w:t xml:space="preserve"> </w:t>
      </w:r>
      <w:r>
        <w:rPr>
          <w:color w:val="231F20"/>
        </w:rPr>
        <w:t>expected</w:t>
      </w:r>
      <w:r>
        <w:rPr>
          <w:color w:val="231F20"/>
          <w:spacing w:val="-8"/>
        </w:rPr>
        <w:t xml:space="preserve"> </w:t>
      </w:r>
      <w:r>
        <w:rPr>
          <w:color w:val="231F20"/>
        </w:rPr>
        <w:t>credit</w:t>
      </w:r>
      <w:r>
        <w:rPr>
          <w:color w:val="231F20"/>
          <w:spacing w:val="-7"/>
        </w:rPr>
        <w:t xml:space="preserve"> </w:t>
      </w:r>
      <w:r>
        <w:rPr>
          <w:color w:val="231F20"/>
        </w:rPr>
        <w:t>loss by</w:t>
      </w:r>
      <w:r>
        <w:rPr>
          <w:color w:val="231F20"/>
          <w:spacing w:val="-1"/>
        </w:rPr>
        <w:t xml:space="preserve"> </w:t>
      </w:r>
      <w:r>
        <w:rPr>
          <w:color w:val="231F20"/>
        </w:rPr>
        <w:t>applying</w:t>
      </w:r>
      <w:r>
        <w:rPr>
          <w:color w:val="231F20"/>
          <w:spacing w:val="-2"/>
        </w:rPr>
        <w:t xml:space="preserve"> </w:t>
      </w:r>
      <w:r>
        <w:rPr>
          <w:color w:val="231F20"/>
        </w:rPr>
        <w:t>AASB</w:t>
      </w:r>
      <w:r>
        <w:rPr>
          <w:color w:val="231F20"/>
          <w:spacing w:val="-1"/>
        </w:rPr>
        <w:t xml:space="preserve"> </w:t>
      </w:r>
      <w:r>
        <w:rPr>
          <w:color w:val="231F20"/>
        </w:rPr>
        <w:t>9’s</w:t>
      </w:r>
      <w:r>
        <w:rPr>
          <w:color w:val="231F20"/>
          <w:spacing w:val="-1"/>
        </w:rPr>
        <w:t xml:space="preserve"> </w:t>
      </w:r>
      <w:r>
        <w:rPr>
          <w:i/>
          <w:color w:val="231F20"/>
        </w:rPr>
        <w:t>Expected</w:t>
      </w:r>
      <w:r>
        <w:rPr>
          <w:i/>
          <w:color w:val="231F20"/>
          <w:spacing w:val="-10"/>
        </w:rPr>
        <w:t xml:space="preserve"> </w:t>
      </w:r>
      <w:r>
        <w:rPr>
          <w:i/>
          <w:color w:val="231F20"/>
        </w:rPr>
        <w:t>Credit</w:t>
      </w:r>
      <w:r>
        <w:rPr>
          <w:i/>
          <w:color w:val="231F20"/>
          <w:spacing w:val="-10"/>
        </w:rPr>
        <w:t xml:space="preserve"> </w:t>
      </w:r>
      <w:r>
        <w:rPr>
          <w:i/>
          <w:color w:val="231F20"/>
        </w:rPr>
        <w:t>Loss</w:t>
      </w:r>
      <w:r>
        <w:rPr>
          <w:i/>
          <w:color w:val="231F20"/>
          <w:spacing w:val="-6"/>
        </w:rPr>
        <w:t xml:space="preserve"> </w:t>
      </w:r>
      <w:r>
        <w:rPr>
          <w:color w:val="231F20"/>
        </w:rPr>
        <w:t>approach.</w:t>
      </w:r>
      <w:r>
        <w:rPr>
          <w:color w:val="231F20"/>
          <w:spacing w:val="-1"/>
        </w:rPr>
        <w:t xml:space="preserve"> </w:t>
      </w:r>
      <w:r>
        <w:rPr>
          <w:color w:val="231F20"/>
        </w:rPr>
        <w:t>In</w:t>
      </w:r>
      <w:r>
        <w:rPr>
          <w:color w:val="231F20"/>
          <w:spacing w:val="-2"/>
        </w:rPr>
        <w:t xml:space="preserve"> </w:t>
      </w:r>
      <w:r>
        <w:rPr>
          <w:color w:val="231F20"/>
        </w:rPr>
        <w:t>assessing</w:t>
      </w:r>
      <w:r>
        <w:rPr>
          <w:color w:val="231F20"/>
          <w:spacing w:val="-2"/>
        </w:rPr>
        <w:t xml:space="preserve"> </w:t>
      </w:r>
      <w:r>
        <w:rPr>
          <w:color w:val="231F20"/>
        </w:rPr>
        <w:t>impairment</w:t>
      </w:r>
      <w:r>
        <w:rPr>
          <w:color w:val="231F20"/>
          <w:spacing w:val="-1"/>
        </w:rPr>
        <w:t xml:space="preserve"> </w:t>
      </w:r>
      <w:r>
        <w:rPr>
          <w:color w:val="231F20"/>
        </w:rPr>
        <w:t>of</w:t>
      </w:r>
      <w:r>
        <w:rPr>
          <w:color w:val="231F20"/>
          <w:spacing w:val="-1"/>
        </w:rPr>
        <w:t xml:space="preserve"> </w:t>
      </w:r>
      <w:r>
        <w:rPr>
          <w:color w:val="231F20"/>
        </w:rPr>
        <w:t>contractual and statutory (non-contractual and not classified as financial instruments) receivables</w:t>
      </w:r>
    </w:p>
    <w:p w14:paraId="4B8C6660" w14:textId="77777777" w:rsidR="00345EE3" w:rsidRDefault="00345EE3" w:rsidP="00345EE3">
      <w:pPr>
        <w:pStyle w:val="BodyText"/>
        <w:spacing w:before="4" w:line="242" w:lineRule="auto"/>
      </w:pPr>
      <w:r>
        <w:rPr>
          <w:color w:val="231F20"/>
        </w:rPr>
        <w:t>(financial</w:t>
      </w:r>
      <w:r>
        <w:rPr>
          <w:color w:val="231F20"/>
          <w:spacing w:val="-17"/>
        </w:rPr>
        <w:t xml:space="preserve"> </w:t>
      </w:r>
      <w:r>
        <w:rPr>
          <w:color w:val="231F20"/>
        </w:rPr>
        <w:t>assets),</w:t>
      </w:r>
      <w:r>
        <w:rPr>
          <w:color w:val="231F20"/>
          <w:spacing w:val="-16"/>
        </w:rPr>
        <w:t xml:space="preserve"> </w:t>
      </w:r>
      <w:r>
        <w:rPr>
          <w:color w:val="231F20"/>
        </w:rPr>
        <w:t>management</w:t>
      </w:r>
      <w:r>
        <w:rPr>
          <w:color w:val="231F20"/>
          <w:spacing w:val="-16"/>
        </w:rPr>
        <w:t xml:space="preserve"> </w:t>
      </w:r>
      <w:r>
        <w:rPr>
          <w:color w:val="231F20"/>
        </w:rPr>
        <w:t>applies</w:t>
      </w:r>
      <w:r>
        <w:rPr>
          <w:color w:val="231F20"/>
          <w:spacing w:val="-16"/>
        </w:rPr>
        <w:t xml:space="preserve"> </w:t>
      </w:r>
      <w:r>
        <w:rPr>
          <w:color w:val="231F20"/>
        </w:rPr>
        <w:t>materiality</w:t>
      </w:r>
      <w:r>
        <w:rPr>
          <w:color w:val="231F20"/>
          <w:spacing w:val="-16"/>
        </w:rPr>
        <w:t xml:space="preserve"> </w:t>
      </w:r>
      <w:r>
        <w:rPr>
          <w:color w:val="231F20"/>
        </w:rPr>
        <w:t>when</w:t>
      </w:r>
      <w:r>
        <w:rPr>
          <w:color w:val="231F20"/>
          <w:spacing w:val="-17"/>
        </w:rPr>
        <w:t xml:space="preserve"> </w:t>
      </w:r>
      <w:r>
        <w:rPr>
          <w:color w:val="231F20"/>
        </w:rPr>
        <w:t>using</w:t>
      </w:r>
      <w:r>
        <w:rPr>
          <w:color w:val="231F20"/>
          <w:spacing w:val="-16"/>
        </w:rPr>
        <w:t xml:space="preserve"> </w:t>
      </w:r>
      <w:r>
        <w:rPr>
          <w:color w:val="231F20"/>
        </w:rPr>
        <w:t>estimates,</w:t>
      </w:r>
      <w:r>
        <w:rPr>
          <w:color w:val="231F20"/>
          <w:spacing w:val="-16"/>
        </w:rPr>
        <w:t xml:space="preserve"> </w:t>
      </w:r>
      <w:r>
        <w:rPr>
          <w:color w:val="231F20"/>
        </w:rPr>
        <w:t>averages</w:t>
      </w:r>
      <w:r>
        <w:rPr>
          <w:color w:val="231F20"/>
          <w:spacing w:val="-16"/>
        </w:rPr>
        <w:t xml:space="preserve"> </w:t>
      </w:r>
      <w:r>
        <w:rPr>
          <w:color w:val="231F20"/>
        </w:rPr>
        <w:t>and</w:t>
      </w:r>
      <w:r>
        <w:rPr>
          <w:color w:val="231F20"/>
          <w:spacing w:val="-17"/>
        </w:rPr>
        <w:t xml:space="preserve"> </w:t>
      </w:r>
      <w:r>
        <w:rPr>
          <w:color w:val="231F20"/>
        </w:rPr>
        <w:t xml:space="preserve">other computational methods in accordance with AASB 136 </w:t>
      </w:r>
      <w:r>
        <w:rPr>
          <w:i/>
          <w:color w:val="231F20"/>
        </w:rPr>
        <w:t>Impairment</w:t>
      </w:r>
      <w:r>
        <w:rPr>
          <w:i/>
          <w:color w:val="231F20"/>
          <w:spacing w:val="-8"/>
        </w:rPr>
        <w:t xml:space="preserve"> </w:t>
      </w:r>
      <w:r>
        <w:rPr>
          <w:i/>
          <w:color w:val="231F20"/>
        </w:rPr>
        <w:t>of</w:t>
      </w:r>
      <w:r>
        <w:rPr>
          <w:i/>
          <w:color w:val="231F20"/>
          <w:spacing w:val="-8"/>
        </w:rPr>
        <w:t xml:space="preserve"> </w:t>
      </w:r>
      <w:r>
        <w:rPr>
          <w:i/>
          <w:color w:val="231F20"/>
        </w:rPr>
        <w:t>Assets</w:t>
      </w:r>
      <w:r>
        <w:rPr>
          <w:color w:val="231F20"/>
        </w:rPr>
        <w:t>.</w:t>
      </w:r>
    </w:p>
    <w:p w14:paraId="64405CB2" w14:textId="77777777" w:rsidR="00345EE3" w:rsidRDefault="00345EE3" w:rsidP="00345EE3">
      <w:pPr>
        <w:pStyle w:val="BodyText"/>
        <w:spacing w:before="116" w:line="242" w:lineRule="auto"/>
        <w:ind w:right="381"/>
      </w:pPr>
      <w:r>
        <w:rPr>
          <w:color w:val="231F20"/>
        </w:rPr>
        <w:t>A</w:t>
      </w:r>
      <w:r>
        <w:rPr>
          <w:color w:val="231F20"/>
          <w:spacing w:val="-7"/>
        </w:rPr>
        <w:t xml:space="preserve"> </w:t>
      </w:r>
      <w:r>
        <w:rPr>
          <w:color w:val="231F20"/>
        </w:rPr>
        <w:t>provision</w:t>
      </w:r>
      <w:r>
        <w:rPr>
          <w:color w:val="231F20"/>
          <w:spacing w:val="-8"/>
        </w:rPr>
        <w:t xml:space="preserve"> </w:t>
      </w:r>
      <w:r>
        <w:rPr>
          <w:color w:val="231F20"/>
        </w:rPr>
        <w:t>is</w:t>
      </w:r>
      <w:r>
        <w:rPr>
          <w:color w:val="231F20"/>
          <w:spacing w:val="-7"/>
        </w:rPr>
        <w:t xml:space="preserve"> </w:t>
      </w:r>
      <w:r>
        <w:rPr>
          <w:color w:val="231F20"/>
        </w:rPr>
        <w:t>made</w:t>
      </w:r>
      <w:r>
        <w:rPr>
          <w:color w:val="231F20"/>
          <w:spacing w:val="-8"/>
        </w:rPr>
        <w:t xml:space="preserve"> </w:t>
      </w:r>
      <w:r>
        <w:rPr>
          <w:color w:val="231F20"/>
        </w:rPr>
        <w:t>if</w:t>
      </w:r>
      <w:r>
        <w:rPr>
          <w:color w:val="231F20"/>
          <w:spacing w:val="-7"/>
        </w:rPr>
        <w:t xml:space="preserve"> </w:t>
      </w:r>
      <w:r>
        <w:rPr>
          <w:color w:val="231F20"/>
        </w:rPr>
        <w:t>there</w:t>
      </w:r>
      <w:r>
        <w:rPr>
          <w:color w:val="231F20"/>
          <w:spacing w:val="-8"/>
        </w:rPr>
        <w:t xml:space="preserve"> </w:t>
      </w:r>
      <w:r>
        <w:rPr>
          <w:color w:val="231F20"/>
        </w:rPr>
        <w:t>is</w:t>
      </w:r>
      <w:r>
        <w:rPr>
          <w:color w:val="231F20"/>
          <w:spacing w:val="-7"/>
        </w:rPr>
        <w:t xml:space="preserve"> </w:t>
      </w:r>
      <w:r>
        <w:rPr>
          <w:color w:val="231F20"/>
        </w:rPr>
        <w:t>an</w:t>
      </w:r>
      <w:r>
        <w:rPr>
          <w:color w:val="231F20"/>
          <w:spacing w:val="-8"/>
        </w:rPr>
        <w:t xml:space="preserve"> </w:t>
      </w:r>
      <w:r>
        <w:rPr>
          <w:color w:val="231F20"/>
        </w:rPr>
        <w:t>expected</w:t>
      </w:r>
      <w:r>
        <w:rPr>
          <w:color w:val="231F20"/>
          <w:spacing w:val="-8"/>
        </w:rPr>
        <w:t xml:space="preserve"> </w:t>
      </w:r>
      <w:r>
        <w:rPr>
          <w:color w:val="231F20"/>
        </w:rPr>
        <w:t>credit</w:t>
      </w:r>
      <w:r>
        <w:rPr>
          <w:color w:val="231F20"/>
          <w:spacing w:val="-7"/>
        </w:rPr>
        <w:t xml:space="preserve"> </w:t>
      </w:r>
      <w:r>
        <w:rPr>
          <w:color w:val="231F20"/>
        </w:rPr>
        <w:t>loss</w:t>
      </w:r>
      <w:r>
        <w:rPr>
          <w:color w:val="231F20"/>
          <w:spacing w:val="-7"/>
        </w:rPr>
        <w:t xml:space="preserve"> </w:t>
      </w:r>
      <w:r>
        <w:rPr>
          <w:color w:val="231F20"/>
        </w:rPr>
        <w:t>by</w:t>
      </w:r>
      <w:r>
        <w:rPr>
          <w:color w:val="231F20"/>
          <w:spacing w:val="-7"/>
        </w:rPr>
        <w:t xml:space="preserve"> </w:t>
      </w:r>
      <w:r>
        <w:rPr>
          <w:color w:val="231F20"/>
        </w:rPr>
        <w:t>applying</w:t>
      </w:r>
      <w:r>
        <w:rPr>
          <w:color w:val="231F20"/>
          <w:spacing w:val="-8"/>
        </w:rPr>
        <w:t xml:space="preserve"> </w:t>
      </w:r>
      <w:r>
        <w:rPr>
          <w:color w:val="231F20"/>
        </w:rPr>
        <w:t>AASB</w:t>
      </w:r>
      <w:r>
        <w:rPr>
          <w:color w:val="231F20"/>
          <w:spacing w:val="-7"/>
        </w:rPr>
        <w:t xml:space="preserve"> </w:t>
      </w:r>
      <w:r>
        <w:rPr>
          <w:color w:val="231F20"/>
        </w:rPr>
        <w:t>9’s</w:t>
      </w:r>
      <w:r>
        <w:rPr>
          <w:color w:val="231F20"/>
          <w:spacing w:val="-7"/>
        </w:rPr>
        <w:t xml:space="preserve"> </w:t>
      </w:r>
      <w:r>
        <w:rPr>
          <w:color w:val="231F20"/>
        </w:rPr>
        <w:t>Expected</w:t>
      </w:r>
      <w:r>
        <w:rPr>
          <w:color w:val="231F20"/>
          <w:spacing w:val="-8"/>
        </w:rPr>
        <w:t xml:space="preserve"> </w:t>
      </w:r>
      <w:r>
        <w:rPr>
          <w:color w:val="231F20"/>
        </w:rPr>
        <w:t>Credit Loss approach.</w:t>
      </w:r>
    </w:p>
    <w:p w14:paraId="1431011E" w14:textId="77777777" w:rsidR="00345EE3" w:rsidRDefault="00345EE3" w:rsidP="00345EE3">
      <w:pPr>
        <w:pStyle w:val="BodyText"/>
        <w:spacing w:before="116" w:line="242" w:lineRule="auto"/>
      </w:pPr>
      <w:r>
        <w:rPr>
          <w:color w:val="231F20"/>
        </w:rPr>
        <w:t>Bad debts written off are classified as a transaction expense. Bad debts not written off, but included in the provision for doubtful debts, are classified as other economic flows in the net result.</w:t>
      </w:r>
      <w:r>
        <w:rPr>
          <w:color w:val="231F20"/>
          <w:spacing w:val="-9"/>
        </w:rPr>
        <w:t xml:space="preserve"> </w:t>
      </w:r>
      <w:r>
        <w:rPr>
          <w:color w:val="231F20"/>
        </w:rPr>
        <w:t>Bad</w:t>
      </w:r>
      <w:r>
        <w:rPr>
          <w:color w:val="231F20"/>
          <w:spacing w:val="-10"/>
        </w:rPr>
        <w:t xml:space="preserve"> </w:t>
      </w:r>
      <w:r>
        <w:rPr>
          <w:color w:val="231F20"/>
        </w:rPr>
        <w:t>debts</w:t>
      </w:r>
      <w:r>
        <w:rPr>
          <w:color w:val="231F20"/>
          <w:spacing w:val="-9"/>
        </w:rPr>
        <w:t xml:space="preserve"> </w:t>
      </w:r>
      <w:r>
        <w:rPr>
          <w:color w:val="231F20"/>
        </w:rPr>
        <w:t>(impairment</w:t>
      </w:r>
      <w:r>
        <w:rPr>
          <w:color w:val="231F20"/>
          <w:spacing w:val="-9"/>
        </w:rPr>
        <w:t xml:space="preserve"> </w:t>
      </w:r>
      <w:r>
        <w:rPr>
          <w:color w:val="231F20"/>
        </w:rPr>
        <w:t>loss)</w:t>
      </w:r>
      <w:r>
        <w:rPr>
          <w:color w:val="231F20"/>
          <w:spacing w:val="-9"/>
        </w:rPr>
        <w:t xml:space="preserve"> </w:t>
      </w:r>
      <w:r>
        <w:rPr>
          <w:color w:val="231F20"/>
        </w:rPr>
        <w:t>written</w:t>
      </w:r>
      <w:r>
        <w:rPr>
          <w:color w:val="231F20"/>
          <w:spacing w:val="-10"/>
        </w:rPr>
        <w:t xml:space="preserve"> </w:t>
      </w:r>
      <w:r>
        <w:rPr>
          <w:color w:val="231F20"/>
        </w:rPr>
        <w:t>off</w:t>
      </w:r>
      <w:r>
        <w:rPr>
          <w:color w:val="231F20"/>
          <w:spacing w:val="-9"/>
        </w:rPr>
        <w:t xml:space="preserve"> </w:t>
      </w:r>
      <w:r>
        <w:rPr>
          <w:color w:val="231F20"/>
        </w:rPr>
        <w:t>during</w:t>
      </w:r>
      <w:r>
        <w:rPr>
          <w:color w:val="231F20"/>
          <w:spacing w:val="-10"/>
        </w:rPr>
        <w:t xml:space="preserve"> </w:t>
      </w:r>
      <w:r>
        <w:rPr>
          <w:color w:val="231F20"/>
        </w:rPr>
        <w:t>the</w:t>
      </w:r>
      <w:r>
        <w:rPr>
          <w:color w:val="231F20"/>
          <w:spacing w:val="-10"/>
        </w:rPr>
        <w:t xml:space="preserve"> </w:t>
      </w:r>
      <w:r>
        <w:rPr>
          <w:color w:val="231F20"/>
        </w:rPr>
        <w:t>year</w:t>
      </w:r>
      <w:r>
        <w:rPr>
          <w:color w:val="231F20"/>
          <w:spacing w:val="-9"/>
        </w:rPr>
        <w:t xml:space="preserve"> </w:t>
      </w:r>
      <w:r>
        <w:rPr>
          <w:color w:val="231F20"/>
        </w:rPr>
        <w:t>were</w:t>
      </w:r>
      <w:r>
        <w:rPr>
          <w:color w:val="231F20"/>
          <w:spacing w:val="-10"/>
        </w:rPr>
        <w:t xml:space="preserve"> </w:t>
      </w:r>
      <w:r>
        <w:rPr>
          <w:color w:val="231F20"/>
        </w:rPr>
        <w:t>immaterial</w:t>
      </w:r>
      <w:r>
        <w:rPr>
          <w:color w:val="231F20"/>
          <w:spacing w:val="-10"/>
        </w:rPr>
        <w:t xml:space="preserve"> </w:t>
      </w:r>
      <w:r>
        <w:rPr>
          <w:color w:val="231F20"/>
        </w:rPr>
        <w:t>and</w:t>
      </w:r>
      <w:r>
        <w:rPr>
          <w:color w:val="231F20"/>
          <w:spacing w:val="-10"/>
        </w:rPr>
        <w:t xml:space="preserve"> </w:t>
      </w:r>
      <w:r>
        <w:rPr>
          <w:color w:val="231F20"/>
        </w:rPr>
        <w:t>no</w:t>
      </w:r>
      <w:r>
        <w:rPr>
          <w:color w:val="231F20"/>
          <w:spacing w:val="-10"/>
        </w:rPr>
        <w:t xml:space="preserve"> </w:t>
      </w:r>
      <w:r>
        <w:rPr>
          <w:color w:val="231F20"/>
        </w:rPr>
        <w:t>provision was made during the year.</w:t>
      </w:r>
    </w:p>
    <w:p w14:paraId="37049751" w14:textId="77777777" w:rsidR="00345EE3" w:rsidRDefault="00345EE3" w:rsidP="002A27BA">
      <w:pPr>
        <w:pStyle w:val="Heading3"/>
        <w:numPr>
          <w:ilvl w:val="1"/>
          <w:numId w:val="44"/>
        </w:numPr>
      </w:pPr>
      <w:r>
        <w:t>Derivative</w:t>
      </w:r>
      <w:r>
        <w:rPr>
          <w:spacing w:val="-7"/>
        </w:rPr>
        <w:t xml:space="preserve"> </w:t>
      </w:r>
      <w:r>
        <w:t>Financial</w:t>
      </w:r>
      <w:r>
        <w:rPr>
          <w:spacing w:val="-4"/>
        </w:rPr>
        <w:t xml:space="preserve"> </w:t>
      </w:r>
      <w:r>
        <w:t>Instruments</w:t>
      </w:r>
      <w:r>
        <w:rPr>
          <w:spacing w:val="-4"/>
        </w:rPr>
        <w:t xml:space="preserve"> </w:t>
      </w:r>
      <w:r>
        <w:t>and</w:t>
      </w:r>
      <w:r>
        <w:rPr>
          <w:spacing w:val="-4"/>
        </w:rPr>
        <w:t xml:space="preserve"> </w:t>
      </w:r>
      <w:r>
        <w:t>Hedge</w:t>
      </w:r>
      <w:r>
        <w:rPr>
          <w:spacing w:val="-4"/>
        </w:rPr>
        <w:t xml:space="preserve"> </w:t>
      </w:r>
      <w:r>
        <w:rPr>
          <w:spacing w:val="-2"/>
        </w:rPr>
        <w:t>Accounting</w:t>
      </w:r>
    </w:p>
    <w:p w14:paraId="462DD9D7" w14:textId="77777777" w:rsidR="00345EE3" w:rsidRDefault="00345EE3" w:rsidP="00345EE3">
      <w:pPr>
        <w:pStyle w:val="Heading5"/>
        <w:spacing w:before="166"/>
      </w:pPr>
      <w:r>
        <w:rPr>
          <w:color w:val="231F20"/>
        </w:rPr>
        <w:t>Cash</w:t>
      </w:r>
      <w:r>
        <w:rPr>
          <w:color w:val="231F20"/>
          <w:spacing w:val="-4"/>
        </w:rPr>
        <w:t xml:space="preserve"> </w:t>
      </w:r>
      <w:r>
        <w:rPr>
          <w:color w:val="231F20"/>
        </w:rPr>
        <w:t>flow</w:t>
      </w:r>
      <w:r>
        <w:rPr>
          <w:color w:val="231F20"/>
          <w:spacing w:val="-3"/>
        </w:rPr>
        <w:t xml:space="preserve"> </w:t>
      </w:r>
      <w:r>
        <w:rPr>
          <w:color w:val="231F20"/>
          <w:spacing w:val="-2"/>
        </w:rPr>
        <w:t>hedges</w:t>
      </w:r>
    </w:p>
    <w:p w14:paraId="680AD7A8" w14:textId="77777777" w:rsidR="00345EE3" w:rsidRDefault="00345EE3" w:rsidP="00345EE3">
      <w:pPr>
        <w:pStyle w:val="BodyText"/>
        <w:spacing w:before="61" w:line="242" w:lineRule="auto"/>
      </w:pPr>
      <w:r>
        <w:rPr>
          <w:color w:val="231F20"/>
        </w:rPr>
        <w:t>When a derivative is designated as a cash flow hedging instrument, the effective portion of changes in the fair value of the derivative is recognised in Other Comprehensive Income (OCI) and</w:t>
      </w:r>
      <w:r>
        <w:rPr>
          <w:color w:val="231F20"/>
          <w:spacing w:val="-2"/>
        </w:rPr>
        <w:t xml:space="preserve"> </w:t>
      </w:r>
      <w:r>
        <w:rPr>
          <w:color w:val="231F20"/>
        </w:rPr>
        <w:t>accumulated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hedging</w:t>
      </w:r>
      <w:r>
        <w:rPr>
          <w:color w:val="231F20"/>
          <w:spacing w:val="-2"/>
        </w:rPr>
        <w:t xml:space="preserve"> </w:t>
      </w:r>
      <w:r>
        <w:rPr>
          <w:color w:val="231F20"/>
        </w:rPr>
        <w:t>reserve.</w:t>
      </w:r>
      <w:r>
        <w:rPr>
          <w:color w:val="231F20"/>
          <w:spacing w:val="-1"/>
        </w:rPr>
        <w:t xml:space="preserve"> </w:t>
      </w:r>
      <w:r>
        <w:rPr>
          <w:color w:val="231F20"/>
        </w:rPr>
        <w:t>The</w:t>
      </w:r>
      <w:r>
        <w:rPr>
          <w:color w:val="231F20"/>
          <w:spacing w:val="-2"/>
        </w:rPr>
        <w:t xml:space="preserve"> </w:t>
      </w:r>
      <w:r>
        <w:rPr>
          <w:color w:val="231F20"/>
        </w:rPr>
        <w:t>effective</w:t>
      </w:r>
      <w:r>
        <w:rPr>
          <w:color w:val="231F20"/>
          <w:spacing w:val="-2"/>
        </w:rPr>
        <w:t xml:space="preserve"> </w:t>
      </w:r>
      <w:r>
        <w:rPr>
          <w:color w:val="231F20"/>
        </w:rPr>
        <w:t>portion</w:t>
      </w:r>
      <w:r>
        <w:rPr>
          <w:color w:val="231F20"/>
          <w:spacing w:val="-2"/>
        </w:rPr>
        <w:t xml:space="preserve"> </w:t>
      </w:r>
      <w:r>
        <w:rPr>
          <w:color w:val="231F20"/>
        </w:rPr>
        <w:t>of</w:t>
      </w:r>
      <w:r>
        <w:rPr>
          <w:color w:val="231F20"/>
          <w:spacing w:val="-1"/>
        </w:rPr>
        <w:t xml:space="preserve"> </w:t>
      </w:r>
      <w:r>
        <w:rPr>
          <w:color w:val="231F20"/>
        </w:rPr>
        <w:t>changes</w:t>
      </w:r>
      <w:r>
        <w:rPr>
          <w:color w:val="231F20"/>
          <w:spacing w:val="-1"/>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fair</w:t>
      </w:r>
      <w:r>
        <w:rPr>
          <w:color w:val="231F20"/>
          <w:spacing w:val="-1"/>
        </w:rPr>
        <w:t xml:space="preserve"> </w:t>
      </w:r>
      <w:r>
        <w:rPr>
          <w:color w:val="231F20"/>
        </w:rPr>
        <w:t>value</w:t>
      </w:r>
      <w:r>
        <w:rPr>
          <w:color w:val="231F20"/>
          <w:spacing w:val="-2"/>
        </w:rPr>
        <w:t xml:space="preserve"> </w:t>
      </w:r>
      <w:r>
        <w:rPr>
          <w:color w:val="231F20"/>
        </w:rPr>
        <w:t>of</w:t>
      </w:r>
      <w:r>
        <w:rPr>
          <w:color w:val="231F20"/>
          <w:spacing w:val="-1"/>
        </w:rPr>
        <w:t xml:space="preserve"> </w:t>
      </w:r>
      <w:r>
        <w:rPr>
          <w:color w:val="231F20"/>
        </w:rPr>
        <w:t>the derivative</w:t>
      </w:r>
      <w:r>
        <w:rPr>
          <w:color w:val="231F20"/>
          <w:spacing w:val="-9"/>
        </w:rPr>
        <w:t xml:space="preserve"> </w:t>
      </w:r>
      <w:r>
        <w:rPr>
          <w:color w:val="231F20"/>
        </w:rPr>
        <w:t>that</w:t>
      </w:r>
      <w:r>
        <w:rPr>
          <w:color w:val="231F20"/>
          <w:spacing w:val="-8"/>
        </w:rPr>
        <w:t xml:space="preserve"> </w:t>
      </w:r>
      <w:r>
        <w:rPr>
          <w:color w:val="231F20"/>
        </w:rPr>
        <w:t>is</w:t>
      </w:r>
      <w:r>
        <w:rPr>
          <w:color w:val="231F20"/>
          <w:spacing w:val="-8"/>
        </w:rPr>
        <w:t xml:space="preserve"> </w:t>
      </w:r>
      <w:r>
        <w:rPr>
          <w:color w:val="231F20"/>
        </w:rPr>
        <w:t>recognised</w:t>
      </w:r>
      <w:r>
        <w:rPr>
          <w:color w:val="231F20"/>
          <w:spacing w:val="-9"/>
        </w:rPr>
        <w:t xml:space="preserve"> </w:t>
      </w:r>
      <w:r>
        <w:rPr>
          <w:color w:val="231F20"/>
        </w:rPr>
        <w:t>in</w:t>
      </w:r>
      <w:r>
        <w:rPr>
          <w:color w:val="231F20"/>
          <w:spacing w:val="-9"/>
        </w:rPr>
        <w:t xml:space="preserve"> </w:t>
      </w:r>
      <w:r>
        <w:rPr>
          <w:color w:val="231F20"/>
        </w:rPr>
        <w:t>OCI</w:t>
      </w:r>
      <w:r>
        <w:rPr>
          <w:color w:val="231F20"/>
          <w:spacing w:val="-8"/>
        </w:rPr>
        <w:t xml:space="preserve"> </w:t>
      </w:r>
      <w:r>
        <w:rPr>
          <w:color w:val="231F20"/>
        </w:rPr>
        <w:t>is</w:t>
      </w:r>
      <w:r>
        <w:rPr>
          <w:color w:val="231F20"/>
          <w:spacing w:val="-8"/>
        </w:rPr>
        <w:t xml:space="preserve"> </w:t>
      </w:r>
      <w:r>
        <w:rPr>
          <w:color w:val="231F20"/>
        </w:rPr>
        <w:t>limited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cumulative</w:t>
      </w:r>
      <w:r>
        <w:rPr>
          <w:color w:val="231F20"/>
          <w:spacing w:val="-9"/>
        </w:rPr>
        <w:t xml:space="preserve"> </w:t>
      </w:r>
      <w:r>
        <w:rPr>
          <w:color w:val="231F20"/>
        </w:rPr>
        <w:t>change</w:t>
      </w:r>
      <w:r>
        <w:rPr>
          <w:color w:val="231F20"/>
          <w:spacing w:val="-9"/>
        </w:rPr>
        <w:t xml:space="preserve"> </w:t>
      </w:r>
      <w:r>
        <w:rPr>
          <w:color w:val="231F20"/>
        </w:rPr>
        <w:t>in</w:t>
      </w:r>
      <w:r>
        <w:rPr>
          <w:color w:val="231F20"/>
          <w:spacing w:val="-9"/>
        </w:rPr>
        <w:t xml:space="preserve"> </w:t>
      </w:r>
      <w:r>
        <w:rPr>
          <w:color w:val="231F20"/>
        </w:rPr>
        <w:t>fair</w:t>
      </w:r>
      <w:r>
        <w:rPr>
          <w:color w:val="231F20"/>
          <w:spacing w:val="-8"/>
        </w:rPr>
        <w:t xml:space="preserve"> </w:t>
      </w:r>
      <w:r>
        <w:rPr>
          <w:color w:val="231F20"/>
        </w:rPr>
        <w:t>value</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hedged item,</w:t>
      </w:r>
      <w:r>
        <w:rPr>
          <w:color w:val="231F20"/>
          <w:spacing w:val="-7"/>
        </w:rPr>
        <w:t xml:space="preserve"> </w:t>
      </w:r>
      <w:r>
        <w:rPr>
          <w:color w:val="231F20"/>
        </w:rPr>
        <w:t>determined</w:t>
      </w:r>
      <w:r>
        <w:rPr>
          <w:color w:val="231F20"/>
          <w:spacing w:val="-8"/>
        </w:rPr>
        <w:t xml:space="preserve"> </w:t>
      </w:r>
      <w:r>
        <w:rPr>
          <w:color w:val="231F20"/>
        </w:rPr>
        <w:t>on</w:t>
      </w:r>
      <w:r>
        <w:rPr>
          <w:color w:val="231F20"/>
          <w:spacing w:val="-8"/>
        </w:rPr>
        <w:t xml:space="preserve"> </w:t>
      </w:r>
      <w:r>
        <w:rPr>
          <w:color w:val="231F20"/>
        </w:rPr>
        <w:t>a</w:t>
      </w:r>
      <w:r>
        <w:rPr>
          <w:color w:val="231F20"/>
          <w:spacing w:val="-8"/>
        </w:rPr>
        <w:t xml:space="preserve"> </w:t>
      </w:r>
      <w:r>
        <w:rPr>
          <w:color w:val="231F20"/>
        </w:rPr>
        <w:t>present</w:t>
      </w:r>
      <w:r>
        <w:rPr>
          <w:color w:val="231F20"/>
          <w:spacing w:val="-7"/>
        </w:rPr>
        <w:t xml:space="preserve"> </w:t>
      </w:r>
      <w:r>
        <w:rPr>
          <w:color w:val="231F20"/>
        </w:rPr>
        <w:t>value</w:t>
      </w:r>
      <w:r>
        <w:rPr>
          <w:color w:val="231F20"/>
          <w:spacing w:val="-8"/>
        </w:rPr>
        <w:t xml:space="preserve"> </w:t>
      </w:r>
      <w:r>
        <w:rPr>
          <w:color w:val="231F20"/>
        </w:rPr>
        <w:t>basis,</w:t>
      </w:r>
      <w:r>
        <w:rPr>
          <w:color w:val="231F20"/>
          <w:spacing w:val="-7"/>
        </w:rPr>
        <w:t xml:space="preserve"> </w:t>
      </w:r>
      <w:r>
        <w:rPr>
          <w:color w:val="231F20"/>
        </w:rPr>
        <w:t>from</w:t>
      </w:r>
      <w:r>
        <w:rPr>
          <w:color w:val="231F20"/>
          <w:spacing w:val="-7"/>
        </w:rPr>
        <w:t xml:space="preserve"> </w:t>
      </w:r>
      <w:r>
        <w:rPr>
          <w:color w:val="231F20"/>
        </w:rPr>
        <w:t>inception</w:t>
      </w:r>
      <w:r>
        <w:rPr>
          <w:color w:val="231F20"/>
          <w:spacing w:val="-8"/>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hedge.</w:t>
      </w:r>
      <w:r>
        <w:rPr>
          <w:color w:val="231F20"/>
          <w:spacing w:val="-7"/>
        </w:rPr>
        <w:t xml:space="preserve"> </w:t>
      </w:r>
      <w:r>
        <w:rPr>
          <w:color w:val="231F20"/>
        </w:rPr>
        <w:t>Any</w:t>
      </w:r>
      <w:r>
        <w:rPr>
          <w:color w:val="231F20"/>
          <w:spacing w:val="-7"/>
        </w:rPr>
        <w:t xml:space="preserve"> </w:t>
      </w:r>
      <w:r>
        <w:rPr>
          <w:color w:val="231F20"/>
        </w:rPr>
        <w:t>ineffective</w:t>
      </w:r>
      <w:r>
        <w:rPr>
          <w:color w:val="231F20"/>
          <w:spacing w:val="-8"/>
        </w:rPr>
        <w:t xml:space="preserve"> </w:t>
      </w:r>
      <w:r>
        <w:rPr>
          <w:color w:val="231F20"/>
        </w:rPr>
        <w:t>portion</w:t>
      </w:r>
      <w:r>
        <w:rPr>
          <w:color w:val="231F20"/>
          <w:spacing w:val="-8"/>
        </w:rPr>
        <w:t xml:space="preserve"> </w:t>
      </w:r>
      <w:r>
        <w:rPr>
          <w:color w:val="231F20"/>
        </w:rPr>
        <w:t>of changes in the fair value of the derivative is recognised immediately in profit or loss.</w:t>
      </w:r>
    </w:p>
    <w:p w14:paraId="03003DF9" w14:textId="77777777" w:rsidR="00345EE3" w:rsidRDefault="00345EE3" w:rsidP="00345EE3">
      <w:pPr>
        <w:pStyle w:val="BodyText"/>
        <w:spacing w:before="121" w:line="242" w:lineRule="auto"/>
      </w:pPr>
      <w:r>
        <w:rPr>
          <w:color w:val="231F20"/>
        </w:rPr>
        <w:t>Victoria</w:t>
      </w:r>
      <w:r>
        <w:rPr>
          <w:color w:val="231F20"/>
          <w:spacing w:val="-2"/>
        </w:rPr>
        <w:t xml:space="preserve"> </w:t>
      </w:r>
      <w:r>
        <w:rPr>
          <w:color w:val="231F20"/>
        </w:rPr>
        <w:t>Police</w:t>
      </w:r>
      <w:r>
        <w:rPr>
          <w:color w:val="231F20"/>
          <w:spacing w:val="-2"/>
        </w:rPr>
        <w:t xml:space="preserve"> </w:t>
      </w:r>
      <w:r>
        <w:rPr>
          <w:color w:val="231F20"/>
        </w:rPr>
        <w:t>designates</w:t>
      </w:r>
      <w:r>
        <w:rPr>
          <w:color w:val="231F20"/>
          <w:spacing w:val="-1"/>
        </w:rPr>
        <w:t xml:space="preserve"> </w:t>
      </w:r>
      <w:r>
        <w:rPr>
          <w:color w:val="231F20"/>
        </w:rPr>
        <w:t>only</w:t>
      </w:r>
      <w:r>
        <w:rPr>
          <w:color w:val="231F20"/>
          <w:spacing w:val="-2"/>
        </w:rPr>
        <w:t xml:space="preserve"> </w:t>
      </w:r>
      <w:r>
        <w:rPr>
          <w:color w:val="231F20"/>
        </w:rPr>
        <w:t>the</w:t>
      </w:r>
      <w:r>
        <w:rPr>
          <w:color w:val="231F20"/>
          <w:spacing w:val="-2"/>
        </w:rPr>
        <w:t xml:space="preserve"> </w:t>
      </w:r>
      <w:r>
        <w:rPr>
          <w:color w:val="231F20"/>
        </w:rPr>
        <w:t>change</w:t>
      </w:r>
      <w:r>
        <w:rPr>
          <w:color w:val="231F20"/>
          <w:spacing w:val="-2"/>
        </w:rPr>
        <w:t xml:space="preserve"> </w:t>
      </w:r>
      <w:r>
        <w:rPr>
          <w:color w:val="231F20"/>
        </w:rPr>
        <w:t>in</w:t>
      </w:r>
      <w:r>
        <w:rPr>
          <w:color w:val="231F20"/>
          <w:spacing w:val="-2"/>
        </w:rPr>
        <w:t xml:space="preserve"> </w:t>
      </w:r>
      <w:r>
        <w:rPr>
          <w:color w:val="231F20"/>
        </w:rPr>
        <w:t>fair</w:t>
      </w:r>
      <w:r>
        <w:rPr>
          <w:color w:val="231F20"/>
          <w:spacing w:val="-1"/>
        </w:rPr>
        <w:t xml:space="preserve"> </w:t>
      </w:r>
      <w:r>
        <w:rPr>
          <w:color w:val="231F20"/>
        </w:rPr>
        <w:t>value</w:t>
      </w:r>
      <w:r>
        <w:rPr>
          <w:color w:val="231F20"/>
          <w:spacing w:val="-2"/>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spot</w:t>
      </w:r>
      <w:r>
        <w:rPr>
          <w:color w:val="231F20"/>
          <w:spacing w:val="-1"/>
        </w:rPr>
        <w:t xml:space="preserve"> </w:t>
      </w:r>
      <w:r>
        <w:rPr>
          <w:color w:val="231F20"/>
        </w:rPr>
        <w:t>element</w:t>
      </w:r>
      <w:r>
        <w:rPr>
          <w:color w:val="231F20"/>
          <w:spacing w:val="-2"/>
        </w:rPr>
        <w:t xml:space="preserve"> </w:t>
      </w:r>
      <w:r>
        <w:rPr>
          <w:color w:val="231F20"/>
        </w:rPr>
        <w:t>of</w:t>
      </w:r>
      <w:r>
        <w:rPr>
          <w:color w:val="231F20"/>
          <w:spacing w:val="-1"/>
        </w:rPr>
        <w:t xml:space="preserve"> </w:t>
      </w:r>
      <w:r>
        <w:rPr>
          <w:color w:val="231F20"/>
        </w:rPr>
        <w:t>forward</w:t>
      </w:r>
      <w:r>
        <w:rPr>
          <w:color w:val="231F20"/>
          <w:spacing w:val="-2"/>
        </w:rPr>
        <w:t xml:space="preserve"> </w:t>
      </w:r>
      <w:r>
        <w:rPr>
          <w:color w:val="231F20"/>
        </w:rPr>
        <w:t>exchange contracts and forward exchange options as the hedging instrument in cash flow hedging relationships.</w:t>
      </w:r>
      <w:r>
        <w:rPr>
          <w:color w:val="231F20"/>
          <w:spacing w:val="-8"/>
        </w:rPr>
        <w:t xml:space="preserve"> </w:t>
      </w:r>
      <w:r>
        <w:rPr>
          <w:color w:val="231F20"/>
        </w:rPr>
        <w:t>The</w:t>
      </w:r>
      <w:r>
        <w:rPr>
          <w:color w:val="231F20"/>
          <w:spacing w:val="-9"/>
        </w:rPr>
        <w:t xml:space="preserve"> </w:t>
      </w:r>
      <w:r>
        <w:rPr>
          <w:color w:val="231F20"/>
        </w:rPr>
        <w:t>change</w:t>
      </w:r>
      <w:r>
        <w:rPr>
          <w:color w:val="231F20"/>
          <w:spacing w:val="-9"/>
        </w:rPr>
        <w:t xml:space="preserve"> </w:t>
      </w:r>
      <w:r>
        <w:rPr>
          <w:color w:val="231F20"/>
        </w:rPr>
        <w:t>in</w:t>
      </w:r>
      <w:r>
        <w:rPr>
          <w:color w:val="231F20"/>
          <w:spacing w:val="-9"/>
        </w:rPr>
        <w:t xml:space="preserve"> </w:t>
      </w:r>
      <w:r>
        <w:rPr>
          <w:color w:val="231F20"/>
        </w:rPr>
        <w:t>fair</w:t>
      </w:r>
      <w:r>
        <w:rPr>
          <w:color w:val="231F20"/>
          <w:spacing w:val="-8"/>
        </w:rPr>
        <w:t xml:space="preserve"> </w:t>
      </w:r>
      <w:r>
        <w:rPr>
          <w:color w:val="231F20"/>
        </w:rPr>
        <w:t>value</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forward</w:t>
      </w:r>
      <w:r>
        <w:rPr>
          <w:color w:val="231F20"/>
          <w:spacing w:val="-9"/>
        </w:rPr>
        <w:t xml:space="preserve"> </w:t>
      </w:r>
      <w:r>
        <w:rPr>
          <w:color w:val="231F20"/>
        </w:rPr>
        <w:t>element</w:t>
      </w:r>
      <w:r>
        <w:rPr>
          <w:color w:val="231F20"/>
          <w:spacing w:val="-8"/>
        </w:rPr>
        <w:t xml:space="preserve"> </w:t>
      </w:r>
      <w:r>
        <w:rPr>
          <w:color w:val="231F20"/>
        </w:rPr>
        <w:t>of</w:t>
      </w:r>
      <w:r>
        <w:rPr>
          <w:color w:val="231F20"/>
          <w:spacing w:val="-8"/>
        </w:rPr>
        <w:t xml:space="preserve"> </w:t>
      </w:r>
      <w:r>
        <w:rPr>
          <w:color w:val="231F20"/>
        </w:rPr>
        <w:t>forward</w:t>
      </w:r>
      <w:r>
        <w:rPr>
          <w:color w:val="231F20"/>
          <w:spacing w:val="-9"/>
        </w:rPr>
        <w:t xml:space="preserve"> </w:t>
      </w:r>
      <w:r>
        <w:rPr>
          <w:color w:val="231F20"/>
        </w:rPr>
        <w:t>exchange</w:t>
      </w:r>
      <w:r>
        <w:rPr>
          <w:color w:val="231F20"/>
          <w:spacing w:val="-9"/>
        </w:rPr>
        <w:t xml:space="preserve"> </w:t>
      </w:r>
      <w:r>
        <w:rPr>
          <w:color w:val="231F20"/>
        </w:rPr>
        <w:t>contracts</w:t>
      </w:r>
      <w:r>
        <w:rPr>
          <w:color w:val="231F20"/>
          <w:spacing w:val="-8"/>
        </w:rPr>
        <w:t xml:space="preserve"> </w:t>
      </w:r>
      <w:r>
        <w:rPr>
          <w:color w:val="231F20"/>
        </w:rPr>
        <w:t>and forward</w:t>
      </w:r>
      <w:r>
        <w:rPr>
          <w:color w:val="231F20"/>
          <w:spacing w:val="-10"/>
        </w:rPr>
        <w:t xml:space="preserve"> </w:t>
      </w:r>
      <w:r>
        <w:rPr>
          <w:color w:val="231F20"/>
        </w:rPr>
        <w:t>exchange</w:t>
      </w:r>
      <w:r>
        <w:rPr>
          <w:color w:val="231F20"/>
          <w:spacing w:val="-10"/>
        </w:rPr>
        <w:t xml:space="preserve"> </w:t>
      </w:r>
      <w:r>
        <w:rPr>
          <w:color w:val="231F20"/>
        </w:rPr>
        <w:t>options</w:t>
      </w:r>
      <w:r>
        <w:rPr>
          <w:color w:val="231F20"/>
          <w:spacing w:val="-9"/>
        </w:rPr>
        <w:t xml:space="preserve"> </w:t>
      </w:r>
      <w:r>
        <w:rPr>
          <w:color w:val="231F20"/>
        </w:rPr>
        <w:t>(forward</w:t>
      </w:r>
      <w:r>
        <w:rPr>
          <w:color w:val="231F20"/>
          <w:spacing w:val="-10"/>
        </w:rPr>
        <w:t xml:space="preserve"> </w:t>
      </w:r>
      <w:r>
        <w:rPr>
          <w:color w:val="231F20"/>
        </w:rPr>
        <w:t>points)</w:t>
      </w:r>
      <w:r>
        <w:rPr>
          <w:color w:val="231F20"/>
          <w:spacing w:val="-9"/>
        </w:rPr>
        <w:t xml:space="preserve"> </w:t>
      </w:r>
      <w:r>
        <w:rPr>
          <w:color w:val="231F20"/>
        </w:rPr>
        <w:t>and</w:t>
      </w:r>
      <w:r>
        <w:rPr>
          <w:color w:val="231F20"/>
          <w:spacing w:val="-10"/>
        </w:rPr>
        <w:t xml:space="preserve"> </w:t>
      </w:r>
      <w:r>
        <w:rPr>
          <w:color w:val="231F20"/>
        </w:rPr>
        <w:t>changes</w:t>
      </w:r>
      <w:r>
        <w:rPr>
          <w:color w:val="231F20"/>
          <w:spacing w:val="-9"/>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value</w:t>
      </w:r>
      <w:r>
        <w:rPr>
          <w:color w:val="231F20"/>
          <w:spacing w:val="-10"/>
        </w:rPr>
        <w:t xml:space="preserve"> </w:t>
      </w:r>
      <w:r>
        <w:rPr>
          <w:color w:val="231F20"/>
        </w:rPr>
        <w:t>of</w:t>
      </w:r>
      <w:r>
        <w:rPr>
          <w:color w:val="231F20"/>
          <w:spacing w:val="-9"/>
        </w:rPr>
        <w:t xml:space="preserve"> </w:t>
      </w:r>
      <w:r>
        <w:rPr>
          <w:color w:val="231F20"/>
        </w:rPr>
        <w:t>options</w:t>
      </w:r>
      <w:r>
        <w:rPr>
          <w:color w:val="231F20"/>
          <w:spacing w:val="-9"/>
        </w:rPr>
        <w:t xml:space="preserve"> </w:t>
      </w:r>
      <w:r>
        <w:rPr>
          <w:color w:val="231F20"/>
        </w:rPr>
        <w:t>is</w:t>
      </w:r>
      <w:r>
        <w:rPr>
          <w:color w:val="231F20"/>
          <w:spacing w:val="-9"/>
        </w:rPr>
        <w:t xml:space="preserve"> </w:t>
      </w:r>
      <w:r>
        <w:rPr>
          <w:color w:val="231F20"/>
        </w:rPr>
        <w:t>separately accounted for as a cost of hedging and recognised in a costs of hedging reserve within equity.</w:t>
      </w:r>
    </w:p>
    <w:p w14:paraId="3B562930" w14:textId="77777777" w:rsidR="00345EE3" w:rsidRDefault="00345EE3" w:rsidP="00345EE3">
      <w:pPr>
        <w:pStyle w:val="BodyText"/>
        <w:spacing w:before="120" w:line="242" w:lineRule="auto"/>
        <w:ind w:right="259"/>
        <w:jc w:val="both"/>
      </w:pPr>
      <w:r>
        <w:rPr>
          <w:color w:val="231F20"/>
        </w:rPr>
        <w:t>When</w:t>
      </w:r>
      <w:r>
        <w:rPr>
          <w:color w:val="231F20"/>
          <w:spacing w:val="-7"/>
        </w:rPr>
        <w:t xml:space="preserve"> </w:t>
      </w:r>
      <w:r>
        <w:rPr>
          <w:color w:val="231F20"/>
        </w:rPr>
        <w:t>the</w:t>
      </w:r>
      <w:r>
        <w:rPr>
          <w:color w:val="231F20"/>
          <w:spacing w:val="-7"/>
        </w:rPr>
        <w:t xml:space="preserve"> </w:t>
      </w:r>
      <w:r>
        <w:rPr>
          <w:color w:val="231F20"/>
        </w:rPr>
        <w:t>hedged</w:t>
      </w:r>
      <w:r>
        <w:rPr>
          <w:color w:val="231F20"/>
          <w:spacing w:val="-7"/>
        </w:rPr>
        <w:t xml:space="preserve"> </w:t>
      </w:r>
      <w:r>
        <w:rPr>
          <w:color w:val="231F20"/>
        </w:rPr>
        <w:t>forecast</w:t>
      </w:r>
      <w:r>
        <w:rPr>
          <w:color w:val="231F20"/>
          <w:spacing w:val="-6"/>
        </w:rPr>
        <w:t xml:space="preserve"> </w:t>
      </w:r>
      <w:r>
        <w:rPr>
          <w:color w:val="231F20"/>
        </w:rPr>
        <w:t>transaction</w:t>
      </w:r>
      <w:r>
        <w:rPr>
          <w:color w:val="231F20"/>
          <w:spacing w:val="-7"/>
        </w:rPr>
        <w:t xml:space="preserve"> </w:t>
      </w:r>
      <w:r>
        <w:rPr>
          <w:color w:val="231F20"/>
        </w:rPr>
        <w:t>subsequently</w:t>
      </w:r>
      <w:r>
        <w:rPr>
          <w:color w:val="231F20"/>
          <w:spacing w:val="-6"/>
        </w:rPr>
        <w:t xml:space="preserve"> </w:t>
      </w:r>
      <w:r>
        <w:rPr>
          <w:color w:val="231F20"/>
        </w:rPr>
        <w:t>results</w:t>
      </w:r>
      <w:r>
        <w:rPr>
          <w:color w:val="231F20"/>
          <w:spacing w:val="-6"/>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recognition</w:t>
      </w:r>
      <w:r>
        <w:rPr>
          <w:color w:val="231F20"/>
          <w:spacing w:val="-7"/>
        </w:rPr>
        <w:t xml:space="preserve"> </w:t>
      </w:r>
      <w:r>
        <w:rPr>
          <w:color w:val="231F20"/>
        </w:rPr>
        <w:t>of</w:t>
      </w:r>
      <w:r>
        <w:rPr>
          <w:color w:val="231F20"/>
          <w:spacing w:val="-6"/>
        </w:rPr>
        <w:t xml:space="preserve"> </w:t>
      </w:r>
      <w:r>
        <w:rPr>
          <w:color w:val="231F20"/>
        </w:rPr>
        <w:t>a</w:t>
      </w:r>
      <w:r>
        <w:rPr>
          <w:color w:val="231F20"/>
          <w:spacing w:val="-7"/>
        </w:rPr>
        <w:t xml:space="preserve"> </w:t>
      </w:r>
      <w:r>
        <w:rPr>
          <w:color w:val="231F20"/>
        </w:rPr>
        <w:t>non-financial item</w:t>
      </w:r>
      <w:r>
        <w:rPr>
          <w:color w:val="231F20"/>
          <w:spacing w:val="-9"/>
        </w:rPr>
        <w:t xml:space="preserve"> </w:t>
      </w:r>
      <w:r>
        <w:rPr>
          <w:color w:val="231F20"/>
        </w:rPr>
        <w:t>such</w:t>
      </w:r>
      <w:r>
        <w:rPr>
          <w:color w:val="231F20"/>
          <w:spacing w:val="-10"/>
        </w:rPr>
        <w:t xml:space="preserve"> </w:t>
      </w:r>
      <w:r>
        <w:rPr>
          <w:color w:val="231F20"/>
        </w:rPr>
        <w:t>as</w:t>
      </w:r>
      <w:r>
        <w:rPr>
          <w:color w:val="231F20"/>
          <w:spacing w:val="-9"/>
        </w:rPr>
        <w:t xml:space="preserve"> </w:t>
      </w:r>
      <w:r>
        <w:rPr>
          <w:color w:val="231F20"/>
        </w:rPr>
        <w:t>inventory,</w:t>
      </w:r>
      <w:r>
        <w:rPr>
          <w:color w:val="231F20"/>
          <w:spacing w:val="-9"/>
        </w:rPr>
        <w:t xml:space="preserve"> </w:t>
      </w:r>
      <w:r>
        <w:rPr>
          <w:color w:val="231F20"/>
        </w:rPr>
        <w:t>the</w:t>
      </w:r>
      <w:r>
        <w:rPr>
          <w:color w:val="231F20"/>
          <w:spacing w:val="-10"/>
        </w:rPr>
        <w:t xml:space="preserve"> </w:t>
      </w:r>
      <w:r>
        <w:rPr>
          <w:color w:val="231F20"/>
        </w:rPr>
        <w:t>amount</w:t>
      </w:r>
      <w:r>
        <w:rPr>
          <w:color w:val="231F20"/>
          <w:spacing w:val="-9"/>
        </w:rPr>
        <w:t xml:space="preserve"> </w:t>
      </w:r>
      <w:r>
        <w:rPr>
          <w:color w:val="231F20"/>
        </w:rPr>
        <w:t>accumulated</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hedging</w:t>
      </w:r>
      <w:r>
        <w:rPr>
          <w:color w:val="231F20"/>
          <w:spacing w:val="-10"/>
        </w:rPr>
        <w:t xml:space="preserve"> </w:t>
      </w:r>
      <w:r>
        <w:rPr>
          <w:color w:val="231F20"/>
        </w:rPr>
        <w:t>reserve</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cost</w:t>
      </w:r>
      <w:r>
        <w:rPr>
          <w:color w:val="231F20"/>
          <w:spacing w:val="-9"/>
        </w:rPr>
        <w:t xml:space="preserve"> </w:t>
      </w:r>
      <w:r>
        <w:rPr>
          <w:color w:val="231F20"/>
        </w:rPr>
        <w:t>of</w:t>
      </w:r>
      <w:r>
        <w:rPr>
          <w:color w:val="231F20"/>
          <w:spacing w:val="-9"/>
        </w:rPr>
        <w:t xml:space="preserve"> </w:t>
      </w:r>
      <w:r>
        <w:rPr>
          <w:color w:val="231F20"/>
        </w:rPr>
        <w:t>hedging reserve is included directly in the initial cost of the non-financial item when it is recognised.</w:t>
      </w:r>
    </w:p>
    <w:p w14:paraId="7376E4F6" w14:textId="77777777" w:rsidR="00345EE3" w:rsidRDefault="00345EE3" w:rsidP="00345EE3">
      <w:pPr>
        <w:pStyle w:val="BodyText"/>
        <w:spacing w:before="117" w:line="242" w:lineRule="auto"/>
        <w:ind w:right="187"/>
      </w:pPr>
      <w:r>
        <w:rPr>
          <w:color w:val="231F20"/>
        </w:rPr>
        <w:t>For</w:t>
      </w:r>
      <w:r>
        <w:rPr>
          <w:color w:val="231F20"/>
          <w:spacing w:val="-9"/>
        </w:rPr>
        <w:t xml:space="preserve"> </w:t>
      </w:r>
      <w:r>
        <w:rPr>
          <w:color w:val="231F20"/>
        </w:rPr>
        <w:t>all</w:t>
      </w:r>
      <w:r>
        <w:rPr>
          <w:color w:val="231F20"/>
          <w:spacing w:val="-10"/>
        </w:rPr>
        <w:t xml:space="preserve"> </w:t>
      </w:r>
      <w:r>
        <w:rPr>
          <w:color w:val="231F20"/>
        </w:rPr>
        <w:t>other</w:t>
      </w:r>
      <w:r>
        <w:rPr>
          <w:color w:val="231F20"/>
          <w:spacing w:val="-9"/>
        </w:rPr>
        <w:t xml:space="preserve"> </w:t>
      </w:r>
      <w:r>
        <w:rPr>
          <w:color w:val="231F20"/>
        </w:rPr>
        <w:t>hedged</w:t>
      </w:r>
      <w:r>
        <w:rPr>
          <w:color w:val="231F20"/>
          <w:spacing w:val="-10"/>
        </w:rPr>
        <w:t xml:space="preserve"> </w:t>
      </w:r>
      <w:r>
        <w:rPr>
          <w:color w:val="231F20"/>
        </w:rPr>
        <w:t>forecast</w:t>
      </w:r>
      <w:r>
        <w:rPr>
          <w:color w:val="231F20"/>
          <w:spacing w:val="-9"/>
        </w:rPr>
        <w:t xml:space="preserve"> </w:t>
      </w:r>
      <w:r>
        <w:rPr>
          <w:color w:val="231F20"/>
        </w:rPr>
        <w:t>transactions,</w:t>
      </w:r>
      <w:r>
        <w:rPr>
          <w:color w:val="231F20"/>
          <w:spacing w:val="-9"/>
        </w:rPr>
        <w:t xml:space="preserve"> </w:t>
      </w:r>
      <w:r>
        <w:rPr>
          <w:color w:val="231F20"/>
        </w:rPr>
        <w:t>the</w:t>
      </w:r>
      <w:r>
        <w:rPr>
          <w:color w:val="231F20"/>
          <w:spacing w:val="-10"/>
        </w:rPr>
        <w:t xml:space="preserve"> </w:t>
      </w:r>
      <w:r>
        <w:rPr>
          <w:color w:val="231F20"/>
        </w:rPr>
        <w:t>amount</w:t>
      </w:r>
      <w:r>
        <w:rPr>
          <w:color w:val="231F20"/>
          <w:spacing w:val="-9"/>
        </w:rPr>
        <w:t xml:space="preserve"> </w:t>
      </w:r>
      <w:r>
        <w:rPr>
          <w:color w:val="231F20"/>
        </w:rPr>
        <w:t>accumulated</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hedging</w:t>
      </w:r>
      <w:r>
        <w:rPr>
          <w:color w:val="231F20"/>
          <w:spacing w:val="-10"/>
        </w:rPr>
        <w:t xml:space="preserve"> </w:t>
      </w:r>
      <w:r>
        <w:rPr>
          <w:color w:val="231F20"/>
        </w:rPr>
        <w:t>reserve</w:t>
      </w:r>
      <w:r>
        <w:rPr>
          <w:color w:val="231F20"/>
          <w:spacing w:val="-10"/>
        </w:rPr>
        <w:t xml:space="preserve"> </w:t>
      </w:r>
      <w:r>
        <w:rPr>
          <w:color w:val="231F20"/>
        </w:rPr>
        <w:t>and the cost of hedging reserve is reclassified to profit or loss in the same period or periods during which the hedged expected future cash flows affect profit or loss.</w:t>
      </w:r>
    </w:p>
    <w:p w14:paraId="333AAFFF" w14:textId="77777777" w:rsidR="00345EE3" w:rsidRDefault="00345EE3" w:rsidP="00345EE3">
      <w:pPr>
        <w:pStyle w:val="BodyText"/>
        <w:spacing w:before="118" w:line="242" w:lineRule="auto"/>
      </w:pPr>
      <w:r>
        <w:rPr>
          <w:color w:val="231F20"/>
        </w:rPr>
        <w:t>If</w:t>
      </w:r>
      <w:r>
        <w:rPr>
          <w:color w:val="231F20"/>
          <w:spacing w:val="-6"/>
        </w:rPr>
        <w:t xml:space="preserve"> </w:t>
      </w:r>
      <w:r>
        <w:rPr>
          <w:color w:val="231F20"/>
        </w:rPr>
        <w:t>the</w:t>
      </w:r>
      <w:r>
        <w:rPr>
          <w:color w:val="231F20"/>
          <w:spacing w:val="-7"/>
        </w:rPr>
        <w:t xml:space="preserve"> </w:t>
      </w:r>
      <w:r>
        <w:rPr>
          <w:color w:val="231F20"/>
        </w:rPr>
        <w:t>hedge</w:t>
      </w:r>
      <w:r>
        <w:rPr>
          <w:color w:val="231F20"/>
          <w:spacing w:val="-7"/>
        </w:rPr>
        <w:t xml:space="preserve"> </w:t>
      </w:r>
      <w:r>
        <w:rPr>
          <w:color w:val="231F20"/>
        </w:rPr>
        <w:t>no</w:t>
      </w:r>
      <w:r>
        <w:rPr>
          <w:color w:val="231F20"/>
          <w:spacing w:val="-7"/>
        </w:rPr>
        <w:t xml:space="preserve"> </w:t>
      </w:r>
      <w:r>
        <w:rPr>
          <w:color w:val="231F20"/>
        </w:rPr>
        <w:t>longer</w:t>
      </w:r>
      <w:r>
        <w:rPr>
          <w:color w:val="231F20"/>
          <w:spacing w:val="-6"/>
        </w:rPr>
        <w:t xml:space="preserve"> </w:t>
      </w:r>
      <w:r>
        <w:rPr>
          <w:color w:val="231F20"/>
        </w:rPr>
        <w:t>meets</w:t>
      </w:r>
      <w:r>
        <w:rPr>
          <w:color w:val="231F20"/>
          <w:spacing w:val="-6"/>
        </w:rPr>
        <w:t xml:space="preserve"> </w:t>
      </w:r>
      <w:r>
        <w:rPr>
          <w:color w:val="231F20"/>
        </w:rPr>
        <w:t>the</w:t>
      </w:r>
      <w:r>
        <w:rPr>
          <w:color w:val="231F20"/>
          <w:spacing w:val="-7"/>
        </w:rPr>
        <w:t xml:space="preserve"> </w:t>
      </w:r>
      <w:r>
        <w:rPr>
          <w:color w:val="231F20"/>
        </w:rPr>
        <w:t>criteria</w:t>
      </w:r>
      <w:r>
        <w:rPr>
          <w:color w:val="231F20"/>
          <w:spacing w:val="-7"/>
        </w:rPr>
        <w:t xml:space="preserve"> </w:t>
      </w:r>
      <w:r>
        <w:rPr>
          <w:color w:val="231F20"/>
        </w:rPr>
        <w:t>for</w:t>
      </w:r>
      <w:r>
        <w:rPr>
          <w:color w:val="231F20"/>
          <w:spacing w:val="-6"/>
        </w:rPr>
        <w:t xml:space="preserve"> </w:t>
      </w:r>
      <w:r>
        <w:rPr>
          <w:color w:val="231F20"/>
        </w:rPr>
        <w:t>hedge</w:t>
      </w:r>
      <w:r>
        <w:rPr>
          <w:color w:val="231F20"/>
          <w:spacing w:val="-7"/>
        </w:rPr>
        <w:t xml:space="preserve"> </w:t>
      </w:r>
      <w:r>
        <w:rPr>
          <w:color w:val="231F20"/>
        </w:rPr>
        <w:t>accounting</w:t>
      </w:r>
      <w:r>
        <w:rPr>
          <w:color w:val="231F20"/>
          <w:spacing w:val="-7"/>
        </w:rPr>
        <w:t xml:space="preserve"> </w:t>
      </w:r>
      <w:r>
        <w:rPr>
          <w:color w:val="231F20"/>
        </w:rPr>
        <w:t>or</w:t>
      </w:r>
      <w:r>
        <w:rPr>
          <w:color w:val="231F20"/>
          <w:spacing w:val="-6"/>
        </w:rPr>
        <w:t xml:space="preserve"> </w:t>
      </w:r>
      <w:r>
        <w:rPr>
          <w:color w:val="231F20"/>
        </w:rPr>
        <w:t>the</w:t>
      </w:r>
      <w:r>
        <w:rPr>
          <w:color w:val="231F20"/>
          <w:spacing w:val="-7"/>
        </w:rPr>
        <w:t xml:space="preserve"> </w:t>
      </w:r>
      <w:r>
        <w:rPr>
          <w:color w:val="231F20"/>
        </w:rPr>
        <w:t>hedging</w:t>
      </w:r>
      <w:r>
        <w:rPr>
          <w:color w:val="231F20"/>
          <w:spacing w:val="-7"/>
        </w:rPr>
        <w:t xml:space="preserve"> </w:t>
      </w:r>
      <w:r>
        <w:rPr>
          <w:color w:val="231F20"/>
        </w:rPr>
        <w:t>instrument</w:t>
      </w:r>
      <w:r>
        <w:rPr>
          <w:color w:val="231F20"/>
          <w:spacing w:val="-6"/>
        </w:rPr>
        <w:t xml:space="preserve"> </w:t>
      </w:r>
      <w:r>
        <w:rPr>
          <w:color w:val="231F20"/>
        </w:rPr>
        <w:t>is</w:t>
      </w:r>
      <w:r>
        <w:rPr>
          <w:color w:val="231F20"/>
          <w:spacing w:val="-6"/>
        </w:rPr>
        <w:t xml:space="preserve"> </w:t>
      </w:r>
      <w:r>
        <w:rPr>
          <w:color w:val="231F20"/>
        </w:rPr>
        <w:t>sold, expires, is terminated</w:t>
      </w:r>
      <w:r>
        <w:rPr>
          <w:color w:val="231F20"/>
          <w:spacing w:val="-1"/>
        </w:rPr>
        <w:t xml:space="preserve"> </w:t>
      </w:r>
      <w:r>
        <w:rPr>
          <w:color w:val="231F20"/>
        </w:rPr>
        <w:t>or is exercised, then</w:t>
      </w:r>
      <w:r>
        <w:rPr>
          <w:color w:val="231F20"/>
          <w:spacing w:val="-1"/>
        </w:rPr>
        <w:t xml:space="preserve"> </w:t>
      </w:r>
      <w:r>
        <w:rPr>
          <w:color w:val="231F20"/>
        </w:rPr>
        <w:t>hedge</w:t>
      </w:r>
      <w:r>
        <w:rPr>
          <w:color w:val="231F20"/>
          <w:spacing w:val="-1"/>
        </w:rPr>
        <w:t xml:space="preserve"> </w:t>
      </w:r>
      <w:r>
        <w:rPr>
          <w:color w:val="231F20"/>
        </w:rPr>
        <w:t>accounting</w:t>
      </w:r>
      <w:r>
        <w:rPr>
          <w:color w:val="231F20"/>
          <w:spacing w:val="-1"/>
        </w:rPr>
        <w:t xml:space="preserve"> </w:t>
      </w:r>
      <w:r>
        <w:rPr>
          <w:color w:val="231F20"/>
        </w:rPr>
        <w:t>is discontinued</w:t>
      </w:r>
      <w:r>
        <w:rPr>
          <w:color w:val="231F20"/>
          <w:spacing w:val="-1"/>
        </w:rPr>
        <w:t xml:space="preserve"> </w:t>
      </w:r>
      <w:r>
        <w:rPr>
          <w:color w:val="231F20"/>
        </w:rPr>
        <w:t>prospectively.</w:t>
      </w:r>
    </w:p>
    <w:p w14:paraId="6D7EA293" w14:textId="77777777" w:rsidR="00345EE3" w:rsidRDefault="00345EE3" w:rsidP="00345EE3">
      <w:pPr>
        <w:pStyle w:val="BodyText"/>
        <w:spacing w:before="2" w:line="242" w:lineRule="auto"/>
        <w:ind w:right="109"/>
      </w:pPr>
      <w:r>
        <w:rPr>
          <w:color w:val="231F20"/>
        </w:rPr>
        <w:t>When hedge accounting for cash flow hedges is discontinued, the amount that has been accumulated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hedging</w:t>
      </w:r>
      <w:r>
        <w:rPr>
          <w:color w:val="231F20"/>
          <w:spacing w:val="-8"/>
        </w:rPr>
        <w:t xml:space="preserve"> </w:t>
      </w:r>
      <w:r>
        <w:rPr>
          <w:color w:val="231F20"/>
        </w:rPr>
        <w:t>reserve</w:t>
      </w:r>
      <w:r>
        <w:rPr>
          <w:color w:val="231F20"/>
          <w:spacing w:val="-8"/>
        </w:rPr>
        <w:t xml:space="preserve"> </w:t>
      </w:r>
      <w:r>
        <w:rPr>
          <w:color w:val="231F20"/>
        </w:rPr>
        <w:t>remains</w:t>
      </w:r>
      <w:r>
        <w:rPr>
          <w:color w:val="231F20"/>
          <w:spacing w:val="-7"/>
        </w:rPr>
        <w:t xml:space="preserve"> </w:t>
      </w:r>
      <w:r>
        <w:rPr>
          <w:color w:val="231F20"/>
        </w:rPr>
        <w:t>in</w:t>
      </w:r>
      <w:r>
        <w:rPr>
          <w:color w:val="231F20"/>
          <w:spacing w:val="-8"/>
        </w:rPr>
        <w:t xml:space="preserve"> </w:t>
      </w:r>
      <w:r>
        <w:rPr>
          <w:color w:val="231F20"/>
        </w:rPr>
        <w:t>equity</w:t>
      </w:r>
      <w:r>
        <w:rPr>
          <w:color w:val="231F20"/>
          <w:spacing w:val="-7"/>
        </w:rPr>
        <w:t xml:space="preserve"> </w:t>
      </w:r>
      <w:r>
        <w:rPr>
          <w:color w:val="231F20"/>
        </w:rPr>
        <w:t>until,</w:t>
      </w:r>
      <w:r>
        <w:rPr>
          <w:color w:val="231F20"/>
          <w:spacing w:val="-7"/>
        </w:rPr>
        <w:t xml:space="preserve"> </w:t>
      </w:r>
      <w:r>
        <w:rPr>
          <w:color w:val="231F20"/>
        </w:rPr>
        <w:t>for</w:t>
      </w:r>
      <w:r>
        <w:rPr>
          <w:color w:val="231F20"/>
          <w:spacing w:val="-7"/>
        </w:rPr>
        <w:t xml:space="preserve"> </w:t>
      </w:r>
      <w:r>
        <w:rPr>
          <w:color w:val="231F20"/>
        </w:rPr>
        <w:t>a</w:t>
      </w:r>
      <w:r>
        <w:rPr>
          <w:color w:val="231F20"/>
          <w:spacing w:val="-8"/>
        </w:rPr>
        <w:t xml:space="preserve"> </w:t>
      </w:r>
      <w:r>
        <w:rPr>
          <w:color w:val="231F20"/>
        </w:rPr>
        <w:t>hedge</w:t>
      </w:r>
      <w:r>
        <w:rPr>
          <w:color w:val="231F20"/>
          <w:spacing w:val="-8"/>
        </w:rPr>
        <w:t xml:space="preserve"> </w:t>
      </w:r>
      <w:r>
        <w:rPr>
          <w:color w:val="231F20"/>
        </w:rPr>
        <w:t>of</w:t>
      </w:r>
      <w:r>
        <w:rPr>
          <w:color w:val="231F20"/>
          <w:spacing w:val="-7"/>
        </w:rPr>
        <w:t xml:space="preserve"> </w:t>
      </w:r>
      <w:r>
        <w:rPr>
          <w:color w:val="231F20"/>
        </w:rPr>
        <w:t>a</w:t>
      </w:r>
      <w:r>
        <w:rPr>
          <w:color w:val="231F20"/>
          <w:spacing w:val="-8"/>
        </w:rPr>
        <w:t xml:space="preserve"> </w:t>
      </w:r>
      <w:r>
        <w:rPr>
          <w:color w:val="231F20"/>
        </w:rPr>
        <w:t>transaction</w:t>
      </w:r>
      <w:r>
        <w:rPr>
          <w:color w:val="231F20"/>
          <w:spacing w:val="-8"/>
        </w:rPr>
        <w:t xml:space="preserve"> </w:t>
      </w:r>
      <w:r>
        <w:rPr>
          <w:color w:val="231F20"/>
        </w:rPr>
        <w:t>resulting in</w:t>
      </w:r>
      <w:r>
        <w:rPr>
          <w:color w:val="231F20"/>
          <w:spacing w:val="-8"/>
        </w:rPr>
        <w:t xml:space="preserve"> </w:t>
      </w:r>
      <w:r>
        <w:rPr>
          <w:color w:val="231F20"/>
        </w:rPr>
        <w:t>the</w:t>
      </w:r>
      <w:r>
        <w:rPr>
          <w:color w:val="231F20"/>
          <w:spacing w:val="-8"/>
        </w:rPr>
        <w:t xml:space="preserve"> </w:t>
      </w:r>
      <w:r>
        <w:rPr>
          <w:color w:val="231F20"/>
        </w:rPr>
        <w:t>recognition</w:t>
      </w:r>
      <w:r>
        <w:rPr>
          <w:color w:val="231F20"/>
          <w:spacing w:val="-8"/>
        </w:rPr>
        <w:t xml:space="preserve"> </w:t>
      </w:r>
      <w:r>
        <w:rPr>
          <w:color w:val="231F20"/>
        </w:rPr>
        <w:t>of</w:t>
      </w:r>
      <w:r>
        <w:rPr>
          <w:color w:val="231F20"/>
          <w:spacing w:val="-7"/>
        </w:rPr>
        <w:t xml:space="preserve"> </w:t>
      </w:r>
      <w:r>
        <w:rPr>
          <w:color w:val="231F20"/>
        </w:rPr>
        <w:t>a</w:t>
      </w:r>
      <w:r>
        <w:rPr>
          <w:color w:val="231F20"/>
          <w:spacing w:val="-8"/>
        </w:rPr>
        <w:t xml:space="preserve"> </w:t>
      </w:r>
      <w:r>
        <w:rPr>
          <w:color w:val="231F20"/>
        </w:rPr>
        <w:t>non-financial</w:t>
      </w:r>
      <w:r>
        <w:rPr>
          <w:color w:val="231F20"/>
          <w:spacing w:val="-8"/>
        </w:rPr>
        <w:t xml:space="preserve"> </w:t>
      </w:r>
      <w:r>
        <w:rPr>
          <w:color w:val="231F20"/>
        </w:rPr>
        <w:t>item,</w:t>
      </w:r>
      <w:r>
        <w:rPr>
          <w:color w:val="231F20"/>
          <w:spacing w:val="-7"/>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included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non-financial</w:t>
      </w:r>
      <w:r>
        <w:rPr>
          <w:color w:val="231F20"/>
          <w:spacing w:val="-8"/>
        </w:rPr>
        <w:t xml:space="preserve"> </w:t>
      </w:r>
      <w:r>
        <w:rPr>
          <w:color w:val="231F20"/>
        </w:rPr>
        <w:t>item’s</w:t>
      </w:r>
      <w:r>
        <w:rPr>
          <w:color w:val="231F20"/>
          <w:spacing w:val="-7"/>
        </w:rPr>
        <w:t xml:space="preserve"> </w:t>
      </w:r>
      <w:r>
        <w:rPr>
          <w:color w:val="231F20"/>
        </w:rPr>
        <w:t>cost</w:t>
      </w:r>
      <w:r>
        <w:rPr>
          <w:color w:val="231F20"/>
          <w:spacing w:val="-7"/>
        </w:rPr>
        <w:t xml:space="preserve"> </w:t>
      </w:r>
      <w:r>
        <w:rPr>
          <w:color w:val="231F20"/>
        </w:rPr>
        <w:t>on</w:t>
      </w:r>
      <w:r>
        <w:rPr>
          <w:color w:val="231F20"/>
          <w:spacing w:val="-8"/>
        </w:rPr>
        <w:t xml:space="preserve"> </w:t>
      </w:r>
      <w:r>
        <w:rPr>
          <w:color w:val="231F20"/>
        </w:rPr>
        <w:t>its</w:t>
      </w:r>
      <w:r>
        <w:rPr>
          <w:color w:val="231F20"/>
          <w:spacing w:val="-7"/>
        </w:rPr>
        <w:t xml:space="preserve"> </w:t>
      </w:r>
      <w:r>
        <w:rPr>
          <w:color w:val="231F20"/>
        </w:rPr>
        <w:t>initial recognition</w:t>
      </w:r>
      <w:r>
        <w:rPr>
          <w:color w:val="231F20"/>
          <w:spacing w:val="-1"/>
        </w:rPr>
        <w:t xml:space="preserve"> </w:t>
      </w:r>
      <w:r>
        <w:rPr>
          <w:color w:val="231F20"/>
        </w:rPr>
        <w:t>or, for</w:t>
      </w:r>
      <w:r>
        <w:rPr>
          <w:color w:val="231F20"/>
          <w:spacing w:val="-1"/>
        </w:rPr>
        <w:t xml:space="preserve"> </w:t>
      </w:r>
      <w:r>
        <w:rPr>
          <w:color w:val="231F20"/>
        </w:rPr>
        <w:t>other cash</w:t>
      </w:r>
      <w:r>
        <w:rPr>
          <w:color w:val="231F20"/>
          <w:spacing w:val="-1"/>
        </w:rPr>
        <w:t xml:space="preserve"> </w:t>
      </w:r>
      <w:r>
        <w:rPr>
          <w:color w:val="231F20"/>
        </w:rPr>
        <w:t>flow</w:t>
      </w:r>
      <w:r>
        <w:rPr>
          <w:color w:val="231F20"/>
          <w:spacing w:val="-2"/>
        </w:rPr>
        <w:t xml:space="preserve"> </w:t>
      </w:r>
      <w:r>
        <w:rPr>
          <w:color w:val="231F20"/>
        </w:rPr>
        <w:t>hedges, it is</w:t>
      </w:r>
      <w:r>
        <w:rPr>
          <w:color w:val="231F20"/>
          <w:spacing w:val="-1"/>
        </w:rPr>
        <w:t xml:space="preserve"> </w:t>
      </w:r>
      <w:r>
        <w:rPr>
          <w:color w:val="231F20"/>
        </w:rPr>
        <w:t>reclassified</w:t>
      </w:r>
      <w:r>
        <w:rPr>
          <w:color w:val="231F20"/>
          <w:spacing w:val="-1"/>
        </w:rPr>
        <w:t xml:space="preserve"> </w:t>
      </w:r>
      <w:r>
        <w:rPr>
          <w:color w:val="231F20"/>
        </w:rPr>
        <w:t>to</w:t>
      </w:r>
      <w:r>
        <w:rPr>
          <w:color w:val="231F20"/>
          <w:spacing w:val="-1"/>
        </w:rPr>
        <w:t xml:space="preserve"> </w:t>
      </w:r>
      <w:r>
        <w:rPr>
          <w:color w:val="231F20"/>
        </w:rPr>
        <w:t>profit</w:t>
      </w:r>
      <w:r>
        <w:rPr>
          <w:color w:val="231F20"/>
          <w:spacing w:val="-1"/>
        </w:rPr>
        <w:t xml:space="preserve"> </w:t>
      </w:r>
      <w:r>
        <w:rPr>
          <w:color w:val="231F20"/>
        </w:rPr>
        <w:t>or loss in</w:t>
      </w:r>
      <w:r>
        <w:rPr>
          <w:color w:val="231F20"/>
          <w:spacing w:val="-2"/>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period</w:t>
      </w:r>
      <w:r>
        <w:rPr>
          <w:color w:val="231F20"/>
          <w:spacing w:val="-2"/>
        </w:rPr>
        <w:t xml:space="preserve"> </w:t>
      </w:r>
      <w:r>
        <w:rPr>
          <w:color w:val="231F20"/>
        </w:rPr>
        <w:t>or periods as the hedged expected future cash flows affect profit or loss.</w:t>
      </w:r>
    </w:p>
    <w:p w14:paraId="2E2FD28C" w14:textId="77777777" w:rsidR="00345EE3" w:rsidRDefault="00345EE3" w:rsidP="00345EE3">
      <w:pPr>
        <w:pStyle w:val="BodyText"/>
        <w:spacing w:before="120" w:line="242" w:lineRule="auto"/>
        <w:ind w:right="381"/>
      </w:pPr>
      <w:r>
        <w:rPr>
          <w:color w:val="231F20"/>
        </w:rPr>
        <w:t>If</w:t>
      </w:r>
      <w:r>
        <w:rPr>
          <w:color w:val="231F20"/>
          <w:spacing w:val="-8"/>
        </w:rPr>
        <w:t xml:space="preserve"> </w:t>
      </w:r>
      <w:r>
        <w:rPr>
          <w:color w:val="231F20"/>
        </w:rPr>
        <w:t>the</w:t>
      </w:r>
      <w:r>
        <w:rPr>
          <w:color w:val="231F20"/>
          <w:spacing w:val="-9"/>
        </w:rPr>
        <w:t xml:space="preserve"> </w:t>
      </w:r>
      <w:r>
        <w:rPr>
          <w:color w:val="231F20"/>
        </w:rPr>
        <w:t>hedged</w:t>
      </w:r>
      <w:r>
        <w:rPr>
          <w:color w:val="231F20"/>
          <w:spacing w:val="-9"/>
        </w:rPr>
        <w:t xml:space="preserve"> </w:t>
      </w:r>
      <w:r>
        <w:rPr>
          <w:color w:val="231F20"/>
        </w:rPr>
        <w:t>future</w:t>
      </w:r>
      <w:r>
        <w:rPr>
          <w:color w:val="231F20"/>
          <w:spacing w:val="-9"/>
        </w:rPr>
        <w:t xml:space="preserve"> </w:t>
      </w:r>
      <w:r>
        <w:rPr>
          <w:color w:val="231F20"/>
        </w:rPr>
        <w:t>cash</w:t>
      </w:r>
      <w:r>
        <w:rPr>
          <w:color w:val="231F20"/>
          <w:spacing w:val="-9"/>
        </w:rPr>
        <w:t xml:space="preserve"> </w:t>
      </w:r>
      <w:r>
        <w:rPr>
          <w:color w:val="231F20"/>
        </w:rPr>
        <w:t>flows</w:t>
      </w:r>
      <w:r>
        <w:rPr>
          <w:color w:val="231F20"/>
          <w:spacing w:val="-8"/>
        </w:rPr>
        <w:t xml:space="preserve"> </w:t>
      </w:r>
      <w:r>
        <w:rPr>
          <w:color w:val="231F20"/>
        </w:rPr>
        <w:t>are</w:t>
      </w:r>
      <w:r>
        <w:rPr>
          <w:color w:val="231F20"/>
          <w:spacing w:val="-9"/>
        </w:rPr>
        <w:t xml:space="preserve"> </w:t>
      </w:r>
      <w:r>
        <w:rPr>
          <w:color w:val="231F20"/>
        </w:rPr>
        <w:t>no</w:t>
      </w:r>
      <w:r>
        <w:rPr>
          <w:color w:val="231F20"/>
          <w:spacing w:val="-9"/>
        </w:rPr>
        <w:t xml:space="preserve"> </w:t>
      </w:r>
      <w:r>
        <w:rPr>
          <w:color w:val="231F20"/>
        </w:rPr>
        <w:t>longer</w:t>
      </w:r>
      <w:r>
        <w:rPr>
          <w:color w:val="231F20"/>
          <w:spacing w:val="-8"/>
        </w:rPr>
        <w:t xml:space="preserve"> </w:t>
      </w:r>
      <w:r>
        <w:rPr>
          <w:color w:val="231F20"/>
        </w:rPr>
        <w:t>expected</w:t>
      </w:r>
      <w:r>
        <w:rPr>
          <w:color w:val="231F20"/>
          <w:spacing w:val="-9"/>
        </w:rPr>
        <w:t xml:space="preserve"> </w:t>
      </w:r>
      <w:r>
        <w:rPr>
          <w:color w:val="231F20"/>
        </w:rPr>
        <w:t>to</w:t>
      </w:r>
      <w:r>
        <w:rPr>
          <w:color w:val="231F20"/>
          <w:spacing w:val="-9"/>
        </w:rPr>
        <w:t xml:space="preserve"> </w:t>
      </w:r>
      <w:r>
        <w:rPr>
          <w:color w:val="231F20"/>
        </w:rPr>
        <w:t>occur,</w:t>
      </w:r>
      <w:r>
        <w:rPr>
          <w:color w:val="231F20"/>
          <w:spacing w:val="-8"/>
        </w:rPr>
        <w:t xml:space="preserve"> </w:t>
      </w:r>
      <w:r>
        <w:rPr>
          <w:color w:val="231F20"/>
        </w:rPr>
        <w:t>then</w:t>
      </w:r>
      <w:r>
        <w:rPr>
          <w:color w:val="231F20"/>
          <w:spacing w:val="-9"/>
        </w:rPr>
        <w:t xml:space="preserve"> </w:t>
      </w:r>
      <w:r>
        <w:rPr>
          <w:color w:val="231F20"/>
        </w:rPr>
        <w:t>the</w:t>
      </w:r>
      <w:r>
        <w:rPr>
          <w:color w:val="231F20"/>
          <w:spacing w:val="-9"/>
        </w:rPr>
        <w:t xml:space="preserve"> </w:t>
      </w:r>
      <w:r>
        <w:rPr>
          <w:color w:val="231F20"/>
        </w:rPr>
        <w:t>amounts</w:t>
      </w:r>
      <w:r>
        <w:rPr>
          <w:color w:val="231F20"/>
          <w:spacing w:val="-8"/>
        </w:rPr>
        <w:t xml:space="preserve"> </w:t>
      </w:r>
      <w:r>
        <w:rPr>
          <w:color w:val="231F20"/>
        </w:rPr>
        <w:t>that</w:t>
      </w:r>
      <w:r>
        <w:rPr>
          <w:color w:val="231F20"/>
          <w:spacing w:val="-8"/>
        </w:rPr>
        <w:t xml:space="preserve"> </w:t>
      </w:r>
      <w:r>
        <w:rPr>
          <w:color w:val="231F20"/>
        </w:rPr>
        <w:t>have been accumulated in the hedging reserve and the cost of hedging reserve are immediately reclassified to profit or loss.</w:t>
      </w:r>
    </w:p>
    <w:p w14:paraId="7BAD031F" w14:textId="77777777" w:rsidR="00345EE3" w:rsidRDefault="00345EE3" w:rsidP="00345EE3">
      <w:pPr>
        <w:rPr>
          <w:color w:val="231F20"/>
          <w:sz w:val="24"/>
          <w:szCs w:val="24"/>
        </w:rPr>
      </w:pPr>
      <w:r>
        <w:rPr>
          <w:color w:val="231F20"/>
        </w:rPr>
        <w:br w:type="page"/>
      </w:r>
    </w:p>
    <w:p w14:paraId="375DBA4B" w14:textId="77777777" w:rsidR="00345EE3" w:rsidRDefault="00345EE3" w:rsidP="00345EE3">
      <w:pPr>
        <w:pStyle w:val="BodyText"/>
        <w:spacing w:before="118" w:line="242" w:lineRule="auto"/>
        <w:ind w:right="381"/>
      </w:pPr>
      <w:r>
        <w:rPr>
          <w:color w:val="231F20"/>
        </w:rPr>
        <w:t>The</w:t>
      </w:r>
      <w:r>
        <w:rPr>
          <w:color w:val="231F20"/>
          <w:spacing w:val="-10"/>
        </w:rPr>
        <w:t xml:space="preserve"> </w:t>
      </w:r>
      <w:r>
        <w:rPr>
          <w:color w:val="231F20"/>
        </w:rPr>
        <w:t>hedge</w:t>
      </w:r>
      <w:r>
        <w:rPr>
          <w:color w:val="231F20"/>
          <w:spacing w:val="-10"/>
        </w:rPr>
        <w:t xml:space="preserve"> </w:t>
      </w:r>
      <w:r>
        <w:rPr>
          <w:color w:val="231F20"/>
        </w:rPr>
        <w:t>effective</w:t>
      </w:r>
      <w:r>
        <w:rPr>
          <w:color w:val="231F20"/>
          <w:spacing w:val="-10"/>
        </w:rPr>
        <w:t xml:space="preserve"> </w:t>
      </w:r>
      <w:r>
        <w:rPr>
          <w:color w:val="231F20"/>
        </w:rPr>
        <w:t>testing</w:t>
      </w:r>
      <w:r>
        <w:rPr>
          <w:color w:val="231F20"/>
          <w:spacing w:val="-10"/>
        </w:rPr>
        <w:t xml:space="preserve"> </w:t>
      </w:r>
      <w:r>
        <w:rPr>
          <w:color w:val="231F20"/>
        </w:rPr>
        <w:t>is</w:t>
      </w:r>
      <w:r>
        <w:rPr>
          <w:color w:val="231F20"/>
          <w:spacing w:val="-9"/>
        </w:rPr>
        <w:t xml:space="preserve"> </w:t>
      </w:r>
      <w:r>
        <w:rPr>
          <w:color w:val="231F20"/>
        </w:rPr>
        <w:t>undertaken</w:t>
      </w:r>
      <w:r>
        <w:rPr>
          <w:color w:val="231F20"/>
          <w:spacing w:val="-10"/>
        </w:rPr>
        <w:t xml:space="preserve"> </w:t>
      </w:r>
      <w:r>
        <w:rPr>
          <w:color w:val="231F20"/>
        </w:rPr>
        <w:t>every</w:t>
      </w:r>
      <w:r>
        <w:rPr>
          <w:color w:val="231F20"/>
          <w:spacing w:val="-9"/>
        </w:rPr>
        <w:t xml:space="preserve"> </w:t>
      </w:r>
      <w:r>
        <w:rPr>
          <w:color w:val="231F20"/>
        </w:rPr>
        <w:t>year</w:t>
      </w:r>
      <w:r>
        <w:rPr>
          <w:color w:val="231F20"/>
          <w:spacing w:val="-9"/>
        </w:rPr>
        <w:t xml:space="preserve"> </w:t>
      </w:r>
      <w:r>
        <w:rPr>
          <w:color w:val="231F20"/>
        </w:rPr>
        <w:t>through</w:t>
      </w:r>
      <w:r>
        <w:rPr>
          <w:color w:val="231F20"/>
          <w:spacing w:val="-10"/>
        </w:rPr>
        <w:t xml:space="preserve"> </w:t>
      </w:r>
      <w:r>
        <w:rPr>
          <w:color w:val="231F20"/>
        </w:rPr>
        <w:t>the</w:t>
      </w:r>
      <w:r>
        <w:rPr>
          <w:color w:val="231F20"/>
          <w:spacing w:val="-10"/>
        </w:rPr>
        <w:t xml:space="preserve"> </w:t>
      </w:r>
      <w:r>
        <w:rPr>
          <w:color w:val="231F20"/>
        </w:rPr>
        <w:t>qualitative</w:t>
      </w:r>
      <w:r>
        <w:rPr>
          <w:color w:val="231F20"/>
          <w:spacing w:val="-10"/>
        </w:rPr>
        <w:t xml:space="preserve"> </w:t>
      </w:r>
      <w:r>
        <w:rPr>
          <w:color w:val="231F20"/>
        </w:rPr>
        <w:t>test,</w:t>
      </w:r>
      <w:r>
        <w:rPr>
          <w:color w:val="231F20"/>
          <w:spacing w:val="-9"/>
        </w:rPr>
        <w:t xml:space="preserve"> </w:t>
      </w:r>
      <w:r>
        <w:rPr>
          <w:color w:val="231F20"/>
        </w:rPr>
        <w:t>supported</w:t>
      </w:r>
      <w:r>
        <w:rPr>
          <w:color w:val="231F20"/>
          <w:spacing w:val="-10"/>
        </w:rPr>
        <w:t xml:space="preserve"> </w:t>
      </w:r>
      <w:r>
        <w:rPr>
          <w:color w:val="231F20"/>
        </w:rPr>
        <w:t>by the quantitative test, as permitted by AASB 9 which is determined based on:</w:t>
      </w:r>
    </w:p>
    <w:p w14:paraId="21C096CE" w14:textId="77777777" w:rsidR="00345EE3" w:rsidRDefault="00345EE3">
      <w:pPr>
        <w:pStyle w:val="ListParagraph"/>
        <w:numPr>
          <w:ilvl w:val="0"/>
          <w:numId w:val="32"/>
        </w:numPr>
        <w:tabs>
          <w:tab w:val="left" w:pos="394"/>
        </w:tabs>
        <w:spacing w:before="31" w:line="242" w:lineRule="auto"/>
        <w:ind w:right="273"/>
        <w:rPr>
          <w:sz w:val="24"/>
        </w:rPr>
      </w:pPr>
      <w:r>
        <w:rPr>
          <w:color w:val="231F20"/>
          <w:spacing w:val="-2"/>
          <w:sz w:val="24"/>
        </w:rPr>
        <w:t>the</w:t>
      </w:r>
      <w:r>
        <w:rPr>
          <w:color w:val="231F20"/>
          <w:spacing w:val="-15"/>
          <w:sz w:val="24"/>
        </w:rPr>
        <w:t xml:space="preserve"> </w:t>
      </w:r>
      <w:r>
        <w:rPr>
          <w:color w:val="231F20"/>
          <w:spacing w:val="-2"/>
          <w:sz w:val="24"/>
        </w:rPr>
        <w:t>economic</w:t>
      </w:r>
      <w:r>
        <w:rPr>
          <w:color w:val="231F20"/>
          <w:spacing w:val="-15"/>
          <w:sz w:val="24"/>
        </w:rPr>
        <w:t xml:space="preserve"> </w:t>
      </w:r>
      <w:r>
        <w:rPr>
          <w:color w:val="231F20"/>
          <w:spacing w:val="-2"/>
          <w:sz w:val="24"/>
        </w:rPr>
        <w:t>relationship</w:t>
      </w:r>
      <w:r>
        <w:rPr>
          <w:color w:val="231F20"/>
          <w:spacing w:val="-14"/>
          <w:sz w:val="24"/>
        </w:rPr>
        <w:t xml:space="preserve"> </w:t>
      </w:r>
      <w:r>
        <w:rPr>
          <w:color w:val="231F20"/>
          <w:spacing w:val="-2"/>
          <w:sz w:val="24"/>
        </w:rPr>
        <w:t>between</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2"/>
          <w:sz w:val="24"/>
        </w:rPr>
        <w:t>hedged</w:t>
      </w:r>
      <w:r>
        <w:rPr>
          <w:color w:val="231F20"/>
          <w:spacing w:val="-15"/>
          <w:sz w:val="24"/>
        </w:rPr>
        <w:t xml:space="preserve"> </w:t>
      </w:r>
      <w:r>
        <w:rPr>
          <w:color w:val="231F20"/>
          <w:spacing w:val="-2"/>
          <w:sz w:val="24"/>
        </w:rPr>
        <w:t>items</w:t>
      </w:r>
      <w:r>
        <w:rPr>
          <w:color w:val="231F20"/>
          <w:spacing w:val="-14"/>
          <w:sz w:val="24"/>
        </w:rPr>
        <w:t xml:space="preserve"> </w:t>
      </w:r>
      <w:r>
        <w:rPr>
          <w:color w:val="231F20"/>
          <w:spacing w:val="-2"/>
          <w:sz w:val="24"/>
        </w:rPr>
        <w:t>and</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2"/>
          <w:sz w:val="24"/>
        </w:rPr>
        <w:t>hedging</w:t>
      </w:r>
      <w:r>
        <w:rPr>
          <w:color w:val="231F20"/>
          <w:spacing w:val="-14"/>
          <w:sz w:val="24"/>
        </w:rPr>
        <w:t xml:space="preserve"> </w:t>
      </w:r>
      <w:r>
        <w:rPr>
          <w:color w:val="231F20"/>
          <w:spacing w:val="-2"/>
          <w:sz w:val="24"/>
        </w:rPr>
        <w:t>instruments</w:t>
      </w:r>
      <w:r>
        <w:rPr>
          <w:color w:val="231F20"/>
          <w:spacing w:val="-15"/>
          <w:sz w:val="24"/>
        </w:rPr>
        <w:t xml:space="preserve"> </w:t>
      </w:r>
      <w:r>
        <w:rPr>
          <w:color w:val="231F20"/>
          <w:spacing w:val="-2"/>
          <w:sz w:val="24"/>
        </w:rPr>
        <w:t>as</w:t>
      </w:r>
      <w:r>
        <w:rPr>
          <w:color w:val="231F20"/>
          <w:spacing w:val="-15"/>
          <w:sz w:val="24"/>
        </w:rPr>
        <w:t xml:space="preserve"> </w:t>
      </w:r>
      <w:r>
        <w:rPr>
          <w:color w:val="231F20"/>
          <w:spacing w:val="-2"/>
          <w:sz w:val="24"/>
        </w:rPr>
        <w:t>the</w:t>
      </w:r>
      <w:r>
        <w:rPr>
          <w:color w:val="231F20"/>
          <w:spacing w:val="-14"/>
          <w:sz w:val="24"/>
        </w:rPr>
        <w:t xml:space="preserve"> </w:t>
      </w:r>
      <w:r>
        <w:rPr>
          <w:color w:val="231F20"/>
          <w:spacing w:val="-2"/>
          <w:sz w:val="24"/>
        </w:rPr>
        <w:t xml:space="preserve">terms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foreign</w:t>
      </w:r>
      <w:r>
        <w:rPr>
          <w:color w:val="231F20"/>
          <w:spacing w:val="-15"/>
          <w:sz w:val="24"/>
        </w:rPr>
        <w:t xml:space="preserve"> </w:t>
      </w:r>
      <w:r>
        <w:rPr>
          <w:color w:val="231F20"/>
          <w:sz w:val="24"/>
        </w:rPr>
        <w:t>exchange</w:t>
      </w:r>
      <w:r>
        <w:rPr>
          <w:color w:val="231F20"/>
          <w:spacing w:val="-15"/>
          <w:sz w:val="24"/>
        </w:rPr>
        <w:t xml:space="preserve"> </w:t>
      </w:r>
      <w:r>
        <w:rPr>
          <w:color w:val="231F20"/>
          <w:sz w:val="24"/>
        </w:rPr>
        <w:t>and</w:t>
      </w:r>
      <w:r>
        <w:rPr>
          <w:color w:val="231F20"/>
          <w:spacing w:val="-15"/>
          <w:sz w:val="24"/>
        </w:rPr>
        <w:t xml:space="preserve"> </w:t>
      </w:r>
      <w:r>
        <w:rPr>
          <w:color w:val="231F20"/>
          <w:sz w:val="24"/>
        </w:rPr>
        <w:t>commodity</w:t>
      </w:r>
      <w:r>
        <w:rPr>
          <w:color w:val="231F20"/>
          <w:spacing w:val="-15"/>
          <w:sz w:val="24"/>
        </w:rPr>
        <w:t xml:space="preserve"> </w:t>
      </w:r>
      <w:r>
        <w:rPr>
          <w:color w:val="231F20"/>
          <w:sz w:val="24"/>
        </w:rPr>
        <w:t>forward</w:t>
      </w:r>
      <w:r>
        <w:rPr>
          <w:color w:val="231F20"/>
          <w:spacing w:val="-15"/>
          <w:sz w:val="24"/>
        </w:rPr>
        <w:t xml:space="preserve"> </w:t>
      </w:r>
      <w:r>
        <w:rPr>
          <w:color w:val="231F20"/>
          <w:sz w:val="24"/>
        </w:rPr>
        <w:t>contracts</w:t>
      </w:r>
      <w:r>
        <w:rPr>
          <w:color w:val="231F20"/>
          <w:spacing w:val="-15"/>
          <w:sz w:val="24"/>
        </w:rPr>
        <w:t xml:space="preserve"> </w:t>
      </w:r>
      <w:r>
        <w:rPr>
          <w:color w:val="231F20"/>
          <w:sz w:val="24"/>
        </w:rPr>
        <w:t>match</w:t>
      </w:r>
      <w:r>
        <w:rPr>
          <w:color w:val="231F20"/>
          <w:spacing w:val="-15"/>
          <w:sz w:val="24"/>
        </w:rPr>
        <w:t xml:space="preserve"> </w:t>
      </w:r>
      <w:r>
        <w:rPr>
          <w:color w:val="231F20"/>
          <w:sz w:val="24"/>
        </w:rPr>
        <w:t>the</w:t>
      </w:r>
      <w:r>
        <w:rPr>
          <w:color w:val="231F20"/>
          <w:spacing w:val="-15"/>
          <w:sz w:val="24"/>
        </w:rPr>
        <w:t xml:space="preserve"> </w:t>
      </w:r>
      <w:r>
        <w:rPr>
          <w:color w:val="231F20"/>
          <w:sz w:val="24"/>
        </w:rPr>
        <w:t>terms</w:t>
      </w:r>
      <w:r>
        <w:rPr>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expected highly</w:t>
      </w:r>
      <w:r>
        <w:rPr>
          <w:color w:val="231F20"/>
          <w:spacing w:val="-17"/>
          <w:sz w:val="24"/>
        </w:rPr>
        <w:t xml:space="preserve"> </w:t>
      </w:r>
      <w:r>
        <w:rPr>
          <w:color w:val="231F20"/>
          <w:sz w:val="24"/>
        </w:rPr>
        <w:t>probable</w:t>
      </w:r>
      <w:r>
        <w:rPr>
          <w:color w:val="231F20"/>
          <w:spacing w:val="-17"/>
          <w:sz w:val="24"/>
        </w:rPr>
        <w:t xml:space="preserve"> </w:t>
      </w:r>
      <w:r>
        <w:rPr>
          <w:color w:val="231F20"/>
          <w:sz w:val="24"/>
        </w:rPr>
        <w:t>forecast</w:t>
      </w:r>
      <w:r>
        <w:rPr>
          <w:color w:val="231F20"/>
          <w:spacing w:val="-16"/>
          <w:sz w:val="24"/>
        </w:rPr>
        <w:t xml:space="preserve"> </w:t>
      </w:r>
      <w:r>
        <w:rPr>
          <w:color w:val="231F20"/>
          <w:sz w:val="24"/>
        </w:rPr>
        <w:t>transactions</w:t>
      </w:r>
      <w:r>
        <w:rPr>
          <w:color w:val="231F20"/>
          <w:spacing w:val="-17"/>
          <w:sz w:val="24"/>
        </w:rPr>
        <w:t xml:space="preserve"> </w:t>
      </w:r>
      <w:r>
        <w:rPr>
          <w:color w:val="231F20"/>
          <w:sz w:val="24"/>
        </w:rPr>
        <w:t>(i.e.</w:t>
      </w:r>
      <w:r>
        <w:rPr>
          <w:color w:val="231F20"/>
          <w:spacing w:val="-17"/>
          <w:sz w:val="24"/>
        </w:rPr>
        <w:t xml:space="preserve"> </w:t>
      </w:r>
      <w:r>
        <w:rPr>
          <w:color w:val="231F20"/>
          <w:sz w:val="24"/>
        </w:rPr>
        <w:t>notional</w:t>
      </w:r>
      <w:r>
        <w:rPr>
          <w:color w:val="231F20"/>
          <w:spacing w:val="-17"/>
          <w:sz w:val="24"/>
        </w:rPr>
        <w:t xml:space="preserve"> </w:t>
      </w:r>
      <w:r>
        <w:rPr>
          <w:color w:val="231F20"/>
          <w:sz w:val="24"/>
        </w:rPr>
        <w:t>amount</w:t>
      </w:r>
      <w:r>
        <w:rPr>
          <w:color w:val="231F20"/>
          <w:spacing w:val="-16"/>
          <w:sz w:val="24"/>
        </w:rPr>
        <w:t xml:space="preserve"> </w:t>
      </w:r>
      <w:r>
        <w:rPr>
          <w:color w:val="231F20"/>
          <w:sz w:val="24"/>
        </w:rPr>
        <w:t>and</w:t>
      </w:r>
      <w:r>
        <w:rPr>
          <w:color w:val="231F20"/>
          <w:spacing w:val="-17"/>
          <w:sz w:val="24"/>
        </w:rPr>
        <w:t xml:space="preserve"> </w:t>
      </w:r>
      <w:r>
        <w:rPr>
          <w:color w:val="231F20"/>
          <w:sz w:val="24"/>
        </w:rPr>
        <w:t>expected</w:t>
      </w:r>
      <w:r>
        <w:rPr>
          <w:color w:val="231F20"/>
          <w:spacing w:val="-17"/>
          <w:sz w:val="24"/>
        </w:rPr>
        <w:t xml:space="preserve"> </w:t>
      </w:r>
      <w:r>
        <w:rPr>
          <w:color w:val="231F20"/>
          <w:sz w:val="24"/>
        </w:rPr>
        <w:t>payment</w:t>
      </w:r>
      <w:r>
        <w:rPr>
          <w:color w:val="231F20"/>
          <w:spacing w:val="-16"/>
          <w:sz w:val="24"/>
        </w:rPr>
        <w:t xml:space="preserve"> </w:t>
      </w:r>
      <w:r>
        <w:rPr>
          <w:color w:val="231F20"/>
          <w:sz w:val="24"/>
        </w:rPr>
        <w:t>date);</w:t>
      </w:r>
    </w:p>
    <w:p w14:paraId="74662237" w14:textId="77777777" w:rsidR="00345EE3" w:rsidRDefault="00345EE3">
      <w:pPr>
        <w:pStyle w:val="ListParagraph"/>
        <w:numPr>
          <w:ilvl w:val="0"/>
          <w:numId w:val="32"/>
        </w:numPr>
        <w:tabs>
          <w:tab w:val="left" w:pos="394"/>
        </w:tabs>
        <w:spacing w:line="242" w:lineRule="auto"/>
        <w:ind w:right="381"/>
        <w:rPr>
          <w:sz w:val="24"/>
        </w:rPr>
      </w:pPr>
      <w:r>
        <w:rPr>
          <w:color w:val="231F20"/>
          <w:sz w:val="24"/>
        </w:rPr>
        <w:t>the</w:t>
      </w:r>
      <w:r>
        <w:rPr>
          <w:color w:val="231F20"/>
          <w:spacing w:val="-15"/>
          <w:sz w:val="24"/>
        </w:rPr>
        <w:t xml:space="preserve"> </w:t>
      </w:r>
      <w:r>
        <w:rPr>
          <w:color w:val="231F20"/>
          <w:sz w:val="24"/>
        </w:rPr>
        <w:t>effect</w:t>
      </w:r>
      <w:r>
        <w:rPr>
          <w:color w:val="231F20"/>
          <w:spacing w:val="-15"/>
          <w:sz w:val="24"/>
        </w:rPr>
        <w:t xml:space="preserve"> </w:t>
      </w:r>
      <w:r>
        <w:rPr>
          <w:color w:val="231F20"/>
          <w:sz w:val="24"/>
        </w:rPr>
        <w:t>of</w:t>
      </w:r>
      <w:r>
        <w:rPr>
          <w:color w:val="231F20"/>
          <w:spacing w:val="-15"/>
          <w:sz w:val="24"/>
        </w:rPr>
        <w:t xml:space="preserve"> </w:t>
      </w:r>
      <w:r>
        <w:rPr>
          <w:color w:val="231F20"/>
          <w:sz w:val="24"/>
        </w:rPr>
        <w:t>credit</w:t>
      </w:r>
      <w:r>
        <w:rPr>
          <w:color w:val="231F20"/>
          <w:spacing w:val="-15"/>
          <w:sz w:val="24"/>
        </w:rPr>
        <w:t xml:space="preserve"> </w:t>
      </w:r>
      <w:r>
        <w:rPr>
          <w:color w:val="231F20"/>
          <w:sz w:val="24"/>
        </w:rPr>
        <w:t>risk</w:t>
      </w:r>
      <w:r>
        <w:rPr>
          <w:color w:val="231F20"/>
          <w:spacing w:val="-15"/>
          <w:sz w:val="24"/>
        </w:rPr>
        <w:t xml:space="preserve"> </w:t>
      </w:r>
      <w:r>
        <w:rPr>
          <w:color w:val="231F20"/>
          <w:sz w:val="24"/>
        </w:rPr>
        <w:t>does</w:t>
      </w:r>
      <w:r>
        <w:rPr>
          <w:color w:val="231F20"/>
          <w:spacing w:val="-15"/>
          <w:sz w:val="24"/>
        </w:rPr>
        <w:t xml:space="preserve"> </w:t>
      </w:r>
      <w:r>
        <w:rPr>
          <w:color w:val="231F20"/>
          <w:sz w:val="24"/>
        </w:rPr>
        <w:t>not</w:t>
      </w:r>
      <w:r>
        <w:rPr>
          <w:color w:val="231F20"/>
          <w:spacing w:val="-15"/>
          <w:sz w:val="24"/>
        </w:rPr>
        <w:t xml:space="preserve"> </w:t>
      </w:r>
      <w:r>
        <w:rPr>
          <w:color w:val="231F20"/>
          <w:sz w:val="24"/>
        </w:rPr>
        <w:t>dominate</w:t>
      </w:r>
      <w:r>
        <w:rPr>
          <w:color w:val="231F20"/>
          <w:spacing w:val="-15"/>
          <w:sz w:val="24"/>
        </w:rPr>
        <w:t xml:space="preserve"> </w:t>
      </w:r>
      <w:r>
        <w:rPr>
          <w:color w:val="231F20"/>
          <w:sz w:val="24"/>
        </w:rPr>
        <w:t>the</w:t>
      </w:r>
      <w:r>
        <w:rPr>
          <w:color w:val="231F20"/>
          <w:spacing w:val="-15"/>
          <w:sz w:val="24"/>
        </w:rPr>
        <w:t xml:space="preserve"> </w:t>
      </w:r>
      <w:r>
        <w:rPr>
          <w:color w:val="231F20"/>
          <w:sz w:val="24"/>
        </w:rPr>
        <w:t>value</w:t>
      </w:r>
      <w:r>
        <w:rPr>
          <w:color w:val="231F20"/>
          <w:spacing w:val="-15"/>
          <w:sz w:val="24"/>
        </w:rPr>
        <w:t xml:space="preserve"> </w:t>
      </w:r>
      <w:r>
        <w:rPr>
          <w:color w:val="231F20"/>
          <w:sz w:val="24"/>
        </w:rPr>
        <w:t>changes</w:t>
      </w:r>
      <w:r>
        <w:rPr>
          <w:color w:val="231F20"/>
          <w:spacing w:val="-15"/>
          <w:sz w:val="24"/>
        </w:rPr>
        <w:t xml:space="preserve"> </w:t>
      </w:r>
      <w:r>
        <w:rPr>
          <w:color w:val="231F20"/>
          <w:sz w:val="24"/>
        </w:rPr>
        <w:t>that</w:t>
      </w:r>
      <w:r>
        <w:rPr>
          <w:color w:val="231F20"/>
          <w:spacing w:val="-15"/>
          <w:sz w:val="24"/>
        </w:rPr>
        <w:t xml:space="preserve"> </w:t>
      </w:r>
      <w:r>
        <w:rPr>
          <w:color w:val="231F20"/>
          <w:sz w:val="24"/>
        </w:rPr>
        <w:t>result</w:t>
      </w:r>
      <w:r>
        <w:rPr>
          <w:color w:val="231F20"/>
          <w:spacing w:val="-15"/>
          <w:sz w:val="24"/>
        </w:rPr>
        <w:t xml:space="preserve"> </w:t>
      </w:r>
      <w:r>
        <w:rPr>
          <w:color w:val="231F20"/>
          <w:sz w:val="24"/>
        </w:rPr>
        <w:t>from</w:t>
      </w:r>
      <w:r>
        <w:rPr>
          <w:color w:val="231F20"/>
          <w:spacing w:val="-15"/>
          <w:sz w:val="24"/>
        </w:rPr>
        <w:t xml:space="preserve"> </w:t>
      </w:r>
      <w:r>
        <w:rPr>
          <w:color w:val="231F20"/>
          <w:sz w:val="24"/>
        </w:rPr>
        <w:t>that</w:t>
      </w:r>
      <w:r>
        <w:rPr>
          <w:color w:val="231F20"/>
          <w:spacing w:val="-15"/>
          <w:sz w:val="24"/>
        </w:rPr>
        <w:t xml:space="preserve"> </w:t>
      </w:r>
      <w:r>
        <w:rPr>
          <w:color w:val="231F20"/>
          <w:sz w:val="24"/>
        </w:rPr>
        <w:t xml:space="preserve">economic </w:t>
      </w:r>
      <w:r>
        <w:rPr>
          <w:color w:val="231F20"/>
          <w:spacing w:val="-4"/>
          <w:sz w:val="24"/>
        </w:rPr>
        <w:t>relationship as the hedging instruments have been transacted with highly creditworthy entities,</w:t>
      </w:r>
    </w:p>
    <w:p w14:paraId="0D3B9FD4" w14:textId="77777777" w:rsidR="00345EE3" w:rsidRDefault="00345EE3" w:rsidP="00345EE3">
      <w:pPr>
        <w:pStyle w:val="BodyText"/>
        <w:spacing w:before="62"/>
        <w:ind w:left="393"/>
      </w:pPr>
      <w:r>
        <w:rPr>
          <w:color w:val="231F20"/>
          <w:spacing w:val="-4"/>
        </w:rPr>
        <w:t>with</w:t>
      </w:r>
      <w:r>
        <w:rPr>
          <w:color w:val="231F20"/>
          <w:spacing w:val="-6"/>
        </w:rPr>
        <w:t xml:space="preserve"> </w:t>
      </w:r>
      <w:r>
        <w:rPr>
          <w:color w:val="231F20"/>
          <w:spacing w:val="-4"/>
        </w:rPr>
        <w:t xml:space="preserve">minimal expected changes in credit risk; </w:t>
      </w:r>
      <w:r>
        <w:rPr>
          <w:color w:val="231F20"/>
          <w:spacing w:val="-5"/>
        </w:rPr>
        <w:t>and</w:t>
      </w:r>
    </w:p>
    <w:p w14:paraId="436F47A1" w14:textId="77777777" w:rsidR="00345EE3" w:rsidRDefault="00345EE3">
      <w:pPr>
        <w:pStyle w:val="ListParagraph"/>
        <w:numPr>
          <w:ilvl w:val="0"/>
          <w:numId w:val="32"/>
        </w:numPr>
        <w:tabs>
          <w:tab w:val="left" w:pos="394"/>
        </w:tabs>
        <w:spacing w:line="242" w:lineRule="auto"/>
        <w:ind w:right="242"/>
        <w:rPr>
          <w:sz w:val="24"/>
        </w:rPr>
      </w:pPr>
      <w:r>
        <w:rPr>
          <w:color w:val="231F20"/>
          <w:spacing w:val="-2"/>
          <w:sz w:val="24"/>
        </w:rPr>
        <w:t>the</w:t>
      </w:r>
      <w:r>
        <w:rPr>
          <w:color w:val="231F20"/>
          <w:spacing w:val="-14"/>
          <w:sz w:val="24"/>
        </w:rPr>
        <w:t xml:space="preserve"> </w:t>
      </w:r>
      <w:r>
        <w:rPr>
          <w:color w:val="231F20"/>
          <w:spacing w:val="-2"/>
          <w:sz w:val="24"/>
        </w:rPr>
        <w:t>hedge</w:t>
      </w:r>
      <w:r>
        <w:rPr>
          <w:color w:val="231F20"/>
          <w:spacing w:val="-14"/>
          <w:sz w:val="24"/>
        </w:rPr>
        <w:t xml:space="preserve"> </w:t>
      </w:r>
      <w:r>
        <w:rPr>
          <w:color w:val="231F20"/>
          <w:spacing w:val="-2"/>
          <w:sz w:val="24"/>
        </w:rPr>
        <w:t>ratio</w:t>
      </w:r>
      <w:r>
        <w:rPr>
          <w:color w:val="231F20"/>
          <w:spacing w:val="-14"/>
          <w:sz w:val="24"/>
        </w:rPr>
        <w:t xml:space="preserve"> </w:t>
      </w:r>
      <w:r>
        <w:rPr>
          <w:color w:val="231F20"/>
          <w:spacing w:val="-2"/>
          <w:sz w:val="24"/>
        </w:rPr>
        <w:t>of</w:t>
      </w:r>
      <w:r>
        <w:rPr>
          <w:color w:val="231F20"/>
          <w:spacing w:val="-14"/>
          <w:sz w:val="24"/>
        </w:rPr>
        <w:t xml:space="preserve"> </w:t>
      </w:r>
      <w:r>
        <w:rPr>
          <w:color w:val="231F20"/>
          <w:spacing w:val="-2"/>
          <w:sz w:val="24"/>
        </w:rPr>
        <w:t>1:1</w:t>
      </w:r>
      <w:r>
        <w:rPr>
          <w:color w:val="231F20"/>
          <w:spacing w:val="-14"/>
          <w:sz w:val="24"/>
        </w:rPr>
        <w:t xml:space="preserve"> </w:t>
      </w:r>
      <w:r>
        <w:rPr>
          <w:color w:val="231F20"/>
          <w:spacing w:val="-2"/>
          <w:sz w:val="24"/>
        </w:rPr>
        <w:t>for</w:t>
      </w:r>
      <w:r>
        <w:rPr>
          <w:color w:val="231F20"/>
          <w:spacing w:val="-14"/>
          <w:sz w:val="24"/>
        </w:rPr>
        <w:t xml:space="preserve"> </w:t>
      </w:r>
      <w:r>
        <w:rPr>
          <w:color w:val="231F20"/>
          <w:spacing w:val="-2"/>
          <w:sz w:val="24"/>
        </w:rPr>
        <w:t>the</w:t>
      </w:r>
      <w:r>
        <w:rPr>
          <w:color w:val="231F20"/>
          <w:spacing w:val="-14"/>
          <w:sz w:val="24"/>
        </w:rPr>
        <w:t xml:space="preserve"> </w:t>
      </w:r>
      <w:r>
        <w:rPr>
          <w:color w:val="231F20"/>
          <w:spacing w:val="-2"/>
          <w:sz w:val="24"/>
        </w:rPr>
        <w:t>hedging</w:t>
      </w:r>
      <w:r>
        <w:rPr>
          <w:color w:val="231F20"/>
          <w:spacing w:val="-14"/>
          <w:sz w:val="24"/>
        </w:rPr>
        <w:t xml:space="preserve"> </w:t>
      </w:r>
      <w:r>
        <w:rPr>
          <w:color w:val="231F20"/>
          <w:spacing w:val="-2"/>
          <w:sz w:val="24"/>
        </w:rPr>
        <w:t>relationship</w:t>
      </w:r>
      <w:r>
        <w:rPr>
          <w:color w:val="231F20"/>
          <w:spacing w:val="-14"/>
          <w:sz w:val="24"/>
        </w:rPr>
        <w:t xml:space="preserve"> </w:t>
      </w:r>
      <w:r>
        <w:rPr>
          <w:color w:val="231F20"/>
          <w:spacing w:val="-2"/>
          <w:sz w:val="24"/>
        </w:rPr>
        <w:t>as</w:t>
      </w:r>
      <w:r>
        <w:rPr>
          <w:color w:val="231F20"/>
          <w:spacing w:val="-14"/>
          <w:sz w:val="24"/>
        </w:rPr>
        <w:t xml:space="preserve"> </w:t>
      </w:r>
      <w:r>
        <w:rPr>
          <w:color w:val="231F20"/>
          <w:spacing w:val="-2"/>
          <w:sz w:val="24"/>
        </w:rPr>
        <w:t>the</w:t>
      </w:r>
      <w:r>
        <w:rPr>
          <w:color w:val="231F20"/>
          <w:spacing w:val="-14"/>
          <w:sz w:val="24"/>
        </w:rPr>
        <w:t xml:space="preserve"> </w:t>
      </w:r>
      <w:r>
        <w:rPr>
          <w:color w:val="231F20"/>
          <w:spacing w:val="-2"/>
          <w:sz w:val="24"/>
        </w:rPr>
        <w:t>underlying</w:t>
      </w:r>
      <w:r>
        <w:rPr>
          <w:color w:val="231F20"/>
          <w:spacing w:val="-14"/>
          <w:sz w:val="24"/>
        </w:rPr>
        <w:t xml:space="preserve"> </w:t>
      </w:r>
      <w:r>
        <w:rPr>
          <w:color w:val="231F20"/>
          <w:spacing w:val="-2"/>
          <w:sz w:val="24"/>
        </w:rPr>
        <w:t>risk</w:t>
      </w:r>
      <w:r>
        <w:rPr>
          <w:color w:val="231F20"/>
          <w:spacing w:val="-14"/>
          <w:sz w:val="24"/>
        </w:rPr>
        <w:t xml:space="preserve"> </w:t>
      </w:r>
      <w:r>
        <w:rPr>
          <w:color w:val="231F20"/>
          <w:spacing w:val="-2"/>
          <w:sz w:val="24"/>
        </w:rPr>
        <w:t>of</w:t>
      </w:r>
      <w:r>
        <w:rPr>
          <w:color w:val="231F20"/>
          <w:spacing w:val="-14"/>
          <w:sz w:val="24"/>
        </w:rPr>
        <w:t xml:space="preserve"> </w:t>
      </w:r>
      <w:r>
        <w:rPr>
          <w:color w:val="231F20"/>
          <w:spacing w:val="-2"/>
          <w:sz w:val="24"/>
        </w:rPr>
        <w:t>the</w:t>
      </w:r>
      <w:r>
        <w:rPr>
          <w:color w:val="231F20"/>
          <w:spacing w:val="-14"/>
          <w:sz w:val="24"/>
        </w:rPr>
        <w:t xml:space="preserve"> </w:t>
      </w:r>
      <w:r>
        <w:rPr>
          <w:color w:val="231F20"/>
          <w:spacing w:val="-2"/>
          <w:sz w:val="24"/>
        </w:rPr>
        <w:t>foreign</w:t>
      </w:r>
      <w:r>
        <w:rPr>
          <w:color w:val="231F20"/>
          <w:spacing w:val="-14"/>
          <w:sz w:val="24"/>
        </w:rPr>
        <w:t xml:space="preserve"> </w:t>
      </w:r>
      <w:r>
        <w:rPr>
          <w:color w:val="231F20"/>
          <w:spacing w:val="-2"/>
          <w:sz w:val="24"/>
        </w:rPr>
        <w:t xml:space="preserve">exchange </w:t>
      </w:r>
      <w:r>
        <w:rPr>
          <w:color w:val="231F20"/>
          <w:sz w:val="24"/>
        </w:rPr>
        <w:t>contracts</w:t>
      </w:r>
      <w:r>
        <w:rPr>
          <w:color w:val="231F20"/>
          <w:spacing w:val="-9"/>
          <w:sz w:val="24"/>
        </w:rPr>
        <w:t xml:space="preserve"> </w:t>
      </w:r>
      <w:r>
        <w:rPr>
          <w:color w:val="231F20"/>
          <w:sz w:val="24"/>
        </w:rPr>
        <w:t>are</w:t>
      </w:r>
      <w:r>
        <w:rPr>
          <w:color w:val="231F20"/>
          <w:spacing w:val="-9"/>
          <w:sz w:val="24"/>
        </w:rPr>
        <w:t xml:space="preserve"> </w:t>
      </w:r>
      <w:r>
        <w:rPr>
          <w:color w:val="231F20"/>
          <w:sz w:val="24"/>
        </w:rPr>
        <w:t>identical</w:t>
      </w:r>
      <w:r>
        <w:rPr>
          <w:color w:val="231F20"/>
          <w:spacing w:val="-9"/>
          <w:sz w:val="24"/>
        </w:rPr>
        <w:t xml:space="preserve"> </w:t>
      </w:r>
      <w:r>
        <w:rPr>
          <w:color w:val="231F20"/>
          <w:sz w:val="24"/>
        </w:rPr>
        <w:t>to</w:t>
      </w:r>
      <w:r>
        <w:rPr>
          <w:color w:val="231F20"/>
          <w:spacing w:val="-9"/>
          <w:sz w:val="24"/>
        </w:rPr>
        <w:t xml:space="preserve"> </w:t>
      </w:r>
      <w:r>
        <w:rPr>
          <w:color w:val="231F20"/>
          <w:sz w:val="24"/>
        </w:rPr>
        <w:t>the</w:t>
      </w:r>
      <w:r>
        <w:rPr>
          <w:color w:val="231F20"/>
          <w:spacing w:val="-9"/>
          <w:sz w:val="24"/>
        </w:rPr>
        <w:t xml:space="preserve"> </w:t>
      </w:r>
      <w:r>
        <w:rPr>
          <w:color w:val="231F20"/>
          <w:sz w:val="24"/>
        </w:rPr>
        <w:t>hedged</w:t>
      </w:r>
      <w:r>
        <w:rPr>
          <w:color w:val="231F20"/>
          <w:spacing w:val="-9"/>
          <w:sz w:val="24"/>
        </w:rPr>
        <w:t xml:space="preserve"> </w:t>
      </w:r>
      <w:r>
        <w:rPr>
          <w:color w:val="231F20"/>
          <w:sz w:val="24"/>
        </w:rPr>
        <w:t>risk</w:t>
      </w:r>
      <w:r>
        <w:rPr>
          <w:color w:val="231F20"/>
          <w:spacing w:val="-9"/>
          <w:sz w:val="24"/>
        </w:rPr>
        <w:t xml:space="preserve"> </w:t>
      </w:r>
      <w:r>
        <w:rPr>
          <w:color w:val="231F20"/>
          <w:sz w:val="24"/>
        </w:rPr>
        <w:t>components.</w:t>
      </w:r>
    </w:p>
    <w:p w14:paraId="1F1BCD7F" w14:textId="77777777" w:rsidR="00345EE3" w:rsidRDefault="00345EE3" w:rsidP="00345EE3">
      <w:pPr>
        <w:pStyle w:val="BodyText"/>
        <w:spacing w:before="116" w:line="242" w:lineRule="auto"/>
      </w:pPr>
      <w:r>
        <w:rPr>
          <w:color w:val="231F20"/>
        </w:rPr>
        <w:t>Victoria</w:t>
      </w:r>
      <w:r>
        <w:rPr>
          <w:color w:val="231F20"/>
          <w:spacing w:val="-10"/>
        </w:rPr>
        <w:t xml:space="preserve"> </w:t>
      </w:r>
      <w:r>
        <w:rPr>
          <w:color w:val="231F20"/>
        </w:rPr>
        <w:t>Police</w:t>
      </w:r>
      <w:r>
        <w:rPr>
          <w:color w:val="231F20"/>
          <w:spacing w:val="-10"/>
        </w:rPr>
        <w:t xml:space="preserve"> </w:t>
      </w:r>
      <w:r>
        <w:rPr>
          <w:color w:val="231F20"/>
        </w:rPr>
        <w:t>will</w:t>
      </w:r>
      <w:r>
        <w:rPr>
          <w:color w:val="231F20"/>
          <w:spacing w:val="-10"/>
        </w:rPr>
        <w:t xml:space="preserve"> </w:t>
      </w:r>
      <w:r>
        <w:rPr>
          <w:color w:val="231F20"/>
        </w:rPr>
        <w:t>use</w:t>
      </w:r>
      <w:r>
        <w:rPr>
          <w:color w:val="231F20"/>
          <w:spacing w:val="-10"/>
        </w:rPr>
        <w:t xml:space="preserve"> </w:t>
      </w:r>
      <w:r>
        <w:rPr>
          <w:color w:val="231F20"/>
        </w:rPr>
        <w:t>the</w:t>
      </w:r>
      <w:r>
        <w:rPr>
          <w:color w:val="231F20"/>
          <w:spacing w:val="-10"/>
        </w:rPr>
        <w:t xml:space="preserve"> </w:t>
      </w:r>
      <w:r>
        <w:rPr>
          <w:color w:val="231F20"/>
        </w:rPr>
        <w:t>cumulative</w:t>
      </w:r>
      <w:r>
        <w:rPr>
          <w:color w:val="231F20"/>
          <w:spacing w:val="-10"/>
        </w:rPr>
        <w:t xml:space="preserve"> </w:t>
      </w:r>
      <w:r>
        <w:rPr>
          <w:color w:val="231F20"/>
        </w:rPr>
        <w:t>dollar</w:t>
      </w:r>
      <w:r>
        <w:rPr>
          <w:color w:val="231F20"/>
          <w:spacing w:val="-9"/>
        </w:rPr>
        <w:t xml:space="preserve"> </w:t>
      </w:r>
      <w:r>
        <w:rPr>
          <w:color w:val="231F20"/>
        </w:rPr>
        <w:t>offset</w:t>
      </w:r>
      <w:r>
        <w:rPr>
          <w:color w:val="231F20"/>
          <w:spacing w:val="-9"/>
        </w:rPr>
        <w:t xml:space="preserve"> </w:t>
      </w:r>
      <w:r>
        <w:rPr>
          <w:color w:val="231F20"/>
        </w:rPr>
        <w:t>test</w:t>
      </w:r>
      <w:r>
        <w:rPr>
          <w:color w:val="231F20"/>
          <w:spacing w:val="-9"/>
        </w:rPr>
        <w:t xml:space="preserve"> </w:t>
      </w:r>
      <w:r>
        <w:rPr>
          <w:color w:val="231F20"/>
        </w:rPr>
        <w:t>utilising</w:t>
      </w:r>
      <w:r>
        <w:rPr>
          <w:color w:val="231F20"/>
          <w:spacing w:val="-10"/>
        </w:rPr>
        <w:t xml:space="preserve"> </w:t>
      </w:r>
      <w:r>
        <w:rPr>
          <w:color w:val="231F20"/>
        </w:rPr>
        <w:t>the</w:t>
      </w:r>
      <w:r>
        <w:rPr>
          <w:color w:val="231F20"/>
          <w:spacing w:val="-10"/>
        </w:rPr>
        <w:t xml:space="preserve"> </w:t>
      </w:r>
      <w:r>
        <w:rPr>
          <w:color w:val="231F20"/>
        </w:rPr>
        <w:t>perfect</w:t>
      </w:r>
      <w:r>
        <w:rPr>
          <w:color w:val="231F20"/>
          <w:spacing w:val="-9"/>
        </w:rPr>
        <w:t xml:space="preserve"> </w:t>
      </w:r>
      <w:r>
        <w:rPr>
          <w:color w:val="231F20"/>
        </w:rPr>
        <w:t>hypothetical</w:t>
      </w:r>
      <w:r>
        <w:rPr>
          <w:color w:val="231F20"/>
          <w:spacing w:val="-10"/>
        </w:rPr>
        <w:t xml:space="preserve"> </w:t>
      </w:r>
      <w:r>
        <w:rPr>
          <w:color w:val="231F20"/>
        </w:rPr>
        <w:t>derivative (outlined below) to determine if any hedge ineffectiveness is to be recognised in profit and loss.</w:t>
      </w:r>
    </w:p>
    <w:p w14:paraId="08A74B18" w14:textId="77777777" w:rsidR="00345EE3" w:rsidRDefault="00345EE3" w:rsidP="00345EE3">
      <w:pPr>
        <w:pStyle w:val="BodyText"/>
        <w:spacing w:before="116" w:line="242" w:lineRule="auto"/>
      </w:pPr>
      <w:r>
        <w:rPr>
          <w:color w:val="231F20"/>
        </w:rPr>
        <w:t>The portion of the gain or loss on the hedging instrument that is determined to be an effective hedge</w:t>
      </w:r>
      <w:r>
        <w:rPr>
          <w:color w:val="231F20"/>
          <w:spacing w:val="-10"/>
        </w:rPr>
        <w:t xml:space="preserve"> </w:t>
      </w:r>
      <w:r>
        <w:rPr>
          <w:color w:val="231F20"/>
        </w:rPr>
        <w:t>(using</w:t>
      </w:r>
      <w:r>
        <w:rPr>
          <w:color w:val="231F20"/>
          <w:spacing w:val="-10"/>
        </w:rPr>
        <w:t xml:space="preserve"> </w:t>
      </w:r>
      <w:r>
        <w:rPr>
          <w:color w:val="231F20"/>
        </w:rPr>
        <w:t>the</w:t>
      </w:r>
      <w:r>
        <w:rPr>
          <w:color w:val="231F20"/>
          <w:spacing w:val="-10"/>
        </w:rPr>
        <w:t xml:space="preserve"> </w:t>
      </w:r>
      <w:r>
        <w:rPr>
          <w:color w:val="231F20"/>
        </w:rPr>
        <w:t>‘lower</w:t>
      </w:r>
      <w:r>
        <w:rPr>
          <w:color w:val="231F20"/>
          <w:spacing w:val="-9"/>
        </w:rPr>
        <w:t xml:space="preserve"> </w:t>
      </w:r>
      <w:r>
        <w:rPr>
          <w:color w:val="231F20"/>
        </w:rPr>
        <w:t>of’</w:t>
      </w:r>
      <w:r>
        <w:rPr>
          <w:color w:val="231F20"/>
          <w:spacing w:val="-10"/>
        </w:rPr>
        <w:t xml:space="preserve"> </w:t>
      </w:r>
      <w:r>
        <w:rPr>
          <w:color w:val="231F20"/>
        </w:rPr>
        <w:t>test)</w:t>
      </w:r>
      <w:r>
        <w:rPr>
          <w:color w:val="231F20"/>
          <w:spacing w:val="-9"/>
        </w:rPr>
        <w:t xml:space="preserve"> </w:t>
      </w:r>
      <w:r>
        <w:rPr>
          <w:color w:val="231F20"/>
        </w:rPr>
        <w:t>shall</w:t>
      </w:r>
      <w:r>
        <w:rPr>
          <w:color w:val="231F20"/>
          <w:spacing w:val="-10"/>
        </w:rPr>
        <w:t xml:space="preserve"> </w:t>
      </w:r>
      <w:r>
        <w:rPr>
          <w:color w:val="231F20"/>
        </w:rPr>
        <w:t>be</w:t>
      </w:r>
      <w:r>
        <w:rPr>
          <w:color w:val="231F20"/>
          <w:spacing w:val="-10"/>
        </w:rPr>
        <w:t xml:space="preserve"> </w:t>
      </w:r>
      <w:r>
        <w:rPr>
          <w:color w:val="231F20"/>
        </w:rPr>
        <w:t>recognised</w:t>
      </w:r>
      <w:r>
        <w:rPr>
          <w:color w:val="231F20"/>
          <w:spacing w:val="-10"/>
        </w:rPr>
        <w:t xml:space="preserve"> </w:t>
      </w:r>
      <w:r>
        <w:rPr>
          <w:color w:val="231F20"/>
        </w:rPr>
        <w:t>in</w:t>
      </w:r>
      <w:r>
        <w:rPr>
          <w:color w:val="231F20"/>
          <w:spacing w:val="-10"/>
        </w:rPr>
        <w:t xml:space="preserve"> </w:t>
      </w:r>
      <w:r>
        <w:rPr>
          <w:color w:val="231F20"/>
        </w:rPr>
        <w:t>other</w:t>
      </w:r>
      <w:r>
        <w:rPr>
          <w:color w:val="231F20"/>
          <w:spacing w:val="-9"/>
        </w:rPr>
        <w:t xml:space="preserve"> </w:t>
      </w:r>
      <w:r>
        <w:rPr>
          <w:color w:val="231F20"/>
        </w:rPr>
        <w:t>comprehensive</w:t>
      </w:r>
      <w:r>
        <w:rPr>
          <w:color w:val="231F20"/>
          <w:spacing w:val="-10"/>
        </w:rPr>
        <w:t xml:space="preserve"> </w:t>
      </w:r>
      <w:r>
        <w:rPr>
          <w:color w:val="231F20"/>
        </w:rPr>
        <w:t>income</w:t>
      </w:r>
      <w:r>
        <w:rPr>
          <w:color w:val="231F20"/>
          <w:spacing w:val="-10"/>
        </w:rPr>
        <w:t xml:space="preserve"> </w:t>
      </w:r>
      <w:r>
        <w:rPr>
          <w:color w:val="231F20"/>
        </w:rPr>
        <w:t>and</w:t>
      </w:r>
      <w:r>
        <w:rPr>
          <w:color w:val="231F20"/>
          <w:spacing w:val="-10"/>
        </w:rPr>
        <w:t xml:space="preserve"> </w:t>
      </w:r>
      <w:r>
        <w:rPr>
          <w:color w:val="231F20"/>
        </w:rPr>
        <w:t>deferred in cash flow hedge reserve in equity. The portion of the gain or loss on the hedging instrument that is determined to be ineffective is immediately recognised in profit or loss.</w:t>
      </w:r>
    </w:p>
    <w:p w14:paraId="14F895EA" w14:textId="77777777" w:rsidR="00345EE3" w:rsidRDefault="00345EE3" w:rsidP="00345EE3">
      <w:pPr>
        <w:pStyle w:val="BodyText"/>
        <w:spacing w:before="119" w:line="242" w:lineRule="auto"/>
        <w:ind w:right="187"/>
      </w:pPr>
      <w:r>
        <w:rPr>
          <w:color w:val="231F20"/>
        </w:rPr>
        <w:t>The hedged item in the derivative financial instruments relates to a highly probable monthly USD cash outflows identified in the Rotary Wing Aircraft Supply and Support Agreement (Agreement) which is for a term of 10 years commenced in 2020–21. The assessment of a highly</w:t>
      </w:r>
      <w:r>
        <w:rPr>
          <w:color w:val="231F20"/>
          <w:spacing w:val="-2"/>
        </w:rPr>
        <w:t xml:space="preserve"> </w:t>
      </w:r>
      <w:r>
        <w:rPr>
          <w:color w:val="231F20"/>
        </w:rPr>
        <w:t>probable</w:t>
      </w:r>
      <w:r>
        <w:rPr>
          <w:color w:val="231F20"/>
          <w:spacing w:val="-3"/>
        </w:rPr>
        <w:t xml:space="preserve"> </w:t>
      </w:r>
      <w:r>
        <w:rPr>
          <w:color w:val="231F20"/>
        </w:rPr>
        <w:t>USD</w:t>
      </w:r>
      <w:r>
        <w:rPr>
          <w:color w:val="231F20"/>
          <w:spacing w:val="-2"/>
        </w:rPr>
        <w:t xml:space="preserve"> </w:t>
      </w:r>
      <w:r>
        <w:rPr>
          <w:color w:val="231F20"/>
        </w:rPr>
        <w:t>cash</w:t>
      </w:r>
      <w:r>
        <w:rPr>
          <w:color w:val="231F20"/>
          <w:spacing w:val="-3"/>
        </w:rPr>
        <w:t xml:space="preserve"> </w:t>
      </w:r>
      <w:r>
        <w:rPr>
          <w:color w:val="231F20"/>
        </w:rPr>
        <w:t>outflow</w:t>
      </w:r>
      <w:r>
        <w:rPr>
          <w:color w:val="231F20"/>
          <w:spacing w:val="-3"/>
        </w:rPr>
        <w:t xml:space="preserve"> </w:t>
      </w:r>
      <w:r>
        <w:rPr>
          <w:color w:val="231F20"/>
        </w:rPr>
        <w:t>has</w:t>
      </w:r>
      <w:r>
        <w:rPr>
          <w:color w:val="231F20"/>
          <w:spacing w:val="-2"/>
        </w:rPr>
        <w:t xml:space="preserve"> </w:t>
      </w:r>
      <w:r>
        <w:rPr>
          <w:color w:val="231F20"/>
        </w:rPr>
        <w:t>been</w:t>
      </w:r>
      <w:r>
        <w:rPr>
          <w:color w:val="231F20"/>
          <w:spacing w:val="-3"/>
        </w:rPr>
        <w:t xml:space="preserve"> </w:t>
      </w:r>
      <w:r>
        <w:rPr>
          <w:color w:val="231F20"/>
        </w:rPr>
        <w:t>undertaken</w:t>
      </w:r>
      <w:r>
        <w:rPr>
          <w:color w:val="231F20"/>
          <w:spacing w:val="-3"/>
        </w:rPr>
        <w:t xml:space="preserve"> </w:t>
      </w:r>
      <w:r>
        <w:rPr>
          <w:color w:val="231F20"/>
        </w:rPr>
        <w:t>through</w:t>
      </w:r>
      <w:r>
        <w:rPr>
          <w:color w:val="231F20"/>
          <w:spacing w:val="-3"/>
        </w:rPr>
        <w:t xml:space="preserve"> </w:t>
      </w:r>
      <w:r>
        <w:rPr>
          <w:color w:val="231F20"/>
        </w:rPr>
        <w:t>an</w:t>
      </w:r>
      <w:r>
        <w:rPr>
          <w:color w:val="231F20"/>
          <w:spacing w:val="-3"/>
        </w:rPr>
        <w:t xml:space="preserve"> </w:t>
      </w:r>
      <w:r>
        <w:rPr>
          <w:color w:val="231F20"/>
        </w:rPr>
        <w:t>analysis</w:t>
      </w:r>
      <w:r>
        <w:rPr>
          <w:color w:val="231F20"/>
          <w:spacing w:val="-2"/>
        </w:rPr>
        <w:t xml:space="preserve"> </w:t>
      </w:r>
      <w:r>
        <w:rPr>
          <w:color w:val="231F20"/>
        </w:rPr>
        <w:t>of</w:t>
      </w:r>
      <w:r>
        <w:rPr>
          <w:color w:val="231F20"/>
          <w:spacing w:val="-2"/>
        </w:rPr>
        <w:t xml:space="preserve"> </w:t>
      </w:r>
      <w:r>
        <w:rPr>
          <w:color w:val="231F20"/>
        </w:rPr>
        <w:t>flying</w:t>
      </w:r>
      <w:r>
        <w:rPr>
          <w:color w:val="231F20"/>
          <w:spacing w:val="-3"/>
        </w:rPr>
        <w:t xml:space="preserve"> </w:t>
      </w:r>
      <w:r>
        <w:rPr>
          <w:color w:val="231F20"/>
        </w:rPr>
        <w:t>hours</w:t>
      </w:r>
      <w:r>
        <w:rPr>
          <w:color w:val="231F20"/>
          <w:spacing w:val="-2"/>
        </w:rPr>
        <w:t xml:space="preserve"> </w:t>
      </w:r>
      <w:r>
        <w:rPr>
          <w:color w:val="231F20"/>
        </w:rPr>
        <w:t>that will</w:t>
      </w:r>
      <w:r>
        <w:rPr>
          <w:color w:val="231F20"/>
          <w:spacing w:val="-7"/>
        </w:rPr>
        <w:t xml:space="preserve"> </w:t>
      </w:r>
      <w:r>
        <w:rPr>
          <w:color w:val="231F20"/>
        </w:rPr>
        <w:t>be</w:t>
      </w:r>
      <w:r>
        <w:rPr>
          <w:color w:val="231F20"/>
          <w:spacing w:val="-7"/>
        </w:rPr>
        <w:t xml:space="preserve"> </w:t>
      </w:r>
      <w:r>
        <w:rPr>
          <w:color w:val="231F20"/>
        </w:rPr>
        <w:t>undertaken</w:t>
      </w:r>
      <w:r>
        <w:rPr>
          <w:color w:val="231F20"/>
          <w:spacing w:val="-7"/>
        </w:rPr>
        <w:t xml:space="preserve"> </w:t>
      </w:r>
      <w:r>
        <w:rPr>
          <w:color w:val="231F20"/>
        </w:rPr>
        <w:t>during</w:t>
      </w:r>
      <w:r>
        <w:rPr>
          <w:color w:val="231F20"/>
          <w:spacing w:val="-7"/>
        </w:rPr>
        <w:t xml:space="preserve"> </w:t>
      </w:r>
      <w:r>
        <w:rPr>
          <w:color w:val="231F20"/>
        </w:rPr>
        <w:t>the</w:t>
      </w:r>
      <w:r>
        <w:rPr>
          <w:color w:val="231F20"/>
          <w:spacing w:val="-7"/>
        </w:rPr>
        <w:t xml:space="preserve"> </w:t>
      </w:r>
      <w:r>
        <w:rPr>
          <w:color w:val="231F20"/>
        </w:rPr>
        <w:t>term</w:t>
      </w:r>
      <w:r>
        <w:rPr>
          <w:color w:val="231F20"/>
          <w:spacing w:val="-6"/>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Agreement.</w:t>
      </w:r>
      <w:r>
        <w:rPr>
          <w:color w:val="231F20"/>
          <w:spacing w:val="-6"/>
        </w:rPr>
        <w:t xml:space="preserve"> </w:t>
      </w:r>
      <w:r>
        <w:rPr>
          <w:color w:val="231F20"/>
        </w:rPr>
        <w:t>The</w:t>
      </w:r>
      <w:r>
        <w:rPr>
          <w:color w:val="231F20"/>
          <w:spacing w:val="-7"/>
        </w:rPr>
        <w:t xml:space="preserve"> </w:t>
      </w:r>
      <w:r>
        <w:rPr>
          <w:color w:val="231F20"/>
        </w:rPr>
        <w:t>risk</w:t>
      </w:r>
      <w:r>
        <w:rPr>
          <w:color w:val="231F20"/>
          <w:spacing w:val="-6"/>
        </w:rPr>
        <w:t xml:space="preserve"> </w:t>
      </w:r>
      <w:r>
        <w:rPr>
          <w:color w:val="231F20"/>
        </w:rPr>
        <w:t>that</w:t>
      </w:r>
      <w:r>
        <w:rPr>
          <w:color w:val="231F20"/>
          <w:spacing w:val="-6"/>
        </w:rPr>
        <w:t xml:space="preserve"> </w:t>
      </w:r>
      <w:r>
        <w:rPr>
          <w:color w:val="231F20"/>
        </w:rPr>
        <w:t>is</w:t>
      </w:r>
      <w:r>
        <w:rPr>
          <w:color w:val="231F20"/>
          <w:spacing w:val="-6"/>
        </w:rPr>
        <w:t xml:space="preserve"> </w:t>
      </w:r>
      <w:r>
        <w:rPr>
          <w:color w:val="231F20"/>
        </w:rPr>
        <w:t>being</w:t>
      </w:r>
      <w:r>
        <w:rPr>
          <w:color w:val="231F20"/>
          <w:spacing w:val="-7"/>
        </w:rPr>
        <w:t xml:space="preserve"> </w:t>
      </w:r>
      <w:r>
        <w:rPr>
          <w:color w:val="231F20"/>
        </w:rPr>
        <w:t>hedged</w:t>
      </w:r>
      <w:r>
        <w:rPr>
          <w:color w:val="231F20"/>
          <w:spacing w:val="-7"/>
        </w:rPr>
        <w:t xml:space="preserve"> </w:t>
      </w:r>
      <w:r>
        <w:rPr>
          <w:color w:val="231F20"/>
        </w:rPr>
        <w:t>is</w:t>
      </w:r>
      <w:r>
        <w:rPr>
          <w:color w:val="231F20"/>
          <w:spacing w:val="-6"/>
        </w:rPr>
        <w:t xml:space="preserve"> </w:t>
      </w:r>
      <w:r>
        <w:rPr>
          <w:color w:val="231F20"/>
        </w:rPr>
        <w:t>the</w:t>
      </w:r>
      <w:r>
        <w:rPr>
          <w:color w:val="231F20"/>
          <w:spacing w:val="-7"/>
        </w:rPr>
        <w:t xml:space="preserve"> </w:t>
      </w:r>
      <w:r>
        <w:rPr>
          <w:color w:val="231F20"/>
        </w:rPr>
        <w:t>foreign currency exposure as the payments are made in USD.</w:t>
      </w:r>
    </w:p>
    <w:p w14:paraId="1F9BDC58" w14:textId="77777777" w:rsidR="00345EE3" w:rsidRDefault="00345EE3" w:rsidP="00345EE3">
      <w:pPr>
        <w:pStyle w:val="BodyText"/>
        <w:spacing w:before="121"/>
      </w:pPr>
      <w:r>
        <w:rPr>
          <w:color w:val="231F20"/>
        </w:rPr>
        <w:t>The</w:t>
      </w:r>
      <w:r>
        <w:rPr>
          <w:color w:val="231F20"/>
          <w:spacing w:val="-7"/>
        </w:rPr>
        <w:t xml:space="preserve"> </w:t>
      </w:r>
      <w:r>
        <w:rPr>
          <w:color w:val="231F20"/>
        </w:rPr>
        <w:t>hedge</w:t>
      </w:r>
      <w:r>
        <w:rPr>
          <w:color w:val="231F20"/>
          <w:spacing w:val="-7"/>
        </w:rPr>
        <w:t xml:space="preserve"> </w:t>
      </w:r>
      <w:r>
        <w:rPr>
          <w:color w:val="231F20"/>
        </w:rPr>
        <w:t>ineffectiveness</w:t>
      </w:r>
      <w:r>
        <w:rPr>
          <w:color w:val="231F20"/>
          <w:spacing w:val="-6"/>
        </w:rPr>
        <w:t xml:space="preserve"> </w:t>
      </w:r>
      <w:r>
        <w:rPr>
          <w:color w:val="231F20"/>
        </w:rPr>
        <w:t>can</w:t>
      </w:r>
      <w:r>
        <w:rPr>
          <w:color w:val="231F20"/>
          <w:spacing w:val="-7"/>
        </w:rPr>
        <w:t xml:space="preserve"> </w:t>
      </w:r>
      <w:r>
        <w:rPr>
          <w:color w:val="231F20"/>
        </w:rPr>
        <w:t>arise</w:t>
      </w:r>
      <w:r>
        <w:rPr>
          <w:color w:val="231F20"/>
          <w:spacing w:val="-6"/>
        </w:rPr>
        <w:t xml:space="preserve"> </w:t>
      </w:r>
      <w:r>
        <w:rPr>
          <w:color w:val="231F20"/>
          <w:spacing w:val="-4"/>
        </w:rPr>
        <w:t>from:</w:t>
      </w:r>
    </w:p>
    <w:p w14:paraId="3960E77F" w14:textId="77777777" w:rsidR="00345EE3" w:rsidRDefault="00345EE3">
      <w:pPr>
        <w:pStyle w:val="ListParagraph"/>
        <w:numPr>
          <w:ilvl w:val="0"/>
          <w:numId w:val="31"/>
        </w:numPr>
        <w:tabs>
          <w:tab w:val="left" w:pos="393"/>
          <w:tab w:val="left" w:pos="394"/>
        </w:tabs>
        <w:rPr>
          <w:sz w:val="24"/>
        </w:rPr>
      </w:pPr>
      <w:r>
        <w:rPr>
          <w:color w:val="231F20"/>
          <w:sz w:val="24"/>
        </w:rPr>
        <w:t>differences</w:t>
      </w:r>
      <w:r>
        <w:rPr>
          <w:color w:val="231F20"/>
          <w:spacing w:val="-8"/>
          <w:sz w:val="24"/>
        </w:rPr>
        <w:t xml:space="preserve"> </w:t>
      </w:r>
      <w:r>
        <w:rPr>
          <w:color w:val="231F20"/>
          <w:sz w:val="24"/>
        </w:rPr>
        <w:t>in</w:t>
      </w:r>
      <w:r>
        <w:rPr>
          <w:color w:val="231F20"/>
          <w:spacing w:val="-6"/>
          <w:sz w:val="24"/>
        </w:rPr>
        <w:t xml:space="preserve"> </w:t>
      </w:r>
      <w:r>
        <w:rPr>
          <w:color w:val="231F20"/>
          <w:sz w:val="24"/>
        </w:rPr>
        <w:t>the</w:t>
      </w:r>
      <w:r>
        <w:rPr>
          <w:color w:val="231F20"/>
          <w:spacing w:val="-6"/>
          <w:sz w:val="24"/>
        </w:rPr>
        <w:t xml:space="preserve"> </w:t>
      </w:r>
      <w:r>
        <w:rPr>
          <w:color w:val="231F20"/>
          <w:sz w:val="24"/>
        </w:rPr>
        <w:t>timing</w:t>
      </w:r>
      <w:r>
        <w:rPr>
          <w:color w:val="231F20"/>
          <w:spacing w:val="-6"/>
          <w:sz w:val="24"/>
        </w:rPr>
        <w:t xml:space="preserve"> </w:t>
      </w:r>
      <w:r>
        <w:rPr>
          <w:color w:val="231F20"/>
          <w:sz w:val="24"/>
        </w:rPr>
        <w:t>of</w:t>
      </w:r>
      <w:r>
        <w:rPr>
          <w:color w:val="231F20"/>
          <w:spacing w:val="-6"/>
          <w:sz w:val="24"/>
        </w:rPr>
        <w:t xml:space="preserve"> </w:t>
      </w:r>
      <w:r>
        <w:rPr>
          <w:color w:val="231F20"/>
          <w:sz w:val="24"/>
        </w:rPr>
        <w:t>the</w:t>
      </w:r>
      <w:r>
        <w:rPr>
          <w:color w:val="231F20"/>
          <w:spacing w:val="-6"/>
          <w:sz w:val="24"/>
        </w:rPr>
        <w:t xml:space="preserve"> </w:t>
      </w:r>
      <w:r>
        <w:rPr>
          <w:color w:val="231F20"/>
          <w:sz w:val="24"/>
        </w:rPr>
        <w:t>cash</w:t>
      </w:r>
      <w:r>
        <w:rPr>
          <w:color w:val="231F20"/>
          <w:spacing w:val="-6"/>
          <w:sz w:val="24"/>
        </w:rPr>
        <w:t xml:space="preserve"> </w:t>
      </w:r>
      <w:r>
        <w:rPr>
          <w:color w:val="231F20"/>
          <w:sz w:val="24"/>
        </w:rPr>
        <w:t>flows</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7"/>
          <w:sz w:val="24"/>
        </w:rPr>
        <w:t xml:space="preserve"> </w:t>
      </w:r>
      <w:r>
        <w:rPr>
          <w:color w:val="231F20"/>
          <w:sz w:val="24"/>
        </w:rPr>
        <w:t>hedged</w:t>
      </w:r>
      <w:r>
        <w:rPr>
          <w:color w:val="231F20"/>
          <w:spacing w:val="-6"/>
          <w:sz w:val="24"/>
        </w:rPr>
        <w:t xml:space="preserve"> </w:t>
      </w:r>
      <w:r>
        <w:rPr>
          <w:color w:val="231F20"/>
          <w:sz w:val="24"/>
        </w:rPr>
        <w:t>items</w:t>
      </w:r>
      <w:r>
        <w:rPr>
          <w:color w:val="231F20"/>
          <w:spacing w:val="-5"/>
          <w:sz w:val="24"/>
        </w:rPr>
        <w:t xml:space="preserve"> </w:t>
      </w:r>
      <w:r>
        <w:rPr>
          <w:color w:val="231F20"/>
          <w:sz w:val="24"/>
        </w:rPr>
        <w:t>and</w:t>
      </w:r>
      <w:r>
        <w:rPr>
          <w:color w:val="231F20"/>
          <w:spacing w:val="-6"/>
          <w:sz w:val="24"/>
        </w:rPr>
        <w:t xml:space="preserve"> </w:t>
      </w:r>
      <w:r>
        <w:rPr>
          <w:color w:val="231F20"/>
          <w:sz w:val="24"/>
        </w:rPr>
        <w:t>hedging</w:t>
      </w:r>
      <w:r>
        <w:rPr>
          <w:color w:val="231F20"/>
          <w:spacing w:val="-6"/>
          <w:sz w:val="24"/>
        </w:rPr>
        <w:t xml:space="preserve"> </w:t>
      </w:r>
      <w:r>
        <w:rPr>
          <w:color w:val="231F20"/>
          <w:spacing w:val="-2"/>
          <w:sz w:val="24"/>
        </w:rPr>
        <w:t>instruments;</w:t>
      </w:r>
    </w:p>
    <w:p w14:paraId="559DD092" w14:textId="77777777" w:rsidR="00345EE3" w:rsidRDefault="00345EE3">
      <w:pPr>
        <w:pStyle w:val="ListParagraph"/>
        <w:numPr>
          <w:ilvl w:val="0"/>
          <w:numId w:val="31"/>
        </w:numPr>
        <w:tabs>
          <w:tab w:val="left" w:pos="393"/>
          <w:tab w:val="left" w:pos="394"/>
        </w:tabs>
        <w:spacing w:line="242" w:lineRule="auto"/>
        <w:ind w:right="559"/>
        <w:rPr>
          <w:sz w:val="24"/>
        </w:rPr>
      </w:pPr>
      <w:r>
        <w:rPr>
          <w:color w:val="231F20"/>
          <w:sz w:val="24"/>
        </w:rPr>
        <w:t>the</w:t>
      </w:r>
      <w:r>
        <w:rPr>
          <w:color w:val="231F20"/>
          <w:spacing w:val="-10"/>
          <w:sz w:val="24"/>
        </w:rPr>
        <w:t xml:space="preserve"> </w:t>
      </w:r>
      <w:r>
        <w:rPr>
          <w:color w:val="231F20"/>
          <w:sz w:val="24"/>
        </w:rPr>
        <w:t>counterparties’</w:t>
      </w:r>
      <w:r>
        <w:rPr>
          <w:color w:val="231F20"/>
          <w:spacing w:val="-10"/>
          <w:sz w:val="24"/>
        </w:rPr>
        <w:t xml:space="preserve"> </w:t>
      </w:r>
      <w:r>
        <w:rPr>
          <w:color w:val="231F20"/>
          <w:sz w:val="24"/>
        </w:rPr>
        <w:t>credit</w:t>
      </w:r>
      <w:r>
        <w:rPr>
          <w:color w:val="231F20"/>
          <w:spacing w:val="-10"/>
          <w:sz w:val="24"/>
        </w:rPr>
        <w:t xml:space="preserve"> </w:t>
      </w:r>
      <w:r>
        <w:rPr>
          <w:color w:val="231F20"/>
          <w:sz w:val="24"/>
        </w:rPr>
        <w:t>risk</w:t>
      </w:r>
      <w:r>
        <w:rPr>
          <w:color w:val="231F20"/>
          <w:spacing w:val="-10"/>
          <w:sz w:val="24"/>
        </w:rPr>
        <w:t xml:space="preserve"> </w:t>
      </w:r>
      <w:r>
        <w:rPr>
          <w:color w:val="231F20"/>
          <w:sz w:val="24"/>
        </w:rPr>
        <w:t>differently</w:t>
      </w:r>
      <w:r>
        <w:rPr>
          <w:color w:val="231F20"/>
          <w:spacing w:val="-10"/>
          <w:sz w:val="24"/>
        </w:rPr>
        <w:t xml:space="preserve"> </w:t>
      </w:r>
      <w:r>
        <w:rPr>
          <w:color w:val="231F20"/>
          <w:sz w:val="24"/>
        </w:rPr>
        <w:t>impacting</w:t>
      </w:r>
      <w:r>
        <w:rPr>
          <w:color w:val="231F20"/>
          <w:spacing w:val="-10"/>
          <w:sz w:val="24"/>
        </w:rPr>
        <w:t xml:space="preserve"> </w:t>
      </w:r>
      <w:r>
        <w:rPr>
          <w:color w:val="231F20"/>
          <w:sz w:val="24"/>
        </w:rPr>
        <w:t>the</w:t>
      </w:r>
      <w:r>
        <w:rPr>
          <w:color w:val="231F20"/>
          <w:spacing w:val="-10"/>
          <w:sz w:val="24"/>
        </w:rPr>
        <w:t xml:space="preserve"> </w:t>
      </w:r>
      <w:r>
        <w:rPr>
          <w:color w:val="231F20"/>
          <w:sz w:val="24"/>
        </w:rPr>
        <w:t>fair</w:t>
      </w:r>
      <w:r>
        <w:rPr>
          <w:color w:val="231F20"/>
          <w:spacing w:val="-10"/>
          <w:sz w:val="24"/>
        </w:rPr>
        <w:t xml:space="preserve"> </w:t>
      </w:r>
      <w:r>
        <w:rPr>
          <w:color w:val="231F20"/>
          <w:sz w:val="24"/>
        </w:rPr>
        <w:t>value</w:t>
      </w:r>
      <w:r>
        <w:rPr>
          <w:color w:val="231F20"/>
          <w:spacing w:val="-10"/>
          <w:sz w:val="24"/>
        </w:rPr>
        <w:t xml:space="preserve"> </w:t>
      </w:r>
      <w:r>
        <w:rPr>
          <w:color w:val="231F20"/>
          <w:sz w:val="24"/>
        </w:rPr>
        <w:t>movements</w:t>
      </w:r>
      <w:r>
        <w:rPr>
          <w:color w:val="231F20"/>
          <w:spacing w:val="-10"/>
          <w:sz w:val="24"/>
        </w:rPr>
        <w:t xml:space="preserve"> </w:t>
      </w:r>
      <w:r>
        <w:rPr>
          <w:color w:val="231F20"/>
          <w:sz w:val="24"/>
        </w:rPr>
        <w:t>of</w:t>
      </w:r>
      <w:r>
        <w:rPr>
          <w:color w:val="231F20"/>
          <w:spacing w:val="-10"/>
          <w:sz w:val="24"/>
        </w:rPr>
        <w:t xml:space="preserve"> </w:t>
      </w:r>
      <w:r>
        <w:rPr>
          <w:color w:val="231F20"/>
          <w:sz w:val="24"/>
        </w:rPr>
        <w:t>the</w:t>
      </w:r>
      <w:r>
        <w:rPr>
          <w:color w:val="231F20"/>
          <w:spacing w:val="-10"/>
          <w:sz w:val="24"/>
        </w:rPr>
        <w:t xml:space="preserve"> </w:t>
      </w:r>
      <w:r>
        <w:rPr>
          <w:color w:val="231F20"/>
          <w:sz w:val="24"/>
        </w:rPr>
        <w:t>hedged items and hedging instruments;</w:t>
      </w:r>
    </w:p>
    <w:p w14:paraId="22575E49" w14:textId="77777777" w:rsidR="00345EE3" w:rsidRDefault="00345EE3">
      <w:pPr>
        <w:pStyle w:val="ListParagraph"/>
        <w:numPr>
          <w:ilvl w:val="0"/>
          <w:numId w:val="31"/>
        </w:numPr>
        <w:tabs>
          <w:tab w:val="left" w:pos="393"/>
          <w:tab w:val="left" w:pos="394"/>
        </w:tabs>
        <w:spacing w:before="31" w:line="242" w:lineRule="auto"/>
        <w:ind w:right="1450"/>
        <w:rPr>
          <w:sz w:val="24"/>
        </w:rPr>
      </w:pPr>
      <w:r>
        <w:rPr>
          <w:color w:val="231F20"/>
          <w:sz w:val="24"/>
        </w:rPr>
        <w:t>changes</w:t>
      </w:r>
      <w:r>
        <w:rPr>
          <w:color w:val="231F20"/>
          <w:spacing w:val="-8"/>
          <w:sz w:val="24"/>
        </w:rPr>
        <w:t xml:space="preserve"> </w:t>
      </w:r>
      <w:r>
        <w:rPr>
          <w:color w:val="231F20"/>
          <w:sz w:val="24"/>
        </w:rPr>
        <w:t>to</w:t>
      </w:r>
      <w:r>
        <w:rPr>
          <w:color w:val="231F20"/>
          <w:spacing w:val="-9"/>
          <w:sz w:val="24"/>
        </w:rPr>
        <w:t xml:space="preserve"> </w:t>
      </w:r>
      <w:r>
        <w:rPr>
          <w:color w:val="231F20"/>
          <w:sz w:val="24"/>
        </w:rPr>
        <w:t>the</w:t>
      </w:r>
      <w:r>
        <w:rPr>
          <w:color w:val="231F20"/>
          <w:spacing w:val="-9"/>
          <w:sz w:val="24"/>
        </w:rPr>
        <w:t xml:space="preserve"> </w:t>
      </w:r>
      <w:r>
        <w:rPr>
          <w:color w:val="231F20"/>
          <w:sz w:val="24"/>
        </w:rPr>
        <w:t>forecasted</w:t>
      </w:r>
      <w:r>
        <w:rPr>
          <w:color w:val="231F20"/>
          <w:spacing w:val="-9"/>
          <w:sz w:val="24"/>
        </w:rPr>
        <w:t xml:space="preserve"> </w:t>
      </w:r>
      <w:r>
        <w:rPr>
          <w:color w:val="231F20"/>
          <w:sz w:val="24"/>
        </w:rPr>
        <w:t>amount</w:t>
      </w:r>
      <w:r>
        <w:rPr>
          <w:color w:val="231F20"/>
          <w:spacing w:val="-8"/>
          <w:sz w:val="24"/>
        </w:rPr>
        <w:t xml:space="preserve"> </w:t>
      </w:r>
      <w:r>
        <w:rPr>
          <w:color w:val="231F20"/>
          <w:sz w:val="24"/>
        </w:rPr>
        <w:t>of</w:t>
      </w:r>
      <w:r>
        <w:rPr>
          <w:color w:val="231F20"/>
          <w:spacing w:val="-8"/>
          <w:sz w:val="24"/>
        </w:rPr>
        <w:t xml:space="preserve"> </w:t>
      </w:r>
      <w:r>
        <w:rPr>
          <w:color w:val="231F20"/>
          <w:sz w:val="24"/>
        </w:rPr>
        <w:t>cash</w:t>
      </w:r>
      <w:r>
        <w:rPr>
          <w:color w:val="231F20"/>
          <w:spacing w:val="-9"/>
          <w:sz w:val="24"/>
        </w:rPr>
        <w:t xml:space="preserve"> </w:t>
      </w:r>
      <w:r>
        <w:rPr>
          <w:color w:val="231F20"/>
          <w:sz w:val="24"/>
        </w:rPr>
        <w:t>flows</w:t>
      </w:r>
      <w:r>
        <w:rPr>
          <w:color w:val="231F20"/>
          <w:spacing w:val="-8"/>
          <w:sz w:val="24"/>
        </w:rPr>
        <w:t xml:space="preserve"> </w:t>
      </w:r>
      <w:r>
        <w:rPr>
          <w:color w:val="231F20"/>
          <w:sz w:val="24"/>
        </w:rPr>
        <w:t>of</w:t>
      </w:r>
      <w:r>
        <w:rPr>
          <w:color w:val="231F20"/>
          <w:spacing w:val="-8"/>
          <w:sz w:val="24"/>
        </w:rPr>
        <w:t xml:space="preserve"> </w:t>
      </w:r>
      <w:r>
        <w:rPr>
          <w:color w:val="231F20"/>
          <w:sz w:val="24"/>
        </w:rPr>
        <w:t>the</w:t>
      </w:r>
      <w:r>
        <w:rPr>
          <w:color w:val="231F20"/>
          <w:spacing w:val="-9"/>
          <w:sz w:val="24"/>
        </w:rPr>
        <w:t xml:space="preserve"> </w:t>
      </w:r>
      <w:r>
        <w:rPr>
          <w:color w:val="231F20"/>
          <w:sz w:val="24"/>
        </w:rPr>
        <w:t>hedged</w:t>
      </w:r>
      <w:r>
        <w:rPr>
          <w:color w:val="231F20"/>
          <w:spacing w:val="-9"/>
          <w:sz w:val="24"/>
        </w:rPr>
        <w:t xml:space="preserve"> </w:t>
      </w:r>
      <w:r>
        <w:rPr>
          <w:color w:val="231F20"/>
          <w:sz w:val="24"/>
        </w:rPr>
        <w:t>items</w:t>
      </w:r>
      <w:r>
        <w:rPr>
          <w:color w:val="231F20"/>
          <w:spacing w:val="-8"/>
          <w:sz w:val="24"/>
        </w:rPr>
        <w:t xml:space="preserve"> </w:t>
      </w:r>
      <w:r>
        <w:rPr>
          <w:color w:val="231F20"/>
          <w:sz w:val="24"/>
        </w:rPr>
        <w:t>and</w:t>
      </w:r>
      <w:r>
        <w:rPr>
          <w:color w:val="231F20"/>
          <w:spacing w:val="-9"/>
          <w:sz w:val="24"/>
        </w:rPr>
        <w:t xml:space="preserve"> </w:t>
      </w:r>
      <w:r>
        <w:rPr>
          <w:color w:val="231F20"/>
          <w:sz w:val="24"/>
        </w:rPr>
        <w:t xml:space="preserve">hedging </w:t>
      </w:r>
      <w:r>
        <w:rPr>
          <w:color w:val="231F20"/>
          <w:spacing w:val="-2"/>
          <w:sz w:val="24"/>
        </w:rPr>
        <w:t>instruments.</w:t>
      </w:r>
    </w:p>
    <w:p w14:paraId="0CC8E9EB" w14:textId="77777777" w:rsidR="00345EE3" w:rsidRDefault="00345EE3" w:rsidP="002A27BA">
      <w:pPr>
        <w:pStyle w:val="Heading3"/>
        <w:numPr>
          <w:ilvl w:val="1"/>
          <w:numId w:val="44"/>
        </w:numPr>
      </w:pPr>
      <w:r>
        <w:t>Payables</w:t>
      </w:r>
    </w:p>
    <w:p w14:paraId="12C29638" w14:textId="77777777" w:rsidR="00345EE3" w:rsidRDefault="00345EE3" w:rsidP="00345EE3">
      <w:pPr>
        <w:pStyle w:val="BodyText"/>
        <w:spacing w:before="10"/>
        <w:rPr>
          <w:b/>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803"/>
        <w:gridCol w:w="1134"/>
        <w:gridCol w:w="1134"/>
        <w:gridCol w:w="1134"/>
      </w:tblGrid>
      <w:tr w:rsidR="00345EE3" w14:paraId="6212DBF5" w14:textId="77777777" w:rsidTr="00D73130">
        <w:trPr>
          <w:trHeight w:val="405"/>
        </w:trPr>
        <w:tc>
          <w:tcPr>
            <w:tcW w:w="10205" w:type="dxa"/>
            <w:gridSpan w:val="4"/>
            <w:tcBorders>
              <w:top w:val="nil"/>
              <w:left w:val="nil"/>
              <w:bottom w:val="nil"/>
              <w:right w:val="nil"/>
            </w:tcBorders>
            <w:shd w:val="clear" w:color="auto" w:fill="00529F"/>
          </w:tcPr>
          <w:p w14:paraId="4E099E83"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07FE5BAD" w14:textId="77777777" w:rsidTr="00D73130">
        <w:trPr>
          <w:trHeight w:val="397"/>
        </w:trPr>
        <w:tc>
          <w:tcPr>
            <w:tcW w:w="6803" w:type="dxa"/>
            <w:tcBorders>
              <w:top w:val="nil"/>
              <w:left w:val="nil"/>
              <w:bottom w:val="nil"/>
              <w:right w:val="nil"/>
            </w:tcBorders>
            <w:shd w:val="clear" w:color="auto" w:fill="00529F"/>
          </w:tcPr>
          <w:p w14:paraId="088D3414" w14:textId="77777777" w:rsidR="00345EE3" w:rsidRDefault="00345EE3" w:rsidP="00D73130">
            <w:pPr>
              <w:pStyle w:val="TableParagraph"/>
              <w:spacing w:before="0"/>
              <w:jc w:val="left"/>
              <w:rPr>
                <w:rFonts w:ascii="Times New Roman"/>
                <w:sz w:val="24"/>
              </w:rPr>
            </w:pPr>
          </w:p>
        </w:tc>
        <w:tc>
          <w:tcPr>
            <w:tcW w:w="1134" w:type="dxa"/>
            <w:tcBorders>
              <w:top w:val="nil"/>
              <w:left w:val="nil"/>
              <w:bottom w:val="nil"/>
              <w:right w:val="nil"/>
            </w:tcBorders>
            <w:shd w:val="clear" w:color="auto" w:fill="00529F"/>
          </w:tcPr>
          <w:p w14:paraId="2C139039" w14:textId="77777777" w:rsidR="00345EE3" w:rsidRDefault="00345EE3" w:rsidP="00D73130">
            <w:pPr>
              <w:pStyle w:val="TableParagraph"/>
              <w:spacing w:before="59"/>
              <w:ind w:right="3"/>
              <w:rPr>
                <w:b/>
                <w:sz w:val="24"/>
              </w:rPr>
            </w:pPr>
            <w:r>
              <w:rPr>
                <w:b/>
                <w:color w:val="FFFFFF"/>
                <w:spacing w:val="-2"/>
                <w:sz w:val="24"/>
              </w:rPr>
              <w:t>Notes</w:t>
            </w:r>
          </w:p>
        </w:tc>
        <w:tc>
          <w:tcPr>
            <w:tcW w:w="1134" w:type="dxa"/>
            <w:tcBorders>
              <w:top w:val="nil"/>
              <w:left w:val="nil"/>
              <w:bottom w:val="nil"/>
              <w:right w:val="nil"/>
            </w:tcBorders>
            <w:shd w:val="clear" w:color="auto" w:fill="00529F"/>
          </w:tcPr>
          <w:p w14:paraId="0590B3F3" w14:textId="77777777" w:rsidR="00345EE3" w:rsidRDefault="00345EE3" w:rsidP="00D73130">
            <w:pPr>
              <w:pStyle w:val="TableParagraph"/>
              <w:spacing w:before="59"/>
              <w:ind w:right="3"/>
              <w:rPr>
                <w:b/>
                <w:sz w:val="24"/>
              </w:rPr>
            </w:pPr>
            <w:r>
              <w:rPr>
                <w:b/>
                <w:color w:val="FFFFFF"/>
                <w:spacing w:val="-4"/>
                <w:sz w:val="24"/>
              </w:rPr>
              <w:t>2022</w:t>
            </w:r>
          </w:p>
        </w:tc>
        <w:tc>
          <w:tcPr>
            <w:tcW w:w="1134" w:type="dxa"/>
            <w:tcBorders>
              <w:top w:val="nil"/>
              <w:left w:val="nil"/>
              <w:bottom w:val="nil"/>
              <w:right w:val="nil"/>
            </w:tcBorders>
            <w:shd w:val="clear" w:color="auto" w:fill="00529F"/>
          </w:tcPr>
          <w:p w14:paraId="1B543192" w14:textId="77777777" w:rsidR="00345EE3" w:rsidRDefault="00345EE3" w:rsidP="00D73130">
            <w:pPr>
              <w:pStyle w:val="TableParagraph"/>
              <w:spacing w:before="59"/>
              <w:rPr>
                <w:b/>
                <w:sz w:val="24"/>
              </w:rPr>
            </w:pPr>
            <w:r>
              <w:rPr>
                <w:b/>
                <w:color w:val="FFFFFF"/>
                <w:spacing w:val="-4"/>
                <w:sz w:val="24"/>
              </w:rPr>
              <w:t>2021</w:t>
            </w:r>
          </w:p>
        </w:tc>
      </w:tr>
      <w:tr w:rsidR="00345EE3" w14:paraId="5008C981" w14:textId="77777777" w:rsidTr="00D73130">
        <w:trPr>
          <w:trHeight w:val="396"/>
        </w:trPr>
        <w:tc>
          <w:tcPr>
            <w:tcW w:w="6803" w:type="dxa"/>
            <w:tcBorders>
              <w:top w:val="nil"/>
              <w:left w:val="nil"/>
            </w:tcBorders>
          </w:tcPr>
          <w:p w14:paraId="440FA0B6" w14:textId="77777777" w:rsidR="00345EE3" w:rsidRDefault="00345EE3" w:rsidP="00D73130">
            <w:pPr>
              <w:pStyle w:val="TableParagraph"/>
              <w:ind w:left="-3"/>
              <w:jc w:val="left"/>
              <w:rPr>
                <w:b/>
                <w:sz w:val="24"/>
              </w:rPr>
            </w:pPr>
            <w:r>
              <w:rPr>
                <w:b/>
                <w:color w:val="231F20"/>
                <w:spacing w:val="-2"/>
                <w:sz w:val="24"/>
              </w:rPr>
              <w:t>Contractual</w:t>
            </w:r>
          </w:p>
        </w:tc>
        <w:tc>
          <w:tcPr>
            <w:tcW w:w="1134" w:type="dxa"/>
            <w:tcBorders>
              <w:top w:val="nil"/>
            </w:tcBorders>
          </w:tcPr>
          <w:p w14:paraId="26954E0B" w14:textId="77777777" w:rsidR="00345EE3" w:rsidRDefault="00345EE3" w:rsidP="00D73130">
            <w:pPr>
              <w:pStyle w:val="TableParagraph"/>
              <w:spacing w:before="0"/>
              <w:jc w:val="left"/>
              <w:rPr>
                <w:rFonts w:ascii="Times New Roman"/>
                <w:sz w:val="24"/>
              </w:rPr>
            </w:pPr>
          </w:p>
        </w:tc>
        <w:tc>
          <w:tcPr>
            <w:tcW w:w="1134" w:type="dxa"/>
            <w:tcBorders>
              <w:top w:val="nil"/>
            </w:tcBorders>
            <w:shd w:val="clear" w:color="auto" w:fill="E6E7E8"/>
          </w:tcPr>
          <w:p w14:paraId="48DFD35D" w14:textId="77777777" w:rsidR="00345EE3" w:rsidRDefault="00345EE3" w:rsidP="00D73130">
            <w:pPr>
              <w:pStyle w:val="TableParagraph"/>
              <w:spacing w:before="0"/>
              <w:jc w:val="left"/>
              <w:rPr>
                <w:rFonts w:ascii="Times New Roman"/>
                <w:sz w:val="24"/>
              </w:rPr>
            </w:pPr>
          </w:p>
        </w:tc>
        <w:tc>
          <w:tcPr>
            <w:tcW w:w="1134" w:type="dxa"/>
            <w:tcBorders>
              <w:top w:val="nil"/>
              <w:right w:val="nil"/>
            </w:tcBorders>
          </w:tcPr>
          <w:p w14:paraId="4DBC68AE" w14:textId="77777777" w:rsidR="00345EE3" w:rsidRDefault="00345EE3" w:rsidP="00D73130">
            <w:pPr>
              <w:pStyle w:val="TableParagraph"/>
              <w:spacing w:before="0"/>
              <w:jc w:val="left"/>
              <w:rPr>
                <w:rFonts w:ascii="Times New Roman"/>
                <w:sz w:val="24"/>
              </w:rPr>
            </w:pPr>
          </w:p>
        </w:tc>
      </w:tr>
      <w:tr w:rsidR="00345EE3" w14:paraId="47D14B47" w14:textId="77777777" w:rsidTr="00D73130">
        <w:trPr>
          <w:trHeight w:val="396"/>
        </w:trPr>
        <w:tc>
          <w:tcPr>
            <w:tcW w:w="6803" w:type="dxa"/>
            <w:tcBorders>
              <w:left w:val="nil"/>
            </w:tcBorders>
          </w:tcPr>
          <w:p w14:paraId="7C274216" w14:textId="77777777" w:rsidR="00345EE3" w:rsidRDefault="00345EE3" w:rsidP="00D73130">
            <w:pPr>
              <w:pStyle w:val="TableParagraph"/>
              <w:ind w:left="-3"/>
              <w:jc w:val="left"/>
              <w:rPr>
                <w:sz w:val="24"/>
              </w:rPr>
            </w:pPr>
            <w:r>
              <w:rPr>
                <w:color w:val="231F20"/>
                <w:sz w:val="24"/>
              </w:rPr>
              <w:t>Supplies</w:t>
            </w:r>
            <w:r>
              <w:rPr>
                <w:color w:val="231F20"/>
                <w:spacing w:val="-3"/>
                <w:sz w:val="24"/>
              </w:rPr>
              <w:t xml:space="preserve"> </w:t>
            </w:r>
            <w:r>
              <w:rPr>
                <w:color w:val="231F20"/>
                <w:sz w:val="24"/>
              </w:rPr>
              <w:t>and</w:t>
            </w:r>
            <w:r>
              <w:rPr>
                <w:color w:val="231F20"/>
                <w:spacing w:val="-2"/>
                <w:sz w:val="24"/>
              </w:rPr>
              <w:t xml:space="preserve"> services</w:t>
            </w:r>
          </w:p>
        </w:tc>
        <w:tc>
          <w:tcPr>
            <w:tcW w:w="1134" w:type="dxa"/>
          </w:tcPr>
          <w:p w14:paraId="091F393C" w14:textId="77777777" w:rsidR="00345EE3" w:rsidRDefault="00345EE3" w:rsidP="00D73130">
            <w:pPr>
              <w:pStyle w:val="TableParagraph"/>
              <w:spacing w:before="0"/>
              <w:jc w:val="left"/>
              <w:rPr>
                <w:rFonts w:ascii="Times New Roman"/>
                <w:sz w:val="24"/>
              </w:rPr>
            </w:pPr>
          </w:p>
        </w:tc>
        <w:tc>
          <w:tcPr>
            <w:tcW w:w="1134" w:type="dxa"/>
            <w:shd w:val="clear" w:color="auto" w:fill="E6E7E8"/>
          </w:tcPr>
          <w:p w14:paraId="0DE3745D" w14:textId="77777777" w:rsidR="00345EE3" w:rsidRDefault="00345EE3" w:rsidP="00D73130">
            <w:pPr>
              <w:pStyle w:val="TableParagraph"/>
              <w:ind w:right="2"/>
              <w:rPr>
                <w:sz w:val="24"/>
              </w:rPr>
            </w:pPr>
            <w:r>
              <w:rPr>
                <w:color w:val="231F20"/>
                <w:spacing w:val="-2"/>
                <w:sz w:val="24"/>
              </w:rPr>
              <w:t>85,677</w:t>
            </w:r>
          </w:p>
        </w:tc>
        <w:tc>
          <w:tcPr>
            <w:tcW w:w="1134" w:type="dxa"/>
            <w:tcBorders>
              <w:right w:val="nil"/>
            </w:tcBorders>
          </w:tcPr>
          <w:p w14:paraId="69F3C4C9" w14:textId="77777777" w:rsidR="00345EE3" w:rsidRDefault="00345EE3" w:rsidP="00D73130">
            <w:pPr>
              <w:pStyle w:val="TableParagraph"/>
              <w:rPr>
                <w:sz w:val="24"/>
              </w:rPr>
            </w:pPr>
            <w:r>
              <w:rPr>
                <w:color w:val="231F20"/>
                <w:spacing w:val="-2"/>
                <w:sz w:val="24"/>
              </w:rPr>
              <w:t>56,233</w:t>
            </w:r>
          </w:p>
        </w:tc>
      </w:tr>
      <w:tr w:rsidR="00345EE3" w14:paraId="22AA28B2" w14:textId="77777777" w:rsidTr="00D73130">
        <w:trPr>
          <w:trHeight w:val="396"/>
        </w:trPr>
        <w:tc>
          <w:tcPr>
            <w:tcW w:w="6803" w:type="dxa"/>
            <w:tcBorders>
              <w:left w:val="nil"/>
            </w:tcBorders>
          </w:tcPr>
          <w:p w14:paraId="4341D116" w14:textId="77777777" w:rsidR="00345EE3" w:rsidRDefault="00345EE3" w:rsidP="00D73130">
            <w:pPr>
              <w:pStyle w:val="TableParagraph"/>
              <w:ind w:left="-3"/>
              <w:jc w:val="left"/>
              <w:rPr>
                <w:sz w:val="24"/>
              </w:rPr>
            </w:pPr>
            <w:r>
              <w:rPr>
                <w:color w:val="231F20"/>
                <w:sz w:val="24"/>
              </w:rPr>
              <w:t>Amounts</w:t>
            </w:r>
            <w:r>
              <w:rPr>
                <w:color w:val="231F20"/>
                <w:spacing w:val="-4"/>
                <w:sz w:val="24"/>
              </w:rPr>
              <w:t xml:space="preserve"> </w:t>
            </w:r>
            <w:r>
              <w:rPr>
                <w:color w:val="231F20"/>
                <w:sz w:val="24"/>
              </w:rPr>
              <w:t>payable</w:t>
            </w:r>
            <w:r>
              <w:rPr>
                <w:color w:val="231F20"/>
                <w:spacing w:val="-4"/>
                <w:sz w:val="24"/>
              </w:rPr>
              <w:t xml:space="preserve"> </w:t>
            </w:r>
            <w:r>
              <w:rPr>
                <w:color w:val="231F20"/>
                <w:sz w:val="24"/>
              </w:rPr>
              <w:t>to</w:t>
            </w:r>
            <w:r>
              <w:rPr>
                <w:color w:val="231F20"/>
                <w:spacing w:val="-4"/>
                <w:sz w:val="24"/>
              </w:rPr>
              <w:t xml:space="preserve"> </w:t>
            </w:r>
            <w:r>
              <w:rPr>
                <w:color w:val="231F20"/>
                <w:sz w:val="24"/>
              </w:rPr>
              <w:t>government</w:t>
            </w:r>
            <w:r>
              <w:rPr>
                <w:color w:val="231F20"/>
                <w:spacing w:val="-4"/>
                <w:sz w:val="24"/>
              </w:rPr>
              <w:t xml:space="preserve"> </w:t>
            </w:r>
            <w:r>
              <w:rPr>
                <w:color w:val="231F20"/>
                <w:sz w:val="24"/>
              </w:rPr>
              <w:t>and</w:t>
            </w:r>
            <w:r>
              <w:rPr>
                <w:color w:val="231F20"/>
                <w:spacing w:val="-4"/>
                <w:sz w:val="24"/>
              </w:rPr>
              <w:t xml:space="preserve"> </w:t>
            </w:r>
            <w:r>
              <w:rPr>
                <w:color w:val="231F20"/>
                <w:spacing w:val="-2"/>
                <w:sz w:val="24"/>
              </w:rPr>
              <w:t>agencies</w:t>
            </w:r>
          </w:p>
        </w:tc>
        <w:tc>
          <w:tcPr>
            <w:tcW w:w="1134" w:type="dxa"/>
          </w:tcPr>
          <w:p w14:paraId="4EFF2138" w14:textId="77777777" w:rsidR="00345EE3" w:rsidRDefault="00345EE3" w:rsidP="00D73130">
            <w:pPr>
              <w:pStyle w:val="TableParagraph"/>
              <w:spacing w:before="0"/>
              <w:jc w:val="left"/>
              <w:rPr>
                <w:rFonts w:ascii="Times New Roman"/>
                <w:sz w:val="24"/>
              </w:rPr>
            </w:pPr>
          </w:p>
        </w:tc>
        <w:tc>
          <w:tcPr>
            <w:tcW w:w="1134" w:type="dxa"/>
            <w:shd w:val="clear" w:color="auto" w:fill="E6E7E8"/>
          </w:tcPr>
          <w:p w14:paraId="2CAA2E39" w14:textId="77777777" w:rsidR="00345EE3" w:rsidRDefault="00345EE3" w:rsidP="00D73130">
            <w:pPr>
              <w:pStyle w:val="TableParagraph"/>
              <w:rPr>
                <w:sz w:val="24"/>
              </w:rPr>
            </w:pPr>
            <w:r>
              <w:rPr>
                <w:color w:val="231F20"/>
                <w:sz w:val="24"/>
              </w:rPr>
              <w:t>-</w:t>
            </w:r>
          </w:p>
        </w:tc>
        <w:tc>
          <w:tcPr>
            <w:tcW w:w="1134" w:type="dxa"/>
            <w:tcBorders>
              <w:right w:val="nil"/>
            </w:tcBorders>
          </w:tcPr>
          <w:p w14:paraId="17BC021F" w14:textId="77777777" w:rsidR="00345EE3" w:rsidRDefault="00345EE3" w:rsidP="00D73130">
            <w:pPr>
              <w:pStyle w:val="TableParagraph"/>
              <w:rPr>
                <w:sz w:val="24"/>
              </w:rPr>
            </w:pPr>
            <w:r>
              <w:rPr>
                <w:color w:val="231F20"/>
                <w:spacing w:val="-2"/>
                <w:sz w:val="24"/>
              </w:rPr>
              <w:t>4,144</w:t>
            </w:r>
          </w:p>
        </w:tc>
      </w:tr>
      <w:tr w:rsidR="00345EE3" w14:paraId="4DA2614A" w14:textId="77777777" w:rsidTr="00D73130">
        <w:trPr>
          <w:trHeight w:val="396"/>
        </w:trPr>
        <w:tc>
          <w:tcPr>
            <w:tcW w:w="6803" w:type="dxa"/>
            <w:tcBorders>
              <w:left w:val="nil"/>
            </w:tcBorders>
          </w:tcPr>
          <w:p w14:paraId="74E7E870" w14:textId="77777777" w:rsidR="00345EE3" w:rsidRDefault="00345EE3" w:rsidP="00D73130">
            <w:pPr>
              <w:pStyle w:val="TableParagraph"/>
              <w:ind w:left="-3"/>
              <w:jc w:val="left"/>
              <w:rPr>
                <w:sz w:val="24"/>
              </w:rPr>
            </w:pPr>
            <w:r>
              <w:rPr>
                <w:color w:val="231F20"/>
                <w:sz w:val="24"/>
              </w:rPr>
              <w:t xml:space="preserve">Other </w:t>
            </w:r>
            <w:r>
              <w:rPr>
                <w:color w:val="231F20"/>
                <w:spacing w:val="-2"/>
                <w:sz w:val="24"/>
              </w:rPr>
              <w:t>payables</w:t>
            </w:r>
          </w:p>
        </w:tc>
        <w:tc>
          <w:tcPr>
            <w:tcW w:w="1134" w:type="dxa"/>
          </w:tcPr>
          <w:p w14:paraId="7FCCFE3B" w14:textId="77777777" w:rsidR="00345EE3" w:rsidRDefault="00345EE3" w:rsidP="00D73130">
            <w:pPr>
              <w:pStyle w:val="TableParagraph"/>
              <w:spacing w:before="0"/>
              <w:jc w:val="left"/>
              <w:rPr>
                <w:rFonts w:ascii="Times New Roman"/>
                <w:sz w:val="24"/>
              </w:rPr>
            </w:pPr>
          </w:p>
        </w:tc>
        <w:tc>
          <w:tcPr>
            <w:tcW w:w="1134" w:type="dxa"/>
            <w:shd w:val="clear" w:color="auto" w:fill="E6E7E8"/>
          </w:tcPr>
          <w:p w14:paraId="76420CD9" w14:textId="77777777" w:rsidR="00345EE3" w:rsidRDefault="00345EE3" w:rsidP="00D73130">
            <w:pPr>
              <w:pStyle w:val="TableParagraph"/>
              <w:rPr>
                <w:sz w:val="24"/>
              </w:rPr>
            </w:pPr>
            <w:r>
              <w:rPr>
                <w:color w:val="231F20"/>
                <w:spacing w:val="-2"/>
                <w:sz w:val="24"/>
              </w:rPr>
              <w:t>1,493</w:t>
            </w:r>
          </w:p>
        </w:tc>
        <w:tc>
          <w:tcPr>
            <w:tcW w:w="1134" w:type="dxa"/>
            <w:tcBorders>
              <w:right w:val="nil"/>
            </w:tcBorders>
          </w:tcPr>
          <w:p w14:paraId="5EF3E4EE" w14:textId="77777777" w:rsidR="00345EE3" w:rsidRDefault="00345EE3" w:rsidP="00D73130">
            <w:pPr>
              <w:pStyle w:val="TableParagraph"/>
              <w:rPr>
                <w:sz w:val="24"/>
              </w:rPr>
            </w:pPr>
            <w:r>
              <w:rPr>
                <w:color w:val="231F20"/>
                <w:spacing w:val="-2"/>
                <w:sz w:val="24"/>
              </w:rPr>
              <w:t>21,815</w:t>
            </w:r>
          </w:p>
        </w:tc>
      </w:tr>
      <w:tr w:rsidR="00345EE3" w14:paraId="76C59D0F" w14:textId="77777777" w:rsidTr="00D73130">
        <w:trPr>
          <w:trHeight w:val="396"/>
        </w:trPr>
        <w:tc>
          <w:tcPr>
            <w:tcW w:w="6803" w:type="dxa"/>
            <w:tcBorders>
              <w:left w:val="nil"/>
            </w:tcBorders>
          </w:tcPr>
          <w:p w14:paraId="697B4420" w14:textId="77777777" w:rsidR="00345EE3" w:rsidRDefault="00345EE3" w:rsidP="00D73130">
            <w:pPr>
              <w:pStyle w:val="TableParagraph"/>
              <w:ind w:left="-3"/>
              <w:jc w:val="left"/>
              <w:rPr>
                <w:sz w:val="24"/>
              </w:rPr>
            </w:pPr>
            <w:r>
              <w:rPr>
                <w:color w:val="231F20"/>
                <w:sz w:val="24"/>
              </w:rPr>
              <w:t>Derivative</w:t>
            </w:r>
            <w:r>
              <w:rPr>
                <w:color w:val="231F20"/>
                <w:spacing w:val="-6"/>
                <w:sz w:val="24"/>
              </w:rPr>
              <w:t xml:space="preserve"> </w:t>
            </w:r>
            <w:r>
              <w:rPr>
                <w:color w:val="231F20"/>
                <w:sz w:val="24"/>
              </w:rPr>
              <w:t>financial</w:t>
            </w:r>
            <w:r>
              <w:rPr>
                <w:color w:val="231F20"/>
                <w:spacing w:val="-4"/>
                <w:sz w:val="24"/>
              </w:rPr>
              <w:t xml:space="preserve"> </w:t>
            </w:r>
            <w:r>
              <w:rPr>
                <w:color w:val="231F20"/>
                <w:spacing w:val="-2"/>
                <w:sz w:val="24"/>
              </w:rPr>
              <w:t>instruments</w:t>
            </w:r>
          </w:p>
        </w:tc>
        <w:tc>
          <w:tcPr>
            <w:tcW w:w="1134" w:type="dxa"/>
          </w:tcPr>
          <w:p w14:paraId="38F15D36" w14:textId="77777777" w:rsidR="00345EE3" w:rsidRDefault="00345EE3" w:rsidP="00D73130">
            <w:pPr>
              <w:pStyle w:val="TableParagraph"/>
              <w:rPr>
                <w:sz w:val="24"/>
              </w:rPr>
            </w:pPr>
            <w:r>
              <w:rPr>
                <w:color w:val="231F20"/>
                <w:spacing w:val="-2"/>
                <w:sz w:val="24"/>
              </w:rPr>
              <w:t>8.1.3</w:t>
            </w:r>
          </w:p>
        </w:tc>
        <w:tc>
          <w:tcPr>
            <w:tcW w:w="1134" w:type="dxa"/>
            <w:shd w:val="clear" w:color="auto" w:fill="E6E7E8"/>
          </w:tcPr>
          <w:p w14:paraId="1E91B570" w14:textId="77777777" w:rsidR="00345EE3" w:rsidRDefault="00345EE3" w:rsidP="00D73130">
            <w:pPr>
              <w:pStyle w:val="TableParagraph"/>
              <w:rPr>
                <w:sz w:val="24"/>
              </w:rPr>
            </w:pPr>
            <w:r>
              <w:rPr>
                <w:color w:val="231F20"/>
                <w:spacing w:val="-2"/>
                <w:sz w:val="24"/>
              </w:rPr>
              <w:t>4,274</w:t>
            </w:r>
          </w:p>
        </w:tc>
        <w:tc>
          <w:tcPr>
            <w:tcW w:w="1134" w:type="dxa"/>
            <w:tcBorders>
              <w:right w:val="nil"/>
            </w:tcBorders>
          </w:tcPr>
          <w:p w14:paraId="56EA54D7" w14:textId="77777777" w:rsidR="00345EE3" w:rsidRDefault="00345EE3" w:rsidP="00D73130">
            <w:pPr>
              <w:pStyle w:val="TableParagraph"/>
              <w:rPr>
                <w:sz w:val="24"/>
              </w:rPr>
            </w:pPr>
            <w:r>
              <w:rPr>
                <w:color w:val="231F20"/>
                <w:spacing w:val="-2"/>
                <w:sz w:val="24"/>
              </w:rPr>
              <w:t>13,745</w:t>
            </w:r>
          </w:p>
        </w:tc>
      </w:tr>
      <w:tr w:rsidR="00345EE3" w14:paraId="2A20A25C" w14:textId="77777777" w:rsidTr="00D73130">
        <w:trPr>
          <w:trHeight w:val="396"/>
        </w:trPr>
        <w:tc>
          <w:tcPr>
            <w:tcW w:w="6803" w:type="dxa"/>
            <w:tcBorders>
              <w:left w:val="nil"/>
            </w:tcBorders>
          </w:tcPr>
          <w:p w14:paraId="16274A4E" w14:textId="77777777" w:rsidR="00345EE3" w:rsidRDefault="00345EE3" w:rsidP="00D73130">
            <w:pPr>
              <w:pStyle w:val="TableParagraph"/>
              <w:ind w:left="-3"/>
              <w:jc w:val="left"/>
              <w:rPr>
                <w:b/>
                <w:sz w:val="24"/>
              </w:rPr>
            </w:pPr>
            <w:r>
              <w:rPr>
                <w:b/>
                <w:color w:val="231F20"/>
                <w:spacing w:val="-2"/>
                <w:sz w:val="24"/>
              </w:rPr>
              <w:t>Statutory</w:t>
            </w:r>
          </w:p>
        </w:tc>
        <w:tc>
          <w:tcPr>
            <w:tcW w:w="1134" w:type="dxa"/>
          </w:tcPr>
          <w:p w14:paraId="7C5A3D91" w14:textId="77777777" w:rsidR="00345EE3" w:rsidRDefault="00345EE3" w:rsidP="00D73130">
            <w:pPr>
              <w:pStyle w:val="TableParagraph"/>
              <w:spacing w:before="0"/>
              <w:jc w:val="left"/>
              <w:rPr>
                <w:rFonts w:ascii="Times New Roman"/>
                <w:sz w:val="24"/>
              </w:rPr>
            </w:pPr>
          </w:p>
        </w:tc>
        <w:tc>
          <w:tcPr>
            <w:tcW w:w="1134" w:type="dxa"/>
            <w:shd w:val="clear" w:color="auto" w:fill="E6E7E8"/>
          </w:tcPr>
          <w:p w14:paraId="2CF8DC76" w14:textId="77777777" w:rsidR="00345EE3" w:rsidRDefault="00345EE3" w:rsidP="00D73130">
            <w:pPr>
              <w:pStyle w:val="TableParagraph"/>
              <w:spacing w:before="0"/>
              <w:jc w:val="left"/>
              <w:rPr>
                <w:rFonts w:ascii="Times New Roman"/>
                <w:sz w:val="24"/>
              </w:rPr>
            </w:pPr>
          </w:p>
        </w:tc>
        <w:tc>
          <w:tcPr>
            <w:tcW w:w="1134" w:type="dxa"/>
            <w:tcBorders>
              <w:right w:val="nil"/>
            </w:tcBorders>
          </w:tcPr>
          <w:p w14:paraId="622E6D36" w14:textId="77777777" w:rsidR="00345EE3" w:rsidRDefault="00345EE3" w:rsidP="00D73130">
            <w:pPr>
              <w:pStyle w:val="TableParagraph"/>
              <w:spacing w:before="0"/>
              <w:jc w:val="left"/>
              <w:rPr>
                <w:rFonts w:ascii="Times New Roman"/>
                <w:sz w:val="24"/>
              </w:rPr>
            </w:pPr>
          </w:p>
        </w:tc>
      </w:tr>
      <w:tr w:rsidR="00345EE3" w14:paraId="4B204E59" w14:textId="77777777" w:rsidTr="00D73130">
        <w:trPr>
          <w:trHeight w:val="396"/>
        </w:trPr>
        <w:tc>
          <w:tcPr>
            <w:tcW w:w="6803" w:type="dxa"/>
            <w:tcBorders>
              <w:left w:val="nil"/>
            </w:tcBorders>
          </w:tcPr>
          <w:p w14:paraId="410172EC" w14:textId="77777777" w:rsidR="00345EE3" w:rsidRDefault="00345EE3" w:rsidP="00D73130">
            <w:pPr>
              <w:pStyle w:val="TableParagraph"/>
              <w:ind w:left="-3"/>
              <w:jc w:val="left"/>
              <w:rPr>
                <w:sz w:val="24"/>
              </w:rPr>
            </w:pPr>
            <w:r>
              <w:rPr>
                <w:color w:val="231F20"/>
                <w:sz w:val="24"/>
              </w:rPr>
              <w:t xml:space="preserve">Payroll tax </w:t>
            </w:r>
            <w:r>
              <w:rPr>
                <w:color w:val="231F20"/>
                <w:spacing w:val="-2"/>
                <w:sz w:val="24"/>
              </w:rPr>
              <w:t>payable</w:t>
            </w:r>
          </w:p>
        </w:tc>
        <w:tc>
          <w:tcPr>
            <w:tcW w:w="1134" w:type="dxa"/>
          </w:tcPr>
          <w:p w14:paraId="6FA296DB" w14:textId="77777777" w:rsidR="00345EE3" w:rsidRDefault="00345EE3" w:rsidP="00D73130">
            <w:pPr>
              <w:pStyle w:val="TableParagraph"/>
              <w:spacing w:before="0"/>
              <w:jc w:val="left"/>
              <w:rPr>
                <w:rFonts w:ascii="Times New Roman"/>
                <w:sz w:val="24"/>
              </w:rPr>
            </w:pPr>
          </w:p>
        </w:tc>
        <w:tc>
          <w:tcPr>
            <w:tcW w:w="1134" w:type="dxa"/>
            <w:shd w:val="clear" w:color="auto" w:fill="E6E7E8"/>
          </w:tcPr>
          <w:p w14:paraId="4B824891" w14:textId="77777777" w:rsidR="00345EE3" w:rsidRDefault="00345EE3" w:rsidP="00D73130">
            <w:pPr>
              <w:pStyle w:val="TableParagraph"/>
              <w:ind w:right="2"/>
              <w:rPr>
                <w:sz w:val="24"/>
              </w:rPr>
            </w:pPr>
            <w:r>
              <w:rPr>
                <w:color w:val="231F20"/>
                <w:spacing w:val="-2"/>
                <w:sz w:val="24"/>
              </w:rPr>
              <w:t>10,841</w:t>
            </w:r>
          </w:p>
        </w:tc>
        <w:tc>
          <w:tcPr>
            <w:tcW w:w="1134" w:type="dxa"/>
            <w:tcBorders>
              <w:right w:val="nil"/>
            </w:tcBorders>
          </w:tcPr>
          <w:p w14:paraId="6026CA00" w14:textId="77777777" w:rsidR="00345EE3" w:rsidRDefault="00345EE3" w:rsidP="00D73130">
            <w:pPr>
              <w:pStyle w:val="TableParagraph"/>
              <w:rPr>
                <w:sz w:val="24"/>
              </w:rPr>
            </w:pPr>
            <w:r>
              <w:rPr>
                <w:color w:val="231F20"/>
                <w:spacing w:val="-2"/>
                <w:sz w:val="24"/>
              </w:rPr>
              <w:t>8,613</w:t>
            </w:r>
          </w:p>
        </w:tc>
      </w:tr>
      <w:tr w:rsidR="00345EE3" w14:paraId="33F1CCF1" w14:textId="77777777" w:rsidTr="00D73130">
        <w:trPr>
          <w:trHeight w:val="393"/>
        </w:trPr>
        <w:tc>
          <w:tcPr>
            <w:tcW w:w="6803" w:type="dxa"/>
            <w:tcBorders>
              <w:left w:val="nil"/>
              <w:bottom w:val="single" w:sz="4" w:space="0" w:color="231F20"/>
            </w:tcBorders>
          </w:tcPr>
          <w:p w14:paraId="316A78D6" w14:textId="77777777" w:rsidR="00345EE3" w:rsidRDefault="00345EE3" w:rsidP="00D73130">
            <w:pPr>
              <w:pStyle w:val="TableParagraph"/>
              <w:ind w:left="-3"/>
              <w:jc w:val="left"/>
              <w:rPr>
                <w:sz w:val="24"/>
              </w:rPr>
            </w:pPr>
            <w:r>
              <w:rPr>
                <w:color w:val="231F20"/>
                <w:sz w:val="24"/>
              </w:rPr>
              <w:t xml:space="preserve">Other </w:t>
            </w:r>
            <w:r>
              <w:rPr>
                <w:color w:val="231F20"/>
                <w:spacing w:val="-2"/>
                <w:sz w:val="24"/>
              </w:rPr>
              <w:t>payables</w:t>
            </w:r>
          </w:p>
        </w:tc>
        <w:tc>
          <w:tcPr>
            <w:tcW w:w="1134" w:type="dxa"/>
            <w:tcBorders>
              <w:bottom w:val="single" w:sz="4" w:space="0" w:color="231F20"/>
            </w:tcBorders>
          </w:tcPr>
          <w:p w14:paraId="5CAA6EAD" w14:textId="77777777" w:rsidR="00345EE3" w:rsidRDefault="00345EE3" w:rsidP="00D73130">
            <w:pPr>
              <w:pStyle w:val="TableParagraph"/>
              <w:spacing w:before="0"/>
              <w:jc w:val="left"/>
              <w:rPr>
                <w:rFonts w:ascii="Times New Roman"/>
                <w:sz w:val="24"/>
              </w:rPr>
            </w:pPr>
          </w:p>
        </w:tc>
        <w:tc>
          <w:tcPr>
            <w:tcW w:w="1134" w:type="dxa"/>
            <w:tcBorders>
              <w:bottom w:val="single" w:sz="4" w:space="0" w:color="231F20"/>
            </w:tcBorders>
            <w:shd w:val="clear" w:color="auto" w:fill="E6E7E8"/>
          </w:tcPr>
          <w:p w14:paraId="1164C0E3" w14:textId="77777777" w:rsidR="00345EE3" w:rsidRDefault="00345EE3" w:rsidP="00D73130">
            <w:pPr>
              <w:pStyle w:val="TableParagraph"/>
              <w:ind w:right="2"/>
              <w:rPr>
                <w:sz w:val="24"/>
              </w:rPr>
            </w:pPr>
            <w:r>
              <w:rPr>
                <w:color w:val="231F20"/>
                <w:spacing w:val="-2"/>
                <w:sz w:val="24"/>
              </w:rPr>
              <w:t>24,242</w:t>
            </w:r>
          </w:p>
        </w:tc>
        <w:tc>
          <w:tcPr>
            <w:tcW w:w="1134" w:type="dxa"/>
            <w:tcBorders>
              <w:bottom w:val="single" w:sz="4" w:space="0" w:color="231F20"/>
              <w:right w:val="nil"/>
            </w:tcBorders>
          </w:tcPr>
          <w:p w14:paraId="6148765E" w14:textId="77777777" w:rsidR="00345EE3" w:rsidRDefault="00345EE3" w:rsidP="00D73130">
            <w:pPr>
              <w:pStyle w:val="TableParagraph"/>
              <w:rPr>
                <w:sz w:val="24"/>
              </w:rPr>
            </w:pPr>
            <w:r>
              <w:rPr>
                <w:color w:val="231F20"/>
                <w:spacing w:val="-5"/>
                <w:sz w:val="24"/>
              </w:rPr>
              <w:t>386</w:t>
            </w:r>
          </w:p>
        </w:tc>
      </w:tr>
      <w:tr w:rsidR="00345EE3" w14:paraId="50DBCB89" w14:textId="77777777" w:rsidTr="00D73130">
        <w:trPr>
          <w:trHeight w:val="391"/>
        </w:trPr>
        <w:tc>
          <w:tcPr>
            <w:tcW w:w="6803" w:type="dxa"/>
            <w:tcBorders>
              <w:top w:val="single" w:sz="4" w:space="0" w:color="231F20"/>
              <w:left w:val="nil"/>
              <w:bottom w:val="single" w:sz="4" w:space="0" w:color="231F20"/>
            </w:tcBorders>
          </w:tcPr>
          <w:p w14:paraId="5E4FF664"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8"/>
                <w:sz w:val="24"/>
              </w:rPr>
              <w:t xml:space="preserve"> </w:t>
            </w:r>
            <w:r>
              <w:rPr>
                <w:b/>
                <w:color w:val="231F20"/>
                <w:spacing w:val="-2"/>
                <w:sz w:val="24"/>
              </w:rPr>
              <w:t>Payables</w:t>
            </w:r>
          </w:p>
        </w:tc>
        <w:tc>
          <w:tcPr>
            <w:tcW w:w="1134" w:type="dxa"/>
            <w:tcBorders>
              <w:top w:val="single" w:sz="4" w:space="0" w:color="231F20"/>
              <w:bottom w:val="single" w:sz="4" w:space="0" w:color="231F20"/>
            </w:tcBorders>
          </w:tcPr>
          <w:p w14:paraId="3CAC470D" w14:textId="77777777" w:rsidR="00345EE3" w:rsidRDefault="00345EE3" w:rsidP="00D73130">
            <w:pPr>
              <w:pStyle w:val="TableParagraph"/>
              <w:spacing w:before="0"/>
              <w:jc w:val="left"/>
              <w:rPr>
                <w:rFonts w:ascii="Times New Roman"/>
                <w:sz w:val="24"/>
              </w:rPr>
            </w:pPr>
          </w:p>
        </w:tc>
        <w:tc>
          <w:tcPr>
            <w:tcW w:w="1134" w:type="dxa"/>
            <w:tcBorders>
              <w:top w:val="single" w:sz="4" w:space="0" w:color="231F20"/>
              <w:bottom w:val="single" w:sz="4" w:space="0" w:color="231F20"/>
            </w:tcBorders>
            <w:shd w:val="clear" w:color="auto" w:fill="E6E7E8"/>
          </w:tcPr>
          <w:p w14:paraId="382E86B4" w14:textId="77777777" w:rsidR="00345EE3" w:rsidRDefault="00345EE3" w:rsidP="00D73130">
            <w:pPr>
              <w:pStyle w:val="TableParagraph"/>
              <w:spacing w:before="58"/>
              <w:rPr>
                <w:b/>
                <w:sz w:val="24"/>
              </w:rPr>
            </w:pPr>
            <w:r>
              <w:rPr>
                <w:b/>
                <w:color w:val="231F20"/>
                <w:spacing w:val="-2"/>
                <w:sz w:val="24"/>
              </w:rPr>
              <w:t>126,527</w:t>
            </w:r>
          </w:p>
        </w:tc>
        <w:tc>
          <w:tcPr>
            <w:tcW w:w="1134" w:type="dxa"/>
            <w:tcBorders>
              <w:top w:val="single" w:sz="4" w:space="0" w:color="231F20"/>
              <w:bottom w:val="single" w:sz="4" w:space="0" w:color="231F20"/>
              <w:right w:val="nil"/>
            </w:tcBorders>
          </w:tcPr>
          <w:p w14:paraId="6BF27E15" w14:textId="77777777" w:rsidR="00345EE3" w:rsidRDefault="00345EE3" w:rsidP="00D73130">
            <w:pPr>
              <w:pStyle w:val="TableParagraph"/>
              <w:spacing w:before="58"/>
              <w:ind w:right="-15"/>
              <w:rPr>
                <w:b/>
                <w:sz w:val="24"/>
              </w:rPr>
            </w:pPr>
            <w:r>
              <w:rPr>
                <w:b/>
                <w:color w:val="231F20"/>
                <w:spacing w:val="-2"/>
                <w:sz w:val="24"/>
              </w:rPr>
              <w:t>104,936</w:t>
            </w:r>
          </w:p>
        </w:tc>
      </w:tr>
      <w:tr w:rsidR="00345EE3" w14:paraId="35C11085" w14:textId="77777777" w:rsidTr="00D73130">
        <w:trPr>
          <w:trHeight w:val="393"/>
        </w:trPr>
        <w:tc>
          <w:tcPr>
            <w:tcW w:w="6803" w:type="dxa"/>
            <w:tcBorders>
              <w:top w:val="single" w:sz="4" w:space="0" w:color="231F20"/>
              <w:left w:val="nil"/>
            </w:tcBorders>
          </w:tcPr>
          <w:p w14:paraId="1B1C33CB" w14:textId="77777777" w:rsidR="00345EE3" w:rsidRDefault="00345EE3" w:rsidP="00D73130">
            <w:pPr>
              <w:pStyle w:val="TableParagraph"/>
              <w:spacing w:before="58"/>
              <w:ind w:left="-3"/>
              <w:jc w:val="left"/>
              <w:rPr>
                <w:rFonts w:ascii="Arial-BoldItalicMT"/>
                <w:b/>
                <w:i/>
                <w:sz w:val="24"/>
              </w:rPr>
            </w:pPr>
            <w:r>
              <w:rPr>
                <w:rFonts w:ascii="Arial-BoldItalicMT"/>
                <w:b/>
                <w:i/>
                <w:color w:val="231F20"/>
                <w:sz w:val="24"/>
              </w:rPr>
              <w:t>Represented</w:t>
            </w:r>
            <w:r>
              <w:rPr>
                <w:rFonts w:ascii="Arial-BoldItalicMT"/>
                <w:b/>
                <w:i/>
                <w:color w:val="231F20"/>
                <w:spacing w:val="-11"/>
                <w:sz w:val="24"/>
              </w:rPr>
              <w:t xml:space="preserve"> </w:t>
            </w:r>
            <w:r>
              <w:rPr>
                <w:rFonts w:ascii="Arial-BoldItalicMT"/>
                <w:b/>
                <w:i/>
                <w:color w:val="231F20"/>
                <w:spacing w:val="-5"/>
                <w:sz w:val="24"/>
              </w:rPr>
              <w:t>by:</w:t>
            </w:r>
          </w:p>
        </w:tc>
        <w:tc>
          <w:tcPr>
            <w:tcW w:w="1134" w:type="dxa"/>
            <w:tcBorders>
              <w:top w:val="single" w:sz="4" w:space="0" w:color="231F20"/>
            </w:tcBorders>
          </w:tcPr>
          <w:p w14:paraId="23FBB13D" w14:textId="77777777" w:rsidR="00345EE3" w:rsidRDefault="00345EE3" w:rsidP="00D73130">
            <w:pPr>
              <w:pStyle w:val="TableParagraph"/>
              <w:spacing w:before="0"/>
              <w:jc w:val="left"/>
              <w:rPr>
                <w:rFonts w:ascii="Times New Roman"/>
                <w:sz w:val="24"/>
              </w:rPr>
            </w:pPr>
          </w:p>
        </w:tc>
        <w:tc>
          <w:tcPr>
            <w:tcW w:w="1134" w:type="dxa"/>
            <w:tcBorders>
              <w:top w:val="single" w:sz="4" w:space="0" w:color="231F20"/>
            </w:tcBorders>
            <w:shd w:val="clear" w:color="auto" w:fill="E6E7E8"/>
          </w:tcPr>
          <w:p w14:paraId="09CB375F" w14:textId="77777777" w:rsidR="00345EE3" w:rsidRDefault="00345EE3" w:rsidP="00D73130">
            <w:pPr>
              <w:pStyle w:val="TableParagraph"/>
              <w:spacing w:before="0"/>
              <w:jc w:val="left"/>
              <w:rPr>
                <w:rFonts w:ascii="Times New Roman"/>
                <w:sz w:val="24"/>
              </w:rPr>
            </w:pPr>
          </w:p>
        </w:tc>
        <w:tc>
          <w:tcPr>
            <w:tcW w:w="1134" w:type="dxa"/>
            <w:tcBorders>
              <w:top w:val="single" w:sz="4" w:space="0" w:color="231F20"/>
              <w:right w:val="nil"/>
            </w:tcBorders>
          </w:tcPr>
          <w:p w14:paraId="5417F28E" w14:textId="77777777" w:rsidR="00345EE3" w:rsidRDefault="00345EE3" w:rsidP="00D73130">
            <w:pPr>
              <w:pStyle w:val="TableParagraph"/>
              <w:spacing w:before="0"/>
              <w:jc w:val="left"/>
              <w:rPr>
                <w:rFonts w:ascii="Times New Roman"/>
                <w:sz w:val="24"/>
              </w:rPr>
            </w:pPr>
          </w:p>
        </w:tc>
      </w:tr>
      <w:tr w:rsidR="00345EE3" w14:paraId="11B7718F" w14:textId="77777777" w:rsidTr="00D73130">
        <w:trPr>
          <w:trHeight w:val="396"/>
        </w:trPr>
        <w:tc>
          <w:tcPr>
            <w:tcW w:w="6803" w:type="dxa"/>
            <w:tcBorders>
              <w:left w:val="nil"/>
            </w:tcBorders>
          </w:tcPr>
          <w:p w14:paraId="4AA39D7A" w14:textId="77777777" w:rsidR="00345EE3" w:rsidRDefault="00345EE3" w:rsidP="00D73130">
            <w:pPr>
              <w:pStyle w:val="TableParagraph"/>
              <w:ind w:left="-3"/>
              <w:jc w:val="left"/>
              <w:rPr>
                <w:sz w:val="24"/>
              </w:rPr>
            </w:pPr>
            <w:r>
              <w:rPr>
                <w:color w:val="231F20"/>
                <w:sz w:val="24"/>
              </w:rPr>
              <w:t>Current</w:t>
            </w:r>
            <w:r>
              <w:rPr>
                <w:color w:val="231F20"/>
                <w:spacing w:val="-7"/>
                <w:sz w:val="24"/>
              </w:rPr>
              <w:t xml:space="preserve"> </w:t>
            </w:r>
            <w:r>
              <w:rPr>
                <w:color w:val="231F20"/>
                <w:spacing w:val="-2"/>
                <w:sz w:val="24"/>
              </w:rPr>
              <w:t>payables</w:t>
            </w:r>
          </w:p>
        </w:tc>
        <w:tc>
          <w:tcPr>
            <w:tcW w:w="1134" w:type="dxa"/>
          </w:tcPr>
          <w:p w14:paraId="01DD1F06" w14:textId="77777777" w:rsidR="00345EE3" w:rsidRDefault="00345EE3" w:rsidP="00D73130">
            <w:pPr>
              <w:pStyle w:val="TableParagraph"/>
              <w:spacing w:before="0"/>
              <w:jc w:val="left"/>
              <w:rPr>
                <w:rFonts w:ascii="Times New Roman"/>
                <w:sz w:val="24"/>
              </w:rPr>
            </w:pPr>
          </w:p>
        </w:tc>
        <w:tc>
          <w:tcPr>
            <w:tcW w:w="1134" w:type="dxa"/>
            <w:shd w:val="clear" w:color="auto" w:fill="E6E7E8"/>
          </w:tcPr>
          <w:p w14:paraId="1AFBEA85" w14:textId="77777777" w:rsidR="00345EE3" w:rsidRDefault="00345EE3" w:rsidP="00D73130">
            <w:pPr>
              <w:pStyle w:val="TableParagraph"/>
              <w:rPr>
                <w:b/>
                <w:sz w:val="24"/>
              </w:rPr>
            </w:pPr>
            <w:r>
              <w:rPr>
                <w:b/>
                <w:color w:val="231F20"/>
                <w:spacing w:val="-2"/>
                <w:sz w:val="24"/>
              </w:rPr>
              <w:t>122,907</w:t>
            </w:r>
          </w:p>
        </w:tc>
        <w:tc>
          <w:tcPr>
            <w:tcW w:w="1134" w:type="dxa"/>
            <w:tcBorders>
              <w:right w:val="nil"/>
            </w:tcBorders>
          </w:tcPr>
          <w:p w14:paraId="4D60B2C8" w14:textId="77777777" w:rsidR="00345EE3" w:rsidRDefault="00345EE3" w:rsidP="00D73130">
            <w:pPr>
              <w:pStyle w:val="TableParagraph"/>
              <w:ind w:right="-15"/>
              <w:rPr>
                <w:b/>
                <w:sz w:val="24"/>
              </w:rPr>
            </w:pPr>
            <w:r>
              <w:rPr>
                <w:b/>
                <w:color w:val="231F20"/>
                <w:spacing w:val="-2"/>
                <w:sz w:val="24"/>
              </w:rPr>
              <w:t>92,582</w:t>
            </w:r>
          </w:p>
        </w:tc>
      </w:tr>
      <w:tr w:rsidR="00345EE3" w14:paraId="16A7523E" w14:textId="77777777" w:rsidTr="00D73130">
        <w:trPr>
          <w:trHeight w:val="393"/>
        </w:trPr>
        <w:tc>
          <w:tcPr>
            <w:tcW w:w="6803" w:type="dxa"/>
            <w:tcBorders>
              <w:left w:val="nil"/>
              <w:bottom w:val="single" w:sz="4" w:space="0" w:color="231F20"/>
            </w:tcBorders>
          </w:tcPr>
          <w:p w14:paraId="458C38B1" w14:textId="77777777" w:rsidR="00345EE3" w:rsidRDefault="00345EE3" w:rsidP="00D73130">
            <w:pPr>
              <w:pStyle w:val="TableParagraph"/>
              <w:ind w:left="-3"/>
              <w:jc w:val="left"/>
              <w:rPr>
                <w:sz w:val="24"/>
              </w:rPr>
            </w:pPr>
            <w:r>
              <w:rPr>
                <w:color w:val="231F20"/>
                <w:sz w:val="24"/>
              </w:rPr>
              <w:t>Non-current</w:t>
            </w:r>
            <w:r>
              <w:rPr>
                <w:color w:val="231F20"/>
                <w:spacing w:val="-13"/>
                <w:sz w:val="24"/>
              </w:rPr>
              <w:t xml:space="preserve"> </w:t>
            </w:r>
            <w:r>
              <w:rPr>
                <w:color w:val="231F20"/>
                <w:spacing w:val="-2"/>
                <w:sz w:val="24"/>
              </w:rPr>
              <w:t>payables</w:t>
            </w:r>
          </w:p>
        </w:tc>
        <w:tc>
          <w:tcPr>
            <w:tcW w:w="1134" w:type="dxa"/>
            <w:tcBorders>
              <w:bottom w:val="single" w:sz="4" w:space="0" w:color="231F20"/>
            </w:tcBorders>
          </w:tcPr>
          <w:p w14:paraId="2F67AB8E" w14:textId="77777777" w:rsidR="00345EE3" w:rsidRDefault="00345EE3" w:rsidP="00D73130">
            <w:pPr>
              <w:pStyle w:val="TableParagraph"/>
              <w:spacing w:before="0"/>
              <w:jc w:val="left"/>
              <w:rPr>
                <w:rFonts w:ascii="Times New Roman"/>
                <w:sz w:val="24"/>
              </w:rPr>
            </w:pPr>
          </w:p>
        </w:tc>
        <w:tc>
          <w:tcPr>
            <w:tcW w:w="1134" w:type="dxa"/>
            <w:tcBorders>
              <w:bottom w:val="single" w:sz="4" w:space="0" w:color="231F20"/>
            </w:tcBorders>
            <w:shd w:val="clear" w:color="auto" w:fill="E6E7E8"/>
          </w:tcPr>
          <w:p w14:paraId="372D247A" w14:textId="77777777" w:rsidR="00345EE3" w:rsidRDefault="00345EE3" w:rsidP="00D73130">
            <w:pPr>
              <w:pStyle w:val="TableParagraph"/>
              <w:rPr>
                <w:b/>
                <w:sz w:val="24"/>
              </w:rPr>
            </w:pPr>
            <w:r>
              <w:rPr>
                <w:b/>
                <w:color w:val="231F20"/>
                <w:spacing w:val="-2"/>
                <w:sz w:val="24"/>
              </w:rPr>
              <w:t>3,620</w:t>
            </w:r>
          </w:p>
        </w:tc>
        <w:tc>
          <w:tcPr>
            <w:tcW w:w="1134" w:type="dxa"/>
            <w:tcBorders>
              <w:bottom w:val="single" w:sz="4" w:space="0" w:color="231F20"/>
              <w:right w:val="nil"/>
            </w:tcBorders>
          </w:tcPr>
          <w:p w14:paraId="59DD3782" w14:textId="77777777" w:rsidR="00345EE3" w:rsidRDefault="00345EE3" w:rsidP="00D73130">
            <w:pPr>
              <w:pStyle w:val="TableParagraph"/>
              <w:ind w:right="-15"/>
              <w:rPr>
                <w:b/>
                <w:sz w:val="24"/>
              </w:rPr>
            </w:pPr>
            <w:r>
              <w:rPr>
                <w:b/>
                <w:color w:val="231F20"/>
                <w:spacing w:val="-2"/>
                <w:sz w:val="24"/>
              </w:rPr>
              <w:t>12,354</w:t>
            </w:r>
          </w:p>
        </w:tc>
      </w:tr>
      <w:tr w:rsidR="00345EE3" w14:paraId="25312508" w14:textId="77777777" w:rsidTr="00D73130">
        <w:trPr>
          <w:trHeight w:val="386"/>
        </w:trPr>
        <w:tc>
          <w:tcPr>
            <w:tcW w:w="6803" w:type="dxa"/>
            <w:tcBorders>
              <w:top w:val="single" w:sz="4" w:space="0" w:color="231F20"/>
              <w:left w:val="nil"/>
              <w:bottom w:val="single" w:sz="8" w:space="0" w:color="231F20"/>
            </w:tcBorders>
          </w:tcPr>
          <w:p w14:paraId="2C0ACA19"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8"/>
                <w:sz w:val="24"/>
              </w:rPr>
              <w:t xml:space="preserve"> </w:t>
            </w:r>
            <w:r>
              <w:rPr>
                <w:b/>
                <w:color w:val="231F20"/>
                <w:spacing w:val="-2"/>
                <w:sz w:val="24"/>
              </w:rPr>
              <w:t>Payables</w:t>
            </w:r>
          </w:p>
        </w:tc>
        <w:tc>
          <w:tcPr>
            <w:tcW w:w="1134" w:type="dxa"/>
            <w:tcBorders>
              <w:top w:val="single" w:sz="4" w:space="0" w:color="231F20"/>
              <w:bottom w:val="single" w:sz="8" w:space="0" w:color="231F20"/>
            </w:tcBorders>
          </w:tcPr>
          <w:p w14:paraId="34F7F60D" w14:textId="77777777" w:rsidR="00345EE3" w:rsidRDefault="00345EE3" w:rsidP="00D73130">
            <w:pPr>
              <w:pStyle w:val="TableParagraph"/>
              <w:spacing w:before="0"/>
              <w:jc w:val="left"/>
              <w:rPr>
                <w:rFonts w:ascii="Times New Roman"/>
                <w:sz w:val="24"/>
              </w:rPr>
            </w:pPr>
          </w:p>
        </w:tc>
        <w:tc>
          <w:tcPr>
            <w:tcW w:w="1134" w:type="dxa"/>
            <w:tcBorders>
              <w:top w:val="single" w:sz="4" w:space="0" w:color="231F20"/>
              <w:bottom w:val="single" w:sz="8" w:space="0" w:color="231F20"/>
            </w:tcBorders>
            <w:shd w:val="clear" w:color="auto" w:fill="E6E7E8"/>
          </w:tcPr>
          <w:p w14:paraId="27A729D0" w14:textId="77777777" w:rsidR="00345EE3" w:rsidRDefault="00345EE3" w:rsidP="00D73130">
            <w:pPr>
              <w:pStyle w:val="TableParagraph"/>
              <w:spacing w:before="58"/>
              <w:rPr>
                <w:b/>
                <w:sz w:val="24"/>
              </w:rPr>
            </w:pPr>
            <w:r>
              <w:rPr>
                <w:b/>
                <w:color w:val="231F20"/>
                <w:spacing w:val="-2"/>
                <w:sz w:val="24"/>
              </w:rPr>
              <w:t>126,527</w:t>
            </w:r>
          </w:p>
        </w:tc>
        <w:tc>
          <w:tcPr>
            <w:tcW w:w="1134" w:type="dxa"/>
            <w:tcBorders>
              <w:top w:val="single" w:sz="4" w:space="0" w:color="231F20"/>
              <w:bottom w:val="single" w:sz="8" w:space="0" w:color="231F20"/>
              <w:right w:val="nil"/>
            </w:tcBorders>
          </w:tcPr>
          <w:p w14:paraId="52FBE947" w14:textId="77777777" w:rsidR="00345EE3" w:rsidRDefault="00345EE3" w:rsidP="00D73130">
            <w:pPr>
              <w:pStyle w:val="TableParagraph"/>
              <w:spacing w:before="58"/>
              <w:ind w:right="-15"/>
              <w:rPr>
                <w:b/>
                <w:sz w:val="24"/>
              </w:rPr>
            </w:pPr>
            <w:r>
              <w:rPr>
                <w:b/>
                <w:color w:val="231F20"/>
                <w:spacing w:val="-2"/>
                <w:sz w:val="24"/>
              </w:rPr>
              <w:t>104,936</w:t>
            </w:r>
          </w:p>
        </w:tc>
      </w:tr>
    </w:tbl>
    <w:p w14:paraId="69666E62" w14:textId="77777777" w:rsidR="00345EE3" w:rsidRDefault="00345EE3" w:rsidP="00345EE3">
      <w:pPr>
        <w:pStyle w:val="BodyText"/>
        <w:spacing w:before="107"/>
      </w:pPr>
      <w:r>
        <w:rPr>
          <w:color w:val="231F20"/>
        </w:rPr>
        <w:t>Payables</w:t>
      </w:r>
      <w:r>
        <w:rPr>
          <w:color w:val="231F20"/>
          <w:spacing w:val="-16"/>
        </w:rPr>
        <w:t xml:space="preserve"> </w:t>
      </w:r>
      <w:r>
        <w:rPr>
          <w:color w:val="231F20"/>
        </w:rPr>
        <w:t>consist</w:t>
      </w:r>
      <w:r>
        <w:rPr>
          <w:color w:val="231F20"/>
          <w:spacing w:val="-15"/>
        </w:rPr>
        <w:t xml:space="preserve"> </w:t>
      </w:r>
      <w:r>
        <w:rPr>
          <w:color w:val="231F20"/>
          <w:spacing w:val="-5"/>
        </w:rPr>
        <w:t>of:</w:t>
      </w:r>
    </w:p>
    <w:p w14:paraId="19A59493" w14:textId="77777777" w:rsidR="00345EE3" w:rsidRDefault="00345EE3">
      <w:pPr>
        <w:pStyle w:val="ListParagraph"/>
        <w:numPr>
          <w:ilvl w:val="0"/>
          <w:numId w:val="30"/>
        </w:numPr>
        <w:tabs>
          <w:tab w:val="left" w:pos="393"/>
          <w:tab w:val="left" w:pos="394"/>
        </w:tabs>
        <w:spacing w:line="242" w:lineRule="auto"/>
        <w:ind w:right="177"/>
        <w:rPr>
          <w:sz w:val="24"/>
        </w:rPr>
      </w:pPr>
      <w:r>
        <w:rPr>
          <w:b/>
          <w:color w:val="231F20"/>
          <w:sz w:val="24"/>
        </w:rPr>
        <w:t xml:space="preserve">contractual payables </w:t>
      </w:r>
      <w:r>
        <w:rPr>
          <w:color w:val="231F20"/>
          <w:sz w:val="24"/>
        </w:rPr>
        <w:t xml:space="preserve">classified as financial instruments and measured at amortised cost. </w:t>
      </w:r>
      <w:r>
        <w:rPr>
          <w:color w:val="231F20"/>
          <w:spacing w:val="-2"/>
          <w:sz w:val="24"/>
        </w:rPr>
        <w:t>Accounts payable</w:t>
      </w:r>
      <w:r>
        <w:rPr>
          <w:color w:val="231F20"/>
          <w:spacing w:val="-3"/>
          <w:sz w:val="24"/>
        </w:rPr>
        <w:t xml:space="preserve"> </w:t>
      </w:r>
      <w:r>
        <w:rPr>
          <w:color w:val="231F20"/>
          <w:spacing w:val="-2"/>
          <w:sz w:val="24"/>
        </w:rPr>
        <w:t>represent liabilities for</w:t>
      </w:r>
      <w:r>
        <w:rPr>
          <w:color w:val="231F20"/>
          <w:spacing w:val="-3"/>
          <w:sz w:val="24"/>
        </w:rPr>
        <w:t xml:space="preserve"> </w:t>
      </w:r>
      <w:r>
        <w:rPr>
          <w:color w:val="231F20"/>
          <w:spacing w:val="-2"/>
          <w:sz w:val="24"/>
        </w:rPr>
        <w:t>goods</w:t>
      </w:r>
      <w:r>
        <w:rPr>
          <w:color w:val="231F20"/>
          <w:spacing w:val="-11"/>
          <w:sz w:val="24"/>
        </w:rPr>
        <w:t xml:space="preserve"> </w:t>
      </w:r>
      <w:r>
        <w:rPr>
          <w:color w:val="231F20"/>
          <w:spacing w:val="-2"/>
          <w:sz w:val="24"/>
        </w:rPr>
        <w:t>and</w:t>
      </w:r>
      <w:r>
        <w:rPr>
          <w:color w:val="231F20"/>
          <w:spacing w:val="-11"/>
          <w:sz w:val="24"/>
        </w:rPr>
        <w:t xml:space="preserve"> </w:t>
      </w:r>
      <w:r>
        <w:rPr>
          <w:color w:val="231F20"/>
          <w:spacing w:val="-2"/>
          <w:sz w:val="24"/>
        </w:rPr>
        <w:t>services</w:t>
      </w:r>
      <w:r>
        <w:rPr>
          <w:color w:val="231F20"/>
          <w:spacing w:val="-11"/>
          <w:sz w:val="24"/>
        </w:rPr>
        <w:t xml:space="preserve"> </w:t>
      </w:r>
      <w:r>
        <w:rPr>
          <w:color w:val="231F20"/>
          <w:spacing w:val="-2"/>
          <w:sz w:val="24"/>
        </w:rPr>
        <w:t>provided</w:t>
      </w:r>
      <w:r>
        <w:rPr>
          <w:color w:val="231F20"/>
          <w:spacing w:val="-11"/>
          <w:sz w:val="24"/>
        </w:rPr>
        <w:t xml:space="preserve"> </w:t>
      </w:r>
      <w:r>
        <w:rPr>
          <w:color w:val="231F20"/>
          <w:spacing w:val="-2"/>
          <w:sz w:val="24"/>
        </w:rPr>
        <w:t>to</w:t>
      </w:r>
      <w:r>
        <w:rPr>
          <w:color w:val="231F20"/>
          <w:spacing w:val="-11"/>
          <w:sz w:val="24"/>
        </w:rPr>
        <w:t xml:space="preserve"> </w:t>
      </w:r>
      <w:r>
        <w:rPr>
          <w:color w:val="231F20"/>
          <w:spacing w:val="-2"/>
          <w:sz w:val="24"/>
        </w:rPr>
        <w:t>Victoria</w:t>
      </w:r>
      <w:r>
        <w:rPr>
          <w:color w:val="231F20"/>
          <w:spacing w:val="-11"/>
          <w:sz w:val="24"/>
        </w:rPr>
        <w:t xml:space="preserve"> </w:t>
      </w:r>
      <w:r>
        <w:rPr>
          <w:color w:val="231F20"/>
          <w:spacing w:val="-2"/>
          <w:sz w:val="24"/>
        </w:rPr>
        <w:t>Police</w:t>
      </w:r>
      <w:r>
        <w:rPr>
          <w:color w:val="231F20"/>
          <w:spacing w:val="-11"/>
          <w:sz w:val="24"/>
        </w:rPr>
        <w:t xml:space="preserve"> </w:t>
      </w:r>
      <w:r>
        <w:rPr>
          <w:color w:val="231F20"/>
          <w:spacing w:val="-2"/>
          <w:sz w:val="24"/>
        </w:rPr>
        <w:t>prior</w:t>
      </w:r>
      <w:r>
        <w:rPr>
          <w:color w:val="231F20"/>
          <w:spacing w:val="-11"/>
          <w:sz w:val="24"/>
        </w:rPr>
        <w:t xml:space="preserve"> </w:t>
      </w:r>
      <w:r>
        <w:rPr>
          <w:color w:val="231F20"/>
          <w:spacing w:val="-2"/>
          <w:sz w:val="24"/>
        </w:rPr>
        <w:t>to the</w:t>
      </w:r>
      <w:r>
        <w:rPr>
          <w:color w:val="231F20"/>
          <w:spacing w:val="-15"/>
          <w:sz w:val="24"/>
        </w:rPr>
        <w:t xml:space="preserve"> </w:t>
      </w:r>
      <w:r>
        <w:rPr>
          <w:color w:val="231F20"/>
          <w:spacing w:val="-2"/>
          <w:sz w:val="24"/>
        </w:rPr>
        <w:t>end</w:t>
      </w:r>
      <w:r>
        <w:rPr>
          <w:color w:val="231F20"/>
          <w:spacing w:val="-15"/>
          <w:sz w:val="24"/>
        </w:rPr>
        <w:t xml:space="preserve"> </w:t>
      </w:r>
      <w:r>
        <w:rPr>
          <w:color w:val="231F20"/>
          <w:spacing w:val="-2"/>
          <w:sz w:val="24"/>
        </w:rPr>
        <w:t>of</w:t>
      </w:r>
      <w:r>
        <w:rPr>
          <w:color w:val="231F20"/>
          <w:spacing w:val="-14"/>
          <w:sz w:val="24"/>
        </w:rPr>
        <w:t xml:space="preserve"> </w:t>
      </w:r>
      <w:r>
        <w:rPr>
          <w:color w:val="231F20"/>
          <w:spacing w:val="-2"/>
          <w:sz w:val="24"/>
        </w:rPr>
        <w:t>the</w:t>
      </w:r>
      <w:r>
        <w:rPr>
          <w:color w:val="231F20"/>
          <w:spacing w:val="-15"/>
          <w:sz w:val="24"/>
        </w:rPr>
        <w:t xml:space="preserve"> </w:t>
      </w:r>
      <w:r>
        <w:rPr>
          <w:color w:val="231F20"/>
          <w:spacing w:val="-2"/>
          <w:sz w:val="24"/>
        </w:rPr>
        <w:t>financial</w:t>
      </w:r>
      <w:r>
        <w:rPr>
          <w:color w:val="231F20"/>
          <w:spacing w:val="-15"/>
          <w:sz w:val="24"/>
        </w:rPr>
        <w:t xml:space="preserve"> </w:t>
      </w:r>
      <w:r>
        <w:rPr>
          <w:color w:val="231F20"/>
          <w:spacing w:val="-2"/>
          <w:sz w:val="24"/>
        </w:rPr>
        <w:t>year</w:t>
      </w:r>
      <w:r>
        <w:rPr>
          <w:color w:val="231F20"/>
          <w:spacing w:val="-15"/>
          <w:sz w:val="24"/>
        </w:rPr>
        <w:t xml:space="preserve"> </w:t>
      </w:r>
      <w:r>
        <w:rPr>
          <w:color w:val="231F20"/>
          <w:spacing w:val="-2"/>
          <w:sz w:val="24"/>
        </w:rPr>
        <w:t>that</w:t>
      </w:r>
      <w:r>
        <w:rPr>
          <w:color w:val="231F20"/>
          <w:spacing w:val="-14"/>
          <w:sz w:val="24"/>
        </w:rPr>
        <w:t xml:space="preserve"> </w:t>
      </w:r>
      <w:r>
        <w:rPr>
          <w:color w:val="231F20"/>
          <w:spacing w:val="-2"/>
          <w:sz w:val="24"/>
        </w:rPr>
        <w:t>are</w:t>
      </w:r>
      <w:r>
        <w:rPr>
          <w:color w:val="231F20"/>
          <w:spacing w:val="-15"/>
          <w:sz w:val="24"/>
        </w:rPr>
        <w:t xml:space="preserve"> </w:t>
      </w:r>
      <w:r>
        <w:rPr>
          <w:color w:val="231F20"/>
          <w:spacing w:val="-2"/>
          <w:sz w:val="24"/>
        </w:rPr>
        <w:t>unpaid.</w:t>
      </w:r>
      <w:r>
        <w:rPr>
          <w:color w:val="231F20"/>
          <w:spacing w:val="-15"/>
          <w:sz w:val="24"/>
        </w:rPr>
        <w:t xml:space="preserve"> </w:t>
      </w:r>
      <w:r>
        <w:rPr>
          <w:color w:val="231F20"/>
          <w:spacing w:val="-2"/>
          <w:sz w:val="24"/>
        </w:rPr>
        <w:t>Victoria</w:t>
      </w:r>
      <w:r>
        <w:rPr>
          <w:color w:val="231F20"/>
          <w:spacing w:val="-14"/>
          <w:sz w:val="24"/>
        </w:rPr>
        <w:t xml:space="preserve"> </w:t>
      </w:r>
      <w:r>
        <w:rPr>
          <w:color w:val="231F20"/>
          <w:spacing w:val="-2"/>
          <w:sz w:val="24"/>
        </w:rPr>
        <w:t>Police’s</w:t>
      </w:r>
      <w:r>
        <w:rPr>
          <w:color w:val="231F20"/>
          <w:spacing w:val="-15"/>
          <w:sz w:val="24"/>
        </w:rPr>
        <w:t xml:space="preserve"> </w:t>
      </w:r>
      <w:r>
        <w:rPr>
          <w:color w:val="231F20"/>
          <w:spacing w:val="-2"/>
          <w:sz w:val="24"/>
        </w:rPr>
        <w:t>exposure</w:t>
      </w:r>
      <w:r>
        <w:rPr>
          <w:color w:val="231F20"/>
          <w:spacing w:val="-15"/>
          <w:sz w:val="24"/>
        </w:rPr>
        <w:t xml:space="preserve"> </w:t>
      </w:r>
      <w:r>
        <w:rPr>
          <w:color w:val="231F20"/>
          <w:spacing w:val="-2"/>
          <w:sz w:val="24"/>
        </w:rPr>
        <w:t>to</w:t>
      </w:r>
      <w:r>
        <w:rPr>
          <w:color w:val="231F20"/>
          <w:spacing w:val="-14"/>
          <w:sz w:val="24"/>
        </w:rPr>
        <w:t xml:space="preserve"> </w:t>
      </w:r>
      <w:r>
        <w:rPr>
          <w:color w:val="231F20"/>
          <w:spacing w:val="-2"/>
          <w:sz w:val="24"/>
        </w:rPr>
        <w:t>liquidity</w:t>
      </w:r>
      <w:r>
        <w:rPr>
          <w:color w:val="231F20"/>
          <w:spacing w:val="-15"/>
          <w:sz w:val="24"/>
        </w:rPr>
        <w:t xml:space="preserve"> </w:t>
      </w:r>
      <w:r>
        <w:rPr>
          <w:color w:val="231F20"/>
          <w:spacing w:val="-2"/>
          <w:sz w:val="24"/>
        </w:rPr>
        <w:t>risk</w:t>
      </w:r>
      <w:r>
        <w:rPr>
          <w:color w:val="231F20"/>
          <w:spacing w:val="-15"/>
          <w:sz w:val="24"/>
        </w:rPr>
        <w:t xml:space="preserve"> </w:t>
      </w:r>
      <w:r>
        <w:rPr>
          <w:color w:val="231F20"/>
          <w:spacing w:val="-2"/>
          <w:sz w:val="24"/>
        </w:rPr>
        <w:t>is</w:t>
      </w:r>
      <w:r>
        <w:rPr>
          <w:color w:val="231F20"/>
          <w:spacing w:val="-14"/>
          <w:sz w:val="24"/>
        </w:rPr>
        <w:t xml:space="preserve"> </w:t>
      </w:r>
      <w:r>
        <w:rPr>
          <w:color w:val="231F20"/>
          <w:spacing w:val="-2"/>
          <w:sz w:val="24"/>
        </w:rPr>
        <w:t>deemed insignificant</w:t>
      </w:r>
      <w:r>
        <w:rPr>
          <w:color w:val="231F20"/>
          <w:spacing w:val="-14"/>
          <w:sz w:val="24"/>
        </w:rPr>
        <w:t xml:space="preserve"> </w:t>
      </w:r>
      <w:r>
        <w:rPr>
          <w:color w:val="231F20"/>
          <w:spacing w:val="-2"/>
          <w:sz w:val="24"/>
        </w:rPr>
        <w:t>based</w:t>
      </w:r>
      <w:r>
        <w:rPr>
          <w:color w:val="231F20"/>
          <w:spacing w:val="-14"/>
          <w:sz w:val="24"/>
        </w:rPr>
        <w:t xml:space="preserve"> </w:t>
      </w:r>
      <w:r>
        <w:rPr>
          <w:color w:val="231F20"/>
          <w:spacing w:val="-2"/>
          <w:sz w:val="24"/>
        </w:rPr>
        <w:t>on</w:t>
      </w:r>
      <w:r>
        <w:rPr>
          <w:color w:val="231F20"/>
          <w:spacing w:val="-14"/>
          <w:sz w:val="24"/>
        </w:rPr>
        <w:t xml:space="preserve"> </w:t>
      </w:r>
      <w:r>
        <w:rPr>
          <w:color w:val="231F20"/>
          <w:spacing w:val="-2"/>
          <w:sz w:val="24"/>
        </w:rPr>
        <w:t>prior</w:t>
      </w:r>
      <w:r>
        <w:rPr>
          <w:color w:val="231F20"/>
          <w:spacing w:val="-14"/>
          <w:sz w:val="24"/>
        </w:rPr>
        <w:t xml:space="preserve"> </w:t>
      </w:r>
      <w:r>
        <w:rPr>
          <w:color w:val="231F20"/>
          <w:spacing w:val="-2"/>
          <w:sz w:val="24"/>
        </w:rPr>
        <w:t>periods</w:t>
      </w:r>
      <w:r>
        <w:rPr>
          <w:color w:val="231F20"/>
          <w:spacing w:val="-14"/>
          <w:sz w:val="24"/>
        </w:rPr>
        <w:t xml:space="preserve"> </w:t>
      </w:r>
      <w:r>
        <w:rPr>
          <w:color w:val="231F20"/>
          <w:spacing w:val="-2"/>
          <w:sz w:val="24"/>
        </w:rPr>
        <w:t>data</w:t>
      </w:r>
      <w:r>
        <w:rPr>
          <w:color w:val="231F20"/>
          <w:spacing w:val="-14"/>
          <w:sz w:val="24"/>
        </w:rPr>
        <w:t xml:space="preserve"> </w:t>
      </w:r>
      <w:r>
        <w:rPr>
          <w:color w:val="231F20"/>
          <w:spacing w:val="-2"/>
          <w:sz w:val="24"/>
        </w:rPr>
        <w:t>and</w:t>
      </w:r>
      <w:r>
        <w:rPr>
          <w:color w:val="231F20"/>
          <w:spacing w:val="-14"/>
          <w:sz w:val="24"/>
        </w:rPr>
        <w:t xml:space="preserve"> </w:t>
      </w:r>
      <w:r>
        <w:rPr>
          <w:color w:val="231F20"/>
          <w:spacing w:val="-2"/>
          <w:sz w:val="24"/>
        </w:rPr>
        <w:t>current</w:t>
      </w:r>
      <w:r>
        <w:rPr>
          <w:color w:val="231F20"/>
          <w:spacing w:val="-14"/>
          <w:sz w:val="24"/>
        </w:rPr>
        <w:t xml:space="preserve"> </w:t>
      </w:r>
      <w:r>
        <w:rPr>
          <w:color w:val="231F20"/>
          <w:spacing w:val="-2"/>
          <w:sz w:val="24"/>
        </w:rPr>
        <w:t>assessment</w:t>
      </w:r>
      <w:r>
        <w:rPr>
          <w:color w:val="231F20"/>
          <w:spacing w:val="-14"/>
          <w:sz w:val="24"/>
        </w:rPr>
        <w:t xml:space="preserve"> </w:t>
      </w:r>
      <w:r>
        <w:rPr>
          <w:color w:val="231F20"/>
          <w:spacing w:val="-2"/>
          <w:sz w:val="24"/>
        </w:rPr>
        <w:t>of</w:t>
      </w:r>
      <w:r>
        <w:rPr>
          <w:color w:val="231F20"/>
          <w:spacing w:val="-14"/>
          <w:sz w:val="24"/>
        </w:rPr>
        <w:t xml:space="preserve"> </w:t>
      </w:r>
      <w:r>
        <w:rPr>
          <w:color w:val="231F20"/>
          <w:spacing w:val="-2"/>
          <w:sz w:val="24"/>
        </w:rPr>
        <w:t>risk.</w:t>
      </w:r>
      <w:r>
        <w:rPr>
          <w:color w:val="231F20"/>
          <w:spacing w:val="-14"/>
          <w:sz w:val="24"/>
        </w:rPr>
        <w:t xml:space="preserve"> </w:t>
      </w:r>
      <w:r>
        <w:rPr>
          <w:color w:val="231F20"/>
          <w:spacing w:val="-2"/>
          <w:sz w:val="24"/>
        </w:rPr>
        <w:t>The</w:t>
      </w:r>
      <w:r>
        <w:rPr>
          <w:color w:val="231F20"/>
          <w:spacing w:val="-14"/>
          <w:sz w:val="24"/>
        </w:rPr>
        <w:t xml:space="preserve"> </w:t>
      </w:r>
      <w:r>
        <w:rPr>
          <w:color w:val="231F20"/>
          <w:spacing w:val="-2"/>
          <w:sz w:val="24"/>
        </w:rPr>
        <w:t>carrying</w:t>
      </w:r>
      <w:r>
        <w:rPr>
          <w:color w:val="231F20"/>
          <w:spacing w:val="-14"/>
          <w:sz w:val="24"/>
        </w:rPr>
        <w:t xml:space="preserve"> </w:t>
      </w:r>
      <w:r>
        <w:rPr>
          <w:color w:val="231F20"/>
          <w:spacing w:val="-2"/>
          <w:sz w:val="24"/>
        </w:rPr>
        <w:t>amount</w:t>
      </w:r>
      <w:r>
        <w:rPr>
          <w:color w:val="231F20"/>
          <w:spacing w:val="-14"/>
          <w:sz w:val="24"/>
        </w:rPr>
        <w:t xml:space="preserve"> </w:t>
      </w:r>
      <w:r>
        <w:rPr>
          <w:color w:val="231F20"/>
          <w:spacing w:val="-2"/>
          <w:sz w:val="24"/>
        </w:rPr>
        <w:t xml:space="preserve">of </w:t>
      </w:r>
      <w:r>
        <w:rPr>
          <w:color w:val="231F20"/>
          <w:spacing w:val="-6"/>
          <w:sz w:val="24"/>
        </w:rPr>
        <w:t xml:space="preserve">the contractual financial liabilities recorded above represents Victoria Police’s maximum exposure </w:t>
      </w:r>
      <w:r>
        <w:rPr>
          <w:color w:val="231F20"/>
          <w:sz w:val="24"/>
        </w:rPr>
        <w:t>to liquidity risk; and</w:t>
      </w:r>
    </w:p>
    <w:p w14:paraId="00417F42" w14:textId="77777777" w:rsidR="00345EE3" w:rsidRDefault="00345EE3">
      <w:pPr>
        <w:pStyle w:val="ListParagraph"/>
        <w:numPr>
          <w:ilvl w:val="0"/>
          <w:numId w:val="30"/>
        </w:numPr>
        <w:tabs>
          <w:tab w:val="left" w:pos="394"/>
        </w:tabs>
        <w:spacing w:before="62" w:line="242" w:lineRule="auto"/>
        <w:ind w:right="433"/>
        <w:jc w:val="both"/>
        <w:rPr>
          <w:sz w:val="24"/>
        </w:rPr>
      </w:pPr>
      <w:r>
        <w:rPr>
          <w:b/>
          <w:color w:val="231F20"/>
          <w:sz w:val="24"/>
        </w:rPr>
        <w:t>statutory</w:t>
      </w:r>
      <w:r>
        <w:rPr>
          <w:b/>
          <w:color w:val="231F20"/>
          <w:spacing w:val="-9"/>
          <w:sz w:val="24"/>
        </w:rPr>
        <w:t xml:space="preserve"> </w:t>
      </w:r>
      <w:r>
        <w:rPr>
          <w:b/>
          <w:color w:val="231F20"/>
          <w:sz w:val="24"/>
        </w:rPr>
        <w:t>payables</w:t>
      </w:r>
      <w:r>
        <w:rPr>
          <w:b/>
          <w:color w:val="231F20"/>
          <w:spacing w:val="-9"/>
          <w:sz w:val="24"/>
        </w:rPr>
        <w:t xml:space="preserve"> </w:t>
      </w:r>
      <w:r>
        <w:rPr>
          <w:color w:val="231F20"/>
          <w:sz w:val="24"/>
        </w:rPr>
        <w:t>are</w:t>
      </w:r>
      <w:r>
        <w:rPr>
          <w:color w:val="231F20"/>
          <w:spacing w:val="-9"/>
          <w:sz w:val="24"/>
        </w:rPr>
        <w:t xml:space="preserve"> </w:t>
      </w:r>
      <w:r>
        <w:rPr>
          <w:color w:val="231F20"/>
          <w:sz w:val="24"/>
        </w:rPr>
        <w:t>recognised</w:t>
      </w:r>
      <w:r>
        <w:rPr>
          <w:color w:val="231F20"/>
          <w:spacing w:val="-9"/>
          <w:sz w:val="24"/>
        </w:rPr>
        <w:t xml:space="preserve"> </w:t>
      </w:r>
      <w:r>
        <w:rPr>
          <w:color w:val="231F20"/>
          <w:sz w:val="24"/>
        </w:rPr>
        <w:t>and</w:t>
      </w:r>
      <w:r>
        <w:rPr>
          <w:color w:val="231F20"/>
          <w:spacing w:val="-9"/>
          <w:sz w:val="24"/>
        </w:rPr>
        <w:t xml:space="preserve"> </w:t>
      </w:r>
      <w:r>
        <w:rPr>
          <w:color w:val="231F20"/>
          <w:sz w:val="24"/>
        </w:rPr>
        <w:t>measured</w:t>
      </w:r>
      <w:r>
        <w:rPr>
          <w:color w:val="231F20"/>
          <w:spacing w:val="-9"/>
          <w:sz w:val="24"/>
        </w:rPr>
        <w:t xml:space="preserve"> </w:t>
      </w:r>
      <w:r>
        <w:rPr>
          <w:color w:val="231F20"/>
          <w:sz w:val="24"/>
        </w:rPr>
        <w:t>similarly</w:t>
      </w:r>
      <w:r>
        <w:rPr>
          <w:color w:val="231F20"/>
          <w:spacing w:val="-9"/>
          <w:sz w:val="24"/>
        </w:rPr>
        <w:t xml:space="preserve"> </w:t>
      </w:r>
      <w:r>
        <w:rPr>
          <w:color w:val="231F20"/>
          <w:sz w:val="24"/>
        </w:rPr>
        <w:t>to</w:t>
      </w:r>
      <w:r>
        <w:rPr>
          <w:color w:val="231F20"/>
          <w:spacing w:val="-9"/>
          <w:sz w:val="24"/>
        </w:rPr>
        <w:t xml:space="preserve"> </w:t>
      </w:r>
      <w:r>
        <w:rPr>
          <w:color w:val="231F20"/>
          <w:sz w:val="24"/>
        </w:rPr>
        <w:t>contractual</w:t>
      </w:r>
      <w:r>
        <w:rPr>
          <w:color w:val="231F20"/>
          <w:spacing w:val="-9"/>
          <w:sz w:val="24"/>
        </w:rPr>
        <w:t xml:space="preserve"> </w:t>
      </w:r>
      <w:r>
        <w:rPr>
          <w:color w:val="231F20"/>
          <w:sz w:val="24"/>
        </w:rPr>
        <w:t>payables</w:t>
      </w:r>
      <w:r>
        <w:rPr>
          <w:color w:val="231F20"/>
          <w:spacing w:val="-9"/>
          <w:sz w:val="24"/>
        </w:rPr>
        <w:t xml:space="preserve"> </w:t>
      </w:r>
      <w:r>
        <w:rPr>
          <w:color w:val="231F20"/>
          <w:sz w:val="24"/>
        </w:rPr>
        <w:t>but</w:t>
      </w:r>
      <w:r>
        <w:rPr>
          <w:color w:val="231F20"/>
          <w:spacing w:val="-9"/>
          <w:sz w:val="24"/>
        </w:rPr>
        <w:t xml:space="preserve"> </w:t>
      </w:r>
      <w:r>
        <w:rPr>
          <w:color w:val="231F20"/>
          <w:sz w:val="24"/>
        </w:rPr>
        <w:t xml:space="preserve">are </w:t>
      </w:r>
      <w:r>
        <w:rPr>
          <w:color w:val="231F20"/>
          <w:spacing w:val="-2"/>
          <w:sz w:val="24"/>
        </w:rPr>
        <w:t>not</w:t>
      </w:r>
      <w:r>
        <w:rPr>
          <w:color w:val="231F20"/>
          <w:spacing w:val="-6"/>
          <w:sz w:val="24"/>
        </w:rPr>
        <w:t xml:space="preserve"> </w:t>
      </w:r>
      <w:r>
        <w:rPr>
          <w:color w:val="231F20"/>
          <w:spacing w:val="-2"/>
          <w:sz w:val="24"/>
        </w:rPr>
        <w:t>classified</w:t>
      </w:r>
      <w:r>
        <w:rPr>
          <w:color w:val="231F20"/>
          <w:spacing w:val="-6"/>
          <w:sz w:val="24"/>
        </w:rPr>
        <w:t xml:space="preserve"> </w:t>
      </w:r>
      <w:r>
        <w:rPr>
          <w:color w:val="231F20"/>
          <w:spacing w:val="-2"/>
          <w:sz w:val="24"/>
        </w:rPr>
        <w:t>as</w:t>
      </w:r>
      <w:r>
        <w:rPr>
          <w:color w:val="231F20"/>
          <w:spacing w:val="-7"/>
          <w:sz w:val="24"/>
        </w:rPr>
        <w:t xml:space="preserve"> </w:t>
      </w:r>
      <w:r>
        <w:rPr>
          <w:color w:val="231F20"/>
          <w:spacing w:val="-2"/>
          <w:sz w:val="24"/>
        </w:rPr>
        <w:t>financial</w:t>
      </w:r>
      <w:r>
        <w:rPr>
          <w:color w:val="231F20"/>
          <w:spacing w:val="-6"/>
          <w:sz w:val="24"/>
        </w:rPr>
        <w:t xml:space="preserve"> </w:t>
      </w:r>
      <w:r>
        <w:rPr>
          <w:color w:val="231F20"/>
          <w:spacing w:val="-2"/>
          <w:sz w:val="24"/>
        </w:rPr>
        <w:t>instruments</w:t>
      </w:r>
      <w:r>
        <w:rPr>
          <w:color w:val="231F20"/>
          <w:spacing w:val="-6"/>
          <w:sz w:val="24"/>
        </w:rPr>
        <w:t xml:space="preserve"> </w:t>
      </w:r>
      <w:r>
        <w:rPr>
          <w:color w:val="231F20"/>
          <w:spacing w:val="-2"/>
          <w:sz w:val="24"/>
        </w:rPr>
        <w:t>and</w:t>
      </w:r>
      <w:r>
        <w:rPr>
          <w:color w:val="231F20"/>
          <w:spacing w:val="-6"/>
          <w:sz w:val="24"/>
        </w:rPr>
        <w:t xml:space="preserve"> </w:t>
      </w:r>
      <w:r>
        <w:rPr>
          <w:color w:val="231F20"/>
          <w:spacing w:val="-2"/>
          <w:sz w:val="24"/>
        </w:rPr>
        <w:t>not</w:t>
      </w:r>
      <w:r>
        <w:rPr>
          <w:color w:val="231F20"/>
          <w:spacing w:val="-15"/>
          <w:sz w:val="24"/>
        </w:rPr>
        <w:t xml:space="preserve"> </w:t>
      </w:r>
      <w:r>
        <w:rPr>
          <w:color w:val="231F20"/>
          <w:spacing w:val="-2"/>
          <w:sz w:val="24"/>
        </w:rPr>
        <w:t>included</w:t>
      </w:r>
      <w:r>
        <w:rPr>
          <w:color w:val="231F20"/>
          <w:spacing w:val="-14"/>
          <w:sz w:val="24"/>
        </w:rPr>
        <w:t xml:space="preserve"> </w:t>
      </w:r>
      <w:r>
        <w:rPr>
          <w:color w:val="231F20"/>
          <w:spacing w:val="-2"/>
          <w:sz w:val="24"/>
        </w:rPr>
        <w:t>in</w:t>
      </w:r>
      <w:r>
        <w:rPr>
          <w:color w:val="231F20"/>
          <w:spacing w:val="-15"/>
          <w:sz w:val="24"/>
        </w:rPr>
        <w:t xml:space="preserve"> </w:t>
      </w:r>
      <w:r>
        <w:rPr>
          <w:color w:val="231F20"/>
          <w:spacing w:val="-2"/>
          <w:sz w:val="24"/>
        </w:rPr>
        <w:t>the</w:t>
      </w:r>
      <w:r>
        <w:rPr>
          <w:color w:val="231F20"/>
          <w:spacing w:val="-14"/>
          <w:sz w:val="24"/>
        </w:rPr>
        <w:t xml:space="preserve"> </w:t>
      </w:r>
      <w:r>
        <w:rPr>
          <w:color w:val="231F20"/>
          <w:spacing w:val="-2"/>
          <w:sz w:val="24"/>
        </w:rPr>
        <w:t>category</w:t>
      </w:r>
      <w:r>
        <w:rPr>
          <w:color w:val="231F20"/>
          <w:spacing w:val="-15"/>
          <w:sz w:val="24"/>
        </w:rPr>
        <w:t xml:space="preserve"> </w:t>
      </w:r>
      <w:r>
        <w:rPr>
          <w:color w:val="231F20"/>
          <w:spacing w:val="-2"/>
          <w:sz w:val="24"/>
        </w:rPr>
        <w:t>of</w:t>
      </w:r>
      <w:r>
        <w:rPr>
          <w:color w:val="231F20"/>
          <w:spacing w:val="-14"/>
          <w:sz w:val="24"/>
        </w:rPr>
        <w:t xml:space="preserve"> </w:t>
      </w:r>
      <w:r>
        <w:rPr>
          <w:color w:val="231F20"/>
          <w:spacing w:val="-2"/>
          <w:sz w:val="24"/>
        </w:rPr>
        <w:t>financial</w:t>
      </w:r>
      <w:r>
        <w:rPr>
          <w:color w:val="231F20"/>
          <w:spacing w:val="-15"/>
          <w:sz w:val="24"/>
        </w:rPr>
        <w:t xml:space="preserve"> </w:t>
      </w:r>
      <w:r>
        <w:rPr>
          <w:color w:val="231F20"/>
          <w:spacing w:val="-2"/>
          <w:sz w:val="24"/>
        </w:rPr>
        <w:t>liabilities</w:t>
      </w:r>
      <w:r>
        <w:rPr>
          <w:color w:val="231F20"/>
          <w:spacing w:val="-14"/>
          <w:sz w:val="24"/>
        </w:rPr>
        <w:t xml:space="preserve"> </w:t>
      </w:r>
      <w:r>
        <w:rPr>
          <w:color w:val="231F20"/>
          <w:spacing w:val="-2"/>
          <w:sz w:val="24"/>
        </w:rPr>
        <w:t xml:space="preserve">at </w:t>
      </w:r>
      <w:r>
        <w:rPr>
          <w:color w:val="231F20"/>
          <w:sz w:val="24"/>
        </w:rPr>
        <w:t>amortised</w:t>
      </w:r>
      <w:r>
        <w:rPr>
          <w:color w:val="231F20"/>
          <w:spacing w:val="-16"/>
          <w:sz w:val="24"/>
        </w:rPr>
        <w:t xml:space="preserve"> </w:t>
      </w:r>
      <w:r>
        <w:rPr>
          <w:color w:val="231F20"/>
          <w:sz w:val="24"/>
        </w:rPr>
        <w:t>cost,</w:t>
      </w:r>
      <w:r>
        <w:rPr>
          <w:color w:val="231F20"/>
          <w:spacing w:val="-16"/>
          <w:sz w:val="24"/>
        </w:rPr>
        <w:t xml:space="preserve"> </w:t>
      </w:r>
      <w:r>
        <w:rPr>
          <w:color w:val="231F20"/>
          <w:sz w:val="24"/>
        </w:rPr>
        <w:t>because</w:t>
      </w:r>
      <w:r>
        <w:rPr>
          <w:color w:val="231F20"/>
          <w:spacing w:val="-16"/>
          <w:sz w:val="24"/>
        </w:rPr>
        <w:t xml:space="preserve"> </w:t>
      </w:r>
      <w:r>
        <w:rPr>
          <w:color w:val="231F20"/>
          <w:sz w:val="24"/>
        </w:rPr>
        <w:t>they</w:t>
      </w:r>
      <w:r>
        <w:rPr>
          <w:color w:val="231F20"/>
          <w:spacing w:val="-16"/>
          <w:sz w:val="24"/>
        </w:rPr>
        <w:t xml:space="preserve"> </w:t>
      </w:r>
      <w:r>
        <w:rPr>
          <w:color w:val="231F20"/>
          <w:sz w:val="24"/>
        </w:rPr>
        <w:t>do</w:t>
      </w:r>
      <w:r>
        <w:rPr>
          <w:color w:val="231F20"/>
          <w:spacing w:val="-16"/>
          <w:sz w:val="24"/>
        </w:rPr>
        <w:t xml:space="preserve"> </w:t>
      </w:r>
      <w:r>
        <w:rPr>
          <w:color w:val="231F20"/>
          <w:sz w:val="24"/>
        </w:rPr>
        <w:t>not</w:t>
      </w:r>
      <w:r>
        <w:rPr>
          <w:color w:val="231F20"/>
          <w:spacing w:val="-16"/>
          <w:sz w:val="24"/>
        </w:rPr>
        <w:t xml:space="preserve"> </w:t>
      </w:r>
      <w:r>
        <w:rPr>
          <w:color w:val="231F20"/>
          <w:sz w:val="24"/>
        </w:rPr>
        <w:t>arise</w:t>
      </w:r>
      <w:r>
        <w:rPr>
          <w:color w:val="231F20"/>
          <w:spacing w:val="-16"/>
          <w:sz w:val="24"/>
        </w:rPr>
        <w:t xml:space="preserve"> </w:t>
      </w:r>
      <w:r>
        <w:rPr>
          <w:color w:val="231F20"/>
          <w:sz w:val="24"/>
        </w:rPr>
        <w:t>from</w:t>
      </w:r>
      <w:r>
        <w:rPr>
          <w:color w:val="231F20"/>
          <w:spacing w:val="-16"/>
          <w:sz w:val="24"/>
        </w:rPr>
        <w:t xml:space="preserve"> </w:t>
      </w:r>
      <w:r>
        <w:rPr>
          <w:color w:val="231F20"/>
          <w:sz w:val="24"/>
        </w:rPr>
        <w:t>contracts.</w:t>
      </w:r>
    </w:p>
    <w:p w14:paraId="6BBBAEC3" w14:textId="77777777" w:rsidR="00345EE3" w:rsidRDefault="00345EE3" w:rsidP="00143B83">
      <w:pPr>
        <w:pStyle w:val="BodyText"/>
        <w:spacing w:before="117" w:line="242" w:lineRule="auto"/>
        <w:ind w:left="142"/>
      </w:pPr>
      <w:r>
        <w:rPr>
          <w:color w:val="231F20"/>
        </w:rPr>
        <w:t>Payables</w:t>
      </w:r>
      <w:r>
        <w:rPr>
          <w:color w:val="231F20"/>
          <w:spacing w:val="-10"/>
        </w:rPr>
        <w:t xml:space="preserve"> </w:t>
      </w:r>
      <w:r>
        <w:rPr>
          <w:color w:val="231F20"/>
        </w:rPr>
        <w:t>for</w:t>
      </w:r>
      <w:r>
        <w:rPr>
          <w:color w:val="231F20"/>
          <w:spacing w:val="-10"/>
        </w:rPr>
        <w:t xml:space="preserve"> </w:t>
      </w:r>
      <w:r>
        <w:rPr>
          <w:color w:val="231F20"/>
        </w:rPr>
        <w:t>supplies</w:t>
      </w:r>
      <w:r>
        <w:rPr>
          <w:color w:val="231F20"/>
          <w:spacing w:val="-10"/>
        </w:rPr>
        <w:t xml:space="preserve"> </w:t>
      </w:r>
      <w:r>
        <w:rPr>
          <w:color w:val="231F20"/>
        </w:rPr>
        <w:t>and</w:t>
      </w:r>
      <w:r>
        <w:rPr>
          <w:color w:val="231F20"/>
          <w:spacing w:val="-11"/>
        </w:rPr>
        <w:t xml:space="preserve"> </w:t>
      </w:r>
      <w:r>
        <w:rPr>
          <w:color w:val="231F20"/>
        </w:rPr>
        <w:t>services</w:t>
      </w:r>
      <w:r>
        <w:rPr>
          <w:color w:val="231F20"/>
          <w:spacing w:val="-10"/>
        </w:rPr>
        <w:t xml:space="preserve"> </w:t>
      </w:r>
      <w:r>
        <w:rPr>
          <w:color w:val="231F20"/>
        </w:rPr>
        <w:t>have</w:t>
      </w:r>
      <w:r>
        <w:rPr>
          <w:color w:val="231F20"/>
          <w:spacing w:val="-11"/>
        </w:rPr>
        <w:t xml:space="preserve"> </w:t>
      </w:r>
      <w:r>
        <w:rPr>
          <w:color w:val="231F20"/>
        </w:rPr>
        <w:t>an</w:t>
      </w:r>
      <w:r>
        <w:rPr>
          <w:color w:val="231F20"/>
          <w:spacing w:val="-11"/>
        </w:rPr>
        <w:t xml:space="preserve"> </w:t>
      </w:r>
      <w:r>
        <w:rPr>
          <w:color w:val="231F20"/>
        </w:rPr>
        <w:t>average</w:t>
      </w:r>
      <w:r>
        <w:rPr>
          <w:color w:val="231F20"/>
          <w:spacing w:val="-11"/>
        </w:rPr>
        <w:t xml:space="preserve"> </w:t>
      </w:r>
      <w:r>
        <w:rPr>
          <w:color w:val="231F20"/>
        </w:rPr>
        <w:t>credit</w:t>
      </w:r>
      <w:r>
        <w:rPr>
          <w:color w:val="231F20"/>
          <w:spacing w:val="-10"/>
        </w:rPr>
        <w:t xml:space="preserve"> </w:t>
      </w:r>
      <w:r>
        <w:rPr>
          <w:color w:val="231F20"/>
        </w:rPr>
        <w:t>period</w:t>
      </w:r>
      <w:r>
        <w:rPr>
          <w:color w:val="231F20"/>
          <w:spacing w:val="-11"/>
        </w:rPr>
        <w:t xml:space="preserve"> </w:t>
      </w:r>
      <w:r>
        <w:rPr>
          <w:color w:val="231F20"/>
        </w:rPr>
        <w:t>of</w:t>
      </w:r>
      <w:r>
        <w:rPr>
          <w:color w:val="231F20"/>
          <w:spacing w:val="-10"/>
        </w:rPr>
        <w:t xml:space="preserve"> </w:t>
      </w:r>
      <w:r>
        <w:rPr>
          <w:color w:val="231F20"/>
        </w:rPr>
        <w:t>30</w:t>
      </w:r>
      <w:r>
        <w:rPr>
          <w:color w:val="231F20"/>
          <w:spacing w:val="-11"/>
        </w:rPr>
        <w:t xml:space="preserve"> </w:t>
      </w:r>
      <w:r>
        <w:rPr>
          <w:color w:val="231F20"/>
        </w:rPr>
        <w:t>days.</w:t>
      </w:r>
      <w:r>
        <w:rPr>
          <w:color w:val="231F20"/>
          <w:spacing w:val="-10"/>
        </w:rPr>
        <w:t xml:space="preserve"> </w:t>
      </w:r>
      <w:r>
        <w:rPr>
          <w:color w:val="231F20"/>
        </w:rPr>
        <w:t>However,</w:t>
      </w:r>
      <w:r>
        <w:rPr>
          <w:color w:val="231F20"/>
          <w:spacing w:val="-10"/>
        </w:rPr>
        <w:t xml:space="preserve"> </w:t>
      </w:r>
      <w:r>
        <w:rPr>
          <w:color w:val="231F20"/>
        </w:rPr>
        <w:t>in</w:t>
      </w:r>
      <w:r>
        <w:rPr>
          <w:color w:val="231F20"/>
          <w:spacing w:val="-11"/>
        </w:rPr>
        <w:t xml:space="preserve"> </w:t>
      </w:r>
      <w:r>
        <w:rPr>
          <w:color w:val="231F20"/>
        </w:rPr>
        <w:t>April 2020 the State Premier announced that all supplier invoices effective from the announcement date are to be paid within 10 business days which is still in effect.</w:t>
      </w:r>
    </w:p>
    <w:p w14:paraId="1A2C59FE" w14:textId="77777777" w:rsidR="00345EE3" w:rsidRDefault="00345EE3" w:rsidP="00143B83">
      <w:pPr>
        <w:pStyle w:val="BodyText"/>
        <w:spacing w:before="118" w:line="242" w:lineRule="auto"/>
        <w:ind w:left="142" w:right="381"/>
      </w:pPr>
      <w:r>
        <w:rPr>
          <w:color w:val="231F20"/>
        </w:rPr>
        <w:t>The</w:t>
      </w:r>
      <w:r>
        <w:rPr>
          <w:color w:val="231F20"/>
          <w:spacing w:val="-9"/>
        </w:rPr>
        <w:t xml:space="preserve"> </w:t>
      </w:r>
      <w:r>
        <w:rPr>
          <w:color w:val="231F20"/>
        </w:rPr>
        <w:t>terms</w:t>
      </w:r>
      <w:r>
        <w:rPr>
          <w:color w:val="231F20"/>
          <w:spacing w:val="-8"/>
        </w:rPr>
        <w:t xml:space="preserve"> </w:t>
      </w:r>
      <w:r>
        <w:rPr>
          <w:color w:val="231F20"/>
        </w:rPr>
        <w:t>and</w:t>
      </w:r>
      <w:r>
        <w:rPr>
          <w:color w:val="231F20"/>
          <w:spacing w:val="-9"/>
        </w:rPr>
        <w:t xml:space="preserve"> </w:t>
      </w:r>
      <w:r>
        <w:rPr>
          <w:color w:val="231F20"/>
        </w:rPr>
        <w:t>conditions</w:t>
      </w:r>
      <w:r>
        <w:rPr>
          <w:color w:val="231F20"/>
          <w:spacing w:val="-8"/>
        </w:rPr>
        <w:t xml:space="preserve"> </w:t>
      </w:r>
      <w:r>
        <w:rPr>
          <w:color w:val="231F20"/>
        </w:rPr>
        <w:t>in</w:t>
      </w:r>
      <w:r>
        <w:rPr>
          <w:color w:val="231F20"/>
          <w:spacing w:val="-9"/>
        </w:rPr>
        <w:t xml:space="preserve"> </w:t>
      </w:r>
      <w:r>
        <w:rPr>
          <w:color w:val="231F20"/>
        </w:rPr>
        <w:t>relation</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amounts</w:t>
      </w:r>
      <w:r>
        <w:rPr>
          <w:color w:val="231F20"/>
          <w:spacing w:val="-8"/>
        </w:rPr>
        <w:t xml:space="preserve"> </w:t>
      </w:r>
      <w:r>
        <w:rPr>
          <w:color w:val="231F20"/>
        </w:rPr>
        <w:t>payable</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government</w:t>
      </w:r>
      <w:r>
        <w:rPr>
          <w:color w:val="231F20"/>
          <w:spacing w:val="-8"/>
        </w:rPr>
        <w:t xml:space="preserve"> </w:t>
      </w:r>
      <w:r>
        <w:rPr>
          <w:color w:val="231F20"/>
        </w:rPr>
        <w:t>and</w:t>
      </w:r>
      <w:r>
        <w:rPr>
          <w:color w:val="231F20"/>
          <w:spacing w:val="-9"/>
        </w:rPr>
        <w:t xml:space="preserve"> </w:t>
      </w:r>
      <w:r>
        <w:rPr>
          <w:color w:val="231F20"/>
        </w:rPr>
        <w:t>agencies vary</w:t>
      </w:r>
      <w:r>
        <w:rPr>
          <w:color w:val="231F20"/>
          <w:spacing w:val="-3"/>
        </w:rPr>
        <w:t xml:space="preserve"> </w:t>
      </w:r>
      <w:r>
        <w:rPr>
          <w:color w:val="231F20"/>
        </w:rPr>
        <w:t>according</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relevant</w:t>
      </w:r>
      <w:r>
        <w:rPr>
          <w:color w:val="231F20"/>
          <w:spacing w:val="-3"/>
        </w:rPr>
        <w:t xml:space="preserve"> </w:t>
      </w:r>
      <w:r>
        <w:rPr>
          <w:color w:val="231F20"/>
        </w:rPr>
        <w:t>agreements.</w:t>
      </w:r>
      <w:r>
        <w:rPr>
          <w:color w:val="231F20"/>
          <w:spacing w:val="-3"/>
        </w:rPr>
        <w:t xml:space="preserve"> </w:t>
      </w:r>
      <w:r>
        <w:rPr>
          <w:color w:val="231F20"/>
        </w:rPr>
        <w:t>As</w:t>
      </w:r>
      <w:r>
        <w:rPr>
          <w:color w:val="231F20"/>
          <w:spacing w:val="-3"/>
        </w:rPr>
        <w:t xml:space="preserve"> </w:t>
      </w:r>
      <w:r>
        <w:rPr>
          <w:color w:val="231F20"/>
        </w:rPr>
        <w:t>they</w:t>
      </w:r>
      <w:r>
        <w:rPr>
          <w:color w:val="231F20"/>
          <w:spacing w:val="-3"/>
        </w:rPr>
        <w:t xml:space="preserve"> </w:t>
      </w:r>
      <w:r>
        <w:rPr>
          <w:color w:val="231F20"/>
        </w:rPr>
        <w:t>are</w:t>
      </w:r>
      <w:r>
        <w:rPr>
          <w:color w:val="231F20"/>
          <w:spacing w:val="-4"/>
        </w:rPr>
        <w:t xml:space="preserve"> </w:t>
      </w:r>
      <w:r>
        <w:rPr>
          <w:color w:val="231F20"/>
        </w:rPr>
        <w:t>not</w:t>
      </w:r>
      <w:r>
        <w:rPr>
          <w:color w:val="231F20"/>
          <w:spacing w:val="-3"/>
        </w:rPr>
        <w:t xml:space="preserve"> </w:t>
      </w:r>
      <w:r>
        <w:rPr>
          <w:color w:val="231F20"/>
        </w:rPr>
        <w:t>legislative</w:t>
      </w:r>
      <w:r>
        <w:rPr>
          <w:color w:val="231F20"/>
          <w:spacing w:val="-4"/>
        </w:rPr>
        <w:t xml:space="preserve"> </w:t>
      </w:r>
      <w:r>
        <w:rPr>
          <w:color w:val="231F20"/>
        </w:rPr>
        <w:t>payables,</w:t>
      </w:r>
      <w:r>
        <w:rPr>
          <w:color w:val="231F20"/>
          <w:spacing w:val="-3"/>
        </w:rPr>
        <w:t xml:space="preserve"> </w:t>
      </w:r>
      <w:r>
        <w:rPr>
          <w:color w:val="231F20"/>
        </w:rPr>
        <w:t>they</w:t>
      </w:r>
      <w:r>
        <w:rPr>
          <w:color w:val="231F20"/>
          <w:spacing w:val="-3"/>
        </w:rPr>
        <w:t xml:space="preserve"> </w:t>
      </w:r>
      <w:r>
        <w:rPr>
          <w:color w:val="231F20"/>
        </w:rPr>
        <w:t>are</w:t>
      </w:r>
      <w:r>
        <w:rPr>
          <w:color w:val="231F20"/>
          <w:spacing w:val="-4"/>
        </w:rPr>
        <w:t xml:space="preserve"> </w:t>
      </w:r>
      <w:r>
        <w:rPr>
          <w:color w:val="231F20"/>
        </w:rPr>
        <w:t>not classified as financial instruments.</w:t>
      </w:r>
    </w:p>
    <w:p w14:paraId="32851D65" w14:textId="77777777" w:rsidR="00345EE3" w:rsidRDefault="00345EE3" w:rsidP="00143B83">
      <w:pPr>
        <w:pStyle w:val="BodyText"/>
        <w:spacing w:before="117" w:line="242" w:lineRule="auto"/>
        <w:ind w:left="142" w:right="687"/>
      </w:pPr>
      <w:r>
        <w:rPr>
          <w:color w:val="231F20"/>
        </w:rPr>
        <w:t>Please</w:t>
      </w:r>
      <w:r>
        <w:rPr>
          <w:color w:val="231F20"/>
          <w:spacing w:val="-12"/>
        </w:rPr>
        <w:t xml:space="preserve"> </w:t>
      </w:r>
      <w:r>
        <w:rPr>
          <w:color w:val="231F20"/>
        </w:rPr>
        <w:t>refer</w:t>
      </w:r>
      <w:r>
        <w:rPr>
          <w:color w:val="231F20"/>
          <w:spacing w:val="-12"/>
        </w:rPr>
        <w:t xml:space="preserve"> </w:t>
      </w:r>
      <w:r>
        <w:rPr>
          <w:color w:val="231F20"/>
        </w:rPr>
        <w:t>to</w:t>
      </w:r>
      <w:r>
        <w:rPr>
          <w:color w:val="231F20"/>
          <w:spacing w:val="-12"/>
        </w:rPr>
        <w:t xml:space="preserve"> </w:t>
      </w:r>
      <w:r>
        <w:rPr>
          <w:color w:val="231F20"/>
        </w:rPr>
        <w:t>Note</w:t>
      </w:r>
      <w:r>
        <w:rPr>
          <w:color w:val="231F20"/>
          <w:spacing w:val="-12"/>
        </w:rPr>
        <w:t xml:space="preserve"> </w:t>
      </w:r>
      <w:r>
        <w:rPr>
          <w:color w:val="231F20"/>
        </w:rPr>
        <w:t>8.3.1</w:t>
      </w:r>
      <w:r>
        <w:rPr>
          <w:color w:val="231F20"/>
          <w:spacing w:val="-12"/>
        </w:rPr>
        <w:t xml:space="preserve"> </w:t>
      </w:r>
      <w:r>
        <w:rPr>
          <w:color w:val="231F20"/>
        </w:rPr>
        <w:t>Financial</w:t>
      </w:r>
      <w:r>
        <w:rPr>
          <w:color w:val="231F20"/>
          <w:spacing w:val="-12"/>
        </w:rPr>
        <w:t xml:space="preserve"> </w:t>
      </w:r>
      <w:r>
        <w:rPr>
          <w:color w:val="231F20"/>
        </w:rPr>
        <w:t>Risk</w:t>
      </w:r>
      <w:r>
        <w:rPr>
          <w:color w:val="231F20"/>
          <w:spacing w:val="-12"/>
        </w:rPr>
        <w:t xml:space="preserve"> </w:t>
      </w:r>
      <w:r>
        <w:rPr>
          <w:color w:val="231F20"/>
        </w:rPr>
        <w:t>Management</w:t>
      </w:r>
      <w:r>
        <w:rPr>
          <w:color w:val="231F20"/>
          <w:spacing w:val="-12"/>
        </w:rPr>
        <w:t xml:space="preserve"> </w:t>
      </w:r>
      <w:r>
        <w:rPr>
          <w:color w:val="231F20"/>
        </w:rPr>
        <w:t>Objectives</w:t>
      </w:r>
      <w:r>
        <w:rPr>
          <w:color w:val="231F20"/>
          <w:spacing w:val="-12"/>
        </w:rPr>
        <w:t xml:space="preserve"> </w:t>
      </w:r>
      <w:r>
        <w:rPr>
          <w:color w:val="231F20"/>
        </w:rPr>
        <w:t>and</w:t>
      </w:r>
      <w:r>
        <w:rPr>
          <w:color w:val="231F20"/>
          <w:spacing w:val="-12"/>
        </w:rPr>
        <w:t xml:space="preserve"> </w:t>
      </w:r>
      <w:r>
        <w:rPr>
          <w:color w:val="231F20"/>
        </w:rPr>
        <w:t>Policies</w:t>
      </w:r>
      <w:r>
        <w:rPr>
          <w:color w:val="231F20"/>
          <w:spacing w:val="-12"/>
        </w:rPr>
        <w:t xml:space="preserve"> </w:t>
      </w:r>
      <w:r>
        <w:rPr>
          <w:color w:val="231F20"/>
        </w:rPr>
        <w:t>for</w:t>
      </w:r>
      <w:r>
        <w:rPr>
          <w:color w:val="231F20"/>
          <w:spacing w:val="-12"/>
        </w:rPr>
        <w:t xml:space="preserve"> </w:t>
      </w:r>
      <w:r>
        <w:rPr>
          <w:color w:val="231F20"/>
        </w:rPr>
        <w:t>Maturity Analysis of Contractual Financial Liabilities and Borrowings.</w:t>
      </w:r>
    </w:p>
    <w:p w14:paraId="37C58768" w14:textId="2619188A" w:rsidR="00345EE3" w:rsidRDefault="00345EE3" w:rsidP="002A27BA">
      <w:pPr>
        <w:pStyle w:val="Heading3"/>
        <w:numPr>
          <w:ilvl w:val="1"/>
          <w:numId w:val="44"/>
        </w:numPr>
      </w:pPr>
      <w:r>
        <w:t>Other</w:t>
      </w:r>
      <w:r>
        <w:rPr>
          <w:spacing w:val="-2"/>
        </w:rPr>
        <w:t xml:space="preserve"> </w:t>
      </w:r>
      <w:r>
        <w:t>Non-Financial</w:t>
      </w:r>
      <w:r>
        <w:rPr>
          <w:spacing w:val="-1"/>
        </w:rPr>
        <w:t xml:space="preserve"> </w:t>
      </w:r>
      <w:r>
        <w:rPr>
          <w:spacing w:val="-2"/>
        </w:rPr>
        <w:t>Assets</w:t>
      </w:r>
    </w:p>
    <w:tbl>
      <w:tblPr>
        <w:tblW w:w="0" w:type="auto"/>
        <w:tblInd w:w="134" w:type="dxa"/>
        <w:tblLayout w:type="fixed"/>
        <w:tblCellMar>
          <w:left w:w="0" w:type="dxa"/>
          <w:right w:w="0" w:type="dxa"/>
        </w:tblCellMar>
        <w:tblLook w:val="0000" w:firstRow="0" w:lastRow="0" w:firstColumn="0" w:lastColumn="0" w:noHBand="0" w:noVBand="0"/>
      </w:tblPr>
      <w:tblGrid>
        <w:gridCol w:w="7937"/>
        <w:gridCol w:w="1134"/>
        <w:gridCol w:w="1134"/>
      </w:tblGrid>
      <w:tr w:rsidR="00143B83" w:rsidRPr="00143B83" w14:paraId="27D9AF02" w14:textId="77777777" w:rsidTr="00143B83">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57" w:type="dxa"/>
              <w:left w:w="14" w:type="dxa"/>
              <w:bottom w:w="57" w:type="dxa"/>
              <w:right w:w="14" w:type="dxa"/>
            </w:tcMar>
          </w:tcPr>
          <w:p w14:paraId="1B26500C"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143B83">
              <w:rPr>
                <w:rFonts w:eastAsia="Myriad Pro"/>
                <w:b/>
                <w:bCs/>
                <w:color w:val="FFFFFF"/>
                <w:spacing w:val="-2"/>
                <w:sz w:val="24"/>
                <w:szCs w:val="24"/>
                <w:lang w:val="en-GB"/>
              </w:rPr>
              <w:t>($ thousand)</w:t>
            </w:r>
          </w:p>
        </w:tc>
      </w:tr>
      <w:tr w:rsidR="00143B83" w:rsidRPr="00143B83" w14:paraId="6CEFCFE9" w14:textId="77777777" w:rsidTr="00143B83">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57" w:type="dxa"/>
              <w:left w:w="14" w:type="dxa"/>
              <w:bottom w:w="57" w:type="dxa"/>
              <w:right w:w="14" w:type="dxa"/>
            </w:tcMar>
          </w:tcPr>
          <w:p w14:paraId="651BA09D" w14:textId="77777777" w:rsidR="00143B83" w:rsidRPr="00143B83" w:rsidRDefault="00143B83" w:rsidP="00143B83">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6FED8C69"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143B83">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57" w:type="dxa"/>
              <w:left w:w="14" w:type="dxa"/>
              <w:bottom w:w="57" w:type="dxa"/>
              <w:right w:w="14" w:type="dxa"/>
            </w:tcMar>
          </w:tcPr>
          <w:p w14:paraId="07308F22"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143B83">
              <w:rPr>
                <w:rFonts w:eastAsia="Myriad Pro"/>
                <w:b/>
                <w:bCs/>
                <w:color w:val="FFFFFF"/>
                <w:spacing w:val="-2"/>
                <w:sz w:val="24"/>
                <w:szCs w:val="24"/>
                <w:lang w:val="en-GB"/>
              </w:rPr>
              <w:t>2021</w:t>
            </w:r>
          </w:p>
        </w:tc>
      </w:tr>
      <w:tr w:rsidR="00143B83" w:rsidRPr="00143B83" w14:paraId="6E2309B0" w14:textId="77777777" w:rsidTr="00143B83">
        <w:trPr>
          <w:trHeight w:val="60"/>
        </w:trPr>
        <w:tc>
          <w:tcPr>
            <w:tcW w:w="7937"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4707FF33"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Current Other Non-Financial Assets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8D6348D" w14:textId="77777777" w:rsidR="00143B83" w:rsidRPr="00143B83" w:rsidRDefault="00143B83" w:rsidP="00143B83">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6CAAC3B6" w14:textId="77777777" w:rsidR="00143B83" w:rsidRPr="00143B83" w:rsidRDefault="00143B83" w:rsidP="00143B83">
            <w:pPr>
              <w:widowControl/>
              <w:adjustRightInd w:val="0"/>
              <w:rPr>
                <w:rFonts w:eastAsia="Myriad Pro"/>
                <w:sz w:val="24"/>
                <w:szCs w:val="24"/>
                <w:lang w:val="en-GB"/>
              </w:rPr>
            </w:pPr>
          </w:p>
        </w:tc>
      </w:tr>
      <w:tr w:rsidR="00143B83" w:rsidRPr="00143B83" w14:paraId="58018C0F" w14:textId="77777777" w:rsidTr="00143B83">
        <w:trPr>
          <w:trHeight w:val="60"/>
        </w:trPr>
        <w:tc>
          <w:tcPr>
            <w:tcW w:w="7937"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5137866B"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color w:val="000000"/>
                <w:sz w:val="24"/>
                <w:szCs w:val="24"/>
                <w:lang w:val="en-GB"/>
              </w:rPr>
              <w:t>Advances paid to the Department of Treasury and Finance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A2C9CD9"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 xml:space="preserve">23,952 </w:t>
            </w:r>
          </w:p>
        </w:tc>
        <w:tc>
          <w:tcPr>
            <w:tcW w:w="113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7C8A12D6"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14,595</w:t>
            </w:r>
          </w:p>
        </w:tc>
      </w:tr>
      <w:tr w:rsidR="00143B83" w:rsidRPr="00143B83" w14:paraId="4CBCF33E" w14:textId="77777777" w:rsidTr="00143B83">
        <w:trPr>
          <w:trHeight w:val="60"/>
        </w:trPr>
        <w:tc>
          <w:tcPr>
            <w:tcW w:w="7937"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4E670014"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color w:val="000000"/>
                <w:sz w:val="24"/>
                <w:szCs w:val="24"/>
                <w:lang w:val="en-GB"/>
              </w:rPr>
              <w:t>Prepayments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607AD6EE"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 xml:space="preserve">40,906 </w:t>
            </w:r>
          </w:p>
        </w:tc>
        <w:tc>
          <w:tcPr>
            <w:tcW w:w="1134" w:type="dxa"/>
            <w:tcBorders>
              <w:top w:val="single" w:sz="2" w:space="0" w:color="9D9C9C"/>
              <w:left w:val="single" w:sz="2" w:space="0" w:color="9D9C9C"/>
              <w:bottom w:val="single" w:sz="4" w:space="0" w:color="000000"/>
              <w:right w:val="single" w:sz="6" w:space="0" w:color="9D9C9C"/>
            </w:tcBorders>
            <w:tcMar>
              <w:top w:w="57" w:type="dxa"/>
              <w:left w:w="14" w:type="dxa"/>
              <w:bottom w:w="57" w:type="dxa"/>
              <w:right w:w="14" w:type="dxa"/>
            </w:tcMar>
          </w:tcPr>
          <w:p w14:paraId="6394563B"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26,111</w:t>
            </w:r>
          </w:p>
        </w:tc>
      </w:tr>
      <w:tr w:rsidR="00143B83" w:rsidRPr="00143B83" w14:paraId="45E56767" w14:textId="77777777" w:rsidTr="00143B83">
        <w:trPr>
          <w:trHeight w:val="60"/>
        </w:trPr>
        <w:tc>
          <w:tcPr>
            <w:tcW w:w="7937" w:type="dxa"/>
            <w:tcBorders>
              <w:top w:val="single" w:sz="4" w:space="0" w:color="000000"/>
              <w:left w:val="single" w:sz="6" w:space="0" w:color="000000"/>
              <w:bottom w:val="single" w:sz="4" w:space="0" w:color="000000"/>
              <w:right w:val="single" w:sz="2" w:space="0" w:color="9D9C9C"/>
            </w:tcBorders>
            <w:tcMar>
              <w:top w:w="57" w:type="dxa"/>
              <w:left w:w="14" w:type="dxa"/>
              <w:bottom w:w="57" w:type="dxa"/>
              <w:right w:w="14" w:type="dxa"/>
            </w:tcMar>
          </w:tcPr>
          <w:p w14:paraId="07CC7B40"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Total Current Other Non-Financial Assets</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4AA1050A"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 xml:space="preserve">64,858 </w:t>
            </w:r>
          </w:p>
        </w:tc>
        <w:tc>
          <w:tcPr>
            <w:tcW w:w="1134" w:type="dxa"/>
            <w:tcBorders>
              <w:top w:val="single" w:sz="4" w:space="0" w:color="000000"/>
              <w:left w:val="single" w:sz="2" w:space="0" w:color="9D9C9C"/>
              <w:bottom w:val="single" w:sz="4" w:space="0" w:color="000000"/>
              <w:right w:val="single" w:sz="6" w:space="0" w:color="9D9C9C"/>
            </w:tcBorders>
            <w:tcMar>
              <w:top w:w="57" w:type="dxa"/>
              <w:left w:w="14" w:type="dxa"/>
              <w:bottom w:w="57" w:type="dxa"/>
              <w:right w:w="14" w:type="dxa"/>
            </w:tcMar>
          </w:tcPr>
          <w:p w14:paraId="1E4B32B7"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 xml:space="preserve">40,706 </w:t>
            </w:r>
          </w:p>
        </w:tc>
      </w:tr>
      <w:tr w:rsidR="00143B83" w:rsidRPr="00143B83" w14:paraId="4F51E2BB" w14:textId="77777777" w:rsidTr="00143B83">
        <w:trPr>
          <w:trHeight w:val="60"/>
        </w:trPr>
        <w:tc>
          <w:tcPr>
            <w:tcW w:w="7937" w:type="dxa"/>
            <w:tcBorders>
              <w:top w:val="single" w:sz="4" w:space="0" w:color="000000"/>
              <w:left w:val="single" w:sz="6" w:space="0" w:color="000000"/>
              <w:bottom w:val="single" w:sz="2" w:space="0" w:color="9D9C9C"/>
              <w:right w:val="single" w:sz="2" w:space="0" w:color="9D9C9C"/>
            </w:tcBorders>
            <w:tcMar>
              <w:top w:w="57" w:type="dxa"/>
              <w:left w:w="14" w:type="dxa"/>
              <w:bottom w:w="57" w:type="dxa"/>
              <w:right w:w="14" w:type="dxa"/>
            </w:tcMar>
          </w:tcPr>
          <w:p w14:paraId="0CBCBADB"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Non-Current Other Non-Financial Assets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F590E45" w14:textId="77777777" w:rsidR="00143B83" w:rsidRPr="00143B83" w:rsidRDefault="00143B83" w:rsidP="00143B83">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57" w:type="dxa"/>
              <w:left w:w="14" w:type="dxa"/>
              <w:bottom w:w="57" w:type="dxa"/>
              <w:right w:w="14" w:type="dxa"/>
            </w:tcMar>
          </w:tcPr>
          <w:p w14:paraId="56853512" w14:textId="77777777" w:rsidR="00143B83" w:rsidRPr="00143B83" w:rsidRDefault="00143B83" w:rsidP="00143B83">
            <w:pPr>
              <w:widowControl/>
              <w:adjustRightInd w:val="0"/>
              <w:rPr>
                <w:rFonts w:eastAsia="Myriad Pro"/>
                <w:sz w:val="24"/>
                <w:szCs w:val="24"/>
                <w:lang w:val="en-GB"/>
              </w:rPr>
            </w:pPr>
          </w:p>
        </w:tc>
      </w:tr>
      <w:tr w:rsidR="00143B83" w:rsidRPr="00143B83" w14:paraId="216EC60E" w14:textId="77777777" w:rsidTr="00143B83">
        <w:trPr>
          <w:trHeight w:val="60"/>
        </w:trPr>
        <w:tc>
          <w:tcPr>
            <w:tcW w:w="7937"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13740F0E"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color w:val="000000"/>
                <w:sz w:val="24"/>
                <w:szCs w:val="24"/>
                <w:lang w:val="en-GB"/>
              </w:rPr>
              <w:t>Prepayments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6724DDF"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 xml:space="preserve">414 </w:t>
            </w:r>
          </w:p>
        </w:tc>
        <w:tc>
          <w:tcPr>
            <w:tcW w:w="113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4A225048"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1,582</w:t>
            </w:r>
          </w:p>
        </w:tc>
      </w:tr>
      <w:tr w:rsidR="00143B83" w:rsidRPr="00143B83" w14:paraId="1AEB9AD0" w14:textId="77777777" w:rsidTr="00143B83">
        <w:trPr>
          <w:trHeight w:val="60"/>
        </w:trPr>
        <w:tc>
          <w:tcPr>
            <w:tcW w:w="7937"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31B0D024"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Total Non-Current Other Non-Financial Assets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672DD2BD"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 xml:space="preserve">414 </w:t>
            </w:r>
          </w:p>
        </w:tc>
        <w:tc>
          <w:tcPr>
            <w:tcW w:w="1134" w:type="dxa"/>
            <w:tcBorders>
              <w:top w:val="single" w:sz="2" w:space="0" w:color="9D9C9C"/>
              <w:left w:val="single" w:sz="2" w:space="0" w:color="9D9C9C"/>
              <w:bottom w:val="single" w:sz="4" w:space="0" w:color="000000"/>
              <w:right w:val="single" w:sz="6" w:space="0" w:color="9D9C9C"/>
            </w:tcBorders>
            <w:tcMar>
              <w:top w:w="57" w:type="dxa"/>
              <w:left w:w="14" w:type="dxa"/>
              <w:bottom w:w="57" w:type="dxa"/>
              <w:right w:w="14" w:type="dxa"/>
            </w:tcMar>
          </w:tcPr>
          <w:p w14:paraId="63FA7872"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1,582</w:t>
            </w:r>
          </w:p>
        </w:tc>
      </w:tr>
      <w:tr w:rsidR="00143B83" w:rsidRPr="00143B83" w14:paraId="40A47526" w14:textId="77777777" w:rsidTr="00143B83">
        <w:trPr>
          <w:trHeight w:val="60"/>
        </w:trPr>
        <w:tc>
          <w:tcPr>
            <w:tcW w:w="7937" w:type="dxa"/>
            <w:tcBorders>
              <w:top w:val="single" w:sz="4" w:space="0" w:color="000000"/>
              <w:left w:val="single" w:sz="6" w:space="0" w:color="9D9C9C"/>
              <w:bottom w:val="single" w:sz="8" w:space="0" w:color="000000"/>
              <w:right w:val="single" w:sz="2" w:space="0" w:color="9D9C9C"/>
            </w:tcBorders>
            <w:tcMar>
              <w:top w:w="57" w:type="dxa"/>
              <w:left w:w="14" w:type="dxa"/>
              <w:bottom w:w="57" w:type="dxa"/>
              <w:right w:w="14" w:type="dxa"/>
            </w:tcMar>
          </w:tcPr>
          <w:p w14:paraId="5B9ED888"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Total Other Non-Financial Assets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77E5B15E"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65,272</w:t>
            </w:r>
          </w:p>
        </w:tc>
        <w:tc>
          <w:tcPr>
            <w:tcW w:w="1134" w:type="dxa"/>
            <w:tcBorders>
              <w:top w:val="single" w:sz="4" w:space="0" w:color="000000"/>
              <w:left w:val="single" w:sz="2" w:space="0" w:color="9D9C9C"/>
              <w:bottom w:val="single" w:sz="8" w:space="0" w:color="000000"/>
              <w:right w:val="single" w:sz="6" w:space="0" w:color="9D9C9C"/>
            </w:tcBorders>
            <w:tcMar>
              <w:top w:w="57" w:type="dxa"/>
              <w:left w:w="14" w:type="dxa"/>
              <w:bottom w:w="57" w:type="dxa"/>
              <w:right w:w="14" w:type="dxa"/>
            </w:tcMar>
          </w:tcPr>
          <w:p w14:paraId="41D26CCB"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42,288</w:t>
            </w:r>
          </w:p>
        </w:tc>
      </w:tr>
    </w:tbl>
    <w:p w14:paraId="1571DAD8" w14:textId="2BCF39AE" w:rsidR="00345EE3" w:rsidRDefault="00345EE3" w:rsidP="00345EE3">
      <w:pPr>
        <w:spacing w:before="104" w:line="242" w:lineRule="auto"/>
        <w:ind w:left="110"/>
        <w:rPr>
          <w:sz w:val="24"/>
        </w:rPr>
      </w:pPr>
      <w:r>
        <w:rPr>
          <w:b/>
          <w:color w:val="231F20"/>
          <w:sz w:val="24"/>
        </w:rPr>
        <w:t>Advances</w:t>
      </w:r>
      <w:r>
        <w:rPr>
          <w:b/>
          <w:color w:val="231F20"/>
          <w:spacing w:val="-5"/>
          <w:sz w:val="24"/>
        </w:rPr>
        <w:t xml:space="preserve"> </w:t>
      </w:r>
      <w:r>
        <w:rPr>
          <w:b/>
          <w:color w:val="231F20"/>
          <w:sz w:val="24"/>
        </w:rPr>
        <w:t>paid</w:t>
      </w:r>
      <w:r>
        <w:rPr>
          <w:b/>
          <w:color w:val="231F20"/>
          <w:spacing w:val="-4"/>
          <w:sz w:val="24"/>
        </w:rPr>
        <w:t xml:space="preserve"> </w:t>
      </w:r>
      <w:r>
        <w:rPr>
          <w:b/>
          <w:color w:val="231F20"/>
          <w:sz w:val="24"/>
        </w:rPr>
        <w:t>to</w:t>
      </w:r>
      <w:r>
        <w:rPr>
          <w:b/>
          <w:color w:val="231F20"/>
          <w:spacing w:val="-4"/>
          <w:sz w:val="24"/>
        </w:rPr>
        <w:t xml:space="preserve"> </w:t>
      </w:r>
      <w:r>
        <w:rPr>
          <w:b/>
          <w:color w:val="231F20"/>
          <w:sz w:val="24"/>
        </w:rPr>
        <w:t>the</w:t>
      </w:r>
      <w:r>
        <w:rPr>
          <w:b/>
          <w:color w:val="231F20"/>
          <w:spacing w:val="-5"/>
          <w:sz w:val="24"/>
        </w:rPr>
        <w:t xml:space="preserve"> </w:t>
      </w:r>
      <w:r>
        <w:rPr>
          <w:b/>
          <w:color w:val="231F20"/>
          <w:sz w:val="24"/>
        </w:rPr>
        <w:t>Department</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Treasury</w:t>
      </w:r>
      <w:r>
        <w:rPr>
          <w:b/>
          <w:color w:val="231F20"/>
          <w:spacing w:val="-5"/>
          <w:sz w:val="24"/>
        </w:rPr>
        <w:t xml:space="preserve"> </w:t>
      </w:r>
      <w:r>
        <w:rPr>
          <w:b/>
          <w:color w:val="231F20"/>
          <w:sz w:val="24"/>
        </w:rPr>
        <w:t>and</w:t>
      </w:r>
      <w:r>
        <w:rPr>
          <w:b/>
          <w:color w:val="231F20"/>
          <w:spacing w:val="-4"/>
          <w:sz w:val="24"/>
        </w:rPr>
        <w:t xml:space="preserve"> </w:t>
      </w:r>
      <w:r>
        <w:rPr>
          <w:b/>
          <w:color w:val="231F20"/>
          <w:sz w:val="24"/>
        </w:rPr>
        <w:t>Finance</w:t>
      </w:r>
      <w:r>
        <w:rPr>
          <w:b/>
          <w:color w:val="231F20"/>
          <w:spacing w:val="-4"/>
          <w:sz w:val="24"/>
        </w:rPr>
        <w:t xml:space="preserve"> </w:t>
      </w:r>
      <w:r>
        <w:rPr>
          <w:color w:val="231F20"/>
          <w:sz w:val="24"/>
        </w:rPr>
        <w:t>are</w:t>
      </w:r>
      <w:r>
        <w:rPr>
          <w:color w:val="231F20"/>
          <w:spacing w:val="-5"/>
          <w:sz w:val="24"/>
        </w:rPr>
        <w:t xml:space="preserve"> </w:t>
      </w:r>
      <w:r>
        <w:rPr>
          <w:color w:val="231F20"/>
          <w:sz w:val="24"/>
        </w:rPr>
        <w:t>payments</w:t>
      </w:r>
      <w:r>
        <w:rPr>
          <w:color w:val="231F20"/>
          <w:spacing w:val="-4"/>
          <w:sz w:val="24"/>
        </w:rPr>
        <w:t xml:space="preserve"> </w:t>
      </w:r>
      <w:r>
        <w:rPr>
          <w:color w:val="231F20"/>
          <w:sz w:val="24"/>
        </w:rPr>
        <w:t>for</w:t>
      </w:r>
      <w:r>
        <w:rPr>
          <w:color w:val="231F20"/>
          <w:spacing w:val="-4"/>
          <w:sz w:val="24"/>
        </w:rPr>
        <w:t xml:space="preserve"> </w:t>
      </w:r>
      <w:r>
        <w:rPr>
          <w:color w:val="231F20"/>
          <w:sz w:val="24"/>
        </w:rPr>
        <w:t>services</w:t>
      </w:r>
      <w:r>
        <w:rPr>
          <w:color w:val="231F20"/>
          <w:spacing w:val="-4"/>
          <w:sz w:val="24"/>
        </w:rPr>
        <w:t xml:space="preserve"> </w:t>
      </w:r>
      <w:r>
        <w:rPr>
          <w:color w:val="231F20"/>
          <w:sz w:val="24"/>
        </w:rPr>
        <w:t>to</w:t>
      </w:r>
      <w:r>
        <w:rPr>
          <w:color w:val="231F20"/>
          <w:spacing w:val="-5"/>
          <w:sz w:val="24"/>
        </w:rPr>
        <w:t xml:space="preserve"> </w:t>
      </w:r>
      <w:r>
        <w:rPr>
          <w:color w:val="231F20"/>
          <w:sz w:val="24"/>
        </w:rPr>
        <w:t>be provided for the acquisition of land and buildings on behalf of Victoria Police.</w:t>
      </w:r>
    </w:p>
    <w:p w14:paraId="4BE555B4" w14:textId="77777777" w:rsidR="00345EE3" w:rsidRDefault="00345EE3" w:rsidP="00143B83">
      <w:pPr>
        <w:pStyle w:val="BodyText"/>
        <w:spacing w:before="116" w:line="242" w:lineRule="auto"/>
        <w:ind w:left="142"/>
      </w:pPr>
      <w:r>
        <w:rPr>
          <w:b/>
          <w:color w:val="231F20"/>
        </w:rPr>
        <w:t xml:space="preserve">Prepayments </w:t>
      </w:r>
      <w:r>
        <w:rPr>
          <w:color w:val="231F20"/>
        </w:rPr>
        <w:t>represent payments made in advance of receipt of goods or services or the payments</w:t>
      </w:r>
      <w:r>
        <w:rPr>
          <w:color w:val="231F20"/>
          <w:spacing w:val="-10"/>
        </w:rPr>
        <w:t xml:space="preserve"> </w:t>
      </w:r>
      <w:r>
        <w:rPr>
          <w:color w:val="231F20"/>
        </w:rPr>
        <w:t>made</w:t>
      </w:r>
      <w:r>
        <w:rPr>
          <w:color w:val="231F20"/>
          <w:spacing w:val="-10"/>
        </w:rPr>
        <w:t xml:space="preserve"> </w:t>
      </w:r>
      <w:r>
        <w:rPr>
          <w:color w:val="231F20"/>
        </w:rPr>
        <w:t>for</w:t>
      </w:r>
      <w:r>
        <w:rPr>
          <w:color w:val="231F20"/>
          <w:spacing w:val="-10"/>
        </w:rPr>
        <w:t xml:space="preserve"> </w:t>
      </w:r>
      <w:r>
        <w:rPr>
          <w:color w:val="231F20"/>
        </w:rPr>
        <w:t>services</w:t>
      </w:r>
      <w:r>
        <w:rPr>
          <w:color w:val="231F20"/>
          <w:spacing w:val="-10"/>
        </w:rPr>
        <w:t xml:space="preserve"> </w:t>
      </w:r>
      <w:r>
        <w:rPr>
          <w:color w:val="231F20"/>
        </w:rPr>
        <w:t>covering</w:t>
      </w:r>
      <w:r>
        <w:rPr>
          <w:color w:val="231F20"/>
          <w:spacing w:val="-10"/>
        </w:rPr>
        <w:t xml:space="preserve"> </w:t>
      </w:r>
      <w:r>
        <w:rPr>
          <w:color w:val="231F20"/>
        </w:rPr>
        <w:t>a</w:t>
      </w:r>
      <w:r>
        <w:rPr>
          <w:color w:val="231F20"/>
          <w:spacing w:val="-10"/>
        </w:rPr>
        <w:t xml:space="preserve"> </w:t>
      </w:r>
      <w:r>
        <w:rPr>
          <w:color w:val="231F20"/>
        </w:rPr>
        <w:t>term</w:t>
      </w:r>
      <w:r>
        <w:rPr>
          <w:color w:val="231F20"/>
          <w:spacing w:val="-10"/>
        </w:rPr>
        <w:t xml:space="preserve"> </w:t>
      </w:r>
      <w:r>
        <w:rPr>
          <w:color w:val="231F20"/>
        </w:rPr>
        <w:t>extending</w:t>
      </w:r>
      <w:r>
        <w:rPr>
          <w:color w:val="231F20"/>
          <w:spacing w:val="-10"/>
        </w:rPr>
        <w:t xml:space="preserve"> </w:t>
      </w:r>
      <w:r>
        <w:rPr>
          <w:color w:val="231F20"/>
        </w:rPr>
        <w:t>beyond</w:t>
      </w:r>
      <w:r>
        <w:rPr>
          <w:color w:val="231F20"/>
          <w:spacing w:val="-10"/>
        </w:rPr>
        <w:t xml:space="preserve"> </w:t>
      </w:r>
      <w:r>
        <w:rPr>
          <w:color w:val="231F20"/>
        </w:rPr>
        <w:t>that</w:t>
      </w:r>
      <w:r>
        <w:rPr>
          <w:color w:val="231F20"/>
          <w:spacing w:val="-10"/>
        </w:rPr>
        <w:t xml:space="preserve"> </w:t>
      </w:r>
      <w:r>
        <w:rPr>
          <w:color w:val="231F20"/>
        </w:rPr>
        <w:t>financial</w:t>
      </w:r>
      <w:r>
        <w:rPr>
          <w:color w:val="231F20"/>
          <w:spacing w:val="-10"/>
        </w:rPr>
        <w:t xml:space="preserve"> </w:t>
      </w:r>
      <w:r>
        <w:rPr>
          <w:color w:val="231F20"/>
        </w:rPr>
        <w:t>accounting</w:t>
      </w:r>
      <w:r>
        <w:rPr>
          <w:color w:val="231F20"/>
          <w:spacing w:val="-10"/>
        </w:rPr>
        <w:t xml:space="preserve"> </w:t>
      </w:r>
      <w:r>
        <w:rPr>
          <w:color w:val="231F20"/>
        </w:rPr>
        <w:t>period.</w:t>
      </w:r>
    </w:p>
    <w:p w14:paraId="3815ADF0" w14:textId="43A4D578" w:rsidR="00345EE3" w:rsidRDefault="00345EE3" w:rsidP="002A27BA">
      <w:pPr>
        <w:pStyle w:val="Heading3"/>
        <w:numPr>
          <w:ilvl w:val="1"/>
          <w:numId w:val="44"/>
        </w:numPr>
      </w:pPr>
      <w:r>
        <w:t>Other</w:t>
      </w:r>
      <w:r>
        <w:rPr>
          <w:spacing w:val="2"/>
        </w:rPr>
        <w:t xml:space="preserve"> </w:t>
      </w:r>
      <w:r>
        <w:t>Provisions</w:t>
      </w:r>
    </w:p>
    <w:tbl>
      <w:tblPr>
        <w:tblW w:w="10205" w:type="dxa"/>
        <w:tblInd w:w="134" w:type="dxa"/>
        <w:tblLayout w:type="fixed"/>
        <w:tblCellMar>
          <w:left w:w="0" w:type="dxa"/>
          <w:right w:w="0" w:type="dxa"/>
        </w:tblCellMar>
        <w:tblLook w:val="0000" w:firstRow="0" w:lastRow="0" w:firstColumn="0" w:lastColumn="0" w:noHBand="0" w:noVBand="0"/>
      </w:tblPr>
      <w:tblGrid>
        <w:gridCol w:w="7937"/>
        <w:gridCol w:w="1134"/>
        <w:gridCol w:w="1134"/>
      </w:tblGrid>
      <w:tr w:rsidR="00143B83" w:rsidRPr="00143B83" w14:paraId="71AE1EA4" w14:textId="77777777" w:rsidTr="00143B83">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57" w:type="dxa"/>
              <w:left w:w="14" w:type="dxa"/>
              <w:bottom w:w="57" w:type="dxa"/>
              <w:right w:w="14" w:type="dxa"/>
            </w:tcMar>
          </w:tcPr>
          <w:p w14:paraId="246C816E"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143B83">
              <w:rPr>
                <w:rFonts w:eastAsia="Myriad Pro"/>
                <w:b/>
                <w:bCs/>
                <w:color w:val="FFFFFF"/>
                <w:spacing w:val="-2"/>
                <w:sz w:val="24"/>
                <w:szCs w:val="24"/>
                <w:lang w:val="en-GB"/>
              </w:rPr>
              <w:t>($ thousand)</w:t>
            </w:r>
          </w:p>
        </w:tc>
      </w:tr>
      <w:tr w:rsidR="00143B83" w:rsidRPr="00143B83" w14:paraId="75605EB0" w14:textId="77777777" w:rsidTr="00143B83">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57" w:type="dxa"/>
              <w:left w:w="14" w:type="dxa"/>
              <w:bottom w:w="57" w:type="dxa"/>
              <w:right w:w="14" w:type="dxa"/>
            </w:tcMar>
          </w:tcPr>
          <w:p w14:paraId="3FDA76EF" w14:textId="77777777" w:rsidR="00143B83" w:rsidRPr="00143B83" w:rsidRDefault="00143B83" w:rsidP="00143B83">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3B118451"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143B83">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57" w:type="dxa"/>
              <w:left w:w="14" w:type="dxa"/>
              <w:bottom w:w="57" w:type="dxa"/>
              <w:right w:w="14" w:type="dxa"/>
            </w:tcMar>
          </w:tcPr>
          <w:p w14:paraId="2A0DFAEF"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143B83">
              <w:rPr>
                <w:rFonts w:eastAsia="Myriad Pro"/>
                <w:b/>
                <w:bCs/>
                <w:color w:val="FFFFFF"/>
                <w:spacing w:val="-2"/>
                <w:sz w:val="24"/>
                <w:szCs w:val="24"/>
                <w:lang w:val="en-GB"/>
              </w:rPr>
              <w:t>2021</w:t>
            </w:r>
          </w:p>
        </w:tc>
      </w:tr>
      <w:tr w:rsidR="00143B83" w:rsidRPr="00143B83" w14:paraId="21BECBAC" w14:textId="77777777" w:rsidTr="00143B83">
        <w:trPr>
          <w:trHeight w:val="60"/>
        </w:trPr>
        <w:tc>
          <w:tcPr>
            <w:tcW w:w="7937"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0D1D8B2A"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Current Provisions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1707C3C" w14:textId="77777777" w:rsidR="00143B83" w:rsidRPr="00143B83" w:rsidRDefault="00143B83" w:rsidP="00143B83">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135AE98F" w14:textId="77777777" w:rsidR="00143B83" w:rsidRPr="00143B83" w:rsidRDefault="00143B83" w:rsidP="00143B83">
            <w:pPr>
              <w:widowControl/>
              <w:adjustRightInd w:val="0"/>
              <w:rPr>
                <w:rFonts w:eastAsia="Myriad Pro"/>
                <w:sz w:val="24"/>
                <w:szCs w:val="24"/>
                <w:lang w:val="en-GB"/>
              </w:rPr>
            </w:pPr>
          </w:p>
        </w:tc>
      </w:tr>
      <w:tr w:rsidR="00143B83" w:rsidRPr="00143B83" w14:paraId="7B050C84" w14:textId="77777777" w:rsidTr="00143B83">
        <w:trPr>
          <w:trHeight w:val="60"/>
        </w:trPr>
        <w:tc>
          <w:tcPr>
            <w:tcW w:w="7937"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2F984C38"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color w:val="000000"/>
                <w:sz w:val="24"/>
                <w:szCs w:val="24"/>
                <w:lang w:val="en-GB"/>
              </w:rPr>
              <w:t xml:space="preserve">Other provisions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0B0C5CE"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20,791</w:t>
            </w:r>
          </w:p>
        </w:tc>
        <w:tc>
          <w:tcPr>
            <w:tcW w:w="113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18A131ED"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1,902</w:t>
            </w:r>
          </w:p>
        </w:tc>
      </w:tr>
      <w:tr w:rsidR="00143B83" w:rsidRPr="00143B83" w14:paraId="6822A8E4" w14:textId="77777777" w:rsidTr="00143B83">
        <w:trPr>
          <w:trHeight w:val="60"/>
        </w:trPr>
        <w:tc>
          <w:tcPr>
            <w:tcW w:w="7937"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0BBE0ADF"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color w:val="000000"/>
                <w:sz w:val="24"/>
                <w:szCs w:val="24"/>
                <w:lang w:val="en-GB"/>
              </w:rPr>
              <w:t>Make-good provision</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14B3BFE4"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2,920</w:t>
            </w:r>
          </w:p>
        </w:tc>
        <w:tc>
          <w:tcPr>
            <w:tcW w:w="1134" w:type="dxa"/>
            <w:tcBorders>
              <w:top w:val="single" w:sz="2" w:space="0" w:color="9D9C9C"/>
              <w:left w:val="single" w:sz="2" w:space="0" w:color="9D9C9C"/>
              <w:bottom w:val="single" w:sz="4" w:space="0" w:color="000000"/>
              <w:right w:val="single" w:sz="6" w:space="0" w:color="9D9C9C"/>
            </w:tcBorders>
            <w:tcMar>
              <w:top w:w="57" w:type="dxa"/>
              <w:left w:w="14" w:type="dxa"/>
              <w:bottom w:w="57" w:type="dxa"/>
              <w:right w:w="14" w:type="dxa"/>
            </w:tcMar>
          </w:tcPr>
          <w:p w14:paraId="4ED54E1E"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3,554</w:t>
            </w:r>
          </w:p>
        </w:tc>
      </w:tr>
      <w:tr w:rsidR="00143B83" w:rsidRPr="00143B83" w14:paraId="02116339" w14:textId="77777777" w:rsidTr="00143B83">
        <w:trPr>
          <w:trHeight w:val="60"/>
        </w:trPr>
        <w:tc>
          <w:tcPr>
            <w:tcW w:w="7937" w:type="dxa"/>
            <w:tcBorders>
              <w:top w:val="single" w:sz="4" w:space="0" w:color="000000"/>
              <w:left w:val="single" w:sz="6" w:space="0" w:color="000000"/>
              <w:bottom w:val="single" w:sz="4" w:space="0" w:color="000000"/>
              <w:right w:val="single" w:sz="2" w:space="0" w:color="9D9C9C"/>
            </w:tcBorders>
            <w:tcMar>
              <w:top w:w="57" w:type="dxa"/>
              <w:left w:w="14" w:type="dxa"/>
              <w:bottom w:w="57" w:type="dxa"/>
              <w:right w:w="14" w:type="dxa"/>
            </w:tcMar>
          </w:tcPr>
          <w:p w14:paraId="14B6246C"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Total Current Provisions</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2AA004CC"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23,711</w:t>
            </w:r>
          </w:p>
        </w:tc>
        <w:tc>
          <w:tcPr>
            <w:tcW w:w="1134" w:type="dxa"/>
            <w:tcBorders>
              <w:top w:val="single" w:sz="4" w:space="0" w:color="000000"/>
              <w:left w:val="single" w:sz="2" w:space="0" w:color="9D9C9C"/>
              <w:bottom w:val="single" w:sz="4" w:space="0" w:color="000000"/>
              <w:right w:val="single" w:sz="6" w:space="0" w:color="9D9C9C"/>
            </w:tcBorders>
            <w:tcMar>
              <w:top w:w="57" w:type="dxa"/>
              <w:left w:w="14" w:type="dxa"/>
              <w:bottom w:w="57" w:type="dxa"/>
              <w:right w:w="14" w:type="dxa"/>
            </w:tcMar>
          </w:tcPr>
          <w:p w14:paraId="57E4DD7A"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5,456</w:t>
            </w:r>
          </w:p>
        </w:tc>
      </w:tr>
      <w:tr w:rsidR="00143B83" w:rsidRPr="00143B83" w14:paraId="6923955A" w14:textId="77777777" w:rsidTr="00143B83">
        <w:trPr>
          <w:trHeight w:val="60"/>
        </w:trPr>
        <w:tc>
          <w:tcPr>
            <w:tcW w:w="7937" w:type="dxa"/>
            <w:tcBorders>
              <w:top w:val="single" w:sz="4" w:space="0" w:color="000000"/>
              <w:left w:val="single" w:sz="6" w:space="0" w:color="000000"/>
              <w:bottom w:val="single" w:sz="2" w:space="0" w:color="9D9C9C"/>
              <w:right w:val="single" w:sz="2" w:space="0" w:color="9D9C9C"/>
            </w:tcBorders>
            <w:tcMar>
              <w:top w:w="57" w:type="dxa"/>
              <w:left w:w="14" w:type="dxa"/>
              <w:bottom w:w="57" w:type="dxa"/>
              <w:right w:w="14" w:type="dxa"/>
            </w:tcMar>
          </w:tcPr>
          <w:p w14:paraId="70182346"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Non-Current Provisions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90E1CA8" w14:textId="77777777" w:rsidR="00143B83" w:rsidRPr="00143B83" w:rsidRDefault="00143B83" w:rsidP="00143B83">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57" w:type="dxa"/>
              <w:left w:w="14" w:type="dxa"/>
              <w:bottom w:w="57" w:type="dxa"/>
              <w:right w:w="14" w:type="dxa"/>
            </w:tcMar>
          </w:tcPr>
          <w:p w14:paraId="5D6E3CE9" w14:textId="77777777" w:rsidR="00143B83" w:rsidRPr="00143B83" w:rsidRDefault="00143B83" w:rsidP="00143B83">
            <w:pPr>
              <w:widowControl/>
              <w:adjustRightInd w:val="0"/>
              <w:rPr>
                <w:rFonts w:eastAsia="Myriad Pro"/>
                <w:sz w:val="24"/>
                <w:szCs w:val="24"/>
                <w:lang w:val="en-GB"/>
              </w:rPr>
            </w:pPr>
          </w:p>
        </w:tc>
      </w:tr>
      <w:tr w:rsidR="00143B83" w:rsidRPr="00143B83" w14:paraId="61D5D6EA" w14:textId="77777777" w:rsidTr="00143B83">
        <w:trPr>
          <w:trHeight w:val="60"/>
        </w:trPr>
        <w:tc>
          <w:tcPr>
            <w:tcW w:w="7937"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15258E51"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color w:val="000000"/>
                <w:sz w:val="24"/>
                <w:szCs w:val="24"/>
                <w:lang w:val="en-GB"/>
              </w:rPr>
              <w:t>Make-good provision</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5CD16D20"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10,632</w:t>
            </w:r>
          </w:p>
        </w:tc>
        <w:tc>
          <w:tcPr>
            <w:tcW w:w="1134" w:type="dxa"/>
            <w:tcBorders>
              <w:top w:val="single" w:sz="2" w:space="0" w:color="9D9C9C"/>
              <w:left w:val="single" w:sz="2" w:space="0" w:color="9D9C9C"/>
              <w:bottom w:val="single" w:sz="4" w:space="0" w:color="000000"/>
              <w:right w:val="single" w:sz="6" w:space="0" w:color="9D9C9C"/>
            </w:tcBorders>
            <w:tcMar>
              <w:top w:w="57" w:type="dxa"/>
              <w:left w:w="14" w:type="dxa"/>
              <w:bottom w:w="57" w:type="dxa"/>
              <w:right w:w="14" w:type="dxa"/>
            </w:tcMar>
          </w:tcPr>
          <w:p w14:paraId="69544B33"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8,056</w:t>
            </w:r>
          </w:p>
        </w:tc>
      </w:tr>
      <w:tr w:rsidR="00143B83" w:rsidRPr="00143B83" w14:paraId="7E039B57" w14:textId="77777777" w:rsidTr="00143B83">
        <w:trPr>
          <w:trHeight w:val="60"/>
        </w:trPr>
        <w:tc>
          <w:tcPr>
            <w:tcW w:w="7937" w:type="dxa"/>
            <w:tcBorders>
              <w:top w:val="single" w:sz="4" w:space="0" w:color="000000"/>
              <w:left w:val="single" w:sz="6" w:space="0" w:color="000000"/>
              <w:bottom w:val="single" w:sz="4" w:space="0" w:color="000000"/>
              <w:right w:val="single" w:sz="2" w:space="0" w:color="9D9C9C"/>
            </w:tcBorders>
            <w:tcMar>
              <w:top w:w="57" w:type="dxa"/>
              <w:left w:w="14" w:type="dxa"/>
              <w:bottom w:w="57" w:type="dxa"/>
              <w:right w:w="14" w:type="dxa"/>
            </w:tcMar>
          </w:tcPr>
          <w:p w14:paraId="63A2C4B8"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 xml:space="preserve">Total Non-Current Provisions </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7661AE64"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10,632</w:t>
            </w:r>
          </w:p>
        </w:tc>
        <w:tc>
          <w:tcPr>
            <w:tcW w:w="1134" w:type="dxa"/>
            <w:tcBorders>
              <w:top w:val="single" w:sz="4" w:space="0" w:color="000000"/>
              <w:left w:val="single" w:sz="2" w:space="0" w:color="9D9C9C"/>
              <w:bottom w:val="single" w:sz="4" w:space="0" w:color="000000"/>
              <w:right w:val="single" w:sz="6" w:space="0" w:color="9D9C9C"/>
            </w:tcBorders>
            <w:tcMar>
              <w:top w:w="57" w:type="dxa"/>
              <w:left w:w="14" w:type="dxa"/>
              <w:bottom w:w="57" w:type="dxa"/>
              <w:right w:w="14" w:type="dxa"/>
            </w:tcMar>
          </w:tcPr>
          <w:p w14:paraId="1C6C3395"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8,056</w:t>
            </w:r>
          </w:p>
        </w:tc>
      </w:tr>
      <w:tr w:rsidR="00143B83" w:rsidRPr="00143B83" w14:paraId="7F4DFCD6" w14:textId="77777777" w:rsidTr="00143B83">
        <w:trPr>
          <w:trHeight w:val="60"/>
        </w:trPr>
        <w:tc>
          <w:tcPr>
            <w:tcW w:w="7937" w:type="dxa"/>
            <w:tcBorders>
              <w:top w:val="single" w:sz="4" w:space="0" w:color="000000"/>
              <w:left w:val="single" w:sz="6" w:space="0" w:color="9D9C9C"/>
              <w:bottom w:val="single" w:sz="8" w:space="0" w:color="000000"/>
              <w:right w:val="single" w:sz="2" w:space="0" w:color="9D9C9C"/>
            </w:tcBorders>
            <w:tcMar>
              <w:top w:w="57" w:type="dxa"/>
              <w:left w:w="14" w:type="dxa"/>
              <w:bottom w:w="57" w:type="dxa"/>
              <w:right w:w="14" w:type="dxa"/>
            </w:tcMar>
          </w:tcPr>
          <w:p w14:paraId="6B6B4BFE"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Total Other Provisions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0E4F44FD"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34,343</w:t>
            </w:r>
          </w:p>
        </w:tc>
        <w:tc>
          <w:tcPr>
            <w:tcW w:w="1134" w:type="dxa"/>
            <w:tcBorders>
              <w:top w:val="single" w:sz="4" w:space="0" w:color="000000"/>
              <w:left w:val="single" w:sz="2" w:space="0" w:color="9D9C9C"/>
              <w:bottom w:val="single" w:sz="8" w:space="0" w:color="000000"/>
              <w:right w:val="single" w:sz="6" w:space="0" w:color="9D9C9C"/>
            </w:tcBorders>
            <w:tcMar>
              <w:top w:w="57" w:type="dxa"/>
              <w:left w:w="14" w:type="dxa"/>
              <w:bottom w:w="57" w:type="dxa"/>
              <w:right w:w="14" w:type="dxa"/>
            </w:tcMar>
          </w:tcPr>
          <w:p w14:paraId="12165F2D"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13,512</w:t>
            </w:r>
          </w:p>
        </w:tc>
      </w:tr>
    </w:tbl>
    <w:p w14:paraId="7D0D7CFA" w14:textId="259E3F81" w:rsidR="00345EE3" w:rsidRDefault="00345EE3" w:rsidP="009E651C">
      <w:pPr>
        <w:pStyle w:val="BodyText"/>
        <w:spacing w:before="104" w:line="242" w:lineRule="auto"/>
        <w:ind w:left="142" w:right="187"/>
      </w:pPr>
      <w:r>
        <w:rPr>
          <w:color w:val="231F20"/>
        </w:rPr>
        <w:t>Other provisions are recognised when Victoria Police has a present obligation, the future sacrifice of economic benefits is probable, and the amount of the provision can be measured reliably.</w:t>
      </w:r>
      <w:r>
        <w:rPr>
          <w:color w:val="231F20"/>
          <w:spacing w:val="-10"/>
        </w:rPr>
        <w:t xml:space="preserve"> </w:t>
      </w:r>
      <w:r>
        <w:rPr>
          <w:color w:val="231F20"/>
        </w:rPr>
        <w:t>The</w:t>
      </w:r>
      <w:r>
        <w:rPr>
          <w:color w:val="231F20"/>
          <w:spacing w:val="-11"/>
        </w:rPr>
        <w:t xml:space="preserve"> </w:t>
      </w:r>
      <w:r>
        <w:rPr>
          <w:color w:val="231F20"/>
        </w:rPr>
        <w:t>amount</w:t>
      </w:r>
      <w:r>
        <w:rPr>
          <w:color w:val="231F20"/>
          <w:spacing w:val="-10"/>
        </w:rPr>
        <w:t xml:space="preserve"> </w:t>
      </w:r>
      <w:r>
        <w:rPr>
          <w:color w:val="231F20"/>
        </w:rPr>
        <w:t>recognised</w:t>
      </w:r>
      <w:r>
        <w:rPr>
          <w:color w:val="231F20"/>
          <w:spacing w:val="-11"/>
        </w:rPr>
        <w:t xml:space="preserve"> </w:t>
      </w:r>
      <w:r>
        <w:rPr>
          <w:color w:val="231F20"/>
        </w:rPr>
        <w:t>as</w:t>
      </w:r>
      <w:r>
        <w:rPr>
          <w:color w:val="231F20"/>
          <w:spacing w:val="-10"/>
        </w:rPr>
        <w:t xml:space="preserve"> </w:t>
      </w:r>
      <w:r>
        <w:rPr>
          <w:color w:val="231F20"/>
        </w:rPr>
        <w:t>a</w:t>
      </w:r>
      <w:r>
        <w:rPr>
          <w:color w:val="231F20"/>
          <w:spacing w:val="-11"/>
        </w:rPr>
        <w:t xml:space="preserve"> </w:t>
      </w:r>
      <w:r>
        <w:rPr>
          <w:color w:val="231F20"/>
        </w:rPr>
        <w:t>provision</w:t>
      </w:r>
      <w:r>
        <w:rPr>
          <w:color w:val="231F20"/>
          <w:spacing w:val="-11"/>
        </w:rPr>
        <w:t xml:space="preserve"> </w:t>
      </w:r>
      <w:r>
        <w:rPr>
          <w:color w:val="231F20"/>
        </w:rPr>
        <w:t>is</w:t>
      </w:r>
      <w:r>
        <w:rPr>
          <w:color w:val="231F20"/>
          <w:spacing w:val="-10"/>
        </w:rPr>
        <w:t xml:space="preserve"> </w:t>
      </w:r>
      <w:r>
        <w:rPr>
          <w:color w:val="231F20"/>
        </w:rPr>
        <w:t>the</w:t>
      </w:r>
      <w:r>
        <w:rPr>
          <w:color w:val="231F20"/>
          <w:spacing w:val="-11"/>
        </w:rPr>
        <w:t xml:space="preserve"> </w:t>
      </w:r>
      <w:r>
        <w:rPr>
          <w:color w:val="231F20"/>
        </w:rPr>
        <w:t>best</w:t>
      </w:r>
      <w:r>
        <w:rPr>
          <w:color w:val="231F20"/>
          <w:spacing w:val="-10"/>
        </w:rPr>
        <w:t xml:space="preserve"> </w:t>
      </w:r>
      <w:r>
        <w:rPr>
          <w:color w:val="231F20"/>
        </w:rPr>
        <w:t>estimate</w:t>
      </w:r>
      <w:r>
        <w:rPr>
          <w:color w:val="231F20"/>
          <w:spacing w:val="-11"/>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consideration</w:t>
      </w:r>
      <w:r>
        <w:rPr>
          <w:color w:val="231F20"/>
          <w:spacing w:val="-11"/>
        </w:rPr>
        <w:t xml:space="preserve"> </w:t>
      </w:r>
      <w:r>
        <w:rPr>
          <w:color w:val="231F20"/>
        </w:rPr>
        <w:t>required to settle the present obligation at reporting date, taking into account the risks and uncertainties surrounding</w:t>
      </w:r>
      <w:r>
        <w:rPr>
          <w:color w:val="231F20"/>
          <w:spacing w:val="-11"/>
        </w:rPr>
        <w:t xml:space="preserve"> </w:t>
      </w:r>
      <w:r>
        <w:rPr>
          <w:color w:val="231F20"/>
        </w:rPr>
        <w:t>the</w:t>
      </w:r>
      <w:r>
        <w:rPr>
          <w:color w:val="231F20"/>
          <w:spacing w:val="-11"/>
        </w:rPr>
        <w:t xml:space="preserve"> </w:t>
      </w:r>
      <w:r>
        <w:rPr>
          <w:color w:val="231F20"/>
          <w:spacing w:val="-2"/>
        </w:rPr>
        <w:t>obligation.</w:t>
      </w:r>
    </w:p>
    <w:p w14:paraId="09807D68" w14:textId="77777777" w:rsidR="00345EE3" w:rsidRDefault="00345EE3" w:rsidP="009E651C">
      <w:pPr>
        <w:pStyle w:val="BodyText"/>
        <w:spacing w:before="117" w:line="242" w:lineRule="auto"/>
        <w:ind w:left="142"/>
      </w:pPr>
      <w:r>
        <w:rPr>
          <w:color w:val="231F20"/>
        </w:rPr>
        <w:t>Where</w:t>
      </w:r>
      <w:r>
        <w:rPr>
          <w:color w:val="231F20"/>
          <w:spacing w:val="-9"/>
        </w:rPr>
        <w:t xml:space="preserve"> </w:t>
      </w:r>
      <w:r>
        <w:rPr>
          <w:color w:val="231F20"/>
        </w:rPr>
        <w:t>a</w:t>
      </w:r>
      <w:r>
        <w:rPr>
          <w:color w:val="231F20"/>
          <w:spacing w:val="-9"/>
        </w:rPr>
        <w:t xml:space="preserve"> </w:t>
      </w:r>
      <w:r>
        <w:rPr>
          <w:color w:val="231F20"/>
        </w:rPr>
        <w:t>provision</w:t>
      </w:r>
      <w:r>
        <w:rPr>
          <w:color w:val="231F20"/>
          <w:spacing w:val="-9"/>
        </w:rPr>
        <w:t xml:space="preserve"> </w:t>
      </w:r>
      <w:r>
        <w:rPr>
          <w:color w:val="231F20"/>
        </w:rPr>
        <w:t>is</w:t>
      </w:r>
      <w:r>
        <w:rPr>
          <w:color w:val="231F20"/>
          <w:spacing w:val="-8"/>
        </w:rPr>
        <w:t xml:space="preserve"> </w:t>
      </w:r>
      <w:r>
        <w:rPr>
          <w:color w:val="231F20"/>
        </w:rPr>
        <w:t>measured</w:t>
      </w:r>
      <w:r>
        <w:rPr>
          <w:color w:val="231F20"/>
          <w:spacing w:val="-9"/>
        </w:rPr>
        <w:t xml:space="preserve"> </w:t>
      </w:r>
      <w:r>
        <w:rPr>
          <w:color w:val="231F20"/>
        </w:rPr>
        <w:t>using</w:t>
      </w:r>
      <w:r>
        <w:rPr>
          <w:color w:val="231F20"/>
          <w:spacing w:val="-9"/>
        </w:rPr>
        <w:t xml:space="preserve"> </w:t>
      </w:r>
      <w:r>
        <w:rPr>
          <w:color w:val="231F20"/>
        </w:rPr>
        <w:t>the</w:t>
      </w:r>
      <w:r>
        <w:rPr>
          <w:color w:val="231F20"/>
          <w:spacing w:val="-9"/>
        </w:rPr>
        <w:t xml:space="preserve"> </w:t>
      </w:r>
      <w:r>
        <w:rPr>
          <w:color w:val="231F20"/>
        </w:rPr>
        <w:t>cash</w:t>
      </w:r>
      <w:r>
        <w:rPr>
          <w:color w:val="231F20"/>
          <w:spacing w:val="-9"/>
        </w:rPr>
        <w:t xml:space="preserve"> </w:t>
      </w:r>
      <w:r>
        <w:rPr>
          <w:color w:val="231F20"/>
        </w:rPr>
        <w:t>flows</w:t>
      </w:r>
      <w:r>
        <w:rPr>
          <w:color w:val="231F20"/>
          <w:spacing w:val="-8"/>
        </w:rPr>
        <w:t xml:space="preserve"> </w:t>
      </w:r>
      <w:r>
        <w:rPr>
          <w:color w:val="231F20"/>
        </w:rPr>
        <w:t>estimated</w:t>
      </w:r>
      <w:r>
        <w:rPr>
          <w:color w:val="231F20"/>
          <w:spacing w:val="-9"/>
        </w:rPr>
        <w:t xml:space="preserve"> </w:t>
      </w:r>
      <w:r>
        <w:rPr>
          <w:color w:val="231F20"/>
        </w:rPr>
        <w:t>to</w:t>
      </w:r>
      <w:r>
        <w:rPr>
          <w:color w:val="231F20"/>
          <w:spacing w:val="-9"/>
        </w:rPr>
        <w:t xml:space="preserve"> </w:t>
      </w:r>
      <w:r>
        <w:rPr>
          <w:color w:val="231F20"/>
        </w:rPr>
        <w:t>settle</w:t>
      </w:r>
      <w:r>
        <w:rPr>
          <w:color w:val="231F20"/>
          <w:spacing w:val="-9"/>
        </w:rPr>
        <w:t xml:space="preserve"> </w:t>
      </w:r>
      <w:r>
        <w:rPr>
          <w:color w:val="231F20"/>
        </w:rPr>
        <w:t>the</w:t>
      </w:r>
      <w:r>
        <w:rPr>
          <w:color w:val="231F20"/>
          <w:spacing w:val="-9"/>
        </w:rPr>
        <w:t xml:space="preserve"> </w:t>
      </w:r>
      <w:r>
        <w:rPr>
          <w:color w:val="231F20"/>
        </w:rPr>
        <w:t>present</w:t>
      </w:r>
      <w:r>
        <w:rPr>
          <w:color w:val="231F20"/>
          <w:spacing w:val="-8"/>
        </w:rPr>
        <w:t xml:space="preserve"> </w:t>
      </w:r>
      <w:r>
        <w:rPr>
          <w:color w:val="231F20"/>
        </w:rPr>
        <w:t>obligation,</w:t>
      </w:r>
      <w:r>
        <w:rPr>
          <w:color w:val="231F20"/>
          <w:spacing w:val="-8"/>
        </w:rPr>
        <w:t xml:space="preserve"> </w:t>
      </w:r>
      <w:r>
        <w:rPr>
          <w:color w:val="231F20"/>
        </w:rPr>
        <w:t>its carrying amount is the present value of those cash flows, using a discount rate that reflects the time value of money and risks specific to the provision.</w:t>
      </w:r>
    </w:p>
    <w:p w14:paraId="2157B88E" w14:textId="77777777" w:rsidR="00345EE3" w:rsidRDefault="00345EE3" w:rsidP="00345EE3">
      <w:pPr>
        <w:pStyle w:val="Heading5"/>
        <w:spacing w:before="166"/>
      </w:pPr>
      <w:r>
        <w:rPr>
          <w:color w:val="231F20"/>
        </w:rPr>
        <w:t>Reconciliation</w:t>
      </w:r>
      <w:r>
        <w:rPr>
          <w:color w:val="231F20"/>
          <w:spacing w:val="-4"/>
        </w:rPr>
        <w:t xml:space="preserve"> </w:t>
      </w:r>
      <w:r>
        <w:rPr>
          <w:color w:val="231F20"/>
        </w:rPr>
        <w:t>of</w:t>
      </w:r>
      <w:r>
        <w:rPr>
          <w:color w:val="231F20"/>
          <w:spacing w:val="-4"/>
        </w:rPr>
        <w:t xml:space="preserve"> </w:t>
      </w:r>
      <w:r>
        <w:rPr>
          <w:color w:val="231F20"/>
        </w:rPr>
        <w:t>Movements</w:t>
      </w:r>
      <w:r>
        <w:rPr>
          <w:color w:val="231F20"/>
          <w:spacing w:val="-4"/>
        </w:rPr>
        <w:t xml:space="preserve"> </w:t>
      </w:r>
      <w:r>
        <w:rPr>
          <w:color w:val="231F20"/>
        </w:rPr>
        <w:t>in</w:t>
      </w:r>
      <w:r>
        <w:rPr>
          <w:color w:val="231F20"/>
          <w:spacing w:val="-4"/>
        </w:rPr>
        <w:t xml:space="preserve"> </w:t>
      </w:r>
      <w:r>
        <w:rPr>
          <w:color w:val="231F20"/>
        </w:rPr>
        <w:t>Other</w:t>
      </w:r>
      <w:r>
        <w:rPr>
          <w:color w:val="231F20"/>
          <w:spacing w:val="-4"/>
        </w:rPr>
        <w:t xml:space="preserve"> </w:t>
      </w:r>
      <w:r>
        <w:rPr>
          <w:color w:val="231F20"/>
          <w:spacing w:val="-2"/>
        </w:rPr>
        <w:t>Provisions</w:t>
      </w:r>
    </w:p>
    <w:p w14:paraId="3D4FD4C9" w14:textId="77777777" w:rsidR="00345EE3" w:rsidRDefault="00345EE3" w:rsidP="00345EE3">
      <w:pPr>
        <w:pStyle w:val="BodyText"/>
        <w:spacing w:before="7"/>
        <w:rPr>
          <w:b/>
          <w:sz w:val="6"/>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746"/>
        <w:gridCol w:w="1190"/>
        <w:gridCol w:w="1133"/>
        <w:gridCol w:w="1133"/>
      </w:tblGrid>
      <w:tr w:rsidR="00345EE3" w14:paraId="199797ED" w14:textId="77777777" w:rsidTr="00D73130">
        <w:trPr>
          <w:trHeight w:val="405"/>
        </w:trPr>
        <w:tc>
          <w:tcPr>
            <w:tcW w:w="10202" w:type="dxa"/>
            <w:gridSpan w:val="4"/>
            <w:tcBorders>
              <w:top w:val="nil"/>
              <w:left w:val="nil"/>
              <w:bottom w:val="nil"/>
              <w:right w:val="nil"/>
            </w:tcBorders>
            <w:shd w:val="clear" w:color="auto" w:fill="00529F"/>
          </w:tcPr>
          <w:p w14:paraId="3AA2FB83" w14:textId="77777777" w:rsidR="00345EE3" w:rsidRDefault="00345EE3" w:rsidP="00D73130">
            <w:pPr>
              <w:pStyle w:val="TableParagraph"/>
              <w:spacing w:before="63"/>
              <w:ind w:right="-15"/>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5A06F6F3" w14:textId="77777777" w:rsidTr="00D73130">
        <w:trPr>
          <w:trHeight w:val="677"/>
        </w:trPr>
        <w:tc>
          <w:tcPr>
            <w:tcW w:w="6746" w:type="dxa"/>
            <w:tcBorders>
              <w:top w:val="nil"/>
              <w:left w:val="nil"/>
              <w:bottom w:val="nil"/>
              <w:right w:val="nil"/>
            </w:tcBorders>
            <w:shd w:val="clear" w:color="auto" w:fill="00529F"/>
          </w:tcPr>
          <w:p w14:paraId="67AC0F93" w14:textId="77777777" w:rsidR="00345EE3" w:rsidRDefault="00345EE3" w:rsidP="00D73130">
            <w:pPr>
              <w:pStyle w:val="TableParagraph"/>
              <w:spacing w:before="0"/>
              <w:jc w:val="left"/>
              <w:rPr>
                <w:rFonts w:ascii="Times New Roman"/>
                <w:sz w:val="24"/>
              </w:rPr>
            </w:pPr>
          </w:p>
        </w:tc>
        <w:tc>
          <w:tcPr>
            <w:tcW w:w="1190" w:type="dxa"/>
            <w:tcBorders>
              <w:top w:val="nil"/>
              <w:left w:val="nil"/>
              <w:bottom w:val="nil"/>
              <w:right w:val="nil"/>
            </w:tcBorders>
            <w:shd w:val="clear" w:color="auto" w:fill="00529F"/>
          </w:tcPr>
          <w:p w14:paraId="4EDE683F" w14:textId="77777777" w:rsidR="00345EE3" w:rsidRDefault="00345EE3" w:rsidP="00D73130">
            <w:pPr>
              <w:pStyle w:val="TableParagraph"/>
              <w:spacing w:before="59" w:line="242" w:lineRule="auto"/>
              <w:ind w:left="569" w:right="-8" w:hanging="52"/>
              <w:jc w:val="left"/>
              <w:rPr>
                <w:b/>
                <w:sz w:val="24"/>
              </w:rPr>
            </w:pPr>
            <w:r>
              <w:rPr>
                <w:b/>
                <w:color w:val="FFFFFF"/>
                <w:spacing w:val="-4"/>
                <w:sz w:val="24"/>
              </w:rPr>
              <w:t xml:space="preserve">Make- </w:t>
            </w:r>
            <w:r>
              <w:rPr>
                <w:b/>
                <w:color w:val="FFFFFF"/>
                <w:spacing w:val="-6"/>
                <w:sz w:val="24"/>
              </w:rPr>
              <w:t>Good</w:t>
            </w:r>
          </w:p>
        </w:tc>
        <w:tc>
          <w:tcPr>
            <w:tcW w:w="1133" w:type="dxa"/>
            <w:tcBorders>
              <w:top w:val="nil"/>
              <w:left w:val="nil"/>
              <w:bottom w:val="nil"/>
              <w:right w:val="nil"/>
            </w:tcBorders>
            <w:shd w:val="clear" w:color="auto" w:fill="00529F"/>
          </w:tcPr>
          <w:p w14:paraId="45521DAA" w14:textId="77777777" w:rsidR="00345EE3" w:rsidRDefault="00345EE3" w:rsidP="00D73130">
            <w:pPr>
              <w:pStyle w:val="TableParagraph"/>
              <w:spacing w:before="59"/>
              <w:rPr>
                <w:b/>
                <w:sz w:val="24"/>
              </w:rPr>
            </w:pPr>
            <w:r>
              <w:rPr>
                <w:b/>
                <w:color w:val="FFFFFF"/>
                <w:spacing w:val="-2"/>
                <w:sz w:val="24"/>
              </w:rPr>
              <w:t>Others</w:t>
            </w:r>
          </w:p>
        </w:tc>
        <w:tc>
          <w:tcPr>
            <w:tcW w:w="1133" w:type="dxa"/>
            <w:tcBorders>
              <w:top w:val="nil"/>
              <w:left w:val="nil"/>
              <w:bottom w:val="nil"/>
              <w:right w:val="nil"/>
            </w:tcBorders>
            <w:shd w:val="clear" w:color="auto" w:fill="00529F"/>
          </w:tcPr>
          <w:p w14:paraId="7A48E85B" w14:textId="77777777" w:rsidR="00345EE3" w:rsidRDefault="00345EE3" w:rsidP="00D73130">
            <w:pPr>
              <w:pStyle w:val="TableParagraph"/>
              <w:spacing w:before="59"/>
              <w:ind w:right="-15"/>
              <w:rPr>
                <w:b/>
                <w:sz w:val="24"/>
              </w:rPr>
            </w:pPr>
            <w:r>
              <w:rPr>
                <w:b/>
                <w:color w:val="FFFFFF"/>
                <w:spacing w:val="-2"/>
                <w:sz w:val="24"/>
              </w:rPr>
              <w:t>Total</w:t>
            </w:r>
          </w:p>
        </w:tc>
      </w:tr>
      <w:tr w:rsidR="00345EE3" w14:paraId="5A0492CE" w14:textId="77777777" w:rsidTr="00D73130">
        <w:trPr>
          <w:trHeight w:val="396"/>
        </w:trPr>
        <w:tc>
          <w:tcPr>
            <w:tcW w:w="6746" w:type="dxa"/>
            <w:tcBorders>
              <w:top w:val="nil"/>
              <w:left w:val="nil"/>
            </w:tcBorders>
          </w:tcPr>
          <w:p w14:paraId="583CA6E9" w14:textId="77777777" w:rsidR="00345EE3" w:rsidRDefault="00345EE3" w:rsidP="00D73130">
            <w:pPr>
              <w:pStyle w:val="TableParagraph"/>
              <w:ind w:left="-3"/>
              <w:jc w:val="left"/>
              <w:rPr>
                <w:b/>
                <w:sz w:val="24"/>
              </w:rPr>
            </w:pPr>
            <w:r>
              <w:rPr>
                <w:b/>
                <w:color w:val="231F20"/>
                <w:spacing w:val="-2"/>
                <w:sz w:val="24"/>
              </w:rPr>
              <w:t>Current</w:t>
            </w:r>
          </w:p>
        </w:tc>
        <w:tc>
          <w:tcPr>
            <w:tcW w:w="1190" w:type="dxa"/>
            <w:tcBorders>
              <w:top w:val="nil"/>
            </w:tcBorders>
          </w:tcPr>
          <w:p w14:paraId="29DC224C" w14:textId="77777777" w:rsidR="00345EE3" w:rsidRDefault="00345EE3" w:rsidP="00D73130">
            <w:pPr>
              <w:pStyle w:val="TableParagraph"/>
              <w:spacing w:before="0"/>
              <w:jc w:val="left"/>
              <w:rPr>
                <w:rFonts w:ascii="Times New Roman"/>
                <w:sz w:val="24"/>
              </w:rPr>
            </w:pPr>
          </w:p>
        </w:tc>
        <w:tc>
          <w:tcPr>
            <w:tcW w:w="1133" w:type="dxa"/>
            <w:tcBorders>
              <w:top w:val="nil"/>
            </w:tcBorders>
          </w:tcPr>
          <w:p w14:paraId="7D1C756D" w14:textId="77777777" w:rsidR="00345EE3" w:rsidRDefault="00345EE3" w:rsidP="00D73130">
            <w:pPr>
              <w:pStyle w:val="TableParagraph"/>
              <w:spacing w:before="0"/>
              <w:jc w:val="left"/>
              <w:rPr>
                <w:rFonts w:ascii="Times New Roman"/>
                <w:sz w:val="24"/>
              </w:rPr>
            </w:pPr>
          </w:p>
        </w:tc>
        <w:tc>
          <w:tcPr>
            <w:tcW w:w="1133" w:type="dxa"/>
            <w:tcBorders>
              <w:top w:val="nil"/>
              <w:right w:val="nil"/>
            </w:tcBorders>
            <w:shd w:val="clear" w:color="auto" w:fill="E6E7E8"/>
          </w:tcPr>
          <w:p w14:paraId="47D1E32A" w14:textId="77777777" w:rsidR="00345EE3" w:rsidRDefault="00345EE3" w:rsidP="00D73130">
            <w:pPr>
              <w:pStyle w:val="TableParagraph"/>
              <w:spacing w:before="0"/>
              <w:jc w:val="left"/>
              <w:rPr>
                <w:rFonts w:ascii="Times New Roman"/>
                <w:sz w:val="24"/>
              </w:rPr>
            </w:pPr>
          </w:p>
        </w:tc>
      </w:tr>
      <w:tr w:rsidR="00345EE3" w14:paraId="6501B596" w14:textId="77777777" w:rsidTr="00D73130">
        <w:trPr>
          <w:trHeight w:val="396"/>
        </w:trPr>
        <w:tc>
          <w:tcPr>
            <w:tcW w:w="6746" w:type="dxa"/>
            <w:tcBorders>
              <w:left w:val="nil"/>
            </w:tcBorders>
          </w:tcPr>
          <w:p w14:paraId="7C80CCC9" w14:textId="77777777" w:rsidR="00345EE3" w:rsidRDefault="00345EE3" w:rsidP="00D73130">
            <w:pPr>
              <w:pStyle w:val="TableParagraph"/>
              <w:ind w:left="-3"/>
              <w:jc w:val="left"/>
              <w:rPr>
                <w:sz w:val="24"/>
              </w:rPr>
            </w:pPr>
            <w:r>
              <w:rPr>
                <w:color w:val="231F20"/>
                <w:sz w:val="24"/>
              </w:rPr>
              <w:t xml:space="preserve">Opening </w:t>
            </w:r>
            <w:r>
              <w:rPr>
                <w:color w:val="231F20"/>
                <w:spacing w:val="-2"/>
                <w:sz w:val="24"/>
              </w:rPr>
              <w:t>balance</w:t>
            </w:r>
          </w:p>
        </w:tc>
        <w:tc>
          <w:tcPr>
            <w:tcW w:w="1190" w:type="dxa"/>
          </w:tcPr>
          <w:p w14:paraId="743D470F" w14:textId="77777777" w:rsidR="00345EE3" w:rsidRDefault="00345EE3" w:rsidP="00D73130">
            <w:pPr>
              <w:pStyle w:val="TableParagraph"/>
              <w:ind w:right="1"/>
              <w:rPr>
                <w:sz w:val="24"/>
              </w:rPr>
            </w:pPr>
            <w:r>
              <w:rPr>
                <w:color w:val="231F20"/>
                <w:spacing w:val="-2"/>
                <w:sz w:val="24"/>
              </w:rPr>
              <w:t>3,554</w:t>
            </w:r>
          </w:p>
        </w:tc>
        <w:tc>
          <w:tcPr>
            <w:tcW w:w="1133" w:type="dxa"/>
          </w:tcPr>
          <w:p w14:paraId="6DDBF705" w14:textId="77777777" w:rsidR="00345EE3" w:rsidRDefault="00345EE3" w:rsidP="00D73130">
            <w:pPr>
              <w:pStyle w:val="TableParagraph"/>
              <w:rPr>
                <w:sz w:val="24"/>
              </w:rPr>
            </w:pPr>
            <w:r>
              <w:rPr>
                <w:color w:val="231F20"/>
                <w:spacing w:val="-2"/>
                <w:sz w:val="24"/>
              </w:rPr>
              <w:t>1,902</w:t>
            </w:r>
          </w:p>
        </w:tc>
        <w:tc>
          <w:tcPr>
            <w:tcW w:w="1133" w:type="dxa"/>
            <w:tcBorders>
              <w:right w:val="nil"/>
            </w:tcBorders>
            <w:shd w:val="clear" w:color="auto" w:fill="E6E7E8"/>
          </w:tcPr>
          <w:p w14:paraId="2AA05C4D" w14:textId="77777777" w:rsidR="00345EE3" w:rsidRDefault="00345EE3" w:rsidP="00D73130">
            <w:pPr>
              <w:pStyle w:val="TableParagraph"/>
              <w:ind w:right="-15"/>
              <w:rPr>
                <w:b/>
                <w:sz w:val="24"/>
              </w:rPr>
            </w:pPr>
            <w:r>
              <w:rPr>
                <w:b/>
                <w:color w:val="231F20"/>
                <w:spacing w:val="-2"/>
                <w:sz w:val="24"/>
              </w:rPr>
              <w:t>5,456</w:t>
            </w:r>
          </w:p>
        </w:tc>
      </w:tr>
      <w:tr w:rsidR="00345EE3" w14:paraId="48369F50" w14:textId="77777777" w:rsidTr="00D73130">
        <w:trPr>
          <w:trHeight w:val="396"/>
        </w:trPr>
        <w:tc>
          <w:tcPr>
            <w:tcW w:w="6746" w:type="dxa"/>
            <w:tcBorders>
              <w:left w:val="nil"/>
            </w:tcBorders>
          </w:tcPr>
          <w:p w14:paraId="0DA01D80" w14:textId="77777777" w:rsidR="00345EE3" w:rsidRDefault="00345EE3" w:rsidP="00D73130">
            <w:pPr>
              <w:pStyle w:val="TableParagraph"/>
              <w:ind w:left="-3"/>
              <w:jc w:val="left"/>
              <w:rPr>
                <w:sz w:val="24"/>
              </w:rPr>
            </w:pPr>
            <w:r>
              <w:rPr>
                <w:color w:val="231F20"/>
                <w:sz w:val="24"/>
              </w:rPr>
              <w:t>Additional</w:t>
            </w:r>
            <w:r>
              <w:rPr>
                <w:color w:val="231F20"/>
                <w:spacing w:val="-5"/>
                <w:sz w:val="24"/>
              </w:rPr>
              <w:t xml:space="preserve"> </w:t>
            </w:r>
            <w:r>
              <w:rPr>
                <w:color w:val="231F20"/>
                <w:sz w:val="24"/>
              </w:rPr>
              <w:t>provisions</w:t>
            </w:r>
            <w:r>
              <w:rPr>
                <w:color w:val="231F20"/>
                <w:spacing w:val="-5"/>
                <w:sz w:val="24"/>
              </w:rPr>
              <w:t xml:space="preserve"> </w:t>
            </w:r>
            <w:r>
              <w:rPr>
                <w:color w:val="231F20"/>
                <w:spacing w:val="-2"/>
                <w:sz w:val="24"/>
              </w:rPr>
              <w:t>recognised</w:t>
            </w:r>
          </w:p>
        </w:tc>
        <w:tc>
          <w:tcPr>
            <w:tcW w:w="1190" w:type="dxa"/>
          </w:tcPr>
          <w:p w14:paraId="52988174" w14:textId="77777777" w:rsidR="00345EE3" w:rsidRDefault="00345EE3" w:rsidP="00D73130">
            <w:pPr>
              <w:pStyle w:val="TableParagraph"/>
              <w:ind w:right="1"/>
              <w:rPr>
                <w:sz w:val="24"/>
              </w:rPr>
            </w:pPr>
            <w:r>
              <w:rPr>
                <w:color w:val="231F20"/>
                <w:spacing w:val="-5"/>
                <w:sz w:val="24"/>
              </w:rPr>
              <w:t>788</w:t>
            </w:r>
          </w:p>
        </w:tc>
        <w:tc>
          <w:tcPr>
            <w:tcW w:w="1133" w:type="dxa"/>
          </w:tcPr>
          <w:p w14:paraId="3FAB23B2" w14:textId="77777777" w:rsidR="00345EE3" w:rsidRDefault="00345EE3" w:rsidP="00D73130">
            <w:pPr>
              <w:pStyle w:val="TableParagraph"/>
              <w:rPr>
                <w:sz w:val="24"/>
              </w:rPr>
            </w:pPr>
            <w:r>
              <w:rPr>
                <w:color w:val="231F20"/>
                <w:spacing w:val="-2"/>
                <w:sz w:val="24"/>
              </w:rPr>
              <w:t>20,791</w:t>
            </w:r>
          </w:p>
        </w:tc>
        <w:tc>
          <w:tcPr>
            <w:tcW w:w="1133" w:type="dxa"/>
            <w:tcBorders>
              <w:right w:val="nil"/>
            </w:tcBorders>
            <w:shd w:val="clear" w:color="auto" w:fill="E6E7E8"/>
          </w:tcPr>
          <w:p w14:paraId="2385345D" w14:textId="77777777" w:rsidR="00345EE3" w:rsidRDefault="00345EE3" w:rsidP="00D73130">
            <w:pPr>
              <w:pStyle w:val="TableParagraph"/>
              <w:ind w:right="-15"/>
              <w:rPr>
                <w:b/>
                <w:sz w:val="24"/>
              </w:rPr>
            </w:pPr>
            <w:r>
              <w:rPr>
                <w:b/>
                <w:color w:val="231F20"/>
                <w:spacing w:val="-2"/>
                <w:sz w:val="24"/>
              </w:rPr>
              <w:t>21,579</w:t>
            </w:r>
          </w:p>
        </w:tc>
      </w:tr>
      <w:tr w:rsidR="00345EE3" w14:paraId="5A7D1AC8" w14:textId="77777777" w:rsidTr="00D73130">
        <w:trPr>
          <w:trHeight w:val="396"/>
        </w:trPr>
        <w:tc>
          <w:tcPr>
            <w:tcW w:w="6746" w:type="dxa"/>
            <w:tcBorders>
              <w:left w:val="nil"/>
            </w:tcBorders>
          </w:tcPr>
          <w:p w14:paraId="728A9D7F" w14:textId="77777777" w:rsidR="00345EE3" w:rsidRDefault="00345EE3" w:rsidP="00D73130">
            <w:pPr>
              <w:pStyle w:val="TableParagraph"/>
              <w:ind w:left="-3"/>
              <w:jc w:val="left"/>
              <w:rPr>
                <w:sz w:val="24"/>
              </w:rPr>
            </w:pPr>
            <w:r>
              <w:rPr>
                <w:color w:val="231F20"/>
                <w:sz w:val="24"/>
              </w:rPr>
              <w:t>Reversal</w:t>
            </w:r>
            <w:r>
              <w:rPr>
                <w:color w:val="231F20"/>
                <w:spacing w:val="-5"/>
                <w:sz w:val="24"/>
              </w:rPr>
              <w:t xml:space="preserve"> </w:t>
            </w:r>
            <w:r>
              <w:rPr>
                <w:color w:val="231F20"/>
                <w:sz w:val="24"/>
              </w:rPr>
              <w:t>of</w:t>
            </w:r>
            <w:r>
              <w:rPr>
                <w:color w:val="231F20"/>
                <w:spacing w:val="-5"/>
                <w:sz w:val="24"/>
              </w:rPr>
              <w:t xml:space="preserve"> </w:t>
            </w:r>
            <w:r>
              <w:rPr>
                <w:color w:val="231F20"/>
                <w:spacing w:val="-2"/>
                <w:sz w:val="24"/>
              </w:rPr>
              <w:t>provisions</w:t>
            </w:r>
          </w:p>
        </w:tc>
        <w:tc>
          <w:tcPr>
            <w:tcW w:w="1190" w:type="dxa"/>
          </w:tcPr>
          <w:p w14:paraId="4AC8FE62" w14:textId="77777777" w:rsidR="00345EE3" w:rsidRDefault="00345EE3" w:rsidP="00D73130">
            <w:pPr>
              <w:pStyle w:val="TableParagraph"/>
              <w:ind w:right="1"/>
              <w:rPr>
                <w:sz w:val="24"/>
              </w:rPr>
            </w:pPr>
            <w:r>
              <w:rPr>
                <w:color w:val="231F20"/>
                <w:spacing w:val="-2"/>
                <w:sz w:val="24"/>
              </w:rPr>
              <w:t>(1,296)</w:t>
            </w:r>
          </w:p>
        </w:tc>
        <w:tc>
          <w:tcPr>
            <w:tcW w:w="1133" w:type="dxa"/>
          </w:tcPr>
          <w:p w14:paraId="1BD3C926" w14:textId="77777777" w:rsidR="00345EE3" w:rsidRDefault="00345EE3" w:rsidP="00D73130">
            <w:pPr>
              <w:pStyle w:val="TableParagraph"/>
              <w:ind w:right="-15"/>
              <w:rPr>
                <w:sz w:val="24"/>
              </w:rPr>
            </w:pPr>
            <w:r>
              <w:rPr>
                <w:color w:val="231F20"/>
                <w:sz w:val="24"/>
              </w:rPr>
              <w:t>-</w:t>
            </w:r>
          </w:p>
        </w:tc>
        <w:tc>
          <w:tcPr>
            <w:tcW w:w="1133" w:type="dxa"/>
            <w:tcBorders>
              <w:right w:val="nil"/>
            </w:tcBorders>
            <w:shd w:val="clear" w:color="auto" w:fill="E6E7E8"/>
          </w:tcPr>
          <w:p w14:paraId="26D87E96" w14:textId="77777777" w:rsidR="00345EE3" w:rsidRDefault="00345EE3" w:rsidP="00D73130">
            <w:pPr>
              <w:pStyle w:val="TableParagraph"/>
              <w:ind w:right="-15"/>
              <w:rPr>
                <w:b/>
                <w:sz w:val="24"/>
              </w:rPr>
            </w:pPr>
            <w:r>
              <w:rPr>
                <w:b/>
                <w:color w:val="231F20"/>
                <w:spacing w:val="-2"/>
                <w:sz w:val="24"/>
              </w:rPr>
              <w:t>(1,296)</w:t>
            </w:r>
          </w:p>
        </w:tc>
      </w:tr>
      <w:tr w:rsidR="00345EE3" w14:paraId="2FAF5323" w14:textId="77777777" w:rsidTr="00D73130">
        <w:trPr>
          <w:trHeight w:val="673"/>
        </w:trPr>
        <w:tc>
          <w:tcPr>
            <w:tcW w:w="6746" w:type="dxa"/>
            <w:tcBorders>
              <w:left w:val="nil"/>
              <w:bottom w:val="single" w:sz="4" w:space="0" w:color="231F20"/>
            </w:tcBorders>
          </w:tcPr>
          <w:p w14:paraId="0C793FC7" w14:textId="77777777" w:rsidR="00345EE3" w:rsidRDefault="00345EE3" w:rsidP="00D73130">
            <w:pPr>
              <w:pStyle w:val="TableParagraph"/>
              <w:spacing w:line="242" w:lineRule="auto"/>
              <w:ind w:left="-3"/>
              <w:jc w:val="left"/>
              <w:rPr>
                <w:sz w:val="24"/>
              </w:rPr>
            </w:pPr>
            <w:r>
              <w:rPr>
                <w:color w:val="231F20"/>
                <w:sz w:val="24"/>
              </w:rPr>
              <w:t>Reductions</w:t>
            </w:r>
            <w:r>
              <w:rPr>
                <w:color w:val="231F20"/>
                <w:spacing w:val="-7"/>
                <w:sz w:val="24"/>
              </w:rPr>
              <w:t xml:space="preserve"> </w:t>
            </w:r>
            <w:r>
              <w:rPr>
                <w:color w:val="231F20"/>
                <w:sz w:val="24"/>
              </w:rPr>
              <w:t>arising</w:t>
            </w:r>
            <w:r>
              <w:rPr>
                <w:color w:val="231F20"/>
                <w:spacing w:val="-7"/>
                <w:sz w:val="24"/>
              </w:rPr>
              <w:t xml:space="preserve"> </w:t>
            </w:r>
            <w:r>
              <w:rPr>
                <w:color w:val="231F20"/>
                <w:sz w:val="24"/>
              </w:rPr>
              <w:t>from</w:t>
            </w:r>
            <w:r>
              <w:rPr>
                <w:color w:val="231F20"/>
                <w:spacing w:val="-6"/>
                <w:sz w:val="24"/>
              </w:rPr>
              <w:t xml:space="preserve"> </w:t>
            </w:r>
            <w:r>
              <w:rPr>
                <w:color w:val="231F20"/>
                <w:sz w:val="24"/>
              </w:rPr>
              <w:t>payments/other</w:t>
            </w:r>
            <w:r>
              <w:rPr>
                <w:color w:val="231F20"/>
                <w:spacing w:val="-7"/>
                <w:sz w:val="24"/>
              </w:rPr>
              <w:t xml:space="preserve"> </w:t>
            </w:r>
            <w:r>
              <w:rPr>
                <w:color w:val="231F20"/>
                <w:sz w:val="24"/>
              </w:rPr>
              <w:t>sacrifices</w:t>
            </w:r>
            <w:r>
              <w:rPr>
                <w:color w:val="231F20"/>
                <w:spacing w:val="-6"/>
                <w:sz w:val="24"/>
              </w:rPr>
              <w:t xml:space="preserve"> </w:t>
            </w:r>
            <w:r>
              <w:rPr>
                <w:color w:val="231F20"/>
                <w:sz w:val="24"/>
              </w:rPr>
              <w:t>of</w:t>
            </w:r>
            <w:r>
              <w:rPr>
                <w:color w:val="231F20"/>
                <w:spacing w:val="-7"/>
                <w:sz w:val="24"/>
              </w:rPr>
              <w:t xml:space="preserve"> </w:t>
            </w:r>
            <w:r>
              <w:rPr>
                <w:color w:val="231F20"/>
                <w:sz w:val="24"/>
              </w:rPr>
              <w:t>future economic benefits</w:t>
            </w:r>
          </w:p>
        </w:tc>
        <w:tc>
          <w:tcPr>
            <w:tcW w:w="1190" w:type="dxa"/>
            <w:tcBorders>
              <w:bottom w:val="single" w:sz="4" w:space="0" w:color="231F20"/>
            </w:tcBorders>
          </w:tcPr>
          <w:p w14:paraId="229075F5" w14:textId="77777777" w:rsidR="00345EE3" w:rsidRDefault="00345EE3" w:rsidP="00D73130">
            <w:pPr>
              <w:pStyle w:val="TableParagraph"/>
              <w:ind w:right="1"/>
              <w:rPr>
                <w:sz w:val="24"/>
              </w:rPr>
            </w:pPr>
            <w:r>
              <w:rPr>
                <w:color w:val="231F20"/>
                <w:spacing w:val="-2"/>
                <w:sz w:val="24"/>
              </w:rPr>
              <w:t>(133)</w:t>
            </w:r>
          </w:p>
        </w:tc>
        <w:tc>
          <w:tcPr>
            <w:tcW w:w="1133" w:type="dxa"/>
            <w:tcBorders>
              <w:bottom w:val="single" w:sz="4" w:space="0" w:color="231F20"/>
            </w:tcBorders>
          </w:tcPr>
          <w:p w14:paraId="1B0A087B" w14:textId="77777777" w:rsidR="00345EE3" w:rsidRDefault="00345EE3" w:rsidP="00D73130">
            <w:pPr>
              <w:pStyle w:val="TableParagraph"/>
              <w:rPr>
                <w:sz w:val="24"/>
              </w:rPr>
            </w:pPr>
            <w:r>
              <w:rPr>
                <w:color w:val="231F20"/>
                <w:spacing w:val="-2"/>
                <w:sz w:val="24"/>
              </w:rPr>
              <w:t>(1,902)</w:t>
            </w:r>
          </w:p>
        </w:tc>
        <w:tc>
          <w:tcPr>
            <w:tcW w:w="1133" w:type="dxa"/>
            <w:tcBorders>
              <w:bottom w:val="single" w:sz="4" w:space="0" w:color="231F20"/>
              <w:right w:val="nil"/>
            </w:tcBorders>
            <w:shd w:val="clear" w:color="auto" w:fill="E6E7E8"/>
          </w:tcPr>
          <w:p w14:paraId="6AF40D4E" w14:textId="77777777" w:rsidR="00345EE3" w:rsidRDefault="00345EE3" w:rsidP="00D73130">
            <w:pPr>
              <w:pStyle w:val="TableParagraph"/>
              <w:ind w:right="-15"/>
              <w:rPr>
                <w:b/>
                <w:sz w:val="24"/>
              </w:rPr>
            </w:pPr>
            <w:r>
              <w:rPr>
                <w:b/>
                <w:color w:val="231F20"/>
                <w:spacing w:val="-2"/>
                <w:sz w:val="24"/>
              </w:rPr>
              <w:t>(2,035)</w:t>
            </w:r>
          </w:p>
        </w:tc>
      </w:tr>
      <w:tr w:rsidR="00345EE3" w14:paraId="672D9063" w14:textId="77777777" w:rsidTr="00D73130">
        <w:trPr>
          <w:trHeight w:val="391"/>
        </w:trPr>
        <w:tc>
          <w:tcPr>
            <w:tcW w:w="6746" w:type="dxa"/>
            <w:tcBorders>
              <w:top w:val="single" w:sz="4" w:space="0" w:color="231F20"/>
              <w:left w:val="nil"/>
              <w:bottom w:val="single" w:sz="4" w:space="0" w:color="231F20"/>
            </w:tcBorders>
          </w:tcPr>
          <w:p w14:paraId="74152B78" w14:textId="77777777" w:rsidR="00345EE3" w:rsidRDefault="00345EE3" w:rsidP="00D73130">
            <w:pPr>
              <w:pStyle w:val="TableParagraph"/>
              <w:spacing w:before="58"/>
              <w:ind w:left="-3"/>
              <w:jc w:val="left"/>
              <w:rPr>
                <w:b/>
                <w:sz w:val="24"/>
              </w:rPr>
            </w:pPr>
            <w:r>
              <w:rPr>
                <w:b/>
                <w:color w:val="231F20"/>
                <w:sz w:val="24"/>
              </w:rPr>
              <w:t>Total</w:t>
            </w:r>
            <w:r>
              <w:rPr>
                <w:b/>
                <w:color w:val="231F20"/>
                <w:spacing w:val="-13"/>
                <w:sz w:val="24"/>
              </w:rPr>
              <w:t xml:space="preserve"> </w:t>
            </w:r>
            <w:r>
              <w:rPr>
                <w:b/>
                <w:color w:val="231F20"/>
                <w:sz w:val="24"/>
              </w:rPr>
              <w:t>Current</w:t>
            </w:r>
            <w:r>
              <w:rPr>
                <w:b/>
                <w:color w:val="231F20"/>
                <w:spacing w:val="-12"/>
                <w:sz w:val="24"/>
              </w:rPr>
              <w:t xml:space="preserve"> </w:t>
            </w:r>
            <w:r>
              <w:rPr>
                <w:b/>
                <w:color w:val="231F20"/>
                <w:spacing w:val="-2"/>
                <w:sz w:val="24"/>
              </w:rPr>
              <w:t>Provisions</w:t>
            </w:r>
          </w:p>
        </w:tc>
        <w:tc>
          <w:tcPr>
            <w:tcW w:w="1190" w:type="dxa"/>
            <w:tcBorders>
              <w:top w:val="single" w:sz="4" w:space="0" w:color="231F20"/>
              <w:bottom w:val="single" w:sz="4" w:space="0" w:color="231F20"/>
            </w:tcBorders>
          </w:tcPr>
          <w:p w14:paraId="6B319EEA" w14:textId="77777777" w:rsidR="00345EE3" w:rsidRDefault="00345EE3" w:rsidP="00D73130">
            <w:pPr>
              <w:pStyle w:val="TableParagraph"/>
              <w:spacing w:before="58"/>
              <w:ind w:right="-15"/>
              <w:rPr>
                <w:b/>
                <w:sz w:val="24"/>
              </w:rPr>
            </w:pPr>
            <w:r>
              <w:rPr>
                <w:b/>
                <w:color w:val="231F20"/>
                <w:spacing w:val="-2"/>
                <w:sz w:val="24"/>
              </w:rPr>
              <w:t>2,913</w:t>
            </w:r>
          </w:p>
        </w:tc>
        <w:tc>
          <w:tcPr>
            <w:tcW w:w="1133" w:type="dxa"/>
            <w:tcBorders>
              <w:top w:val="single" w:sz="4" w:space="0" w:color="231F20"/>
              <w:bottom w:val="single" w:sz="4" w:space="0" w:color="231F20"/>
            </w:tcBorders>
          </w:tcPr>
          <w:p w14:paraId="69AA6ED1" w14:textId="77777777" w:rsidR="00345EE3" w:rsidRDefault="00345EE3" w:rsidP="00D73130">
            <w:pPr>
              <w:pStyle w:val="TableParagraph"/>
              <w:spacing w:before="58"/>
              <w:ind w:right="-15"/>
              <w:rPr>
                <w:b/>
                <w:sz w:val="24"/>
              </w:rPr>
            </w:pPr>
            <w:r>
              <w:rPr>
                <w:b/>
                <w:color w:val="231F20"/>
                <w:spacing w:val="-2"/>
                <w:sz w:val="24"/>
              </w:rPr>
              <w:t>20,791</w:t>
            </w:r>
          </w:p>
        </w:tc>
        <w:tc>
          <w:tcPr>
            <w:tcW w:w="1133" w:type="dxa"/>
            <w:tcBorders>
              <w:top w:val="single" w:sz="4" w:space="0" w:color="231F20"/>
              <w:bottom w:val="single" w:sz="4" w:space="0" w:color="231F20"/>
              <w:right w:val="nil"/>
            </w:tcBorders>
            <w:shd w:val="clear" w:color="auto" w:fill="E6E7E8"/>
          </w:tcPr>
          <w:p w14:paraId="4A6A32D9" w14:textId="77777777" w:rsidR="00345EE3" w:rsidRDefault="00345EE3" w:rsidP="00D73130">
            <w:pPr>
              <w:pStyle w:val="TableParagraph"/>
              <w:spacing w:before="58"/>
              <w:ind w:right="-15"/>
              <w:rPr>
                <w:b/>
                <w:sz w:val="24"/>
              </w:rPr>
            </w:pPr>
            <w:r>
              <w:rPr>
                <w:b/>
                <w:color w:val="231F20"/>
                <w:spacing w:val="-2"/>
                <w:sz w:val="24"/>
              </w:rPr>
              <w:t>23,704</w:t>
            </w:r>
          </w:p>
        </w:tc>
      </w:tr>
      <w:tr w:rsidR="00345EE3" w14:paraId="04EEB7C2" w14:textId="77777777" w:rsidTr="00D73130">
        <w:trPr>
          <w:trHeight w:val="393"/>
        </w:trPr>
        <w:tc>
          <w:tcPr>
            <w:tcW w:w="6746" w:type="dxa"/>
            <w:tcBorders>
              <w:top w:val="single" w:sz="4" w:space="0" w:color="231F20"/>
              <w:left w:val="nil"/>
            </w:tcBorders>
          </w:tcPr>
          <w:p w14:paraId="5A0912D6" w14:textId="77777777" w:rsidR="00345EE3" w:rsidRDefault="00345EE3" w:rsidP="00D73130">
            <w:pPr>
              <w:pStyle w:val="TableParagraph"/>
              <w:spacing w:before="58"/>
              <w:ind w:left="-3"/>
              <w:jc w:val="left"/>
              <w:rPr>
                <w:b/>
                <w:sz w:val="24"/>
              </w:rPr>
            </w:pPr>
            <w:r>
              <w:rPr>
                <w:b/>
                <w:color w:val="231F20"/>
                <w:spacing w:val="-2"/>
                <w:sz w:val="24"/>
              </w:rPr>
              <w:t>Non-Current</w:t>
            </w:r>
          </w:p>
        </w:tc>
        <w:tc>
          <w:tcPr>
            <w:tcW w:w="1190" w:type="dxa"/>
            <w:tcBorders>
              <w:top w:val="single" w:sz="4" w:space="0" w:color="231F20"/>
            </w:tcBorders>
          </w:tcPr>
          <w:p w14:paraId="292472A9" w14:textId="77777777" w:rsidR="00345EE3" w:rsidRDefault="00345EE3" w:rsidP="00D73130">
            <w:pPr>
              <w:pStyle w:val="TableParagraph"/>
              <w:spacing w:before="0"/>
              <w:jc w:val="left"/>
              <w:rPr>
                <w:rFonts w:ascii="Times New Roman"/>
                <w:sz w:val="24"/>
              </w:rPr>
            </w:pPr>
          </w:p>
        </w:tc>
        <w:tc>
          <w:tcPr>
            <w:tcW w:w="1133" w:type="dxa"/>
            <w:tcBorders>
              <w:top w:val="single" w:sz="4" w:space="0" w:color="231F20"/>
            </w:tcBorders>
          </w:tcPr>
          <w:p w14:paraId="764F8BD7" w14:textId="77777777" w:rsidR="00345EE3" w:rsidRDefault="00345EE3" w:rsidP="00D73130">
            <w:pPr>
              <w:pStyle w:val="TableParagraph"/>
              <w:spacing w:before="0"/>
              <w:jc w:val="left"/>
              <w:rPr>
                <w:rFonts w:ascii="Times New Roman"/>
                <w:sz w:val="24"/>
              </w:rPr>
            </w:pPr>
          </w:p>
        </w:tc>
        <w:tc>
          <w:tcPr>
            <w:tcW w:w="1133" w:type="dxa"/>
            <w:tcBorders>
              <w:top w:val="single" w:sz="4" w:space="0" w:color="231F20"/>
              <w:right w:val="nil"/>
            </w:tcBorders>
            <w:shd w:val="clear" w:color="auto" w:fill="E6E7E8"/>
          </w:tcPr>
          <w:p w14:paraId="64B4BE20" w14:textId="77777777" w:rsidR="00345EE3" w:rsidRDefault="00345EE3" w:rsidP="00D73130">
            <w:pPr>
              <w:pStyle w:val="TableParagraph"/>
              <w:spacing w:before="0"/>
              <w:jc w:val="left"/>
              <w:rPr>
                <w:rFonts w:ascii="Times New Roman"/>
                <w:sz w:val="24"/>
              </w:rPr>
            </w:pPr>
          </w:p>
        </w:tc>
      </w:tr>
      <w:tr w:rsidR="00345EE3" w14:paraId="57A0F2D4" w14:textId="77777777" w:rsidTr="00D73130">
        <w:trPr>
          <w:trHeight w:val="396"/>
        </w:trPr>
        <w:tc>
          <w:tcPr>
            <w:tcW w:w="6746" w:type="dxa"/>
            <w:tcBorders>
              <w:left w:val="nil"/>
            </w:tcBorders>
          </w:tcPr>
          <w:p w14:paraId="550C30B1" w14:textId="77777777" w:rsidR="00345EE3" w:rsidRDefault="00345EE3" w:rsidP="00D73130">
            <w:pPr>
              <w:pStyle w:val="TableParagraph"/>
              <w:ind w:left="-3"/>
              <w:jc w:val="left"/>
              <w:rPr>
                <w:sz w:val="24"/>
              </w:rPr>
            </w:pPr>
            <w:r>
              <w:rPr>
                <w:color w:val="231F20"/>
                <w:sz w:val="24"/>
              </w:rPr>
              <w:t xml:space="preserve">Opening </w:t>
            </w:r>
            <w:r>
              <w:rPr>
                <w:color w:val="231F20"/>
                <w:spacing w:val="-2"/>
                <w:sz w:val="24"/>
              </w:rPr>
              <w:t>balance</w:t>
            </w:r>
          </w:p>
        </w:tc>
        <w:tc>
          <w:tcPr>
            <w:tcW w:w="1190" w:type="dxa"/>
          </w:tcPr>
          <w:p w14:paraId="4FB4DE60" w14:textId="77777777" w:rsidR="00345EE3" w:rsidRDefault="00345EE3" w:rsidP="00D73130">
            <w:pPr>
              <w:pStyle w:val="TableParagraph"/>
              <w:ind w:right="1"/>
              <w:rPr>
                <w:sz w:val="24"/>
              </w:rPr>
            </w:pPr>
            <w:r>
              <w:rPr>
                <w:color w:val="231F20"/>
                <w:spacing w:val="-2"/>
                <w:sz w:val="24"/>
              </w:rPr>
              <w:t>8,056</w:t>
            </w:r>
          </w:p>
        </w:tc>
        <w:tc>
          <w:tcPr>
            <w:tcW w:w="1133" w:type="dxa"/>
          </w:tcPr>
          <w:p w14:paraId="68C3EE2D" w14:textId="77777777" w:rsidR="00345EE3" w:rsidRDefault="00345EE3" w:rsidP="00D73130">
            <w:pPr>
              <w:pStyle w:val="TableParagraph"/>
              <w:ind w:right="-15"/>
              <w:rPr>
                <w:sz w:val="24"/>
              </w:rPr>
            </w:pPr>
            <w:r>
              <w:rPr>
                <w:color w:val="231F20"/>
                <w:sz w:val="24"/>
              </w:rPr>
              <w:t>-</w:t>
            </w:r>
          </w:p>
        </w:tc>
        <w:tc>
          <w:tcPr>
            <w:tcW w:w="1133" w:type="dxa"/>
            <w:tcBorders>
              <w:right w:val="nil"/>
            </w:tcBorders>
            <w:shd w:val="clear" w:color="auto" w:fill="E6E7E8"/>
          </w:tcPr>
          <w:p w14:paraId="3F95245E" w14:textId="77777777" w:rsidR="00345EE3" w:rsidRDefault="00345EE3" w:rsidP="00D73130">
            <w:pPr>
              <w:pStyle w:val="TableParagraph"/>
              <w:ind w:right="-15"/>
              <w:rPr>
                <w:b/>
                <w:sz w:val="24"/>
              </w:rPr>
            </w:pPr>
            <w:r>
              <w:rPr>
                <w:b/>
                <w:color w:val="231F20"/>
                <w:spacing w:val="-2"/>
                <w:sz w:val="24"/>
              </w:rPr>
              <w:t>8,056</w:t>
            </w:r>
          </w:p>
        </w:tc>
      </w:tr>
      <w:tr w:rsidR="00345EE3" w14:paraId="6BD698A6" w14:textId="77777777" w:rsidTr="00D73130">
        <w:trPr>
          <w:trHeight w:val="393"/>
        </w:trPr>
        <w:tc>
          <w:tcPr>
            <w:tcW w:w="6746" w:type="dxa"/>
            <w:tcBorders>
              <w:left w:val="nil"/>
              <w:bottom w:val="single" w:sz="4" w:space="0" w:color="231F20"/>
            </w:tcBorders>
          </w:tcPr>
          <w:p w14:paraId="54909032" w14:textId="77777777" w:rsidR="00345EE3" w:rsidRDefault="00345EE3" w:rsidP="00D73130">
            <w:pPr>
              <w:pStyle w:val="TableParagraph"/>
              <w:ind w:left="-3"/>
              <w:jc w:val="left"/>
              <w:rPr>
                <w:sz w:val="24"/>
              </w:rPr>
            </w:pPr>
            <w:r>
              <w:rPr>
                <w:color w:val="231F20"/>
                <w:sz w:val="24"/>
              </w:rPr>
              <w:t>Additional</w:t>
            </w:r>
            <w:r>
              <w:rPr>
                <w:color w:val="231F20"/>
                <w:spacing w:val="-5"/>
                <w:sz w:val="24"/>
              </w:rPr>
              <w:t xml:space="preserve"> </w:t>
            </w:r>
            <w:r>
              <w:rPr>
                <w:color w:val="231F20"/>
                <w:sz w:val="24"/>
              </w:rPr>
              <w:t>provisions</w:t>
            </w:r>
            <w:r>
              <w:rPr>
                <w:color w:val="231F20"/>
                <w:spacing w:val="-5"/>
                <w:sz w:val="24"/>
              </w:rPr>
              <w:t xml:space="preserve"> </w:t>
            </w:r>
            <w:r>
              <w:rPr>
                <w:color w:val="231F20"/>
                <w:spacing w:val="-2"/>
                <w:sz w:val="24"/>
              </w:rPr>
              <w:t>recognised</w:t>
            </w:r>
          </w:p>
        </w:tc>
        <w:tc>
          <w:tcPr>
            <w:tcW w:w="1190" w:type="dxa"/>
            <w:tcBorders>
              <w:bottom w:val="single" w:sz="4" w:space="0" w:color="231F20"/>
            </w:tcBorders>
          </w:tcPr>
          <w:p w14:paraId="48F8BE8E" w14:textId="77777777" w:rsidR="00345EE3" w:rsidRDefault="00345EE3" w:rsidP="00D73130">
            <w:pPr>
              <w:pStyle w:val="TableParagraph"/>
              <w:ind w:right="1"/>
              <w:rPr>
                <w:sz w:val="24"/>
              </w:rPr>
            </w:pPr>
            <w:r>
              <w:rPr>
                <w:color w:val="231F20"/>
                <w:spacing w:val="-2"/>
                <w:sz w:val="24"/>
              </w:rPr>
              <w:t>2,583</w:t>
            </w:r>
          </w:p>
        </w:tc>
        <w:tc>
          <w:tcPr>
            <w:tcW w:w="1133" w:type="dxa"/>
            <w:tcBorders>
              <w:bottom w:val="single" w:sz="4" w:space="0" w:color="231F20"/>
            </w:tcBorders>
          </w:tcPr>
          <w:p w14:paraId="09B3391D" w14:textId="77777777" w:rsidR="00345EE3" w:rsidRDefault="00345EE3" w:rsidP="00D73130">
            <w:pPr>
              <w:pStyle w:val="TableParagraph"/>
              <w:ind w:right="-15"/>
              <w:rPr>
                <w:sz w:val="24"/>
              </w:rPr>
            </w:pPr>
            <w:r>
              <w:rPr>
                <w:color w:val="231F20"/>
                <w:sz w:val="24"/>
              </w:rPr>
              <w:t>-</w:t>
            </w:r>
          </w:p>
        </w:tc>
        <w:tc>
          <w:tcPr>
            <w:tcW w:w="1133" w:type="dxa"/>
            <w:tcBorders>
              <w:bottom w:val="single" w:sz="4" w:space="0" w:color="231F20"/>
              <w:right w:val="nil"/>
            </w:tcBorders>
            <w:shd w:val="clear" w:color="auto" w:fill="E6E7E8"/>
          </w:tcPr>
          <w:p w14:paraId="3BA2B3C0" w14:textId="77777777" w:rsidR="00345EE3" w:rsidRDefault="00345EE3" w:rsidP="00D73130">
            <w:pPr>
              <w:pStyle w:val="TableParagraph"/>
              <w:ind w:right="-15"/>
              <w:rPr>
                <w:b/>
                <w:sz w:val="24"/>
              </w:rPr>
            </w:pPr>
            <w:r>
              <w:rPr>
                <w:b/>
                <w:color w:val="231F20"/>
                <w:spacing w:val="-2"/>
                <w:sz w:val="24"/>
              </w:rPr>
              <w:t>2,583</w:t>
            </w:r>
          </w:p>
        </w:tc>
      </w:tr>
      <w:tr w:rsidR="00345EE3" w14:paraId="4CC07633" w14:textId="77777777" w:rsidTr="00D73130">
        <w:trPr>
          <w:trHeight w:val="391"/>
        </w:trPr>
        <w:tc>
          <w:tcPr>
            <w:tcW w:w="6746" w:type="dxa"/>
            <w:tcBorders>
              <w:top w:val="single" w:sz="4" w:space="0" w:color="231F20"/>
              <w:left w:val="nil"/>
              <w:bottom w:val="single" w:sz="4" w:space="0" w:color="231F20"/>
            </w:tcBorders>
          </w:tcPr>
          <w:p w14:paraId="22AB1896" w14:textId="77777777" w:rsidR="00345EE3" w:rsidRDefault="00345EE3" w:rsidP="00D73130">
            <w:pPr>
              <w:pStyle w:val="TableParagraph"/>
              <w:spacing w:before="58"/>
              <w:ind w:left="-3"/>
              <w:jc w:val="left"/>
              <w:rPr>
                <w:b/>
                <w:sz w:val="24"/>
              </w:rPr>
            </w:pPr>
            <w:r>
              <w:rPr>
                <w:b/>
                <w:color w:val="231F20"/>
                <w:sz w:val="24"/>
              </w:rPr>
              <w:t>Total</w:t>
            </w:r>
            <w:r>
              <w:rPr>
                <w:b/>
                <w:color w:val="231F20"/>
                <w:spacing w:val="-15"/>
                <w:sz w:val="24"/>
              </w:rPr>
              <w:t xml:space="preserve"> </w:t>
            </w:r>
            <w:r>
              <w:rPr>
                <w:b/>
                <w:color w:val="231F20"/>
                <w:sz w:val="24"/>
              </w:rPr>
              <w:t>Non-Current</w:t>
            </w:r>
            <w:r>
              <w:rPr>
                <w:b/>
                <w:color w:val="231F20"/>
                <w:spacing w:val="-14"/>
                <w:sz w:val="24"/>
              </w:rPr>
              <w:t xml:space="preserve"> </w:t>
            </w:r>
            <w:r>
              <w:rPr>
                <w:b/>
                <w:color w:val="231F20"/>
                <w:spacing w:val="-2"/>
                <w:sz w:val="24"/>
              </w:rPr>
              <w:t>Provisions</w:t>
            </w:r>
          </w:p>
        </w:tc>
        <w:tc>
          <w:tcPr>
            <w:tcW w:w="1190" w:type="dxa"/>
            <w:tcBorders>
              <w:top w:val="single" w:sz="4" w:space="0" w:color="231F20"/>
              <w:bottom w:val="single" w:sz="4" w:space="0" w:color="231F20"/>
            </w:tcBorders>
          </w:tcPr>
          <w:p w14:paraId="18DAE4C6" w14:textId="77777777" w:rsidR="00345EE3" w:rsidRDefault="00345EE3" w:rsidP="00D73130">
            <w:pPr>
              <w:pStyle w:val="TableParagraph"/>
              <w:spacing w:before="58"/>
              <w:ind w:right="-15"/>
              <w:rPr>
                <w:b/>
                <w:sz w:val="24"/>
              </w:rPr>
            </w:pPr>
            <w:r>
              <w:rPr>
                <w:b/>
                <w:color w:val="231F20"/>
                <w:spacing w:val="-2"/>
                <w:sz w:val="24"/>
              </w:rPr>
              <w:t>10,639</w:t>
            </w:r>
          </w:p>
        </w:tc>
        <w:tc>
          <w:tcPr>
            <w:tcW w:w="1133" w:type="dxa"/>
            <w:tcBorders>
              <w:top w:val="single" w:sz="4" w:space="0" w:color="231F20"/>
              <w:bottom w:val="single" w:sz="4" w:space="0" w:color="231F20"/>
            </w:tcBorders>
          </w:tcPr>
          <w:p w14:paraId="20872ED6" w14:textId="77777777" w:rsidR="00345EE3" w:rsidRDefault="00345EE3" w:rsidP="00D73130">
            <w:pPr>
              <w:pStyle w:val="TableParagraph"/>
              <w:spacing w:before="58"/>
              <w:ind w:right="-15"/>
              <w:rPr>
                <w:b/>
                <w:sz w:val="24"/>
              </w:rPr>
            </w:pPr>
            <w:r>
              <w:rPr>
                <w:b/>
                <w:color w:val="231F20"/>
                <w:sz w:val="24"/>
              </w:rPr>
              <w:t>-</w:t>
            </w:r>
          </w:p>
        </w:tc>
        <w:tc>
          <w:tcPr>
            <w:tcW w:w="1133" w:type="dxa"/>
            <w:tcBorders>
              <w:top w:val="single" w:sz="4" w:space="0" w:color="231F20"/>
              <w:bottom w:val="single" w:sz="4" w:space="0" w:color="231F20"/>
              <w:right w:val="nil"/>
            </w:tcBorders>
            <w:shd w:val="clear" w:color="auto" w:fill="E6E7E8"/>
          </w:tcPr>
          <w:p w14:paraId="7D1C9657" w14:textId="77777777" w:rsidR="00345EE3" w:rsidRDefault="00345EE3" w:rsidP="00D73130">
            <w:pPr>
              <w:pStyle w:val="TableParagraph"/>
              <w:spacing w:before="58"/>
              <w:ind w:right="-15"/>
              <w:rPr>
                <w:b/>
                <w:sz w:val="24"/>
              </w:rPr>
            </w:pPr>
            <w:r>
              <w:rPr>
                <w:b/>
                <w:color w:val="231F20"/>
                <w:spacing w:val="-2"/>
                <w:sz w:val="24"/>
              </w:rPr>
              <w:t>10,639</w:t>
            </w:r>
          </w:p>
        </w:tc>
      </w:tr>
      <w:tr w:rsidR="00345EE3" w14:paraId="372848A1" w14:textId="77777777" w:rsidTr="00D73130">
        <w:trPr>
          <w:trHeight w:val="386"/>
        </w:trPr>
        <w:tc>
          <w:tcPr>
            <w:tcW w:w="6746" w:type="dxa"/>
            <w:tcBorders>
              <w:top w:val="single" w:sz="4" w:space="0" w:color="231F20"/>
              <w:left w:val="nil"/>
              <w:bottom w:val="single" w:sz="8" w:space="0" w:color="231F20"/>
            </w:tcBorders>
          </w:tcPr>
          <w:p w14:paraId="0E836044" w14:textId="77777777" w:rsidR="00345EE3" w:rsidRDefault="00345EE3" w:rsidP="00D73130">
            <w:pPr>
              <w:pStyle w:val="TableParagraph"/>
              <w:spacing w:before="58"/>
              <w:ind w:left="-3"/>
              <w:jc w:val="left"/>
              <w:rPr>
                <w:b/>
                <w:sz w:val="24"/>
              </w:rPr>
            </w:pPr>
            <w:r>
              <w:rPr>
                <w:b/>
                <w:color w:val="231F20"/>
                <w:sz w:val="24"/>
              </w:rPr>
              <w:t>Closing</w:t>
            </w:r>
            <w:r>
              <w:rPr>
                <w:b/>
                <w:color w:val="231F20"/>
                <w:spacing w:val="-7"/>
                <w:sz w:val="24"/>
              </w:rPr>
              <w:t xml:space="preserve"> </w:t>
            </w:r>
            <w:r>
              <w:rPr>
                <w:b/>
                <w:color w:val="231F20"/>
                <w:spacing w:val="-2"/>
                <w:sz w:val="24"/>
              </w:rPr>
              <w:t>Balance</w:t>
            </w:r>
          </w:p>
        </w:tc>
        <w:tc>
          <w:tcPr>
            <w:tcW w:w="1190" w:type="dxa"/>
            <w:tcBorders>
              <w:top w:val="single" w:sz="4" w:space="0" w:color="231F20"/>
              <w:bottom w:val="single" w:sz="8" w:space="0" w:color="231F20"/>
            </w:tcBorders>
          </w:tcPr>
          <w:p w14:paraId="6110CD18" w14:textId="77777777" w:rsidR="00345EE3" w:rsidRDefault="00345EE3" w:rsidP="00D73130">
            <w:pPr>
              <w:pStyle w:val="TableParagraph"/>
              <w:spacing w:before="58"/>
              <w:ind w:right="-15"/>
              <w:rPr>
                <w:b/>
                <w:sz w:val="24"/>
              </w:rPr>
            </w:pPr>
            <w:r>
              <w:rPr>
                <w:b/>
                <w:color w:val="231F20"/>
                <w:spacing w:val="-2"/>
                <w:sz w:val="24"/>
              </w:rPr>
              <w:t>13,552</w:t>
            </w:r>
          </w:p>
        </w:tc>
        <w:tc>
          <w:tcPr>
            <w:tcW w:w="1133" w:type="dxa"/>
            <w:tcBorders>
              <w:top w:val="single" w:sz="4" w:space="0" w:color="231F20"/>
              <w:bottom w:val="single" w:sz="8" w:space="0" w:color="231F20"/>
            </w:tcBorders>
          </w:tcPr>
          <w:p w14:paraId="5C98FAFE" w14:textId="77777777" w:rsidR="00345EE3" w:rsidRDefault="00345EE3" w:rsidP="00D73130">
            <w:pPr>
              <w:pStyle w:val="TableParagraph"/>
              <w:spacing w:before="58"/>
              <w:ind w:right="-15"/>
              <w:rPr>
                <w:b/>
                <w:sz w:val="24"/>
              </w:rPr>
            </w:pPr>
            <w:r>
              <w:rPr>
                <w:b/>
                <w:color w:val="231F20"/>
                <w:spacing w:val="-2"/>
                <w:sz w:val="24"/>
              </w:rPr>
              <w:t>20,791</w:t>
            </w:r>
          </w:p>
        </w:tc>
        <w:tc>
          <w:tcPr>
            <w:tcW w:w="1133" w:type="dxa"/>
            <w:tcBorders>
              <w:top w:val="single" w:sz="4" w:space="0" w:color="231F20"/>
              <w:bottom w:val="single" w:sz="8" w:space="0" w:color="231F20"/>
              <w:right w:val="nil"/>
            </w:tcBorders>
            <w:shd w:val="clear" w:color="auto" w:fill="E6E7E8"/>
          </w:tcPr>
          <w:p w14:paraId="73E1C3FA" w14:textId="77777777" w:rsidR="00345EE3" w:rsidRDefault="00345EE3" w:rsidP="00D73130">
            <w:pPr>
              <w:pStyle w:val="TableParagraph"/>
              <w:spacing w:before="58"/>
              <w:ind w:right="-15"/>
              <w:rPr>
                <w:b/>
                <w:sz w:val="24"/>
              </w:rPr>
            </w:pPr>
            <w:r>
              <w:rPr>
                <w:b/>
                <w:color w:val="231F20"/>
                <w:spacing w:val="-2"/>
                <w:sz w:val="24"/>
              </w:rPr>
              <w:t>34,343</w:t>
            </w:r>
          </w:p>
        </w:tc>
      </w:tr>
    </w:tbl>
    <w:p w14:paraId="1F77173D" w14:textId="77777777" w:rsidR="00345EE3" w:rsidRDefault="00345EE3" w:rsidP="009E651C">
      <w:pPr>
        <w:pStyle w:val="BodyText"/>
        <w:spacing w:before="106" w:line="242" w:lineRule="auto"/>
        <w:ind w:left="142" w:right="187"/>
      </w:pPr>
      <w:r>
        <w:rPr>
          <w:color w:val="231F20"/>
        </w:rPr>
        <w:t>When some or all of the economic benefits that are required to settle a provision are expected to</w:t>
      </w:r>
      <w:r>
        <w:rPr>
          <w:color w:val="231F20"/>
          <w:spacing w:val="-6"/>
        </w:rPr>
        <w:t xml:space="preserve"> </w:t>
      </w:r>
      <w:r>
        <w:rPr>
          <w:color w:val="231F20"/>
        </w:rPr>
        <w:t>be</w:t>
      </w:r>
      <w:r>
        <w:rPr>
          <w:color w:val="231F20"/>
          <w:spacing w:val="-6"/>
        </w:rPr>
        <w:t xml:space="preserve"> </w:t>
      </w:r>
      <w:r>
        <w:rPr>
          <w:color w:val="231F20"/>
        </w:rPr>
        <w:t>received</w:t>
      </w:r>
      <w:r>
        <w:rPr>
          <w:color w:val="231F20"/>
          <w:spacing w:val="-6"/>
        </w:rPr>
        <w:t xml:space="preserve"> </w:t>
      </w:r>
      <w:r>
        <w:rPr>
          <w:color w:val="231F20"/>
        </w:rPr>
        <w:t>from</w:t>
      </w:r>
      <w:r>
        <w:rPr>
          <w:color w:val="231F20"/>
          <w:spacing w:val="-5"/>
        </w:rPr>
        <w:t xml:space="preserve"> </w:t>
      </w:r>
      <w:r>
        <w:rPr>
          <w:color w:val="231F20"/>
        </w:rPr>
        <w:t>a</w:t>
      </w:r>
      <w:r>
        <w:rPr>
          <w:color w:val="231F20"/>
          <w:spacing w:val="-6"/>
        </w:rPr>
        <w:t xml:space="preserve"> </w:t>
      </w:r>
      <w:r>
        <w:rPr>
          <w:color w:val="231F20"/>
        </w:rPr>
        <w:t>third</w:t>
      </w:r>
      <w:r>
        <w:rPr>
          <w:color w:val="231F20"/>
          <w:spacing w:val="-6"/>
        </w:rPr>
        <w:t xml:space="preserve"> </w:t>
      </w:r>
      <w:r>
        <w:rPr>
          <w:color w:val="231F20"/>
        </w:rPr>
        <w:t>party,</w:t>
      </w:r>
      <w:r>
        <w:rPr>
          <w:color w:val="231F20"/>
          <w:spacing w:val="-5"/>
        </w:rPr>
        <w:t xml:space="preserve"> </w:t>
      </w:r>
      <w:r>
        <w:rPr>
          <w:color w:val="231F20"/>
        </w:rPr>
        <w:t>the</w:t>
      </w:r>
      <w:r>
        <w:rPr>
          <w:color w:val="231F20"/>
          <w:spacing w:val="-6"/>
        </w:rPr>
        <w:t xml:space="preserve"> </w:t>
      </w:r>
      <w:r>
        <w:rPr>
          <w:color w:val="231F20"/>
        </w:rPr>
        <w:t>receivable</w:t>
      </w:r>
      <w:r>
        <w:rPr>
          <w:color w:val="231F20"/>
          <w:spacing w:val="-6"/>
        </w:rPr>
        <w:t xml:space="preserve"> </w:t>
      </w:r>
      <w:r>
        <w:rPr>
          <w:color w:val="231F20"/>
        </w:rPr>
        <w:t>is</w:t>
      </w:r>
      <w:r>
        <w:rPr>
          <w:color w:val="231F20"/>
          <w:spacing w:val="-5"/>
        </w:rPr>
        <w:t xml:space="preserve"> </w:t>
      </w:r>
      <w:r>
        <w:rPr>
          <w:color w:val="231F20"/>
        </w:rPr>
        <w:t>recognised</w:t>
      </w:r>
      <w:r>
        <w:rPr>
          <w:color w:val="231F20"/>
          <w:spacing w:val="-6"/>
        </w:rPr>
        <w:t xml:space="preserve"> </w:t>
      </w:r>
      <w:r>
        <w:rPr>
          <w:color w:val="231F20"/>
        </w:rPr>
        <w:t>as</w:t>
      </w:r>
      <w:r>
        <w:rPr>
          <w:color w:val="231F20"/>
          <w:spacing w:val="-5"/>
        </w:rPr>
        <w:t xml:space="preserve"> </w:t>
      </w:r>
      <w:r>
        <w:rPr>
          <w:color w:val="231F20"/>
        </w:rPr>
        <w:t>an</w:t>
      </w:r>
      <w:r>
        <w:rPr>
          <w:color w:val="231F20"/>
          <w:spacing w:val="-6"/>
        </w:rPr>
        <w:t xml:space="preserve"> </w:t>
      </w:r>
      <w:r>
        <w:rPr>
          <w:color w:val="231F20"/>
        </w:rPr>
        <w:t>asset</w:t>
      </w:r>
      <w:r>
        <w:rPr>
          <w:color w:val="231F20"/>
          <w:spacing w:val="-5"/>
        </w:rPr>
        <w:t xml:space="preserve"> </w:t>
      </w:r>
      <w:r>
        <w:rPr>
          <w:color w:val="231F20"/>
        </w:rPr>
        <w:t>if</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virtually</w:t>
      </w:r>
      <w:r>
        <w:rPr>
          <w:color w:val="231F20"/>
          <w:spacing w:val="-5"/>
        </w:rPr>
        <w:t xml:space="preserve"> </w:t>
      </w:r>
      <w:r>
        <w:rPr>
          <w:color w:val="231F20"/>
        </w:rPr>
        <w:t>certain that recovery will be received and the amount of the receivable can be measured reliably.</w:t>
      </w:r>
    </w:p>
    <w:p w14:paraId="36C35554" w14:textId="77777777" w:rsidR="00345EE3" w:rsidRDefault="00345EE3" w:rsidP="009E651C">
      <w:pPr>
        <w:pStyle w:val="BodyText"/>
        <w:spacing w:before="118" w:line="242" w:lineRule="auto"/>
        <w:ind w:left="142"/>
        <w:rPr>
          <w:color w:val="231F20"/>
        </w:rPr>
      </w:pPr>
      <w:r>
        <w:rPr>
          <w:b/>
          <w:color w:val="231F20"/>
        </w:rPr>
        <w:t xml:space="preserve">Make Good Provision: </w:t>
      </w:r>
      <w:r>
        <w:rPr>
          <w:color w:val="231F20"/>
        </w:rPr>
        <w:t>Properties occupied by Victoria Police are subject to make-good costs (where applicable) when vacated at the termination of the lease. The make-good provision is recognised in accordance with the lease agreement for these properties. Victoria Police must remove</w:t>
      </w:r>
      <w:r>
        <w:rPr>
          <w:color w:val="231F20"/>
          <w:spacing w:val="-11"/>
        </w:rPr>
        <w:t xml:space="preserve"> </w:t>
      </w:r>
      <w:r>
        <w:rPr>
          <w:color w:val="231F20"/>
        </w:rPr>
        <w:t>any</w:t>
      </w:r>
      <w:r>
        <w:rPr>
          <w:color w:val="231F20"/>
          <w:spacing w:val="-11"/>
        </w:rPr>
        <w:t xml:space="preserve"> </w:t>
      </w:r>
      <w:r>
        <w:rPr>
          <w:color w:val="231F20"/>
        </w:rPr>
        <w:t>leasehold</w:t>
      </w:r>
      <w:r>
        <w:rPr>
          <w:color w:val="231F20"/>
          <w:spacing w:val="-11"/>
        </w:rPr>
        <w:t xml:space="preserve"> </w:t>
      </w:r>
      <w:r>
        <w:rPr>
          <w:color w:val="231F20"/>
        </w:rPr>
        <w:t>improvements</w:t>
      </w:r>
      <w:r>
        <w:rPr>
          <w:color w:val="231F20"/>
          <w:spacing w:val="-11"/>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leased</w:t>
      </w:r>
      <w:r>
        <w:rPr>
          <w:color w:val="231F20"/>
          <w:spacing w:val="-11"/>
        </w:rPr>
        <w:t xml:space="preserve"> </w:t>
      </w:r>
      <w:r>
        <w:rPr>
          <w:color w:val="231F20"/>
        </w:rPr>
        <w:t>warehouse</w:t>
      </w:r>
      <w:r>
        <w:rPr>
          <w:color w:val="231F20"/>
          <w:spacing w:val="-11"/>
        </w:rPr>
        <w:t xml:space="preserve"> </w:t>
      </w:r>
      <w:r>
        <w:rPr>
          <w:color w:val="231F20"/>
        </w:rPr>
        <w:t>and</w:t>
      </w:r>
      <w:r>
        <w:rPr>
          <w:color w:val="231F20"/>
          <w:spacing w:val="-11"/>
        </w:rPr>
        <w:t xml:space="preserve"> </w:t>
      </w:r>
      <w:r>
        <w:rPr>
          <w:color w:val="231F20"/>
        </w:rPr>
        <w:t>restore</w:t>
      </w:r>
      <w:r>
        <w:rPr>
          <w:color w:val="231F20"/>
          <w:spacing w:val="-11"/>
        </w:rPr>
        <w:t xml:space="preserve"> </w:t>
      </w:r>
      <w:r>
        <w:rPr>
          <w:color w:val="231F20"/>
        </w:rPr>
        <w:t>the</w:t>
      </w:r>
      <w:r>
        <w:rPr>
          <w:color w:val="231F20"/>
          <w:spacing w:val="-11"/>
        </w:rPr>
        <w:t xml:space="preserve"> </w:t>
      </w:r>
      <w:r>
        <w:rPr>
          <w:color w:val="231F20"/>
        </w:rPr>
        <w:t>premises</w:t>
      </w:r>
      <w:r>
        <w:rPr>
          <w:color w:val="231F20"/>
          <w:spacing w:val="-11"/>
        </w:rPr>
        <w:t xml:space="preserve"> </w:t>
      </w:r>
      <w:r>
        <w:rPr>
          <w:color w:val="231F20"/>
        </w:rPr>
        <w:t>to</w:t>
      </w:r>
      <w:r>
        <w:rPr>
          <w:color w:val="231F20"/>
          <w:spacing w:val="-11"/>
        </w:rPr>
        <w:t xml:space="preserve"> </w:t>
      </w:r>
      <w:r>
        <w:rPr>
          <w:color w:val="231F20"/>
        </w:rPr>
        <w:t>its original condition at the end of the lease term.</w:t>
      </w:r>
    </w:p>
    <w:p w14:paraId="7EAD4D01" w14:textId="77777777" w:rsidR="00345EE3" w:rsidRDefault="00345EE3" w:rsidP="00345EE3">
      <w:pPr>
        <w:rPr>
          <w:color w:val="231F20"/>
          <w:sz w:val="24"/>
          <w:szCs w:val="24"/>
        </w:rPr>
      </w:pPr>
      <w:r>
        <w:rPr>
          <w:color w:val="231F20"/>
        </w:rPr>
        <w:br w:type="page"/>
      </w:r>
    </w:p>
    <w:p w14:paraId="5970293B" w14:textId="77777777" w:rsidR="00345EE3" w:rsidRPr="00B2400F" w:rsidRDefault="00345EE3" w:rsidP="00B2400F">
      <w:pPr>
        <w:pStyle w:val="Heading2"/>
        <w:numPr>
          <w:ilvl w:val="0"/>
          <w:numId w:val="44"/>
        </w:numPr>
        <w:tabs>
          <w:tab w:val="left" w:pos="429"/>
        </w:tabs>
        <w:spacing w:before="217"/>
        <w:ind w:left="428" w:hanging="428"/>
        <w:rPr>
          <w:sz w:val="32"/>
          <w:szCs w:val="32"/>
        </w:rPr>
      </w:pPr>
      <w:r w:rsidRPr="00B2400F">
        <w:rPr>
          <w:color w:val="00529F"/>
          <w:sz w:val="32"/>
          <w:szCs w:val="32"/>
        </w:rPr>
        <w:t>Financing</w:t>
      </w:r>
      <w:r w:rsidRPr="00B2400F">
        <w:rPr>
          <w:color w:val="00529F"/>
          <w:spacing w:val="-14"/>
          <w:sz w:val="32"/>
          <w:szCs w:val="32"/>
        </w:rPr>
        <w:t xml:space="preserve"> </w:t>
      </w:r>
      <w:r w:rsidRPr="00B2400F">
        <w:rPr>
          <w:color w:val="00529F"/>
          <w:sz w:val="32"/>
          <w:szCs w:val="32"/>
        </w:rPr>
        <w:t>Our</w:t>
      </w:r>
      <w:r w:rsidRPr="00B2400F">
        <w:rPr>
          <w:color w:val="00529F"/>
          <w:spacing w:val="-13"/>
          <w:sz w:val="32"/>
          <w:szCs w:val="32"/>
        </w:rPr>
        <w:t xml:space="preserve"> </w:t>
      </w:r>
      <w:r w:rsidRPr="00B2400F">
        <w:rPr>
          <w:color w:val="00529F"/>
          <w:spacing w:val="-2"/>
          <w:sz w:val="32"/>
          <w:szCs w:val="32"/>
        </w:rPr>
        <w:t>Operations</w:t>
      </w:r>
    </w:p>
    <w:p w14:paraId="3EEA9EAA" w14:textId="77777777" w:rsidR="00345EE3" w:rsidRDefault="00345EE3" w:rsidP="002A27BA">
      <w:pPr>
        <w:pStyle w:val="Heading3"/>
      </w:pPr>
      <w:r>
        <w:t>Introduction</w:t>
      </w:r>
    </w:p>
    <w:p w14:paraId="49D5BE9E" w14:textId="77777777" w:rsidR="00345EE3" w:rsidRDefault="00345EE3" w:rsidP="00345EE3">
      <w:pPr>
        <w:pStyle w:val="BodyText"/>
        <w:spacing w:before="53" w:line="242" w:lineRule="auto"/>
      </w:pPr>
      <w:r>
        <w:rPr>
          <w:color w:val="231F20"/>
        </w:rPr>
        <w:t>This section provides information on the sources of finance utilised by Victoria Police during its operations,</w:t>
      </w:r>
      <w:r>
        <w:rPr>
          <w:color w:val="231F20"/>
          <w:spacing w:val="-12"/>
        </w:rPr>
        <w:t xml:space="preserve"> </w:t>
      </w:r>
      <w:r>
        <w:rPr>
          <w:color w:val="231F20"/>
        </w:rPr>
        <w:t>along</w:t>
      </w:r>
      <w:r>
        <w:rPr>
          <w:color w:val="231F20"/>
          <w:spacing w:val="-12"/>
        </w:rPr>
        <w:t xml:space="preserve"> </w:t>
      </w:r>
      <w:r>
        <w:rPr>
          <w:color w:val="231F20"/>
        </w:rPr>
        <w:t>with</w:t>
      </w:r>
      <w:r>
        <w:rPr>
          <w:color w:val="231F20"/>
          <w:spacing w:val="-13"/>
        </w:rPr>
        <w:t xml:space="preserve"> </w:t>
      </w:r>
      <w:r>
        <w:rPr>
          <w:color w:val="231F20"/>
        </w:rPr>
        <w:t>interest</w:t>
      </w:r>
      <w:r>
        <w:rPr>
          <w:color w:val="231F20"/>
          <w:spacing w:val="-12"/>
        </w:rPr>
        <w:t xml:space="preserve"> </w:t>
      </w:r>
      <w:r>
        <w:rPr>
          <w:color w:val="231F20"/>
        </w:rPr>
        <w:t>expenses</w:t>
      </w:r>
      <w:r>
        <w:rPr>
          <w:color w:val="231F20"/>
          <w:spacing w:val="-12"/>
        </w:rPr>
        <w:t xml:space="preserve"> </w:t>
      </w:r>
      <w:r>
        <w:rPr>
          <w:color w:val="231F20"/>
        </w:rPr>
        <w:t>(the</w:t>
      </w:r>
      <w:r>
        <w:rPr>
          <w:color w:val="231F20"/>
          <w:spacing w:val="-12"/>
        </w:rPr>
        <w:t xml:space="preserve"> </w:t>
      </w:r>
      <w:r>
        <w:rPr>
          <w:color w:val="231F20"/>
        </w:rPr>
        <w:t>cost</w:t>
      </w:r>
      <w:r>
        <w:rPr>
          <w:color w:val="231F20"/>
          <w:spacing w:val="-12"/>
        </w:rPr>
        <w:t xml:space="preserve"> </w:t>
      </w:r>
      <w:r>
        <w:rPr>
          <w:color w:val="231F20"/>
        </w:rPr>
        <w:t>of</w:t>
      </w:r>
      <w:r>
        <w:rPr>
          <w:color w:val="231F20"/>
          <w:spacing w:val="-12"/>
        </w:rPr>
        <w:t xml:space="preserve"> </w:t>
      </w:r>
      <w:r>
        <w:rPr>
          <w:color w:val="231F20"/>
        </w:rPr>
        <w:t>borrowings)</w:t>
      </w:r>
      <w:r>
        <w:rPr>
          <w:color w:val="231F20"/>
          <w:spacing w:val="-12"/>
        </w:rPr>
        <w:t xml:space="preserve"> </w:t>
      </w:r>
      <w:r>
        <w:rPr>
          <w:color w:val="231F20"/>
        </w:rPr>
        <w:t>and</w:t>
      </w:r>
      <w:r>
        <w:rPr>
          <w:color w:val="231F20"/>
          <w:spacing w:val="-12"/>
        </w:rPr>
        <w:t xml:space="preserve"> </w:t>
      </w:r>
      <w:r>
        <w:rPr>
          <w:color w:val="231F20"/>
        </w:rPr>
        <w:t>other</w:t>
      </w:r>
      <w:r>
        <w:rPr>
          <w:color w:val="231F20"/>
          <w:spacing w:val="-12"/>
        </w:rPr>
        <w:t xml:space="preserve"> </w:t>
      </w:r>
      <w:r>
        <w:rPr>
          <w:color w:val="231F20"/>
        </w:rPr>
        <w:t>information</w:t>
      </w:r>
      <w:r>
        <w:rPr>
          <w:color w:val="231F20"/>
          <w:spacing w:val="-12"/>
        </w:rPr>
        <w:t xml:space="preserve"> </w:t>
      </w:r>
      <w:r>
        <w:rPr>
          <w:color w:val="231F20"/>
        </w:rPr>
        <w:t>related</w:t>
      </w:r>
      <w:r>
        <w:rPr>
          <w:color w:val="231F20"/>
          <w:spacing w:val="-13"/>
        </w:rPr>
        <w:t xml:space="preserve"> </w:t>
      </w:r>
      <w:r>
        <w:rPr>
          <w:color w:val="231F20"/>
        </w:rPr>
        <w:t>to financing activities of Victoria Police.</w:t>
      </w:r>
    </w:p>
    <w:p w14:paraId="27FE8B97" w14:textId="77777777" w:rsidR="00345EE3" w:rsidRDefault="00345EE3" w:rsidP="00345EE3">
      <w:pPr>
        <w:pStyle w:val="BodyText"/>
        <w:spacing w:before="117" w:after="120" w:line="242" w:lineRule="auto"/>
        <w:rPr>
          <w:color w:val="231F20"/>
        </w:rPr>
      </w:pPr>
      <w:r>
        <w:rPr>
          <w:color w:val="231F20"/>
        </w:rPr>
        <w:t>This</w:t>
      </w:r>
      <w:r>
        <w:rPr>
          <w:color w:val="231F20"/>
          <w:spacing w:val="-2"/>
        </w:rPr>
        <w:t xml:space="preserve"> </w:t>
      </w:r>
      <w:r>
        <w:rPr>
          <w:color w:val="231F20"/>
        </w:rPr>
        <w:t>section</w:t>
      </w:r>
      <w:r>
        <w:rPr>
          <w:color w:val="231F20"/>
          <w:spacing w:val="-3"/>
        </w:rPr>
        <w:t xml:space="preserve"> </w:t>
      </w:r>
      <w:r>
        <w:rPr>
          <w:color w:val="231F20"/>
        </w:rPr>
        <w:t>includes</w:t>
      </w:r>
      <w:r>
        <w:rPr>
          <w:color w:val="231F20"/>
          <w:spacing w:val="-2"/>
        </w:rPr>
        <w:t xml:space="preserve"> </w:t>
      </w:r>
      <w:r>
        <w:rPr>
          <w:color w:val="231F20"/>
        </w:rPr>
        <w:t>disclosures</w:t>
      </w:r>
      <w:r>
        <w:rPr>
          <w:color w:val="231F20"/>
          <w:spacing w:val="-2"/>
        </w:rPr>
        <w:t xml:space="preserve"> </w:t>
      </w:r>
      <w:r>
        <w:rPr>
          <w:color w:val="231F20"/>
        </w:rPr>
        <w:t>of</w:t>
      </w:r>
      <w:r>
        <w:rPr>
          <w:color w:val="231F20"/>
          <w:spacing w:val="-2"/>
        </w:rPr>
        <w:t xml:space="preserve"> </w:t>
      </w:r>
      <w:r>
        <w:rPr>
          <w:color w:val="231F20"/>
        </w:rPr>
        <w:t>balances</w:t>
      </w:r>
      <w:r>
        <w:rPr>
          <w:color w:val="231F20"/>
          <w:spacing w:val="-2"/>
        </w:rPr>
        <w:t xml:space="preserve"> </w:t>
      </w:r>
      <w:r>
        <w:rPr>
          <w:color w:val="231F20"/>
        </w:rPr>
        <w:t>that</w:t>
      </w:r>
      <w:r>
        <w:rPr>
          <w:color w:val="231F20"/>
          <w:spacing w:val="-2"/>
        </w:rPr>
        <w:t xml:space="preserve"> </w:t>
      </w:r>
      <w:r>
        <w:rPr>
          <w:color w:val="231F20"/>
        </w:rPr>
        <w:t>are</w:t>
      </w:r>
      <w:r>
        <w:rPr>
          <w:color w:val="231F20"/>
          <w:spacing w:val="-3"/>
        </w:rPr>
        <w:t xml:space="preserve"> </w:t>
      </w:r>
      <w:r>
        <w:rPr>
          <w:color w:val="231F20"/>
        </w:rPr>
        <w:t>financial</w:t>
      </w:r>
      <w:r>
        <w:rPr>
          <w:color w:val="231F20"/>
          <w:spacing w:val="-3"/>
        </w:rPr>
        <w:t xml:space="preserve"> </w:t>
      </w:r>
      <w:r>
        <w:rPr>
          <w:color w:val="231F20"/>
        </w:rPr>
        <w:t>instruments</w:t>
      </w:r>
      <w:r>
        <w:rPr>
          <w:color w:val="231F20"/>
          <w:spacing w:val="-2"/>
        </w:rPr>
        <w:t xml:space="preserve"> </w:t>
      </w:r>
      <w:r>
        <w:rPr>
          <w:color w:val="231F20"/>
        </w:rPr>
        <w:t>(such</w:t>
      </w:r>
      <w:r>
        <w:rPr>
          <w:color w:val="231F20"/>
          <w:spacing w:val="-3"/>
        </w:rPr>
        <w:t xml:space="preserve"> </w:t>
      </w:r>
      <w:r>
        <w:rPr>
          <w:color w:val="231F20"/>
        </w:rPr>
        <w:t>as</w:t>
      </w:r>
      <w:r>
        <w:rPr>
          <w:color w:val="231F20"/>
          <w:spacing w:val="-2"/>
        </w:rPr>
        <w:t xml:space="preserve"> </w:t>
      </w:r>
      <w:r>
        <w:rPr>
          <w:color w:val="231F20"/>
        </w:rPr>
        <w:t>borrowings and</w:t>
      </w:r>
      <w:r>
        <w:rPr>
          <w:color w:val="231F20"/>
          <w:spacing w:val="-14"/>
        </w:rPr>
        <w:t xml:space="preserve"> </w:t>
      </w:r>
      <w:r>
        <w:rPr>
          <w:color w:val="231F20"/>
        </w:rPr>
        <w:t>cash</w:t>
      </w:r>
      <w:r>
        <w:rPr>
          <w:color w:val="231F20"/>
          <w:spacing w:val="-14"/>
        </w:rPr>
        <w:t xml:space="preserve"> </w:t>
      </w:r>
      <w:r>
        <w:rPr>
          <w:color w:val="231F20"/>
        </w:rPr>
        <w:t>balances).</w:t>
      </w:r>
      <w:r>
        <w:rPr>
          <w:color w:val="231F20"/>
          <w:spacing w:val="-13"/>
        </w:rPr>
        <w:t xml:space="preserve"> </w:t>
      </w:r>
      <w:r>
        <w:rPr>
          <w:color w:val="231F20"/>
        </w:rPr>
        <w:t>Note</w:t>
      </w:r>
      <w:r>
        <w:rPr>
          <w:color w:val="231F20"/>
          <w:spacing w:val="-14"/>
        </w:rPr>
        <w:t xml:space="preserve"> </w:t>
      </w:r>
      <w:r>
        <w:rPr>
          <w:color w:val="231F20"/>
        </w:rPr>
        <w:t>8.1</w:t>
      </w:r>
      <w:r>
        <w:rPr>
          <w:color w:val="231F20"/>
          <w:spacing w:val="-14"/>
        </w:rPr>
        <w:t xml:space="preserve"> </w:t>
      </w:r>
      <w:r>
        <w:rPr>
          <w:color w:val="231F20"/>
        </w:rPr>
        <w:t>Financial</w:t>
      </w:r>
      <w:r>
        <w:rPr>
          <w:color w:val="231F20"/>
          <w:spacing w:val="-14"/>
        </w:rPr>
        <w:t xml:space="preserve"> </w:t>
      </w:r>
      <w:r>
        <w:rPr>
          <w:color w:val="231F20"/>
        </w:rPr>
        <w:t>Instruments</w:t>
      </w:r>
      <w:r>
        <w:rPr>
          <w:color w:val="231F20"/>
          <w:spacing w:val="-13"/>
        </w:rPr>
        <w:t xml:space="preserve"> </w:t>
      </w:r>
      <w:r>
        <w:rPr>
          <w:color w:val="231F20"/>
        </w:rPr>
        <w:t>Specific</w:t>
      </w:r>
      <w:r>
        <w:rPr>
          <w:color w:val="231F20"/>
          <w:spacing w:val="-13"/>
        </w:rPr>
        <w:t xml:space="preserve"> </w:t>
      </w:r>
      <w:r>
        <w:rPr>
          <w:color w:val="231F20"/>
        </w:rPr>
        <w:t>Disclosures</w:t>
      </w:r>
      <w:r>
        <w:rPr>
          <w:color w:val="231F20"/>
          <w:spacing w:val="-13"/>
        </w:rPr>
        <w:t xml:space="preserve"> </w:t>
      </w:r>
      <w:r>
        <w:rPr>
          <w:color w:val="231F20"/>
        </w:rPr>
        <w:t>and</w:t>
      </w:r>
      <w:r>
        <w:rPr>
          <w:color w:val="231F20"/>
          <w:spacing w:val="-14"/>
        </w:rPr>
        <w:t xml:space="preserve"> </w:t>
      </w:r>
      <w:r>
        <w:rPr>
          <w:color w:val="231F20"/>
        </w:rPr>
        <w:t>Note</w:t>
      </w:r>
      <w:r>
        <w:rPr>
          <w:color w:val="231F20"/>
          <w:spacing w:val="-14"/>
        </w:rPr>
        <w:t xml:space="preserve"> </w:t>
      </w:r>
      <w:r>
        <w:rPr>
          <w:color w:val="231F20"/>
        </w:rPr>
        <w:t>8.3</w:t>
      </w:r>
      <w:r>
        <w:rPr>
          <w:color w:val="231F20"/>
          <w:spacing w:val="-13"/>
        </w:rPr>
        <w:t xml:space="preserve"> </w:t>
      </w:r>
      <w:r>
        <w:rPr>
          <w:color w:val="231F20"/>
        </w:rPr>
        <w:t>Fair</w:t>
      </w:r>
      <w:r>
        <w:rPr>
          <w:color w:val="231F20"/>
          <w:spacing w:val="-13"/>
        </w:rPr>
        <w:t xml:space="preserve"> </w:t>
      </w:r>
      <w:r>
        <w:rPr>
          <w:color w:val="231F20"/>
        </w:rPr>
        <w:t>Value Determination provides additional, specific financial instrument disclosures.</w:t>
      </w:r>
    </w:p>
    <w:tbl>
      <w:tblPr>
        <w:tblW w:w="0" w:type="auto"/>
        <w:tblInd w:w="156" w:type="dxa"/>
        <w:tblLayout w:type="fixed"/>
        <w:tblCellMar>
          <w:left w:w="0" w:type="dxa"/>
          <w:right w:w="0" w:type="dxa"/>
        </w:tblCellMar>
        <w:tblLook w:val="0000" w:firstRow="0" w:lastRow="0" w:firstColumn="0" w:lastColumn="0" w:noHBand="0" w:noVBand="0"/>
      </w:tblPr>
      <w:tblGrid>
        <w:gridCol w:w="1134"/>
        <w:gridCol w:w="7937"/>
        <w:gridCol w:w="1134"/>
      </w:tblGrid>
      <w:tr w:rsidR="00345EE3" w:rsidRPr="00D44B96" w14:paraId="7935C167" w14:textId="77777777" w:rsidTr="00D73130">
        <w:trPr>
          <w:trHeight w:val="60"/>
          <w:tblHeader/>
        </w:trPr>
        <w:tc>
          <w:tcPr>
            <w:tcW w:w="9071" w:type="dxa"/>
            <w:gridSpan w:val="2"/>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6B3DF1AD"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D44B96">
              <w:rPr>
                <w:rFonts w:eastAsiaTheme="minorHAnsi"/>
                <w:b/>
                <w:bCs/>
                <w:color w:val="FFFFFF"/>
                <w:sz w:val="24"/>
                <w:szCs w:val="24"/>
                <w:lang w:val="en-GB"/>
              </w:rPr>
              <w:t>Structure</w:t>
            </w:r>
          </w:p>
        </w:tc>
        <w:tc>
          <w:tcPr>
            <w:tcW w:w="1134"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426D612D" w14:textId="77777777" w:rsidR="00345EE3" w:rsidRPr="00D44B96"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D44B96">
              <w:rPr>
                <w:rFonts w:eastAsiaTheme="minorHAnsi"/>
                <w:b/>
                <w:bCs/>
                <w:color w:val="FFFFFF"/>
                <w:spacing w:val="-2"/>
                <w:sz w:val="24"/>
                <w:szCs w:val="24"/>
                <w:lang w:val="en-GB"/>
              </w:rPr>
              <w:t>Pages</w:t>
            </w:r>
          </w:p>
        </w:tc>
      </w:tr>
      <w:tr w:rsidR="00345EE3" w:rsidRPr="00D44B96" w14:paraId="02BC6541"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E498641"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7.1</w:t>
            </w:r>
          </w:p>
        </w:tc>
        <w:tc>
          <w:tcPr>
            <w:tcW w:w="79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5B02C94"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Borrowings</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2AAEFBF" w14:textId="581D9CA8" w:rsidR="00345EE3" w:rsidRPr="00D44B96" w:rsidRDefault="0042779E"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151-152</w:t>
            </w:r>
          </w:p>
        </w:tc>
      </w:tr>
      <w:tr w:rsidR="00345EE3" w:rsidRPr="00D44B96" w14:paraId="5C455597"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085338D"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7.2</w:t>
            </w:r>
          </w:p>
        </w:tc>
        <w:tc>
          <w:tcPr>
            <w:tcW w:w="79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1175FE5"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Leases</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8C6C375" w14:textId="5AE2F586" w:rsidR="00345EE3" w:rsidRPr="00D44B96" w:rsidRDefault="0042779E"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152-154</w:t>
            </w:r>
          </w:p>
        </w:tc>
      </w:tr>
      <w:tr w:rsidR="00345EE3" w:rsidRPr="00D44B96" w14:paraId="28CD7165"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AF165E2"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7.3</w:t>
            </w:r>
          </w:p>
        </w:tc>
        <w:tc>
          <w:tcPr>
            <w:tcW w:w="79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9DE7BBF"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Cash Flow Information and Balances</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73E36E9" w14:textId="6825A51B" w:rsidR="00345EE3" w:rsidRPr="00D44B96" w:rsidRDefault="0042779E"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154-155</w:t>
            </w:r>
          </w:p>
        </w:tc>
      </w:tr>
      <w:tr w:rsidR="00345EE3" w:rsidRPr="00D44B96" w14:paraId="6DC76482"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C840721"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7.4</w:t>
            </w:r>
          </w:p>
        </w:tc>
        <w:tc>
          <w:tcPr>
            <w:tcW w:w="79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0127C38"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Trust Account Balances</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034344F" w14:textId="1B819CD0" w:rsidR="00345EE3" w:rsidRPr="00D44B96" w:rsidRDefault="0042779E"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154-158</w:t>
            </w:r>
          </w:p>
        </w:tc>
      </w:tr>
      <w:tr w:rsidR="00345EE3" w:rsidRPr="00D44B96" w14:paraId="5DA2AABB"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567B6B5"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7.5</w:t>
            </w:r>
          </w:p>
        </w:tc>
        <w:tc>
          <w:tcPr>
            <w:tcW w:w="79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6D8F9C5"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Capital Structure</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CF2E75E" w14:textId="34C3BC62" w:rsidR="00345EE3" w:rsidRPr="00D44B96" w:rsidRDefault="0042779E"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158</w:t>
            </w:r>
          </w:p>
        </w:tc>
      </w:tr>
      <w:tr w:rsidR="00345EE3" w:rsidRPr="00D44B96" w14:paraId="01E7189F"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47CC0DE"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7.6</w:t>
            </w:r>
          </w:p>
        </w:tc>
        <w:tc>
          <w:tcPr>
            <w:tcW w:w="79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0FFE4EF"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Commitments for Expenditure</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3FE67F5" w14:textId="23110951" w:rsidR="00345EE3" w:rsidRPr="00D44B96" w:rsidRDefault="0042779E"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159</w:t>
            </w:r>
          </w:p>
        </w:tc>
      </w:tr>
    </w:tbl>
    <w:p w14:paraId="19A83919" w14:textId="77777777" w:rsidR="00345EE3" w:rsidRDefault="00345EE3" w:rsidP="00345EE3">
      <w:pPr>
        <w:pStyle w:val="BodyText"/>
        <w:spacing w:before="117" w:line="242" w:lineRule="auto"/>
      </w:pPr>
    </w:p>
    <w:p w14:paraId="65A32370" w14:textId="77777777" w:rsidR="00345EE3" w:rsidRDefault="00345EE3" w:rsidP="00345EE3">
      <w:pPr>
        <w:pStyle w:val="BodyText"/>
        <w:spacing w:before="1"/>
        <w:rPr>
          <w:sz w:val="12"/>
        </w:rPr>
      </w:pPr>
    </w:p>
    <w:p w14:paraId="3E9368BD" w14:textId="77777777" w:rsidR="00345EE3" w:rsidRDefault="00345EE3" w:rsidP="00345EE3">
      <w:pPr>
        <w:rPr>
          <w:sz w:val="24"/>
        </w:rPr>
        <w:sectPr w:rsidR="00345EE3">
          <w:pgSz w:w="11910" w:h="16840"/>
          <w:pgMar w:top="720" w:right="740" w:bottom="678" w:left="740" w:header="720" w:footer="720" w:gutter="0"/>
          <w:cols w:space="720"/>
        </w:sectPr>
      </w:pPr>
    </w:p>
    <w:p w14:paraId="3825E776" w14:textId="77777777" w:rsidR="00345EE3" w:rsidRDefault="00345EE3" w:rsidP="002A27BA">
      <w:pPr>
        <w:pStyle w:val="Heading3"/>
        <w:numPr>
          <w:ilvl w:val="1"/>
          <w:numId w:val="44"/>
        </w:numPr>
      </w:pPr>
      <w:r>
        <w:t>Borrowings</w:t>
      </w:r>
    </w:p>
    <w:p w14:paraId="212D7AAD" w14:textId="77777777" w:rsidR="00345EE3" w:rsidRDefault="00345EE3" w:rsidP="00345EE3">
      <w:pPr>
        <w:pStyle w:val="BodyText"/>
        <w:spacing w:before="10"/>
        <w:rPr>
          <w:b/>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937"/>
        <w:gridCol w:w="1134"/>
        <w:gridCol w:w="1134"/>
      </w:tblGrid>
      <w:tr w:rsidR="00345EE3" w14:paraId="0B5E08FF" w14:textId="77777777" w:rsidTr="00D73130">
        <w:trPr>
          <w:trHeight w:val="802"/>
        </w:trPr>
        <w:tc>
          <w:tcPr>
            <w:tcW w:w="10205" w:type="dxa"/>
            <w:gridSpan w:val="3"/>
            <w:tcBorders>
              <w:top w:val="nil"/>
              <w:left w:val="nil"/>
              <w:bottom w:val="nil"/>
              <w:right w:val="nil"/>
            </w:tcBorders>
            <w:shd w:val="clear" w:color="auto" w:fill="00529F"/>
          </w:tcPr>
          <w:p w14:paraId="68C80C65"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p w14:paraId="5D907ED1" w14:textId="77777777" w:rsidR="00345EE3" w:rsidRDefault="00345EE3" w:rsidP="00D73130">
            <w:pPr>
              <w:pStyle w:val="TableParagraph"/>
              <w:tabs>
                <w:tab w:val="left" w:pos="1136"/>
              </w:tabs>
              <w:spacing w:before="125"/>
              <w:ind w:right="1"/>
              <w:rPr>
                <w:b/>
                <w:sz w:val="24"/>
              </w:rPr>
            </w:pPr>
            <w:r>
              <w:rPr>
                <w:b/>
                <w:color w:val="FFFFFF"/>
                <w:spacing w:val="-4"/>
                <w:sz w:val="24"/>
              </w:rPr>
              <w:t>2022</w:t>
            </w:r>
            <w:r>
              <w:rPr>
                <w:b/>
                <w:color w:val="FFFFFF"/>
                <w:sz w:val="24"/>
              </w:rPr>
              <w:tab/>
            </w:r>
            <w:r>
              <w:rPr>
                <w:b/>
                <w:color w:val="FFFFFF"/>
                <w:spacing w:val="-4"/>
                <w:sz w:val="24"/>
              </w:rPr>
              <w:t>2021</w:t>
            </w:r>
          </w:p>
        </w:tc>
      </w:tr>
      <w:tr w:rsidR="00345EE3" w14:paraId="3591581A" w14:textId="77777777" w:rsidTr="00D73130">
        <w:trPr>
          <w:trHeight w:val="396"/>
        </w:trPr>
        <w:tc>
          <w:tcPr>
            <w:tcW w:w="7937" w:type="dxa"/>
            <w:tcBorders>
              <w:top w:val="nil"/>
              <w:left w:val="nil"/>
            </w:tcBorders>
          </w:tcPr>
          <w:p w14:paraId="318BD5C9" w14:textId="77777777" w:rsidR="00345EE3" w:rsidRDefault="00345EE3" w:rsidP="00D73130">
            <w:pPr>
              <w:pStyle w:val="TableParagraph"/>
              <w:ind w:left="-3"/>
              <w:jc w:val="left"/>
              <w:rPr>
                <w:b/>
                <w:sz w:val="24"/>
              </w:rPr>
            </w:pPr>
            <w:r>
              <w:rPr>
                <w:b/>
                <w:color w:val="231F20"/>
                <w:sz w:val="24"/>
              </w:rPr>
              <w:t>Current</w:t>
            </w:r>
            <w:r>
              <w:rPr>
                <w:b/>
                <w:color w:val="231F20"/>
                <w:spacing w:val="-7"/>
                <w:sz w:val="24"/>
              </w:rPr>
              <w:t xml:space="preserve"> </w:t>
            </w:r>
            <w:r>
              <w:rPr>
                <w:b/>
                <w:color w:val="231F20"/>
                <w:spacing w:val="-2"/>
                <w:sz w:val="24"/>
              </w:rPr>
              <w:t>Borrowings</w:t>
            </w:r>
          </w:p>
        </w:tc>
        <w:tc>
          <w:tcPr>
            <w:tcW w:w="1134" w:type="dxa"/>
            <w:tcBorders>
              <w:top w:val="nil"/>
            </w:tcBorders>
            <w:shd w:val="clear" w:color="auto" w:fill="E6E7E8"/>
          </w:tcPr>
          <w:p w14:paraId="5C954DDE" w14:textId="77777777" w:rsidR="00345EE3" w:rsidRDefault="00345EE3" w:rsidP="00D73130">
            <w:pPr>
              <w:pStyle w:val="TableParagraph"/>
              <w:spacing w:before="0"/>
              <w:jc w:val="left"/>
              <w:rPr>
                <w:rFonts w:ascii="Times New Roman"/>
              </w:rPr>
            </w:pPr>
          </w:p>
        </w:tc>
        <w:tc>
          <w:tcPr>
            <w:tcW w:w="1134" w:type="dxa"/>
            <w:tcBorders>
              <w:top w:val="nil"/>
              <w:right w:val="nil"/>
            </w:tcBorders>
          </w:tcPr>
          <w:p w14:paraId="66D93349" w14:textId="77777777" w:rsidR="00345EE3" w:rsidRDefault="00345EE3" w:rsidP="00D73130">
            <w:pPr>
              <w:pStyle w:val="TableParagraph"/>
              <w:spacing w:before="0"/>
              <w:jc w:val="left"/>
              <w:rPr>
                <w:rFonts w:ascii="Times New Roman"/>
              </w:rPr>
            </w:pPr>
          </w:p>
        </w:tc>
      </w:tr>
      <w:tr w:rsidR="00345EE3" w14:paraId="21BF762B" w14:textId="77777777" w:rsidTr="00D73130">
        <w:trPr>
          <w:trHeight w:val="393"/>
        </w:trPr>
        <w:tc>
          <w:tcPr>
            <w:tcW w:w="7937" w:type="dxa"/>
            <w:tcBorders>
              <w:left w:val="nil"/>
              <w:bottom w:val="single" w:sz="4" w:space="0" w:color="231F20"/>
            </w:tcBorders>
          </w:tcPr>
          <w:p w14:paraId="23EDBC75" w14:textId="77777777" w:rsidR="00345EE3" w:rsidRDefault="00345EE3" w:rsidP="00D73130">
            <w:pPr>
              <w:pStyle w:val="TableParagraph"/>
              <w:ind w:left="-3"/>
              <w:jc w:val="left"/>
              <w:rPr>
                <w:sz w:val="14"/>
              </w:rPr>
            </w:pPr>
            <w:r>
              <w:rPr>
                <w:color w:val="231F20"/>
                <w:sz w:val="24"/>
              </w:rPr>
              <w:t>Lease</w:t>
            </w:r>
            <w:r>
              <w:rPr>
                <w:color w:val="231F20"/>
                <w:spacing w:val="-15"/>
                <w:sz w:val="24"/>
              </w:rPr>
              <w:t xml:space="preserve"> </w:t>
            </w:r>
            <w:r>
              <w:rPr>
                <w:color w:val="231F20"/>
                <w:sz w:val="24"/>
              </w:rPr>
              <w:t>liabilities</w:t>
            </w:r>
            <w:r>
              <w:rPr>
                <w:color w:val="231F20"/>
                <w:spacing w:val="-28"/>
                <w:sz w:val="24"/>
              </w:rPr>
              <w:t xml:space="preserve"> </w:t>
            </w:r>
            <w:r>
              <w:rPr>
                <w:color w:val="231F20"/>
                <w:spacing w:val="-5"/>
                <w:position w:val="8"/>
                <w:sz w:val="14"/>
              </w:rPr>
              <w:t>(a)</w:t>
            </w:r>
          </w:p>
        </w:tc>
        <w:tc>
          <w:tcPr>
            <w:tcW w:w="1134" w:type="dxa"/>
            <w:tcBorders>
              <w:bottom w:val="single" w:sz="4" w:space="0" w:color="231F20"/>
            </w:tcBorders>
            <w:shd w:val="clear" w:color="auto" w:fill="E6E7E8"/>
          </w:tcPr>
          <w:p w14:paraId="72639444" w14:textId="77777777" w:rsidR="00345EE3" w:rsidRDefault="00345EE3" w:rsidP="00D73130">
            <w:pPr>
              <w:pStyle w:val="TableParagraph"/>
              <w:rPr>
                <w:sz w:val="24"/>
              </w:rPr>
            </w:pPr>
            <w:r>
              <w:rPr>
                <w:color w:val="231F20"/>
                <w:spacing w:val="-2"/>
                <w:sz w:val="24"/>
              </w:rPr>
              <w:t>92,632</w:t>
            </w:r>
          </w:p>
        </w:tc>
        <w:tc>
          <w:tcPr>
            <w:tcW w:w="1134" w:type="dxa"/>
            <w:tcBorders>
              <w:bottom w:val="single" w:sz="4" w:space="0" w:color="231F20"/>
              <w:right w:val="nil"/>
            </w:tcBorders>
          </w:tcPr>
          <w:p w14:paraId="713BE4A5" w14:textId="77777777" w:rsidR="00345EE3" w:rsidRDefault="00345EE3" w:rsidP="00D73130">
            <w:pPr>
              <w:pStyle w:val="TableParagraph"/>
              <w:ind w:right="1"/>
              <w:rPr>
                <w:sz w:val="24"/>
              </w:rPr>
            </w:pPr>
            <w:r>
              <w:rPr>
                <w:color w:val="231F20"/>
                <w:spacing w:val="-2"/>
                <w:sz w:val="24"/>
              </w:rPr>
              <w:t>105,226</w:t>
            </w:r>
          </w:p>
        </w:tc>
      </w:tr>
      <w:tr w:rsidR="00345EE3" w14:paraId="49475807" w14:textId="77777777" w:rsidTr="00D73130">
        <w:trPr>
          <w:trHeight w:val="391"/>
        </w:trPr>
        <w:tc>
          <w:tcPr>
            <w:tcW w:w="7937" w:type="dxa"/>
            <w:tcBorders>
              <w:top w:val="single" w:sz="4" w:space="0" w:color="231F20"/>
              <w:left w:val="nil"/>
              <w:bottom w:val="single" w:sz="4" w:space="0" w:color="231F20"/>
            </w:tcBorders>
          </w:tcPr>
          <w:p w14:paraId="49251C92" w14:textId="77777777" w:rsidR="00345EE3" w:rsidRDefault="00345EE3" w:rsidP="00D73130">
            <w:pPr>
              <w:pStyle w:val="TableParagraph"/>
              <w:spacing w:before="58"/>
              <w:ind w:left="-3"/>
              <w:jc w:val="left"/>
              <w:rPr>
                <w:b/>
                <w:sz w:val="24"/>
              </w:rPr>
            </w:pPr>
            <w:r>
              <w:rPr>
                <w:b/>
                <w:color w:val="231F20"/>
                <w:sz w:val="24"/>
              </w:rPr>
              <w:t>Total</w:t>
            </w:r>
            <w:r>
              <w:rPr>
                <w:b/>
                <w:color w:val="231F20"/>
                <w:spacing w:val="-13"/>
                <w:sz w:val="24"/>
              </w:rPr>
              <w:t xml:space="preserve"> </w:t>
            </w:r>
            <w:r>
              <w:rPr>
                <w:b/>
                <w:color w:val="231F20"/>
                <w:sz w:val="24"/>
              </w:rPr>
              <w:t>Current</w:t>
            </w:r>
            <w:r>
              <w:rPr>
                <w:b/>
                <w:color w:val="231F20"/>
                <w:spacing w:val="-12"/>
                <w:sz w:val="24"/>
              </w:rPr>
              <w:t xml:space="preserve"> </w:t>
            </w:r>
            <w:r>
              <w:rPr>
                <w:b/>
                <w:color w:val="231F20"/>
                <w:spacing w:val="-2"/>
                <w:sz w:val="24"/>
              </w:rPr>
              <w:t>Borrowings</w:t>
            </w:r>
          </w:p>
        </w:tc>
        <w:tc>
          <w:tcPr>
            <w:tcW w:w="1134" w:type="dxa"/>
            <w:tcBorders>
              <w:top w:val="single" w:sz="4" w:space="0" w:color="231F20"/>
              <w:bottom w:val="single" w:sz="4" w:space="0" w:color="231F20"/>
            </w:tcBorders>
            <w:shd w:val="clear" w:color="auto" w:fill="E6E7E8"/>
          </w:tcPr>
          <w:p w14:paraId="2FC5FBC9" w14:textId="77777777" w:rsidR="00345EE3" w:rsidRDefault="00345EE3" w:rsidP="00D73130">
            <w:pPr>
              <w:pStyle w:val="TableParagraph"/>
              <w:spacing w:before="58"/>
              <w:rPr>
                <w:b/>
                <w:sz w:val="24"/>
              </w:rPr>
            </w:pPr>
            <w:r>
              <w:rPr>
                <w:b/>
                <w:color w:val="231F20"/>
                <w:spacing w:val="-2"/>
                <w:sz w:val="24"/>
              </w:rPr>
              <w:t>92,632</w:t>
            </w:r>
          </w:p>
        </w:tc>
        <w:tc>
          <w:tcPr>
            <w:tcW w:w="1134" w:type="dxa"/>
            <w:tcBorders>
              <w:top w:val="single" w:sz="4" w:space="0" w:color="231F20"/>
              <w:bottom w:val="single" w:sz="4" w:space="0" w:color="231F20"/>
              <w:right w:val="nil"/>
            </w:tcBorders>
          </w:tcPr>
          <w:p w14:paraId="59591354" w14:textId="77777777" w:rsidR="00345EE3" w:rsidRDefault="00345EE3" w:rsidP="00D73130">
            <w:pPr>
              <w:pStyle w:val="TableParagraph"/>
              <w:spacing w:before="58"/>
              <w:ind w:right="-15"/>
              <w:rPr>
                <w:b/>
                <w:sz w:val="24"/>
              </w:rPr>
            </w:pPr>
            <w:r>
              <w:rPr>
                <w:b/>
                <w:color w:val="231F20"/>
                <w:spacing w:val="-2"/>
                <w:sz w:val="24"/>
              </w:rPr>
              <w:t>105,226</w:t>
            </w:r>
          </w:p>
        </w:tc>
      </w:tr>
      <w:tr w:rsidR="00345EE3" w14:paraId="043FCF51" w14:textId="77777777" w:rsidTr="00D73130">
        <w:trPr>
          <w:trHeight w:val="393"/>
        </w:trPr>
        <w:tc>
          <w:tcPr>
            <w:tcW w:w="7937" w:type="dxa"/>
            <w:tcBorders>
              <w:top w:val="single" w:sz="4" w:space="0" w:color="231F20"/>
              <w:left w:val="nil"/>
            </w:tcBorders>
          </w:tcPr>
          <w:p w14:paraId="5108EE91" w14:textId="77777777" w:rsidR="00345EE3" w:rsidRDefault="00345EE3" w:rsidP="00D73130">
            <w:pPr>
              <w:pStyle w:val="TableParagraph"/>
              <w:spacing w:before="58"/>
              <w:ind w:left="-3"/>
              <w:jc w:val="left"/>
              <w:rPr>
                <w:b/>
                <w:sz w:val="24"/>
              </w:rPr>
            </w:pPr>
            <w:r>
              <w:rPr>
                <w:b/>
                <w:color w:val="231F20"/>
                <w:sz w:val="24"/>
              </w:rPr>
              <w:t>Non-Current</w:t>
            </w:r>
            <w:r>
              <w:rPr>
                <w:b/>
                <w:color w:val="231F20"/>
                <w:spacing w:val="-11"/>
                <w:sz w:val="24"/>
              </w:rPr>
              <w:t xml:space="preserve"> </w:t>
            </w:r>
            <w:r>
              <w:rPr>
                <w:b/>
                <w:color w:val="231F20"/>
                <w:spacing w:val="-2"/>
                <w:sz w:val="24"/>
              </w:rPr>
              <w:t>Borrowings</w:t>
            </w:r>
          </w:p>
        </w:tc>
        <w:tc>
          <w:tcPr>
            <w:tcW w:w="1134" w:type="dxa"/>
            <w:tcBorders>
              <w:top w:val="single" w:sz="4" w:space="0" w:color="231F20"/>
            </w:tcBorders>
            <w:shd w:val="clear" w:color="auto" w:fill="E6E7E8"/>
          </w:tcPr>
          <w:p w14:paraId="5EB50B56" w14:textId="77777777" w:rsidR="00345EE3" w:rsidRDefault="00345EE3" w:rsidP="00D73130">
            <w:pPr>
              <w:pStyle w:val="TableParagraph"/>
              <w:spacing w:before="0"/>
              <w:jc w:val="left"/>
              <w:rPr>
                <w:rFonts w:ascii="Times New Roman"/>
              </w:rPr>
            </w:pPr>
          </w:p>
        </w:tc>
        <w:tc>
          <w:tcPr>
            <w:tcW w:w="1134" w:type="dxa"/>
            <w:tcBorders>
              <w:top w:val="single" w:sz="4" w:space="0" w:color="231F20"/>
              <w:right w:val="nil"/>
            </w:tcBorders>
          </w:tcPr>
          <w:p w14:paraId="6280DA33" w14:textId="77777777" w:rsidR="00345EE3" w:rsidRDefault="00345EE3" w:rsidP="00D73130">
            <w:pPr>
              <w:pStyle w:val="TableParagraph"/>
              <w:spacing w:before="0"/>
              <w:jc w:val="left"/>
              <w:rPr>
                <w:rFonts w:ascii="Times New Roman"/>
              </w:rPr>
            </w:pPr>
          </w:p>
        </w:tc>
      </w:tr>
      <w:tr w:rsidR="00345EE3" w14:paraId="748490D5" w14:textId="77777777" w:rsidTr="00D73130">
        <w:trPr>
          <w:trHeight w:val="393"/>
        </w:trPr>
        <w:tc>
          <w:tcPr>
            <w:tcW w:w="7937" w:type="dxa"/>
            <w:tcBorders>
              <w:left w:val="nil"/>
              <w:bottom w:val="single" w:sz="4" w:space="0" w:color="231F20"/>
            </w:tcBorders>
          </w:tcPr>
          <w:p w14:paraId="1F010269" w14:textId="77777777" w:rsidR="00345EE3" w:rsidRDefault="00345EE3" w:rsidP="00D73130">
            <w:pPr>
              <w:pStyle w:val="TableParagraph"/>
              <w:ind w:left="-3"/>
              <w:jc w:val="left"/>
              <w:rPr>
                <w:sz w:val="14"/>
              </w:rPr>
            </w:pPr>
            <w:r>
              <w:rPr>
                <w:color w:val="231F20"/>
                <w:sz w:val="24"/>
              </w:rPr>
              <w:t>Lease</w:t>
            </w:r>
            <w:r>
              <w:rPr>
                <w:color w:val="231F20"/>
                <w:spacing w:val="-15"/>
                <w:sz w:val="24"/>
              </w:rPr>
              <w:t xml:space="preserve"> </w:t>
            </w:r>
            <w:r>
              <w:rPr>
                <w:color w:val="231F20"/>
                <w:sz w:val="24"/>
              </w:rPr>
              <w:t>liabilities</w:t>
            </w:r>
            <w:r>
              <w:rPr>
                <w:color w:val="231F20"/>
                <w:spacing w:val="-28"/>
                <w:sz w:val="24"/>
              </w:rPr>
              <w:t xml:space="preserve"> </w:t>
            </w:r>
            <w:r>
              <w:rPr>
                <w:color w:val="231F20"/>
                <w:spacing w:val="-5"/>
                <w:position w:val="8"/>
                <w:sz w:val="14"/>
              </w:rPr>
              <w:t>(a)</w:t>
            </w:r>
          </w:p>
        </w:tc>
        <w:tc>
          <w:tcPr>
            <w:tcW w:w="1134" w:type="dxa"/>
            <w:tcBorders>
              <w:bottom w:val="single" w:sz="4" w:space="0" w:color="231F20"/>
            </w:tcBorders>
            <w:shd w:val="clear" w:color="auto" w:fill="E6E7E8"/>
          </w:tcPr>
          <w:p w14:paraId="04C64187" w14:textId="77777777" w:rsidR="00345EE3" w:rsidRDefault="00345EE3" w:rsidP="00D73130">
            <w:pPr>
              <w:pStyle w:val="TableParagraph"/>
              <w:ind w:right="1"/>
              <w:rPr>
                <w:sz w:val="24"/>
              </w:rPr>
            </w:pPr>
            <w:r>
              <w:rPr>
                <w:color w:val="231F20"/>
                <w:spacing w:val="-2"/>
                <w:sz w:val="24"/>
              </w:rPr>
              <w:t>1,768,836</w:t>
            </w:r>
          </w:p>
        </w:tc>
        <w:tc>
          <w:tcPr>
            <w:tcW w:w="1134" w:type="dxa"/>
            <w:tcBorders>
              <w:bottom w:val="single" w:sz="4" w:space="0" w:color="231F20"/>
              <w:right w:val="nil"/>
            </w:tcBorders>
          </w:tcPr>
          <w:p w14:paraId="44CC812E" w14:textId="77777777" w:rsidR="00345EE3" w:rsidRDefault="00345EE3" w:rsidP="00D73130">
            <w:pPr>
              <w:pStyle w:val="TableParagraph"/>
              <w:ind w:right="1"/>
              <w:rPr>
                <w:sz w:val="24"/>
              </w:rPr>
            </w:pPr>
            <w:r>
              <w:rPr>
                <w:color w:val="231F20"/>
                <w:spacing w:val="-2"/>
                <w:sz w:val="24"/>
              </w:rPr>
              <w:t>1,783,634</w:t>
            </w:r>
          </w:p>
        </w:tc>
      </w:tr>
      <w:tr w:rsidR="00345EE3" w14:paraId="45BB2416" w14:textId="77777777" w:rsidTr="00D73130">
        <w:trPr>
          <w:trHeight w:val="391"/>
        </w:trPr>
        <w:tc>
          <w:tcPr>
            <w:tcW w:w="7937" w:type="dxa"/>
            <w:tcBorders>
              <w:top w:val="single" w:sz="4" w:space="0" w:color="231F20"/>
              <w:left w:val="nil"/>
              <w:bottom w:val="single" w:sz="4" w:space="0" w:color="231F20"/>
            </w:tcBorders>
          </w:tcPr>
          <w:p w14:paraId="1CB53464" w14:textId="77777777" w:rsidR="00345EE3" w:rsidRDefault="00345EE3" w:rsidP="00D73130">
            <w:pPr>
              <w:pStyle w:val="TableParagraph"/>
              <w:spacing w:before="58"/>
              <w:ind w:left="-3"/>
              <w:jc w:val="left"/>
              <w:rPr>
                <w:b/>
                <w:sz w:val="24"/>
              </w:rPr>
            </w:pPr>
            <w:r>
              <w:rPr>
                <w:b/>
                <w:color w:val="231F20"/>
                <w:sz w:val="24"/>
              </w:rPr>
              <w:t>Total</w:t>
            </w:r>
            <w:r>
              <w:rPr>
                <w:b/>
                <w:color w:val="231F20"/>
                <w:spacing w:val="-15"/>
                <w:sz w:val="24"/>
              </w:rPr>
              <w:t xml:space="preserve"> </w:t>
            </w:r>
            <w:r>
              <w:rPr>
                <w:b/>
                <w:color w:val="231F20"/>
                <w:sz w:val="24"/>
              </w:rPr>
              <w:t>Non-Current</w:t>
            </w:r>
            <w:r>
              <w:rPr>
                <w:b/>
                <w:color w:val="231F20"/>
                <w:spacing w:val="-14"/>
                <w:sz w:val="24"/>
              </w:rPr>
              <w:t xml:space="preserve"> </w:t>
            </w:r>
            <w:r>
              <w:rPr>
                <w:b/>
                <w:color w:val="231F20"/>
                <w:spacing w:val="-2"/>
                <w:sz w:val="24"/>
              </w:rPr>
              <w:t>Borrowings</w:t>
            </w:r>
          </w:p>
        </w:tc>
        <w:tc>
          <w:tcPr>
            <w:tcW w:w="1134" w:type="dxa"/>
            <w:tcBorders>
              <w:top w:val="single" w:sz="4" w:space="0" w:color="231F20"/>
              <w:bottom w:val="single" w:sz="4" w:space="0" w:color="231F20"/>
            </w:tcBorders>
            <w:shd w:val="clear" w:color="auto" w:fill="E6E7E8"/>
          </w:tcPr>
          <w:p w14:paraId="6EA7A14A" w14:textId="77777777" w:rsidR="00345EE3" w:rsidRDefault="00345EE3" w:rsidP="00D73130">
            <w:pPr>
              <w:pStyle w:val="TableParagraph"/>
              <w:spacing w:before="58"/>
              <w:rPr>
                <w:b/>
                <w:sz w:val="24"/>
              </w:rPr>
            </w:pPr>
            <w:r>
              <w:rPr>
                <w:b/>
                <w:color w:val="231F20"/>
                <w:spacing w:val="-2"/>
                <w:sz w:val="24"/>
              </w:rPr>
              <w:t>1,768,836</w:t>
            </w:r>
          </w:p>
        </w:tc>
        <w:tc>
          <w:tcPr>
            <w:tcW w:w="1134" w:type="dxa"/>
            <w:tcBorders>
              <w:top w:val="single" w:sz="4" w:space="0" w:color="231F20"/>
              <w:bottom w:val="single" w:sz="4" w:space="0" w:color="231F20"/>
              <w:right w:val="nil"/>
            </w:tcBorders>
          </w:tcPr>
          <w:p w14:paraId="2FE3803B" w14:textId="77777777" w:rsidR="00345EE3" w:rsidRDefault="00345EE3" w:rsidP="00D73130">
            <w:pPr>
              <w:pStyle w:val="TableParagraph"/>
              <w:spacing w:before="58"/>
              <w:ind w:right="-15"/>
              <w:rPr>
                <w:b/>
                <w:sz w:val="24"/>
              </w:rPr>
            </w:pPr>
            <w:r>
              <w:rPr>
                <w:b/>
                <w:color w:val="231F20"/>
                <w:spacing w:val="-2"/>
                <w:sz w:val="24"/>
              </w:rPr>
              <w:t>1,783,634</w:t>
            </w:r>
          </w:p>
        </w:tc>
      </w:tr>
      <w:tr w:rsidR="00345EE3" w14:paraId="2C26A1E8" w14:textId="77777777" w:rsidTr="00D73130">
        <w:trPr>
          <w:trHeight w:val="386"/>
        </w:trPr>
        <w:tc>
          <w:tcPr>
            <w:tcW w:w="7937" w:type="dxa"/>
            <w:tcBorders>
              <w:top w:val="single" w:sz="4" w:space="0" w:color="231F20"/>
              <w:left w:val="nil"/>
              <w:bottom w:val="single" w:sz="8" w:space="0" w:color="231F20"/>
            </w:tcBorders>
          </w:tcPr>
          <w:p w14:paraId="376432DD"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8"/>
                <w:sz w:val="24"/>
              </w:rPr>
              <w:t xml:space="preserve"> </w:t>
            </w:r>
            <w:r>
              <w:rPr>
                <w:b/>
                <w:color w:val="231F20"/>
                <w:spacing w:val="-2"/>
                <w:sz w:val="24"/>
              </w:rPr>
              <w:t>Borrowings</w:t>
            </w:r>
          </w:p>
        </w:tc>
        <w:tc>
          <w:tcPr>
            <w:tcW w:w="1134" w:type="dxa"/>
            <w:tcBorders>
              <w:top w:val="single" w:sz="4" w:space="0" w:color="231F20"/>
              <w:bottom w:val="single" w:sz="8" w:space="0" w:color="231F20"/>
            </w:tcBorders>
            <w:shd w:val="clear" w:color="auto" w:fill="E6E7E8"/>
          </w:tcPr>
          <w:p w14:paraId="1A001E15" w14:textId="77777777" w:rsidR="00345EE3" w:rsidRDefault="00345EE3" w:rsidP="00D73130">
            <w:pPr>
              <w:pStyle w:val="TableParagraph"/>
              <w:spacing w:before="58"/>
              <w:rPr>
                <w:b/>
                <w:sz w:val="24"/>
              </w:rPr>
            </w:pPr>
            <w:r>
              <w:rPr>
                <w:b/>
                <w:color w:val="231F20"/>
                <w:spacing w:val="-2"/>
                <w:sz w:val="24"/>
              </w:rPr>
              <w:t>1,861,468</w:t>
            </w:r>
          </w:p>
        </w:tc>
        <w:tc>
          <w:tcPr>
            <w:tcW w:w="1134" w:type="dxa"/>
            <w:tcBorders>
              <w:top w:val="single" w:sz="4" w:space="0" w:color="231F20"/>
              <w:bottom w:val="single" w:sz="8" w:space="0" w:color="231F20"/>
              <w:right w:val="nil"/>
            </w:tcBorders>
          </w:tcPr>
          <w:p w14:paraId="118EBE49" w14:textId="77777777" w:rsidR="00345EE3" w:rsidRDefault="00345EE3" w:rsidP="00D73130">
            <w:pPr>
              <w:pStyle w:val="TableParagraph"/>
              <w:spacing w:before="58"/>
              <w:ind w:right="-15"/>
              <w:rPr>
                <w:b/>
                <w:sz w:val="24"/>
              </w:rPr>
            </w:pPr>
            <w:r>
              <w:rPr>
                <w:b/>
                <w:color w:val="231F20"/>
                <w:spacing w:val="-2"/>
                <w:sz w:val="24"/>
              </w:rPr>
              <w:t>1,888,860</w:t>
            </w:r>
          </w:p>
        </w:tc>
      </w:tr>
    </w:tbl>
    <w:p w14:paraId="611DFB46" w14:textId="77777777" w:rsidR="00345EE3" w:rsidRPr="000C71FB" w:rsidRDefault="00345EE3" w:rsidP="00345EE3">
      <w:pPr>
        <w:spacing w:before="78"/>
        <w:ind w:left="110"/>
        <w:rPr>
          <w:rFonts w:ascii="Arial-BoldItalicMT"/>
          <w:b/>
          <w:i/>
          <w:sz w:val="18"/>
          <w:szCs w:val="18"/>
        </w:rPr>
      </w:pPr>
      <w:r w:rsidRPr="000C71FB">
        <w:rPr>
          <w:rFonts w:ascii="Arial-BoldItalicMT"/>
          <w:b/>
          <w:i/>
          <w:color w:val="231F20"/>
          <w:spacing w:val="-2"/>
          <w:sz w:val="18"/>
          <w:szCs w:val="18"/>
        </w:rPr>
        <w:t>Notes:</w:t>
      </w:r>
    </w:p>
    <w:p w14:paraId="563D9CE5" w14:textId="77777777" w:rsidR="00345EE3" w:rsidRPr="000C71FB" w:rsidRDefault="00345EE3" w:rsidP="00345EE3">
      <w:pPr>
        <w:spacing w:before="28"/>
        <w:ind w:left="337" w:right="109" w:hanging="227"/>
        <w:rPr>
          <w:sz w:val="18"/>
          <w:szCs w:val="18"/>
        </w:rPr>
      </w:pPr>
      <w:r w:rsidRPr="000C71FB">
        <w:rPr>
          <w:color w:val="231F20"/>
          <w:sz w:val="18"/>
          <w:szCs w:val="18"/>
        </w:rPr>
        <w:t>(a)</w:t>
      </w:r>
      <w:r w:rsidRPr="000C71FB">
        <w:rPr>
          <w:color w:val="231F20"/>
          <w:spacing w:val="27"/>
          <w:sz w:val="18"/>
          <w:szCs w:val="18"/>
        </w:rPr>
        <w:t xml:space="preserve"> </w:t>
      </w:r>
      <w:r w:rsidRPr="000C71FB">
        <w:rPr>
          <w:color w:val="231F20"/>
          <w:sz w:val="18"/>
          <w:szCs w:val="18"/>
        </w:rPr>
        <w:t>For</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motor</w:t>
      </w:r>
      <w:r w:rsidRPr="000C71FB">
        <w:rPr>
          <w:color w:val="231F20"/>
          <w:spacing w:val="-2"/>
          <w:sz w:val="18"/>
          <w:szCs w:val="18"/>
        </w:rPr>
        <w:t xml:space="preserve"> </w:t>
      </w:r>
      <w:r w:rsidRPr="000C71FB">
        <w:rPr>
          <w:color w:val="231F20"/>
          <w:sz w:val="18"/>
          <w:szCs w:val="18"/>
        </w:rPr>
        <w:t>vehicles</w:t>
      </w:r>
      <w:r w:rsidRPr="000C71FB">
        <w:rPr>
          <w:color w:val="231F20"/>
          <w:spacing w:val="-2"/>
          <w:sz w:val="18"/>
          <w:szCs w:val="18"/>
        </w:rPr>
        <w:t xml:space="preserve"> </w:t>
      </w:r>
      <w:r w:rsidRPr="000C71FB">
        <w:rPr>
          <w:color w:val="231F20"/>
          <w:sz w:val="18"/>
          <w:szCs w:val="18"/>
        </w:rPr>
        <w:t>leased,</w:t>
      </w:r>
      <w:r w:rsidRPr="000C71FB">
        <w:rPr>
          <w:color w:val="231F20"/>
          <w:spacing w:val="-2"/>
          <w:sz w:val="18"/>
          <w:szCs w:val="18"/>
        </w:rPr>
        <w:t xml:space="preserve"> </w:t>
      </w:r>
      <w:r w:rsidRPr="000C71FB">
        <w:rPr>
          <w:color w:val="231F20"/>
          <w:sz w:val="18"/>
          <w:szCs w:val="18"/>
        </w:rPr>
        <w:t>they</w:t>
      </w:r>
      <w:r w:rsidRPr="000C71FB">
        <w:rPr>
          <w:color w:val="231F20"/>
          <w:spacing w:val="-2"/>
          <w:sz w:val="18"/>
          <w:szCs w:val="18"/>
        </w:rPr>
        <w:t xml:space="preserve"> </w:t>
      </w:r>
      <w:r w:rsidRPr="000C71FB">
        <w:rPr>
          <w:color w:val="231F20"/>
          <w:sz w:val="18"/>
          <w:szCs w:val="18"/>
        </w:rPr>
        <w:t>are</w:t>
      </w:r>
      <w:r w:rsidRPr="000C71FB">
        <w:rPr>
          <w:color w:val="231F20"/>
          <w:spacing w:val="-2"/>
          <w:sz w:val="18"/>
          <w:szCs w:val="18"/>
        </w:rPr>
        <w:t xml:space="preserve"> </w:t>
      </w:r>
      <w:r w:rsidRPr="000C71FB">
        <w:rPr>
          <w:color w:val="231F20"/>
          <w:sz w:val="18"/>
          <w:szCs w:val="18"/>
        </w:rPr>
        <w:t>secured</w:t>
      </w:r>
      <w:r w:rsidRPr="000C71FB">
        <w:rPr>
          <w:color w:val="231F20"/>
          <w:spacing w:val="-2"/>
          <w:sz w:val="18"/>
          <w:szCs w:val="18"/>
        </w:rPr>
        <w:t xml:space="preserve"> </w:t>
      </w:r>
      <w:r w:rsidRPr="000C71FB">
        <w:rPr>
          <w:color w:val="231F20"/>
          <w:sz w:val="18"/>
          <w:szCs w:val="18"/>
        </w:rPr>
        <w:t>by</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leased</w:t>
      </w:r>
      <w:r w:rsidRPr="000C71FB">
        <w:rPr>
          <w:color w:val="231F20"/>
          <w:spacing w:val="-2"/>
          <w:sz w:val="18"/>
          <w:szCs w:val="18"/>
        </w:rPr>
        <w:t xml:space="preserve"> </w:t>
      </w:r>
      <w:r w:rsidRPr="000C71FB">
        <w:rPr>
          <w:color w:val="231F20"/>
          <w:sz w:val="18"/>
          <w:szCs w:val="18"/>
        </w:rPr>
        <w:t>assets.</w:t>
      </w:r>
      <w:r w:rsidRPr="000C71FB">
        <w:rPr>
          <w:color w:val="231F20"/>
          <w:spacing w:val="-2"/>
          <w:sz w:val="18"/>
          <w:szCs w:val="18"/>
        </w:rPr>
        <w:t xml:space="preserve"> </w:t>
      </w:r>
      <w:r w:rsidRPr="000C71FB">
        <w:rPr>
          <w:color w:val="231F20"/>
          <w:sz w:val="18"/>
          <w:szCs w:val="18"/>
        </w:rPr>
        <w:t>In</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event</w:t>
      </w:r>
      <w:r w:rsidRPr="000C71FB">
        <w:rPr>
          <w:color w:val="231F20"/>
          <w:spacing w:val="-2"/>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a</w:t>
      </w:r>
      <w:r w:rsidRPr="000C71FB">
        <w:rPr>
          <w:color w:val="231F20"/>
          <w:spacing w:val="-2"/>
          <w:sz w:val="18"/>
          <w:szCs w:val="18"/>
        </w:rPr>
        <w:t xml:space="preserve"> </w:t>
      </w:r>
      <w:r w:rsidRPr="000C71FB">
        <w:rPr>
          <w:color w:val="231F20"/>
          <w:sz w:val="18"/>
          <w:szCs w:val="18"/>
        </w:rPr>
        <w:t>default,</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leased</w:t>
      </w:r>
      <w:r w:rsidRPr="000C71FB">
        <w:rPr>
          <w:color w:val="231F20"/>
          <w:spacing w:val="-2"/>
          <w:sz w:val="18"/>
          <w:szCs w:val="18"/>
        </w:rPr>
        <w:t xml:space="preserve"> </w:t>
      </w:r>
      <w:r w:rsidRPr="000C71FB">
        <w:rPr>
          <w:color w:val="231F20"/>
          <w:sz w:val="18"/>
          <w:szCs w:val="18"/>
        </w:rPr>
        <w:t>assets</w:t>
      </w:r>
      <w:r w:rsidRPr="000C71FB">
        <w:rPr>
          <w:color w:val="231F20"/>
          <w:spacing w:val="-2"/>
          <w:sz w:val="18"/>
          <w:szCs w:val="18"/>
        </w:rPr>
        <w:t xml:space="preserve"> </w:t>
      </w:r>
      <w:r w:rsidRPr="000C71FB">
        <w:rPr>
          <w:color w:val="231F20"/>
          <w:sz w:val="18"/>
          <w:szCs w:val="18"/>
        </w:rPr>
        <w:t>revert</w:t>
      </w:r>
      <w:r w:rsidRPr="000C71FB">
        <w:rPr>
          <w:color w:val="231F20"/>
          <w:spacing w:val="-2"/>
          <w:sz w:val="18"/>
          <w:szCs w:val="18"/>
        </w:rPr>
        <w:t xml:space="preserve"> </w:t>
      </w:r>
      <w:r w:rsidRPr="000C71FB">
        <w:rPr>
          <w:color w:val="231F20"/>
          <w:sz w:val="18"/>
          <w:szCs w:val="18"/>
        </w:rPr>
        <w:t>to</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lessor.</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lease</w:t>
      </w:r>
      <w:r w:rsidRPr="000C71FB">
        <w:rPr>
          <w:color w:val="231F20"/>
          <w:spacing w:val="-2"/>
          <w:sz w:val="18"/>
          <w:szCs w:val="18"/>
        </w:rPr>
        <w:t xml:space="preserve"> </w:t>
      </w:r>
      <w:r w:rsidRPr="000C71FB">
        <w:rPr>
          <w:color w:val="231F20"/>
          <w:sz w:val="18"/>
          <w:szCs w:val="18"/>
        </w:rPr>
        <w:t>liabilities</w:t>
      </w:r>
      <w:r w:rsidRPr="000C71FB">
        <w:rPr>
          <w:color w:val="231F20"/>
          <w:spacing w:val="-2"/>
          <w:sz w:val="18"/>
          <w:szCs w:val="18"/>
        </w:rPr>
        <w:t xml:space="preserve"> </w:t>
      </w:r>
      <w:r w:rsidRPr="000C71FB">
        <w:rPr>
          <w:color w:val="231F20"/>
          <w:sz w:val="18"/>
          <w:szCs w:val="18"/>
        </w:rPr>
        <w:t>relating</w:t>
      </w:r>
      <w:r w:rsidRPr="000C71FB">
        <w:rPr>
          <w:color w:val="231F20"/>
          <w:spacing w:val="40"/>
          <w:sz w:val="18"/>
          <w:szCs w:val="18"/>
        </w:rPr>
        <w:t xml:space="preserve"> </w:t>
      </w:r>
      <w:r w:rsidRPr="000C71FB">
        <w:rPr>
          <w:color w:val="231F20"/>
          <w:sz w:val="18"/>
          <w:szCs w:val="18"/>
        </w:rPr>
        <w:t>to motor vehicles as at 30 June 2022 is $131.2 million (2021: $114.2 million).</w:t>
      </w:r>
    </w:p>
    <w:p w14:paraId="14B8EFAF" w14:textId="77777777" w:rsidR="00345EE3" w:rsidRDefault="00345EE3" w:rsidP="00345EE3">
      <w:pPr>
        <w:pStyle w:val="BodyText"/>
        <w:spacing w:before="137"/>
      </w:pPr>
      <w:r>
        <w:rPr>
          <w:b/>
          <w:color w:val="231F20"/>
        </w:rPr>
        <w:t>Borrowings</w:t>
      </w:r>
      <w:r>
        <w:rPr>
          <w:b/>
          <w:color w:val="231F20"/>
          <w:spacing w:val="-13"/>
        </w:rPr>
        <w:t xml:space="preserve"> </w:t>
      </w:r>
      <w:r>
        <w:rPr>
          <w:color w:val="231F20"/>
        </w:rPr>
        <w:t>refer</w:t>
      </w:r>
      <w:r>
        <w:rPr>
          <w:color w:val="231F20"/>
          <w:spacing w:val="-9"/>
        </w:rPr>
        <w:t xml:space="preserve"> </w:t>
      </w:r>
      <w:r>
        <w:rPr>
          <w:color w:val="231F20"/>
        </w:rPr>
        <w:t>to</w:t>
      </w:r>
      <w:r>
        <w:rPr>
          <w:color w:val="231F20"/>
          <w:spacing w:val="-9"/>
        </w:rPr>
        <w:t xml:space="preserve"> </w:t>
      </w:r>
      <w:r>
        <w:rPr>
          <w:color w:val="231F20"/>
        </w:rPr>
        <w:t>interest</w:t>
      </w:r>
      <w:r>
        <w:rPr>
          <w:color w:val="231F20"/>
          <w:spacing w:val="-9"/>
        </w:rPr>
        <w:t xml:space="preserve"> </w:t>
      </w:r>
      <w:r>
        <w:rPr>
          <w:color w:val="231F20"/>
        </w:rPr>
        <w:t>bearing</w:t>
      </w:r>
      <w:r>
        <w:rPr>
          <w:color w:val="231F20"/>
          <w:spacing w:val="-10"/>
        </w:rPr>
        <w:t xml:space="preserve"> </w:t>
      </w:r>
      <w:r>
        <w:rPr>
          <w:color w:val="231F20"/>
        </w:rPr>
        <w:t>liabilities</w:t>
      </w:r>
      <w:r>
        <w:rPr>
          <w:color w:val="231F20"/>
          <w:spacing w:val="-9"/>
        </w:rPr>
        <w:t xml:space="preserve"> </w:t>
      </w:r>
      <w:r>
        <w:rPr>
          <w:color w:val="231F20"/>
        </w:rPr>
        <w:t>arising</w:t>
      </w:r>
      <w:r>
        <w:rPr>
          <w:color w:val="231F20"/>
          <w:spacing w:val="-9"/>
        </w:rPr>
        <w:t xml:space="preserve"> </w:t>
      </w:r>
      <w:r>
        <w:rPr>
          <w:color w:val="231F20"/>
        </w:rPr>
        <w:t>from</w:t>
      </w:r>
      <w:r>
        <w:rPr>
          <w:color w:val="231F20"/>
          <w:spacing w:val="-9"/>
        </w:rPr>
        <w:t xml:space="preserve"> </w:t>
      </w:r>
      <w:r>
        <w:rPr>
          <w:color w:val="231F20"/>
        </w:rPr>
        <w:t>lease</w:t>
      </w:r>
      <w:r>
        <w:rPr>
          <w:color w:val="231F20"/>
          <w:spacing w:val="-9"/>
        </w:rPr>
        <w:t xml:space="preserve"> </w:t>
      </w:r>
      <w:r>
        <w:rPr>
          <w:color w:val="231F20"/>
          <w:spacing w:val="-2"/>
        </w:rPr>
        <w:t>liabilities.</w:t>
      </w:r>
    </w:p>
    <w:p w14:paraId="15CFD508" w14:textId="77777777" w:rsidR="00345EE3" w:rsidRDefault="00345EE3" w:rsidP="00345EE3">
      <w:pPr>
        <w:pStyle w:val="BodyText"/>
        <w:spacing w:before="118" w:line="242" w:lineRule="auto"/>
      </w:pPr>
      <w:r>
        <w:rPr>
          <w:color w:val="231F20"/>
        </w:rPr>
        <w:t>Borrowings are classified as financial instruments. Interest bearing liabilities are classified at amortised cost. All interest-bearing borrowings are initially recognised at the fair value of the consideration</w:t>
      </w:r>
      <w:r>
        <w:rPr>
          <w:color w:val="231F20"/>
          <w:spacing w:val="-12"/>
        </w:rPr>
        <w:t xml:space="preserve"> </w:t>
      </w:r>
      <w:r>
        <w:rPr>
          <w:color w:val="231F20"/>
        </w:rPr>
        <w:t>received</w:t>
      </w:r>
      <w:r>
        <w:rPr>
          <w:color w:val="231F20"/>
          <w:spacing w:val="-12"/>
        </w:rPr>
        <w:t xml:space="preserve"> </w:t>
      </w:r>
      <w:r>
        <w:rPr>
          <w:color w:val="231F20"/>
        </w:rPr>
        <w:t>less</w:t>
      </w:r>
      <w:r>
        <w:rPr>
          <w:color w:val="231F20"/>
          <w:spacing w:val="-11"/>
        </w:rPr>
        <w:t xml:space="preserve"> </w:t>
      </w:r>
      <w:r>
        <w:rPr>
          <w:color w:val="231F20"/>
        </w:rPr>
        <w:t>directly</w:t>
      </w:r>
      <w:r>
        <w:rPr>
          <w:color w:val="231F20"/>
          <w:spacing w:val="-11"/>
        </w:rPr>
        <w:t xml:space="preserve"> </w:t>
      </w:r>
      <w:r>
        <w:rPr>
          <w:color w:val="231F20"/>
        </w:rPr>
        <w:t>attributable</w:t>
      </w:r>
      <w:r>
        <w:rPr>
          <w:color w:val="231F20"/>
          <w:spacing w:val="-12"/>
        </w:rPr>
        <w:t xml:space="preserve"> </w:t>
      </w:r>
      <w:r>
        <w:rPr>
          <w:color w:val="231F20"/>
        </w:rPr>
        <w:t>transaction</w:t>
      </w:r>
      <w:r>
        <w:rPr>
          <w:color w:val="231F20"/>
          <w:spacing w:val="-12"/>
        </w:rPr>
        <w:t xml:space="preserve"> </w:t>
      </w:r>
      <w:r>
        <w:rPr>
          <w:color w:val="231F20"/>
        </w:rPr>
        <w:t>costs</w:t>
      </w:r>
      <w:r>
        <w:rPr>
          <w:color w:val="231F20"/>
          <w:spacing w:val="-11"/>
        </w:rPr>
        <w:t xml:space="preserve"> </w:t>
      </w:r>
      <w:r>
        <w:rPr>
          <w:color w:val="231F20"/>
        </w:rPr>
        <w:t>and</w:t>
      </w:r>
      <w:r>
        <w:rPr>
          <w:color w:val="231F20"/>
          <w:spacing w:val="-12"/>
        </w:rPr>
        <w:t xml:space="preserve"> </w:t>
      </w:r>
      <w:r>
        <w:rPr>
          <w:color w:val="231F20"/>
        </w:rPr>
        <w:t>subsequently</w:t>
      </w:r>
      <w:r>
        <w:rPr>
          <w:color w:val="231F20"/>
          <w:spacing w:val="-11"/>
        </w:rPr>
        <w:t xml:space="preserve"> </w:t>
      </w:r>
      <w:r>
        <w:rPr>
          <w:color w:val="231F20"/>
        </w:rPr>
        <w:t>measured</w:t>
      </w:r>
      <w:r>
        <w:rPr>
          <w:color w:val="231F20"/>
          <w:spacing w:val="-12"/>
        </w:rPr>
        <w:t xml:space="preserve"> </w:t>
      </w:r>
      <w:r>
        <w:rPr>
          <w:color w:val="231F20"/>
        </w:rPr>
        <w:t>at amortised cost using the effective interest method.</w:t>
      </w:r>
    </w:p>
    <w:p w14:paraId="612C602E" w14:textId="51D968B2" w:rsidR="00345EE3" w:rsidRDefault="00345EE3" w:rsidP="00345EE3">
      <w:pPr>
        <w:rPr>
          <w:color w:val="231F20"/>
          <w:sz w:val="24"/>
          <w:szCs w:val="24"/>
        </w:rPr>
      </w:pPr>
    </w:p>
    <w:p w14:paraId="7E72C177" w14:textId="77777777" w:rsidR="00345EE3" w:rsidRDefault="00345EE3" w:rsidP="00345EE3">
      <w:pPr>
        <w:pStyle w:val="BodyText"/>
        <w:spacing w:before="118" w:line="242" w:lineRule="auto"/>
        <w:ind w:right="687"/>
      </w:pPr>
      <w:r>
        <w:rPr>
          <w:color w:val="231F20"/>
        </w:rPr>
        <w:t>Please</w:t>
      </w:r>
      <w:r>
        <w:rPr>
          <w:color w:val="231F20"/>
          <w:spacing w:val="-13"/>
        </w:rPr>
        <w:t xml:space="preserve"> </w:t>
      </w:r>
      <w:r>
        <w:rPr>
          <w:color w:val="231F20"/>
        </w:rPr>
        <w:t>refer</w:t>
      </w:r>
      <w:r>
        <w:rPr>
          <w:color w:val="231F20"/>
          <w:spacing w:val="-12"/>
        </w:rPr>
        <w:t xml:space="preserve"> </w:t>
      </w:r>
      <w:r>
        <w:rPr>
          <w:color w:val="231F20"/>
        </w:rPr>
        <w:t>to</w:t>
      </w:r>
      <w:r>
        <w:rPr>
          <w:color w:val="231F20"/>
          <w:spacing w:val="-13"/>
        </w:rPr>
        <w:t xml:space="preserve"> </w:t>
      </w:r>
      <w:r>
        <w:rPr>
          <w:color w:val="231F20"/>
        </w:rPr>
        <w:t>Note</w:t>
      </w:r>
      <w:r>
        <w:rPr>
          <w:color w:val="231F20"/>
          <w:spacing w:val="-13"/>
        </w:rPr>
        <w:t xml:space="preserve"> </w:t>
      </w:r>
      <w:r>
        <w:rPr>
          <w:color w:val="231F20"/>
        </w:rPr>
        <w:t>8.1.2</w:t>
      </w:r>
      <w:r>
        <w:rPr>
          <w:color w:val="231F20"/>
          <w:spacing w:val="-13"/>
        </w:rPr>
        <w:t xml:space="preserve"> </w:t>
      </w:r>
      <w:r>
        <w:rPr>
          <w:color w:val="231F20"/>
        </w:rPr>
        <w:t>Financial</w:t>
      </w:r>
      <w:r>
        <w:rPr>
          <w:color w:val="231F20"/>
          <w:spacing w:val="-13"/>
        </w:rPr>
        <w:t xml:space="preserve"> </w:t>
      </w:r>
      <w:r>
        <w:rPr>
          <w:color w:val="231F20"/>
        </w:rPr>
        <w:t>Risk</w:t>
      </w:r>
      <w:r>
        <w:rPr>
          <w:color w:val="231F20"/>
          <w:spacing w:val="-12"/>
        </w:rPr>
        <w:t xml:space="preserve"> </w:t>
      </w:r>
      <w:r>
        <w:rPr>
          <w:color w:val="231F20"/>
        </w:rPr>
        <w:t>Management</w:t>
      </w:r>
      <w:r>
        <w:rPr>
          <w:color w:val="231F20"/>
          <w:spacing w:val="-12"/>
        </w:rPr>
        <w:t xml:space="preserve"> </w:t>
      </w:r>
      <w:r>
        <w:rPr>
          <w:color w:val="231F20"/>
        </w:rPr>
        <w:t>Objectives</w:t>
      </w:r>
      <w:r>
        <w:rPr>
          <w:color w:val="231F20"/>
          <w:spacing w:val="-12"/>
        </w:rPr>
        <w:t xml:space="preserve"> </w:t>
      </w:r>
      <w:r>
        <w:rPr>
          <w:color w:val="231F20"/>
        </w:rPr>
        <w:t>and</w:t>
      </w:r>
      <w:r>
        <w:rPr>
          <w:color w:val="231F20"/>
          <w:spacing w:val="-13"/>
        </w:rPr>
        <w:t xml:space="preserve"> </w:t>
      </w:r>
      <w:r>
        <w:rPr>
          <w:color w:val="231F20"/>
        </w:rPr>
        <w:t>Policies</w:t>
      </w:r>
      <w:r>
        <w:rPr>
          <w:color w:val="231F20"/>
          <w:spacing w:val="-12"/>
        </w:rPr>
        <w:t xml:space="preserve"> </w:t>
      </w:r>
      <w:r>
        <w:rPr>
          <w:color w:val="231F20"/>
        </w:rPr>
        <w:t>for</w:t>
      </w:r>
      <w:r>
        <w:rPr>
          <w:color w:val="231F20"/>
          <w:spacing w:val="-12"/>
        </w:rPr>
        <w:t xml:space="preserve"> </w:t>
      </w:r>
      <w:r>
        <w:rPr>
          <w:color w:val="231F20"/>
        </w:rPr>
        <w:t>Maturity Analysis of Contractual Financial Liabilities.</w:t>
      </w:r>
    </w:p>
    <w:p w14:paraId="1374DCA2" w14:textId="77777777" w:rsidR="00345EE3" w:rsidRDefault="00345EE3" w:rsidP="00345EE3">
      <w:pPr>
        <w:pStyle w:val="Heading5"/>
        <w:spacing w:before="173" w:after="19"/>
      </w:pPr>
      <w:r>
        <w:rPr>
          <w:color w:val="58595B"/>
        </w:rPr>
        <w:t xml:space="preserve">Interest </w:t>
      </w:r>
      <w:r>
        <w:rPr>
          <w:color w:val="58595B"/>
          <w:spacing w:val="-2"/>
        </w:rPr>
        <w:t>Expense</w:t>
      </w:r>
    </w:p>
    <w:tbl>
      <w:tblPr>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37"/>
        <w:gridCol w:w="1134"/>
        <w:gridCol w:w="1134"/>
      </w:tblGrid>
      <w:tr w:rsidR="00345EE3" w14:paraId="5A9A84C3" w14:textId="77777777" w:rsidTr="00D73130">
        <w:trPr>
          <w:trHeight w:val="802"/>
        </w:trPr>
        <w:tc>
          <w:tcPr>
            <w:tcW w:w="10205" w:type="dxa"/>
            <w:gridSpan w:val="3"/>
            <w:tcBorders>
              <w:top w:val="nil"/>
              <w:left w:val="nil"/>
              <w:bottom w:val="nil"/>
              <w:right w:val="nil"/>
            </w:tcBorders>
            <w:shd w:val="clear" w:color="auto" w:fill="00529F"/>
          </w:tcPr>
          <w:p w14:paraId="0540E3A2"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p w14:paraId="25697AD8" w14:textId="77777777" w:rsidR="00345EE3" w:rsidRDefault="00345EE3" w:rsidP="00D73130">
            <w:pPr>
              <w:pStyle w:val="TableParagraph"/>
              <w:tabs>
                <w:tab w:val="left" w:pos="1136"/>
              </w:tabs>
              <w:spacing w:before="125"/>
              <w:ind w:right="1"/>
              <w:rPr>
                <w:b/>
                <w:sz w:val="24"/>
              </w:rPr>
            </w:pPr>
            <w:r>
              <w:rPr>
                <w:b/>
                <w:color w:val="FFFFFF"/>
                <w:spacing w:val="-4"/>
                <w:sz w:val="24"/>
              </w:rPr>
              <w:t>2022</w:t>
            </w:r>
            <w:r>
              <w:rPr>
                <w:b/>
                <w:color w:val="FFFFFF"/>
                <w:sz w:val="24"/>
              </w:rPr>
              <w:tab/>
            </w:r>
            <w:r>
              <w:rPr>
                <w:b/>
                <w:color w:val="FFFFFF"/>
                <w:spacing w:val="-4"/>
                <w:sz w:val="24"/>
              </w:rPr>
              <w:t>2021</w:t>
            </w:r>
          </w:p>
        </w:tc>
      </w:tr>
      <w:tr w:rsidR="00345EE3" w14:paraId="3509A0D6" w14:textId="77777777" w:rsidTr="00D73130">
        <w:trPr>
          <w:trHeight w:val="394"/>
        </w:trPr>
        <w:tc>
          <w:tcPr>
            <w:tcW w:w="7937" w:type="dxa"/>
            <w:tcBorders>
              <w:top w:val="nil"/>
              <w:left w:val="nil"/>
              <w:right w:val="single" w:sz="2" w:space="0" w:color="939598"/>
            </w:tcBorders>
          </w:tcPr>
          <w:p w14:paraId="74E413F0" w14:textId="77777777" w:rsidR="00345EE3" w:rsidRDefault="00345EE3" w:rsidP="00D73130">
            <w:pPr>
              <w:pStyle w:val="TableParagraph"/>
              <w:ind w:left="-3"/>
              <w:jc w:val="left"/>
              <w:rPr>
                <w:sz w:val="24"/>
              </w:rPr>
            </w:pPr>
            <w:r>
              <w:rPr>
                <w:color w:val="231F20"/>
                <w:sz w:val="24"/>
              </w:rPr>
              <w:t>Interest</w:t>
            </w:r>
            <w:r>
              <w:rPr>
                <w:color w:val="231F20"/>
                <w:spacing w:val="-4"/>
                <w:sz w:val="24"/>
              </w:rPr>
              <w:t xml:space="preserve"> </w:t>
            </w:r>
            <w:r>
              <w:rPr>
                <w:color w:val="231F20"/>
                <w:sz w:val="24"/>
              </w:rPr>
              <w:t>on</w:t>
            </w:r>
            <w:r>
              <w:rPr>
                <w:color w:val="231F20"/>
                <w:spacing w:val="-3"/>
                <w:sz w:val="24"/>
              </w:rPr>
              <w:t xml:space="preserve"> </w:t>
            </w:r>
            <w:r>
              <w:rPr>
                <w:color w:val="231F20"/>
                <w:sz w:val="24"/>
              </w:rPr>
              <w:t>lease</w:t>
            </w:r>
            <w:r>
              <w:rPr>
                <w:color w:val="231F20"/>
                <w:spacing w:val="-2"/>
                <w:sz w:val="24"/>
              </w:rPr>
              <w:t xml:space="preserve"> liabilities</w:t>
            </w:r>
          </w:p>
        </w:tc>
        <w:tc>
          <w:tcPr>
            <w:tcW w:w="1134" w:type="dxa"/>
            <w:tcBorders>
              <w:top w:val="nil"/>
              <w:left w:val="single" w:sz="2" w:space="0" w:color="939598"/>
              <w:right w:val="single" w:sz="2" w:space="0" w:color="939598"/>
            </w:tcBorders>
            <w:shd w:val="clear" w:color="auto" w:fill="E6E7E8"/>
          </w:tcPr>
          <w:p w14:paraId="6CDDDBFD" w14:textId="77777777" w:rsidR="00345EE3" w:rsidRDefault="00345EE3" w:rsidP="00D73130">
            <w:pPr>
              <w:pStyle w:val="TableParagraph"/>
              <w:ind w:right="2"/>
              <w:rPr>
                <w:sz w:val="24"/>
              </w:rPr>
            </w:pPr>
            <w:r>
              <w:rPr>
                <w:color w:val="231F20"/>
                <w:spacing w:val="-2"/>
                <w:sz w:val="24"/>
              </w:rPr>
              <w:t>61,320</w:t>
            </w:r>
          </w:p>
        </w:tc>
        <w:tc>
          <w:tcPr>
            <w:tcW w:w="1134" w:type="dxa"/>
            <w:tcBorders>
              <w:top w:val="nil"/>
              <w:left w:val="single" w:sz="2" w:space="0" w:color="939598"/>
              <w:right w:val="nil"/>
            </w:tcBorders>
          </w:tcPr>
          <w:p w14:paraId="164D7837" w14:textId="77777777" w:rsidR="00345EE3" w:rsidRDefault="00345EE3" w:rsidP="00D73130">
            <w:pPr>
              <w:pStyle w:val="TableParagraph"/>
              <w:rPr>
                <w:sz w:val="24"/>
              </w:rPr>
            </w:pPr>
            <w:r>
              <w:rPr>
                <w:color w:val="231F20"/>
                <w:spacing w:val="-2"/>
                <w:sz w:val="24"/>
              </w:rPr>
              <w:t>63,237</w:t>
            </w:r>
          </w:p>
        </w:tc>
      </w:tr>
      <w:tr w:rsidR="00345EE3" w14:paraId="38921558" w14:textId="77777777" w:rsidTr="00D73130">
        <w:trPr>
          <w:trHeight w:val="386"/>
        </w:trPr>
        <w:tc>
          <w:tcPr>
            <w:tcW w:w="7937" w:type="dxa"/>
            <w:tcBorders>
              <w:left w:val="nil"/>
              <w:bottom w:val="single" w:sz="8" w:space="0" w:color="231F20"/>
              <w:right w:val="single" w:sz="2" w:space="0" w:color="939598"/>
            </w:tcBorders>
          </w:tcPr>
          <w:p w14:paraId="4D6BF6D3" w14:textId="77777777" w:rsidR="00345EE3" w:rsidRDefault="00345EE3" w:rsidP="00D73130">
            <w:pPr>
              <w:pStyle w:val="TableParagraph"/>
              <w:spacing w:before="58"/>
              <w:ind w:left="-3"/>
              <w:jc w:val="left"/>
              <w:rPr>
                <w:b/>
                <w:sz w:val="24"/>
              </w:rPr>
            </w:pPr>
            <w:r>
              <w:rPr>
                <w:b/>
                <w:color w:val="231F20"/>
                <w:sz w:val="24"/>
              </w:rPr>
              <w:t>Total</w:t>
            </w:r>
            <w:r>
              <w:rPr>
                <w:b/>
                <w:color w:val="231F20"/>
                <w:spacing w:val="-9"/>
                <w:sz w:val="24"/>
              </w:rPr>
              <w:t xml:space="preserve"> </w:t>
            </w:r>
            <w:r>
              <w:rPr>
                <w:b/>
                <w:color w:val="231F20"/>
                <w:sz w:val="24"/>
              </w:rPr>
              <w:t>Interest</w:t>
            </w:r>
            <w:r>
              <w:rPr>
                <w:b/>
                <w:color w:val="231F20"/>
                <w:spacing w:val="-9"/>
                <w:sz w:val="24"/>
              </w:rPr>
              <w:t xml:space="preserve"> </w:t>
            </w:r>
            <w:r>
              <w:rPr>
                <w:b/>
                <w:color w:val="231F20"/>
                <w:spacing w:val="-2"/>
                <w:sz w:val="24"/>
              </w:rPr>
              <w:t>Expense</w:t>
            </w:r>
          </w:p>
        </w:tc>
        <w:tc>
          <w:tcPr>
            <w:tcW w:w="1134" w:type="dxa"/>
            <w:tcBorders>
              <w:left w:val="single" w:sz="2" w:space="0" w:color="939598"/>
              <w:bottom w:val="single" w:sz="8" w:space="0" w:color="231F20"/>
              <w:right w:val="single" w:sz="2" w:space="0" w:color="939598"/>
            </w:tcBorders>
            <w:shd w:val="clear" w:color="auto" w:fill="E6E7E8"/>
          </w:tcPr>
          <w:p w14:paraId="41E8E8A0" w14:textId="77777777" w:rsidR="00345EE3" w:rsidRDefault="00345EE3" w:rsidP="00D73130">
            <w:pPr>
              <w:pStyle w:val="TableParagraph"/>
              <w:spacing w:before="58"/>
              <w:rPr>
                <w:b/>
                <w:sz w:val="24"/>
              </w:rPr>
            </w:pPr>
            <w:r>
              <w:rPr>
                <w:b/>
                <w:color w:val="231F20"/>
                <w:spacing w:val="-2"/>
                <w:sz w:val="24"/>
              </w:rPr>
              <w:t>61,320</w:t>
            </w:r>
          </w:p>
        </w:tc>
        <w:tc>
          <w:tcPr>
            <w:tcW w:w="1134" w:type="dxa"/>
            <w:tcBorders>
              <w:left w:val="single" w:sz="2" w:space="0" w:color="939598"/>
              <w:bottom w:val="single" w:sz="8" w:space="0" w:color="231F20"/>
              <w:right w:val="nil"/>
            </w:tcBorders>
          </w:tcPr>
          <w:p w14:paraId="1F311227" w14:textId="77777777" w:rsidR="00345EE3" w:rsidRDefault="00345EE3" w:rsidP="00D73130">
            <w:pPr>
              <w:pStyle w:val="TableParagraph"/>
              <w:spacing w:before="58"/>
              <w:ind w:right="-15"/>
              <w:rPr>
                <w:b/>
                <w:sz w:val="24"/>
              </w:rPr>
            </w:pPr>
            <w:r>
              <w:rPr>
                <w:b/>
                <w:color w:val="231F20"/>
                <w:spacing w:val="-2"/>
                <w:sz w:val="24"/>
              </w:rPr>
              <w:t>63,237</w:t>
            </w:r>
          </w:p>
        </w:tc>
      </w:tr>
    </w:tbl>
    <w:p w14:paraId="5749AD21" w14:textId="28F3E3E0" w:rsidR="0035186F" w:rsidRDefault="00345EE3" w:rsidP="00345EE3">
      <w:pPr>
        <w:pStyle w:val="BodyText"/>
        <w:spacing w:before="99" w:line="242" w:lineRule="auto"/>
        <w:rPr>
          <w:color w:val="231F20"/>
        </w:rPr>
      </w:pPr>
      <w:r>
        <w:rPr>
          <w:b/>
          <w:color w:val="231F20"/>
        </w:rPr>
        <w:t>Interest</w:t>
      </w:r>
      <w:r>
        <w:rPr>
          <w:b/>
          <w:color w:val="231F20"/>
          <w:spacing w:val="-11"/>
        </w:rPr>
        <w:t xml:space="preserve"> </w:t>
      </w:r>
      <w:r>
        <w:rPr>
          <w:b/>
          <w:color w:val="231F20"/>
        </w:rPr>
        <w:t>expense</w:t>
      </w:r>
      <w:r>
        <w:rPr>
          <w:b/>
          <w:color w:val="231F20"/>
          <w:spacing w:val="-12"/>
        </w:rPr>
        <w:t xml:space="preserve"> </w:t>
      </w:r>
      <w:r>
        <w:rPr>
          <w:color w:val="231F20"/>
        </w:rPr>
        <w:t>relates</w:t>
      </w:r>
      <w:r>
        <w:rPr>
          <w:color w:val="231F20"/>
          <w:spacing w:val="-11"/>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interest</w:t>
      </w:r>
      <w:r>
        <w:rPr>
          <w:color w:val="231F20"/>
          <w:spacing w:val="-11"/>
        </w:rPr>
        <w:t xml:space="preserve"> </w:t>
      </w:r>
      <w:r>
        <w:rPr>
          <w:color w:val="231F20"/>
        </w:rPr>
        <w:t>component</w:t>
      </w:r>
      <w:r>
        <w:rPr>
          <w:color w:val="231F20"/>
          <w:spacing w:val="-11"/>
        </w:rPr>
        <w:t xml:space="preserve"> </w:t>
      </w:r>
      <w:r>
        <w:rPr>
          <w:color w:val="231F20"/>
        </w:rPr>
        <w:t>of</w:t>
      </w:r>
      <w:r>
        <w:rPr>
          <w:color w:val="231F20"/>
          <w:spacing w:val="-11"/>
        </w:rPr>
        <w:t xml:space="preserve"> </w:t>
      </w:r>
      <w:r>
        <w:rPr>
          <w:color w:val="231F20"/>
        </w:rPr>
        <w:t>leases</w:t>
      </w:r>
      <w:r>
        <w:rPr>
          <w:color w:val="231F20"/>
          <w:spacing w:val="-11"/>
        </w:rPr>
        <w:t xml:space="preserve"> </w:t>
      </w:r>
      <w:r>
        <w:rPr>
          <w:color w:val="231F20"/>
        </w:rPr>
        <w:t>repayments.</w:t>
      </w:r>
      <w:r>
        <w:rPr>
          <w:color w:val="231F20"/>
          <w:spacing w:val="-11"/>
        </w:rPr>
        <w:t xml:space="preserve"> </w:t>
      </w:r>
      <w:r>
        <w:rPr>
          <w:color w:val="231F20"/>
        </w:rPr>
        <w:t>Interest</w:t>
      </w:r>
      <w:r>
        <w:rPr>
          <w:color w:val="231F20"/>
          <w:spacing w:val="-11"/>
        </w:rPr>
        <w:t xml:space="preserve"> </w:t>
      </w:r>
      <w:r>
        <w:rPr>
          <w:color w:val="231F20"/>
        </w:rPr>
        <w:t>expense</w:t>
      </w:r>
      <w:r>
        <w:rPr>
          <w:color w:val="231F20"/>
          <w:spacing w:val="-12"/>
        </w:rPr>
        <w:t xml:space="preserve"> </w:t>
      </w:r>
      <w:r>
        <w:rPr>
          <w:color w:val="231F20"/>
        </w:rPr>
        <w:t>is recognised in the period in which it is incurred.</w:t>
      </w:r>
    </w:p>
    <w:p w14:paraId="2F79D840" w14:textId="77777777" w:rsidR="0035186F" w:rsidRDefault="0035186F">
      <w:pPr>
        <w:widowControl/>
        <w:autoSpaceDE/>
        <w:autoSpaceDN/>
        <w:rPr>
          <w:color w:val="231F20"/>
        </w:rPr>
      </w:pPr>
      <w:r>
        <w:rPr>
          <w:color w:val="231F20"/>
        </w:rPr>
        <w:br w:type="page"/>
      </w:r>
    </w:p>
    <w:p w14:paraId="4083B4DD" w14:textId="77777777" w:rsidR="00345EE3" w:rsidRDefault="00345EE3" w:rsidP="00B2400F">
      <w:pPr>
        <w:pStyle w:val="Heading3"/>
        <w:numPr>
          <w:ilvl w:val="1"/>
          <w:numId w:val="44"/>
        </w:numPr>
        <w:ind w:left="0" w:firstLine="0"/>
      </w:pPr>
      <w:r>
        <w:t>Leases</w:t>
      </w:r>
    </w:p>
    <w:p w14:paraId="17BE4F04" w14:textId="77777777" w:rsidR="00345EE3" w:rsidRDefault="00345EE3" w:rsidP="00B2400F">
      <w:pPr>
        <w:pStyle w:val="Heading5"/>
        <w:numPr>
          <w:ilvl w:val="2"/>
          <w:numId w:val="44"/>
        </w:numPr>
        <w:tabs>
          <w:tab w:val="left" w:pos="711"/>
        </w:tabs>
        <w:spacing w:before="109"/>
        <w:ind w:left="0" w:firstLine="0"/>
      </w:pPr>
      <w:r>
        <w:rPr>
          <w:color w:val="58595B"/>
          <w:spacing w:val="-2"/>
        </w:rPr>
        <w:t>Leases</w:t>
      </w:r>
    </w:p>
    <w:p w14:paraId="7AE9FFED" w14:textId="77777777" w:rsidR="00345EE3" w:rsidRDefault="00345EE3" w:rsidP="00B2400F">
      <w:pPr>
        <w:pStyle w:val="BodyText"/>
        <w:spacing w:before="4"/>
      </w:pPr>
      <w:r>
        <w:rPr>
          <w:color w:val="231F20"/>
        </w:rPr>
        <w:t>Information</w:t>
      </w:r>
      <w:r>
        <w:rPr>
          <w:color w:val="231F20"/>
          <w:spacing w:val="-9"/>
        </w:rPr>
        <w:t xml:space="preserve"> </w:t>
      </w:r>
      <w:r>
        <w:rPr>
          <w:color w:val="231F20"/>
        </w:rPr>
        <w:t>about</w:t>
      </w:r>
      <w:r>
        <w:rPr>
          <w:color w:val="231F20"/>
          <w:spacing w:val="-7"/>
        </w:rPr>
        <w:t xml:space="preserve"> </w:t>
      </w:r>
      <w:r>
        <w:rPr>
          <w:color w:val="231F20"/>
        </w:rPr>
        <w:t>leases</w:t>
      </w:r>
      <w:r>
        <w:rPr>
          <w:color w:val="231F20"/>
          <w:spacing w:val="-7"/>
        </w:rPr>
        <w:t xml:space="preserve"> </w:t>
      </w:r>
      <w:r>
        <w:rPr>
          <w:color w:val="231F20"/>
        </w:rPr>
        <w:t>for</w:t>
      </w:r>
      <w:r>
        <w:rPr>
          <w:color w:val="231F20"/>
          <w:spacing w:val="-7"/>
        </w:rPr>
        <w:t xml:space="preserve"> </w:t>
      </w:r>
      <w:r>
        <w:rPr>
          <w:color w:val="231F20"/>
        </w:rPr>
        <w:t>which</w:t>
      </w:r>
      <w:r>
        <w:rPr>
          <w:color w:val="231F20"/>
          <w:spacing w:val="-7"/>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lessee</w:t>
      </w:r>
      <w:r>
        <w:rPr>
          <w:color w:val="231F20"/>
          <w:spacing w:val="-7"/>
        </w:rPr>
        <w:t xml:space="preserve"> </w:t>
      </w:r>
      <w:r>
        <w:rPr>
          <w:color w:val="231F20"/>
        </w:rPr>
        <w:t>is</w:t>
      </w:r>
      <w:r>
        <w:rPr>
          <w:color w:val="231F20"/>
          <w:spacing w:val="-7"/>
        </w:rPr>
        <w:t xml:space="preserve"> </w:t>
      </w:r>
      <w:r>
        <w:rPr>
          <w:color w:val="231F20"/>
        </w:rPr>
        <w:t>presented</w:t>
      </w:r>
      <w:r>
        <w:rPr>
          <w:color w:val="231F20"/>
          <w:spacing w:val="-6"/>
        </w:rPr>
        <w:t xml:space="preserve"> </w:t>
      </w:r>
      <w:r>
        <w:rPr>
          <w:color w:val="231F20"/>
          <w:spacing w:val="-2"/>
        </w:rPr>
        <w:t>below.</w:t>
      </w:r>
    </w:p>
    <w:p w14:paraId="7E0C1F21" w14:textId="77777777" w:rsidR="00345EE3" w:rsidRDefault="00345EE3" w:rsidP="00B2400F">
      <w:pPr>
        <w:pStyle w:val="BodyText"/>
        <w:spacing w:before="118" w:line="242" w:lineRule="auto"/>
      </w:pPr>
      <w:r>
        <w:rPr>
          <w:color w:val="231F20"/>
        </w:rPr>
        <w:t>Victoria</w:t>
      </w:r>
      <w:r>
        <w:rPr>
          <w:color w:val="231F20"/>
          <w:spacing w:val="-8"/>
        </w:rPr>
        <w:t xml:space="preserve"> </w:t>
      </w:r>
      <w:r>
        <w:rPr>
          <w:color w:val="231F20"/>
        </w:rPr>
        <w:t>Police</w:t>
      </w:r>
      <w:r>
        <w:rPr>
          <w:color w:val="231F20"/>
          <w:spacing w:val="-8"/>
        </w:rPr>
        <w:t xml:space="preserve"> </w:t>
      </w:r>
      <w:r>
        <w:rPr>
          <w:color w:val="231F20"/>
        </w:rPr>
        <w:t>leases</w:t>
      </w:r>
      <w:r>
        <w:rPr>
          <w:color w:val="231F20"/>
          <w:spacing w:val="-8"/>
        </w:rPr>
        <w:t xml:space="preserve"> </w:t>
      </w:r>
      <w:r>
        <w:rPr>
          <w:color w:val="231F20"/>
        </w:rPr>
        <w:t>various</w:t>
      </w:r>
      <w:r>
        <w:rPr>
          <w:color w:val="231F20"/>
          <w:spacing w:val="-8"/>
        </w:rPr>
        <w:t xml:space="preserve"> </w:t>
      </w:r>
      <w:r>
        <w:rPr>
          <w:color w:val="231F20"/>
        </w:rPr>
        <w:t>properties</w:t>
      </w:r>
      <w:r>
        <w:rPr>
          <w:color w:val="231F20"/>
          <w:spacing w:val="-8"/>
        </w:rPr>
        <w:t xml:space="preserve"> </w:t>
      </w:r>
      <w:r>
        <w:rPr>
          <w:color w:val="231F20"/>
        </w:rPr>
        <w:t>and</w:t>
      </w:r>
      <w:r>
        <w:rPr>
          <w:color w:val="231F20"/>
          <w:spacing w:val="-8"/>
        </w:rPr>
        <w:t xml:space="preserve"> </w:t>
      </w:r>
      <w:r>
        <w:rPr>
          <w:color w:val="231F20"/>
        </w:rPr>
        <w:t>motor</w:t>
      </w:r>
      <w:r>
        <w:rPr>
          <w:color w:val="231F20"/>
          <w:spacing w:val="-8"/>
        </w:rPr>
        <w:t xml:space="preserve"> </w:t>
      </w:r>
      <w:r>
        <w:rPr>
          <w:color w:val="231F20"/>
        </w:rPr>
        <w:t>vehicles.</w:t>
      </w:r>
      <w:r>
        <w:rPr>
          <w:color w:val="231F20"/>
          <w:spacing w:val="-8"/>
        </w:rPr>
        <w:t xml:space="preserve"> </w:t>
      </w:r>
      <w:r>
        <w:rPr>
          <w:color w:val="231F20"/>
        </w:rPr>
        <w:t>The</w:t>
      </w:r>
      <w:r>
        <w:rPr>
          <w:color w:val="231F20"/>
          <w:spacing w:val="-8"/>
        </w:rPr>
        <w:t xml:space="preserve"> </w:t>
      </w:r>
      <w:r>
        <w:rPr>
          <w:color w:val="231F20"/>
        </w:rPr>
        <w:t>lease</w:t>
      </w:r>
      <w:r>
        <w:rPr>
          <w:color w:val="231F20"/>
          <w:spacing w:val="-8"/>
        </w:rPr>
        <w:t xml:space="preserve"> </w:t>
      </w:r>
      <w:r>
        <w:rPr>
          <w:color w:val="231F20"/>
        </w:rPr>
        <w:t>contracts</w:t>
      </w:r>
      <w:r>
        <w:rPr>
          <w:color w:val="231F20"/>
          <w:spacing w:val="-8"/>
        </w:rPr>
        <w:t xml:space="preserve"> </w:t>
      </w:r>
      <w:r>
        <w:rPr>
          <w:color w:val="231F20"/>
        </w:rPr>
        <w:t>are</w:t>
      </w:r>
      <w:r>
        <w:rPr>
          <w:color w:val="231F20"/>
          <w:spacing w:val="-8"/>
        </w:rPr>
        <w:t xml:space="preserve"> </w:t>
      </w:r>
      <w:r>
        <w:rPr>
          <w:color w:val="231F20"/>
        </w:rPr>
        <w:t>typically made for fixed periods of 1–30 years with an option to renew the lease after that date.</w:t>
      </w:r>
    </w:p>
    <w:p w14:paraId="321334E4" w14:textId="77777777" w:rsidR="00345EE3" w:rsidRDefault="00345EE3" w:rsidP="00B2400F">
      <w:pPr>
        <w:pStyle w:val="BodyText"/>
        <w:spacing w:before="2" w:line="242" w:lineRule="auto"/>
        <w:ind w:right="109"/>
      </w:pPr>
      <w:r>
        <w:rPr>
          <w:color w:val="231F20"/>
        </w:rPr>
        <w:t>Depending</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lease</w:t>
      </w:r>
      <w:r>
        <w:rPr>
          <w:color w:val="231F20"/>
          <w:spacing w:val="-9"/>
        </w:rPr>
        <w:t xml:space="preserve"> </w:t>
      </w:r>
      <w:r>
        <w:rPr>
          <w:color w:val="231F20"/>
        </w:rPr>
        <w:t>contract</w:t>
      </w:r>
      <w:r>
        <w:rPr>
          <w:color w:val="231F20"/>
          <w:spacing w:val="-8"/>
        </w:rPr>
        <w:t xml:space="preserve"> </w:t>
      </w:r>
      <w:r>
        <w:rPr>
          <w:color w:val="231F20"/>
        </w:rPr>
        <w:t>terms,</w:t>
      </w:r>
      <w:r>
        <w:rPr>
          <w:color w:val="231F20"/>
          <w:spacing w:val="-8"/>
        </w:rPr>
        <w:t xml:space="preserve"> </w:t>
      </w:r>
      <w:r>
        <w:rPr>
          <w:color w:val="231F20"/>
        </w:rPr>
        <w:t>property</w:t>
      </w:r>
      <w:r>
        <w:rPr>
          <w:color w:val="231F20"/>
          <w:spacing w:val="-8"/>
        </w:rPr>
        <w:t xml:space="preserve"> </w:t>
      </w:r>
      <w:r>
        <w:rPr>
          <w:color w:val="231F20"/>
        </w:rPr>
        <w:t>lease</w:t>
      </w:r>
      <w:r>
        <w:rPr>
          <w:color w:val="231F20"/>
          <w:spacing w:val="-9"/>
        </w:rPr>
        <w:t xml:space="preserve"> </w:t>
      </w:r>
      <w:r>
        <w:rPr>
          <w:color w:val="231F20"/>
        </w:rPr>
        <w:t>payments</w:t>
      </w:r>
      <w:r>
        <w:rPr>
          <w:color w:val="231F20"/>
          <w:spacing w:val="-8"/>
        </w:rPr>
        <w:t xml:space="preserve"> </w:t>
      </w:r>
      <w:r>
        <w:rPr>
          <w:color w:val="231F20"/>
        </w:rPr>
        <w:t>are</w:t>
      </w:r>
      <w:r>
        <w:rPr>
          <w:color w:val="231F20"/>
          <w:spacing w:val="-9"/>
        </w:rPr>
        <w:t xml:space="preserve"> </w:t>
      </w:r>
      <w:r>
        <w:rPr>
          <w:color w:val="231F20"/>
        </w:rPr>
        <w:t>usually</w:t>
      </w:r>
      <w:r>
        <w:rPr>
          <w:color w:val="231F20"/>
          <w:spacing w:val="-8"/>
        </w:rPr>
        <w:t xml:space="preserve"> </w:t>
      </w:r>
      <w:r>
        <w:rPr>
          <w:color w:val="231F20"/>
        </w:rPr>
        <w:t>re-negotiated</w:t>
      </w:r>
      <w:r>
        <w:rPr>
          <w:color w:val="231F20"/>
          <w:spacing w:val="-9"/>
        </w:rPr>
        <w:t xml:space="preserve"> </w:t>
      </w:r>
      <w:r>
        <w:rPr>
          <w:color w:val="231F20"/>
        </w:rPr>
        <w:t>every 5 years to reflect the market rentals.</w:t>
      </w:r>
    </w:p>
    <w:p w14:paraId="25E0EB11" w14:textId="77777777" w:rsidR="00345EE3" w:rsidRDefault="00345EE3" w:rsidP="00B2400F">
      <w:pPr>
        <w:pStyle w:val="Heading5"/>
        <w:numPr>
          <w:ilvl w:val="2"/>
          <w:numId w:val="29"/>
        </w:numPr>
        <w:tabs>
          <w:tab w:val="left" w:pos="674"/>
        </w:tabs>
        <w:spacing w:before="230"/>
        <w:ind w:left="0" w:firstLine="0"/>
      </w:pPr>
      <w:r>
        <w:rPr>
          <w:color w:val="231F20"/>
        </w:rPr>
        <w:t>(a)</w:t>
      </w:r>
      <w:r>
        <w:rPr>
          <w:color w:val="231F20"/>
          <w:spacing w:val="-9"/>
        </w:rPr>
        <w:t xml:space="preserve"> </w:t>
      </w:r>
      <w:r>
        <w:rPr>
          <w:color w:val="231F20"/>
        </w:rPr>
        <w:t>Short-Term</w:t>
      </w:r>
      <w:r>
        <w:rPr>
          <w:color w:val="231F20"/>
          <w:spacing w:val="-8"/>
        </w:rPr>
        <w:t xml:space="preserve"> </w:t>
      </w:r>
      <w:r>
        <w:rPr>
          <w:color w:val="231F20"/>
        </w:rPr>
        <w:t>Lease</w:t>
      </w:r>
      <w:r>
        <w:rPr>
          <w:color w:val="231F20"/>
          <w:spacing w:val="-8"/>
        </w:rPr>
        <w:t xml:space="preserve"> </w:t>
      </w:r>
      <w:r>
        <w:rPr>
          <w:color w:val="231F20"/>
        </w:rPr>
        <w:t>(Lease</w:t>
      </w:r>
      <w:r>
        <w:rPr>
          <w:color w:val="231F20"/>
          <w:spacing w:val="-8"/>
        </w:rPr>
        <w:t xml:space="preserve"> </w:t>
      </w:r>
      <w:r>
        <w:rPr>
          <w:color w:val="231F20"/>
        </w:rPr>
        <w:t>term</w:t>
      </w:r>
      <w:r>
        <w:rPr>
          <w:color w:val="231F20"/>
          <w:spacing w:val="-8"/>
        </w:rPr>
        <w:t xml:space="preserve"> </w:t>
      </w:r>
      <w:r>
        <w:rPr>
          <w:color w:val="231F20"/>
        </w:rPr>
        <w:t>of</w:t>
      </w:r>
      <w:r>
        <w:rPr>
          <w:color w:val="231F20"/>
          <w:spacing w:val="-7"/>
        </w:rPr>
        <w:t xml:space="preserve"> </w:t>
      </w:r>
      <w:r>
        <w:rPr>
          <w:color w:val="231F20"/>
        </w:rPr>
        <w:t>12</w:t>
      </w:r>
      <w:r>
        <w:rPr>
          <w:color w:val="231F20"/>
          <w:spacing w:val="-8"/>
        </w:rPr>
        <w:t xml:space="preserve"> </w:t>
      </w:r>
      <w:r>
        <w:rPr>
          <w:color w:val="231F20"/>
        </w:rPr>
        <w:t>months</w:t>
      </w:r>
      <w:r>
        <w:rPr>
          <w:color w:val="231F20"/>
          <w:spacing w:val="-8"/>
        </w:rPr>
        <w:t xml:space="preserve"> </w:t>
      </w:r>
      <w:r>
        <w:rPr>
          <w:color w:val="231F20"/>
        </w:rPr>
        <w:t>or</w:t>
      </w:r>
      <w:r>
        <w:rPr>
          <w:color w:val="231F20"/>
          <w:spacing w:val="-7"/>
        </w:rPr>
        <w:t xml:space="preserve"> </w:t>
      </w:r>
      <w:r>
        <w:rPr>
          <w:color w:val="231F20"/>
          <w:spacing w:val="-2"/>
        </w:rPr>
        <w:t>less)</w:t>
      </w:r>
    </w:p>
    <w:p w14:paraId="40A6B5A8" w14:textId="77777777" w:rsidR="00345EE3" w:rsidRDefault="00345EE3" w:rsidP="00B2400F">
      <w:pPr>
        <w:pStyle w:val="BodyText"/>
        <w:spacing w:before="61" w:line="242" w:lineRule="auto"/>
        <w:ind w:right="381"/>
      </w:pPr>
      <w:r>
        <w:rPr>
          <w:color w:val="231F20"/>
        </w:rPr>
        <w:t>Victoria Police has elected to account for short-term leases using the practical expedients. Instead</w:t>
      </w:r>
      <w:r>
        <w:rPr>
          <w:color w:val="231F20"/>
          <w:spacing w:val="-10"/>
        </w:rPr>
        <w:t xml:space="preserve"> </w:t>
      </w:r>
      <w:r>
        <w:rPr>
          <w:color w:val="231F20"/>
        </w:rPr>
        <w:t>of</w:t>
      </w:r>
      <w:r>
        <w:rPr>
          <w:color w:val="231F20"/>
          <w:spacing w:val="-10"/>
        </w:rPr>
        <w:t xml:space="preserve"> </w:t>
      </w:r>
      <w:r>
        <w:rPr>
          <w:color w:val="231F20"/>
        </w:rPr>
        <w:t>recognising</w:t>
      </w:r>
      <w:r>
        <w:rPr>
          <w:color w:val="231F20"/>
          <w:spacing w:val="-10"/>
        </w:rPr>
        <w:t xml:space="preserve"> </w:t>
      </w:r>
      <w:r>
        <w:rPr>
          <w:color w:val="231F20"/>
        </w:rPr>
        <w:t>a</w:t>
      </w:r>
      <w:r>
        <w:rPr>
          <w:color w:val="231F20"/>
          <w:spacing w:val="-10"/>
        </w:rPr>
        <w:t xml:space="preserve"> </w:t>
      </w:r>
      <w:r>
        <w:rPr>
          <w:color w:val="231F20"/>
        </w:rPr>
        <w:t>right-of-use</w:t>
      </w:r>
      <w:r>
        <w:rPr>
          <w:color w:val="231F20"/>
          <w:spacing w:val="-10"/>
        </w:rPr>
        <w:t xml:space="preserve"> </w:t>
      </w:r>
      <w:r>
        <w:rPr>
          <w:color w:val="231F20"/>
        </w:rPr>
        <w:t>asset</w:t>
      </w:r>
      <w:r>
        <w:rPr>
          <w:color w:val="231F20"/>
          <w:spacing w:val="-10"/>
        </w:rPr>
        <w:t xml:space="preserve"> </w:t>
      </w:r>
      <w:r>
        <w:rPr>
          <w:color w:val="231F20"/>
        </w:rPr>
        <w:t>and</w:t>
      </w:r>
      <w:r>
        <w:rPr>
          <w:color w:val="231F20"/>
          <w:spacing w:val="-10"/>
        </w:rPr>
        <w:t xml:space="preserve"> </w:t>
      </w:r>
      <w:r>
        <w:rPr>
          <w:color w:val="231F20"/>
        </w:rPr>
        <w:t>lease</w:t>
      </w:r>
      <w:r>
        <w:rPr>
          <w:color w:val="231F20"/>
          <w:spacing w:val="-10"/>
        </w:rPr>
        <w:t xml:space="preserve"> </w:t>
      </w:r>
      <w:r>
        <w:rPr>
          <w:color w:val="231F20"/>
        </w:rPr>
        <w:t>liability,</w:t>
      </w:r>
      <w:r>
        <w:rPr>
          <w:color w:val="231F20"/>
          <w:spacing w:val="-10"/>
        </w:rPr>
        <w:t xml:space="preserve"> </w:t>
      </w:r>
      <w:r>
        <w:rPr>
          <w:color w:val="231F20"/>
        </w:rPr>
        <w:t>the</w:t>
      </w:r>
      <w:r>
        <w:rPr>
          <w:color w:val="231F20"/>
          <w:spacing w:val="-10"/>
        </w:rPr>
        <w:t xml:space="preserve"> </w:t>
      </w:r>
      <w:r>
        <w:rPr>
          <w:color w:val="231F20"/>
        </w:rPr>
        <w:t>payments</w:t>
      </w:r>
      <w:r>
        <w:rPr>
          <w:color w:val="231F20"/>
          <w:spacing w:val="-10"/>
        </w:rPr>
        <w:t xml:space="preserve"> </w:t>
      </w:r>
      <w:r>
        <w:rPr>
          <w:color w:val="231F20"/>
        </w:rPr>
        <w:t>in</w:t>
      </w:r>
      <w:r>
        <w:rPr>
          <w:color w:val="231F20"/>
          <w:spacing w:val="-10"/>
        </w:rPr>
        <w:t xml:space="preserve"> </w:t>
      </w:r>
      <w:r>
        <w:rPr>
          <w:color w:val="231F20"/>
        </w:rPr>
        <w:t>relation</w:t>
      </w:r>
      <w:r>
        <w:rPr>
          <w:color w:val="231F20"/>
          <w:spacing w:val="-10"/>
        </w:rPr>
        <w:t xml:space="preserve"> </w:t>
      </w:r>
      <w:r>
        <w:rPr>
          <w:color w:val="231F20"/>
        </w:rPr>
        <w:t>to</w:t>
      </w:r>
      <w:r>
        <w:rPr>
          <w:color w:val="231F20"/>
          <w:spacing w:val="-10"/>
        </w:rPr>
        <w:t xml:space="preserve"> </w:t>
      </w:r>
      <w:r>
        <w:rPr>
          <w:color w:val="231F20"/>
        </w:rPr>
        <w:t>these are</w:t>
      </w:r>
      <w:r>
        <w:rPr>
          <w:color w:val="231F20"/>
          <w:spacing w:val="-5"/>
        </w:rPr>
        <w:t xml:space="preserve"> </w:t>
      </w:r>
      <w:r>
        <w:rPr>
          <w:color w:val="231F20"/>
        </w:rPr>
        <w:t>recognised</w:t>
      </w:r>
      <w:r>
        <w:rPr>
          <w:color w:val="231F20"/>
          <w:spacing w:val="-5"/>
        </w:rPr>
        <w:t xml:space="preserve"> </w:t>
      </w:r>
      <w:r>
        <w:rPr>
          <w:color w:val="231F20"/>
        </w:rPr>
        <w:t>as</w:t>
      </w:r>
      <w:r>
        <w:rPr>
          <w:color w:val="231F20"/>
          <w:spacing w:val="-4"/>
        </w:rPr>
        <w:t xml:space="preserve"> </w:t>
      </w:r>
      <w:r>
        <w:rPr>
          <w:color w:val="231F20"/>
        </w:rPr>
        <w:t>an</w:t>
      </w:r>
      <w:r>
        <w:rPr>
          <w:color w:val="231F20"/>
          <w:spacing w:val="-5"/>
        </w:rPr>
        <w:t xml:space="preserve"> </w:t>
      </w:r>
      <w:r>
        <w:rPr>
          <w:color w:val="231F20"/>
        </w:rPr>
        <w:t>expense</w:t>
      </w:r>
      <w:r>
        <w:rPr>
          <w:color w:val="231F20"/>
          <w:spacing w:val="-5"/>
        </w:rPr>
        <w:t xml:space="preserve"> </w:t>
      </w:r>
      <w:r>
        <w:rPr>
          <w:color w:val="231F20"/>
        </w:rPr>
        <w:t>in</w:t>
      </w:r>
      <w:r>
        <w:rPr>
          <w:color w:val="231F20"/>
          <w:spacing w:val="-5"/>
        </w:rPr>
        <w:t xml:space="preserve"> </w:t>
      </w:r>
      <w:r>
        <w:rPr>
          <w:color w:val="231F20"/>
        </w:rPr>
        <w:t>profit</w:t>
      </w:r>
      <w:r>
        <w:rPr>
          <w:color w:val="231F20"/>
          <w:spacing w:val="-4"/>
        </w:rPr>
        <w:t xml:space="preserve"> </w:t>
      </w:r>
      <w:r>
        <w:rPr>
          <w:color w:val="231F20"/>
        </w:rPr>
        <w:t>or</w:t>
      </w:r>
      <w:r>
        <w:rPr>
          <w:color w:val="231F20"/>
          <w:spacing w:val="-4"/>
        </w:rPr>
        <w:t xml:space="preserve"> </w:t>
      </w:r>
      <w:r>
        <w:rPr>
          <w:color w:val="231F20"/>
        </w:rPr>
        <w:t>loss</w:t>
      </w:r>
      <w:r>
        <w:rPr>
          <w:color w:val="231F20"/>
          <w:spacing w:val="-4"/>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straight-line</w:t>
      </w:r>
      <w:r>
        <w:rPr>
          <w:color w:val="231F20"/>
          <w:spacing w:val="-5"/>
        </w:rPr>
        <w:t xml:space="preserve"> </w:t>
      </w:r>
      <w:r>
        <w:rPr>
          <w:color w:val="231F20"/>
        </w:rPr>
        <w:t>basis</w:t>
      </w:r>
      <w:r>
        <w:rPr>
          <w:color w:val="231F20"/>
          <w:spacing w:val="-4"/>
        </w:rPr>
        <w:t xml:space="preserve"> </w:t>
      </w:r>
      <w:r>
        <w:rPr>
          <w:color w:val="231F20"/>
        </w:rPr>
        <w:t>over</w:t>
      </w:r>
      <w:r>
        <w:rPr>
          <w:color w:val="231F20"/>
          <w:spacing w:val="-4"/>
        </w:rPr>
        <w:t xml:space="preserve"> </w:t>
      </w:r>
      <w:r>
        <w:rPr>
          <w:color w:val="231F20"/>
        </w:rPr>
        <w:t>the</w:t>
      </w:r>
      <w:r>
        <w:rPr>
          <w:color w:val="231F20"/>
          <w:spacing w:val="-5"/>
        </w:rPr>
        <w:t xml:space="preserve"> </w:t>
      </w:r>
      <w:r>
        <w:rPr>
          <w:color w:val="231F20"/>
        </w:rPr>
        <w:t>lease</w:t>
      </w:r>
      <w:r>
        <w:rPr>
          <w:color w:val="231F20"/>
          <w:spacing w:val="-5"/>
        </w:rPr>
        <w:t xml:space="preserve"> </w:t>
      </w:r>
      <w:r>
        <w:rPr>
          <w:color w:val="231F20"/>
        </w:rPr>
        <w:t>term.</w:t>
      </w:r>
      <w:r>
        <w:rPr>
          <w:color w:val="231F20"/>
          <w:spacing w:val="-4"/>
        </w:rPr>
        <w:t xml:space="preserve"> </w:t>
      </w:r>
      <w:r>
        <w:rPr>
          <w:color w:val="231F20"/>
        </w:rPr>
        <w:t>As</w:t>
      </w:r>
      <w:r>
        <w:rPr>
          <w:color w:val="231F20"/>
          <w:spacing w:val="-4"/>
        </w:rPr>
        <w:t xml:space="preserve"> </w:t>
      </w:r>
      <w:r>
        <w:rPr>
          <w:color w:val="231F20"/>
        </w:rPr>
        <w:t>at 30</w:t>
      </w:r>
      <w:r>
        <w:rPr>
          <w:color w:val="231F20"/>
          <w:spacing w:val="-7"/>
        </w:rPr>
        <w:t xml:space="preserve"> </w:t>
      </w:r>
      <w:r>
        <w:rPr>
          <w:color w:val="231F20"/>
        </w:rPr>
        <w:t>June</w:t>
      </w:r>
      <w:r>
        <w:rPr>
          <w:color w:val="231F20"/>
          <w:spacing w:val="-7"/>
        </w:rPr>
        <w:t xml:space="preserve"> </w:t>
      </w:r>
      <w:r>
        <w:rPr>
          <w:color w:val="231F20"/>
        </w:rPr>
        <w:t>2022,</w:t>
      </w:r>
      <w:r>
        <w:rPr>
          <w:color w:val="231F20"/>
          <w:spacing w:val="-6"/>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has</w:t>
      </w:r>
      <w:r>
        <w:rPr>
          <w:color w:val="231F20"/>
          <w:spacing w:val="-6"/>
        </w:rPr>
        <w:t xml:space="preserve"> </w:t>
      </w:r>
      <w:r>
        <w:rPr>
          <w:color w:val="231F20"/>
        </w:rPr>
        <w:t>committed</w:t>
      </w:r>
      <w:r>
        <w:rPr>
          <w:color w:val="231F20"/>
          <w:spacing w:val="-7"/>
        </w:rPr>
        <w:t xml:space="preserve"> </w:t>
      </w:r>
      <w:r>
        <w:rPr>
          <w:color w:val="231F20"/>
        </w:rPr>
        <w:t>to</w:t>
      </w:r>
      <w:r>
        <w:rPr>
          <w:color w:val="231F20"/>
          <w:spacing w:val="-7"/>
        </w:rPr>
        <w:t xml:space="preserve"> </w:t>
      </w:r>
      <w:r>
        <w:rPr>
          <w:color w:val="231F20"/>
        </w:rPr>
        <w:t>two</w:t>
      </w:r>
      <w:r>
        <w:rPr>
          <w:color w:val="231F20"/>
          <w:spacing w:val="-7"/>
        </w:rPr>
        <w:t xml:space="preserve"> </w:t>
      </w:r>
      <w:r>
        <w:rPr>
          <w:color w:val="231F20"/>
        </w:rPr>
        <w:t>short-term</w:t>
      </w:r>
      <w:r>
        <w:rPr>
          <w:color w:val="231F20"/>
          <w:spacing w:val="-6"/>
        </w:rPr>
        <w:t xml:space="preserve"> </w:t>
      </w:r>
      <w:r>
        <w:rPr>
          <w:color w:val="231F20"/>
        </w:rPr>
        <w:t>leases</w:t>
      </w:r>
      <w:r>
        <w:rPr>
          <w:color w:val="231F20"/>
          <w:spacing w:val="-6"/>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total</w:t>
      </w:r>
      <w:r>
        <w:rPr>
          <w:color w:val="231F20"/>
          <w:spacing w:val="-7"/>
        </w:rPr>
        <w:t xml:space="preserve"> </w:t>
      </w:r>
      <w:r>
        <w:rPr>
          <w:color w:val="231F20"/>
        </w:rPr>
        <w:t>commitment at that date is $0.02 million (2021: $2.9 million).</w:t>
      </w:r>
    </w:p>
    <w:p w14:paraId="5693B6A3" w14:textId="77777777" w:rsidR="00345EE3" w:rsidRDefault="00345EE3" w:rsidP="00B2400F">
      <w:pPr>
        <w:pStyle w:val="Heading5"/>
        <w:numPr>
          <w:ilvl w:val="2"/>
          <w:numId w:val="28"/>
        </w:numPr>
        <w:tabs>
          <w:tab w:val="left" w:pos="674"/>
        </w:tabs>
        <w:spacing w:before="231"/>
        <w:ind w:left="0" w:firstLine="0"/>
      </w:pPr>
      <w:r>
        <w:rPr>
          <w:color w:val="231F20"/>
        </w:rPr>
        <w:t>(b)</w:t>
      </w:r>
      <w:r>
        <w:rPr>
          <w:color w:val="231F20"/>
          <w:spacing w:val="-10"/>
        </w:rPr>
        <w:t xml:space="preserve"> </w:t>
      </w:r>
      <w:r>
        <w:rPr>
          <w:color w:val="231F20"/>
        </w:rPr>
        <w:t>Low</w:t>
      </w:r>
      <w:r>
        <w:rPr>
          <w:color w:val="231F20"/>
          <w:spacing w:val="-9"/>
        </w:rPr>
        <w:t xml:space="preserve"> </w:t>
      </w:r>
      <w:r>
        <w:rPr>
          <w:color w:val="231F20"/>
        </w:rPr>
        <w:t>Value</w:t>
      </w:r>
      <w:r>
        <w:rPr>
          <w:color w:val="231F20"/>
          <w:spacing w:val="-9"/>
        </w:rPr>
        <w:t xml:space="preserve"> </w:t>
      </w:r>
      <w:r>
        <w:rPr>
          <w:color w:val="231F20"/>
          <w:spacing w:val="-2"/>
        </w:rPr>
        <w:t>Leases</w:t>
      </w:r>
    </w:p>
    <w:p w14:paraId="7BD2656D" w14:textId="77777777" w:rsidR="00345EE3" w:rsidRDefault="00345EE3" w:rsidP="00B2400F">
      <w:pPr>
        <w:pStyle w:val="BodyText"/>
        <w:spacing w:before="60" w:line="242" w:lineRule="auto"/>
        <w:ind w:right="381"/>
      </w:pPr>
      <w:r>
        <w:rPr>
          <w:color w:val="231F20"/>
        </w:rPr>
        <w:t>Low</w:t>
      </w:r>
      <w:r>
        <w:rPr>
          <w:color w:val="231F20"/>
          <w:spacing w:val="-11"/>
        </w:rPr>
        <w:t xml:space="preserve"> </w:t>
      </w:r>
      <w:r>
        <w:rPr>
          <w:color w:val="231F20"/>
        </w:rPr>
        <w:t>value</w:t>
      </w:r>
      <w:r>
        <w:rPr>
          <w:color w:val="231F20"/>
          <w:spacing w:val="-11"/>
        </w:rPr>
        <w:t xml:space="preserve"> </w:t>
      </w:r>
      <w:r>
        <w:rPr>
          <w:color w:val="231F20"/>
        </w:rPr>
        <w:t>leases</w:t>
      </w:r>
      <w:r>
        <w:rPr>
          <w:color w:val="231F20"/>
          <w:spacing w:val="-10"/>
        </w:rPr>
        <w:t xml:space="preserve"> </w:t>
      </w:r>
      <w:r>
        <w:rPr>
          <w:color w:val="231F20"/>
        </w:rPr>
        <w:t>–</w:t>
      </w:r>
      <w:r>
        <w:rPr>
          <w:color w:val="231F20"/>
          <w:spacing w:val="-11"/>
        </w:rPr>
        <w:t xml:space="preserve"> </w:t>
      </w:r>
      <w:r>
        <w:rPr>
          <w:color w:val="231F20"/>
        </w:rPr>
        <w:t>leases</w:t>
      </w:r>
      <w:r>
        <w:rPr>
          <w:color w:val="231F20"/>
          <w:spacing w:val="-10"/>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underlying</w:t>
      </w:r>
      <w:r>
        <w:rPr>
          <w:color w:val="231F20"/>
          <w:spacing w:val="-11"/>
        </w:rPr>
        <w:t xml:space="preserve"> </w:t>
      </w:r>
      <w:r>
        <w:rPr>
          <w:color w:val="231F20"/>
        </w:rPr>
        <w:t>asset’s</w:t>
      </w:r>
      <w:r>
        <w:rPr>
          <w:color w:val="231F20"/>
          <w:spacing w:val="-10"/>
        </w:rPr>
        <w:t xml:space="preserve"> </w:t>
      </w:r>
      <w:r>
        <w:rPr>
          <w:color w:val="231F20"/>
        </w:rPr>
        <w:t>fair</w:t>
      </w:r>
      <w:r>
        <w:rPr>
          <w:color w:val="231F20"/>
          <w:spacing w:val="-10"/>
        </w:rPr>
        <w:t xml:space="preserve"> </w:t>
      </w:r>
      <w:r>
        <w:rPr>
          <w:color w:val="231F20"/>
        </w:rPr>
        <w:t>value</w:t>
      </w:r>
      <w:r>
        <w:rPr>
          <w:color w:val="231F20"/>
          <w:spacing w:val="-11"/>
        </w:rPr>
        <w:t xml:space="preserve"> </w:t>
      </w:r>
      <w:r>
        <w:rPr>
          <w:color w:val="231F20"/>
        </w:rPr>
        <w:t>(when</w:t>
      </w:r>
      <w:r>
        <w:rPr>
          <w:color w:val="231F20"/>
          <w:spacing w:val="-11"/>
        </w:rPr>
        <w:t xml:space="preserve"> </w:t>
      </w:r>
      <w:r>
        <w:rPr>
          <w:color w:val="231F20"/>
        </w:rPr>
        <w:t>new,</w:t>
      </w:r>
      <w:r>
        <w:rPr>
          <w:color w:val="231F20"/>
          <w:spacing w:val="-10"/>
        </w:rPr>
        <w:t xml:space="preserve"> </w:t>
      </w:r>
      <w:r>
        <w:rPr>
          <w:color w:val="231F20"/>
        </w:rPr>
        <w:t>regardless</w:t>
      </w:r>
      <w:r>
        <w:rPr>
          <w:color w:val="231F20"/>
          <w:spacing w:val="-10"/>
        </w:rPr>
        <w:t xml:space="preserve"> </w:t>
      </w:r>
      <w:r>
        <w:rPr>
          <w:color w:val="231F20"/>
        </w:rPr>
        <w:t>of</w:t>
      </w:r>
      <w:r>
        <w:rPr>
          <w:color w:val="231F20"/>
          <w:spacing w:val="-10"/>
        </w:rPr>
        <w:t xml:space="preserve"> </w:t>
      </w:r>
      <w:r>
        <w:rPr>
          <w:color w:val="231F20"/>
        </w:rPr>
        <w:t>the age of the asset being leased) is no more than $10,000. Payments on low value leases are recognised on a straight-line basis.</w:t>
      </w:r>
    </w:p>
    <w:p w14:paraId="5189FB1C" w14:textId="77777777" w:rsidR="00345EE3" w:rsidRDefault="00345EE3" w:rsidP="00B2400F">
      <w:pPr>
        <w:pStyle w:val="Heading5"/>
        <w:numPr>
          <w:ilvl w:val="2"/>
          <w:numId w:val="27"/>
        </w:numPr>
        <w:tabs>
          <w:tab w:val="left" w:pos="674"/>
        </w:tabs>
        <w:spacing w:before="231"/>
        <w:ind w:left="0" w:firstLine="0"/>
      </w:pPr>
      <w:r>
        <w:rPr>
          <w:color w:val="231F20"/>
        </w:rPr>
        <w:t>(c)</w:t>
      </w:r>
      <w:r>
        <w:rPr>
          <w:color w:val="231F20"/>
          <w:spacing w:val="-9"/>
        </w:rPr>
        <w:t xml:space="preserve"> </w:t>
      </w:r>
      <w:r>
        <w:rPr>
          <w:color w:val="231F20"/>
        </w:rPr>
        <w:t>Right-of-Use</w:t>
      </w:r>
      <w:r>
        <w:rPr>
          <w:color w:val="231F20"/>
          <w:spacing w:val="-7"/>
        </w:rPr>
        <w:t xml:space="preserve"> </w:t>
      </w:r>
      <w:r>
        <w:rPr>
          <w:color w:val="231F20"/>
          <w:spacing w:val="-2"/>
        </w:rPr>
        <w:t>Assets</w:t>
      </w:r>
    </w:p>
    <w:p w14:paraId="35734C65" w14:textId="77777777" w:rsidR="00345EE3" w:rsidRDefault="00345EE3" w:rsidP="00B2400F">
      <w:pPr>
        <w:pStyle w:val="BodyText"/>
        <w:spacing w:before="61"/>
      </w:pPr>
      <w:r>
        <w:rPr>
          <w:color w:val="231F20"/>
        </w:rPr>
        <w:t>Right-of-use</w:t>
      </w:r>
      <w:r>
        <w:rPr>
          <w:color w:val="231F20"/>
          <w:spacing w:val="-12"/>
        </w:rPr>
        <w:t xml:space="preserve"> </w:t>
      </w:r>
      <w:r>
        <w:rPr>
          <w:color w:val="231F20"/>
        </w:rPr>
        <w:t>assets</w:t>
      </w:r>
      <w:r>
        <w:rPr>
          <w:color w:val="231F20"/>
          <w:spacing w:val="-8"/>
        </w:rPr>
        <w:t xml:space="preserve"> </w:t>
      </w:r>
      <w:r>
        <w:rPr>
          <w:color w:val="231F20"/>
        </w:rPr>
        <w:t>are</w:t>
      </w:r>
      <w:r>
        <w:rPr>
          <w:color w:val="231F20"/>
          <w:spacing w:val="-10"/>
        </w:rPr>
        <w:t xml:space="preserve"> </w:t>
      </w:r>
      <w:r>
        <w:rPr>
          <w:color w:val="231F20"/>
        </w:rPr>
        <w:t>presented</w:t>
      </w:r>
      <w:r>
        <w:rPr>
          <w:color w:val="231F20"/>
          <w:spacing w:val="-9"/>
        </w:rPr>
        <w:t xml:space="preserve"> </w:t>
      </w:r>
      <w:r>
        <w:rPr>
          <w:color w:val="231F20"/>
        </w:rPr>
        <w:t>in</w:t>
      </w:r>
      <w:r>
        <w:rPr>
          <w:color w:val="231F20"/>
          <w:spacing w:val="-9"/>
        </w:rPr>
        <w:t xml:space="preserve"> </w:t>
      </w:r>
      <w:r>
        <w:rPr>
          <w:color w:val="231F20"/>
        </w:rPr>
        <w:t>Note</w:t>
      </w:r>
      <w:r>
        <w:rPr>
          <w:color w:val="231F20"/>
          <w:spacing w:val="-9"/>
        </w:rPr>
        <w:t xml:space="preserve"> </w:t>
      </w:r>
      <w:r>
        <w:rPr>
          <w:color w:val="231F20"/>
          <w:spacing w:val="-2"/>
        </w:rPr>
        <w:t>5.1(a).</w:t>
      </w:r>
    </w:p>
    <w:p w14:paraId="234695C3" w14:textId="77777777" w:rsidR="00345EE3" w:rsidRDefault="00345EE3" w:rsidP="00B2400F">
      <w:pPr>
        <w:pStyle w:val="ListParagraph"/>
        <w:numPr>
          <w:ilvl w:val="2"/>
          <w:numId w:val="26"/>
        </w:numPr>
        <w:tabs>
          <w:tab w:val="left" w:pos="674"/>
        </w:tabs>
        <w:spacing w:before="240"/>
        <w:ind w:left="0" w:firstLine="0"/>
        <w:rPr>
          <w:b/>
          <w:sz w:val="24"/>
        </w:rPr>
      </w:pPr>
      <w:r>
        <w:rPr>
          <w:b/>
          <w:color w:val="231F20"/>
          <w:sz w:val="24"/>
        </w:rPr>
        <w:t>(d)</w:t>
      </w:r>
      <w:r>
        <w:rPr>
          <w:b/>
          <w:color w:val="231F20"/>
          <w:spacing w:val="-7"/>
          <w:sz w:val="24"/>
        </w:rPr>
        <w:t xml:space="preserve"> </w:t>
      </w:r>
      <w:r>
        <w:rPr>
          <w:b/>
          <w:color w:val="231F20"/>
          <w:sz w:val="24"/>
        </w:rPr>
        <w:t>Amounts</w:t>
      </w:r>
      <w:r>
        <w:rPr>
          <w:b/>
          <w:color w:val="231F20"/>
          <w:spacing w:val="-6"/>
          <w:sz w:val="24"/>
        </w:rPr>
        <w:t xml:space="preserve"> </w:t>
      </w:r>
      <w:r>
        <w:rPr>
          <w:b/>
          <w:color w:val="231F20"/>
          <w:sz w:val="24"/>
        </w:rPr>
        <w:t>Recognised</w:t>
      </w:r>
      <w:r>
        <w:rPr>
          <w:b/>
          <w:color w:val="231F20"/>
          <w:spacing w:val="-4"/>
          <w:sz w:val="24"/>
        </w:rPr>
        <w:t xml:space="preserve"> </w:t>
      </w:r>
      <w:r>
        <w:rPr>
          <w:b/>
          <w:color w:val="231F20"/>
          <w:sz w:val="24"/>
        </w:rPr>
        <w:t>in</w:t>
      </w:r>
      <w:r>
        <w:rPr>
          <w:b/>
          <w:color w:val="231F20"/>
          <w:spacing w:val="-5"/>
          <w:sz w:val="24"/>
        </w:rPr>
        <w:t xml:space="preserve"> </w:t>
      </w:r>
      <w:r>
        <w:rPr>
          <w:b/>
          <w:color w:val="231F20"/>
          <w:sz w:val="24"/>
        </w:rPr>
        <w:t>the</w:t>
      </w:r>
      <w:r>
        <w:rPr>
          <w:b/>
          <w:color w:val="231F20"/>
          <w:spacing w:val="-5"/>
          <w:sz w:val="24"/>
        </w:rPr>
        <w:t xml:space="preserve"> </w:t>
      </w:r>
      <w:r>
        <w:rPr>
          <w:b/>
          <w:color w:val="231F20"/>
          <w:sz w:val="24"/>
        </w:rPr>
        <w:t>Comprehensive</w:t>
      </w:r>
      <w:r>
        <w:rPr>
          <w:b/>
          <w:color w:val="231F20"/>
          <w:spacing w:val="-6"/>
          <w:sz w:val="24"/>
        </w:rPr>
        <w:t xml:space="preserve"> </w:t>
      </w:r>
      <w:r>
        <w:rPr>
          <w:b/>
          <w:color w:val="231F20"/>
          <w:sz w:val="24"/>
        </w:rPr>
        <w:t>Operating</w:t>
      </w:r>
      <w:r>
        <w:rPr>
          <w:b/>
          <w:color w:val="231F20"/>
          <w:spacing w:val="-4"/>
          <w:sz w:val="24"/>
        </w:rPr>
        <w:t xml:space="preserve"> </w:t>
      </w:r>
      <w:r>
        <w:rPr>
          <w:b/>
          <w:color w:val="231F20"/>
          <w:spacing w:val="-2"/>
          <w:sz w:val="24"/>
        </w:rPr>
        <w:t>Statement</w:t>
      </w:r>
    </w:p>
    <w:p w14:paraId="65EC0FDC" w14:textId="77777777" w:rsidR="00345EE3" w:rsidRDefault="00345EE3" w:rsidP="00B2400F">
      <w:pPr>
        <w:pStyle w:val="BodyText"/>
        <w:spacing w:before="61" w:line="242" w:lineRule="auto"/>
      </w:pPr>
      <w:r>
        <w:rPr>
          <w:color w:val="231F20"/>
        </w:rPr>
        <w:t>The</w:t>
      </w:r>
      <w:r>
        <w:rPr>
          <w:color w:val="231F20"/>
          <w:spacing w:val="-12"/>
        </w:rPr>
        <w:t xml:space="preserve"> </w:t>
      </w:r>
      <w:r>
        <w:rPr>
          <w:color w:val="231F20"/>
        </w:rPr>
        <w:t>following</w:t>
      </w:r>
      <w:r>
        <w:rPr>
          <w:color w:val="231F20"/>
          <w:spacing w:val="-12"/>
        </w:rPr>
        <w:t xml:space="preserve"> </w:t>
      </w:r>
      <w:r>
        <w:rPr>
          <w:color w:val="231F20"/>
        </w:rPr>
        <w:t>amounts</w:t>
      </w:r>
      <w:r>
        <w:rPr>
          <w:color w:val="231F20"/>
          <w:spacing w:val="-11"/>
        </w:rPr>
        <w:t xml:space="preserve"> </w:t>
      </w:r>
      <w:r>
        <w:rPr>
          <w:color w:val="231F20"/>
        </w:rPr>
        <w:t>are</w:t>
      </w:r>
      <w:r>
        <w:rPr>
          <w:color w:val="231F20"/>
          <w:spacing w:val="-12"/>
        </w:rPr>
        <w:t xml:space="preserve"> </w:t>
      </w:r>
      <w:r>
        <w:rPr>
          <w:color w:val="231F20"/>
        </w:rPr>
        <w:t>recognised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Comprehensive</w:t>
      </w:r>
      <w:r>
        <w:rPr>
          <w:color w:val="231F20"/>
          <w:spacing w:val="-12"/>
        </w:rPr>
        <w:t xml:space="preserve"> </w:t>
      </w:r>
      <w:r>
        <w:rPr>
          <w:color w:val="231F20"/>
        </w:rPr>
        <w:t>Operating</w:t>
      </w:r>
      <w:r>
        <w:rPr>
          <w:color w:val="231F20"/>
          <w:spacing w:val="-12"/>
        </w:rPr>
        <w:t xml:space="preserve"> </w:t>
      </w:r>
      <w:r>
        <w:rPr>
          <w:color w:val="231F20"/>
        </w:rPr>
        <w:t>Statement</w:t>
      </w:r>
      <w:r>
        <w:rPr>
          <w:color w:val="231F20"/>
          <w:spacing w:val="-11"/>
        </w:rPr>
        <w:t xml:space="preserve"> </w:t>
      </w:r>
      <w:r>
        <w:rPr>
          <w:color w:val="231F20"/>
        </w:rPr>
        <w:t>relating</w:t>
      </w:r>
      <w:r>
        <w:rPr>
          <w:color w:val="231F20"/>
          <w:spacing w:val="-12"/>
        </w:rPr>
        <w:t xml:space="preserve"> </w:t>
      </w:r>
      <w:r>
        <w:rPr>
          <w:color w:val="231F20"/>
        </w:rPr>
        <w:t xml:space="preserve">to </w:t>
      </w:r>
      <w:r>
        <w:rPr>
          <w:color w:val="231F20"/>
          <w:spacing w:val="-2"/>
        </w:rPr>
        <w:t>leases:</w:t>
      </w:r>
    </w:p>
    <w:p w14:paraId="2C2969B4" w14:textId="77777777" w:rsidR="00345EE3" w:rsidRDefault="00345EE3" w:rsidP="00B2400F">
      <w:pPr>
        <w:pStyle w:val="BodyText"/>
        <w:spacing w:before="4"/>
        <w:rPr>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937"/>
        <w:gridCol w:w="1134"/>
        <w:gridCol w:w="1134"/>
      </w:tblGrid>
      <w:tr w:rsidR="00345EE3" w14:paraId="74166D13" w14:textId="77777777" w:rsidTr="00D73130">
        <w:trPr>
          <w:trHeight w:val="405"/>
        </w:trPr>
        <w:tc>
          <w:tcPr>
            <w:tcW w:w="10205" w:type="dxa"/>
            <w:gridSpan w:val="3"/>
            <w:tcBorders>
              <w:top w:val="nil"/>
              <w:left w:val="nil"/>
              <w:bottom w:val="nil"/>
              <w:right w:val="nil"/>
            </w:tcBorders>
            <w:shd w:val="clear" w:color="auto" w:fill="00529F"/>
          </w:tcPr>
          <w:p w14:paraId="4BC8DEC1" w14:textId="77777777" w:rsidR="00345EE3" w:rsidRDefault="00345EE3" w:rsidP="00B2400F">
            <w:pPr>
              <w:pStyle w:val="TableParagraph"/>
              <w:spacing w:before="63"/>
              <w:ind w:right="3"/>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1644A554" w14:textId="77777777" w:rsidTr="00D73130">
        <w:trPr>
          <w:trHeight w:val="397"/>
        </w:trPr>
        <w:tc>
          <w:tcPr>
            <w:tcW w:w="7937" w:type="dxa"/>
            <w:tcBorders>
              <w:top w:val="nil"/>
              <w:left w:val="nil"/>
              <w:bottom w:val="nil"/>
              <w:right w:val="nil"/>
            </w:tcBorders>
            <w:shd w:val="clear" w:color="auto" w:fill="00529F"/>
          </w:tcPr>
          <w:p w14:paraId="1B635F60" w14:textId="77777777" w:rsidR="00345EE3" w:rsidRDefault="00345EE3" w:rsidP="00B2400F">
            <w:pPr>
              <w:pStyle w:val="TableParagraph"/>
              <w:spacing w:before="0"/>
              <w:jc w:val="left"/>
              <w:rPr>
                <w:rFonts w:ascii="Times New Roman"/>
                <w:sz w:val="24"/>
              </w:rPr>
            </w:pPr>
          </w:p>
        </w:tc>
        <w:tc>
          <w:tcPr>
            <w:tcW w:w="1134" w:type="dxa"/>
            <w:tcBorders>
              <w:top w:val="nil"/>
              <w:left w:val="nil"/>
              <w:bottom w:val="nil"/>
              <w:right w:val="nil"/>
            </w:tcBorders>
            <w:shd w:val="clear" w:color="auto" w:fill="00529F"/>
          </w:tcPr>
          <w:p w14:paraId="4E4EA7E3" w14:textId="77777777" w:rsidR="00345EE3" w:rsidRDefault="00345EE3" w:rsidP="00B2400F">
            <w:pPr>
              <w:pStyle w:val="TableParagraph"/>
              <w:spacing w:before="59"/>
              <w:ind w:right="3"/>
              <w:rPr>
                <w:b/>
                <w:sz w:val="24"/>
              </w:rPr>
            </w:pPr>
            <w:r>
              <w:rPr>
                <w:b/>
                <w:color w:val="FFFFFF"/>
                <w:spacing w:val="-4"/>
                <w:sz w:val="24"/>
              </w:rPr>
              <w:t>2022</w:t>
            </w:r>
          </w:p>
        </w:tc>
        <w:tc>
          <w:tcPr>
            <w:tcW w:w="1134" w:type="dxa"/>
            <w:tcBorders>
              <w:top w:val="nil"/>
              <w:left w:val="nil"/>
              <w:bottom w:val="nil"/>
              <w:right w:val="nil"/>
            </w:tcBorders>
            <w:shd w:val="clear" w:color="auto" w:fill="00529F"/>
          </w:tcPr>
          <w:p w14:paraId="3A8B8A47" w14:textId="77777777" w:rsidR="00345EE3" w:rsidRDefault="00345EE3" w:rsidP="00B2400F">
            <w:pPr>
              <w:pStyle w:val="TableParagraph"/>
              <w:spacing w:before="59"/>
              <w:rPr>
                <w:b/>
                <w:sz w:val="24"/>
              </w:rPr>
            </w:pPr>
            <w:r>
              <w:rPr>
                <w:b/>
                <w:color w:val="FFFFFF"/>
                <w:spacing w:val="-4"/>
                <w:sz w:val="24"/>
              </w:rPr>
              <w:t>2021</w:t>
            </w:r>
          </w:p>
        </w:tc>
      </w:tr>
      <w:tr w:rsidR="00345EE3" w14:paraId="5794C000" w14:textId="77777777" w:rsidTr="00D73130">
        <w:trPr>
          <w:trHeight w:val="396"/>
        </w:trPr>
        <w:tc>
          <w:tcPr>
            <w:tcW w:w="7937" w:type="dxa"/>
            <w:tcBorders>
              <w:top w:val="nil"/>
              <w:left w:val="nil"/>
            </w:tcBorders>
          </w:tcPr>
          <w:p w14:paraId="628751B1" w14:textId="77777777" w:rsidR="00345EE3" w:rsidRDefault="00345EE3" w:rsidP="00B2400F">
            <w:pPr>
              <w:pStyle w:val="TableParagraph"/>
              <w:jc w:val="left"/>
              <w:rPr>
                <w:sz w:val="24"/>
              </w:rPr>
            </w:pPr>
            <w:r>
              <w:rPr>
                <w:color w:val="231F20"/>
                <w:sz w:val="24"/>
              </w:rPr>
              <w:t>Interest</w:t>
            </w:r>
            <w:r>
              <w:rPr>
                <w:color w:val="231F20"/>
                <w:spacing w:val="-3"/>
                <w:sz w:val="24"/>
              </w:rPr>
              <w:t xml:space="preserve"> </w:t>
            </w:r>
            <w:r>
              <w:rPr>
                <w:color w:val="231F20"/>
                <w:sz w:val="24"/>
              </w:rPr>
              <w:t>expense</w:t>
            </w:r>
            <w:r>
              <w:rPr>
                <w:color w:val="231F20"/>
                <w:spacing w:val="-4"/>
                <w:sz w:val="24"/>
              </w:rPr>
              <w:t xml:space="preserve"> </w:t>
            </w:r>
            <w:r>
              <w:rPr>
                <w:color w:val="231F20"/>
                <w:sz w:val="24"/>
              </w:rPr>
              <w:t>on</w:t>
            </w:r>
            <w:r>
              <w:rPr>
                <w:color w:val="231F20"/>
                <w:spacing w:val="-4"/>
                <w:sz w:val="24"/>
              </w:rPr>
              <w:t xml:space="preserve"> </w:t>
            </w:r>
            <w:r>
              <w:rPr>
                <w:color w:val="231F20"/>
                <w:sz w:val="24"/>
              </w:rPr>
              <w:t>lease</w:t>
            </w:r>
            <w:r>
              <w:rPr>
                <w:color w:val="231F20"/>
                <w:spacing w:val="-3"/>
                <w:sz w:val="24"/>
              </w:rPr>
              <w:t xml:space="preserve"> </w:t>
            </w:r>
            <w:r>
              <w:rPr>
                <w:color w:val="231F20"/>
                <w:spacing w:val="-2"/>
                <w:sz w:val="24"/>
              </w:rPr>
              <w:t>liabilities</w:t>
            </w:r>
          </w:p>
        </w:tc>
        <w:tc>
          <w:tcPr>
            <w:tcW w:w="1134" w:type="dxa"/>
            <w:tcBorders>
              <w:top w:val="nil"/>
            </w:tcBorders>
            <w:shd w:val="clear" w:color="auto" w:fill="E6E7E8"/>
          </w:tcPr>
          <w:p w14:paraId="7C55ECC2" w14:textId="77777777" w:rsidR="00345EE3" w:rsidRDefault="00345EE3" w:rsidP="00B2400F">
            <w:pPr>
              <w:pStyle w:val="TableParagraph"/>
              <w:ind w:right="1"/>
              <w:rPr>
                <w:sz w:val="24"/>
              </w:rPr>
            </w:pPr>
            <w:r>
              <w:rPr>
                <w:color w:val="231F20"/>
                <w:spacing w:val="-2"/>
                <w:sz w:val="24"/>
              </w:rPr>
              <w:t>61,320</w:t>
            </w:r>
          </w:p>
        </w:tc>
        <w:tc>
          <w:tcPr>
            <w:tcW w:w="1134" w:type="dxa"/>
            <w:tcBorders>
              <w:top w:val="nil"/>
              <w:right w:val="nil"/>
            </w:tcBorders>
          </w:tcPr>
          <w:p w14:paraId="0768B92E" w14:textId="77777777" w:rsidR="00345EE3" w:rsidRDefault="00345EE3" w:rsidP="00B2400F">
            <w:pPr>
              <w:pStyle w:val="TableParagraph"/>
              <w:rPr>
                <w:sz w:val="24"/>
              </w:rPr>
            </w:pPr>
            <w:r>
              <w:rPr>
                <w:color w:val="231F20"/>
                <w:spacing w:val="-2"/>
                <w:sz w:val="24"/>
              </w:rPr>
              <w:t>63,237</w:t>
            </w:r>
          </w:p>
        </w:tc>
      </w:tr>
      <w:tr w:rsidR="00345EE3" w14:paraId="2ECA1D72" w14:textId="77777777" w:rsidTr="00D73130">
        <w:trPr>
          <w:trHeight w:val="396"/>
        </w:trPr>
        <w:tc>
          <w:tcPr>
            <w:tcW w:w="7937" w:type="dxa"/>
            <w:tcBorders>
              <w:left w:val="nil"/>
            </w:tcBorders>
          </w:tcPr>
          <w:p w14:paraId="009692E0" w14:textId="77777777" w:rsidR="00345EE3" w:rsidRDefault="00345EE3" w:rsidP="00B2400F">
            <w:pPr>
              <w:pStyle w:val="TableParagraph"/>
              <w:jc w:val="left"/>
              <w:rPr>
                <w:sz w:val="24"/>
              </w:rPr>
            </w:pPr>
            <w:r>
              <w:rPr>
                <w:color w:val="231F20"/>
                <w:sz w:val="24"/>
              </w:rPr>
              <w:t xml:space="preserve">Expenses relating to short-term </w:t>
            </w:r>
            <w:r>
              <w:rPr>
                <w:color w:val="231F20"/>
                <w:spacing w:val="-2"/>
                <w:sz w:val="24"/>
              </w:rPr>
              <w:t>leases</w:t>
            </w:r>
          </w:p>
        </w:tc>
        <w:tc>
          <w:tcPr>
            <w:tcW w:w="1134" w:type="dxa"/>
            <w:shd w:val="clear" w:color="auto" w:fill="E6E7E8"/>
          </w:tcPr>
          <w:p w14:paraId="2B8D4ACE" w14:textId="77777777" w:rsidR="00345EE3" w:rsidRDefault="00345EE3" w:rsidP="00B2400F">
            <w:pPr>
              <w:pStyle w:val="TableParagraph"/>
              <w:ind w:right="2"/>
              <w:rPr>
                <w:sz w:val="24"/>
              </w:rPr>
            </w:pPr>
            <w:r>
              <w:rPr>
                <w:color w:val="231F20"/>
                <w:spacing w:val="-2"/>
                <w:sz w:val="24"/>
              </w:rPr>
              <w:t>7,502</w:t>
            </w:r>
          </w:p>
        </w:tc>
        <w:tc>
          <w:tcPr>
            <w:tcW w:w="1134" w:type="dxa"/>
            <w:tcBorders>
              <w:right w:val="nil"/>
            </w:tcBorders>
          </w:tcPr>
          <w:p w14:paraId="667B99DA" w14:textId="77777777" w:rsidR="00345EE3" w:rsidRDefault="00345EE3" w:rsidP="00B2400F">
            <w:pPr>
              <w:pStyle w:val="TableParagraph"/>
              <w:rPr>
                <w:sz w:val="24"/>
              </w:rPr>
            </w:pPr>
            <w:r>
              <w:rPr>
                <w:color w:val="231F20"/>
                <w:spacing w:val="-4"/>
                <w:sz w:val="24"/>
              </w:rPr>
              <w:t>4,117</w:t>
            </w:r>
          </w:p>
        </w:tc>
      </w:tr>
      <w:tr w:rsidR="00345EE3" w14:paraId="30A99E70" w14:textId="77777777" w:rsidTr="00D73130">
        <w:trPr>
          <w:trHeight w:val="393"/>
        </w:trPr>
        <w:tc>
          <w:tcPr>
            <w:tcW w:w="7937" w:type="dxa"/>
            <w:tcBorders>
              <w:left w:val="nil"/>
              <w:bottom w:val="single" w:sz="4" w:space="0" w:color="231F20"/>
            </w:tcBorders>
          </w:tcPr>
          <w:p w14:paraId="1AD86719" w14:textId="77777777" w:rsidR="00345EE3" w:rsidRDefault="00345EE3" w:rsidP="00B2400F">
            <w:pPr>
              <w:pStyle w:val="TableParagraph"/>
              <w:jc w:val="left"/>
              <w:rPr>
                <w:sz w:val="24"/>
              </w:rPr>
            </w:pPr>
            <w:r>
              <w:rPr>
                <w:color w:val="231F20"/>
                <w:sz w:val="24"/>
              </w:rPr>
              <w:t>Income from sub-</w:t>
            </w:r>
            <w:r>
              <w:rPr>
                <w:color w:val="231F20"/>
                <w:spacing w:val="-2"/>
                <w:sz w:val="24"/>
              </w:rPr>
              <w:t>leasing</w:t>
            </w:r>
          </w:p>
        </w:tc>
        <w:tc>
          <w:tcPr>
            <w:tcW w:w="1134" w:type="dxa"/>
            <w:tcBorders>
              <w:bottom w:val="single" w:sz="4" w:space="0" w:color="231F20"/>
            </w:tcBorders>
            <w:shd w:val="clear" w:color="auto" w:fill="E6E7E8"/>
          </w:tcPr>
          <w:p w14:paraId="7AF7E4E6" w14:textId="77777777" w:rsidR="00345EE3" w:rsidRDefault="00345EE3" w:rsidP="00B2400F">
            <w:pPr>
              <w:pStyle w:val="TableParagraph"/>
              <w:rPr>
                <w:sz w:val="24"/>
              </w:rPr>
            </w:pPr>
            <w:r>
              <w:rPr>
                <w:color w:val="231F20"/>
                <w:spacing w:val="-2"/>
                <w:sz w:val="24"/>
              </w:rPr>
              <w:t>(3,788)</w:t>
            </w:r>
          </w:p>
        </w:tc>
        <w:tc>
          <w:tcPr>
            <w:tcW w:w="1134" w:type="dxa"/>
            <w:tcBorders>
              <w:bottom w:val="single" w:sz="4" w:space="0" w:color="231F20"/>
              <w:right w:val="nil"/>
            </w:tcBorders>
          </w:tcPr>
          <w:p w14:paraId="13153BF3" w14:textId="77777777" w:rsidR="00345EE3" w:rsidRDefault="00345EE3" w:rsidP="00B2400F">
            <w:pPr>
              <w:pStyle w:val="TableParagraph"/>
              <w:rPr>
                <w:sz w:val="24"/>
              </w:rPr>
            </w:pPr>
            <w:r>
              <w:rPr>
                <w:color w:val="231F20"/>
                <w:spacing w:val="-2"/>
                <w:sz w:val="24"/>
              </w:rPr>
              <w:t>(634)</w:t>
            </w:r>
          </w:p>
        </w:tc>
      </w:tr>
      <w:tr w:rsidR="00345EE3" w14:paraId="3F4B4A38" w14:textId="77777777" w:rsidTr="00D73130">
        <w:trPr>
          <w:trHeight w:val="386"/>
        </w:trPr>
        <w:tc>
          <w:tcPr>
            <w:tcW w:w="7937" w:type="dxa"/>
            <w:tcBorders>
              <w:top w:val="single" w:sz="4" w:space="0" w:color="231F20"/>
              <w:left w:val="nil"/>
              <w:bottom w:val="single" w:sz="8" w:space="0" w:color="231F20"/>
            </w:tcBorders>
          </w:tcPr>
          <w:p w14:paraId="762FFB43" w14:textId="77777777" w:rsidR="00345EE3" w:rsidRDefault="00345EE3" w:rsidP="00B2400F">
            <w:pPr>
              <w:pStyle w:val="TableParagraph"/>
              <w:spacing w:before="58"/>
              <w:jc w:val="left"/>
              <w:rPr>
                <w:b/>
                <w:sz w:val="24"/>
              </w:rPr>
            </w:pPr>
            <w:r>
              <w:rPr>
                <w:b/>
                <w:color w:val="231F20"/>
                <w:sz w:val="24"/>
              </w:rPr>
              <w:t>Total</w:t>
            </w:r>
            <w:r>
              <w:rPr>
                <w:b/>
                <w:color w:val="231F20"/>
                <w:spacing w:val="-7"/>
                <w:sz w:val="24"/>
              </w:rPr>
              <w:t xml:space="preserve"> </w:t>
            </w:r>
            <w:r>
              <w:rPr>
                <w:b/>
                <w:color w:val="231F20"/>
                <w:sz w:val="24"/>
              </w:rPr>
              <w:t>amount</w:t>
            </w:r>
            <w:r>
              <w:rPr>
                <w:b/>
                <w:color w:val="231F20"/>
                <w:spacing w:val="-7"/>
                <w:sz w:val="24"/>
              </w:rPr>
              <w:t xml:space="preserve"> </w:t>
            </w:r>
            <w:r>
              <w:rPr>
                <w:b/>
                <w:color w:val="231F20"/>
                <w:sz w:val="24"/>
              </w:rPr>
              <w:t>recognised</w:t>
            </w:r>
            <w:r>
              <w:rPr>
                <w:b/>
                <w:color w:val="231F20"/>
                <w:spacing w:val="-7"/>
                <w:sz w:val="24"/>
              </w:rPr>
              <w:t xml:space="preserve"> </w:t>
            </w:r>
            <w:r>
              <w:rPr>
                <w:b/>
                <w:color w:val="231F20"/>
                <w:sz w:val="24"/>
              </w:rPr>
              <w:t>in</w:t>
            </w:r>
            <w:r>
              <w:rPr>
                <w:b/>
                <w:color w:val="231F20"/>
                <w:spacing w:val="-7"/>
                <w:sz w:val="24"/>
              </w:rPr>
              <w:t xml:space="preserve"> </w:t>
            </w:r>
            <w:r>
              <w:rPr>
                <w:b/>
                <w:color w:val="231F20"/>
                <w:sz w:val="24"/>
              </w:rPr>
              <w:t>the</w:t>
            </w:r>
            <w:r>
              <w:rPr>
                <w:b/>
                <w:color w:val="231F20"/>
                <w:spacing w:val="-6"/>
                <w:sz w:val="24"/>
              </w:rPr>
              <w:t xml:space="preserve"> </w:t>
            </w:r>
            <w:r>
              <w:rPr>
                <w:b/>
                <w:color w:val="231F20"/>
                <w:sz w:val="24"/>
              </w:rPr>
              <w:t>Comprehensive</w:t>
            </w:r>
            <w:r>
              <w:rPr>
                <w:b/>
                <w:color w:val="231F20"/>
                <w:spacing w:val="-7"/>
                <w:sz w:val="24"/>
              </w:rPr>
              <w:t xml:space="preserve"> </w:t>
            </w:r>
            <w:r>
              <w:rPr>
                <w:b/>
                <w:color w:val="231F20"/>
                <w:sz w:val="24"/>
              </w:rPr>
              <w:t>Operating</w:t>
            </w:r>
            <w:r>
              <w:rPr>
                <w:b/>
                <w:color w:val="231F20"/>
                <w:spacing w:val="-6"/>
                <w:sz w:val="24"/>
              </w:rPr>
              <w:t xml:space="preserve"> </w:t>
            </w:r>
            <w:r>
              <w:rPr>
                <w:b/>
                <w:color w:val="231F20"/>
                <w:spacing w:val="-2"/>
                <w:sz w:val="24"/>
              </w:rPr>
              <w:t>Statement</w:t>
            </w:r>
          </w:p>
        </w:tc>
        <w:tc>
          <w:tcPr>
            <w:tcW w:w="1134" w:type="dxa"/>
            <w:tcBorders>
              <w:top w:val="single" w:sz="4" w:space="0" w:color="231F20"/>
              <w:bottom w:val="single" w:sz="8" w:space="0" w:color="231F20"/>
            </w:tcBorders>
            <w:shd w:val="clear" w:color="auto" w:fill="E6E7E8"/>
          </w:tcPr>
          <w:p w14:paraId="29C72B9B" w14:textId="77777777" w:rsidR="00345EE3" w:rsidRDefault="00345EE3" w:rsidP="00B2400F">
            <w:pPr>
              <w:pStyle w:val="TableParagraph"/>
              <w:spacing w:before="58"/>
              <w:rPr>
                <w:b/>
                <w:sz w:val="24"/>
              </w:rPr>
            </w:pPr>
            <w:r>
              <w:rPr>
                <w:b/>
                <w:color w:val="231F20"/>
                <w:spacing w:val="-2"/>
                <w:sz w:val="24"/>
              </w:rPr>
              <w:t>65,034</w:t>
            </w:r>
          </w:p>
        </w:tc>
        <w:tc>
          <w:tcPr>
            <w:tcW w:w="1134" w:type="dxa"/>
            <w:tcBorders>
              <w:top w:val="single" w:sz="4" w:space="0" w:color="231F20"/>
              <w:bottom w:val="single" w:sz="8" w:space="0" w:color="231F20"/>
              <w:right w:val="nil"/>
            </w:tcBorders>
          </w:tcPr>
          <w:p w14:paraId="58E0B34C" w14:textId="77777777" w:rsidR="00345EE3" w:rsidRDefault="00345EE3" w:rsidP="00B2400F">
            <w:pPr>
              <w:pStyle w:val="TableParagraph"/>
              <w:spacing w:before="58"/>
              <w:ind w:right="-15"/>
              <w:rPr>
                <w:b/>
                <w:sz w:val="24"/>
              </w:rPr>
            </w:pPr>
            <w:r>
              <w:rPr>
                <w:b/>
                <w:color w:val="231F20"/>
                <w:spacing w:val="-2"/>
                <w:sz w:val="24"/>
              </w:rPr>
              <w:t>66,720</w:t>
            </w:r>
          </w:p>
        </w:tc>
      </w:tr>
    </w:tbl>
    <w:p w14:paraId="466B177E" w14:textId="77777777" w:rsidR="00345EE3" w:rsidRDefault="00345EE3" w:rsidP="00B2400F">
      <w:pPr>
        <w:rPr>
          <w:b/>
          <w:bCs/>
          <w:color w:val="231F20"/>
          <w:sz w:val="24"/>
          <w:szCs w:val="24"/>
        </w:rPr>
      </w:pPr>
      <w:r>
        <w:rPr>
          <w:color w:val="231F20"/>
        </w:rPr>
        <w:br w:type="page"/>
      </w:r>
    </w:p>
    <w:p w14:paraId="15710BC0" w14:textId="77777777" w:rsidR="00345EE3" w:rsidRDefault="00345EE3" w:rsidP="009E651C">
      <w:pPr>
        <w:pStyle w:val="Heading5"/>
        <w:numPr>
          <w:ilvl w:val="2"/>
          <w:numId w:val="25"/>
        </w:numPr>
        <w:tabs>
          <w:tab w:val="left" w:pos="674"/>
        </w:tabs>
        <w:spacing w:before="215"/>
        <w:ind w:left="142" w:firstLine="0"/>
      </w:pPr>
      <w:r>
        <w:rPr>
          <w:color w:val="231F20"/>
        </w:rPr>
        <w:t>(e)</w:t>
      </w:r>
      <w:r>
        <w:rPr>
          <w:color w:val="231F20"/>
          <w:spacing w:val="-7"/>
        </w:rPr>
        <w:t xml:space="preserve"> </w:t>
      </w:r>
      <w:r>
        <w:rPr>
          <w:color w:val="231F20"/>
        </w:rPr>
        <w:t>Amounts</w:t>
      </w:r>
      <w:r>
        <w:rPr>
          <w:color w:val="231F20"/>
          <w:spacing w:val="-6"/>
        </w:rPr>
        <w:t xml:space="preserve"> </w:t>
      </w:r>
      <w:r>
        <w:rPr>
          <w:color w:val="231F20"/>
        </w:rPr>
        <w:t>Recognised</w:t>
      </w:r>
      <w:r>
        <w:rPr>
          <w:color w:val="231F20"/>
          <w:spacing w:val="-4"/>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Cash</w:t>
      </w:r>
      <w:r>
        <w:rPr>
          <w:color w:val="231F20"/>
          <w:spacing w:val="-5"/>
        </w:rPr>
        <w:t xml:space="preserve"> </w:t>
      </w:r>
      <w:r>
        <w:rPr>
          <w:color w:val="231F20"/>
        </w:rPr>
        <w:t>flow</w:t>
      </w:r>
      <w:r>
        <w:rPr>
          <w:color w:val="231F20"/>
          <w:spacing w:val="-4"/>
        </w:rPr>
        <w:t xml:space="preserve"> </w:t>
      </w:r>
      <w:r>
        <w:rPr>
          <w:color w:val="231F20"/>
          <w:spacing w:val="-2"/>
        </w:rPr>
        <w:t>Statement</w:t>
      </w:r>
    </w:p>
    <w:p w14:paraId="2CDC8976" w14:textId="0DF57462" w:rsidR="00345EE3" w:rsidRDefault="00345EE3" w:rsidP="00345EE3">
      <w:pPr>
        <w:pStyle w:val="BodyText"/>
        <w:spacing w:before="60" w:line="242" w:lineRule="auto"/>
        <w:ind w:right="381"/>
      </w:pPr>
      <w:r>
        <w:rPr>
          <w:color w:val="231F20"/>
        </w:rPr>
        <w:t>The</w:t>
      </w:r>
      <w:r>
        <w:rPr>
          <w:color w:val="231F20"/>
          <w:spacing w:val="-9"/>
        </w:rPr>
        <w:t xml:space="preserve"> </w:t>
      </w:r>
      <w:r>
        <w:rPr>
          <w:color w:val="231F20"/>
        </w:rPr>
        <w:t>following</w:t>
      </w:r>
      <w:r>
        <w:rPr>
          <w:color w:val="231F20"/>
          <w:spacing w:val="-9"/>
        </w:rPr>
        <w:t xml:space="preserve"> </w:t>
      </w:r>
      <w:r>
        <w:rPr>
          <w:color w:val="231F20"/>
        </w:rPr>
        <w:t>amounts</w:t>
      </w:r>
      <w:r>
        <w:rPr>
          <w:color w:val="231F20"/>
          <w:spacing w:val="-8"/>
        </w:rPr>
        <w:t xml:space="preserve"> </w:t>
      </w:r>
      <w:r>
        <w:rPr>
          <w:color w:val="231F20"/>
        </w:rPr>
        <w:t>are</w:t>
      </w:r>
      <w:r>
        <w:rPr>
          <w:color w:val="231F20"/>
          <w:spacing w:val="-9"/>
        </w:rPr>
        <w:t xml:space="preserve"> </w:t>
      </w:r>
      <w:r>
        <w:rPr>
          <w:color w:val="231F20"/>
        </w:rPr>
        <w:t>recognised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Statement</w:t>
      </w:r>
      <w:r>
        <w:rPr>
          <w:color w:val="231F20"/>
          <w:spacing w:val="-8"/>
        </w:rPr>
        <w:t xml:space="preserve"> </w:t>
      </w:r>
      <w:r>
        <w:rPr>
          <w:color w:val="231F20"/>
        </w:rPr>
        <w:t>of</w:t>
      </w:r>
      <w:r>
        <w:rPr>
          <w:color w:val="231F20"/>
          <w:spacing w:val="-8"/>
        </w:rPr>
        <w:t xml:space="preserve"> </w:t>
      </w:r>
      <w:r>
        <w:rPr>
          <w:color w:val="231F20"/>
        </w:rPr>
        <w:t>Cash</w:t>
      </w:r>
      <w:r>
        <w:rPr>
          <w:color w:val="231F20"/>
          <w:spacing w:val="-9"/>
        </w:rPr>
        <w:t xml:space="preserve"> </w:t>
      </w:r>
      <w:r>
        <w:rPr>
          <w:color w:val="231F20"/>
        </w:rPr>
        <w:t>flows</w:t>
      </w:r>
      <w:r>
        <w:rPr>
          <w:color w:val="231F20"/>
          <w:spacing w:val="-8"/>
        </w:rPr>
        <w:t xml:space="preserve"> </w:t>
      </w:r>
      <w:r>
        <w:rPr>
          <w:color w:val="231F20"/>
        </w:rPr>
        <w:t>for</w:t>
      </w:r>
      <w:r>
        <w:rPr>
          <w:color w:val="231F20"/>
          <w:spacing w:val="-8"/>
        </w:rPr>
        <w:t xml:space="preserve"> </w:t>
      </w:r>
      <w:r>
        <w:rPr>
          <w:color w:val="231F20"/>
        </w:rPr>
        <w:t>the</w:t>
      </w:r>
      <w:r>
        <w:rPr>
          <w:color w:val="231F20"/>
          <w:spacing w:val="-9"/>
        </w:rPr>
        <w:t xml:space="preserve"> </w:t>
      </w:r>
      <w:r>
        <w:rPr>
          <w:color w:val="231F20"/>
        </w:rPr>
        <w:t>year-ended</w:t>
      </w:r>
      <w:r>
        <w:rPr>
          <w:color w:val="231F20"/>
          <w:spacing w:val="-9"/>
        </w:rPr>
        <w:t xml:space="preserve"> </w:t>
      </w:r>
      <w:r>
        <w:rPr>
          <w:color w:val="231F20"/>
          <w:spacing w:val="-9"/>
        </w:rPr>
        <w:br/>
      </w:r>
      <w:r>
        <w:rPr>
          <w:color w:val="231F20"/>
        </w:rPr>
        <w:t>30 June 2022 relating to leases:</w:t>
      </w:r>
    </w:p>
    <w:tbl>
      <w:tblPr>
        <w:tblW w:w="0" w:type="auto"/>
        <w:tblInd w:w="-8" w:type="dxa"/>
        <w:tblLayout w:type="fixed"/>
        <w:tblCellMar>
          <w:left w:w="0" w:type="dxa"/>
          <w:right w:w="0" w:type="dxa"/>
        </w:tblCellMar>
        <w:tblLook w:val="0000" w:firstRow="0" w:lastRow="0" w:firstColumn="0" w:lastColumn="0" w:noHBand="0" w:noVBand="0"/>
      </w:tblPr>
      <w:tblGrid>
        <w:gridCol w:w="7937"/>
        <w:gridCol w:w="1134"/>
        <w:gridCol w:w="1134"/>
      </w:tblGrid>
      <w:tr w:rsidR="009E651C" w:rsidRPr="009E651C" w14:paraId="0781A4B1" w14:textId="77777777">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723F753D" w14:textId="77777777" w:rsidR="009E651C" w:rsidRPr="009E651C" w:rsidRDefault="009E651C" w:rsidP="009E651C">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9E651C">
              <w:rPr>
                <w:rFonts w:eastAsia="Myriad Pro"/>
                <w:b/>
                <w:bCs/>
                <w:color w:val="FFFFFF"/>
                <w:spacing w:val="-2"/>
                <w:sz w:val="24"/>
                <w:szCs w:val="24"/>
                <w:lang w:val="en-GB"/>
              </w:rPr>
              <w:t>($ thousand)</w:t>
            </w:r>
          </w:p>
        </w:tc>
      </w:tr>
      <w:tr w:rsidR="009E651C" w:rsidRPr="009E651C" w14:paraId="47C5C8B5" w14:textId="77777777">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397D3C6" w14:textId="77777777" w:rsidR="009E651C" w:rsidRPr="009E651C" w:rsidRDefault="009E651C" w:rsidP="009E651C">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2A4129E" w14:textId="77777777" w:rsidR="009E651C" w:rsidRPr="009E651C" w:rsidRDefault="009E651C" w:rsidP="009E651C">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9E651C">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2B6B2060" w14:textId="77777777" w:rsidR="009E651C" w:rsidRPr="009E651C" w:rsidRDefault="009E651C" w:rsidP="009E651C">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9E651C">
              <w:rPr>
                <w:rFonts w:eastAsia="Myriad Pro"/>
                <w:b/>
                <w:bCs/>
                <w:color w:val="FFFFFF"/>
                <w:spacing w:val="-2"/>
                <w:sz w:val="24"/>
                <w:szCs w:val="24"/>
                <w:lang w:val="en-GB"/>
              </w:rPr>
              <w:t>2021</w:t>
            </w:r>
          </w:p>
        </w:tc>
      </w:tr>
      <w:tr w:rsidR="009E651C" w:rsidRPr="009E651C" w14:paraId="054A8195" w14:textId="77777777">
        <w:trPr>
          <w:trHeight w:val="60"/>
        </w:trPr>
        <w:tc>
          <w:tcPr>
            <w:tcW w:w="7937" w:type="dxa"/>
            <w:tcBorders>
              <w:top w:val="single" w:sz="2" w:space="0" w:color="9D9C9C"/>
              <w:left w:val="single" w:sz="6" w:space="0" w:color="9D9C9C"/>
              <w:bottom w:val="single" w:sz="8" w:space="0" w:color="000000"/>
              <w:right w:val="single" w:sz="2" w:space="0" w:color="9D9C9C"/>
            </w:tcBorders>
            <w:tcMar>
              <w:top w:w="113" w:type="dxa"/>
              <w:left w:w="14" w:type="dxa"/>
              <w:bottom w:w="113" w:type="dxa"/>
              <w:right w:w="14" w:type="dxa"/>
            </w:tcMar>
          </w:tcPr>
          <w:p w14:paraId="09B1ACB0" w14:textId="77777777" w:rsidR="009E651C" w:rsidRPr="009E651C" w:rsidRDefault="009E651C" w:rsidP="009E651C">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9E651C">
              <w:rPr>
                <w:rFonts w:eastAsia="Myriad Pro"/>
                <w:b/>
                <w:bCs/>
                <w:color w:val="000000"/>
                <w:sz w:val="24"/>
                <w:szCs w:val="24"/>
                <w:lang w:val="en-GB"/>
              </w:rPr>
              <w:t>Total cash outflow for leases</w:t>
            </w:r>
          </w:p>
        </w:tc>
        <w:tc>
          <w:tcPr>
            <w:tcW w:w="1134" w:type="dxa"/>
            <w:tcBorders>
              <w:top w:val="single" w:sz="2" w:space="0" w:color="9D9C9C"/>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003A82C1" w14:textId="77777777" w:rsidR="009E651C" w:rsidRPr="009E651C" w:rsidRDefault="009E651C" w:rsidP="009E651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9E651C">
              <w:rPr>
                <w:rFonts w:eastAsia="Myriad Pro"/>
                <w:b/>
                <w:bCs/>
                <w:color w:val="000000"/>
                <w:sz w:val="24"/>
                <w:szCs w:val="24"/>
                <w:lang w:val="en-GB"/>
              </w:rPr>
              <w:t xml:space="preserve">96,466 </w:t>
            </w:r>
          </w:p>
        </w:tc>
        <w:tc>
          <w:tcPr>
            <w:tcW w:w="1134" w:type="dxa"/>
            <w:tcBorders>
              <w:top w:val="single" w:sz="2" w:space="0" w:color="9D9C9C"/>
              <w:left w:val="single" w:sz="2" w:space="0" w:color="9D9C9C"/>
              <w:bottom w:val="single" w:sz="8" w:space="0" w:color="000000"/>
              <w:right w:val="single" w:sz="6" w:space="0" w:color="9D9C9C"/>
            </w:tcBorders>
            <w:tcMar>
              <w:top w:w="113" w:type="dxa"/>
              <w:left w:w="14" w:type="dxa"/>
              <w:bottom w:w="113" w:type="dxa"/>
              <w:right w:w="14" w:type="dxa"/>
            </w:tcMar>
          </w:tcPr>
          <w:p w14:paraId="5FB6DD09" w14:textId="77777777" w:rsidR="009E651C" w:rsidRPr="009E651C" w:rsidRDefault="009E651C" w:rsidP="009E651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9E651C">
              <w:rPr>
                <w:rFonts w:eastAsia="Myriad Pro"/>
                <w:b/>
                <w:bCs/>
                <w:color w:val="000000"/>
                <w:sz w:val="24"/>
                <w:szCs w:val="24"/>
                <w:lang w:val="en-GB"/>
              </w:rPr>
              <w:t xml:space="preserve">90,015 </w:t>
            </w:r>
          </w:p>
        </w:tc>
      </w:tr>
    </w:tbl>
    <w:p w14:paraId="74A4EE14" w14:textId="77777777" w:rsidR="00345EE3" w:rsidRDefault="00345EE3" w:rsidP="00345EE3">
      <w:pPr>
        <w:pStyle w:val="BodyText"/>
        <w:spacing w:before="99" w:line="242" w:lineRule="auto"/>
        <w:ind w:right="281"/>
      </w:pPr>
      <w:r>
        <w:rPr>
          <w:color w:val="231F20"/>
        </w:rPr>
        <w:t>For</w:t>
      </w:r>
      <w:r>
        <w:rPr>
          <w:color w:val="231F20"/>
          <w:spacing w:val="-6"/>
        </w:rPr>
        <w:t xml:space="preserve"> </w:t>
      </w:r>
      <w:r>
        <w:rPr>
          <w:color w:val="231F20"/>
        </w:rPr>
        <w:t>any</w:t>
      </w:r>
      <w:r>
        <w:rPr>
          <w:color w:val="231F20"/>
          <w:spacing w:val="-6"/>
        </w:rPr>
        <w:t xml:space="preserve"> </w:t>
      </w:r>
      <w:r>
        <w:rPr>
          <w:color w:val="231F20"/>
        </w:rPr>
        <w:t>new</w:t>
      </w:r>
      <w:r>
        <w:rPr>
          <w:color w:val="231F20"/>
          <w:spacing w:val="-7"/>
        </w:rPr>
        <w:t xml:space="preserve"> </w:t>
      </w:r>
      <w:r>
        <w:rPr>
          <w:color w:val="231F20"/>
        </w:rPr>
        <w:t>contracts</w:t>
      </w:r>
      <w:r>
        <w:rPr>
          <w:color w:val="231F20"/>
          <w:spacing w:val="-6"/>
        </w:rPr>
        <w:t xml:space="preserve"> </w:t>
      </w:r>
      <w:r>
        <w:rPr>
          <w:color w:val="231F20"/>
        </w:rPr>
        <w:t>entered</w:t>
      </w:r>
      <w:r>
        <w:rPr>
          <w:color w:val="231F20"/>
          <w:spacing w:val="-7"/>
        </w:rPr>
        <w:t xml:space="preserve"> </w:t>
      </w:r>
      <w:r>
        <w:rPr>
          <w:color w:val="231F20"/>
        </w:rPr>
        <w:t>into,</w:t>
      </w:r>
      <w:r>
        <w:rPr>
          <w:color w:val="231F20"/>
          <w:spacing w:val="-6"/>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considers</w:t>
      </w:r>
      <w:r>
        <w:rPr>
          <w:color w:val="231F20"/>
          <w:spacing w:val="-6"/>
        </w:rPr>
        <w:t xml:space="preserve"> </w:t>
      </w:r>
      <w:r>
        <w:rPr>
          <w:color w:val="231F20"/>
        </w:rPr>
        <w:t>whether</w:t>
      </w:r>
      <w:r>
        <w:rPr>
          <w:color w:val="231F20"/>
          <w:spacing w:val="-6"/>
        </w:rPr>
        <w:t xml:space="preserve"> </w:t>
      </w:r>
      <w:r>
        <w:rPr>
          <w:color w:val="231F20"/>
        </w:rPr>
        <w:t>a</w:t>
      </w:r>
      <w:r>
        <w:rPr>
          <w:color w:val="231F20"/>
          <w:spacing w:val="-7"/>
        </w:rPr>
        <w:t xml:space="preserve"> </w:t>
      </w:r>
      <w:r>
        <w:rPr>
          <w:color w:val="231F20"/>
        </w:rPr>
        <w:t>contract</w:t>
      </w:r>
      <w:r>
        <w:rPr>
          <w:color w:val="231F20"/>
          <w:spacing w:val="-6"/>
        </w:rPr>
        <w:t xml:space="preserve"> </w:t>
      </w:r>
      <w:r>
        <w:rPr>
          <w:color w:val="231F20"/>
        </w:rPr>
        <w:t>is,</w:t>
      </w:r>
      <w:r>
        <w:rPr>
          <w:color w:val="231F20"/>
          <w:spacing w:val="-6"/>
        </w:rPr>
        <w:t xml:space="preserve"> </w:t>
      </w:r>
      <w:r>
        <w:rPr>
          <w:color w:val="231F20"/>
        </w:rPr>
        <w:t>or</w:t>
      </w:r>
      <w:r>
        <w:rPr>
          <w:color w:val="231F20"/>
          <w:spacing w:val="-6"/>
        </w:rPr>
        <w:t xml:space="preserve"> </w:t>
      </w:r>
      <w:r>
        <w:rPr>
          <w:color w:val="231F20"/>
        </w:rPr>
        <w:t>contains a</w:t>
      </w:r>
      <w:r>
        <w:rPr>
          <w:color w:val="231F20"/>
          <w:spacing w:val="-3"/>
        </w:rPr>
        <w:t xml:space="preserve"> </w:t>
      </w:r>
      <w:r>
        <w:rPr>
          <w:color w:val="231F20"/>
        </w:rPr>
        <w:t>lease.</w:t>
      </w:r>
      <w:r>
        <w:rPr>
          <w:color w:val="231F20"/>
          <w:spacing w:val="-2"/>
        </w:rPr>
        <w:t xml:space="preserve"> </w:t>
      </w:r>
      <w:r>
        <w:rPr>
          <w:color w:val="231F20"/>
        </w:rPr>
        <w:t>A</w:t>
      </w:r>
      <w:r>
        <w:rPr>
          <w:color w:val="231F20"/>
          <w:spacing w:val="-2"/>
        </w:rPr>
        <w:t xml:space="preserve"> </w:t>
      </w:r>
      <w:r>
        <w:rPr>
          <w:color w:val="231F20"/>
        </w:rPr>
        <w:t>lease</w:t>
      </w:r>
      <w:r>
        <w:rPr>
          <w:color w:val="231F20"/>
          <w:spacing w:val="-3"/>
        </w:rPr>
        <w:t xml:space="preserve"> </w:t>
      </w:r>
      <w:r>
        <w:rPr>
          <w:color w:val="231F20"/>
        </w:rPr>
        <w:t>is</w:t>
      </w:r>
      <w:r>
        <w:rPr>
          <w:color w:val="231F20"/>
          <w:spacing w:val="-2"/>
        </w:rPr>
        <w:t xml:space="preserve"> </w:t>
      </w:r>
      <w:r>
        <w:rPr>
          <w:color w:val="231F20"/>
        </w:rPr>
        <w:t>defined</w:t>
      </w:r>
      <w:r>
        <w:rPr>
          <w:color w:val="231F20"/>
          <w:spacing w:val="-3"/>
        </w:rPr>
        <w:t xml:space="preserve"> </w:t>
      </w:r>
      <w:r>
        <w:rPr>
          <w:color w:val="231F20"/>
        </w:rPr>
        <w:t>as</w:t>
      </w:r>
      <w:r>
        <w:rPr>
          <w:color w:val="231F20"/>
          <w:spacing w:val="-2"/>
        </w:rPr>
        <w:t xml:space="preserve"> </w:t>
      </w:r>
      <w:r>
        <w:rPr>
          <w:color w:val="231F20"/>
        </w:rPr>
        <w:t>‘a</w:t>
      </w:r>
      <w:r>
        <w:rPr>
          <w:color w:val="231F20"/>
          <w:spacing w:val="-3"/>
        </w:rPr>
        <w:t xml:space="preserve"> </w:t>
      </w:r>
      <w:r>
        <w:rPr>
          <w:color w:val="231F20"/>
        </w:rPr>
        <w:t>contract,</w:t>
      </w:r>
      <w:r>
        <w:rPr>
          <w:color w:val="231F20"/>
          <w:spacing w:val="-2"/>
        </w:rPr>
        <w:t xml:space="preserve"> </w:t>
      </w:r>
      <w:r>
        <w:rPr>
          <w:color w:val="231F20"/>
        </w:rPr>
        <w:t>or</w:t>
      </w:r>
      <w:r>
        <w:rPr>
          <w:color w:val="231F20"/>
          <w:spacing w:val="-2"/>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a</w:t>
      </w:r>
      <w:r>
        <w:rPr>
          <w:color w:val="231F20"/>
          <w:spacing w:val="-3"/>
        </w:rPr>
        <w:t xml:space="preserve"> </w:t>
      </w:r>
      <w:r>
        <w:rPr>
          <w:color w:val="231F20"/>
        </w:rPr>
        <w:t>contract,</w:t>
      </w:r>
      <w:r>
        <w:rPr>
          <w:color w:val="231F20"/>
          <w:spacing w:val="-2"/>
        </w:rPr>
        <w:t xml:space="preserve"> </w:t>
      </w:r>
      <w:r>
        <w:rPr>
          <w:color w:val="231F20"/>
        </w:rPr>
        <w:t>that</w:t>
      </w:r>
      <w:r>
        <w:rPr>
          <w:color w:val="231F20"/>
          <w:spacing w:val="-2"/>
        </w:rPr>
        <w:t xml:space="preserve"> </w:t>
      </w:r>
      <w:r>
        <w:rPr>
          <w:color w:val="231F20"/>
        </w:rPr>
        <w:t>conveys</w:t>
      </w:r>
      <w:r>
        <w:rPr>
          <w:color w:val="231F20"/>
          <w:spacing w:val="-2"/>
        </w:rPr>
        <w:t xml:space="preserve"> </w:t>
      </w:r>
      <w:r>
        <w:rPr>
          <w:color w:val="231F20"/>
        </w:rPr>
        <w:t>the</w:t>
      </w:r>
      <w:r>
        <w:rPr>
          <w:color w:val="231F20"/>
          <w:spacing w:val="-3"/>
        </w:rPr>
        <w:t xml:space="preserve"> </w:t>
      </w:r>
      <w:r>
        <w:rPr>
          <w:color w:val="231F20"/>
        </w:rPr>
        <w:t>right</w:t>
      </w:r>
      <w:r>
        <w:rPr>
          <w:color w:val="231F20"/>
          <w:spacing w:val="-2"/>
        </w:rPr>
        <w:t xml:space="preserve"> </w:t>
      </w:r>
      <w:r>
        <w:rPr>
          <w:color w:val="231F20"/>
        </w:rPr>
        <w:t>to</w:t>
      </w:r>
      <w:r>
        <w:rPr>
          <w:color w:val="231F20"/>
          <w:spacing w:val="-3"/>
        </w:rPr>
        <w:t xml:space="preserve"> </w:t>
      </w:r>
      <w:r>
        <w:rPr>
          <w:color w:val="231F20"/>
        </w:rPr>
        <w:t>use</w:t>
      </w:r>
      <w:r>
        <w:rPr>
          <w:color w:val="231F20"/>
          <w:spacing w:val="-3"/>
        </w:rPr>
        <w:t xml:space="preserve"> </w:t>
      </w:r>
      <w:r>
        <w:rPr>
          <w:color w:val="231F20"/>
        </w:rPr>
        <w:t>an asset</w:t>
      </w:r>
      <w:r>
        <w:rPr>
          <w:color w:val="231F20"/>
          <w:spacing w:val="-1"/>
        </w:rPr>
        <w:t xml:space="preserve"> </w:t>
      </w:r>
      <w:r>
        <w:rPr>
          <w:color w:val="231F20"/>
        </w:rPr>
        <w:t>(the</w:t>
      </w:r>
      <w:r>
        <w:rPr>
          <w:color w:val="231F20"/>
          <w:spacing w:val="-2"/>
        </w:rPr>
        <w:t xml:space="preserve"> </w:t>
      </w:r>
      <w:r>
        <w:rPr>
          <w:color w:val="231F20"/>
        </w:rPr>
        <w:t>underlying</w:t>
      </w:r>
      <w:r>
        <w:rPr>
          <w:color w:val="231F20"/>
          <w:spacing w:val="-2"/>
        </w:rPr>
        <w:t xml:space="preserve"> </w:t>
      </w:r>
      <w:r>
        <w:rPr>
          <w:color w:val="231F20"/>
        </w:rPr>
        <w:t>asset)</w:t>
      </w:r>
      <w:r>
        <w:rPr>
          <w:color w:val="231F20"/>
          <w:spacing w:val="-1"/>
        </w:rPr>
        <w:t xml:space="preserve"> </w:t>
      </w:r>
      <w:r>
        <w:rPr>
          <w:color w:val="231F20"/>
        </w:rPr>
        <w:t>for</w:t>
      </w:r>
      <w:r>
        <w:rPr>
          <w:color w:val="231F20"/>
          <w:spacing w:val="-1"/>
        </w:rPr>
        <w:t xml:space="preserve"> </w:t>
      </w:r>
      <w:r>
        <w:rPr>
          <w:color w:val="231F20"/>
        </w:rPr>
        <w:t>a</w:t>
      </w:r>
      <w:r>
        <w:rPr>
          <w:color w:val="231F20"/>
          <w:spacing w:val="-2"/>
        </w:rPr>
        <w:t xml:space="preserve"> </w:t>
      </w:r>
      <w:r>
        <w:rPr>
          <w:color w:val="231F20"/>
        </w:rPr>
        <w:t>period</w:t>
      </w:r>
      <w:r>
        <w:rPr>
          <w:color w:val="231F20"/>
          <w:spacing w:val="-2"/>
        </w:rPr>
        <w:t xml:space="preserve"> </w:t>
      </w:r>
      <w:r>
        <w:rPr>
          <w:color w:val="231F20"/>
        </w:rPr>
        <w:t>of</w:t>
      </w:r>
      <w:r>
        <w:rPr>
          <w:color w:val="231F20"/>
          <w:spacing w:val="-1"/>
        </w:rPr>
        <w:t xml:space="preserve"> </w:t>
      </w:r>
      <w:r>
        <w:rPr>
          <w:color w:val="231F20"/>
        </w:rPr>
        <w:t>time</w:t>
      </w:r>
      <w:r>
        <w:rPr>
          <w:color w:val="231F20"/>
          <w:spacing w:val="-2"/>
        </w:rPr>
        <w:t xml:space="preserve"> </w:t>
      </w:r>
      <w:r>
        <w:rPr>
          <w:color w:val="231F20"/>
        </w:rPr>
        <w:t>in</w:t>
      </w:r>
      <w:r>
        <w:rPr>
          <w:color w:val="231F20"/>
          <w:spacing w:val="-2"/>
        </w:rPr>
        <w:t xml:space="preserve"> </w:t>
      </w:r>
      <w:r>
        <w:rPr>
          <w:color w:val="231F20"/>
        </w:rPr>
        <w:t>exchange</w:t>
      </w:r>
      <w:r>
        <w:rPr>
          <w:color w:val="231F20"/>
          <w:spacing w:val="-2"/>
        </w:rPr>
        <w:t xml:space="preserve"> </w:t>
      </w:r>
      <w:r>
        <w:rPr>
          <w:color w:val="231F20"/>
        </w:rPr>
        <w:t>for</w:t>
      </w:r>
      <w:r>
        <w:rPr>
          <w:color w:val="231F20"/>
          <w:spacing w:val="-1"/>
        </w:rPr>
        <w:t xml:space="preserve"> </w:t>
      </w:r>
      <w:r>
        <w:rPr>
          <w:color w:val="231F20"/>
        </w:rPr>
        <w:t>consideration’.</w:t>
      </w:r>
      <w:r>
        <w:rPr>
          <w:color w:val="231F20"/>
          <w:spacing w:val="-1"/>
        </w:rPr>
        <w:t xml:space="preserve"> </w:t>
      </w:r>
      <w:r>
        <w:rPr>
          <w:color w:val="231F20"/>
        </w:rPr>
        <w:t>To</w:t>
      </w:r>
      <w:r>
        <w:rPr>
          <w:color w:val="231F20"/>
          <w:spacing w:val="-2"/>
        </w:rPr>
        <w:t xml:space="preserve"> </w:t>
      </w:r>
      <w:r>
        <w:rPr>
          <w:color w:val="231F20"/>
        </w:rPr>
        <w:t>apply</w:t>
      </w:r>
      <w:r>
        <w:rPr>
          <w:color w:val="231F20"/>
          <w:spacing w:val="-1"/>
        </w:rPr>
        <w:t xml:space="preserve"> </w:t>
      </w:r>
      <w:r>
        <w:rPr>
          <w:color w:val="231F20"/>
        </w:rPr>
        <w:t>this definition,</w:t>
      </w:r>
      <w:r>
        <w:rPr>
          <w:color w:val="231F20"/>
          <w:spacing w:val="-11"/>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assesses</w:t>
      </w:r>
      <w:r>
        <w:rPr>
          <w:color w:val="231F20"/>
          <w:spacing w:val="-11"/>
        </w:rPr>
        <w:t xml:space="preserve"> </w:t>
      </w:r>
      <w:r>
        <w:rPr>
          <w:color w:val="231F20"/>
        </w:rPr>
        <w:t>whether</w:t>
      </w:r>
      <w:r>
        <w:rPr>
          <w:color w:val="231F20"/>
          <w:spacing w:val="-11"/>
        </w:rPr>
        <w:t xml:space="preserve"> </w:t>
      </w:r>
      <w:r>
        <w:rPr>
          <w:color w:val="231F20"/>
        </w:rPr>
        <w:t>the</w:t>
      </w:r>
      <w:r>
        <w:rPr>
          <w:color w:val="231F20"/>
          <w:spacing w:val="-11"/>
        </w:rPr>
        <w:t xml:space="preserve"> </w:t>
      </w:r>
      <w:r>
        <w:rPr>
          <w:color w:val="231F20"/>
        </w:rPr>
        <w:t>contract</w:t>
      </w:r>
      <w:r>
        <w:rPr>
          <w:color w:val="231F20"/>
          <w:spacing w:val="-11"/>
        </w:rPr>
        <w:t xml:space="preserve"> </w:t>
      </w:r>
      <w:r>
        <w:rPr>
          <w:color w:val="231F20"/>
        </w:rPr>
        <w:t>meets</w:t>
      </w:r>
      <w:r>
        <w:rPr>
          <w:color w:val="231F20"/>
          <w:spacing w:val="-11"/>
        </w:rPr>
        <w:t xml:space="preserve"> </w:t>
      </w:r>
      <w:r>
        <w:rPr>
          <w:color w:val="231F20"/>
        </w:rPr>
        <w:t>three</w:t>
      </w:r>
      <w:r>
        <w:rPr>
          <w:color w:val="231F20"/>
          <w:spacing w:val="-11"/>
        </w:rPr>
        <w:t xml:space="preserve"> </w:t>
      </w:r>
      <w:r>
        <w:rPr>
          <w:color w:val="231F20"/>
        </w:rPr>
        <w:t>key</w:t>
      </w:r>
      <w:r>
        <w:rPr>
          <w:color w:val="231F20"/>
          <w:spacing w:val="-11"/>
        </w:rPr>
        <w:t xml:space="preserve"> </w:t>
      </w:r>
      <w:r>
        <w:rPr>
          <w:color w:val="231F20"/>
        </w:rPr>
        <w:t>evaluations</w:t>
      </w:r>
      <w:r>
        <w:rPr>
          <w:color w:val="231F20"/>
          <w:spacing w:val="-11"/>
        </w:rPr>
        <w:t xml:space="preserve"> </w:t>
      </w:r>
      <w:r>
        <w:rPr>
          <w:color w:val="231F20"/>
        </w:rPr>
        <w:t>which</w:t>
      </w:r>
      <w:r>
        <w:rPr>
          <w:color w:val="231F20"/>
          <w:spacing w:val="-11"/>
        </w:rPr>
        <w:t xml:space="preserve"> </w:t>
      </w:r>
      <w:r>
        <w:rPr>
          <w:color w:val="231F20"/>
        </w:rPr>
        <w:t xml:space="preserve">are </w:t>
      </w:r>
      <w:r>
        <w:rPr>
          <w:color w:val="231F20"/>
          <w:spacing w:val="-2"/>
        </w:rPr>
        <w:t>whether:</w:t>
      </w:r>
    </w:p>
    <w:p w14:paraId="764E73D1" w14:textId="77777777" w:rsidR="00345EE3" w:rsidRDefault="00345EE3">
      <w:pPr>
        <w:pStyle w:val="ListParagraph"/>
        <w:numPr>
          <w:ilvl w:val="3"/>
          <w:numId w:val="25"/>
        </w:numPr>
        <w:tabs>
          <w:tab w:val="left" w:pos="393"/>
          <w:tab w:val="left" w:pos="394"/>
        </w:tabs>
        <w:spacing w:before="35" w:line="242" w:lineRule="auto"/>
        <w:ind w:right="189"/>
        <w:rPr>
          <w:sz w:val="24"/>
        </w:rPr>
      </w:pPr>
      <w:r>
        <w:rPr>
          <w:color w:val="231F20"/>
          <w:sz w:val="24"/>
        </w:rPr>
        <w:t>the contract contains an identified asset, which is either explicitly identified in the contract or implicitly</w:t>
      </w:r>
      <w:r>
        <w:rPr>
          <w:color w:val="231F20"/>
          <w:spacing w:val="-8"/>
          <w:sz w:val="24"/>
        </w:rPr>
        <w:t xml:space="preserve"> </w:t>
      </w:r>
      <w:r>
        <w:rPr>
          <w:color w:val="231F20"/>
          <w:sz w:val="24"/>
        </w:rPr>
        <w:t>specified</w:t>
      </w:r>
      <w:r>
        <w:rPr>
          <w:color w:val="231F20"/>
          <w:spacing w:val="-9"/>
          <w:sz w:val="24"/>
        </w:rPr>
        <w:t xml:space="preserve"> </w:t>
      </w:r>
      <w:r>
        <w:rPr>
          <w:color w:val="231F20"/>
          <w:sz w:val="24"/>
        </w:rPr>
        <w:t>by</w:t>
      </w:r>
      <w:r>
        <w:rPr>
          <w:color w:val="231F20"/>
          <w:spacing w:val="-8"/>
          <w:sz w:val="24"/>
        </w:rPr>
        <w:t xml:space="preserve"> </w:t>
      </w:r>
      <w:r>
        <w:rPr>
          <w:color w:val="231F20"/>
          <w:sz w:val="24"/>
        </w:rPr>
        <w:t>being</w:t>
      </w:r>
      <w:r>
        <w:rPr>
          <w:color w:val="231F20"/>
          <w:spacing w:val="-9"/>
          <w:sz w:val="24"/>
        </w:rPr>
        <w:t xml:space="preserve"> </w:t>
      </w:r>
      <w:r>
        <w:rPr>
          <w:color w:val="231F20"/>
          <w:sz w:val="24"/>
        </w:rPr>
        <w:t>identified</w:t>
      </w:r>
      <w:r>
        <w:rPr>
          <w:color w:val="231F20"/>
          <w:spacing w:val="-9"/>
          <w:sz w:val="24"/>
        </w:rPr>
        <w:t xml:space="preserve"> </w:t>
      </w:r>
      <w:r>
        <w:rPr>
          <w:color w:val="231F20"/>
          <w:sz w:val="24"/>
        </w:rPr>
        <w:t>at</w:t>
      </w:r>
      <w:r>
        <w:rPr>
          <w:color w:val="231F20"/>
          <w:spacing w:val="-8"/>
          <w:sz w:val="24"/>
        </w:rPr>
        <w:t xml:space="preserve"> </w:t>
      </w:r>
      <w:r>
        <w:rPr>
          <w:color w:val="231F20"/>
          <w:sz w:val="24"/>
        </w:rPr>
        <w:t>the</w:t>
      </w:r>
      <w:r>
        <w:rPr>
          <w:color w:val="231F20"/>
          <w:spacing w:val="-9"/>
          <w:sz w:val="24"/>
        </w:rPr>
        <w:t xml:space="preserve"> </w:t>
      </w:r>
      <w:r>
        <w:rPr>
          <w:color w:val="231F20"/>
          <w:sz w:val="24"/>
        </w:rPr>
        <w:t>time</w:t>
      </w:r>
      <w:r>
        <w:rPr>
          <w:color w:val="231F20"/>
          <w:spacing w:val="-9"/>
          <w:sz w:val="24"/>
        </w:rPr>
        <w:t xml:space="preserve"> </w:t>
      </w:r>
      <w:r>
        <w:rPr>
          <w:color w:val="231F20"/>
          <w:sz w:val="24"/>
        </w:rPr>
        <w:t>the</w:t>
      </w:r>
      <w:r>
        <w:rPr>
          <w:color w:val="231F20"/>
          <w:spacing w:val="-9"/>
          <w:sz w:val="24"/>
        </w:rPr>
        <w:t xml:space="preserve"> </w:t>
      </w:r>
      <w:r>
        <w:rPr>
          <w:color w:val="231F20"/>
          <w:sz w:val="24"/>
        </w:rPr>
        <w:t>asset</w:t>
      </w:r>
      <w:r>
        <w:rPr>
          <w:color w:val="231F20"/>
          <w:spacing w:val="-8"/>
          <w:sz w:val="24"/>
        </w:rPr>
        <w:t xml:space="preserve"> </w:t>
      </w:r>
      <w:r>
        <w:rPr>
          <w:color w:val="231F20"/>
          <w:sz w:val="24"/>
        </w:rPr>
        <w:t>is</w:t>
      </w:r>
      <w:r>
        <w:rPr>
          <w:color w:val="231F20"/>
          <w:spacing w:val="-8"/>
          <w:sz w:val="24"/>
        </w:rPr>
        <w:t xml:space="preserve"> </w:t>
      </w:r>
      <w:r>
        <w:rPr>
          <w:color w:val="231F20"/>
          <w:sz w:val="24"/>
        </w:rPr>
        <w:t>made</w:t>
      </w:r>
      <w:r>
        <w:rPr>
          <w:color w:val="231F20"/>
          <w:spacing w:val="-9"/>
          <w:sz w:val="24"/>
        </w:rPr>
        <w:t xml:space="preserve"> </w:t>
      </w:r>
      <w:r>
        <w:rPr>
          <w:color w:val="231F20"/>
          <w:sz w:val="24"/>
        </w:rPr>
        <w:t>available</w:t>
      </w:r>
      <w:r>
        <w:rPr>
          <w:color w:val="231F20"/>
          <w:spacing w:val="-9"/>
          <w:sz w:val="24"/>
        </w:rPr>
        <w:t xml:space="preserve"> </w:t>
      </w:r>
      <w:r>
        <w:rPr>
          <w:color w:val="231F20"/>
          <w:sz w:val="24"/>
        </w:rPr>
        <w:t>to</w:t>
      </w:r>
      <w:r>
        <w:rPr>
          <w:color w:val="231F20"/>
          <w:spacing w:val="-9"/>
          <w:sz w:val="24"/>
        </w:rPr>
        <w:t xml:space="preserve"> </w:t>
      </w:r>
      <w:r>
        <w:rPr>
          <w:color w:val="231F20"/>
          <w:sz w:val="24"/>
        </w:rPr>
        <w:t>Victoria</w:t>
      </w:r>
      <w:r>
        <w:rPr>
          <w:color w:val="231F20"/>
          <w:spacing w:val="-9"/>
          <w:sz w:val="24"/>
        </w:rPr>
        <w:t xml:space="preserve"> </w:t>
      </w:r>
      <w:r>
        <w:rPr>
          <w:color w:val="231F20"/>
          <w:sz w:val="24"/>
        </w:rPr>
        <w:t>Police and for which the supplier does not have substantive substitution rights;</w:t>
      </w:r>
    </w:p>
    <w:p w14:paraId="3ABE1130" w14:textId="77777777" w:rsidR="00345EE3" w:rsidRDefault="00345EE3">
      <w:pPr>
        <w:pStyle w:val="ListParagraph"/>
        <w:numPr>
          <w:ilvl w:val="3"/>
          <w:numId w:val="25"/>
        </w:numPr>
        <w:tabs>
          <w:tab w:val="left" w:pos="393"/>
          <w:tab w:val="left" w:pos="394"/>
        </w:tabs>
        <w:spacing w:line="242" w:lineRule="auto"/>
        <w:ind w:right="312"/>
        <w:rPr>
          <w:sz w:val="24"/>
        </w:rPr>
      </w:pPr>
      <w:r>
        <w:rPr>
          <w:color w:val="231F20"/>
          <w:sz w:val="24"/>
        </w:rPr>
        <w:t>Victoria Police has the right to obtain substantially all of the economic benefits from use of the identified asset throughout the period of use, considering its rights within the defined scope</w:t>
      </w:r>
      <w:r>
        <w:rPr>
          <w:color w:val="231F20"/>
          <w:spacing w:val="-6"/>
          <w:sz w:val="24"/>
        </w:rPr>
        <w:t xml:space="preserve"> </w:t>
      </w:r>
      <w:r>
        <w:rPr>
          <w:color w:val="231F20"/>
          <w:sz w:val="24"/>
        </w:rPr>
        <w:t>of</w:t>
      </w:r>
      <w:r>
        <w:rPr>
          <w:color w:val="231F20"/>
          <w:spacing w:val="-5"/>
          <w:sz w:val="24"/>
        </w:rPr>
        <w:t xml:space="preserve"> </w:t>
      </w:r>
      <w:r>
        <w:rPr>
          <w:color w:val="231F20"/>
          <w:sz w:val="24"/>
        </w:rPr>
        <w:t>the</w:t>
      </w:r>
      <w:r>
        <w:rPr>
          <w:color w:val="231F20"/>
          <w:spacing w:val="-6"/>
          <w:sz w:val="24"/>
        </w:rPr>
        <w:t xml:space="preserve"> </w:t>
      </w:r>
      <w:r>
        <w:rPr>
          <w:color w:val="231F20"/>
          <w:sz w:val="24"/>
        </w:rPr>
        <w:t>contract</w:t>
      </w:r>
      <w:r>
        <w:rPr>
          <w:color w:val="231F20"/>
          <w:spacing w:val="-5"/>
          <w:sz w:val="24"/>
        </w:rPr>
        <w:t xml:space="preserve"> </w:t>
      </w:r>
      <w:r>
        <w:rPr>
          <w:color w:val="231F20"/>
          <w:sz w:val="24"/>
        </w:rPr>
        <w:t>and</w:t>
      </w:r>
      <w:r>
        <w:rPr>
          <w:color w:val="231F20"/>
          <w:spacing w:val="-6"/>
          <w:sz w:val="24"/>
        </w:rPr>
        <w:t xml:space="preserve"> </w:t>
      </w:r>
      <w:r>
        <w:rPr>
          <w:color w:val="231F20"/>
          <w:sz w:val="24"/>
        </w:rPr>
        <w:t>Victoria</w:t>
      </w:r>
      <w:r>
        <w:rPr>
          <w:color w:val="231F20"/>
          <w:spacing w:val="-6"/>
          <w:sz w:val="24"/>
        </w:rPr>
        <w:t xml:space="preserve"> </w:t>
      </w:r>
      <w:r>
        <w:rPr>
          <w:color w:val="231F20"/>
          <w:sz w:val="24"/>
        </w:rPr>
        <w:t>Police</w:t>
      </w:r>
      <w:r>
        <w:rPr>
          <w:color w:val="231F20"/>
          <w:spacing w:val="-6"/>
          <w:sz w:val="24"/>
        </w:rPr>
        <w:t xml:space="preserve"> </w:t>
      </w:r>
      <w:r>
        <w:rPr>
          <w:color w:val="231F20"/>
          <w:sz w:val="24"/>
        </w:rPr>
        <w:t>has</w:t>
      </w:r>
      <w:r>
        <w:rPr>
          <w:color w:val="231F20"/>
          <w:spacing w:val="-5"/>
          <w:sz w:val="24"/>
        </w:rPr>
        <w:t xml:space="preserve"> </w:t>
      </w:r>
      <w:r>
        <w:rPr>
          <w:color w:val="231F20"/>
          <w:sz w:val="24"/>
        </w:rPr>
        <w:t>the</w:t>
      </w:r>
      <w:r>
        <w:rPr>
          <w:color w:val="231F20"/>
          <w:spacing w:val="-6"/>
          <w:sz w:val="24"/>
        </w:rPr>
        <w:t xml:space="preserve"> </w:t>
      </w:r>
      <w:r>
        <w:rPr>
          <w:color w:val="231F20"/>
          <w:sz w:val="24"/>
        </w:rPr>
        <w:t>right</w:t>
      </w:r>
      <w:r>
        <w:rPr>
          <w:color w:val="231F20"/>
          <w:spacing w:val="-5"/>
          <w:sz w:val="24"/>
        </w:rPr>
        <w:t xml:space="preserve"> </w:t>
      </w:r>
      <w:r>
        <w:rPr>
          <w:color w:val="231F20"/>
          <w:sz w:val="24"/>
        </w:rPr>
        <w:t>to</w:t>
      </w:r>
      <w:r>
        <w:rPr>
          <w:color w:val="231F20"/>
          <w:spacing w:val="-6"/>
          <w:sz w:val="24"/>
        </w:rPr>
        <w:t xml:space="preserve"> </w:t>
      </w:r>
      <w:r>
        <w:rPr>
          <w:color w:val="231F20"/>
          <w:sz w:val="24"/>
        </w:rPr>
        <w:t>direct</w:t>
      </w:r>
      <w:r>
        <w:rPr>
          <w:color w:val="231F20"/>
          <w:spacing w:val="-5"/>
          <w:sz w:val="24"/>
        </w:rPr>
        <w:t xml:space="preserve"> </w:t>
      </w:r>
      <w:r>
        <w:rPr>
          <w:color w:val="231F20"/>
          <w:sz w:val="24"/>
        </w:rPr>
        <w:t>the</w:t>
      </w:r>
      <w:r>
        <w:rPr>
          <w:color w:val="231F20"/>
          <w:spacing w:val="-6"/>
          <w:sz w:val="24"/>
        </w:rPr>
        <w:t xml:space="preserve"> </w:t>
      </w:r>
      <w:r>
        <w:rPr>
          <w:color w:val="231F20"/>
          <w:sz w:val="24"/>
        </w:rPr>
        <w:t>use</w:t>
      </w:r>
      <w:r>
        <w:rPr>
          <w:color w:val="231F20"/>
          <w:spacing w:val="-6"/>
          <w:sz w:val="24"/>
        </w:rPr>
        <w:t xml:space="preserve"> </w:t>
      </w:r>
      <w:r>
        <w:rPr>
          <w:color w:val="231F20"/>
          <w:sz w:val="24"/>
        </w:rPr>
        <w:t>of</w:t>
      </w:r>
      <w:r>
        <w:rPr>
          <w:color w:val="231F20"/>
          <w:spacing w:val="-5"/>
          <w:sz w:val="24"/>
        </w:rPr>
        <w:t xml:space="preserve"> </w:t>
      </w:r>
      <w:r>
        <w:rPr>
          <w:color w:val="231F20"/>
          <w:sz w:val="24"/>
        </w:rPr>
        <w:t>the</w:t>
      </w:r>
      <w:r>
        <w:rPr>
          <w:color w:val="231F20"/>
          <w:spacing w:val="-6"/>
          <w:sz w:val="24"/>
        </w:rPr>
        <w:t xml:space="preserve"> </w:t>
      </w:r>
      <w:r>
        <w:rPr>
          <w:color w:val="231F20"/>
          <w:sz w:val="24"/>
        </w:rPr>
        <w:t>identified</w:t>
      </w:r>
      <w:r>
        <w:rPr>
          <w:color w:val="231F20"/>
          <w:spacing w:val="-6"/>
          <w:sz w:val="24"/>
        </w:rPr>
        <w:t xml:space="preserve"> </w:t>
      </w:r>
      <w:r>
        <w:rPr>
          <w:color w:val="231F20"/>
          <w:sz w:val="24"/>
        </w:rPr>
        <w:t>asset throughout the period of use; and</w:t>
      </w:r>
    </w:p>
    <w:p w14:paraId="28A62672" w14:textId="77777777" w:rsidR="00345EE3" w:rsidRDefault="00345EE3">
      <w:pPr>
        <w:pStyle w:val="ListParagraph"/>
        <w:numPr>
          <w:ilvl w:val="3"/>
          <w:numId w:val="25"/>
        </w:numPr>
        <w:tabs>
          <w:tab w:val="left" w:pos="393"/>
          <w:tab w:val="left" w:pos="394"/>
        </w:tabs>
        <w:spacing w:before="33" w:line="242" w:lineRule="auto"/>
        <w:ind w:right="630"/>
        <w:rPr>
          <w:sz w:val="24"/>
        </w:rPr>
      </w:pPr>
      <w:r>
        <w:rPr>
          <w:color w:val="231F20"/>
          <w:sz w:val="24"/>
        </w:rPr>
        <w:t>Victoria</w:t>
      </w:r>
      <w:r>
        <w:rPr>
          <w:color w:val="231F20"/>
          <w:spacing w:val="-7"/>
          <w:sz w:val="24"/>
        </w:rPr>
        <w:t xml:space="preserve"> </w:t>
      </w:r>
      <w:r>
        <w:rPr>
          <w:color w:val="231F20"/>
          <w:sz w:val="24"/>
        </w:rPr>
        <w:t>Police</w:t>
      </w:r>
      <w:r>
        <w:rPr>
          <w:color w:val="231F20"/>
          <w:spacing w:val="-7"/>
          <w:sz w:val="24"/>
        </w:rPr>
        <w:t xml:space="preserve"> </w:t>
      </w:r>
      <w:r>
        <w:rPr>
          <w:color w:val="231F20"/>
          <w:sz w:val="24"/>
        </w:rPr>
        <w:t>has</w:t>
      </w:r>
      <w:r>
        <w:rPr>
          <w:color w:val="231F20"/>
          <w:spacing w:val="-7"/>
          <w:sz w:val="24"/>
        </w:rPr>
        <w:t xml:space="preserve"> </w:t>
      </w:r>
      <w:r>
        <w:rPr>
          <w:color w:val="231F20"/>
          <w:sz w:val="24"/>
        </w:rPr>
        <w:t>the</w:t>
      </w:r>
      <w:r>
        <w:rPr>
          <w:color w:val="231F20"/>
          <w:spacing w:val="-7"/>
          <w:sz w:val="24"/>
        </w:rPr>
        <w:t xml:space="preserve"> </w:t>
      </w:r>
      <w:r>
        <w:rPr>
          <w:color w:val="231F20"/>
          <w:sz w:val="24"/>
        </w:rPr>
        <w:t>right</w:t>
      </w:r>
      <w:r>
        <w:rPr>
          <w:color w:val="231F20"/>
          <w:spacing w:val="-7"/>
          <w:sz w:val="24"/>
        </w:rPr>
        <w:t xml:space="preserve"> </w:t>
      </w:r>
      <w:r>
        <w:rPr>
          <w:color w:val="231F20"/>
          <w:sz w:val="24"/>
        </w:rPr>
        <w:t>to</w:t>
      </w:r>
      <w:r>
        <w:rPr>
          <w:color w:val="231F20"/>
          <w:spacing w:val="-7"/>
          <w:sz w:val="24"/>
        </w:rPr>
        <w:t xml:space="preserve"> </w:t>
      </w:r>
      <w:r>
        <w:rPr>
          <w:color w:val="231F20"/>
          <w:sz w:val="24"/>
        </w:rPr>
        <w:t>take</w:t>
      </w:r>
      <w:r>
        <w:rPr>
          <w:color w:val="231F20"/>
          <w:spacing w:val="-7"/>
          <w:sz w:val="24"/>
        </w:rPr>
        <w:t xml:space="preserve"> </w:t>
      </w:r>
      <w:r>
        <w:rPr>
          <w:color w:val="231F20"/>
          <w:sz w:val="24"/>
        </w:rPr>
        <w:t>decisions</w:t>
      </w:r>
      <w:r>
        <w:rPr>
          <w:color w:val="231F20"/>
          <w:spacing w:val="-7"/>
          <w:sz w:val="24"/>
        </w:rPr>
        <w:t xml:space="preserve"> </w:t>
      </w:r>
      <w:r>
        <w:rPr>
          <w:color w:val="231F20"/>
          <w:sz w:val="24"/>
        </w:rPr>
        <w:t>in</w:t>
      </w:r>
      <w:r>
        <w:rPr>
          <w:color w:val="231F20"/>
          <w:spacing w:val="-7"/>
          <w:sz w:val="24"/>
        </w:rPr>
        <w:t xml:space="preserve"> </w:t>
      </w:r>
      <w:r>
        <w:rPr>
          <w:color w:val="231F20"/>
          <w:sz w:val="24"/>
        </w:rPr>
        <w:t>respect</w:t>
      </w:r>
      <w:r>
        <w:rPr>
          <w:color w:val="231F20"/>
          <w:spacing w:val="-7"/>
          <w:sz w:val="24"/>
        </w:rPr>
        <w:t xml:space="preserve"> </w:t>
      </w:r>
      <w:r>
        <w:rPr>
          <w:color w:val="231F20"/>
          <w:sz w:val="24"/>
        </w:rPr>
        <w:t>of</w:t>
      </w:r>
      <w:r>
        <w:rPr>
          <w:color w:val="231F20"/>
          <w:spacing w:val="-7"/>
          <w:sz w:val="24"/>
        </w:rPr>
        <w:t xml:space="preserve"> </w:t>
      </w:r>
      <w:r>
        <w:rPr>
          <w:color w:val="231F20"/>
          <w:sz w:val="24"/>
        </w:rPr>
        <w:t>‘how</w:t>
      </w:r>
      <w:r>
        <w:rPr>
          <w:color w:val="231F20"/>
          <w:spacing w:val="-7"/>
          <w:sz w:val="24"/>
        </w:rPr>
        <w:t xml:space="preserve"> </w:t>
      </w:r>
      <w:r>
        <w:rPr>
          <w:color w:val="231F20"/>
          <w:sz w:val="24"/>
        </w:rPr>
        <w:t>and</w:t>
      </w:r>
      <w:r>
        <w:rPr>
          <w:color w:val="231F20"/>
          <w:spacing w:val="-7"/>
          <w:sz w:val="24"/>
        </w:rPr>
        <w:t xml:space="preserve"> </w:t>
      </w:r>
      <w:r>
        <w:rPr>
          <w:color w:val="231F20"/>
          <w:sz w:val="24"/>
        </w:rPr>
        <w:t>for</w:t>
      </w:r>
      <w:r>
        <w:rPr>
          <w:color w:val="231F20"/>
          <w:spacing w:val="-7"/>
          <w:sz w:val="24"/>
        </w:rPr>
        <w:t xml:space="preserve"> </w:t>
      </w:r>
      <w:r>
        <w:rPr>
          <w:color w:val="231F20"/>
          <w:sz w:val="24"/>
        </w:rPr>
        <w:t>what</w:t>
      </w:r>
      <w:r>
        <w:rPr>
          <w:color w:val="231F20"/>
          <w:spacing w:val="-7"/>
          <w:sz w:val="24"/>
        </w:rPr>
        <w:t xml:space="preserve"> </w:t>
      </w:r>
      <w:r>
        <w:rPr>
          <w:color w:val="231F20"/>
          <w:sz w:val="24"/>
        </w:rPr>
        <w:t>purpose’</w:t>
      </w:r>
      <w:r>
        <w:rPr>
          <w:color w:val="231F20"/>
          <w:spacing w:val="-7"/>
          <w:sz w:val="24"/>
        </w:rPr>
        <w:t xml:space="preserve"> </w:t>
      </w:r>
      <w:r>
        <w:rPr>
          <w:color w:val="231F20"/>
          <w:sz w:val="24"/>
        </w:rPr>
        <w:t>the asset is used throughout the period of use.</w:t>
      </w:r>
    </w:p>
    <w:p w14:paraId="091DAC3F" w14:textId="77777777" w:rsidR="00345EE3" w:rsidRDefault="00345EE3" w:rsidP="00345EE3">
      <w:pPr>
        <w:pStyle w:val="Heading5"/>
        <w:spacing w:before="230"/>
      </w:pPr>
      <w:r>
        <w:rPr>
          <w:color w:val="231F20"/>
        </w:rPr>
        <w:t>Separation</w:t>
      </w:r>
      <w:r>
        <w:rPr>
          <w:color w:val="231F20"/>
          <w:spacing w:val="-1"/>
        </w:rPr>
        <w:t xml:space="preserve"> </w:t>
      </w:r>
      <w:r>
        <w:rPr>
          <w:color w:val="231F20"/>
        </w:rPr>
        <w:t>of</w:t>
      </w:r>
      <w:r>
        <w:rPr>
          <w:color w:val="231F20"/>
          <w:spacing w:val="-1"/>
        </w:rPr>
        <w:t xml:space="preserve"> </w:t>
      </w:r>
      <w:r>
        <w:rPr>
          <w:color w:val="231F20"/>
        </w:rPr>
        <w:t>Lease</w:t>
      </w:r>
      <w:r>
        <w:rPr>
          <w:color w:val="231F20"/>
          <w:spacing w:val="-1"/>
        </w:rPr>
        <w:t xml:space="preserve"> </w:t>
      </w:r>
      <w:r>
        <w:rPr>
          <w:color w:val="231F20"/>
        </w:rPr>
        <w:t>and</w:t>
      </w:r>
      <w:r>
        <w:rPr>
          <w:color w:val="231F20"/>
          <w:spacing w:val="-1"/>
        </w:rPr>
        <w:t xml:space="preserve"> </w:t>
      </w:r>
      <w:r>
        <w:rPr>
          <w:color w:val="231F20"/>
        </w:rPr>
        <w:t>Non-Lease</w:t>
      </w:r>
      <w:r>
        <w:rPr>
          <w:color w:val="231F20"/>
          <w:spacing w:val="-1"/>
        </w:rPr>
        <w:t xml:space="preserve"> </w:t>
      </w:r>
      <w:r>
        <w:rPr>
          <w:color w:val="231F20"/>
          <w:spacing w:val="-2"/>
        </w:rPr>
        <w:t>components</w:t>
      </w:r>
    </w:p>
    <w:p w14:paraId="5265B5A4" w14:textId="77777777" w:rsidR="00345EE3" w:rsidRDefault="00345EE3" w:rsidP="00345EE3">
      <w:pPr>
        <w:pStyle w:val="BodyText"/>
        <w:spacing w:before="60" w:line="242" w:lineRule="auto"/>
        <w:ind w:right="687"/>
      </w:pPr>
      <w:r>
        <w:rPr>
          <w:color w:val="231F20"/>
        </w:rPr>
        <w:t>At inception or on reassessment of a contract that contains a lease component, the lessee is</w:t>
      </w:r>
      <w:r>
        <w:rPr>
          <w:color w:val="231F20"/>
          <w:spacing w:val="-9"/>
        </w:rPr>
        <w:t xml:space="preserve"> </w:t>
      </w:r>
      <w:r>
        <w:rPr>
          <w:color w:val="231F20"/>
        </w:rPr>
        <w:t>required</w:t>
      </w:r>
      <w:r>
        <w:rPr>
          <w:color w:val="231F20"/>
          <w:spacing w:val="-9"/>
        </w:rPr>
        <w:t xml:space="preserve"> </w:t>
      </w:r>
      <w:r>
        <w:rPr>
          <w:color w:val="231F20"/>
        </w:rPr>
        <w:t>to</w:t>
      </w:r>
      <w:r>
        <w:rPr>
          <w:color w:val="231F20"/>
          <w:spacing w:val="-9"/>
        </w:rPr>
        <w:t xml:space="preserve"> </w:t>
      </w:r>
      <w:r>
        <w:rPr>
          <w:color w:val="231F20"/>
        </w:rPr>
        <w:t>separate</w:t>
      </w:r>
      <w:r>
        <w:rPr>
          <w:color w:val="231F20"/>
          <w:spacing w:val="-9"/>
        </w:rPr>
        <w:t xml:space="preserve"> </w:t>
      </w:r>
      <w:r>
        <w:rPr>
          <w:color w:val="231F20"/>
        </w:rPr>
        <w:t>out</w:t>
      </w:r>
      <w:r>
        <w:rPr>
          <w:color w:val="231F20"/>
          <w:spacing w:val="-9"/>
        </w:rPr>
        <w:t xml:space="preserve"> </w:t>
      </w:r>
      <w:r>
        <w:rPr>
          <w:color w:val="231F20"/>
        </w:rPr>
        <w:t>and</w:t>
      </w:r>
      <w:r>
        <w:rPr>
          <w:color w:val="231F20"/>
          <w:spacing w:val="-9"/>
        </w:rPr>
        <w:t xml:space="preserve"> </w:t>
      </w:r>
      <w:r>
        <w:rPr>
          <w:color w:val="231F20"/>
        </w:rPr>
        <w:t>account</w:t>
      </w:r>
      <w:r>
        <w:rPr>
          <w:color w:val="231F20"/>
          <w:spacing w:val="-9"/>
        </w:rPr>
        <w:t xml:space="preserve"> </w:t>
      </w:r>
      <w:r>
        <w:rPr>
          <w:color w:val="231F20"/>
        </w:rPr>
        <w:t>separately</w:t>
      </w:r>
      <w:r>
        <w:rPr>
          <w:color w:val="231F20"/>
          <w:spacing w:val="-9"/>
        </w:rPr>
        <w:t xml:space="preserve"> </w:t>
      </w:r>
      <w:r>
        <w:rPr>
          <w:color w:val="231F20"/>
        </w:rPr>
        <w:t>for</w:t>
      </w:r>
      <w:r>
        <w:rPr>
          <w:color w:val="231F20"/>
          <w:spacing w:val="-9"/>
        </w:rPr>
        <w:t xml:space="preserve"> </w:t>
      </w:r>
      <w:r>
        <w:rPr>
          <w:color w:val="231F20"/>
        </w:rPr>
        <w:t>non-lease</w:t>
      </w:r>
      <w:r>
        <w:rPr>
          <w:color w:val="231F20"/>
          <w:spacing w:val="-9"/>
        </w:rPr>
        <w:t xml:space="preserve"> </w:t>
      </w:r>
      <w:r>
        <w:rPr>
          <w:color w:val="231F20"/>
        </w:rPr>
        <w:t>components</w:t>
      </w:r>
      <w:r>
        <w:rPr>
          <w:color w:val="231F20"/>
          <w:spacing w:val="-9"/>
        </w:rPr>
        <w:t xml:space="preserve"> </w:t>
      </w:r>
      <w:r>
        <w:rPr>
          <w:color w:val="231F20"/>
        </w:rPr>
        <w:t>within</w:t>
      </w:r>
      <w:r>
        <w:rPr>
          <w:color w:val="231F20"/>
          <w:spacing w:val="-9"/>
        </w:rPr>
        <w:t xml:space="preserve"> </w:t>
      </w:r>
      <w:r>
        <w:rPr>
          <w:color w:val="231F20"/>
        </w:rPr>
        <w:t>a</w:t>
      </w:r>
      <w:r>
        <w:rPr>
          <w:color w:val="231F20"/>
          <w:spacing w:val="-9"/>
        </w:rPr>
        <w:t xml:space="preserve"> </w:t>
      </w:r>
      <w:r>
        <w:rPr>
          <w:color w:val="231F20"/>
        </w:rPr>
        <w:t xml:space="preserve">lease </w:t>
      </w:r>
    </w:p>
    <w:p w14:paraId="22F63CBB" w14:textId="77777777" w:rsidR="00345EE3" w:rsidRDefault="00345EE3" w:rsidP="00345EE3">
      <w:pPr>
        <w:pStyle w:val="BodyText"/>
        <w:spacing w:before="62" w:line="242" w:lineRule="auto"/>
      </w:pPr>
      <w:r>
        <w:rPr>
          <w:color w:val="231F20"/>
        </w:rPr>
        <w:t>contract</w:t>
      </w:r>
      <w:r>
        <w:rPr>
          <w:color w:val="231F20"/>
          <w:spacing w:val="-10"/>
        </w:rPr>
        <w:t xml:space="preserve"> </w:t>
      </w:r>
      <w:r>
        <w:rPr>
          <w:color w:val="231F20"/>
        </w:rPr>
        <w:t>and</w:t>
      </w:r>
      <w:r>
        <w:rPr>
          <w:color w:val="231F20"/>
          <w:spacing w:val="-11"/>
        </w:rPr>
        <w:t xml:space="preserve"> </w:t>
      </w:r>
      <w:r>
        <w:rPr>
          <w:color w:val="231F20"/>
        </w:rPr>
        <w:t>exclude</w:t>
      </w:r>
      <w:r>
        <w:rPr>
          <w:color w:val="231F20"/>
          <w:spacing w:val="-11"/>
        </w:rPr>
        <w:t xml:space="preserve"> </w:t>
      </w:r>
      <w:r>
        <w:rPr>
          <w:color w:val="231F20"/>
        </w:rPr>
        <w:t>these</w:t>
      </w:r>
      <w:r>
        <w:rPr>
          <w:color w:val="231F20"/>
          <w:spacing w:val="-11"/>
        </w:rPr>
        <w:t xml:space="preserve"> </w:t>
      </w:r>
      <w:r>
        <w:rPr>
          <w:color w:val="231F20"/>
        </w:rPr>
        <w:t>amounts</w:t>
      </w:r>
      <w:r>
        <w:rPr>
          <w:color w:val="231F20"/>
          <w:spacing w:val="-10"/>
        </w:rPr>
        <w:t xml:space="preserve"> </w:t>
      </w:r>
      <w:r>
        <w:rPr>
          <w:color w:val="231F20"/>
        </w:rPr>
        <w:t>when</w:t>
      </w:r>
      <w:r>
        <w:rPr>
          <w:color w:val="231F20"/>
          <w:spacing w:val="-11"/>
        </w:rPr>
        <w:t xml:space="preserve"> </w:t>
      </w:r>
      <w:r>
        <w:rPr>
          <w:color w:val="231F20"/>
        </w:rPr>
        <w:t>determining</w:t>
      </w:r>
      <w:r>
        <w:rPr>
          <w:color w:val="231F20"/>
          <w:spacing w:val="-11"/>
        </w:rPr>
        <w:t xml:space="preserve"> </w:t>
      </w:r>
      <w:r>
        <w:rPr>
          <w:color w:val="231F20"/>
        </w:rPr>
        <w:t>the</w:t>
      </w:r>
      <w:r>
        <w:rPr>
          <w:color w:val="231F20"/>
          <w:spacing w:val="-11"/>
        </w:rPr>
        <w:t xml:space="preserve"> </w:t>
      </w:r>
      <w:r>
        <w:rPr>
          <w:color w:val="231F20"/>
        </w:rPr>
        <w:t>lease</w:t>
      </w:r>
      <w:r>
        <w:rPr>
          <w:color w:val="231F20"/>
          <w:spacing w:val="-11"/>
        </w:rPr>
        <w:t xml:space="preserve"> </w:t>
      </w:r>
      <w:r>
        <w:rPr>
          <w:color w:val="231F20"/>
        </w:rPr>
        <w:t>liability</w:t>
      </w:r>
      <w:r>
        <w:rPr>
          <w:color w:val="231F20"/>
          <w:spacing w:val="-10"/>
        </w:rPr>
        <w:t xml:space="preserve"> </w:t>
      </w:r>
      <w:r>
        <w:rPr>
          <w:color w:val="231F20"/>
        </w:rPr>
        <w:t>and</w:t>
      </w:r>
      <w:r>
        <w:rPr>
          <w:color w:val="231F20"/>
          <w:spacing w:val="-11"/>
        </w:rPr>
        <w:t xml:space="preserve"> </w:t>
      </w:r>
      <w:r>
        <w:rPr>
          <w:color w:val="231F20"/>
        </w:rPr>
        <w:t>right-of-use</w:t>
      </w:r>
      <w:r>
        <w:rPr>
          <w:color w:val="231F20"/>
          <w:spacing w:val="-11"/>
        </w:rPr>
        <w:t xml:space="preserve"> </w:t>
      </w:r>
      <w:r>
        <w:rPr>
          <w:color w:val="231F20"/>
        </w:rPr>
        <w:t xml:space="preserve">asset </w:t>
      </w:r>
      <w:r>
        <w:rPr>
          <w:color w:val="231F20"/>
          <w:spacing w:val="-2"/>
        </w:rPr>
        <w:t>amount.</w:t>
      </w:r>
    </w:p>
    <w:p w14:paraId="5B8497D7" w14:textId="77777777" w:rsidR="00345EE3" w:rsidRDefault="00345EE3" w:rsidP="00345EE3">
      <w:pPr>
        <w:pStyle w:val="Heading5"/>
        <w:spacing w:before="229"/>
      </w:pPr>
      <w:r>
        <w:rPr>
          <w:color w:val="231F20"/>
        </w:rPr>
        <w:t>Recognition</w:t>
      </w:r>
      <w:r>
        <w:rPr>
          <w:color w:val="231F20"/>
          <w:spacing w:val="-4"/>
        </w:rPr>
        <w:t xml:space="preserve"> </w:t>
      </w:r>
      <w:r>
        <w:rPr>
          <w:color w:val="231F20"/>
        </w:rPr>
        <w:t>and</w:t>
      </w:r>
      <w:r>
        <w:rPr>
          <w:color w:val="231F20"/>
          <w:spacing w:val="-2"/>
        </w:rPr>
        <w:t xml:space="preserve"> </w:t>
      </w:r>
      <w:r>
        <w:rPr>
          <w:color w:val="231F20"/>
        </w:rPr>
        <w:t>Measurement</w:t>
      </w:r>
      <w:r>
        <w:rPr>
          <w:color w:val="231F20"/>
          <w:spacing w:val="-2"/>
        </w:rPr>
        <w:t xml:space="preserve"> </w:t>
      </w:r>
      <w:r>
        <w:rPr>
          <w:color w:val="231F20"/>
        </w:rPr>
        <w:t>of</w:t>
      </w:r>
      <w:r>
        <w:rPr>
          <w:color w:val="231F20"/>
          <w:spacing w:val="-1"/>
        </w:rPr>
        <w:t xml:space="preserve"> </w:t>
      </w:r>
      <w:r>
        <w:rPr>
          <w:color w:val="231F20"/>
        </w:rPr>
        <w:t>Leases</w:t>
      </w:r>
      <w:r>
        <w:rPr>
          <w:color w:val="231F20"/>
          <w:spacing w:val="-3"/>
        </w:rPr>
        <w:t xml:space="preserve"> </w:t>
      </w:r>
      <w:r>
        <w:rPr>
          <w:color w:val="231F20"/>
        </w:rPr>
        <w:t>as</w:t>
      </w:r>
      <w:r>
        <w:rPr>
          <w:color w:val="231F20"/>
          <w:spacing w:val="-3"/>
        </w:rPr>
        <w:t xml:space="preserve"> </w:t>
      </w:r>
      <w:r>
        <w:rPr>
          <w:color w:val="231F20"/>
        </w:rPr>
        <w:t>a</w:t>
      </w:r>
      <w:r>
        <w:rPr>
          <w:color w:val="231F20"/>
          <w:spacing w:val="-2"/>
        </w:rPr>
        <w:t xml:space="preserve"> Lessee</w:t>
      </w:r>
    </w:p>
    <w:p w14:paraId="08C1FF02" w14:textId="77777777" w:rsidR="00345EE3" w:rsidRDefault="00345EE3" w:rsidP="00345EE3">
      <w:pPr>
        <w:pStyle w:val="Heading6"/>
        <w:spacing w:before="174"/>
      </w:pPr>
      <w:r>
        <w:rPr>
          <w:color w:val="231F20"/>
          <w:spacing w:val="-2"/>
        </w:rPr>
        <w:t>Lease</w:t>
      </w:r>
      <w:r>
        <w:rPr>
          <w:color w:val="231F20"/>
          <w:spacing w:val="-9"/>
        </w:rPr>
        <w:t xml:space="preserve"> </w:t>
      </w:r>
      <w:r>
        <w:rPr>
          <w:color w:val="231F20"/>
          <w:spacing w:val="-2"/>
        </w:rPr>
        <w:t>Liability</w:t>
      </w:r>
      <w:r>
        <w:rPr>
          <w:color w:val="231F20"/>
          <w:spacing w:val="-9"/>
        </w:rPr>
        <w:t xml:space="preserve"> </w:t>
      </w:r>
      <w:r>
        <w:rPr>
          <w:color w:val="231F20"/>
          <w:spacing w:val="-2"/>
        </w:rPr>
        <w:t>–</w:t>
      </w:r>
      <w:r>
        <w:rPr>
          <w:color w:val="231F20"/>
          <w:spacing w:val="-9"/>
        </w:rPr>
        <w:t xml:space="preserve"> </w:t>
      </w:r>
      <w:r>
        <w:rPr>
          <w:color w:val="231F20"/>
          <w:spacing w:val="-2"/>
        </w:rPr>
        <w:t>Initial</w:t>
      </w:r>
      <w:r>
        <w:rPr>
          <w:color w:val="231F20"/>
          <w:spacing w:val="-9"/>
        </w:rPr>
        <w:t xml:space="preserve"> </w:t>
      </w:r>
      <w:r>
        <w:rPr>
          <w:color w:val="231F20"/>
          <w:spacing w:val="-2"/>
        </w:rPr>
        <w:t>Measurement</w:t>
      </w:r>
    </w:p>
    <w:p w14:paraId="1560926C" w14:textId="77777777" w:rsidR="00345EE3" w:rsidRDefault="00345EE3" w:rsidP="00345EE3">
      <w:pPr>
        <w:pStyle w:val="BodyText"/>
        <w:spacing w:before="61" w:line="242" w:lineRule="auto"/>
      </w:pPr>
      <w:r>
        <w:rPr>
          <w:color w:val="231F20"/>
        </w:rPr>
        <w:t>The</w:t>
      </w:r>
      <w:r>
        <w:rPr>
          <w:color w:val="231F20"/>
          <w:spacing w:val="-3"/>
        </w:rPr>
        <w:t xml:space="preserve"> </w:t>
      </w:r>
      <w:r>
        <w:rPr>
          <w:color w:val="231F20"/>
        </w:rPr>
        <w:t>lease</w:t>
      </w:r>
      <w:r>
        <w:rPr>
          <w:color w:val="231F20"/>
          <w:spacing w:val="-3"/>
        </w:rPr>
        <w:t xml:space="preserve"> </w:t>
      </w:r>
      <w:r>
        <w:rPr>
          <w:color w:val="231F20"/>
        </w:rPr>
        <w:t>liability</w:t>
      </w:r>
      <w:r>
        <w:rPr>
          <w:color w:val="231F20"/>
          <w:spacing w:val="-2"/>
        </w:rPr>
        <w:t xml:space="preserve"> </w:t>
      </w:r>
      <w:r>
        <w:rPr>
          <w:color w:val="231F20"/>
        </w:rPr>
        <w:t>is</w:t>
      </w:r>
      <w:r>
        <w:rPr>
          <w:color w:val="231F20"/>
          <w:spacing w:val="-2"/>
        </w:rPr>
        <w:t xml:space="preserve"> </w:t>
      </w:r>
      <w:r>
        <w:rPr>
          <w:color w:val="231F20"/>
        </w:rPr>
        <w:t>initially</w:t>
      </w:r>
      <w:r>
        <w:rPr>
          <w:color w:val="231F20"/>
          <w:spacing w:val="-2"/>
        </w:rPr>
        <w:t xml:space="preserve"> </w:t>
      </w:r>
      <w:r>
        <w:rPr>
          <w:color w:val="231F20"/>
        </w:rPr>
        <w:t>measured</w:t>
      </w:r>
      <w:r>
        <w:rPr>
          <w:color w:val="231F20"/>
          <w:spacing w:val="-3"/>
        </w:rPr>
        <w:t xml:space="preserve"> </w:t>
      </w:r>
      <w:r>
        <w:rPr>
          <w:color w:val="231F20"/>
        </w:rPr>
        <w:t>at</w:t>
      </w:r>
      <w:r>
        <w:rPr>
          <w:color w:val="231F20"/>
          <w:spacing w:val="-2"/>
        </w:rPr>
        <w:t xml:space="preserve"> </w:t>
      </w:r>
      <w:r>
        <w:rPr>
          <w:color w:val="231F20"/>
        </w:rPr>
        <w:t>the</w:t>
      </w:r>
      <w:r>
        <w:rPr>
          <w:color w:val="231F20"/>
          <w:spacing w:val="-3"/>
        </w:rPr>
        <w:t xml:space="preserve"> </w:t>
      </w:r>
      <w:r>
        <w:rPr>
          <w:color w:val="231F20"/>
        </w:rPr>
        <w:t>present</w:t>
      </w:r>
      <w:r>
        <w:rPr>
          <w:color w:val="231F20"/>
          <w:spacing w:val="-2"/>
        </w:rPr>
        <w:t xml:space="preserve"> </w:t>
      </w:r>
      <w:r>
        <w:rPr>
          <w:color w:val="231F20"/>
        </w:rPr>
        <w:t>value</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lease</w:t>
      </w:r>
      <w:r>
        <w:rPr>
          <w:color w:val="231F20"/>
          <w:spacing w:val="-3"/>
        </w:rPr>
        <w:t xml:space="preserve"> </w:t>
      </w:r>
      <w:r>
        <w:rPr>
          <w:color w:val="231F20"/>
        </w:rPr>
        <w:t>payments</w:t>
      </w:r>
      <w:r>
        <w:rPr>
          <w:color w:val="231F20"/>
          <w:spacing w:val="-2"/>
        </w:rPr>
        <w:t xml:space="preserve"> </w:t>
      </w:r>
      <w:r>
        <w:rPr>
          <w:color w:val="231F20"/>
        </w:rPr>
        <w:t>unpaid</w:t>
      </w:r>
      <w:r>
        <w:rPr>
          <w:color w:val="231F20"/>
          <w:spacing w:val="-3"/>
        </w:rPr>
        <w:t xml:space="preserve"> </w:t>
      </w:r>
      <w:r>
        <w:rPr>
          <w:color w:val="231F20"/>
        </w:rPr>
        <w:t>at</w:t>
      </w:r>
      <w:r>
        <w:rPr>
          <w:color w:val="231F20"/>
          <w:spacing w:val="-2"/>
        </w:rPr>
        <w:t xml:space="preserve"> </w:t>
      </w:r>
      <w:r>
        <w:rPr>
          <w:color w:val="231F20"/>
        </w:rPr>
        <w:t>the commencement</w:t>
      </w:r>
      <w:r>
        <w:rPr>
          <w:color w:val="231F20"/>
          <w:spacing w:val="-9"/>
        </w:rPr>
        <w:t xml:space="preserve"> </w:t>
      </w:r>
      <w:r>
        <w:rPr>
          <w:color w:val="231F20"/>
        </w:rPr>
        <w:t>date,</w:t>
      </w:r>
      <w:r>
        <w:rPr>
          <w:color w:val="231F20"/>
          <w:spacing w:val="-9"/>
        </w:rPr>
        <w:t xml:space="preserve"> </w:t>
      </w:r>
      <w:r>
        <w:rPr>
          <w:color w:val="231F20"/>
        </w:rPr>
        <w:t>discounted</w:t>
      </w:r>
      <w:r>
        <w:rPr>
          <w:color w:val="231F20"/>
          <w:spacing w:val="-10"/>
        </w:rPr>
        <w:t xml:space="preserve"> </w:t>
      </w:r>
      <w:r>
        <w:rPr>
          <w:color w:val="231F20"/>
        </w:rPr>
        <w:t>using</w:t>
      </w:r>
      <w:r>
        <w:rPr>
          <w:color w:val="231F20"/>
          <w:spacing w:val="-10"/>
        </w:rPr>
        <w:t xml:space="preserve"> </w:t>
      </w:r>
      <w:r>
        <w:rPr>
          <w:color w:val="231F20"/>
        </w:rPr>
        <w:t>the</w:t>
      </w:r>
      <w:r>
        <w:rPr>
          <w:color w:val="231F20"/>
          <w:spacing w:val="-10"/>
        </w:rPr>
        <w:t xml:space="preserve"> </w:t>
      </w:r>
      <w:r>
        <w:rPr>
          <w:color w:val="231F20"/>
        </w:rPr>
        <w:t>interest</w:t>
      </w:r>
      <w:r>
        <w:rPr>
          <w:color w:val="231F20"/>
          <w:spacing w:val="-9"/>
        </w:rPr>
        <w:t xml:space="preserve"> </w:t>
      </w:r>
      <w:r>
        <w:rPr>
          <w:color w:val="231F20"/>
        </w:rPr>
        <w:t>rate</w:t>
      </w:r>
      <w:r>
        <w:rPr>
          <w:color w:val="231F20"/>
          <w:spacing w:val="-10"/>
        </w:rPr>
        <w:t xml:space="preserve"> </w:t>
      </w:r>
      <w:r>
        <w:rPr>
          <w:color w:val="231F20"/>
        </w:rPr>
        <w:t>implicit</w:t>
      </w:r>
      <w:r>
        <w:rPr>
          <w:color w:val="231F20"/>
          <w:spacing w:val="-9"/>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lease</w:t>
      </w:r>
      <w:r>
        <w:rPr>
          <w:color w:val="231F20"/>
          <w:spacing w:val="-10"/>
        </w:rPr>
        <w:t xml:space="preserve"> </w:t>
      </w:r>
      <w:r>
        <w:rPr>
          <w:color w:val="231F20"/>
        </w:rPr>
        <w:t>if</w:t>
      </w:r>
      <w:r>
        <w:rPr>
          <w:color w:val="231F20"/>
          <w:spacing w:val="-9"/>
        </w:rPr>
        <w:t xml:space="preserve"> </w:t>
      </w:r>
      <w:r>
        <w:rPr>
          <w:color w:val="231F20"/>
        </w:rPr>
        <w:t>that</w:t>
      </w:r>
      <w:r>
        <w:rPr>
          <w:color w:val="231F20"/>
          <w:spacing w:val="-9"/>
        </w:rPr>
        <w:t xml:space="preserve"> </w:t>
      </w:r>
      <w:r>
        <w:rPr>
          <w:color w:val="231F20"/>
        </w:rPr>
        <w:t>rate</w:t>
      </w:r>
      <w:r>
        <w:rPr>
          <w:color w:val="231F20"/>
          <w:spacing w:val="-10"/>
        </w:rPr>
        <w:t xml:space="preserve"> </w:t>
      </w:r>
      <w:r>
        <w:rPr>
          <w:color w:val="231F20"/>
        </w:rPr>
        <w:t>is</w:t>
      </w:r>
      <w:r>
        <w:rPr>
          <w:color w:val="231F20"/>
          <w:spacing w:val="-9"/>
        </w:rPr>
        <w:t xml:space="preserve"> </w:t>
      </w:r>
      <w:r>
        <w:rPr>
          <w:color w:val="231F20"/>
        </w:rPr>
        <w:t>readily determinable</w:t>
      </w:r>
      <w:r>
        <w:rPr>
          <w:color w:val="231F20"/>
          <w:spacing w:val="-6"/>
        </w:rPr>
        <w:t xml:space="preserve"> </w:t>
      </w:r>
      <w:r>
        <w:rPr>
          <w:color w:val="231F20"/>
        </w:rPr>
        <w:t>or</w:t>
      </w:r>
      <w:r>
        <w:rPr>
          <w:color w:val="231F20"/>
          <w:spacing w:val="-5"/>
        </w:rPr>
        <w:t xml:space="preserve"> </w:t>
      </w:r>
      <w:r>
        <w:rPr>
          <w:color w:val="231F20"/>
        </w:rPr>
        <w:t>the</w:t>
      </w:r>
      <w:r>
        <w:rPr>
          <w:color w:val="231F20"/>
          <w:spacing w:val="-6"/>
        </w:rPr>
        <w:t xml:space="preserve"> </w:t>
      </w:r>
      <w:r>
        <w:rPr>
          <w:color w:val="231F20"/>
        </w:rPr>
        <w:t>incremental</w:t>
      </w:r>
      <w:r>
        <w:rPr>
          <w:color w:val="231F20"/>
          <w:spacing w:val="-6"/>
        </w:rPr>
        <w:t xml:space="preserve"> </w:t>
      </w:r>
      <w:r>
        <w:rPr>
          <w:color w:val="231F20"/>
        </w:rPr>
        <w:t>borrowing</w:t>
      </w:r>
      <w:r>
        <w:rPr>
          <w:color w:val="231F20"/>
          <w:spacing w:val="-6"/>
        </w:rPr>
        <w:t xml:space="preserve"> </w:t>
      </w:r>
      <w:r>
        <w:rPr>
          <w:color w:val="231F20"/>
        </w:rPr>
        <w:t>rate</w:t>
      </w:r>
      <w:r>
        <w:rPr>
          <w:color w:val="231F20"/>
          <w:spacing w:val="-6"/>
        </w:rPr>
        <w:t xml:space="preserve"> </w:t>
      </w:r>
      <w:r>
        <w:rPr>
          <w:color w:val="231F20"/>
        </w:rPr>
        <w:t>as</w:t>
      </w:r>
      <w:r>
        <w:rPr>
          <w:color w:val="231F20"/>
          <w:spacing w:val="-5"/>
        </w:rPr>
        <w:t xml:space="preserve"> </w:t>
      </w:r>
      <w:r>
        <w:rPr>
          <w:color w:val="231F20"/>
        </w:rPr>
        <w:t>provided</w:t>
      </w:r>
      <w:r>
        <w:rPr>
          <w:color w:val="231F20"/>
          <w:spacing w:val="-6"/>
        </w:rPr>
        <w:t xml:space="preserve"> </w:t>
      </w:r>
      <w:r>
        <w:rPr>
          <w:color w:val="231F20"/>
        </w:rPr>
        <w:t>by</w:t>
      </w:r>
      <w:r>
        <w:rPr>
          <w:color w:val="231F20"/>
          <w:spacing w:val="-5"/>
        </w:rPr>
        <w:t xml:space="preserve"> </w:t>
      </w:r>
      <w:r>
        <w:rPr>
          <w:color w:val="231F20"/>
        </w:rPr>
        <w:t>the</w:t>
      </w:r>
      <w:r>
        <w:rPr>
          <w:color w:val="231F20"/>
          <w:spacing w:val="-6"/>
        </w:rPr>
        <w:t xml:space="preserve"> </w:t>
      </w:r>
      <w:r>
        <w:rPr>
          <w:color w:val="231F20"/>
        </w:rPr>
        <w:t>Department</w:t>
      </w:r>
      <w:r>
        <w:rPr>
          <w:color w:val="231F20"/>
          <w:spacing w:val="-5"/>
        </w:rPr>
        <w:t xml:space="preserve"> </w:t>
      </w:r>
      <w:r>
        <w:rPr>
          <w:color w:val="231F20"/>
        </w:rPr>
        <w:t>of</w:t>
      </w:r>
      <w:r>
        <w:rPr>
          <w:color w:val="231F20"/>
          <w:spacing w:val="-5"/>
        </w:rPr>
        <w:t xml:space="preserve"> </w:t>
      </w:r>
      <w:r>
        <w:rPr>
          <w:color w:val="231F20"/>
        </w:rPr>
        <w:t>Treasury</w:t>
      </w:r>
      <w:r>
        <w:rPr>
          <w:color w:val="231F20"/>
          <w:spacing w:val="-5"/>
        </w:rPr>
        <w:t xml:space="preserve"> </w:t>
      </w:r>
      <w:r>
        <w:rPr>
          <w:color w:val="231F20"/>
        </w:rPr>
        <w:t>and Finance (DTF).</w:t>
      </w:r>
    </w:p>
    <w:p w14:paraId="34DDF088" w14:textId="77777777" w:rsidR="00345EE3" w:rsidRDefault="00345EE3" w:rsidP="00345EE3">
      <w:pPr>
        <w:pStyle w:val="BodyText"/>
        <w:spacing w:before="119"/>
      </w:pPr>
      <w:r>
        <w:rPr>
          <w:color w:val="231F20"/>
        </w:rPr>
        <w:t>Lease</w:t>
      </w:r>
      <w:r>
        <w:rPr>
          <w:color w:val="231F20"/>
          <w:spacing w:val="-12"/>
        </w:rPr>
        <w:t xml:space="preserve"> </w:t>
      </w:r>
      <w:r>
        <w:rPr>
          <w:color w:val="231F20"/>
        </w:rPr>
        <w:t>payments</w:t>
      </w:r>
      <w:r>
        <w:rPr>
          <w:color w:val="231F20"/>
          <w:spacing w:val="-9"/>
        </w:rPr>
        <w:t xml:space="preserve"> </w:t>
      </w:r>
      <w:r>
        <w:rPr>
          <w:color w:val="231F20"/>
        </w:rPr>
        <w:t>included</w:t>
      </w:r>
      <w:r>
        <w:rPr>
          <w:color w:val="231F20"/>
          <w:spacing w:val="-9"/>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measurement</w:t>
      </w:r>
      <w:r>
        <w:rPr>
          <w:color w:val="231F20"/>
          <w:spacing w:val="-8"/>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lease</w:t>
      </w:r>
      <w:r>
        <w:rPr>
          <w:color w:val="231F20"/>
          <w:spacing w:val="-9"/>
        </w:rPr>
        <w:t xml:space="preserve"> </w:t>
      </w:r>
      <w:r>
        <w:rPr>
          <w:color w:val="231F20"/>
        </w:rPr>
        <w:t>liability</w:t>
      </w:r>
      <w:r>
        <w:rPr>
          <w:color w:val="231F20"/>
          <w:spacing w:val="-9"/>
        </w:rPr>
        <w:t xml:space="preserve"> </w:t>
      </w:r>
      <w:r>
        <w:rPr>
          <w:color w:val="231F20"/>
        </w:rPr>
        <w:t>comprise</w:t>
      </w:r>
      <w:r>
        <w:rPr>
          <w:color w:val="231F20"/>
          <w:spacing w:val="-9"/>
        </w:rPr>
        <w:t xml:space="preserve"> </w:t>
      </w:r>
      <w:r>
        <w:rPr>
          <w:color w:val="231F20"/>
        </w:rPr>
        <w:t>the</w:t>
      </w:r>
      <w:r>
        <w:rPr>
          <w:color w:val="231F20"/>
          <w:spacing w:val="-9"/>
        </w:rPr>
        <w:t xml:space="preserve"> </w:t>
      </w:r>
      <w:r>
        <w:rPr>
          <w:color w:val="231F20"/>
          <w:spacing w:val="-2"/>
        </w:rPr>
        <w:t>following:</w:t>
      </w:r>
    </w:p>
    <w:p w14:paraId="41616D32" w14:textId="77777777" w:rsidR="00345EE3" w:rsidRDefault="00345EE3">
      <w:pPr>
        <w:pStyle w:val="ListParagraph"/>
        <w:numPr>
          <w:ilvl w:val="3"/>
          <w:numId w:val="25"/>
        </w:numPr>
        <w:tabs>
          <w:tab w:val="left" w:pos="393"/>
          <w:tab w:val="left" w:pos="394"/>
        </w:tabs>
        <w:rPr>
          <w:sz w:val="24"/>
        </w:rPr>
      </w:pPr>
      <w:r>
        <w:rPr>
          <w:color w:val="231F20"/>
          <w:sz w:val="24"/>
        </w:rPr>
        <w:t>fixed</w:t>
      </w:r>
      <w:r>
        <w:rPr>
          <w:color w:val="231F20"/>
          <w:spacing w:val="-17"/>
          <w:sz w:val="24"/>
        </w:rPr>
        <w:t xml:space="preserve"> </w:t>
      </w:r>
      <w:r>
        <w:rPr>
          <w:color w:val="231F20"/>
          <w:sz w:val="24"/>
        </w:rPr>
        <w:t>payments</w:t>
      </w:r>
      <w:r>
        <w:rPr>
          <w:color w:val="231F20"/>
          <w:spacing w:val="-13"/>
          <w:sz w:val="24"/>
        </w:rPr>
        <w:t xml:space="preserve"> </w:t>
      </w:r>
      <w:r>
        <w:rPr>
          <w:color w:val="231F20"/>
          <w:sz w:val="24"/>
        </w:rPr>
        <w:t>(including</w:t>
      </w:r>
      <w:r>
        <w:rPr>
          <w:color w:val="231F20"/>
          <w:spacing w:val="-14"/>
          <w:sz w:val="24"/>
        </w:rPr>
        <w:t xml:space="preserve"> </w:t>
      </w:r>
      <w:r>
        <w:rPr>
          <w:color w:val="231F20"/>
          <w:sz w:val="24"/>
        </w:rPr>
        <w:t>in-substance</w:t>
      </w:r>
      <w:r>
        <w:rPr>
          <w:color w:val="231F20"/>
          <w:spacing w:val="-14"/>
          <w:sz w:val="24"/>
        </w:rPr>
        <w:t xml:space="preserve"> </w:t>
      </w:r>
      <w:r>
        <w:rPr>
          <w:color w:val="231F20"/>
          <w:sz w:val="24"/>
        </w:rPr>
        <w:t>fixed</w:t>
      </w:r>
      <w:r>
        <w:rPr>
          <w:color w:val="231F20"/>
          <w:spacing w:val="-14"/>
          <w:sz w:val="24"/>
        </w:rPr>
        <w:t xml:space="preserve"> </w:t>
      </w:r>
      <w:r>
        <w:rPr>
          <w:color w:val="231F20"/>
          <w:sz w:val="24"/>
        </w:rPr>
        <w:t>payments)</w:t>
      </w:r>
      <w:r>
        <w:rPr>
          <w:color w:val="231F20"/>
          <w:spacing w:val="-13"/>
          <w:sz w:val="24"/>
        </w:rPr>
        <w:t xml:space="preserve"> </w:t>
      </w:r>
      <w:r>
        <w:rPr>
          <w:color w:val="231F20"/>
          <w:sz w:val="24"/>
        </w:rPr>
        <w:t>less</w:t>
      </w:r>
      <w:r>
        <w:rPr>
          <w:color w:val="231F20"/>
          <w:spacing w:val="-13"/>
          <w:sz w:val="24"/>
        </w:rPr>
        <w:t xml:space="preserve"> </w:t>
      </w:r>
      <w:r>
        <w:rPr>
          <w:color w:val="231F20"/>
          <w:sz w:val="24"/>
        </w:rPr>
        <w:t>any</w:t>
      </w:r>
      <w:r>
        <w:rPr>
          <w:color w:val="231F20"/>
          <w:spacing w:val="-13"/>
          <w:sz w:val="24"/>
        </w:rPr>
        <w:t xml:space="preserve"> </w:t>
      </w:r>
      <w:r>
        <w:rPr>
          <w:color w:val="231F20"/>
          <w:sz w:val="24"/>
        </w:rPr>
        <w:t>lease</w:t>
      </w:r>
      <w:r>
        <w:rPr>
          <w:color w:val="231F20"/>
          <w:spacing w:val="-14"/>
          <w:sz w:val="24"/>
        </w:rPr>
        <w:t xml:space="preserve"> </w:t>
      </w:r>
      <w:r>
        <w:rPr>
          <w:color w:val="231F20"/>
          <w:sz w:val="24"/>
        </w:rPr>
        <w:t>incentive</w:t>
      </w:r>
      <w:r>
        <w:rPr>
          <w:color w:val="231F20"/>
          <w:spacing w:val="-14"/>
          <w:sz w:val="24"/>
        </w:rPr>
        <w:t xml:space="preserve"> </w:t>
      </w:r>
      <w:r>
        <w:rPr>
          <w:color w:val="231F20"/>
          <w:spacing w:val="-2"/>
          <w:sz w:val="24"/>
        </w:rPr>
        <w:t>receivable;</w:t>
      </w:r>
    </w:p>
    <w:p w14:paraId="51A6DE32" w14:textId="77777777" w:rsidR="00345EE3" w:rsidRDefault="00345EE3">
      <w:pPr>
        <w:pStyle w:val="ListParagraph"/>
        <w:numPr>
          <w:ilvl w:val="3"/>
          <w:numId w:val="25"/>
        </w:numPr>
        <w:tabs>
          <w:tab w:val="left" w:pos="393"/>
          <w:tab w:val="left" w:pos="394"/>
        </w:tabs>
        <w:spacing w:line="242" w:lineRule="auto"/>
        <w:ind w:right="389"/>
        <w:rPr>
          <w:sz w:val="24"/>
        </w:rPr>
      </w:pPr>
      <w:r>
        <w:rPr>
          <w:color w:val="231F20"/>
          <w:sz w:val="24"/>
        </w:rPr>
        <w:t>variable</w:t>
      </w:r>
      <w:r>
        <w:rPr>
          <w:color w:val="231F20"/>
          <w:spacing w:val="-10"/>
          <w:sz w:val="24"/>
        </w:rPr>
        <w:t xml:space="preserve"> </w:t>
      </w:r>
      <w:r>
        <w:rPr>
          <w:color w:val="231F20"/>
          <w:sz w:val="24"/>
        </w:rPr>
        <w:t>payments</w:t>
      </w:r>
      <w:r>
        <w:rPr>
          <w:color w:val="231F20"/>
          <w:spacing w:val="-9"/>
          <w:sz w:val="24"/>
        </w:rPr>
        <w:t xml:space="preserve"> </w:t>
      </w:r>
      <w:r>
        <w:rPr>
          <w:color w:val="231F20"/>
          <w:sz w:val="24"/>
        </w:rPr>
        <w:t>based</w:t>
      </w:r>
      <w:r>
        <w:rPr>
          <w:color w:val="231F20"/>
          <w:spacing w:val="-10"/>
          <w:sz w:val="24"/>
        </w:rPr>
        <w:t xml:space="preserve"> </w:t>
      </w:r>
      <w:r>
        <w:rPr>
          <w:color w:val="231F20"/>
          <w:sz w:val="24"/>
        </w:rPr>
        <w:t>on</w:t>
      </w:r>
      <w:r>
        <w:rPr>
          <w:color w:val="231F20"/>
          <w:spacing w:val="-10"/>
          <w:sz w:val="24"/>
        </w:rPr>
        <w:t xml:space="preserve"> </w:t>
      </w:r>
      <w:r>
        <w:rPr>
          <w:color w:val="231F20"/>
          <w:sz w:val="24"/>
        </w:rPr>
        <w:t>an</w:t>
      </w:r>
      <w:r>
        <w:rPr>
          <w:color w:val="231F20"/>
          <w:spacing w:val="-10"/>
          <w:sz w:val="24"/>
        </w:rPr>
        <w:t xml:space="preserve"> </w:t>
      </w:r>
      <w:r>
        <w:rPr>
          <w:color w:val="231F20"/>
          <w:sz w:val="24"/>
        </w:rPr>
        <w:t>index</w:t>
      </w:r>
      <w:r>
        <w:rPr>
          <w:color w:val="231F20"/>
          <w:spacing w:val="-9"/>
          <w:sz w:val="24"/>
        </w:rPr>
        <w:t xml:space="preserve"> </w:t>
      </w:r>
      <w:r>
        <w:rPr>
          <w:color w:val="231F20"/>
          <w:sz w:val="24"/>
        </w:rPr>
        <w:t>or</w:t>
      </w:r>
      <w:r>
        <w:rPr>
          <w:color w:val="231F20"/>
          <w:spacing w:val="-9"/>
          <w:sz w:val="24"/>
        </w:rPr>
        <w:t xml:space="preserve"> </w:t>
      </w:r>
      <w:r>
        <w:rPr>
          <w:color w:val="231F20"/>
          <w:sz w:val="24"/>
        </w:rPr>
        <w:t>rate,</w:t>
      </w:r>
      <w:r>
        <w:rPr>
          <w:color w:val="231F20"/>
          <w:spacing w:val="-9"/>
          <w:sz w:val="24"/>
        </w:rPr>
        <w:t xml:space="preserve"> </w:t>
      </w:r>
      <w:r>
        <w:rPr>
          <w:color w:val="231F20"/>
          <w:sz w:val="24"/>
        </w:rPr>
        <w:t>initially</w:t>
      </w:r>
      <w:r>
        <w:rPr>
          <w:color w:val="231F20"/>
          <w:spacing w:val="-9"/>
          <w:sz w:val="24"/>
        </w:rPr>
        <w:t xml:space="preserve"> </w:t>
      </w:r>
      <w:r>
        <w:rPr>
          <w:color w:val="231F20"/>
          <w:sz w:val="24"/>
        </w:rPr>
        <w:t>measured</w:t>
      </w:r>
      <w:r>
        <w:rPr>
          <w:color w:val="231F20"/>
          <w:spacing w:val="-10"/>
          <w:sz w:val="24"/>
        </w:rPr>
        <w:t xml:space="preserve"> </w:t>
      </w:r>
      <w:r>
        <w:rPr>
          <w:color w:val="231F20"/>
          <w:sz w:val="24"/>
        </w:rPr>
        <w:t>using</w:t>
      </w:r>
      <w:r>
        <w:rPr>
          <w:color w:val="231F20"/>
          <w:spacing w:val="-10"/>
          <w:sz w:val="24"/>
        </w:rPr>
        <w:t xml:space="preserve"> </w:t>
      </w:r>
      <w:r>
        <w:rPr>
          <w:color w:val="231F20"/>
          <w:sz w:val="24"/>
        </w:rPr>
        <w:t>the</w:t>
      </w:r>
      <w:r>
        <w:rPr>
          <w:color w:val="231F20"/>
          <w:spacing w:val="-10"/>
          <w:sz w:val="24"/>
        </w:rPr>
        <w:t xml:space="preserve"> </w:t>
      </w:r>
      <w:r>
        <w:rPr>
          <w:color w:val="231F20"/>
          <w:sz w:val="24"/>
        </w:rPr>
        <w:t>index</w:t>
      </w:r>
      <w:r>
        <w:rPr>
          <w:color w:val="231F20"/>
          <w:spacing w:val="-9"/>
          <w:sz w:val="24"/>
        </w:rPr>
        <w:t xml:space="preserve"> </w:t>
      </w:r>
      <w:r>
        <w:rPr>
          <w:color w:val="231F20"/>
          <w:sz w:val="24"/>
        </w:rPr>
        <w:t>or</w:t>
      </w:r>
      <w:r>
        <w:rPr>
          <w:color w:val="231F20"/>
          <w:spacing w:val="-9"/>
          <w:sz w:val="24"/>
        </w:rPr>
        <w:t xml:space="preserve"> </w:t>
      </w:r>
      <w:r>
        <w:rPr>
          <w:color w:val="231F20"/>
          <w:sz w:val="24"/>
        </w:rPr>
        <w:t>rate</w:t>
      </w:r>
      <w:r>
        <w:rPr>
          <w:color w:val="231F20"/>
          <w:spacing w:val="-10"/>
          <w:sz w:val="24"/>
        </w:rPr>
        <w:t xml:space="preserve"> </w:t>
      </w:r>
      <w:r>
        <w:rPr>
          <w:color w:val="231F20"/>
          <w:sz w:val="24"/>
        </w:rPr>
        <w:t>as</w:t>
      </w:r>
      <w:r>
        <w:rPr>
          <w:color w:val="231F20"/>
          <w:spacing w:val="-9"/>
          <w:sz w:val="24"/>
        </w:rPr>
        <w:t xml:space="preserve"> </w:t>
      </w:r>
      <w:r>
        <w:rPr>
          <w:color w:val="231F20"/>
          <w:sz w:val="24"/>
        </w:rPr>
        <w:t>at the commencement date;</w:t>
      </w:r>
    </w:p>
    <w:p w14:paraId="09A70580" w14:textId="77777777" w:rsidR="00345EE3" w:rsidRDefault="00345EE3">
      <w:pPr>
        <w:pStyle w:val="ListParagraph"/>
        <w:numPr>
          <w:ilvl w:val="3"/>
          <w:numId w:val="25"/>
        </w:numPr>
        <w:tabs>
          <w:tab w:val="left" w:pos="393"/>
          <w:tab w:val="left" w:pos="394"/>
        </w:tabs>
        <w:spacing w:before="31"/>
        <w:rPr>
          <w:sz w:val="24"/>
        </w:rPr>
      </w:pPr>
      <w:r>
        <w:rPr>
          <w:color w:val="231F20"/>
          <w:sz w:val="24"/>
        </w:rPr>
        <w:t>amounts</w:t>
      </w:r>
      <w:r>
        <w:rPr>
          <w:color w:val="231F20"/>
          <w:spacing w:val="-14"/>
          <w:sz w:val="24"/>
        </w:rPr>
        <w:t xml:space="preserve"> </w:t>
      </w:r>
      <w:r>
        <w:rPr>
          <w:color w:val="231F20"/>
          <w:sz w:val="24"/>
        </w:rPr>
        <w:t>expected</w:t>
      </w:r>
      <w:r>
        <w:rPr>
          <w:color w:val="231F20"/>
          <w:spacing w:val="-12"/>
          <w:sz w:val="24"/>
        </w:rPr>
        <w:t xml:space="preserve"> </w:t>
      </w:r>
      <w:r>
        <w:rPr>
          <w:color w:val="231F20"/>
          <w:sz w:val="24"/>
        </w:rPr>
        <w:t>to</w:t>
      </w:r>
      <w:r>
        <w:rPr>
          <w:color w:val="231F20"/>
          <w:spacing w:val="-12"/>
          <w:sz w:val="24"/>
        </w:rPr>
        <w:t xml:space="preserve"> </w:t>
      </w:r>
      <w:r>
        <w:rPr>
          <w:color w:val="231F20"/>
          <w:sz w:val="24"/>
        </w:rPr>
        <w:t>be</w:t>
      </w:r>
      <w:r>
        <w:rPr>
          <w:color w:val="231F20"/>
          <w:spacing w:val="-11"/>
          <w:sz w:val="24"/>
        </w:rPr>
        <w:t xml:space="preserve"> </w:t>
      </w:r>
      <w:r>
        <w:rPr>
          <w:color w:val="231F20"/>
          <w:sz w:val="24"/>
        </w:rPr>
        <w:t>payable</w:t>
      </w:r>
      <w:r>
        <w:rPr>
          <w:color w:val="231F20"/>
          <w:spacing w:val="-12"/>
          <w:sz w:val="24"/>
        </w:rPr>
        <w:t xml:space="preserve"> </w:t>
      </w:r>
      <w:r>
        <w:rPr>
          <w:color w:val="231F20"/>
          <w:sz w:val="24"/>
        </w:rPr>
        <w:t>under</w:t>
      </w:r>
      <w:r>
        <w:rPr>
          <w:color w:val="231F20"/>
          <w:spacing w:val="-12"/>
          <w:sz w:val="24"/>
        </w:rPr>
        <w:t xml:space="preserve"> </w:t>
      </w:r>
      <w:r>
        <w:rPr>
          <w:color w:val="231F20"/>
          <w:sz w:val="24"/>
        </w:rPr>
        <w:t>a</w:t>
      </w:r>
      <w:r>
        <w:rPr>
          <w:color w:val="231F20"/>
          <w:spacing w:val="-11"/>
          <w:sz w:val="24"/>
        </w:rPr>
        <w:t xml:space="preserve"> </w:t>
      </w:r>
      <w:r>
        <w:rPr>
          <w:color w:val="231F20"/>
          <w:sz w:val="24"/>
        </w:rPr>
        <w:t>residual</w:t>
      </w:r>
      <w:r>
        <w:rPr>
          <w:color w:val="231F20"/>
          <w:spacing w:val="-12"/>
          <w:sz w:val="24"/>
        </w:rPr>
        <w:t xml:space="preserve"> </w:t>
      </w:r>
      <w:r>
        <w:rPr>
          <w:color w:val="231F20"/>
          <w:sz w:val="24"/>
        </w:rPr>
        <w:t>value</w:t>
      </w:r>
      <w:r>
        <w:rPr>
          <w:color w:val="231F20"/>
          <w:spacing w:val="-12"/>
          <w:sz w:val="24"/>
        </w:rPr>
        <w:t xml:space="preserve"> </w:t>
      </w:r>
      <w:r>
        <w:rPr>
          <w:color w:val="231F20"/>
          <w:sz w:val="24"/>
        </w:rPr>
        <w:t>guarantee;</w:t>
      </w:r>
      <w:r>
        <w:rPr>
          <w:color w:val="231F20"/>
          <w:spacing w:val="-11"/>
          <w:sz w:val="24"/>
        </w:rPr>
        <w:t xml:space="preserve"> </w:t>
      </w:r>
      <w:r>
        <w:rPr>
          <w:color w:val="231F20"/>
          <w:spacing w:val="-5"/>
          <w:sz w:val="24"/>
        </w:rPr>
        <w:t>and</w:t>
      </w:r>
    </w:p>
    <w:p w14:paraId="678AB11A" w14:textId="77777777" w:rsidR="00345EE3" w:rsidRDefault="00345EE3">
      <w:pPr>
        <w:pStyle w:val="ListParagraph"/>
        <w:numPr>
          <w:ilvl w:val="3"/>
          <w:numId w:val="25"/>
        </w:numPr>
        <w:tabs>
          <w:tab w:val="left" w:pos="393"/>
          <w:tab w:val="left" w:pos="394"/>
        </w:tabs>
        <w:rPr>
          <w:sz w:val="24"/>
        </w:rPr>
      </w:pPr>
      <w:r>
        <w:rPr>
          <w:color w:val="231F20"/>
          <w:sz w:val="24"/>
        </w:rPr>
        <w:t>payments</w:t>
      </w:r>
      <w:r>
        <w:rPr>
          <w:color w:val="231F20"/>
          <w:spacing w:val="-11"/>
          <w:sz w:val="24"/>
        </w:rPr>
        <w:t xml:space="preserve"> </w:t>
      </w:r>
      <w:r>
        <w:rPr>
          <w:color w:val="231F20"/>
          <w:sz w:val="24"/>
        </w:rPr>
        <w:t>arising</w:t>
      </w:r>
      <w:r>
        <w:rPr>
          <w:color w:val="231F20"/>
          <w:spacing w:val="-9"/>
          <w:sz w:val="24"/>
        </w:rPr>
        <w:t xml:space="preserve"> </w:t>
      </w:r>
      <w:r>
        <w:rPr>
          <w:color w:val="231F20"/>
          <w:sz w:val="24"/>
        </w:rPr>
        <w:t>from</w:t>
      </w:r>
      <w:r>
        <w:rPr>
          <w:color w:val="231F20"/>
          <w:spacing w:val="-8"/>
          <w:sz w:val="24"/>
        </w:rPr>
        <w:t xml:space="preserve"> </w:t>
      </w:r>
      <w:r>
        <w:rPr>
          <w:color w:val="231F20"/>
          <w:sz w:val="24"/>
        </w:rPr>
        <w:t>purchase</w:t>
      </w:r>
      <w:r>
        <w:rPr>
          <w:color w:val="231F20"/>
          <w:spacing w:val="-9"/>
          <w:sz w:val="24"/>
        </w:rPr>
        <w:t xml:space="preserve"> </w:t>
      </w:r>
      <w:r>
        <w:rPr>
          <w:color w:val="231F20"/>
          <w:sz w:val="24"/>
        </w:rPr>
        <w:t>and</w:t>
      </w:r>
      <w:r>
        <w:rPr>
          <w:color w:val="231F20"/>
          <w:spacing w:val="-9"/>
          <w:sz w:val="24"/>
        </w:rPr>
        <w:t xml:space="preserve"> </w:t>
      </w:r>
      <w:r>
        <w:rPr>
          <w:color w:val="231F20"/>
          <w:sz w:val="24"/>
        </w:rPr>
        <w:t>termination</w:t>
      </w:r>
      <w:r>
        <w:rPr>
          <w:color w:val="231F20"/>
          <w:spacing w:val="-10"/>
          <w:sz w:val="24"/>
        </w:rPr>
        <w:t xml:space="preserve"> </w:t>
      </w:r>
      <w:r>
        <w:rPr>
          <w:color w:val="231F20"/>
          <w:sz w:val="24"/>
        </w:rPr>
        <w:t>options</w:t>
      </w:r>
      <w:r>
        <w:rPr>
          <w:color w:val="231F20"/>
          <w:spacing w:val="-8"/>
          <w:sz w:val="24"/>
        </w:rPr>
        <w:t xml:space="preserve"> </w:t>
      </w:r>
      <w:r>
        <w:rPr>
          <w:color w:val="231F20"/>
          <w:sz w:val="24"/>
        </w:rPr>
        <w:t>reasonably</w:t>
      </w:r>
      <w:r>
        <w:rPr>
          <w:color w:val="231F20"/>
          <w:spacing w:val="-8"/>
          <w:sz w:val="24"/>
        </w:rPr>
        <w:t xml:space="preserve"> </w:t>
      </w:r>
      <w:r>
        <w:rPr>
          <w:color w:val="231F20"/>
          <w:sz w:val="24"/>
        </w:rPr>
        <w:t>certain</w:t>
      </w:r>
      <w:r>
        <w:rPr>
          <w:color w:val="231F20"/>
          <w:spacing w:val="-9"/>
          <w:sz w:val="24"/>
        </w:rPr>
        <w:t xml:space="preserve"> </w:t>
      </w:r>
      <w:r>
        <w:rPr>
          <w:color w:val="231F20"/>
          <w:sz w:val="24"/>
        </w:rPr>
        <w:t>to</w:t>
      </w:r>
      <w:r>
        <w:rPr>
          <w:color w:val="231F20"/>
          <w:spacing w:val="-9"/>
          <w:sz w:val="24"/>
        </w:rPr>
        <w:t xml:space="preserve"> </w:t>
      </w:r>
      <w:r>
        <w:rPr>
          <w:color w:val="231F20"/>
          <w:sz w:val="24"/>
        </w:rPr>
        <w:t>be</w:t>
      </w:r>
      <w:r>
        <w:rPr>
          <w:color w:val="231F20"/>
          <w:spacing w:val="-9"/>
          <w:sz w:val="24"/>
        </w:rPr>
        <w:t xml:space="preserve"> </w:t>
      </w:r>
      <w:r>
        <w:rPr>
          <w:color w:val="231F20"/>
          <w:spacing w:val="-2"/>
          <w:sz w:val="24"/>
        </w:rPr>
        <w:t>exercised.</w:t>
      </w:r>
    </w:p>
    <w:p w14:paraId="4EB915BA" w14:textId="77777777" w:rsidR="00345EE3" w:rsidRDefault="00345EE3" w:rsidP="00345EE3">
      <w:pPr>
        <w:pStyle w:val="Heading6"/>
      </w:pPr>
      <w:r>
        <w:rPr>
          <w:color w:val="231F20"/>
          <w:spacing w:val="-2"/>
        </w:rPr>
        <w:t>Lease</w:t>
      </w:r>
      <w:r>
        <w:rPr>
          <w:color w:val="231F20"/>
          <w:spacing w:val="-11"/>
        </w:rPr>
        <w:t xml:space="preserve"> </w:t>
      </w:r>
      <w:r>
        <w:rPr>
          <w:color w:val="231F20"/>
          <w:spacing w:val="-2"/>
        </w:rPr>
        <w:t>Liability</w:t>
      </w:r>
      <w:r>
        <w:rPr>
          <w:color w:val="231F20"/>
          <w:spacing w:val="-10"/>
        </w:rPr>
        <w:t xml:space="preserve"> </w:t>
      </w:r>
      <w:r>
        <w:rPr>
          <w:color w:val="231F20"/>
          <w:spacing w:val="-2"/>
        </w:rPr>
        <w:t>–</w:t>
      </w:r>
      <w:r>
        <w:rPr>
          <w:color w:val="231F20"/>
          <w:spacing w:val="-10"/>
        </w:rPr>
        <w:t xml:space="preserve"> </w:t>
      </w:r>
      <w:r>
        <w:rPr>
          <w:color w:val="231F20"/>
          <w:spacing w:val="-2"/>
        </w:rPr>
        <w:t>Subsequent</w:t>
      </w:r>
      <w:r>
        <w:rPr>
          <w:color w:val="231F20"/>
          <w:spacing w:val="-10"/>
        </w:rPr>
        <w:t xml:space="preserve"> </w:t>
      </w:r>
      <w:r>
        <w:rPr>
          <w:color w:val="231F20"/>
          <w:spacing w:val="-2"/>
        </w:rPr>
        <w:t>Measurement</w:t>
      </w:r>
    </w:p>
    <w:p w14:paraId="2D834DE6" w14:textId="77777777" w:rsidR="00345EE3" w:rsidRDefault="00345EE3" w:rsidP="00345EE3">
      <w:pPr>
        <w:pStyle w:val="BodyText"/>
        <w:spacing w:before="61" w:line="242" w:lineRule="auto"/>
        <w:ind w:right="107"/>
      </w:pPr>
      <w:r>
        <w:rPr>
          <w:color w:val="231F20"/>
        </w:rPr>
        <w:t>Subsequent</w:t>
      </w:r>
      <w:r>
        <w:rPr>
          <w:color w:val="231F20"/>
          <w:spacing w:val="-11"/>
        </w:rPr>
        <w:t xml:space="preserve"> </w:t>
      </w:r>
      <w:r>
        <w:rPr>
          <w:color w:val="231F20"/>
        </w:rPr>
        <w:t>to</w:t>
      </w:r>
      <w:r>
        <w:rPr>
          <w:color w:val="231F20"/>
          <w:spacing w:val="-11"/>
        </w:rPr>
        <w:t xml:space="preserve"> </w:t>
      </w:r>
      <w:r>
        <w:rPr>
          <w:color w:val="231F20"/>
        </w:rPr>
        <w:t>initial</w:t>
      </w:r>
      <w:r>
        <w:rPr>
          <w:color w:val="231F20"/>
          <w:spacing w:val="-11"/>
        </w:rPr>
        <w:t xml:space="preserve"> </w:t>
      </w:r>
      <w:r>
        <w:rPr>
          <w:color w:val="231F20"/>
        </w:rPr>
        <w:t>measurement,</w:t>
      </w:r>
      <w:r>
        <w:rPr>
          <w:color w:val="231F20"/>
          <w:spacing w:val="-11"/>
        </w:rPr>
        <w:t xml:space="preserve"> </w:t>
      </w:r>
      <w:r>
        <w:rPr>
          <w:color w:val="231F20"/>
        </w:rPr>
        <w:t>the</w:t>
      </w:r>
      <w:r>
        <w:rPr>
          <w:color w:val="231F20"/>
          <w:spacing w:val="-11"/>
        </w:rPr>
        <w:t xml:space="preserve"> </w:t>
      </w:r>
      <w:r>
        <w:rPr>
          <w:color w:val="231F20"/>
        </w:rPr>
        <w:t>liability</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reduced</w:t>
      </w:r>
      <w:r>
        <w:rPr>
          <w:color w:val="231F20"/>
          <w:spacing w:val="-11"/>
        </w:rPr>
        <w:t xml:space="preserve"> </w:t>
      </w:r>
      <w:r>
        <w:rPr>
          <w:color w:val="231F20"/>
        </w:rPr>
        <w:t>for</w:t>
      </w:r>
      <w:r>
        <w:rPr>
          <w:color w:val="231F20"/>
          <w:spacing w:val="-11"/>
        </w:rPr>
        <w:t xml:space="preserve"> </w:t>
      </w:r>
      <w:r>
        <w:rPr>
          <w:color w:val="231F20"/>
        </w:rPr>
        <w:t>payments</w:t>
      </w:r>
      <w:r>
        <w:rPr>
          <w:color w:val="231F20"/>
          <w:spacing w:val="-11"/>
        </w:rPr>
        <w:t xml:space="preserve"> </w:t>
      </w:r>
      <w:r>
        <w:rPr>
          <w:color w:val="231F20"/>
        </w:rPr>
        <w:t>made</w:t>
      </w:r>
      <w:r>
        <w:rPr>
          <w:color w:val="231F20"/>
          <w:spacing w:val="-11"/>
        </w:rPr>
        <w:t xml:space="preserve"> </w:t>
      </w:r>
      <w:r>
        <w:rPr>
          <w:color w:val="231F20"/>
        </w:rPr>
        <w:t>and</w:t>
      </w:r>
      <w:r>
        <w:rPr>
          <w:color w:val="231F20"/>
          <w:spacing w:val="-11"/>
        </w:rPr>
        <w:t xml:space="preserve"> </w:t>
      </w:r>
      <w:r>
        <w:rPr>
          <w:color w:val="231F20"/>
        </w:rPr>
        <w:t>increased for interest. It is remeasured to reflect any reassessment or modification, or if there are changes in-substance fixed payments.</w:t>
      </w:r>
    </w:p>
    <w:p w14:paraId="2150356A" w14:textId="77777777" w:rsidR="00345EE3" w:rsidRDefault="00345EE3" w:rsidP="00345EE3">
      <w:pPr>
        <w:pStyle w:val="BodyText"/>
        <w:spacing w:before="117" w:line="242" w:lineRule="auto"/>
        <w:rPr>
          <w:color w:val="231F20"/>
        </w:rPr>
      </w:pPr>
      <w:r>
        <w:rPr>
          <w:color w:val="231F20"/>
        </w:rPr>
        <w:t>When</w:t>
      </w:r>
      <w:r>
        <w:rPr>
          <w:color w:val="231F20"/>
          <w:spacing w:val="-9"/>
        </w:rPr>
        <w:t xml:space="preserve"> </w:t>
      </w:r>
      <w:r>
        <w:rPr>
          <w:color w:val="231F20"/>
        </w:rPr>
        <w:t>the</w:t>
      </w:r>
      <w:r>
        <w:rPr>
          <w:color w:val="231F20"/>
          <w:spacing w:val="-9"/>
        </w:rPr>
        <w:t xml:space="preserve"> </w:t>
      </w:r>
      <w:r>
        <w:rPr>
          <w:color w:val="231F20"/>
        </w:rPr>
        <w:t>lease</w:t>
      </w:r>
      <w:r>
        <w:rPr>
          <w:color w:val="231F20"/>
          <w:spacing w:val="-9"/>
        </w:rPr>
        <w:t xml:space="preserve"> </w:t>
      </w:r>
      <w:r>
        <w:rPr>
          <w:color w:val="231F20"/>
        </w:rPr>
        <w:t>liability</w:t>
      </w:r>
      <w:r>
        <w:rPr>
          <w:color w:val="231F20"/>
          <w:spacing w:val="-8"/>
        </w:rPr>
        <w:t xml:space="preserve"> </w:t>
      </w:r>
      <w:r>
        <w:rPr>
          <w:color w:val="231F20"/>
        </w:rPr>
        <w:t>is</w:t>
      </w:r>
      <w:r>
        <w:rPr>
          <w:color w:val="231F20"/>
          <w:spacing w:val="-8"/>
        </w:rPr>
        <w:t xml:space="preserve"> </w:t>
      </w:r>
      <w:r>
        <w:rPr>
          <w:color w:val="231F20"/>
        </w:rPr>
        <w:t>remeasured,</w:t>
      </w:r>
      <w:r>
        <w:rPr>
          <w:color w:val="231F20"/>
          <w:spacing w:val="-8"/>
        </w:rPr>
        <w:t xml:space="preserve"> </w:t>
      </w:r>
      <w:r>
        <w:rPr>
          <w:color w:val="231F20"/>
        </w:rPr>
        <w:t>the</w:t>
      </w:r>
      <w:r>
        <w:rPr>
          <w:color w:val="231F20"/>
          <w:spacing w:val="-9"/>
        </w:rPr>
        <w:t xml:space="preserve"> </w:t>
      </w:r>
      <w:r>
        <w:rPr>
          <w:color w:val="231F20"/>
        </w:rPr>
        <w:t>corresponding</w:t>
      </w:r>
      <w:r>
        <w:rPr>
          <w:color w:val="231F20"/>
          <w:spacing w:val="-9"/>
        </w:rPr>
        <w:t xml:space="preserve"> </w:t>
      </w:r>
      <w:r>
        <w:rPr>
          <w:color w:val="231F20"/>
        </w:rPr>
        <w:t>adjustment</w:t>
      </w:r>
      <w:r>
        <w:rPr>
          <w:color w:val="231F20"/>
          <w:spacing w:val="-8"/>
        </w:rPr>
        <w:t xml:space="preserve"> </w:t>
      </w:r>
      <w:r>
        <w:rPr>
          <w:color w:val="231F20"/>
        </w:rPr>
        <w:t>is</w:t>
      </w:r>
      <w:r>
        <w:rPr>
          <w:color w:val="231F20"/>
          <w:spacing w:val="-8"/>
        </w:rPr>
        <w:t xml:space="preserve"> </w:t>
      </w:r>
      <w:r>
        <w:rPr>
          <w:color w:val="231F20"/>
        </w:rPr>
        <w:t>reflected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right-of- use asset, or profit and loss if the right-of-use asset is already reduced to zero.</w:t>
      </w:r>
    </w:p>
    <w:p w14:paraId="1D1DFA94" w14:textId="77777777" w:rsidR="00345EE3" w:rsidRDefault="00345EE3" w:rsidP="00345EE3">
      <w:pPr>
        <w:rPr>
          <w:color w:val="231F20"/>
          <w:sz w:val="24"/>
          <w:szCs w:val="24"/>
        </w:rPr>
      </w:pPr>
      <w:r>
        <w:rPr>
          <w:color w:val="231F20"/>
        </w:rPr>
        <w:br w:type="page"/>
      </w:r>
    </w:p>
    <w:p w14:paraId="2222B5CB" w14:textId="77777777" w:rsidR="00345EE3" w:rsidRDefault="00345EE3" w:rsidP="00345EE3">
      <w:pPr>
        <w:pStyle w:val="Heading6"/>
        <w:spacing w:before="117"/>
      </w:pPr>
      <w:r>
        <w:rPr>
          <w:color w:val="231F20"/>
          <w:spacing w:val="-6"/>
        </w:rPr>
        <w:t>Short-Term</w:t>
      </w:r>
      <w:r>
        <w:rPr>
          <w:color w:val="231F20"/>
          <w:spacing w:val="7"/>
        </w:rPr>
        <w:t xml:space="preserve"> </w:t>
      </w:r>
      <w:r>
        <w:rPr>
          <w:color w:val="231F20"/>
          <w:spacing w:val="-6"/>
        </w:rPr>
        <w:t>Leases</w:t>
      </w:r>
    </w:p>
    <w:p w14:paraId="28A4DECD" w14:textId="77777777" w:rsidR="00345EE3" w:rsidRDefault="00345EE3" w:rsidP="00345EE3">
      <w:pPr>
        <w:pStyle w:val="BodyText"/>
        <w:spacing w:before="61"/>
      </w:pPr>
      <w:r>
        <w:rPr>
          <w:color w:val="231F20"/>
        </w:rPr>
        <w:t>Please</w:t>
      </w:r>
      <w:r>
        <w:rPr>
          <w:color w:val="231F20"/>
          <w:spacing w:val="-16"/>
        </w:rPr>
        <w:t xml:space="preserve"> </w:t>
      </w:r>
      <w:r>
        <w:rPr>
          <w:color w:val="231F20"/>
        </w:rPr>
        <w:t>refer</w:t>
      </w:r>
      <w:r>
        <w:rPr>
          <w:color w:val="231F20"/>
          <w:spacing w:val="-12"/>
        </w:rPr>
        <w:t xml:space="preserve"> </w:t>
      </w:r>
      <w:r>
        <w:rPr>
          <w:color w:val="231F20"/>
        </w:rPr>
        <w:t>to</w:t>
      </w:r>
      <w:r>
        <w:rPr>
          <w:color w:val="231F20"/>
          <w:spacing w:val="-13"/>
        </w:rPr>
        <w:t xml:space="preserve"> </w:t>
      </w:r>
      <w:r>
        <w:rPr>
          <w:color w:val="231F20"/>
        </w:rPr>
        <w:t>Note</w:t>
      </w:r>
      <w:r>
        <w:rPr>
          <w:color w:val="231F20"/>
          <w:spacing w:val="-14"/>
        </w:rPr>
        <w:t xml:space="preserve"> </w:t>
      </w:r>
      <w:r>
        <w:rPr>
          <w:color w:val="231F20"/>
        </w:rPr>
        <w:t>7.2.1</w:t>
      </w:r>
      <w:r>
        <w:rPr>
          <w:color w:val="231F20"/>
          <w:spacing w:val="-13"/>
        </w:rPr>
        <w:t xml:space="preserve"> </w:t>
      </w:r>
      <w:r>
        <w:rPr>
          <w:color w:val="231F20"/>
        </w:rPr>
        <w:t>(a)</w:t>
      </w:r>
      <w:r>
        <w:rPr>
          <w:color w:val="231F20"/>
          <w:spacing w:val="-12"/>
        </w:rPr>
        <w:t xml:space="preserve"> </w:t>
      </w:r>
      <w:r>
        <w:rPr>
          <w:color w:val="231F20"/>
        </w:rPr>
        <w:t>Short-term</w:t>
      </w:r>
      <w:r>
        <w:rPr>
          <w:color w:val="231F20"/>
          <w:spacing w:val="-13"/>
        </w:rPr>
        <w:t xml:space="preserve"> </w:t>
      </w:r>
      <w:r>
        <w:rPr>
          <w:color w:val="231F20"/>
        </w:rPr>
        <w:t>Lease</w:t>
      </w:r>
      <w:r>
        <w:rPr>
          <w:color w:val="231F20"/>
          <w:spacing w:val="-13"/>
        </w:rPr>
        <w:t xml:space="preserve"> </w:t>
      </w:r>
      <w:r>
        <w:rPr>
          <w:color w:val="231F20"/>
        </w:rPr>
        <w:t>(Lease</w:t>
      </w:r>
      <w:r>
        <w:rPr>
          <w:color w:val="231F20"/>
          <w:spacing w:val="-13"/>
        </w:rPr>
        <w:t xml:space="preserve"> </w:t>
      </w:r>
      <w:r>
        <w:rPr>
          <w:color w:val="231F20"/>
        </w:rPr>
        <w:t>term</w:t>
      </w:r>
      <w:r>
        <w:rPr>
          <w:color w:val="231F20"/>
          <w:spacing w:val="-13"/>
        </w:rPr>
        <w:t xml:space="preserve"> </w:t>
      </w:r>
      <w:r>
        <w:rPr>
          <w:color w:val="231F20"/>
        </w:rPr>
        <w:t>of</w:t>
      </w:r>
      <w:r>
        <w:rPr>
          <w:color w:val="231F20"/>
          <w:spacing w:val="-12"/>
        </w:rPr>
        <w:t xml:space="preserve"> </w:t>
      </w:r>
      <w:r>
        <w:rPr>
          <w:color w:val="231F20"/>
        </w:rPr>
        <w:t>12</w:t>
      </w:r>
      <w:r>
        <w:rPr>
          <w:color w:val="231F20"/>
          <w:spacing w:val="-14"/>
        </w:rPr>
        <w:t xml:space="preserve"> </w:t>
      </w:r>
      <w:r>
        <w:rPr>
          <w:color w:val="231F20"/>
        </w:rPr>
        <w:t>months</w:t>
      </w:r>
      <w:r>
        <w:rPr>
          <w:color w:val="231F20"/>
          <w:spacing w:val="-12"/>
        </w:rPr>
        <w:t xml:space="preserve"> </w:t>
      </w:r>
      <w:r>
        <w:rPr>
          <w:color w:val="231F20"/>
        </w:rPr>
        <w:t>or</w:t>
      </w:r>
      <w:r>
        <w:rPr>
          <w:color w:val="231F20"/>
          <w:spacing w:val="-12"/>
        </w:rPr>
        <w:t xml:space="preserve"> </w:t>
      </w:r>
      <w:r>
        <w:rPr>
          <w:color w:val="231F20"/>
          <w:spacing w:val="-2"/>
        </w:rPr>
        <w:t>less).</w:t>
      </w:r>
    </w:p>
    <w:p w14:paraId="58041ED6" w14:textId="77777777" w:rsidR="00345EE3" w:rsidRDefault="00345EE3" w:rsidP="00345EE3">
      <w:pPr>
        <w:pStyle w:val="Heading6"/>
      </w:pPr>
      <w:r>
        <w:rPr>
          <w:color w:val="231F20"/>
          <w:spacing w:val="-2"/>
        </w:rPr>
        <w:t>Leases</w:t>
      </w:r>
      <w:r>
        <w:rPr>
          <w:color w:val="231F20"/>
          <w:spacing w:val="-11"/>
        </w:rPr>
        <w:t xml:space="preserve"> </w:t>
      </w:r>
      <w:r>
        <w:rPr>
          <w:color w:val="231F20"/>
          <w:spacing w:val="-2"/>
        </w:rPr>
        <w:t>of</w:t>
      </w:r>
      <w:r>
        <w:rPr>
          <w:color w:val="231F20"/>
          <w:spacing w:val="-10"/>
        </w:rPr>
        <w:t xml:space="preserve"> </w:t>
      </w:r>
      <w:r>
        <w:rPr>
          <w:color w:val="231F20"/>
          <w:spacing w:val="-2"/>
        </w:rPr>
        <w:t>Low</w:t>
      </w:r>
      <w:r>
        <w:rPr>
          <w:color w:val="231F20"/>
          <w:spacing w:val="-10"/>
        </w:rPr>
        <w:t xml:space="preserve"> </w:t>
      </w:r>
      <w:r>
        <w:rPr>
          <w:color w:val="231F20"/>
          <w:spacing w:val="-2"/>
        </w:rPr>
        <w:t>Value</w:t>
      </w:r>
      <w:r>
        <w:rPr>
          <w:color w:val="231F20"/>
          <w:spacing w:val="-10"/>
        </w:rPr>
        <w:t xml:space="preserve"> </w:t>
      </w:r>
      <w:r>
        <w:rPr>
          <w:color w:val="231F20"/>
          <w:spacing w:val="-2"/>
        </w:rPr>
        <w:t>Assets</w:t>
      </w:r>
    </w:p>
    <w:p w14:paraId="311FD2B5" w14:textId="77777777" w:rsidR="00345EE3" w:rsidRDefault="00345EE3" w:rsidP="00345EE3">
      <w:pPr>
        <w:pStyle w:val="BodyText"/>
        <w:spacing w:before="61"/>
      </w:pPr>
      <w:r>
        <w:rPr>
          <w:color w:val="231F20"/>
        </w:rPr>
        <w:t>Please</w:t>
      </w:r>
      <w:r>
        <w:rPr>
          <w:color w:val="231F20"/>
          <w:spacing w:val="-18"/>
        </w:rPr>
        <w:t xml:space="preserve"> </w:t>
      </w:r>
      <w:r>
        <w:rPr>
          <w:color w:val="231F20"/>
        </w:rPr>
        <w:t>refer</w:t>
      </w:r>
      <w:r>
        <w:rPr>
          <w:color w:val="231F20"/>
          <w:spacing w:val="-15"/>
        </w:rPr>
        <w:t xml:space="preserve"> </w:t>
      </w:r>
      <w:r>
        <w:rPr>
          <w:color w:val="231F20"/>
        </w:rPr>
        <w:t>to</w:t>
      </w:r>
      <w:r>
        <w:rPr>
          <w:color w:val="231F20"/>
          <w:spacing w:val="-15"/>
        </w:rPr>
        <w:t xml:space="preserve"> </w:t>
      </w:r>
      <w:r>
        <w:rPr>
          <w:color w:val="231F20"/>
        </w:rPr>
        <w:t>Note</w:t>
      </w:r>
      <w:r>
        <w:rPr>
          <w:color w:val="231F20"/>
          <w:spacing w:val="-15"/>
        </w:rPr>
        <w:t xml:space="preserve"> </w:t>
      </w:r>
      <w:r>
        <w:rPr>
          <w:color w:val="231F20"/>
        </w:rPr>
        <w:t>7.2.1</w:t>
      </w:r>
      <w:r>
        <w:rPr>
          <w:color w:val="231F20"/>
          <w:spacing w:val="-16"/>
        </w:rPr>
        <w:t xml:space="preserve"> </w:t>
      </w:r>
      <w:r>
        <w:rPr>
          <w:color w:val="231F20"/>
        </w:rPr>
        <w:t>(b)</w:t>
      </w:r>
      <w:r>
        <w:rPr>
          <w:color w:val="231F20"/>
          <w:spacing w:val="-14"/>
        </w:rPr>
        <w:t xml:space="preserve"> </w:t>
      </w:r>
      <w:r>
        <w:rPr>
          <w:color w:val="231F20"/>
        </w:rPr>
        <w:t>Leases</w:t>
      </w:r>
      <w:r>
        <w:rPr>
          <w:color w:val="231F20"/>
          <w:spacing w:val="-15"/>
        </w:rPr>
        <w:t xml:space="preserve"> </w:t>
      </w:r>
      <w:r>
        <w:rPr>
          <w:color w:val="231F20"/>
        </w:rPr>
        <w:t>of</w:t>
      </w:r>
      <w:r>
        <w:rPr>
          <w:color w:val="231F20"/>
          <w:spacing w:val="-15"/>
        </w:rPr>
        <w:t xml:space="preserve"> </w:t>
      </w:r>
      <w:r>
        <w:rPr>
          <w:color w:val="231F20"/>
        </w:rPr>
        <w:t>Low</w:t>
      </w:r>
      <w:r>
        <w:rPr>
          <w:color w:val="231F20"/>
          <w:spacing w:val="-15"/>
        </w:rPr>
        <w:t xml:space="preserve"> </w:t>
      </w:r>
      <w:r>
        <w:rPr>
          <w:color w:val="231F20"/>
        </w:rPr>
        <w:t>Value</w:t>
      </w:r>
      <w:r>
        <w:rPr>
          <w:color w:val="231F20"/>
          <w:spacing w:val="-15"/>
        </w:rPr>
        <w:t xml:space="preserve"> </w:t>
      </w:r>
      <w:r>
        <w:rPr>
          <w:color w:val="231F20"/>
          <w:spacing w:val="-2"/>
        </w:rPr>
        <w:t>Assets.</w:t>
      </w:r>
    </w:p>
    <w:p w14:paraId="2CE330DD" w14:textId="77777777" w:rsidR="00345EE3" w:rsidRDefault="00345EE3" w:rsidP="00345EE3">
      <w:pPr>
        <w:pStyle w:val="Heading6"/>
      </w:pPr>
      <w:r>
        <w:rPr>
          <w:color w:val="231F20"/>
          <w:spacing w:val="-2"/>
        </w:rPr>
        <w:t>Below</w:t>
      </w:r>
      <w:r>
        <w:rPr>
          <w:color w:val="231F20"/>
          <w:spacing w:val="-7"/>
        </w:rPr>
        <w:t xml:space="preserve"> </w:t>
      </w:r>
      <w:r>
        <w:rPr>
          <w:color w:val="231F20"/>
          <w:spacing w:val="-2"/>
        </w:rPr>
        <w:t>Market/Peppercorn</w:t>
      </w:r>
      <w:r>
        <w:rPr>
          <w:color w:val="231F20"/>
          <w:spacing w:val="-7"/>
        </w:rPr>
        <w:t xml:space="preserve"> </w:t>
      </w:r>
      <w:r>
        <w:rPr>
          <w:color w:val="231F20"/>
          <w:spacing w:val="-2"/>
        </w:rPr>
        <w:t>Leases</w:t>
      </w:r>
    </w:p>
    <w:p w14:paraId="22D65039" w14:textId="77777777" w:rsidR="00345EE3" w:rsidRDefault="00345EE3" w:rsidP="00345EE3">
      <w:pPr>
        <w:pStyle w:val="BodyText"/>
        <w:spacing w:before="60" w:line="242" w:lineRule="auto"/>
      </w:pPr>
      <w:r>
        <w:rPr>
          <w:color w:val="231F20"/>
        </w:rPr>
        <w:t>Right-of-use assets under leases at significantly below-market terms and conditions that are entered</w:t>
      </w:r>
      <w:r>
        <w:rPr>
          <w:color w:val="231F20"/>
          <w:spacing w:val="-6"/>
        </w:rPr>
        <w:t xml:space="preserve"> </w:t>
      </w:r>
      <w:r>
        <w:rPr>
          <w:color w:val="231F20"/>
        </w:rPr>
        <w:t>into</w:t>
      </w:r>
      <w:r>
        <w:rPr>
          <w:color w:val="231F20"/>
          <w:spacing w:val="-6"/>
        </w:rPr>
        <w:t xml:space="preserve"> </w:t>
      </w:r>
      <w:r>
        <w:rPr>
          <w:color w:val="231F20"/>
        </w:rPr>
        <w:t>principally</w:t>
      </w:r>
      <w:r>
        <w:rPr>
          <w:color w:val="231F20"/>
          <w:spacing w:val="-5"/>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organisation</w:t>
      </w:r>
      <w:r>
        <w:rPr>
          <w:color w:val="231F20"/>
          <w:spacing w:val="-6"/>
        </w:rPr>
        <w:t xml:space="preserve"> </w:t>
      </w:r>
      <w:r>
        <w:rPr>
          <w:color w:val="231F20"/>
        </w:rPr>
        <w:t>to</w:t>
      </w:r>
      <w:r>
        <w:rPr>
          <w:color w:val="231F20"/>
          <w:spacing w:val="-6"/>
        </w:rPr>
        <w:t xml:space="preserve"> </w:t>
      </w:r>
      <w:r>
        <w:rPr>
          <w:color w:val="231F20"/>
        </w:rPr>
        <w:t>further</w:t>
      </w:r>
      <w:r>
        <w:rPr>
          <w:color w:val="231F20"/>
          <w:spacing w:val="-5"/>
        </w:rPr>
        <w:t xml:space="preserve"> </w:t>
      </w:r>
      <w:r>
        <w:rPr>
          <w:color w:val="231F20"/>
        </w:rPr>
        <w:t>its</w:t>
      </w:r>
      <w:r>
        <w:rPr>
          <w:color w:val="231F20"/>
          <w:spacing w:val="-5"/>
        </w:rPr>
        <w:t xml:space="preserve"> </w:t>
      </w:r>
      <w:r>
        <w:rPr>
          <w:color w:val="231F20"/>
        </w:rPr>
        <w:t>objectives,</w:t>
      </w:r>
      <w:r>
        <w:rPr>
          <w:color w:val="231F20"/>
          <w:spacing w:val="-5"/>
        </w:rPr>
        <w:t xml:space="preserve"> </w:t>
      </w:r>
      <w:r>
        <w:rPr>
          <w:color w:val="231F20"/>
        </w:rPr>
        <w:t>are</w:t>
      </w:r>
      <w:r>
        <w:rPr>
          <w:color w:val="231F20"/>
          <w:spacing w:val="-6"/>
        </w:rPr>
        <w:t xml:space="preserve"> </w:t>
      </w:r>
      <w:r>
        <w:rPr>
          <w:color w:val="231F20"/>
        </w:rPr>
        <w:t>initially</w:t>
      </w:r>
      <w:r>
        <w:rPr>
          <w:color w:val="231F20"/>
          <w:spacing w:val="-5"/>
        </w:rPr>
        <w:t xml:space="preserve"> </w:t>
      </w:r>
      <w:r>
        <w:rPr>
          <w:color w:val="231F20"/>
        </w:rPr>
        <w:t>and</w:t>
      </w:r>
      <w:r>
        <w:rPr>
          <w:color w:val="231F20"/>
          <w:spacing w:val="-6"/>
        </w:rPr>
        <w:t xml:space="preserve"> </w:t>
      </w:r>
      <w:r>
        <w:rPr>
          <w:color w:val="231F20"/>
        </w:rPr>
        <w:t>subsequently measured</w:t>
      </w:r>
      <w:r>
        <w:rPr>
          <w:color w:val="231F20"/>
          <w:spacing w:val="-7"/>
        </w:rPr>
        <w:t xml:space="preserve"> </w:t>
      </w:r>
      <w:r>
        <w:rPr>
          <w:color w:val="231F20"/>
        </w:rPr>
        <w:t>at</w:t>
      </w:r>
      <w:r>
        <w:rPr>
          <w:color w:val="231F20"/>
          <w:spacing w:val="-6"/>
        </w:rPr>
        <w:t xml:space="preserve"> </w:t>
      </w:r>
      <w:r>
        <w:rPr>
          <w:color w:val="231F20"/>
        </w:rPr>
        <w:t>cost.</w:t>
      </w:r>
      <w:r>
        <w:rPr>
          <w:color w:val="231F20"/>
          <w:spacing w:val="40"/>
        </w:rPr>
        <w:t xml:space="preserve"> </w:t>
      </w:r>
      <w:r>
        <w:rPr>
          <w:color w:val="231F20"/>
        </w:rPr>
        <w:t>As</w:t>
      </w:r>
      <w:r>
        <w:rPr>
          <w:color w:val="231F20"/>
          <w:spacing w:val="-6"/>
        </w:rPr>
        <w:t xml:space="preserve"> </w:t>
      </w:r>
      <w:r>
        <w:rPr>
          <w:color w:val="231F20"/>
        </w:rPr>
        <w:t>at</w:t>
      </w:r>
      <w:r>
        <w:rPr>
          <w:color w:val="231F20"/>
          <w:spacing w:val="-6"/>
        </w:rPr>
        <w:t xml:space="preserve"> </w:t>
      </w:r>
      <w:r>
        <w:rPr>
          <w:color w:val="231F20"/>
        </w:rPr>
        <w:t>30</w:t>
      </w:r>
      <w:r>
        <w:rPr>
          <w:color w:val="231F20"/>
          <w:spacing w:val="-7"/>
        </w:rPr>
        <w:t xml:space="preserve"> </w:t>
      </w:r>
      <w:r>
        <w:rPr>
          <w:color w:val="231F20"/>
        </w:rPr>
        <w:t>June</w:t>
      </w:r>
      <w:r>
        <w:rPr>
          <w:color w:val="231F20"/>
          <w:spacing w:val="-7"/>
        </w:rPr>
        <w:t xml:space="preserve"> </w:t>
      </w:r>
      <w:r>
        <w:rPr>
          <w:color w:val="231F20"/>
        </w:rPr>
        <w:t>2022,</w:t>
      </w:r>
      <w:r>
        <w:rPr>
          <w:color w:val="231F20"/>
          <w:spacing w:val="-6"/>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has</w:t>
      </w:r>
      <w:r>
        <w:rPr>
          <w:color w:val="231F20"/>
          <w:spacing w:val="-6"/>
        </w:rPr>
        <w:t xml:space="preserve"> </w:t>
      </w:r>
      <w:r>
        <w:rPr>
          <w:color w:val="231F20"/>
        </w:rPr>
        <w:t>no</w:t>
      </w:r>
      <w:r>
        <w:rPr>
          <w:color w:val="231F20"/>
          <w:spacing w:val="-7"/>
        </w:rPr>
        <w:t xml:space="preserve"> </w:t>
      </w:r>
      <w:r>
        <w:rPr>
          <w:color w:val="231F20"/>
        </w:rPr>
        <w:t>below</w:t>
      </w:r>
      <w:r>
        <w:rPr>
          <w:color w:val="231F20"/>
          <w:spacing w:val="-7"/>
        </w:rPr>
        <w:t xml:space="preserve"> </w:t>
      </w:r>
      <w:r>
        <w:rPr>
          <w:color w:val="231F20"/>
        </w:rPr>
        <w:t>market/peppercorn</w:t>
      </w:r>
      <w:r>
        <w:rPr>
          <w:color w:val="231F20"/>
          <w:spacing w:val="-7"/>
        </w:rPr>
        <w:t xml:space="preserve"> </w:t>
      </w:r>
      <w:r>
        <w:rPr>
          <w:color w:val="231F20"/>
        </w:rPr>
        <w:t>leases.</w:t>
      </w:r>
    </w:p>
    <w:p w14:paraId="12D06E8E" w14:textId="77777777" w:rsidR="00345EE3" w:rsidRDefault="00345EE3" w:rsidP="00345EE3">
      <w:pPr>
        <w:pStyle w:val="Heading5"/>
        <w:spacing w:before="231"/>
      </w:pPr>
      <w:r>
        <w:rPr>
          <w:color w:val="231F20"/>
        </w:rPr>
        <w:t>Presentation</w:t>
      </w:r>
      <w:r>
        <w:rPr>
          <w:color w:val="231F20"/>
          <w:spacing w:val="-3"/>
        </w:rPr>
        <w:t xml:space="preserve"> </w:t>
      </w:r>
      <w:r>
        <w:rPr>
          <w:color w:val="231F20"/>
        </w:rPr>
        <w:t>of</w:t>
      </w:r>
      <w:r>
        <w:rPr>
          <w:color w:val="231F20"/>
          <w:spacing w:val="-2"/>
        </w:rPr>
        <w:t xml:space="preserve"> </w:t>
      </w:r>
      <w:r>
        <w:rPr>
          <w:color w:val="231F20"/>
        </w:rPr>
        <w:t>Right-of-Use</w:t>
      </w:r>
      <w:r>
        <w:rPr>
          <w:color w:val="231F20"/>
          <w:spacing w:val="-3"/>
        </w:rPr>
        <w:t xml:space="preserve"> </w:t>
      </w:r>
      <w:r>
        <w:rPr>
          <w:color w:val="231F20"/>
        </w:rPr>
        <w:t>Assets</w:t>
      </w:r>
      <w:r>
        <w:rPr>
          <w:color w:val="231F20"/>
          <w:spacing w:val="-2"/>
        </w:rPr>
        <w:t xml:space="preserve"> </w:t>
      </w:r>
      <w:r>
        <w:rPr>
          <w:color w:val="231F20"/>
        </w:rPr>
        <w:t>and</w:t>
      </w:r>
      <w:r>
        <w:rPr>
          <w:color w:val="231F20"/>
          <w:spacing w:val="-3"/>
        </w:rPr>
        <w:t xml:space="preserve"> </w:t>
      </w:r>
      <w:r>
        <w:rPr>
          <w:color w:val="231F20"/>
        </w:rPr>
        <w:t>Lease</w:t>
      </w:r>
      <w:r>
        <w:rPr>
          <w:color w:val="231F20"/>
          <w:spacing w:val="-2"/>
        </w:rPr>
        <w:t xml:space="preserve"> Liabilities</w:t>
      </w:r>
    </w:p>
    <w:p w14:paraId="612DFAE0" w14:textId="77777777" w:rsidR="00345EE3" w:rsidRDefault="00345EE3" w:rsidP="00345EE3">
      <w:pPr>
        <w:pStyle w:val="BodyText"/>
        <w:spacing w:before="61" w:line="242" w:lineRule="auto"/>
      </w:pPr>
      <w:r>
        <w:rPr>
          <w:color w:val="231F20"/>
        </w:rPr>
        <w:t>Victoria Police presents right-of-use assets as ‘property plant equipment’ unless they meet the definition</w:t>
      </w:r>
      <w:r>
        <w:rPr>
          <w:color w:val="231F20"/>
          <w:spacing w:val="-9"/>
        </w:rPr>
        <w:t xml:space="preserve"> </w:t>
      </w:r>
      <w:r>
        <w:rPr>
          <w:color w:val="231F20"/>
        </w:rPr>
        <w:t>of</w:t>
      </w:r>
      <w:r>
        <w:rPr>
          <w:color w:val="231F20"/>
          <w:spacing w:val="-8"/>
        </w:rPr>
        <w:t xml:space="preserve"> </w:t>
      </w:r>
      <w:r>
        <w:rPr>
          <w:color w:val="231F20"/>
        </w:rPr>
        <w:t>investment</w:t>
      </w:r>
      <w:r>
        <w:rPr>
          <w:color w:val="231F20"/>
          <w:spacing w:val="-8"/>
        </w:rPr>
        <w:t xml:space="preserve"> </w:t>
      </w:r>
      <w:r>
        <w:rPr>
          <w:color w:val="231F20"/>
        </w:rPr>
        <w:t>property,</w:t>
      </w:r>
      <w:r>
        <w:rPr>
          <w:color w:val="231F20"/>
          <w:spacing w:val="-8"/>
        </w:rPr>
        <w:t xml:space="preserve"> </w:t>
      </w:r>
      <w:r>
        <w:rPr>
          <w:color w:val="231F20"/>
        </w:rPr>
        <w:t>in</w:t>
      </w:r>
      <w:r>
        <w:rPr>
          <w:color w:val="231F20"/>
          <w:spacing w:val="-9"/>
        </w:rPr>
        <w:t xml:space="preserve"> </w:t>
      </w:r>
      <w:r>
        <w:rPr>
          <w:color w:val="231F20"/>
        </w:rPr>
        <w:t>which</w:t>
      </w:r>
      <w:r>
        <w:rPr>
          <w:color w:val="231F20"/>
          <w:spacing w:val="-9"/>
        </w:rPr>
        <w:t xml:space="preserve"> </w:t>
      </w:r>
      <w:r>
        <w:rPr>
          <w:color w:val="231F20"/>
        </w:rPr>
        <w:t>case</w:t>
      </w:r>
      <w:r>
        <w:rPr>
          <w:color w:val="231F20"/>
          <w:spacing w:val="-9"/>
        </w:rPr>
        <w:t xml:space="preserve"> </w:t>
      </w:r>
      <w:r>
        <w:rPr>
          <w:color w:val="231F20"/>
        </w:rPr>
        <w:t>they</w:t>
      </w:r>
      <w:r>
        <w:rPr>
          <w:color w:val="231F20"/>
          <w:spacing w:val="-8"/>
        </w:rPr>
        <w:t xml:space="preserve"> </w:t>
      </w:r>
      <w:r>
        <w:rPr>
          <w:color w:val="231F20"/>
        </w:rPr>
        <w:t>are</w:t>
      </w:r>
      <w:r>
        <w:rPr>
          <w:color w:val="231F20"/>
          <w:spacing w:val="-9"/>
        </w:rPr>
        <w:t xml:space="preserve"> </w:t>
      </w:r>
      <w:r>
        <w:rPr>
          <w:color w:val="231F20"/>
        </w:rPr>
        <w:t>disclosed</w:t>
      </w:r>
      <w:r>
        <w:rPr>
          <w:color w:val="231F20"/>
          <w:spacing w:val="-9"/>
        </w:rPr>
        <w:t xml:space="preserve"> </w:t>
      </w:r>
      <w:r>
        <w:rPr>
          <w:color w:val="231F20"/>
        </w:rPr>
        <w:t>as</w:t>
      </w:r>
      <w:r>
        <w:rPr>
          <w:color w:val="231F20"/>
          <w:spacing w:val="-8"/>
        </w:rPr>
        <w:t xml:space="preserve"> </w:t>
      </w:r>
      <w:r>
        <w:rPr>
          <w:color w:val="231F20"/>
        </w:rPr>
        <w:t>‘investment</w:t>
      </w:r>
      <w:r>
        <w:rPr>
          <w:color w:val="231F20"/>
          <w:spacing w:val="-8"/>
        </w:rPr>
        <w:t xml:space="preserve"> </w:t>
      </w:r>
      <w:r>
        <w:rPr>
          <w:color w:val="231F20"/>
        </w:rPr>
        <w:t>property’</w:t>
      </w:r>
      <w:r>
        <w:rPr>
          <w:color w:val="231F20"/>
          <w:spacing w:val="-9"/>
        </w:rPr>
        <w:t xml:space="preserve"> </w:t>
      </w:r>
      <w:r>
        <w:rPr>
          <w:color w:val="231F20"/>
        </w:rPr>
        <w:t>in</w:t>
      </w:r>
      <w:r>
        <w:rPr>
          <w:color w:val="231F20"/>
          <w:spacing w:val="-9"/>
        </w:rPr>
        <w:t xml:space="preserve"> </w:t>
      </w:r>
      <w:r>
        <w:rPr>
          <w:color w:val="231F20"/>
        </w:rPr>
        <w:t>the Balance Sheet. Lease liabilities are presented as ‘borrowings’ in the Balance Sheet.</w:t>
      </w:r>
    </w:p>
    <w:p w14:paraId="3BFE538B" w14:textId="77777777" w:rsidR="00345EE3" w:rsidRDefault="00345EE3">
      <w:pPr>
        <w:pStyle w:val="Heading5"/>
        <w:numPr>
          <w:ilvl w:val="2"/>
          <w:numId w:val="24"/>
        </w:numPr>
        <w:tabs>
          <w:tab w:val="left" w:pos="711"/>
        </w:tabs>
        <w:spacing w:before="174"/>
      </w:pPr>
      <w:r>
        <w:rPr>
          <w:color w:val="58595B"/>
        </w:rPr>
        <w:t>Sub-Leasing</w:t>
      </w:r>
      <w:r>
        <w:rPr>
          <w:color w:val="58595B"/>
          <w:spacing w:val="-4"/>
        </w:rPr>
        <w:t xml:space="preserve"> </w:t>
      </w:r>
      <w:r>
        <w:rPr>
          <w:color w:val="58595B"/>
        </w:rPr>
        <w:t>in</w:t>
      </w:r>
      <w:r>
        <w:rPr>
          <w:color w:val="58595B"/>
          <w:spacing w:val="-4"/>
        </w:rPr>
        <w:t xml:space="preserve"> </w:t>
      </w:r>
      <w:r>
        <w:rPr>
          <w:color w:val="58595B"/>
        </w:rPr>
        <w:t>311</w:t>
      </w:r>
      <w:r>
        <w:rPr>
          <w:color w:val="58595B"/>
          <w:spacing w:val="-5"/>
        </w:rPr>
        <w:t xml:space="preserve"> </w:t>
      </w:r>
      <w:r>
        <w:rPr>
          <w:color w:val="58595B"/>
        </w:rPr>
        <w:t>Spencer</w:t>
      </w:r>
      <w:r>
        <w:rPr>
          <w:color w:val="58595B"/>
          <w:spacing w:val="-3"/>
        </w:rPr>
        <w:t xml:space="preserve"> </w:t>
      </w:r>
      <w:r>
        <w:rPr>
          <w:color w:val="58595B"/>
          <w:spacing w:val="-2"/>
        </w:rPr>
        <w:t>Street</w:t>
      </w:r>
    </w:p>
    <w:p w14:paraId="26D7D21D" w14:textId="77777777" w:rsidR="00345EE3" w:rsidRDefault="00345EE3" w:rsidP="00345EE3">
      <w:pPr>
        <w:pStyle w:val="BodyText"/>
        <w:spacing w:before="4" w:line="242" w:lineRule="auto"/>
        <w:ind w:right="281"/>
      </w:pPr>
      <w:r>
        <w:rPr>
          <w:color w:val="231F20"/>
        </w:rPr>
        <w:t>During the current financial year, Victoria Police has sub-leased approximately 13% of its whole</w:t>
      </w:r>
      <w:r>
        <w:rPr>
          <w:color w:val="231F20"/>
          <w:spacing w:val="-7"/>
        </w:rPr>
        <w:t xml:space="preserve"> </w:t>
      </w:r>
      <w:r>
        <w:rPr>
          <w:color w:val="231F20"/>
        </w:rPr>
        <w:t>office</w:t>
      </w:r>
      <w:r>
        <w:rPr>
          <w:color w:val="231F20"/>
          <w:spacing w:val="-7"/>
        </w:rPr>
        <w:t xml:space="preserve"> </w:t>
      </w:r>
      <w:r>
        <w:rPr>
          <w:color w:val="231F20"/>
        </w:rPr>
        <w:t>space</w:t>
      </w:r>
      <w:r>
        <w:rPr>
          <w:color w:val="231F20"/>
          <w:spacing w:val="-7"/>
        </w:rPr>
        <w:t xml:space="preserve"> </w:t>
      </w:r>
      <w:r>
        <w:rPr>
          <w:color w:val="231F20"/>
        </w:rPr>
        <w:t>to</w:t>
      </w:r>
      <w:r>
        <w:rPr>
          <w:color w:val="231F20"/>
          <w:spacing w:val="-7"/>
        </w:rPr>
        <w:t xml:space="preserve"> </w:t>
      </w:r>
      <w:r>
        <w:rPr>
          <w:color w:val="231F20"/>
        </w:rPr>
        <w:t>third</w:t>
      </w:r>
      <w:r>
        <w:rPr>
          <w:color w:val="231F20"/>
          <w:spacing w:val="-7"/>
        </w:rPr>
        <w:t xml:space="preserve"> </w:t>
      </w:r>
      <w:r>
        <w:rPr>
          <w:color w:val="231F20"/>
        </w:rPr>
        <w:t>parties.</w:t>
      </w:r>
      <w:r>
        <w:rPr>
          <w:color w:val="231F20"/>
          <w:spacing w:val="-6"/>
        </w:rPr>
        <w:t xml:space="preserve"> </w:t>
      </w:r>
      <w:r>
        <w:rPr>
          <w:color w:val="231F20"/>
        </w:rPr>
        <w:t>These</w:t>
      </w:r>
      <w:r>
        <w:rPr>
          <w:color w:val="231F20"/>
          <w:spacing w:val="-7"/>
        </w:rPr>
        <w:t xml:space="preserve"> </w:t>
      </w:r>
      <w:r>
        <w:rPr>
          <w:color w:val="231F20"/>
        </w:rPr>
        <w:t>sub-leases</w:t>
      </w:r>
      <w:r>
        <w:rPr>
          <w:color w:val="231F20"/>
          <w:spacing w:val="-6"/>
        </w:rPr>
        <w:t xml:space="preserve"> </w:t>
      </w:r>
      <w:r>
        <w:rPr>
          <w:color w:val="231F20"/>
        </w:rPr>
        <w:t>are</w:t>
      </w:r>
      <w:r>
        <w:rPr>
          <w:color w:val="231F20"/>
          <w:spacing w:val="-7"/>
        </w:rPr>
        <w:t xml:space="preserve"> </w:t>
      </w:r>
      <w:r>
        <w:rPr>
          <w:color w:val="231F20"/>
        </w:rPr>
        <w:t>negotiated</w:t>
      </w:r>
      <w:r>
        <w:rPr>
          <w:color w:val="231F20"/>
          <w:spacing w:val="-7"/>
        </w:rPr>
        <w:t xml:space="preserve"> </w:t>
      </w:r>
      <w:r>
        <w:rPr>
          <w:color w:val="231F20"/>
        </w:rPr>
        <w:t>on</w:t>
      </w:r>
      <w:r>
        <w:rPr>
          <w:color w:val="231F20"/>
          <w:spacing w:val="-7"/>
        </w:rPr>
        <w:t xml:space="preserve"> </w:t>
      </w:r>
      <w:r>
        <w:rPr>
          <w:color w:val="231F20"/>
        </w:rPr>
        <w:t>an</w:t>
      </w:r>
      <w:r>
        <w:rPr>
          <w:color w:val="231F20"/>
          <w:spacing w:val="-7"/>
        </w:rPr>
        <w:t xml:space="preserve"> </w:t>
      </w:r>
      <w:r>
        <w:rPr>
          <w:color w:val="231F20"/>
        </w:rPr>
        <w:t>individual</w:t>
      </w:r>
      <w:r>
        <w:rPr>
          <w:color w:val="231F20"/>
          <w:spacing w:val="-7"/>
        </w:rPr>
        <w:t xml:space="preserve"> </w:t>
      </w:r>
      <w:r>
        <w:rPr>
          <w:color w:val="231F20"/>
        </w:rPr>
        <w:t>basis</w:t>
      </w:r>
      <w:r>
        <w:rPr>
          <w:color w:val="231F20"/>
          <w:spacing w:val="-6"/>
        </w:rPr>
        <w:t xml:space="preserve"> </w:t>
      </w:r>
      <w:r>
        <w:rPr>
          <w:color w:val="231F20"/>
        </w:rPr>
        <w:t>and</w:t>
      </w:r>
    </w:p>
    <w:p w14:paraId="40A47B7A" w14:textId="77777777" w:rsidR="00345EE3" w:rsidRDefault="00345EE3" w:rsidP="00345EE3">
      <w:pPr>
        <w:pStyle w:val="BodyText"/>
        <w:spacing w:before="3" w:line="242" w:lineRule="auto"/>
      </w:pPr>
      <w:r>
        <w:rPr>
          <w:color w:val="231F20"/>
        </w:rPr>
        <w:t>contain</w:t>
      </w:r>
      <w:r>
        <w:rPr>
          <w:color w:val="231F20"/>
          <w:spacing w:val="-11"/>
        </w:rPr>
        <w:t xml:space="preserve"> </w:t>
      </w:r>
      <w:r>
        <w:rPr>
          <w:color w:val="231F20"/>
        </w:rPr>
        <w:t>a</w:t>
      </w:r>
      <w:r>
        <w:rPr>
          <w:color w:val="231F20"/>
          <w:spacing w:val="-11"/>
        </w:rPr>
        <w:t xml:space="preserve"> </w:t>
      </w:r>
      <w:r>
        <w:rPr>
          <w:color w:val="231F20"/>
        </w:rPr>
        <w:t>wide</w:t>
      </w:r>
      <w:r>
        <w:rPr>
          <w:color w:val="231F20"/>
          <w:spacing w:val="-11"/>
        </w:rPr>
        <w:t xml:space="preserve"> </w:t>
      </w:r>
      <w:r>
        <w:rPr>
          <w:color w:val="231F20"/>
        </w:rPr>
        <w:t>range</w:t>
      </w:r>
      <w:r>
        <w:rPr>
          <w:color w:val="231F20"/>
          <w:spacing w:val="-11"/>
        </w:rPr>
        <w:t xml:space="preserve"> </w:t>
      </w:r>
      <w:r>
        <w:rPr>
          <w:color w:val="231F20"/>
        </w:rPr>
        <w:t>of</w:t>
      </w:r>
      <w:r>
        <w:rPr>
          <w:color w:val="231F20"/>
          <w:spacing w:val="-10"/>
        </w:rPr>
        <w:t xml:space="preserve"> </w:t>
      </w:r>
      <w:r>
        <w:rPr>
          <w:color w:val="231F20"/>
        </w:rPr>
        <w:t>different</w:t>
      </w:r>
      <w:r>
        <w:rPr>
          <w:color w:val="231F20"/>
          <w:spacing w:val="-10"/>
        </w:rPr>
        <w:t xml:space="preserve"> </w:t>
      </w:r>
      <w:r>
        <w:rPr>
          <w:color w:val="231F20"/>
        </w:rPr>
        <w:t>terms</w:t>
      </w:r>
      <w:r>
        <w:rPr>
          <w:color w:val="231F20"/>
          <w:spacing w:val="-10"/>
        </w:rPr>
        <w:t xml:space="preserve"> </w:t>
      </w:r>
      <w:r>
        <w:rPr>
          <w:color w:val="231F20"/>
        </w:rPr>
        <w:t>and</w:t>
      </w:r>
      <w:r>
        <w:rPr>
          <w:color w:val="231F20"/>
          <w:spacing w:val="-11"/>
        </w:rPr>
        <w:t xml:space="preserve"> </w:t>
      </w:r>
      <w:r>
        <w:rPr>
          <w:color w:val="231F20"/>
        </w:rPr>
        <w:t>conditions</w:t>
      </w:r>
      <w:r>
        <w:rPr>
          <w:color w:val="231F20"/>
          <w:spacing w:val="-10"/>
        </w:rPr>
        <w:t xml:space="preserve"> </w:t>
      </w:r>
      <w:r>
        <w:rPr>
          <w:color w:val="231F20"/>
        </w:rPr>
        <w:t>(including</w:t>
      </w:r>
      <w:r>
        <w:rPr>
          <w:color w:val="231F20"/>
          <w:spacing w:val="-11"/>
        </w:rPr>
        <w:t xml:space="preserve"> </w:t>
      </w:r>
      <w:r>
        <w:rPr>
          <w:color w:val="231F20"/>
        </w:rPr>
        <w:t>termination</w:t>
      </w:r>
      <w:r>
        <w:rPr>
          <w:color w:val="231F20"/>
          <w:spacing w:val="-11"/>
        </w:rPr>
        <w:t xml:space="preserve"> </w:t>
      </w:r>
      <w:r>
        <w:rPr>
          <w:color w:val="231F20"/>
        </w:rPr>
        <w:t>and</w:t>
      </w:r>
      <w:r>
        <w:rPr>
          <w:color w:val="231F20"/>
          <w:spacing w:val="-11"/>
        </w:rPr>
        <w:t xml:space="preserve"> </w:t>
      </w:r>
      <w:r>
        <w:rPr>
          <w:color w:val="231F20"/>
        </w:rPr>
        <w:t>renewal</w:t>
      </w:r>
      <w:r>
        <w:rPr>
          <w:color w:val="231F20"/>
          <w:spacing w:val="-11"/>
        </w:rPr>
        <w:t xml:space="preserve"> </w:t>
      </w:r>
      <w:r>
        <w:rPr>
          <w:color w:val="231F20"/>
        </w:rPr>
        <w:t>rights). The floors are rented for between 10–15 years with options to renew the contract. The lease payments are fixed and adjusted annually for inflation.</w:t>
      </w:r>
    </w:p>
    <w:p w14:paraId="0121C21A" w14:textId="77777777" w:rsidR="00345EE3" w:rsidRDefault="00345EE3" w:rsidP="00345EE3">
      <w:pPr>
        <w:pStyle w:val="BodyText"/>
        <w:spacing w:before="117"/>
        <w:jc w:val="both"/>
      </w:pPr>
      <w:r>
        <w:rPr>
          <w:color w:val="231F20"/>
        </w:rPr>
        <w:t>Victoria</w:t>
      </w:r>
      <w:r>
        <w:rPr>
          <w:color w:val="231F20"/>
          <w:spacing w:val="-11"/>
        </w:rPr>
        <w:t xml:space="preserve"> </w:t>
      </w:r>
      <w:r>
        <w:rPr>
          <w:color w:val="231F20"/>
        </w:rPr>
        <w:t>Police</w:t>
      </w:r>
      <w:r>
        <w:rPr>
          <w:color w:val="231F20"/>
          <w:spacing w:val="-9"/>
        </w:rPr>
        <w:t xml:space="preserve"> </w:t>
      </w:r>
      <w:r>
        <w:rPr>
          <w:color w:val="231F20"/>
        </w:rPr>
        <w:t>is</w:t>
      </w:r>
      <w:r>
        <w:rPr>
          <w:color w:val="231F20"/>
          <w:spacing w:val="-8"/>
        </w:rPr>
        <w:t xml:space="preserve"> </w:t>
      </w:r>
      <w:r>
        <w:rPr>
          <w:color w:val="231F20"/>
        </w:rPr>
        <w:t>a</w:t>
      </w:r>
      <w:r>
        <w:rPr>
          <w:color w:val="231F20"/>
          <w:spacing w:val="-8"/>
        </w:rPr>
        <w:t xml:space="preserve"> </w:t>
      </w:r>
      <w:r>
        <w:rPr>
          <w:color w:val="231F20"/>
        </w:rPr>
        <w:t>sub-lessor</w:t>
      </w:r>
      <w:r>
        <w:rPr>
          <w:color w:val="231F20"/>
          <w:spacing w:val="-8"/>
        </w:rPr>
        <w:t xml:space="preserve"> </w:t>
      </w:r>
      <w:r>
        <w:rPr>
          <w:color w:val="231F20"/>
        </w:rPr>
        <w:t>(intermediate</w:t>
      </w:r>
      <w:r>
        <w:rPr>
          <w:color w:val="231F20"/>
          <w:spacing w:val="-9"/>
        </w:rPr>
        <w:t xml:space="preserve"> </w:t>
      </w:r>
      <w:r>
        <w:rPr>
          <w:color w:val="231F20"/>
        </w:rPr>
        <w:t>lessor)</w:t>
      </w:r>
      <w:r>
        <w:rPr>
          <w:color w:val="231F20"/>
          <w:spacing w:val="-7"/>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right-of-use</w:t>
      </w:r>
      <w:r>
        <w:rPr>
          <w:color w:val="231F20"/>
          <w:spacing w:val="-8"/>
        </w:rPr>
        <w:t xml:space="preserve"> </w:t>
      </w:r>
      <w:r>
        <w:rPr>
          <w:color w:val="231F20"/>
          <w:spacing w:val="-2"/>
        </w:rPr>
        <w:t>assets.</w:t>
      </w:r>
    </w:p>
    <w:p w14:paraId="07201D91" w14:textId="77777777" w:rsidR="00345EE3" w:rsidRDefault="00345EE3" w:rsidP="00345EE3">
      <w:pPr>
        <w:pStyle w:val="BodyText"/>
        <w:spacing w:before="117" w:line="242" w:lineRule="auto"/>
        <w:ind w:right="148"/>
        <w:jc w:val="both"/>
      </w:pPr>
      <w:r>
        <w:rPr>
          <w:color w:val="231F20"/>
        </w:rPr>
        <w:t>An</w:t>
      </w:r>
      <w:r>
        <w:rPr>
          <w:color w:val="231F20"/>
          <w:spacing w:val="-5"/>
        </w:rPr>
        <w:t xml:space="preserve"> </w:t>
      </w:r>
      <w:r>
        <w:rPr>
          <w:color w:val="231F20"/>
        </w:rPr>
        <w:t>intermediate</w:t>
      </w:r>
      <w:r>
        <w:rPr>
          <w:color w:val="231F20"/>
          <w:spacing w:val="-5"/>
        </w:rPr>
        <w:t xml:space="preserve"> </w:t>
      </w:r>
      <w:r>
        <w:rPr>
          <w:color w:val="231F20"/>
        </w:rPr>
        <w:t>lessor</w:t>
      </w:r>
      <w:r>
        <w:rPr>
          <w:color w:val="231F20"/>
          <w:spacing w:val="-4"/>
        </w:rPr>
        <w:t xml:space="preserve"> </w:t>
      </w:r>
      <w:r>
        <w:rPr>
          <w:color w:val="231F20"/>
        </w:rPr>
        <w:t>classifies</w:t>
      </w:r>
      <w:r>
        <w:rPr>
          <w:color w:val="231F20"/>
          <w:spacing w:val="-4"/>
        </w:rPr>
        <w:t xml:space="preserve"> </w:t>
      </w:r>
      <w:r>
        <w:rPr>
          <w:color w:val="231F20"/>
        </w:rPr>
        <w:t>the</w:t>
      </w:r>
      <w:r>
        <w:rPr>
          <w:color w:val="231F20"/>
          <w:spacing w:val="-5"/>
        </w:rPr>
        <w:t xml:space="preserve"> </w:t>
      </w:r>
      <w:r>
        <w:rPr>
          <w:color w:val="231F20"/>
        </w:rPr>
        <w:t>sub-lease</w:t>
      </w:r>
      <w:r>
        <w:rPr>
          <w:color w:val="231F20"/>
          <w:spacing w:val="-5"/>
        </w:rPr>
        <w:t xml:space="preserve"> </w:t>
      </w:r>
      <w:r>
        <w:rPr>
          <w:color w:val="231F20"/>
        </w:rPr>
        <w:t>as</w:t>
      </w:r>
      <w:r>
        <w:rPr>
          <w:color w:val="231F20"/>
          <w:spacing w:val="-4"/>
        </w:rPr>
        <w:t xml:space="preserve"> </w:t>
      </w:r>
      <w:r>
        <w:rPr>
          <w:color w:val="231F20"/>
        </w:rPr>
        <w:t>either</w:t>
      </w:r>
      <w:r>
        <w:rPr>
          <w:color w:val="231F20"/>
          <w:spacing w:val="-4"/>
        </w:rPr>
        <w:t xml:space="preserve"> </w:t>
      </w:r>
      <w:r>
        <w:rPr>
          <w:color w:val="231F20"/>
        </w:rPr>
        <w:t>a</w:t>
      </w:r>
      <w:r>
        <w:rPr>
          <w:color w:val="231F20"/>
          <w:spacing w:val="-5"/>
        </w:rPr>
        <w:t xml:space="preserve"> </w:t>
      </w:r>
      <w:r>
        <w:rPr>
          <w:color w:val="231F20"/>
        </w:rPr>
        <w:t>finance</w:t>
      </w:r>
      <w:r>
        <w:rPr>
          <w:color w:val="231F20"/>
          <w:spacing w:val="-5"/>
        </w:rPr>
        <w:t xml:space="preserve"> </w:t>
      </w:r>
      <w:r>
        <w:rPr>
          <w:color w:val="231F20"/>
        </w:rPr>
        <w:t>or</w:t>
      </w:r>
      <w:r>
        <w:rPr>
          <w:color w:val="231F20"/>
          <w:spacing w:val="-4"/>
        </w:rPr>
        <w:t xml:space="preserve"> </w:t>
      </w:r>
      <w:r>
        <w:rPr>
          <w:color w:val="231F20"/>
        </w:rPr>
        <w:t>operating</w:t>
      </w:r>
      <w:r>
        <w:rPr>
          <w:color w:val="231F20"/>
          <w:spacing w:val="-5"/>
        </w:rPr>
        <w:t xml:space="preserve"> </w:t>
      </w:r>
      <w:r>
        <w:rPr>
          <w:color w:val="231F20"/>
        </w:rPr>
        <w:t>lease.</w:t>
      </w:r>
      <w:r>
        <w:rPr>
          <w:color w:val="231F20"/>
          <w:spacing w:val="40"/>
        </w:rPr>
        <w:t xml:space="preserve"> </w:t>
      </w:r>
      <w:r>
        <w:rPr>
          <w:color w:val="231F20"/>
        </w:rPr>
        <w:t>A</w:t>
      </w:r>
      <w:r>
        <w:rPr>
          <w:color w:val="231F20"/>
          <w:spacing w:val="-4"/>
        </w:rPr>
        <w:t xml:space="preserve"> </w:t>
      </w:r>
      <w:r>
        <w:rPr>
          <w:color w:val="231F20"/>
        </w:rPr>
        <w:t>lease</w:t>
      </w:r>
      <w:r>
        <w:rPr>
          <w:color w:val="231F20"/>
          <w:spacing w:val="-5"/>
        </w:rPr>
        <w:t xml:space="preserve"> </w:t>
      </w:r>
      <w:r>
        <w:rPr>
          <w:color w:val="231F20"/>
        </w:rPr>
        <w:t>is classified</w:t>
      </w:r>
      <w:r>
        <w:rPr>
          <w:color w:val="231F20"/>
          <w:spacing w:val="-8"/>
        </w:rPr>
        <w:t xml:space="preserve"> </w:t>
      </w:r>
      <w:r>
        <w:rPr>
          <w:color w:val="231F20"/>
        </w:rPr>
        <w:t>as</w:t>
      </w:r>
      <w:r>
        <w:rPr>
          <w:color w:val="231F20"/>
          <w:spacing w:val="-7"/>
        </w:rPr>
        <w:t xml:space="preserve"> </w:t>
      </w:r>
      <w:r>
        <w:rPr>
          <w:color w:val="231F20"/>
        </w:rPr>
        <w:t>a</w:t>
      </w:r>
      <w:r>
        <w:rPr>
          <w:color w:val="231F20"/>
          <w:spacing w:val="-8"/>
        </w:rPr>
        <w:t xml:space="preserve"> </w:t>
      </w:r>
      <w:r>
        <w:rPr>
          <w:color w:val="231F20"/>
        </w:rPr>
        <w:t>finance</w:t>
      </w:r>
      <w:r>
        <w:rPr>
          <w:color w:val="231F20"/>
          <w:spacing w:val="-8"/>
        </w:rPr>
        <w:t xml:space="preserve"> </w:t>
      </w:r>
      <w:r>
        <w:rPr>
          <w:color w:val="231F20"/>
        </w:rPr>
        <w:t>lease</w:t>
      </w:r>
      <w:r>
        <w:rPr>
          <w:color w:val="231F20"/>
          <w:spacing w:val="-8"/>
        </w:rPr>
        <w:t xml:space="preserve"> </w:t>
      </w:r>
      <w:r>
        <w:rPr>
          <w:color w:val="231F20"/>
        </w:rPr>
        <w:t>if</w:t>
      </w:r>
      <w:r>
        <w:rPr>
          <w:color w:val="231F20"/>
          <w:spacing w:val="-7"/>
        </w:rPr>
        <w:t xml:space="preserve"> </w:t>
      </w:r>
      <w:r>
        <w:rPr>
          <w:color w:val="231F20"/>
        </w:rPr>
        <w:t>it</w:t>
      </w:r>
      <w:r>
        <w:rPr>
          <w:color w:val="231F20"/>
          <w:spacing w:val="-7"/>
        </w:rPr>
        <w:t xml:space="preserve"> </w:t>
      </w:r>
      <w:r>
        <w:rPr>
          <w:color w:val="231F20"/>
        </w:rPr>
        <w:t>transfers</w:t>
      </w:r>
      <w:r>
        <w:rPr>
          <w:color w:val="231F20"/>
          <w:spacing w:val="-7"/>
        </w:rPr>
        <w:t xml:space="preserve"> </w:t>
      </w:r>
      <w:r>
        <w:rPr>
          <w:color w:val="231F20"/>
        </w:rPr>
        <w:t>substantially</w:t>
      </w:r>
      <w:r>
        <w:rPr>
          <w:color w:val="231F20"/>
          <w:spacing w:val="-7"/>
        </w:rPr>
        <w:t xml:space="preserve"> </w:t>
      </w:r>
      <w:r>
        <w:rPr>
          <w:color w:val="231F20"/>
        </w:rPr>
        <w:t>all</w:t>
      </w:r>
      <w:r>
        <w:rPr>
          <w:color w:val="231F20"/>
          <w:spacing w:val="-8"/>
        </w:rPr>
        <w:t xml:space="preserve"> </w:t>
      </w:r>
      <w:r>
        <w:rPr>
          <w:color w:val="231F20"/>
        </w:rPr>
        <w:t>the</w:t>
      </w:r>
      <w:r>
        <w:rPr>
          <w:color w:val="231F20"/>
          <w:spacing w:val="-8"/>
        </w:rPr>
        <w:t xml:space="preserve"> </w:t>
      </w:r>
      <w:r>
        <w:rPr>
          <w:color w:val="231F20"/>
        </w:rPr>
        <w:t>risks</w:t>
      </w:r>
      <w:r>
        <w:rPr>
          <w:color w:val="231F20"/>
          <w:spacing w:val="-7"/>
        </w:rPr>
        <w:t xml:space="preserve"> </w:t>
      </w:r>
      <w:r>
        <w:rPr>
          <w:color w:val="231F20"/>
        </w:rPr>
        <w:t>and</w:t>
      </w:r>
      <w:r>
        <w:rPr>
          <w:color w:val="231F20"/>
          <w:spacing w:val="-8"/>
        </w:rPr>
        <w:t xml:space="preserve"> </w:t>
      </w:r>
      <w:r>
        <w:rPr>
          <w:color w:val="231F20"/>
        </w:rPr>
        <w:t>rewards</w:t>
      </w:r>
      <w:r>
        <w:rPr>
          <w:color w:val="231F20"/>
          <w:spacing w:val="-7"/>
        </w:rPr>
        <w:t xml:space="preserve"> </w:t>
      </w:r>
      <w:r>
        <w:rPr>
          <w:color w:val="231F20"/>
        </w:rPr>
        <w:t>from</w:t>
      </w:r>
      <w:r>
        <w:rPr>
          <w:color w:val="231F20"/>
          <w:spacing w:val="-7"/>
        </w:rPr>
        <w:t xml:space="preserve"> </w:t>
      </w:r>
      <w:r>
        <w:rPr>
          <w:color w:val="231F20"/>
        </w:rPr>
        <w:t>the</w:t>
      </w:r>
      <w:r>
        <w:rPr>
          <w:color w:val="231F20"/>
          <w:spacing w:val="-8"/>
        </w:rPr>
        <w:t xml:space="preserve"> </w:t>
      </w:r>
      <w:r>
        <w:rPr>
          <w:color w:val="231F20"/>
        </w:rPr>
        <w:t>right-of- use assets resulting from the head lease; otherwise, it is classified as an operating lease.</w:t>
      </w:r>
    </w:p>
    <w:p w14:paraId="761AE70A" w14:textId="77777777" w:rsidR="00345EE3" w:rsidRDefault="00345EE3" w:rsidP="00345EE3">
      <w:pPr>
        <w:pStyle w:val="BodyText"/>
        <w:spacing w:before="62" w:line="242" w:lineRule="auto"/>
      </w:pPr>
      <w:r>
        <w:rPr>
          <w:color w:val="231F20"/>
        </w:rPr>
        <w:t>As</w:t>
      </w:r>
      <w:r>
        <w:rPr>
          <w:color w:val="231F20"/>
          <w:spacing w:val="-8"/>
        </w:rPr>
        <w:t xml:space="preserve"> </w:t>
      </w:r>
      <w:r>
        <w:rPr>
          <w:color w:val="231F20"/>
        </w:rPr>
        <w:t>all</w:t>
      </w:r>
      <w:r>
        <w:rPr>
          <w:color w:val="231F20"/>
          <w:spacing w:val="-9"/>
        </w:rPr>
        <w:t xml:space="preserve"> </w:t>
      </w:r>
      <w:r>
        <w:rPr>
          <w:color w:val="231F20"/>
        </w:rPr>
        <w:t>the</w:t>
      </w:r>
      <w:r>
        <w:rPr>
          <w:color w:val="231F20"/>
          <w:spacing w:val="-9"/>
        </w:rPr>
        <w:t xml:space="preserve"> </w:t>
      </w:r>
      <w:r>
        <w:rPr>
          <w:color w:val="231F20"/>
        </w:rPr>
        <w:t>risks</w:t>
      </w:r>
      <w:r>
        <w:rPr>
          <w:color w:val="231F20"/>
          <w:spacing w:val="-8"/>
        </w:rPr>
        <w:t xml:space="preserve"> </w:t>
      </w:r>
      <w:r>
        <w:rPr>
          <w:color w:val="231F20"/>
        </w:rPr>
        <w:t>and</w:t>
      </w:r>
      <w:r>
        <w:rPr>
          <w:color w:val="231F20"/>
          <w:spacing w:val="-9"/>
        </w:rPr>
        <w:t xml:space="preserve"> </w:t>
      </w:r>
      <w:r>
        <w:rPr>
          <w:color w:val="231F20"/>
        </w:rPr>
        <w:t>rewards</w:t>
      </w:r>
      <w:r>
        <w:rPr>
          <w:color w:val="231F20"/>
          <w:spacing w:val="-8"/>
        </w:rPr>
        <w:t xml:space="preserve"> </w:t>
      </w:r>
      <w:r>
        <w:rPr>
          <w:color w:val="231F20"/>
        </w:rPr>
        <w:t>are</w:t>
      </w:r>
      <w:r>
        <w:rPr>
          <w:color w:val="231F20"/>
          <w:spacing w:val="-9"/>
        </w:rPr>
        <w:t xml:space="preserve"> </w:t>
      </w:r>
      <w:r>
        <w:rPr>
          <w:color w:val="231F20"/>
        </w:rPr>
        <w:t>not</w:t>
      </w:r>
      <w:r>
        <w:rPr>
          <w:color w:val="231F20"/>
          <w:spacing w:val="-8"/>
        </w:rPr>
        <w:t xml:space="preserve"> </w:t>
      </w:r>
      <w:r>
        <w:rPr>
          <w:color w:val="231F20"/>
        </w:rPr>
        <w:t>substantially</w:t>
      </w:r>
      <w:r>
        <w:rPr>
          <w:color w:val="231F20"/>
          <w:spacing w:val="-8"/>
        </w:rPr>
        <w:t xml:space="preserve"> </w:t>
      </w:r>
      <w:r>
        <w:rPr>
          <w:color w:val="231F20"/>
        </w:rPr>
        <w:t>transferred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lessee,</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has classified the sub-lease as an operating lease. Lease income from these operating leases is recognised on a straight-line basis over the lease term.</w:t>
      </w:r>
    </w:p>
    <w:p w14:paraId="011E6C27" w14:textId="77777777" w:rsidR="00345EE3" w:rsidRDefault="00345EE3" w:rsidP="002A27BA">
      <w:pPr>
        <w:pStyle w:val="Heading3"/>
        <w:numPr>
          <w:ilvl w:val="1"/>
          <w:numId w:val="24"/>
        </w:numPr>
      </w:pPr>
      <w:r>
        <w:t>Cash</w:t>
      </w:r>
      <w:r>
        <w:rPr>
          <w:spacing w:val="-5"/>
        </w:rPr>
        <w:t xml:space="preserve"> </w:t>
      </w:r>
      <w:r>
        <w:t>Flow</w:t>
      </w:r>
      <w:r>
        <w:rPr>
          <w:spacing w:val="-5"/>
        </w:rPr>
        <w:t xml:space="preserve"> </w:t>
      </w:r>
      <w:r>
        <w:t>Information</w:t>
      </w:r>
      <w:r>
        <w:rPr>
          <w:spacing w:val="-5"/>
        </w:rPr>
        <w:t xml:space="preserve"> </w:t>
      </w:r>
      <w:r>
        <w:t>and</w:t>
      </w:r>
      <w:r>
        <w:rPr>
          <w:spacing w:val="-5"/>
        </w:rPr>
        <w:t xml:space="preserve"> </w:t>
      </w:r>
      <w:r>
        <w:rPr>
          <w:spacing w:val="-2"/>
        </w:rPr>
        <w:t>Balances</w:t>
      </w:r>
    </w:p>
    <w:p w14:paraId="0727B344" w14:textId="5DEB7303" w:rsidR="00345EE3" w:rsidRDefault="00345EE3" w:rsidP="004E4A66">
      <w:pPr>
        <w:pStyle w:val="BodyText"/>
        <w:spacing w:before="52" w:after="120" w:line="242" w:lineRule="auto"/>
      </w:pPr>
      <w:r>
        <w:rPr>
          <w:color w:val="231F20"/>
        </w:rPr>
        <w:t>Cash and deposits, including cash equivalents, comprise cash on hand and cash at bank, deposits</w:t>
      </w:r>
      <w:r>
        <w:rPr>
          <w:color w:val="231F20"/>
          <w:spacing w:val="-8"/>
        </w:rPr>
        <w:t xml:space="preserve"> </w:t>
      </w:r>
      <w:r>
        <w:rPr>
          <w:color w:val="231F20"/>
        </w:rPr>
        <w:t>at</w:t>
      </w:r>
      <w:r>
        <w:rPr>
          <w:color w:val="231F20"/>
          <w:spacing w:val="-8"/>
        </w:rPr>
        <w:t xml:space="preserve"> </w:t>
      </w:r>
      <w:r>
        <w:rPr>
          <w:color w:val="231F20"/>
        </w:rPr>
        <w:t>call</w:t>
      </w:r>
      <w:r>
        <w:rPr>
          <w:color w:val="231F20"/>
          <w:spacing w:val="-9"/>
        </w:rPr>
        <w:t xml:space="preserve"> </w:t>
      </w:r>
      <w:r>
        <w:rPr>
          <w:color w:val="231F20"/>
        </w:rPr>
        <w:t>and</w:t>
      </w:r>
      <w:r>
        <w:rPr>
          <w:color w:val="231F20"/>
          <w:spacing w:val="-9"/>
        </w:rPr>
        <w:t xml:space="preserve"> </w:t>
      </w:r>
      <w:r>
        <w:rPr>
          <w:color w:val="231F20"/>
        </w:rPr>
        <w:t>those</w:t>
      </w:r>
      <w:r>
        <w:rPr>
          <w:color w:val="231F20"/>
          <w:spacing w:val="-9"/>
        </w:rPr>
        <w:t xml:space="preserve"> </w:t>
      </w:r>
      <w:r>
        <w:rPr>
          <w:color w:val="231F20"/>
        </w:rPr>
        <w:t>highly</w:t>
      </w:r>
      <w:r>
        <w:rPr>
          <w:color w:val="231F20"/>
          <w:spacing w:val="-8"/>
        </w:rPr>
        <w:t xml:space="preserve"> </w:t>
      </w:r>
      <w:r>
        <w:rPr>
          <w:color w:val="231F20"/>
        </w:rPr>
        <w:t>liquid</w:t>
      </w:r>
      <w:r>
        <w:rPr>
          <w:color w:val="231F20"/>
          <w:spacing w:val="-9"/>
        </w:rPr>
        <w:t xml:space="preserve"> </w:t>
      </w:r>
      <w:r>
        <w:rPr>
          <w:color w:val="231F20"/>
        </w:rPr>
        <w:t>investments</w:t>
      </w:r>
      <w:r>
        <w:rPr>
          <w:color w:val="231F20"/>
          <w:spacing w:val="-8"/>
        </w:rPr>
        <w:t xml:space="preserve"> </w:t>
      </w:r>
      <w:r>
        <w:rPr>
          <w:color w:val="231F20"/>
        </w:rPr>
        <w:t>with</w:t>
      </w:r>
      <w:r>
        <w:rPr>
          <w:color w:val="231F20"/>
          <w:spacing w:val="-9"/>
        </w:rPr>
        <w:t xml:space="preserve"> </w:t>
      </w:r>
      <w:r>
        <w:rPr>
          <w:color w:val="231F20"/>
        </w:rPr>
        <w:t>an</w:t>
      </w:r>
      <w:r>
        <w:rPr>
          <w:color w:val="231F20"/>
          <w:spacing w:val="-9"/>
        </w:rPr>
        <w:t xml:space="preserve"> </w:t>
      </w:r>
      <w:r>
        <w:rPr>
          <w:color w:val="231F20"/>
        </w:rPr>
        <w:t>original</w:t>
      </w:r>
      <w:r>
        <w:rPr>
          <w:color w:val="231F20"/>
          <w:spacing w:val="-9"/>
        </w:rPr>
        <w:t xml:space="preserve"> </w:t>
      </w:r>
      <w:r>
        <w:rPr>
          <w:color w:val="231F20"/>
        </w:rPr>
        <w:t>maturity</w:t>
      </w:r>
      <w:r>
        <w:rPr>
          <w:color w:val="231F20"/>
          <w:spacing w:val="-8"/>
        </w:rPr>
        <w:t xml:space="preserve"> </w:t>
      </w:r>
      <w:r>
        <w:rPr>
          <w:color w:val="231F20"/>
        </w:rPr>
        <w:t>of</w:t>
      </w:r>
      <w:r>
        <w:rPr>
          <w:color w:val="231F20"/>
          <w:spacing w:val="-8"/>
        </w:rPr>
        <w:t xml:space="preserve"> </w:t>
      </w:r>
      <w:r>
        <w:rPr>
          <w:color w:val="231F20"/>
        </w:rPr>
        <w:t>three</w:t>
      </w:r>
      <w:r>
        <w:rPr>
          <w:color w:val="231F20"/>
          <w:spacing w:val="-9"/>
        </w:rPr>
        <w:t xml:space="preserve"> </w:t>
      </w:r>
      <w:r>
        <w:rPr>
          <w:color w:val="231F20"/>
        </w:rPr>
        <w:t>months</w:t>
      </w:r>
      <w:r>
        <w:rPr>
          <w:color w:val="231F20"/>
          <w:spacing w:val="-8"/>
        </w:rPr>
        <w:t xml:space="preserve"> </w:t>
      </w:r>
      <w:r>
        <w:rPr>
          <w:color w:val="231F20"/>
        </w:rPr>
        <w:t>or less, which are held for the purpose of meeting short-term cash commitments rather than for investment</w:t>
      </w:r>
      <w:r>
        <w:rPr>
          <w:color w:val="231F20"/>
          <w:spacing w:val="-4"/>
        </w:rPr>
        <w:t xml:space="preserve"> </w:t>
      </w:r>
      <w:r>
        <w:rPr>
          <w:color w:val="231F20"/>
        </w:rPr>
        <w:t>purposes,</w:t>
      </w:r>
      <w:r>
        <w:rPr>
          <w:color w:val="231F20"/>
          <w:spacing w:val="-4"/>
        </w:rPr>
        <w:t xml:space="preserve"> </w:t>
      </w:r>
      <w:r>
        <w:rPr>
          <w:color w:val="231F20"/>
        </w:rPr>
        <w:t>and</w:t>
      </w:r>
      <w:r>
        <w:rPr>
          <w:color w:val="231F20"/>
          <w:spacing w:val="-5"/>
        </w:rPr>
        <w:t xml:space="preserve"> </w:t>
      </w:r>
      <w:r>
        <w:rPr>
          <w:color w:val="231F20"/>
        </w:rPr>
        <w:t>readily</w:t>
      </w:r>
      <w:r>
        <w:rPr>
          <w:color w:val="231F20"/>
          <w:spacing w:val="-4"/>
        </w:rPr>
        <w:t xml:space="preserve"> </w:t>
      </w:r>
      <w:r>
        <w:rPr>
          <w:color w:val="231F20"/>
        </w:rPr>
        <w:t>convertible</w:t>
      </w:r>
      <w:r>
        <w:rPr>
          <w:color w:val="231F20"/>
          <w:spacing w:val="-5"/>
        </w:rPr>
        <w:t xml:space="preserve"> </w:t>
      </w:r>
      <w:r>
        <w:rPr>
          <w:color w:val="231F20"/>
        </w:rPr>
        <w:t>to</w:t>
      </w:r>
      <w:r>
        <w:rPr>
          <w:color w:val="231F20"/>
          <w:spacing w:val="-5"/>
        </w:rPr>
        <w:t xml:space="preserve"> </w:t>
      </w:r>
      <w:r>
        <w:rPr>
          <w:color w:val="231F20"/>
        </w:rPr>
        <w:t>known</w:t>
      </w:r>
      <w:r>
        <w:rPr>
          <w:color w:val="231F20"/>
          <w:spacing w:val="-5"/>
        </w:rPr>
        <w:t xml:space="preserve"> </w:t>
      </w:r>
      <w:r>
        <w:rPr>
          <w:color w:val="231F20"/>
        </w:rPr>
        <w:t>amounts</w:t>
      </w:r>
      <w:r>
        <w:rPr>
          <w:color w:val="231F20"/>
          <w:spacing w:val="-4"/>
        </w:rPr>
        <w:t xml:space="preserve"> </w:t>
      </w:r>
      <w:r>
        <w:rPr>
          <w:color w:val="231F20"/>
        </w:rPr>
        <w:t>of</w:t>
      </w:r>
      <w:r>
        <w:rPr>
          <w:color w:val="231F20"/>
          <w:spacing w:val="-4"/>
        </w:rPr>
        <w:t xml:space="preserve"> </w:t>
      </w:r>
      <w:r>
        <w:rPr>
          <w:color w:val="231F20"/>
        </w:rPr>
        <w:t>cash</w:t>
      </w:r>
      <w:r>
        <w:rPr>
          <w:color w:val="231F20"/>
          <w:spacing w:val="-5"/>
        </w:rPr>
        <w:t xml:space="preserve"> </w:t>
      </w:r>
      <w:r>
        <w:rPr>
          <w:color w:val="231F20"/>
        </w:rPr>
        <w:t>and</w:t>
      </w:r>
      <w:r>
        <w:rPr>
          <w:color w:val="231F20"/>
          <w:spacing w:val="-5"/>
        </w:rPr>
        <w:t xml:space="preserve"> </w:t>
      </w:r>
      <w:r>
        <w:rPr>
          <w:color w:val="231F20"/>
        </w:rPr>
        <w:t>are</w:t>
      </w:r>
      <w:r>
        <w:rPr>
          <w:color w:val="231F20"/>
          <w:spacing w:val="-5"/>
        </w:rPr>
        <w:t xml:space="preserve"> </w:t>
      </w:r>
      <w:r>
        <w:rPr>
          <w:color w:val="231F20"/>
        </w:rPr>
        <w:t>subject</w:t>
      </w:r>
      <w:r>
        <w:rPr>
          <w:color w:val="231F20"/>
          <w:spacing w:val="-4"/>
        </w:rPr>
        <w:t xml:space="preserve"> </w:t>
      </w:r>
      <w:r>
        <w:rPr>
          <w:color w:val="231F20"/>
        </w:rPr>
        <w:t>to</w:t>
      </w:r>
      <w:r>
        <w:rPr>
          <w:color w:val="231F20"/>
          <w:spacing w:val="-5"/>
        </w:rPr>
        <w:t xml:space="preserve"> </w:t>
      </w:r>
      <w:r>
        <w:rPr>
          <w:color w:val="231F20"/>
        </w:rPr>
        <w:t>an insignificant risk of changes in value.</w:t>
      </w:r>
    </w:p>
    <w:tbl>
      <w:tblPr>
        <w:tblW w:w="0" w:type="auto"/>
        <w:tblInd w:w="-8" w:type="dxa"/>
        <w:tblLayout w:type="fixed"/>
        <w:tblCellMar>
          <w:left w:w="0" w:type="dxa"/>
          <w:right w:w="0" w:type="dxa"/>
        </w:tblCellMar>
        <w:tblLook w:val="0000" w:firstRow="0" w:lastRow="0" w:firstColumn="0" w:lastColumn="0" w:noHBand="0" w:noVBand="0"/>
      </w:tblPr>
      <w:tblGrid>
        <w:gridCol w:w="7937"/>
        <w:gridCol w:w="1134"/>
        <w:gridCol w:w="1134"/>
      </w:tblGrid>
      <w:tr w:rsidR="004E4A66" w:rsidRPr="004E4A66" w14:paraId="24726D0B" w14:textId="77777777" w:rsidTr="004E4A66">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85" w:type="dxa"/>
              <w:left w:w="14" w:type="dxa"/>
              <w:bottom w:w="85" w:type="dxa"/>
              <w:right w:w="14" w:type="dxa"/>
            </w:tcMar>
          </w:tcPr>
          <w:p w14:paraId="69A2C52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thousand)</w:t>
            </w:r>
          </w:p>
        </w:tc>
      </w:tr>
      <w:tr w:rsidR="004E4A66" w:rsidRPr="004E4A66" w14:paraId="724AC769" w14:textId="77777777" w:rsidTr="004E4A66">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85" w:type="dxa"/>
              <w:left w:w="14" w:type="dxa"/>
              <w:bottom w:w="85" w:type="dxa"/>
              <w:right w:w="14" w:type="dxa"/>
            </w:tcMar>
          </w:tcPr>
          <w:p w14:paraId="54CE0CD8"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7FCFB01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85" w:type="dxa"/>
              <w:left w:w="14" w:type="dxa"/>
              <w:bottom w:w="85" w:type="dxa"/>
              <w:right w:w="14" w:type="dxa"/>
            </w:tcMar>
          </w:tcPr>
          <w:p w14:paraId="5DA3DC64"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2021</w:t>
            </w:r>
          </w:p>
        </w:tc>
      </w:tr>
      <w:tr w:rsidR="004E4A66" w:rsidRPr="004E4A66" w14:paraId="365704A2" w14:textId="77777777" w:rsidTr="004E4A66">
        <w:trPr>
          <w:trHeight w:val="60"/>
        </w:trPr>
        <w:tc>
          <w:tcPr>
            <w:tcW w:w="7937"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39D0F43E"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Cash and term deposits</w:t>
            </w:r>
            <w:r w:rsidRPr="004E4A66">
              <w:rPr>
                <w:rFonts w:eastAsia="Myriad Pro"/>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2036B3FC"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2,048 </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14" w:type="dxa"/>
            </w:tcMar>
          </w:tcPr>
          <w:p w14:paraId="6DA38CA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1,264 </w:t>
            </w:r>
          </w:p>
        </w:tc>
      </w:tr>
      <w:tr w:rsidR="004E4A66" w:rsidRPr="004E4A66" w14:paraId="45894F85" w14:textId="77777777" w:rsidTr="004E4A66">
        <w:trPr>
          <w:trHeight w:val="60"/>
        </w:trPr>
        <w:tc>
          <w:tcPr>
            <w:tcW w:w="7937" w:type="dxa"/>
            <w:tcBorders>
              <w:top w:val="single" w:sz="2" w:space="0" w:color="9D9C9C"/>
              <w:left w:val="single" w:sz="6" w:space="0" w:color="000000"/>
              <w:bottom w:val="single" w:sz="4" w:space="0" w:color="000000"/>
              <w:right w:val="single" w:sz="2" w:space="0" w:color="9D9C9C"/>
            </w:tcBorders>
            <w:tcMar>
              <w:top w:w="85" w:type="dxa"/>
              <w:left w:w="14" w:type="dxa"/>
              <w:bottom w:w="85" w:type="dxa"/>
              <w:right w:w="14" w:type="dxa"/>
            </w:tcMar>
          </w:tcPr>
          <w:p w14:paraId="43599657"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Funds held in trust</w:t>
            </w:r>
            <w:r w:rsidRPr="004E4A66">
              <w:rPr>
                <w:rFonts w:eastAsia="Myriad Pro"/>
                <w:color w:val="000000"/>
                <w:sz w:val="24"/>
                <w:szCs w:val="24"/>
                <w:vertAlign w:val="superscript"/>
                <w:lang w:val="en-GB"/>
              </w:rPr>
              <w:t xml:space="preserve"> (b)</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85" w:type="dxa"/>
              <w:left w:w="14" w:type="dxa"/>
              <w:bottom w:w="85" w:type="dxa"/>
              <w:right w:w="14" w:type="dxa"/>
            </w:tcMar>
          </w:tcPr>
          <w:p w14:paraId="5EE9592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60,435 </w:t>
            </w:r>
          </w:p>
        </w:tc>
        <w:tc>
          <w:tcPr>
            <w:tcW w:w="1134" w:type="dxa"/>
            <w:tcBorders>
              <w:top w:val="single" w:sz="2" w:space="0" w:color="9D9C9C"/>
              <w:left w:val="single" w:sz="2" w:space="0" w:color="9D9C9C"/>
              <w:bottom w:val="single" w:sz="4" w:space="0" w:color="000000"/>
              <w:right w:val="single" w:sz="6" w:space="0" w:color="9D9C9C"/>
            </w:tcBorders>
            <w:tcMar>
              <w:top w:w="85" w:type="dxa"/>
              <w:left w:w="14" w:type="dxa"/>
              <w:bottom w:w="85" w:type="dxa"/>
              <w:right w:w="14" w:type="dxa"/>
            </w:tcMar>
          </w:tcPr>
          <w:p w14:paraId="390D127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52,588 </w:t>
            </w:r>
          </w:p>
        </w:tc>
      </w:tr>
      <w:tr w:rsidR="004E4A66" w:rsidRPr="004E4A66" w14:paraId="2A04DB3C" w14:textId="77777777" w:rsidTr="004E4A66">
        <w:trPr>
          <w:trHeight w:val="60"/>
        </w:trPr>
        <w:tc>
          <w:tcPr>
            <w:tcW w:w="7937" w:type="dxa"/>
            <w:tcBorders>
              <w:top w:val="single" w:sz="4" w:space="0" w:color="000000"/>
              <w:left w:val="single" w:sz="6" w:space="0" w:color="9D9C9C"/>
              <w:bottom w:val="single" w:sz="8" w:space="0" w:color="000000"/>
              <w:right w:val="single" w:sz="2" w:space="0" w:color="9D9C9C"/>
            </w:tcBorders>
            <w:tcMar>
              <w:top w:w="85" w:type="dxa"/>
              <w:left w:w="14" w:type="dxa"/>
              <w:bottom w:w="85" w:type="dxa"/>
              <w:right w:w="14" w:type="dxa"/>
            </w:tcMar>
          </w:tcPr>
          <w:p w14:paraId="3FBC6C52"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Balance as per Cash Flow Statement</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85" w:type="dxa"/>
              <w:left w:w="14" w:type="dxa"/>
              <w:bottom w:w="85" w:type="dxa"/>
              <w:right w:w="14" w:type="dxa"/>
            </w:tcMar>
          </w:tcPr>
          <w:p w14:paraId="3A9458CF"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62,483 </w:t>
            </w:r>
          </w:p>
        </w:tc>
        <w:tc>
          <w:tcPr>
            <w:tcW w:w="1134" w:type="dxa"/>
            <w:tcBorders>
              <w:top w:val="single" w:sz="4" w:space="0" w:color="000000"/>
              <w:left w:val="single" w:sz="2" w:space="0" w:color="9D9C9C"/>
              <w:bottom w:val="single" w:sz="8" w:space="0" w:color="000000"/>
              <w:right w:val="single" w:sz="6" w:space="0" w:color="9D9C9C"/>
            </w:tcBorders>
            <w:tcMar>
              <w:top w:w="85" w:type="dxa"/>
              <w:left w:w="14" w:type="dxa"/>
              <w:bottom w:w="85" w:type="dxa"/>
              <w:right w:w="14" w:type="dxa"/>
            </w:tcMar>
          </w:tcPr>
          <w:p w14:paraId="681FE0ED"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53,852</w:t>
            </w:r>
          </w:p>
        </w:tc>
      </w:tr>
    </w:tbl>
    <w:p w14:paraId="4715C656" w14:textId="77777777" w:rsidR="00345EE3" w:rsidRPr="000C71FB" w:rsidRDefault="00345EE3" w:rsidP="00345EE3">
      <w:pPr>
        <w:spacing w:before="74"/>
        <w:ind w:left="110"/>
        <w:rPr>
          <w:rFonts w:ascii="Arial-BoldItalicMT"/>
          <w:b/>
          <w:i/>
          <w:sz w:val="18"/>
          <w:szCs w:val="18"/>
        </w:rPr>
      </w:pPr>
      <w:r w:rsidRPr="000C71FB">
        <w:rPr>
          <w:rFonts w:ascii="Arial-BoldItalicMT"/>
          <w:b/>
          <w:i/>
          <w:color w:val="231F20"/>
          <w:spacing w:val="-2"/>
          <w:sz w:val="18"/>
          <w:szCs w:val="18"/>
        </w:rPr>
        <w:t>Notes:</w:t>
      </w:r>
    </w:p>
    <w:p w14:paraId="2966ACCF" w14:textId="77777777" w:rsidR="00345EE3" w:rsidRPr="000C71FB" w:rsidRDefault="00345EE3">
      <w:pPr>
        <w:pStyle w:val="ListParagraph"/>
        <w:numPr>
          <w:ilvl w:val="0"/>
          <w:numId w:val="23"/>
        </w:numPr>
        <w:tabs>
          <w:tab w:val="left" w:pos="338"/>
        </w:tabs>
        <w:spacing w:before="27"/>
        <w:ind w:hanging="228"/>
        <w:rPr>
          <w:sz w:val="18"/>
          <w:szCs w:val="18"/>
        </w:rPr>
      </w:pPr>
      <w:r w:rsidRPr="000C71FB">
        <w:rPr>
          <w:color w:val="231F20"/>
          <w:sz w:val="18"/>
          <w:szCs w:val="18"/>
        </w:rPr>
        <w:t>The</w:t>
      </w:r>
      <w:r w:rsidRPr="000C71FB">
        <w:rPr>
          <w:color w:val="231F20"/>
          <w:spacing w:val="-7"/>
          <w:sz w:val="18"/>
          <w:szCs w:val="18"/>
        </w:rPr>
        <w:t xml:space="preserve"> </w:t>
      </w:r>
      <w:r w:rsidRPr="000C71FB">
        <w:rPr>
          <w:color w:val="231F20"/>
          <w:sz w:val="18"/>
          <w:szCs w:val="18"/>
        </w:rPr>
        <w:t>term</w:t>
      </w:r>
      <w:r w:rsidRPr="000C71FB">
        <w:rPr>
          <w:color w:val="231F20"/>
          <w:spacing w:val="-4"/>
          <w:sz w:val="18"/>
          <w:szCs w:val="18"/>
        </w:rPr>
        <w:t xml:space="preserve"> </w:t>
      </w:r>
      <w:r w:rsidRPr="000C71FB">
        <w:rPr>
          <w:color w:val="231F20"/>
          <w:sz w:val="18"/>
          <w:szCs w:val="18"/>
        </w:rPr>
        <w:t>deposits</w:t>
      </w:r>
      <w:r w:rsidRPr="000C71FB">
        <w:rPr>
          <w:color w:val="231F20"/>
          <w:spacing w:val="-5"/>
          <w:sz w:val="18"/>
          <w:szCs w:val="18"/>
        </w:rPr>
        <w:t xml:space="preserve"> </w:t>
      </w:r>
      <w:r w:rsidRPr="000C71FB">
        <w:rPr>
          <w:color w:val="231F20"/>
          <w:sz w:val="18"/>
          <w:szCs w:val="18"/>
        </w:rPr>
        <w:t>held</w:t>
      </w:r>
      <w:r w:rsidRPr="000C71FB">
        <w:rPr>
          <w:color w:val="231F20"/>
          <w:spacing w:val="-4"/>
          <w:sz w:val="18"/>
          <w:szCs w:val="18"/>
        </w:rPr>
        <w:t xml:space="preserve"> </w:t>
      </w:r>
      <w:r w:rsidRPr="000C71FB">
        <w:rPr>
          <w:color w:val="231F20"/>
          <w:sz w:val="18"/>
          <w:szCs w:val="18"/>
        </w:rPr>
        <w:t>during</w:t>
      </w:r>
      <w:r w:rsidRPr="000C71FB">
        <w:rPr>
          <w:color w:val="231F20"/>
          <w:spacing w:val="-4"/>
          <w:sz w:val="18"/>
          <w:szCs w:val="18"/>
        </w:rPr>
        <w:t xml:space="preserve"> </w:t>
      </w:r>
      <w:r w:rsidRPr="000C71FB">
        <w:rPr>
          <w:color w:val="231F20"/>
          <w:sz w:val="18"/>
          <w:szCs w:val="18"/>
        </w:rPr>
        <w:t>the</w:t>
      </w:r>
      <w:r w:rsidRPr="000C71FB">
        <w:rPr>
          <w:color w:val="231F20"/>
          <w:spacing w:val="-5"/>
          <w:sz w:val="18"/>
          <w:szCs w:val="18"/>
        </w:rPr>
        <w:t xml:space="preserve"> </w:t>
      </w:r>
      <w:r w:rsidRPr="000C71FB">
        <w:rPr>
          <w:color w:val="231F20"/>
          <w:sz w:val="18"/>
          <w:szCs w:val="18"/>
        </w:rPr>
        <w:t>year</w:t>
      </w:r>
      <w:r w:rsidRPr="000C71FB">
        <w:rPr>
          <w:color w:val="231F20"/>
          <w:spacing w:val="-4"/>
          <w:sz w:val="18"/>
          <w:szCs w:val="18"/>
        </w:rPr>
        <w:t xml:space="preserve"> </w:t>
      </w:r>
      <w:r w:rsidRPr="000C71FB">
        <w:rPr>
          <w:color w:val="231F20"/>
          <w:sz w:val="18"/>
          <w:szCs w:val="18"/>
        </w:rPr>
        <w:t>were</w:t>
      </w:r>
      <w:r w:rsidRPr="000C71FB">
        <w:rPr>
          <w:color w:val="231F20"/>
          <w:spacing w:val="-4"/>
          <w:sz w:val="18"/>
          <w:szCs w:val="18"/>
        </w:rPr>
        <w:t xml:space="preserve"> </w:t>
      </w:r>
      <w:r w:rsidRPr="000C71FB">
        <w:rPr>
          <w:color w:val="231F20"/>
          <w:sz w:val="18"/>
          <w:szCs w:val="18"/>
        </w:rPr>
        <w:t>bearing</w:t>
      </w:r>
      <w:r w:rsidRPr="000C71FB">
        <w:rPr>
          <w:color w:val="231F20"/>
          <w:spacing w:val="-5"/>
          <w:sz w:val="18"/>
          <w:szCs w:val="18"/>
        </w:rPr>
        <w:t xml:space="preserve"> </w:t>
      </w:r>
      <w:r w:rsidRPr="000C71FB">
        <w:rPr>
          <w:color w:val="231F20"/>
          <w:sz w:val="18"/>
          <w:szCs w:val="18"/>
        </w:rPr>
        <w:t>a</w:t>
      </w:r>
      <w:r w:rsidRPr="000C71FB">
        <w:rPr>
          <w:color w:val="231F20"/>
          <w:spacing w:val="-4"/>
          <w:sz w:val="18"/>
          <w:szCs w:val="18"/>
        </w:rPr>
        <w:t xml:space="preserve"> </w:t>
      </w:r>
      <w:r w:rsidRPr="000C71FB">
        <w:rPr>
          <w:color w:val="231F20"/>
          <w:sz w:val="18"/>
          <w:szCs w:val="18"/>
        </w:rPr>
        <w:t>weighted</w:t>
      </w:r>
      <w:r w:rsidRPr="000C71FB">
        <w:rPr>
          <w:color w:val="231F20"/>
          <w:spacing w:val="-4"/>
          <w:sz w:val="18"/>
          <w:szCs w:val="18"/>
        </w:rPr>
        <w:t xml:space="preserve"> </w:t>
      </w:r>
      <w:r w:rsidRPr="000C71FB">
        <w:rPr>
          <w:color w:val="231F20"/>
          <w:sz w:val="18"/>
          <w:szCs w:val="18"/>
        </w:rPr>
        <w:t>average</w:t>
      </w:r>
      <w:r w:rsidRPr="000C71FB">
        <w:rPr>
          <w:color w:val="231F20"/>
          <w:spacing w:val="-5"/>
          <w:sz w:val="18"/>
          <w:szCs w:val="18"/>
        </w:rPr>
        <w:t xml:space="preserve"> </w:t>
      </w:r>
      <w:r w:rsidRPr="000C71FB">
        <w:rPr>
          <w:color w:val="231F20"/>
          <w:sz w:val="18"/>
          <w:szCs w:val="18"/>
        </w:rPr>
        <w:t>interest</w:t>
      </w:r>
      <w:r w:rsidRPr="000C71FB">
        <w:rPr>
          <w:color w:val="231F20"/>
          <w:spacing w:val="-4"/>
          <w:sz w:val="18"/>
          <w:szCs w:val="18"/>
        </w:rPr>
        <w:t xml:space="preserve"> </w:t>
      </w:r>
      <w:r w:rsidRPr="000C71FB">
        <w:rPr>
          <w:color w:val="231F20"/>
          <w:sz w:val="18"/>
          <w:szCs w:val="18"/>
        </w:rPr>
        <w:t>rate</w:t>
      </w:r>
      <w:r w:rsidRPr="000C71FB">
        <w:rPr>
          <w:color w:val="231F20"/>
          <w:spacing w:val="-4"/>
          <w:sz w:val="18"/>
          <w:szCs w:val="18"/>
        </w:rPr>
        <w:t xml:space="preserve"> </w:t>
      </w:r>
      <w:r w:rsidRPr="000C71FB">
        <w:rPr>
          <w:color w:val="231F20"/>
          <w:sz w:val="18"/>
          <w:szCs w:val="18"/>
        </w:rPr>
        <w:t>of</w:t>
      </w:r>
      <w:r w:rsidRPr="000C71FB">
        <w:rPr>
          <w:color w:val="231F20"/>
          <w:spacing w:val="-5"/>
          <w:sz w:val="18"/>
          <w:szCs w:val="18"/>
        </w:rPr>
        <w:t xml:space="preserve"> </w:t>
      </w:r>
      <w:r w:rsidRPr="000C71FB">
        <w:rPr>
          <w:color w:val="231F20"/>
          <w:sz w:val="18"/>
          <w:szCs w:val="18"/>
        </w:rPr>
        <w:t>0.10%</w:t>
      </w:r>
      <w:r w:rsidRPr="000C71FB">
        <w:rPr>
          <w:color w:val="231F20"/>
          <w:spacing w:val="-4"/>
          <w:sz w:val="18"/>
          <w:szCs w:val="18"/>
        </w:rPr>
        <w:t xml:space="preserve"> </w:t>
      </w:r>
      <w:r w:rsidRPr="000C71FB">
        <w:rPr>
          <w:color w:val="231F20"/>
          <w:sz w:val="18"/>
          <w:szCs w:val="18"/>
        </w:rPr>
        <w:t>(2021:</w:t>
      </w:r>
      <w:r w:rsidRPr="000C71FB">
        <w:rPr>
          <w:color w:val="231F20"/>
          <w:spacing w:val="-4"/>
          <w:sz w:val="18"/>
          <w:szCs w:val="18"/>
        </w:rPr>
        <w:t xml:space="preserve"> </w:t>
      </w:r>
      <w:r w:rsidRPr="000C71FB">
        <w:rPr>
          <w:color w:val="231F20"/>
          <w:spacing w:val="-2"/>
          <w:sz w:val="18"/>
          <w:szCs w:val="18"/>
        </w:rPr>
        <w:t>0.08%).</w:t>
      </w:r>
    </w:p>
    <w:p w14:paraId="63004A54" w14:textId="77777777" w:rsidR="00345EE3" w:rsidRPr="000C71FB" w:rsidRDefault="00345EE3">
      <w:pPr>
        <w:pStyle w:val="ListParagraph"/>
        <w:numPr>
          <w:ilvl w:val="0"/>
          <w:numId w:val="23"/>
        </w:numPr>
        <w:tabs>
          <w:tab w:val="left" w:pos="338"/>
        </w:tabs>
        <w:spacing w:before="27"/>
        <w:ind w:right="146"/>
        <w:rPr>
          <w:sz w:val="18"/>
          <w:szCs w:val="18"/>
        </w:rPr>
      </w:pPr>
      <w:r w:rsidRPr="000C71FB">
        <w:rPr>
          <w:color w:val="231F20"/>
          <w:sz w:val="18"/>
          <w:szCs w:val="18"/>
        </w:rPr>
        <w:t>These are monies provided by outside organisations for special purpose projects related to the normal operating activities of</w:t>
      </w:r>
      <w:r w:rsidRPr="000C71FB">
        <w:rPr>
          <w:color w:val="231F20"/>
          <w:spacing w:val="39"/>
          <w:sz w:val="18"/>
          <w:szCs w:val="18"/>
        </w:rPr>
        <w:t xml:space="preserve"> </w:t>
      </w:r>
      <w:r w:rsidRPr="000C71FB">
        <w:rPr>
          <w:color w:val="231F20"/>
          <w:sz w:val="18"/>
          <w:szCs w:val="18"/>
        </w:rPr>
        <w:t>Victoria Police. The funds can only</w:t>
      </w:r>
      <w:r w:rsidRPr="000C71FB">
        <w:rPr>
          <w:color w:val="231F20"/>
          <w:spacing w:val="40"/>
          <w:sz w:val="18"/>
          <w:szCs w:val="18"/>
        </w:rPr>
        <w:t xml:space="preserve"> </w:t>
      </w:r>
      <w:r w:rsidRPr="000C71FB">
        <w:rPr>
          <w:color w:val="231F20"/>
          <w:sz w:val="18"/>
          <w:szCs w:val="18"/>
        </w:rPr>
        <w:t>be used for those purposes and each trust fund has a nominated trustee. The funds are held in a suspense account at the Department of Treasury and Finance</w:t>
      </w:r>
      <w:r w:rsidRPr="000C71FB">
        <w:rPr>
          <w:color w:val="231F20"/>
          <w:spacing w:val="40"/>
          <w:sz w:val="18"/>
          <w:szCs w:val="18"/>
        </w:rPr>
        <w:t xml:space="preserve"> </w:t>
      </w:r>
      <w:r w:rsidRPr="000C71FB">
        <w:rPr>
          <w:color w:val="231F20"/>
          <w:sz w:val="18"/>
          <w:szCs w:val="18"/>
        </w:rPr>
        <w:t>on behalf of Victoria Police.</w:t>
      </w:r>
    </w:p>
    <w:p w14:paraId="1D305D26" w14:textId="77777777" w:rsidR="00345EE3" w:rsidRDefault="00345EE3" w:rsidP="00345EE3">
      <w:pPr>
        <w:rPr>
          <w:color w:val="231F20"/>
          <w:sz w:val="24"/>
          <w:szCs w:val="24"/>
        </w:rPr>
      </w:pPr>
      <w:r>
        <w:rPr>
          <w:color w:val="231F20"/>
        </w:rPr>
        <w:br w:type="page"/>
      </w:r>
    </w:p>
    <w:p w14:paraId="63722C1B" w14:textId="77777777" w:rsidR="00345EE3" w:rsidRDefault="00345EE3" w:rsidP="00345EE3">
      <w:pPr>
        <w:pStyle w:val="BodyText"/>
        <w:spacing w:before="137" w:line="242" w:lineRule="auto"/>
        <w:ind w:right="187"/>
      </w:pPr>
      <w:r>
        <w:rPr>
          <w:color w:val="231F20"/>
        </w:rPr>
        <w:t>Due to the state’s investment policy and funding arrangements, Victoria Police does not hold a large cash reserve in its bank accounts. Cash received from generation of income is generally paid</w:t>
      </w:r>
      <w:r>
        <w:rPr>
          <w:color w:val="231F20"/>
          <w:spacing w:val="-7"/>
        </w:rPr>
        <w:t xml:space="preserve"> </w:t>
      </w:r>
      <w:r>
        <w:rPr>
          <w:color w:val="231F20"/>
        </w:rPr>
        <w:t>into</w:t>
      </w:r>
      <w:r>
        <w:rPr>
          <w:color w:val="231F20"/>
          <w:spacing w:val="-7"/>
        </w:rPr>
        <w:t xml:space="preserve"> </w:t>
      </w:r>
      <w:r>
        <w:rPr>
          <w:color w:val="231F20"/>
        </w:rPr>
        <w:t>the</w:t>
      </w:r>
      <w:r>
        <w:rPr>
          <w:color w:val="231F20"/>
          <w:spacing w:val="-7"/>
        </w:rPr>
        <w:t xml:space="preserve"> </w:t>
      </w:r>
      <w:r>
        <w:rPr>
          <w:color w:val="231F20"/>
        </w:rPr>
        <w:t>state’s</w:t>
      </w:r>
      <w:r>
        <w:rPr>
          <w:color w:val="231F20"/>
          <w:spacing w:val="-6"/>
        </w:rPr>
        <w:t xml:space="preserve"> </w:t>
      </w:r>
      <w:r>
        <w:rPr>
          <w:color w:val="231F20"/>
        </w:rPr>
        <w:t>bank</w:t>
      </w:r>
      <w:r>
        <w:rPr>
          <w:color w:val="231F20"/>
          <w:spacing w:val="-6"/>
        </w:rPr>
        <w:t xml:space="preserve"> </w:t>
      </w:r>
      <w:r>
        <w:rPr>
          <w:color w:val="231F20"/>
        </w:rPr>
        <w:t>account</w:t>
      </w:r>
      <w:r>
        <w:rPr>
          <w:color w:val="231F20"/>
          <w:spacing w:val="-6"/>
        </w:rPr>
        <w:t xml:space="preserve"> </w:t>
      </w:r>
      <w:r>
        <w:rPr>
          <w:color w:val="231F20"/>
        </w:rPr>
        <w:t>(‘public</w:t>
      </w:r>
      <w:r>
        <w:rPr>
          <w:color w:val="231F20"/>
          <w:spacing w:val="-6"/>
        </w:rPr>
        <w:t xml:space="preserve"> </w:t>
      </w:r>
      <w:r>
        <w:rPr>
          <w:color w:val="231F20"/>
        </w:rPr>
        <w:t>account’).</w:t>
      </w:r>
      <w:r>
        <w:rPr>
          <w:color w:val="231F20"/>
          <w:spacing w:val="-6"/>
        </w:rPr>
        <w:t xml:space="preserve"> </w:t>
      </w:r>
      <w:r>
        <w:rPr>
          <w:color w:val="231F20"/>
        </w:rPr>
        <w:t>Similarly,</w:t>
      </w:r>
      <w:r>
        <w:rPr>
          <w:color w:val="231F20"/>
          <w:spacing w:val="-6"/>
        </w:rPr>
        <w:t xml:space="preserve"> </w:t>
      </w:r>
      <w:r>
        <w:rPr>
          <w:color w:val="231F20"/>
        </w:rPr>
        <w:t>expenditure,</w:t>
      </w:r>
      <w:r>
        <w:rPr>
          <w:color w:val="231F20"/>
          <w:spacing w:val="-6"/>
        </w:rPr>
        <w:t xml:space="preserve"> </w:t>
      </w:r>
      <w:r>
        <w:rPr>
          <w:color w:val="231F20"/>
        </w:rPr>
        <w:t>including</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form of cheques drawn for payments to Victoria Police’s suppliers and creditors are made via the public</w:t>
      </w:r>
      <w:r>
        <w:rPr>
          <w:color w:val="231F20"/>
          <w:spacing w:val="-8"/>
        </w:rPr>
        <w:t xml:space="preserve"> </w:t>
      </w:r>
      <w:r>
        <w:rPr>
          <w:color w:val="231F20"/>
        </w:rPr>
        <w:t>account.</w:t>
      </w:r>
      <w:r>
        <w:rPr>
          <w:color w:val="231F20"/>
          <w:spacing w:val="-8"/>
        </w:rPr>
        <w:t xml:space="preserve"> </w:t>
      </w:r>
      <w:r>
        <w:rPr>
          <w:color w:val="231F20"/>
        </w:rPr>
        <w:t>The</w:t>
      </w:r>
      <w:r>
        <w:rPr>
          <w:color w:val="231F20"/>
          <w:spacing w:val="-9"/>
        </w:rPr>
        <w:t xml:space="preserve"> </w:t>
      </w:r>
      <w:r>
        <w:rPr>
          <w:color w:val="231F20"/>
        </w:rPr>
        <w:t>public</w:t>
      </w:r>
      <w:r>
        <w:rPr>
          <w:color w:val="231F20"/>
          <w:spacing w:val="-8"/>
        </w:rPr>
        <w:t xml:space="preserve"> </w:t>
      </w:r>
      <w:r>
        <w:rPr>
          <w:color w:val="231F20"/>
        </w:rPr>
        <w:t>account</w:t>
      </w:r>
      <w:r>
        <w:rPr>
          <w:color w:val="231F20"/>
          <w:spacing w:val="-8"/>
        </w:rPr>
        <w:t xml:space="preserve"> </w:t>
      </w:r>
      <w:r>
        <w:rPr>
          <w:color w:val="231F20"/>
        </w:rPr>
        <w:t>remits</w:t>
      </w:r>
      <w:r>
        <w:rPr>
          <w:color w:val="231F20"/>
          <w:spacing w:val="-8"/>
        </w:rPr>
        <w:t xml:space="preserve"> </w:t>
      </w:r>
      <w:r>
        <w:rPr>
          <w:color w:val="231F20"/>
        </w:rPr>
        <w:t>to</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the</w:t>
      </w:r>
      <w:r>
        <w:rPr>
          <w:color w:val="231F20"/>
          <w:spacing w:val="-9"/>
        </w:rPr>
        <w:t xml:space="preserve"> </w:t>
      </w:r>
      <w:r>
        <w:rPr>
          <w:color w:val="231F20"/>
        </w:rPr>
        <w:t>cash</w:t>
      </w:r>
      <w:r>
        <w:rPr>
          <w:color w:val="231F20"/>
          <w:spacing w:val="-9"/>
        </w:rPr>
        <w:t xml:space="preserve"> </w:t>
      </w:r>
      <w:r>
        <w:rPr>
          <w:color w:val="231F20"/>
        </w:rPr>
        <w:t>required</w:t>
      </w:r>
      <w:r>
        <w:rPr>
          <w:color w:val="231F20"/>
          <w:spacing w:val="-9"/>
        </w:rPr>
        <w:t xml:space="preserve"> </w:t>
      </w:r>
      <w:r>
        <w:rPr>
          <w:color w:val="231F20"/>
        </w:rPr>
        <w:t>upon</w:t>
      </w:r>
      <w:r>
        <w:rPr>
          <w:color w:val="231F20"/>
          <w:spacing w:val="-9"/>
        </w:rPr>
        <w:t xml:space="preserve"> </w:t>
      </w:r>
      <w:r>
        <w:rPr>
          <w:color w:val="231F20"/>
        </w:rPr>
        <w:t>presentation of cheques by Victoria Police’s suppliers or creditors.</w:t>
      </w:r>
    </w:p>
    <w:p w14:paraId="2E12F594" w14:textId="77777777" w:rsidR="00345EE3" w:rsidRDefault="00345EE3" w:rsidP="00345EE3">
      <w:pPr>
        <w:pStyle w:val="BodyText"/>
        <w:spacing w:before="121" w:line="242" w:lineRule="auto"/>
        <w:ind w:right="147"/>
        <w:jc w:val="both"/>
      </w:pPr>
      <w:r>
        <w:rPr>
          <w:color w:val="231F20"/>
        </w:rPr>
        <w:t>These</w:t>
      </w:r>
      <w:r>
        <w:rPr>
          <w:color w:val="231F20"/>
          <w:spacing w:val="-4"/>
        </w:rPr>
        <w:t xml:space="preserve"> </w:t>
      </w:r>
      <w:r>
        <w:rPr>
          <w:color w:val="231F20"/>
        </w:rPr>
        <w:t>funding</w:t>
      </w:r>
      <w:r>
        <w:rPr>
          <w:color w:val="231F20"/>
          <w:spacing w:val="-4"/>
        </w:rPr>
        <w:t xml:space="preserve"> </w:t>
      </w:r>
      <w:r>
        <w:rPr>
          <w:color w:val="231F20"/>
        </w:rPr>
        <w:t>arrangements</w:t>
      </w:r>
      <w:r>
        <w:rPr>
          <w:color w:val="231F20"/>
          <w:spacing w:val="-3"/>
        </w:rPr>
        <w:t xml:space="preserve"> </w:t>
      </w:r>
      <w:r>
        <w:rPr>
          <w:color w:val="231F20"/>
        </w:rPr>
        <w:t>often</w:t>
      </w:r>
      <w:r>
        <w:rPr>
          <w:color w:val="231F20"/>
          <w:spacing w:val="-4"/>
        </w:rPr>
        <w:t xml:space="preserve"> </w:t>
      </w:r>
      <w:r>
        <w:rPr>
          <w:color w:val="231F20"/>
        </w:rPr>
        <w:t>result</w:t>
      </w:r>
      <w:r>
        <w:rPr>
          <w:color w:val="231F20"/>
          <w:spacing w:val="-3"/>
        </w:rPr>
        <w:t xml:space="preserve"> </w:t>
      </w:r>
      <w:r>
        <w:rPr>
          <w:color w:val="231F20"/>
        </w:rPr>
        <w:t>in</w:t>
      </w:r>
      <w:r>
        <w:rPr>
          <w:color w:val="231F20"/>
          <w:spacing w:val="-4"/>
        </w:rPr>
        <w:t xml:space="preserve"> </w:t>
      </w:r>
      <w:r>
        <w:rPr>
          <w:color w:val="231F20"/>
        </w:rPr>
        <w:t>Victoria</w:t>
      </w:r>
      <w:r>
        <w:rPr>
          <w:color w:val="231F20"/>
          <w:spacing w:val="-4"/>
        </w:rPr>
        <w:t xml:space="preserve"> </w:t>
      </w:r>
      <w:r>
        <w:rPr>
          <w:color w:val="231F20"/>
        </w:rPr>
        <w:t>Police</w:t>
      </w:r>
      <w:r>
        <w:rPr>
          <w:color w:val="231F20"/>
          <w:spacing w:val="-4"/>
        </w:rPr>
        <w:t xml:space="preserve"> </w:t>
      </w:r>
      <w:r>
        <w:rPr>
          <w:color w:val="231F20"/>
        </w:rPr>
        <w:t>having</w:t>
      </w:r>
      <w:r>
        <w:rPr>
          <w:color w:val="231F20"/>
          <w:spacing w:val="-4"/>
        </w:rPr>
        <w:t xml:space="preserve"> </w:t>
      </w:r>
      <w:r>
        <w:rPr>
          <w:color w:val="231F20"/>
        </w:rPr>
        <w:t>a</w:t>
      </w:r>
      <w:r>
        <w:rPr>
          <w:color w:val="231F20"/>
          <w:spacing w:val="-4"/>
        </w:rPr>
        <w:t xml:space="preserve"> </w:t>
      </w:r>
      <w:r>
        <w:rPr>
          <w:color w:val="231F20"/>
        </w:rPr>
        <w:t>notional</w:t>
      </w:r>
      <w:r>
        <w:rPr>
          <w:color w:val="231F20"/>
          <w:spacing w:val="-4"/>
        </w:rPr>
        <w:t xml:space="preserve"> </w:t>
      </w:r>
      <w:r>
        <w:rPr>
          <w:color w:val="231F20"/>
        </w:rPr>
        <w:t>shortfall</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cash at</w:t>
      </w:r>
      <w:r>
        <w:rPr>
          <w:color w:val="231F20"/>
          <w:spacing w:val="-4"/>
        </w:rPr>
        <w:t xml:space="preserve"> </w:t>
      </w:r>
      <w:r>
        <w:rPr>
          <w:color w:val="231F20"/>
        </w:rPr>
        <w:t>bank</w:t>
      </w:r>
      <w:r>
        <w:rPr>
          <w:color w:val="231F20"/>
          <w:spacing w:val="-4"/>
        </w:rPr>
        <w:t xml:space="preserve"> </w:t>
      </w:r>
      <w:r>
        <w:rPr>
          <w:color w:val="231F20"/>
        </w:rPr>
        <w:t>required</w:t>
      </w:r>
      <w:r>
        <w:rPr>
          <w:color w:val="231F20"/>
          <w:spacing w:val="-5"/>
        </w:rPr>
        <w:t xml:space="preserve"> </w:t>
      </w:r>
      <w:r>
        <w:rPr>
          <w:color w:val="231F20"/>
        </w:rPr>
        <w:t>for</w:t>
      </w:r>
      <w:r>
        <w:rPr>
          <w:color w:val="231F20"/>
          <w:spacing w:val="-4"/>
        </w:rPr>
        <w:t xml:space="preserve"> </w:t>
      </w:r>
      <w:r>
        <w:rPr>
          <w:color w:val="231F20"/>
        </w:rPr>
        <w:t>payment</w:t>
      </w:r>
      <w:r>
        <w:rPr>
          <w:color w:val="231F20"/>
          <w:spacing w:val="-4"/>
        </w:rPr>
        <w:t xml:space="preserve"> </w:t>
      </w:r>
      <w:r>
        <w:rPr>
          <w:color w:val="231F20"/>
        </w:rPr>
        <w:t>of</w:t>
      </w:r>
      <w:r>
        <w:rPr>
          <w:color w:val="231F20"/>
          <w:spacing w:val="-4"/>
        </w:rPr>
        <w:t xml:space="preserve"> </w:t>
      </w:r>
      <w:r>
        <w:rPr>
          <w:color w:val="231F20"/>
        </w:rPr>
        <w:t>unpresented</w:t>
      </w:r>
      <w:r>
        <w:rPr>
          <w:color w:val="231F20"/>
          <w:spacing w:val="-5"/>
        </w:rPr>
        <w:t xml:space="preserve"> </w:t>
      </w:r>
      <w:r>
        <w:rPr>
          <w:color w:val="231F20"/>
        </w:rPr>
        <w:t>cheques</w:t>
      </w:r>
      <w:r>
        <w:rPr>
          <w:color w:val="231F20"/>
          <w:spacing w:val="-4"/>
        </w:rPr>
        <w:t xml:space="preserve"> </w:t>
      </w:r>
      <w:r>
        <w:rPr>
          <w:color w:val="231F20"/>
        </w:rPr>
        <w:t>at</w:t>
      </w:r>
      <w:r>
        <w:rPr>
          <w:color w:val="231F20"/>
          <w:spacing w:val="-4"/>
        </w:rPr>
        <w:t xml:space="preserve"> </w:t>
      </w:r>
      <w:r>
        <w:rPr>
          <w:color w:val="231F20"/>
        </w:rPr>
        <w:t>the</w:t>
      </w:r>
      <w:r>
        <w:rPr>
          <w:color w:val="231F20"/>
          <w:spacing w:val="-5"/>
        </w:rPr>
        <w:t xml:space="preserve"> </w:t>
      </w:r>
      <w:r>
        <w:rPr>
          <w:color w:val="231F20"/>
        </w:rPr>
        <w:t>reporting</w:t>
      </w:r>
      <w:r>
        <w:rPr>
          <w:color w:val="231F20"/>
          <w:spacing w:val="-5"/>
        </w:rPr>
        <w:t xml:space="preserve"> </w:t>
      </w:r>
      <w:r>
        <w:rPr>
          <w:color w:val="231F20"/>
        </w:rPr>
        <w:t>date.</w:t>
      </w:r>
      <w:r>
        <w:rPr>
          <w:color w:val="231F20"/>
          <w:spacing w:val="-4"/>
        </w:rPr>
        <w:t xml:space="preserve"> </w:t>
      </w:r>
      <w:r>
        <w:rPr>
          <w:color w:val="231F20"/>
        </w:rPr>
        <w:t>As</w:t>
      </w:r>
      <w:r>
        <w:rPr>
          <w:color w:val="231F20"/>
          <w:spacing w:val="-4"/>
        </w:rPr>
        <w:t xml:space="preserve"> </w:t>
      </w:r>
      <w:r>
        <w:rPr>
          <w:color w:val="231F20"/>
        </w:rPr>
        <w:t>at</w:t>
      </w:r>
      <w:r>
        <w:rPr>
          <w:color w:val="231F20"/>
          <w:spacing w:val="-4"/>
        </w:rPr>
        <w:t xml:space="preserve"> </w:t>
      </w:r>
      <w:r>
        <w:rPr>
          <w:color w:val="231F20"/>
        </w:rPr>
        <w:t>30</w:t>
      </w:r>
      <w:r>
        <w:rPr>
          <w:color w:val="231F20"/>
          <w:spacing w:val="-5"/>
        </w:rPr>
        <w:t xml:space="preserve"> </w:t>
      </w:r>
      <w:r>
        <w:rPr>
          <w:color w:val="231F20"/>
        </w:rPr>
        <w:t>June</w:t>
      </w:r>
      <w:r>
        <w:rPr>
          <w:color w:val="231F20"/>
          <w:spacing w:val="-5"/>
        </w:rPr>
        <w:t xml:space="preserve"> </w:t>
      </w:r>
      <w:r>
        <w:rPr>
          <w:color w:val="231F20"/>
        </w:rPr>
        <w:t>2022, cash</w:t>
      </w:r>
      <w:r>
        <w:rPr>
          <w:color w:val="231F20"/>
          <w:spacing w:val="-9"/>
        </w:rPr>
        <w:t xml:space="preserve"> </w:t>
      </w:r>
      <w:r>
        <w:rPr>
          <w:color w:val="231F20"/>
        </w:rPr>
        <w:t>at</w:t>
      </w:r>
      <w:r>
        <w:rPr>
          <w:color w:val="231F20"/>
          <w:spacing w:val="-8"/>
        </w:rPr>
        <w:t xml:space="preserve"> </w:t>
      </w:r>
      <w:r>
        <w:rPr>
          <w:color w:val="231F20"/>
        </w:rPr>
        <w:t>bank</w:t>
      </w:r>
      <w:r>
        <w:rPr>
          <w:color w:val="231F20"/>
          <w:spacing w:val="-8"/>
        </w:rPr>
        <w:t xml:space="preserve"> </w:t>
      </w:r>
      <w:r>
        <w:rPr>
          <w:color w:val="231F20"/>
        </w:rPr>
        <w:t>included</w:t>
      </w:r>
      <w:r>
        <w:rPr>
          <w:color w:val="231F20"/>
          <w:spacing w:val="-9"/>
        </w:rPr>
        <w:t xml:space="preserve"> </w:t>
      </w:r>
      <w:r>
        <w:rPr>
          <w:color w:val="231F20"/>
        </w:rPr>
        <w:t>the</w:t>
      </w:r>
      <w:r>
        <w:rPr>
          <w:color w:val="231F20"/>
          <w:spacing w:val="-9"/>
        </w:rPr>
        <w:t xml:space="preserve"> </w:t>
      </w:r>
      <w:r>
        <w:rPr>
          <w:color w:val="231F20"/>
        </w:rPr>
        <w:t>amount</w:t>
      </w:r>
      <w:r>
        <w:rPr>
          <w:color w:val="231F20"/>
          <w:spacing w:val="-8"/>
        </w:rPr>
        <w:t xml:space="preserve"> </w:t>
      </w:r>
      <w:r>
        <w:rPr>
          <w:color w:val="231F20"/>
        </w:rPr>
        <w:t>of</w:t>
      </w:r>
      <w:r>
        <w:rPr>
          <w:color w:val="231F20"/>
          <w:spacing w:val="-8"/>
        </w:rPr>
        <w:t xml:space="preserve"> </w:t>
      </w:r>
      <w:r>
        <w:rPr>
          <w:color w:val="231F20"/>
        </w:rPr>
        <w:t>a</w:t>
      </w:r>
      <w:r>
        <w:rPr>
          <w:color w:val="231F20"/>
          <w:spacing w:val="-9"/>
        </w:rPr>
        <w:t xml:space="preserve"> </w:t>
      </w:r>
      <w:r>
        <w:rPr>
          <w:color w:val="231F20"/>
        </w:rPr>
        <w:t>notional</w:t>
      </w:r>
      <w:r>
        <w:rPr>
          <w:color w:val="231F20"/>
          <w:spacing w:val="-9"/>
        </w:rPr>
        <w:t xml:space="preserve"> </w:t>
      </w:r>
      <w:r>
        <w:rPr>
          <w:color w:val="231F20"/>
        </w:rPr>
        <w:t>shortfall</w:t>
      </w:r>
      <w:r>
        <w:rPr>
          <w:color w:val="231F20"/>
          <w:spacing w:val="-9"/>
        </w:rPr>
        <w:t xml:space="preserve"> </w:t>
      </w:r>
      <w:r>
        <w:rPr>
          <w:color w:val="231F20"/>
        </w:rPr>
        <w:t>for</w:t>
      </w:r>
      <w:r>
        <w:rPr>
          <w:color w:val="231F20"/>
          <w:spacing w:val="-8"/>
        </w:rPr>
        <w:t xml:space="preserve"> </w:t>
      </w:r>
      <w:r>
        <w:rPr>
          <w:color w:val="231F20"/>
        </w:rPr>
        <w:t>the</w:t>
      </w:r>
      <w:r>
        <w:rPr>
          <w:color w:val="231F20"/>
          <w:spacing w:val="-9"/>
        </w:rPr>
        <w:t xml:space="preserve"> </w:t>
      </w:r>
      <w:r>
        <w:rPr>
          <w:color w:val="231F20"/>
        </w:rPr>
        <w:t>payment</w:t>
      </w:r>
      <w:r>
        <w:rPr>
          <w:color w:val="231F20"/>
          <w:spacing w:val="-8"/>
        </w:rPr>
        <w:t xml:space="preserve"> </w:t>
      </w:r>
      <w:r>
        <w:rPr>
          <w:color w:val="231F20"/>
        </w:rPr>
        <w:t>of</w:t>
      </w:r>
      <w:r>
        <w:rPr>
          <w:color w:val="231F20"/>
          <w:spacing w:val="-8"/>
        </w:rPr>
        <w:t xml:space="preserve"> </w:t>
      </w:r>
      <w:r>
        <w:rPr>
          <w:color w:val="231F20"/>
        </w:rPr>
        <w:t>unpresented</w:t>
      </w:r>
      <w:r>
        <w:rPr>
          <w:color w:val="231F20"/>
          <w:spacing w:val="-9"/>
        </w:rPr>
        <w:t xml:space="preserve"> </w:t>
      </w:r>
      <w:r>
        <w:rPr>
          <w:color w:val="231F20"/>
        </w:rPr>
        <w:t>cheques of $122,996 (2021: $234,907).</w:t>
      </w:r>
    </w:p>
    <w:p w14:paraId="28640C94" w14:textId="683CF574" w:rsidR="00345EE3" w:rsidRDefault="00345EE3" w:rsidP="004E4A66">
      <w:pPr>
        <w:pStyle w:val="Heading5"/>
        <w:numPr>
          <w:ilvl w:val="2"/>
          <w:numId w:val="24"/>
        </w:numPr>
        <w:tabs>
          <w:tab w:val="left" w:pos="711"/>
        </w:tabs>
        <w:spacing w:before="62" w:after="120"/>
      </w:pPr>
      <w:r>
        <w:rPr>
          <w:color w:val="58595B"/>
        </w:rPr>
        <w:t>Reconciliation</w:t>
      </w:r>
      <w:r>
        <w:rPr>
          <w:color w:val="58595B"/>
          <w:spacing w:val="-3"/>
        </w:rPr>
        <w:t xml:space="preserve"> </w:t>
      </w:r>
      <w:r>
        <w:rPr>
          <w:color w:val="58595B"/>
        </w:rPr>
        <w:t>of</w:t>
      </w:r>
      <w:r>
        <w:rPr>
          <w:color w:val="58595B"/>
          <w:spacing w:val="-2"/>
        </w:rPr>
        <w:t xml:space="preserve"> </w:t>
      </w:r>
      <w:r>
        <w:rPr>
          <w:color w:val="58595B"/>
        </w:rPr>
        <w:t>net</w:t>
      </w:r>
      <w:r>
        <w:rPr>
          <w:color w:val="58595B"/>
          <w:spacing w:val="-2"/>
        </w:rPr>
        <w:t xml:space="preserve"> </w:t>
      </w:r>
      <w:r>
        <w:rPr>
          <w:color w:val="58595B"/>
        </w:rPr>
        <w:t>result</w:t>
      </w:r>
      <w:r>
        <w:rPr>
          <w:color w:val="58595B"/>
          <w:spacing w:val="-3"/>
        </w:rPr>
        <w:t xml:space="preserve"> </w:t>
      </w:r>
      <w:r>
        <w:rPr>
          <w:color w:val="58595B"/>
        </w:rPr>
        <w:t>for</w:t>
      </w:r>
      <w:r>
        <w:rPr>
          <w:color w:val="58595B"/>
          <w:spacing w:val="-2"/>
        </w:rPr>
        <w:t xml:space="preserve"> </w:t>
      </w:r>
      <w:r>
        <w:rPr>
          <w:color w:val="58595B"/>
        </w:rPr>
        <w:t>the</w:t>
      </w:r>
      <w:r>
        <w:rPr>
          <w:color w:val="58595B"/>
          <w:spacing w:val="-2"/>
        </w:rPr>
        <w:t xml:space="preserve"> </w:t>
      </w:r>
      <w:r>
        <w:rPr>
          <w:color w:val="58595B"/>
        </w:rPr>
        <w:t>year</w:t>
      </w:r>
      <w:r>
        <w:rPr>
          <w:color w:val="58595B"/>
          <w:spacing w:val="-3"/>
        </w:rPr>
        <w:t xml:space="preserve"> </w:t>
      </w:r>
      <w:r>
        <w:rPr>
          <w:color w:val="58595B"/>
        </w:rPr>
        <w:t>to</w:t>
      </w:r>
      <w:r>
        <w:rPr>
          <w:color w:val="58595B"/>
          <w:spacing w:val="-2"/>
        </w:rPr>
        <w:t xml:space="preserve"> </w:t>
      </w:r>
      <w:r>
        <w:rPr>
          <w:color w:val="58595B"/>
        </w:rPr>
        <w:t>cash</w:t>
      </w:r>
      <w:r>
        <w:rPr>
          <w:color w:val="58595B"/>
          <w:spacing w:val="-3"/>
        </w:rPr>
        <w:t xml:space="preserve"> </w:t>
      </w:r>
      <w:r>
        <w:rPr>
          <w:color w:val="58595B"/>
        </w:rPr>
        <w:t>flow</w:t>
      </w:r>
      <w:r>
        <w:rPr>
          <w:color w:val="58595B"/>
          <w:spacing w:val="-2"/>
        </w:rPr>
        <w:t xml:space="preserve"> </w:t>
      </w:r>
      <w:r>
        <w:rPr>
          <w:color w:val="58595B"/>
        </w:rPr>
        <w:t>from</w:t>
      </w:r>
      <w:r>
        <w:rPr>
          <w:color w:val="58595B"/>
          <w:spacing w:val="-2"/>
        </w:rPr>
        <w:t xml:space="preserve"> </w:t>
      </w:r>
      <w:r>
        <w:rPr>
          <w:color w:val="58595B"/>
        </w:rPr>
        <w:t>operating</w:t>
      </w:r>
      <w:r>
        <w:rPr>
          <w:color w:val="58595B"/>
          <w:spacing w:val="-2"/>
        </w:rPr>
        <w:t xml:space="preserve"> activities</w:t>
      </w:r>
    </w:p>
    <w:tbl>
      <w:tblPr>
        <w:tblW w:w="0" w:type="auto"/>
        <w:tblInd w:w="-8" w:type="dxa"/>
        <w:tblLayout w:type="fixed"/>
        <w:tblCellMar>
          <w:left w:w="0" w:type="dxa"/>
          <w:right w:w="0" w:type="dxa"/>
        </w:tblCellMar>
        <w:tblLook w:val="0000" w:firstRow="0" w:lastRow="0" w:firstColumn="0" w:lastColumn="0" w:noHBand="0" w:noVBand="0"/>
      </w:tblPr>
      <w:tblGrid>
        <w:gridCol w:w="6803"/>
        <w:gridCol w:w="1134"/>
        <w:gridCol w:w="1134"/>
        <w:gridCol w:w="1134"/>
      </w:tblGrid>
      <w:tr w:rsidR="004E4A66" w:rsidRPr="004E4A66" w14:paraId="582CF7F7" w14:textId="77777777" w:rsidTr="004E4A66">
        <w:trPr>
          <w:trHeight w:val="60"/>
          <w:tblHeader/>
        </w:trPr>
        <w:tc>
          <w:tcPr>
            <w:tcW w:w="10205" w:type="dxa"/>
            <w:gridSpan w:val="4"/>
            <w:tcBorders>
              <w:top w:val="single" w:sz="6" w:space="0" w:color="000000"/>
              <w:left w:val="single" w:sz="6" w:space="0" w:color="000000"/>
              <w:bottom w:val="single" w:sz="2" w:space="0" w:color="FFFFFF"/>
              <w:right w:val="single" w:sz="2" w:space="0" w:color="FFFFFF"/>
            </w:tcBorders>
            <w:shd w:val="solid" w:color="004996" w:fill="auto"/>
            <w:tcMar>
              <w:top w:w="85" w:type="dxa"/>
              <w:left w:w="14" w:type="dxa"/>
              <w:bottom w:w="85" w:type="dxa"/>
              <w:right w:w="14" w:type="dxa"/>
            </w:tcMar>
          </w:tcPr>
          <w:p w14:paraId="5DFD442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thousand)</w:t>
            </w:r>
          </w:p>
        </w:tc>
      </w:tr>
      <w:tr w:rsidR="004E4A66" w:rsidRPr="004E4A66" w14:paraId="5AE0FA9B" w14:textId="77777777" w:rsidTr="004E4A66">
        <w:trPr>
          <w:trHeight w:val="60"/>
          <w:tblHeader/>
        </w:trPr>
        <w:tc>
          <w:tcPr>
            <w:tcW w:w="6803" w:type="dxa"/>
            <w:tcBorders>
              <w:top w:val="single" w:sz="2" w:space="0" w:color="FFFFFF"/>
              <w:left w:val="single" w:sz="6" w:space="0" w:color="000000"/>
              <w:bottom w:val="single" w:sz="6" w:space="0" w:color="9D9C9C"/>
              <w:right w:val="single" w:sz="2" w:space="0" w:color="FFFFFF"/>
            </w:tcBorders>
            <w:shd w:val="solid" w:color="004996" w:fill="auto"/>
            <w:tcMar>
              <w:top w:w="85" w:type="dxa"/>
              <w:left w:w="14" w:type="dxa"/>
              <w:bottom w:w="85" w:type="dxa"/>
              <w:right w:w="14" w:type="dxa"/>
            </w:tcMar>
          </w:tcPr>
          <w:p w14:paraId="5031B079"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1D4BE175"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Notes</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57" w:type="dxa"/>
            </w:tcMar>
          </w:tcPr>
          <w:p w14:paraId="031514A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85" w:type="dxa"/>
              <w:left w:w="14" w:type="dxa"/>
              <w:bottom w:w="85" w:type="dxa"/>
              <w:right w:w="57" w:type="dxa"/>
            </w:tcMar>
          </w:tcPr>
          <w:p w14:paraId="5AC5372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2021</w:t>
            </w:r>
          </w:p>
        </w:tc>
      </w:tr>
      <w:tr w:rsidR="004E4A66" w:rsidRPr="004E4A66" w14:paraId="687895E6" w14:textId="77777777" w:rsidTr="004E4A66">
        <w:trPr>
          <w:trHeight w:val="60"/>
        </w:trPr>
        <w:tc>
          <w:tcPr>
            <w:tcW w:w="6803" w:type="dxa"/>
            <w:tcBorders>
              <w:top w:val="single" w:sz="2" w:space="0" w:color="9D9C9C"/>
              <w:left w:val="single" w:sz="6" w:space="0" w:color="000000"/>
              <w:bottom w:val="single" w:sz="4" w:space="0" w:color="000000"/>
              <w:right w:val="single" w:sz="2" w:space="0" w:color="9D9C9C"/>
            </w:tcBorders>
            <w:tcMar>
              <w:top w:w="85" w:type="dxa"/>
              <w:left w:w="14" w:type="dxa"/>
              <w:bottom w:w="85" w:type="dxa"/>
              <w:right w:w="14" w:type="dxa"/>
            </w:tcMar>
          </w:tcPr>
          <w:p w14:paraId="03FAE255"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Net Result For The Year</w:t>
            </w:r>
          </w:p>
        </w:tc>
        <w:tc>
          <w:tcPr>
            <w:tcW w:w="1134" w:type="dxa"/>
            <w:tcBorders>
              <w:top w:val="single" w:sz="2" w:space="0" w:color="9D9C9C"/>
              <w:left w:val="single" w:sz="2" w:space="0" w:color="9D9C9C"/>
              <w:bottom w:val="single" w:sz="4" w:space="0" w:color="000000"/>
              <w:right w:val="single" w:sz="2" w:space="0" w:color="9D9C9C"/>
            </w:tcBorders>
            <w:tcMar>
              <w:top w:w="85" w:type="dxa"/>
              <w:left w:w="14" w:type="dxa"/>
              <w:bottom w:w="85" w:type="dxa"/>
              <w:right w:w="14" w:type="dxa"/>
            </w:tcMar>
          </w:tcPr>
          <w:p w14:paraId="4AC97812"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85" w:type="dxa"/>
              <w:left w:w="14" w:type="dxa"/>
              <w:bottom w:w="85" w:type="dxa"/>
              <w:right w:w="57" w:type="dxa"/>
            </w:tcMar>
          </w:tcPr>
          <w:p w14:paraId="2E10364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86,939 </w:t>
            </w:r>
          </w:p>
        </w:tc>
        <w:tc>
          <w:tcPr>
            <w:tcW w:w="1134" w:type="dxa"/>
            <w:tcBorders>
              <w:top w:val="single" w:sz="2" w:space="0" w:color="9D9C9C"/>
              <w:left w:val="single" w:sz="2" w:space="0" w:color="9D9C9C"/>
              <w:bottom w:val="single" w:sz="4" w:space="0" w:color="000000"/>
              <w:right w:val="single" w:sz="6" w:space="0" w:color="9D9C9C"/>
            </w:tcBorders>
            <w:tcMar>
              <w:top w:w="85" w:type="dxa"/>
              <w:left w:w="14" w:type="dxa"/>
              <w:bottom w:w="85" w:type="dxa"/>
              <w:right w:w="57" w:type="dxa"/>
            </w:tcMar>
          </w:tcPr>
          <w:p w14:paraId="3EFF700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24,993 </w:t>
            </w:r>
          </w:p>
        </w:tc>
      </w:tr>
      <w:tr w:rsidR="004E4A66" w:rsidRPr="004E4A66" w14:paraId="462C5CC4" w14:textId="77777777" w:rsidTr="004E4A66">
        <w:trPr>
          <w:trHeight w:val="60"/>
        </w:trPr>
        <w:tc>
          <w:tcPr>
            <w:tcW w:w="6803" w:type="dxa"/>
            <w:tcBorders>
              <w:top w:val="single" w:sz="4" w:space="0" w:color="000000"/>
              <w:left w:val="single" w:sz="6" w:space="0" w:color="000000"/>
              <w:bottom w:val="single" w:sz="2" w:space="0" w:color="9D9C9C"/>
              <w:right w:val="single" w:sz="2" w:space="0" w:color="9D9C9C"/>
            </w:tcBorders>
            <w:tcMar>
              <w:top w:w="85" w:type="dxa"/>
              <w:left w:w="14" w:type="dxa"/>
              <w:bottom w:w="85" w:type="dxa"/>
              <w:right w:w="14" w:type="dxa"/>
            </w:tcMar>
          </w:tcPr>
          <w:p w14:paraId="751B99F4"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Non-Cash Movements</w:t>
            </w:r>
          </w:p>
        </w:tc>
        <w:tc>
          <w:tcPr>
            <w:tcW w:w="1134" w:type="dxa"/>
            <w:tcBorders>
              <w:top w:val="single" w:sz="4" w:space="0" w:color="000000"/>
              <w:left w:val="single" w:sz="2" w:space="0" w:color="9D9C9C"/>
              <w:bottom w:val="single" w:sz="2" w:space="0" w:color="9D9C9C"/>
              <w:right w:val="single" w:sz="2" w:space="0" w:color="9D9C9C"/>
            </w:tcBorders>
            <w:tcMar>
              <w:top w:w="85" w:type="dxa"/>
              <w:left w:w="14" w:type="dxa"/>
              <w:bottom w:w="85" w:type="dxa"/>
              <w:right w:w="14" w:type="dxa"/>
            </w:tcMar>
          </w:tcPr>
          <w:p w14:paraId="3EEE1A14" w14:textId="77777777" w:rsidR="004E4A66" w:rsidRPr="004E4A66" w:rsidRDefault="004E4A66" w:rsidP="004E4A66">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4F6B5598" w14:textId="77777777" w:rsidR="004E4A66" w:rsidRPr="004E4A66" w:rsidRDefault="004E4A66" w:rsidP="004E4A66">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85" w:type="dxa"/>
              <w:left w:w="14" w:type="dxa"/>
              <w:bottom w:w="85" w:type="dxa"/>
              <w:right w:w="57" w:type="dxa"/>
            </w:tcMar>
          </w:tcPr>
          <w:p w14:paraId="63BF8A5F" w14:textId="77777777" w:rsidR="004E4A66" w:rsidRPr="004E4A66" w:rsidRDefault="004E4A66" w:rsidP="004E4A66">
            <w:pPr>
              <w:widowControl/>
              <w:adjustRightInd w:val="0"/>
              <w:rPr>
                <w:rFonts w:eastAsia="Myriad Pro"/>
                <w:sz w:val="24"/>
                <w:szCs w:val="24"/>
                <w:lang w:val="en-GB"/>
              </w:rPr>
            </w:pPr>
          </w:p>
        </w:tc>
      </w:tr>
      <w:tr w:rsidR="004E4A66" w:rsidRPr="004E4A66" w14:paraId="66FD3CDA"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2EEFA784"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 xml:space="preserve">(Gain)/loss on sale or disposal of non-current assets </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3AFA446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9.1</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2E1EE7E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(13,856)</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72B3638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(15,637)</w:t>
            </w:r>
          </w:p>
        </w:tc>
      </w:tr>
      <w:tr w:rsidR="004E4A66" w:rsidRPr="004E4A66" w14:paraId="552ECEBC"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1C14741A"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Depreciation and amortisation of non-current assets</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57B6DB6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5.1.1</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1D0C66C6"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260,215 </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7FCF77AB"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241,357 </w:t>
            </w:r>
          </w:p>
        </w:tc>
      </w:tr>
      <w:tr w:rsidR="004E4A66" w:rsidRPr="004E4A66" w14:paraId="2849B7B7"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7FBDE69F"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 xml:space="preserve">Plant and equipment received free of charge or for nominal consideration </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33456A4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2.1</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090B2433"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(3,088)</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0B787C6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(183)</w:t>
            </w:r>
          </w:p>
        </w:tc>
      </w:tr>
      <w:tr w:rsidR="004E4A66" w:rsidRPr="004E4A66" w14:paraId="559BC62B"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2F19ACB7"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Assets recognised for first time</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0703BC0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9.1</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35512053"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(1,496)</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0451EA7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(60)</w:t>
            </w:r>
          </w:p>
        </w:tc>
      </w:tr>
      <w:tr w:rsidR="004E4A66" w:rsidRPr="004E4A66" w14:paraId="0163C2FB"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540E46A6"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Other non-cash movements</w:t>
            </w:r>
            <w:r w:rsidRPr="004E4A66">
              <w:rPr>
                <w:rFonts w:eastAsia="Myriad Pro"/>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42B91EC7"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52DE954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(73,597)</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4011AE9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(9,906)</w:t>
            </w:r>
          </w:p>
        </w:tc>
      </w:tr>
      <w:tr w:rsidR="004E4A66" w:rsidRPr="004E4A66" w14:paraId="6D8203E3"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6B3BCEC7"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Movements in Assets and Liabilities</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70789FF4"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5E9D3C2A"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511A0015" w14:textId="77777777" w:rsidR="004E4A66" w:rsidRPr="004E4A66" w:rsidRDefault="004E4A66" w:rsidP="004E4A66">
            <w:pPr>
              <w:widowControl/>
              <w:adjustRightInd w:val="0"/>
              <w:rPr>
                <w:rFonts w:eastAsia="Myriad Pro"/>
                <w:sz w:val="24"/>
                <w:szCs w:val="24"/>
                <w:lang w:val="en-GB"/>
              </w:rPr>
            </w:pPr>
          </w:p>
        </w:tc>
      </w:tr>
      <w:tr w:rsidR="004E4A66" w:rsidRPr="004E4A66" w14:paraId="04BF52DC"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2FDC08A3" w14:textId="77777777" w:rsidR="004E4A66" w:rsidRPr="004E4A66" w:rsidRDefault="004E4A66" w:rsidP="004E4A66">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4E4A66">
              <w:rPr>
                <w:rFonts w:eastAsia="Myriad Pro"/>
                <w:color w:val="000000"/>
                <w:sz w:val="24"/>
                <w:szCs w:val="24"/>
                <w:lang w:val="en-GB"/>
              </w:rPr>
              <w:t>(Increase)/decrease in receivables</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274421B8"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7BCE54C6"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(215,812)</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35973454"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(101,996)</w:t>
            </w:r>
          </w:p>
        </w:tc>
      </w:tr>
      <w:tr w:rsidR="004E4A66" w:rsidRPr="004E4A66" w14:paraId="0D4CA733"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3ADA7B51" w14:textId="77777777" w:rsidR="004E4A66" w:rsidRPr="004E4A66" w:rsidRDefault="004E4A66" w:rsidP="004E4A66">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4E4A66">
              <w:rPr>
                <w:rFonts w:eastAsia="Myriad Pro"/>
                <w:color w:val="000000"/>
                <w:sz w:val="24"/>
                <w:szCs w:val="24"/>
                <w:lang w:val="en-GB"/>
              </w:rPr>
              <w:t>(Increase)/decrease in prepayments</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6AB9B182"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70DBB55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(13,628)</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37C7F69D"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104 </w:t>
            </w:r>
          </w:p>
        </w:tc>
      </w:tr>
      <w:tr w:rsidR="004E4A66" w:rsidRPr="004E4A66" w14:paraId="479A93F2"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50B711EA" w14:textId="77777777" w:rsidR="004E4A66" w:rsidRPr="004E4A66" w:rsidRDefault="004E4A66" w:rsidP="004E4A66">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4E4A66">
              <w:rPr>
                <w:rFonts w:eastAsia="Myriad Pro"/>
                <w:color w:val="000000"/>
                <w:sz w:val="24"/>
                <w:szCs w:val="24"/>
                <w:lang w:val="en-GB"/>
              </w:rPr>
              <w:t>(Increase)/decrease in inventories</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1A37154D"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4E38F5E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(946)</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7A3E6AF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(1,282)</w:t>
            </w:r>
          </w:p>
        </w:tc>
      </w:tr>
      <w:tr w:rsidR="004E4A66" w:rsidRPr="004E4A66" w14:paraId="492C0582"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102A7B77" w14:textId="77777777" w:rsidR="004E4A66" w:rsidRPr="004E4A66" w:rsidRDefault="004E4A66" w:rsidP="004E4A66">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4E4A66">
              <w:rPr>
                <w:rFonts w:eastAsia="Myriad Pro"/>
                <w:color w:val="000000"/>
                <w:sz w:val="24"/>
                <w:szCs w:val="24"/>
                <w:lang w:val="en-GB"/>
              </w:rPr>
              <w:t>Increase/(decrease) in payables</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48CF41D2"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521CFAF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31,673 </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3CD4C23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(64,119)</w:t>
            </w:r>
          </w:p>
        </w:tc>
      </w:tr>
      <w:tr w:rsidR="004E4A66" w:rsidRPr="004E4A66" w14:paraId="3147B3F7" w14:textId="77777777" w:rsidTr="004E4A66">
        <w:trPr>
          <w:trHeight w:val="60"/>
        </w:trPr>
        <w:tc>
          <w:tcPr>
            <w:tcW w:w="6803" w:type="dxa"/>
            <w:tcBorders>
              <w:top w:val="single" w:sz="2" w:space="0" w:color="9D9C9C"/>
              <w:left w:val="single" w:sz="6" w:space="0" w:color="000000"/>
              <w:bottom w:val="single" w:sz="4" w:space="0" w:color="000000"/>
              <w:right w:val="single" w:sz="2" w:space="0" w:color="9D9C9C"/>
            </w:tcBorders>
            <w:tcMar>
              <w:top w:w="85" w:type="dxa"/>
              <w:left w:w="14" w:type="dxa"/>
              <w:bottom w:w="85" w:type="dxa"/>
              <w:right w:w="14" w:type="dxa"/>
            </w:tcMar>
          </w:tcPr>
          <w:p w14:paraId="38DC2F48" w14:textId="77777777" w:rsidR="004E4A66" w:rsidRPr="004E4A66" w:rsidRDefault="004E4A66" w:rsidP="004E4A66">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4E4A66">
              <w:rPr>
                <w:rFonts w:eastAsia="Myriad Pro"/>
                <w:color w:val="000000"/>
                <w:sz w:val="24"/>
                <w:szCs w:val="24"/>
                <w:lang w:val="en-GB"/>
              </w:rPr>
              <w:t>Increase/(decrease) in provisions</w:t>
            </w:r>
          </w:p>
        </w:tc>
        <w:tc>
          <w:tcPr>
            <w:tcW w:w="1134" w:type="dxa"/>
            <w:tcBorders>
              <w:top w:val="single" w:sz="2" w:space="0" w:color="9D9C9C"/>
              <w:left w:val="single" w:sz="2" w:space="0" w:color="9D9C9C"/>
              <w:bottom w:val="single" w:sz="4" w:space="0" w:color="000000"/>
              <w:right w:val="single" w:sz="2" w:space="0" w:color="9D9C9C"/>
            </w:tcBorders>
            <w:tcMar>
              <w:top w:w="85" w:type="dxa"/>
              <w:left w:w="14" w:type="dxa"/>
              <w:bottom w:w="85" w:type="dxa"/>
              <w:right w:w="14" w:type="dxa"/>
            </w:tcMar>
          </w:tcPr>
          <w:p w14:paraId="720EBBF0"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85" w:type="dxa"/>
              <w:left w:w="14" w:type="dxa"/>
              <w:bottom w:w="85" w:type="dxa"/>
              <w:right w:w="57" w:type="dxa"/>
            </w:tcMar>
          </w:tcPr>
          <w:p w14:paraId="3A4CDDC6"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96,164 </w:t>
            </w:r>
          </w:p>
        </w:tc>
        <w:tc>
          <w:tcPr>
            <w:tcW w:w="1134" w:type="dxa"/>
            <w:tcBorders>
              <w:top w:val="single" w:sz="2" w:space="0" w:color="9D9C9C"/>
              <w:left w:val="single" w:sz="2" w:space="0" w:color="9D9C9C"/>
              <w:bottom w:val="single" w:sz="4" w:space="0" w:color="000000"/>
              <w:right w:val="single" w:sz="6" w:space="0" w:color="9D9C9C"/>
            </w:tcBorders>
            <w:tcMar>
              <w:top w:w="85" w:type="dxa"/>
              <w:left w:w="14" w:type="dxa"/>
              <w:bottom w:w="85" w:type="dxa"/>
              <w:right w:w="57" w:type="dxa"/>
            </w:tcMar>
          </w:tcPr>
          <w:p w14:paraId="31E4CAE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83,824 </w:t>
            </w:r>
          </w:p>
        </w:tc>
      </w:tr>
      <w:tr w:rsidR="004E4A66" w:rsidRPr="004E4A66" w14:paraId="5B4D4173" w14:textId="77777777" w:rsidTr="004E4A66">
        <w:trPr>
          <w:trHeight w:val="60"/>
        </w:trPr>
        <w:tc>
          <w:tcPr>
            <w:tcW w:w="6803" w:type="dxa"/>
            <w:tcBorders>
              <w:top w:val="single" w:sz="4" w:space="0" w:color="000000"/>
              <w:left w:val="single" w:sz="6" w:space="0" w:color="9D9C9C"/>
              <w:bottom w:val="single" w:sz="8" w:space="0" w:color="000000"/>
              <w:right w:val="single" w:sz="2" w:space="0" w:color="9D9C9C"/>
            </w:tcBorders>
            <w:tcMar>
              <w:top w:w="85" w:type="dxa"/>
              <w:left w:w="14" w:type="dxa"/>
              <w:bottom w:w="85" w:type="dxa"/>
              <w:right w:w="14" w:type="dxa"/>
            </w:tcMar>
          </w:tcPr>
          <w:p w14:paraId="26CFD43D"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Net Cash Flows From/(Used In) Operating Activities</w:t>
            </w:r>
          </w:p>
        </w:tc>
        <w:tc>
          <w:tcPr>
            <w:tcW w:w="1134" w:type="dxa"/>
            <w:tcBorders>
              <w:top w:val="single" w:sz="4" w:space="0" w:color="000000"/>
              <w:left w:val="single" w:sz="2" w:space="0" w:color="9D9C9C"/>
              <w:bottom w:val="single" w:sz="8" w:space="0" w:color="000000"/>
              <w:right w:val="single" w:sz="2" w:space="0" w:color="9D9C9C"/>
            </w:tcBorders>
            <w:tcMar>
              <w:top w:w="85" w:type="dxa"/>
              <w:left w:w="14" w:type="dxa"/>
              <w:bottom w:w="85" w:type="dxa"/>
              <w:right w:w="14" w:type="dxa"/>
            </w:tcMar>
          </w:tcPr>
          <w:p w14:paraId="0E0DE2E8" w14:textId="77777777" w:rsidR="004E4A66" w:rsidRPr="004E4A66" w:rsidRDefault="004E4A66" w:rsidP="004E4A66">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85" w:type="dxa"/>
              <w:left w:w="14" w:type="dxa"/>
              <w:bottom w:w="85" w:type="dxa"/>
              <w:right w:w="57" w:type="dxa"/>
            </w:tcMar>
          </w:tcPr>
          <w:p w14:paraId="45C6A15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152,568 </w:t>
            </w:r>
          </w:p>
        </w:tc>
        <w:tc>
          <w:tcPr>
            <w:tcW w:w="1134" w:type="dxa"/>
            <w:tcBorders>
              <w:top w:val="single" w:sz="4" w:space="0" w:color="000000"/>
              <w:left w:val="single" w:sz="2" w:space="0" w:color="9D9C9C"/>
              <w:bottom w:val="single" w:sz="8" w:space="0" w:color="000000"/>
              <w:right w:val="single" w:sz="6" w:space="0" w:color="9D9C9C"/>
            </w:tcBorders>
            <w:tcMar>
              <w:top w:w="85" w:type="dxa"/>
              <w:left w:w="14" w:type="dxa"/>
              <w:bottom w:w="85" w:type="dxa"/>
              <w:right w:w="57" w:type="dxa"/>
            </w:tcMar>
          </w:tcPr>
          <w:p w14:paraId="7028763F"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157,095 </w:t>
            </w:r>
          </w:p>
        </w:tc>
      </w:tr>
    </w:tbl>
    <w:p w14:paraId="78C1E027" w14:textId="77777777" w:rsidR="00345EE3" w:rsidRPr="000C71FB" w:rsidRDefault="00345EE3" w:rsidP="00345EE3">
      <w:pPr>
        <w:spacing w:before="80"/>
        <w:ind w:left="110"/>
        <w:rPr>
          <w:rFonts w:ascii="Arial-BoldItalicMT"/>
          <w:b/>
          <w:i/>
          <w:sz w:val="18"/>
          <w:szCs w:val="18"/>
        </w:rPr>
      </w:pPr>
      <w:r w:rsidRPr="000C71FB">
        <w:rPr>
          <w:rFonts w:ascii="Arial-BoldItalicMT"/>
          <w:b/>
          <w:i/>
          <w:color w:val="231F20"/>
          <w:spacing w:val="-2"/>
          <w:sz w:val="18"/>
          <w:szCs w:val="18"/>
        </w:rPr>
        <w:t>Note:</w:t>
      </w:r>
    </w:p>
    <w:p w14:paraId="40C122DE" w14:textId="77777777" w:rsidR="00345EE3" w:rsidRPr="000C71FB" w:rsidRDefault="00345EE3" w:rsidP="00345EE3">
      <w:pPr>
        <w:spacing w:before="28"/>
        <w:ind w:left="110"/>
        <w:rPr>
          <w:sz w:val="18"/>
          <w:szCs w:val="18"/>
        </w:rPr>
      </w:pPr>
      <w:r w:rsidRPr="000C71FB">
        <w:rPr>
          <w:color w:val="231F20"/>
          <w:sz w:val="18"/>
          <w:szCs w:val="18"/>
        </w:rPr>
        <w:t>(a)</w:t>
      </w:r>
      <w:r w:rsidRPr="000C71FB">
        <w:rPr>
          <w:color w:val="231F20"/>
          <w:spacing w:val="26"/>
          <w:sz w:val="18"/>
          <w:szCs w:val="18"/>
        </w:rPr>
        <w:t xml:space="preserve"> </w:t>
      </w:r>
      <w:r w:rsidRPr="000C71FB">
        <w:rPr>
          <w:color w:val="231F20"/>
          <w:sz w:val="18"/>
          <w:szCs w:val="18"/>
        </w:rPr>
        <w:t>Included</w:t>
      </w:r>
      <w:r w:rsidRPr="000C71FB">
        <w:rPr>
          <w:color w:val="231F20"/>
          <w:spacing w:val="-3"/>
          <w:sz w:val="18"/>
          <w:szCs w:val="18"/>
        </w:rPr>
        <w:t xml:space="preserve"> </w:t>
      </w:r>
      <w:r w:rsidRPr="000C71FB">
        <w:rPr>
          <w:color w:val="231F20"/>
          <w:sz w:val="18"/>
          <w:szCs w:val="18"/>
        </w:rPr>
        <w:t>in</w:t>
      </w:r>
      <w:r w:rsidRPr="000C71FB">
        <w:rPr>
          <w:color w:val="231F20"/>
          <w:spacing w:val="-3"/>
          <w:sz w:val="18"/>
          <w:szCs w:val="18"/>
        </w:rPr>
        <w:t xml:space="preserve"> </w:t>
      </w:r>
      <w:r w:rsidRPr="000C71FB">
        <w:rPr>
          <w:color w:val="231F20"/>
          <w:sz w:val="18"/>
          <w:szCs w:val="18"/>
        </w:rPr>
        <w:t>this</w:t>
      </w:r>
      <w:r w:rsidRPr="000C71FB">
        <w:rPr>
          <w:color w:val="231F20"/>
          <w:spacing w:val="-3"/>
          <w:sz w:val="18"/>
          <w:szCs w:val="18"/>
        </w:rPr>
        <w:t xml:space="preserve"> </w:t>
      </w:r>
      <w:r w:rsidRPr="000C71FB">
        <w:rPr>
          <w:color w:val="231F20"/>
          <w:sz w:val="18"/>
          <w:szCs w:val="18"/>
        </w:rPr>
        <w:t>amount</w:t>
      </w:r>
      <w:r w:rsidRPr="000C71FB">
        <w:rPr>
          <w:color w:val="231F20"/>
          <w:spacing w:val="-3"/>
          <w:sz w:val="18"/>
          <w:szCs w:val="18"/>
        </w:rPr>
        <w:t xml:space="preserve"> </w:t>
      </w:r>
      <w:r w:rsidRPr="000C71FB">
        <w:rPr>
          <w:color w:val="231F20"/>
          <w:sz w:val="18"/>
          <w:szCs w:val="18"/>
        </w:rPr>
        <w:t>is</w:t>
      </w:r>
      <w:r w:rsidRPr="000C71FB">
        <w:rPr>
          <w:color w:val="231F20"/>
          <w:spacing w:val="-3"/>
          <w:sz w:val="18"/>
          <w:szCs w:val="18"/>
        </w:rPr>
        <w:t xml:space="preserve"> </w:t>
      </w:r>
      <w:r w:rsidRPr="000C71FB">
        <w:rPr>
          <w:color w:val="231F20"/>
          <w:sz w:val="18"/>
          <w:szCs w:val="18"/>
        </w:rPr>
        <w:t>a</w:t>
      </w:r>
      <w:r w:rsidRPr="000C71FB">
        <w:rPr>
          <w:color w:val="231F20"/>
          <w:spacing w:val="-3"/>
          <w:sz w:val="18"/>
          <w:szCs w:val="18"/>
        </w:rPr>
        <w:t xml:space="preserve"> </w:t>
      </w:r>
      <w:r w:rsidRPr="000C71FB">
        <w:rPr>
          <w:color w:val="231F20"/>
          <w:sz w:val="18"/>
          <w:szCs w:val="18"/>
        </w:rPr>
        <w:t>balance</w:t>
      </w:r>
      <w:r w:rsidRPr="000C71FB">
        <w:rPr>
          <w:color w:val="231F20"/>
          <w:spacing w:val="-3"/>
          <w:sz w:val="18"/>
          <w:szCs w:val="18"/>
        </w:rPr>
        <w:t xml:space="preserve"> </w:t>
      </w:r>
      <w:r w:rsidRPr="000C71FB">
        <w:rPr>
          <w:color w:val="231F20"/>
          <w:sz w:val="18"/>
          <w:szCs w:val="18"/>
        </w:rPr>
        <w:t>of</w:t>
      </w:r>
      <w:r w:rsidRPr="000C71FB">
        <w:rPr>
          <w:color w:val="231F20"/>
          <w:spacing w:val="-3"/>
          <w:sz w:val="18"/>
          <w:szCs w:val="18"/>
        </w:rPr>
        <w:t xml:space="preserve"> </w:t>
      </w:r>
      <w:r w:rsidRPr="000C71FB">
        <w:rPr>
          <w:color w:val="231F20"/>
          <w:sz w:val="18"/>
          <w:szCs w:val="18"/>
        </w:rPr>
        <w:t>$68.1</w:t>
      </w:r>
      <w:r w:rsidRPr="000C71FB">
        <w:rPr>
          <w:color w:val="231F20"/>
          <w:spacing w:val="-3"/>
          <w:sz w:val="18"/>
          <w:szCs w:val="18"/>
        </w:rPr>
        <w:t xml:space="preserve"> </w:t>
      </w:r>
      <w:r w:rsidRPr="000C71FB">
        <w:rPr>
          <w:color w:val="231F20"/>
          <w:sz w:val="18"/>
          <w:szCs w:val="18"/>
        </w:rPr>
        <w:t>million</w:t>
      </w:r>
      <w:r w:rsidRPr="000C71FB">
        <w:rPr>
          <w:color w:val="231F20"/>
          <w:spacing w:val="-3"/>
          <w:sz w:val="18"/>
          <w:szCs w:val="18"/>
        </w:rPr>
        <w:t xml:space="preserve"> </w:t>
      </w:r>
      <w:r w:rsidRPr="000C71FB">
        <w:rPr>
          <w:color w:val="231F20"/>
          <w:sz w:val="18"/>
          <w:szCs w:val="18"/>
        </w:rPr>
        <w:t>arising</w:t>
      </w:r>
      <w:r w:rsidRPr="000C71FB">
        <w:rPr>
          <w:color w:val="231F20"/>
          <w:spacing w:val="-3"/>
          <w:sz w:val="18"/>
          <w:szCs w:val="18"/>
        </w:rPr>
        <w:t xml:space="preserve"> </w:t>
      </w:r>
      <w:r w:rsidRPr="000C71FB">
        <w:rPr>
          <w:color w:val="231F20"/>
          <w:sz w:val="18"/>
          <w:szCs w:val="18"/>
        </w:rPr>
        <w:t>from</w:t>
      </w:r>
      <w:r w:rsidRPr="000C71FB">
        <w:rPr>
          <w:color w:val="231F20"/>
          <w:spacing w:val="-3"/>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movement</w:t>
      </w:r>
      <w:r w:rsidRPr="000C71FB">
        <w:rPr>
          <w:color w:val="231F20"/>
          <w:spacing w:val="-3"/>
          <w:sz w:val="18"/>
          <w:szCs w:val="18"/>
        </w:rPr>
        <w:t xml:space="preserve"> </w:t>
      </w:r>
      <w:r w:rsidRPr="000C71FB">
        <w:rPr>
          <w:color w:val="231F20"/>
          <w:sz w:val="18"/>
          <w:szCs w:val="18"/>
        </w:rPr>
        <w:t>in</w:t>
      </w:r>
      <w:r w:rsidRPr="000C71FB">
        <w:rPr>
          <w:color w:val="231F20"/>
          <w:spacing w:val="-3"/>
          <w:sz w:val="18"/>
          <w:szCs w:val="18"/>
        </w:rPr>
        <w:t xml:space="preserve"> </w:t>
      </w:r>
      <w:r w:rsidRPr="000C71FB">
        <w:rPr>
          <w:color w:val="231F20"/>
          <w:sz w:val="18"/>
          <w:szCs w:val="18"/>
        </w:rPr>
        <w:t>the</w:t>
      </w:r>
      <w:r w:rsidRPr="000C71FB">
        <w:rPr>
          <w:color w:val="231F20"/>
          <w:spacing w:val="-3"/>
          <w:sz w:val="18"/>
          <w:szCs w:val="18"/>
        </w:rPr>
        <w:t xml:space="preserve"> </w:t>
      </w:r>
      <w:r w:rsidRPr="000C71FB">
        <w:rPr>
          <w:color w:val="231F20"/>
          <w:sz w:val="18"/>
          <w:szCs w:val="18"/>
        </w:rPr>
        <w:t>discount</w:t>
      </w:r>
      <w:r w:rsidRPr="000C71FB">
        <w:rPr>
          <w:color w:val="231F20"/>
          <w:spacing w:val="-3"/>
          <w:sz w:val="18"/>
          <w:szCs w:val="18"/>
        </w:rPr>
        <w:t xml:space="preserve"> </w:t>
      </w:r>
      <w:r w:rsidRPr="000C71FB">
        <w:rPr>
          <w:color w:val="231F20"/>
          <w:sz w:val="18"/>
          <w:szCs w:val="18"/>
        </w:rPr>
        <w:t>rate</w:t>
      </w:r>
      <w:r w:rsidRPr="000C71FB">
        <w:rPr>
          <w:color w:val="231F20"/>
          <w:spacing w:val="-3"/>
          <w:sz w:val="18"/>
          <w:szCs w:val="18"/>
        </w:rPr>
        <w:t xml:space="preserve"> </w:t>
      </w:r>
      <w:r w:rsidRPr="000C71FB">
        <w:rPr>
          <w:color w:val="231F20"/>
          <w:sz w:val="18"/>
          <w:szCs w:val="18"/>
        </w:rPr>
        <w:t>used</w:t>
      </w:r>
      <w:r w:rsidRPr="000C71FB">
        <w:rPr>
          <w:color w:val="231F20"/>
          <w:spacing w:val="-3"/>
          <w:sz w:val="18"/>
          <w:szCs w:val="18"/>
        </w:rPr>
        <w:t xml:space="preserve"> </w:t>
      </w:r>
      <w:r w:rsidRPr="000C71FB">
        <w:rPr>
          <w:color w:val="231F20"/>
          <w:sz w:val="18"/>
          <w:szCs w:val="18"/>
        </w:rPr>
        <w:t>in</w:t>
      </w:r>
      <w:r w:rsidRPr="000C71FB">
        <w:rPr>
          <w:color w:val="231F20"/>
          <w:spacing w:val="-3"/>
          <w:sz w:val="18"/>
          <w:szCs w:val="18"/>
        </w:rPr>
        <w:t xml:space="preserve"> </w:t>
      </w:r>
      <w:r w:rsidRPr="000C71FB">
        <w:rPr>
          <w:color w:val="231F20"/>
          <w:sz w:val="18"/>
          <w:szCs w:val="18"/>
        </w:rPr>
        <w:t>the</w:t>
      </w:r>
      <w:r w:rsidRPr="000C71FB">
        <w:rPr>
          <w:color w:val="231F20"/>
          <w:spacing w:val="-3"/>
          <w:sz w:val="18"/>
          <w:szCs w:val="18"/>
        </w:rPr>
        <w:t xml:space="preserve"> </w:t>
      </w:r>
      <w:r w:rsidRPr="000C71FB">
        <w:rPr>
          <w:color w:val="231F20"/>
          <w:sz w:val="18"/>
          <w:szCs w:val="18"/>
        </w:rPr>
        <w:t>revaluation</w:t>
      </w:r>
      <w:r w:rsidRPr="000C71FB">
        <w:rPr>
          <w:color w:val="231F20"/>
          <w:spacing w:val="-3"/>
          <w:sz w:val="18"/>
          <w:szCs w:val="18"/>
        </w:rPr>
        <w:t xml:space="preserve"> </w:t>
      </w:r>
      <w:r w:rsidRPr="000C71FB">
        <w:rPr>
          <w:color w:val="231F20"/>
          <w:sz w:val="18"/>
          <w:szCs w:val="18"/>
        </w:rPr>
        <w:t>of</w:t>
      </w:r>
      <w:r w:rsidRPr="000C71FB">
        <w:rPr>
          <w:color w:val="231F20"/>
          <w:spacing w:val="-3"/>
          <w:sz w:val="18"/>
          <w:szCs w:val="18"/>
        </w:rPr>
        <w:t xml:space="preserve"> </w:t>
      </w:r>
      <w:r w:rsidRPr="000C71FB">
        <w:rPr>
          <w:color w:val="231F20"/>
          <w:sz w:val="18"/>
          <w:szCs w:val="18"/>
        </w:rPr>
        <w:t>the</w:t>
      </w:r>
      <w:r w:rsidRPr="000C71FB">
        <w:rPr>
          <w:color w:val="231F20"/>
          <w:spacing w:val="-3"/>
          <w:sz w:val="18"/>
          <w:szCs w:val="18"/>
        </w:rPr>
        <w:t xml:space="preserve"> </w:t>
      </w:r>
      <w:r w:rsidRPr="000C71FB">
        <w:rPr>
          <w:color w:val="231F20"/>
          <w:sz w:val="18"/>
          <w:szCs w:val="18"/>
        </w:rPr>
        <w:t>long</w:t>
      </w:r>
      <w:r w:rsidRPr="000C71FB">
        <w:rPr>
          <w:color w:val="231F20"/>
          <w:spacing w:val="-3"/>
          <w:sz w:val="18"/>
          <w:szCs w:val="18"/>
        </w:rPr>
        <w:t xml:space="preserve"> </w:t>
      </w:r>
      <w:r w:rsidRPr="000C71FB">
        <w:rPr>
          <w:color w:val="231F20"/>
          <w:sz w:val="18"/>
          <w:szCs w:val="18"/>
        </w:rPr>
        <w:t>service</w:t>
      </w:r>
      <w:r w:rsidRPr="000C71FB">
        <w:rPr>
          <w:color w:val="231F20"/>
          <w:spacing w:val="-3"/>
          <w:sz w:val="18"/>
          <w:szCs w:val="18"/>
        </w:rPr>
        <w:t xml:space="preserve"> </w:t>
      </w:r>
      <w:r w:rsidRPr="000C71FB">
        <w:rPr>
          <w:color w:val="231F20"/>
          <w:sz w:val="18"/>
          <w:szCs w:val="18"/>
        </w:rPr>
        <w:t>leave</w:t>
      </w:r>
      <w:r w:rsidRPr="000C71FB">
        <w:rPr>
          <w:color w:val="231F20"/>
          <w:spacing w:val="-2"/>
          <w:sz w:val="18"/>
          <w:szCs w:val="18"/>
        </w:rPr>
        <w:t xml:space="preserve"> liability.</w:t>
      </w:r>
    </w:p>
    <w:p w14:paraId="4C636B4D" w14:textId="77777777" w:rsidR="00345EE3" w:rsidRDefault="00345EE3" w:rsidP="00345EE3">
      <w:pPr>
        <w:pStyle w:val="BodyText"/>
        <w:spacing w:before="4"/>
        <w:rPr>
          <w:sz w:val="20"/>
        </w:rPr>
      </w:pPr>
    </w:p>
    <w:p w14:paraId="1D183BD9" w14:textId="77777777" w:rsidR="00345EE3" w:rsidRDefault="00345EE3" w:rsidP="002A27BA">
      <w:pPr>
        <w:pStyle w:val="Heading3"/>
        <w:numPr>
          <w:ilvl w:val="1"/>
          <w:numId w:val="24"/>
        </w:numPr>
      </w:pPr>
      <w:r>
        <w:t>Trust</w:t>
      </w:r>
      <w:r>
        <w:rPr>
          <w:spacing w:val="-15"/>
        </w:rPr>
        <w:t xml:space="preserve"> </w:t>
      </w:r>
      <w:r>
        <w:t>Account</w:t>
      </w:r>
      <w:r>
        <w:rPr>
          <w:spacing w:val="-14"/>
        </w:rPr>
        <w:t xml:space="preserve"> </w:t>
      </w:r>
      <w:r>
        <w:rPr>
          <w:spacing w:val="-2"/>
        </w:rPr>
        <w:t>Balances</w:t>
      </w:r>
    </w:p>
    <w:p w14:paraId="45BCA343" w14:textId="77777777" w:rsidR="00345EE3" w:rsidRDefault="00345EE3" w:rsidP="00345EE3">
      <w:pPr>
        <w:pStyle w:val="BodyText"/>
        <w:spacing w:before="52" w:line="242" w:lineRule="auto"/>
        <w:ind w:right="187"/>
      </w:pPr>
      <w:r>
        <w:rPr>
          <w:color w:val="231F20"/>
        </w:rPr>
        <w:t>Victoria Police has responsibility for the transactions and balances relating to trust funds on behalf of third parties external to the Victorian Government. Funds managed on behalf of third parties</w:t>
      </w:r>
      <w:r>
        <w:rPr>
          <w:color w:val="231F20"/>
          <w:spacing w:val="-6"/>
        </w:rPr>
        <w:t xml:space="preserve"> </w:t>
      </w:r>
      <w:r>
        <w:rPr>
          <w:color w:val="231F20"/>
        </w:rPr>
        <w:t>are</w:t>
      </w:r>
      <w:r>
        <w:rPr>
          <w:color w:val="231F20"/>
          <w:spacing w:val="-7"/>
        </w:rPr>
        <w:t xml:space="preserve"> </w:t>
      </w:r>
      <w:r>
        <w:rPr>
          <w:color w:val="231F20"/>
        </w:rPr>
        <w:t>not</w:t>
      </w:r>
      <w:r>
        <w:rPr>
          <w:color w:val="231F20"/>
          <w:spacing w:val="-6"/>
        </w:rPr>
        <w:t xml:space="preserve"> </w:t>
      </w:r>
      <w:r>
        <w:rPr>
          <w:color w:val="231F20"/>
        </w:rPr>
        <w:t>recognised</w:t>
      </w:r>
      <w:r>
        <w:rPr>
          <w:color w:val="231F20"/>
          <w:spacing w:val="-7"/>
        </w:rPr>
        <w:t xml:space="preserve"> </w:t>
      </w:r>
      <w:r>
        <w:rPr>
          <w:color w:val="231F20"/>
        </w:rPr>
        <w:t>in</w:t>
      </w:r>
      <w:r>
        <w:rPr>
          <w:color w:val="231F20"/>
          <w:spacing w:val="-7"/>
        </w:rPr>
        <w:t xml:space="preserve"> </w:t>
      </w:r>
      <w:r>
        <w:rPr>
          <w:color w:val="231F20"/>
        </w:rPr>
        <w:t>these</w:t>
      </w:r>
      <w:r>
        <w:rPr>
          <w:color w:val="231F20"/>
          <w:spacing w:val="-7"/>
        </w:rPr>
        <w:t xml:space="preserve"> </w:t>
      </w:r>
      <w:r>
        <w:rPr>
          <w:color w:val="231F20"/>
        </w:rPr>
        <w:t>financial</w:t>
      </w:r>
      <w:r>
        <w:rPr>
          <w:color w:val="231F20"/>
          <w:spacing w:val="-7"/>
        </w:rPr>
        <w:t xml:space="preserve"> </w:t>
      </w:r>
      <w:r>
        <w:rPr>
          <w:color w:val="231F20"/>
        </w:rPr>
        <w:t>statements</w:t>
      </w:r>
      <w:r>
        <w:rPr>
          <w:color w:val="231F20"/>
          <w:spacing w:val="-6"/>
        </w:rPr>
        <w:t xml:space="preserve"> </w:t>
      </w:r>
      <w:r>
        <w:rPr>
          <w:color w:val="231F20"/>
        </w:rPr>
        <w:t>as</w:t>
      </w:r>
      <w:r>
        <w:rPr>
          <w:color w:val="231F20"/>
          <w:spacing w:val="-6"/>
        </w:rPr>
        <w:t xml:space="preserve"> </w:t>
      </w:r>
      <w:r>
        <w:rPr>
          <w:color w:val="231F20"/>
        </w:rPr>
        <w:t>they</w:t>
      </w:r>
      <w:r>
        <w:rPr>
          <w:color w:val="231F20"/>
          <w:spacing w:val="-6"/>
        </w:rPr>
        <w:t xml:space="preserve"> </w:t>
      </w:r>
      <w:r>
        <w:rPr>
          <w:color w:val="231F20"/>
        </w:rPr>
        <w:t>are</w:t>
      </w:r>
      <w:r>
        <w:rPr>
          <w:color w:val="231F20"/>
          <w:spacing w:val="-7"/>
        </w:rPr>
        <w:t xml:space="preserve"> </w:t>
      </w:r>
      <w:r>
        <w:rPr>
          <w:color w:val="231F20"/>
        </w:rPr>
        <w:t>managed</w:t>
      </w:r>
      <w:r>
        <w:rPr>
          <w:color w:val="231F20"/>
          <w:spacing w:val="-7"/>
        </w:rPr>
        <w:t xml:space="preserve"> </w:t>
      </w:r>
      <w:r>
        <w:rPr>
          <w:color w:val="231F20"/>
        </w:rPr>
        <w:t>on</w:t>
      </w:r>
      <w:r>
        <w:rPr>
          <w:color w:val="231F20"/>
          <w:spacing w:val="-7"/>
        </w:rPr>
        <w:t xml:space="preserve"> </w:t>
      </w:r>
      <w:r>
        <w:rPr>
          <w:color w:val="231F20"/>
        </w:rPr>
        <w:t>a</w:t>
      </w:r>
      <w:r>
        <w:rPr>
          <w:color w:val="231F20"/>
          <w:spacing w:val="-7"/>
        </w:rPr>
        <w:t xml:space="preserve"> </w:t>
      </w:r>
      <w:r>
        <w:rPr>
          <w:color w:val="231F20"/>
        </w:rPr>
        <w:t>fiduciary</w:t>
      </w:r>
      <w:r>
        <w:rPr>
          <w:color w:val="231F20"/>
          <w:spacing w:val="-6"/>
        </w:rPr>
        <w:t xml:space="preserve"> </w:t>
      </w:r>
      <w:r>
        <w:rPr>
          <w:color w:val="231F20"/>
        </w:rPr>
        <w:t>and custodial basis, and therefore are not controlled by Victoria Police.</w:t>
      </w:r>
    </w:p>
    <w:p w14:paraId="70D01A5A" w14:textId="77777777" w:rsidR="00345EE3" w:rsidRDefault="00345EE3" w:rsidP="00345EE3">
      <w:pPr>
        <w:spacing w:line="242" w:lineRule="auto"/>
        <w:sectPr w:rsidR="00345EE3">
          <w:pgSz w:w="11910" w:h="16840"/>
          <w:pgMar w:top="720" w:right="740" w:bottom="280" w:left="740" w:header="720" w:footer="720" w:gutter="0"/>
          <w:cols w:space="720"/>
        </w:sectPr>
      </w:pPr>
    </w:p>
    <w:p w14:paraId="7A8FE6CD" w14:textId="77777777" w:rsidR="00345EE3" w:rsidRDefault="00345EE3" w:rsidP="00345EE3">
      <w:pPr>
        <w:pStyle w:val="BodyText"/>
        <w:spacing w:before="74"/>
      </w:pPr>
      <w:r>
        <w:rPr>
          <w:color w:val="231F20"/>
        </w:rPr>
        <w:t>Any</w:t>
      </w:r>
      <w:r>
        <w:rPr>
          <w:color w:val="231F20"/>
          <w:spacing w:val="-8"/>
        </w:rPr>
        <w:t xml:space="preserve"> </w:t>
      </w:r>
      <w:r>
        <w:rPr>
          <w:color w:val="231F20"/>
        </w:rPr>
        <w:t>earnings</w:t>
      </w:r>
      <w:r>
        <w:rPr>
          <w:color w:val="231F20"/>
          <w:spacing w:val="-7"/>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funds</w:t>
      </w:r>
      <w:r>
        <w:rPr>
          <w:color w:val="231F20"/>
          <w:spacing w:val="-7"/>
        </w:rPr>
        <w:t xml:space="preserve"> </w:t>
      </w:r>
      <w:r>
        <w:rPr>
          <w:color w:val="231F20"/>
        </w:rPr>
        <w:t>held</w:t>
      </w:r>
      <w:r>
        <w:rPr>
          <w:color w:val="231F20"/>
          <w:spacing w:val="-8"/>
        </w:rPr>
        <w:t xml:space="preserve"> </w:t>
      </w:r>
      <w:r>
        <w:rPr>
          <w:color w:val="231F20"/>
        </w:rPr>
        <w:t>pending</w:t>
      </w:r>
      <w:r>
        <w:rPr>
          <w:color w:val="231F20"/>
          <w:spacing w:val="-8"/>
        </w:rPr>
        <w:t xml:space="preserve"> </w:t>
      </w:r>
      <w:r>
        <w:rPr>
          <w:color w:val="231F20"/>
        </w:rPr>
        <w:t>distribution</w:t>
      </w:r>
      <w:r>
        <w:rPr>
          <w:color w:val="231F20"/>
          <w:spacing w:val="-8"/>
        </w:rPr>
        <w:t xml:space="preserve"> </w:t>
      </w:r>
      <w:r>
        <w:rPr>
          <w:color w:val="231F20"/>
        </w:rPr>
        <w:t>are</w:t>
      </w:r>
      <w:r>
        <w:rPr>
          <w:color w:val="231F20"/>
          <w:spacing w:val="-8"/>
        </w:rPr>
        <w:t xml:space="preserve"> </w:t>
      </w:r>
      <w:r>
        <w:rPr>
          <w:color w:val="231F20"/>
        </w:rPr>
        <w:t>also</w:t>
      </w:r>
      <w:r>
        <w:rPr>
          <w:color w:val="231F20"/>
          <w:spacing w:val="-8"/>
        </w:rPr>
        <w:t xml:space="preserve"> </w:t>
      </w:r>
      <w:r>
        <w:rPr>
          <w:color w:val="231F20"/>
        </w:rPr>
        <w:t>applied</w:t>
      </w:r>
      <w:r>
        <w:rPr>
          <w:color w:val="231F20"/>
          <w:spacing w:val="-9"/>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trust</w:t>
      </w:r>
      <w:r>
        <w:rPr>
          <w:color w:val="231F20"/>
          <w:spacing w:val="-7"/>
        </w:rPr>
        <w:t xml:space="preserve"> </w:t>
      </w:r>
      <w:r>
        <w:rPr>
          <w:color w:val="231F20"/>
        </w:rPr>
        <w:t>funds</w:t>
      </w:r>
      <w:r>
        <w:rPr>
          <w:color w:val="231F20"/>
          <w:spacing w:val="-7"/>
        </w:rPr>
        <w:t xml:space="preserve"> </w:t>
      </w:r>
      <w:r>
        <w:rPr>
          <w:color w:val="231F20"/>
        </w:rPr>
        <w:t>under</w:t>
      </w:r>
      <w:r>
        <w:rPr>
          <w:color w:val="231F20"/>
          <w:spacing w:val="-7"/>
        </w:rPr>
        <w:t xml:space="preserve"> </w:t>
      </w:r>
      <w:r>
        <w:rPr>
          <w:color w:val="231F20"/>
        </w:rPr>
        <w:t>management</w:t>
      </w:r>
      <w:r>
        <w:rPr>
          <w:color w:val="231F20"/>
          <w:spacing w:val="-7"/>
        </w:rPr>
        <w:t xml:space="preserve"> </w:t>
      </w:r>
      <w:r>
        <w:rPr>
          <w:color w:val="231F20"/>
        </w:rPr>
        <w:t>as</w:t>
      </w:r>
      <w:r>
        <w:rPr>
          <w:color w:val="231F20"/>
          <w:spacing w:val="-7"/>
        </w:rPr>
        <w:t xml:space="preserve"> </w:t>
      </w:r>
      <w:r>
        <w:rPr>
          <w:color w:val="231F20"/>
          <w:spacing w:val="-2"/>
        </w:rPr>
        <w:t>appropriate.</w:t>
      </w:r>
    </w:p>
    <w:p w14:paraId="7D964D44" w14:textId="77777777" w:rsidR="00345EE3" w:rsidRDefault="00345EE3" w:rsidP="00345EE3">
      <w:pPr>
        <w:pStyle w:val="Heading5"/>
        <w:spacing w:before="206" w:after="58"/>
      </w:pPr>
      <w:r>
        <w:rPr>
          <w:color w:val="231F20"/>
        </w:rPr>
        <w:t>Trust</w:t>
      </w:r>
      <w:r>
        <w:rPr>
          <w:color w:val="231F20"/>
          <w:spacing w:val="-7"/>
        </w:rPr>
        <w:t xml:space="preserve"> </w:t>
      </w:r>
      <w:r>
        <w:rPr>
          <w:color w:val="231F20"/>
        </w:rPr>
        <w:t>Account</w:t>
      </w:r>
      <w:r>
        <w:rPr>
          <w:color w:val="231F20"/>
          <w:spacing w:val="-6"/>
        </w:rPr>
        <w:t xml:space="preserve"> </w:t>
      </w:r>
      <w:r>
        <w:rPr>
          <w:color w:val="231F20"/>
        </w:rPr>
        <w:t>Balances</w:t>
      </w:r>
      <w:r>
        <w:rPr>
          <w:color w:val="231F20"/>
          <w:spacing w:val="-8"/>
        </w:rPr>
        <w:t xml:space="preserve"> </w:t>
      </w:r>
      <w:r>
        <w:rPr>
          <w:color w:val="231F20"/>
        </w:rPr>
        <w:t>Relating</w:t>
      </w:r>
      <w:r>
        <w:rPr>
          <w:color w:val="231F20"/>
          <w:spacing w:val="-6"/>
        </w:rPr>
        <w:t xml:space="preserve"> </w:t>
      </w:r>
      <w:r>
        <w:rPr>
          <w:color w:val="231F20"/>
        </w:rPr>
        <w:t>to</w:t>
      </w:r>
      <w:r>
        <w:rPr>
          <w:color w:val="231F20"/>
          <w:spacing w:val="-7"/>
        </w:rPr>
        <w:t xml:space="preserve"> </w:t>
      </w:r>
      <w:r>
        <w:rPr>
          <w:color w:val="231F20"/>
        </w:rPr>
        <w:t>Trust</w:t>
      </w:r>
      <w:r>
        <w:rPr>
          <w:color w:val="231F20"/>
          <w:spacing w:val="-6"/>
        </w:rPr>
        <w:t xml:space="preserve"> </w:t>
      </w:r>
      <w:r>
        <w:rPr>
          <w:color w:val="231F20"/>
        </w:rPr>
        <w:t>Accounts</w:t>
      </w:r>
      <w:r>
        <w:rPr>
          <w:color w:val="231F20"/>
          <w:spacing w:val="-7"/>
        </w:rPr>
        <w:t xml:space="preserve"> </w:t>
      </w:r>
      <w:r>
        <w:rPr>
          <w:color w:val="231F20"/>
        </w:rPr>
        <w:t>Controlled</w:t>
      </w:r>
      <w:r>
        <w:rPr>
          <w:color w:val="231F20"/>
          <w:spacing w:val="-7"/>
        </w:rPr>
        <w:t xml:space="preserve"> </w:t>
      </w:r>
      <w:r>
        <w:rPr>
          <w:color w:val="231F20"/>
        </w:rPr>
        <w:t>and/or</w:t>
      </w:r>
      <w:r>
        <w:rPr>
          <w:color w:val="231F20"/>
          <w:spacing w:val="-7"/>
        </w:rPr>
        <w:t xml:space="preserve"> </w:t>
      </w:r>
      <w:r>
        <w:rPr>
          <w:color w:val="231F20"/>
        </w:rPr>
        <w:t>Administered</w:t>
      </w:r>
      <w:r>
        <w:rPr>
          <w:color w:val="231F20"/>
          <w:spacing w:val="-7"/>
        </w:rPr>
        <w:t xml:space="preserve"> </w:t>
      </w:r>
      <w:r>
        <w:rPr>
          <w:color w:val="231F20"/>
        </w:rPr>
        <w:t>by</w:t>
      </w:r>
      <w:r>
        <w:rPr>
          <w:color w:val="231F20"/>
          <w:spacing w:val="-7"/>
        </w:rPr>
        <w:t xml:space="preserve"> </w:t>
      </w:r>
      <w:r>
        <w:rPr>
          <w:color w:val="231F20"/>
        </w:rPr>
        <w:t>Victoria</w:t>
      </w:r>
      <w:r>
        <w:rPr>
          <w:color w:val="231F20"/>
          <w:spacing w:val="-7"/>
        </w:rPr>
        <w:t xml:space="preserve"> </w:t>
      </w:r>
      <w:r>
        <w:rPr>
          <w:color w:val="231F20"/>
          <w:spacing w:val="-2"/>
        </w:rPr>
        <w:t>Police</w:t>
      </w: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24"/>
        <w:gridCol w:w="5216"/>
        <w:gridCol w:w="1134"/>
        <w:gridCol w:w="1134"/>
        <w:gridCol w:w="1247"/>
        <w:gridCol w:w="1134"/>
        <w:gridCol w:w="1134"/>
        <w:gridCol w:w="1134"/>
        <w:gridCol w:w="1247"/>
        <w:gridCol w:w="1134"/>
      </w:tblGrid>
      <w:tr w:rsidR="00345EE3" w14:paraId="674A0A07" w14:textId="77777777" w:rsidTr="00D73130">
        <w:trPr>
          <w:trHeight w:val="405"/>
        </w:trPr>
        <w:tc>
          <w:tcPr>
            <w:tcW w:w="15138" w:type="dxa"/>
            <w:gridSpan w:val="10"/>
            <w:tcBorders>
              <w:top w:val="nil"/>
              <w:left w:val="nil"/>
              <w:bottom w:val="nil"/>
              <w:right w:val="nil"/>
            </w:tcBorders>
            <w:shd w:val="clear" w:color="auto" w:fill="00529F"/>
          </w:tcPr>
          <w:p w14:paraId="0A1F2138" w14:textId="77777777" w:rsidR="00345EE3" w:rsidRDefault="00345EE3" w:rsidP="00D73130">
            <w:pPr>
              <w:pStyle w:val="TableParagraph"/>
              <w:spacing w:before="63"/>
              <w:ind w:right="1"/>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328A2AC2" w14:textId="77777777" w:rsidTr="00D73130">
        <w:trPr>
          <w:trHeight w:val="401"/>
        </w:trPr>
        <w:tc>
          <w:tcPr>
            <w:tcW w:w="624" w:type="dxa"/>
            <w:tcBorders>
              <w:top w:val="nil"/>
              <w:left w:val="nil"/>
              <w:bottom w:val="nil"/>
              <w:right w:val="nil"/>
            </w:tcBorders>
            <w:shd w:val="clear" w:color="auto" w:fill="00529F"/>
          </w:tcPr>
          <w:p w14:paraId="1E6FA096" w14:textId="77777777" w:rsidR="00345EE3" w:rsidRDefault="00345EE3" w:rsidP="00D73130">
            <w:pPr>
              <w:pStyle w:val="TableParagraph"/>
              <w:spacing w:before="0"/>
              <w:jc w:val="left"/>
              <w:rPr>
                <w:rFonts w:ascii="Times New Roman"/>
              </w:rPr>
            </w:pPr>
          </w:p>
        </w:tc>
        <w:tc>
          <w:tcPr>
            <w:tcW w:w="5216" w:type="dxa"/>
            <w:tcBorders>
              <w:top w:val="nil"/>
              <w:left w:val="nil"/>
              <w:bottom w:val="nil"/>
              <w:right w:val="nil"/>
            </w:tcBorders>
            <w:shd w:val="clear" w:color="auto" w:fill="00529F"/>
          </w:tcPr>
          <w:p w14:paraId="3B705F80"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610C9680" w14:textId="77777777" w:rsidR="00345EE3" w:rsidRDefault="00345EE3" w:rsidP="00D73130">
            <w:pPr>
              <w:pStyle w:val="TableParagraph"/>
              <w:spacing w:before="0"/>
              <w:jc w:val="left"/>
              <w:rPr>
                <w:rFonts w:ascii="Times New Roman"/>
              </w:rPr>
            </w:pPr>
          </w:p>
        </w:tc>
        <w:tc>
          <w:tcPr>
            <w:tcW w:w="2381" w:type="dxa"/>
            <w:gridSpan w:val="2"/>
            <w:tcBorders>
              <w:top w:val="nil"/>
              <w:left w:val="nil"/>
              <w:bottom w:val="nil"/>
              <w:right w:val="nil"/>
            </w:tcBorders>
            <w:shd w:val="clear" w:color="auto" w:fill="00529F"/>
          </w:tcPr>
          <w:p w14:paraId="3AF6A702" w14:textId="77777777" w:rsidR="00345EE3" w:rsidRDefault="00345EE3" w:rsidP="00D73130">
            <w:pPr>
              <w:pStyle w:val="TableParagraph"/>
              <w:spacing w:before="59"/>
              <w:ind w:left="909" w:right="910"/>
              <w:jc w:val="center"/>
              <w:rPr>
                <w:b/>
                <w:sz w:val="24"/>
              </w:rPr>
            </w:pPr>
            <w:r>
              <w:rPr>
                <w:b/>
                <w:color w:val="FFFFFF"/>
                <w:spacing w:val="-4"/>
                <w:sz w:val="24"/>
              </w:rPr>
              <w:t>2022</w:t>
            </w:r>
          </w:p>
        </w:tc>
        <w:tc>
          <w:tcPr>
            <w:tcW w:w="1134" w:type="dxa"/>
            <w:tcBorders>
              <w:top w:val="nil"/>
              <w:left w:val="nil"/>
              <w:bottom w:val="nil"/>
              <w:right w:val="nil"/>
            </w:tcBorders>
            <w:shd w:val="clear" w:color="auto" w:fill="00529F"/>
          </w:tcPr>
          <w:p w14:paraId="2371D0E5"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60679A83" w14:textId="77777777" w:rsidR="00345EE3" w:rsidRDefault="00345EE3" w:rsidP="00D73130">
            <w:pPr>
              <w:pStyle w:val="TableParagraph"/>
              <w:spacing w:before="0"/>
              <w:jc w:val="left"/>
              <w:rPr>
                <w:rFonts w:ascii="Times New Roman"/>
              </w:rPr>
            </w:pPr>
          </w:p>
        </w:tc>
        <w:tc>
          <w:tcPr>
            <w:tcW w:w="2381" w:type="dxa"/>
            <w:gridSpan w:val="2"/>
            <w:tcBorders>
              <w:top w:val="nil"/>
              <w:left w:val="nil"/>
              <w:bottom w:val="nil"/>
              <w:right w:val="nil"/>
            </w:tcBorders>
            <w:shd w:val="clear" w:color="auto" w:fill="00529F"/>
          </w:tcPr>
          <w:p w14:paraId="019F6BB6" w14:textId="77777777" w:rsidR="00345EE3" w:rsidRDefault="00345EE3" w:rsidP="00D73130">
            <w:pPr>
              <w:pStyle w:val="TableParagraph"/>
              <w:spacing w:before="59"/>
              <w:ind w:left="907" w:right="912"/>
              <w:jc w:val="center"/>
              <w:rPr>
                <w:b/>
                <w:sz w:val="24"/>
              </w:rPr>
            </w:pPr>
            <w:r>
              <w:rPr>
                <w:b/>
                <w:color w:val="FFFFFF"/>
                <w:spacing w:val="-4"/>
                <w:sz w:val="24"/>
              </w:rPr>
              <w:t>2021</w:t>
            </w:r>
          </w:p>
        </w:tc>
        <w:tc>
          <w:tcPr>
            <w:tcW w:w="1134" w:type="dxa"/>
            <w:tcBorders>
              <w:top w:val="nil"/>
              <w:left w:val="nil"/>
              <w:bottom w:val="nil"/>
              <w:right w:val="nil"/>
            </w:tcBorders>
            <w:shd w:val="clear" w:color="auto" w:fill="00529F"/>
          </w:tcPr>
          <w:p w14:paraId="5BF3C99B" w14:textId="77777777" w:rsidR="00345EE3" w:rsidRDefault="00345EE3" w:rsidP="00D73130">
            <w:pPr>
              <w:pStyle w:val="TableParagraph"/>
              <w:spacing w:before="0"/>
              <w:jc w:val="left"/>
              <w:rPr>
                <w:rFonts w:ascii="Times New Roman"/>
              </w:rPr>
            </w:pPr>
          </w:p>
        </w:tc>
      </w:tr>
      <w:tr w:rsidR="00345EE3" w14:paraId="698CAD6A" w14:textId="77777777" w:rsidTr="00D73130">
        <w:trPr>
          <w:trHeight w:val="677"/>
        </w:trPr>
        <w:tc>
          <w:tcPr>
            <w:tcW w:w="5840" w:type="dxa"/>
            <w:gridSpan w:val="2"/>
            <w:tcBorders>
              <w:top w:val="nil"/>
              <w:left w:val="nil"/>
              <w:bottom w:val="nil"/>
              <w:right w:val="nil"/>
            </w:tcBorders>
            <w:shd w:val="clear" w:color="auto" w:fill="00529F"/>
          </w:tcPr>
          <w:p w14:paraId="7997258C" w14:textId="77777777" w:rsidR="00345EE3" w:rsidRDefault="00345EE3" w:rsidP="00D73130">
            <w:pPr>
              <w:pStyle w:val="TableParagraph"/>
              <w:spacing w:before="59"/>
              <w:jc w:val="left"/>
              <w:rPr>
                <w:b/>
                <w:sz w:val="24"/>
              </w:rPr>
            </w:pPr>
            <w:r>
              <w:rPr>
                <w:b/>
                <w:color w:val="FFFFFF"/>
                <w:sz w:val="24"/>
              </w:rPr>
              <w:t>Cash</w:t>
            </w:r>
            <w:r>
              <w:rPr>
                <w:b/>
                <w:color w:val="FFFFFF"/>
                <w:spacing w:val="-3"/>
                <w:sz w:val="24"/>
              </w:rPr>
              <w:t xml:space="preserve"> </w:t>
            </w:r>
            <w:r>
              <w:rPr>
                <w:b/>
                <w:color w:val="FFFFFF"/>
                <w:sz w:val="24"/>
              </w:rPr>
              <w:t>and</w:t>
            </w:r>
            <w:r>
              <w:rPr>
                <w:b/>
                <w:color w:val="FFFFFF"/>
                <w:spacing w:val="-3"/>
                <w:sz w:val="24"/>
              </w:rPr>
              <w:t xml:space="preserve"> </w:t>
            </w:r>
            <w:r>
              <w:rPr>
                <w:b/>
                <w:color w:val="FFFFFF"/>
                <w:sz w:val="24"/>
              </w:rPr>
              <w:t>cash</w:t>
            </w:r>
            <w:r>
              <w:rPr>
                <w:b/>
                <w:color w:val="FFFFFF"/>
                <w:spacing w:val="-3"/>
                <w:sz w:val="24"/>
              </w:rPr>
              <w:t xml:space="preserve"> </w:t>
            </w:r>
            <w:r>
              <w:rPr>
                <w:b/>
                <w:color w:val="FFFFFF"/>
                <w:sz w:val="24"/>
              </w:rPr>
              <w:t>equivalents</w:t>
            </w:r>
            <w:r>
              <w:rPr>
                <w:b/>
                <w:color w:val="FFFFFF"/>
                <w:spacing w:val="-4"/>
                <w:sz w:val="24"/>
              </w:rPr>
              <w:t xml:space="preserve"> </w:t>
            </w:r>
            <w:r>
              <w:rPr>
                <w:b/>
                <w:color w:val="FFFFFF"/>
                <w:sz w:val="24"/>
              </w:rPr>
              <w:t>and</w:t>
            </w:r>
            <w:r>
              <w:rPr>
                <w:b/>
                <w:color w:val="FFFFFF"/>
                <w:spacing w:val="-2"/>
                <w:sz w:val="24"/>
              </w:rPr>
              <w:t xml:space="preserve"> investments</w:t>
            </w:r>
          </w:p>
        </w:tc>
        <w:tc>
          <w:tcPr>
            <w:tcW w:w="1134" w:type="dxa"/>
            <w:tcBorders>
              <w:top w:val="nil"/>
              <w:left w:val="nil"/>
              <w:bottom w:val="nil"/>
              <w:right w:val="nil"/>
            </w:tcBorders>
            <w:shd w:val="clear" w:color="auto" w:fill="00529F"/>
          </w:tcPr>
          <w:p w14:paraId="36885A3B" w14:textId="77777777" w:rsidR="00345EE3" w:rsidRDefault="00345EE3" w:rsidP="00D73130">
            <w:pPr>
              <w:pStyle w:val="TableParagraph"/>
              <w:spacing w:before="59" w:line="242" w:lineRule="auto"/>
              <w:ind w:left="224" w:right="-3" w:hanging="53"/>
              <w:jc w:val="left"/>
              <w:rPr>
                <w:b/>
                <w:sz w:val="24"/>
              </w:rPr>
            </w:pPr>
            <w:r>
              <w:rPr>
                <w:b/>
                <w:color w:val="FFFFFF"/>
                <w:spacing w:val="-4"/>
                <w:sz w:val="24"/>
              </w:rPr>
              <w:t xml:space="preserve">Opening </w:t>
            </w:r>
            <w:r>
              <w:rPr>
                <w:b/>
                <w:color w:val="FFFFFF"/>
                <w:spacing w:val="-5"/>
                <w:sz w:val="24"/>
              </w:rPr>
              <w:t>Balance</w:t>
            </w:r>
          </w:p>
        </w:tc>
        <w:tc>
          <w:tcPr>
            <w:tcW w:w="1134" w:type="dxa"/>
            <w:tcBorders>
              <w:top w:val="nil"/>
              <w:left w:val="nil"/>
              <w:bottom w:val="nil"/>
              <w:right w:val="nil"/>
            </w:tcBorders>
            <w:shd w:val="clear" w:color="auto" w:fill="00529F"/>
          </w:tcPr>
          <w:p w14:paraId="27FA5257" w14:textId="77777777" w:rsidR="00345EE3" w:rsidRDefault="00345EE3" w:rsidP="00D73130">
            <w:pPr>
              <w:pStyle w:val="TableParagraph"/>
              <w:spacing w:before="59" w:line="242" w:lineRule="auto"/>
              <w:ind w:left="93" w:right="50" w:firstLine="437"/>
              <w:jc w:val="left"/>
              <w:rPr>
                <w:b/>
                <w:sz w:val="24"/>
              </w:rPr>
            </w:pPr>
            <w:r>
              <w:rPr>
                <w:b/>
                <w:color w:val="FFFFFF"/>
                <w:spacing w:val="-8"/>
                <w:sz w:val="24"/>
              </w:rPr>
              <w:t xml:space="preserve">Total </w:t>
            </w:r>
            <w:r>
              <w:rPr>
                <w:b/>
                <w:color w:val="FFFFFF"/>
                <w:spacing w:val="-5"/>
                <w:sz w:val="24"/>
              </w:rPr>
              <w:t>Receipts</w:t>
            </w:r>
          </w:p>
        </w:tc>
        <w:tc>
          <w:tcPr>
            <w:tcW w:w="1247" w:type="dxa"/>
            <w:tcBorders>
              <w:top w:val="nil"/>
              <w:left w:val="nil"/>
              <w:bottom w:val="nil"/>
              <w:right w:val="nil"/>
            </w:tcBorders>
            <w:shd w:val="clear" w:color="auto" w:fill="00529F"/>
          </w:tcPr>
          <w:p w14:paraId="4935A354" w14:textId="77777777" w:rsidR="00345EE3" w:rsidRDefault="00345EE3" w:rsidP="00D73130">
            <w:pPr>
              <w:pStyle w:val="TableParagraph"/>
              <w:spacing w:before="59" w:line="242" w:lineRule="auto"/>
              <w:ind w:left="72" w:right="50" w:firstLine="571"/>
              <w:jc w:val="left"/>
              <w:rPr>
                <w:b/>
                <w:sz w:val="24"/>
              </w:rPr>
            </w:pPr>
            <w:r>
              <w:rPr>
                <w:b/>
                <w:color w:val="FFFFFF"/>
                <w:spacing w:val="-8"/>
                <w:sz w:val="24"/>
              </w:rPr>
              <w:t xml:space="preserve">Total </w:t>
            </w:r>
            <w:r>
              <w:rPr>
                <w:b/>
                <w:color w:val="FFFFFF"/>
                <w:spacing w:val="-5"/>
                <w:sz w:val="24"/>
              </w:rPr>
              <w:t>Payments</w:t>
            </w:r>
          </w:p>
        </w:tc>
        <w:tc>
          <w:tcPr>
            <w:tcW w:w="1134" w:type="dxa"/>
            <w:tcBorders>
              <w:top w:val="nil"/>
              <w:left w:val="nil"/>
              <w:bottom w:val="nil"/>
              <w:right w:val="nil"/>
            </w:tcBorders>
            <w:shd w:val="clear" w:color="auto" w:fill="00529F"/>
          </w:tcPr>
          <w:p w14:paraId="29C7B18C" w14:textId="77777777" w:rsidR="00345EE3" w:rsidRDefault="00345EE3" w:rsidP="00D73130">
            <w:pPr>
              <w:pStyle w:val="TableParagraph"/>
              <w:spacing w:before="59" w:line="242" w:lineRule="auto"/>
              <w:ind w:left="170" w:right="52" w:firstLine="40"/>
              <w:jc w:val="left"/>
              <w:rPr>
                <w:b/>
                <w:sz w:val="24"/>
              </w:rPr>
            </w:pPr>
            <w:r>
              <w:rPr>
                <w:b/>
                <w:color w:val="FFFFFF"/>
                <w:spacing w:val="-4"/>
                <w:sz w:val="24"/>
              </w:rPr>
              <w:t xml:space="preserve">Closing </w:t>
            </w:r>
            <w:r>
              <w:rPr>
                <w:b/>
                <w:color w:val="FFFFFF"/>
                <w:spacing w:val="-5"/>
                <w:sz w:val="24"/>
              </w:rPr>
              <w:t>Balance</w:t>
            </w:r>
          </w:p>
        </w:tc>
        <w:tc>
          <w:tcPr>
            <w:tcW w:w="1134" w:type="dxa"/>
            <w:tcBorders>
              <w:top w:val="nil"/>
              <w:left w:val="nil"/>
              <w:bottom w:val="nil"/>
              <w:right w:val="nil"/>
            </w:tcBorders>
            <w:shd w:val="clear" w:color="auto" w:fill="00529F"/>
          </w:tcPr>
          <w:p w14:paraId="6CF30E24" w14:textId="77777777" w:rsidR="00345EE3" w:rsidRDefault="00345EE3" w:rsidP="00D73130">
            <w:pPr>
              <w:pStyle w:val="TableParagraph"/>
              <w:spacing w:before="59" w:line="242" w:lineRule="auto"/>
              <w:ind w:left="170" w:right="51" w:hanging="53"/>
              <w:jc w:val="left"/>
              <w:rPr>
                <w:b/>
                <w:sz w:val="24"/>
              </w:rPr>
            </w:pPr>
            <w:r>
              <w:rPr>
                <w:b/>
                <w:color w:val="FFFFFF"/>
                <w:spacing w:val="-4"/>
                <w:sz w:val="24"/>
              </w:rPr>
              <w:t xml:space="preserve">Opening </w:t>
            </w:r>
            <w:r>
              <w:rPr>
                <w:b/>
                <w:color w:val="FFFFFF"/>
                <w:spacing w:val="-5"/>
                <w:sz w:val="24"/>
              </w:rPr>
              <w:t>Balance</w:t>
            </w:r>
          </w:p>
        </w:tc>
        <w:tc>
          <w:tcPr>
            <w:tcW w:w="1134" w:type="dxa"/>
            <w:tcBorders>
              <w:top w:val="nil"/>
              <w:left w:val="nil"/>
              <w:bottom w:val="nil"/>
              <w:right w:val="nil"/>
            </w:tcBorders>
            <w:shd w:val="clear" w:color="auto" w:fill="00529F"/>
          </w:tcPr>
          <w:p w14:paraId="43726374" w14:textId="77777777" w:rsidR="00345EE3" w:rsidRDefault="00345EE3" w:rsidP="00D73130">
            <w:pPr>
              <w:pStyle w:val="TableParagraph"/>
              <w:spacing w:before="59" w:line="242" w:lineRule="auto"/>
              <w:ind w:left="93" w:right="50" w:firstLine="437"/>
              <w:jc w:val="left"/>
              <w:rPr>
                <w:b/>
                <w:sz w:val="24"/>
              </w:rPr>
            </w:pPr>
            <w:r>
              <w:rPr>
                <w:b/>
                <w:color w:val="FFFFFF"/>
                <w:spacing w:val="-8"/>
                <w:sz w:val="24"/>
              </w:rPr>
              <w:t xml:space="preserve">Total </w:t>
            </w:r>
            <w:r>
              <w:rPr>
                <w:b/>
                <w:color w:val="FFFFFF"/>
                <w:spacing w:val="-5"/>
                <w:sz w:val="24"/>
              </w:rPr>
              <w:t>Receipts</w:t>
            </w:r>
          </w:p>
        </w:tc>
        <w:tc>
          <w:tcPr>
            <w:tcW w:w="1247" w:type="dxa"/>
            <w:tcBorders>
              <w:top w:val="nil"/>
              <w:left w:val="nil"/>
              <w:bottom w:val="nil"/>
              <w:right w:val="nil"/>
            </w:tcBorders>
            <w:shd w:val="clear" w:color="auto" w:fill="00529F"/>
          </w:tcPr>
          <w:p w14:paraId="165E3408" w14:textId="77777777" w:rsidR="00345EE3" w:rsidRDefault="00345EE3" w:rsidP="00D73130">
            <w:pPr>
              <w:pStyle w:val="TableParagraph"/>
              <w:spacing w:before="59" w:line="242" w:lineRule="auto"/>
              <w:ind w:left="72" w:right="50" w:firstLine="571"/>
              <w:jc w:val="left"/>
              <w:rPr>
                <w:b/>
                <w:sz w:val="24"/>
              </w:rPr>
            </w:pPr>
            <w:r>
              <w:rPr>
                <w:b/>
                <w:color w:val="FFFFFF"/>
                <w:spacing w:val="-8"/>
                <w:sz w:val="24"/>
              </w:rPr>
              <w:t xml:space="preserve">Total </w:t>
            </w:r>
            <w:r>
              <w:rPr>
                <w:b/>
                <w:color w:val="FFFFFF"/>
                <w:spacing w:val="-5"/>
                <w:sz w:val="24"/>
              </w:rPr>
              <w:t>Payments</w:t>
            </w:r>
          </w:p>
        </w:tc>
        <w:tc>
          <w:tcPr>
            <w:tcW w:w="1134" w:type="dxa"/>
            <w:tcBorders>
              <w:top w:val="nil"/>
              <w:left w:val="nil"/>
              <w:bottom w:val="nil"/>
              <w:right w:val="nil"/>
            </w:tcBorders>
            <w:shd w:val="clear" w:color="auto" w:fill="00529F"/>
          </w:tcPr>
          <w:p w14:paraId="36FED70C" w14:textId="77777777" w:rsidR="00345EE3" w:rsidRDefault="00345EE3" w:rsidP="00D73130">
            <w:pPr>
              <w:pStyle w:val="TableParagraph"/>
              <w:spacing w:before="59" w:line="242" w:lineRule="auto"/>
              <w:ind w:left="170" w:right="52" w:firstLine="40"/>
              <w:jc w:val="left"/>
              <w:rPr>
                <w:b/>
                <w:sz w:val="24"/>
              </w:rPr>
            </w:pPr>
            <w:r>
              <w:rPr>
                <w:b/>
                <w:color w:val="FFFFFF"/>
                <w:spacing w:val="-4"/>
                <w:sz w:val="24"/>
              </w:rPr>
              <w:t xml:space="preserve">Closing </w:t>
            </w:r>
            <w:r>
              <w:rPr>
                <w:b/>
                <w:color w:val="FFFFFF"/>
                <w:spacing w:val="-5"/>
                <w:sz w:val="24"/>
              </w:rPr>
              <w:t>Balance</w:t>
            </w:r>
          </w:p>
        </w:tc>
      </w:tr>
      <w:tr w:rsidR="00345EE3" w14:paraId="01162823" w14:textId="77777777" w:rsidTr="00D73130">
        <w:trPr>
          <w:trHeight w:val="396"/>
        </w:trPr>
        <w:tc>
          <w:tcPr>
            <w:tcW w:w="5840" w:type="dxa"/>
            <w:gridSpan w:val="2"/>
            <w:tcBorders>
              <w:top w:val="nil"/>
              <w:left w:val="nil"/>
            </w:tcBorders>
          </w:tcPr>
          <w:p w14:paraId="54E5B557" w14:textId="77777777" w:rsidR="00345EE3" w:rsidRDefault="00345EE3" w:rsidP="00D73130">
            <w:pPr>
              <w:pStyle w:val="TableParagraph"/>
              <w:ind w:left="-2"/>
              <w:jc w:val="left"/>
              <w:rPr>
                <w:b/>
                <w:sz w:val="24"/>
              </w:rPr>
            </w:pPr>
            <w:r>
              <w:rPr>
                <w:b/>
                <w:color w:val="231F20"/>
                <w:sz w:val="24"/>
              </w:rPr>
              <w:t>Controlled</w:t>
            </w:r>
            <w:r>
              <w:rPr>
                <w:b/>
                <w:color w:val="231F20"/>
                <w:spacing w:val="-10"/>
                <w:sz w:val="24"/>
              </w:rPr>
              <w:t xml:space="preserve"> </w:t>
            </w:r>
            <w:r>
              <w:rPr>
                <w:b/>
                <w:color w:val="231F20"/>
                <w:spacing w:val="-2"/>
                <w:sz w:val="24"/>
              </w:rPr>
              <w:t>Trusts</w:t>
            </w:r>
          </w:p>
        </w:tc>
        <w:tc>
          <w:tcPr>
            <w:tcW w:w="1134" w:type="dxa"/>
            <w:tcBorders>
              <w:top w:val="nil"/>
            </w:tcBorders>
            <w:shd w:val="clear" w:color="auto" w:fill="E6E7E8"/>
          </w:tcPr>
          <w:p w14:paraId="0B6AB1C9" w14:textId="77777777" w:rsidR="00345EE3" w:rsidRDefault="00345EE3" w:rsidP="00D73130">
            <w:pPr>
              <w:pStyle w:val="TableParagraph"/>
              <w:spacing w:before="0"/>
              <w:jc w:val="left"/>
              <w:rPr>
                <w:rFonts w:ascii="Times New Roman"/>
              </w:rPr>
            </w:pPr>
          </w:p>
        </w:tc>
        <w:tc>
          <w:tcPr>
            <w:tcW w:w="1134" w:type="dxa"/>
            <w:tcBorders>
              <w:top w:val="nil"/>
            </w:tcBorders>
            <w:shd w:val="clear" w:color="auto" w:fill="E6E7E8"/>
          </w:tcPr>
          <w:p w14:paraId="17332412" w14:textId="77777777" w:rsidR="00345EE3" w:rsidRDefault="00345EE3" w:rsidP="00D73130">
            <w:pPr>
              <w:pStyle w:val="TableParagraph"/>
              <w:spacing w:before="0"/>
              <w:jc w:val="left"/>
              <w:rPr>
                <w:rFonts w:ascii="Times New Roman"/>
              </w:rPr>
            </w:pPr>
          </w:p>
        </w:tc>
        <w:tc>
          <w:tcPr>
            <w:tcW w:w="1247" w:type="dxa"/>
            <w:tcBorders>
              <w:top w:val="nil"/>
            </w:tcBorders>
            <w:shd w:val="clear" w:color="auto" w:fill="E6E7E8"/>
          </w:tcPr>
          <w:p w14:paraId="1FFB74EC" w14:textId="77777777" w:rsidR="00345EE3" w:rsidRDefault="00345EE3" w:rsidP="00D73130">
            <w:pPr>
              <w:pStyle w:val="TableParagraph"/>
              <w:spacing w:before="0"/>
              <w:jc w:val="left"/>
              <w:rPr>
                <w:rFonts w:ascii="Times New Roman"/>
              </w:rPr>
            </w:pPr>
          </w:p>
        </w:tc>
        <w:tc>
          <w:tcPr>
            <w:tcW w:w="1134" w:type="dxa"/>
            <w:tcBorders>
              <w:top w:val="nil"/>
            </w:tcBorders>
            <w:shd w:val="clear" w:color="auto" w:fill="E6E7E8"/>
          </w:tcPr>
          <w:p w14:paraId="0CC145EC" w14:textId="77777777" w:rsidR="00345EE3" w:rsidRDefault="00345EE3" w:rsidP="00D73130">
            <w:pPr>
              <w:pStyle w:val="TableParagraph"/>
              <w:spacing w:before="0"/>
              <w:jc w:val="left"/>
              <w:rPr>
                <w:rFonts w:ascii="Times New Roman"/>
              </w:rPr>
            </w:pPr>
          </w:p>
        </w:tc>
        <w:tc>
          <w:tcPr>
            <w:tcW w:w="1134" w:type="dxa"/>
            <w:tcBorders>
              <w:top w:val="nil"/>
            </w:tcBorders>
          </w:tcPr>
          <w:p w14:paraId="6DA42D72" w14:textId="77777777" w:rsidR="00345EE3" w:rsidRDefault="00345EE3" w:rsidP="00D73130">
            <w:pPr>
              <w:pStyle w:val="TableParagraph"/>
              <w:spacing w:before="0"/>
              <w:jc w:val="left"/>
              <w:rPr>
                <w:rFonts w:ascii="Times New Roman"/>
              </w:rPr>
            </w:pPr>
          </w:p>
        </w:tc>
        <w:tc>
          <w:tcPr>
            <w:tcW w:w="1134" w:type="dxa"/>
            <w:tcBorders>
              <w:top w:val="nil"/>
            </w:tcBorders>
          </w:tcPr>
          <w:p w14:paraId="4E706FE4" w14:textId="77777777" w:rsidR="00345EE3" w:rsidRDefault="00345EE3" w:rsidP="00D73130">
            <w:pPr>
              <w:pStyle w:val="TableParagraph"/>
              <w:spacing w:before="0"/>
              <w:jc w:val="left"/>
              <w:rPr>
                <w:rFonts w:ascii="Times New Roman"/>
              </w:rPr>
            </w:pPr>
          </w:p>
        </w:tc>
        <w:tc>
          <w:tcPr>
            <w:tcW w:w="1247" w:type="dxa"/>
            <w:tcBorders>
              <w:top w:val="nil"/>
            </w:tcBorders>
          </w:tcPr>
          <w:p w14:paraId="4A8152DF" w14:textId="77777777" w:rsidR="00345EE3" w:rsidRDefault="00345EE3" w:rsidP="00D73130">
            <w:pPr>
              <w:pStyle w:val="TableParagraph"/>
              <w:spacing w:before="0"/>
              <w:jc w:val="left"/>
              <w:rPr>
                <w:rFonts w:ascii="Times New Roman"/>
              </w:rPr>
            </w:pPr>
          </w:p>
        </w:tc>
        <w:tc>
          <w:tcPr>
            <w:tcW w:w="1134" w:type="dxa"/>
            <w:tcBorders>
              <w:top w:val="nil"/>
              <w:right w:val="nil"/>
            </w:tcBorders>
          </w:tcPr>
          <w:p w14:paraId="5E551511" w14:textId="77777777" w:rsidR="00345EE3" w:rsidRDefault="00345EE3" w:rsidP="00D73130">
            <w:pPr>
              <w:pStyle w:val="TableParagraph"/>
              <w:spacing w:before="0"/>
              <w:jc w:val="left"/>
              <w:rPr>
                <w:rFonts w:ascii="Times New Roman"/>
              </w:rPr>
            </w:pPr>
          </w:p>
        </w:tc>
      </w:tr>
      <w:tr w:rsidR="00345EE3" w14:paraId="2DA9D660" w14:textId="77777777" w:rsidTr="00D73130">
        <w:trPr>
          <w:trHeight w:val="1236"/>
        </w:trPr>
        <w:tc>
          <w:tcPr>
            <w:tcW w:w="624" w:type="dxa"/>
            <w:tcBorders>
              <w:left w:val="nil"/>
            </w:tcBorders>
          </w:tcPr>
          <w:p w14:paraId="4A0E7CF6" w14:textId="77777777" w:rsidR="00345EE3" w:rsidRDefault="00345EE3" w:rsidP="00D73130">
            <w:pPr>
              <w:pStyle w:val="TableParagraph"/>
              <w:ind w:left="-2"/>
              <w:jc w:val="left"/>
              <w:rPr>
                <w:b/>
                <w:sz w:val="24"/>
              </w:rPr>
            </w:pPr>
            <w:r>
              <w:rPr>
                <w:b/>
                <w:color w:val="231F20"/>
                <w:spacing w:val="-4"/>
                <w:sz w:val="24"/>
              </w:rPr>
              <w:t>4165</w:t>
            </w:r>
          </w:p>
        </w:tc>
        <w:tc>
          <w:tcPr>
            <w:tcW w:w="5216" w:type="dxa"/>
          </w:tcPr>
          <w:p w14:paraId="28DCD6B1" w14:textId="77777777" w:rsidR="00345EE3" w:rsidRDefault="00345EE3" w:rsidP="00D73130">
            <w:pPr>
              <w:pStyle w:val="TableParagraph"/>
              <w:ind w:left="54"/>
              <w:jc w:val="left"/>
              <w:rPr>
                <w:b/>
                <w:sz w:val="24"/>
              </w:rPr>
            </w:pPr>
            <w:r>
              <w:rPr>
                <w:b/>
                <w:color w:val="231F20"/>
                <w:sz w:val="24"/>
              </w:rPr>
              <w:t>Departmental</w:t>
            </w:r>
            <w:r>
              <w:rPr>
                <w:b/>
                <w:color w:val="231F20"/>
                <w:spacing w:val="-6"/>
                <w:sz w:val="24"/>
              </w:rPr>
              <w:t xml:space="preserve"> </w:t>
            </w:r>
            <w:r>
              <w:rPr>
                <w:b/>
                <w:color w:val="231F20"/>
                <w:sz w:val="24"/>
              </w:rPr>
              <w:t>Suspense</w:t>
            </w:r>
            <w:r>
              <w:rPr>
                <w:b/>
                <w:color w:val="231F20"/>
                <w:spacing w:val="-14"/>
                <w:sz w:val="24"/>
              </w:rPr>
              <w:t xml:space="preserve"> </w:t>
            </w:r>
            <w:r>
              <w:rPr>
                <w:b/>
                <w:color w:val="231F20"/>
                <w:spacing w:val="-2"/>
                <w:sz w:val="24"/>
              </w:rPr>
              <w:t>Account</w:t>
            </w:r>
          </w:p>
          <w:p w14:paraId="3B2503C4" w14:textId="77777777" w:rsidR="00345EE3" w:rsidRDefault="00345EE3" w:rsidP="00D73130">
            <w:pPr>
              <w:pStyle w:val="TableParagraph"/>
              <w:spacing w:before="4" w:line="242" w:lineRule="auto"/>
              <w:ind w:left="54" w:right="54"/>
              <w:jc w:val="left"/>
              <w:rPr>
                <w:sz w:val="24"/>
              </w:rPr>
            </w:pPr>
            <w:r>
              <w:rPr>
                <w:color w:val="231F20"/>
                <w:sz w:val="24"/>
              </w:rPr>
              <w:t>To record donations and grants to Victoria Police</w:t>
            </w:r>
            <w:r>
              <w:rPr>
                <w:color w:val="231F20"/>
                <w:spacing w:val="-17"/>
                <w:sz w:val="24"/>
              </w:rPr>
              <w:t xml:space="preserve"> </w:t>
            </w:r>
            <w:r>
              <w:rPr>
                <w:color w:val="231F20"/>
                <w:sz w:val="24"/>
              </w:rPr>
              <w:t>as</w:t>
            </w:r>
            <w:r>
              <w:rPr>
                <w:color w:val="231F20"/>
                <w:spacing w:val="-17"/>
                <w:sz w:val="24"/>
              </w:rPr>
              <w:t xml:space="preserve"> </w:t>
            </w:r>
            <w:r>
              <w:rPr>
                <w:color w:val="231F20"/>
                <w:sz w:val="24"/>
              </w:rPr>
              <w:t>required</w:t>
            </w:r>
            <w:r>
              <w:rPr>
                <w:color w:val="231F20"/>
                <w:spacing w:val="-16"/>
                <w:sz w:val="24"/>
              </w:rPr>
              <w:t xml:space="preserve"> </w:t>
            </w:r>
            <w:r>
              <w:rPr>
                <w:color w:val="231F20"/>
                <w:sz w:val="24"/>
              </w:rPr>
              <w:t>by</w:t>
            </w:r>
            <w:r>
              <w:rPr>
                <w:color w:val="231F20"/>
                <w:spacing w:val="-17"/>
                <w:sz w:val="24"/>
              </w:rPr>
              <w:t xml:space="preserve"> </w:t>
            </w:r>
            <w:r>
              <w:rPr>
                <w:color w:val="231F20"/>
                <w:sz w:val="24"/>
              </w:rPr>
              <w:t>the</w:t>
            </w:r>
            <w:r>
              <w:rPr>
                <w:color w:val="231F20"/>
                <w:spacing w:val="-17"/>
                <w:sz w:val="24"/>
              </w:rPr>
              <w:t xml:space="preserve"> </w:t>
            </w:r>
            <w:r>
              <w:rPr>
                <w:i/>
                <w:color w:val="231F20"/>
                <w:sz w:val="24"/>
              </w:rPr>
              <w:t>Financial</w:t>
            </w:r>
            <w:r>
              <w:rPr>
                <w:i/>
                <w:color w:val="231F20"/>
                <w:spacing w:val="-17"/>
                <w:sz w:val="24"/>
              </w:rPr>
              <w:t xml:space="preserve"> </w:t>
            </w:r>
            <w:r>
              <w:rPr>
                <w:i/>
                <w:color w:val="231F20"/>
                <w:sz w:val="24"/>
              </w:rPr>
              <w:t xml:space="preserve">Management Act </w:t>
            </w:r>
            <w:r>
              <w:rPr>
                <w:color w:val="231F20"/>
                <w:sz w:val="24"/>
              </w:rPr>
              <w:t>1994</w:t>
            </w:r>
          </w:p>
        </w:tc>
        <w:tc>
          <w:tcPr>
            <w:tcW w:w="1134" w:type="dxa"/>
            <w:shd w:val="clear" w:color="auto" w:fill="E6E7E8"/>
          </w:tcPr>
          <w:p w14:paraId="160E4A47" w14:textId="77777777" w:rsidR="00345EE3" w:rsidRDefault="00345EE3" w:rsidP="00D73130">
            <w:pPr>
              <w:pStyle w:val="TableParagraph"/>
              <w:rPr>
                <w:sz w:val="24"/>
              </w:rPr>
            </w:pPr>
            <w:r>
              <w:rPr>
                <w:color w:val="231F20"/>
                <w:spacing w:val="-2"/>
                <w:sz w:val="24"/>
              </w:rPr>
              <w:t>48,018</w:t>
            </w:r>
          </w:p>
        </w:tc>
        <w:tc>
          <w:tcPr>
            <w:tcW w:w="1134" w:type="dxa"/>
            <w:shd w:val="clear" w:color="auto" w:fill="E6E7E8"/>
          </w:tcPr>
          <w:p w14:paraId="3D4431A0" w14:textId="77777777" w:rsidR="00345EE3" w:rsidRDefault="00345EE3" w:rsidP="00D73130">
            <w:pPr>
              <w:pStyle w:val="TableParagraph"/>
              <w:ind w:right="55"/>
              <w:rPr>
                <w:sz w:val="24"/>
              </w:rPr>
            </w:pPr>
            <w:r>
              <w:rPr>
                <w:color w:val="231F20"/>
                <w:spacing w:val="-2"/>
                <w:sz w:val="24"/>
              </w:rPr>
              <w:t>11,937</w:t>
            </w:r>
          </w:p>
        </w:tc>
        <w:tc>
          <w:tcPr>
            <w:tcW w:w="1247" w:type="dxa"/>
            <w:shd w:val="clear" w:color="auto" w:fill="E6E7E8"/>
          </w:tcPr>
          <w:p w14:paraId="7C30AAED" w14:textId="77777777" w:rsidR="00345EE3" w:rsidRDefault="00345EE3" w:rsidP="00D73130">
            <w:pPr>
              <w:pStyle w:val="TableParagraph"/>
              <w:ind w:right="54"/>
              <w:rPr>
                <w:sz w:val="24"/>
              </w:rPr>
            </w:pPr>
            <w:r>
              <w:rPr>
                <w:color w:val="231F20"/>
                <w:spacing w:val="-2"/>
                <w:sz w:val="24"/>
              </w:rPr>
              <w:t>(4,130)</w:t>
            </w:r>
          </w:p>
        </w:tc>
        <w:tc>
          <w:tcPr>
            <w:tcW w:w="1134" w:type="dxa"/>
            <w:shd w:val="clear" w:color="auto" w:fill="E6E7E8"/>
          </w:tcPr>
          <w:p w14:paraId="721A4433" w14:textId="77777777" w:rsidR="00345EE3" w:rsidRDefault="00345EE3" w:rsidP="00D73130">
            <w:pPr>
              <w:pStyle w:val="TableParagraph"/>
              <w:ind w:right="55"/>
              <w:rPr>
                <w:sz w:val="24"/>
              </w:rPr>
            </w:pPr>
            <w:r>
              <w:rPr>
                <w:color w:val="231F20"/>
                <w:spacing w:val="-2"/>
                <w:sz w:val="24"/>
              </w:rPr>
              <w:t>55,825</w:t>
            </w:r>
          </w:p>
        </w:tc>
        <w:tc>
          <w:tcPr>
            <w:tcW w:w="1134" w:type="dxa"/>
          </w:tcPr>
          <w:p w14:paraId="74B74D56" w14:textId="77777777" w:rsidR="00345EE3" w:rsidRDefault="00345EE3" w:rsidP="00D73130">
            <w:pPr>
              <w:pStyle w:val="TableParagraph"/>
              <w:ind w:right="55"/>
              <w:rPr>
                <w:sz w:val="24"/>
              </w:rPr>
            </w:pPr>
            <w:r>
              <w:rPr>
                <w:color w:val="231F20"/>
                <w:spacing w:val="-2"/>
                <w:sz w:val="24"/>
              </w:rPr>
              <w:t>43,149</w:t>
            </w:r>
          </w:p>
        </w:tc>
        <w:tc>
          <w:tcPr>
            <w:tcW w:w="1134" w:type="dxa"/>
          </w:tcPr>
          <w:p w14:paraId="371EE357" w14:textId="77777777" w:rsidR="00345EE3" w:rsidRDefault="00345EE3" w:rsidP="00D73130">
            <w:pPr>
              <w:pStyle w:val="TableParagraph"/>
              <w:ind w:right="55"/>
              <w:rPr>
                <w:sz w:val="24"/>
              </w:rPr>
            </w:pPr>
            <w:r>
              <w:rPr>
                <w:color w:val="231F20"/>
                <w:spacing w:val="-2"/>
                <w:sz w:val="24"/>
              </w:rPr>
              <w:t>21,259</w:t>
            </w:r>
          </w:p>
        </w:tc>
        <w:tc>
          <w:tcPr>
            <w:tcW w:w="1247" w:type="dxa"/>
          </w:tcPr>
          <w:p w14:paraId="37044744" w14:textId="77777777" w:rsidR="00345EE3" w:rsidRDefault="00345EE3" w:rsidP="00D73130">
            <w:pPr>
              <w:pStyle w:val="TableParagraph"/>
              <w:ind w:right="54"/>
              <w:rPr>
                <w:sz w:val="24"/>
              </w:rPr>
            </w:pPr>
            <w:r>
              <w:rPr>
                <w:color w:val="231F20"/>
                <w:spacing w:val="-2"/>
                <w:sz w:val="24"/>
              </w:rPr>
              <w:t>(16,390)</w:t>
            </w:r>
          </w:p>
        </w:tc>
        <w:tc>
          <w:tcPr>
            <w:tcW w:w="1134" w:type="dxa"/>
            <w:tcBorders>
              <w:right w:val="nil"/>
            </w:tcBorders>
          </w:tcPr>
          <w:p w14:paraId="3A2EBA32" w14:textId="77777777" w:rsidR="00345EE3" w:rsidRDefault="00345EE3" w:rsidP="00D73130">
            <w:pPr>
              <w:pStyle w:val="TableParagraph"/>
              <w:ind w:right="55"/>
              <w:rPr>
                <w:sz w:val="24"/>
              </w:rPr>
            </w:pPr>
            <w:r>
              <w:rPr>
                <w:color w:val="231F20"/>
                <w:spacing w:val="-2"/>
                <w:sz w:val="24"/>
              </w:rPr>
              <w:t>48,018</w:t>
            </w:r>
          </w:p>
        </w:tc>
      </w:tr>
      <w:tr w:rsidR="00345EE3" w14:paraId="2C45A09F" w14:textId="77777777" w:rsidTr="00D73130">
        <w:trPr>
          <w:trHeight w:val="2356"/>
        </w:trPr>
        <w:tc>
          <w:tcPr>
            <w:tcW w:w="624" w:type="dxa"/>
            <w:tcBorders>
              <w:left w:val="nil"/>
            </w:tcBorders>
          </w:tcPr>
          <w:p w14:paraId="6791DBEB" w14:textId="77777777" w:rsidR="00345EE3" w:rsidRDefault="00345EE3" w:rsidP="00D73130">
            <w:pPr>
              <w:pStyle w:val="TableParagraph"/>
              <w:ind w:left="-3"/>
              <w:jc w:val="left"/>
              <w:rPr>
                <w:b/>
                <w:sz w:val="24"/>
              </w:rPr>
            </w:pPr>
            <w:r>
              <w:rPr>
                <w:b/>
                <w:color w:val="231F20"/>
                <w:spacing w:val="-4"/>
                <w:sz w:val="24"/>
              </w:rPr>
              <w:t>4288</w:t>
            </w:r>
          </w:p>
        </w:tc>
        <w:tc>
          <w:tcPr>
            <w:tcW w:w="5216" w:type="dxa"/>
          </w:tcPr>
          <w:p w14:paraId="61AEA54E" w14:textId="77777777" w:rsidR="00345EE3" w:rsidRDefault="00345EE3" w:rsidP="00D73130">
            <w:pPr>
              <w:pStyle w:val="TableParagraph"/>
              <w:ind w:left="54"/>
              <w:jc w:val="left"/>
              <w:rPr>
                <w:b/>
                <w:sz w:val="24"/>
              </w:rPr>
            </w:pPr>
            <w:r>
              <w:rPr>
                <w:b/>
                <w:color w:val="231F20"/>
                <w:sz w:val="24"/>
              </w:rPr>
              <w:t>FBT</w:t>
            </w:r>
            <w:r>
              <w:rPr>
                <w:b/>
                <w:color w:val="231F20"/>
                <w:spacing w:val="-10"/>
                <w:sz w:val="24"/>
              </w:rPr>
              <w:t xml:space="preserve"> </w:t>
            </w:r>
            <w:r>
              <w:rPr>
                <w:b/>
                <w:color w:val="231F20"/>
                <w:sz w:val="24"/>
              </w:rPr>
              <w:t>Trust</w:t>
            </w:r>
            <w:r>
              <w:rPr>
                <w:b/>
                <w:color w:val="231F20"/>
                <w:spacing w:val="-16"/>
                <w:sz w:val="24"/>
              </w:rPr>
              <w:t xml:space="preserve"> </w:t>
            </w:r>
            <w:r>
              <w:rPr>
                <w:b/>
                <w:color w:val="231F20"/>
                <w:spacing w:val="-2"/>
                <w:sz w:val="24"/>
              </w:rPr>
              <w:t>Account</w:t>
            </w:r>
          </w:p>
          <w:p w14:paraId="04088080" w14:textId="77777777" w:rsidR="00345EE3" w:rsidRDefault="00345EE3" w:rsidP="00D73130">
            <w:pPr>
              <w:pStyle w:val="TableParagraph"/>
              <w:spacing w:before="5" w:line="242" w:lineRule="auto"/>
              <w:ind w:left="54" w:right="792"/>
              <w:jc w:val="left"/>
              <w:rPr>
                <w:sz w:val="24"/>
              </w:rPr>
            </w:pPr>
            <w:r>
              <w:rPr>
                <w:color w:val="231F20"/>
                <w:sz w:val="24"/>
              </w:rPr>
              <w:t>To record the receipt of fringe benefits tax</w:t>
            </w:r>
            <w:r>
              <w:rPr>
                <w:color w:val="231F20"/>
                <w:spacing w:val="-8"/>
                <w:sz w:val="24"/>
              </w:rPr>
              <w:t xml:space="preserve"> </w:t>
            </w:r>
            <w:r>
              <w:rPr>
                <w:color w:val="231F20"/>
                <w:sz w:val="24"/>
              </w:rPr>
              <w:t>deducted</w:t>
            </w:r>
            <w:r>
              <w:rPr>
                <w:color w:val="231F20"/>
                <w:spacing w:val="-9"/>
                <w:sz w:val="24"/>
              </w:rPr>
              <w:t xml:space="preserve"> </w:t>
            </w:r>
            <w:r>
              <w:rPr>
                <w:color w:val="231F20"/>
                <w:sz w:val="24"/>
              </w:rPr>
              <w:t>from</w:t>
            </w:r>
            <w:r>
              <w:rPr>
                <w:color w:val="231F20"/>
                <w:spacing w:val="-8"/>
                <w:sz w:val="24"/>
              </w:rPr>
              <w:t xml:space="preserve"> </w:t>
            </w:r>
            <w:r>
              <w:rPr>
                <w:color w:val="231F20"/>
                <w:sz w:val="24"/>
              </w:rPr>
              <w:t>executive</w:t>
            </w:r>
            <w:r>
              <w:rPr>
                <w:color w:val="231F20"/>
                <w:spacing w:val="-9"/>
                <w:sz w:val="24"/>
              </w:rPr>
              <w:t xml:space="preserve"> </w:t>
            </w:r>
            <w:r>
              <w:rPr>
                <w:color w:val="231F20"/>
                <w:sz w:val="24"/>
              </w:rPr>
              <w:t>salaries</w:t>
            </w:r>
            <w:r>
              <w:rPr>
                <w:color w:val="231F20"/>
                <w:spacing w:val="-8"/>
                <w:sz w:val="24"/>
              </w:rPr>
              <w:t xml:space="preserve"> </w:t>
            </w:r>
            <w:r>
              <w:rPr>
                <w:color w:val="231F20"/>
                <w:sz w:val="24"/>
              </w:rPr>
              <w:t>and</w:t>
            </w:r>
          </w:p>
          <w:p w14:paraId="553655D6" w14:textId="77777777" w:rsidR="00345EE3" w:rsidRDefault="00345EE3" w:rsidP="00D73130">
            <w:pPr>
              <w:pStyle w:val="TableParagraph"/>
              <w:spacing w:before="2" w:line="242" w:lineRule="auto"/>
              <w:ind w:left="54" w:right="54"/>
              <w:jc w:val="left"/>
              <w:rPr>
                <w:sz w:val="24"/>
              </w:rPr>
            </w:pPr>
            <w:r>
              <w:rPr>
                <w:color w:val="231F20"/>
                <w:sz w:val="24"/>
              </w:rPr>
              <w:t>repayments of FBT from drivers of novated lease vehicles when FBT obligations have not been</w:t>
            </w:r>
            <w:r>
              <w:rPr>
                <w:color w:val="231F20"/>
                <w:spacing w:val="-10"/>
                <w:sz w:val="24"/>
              </w:rPr>
              <w:t xml:space="preserve"> </w:t>
            </w:r>
            <w:r>
              <w:rPr>
                <w:color w:val="231F20"/>
                <w:sz w:val="24"/>
              </w:rPr>
              <w:t>met</w:t>
            </w:r>
            <w:r>
              <w:rPr>
                <w:color w:val="231F20"/>
                <w:spacing w:val="-10"/>
                <w:sz w:val="24"/>
              </w:rPr>
              <w:t xml:space="preserve"> </w:t>
            </w:r>
            <w:r>
              <w:rPr>
                <w:color w:val="231F20"/>
                <w:sz w:val="24"/>
              </w:rPr>
              <w:t>through</w:t>
            </w:r>
            <w:r>
              <w:rPr>
                <w:color w:val="231F20"/>
                <w:spacing w:val="-10"/>
                <w:sz w:val="24"/>
              </w:rPr>
              <w:t xml:space="preserve"> </w:t>
            </w:r>
            <w:r>
              <w:rPr>
                <w:color w:val="231F20"/>
                <w:sz w:val="24"/>
              </w:rPr>
              <w:t>scheduled</w:t>
            </w:r>
            <w:r>
              <w:rPr>
                <w:color w:val="231F20"/>
                <w:spacing w:val="-10"/>
                <w:sz w:val="24"/>
              </w:rPr>
              <w:t xml:space="preserve"> </w:t>
            </w:r>
            <w:r>
              <w:rPr>
                <w:color w:val="231F20"/>
                <w:sz w:val="24"/>
              </w:rPr>
              <w:t>payroll</w:t>
            </w:r>
            <w:r>
              <w:rPr>
                <w:color w:val="231F20"/>
                <w:spacing w:val="-10"/>
                <w:sz w:val="24"/>
              </w:rPr>
              <w:t xml:space="preserve"> </w:t>
            </w:r>
            <w:r>
              <w:rPr>
                <w:color w:val="231F20"/>
                <w:sz w:val="24"/>
              </w:rPr>
              <w:t>deductions. The funds are disbursed to the Australian Taxation Office.</w:t>
            </w:r>
          </w:p>
        </w:tc>
        <w:tc>
          <w:tcPr>
            <w:tcW w:w="1134" w:type="dxa"/>
            <w:shd w:val="clear" w:color="auto" w:fill="E6E7E8"/>
          </w:tcPr>
          <w:p w14:paraId="2087DA72" w14:textId="77777777" w:rsidR="00345EE3" w:rsidRDefault="00345EE3" w:rsidP="00D73130">
            <w:pPr>
              <w:pStyle w:val="TableParagraph"/>
              <w:spacing w:before="61"/>
              <w:rPr>
                <w:sz w:val="24"/>
              </w:rPr>
            </w:pPr>
            <w:r>
              <w:rPr>
                <w:color w:val="231F20"/>
                <w:spacing w:val="-5"/>
                <w:sz w:val="24"/>
              </w:rPr>
              <w:t>899</w:t>
            </w:r>
          </w:p>
        </w:tc>
        <w:tc>
          <w:tcPr>
            <w:tcW w:w="1134" w:type="dxa"/>
            <w:shd w:val="clear" w:color="auto" w:fill="E6E7E8"/>
          </w:tcPr>
          <w:p w14:paraId="16D409E1" w14:textId="77777777" w:rsidR="00345EE3" w:rsidRDefault="00345EE3" w:rsidP="00D73130">
            <w:pPr>
              <w:pStyle w:val="TableParagraph"/>
              <w:spacing w:before="61"/>
              <w:ind w:right="54"/>
              <w:rPr>
                <w:sz w:val="24"/>
              </w:rPr>
            </w:pPr>
            <w:r>
              <w:rPr>
                <w:color w:val="231F20"/>
                <w:spacing w:val="-5"/>
                <w:sz w:val="24"/>
              </w:rPr>
              <w:t>136</w:t>
            </w:r>
          </w:p>
        </w:tc>
        <w:tc>
          <w:tcPr>
            <w:tcW w:w="1247" w:type="dxa"/>
            <w:shd w:val="clear" w:color="auto" w:fill="E6E7E8"/>
          </w:tcPr>
          <w:p w14:paraId="5F8BB4A2" w14:textId="77777777" w:rsidR="00345EE3" w:rsidRDefault="00345EE3" w:rsidP="00D73130">
            <w:pPr>
              <w:pStyle w:val="TableParagraph"/>
              <w:spacing w:before="61"/>
              <w:ind w:right="52"/>
              <w:rPr>
                <w:sz w:val="24"/>
              </w:rPr>
            </w:pPr>
            <w:r>
              <w:rPr>
                <w:color w:val="231F20"/>
                <w:sz w:val="24"/>
              </w:rPr>
              <w:t>-</w:t>
            </w:r>
          </w:p>
        </w:tc>
        <w:tc>
          <w:tcPr>
            <w:tcW w:w="1134" w:type="dxa"/>
            <w:shd w:val="clear" w:color="auto" w:fill="E6E7E8"/>
          </w:tcPr>
          <w:p w14:paraId="0D9D9807" w14:textId="77777777" w:rsidR="00345EE3" w:rsidRDefault="00345EE3" w:rsidP="00D73130">
            <w:pPr>
              <w:pStyle w:val="TableParagraph"/>
              <w:spacing w:before="61"/>
              <w:ind w:right="55"/>
              <w:rPr>
                <w:sz w:val="24"/>
              </w:rPr>
            </w:pPr>
            <w:r>
              <w:rPr>
                <w:color w:val="231F20"/>
                <w:spacing w:val="-2"/>
                <w:sz w:val="24"/>
              </w:rPr>
              <w:t>1,035</w:t>
            </w:r>
          </w:p>
        </w:tc>
        <w:tc>
          <w:tcPr>
            <w:tcW w:w="1134" w:type="dxa"/>
          </w:tcPr>
          <w:p w14:paraId="71DDEA9B" w14:textId="77777777" w:rsidR="00345EE3" w:rsidRDefault="00345EE3" w:rsidP="00D73130">
            <w:pPr>
              <w:pStyle w:val="TableParagraph"/>
              <w:spacing w:before="61"/>
              <w:ind w:right="55"/>
              <w:rPr>
                <w:sz w:val="24"/>
              </w:rPr>
            </w:pPr>
            <w:r>
              <w:rPr>
                <w:color w:val="231F20"/>
                <w:spacing w:val="-5"/>
                <w:sz w:val="24"/>
              </w:rPr>
              <w:t>716</w:t>
            </w:r>
          </w:p>
        </w:tc>
        <w:tc>
          <w:tcPr>
            <w:tcW w:w="1134" w:type="dxa"/>
          </w:tcPr>
          <w:p w14:paraId="697E20A3" w14:textId="77777777" w:rsidR="00345EE3" w:rsidRDefault="00345EE3" w:rsidP="00D73130">
            <w:pPr>
              <w:pStyle w:val="TableParagraph"/>
              <w:spacing w:before="61"/>
              <w:ind w:right="55"/>
              <w:rPr>
                <w:sz w:val="24"/>
              </w:rPr>
            </w:pPr>
            <w:r>
              <w:rPr>
                <w:color w:val="231F20"/>
                <w:spacing w:val="-5"/>
                <w:sz w:val="24"/>
              </w:rPr>
              <w:t>204</w:t>
            </w:r>
          </w:p>
        </w:tc>
        <w:tc>
          <w:tcPr>
            <w:tcW w:w="1247" w:type="dxa"/>
          </w:tcPr>
          <w:p w14:paraId="26B6EF73" w14:textId="77777777" w:rsidR="00345EE3" w:rsidRDefault="00345EE3" w:rsidP="00D73130">
            <w:pPr>
              <w:pStyle w:val="TableParagraph"/>
              <w:spacing w:before="61"/>
              <w:ind w:right="54"/>
              <w:rPr>
                <w:sz w:val="24"/>
              </w:rPr>
            </w:pPr>
            <w:r>
              <w:rPr>
                <w:color w:val="231F20"/>
                <w:spacing w:val="-4"/>
                <w:sz w:val="24"/>
              </w:rPr>
              <w:t>(21)</w:t>
            </w:r>
          </w:p>
        </w:tc>
        <w:tc>
          <w:tcPr>
            <w:tcW w:w="1134" w:type="dxa"/>
            <w:tcBorders>
              <w:right w:val="nil"/>
            </w:tcBorders>
          </w:tcPr>
          <w:p w14:paraId="530CC746" w14:textId="77777777" w:rsidR="00345EE3" w:rsidRDefault="00345EE3" w:rsidP="00D73130">
            <w:pPr>
              <w:pStyle w:val="TableParagraph"/>
              <w:spacing w:before="61"/>
              <w:ind w:right="55"/>
              <w:rPr>
                <w:sz w:val="24"/>
              </w:rPr>
            </w:pPr>
            <w:r>
              <w:rPr>
                <w:color w:val="231F20"/>
                <w:spacing w:val="-5"/>
                <w:sz w:val="24"/>
              </w:rPr>
              <w:t>899</w:t>
            </w:r>
          </w:p>
        </w:tc>
      </w:tr>
      <w:tr w:rsidR="00345EE3" w14:paraId="2380F331" w14:textId="77777777" w:rsidTr="00D73130">
        <w:trPr>
          <w:trHeight w:val="2076"/>
        </w:trPr>
        <w:tc>
          <w:tcPr>
            <w:tcW w:w="624" w:type="dxa"/>
            <w:tcBorders>
              <w:left w:val="nil"/>
            </w:tcBorders>
          </w:tcPr>
          <w:p w14:paraId="062FC596" w14:textId="77777777" w:rsidR="00345EE3" w:rsidRDefault="00345EE3" w:rsidP="00D73130">
            <w:pPr>
              <w:pStyle w:val="TableParagraph"/>
              <w:spacing w:before="61"/>
              <w:ind w:left="-3"/>
              <w:jc w:val="left"/>
              <w:rPr>
                <w:b/>
                <w:sz w:val="24"/>
              </w:rPr>
            </w:pPr>
            <w:r>
              <w:rPr>
                <w:b/>
                <w:color w:val="231F20"/>
                <w:spacing w:val="-4"/>
                <w:sz w:val="24"/>
              </w:rPr>
              <w:t>4700</w:t>
            </w:r>
          </w:p>
        </w:tc>
        <w:tc>
          <w:tcPr>
            <w:tcW w:w="5216" w:type="dxa"/>
          </w:tcPr>
          <w:p w14:paraId="71BBCC74" w14:textId="77777777" w:rsidR="00345EE3" w:rsidRDefault="00345EE3" w:rsidP="00D73130">
            <w:pPr>
              <w:pStyle w:val="TableParagraph"/>
              <w:spacing w:before="61" w:line="242" w:lineRule="auto"/>
              <w:ind w:left="54"/>
              <w:jc w:val="left"/>
              <w:rPr>
                <w:sz w:val="24"/>
              </w:rPr>
            </w:pPr>
            <w:r>
              <w:rPr>
                <w:b/>
                <w:color w:val="231F20"/>
                <w:sz w:val="24"/>
              </w:rPr>
              <w:t xml:space="preserve">Traffic Accident Info System Trust Account </w:t>
            </w:r>
            <w:r>
              <w:rPr>
                <w:color w:val="231F20"/>
                <w:sz w:val="24"/>
              </w:rPr>
              <w:t>To</w:t>
            </w:r>
            <w:r>
              <w:rPr>
                <w:color w:val="231F20"/>
                <w:spacing w:val="-12"/>
                <w:sz w:val="24"/>
              </w:rPr>
              <w:t xml:space="preserve"> </w:t>
            </w:r>
            <w:r>
              <w:rPr>
                <w:color w:val="231F20"/>
                <w:sz w:val="24"/>
              </w:rPr>
              <w:t>record</w:t>
            </w:r>
            <w:r>
              <w:rPr>
                <w:color w:val="231F20"/>
                <w:spacing w:val="-11"/>
                <w:sz w:val="24"/>
              </w:rPr>
              <w:t xml:space="preserve"> </w:t>
            </w:r>
            <w:r>
              <w:rPr>
                <w:color w:val="231F20"/>
                <w:sz w:val="24"/>
              </w:rPr>
              <w:t>transactions</w:t>
            </w:r>
            <w:r>
              <w:rPr>
                <w:color w:val="231F20"/>
                <w:spacing w:val="-11"/>
                <w:sz w:val="24"/>
              </w:rPr>
              <w:t xml:space="preserve"> </w:t>
            </w:r>
            <w:r>
              <w:rPr>
                <w:color w:val="231F20"/>
                <w:sz w:val="24"/>
              </w:rPr>
              <w:t>relating</w:t>
            </w:r>
            <w:r>
              <w:rPr>
                <w:color w:val="231F20"/>
                <w:spacing w:val="-11"/>
                <w:sz w:val="24"/>
              </w:rPr>
              <w:t xml:space="preserve"> </w:t>
            </w:r>
            <w:r>
              <w:rPr>
                <w:color w:val="231F20"/>
                <w:sz w:val="24"/>
              </w:rPr>
              <w:t>to</w:t>
            </w:r>
            <w:r>
              <w:rPr>
                <w:color w:val="231F20"/>
                <w:spacing w:val="-11"/>
                <w:sz w:val="24"/>
              </w:rPr>
              <w:t xml:space="preserve"> </w:t>
            </w:r>
            <w:r>
              <w:rPr>
                <w:color w:val="231F20"/>
                <w:sz w:val="24"/>
              </w:rPr>
              <w:t>the</w:t>
            </w:r>
            <w:r>
              <w:rPr>
                <w:color w:val="231F20"/>
                <w:spacing w:val="-11"/>
                <w:sz w:val="24"/>
              </w:rPr>
              <w:t xml:space="preserve"> </w:t>
            </w:r>
            <w:r>
              <w:rPr>
                <w:color w:val="231F20"/>
                <w:sz w:val="24"/>
              </w:rPr>
              <w:t>operations of</w:t>
            </w:r>
            <w:r>
              <w:rPr>
                <w:color w:val="231F20"/>
                <w:spacing w:val="-3"/>
                <w:sz w:val="24"/>
              </w:rPr>
              <w:t xml:space="preserve"> </w:t>
            </w:r>
            <w:r>
              <w:rPr>
                <w:color w:val="231F20"/>
                <w:sz w:val="24"/>
              </w:rPr>
              <w:t>the</w:t>
            </w:r>
            <w:r>
              <w:rPr>
                <w:color w:val="231F20"/>
                <w:spacing w:val="-2"/>
                <w:sz w:val="24"/>
              </w:rPr>
              <w:t xml:space="preserve"> </w:t>
            </w:r>
            <w:r>
              <w:rPr>
                <w:color w:val="231F20"/>
                <w:sz w:val="24"/>
              </w:rPr>
              <w:t>traffic</w:t>
            </w:r>
            <w:r>
              <w:rPr>
                <w:color w:val="231F20"/>
                <w:spacing w:val="-2"/>
                <w:sz w:val="24"/>
              </w:rPr>
              <w:t xml:space="preserve"> </w:t>
            </w:r>
            <w:r>
              <w:rPr>
                <w:color w:val="231F20"/>
                <w:sz w:val="24"/>
              </w:rPr>
              <w:t>accident</w:t>
            </w:r>
            <w:r>
              <w:rPr>
                <w:color w:val="231F20"/>
                <w:spacing w:val="-3"/>
                <w:sz w:val="24"/>
              </w:rPr>
              <w:t xml:space="preserve"> </w:t>
            </w:r>
            <w:r>
              <w:rPr>
                <w:color w:val="231F20"/>
                <w:sz w:val="24"/>
              </w:rPr>
              <w:t>information</w:t>
            </w:r>
            <w:r>
              <w:rPr>
                <w:color w:val="231F20"/>
                <w:spacing w:val="-3"/>
                <w:sz w:val="24"/>
              </w:rPr>
              <w:t xml:space="preserve"> </w:t>
            </w:r>
            <w:r>
              <w:rPr>
                <w:color w:val="231F20"/>
                <w:sz w:val="24"/>
              </w:rPr>
              <w:t>system,</w:t>
            </w:r>
            <w:r>
              <w:rPr>
                <w:color w:val="231F20"/>
                <w:spacing w:val="-2"/>
                <w:sz w:val="24"/>
              </w:rPr>
              <w:t xml:space="preserve"> </w:t>
            </w:r>
            <w:r>
              <w:rPr>
                <w:color w:val="231F20"/>
                <w:sz w:val="24"/>
              </w:rPr>
              <w:t>which was</w:t>
            </w:r>
            <w:r>
              <w:rPr>
                <w:color w:val="231F20"/>
                <w:spacing w:val="-5"/>
                <w:sz w:val="24"/>
              </w:rPr>
              <w:t xml:space="preserve"> </w:t>
            </w:r>
            <w:r>
              <w:rPr>
                <w:color w:val="231F20"/>
                <w:sz w:val="24"/>
              </w:rPr>
              <w:t>established</w:t>
            </w:r>
            <w:r>
              <w:rPr>
                <w:color w:val="231F20"/>
                <w:spacing w:val="-5"/>
                <w:sz w:val="24"/>
              </w:rPr>
              <w:t xml:space="preserve"> </w:t>
            </w:r>
            <w:r>
              <w:rPr>
                <w:color w:val="231F20"/>
                <w:sz w:val="24"/>
              </w:rPr>
              <w:t>to</w:t>
            </w:r>
            <w:r>
              <w:rPr>
                <w:color w:val="231F20"/>
                <w:spacing w:val="-4"/>
                <w:sz w:val="24"/>
              </w:rPr>
              <w:t xml:space="preserve"> </w:t>
            </w:r>
            <w:r>
              <w:rPr>
                <w:color w:val="231F20"/>
                <w:sz w:val="24"/>
              </w:rPr>
              <w:t>coordinate</w:t>
            </w:r>
            <w:r>
              <w:rPr>
                <w:color w:val="231F20"/>
                <w:spacing w:val="-4"/>
                <w:sz w:val="24"/>
              </w:rPr>
              <w:t xml:space="preserve"> </w:t>
            </w:r>
            <w:r>
              <w:rPr>
                <w:color w:val="231F20"/>
                <w:sz w:val="24"/>
              </w:rPr>
              <w:t>the</w:t>
            </w:r>
            <w:r>
              <w:rPr>
                <w:color w:val="231F20"/>
                <w:spacing w:val="-4"/>
                <w:sz w:val="24"/>
              </w:rPr>
              <w:t xml:space="preserve"> </w:t>
            </w:r>
            <w:r>
              <w:rPr>
                <w:color w:val="231F20"/>
                <w:sz w:val="24"/>
              </w:rPr>
              <w:t>distribution</w:t>
            </w:r>
            <w:r>
              <w:rPr>
                <w:color w:val="231F20"/>
                <w:spacing w:val="-5"/>
                <w:sz w:val="24"/>
              </w:rPr>
              <w:t xml:space="preserve"> </w:t>
            </w:r>
            <w:r>
              <w:rPr>
                <w:color w:val="231F20"/>
                <w:sz w:val="24"/>
              </w:rPr>
              <w:t>of accident data to agencies responsible for road traffic programs and the administration of road accident legislation.</w:t>
            </w:r>
          </w:p>
        </w:tc>
        <w:tc>
          <w:tcPr>
            <w:tcW w:w="1134" w:type="dxa"/>
            <w:shd w:val="clear" w:color="auto" w:fill="E6E7E8"/>
          </w:tcPr>
          <w:p w14:paraId="4C9F6A7D" w14:textId="77777777" w:rsidR="00345EE3" w:rsidRDefault="00345EE3" w:rsidP="00D73130">
            <w:pPr>
              <w:pStyle w:val="TableParagraph"/>
              <w:spacing w:before="62"/>
              <w:rPr>
                <w:sz w:val="24"/>
              </w:rPr>
            </w:pPr>
            <w:r>
              <w:rPr>
                <w:color w:val="231F20"/>
                <w:spacing w:val="-2"/>
                <w:sz w:val="24"/>
              </w:rPr>
              <w:t>3,559</w:t>
            </w:r>
          </w:p>
        </w:tc>
        <w:tc>
          <w:tcPr>
            <w:tcW w:w="1134" w:type="dxa"/>
            <w:shd w:val="clear" w:color="auto" w:fill="E6E7E8"/>
          </w:tcPr>
          <w:p w14:paraId="1AC50A10" w14:textId="77777777" w:rsidR="00345EE3" w:rsidRDefault="00345EE3" w:rsidP="00D73130">
            <w:pPr>
              <w:pStyle w:val="TableParagraph"/>
              <w:spacing w:before="62"/>
              <w:ind w:right="54"/>
              <w:rPr>
                <w:sz w:val="24"/>
              </w:rPr>
            </w:pPr>
            <w:r>
              <w:rPr>
                <w:color w:val="231F20"/>
                <w:spacing w:val="-5"/>
                <w:sz w:val="24"/>
              </w:rPr>
              <w:t>281</w:t>
            </w:r>
          </w:p>
        </w:tc>
        <w:tc>
          <w:tcPr>
            <w:tcW w:w="1247" w:type="dxa"/>
            <w:shd w:val="clear" w:color="auto" w:fill="E6E7E8"/>
          </w:tcPr>
          <w:p w14:paraId="141FDAB0" w14:textId="77777777" w:rsidR="00345EE3" w:rsidRDefault="00345EE3" w:rsidP="00D73130">
            <w:pPr>
              <w:pStyle w:val="TableParagraph"/>
              <w:spacing w:before="62"/>
              <w:ind w:right="54"/>
              <w:rPr>
                <w:sz w:val="24"/>
              </w:rPr>
            </w:pPr>
            <w:r>
              <w:rPr>
                <w:color w:val="231F20"/>
                <w:spacing w:val="-2"/>
                <w:sz w:val="24"/>
              </w:rPr>
              <w:t>(337)</w:t>
            </w:r>
          </w:p>
        </w:tc>
        <w:tc>
          <w:tcPr>
            <w:tcW w:w="1134" w:type="dxa"/>
            <w:shd w:val="clear" w:color="auto" w:fill="E6E7E8"/>
          </w:tcPr>
          <w:p w14:paraId="2515415E" w14:textId="77777777" w:rsidR="00345EE3" w:rsidRDefault="00345EE3" w:rsidP="00D73130">
            <w:pPr>
              <w:pStyle w:val="TableParagraph"/>
              <w:spacing w:before="62"/>
              <w:ind w:right="55"/>
              <w:rPr>
                <w:sz w:val="24"/>
              </w:rPr>
            </w:pPr>
            <w:r>
              <w:rPr>
                <w:color w:val="231F20"/>
                <w:spacing w:val="-2"/>
                <w:sz w:val="24"/>
              </w:rPr>
              <w:t>3,503</w:t>
            </w:r>
          </w:p>
        </w:tc>
        <w:tc>
          <w:tcPr>
            <w:tcW w:w="1134" w:type="dxa"/>
          </w:tcPr>
          <w:p w14:paraId="3B798C2A" w14:textId="77777777" w:rsidR="00345EE3" w:rsidRDefault="00345EE3" w:rsidP="00D73130">
            <w:pPr>
              <w:pStyle w:val="TableParagraph"/>
              <w:spacing w:before="62"/>
              <w:ind w:right="55"/>
              <w:rPr>
                <w:sz w:val="24"/>
              </w:rPr>
            </w:pPr>
            <w:r>
              <w:rPr>
                <w:color w:val="231F20"/>
                <w:spacing w:val="-2"/>
                <w:sz w:val="24"/>
              </w:rPr>
              <w:t>3,873</w:t>
            </w:r>
          </w:p>
        </w:tc>
        <w:tc>
          <w:tcPr>
            <w:tcW w:w="1134" w:type="dxa"/>
          </w:tcPr>
          <w:p w14:paraId="4102F901" w14:textId="77777777" w:rsidR="00345EE3" w:rsidRDefault="00345EE3" w:rsidP="00D73130">
            <w:pPr>
              <w:pStyle w:val="TableParagraph"/>
              <w:spacing w:before="62"/>
              <w:ind w:right="55"/>
              <w:rPr>
                <w:sz w:val="24"/>
              </w:rPr>
            </w:pPr>
            <w:r>
              <w:rPr>
                <w:color w:val="231F20"/>
                <w:spacing w:val="-5"/>
                <w:sz w:val="24"/>
              </w:rPr>
              <w:t>935</w:t>
            </w:r>
          </w:p>
        </w:tc>
        <w:tc>
          <w:tcPr>
            <w:tcW w:w="1247" w:type="dxa"/>
          </w:tcPr>
          <w:p w14:paraId="2A177BB9" w14:textId="77777777" w:rsidR="00345EE3" w:rsidRDefault="00345EE3" w:rsidP="00D73130">
            <w:pPr>
              <w:pStyle w:val="TableParagraph"/>
              <w:spacing w:before="62"/>
              <w:ind w:right="54"/>
              <w:rPr>
                <w:sz w:val="24"/>
              </w:rPr>
            </w:pPr>
            <w:r>
              <w:rPr>
                <w:color w:val="231F20"/>
                <w:spacing w:val="-2"/>
                <w:sz w:val="24"/>
              </w:rPr>
              <w:t>(1,249)</w:t>
            </w:r>
          </w:p>
        </w:tc>
        <w:tc>
          <w:tcPr>
            <w:tcW w:w="1134" w:type="dxa"/>
            <w:tcBorders>
              <w:right w:val="nil"/>
            </w:tcBorders>
          </w:tcPr>
          <w:p w14:paraId="61F2324F" w14:textId="77777777" w:rsidR="00345EE3" w:rsidRDefault="00345EE3" w:rsidP="00D73130">
            <w:pPr>
              <w:pStyle w:val="TableParagraph"/>
              <w:spacing w:before="62"/>
              <w:ind w:right="55"/>
              <w:rPr>
                <w:sz w:val="24"/>
              </w:rPr>
            </w:pPr>
            <w:r>
              <w:rPr>
                <w:color w:val="231F20"/>
                <w:spacing w:val="-2"/>
                <w:sz w:val="24"/>
              </w:rPr>
              <w:t>3,559</w:t>
            </w:r>
          </w:p>
        </w:tc>
      </w:tr>
      <w:tr w:rsidR="00345EE3" w14:paraId="28638083" w14:textId="77777777" w:rsidTr="00D73130">
        <w:trPr>
          <w:trHeight w:val="953"/>
        </w:trPr>
        <w:tc>
          <w:tcPr>
            <w:tcW w:w="624" w:type="dxa"/>
            <w:tcBorders>
              <w:left w:val="nil"/>
              <w:bottom w:val="single" w:sz="4" w:space="0" w:color="231F20"/>
            </w:tcBorders>
          </w:tcPr>
          <w:p w14:paraId="24FE6742" w14:textId="77777777" w:rsidR="00345EE3" w:rsidRDefault="00345EE3" w:rsidP="00D73130">
            <w:pPr>
              <w:pStyle w:val="TableParagraph"/>
              <w:spacing w:before="62"/>
              <w:ind w:left="-3"/>
              <w:jc w:val="left"/>
              <w:rPr>
                <w:b/>
                <w:sz w:val="24"/>
              </w:rPr>
            </w:pPr>
            <w:r>
              <w:rPr>
                <w:b/>
                <w:color w:val="231F20"/>
                <w:spacing w:val="-4"/>
                <w:sz w:val="24"/>
              </w:rPr>
              <w:t>4740</w:t>
            </w:r>
          </w:p>
        </w:tc>
        <w:tc>
          <w:tcPr>
            <w:tcW w:w="5216" w:type="dxa"/>
            <w:tcBorders>
              <w:bottom w:val="single" w:sz="4" w:space="0" w:color="231F20"/>
            </w:tcBorders>
          </w:tcPr>
          <w:p w14:paraId="4ECC1B41" w14:textId="77777777" w:rsidR="00345EE3" w:rsidRDefault="00345EE3" w:rsidP="00D73130">
            <w:pPr>
              <w:pStyle w:val="TableParagraph"/>
              <w:spacing w:before="62"/>
              <w:ind w:left="54"/>
              <w:jc w:val="left"/>
              <w:rPr>
                <w:b/>
                <w:sz w:val="24"/>
              </w:rPr>
            </w:pPr>
            <w:r>
              <w:rPr>
                <w:b/>
                <w:color w:val="231F20"/>
                <w:sz w:val="24"/>
              </w:rPr>
              <w:t>Inter</w:t>
            </w:r>
            <w:r>
              <w:rPr>
                <w:b/>
                <w:color w:val="231F20"/>
                <w:spacing w:val="-11"/>
                <w:sz w:val="24"/>
              </w:rPr>
              <w:t xml:space="preserve"> </w:t>
            </w:r>
            <w:r>
              <w:rPr>
                <w:b/>
                <w:color w:val="231F20"/>
                <w:sz w:val="24"/>
              </w:rPr>
              <w:t>Departmental</w:t>
            </w:r>
            <w:r>
              <w:rPr>
                <w:b/>
                <w:color w:val="231F20"/>
                <w:spacing w:val="-11"/>
                <w:sz w:val="24"/>
              </w:rPr>
              <w:t xml:space="preserve"> </w:t>
            </w:r>
            <w:r>
              <w:rPr>
                <w:b/>
                <w:color w:val="231F20"/>
                <w:sz w:val="24"/>
              </w:rPr>
              <w:t>Transfer</w:t>
            </w:r>
            <w:r>
              <w:rPr>
                <w:b/>
                <w:color w:val="231F20"/>
                <w:spacing w:val="-11"/>
                <w:sz w:val="24"/>
              </w:rPr>
              <w:t xml:space="preserve"> </w:t>
            </w:r>
            <w:r>
              <w:rPr>
                <w:b/>
                <w:color w:val="231F20"/>
                <w:spacing w:val="-2"/>
                <w:sz w:val="24"/>
              </w:rPr>
              <w:t>Trust</w:t>
            </w:r>
          </w:p>
          <w:p w14:paraId="073E6302" w14:textId="77777777" w:rsidR="00345EE3" w:rsidRDefault="00345EE3" w:rsidP="00D73130">
            <w:pPr>
              <w:pStyle w:val="TableParagraph"/>
              <w:spacing w:before="4" w:line="242" w:lineRule="auto"/>
              <w:ind w:left="54"/>
              <w:jc w:val="left"/>
              <w:rPr>
                <w:sz w:val="24"/>
              </w:rPr>
            </w:pPr>
            <w:r>
              <w:rPr>
                <w:color w:val="231F20"/>
                <w:sz w:val="24"/>
              </w:rPr>
              <w:t>To</w:t>
            </w:r>
            <w:r>
              <w:rPr>
                <w:color w:val="231F20"/>
                <w:spacing w:val="-14"/>
                <w:sz w:val="24"/>
              </w:rPr>
              <w:t xml:space="preserve"> </w:t>
            </w:r>
            <w:r>
              <w:rPr>
                <w:color w:val="231F20"/>
                <w:sz w:val="24"/>
              </w:rPr>
              <w:t>record</w:t>
            </w:r>
            <w:r>
              <w:rPr>
                <w:color w:val="231F20"/>
                <w:spacing w:val="-13"/>
                <w:sz w:val="24"/>
              </w:rPr>
              <w:t xml:space="preserve"> </w:t>
            </w:r>
            <w:r>
              <w:rPr>
                <w:color w:val="231F20"/>
                <w:sz w:val="24"/>
              </w:rPr>
              <w:t>inter-departmental</w:t>
            </w:r>
            <w:r>
              <w:rPr>
                <w:color w:val="231F20"/>
                <w:spacing w:val="-14"/>
                <w:sz w:val="24"/>
              </w:rPr>
              <w:t xml:space="preserve"> </w:t>
            </w:r>
            <w:r>
              <w:rPr>
                <w:color w:val="231F20"/>
                <w:sz w:val="24"/>
              </w:rPr>
              <w:t>transfers</w:t>
            </w:r>
            <w:r>
              <w:rPr>
                <w:color w:val="231F20"/>
                <w:spacing w:val="-13"/>
                <w:sz w:val="24"/>
              </w:rPr>
              <w:t xml:space="preserve"> </w:t>
            </w:r>
            <w:r>
              <w:rPr>
                <w:color w:val="231F20"/>
                <w:sz w:val="24"/>
              </w:rPr>
              <w:t>when</w:t>
            </w:r>
            <w:r>
              <w:rPr>
                <w:color w:val="231F20"/>
                <w:spacing w:val="-14"/>
                <w:sz w:val="24"/>
              </w:rPr>
              <w:t xml:space="preserve"> </w:t>
            </w:r>
            <w:r>
              <w:rPr>
                <w:color w:val="231F20"/>
                <w:sz w:val="24"/>
              </w:rPr>
              <w:t>no other trust arrangement exists.</w:t>
            </w:r>
          </w:p>
        </w:tc>
        <w:tc>
          <w:tcPr>
            <w:tcW w:w="1134" w:type="dxa"/>
            <w:tcBorders>
              <w:bottom w:val="single" w:sz="4" w:space="0" w:color="231F20"/>
            </w:tcBorders>
            <w:shd w:val="clear" w:color="auto" w:fill="E6E7E8"/>
          </w:tcPr>
          <w:p w14:paraId="7F6907C2" w14:textId="77777777" w:rsidR="00345EE3" w:rsidRDefault="00345EE3" w:rsidP="00D73130">
            <w:pPr>
              <w:pStyle w:val="TableParagraph"/>
              <w:spacing w:before="62"/>
              <w:ind w:right="18"/>
              <w:rPr>
                <w:sz w:val="24"/>
              </w:rPr>
            </w:pPr>
            <w:r>
              <w:rPr>
                <w:color w:val="231F20"/>
                <w:spacing w:val="-5"/>
                <w:sz w:val="24"/>
              </w:rPr>
              <w:t>111</w:t>
            </w:r>
          </w:p>
        </w:tc>
        <w:tc>
          <w:tcPr>
            <w:tcW w:w="1134" w:type="dxa"/>
            <w:tcBorders>
              <w:bottom w:val="single" w:sz="4" w:space="0" w:color="231F20"/>
            </w:tcBorders>
            <w:shd w:val="clear" w:color="auto" w:fill="E6E7E8"/>
          </w:tcPr>
          <w:p w14:paraId="7B5B9AFA" w14:textId="77777777" w:rsidR="00345EE3" w:rsidRDefault="00345EE3" w:rsidP="00D73130">
            <w:pPr>
              <w:pStyle w:val="TableParagraph"/>
              <w:spacing w:before="62"/>
              <w:ind w:right="52"/>
              <w:rPr>
                <w:sz w:val="24"/>
              </w:rPr>
            </w:pPr>
            <w:r>
              <w:rPr>
                <w:color w:val="231F20"/>
                <w:sz w:val="24"/>
              </w:rPr>
              <w:t>-</w:t>
            </w:r>
          </w:p>
        </w:tc>
        <w:tc>
          <w:tcPr>
            <w:tcW w:w="1247" w:type="dxa"/>
            <w:tcBorders>
              <w:bottom w:val="single" w:sz="4" w:space="0" w:color="231F20"/>
            </w:tcBorders>
            <w:shd w:val="clear" w:color="auto" w:fill="E6E7E8"/>
          </w:tcPr>
          <w:p w14:paraId="0455729E" w14:textId="77777777" w:rsidR="00345EE3" w:rsidRDefault="00345EE3" w:rsidP="00D73130">
            <w:pPr>
              <w:pStyle w:val="TableParagraph"/>
              <w:spacing w:before="62"/>
              <w:ind w:right="54"/>
              <w:rPr>
                <w:sz w:val="24"/>
              </w:rPr>
            </w:pPr>
            <w:r>
              <w:rPr>
                <w:color w:val="231F20"/>
                <w:spacing w:val="-4"/>
                <w:sz w:val="24"/>
              </w:rPr>
              <w:t>(39)</w:t>
            </w:r>
          </w:p>
        </w:tc>
        <w:tc>
          <w:tcPr>
            <w:tcW w:w="1134" w:type="dxa"/>
            <w:tcBorders>
              <w:bottom w:val="single" w:sz="4" w:space="0" w:color="231F20"/>
            </w:tcBorders>
            <w:shd w:val="clear" w:color="auto" w:fill="E6E7E8"/>
          </w:tcPr>
          <w:p w14:paraId="5D1ACC5F" w14:textId="77777777" w:rsidR="00345EE3" w:rsidRDefault="00345EE3" w:rsidP="00D73130">
            <w:pPr>
              <w:pStyle w:val="TableParagraph"/>
              <w:spacing w:before="62"/>
              <w:ind w:right="54"/>
              <w:rPr>
                <w:sz w:val="24"/>
              </w:rPr>
            </w:pPr>
            <w:r>
              <w:rPr>
                <w:color w:val="231F20"/>
                <w:spacing w:val="-5"/>
                <w:sz w:val="24"/>
              </w:rPr>
              <w:t>72</w:t>
            </w:r>
          </w:p>
        </w:tc>
        <w:tc>
          <w:tcPr>
            <w:tcW w:w="1134" w:type="dxa"/>
            <w:tcBorders>
              <w:bottom w:val="single" w:sz="4" w:space="0" w:color="231F20"/>
            </w:tcBorders>
          </w:tcPr>
          <w:p w14:paraId="681F4275" w14:textId="77777777" w:rsidR="00345EE3" w:rsidRDefault="00345EE3" w:rsidP="00D73130">
            <w:pPr>
              <w:pStyle w:val="TableParagraph"/>
              <w:spacing w:before="62"/>
              <w:ind w:right="55"/>
              <w:rPr>
                <w:sz w:val="24"/>
              </w:rPr>
            </w:pPr>
            <w:r>
              <w:rPr>
                <w:color w:val="231F20"/>
                <w:spacing w:val="-5"/>
                <w:sz w:val="24"/>
              </w:rPr>
              <w:t>87</w:t>
            </w:r>
          </w:p>
        </w:tc>
        <w:tc>
          <w:tcPr>
            <w:tcW w:w="1134" w:type="dxa"/>
            <w:tcBorders>
              <w:bottom w:val="single" w:sz="4" w:space="0" w:color="231F20"/>
            </w:tcBorders>
          </w:tcPr>
          <w:p w14:paraId="12457C91" w14:textId="77777777" w:rsidR="00345EE3" w:rsidRDefault="00345EE3" w:rsidP="00D73130">
            <w:pPr>
              <w:pStyle w:val="TableParagraph"/>
              <w:spacing w:before="62"/>
              <w:ind w:right="55"/>
              <w:rPr>
                <w:sz w:val="24"/>
              </w:rPr>
            </w:pPr>
            <w:r>
              <w:rPr>
                <w:color w:val="231F20"/>
                <w:spacing w:val="-5"/>
                <w:sz w:val="24"/>
              </w:rPr>
              <w:t>39</w:t>
            </w:r>
          </w:p>
        </w:tc>
        <w:tc>
          <w:tcPr>
            <w:tcW w:w="1247" w:type="dxa"/>
            <w:tcBorders>
              <w:bottom w:val="single" w:sz="4" w:space="0" w:color="231F20"/>
            </w:tcBorders>
          </w:tcPr>
          <w:p w14:paraId="0EC87609" w14:textId="77777777" w:rsidR="00345EE3" w:rsidRDefault="00345EE3" w:rsidP="00D73130">
            <w:pPr>
              <w:pStyle w:val="TableParagraph"/>
              <w:spacing w:before="62"/>
              <w:ind w:right="54"/>
              <w:rPr>
                <w:sz w:val="24"/>
              </w:rPr>
            </w:pPr>
            <w:r>
              <w:rPr>
                <w:color w:val="231F20"/>
                <w:spacing w:val="-4"/>
                <w:sz w:val="24"/>
              </w:rPr>
              <w:t>(15)</w:t>
            </w:r>
          </w:p>
        </w:tc>
        <w:tc>
          <w:tcPr>
            <w:tcW w:w="1134" w:type="dxa"/>
            <w:tcBorders>
              <w:bottom w:val="single" w:sz="4" w:space="0" w:color="231F20"/>
              <w:right w:val="nil"/>
            </w:tcBorders>
          </w:tcPr>
          <w:p w14:paraId="3B64E2F4" w14:textId="77777777" w:rsidR="00345EE3" w:rsidRDefault="00345EE3" w:rsidP="00D73130">
            <w:pPr>
              <w:pStyle w:val="TableParagraph"/>
              <w:spacing w:before="62"/>
              <w:ind w:right="72"/>
              <w:rPr>
                <w:sz w:val="24"/>
              </w:rPr>
            </w:pPr>
            <w:r>
              <w:rPr>
                <w:color w:val="231F20"/>
                <w:spacing w:val="-5"/>
                <w:sz w:val="24"/>
              </w:rPr>
              <w:t>111</w:t>
            </w:r>
          </w:p>
        </w:tc>
      </w:tr>
      <w:tr w:rsidR="00345EE3" w14:paraId="57B0B51D" w14:textId="77777777" w:rsidTr="00D73130">
        <w:trPr>
          <w:trHeight w:val="391"/>
        </w:trPr>
        <w:tc>
          <w:tcPr>
            <w:tcW w:w="5840" w:type="dxa"/>
            <w:gridSpan w:val="2"/>
            <w:tcBorders>
              <w:top w:val="single" w:sz="4" w:space="0" w:color="231F20"/>
              <w:left w:val="nil"/>
              <w:bottom w:val="single" w:sz="4" w:space="0" w:color="231F20"/>
            </w:tcBorders>
          </w:tcPr>
          <w:p w14:paraId="0C45DB37" w14:textId="77777777" w:rsidR="00345EE3" w:rsidRDefault="00345EE3" w:rsidP="00D73130">
            <w:pPr>
              <w:pStyle w:val="TableParagraph"/>
              <w:spacing w:before="59"/>
              <w:ind w:left="-3"/>
              <w:jc w:val="left"/>
              <w:rPr>
                <w:b/>
                <w:sz w:val="24"/>
              </w:rPr>
            </w:pPr>
            <w:r>
              <w:rPr>
                <w:b/>
                <w:color w:val="231F20"/>
                <w:spacing w:val="-2"/>
                <w:sz w:val="24"/>
              </w:rPr>
              <w:t>Total Controlled Trusts</w:t>
            </w:r>
            <w:r>
              <w:rPr>
                <w:b/>
                <w:color w:val="231F20"/>
                <w:spacing w:val="-28"/>
                <w:sz w:val="24"/>
              </w:rPr>
              <w:t xml:space="preserve"> </w:t>
            </w:r>
            <w:r>
              <w:rPr>
                <w:b/>
                <w:color w:val="231F20"/>
                <w:spacing w:val="-5"/>
                <w:sz w:val="24"/>
                <w:vertAlign w:val="superscript"/>
              </w:rPr>
              <w:t>(b)</w:t>
            </w:r>
          </w:p>
        </w:tc>
        <w:tc>
          <w:tcPr>
            <w:tcW w:w="1134" w:type="dxa"/>
            <w:tcBorders>
              <w:top w:val="single" w:sz="4" w:space="0" w:color="231F20"/>
              <w:bottom w:val="single" w:sz="4" w:space="0" w:color="231F20"/>
            </w:tcBorders>
            <w:shd w:val="clear" w:color="auto" w:fill="E6E7E8"/>
          </w:tcPr>
          <w:p w14:paraId="6EF7743E" w14:textId="77777777" w:rsidR="00345EE3" w:rsidRDefault="00345EE3" w:rsidP="00D73130">
            <w:pPr>
              <w:pStyle w:val="TableParagraph"/>
              <w:spacing w:before="58"/>
              <w:ind w:right="1"/>
              <w:rPr>
                <w:b/>
                <w:sz w:val="24"/>
              </w:rPr>
            </w:pPr>
            <w:r>
              <w:rPr>
                <w:b/>
                <w:color w:val="231F20"/>
                <w:spacing w:val="-2"/>
                <w:sz w:val="24"/>
              </w:rPr>
              <w:t>52,587</w:t>
            </w:r>
          </w:p>
        </w:tc>
        <w:tc>
          <w:tcPr>
            <w:tcW w:w="1134" w:type="dxa"/>
            <w:tcBorders>
              <w:top w:val="single" w:sz="4" w:space="0" w:color="231F20"/>
              <w:bottom w:val="single" w:sz="4" w:space="0" w:color="231F20"/>
            </w:tcBorders>
            <w:shd w:val="clear" w:color="auto" w:fill="E6E7E8"/>
          </w:tcPr>
          <w:p w14:paraId="26334F42" w14:textId="77777777" w:rsidR="00345EE3" w:rsidRDefault="00345EE3" w:rsidP="00D73130">
            <w:pPr>
              <w:pStyle w:val="TableParagraph"/>
              <w:spacing w:before="58"/>
              <w:ind w:right="53"/>
              <w:rPr>
                <w:b/>
                <w:sz w:val="24"/>
              </w:rPr>
            </w:pPr>
            <w:r>
              <w:rPr>
                <w:b/>
                <w:color w:val="231F20"/>
                <w:spacing w:val="-2"/>
                <w:sz w:val="24"/>
              </w:rPr>
              <w:t>12,354</w:t>
            </w:r>
          </w:p>
        </w:tc>
        <w:tc>
          <w:tcPr>
            <w:tcW w:w="1247" w:type="dxa"/>
            <w:tcBorders>
              <w:top w:val="single" w:sz="4" w:space="0" w:color="231F20"/>
              <w:bottom w:val="single" w:sz="4" w:space="0" w:color="231F20"/>
            </w:tcBorders>
            <w:shd w:val="clear" w:color="auto" w:fill="E6E7E8"/>
          </w:tcPr>
          <w:p w14:paraId="19745DA3" w14:textId="77777777" w:rsidR="00345EE3" w:rsidRDefault="00345EE3" w:rsidP="00D73130">
            <w:pPr>
              <w:pStyle w:val="TableParagraph"/>
              <w:spacing w:before="58"/>
              <w:ind w:right="52"/>
              <w:rPr>
                <w:b/>
                <w:sz w:val="24"/>
              </w:rPr>
            </w:pPr>
            <w:r>
              <w:rPr>
                <w:b/>
                <w:color w:val="231F20"/>
                <w:spacing w:val="-2"/>
                <w:sz w:val="24"/>
              </w:rPr>
              <w:t>(4,506)</w:t>
            </w:r>
          </w:p>
        </w:tc>
        <w:tc>
          <w:tcPr>
            <w:tcW w:w="1134" w:type="dxa"/>
            <w:tcBorders>
              <w:top w:val="single" w:sz="4" w:space="0" w:color="231F20"/>
              <w:bottom w:val="single" w:sz="4" w:space="0" w:color="231F20"/>
            </w:tcBorders>
            <w:shd w:val="clear" w:color="auto" w:fill="E6E7E8"/>
          </w:tcPr>
          <w:p w14:paraId="2038F4B5" w14:textId="77777777" w:rsidR="00345EE3" w:rsidRDefault="00345EE3" w:rsidP="00D73130">
            <w:pPr>
              <w:pStyle w:val="TableParagraph"/>
              <w:spacing w:before="58"/>
              <w:ind w:right="53"/>
              <w:rPr>
                <w:b/>
                <w:sz w:val="24"/>
              </w:rPr>
            </w:pPr>
            <w:r>
              <w:rPr>
                <w:b/>
                <w:color w:val="231F20"/>
                <w:spacing w:val="-2"/>
                <w:sz w:val="24"/>
              </w:rPr>
              <w:t>60,435</w:t>
            </w:r>
          </w:p>
        </w:tc>
        <w:tc>
          <w:tcPr>
            <w:tcW w:w="1134" w:type="dxa"/>
            <w:tcBorders>
              <w:top w:val="single" w:sz="4" w:space="0" w:color="231F20"/>
              <w:bottom w:val="single" w:sz="4" w:space="0" w:color="231F20"/>
            </w:tcBorders>
          </w:tcPr>
          <w:p w14:paraId="441089F6" w14:textId="77777777" w:rsidR="00345EE3" w:rsidRDefault="00345EE3" w:rsidP="00D73130">
            <w:pPr>
              <w:pStyle w:val="TableParagraph"/>
              <w:spacing w:before="58"/>
              <w:ind w:right="53"/>
              <w:rPr>
                <w:b/>
                <w:sz w:val="24"/>
              </w:rPr>
            </w:pPr>
            <w:r>
              <w:rPr>
                <w:b/>
                <w:color w:val="231F20"/>
                <w:spacing w:val="-2"/>
                <w:sz w:val="24"/>
              </w:rPr>
              <w:t>47,825</w:t>
            </w:r>
          </w:p>
        </w:tc>
        <w:tc>
          <w:tcPr>
            <w:tcW w:w="1134" w:type="dxa"/>
            <w:tcBorders>
              <w:top w:val="single" w:sz="4" w:space="0" w:color="231F20"/>
              <w:bottom w:val="single" w:sz="4" w:space="0" w:color="231F20"/>
            </w:tcBorders>
          </w:tcPr>
          <w:p w14:paraId="498983C6" w14:textId="77777777" w:rsidR="00345EE3" w:rsidRDefault="00345EE3" w:rsidP="00D73130">
            <w:pPr>
              <w:pStyle w:val="TableParagraph"/>
              <w:spacing w:before="58"/>
              <w:ind w:right="53"/>
              <w:rPr>
                <w:b/>
                <w:sz w:val="24"/>
              </w:rPr>
            </w:pPr>
            <w:r>
              <w:rPr>
                <w:b/>
                <w:color w:val="231F20"/>
                <w:spacing w:val="-2"/>
                <w:sz w:val="24"/>
              </w:rPr>
              <w:t>22,437</w:t>
            </w:r>
          </w:p>
        </w:tc>
        <w:tc>
          <w:tcPr>
            <w:tcW w:w="1247" w:type="dxa"/>
            <w:tcBorders>
              <w:top w:val="single" w:sz="4" w:space="0" w:color="231F20"/>
              <w:bottom w:val="single" w:sz="4" w:space="0" w:color="231F20"/>
              <w:right w:val="nil"/>
            </w:tcBorders>
          </w:tcPr>
          <w:p w14:paraId="3B9121DD" w14:textId="77777777" w:rsidR="00345EE3" w:rsidRDefault="00345EE3" w:rsidP="00D73130">
            <w:pPr>
              <w:pStyle w:val="TableParagraph"/>
              <w:spacing w:before="58"/>
              <w:ind w:right="53"/>
              <w:rPr>
                <w:b/>
                <w:sz w:val="24"/>
              </w:rPr>
            </w:pPr>
            <w:r>
              <w:rPr>
                <w:b/>
                <w:color w:val="231F20"/>
                <w:spacing w:val="-2"/>
                <w:sz w:val="24"/>
              </w:rPr>
              <w:t>(17,675)</w:t>
            </w:r>
          </w:p>
        </w:tc>
        <w:tc>
          <w:tcPr>
            <w:tcW w:w="1134" w:type="dxa"/>
            <w:tcBorders>
              <w:top w:val="single" w:sz="4" w:space="0" w:color="231F20"/>
              <w:left w:val="nil"/>
              <w:bottom w:val="single" w:sz="4" w:space="0" w:color="231F20"/>
              <w:right w:val="nil"/>
            </w:tcBorders>
          </w:tcPr>
          <w:p w14:paraId="49CCFA72" w14:textId="77777777" w:rsidR="00345EE3" w:rsidRDefault="00345EE3" w:rsidP="00D73130">
            <w:pPr>
              <w:pStyle w:val="TableParagraph"/>
              <w:spacing w:before="58"/>
              <w:ind w:right="56"/>
              <w:rPr>
                <w:b/>
                <w:sz w:val="24"/>
              </w:rPr>
            </w:pPr>
            <w:r>
              <w:rPr>
                <w:b/>
                <w:color w:val="231F20"/>
                <w:spacing w:val="-2"/>
                <w:sz w:val="24"/>
              </w:rPr>
              <w:t>52,587</w:t>
            </w:r>
          </w:p>
        </w:tc>
      </w:tr>
    </w:tbl>
    <w:p w14:paraId="3121013D" w14:textId="77777777" w:rsidR="00345EE3" w:rsidRDefault="00345EE3" w:rsidP="00345EE3">
      <w:pPr>
        <w:rPr>
          <w:sz w:val="24"/>
        </w:rPr>
        <w:sectPr w:rsidR="00345EE3">
          <w:pgSz w:w="16840" w:h="11910" w:orient="landscape"/>
          <w:pgMar w:top="720" w:right="740" w:bottom="280" w:left="740" w:header="720" w:footer="720" w:gutter="0"/>
          <w:cols w:space="720"/>
        </w:sectPr>
      </w:pPr>
    </w:p>
    <w:p w14:paraId="5A39439F" w14:textId="77777777" w:rsidR="00345EE3" w:rsidRDefault="00345EE3" w:rsidP="00345EE3">
      <w:pPr>
        <w:spacing w:before="68" w:after="52"/>
        <w:ind w:left="110"/>
        <w:rPr>
          <w:b/>
          <w:sz w:val="24"/>
        </w:rPr>
      </w:pPr>
      <w:r>
        <w:rPr>
          <w:b/>
          <w:color w:val="231F20"/>
          <w:sz w:val="24"/>
        </w:rPr>
        <w:t>Trust</w:t>
      </w:r>
      <w:r>
        <w:rPr>
          <w:b/>
          <w:color w:val="231F20"/>
          <w:spacing w:val="-7"/>
          <w:sz w:val="24"/>
        </w:rPr>
        <w:t xml:space="preserve"> </w:t>
      </w:r>
      <w:r>
        <w:rPr>
          <w:b/>
          <w:color w:val="231F20"/>
          <w:sz w:val="24"/>
        </w:rPr>
        <w:t>Account</w:t>
      </w:r>
      <w:r>
        <w:rPr>
          <w:b/>
          <w:color w:val="231F20"/>
          <w:spacing w:val="-6"/>
          <w:sz w:val="24"/>
        </w:rPr>
        <w:t xml:space="preserve"> </w:t>
      </w:r>
      <w:r>
        <w:rPr>
          <w:b/>
          <w:color w:val="231F20"/>
          <w:sz w:val="24"/>
        </w:rPr>
        <w:t>Balances</w:t>
      </w:r>
      <w:r>
        <w:rPr>
          <w:b/>
          <w:color w:val="231F20"/>
          <w:spacing w:val="-8"/>
          <w:sz w:val="24"/>
        </w:rPr>
        <w:t xml:space="preserve"> </w:t>
      </w:r>
      <w:r>
        <w:rPr>
          <w:b/>
          <w:color w:val="231F20"/>
          <w:sz w:val="24"/>
        </w:rPr>
        <w:t>Relating</w:t>
      </w:r>
      <w:r>
        <w:rPr>
          <w:b/>
          <w:color w:val="231F20"/>
          <w:spacing w:val="-6"/>
          <w:sz w:val="24"/>
        </w:rPr>
        <w:t xml:space="preserve"> </w:t>
      </w:r>
      <w:r>
        <w:rPr>
          <w:b/>
          <w:color w:val="231F20"/>
          <w:sz w:val="24"/>
        </w:rPr>
        <w:t>to</w:t>
      </w:r>
      <w:r>
        <w:rPr>
          <w:b/>
          <w:color w:val="231F20"/>
          <w:spacing w:val="-7"/>
          <w:sz w:val="24"/>
        </w:rPr>
        <w:t xml:space="preserve"> </w:t>
      </w:r>
      <w:r>
        <w:rPr>
          <w:b/>
          <w:color w:val="231F20"/>
          <w:sz w:val="24"/>
        </w:rPr>
        <w:t>Trust</w:t>
      </w:r>
      <w:r>
        <w:rPr>
          <w:b/>
          <w:color w:val="231F20"/>
          <w:spacing w:val="-6"/>
          <w:sz w:val="24"/>
        </w:rPr>
        <w:t xml:space="preserve"> </w:t>
      </w:r>
      <w:r>
        <w:rPr>
          <w:b/>
          <w:color w:val="231F20"/>
          <w:sz w:val="24"/>
        </w:rPr>
        <w:t>Accounts</w:t>
      </w:r>
      <w:r>
        <w:rPr>
          <w:b/>
          <w:color w:val="231F20"/>
          <w:spacing w:val="-7"/>
          <w:sz w:val="24"/>
        </w:rPr>
        <w:t xml:space="preserve"> </w:t>
      </w:r>
      <w:r>
        <w:rPr>
          <w:b/>
          <w:color w:val="231F20"/>
          <w:sz w:val="24"/>
        </w:rPr>
        <w:t>Controlled</w:t>
      </w:r>
      <w:r>
        <w:rPr>
          <w:b/>
          <w:color w:val="231F20"/>
          <w:spacing w:val="-7"/>
          <w:sz w:val="24"/>
        </w:rPr>
        <w:t xml:space="preserve"> </w:t>
      </w:r>
      <w:r>
        <w:rPr>
          <w:b/>
          <w:color w:val="231F20"/>
          <w:sz w:val="24"/>
        </w:rPr>
        <w:t>and/or</w:t>
      </w:r>
      <w:r>
        <w:rPr>
          <w:b/>
          <w:color w:val="231F20"/>
          <w:spacing w:val="-7"/>
          <w:sz w:val="24"/>
        </w:rPr>
        <w:t xml:space="preserve"> </w:t>
      </w:r>
      <w:r>
        <w:rPr>
          <w:b/>
          <w:color w:val="231F20"/>
          <w:sz w:val="24"/>
        </w:rPr>
        <w:t>Administered</w:t>
      </w:r>
      <w:r>
        <w:rPr>
          <w:b/>
          <w:color w:val="231F20"/>
          <w:spacing w:val="-7"/>
          <w:sz w:val="24"/>
        </w:rPr>
        <w:t xml:space="preserve"> </w:t>
      </w:r>
      <w:r>
        <w:rPr>
          <w:b/>
          <w:color w:val="231F20"/>
          <w:sz w:val="24"/>
        </w:rPr>
        <w:t>by</w:t>
      </w:r>
      <w:r>
        <w:rPr>
          <w:b/>
          <w:color w:val="231F20"/>
          <w:spacing w:val="-7"/>
          <w:sz w:val="24"/>
        </w:rPr>
        <w:t xml:space="preserve"> </w:t>
      </w:r>
      <w:r>
        <w:rPr>
          <w:b/>
          <w:color w:val="231F20"/>
          <w:sz w:val="24"/>
        </w:rPr>
        <w:t>Victoria</w:t>
      </w:r>
      <w:r>
        <w:rPr>
          <w:b/>
          <w:color w:val="231F20"/>
          <w:spacing w:val="-7"/>
          <w:sz w:val="24"/>
        </w:rPr>
        <w:t xml:space="preserve"> </w:t>
      </w:r>
      <w:r>
        <w:rPr>
          <w:b/>
          <w:color w:val="231F20"/>
          <w:spacing w:val="-2"/>
          <w:sz w:val="24"/>
        </w:rPr>
        <w:t>Police</w:t>
      </w: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24"/>
        <w:gridCol w:w="5216"/>
        <w:gridCol w:w="1134"/>
        <w:gridCol w:w="1134"/>
        <w:gridCol w:w="1247"/>
        <w:gridCol w:w="1134"/>
        <w:gridCol w:w="1134"/>
        <w:gridCol w:w="1134"/>
        <w:gridCol w:w="1247"/>
        <w:gridCol w:w="1134"/>
      </w:tblGrid>
      <w:tr w:rsidR="00345EE3" w14:paraId="043AF1FE" w14:textId="77777777" w:rsidTr="00D73130">
        <w:trPr>
          <w:trHeight w:val="405"/>
        </w:trPr>
        <w:tc>
          <w:tcPr>
            <w:tcW w:w="15138" w:type="dxa"/>
            <w:gridSpan w:val="10"/>
            <w:tcBorders>
              <w:top w:val="nil"/>
              <w:left w:val="nil"/>
              <w:bottom w:val="nil"/>
              <w:right w:val="nil"/>
            </w:tcBorders>
            <w:shd w:val="clear" w:color="auto" w:fill="00529F"/>
          </w:tcPr>
          <w:p w14:paraId="61E40905" w14:textId="77777777" w:rsidR="00345EE3" w:rsidRDefault="00345EE3" w:rsidP="00D73130">
            <w:pPr>
              <w:pStyle w:val="TableParagraph"/>
              <w:spacing w:before="63"/>
              <w:ind w:right="1"/>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3C136042" w14:textId="77777777" w:rsidTr="00D73130">
        <w:trPr>
          <w:trHeight w:val="401"/>
        </w:trPr>
        <w:tc>
          <w:tcPr>
            <w:tcW w:w="624" w:type="dxa"/>
            <w:tcBorders>
              <w:top w:val="nil"/>
              <w:left w:val="nil"/>
              <w:bottom w:val="nil"/>
              <w:right w:val="nil"/>
            </w:tcBorders>
            <w:shd w:val="clear" w:color="auto" w:fill="00529F"/>
          </w:tcPr>
          <w:p w14:paraId="64624356" w14:textId="77777777" w:rsidR="00345EE3" w:rsidRDefault="00345EE3" w:rsidP="00D73130">
            <w:pPr>
              <w:pStyle w:val="TableParagraph"/>
              <w:spacing w:before="0"/>
              <w:jc w:val="left"/>
              <w:rPr>
                <w:rFonts w:ascii="Times New Roman"/>
                <w:sz w:val="20"/>
              </w:rPr>
            </w:pPr>
          </w:p>
        </w:tc>
        <w:tc>
          <w:tcPr>
            <w:tcW w:w="5216" w:type="dxa"/>
            <w:tcBorders>
              <w:top w:val="nil"/>
              <w:left w:val="nil"/>
              <w:bottom w:val="nil"/>
              <w:right w:val="nil"/>
            </w:tcBorders>
            <w:shd w:val="clear" w:color="auto" w:fill="00529F"/>
          </w:tcPr>
          <w:p w14:paraId="28BE1E93" w14:textId="77777777" w:rsidR="00345EE3" w:rsidRDefault="00345EE3" w:rsidP="00D73130">
            <w:pPr>
              <w:pStyle w:val="TableParagraph"/>
              <w:spacing w:before="0"/>
              <w:jc w:val="left"/>
              <w:rPr>
                <w:rFonts w:ascii="Times New Roman"/>
                <w:sz w:val="20"/>
              </w:rPr>
            </w:pPr>
          </w:p>
        </w:tc>
        <w:tc>
          <w:tcPr>
            <w:tcW w:w="1134" w:type="dxa"/>
            <w:tcBorders>
              <w:top w:val="nil"/>
              <w:left w:val="nil"/>
              <w:bottom w:val="nil"/>
              <w:right w:val="nil"/>
            </w:tcBorders>
            <w:shd w:val="clear" w:color="auto" w:fill="00529F"/>
          </w:tcPr>
          <w:p w14:paraId="20A7A933" w14:textId="77777777" w:rsidR="00345EE3" w:rsidRDefault="00345EE3" w:rsidP="00D73130">
            <w:pPr>
              <w:pStyle w:val="TableParagraph"/>
              <w:spacing w:before="0"/>
              <w:jc w:val="left"/>
              <w:rPr>
                <w:rFonts w:ascii="Times New Roman"/>
                <w:sz w:val="20"/>
              </w:rPr>
            </w:pPr>
          </w:p>
        </w:tc>
        <w:tc>
          <w:tcPr>
            <w:tcW w:w="2381" w:type="dxa"/>
            <w:gridSpan w:val="2"/>
            <w:tcBorders>
              <w:top w:val="nil"/>
              <w:left w:val="nil"/>
              <w:bottom w:val="nil"/>
              <w:right w:val="nil"/>
            </w:tcBorders>
            <w:shd w:val="clear" w:color="auto" w:fill="00529F"/>
          </w:tcPr>
          <w:p w14:paraId="5B12BB0E" w14:textId="77777777" w:rsidR="00345EE3" w:rsidRDefault="00345EE3" w:rsidP="00D73130">
            <w:pPr>
              <w:pStyle w:val="TableParagraph"/>
              <w:spacing w:before="59"/>
              <w:ind w:left="909" w:right="910"/>
              <w:jc w:val="center"/>
              <w:rPr>
                <w:b/>
                <w:sz w:val="24"/>
              </w:rPr>
            </w:pPr>
            <w:r>
              <w:rPr>
                <w:b/>
                <w:color w:val="FFFFFF"/>
                <w:spacing w:val="-4"/>
                <w:sz w:val="24"/>
              </w:rPr>
              <w:t>2022</w:t>
            </w:r>
          </w:p>
        </w:tc>
        <w:tc>
          <w:tcPr>
            <w:tcW w:w="1134" w:type="dxa"/>
            <w:tcBorders>
              <w:top w:val="nil"/>
              <w:left w:val="nil"/>
              <w:bottom w:val="nil"/>
              <w:right w:val="nil"/>
            </w:tcBorders>
            <w:shd w:val="clear" w:color="auto" w:fill="00529F"/>
          </w:tcPr>
          <w:p w14:paraId="789EE465" w14:textId="77777777" w:rsidR="00345EE3" w:rsidRDefault="00345EE3" w:rsidP="00D73130">
            <w:pPr>
              <w:pStyle w:val="TableParagraph"/>
              <w:spacing w:before="0"/>
              <w:jc w:val="left"/>
              <w:rPr>
                <w:rFonts w:ascii="Times New Roman"/>
                <w:sz w:val="20"/>
              </w:rPr>
            </w:pPr>
          </w:p>
        </w:tc>
        <w:tc>
          <w:tcPr>
            <w:tcW w:w="1134" w:type="dxa"/>
            <w:tcBorders>
              <w:top w:val="nil"/>
              <w:left w:val="nil"/>
              <w:bottom w:val="nil"/>
              <w:right w:val="nil"/>
            </w:tcBorders>
            <w:shd w:val="clear" w:color="auto" w:fill="00529F"/>
          </w:tcPr>
          <w:p w14:paraId="02ACEE81" w14:textId="77777777" w:rsidR="00345EE3" w:rsidRDefault="00345EE3" w:rsidP="00D73130">
            <w:pPr>
              <w:pStyle w:val="TableParagraph"/>
              <w:spacing w:before="0"/>
              <w:jc w:val="left"/>
              <w:rPr>
                <w:rFonts w:ascii="Times New Roman"/>
                <w:sz w:val="20"/>
              </w:rPr>
            </w:pPr>
          </w:p>
        </w:tc>
        <w:tc>
          <w:tcPr>
            <w:tcW w:w="2381" w:type="dxa"/>
            <w:gridSpan w:val="2"/>
            <w:tcBorders>
              <w:top w:val="nil"/>
              <w:left w:val="nil"/>
              <w:bottom w:val="nil"/>
              <w:right w:val="nil"/>
            </w:tcBorders>
            <w:shd w:val="clear" w:color="auto" w:fill="00529F"/>
          </w:tcPr>
          <w:p w14:paraId="3F468F6C" w14:textId="77777777" w:rsidR="00345EE3" w:rsidRDefault="00345EE3" w:rsidP="00D73130">
            <w:pPr>
              <w:pStyle w:val="TableParagraph"/>
              <w:spacing w:before="59"/>
              <w:ind w:left="907" w:right="912"/>
              <w:jc w:val="center"/>
              <w:rPr>
                <w:b/>
                <w:sz w:val="24"/>
              </w:rPr>
            </w:pPr>
            <w:r>
              <w:rPr>
                <w:b/>
                <w:color w:val="FFFFFF"/>
                <w:spacing w:val="-4"/>
                <w:sz w:val="24"/>
              </w:rPr>
              <w:t>2021</w:t>
            </w:r>
          </w:p>
        </w:tc>
        <w:tc>
          <w:tcPr>
            <w:tcW w:w="1134" w:type="dxa"/>
            <w:tcBorders>
              <w:top w:val="nil"/>
              <w:left w:val="nil"/>
              <w:bottom w:val="nil"/>
              <w:right w:val="nil"/>
            </w:tcBorders>
            <w:shd w:val="clear" w:color="auto" w:fill="00529F"/>
          </w:tcPr>
          <w:p w14:paraId="10F903CC" w14:textId="77777777" w:rsidR="00345EE3" w:rsidRDefault="00345EE3" w:rsidP="00D73130">
            <w:pPr>
              <w:pStyle w:val="TableParagraph"/>
              <w:spacing w:before="0"/>
              <w:jc w:val="left"/>
              <w:rPr>
                <w:rFonts w:ascii="Times New Roman"/>
                <w:sz w:val="20"/>
              </w:rPr>
            </w:pPr>
          </w:p>
        </w:tc>
      </w:tr>
      <w:tr w:rsidR="00345EE3" w14:paraId="03A3F96D" w14:textId="77777777" w:rsidTr="00D73130">
        <w:trPr>
          <w:trHeight w:val="677"/>
        </w:trPr>
        <w:tc>
          <w:tcPr>
            <w:tcW w:w="5840" w:type="dxa"/>
            <w:gridSpan w:val="2"/>
            <w:tcBorders>
              <w:top w:val="nil"/>
              <w:left w:val="nil"/>
              <w:bottom w:val="nil"/>
              <w:right w:val="nil"/>
            </w:tcBorders>
            <w:shd w:val="clear" w:color="auto" w:fill="00529F"/>
          </w:tcPr>
          <w:p w14:paraId="4E6091D4" w14:textId="77777777" w:rsidR="00345EE3" w:rsidRDefault="00345EE3" w:rsidP="00D73130">
            <w:pPr>
              <w:pStyle w:val="TableParagraph"/>
              <w:spacing w:before="59"/>
              <w:jc w:val="left"/>
              <w:rPr>
                <w:b/>
                <w:sz w:val="24"/>
              </w:rPr>
            </w:pPr>
            <w:r>
              <w:rPr>
                <w:b/>
                <w:color w:val="FFFFFF"/>
                <w:sz w:val="24"/>
              </w:rPr>
              <w:t>Cash</w:t>
            </w:r>
            <w:r>
              <w:rPr>
                <w:b/>
                <w:color w:val="FFFFFF"/>
                <w:spacing w:val="-3"/>
                <w:sz w:val="24"/>
              </w:rPr>
              <w:t xml:space="preserve"> </w:t>
            </w:r>
            <w:r>
              <w:rPr>
                <w:b/>
                <w:color w:val="FFFFFF"/>
                <w:sz w:val="24"/>
              </w:rPr>
              <w:t>and</w:t>
            </w:r>
            <w:r>
              <w:rPr>
                <w:b/>
                <w:color w:val="FFFFFF"/>
                <w:spacing w:val="-3"/>
                <w:sz w:val="24"/>
              </w:rPr>
              <w:t xml:space="preserve"> </w:t>
            </w:r>
            <w:r>
              <w:rPr>
                <w:b/>
                <w:color w:val="FFFFFF"/>
                <w:sz w:val="24"/>
              </w:rPr>
              <w:t>cash</w:t>
            </w:r>
            <w:r>
              <w:rPr>
                <w:b/>
                <w:color w:val="FFFFFF"/>
                <w:spacing w:val="-3"/>
                <w:sz w:val="24"/>
              </w:rPr>
              <w:t xml:space="preserve"> </w:t>
            </w:r>
            <w:r>
              <w:rPr>
                <w:b/>
                <w:color w:val="FFFFFF"/>
                <w:sz w:val="24"/>
              </w:rPr>
              <w:t>equivalents</w:t>
            </w:r>
            <w:r>
              <w:rPr>
                <w:b/>
                <w:color w:val="FFFFFF"/>
                <w:spacing w:val="-4"/>
                <w:sz w:val="24"/>
              </w:rPr>
              <w:t xml:space="preserve"> </w:t>
            </w:r>
            <w:r>
              <w:rPr>
                <w:b/>
                <w:color w:val="FFFFFF"/>
                <w:sz w:val="24"/>
              </w:rPr>
              <w:t>and</w:t>
            </w:r>
            <w:r>
              <w:rPr>
                <w:b/>
                <w:color w:val="FFFFFF"/>
                <w:spacing w:val="-2"/>
                <w:sz w:val="24"/>
              </w:rPr>
              <w:t xml:space="preserve"> investments</w:t>
            </w:r>
          </w:p>
        </w:tc>
        <w:tc>
          <w:tcPr>
            <w:tcW w:w="1134" w:type="dxa"/>
            <w:tcBorders>
              <w:top w:val="nil"/>
              <w:left w:val="nil"/>
              <w:bottom w:val="nil"/>
              <w:right w:val="nil"/>
            </w:tcBorders>
            <w:shd w:val="clear" w:color="auto" w:fill="00529F"/>
          </w:tcPr>
          <w:p w14:paraId="69C7414A" w14:textId="77777777" w:rsidR="00345EE3" w:rsidRDefault="00345EE3" w:rsidP="00D73130">
            <w:pPr>
              <w:pStyle w:val="TableParagraph"/>
              <w:spacing w:before="59" w:line="242" w:lineRule="auto"/>
              <w:ind w:left="224" w:right="-3" w:hanging="53"/>
              <w:jc w:val="left"/>
              <w:rPr>
                <w:b/>
                <w:sz w:val="24"/>
              </w:rPr>
            </w:pPr>
            <w:r>
              <w:rPr>
                <w:b/>
                <w:color w:val="FFFFFF"/>
                <w:spacing w:val="-4"/>
                <w:sz w:val="24"/>
              </w:rPr>
              <w:t xml:space="preserve">Opening </w:t>
            </w:r>
            <w:r>
              <w:rPr>
                <w:b/>
                <w:color w:val="FFFFFF"/>
                <w:spacing w:val="-5"/>
                <w:sz w:val="24"/>
              </w:rPr>
              <w:t>Balance</w:t>
            </w:r>
          </w:p>
        </w:tc>
        <w:tc>
          <w:tcPr>
            <w:tcW w:w="1134" w:type="dxa"/>
            <w:tcBorders>
              <w:top w:val="nil"/>
              <w:left w:val="nil"/>
              <w:bottom w:val="nil"/>
              <w:right w:val="nil"/>
            </w:tcBorders>
            <w:shd w:val="clear" w:color="auto" w:fill="00529F"/>
          </w:tcPr>
          <w:p w14:paraId="1C209478" w14:textId="77777777" w:rsidR="00345EE3" w:rsidRDefault="00345EE3" w:rsidP="00D73130">
            <w:pPr>
              <w:pStyle w:val="TableParagraph"/>
              <w:spacing w:before="59" w:line="242" w:lineRule="auto"/>
              <w:ind w:left="93" w:right="50" w:firstLine="437"/>
              <w:jc w:val="left"/>
              <w:rPr>
                <w:b/>
                <w:sz w:val="24"/>
              </w:rPr>
            </w:pPr>
            <w:r>
              <w:rPr>
                <w:b/>
                <w:color w:val="FFFFFF"/>
                <w:spacing w:val="-8"/>
                <w:sz w:val="24"/>
              </w:rPr>
              <w:t xml:space="preserve">Total </w:t>
            </w:r>
            <w:r>
              <w:rPr>
                <w:b/>
                <w:color w:val="FFFFFF"/>
                <w:spacing w:val="-5"/>
                <w:sz w:val="24"/>
              </w:rPr>
              <w:t>Receipts</w:t>
            </w:r>
          </w:p>
        </w:tc>
        <w:tc>
          <w:tcPr>
            <w:tcW w:w="1247" w:type="dxa"/>
            <w:tcBorders>
              <w:top w:val="nil"/>
              <w:left w:val="nil"/>
              <w:bottom w:val="nil"/>
              <w:right w:val="nil"/>
            </w:tcBorders>
            <w:shd w:val="clear" w:color="auto" w:fill="00529F"/>
          </w:tcPr>
          <w:p w14:paraId="28EC783E" w14:textId="77777777" w:rsidR="00345EE3" w:rsidRDefault="00345EE3" w:rsidP="00D73130">
            <w:pPr>
              <w:pStyle w:val="TableParagraph"/>
              <w:spacing w:before="59" w:line="242" w:lineRule="auto"/>
              <w:ind w:left="72" w:right="50" w:firstLine="571"/>
              <w:jc w:val="left"/>
              <w:rPr>
                <w:b/>
                <w:sz w:val="24"/>
              </w:rPr>
            </w:pPr>
            <w:r>
              <w:rPr>
                <w:b/>
                <w:color w:val="FFFFFF"/>
                <w:spacing w:val="-8"/>
                <w:sz w:val="24"/>
              </w:rPr>
              <w:t xml:space="preserve">Total </w:t>
            </w:r>
            <w:r>
              <w:rPr>
                <w:b/>
                <w:color w:val="FFFFFF"/>
                <w:spacing w:val="-5"/>
                <w:sz w:val="24"/>
              </w:rPr>
              <w:t>Payments</w:t>
            </w:r>
          </w:p>
        </w:tc>
        <w:tc>
          <w:tcPr>
            <w:tcW w:w="1134" w:type="dxa"/>
            <w:tcBorders>
              <w:top w:val="nil"/>
              <w:left w:val="nil"/>
              <w:bottom w:val="nil"/>
              <w:right w:val="nil"/>
            </w:tcBorders>
            <w:shd w:val="clear" w:color="auto" w:fill="00529F"/>
          </w:tcPr>
          <w:p w14:paraId="12CDA24A" w14:textId="77777777" w:rsidR="00345EE3" w:rsidRDefault="00345EE3" w:rsidP="00D73130">
            <w:pPr>
              <w:pStyle w:val="TableParagraph"/>
              <w:spacing w:before="59" w:line="242" w:lineRule="auto"/>
              <w:ind w:left="170" w:right="52" w:firstLine="40"/>
              <w:jc w:val="left"/>
              <w:rPr>
                <w:b/>
                <w:sz w:val="24"/>
              </w:rPr>
            </w:pPr>
            <w:r>
              <w:rPr>
                <w:b/>
                <w:color w:val="FFFFFF"/>
                <w:spacing w:val="-4"/>
                <w:sz w:val="24"/>
              </w:rPr>
              <w:t xml:space="preserve">Closing </w:t>
            </w:r>
            <w:r>
              <w:rPr>
                <w:b/>
                <w:color w:val="FFFFFF"/>
                <w:spacing w:val="-5"/>
                <w:sz w:val="24"/>
              </w:rPr>
              <w:t>Balance</w:t>
            </w:r>
          </w:p>
        </w:tc>
        <w:tc>
          <w:tcPr>
            <w:tcW w:w="1134" w:type="dxa"/>
            <w:tcBorders>
              <w:top w:val="nil"/>
              <w:left w:val="nil"/>
              <w:bottom w:val="nil"/>
              <w:right w:val="nil"/>
            </w:tcBorders>
            <w:shd w:val="clear" w:color="auto" w:fill="00529F"/>
          </w:tcPr>
          <w:p w14:paraId="75D7BA76" w14:textId="77777777" w:rsidR="00345EE3" w:rsidRDefault="00345EE3" w:rsidP="00D73130">
            <w:pPr>
              <w:pStyle w:val="TableParagraph"/>
              <w:spacing w:before="59" w:line="242" w:lineRule="auto"/>
              <w:ind w:left="170" w:right="51" w:hanging="53"/>
              <w:jc w:val="left"/>
              <w:rPr>
                <w:b/>
                <w:sz w:val="24"/>
              </w:rPr>
            </w:pPr>
            <w:r>
              <w:rPr>
                <w:b/>
                <w:color w:val="FFFFFF"/>
                <w:spacing w:val="-4"/>
                <w:sz w:val="24"/>
              </w:rPr>
              <w:t xml:space="preserve">Opening </w:t>
            </w:r>
            <w:r>
              <w:rPr>
                <w:b/>
                <w:color w:val="FFFFFF"/>
                <w:spacing w:val="-5"/>
                <w:sz w:val="24"/>
              </w:rPr>
              <w:t>Balance</w:t>
            </w:r>
          </w:p>
        </w:tc>
        <w:tc>
          <w:tcPr>
            <w:tcW w:w="1134" w:type="dxa"/>
            <w:tcBorders>
              <w:top w:val="nil"/>
              <w:left w:val="nil"/>
              <w:bottom w:val="nil"/>
              <w:right w:val="nil"/>
            </w:tcBorders>
            <w:shd w:val="clear" w:color="auto" w:fill="00529F"/>
          </w:tcPr>
          <w:p w14:paraId="701928F1" w14:textId="77777777" w:rsidR="00345EE3" w:rsidRDefault="00345EE3" w:rsidP="00D73130">
            <w:pPr>
              <w:pStyle w:val="TableParagraph"/>
              <w:spacing w:before="59" w:line="242" w:lineRule="auto"/>
              <w:ind w:left="93" w:right="50" w:firstLine="437"/>
              <w:jc w:val="left"/>
              <w:rPr>
                <w:b/>
                <w:sz w:val="24"/>
              </w:rPr>
            </w:pPr>
            <w:r>
              <w:rPr>
                <w:b/>
                <w:color w:val="FFFFFF"/>
                <w:spacing w:val="-8"/>
                <w:sz w:val="24"/>
              </w:rPr>
              <w:t xml:space="preserve">Total </w:t>
            </w:r>
            <w:r>
              <w:rPr>
                <w:b/>
                <w:color w:val="FFFFFF"/>
                <w:spacing w:val="-5"/>
                <w:sz w:val="24"/>
              </w:rPr>
              <w:t>Receipts</w:t>
            </w:r>
          </w:p>
        </w:tc>
        <w:tc>
          <w:tcPr>
            <w:tcW w:w="1247" w:type="dxa"/>
            <w:tcBorders>
              <w:top w:val="nil"/>
              <w:left w:val="nil"/>
              <w:bottom w:val="nil"/>
              <w:right w:val="nil"/>
            </w:tcBorders>
            <w:shd w:val="clear" w:color="auto" w:fill="00529F"/>
          </w:tcPr>
          <w:p w14:paraId="10448AEF" w14:textId="77777777" w:rsidR="00345EE3" w:rsidRDefault="00345EE3" w:rsidP="00D73130">
            <w:pPr>
              <w:pStyle w:val="TableParagraph"/>
              <w:spacing w:before="59" w:line="242" w:lineRule="auto"/>
              <w:ind w:left="72" w:right="50" w:firstLine="571"/>
              <w:jc w:val="left"/>
              <w:rPr>
                <w:b/>
                <w:sz w:val="24"/>
              </w:rPr>
            </w:pPr>
            <w:r>
              <w:rPr>
                <w:b/>
                <w:color w:val="FFFFFF"/>
                <w:spacing w:val="-8"/>
                <w:sz w:val="24"/>
              </w:rPr>
              <w:t xml:space="preserve">Total </w:t>
            </w:r>
            <w:r>
              <w:rPr>
                <w:b/>
                <w:color w:val="FFFFFF"/>
                <w:spacing w:val="-5"/>
                <w:sz w:val="24"/>
              </w:rPr>
              <w:t>Payments</w:t>
            </w:r>
          </w:p>
        </w:tc>
        <w:tc>
          <w:tcPr>
            <w:tcW w:w="1134" w:type="dxa"/>
            <w:tcBorders>
              <w:top w:val="nil"/>
              <w:left w:val="nil"/>
              <w:bottom w:val="nil"/>
              <w:right w:val="nil"/>
            </w:tcBorders>
            <w:shd w:val="clear" w:color="auto" w:fill="00529F"/>
          </w:tcPr>
          <w:p w14:paraId="30929D29" w14:textId="77777777" w:rsidR="00345EE3" w:rsidRDefault="00345EE3" w:rsidP="00D73130">
            <w:pPr>
              <w:pStyle w:val="TableParagraph"/>
              <w:spacing w:before="59" w:line="242" w:lineRule="auto"/>
              <w:ind w:left="170" w:right="52" w:firstLine="40"/>
              <w:jc w:val="left"/>
              <w:rPr>
                <w:b/>
                <w:sz w:val="24"/>
              </w:rPr>
            </w:pPr>
            <w:r>
              <w:rPr>
                <w:b/>
                <w:color w:val="FFFFFF"/>
                <w:spacing w:val="-4"/>
                <w:sz w:val="24"/>
              </w:rPr>
              <w:t xml:space="preserve">Closing </w:t>
            </w:r>
            <w:r>
              <w:rPr>
                <w:b/>
                <w:color w:val="FFFFFF"/>
                <w:spacing w:val="-5"/>
                <w:sz w:val="24"/>
              </w:rPr>
              <w:t>Balance</w:t>
            </w:r>
          </w:p>
        </w:tc>
      </w:tr>
      <w:tr w:rsidR="00345EE3" w14:paraId="45A742ED" w14:textId="77777777" w:rsidTr="00D73130">
        <w:trPr>
          <w:trHeight w:val="393"/>
        </w:trPr>
        <w:tc>
          <w:tcPr>
            <w:tcW w:w="5840" w:type="dxa"/>
            <w:gridSpan w:val="2"/>
            <w:tcBorders>
              <w:top w:val="nil"/>
              <w:left w:val="nil"/>
            </w:tcBorders>
          </w:tcPr>
          <w:p w14:paraId="44A481AC" w14:textId="77777777" w:rsidR="00345EE3" w:rsidRDefault="00345EE3" w:rsidP="00D73130">
            <w:pPr>
              <w:pStyle w:val="TableParagraph"/>
              <w:spacing w:before="58"/>
              <w:ind w:left="-2"/>
              <w:jc w:val="left"/>
              <w:rPr>
                <w:b/>
                <w:sz w:val="24"/>
              </w:rPr>
            </w:pPr>
            <w:r>
              <w:rPr>
                <w:b/>
                <w:color w:val="231F20"/>
                <w:sz w:val="24"/>
              </w:rPr>
              <w:t>Administered</w:t>
            </w:r>
            <w:r>
              <w:rPr>
                <w:b/>
                <w:color w:val="231F20"/>
                <w:spacing w:val="-12"/>
                <w:sz w:val="24"/>
              </w:rPr>
              <w:t xml:space="preserve"> </w:t>
            </w:r>
            <w:r>
              <w:rPr>
                <w:b/>
                <w:color w:val="231F20"/>
                <w:spacing w:val="-2"/>
                <w:sz w:val="24"/>
              </w:rPr>
              <w:t>Trusts</w:t>
            </w:r>
          </w:p>
        </w:tc>
        <w:tc>
          <w:tcPr>
            <w:tcW w:w="1134" w:type="dxa"/>
            <w:tcBorders>
              <w:top w:val="nil"/>
            </w:tcBorders>
            <w:shd w:val="clear" w:color="auto" w:fill="E6E7E8"/>
          </w:tcPr>
          <w:p w14:paraId="760F6A5D" w14:textId="77777777" w:rsidR="00345EE3" w:rsidRDefault="00345EE3" w:rsidP="00D73130">
            <w:pPr>
              <w:pStyle w:val="TableParagraph"/>
              <w:spacing w:before="0"/>
              <w:jc w:val="left"/>
              <w:rPr>
                <w:rFonts w:ascii="Times New Roman"/>
                <w:sz w:val="20"/>
              </w:rPr>
            </w:pPr>
          </w:p>
        </w:tc>
        <w:tc>
          <w:tcPr>
            <w:tcW w:w="1134" w:type="dxa"/>
            <w:tcBorders>
              <w:top w:val="nil"/>
            </w:tcBorders>
            <w:shd w:val="clear" w:color="auto" w:fill="E6E7E8"/>
          </w:tcPr>
          <w:p w14:paraId="48706B8B" w14:textId="77777777" w:rsidR="00345EE3" w:rsidRDefault="00345EE3" w:rsidP="00D73130">
            <w:pPr>
              <w:pStyle w:val="TableParagraph"/>
              <w:spacing w:before="0"/>
              <w:jc w:val="left"/>
              <w:rPr>
                <w:rFonts w:ascii="Times New Roman"/>
                <w:sz w:val="20"/>
              </w:rPr>
            </w:pPr>
          </w:p>
        </w:tc>
        <w:tc>
          <w:tcPr>
            <w:tcW w:w="1247" w:type="dxa"/>
            <w:tcBorders>
              <w:top w:val="nil"/>
            </w:tcBorders>
            <w:shd w:val="clear" w:color="auto" w:fill="E6E7E8"/>
          </w:tcPr>
          <w:p w14:paraId="1BDA93C8" w14:textId="77777777" w:rsidR="00345EE3" w:rsidRDefault="00345EE3" w:rsidP="00D73130">
            <w:pPr>
              <w:pStyle w:val="TableParagraph"/>
              <w:spacing w:before="0"/>
              <w:jc w:val="left"/>
              <w:rPr>
                <w:rFonts w:ascii="Times New Roman"/>
                <w:sz w:val="20"/>
              </w:rPr>
            </w:pPr>
          </w:p>
        </w:tc>
        <w:tc>
          <w:tcPr>
            <w:tcW w:w="1134" w:type="dxa"/>
            <w:tcBorders>
              <w:top w:val="nil"/>
            </w:tcBorders>
            <w:shd w:val="clear" w:color="auto" w:fill="E6E7E8"/>
          </w:tcPr>
          <w:p w14:paraId="2B6422CB" w14:textId="77777777" w:rsidR="00345EE3" w:rsidRDefault="00345EE3" w:rsidP="00D73130">
            <w:pPr>
              <w:pStyle w:val="TableParagraph"/>
              <w:spacing w:before="0"/>
              <w:jc w:val="left"/>
              <w:rPr>
                <w:rFonts w:ascii="Times New Roman"/>
                <w:sz w:val="20"/>
              </w:rPr>
            </w:pPr>
          </w:p>
        </w:tc>
        <w:tc>
          <w:tcPr>
            <w:tcW w:w="1134" w:type="dxa"/>
            <w:tcBorders>
              <w:top w:val="nil"/>
            </w:tcBorders>
          </w:tcPr>
          <w:p w14:paraId="3B9795FF" w14:textId="77777777" w:rsidR="00345EE3" w:rsidRDefault="00345EE3" w:rsidP="00D73130">
            <w:pPr>
              <w:pStyle w:val="TableParagraph"/>
              <w:spacing w:before="0"/>
              <w:jc w:val="left"/>
              <w:rPr>
                <w:rFonts w:ascii="Times New Roman"/>
                <w:sz w:val="20"/>
              </w:rPr>
            </w:pPr>
          </w:p>
        </w:tc>
        <w:tc>
          <w:tcPr>
            <w:tcW w:w="1134" w:type="dxa"/>
            <w:tcBorders>
              <w:top w:val="nil"/>
            </w:tcBorders>
          </w:tcPr>
          <w:p w14:paraId="41621FB8" w14:textId="77777777" w:rsidR="00345EE3" w:rsidRDefault="00345EE3" w:rsidP="00D73130">
            <w:pPr>
              <w:pStyle w:val="TableParagraph"/>
              <w:spacing w:before="0"/>
              <w:jc w:val="left"/>
              <w:rPr>
                <w:rFonts w:ascii="Times New Roman"/>
                <w:sz w:val="20"/>
              </w:rPr>
            </w:pPr>
          </w:p>
        </w:tc>
        <w:tc>
          <w:tcPr>
            <w:tcW w:w="1247" w:type="dxa"/>
            <w:tcBorders>
              <w:top w:val="nil"/>
            </w:tcBorders>
          </w:tcPr>
          <w:p w14:paraId="6C67A5A4" w14:textId="77777777" w:rsidR="00345EE3" w:rsidRDefault="00345EE3" w:rsidP="00D73130">
            <w:pPr>
              <w:pStyle w:val="TableParagraph"/>
              <w:spacing w:before="0"/>
              <w:jc w:val="left"/>
              <w:rPr>
                <w:rFonts w:ascii="Times New Roman"/>
                <w:sz w:val="20"/>
              </w:rPr>
            </w:pPr>
          </w:p>
        </w:tc>
        <w:tc>
          <w:tcPr>
            <w:tcW w:w="1134" w:type="dxa"/>
            <w:tcBorders>
              <w:top w:val="nil"/>
              <w:right w:val="nil"/>
            </w:tcBorders>
          </w:tcPr>
          <w:p w14:paraId="5F4A6F93" w14:textId="77777777" w:rsidR="00345EE3" w:rsidRDefault="00345EE3" w:rsidP="00D73130">
            <w:pPr>
              <w:pStyle w:val="TableParagraph"/>
              <w:spacing w:before="0"/>
              <w:jc w:val="left"/>
              <w:rPr>
                <w:rFonts w:ascii="Times New Roman"/>
                <w:sz w:val="20"/>
              </w:rPr>
            </w:pPr>
          </w:p>
        </w:tc>
      </w:tr>
      <w:tr w:rsidR="00345EE3" w14:paraId="7A464F2C" w14:textId="77777777" w:rsidTr="00D73130">
        <w:trPr>
          <w:trHeight w:val="1236"/>
        </w:trPr>
        <w:tc>
          <w:tcPr>
            <w:tcW w:w="624" w:type="dxa"/>
            <w:tcBorders>
              <w:left w:val="nil"/>
            </w:tcBorders>
          </w:tcPr>
          <w:p w14:paraId="3CBF66D9" w14:textId="77777777" w:rsidR="00345EE3" w:rsidRDefault="00345EE3" w:rsidP="00D73130">
            <w:pPr>
              <w:pStyle w:val="TableParagraph"/>
              <w:ind w:left="-2"/>
              <w:jc w:val="left"/>
              <w:rPr>
                <w:b/>
                <w:sz w:val="24"/>
              </w:rPr>
            </w:pPr>
            <w:r>
              <w:rPr>
                <w:b/>
                <w:color w:val="231F20"/>
                <w:spacing w:val="-4"/>
                <w:sz w:val="24"/>
              </w:rPr>
              <w:t>4165</w:t>
            </w:r>
          </w:p>
        </w:tc>
        <w:tc>
          <w:tcPr>
            <w:tcW w:w="5216" w:type="dxa"/>
          </w:tcPr>
          <w:p w14:paraId="15D96A20" w14:textId="77777777" w:rsidR="00345EE3" w:rsidRDefault="00345EE3" w:rsidP="00D73130">
            <w:pPr>
              <w:pStyle w:val="TableParagraph"/>
              <w:ind w:left="54"/>
              <w:jc w:val="left"/>
              <w:rPr>
                <w:b/>
                <w:sz w:val="24"/>
              </w:rPr>
            </w:pPr>
            <w:r>
              <w:rPr>
                <w:b/>
                <w:color w:val="231F20"/>
                <w:sz w:val="24"/>
              </w:rPr>
              <w:t>Departmental</w:t>
            </w:r>
            <w:r>
              <w:rPr>
                <w:b/>
                <w:color w:val="231F20"/>
                <w:spacing w:val="-6"/>
                <w:sz w:val="24"/>
              </w:rPr>
              <w:t xml:space="preserve"> </w:t>
            </w:r>
            <w:r>
              <w:rPr>
                <w:b/>
                <w:color w:val="231F20"/>
                <w:sz w:val="24"/>
              </w:rPr>
              <w:t>Suspense</w:t>
            </w:r>
            <w:r>
              <w:rPr>
                <w:b/>
                <w:color w:val="231F20"/>
                <w:spacing w:val="-14"/>
                <w:sz w:val="24"/>
              </w:rPr>
              <w:t xml:space="preserve"> </w:t>
            </w:r>
            <w:r>
              <w:rPr>
                <w:b/>
                <w:color w:val="231F20"/>
                <w:spacing w:val="-2"/>
                <w:sz w:val="24"/>
              </w:rPr>
              <w:t>Account</w:t>
            </w:r>
          </w:p>
          <w:p w14:paraId="50C9188D" w14:textId="77777777" w:rsidR="00345EE3" w:rsidRDefault="00345EE3" w:rsidP="00D73130">
            <w:pPr>
              <w:pStyle w:val="TableParagraph"/>
              <w:spacing w:before="4" w:line="242" w:lineRule="auto"/>
              <w:ind w:left="54"/>
              <w:jc w:val="left"/>
              <w:rPr>
                <w:sz w:val="24"/>
              </w:rPr>
            </w:pPr>
            <w:r>
              <w:rPr>
                <w:color w:val="231F20"/>
                <w:sz w:val="24"/>
              </w:rPr>
              <w:t xml:space="preserve">Under the </w:t>
            </w:r>
            <w:r>
              <w:rPr>
                <w:i/>
                <w:color w:val="231F20"/>
                <w:sz w:val="24"/>
              </w:rPr>
              <w:t>Financial</w:t>
            </w:r>
            <w:r>
              <w:rPr>
                <w:i/>
                <w:color w:val="231F20"/>
                <w:spacing w:val="-2"/>
                <w:sz w:val="24"/>
              </w:rPr>
              <w:t xml:space="preserve"> </w:t>
            </w:r>
            <w:r>
              <w:rPr>
                <w:i/>
                <w:color w:val="231F20"/>
                <w:sz w:val="24"/>
              </w:rPr>
              <w:t>Management</w:t>
            </w:r>
            <w:r>
              <w:rPr>
                <w:i/>
                <w:color w:val="231F20"/>
                <w:spacing w:val="-12"/>
                <w:sz w:val="24"/>
              </w:rPr>
              <w:t xml:space="preserve"> </w:t>
            </w:r>
            <w:r>
              <w:rPr>
                <w:i/>
                <w:color w:val="231F20"/>
                <w:sz w:val="24"/>
              </w:rPr>
              <w:t>Act</w:t>
            </w:r>
            <w:r>
              <w:rPr>
                <w:i/>
                <w:color w:val="231F20"/>
                <w:spacing w:val="-2"/>
                <w:sz w:val="24"/>
              </w:rPr>
              <w:t xml:space="preserve"> </w:t>
            </w:r>
            <w:r>
              <w:rPr>
                <w:i/>
                <w:color w:val="231F20"/>
                <w:sz w:val="24"/>
              </w:rPr>
              <w:t xml:space="preserve">1994 </w:t>
            </w:r>
            <w:r>
              <w:rPr>
                <w:color w:val="231F20"/>
                <w:sz w:val="24"/>
              </w:rPr>
              <w:t>to record</w:t>
            </w:r>
            <w:r>
              <w:rPr>
                <w:color w:val="231F20"/>
                <w:spacing w:val="-6"/>
                <w:sz w:val="24"/>
              </w:rPr>
              <w:t xml:space="preserve"> </w:t>
            </w:r>
            <w:r>
              <w:rPr>
                <w:color w:val="231F20"/>
                <w:sz w:val="24"/>
              </w:rPr>
              <w:t>the</w:t>
            </w:r>
            <w:r>
              <w:rPr>
                <w:color w:val="231F20"/>
                <w:spacing w:val="-6"/>
                <w:sz w:val="24"/>
              </w:rPr>
              <w:t xml:space="preserve"> </w:t>
            </w:r>
            <w:r>
              <w:rPr>
                <w:color w:val="231F20"/>
                <w:sz w:val="24"/>
              </w:rPr>
              <w:t>receipt</w:t>
            </w:r>
            <w:r>
              <w:rPr>
                <w:color w:val="231F20"/>
                <w:spacing w:val="-6"/>
                <w:sz w:val="24"/>
              </w:rPr>
              <w:t xml:space="preserve"> </w:t>
            </w:r>
            <w:r>
              <w:rPr>
                <w:color w:val="231F20"/>
                <w:sz w:val="24"/>
              </w:rPr>
              <w:t>and</w:t>
            </w:r>
            <w:r>
              <w:rPr>
                <w:color w:val="231F20"/>
                <w:spacing w:val="-7"/>
                <w:sz w:val="24"/>
              </w:rPr>
              <w:t xml:space="preserve"> </w:t>
            </w:r>
            <w:r>
              <w:rPr>
                <w:color w:val="231F20"/>
                <w:sz w:val="24"/>
              </w:rPr>
              <w:t>disbursement</w:t>
            </w:r>
            <w:r>
              <w:rPr>
                <w:color w:val="231F20"/>
                <w:spacing w:val="-7"/>
                <w:sz w:val="24"/>
              </w:rPr>
              <w:t xml:space="preserve"> </w:t>
            </w:r>
            <w:r>
              <w:rPr>
                <w:color w:val="231F20"/>
                <w:sz w:val="24"/>
              </w:rPr>
              <w:t>of</w:t>
            </w:r>
            <w:r>
              <w:rPr>
                <w:color w:val="231F20"/>
                <w:spacing w:val="-7"/>
                <w:sz w:val="24"/>
              </w:rPr>
              <w:t xml:space="preserve"> </w:t>
            </w:r>
            <w:r>
              <w:rPr>
                <w:color w:val="231F20"/>
                <w:sz w:val="24"/>
              </w:rPr>
              <w:t>seized and unclaimed money.</w:t>
            </w:r>
          </w:p>
        </w:tc>
        <w:tc>
          <w:tcPr>
            <w:tcW w:w="1134" w:type="dxa"/>
            <w:shd w:val="clear" w:color="auto" w:fill="E6E7E8"/>
          </w:tcPr>
          <w:p w14:paraId="4DBFCBA3" w14:textId="77777777" w:rsidR="00345EE3" w:rsidRDefault="00345EE3" w:rsidP="00D73130">
            <w:pPr>
              <w:pStyle w:val="TableParagraph"/>
              <w:spacing w:before="61"/>
              <w:rPr>
                <w:sz w:val="24"/>
              </w:rPr>
            </w:pPr>
            <w:r>
              <w:rPr>
                <w:color w:val="231F20"/>
                <w:spacing w:val="-2"/>
                <w:sz w:val="24"/>
              </w:rPr>
              <w:t>71,741</w:t>
            </w:r>
          </w:p>
        </w:tc>
        <w:tc>
          <w:tcPr>
            <w:tcW w:w="1134" w:type="dxa"/>
            <w:shd w:val="clear" w:color="auto" w:fill="E6E7E8"/>
          </w:tcPr>
          <w:p w14:paraId="51F41411" w14:textId="77777777" w:rsidR="00345EE3" w:rsidRDefault="00345EE3" w:rsidP="00D73130">
            <w:pPr>
              <w:pStyle w:val="TableParagraph"/>
              <w:spacing w:before="61"/>
              <w:ind w:right="55"/>
              <w:rPr>
                <w:sz w:val="24"/>
              </w:rPr>
            </w:pPr>
            <w:r>
              <w:rPr>
                <w:color w:val="231F20"/>
                <w:spacing w:val="-2"/>
                <w:sz w:val="24"/>
              </w:rPr>
              <w:t>28,661</w:t>
            </w:r>
          </w:p>
        </w:tc>
        <w:tc>
          <w:tcPr>
            <w:tcW w:w="1247" w:type="dxa"/>
            <w:shd w:val="clear" w:color="auto" w:fill="E6E7E8"/>
          </w:tcPr>
          <w:p w14:paraId="1BB2A094" w14:textId="77777777" w:rsidR="00345EE3" w:rsidRDefault="00345EE3" w:rsidP="00D73130">
            <w:pPr>
              <w:pStyle w:val="TableParagraph"/>
              <w:spacing w:before="61"/>
              <w:ind w:right="54"/>
              <w:rPr>
                <w:sz w:val="24"/>
              </w:rPr>
            </w:pPr>
            <w:r>
              <w:rPr>
                <w:color w:val="231F20"/>
                <w:spacing w:val="-2"/>
                <w:sz w:val="24"/>
              </w:rPr>
              <w:t>(33,881)</w:t>
            </w:r>
          </w:p>
        </w:tc>
        <w:tc>
          <w:tcPr>
            <w:tcW w:w="1134" w:type="dxa"/>
            <w:shd w:val="clear" w:color="auto" w:fill="E6E7E8"/>
          </w:tcPr>
          <w:p w14:paraId="2EC6FD6C" w14:textId="77777777" w:rsidR="00345EE3" w:rsidRDefault="00345EE3" w:rsidP="00D73130">
            <w:pPr>
              <w:pStyle w:val="TableParagraph"/>
              <w:spacing w:before="61"/>
              <w:ind w:right="55"/>
              <w:rPr>
                <w:sz w:val="24"/>
              </w:rPr>
            </w:pPr>
            <w:r>
              <w:rPr>
                <w:color w:val="231F20"/>
                <w:spacing w:val="-2"/>
                <w:sz w:val="24"/>
              </w:rPr>
              <w:t>66,521</w:t>
            </w:r>
          </w:p>
        </w:tc>
        <w:tc>
          <w:tcPr>
            <w:tcW w:w="1134" w:type="dxa"/>
          </w:tcPr>
          <w:p w14:paraId="22F4DFCB" w14:textId="77777777" w:rsidR="00345EE3" w:rsidRDefault="00345EE3" w:rsidP="00D73130">
            <w:pPr>
              <w:pStyle w:val="TableParagraph"/>
              <w:spacing w:before="61"/>
              <w:ind w:right="55"/>
              <w:rPr>
                <w:sz w:val="24"/>
              </w:rPr>
            </w:pPr>
            <w:r>
              <w:rPr>
                <w:color w:val="231F20"/>
                <w:spacing w:val="-2"/>
                <w:sz w:val="24"/>
              </w:rPr>
              <w:t>43,684</w:t>
            </w:r>
          </w:p>
        </w:tc>
        <w:tc>
          <w:tcPr>
            <w:tcW w:w="1134" w:type="dxa"/>
          </w:tcPr>
          <w:p w14:paraId="273A3422" w14:textId="77777777" w:rsidR="00345EE3" w:rsidRDefault="00345EE3" w:rsidP="00D73130">
            <w:pPr>
              <w:pStyle w:val="TableParagraph"/>
              <w:spacing w:before="61"/>
              <w:ind w:right="55"/>
              <w:rPr>
                <w:sz w:val="24"/>
              </w:rPr>
            </w:pPr>
            <w:r>
              <w:rPr>
                <w:color w:val="231F20"/>
                <w:spacing w:val="-2"/>
                <w:sz w:val="24"/>
              </w:rPr>
              <w:t>42,004</w:t>
            </w:r>
          </w:p>
        </w:tc>
        <w:tc>
          <w:tcPr>
            <w:tcW w:w="1247" w:type="dxa"/>
          </w:tcPr>
          <w:p w14:paraId="7EEEB777" w14:textId="77777777" w:rsidR="00345EE3" w:rsidRDefault="00345EE3" w:rsidP="00D73130">
            <w:pPr>
              <w:pStyle w:val="TableParagraph"/>
              <w:spacing w:before="61"/>
              <w:ind w:right="54"/>
              <w:rPr>
                <w:sz w:val="24"/>
              </w:rPr>
            </w:pPr>
            <w:r>
              <w:rPr>
                <w:color w:val="231F20"/>
                <w:spacing w:val="-2"/>
                <w:sz w:val="24"/>
              </w:rPr>
              <w:t>(13,947)</w:t>
            </w:r>
          </w:p>
        </w:tc>
        <w:tc>
          <w:tcPr>
            <w:tcW w:w="1134" w:type="dxa"/>
            <w:tcBorders>
              <w:right w:val="nil"/>
            </w:tcBorders>
          </w:tcPr>
          <w:p w14:paraId="27015C80" w14:textId="77777777" w:rsidR="00345EE3" w:rsidRDefault="00345EE3" w:rsidP="00D73130">
            <w:pPr>
              <w:pStyle w:val="TableParagraph"/>
              <w:spacing w:before="61"/>
              <w:ind w:right="55"/>
              <w:rPr>
                <w:sz w:val="24"/>
              </w:rPr>
            </w:pPr>
            <w:r>
              <w:rPr>
                <w:color w:val="231F20"/>
                <w:spacing w:val="-2"/>
                <w:sz w:val="24"/>
              </w:rPr>
              <w:t>71,741</w:t>
            </w:r>
          </w:p>
        </w:tc>
      </w:tr>
      <w:tr w:rsidR="00345EE3" w14:paraId="062EFC87" w14:textId="77777777" w:rsidTr="00D73130">
        <w:trPr>
          <w:trHeight w:val="1516"/>
        </w:trPr>
        <w:tc>
          <w:tcPr>
            <w:tcW w:w="624" w:type="dxa"/>
            <w:tcBorders>
              <w:left w:val="nil"/>
            </w:tcBorders>
          </w:tcPr>
          <w:p w14:paraId="76583F6C" w14:textId="77777777" w:rsidR="00345EE3" w:rsidRDefault="00345EE3" w:rsidP="00D73130">
            <w:pPr>
              <w:pStyle w:val="TableParagraph"/>
              <w:spacing w:before="61"/>
              <w:ind w:left="-3"/>
              <w:jc w:val="left"/>
              <w:rPr>
                <w:b/>
                <w:sz w:val="24"/>
              </w:rPr>
            </w:pPr>
            <w:r>
              <w:rPr>
                <w:b/>
                <w:color w:val="231F20"/>
                <w:spacing w:val="-4"/>
                <w:sz w:val="24"/>
              </w:rPr>
              <w:t>4742</w:t>
            </w:r>
          </w:p>
        </w:tc>
        <w:tc>
          <w:tcPr>
            <w:tcW w:w="5216" w:type="dxa"/>
          </w:tcPr>
          <w:p w14:paraId="3285F691" w14:textId="77777777" w:rsidR="00345EE3" w:rsidRDefault="00345EE3" w:rsidP="00D73130">
            <w:pPr>
              <w:pStyle w:val="TableParagraph"/>
              <w:spacing w:before="61"/>
              <w:ind w:left="54"/>
              <w:jc w:val="left"/>
              <w:rPr>
                <w:b/>
                <w:sz w:val="24"/>
              </w:rPr>
            </w:pPr>
            <w:r>
              <w:rPr>
                <w:b/>
                <w:color w:val="231F20"/>
                <w:spacing w:val="-2"/>
                <w:sz w:val="24"/>
              </w:rPr>
              <w:t>Treasury</w:t>
            </w:r>
            <w:r>
              <w:rPr>
                <w:b/>
                <w:color w:val="231F20"/>
                <w:spacing w:val="-7"/>
                <w:sz w:val="24"/>
              </w:rPr>
              <w:t xml:space="preserve"> </w:t>
            </w:r>
            <w:r>
              <w:rPr>
                <w:b/>
                <w:color w:val="231F20"/>
                <w:spacing w:val="-2"/>
                <w:sz w:val="24"/>
              </w:rPr>
              <w:t>Trust</w:t>
            </w:r>
            <w:r>
              <w:rPr>
                <w:b/>
                <w:color w:val="231F20"/>
                <w:spacing w:val="-6"/>
                <w:sz w:val="24"/>
              </w:rPr>
              <w:t xml:space="preserve"> </w:t>
            </w:r>
            <w:r>
              <w:rPr>
                <w:b/>
                <w:color w:val="231F20"/>
                <w:spacing w:val="-4"/>
                <w:sz w:val="24"/>
              </w:rPr>
              <w:t>Fund</w:t>
            </w:r>
          </w:p>
          <w:p w14:paraId="5850D48B" w14:textId="77777777" w:rsidR="00345EE3" w:rsidRDefault="00345EE3" w:rsidP="00D73130">
            <w:pPr>
              <w:pStyle w:val="TableParagraph"/>
              <w:spacing w:before="4"/>
              <w:ind w:left="54"/>
              <w:jc w:val="left"/>
              <w:rPr>
                <w:i/>
                <w:sz w:val="24"/>
              </w:rPr>
            </w:pPr>
            <w:r>
              <w:rPr>
                <w:color w:val="231F20"/>
                <w:spacing w:val="-2"/>
                <w:sz w:val="24"/>
              </w:rPr>
              <w:t>Under</w:t>
            </w:r>
            <w:r>
              <w:rPr>
                <w:color w:val="231F20"/>
                <w:spacing w:val="-14"/>
                <w:sz w:val="24"/>
              </w:rPr>
              <w:t xml:space="preserve"> </w:t>
            </w:r>
            <w:r>
              <w:rPr>
                <w:color w:val="231F20"/>
                <w:spacing w:val="-2"/>
                <w:sz w:val="24"/>
              </w:rPr>
              <w:t>the</w:t>
            </w:r>
            <w:r>
              <w:rPr>
                <w:color w:val="231F20"/>
                <w:spacing w:val="-7"/>
                <w:sz w:val="24"/>
              </w:rPr>
              <w:t xml:space="preserve"> </w:t>
            </w:r>
            <w:r>
              <w:rPr>
                <w:i/>
                <w:color w:val="231F20"/>
                <w:spacing w:val="-2"/>
                <w:sz w:val="24"/>
              </w:rPr>
              <w:t>Financial</w:t>
            </w:r>
            <w:r>
              <w:rPr>
                <w:i/>
                <w:color w:val="231F20"/>
                <w:spacing w:val="-15"/>
                <w:sz w:val="24"/>
              </w:rPr>
              <w:t xml:space="preserve"> </w:t>
            </w:r>
            <w:r>
              <w:rPr>
                <w:i/>
                <w:color w:val="231F20"/>
                <w:spacing w:val="-2"/>
                <w:sz w:val="24"/>
              </w:rPr>
              <w:t>Management</w:t>
            </w:r>
            <w:r>
              <w:rPr>
                <w:i/>
                <w:color w:val="231F20"/>
                <w:spacing w:val="-18"/>
                <w:sz w:val="24"/>
              </w:rPr>
              <w:t xml:space="preserve"> </w:t>
            </w:r>
            <w:r>
              <w:rPr>
                <w:i/>
                <w:color w:val="231F20"/>
                <w:spacing w:val="-2"/>
                <w:sz w:val="24"/>
              </w:rPr>
              <w:t>Act</w:t>
            </w:r>
            <w:r>
              <w:rPr>
                <w:i/>
                <w:color w:val="231F20"/>
                <w:spacing w:val="-14"/>
                <w:sz w:val="24"/>
              </w:rPr>
              <w:t xml:space="preserve"> </w:t>
            </w:r>
            <w:r>
              <w:rPr>
                <w:i/>
                <w:color w:val="231F20"/>
                <w:spacing w:val="-4"/>
                <w:sz w:val="24"/>
              </w:rPr>
              <w:t>1994</w:t>
            </w:r>
          </w:p>
          <w:p w14:paraId="2FF6B75B" w14:textId="77777777" w:rsidR="00345EE3" w:rsidRDefault="00345EE3" w:rsidP="00D73130">
            <w:pPr>
              <w:pStyle w:val="TableParagraph"/>
              <w:spacing w:before="4" w:line="242" w:lineRule="auto"/>
              <w:ind w:left="54" w:right="908"/>
              <w:jc w:val="left"/>
              <w:rPr>
                <w:sz w:val="24"/>
              </w:rPr>
            </w:pPr>
            <w:r>
              <w:rPr>
                <w:color w:val="231F20"/>
                <w:sz w:val="24"/>
              </w:rPr>
              <w:t>to</w:t>
            </w:r>
            <w:r>
              <w:rPr>
                <w:color w:val="231F20"/>
                <w:spacing w:val="-8"/>
                <w:sz w:val="24"/>
              </w:rPr>
              <w:t xml:space="preserve"> </w:t>
            </w:r>
            <w:r>
              <w:rPr>
                <w:color w:val="231F20"/>
                <w:sz w:val="24"/>
              </w:rPr>
              <w:t>record</w:t>
            </w:r>
            <w:r>
              <w:rPr>
                <w:color w:val="231F20"/>
                <w:spacing w:val="-8"/>
                <w:sz w:val="24"/>
              </w:rPr>
              <w:t xml:space="preserve"> </w:t>
            </w:r>
            <w:r>
              <w:rPr>
                <w:color w:val="231F20"/>
                <w:sz w:val="24"/>
              </w:rPr>
              <w:t>the</w:t>
            </w:r>
            <w:r>
              <w:rPr>
                <w:color w:val="231F20"/>
                <w:spacing w:val="-8"/>
                <w:sz w:val="24"/>
              </w:rPr>
              <w:t xml:space="preserve"> </w:t>
            </w:r>
            <w:r>
              <w:rPr>
                <w:color w:val="231F20"/>
                <w:sz w:val="24"/>
              </w:rPr>
              <w:t>receipt</w:t>
            </w:r>
            <w:r>
              <w:rPr>
                <w:color w:val="231F20"/>
                <w:spacing w:val="-8"/>
                <w:sz w:val="24"/>
              </w:rPr>
              <w:t xml:space="preserve"> </w:t>
            </w:r>
            <w:r>
              <w:rPr>
                <w:color w:val="231F20"/>
                <w:sz w:val="24"/>
              </w:rPr>
              <w:t>and</w:t>
            </w:r>
            <w:r>
              <w:rPr>
                <w:color w:val="231F20"/>
                <w:spacing w:val="-9"/>
                <w:sz w:val="24"/>
              </w:rPr>
              <w:t xml:space="preserve"> </w:t>
            </w:r>
            <w:r>
              <w:rPr>
                <w:color w:val="231F20"/>
                <w:sz w:val="24"/>
              </w:rPr>
              <w:t>disbursement of unclaimed and unidentified money (unpresented cheques, surplus cash).</w:t>
            </w:r>
          </w:p>
        </w:tc>
        <w:tc>
          <w:tcPr>
            <w:tcW w:w="1134" w:type="dxa"/>
            <w:shd w:val="clear" w:color="auto" w:fill="E6E7E8"/>
          </w:tcPr>
          <w:p w14:paraId="26E4F640" w14:textId="77777777" w:rsidR="00345EE3" w:rsidRDefault="00345EE3" w:rsidP="00D73130">
            <w:pPr>
              <w:pStyle w:val="TableParagraph"/>
              <w:spacing w:before="61"/>
              <w:rPr>
                <w:sz w:val="24"/>
              </w:rPr>
            </w:pPr>
            <w:r>
              <w:rPr>
                <w:color w:val="231F20"/>
                <w:spacing w:val="-2"/>
                <w:sz w:val="24"/>
              </w:rPr>
              <w:t>1,495</w:t>
            </w:r>
          </w:p>
        </w:tc>
        <w:tc>
          <w:tcPr>
            <w:tcW w:w="1134" w:type="dxa"/>
            <w:shd w:val="clear" w:color="auto" w:fill="E6E7E8"/>
          </w:tcPr>
          <w:p w14:paraId="38C7C713" w14:textId="77777777" w:rsidR="00345EE3" w:rsidRDefault="00345EE3" w:rsidP="00D73130">
            <w:pPr>
              <w:pStyle w:val="TableParagraph"/>
              <w:spacing w:before="61"/>
              <w:ind w:right="55"/>
              <w:rPr>
                <w:sz w:val="24"/>
              </w:rPr>
            </w:pPr>
            <w:r>
              <w:rPr>
                <w:color w:val="231F20"/>
                <w:spacing w:val="-2"/>
                <w:sz w:val="24"/>
              </w:rPr>
              <w:t>29,621</w:t>
            </w:r>
          </w:p>
        </w:tc>
        <w:tc>
          <w:tcPr>
            <w:tcW w:w="1247" w:type="dxa"/>
            <w:shd w:val="clear" w:color="auto" w:fill="E6E7E8"/>
          </w:tcPr>
          <w:p w14:paraId="632CE4DD" w14:textId="77777777" w:rsidR="00345EE3" w:rsidRDefault="00345EE3" w:rsidP="00D73130">
            <w:pPr>
              <w:pStyle w:val="TableParagraph"/>
              <w:spacing w:before="61"/>
              <w:ind w:right="54"/>
              <w:rPr>
                <w:sz w:val="24"/>
              </w:rPr>
            </w:pPr>
            <w:r>
              <w:rPr>
                <w:color w:val="231F20"/>
                <w:spacing w:val="-2"/>
                <w:sz w:val="24"/>
              </w:rPr>
              <w:t>(29,472)</w:t>
            </w:r>
          </w:p>
        </w:tc>
        <w:tc>
          <w:tcPr>
            <w:tcW w:w="1134" w:type="dxa"/>
            <w:shd w:val="clear" w:color="auto" w:fill="E6E7E8"/>
          </w:tcPr>
          <w:p w14:paraId="4C54DEA2" w14:textId="77777777" w:rsidR="00345EE3" w:rsidRDefault="00345EE3" w:rsidP="00D73130">
            <w:pPr>
              <w:pStyle w:val="TableParagraph"/>
              <w:spacing w:before="61"/>
              <w:ind w:right="55"/>
              <w:rPr>
                <w:sz w:val="24"/>
              </w:rPr>
            </w:pPr>
            <w:r>
              <w:rPr>
                <w:color w:val="231F20"/>
                <w:spacing w:val="-2"/>
                <w:sz w:val="24"/>
              </w:rPr>
              <w:t>1,644</w:t>
            </w:r>
          </w:p>
        </w:tc>
        <w:tc>
          <w:tcPr>
            <w:tcW w:w="1134" w:type="dxa"/>
          </w:tcPr>
          <w:p w14:paraId="6EEDB95A" w14:textId="77777777" w:rsidR="00345EE3" w:rsidRDefault="00345EE3" w:rsidP="00D73130">
            <w:pPr>
              <w:pStyle w:val="TableParagraph"/>
              <w:spacing w:before="61"/>
              <w:ind w:right="55"/>
              <w:rPr>
                <w:sz w:val="24"/>
              </w:rPr>
            </w:pPr>
            <w:r>
              <w:rPr>
                <w:color w:val="231F20"/>
                <w:spacing w:val="-2"/>
                <w:sz w:val="24"/>
              </w:rPr>
              <w:t>1,260</w:t>
            </w:r>
          </w:p>
        </w:tc>
        <w:tc>
          <w:tcPr>
            <w:tcW w:w="1134" w:type="dxa"/>
          </w:tcPr>
          <w:p w14:paraId="30EC9CFE" w14:textId="77777777" w:rsidR="00345EE3" w:rsidRDefault="00345EE3" w:rsidP="00D73130">
            <w:pPr>
              <w:pStyle w:val="TableParagraph"/>
              <w:spacing w:before="61"/>
              <w:ind w:right="55"/>
              <w:rPr>
                <w:sz w:val="24"/>
              </w:rPr>
            </w:pPr>
            <w:r>
              <w:rPr>
                <w:color w:val="231F20"/>
                <w:spacing w:val="-2"/>
                <w:sz w:val="24"/>
              </w:rPr>
              <w:t>10,934</w:t>
            </w:r>
          </w:p>
        </w:tc>
        <w:tc>
          <w:tcPr>
            <w:tcW w:w="1247" w:type="dxa"/>
          </w:tcPr>
          <w:p w14:paraId="004F9A50" w14:textId="77777777" w:rsidR="00345EE3" w:rsidRDefault="00345EE3" w:rsidP="00D73130">
            <w:pPr>
              <w:pStyle w:val="TableParagraph"/>
              <w:spacing w:before="61"/>
              <w:ind w:right="54"/>
              <w:rPr>
                <w:sz w:val="24"/>
              </w:rPr>
            </w:pPr>
            <w:r>
              <w:rPr>
                <w:color w:val="231F20"/>
                <w:spacing w:val="-2"/>
                <w:sz w:val="24"/>
              </w:rPr>
              <w:t>(10,699)</w:t>
            </w:r>
          </w:p>
        </w:tc>
        <w:tc>
          <w:tcPr>
            <w:tcW w:w="1134" w:type="dxa"/>
            <w:tcBorders>
              <w:right w:val="nil"/>
            </w:tcBorders>
          </w:tcPr>
          <w:p w14:paraId="08DFA0F8" w14:textId="77777777" w:rsidR="00345EE3" w:rsidRDefault="00345EE3" w:rsidP="00D73130">
            <w:pPr>
              <w:pStyle w:val="TableParagraph"/>
              <w:spacing w:before="61"/>
              <w:ind w:right="55"/>
              <w:rPr>
                <w:sz w:val="24"/>
              </w:rPr>
            </w:pPr>
            <w:r>
              <w:rPr>
                <w:color w:val="231F20"/>
                <w:spacing w:val="-2"/>
                <w:sz w:val="24"/>
              </w:rPr>
              <w:t>1,495</w:t>
            </w:r>
          </w:p>
        </w:tc>
      </w:tr>
      <w:tr w:rsidR="00345EE3" w14:paraId="1D1897FE" w14:textId="77777777" w:rsidTr="00D73130">
        <w:trPr>
          <w:trHeight w:val="1794"/>
        </w:trPr>
        <w:tc>
          <w:tcPr>
            <w:tcW w:w="624" w:type="dxa"/>
            <w:tcBorders>
              <w:left w:val="nil"/>
              <w:bottom w:val="single" w:sz="4" w:space="0" w:color="231F20"/>
            </w:tcBorders>
          </w:tcPr>
          <w:p w14:paraId="539A6BE6" w14:textId="77777777" w:rsidR="00345EE3" w:rsidRDefault="00345EE3" w:rsidP="00D73130">
            <w:pPr>
              <w:pStyle w:val="TableParagraph"/>
              <w:spacing w:before="61"/>
              <w:ind w:left="-2"/>
              <w:jc w:val="left"/>
              <w:rPr>
                <w:b/>
                <w:sz w:val="24"/>
              </w:rPr>
            </w:pPr>
            <w:r>
              <w:rPr>
                <w:b/>
                <w:color w:val="231F20"/>
                <w:spacing w:val="-4"/>
                <w:sz w:val="24"/>
              </w:rPr>
              <w:t>4765</w:t>
            </w:r>
          </w:p>
        </w:tc>
        <w:tc>
          <w:tcPr>
            <w:tcW w:w="5216" w:type="dxa"/>
            <w:tcBorders>
              <w:bottom w:val="single" w:sz="4" w:space="0" w:color="231F20"/>
            </w:tcBorders>
          </w:tcPr>
          <w:p w14:paraId="662A2F39" w14:textId="77777777" w:rsidR="00345EE3" w:rsidRDefault="00345EE3" w:rsidP="00D73130">
            <w:pPr>
              <w:pStyle w:val="TableParagraph"/>
              <w:spacing w:before="61"/>
              <w:ind w:left="54"/>
              <w:jc w:val="left"/>
              <w:rPr>
                <w:b/>
                <w:sz w:val="24"/>
              </w:rPr>
            </w:pPr>
            <w:r>
              <w:rPr>
                <w:b/>
                <w:color w:val="231F20"/>
                <w:sz w:val="24"/>
              </w:rPr>
              <w:t>Public</w:t>
            </w:r>
            <w:r>
              <w:rPr>
                <w:b/>
                <w:color w:val="231F20"/>
                <w:spacing w:val="-5"/>
                <w:sz w:val="24"/>
              </w:rPr>
              <w:t xml:space="preserve"> </w:t>
            </w:r>
            <w:r>
              <w:rPr>
                <w:b/>
                <w:color w:val="231F20"/>
                <w:sz w:val="24"/>
              </w:rPr>
              <w:t>Service</w:t>
            </w:r>
            <w:r>
              <w:rPr>
                <w:b/>
                <w:color w:val="231F20"/>
                <w:spacing w:val="-3"/>
                <w:sz w:val="24"/>
              </w:rPr>
              <w:t xml:space="preserve"> </w:t>
            </w:r>
            <w:r>
              <w:rPr>
                <w:b/>
                <w:color w:val="231F20"/>
                <w:sz w:val="24"/>
              </w:rPr>
              <w:t>Commuter</w:t>
            </w:r>
            <w:r>
              <w:rPr>
                <w:b/>
                <w:color w:val="231F20"/>
                <w:spacing w:val="-3"/>
                <w:sz w:val="24"/>
              </w:rPr>
              <w:t xml:space="preserve"> </w:t>
            </w:r>
            <w:r>
              <w:rPr>
                <w:b/>
                <w:color w:val="231F20"/>
                <w:sz w:val="24"/>
              </w:rPr>
              <w:t>Club</w:t>
            </w:r>
            <w:r>
              <w:rPr>
                <w:b/>
                <w:color w:val="231F20"/>
                <w:spacing w:val="-28"/>
                <w:sz w:val="24"/>
              </w:rPr>
              <w:t xml:space="preserve"> </w:t>
            </w:r>
            <w:r>
              <w:rPr>
                <w:b/>
                <w:color w:val="231F20"/>
                <w:spacing w:val="-5"/>
                <w:sz w:val="24"/>
                <w:vertAlign w:val="superscript"/>
              </w:rPr>
              <w:t>(a)</w:t>
            </w:r>
          </w:p>
          <w:p w14:paraId="7B627A64" w14:textId="77777777" w:rsidR="00345EE3" w:rsidRDefault="00345EE3" w:rsidP="00D73130">
            <w:pPr>
              <w:pStyle w:val="TableParagraph"/>
              <w:spacing w:before="3" w:line="242" w:lineRule="auto"/>
              <w:ind w:left="53" w:right="54"/>
              <w:jc w:val="left"/>
              <w:rPr>
                <w:sz w:val="24"/>
              </w:rPr>
            </w:pPr>
            <w:r>
              <w:rPr>
                <w:color w:val="231F20"/>
                <w:sz w:val="24"/>
              </w:rPr>
              <w:t xml:space="preserve">Under the </w:t>
            </w:r>
            <w:r>
              <w:rPr>
                <w:i/>
                <w:color w:val="231F20"/>
                <w:sz w:val="24"/>
              </w:rPr>
              <w:t>Financial</w:t>
            </w:r>
            <w:r>
              <w:rPr>
                <w:i/>
                <w:color w:val="231F20"/>
                <w:spacing w:val="-1"/>
                <w:sz w:val="24"/>
              </w:rPr>
              <w:t xml:space="preserve"> </w:t>
            </w:r>
            <w:r>
              <w:rPr>
                <w:i/>
                <w:color w:val="231F20"/>
                <w:sz w:val="24"/>
              </w:rPr>
              <w:t>Management</w:t>
            </w:r>
            <w:r>
              <w:rPr>
                <w:i/>
                <w:color w:val="231F20"/>
                <w:spacing w:val="-11"/>
                <w:sz w:val="24"/>
              </w:rPr>
              <w:t xml:space="preserve"> </w:t>
            </w:r>
            <w:r>
              <w:rPr>
                <w:i/>
                <w:color w:val="231F20"/>
                <w:sz w:val="24"/>
              </w:rPr>
              <w:t>Act</w:t>
            </w:r>
            <w:r>
              <w:rPr>
                <w:i/>
                <w:color w:val="231F20"/>
                <w:spacing w:val="-1"/>
                <w:sz w:val="24"/>
              </w:rPr>
              <w:t xml:space="preserve"> </w:t>
            </w:r>
            <w:r>
              <w:rPr>
                <w:i/>
                <w:color w:val="231F20"/>
                <w:sz w:val="24"/>
              </w:rPr>
              <w:t>1994</w:t>
            </w:r>
            <w:r>
              <w:rPr>
                <w:i/>
                <w:color w:val="231F20"/>
                <w:spacing w:val="-1"/>
                <w:sz w:val="24"/>
              </w:rPr>
              <w:t xml:space="preserve"> </w:t>
            </w:r>
            <w:r>
              <w:rPr>
                <w:color w:val="231F20"/>
                <w:sz w:val="24"/>
              </w:rPr>
              <w:t>to record the receipt of amounts associated with the</w:t>
            </w:r>
            <w:r>
              <w:rPr>
                <w:color w:val="231F20"/>
                <w:spacing w:val="-8"/>
                <w:sz w:val="24"/>
              </w:rPr>
              <w:t xml:space="preserve"> </w:t>
            </w:r>
            <w:r>
              <w:rPr>
                <w:color w:val="231F20"/>
                <w:sz w:val="24"/>
              </w:rPr>
              <w:t>scheme</w:t>
            </w:r>
            <w:r>
              <w:rPr>
                <w:color w:val="231F20"/>
                <w:spacing w:val="-8"/>
                <w:sz w:val="24"/>
              </w:rPr>
              <w:t xml:space="preserve"> </w:t>
            </w:r>
            <w:r>
              <w:rPr>
                <w:color w:val="231F20"/>
                <w:sz w:val="24"/>
              </w:rPr>
              <w:t>and</w:t>
            </w:r>
            <w:r>
              <w:rPr>
                <w:color w:val="231F20"/>
                <w:spacing w:val="-8"/>
                <w:sz w:val="24"/>
              </w:rPr>
              <w:t xml:space="preserve"> </w:t>
            </w:r>
            <w:r>
              <w:rPr>
                <w:color w:val="231F20"/>
                <w:sz w:val="24"/>
              </w:rPr>
              <w:t>deductions</w:t>
            </w:r>
            <w:r>
              <w:rPr>
                <w:color w:val="231F20"/>
                <w:spacing w:val="-7"/>
                <w:sz w:val="24"/>
              </w:rPr>
              <w:t xml:space="preserve"> </w:t>
            </w:r>
            <w:r>
              <w:rPr>
                <w:color w:val="231F20"/>
                <w:sz w:val="24"/>
              </w:rPr>
              <w:t>from</w:t>
            </w:r>
            <w:r>
              <w:rPr>
                <w:color w:val="231F20"/>
                <w:spacing w:val="-8"/>
                <w:sz w:val="24"/>
              </w:rPr>
              <w:t xml:space="preserve"> </w:t>
            </w:r>
            <w:r>
              <w:rPr>
                <w:color w:val="231F20"/>
                <w:sz w:val="24"/>
              </w:rPr>
              <w:t>Club</w:t>
            </w:r>
            <w:r>
              <w:rPr>
                <w:color w:val="231F20"/>
                <w:spacing w:val="-8"/>
                <w:sz w:val="24"/>
              </w:rPr>
              <w:t xml:space="preserve"> </w:t>
            </w:r>
            <w:r>
              <w:rPr>
                <w:color w:val="231F20"/>
                <w:sz w:val="24"/>
              </w:rPr>
              <w:t>members salaries as well as recording payment to the Public Transport Corporation.</w:t>
            </w:r>
          </w:p>
        </w:tc>
        <w:tc>
          <w:tcPr>
            <w:tcW w:w="1134" w:type="dxa"/>
            <w:tcBorders>
              <w:bottom w:val="single" w:sz="4" w:space="0" w:color="231F20"/>
            </w:tcBorders>
            <w:shd w:val="clear" w:color="auto" w:fill="E6E7E8"/>
          </w:tcPr>
          <w:p w14:paraId="0BFE429F" w14:textId="77777777" w:rsidR="00345EE3" w:rsidRDefault="00345EE3" w:rsidP="00D73130">
            <w:pPr>
              <w:pStyle w:val="TableParagraph"/>
              <w:spacing w:before="61"/>
              <w:ind w:right="1"/>
              <w:rPr>
                <w:sz w:val="24"/>
              </w:rPr>
            </w:pPr>
            <w:r>
              <w:rPr>
                <w:color w:val="231F20"/>
                <w:spacing w:val="-5"/>
                <w:sz w:val="24"/>
              </w:rPr>
              <w:t>206</w:t>
            </w:r>
          </w:p>
        </w:tc>
        <w:tc>
          <w:tcPr>
            <w:tcW w:w="1134" w:type="dxa"/>
            <w:tcBorders>
              <w:bottom w:val="single" w:sz="4" w:space="0" w:color="231F20"/>
            </w:tcBorders>
            <w:shd w:val="clear" w:color="auto" w:fill="E6E7E8"/>
          </w:tcPr>
          <w:p w14:paraId="344E7DA4" w14:textId="77777777" w:rsidR="00345EE3" w:rsidRDefault="00345EE3" w:rsidP="00D73130">
            <w:pPr>
              <w:pStyle w:val="TableParagraph"/>
              <w:spacing w:before="61"/>
              <w:ind w:right="55"/>
              <w:rPr>
                <w:sz w:val="24"/>
              </w:rPr>
            </w:pPr>
            <w:r>
              <w:rPr>
                <w:color w:val="231F20"/>
                <w:spacing w:val="-5"/>
                <w:sz w:val="24"/>
              </w:rPr>
              <w:t>144</w:t>
            </w:r>
          </w:p>
        </w:tc>
        <w:tc>
          <w:tcPr>
            <w:tcW w:w="1247" w:type="dxa"/>
            <w:tcBorders>
              <w:bottom w:val="single" w:sz="4" w:space="0" w:color="231F20"/>
            </w:tcBorders>
            <w:shd w:val="clear" w:color="auto" w:fill="E6E7E8"/>
          </w:tcPr>
          <w:p w14:paraId="4236D90A" w14:textId="77777777" w:rsidR="00345EE3" w:rsidRDefault="00345EE3" w:rsidP="00D73130">
            <w:pPr>
              <w:pStyle w:val="TableParagraph"/>
              <w:spacing w:before="61"/>
              <w:ind w:right="55"/>
              <w:rPr>
                <w:sz w:val="24"/>
              </w:rPr>
            </w:pPr>
            <w:r>
              <w:rPr>
                <w:color w:val="231F20"/>
                <w:spacing w:val="-2"/>
                <w:sz w:val="24"/>
              </w:rPr>
              <w:t>(145)</w:t>
            </w:r>
          </w:p>
        </w:tc>
        <w:tc>
          <w:tcPr>
            <w:tcW w:w="1134" w:type="dxa"/>
            <w:tcBorders>
              <w:bottom w:val="single" w:sz="4" w:space="0" w:color="231F20"/>
            </w:tcBorders>
            <w:shd w:val="clear" w:color="auto" w:fill="E6E7E8"/>
          </w:tcPr>
          <w:p w14:paraId="4D313404" w14:textId="77777777" w:rsidR="00345EE3" w:rsidRDefault="00345EE3" w:rsidP="00D73130">
            <w:pPr>
              <w:pStyle w:val="TableParagraph"/>
              <w:spacing w:before="61"/>
              <w:ind w:right="55"/>
              <w:rPr>
                <w:sz w:val="24"/>
              </w:rPr>
            </w:pPr>
            <w:r>
              <w:rPr>
                <w:color w:val="231F20"/>
                <w:spacing w:val="-5"/>
                <w:sz w:val="24"/>
              </w:rPr>
              <w:t>205</w:t>
            </w:r>
          </w:p>
        </w:tc>
        <w:tc>
          <w:tcPr>
            <w:tcW w:w="1134" w:type="dxa"/>
            <w:tcBorders>
              <w:bottom w:val="single" w:sz="4" w:space="0" w:color="231F20"/>
            </w:tcBorders>
          </w:tcPr>
          <w:p w14:paraId="73A5600E" w14:textId="77777777" w:rsidR="00345EE3" w:rsidRDefault="00345EE3" w:rsidP="00D73130">
            <w:pPr>
              <w:pStyle w:val="TableParagraph"/>
              <w:spacing w:before="61"/>
              <w:ind w:right="55"/>
              <w:rPr>
                <w:sz w:val="24"/>
              </w:rPr>
            </w:pPr>
            <w:r>
              <w:rPr>
                <w:color w:val="231F20"/>
                <w:spacing w:val="-5"/>
                <w:sz w:val="24"/>
              </w:rPr>
              <w:t>29</w:t>
            </w:r>
          </w:p>
        </w:tc>
        <w:tc>
          <w:tcPr>
            <w:tcW w:w="1134" w:type="dxa"/>
            <w:tcBorders>
              <w:bottom w:val="single" w:sz="4" w:space="0" w:color="231F20"/>
            </w:tcBorders>
          </w:tcPr>
          <w:p w14:paraId="2A62FACA" w14:textId="77777777" w:rsidR="00345EE3" w:rsidRDefault="00345EE3" w:rsidP="00D73130">
            <w:pPr>
              <w:pStyle w:val="TableParagraph"/>
              <w:spacing w:before="61"/>
              <w:ind w:right="55"/>
              <w:rPr>
                <w:sz w:val="24"/>
              </w:rPr>
            </w:pPr>
            <w:r>
              <w:rPr>
                <w:color w:val="231F20"/>
                <w:spacing w:val="-5"/>
                <w:sz w:val="24"/>
              </w:rPr>
              <w:t>296</w:t>
            </w:r>
          </w:p>
        </w:tc>
        <w:tc>
          <w:tcPr>
            <w:tcW w:w="1247" w:type="dxa"/>
            <w:tcBorders>
              <w:bottom w:val="single" w:sz="4" w:space="0" w:color="231F20"/>
            </w:tcBorders>
          </w:tcPr>
          <w:p w14:paraId="323BDB0B" w14:textId="77777777" w:rsidR="00345EE3" w:rsidRDefault="00345EE3" w:rsidP="00D73130">
            <w:pPr>
              <w:pStyle w:val="TableParagraph"/>
              <w:spacing w:before="61"/>
              <w:ind w:right="55"/>
              <w:rPr>
                <w:sz w:val="24"/>
              </w:rPr>
            </w:pPr>
            <w:r>
              <w:rPr>
                <w:color w:val="231F20"/>
                <w:spacing w:val="-2"/>
                <w:sz w:val="24"/>
              </w:rPr>
              <w:t>(119)</w:t>
            </w:r>
          </w:p>
        </w:tc>
        <w:tc>
          <w:tcPr>
            <w:tcW w:w="1134" w:type="dxa"/>
            <w:tcBorders>
              <w:bottom w:val="single" w:sz="4" w:space="0" w:color="231F20"/>
              <w:right w:val="nil"/>
            </w:tcBorders>
          </w:tcPr>
          <w:p w14:paraId="3D4F0FA9" w14:textId="77777777" w:rsidR="00345EE3" w:rsidRDefault="00345EE3" w:rsidP="00D73130">
            <w:pPr>
              <w:pStyle w:val="TableParagraph"/>
              <w:spacing w:before="61"/>
              <w:ind w:right="55"/>
              <w:rPr>
                <w:sz w:val="24"/>
              </w:rPr>
            </w:pPr>
            <w:r>
              <w:rPr>
                <w:color w:val="231F20"/>
                <w:spacing w:val="-5"/>
                <w:sz w:val="24"/>
              </w:rPr>
              <w:t>206</w:t>
            </w:r>
          </w:p>
        </w:tc>
      </w:tr>
      <w:tr w:rsidR="00345EE3" w14:paraId="5EB208F9" w14:textId="77777777" w:rsidTr="00D73130">
        <w:trPr>
          <w:trHeight w:val="386"/>
        </w:trPr>
        <w:tc>
          <w:tcPr>
            <w:tcW w:w="5840" w:type="dxa"/>
            <w:gridSpan w:val="2"/>
            <w:tcBorders>
              <w:top w:val="single" w:sz="4" w:space="0" w:color="231F20"/>
              <w:left w:val="nil"/>
              <w:bottom w:val="single" w:sz="8" w:space="0" w:color="231F20"/>
            </w:tcBorders>
          </w:tcPr>
          <w:p w14:paraId="538BBDB2"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10"/>
                <w:sz w:val="24"/>
              </w:rPr>
              <w:t xml:space="preserve"> </w:t>
            </w:r>
            <w:r>
              <w:rPr>
                <w:b/>
                <w:color w:val="231F20"/>
                <w:spacing w:val="-2"/>
                <w:sz w:val="24"/>
              </w:rPr>
              <w:t>Administered</w:t>
            </w:r>
            <w:r>
              <w:rPr>
                <w:b/>
                <w:color w:val="231F20"/>
                <w:spacing w:val="-1"/>
                <w:sz w:val="24"/>
              </w:rPr>
              <w:t xml:space="preserve"> </w:t>
            </w:r>
            <w:r>
              <w:rPr>
                <w:b/>
                <w:color w:val="231F20"/>
                <w:spacing w:val="-2"/>
                <w:sz w:val="24"/>
              </w:rPr>
              <w:t>Trusts</w:t>
            </w:r>
            <w:r>
              <w:rPr>
                <w:b/>
                <w:color w:val="231F20"/>
                <w:spacing w:val="-28"/>
                <w:sz w:val="24"/>
              </w:rPr>
              <w:t xml:space="preserve"> </w:t>
            </w:r>
            <w:r>
              <w:rPr>
                <w:b/>
                <w:color w:val="231F20"/>
                <w:spacing w:val="-5"/>
                <w:sz w:val="24"/>
                <w:vertAlign w:val="superscript"/>
              </w:rPr>
              <w:t>(c)</w:t>
            </w:r>
          </w:p>
        </w:tc>
        <w:tc>
          <w:tcPr>
            <w:tcW w:w="1134" w:type="dxa"/>
            <w:tcBorders>
              <w:top w:val="single" w:sz="4" w:space="0" w:color="231F20"/>
              <w:bottom w:val="single" w:sz="8" w:space="0" w:color="231F20"/>
            </w:tcBorders>
            <w:shd w:val="clear" w:color="auto" w:fill="E6E7E8"/>
          </w:tcPr>
          <w:p w14:paraId="32F92803" w14:textId="77777777" w:rsidR="00345EE3" w:rsidRDefault="00345EE3" w:rsidP="00D73130">
            <w:pPr>
              <w:pStyle w:val="TableParagraph"/>
              <w:spacing w:before="58"/>
              <w:ind w:right="1"/>
              <w:rPr>
                <w:b/>
                <w:sz w:val="24"/>
              </w:rPr>
            </w:pPr>
            <w:r>
              <w:rPr>
                <w:b/>
                <w:color w:val="231F20"/>
                <w:spacing w:val="-2"/>
                <w:sz w:val="24"/>
              </w:rPr>
              <w:t>73,442</w:t>
            </w:r>
          </w:p>
        </w:tc>
        <w:tc>
          <w:tcPr>
            <w:tcW w:w="1134" w:type="dxa"/>
            <w:tcBorders>
              <w:top w:val="single" w:sz="4" w:space="0" w:color="231F20"/>
              <w:bottom w:val="single" w:sz="8" w:space="0" w:color="231F20"/>
            </w:tcBorders>
            <w:shd w:val="clear" w:color="auto" w:fill="E6E7E8"/>
          </w:tcPr>
          <w:p w14:paraId="1B80C678" w14:textId="77777777" w:rsidR="00345EE3" w:rsidRDefault="00345EE3" w:rsidP="00D73130">
            <w:pPr>
              <w:pStyle w:val="TableParagraph"/>
              <w:spacing w:before="58"/>
              <w:ind w:right="53"/>
              <w:rPr>
                <w:b/>
                <w:sz w:val="24"/>
              </w:rPr>
            </w:pPr>
            <w:r>
              <w:rPr>
                <w:b/>
                <w:color w:val="231F20"/>
                <w:spacing w:val="-2"/>
                <w:sz w:val="24"/>
              </w:rPr>
              <w:t>58,426</w:t>
            </w:r>
          </w:p>
        </w:tc>
        <w:tc>
          <w:tcPr>
            <w:tcW w:w="1247" w:type="dxa"/>
            <w:tcBorders>
              <w:top w:val="single" w:sz="4" w:space="0" w:color="231F20"/>
              <w:bottom w:val="single" w:sz="8" w:space="0" w:color="231F20"/>
            </w:tcBorders>
            <w:shd w:val="clear" w:color="auto" w:fill="E6E7E8"/>
          </w:tcPr>
          <w:p w14:paraId="364AB918" w14:textId="77777777" w:rsidR="00345EE3" w:rsidRDefault="00345EE3" w:rsidP="00D73130">
            <w:pPr>
              <w:pStyle w:val="TableParagraph"/>
              <w:spacing w:before="58"/>
              <w:ind w:right="52"/>
              <w:rPr>
                <w:b/>
                <w:sz w:val="24"/>
              </w:rPr>
            </w:pPr>
            <w:r>
              <w:rPr>
                <w:b/>
                <w:color w:val="231F20"/>
                <w:spacing w:val="-2"/>
                <w:sz w:val="24"/>
              </w:rPr>
              <w:t>(63,498)</w:t>
            </w:r>
          </w:p>
        </w:tc>
        <w:tc>
          <w:tcPr>
            <w:tcW w:w="1134" w:type="dxa"/>
            <w:tcBorders>
              <w:top w:val="single" w:sz="4" w:space="0" w:color="231F20"/>
              <w:bottom w:val="single" w:sz="8" w:space="0" w:color="231F20"/>
            </w:tcBorders>
            <w:shd w:val="clear" w:color="auto" w:fill="E6E7E8"/>
          </w:tcPr>
          <w:p w14:paraId="6BAB9CD7" w14:textId="77777777" w:rsidR="00345EE3" w:rsidRDefault="00345EE3" w:rsidP="00D73130">
            <w:pPr>
              <w:pStyle w:val="TableParagraph"/>
              <w:spacing w:before="58"/>
              <w:ind w:right="53"/>
              <w:rPr>
                <w:b/>
                <w:sz w:val="24"/>
              </w:rPr>
            </w:pPr>
            <w:r>
              <w:rPr>
                <w:b/>
                <w:color w:val="231F20"/>
                <w:spacing w:val="-2"/>
                <w:sz w:val="24"/>
              </w:rPr>
              <w:t>68,370</w:t>
            </w:r>
          </w:p>
        </w:tc>
        <w:tc>
          <w:tcPr>
            <w:tcW w:w="1134" w:type="dxa"/>
            <w:tcBorders>
              <w:top w:val="single" w:sz="4" w:space="0" w:color="231F20"/>
              <w:bottom w:val="single" w:sz="8" w:space="0" w:color="231F20"/>
            </w:tcBorders>
          </w:tcPr>
          <w:p w14:paraId="31ACDD1E" w14:textId="77777777" w:rsidR="00345EE3" w:rsidRDefault="00345EE3" w:rsidP="00D73130">
            <w:pPr>
              <w:pStyle w:val="TableParagraph"/>
              <w:spacing w:before="58"/>
              <w:ind w:right="53"/>
              <w:rPr>
                <w:b/>
                <w:sz w:val="24"/>
              </w:rPr>
            </w:pPr>
            <w:r>
              <w:rPr>
                <w:b/>
                <w:color w:val="231F20"/>
                <w:spacing w:val="-2"/>
                <w:sz w:val="24"/>
              </w:rPr>
              <w:t>44,973</w:t>
            </w:r>
          </w:p>
        </w:tc>
        <w:tc>
          <w:tcPr>
            <w:tcW w:w="1134" w:type="dxa"/>
            <w:tcBorders>
              <w:top w:val="single" w:sz="4" w:space="0" w:color="231F20"/>
              <w:bottom w:val="single" w:sz="8" w:space="0" w:color="231F20"/>
            </w:tcBorders>
          </w:tcPr>
          <w:p w14:paraId="4FAB88DC" w14:textId="77777777" w:rsidR="00345EE3" w:rsidRDefault="00345EE3" w:rsidP="00D73130">
            <w:pPr>
              <w:pStyle w:val="TableParagraph"/>
              <w:spacing w:before="58"/>
              <w:ind w:right="53"/>
              <w:rPr>
                <w:b/>
                <w:sz w:val="24"/>
              </w:rPr>
            </w:pPr>
            <w:r>
              <w:rPr>
                <w:b/>
                <w:color w:val="231F20"/>
                <w:spacing w:val="-2"/>
                <w:sz w:val="24"/>
              </w:rPr>
              <w:t>53,234</w:t>
            </w:r>
          </w:p>
        </w:tc>
        <w:tc>
          <w:tcPr>
            <w:tcW w:w="1247" w:type="dxa"/>
            <w:tcBorders>
              <w:top w:val="single" w:sz="4" w:space="0" w:color="231F20"/>
              <w:bottom w:val="single" w:sz="8" w:space="0" w:color="231F20"/>
            </w:tcBorders>
          </w:tcPr>
          <w:p w14:paraId="02AE4C46" w14:textId="77777777" w:rsidR="00345EE3" w:rsidRDefault="00345EE3" w:rsidP="00D73130">
            <w:pPr>
              <w:pStyle w:val="TableParagraph"/>
              <w:spacing w:before="58"/>
              <w:ind w:right="53"/>
              <w:rPr>
                <w:b/>
                <w:sz w:val="24"/>
              </w:rPr>
            </w:pPr>
            <w:r>
              <w:rPr>
                <w:b/>
                <w:color w:val="231F20"/>
                <w:spacing w:val="-2"/>
                <w:sz w:val="24"/>
              </w:rPr>
              <w:t>(24,765)</w:t>
            </w:r>
          </w:p>
        </w:tc>
        <w:tc>
          <w:tcPr>
            <w:tcW w:w="1134" w:type="dxa"/>
            <w:tcBorders>
              <w:top w:val="single" w:sz="4" w:space="0" w:color="231F20"/>
              <w:bottom w:val="single" w:sz="8" w:space="0" w:color="231F20"/>
              <w:right w:val="nil"/>
            </w:tcBorders>
          </w:tcPr>
          <w:p w14:paraId="73B0BF91" w14:textId="77777777" w:rsidR="00345EE3" w:rsidRDefault="00345EE3" w:rsidP="00D73130">
            <w:pPr>
              <w:pStyle w:val="TableParagraph"/>
              <w:spacing w:before="58"/>
              <w:ind w:right="53"/>
              <w:rPr>
                <w:b/>
                <w:sz w:val="24"/>
              </w:rPr>
            </w:pPr>
            <w:r>
              <w:rPr>
                <w:b/>
                <w:color w:val="231F20"/>
                <w:spacing w:val="-2"/>
                <w:sz w:val="24"/>
              </w:rPr>
              <w:t>73,442</w:t>
            </w:r>
          </w:p>
        </w:tc>
      </w:tr>
    </w:tbl>
    <w:p w14:paraId="6F0F2D91" w14:textId="77777777" w:rsidR="00345EE3" w:rsidRPr="000C71FB" w:rsidRDefault="00345EE3" w:rsidP="00345EE3">
      <w:pPr>
        <w:spacing w:before="76"/>
        <w:ind w:left="110"/>
        <w:rPr>
          <w:rFonts w:ascii="Arial-BoldItalicMT"/>
          <w:b/>
          <w:i/>
          <w:sz w:val="18"/>
          <w:szCs w:val="18"/>
        </w:rPr>
      </w:pPr>
      <w:r w:rsidRPr="000C71FB">
        <w:rPr>
          <w:rFonts w:ascii="Arial-BoldItalicMT"/>
          <w:b/>
          <w:i/>
          <w:color w:val="231F20"/>
          <w:spacing w:val="-2"/>
          <w:sz w:val="18"/>
          <w:szCs w:val="18"/>
        </w:rPr>
        <w:t>Notes:</w:t>
      </w:r>
    </w:p>
    <w:p w14:paraId="34541035" w14:textId="77777777" w:rsidR="00345EE3" w:rsidRPr="000C71FB" w:rsidRDefault="00345EE3">
      <w:pPr>
        <w:pStyle w:val="ListParagraph"/>
        <w:numPr>
          <w:ilvl w:val="0"/>
          <w:numId w:val="22"/>
        </w:numPr>
        <w:tabs>
          <w:tab w:val="left" w:pos="338"/>
        </w:tabs>
        <w:spacing w:before="27"/>
        <w:ind w:right="252"/>
        <w:rPr>
          <w:sz w:val="18"/>
          <w:szCs w:val="18"/>
        </w:rPr>
      </w:pPr>
      <w:r w:rsidRPr="000C71FB">
        <w:rPr>
          <w:color w:val="231F20"/>
          <w:sz w:val="18"/>
          <w:szCs w:val="18"/>
        </w:rPr>
        <w:t>The</w:t>
      </w:r>
      <w:r w:rsidRPr="000C71FB">
        <w:rPr>
          <w:color w:val="231F20"/>
          <w:spacing w:val="-1"/>
          <w:sz w:val="18"/>
          <w:szCs w:val="18"/>
        </w:rPr>
        <w:t xml:space="preserve"> </w:t>
      </w:r>
      <w:r w:rsidRPr="000C71FB">
        <w:rPr>
          <w:color w:val="231F20"/>
          <w:sz w:val="18"/>
          <w:szCs w:val="18"/>
        </w:rPr>
        <w:t>Public</w:t>
      </w:r>
      <w:r w:rsidRPr="000C71FB">
        <w:rPr>
          <w:color w:val="231F20"/>
          <w:spacing w:val="-1"/>
          <w:sz w:val="18"/>
          <w:szCs w:val="18"/>
        </w:rPr>
        <w:t xml:space="preserve"> </w:t>
      </w:r>
      <w:r w:rsidRPr="000C71FB">
        <w:rPr>
          <w:color w:val="231F20"/>
          <w:sz w:val="18"/>
          <w:szCs w:val="18"/>
        </w:rPr>
        <w:t>Service</w:t>
      </w:r>
      <w:r w:rsidRPr="000C71FB">
        <w:rPr>
          <w:color w:val="231F20"/>
          <w:spacing w:val="-1"/>
          <w:sz w:val="18"/>
          <w:szCs w:val="18"/>
        </w:rPr>
        <w:t xml:space="preserve"> </w:t>
      </w:r>
      <w:r w:rsidRPr="000C71FB">
        <w:rPr>
          <w:color w:val="231F20"/>
          <w:sz w:val="18"/>
          <w:szCs w:val="18"/>
        </w:rPr>
        <w:t>Commuter</w:t>
      </w:r>
      <w:r w:rsidRPr="000C71FB">
        <w:rPr>
          <w:color w:val="231F20"/>
          <w:spacing w:val="-1"/>
          <w:sz w:val="18"/>
          <w:szCs w:val="18"/>
        </w:rPr>
        <w:t xml:space="preserve"> </w:t>
      </w:r>
      <w:r w:rsidRPr="000C71FB">
        <w:rPr>
          <w:color w:val="231F20"/>
          <w:sz w:val="18"/>
          <w:szCs w:val="18"/>
        </w:rPr>
        <w:t>Club</w:t>
      </w:r>
      <w:r w:rsidRPr="000C71FB">
        <w:rPr>
          <w:color w:val="231F20"/>
          <w:spacing w:val="-1"/>
          <w:sz w:val="18"/>
          <w:szCs w:val="18"/>
        </w:rPr>
        <w:t xml:space="preserve"> </w:t>
      </w:r>
      <w:r w:rsidRPr="000C71FB">
        <w:rPr>
          <w:color w:val="231F20"/>
          <w:sz w:val="18"/>
          <w:szCs w:val="18"/>
        </w:rPr>
        <w:t>surplus</w:t>
      </w:r>
      <w:r w:rsidRPr="000C71FB">
        <w:rPr>
          <w:color w:val="231F20"/>
          <w:spacing w:val="-1"/>
          <w:sz w:val="18"/>
          <w:szCs w:val="18"/>
        </w:rPr>
        <w:t xml:space="preserve"> </w:t>
      </w:r>
      <w:r w:rsidRPr="000C71FB">
        <w:rPr>
          <w:color w:val="231F20"/>
          <w:sz w:val="18"/>
          <w:szCs w:val="18"/>
        </w:rPr>
        <w:t>balance</w:t>
      </w:r>
      <w:r w:rsidRPr="000C71FB">
        <w:rPr>
          <w:color w:val="231F20"/>
          <w:spacing w:val="-1"/>
          <w:sz w:val="18"/>
          <w:szCs w:val="18"/>
        </w:rPr>
        <w:t xml:space="preserve"> </w:t>
      </w:r>
      <w:r w:rsidRPr="000C71FB">
        <w:rPr>
          <w:color w:val="231F20"/>
          <w:sz w:val="18"/>
          <w:szCs w:val="18"/>
        </w:rPr>
        <w:t>at</w:t>
      </w:r>
      <w:r w:rsidRPr="000C71FB">
        <w:rPr>
          <w:color w:val="231F20"/>
          <w:spacing w:val="-1"/>
          <w:sz w:val="18"/>
          <w:szCs w:val="18"/>
        </w:rPr>
        <w:t xml:space="preserve"> </w:t>
      </w:r>
      <w:r w:rsidRPr="000C71FB">
        <w:rPr>
          <w:color w:val="231F20"/>
          <w:sz w:val="18"/>
          <w:szCs w:val="18"/>
        </w:rPr>
        <w:t>30</w:t>
      </w:r>
      <w:r w:rsidRPr="000C71FB">
        <w:rPr>
          <w:color w:val="231F20"/>
          <w:spacing w:val="-1"/>
          <w:sz w:val="18"/>
          <w:szCs w:val="18"/>
        </w:rPr>
        <w:t xml:space="preserve"> </w:t>
      </w:r>
      <w:r w:rsidRPr="000C71FB">
        <w:rPr>
          <w:color w:val="231F20"/>
          <w:sz w:val="18"/>
          <w:szCs w:val="18"/>
        </w:rPr>
        <w:t>June</w:t>
      </w:r>
      <w:r w:rsidRPr="000C71FB">
        <w:rPr>
          <w:color w:val="231F20"/>
          <w:spacing w:val="-1"/>
          <w:sz w:val="18"/>
          <w:szCs w:val="18"/>
        </w:rPr>
        <w:t xml:space="preserve"> </w:t>
      </w:r>
      <w:r w:rsidRPr="000C71FB">
        <w:rPr>
          <w:color w:val="231F20"/>
          <w:sz w:val="18"/>
          <w:szCs w:val="18"/>
        </w:rPr>
        <w:t>2022</w:t>
      </w:r>
      <w:r w:rsidRPr="000C71FB">
        <w:rPr>
          <w:color w:val="231F20"/>
          <w:spacing w:val="-1"/>
          <w:sz w:val="18"/>
          <w:szCs w:val="18"/>
        </w:rPr>
        <w:t xml:space="preserve"> </w:t>
      </w:r>
      <w:r w:rsidRPr="000C71FB">
        <w:rPr>
          <w:color w:val="231F20"/>
          <w:sz w:val="18"/>
          <w:szCs w:val="18"/>
        </w:rPr>
        <w:t>and</w:t>
      </w:r>
      <w:r w:rsidRPr="000C71FB">
        <w:rPr>
          <w:color w:val="231F20"/>
          <w:spacing w:val="-1"/>
          <w:sz w:val="18"/>
          <w:szCs w:val="18"/>
        </w:rPr>
        <w:t xml:space="preserve"> </w:t>
      </w:r>
      <w:r w:rsidRPr="000C71FB">
        <w:rPr>
          <w:color w:val="231F20"/>
          <w:sz w:val="18"/>
          <w:szCs w:val="18"/>
        </w:rPr>
        <w:t>30</w:t>
      </w:r>
      <w:r w:rsidRPr="000C71FB">
        <w:rPr>
          <w:color w:val="231F20"/>
          <w:spacing w:val="-1"/>
          <w:sz w:val="18"/>
          <w:szCs w:val="18"/>
        </w:rPr>
        <w:t xml:space="preserve"> </w:t>
      </w:r>
      <w:r w:rsidRPr="000C71FB">
        <w:rPr>
          <w:color w:val="231F20"/>
          <w:sz w:val="18"/>
          <w:szCs w:val="18"/>
        </w:rPr>
        <w:t>June</w:t>
      </w:r>
      <w:r w:rsidRPr="000C71FB">
        <w:rPr>
          <w:color w:val="231F20"/>
          <w:spacing w:val="-1"/>
          <w:sz w:val="18"/>
          <w:szCs w:val="18"/>
        </w:rPr>
        <w:t xml:space="preserve"> </w:t>
      </w:r>
      <w:r w:rsidRPr="000C71FB">
        <w:rPr>
          <w:color w:val="231F20"/>
          <w:sz w:val="18"/>
          <w:szCs w:val="18"/>
        </w:rPr>
        <w:t>2021</w:t>
      </w:r>
      <w:r w:rsidRPr="000C71FB">
        <w:rPr>
          <w:color w:val="231F20"/>
          <w:spacing w:val="-1"/>
          <w:sz w:val="18"/>
          <w:szCs w:val="18"/>
        </w:rPr>
        <w:t xml:space="preserve"> </w:t>
      </w:r>
      <w:r w:rsidRPr="000C71FB">
        <w:rPr>
          <w:color w:val="231F20"/>
          <w:sz w:val="18"/>
          <w:szCs w:val="18"/>
        </w:rPr>
        <w:t>respectively,</w:t>
      </w:r>
      <w:r w:rsidRPr="000C71FB">
        <w:rPr>
          <w:color w:val="231F20"/>
          <w:spacing w:val="-1"/>
          <w:sz w:val="18"/>
          <w:szCs w:val="18"/>
        </w:rPr>
        <w:t xml:space="preserve"> </w:t>
      </w:r>
      <w:r w:rsidRPr="000C71FB">
        <w:rPr>
          <w:color w:val="231F20"/>
          <w:sz w:val="18"/>
          <w:szCs w:val="18"/>
        </w:rPr>
        <w:t>relates</w:t>
      </w:r>
      <w:r w:rsidRPr="000C71FB">
        <w:rPr>
          <w:color w:val="231F20"/>
          <w:spacing w:val="-1"/>
          <w:sz w:val="18"/>
          <w:szCs w:val="18"/>
        </w:rPr>
        <w:t xml:space="preserve"> </w:t>
      </w:r>
      <w:r w:rsidRPr="000C71FB">
        <w:rPr>
          <w:color w:val="231F20"/>
          <w:sz w:val="18"/>
          <w:szCs w:val="18"/>
        </w:rPr>
        <w:t>to</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movement</w:t>
      </w:r>
      <w:r w:rsidRPr="000C71FB">
        <w:rPr>
          <w:color w:val="231F20"/>
          <w:spacing w:val="-1"/>
          <w:sz w:val="18"/>
          <w:szCs w:val="18"/>
        </w:rPr>
        <w:t xml:space="preserve"> </w:t>
      </w:r>
      <w:r w:rsidRPr="000C71FB">
        <w:rPr>
          <w:color w:val="231F20"/>
          <w:sz w:val="18"/>
          <w:szCs w:val="18"/>
        </w:rPr>
        <w:t>between</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purchase</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travel</w:t>
      </w:r>
      <w:r w:rsidRPr="000C71FB">
        <w:rPr>
          <w:color w:val="231F20"/>
          <w:spacing w:val="-1"/>
          <w:sz w:val="18"/>
          <w:szCs w:val="18"/>
        </w:rPr>
        <w:t xml:space="preserve"> </w:t>
      </w:r>
      <w:r w:rsidRPr="000C71FB">
        <w:rPr>
          <w:color w:val="231F20"/>
          <w:sz w:val="18"/>
          <w:szCs w:val="18"/>
        </w:rPr>
        <w:t>tickets</w:t>
      </w:r>
      <w:r w:rsidRPr="000C71FB">
        <w:rPr>
          <w:color w:val="231F20"/>
          <w:spacing w:val="-1"/>
          <w:sz w:val="18"/>
          <w:szCs w:val="18"/>
        </w:rPr>
        <w:t xml:space="preserve"> </w:t>
      </w:r>
      <w:r w:rsidRPr="000C71FB">
        <w:rPr>
          <w:color w:val="231F20"/>
          <w:sz w:val="18"/>
          <w:szCs w:val="18"/>
        </w:rPr>
        <w:t>and</w:t>
      </w:r>
      <w:r w:rsidRPr="000C71FB">
        <w:rPr>
          <w:color w:val="231F20"/>
          <w:spacing w:val="-1"/>
          <w:sz w:val="18"/>
          <w:szCs w:val="18"/>
        </w:rPr>
        <w:t xml:space="preserve"> </w:t>
      </w:r>
      <w:r w:rsidRPr="000C71FB">
        <w:rPr>
          <w:color w:val="231F20"/>
          <w:sz w:val="18"/>
          <w:szCs w:val="18"/>
        </w:rPr>
        <w:t>reimbursement</w:t>
      </w:r>
      <w:r w:rsidRPr="000C71FB">
        <w:rPr>
          <w:color w:val="231F20"/>
          <w:spacing w:val="-1"/>
          <w:sz w:val="18"/>
          <w:szCs w:val="18"/>
        </w:rPr>
        <w:t xml:space="preserve"> </w:t>
      </w:r>
      <w:r w:rsidRPr="000C71FB">
        <w:rPr>
          <w:color w:val="231F20"/>
          <w:sz w:val="18"/>
          <w:szCs w:val="18"/>
        </w:rPr>
        <w:t>from</w:t>
      </w:r>
      <w:r w:rsidRPr="000C71FB">
        <w:rPr>
          <w:color w:val="231F20"/>
          <w:spacing w:val="-1"/>
          <w:sz w:val="18"/>
          <w:szCs w:val="18"/>
        </w:rPr>
        <w:t xml:space="preserve"> </w:t>
      </w:r>
      <w:r w:rsidRPr="000C71FB">
        <w:rPr>
          <w:color w:val="231F20"/>
          <w:sz w:val="18"/>
          <w:szCs w:val="18"/>
        </w:rPr>
        <w:t>employees.</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trust’s</w:t>
      </w:r>
      <w:r w:rsidRPr="000C71FB">
        <w:rPr>
          <w:color w:val="231F20"/>
          <w:spacing w:val="-1"/>
          <w:sz w:val="18"/>
          <w:szCs w:val="18"/>
        </w:rPr>
        <w:t xml:space="preserve"> </w:t>
      </w:r>
      <w:r w:rsidRPr="000C71FB">
        <w:rPr>
          <w:color w:val="231F20"/>
          <w:sz w:val="18"/>
          <w:szCs w:val="18"/>
        </w:rPr>
        <w:t>working</w:t>
      </w:r>
      <w:r w:rsidRPr="000C71FB">
        <w:rPr>
          <w:color w:val="231F20"/>
          <w:spacing w:val="-1"/>
          <w:sz w:val="18"/>
          <w:szCs w:val="18"/>
        </w:rPr>
        <w:t xml:space="preserve"> </w:t>
      </w:r>
      <w:r w:rsidRPr="000C71FB">
        <w:rPr>
          <w:color w:val="231F20"/>
          <w:sz w:val="18"/>
          <w:szCs w:val="18"/>
        </w:rPr>
        <w:t>capital</w:t>
      </w:r>
      <w:r w:rsidRPr="000C71FB">
        <w:rPr>
          <w:color w:val="231F20"/>
          <w:spacing w:val="-1"/>
          <w:sz w:val="18"/>
          <w:szCs w:val="18"/>
        </w:rPr>
        <w:t xml:space="preserve"> </w:t>
      </w:r>
      <w:r w:rsidRPr="000C71FB">
        <w:rPr>
          <w:color w:val="231F20"/>
          <w:sz w:val="18"/>
          <w:szCs w:val="18"/>
        </w:rPr>
        <w:t>is</w:t>
      </w:r>
      <w:r w:rsidRPr="000C71FB">
        <w:rPr>
          <w:color w:val="231F20"/>
          <w:spacing w:val="-1"/>
          <w:sz w:val="18"/>
          <w:szCs w:val="18"/>
        </w:rPr>
        <w:t xml:space="preserve"> </w:t>
      </w:r>
      <w:r w:rsidRPr="000C71FB">
        <w:rPr>
          <w:color w:val="231F20"/>
          <w:sz w:val="18"/>
          <w:szCs w:val="18"/>
        </w:rPr>
        <w:t>funded</w:t>
      </w:r>
      <w:r w:rsidRPr="000C71FB">
        <w:rPr>
          <w:color w:val="231F20"/>
          <w:spacing w:val="40"/>
          <w:sz w:val="18"/>
          <w:szCs w:val="18"/>
        </w:rPr>
        <w:t xml:space="preserve"> </w:t>
      </w:r>
      <w:r w:rsidRPr="000C71FB">
        <w:rPr>
          <w:color w:val="231F20"/>
          <w:sz w:val="18"/>
          <w:szCs w:val="18"/>
        </w:rPr>
        <w:t>by the Department of Treasury and Finance.</w:t>
      </w:r>
    </w:p>
    <w:p w14:paraId="17FE96E6" w14:textId="77777777" w:rsidR="00345EE3" w:rsidRPr="000C71FB" w:rsidRDefault="00345EE3">
      <w:pPr>
        <w:pStyle w:val="ListParagraph"/>
        <w:numPr>
          <w:ilvl w:val="0"/>
          <w:numId w:val="22"/>
        </w:numPr>
        <w:tabs>
          <w:tab w:val="left" w:pos="338"/>
        </w:tabs>
        <w:spacing w:before="26"/>
        <w:ind w:hanging="228"/>
        <w:rPr>
          <w:sz w:val="18"/>
          <w:szCs w:val="18"/>
        </w:rPr>
      </w:pPr>
      <w:r w:rsidRPr="000C71FB">
        <w:rPr>
          <w:color w:val="231F20"/>
          <w:sz w:val="18"/>
          <w:szCs w:val="18"/>
        </w:rPr>
        <w:t>The</w:t>
      </w:r>
      <w:r w:rsidRPr="000C71FB">
        <w:rPr>
          <w:color w:val="231F20"/>
          <w:spacing w:val="-4"/>
          <w:sz w:val="18"/>
          <w:szCs w:val="18"/>
        </w:rPr>
        <w:t xml:space="preserve"> </w:t>
      </w:r>
      <w:r w:rsidRPr="000C71FB">
        <w:rPr>
          <w:color w:val="231F20"/>
          <w:sz w:val="18"/>
          <w:szCs w:val="18"/>
        </w:rPr>
        <w:t>closing</w:t>
      </w:r>
      <w:r w:rsidRPr="000C71FB">
        <w:rPr>
          <w:color w:val="231F20"/>
          <w:spacing w:val="-1"/>
          <w:sz w:val="18"/>
          <w:szCs w:val="18"/>
        </w:rPr>
        <w:t xml:space="preserve"> </w:t>
      </w:r>
      <w:r w:rsidRPr="000C71FB">
        <w:rPr>
          <w:color w:val="231F20"/>
          <w:sz w:val="18"/>
          <w:szCs w:val="18"/>
        </w:rPr>
        <w:t>balance</w:t>
      </w:r>
      <w:r w:rsidRPr="000C71FB">
        <w:rPr>
          <w:color w:val="231F20"/>
          <w:spacing w:val="-2"/>
          <w:sz w:val="18"/>
          <w:szCs w:val="18"/>
        </w:rPr>
        <w:t xml:space="preserve"> </w:t>
      </w:r>
      <w:r w:rsidRPr="000C71FB">
        <w:rPr>
          <w:color w:val="231F20"/>
          <w:sz w:val="18"/>
          <w:szCs w:val="18"/>
        </w:rPr>
        <w:t>forms</w:t>
      </w:r>
      <w:r w:rsidRPr="000C71FB">
        <w:rPr>
          <w:color w:val="231F20"/>
          <w:spacing w:val="-1"/>
          <w:sz w:val="18"/>
          <w:szCs w:val="18"/>
        </w:rPr>
        <w:t xml:space="preserve"> </w:t>
      </w:r>
      <w:r w:rsidRPr="000C71FB">
        <w:rPr>
          <w:color w:val="231F20"/>
          <w:sz w:val="18"/>
          <w:szCs w:val="18"/>
        </w:rPr>
        <w:t>part</w:t>
      </w:r>
      <w:r w:rsidRPr="000C71FB">
        <w:rPr>
          <w:color w:val="231F20"/>
          <w:spacing w:val="-2"/>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Victoria</w:t>
      </w:r>
      <w:r w:rsidRPr="000C71FB">
        <w:rPr>
          <w:color w:val="231F20"/>
          <w:spacing w:val="-1"/>
          <w:sz w:val="18"/>
          <w:szCs w:val="18"/>
        </w:rPr>
        <w:t xml:space="preserve"> </w:t>
      </w:r>
      <w:r w:rsidRPr="000C71FB">
        <w:rPr>
          <w:color w:val="231F20"/>
          <w:sz w:val="18"/>
          <w:szCs w:val="18"/>
        </w:rPr>
        <w:t>Police’s</w:t>
      </w:r>
      <w:r w:rsidRPr="000C71FB">
        <w:rPr>
          <w:color w:val="231F20"/>
          <w:spacing w:val="-2"/>
          <w:sz w:val="18"/>
          <w:szCs w:val="18"/>
        </w:rPr>
        <w:t xml:space="preserve"> </w:t>
      </w:r>
      <w:r w:rsidRPr="000C71FB">
        <w:rPr>
          <w:color w:val="231F20"/>
          <w:sz w:val="18"/>
          <w:szCs w:val="18"/>
        </w:rPr>
        <w:t>cash</w:t>
      </w:r>
      <w:r w:rsidRPr="000C71FB">
        <w:rPr>
          <w:color w:val="231F20"/>
          <w:spacing w:val="-1"/>
          <w:sz w:val="18"/>
          <w:szCs w:val="18"/>
        </w:rPr>
        <w:t xml:space="preserve"> </w:t>
      </w:r>
      <w:r w:rsidRPr="000C71FB">
        <w:rPr>
          <w:color w:val="231F20"/>
          <w:sz w:val="18"/>
          <w:szCs w:val="18"/>
        </w:rPr>
        <w:t>balances</w:t>
      </w:r>
      <w:r w:rsidRPr="000C71FB">
        <w:rPr>
          <w:color w:val="231F20"/>
          <w:spacing w:val="-2"/>
          <w:sz w:val="18"/>
          <w:szCs w:val="18"/>
        </w:rPr>
        <w:t xml:space="preserve"> </w:t>
      </w:r>
      <w:r w:rsidRPr="000C71FB">
        <w:rPr>
          <w:color w:val="231F20"/>
          <w:sz w:val="18"/>
          <w:szCs w:val="18"/>
        </w:rPr>
        <w:t>as</w:t>
      </w:r>
      <w:r w:rsidRPr="000C71FB">
        <w:rPr>
          <w:color w:val="231F20"/>
          <w:spacing w:val="-1"/>
          <w:sz w:val="18"/>
          <w:szCs w:val="18"/>
        </w:rPr>
        <w:t xml:space="preserve"> </w:t>
      </w:r>
      <w:r w:rsidRPr="000C71FB">
        <w:rPr>
          <w:color w:val="231F20"/>
          <w:sz w:val="18"/>
          <w:szCs w:val="18"/>
        </w:rPr>
        <w:t>at</w:t>
      </w:r>
      <w:r w:rsidRPr="000C71FB">
        <w:rPr>
          <w:color w:val="231F20"/>
          <w:spacing w:val="-2"/>
          <w:sz w:val="18"/>
          <w:szCs w:val="18"/>
        </w:rPr>
        <w:t xml:space="preserve"> </w:t>
      </w:r>
      <w:r w:rsidRPr="000C71FB">
        <w:rPr>
          <w:color w:val="231F20"/>
          <w:sz w:val="18"/>
          <w:szCs w:val="18"/>
        </w:rPr>
        <w:t>30</w:t>
      </w:r>
      <w:r w:rsidRPr="000C71FB">
        <w:rPr>
          <w:color w:val="231F20"/>
          <w:spacing w:val="-1"/>
          <w:sz w:val="18"/>
          <w:szCs w:val="18"/>
        </w:rPr>
        <w:t xml:space="preserve"> </w:t>
      </w:r>
      <w:r w:rsidRPr="000C71FB">
        <w:rPr>
          <w:color w:val="231F20"/>
          <w:sz w:val="18"/>
          <w:szCs w:val="18"/>
        </w:rPr>
        <w:t>June</w:t>
      </w:r>
      <w:r w:rsidRPr="000C71FB">
        <w:rPr>
          <w:color w:val="231F20"/>
          <w:spacing w:val="-1"/>
          <w:sz w:val="18"/>
          <w:szCs w:val="18"/>
        </w:rPr>
        <w:t xml:space="preserve"> </w:t>
      </w:r>
      <w:r w:rsidRPr="000C71FB">
        <w:rPr>
          <w:color w:val="231F20"/>
          <w:sz w:val="18"/>
          <w:szCs w:val="18"/>
        </w:rPr>
        <w:t>2022</w:t>
      </w:r>
      <w:r w:rsidRPr="000C71FB">
        <w:rPr>
          <w:color w:val="231F20"/>
          <w:spacing w:val="-2"/>
          <w:sz w:val="18"/>
          <w:szCs w:val="18"/>
        </w:rPr>
        <w:t xml:space="preserve"> </w:t>
      </w:r>
      <w:r w:rsidRPr="000C71FB">
        <w:rPr>
          <w:color w:val="231F20"/>
          <w:sz w:val="18"/>
          <w:szCs w:val="18"/>
        </w:rPr>
        <w:t>and</w:t>
      </w:r>
      <w:r w:rsidRPr="000C71FB">
        <w:rPr>
          <w:color w:val="231F20"/>
          <w:spacing w:val="-1"/>
          <w:sz w:val="18"/>
          <w:szCs w:val="18"/>
        </w:rPr>
        <w:t xml:space="preserve"> </w:t>
      </w:r>
      <w:r w:rsidRPr="000C71FB">
        <w:rPr>
          <w:color w:val="231F20"/>
          <w:sz w:val="18"/>
          <w:szCs w:val="18"/>
        </w:rPr>
        <w:t>30</w:t>
      </w:r>
      <w:r w:rsidRPr="000C71FB">
        <w:rPr>
          <w:color w:val="231F20"/>
          <w:spacing w:val="-2"/>
          <w:sz w:val="18"/>
          <w:szCs w:val="18"/>
        </w:rPr>
        <w:t xml:space="preserve"> </w:t>
      </w:r>
      <w:r w:rsidRPr="000C71FB">
        <w:rPr>
          <w:color w:val="231F20"/>
          <w:sz w:val="18"/>
          <w:szCs w:val="18"/>
        </w:rPr>
        <w:t>June</w:t>
      </w:r>
      <w:r w:rsidRPr="000C71FB">
        <w:rPr>
          <w:color w:val="231F20"/>
          <w:spacing w:val="-1"/>
          <w:sz w:val="18"/>
          <w:szCs w:val="18"/>
        </w:rPr>
        <w:t xml:space="preserve"> </w:t>
      </w:r>
      <w:r w:rsidRPr="000C71FB">
        <w:rPr>
          <w:color w:val="231F20"/>
          <w:sz w:val="18"/>
          <w:szCs w:val="18"/>
        </w:rPr>
        <w:t>2021</w:t>
      </w:r>
      <w:r w:rsidRPr="000C71FB">
        <w:rPr>
          <w:color w:val="231F20"/>
          <w:spacing w:val="-1"/>
          <w:sz w:val="18"/>
          <w:szCs w:val="18"/>
        </w:rPr>
        <w:t xml:space="preserve"> </w:t>
      </w:r>
      <w:r w:rsidRPr="000C71FB">
        <w:rPr>
          <w:color w:val="231F20"/>
          <w:spacing w:val="-2"/>
          <w:sz w:val="18"/>
          <w:szCs w:val="18"/>
        </w:rPr>
        <w:t>respectively.</w:t>
      </w:r>
    </w:p>
    <w:p w14:paraId="1CEFC0A3" w14:textId="77777777" w:rsidR="00345EE3" w:rsidRPr="000C71FB" w:rsidRDefault="00345EE3">
      <w:pPr>
        <w:pStyle w:val="ListParagraph"/>
        <w:numPr>
          <w:ilvl w:val="0"/>
          <w:numId w:val="22"/>
        </w:numPr>
        <w:tabs>
          <w:tab w:val="left" w:pos="338"/>
        </w:tabs>
        <w:spacing w:before="28"/>
        <w:ind w:hanging="228"/>
        <w:rPr>
          <w:sz w:val="18"/>
          <w:szCs w:val="18"/>
        </w:rPr>
      </w:pPr>
      <w:r w:rsidRPr="000C71FB">
        <w:rPr>
          <w:color w:val="231F20"/>
          <w:sz w:val="18"/>
          <w:szCs w:val="18"/>
        </w:rPr>
        <w:t>The</w:t>
      </w:r>
      <w:r w:rsidRPr="000C71FB">
        <w:rPr>
          <w:color w:val="231F20"/>
          <w:spacing w:val="-4"/>
          <w:sz w:val="18"/>
          <w:szCs w:val="18"/>
        </w:rPr>
        <w:t xml:space="preserve"> </w:t>
      </w:r>
      <w:r w:rsidRPr="000C71FB">
        <w:rPr>
          <w:color w:val="231F20"/>
          <w:sz w:val="18"/>
          <w:szCs w:val="18"/>
        </w:rPr>
        <w:t>closing</w:t>
      </w:r>
      <w:r w:rsidRPr="000C71FB">
        <w:rPr>
          <w:color w:val="231F20"/>
          <w:spacing w:val="-2"/>
          <w:sz w:val="18"/>
          <w:szCs w:val="18"/>
        </w:rPr>
        <w:t xml:space="preserve"> </w:t>
      </w:r>
      <w:r w:rsidRPr="000C71FB">
        <w:rPr>
          <w:color w:val="231F20"/>
          <w:sz w:val="18"/>
          <w:szCs w:val="18"/>
        </w:rPr>
        <w:t>balance</w:t>
      </w:r>
      <w:r w:rsidRPr="000C71FB">
        <w:rPr>
          <w:color w:val="231F20"/>
          <w:spacing w:val="-1"/>
          <w:sz w:val="18"/>
          <w:szCs w:val="18"/>
        </w:rPr>
        <w:t xml:space="preserve"> </w:t>
      </w:r>
      <w:r w:rsidRPr="000C71FB">
        <w:rPr>
          <w:color w:val="231F20"/>
          <w:sz w:val="18"/>
          <w:szCs w:val="18"/>
        </w:rPr>
        <w:t>does</w:t>
      </w:r>
      <w:r w:rsidRPr="000C71FB">
        <w:rPr>
          <w:color w:val="231F20"/>
          <w:spacing w:val="-2"/>
          <w:sz w:val="18"/>
          <w:szCs w:val="18"/>
        </w:rPr>
        <w:t xml:space="preserve"> </w:t>
      </w:r>
      <w:r w:rsidRPr="000C71FB">
        <w:rPr>
          <w:color w:val="231F20"/>
          <w:sz w:val="18"/>
          <w:szCs w:val="18"/>
        </w:rPr>
        <w:t>not</w:t>
      </w:r>
      <w:r w:rsidRPr="000C71FB">
        <w:rPr>
          <w:color w:val="231F20"/>
          <w:spacing w:val="-1"/>
          <w:sz w:val="18"/>
          <w:szCs w:val="18"/>
        </w:rPr>
        <w:t xml:space="preserve"> </w:t>
      </w:r>
      <w:r w:rsidRPr="000C71FB">
        <w:rPr>
          <w:color w:val="231F20"/>
          <w:sz w:val="18"/>
          <w:szCs w:val="18"/>
        </w:rPr>
        <w:t>form</w:t>
      </w:r>
      <w:r w:rsidRPr="000C71FB">
        <w:rPr>
          <w:color w:val="231F20"/>
          <w:spacing w:val="-2"/>
          <w:sz w:val="18"/>
          <w:szCs w:val="18"/>
        </w:rPr>
        <w:t xml:space="preserve"> </w:t>
      </w:r>
      <w:r w:rsidRPr="000C71FB">
        <w:rPr>
          <w:color w:val="231F20"/>
          <w:sz w:val="18"/>
          <w:szCs w:val="18"/>
        </w:rPr>
        <w:t>part</w:t>
      </w:r>
      <w:r w:rsidRPr="000C71FB">
        <w:rPr>
          <w:color w:val="231F20"/>
          <w:spacing w:val="-1"/>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Victoria</w:t>
      </w:r>
      <w:r w:rsidRPr="000C71FB">
        <w:rPr>
          <w:color w:val="231F20"/>
          <w:spacing w:val="-1"/>
          <w:sz w:val="18"/>
          <w:szCs w:val="18"/>
        </w:rPr>
        <w:t xml:space="preserve"> </w:t>
      </w:r>
      <w:r w:rsidRPr="000C71FB">
        <w:rPr>
          <w:color w:val="231F20"/>
          <w:sz w:val="18"/>
          <w:szCs w:val="18"/>
        </w:rPr>
        <w:t>Police’s</w:t>
      </w:r>
      <w:r w:rsidRPr="000C71FB">
        <w:rPr>
          <w:color w:val="231F20"/>
          <w:spacing w:val="-2"/>
          <w:sz w:val="18"/>
          <w:szCs w:val="18"/>
        </w:rPr>
        <w:t xml:space="preserve"> </w:t>
      </w:r>
      <w:r w:rsidRPr="000C71FB">
        <w:rPr>
          <w:color w:val="231F20"/>
          <w:sz w:val="18"/>
          <w:szCs w:val="18"/>
        </w:rPr>
        <w:t>cash</w:t>
      </w:r>
      <w:r w:rsidRPr="000C71FB">
        <w:rPr>
          <w:color w:val="231F20"/>
          <w:spacing w:val="-1"/>
          <w:sz w:val="18"/>
          <w:szCs w:val="18"/>
        </w:rPr>
        <w:t xml:space="preserve"> </w:t>
      </w:r>
      <w:r w:rsidRPr="000C71FB">
        <w:rPr>
          <w:color w:val="231F20"/>
          <w:sz w:val="18"/>
          <w:szCs w:val="18"/>
        </w:rPr>
        <w:t>balances</w:t>
      </w:r>
      <w:r w:rsidRPr="000C71FB">
        <w:rPr>
          <w:color w:val="231F20"/>
          <w:spacing w:val="-2"/>
          <w:sz w:val="18"/>
          <w:szCs w:val="18"/>
        </w:rPr>
        <w:t xml:space="preserve"> </w:t>
      </w:r>
      <w:r w:rsidRPr="000C71FB">
        <w:rPr>
          <w:color w:val="231F20"/>
          <w:sz w:val="18"/>
          <w:szCs w:val="18"/>
        </w:rPr>
        <w:t>as</w:t>
      </w:r>
      <w:r w:rsidRPr="000C71FB">
        <w:rPr>
          <w:color w:val="231F20"/>
          <w:spacing w:val="-1"/>
          <w:sz w:val="18"/>
          <w:szCs w:val="18"/>
        </w:rPr>
        <w:t xml:space="preserve"> </w:t>
      </w:r>
      <w:r w:rsidRPr="000C71FB">
        <w:rPr>
          <w:color w:val="231F20"/>
          <w:sz w:val="18"/>
          <w:szCs w:val="18"/>
        </w:rPr>
        <w:t>at</w:t>
      </w:r>
      <w:r w:rsidRPr="000C71FB">
        <w:rPr>
          <w:color w:val="231F20"/>
          <w:spacing w:val="-2"/>
          <w:sz w:val="18"/>
          <w:szCs w:val="18"/>
        </w:rPr>
        <w:t xml:space="preserve"> </w:t>
      </w:r>
      <w:r w:rsidRPr="000C71FB">
        <w:rPr>
          <w:color w:val="231F20"/>
          <w:sz w:val="18"/>
          <w:szCs w:val="18"/>
        </w:rPr>
        <w:t>30</w:t>
      </w:r>
      <w:r w:rsidRPr="000C71FB">
        <w:rPr>
          <w:color w:val="231F20"/>
          <w:spacing w:val="-1"/>
          <w:sz w:val="18"/>
          <w:szCs w:val="18"/>
        </w:rPr>
        <w:t xml:space="preserve"> </w:t>
      </w:r>
      <w:r w:rsidRPr="000C71FB">
        <w:rPr>
          <w:color w:val="231F20"/>
          <w:sz w:val="18"/>
          <w:szCs w:val="18"/>
        </w:rPr>
        <w:t>June</w:t>
      </w:r>
      <w:r w:rsidRPr="000C71FB">
        <w:rPr>
          <w:color w:val="231F20"/>
          <w:spacing w:val="-2"/>
          <w:sz w:val="18"/>
          <w:szCs w:val="18"/>
        </w:rPr>
        <w:t xml:space="preserve"> </w:t>
      </w:r>
      <w:r w:rsidRPr="000C71FB">
        <w:rPr>
          <w:color w:val="231F20"/>
          <w:sz w:val="18"/>
          <w:szCs w:val="18"/>
        </w:rPr>
        <w:t>2022</w:t>
      </w:r>
      <w:r w:rsidRPr="000C71FB">
        <w:rPr>
          <w:color w:val="231F20"/>
          <w:spacing w:val="-1"/>
          <w:sz w:val="18"/>
          <w:szCs w:val="18"/>
        </w:rPr>
        <w:t xml:space="preserve"> </w:t>
      </w:r>
      <w:r w:rsidRPr="000C71FB">
        <w:rPr>
          <w:color w:val="231F20"/>
          <w:sz w:val="18"/>
          <w:szCs w:val="18"/>
        </w:rPr>
        <w:t>and</w:t>
      </w:r>
      <w:r w:rsidRPr="000C71FB">
        <w:rPr>
          <w:color w:val="231F20"/>
          <w:spacing w:val="-2"/>
          <w:sz w:val="18"/>
          <w:szCs w:val="18"/>
        </w:rPr>
        <w:t xml:space="preserve"> </w:t>
      </w:r>
      <w:r w:rsidRPr="000C71FB">
        <w:rPr>
          <w:color w:val="231F20"/>
          <w:sz w:val="18"/>
          <w:szCs w:val="18"/>
        </w:rPr>
        <w:t>30</w:t>
      </w:r>
      <w:r w:rsidRPr="000C71FB">
        <w:rPr>
          <w:color w:val="231F20"/>
          <w:spacing w:val="-1"/>
          <w:sz w:val="18"/>
          <w:szCs w:val="18"/>
        </w:rPr>
        <w:t xml:space="preserve"> </w:t>
      </w:r>
      <w:r w:rsidRPr="000C71FB">
        <w:rPr>
          <w:color w:val="231F20"/>
          <w:sz w:val="18"/>
          <w:szCs w:val="18"/>
        </w:rPr>
        <w:t>June</w:t>
      </w:r>
      <w:r w:rsidRPr="000C71FB">
        <w:rPr>
          <w:color w:val="231F20"/>
          <w:spacing w:val="-2"/>
          <w:sz w:val="18"/>
          <w:szCs w:val="18"/>
        </w:rPr>
        <w:t xml:space="preserve"> </w:t>
      </w:r>
      <w:r w:rsidRPr="000C71FB">
        <w:rPr>
          <w:color w:val="231F20"/>
          <w:sz w:val="18"/>
          <w:szCs w:val="18"/>
        </w:rPr>
        <w:t>2021</w:t>
      </w:r>
      <w:r w:rsidRPr="000C71FB">
        <w:rPr>
          <w:color w:val="231F20"/>
          <w:spacing w:val="-1"/>
          <w:sz w:val="18"/>
          <w:szCs w:val="18"/>
        </w:rPr>
        <w:t xml:space="preserve"> </w:t>
      </w:r>
      <w:r w:rsidRPr="000C71FB">
        <w:rPr>
          <w:color w:val="231F20"/>
          <w:spacing w:val="-2"/>
          <w:sz w:val="18"/>
          <w:szCs w:val="18"/>
        </w:rPr>
        <w:t>respectively.</w:t>
      </w:r>
    </w:p>
    <w:p w14:paraId="34BDE0D7" w14:textId="77777777" w:rsidR="00345EE3" w:rsidRDefault="00345EE3" w:rsidP="00345EE3">
      <w:pPr>
        <w:rPr>
          <w:sz w:val="14"/>
        </w:rPr>
        <w:sectPr w:rsidR="00345EE3">
          <w:pgSz w:w="16840" w:h="11910" w:orient="landscape"/>
          <w:pgMar w:top="840" w:right="740" w:bottom="280" w:left="740" w:header="720" w:footer="720" w:gutter="0"/>
          <w:cols w:space="720"/>
        </w:sectPr>
      </w:pPr>
    </w:p>
    <w:p w14:paraId="736777B6" w14:textId="77777777" w:rsidR="00345EE3" w:rsidRDefault="00345EE3" w:rsidP="00345EE3">
      <w:pPr>
        <w:pStyle w:val="Heading5"/>
        <w:spacing w:before="74"/>
      </w:pPr>
      <w:r>
        <w:rPr>
          <w:color w:val="231F20"/>
        </w:rPr>
        <w:t>Third</w:t>
      </w:r>
      <w:r>
        <w:rPr>
          <w:color w:val="231F20"/>
          <w:spacing w:val="-6"/>
        </w:rPr>
        <w:t xml:space="preserve"> </w:t>
      </w:r>
      <w:r>
        <w:rPr>
          <w:color w:val="231F20"/>
        </w:rPr>
        <w:t>Party</w:t>
      </w:r>
      <w:r>
        <w:rPr>
          <w:color w:val="231F20"/>
          <w:spacing w:val="-4"/>
        </w:rPr>
        <w:t xml:space="preserve"> </w:t>
      </w:r>
      <w:r>
        <w:rPr>
          <w:color w:val="231F20"/>
        </w:rPr>
        <w:t>Funds</w:t>
      </w:r>
      <w:r>
        <w:rPr>
          <w:color w:val="231F20"/>
          <w:spacing w:val="-5"/>
        </w:rPr>
        <w:t xml:space="preserve"> </w:t>
      </w:r>
      <w:r>
        <w:rPr>
          <w:color w:val="231F20"/>
        </w:rPr>
        <w:t>Under</w:t>
      </w:r>
      <w:r>
        <w:rPr>
          <w:color w:val="231F20"/>
          <w:spacing w:val="-4"/>
        </w:rPr>
        <w:t xml:space="preserve"> </w:t>
      </w:r>
      <w:r>
        <w:rPr>
          <w:color w:val="231F20"/>
        </w:rPr>
        <w:t>Management</w:t>
      </w:r>
      <w:r>
        <w:rPr>
          <w:color w:val="231F20"/>
          <w:spacing w:val="-4"/>
        </w:rPr>
        <w:t xml:space="preserve"> </w:t>
      </w:r>
      <w:r>
        <w:rPr>
          <w:color w:val="231F20"/>
        </w:rPr>
        <w:t>(Accounted</w:t>
      </w:r>
      <w:r>
        <w:rPr>
          <w:color w:val="231F20"/>
          <w:spacing w:val="-3"/>
        </w:rPr>
        <w:t xml:space="preserve"> </w:t>
      </w:r>
      <w:r>
        <w:rPr>
          <w:color w:val="231F20"/>
        </w:rPr>
        <w:t>for</w:t>
      </w:r>
      <w:r>
        <w:rPr>
          <w:color w:val="231F20"/>
          <w:spacing w:val="-5"/>
        </w:rPr>
        <w:t xml:space="preserve"> </w:t>
      </w:r>
      <w:r>
        <w:rPr>
          <w:color w:val="231F20"/>
        </w:rPr>
        <w:t>Under</w:t>
      </w:r>
      <w:r>
        <w:rPr>
          <w:color w:val="231F20"/>
          <w:spacing w:val="-4"/>
        </w:rPr>
        <w:t xml:space="preserve"> </w:t>
      </w:r>
      <w:r>
        <w:rPr>
          <w:color w:val="231F20"/>
        </w:rPr>
        <w:t>Administered</w:t>
      </w:r>
      <w:r>
        <w:rPr>
          <w:color w:val="231F20"/>
          <w:spacing w:val="-3"/>
        </w:rPr>
        <w:t xml:space="preserve"> </w:t>
      </w:r>
      <w:r>
        <w:rPr>
          <w:color w:val="231F20"/>
          <w:spacing w:val="-2"/>
        </w:rPr>
        <w:t>Items)</w:t>
      </w:r>
    </w:p>
    <w:p w14:paraId="636878A0" w14:textId="77777777" w:rsidR="00345EE3" w:rsidRDefault="00345EE3" w:rsidP="00345EE3">
      <w:pPr>
        <w:pStyle w:val="BodyText"/>
        <w:spacing w:before="7"/>
        <w:rPr>
          <w:b/>
          <w:sz w:val="6"/>
        </w:rPr>
      </w:pPr>
    </w:p>
    <w:tbl>
      <w:tblPr>
        <w:tblW w:w="0" w:type="auto"/>
        <w:tblInd w:w="117" w:type="dxa"/>
        <w:tblLayout w:type="fixed"/>
        <w:tblCellMar>
          <w:left w:w="0" w:type="dxa"/>
          <w:right w:w="0" w:type="dxa"/>
        </w:tblCellMar>
        <w:tblLook w:val="01E0" w:firstRow="1" w:lastRow="1" w:firstColumn="1" w:lastColumn="1" w:noHBand="0" w:noVBand="0"/>
      </w:tblPr>
      <w:tblGrid>
        <w:gridCol w:w="624"/>
        <w:gridCol w:w="5216"/>
        <w:gridCol w:w="1134"/>
        <w:gridCol w:w="1134"/>
        <w:gridCol w:w="1247"/>
        <w:gridCol w:w="1134"/>
        <w:gridCol w:w="1134"/>
        <w:gridCol w:w="1134"/>
        <w:gridCol w:w="1247"/>
        <w:gridCol w:w="1134"/>
      </w:tblGrid>
      <w:tr w:rsidR="00345EE3" w14:paraId="28A484D0" w14:textId="77777777" w:rsidTr="00D73130">
        <w:trPr>
          <w:trHeight w:val="405"/>
        </w:trPr>
        <w:tc>
          <w:tcPr>
            <w:tcW w:w="15138" w:type="dxa"/>
            <w:gridSpan w:val="10"/>
            <w:shd w:val="clear" w:color="auto" w:fill="00529F"/>
          </w:tcPr>
          <w:p w14:paraId="39E8878A" w14:textId="77777777" w:rsidR="00345EE3" w:rsidRDefault="00345EE3" w:rsidP="00D73130">
            <w:pPr>
              <w:pStyle w:val="TableParagraph"/>
              <w:spacing w:before="63"/>
              <w:ind w:right="3"/>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40EAFA8E" w14:textId="77777777" w:rsidTr="00D73130">
        <w:trPr>
          <w:trHeight w:val="401"/>
        </w:trPr>
        <w:tc>
          <w:tcPr>
            <w:tcW w:w="624" w:type="dxa"/>
            <w:shd w:val="clear" w:color="auto" w:fill="00529F"/>
          </w:tcPr>
          <w:p w14:paraId="4A87E492" w14:textId="77777777" w:rsidR="00345EE3" w:rsidRDefault="00345EE3" w:rsidP="00D73130">
            <w:pPr>
              <w:pStyle w:val="TableParagraph"/>
              <w:spacing w:before="0"/>
              <w:jc w:val="left"/>
              <w:rPr>
                <w:rFonts w:ascii="Times New Roman"/>
              </w:rPr>
            </w:pPr>
          </w:p>
        </w:tc>
        <w:tc>
          <w:tcPr>
            <w:tcW w:w="5216" w:type="dxa"/>
            <w:shd w:val="clear" w:color="auto" w:fill="00529F"/>
          </w:tcPr>
          <w:p w14:paraId="5A589A0B" w14:textId="77777777" w:rsidR="00345EE3" w:rsidRDefault="00345EE3" w:rsidP="00D73130">
            <w:pPr>
              <w:pStyle w:val="TableParagraph"/>
              <w:spacing w:before="0"/>
              <w:jc w:val="left"/>
              <w:rPr>
                <w:rFonts w:ascii="Times New Roman"/>
              </w:rPr>
            </w:pPr>
          </w:p>
        </w:tc>
        <w:tc>
          <w:tcPr>
            <w:tcW w:w="1134" w:type="dxa"/>
            <w:shd w:val="clear" w:color="auto" w:fill="00529F"/>
          </w:tcPr>
          <w:p w14:paraId="141A6C25" w14:textId="77777777" w:rsidR="00345EE3" w:rsidRDefault="00345EE3" w:rsidP="00D73130">
            <w:pPr>
              <w:pStyle w:val="TableParagraph"/>
              <w:spacing w:before="0"/>
              <w:jc w:val="left"/>
              <w:rPr>
                <w:rFonts w:ascii="Times New Roman"/>
              </w:rPr>
            </w:pPr>
          </w:p>
        </w:tc>
        <w:tc>
          <w:tcPr>
            <w:tcW w:w="2381" w:type="dxa"/>
            <w:gridSpan w:val="2"/>
            <w:shd w:val="clear" w:color="auto" w:fill="00529F"/>
          </w:tcPr>
          <w:p w14:paraId="54B37A3E" w14:textId="77777777" w:rsidR="00345EE3" w:rsidRDefault="00345EE3" w:rsidP="00D73130">
            <w:pPr>
              <w:pStyle w:val="TableParagraph"/>
              <w:spacing w:before="59"/>
              <w:ind w:left="909" w:right="910"/>
              <w:jc w:val="center"/>
              <w:rPr>
                <w:b/>
                <w:sz w:val="24"/>
              </w:rPr>
            </w:pPr>
            <w:r>
              <w:rPr>
                <w:b/>
                <w:color w:val="FFFFFF"/>
                <w:spacing w:val="-4"/>
                <w:sz w:val="24"/>
              </w:rPr>
              <w:t>2022</w:t>
            </w:r>
          </w:p>
        </w:tc>
        <w:tc>
          <w:tcPr>
            <w:tcW w:w="1134" w:type="dxa"/>
            <w:shd w:val="clear" w:color="auto" w:fill="00529F"/>
          </w:tcPr>
          <w:p w14:paraId="04657C36" w14:textId="77777777" w:rsidR="00345EE3" w:rsidRDefault="00345EE3" w:rsidP="00D73130">
            <w:pPr>
              <w:pStyle w:val="TableParagraph"/>
              <w:spacing w:before="0"/>
              <w:jc w:val="left"/>
              <w:rPr>
                <w:rFonts w:ascii="Times New Roman"/>
              </w:rPr>
            </w:pPr>
          </w:p>
        </w:tc>
        <w:tc>
          <w:tcPr>
            <w:tcW w:w="1134" w:type="dxa"/>
            <w:shd w:val="clear" w:color="auto" w:fill="00529F"/>
          </w:tcPr>
          <w:p w14:paraId="445AD55F" w14:textId="77777777" w:rsidR="00345EE3" w:rsidRDefault="00345EE3" w:rsidP="00D73130">
            <w:pPr>
              <w:pStyle w:val="TableParagraph"/>
              <w:spacing w:before="0"/>
              <w:jc w:val="left"/>
              <w:rPr>
                <w:rFonts w:ascii="Times New Roman"/>
              </w:rPr>
            </w:pPr>
          </w:p>
        </w:tc>
        <w:tc>
          <w:tcPr>
            <w:tcW w:w="2381" w:type="dxa"/>
            <w:gridSpan w:val="2"/>
            <w:shd w:val="clear" w:color="auto" w:fill="00529F"/>
          </w:tcPr>
          <w:p w14:paraId="6BB8685D" w14:textId="77777777" w:rsidR="00345EE3" w:rsidRDefault="00345EE3" w:rsidP="00D73130">
            <w:pPr>
              <w:pStyle w:val="TableParagraph"/>
              <w:spacing w:before="59"/>
              <w:ind w:left="909" w:right="912"/>
              <w:jc w:val="center"/>
              <w:rPr>
                <w:b/>
                <w:sz w:val="24"/>
              </w:rPr>
            </w:pPr>
            <w:r>
              <w:rPr>
                <w:b/>
                <w:color w:val="FFFFFF"/>
                <w:spacing w:val="-4"/>
                <w:sz w:val="24"/>
              </w:rPr>
              <w:t>2021</w:t>
            </w:r>
          </w:p>
        </w:tc>
        <w:tc>
          <w:tcPr>
            <w:tcW w:w="1134" w:type="dxa"/>
            <w:shd w:val="clear" w:color="auto" w:fill="00529F"/>
          </w:tcPr>
          <w:p w14:paraId="1C88A33C" w14:textId="77777777" w:rsidR="00345EE3" w:rsidRDefault="00345EE3" w:rsidP="00D73130">
            <w:pPr>
              <w:pStyle w:val="TableParagraph"/>
              <w:spacing w:before="0"/>
              <w:jc w:val="left"/>
              <w:rPr>
                <w:rFonts w:ascii="Times New Roman"/>
              </w:rPr>
            </w:pPr>
          </w:p>
        </w:tc>
      </w:tr>
      <w:tr w:rsidR="00345EE3" w14:paraId="1DE2598C" w14:textId="77777777" w:rsidTr="00D73130">
        <w:trPr>
          <w:trHeight w:val="677"/>
        </w:trPr>
        <w:tc>
          <w:tcPr>
            <w:tcW w:w="5840" w:type="dxa"/>
            <w:gridSpan w:val="2"/>
            <w:shd w:val="clear" w:color="auto" w:fill="00529F"/>
          </w:tcPr>
          <w:p w14:paraId="119AF78D" w14:textId="77777777" w:rsidR="00345EE3" w:rsidRDefault="00345EE3" w:rsidP="00D73130">
            <w:pPr>
              <w:pStyle w:val="TableParagraph"/>
              <w:spacing w:before="59"/>
              <w:ind w:left="-1"/>
              <w:jc w:val="left"/>
              <w:rPr>
                <w:b/>
                <w:sz w:val="24"/>
              </w:rPr>
            </w:pPr>
            <w:r>
              <w:rPr>
                <w:b/>
                <w:color w:val="FFFFFF"/>
                <w:sz w:val="24"/>
              </w:rPr>
              <w:t>Cash</w:t>
            </w:r>
            <w:r>
              <w:rPr>
                <w:b/>
                <w:color w:val="FFFFFF"/>
                <w:spacing w:val="-3"/>
                <w:sz w:val="24"/>
              </w:rPr>
              <w:t xml:space="preserve"> </w:t>
            </w:r>
            <w:r>
              <w:rPr>
                <w:b/>
                <w:color w:val="FFFFFF"/>
                <w:sz w:val="24"/>
              </w:rPr>
              <w:t>and</w:t>
            </w:r>
            <w:r>
              <w:rPr>
                <w:b/>
                <w:color w:val="FFFFFF"/>
                <w:spacing w:val="-3"/>
                <w:sz w:val="24"/>
              </w:rPr>
              <w:t xml:space="preserve"> </w:t>
            </w:r>
            <w:r>
              <w:rPr>
                <w:b/>
                <w:color w:val="FFFFFF"/>
                <w:sz w:val="24"/>
              </w:rPr>
              <w:t>cash</w:t>
            </w:r>
            <w:r>
              <w:rPr>
                <w:b/>
                <w:color w:val="FFFFFF"/>
                <w:spacing w:val="-3"/>
                <w:sz w:val="24"/>
              </w:rPr>
              <w:t xml:space="preserve"> </w:t>
            </w:r>
            <w:r>
              <w:rPr>
                <w:b/>
                <w:color w:val="FFFFFF"/>
                <w:sz w:val="24"/>
              </w:rPr>
              <w:t>equivalents</w:t>
            </w:r>
            <w:r>
              <w:rPr>
                <w:b/>
                <w:color w:val="FFFFFF"/>
                <w:spacing w:val="-4"/>
                <w:sz w:val="24"/>
              </w:rPr>
              <w:t xml:space="preserve"> </w:t>
            </w:r>
            <w:r>
              <w:rPr>
                <w:b/>
                <w:color w:val="FFFFFF"/>
                <w:sz w:val="24"/>
              </w:rPr>
              <w:t>and</w:t>
            </w:r>
            <w:r>
              <w:rPr>
                <w:b/>
                <w:color w:val="FFFFFF"/>
                <w:spacing w:val="-2"/>
                <w:sz w:val="24"/>
              </w:rPr>
              <w:t xml:space="preserve"> investments</w:t>
            </w:r>
          </w:p>
        </w:tc>
        <w:tc>
          <w:tcPr>
            <w:tcW w:w="1134" w:type="dxa"/>
            <w:shd w:val="clear" w:color="auto" w:fill="00529F"/>
          </w:tcPr>
          <w:p w14:paraId="01178729" w14:textId="77777777" w:rsidR="00345EE3" w:rsidRDefault="00345EE3" w:rsidP="00D73130">
            <w:pPr>
              <w:pStyle w:val="TableParagraph"/>
              <w:spacing w:before="59" w:line="242" w:lineRule="auto"/>
              <w:ind w:left="224" w:right="-3" w:hanging="53"/>
              <w:jc w:val="left"/>
              <w:rPr>
                <w:b/>
                <w:sz w:val="24"/>
              </w:rPr>
            </w:pPr>
            <w:r>
              <w:rPr>
                <w:b/>
                <w:color w:val="FFFFFF"/>
                <w:spacing w:val="-4"/>
                <w:sz w:val="24"/>
              </w:rPr>
              <w:t xml:space="preserve">Opening </w:t>
            </w:r>
            <w:r>
              <w:rPr>
                <w:b/>
                <w:color w:val="FFFFFF"/>
                <w:spacing w:val="-5"/>
                <w:sz w:val="24"/>
              </w:rPr>
              <w:t>Balance</w:t>
            </w:r>
          </w:p>
        </w:tc>
        <w:tc>
          <w:tcPr>
            <w:tcW w:w="1134" w:type="dxa"/>
            <w:shd w:val="clear" w:color="auto" w:fill="00529F"/>
          </w:tcPr>
          <w:p w14:paraId="7EA8E670" w14:textId="77777777" w:rsidR="00345EE3" w:rsidRDefault="00345EE3" w:rsidP="00D73130">
            <w:pPr>
              <w:pStyle w:val="TableParagraph"/>
              <w:spacing w:before="59" w:line="242" w:lineRule="auto"/>
              <w:ind w:left="147" w:right="-4" w:firstLine="437"/>
              <w:jc w:val="left"/>
              <w:rPr>
                <w:b/>
                <w:sz w:val="24"/>
              </w:rPr>
            </w:pPr>
            <w:r>
              <w:rPr>
                <w:b/>
                <w:color w:val="FFFFFF"/>
                <w:spacing w:val="-8"/>
                <w:sz w:val="24"/>
              </w:rPr>
              <w:t xml:space="preserve">Total </w:t>
            </w:r>
            <w:r>
              <w:rPr>
                <w:b/>
                <w:color w:val="FFFFFF"/>
                <w:spacing w:val="-5"/>
                <w:sz w:val="24"/>
              </w:rPr>
              <w:t>Receipts</w:t>
            </w:r>
          </w:p>
        </w:tc>
        <w:tc>
          <w:tcPr>
            <w:tcW w:w="1247" w:type="dxa"/>
            <w:shd w:val="clear" w:color="auto" w:fill="00529F"/>
          </w:tcPr>
          <w:p w14:paraId="309D5FE2" w14:textId="77777777" w:rsidR="00345EE3" w:rsidRDefault="00345EE3" w:rsidP="00D73130">
            <w:pPr>
              <w:pStyle w:val="TableParagraph"/>
              <w:spacing w:before="59" w:line="242" w:lineRule="auto"/>
              <w:ind w:left="126" w:right="-4" w:firstLine="571"/>
              <w:jc w:val="left"/>
              <w:rPr>
                <w:b/>
                <w:sz w:val="24"/>
              </w:rPr>
            </w:pPr>
            <w:r>
              <w:rPr>
                <w:b/>
                <w:color w:val="FFFFFF"/>
                <w:spacing w:val="-8"/>
                <w:sz w:val="24"/>
              </w:rPr>
              <w:t xml:space="preserve">Total </w:t>
            </w:r>
            <w:r>
              <w:rPr>
                <w:b/>
                <w:color w:val="FFFFFF"/>
                <w:spacing w:val="-5"/>
                <w:sz w:val="24"/>
              </w:rPr>
              <w:t>Payments</w:t>
            </w:r>
          </w:p>
        </w:tc>
        <w:tc>
          <w:tcPr>
            <w:tcW w:w="1134" w:type="dxa"/>
            <w:shd w:val="clear" w:color="auto" w:fill="00529F"/>
          </w:tcPr>
          <w:p w14:paraId="20743699" w14:textId="77777777" w:rsidR="00345EE3" w:rsidRDefault="00345EE3" w:rsidP="00D73130">
            <w:pPr>
              <w:pStyle w:val="TableParagraph"/>
              <w:spacing w:before="59" w:line="242" w:lineRule="auto"/>
              <w:ind w:left="224" w:right="-2" w:firstLine="40"/>
              <w:jc w:val="left"/>
              <w:rPr>
                <w:b/>
                <w:sz w:val="24"/>
              </w:rPr>
            </w:pPr>
            <w:r>
              <w:rPr>
                <w:b/>
                <w:color w:val="FFFFFF"/>
                <w:spacing w:val="-4"/>
                <w:sz w:val="24"/>
              </w:rPr>
              <w:t xml:space="preserve">Closing </w:t>
            </w:r>
            <w:r>
              <w:rPr>
                <w:b/>
                <w:color w:val="FFFFFF"/>
                <w:spacing w:val="-5"/>
                <w:sz w:val="24"/>
              </w:rPr>
              <w:t>Balance</w:t>
            </w:r>
          </w:p>
        </w:tc>
        <w:tc>
          <w:tcPr>
            <w:tcW w:w="1134" w:type="dxa"/>
            <w:shd w:val="clear" w:color="auto" w:fill="00529F"/>
          </w:tcPr>
          <w:p w14:paraId="255F48BA" w14:textId="77777777" w:rsidR="00345EE3" w:rsidRDefault="00345EE3" w:rsidP="00D73130">
            <w:pPr>
              <w:pStyle w:val="TableParagraph"/>
              <w:spacing w:before="59" w:line="242" w:lineRule="auto"/>
              <w:ind w:left="224" w:right="-3" w:hanging="53"/>
              <w:jc w:val="left"/>
              <w:rPr>
                <w:b/>
                <w:sz w:val="24"/>
              </w:rPr>
            </w:pPr>
            <w:r>
              <w:rPr>
                <w:b/>
                <w:color w:val="FFFFFF"/>
                <w:spacing w:val="-4"/>
                <w:sz w:val="24"/>
              </w:rPr>
              <w:t xml:space="preserve">Opening </w:t>
            </w:r>
            <w:r>
              <w:rPr>
                <w:b/>
                <w:color w:val="FFFFFF"/>
                <w:spacing w:val="-5"/>
                <w:sz w:val="24"/>
              </w:rPr>
              <w:t>Balance</w:t>
            </w:r>
          </w:p>
        </w:tc>
        <w:tc>
          <w:tcPr>
            <w:tcW w:w="1134" w:type="dxa"/>
            <w:shd w:val="clear" w:color="auto" w:fill="00529F"/>
          </w:tcPr>
          <w:p w14:paraId="5375C370" w14:textId="77777777" w:rsidR="00345EE3" w:rsidRDefault="00345EE3" w:rsidP="00D73130">
            <w:pPr>
              <w:pStyle w:val="TableParagraph"/>
              <w:spacing w:before="59" w:line="242" w:lineRule="auto"/>
              <w:ind w:left="147" w:right="-4" w:firstLine="437"/>
              <w:jc w:val="left"/>
              <w:rPr>
                <w:b/>
                <w:sz w:val="24"/>
              </w:rPr>
            </w:pPr>
            <w:r>
              <w:rPr>
                <w:b/>
                <w:color w:val="FFFFFF"/>
                <w:spacing w:val="-8"/>
                <w:sz w:val="24"/>
              </w:rPr>
              <w:t xml:space="preserve">Total </w:t>
            </w:r>
            <w:r>
              <w:rPr>
                <w:b/>
                <w:color w:val="FFFFFF"/>
                <w:spacing w:val="-5"/>
                <w:sz w:val="24"/>
              </w:rPr>
              <w:t>Receipts</w:t>
            </w:r>
          </w:p>
        </w:tc>
        <w:tc>
          <w:tcPr>
            <w:tcW w:w="1247" w:type="dxa"/>
            <w:shd w:val="clear" w:color="auto" w:fill="00529F"/>
          </w:tcPr>
          <w:p w14:paraId="67D77E8B" w14:textId="77777777" w:rsidR="00345EE3" w:rsidRDefault="00345EE3" w:rsidP="00D73130">
            <w:pPr>
              <w:pStyle w:val="TableParagraph"/>
              <w:spacing w:before="59" w:line="242" w:lineRule="auto"/>
              <w:ind w:left="126" w:right="-4" w:firstLine="571"/>
              <w:jc w:val="left"/>
              <w:rPr>
                <w:b/>
                <w:sz w:val="24"/>
              </w:rPr>
            </w:pPr>
            <w:r>
              <w:rPr>
                <w:b/>
                <w:color w:val="FFFFFF"/>
                <w:spacing w:val="-8"/>
                <w:sz w:val="24"/>
              </w:rPr>
              <w:t xml:space="preserve">Total </w:t>
            </w:r>
            <w:r>
              <w:rPr>
                <w:b/>
                <w:color w:val="FFFFFF"/>
                <w:spacing w:val="-5"/>
                <w:sz w:val="24"/>
              </w:rPr>
              <w:t>Payments</w:t>
            </w:r>
          </w:p>
        </w:tc>
        <w:tc>
          <w:tcPr>
            <w:tcW w:w="1134" w:type="dxa"/>
            <w:shd w:val="clear" w:color="auto" w:fill="00529F"/>
          </w:tcPr>
          <w:p w14:paraId="511E990D" w14:textId="77777777" w:rsidR="00345EE3" w:rsidRDefault="00345EE3" w:rsidP="00D73130">
            <w:pPr>
              <w:pStyle w:val="TableParagraph"/>
              <w:spacing w:before="59" w:line="242" w:lineRule="auto"/>
              <w:ind w:left="227" w:right="-5" w:firstLine="40"/>
              <w:jc w:val="left"/>
              <w:rPr>
                <w:b/>
                <w:sz w:val="24"/>
              </w:rPr>
            </w:pPr>
            <w:r>
              <w:rPr>
                <w:b/>
                <w:color w:val="FFFFFF"/>
                <w:spacing w:val="-4"/>
                <w:sz w:val="24"/>
              </w:rPr>
              <w:t xml:space="preserve">Closing </w:t>
            </w:r>
            <w:r>
              <w:rPr>
                <w:b/>
                <w:color w:val="FFFFFF"/>
                <w:spacing w:val="-5"/>
                <w:sz w:val="24"/>
              </w:rPr>
              <w:t>Balance</w:t>
            </w:r>
          </w:p>
        </w:tc>
      </w:tr>
      <w:tr w:rsidR="00345EE3" w14:paraId="5960E634" w14:textId="77777777" w:rsidTr="00D73130">
        <w:trPr>
          <w:trHeight w:val="1516"/>
        </w:trPr>
        <w:tc>
          <w:tcPr>
            <w:tcW w:w="624" w:type="dxa"/>
            <w:tcBorders>
              <w:bottom w:val="single" w:sz="4" w:space="0" w:color="231F20"/>
              <w:right w:val="single" w:sz="2" w:space="0" w:color="939598"/>
            </w:tcBorders>
          </w:tcPr>
          <w:p w14:paraId="0F9210D3" w14:textId="77777777" w:rsidR="00345EE3" w:rsidRDefault="00345EE3" w:rsidP="00D73130">
            <w:pPr>
              <w:pStyle w:val="TableParagraph"/>
              <w:spacing w:before="63"/>
              <w:ind w:left="-3"/>
              <w:jc w:val="left"/>
              <w:rPr>
                <w:b/>
                <w:sz w:val="24"/>
              </w:rPr>
            </w:pPr>
            <w:r>
              <w:rPr>
                <w:b/>
                <w:color w:val="231F20"/>
                <w:spacing w:val="-4"/>
                <w:sz w:val="24"/>
              </w:rPr>
              <w:t>4057</w:t>
            </w:r>
          </w:p>
        </w:tc>
        <w:tc>
          <w:tcPr>
            <w:tcW w:w="5216" w:type="dxa"/>
            <w:tcBorders>
              <w:left w:val="single" w:sz="2" w:space="0" w:color="939598"/>
              <w:bottom w:val="single" w:sz="4" w:space="0" w:color="231F20"/>
              <w:right w:val="single" w:sz="2" w:space="0" w:color="939598"/>
            </w:tcBorders>
          </w:tcPr>
          <w:p w14:paraId="719C34A2" w14:textId="77777777" w:rsidR="00345EE3" w:rsidRDefault="00345EE3" w:rsidP="00D73130">
            <w:pPr>
              <w:pStyle w:val="TableParagraph"/>
              <w:spacing w:before="63" w:line="242" w:lineRule="auto"/>
              <w:jc w:val="left"/>
              <w:rPr>
                <w:b/>
                <w:sz w:val="24"/>
              </w:rPr>
            </w:pPr>
            <w:r>
              <w:rPr>
                <w:b/>
                <w:color w:val="231F20"/>
                <w:sz w:val="24"/>
              </w:rPr>
              <w:t>Australia</w:t>
            </w:r>
            <w:r>
              <w:rPr>
                <w:b/>
                <w:color w:val="231F20"/>
                <w:spacing w:val="-9"/>
                <w:sz w:val="24"/>
              </w:rPr>
              <w:t xml:space="preserve"> </w:t>
            </w:r>
            <w:r>
              <w:rPr>
                <w:b/>
                <w:color w:val="231F20"/>
                <w:sz w:val="24"/>
              </w:rPr>
              <w:t>and</w:t>
            </w:r>
            <w:r>
              <w:rPr>
                <w:b/>
                <w:color w:val="231F20"/>
                <w:spacing w:val="-9"/>
                <w:sz w:val="24"/>
              </w:rPr>
              <w:t xml:space="preserve"> </w:t>
            </w:r>
            <w:r>
              <w:rPr>
                <w:b/>
                <w:color w:val="231F20"/>
                <w:sz w:val="24"/>
              </w:rPr>
              <w:t>New</w:t>
            </w:r>
            <w:r>
              <w:rPr>
                <w:b/>
                <w:color w:val="231F20"/>
                <w:spacing w:val="-9"/>
                <w:sz w:val="24"/>
              </w:rPr>
              <w:t xml:space="preserve"> </w:t>
            </w:r>
            <w:r>
              <w:rPr>
                <w:b/>
                <w:color w:val="231F20"/>
                <w:sz w:val="24"/>
              </w:rPr>
              <w:t>Zealand</w:t>
            </w:r>
            <w:r>
              <w:rPr>
                <w:b/>
                <w:color w:val="231F20"/>
                <w:spacing w:val="-8"/>
                <w:sz w:val="24"/>
              </w:rPr>
              <w:t xml:space="preserve"> </w:t>
            </w:r>
            <w:r>
              <w:rPr>
                <w:b/>
                <w:color w:val="231F20"/>
                <w:sz w:val="24"/>
              </w:rPr>
              <w:t>Policing</w:t>
            </w:r>
            <w:r>
              <w:rPr>
                <w:b/>
                <w:color w:val="231F20"/>
                <w:spacing w:val="-17"/>
                <w:sz w:val="24"/>
              </w:rPr>
              <w:t xml:space="preserve"> </w:t>
            </w:r>
            <w:r>
              <w:rPr>
                <w:b/>
                <w:color w:val="231F20"/>
                <w:sz w:val="24"/>
              </w:rPr>
              <w:t xml:space="preserve">Advisory </w:t>
            </w:r>
            <w:r>
              <w:rPr>
                <w:b/>
                <w:color w:val="231F20"/>
                <w:spacing w:val="-2"/>
                <w:sz w:val="24"/>
              </w:rPr>
              <w:t>Agency</w:t>
            </w:r>
          </w:p>
          <w:p w14:paraId="109C1DB8" w14:textId="77777777" w:rsidR="00345EE3" w:rsidRDefault="00345EE3" w:rsidP="00D73130">
            <w:pPr>
              <w:pStyle w:val="TableParagraph"/>
              <w:spacing w:before="3" w:line="242" w:lineRule="auto"/>
              <w:jc w:val="left"/>
              <w:rPr>
                <w:sz w:val="24"/>
              </w:rPr>
            </w:pPr>
            <w:r>
              <w:rPr>
                <w:color w:val="231F20"/>
                <w:sz w:val="24"/>
              </w:rPr>
              <w:t xml:space="preserve">Under the </w:t>
            </w:r>
            <w:r>
              <w:rPr>
                <w:i/>
                <w:color w:val="231F20"/>
                <w:sz w:val="24"/>
              </w:rPr>
              <w:t>Financial</w:t>
            </w:r>
            <w:r>
              <w:rPr>
                <w:i/>
                <w:color w:val="231F20"/>
                <w:spacing w:val="-5"/>
                <w:sz w:val="24"/>
              </w:rPr>
              <w:t xml:space="preserve"> </w:t>
            </w:r>
            <w:r>
              <w:rPr>
                <w:i/>
                <w:color w:val="231F20"/>
                <w:sz w:val="24"/>
              </w:rPr>
              <w:t>Management</w:t>
            </w:r>
            <w:r>
              <w:rPr>
                <w:i/>
                <w:color w:val="231F20"/>
                <w:spacing w:val="-14"/>
                <w:sz w:val="24"/>
              </w:rPr>
              <w:t xml:space="preserve"> </w:t>
            </w:r>
            <w:r>
              <w:rPr>
                <w:i/>
                <w:color w:val="231F20"/>
                <w:sz w:val="24"/>
              </w:rPr>
              <w:t>Act</w:t>
            </w:r>
            <w:r>
              <w:rPr>
                <w:i/>
                <w:color w:val="231F20"/>
                <w:spacing w:val="-5"/>
                <w:sz w:val="24"/>
              </w:rPr>
              <w:t xml:space="preserve"> </w:t>
            </w:r>
            <w:r>
              <w:rPr>
                <w:i/>
                <w:color w:val="231F20"/>
                <w:sz w:val="24"/>
              </w:rPr>
              <w:t xml:space="preserve">1994 </w:t>
            </w:r>
            <w:r>
              <w:rPr>
                <w:color w:val="231F20"/>
                <w:sz w:val="24"/>
              </w:rPr>
              <w:t>for contributions</w:t>
            </w:r>
            <w:r>
              <w:rPr>
                <w:color w:val="231F20"/>
                <w:spacing w:val="-10"/>
                <w:sz w:val="24"/>
              </w:rPr>
              <w:t xml:space="preserve"> </w:t>
            </w:r>
            <w:r>
              <w:rPr>
                <w:color w:val="231F20"/>
                <w:sz w:val="24"/>
              </w:rPr>
              <w:t>from</w:t>
            </w:r>
            <w:r>
              <w:rPr>
                <w:color w:val="231F20"/>
                <w:spacing w:val="-10"/>
                <w:sz w:val="24"/>
              </w:rPr>
              <w:t xml:space="preserve"> </w:t>
            </w:r>
            <w:r>
              <w:rPr>
                <w:color w:val="231F20"/>
                <w:sz w:val="24"/>
              </w:rPr>
              <w:t>various</w:t>
            </w:r>
            <w:r>
              <w:rPr>
                <w:color w:val="231F20"/>
                <w:spacing w:val="-10"/>
                <w:sz w:val="24"/>
              </w:rPr>
              <w:t xml:space="preserve"> </w:t>
            </w:r>
            <w:r>
              <w:rPr>
                <w:color w:val="231F20"/>
                <w:sz w:val="24"/>
              </w:rPr>
              <w:t>police</w:t>
            </w:r>
            <w:r>
              <w:rPr>
                <w:color w:val="231F20"/>
                <w:spacing w:val="-11"/>
                <w:sz w:val="24"/>
              </w:rPr>
              <w:t xml:space="preserve"> </w:t>
            </w:r>
            <w:r>
              <w:rPr>
                <w:color w:val="231F20"/>
                <w:sz w:val="24"/>
              </w:rPr>
              <w:t>organisations throughout Australia and New Zealand.</w:t>
            </w:r>
          </w:p>
        </w:tc>
        <w:tc>
          <w:tcPr>
            <w:tcW w:w="1134" w:type="dxa"/>
            <w:tcBorders>
              <w:left w:val="single" w:sz="2" w:space="0" w:color="939598"/>
              <w:bottom w:val="single" w:sz="4" w:space="0" w:color="231F20"/>
              <w:right w:val="single" w:sz="2" w:space="0" w:color="939598"/>
            </w:tcBorders>
            <w:shd w:val="clear" w:color="auto" w:fill="E6E7E8"/>
          </w:tcPr>
          <w:p w14:paraId="502CE0DA" w14:textId="77777777" w:rsidR="00345EE3" w:rsidRDefault="00345EE3" w:rsidP="00D73130">
            <w:pPr>
              <w:pStyle w:val="TableParagraph"/>
              <w:spacing w:before="63"/>
              <w:ind w:right="1"/>
              <w:rPr>
                <w:sz w:val="24"/>
              </w:rPr>
            </w:pPr>
            <w:r>
              <w:rPr>
                <w:color w:val="231F20"/>
                <w:spacing w:val="-2"/>
                <w:sz w:val="24"/>
              </w:rPr>
              <w:t>2,241</w:t>
            </w:r>
          </w:p>
        </w:tc>
        <w:tc>
          <w:tcPr>
            <w:tcW w:w="1134" w:type="dxa"/>
            <w:tcBorders>
              <w:left w:val="single" w:sz="2" w:space="0" w:color="939598"/>
              <w:bottom w:val="single" w:sz="4" w:space="0" w:color="231F20"/>
              <w:right w:val="single" w:sz="2" w:space="0" w:color="939598"/>
            </w:tcBorders>
            <w:shd w:val="clear" w:color="auto" w:fill="E6E7E8"/>
          </w:tcPr>
          <w:p w14:paraId="64BAF032" w14:textId="77777777" w:rsidR="00345EE3" w:rsidRDefault="00345EE3" w:rsidP="00D73130">
            <w:pPr>
              <w:pStyle w:val="TableParagraph"/>
              <w:spacing w:before="63"/>
              <w:ind w:right="1"/>
              <w:rPr>
                <w:sz w:val="24"/>
              </w:rPr>
            </w:pPr>
            <w:r>
              <w:rPr>
                <w:color w:val="231F20"/>
                <w:spacing w:val="-2"/>
                <w:sz w:val="24"/>
              </w:rPr>
              <w:t>6,569</w:t>
            </w:r>
          </w:p>
        </w:tc>
        <w:tc>
          <w:tcPr>
            <w:tcW w:w="1247" w:type="dxa"/>
            <w:tcBorders>
              <w:left w:val="single" w:sz="2" w:space="0" w:color="939598"/>
              <w:bottom w:val="single" w:sz="4" w:space="0" w:color="231F20"/>
              <w:right w:val="single" w:sz="2" w:space="0" w:color="939598"/>
            </w:tcBorders>
            <w:shd w:val="clear" w:color="auto" w:fill="E6E7E8"/>
          </w:tcPr>
          <w:p w14:paraId="729DA8AB" w14:textId="77777777" w:rsidR="00345EE3" w:rsidRDefault="00345EE3" w:rsidP="00D73130">
            <w:pPr>
              <w:pStyle w:val="TableParagraph"/>
              <w:spacing w:before="63"/>
              <w:rPr>
                <w:sz w:val="24"/>
              </w:rPr>
            </w:pPr>
            <w:r>
              <w:rPr>
                <w:color w:val="231F20"/>
                <w:spacing w:val="-2"/>
                <w:sz w:val="24"/>
              </w:rPr>
              <w:t>(5,666)</w:t>
            </w:r>
          </w:p>
        </w:tc>
        <w:tc>
          <w:tcPr>
            <w:tcW w:w="1134" w:type="dxa"/>
            <w:tcBorders>
              <w:left w:val="single" w:sz="2" w:space="0" w:color="939598"/>
              <w:bottom w:val="single" w:sz="4" w:space="0" w:color="231F20"/>
              <w:right w:val="single" w:sz="2" w:space="0" w:color="939598"/>
            </w:tcBorders>
            <w:shd w:val="clear" w:color="auto" w:fill="E6E7E8"/>
          </w:tcPr>
          <w:p w14:paraId="255CA7A7" w14:textId="77777777" w:rsidR="00345EE3" w:rsidRDefault="00345EE3" w:rsidP="00D73130">
            <w:pPr>
              <w:pStyle w:val="TableParagraph"/>
              <w:spacing w:before="63"/>
              <w:ind w:right="1"/>
              <w:rPr>
                <w:sz w:val="24"/>
              </w:rPr>
            </w:pPr>
            <w:r>
              <w:rPr>
                <w:color w:val="231F20"/>
                <w:spacing w:val="-2"/>
                <w:sz w:val="24"/>
              </w:rPr>
              <w:t>3,144</w:t>
            </w:r>
          </w:p>
        </w:tc>
        <w:tc>
          <w:tcPr>
            <w:tcW w:w="1134" w:type="dxa"/>
            <w:tcBorders>
              <w:left w:val="single" w:sz="2" w:space="0" w:color="939598"/>
              <w:bottom w:val="single" w:sz="4" w:space="0" w:color="231F20"/>
              <w:right w:val="single" w:sz="2" w:space="0" w:color="939598"/>
            </w:tcBorders>
          </w:tcPr>
          <w:p w14:paraId="6E986B23" w14:textId="77777777" w:rsidR="00345EE3" w:rsidRDefault="00345EE3" w:rsidP="00D73130">
            <w:pPr>
              <w:pStyle w:val="TableParagraph"/>
              <w:spacing w:before="63"/>
              <w:ind w:right="1"/>
              <w:rPr>
                <w:sz w:val="24"/>
              </w:rPr>
            </w:pPr>
            <w:r>
              <w:rPr>
                <w:color w:val="231F20"/>
                <w:spacing w:val="-2"/>
                <w:sz w:val="24"/>
              </w:rPr>
              <w:t>1,845</w:t>
            </w:r>
          </w:p>
        </w:tc>
        <w:tc>
          <w:tcPr>
            <w:tcW w:w="1134" w:type="dxa"/>
            <w:tcBorders>
              <w:left w:val="single" w:sz="2" w:space="0" w:color="939598"/>
              <w:bottom w:val="single" w:sz="4" w:space="0" w:color="231F20"/>
              <w:right w:val="single" w:sz="2" w:space="0" w:color="939598"/>
            </w:tcBorders>
          </w:tcPr>
          <w:p w14:paraId="685303C4" w14:textId="77777777" w:rsidR="00345EE3" w:rsidRDefault="00345EE3" w:rsidP="00D73130">
            <w:pPr>
              <w:pStyle w:val="TableParagraph"/>
              <w:spacing w:before="63"/>
              <w:ind w:right="1"/>
              <w:rPr>
                <w:sz w:val="24"/>
              </w:rPr>
            </w:pPr>
            <w:r>
              <w:rPr>
                <w:color w:val="231F20"/>
                <w:spacing w:val="-2"/>
                <w:sz w:val="24"/>
              </w:rPr>
              <w:t>5,892</w:t>
            </w:r>
          </w:p>
        </w:tc>
        <w:tc>
          <w:tcPr>
            <w:tcW w:w="1247" w:type="dxa"/>
            <w:tcBorders>
              <w:left w:val="single" w:sz="2" w:space="0" w:color="939598"/>
              <w:bottom w:val="single" w:sz="4" w:space="0" w:color="231F20"/>
              <w:right w:val="single" w:sz="2" w:space="0" w:color="939598"/>
            </w:tcBorders>
          </w:tcPr>
          <w:p w14:paraId="53C45F54" w14:textId="77777777" w:rsidR="00345EE3" w:rsidRDefault="00345EE3" w:rsidP="00D73130">
            <w:pPr>
              <w:pStyle w:val="TableParagraph"/>
              <w:spacing w:before="63"/>
              <w:ind w:right="1"/>
              <w:rPr>
                <w:sz w:val="24"/>
              </w:rPr>
            </w:pPr>
            <w:r>
              <w:rPr>
                <w:color w:val="231F20"/>
                <w:spacing w:val="-2"/>
                <w:sz w:val="24"/>
              </w:rPr>
              <w:t>(5,496)</w:t>
            </w:r>
          </w:p>
        </w:tc>
        <w:tc>
          <w:tcPr>
            <w:tcW w:w="1134" w:type="dxa"/>
            <w:tcBorders>
              <w:left w:val="single" w:sz="2" w:space="0" w:color="939598"/>
              <w:bottom w:val="single" w:sz="4" w:space="0" w:color="231F20"/>
            </w:tcBorders>
          </w:tcPr>
          <w:p w14:paraId="2F89ED49" w14:textId="77777777" w:rsidR="00345EE3" w:rsidRDefault="00345EE3" w:rsidP="00D73130">
            <w:pPr>
              <w:pStyle w:val="TableParagraph"/>
              <w:spacing w:before="63"/>
              <w:ind w:right="1"/>
              <w:rPr>
                <w:sz w:val="24"/>
              </w:rPr>
            </w:pPr>
            <w:r>
              <w:rPr>
                <w:color w:val="231F20"/>
                <w:spacing w:val="-2"/>
                <w:sz w:val="24"/>
              </w:rPr>
              <w:t>2,241</w:t>
            </w:r>
          </w:p>
        </w:tc>
      </w:tr>
      <w:tr w:rsidR="00345EE3" w14:paraId="6D4C489D" w14:textId="77777777" w:rsidTr="00D73130">
        <w:trPr>
          <w:trHeight w:val="386"/>
        </w:trPr>
        <w:tc>
          <w:tcPr>
            <w:tcW w:w="5840" w:type="dxa"/>
            <w:gridSpan w:val="2"/>
            <w:tcBorders>
              <w:top w:val="single" w:sz="4" w:space="0" w:color="231F20"/>
              <w:bottom w:val="single" w:sz="8" w:space="0" w:color="231F20"/>
              <w:right w:val="single" w:sz="2" w:space="0" w:color="939598"/>
            </w:tcBorders>
          </w:tcPr>
          <w:p w14:paraId="756C4D2D" w14:textId="77777777" w:rsidR="00345EE3" w:rsidRDefault="00345EE3" w:rsidP="00D73130">
            <w:pPr>
              <w:pStyle w:val="TableParagraph"/>
              <w:spacing w:before="58"/>
              <w:ind w:left="-3"/>
              <w:jc w:val="left"/>
              <w:rPr>
                <w:b/>
                <w:sz w:val="24"/>
              </w:rPr>
            </w:pPr>
            <w:r>
              <w:rPr>
                <w:b/>
                <w:color w:val="231F20"/>
                <w:sz w:val="24"/>
              </w:rPr>
              <w:t>Total</w:t>
            </w:r>
            <w:r>
              <w:rPr>
                <w:b/>
                <w:color w:val="231F20"/>
                <w:spacing w:val="-4"/>
                <w:sz w:val="24"/>
              </w:rPr>
              <w:t xml:space="preserve"> </w:t>
            </w:r>
            <w:r>
              <w:rPr>
                <w:b/>
                <w:color w:val="231F20"/>
                <w:sz w:val="24"/>
              </w:rPr>
              <w:t>Third</w:t>
            </w:r>
            <w:r>
              <w:rPr>
                <w:b/>
                <w:color w:val="231F20"/>
                <w:spacing w:val="-4"/>
                <w:sz w:val="24"/>
              </w:rPr>
              <w:t xml:space="preserve"> </w:t>
            </w:r>
            <w:r>
              <w:rPr>
                <w:b/>
                <w:color w:val="231F20"/>
                <w:sz w:val="24"/>
              </w:rPr>
              <w:t>Party</w:t>
            </w:r>
            <w:r>
              <w:rPr>
                <w:b/>
                <w:color w:val="231F20"/>
                <w:spacing w:val="-4"/>
                <w:sz w:val="24"/>
              </w:rPr>
              <w:t xml:space="preserve"> </w:t>
            </w:r>
            <w:r>
              <w:rPr>
                <w:b/>
                <w:color w:val="231F20"/>
                <w:sz w:val="24"/>
              </w:rPr>
              <w:t>Funds</w:t>
            </w:r>
            <w:r>
              <w:rPr>
                <w:b/>
                <w:color w:val="231F20"/>
                <w:spacing w:val="-3"/>
                <w:sz w:val="24"/>
              </w:rPr>
              <w:t xml:space="preserve"> </w:t>
            </w:r>
            <w:r>
              <w:rPr>
                <w:b/>
                <w:color w:val="231F20"/>
                <w:sz w:val="24"/>
              </w:rPr>
              <w:t>Under</w:t>
            </w:r>
            <w:r>
              <w:rPr>
                <w:b/>
                <w:color w:val="231F20"/>
                <w:spacing w:val="-5"/>
                <w:sz w:val="24"/>
              </w:rPr>
              <w:t xml:space="preserve"> </w:t>
            </w:r>
            <w:r>
              <w:rPr>
                <w:b/>
                <w:color w:val="231F20"/>
                <w:sz w:val="24"/>
              </w:rPr>
              <w:t>Management</w:t>
            </w:r>
            <w:r>
              <w:rPr>
                <w:b/>
                <w:color w:val="231F20"/>
                <w:spacing w:val="-5"/>
                <w:sz w:val="24"/>
              </w:rPr>
              <w:t xml:space="preserve"> </w:t>
            </w:r>
            <w:r>
              <w:rPr>
                <w:b/>
                <w:color w:val="231F20"/>
                <w:spacing w:val="-5"/>
                <w:sz w:val="24"/>
                <w:vertAlign w:val="superscript"/>
              </w:rPr>
              <w:t>(a)</w:t>
            </w:r>
          </w:p>
        </w:tc>
        <w:tc>
          <w:tcPr>
            <w:tcW w:w="1134" w:type="dxa"/>
            <w:tcBorders>
              <w:top w:val="single" w:sz="4" w:space="0" w:color="231F20"/>
              <w:left w:val="single" w:sz="2" w:space="0" w:color="939598"/>
              <w:bottom w:val="single" w:sz="8" w:space="0" w:color="231F20"/>
              <w:right w:val="single" w:sz="2" w:space="0" w:color="939598"/>
            </w:tcBorders>
            <w:shd w:val="clear" w:color="auto" w:fill="E6E7E8"/>
          </w:tcPr>
          <w:p w14:paraId="56D9B3F4" w14:textId="77777777" w:rsidR="00345EE3" w:rsidRDefault="00345EE3" w:rsidP="00D73130">
            <w:pPr>
              <w:pStyle w:val="TableParagraph"/>
              <w:spacing w:before="58"/>
              <w:ind w:right="1"/>
              <w:rPr>
                <w:b/>
                <w:sz w:val="24"/>
              </w:rPr>
            </w:pPr>
            <w:r>
              <w:rPr>
                <w:b/>
                <w:color w:val="231F20"/>
                <w:spacing w:val="-2"/>
                <w:sz w:val="24"/>
              </w:rPr>
              <w:t>2,241</w:t>
            </w:r>
          </w:p>
        </w:tc>
        <w:tc>
          <w:tcPr>
            <w:tcW w:w="1134" w:type="dxa"/>
            <w:tcBorders>
              <w:top w:val="single" w:sz="4" w:space="0" w:color="231F20"/>
              <w:left w:val="single" w:sz="2" w:space="0" w:color="939598"/>
              <w:bottom w:val="single" w:sz="8" w:space="0" w:color="231F20"/>
              <w:right w:val="single" w:sz="2" w:space="0" w:color="939598"/>
            </w:tcBorders>
            <w:shd w:val="clear" w:color="auto" w:fill="E6E7E8"/>
          </w:tcPr>
          <w:p w14:paraId="78D9742D" w14:textId="77777777" w:rsidR="00345EE3" w:rsidRDefault="00345EE3" w:rsidP="00D73130">
            <w:pPr>
              <w:pStyle w:val="TableParagraph"/>
              <w:spacing w:before="58"/>
              <w:ind w:right="1"/>
              <w:rPr>
                <w:b/>
                <w:sz w:val="24"/>
              </w:rPr>
            </w:pPr>
            <w:r>
              <w:rPr>
                <w:b/>
                <w:color w:val="231F20"/>
                <w:spacing w:val="-2"/>
                <w:sz w:val="24"/>
              </w:rPr>
              <w:t>6,569</w:t>
            </w:r>
          </w:p>
        </w:tc>
        <w:tc>
          <w:tcPr>
            <w:tcW w:w="1247" w:type="dxa"/>
            <w:tcBorders>
              <w:top w:val="single" w:sz="4" w:space="0" w:color="231F20"/>
              <w:left w:val="single" w:sz="2" w:space="0" w:color="939598"/>
              <w:bottom w:val="single" w:sz="8" w:space="0" w:color="231F20"/>
              <w:right w:val="single" w:sz="2" w:space="0" w:color="939598"/>
            </w:tcBorders>
            <w:shd w:val="clear" w:color="auto" w:fill="E6E7E8"/>
          </w:tcPr>
          <w:p w14:paraId="494AC8B3" w14:textId="77777777" w:rsidR="00345EE3" w:rsidRDefault="00345EE3" w:rsidP="00D73130">
            <w:pPr>
              <w:pStyle w:val="TableParagraph"/>
              <w:spacing w:before="58"/>
              <w:rPr>
                <w:b/>
                <w:sz w:val="24"/>
              </w:rPr>
            </w:pPr>
            <w:r>
              <w:rPr>
                <w:b/>
                <w:color w:val="231F20"/>
                <w:spacing w:val="-2"/>
                <w:sz w:val="24"/>
              </w:rPr>
              <w:t>(5,666)</w:t>
            </w:r>
          </w:p>
        </w:tc>
        <w:tc>
          <w:tcPr>
            <w:tcW w:w="1134" w:type="dxa"/>
            <w:tcBorders>
              <w:top w:val="single" w:sz="4" w:space="0" w:color="231F20"/>
              <w:left w:val="single" w:sz="2" w:space="0" w:color="939598"/>
              <w:bottom w:val="single" w:sz="8" w:space="0" w:color="231F20"/>
              <w:right w:val="single" w:sz="2" w:space="0" w:color="939598"/>
            </w:tcBorders>
            <w:shd w:val="clear" w:color="auto" w:fill="E6E7E8"/>
          </w:tcPr>
          <w:p w14:paraId="550259A9" w14:textId="77777777" w:rsidR="00345EE3" w:rsidRDefault="00345EE3" w:rsidP="00D73130">
            <w:pPr>
              <w:pStyle w:val="TableParagraph"/>
              <w:spacing w:before="58"/>
              <w:ind w:right="1"/>
              <w:rPr>
                <w:b/>
                <w:sz w:val="24"/>
              </w:rPr>
            </w:pPr>
            <w:r>
              <w:rPr>
                <w:b/>
                <w:color w:val="231F20"/>
                <w:spacing w:val="-2"/>
                <w:sz w:val="24"/>
              </w:rPr>
              <w:t>3,144</w:t>
            </w:r>
          </w:p>
        </w:tc>
        <w:tc>
          <w:tcPr>
            <w:tcW w:w="1134" w:type="dxa"/>
            <w:tcBorders>
              <w:top w:val="single" w:sz="4" w:space="0" w:color="231F20"/>
              <w:left w:val="single" w:sz="2" w:space="0" w:color="939598"/>
              <w:bottom w:val="single" w:sz="8" w:space="0" w:color="231F20"/>
              <w:right w:val="single" w:sz="2" w:space="0" w:color="939598"/>
            </w:tcBorders>
          </w:tcPr>
          <w:p w14:paraId="5636920B" w14:textId="77777777" w:rsidR="00345EE3" w:rsidRDefault="00345EE3" w:rsidP="00D73130">
            <w:pPr>
              <w:pStyle w:val="TableParagraph"/>
              <w:spacing w:before="58"/>
              <w:ind w:right="1"/>
              <w:rPr>
                <w:b/>
                <w:sz w:val="24"/>
              </w:rPr>
            </w:pPr>
            <w:r>
              <w:rPr>
                <w:b/>
                <w:color w:val="231F20"/>
                <w:spacing w:val="-2"/>
                <w:sz w:val="24"/>
              </w:rPr>
              <w:t>1,845</w:t>
            </w:r>
          </w:p>
        </w:tc>
        <w:tc>
          <w:tcPr>
            <w:tcW w:w="1134" w:type="dxa"/>
            <w:tcBorders>
              <w:top w:val="single" w:sz="4" w:space="0" w:color="231F20"/>
              <w:left w:val="single" w:sz="2" w:space="0" w:color="939598"/>
              <w:bottom w:val="single" w:sz="8" w:space="0" w:color="231F20"/>
              <w:right w:val="single" w:sz="2" w:space="0" w:color="939598"/>
            </w:tcBorders>
          </w:tcPr>
          <w:p w14:paraId="068D8E2F" w14:textId="77777777" w:rsidR="00345EE3" w:rsidRDefault="00345EE3" w:rsidP="00D73130">
            <w:pPr>
              <w:pStyle w:val="TableParagraph"/>
              <w:spacing w:before="58"/>
              <w:ind w:right="1"/>
              <w:rPr>
                <w:b/>
                <w:sz w:val="24"/>
              </w:rPr>
            </w:pPr>
            <w:r>
              <w:rPr>
                <w:b/>
                <w:color w:val="231F20"/>
                <w:spacing w:val="-2"/>
                <w:sz w:val="24"/>
              </w:rPr>
              <w:t>5,892</w:t>
            </w:r>
          </w:p>
        </w:tc>
        <w:tc>
          <w:tcPr>
            <w:tcW w:w="1247" w:type="dxa"/>
            <w:tcBorders>
              <w:top w:val="single" w:sz="4" w:space="0" w:color="231F20"/>
              <w:left w:val="single" w:sz="2" w:space="0" w:color="939598"/>
              <w:bottom w:val="single" w:sz="8" w:space="0" w:color="231F20"/>
              <w:right w:val="single" w:sz="2" w:space="0" w:color="939598"/>
            </w:tcBorders>
          </w:tcPr>
          <w:p w14:paraId="7F9460E9" w14:textId="77777777" w:rsidR="00345EE3" w:rsidRDefault="00345EE3" w:rsidP="00D73130">
            <w:pPr>
              <w:pStyle w:val="TableParagraph"/>
              <w:spacing w:before="58"/>
              <w:ind w:right="1"/>
              <w:rPr>
                <w:b/>
                <w:sz w:val="24"/>
              </w:rPr>
            </w:pPr>
            <w:r>
              <w:rPr>
                <w:b/>
                <w:color w:val="231F20"/>
                <w:spacing w:val="-2"/>
                <w:sz w:val="24"/>
              </w:rPr>
              <w:t>(5,496)</w:t>
            </w:r>
          </w:p>
        </w:tc>
        <w:tc>
          <w:tcPr>
            <w:tcW w:w="1134" w:type="dxa"/>
            <w:tcBorders>
              <w:top w:val="single" w:sz="4" w:space="0" w:color="231F20"/>
              <w:left w:val="single" w:sz="2" w:space="0" w:color="939598"/>
              <w:bottom w:val="single" w:sz="8" w:space="0" w:color="231F20"/>
            </w:tcBorders>
          </w:tcPr>
          <w:p w14:paraId="7A56C18D" w14:textId="77777777" w:rsidR="00345EE3" w:rsidRDefault="00345EE3" w:rsidP="00D73130">
            <w:pPr>
              <w:pStyle w:val="TableParagraph"/>
              <w:spacing w:before="58"/>
              <w:ind w:right="-15"/>
              <w:rPr>
                <w:b/>
                <w:sz w:val="24"/>
              </w:rPr>
            </w:pPr>
            <w:r>
              <w:rPr>
                <w:b/>
                <w:color w:val="231F20"/>
                <w:spacing w:val="-2"/>
                <w:sz w:val="24"/>
              </w:rPr>
              <w:t>2,241</w:t>
            </w:r>
          </w:p>
        </w:tc>
      </w:tr>
    </w:tbl>
    <w:p w14:paraId="228A9BC2" w14:textId="77777777" w:rsidR="00345EE3" w:rsidRPr="000C71FB" w:rsidRDefault="00345EE3" w:rsidP="00345EE3">
      <w:pPr>
        <w:spacing w:before="75"/>
        <w:ind w:left="110"/>
        <w:rPr>
          <w:rFonts w:ascii="Arial-BoldItalicMT"/>
          <w:b/>
          <w:i/>
          <w:sz w:val="18"/>
          <w:szCs w:val="18"/>
        </w:rPr>
      </w:pPr>
      <w:r w:rsidRPr="000C71FB">
        <w:rPr>
          <w:rFonts w:ascii="Arial-BoldItalicMT"/>
          <w:b/>
          <w:i/>
          <w:color w:val="231F20"/>
          <w:spacing w:val="-2"/>
          <w:sz w:val="18"/>
          <w:szCs w:val="18"/>
        </w:rPr>
        <w:t>Note:</w:t>
      </w:r>
    </w:p>
    <w:p w14:paraId="3A862A88" w14:textId="77777777" w:rsidR="00345EE3" w:rsidRPr="000C71FB" w:rsidRDefault="00345EE3">
      <w:pPr>
        <w:pStyle w:val="ListParagraph"/>
        <w:numPr>
          <w:ilvl w:val="0"/>
          <w:numId w:val="21"/>
        </w:numPr>
        <w:tabs>
          <w:tab w:val="left" w:pos="338"/>
        </w:tabs>
        <w:spacing w:before="27"/>
        <w:ind w:hanging="228"/>
        <w:rPr>
          <w:sz w:val="18"/>
          <w:szCs w:val="18"/>
        </w:rPr>
      </w:pPr>
      <w:r w:rsidRPr="000C71FB">
        <w:rPr>
          <w:color w:val="231F20"/>
          <w:sz w:val="18"/>
          <w:szCs w:val="18"/>
        </w:rPr>
        <w:t>The</w:t>
      </w:r>
      <w:r w:rsidRPr="000C71FB">
        <w:rPr>
          <w:color w:val="231F20"/>
          <w:spacing w:val="-4"/>
          <w:sz w:val="18"/>
          <w:szCs w:val="18"/>
        </w:rPr>
        <w:t xml:space="preserve"> </w:t>
      </w:r>
      <w:r w:rsidRPr="000C71FB">
        <w:rPr>
          <w:color w:val="231F20"/>
          <w:sz w:val="18"/>
          <w:szCs w:val="18"/>
        </w:rPr>
        <w:t>closing</w:t>
      </w:r>
      <w:r w:rsidRPr="000C71FB">
        <w:rPr>
          <w:color w:val="231F20"/>
          <w:spacing w:val="-2"/>
          <w:sz w:val="18"/>
          <w:szCs w:val="18"/>
        </w:rPr>
        <w:t xml:space="preserve"> </w:t>
      </w:r>
      <w:r w:rsidRPr="000C71FB">
        <w:rPr>
          <w:color w:val="231F20"/>
          <w:sz w:val="18"/>
          <w:szCs w:val="18"/>
        </w:rPr>
        <w:t>balance</w:t>
      </w:r>
      <w:r w:rsidRPr="000C71FB">
        <w:rPr>
          <w:color w:val="231F20"/>
          <w:spacing w:val="-1"/>
          <w:sz w:val="18"/>
          <w:szCs w:val="18"/>
        </w:rPr>
        <w:t xml:space="preserve"> </w:t>
      </w:r>
      <w:r w:rsidRPr="000C71FB">
        <w:rPr>
          <w:color w:val="231F20"/>
          <w:sz w:val="18"/>
          <w:szCs w:val="18"/>
        </w:rPr>
        <w:t>does</w:t>
      </w:r>
      <w:r w:rsidRPr="000C71FB">
        <w:rPr>
          <w:color w:val="231F20"/>
          <w:spacing w:val="-2"/>
          <w:sz w:val="18"/>
          <w:szCs w:val="18"/>
        </w:rPr>
        <w:t xml:space="preserve"> </w:t>
      </w:r>
      <w:r w:rsidRPr="000C71FB">
        <w:rPr>
          <w:color w:val="231F20"/>
          <w:sz w:val="18"/>
          <w:szCs w:val="18"/>
        </w:rPr>
        <w:t>not</w:t>
      </w:r>
      <w:r w:rsidRPr="000C71FB">
        <w:rPr>
          <w:color w:val="231F20"/>
          <w:spacing w:val="-1"/>
          <w:sz w:val="18"/>
          <w:szCs w:val="18"/>
        </w:rPr>
        <w:t xml:space="preserve"> </w:t>
      </w:r>
      <w:r w:rsidRPr="000C71FB">
        <w:rPr>
          <w:color w:val="231F20"/>
          <w:sz w:val="18"/>
          <w:szCs w:val="18"/>
        </w:rPr>
        <w:t>form</w:t>
      </w:r>
      <w:r w:rsidRPr="000C71FB">
        <w:rPr>
          <w:color w:val="231F20"/>
          <w:spacing w:val="-2"/>
          <w:sz w:val="18"/>
          <w:szCs w:val="18"/>
        </w:rPr>
        <w:t xml:space="preserve"> </w:t>
      </w:r>
      <w:r w:rsidRPr="000C71FB">
        <w:rPr>
          <w:color w:val="231F20"/>
          <w:sz w:val="18"/>
          <w:szCs w:val="18"/>
        </w:rPr>
        <w:t>part</w:t>
      </w:r>
      <w:r w:rsidRPr="000C71FB">
        <w:rPr>
          <w:color w:val="231F20"/>
          <w:spacing w:val="-1"/>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Victoria</w:t>
      </w:r>
      <w:r w:rsidRPr="000C71FB">
        <w:rPr>
          <w:color w:val="231F20"/>
          <w:spacing w:val="-1"/>
          <w:sz w:val="18"/>
          <w:szCs w:val="18"/>
        </w:rPr>
        <w:t xml:space="preserve"> </w:t>
      </w:r>
      <w:r w:rsidRPr="000C71FB">
        <w:rPr>
          <w:color w:val="231F20"/>
          <w:sz w:val="18"/>
          <w:szCs w:val="18"/>
        </w:rPr>
        <w:t>Police’s</w:t>
      </w:r>
      <w:r w:rsidRPr="000C71FB">
        <w:rPr>
          <w:color w:val="231F20"/>
          <w:spacing w:val="-2"/>
          <w:sz w:val="18"/>
          <w:szCs w:val="18"/>
        </w:rPr>
        <w:t xml:space="preserve"> </w:t>
      </w:r>
      <w:r w:rsidRPr="000C71FB">
        <w:rPr>
          <w:color w:val="231F20"/>
          <w:sz w:val="18"/>
          <w:szCs w:val="18"/>
        </w:rPr>
        <w:t>cash</w:t>
      </w:r>
      <w:r w:rsidRPr="000C71FB">
        <w:rPr>
          <w:color w:val="231F20"/>
          <w:spacing w:val="-1"/>
          <w:sz w:val="18"/>
          <w:szCs w:val="18"/>
        </w:rPr>
        <w:t xml:space="preserve"> </w:t>
      </w:r>
      <w:r w:rsidRPr="000C71FB">
        <w:rPr>
          <w:color w:val="231F20"/>
          <w:sz w:val="18"/>
          <w:szCs w:val="18"/>
        </w:rPr>
        <w:t>balances</w:t>
      </w:r>
      <w:r w:rsidRPr="000C71FB">
        <w:rPr>
          <w:color w:val="231F20"/>
          <w:spacing w:val="-2"/>
          <w:sz w:val="18"/>
          <w:szCs w:val="18"/>
        </w:rPr>
        <w:t xml:space="preserve"> </w:t>
      </w:r>
      <w:r w:rsidRPr="000C71FB">
        <w:rPr>
          <w:color w:val="231F20"/>
          <w:sz w:val="18"/>
          <w:szCs w:val="18"/>
        </w:rPr>
        <w:t>as</w:t>
      </w:r>
      <w:r w:rsidRPr="000C71FB">
        <w:rPr>
          <w:color w:val="231F20"/>
          <w:spacing w:val="-1"/>
          <w:sz w:val="18"/>
          <w:szCs w:val="18"/>
        </w:rPr>
        <w:t xml:space="preserve"> </w:t>
      </w:r>
      <w:r w:rsidRPr="000C71FB">
        <w:rPr>
          <w:color w:val="231F20"/>
          <w:sz w:val="18"/>
          <w:szCs w:val="18"/>
        </w:rPr>
        <w:t>at</w:t>
      </w:r>
      <w:r w:rsidRPr="000C71FB">
        <w:rPr>
          <w:color w:val="231F20"/>
          <w:spacing w:val="-2"/>
          <w:sz w:val="18"/>
          <w:szCs w:val="18"/>
        </w:rPr>
        <w:t xml:space="preserve"> </w:t>
      </w:r>
      <w:r w:rsidRPr="000C71FB">
        <w:rPr>
          <w:color w:val="231F20"/>
          <w:sz w:val="18"/>
          <w:szCs w:val="18"/>
        </w:rPr>
        <w:t>30</w:t>
      </w:r>
      <w:r w:rsidRPr="000C71FB">
        <w:rPr>
          <w:color w:val="231F20"/>
          <w:spacing w:val="-1"/>
          <w:sz w:val="18"/>
          <w:szCs w:val="18"/>
        </w:rPr>
        <w:t xml:space="preserve"> </w:t>
      </w:r>
      <w:r w:rsidRPr="000C71FB">
        <w:rPr>
          <w:color w:val="231F20"/>
          <w:sz w:val="18"/>
          <w:szCs w:val="18"/>
        </w:rPr>
        <w:t>June</w:t>
      </w:r>
      <w:r w:rsidRPr="000C71FB">
        <w:rPr>
          <w:color w:val="231F20"/>
          <w:spacing w:val="-2"/>
          <w:sz w:val="18"/>
          <w:szCs w:val="18"/>
        </w:rPr>
        <w:t xml:space="preserve"> </w:t>
      </w:r>
      <w:r w:rsidRPr="000C71FB">
        <w:rPr>
          <w:color w:val="231F20"/>
          <w:sz w:val="18"/>
          <w:szCs w:val="18"/>
        </w:rPr>
        <w:t>2022</w:t>
      </w:r>
      <w:r w:rsidRPr="000C71FB">
        <w:rPr>
          <w:color w:val="231F20"/>
          <w:spacing w:val="-1"/>
          <w:sz w:val="18"/>
          <w:szCs w:val="18"/>
        </w:rPr>
        <w:t xml:space="preserve"> </w:t>
      </w:r>
      <w:r w:rsidRPr="000C71FB">
        <w:rPr>
          <w:color w:val="231F20"/>
          <w:sz w:val="18"/>
          <w:szCs w:val="18"/>
        </w:rPr>
        <w:t>and</w:t>
      </w:r>
      <w:r w:rsidRPr="000C71FB">
        <w:rPr>
          <w:color w:val="231F20"/>
          <w:spacing w:val="-2"/>
          <w:sz w:val="18"/>
          <w:szCs w:val="18"/>
        </w:rPr>
        <w:t xml:space="preserve"> </w:t>
      </w:r>
      <w:r w:rsidRPr="000C71FB">
        <w:rPr>
          <w:color w:val="231F20"/>
          <w:sz w:val="18"/>
          <w:szCs w:val="18"/>
        </w:rPr>
        <w:t>30</w:t>
      </w:r>
      <w:r w:rsidRPr="000C71FB">
        <w:rPr>
          <w:color w:val="231F20"/>
          <w:spacing w:val="-1"/>
          <w:sz w:val="18"/>
          <w:szCs w:val="18"/>
        </w:rPr>
        <w:t xml:space="preserve"> </w:t>
      </w:r>
      <w:r w:rsidRPr="000C71FB">
        <w:rPr>
          <w:color w:val="231F20"/>
          <w:sz w:val="18"/>
          <w:szCs w:val="18"/>
        </w:rPr>
        <w:t>June</w:t>
      </w:r>
      <w:r w:rsidRPr="000C71FB">
        <w:rPr>
          <w:color w:val="231F20"/>
          <w:spacing w:val="-2"/>
          <w:sz w:val="18"/>
          <w:szCs w:val="18"/>
        </w:rPr>
        <w:t xml:space="preserve"> </w:t>
      </w:r>
      <w:r w:rsidRPr="000C71FB">
        <w:rPr>
          <w:color w:val="231F20"/>
          <w:sz w:val="18"/>
          <w:szCs w:val="18"/>
        </w:rPr>
        <w:t>2021</w:t>
      </w:r>
      <w:r w:rsidRPr="000C71FB">
        <w:rPr>
          <w:color w:val="231F20"/>
          <w:spacing w:val="-1"/>
          <w:sz w:val="18"/>
          <w:szCs w:val="18"/>
        </w:rPr>
        <w:t xml:space="preserve"> </w:t>
      </w:r>
      <w:r w:rsidRPr="000C71FB">
        <w:rPr>
          <w:color w:val="231F20"/>
          <w:spacing w:val="-2"/>
          <w:sz w:val="18"/>
          <w:szCs w:val="18"/>
        </w:rPr>
        <w:t>respectively.</w:t>
      </w:r>
    </w:p>
    <w:p w14:paraId="481A8111" w14:textId="77777777" w:rsidR="00345EE3" w:rsidRDefault="00345EE3" w:rsidP="00345EE3">
      <w:pPr>
        <w:pStyle w:val="BodyText"/>
        <w:spacing w:before="4"/>
        <w:rPr>
          <w:sz w:val="20"/>
        </w:rPr>
      </w:pPr>
    </w:p>
    <w:p w14:paraId="3BD644F7" w14:textId="77777777" w:rsidR="00345EE3" w:rsidRDefault="00345EE3" w:rsidP="002A27BA">
      <w:pPr>
        <w:pStyle w:val="Heading3"/>
        <w:numPr>
          <w:ilvl w:val="1"/>
          <w:numId w:val="24"/>
        </w:numPr>
      </w:pPr>
      <w:r>
        <w:t>Capital Structure</w:t>
      </w:r>
    </w:p>
    <w:p w14:paraId="26207EC4" w14:textId="77777777" w:rsidR="00345EE3" w:rsidRDefault="00345EE3">
      <w:pPr>
        <w:pStyle w:val="Heading5"/>
        <w:numPr>
          <w:ilvl w:val="2"/>
          <w:numId w:val="24"/>
        </w:numPr>
        <w:tabs>
          <w:tab w:val="left" w:pos="711"/>
        </w:tabs>
        <w:spacing w:before="109"/>
      </w:pPr>
      <w:r>
        <w:rPr>
          <w:color w:val="58595B"/>
        </w:rPr>
        <w:t>Contributed</w:t>
      </w:r>
      <w:r>
        <w:rPr>
          <w:color w:val="58595B"/>
          <w:spacing w:val="-11"/>
        </w:rPr>
        <w:t xml:space="preserve"> </w:t>
      </w:r>
      <w:r>
        <w:rPr>
          <w:color w:val="58595B"/>
          <w:spacing w:val="-2"/>
        </w:rPr>
        <w:t>capital</w:t>
      </w:r>
    </w:p>
    <w:p w14:paraId="47ABE02C" w14:textId="77777777" w:rsidR="00345EE3" w:rsidRDefault="00345EE3" w:rsidP="00345EE3">
      <w:pPr>
        <w:pStyle w:val="BodyText"/>
        <w:spacing w:before="4" w:line="242" w:lineRule="auto"/>
        <w:ind w:right="122"/>
      </w:pPr>
      <w:r>
        <w:rPr>
          <w:color w:val="231F20"/>
        </w:rPr>
        <w:t>Additions</w:t>
      </w:r>
      <w:r>
        <w:rPr>
          <w:color w:val="231F20"/>
          <w:spacing w:val="-1"/>
        </w:rPr>
        <w:t xml:space="preserve"> </w:t>
      </w:r>
      <w:r>
        <w:rPr>
          <w:color w:val="231F20"/>
        </w:rPr>
        <w:t>to</w:t>
      </w:r>
      <w:r>
        <w:rPr>
          <w:color w:val="231F20"/>
          <w:spacing w:val="-2"/>
        </w:rPr>
        <w:t xml:space="preserve"> </w:t>
      </w:r>
      <w:r>
        <w:rPr>
          <w:color w:val="231F20"/>
        </w:rPr>
        <w:t>net</w:t>
      </w:r>
      <w:r>
        <w:rPr>
          <w:color w:val="231F20"/>
          <w:spacing w:val="-1"/>
        </w:rPr>
        <w:t xml:space="preserve"> </w:t>
      </w:r>
      <w:r>
        <w:rPr>
          <w:color w:val="231F20"/>
        </w:rPr>
        <w:t>assets</w:t>
      </w:r>
      <w:r>
        <w:rPr>
          <w:color w:val="231F20"/>
          <w:spacing w:val="-1"/>
        </w:rPr>
        <w:t xml:space="preserve"> </w:t>
      </w:r>
      <w:r>
        <w:rPr>
          <w:color w:val="231F20"/>
        </w:rPr>
        <w:t>which</w:t>
      </w:r>
      <w:r>
        <w:rPr>
          <w:color w:val="231F20"/>
          <w:spacing w:val="-2"/>
        </w:rPr>
        <w:t xml:space="preserve"> </w:t>
      </w:r>
      <w:r>
        <w:rPr>
          <w:color w:val="231F20"/>
        </w:rPr>
        <w:t>have</w:t>
      </w:r>
      <w:r>
        <w:rPr>
          <w:color w:val="231F20"/>
          <w:spacing w:val="-2"/>
        </w:rPr>
        <w:t xml:space="preserve"> </w:t>
      </w:r>
      <w:r>
        <w:rPr>
          <w:color w:val="231F20"/>
        </w:rPr>
        <w:t>been</w:t>
      </w:r>
      <w:r>
        <w:rPr>
          <w:color w:val="231F20"/>
          <w:spacing w:val="-2"/>
        </w:rPr>
        <w:t xml:space="preserve"> </w:t>
      </w:r>
      <w:r>
        <w:rPr>
          <w:color w:val="231F20"/>
        </w:rPr>
        <w:t>designated</w:t>
      </w:r>
      <w:r>
        <w:rPr>
          <w:color w:val="231F20"/>
          <w:spacing w:val="-2"/>
        </w:rPr>
        <w:t xml:space="preserve"> </w:t>
      </w:r>
      <w:r>
        <w:rPr>
          <w:color w:val="231F20"/>
        </w:rPr>
        <w:t>as</w:t>
      </w:r>
      <w:r>
        <w:rPr>
          <w:color w:val="231F20"/>
          <w:spacing w:val="-1"/>
        </w:rPr>
        <w:t xml:space="preserve"> </w:t>
      </w:r>
      <w:r>
        <w:rPr>
          <w:color w:val="231F20"/>
        </w:rPr>
        <w:t>contributions</w:t>
      </w:r>
      <w:r>
        <w:rPr>
          <w:color w:val="231F20"/>
          <w:spacing w:val="-1"/>
        </w:rPr>
        <w:t xml:space="preserve"> </w:t>
      </w:r>
      <w:r>
        <w:rPr>
          <w:color w:val="231F20"/>
        </w:rPr>
        <w:t>by</w:t>
      </w:r>
      <w:r>
        <w:rPr>
          <w:color w:val="231F20"/>
          <w:spacing w:val="-1"/>
        </w:rPr>
        <w:t xml:space="preserve"> </w:t>
      </w:r>
      <w:r>
        <w:rPr>
          <w:color w:val="231F20"/>
        </w:rPr>
        <w:t>owners</w:t>
      </w:r>
      <w:r>
        <w:rPr>
          <w:color w:val="231F20"/>
          <w:spacing w:val="-1"/>
        </w:rPr>
        <w:t xml:space="preserve"> </w:t>
      </w:r>
      <w:r>
        <w:rPr>
          <w:color w:val="231F20"/>
        </w:rPr>
        <w:t>are</w:t>
      </w:r>
      <w:r>
        <w:rPr>
          <w:color w:val="231F20"/>
          <w:spacing w:val="-2"/>
        </w:rPr>
        <w:t xml:space="preserve"> </w:t>
      </w:r>
      <w:r>
        <w:rPr>
          <w:color w:val="231F20"/>
        </w:rPr>
        <w:t>recognised</w:t>
      </w:r>
      <w:r>
        <w:rPr>
          <w:color w:val="231F20"/>
          <w:spacing w:val="-2"/>
        </w:rPr>
        <w:t xml:space="preserve"> </w:t>
      </w:r>
      <w:r>
        <w:rPr>
          <w:color w:val="231F20"/>
        </w:rPr>
        <w:t>as</w:t>
      </w:r>
      <w:r>
        <w:rPr>
          <w:color w:val="231F20"/>
          <w:spacing w:val="-1"/>
        </w:rPr>
        <w:t xml:space="preserve"> </w:t>
      </w:r>
      <w:r>
        <w:rPr>
          <w:color w:val="231F20"/>
        </w:rPr>
        <w:t>contributed</w:t>
      </w:r>
      <w:r>
        <w:rPr>
          <w:color w:val="231F20"/>
          <w:spacing w:val="-2"/>
        </w:rPr>
        <w:t xml:space="preserve"> </w:t>
      </w:r>
      <w:r>
        <w:rPr>
          <w:color w:val="231F20"/>
        </w:rPr>
        <w:t>capital.</w:t>
      </w:r>
      <w:r>
        <w:rPr>
          <w:color w:val="231F20"/>
          <w:spacing w:val="-1"/>
        </w:rPr>
        <w:t xml:space="preserve"> </w:t>
      </w:r>
      <w:r>
        <w:rPr>
          <w:color w:val="231F20"/>
        </w:rPr>
        <w:t>Other</w:t>
      </w:r>
      <w:r>
        <w:rPr>
          <w:color w:val="231F20"/>
          <w:spacing w:val="-1"/>
        </w:rPr>
        <w:t xml:space="preserve"> </w:t>
      </w:r>
      <w:r>
        <w:rPr>
          <w:color w:val="231F20"/>
        </w:rPr>
        <w:t>transfers</w:t>
      </w:r>
      <w:r>
        <w:rPr>
          <w:color w:val="231F20"/>
          <w:spacing w:val="-1"/>
        </w:rPr>
        <w:t xml:space="preserve"> </w:t>
      </w:r>
      <w:r>
        <w:rPr>
          <w:color w:val="231F20"/>
        </w:rPr>
        <w:t>that</w:t>
      </w:r>
      <w:r>
        <w:rPr>
          <w:color w:val="231F20"/>
          <w:spacing w:val="-1"/>
        </w:rPr>
        <w:t xml:space="preserve"> </w:t>
      </w:r>
      <w:r>
        <w:rPr>
          <w:color w:val="231F20"/>
        </w:rPr>
        <w:t>are in</w:t>
      </w:r>
      <w:r>
        <w:rPr>
          <w:color w:val="231F20"/>
          <w:spacing w:val="-9"/>
        </w:rPr>
        <w:t xml:space="preserve"> </w:t>
      </w:r>
      <w:r>
        <w:rPr>
          <w:color w:val="231F20"/>
        </w:rPr>
        <w:t>the</w:t>
      </w:r>
      <w:r>
        <w:rPr>
          <w:color w:val="231F20"/>
          <w:spacing w:val="-9"/>
        </w:rPr>
        <w:t xml:space="preserve"> </w:t>
      </w:r>
      <w:r>
        <w:rPr>
          <w:color w:val="231F20"/>
        </w:rPr>
        <w:t>nature</w:t>
      </w:r>
      <w:r>
        <w:rPr>
          <w:color w:val="231F20"/>
          <w:spacing w:val="-9"/>
        </w:rPr>
        <w:t xml:space="preserve"> </w:t>
      </w:r>
      <w:r>
        <w:rPr>
          <w:color w:val="231F20"/>
        </w:rPr>
        <w:t>of</w:t>
      </w:r>
      <w:r>
        <w:rPr>
          <w:color w:val="231F20"/>
          <w:spacing w:val="-8"/>
        </w:rPr>
        <w:t xml:space="preserve"> </w:t>
      </w:r>
      <w:r>
        <w:rPr>
          <w:color w:val="231F20"/>
        </w:rPr>
        <w:t>contributions</w:t>
      </w:r>
      <w:r>
        <w:rPr>
          <w:color w:val="231F20"/>
          <w:spacing w:val="-8"/>
        </w:rPr>
        <w:t xml:space="preserve"> </w:t>
      </w:r>
      <w:r>
        <w:rPr>
          <w:color w:val="231F20"/>
        </w:rPr>
        <w:t>to</w:t>
      </w:r>
      <w:r>
        <w:rPr>
          <w:color w:val="231F20"/>
          <w:spacing w:val="-9"/>
        </w:rPr>
        <w:t xml:space="preserve"> </w:t>
      </w:r>
      <w:r>
        <w:rPr>
          <w:color w:val="231F20"/>
        </w:rPr>
        <w:t>or</w:t>
      </w:r>
      <w:r>
        <w:rPr>
          <w:color w:val="231F20"/>
          <w:spacing w:val="-8"/>
        </w:rPr>
        <w:t xml:space="preserve"> </w:t>
      </w:r>
      <w:r>
        <w:rPr>
          <w:color w:val="231F20"/>
        </w:rPr>
        <w:t>distributions</w:t>
      </w:r>
      <w:r>
        <w:rPr>
          <w:color w:val="231F20"/>
          <w:spacing w:val="-8"/>
        </w:rPr>
        <w:t xml:space="preserve"> </w:t>
      </w:r>
      <w:r>
        <w:rPr>
          <w:color w:val="231F20"/>
        </w:rPr>
        <w:t>by</w:t>
      </w:r>
      <w:r>
        <w:rPr>
          <w:color w:val="231F20"/>
          <w:spacing w:val="-8"/>
        </w:rPr>
        <w:t xml:space="preserve"> </w:t>
      </w:r>
      <w:r>
        <w:rPr>
          <w:color w:val="231F20"/>
        </w:rPr>
        <w:t>owners</w:t>
      </w:r>
      <w:r>
        <w:rPr>
          <w:color w:val="231F20"/>
          <w:spacing w:val="-8"/>
        </w:rPr>
        <w:t xml:space="preserve"> </w:t>
      </w:r>
      <w:r>
        <w:rPr>
          <w:color w:val="231F20"/>
        </w:rPr>
        <w:t>have</w:t>
      </w:r>
      <w:r>
        <w:rPr>
          <w:color w:val="231F20"/>
          <w:spacing w:val="-9"/>
        </w:rPr>
        <w:t xml:space="preserve"> </w:t>
      </w:r>
      <w:r>
        <w:rPr>
          <w:color w:val="231F20"/>
        </w:rPr>
        <w:t>also</w:t>
      </w:r>
      <w:r>
        <w:rPr>
          <w:color w:val="231F20"/>
          <w:spacing w:val="-9"/>
        </w:rPr>
        <w:t xml:space="preserve"> </w:t>
      </w:r>
      <w:r>
        <w:rPr>
          <w:color w:val="231F20"/>
        </w:rPr>
        <w:t>been</w:t>
      </w:r>
      <w:r>
        <w:rPr>
          <w:color w:val="231F20"/>
          <w:spacing w:val="-9"/>
        </w:rPr>
        <w:t xml:space="preserve"> </w:t>
      </w:r>
      <w:r>
        <w:rPr>
          <w:color w:val="231F20"/>
        </w:rPr>
        <w:t>designated</w:t>
      </w:r>
      <w:r>
        <w:rPr>
          <w:color w:val="231F20"/>
          <w:spacing w:val="-9"/>
        </w:rPr>
        <w:t xml:space="preserve"> </w:t>
      </w:r>
      <w:r>
        <w:rPr>
          <w:color w:val="231F20"/>
        </w:rPr>
        <w:t>as</w:t>
      </w:r>
      <w:r>
        <w:rPr>
          <w:color w:val="231F20"/>
          <w:spacing w:val="-8"/>
        </w:rPr>
        <w:t xml:space="preserve"> </w:t>
      </w:r>
      <w:r>
        <w:rPr>
          <w:color w:val="231F20"/>
        </w:rPr>
        <w:t>contributions</w:t>
      </w:r>
      <w:r>
        <w:rPr>
          <w:color w:val="231F20"/>
          <w:spacing w:val="-8"/>
        </w:rPr>
        <w:t xml:space="preserve"> </w:t>
      </w:r>
      <w:r>
        <w:rPr>
          <w:color w:val="231F20"/>
        </w:rPr>
        <w:t>by</w:t>
      </w:r>
      <w:r>
        <w:rPr>
          <w:color w:val="231F20"/>
          <w:spacing w:val="-8"/>
        </w:rPr>
        <w:t xml:space="preserve"> </w:t>
      </w:r>
      <w:r>
        <w:rPr>
          <w:color w:val="231F20"/>
        </w:rPr>
        <w:t>owners.</w:t>
      </w:r>
      <w:r>
        <w:rPr>
          <w:color w:val="231F20"/>
          <w:spacing w:val="40"/>
        </w:rPr>
        <w:t xml:space="preserve"> </w:t>
      </w:r>
      <w:r>
        <w:rPr>
          <w:color w:val="231F20"/>
        </w:rPr>
        <w:t>Please</w:t>
      </w:r>
      <w:r>
        <w:rPr>
          <w:color w:val="231F20"/>
          <w:spacing w:val="-9"/>
        </w:rPr>
        <w:t xml:space="preserve"> </w:t>
      </w:r>
      <w:r>
        <w:rPr>
          <w:color w:val="231F20"/>
        </w:rPr>
        <w:t>refer</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Statement of Changes in Equity for details of movement in Contributed Capital during the financial year.</w:t>
      </w:r>
    </w:p>
    <w:p w14:paraId="27C3CFF4" w14:textId="77777777" w:rsidR="00345EE3" w:rsidRDefault="00345EE3">
      <w:pPr>
        <w:pStyle w:val="Heading5"/>
        <w:numPr>
          <w:ilvl w:val="2"/>
          <w:numId w:val="24"/>
        </w:numPr>
        <w:tabs>
          <w:tab w:val="left" w:pos="711"/>
        </w:tabs>
        <w:spacing w:before="174"/>
      </w:pPr>
      <w:r>
        <w:rPr>
          <w:color w:val="58595B"/>
        </w:rPr>
        <w:t>Cash</w:t>
      </w:r>
      <w:r>
        <w:rPr>
          <w:color w:val="58595B"/>
          <w:spacing w:val="-2"/>
        </w:rPr>
        <w:t xml:space="preserve"> </w:t>
      </w:r>
      <w:r>
        <w:rPr>
          <w:color w:val="58595B"/>
        </w:rPr>
        <w:t>flow</w:t>
      </w:r>
      <w:r>
        <w:rPr>
          <w:color w:val="58595B"/>
          <w:spacing w:val="-1"/>
        </w:rPr>
        <w:t xml:space="preserve"> </w:t>
      </w:r>
      <w:r>
        <w:rPr>
          <w:color w:val="58595B"/>
        </w:rPr>
        <w:t>hedge</w:t>
      </w:r>
      <w:r>
        <w:rPr>
          <w:color w:val="58595B"/>
          <w:spacing w:val="-1"/>
        </w:rPr>
        <w:t xml:space="preserve"> </w:t>
      </w:r>
      <w:r>
        <w:rPr>
          <w:color w:val="58595B"/>
          <w:spacing w:val="-2"/>
        </w:rPr>
        <w:t>reserve</w:t>
      </w:r>
    </w:p>
    <w:p w14:paraId="1E0D808F" w14:textId="77777777" w:rsidR="00345EE3" w:rsidRDefault="00345EE3" w:rsidP="00345EE3">
      <w:pPr>
        <w:pStyle w:val="BodyText"/>
        <w:spacing w:before="5" w:line="242" w:lineRule="auto"/>
      </w:pPr>
      <w:r>
        <w:rPr>
          <w:color w:val="231F20"/>
        </w:rPr>
        <w:t>Foreign</w:t>
      </w:r>
      <w:r>
        <w:rPr>
          <w:color w:val="231F20"/>
          <w:spacing w:val="-7"/>
        </w:rPr>
        <w:t xml:space="preserve"> </w:t>
      </w:r>
      <w:r>
        <w:rPr>
          <w:color w:val="231F20"/>
        </w:rPr>
        <w:t>currency</w:t>
      </w:r>
      <w:r>
        <w:rPr>
          <w:color w:val="231F20"/>
          <w:spacing w:val="-6"/>
        </w:rPr>
        <w:t xml:space="preserve"> </w:t>
      </w:r>
      <w:r>
        <w:rPr>
          <w:color w:val="231F20"/>
        </w:rPr>
        <w:t>translation</w:t>
      </w:r>
      <w:r>
        <w:rPr>
          <w:color w:val="231F20"/>
          <w:spacing w:val="-7"/>
        </w:rPr>
        <w:t xml:space="preserve"> </w:t>
      </w:r>
      <w:r>
        <w:rPr>
          <w:color w:val="231F20"/>
        </w:rPr>
        <w:t>differences</w:t>
      </w:r>
      <w:r>
        <w:rPr>
          <w:color w:val="231F20"/>
          <w:spacing w:val="-6"/>
        </w:rPr>
        <w:t xml:space="preserve"> </w:t>
      </w:r>
      <w:r>
        <w:rPr>
          <w:color w:val="231F20"/>
        </w:rPr>
        <w:t>are</w:t>
      </w:r>
      <w:r>
        <w:rPr>
          <w:color w:val="231F20"/>
          <w:spacing w:val="-7"/>
        </w:rPr>
        <w:t xml:space="preserve"> </w:t>
      </w:r>
      <w:r>
        <w:rPr>
          <w:color w:val="231F20"/>
        </w:rPr>
        <w:t>recognised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cash</w:t>
      </w:r>
      <w:r>
        <w:rPr>
          <w:color w:val="231F20"/>
          <w:spacing w:val="-7"/>
        </w:rPr>
        <w:t xml:space="preserve"> </w:t>
      </w:r>
      <w:r>
        <w:rPr>
          <w:color w:val="231F20"/>
        </w:rPr>
        <w:t>flow</w:t>
      </w:r>
      <w:r>
        <w:rPr>
          <w:color w:val="231F20"/>
          <w:spacing w:val="-7"/>
        </w:rPr>
        <w:t xml:space="preserve"> </w:t>
      </w:r>
      <w:r>
        <w:rPr>
          <w:color w:val="231F20"/>
        </w:rPr>
        <w:t>hedge</w:t>
      </w:r>
      <w:r>
        <w:rPr>
          <w:color w:val="231F20"/>
          <w:spacing w:val="-7"/>
        </w:rPr>
        <w:t xml:space="preserve"> </w:t>
      </w:r>
      <w:r>
        <w:rPr>
          <w:color w:val="231F20"/>
        </w:rPr>
        <w:t>reserves</w:t>
      </w:r>
      <w:r>
        <w:rPr>
          <w:color w:val="231F20"/>
          <w:spacing w:val="-6"/>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Statement</w:t>
      </w:r>
      <w:r>
        <w:rPr>
          <w:color w:val="231F20"/>
          <w:spacing w:val="-6"/>
        </w:rPr>
        <w:t xml:space="preserve"> </w:t>
      </w:r>
      <w:r>
        <w:rPr>
          <w:color w:val="231F20"/>
        </w:rPr>
        <w:t>of</w:t>
      </w:r>
      <w:r>
        <w:rPr>
          <w:color w:val="231F20"/>
          <w:spacing w:val="-6"/>
        </w:rPr>
        <w:t xml:space="preserve"> </w:t>
      </w:r>
      <w:r>
        <w:rPr>
          <w:color w:val="231F20"/>
        </w:rPr>
        <w:t>Changes</w:t>
      </w:r>
      <w:r>
        <w:rPr>
          <w:color w:val="231F20"/>
          <w:spacing w:val="-6"/>
        </w:rPr>
        <w:t xml:space="preserve"> </w:t>
      </w:r>
      <w:r>
        <w:rPr>
          <w:color w:val="231F20"/>
        </w:rPr>
        <w:t>in</w:t>
      </w:r>
      <w:r>
        <w:rPr>
          <w:color w:val="231F20"/>
          <w:spacing w:val="-7"/>
        </w:rPr>
        <w:t xml:space="preserve"> </w:t>
      </w:r>
      <w:r>
        <w:rPr>
          <w:color w:val="231F20"/>
        </w:rPr>
        <w:t>Equity</w:t>
      </w:r>
      <w:r>
        <w:rPr>
          <w:color w:val="231F20"/>
          <w:spacing w:val="-6"/>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period</w:t>
      </w:r>
      <w:r>
        <w:rPr>
          <w:color w:val="231F20"/>
          <w:spacing w:val="-7"/>
        </w:rPr>
        <w:t xml:space="preserve"> </w:t>
      </w:r>
      <w:r>
        <w:rPr>
          <w:color w:val="231F20"/>
        </w:rPr>
        <w:t>in which they arise.</w:t>
      </w:r>
    </w:p>
    <w:p w14:paraId="0709BB47" w14:textId="77777777" w:rsidR="00345EE3" w:rsidRDefault="00345EE3" w:rsidP="00345EE3">
      <w:pPr>
        <w:pStyle w:val="Heading5"/>
        <w:spacing w:before="229"/>
      </w:pPr>
      <w:r>
        <w:rPr>
          <w:color w:val="231F20"/>
        </w:rPr>
        <w:t>Hedging</w:t>
      </w:r>
      <w:r>
        <w:rPr>
          <w:color w:val="231F20"/>
          <w:spacing w:val="-2"/>
        </w:rPr>
        <w:t xml:space="preserve"> reserve</w:t>
      </w:r>
    </w:p>
    <w:p w14:paraId="1B6257A8" w14:textId="77777777" w:rsidR="00345EE3" w:rsidRDefault="00345EE3" w:rsidP="00345EE3">
      <w:pPr>
        <w:pStyle w:val="BodyText"/>
        <w:spacing w:before="61" w:line="242" w:lineRule="auto"/>
        <w:ind w:right="122"/>
      </w:pPr>
      <w:r>
        <w:rPr>
          <w:color w:val="231F20"/>
        </w:rPr>
        <w:t>The</w:t>
      </w:r>
      <w:r>
        <w:rPr>
          <w:color w:val="231F20"/>
          <w:spacing w:val="-1"/>
        </w:rPr>
        <w:t xml:space="preserve"> </w:t>
      </w:r>
      <w:r>
        <w:rPr>
          <w:color w:val="231F20"/>
        </w:rPr>
        <w:t>hedging</w:t>
      </w:r>
      <w:r>
        <w:rPr>
          <w:color w:val="231F20"/>
          <w:spacing w:val="-1"/>
        </w:rPr>
        <w:t xml:space="preserve"> </w:t>
      </w:r>
      <w:r>
        <w:rPr>
          <w:color w:val="231F20"/>
        </w:rPr>
        <w:t>reserve</w:t>
      </w:r>
      <w:r>
        <w:rPr>
          <w:color w:val="231F20"/>
          <w:spacing w:val="-1"/>
        </w:rPr>
        <w:t xml:space="preserve"> </w:t>
      </w:r>
      <w:r>
        <w:rPr>
          <w:color w:val="231F20"/>
        </w:rPr>
        <w:t>comprises the</w:t>
      </w:r>
      <w:r>
        <w:rPr>
          <w:color w:val="231F20"/>
          <w:spacing w:val="-1"/>
        </w:rPr>
        <w:t xml:space="preserve"> </w:t>
      </w:r>
      <w:r>
        <w:rPr>
          <w:color w:val="231F20"/>
        </w:rPr>
        <w:t>effective</w:t>
      </w:r>
      <w:r>
        <w:rPr>
          <w:color w:val="231F20"/>
          <w:spacing w:val="-1"/>
        </w:rPr>
        <w:t xml:space="preserve"> </w:t>
      </w:r>
      <w:r>
        <w:rPr>
          <w:color w:val="231F20"/>
        </w:rPr>
        <w:t>portion</w:t>
      </w:r>
      <w:r>
        <w:rPr>
          <w:color w:val="231F20"/>
          <w:spacing w:val="-1"/>
        </w:rPr>
        <w:t xml:space="preserve"> </w:t>
      </w:r>
      <w:r>
        <w:rPr>
          <w:color w:val="231F20"/>
        </w:rPr>
        <w:t>of the</w:t>
      </w:r>
      <w:r>
        <w:rPr>
          <w:color w:val="231F20"/>
          <w:spacing w:val="-1"/>
        </w:rPr>
        <w:t xml:space="preserve"> </w:t>
      </w:r>
      <w:r>
        <w:rPr>
          <w:color w:val="231F20"/>
        </w:rPr>
        <w:t>cumulative</w:t>
      </w:r>
      <w:r>
        <w:rPr>
          <w:color w:val="231F20"/>
          <w:spacing w:val="-1"/>
        </w:rPr>
        <w:t xml:space="preserve"> </w:t>
      </w:r>
      <w:r>
        <w:rPr>
          <w:color w:val="231F20"/>
        </w:rPr>
        <w:t>net change</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fair value</w:t>
      </w:r>
      <w:r>
        <w:rPr>
          <w:color w:val="231F20"/>
          <w:spacing w:val="-1"/>
        </w:rPr>
        <w:t xml:space="preserve"> </w:t>
      </w:r>
      <w:r>
        <w:rPr>
          <w:color w:val="231F20"/>
        </w:rPr>
        <w:t>of hedging</w:t>
      </w:r>
      <w:r>
        <w:rPr>
          <w:color w:val="231F20"/>
          <w:spacing w:val="-1"/>
        </w:rPr>
        <w:t xml:space="preserve"> </w:t>
      </w:r>
      <w:r>
        <w:rPr>
          <w:color w:val="231F20"/>
        </w:rPr>
        <w:t>instruments used</w:t>
      </w:r>
      <w:r>
        <w:rPr>
          <w:color w:val="231F20"/>
          <w:spacing w:val="-1"/>
        </w:rPr>
        <w:t xml:space="preserve"> </w:t>
      </w:r>
      <w:r>
        <w:rPr>
          <w:color w:val="231F20"/>
        </w:rPr>
        <w:t>in</w:t>
      </w:r>
      <w:r>
        <w:rPr>
          <w:color w:val="231F20"/>
          <w:spacing w:val="-1"/>
        </w:rPr>
        <w:t xml:space="preserve"> </w:t>
      </w:r>
      <w:r>
        <w:rPr>
          <w:color w:val="231F20"/>
        </w:rPr>
        <w:t>cash</w:t>
      </w:r>
      <w:r>
        <w:rPr>
          <w:color w:val="231F20"/>
          <w:spacing w:val="-1"/>
        </w:rPr>
        <w:t xml:space="preserve"> </w:t>
      </w:r>
      <w:r>
        <w:rPr>
          <w:color w:val="231F20"/>
        </w:rPr>
        <w:t>flow hedges</w:t>
      </w:r>
      <w:r>
        <w:rPr>
          <w:color w:val="231F20"/>
          <w:spacing w:val="-6"/>
        </w:rPr>
        <w:t xml:space="preserve"> </w:t>
      </w:r>
      <w:r>
        <w:rPr>
          <w:color w:val="231F20"/>
        </w:rPr>
        <w:t>pending</w:t>
      </w:r>
      <w:r>
        <w:rPr>
          <w:color w:val="231F20"/>
          <w:spacing w:val="-7"/>
        </w:rPr>
        <w:t xml:space="preserve"> </w:t>
      </w:r>
      <w:r>
        <w:rPr>
          <w:color w:val="231F20"/>
        </w:rPr>
        <w:t>subsequent</w:t>
      </w:r>
      <w:r>
        <w:rPr>
          <w:color w:val="231F20"/>
          <w:spacing w:val="-6"/>
        </w:rPr>
        <w:t xml:space="preserve"> </w:t>
      </w:r>
      <w:r>
        <w:rPr>
          <w:color w:val="231F20"/>
        </w:rPr>
        <w:t>recognition</w:t>
      </w:r>
      <w:r>
        <w:rPr>
          <w:color w:val="231F20"/>
          <w:spacing w:val="-7"/>
        </w:rPr>
        <w:t xml:space="preserve"> </w:t>
      </w:r>
      <w:r>
        <w:rPr>
          <w:color w:val="231F20"/>
        </w:rPr>
        <w:t>in</w:t>
      </w:r>
      <w:r>
        <w:rPr>
          <w:color w:val="231F20"/>
          <w:spacing w:val="-7"/>
        </w:rPr>
        <w:t xml:space="preserve"> </w:t>
      </w:r>
      <w:r>
        <w:rPr>
          <w:color w:val="231F20"/>
        </w:rPr>
        <w:t>profit</w:t>
      </w:r>
      <w:r>
        <w:rPr>
          <w:color w:val="231F20"/>
          <w:spacing w:val="-6"/>
        </w:rPr>
        <w:t xml:space="preserve"> </w:t>
      </w:r>
      <w:r>
        <w:rPr>
          <w:color w:val="231F20"/>
        </w:rPr>
        <w:t>or</w:t>
      </w:r>
      <w:r>
        <w:rPr>
          <w:color w:val="231F20"/>
          <w:spacing w:val="-6"/>
        </w:rPr>
        <w:t xml:space="preserve"> </w:t>
      </w:r>
      <w:r>
        <w:rPr>
          <w:color w:val="231F20"/>
        </w:rPr>
        <w:t>loss</w:t>
      </w:r>
      <w:r>
        <w:rPr>
          <w:color w:val="231F20"/>
          <w:spacing w:val="-6"/>
        </w:rPr>
        <w:t xml:space="preserve"> </w:t>
      </w:r>
      <w:r>
        <w:rPr>
          <w:color w:val="231F20"/>
        </w:rPr>
        <w:t>or</w:t>
      </w:r>
      <w:r>
        <w:rPr>
          <w:color w:val="231F20"/>
          <w:spacing w:val="-6"/>
        </w:rPr>
        <w:t xml:space="preserve"> </w:t>
      </w:r>
      <w:r>
        <w:rPr>
          <w:color w:val="231F20"/>
        </w:rPr>
        <w:t>directly</w:t>
      </w:r>
      <w:r>
        <w:rPr>
          <w:color w:val="231F20"/>
          <w:spacing w:val="-6"/>
        </w:rPr>
        <w:t xml:space="preserve"> </w:t>
      </w:r>
      <w:r>
        <w:rPr>
          <w:color w:val="231F20"/>
        </w:rPr>
        <w:t>included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initial</w:t>
      </w:r>
      <w:r>
        <w:rPr>
          <w:color w:val="231F20"/>
          <w:spacing w:val="-7"/>
        </w:rPr>
        <w:t xml:space="preserve"> </w:t>
      </w:r>
      <w:r>
        <w:rPr>
          <w:color w:val="231F20"/>
        </w:rPr>
        <w:t>cost</w:t>
      </w:r>
      <w:r>
        <w:rPr>
          <w:color w:val="231F20"/>
          <w:spacing w:val="-6"/>
        </w:rPr>
        <w:t xml:space="preserve"> </w:t>
      </w:r>
      <w:r>
        <w:rPr>
          <w:color w:val="231F20"/>
        </w:rPr>
        <w:t>or</w:t>
      </w:r>
      <w:r>
        <w:rPr>
          <w:color w:val="231F20"/>
          <w:spacing w:val="-6"/>
        </w:rPr>
        <w:t xml:space="preserve"> </w:t>
      </w:r>
      <w:r>
        <w:rPr>
          <w:color w:val="231F20"/>
        </w:rPr>
        <w:t>other</w:t>
      </w:r>
      <w:r>
        <w:rPr>
          <w:color w:val="231F20"/>
          <w:spacing w:val="-6"/>
        </w:rPr>
        <w:t xml:space="preserve"> </w:t>
      </w:r>
      <w:r>
        <w:rPr>
          <w:color w:val="231F20"/>
        </w:rPr>
        <w:t>carrying</w:t>
      </w:r>
      <w:r>
        <w:rPr>
          <w:color w:val="231F20"/>
          <w:spacing w:val="-7"/>
        </w:rPr>
        <w:t xml:space="preserve"> </w:t>
      </w:r>
      <w:r>
        <w:rPr>
          <w:color w:val="231F20"/>
        </w:rPr>
        <w:t>amount</w:t>
      </w:r>
      <w:r>
        <w:rPr>
          <w:color w:val="231F20"/>
          <w:spacing w:val="-6"/>
        </w:rPr>
        <w:t xml:space="preserve"> </w:t>
      </w:r>
      <w:r>
        <w:rPr>
          <w:color w:val="231F20"/>
        </w:rPr>
        <w:t>of</w:t>
      </w:r>
      <w:r>
        <w:rPr>
          <w:color w:val="231F20"/>
          <w:spacing w:val="-6"/>
        </w:rPr>
        <w:t xml:space="preserve"> </w:t>
      </w:r>
      <w:r>
        <w:rPr>
          <w:color w:val="231F20"/>
        </w:rPr>
        <w:t>a</w:t>
      </w:r>
      <w:r>
        <w:rPr>
          <w:color w:val="231F20"/>
          <w:spacing w:val="-7"/>
        </w:rPr>
        <w:t xml:space="preserve"> </w:t>
      </w:r>
      <w:r>
        <w:rPr>
          <w:color w:val="231F20"/>
        </w:rPr>
        <w:t>non-financial</w:t>
      </w:r>
      <w:r>
        <w:rPr>
          <w:color w:val="231F20"/>
          <w:spacing w:val="-7"/>
        </w:rPr>
        <w:t xml:space="preserve"> </w:t>
      </w:r>
      <w:r>
        <w:rPr>
          <w:color w:val="231F20"/>
        </w:rPr>
        <w:t>asset</w:t>
      </w:r>
      <w:r>
        <w:rPr>
          <w:color w:val="231F20"/>
          <w:spacing w:val="-6"/>
        </w:rPr>
        <w:t xml:space="preserve"> </w:t>
      </w:r>
      <w:r>
        <w:rPr>
          <w:color w:val="231F20"/>
        </w:rPr>
        <w:t>or non-financial liability.</w:t>
      </w:r>
    </w:p>
    <w:p w14:paraId="26C978BD" w14:textId="77777777" w:rsidR="00345EE3" w:rsidRDefault="00345EE3" w:rsidP="00345EE3">
      <w:pPr>
        <w:pStyle w:val="Heading5"/>
        <w:spacing w:before="231"/>
      </w:pPr>
      <w:r>
        <w:rPr>
          <w:color w:val="231F20"/>
        </w:rPr>
        <w:t>Cost</w:t>
      </w:r>
      <w:r>
        <w:rPr>
          <w:color w:val="231F20"/>
          <w:spacing w:val="-3"/>
        </w:rPr>
        <w:t xml:space="preserve"> </w:t>
      </w:r>
      <w:r>
        <w:rPr>
          <w:color w:val="231F20"/>
        </w:rPr>
        <w:t>of</w:t>
      </w:r>
      <w:r>
        <w:rPr>
          <w:color w:val="231F20"/>
          <w:spacing w:val="-2"/>
        </w:rPr>
        <w:t xml:space="preserve"> </w:t>
      </w:r>
      <w:r>
        <w:rPr>
          <w:color w:val="231F20"/>
        </w:rPr>
        <w:t>hedging</w:t>
      </w:r>
      <w:r>
        <w:rPr>
          <w:color w:val="231F20"/>
          <w:spacing w:val="-2"/>
        </w:rPr>
        <w:t xml:space="preserve"> reserve</w:t>
      </w:r>
    </w:p>
    <w:p w14:paraId="1A29A0B0" w14:textId="77777777" w:rsidR="00345EE3" w:rsidRDefault="00345EE3" w:rsidP="00345EE3">
      <w:pPr>
        <w:pStyle w:val="BodyText"/>
        <w:spacing w:before="60" w:line="242" w:lineRule="auto"/>
      </w:pPr>
      <w:r>
        <w:rPr>
          <w:color w:val="231F20"/>
        </w:rPr>
        <w:t>The</w:t>
      </w:r>
      <w:r>
        <w:rPr>
          <w:color w:val="231F20"/>
          <w:spacing w:val="-1"/>
        </w:rPr>
        <w:t xml:space="preserve"> </w:t>
      </w:r>
      <w:r>
        <w:rPr>
          <w:color w:val="231F20"/>
        </w:rPr>
        <w:t>cost of hedging</w:t>
      </w:r>
      <w:r>
        <w:rPr>
          <w:color w:val="231F20"/>
          <w:spacing w:val="-1"/>
        </w:rPr>
        <w:t xml:space="preserve"> </w:t>
      </w:r>
      <w:r>
        <w:rPr>
          <w:color w:val="231F20"/>
        </w:rPr>
        <w:t>reserve</w:t>
      </w:r>
      <w:r>
        <w:rPr>
          <w:color w:val="231F20"/>
          <w:spacing w:val="-1"/>
        </w:rPr>
        <w:t xml:space="preserve"> </w:t>
      </w:r>
      <w:r>
        <w:rPr>
          <w:color w:val="231F20"/>
        </w:rPr>
        <w:t>reflects gain</w:t>
      </w:r>
      <w:r>
        <w:rPr>
          <w:color w:val="231F20"/>
          <w:spacing w:val="-1"/>
        </w:rPr>
        <w:t xml:space="preserve"> </w:t>
      </w:r>
      <w:r>
        <w:rPr>
          <w:color w:val="231F20"/>
        </w:rPr>
        <w:t>or loss on</w:t>
      </w:r>
      <w:r>
        <w:rPr>
          <w:color w:val="231F20"/>
          <w:spacing w:val="-1"/>
        </w:rPr>
        <w:t xml:space="preserve"> </w:t>
      </w:r>
      <w:r>
        <w:rPr>
          <w:color w:val="231F20"/>
        </w:rPr>
        <w:t>the</w:t>
      </w:r>
      <w:r>
        <w:rPr>
          <w:color w:val="231F20"/>
          <w:spacing w:val="-1"/>
        </w:rPr>
        <w:t xml:space="preserve"> </w:t>
      </w:r>
      <w:r>
        <w:rPr>
          <w:color w:val="231F20"/>
        </w:rPr>
        <w:t>portion</w:t>
      </w:r>
      <w:r>
        <w:rPr>
          <w:color w:val="231F20"/>
          <w:spacing w:val="-1"/>
        </w:rPr>
        <w:t xml:space="preserve"> </w:t>
      </w:r>
      <w:r>
        <w:rPr>
          <w:color w:val="231F20"/>
        </w:rPr>
        <w:t>excluded</w:t>
      </w:r>
      <w:r>
        <w:rPr>
          <w:color w:val="231F20"/>
          <w:spacing w:val="-1"/>
        </w:rPr>
        <w:t xml:space="preserve"> </w:t>
      </w:r>
      <w:r>
        <w:rPr>
          <w:color w:val="231F20"/>
        </w:rPr>
        <w:t>from the</w:t>
      </w:r>
      <w:r>
        <w:rPr>
          <w:color w:val="231F20"/>
          <w:spacing w:val="-1"/>
        </w:rPr>
        <w:t xml:space="preserve"> </w:t>
      </w:r>
      <w:r>
        <w:rPr>
          <w:color w:val="231F20"/>
        </w:rPr>
        <w:t>designated</w:t>
      </w:r>
      <w:r>
        <w:rPr>
          <w:color w:val="231F20"/>
          <w:spacing w:val="-1"/>
        </w:rPr>
        <w:t xml:space="preserve"> </w:t>
      </w:r>
      <w:r>
        <w:rPr>
          <w:color w:val="231F20"/>
        </w:rPr>
        <w:t>hedging</w:t>
      </w:r>
      <w:r>
        <w:rPr>
          <w:color w:val="231F20"/>
          <w:spacing w:val="-1"/>
        </w:rPr>
        <w:t xml:space="preserve"> </w:t>
      </w:r>
      <w:r>
        <w:rPr>
          <w:color w:val="231F20"/>
        </w:rPr>
        <w:t>instrument that relates to</w:t>
      </w:r>
      <w:r>
        <w:rPr>
          <w:color w:val="231F20"/>
          <w:spacing w:val="-1"/>
        </w:rPr>
        <w:t xml:space="preserve"> </w:t>
      </w:r>
      <w:r>
        <w:rPr>
          <w:color w:val="231F20"/>
        </w:rPr>
        <w:t>the</w:t>
      </w:r>
      <w:r>
        <w:rPr>
          <w:color w:val="231F20"/>
          <w:spacing w:val="-1"/>
        </w:rPr>
        <w:t xml:space="preserve"> </w:t>
      </w:r>
      <w:r>
        <w:rPr>
          <w:color w:val="231F20"/>
        </w:rPr>
        <w:t>forward element</w:t>
      </w:r>
      <w:r>
        <w:rPr>
          <w:color w:val="231F20"/>
          <w:spacing w:val="-7"/>
        </w:rPr>
        <w:t xml:space="preserve"> </w:t>
      </w:r>
      <w:r>
        <w:rPr>
          <w:color w:val="231F20"/>
        </w:rPr>
        <w:t>of</w:t>
      </w:r>
      <w:r>
        <w:rPr>
          <w:color w:val="231F20"/>
          <w:spacing w:val="-7"/>
        </w:rPr>
        <w:t xml:space="preserve"> </w:t>
      </w:r>
      <w:r>
        <w:rPr>
          <w:color w:val="231F20"/>
        </w:rPr>
        <w:t>forward</w:t>
      </w:r>
      <w:r>
        <w:rPr>
          <w:color w:val="231F20"/>
          <w:spacing w:val="-8"/>
        </w:rPr>
        <w:t xml:space="preserve"> </w:t>
      </w:r>
      <w:r>
        <w:rPr>
          <w:color w:val="231F20"/>
        </w:rPr>
        <w:t>contracts</w:t>
      </w:r>
      <w:r>
        <w:rPr>
          <w:color w:val="231F20"/>
          <w:spacing w:val="-7"/>
        </w:rPr>
        <w:t xml:space="preserve"> </w:t>
      </w:r>
      <w:r>
        <w:rPr>
          <w:color w:val="231F20"/>
        </w:rPr>
        <w:t>and</w:t>
      </w:r>
      <w:r>
        <w:rPr>
          <w:color w:val="231F20"/>
          <w:spacing w:val="-8"/>
        </w:rPr>
        <w:t xml:space="preserve"> </w:t>
      </w:r>
      <w:r>
        <w:rPr>
          <w:color w:val="231F20"/>
        </w:rPr>
        <w:t>changes</w:t>
      </w:r>
      <w:r>
        <w:rPr>
          <w:color w:val="231F20"/>
          <w:spacing w:val="-7"/>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time</w:t>
      </w:r>
      <w:r>
        <w:rPr>
          <w:color w:val="231F20"/>
          <w:spacing w:val="-8"/>
        </w:rPr>
        <w:t xml:space="preserve"> </w:t>
      </w:r>
      <w:r>
        <w:rPr>
          <w:color w:val="231F20"/>
        </w:rPr>
        <w:t>value</w:t>
      </w:r>
      <w:r>
        <w:rPr>
          <w:color w:val="231F20"/>
          <w:spacing w:val="-8"/>
        </w:rPr>
        <w:t xml:space="preserve"> </w:t>
      </w:r>
      <w:r>
        <w:rPr>
          <w:color w:val="231F20"/>
        </w:rPr>
        <w:t>of</w:t>
      </w:r>
      <w:r>
        <w:rPr>
          <w:color w:val="231F20"/>
          <w:spacing w:val="-7"/>
        </w:rPr>
        <w:t xml:space="preserve"> </w:t>
      </w:r>
      <w:r>
        <w:rPr>
          <w:color w:val="231F20"/>
        </w:rPr>
        <w:t>options.</w:t>
      </w:r>
      <w:r>
        <w:rPr>
          <w:color w:val="231F20"/>
          <w:spacing w:val="-7"/>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initially</w:t>
      </w:r>
      <w:r>
        <w:rPr>
          <w:color w:val="231F20"/>
          <w:spacing w:val="-7"/>
        </w:rPr>
        <w:t xml:space="preserve"> </w:t>
      </w:r>
      <w:r>
        <w:rPr>
          <w:color w:val="231F20"/>
        </w:rPr>
        <w:t>recognised</w:t>
      </w:r>
      <w:r>
        <w:rPr>
          <w:color w:val="231F20"/>
          <w:spacing w:val="-8"/>
        </w:rPr>
        <w:t xml:space="preserve"> </w:t>
      </w:r>
      <w:r>
        <w:rPr>
          <w:color w:val="231F20"/>
        </w:rPr>
        <w:t>in</w:t>
      </w:r>
      <w:r>
        <w:rPr>
          <w:color w:val="231F20"/>
          <w:spacing w:val="-8"/>
        </w:rPr>
        <w:t xml:space="preserve"> </w:t>
      </w:r>
      <w:r>
        <w:rPr>
          <w:color w:val="231F20"/>
        </w:rPr>
        <w:t>Statement</w:t>
      </w:r>
      <w:r>
        <w:rPr>
          <w:color w:val="231F20"/>
          <w:spacing w:val="-7"/>
        </w:rPr>
        <w:t xml:space="preserve"> </w:t>
      </w:r>
      <w:r>
        <w:rPr>
          <w:color w:val="231F20"/>
        </w:rPr>
        <w:t>of</w:t>
      </w:r>
      <w:r>
        <w:rPr>
          <w:color w:val="231F20"/>
          <w:spacing w:val="-7"/>
        </w:rPr>
        <w:t xml:space="preserve"> </w:t>
      </w:r>
      <w:r>
        <w:rPr>
          <w:color w:val="231F20"/>
        </w:rPr>
        <w:t>Changes</w:t>
      </w:r>
      <w:r>
        <w:rPr>
          <w:color w:val="231F20"/>
          <w:spacing w:val="-7"/>
        </w:rPr>
        <w:t xml:space="preserve"> </w:t>
      </w:r>
      <w:r>
        <w:rPr>
          <w:color w:val="231F20"/>
        </w:rPr>
        <w:t>in</w:t>
      </w:r>
      <w:r>
        <w:rPr>
          <w:color w:val="231F20"/>
          <w:spacing w:val="-8"/>
        </w:rPr>
        <w:t xml:space="preserve"> </w:t>
      </w:r>
      <w:r>
        <w:rPr>
          <w:color w:val="231F20"/>
        </w:rPr>
        <w:t>Equity</w:t>
      </w:r>
      <w:r>
        <w:rPr>
          <w:color w:val="231F20"/>
          <w:spacing w:val="-7"/>
        </w:rPr>
        <w:t xml:space="preserve"> </w:t>
      </w:r>
      <w:r>
        <w:rPr>
          <w:color w:val="231F20"/>
        </w:rPr>
        <w:t>and</w:t>
      </w:r>
      <w:r>
        <w:rPr>
          <w:color w:val="231F20"/>
          <w:spacing w:val="-8"/>
        </w:rPr>
        <w:t xml:space="preserve"> </w:t>
      </w:r>
      <w:r>
        <w:rPr>
          <w:color w:val="231F20"/>
        </w:rPr>
        <w:t>accounted for similarly to gains or losses in the hedging reserve.</w:t>
      </w:r>
    </w:p>
    <w:p w14:paraId="4A0631FD" w14:textId="77777777" w:rsidR="00345EE3" w:rsidRDefault="00345EE3" w:rsidP="00345EE3">
      <w:pPr>
        <w:spacing w:line="242" w:lineRule="auto"/>
        <w:sectPr w:rsidR="00345EE3">
          <w:pgSz w:w="16840" w:h="11910" w:orient="landscape"/>
          <w:pgMar w:top="720" w:right="740" w:bottom="280" w:left="740" w:header="720" w:footer="720" w:gutter="0"/>
          <w:cols w:space="720"/>
        </w:sectPr>
      </w:pPr>
    </w:p>
    <w:p w14:paraId="6AB89DA2" w14:textId="77777777" w:rsidR="00345EE3" w:rsidRDefault="00345EE3" w:rsidP="002A27BA">
      <w:pPr>
        <w:pStyle w:val="Heading3"/>
        <w:numPr>
          <w:ilvl w:val="1"/>
          <w:numId w:val="24"/>
        </w:numPr>
      </w:pPr>
      <w:r>
        <w:t>Commitments</w:t>
      </w:r>
      <w:r>
        <w:rPr>
          <w:spacing w:val="-3"/>
        </w:rPr>
        <w:t xml:space="preserve"> </w:t>
      </w:r>
      <w:r>
        <w:t>For</w:t>
      </w:r>
      <w:r>
        <w:rPr>
          <w:spacing w:val="-3"/>
        </w:rPr>
        <w:t xml:space="preserve"> </w:t>
      </w:r>
      <w:r>
        <w:rPr>
          <w:spacing w:val="-2"/>
        </w:rPr>
        <w:t>Expenditure</w:t>
      </w:r>
    </w:p>
    <w:p w14:paraId="4784512D" w14:textId="77777777" w:rsidR="00345EE3" w:rsidRDefault="00345EE3" w:rsidP="00345EE3">
      <w:pPr>
        <w:pStyle w:val="BodyText"/>
        <w:spacing w:before="52" w:line="242" w:lineRule="auto"/>
        <w:ind w:right="642"/>
      </w:pPr>
      <w:r>
        <w:rPr>
          <w:color w:val="231F20"/>
        </w:rPr>
        <w:t>Commitments for future expenditure include operating and capital commitments arising from</w:t>
      </w:r>
      <w:r>
        <w:rPr>
          <w:color w:val="231F20"/>
          <w:spacing w:val="-8"/>
        </w:rPr>
        <w:t xml:space="preserve"> </w:t>
      </w:r>
      <w:r>
        <w:rPr>
          <w:color w:val="231F20"/>
        </w:rPr>
        <w:t>contracts.</w:t>
      </w:r>
      <w:r>
        <w:rPr>
          <w:color w:val="231F20"/>
          <w:spacing w:val="-8"/>
        </w:rPr>
        <w:t xml:space="preserve"> </w:t>
      </w:r>
      <w:r>
        <w:rPr>
          <w:color w:val="231F20"/>
        </w:rPr>
        <w:t>These</w:t>
      </w:r>
      <w:r>
        <w:rPr>
          <w:color w:val="231F20"/>
          <w:spacing w:val="-9"/>
        </w:rPr>
        <w:t xml:space="preserve"> </w:t>
      </w:r>
      <w:r>
        <w:rPr>
          <w:color w:val="231F20"/>
        </w:rPr>
        <w:t>commitments</w:t>
      </w:r>
      <w:r>
        <w:rPr>
          <w:color w:val="231F20"/>
          <w:spacing w:val="-8"/>
        </w:rPr>
        <w:t xml:space="preserve"> </w:t>
      </w:r>
      <w:r>
        <w:rPr>
          <w:color w:val="231F20"/>
        </w:rPr>
        <w:t>are</w:t>
      </w:r>
      <w:r>
        <w:rPr>
          <w:color w:val="231F20"/>
          <w:spacing w:val="-9"/>
        </w:rPr>
        <w:t xml:space="preserve"> </w:t>
      </w:r>
      <w:r>
        <w:rPr>
          <w:color w:val="231F20"/>
        </w:rPr>
        <w:t>recorded</w:t>
      </w:r>
      <w:r>
        <w:rPr>
          <w:color w:val="231F20"/>
          <w:spacing w:val="-9"/>
        </w:rPr>
        <w:t xml:space="preserve"> </w:t>
      </w:r>
      <w:r>
        <w:rPr>
          <w:color w:val="231F20"/>
        </w:rPr>
        <w:t>at</w:t>
      </w:r>
      <w:r>
        <w:rPr>
          <w:color w:val="231F20"/>
          <w:spacing w:val="-8"/>
        </w:rPr>
        <w:t xml:space="preserve"> </w:t>
      </w:r>
      <w:r>
        <w:rPr>
          <w:color w:val="231F20"/>
        </w:rPr>
        <w:t>their</w:t>
      </w:r>
      <w:r>
        <w:rPr>
          <w:color w:val="231F20"/>
          <w:spacing w:val="-8"/>
        </w:rPr>
        <w:t xml:space="preserve"> </w:t>
      </w:r>
      <w:r>
        <w:rPr>
          <w:color w:val="231F20"/>
        </w:rPr>
        <w:t>nominal</w:t>
      </w:r>
      <w:r>
        <w:rPr>
          <w:color w:val="231F20"/>
          <w:spacing w:val="-9"/>
        </w:rPr>
        <w:t xml:space="preserve"> </w:t>
      </w:r>
      <w:r>
        <w:rPr>
          <w:color w:val="231F20"/>
        </w:rPr>
        <w:t>value</w:t>
      </w:r>
      <w:r>
        <w:rPr>
          <w:color w:val="231F20"/>
          <w:spacing w:val="-9"/>
        </w:rPr>
        <w:t xml:space="preserve"> </w:t>
      </w:r>
      <w:r>
        <w:rPr>
          <w:color w:val="231F20"/>
        </w:rPr>
        <w:t>and</w:t>
      </w:r>
      <w:r>
        <w:rPr>
          <w:color w:val="231F20"/>
          <w:spacing w:val="-9"/>
        </w:rPr>
        <w:t xml:space="preserve"> </w:t>
      </w:r>
      <w:r>
        <w:rPr>
          <w:color w:val="231F20"/>
        </w:rPr>
        <w:t>inclusive</w:t>
      </w:r>
      <w:r>
        <w:rPr>
          <w:color w:val="231F20"/>
          <w:spacing w:val="-9"/>
        </w:rPr>
        <w:t xml:space="preserve"> </w:t>
      </w:r>
      <w:r>
        <w:rPr>
          <w:color w:val="231F20"/>
        </w:rPr>
        <w:t>of</w:t>
      </w:r>
      <w:r>
        <w:rPr>
          <w:color w:val="231F20"/>
          <w:spacing w:val="-8"/>
        </w:rPr>
        <w:t xml:space="preserve"> </w:t>
      </w:r>
      <w:r>
        <w:rPr>
          <w:color w:val="231F20"/>
        </w:rPr>
        <w:t>the</w:t>
      </w:r>
    </w:p>
    <w:p w14:paraId="3A2B18D2" w14:textId="77777777" w:rsidR="00345EE3" w:rsidRDefault="00345EE3" w:rsidP="00345EE3">
      <w:pPr>
        <w:pStyle w:val="BodyText"/>
        <w:spacing w:before="2" w:line="242" w:lineRule="auto"/>
      </w:pPr>
      <w:r>
        <w:rPr>
          <w:color w:val="231F20"/>
        </w:rPr>
        <w:t>Goods</w:t>
      </w:r>
      <w:r>
        <w:rPr>
          <w:color w:val="231F20"/>
          <w:spacing w:val="-10"/>
        </w:rPr>
        <w:t xml:space="preserve"> </w:t>
      </w:r>
      <w:r>
        <w:rPr>
          <w:color w:val="231F20"/>
        </w:rPr>
        <w:t>and</w:t>
      </w:r>
      <w:r>
        <w:rPr>
          <w:color w:val="231F20"/>
          <w:spacing w:val="-11"/>
        </w:rPr>
        <w:t xml:space="preserve"> </w:t>
      </w:r>
      <w:r>
        <w:rPr>
          <w:color w:val="231F20"/>
        </w:rPr>
        <w:t>Services</w:t>
      </w:r>
      <w:r>
        <w:rPr>
          <w:color w:val="231F20"/>
          <w:spacing w:val="-10"/>
        </w:rPr>
        <w:t xml:space="preserve"> </w:t>
      </w:r>
      <w:r>
        <w:rPr>
          <w:color w:val="231F20"/>
        </w:rPr>
        <w:t>Tax</w:t>
      </w:r>
      <w:r>
        <w:rPr>
          <w:color w:val="231F20"/>
          <w:spacing w:val="-10"/>
        </w:rPr>
        <w:t xml:space="preserve"> </w:t>
      </w:r>
      <w:r>
        <w:rPr>
          <w:color w:val="231F20"/>
        </w:rPr>
        <w:t>(GST)</w:t>
      </w:r>
      <w:r>
        <w:rPr>
          <w:color w:val="231F20"/>
          <w:spacing w:val="-10"/>
        </w:rPr>
        <w:t xml:space="preserve"> </w:t>
      </w:r>
      <w:r>
        <w:rPr>
          <w:color w:val="231F20"/>
        </w:rPr>
        <w:t>payable.</w:t>
      </w:r>
      <w:r>
        <w:rPr>
          <w:color w:val="231F20"/>
          <w:spacing w:val="-10"/>
        </w:rPr>
        <w:t xml:space="preserve"> </w:t>
      </w:r>
      <w:r>
        <w:rPr>
          <w:color w:val="231F20"/>
        </w:rPr>
        <w:t>These</w:t>
      </w:r>
      <w:r>
        <w:rPr>
          <w:color w:val="231F20"/>
          <w:spacing w:val="-11"/>
        </w:rPr>
        <w:t xml:space="preserve"> </w:t>
      </w:r>
      <w:r>
        <w:rPr>
          <w:color w:val="231F20"/>
        </w:rPr>
        <w:t>future</w:t>
      </w:r>
      <w:r>
        <w:rPr>
          <w:color w:val="231F20"/>
          <w:spacing w:val="-11"/>
        </w:rPr>
        <w:t xml:space="preserve"> </w:t>
      </w:r>
      <w:r>
        <w:rPr>
          <w:color w:val="231F20"/>
        </w:rPr>
        <w:t>expenditures</w:t>
      </w:r>
      <w:r>
        <w:rPr>
          <w:color w:val="231F20"/>
          <w:spacing w:val="-10"/>
        </w:rPr>
        <w:t xml:space="preserve"> </w:t>
      </w:r>
      <w:r>
        <w:rPr>
          <w:color w:val="231F20"/>
        </w:rPr>
        <w:t>cease</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disclosed</w:t>
      </w:r>
      <w:r>
        <w:rPr>
          <w:color w:val="231F20"/>
          <w:spacing w:val="-11"/>
        </w:rPr>
        <w:t xml:space="preserve"> </w:t>
      </w:r>
      <w:r>
        <w:rPr>
          <w:color w:val="231F20"/>
        </w:rPr>
        <w:t>as commitments once the related liabilities are recognised in the Balance Sheet.</w:t>
      </w:r>
    </w:p>
    <w:p w14:paraId="2263F23A" w14:textId="77777777" w:rsidR="00345EE3" w:rsidRDefault="00345EE3">
      <w:pPr>
        <w:pStyle w:val="ListParagraph"/>
        <w:numPr>
          <w:ilvl w:val="2"/>
          <w:numId w:val="24"/>
        </w:numPr>
        <w:tabs>
          <w:tab w:val="left" w:pos="711"/>
        </w:tabs>
        <w:spacing w:before="173"/>
        <w:rPr>
          <w:b/>
          <w:sz w:val="24"/>
        </w:rPr>
      </w:pPr>
      <w:r>
        <w:rPr>
          <w:b/>
          <w:color w:val="58595B"/>
          <w:sz w:val="24"/>
        </w:rPr>
        <w:t>Total</w:t>
      </w:r>
      <w:r>
        <w:rPr>
          <w:b/>
          <w:color w:val="58595B"/>
          <w:spacing w:val="-15"/>
          <w:sz w:val="24"/>
        </w:rPr>
        <w:t xml:space="preserve"> </w:t>
      </w:r>
      <w:r>
        <w:rPr>
          <w:b/>
          <w:color w:val="58595B"/>
          <w:sz w:val="24"/>
        </w:rPr>
        <w:t>commitments</w:t>
      </w:r>
      <w:r>
        <w:rPr>
          <w:b/>
          <w:color w:val="58595B"/>
          <w:spacing w:val="-14"/>
          <w:sz w:val="24"/>
        </w:rPr>
        <w:t xml:space="preserve"> </w:t>
      </w:r>
      <w:r>
        <w:rPr>
          <w:b/>
          <w:color w:val="58595B"/>
          <w:spacing w:val="-2"/>
          <w:sz w:val="24"/>
        </w:rPr>
        <w:t>payable</w:t>
      </w:r>
    </w:p>
    <w:tbl>
      <w:tblPr>
        <w:tblW w:w="0" w:type="auto"/>
        <w:tblInd w:w="156" w:type="dxa"/>
        <w:tblLayout w:type="fixed"/>
        <w:tblCellMar>
          <w:left w:w="0" w:type="dxa"/>
          <w:right w:w="0" w:type="dxa"/>
        </w:tblCellMar>
        <w:tblLook w:val="0000" w:firstRow="0" w:lastRow="0" w:firstColumn="0" w:lastColumn="0" w:noHBand="0" w:noVBand="0"/>
      </w:tblPr>
      <w:tblGrid>
        <w:gridCol w:w="5669"/>
        <w:gridCol w:w="1134"/>
        <w:gridCol w:w="1134"/>
        <w:gridCol w:w="1134"/>
        <w:gridCol w:w="1134"/>
      </w:tblGrid>
      <w:tr w:rsidR="00345EE3" w:rsidRPr="00143D29" w14:paraId="7BBBEAA9" w14:textId="77777777" w:rsidTr="00D73130">
        <w:trPr>
          <w:trHeight w:val="60"/>
          <w:tblHeader/>
        </w:trPr>
        <w:tc>
          <w:tcPr>
            <w:tcW w:w="10205" w:type="dxa"/>
            <w:gridSpan w:val="5"/>
            <w:tcBorders>
              <w:top w:val="single" w:sz="6" w:space="0" w:color="auto"/>
              <w:left w:val="single" w:sz="6" w:space="0" w:color="004996"/>
              <w:bottom w:val="single" w:sz="2" w:space="0" w:color="FFFFFF"/>
              <w:right w:val="single" w:sz="6" w:space="0" w:color="auto"/>
            </w:tcBorders>
            <w:shd w:val="solid" w:color="004996" w:fill="auto"/>
            <w:tcMar>
              <w:top w:w="113" w:type="dxa"/>
              <w:left w:w="14" w:type="dxa"/>
              <w:bottom w:w="113" w:type="dxa"/>
              <w:right w:w="14" w:type="dxa"/>
            </w:tcMar>
          </w:tcPr>
          <w:p w14:paraId="6F506EEA"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 thousand)</w:t>
            </w:r>
          </w:p>
        </w:tc>
      </w:tr>
      <w:tr w:rsidR="00345EE3" w:rsidRPr="00143D29" w14:paraId="3AF14F22" w14:textId="77777777" w:rsidTr="00D73130">
        <w:trPr>
          <w:trHeight w:val="60"/>
          <w:tblHeader/>
        </w:trPr>
        <w:tc>
          <w:tcPr>
            <w:tcW w:w="5669"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32645B6"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143D29">
              <w:rPr>
                <w:rFonts w:eastAsiaTheme="minorHAnsi"/>
                <w:b/>
                <w:bCs/>
                <w:color w:val="FFFFFF"/>
                <w:sz w:val="24"/>
                <w:szCs w:val="24"/>
                <w:lang w:val="en-GB"/>
              </w:rPr>
              <w:t>Nominal amounts</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E4D3BC0"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Less than 1 year</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3F9E621"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1 – 5 years</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4FE4E5C"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5+ years</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5B111F79"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Total</w:t>
            </w:r>
          </w:p>
        </w:tc>
      </w:tr>
      <w:tr w:rsidR="00345EE3" w:rsidRPr="00143D29" w14:paraId="4C9C5F9F" w14:textId="77777777" w:rsidTr="00D73130">
        <w:trPr>
          <w:trHeight w:val="60"/>
        </w:trPr>
        <w:tc>
          <w:tcPr>
            <w:tcW w:w="5669"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56758D96"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t>2022</w:t>
            </w:r>
          </w:p>
        </w:tc>
        <w:tc>
          <w:tcPr>
            <w:tcW w:w="1134"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76C5A335"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171321CA"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54040DD6"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3A93A136" w14:textId="77777777" w:rsidR="00345EE3" w:rsidRPr="00143D29" w:rsidRDefault="00345EE3" w:rsidP="00D73130">
            <w:pPr>
              <w:widowControl/>
              <w:adjustRightInd w:val="0"/>
              <w:rPr>
                <w:rFonts w:eastAsiaTheme="minorHAnsi"/>
                <w:sz w:val="24"/>
                <w:szCs w:val="24"/>
                <w:lang w:val="en-GB"/>
              </w:rPr>
            </w:pPr>
          </w:p>
        </w:tc>
      </w:tr>
      <w:tr w:rsidR="00345EE3" w:rsidRPr="00143D29" w14:paraId="2D954317" w14:textId="77777777" w:rsidTr="00D73130">
        <w:trPr>
          <w:trHeight w:val="60"/>
        </w:trPr>
        <w:tc>
          <w:tcPr>
            <w:tcW w:w="5669"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260D29C9"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color w:val="000000"/>
                <w:sz w:val="24"/>
                <w:szCs w:val="24"/>
                <w:lang w:val="en-GB"/>
              </w:rPr>
              <w:t>Capital expenditure commitments payables</w:t>
            </w: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08C162"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EFC3BE"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34FC27"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4BA63D8" w14:textId="77777777" w:rsidR="00345EE3" w:rsidRPr="00143D29" w:rsidRDefault="00345EE3" w:rsidP="00D73130">
            <w:pPr>
              <w:widowControl/>
              <w:adjustRightInd w:val="0"/>
              <w:rPr>
                <w:rFonts w:eastAsiaTheme="minorHAnsi"/>
                <w:sz w:val="24"/>
                <w:szCs w:val="24"/>
                <w:lang w:val="en-GB"/>
              </w:rPr>
            </w:pPr>
          </w:p>
        </w:tc>
      </w:tr>
      <w:tr w:rsidR="00345EE3" w:rsidRPr="00143D29" w14:paraId="13AC42A6"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23B994E" w14:textId="77777777" w:rsidR="00345EE3" w:rsidRPr="00143D29"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143D29">
              <w:rPr>
                <w:rFonts w:eastAsiaTheme="minorHAnsi"/>
                <w:color w:val="000000"/>
                <w:sz w:val="24"/>
                <w:szCs w:val="24"/>
                <w:lang w:val="en-GB"/>
              </w:rPr>
              <w:t>Plant and equipment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37517E8"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3,541</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E22FF90"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1,705</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FB320D0"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5FE9BD1"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5,246</w:t>
            </w:r>
          </w:p>
        </w:tc>
      </w:tr>
      <w:tr w:rsidR="00345EE3" w:rsidRPr="00143D29" w14:paraId="178811B3"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28583BD" w14:textId="77777777" w:rsidR="00345EE3" w:rsidRPr="00143D29"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143D29">
              <w:rPr>
                <w:rFonts w:eastAsiaTheme="minorHAnsi"/>
                <w:color w:val="000000"/>
                <w:sz w:val="24"/>
                <w:szCs w:val="24"/>
                <w:lang w:val="en-GB"/>
              </w:rPr>
              <w:t>Buildings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71BD4A8"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4,814</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1BA198F"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147</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B734556"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037CB89"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4,961</w:t>
            </w:r>
          </w:p>
        </w:tc>
      </w:tr>
      <w:tr w:rsidR="00345EE3" w:rsidRPr="00143D29" w14:paraId="14CE02A3"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A1BCC14"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color w:val="000000"/>
                <w:sz w:val="24"/>
                <w:szCs w:val="24"/>
                <w:lang w:val="en-GB"/>
              </w:rPr>
              <w:t>Operating expense commitments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771031D"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91664C"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60E47B3"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CE192EB" w14:textId="77777777" w:rsidR="00345EE3" w:rsidRPr="00143D29" w:rsidRDefault="00345EE3" w:rsidP="00D73130">
            <w:pPr>
              <w:widowControl/>
              <w:adjustRightInd w:val="0"/>
              <w:rPr>
                <w:rFonts w:eastAsiaTheme="minorHAnsi"/>
                <w:sz w:val="24"/>
                <w:szCs w:val="24"/>
                <w:lang w:val="en-GB"/>
              </w:rPr>
            </w:pPr>
          </w:p>
        </w:tc>
      </w:tr>
      <w:tr w:rsidR="00345EE3" w:rsidRPr="00143D29" w14:paraId="228A3DBB"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E47E2B5" w14:textId="77777777" w:rsidR="00345EE3" w:rsidRPr="00143D29"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143D29">
              <w:rPr>
                <w:rFonts w:eastAsiaTheme="minorHAnsi"/>
                <w:color w:val="000000"/>
                <w:sz w:val="24"/>
                <w:szCs w:val="24"/>
                <w:lang w:val="en-GB"/>
              </w:rPr>
              <w:t>Aviation</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D11C22"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24,146</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F313125"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97,523</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D374EC1"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76,461</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DD514C2"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198,130</w:t>
            </w:r>
          </w:p>
        </w:tc>
      </w:tr>
      <w:tr w:rsidR="00345EE3" w:rsidRPr="00143D29" w14:paraId="18F7719E" w14:textId="77777777" w:rsidTr="00D73130">
        <w:trPr>
          <w:trHeight w:val="60"/>
        </w:trPr>
        <w:tc>
          <w:tcPr>
            <w:tcW w:w="5669"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C6EEE1A"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color w:val="000000"/>
                <w:sz w:val="24"/>
                <w:szCs w:val="24"/>
                <w:lang w:val="en-GB"/>
              </w:rPr>
              <w:t>Other commitments payables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6B113A4"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137,009</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24B5D42"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136,015</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0458F48"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6796A2FB"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273,023</w:t>
            </w:r>
          </w:p>
        </w:tc>
      </w:tr>
      <w:tr w:rsidR="00345EE3" w:rsidRPr="00143D29" w14:paraId="0075BF11" w14:textId="77777777" w:rsidTr="00D73130">
        <w:trPr>
          <w:trHeight w:val="60"/>
        </w:trPr>
        <w:tc>
          <w:tcPr>
            <w:tcW w:w="5669"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67CE8C98"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t>Total Commitments (inclusive of GST)</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9F48705"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169,510</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4ECC8EC"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235,390</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AE4D42E"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76,461</w:t>
            </w:r>
          </w:p>
        </w:tc>
        <w:tc>
          <w:tcPr>
            <w:tcW w:w="1134" w:type="dxa"/>
            <w:tcBorders>
              <w:top w:val="single" w:sz="4" w:space="0" w:color="000000"/>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37ACEFBC"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481,360</w:t>
            </w:r>
          </w:p>
        </w:tc>
      </w:tr>
      <w:tr w:rsidR="00345EE3" w:rsidRPr="00143D29" w14:paraId="419DCFD4" w14:textId="77777777" w:rsidTr="00D73130">
        <w:trPr>
          <w:trHeight w:val="60"/>
        </w:trPr>
        <w:tc>
          <w:tcPr>
            <w:tcW w:w="5669"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402F9264"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t>Less GST Recoverable</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C0FEE67"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A39D630"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7DAB126"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4BCAE41B"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(43,760)</w:t>
            </w:r>
          </w:p>
        </w:tc>
      </w:tr>
      <w:tr w:rsidR="00345EE3" w:rsidRPr="00143D29" w14:paraId="4650170C" w14:textId="77777777" w:rsidTr="00D73130">
        <w:trPr>
          <w:trHeight w:val="60"/>
        </w:trPr>
        <w:tc>
          <w:tcPr>
            <w:tcW w:w="5669"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5E3AC0B2"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t>Total Commitments (exclusive of GST)</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0EFF4DD9"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35A47DC"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983AE71"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7BC81810"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437,600</w:t>
            </w:r>
          </w:p>
        </w:tc>
      </w:tr>
      <w:tr w:rsidR="00345EE3" w:rsidRPr="00143D29" w14:paraId="1A5259ED" w14:textId="77777777" w:rsidTr="00D73130">
        <w:trPr>
          <w:trHeight w:val="60"/>
        </w:trPr>
        <w:tc>
          <w:tcPr>
            <w:tcW w:w="10205" w:type="dxa"/>
            <w:gridSpan w:val="5"/>
            <w:tcBorders>
              <w:top w:val="single" w:sz="8" w:space="0" w:color="000000"/>
              <w:left w:val="single" w:sz="6" w:space="0" w:color="000000"/>
              <w:bottom w:val="single" w:sz="6" w:space="0" w:color="9D9C9C"/>
              <w:right w:val="single" w:sz="2" w:space="0" w:color="9D9C9C"/>
            </w:tcBorders>
            <w:tcMar>
              <w:top w:w="113" w:type="dxa"/>
              <w:left w:w="14" w:type="dxa"/>
              <w:bottom w:w="113" w:type="dxa"/>
              <w:right w:w="14" w:type="dxa"/>
            </w:tcMar>
          </w:tcPr>
          <w:p w14:paraId="0990FD4E" w14:textId="77777777" w:rsidR="00345EE3" w:rsidRPr="00143D29" w:rsidRDefault="00345EE3" w:rsidP="00D73130">
            <w:pPr>
              <w:widowControl/>
              <w:adjustRightInd w:val="0"/>
              <w:rPr>
                <w:rFonts w:eastAsiaTheme="minorHAnsi"/>
                <w:sz w:val="24"/>
                <w:szCs w:val="24"/>
                <w:lang w:val="en-GB"/>
              </w:rPr>
            </w:pPr>
          </w:p>
        </w:tc>
      </w:tr>
      <w:tr w:rsidR="00345EE3" w:rsidRPr="00143D29" w14:paraId="678AA354" w14:textId="77777777" w:rsidTr="00D73130">
        <w:trPr>
          <w:trHeight w:val="60"/>
        </w:trPr>
        <w:tc>
          <w:tcPr>
            <w:tcW w:w="5669"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6450A29A"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47ACF0E"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Less than 1 year</w:t>
            </w: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6660F25"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1 - 5 years</w:t>
            </w: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45FEE16"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5+ years</w:t>
            </w:r>
          </w:p>
        </w:tc>
        <w:tc>
          <w:tcPr>
            <w:tcW w:w="1134"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2F3D8E58"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Total</w:t>
            </w:r>
          </w:p>
        </w:tc>
      </w:tr>
      <w:tr w:rsidR="00345EE3" w:rsidRPr="00143D29" w14:paraId="7F064A42" w14:textId="77777777" w:rsidTr="00D73130">
        <w:trPr>
          <w:trHeight w:val="60"/>
        </w:trPr>
        <w:tc>
          <w:tcPr>
            <w:tcW w:w="10205" w:type="dxa"/>
            <w:gridSpan w:val="5"/>
            <w:tcBorders>
              <w:top w:val="single" w:sz="6" w:space="0" w:color="9D9C9C"/>
              <w:left w:val="single" w:sz="6" w:space="0" w:color="9D9C9C"/>
              <w:bottom w:val="single" w:sz="8" w:space="0" w:color="000000"/>
              <w:right w:val="single" w:sz="2" w:space="0" w:color="9D9C9C"/>
            </w:tcBorders>
            <w:tcMar>
              <w:top w:w="113" w:type="dxa"/>
              <w:left w:w="14" w:type="dxa"/>
              <w:bottom w:w="113" w:type="dxa"/>
              <w:right w:w="14" w:type="dxa"/>
            </w:tcMar>
          </w:tcPr>
          <w:p w14:paraId="4CA8B3CB"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t>2021</w:t>
            </w:r>
          </w:p>
        </w:tc>
      </w:tr>
      <w:tr w:rsidR="00345EE3" w:rsidRPr="00143D29" w14:paraId="7F45A933" w14:textId="77777777" w:rsidTr="00D73130">
        <w:trPr>
          <w:trHeight w:val="60"/>
        </w:trPr>
        <w:tc>
          <w:tcPr>
            <w:tcW w:w="5669"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2F5BCC2D"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color w:val="000000"/>
                <w:sz w:val="24"/>
                <w:szCs w:val="24"/>
                <w:lang w:val="en-GB"/>
              </w:rPr>
              <w:t>Capital expenditure commitments payables</w:t>
            </w: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6FB49A1C"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7E89141C"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6BD584C2"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7952F9CA" w14:textId="77777777" w:rsidR="00345EE3" w:rsidRPr="00143D29" w:rsidRDefault="00345EE3" w:rsidP="00D73130">
            <w:pPr>
              <w:widowControl/>
              <w:adjustRightInd w:val="0"/>
              <w:rPr>
                <w:rFonts w:eastAsiaTheme="minorHAnsi"/>
                <w:sz w:val="24"/>
                <w:szCs w:val="24"/>
                <w:lang w:val="en-GB"/>
              </w:rPr>
            </w:pPr>
          </w:p>
        </w:tc>
      </w:tr>
      <w:tr w:rsidR="00345EE3" w:rsidRPr="00143D29" w14:paraId="59EFEB1E"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78FC3E" w14:textId="77777777" w:rsidR="00345EE3" w:rsidRPr="00143D29"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143D29">
              <w:rPr>
                <w:rFonts w:eastAsiaTheme="minorHAnsi"/>
                <w:color w:val="000000"/>
                <w:sz w:val="24"/>
                <w:szCs w:val="24"/>
                <w:lang w:val="en-GB"/>
              </w:rPr>
              <w:t>Plant and equipment</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71B3F5"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5,598</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F11AB41"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5,834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E389CC"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B2A1EE4"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11,432</w:t>
            </w:r>
          </w:p>
        </w:tc>
      </w:tr>
      <w:tr w:rsidR="00345EE3" w:rsidRPr="00143D29" w14:paraId="743F63DE"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41BB304" w14:textId="77777777" w:rsidR="00345EE3" w:rsidRPr="00143D29"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143D29">
              <w:rPr>
                <w:rFonts w:eastAsiaTheme="minorHAnsi"/>
                <w:color w:val="000000"/>
                <w:sz w:val="24"/>
                <w:szCs w:val="24"/>
                <w:lang w:val="en-GB"/>
              </w:rPr>
              <w:t>Buildings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5AF877C"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15,864</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9ED4A29"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296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42BD84"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E6D5AC0"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16,160</w:t>
            </w:r>
          </w:p>
        </w:tc>
      </w:tr>
      <w:tr w:rsidR="00345EE3" w:rsidRPr="00143D29" w14:paraId="4E90CFE6"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EE7400C" w14:textId="77777777" w:rsidR="00345EE3" w:rsidRPr="00143D29"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143D29">
              <w:rPr>
                <w:rFonts w:eastAsiaTheme="minorHAnsi"/>
                <w:color w:val="000000"/>
                <w:sz w:val="24"/>
                <w:szCs w:val="24"/>
                <w:lang w:val="en-GB"/>
              </w:rPr>
              <w:t>Lease commitments payables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90E4B3"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A286C8"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19AC1A"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2EC4E9D" w14:textId="77777777" w:rsidR="00345EE3" w:rsidRPr="00143D29" w:rsidRDefault="00345EE3" w:rsidP="00D73130">
            <w:pPr>
              <w:widowControl/>
              <w:adjustRightInd w:val="0"/>
              <w:rPr>
                <w:rFonts w:eastAsiaTheme="minorHAnsi"/>
                <w:sz w:val="24"/>
                <w:szCs w:val="24"/>
                <w:lang w:val="en-GB"/>
              </w:rPr>
            </w:pPr>
          </w:p>
        </w:tc>
      </w:tr>
      <w:tr w:rsidR="00345EE3" w:rsidRPr="00143D29" w14:paraId="040077A9"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48495DB" w14:textId="77777777" w:rsidR="00345EE3" w:rsidRPr="00143D29"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143D29">
              <w:rPr>
                <w:rFonts w:eastAsiaTheme="minorHAnsi"/>
                <w:color w:val="000000"/>
                <w:sz w:val="24"/>
                <w:szCs w:val="24"/>
                <w:lang w:val="en-GB"/>
              </w:rPr>
              <w:t>Aviation</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75AA3C"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23,883</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1071B2"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97,246</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E6B8D1"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100,884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14D0D36"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222,013</w:t>
            </w:r>
          </w:p>
        </w:tc>
      </w:tr>
      <w:tr w:rsidR="00345EE3" w:rsidRPr="00143D29" w14:paraId="457C66A5" w14:textId="77777777" w:rsidTr="00D73130">
        <w:trPr>
          <w:trHeight w:val="60"/>
        </w:trPr>
        <w:tc>
          <w:tcPr>
            <w:tcW w:w="5669"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0FB33DD"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color w:val="000000"/>
                <w:sz w:val="24"/>
                <w:szCs w:val="24"/>
                <w:lang w:val="en-GB"/>
              </w:rPr>
              <w:t>Other commitments payables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60015D5D"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207,622</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2F679C8E"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86,243</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34EDB4A0"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E372B14"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293,865</w:t>
            </w:r>
          </w:p>
        </w:tc>
      </w:tr>
      <w:tr w:rsidR="00345EE3" w:rsidRPr="00143D29" w14:paraId="7AB4CEF7" w14:textId="77777777" w:rsidTr="00D73130">
        <w:trPr>
          <w:trHeight w:val="60"/>
        </w:trPr>
        <w:tc>
          <w:tcPr>
            <w:tcW w:w="5669"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507AB39D"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t>Total Commitments (inclusive of GST)</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0E49688D"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252,967</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313CACE2"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189,619</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7FC134C3"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100,884</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321214CD"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543,470</w:t>
            </w:r>
          </w:p>
        </w:tc>
      </w:tr>
      <w:tr w:rsidR="00345EE3" w:rsidRPr="00143D29" w14:paraId="6BC83ADA" w14:textId="77777777" w:rsidTr="00D73130">
        <w:trPr>
          <w:trHeight w:val="60"/>
        </w:trPr>
        <w:tc>
          <w:tcPr>
            <w:tcW w:w="5669"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0574D96A"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t>Less GST Recoverable</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6EC55866"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23DD374B"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789F03FF"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07693FFB"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(49,406)</w:t>
            </w:r>
          </w:p>
        </w:tc>
      </w:tr>
      <w:tr w:rsidR="00345EE3" w:rsidRPr="00143D29" w14:paraId="05C2DB6A" w14:textId="77777777" w:rsidTr="00D73130">
        <w:trPr>
          <w:trHeight w:val="60"/>
        </w:trPr>
        <w:tc>
          <w:tcPr>
            <w:tcW w:w="5669"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7B869FA6"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t>Total Commitments (exclusive of GST)</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76A79737"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16611930"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260FF1D3"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4CBCE5A5"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494,064</w:t>
            </w:r>
          </w:p>
        </w:tc>
      </w:tr>
    </w:tbl>
    <w:p w14:paraId="1F681746" w14:textId="77777777" w:rsidR="00345EE3" w:rsidRDefault="00345EE3" w:rsidP="00345EE3">
      <w:pPr>
        <w:spacing w:before="60" w:after="53"/>
        <w:ind w:left="110"/>
        <w:rPr>
          <w:b/>
          <w:sz w:val="24"/>
        </w:rPr>
      </w:pPr>
    </w:p>
    <w:p w14:paraId="7751A0E2" w14:textId="77777777" w:rsidR="00345EE3" w:rsidRPr="00B2400F" w:rsidRDefault="00345EE3">
      <w:pPr>
        <w:pStyle w:val="Heading2"/>
        <w:numPr>
          <w:ilvl w:val="0"/>
          <w:numId w:val="44"/>
        </w:numPr>
        <w:tabs>
          <w:tab w:val="left" w:pos="466"/>
        </w:tabs>
        <w:ind w:left="465" w:hanging="356"/>
        <w:rPr>
          <w:sz w:val="32"/>
          <w:szCs w:val="32"/>
        </w:rPr>
      </w:pPr>
      <w:r w:rsidRPr="00B2400F">
        <w:rPr>
          <w:color w:val="00529F"/>
          <w:sz w:val="32"/>
          <w:szCs w:val="32"/>
        </w:rPr>
        <w:t>Risks,</w:t>
      </w:r>
      <w:r w:rsidRPr="00B2400F">
        <w:rPr>
          <w:color w:val="00529F"/>
          <w:spacing w:val="-24"/>
          <w:sz w:val="32"/>
          <w:szCs w:val="32"/>
        </w:rPr>
        <w:t xml:space="preserve"> </w:t>
      </w:r>
      <w:r w:rsidRPr="00B2400F">
        <w:rPr>
          <w:color w:val="00529F"/>
          <w:sz w:val="32"/>
          <w:szCs w:val="32"/>
        </w:rPr>
        <w:t>Contingencies</w:t>
      </w:r>
      <w:r w:rsidRPr="00B2400F">
        <w:rPr>
          <w:color w:val="00529F"/>
          <w:spacing w:val="-21"/>
          <w:sz w:val="32"/>
          <w:szCs w:val="32"/>
        </w:rPr>
        <w:t xml:space="preserve"> </w:t>
      </w:r>
      <w:r w:rsidRPr="00B2400F">
        <w:rPr>
          <w:color w:val="00529F"/>
          <w:sz w:val="32"/>
          <w:szCs w:val="32"/>
        </w:rPr>
        <w:t>and</w:t>
      </w:r>
      <w:r w:rsidRPr="00B2400F">
        <w:rPr>
          <w:color w:val="00529F"/>
          <w:spacing w:val="-22"/>
          <w:sz w:val="32"/>
          <w:szCs w:val="32"/>
        </w:rPr>
        <w:t xml:space="preserve"> </w:t>
      </w:r>
      <w:r w:rsidRPr="00B2400F">
        <w:rPr>
          <w:color w:val="00529F"/>
          <w:sz w:val="32"/>
          <w:szCs w:val="32"/>
        </w:rPr>
        <w:t>Valuation</w:t>
      </w:r>
      <w:r w:rsidRPr="00B2400F">
        <w:rPr>
          <w:color w:val="00529F"/>
          <w:spacing w:val="-21"/>
          <w:sz w:val="32"/>
          <w:szCs w:val="32"/>
        </w:rPr>
        <w:t xml:space="preserve"> </w:t>
      </w:r>
      <w:r w:rsidRPr="00B2400F">
        <w:rPr>
          <w:color w:val="00529F"/>
          <w:spacing w:val="-2"/>
          <w:sz w:val="32"/>
          <w:szCs w:val="32"/>
        </w:rPr>
        <w:t>Judgements</w:t>
      </w:r>
    </w:p>
    <w:p w14:paraId="1195F0BF" w14:textId="77777777" w:rsidR="00345EE3" w:rsidRDefault="00345EE3" w:rsidP="002A27BA">
      <w:pPr>
        <w:pStyle w:val="Heading3"/>
      </w:pPr>
      <w:r>
        <w:t>Introduction</w:t>
      </w:r>
    </w:p>
    <w:p w14:paraId="40417F91" w14:textId="77777777" w:rsidR="00345EE3" w:rsidRDefault="00345EE3" w:rsidP="00345EE3">
      <w:pPr>
        <w:pStyle w:val="BodyText"/>
        <w:spacing w:before="52" w:line="242" w:lineRule="auto"/>
      </w:pPr>
      <w:r>
        <w:rPr>
          <w:color w:val="231F20"/>
        </w:rPr>
        <w:t>Victoria Police is exposed to risk from its activities and outside factors. In addition, it is often necessary</w:t>
      </w:r>
      <w:r>
        <w:rPr>
          <w:color w:val="231F20"/>
          <w:spacing w:val="-10"/>
        </w:rPr>
        <w:t xml:space="preserve"> </w:t>
      </w:r>
      <w:r>
        <w:rPr>
          <w:color w:val="231F20"/>
        </w:rPr>
        <w:t>to</w:t>
      </w:r>
      <w:r>
        <w:rPr>
          <w:color w:val="231F20"/>
          <w:spacing w:val="-11"/>
        </w:rPr>
        <w:t xml:space="preserve"> </w:t>
      </w:r>
      <w:r>
        <w:rPr>
          <w:color w:val="231F20"/>
        </w:rPr>
        <w:t>make</w:t>
      </w:r>
      <w:r>
        <w:rPr>
          <w:color w:val="231F20"/>
          <w:spacing w:val="-11"/>
        </w:rPr>
        <w:t xml:space="preserve"> </w:t>
      </w:r>
      <w:r>
        <w:rPr>
          <w:color w:val="231F20"/>
        </w:rPr>
        <w:t>judgements</w:t>
      </w:r>
      <w:r>
        <w:rPr>
          <w:color w:val="231F20"/>
          <w:spacing w:val="-10"/>
        </w:rPr>
        <w:t xml:space="preserve"> </w:t>
      </w:r>
      <w:r>
        <w:rPr>
          <w:color w:val="231F20"/>
        </w:rPr>
        <w:t>and</w:t>
      </w:r>
      <w:r>
        <w:rPr>
          <w:color w:val="231F20"/>
          <w:spacing w:val="-11"/>
        </w:rPr>
        <w:t xml:space="preserve"> </w:t>
      </w:r>
      <w:r>
        <w:rPr>
          <w:color w:val="231F20"/>
        </w:rPr>
        <w:t>estimates</w:t>
      </w:r>
      <w:r>
        <w:rPr>
          <w:color w:val="231F20"/>
          <w:spacing w:val="-10"/>
        </w:rPr>
        <w:t xml:space="preserve"> </w:t>
      </w:r>
      <w:r>
        <w:rPr>
          <w:color w:val="231F20"/>
        </w:rPr>
        <w:t>associated</w:t>
      </w:r>
      <w:r>
        <w:rPr>
          <w:color w:val="231F20"/>
          <w:spacing w:val="-11"/>
        </w:rPr>
        <w:t xml:space="preserve"> </w:t>
      </w:r>
      <w:r>
        <w:rPr>
          <w:color w:val="231F20"/>
        </w:rPr>
        <w:t>with</w:t>
      </w:r>
      <w:r>
        <w:rPr>
          <w:color w:val="231F20"/>
          <w:spacing w:val="-11"/>
        </w:rPr>
        <w:t xml:space="preserve"> </w:t>
      </w:r>
      <w:r>
        <w:rPr>
          <w:color w:val="231F20"/>
        </w:rPr>
        <w:t>recognition</w:t>
      </w:r>
      <w:r>
        <w:rPr>
          <w:color w:val="231F20"/>
          <w:spacing w:val="-11"/>
        </w:rPr>
        <w:t xml:space="preserve"> </w:t>
      </w:r>
      <w:r>
        <w:rPr>
          <w:color w:val="231F20"/>
        </w:rPr>
        <w:t>and</w:t>
      </w:r>
      <w:r>
        <w:rPr>
          <w:color w:val="231F20"/>
          <w:spacing w:val="-11"/>
        </w:rPr>
        <w:t xml:space="preserve"> </w:t>
      </w:r>
      <w:r>
        <w:rPr>
          <w:color w:val="231F20"/>
        </w:rPr>
        <w:t>measurement</w:t>
      </w:r>
      <w:r>
        <w:rPr>
          <w:color w:val="231F20"/>
          <w:spacing w:val="-10"/>
        </w:rPr>
        <w:t xml:space="preserve"> </w:t>
      </w:r>
      <w:r>
        <w:rPr>
          <w:color w:val="231F20"/>
        </w:rPr>
        <w:t>of items</w:t>
      </w:r>
      <w:r>
        <w:rPr>
          <w:color w:val="231F20"/>
          <w:spacing w:val="-1"/>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financial</w:t>
      </w:r>
      <w:r>
        <w:rPr>
          <w:color w:val="231F20"/>
          <w:spacing w:val="-2"/>
        </w:rPr>
        <w:t xml:space="preserve"> </w:t>
      </w:r>
      <w:r>
        <w:rPr>
          <w:color w:val="231F20"/>
        </w:rPr>
        <w:t>statements.</w:t>
      </w:r>
      <w:r>
        <w:rPr>
          <w:color w:val="231F20"/>
          <w:spacing w:val="-1"/>
        </w:rPr>
        <w:t xml:space="preserve"> </w:t>
      </w:r>
      <w:r>
        <w:rPr>
          <w:color w:val="231F20"/>
        </w:rPr>
        <w:t>This</w:t>
      </w:r>
      <w:r>
        <w:rPr>
          <w:color w:val="231F20"/>
          <w:spacing w:val="-1"/>
        </w:rPr>
        <w:t xml:space="preserve"> </w:t>
      </w:r>
      <w:r>
        <w:rPr>
          <w:color w:val="231F20"/>
        </w:rPr>
        <w:t>section</w:t>
      </w:r>
      <w:r>
        <w:rPr>
          <w:color w:val="231F20"/>
          <w:spacing w:val="-2"/>
        </w:rPr>
        <w:t xml:space="preserve"> </w:t>
      </w:r>
      <w:r>
        <w:rPr>
          <w:color w:val="231F20"/>
        </w:rPr>
        <w:t>sets</w:t>
      </w:r>
      <w:r>
        <w:rPr>
          <w:color w:val="231F20"/>
          <w:spacing w:val="-1"/>
        </w:rPr>
        <w:t xml:space="preserve"> </w:t>
      </w:r>
      <w:r>
        <w:rPr>
          <w:color w:val="231F20"/>
        </w:rPr>
        <w:t>out</w:t>
      </w:r>
      <w:r>
        <w:rPr>
          <w:color w:val="231F20"/>
          <w:spacing w:val="-1"/>
        </w:rPr>
        <w:t xml:space="preserve"> </w:t>
      </w:r>
      <w:r>
        <w:rPr>
          <w:color w:val="231F20"/>
        </w:rPr>
        <w:t>financial</w:t>
      </w:r>
      <w:r>
        <w:rPr>
          <w:color w:val="231F20"/>
          <w:spacing w:val="-2"/>
        </w:rPr>
        <w:t xml:space="preserve"> </w:t>
      </w:r>
      <w:r>
        <w:rPr>
          <w:color w:val="231F20"/>
        </w:rPr>
        <w:t>instrument</w:t>
      </w:r>
      <w:r>
        <w:rPr>
          <w:color w:val="231F20"/>
          <w:spacing w:val="-1"/>
        </w:rPr>
        <w:t xml:space="preserve"> </w:t>
      </w:r>
      <w:r>
        <w:rPr>
          <w:color w:val="231F20"/>
        </w:rPr>
        <w:t>specific</w:t>
      </w:r>
      <w:r>
        <w:rPr>
          <w:color w:val="231F20"/>
          <w:spacing w:val="-1"/>
        </w:rPr>
        <w:t xml:space="preserve"> </w:t>
      </w:r>
      <w:r>
        <w:rPr>
          <w:color w:val="231F20"/>
        </w:rPr>
        <w:t>information (including exposures to financial risks) as well as those items that are contingent in nature or require</w:t>
      </w:r>
      <w:r>
        <w:rPr>
          <w:color w:val="231F20"/>
          <w:spacing w:val="-4"/>
        </w:rPr>
        <w:t xml:space="preserve"> </w:t>
      </w:r>
      <w:r>
        <w:rPr>
          <w:color w:val="231F20"/>
        </w:rPr>
        <w:t>a</w:t>
      </w:r>
      <w:r>
        <w:rPr>
          <w:color w:val="231F20"/>
          <w:spacing w:val="-4"/>
        </w:rPr>
        <w:t xml:space="preserve"> </w:t>
      </w:r>
      <w:r>
        <w:rPr>
          <w:color w:val="231F20"/>
        </w:rPr>
        <w:t>higher</w:t>
      </w:r>
      <w:r>
        <w:rPr>
          <w:color w:val="231F20"/>
          <w:spacing w:val="-3"/>
        </w:rPr>
        <w:t xml:space="preserve"> </w:t>
      </w:r>
      <w:r>
        <w:rPr>
          <w:color w:val="231F20"/>
        </w:rPr>
        <w:t>level</w:t>
      </w:r>
      <w:r>
        <w:rPr>
          <w:color w:val="231F20"/>
          <w:spacing w:val="-4"/>
        </w:rPr>
        <w:t xml:space="preserve"> </w:t>
      </w:r>
      <w:r>
        <w:rPr>
          <w:color w:val="231F20"/>
        </w:rPr>
        <w:t>of</w:t>
      </w:r>
      <w:r>
        <w:rPr>
          <w:color w:val="231F20"/>
          <w:spacing w:val="-3"/>
        </w:rPr>
        <w:t xml:space="preserve"> </w:t>
      </w:r>
      <w:r>
        <w:rPr>
          <w:color w:val="231F20"/>
        </w:rPr>
        <w:t>judgement</w:t>
      </w:r>
      <w:r>
        <w:rPr>
          <w:color w:val="231F20"/>
          <w:spacing w:val="-3"/>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applied,</w:t>
      </w:r>
      <w:r>
        <w:rPr>
          <w:color w:val="231F20"/>
          <w:spacing w:val="-3"/>
        </w:rPr>
        <w:t xml:space="preserve"> </w:t>
      </w:r>
      <w:r>
        <w:rPr>
          <w:color w:val="231F20"/>
        </w:rPr>
        <w:t>which</w:t>
      </w:r>
      <w:r>
        <w:rPr>
          <w:color w:val="231F20"/>
          <w:spacing w:val="-4"/>
        </w:rPr>
        <w:t xml:space="preserve"> </w:t>
      </w:r>
      <w:r>
        <w:rPr>
          <w:color w:val="231F20"/>
        </w:rPr>
        <w:t>for</w:t>
      </w:r>
      <w:r>
        <w:rPr>
          <w:color w:val="231F20"/>
          <w:spacing w:val="-3"/>
        </w:rPr>
        <w:t xml:space="preserve"> </w:t>
      </w:r>
      <w:r>
        <w:rPr>
          <w:color w:val="231F20"/>
        </w:rPr>
        <w:t>Victoria</w:t>
      </w:r>
      <w:r>
        <w:rPr>
          <w:color w:val="231F20"/>
          <w:spacing w:val="-4"/>
        </w:rPr>
        <w:t xml:space="preserve"> </w:t>
      </w:r>
      <w:r>
        <w:rPr>
          <w:color w:val="231F20"/>
        </w:rPr>
        <w:t>Police</w:t>
      </w:r>
      <w:r>
        <w:rPr>
          <w:color w:val="231F20"/>
          <w:spacing w:val="-4"/>
        </w:rPr>
        <w:t xml:space="preserve"> </w:t>
      </w:r>
      <w:r>
        <w:rPr>
          <w:color w:val="231F20"/>
        </w:rPr>
        <w:t>relates</w:t>
      </w:r>
      <w:r>
        <w:rPr>
          <w:color w:val="231F20"/>
          <w:spacing w:val="-3"/>
        </w:rPr>
        <w:t xml:space="preserve"> </w:t>
      </w:r>
      <w:r>
        <w:rPr>
          <w:color w:val="231F20"/>
        </w:rPr>
        <w:t>mainly</w:t>
      </w:r>
      <w:r>
        <w:rPr>
          <w:color w:val="231F20"/>
          <w:spacing w:val="-3"/>
        </w:rPr>
        <w:t xml:space="preserve"> </w:t>
      </w:r>
      <w:r>
        <w:rPr>
          <w:color w:val="231F20"/>
        </w:rPr>
        <w:t>to</w:t>
      </w:r>
      <w:r>
        <w:rPr>
          <w:color w:val="231F20"/>
          <w:spacing w:val="-4"/>
        </w:rPr>
        <w:t xml:space="preserve"> </w:t>
      </w:r>
      <w:r>
        <w:rPr>
          <w:color w:val="231F20"/>
        </w:rPr>
        <w:t>fair value determination.</w:t>
      </w:r>
    </w:p>
    <w:p w14:paraId="2BC7AFA6" w14:textId="77777777" w:rsidR="00345EE3" w:rsidRDefault="00345EE3" w:rsidP="00345EE3">
      <w:pPr>
        <w:pStyle w:val="BodyText"/>
        <w:spacing w:before="6"/>
        <w:rPr>
          <w:sz w:val="12"/>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34"/>
        <w:gridCol w:w="7937"/>
        <w:gridCol w:w="1134"/>
      </w:tblGrid>
      <w:tr w:rsidR="00345EE3" w14:paraId="13BEE7CC" w14:textId="77777777" w:rsidTr="00D73130">
        <w:trPr>
          <w:trHeight w:val="401"/>
        </w:trPr>
        <w:tc>
          <w:tcPr>
            <w:tcW w:w="1134" w:type="dxa"/>
            <w:tcBorders>
              <w:top w:val="nil"/>
              <w:left w:val="nil"/>
              <w:bottom w:val="nil"/>
              <w:right w:val="nil"/>
            </w:tcBorders>
            <w:shd w:val="clear" w:color="auto" w:fill="00529F"/>
          </w:tcPr>
          <w:p w14:paraId="26AA4235" w14:textId="77777777" w:rsidR="00345EE3" w:rsidRDefault="00345EE3" w:rsidP="00D73130">
            <w:pPr>
              <w:pStyle w:val="TableParagraph"/>
              <w:spacing w:before="63"/>
              <w:ind w:left="-1"/>
              <w:jc w:val="left"/>
              <w:rPr>
                <w:b/>
                <w:sz w:val="24"/>
              </w:rPr>
            </w:pPr>
            <w:r>
              <w:rPr>
                <w:b/>
                <w:color w:val="FFFFFF"/>
                <w:spacing w:val="-2"/>
                <w:sz w:val="24"/>
              </w:rPr>
              <w:t>Structure</w:t>
            </w:r>
          </w:p>
        </w:tc>
        <w:tc>
          <w:tcPr>
            <w:tcW w:w="7937" w:type="dxa"/>
            <w:tcBorders>
              <w:top w:val="nil"/>
              <w:left w:val="nil"/>
              <w:bottom w:val="nil"/>
              <w:right w:val="nil"/>
            </w:tcBorders>
            <w:shd w:val="clear" w:color="auto" w:fill="00529F"/>
          </w:tcPr>
          <w:p w14:paraId="6CBAA8FE" w14:textId="77777777" w:rsidR="00345EE3" w:rsidRDefault="00345EE3" w:rsidP="00D73130">
            <w:pPr>
              <w:pStyle w:val="TableParagraph"/>
              <w:spacing w:before="0"/>
              <w:jc w:val="left"/>
              <w:rPr>
                <w:rFonts w:ascii="Times New Roman"/>
                <w:sz w:val="24"/>
              </w:rPr>
            </w:pPr>
          </w:p>
        </w:tc>
        <w:tc>
          <w:tcPr>
            <w:tcW w:w="1134" w:type="dxa"/>
            <w:tcBorders>
              <w:top w:val="nil"/>
              <w:left w:val="nil"/>
              <w:bottom w:val="nil"/>
              <w:right w:val="nil"/>
            </w:tcBorders>
            <w:shd w:val="clear" w:color="auto" w:fill="00529F"/>
          </w:tcPr>
          <w:p w14:paraId="4FF20BE3" w14:textId="77777777" w:rsidR="00345EE3" w:rsidRDefault="00345EE3" w:rsidP="00D73130">
            <w:pPr>
              <w:pStyle w:val="TableParagraph"/>
              <w:spacing w:before="63"/>
              <w:rPr>
                <w:b/>
                <w:sz w:val="24"/>
              </w:rPr>
            </w:pPr>
            <w:r>
              <w:rPr>
                <w:b/>
                <w:color w:val="FFFFFF"/>
                <w:spacing w:val="-2"/>
                <w:sz w:val="24"/>
              </w:rPr>
              <w:t>Pages</w:t>
            </w:r>
          </w:p>
        </w:tc>
      </w:tr>
      <w:tr w:rsidR="00345EE3" w14:paraId="4AE72509" w14:textId="77777777" w:rsidTr="00D73130">
        <w:trPr>
          <w:trHeight w:val="399"/>
        </w:trPr>
        <w:tc>
          <w:tcPr>
            <w:tcW w:w="1134" w:type="dxa"/>
            <w:tcBorders>
              <w:top w:val="nil"/>
              <w:left w:val="nil"/>
            </w:tcBorders>
          </w:tcPr>
          <w:p w14:paraId="1DCF38E8" w14:textId="77777777" w:rsidR="00345EE3" w:rsidRDefault="00345EE3" w:rsidP="00D73130">
            <w:pPr>
              <w:pStyle w:val="TableParagraph"/>
              <w:spacing w:before="63"/>
              <w:ind w:left="-3"/>
              <w:jc w:val="left"/>
              <w:rPr>
                <w:sz w:val="24"/>
              </w:rPr>
            </w:pPr>
            <w:r>
              <w:rPr>
                <w:color w:val="231F20"/>
                <w:spacing w:val="-5"/>
                <w:sz w:val="24"/>
              </w:rPr>
              <w:t>8.1</w:t>
            </w:r>
          </w:p>
        </w:tc>
        <w:tc>
          <w:tcPr>
            <w:tcW w:w="7937" w:type="dxa"/>
            <w:tcBorders>
              <w:top w:val="nil"/>
            </w:tcBorders>
          </w:tcPr>
          <w:p w14:paraId="31C6CDCF" w14:textId="77777777" w:rsidR="00345EE3" w:rsidRDefault="00345EE3" w:rsidP="00D73130">
            <w:pPr>
              <w:pStyle w:val="TableParagraph"/>
              <w:spacing w:before="63"/>
              <w:ind w:left="-1"/>
              <w:jc w:val="left"/>
              <w:rPr>
                <w:sz w:val="24"/>
              </w:rPr>
            </w:pPr>
            <w:r>
              <w:rPr>
                <w:color w:val="231F20"/>
                <w:sz w:val="24"/>
              </w:rPr>
              <w:t xml:space="preserve">Financial Instruments Specific </w:t>
            </w:r>
            <w:r>
              <w:rPr>
                <w:color w:val="231F20"/>
                <w:spacing w:val="-2"/>
                <w:sz w:val="24"/>
              </w:rPr>
              <w:t>Disclosures</w:t>
            </w:r>
          </w:p>
        </w:tc>
        <w:tc>
          <w:tcPr>
            <w:tcW w:w="1134" w:type="dxa"/>
            <w:tcBorders>
              <w:top w:val="nil"/>
              <w:right w:val="nil"/>
            </w:tcBorders>
          </w:tcPr>
          <w:p w14:paraId="32D25A83" w14:textId="1282E66E" w:rsidR="00345EE3" w:rsidRDefault="0042779E" w:rsidP="00D73130">
            <w:pPr>
              <w:pStyle w:val="TableParagraph"/>
              <w:spacing w:before="63"/>
              <w:rPr>
                <w:sz w:val="24"/>
              </w:rPr>
            </w:pPr>
            <w:r>
              <w:rPr>
                <w:color w:val="231F20"/>
                <w:spacing w:val="-3"/>
                <w:sz w:val="24"/>
              </w:rPr>
              <w:t>160-177</w:t>
            </w:r>
          </w:p>
        </w:tc>
      </w:tr>
      <w:tr w:rsidR="00345EE3" w14:paraId="18B96E2D" w14:textId="77777777" w:rsidTr="00D73130">
        <w:trPr>
          <w:trHeight w:val="396"/>
        </w:trPr>
        <w:tc>
          <w:tcPr>
            <w:tcW w:w="1134" w:type="dxa"/>
            <w:tcBorders>
              <w:left w:val="nil"/>
            </w:tcBorders>
          </w:tcPr>
          <w:p w14:paraId="2084B51F" w14:textId="77777777" w:rsidR="00345EE3" w:rsidRDefault="00345EE3" w:rsidP="00D73130">
            <w:pPr>
              <w:pStyle w:val="TableParagraph"/>
              <w:spacing w:before="61"/>
              <w:ind w:left="-3"/>
              <w:jc w:val="left"/>
              <w:rPr>
                <w:sz w:val="24"/>
              </w:rPr>
            </w:pPr>
            <w:r>
              <w:rPr>
                <w:color w:val="231F20"/>
                <w:spacing w:val="-5"/>
                <w:sz w:val="24"/>
              </w:rPr>
              <w:t>8.2</w:t>
            </w:r>
          </w:p>
        </w:tc>
        <w:tc>
          <w:tcPr>
            <w:tcW w:w="7937" w:type="dxa"/>
          </w:tcPr>
          <w:p w14:paraId="1E251A7D" w14:textId="77777777" w:rsidR="00345EE3" w:rsidRDefault="00345EE3" w:rsidP="00D73130">
            <w:pPr>
              <w:pStyle w:val="TableParagraph"/>
              <w:spacing w:before="61"/>
              <w:ind w:left="-1"/>
              <w:jc w:val="left"/>
              <w:rPr>
                <w:sz w:val="24"/>
              </w:rPr>
            </w:pPr>
            <w:r>
              <w:rPr>
                <w:color w:val="231F20"/>
                <w:sz w:val="24"/>
              </w:rPr>
              <w:t>Contingent</w:t>
            </w:r>
            <w:r>
              <w:rPr>
                <w:color w:val="231F20"/>
                <w:spacing w:val="-12"/>
                <w:sz w:val="24"/>
              </w:rPr>
              <w:t xml:space="preserve"> </w:t>
            </w:r>
            <w:r>
              <w:rPr>
                <w:color w:val="231F20"/>
                <w:sz w:val="24"/>
              </w:rPr>
              <w:t>Liabilities</w:t>
            </w:r>
            <w:r>
              <w:rPr>
                <w:color w:val="231F20"/>
                <w:spacing w:val="-9"/>
                <w:sz w:val="24"/>
              </w:rPr>
              <w:t xml:space="preserve"> </w:t>
            </w:r>
            <w:r>
              <w:rPr>
                <w:color w:val="231F20"/>
                <w:sz w:val="24"/>
              </w:rPr>
              <w:t>and</w:t>
            </w:r>
            <w:r>
              <w:rPr>
                <w:color w:val="231F20"/>
                <w:spacing w:val="-9"/>
                <w:sz w:val="24"/>
              </w:rPr>
              <w:t xml:space="preserve"> </w:t>
            </w:r>
            <w:r>
              <w:rPr>
                <w:color w:val="231F20"/>
                <w:sz w:val="24"/>
              </w:rPr>
              <w:t>Contingent</w:t>
            </w:r>
            <w:r>
              <w:rPr>
                <w:color w:val="231F20"/>
                <w:spacing w:val="-16"/>
                <w:sz w:val="24"/>
              </w:rPr>
              <w:t xml:space="preserve"> </w:t>
            </w:r>
            <w:r>
              <w:rPr>
                <w:color w:val="231F20"/>
                <w:spacing w:val="-2"/>
                <w:sz w:val="24"/>
              </w:rPr>
              <w:t>Assets</w:t>
            </w:r>
          </w:p>
        </w:tc>
        <w:tc>
          <w:tcPr>
            <w:tcW w:w="1134" w:type="dxa"/>
            <w:tcBorders>
              <w:right w:val="nil"/>
            </w:tcBorders>
          </w:tcPr>
          <w:p w14:paraId="1075F80B" w14:textId="129F0855" w:rsidR="00345EE3" w:rsidRDefault="00345EE3" w:rsidP="00D73130">
            <w:pPr>
              <w:pStyle w:val="TableParagraph"/>
              <w:spacing w:before="61"/>
              <w:rPr>
                <w:sz w:val="24"/>
              </w:rPr>
            </w:pPr>
            <w:r>
              <w:rPr>
                <w:color w:val="231F20"/>
                <w:spacing w:val="-5"/>
                <w:sz w:val="24"/>
              </w:rPr>
              <w:t>1</w:t>
            </w:r>
            <w:r w:rsidR="0042779E">
              <w:rPr>
                <w:color w:val="231F20"/>
                <w:spacing w:val="-5"/>
                <w:sz w:val="24"/>
              </w:rPr>
              <w:t>7</w:t>
            </w:r>
            <w:r>
              <w:rPr>
                <w:color w:val="231F20"/>
                <w:spacing w:val="-5"/>
                <w:sz w:val="24"/>
              </w:rPr>
              <w:t>8</w:t>
            </w:r>
          </w:p>
        </w:tc>
      </w:tr>
      <w:tr w:rsidR="00345EE3" w14:paraId="0C5C9D40" w14:textId="77777777" w:rsidTr="00D73130">
        <w:trPr>
          <w:trHeight w:val="396"/>
        </w:trPr>
        <w:tc>
          <w:tcPr>
            <w:tcW w:w="1134" w:type="dxa"/>
            <w:tcBorders>
              <w:left w:val="nil"/>
            </w:tcBorders>
          </w:tcPr>
          <w:p w14:paraId="1CC48652" w14:textId="77777777" w:rsidR="00345EE3" w:rsidRDefault="00345EE3" w:rsidP="00D73130">
            <w:pPr>
              <w:pStyle w:val="TableParagraph"/>
              <w:spacing w:before="61"/>
              <w:ind w:left="-3"/>
              <w:jc w:val="left"/>
              <w:rPr>
                <w:sz w:val="24"/>
              </w:rPr>
            </w:pPr>
            <w:r>
              <w:rPr>
                <w:color w:val="231F20"/>
                <w:spacing w:val="-5"/>
                <w:sz w:val="24"/>
              </w:rPr>
              <w:t>8.3</w:t>
            </w:r>
          </w:p>
        </w:tc>
        <w:tc>
          <w:tcPr>
            <w:tcW w:w="7937" w:type="dxa"/>
          </w:tcPr>
          <w:p w14:paraId="3A61C6B0" w14:textId="77777777" w:rsidR="00345EE3" w:rsidRDefault="00345EE3" w:rsidP="00D73130">
            <w:pPr>
              <w:pStyle w:val="TableParagraph"/>
              <w:spacing w:before="61"/>
              <w:ind w:left="-1"/>
              <w:jc w:val="left"/>
              <w:rPr>
                <w:sz w:val="24"/>
              </w:rPr>
            </w:pPr>
            <w:r>
              <w:rPr>
                <w:color w:val="231F20"/>
                <w:sz w:val="24"/>
              </w:rPr>
              <w:t>Fair</w:t>
            </w:r>
            <w:r>
              <w:rPr>
                <w:color w:val="231F20"/>
                <w:spacing w:val="-13"/>
                <w:sz w:val="24"/>
              </w:rPr>
              <w:t xml:space="preserve"> </w:t>
            </w:r>
            <w:r>
              <w:rPr>
                <w:color w:val="231F20"/>
                <w:sz w:val="24"/>
              </w:rPr>
              <w:t>Value</w:t>
            </w:r>
            <w:r>
              <w:rPr>
                <w:color w:val="231F20"/>
                <w:spacing w:val="-11"/>
                <w:sz w:val="24"/>
              </w:rPr>
              <w:t xml:space="preserve"> </w:t>
            </w:r>
            <w:r>
              <w:rPr>
                <w:color w:val="231F20"/>
                <w:spacing w:val="-2"/>
                <w:sz w:val="24"/>
              </w:rPr>
              <w:t>Determination</w:t>
            </w:r>
          </w:p>
        </w:tc>
        <w:tc>
          <w:tcPr>
            <w:tcW w:w="1134" w:type="dxa"/>
            <w:tcBorders>
              <w:right w:val="nil"/>
            </w:tcBorders>
          </w:tcPr>
          <w:p w14:paraId="5410320A" w14:textId="443386A1" w:rsidR="00345EE3" w:rsidRDefault="0042779E" w:rsidP="00D73130">
            <w:pPr>
              <w:pStyle w:val="TableParagraph"/>
              <w:spacing w:before="61"/>
              <w:rPr>
                <w:sz w:val="24"/>
              </w:rPr>
            </w:pPr>
            <w:r>
              <w:rPr>
                <w:color w:val="231F20"/>
                <w:spacing w:val="-3"/>
                <w:sz w:val="24"/>
              </w:rPr>
              <w:t>178-188</w:t>
            </w:r>
          </w:p>
        </w:tc>
      </w:tr>
    </w:tbl>
    <w:p w14:paraId="58095E24" w14:textId="77777777" w:rsidR="00345EE3" w:rsidRDefault="00345EE3" w:rsidP="002A27BA">
      <w:pPr>
        <w:pStyle w:val="Heading3"/>
        <w:numPr>
          <w:ilvl w:val="1"/>
          <w:numId w:val="44"/>
        </w:numPr>
      </w:pPr>
      <w:r>
        <w:t>Financial</w:t>
      </w:r>
      <w:r>
        <w:rPr>
          <w:spacing w:val="-3"/>
        </w:rPr>
        <w:t xml:space="preserve"> </w:t>
      </w:r>
      <w:r>
        <w:t>Instruments</w:t>
      </w:r>
      <w:r>
        <w:rPr>
          <w:spacing w:val="-4"/>
        </w:rPr>
        <w:t xml:space="preserve"> </w:t>
      </w:r>
      <w:r>
        <w:t>Specific</w:t>
      </w:r>
      <w:r>
        <w:rPr>
          <w:spacing w:val="-3"/>
        </w:rPr>
        <w:t xml:space="preserve"> </w:t>
      </w:r>
      <w:r>
        <w:rPr>
          <w:spacing w:val="-2"/>
        </w:rPr>
        <w:t>Disclosures</w:t>
      </w:r>
    </w:p>
    <w:p w14:paraId="7A6D6643" w14:textId="77777777" w:rsidR="00345EE3" w:rsidRDefault="00345EE3" w:rsidP="00345EE3">
      <w:pPr>
        <w:pStyle w:val="Heading5"/>
        <w:spacing w:before="109"/>
      </w:pPr>
      <w:r>
        <w:rPr>
          <w:color w:val="58595B"/>
          <w:spacing w:val="-2"/>
        </w:rPr>
        <w:t>Introduction</w:t>
      </w:r>
    </w:p>
    <w:p w14:paraId="51F91AB7" w14:textId="77777777" w:rsidR="00345EE3" w:rsidRDefault="00345EE3" w:rsidP="00345EE3">
      <w:pPr>
        <w:pStyle w:val="BodyText"/>
        <w:spacing w:before="4" w:line="242" w:lineRule="auto"/>
        <w:ind w:right="381"/>
      </w:pPr>
      <w:r>
        <w:rPr>
          <w:color w:val="231F20"/>
        </w:rPr>
        <w:t>Financial</w:t>
      </w:r>
      <w:r>
        <w:rPr>
          <w:color w:val="231F20"/>
          <w:spacing w:val="-10"/>
        </w:rPr>
        <w:t xml:space="preserve"> </w:t>
      </w:r>
      <w:r>
        <w:rPr>
          <w:color w:val="231F20"/>
        </w:rPr>
        <w:t>instruments</w:t>
      </w:r>
      <w:r>
        <w:rPr>
          <w:color w:val="231F20"/>
          <w:spacing w:val="-9"/>
        </w:rPr>
        <w:t xml:space="preserve"> </w:t>
      </w:r>
      <w:r>
        <w:rPr>
          <w:color w:val="231F20"/>
        </w:rPr>
        <w:t>arise</w:t>
      </w:r>
      <w:r>
        <w:rPr>
          <w:color w:val="231F20"/>
          <w:spacing w:val="-10"/>
        </w:rPr>
        <w:t xml:space="preserve"> </w:t>
      </w:r>
      <w:r>
        <w:rPr>
          <w:color w:val="231F20"/>
        </w:rPr>
        <w:t>out</w:t>
      </w:r>
      <w:r>
        <w:rPr>
          <w:color w:val="231F20"/>
          <w:spacing w:val="-9"/>
        </w:rPr>
        <w:t xml:space="preserve"> </w:t>
      </w:r>
      <w:r>
        <w:rPr>
          <w:color w:val="231F20"/>
        </w:rPr>
        <w:t>of</w:t>
      </w:r>
      <w:r>
        <w:rPr>
          <w:color w:val="231F20"/>
          <w:spacing w:val="-9"/>
        </w:rPr>
        <w:t xml:space="preserve"> </w:t>
      </w:r>
      <w:r>
        <w:rPr>
          <w:color w:val="231F20"/>
        </w:rPr>
        <w:t>contractual</w:t>
      </w:r>
      <w:r>
        <w:rPr>
          <w:color w:val="231F20"/>
          <w:spacing w:val="-10"/>
        </w:rPr>
        <w:t xml:space="preserve"> </w:t>
      </w:r>
      <w:r>
        <w:rPr>
          <w:color w:val="231F20"/>
        </w:rPr>
        <w:t>agreements</w:t>
      </w:r>
      <w:r>
        <w:rPr>
          <w:color w:val="231F20"/>
          <w:spacing w:val="-9"/>
        </w:rPr>
        <w:t xml:space="preserve"> </w:t>
      </w:r>
      <w:r>
        <w:rPr>
          <w:color w:val="231F20"/>
        </w:rPr>
        <w:t>that</w:t>
      </w:r>
      <w:r>
        <w:rPr>
          <w:color w:val="231F20"/>
          <w:spacing w:val="-9"/>
        </w:rPr>
        <w:t xml:space="preserve"> </w:t>
      </w:r>
      <w:r>
        <w:rPr>
          <w:color w:val="231F20"/>
        </w:rPr>
        <w:t>give</w:t>
      </w:r>
      <w:r>
        <w:rPr>
          <w:color w:val="231F20"/>
          <w:spacing w:val="-10"/>
        </w:rPr>
        <w:t xml:space="preserve"> </w:t>
      </w:r>
      <w:r>
        <w:rPr>
          <w:color w:val="231F20"/>
        </w:rPr>
        <w:t>rise</w:t>
      </w:r>
      <w:r>
        <w:rPr>
          <w:color w:val="231F20"/>
          <w:spacing w:val="-10"/>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financial</w:t>
      </w:r>
      <w:r>
        <w:rPr>
          <w:color w:val="231F20"/>
          <w:spacing w:val="-10"/>
        </w:rPr>
        <w:t xml:space="preserve"> </w:t>
      </w:r>
      <w:r>
        <w:rPr>
          <w:color w:val="231F20"/>
        </w:rPr>
        <w:t>asset</w:t>
      </w:r>
      <w:r>
        <w:rPr>
          <w:color w:val="231F20"/>
          <w:spacing w:val="-9"/>
        </w:rPr>
        <w:t xml:space="preserve"> </w:t>
      </w:r>
      <w:r>
        <w:rPr>
          <w:color w:val="231F20"/>
        </w:rPr>
        <w:t>of one entity and a financial liability or equity instrument of another entity. Due to the nature of Victoria Police’s activities, certain financial assets and financial liabilities arise under statute rather than a contract (for example taxes, fines and penalties).</w:t>
      </w:r>
    </w:p>
    <w:p w14:paraId="5C82BA6B" w14:textId="77777777" w:rsidR="00345EE3" w:rsidRDefault="00345EE3" w:rsidP="00345EE3">
      <w:pPr>
        <w:pStyle w:val="BodyText"/>
        <w:spacing w:before="119" w:line="242" w:lineRule="auto"/>
      </w:pPr>
      <w:r>
        <w:rPr>
          <w:color w:val="231F20"/>
        </w:rPr>
        <w:t>Guarantees issued by the Treasurer of Victoria on behalf of Victoria Police are financial instruments</w:t>
      </w:r>
      <w:r>
        <w:rPr>
          <w:color w:val="231F20"/>
          <w:spacing w:val="-11"/>
        </w:rPr>
        <w:t xml:space="preserve"> </w:t>
      </w:r>
      <w:r>
        <w:rPr>
          <w:color w:val="231F20"/>
        </w:rPr>
        <w:t>because,</w:t>
      </w:r>
      <w:r>
        <w:rPr>
          <w:color w:val="231F20"/>
          <w:spacing w:val="-11"/>
        </w:rPr>
        <w:t xml:space="preserve"> </w:t>
      </w:r>
      <w:r>
        <w:rPr>
          <w:color w:val="231F20"/>
        </w:rPr>
        <w:t>although</w:t>
      </w:r>
      <w:r>
        <w:rPr>
          <w:color w:val="231F20"/>
          <w:spacing w:val="-12"/>
        </w:rPr>
        <w:t xml:space="preserve"> </w:t>
      </w:r>
      <w:r>
        <w:rPr>
          <w:color w:val="231F20"/>
        </w:rPr>
        <w:t>authorised</w:t>
      </w:r>
      <w:r>
        <w:rPr>
          <w:color w:val="231F20"/>
          <w:spacing w:val="-12"/>
        </w:rPr>
        <w:t xml:space="preserve"> </w:t>
      </w:r>
      <w:r>
        <w:rPr>
          <w:color w:val="231F20"/>
        </w:rPr>
        <w:t>under</w:t>
      </w:r>
      <w:r>
        <w:rPr>
          <w:color w:val="231F20"/>
          <w:spacing w:val="-11"/>
        </w:rPr>
        <w:t xml:space="preserve"> </w:t>
      </w:r>
      <w:r>
        <w:rPr>
          <w:color w:val="231F20"/>
        </w:rPr>
        <w:t>statute,</w:t>
      </w:r>
      <w:r>
        <w:rPr>
          <w:color w:val="231F20"/>
          <w:spacing w:val="-11"/>
        </w:rPr>
        <w:t xml:space="preserve"> </w:t>
      </w:r>
      <w:r>
        <w:rPr>
          <w:color w:val="231F20"/>
        </w:rPr>
        <w:t>terms</w:t>
      </w:r>
      <w:r>
        <w:rPr>
          <w:color w:val="231F20"/>
          <w:spacing w:val="-11"/>
        </w:rPr>
        <w:t xml:space="preserve"> </w:t>
      </w:r>
      <w:r>
        <w:rPr>
          <w:color w:val="231F20"/>
        </w:rPr>
        <w:t>and</w:t>
      </w:r>
      <w:r>
        <w:rPr>
          <w:color w:val="231F20"/>
          <w:spacing w:val="-12"/>
        </w:rPr>
        <w:t xml:space="preserve"> </w:t>
      </w:r>
      <w:r>
        <w:rPr>
          <w:color w:val="231F20"/>
        </w:rPr>
        <w:t>conditions</w:t>
      </w:r>
      <w:r>
        <w:rPr>
          <w:color w:val="231F20"/>
          <w:spacing w:val="-11"/>
        </w:rPr>
        <w:t xml:space="preserve"> </w:t>
      </w:r>
      <w:r>
        <w:rPr>
          <w:color w:val="231F20"/>
        </w:rPr>
        <w:t>for</w:t>
      </w:r>
      <w:r>
        <w:rPr>
          <w:color w:val="231F20"/>
          <w:spacing w:val="-11"/>
        </w:rPr>
        <w:t xml:space="preserve"> </w:t>
      </w:r>
      <w:r>
        <w:rPr>
          <w:color w:val="231F20"/>
        </w:rPr>
        <w:t>each</w:t>
      </w:r>
      <w:r>
        <w:rPr>
          <w:color w:val="231F20"/>
          <w:spacing w:val="-12"/>
        </w:rPr>
        <w:t xml:space="preserve"> </w:t>
      </w:r>
      <w:r>
        <w:rPr>
          <w:color w:val="231F20"/>
        </w:rPr>
        <w:t>financial guarantee may vary and are subject to an agreement.</w:t>
      </w:r>
    </w:p>
    <w:p w14:paraId="1E366FD8" w14:textId="77777777" w:rsidR="00345EE3" w:rsidRDefault="00345EE3" w:rsidP="00345EE3">
      <w:pPr>
        <w:pStyle w:val="Heading5"/>
        <w:spacing w:before="173" w:line="343" w:lineRule="auto"/>
        <w:ind w:right="5911"/>
      </w:pPr>
      <w:r>
        <w:rPr>
          <w:color w:val="58595B"/>
        </w:rPr>
        <w:t xml:space="preserve">Categories of financial assets </w:t>
      </w:r>
      <w:r>
        <w:rPr>
          <w:color w:val="231F20"/>
        </w:rPr>
        <w:t>Financial</w:t>
      </w:r>
      <w:r>
        <w:rPr>
          <w:color w:val="231F20"/>
          <w:spacing w:val="-6"/>
        </w:rPr>
        <w:t xml:space="preserve"> </w:t>
      </w:r>
      <w:r>
        <w:rPr>
          <w:color w:val="231F20"/>
        </w:rPr>
        <w:t>assets</w:t>
      </w:r>
      <w:r>
        <w:rPr>
          <w:color w:val="231F20"/>
          <w:spacing w:val="-7"/>
        </w:rPr>
        <w:t xml:space="preserve"> </w:t>
      </w:r>
      <w:r>
        <w:rPr>
          <w:color w:val="231F20"/>
        </w:rPr>
        <w:t>at</w:t>
      </w:r>
      <w:r>
        <w:rPr>
          <w:color w:val="231F20"/>
          <w:spacing w:val="-7"/>
        </w:rPr>
        <w:t xml:space="preserve"> </w:t>
      </w:r>
      <w:r>
        <w:rPr>
          <w:color w:val="231F20"/>
        </w:rPr>
        <w:t>amortised</w:t>
      </w:r>
      <w:r>
        <w:rPr>
          <w:color w:val="231F20"/>
          <w:spacing w:val="-6"/>
        </w:rPr>
        <w:t xml:space="preserve"> </w:t>
      </w:r>
      <w:r>
        <w:rPr>
          <w:color w:val="231F20"/>
        </w:rPr>
        <w:t>cost</w:t>
      </w:r>
    </w:p>
    <w:p w14:paraId="296D6432" w14:textId="77777777" w:rsidR="00345EE3" w:rsidRDefault="00345EE3" w:rsidP="00345EE3">
      <w:pPr>
        <w:pStyle w:val="BodyText"/>
        <w:spacing w:line="217" w:lineRule="exact"/>
      </w:pPr>
      <w:r>
        <w:rPr>
          <w:color w:val="231F20"/>
        </w:rPr>
        <w:t>Financial</w:t>
      </w:r>
      <w:r>
        <w:rPr>
          <w:color w:val="231F20"/>
          <w:spacing w:val="-8"/>
        </w:rPr>
        <w:t xml:space="preserve"> </w:t>
      </w:r>
      <w:r>
        <w:rPr>
          <w:color w:val="231F20"/>
        </w:rPr>
        <w:t>assets</w:t>
      </w:r>
      <w:r>
        <w:rPr>
          <w:color w:val="231F20"/>
          <w:spacing w:val="-6"/>
        </w:rPr>
        <w:t xml:space="preserve"> </w:t>
      </w:r>
      <w:r>
        <w:rPr>
          <w:color w:val="231F20"/>
        </w:rPr>
        <w:t>are</w:t>
      </w:r>
      <w:r>
        <w:rPr>
          <w:color w:val="231F20"/>
          <w:spacing w:val="-7"/>
        </w:rPr>
        <w:t xml:space="preserve"> </w:t>
      </w:r>
      <w:r>
        <w:rPr>
          <w:color w:val="231F20"/>
        </w:rPr>
        <w:t>measured</w:t>
      </w:r>
      <w:r>
        <w:rPr>
          <w:color w:val="231F20"/>
          <w:spacing w:val="-7"/>
        </w:rPr>
        <w:t xml:space="preserve"> </w:t>
      </w:r>
      <w:r>
        <w:rPr>
          <w:color w:val="231F20"/>
        </w:rPr>
        <w:t>at</w:t>
      </w:r>
      <w:r>
        <w:rPr>
          <w:color w:val="231F20"/>
          <w:spacing w:val="-6"/>
        </w:rPr>
        <w:t xml:space="preserve"> </w:t>
      </w:r>
      <w:r>
        <w:rPr>
          <w:color w:val="231F20"/>
        </w:rPr>
        <w:t>amortised</w:t>
      </w:r>
      <w:r>
        <w:rPr>
          <w:color w:val="231F20"/>
          <w:spacing w:val="-7"/>
        </w:rPr>
        <w:t xml:space="preserve"> </w:t>
      </w:r>
      <w:r>
        <w:rPr>
          <w:color w:val="231F20"/>
        </w:rPr>
        <w:t>costs</w:t>
      </w:r>
      <w:r>
        <w:rPr>
          <w:color w:val="231F20"/>
          <w:spacing w:val="-6"/>
        </w:rPr>
        <w:t xml:space="preserve"> </w:t>
      </w:r>
      <w:r>
        <w:rPr>
          <w:color w:val="231F20"/>
        </w:rPr>
        <w:t>if</w:t>
      </w:r>
      <w:r>
        <w:rPr>
          <w:color w:val="231F20"/>
          <w:spacing w:val="-6"/>
        </w:rPr>
        <w:t xml:space="preserve"> </w:t>
      </w:r>
      <w:r>
        <w:rPr>
          <w:color w:val="231F20"/>
        </w:rPr>
        <w:t>both</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following</w:t>
      </w:r>
      <w:r>
        <w:rPr>
          <w:color w:val="231F20"/>
          <w:spacing w:val="-7"/>
        </w:rPr>
        <w:t xml:space="preserve"> </w:t>
      </w:r>
      <w:r>
        <w:rPr>
          <w:color w:val="231F20"/>
        </w:rPr>
        <w:t>criteria</w:t>
      </w:r>
      <w:r>
        <w:rPr>
          <w:color w:val="231F20"/>
          <w:spacing w:val="-7"/>
        </w:rPr>
        <w:t xml:space="preserve"> </w:t>
      </w:r>
      <w:r>
        <w:rPr>
          <w:color w:val="231F20"/>
        </w:rPr>
        <w:t>are</w:t>
      </w:r>
      <w:r>
        <w:rPr>
          <w:color w:val="231F20"/>
          <w:spacing w:val="-7"/>
        </w:rPr>
        <w:t xml:space="preserve"> </w:t>
      </w:r>
      <w:r>
        <w:rPr>
          <w:color w:val="231F20"/>
        </w:rPr>
        <w:t>met</w:t>
      </w:r>
      <w:r>
        <w:rPr>
          <w:color w:val="231F20"/>
          <w:spacing w:val="-6"/>
        </w:rPr>
        <w:t xml:space="preserve"> </w:t>
      </w:r>
      <w:r>
        <w:rPr>
          <w:color w:val="231F20"/>
        </w:rPr>
        <w:t>and</w:t>
      </w:r>
      <w:r>
        <w:rPr>
          <w:color w:val="231F20"/>
          <w:spacing w:val="-7"/>
        </w:rPr>
        <w:t xml:space="preserve"> </w:t>
      </w:r>
      <w:r>
        <w:rPr>
          <w:color w:val="231F20"/>
          <w:spacing w:val="-5"/>
        </w:rPr>
        <w:t>the</w:t>
      </w:r>
    </w:p>
    <w:p w14:paraId="64A9AAE1" w14:textId="77777777" w:rsidR="00345EE3" w:rsidRDefault="00345EE3" w:rsidP="00345EE3">
      <w:pPr>
        <w:pStyle w:val="BodyText"/>
        <w:spacing w:before="5"/>
      </w:pPr>
      <w:r>
        <w:rPr>
          <w:color w:val="231F20"/>
        </w:rPr>
        <w:t>assets</w:t>
      </w:r>
      <w:r>
        <w:rPr>
          <w:color w:val="231F20"/>
          <w:spacing w:val="-11"/>
        </w:rPr>
        <w:t xml:space="preserve"> </w:t>
      </w:r>
      <w:r>
        <w:rPr>
          <w:color w:val="231F20"/>
        </w:rPr>
        <w:t>are</w:t>
      </w:r>
      <w:r>
        <w:rPr>
          <w:color w:val="231F20"/>
          <w:spacing w:val="-9"/>
        </w:rPr>
        <w:t xml:space="preserve"> </w:t>
      </w:r>
      <w:r>
        <w:rPr>
          <w:color w:val="231F20"/>
        </w:rPr>
        <w:t>not</w:t>
      </w:r>
      <w:r>
        <w:rPr>
          <w:color w:val="231F20"/>
          <w:spacing w:val="-9"/>
        </w:rPr>
        <w:t xml:space="preserve"> </w:t>
      </w:r>
      <w:r>
        <w:rPr>
          <w:color w:val="231F20"/>
        </w:rPr>
        <w:t>designated</w:t>
      </w:r>
      <w:r>
        <w:rPr>
          <w:color w:val="231F20"/>
          <w:spacing w:val="-9"/>
        </w:rPr>
        <w:t xml:space="preserve"> </w:t>
      </w:r>
      <w:r>
        <w:rPr>
          <w:color w:val="231F20"/>
        </w:rPr>
        <w:t>as</w:t>
      </w:r>
      <w:r>
        <w:rPr>
          <w:color w:val="231F20"/>
          <w:spacing w:val="-9"/>
        </w:rPr>
        <w:t xml:space="preserve"> </w:t>
      </w:r>
      <w:r>
        <w:rPr>
          <w:color w:val="231F20"/>
        </w:rPr>
        <w:t>fair</w:t>
      </w:r>
      <w:r>
        <w:rPr>
          <w:color w:val="231F20"/>
          <w:spacing w:val="-8"/>
        </w:rPr>
        <w:t xml:space="preserve"> </w:t>
      </w:r>
      <w:r>
        <w:rPr>
          <w:color w:val="231F20"/>
        </w:rPr>
        <w:t>value</w:t>
      </w:r>
      <w:r>
        <w:rPr>
          <w:color w:val="231F20"/>
          <w:spacing w:val="-10"/>
        </w:rPr>
        <w:t xml:space="preserve"> </w:t>
      </w:r>
      <w:r>
        <w:rPr>
          <w:color w:val="231F20"/>
        </w:rPr>
        <w:t>through</w:t>
      </w:r>
      <w:r>
        <w:rPr>
          <w:color w:val="231F20"/>
          <w:spacing w:val="-9"/>
        </w:rPr>
        <w:t xml:space="preserve"> </w:t>
      </w:r>
      <w:r>
        <w:rPr>
          <w:color w:val="231F20"/>
        </w:rPr>
        <w:t>net</w:t>
      </w:r>
      <w:r>
        <w:rPr>
          <w:color w:val="231F20"/>
          <w:spacing w:val="-8"/>
        </w:rPr>
        <w:t xml:space="preserve"> </w:t>
      </w:r>
      <w:r>
        <w:rPr>
          <w:color w:val="231F20"/>
          <w:spacing w:val="-2"/>
        </w:rPr>
        <w:t>result:</w:t>
      </w:r>
    </w:p>
    <w:p w14:paraId="5C0D55F9" w14:textId="77777777" w:rsidR="00345EE3" w:rsidRDefault="00345EE3">
      <w:pPr>
        <w:pStyle w:val="ListParagraph"/>
        <w:numPr>
          <w:ilvl w:val="0"/>
          <w:numId w:val="20"/>
        </w:numPr>
        <w:tabs>
          <w:tab w:val="left" w:pos="393"/>
          <w:tab w:val="left" w:pos="394"/>
        </w:tabs>
        <w:spacing w:before="31"/>
        <w:rPr>
          <w:sz w:val="24"/>
        </w:rPr>
      </w:pPr>
      <w:r>
        <w:rPr>
          <w:color w:val="231F20"/>
          <w:sz w:val="24"/>
        </w:rPr>
        <w:t>the</w:t>
      </w:r>
      <w:r>
        <w:rPr>
          <w:color w:val="231F20"/>
          <w:spacing w:val="-9"/>
          <w:sz w:val="24"/>
        </w:rPr>
        <w:t xml:space="preserve"> </w:t>
      </w:r>
      <w:r>
        <w:rPr>
          <w:color w:val="231F20"/>
          <w:sz w:val="24"/>
        </w:rPr>
        <w:t>assets</w:t>
      </w:r>
      <w:r>
        <w:rPr>
          <w:color w:val="231F20"/>
          <w:spacing w:val="-6"/>
          <w:sz w:val="24"/>
        </w:rPr>
        <w:t xml:space="preserve"> </w:t>
      </w:r>
      <w:r>
        <w:rPr>
          <w:color w:val="231F20"/>
          <w:sz w:val="24"/>
        </w:rPr>
        <w:t>are</w:t>
      </w:r>
      <w:r>
        <w:rPr>
          <w:color w:val="231F20"/>
          <w:spacing w:val="-7"/>
          <w:sz w:val="24"/>
        </w:rPr>
        <w:t xml:space="preserve"> </w:t>
      </w:r>
      <w:r>
        <w:rPr>
          <w:color w:val="231F20"/>
          <w:sz w:val="24"/>
        </w:rPr>
        <w:t>held</w:t>
      </w:r>
      <w:r>
        <w:rPr>
          <w:color w:val="231F20"/>
          <w:spacing w:val="-7"/>
          <w:sz w:val="24"/>
        </w:rPr>
        <w:t xml:space="preserve"> </w:t>
      </w:r>
      <w:r>
        <w:rPr>
          <w:color w:val="231F20"/>
          <w:sz w:val="24"/>
        </w:rPr>
        <w:t>by</w:t>
      </w:r>
      <w:r>
        <w:rPr>
          <w:color w:val="231F20"/>
          <w:spacing w:val="-6"/>
          <w:sz w:val="24"/>
        </w:rPr>
        <w:t xml:space="preserve"> </w:t>
      </w:r>
      <w:r>
        <w:rPr>
          <w:color w:val="231F20"/>
          <w:sz w:val="24"/>
        </w:rPr>
        <w:t>Victoria</w:t>
      </w:r>
      <w:r>
        <w:rPr>
          <w:color w:val="231F20"/>
          <w:spacing w:val="-7"/>
          <w:sz w:val="24"/>
        </w:rPr>
        <w:t xml:space="preserve"> </w:t>
      </w:r>
      <w:r>
        <w:rPr>
          <w:color w:val="231F20"/>
          <w:sz w:val="24"/>
        </w:rPr>
        <w:t>Police</w:t>
      </w:r>
      <w:r>
        <w:rPr>
          <w:color w:val="231F20"/>
          <w:spacing w:val="-7"/>
          <w:sz w:val="24"/>
        </w:rPr>
        <w:t xml:space="preserve"> </w:t>
      </w:r>
      <w:r>
        <w:rPr>
          <w:color w:val="231F20"/>
          <w:sz w:val="24"/>
        </w:rPr>
        <w:t>to</w:t>
      </w:r>
      <w:r>
        <w:rPr>
          <w:color w:val="231F20"/>
          <w:spacing w:val="-7"/>
          <w:sz w:val="24"/>
        </w:rPr>
        <w:t xml:space="preserve"> </w:t>
      </w:r>
      <w:r>
        <w:rPr>
          <w:color w:val="231F20"/>
          <w:sz w:val="24"/>
        </w:rPr>
        <w:t>collect</w:t>
      </w:r>
      <w:r>
        <w:rPr>
          <w:color w:val="231F20"/>
          <w:spacing w:val="-6"/>
          <w:sz w:val="24"/>
        </w:rPr>
        <w:t xml:space="preserve"> </w:t>
      </w:r>
      <w:r>
        <w:rPr>
          <w:color w:val="231F20"/>
          <w:sz w:val="24"/>
        </w:rPr>
        <w:t>the</w:t>
      </w:r>
      <w:r>
        <w:rPr>
          <w:color w:val="231F20"/>
          <w:spacing w:val="-7"/>
          <w:sz w:val="24"/>
        </w:rPr>
        <w:t xml:space="preserve"> </w:t>
      </w:r>
      <w:r>
        <w:rPr>
          <w:color w:val="231F20"/>
          <w:sz w:val="24"/>
        </w:rPr>
        <w:t>contractual</w:t>
      </w:r>
      <w:r>
        <w:rPr>
          <w:color w:val="231F20"/>
          <w:spacing w:val="-7"/>
          <w:sz w:val="24"/>
        </w:rPr>
        <w:t xml:space="preserve"> </w:t>
      </w:r>
      <w:r>
        <w:rPr>
          <w:color w:val="231F20"/>
          <w:sz w:val="24"/>
        </w:rPr>
        <w:t>cash</w:t>
      </w:r>
      <w:r>
        <w:rPr>
          <w:color w:val="231F20"/>
          <w:spacing w:val="-7"/>
          <w:sz w:val="24"/>
        </w:rPr>
        <w:t xml:space="preserve"> </w:t>
      </w:r>
      <w:r>
        <w:rPr>
          <w:color w:val="231F20"/>
          <w:sz w:val="24"/>
        </w:rPr>
        <w:t>flows,</w:t>
      </w:r>
      <w:r>
        <w:rPr>
          <w:color w:val="231F20"/>
          <w:spacing w:val="-5"/>
          <w:sz w:val="24"/>
        </w:rPr>
        <w:t xml:space="preserve"> and</w:t>
      </w:r>
    </w:p>
    <w:p w14:paraId="06A8224E" w14:textId="77777777" w:rsidR="00345EE3" w:rsidRDefault="00345EE3">
      <w:pPr>
        <w:pStyle w:val="ListParagraph"/>
        <w:numPr>
          <w:ilvl w:val="0"/>
          <w:numId w:val="20"/>
        </w:numPr>
        <w:tabs>
          <w:tab w:val="left" w:pos="393"/>
          <w:tab w:val="left" w:pos="394"/>
        </w:tabs>
        <w:spacing w:before="33" w:line="242" w:lineRule="auto"/>
        <w:ind w:right="283"/>
        <w:rPr>
          <w:sz w:val="24"/>
        </w:rPr>
      </w:pPr>
      <w:r>
        <w:rPr>
          <w:color w:val="231F20"/>
          <w:sz w:val="24"/>
        </w:rPr>
        <w:t>the</w:t>
      </w:r>
      <w:r>
        <w:rPr>
          <w:color w:val="231F20"/>
          <w:spacing w:val="-9"/>
          <w:sz w:val="24"/>
        </w:rPr>
        <w:t xml:space="preserve"> </w:t>
      </w:r>
      <w:r>
        <w:rPr>
          <w:color w:val="231F20"/>
          <w:sz w:val="24"/>
        </w:rPr>
        <w:t>assets’</w:t>
      </w:r>
      <w:r>
        <w:rPr>
          <w:color w:val="231F20"/>
          <w:spacing w:val="-9"/>
          <w:sz w:val="24"/>
        </w:rPr>
        <w:t xml:space="preserve"> </w:t>
      </w:r>
      <w:r>
        <w:rPr>
          <w:color w:val="231F20"/>
          <w:sz w:val="24"/>
        </w:rPr>
        <w:t>contractual</w:t>
      </w:r>
      <w:r>
        <w:rPr>
          <w:color w:val="231F20"/>
          <w:spacing w:val="-9"/>
          <w:sz w:val="24"/>
        </w:rPr>
        <w:t xml:space="preserve"> </w:t>
      </w:r>
      <w:r>
        <w:rPr>
          <w:color w:val="231F20"/>
          <w:sz w:val="24"/>
        </w:rPr>
        <w:t>terms</w:t>
      </w:r>
      <w:r>
        <w:rPr>
          <w:color w:val="231F20"/>
          <w:spacing w:val="-8"/>
          <w:sz w:val="24"/>
        </w:rPr>
        <w:t xml:space="preserve"> </w:t>
      </w:r>
      <w:r>
        <w:rPr>
          <w:color w:val="231F20"/>
          <w:sz w:val="24"/>
        </w:rPr>
        <w:t>give</w:t>
      </w:r>
      <w:r>
        <w:rPr>
          <w:color w:val="231F20"/>
          <w:spacing w:val="-9"/>
          <w:sz w:val="24"/>
        </w:rPr>
        <w:t xml:space="preserve"> </w:t>
      </w:r>
      <w:r>
        <w:rPr>
          <w:color w:val="231F20"/>
          <w:sz w:val="24"/>
        </w:rPr>
        <w:t>rise</w:t>
      </w:r>
      <w:r>
        <w:rPr>
          <w:color w:val="231F20"/>
          <w:spacing w:val="-9"/>
          <w:sz w:val="24"/>
        </w:rPr>
        <w:t xml:space="preserve"> </w:t>
      </w:r>
      <w:r>
        <w:rPr>
          <w:color w:val="231F20"/>
          <w:sz w:val="24"/>
        </w:rPr>
        <w:t>to</w:t>
      </w:r>
      <w:r>
        <w:rPr>
          <w:color w:val="231F20"/>
          <w:spacing w:val="-9"/>
          <w:sz w:val="24"/>
        </w:rPr>
        <w:t xml:space="preserve"> </w:t>
      </w:r>
      <w:r>
        <w:rPr>
          <w:color w:val="231F20"/>
          <w:sz w:val="24"/>
        </w:rPr>
        <w:t>cash</w:t>
      </w:r>
      <w:r>
        <w:rPr>
          <w:color w:val="231F20"/>
          <w:spacing w:val="-9"/>
          <w:sz w:val="24"/>
        </w:rPr>
        <w:t xml:space="preserve"> </w:t>
      </w:r>
      <w:r>
        <w:rPr>
          <w:color w:val="231F20"/>
          <w:sz w:val="24"/>
        </w:rPr>
        <w:t>flows</w:t>
      </w:r>
      <w:r>
        <w:rPr>
          <w:color w:val="231F20"/>
          <w:spacing w:val="-8"/>
          <w:sz w:val="24"/>
        </w:rPr>
        <w:t xml:space="preserve"> </w:t>
      </w:r>
      <w:r>
        <w:rPr>
          <w:color w:val="231F20"/>
          <w:sz w:val="24"/>
        </w:rPr>
        <w:t>that</w:t>
      </w:r>
      <w:r>
        <w:rPr>
          <w:color w:val="231F20"/>
          <w:spacing w:val="-8"/>
          <w:sz w:val="24"/>
        </w:rPr>
        <w:t xml:space="preserve"> </w:t>
      </w:r>
      <w:r>
        <w:rPr>
          <w:color w:val="231F20"/>
          <w:sz w:val="24"/>
        </w:rPr>
        <w:t>are</w:t>
      </w:r>
      <w:r>
        <w:rPr>
          <w:color w:val="231F20"/>
          <w:spacing w:val="-9"/>
          <w:sz w:val="24"/>
        </w:rPr>
        <w:t xml:space="preserve"> </w:t>
      </w:r>
      <w:r>
        <w:rPr>
          <w:color w:val="231F20"/>
          <w:sz w:val="24"/>
        </w:rPr>
        <w:t>solely</w:t>
      </w:r>
      <w:r>
        <w:rPr>
          <w:color w:val="231F20"/>
          <w:spacing w:val="-8"/>
          <w:sz w:val="24"/>
        </w:rPr>
        <w:t xml:space="preserve"> </w:t>
      </w:r>
      <w:r>
        <w:rPr>
          <w:color w:val="231F20"/>
          <w:sz w:val="24"/>
        </w:rPr>
        <w:t>payments</w:t>
      </w:r>
      <w:r>
        <w:rPr>
          <w:color w:val="231F20"/>
          <w:spacing w:val="-8"/>
          <w:sz w:val="24"/>
        </w:rPr>
        <w:t xml:space="preserve"> </w:t>
      </w:r>
      <w:r>
        <w:rPr>
          <w:color w:val="231F20"/>
          <w:sz w:val="24"/>
        </w:rPr>
        <w:t>of</w:t>
      </w:r>
      <w:r>
        <w:rPr>
          <w:color w:val="231F20"/>
          <w:spacing w:val="-8"/>
          <w:sz w:val="24"/>
        </w:rPr>
        <w:t xml:space="preserve"> </w:t>
      </w:r>
      <w:r>
        <w:rPr>
          <w:color w:val="231F20"/>
          <w:sz w:val="24"/>
        </w:rPr>
        <w:t>principal</w:t>
      </w:r>
      <w:r>
        <w:rPr>
          <w:color w:val="231F20"/>
          <w:spacing w:val="-9"/>
          <w:sz w:val="24"/>
        </w:rPr>
        <w:t xml:space="preserve"> </w:t>
      </w:r>
      <w:r>
        <w:rPr>
          <w:color w:val="231F20"/>
          <w:sz w:val="24"/>
        </w:rPr>
        <w:t xml:space="preserve">and </w:t>
      </w:r>
      <w:r>
        <w:rPr>
          <w:color w:val="231F20"/>
          <w:spacing w:val="-2"/>
          <w:sz w:val="24"/>
        </w:rPr>
        <w:t>interest.</w:t>
      </w:r>
    </w:p>
    <w:p w14:paraId="7B38AC93" w14:textId="77777777" w:rsidR="00345EE3" w:rsidRDefault="00345EE3" w:rsidP="00345EE3">
      <w:pPr>
        <w:pStyle w:val="BodyText"/>
        <w:spacing w:before="116" w:line="242" w:lineRule="auto"/>
      </w:pPr>
      <w:r>
        <w:rPr>
          <w:color w:val="231F20"/>
        </w:rPr>
        <w:t>These</w:t>
      </w:r>
      <w:r>
        <w:rPr>
          <w:color w:val="231F20"/>
          <w:spacing w:val="-10"/>
        </w:rPr>
        <w:t xml:space="preserve"> </w:t>
      </w:r>
      <w:r>
        <w:rPr>
          <w:color w:val="231F20"/>
        </w:rPr>
        <w:t>assets</w:t>
      </w:r>
      <w:r>
        <w:rPr>
          <w:color w:val="231F20"/>
          <w:spacing w:val="-9"/>
        </w:rPr>
        <w:t xml:space="preserve"> </w:t>
      </w:r>
      <w:r>
        <w:rPr>
          <w:color w:val="231F20"/>
        </w:rPr>
        <w:t>are</w:t>
      </w:r>
      <w:r>
        <w:rPr>
          <w:color w:val="231F20"/>
          <w:spacing w:val="-10"/>
        </w:rPr>
        <w:t xml:space="preserve"> </w:t>
      </w:r>
      <w:r>
        <w:rPr>
          <w:color w:val="231F20"/>
        </w:rPr>
        <w:t>initially</w:t>
      </w:r>
      <w:r>
        <w:rPr>
          <w:color w:val="231F20"/>
          <w:spacing w:val="-9"/>
        </w:rPr>
        <w:t xml:space="preserve"> </w:t>
      </w:r>
      <w:r>
        <w:rPr>
          <w:color w:val="231F20"/>
        </w:rPr>
        <w:t>recognised</w:t>
      </w:r>
      <w:r>
        <w:rPr>
          <w:color w:val="231F20"/>
          <w:spacing w:val="-10"/>
        </w:rPr>
        <w:t xml:space="preserve"> </w:t>
      </w:r>
      <w:r>
        <w:rPr>
          <w:color w:val="231F20"/>
        </w:rPr>
        <w:t>at</w:t>
      </w:r>
      <w:r>
        <w:rPr>
          <w:color w:val="231F20"/>
          <w:spacing w:val="-9"/>
        </w:rPr>
        <w:t xml:space="preserve"> </w:t>
      </w:r>
      <w:r>
        <w:rPr>
          <w:color w:val="231F20"/>
        </w:rPr>
        <w:t>fair</w:t>
      </w:r>
      <w:r>
        <w:rPr>
          <w:color w:val="231F20"/>
          <w:spacing w:val="-9"/>
        </w:rPr>
        <w:t xml:space="preserve"> </w:t>
      </w:r>
      <w:r>
        <w:rPr>
          <w:color w:val="231F20"/>
        </w:rPr>
        <w:t>value</w:t>
      </w:r>
      <w:r>
        <w:rPr>
          <w:color w:val="231F20"/>
          <w:spacing w:val="-10"/>
        </w:rPr>
        <w:t xml:space="preserve"> </w:t>
      </w:r>
      <w:r>
        <w:rPr>
          <w:color w:val="231F20"/>
        </w:rPr>
        <w:t>plus</w:t>
      </w:r>
      <w:r>
        <w:rPr>
          <w:color w:val="231F20"/>
          <w:spacing w:val="-9"/>
        </w:rPr>
        <w:t xml:space="preserve"> </w:t>
      </w:r>
      <w:r>
        <w:rPr>
          <w:color w:val="231F20"/>
        </w:rPr>
        <w:t>any</w:t>
      </w:r>
      <w:r>
        <w:rPr>
          <w:color w:val="231F20"/>
          <w:spacing w:val="-9"/>
        </w:rPr>
        <w:t xml:space="preserve"> </w:t>
      </w:r>
      <w:r>
        <w:rPr>
          <w:color w:val="231F20"/>
        </w:rPr>
        <w:t>directly</w:t>
      </w:r>
      <w:r>
        <w:rPr>
          <w:color w:val="231F20"/>
          <w:spacing w:val="-9"/>
        </w:rPr>
        <w:t xml:space="preserve"> </w:t>
      </w:r>
      <w:r>
        <w:rPr>
          <w:color w:val="231F20"/>
        </w:rPr>
        <w:t>attributable</w:t>
      </w:r>
      <w:r>
        <w:rPr>
          <w:color w:val="231F20"/>
          <w:spacing w:val="-10"/>
        </w:rPr>
        <w:t xml:space="preserve"> </w:t>
      </w:r>
      <w:r>
        <w:rPr>
          <w:color w:val="231F20"/>
        </w:rPr>
        <w:t>transaction</w:t>
      </w:r>
      <w:r>
        <w:rPr>
          <w:color w:val="231F20"/>
          <w:spacing w:val="-10"/>
        </w:rPr>
        <w:t xml:space="preserve"> </w:t>
      </w:r>
      <w:r>
        <w:rPr>
          <w:color w:val="231F20"/>
        </w:rPr>
        <w:t xml:space="preserve">costs and subsequently measured at amortised cost using the effective interest method less any </w:t>
      </w:r>
      <w:r>
        <w:rPr>
          <w:color w:val="231F20"/>
          <w:spacing w:val="-2"/>
        </w:rPr>
        <w:t>impairment.</w:t>
      </w:r>
    </w:p>
    <w:p w14:paraId="484183FB" w14:textId="77777777" w:rsidR="00345EE3" w:rsidRDefault="00345EE3" w:rsidP="00345EE3">
      <w:pPr>
        <w:pStyle w:val="BodyText"/>
        <w:spacing w:before="117"/>
      </w:pPr>
      <w:r>
        <w:rPr>
          <w:color w:val="231F20"/>
        </w:rPr>
        <w:t>Victoria</w:t>
      </w:r>
      <w:r>
        <w:rPr>
          <w:color w:val="231F20"/>
          <w:spacing w:val="-11"/>
        </w:rPr>
        <w:t xml:space="preserve"> </w:t>
      </w:r>
      <w:r>
        <w:rPr>
          <w:color w:val="231F20"/>
        </w:rPr>
        <w:t>Police</w:t>
      </w:r>
      <w:r>
        <w:rPr>
          <w:color w:val="231F20"/>
          <w:spacing w:val="-8"/>
        </w:rPr>
        <w:t xml:space="preserve"> </w:t>
      </w:r>
      <w:r>
        <w:rPr>
          <w:color w:val="231F20"/>
        </w:rPr>
        <w:t>recognises</w:t>
      </w:r>
      <w:r>
        <w:rPr>
          <w:color w:val="231F20"/>
          <w:spacing w:val="-8"/>
        </w:rPr>
        <w:t xml:space="preserve"> </w:t>
      </w:r>
      <w:r>
        <w:rPr>
          <w:color w:val="231F20"/>
        </w:rPr>
        <w:t>the</w:t>
      </w:r>
      <w:r>
        <w:rPr>
          <w:color w:val="231F20"/>
          <w:spacing w:val="-8"/>
        </w:rPr>
        <w:t xml:space="preserve"> </w:t>
      </w:r>
      <w:r>
        <w:rPr>
          <w:color w:val="231F20"/>
        </w:rPr>
        <w:t>following</w:t>
      </w:r>
      <w:r>
        <w:rPr>
          <w:color w:val="231F20"/>
          <w:spacing w:val="-8"/>
        </w:rPr>
        <w:t xml:space="preserve"> </w:t>
      </w:r>
      <w:r>
        <w:rPr>
          <w:color w:val="231F20"/>
        </w:rPr>
        <w:t>assets</w:t>
      </w:r>
      <w:r>
        <w:rPr>
          <w:color w:val="231F20"/>
          <w:spacing w:val="-8"/>
        </w:rPr>
        <w:t xml:space="preserve"> </w:t>
      </w:r>
      <w:r>
        <w:rPr>
          <w:color w:val="231F20"/>
        </w:rPr>
        <w:t>in</w:t>
      </w:r>
      <w:r>
        <w:rPr>
          <w:color w:val="231F20"/>
          <w:spacing w:val="-8"/>
        </w:rPr>
        <w:t xml:space="preserve"> </w:t>
      </w:r>
      <w:r>
        <w:rPr>
          <w:color w:val="231F20"/>
        </w:rPr>
        <w:t>this</w:t>
      </w:r>
      <w:r>
        <w:rPr>
          <w:color w:val="231F20"/>
          <w:spacing w:val="-7"/>
        </w:rPr>
        <w:t xml:space="preserve"> </w:t>
      </w:r>
      <w:r>
        <w:rPr>
          <w:color w:val="231F20"/>
          <w:spacing w:val="-2"/>
        </w:rPr>
        <w:t>category:</w:t>
      </w:r>
    </w:p>
    <w:p w14:paraId="14710256" w14:textId="77777777" w:rsidR="00345EE3" w:rsidRDefault="00345EE3">
      <w:pPr>
        <w:pStyle w:val="ListParagraph"/>
        <w:numPr>
          <w:ilvl w:val="0"/>
          <w:numId w:val="20"/>
        </w:numPr>
        <w:tabs>
          <w:tab w:val="left" w:pos="393"/>
          <w:tab w:val="left" w:pos="394"/>
        </w:tabs>
        <w:spacing w:line="242" w:lineRule="auto"/>
        <w:ind w:right="452"/>
        <w:rPr>
          <w:sz w:val="24"/>
        </w:rPr>
      </w:pPr>
      <w:r>
        <w:rPr>
          <w:color w:val="231F20"/>
          <w:sz w:val="24"/>
        </w:rPr>
        <w:t>cash</w:t>
      </w:r>
      <w:r>
        <w:rPr>
          <w:color w:val="231F20"/>
          <w:spacing w:val="-12"/>
          <w:sz w:val="24"/>
        </w:rPr>
        <w:t xml:space="preserve"> </w:t>
      </w:r>
      <w:r>
        <w:rPr>
          <w:color w:val="231F20"/>
          <w:sz w:val="24"/>
        </w:rPr>
        <w:t>and</w:t>
      </w:r>
      <w:r>
        <w:rPr>
          <w:color w:val="231F20"/>
          <w:spacing w:val="-12"/>
          <w:sz w:val="24"/>
        </w:rPr>
        <w:t xml:space="preserve"> </w:t>
      </w:r>
      <w:r>
        <w:rPr>
          <w:color w:val="231F20"/>
          <w:sz w:val="24"/>
        </w:rPr>
        <w:t>deposits</w:t>
      </w:r>
      <w:r>
        <w:rPr>
          <w:color w:val="231F20"/>
          <w:spacing w:val="-11"/>
          <w:sz w:val="24"/>
        </w:rPr>
        <w:t xml:space="preserve"> </w:t>
      </w:r>
      <w:r>
        <w:rPr>
          <w:color w:val="231F20"/>
          <w:sz w:val="24"/>
        </w:rPr>
        <w:t>(which</w:t>
      </w:r>
      <w:r>
        <w:rPr>
          <w:color w:val="231F20"/>
          <w:spacing w:val="-12"/>
          <w:sz w:val="24"/>
        </w:rPr>
        <w:t xml:space="preserve"> </w:t>
      </w:r>
      <w:r>
        <w:rPr>
          <w:color w:val="231F20"/>
          <w:sz w:val="24"/>
        </w:rPr>
        <w:t>includes</w:t>
      </w:r>
      <w:r>
        <w:rPr>
          <w:color w:val="231F20"/>
          <w:spacing w:val="-11"/>
          <w:sz w:val="24"/>
        </w:rPr>
        <w:t xml:space="preserve"> </w:t>
      </w:r>
      <w:r>
        <w:rPr>
          <w:color w:val="231F20"/>
          <w:sz w:val="24"/>
        </w:rPr>
        <w:t>term</w:t>
      </w:r>
      <w:r>
        <w:rPr>
          <w:color w:val="231F20"/>
          <w:spacing w:val="-11"/>
          <w:sz w:val="24"/>
        </w:rPr>
        <w:t xml:space="preserve"> </w:t>
      </w:r>
      <w:r>
        <w:rPr>
          <w:color w:val="231F20"/>
          <w:sz w:val="24"/>
        </w:rPr>
        <w:t>deposits)</w:t>
      </w:r>
      <w:r>
        <w:rPr>
          <w:color w:val="231F20"/>
          <w:spacing w:val="-11"/>
          <w:sz w:val="24"/>
        </w:rPr>
        <w:t xml:space="preserve"> </w:t>
      </w:r>
      <w:r>
        <w:rPr>
          <w:color w:val="231F20"/>
          <w:sz w:val="24"/>
        </w:rPr>
        <w:t>–</w:t>
      </w:r>
      <w:r>
        <w:rPr>
          <w:color w:val="231F20"/>
          <w:spacing w:val="-12"/>
          <w:sz w:val="24"/>
        </w:rPr>
        <w:t xml:space="preserve"> </w:t>
      </w:r>
      <w:r>
        <w:rPr>
          <w:color w:val="231F20"/>
          <w:sz w:val="24"/>
        </w:rPr>
        <w:t>refer</w:t>
      </w:r>
      <w:r>
        <w:rPr>
          <w:color w:val="231F20"/>
          <w:spacing w:val="-11"/>
          <w:sz w:val="24"/>
        </w:rPr>
        <w:t xml:space="preserve"> </w:t>
      </w:r>
      <w:r>
        <w:rPr>
          <w:color w:val="231F20"/>
          <w:sz w:val="24"/>
        </w:rPr>
        <w:t>to</w:t>
      </w:r>
      <w:r>
        <w:rPr>
          <w:color w:val="231F20"/>
          <w:spacing w:val="-12"/>
          <w:sz w:val="24"/>
        </w:rPr>
        <w:t xml:space="preserve"> </w:t>
      </w:r>
      <w:r>
        <w:rPr>
          <w:color w:val="231F20"/>
          <w:sz w:val="24"/>
        </w:rPr>
        <w:t>Note</w:t>
      </w:r>
      <w:r>
        <w:rPr>
          <w:color w:val="231F20"/>
          <w:spacing w:val="-12"/>
          <w:sz w:val="24"/>
        </w:rPr>
        <w:t xml:space="preserve"> </w:t>
      </w:r>
      <w:r>
        <w:rPr>
          <w:color w:val="231F20"/>
          <w:sz w:val="24"/>
        </w:rPr>
        <w:t>7.3</w:t>
      </w:r>
      <w:r>
        <w:rPr>
          <w:color w:val="231F20"/>
          <w:spacing w:val="-11"/>
          <w:sz w:val="24"/>
        </w:rPr>
        <w:t xml:space="preserve"> </w:t>
      </w:r>
      <w:r>
        <w:rPr>
          <w:color w:val="231F20"/>
          <w:sz w:val="24"/>
        </w:rPr>
        <w:t>Cash</w:t>
      </w:r>
      <w:r>
        <w:rPr>
          <w:color w:val="231F20"/>
          <w:spacing w:val="-12"/>
          <w:sz w:val="24"/>
        </w:rPr>
        <w:t xml:space="preserve"> </w:t>
      </w:r>
      <w:r>
        <w:rPr>
          <w:color w:val="231F20"/>
          <w:sz w:val="24"/>
        </w:rPr>
        <w:t>Flow</w:t>
      </w:r>
      <w:r>
        <w:rPr>
          <w:color w:val="231F20"/>
          <w:spacing w:val="-12"/>
          <w:sz w:val="24"/>
        </w:rPr>
        <w:t xml:space="preserve"> </w:t>
      </w:r>
      <w:r>
        <w:rPr>
          <w:color w:val="231F20"/>
          <w:sz w:val="24"/>
        </w:rPr>
        <w:t>Information and Balances; and</w:t>
      </w:r>
    </w:p>
    <w:p w14:paraId="4E736207" w14:textId="77777777" w:rsidR="00345EE3" w:rsidRDefault="00345EE3">
      <w:pPr>
        <w:pStyle w:val="ListParagraph"/>
        <w:numPr>
          <w:ilvl w:val="0"/>
          <w:numId w:val="20"/>
        </w:numPr>
        <w:tabs>
          <w:tab w:val="left" w:pos="393"/>
          <w:tab w:val="left" w:pos="394"/>
        </w:tabs>
        <w:spacing w:before="31"/>
        <w:rPr>
          <w:sz w:val="24"/>
        </w:rPr>
      </w:pPr>
      <w:r>
        <w:rPr>
          <w:color w:val="231F20"/>
          <w:sz w:val="24"/>
        </w:rPr>
        <w:t>receivables</w:t>
      </w:r>
      <w:r>
        <w:rPr>
          <w:color w:val="231F20"/>
          <w:spacing w:val="-19"/>
          <w:sz w:val="24"/>
        </w:rPr>
        <w:t xml:space="preserve"> </w:t>
      </w:r>
      <w:r>
        <w:rPr>
          <w:color w:val="231F20"/>
          <w:sz w:val="24"/>
        </w:rPr>
        <w:t>(excluding</w:t>
      </w:r>
      <w:r>
        <w:rPr>
          <w:color w:val="231F20"/>
          <w:spacing w:val="-17"/>
          <w:sz w:val="24"/>
        </w:rPr>
        <w:t xml:space="preserve"> </w:t>
      </w:r>
      <w:r>
        <w:rPr>
          <w:color w:val="231F20"/>
          <w:sz w:val="24"/>
        </w:rPr>
        <w:t>statutory</w:t>
      </w:r>
      <w:r>
        <w:rPr>
          <w:color w:val="231F20"/>
          <w:spacing w:val="-16"/>
          <w:sz w:val="24"/>
        </w:rPr>
        <w:t xml:space="preserve"> </w:t>
      </w:r>
      <w:r>
        <w:rPr>
          <w:color w:val="231F20"/>
          <w:sz w:val="24"/>
        </w:rPr>
        <w:t>receivables)</w:t>
      </w:r>
      <w:r>
        <w:rPr>
          <w:color w:val="231F20"/>
          <w:spacing w:val="-17"/>
          <w:sz w:val="24"/>
        </w:rPr>
        <w:t xml:space="preserve"> </w:t>
      </w:r>
      <w:r>
        <w:rPr>
          <w:color w:val="231F20"/>
          <w:sz w:val="24"/>
        </w:rPr>
        <w:t>–</w:t>
      </w:r>
      <w:r>
        <w:rPr>
          <w:color w:val="231F20"/>
          <w:spacing w:val="-17"/>
          <w:sz w:val="24"/>
        </w:rPr>
        <w:t xml:space="preserve"> </w:t>
      </w:r>
      <w:r>
        <w:rPr>
          <w:color w:val="231F20"/>
          <w:sz w:val="24"/>
        </w:rPr>
        <w:t>refer</w:t>
      </w:r>
      <w:r>
        <w:rPr>
          <w:color w:val="231F20"/>
          <w:spacing w:val="-16"/>
          <w:sz w:val="24"/>
        </w:rPr>
        <w:t xml:space="preserve"> </w:t>
      </w:r>
      <w:r>
        <w:rPr>
          <w:color w:val="231F20"/>
          <w:sz w:val="24"/>
        </w:rPr>
        <w:t>to</w:t>
      </w:r>
      <w:r>
        <w:rPr>
          <w:color w:val="231F20"/>
          <w:spacing w:val="-17"/>
          <w:sz w:val="24"/>
        </w:rPr>
        <w:t xml:space="preserve"> </w:t>
      </w:r>
      <w:r>
        <w:rPr>
          <w:color w:val="231F20"/>
          <w:sz w:val="24"/>
        </w:rPr>
        <w:t>Note</w:t>
      </w:r>
      <w:r>
        <w:rPr>
          <w:color w:val="231F20"/>
          <w:spacing w:val="-17"/>
          <w:sz w:val="24"/>
        </w:rPr>
        <w:t xml:space="preserve"> </w:t>
      </w:r>
      <w:r>
        <w:rPr>
          <w:color w:val="231F20"/>
          <w:sz w:val="24"/>
        </w:rPr>
        <w:t>6.1</w:t>
      </w:r>
      <w:r>
        <w:rPr>
          <w:color w:val="231F20"/>
          <w:spacing w:val="-16"/>
          <w:sz w:val="24"/>
        </w:rPr>
        <w:t xml:space="preserve"> </w:t>
      </w:r>
      <w:r>
        <w:rPr>
          <w:color w:val="231F20"/>
          <w:spacing w:val="-2"/>
          <w:sz w:val="24"/>
        </w:rPr>
        <w:t>Receivables.</w:t>
      </w:r>
    </w:p>
    <w:p w14:paraId="3B8476A4" w14:textId="77777777" w:rsidR="00345EE3" w:rsidRDefault="00345EE3" w:rsidP="00345EE3">
      <w:pPr>
        <w:pStyle w:val="Heading5"/>
        <w:spacing w:before="174"/>
      </w:pPr>
      <w:r>
        <w:rPr>
          <w:color w:val="58595B"/>
        </w:rPr>
        <w:t>Categories</w:t>
      </w:r>
      <w:r>
        <w:rPr>
          <w:color w:val="58595B"/>
          <w:spacing w:val="-4"/>
        </w:rPr>
        <w:t xml:space="preserve"> </w:t>
      </w:r>
      <w:r>
        <w:rPr>
          <w:color w:val="58595B"/>
        </w:rPr>
        <w:t>of</w:t>
      </w:r>
      <w:r>
        <w:rPr>
          <w:color w:val="58595B"/>
          <w:spacing w:val="-3"/>
        </w:rPr>
        <w:t xml:space="preserve"> </w:t>
      </w:r>
      <w:r>
        <w:rPr>
          <w:color w:val="58595B"/>
        </w:rPr>
        <w:t>financial</w:t>
      </w:r>
      <w:r>
        <w:rPr>
          <w:color w:val="58595B"/>
          <w:spacing w:val="-3"/>
        </w:rPr>
        <w:t xml:space="preserve"> </w:t>
      </w:r>
      <w:r>
        <w:rPr>
          <w:color w:val="58595B"/>
          <w:spacing w:val="-2"/>
        </w:rPr>
        <w:t>liabilities</w:t>
      </w:r>
    </w:p>
    <w:p w14:paraId="63C85215" w14:textId="77777777" w:rsidR="00345EE3" w:rsidRDefault="00345EE3" w:rsidP="00345EE3">
      <w:pPr>
        <w:spacing w:before="4" w:line="242" w:lineRule="auto"/>
        <w:ind w:left="110"/>
        <w:rPr>
          <w:sz w:val="24"/>
        </w:rPr>
      </w:pPr>
      <w:r>
        <w:rPr>
          <w:b/>
          <w:color w:val="231F20"/>
          <w:sz w:val="24"/>
        </w:rPr>
        <w:t>Financial</w:t>
      </w:r>
      <w:r>
        <w:rPr>
          <w:b/>
          <w:color w:val="231F20"/>
          <w:spacing w:val="-6"/>
          <w:sz w:val="24"/>
        </w:rPr>
        <w:t xml:space="preserve"> </w:t>
      </w:r>
      <w:r>
        <w:rPr>
          <w:b/>
          <w:color w:val="231F20"/>
          <w:sz w:val="24"/>
        </w:rPr>
        <w:t>liabilities</w:t>
      </w:r>
      <w:r>
        <w:rPr>
          <w:b/>
          <w:color w:val="231F20"/>
          <w:spacing w:val="-7"/>
          <w:sz w:val="24"/>
        </w:rPr>
        <w:t xml:space="preserve"> </w:t>
      </w:r>
      <w:r>
        <w:rPr>
          <w:b/>
          <w:color w:val="231F20"/>
          <w:sz w:val="24"/>
        </w:rPr>
        <w:t>at</w:t>
      </w:r>
      <w:r>
        <w:rPr>
          <w:b/>
          <w:color w:val="231F20"/>
          <w:spacing w:val="-7"/>
          <w:sz w:val="24"/>
        </w:rPr>
        <w:t xml:space="preserve"> </w:t>
      </w:r>
      <w:r>
        <w:rPr>
          <w:b/>
          <w:color w:val="231F20"/>
          <w:sz w:val="24"/>
        </w:rPr>
        <w:t>amortised</w:t>
      </w:r>
      <w:r>
        <w:rPr>
          <w:b/>
          <w:color w:val="231F20"/>
          <w:spacing w:val="-6"/>
          <w:sz w:val="24"/>
        </w:rPr>
        <w:t xml:space="preserve"> </w:t>
      </w:r>
      <w:r>
        <w:rPr>
          <w:b/>
          <w:color w:val="231F20"/>
          <w:sz w:val="24"/>
        </w:rPr>
        <w:t>cost</w:t>
      </w:r>
      <w:r>
        <w:rPr>
          <w:b/>
          <w:color w:val="231F20"/>
          <w:spacing w:val="-6"/>
          <w:sz w:val="24"/>
        </w:rPr>
        <w:t xml:space="preserve"> </w:t>
      </w:r>
      <w:r>
        <w:rPr>
          <w:color w:val="231F20"/>
          <w:sz w:val="24"/>
        </w:rPr>
        <w:t>are</w:t>
      </w:r>
      <w:r>
        <w:rPr>
          <w:color w:val="231F20"/>
          <w:spacing w:val="-7"/>
          <w:sz w:val="24"/>
        </w:rPr>
        <w:t xml:space="preserve"> </w:t>
      </w:r>
      <w:r>
        <w:rPr>
          <w:color w:val="231F20"/>
          <w:sz w:val="24"/>
        </w:rPr>
        <w:t>initially</w:t>
      </w:r>
      <w:r>
        <w:rPr>
          <w:color w:val="231F20"/>
          <w:spacing w:val="-6"/>
          <w:sz w:val="24"/>
        </w:rPr>
        <w:t xml:space="preserve"> </w:t>
      </w:r>
      <w:r>
        <w:rPr>
          <w:color w:val="231F20"/>
          <w:sz w:val="24"/>
        </w:rPr>
        <w:t>recognised</w:t>
      </w:r>
      <w:r>
        <w:rPr>
          <w:color w:val="231F20"/>
          <w:spacing w:val="-7"/>
          <w:sz w:val="24"/>
        </w:rPr>
        <w:t xml:space="preserve"> </w:t>
      </w:r>
      <w:r>
        <w:rPr>
          <w:color w:val="231F20"/>
          <w:sz w:val="24"/>
        </w:rPr>
        <w:t>on</w:t>
      </w:r>
      <w:r>
        <w:rPr>
          <w:color w:val="231F20"/>
          <w:spacing w:val="-7"/>
          <w:sz w:val="24"/>
        </w:rPr>
        <w:t xml:space="preserve"> </w:t>
      </w:r>
      <w:r>
        <w:rPr>
          <w:color w:val="231F20"/>
          <w:sz w:val="24"/>
        </w:rPr>
        <w:t>the</w:t>
      </w:r>
      <w:r>
        <w:rPr>
          <w:color w:val="231F20"/>
          <w:spacing w:val="-7"/>
          <w:sz w:val="24"/>
        </w:rPr>
        <w:t xml:space="preserve"> </w:t>
      </w:r>
      <w:r>
        <w:rPr>
          <w:color w:val="231F20"/>
          <w:sz w:val="24"/>
        </w:rPr>
        <w:t>date</w:t>
      </w:r>
      <w:r>
        <w:rPr>
          <w:color w:val="231F20"/>
          <w:spacing w:val="-7"/>
          <w:sz w:val="24"/>
        </w:rPr>
        <w:t xml:space="preserve"> </w:t>
      </w:r>
      <w:r>
        <w:rPr>
          <w:color w:val="231F20"/>
          <w:sz w:val="24"/>
        </w:rPr>
        <w:t>they</w:t>
      </w:r>
      <w:r>
        <w:rPr>
          <w:color w:val="231F20"/>
          <w:spacing w:val="-6"/>
          <w:sz w:val="24"/>
        </w:rPr>
        <w:t xml:space="preserve"> </w:t>
      </w:r>
      <w:r>
        <w:rPr>
          <w:color w:val="231F20"/>
          <w:sz w:val="24"/>
        </w:rPr>
        <w:t>are</w:t>
      </w:r>
      <w:r>
        <w:rPr>
          <w:color w:val="231F20"/>
          <w:spacing w:val="-7"/>
          <w:sz w:val="24"/>
        </w:rPr>
        <w:t xml:space="preserve"> </w:t>
      </w:r>
      <w:r>
        <w:rPr>
          <w:color w:val="231F20"/>
          <w:sz w:val="24"/>
        </w:rPr>
        <w:t>originated. They are initially measured at fair value plus any directly attributable transaction costs.</w:t>
      </w:r>
    </w:p>
    <w:p w14:paraId="1701EE09" w14:textId="77777777" w:rsidR="00345EE3" w:rsidRDefault="00345EE3" w:rsidP="00345EE3">
      <w:pPr>
        <w:pStyle w:val="BodyText"/>
        <w:spacing w:before="3" w:line="242" w:lineRule="auto"/>
        <w:ind w:right="109"/>
      </w:pPr>
      <w:r>
        <w:rPr>
          <w:color w:val="231F20"/>
        </w:rPr>
        <w:t>Subsequent to initial recognition, these financial instruments are measured at amortised cost with any difference between the initial recognised amount and the redemption value being recognised in the Comprehensive Operating Statement over the period of the interest-bearing liability,</w:t>
      </w:r>
      <w:r>
        <w:rPr>
          <w:color w:val="231F20"/>
          <w:spacing w:val="-12"/>
        </w:rPr>
        <w:t xml:space="preserve"> </w:t>
      </w:r>
      <w:r>
        <w:rPr>
          <w:color w:val="231F20"/>
        </w:rPr>
        <w:t>using</w:t>
      </w:r>
      <w:r>
        <w:rPr>
          <w:color w:val="231F20"/>
          <w:spacing w:val="-13"/>
        </w:rPr>
        <w:t xml:space="preserve"> </w:t>
      </w:r>
      <w:r>
        <w:rPr>
          <w:color w:val="231F20"/>
        </w:rPr>
        <w:t>the</w:t>
      </w:r>
      <w:r>
        <w:rPr>
          <w:color w:val="231F20"/>
          <w:spacing w:val="-13"/>
        </w:rPr>
        <w:t xml:space="preserve"> </w:t>
      </w:r>
      <w:r>
        <w:rPr>
          <w:color w:val="231F20"/>
        </w:rPr>
        <w:t>effective</w:t>
      </w:r>
      <w:r>
        <w:rPr>
          <w:color w:val="231F20"/>
          <w:spacing w:val="-13"/>
        </w:rPr>
        <w:t xml:space="preserve"> </w:t>
      </w:r>
      <w:r>
        <w:rPr>
          <w:color w:val="231F20"/>
        </w:rPr>
        <w:t>interest</w:t>
      </w:r>
      <w:r>
        <w:rPr>
          <w:color w:val="231F20"/>
          <w:spacing w:val="-12"/>
        </w:rPr>
        <w:t xml:space="preserve"> </w:t>
      </w:r>
      <w:r>
        <w:rPr>
          <w:color w:val="231F20"/>
        </w:rPr>
        <w:t>rate</w:t>
      </w:r>
      <w:r>
        <w:rPr>
          <w:color w:val="231F20"/>
          <w:spacing w:val="-13"/>
        </w:rPr>
        <w:t xml:space="preserve"> </w:t>
      </w:r>
      <w:r>
        <w:rPr>
          <w:color w:val="231F20"/>
        </w:rPr>
        <w:t>method.</w:t>
      </w:r>
      <w:r>
        <w:rPr>
          <w:color w:val="231F20"/>
          <w:spacing w:val="-12"/>
        </w:rPr>
        <w:t xml:space="preserve"> </w:t>
      </w:r>
      <w:r>
        <w:rPr>
          <w:color w:val="231F20"/>
        </w:rPr>
        <w:t>Victoria</w:t>
      </w:r>
      <w:r>
        <w:rPr>
          <w:color w:val="231F20"/>
          <w:spacing w:val="-13"/>
        </w:rPr>
        <w:t xml:space="preserve"> </w:t>
      </w:r>
      <w:r>
        <w:rPr>
          <w:color w:val="231F20"/>
        </w:rPr>
        <w:t>Police</w:t>
      </w:r>
      <w:r>
        <w:rPr>
          <w:color w:val="231F20"/>
          <w:spacing w:val="-13"/>
        </w:rPr>
        <w:t xml:space="preserve"> </w:t>
      </w:r>
      <w:r>
        <w:rPr>
          <w:color w:val="231F20"/>
        </w:rPr>
        <w:t>recognises</w:t>
      </w:r>
      <w:r>
        <w:rPr>
          <w:color w:val="231F20"/>
          <w:spacing w:val="-12"/>
        </w:rPr>
        <w:t xml:space="preserve"> </w:t>
      </w:r>
      <w:r>
        <w:rPr>
          <w:color w:val="231F20"/>
        </w:rPr>
        <w:t>the</w:t>
      </w:r>
      <w:r>
        <w:rPr>
          <w:color w:val="231F20"/>
          <w:spacing w:val="-13"/>
        </w:rPr>
        <w:t xml:space="preserve"> </w:t>
      </w:r>
      <w:r>
        <w:rPr>
          <w:color w:val="231F20"/>
        </w:rPr>
        <w:t>following</w:t>
      </w:r>
      <w:r>
        <w:rPr>
          <w:color w:val="231F20"/>
          <w:spacing w:val="-13"/>
        </w:rPr>
        <w:t xml:space="preserve"> </w:t>
      </w:r>
      <w:r>
        <w:rPr>
          <w:color w:val="231F20"/>
        </w:rPr>
        <w:t>liabilities in this category:</w:t>
      </w:r>
    </w:p>
    <w:p w14:paraId="40159328" w14:textId="77777777" w:rsidR="00345EE3" w:rsidRDefault="00345EE3">
      <w:pPr>
        <w:pStyle w:val="ListParagraph"/>
        <w:numPr>
          <w:ilvl w:val="0"/>
          <w:numId w:val="20"/>
        </w:numPr>
        <w:tabs>
          <w:tab w:val="left" w:pos="393"/>
          <w:tab w:val="left" w:pos="394"/>
        </w:tabs>
        <w:spacing w:before="35"/>
        <w:rPr>
          <w:sz w:val="24"/>
        </w:rPr>
      </w:pPr>
      <w:r>
        <w:rPr>
          <w:color w:val="231F20"/>
          <w:sz w:val="24"/>
        </w:rPr>
        <w:t>payables</w:t>
      </w:r>
      <w:r>
        <w:rPr>
          <w:color w:val="231F20"/>
          <w:spacing w:val="-18"/>
          <w:sz w:val="24"/>
        </w:rPr>
        <w:t xml:space="preserve"> </w:t>
      </w:r>
      <w:r>
        <w:rPr>
          <w:color w:val="231F20"/>
          <w:sz w:val="24"/>
        </w:rPr>
        <w:t>(excluding</w:t>
      </w:r>
      <w:r>
        <w:rPr>
          <w:color w:val="231F20"/>
          <w:spacing w:val="-16"/>
          <w:sz w:val="24"/>
        </w:rPr>
        <w:t xml:space="preserve"> </w:t>
      </w:r>
      <w:r>
        <w:rPr>
          <w:color w:val="231F20"/>
          <w:sz w:val="24"/>
        </w:rPr>
        <w:t>statutory</w:t>
      </w:r>
      <w:r>
        <w:rPr>
          <w:color w:val="231F20"/>
          <w:spacing w:val="-16"/>
          <w:sz w:val="24"/>
        </w:rPr>
        <w:t xml:space="preserve"> </w:t>
      </w:r>
      <w:r>
        <w:rPr>
          <w:color w:val="231F20"/>
          <w:sz w:val="24"/>
        </w:rPr>
        <w:t>payables)</w:t>
      </w:r>
      <w:r>
        <w:rPr>
          <w:color w:val="231F20"/>
          <w:spacing w:val="-16"/>
          <w:sz w:val="24"/>
        </w:rPr>
        <w:t xml:space="preserve"> </w:t>
      </w:r>
      <w:r>
        <w:rPr>
          <w:color w:val="231F20"/>
          <w:sz w:val="24"/>
        </w:rPr>
        <w:t>–</w:t>
      </w:r>
      <w:r>
        <w:rPr>
          <w:color w:val="231F20"/>
          <w:spacing w:val="-16"/>
          <w:sz w:val="24"/>
        </w:rPr>
        <w:t xml:space="preserve"> </w:t>
      </w:r>
      <w:r>
        <w:rPr>
          <w:color w:val="231F20"/>
          <w:sz w:val="24"/>
        </w:rPr>
        <w:t>refer</w:t>
      </w:r>
      <w:r>
        <w:rPr>
          <w:color w:val="231F20"/>
          <w:spacing w:val="-16"/>
          <w:sz w:val="24"/>
        </w:rPr>
        <w:t xml:space="preserve"> </w:t>
      </w:r>
      <w:r>
        <w:rPr>
          <w:color w:val="231F20"/>
          <w:sz w:val="24"/>
        </w:rPr>
        <w:t>to</w:t>
      </w:r>
      <w:r>
        <w:rPr>
          <w:color w:val="231F20"/>
          <w:spacing w:val="-16"/>
          <w:sz w:val="24"/>
        </w:rPr>
        <w:t xml:space="preserve"> </w:t>
      </w:r>
      <w:r>
        <w:rPr>
          <w:color w:val="231F20"/>
          <w:sz w:val="24"/>
        </w:rPr>
        <w:t>Note</w:t>
      </w:r>
      <w:r>
        <w:rPr>
          <w:color w:val="231F20"/>
          <w:spacing w:val="-16"/>
          <w:sz w:val="24"/>
        </w:rPr>
        <w:t xml:space="preserve"> </w:t>
      </w:r>
      <w:r>
        <w:rPr>
          <w:color w:val="231F20"/>
          <w:sz w:val="24"/>
        </w:rPr>
        <w:t>6.3</w:t>
      </w:r>
      <w:r>
        <w:rPr>
          <w:color w:val="231F20"/>
          <w:spacing w:val="-16"/>
          <w:sz w:val="24"/>
        </w:rPr>
        <w:t xml:space="preserve"> </w:t>
      </w:r>
      <w:r>
        <w:rPr>
          <w:color w:val="231F20"/>
          <w:sz w:val="24"/>
        </w:rPr>
        <w:t>Payables;</w:t>
      </w:r>
      <w:r>
        <w:rPr>
          <w:color w:val="231F20"/>
          <w:spacing w:val="-15"/>
          <w:sz w:val="24"/>
        </w:rPr>
        <w:t xml:space="preserve"> </w:t>
      </w:r>
      <w:r>
        <w:rPr>
          <w:color w:val="231F20"/>
          <w:spacing w:val="-5"/>
          <w:sz w:val="24"/>
        </w:rPr>
        <w:t>and</w:t>
      </w:r>
    </w:p>
    <w:p w14:paraId="16BB2EBD" w14:textId="77777777" w:rsidR="00345EE3" w:rsidRDefault="00345EE3">
      <w:pPr>
        <w:pStyle w:val="ListParagraph"/>
        <w:numPr>
          <w:ilvl w:val="0"/>
          <w:numId w:val="20"/>
        </w:numPr>
        <w:tabs>
          <w:tab w:val="left" w:pos="393"/>
          <w:tab w:val="left" w:pos="394"/>
        </w:tabs>
        <w:rPr>
          <w:sz w:val="24"/>
        </w:rPr>
      </w:pPr>
      <w:r>
        <w:rPr>
          <w:color w:val="231F20"/>
          <w:spacing w:val="-2"/>
          <w:sz w:val="24"/>
        </w:rPr>
        <w:t>borrowings</w:t>
      </w:r>
      <w:r>
        <w:rPr>
          <w:color w:val="231F20"/>
          <w:spacing w:val="-8"/>
          <w:sz w:val="24"/>
        </w:rPr>
        <w:t xml:space="preserve"> </w:t>
      </w:r>
      <w:r>
        <w:rPr>
          <w:color w:val="231F20"/>
          <w:spacing w:val="-2"/>
          <w:sz w:val="24"/>
        </w:rPr>
        <w:t>(including</w:t>
      </w:r>
      <w:r>
        <w:rPr>
          <w:color w:val="231F20"/>
          <w:spacing w:val="-6"/>
          <w:sz w:val="24"/>
        </w:rPr>
        <w:t xml:space="preserve"> </w:t>
      </w:r>
      <w:r>
        <w:rPr>
          <w:color w:val="231F20"/>
          <w:spacing w:val="-2"/>
          <w:sz w:val="24"/>
        </w:rPr>
        <w:t>lease</w:t>
      </w:r>
      <w:r>
        <w:rPr>
          <w:color w:val="231F20"/>
          <w:spacing w:val="-5"/>
          <w:sz w:val="24"/>
        </w:rPr>
        <w:t xml:space="preserve"> </w:t>
      </w:r>
      <w:r>
        <w:rPr>
          <w:color w:val="231F20"/>
          <w:spacing w:val="-2"/>
          <w:sz w:val="24"/>
        </w:rPr>
        <w:t>liabilities)</w:t>
      </w:r>
      <w:r>
        <w:rPr>
          <w:color w:val="231F20"/>
          <w:spacing w:val="-6"/>
          <w:sz w:val="24"/>
        </w:rPr>
        <w:t xml:space="preserve"> </w:t>
      </w:r>
      <w:r>
        <w:rPr>
          <w:color w:val="231F20"/>
          <w:spacing w:val="-2"/>
          <w:sz w:val="24"/>
        </w:rPr>
        <w:t>–</w:t>
      </w:r>
      <w:r>
        <w:rPr>
          <w:color w:val="231F20"/>
          <w:spacing w:val="-6"/>
          <w:sz w:val="24"/>
        </w:rPr>
        <w:t xml:space="preserve"> </w:t>
      </w:r>
      <w:r>
        <w:rPr>
          <w:color w:val="231F20"/>
          <w:spacing w:val="-2"/>
          <w:sz w:val="24"/>
        </w:rPr>
        <w:t>refer</w:t>
      </w:r>
      <w:r>
        <w:rPr>
          <w:color w:val="231F20"/>
          <w:spacing w:val="-5"/>
          <w:sz w:val="24"/>
        </w:rPr>
        <w:t xml:space="preserve"> </w:t>
      </w:r>
      <w:r>
        <w:rPr>
          <w:color w:val="231F20"/>
          <w:spacing w:val="-2"/>
          <w:sz w:val="24"/>
        </w:rPr>
        <w:t>to</w:t>
      </w:r>
      <w:r>
        <w:rPr>
          <w:color w:val="231F20"/>
          <w:spacing w:val="-6"/>
          <w:sz w:val="24"/>
        </w:rPr>
        <w:t xml:space="preserve"> </w:t>
      </w:r>
      <w:r>
        <w:rPr>
          <w:color w:val="231F20"/>
          <w:spacing w:val="-2"/>
          <w:sz w:val="24"/>
        </w:rPr>
        <w:t>Note</w:t>
      </w:r>
      <w:r>
        <w:rPr>
          <w:color w:val="231F20"/>
          <w:spacing w:val="-6"/>
          <w:sz w:val="24"/>
        </w:rPr>
        <w:t xml:space="preserve"> </w:t>
      </w:r>
      <w:r>
        <w:rPr>
          <w:color w:val="231F20"/>
          <w:spacing w:val="-2"/>
          <w:sz w:val="24"/>
        </w:rPr>
        <w:t>7.1</w:t>
      </w:r>
      <w:r>
        <w:rPr>
          <w:color w:val="231F20"/>
          <w:spacing w:val="-5"/>
          <w:sz w:val="24"/>
        </w:rPr>
        <w:t xml:space="preserve"> </w:t>
      </w:r>
      <w:r>
        <w:rPr>
          <w:color w:val="231F20"/>
          <w:spacing w:val="-2"/>
          <w:sz w:val="24"/>
        </w:rPr>
        <w:t>Borrowings.</w:t>
      </w:r>
    </w:p>
    <w:p w14:paraId="25FCCDE5" w14:textId="77777777" w:rsidR="00345EE3" w:rsidRDefault="00345EE3" w:rsidP="00345EE3">
      <w:pPr>
        <w:pStyle w:val="BodyText"/>
        <w:spacing w:before="82" w:line="242" w:lineRule="auto"/>
        <w:ind w:right="187"/>
      </w:pPr>
      <w:r>
        <w:rPr>
          <w:b/>
          <w:color w:val="231F20"/>
        </w:rPr>
        <w:t xml:space="preserve">Derivative financial instruments </w:t>
      </w:r>
      <w:r>
        <w:rPr>
          <w:color w:val="231F20"/>
        </w:rPr>
        <w:t>are classified as held for trading financial assets and liabilities.</w:t>
      </w:r>
      <w:r>
        <w:rPr>
          <w:color w:val="231F20"/>
          <w:spacing w:val="-8"/>
        </w:rPr>
        <w:t xml:space="preserve"> </w:t>
      </w:r>
      <w:r>
        <w:rPr>
          <w:color w:val="231F20"/>
        </w:rPr>
        <w:t>They</w:t>
      </w:r>
      <w:r>
        <w:rPr>
          <w:color w:val="231F20"/>
          <w:spacing w:val="-8"/>
        </w:rPr>
        <w:t xml:space="preserve"> </w:t>
      </w:r>
      <w:r>
        <w:rPr>
          <w:color w:val="231F20"/>
        </w:rPr>
        <w:t>are</w:t>
      </w:r>
      <w:r>
        <w:rPr>
          <w:color w:val="231F20"/>
          <w:spacing w:val="-8"/>
        </w:rPr>
        <w:t xml:space="preserve"> </w:t>
      </w:r>
      <w:r>
        <w:rPr>
          <w:color w:val="231F20"/>
        </w:rPr>
        <w:t>initially</w:t>
      </w:r>
      <w:r>
        <w:rPr>
          <w:color w:val="231F20"/>
          <w:spacing w:val="-8"/>
        </w:rPr>
        <w:t xml:space="preserve"> </w:t>
      </w:r>
      <w:r>
        <w:rPr>
          <w:color w:val="231F20"/>
        </w:rPr>
        <w:t>recognised</w:t>
      </w:r>
      <w:r>
        <w:rPr>
          <w:color w:val="231F20"/>
          <w:spacing w:val="-8"/>
        </w:rPr>
        <w:t xml:space="preserve"> </w:t>
      </w:r>
      <w:r>
        <w:rPr>
          <w:color w:val="231F20"/>
        </w:rPr>
        <w:t>at</w:t>
      </w:r>
      <w:r>
        <w:rPr>
          <w:color w:val="231F20"/>
          <w:spacing w:val="-8"/>
        </w:rPr>
        <w:t xml:space="preserve"> </w:t>
      </w:r>
      <w:r>
        <w:rPr>
          <w:color w:val="231F20"/>
        </w:rPr>
        <w:t>fair</w:t>
      </w:r>
      <w:r>
        <w:rPr>
          <w:color w:val="231F20"/>
          <w:spacing w:val="-8"/>
        </w:rPr>
        <w:t xml:space="preserve"> </w:t>
      </w:r>
      <w:r>
        <w:rPr>
          <w:color w:val="231F20"/>
        </w:rPr>
        <w:t>value</w:t>
      </w:r>
      <w:r>
        <w:rPr>
          <w:color w:val="231F20"/>
          <w:spacing w:val="-8"/>
        </w:rPr>
        <w:t xml:space="preserve"> </w:t>
      </w:r>
      <w:r>
        <w:rPr>
          <w:color w:val="231F20"/>
        </w:rPr>
        <w:t>on</w:t>
      </w:r>
      <w:r>
        <w:rPr>
          <w:color w:val="231F20"/>
          <w:spacing w:val="-9"/>
        </w:rPr>
        <w:t xml:space="preserve"> </w:t>
      </w:r>
      <w:r>
        <w:rPr>
          <w:color w:val="231F20"/>
        </w:rPr>
        <w:t>the</w:t>
      </w:r>
      <w:r>
        <w:rPr>
          <w:color w:val="231F20"/>
          <w:spacing w:val="-8"/>
        </w:rPr>
        <w:t xml:space="preserve"> </w:t>
      </w:r>
      <w:r>
        <w:rPr>
          <w:color w:val="231F20"/>
        </w:rPr>
        <w:t>date</w:t>
      </w:r>
      <w:r>
        <w:rPr>
          <w:color w:val="231F20"/>
          <w:spacing w:val="-9"/>
        </w:rPr>
        <w:t xml:space="preserve"> </w:t>
      </w:r>
      <w:r>
        <w:rPr>
          <w:color w:val="231F20"/>
        </w:rPr>
        <w:t>on</w:t>
      </w:r>
      <w:r>
        <w:rPr>
          <w:color w:val="231F20"/>
          <w:spacing w:val="-8"/>
        </w:rPr>
        <w:t xml:space="preserve"> </w:t>
      </w:r>
      <w:r>
        <w:rPr>
          <w:color w:val="231F20"/>
        </w:rPr>
        <w:t>which</w:t>
      </w:r>
      <w:r>
        <w:rPr>
          <w:color w:val="231F20"/>
          <w:spacing w:val="-9"/>
        </w:rPr>
        <w:t xml:space="preserve"> </w:t>
      </w:r>
      <w:r>
        <w:rPr>
          <w:color w:val="231F20"/>
        </w:rPr>
        <w:t>a</w:t>
      </w:r>
      <w:r>
        <w:rPr>
          <w:color w:val="231F20"/>
          <w:spacing w:val="-8"/>
        </w:rPr>
        <w:t xml:space="preserve"> </w:t>
      </w:r>
      <w:r>
        <w:rPr>
          <w:color w:val="231F20"/>
        </w:rPr>
        <w:t>derivative</w:t>
      </w:r>
      <w:r>
        <w:rPr>
          <w:color w:val="231F20"/>
          <w:spacing w:val="-9"/>
        </w:rPr>
        <w:t xml:space="preserve"> </w:t>
      </w:r>
      <w:r>
        <w:rPr>
          <w:color w:val="231F20"/>
        </w:rPr>
        <w:t>contract</w:t>
      </w:r>
      <w:r>
        <w:rPr>
          <w:color w:val="231F20"/>
          <w:spacing w:val="-8"/>
        </w:rPr>
        <w:t xml:space="preserve"> </w:t>
      </w:r>
      <w:r>
        <w:rPr>
          <w:color w:val="231F20"/>
        </w:rPr>
        <w:t>is entered</w:t>
      </w:r>
      <w:r>
        <w:rPr>
          <w:color w:val="231F20"/>
          <w:spacing w:val="-4"/>
        </w:rPr>
        <w:t xml:space="preserve"> </w:t>
      </w:r>
      <w:r>
        <w:rPr>
          <w:color w:val="231F20"/>
        </w:rPr>
        <w:t>into.</w:t>
      </w:r>
      <w:r>
        <w:rPr>
          <w:color w:val="231F20"/>
          <w:spacing w:val="-3"/>
        </w:rPr>
        <w:t xml:space="preserve"> </w:t>
      </w:r>
      <w:r>
        <w:rPr>
          <w:color w:val="231F20"/>
        </w:rPr>
        <w:t>Derivatives</w:t>
      </w:r>
      <w:r>
        <w:rPr>
          <w:color w:val="231F20"/>
          <w:spacing w:val="-3"/>
        </w:rPr>
        <w:t xml:space="preserve"> </w:t>
      </w:r>
      <w:r>
        <w:rPr>
          <w:color w:val="231F20"/>
        </w:rPr>
        <w:t>are</w:t>
      </w:r>
      <w:r>
        <w:rPr>
          <w:color w:val="231F20"/>
          <w:spacing w:val="-4"/>
        </w:rPr>
        <w:t xml:space="preserve"> </w:t>
      </w:r>
      <w:r>
        <w:rPr>
          <w:color w:val="231F20"/>
        </w:rPr>
        <w:t>carried</w:t>
      </w:r>
      <w:r>
        <w:rPr>
          <w:color w:val="231F20"/>
          <w:spacing w:val="-4"/>
        </w:rPr>
        <w:t xml:space="preserve"> </w:t>
      </w:r>
      <w:r>
        <w:rPr>
          <w:color w:val="231F20"/>
        </w:rPr>
        <w:t>as</w:t>
      </w:r>
      <w:r>
        <w:rPr>
          <w:color w:val="231F20"/>
          <w:spacing w:val="-3"/>
        </w:rPr>
        <w:t xml:space="preserve"> </w:t>
      </w:r>
      <w:r>
        <w:rPr>
          <w:color w:val="231F20"/>
        </w:rPr>
        <w:t>assets</w:t>
      </w:r>
      <w:r>
        <w:rPr>
          <w:color w:val="231F20"/>
          <w:spacing w:val="-3"/>
        </w:rPr>
        <w:t xml:space="preserve"> </w:t>
      </w:r>
      <w:r>
        <w:rPr>
          <w:color w:val="231F20"/>
        </w:rPr>
        <w:t>when</w:t>
      </w:r>
      <w:r>
        <w:rPr>
          <w:color w:val="231F20"/>
          <w:spacing w:val="-4"/>
        </w:rPr>
        <w:t xml:space="preserve"> </w:t>
      </w:r>
      <w:r>
        <w:rPr>
          <w:color w:val="231F20"/>
        </w:rPr>
        <w:t>their</w:t>
      </w:r>
      <w:r>
        <w:rPr>
          <w:color w:val="231F20"/>
          <w:spacing w:val="-3"/>
        </w:rPr>
        <w:t xml:space="preserve"> </w:t>
      </w:r>
      <w:r>
        <w:rPr>
          <w:color w:val="231F20"/>
        </w:rPr>
        <w:t>fair</w:t>
      </w:r>
      <w:r>
        <w:rPr>
          <w:color w:val="231F20"/>
          <w:spacing w:val="-3"/>
        </w:rPr>
        <w:t xml:space="preserve"> </w:t>
      </w:r>
      <w:r>
        <w:rPr>
          <w:color w:val="231F20"/>
        </w:rPr>
        <w:t>value</w:t>
      </w:r>
      <w:r>
        <w:rPr>
          <w:color w:val="231F20"/>
          <w:spacing w:val="-4"/>
        </w:rPr>
        <w:t xml:space="preserve"> </w:t>
      </w:r>
      <w:r>
        <w:rPr>
          <w:color w:val="231F20"/>
        </w:rPr>
        <w:t>is</w:t>
      </w:r>
      <w:r>
        <w:rPr>
          <w:color w:val="231F20"/>
          <w:spacing w:val="-3"/>
        </w:rPr>
        <w:t xml:space="preserve"> </w:t>
      </w:r>
      <w:r>
        <w:rPr>
          <w:color w:val="231F20"/>
        </w:rPr>
        <w:t>positive</w:t>
      </w:r>
      <w:r>
        <w:rPr>
          <w:color w:val="231F20"/>
          <w:spacing w:val="-4"/>
        </w:rPr>
        <w:t xml:space="preserve"> </w:t>
      </w:r>
      <w:r>
        <w:rPr>
          <w:color w:val="231F20"/>
        </w:rPr>
        <w:t>and</w:t>
      </w:r>
      <w:r>
        <w:rPr>
          <w:color w:val="231F20"/>
          <w:spacing w:val="-4"/>
        </w:rPr>
        <w:t xml:space="preserve"> </w:t>
      </w:r>
      <w:r>
        <w:rPr>
          <w:color w:val="231F20"/>
        </w:rPr>
        <w:t>as</w:t>
      </w:r>
      <w:r>
        <w:rPr>
          <w:color w:val="231F20"/>
          <w:spacing w:val="-3"/>
        </w:rPr>
        <w:t xml:space="preserve"> </w:t>
      </w:r>
      <w:r>
        <w:rPr>
          <w:color w:val="231F20"/>
        </w:rPr>
        <w:t>liabilities when their fair value is negative. Any gains or losses arising from changes in the fair value of derivatives</w:t>
      </w:r>
      <w:r>
        <w:rPr>
          <w:color w:val="231F20"/>
          <w:spacing w:val="-12"/>
        </w:rPr>
        <w:t xml:space="preserve"> </w:t>
      </w:r>
      <w:r>
        <w:rPr>
          <w:color w:val="231F20"/>
        </w:rPr>
        <w:t>after</w:t>
      </w:r>
      <w:r>
        <w:rPr>
          <w:color w:val="231F20"/>
          <w:spacing w:val="-12"/>
        </w:rPr>
        <w:t xml:space="preserve"> </w:t>
      </w:r>
      <w:r>
        <w:rPr>
          <w:color w:val="231F20"/>
        </w:rPr>
        <w:t>initial</w:t>
      </w:r>
      <w:r>
        <w:rPr>
          <w:color w:val="231F20"/>
          <w:spacing w:val="-12"/>
        </w:rPr>
        <w:t xml:space="preserve"> </w:t>
      </w:r>
      <w:r>
        <w:rPr>
          <w:color w:val="231F20"/>
        </w:rPr>
        <w:t>recognition</w:t>
      </w:r>
      <w:r>
        <w:rPr>
          <w:color w:val="231F20"/>
          <w:spacing w:val="-12"/>
        </w:rPr>
        <w:t xml:space="preserve"> </w:t>
      </w:r>
      <w:r>
        <w:rPr>
          <w:color w:val="231F20"/>
        </w:rPr>
        <w:t>are</w:t>
      </w:r>
      <w:r>
        <w:rPr>
          <w:color w:val="231F20"/>
          <w:spacing w:val="-12"/>
        </w:rPr>
        <w:t xml:space="preserve"> </w:t>
      </w:r>
      <w:r>
        <w:rPr>
          <w:color w:val="231F20"/>
        </w:rPr>
        <w:t>recognised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comprehensive</w:t>
      </w:r>
      <w:r>
        <w:rPr>
          <w:color w:val="231F20"/>
          <w:spacing w:val="-12"/>
        </w:rPr>
        <w:t xml:space="preserve"> </w:t>
      </w:r>
      <w:r>
        <w:rPr>
          <w:color w:val="231F20"/>
        </w:rPr>
        <w:t>operating</w:t>
      </w:r>
      <w:r>
        <w:rPr>
          <w:color w:val="231F20"/>
          <w:spacing w:val="-12"/>
        </w:rPr>
        <w:t xml:space="preserve"> </w:t>
      </w:r>
      <w:r>
        <w:rPr>
          <w:color w:val="231F20"/>
        </w:rPr>
        <w:t>statement</w:t>
      </w:r>
      <w:r>
        <w:rPr>
          <w:color w:val="231F20"/>
          <w:spacing w:val="-12"/>
        </w:rPr>
        <w:t xml:space="preserve"> </w:t>
      </w:r>
      <w:r>
        <w:rPr>
          <w:color w:val="231F20"/>
        </w:rPr>
        <w:t>as an</w:t>
      </w:r>
      <w:r>
        <w:rPr>
          <w:color w:val="231F20"/>
          <w:spacing w:val="-5"/>
        </w:rPr>
        <w:t xml:space="preserve"> </w:t>
      </w:r>
      <w:r>
        <w:rPr>
          <w:color w:val="231F20"/>
        </w:rPr>
        <w:t>‘other</w:t>
      </w:r>
      <w:r>
        <w:rPr>
          <w:color w:val="231F20"/>
          <w:spacing w:val="-4"/>
        </w:rPr>
        <w:t xml:space="preserve"> </w:t>
      </w:r>
      <w:r>
        <w:rPr>
          <w:color w:val="231F20"/>
        </w:rPr>
        <w:t>economic</w:t>
      </w:r>
      <w:r>
        <w:rPr>
          <w:color w:val="231F20"/>
          <w:spacing w:val="-4"/>
        </w:rPr>
        <w:t xml:space="preserve"> </w:t>
      </w:r>
      <w:r>
        <w:rPr>
          <w:color w:val="231F20"/>
        </w:rPr>
        <w:t>flow’</w:t>
      </w:r>
      <w:r>
        <w:rPr>
          <w:color w:val="231F20"/>
          <w:spacing w:val="-5"/>
        </w:rPr>
        <w:t xml:space="preserve"> </w:t>
      </w:r>
      <w:r>
        <w:rPr>
          <w:color w:val="231F20"/>
        </w:rPr>
        <w:t>included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net</w:t>
      </w:r>
      <w:r>
        <w:rPr>
          <w:color w:val="231F20"/>
          <w:spacing w:val="-4"/>
        </w:rPr>
        <w:t xml:space="preserve"> </w:t>
      </w:r>
      <w:r>
        <w:rPr>
          <w:color w:val="231F20"/>
        </w:rPr>
        <w:t>result.</w:t>
      </w:r>
      <w:r>
        <w:rPr>
          <w:color w:val="231F20"/>
          <w:spacing w:val="-4"/>
        </w:rPr>
        <w:t xml:space="preserve"> </w:t>
      </w:r>
      <w:r>
        <w:rPr>
          <w:color w:val="231F20"/>
        </w:rPr>
        <w:t>All</w:t>
      </w:r>
      <w:r>
        <w:rPr>
          <w:color w:val="231F20"/>
          <w:spacing w:val="-5"/>
        </w:rPr>
        <w:t xml:space="preserve"> </w:t>
      </w:r>
      <w:r>
        <w:rPr>
          <w:color w:val="231F20"/>
        </w:rPr>
        <w:t>derivative</w:t>
      </w:r>
      <w:r>
        <w:rPr>
          <w:color w:val="231F20"/>
          <w:spacing w:val="-5"/>
        </w:rPr>
        <w:t xml:space="preserve"> </w:t>
      </w:r>
      <w:r>
        <w:rPr>
          <w:color w:val="231F20"/>
        </w:rPr>
        <w:t>instruments</w:t>
      </w:r>
      <w:r>
        <w:rPr>
          <w:color w:val="231F20"/>
          <w:spacing w:val="-4"/>
        </w:rPr>
        <w:t xml:space="preserve"> </w:t>
      </w:r>
      <w:r>
        <w:rPr>
          <w:color w:val="231F20"/>
        </w:rPr>
        <w:t>are</w:t>
      </w:r>
      <w:r>
        <w:rPr>
          <w:color w:val="231F20"/>
          <w:spacing w:val="-5"/>
        </w:rPr>
        <w:t xml:space="preserve"> </w:t>
      </w:r>
      <w:r>
        <w:rPr>
          <w:color w:val="231F20"/>
        </w:rPr>
        <w:t>transacted</w:t>
      </w:r>
      <w:r>
        <w:rPr>
          <w:color w:val="231F20"/>
          <w:spacing w:val="-5"/>
        </w:rPr>
        <w:t xml:space="preserve"> </w:t>
      </w:r>
      <w:r>
        <w:rPr>
          <w:color w:val="231F20"/>
        </w:rPr>
        <w:t>for hedging purposes and not speculative to inform users on the purpose of the derivatives.</w:t>
      </w:r>
    </w:p>
    <w:p w14:paraId="6E739DBC" w14:textId="77777777" w:rsidR="00345EE3" w:rsidRDefault="00345EE3" w:rsidP="00345EE3">
      <w:pPr>
        <w:spacing w:before="123" w:line="242" w:lineRule="auto"/>
        <w:ind w:left="110"/>
        <w:rPr>
          <w:sz w:val="24"/>
        </w:rPr>
      </w:pPr>
      <w:r>
        <w:rPr>
          <w:b/>
          <w:color w:val="231F20"/>
          <w:sz w:val="24"/>
        </w:rPr>
        <w:t>Derecognition</w:t>
      </w:r>
      <w:r>
        <w:rPr>
          <w:b/>
          <w:color w:val="231F20"/>
          <w:spacing w:val="-7"/>
          <w:sz w:val="24"/>
        </w:rPr>
        <w:t xml:space="preserve"> </w:t>
      </w:r>
      <w:r>
        <w:rPr>
          <w:b/>
          <w:color w:val="231F20"/>
          <w:sz w:val="24"/>
        </w:rPr>
        <w:t>of</w:t>
      </w:r>
      <w:r>
        <w:rPr>
          <w:b/>
          <w:color w:val="231F20"/>
          <w:spacing w:val="-7"/>
          <w:sz w:val="24"/>
        </w:rPr>
        <w:t xml:space="preserve"> </w:t>
      </w:r>
      <w:r>
        <w:rPr>
          <w:b/>
          <w:color w:val="231F20"/>
          <w:sz w:val="24"/>
        </w:rPr>
        <w:t>financial</w:t>
      </w:r>
      <w:r>
        <w:rPr>
          <w:b/>
          <w:color w:val="231F20"/>
          <w:spacing w:val="-7"/>
          <w:sz w:val="24"/>
        </w:rPr>
        <w:t xml:space="preserve"> </w:t>
      </w:r>
      <w:r>
        <w:rPr>
          <w:b/>
          <w:color w:val="231F20"/>
          <w:sz w:val="24"/>
        </w:rPr>
        <w:t>liabilities:</w:t>
      </w:r>
      <w:r>
        <w:rPr>
          <w:b/>
          <w:color w:val="231F20"/>
          <w:spacing w:val="-7"/>
          <w:sz w:val="24"/>
        </w:rPr>
        <w:t xml:space="preserve"> </w:t>
      </w:r>
      <w:r>
        <w:rPr>
          <w:color w:val="231F20"/>
          <w:sz w:val="24"/>
        </w:rPr>
        <w:t>A</w:t>
      </w:r>
      <w:r>
        <w:rPr>
          <w:color w:val="231F20"/>
          <w:spacing w:val="-7"/>
          <w:sz w:val="24"/>
        </w:rPr>
        <w:t xml:space="preserve"> </w:t>
      </w:r>
      <w:r>
        <w:rPr>
          <w:color w:val="231F20"/>
          <w:sz w:val="24"/>
        </w:rPr>
        <w:t>financial</w:t>
      </w:r>
      <w:r>
        <w:rPr>
          <w:color w:val="231F20"/>
          <w:spacing w:val="-8"/>
          <w:sz w:val="24"/>
        </w:rPr>
        <w:t xml:space="preserve"> </w:t>
      </w:r>
      <w:r>
        <w:rPr>
          <w:color w:val="231F20"/>
          <w:sz w:val="24"/>
        </w:rPr>
        <w:t>liability</w:t>
      </w:r>
      <w:r>
        <w:rPr>
          <w:color w:val="231F20"/>
          <w:spacing w:val="-7"/>
          <w:sz w:val="24"/>
        </w:rPr>
        <w:t xml:space="preserve"> </w:t>
      </w:r>
      <w:r>
        <w:rPr>
          <w:color w:val="231F20"/>
          <w:sz w:val="24"/>
        </w:rPr>
        <w:t>is</w:t>
      </w:r>
      <w:r>
        <w:rPr>
          <w:color w:val="231F20"/>
          <w:spacing w:val="-7"/>
          <w:sz w:val="24"/>
        </w:rPr>
        <w:t xml:space="preserve"> </w:t>
      </w:r>
      <w:r>
        <w:rPr>
          <w:color w:val="231F20"/>
          <w:sz w:val="24"/>
        </w:rPr>
        <w:t>derecognised</w:t>
      </w:r>
      <w:r>
        <w:rPr>
          <w:color w:val="231F20"/>
          <w:spacing w:val="-8"/>
          <w:sz w:val="24"/>
        </w:rPr>
        <w:t xml:space="preserve"> </w:t>
      </w:r>
      <w:r>
        <w:rPr>
          <w:color w:val="231F20"/>
          <w:sz w:val="24"/>
        </w:rPr>
        <w:t>when</w:t>
      </w:r>
      <w:r>
        <w:rPr>
          <w:color w:val="231F20"/>
          <w:spacing w:val="-8"/>
          <w:sz w:val="24"/>
        </w:rPr>
        <w:t xml:space="preserve"> </w:t>
      </w:r>
      <w:r>
        <w:rPr>
          <w:color w:val="231F20"/>
          <w:sz w:val="24"/>
        </w:rPr>
        <w:t>the</w:t>
      </w:r>
      <w:r>
        <w:rPr>
          <w:color w:val="231F20"/>
          <w:spacing w:val="-8"/>
          <w:sz w:val="24"/>
        </w:rPr>
        <w:t xml:space="preserve"> </w:t>
      </w:r>
      <w:r>
        <w:rPr>
          <w:color w:val="231F20"/>
          <w:sz w:val="24"/>
        </w:rPr>
        <w:t>obligation under the liability is discharged, cancelled or expires.</w:t>
      </w:r>
    </w:p>
    <w:p w14:paraId="64772371" w14:textId="77777777" w:rsidR="00345EE3" w:rsidRDefault="00345EE3" w:rsidP="00345EE3">
      <w:pPr>
        <w:pStyle w:val="BodyText"/>
        <w:spacing w:before="115" w:line="242" w:lineRule="auto"/>
        <w:ind w:right="299"/>
        <w:jc w:val="both"/>
      </w:pPr>
      <w:r>
        <w:rPr>
          <w:color w:val="231F20"/>
        </w:rPr>
        <w:t>When</w:t>
      </w:r>
      <w:r>
        <w:rPr>
          <w:color w:val="231F20"/>
          <w:spacing w:val="-6"/>
        </w:rPr>
        <w:t xml:space="preserve"> </w:t>
      </w:r>
      <w:r>
        <w:rPr>
          <w:color w:val="231F20"/>
        </w:rPr>
        <w:t>an</w:t>
      </w:r>
      <w:r>
        <w:rPr>
          <w:color w:val="231F20"/>
          <w:spacing w:val="-6"/>
        </w:rPr>
        <w:t xml:space="preserve"> </w:t>
      </w:r>
      <w:r>
        <w:rPr>
          <w:color w:val="231F20"/>
        </w:rPr>
        <w:t>existing</w:t>
      </w:r>
      <w:r>
        <w:rPr>
          <w:color w:val="231F20"/>
          <w:spacing w:val="-6"/>
        </w:rPr>
        <w:t xml:space="preserve"> </w:t>
      </w:r>
      <w:r>
        <w:rPr>
          <w:color w:val="231F20"/>
        </w:rPr>
        <w:t>financial</w:t>
      </w:r>
      <w:r>
        <w:rPr>
          <w:color w:val="231F20"/>
          <w:spacing w:val="-6"/>
        </w:rPr>
        <w:t xml:space="preserve"> </w:t>
      </w:r>
      <w:r>
        <w:rPr>
          <w:color w:val="231F20"/>
        </w:rPr>
        <w:t>liability</w:t>
      </w:r>
      <w:r>
        <w:rPr>
          <w:color w:val="231F20"/>
          <w:spacing w:val="-6"/>
        </w:rPr>
        <w:t xml:space="preserve"> </w:t>
      </w:r>
      <w:r>
        <w:rPr>
          <w:color w:val="231F20"/>
        </w:rPr>
        <w:t>is</w:t>
      </w:r>
      <w:r>
        <w:rPr>
          <w:color w:val="231F20"/>
          <w:spacing w:val="-6"/>
        </w:rPr>
        <w:t xml:space="preserve"> </w:t>
      </w:r>
      <w:r>
        <w:rPr>
          <w:color w:val="231F20"/>
        </w:rPr>
        <w:t>replaced</w:t>
      </w:r>
      <w:r>
        <w:rPr>
          <w:color w:val="231F20"/>
          <w:spacing w:val="-6"/>
        </w:rPr>
        <w:t xml:space="preserve"> </w:t>
      </w:r>
      <w:r>
        <w:rPr>
          <w:color w:val="231F20"/>
        </w:rPr>
        <w:t>by</w:t>
      </w:r>
      <w:r>
        <w:rPr>
          <w:color w:val="231F20"/>
          <w:spacing w:val="-6"/>
        </w:rPr>
        <w:t xml:space="preserve"> </w:t>
      </w:r>
      <w:r>
        <w:rPr>
          <w:color w:val="231F20"/>
        </w:rPr>
        <w:t>another</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same</w:t>
      </w:r>
      <w:r>
        <w:rPr>
          <w:color w:val="231F20"/>
          <w:spacing w:val="-6"/>
        </w:rPr>
        <w:t xml:space="preserve"> </w:t>
      </w:r>
      <w:r>
        <w:rPr>
          <w:color w:val="231F20"/>
        </w:rPr>
        <w:t>lender</w:t>
      </w:r>
      <w:r>
        <w:rPr>
          <w:color w:val="231F20"/>
          <w:spacing w:val="-6"/>
        </w:rPr>
        <w:t xml:space="preserve"> </w:t>
      </w:r>
      <w:r>
        <w:rPr>
          <w:color w:val="231F20"/>
        </w:rPr>
        <w:t>on</w:t>
      </w:r>
      <w:r>
        <w:rPr>
          <w:color w:val="231F20"/>
          <w:spacing w:val="-6"/>
        </w:rPr>
        <w:t xml:space="preserve"> </w:t>
      </w:r>
      <w:r>
        <w:rPr>
          <w:color w:val="231F20"/>
        </w:rPr>
        <w:t>substantially different</w:t>
      </w:r>
      <w:r>
        <w:rPr>
          <w:color w:val="231F20"/>
          <w:spacing w:val="-7"/>
        </w:rPr>
        <w:t xml:space="preserve"> </w:t>
      </w:r>
      <w:r>
        <w:rPr>
          <w:color w:val="231F20"/>
        </w:rPr>
        <w:t>terms,</w:t>
      </w:r>
      <w:r>
        <w:rPr>
          <w:color w:val="231F20"/>
          <w:spacing w:val="-7"/>
        </w:rPr>
        <w:t xml:space="preserve"> </w:t>
      </w:r>
      <w:r>
        <w:rPr>
          <w:color w:val="231F20"/>
        </w:rPr>
        <w:t>or</w:t>
      </w:r>
      <w:r>
        <w:rPr>
          <w:color w:val="231F20"/>
          <w:spacing w:val="-7"/>
        </w:rPr>
        <w:t xml:space="preserve"> </w:t>
      </w:r>
      <w:r>
        <w:rPr>
          <w:color w:val="231F20"/>
        </w:rPr>
        <w:t>the</w:t>
      </w:r>
      <w:r>
        <w:rPr>
          <w:color w:val="231F20"/>
          <w:spacing w:val="-8"/>
        </w:rPr>
        <w:t xml:space="preserve"> </w:t>
      </w:r>
      <w:r>
        <w:rPr>
          <w:color w:val="231F20"/>
        </w:rPr>
        <w:t>terms</w:t>
      </w:r>
      <w:r>
        <w:rPr>
          <w:color w:val="231F20"/>
          <w:spacing w:val="-7"/>
        </w:rPr>
        <w:t xml:space="preserve"> </w:t>
      </w:r>
      <w:r>
        <w:rPr>
          <w:color w:val="231F20"/>
        </w:rPr>
        <w:t>of</w:t>
      </w:r>
      <w:r>
        <w:rPr>
          <w:color w:val="231F20"/>
          <w:spacing w:val="-7"/>
        </w:rPr>
        <w:t xml:space="preserve"> </w:t>
      </w:r>
      <w:r>
        <w:rPr>
          <w:color w:val="231F20"/>
        </w:rPr>
        <w:t>an</w:t>
      </w:r>
      <w:r>
        <w:rPr>
          <w:color w:val="231F20"/>
          <w:spacing w:val="-8"/>
        </w:rPr>
        <w:t xml:space="preserve"> </w:t>
      </w:r>
      <w:r>
        <w:rPr>
          <w:color w:val="231F20"/>
        </w:rPr>
        <w:t>existing</w:t>
      </w:r>
      <w:r>
        <w:rPr>
          <w:color w:val="231F20"/>
          <w:spacing w:val="-8"/>
        </w:rPr>
        <w:t xml:space="preserve"> </w:t>
      </w:r>
      <w:r>
        <w:rPr>
          <w:color w:val="231F20"/>
        </w:rPr>
        <w:t>liability</w:t>
      </w:r>
      <w:r>
        <w:rPr>
          <w:color w:val="231F20"/>
          <w:spacing w:val="-7"/>
        </w:rPr>
        <w:t xml:space="preserve"> </w:t>
      </w:r>
      <w:r>
        <w:rPr>
          <w:color w:val="231F20"/>
        </w:rPr>
        <w:t>are</w:t>
      </w:r>
      <w:r>
        <w:rPr>
          <w:color w:val="231F20"/>
          <w:spacing w:val="-8"/>
        </w:rPr>
        <w:t xml:space="preserve"> </w:t>
      </w:r>
      <w:r>
        <w:rPr>
          <w:color w:val="231F20"/>
        </w:rPr>
        <w:t>substantially</w:t>
      </w:r>
      <w:r>
        <w:rPr>
          <w:color w:val="231F20"/>
          <w:spacing w:val="-7"/>
        </w:rPr>
        <w:t xml:space="preserve"> </w:t>
      </w:r>
      <w:r>
        <w:rPr>
          <w:color w:val="231F20"/>
        </w:rPr>
        <w:t>modified,</w:t>
      </w:r>
      <w:r>
        <w:rPr>
          <w:color w:val="231F20"/>
          <w:spacing w:val="-7"/>
        </w:rPr>
        <w:t xml:space="preserve"> </w:t>
      </w:r>
      <w:r>
        <w:rPr>
          <w:color w:val="231F20"/>
        </w:rPr>
        <w:t>such</w:t>
      </w:r>
      <w:r>
        <w:rPr>
          <w:color w:val="231F20"/>
          <w:spacing w:val="-8"/>
        </w:rPr>
        <w:t xml:space="preserve"> </w:t>
      </w:r>
      <w:r>
        <w:rPr>
          <w:color w:val="231F20"/>
        </w:rPr>
        <w:t>an</w:t>
      </w:r>
      <w:r>
        <w:rPr>
          <w:color w:val="231F20"/>
          <w:spacing w:val="-8"/>
        </w:rPr>
        <w:t xml:space="preserve"> </w:t>
      </w:r>
      <w:r>
        <w:rPr>
          <w:color w:val="231F20"/>
        </w:rPr>
        <w:t>exchange or</w:t>
      </w:r>
      <w:r>
        <w:rPr>
          <w:color w:val="231F20"/>
          <w:spacing w:val="-2"/>
        </w:rPr>
        <w:t xml:space="preserve"> </w:t>
      </w:r>
      <w:r>
        <w:rPr>
          <w:color w:val="231F20"/>
        </w:rPr>
        <w:t>modification</w:t>
      </w:r>
      <w:r>
        <w:rPr>
          <w:color w:val="231F20"/>
          <w:spacing w:val="-3"/>
        </w:rPr>
        <w:t xml:space="preserve"> </w:t>
      </w:r>
      <w:r>
        <w:rPr>
          <w:color w:val="231F20"/>
        </w:rPr>
        <w:t>is</w:t>
      </w:r>
      <w:r>
        <w:rPr>
          <w:color w:val="231F20"/>
          <w:spacing w:val="-2"/>
        </w:rPr>
        <w:t xml:space="preserve"> </w:t>
      </w:r>
      <w:r>
        <w:rPr>
          <w:color w:val="231F20"/>
        </w:rPr>
        <w:t>treated</w:t>
      </w:r>
      <w:r>
        <w:rPr>
          <w:color w:val="231F20"/>
          <w:spacing w:val="-3"/>
        </w:rPr>
        <w:t xml:space="preserve"> </w:t>
      </w:r>
      <w:r>
        <w:rPr>
          <w:color w:val="231F20"/>
        </w:rPr>
        <w:t>as</w:t>
      </w:r>
      <w:r>
        <w:rPr>
          <w:color w:val="231F20"/>
          <w:spacing w:val="-2"/>
        </w:rPr>
        <w:t xml:space="preserve"> </w:t>
      </w:r>
      <w:r>
        <w:rPr>
          <w:color w:val="231F20"/>
        </w:rPr>
        <w:t>a</w:t>
      </w:r>
      <w:r>
        <w:rPr>
          <w:color w:val="231F20"/>
          <w:spacing w:val="-3"/>
        </w:rPr>
        <w:t xml:space="preserve"> </w:t>
      </w:r>
      <w:r>
        <w:rPr>
          <w:color w:val="231F20"/>
        </w:rPr>
        <w:t>derecognition</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original</w:t>
      </w:r>
      <w:r>
        <w:rPr>
          <w:color w:val="231F20"/>
          <w:spacing w:val="-3"/>
        </w:rPr>
        <w:t xml:space="preserve"> </w:t>
      </w:r>
      <w:r>
        <w:rPr>
          <w:color w:val="231F20"/>
        </w:rPr>
        <w:t>liability</w:t>
      </w:r>
      <w:r>
        <w:rPr>
          <w:color w:val="231F20"/>
          <w:spacing w:val="-2"/>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recognition</w:t>
      </w:r>
      <w:r>
        <w:rPr>
          <w:color w:val="231F20"/>
          <w:spacing w:val="-3"/>
        </w:rPr>
        <w:t xml:space="preserve"> </w:t>
      </w:r>
      <w:r>
        <w:rPr>
          <w:color w:val="231F20"/>
        </w:rPr>
        <w:t>of</w:t>
      </w:r>
      <w:r>
        <w:rPr>
          <w:color w:val="231F20"/>
          <w:spacing w:val="-2"/>
        </w:rPr>
        <w:t xml:space="preserve"> </w:t>
      </w:r>
      <w:r>
        <w:rPr>
          <w:color w:val="231F20"/>
        </w:rPr>
        <w:t>a</w:t>
      </w:r>
      <w:r>
        <w:rPr>
          <w:color w:val="231F20"/>
          <w:spacing w:val="-3"/>
        </w:rPr>
        <w:t xml:space="preserve"> </w:t>
      </w:r>
      <w:r>
        <w:rPr>
          <w:color w:val="231F20"/>
        </w:rPr>
        <w:t>new liability.</w:t>
      </w:r>
      <w:r>
        <w:rPr>
          <w:color w:val="231F20"/>
          <w:spacing w:val="-8"/>
        </w:rPr>
        <w:t xml:space="preserve"> </w:t>
      </w:r>
      <w:r>
        <w:rPr>
          <w:color w:val="231F20"/>
        </w:rPr>
        <w:t>The</w:t>
      </w:r>
      <w:r>
        <w:rPr>
          <w:color w:val="231F20"/>
          <w:spacing w:val="-9"/>
        </w:rPr>
        <w:t xml:space="preserve"> </w:t>
      </w:r>
      <w:r>
        <w:rPr>
          <w:color w:val="231F20"/>
        </w:rPr>
        <w:t>difference</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respective</w:t>
      </w:r>
      <w:r>
        <w:rPr>
          <w:color w:val="231F20"/>
          <w:spacing w:val="-9"/>
        </w:rPr>
        <w:t xml:space="preserve"> </w:t>
      </w:r>
      <w:r>
        <w:rPr>
          <w:color w:val="231F20"/>
        </w:rPr>
        <w:t>carrying</w:t>
      </w:r>
      <w:r>
        <w:rPr>
          <w:color w:val="231F20"/>
          <w:spacing w:val="-9"/>
        </w:rPr>
        <w:t xml:space="preserve"> </w:t>
      </w:r>
      <w:r>
        <w:rPr>
          <w:color w:val="231F20"/>
        </w:rPr>
        <w:t>amounts</w:t>
      </w:r>
      <w:r>
        <w:rPr>
          <w:color w:val="231F20"/>
          <w:spacing w:val="-8"/>
        </w:rPr>
        <w:t xml:space="preserve"> </w:t>
      </w:r>
      <w:r>
        <w:rPr>
          <w:color w:val="231F20"/>
        </w:rPr>
        <w:t>is</w:t>
      </w:r>
      <w:r>
        <w:rPr>
          <w:color w:val="231F20"/>
          <w:spacing w:val="-8"/>
        </w:rPr>
        <w:t xml:space="preserve"> </w:t>
      </w:r>
      <w:r>
        <w:rPr>
          <w:color w:val="231F20"/>
        </w:rPr>
        <w:t>recognised</w:t>
      </w:r>
      <w:r>
        <w:rPr>
          <w:color w:val="231F20"/>
          <w:spacing w:val="-9"/>
        </w:rPr>
        <w:t xml:space="preserve"> </w:t>
      </w:r>
      <w:r>
        <w:rPr>
          <w:color w:val="231F20"/>
        </w:rPr>
        <w:t>as</w:t>
      </w:r>
      <w:r>
        <w:rPr>
          <w:color w:val="231F20"/>
          <w:spacing w:val="-8"/>
        </w:rPr>
        <w:t xml:space="preserve"> </w:t>
      </w:r>
      <w:r>
        <w:rPr>
          <w:color w:val="231F20"/>
        </w:rPr>
        <w:t>an</w:t>
      </w:r>
      <w:r>
        <w:rPr>
          <w:color w:val="231F20"/>
          <w:spacing w:val="-9"/>
        </w:rPr>
        <w:t xml:space="preserve"> </w:t>
      </w:r>
      <w:r>
        <w:rPr>
          <w:color w:val="231F20"/>
        </w:rPr>
        <w:t>‘Other</w:t>
      </w:r>
      <w:r>
        <w:rPr>
          <w:color w:val="231F20"/>
          <w:spacing w:val="-8"/>
        </w:rPr>
        <w:t xml:space="preserve"> </w:t>
      </w:r>
      <w:r>
        <w:rPr>
          <w:color w:val="231F20"/>
        </w:rPr>
        <w:t>Economic Flow’ in the Comprehensive Operating Statement.</w:t>
      </w:r>
    </w:p>
    <w:p w14:paraId="4997807D" w14:textId="77777777" w:rsidR="00345EE3" w:rsidRDefault="00345EE3" w:rsidP="00345EE3">
      <w:pPr>
        <w:pStyle w:val="BodyText"/>
        <w:spacing w:before="120" w:line="242" w:lineRule="auto"/>
        <w:ind w:right="502"/>
        <w:jc w:val="both"/>
      </w:pPr>
      <w:r>
        <w:rPr>
          <w:b/>
          <w:color w:val="231F20"/>
        </w:rPr>
        <w:t>Reclassification</w:t>
      </w:r>
      <w:r>
        <w:rPr>
          <w:b/>
          <w:color w:val="231F20"/>
          <w:spacing w:val="-10"/>
        </w:rPr>
        <w:t xml:space="preserve"> </w:t>
      </w:r>
      <w:r>
        <w:rPr>
          <w:b/>
          <w:color w:val="231F20"/>
        </w:rPr>
        <w:t>of</w:t>
      </w:r>
      <w:r>
        <w:rPr>
          <w:b/>
          <w:color w:val="231F20"/>
          <w:spacing w:val="-10"/>
        </w:rPr>
        <w:t xml:space="preserve"> </w:t>
      </w:r>
      <w:r>
        <w:rPr>
          <w:b/>
          <w:color w:val="231F20"/>
        </w:rPr>
        <w:t>financial</w:t>
      </w:r>
      <w:r>
        <w:rPr>
          <w:b/>
          <w:color w:val="231F20"/>
          <w:spacing w:val="-10"/>
        </w:rPr>
        <w:t xml:space="preserve"> </w:t>
      </w:r>
      <w:r>
        <w:rPr>
          <w:b/>
          <w:color w:val="231F20"/>
        </w:rPr>
        <w:t>instruments:</w:t>
      </w:r>
      <w:r>
        <w:rPr>
          <w:b/>
          <w:color w:val="231F20"/>
          <w:spacing w:val="-10"/>
        </w:rPr>
        <w:t xml:space="preserve"> </w:t>
      </w:r>
      <w:r>
        <w:rPr>
          <w:color w:val="231F20"/>
        </w:rPr>
        <w:t>Subsequent</w:t>
      </w:r>
      <w:r>
        <w:rPr>
          <w:color w:val="231F20"/>
          <w:spacing w:val="-10"/>
        </w:rPr>
        <w:t xml:space="preserve"> </w:t>
      </w:r>
      <w:r>
        <w:rPr>
          <w:color w:val="231F20"/>
        </w:rPr>
        <w:t>to</w:t>
      </w:r>
      <w:r>
        <w:rPr>
          <w:color w:val="231F20"/>
          <w:spacing w:val="-11"/>
        </w:rPr>
        <w:t xml:space="preserve"> </w:t>
      </w:r>
      <w:r>
        <w:rPr>
          <w:color w:val="231F20"/>
        </w:rPr>
        <w:t>initial</w:t>
      </w:r>
      <w:r>
        <w:rPr>
          <w:color w:val="231F20"/>
          <w:spacing w:val="-11"/>
        </w:rPr>
        <w:t xml:space="preserve"> </w:t>
      </w:r>
      <w:r>
        <w:rPr>
          <w:color w:val="231F20"/>
        </w:rPr>
        <w:t>recognition,</w:t>
      </w:r>
      <w:r>
        <w:rPr>
          <w:color w:val="231F20"/>
          <w:spacing w:val="-10"/>
        </w:rPr>
        <w:t xml:space="preserve"> </w:t>
      </w:r>
      <w:r>
        <w:rPr>
          <w:color w:val="231F20"/>
        </w:rPr>
        <w:t>reclassification of</w:t>
      </w:r>
      <w:r>
        <w:rPr>
          <w:color w:val="231F20"/>
          <w:spacing w:val="-8"/>
        </w:rPr>
        <w:t xml:space="preserve"> </w:t>
      </w:r>
      <w:r>
        <w:rPr>
          <w:color w:val="231F20"/>
        </w:rPr>
        <w:t>financial</w:t>
      </w:r>
      <w:r>
        <w:rPr>
          <w:color w:val="231F20"/>
          <w:spacing w:val="-9"/>
        </w:rPr>
        <w:t xml:space="preserve"> </w:t>
      </w:r>
      <w:r>
        <w:rPr>
          <w:color w:val="231F20"/>
        </w:rPr>
        <w:t>liabilities</w:t>
      </w:r>
      <w:r>
        <w:rPr>
          <w:color w:val="231F20"/>
          <w:spacing w:val="-8"/>
        </w:rPr>
        <w:t xml:space="preserve"> </w:t>
      </w:r>
      <w:r>
        <w:rPr>
          <w:color w:val="231F20"/>
        </w:rPr>
        <w:t>is</w:t>
      </w:r>
      <w:r>
        <w:rPr>
          <w:color w:val="231F20"/>
          <w:spacing w:val="-8"/>
        </w:rPr>
        <w:t xml:space="preserve"> </w:t>
      </w:r>
      <w:r>
        <w:rPr>
          <w:color w:val="231F20"/>
        </w:rPr>
        <w:t>not</w:t>
      </w:r>
      <w:r>
        <w:rPr>
          <w:color w:val="231F20"/>
          <w:spacing w:val="-8"/>
        </w:rPr>
        <w:t xml:space="preserve"> </w:t>
      </w:r>
      <w:r>
        <w:rPr>
          <w:color w:val="231F20"/>
        </w:rPr>
        <w:t>permitted.</w:t>
      </w:r>
      <w:r>
        <w:rPr>
          <w:color w:val="231F20"/>
          <w:spacing w:val="-8"/>
        </w:rPr>
        <w:t xml:space="preserve"> </w:t>
      </w:r>
      <w:r>
        <w:rPr>
          <w:color w:val="231F20"/>
        </w:rPr>
        <w:t>Financial</w:t>
      </w:r>
      <w:r>
        <w:rPr>
          <w:color w:val="231F20"/>
          <w:spacing w:val="-9"/>
        </w:rPr>
        <w:t xml:space="preserve"> </w:t>
      </w:r>
      <w:r>
        <w:rPr>
          <w:color w:val="231F20"/>
        </w:rPr>
        <w:t>assets</w:t>
      </w:r>
      <w:r>
        <w:rPr>
          <w:color w:val="231F20"/>
          <w:spacing w:val="-8"/>
        </w:rPr>
        <w:t xml:space="preserve"> </w:t>
      </w:r>
      <w:r>
        <w:rPr>
          <w:color w:val="231F20"/>
        </w:rPr>
        <w:t>are</w:t>
      </w:r>
      <w:r>
        <w:rPr>
          <w:color w:val="231F20"/>
          <w:spacing w:val="-9"/>
        </w:rPr>
        <w:t xml:space="preserve"> </w:t>
      </w:r>
      <w:r>
        <w:rPr>
          <w:color w:val="231F20"/>
        </w:rPr>
        <w:t>required</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reclassified</w:t>
      </w:r>
      <w:r>
        <w:rPr>
          <w:color w:val="231F20"/>
          <w:spacing w:val="-9"/>
        </w:rPr>
        <w:t xml:space="preserve"> </w:t>
      </w:r>
      <w:r>
        <w:rPr>
          <w:color w:val="231F20"/>
        </w:rPr>
        <w:t>between fair</w:t>
      </w:r>
      <w:r>
        <w:rPr>
          <w:color w:val="231F20"/>
          <w:spacing w:val="-8"/>
        </w:rPr>
        <w:t xml:space="preserve"> </w:t>
      </w:r>
      <w:r>
        <w:rPr>
          <w:color w:val="231F20"/>
        </w:rPr>
        <w:t>value</w:t>
      </w:r>
      <w:r>
        <w:rPr>
          <w:color w:val="231F20"/>
          <w:spacing w:val="-9"/>
        </w:rPr>
        <w:t xml:space="preserve"> </w:t>
      </w:r>
      <w:r>
        <w:rPr>
          <w:color w:val="231F20"/>
        </w:rPr>
        <w:t>through</w:t>
      </w:r>
      <w:r>
        <w:rPr>
          <w:color w:val="231F20"/>
          <w:spacing w:val="-9"/>
        </w:rPr>
        <w:t xml:space="preserve"> </w:t>
      </w:r>
      <w:r>
        <w:rPr>
          <w:color w:val="231F20"/>
        </w:rPr>
        <w:t>net</w:t>
      </w:r>
      <w:r>
        <w:rPr>
          <w:color w:val="231F20"/>
          <w:spacing w:val="-8"/>
        </w:rPr>
        <w:t xml:space="preserve"> </w:t>
      </w:r>
      <w:r>
        <w:rPr>
          <w:color w:val="231F20"/>
        </w:rPr>
        <w:t>results,</w:t>
      </w:r>
      <w:r>
        <w:rPr>
          <w:color w:val="231F20"/>
          <w:spacing w:val="-8"/>
        </w:rPr>
        <w:t xml:space="preserve"> </w:t>
      </w:r>
      <w:r>
        <w:rPr>
          <w:color w:val="231F20"/>
        </w:rPr>
        <w:t>fair</w:t>
      </w:r>
      <w:r>
        <w:rPr>
          <w:color w:val="231F20"/>
          <w:spacing w:val="-8"/>
        </w:rPr>
        <w:t xml:space="preserve"> </w:t>
      </w:r>
      <w:r>
        <w:rPr>
          <w:color w:val="231F20"/>
        </w:rPr>
        <w:t>value</w:t>
      </w:r>
      <w:r>
        <w:rPr>
          <w:color w:val="231F20"/>
          <w:spacing w:val="-9"/>
        </w:rPr>
        <w:t xml:space="preserve"> </w:t>
      </w:r>
      <w:r>
        <w:rPr>
          <w:color w:val="231F20"/>
        </w:rPr>
        <w:t>through</w:t>
      </w:r>
      <w:r>
        <w:rPr>
          <w:color w:val="231F20"/>
          <w:spacing w:val="-9"/>
        </w:rPr>
        <w:t xml:space="preserve"> </w:t>
      </w:r>
      <w:r>
        <w:rPr>
          <w:color w:val="231F20"/>
        </w:rPr>
        <w:t>Other</w:t>
      </w:r>
      <w:r>
        <w:rPr>
          <w:color w:val="231F20"/>
          <w:spacing w:val="-8"/>
        </w:rPr>
        <w:t xml:space="preserve"> </w:t>
      </w:r>
      <w:r>
        <w:rPr>
          <w:color w:val="231F20"/>
        </w:rPr>
        <w:t>Comprehensive</w:t>
      </w:r>
      <w:r>
        <w:rPr>
          <w:color w:val="231F20"/>
          <w:spacing w:val="-9"/>
        </w:rPr>
        <w:t xml:space="preserve"> </w:t>
      </w:r>
      <w:r>
        <w:rPr>
          <w:color w:val="231F20"/>
        </w:rPr>
        <w:t>Income</w:t>
      </w:r>
      <w:r>
        <w:rPr>
          <w:color w:val="231F20"/>
          <w:spacing w:val="-9"/>
        </w:rPr>
        <w:t xml:space="preserve"> </w:t>
      </w:r>
      <w:r>
        <w:rPr>
          <w:color w:val="231F20"/>
        </w:rPr>
        <w:t>and</w:t>
      </w:r>
      <w:r>
        <w:rPr>
          <w:color w:val="231F20"/>
          <w:spacing w:val="-9"/>
        </w:rPr>
        <w:t xml:space="preserve"> </w:t>
      </w:r>
      <w:r>
        <w:rPr>
          <w:color w:val="231F20"/>
        </w:rPr>
        <w:t>amortised</w:t>
      </w:r>
    </w:p>
    <w:p w14:paraId="54291E77" w14:textId="77777777" w:rsidR="00345EE3" w:rsidRDefault="00345EE3" w:rsidP="00345EE3">
      <w:pPr>
        <w:pStyle w:val="BodyText"/>
        <w:spacing w:before="5" w:line="242" w:lineRule="auto"/>
      </w:pPr>
      <w:r>
        <w:rPr>
          <w:color w:val="231F20"/>
        </w:rPr>
        <w:t>cost</w:t>
      </w:r>
      <w:r>
        <w:rPr>
          <w:color w:val="231F20"/>
          <w:spacing w:val="-9"/>
        </w:rPr>
        <w:t xml:space="preserve"> </w:t>
      </w:r>
      <w:r>
        <w:rPr>
          <w:color w:val="231F20"/>
        </w:rPr>
        <w:t>when</w:t>
      </w:r>
      <w:r>
        <w:rPr>
          <w:color w:val="231F20"/>
          <w:spacing w:val="-10"/>
        </w:rPr>
        <w:t xml:space="preserve"> </w:t>
      </w:r>
      <w:r>
        <w:rPr>
          <w:color w:val="231F20"/>
        </w:rPr>
        <w:t>and</w:t>
      </w:r>
      <w:r>
        <w:rPr>
          <w:color w:val="231F20"/>
          <w:spacing w:val="-10"/>
        </w:rPr>
        <w:t xml:space="preserve"> </w:t>
      </w:r>
      <w:r>
        <w:rPr>
          <w:color w:val="231F20"/>
        </w:rPr>
        <w:t>only</w:t>
      </w:r>
      <w:r>
        <w:rPr>
          <w:color w:val="231F20"/>
          <w:spacing w:val="-9"/>
        </w:rPr>
        <w:t xml:space="preserve"> </w:t>
      </w:r>
      <w:r>
        <w:rPr>
          <w:color w:val="231F20"/>
        </w:rPr>
        <w:t>when</w:t>
      </w:r>
      <w:r>
        <w:rPr>
          <w:color w:val="231F20"/>
          <w:spacing w:val="-10"/>
        </w:rPr>
        <w:t xml:space="preserve"> </w:t>
      </w:r>
      <w:r>
        <w:rPr>
          <w:color w:val="231F20"/>
        </w:rPr>
        <w:t>the</w:t>
      </w:r>
      <w:r>
        <w:rPr>
          <w:color w:val="231F20"/>
          <w:spacing w:val="-10"/>
        </w:rPr>
        <w:t xml:space="preserve"> </w:t>
      </w:r>
      <w:r>
        <w:rPr>
          <w:color w:val="231F20"/>
        </w:rPr>
        <w:t>Victoria</w:t>
      </w:r>
      <w:r>
        <w:rPr>
          <w:color w:val="231F20"/>
          <w:spacing w:val="-10"/>
        </w:rPr>
        <w:t xml:space="preserve"> </w:t>
      </w:r>
      <w:r>
        <w:rPr>
          <w:color w:val="231F20"/>
        </w:rPr>
        <w:t>Police’s</w:t>
      </w:r>
      <w:r>
        <w:rPr>
          <w:color w:val="231F20"/>
          <w:spacing w:val="-9"/>
        </w:rPr>
        <w:t xml:space="preserve"> </w:t>
      </w:r>
      <w:r>
        <w:rPr>
          <w:color w:val="231F20"/>
        </w:rPr>
        <w:t>business</w:t>
      </w:r>
      <w:r>
        <w:rPr>
          <w:color w:val="231F20"/>
          <w:spacing w:val="-9"/>
        </w:rPr>
        <w:t xml:space="preserve"> </w:t>
      </w:r>
      <w:r>
        <w:rPr>
          <w:color w:val="231F20"/>
        </w:rPr>
        <w:t>model</w:t>
      </w:r>
      <w:r>
        <w:rPr>
          <w:color w:val="231F20"/>
          <w:spacing w:val="-10"/>
        </w:rPr>
        <w:t xml:space="preserve"> </w:t>
      </w:r>
      <w:r>
        <w:rPr>
          <w:color w:val="231F20"/>
        </w:rPr>
        <w:t>for</w:t>
      </w:r>
      <w:r>
        <w:rPr>
          <w:color w:val="231F20"/>
          <w:spacing w:val="-9"/>
        </w:rPr>
        <w:t xml:space="preserve"> </w:t>
      </w:r>
      <w:r>
        <w:rPr>
          <w:color w:val="231F20"/>
        </w:rPr>
        <w:t>managing</w:t>
      </w:r>
      <w:r>
        <w:rPr>
          <w:color w:val="231F20"/>
          <w:spacing w:val="-10"/>
        </w:rPr>
        <w:t xml:space="preserve"> </w:t>
      </w:r>
      <w:r>
        <w:rPr>
          <w:color w:val="231F20"/>
        </w:rPr>
        <w:t>financial</w:t>
      </w:r>
      <w:r>
        <w:rPr>
          <w:color w:val="231F20"/>
          <w:spacing w:val="-10"/>
        </w:rPr>
        <w:t xml:space="preserve"> </w:t>
      </w:r>
      <w:r>
        <w:rPr>
          <w:color w:val="231F20"/>
        </w:rPr>
        <w:t>assets</w:t>
      </w:r>
      <w:r>
        <w:rPr>
          <w:color w:val="231F20"/>
          <w:spacing w:val="-9"/>
        </w:rPr>
        <w:t xml:space="preserve"> </w:t>
      </w:r>
      <w:r>
        <w:rPr>
          <w:color w:val="231F20"/>
        </w:rPr>
        <w:t>has changed such that its previous model would no longer apply.</w:t>
      </w:r>
    </w:p>
    <w:p w14:paraId="48829A04" w14:textId="77777777" w:rsidR="00345EE3" w:rsidRDefault="00345EE3" w:rsidP="00345EE3">
      <w:pPr>
        <w:pStyle w:val="BodyText"/>
        <w:spacing w:before="115" w:line="242" w:lineRule="auto"/>
        <w:ind w:right="281"/>
      </w:pPr>
      <w:r>
        <w:rPr>
          <w:color w:val="231F20"/>
        </w:rPr>
        <w:t>Victoria Police is generally unable to change its business model because it is determined by the</w:t>
      </w:r>
      <w:r>
        <w:rPr>
          <w:color w:val="231F20"/>
          <w:spacing w:val="-9"/>
        </w:rPr>
        <w:t xml:space="preserve"> </w:t>
      </w:r>
      <w:r>
        <w:rPr>
          <w:color w:val="231F20"/>
        </w:rPr>
        <w:t>Performance</w:t>
      </w:r>
      <w:r>
        <w:rPr>
          <w:color w:val="231F20"/>
          <w:spacing w:val="-9"/>
        </w:rPr>
        <w:t xml:space="preserve"> </w:t>
      </w:r>
      <w:r>
        <w:rPr>
          <w:color w:val="231F20"/>
        </w:rPr>
        <w:t>Management</w:t>
      </w:r>
      <w:r>
        <w:rPr>
          <w:color w:val="231F20"/>
          <w:spacing w:val="-8"/>
        </w:rPr>
        <w:t xml:space="preserve"> </w:t>
      </w:r>
      <w:r>
        <w:rPr>
          <w:color w:val="231F20"/>
        </w:rPr>
        <w:t>Framework</w:t>
      </w:r>
      <w:r>
        <w:rPr>
          <w:color w:val="231F20"/>
          <w:spacing w:val="-8"/>
        </w:rPr>
        <w:t xml:space="preserve"> </w:t>
      </w:r>
      <w:r>
        <w:rPr>
          <w:color w:val="231F20"/>
        </w:rPr>
        <w:t>(PMF)</w:t>
      </w:r>
      <w:r>
        <w:rPr>
          <w:color w:val="231F20"/>
          <w:spacing w:val="-8"/>
        </w:rPr>
        <w:t xml:space="preserve"> </w:t>
      </w:r>
      <w:r>
        <w:rPr>
          <w:color w:val="231F20"/>
        </w:rPr>
        <w:t>and</w:t>
      </w:r>
      <w:r>
        <w:rPr>
          <w:color w:val="231F20"/>
          <w:spacing w:val="-9"/>
        </w:rPr>
        <w:t xml:space="preserve"> </w:t>
      </w:r>
      <w:r>
        <w:rPr>
          <w:color w:val="231F20"/>
        </w:rPr>
        <w:t>it</w:t>
      </w:r>
      <w:r>
        <w:rPr>
          <w:color w:val="231F20"/>
          <w:spacing w:val="-8"/>
        </w:rPr>
        <w:t xml:space="preserve"> </w:t>
      </w:r>
      <w:r>
        <w:rPr>
          <w:color w:val="231F20"/>
        </w:rPr>
        <w:t>is</w:t>
      </w:r>
      <w:r>
        <w:rPr>
          <w:color w:val="231F20"/>
          <w:spacing w:val="-8"/>
        </w:rPr>
        <w:t xml:space="preserve"> </w:t>
      </w:r>
      <w:r>
        <w:rPr>
          <w:color w:val="231F20"/>
        </w:rPr>
        <w:t>required</w:t>
      </w:r>
      <w:r>
        <w:rPr>
          <w:color w:val="231F20"/>
          <w:spacing w:val="-9"/>
        </w:rPr>
        <w:t xml:space="preserve"> </w:t>
      </w:r>
      <w:r>
        <w:rPr>
          <w:color w:val="231F20"/>
        </w:rPr>
        <w:t>to</w:t>
      </w:r>
      <w:r>
        <w:rPr>
          <w:color w:val="231F20"/>
          <w:spacing w:val="-9"/>
        </w:rPr>
        <w:t xml:space="preserve"> </w:t>
      </w:r>
      <w:r>
        <w:rPr>
          <w:color w:val="231F20"/>
        </w:rPr>
        <w:t>apply</w:t>
      </w:r>
      <w:r>
        <w:rPr>
          <w:color w:val="231F20"/>
          <w:spacing w:val="-8"/>
        </w:rPr>
        <w:t xml:space="preserve"> </w:t>
      </w:r>
      <w:r>
        <w:rPr>
          <w:color w:val="231F20"/>
        </w:rPr>
        <w:t>the</w:t>
      </w:r>
      <w:r>
        <w:rPr>
          <w:color w:val="231F20"/>
          <w:spacing w:val="-9"/>
        </w:rPr>
        <w:t xml:space="preserve"> </w:t>
      </w:r>
      <w:r>
        <w:rPr>
          <w:color w:val="231F20"/>
        </w:rPr>
        <w:t>PMF</w:t>
      </w:r>
      <w:r>
        <w:rPr>
          <w:color w:val="231F20"/>
          <w:spacing w:val="-8"/>
        </w:rPr>
        <w:t xml:space="preserve"> </w:t>
      </w:r>
      <w:r>
        <w:rPr>
          <w:color w:val="231F20"/>
        </w:rPr>
        <w:t>under</w:t>
      </w:r>
      <w:r>
        <w:rPr>
          <w:color w:val="231F20"/>
          <w:spacing w:val="-8"/>
        </w:rPr>
        <w:t xml:space="preserve"> </w:t>
      </w:r>
      <w:r>
        <w:rPr>
          <w:color w:val="231F20"/>
        </w:rPr>
        <w:t>the Standing Directions 2018 under the FMA.</w:t>
      </w:r>
    </w:p>
    <w:p w14:paraId="555B5CAD" w14:textId="77777777" w:rsidR="00345EE3" w:rsidRDefault="00345EE3" w:rsidP="00345EE3">
      <w:pPr>
        <w:spacing w:line="242" w:lineRule="auto"/>
        <w:sectPr w:rsidR="00345EE3">
          <w:pgSz w:w="11910" w:h="16840"/>
          <w:pgMar w:top="700" w:right="740" w:bottom="280" w:left="740" w:header="720" w:footer="720" w:gutter="0"/>
          <w:cols w:space="720"/>
        </w:sectPr>
      </w:pPr>
    </w:p>
    <w:p w14:paraId="2CFF2ECB" w14:textId="77777777" w:rsidR="00345EE3" w:rsidRDefault="00345EE3">
      <w:pPr>
        <w:pStyle w:val="Heading5"/>
        <w:numPr>
          <w:ilvl w:val="2"/>
          <w:numId w:val="19"/>
        </w:numPr>
        <w:tabs>
          <w:tab w:val="left" w:pos="711"/>
        </w:tabs>
        <w:spacing w:before="120" w:after="120"/>
        <w:ind w:left="393" w:hanging="284"/>
      </w:pPr>
      <w:r>
        <w:rPr>
          <w:color w:val="58595B"/>
        </w:rPr>
        <w:t xml:space="preserve">Financial Instruments: </w:t>
      </w:r>
      <w:r>
        <w:rPr>
          <w:color w:val="58595B"/>
          <w:spacing w:val="-2"/>
        </w:rPr>
        <w:t>Categorisation</w:t>
      </w:r>
    </w:p>
    <w:tbl>
      <w:tblPr>
        <w:tblW w:w="0" w:type="auto"/>
        <w:tblInd w:w="156" w:type="dxa"/>
        <w:tblLayout w:type="fixed"/>
        <w:tblCellMar>
          <w:left w:w="0" w:type="dxa"/>
          <w:right w:w="0" w:type="dxa"/>
        </w:tblCellMar>
        <w:tblLook w:val="0000" w:firstRow="0" w:lastRow="0" w:firstColumn="0" w:lastColumn="0" w:noHBand="0" w:noVBand="0"/>
      </w:tblPr>
      <w:tblGrid>
        <w:gridCol w:w="4535"/>
        <w:gridCol w:w="1134"/>
        <w:gridCol w:w="1531"/>
        <w:gridCol w:w="2268"/>
        <w:gridCol w:w="2267"/>
        <w:gridCol w:w="2268"/>
        <w:gridCol w:w="1134"/>
      </w:tblGrid>
      <w:tr w:rsidR="00345EE3" w:rsidRPr="00AC6ADA" w14:paraId="6DA1C6BF" w14:textId="77777777" w:rsidTr="00D73130">
        <w:trPr>
          <w:trHeight w:val="60"/>
          <w:tblHeader/>
        </w:trPr>
        <w:tc>
          <w:tcPr>
            <w:tcW w:w="15137" w:type="dxa"/>
            <w:gridSpan w:val="7"/>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54B2E25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 thousand)</w:t>
            </w:r>
          </w:p>
        </w:tc>
      </w:tr>
      <w:tr w:rsidR="00345EE3" w:rsidRPr="00AC6ADA" w14:paraId="372AD47F" w14:textId="77777777" w:rsidTr="00D73130">
        <w:trPr>
          <w:trHeight w:val="60"/>
          <w:tblHeader/>
        </w:trPr>
        <w:tc>
          <w:tcPr>
            <w:tcW w:w="4535"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2526E7E"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AC6ADA">
              <w:rPr>
                <w:rFonts w:eastAsiaTheme="minorHAnsi"/>
                <w:b/>
                <w:bCs/>
                <w:color w:val="FFFFFF"/>
                <w:sz w:val="24"/>
                <w:szCs w:val="24"/>
                <w:lang w:val="en-GB"/>
              </w:rP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F65C132"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Notes</w:t>
            </w:r>
          </w:p>
        </w:tc>
        <w:tc>
          <w:tcPr>
            <w:tcW w:w="153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DB18AE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Cash and deposits</w:t>
            </w:r>
          </w:p>
        </w:tc>
        <w:tc>
          <w:tcPr>
            <w:tcW w:w="2268"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F29D34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 xml:space="preserve">Derivatives designated in hedge relationship </w:t>
            </w:r>
          </w:p>
        </w:tc>
        <w:tc>
          <w:tcPr>
            <w:tcW w:w="226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29AEFB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Contractual financial assets at amortised cost</w:t>
            </w:r>
          </w:p>
        </w:tc>
        <w:tc>
          <w:tcPr>
            <w:tcW w:w="2268"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CEBC7E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Contractual financial liabilities at amortised cost</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4C60C322"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Total</w:t>
            </w:r>
          </w:p>
        </w:tc>
      </w:tr>
      <w:tr w:rsidR="00345EE3" w:rsidRPr="00AC6ADA" w14:paraId="63CA798A"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126DEF0"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Contractual Financial Assets</w:t>
            </w:r>
            <w:r w:rsidRPr="00AC6ADA">
              <w:rPr>
                <w:rFonts w:eastAsiaTheme="minorHAnsi"/>
                <w:b/>
                <w:bCs/>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B4345A6"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ED3CE70"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EA3A1E3"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6865D66"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BA0D64"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BA06834" w14:textId="77777777" w:rsidR="00345EE3" w:rsidRPr="00AC6ADA" w:rsidRDefault="00345EE3" w:rsidP="00D73130">
            <w:pPr>
              <w:widowControl/>
              <w:adjustRightInd w:val="0"/>
              <w:rPr>
                <w:rFonts w:eastAsiaTheme="minorHAnsi"/>
                <w:sz w:val="24"/>
                <w:szCs w:val="24"/>
                <w:lang w:val="en-GB"/>
              </w:rPr>
            </w:pPr>
          </w:p>
        </w:tc>
      </w:tr>
      <w:tr w:rsidR="00345EE3" w:rsidRPr="00AC6ADA" w14:paraId="226DD75A"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9A59D7D"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Cash and deposits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97B60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7.3</w:t>
            </w: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2E05E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62,483</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A62C7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604A32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AF2F0F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5142F77"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62,483</w:t>
            </w:r>
          </w:p>
        </w:tc>
      </w:tr>
      <w:tr w:rsidR="00345EE3" w:rsidRPr="00AC6ADA" w14:paraId="39FE2311"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AEB598E"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Receivables</w:t>
            </w:r>
            <w:r w:rsidRPr="00AC6ADA">
              <w:rPr>
                <w:rFonts w:eastAsiaTheme="minorHAnsi"/>
                <w:b/>
                <w:bCs/>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1D78FD3"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5B57994"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E05FA22"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59BC41"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B97AB2F"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48EEBF0" w14:textId="77777777" w:rsidR="00345EE3" w:rsidRPr="00AC6ADA" w:rsidRDefault="00345EE3" w:rsidP="00D73130">
            <w:pPr>
              <w:widowControl/>
              <w:adjustRightInd w:val="0"/>
              <w:rPr>
                <w:rFonts w:eastAsiaTheme="minorHAnsi"/>
                <w:sz w:val="24"/>
                <w:szCs w:val="24"/>
                <w:lang w:val="en-GB"/>
              </w:rPr>
            </w:pPr>
          </w:p>
        </w:tc>
      </w:tr>
      <w:tr w:rsidR="00345EE3" w:rsidRPr="00AC6ADA" w14:paraId="574240F4"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5940496"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Sale of goods and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A80DE4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6.1</w:t>
            </w: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CDC70A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FDACAA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79D388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2,975</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58EF84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8D67B3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2,975</w:t>
            </w:r>
          </w:p>
        </w:tc>
      </w:tr>
      <w:tr w:rsidR="00345EE3" w:rsidRPr="00AC6ADA" w14:paraId="28E88108"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3C2A53D"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Other receivables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49CB6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6.1</w:t>
            </w: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30D421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EADB9E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C0F62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8,749</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AB03B7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5E62364"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8,749</w:t>
            </w:r>
          </w:p>
        </w:tc>
      </w:tr>
      <w:tr w:rsidR="00345EE3" w:rsidRPr="00AC6ADA" w14:paraId="05F7BA84"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7AAAD13E"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Derivative financial instruments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62A205A"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6.1</w:t>
            </w:r>
          </w:p>
        </w:tc>
        <w:tc>
          <w:tcPr>
            <w:tcW w:w="1531"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927D4A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281671E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862</w:t>
            </w:r>
          </w:p>
        </w:tc>
        <w:tc>
          <w:tcPr>
            <w:tcW w:w="2267"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01C4CD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8BD78A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77C970C2"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862</w:t>
            </w:r>
          </w:p>
        </w:tc>
      </w:tr>
      <w:tr w:rsidR="00345EE3" w:rsidRPr="00AC6ADA" w14:paraId="322E85BD" w14:textId="77777777" w:rsidTr="00D73130">
        <w:trPr>
          <w:trHeight w:val="60"/>
        </w:trPr>
        <w:tc>
          <w:tcPr>
            <w:tcW w:w="4535"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0BBB0D22"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Total Contractual Financial Assets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21F38727"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694A6A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62,483</w:t>
            </w:r>
          </w:p>
        </w:tc>
        <w:tc>
          <w:tcPr>
            <w:tcW w:w="2268"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5FCB2DF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862</w:t>
            </w:r>
          </w:p>
        </w:tc>
        <w:tc>
          <w:tcPr>
            <w:tcW w:w="2267"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0AE2A0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11,724</w:t>
            </w:r>
          </w:p>
        </w:tc>
        <w:tc>
          <w:tcPr>
            <w:tcW w:w="2268"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048F203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01D3B76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75,069</w:t>
            </w:r>
          </w:p>
        </w:tc>
      </w:tr>
      <w:tr w:rsidR="00345EE3" w:rsidRPr="00AC6ADA" w14:paraId="0FE56AC9" w14:textId="77777777" w:rsidTr="00D73130">
        <w:trPr>
          <w:trHeight w:val="60"/>
        </w:trPr>
        <w:tc>
          <w:tcPr>
            <w:tcW w:w="4535"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3DCD6F6A"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Contractual Financial Liabilities</w:t>
            </w:r>
            <w:r w:rsidRPr="00AC6ADA">
              <w:rPr>
                <w:rFonts w:eastAsiaTheme="minorHAnsi"/>
                <w:b/>
                <w:bCs/>
                <w:color w:val="000000"/>
                <w:sz w:val="24"/>
                <w:szCs w:val="24"/>
                <w:vertAlign w:val="superscript"/>
                <w:lang w:val="en-GB"/>
              </w:rPr>
              <w:t xml:space="preserve"> (a)</w:t>
            </w: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D38187E"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C104B3A"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22C56A"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8FC4913"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8C4861"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DC168FC" w14:textId="77777777" w:rsidR="00345EE3" w:rsidRPr="00AC6ADA" w:rsidRDefault="00345EE3" w:rsidP="00D73130">
            <w:pPr>
              <w:widowControl/>
              <w:adjustRightInd w:val="0"/>
              <w:rPr>
                <w:rFonts w:eastAsiaTheme="minorHAnsi"/>
                <w:sz w:val="24"/>
                <w:szCs w:val="24"/>
                <w:lang w:val="en-GB"/>
              </w:rPr>
            </w:pPr>
          </w:p>
        </w:tc>
      </w:tr>
      <w:tr w:rsidR="00345EE3" w:rsidRPr="00AC6ADA" w14:paraId="59CCF409"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F3E4F53"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Payables</w:t>
            </w:r>
            <w:r w:rsidRPr="00AC6ADA">
              <w:rPr>
                <w:rFonts w:eastAsiaTheme="minorHAnsi"/>
                <w:b/>
                <w:bCs/>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47606BB"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EED1D34"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865BF5"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82C0CF"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D2BBA3D"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194855D" w14:textId="77777777" w:rsidR="00345EE3" w:rsidRPr="00AC6ADA" w:rsidRDefault="00345EE3" w:rsidP="00D73130">
            <w:pPr>
              <w:widowControl/>
              <w:adjustRightInd w:val="0"/>
              <w:rPr>
                <w:rFonts w:eastAsiaTheme="minorHAnsi"/>
                <w:sz w:val="24"/>
                <w:szCs w:val="24"/>
                <w:lang w:val="en-GB"/>
              </w:rPr>
            </w:pPr>
          </w:p>
        </w:tc>
      </w:tr>
      <w:tr w:rsidR="00345EE3" w:rsidRPr="00AC6ADA" w14:paraId="153D392C"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6BAE067"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Supplies and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A3F8EC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56684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4EC284A"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2D2825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0DE1253"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85,677</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271DD2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85,677</w:t>
            </w:r>
          </w:p>
        </w:tc>
      </w:tr>
      <w:tr w:rsidR="00345EE3" w:rsidRPr="00AC6ADA" w14:paraId="53018397"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8C6FBF6"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Amounts payable to government and agencies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4BD084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2F4361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CBA1BC"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08AEE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02A5BE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415CA6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r>
      <w:tr w:rsidR="00345EE3" w:rsidRPr="00AC6ADA" w14:paraId="323AEE03"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C2212F7"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Other payables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3E8923"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1FE3D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74D76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B78165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FD902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1,493</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28FD06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1,493</w:t>
            </w:r>
          </w:p>
        </w:tc>
      </w:tr>
      <w:tr w:rsidR="00345EE3" w:rsidRPr="00AC6ADA" w14:paraId="15749474"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9C9C6D4"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Derivative financial instruments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DD6F6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07D20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1244D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4,274</w:t>
            </w: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E8D40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71C345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011C9BA"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4,274</w:t>
            </w:r>
          </w:p>
        </w:tc>
      </w:tr>
      <w:tr w:rsidR="00345EE3" w:rsidRPr="00AC6ADA" w14:paraId="67F6419B"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46FDC3D"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Borrowings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60EF8B"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D28A1B"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708E2C8"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AF0FC9B"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A179A26"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681ADD2" w14:textId="77777777" w:rsidR="00345EE3" w:rsidRPr="00AC6ADA" w:rsidRDefault="00345EE3" w:rsidP="00D73130">
            <w:pPr>
              <w:widowControl/>
              <w:adjustRightInd w:val="0"/>
              <w:rPr>
                <w:rFonts w:eastAsiaTheme="minorHAnsi"/>
                <w:sz w:val="24"/>
                <w:szCs w:val="24"/>
                <w:lang w:val="en-GB"/>
              </w:rPr>
            </w:pPr>
          </w:p>
        </w:tc>
      </w:tr>
      <w:tr w:rsidR="00345EE3" w:rsidRPr="00AC6ADA" w14:paraId="6A723A43"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6D3FBBEF"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Lease liabilities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119BDD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7.1</w:t>
            </w:r>
          </w:p>
        </w:tc>
        <w:tc>
          <w:tcPr>
            <w:tcW w:w="1531"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395421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0163E4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06031A3"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55D201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1,861,468</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30A5F9F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1,861,468</w:t>
            </w:r>
          </w:p>
        </w:tc>
      </w:tr>
      <w:tr w:rsidR="00345EE3" w:rsidRPr="00AC6ADA" w14:paraId="0B74C892" w14:textId="77777777" w:rsidTr="00D73130">
        <w:trPr>
          <w:trHeight w:val="60"/>
        </w:trPr>
        <w:tc>
          <w:tcPr>
            <w:tcW w:w="4535"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3B320085"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Total Contractual Financial Liabilities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084AC28A"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715E1E7"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 xml:space="preserve"> -   </w:t>
            </w:r>
          </w:p>
        </w:tc>
        <w:tc>
          <w:tcPr>
            <w:tcW w:w="2268"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5D88367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4,274</w:t>
            </w:r>
          </w:p>
        </w:tc>
        <w:tc>
          <w:tcPr>
            <w:tcW w:w="2267"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4D9EE52C"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 xml:space="preserve"> -   </w:t>
            </w:r>
          </w:p>
        </w:tc>
        <w:tc>
          <w:tcPr>
            <w:tcW w:w="2268"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3CAB6A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1,948,638</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72CF080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1,952,912</w:t>
            </w:r>
          </w:p>
        </w:tc>
      </w:tr>
    </w:tbl>
    <w:p w14:paraId="1A3F479B" w14:textId="77777777" w:rsidR="00345EE3" w:rsidRPr="00D44B96" w:rsidRDefault="00345EE3" w:rsidP="00345EE3">
      <w:pPr>
        <w:spacing w:before="80"/>
        <w:ind w:left="110"/>
        <w:rPr>
          <w:rFonts w:ascii="Arial-BoldItalicMT"/>
          <w:b/>
          <w:i/>
          <w:sz w:val="18"/>
          <w:szCs w:val="18"/>
        </w:rPr>
      </w:pPr>
      <w:r w:rsidRPr="00D44B96">
        <w:rPr>
          <w:rFonts w:ascii="Arial-BoldItalicMT"/>
          <w:b/>
          <w:i/>
          <w:color w:val="231F20"/>
          <w:spacing w:val="-2"/>
          <w:sz w:val="18"/>
          <w:szCs w:val="18"/>
        </w:rPr>
        <w:t>Notes:</w:t>
      </w:r>
    </w:p>
    <w:p w14:paraId="08AAD27D" w14:textId="77777777" w:rsidR="00345EE3" w:rsidRPr="00D44B96" w:rsidRDefault="00345EE3">
      <w:pPr>
        <w:pStyle w:val="ListParagraph"/>
        <w:numPr>
          <w:ilvl w:val="0"/>
          <w:numId w:val="18"/>
        </w:numPr>
        <w:tabs>
          <w:tab w:val="left" w:pos="338"/>
        </w:tabs>
        <w:spacing w:before="28"/>
        <w:ind w:hanging="228"/>
        <w:rPr>
          <w:sz w:val="18"/>
          <w:szCs w:val="18"/>
        </w:rPr>
      </w:pPr>
      <w:r w:rsidRPr="00D44B96">
        <w:rPr>
          <w:color w:val="231F20"/>
          <w:sz w:val="18"/>
          <w:szCs w:val="18"/>
        </w:rPr>
        <w:t>At</w:t>
      </w:r>
      <w:r w:rsidRPr="00D44B96">
        <w:rPr>
          <w:color w:val="231F20"/>
          <w:spacing w:val="-2"/>
          <w:sz w:val="18"/>
          <w:szCs w:val="18"/>
        </w:rPr>
        <w:t xml:space="preserve"> </w:t>
      </w:r>
      <w:r w:rsidRPr="00D44B96">
        <w:rPr>
          <w:color w:val="231F20"/>
          <w:sz w:val="18"/>
          <w:szCs w:val="18"/>
        </w:rPr>
        <w:t>year-end,</w:t>
      </w:r>
      <w:r w:rsidRPr="00D44B96">
        <w:rPr>
          <w:color w:val="231F20"/>
          <w:spacing w:val="-1"/>
          <w:sz w:val="18"/>
          <w:szCs w:val="18"/>
        </w:rPr>
        <w:t xml:space="preserve"> </w:t>
      </w:r>
      <w:r w:rsidRPr="00D44B96">
        <w:rPr>
          <w:color w:val="231F20"/>
          <w:sz w:val="18"/>
          <w:szCs w:val="18"/>
        </w:rPr>
        <w:t>the</w:t>
      </w:r>
      <w:r w:rsidRPr="00D44B96">
        <w:rPr>
          <w:color w:val="231F20"/>
          <w:spacing w:val="-1"/>
          <w:sz w:val="18"/>
          <w:szCs w:val="18"/>
        </w:rPr>
        <w:t xml:space="preserve"> </w:t>
      </w:r>
      <w:r w:rsidRPr="00D44B96">
        <w:rPr>
          <w:color w:val="231F20"/>
          <w:sz w:val="18"/>
          <w:szCs w:val="18"/>
        </w:rPr>
        <w:t>carrying</w:t>
      </w:r>
      <w:r w:rsidRPr="00D44B96">
        <w:rPr>
          <w:color w:val="231F20"/>
          <w:spacing w:val="-2"/>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disclosed</w:t>
      </w:r>
      <w:r w:rsidRPr="00D44B96">
        <w:rPr>
          <w:color w:val="231F20"/>
          <w:spacing w:val="-1"/>
          <w:sz w:val="18"/>
          <w:szCs w:val="18"/>
        </w:rPr>
        <w:t xml:space="preserve"> </w:t>
      </w:r>
      <w:r w:rsidRPr="00D44B96">
        <w:rPr>
          <w:color w:val="231F20"/>
          <w:sz w:val="18"/>
          <w:szCs w:val="18"/>
        </w:rPr>
        <w:t>approximates</w:t>
      </w:r>
      <w:r w:rsidRPr="00D44B96">
        <w:rPr>
          <w:color w:val="231F20"/>
          <w:spacing w:val="-2"/>
          <w:sz w:val="18"/>
          <w:szCs w:val="18"/>
        </w:rPr>
        <w:t xml:space="preserve"> </w:t>
      </w:r>
      <w:r w:rsidRPr="00D44B96">
        <w:rPr>
          <w:color w:val="231F20"/>
          <w:sz w:val="18"/>
          <w:szCs w:val="18"/>
        </w:rPr>
        <w:t>its</w:t>
      </w:r>
      <w:r w:rsidRPr="00D44B96">
        <w:rPr>
          <w:color w:val="231F20"/>
          <w:spacing w:val="-1"/>
          <w:sz w:val="18"/>
          <w:szCs w:val="18"/>
        </w:rPr>
        <w:t xml:space="preserve"> </w:t>
      </w:r>
      <w:r w:rsidRPr="00D44B96">
        <w:rPr>
          <w:color w:val="231F20"/>
          <w:sz w:val="18"/>
          <w:szCs w:val="18"/>
        </w:rPr>
        <w:t>fair</w:t>
      </w:r>
      <w:r w:rsidRPr="00D44B96">
        <w:rPr>
          <w:color w:val="231F20"/>
          <w:spacing w:val="-1"/>
          <w:sz w:val="18"/>
          <w:szCs w:val="18"/>
        </w:rPr>
        <w:t xml:space="preserve"> </w:t>
      </w:r>
      <w:r w:rsidRPr="00D44B96">
        <w:rPr>
          <w:color w:val="231F20"/>
          <w:spacing w:val="-2"/>
          <w:sz w:val="18"/>
          <w:szCs w:val="18"/>
        </w:rPr>
        <w:t>value.</w:t>
      </w:r>
    </w:p>
    <w:p w14:paraId="1C59BC56" w14:textId="77777777" w:rsidR="00345EE3" w:rsidRPr="00D44B96" w:rsidRDefault="00345EE3">
      <w:pPr>
        <w:pStyle w:val="ListParagraph"/>
        <w:numPr>
          <w:ilvl w:val="0"/>
          <w:numId w:val="18"/>
        </w:numPr>
        <w:tabs>
          <w:tab w:val="left" w:pos="338"/>
        </w:tabs>
        <w:spacing w:before="27"/>
        <w:ind w:left="110" w:right="351" w:firstLine="0"/>
        <w:rPr>
          <w:sz w:val="18"/>
          <w:szCs w:val="18"/>
        </w:rPr>
      </w:pPr>
      <w:r w:rsidRPr="00D44B96">
        <w:rPr>
          <w:color w:val="231F20"/>
          <w:sz w:val="18"/>
          <w:szCs w:val="18"/>
        </w:rPr>
        <w:t>The</w:t>
      </w:r>
      <w:r w:rsidRPr="00D44B96">
        <w:rPr>
          <w:color w:val="231F20"/>
          <w:spacing w:val="-1"/>
          <w:sz w:val="18"/>
          <w:szCs w:val="18"/>
        </w:rPr>
        <w:t xml:space="preserve"> </w:t>
      </w:r>
      <w:r w:rsidRPr="00D44B96">
        <w:rPr>
          <w:color w:val="231F20"/>
          <w:sz w:val="18"/>
          <w:szCs w:val="18"/>
        </w:rPr>
        <w:t>total</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disclosed</w:t>
      </w:r>
      <w:r w:rsidRPr="00D44B96">
        <w:rPr>
          <w:color w:val="231F20"/>
          <w:spacing w:val="-1"/>
          <w:sz w:val="18"/>
          <w:szCs w:val="18"/>
        </w:rPr>
        <w:t xml:space="preserve"> </w:t>
      </w:r>
      <w:r w:rsidRPr="00D44B96">
        <w:rPr>
          <w:color w:val="231F20"/>
          <w:sz w:val="18"/>
          <w:szCs w:val="18"/>
        </w:rPr>
        <w:t>here</w:t>
      </w:r>
      <w:r w:rsidRPr="00D44B96">
        <w:rPr>
          <w:color w:val="231F20"/>
          <w:spacing w:val="-1"/>
          <w:sz w:val="18"/>
          <w:szCs w:val="18"/>
        </w:rPr>
        <w:t xml:space="preserve"> </w:t>
      </w:r>
      <w:r w:rsidRPr="00D44B96">
        <w:rPr>
          <w:color w:val="231F20"/>
          <w:sz w:val="18"/>
          <w:szCs w:val="18"/>
        </w:rPr>
        <w:t>exclude</w:t>
      </w:r>
      <w:r w:rsidRPr="00D44B96">
        <w:rPr>
          <w:color w:val="231F20"/>
          <w:spacing w:val="-1"/>
          <w:sz w:val="18"/>
          <w:szCs w:val="18"/>
        </w:rPr>
        <w:t xml:space="preserve"> </w:t>
      </w:r>
      <w:r w:rsidRPr="00D44B96">
        <w:rPr>
          <w:color w:val="231F20"/>
          <w:sz w:val="18"/>
          <w:szCs w:val="18"/>
        </w:rPr>
        <w:t>statutory</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(e.g.</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owing</w:t>
      </w:r>
      <w:r w:rsidRPr="00D44B96">
        <w:rPr>
          <w:color w:val="231F20"/>
          <w:spacing w:val="-1"/>
          <w:sz w:val="18"/>
          <w:szCs w:val="18"/>
        </w:rPr>
        <w:t xml:space="preserve"> </w:t>
      </w:r>
      <w:r w:rsidRPr="00D44B96">
        <w:rPr>
          <w:color w:val="231F20"/>
          <w:sz w:val="18"/>
          <w:szCs w:val="18"/>
        </w:rPr>
        <w:t>from</w:t>
      </w:r>
      <w:r w:rsidRPr="00D44B96">
        <w:rPr>
          <w:color w:val="231F20"/>
          <w:spacing w:val="-1"/>
          <w:sz w:val="18"/>
          <w:szCs w:val="18"/>
        </w:rPr>
        <w:t xml:space="preserve"> </w:t>
      </w:r>
      <w:r w:rsidRPr="00D44B96">
        <w:rPr>
          <w:color w:val="231F20"/>
          <w:sz w:val="18"/>
          <w:szCs w:val="18"/>
        </w:rPr>
        <w:t>Victorian</w:t>
      </w:r>
      <w:r w:rsidRPr="00D44B96">
        <w:rPr>
          <w:color w:val="231F20"/>
          <w:spacing w:val="-1"/>
          <w:sz w:val="18"/>
          <w:szCs w:val="18"/>
        </w:rPr>
        <w:t xml:space="preserve"> </w:t>
      </w:r>
      <w:r w:rsidRPr="00D44B96">
        <w:rPr>
          <w:color w:val="231F20"/>
          <w:sz w:val="18"/>
          <w:szCs w:val="18"/>
        </w:rPr>
        <w:t>Government</w:t>
      </w:r>
      <w:r w:rsidRPr="00D44B96">
        <w:rPr>
          <w:color w:val="231F20"/>
          <w:spacing w:val="-1"/>
          <w:sz w:val="18"/>
          <w:szCs w:val="18"/>
        </w:rPr>
        <w:t xml:space="preserve"> </w:t>
      </w:r>
      <w:r w:rsidRPr="00D44B96">
        <w:rPr>
          <w:color w:val="231F20"/>
          <w:sz w:val="18"/>
          <w:szCs w:val="18"/>
        </w:rPr>
        <w:t>and</w:t>
      </w:r>
      <w:r w:rsidRPr="00D44B96">
        <w:rPr>
          <w:color w:val="231F20"/>
          <w:spacing w:val="-1"/>
          <w:sz w:val="18"/>
          <w:szCs w:val="18"/>
        </w:rPr>
        <w:t xml:space="preserve"> </w:t>
      </w:r>
      <w:r w:rsidRPr="00D44B96">
        <w:rPr>
          <w:color w:val="231F20"/>
          <w:sz w:val="18"/>
          <w:szCs w:val="18"/>
        </w:rPr>
        <w:t>GST</w:t>
      </w:r>
      <w:r w:rsidRPr="00D44B96">
        <w:rPr>
          <w:color w:val="231F20"/>
          <w:spacing w:val="-1"/>
          <w:sz w:val="18"/>
          <w:szCs w:val="18"/>
        </w:rPr>
        <w:t xml:space="preserve"> </w:t>
      </w:r>
      <w:r w:rsidRPr="00D44B96">
        <w:rPr>
          <w:color w:val="231F20"/>
          <w:sz w:val="18"/>
          <w:szCs w:val="18"/>
        </w:rPr>
        <w:t>input</w:t>
      </w:r>
      <w:r w:rsidRPr="00D44B96">
        <w:rPr>
          <w:color w:val="231F20"/>
          <w:spacing w:val="-1"/>
          <w:sz w:val="18"/>
          <w:szCs w:val="18"/>
        </w:rPr>
        <w:t xml:space="preserve"> </w:t>
      </w:r>
      <w:r w:rsidRPr="00D44B96">
        <w:rPr>
          <w:color w:val="231F20"/>
          <w:sz w:val="18"/>
          <w:szCs w:val="18"/>
        </w:rPr>
        <w:t>tax</w:t>
      </w:r>
      <w:r w:rsidRPr="00D44B96">
        <w:rPr>
          <w:color w:val="231F20"/>
          <w:spacing w:val="-1"/>
          <w:sz w:val="18"/>
          <w:szCs w:val="18"/>
        </w:rPr>
        <w:t xml:space="preserve"> </w:t>
      </w:r>
      <w:r w:rsidRPr="00D44B96">
        <w:rPr>
          <w:color w:val="231F20"/>
          <w:sz w:val="18"/>
          <w:szCs w:val="18"/>
        </w:rPr>
        <w:t>credit</w:t>
      </w:r>
      <w:r w:rsidRPr="00D44B96">
        <w:rPr>
          <w:color w:val="231F20"/>
          <w:spacing w:val="-1"/>
          <w:sz w:val="18"/>
          <w:szCs w:val="18"/>
        </w:rPr>
        <w:t xml:space="preserve"> </w:t>
      </w:r>
      <w:r w:rsidRPr="00D44B96">
        <w:rPr>
          <w:color w:val="231F20"/>
          <w:sz w:val="18"/>
          <w:szCs w:val="18"/>
        </w:rPr>
        <w:t>recoverable</w:t>
      </w:r>
      <w:r w:rsidRPr="00D44B96">
        <w:rPr>
          <w:color w:val="231F20"/>
          <w:spacing w:val="-1"/>
          <w:sz w:val="18"/>
          <w:szCs w:val="18"/>
        </w:rPr>
        <w:t xml:space="preserve"> </w:t>
      </w:r>
      <w:r w:rsidRPr="00D44B96">
        <w:rPr>
          <w:color w:val="231F20"/>
          <w:sz w:val="18"/>
          <w:szCs w:val="18"/>
        </w:rPr>
        <w:t>and</w:t>
      </w:r>
      <w:r w:rsidRPr="00D44B96">
        <w:rPr>
          <w:color w:val="231F20"/>
          <w:spacing w:val="-1"/>
          <w:sz w:val="18"/>
          <w:szCs w:val="18"/>
        </w:rPr>
        <w:t xml:space="preserve"> </w:t>
      </w:r>
      <w:r w:rsidRPr="00D44B96">
        <w:rPr>
          <w:color w:val="231F20"/>
          <w:sz w:val="18"/>
          <w:szCs w:val="18"/>
        </w:rPr>
        <w:t>taxes</w:t>
      </w:r>
      <w:r w:rsidRPr="00D44B96">
        <w:rPr>
          <w:color w:val="231F20"/>
          <w:spacing w:val="40"/>
          <w:sz w:val="18"/>
          <w:szCs w:val="18"/>
        </w:rPr>
        <w:t xml:space="preserve"> </w:t>
      </w:r>
      <w:r w:rsidRPr="00D44B96">
        <w:rPr>
          <w:color w:val="231F20"/>
          <w:spacing w:val="-2"/>
          <w:sz w:val="18"/>
          <w:szCs w:val="18"/>
        </w:rPr>
        <w:t>payable).</w:t>
      </w:r>
    </w:p>
    <w:p w14:paraId="399AE830" w14:textId="77777777" w:rsidR="00345EE3" w:rsidRDefault="00345EE3" w:rsidP="00345EE3">
      <w:pPr>
        <w:rPr>
          <w:sz w:val="14"/>
        </w:rPr>
        <w:sectPr w:rsidR="00345EE3" w:rsidSect="00D73130">
          <w:pgSz w:w="16840" w:h="11910" w:orient="landscape"/>
          <w:pgMar w:top="740" w:right="280" w:bottom="740" w:left="700" w:header="720" w:footer="720" w:gutter="0"/>
          <w:cols w:space="720"/>
          <w:docGrid w:linePitch="299"/>
        </w:sectPr>
      </w:pPr>
    </w:p>
    <w:p w14:paraId="06CA5514" w14:textId="77777777" w:rsidR="00345EE3" w:rsidRDefault="00345EE3">
      <w:pPr>
        <w:pStyle w:val="Heading5"/>
        <w:numPr>
          <w:ilvl w:val="2"/>
          <w:numId w:val="17"/>
        </w:numPr>
        <w:tabs>
          <w:tab w:val="left" w:pos="711"/>
        </w:tabs>
        <w:spacing w:before="120" w:after="120"/>
      </w:pPr>
      <w:r>
        <w:rPr>
          <w:color w:val="58595B"/>
        </w:rPr>
        <w:t>Financial</w:t>
      </w:r>
      <w:r>
        <w:rPr>
          <w:color w:val="58595B"/>
          <w:spacing w:val="-5"/>
        </w:rPr>
        <w:t xml:space="preserve"> </w:t>
      </w:r>
      <w:r>
        <w:rPr>
          <w:color w:val="58595B"/>
        </w:rPr>
        <w:t>Instruments:</w:t>
      </w:r>
      <w:r>
        <w:rPr>
          <w:color w:val="58595B"/>
          <w:spacing w:val="-4"/>
        </w:rPr>
        <w:t xml:space="preserve"> </w:t>
      </w:r>
      <w:r>
        <w:rPr>
          <w:color w:val="58595B"/>
        </w:rPr>
        <w:t>Categorisation</w:t>
      </w:r>
      <w:r>
        <w:rPr>
          <w:color w:val="58595B"/>
          <w:spacing w:val="-5"/>
        </w:rPr>
        <w:t xml:space="preserve"> </w:t>
      </w:r>
      <w:r>
        <w:rPr>
          <w:color w:val="58595B"/>
          <w:spacing w:val="-2"/>
        </w:rPr>
        <w:t>(Cont’d)</w:t>
      </w:r>
    </w:p>
    <w:tbl>
      <w:tblPr>
        <w:tblW w:w="0" w:type="auto"/>
        <w:tblInd w:w="14" w:type="dxa"/>
        <w:tblLayout w:type="fixed"/>
        <w:tblCellMar>
          <w:left w:w="0" w:type="dxa"/>
          <w:right w:w="0" w:type="dxa"/>
        </w:tblCellMar>
        <w:tblLook w:val="0000" w:firstRow="0" w:lastRow="0" w:firstColumn="0" w:lastColumn="0" w:noHBand="0" w:noVBand="0"/>
      </w:tblPr>
      <w:tblGrid>
        <w:gridCol w:w="4535"/>
        <w:gridCol w:w="1134"/>
        <w:gridCol w:w="1531"/>
        <w:gridCol w:w="2268"/>
        <w:gridCol w:w="2267"/>
        <w:gridCol w:w="2268"/>
        <w:gridCol w:w="1134"/>
      </w:tblGrid>
      <w:tr w:rsidR="00345EE3" w:rsidRPr="00AC6ADA" w14:paraId="65BE47FE" w14:textId="77777777" w:rsidTr="00D73130">
        <w:trPr>
          <w:trHeight w:val="60"/>
          <w:tblHeader/>
        </w:trPr>
        <w:tc>
          <w:tcPr>
            <w:tcW w:w="15137" w:type="dxa"/>
            <w:gridSpan w:val="7"/>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1B2E995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 thousand)</w:t>
            </w:r>
          </w:p>
        </w:tc>
      </w:tr>
      <w:tr w:rsidR="00345EE3" w:rsidRPr="00AC6ADA" w14:paraId="12A4301C" w14:textId="77777777" w:rsidTr="00D73130">
        <w:trPr>
          <w:trHeight w:val="60"/>
          <w:tblHeader/>
        </w:trPr>
        <w:tc>
          <w:tcPr>
            <w:tcW w:w="4535"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FDCD8DA"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AC6ADA">
              <w:rPr>
                <w:rFonts w:eastAsiaTheme="minorHAnsi"/>
                <w:b/>
                <w:bCs/>
                <w:color w:val="FFFFFF"/>
                <w:sz w:val="24"/>
                <w:szCs w:val="24"/>
                <w:lang w:val="en-GB"/>
              </w:rP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6780D84"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Notes</w:t>
            </w:r>
          </w:p>
        </w:tc>
        <w:tc>
          <w:tcPr>
            <w:tcW w:w="153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6AB777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Cash and deposits</w:t>
            </w:r>
          </w:p>
        </w:tc>
        <w:tc>
          <w:tcPr>
            <w:tcW w:w="2268"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B13DDE4"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Derivatives designated in hedge relationship</w:t>
            </w:r>
          </w:p>
        </w:tc>
        <w:tc>
          <w:tcPr>
            <w:tcW w:w="226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4342162"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Contractual financial assets at amortised cost</w:t>
            </w:r>
          </w:p>
        </w:tc>
        <w:tc>
          <w:tcPr>
            <w:tcW w:w="2268"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EF1973A"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Contractual financial liabilities at amortised cost</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554351C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Total</w:t>
            </w:r>
          </w:p>
        </w:tc>
      </w:tr>
      <w:tr w:rsidR="00345EE3" w:rsidRPr="00AC6ADA" w14:paraId="5AA2E3C3"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FD6513A"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Contractual Financial Assets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F6FA9C"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F8F2A9"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5821BE2"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B746287"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F49C14"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514663B" w14:textId="77777777" w:rsidR="00345EE3" w:rsidRPr="00AC6ADA" w:rsidRDefault="00345EE3" w:rsidP="00D73130">
            <w:pPr>
              <w:widowControl/>
              <w:adjustRightInd w:val="0"/>
              <w:rPr>
                <w:rFonts w:eastAsiaTheme="minorHAnsi"/>
                <w:sz w:val="24"/>
                <w:szCs w:val="24"/>
                <w:lang w:val="en-GB"/>
              </w:rPr>
            </w:pPr>
          </w:p>
        </w:tc>
      </w:tr>
      <w:tr w:rsidR="00345EE3" w:rsidRPr="00AC6ADA" w14:paraId="09A7C572"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608931F"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Cash and deposits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00D99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7.3</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5A83AB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53,852</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E1558C"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9BCF53"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6D797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2D9D40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53,852</w:t>
            </w:r>
          </w:p>
        </w:tc>
      </w:tr>
      <w:tr w:rsidR="00345EE3" w:rsidRPr="00AC6ADA" w14:paraId="0BD9BB9F"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44E6309"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Receivables</w:t>
            </w:r>
            <w:r w:rsidRPr="00AC6ADA">
              <w:rPr>
                <w:rFonts w:eastAsiaTheme="minorHAnsi"/>
                <w:b/>
                <w:bCs/>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3A01B9"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60EB8D"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B3955CA"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19D10DB"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19C7FBE"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BDD823A" w14:textId="77777777" w:rsidR="00345EE3" w:rsidRPr="00AC6ADA" w:rsidRDefault="00345EE3" w:rsidP="00D73130">
            <w:pPr>
              <w:widowControl/>
              <w:adjustRightInd w:val="0"/>
              <w:rPr>
                <w:rFonts w:eastAsiaTheme="minorHAnsi"/>
                <w:sz w:val="24"/>
                <w:szCs w:val="24"/>
                <w:lang w:val="en-GB"/>
              </w:rPr>
            </w:pPr>
          </w:p>
        </w:tc>
      </w:tr>
      <w:tr w:rsidR="00345EE3" w:rsidRPr="00AC6ADA" w14:paraId="7F25E406"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AFF805A"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Sale of goods and services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EBE25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6.1</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584302"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0F7E2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67F45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1,114</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147FD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079790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1,114</w:t>
            </w:r>
          </w:p>
        </w:tc>
      </w:tr>
      <w:tr w:rsidR="00345EE3" w:rsidRPr="00AC6ADA" w14:paraId="48D90C61"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BA9C791"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Other receivables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59FC9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6.1</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3BEA8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A0DD0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4C91A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14,538</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7DEAA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2A0AB5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14,538</w:t>
            </w:r>
          </w:p>
        </w:tc>
      </w:tr>
      <w:tr w:rsidR="00345EE3" w:rsidRPr="00AC6ADA" w14:paraId="52DC6A43"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49BCC9CB"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Derivative financial instruments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6A96417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6.1</w:t>
            </w:r>
          </w:p>
        </w:tc>
        <w:tc>
          <w:tcPr>
            <w:tcW w:w="1531"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21597DF2"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14163F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304</w:t>
            </w:r>
          </w:p>
        </w:tc>
        <w:tc>
          <w:tcPr>
            <w:tcW w:w="2267"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44A5A7C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2222EA2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307D52C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304</w:t>
            </w:r>
          </w:p>
        </w:tc>
      </w:tr>
      <w:tr w:rsidR="00345EE3" w:rsidRPr="00AC6ADA" w14:paraId="6E502E61" w14:textId="77777777" w:rsidTr="00D73130">
        <w:trPr>
          <w:trHeight w:val="60"/>
        </w:trPr>
        <w:tc>
          <w:tcPr>
            <w:tcW w:w="4535"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6CE5765C"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Total Contractual Financial Assets</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39FAA873"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601D158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53,852</w:t>
            </w:r>
          </w:p>
        </w:tc>
        <w:tc>
          <w:tcPr>
            <w:tcW w:w="2268"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56CF960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304</w:t>
            </w:r>
          </w:p>
        </w:tc>
        <w:tc>
          <w:tcPr>
            <w:tcW w:w="2267"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74BBC7BC"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15,652</w:t>
            </w:r>
          </w:p>
        </w:tc>
        <w:tc>
          <w:tcPr>
            <w:tcW w:w="2268"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62EA69C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55E932D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69,808</w:t>
            </w:r>
          </w:p>
        </w:tc>
      </w:tr>
      <w:tr w:rsidR="00345EE3" w:rsidRPr="00AC6ADA" w14:paraId="679FCE3C" w14:textId="77777777" w:rsidTr="00D73130">
        <w:trPr>
          <w:trHeight w:val="60"/>
        </w:trPr>
        <w:tc>
          <w:tcPr>
            <w:tcW w:w="4535"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15103BFF"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Contractual Financial Liabilities</w:t>
            </w: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2ADA69C0"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1817A280"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5DC1C15E"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6D242E2E"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200C7E4B"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1A55C629" w14:textId="77777777" w:rsidR="00345EE3" w:rsidRPr="00AC6ADA" w:rsidRDefault="00345EE3" w:rsidP="00D73130">
            <w:pPr>
              <w:widowControl/>
              <w:adjustRightInd w:val="0"/>
              <w:rPr>
                <w:rFonts w:eastAsiaTheme="minorHAnsi"/>
                <w:sz w:val="24"/>
                <w:szCs w:val="24"/>
                <w:lang w:val="en-GB"/>
              </w:rPr>
            </w:pPr>
          </w:p>
        </w:tc>
      </w:tr>
      <w:tr w:rsidR="00345EE3" w:rsidRPr="00AC6ADA" w14:paraId="766D1528"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8B7CE9A"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Payables</w:t>
            </w:r>
            <w:r w:rsidRPr="00AC6ADA">
              <w:rPr>
                <w:rFonts w:eastAsiaTheme="minorHAnsi"/>
                <w:b/>
                <w:bCs/>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7DDEFC"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E038E4"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DF390BF"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04A410"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116C7E3"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1FF33A5" w14:textId="77777777" w:rsidR="00345EE3" w:rsidRPr="00AC6ADA" w:rsidRDefault="00345EE3" w:rsidP="00D73130">
            <w:pPr>
              <w:widowControl/>
              <w:adjustRightInd w:val="0"/>
              <w:rPr>
                <w:rFonts w:eastAsiaTheme="minorHAnsi"/>
                <w:sz w:val="24"/>
                <w:szCs w:val="24"/>
                <w:lang w:val="en-GB"/>
              </w:rPr>
            </w:pPr>
          </w:p>
        </w:tc>
      </w:tr>
      <w:tr w:rsidR="00345EE3" w:rsidRPr="00AC6ADA" w14:paraId="63E87843"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1D1A607"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Supplies and services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DB362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EBA622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F54F55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955161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03E855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56,233</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98E51E3"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56,233</w:t>
            </w:r>
          </w:p>
        </w:tc>
      </w:tr>
      <w:tr w:rsidR="00345EE3" w:rsidRPr="00AC6ADA" w14:paraId="19F6BCDB"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85A81DF"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Amounts payable to government and agencies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35388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C772A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8767F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AD022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38FA5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4,144</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AE9E4A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4,144</w:t>
            </w:r>
          </w:p>
        </w:tc>
      </w:tr>
      <w:tr w:rsidR="00345EE3" w:rsidRPr="00AC6ADA" w14:paraId="514FE0EC"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9B7E8A3"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Other payables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F648F3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D69D8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76508A7"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A099747"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FD69D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21,815</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0D332C7"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21,815</w:t>
            </w:r>
          </w:p>
        </w:tc>
      </w:tr>
      <w:tr w:rsidR="00345EE3" w:rsidRPr="00AC6ADA" w14:paraId="6D17ADEF"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0749568"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Derivative financial instruments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39457D4"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FA1777"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162FF17"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13,745</w:t>
            </w: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E10932"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2A95F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5C7CD3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13,745</w:t>
            </w:r>
          </w:p>
        </w:tc>
      </w:tr>
      <w:tr w:rsidR="00345EE3" w:rsidRPr="00AC6ADA" w14:paraId="644E23B7"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078A18F"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Borrowings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DACEFA"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433977"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D0072C2"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3F3EDD"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5B7B93"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EA0A7B2" w14:textId="77777777" w:rsidR="00345EE3" w:rsidRPr="00AC6ADA" w:rsidRDefault="00345EE3" w:rsidP="00D73130">
            <w:pPr>
              <w:widowControl/>
              <w:adjustRightInd w:val="0"/>
              <w:rPr>
                <w:rFonts w:eastAsiaTheme="minorHAnsi"/>
                <w:sz w:val="24"/>
                <w:szCs w:val="24"/>
                <w:lang w:val="en-GB"/>
              </w:rPr>
            </w:pPr>
          </w:p>
        </w:tc>
      </w:tr>
      <w:tr w:rsidR="00345EE3" w:rsidRPr="00AC6ADA" w14:paraId="4F10AABF"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4BD0B55"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Lease liabilities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3688C4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7.1</w:t>
            </w:r>
          </w:p>
        </w:tc>
        <w:tc>
          <w:tcPr>
            <w:tcW w:w="1531"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5CDA55C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3F1AD41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3486EA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CC9916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1,888,860</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2BDCC224"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1,888,860</w:t>
            </w:r>
          </w:p>
        </w:tc>
      </w:tr>
      <w:tr w:rsidR="00345EE3" w:rsidRPr="00AC6ADA" w14:paraId="1E7EA93E" w14:textId="77777777" w:rsidTr="00D73130">
        <w:trPr>
          <w:trHeight w:val="60"/>
        </w:trPr>
        <w:tc>
          <w:tcPr>
            <w:tcW w:w="4535"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4D733D83"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Total Contractual Financial Liabilities</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590B9DC2"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2DB00D2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 xml:space="preserve"> -   </w:t>
            </w:r>
          </w:p>
        </w:tc>
        <w:tc>
          <w:tcPr>
            <w:tcW w:w="2268"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55F50CF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13,745</w:t>
            </w:r>
          </w:p>
        </w:tc>
        <w:tc>
          <w:tcPr>
            <w:tcW w:w="2267"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34FF7FB4"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 xml:space="preserve"> -   </w:t>
            </w:r>
          </w:p>
        </w:tc>
        <w:tc>
          <w:tcPr>
            <w:tcW w:w="2268"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48D2EEA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1,971,052</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5F1AB42A"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1,984,797</w:t>
            </w:r>
          </w:p>
        </w:tc>
      </w:tr>
    </w:tbl>
    <w:p w14:paraId="7C2F7E45" w14:textId="77777777" w:rsidR="00345EE3" w:rsidRDefault="00345EE3" w:rsidP="00345EE3">
      <w:pPr>
        <w:spacing w:before="82"/>
        <w:ind w:left="110"/>
        <w:rPr>
          <w:rFonts w:ascii="Arial-BoldItalicMT"/>
          <w:b/>
          <w:i/>
          <w:color w:val="231F20"/>
          <w:spacing w:val="-2"/>
          <w:sz w:val="18"/>
          <w:szCs w:val="18"/>
        </w:rPr>
      </w:pPr>
    </w:p>
    <w:p w14:paraId="450C1999" w14:textId="77777777" w:rsidR="00345EE3" w:rsidRPr="00D44B96" w:rsidRDefault="00345EE3" w:rsidP="00345EE3">
      <w:pPr>
        <w:spacing w:before="82"/>
        <w:ind w:left="110"/>
        <w:rPr>
          <w:rFonts w:ascii="Arial-BoldItalicMT"/>
          <w:b/>
          <w:i/>
          <w:sz w:val="18"/>
          <w:szCs w:val="18"/>
        </w:rPr>
      </w:pPr>
      <w:r w:rsidRPr="00D44B96">
        <w:rPr>
          <w:rFonts w:ascii="Arial-BoldItalicMT"/>
          <w:b/>
          <w:i/>
          <w:color w:val="231F20"/>
          <w:spacing w:val="-2"/>
          <w:sz w:val="18"/>
          <w:szCs w:val="18"/>
        </w:rPr>
        <w:t>Note:</w:t>
      </w:r>
    </w:p>
    <w:p w14:paraId="7C3ED839" w14:textId="77777777" w:rsidR="00345EE3" w:rsidRPr="00D44B96" w:rsidRDefault="00345EE3" w:rsidP="00345EE3">
      <w:pPr>
        <w:spacing w:before="28"/>
        <w:ind w:left="110"/>
        <w:rPr>
          <w:sz w:val="18"/>
          <w:szCs w:val="18"/>
        </w:rPr>
      </w:pPr>
      <w:r w:rsidRPr="00D44B96">
        <w:rPr>
          <w:color w:val="231F20"/>
          <w:sz w:val="18"/>
          <w:szCs w:val="18"/>
        </w:rPr>
        <w:t>(a)</w:t>
      </w:r>
      <w:r w:rsidRPr="00D44B96">
        <w:rPr>
          <w:color w:val="231F20"/>
          <w:spacing w:val="27"/>
          <w:sz w:val="18"/>
          <w:szCs w:val="18"/>
        </w:rPr>
        <w:t xml:space="preserve"> </w:t>
      </w:r>
      <w:r w:rsidRPr="00D44B96">
        <w:rPr>
          <w:color w:val="231F20"/>
          <w:sz w:val="18"/>
          <w:szCs w:val="18"/>
        </w:rPr>
        <w:t>The</w:t>
      </w:r>
      <w:r w:rsidRPr="00D44B96">
        <w:rPr>
          <w:color w:val="231F20"/>
          <w:spacing w:val="-3"/>
          <w:sz w:val="18"/>
          <w:szCs w:val="18"/>
        </w:rPr>
        <w:t xml:space="preserve"> </w:t>
      </w:r>
      <w:r w:rsidRPr="00D44B96">
        <w:rPr>
          <w:color w:val="231F20"/>
          <w:sz w:val="18"/>
          <w:szCs w:val="18"/>
        </w:rPr>
        <w:t>total</w:t>
      </w:r>
      <w:r w:rsidRPr="00D44B96">
        <w:rPr>
          <w:color w:val="231F20"/>
          <w:spacing w:val="-2"/>
          <w:sz w:val="18"/>
          <w:szCs w:val="18"/>
        </w:rPr>
        <w:t xml:space="preserve"> </w:t>
      </w:r>
      <w:r w:rsidRPr="00D44B96">
        <w:rPr>
          <w:color w:val="231F20"/>
          <w:sz w:val="18"/>
          <w:szCs w:val="18"/>
        </w:rPr>
        <w:t>amounts</w:t>
      </w:r>
      <w:r w:rsidRPr="00D44B96">
        <w:rPr>
          <w:color w:val="231F20"/>
          <w:spacing w:val="-2"/>
          <w:sz w:val="18"/>
          <w:szCs w:val="18"/>
        </w:rPr>
        <w:t xml:space="preserve"> </w:t>
      </w:r>
      <w:r w:rsidRPr="00D44B96">
        <w:rPr>
          <w:color w:val="231F20"/>
          <w:sz w:val="18"/>
          <w:szCs w:val="18"/>
        </w:rPr>
        <w:t>disclosed</w:t>
      </w:r>
      <w:r w:rsidRPr="00D44B96">
        <w:rPr>
          <w:color w:val="231F20"/>
          <w:spacing w:val="-3"/>
          <w:sz w:val="18"/>
          <w:szCs w:val="18"/>
        </w:rPr>
        <w:t xml:space="preserve"> </w:t>
      </w:r>
      <w:r w:rsidRPr="00D44B96">
        <w:rPr>
          <w:color w:val="231F20"/>
          <w:sz w:val="18"/>
          <w:szCs w:val="18"/>
        </w:rPr>
        <w:t>here</w:t>
      </w:r>
      <w:r w:rsidRPr="00D44B96">
        <w:rPr>
          <w:color w:val="231F20"/>
          <w:spacing w:val="-2"/>
          <w:sz w:val="18"/>
          <w:szCs w:val="18"/>
        </w:rPr>
        <w:t xml:space="preserve"> </w:t>
      </w:r>
      <w:r w:rsidRPr="00D44B96">
        <w:rPr>
          <w:color w:val="231F20"/>
          <w:sz w:val="18"/>
          <w:szCs w:val="18"/>
        </w:rPr>
        <w:t>exclude</w:t>
      </w:r>
      <w:r w:rsidRPr="00D44B96">
        <w:rPr>
          <w:color w:val="231F20"/>
          <w:spacing w:val="-2"/>
          <w:sz w:val="18"/>
          <w:szCs w:val="18"/>
        </w:rPr>
        <w:t xml:space="preserve"> </w:t>
      </w:r>
      <w:r w:rsidRPr="00D44B96">
        <w:rPr>
          <w:color w:val="231F20"/>
          <w:sz w:val="18"/>
          <w:szCs w:val="18"/>
        </w:rPr>
        <w:t>statutory</w:t>
      </w:r>
      <w:r w:rsidRPr="00D44B96">
        <w:rPr>
          <w:color w:val="231F20"/>
          <w:spacing w:val="-3"/>
          <w:sz w:val="18"/>
          <w:szCs w:val="18"/>
        </w:rPr>
        <w:t xml:space="preserve"> </w:t>
      </w:r>
      <w:r w:rsidRPr="00D44B96">
        <w:rPr>
          <w:color w:val="231F20"/>
          <w:sz w:val="18"/>
          <w:szCs w:val="18"/>
        </w:rPr>
        <w:t>amounts</w:t>
      </w:r>
      <w:r w:rsidRPr="00D44B96">
        <w:rPr>
          <w:color w:val="231F20"/>
          <w:spacing w:val="-2"/>
          <w:sz w:val="18"/>
          <w:szCs w:val="18"/>
        </w:rPr>
        <w:t xml:space="preserve"> </w:t>
      </w:r>
      <w:r w:rsidRPr="00D44B96">
        <w:rPr>
          <w:color w:val="231F20"/>
          <w:sz w:val="18"/>
          <w:szCs w:val="18"/>
        </w:rPr>
        <w:t>(e.g.</w:t>
      </w:r>
      <w:r w:rsidRPr="00D44B96">
        <w:rPr>
          <w:color w:val="231F20"/>
          <w:spacing w:val="-2"/>
          <w:sz w:val="18"/>
          <w:szCs w:val="18"/>
        </w:rPr>
        <w:t xml:space="preserve"> </w:t>
      </w:r>
      <w:r w:rsidRPr="00D44B96">
        <w:rPr>
          <w:color w:val="231F20"/>
          <w:sz w:val="18"/>
          <w:szCs w:val="18"/>
        </w:rPr>
        <w:t>amounts</w:t>
      </w:r>
      <w:r w:rsidRPr="00D44B96">
        <w:rPr>
          <w:color w:val="231F20"/>
          <w:spacing w:val="-3"/>
          <w:sz w:val="18"/>
          <w:szCs w:val="18"/>
        </w:rPr>
        <w:t xml:space="preserve"> </w:t>
      </w:r>
      <w:r w:rsidRPr="00D44B96">
        <w:rPr>
          <w:color w:val="231F20"/>
          <w:sz w:val="18"/>
          <w:szCs w:val="18"/>
        </w:rPr>
        <w:t>owing</w:t>
      </w:r>
      <w:r w:rsidRPr="00D44B96">
        <w:rPr>
          <w:color w:val="231F20"/>
          <w:spacing w:val="-2"/>
          <w:sz w:val="18"/>
          <w:szCs w:val="18"/>
        </w:rPr>
        <w:t xml:space="preserve"> </w:t>
      </w:r>
      <w:r w:rsidRPr="00D44B96">
        <w:rPr>
          <w:color w:val="231F20"/>
          <w:sz w:val="18"/>
          <w:szCs w:val="18"/>
        </w:rPr>
        <w:t>from</w:t>
      </w:r>
      <w:r w:rsidRPr="00D44B96">
        <w:rPr>
          <w:color w:val="231F20"/>
          <w:spacing w:val="-2"/>
          <w:sz w:val="18"/>
          <w:szCs w:val="18"/>
        </w:rPr>
        <w:t xml:space="preserve"> </w:t>
      </w:r>
      <w:r w:rsidRPr="00D44B96">
        <w:rPr>
          <w:color w:val="231F20"/>
          <w:sz w:val="18"/>
          <w:szCs w:val="18"/>
        </w:rPr>
        <w:t>Victorian</w:t>
      </w:r>
      <w:r w:rsidRPr="00D44B96">
        <w:rPr>
          <w:color w:val="231F20"/>
          <w:spacing w:val="-3"/>
          <w:sz w:val="18"/>
          <w:szCs w:val="18"/>
        </w:rPr>
        <w:t xml:space="preserve"> </w:t>
      </w:r>
      <w:r w:rsidRPr="00D44B96">
        <w:rPr>
          <w:color w:val="231F20"/>
          <w:sz w:val="18"/>
          <w:szCs w:val="18"/>
        </w:rPr>
        <w:t>Government</w:t>
      </w:r>
      <w:r w:rsidRPr="00D44B96">
        <w:rPr>
          <w:color w:val="231F20"/>
          <w:spacing w:val="-2"/>
          <w:sz w:val="18"/>
          <w:szCs w:val="18"/>
        </w:rPr>
        <w:t xml:space="preserve"> </w:t>
      </w:r>
      <w:r w:rsidRPr="00D44B96">
        <w:rPr>
          <w:color w:val="231F20"/>
          <w:sz w:val="18"/>
          <w:szCs w:val="18"/>
        </w:rPr>
        <w:t>and</w:t>
      </w:r>
      <w:r w:rsidRPr="00D44B96">
        <w:rPr>
          <w:color w:val="231F20"/>
          <w:spacing w:val="-2"/>
          <w:sz w:val="18"/>
          <w:szCs w:val="18"/>
        </w:rPr>
        <w:t xml:space="preserve"> </w:t>
      </w:r>
      <w:r w:rsidRPr="00D44B96">
        <w:rPr>
          <w:color w:val="231F20"/>
          <w:sz w:val="18"/>
          <w:szCs w:val="18"/>
        </w:rPr>
        <w:t>GST</w:t>
      </w:r>
      <w:r w:rsidRPr="00D44B96">
        <w:rPr>
          <w:color w:val="231F20"/>
          <w:spacing w:val="-3"/>
          <w:sz w:val="18"/>
          <w:szCs w:val="18"/>
        </w:rPr>
        <w:t xml:space="preserve"> </w:t>
      </w:r>
      <w:r w:rsidRPr="00D44B96">
        <w:rPr>
          <w:color w:val="231F20"/>
          <w:sz w:val="18"/>
          <w:szCs w:val="18"/>
        </w:rPr>
        <w:t>input</w:t>
      </w:r>
      <w:r w:rsidRPr="00D44B96">
        <w:rPr>
          <w:color w:val="231F20"/>
          <w:spacing w:val="-2"/>
          <w:sz w:val="18"/>
          <w:szCs w:val="18"/>
        </w:rPr>
        <w:t xml:space="preserve"> </w:t>
      </w:r>
      <w:r w:rsidRPr="00D44B96">
        <w:rPr>
          <w:color w:val="231F20"/>
          <w:sz w:val="18"/>
          <w:szCs w:val="18"/>
        </w:rPr>
        <w:t>tax</w:t>
      </w:r>
      <w:r w:rsidRPr="00D44B96">
        <w:rPr>
          <w:color w:val="231F20"/>
          <w:spacing w:val="-2"/>
          <w:sz w:val="18"/>
          <w:szCs w:val="18"/>
        </w:rPr>
        <w:t xml:space="preserve"> </w:t>
      </w:r>
      <w:r w:rsidRPr="00D44B96">
        <w:rPr>
          <w:color w:val="231F20"/>
          <w:sz w:val="18"/>
          <w:szCs w:val="18"/>
        </w:rPr>
        <w:t>credit</w:t>
      </w:r>
      <w:r w:rsidRPr="00D44B96">
        <w:rPr>
          <w:color w:val="231F20"/>
          <w:spacing w:val="-3"/>
          <w:sz w:val="18"/>
          <w:szCs w:val="18"/>
        </w:rPr>
        <w:t xml:space="preserve"> </w:t>
      </w:r>
      <w:r w:rsidRPr="00D44B96">
        <w:rPr>
          <w:color w:val="231F20"/>
          <w:sz w:val="18"/>
          <w:szCs w:val="18"/>
        </w:rPr>
        <w:t>recoverable</w:t>
      </w:r>
      <w:r w:rsidRPr="00D44B96">
        <w:rPr>
          <w:color w:val="231F20"/>
          <w:spacing w:val="-2"/>
          <w:sz w:val="18"/>
          <w:szCs w:val="18"/>
        </w:rPr>
        <w:t xml:space="preserve"> </w:t>
      </w:r>
      <w:r w:rsidRPr="00D44B96">
        <w:rPr>
          <w:color w:val="231F20"/>
          <w:sz w:val="18"/>
          <w:szCs w:val="18"/>
        </w:rPr>
        <w:t>and</w:t>
      </w:r>
      <w:r w:rsidRPr="00D44B96">
        <w:rPr>
          <w:color w:val="231F20"/>
          <w:spacing w:val="-2"/>
          <w:sz w:val="18"/>
          <w:szCs w:val="18"/>
        </w:rPr>
        <w:t xml:space="preserve"> </w:t>
      </w:r>
      <w:r w:rsidRPr="00D44B96">
        <w:rPr>
          <w:color w:val="231F20"/>
          <w:sz w:val="18"/>
          <w:szCs w:val="18"/>
        </w:rPr>
        <w:t>taxes</w:t>
      </w:r>
      <w:r w:rsidRPr="00D44B96">
        <w:rPr>
          <w:color w:val="231F20"/>
          <w:spacing w:val="-2"/>
          <w:sz w:val="18"/>
          <w:szCs w:val="18"/>
        </w:rPr>
        <w:t xml:space="preserve"> payable).</w:t>
      </w:r>
    </w:p>
    <w:p w14:paraId="11F9F427" w14:textId="77777777" w:rsidR="00345EE3" w:rsidRDefault="00345EE3" w:rsidP="00345EE3">
      <w:pPr>
        <w:rPr>
          <w:sz w:val="14"/>
        </w:rPr>
        <w:sectPr w:rsidR="00345EE3">
          <w:pgSz w:w="16840" w:h="11910" w:orient="landscape"/>
          <w:pgMar w:top="720" w:right="740" w:bottom="280" w:left="740" w:header="720" w:footer="720" w:gutter="0"/>
          <w:cols w:space="720"/>
        </w:sectPr>
      </w:pPr>
    </w:p>
    <w:p w14:paraId="3D182FF2" w14:textId="77777777" w:rsidR="00345EE3" w:rsidRDefault="00345EE3" w:rsidP="00345EE3">
      <w:pPr>
        <w:pStyle w:val="BodyText"/>
        <w:spacing w:before="62" w:after="120" w:line="242" w:lineRule="auto"/>
        <w:ind w:right="314"/>
      </w:pPr>
      <w:r>
        <w:rPr>
          <w:color w:val="231F20"/>
        </w:rPr>
        <w:t>As a whole, Victoria Police’s financial risk management program seeks to manage these risks and</w:t>
      </w:r>
      <w:r>
        <w:rPr>
          <w:color w:val="231F20"/>
          <w:spacing w:val="-8"/>
        </w:rPr>
        <w:t xml:space="preserve"> </w:t>
      </w:r>
      <w:r>
        <w:rPr>
          <w:color w:val="231F20"/>
        </w:rPr>
        <w:t>the</w:t>
      </w:r>
      <w:r>
        <w:rPr>
          <w:color w:val="231F20"/>
          <w:spacing w:val="-8"/>
        </w:rPr>
        <w:t xml:space="preserve"> </w:t>
      </w:r>
      <w:r>
        <w:rPr>
          <w:color w:val="231F20"/>
        </w:rPr>
        <w:t>associated</w:t>
      </w:r>
      <w:r>
        <w:rPr>
          <w:color w:val="231F20"/>
          <w:spacing w:val="-8"/>
        </w:rPr>
        <w:t xml:space="preserve"> </w:t>
      </w:r>
      <w:r>
        <w:rPr>
          <w:color w:val="231F20"/>
        </w:rPr>
        <w:t>volatility</w:t>
      </w:r>
      <w:r>
        <w:rPr>
          <w:color w:val="231F20"/>
          <w:spacing w:val="-7"/>
        </w:rPr>
        <w:t xml:space="preserve"> </w:t>
      </w:r>
      <w:r>
        <w:rPr>
          <w:color w:val="231F20"/>
        </w:rPr>
        <w:t>of</w:t>
      </w:r>
      <w:r>
        <w:rPr>
          <w:color w:val="231F20"/>
          <w:spacing w:val="-7"/>
        </w:rPr>
        <w:t xml:space="preserve"> </w:t>
      </w:r>
      <w:r>
        <w:rPr>
          <w:color w:val="231F20"/>
        </w:rPr>
        <w:t>its</w:t>
      </w:r>
      <w:r>
        <w:rPr>
          <w:color w:val="231F20"/>
          <w:spacing w:val="-7"/>
        </w:rPr>
        <w:t xml:space="preserve"> </w:t>
      </w:r>
      <w:r>
        <w:rPr>
          <w:color w:val="231F20"/>
        </w:rPr>
        <w:t>financial</w:t>
      </w:r>
      <w:r>
        <w:rPr>
          <w:color w:val="231F20"/>
          <w:spacing w:val="-8"/>
        </w:rPr>
        <w:t xml:space="preserve"> </w:t>
      </w:r>
      <w:r>
        <w:rPr>
          <w:color w:val="231F20"/>
        </w:rPr>
        <w:t>performance.</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is</w:t>
      </w:r>
      <w:r>
        <w:rPr>
          <w:color w:val="231F20"/>
          <w:spacing w:val="-7"/>
        </w:rPr>
        <w:t xml:space="preserve"> </w:t>
      </w:r>
      <w:r>
        <w:rPr>
          <w:color w:val="231F20"/>
        </w:rPr>
        <w:t>exposed</w:t>
      </w:r>
      <w:r>
        <w:rPr>
          <w:color w:val="231F20"/>
          <w:spacing w:val="-8"/>
        </w:rPr>
        <w:t xml:space="preserve"> </w:t>
      </w:r>
      <w:r>
        <w:rPr>
          <w:color w:val="231F20"/>
        </w:rPr>
        <w:t>to</w:t>
      </w:r>
      <w:r>
        <w:rPr>
          <w:color w:val="231F20"/>
          <w:spacing w:val="-8"/>
        </w:rPr>
        <w:t xml:space="preserve"> </w:t>
      </w:r>
      <w:r>
        <w:rPr>
          <w:color w:val="231F20"/>
        </w:rPr>
        <w:t>a</w:t>
      </w:r>
      <w:r>
        <w:rPr>
          <w:color w:val="231F20"/>
          <w:spacing w:val="-8"/>
        </w:rPr>
        <w:t xml:space="preserve"> </w:t>
      </w:r>
      <w:r>
        <w:rPr>
          <w:color w:val="231F20"/>
        </w:rPr>
        <w:t>number of financial risks, including:</w:t>
      </w:r>
    </w:p>
    <w:p w14:paraId="27336DFD" w14:textId="2E5B5392" w:rsidR="00345EE3" w:rsidRDefault="00545703" w:rsidP="00345EE3">
      <w:pPr>
        <w:pStyle w:val="BodyText"/>
        <w:spacing w:before="6"/>
      </w:pPr>
      <w:r>
        <w:rPr>
          <w:noProof/>
        </w:rPr>
        <w:drawing>
          <wp:inline distT="0" distB="0" distL="0" distR="0" wp14:anchorId="00A1DDC3" wp14:editId="5CC52D86">
            <wp:extent cx="2880360" cy="1172210"/>
            <wp:effectExtent l="0" t="0" r="0" b="0"/>
            <wp:docPr id="10" name="docshape323" descr="Graphic representation of Victoria Police's Financial Risk Management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docshape323" descr="Graphic representation of Victoria Police's Financial Risk Management Program."/>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360" cy="1172210"/>
                    </a:xfrm>
                    <a:prstGeom prst="rect">
                      <a:avLst/>
                    </a:prstGeom>
                    <a:noFill/>
                  </pic:spPr>
                </pic:pic>
              </a:graphicData>
            </a:graphic>
          </wp:inline>
        </w:drawing>
      </w:r>
    </w:p>
    <w:p w14:paraId="7B0F52A1" w14:textId="77777777" w:rsidR="00345EE3" w:rsidRDefault="00345EE3" w:rsidP="00345EE3">
      <w:pPr>
        <w:pStyle w:val="BodyText"/>
        <w:spacing w:before="92" w:line="242" w:lineRule="auto"/>
      </w:pPr>
      <w:r>
        <w:rPr>
          <w:color w:val="231F20"/>
        </w:rPr>
        <w:t>Details of the significant accounting policies and methods adopted, including the criteria for recognition, the basis of measurement and the basis on which income and expenses are recognised,</w:t>
      </w:r>
      <w:r>
        <w:rPr>
          <w:color w:val="231F20"/>
          <w:spacing w:val="-9"/>
        </w:rPr>
        <w:t xml:space="preserve"> </w:t>
      </w:r>
      <w:r>
        <w:rPr>
          <w:color w:val="231F20"/>
        </w:rPr>
        <w:t>with</w:t>
      </w:r>
      <w:r>
        <w:rPr>
          <w:color w:val="231F20"/>
          <w:spacing w:val="-10"/>
        </w:rPr>
        <w:t xml:space="preserve"> </w:t>
      </w:r>
      <w:r>
        <w:rPr>
          <w:color w:val="231F20"/>
        </w:rPr>
        <w:t>respect</w:t>
      </w:r>
      <w:r>
        <w:rPr>
          <w:color w:val="231F20"/>
          <w:spacing w:val="-9"/>
        </w:rPr>
        <w:t xml:space="preserve"> </w:t>
      </w:r>
      <w:r>
        <w:rPr>
          <w:color w:val="231F20"/>
        </w:rPr>
        <w:t>to</w:t>
      </w:r>
      <w:r>
        <w:rPr>
          <w:color w:val="231F20"/>
          <w:spacing w:val="-10"/>
        </w:rPr>
        <w:t xml:space="preserve"> </w:t>
      </w:r>
      <w:r>
        <w:rPr>
          <w:color w:val="231F20"/>
        </w:rPr>
        <w:t>each</w:t>
      </w:r>
      <w:r>
        <w:rPr>
          <w:color w:val="231F20"/>
          <w:spacing w:val="-10"/>
        </w:rPr>
        <w:t xml:space="preserve"> </w:t>
      </w:r>
      <w:r>
        <w:rPr>
          <w:color w:val="231F20"/>
        </w:rPr>
        <w:t>class</w:t>
      </w:r>
      <w:r>
        <w:rPr>
          <w:color w:val="231F20"/>
          <w:spacing w:val="-9"/>
        </w:rPr>
        <w:t xml:space="preserve"> </w:t>
      </w:r>
      <w:r>
        <w:rPr>
          <w:color w:val="231F20"/>
        </w:rPr>
        <w:t>of</w:t>
      </w:r>
      <w:r>
        <w:rPr>
          <w:color w:val="231F20"/>
          <w:spacing w:val="-9"/>
        </w:rPr>
        <w:t xml:space="preserve"> </w:t>
      </w:r>
      <w:r>
        <w:rPr>
          <w:color w:val="231F20"/>
        </w:rPr>
        <w:t>financial</w:t>
      </w:r>
      <w:r>
        <w:rPr>
          <w:color w:val="231F20"/>
          <w:spacing w:val="-10"/>
        </w:rPr>
        <w:t xml:space="preserve"> </w:t>
      </w:r>
      <w:r>
        <w:rPr>
          <w:color w:val="231F20"/>
        </w:rPr>
        <w:t>asset,</w:t>
      </w:r>
      <w:r>
        <w:rPr>
          <w:color w:val="231F20"/>
          <w:spacing w:val="-9"/>
        </w:rPr>
        <w:t xml:space="preserve"> </w:t>
      </w:r>
      <w:r>
        <w:rPr>
          <w:color w:val="231F20"/>
        </w:rPr>
        <w:t>financial</w:t>
      </w:r>
      <w:r>
        <w:rPr>
          <w:color w:val="231F20"/>
          <w:spacing w:val="-10"/>
        </w:rPr>
        <w:t xml:space="preserve"> </w:t>
      </w:r>
      <w:r>
        <w:rPr>
          <w:color w:val="231F20"/>
        </w:rPr>
        <w:t>liability</w:t>
      </w:r>
      <w:r>
        <w:rPr>
          <w:color w:val="231F20"/>
          <w:spacing w:val="-9"/>
        </w:rPr>
        <w:t xml:space="preserve"> </w:t>
      </w:r>
      <w:r>
        <w:rPr>
          <w:color w:val="231F20"/>
        </w:rPr>
        <w:t>and</w:t>
      </w:r>
      <w:r>
        <w:rPr>
          <w:color w:val="231F20"/>
          <w:spacing w:val="-10"/>
        </w:rPr>
        <w:t xml:space="preserve"> </w:t>
      </w:r>
      <w:r>
        <w:rPr>
          <w:color w:val="231F20"/>
        </w:rPr>
        <w:t>equity</w:t>
      </w:r>
      <w:r>
        <w:rPr>
          <w:color w:val="231F20"/>
          <w:spacing w:val="-9"/>
        </w:rPr>
        <w:t xml:space="preserve"> </w:t>
      </w:r>
      <w:r>
        <w:rPr>
          <w:color w:val="231F20"/>
        </w:rPr>
        <w:t>instrument above are disclosed in Note 8.3 Fair Value Determination to the financial statements.</w:t>
      </w:r>
    </w:p>
    <w:p w14:paraId="15E1F4E2" w14:textId="77777777" w:rsidR="00345EE3" w:rsidRDefault="00345EE3" w:rsidP="00345EE3">
      <w:pPr>
        <w:pStyle w:val="BodyText"/>
        <w:spacing w:before="119" w:line="242" w:lineRule="auto"/>
      </w:pPr>
      <w:r>
        <w:rPr>
          <w:color w:val="231F20"/>
        </w:rPr>
        <w:t>The</w:t>
      </w:r>
      <w:r>
        <w:rPr>
          <w:color w:val="231F20"/>
          <w:spacing w:val="-11"/>
        </w:rPr>
        <w:t xml:space="preserve"> </w:t>
      </w:r>
      <w:r>
        <w:rPr>
          <w:color w:val="231F20"/>
        </w:rPr>
        <w:t>main</w:t>
      </w:r>
      <w:r>
        <w:rPr>
          <w:color w:val="231F20"/>
          <w:spacing w:val="-11"/>
        </w:rPr>
        <w:t xml:space="preserve"> </w:t>
      </w:r>
      <w:r>
        <w:rPr>
          <w:color w:val="231F20"/>
        </w:rPr>
        <w:t>purpose</w:t>
      </w:r>
      <w:r>
        <w:rPr>
          <w:color w:val="231F20"/>
          <w:spacing w:val="-11"/>
        </w:rPr>
        <w:t xml:space="preserve"> </w:t>
      </w:r>
      <w:r>
        <w:rPr>
          <w:color w:val="231F20"/>
        </w:rPr>
        <w:t>in</w:t>
      </w:r>
      <w:r>
        <w:rPr>
          <w:color w:val="231F20"/>
          <w:spacing w:val="-11"/>
        </w:rPr>
        <w:t xml:space="preserve"> </w:t>
      </w:r>
      <w:r>
        <w:rPr>
          <w:color w:val="231F20"/>
        </w:rPr>
        <w:t>holding</w:t>
      </w:r>
      <w:r>
        <w:rPr>
          <w:color w:val="231F20"/>
          <w:spacing w:val="-11"/>
        </w:rPr>
        <w:t xml:space="preserve"> </w:t>
      </w:r>
      <w:r>
        <w:rPr>
          <w:color w:val="231F20"/>
        </w:rPr>
        <w:t>financial</w:t>
      </w:r>
      <w:r>
        <w:rPr>
          <w:color w:val="231F20"/>
          <w:spacing w:val="-11"/>
        </w:rPr>
        <w:t xml:space="preserve"> </w:t>
      </w:r>
      <w:r>
        <w:rPr>
          <w:color w:val="231F20"/>
        </w:rPr>
        <w:t>instruments</w:t>
      </w:r>
      <w:r>
        <w:rPr>
          <w:color w:val="231F20"/>
          <w:spacing w:val="-10"/>
        </w:rPr>
        <w:t xml:space="preserve"> </w:t>
      </w:r>
      <w:r>
        <w:rPr>
          <w:color w:val="231F20"/>
        </w:rPr>
        <w:t>is</w:t>
      </w:r>
      <w:r>
        <w:rPr>
          <w:color w:val="231F20"/>
          <w:spacing w:val="-10"/>
        </w:rPr>
        <w:t xml:space="preserve"> </w:t>
      </w:r>
      <w:r>
        <w:rPr>
          <w:color w:val="231F20"/>
        </w:rPr>
        <w:t>to</w:t>
      </w:r>
      <w:r>
        <w:rPr>
          <w:color w:val="231F20"/>
          <w:spacing w:val="-11"/>
        </w:rPr>
        <w:t xml:space="preserve"> </w:t>
      </w:r>
      <w:r>
        <w:rPr>
          <w:color w:val="231F20"/>
        </w:rPr>
        <w:t>prudentially</w:t>
      </w:r>
      <w:r>
        <w:rPr>
          <w:color w:val="231F20"/>
          <w:spacing w:val="-10"/>
        </w:rPr>
        <w:t xml:space="preserve"> </w:t>
      </w:r>
      <w:r>
        <w:rPr>
          <w:color w:val="231F20"/>
        </w:rPr>
        <w:t>manage</w:t>
      </w:r>
      <w:r>
        <w:rPr>
          <w:color w:val="231F20"/>
          <w:spacing w:val="-11"/>
        </w:rPr>
        <w:t xml:space="preserve"> </w:t>
      </w:r>
      <w:r>
        <w:rPr>
          <w:color w:val="231F20"/>
        </w:rPr>
        <w:t>Victoria</w:t>
      </w:r>
      <w:r>
        <w:rPr>
          <w:color w:val="231F20"/>
          <w:spacing w:val="-11"/>
        </w:rPr>
        <w:t xml:space="preserve"> </w:t>
      </w:r>
      <w:r>
        <w:rPr>
          <w:color w:val="231F20"/>
        </w:rPr>
        <w:t>Police’s financial risks within the government policy parameters.</w:t>
      </w:r>
    </w:p>
    <w:p w14:paraId="187C4876" w14:textId="77777777" w:rsidR="00345EE3" w:rsidRDefault="00345EE3" w:rsidP="00345EE3">
      <w:pPr>
        <w:pStyle w:val="BodyText"/>
        <w:spacing w:before="116" w:line="242" w:lineRule="auto"/>
        <w:ind w:right="522"/>
        <w:jc w:val="both"/>
      </w:pPr>
      <w:r>
        <w:rPr>
          <w:color w:val="231F20"/>
        </w:rPr>
        <w:t>Victoria</w:t>
      </w:r>
      <w:r>
        <w:rPr>
          <w:color w:val="231F20"/>
          <w:spacing w:val="-6"/>
        </w:rPr>
        <w:t xml:space="preserve"> </w:t>
      </w:r>
      <w:r>
        <w:rPr>
          <w:color w:val="231F20"/>
        </w:rPr>
        <w:t>Police’s</w:t>
      </w:r>
      <w:r>
        <w:rPr>
          <w:color w:val="231F20"/>
          <w:spacing w:val="-5"/>
        </w:rPr>
        <w:t xml:space="preserve"> </w:t>
      </w:r>
      <w:r>
        <w:rPr>
          <w:color w:val="231F20"/>
        </w:rPr>
        <w:t>main</w:t>
      </w:r>
      <w:r>
        <w:rPr>
          <w:color w:val="231F20"/>
          <w:spacing w:val="-6"/>
        </w:rPr>
        <w:t xml:space="preserve"> </w:t>
      </w:r>
      <w:r>
        <w:rPr>
          <w:color w:val="231F20"/>
        </w:rPr>
        <w:t>financial</w:t>
      </w:r>
      <w:r>
        <w:rPr>
          <w:color w:val="231F20"/>
          <w:spacing w:val="-6"/>
        </w:rPr>
        <w:t xml:space="preserve"> </w:t>
      </w:r>
      <w:r>
        <w:rPr>
          <w:color w:val="231F20"/>
        </w:rPr>
        <w:t>risks</w:t>
      </w:r>
      <w:r>
        <w:rPr>
          <w:color w:val="231F20"/>
          <w:spacing w:val="-5"/>
        </w:rPr>
        <w:t xml:space="preserve"> </w:t>
      </w:r>
      <w:r>
        <w:rPr>
          <w:color w:val="231F20"/>
        </w:rPr>
        <w:t>include</w:t>
      </w:r>
      <w:r>
        <w:rPr>
          <w:color w:val="231F20"/>
          <w:spacing w:val="-6"/>
        </w:rPr>
        <w:t xml:space="preserve"> </w:t>
      </w:r>
      <w:r>
        <w:rPr>
          <w:color w:val="231F20"/>
        </w:rPr>
        <w:t>credit</w:t>
      </w:r>
      <w:r>
        <w:rPr>
          <w:color w:val="231F20"/>
          <w:spacing w:val="-5"/>
        </w:rPr>
        <w:t xml:space="preserve"> </w:t>
      </w:r>
      <w:r>
        <w:rPr>
          <w:color w:val="231F20"/>
        </w:rPr>
        <w:t>risk,</w:t>
      </w:r>
      <w:r>
        <w:rPr>
          <w:color w:val="231F20"/>
          <w:spacing w:val="-5"/>
        </w:rPr>
        <w:t xml:space="preserve"> </w:t>
      </w:r>
      <w:r>
        <w:rPr>
          <w:color w:val="231F20"/>
        </w:rPr>
        <w:t>liquidity</w:t>
      </w:r>
      <w:r>
        <w:rPr>
          <w:color w:val="231F20"/>
          <w:spacing w:val="-5"/>
        </w:rPr>
        <w:t xml:space="preserve"> </w:t>
      </w:r>
      <w:r>
        <w:rPr>
          <w:color w:val="231F20"/>
        </w:rPr>
        <w:t>risk,</w:t>
      </w:r>
      <w:r>
        <w:rPr>
          <w:color w:val="231F20"/>
          <w:spacing w:val="-5"/>
        </w:rPr>
        <w:t xml:space="preserve"> </w:t>
      </w:r>
      <w:r>
        <w:rPr>
          <w:color w:val="231F20"/>
        </w:rPr>
        <w:t>foreign</w:t>
      </w:r>
      <w:r>
        <w:rPr>
          <w:color w:val="231F20"/>
          <w:spacing w:val="-6"/>
        </w:rPr>
        <w:t xml:space="preserve"> </w:t>
      </w:r>
      <w:r>
        <w:rPr>
          <w:color w:val="231F20"/>
        </w:rPr>
        <w:t>currency</w:t>
      </w:r>
      <w:r>
        <w:rPr>
          <w:color w:val="231F20"/>
          <w:spacing w:val="-5"/>
        </w:rPr>
        <w:t xml:space="preserve"> </w:t>
      </w:r>
      <w:r>
        <w:rPr>
          <w:color w:val="231F20"/>
        </w:rPr>
        <w:t>risk</w:t>
      </w:r>
      <w:r>
        <w:rPr>
          <w:color w:val="231F20"/>
          <w:spacing w:val="-5"/>
        </w:rPr>
        <w:t xml:space="preserve"> </w:t>
      </w:r>
      <w:r>
        <w:rPr>
          <w:color w:val="231F20"/>
        </w:rPr>
        <w:t>and interest</w:t>
      </w:r>
      <w:r>
        <w:rPr>
          <w:color w:val="231F20"/>
          <w:spacing w:val="-8"/>
        </w:rPr>
        <w:t xml:space="preserve"> </w:t>
      </w:r>
      <w:r>
        <w:rPr>
          <w:color w:val="231F20"/>
        </w:rPr>
        <w:t>rate</w:t>
      </w:r>
      <w:r>
        <w:rPr>
          <w:color w:val="231F20"/>
          <w:spacing w:val="-9"/>
        </w:rPr>
        <w:t xml:space="preserve"> </w:t>
      </w:r>
      <w:r>
        <w:rPr>
          <w:color w:val="231F20"/>
        </w:rPr>
        <w:t>risk.</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manages</w:t>
      </w:r>
      <w:r>
        <w:rPr>
          <w:color w:val="231F20"/>
          <w:spacing w:val="-8"/>
        </w:rPr>
        <w:t xml:space="preserve"> </w:t>
      </w:r>
      <w:r>
        <w:rPr>
          <w:color w:val="231F20"/>
        </w:rPr>
        <w:t>these</w:t>
      </w:r>
      <w:r>
        <w:rPr>
          <w:color w:val="231F20"/>
          <w:spacing w:val="-9"/>
        </w:rPr>
        <w:t xml:space="preserve"> </w:t>
      </w:r>
      <w:r>
        <w:rPr>
          <w:color w:val="231F20"/>
        </w:rPr>
        <w:t>financial</w:t>
      </w:r>
      <w:r>
        <w:rPr>
          <w:color w:val="231F20"/>
          <w:spacing w:val="-9"/>
        </w:rPr>
        <w:t xml:space="preserve"> </w:t>
      </w:r>
      <w:r>
        <w:rPr>
          <w:color w:val="231F20"/>
        </w:rPr>
        <w:t>risks</w:t>
      </w:r>
      <w:r>
        <w:rPr>
          <w:color w:val="231F20"/>
          <w:spacing w:val="-8"/>
        </w:rPr>
        <w:t xml:space="preserve"> </w:t>
      </w:r>
      <w:r>
        <w:rPr>
          <w:color w:val="231F20"/>
        </w:rPr>
        <w:t>in</w:t>
      </w:r>
      <w:r>
        <w:rPr>
          <w:color w:val="231F20"/>
          <w:spacing w:val="-9"/>
        </w:rPr>
        <w:t xml:space="preserve"> </w:t>
      </w:r>
      <w:r>
        <w:rPr>
          <w:color w:val="231F20"/>
        </w:rPr>
        <w:t>accordance</w:t>
      </w:r>
      <w:r>
        <w:rPr>
          <w:color w:val="231F20"/>
          <w:spacing w:val="-9"/>
        </w:rPr>
        <w:t xml:space="preserve"> </w:t>
      </w:r>
      <w:r>
        <w:rPr>
          <w:color w:val="231F20"/>
        </w:rPr>
        <w:t>with</w:t>
      </w:r>
      <w:r>
        <w:rPr>
          <w:color w:val="231F20"/>
          <w:spacing w:val="-9"/>
        </w:rPr>
        <w:t xml:space="preserve"> </w:t>
      </w:r>
      <w:r>
        <w:rPr>
          <w:color w:val="231F20"/>
        </w:rPr>
        <w:t>its</w:t>
      </w:r>
      <w:r>
        <w:rPr>
          <w:color w:val="231F20"/>
          <w:spacing w:val="-8"/>
        </w:rPr>
        <w:t xml:space="preserve"> </w:t>
      </w:r>
      <w:r>
        <w:rPr>
          <w:color w:val="231F20"/>
        </w:rPr>
        <w:t>financial risk management policy.</w:t>
      </w:r>
    </w:p>
    <w:p w14:paraId="72F49FD8" w14:textId="77777777" w:rsidR="00345EE3" w:rsidRDefault="00345EE3" w:rsidP="00345EE3">
      <w:pPr>
        <w:pStyle w:val="BodyText"/>
        <w:spacing w:before="117" w:line="242" w:lineRule="auto"/>
      </w:pPr>
      <w:r>
        <w:rPr>
          <w:color w:val="231F20"/>
        </w:rPr>
        <w:t>Victoria Police uses different methods to measure and manage the different risks to which it is exposed.</w:t>
      </w:r>
      <w:r>
        <w:rPr>
          <w:color w:val="231F20"/>
          <w:spacing w:val="-10"/>
        </w:rPr>
        <w:t xml:space="preserve"> </w:t>
      </w:r>
      <w:r>
        <w:rPr>
          <w:color w:val="231F20"/>
        </w:rPr>
        <w:t>Primary</w:t>
      </w:r>
      <w:r>
        <w:rPr>
          <w:color w:val="231F20"/>
          <w:spacing w:val="-10"/>
        </w:rPr>
        <w:t xml:space="preserve"> </w:t>
      </w:r>
      <w:r>
        <w:rPr>
          <w:color w:val="231F20"/>
        </w:rPr>
        <w:t>responsibility</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identification</w:t>
      </w:r>
      <w:r>
        <w:rPr>
          <w:color w:val="231F20"/>
          <w:spacing w:val="-10"/>
        </w:rPr>
        <w:t xml:space="preserve"> </w:t>
      </w:r>
      <w:r>
        <w:rPr>
          <w:color w:val="231F20"/>
        </w:rPr>
        <w:t>and</w:t>
      </w:r>
      <w:r>
        <w:rPr>
          <w:color w:val="231F20"/>
          <w:spacing w:val="-10"/>
        </w:rPr>
        <w:t xml:space="preserve"> </w:t>
      </w:r>
      <w:r>
        <w:rPr>
          <w:color w:val="231F20"/>
        </w:rPr>
        <w:t>management</w:t>
      </w:r>
      <w:r>
        <w:rPr>
          <w:color w:val="231F20"/>
          <w:spacing w:val="-10"/>
        </w:rPr>
        <w:t xml:space="preserve"> </w:t>
      </w:r>
      <w:r>
        <w:rPr>
          <w:color w:val="231F20"/>
        </w:rPr>
        <w:t>of</w:t>
      </w:r>
      <w:r>
        <w:rPr>
          <w:color w:val="231F20"/>
          <w:spacing w:val="-10"/>
        </w:rPr>
        <w:t xml:space="preserve"> </w:t>
      </w:r>
      <w:r>
        <w:rPr>
          <w:color w:val="231F20"/>
        </w:rPr>
        <w:t>financial</w:t>
      </w:r>
      <w:r>
        <w:rPr>
          <w:color w:val="231F20"/>
          <w:spacing w:val="-10"/>
        </w:rPr>
        <w:t xml:space="preserve"> </w:t>
      </w:r>
      <w:r>
        <w:rPr>
          <w:color w:val="231F20"/>
        </w:rPr>
        <w:t>risks</w:t>
      </w:r>
      <w:r>
        <w:rPr>
          <w:color w:val="231F20"/>
          <w:spacing w:val="-10"/>
        </w:rPr>
        <w:t xml:space="preserve"> </w:t>
      </w:r>
      <w:r>
        <w:rPr>
          <w:color w:val="231F20"/>
        </w:rPr>
        <w:t>rests</w:t>
      </w:r>
      <w:r>
        <w:rPr>
          <w:color w:val="231F20"/>
          <w:spacing w:val="-10"/>
        </w:rPr>
        <w:t xml:space="preserve"> </w:t>
      </w:r>
      <w:r>
        <w:rPr>
          <w:color w:val="231F20"/>
        </w:rPr>
        <w:t>with the Accountable Officer of Victoria Police.</w:t>
      </w:r>
    </w:p>
    <w:p w14:paraId="2DA51E87" w14:textId="77777777" w:rsidR="00345EE3" w:rsidRDefault="00345EE3" w:rsidP="00345EE3">
      <w:pPr>
        <w:pStyle w:val="Heading5"/>
        <w:spacing w:before="231"/>
        <w:jc w:val="both"/>
      </w:pPr>
      <w:r>
        <w:rPr>
          <w:color w:val="231F20"/>
        </w:rPr>
        <w:t>Financial</w:t>
      </w:r>
      <w:r>
        <w:rPr>
          <w:color w:val="231F20"/>
          <w:spacing w:val="-7"/>
        </w:rPr>
        <w:t xml:space="preserve"> </w:t>
      </w:r>
      <w:r>
        <w:rPr>
          <w:color w:val="231F20"/>
        </w:rPr>
        <w:t>Instruments:</w:t>
      </w:r>
      <w:r>
        <w:rPr>
          <w:color w:val="231F20"/>
          <w:spacing w:val="-6"/>
        </w:rPr>
        <w:t xml:space="preserve"> </w:t>
      </w:r>
      <w:r>
        <w:rPr>
          <w:color w:val="231F20"/>
        </w:rPr>
        <w:t>Credit</w:t>
      </w:r>
      <w:r>
        <w:rPr>
          <w:color w:val="231F20"/>
          <w:spacing w:val="-6"/>
        </w:rPr>
        <w:t xml:space="preserve"> </w:t>
      </w:r>
      <w:r>
        <w:rPr>
          <w:color w:val="231F20"/>
          <w:spacing w:val="-4"/>
        </w:rPr>
        <w:t>Risk</w:t>
      </w:r>
    </w:p>
    <w:p w14:paraId="3290DAAA" w14:textId="77777777" w:rsidR="00345EE3" w:rsidRDefault="00345EE3" w:rsidP="00345EE3">
      <w:pPr>
        <w:pStyle w:val="BodyText"/>
        <w:spacing w:before="60" w:line="242" w:lineRule="auto"/>
        <w:ind w:right="385"/>
        <w:jc w:val="both"/>
      </w:pPr>
      <w:r>
        <w:rPr>
          <w:color w:val="231F20"/>
        </w:rPr>
        <w:t>Credit</w:t>
      </w:r>
      <w:r>
        <w:rPr>
          <w:color w:val="231F20"/>
          <w:spacing w:val="-5"/>
        </w:rPr>
        <w:t xml:space="preserve"> </w:t>
      </w:r>
      <w:r>
        <w:rPr>
          <w:color w:val="231F20"/>
        </w:rPr>
        <w:t>risk</w:t>
      </w:r>
      <w:r>
        <w:rPr>
          <w:color w:val="231F20"/>
          <w:spacing w:val="-5"/>
        </w:rPr>
        <w:t xml:space="preserve"> </w:t>
      </w:r>
      <w:r>
        <w:rPr>
          <w:color w:val="231F20"/>
        </w:rPr>
        <w:t>refers</w:t>
      </w:r>
      <w:r>
        <w:rPr>
          <w:color w:val="231F20"/>
          <w:spacing w:val="-5"/>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possibility</w:t>
      </w:r>
      <w:r>
        <w:rPr>
          <w:color w:val="231F20"/>
          <w:spacing w:val="-5"/>
        </w:rPr>
        <w:t xml:space="preserve"> </w:t>
      </w:r>
      <w:r>
        <w:rPr>
          <w:color w:val="231F20"/>
        </w:rPr>
        <w:t>that</w:t>
      </w:r>
      <w:r>
        <w:rPr>
          <w:color w:val="231F20"/>
          <w:spacing w:val="-5"/>
        </w:rPr>
        <w:t xml:space="preserve"> </w:t>
      </w:r>
      <w:r>
        <w:rPr>
          <w:color w:val="231F20"/>
        </w:rPr>
        <w:t>a</w:t>
      </w:r>
      <w:r>
        <w:rPr>
          <w:color w:val="231F20"/>
          <w:spacing w:val="-6"/>
        </w:rPr>
        <w:t xml:space="preserve"> </w:t>
      </w:r>
      <w:r>
        <w:rPr>
          <w:color w:val="231F20"/>
        </w:rPr>
        <w:t>borrower</w:t>
      </w:r>
      <w:r>
        <w:rPr>
          <w:color w:val="231F20"/>
          <w:spacing w:val="-5"/>
        </w:rPr>
        <w:t xml:space="preserve"> </w:t>
      </w:r>
      <w:r>
        <w:rPr>
          <w:color w:val="231F20"/>
        </w:rPr>
        <w:t>will</w:t>
      </w:r>
      <w:r>
        <w:rPr>
          <w:color w:val="231F20"/>
          <w:spacing w:val="-6"/>
        </w:rPr>
        <w:t xml:space="preserve"> </w:t>
      </w:r>
      <w:r>
        <w:rPr>
          <w:color w:val="231F20"/>
        </w:rPr>
        <w:t>default</w:t>
      </w:r>
      <w:r>
        <w:rPr>
          <w:color w:val="231F20"/>
          <w:spacing w:val="-5"/>
        </w:rPr>
        <w:t xml:space="preserve"> </w:t>
      </w:r>
      <w:r>
        <w:rPr>
          <w:color w:val="231F20"/>
        </w:rPr>
        <w:t>on</w:t>
      </w:r>
      <w:r>
        <w:rPr>
          <w:color w:val="231F20"/>
          <w:spacing w:val="-6"/>
        </w:rPr>
        <w:t xml:space="preserve"> </w:t>
      </w:r>
      <w:r>
        <w:rPr>
          <w:color w:val="231F20"/>
        </w:rPr>
        <w:t>its</w:t>
      </w:r>
      <w:r>
        <w:rPr>
          <w:color w:val="231F20"/>
          <w:spacing w:val="-5"/>
        </w:rPr>
        <w:t xml:space="preserve"> </w:t>
      </w:r>
      <w:r>
        <w:rPr>
          <w:color w:val="231F20"/>
        </w:rPr>
        <w:t>financial</w:t>
      </w:r>
      <w:r>
        <w:rPr>
          <w:color w:val="231F20"/>
          <w:spacing w:val="-6"/>
        </w:rPr>
        <w:t xml:space="preserve"> </w:t>
      </w:r>
      <w:r>
        <w:rPr>
          <w:color w:val="231F20"/>
        </w:rPr>
        <w:t>obligations</w:t>
      </w:r>
      <w:r>
        <w:rPr>
          <w:color w:val="231F20"/>
          <w:spacing w:val="-5"/>
        </w:rPr>
        <w:t xml:space="preserve"> </w:t>
      </w:r>
      <w:r>
        <w:rPr>
          <w:color w:val="231F20"/>
        </w:rPr>
        <w:t>as</w:t>
      </w:r>
      <w:r>
        <w:rPr>
          <w:color w:val="231F20"/>
          <w:spacing w:val="-5"/>
        </w:rPr>
        <w:t xml:space="preserve"> </w:t>
      </w:r>
      <w:r>
        <w:rPr>
          <w:color w:val="231F20"/>
        </w:rPr>
        <w:t>and when</w:t>
      </w:r>
      <w:r>
        <w:rPr>
          <w:color w:val="231F20"/>
          <w:spacing w:val="-10"/>
        </w:rPr>
        <w:t xml:space="preserve"> </w:t>
      </w:r>
      <w:r>
        <w:rPr>
          <w:color w:val="231F20"/>
        </w:rPr>
        <w:t>they</w:t>
      </w:r>
      <w:r>
        <w:rPr>
          <w:color w:val="231F20"/>
          <w:spacing w:val="-9"/>
        </w:rPr>
        <w:t xml:space="preserve"> </w:t>
      </w:r>
      <w:r>
        <w:rPr>
          <w:color w:val="231F20"/>
        </w:rPr>
        <w:t>fall</w:t>
      </w:r>
      <w:r>
        <w:rPr>
          <w:color w:val="231F20"/>
          <w:spacing w:val="-10"/>
        </w:rPr>
        <w:t xml:space="preserve"> </w:t>
      </w:r>
      <w:r>
        <w:rPr>
          <w:color w:val="231F20"/>
        </w:rPr>
        <w:t>due.</w:t>
      </w:r>
      <w:r>
        <w:rPr>
          <w:color w:val="231F20"/>
          <w:spacing w:val="-9"/>
        </w:rPr>
        <w:t xml:space="preserve"> </w:t>
      </w:r>
      <w:r>
        <w:rPr>
          <w:color w:val="231F20"/>
        </w:rPr>
        <w:t>Victoria</w:t>
      </w:r>
      <w:r>
        <w:rPr>
          <w:color w:val="231F20"/>
          <w:spacing w:val="-10"/>
        </w:rPr>
        <w:t xml:space="preserve"> </w:t>
      </w:r>
      <w:r>
        <w:rPr>
          <w:color w:val="231F20"/>
        </w:rPr>
        <w:t>Police’s</w:t>
      </w:r>
      <w:r>
        <w:rPr>
          <w:color w:val="231F20"/>
          <w:spacing w:val="-9"/>
        </w:rPr>
        <w:t xml:space="preserve"> </w:t>
      </w:r>
      <w:r>
        <w:rPr>
          <w:color w:val="231F20"/>
        </w:rPr>
        <w:t>exposure</w:t>
      </w:r>
      <w:r>
        <w:rPr>
          <w:color w:val="231F20"/>
          <w:spacing w:val="-10"/>
        </w:rPr>
        <w:t xml:space="preserve"> </w:t>
      </w:r>
      <w:r>
        <w:rPr>
          <w:color w:val="231F20"/>
        </w:rPr>
        <w:t>to</w:t>
      </w:r>
      <w:r>
        <w:rPr>
          <w:color w:val="231F20"/>
          <w:spacing w:val="-10"/>
        </w:rPr>
        <w:t xml:space="preserve"> </w:t>
      </w:r>
      <w:r>
        <w:rPr>
          <w:color w:val="231F20"/>
        </w:rPr>
        <w:t>credit</w:t>
      </w:r>
      <w:r>
        <w:rPr>
          <w:color w:val="231F20"/>
          <w:spacing w:val="-9"/>
        </w:rPr>
        <w:t xml:space="preserve"> </w:t>
      </w:r>
      <w:r>
        <w:rPr>
          <w:color w:val="231F20"/>
        </w:rPr>
        <w:t>risk</w:t>
      </w:r>
      <w:r>
        <w:rPr>
          <w:color w:val="231F20"/>
          <w:spacing w:val="-9"/>
        </w:rPr>
        <w:t xml:space="preserve"> </w:t>
      </w:r>
      <w:r>
        <w:rPr>
          <w:color w:val="231F20"/>
        </w:rPr>
        <w:t>arises</w:t>
      </w:r>
      <w:r>
        <w:rPr>
          <w:color w:val="231F20"/>
          <w:spacing w:val="-9"/>
        </w:rPr>
        <w:t xml:space="preserve"> </w:t>
      </w:r>
      <w:r>
        <w:rPr>
          <w:color w:val="231F20"/>
        </w:rPr>
        <w:t>from</w:t>
      </w:r>
      <w:r>
        <w:rPr>
          <w:color w:val="231F20"/>
          <w:spacing w:val="-9"/>
        </w:rPr>
        <w:t xml:space="preserve"> </w:t>
      </w:r>
      <w:r>
        <w:rPr>
          <w:color w:val="231F20"/>
        </w:rPr>
        <w:t>the</w:t>
      </w:r>
      <w:r>
        <w:rPr>
          <w:color w:val="231F20"/>
          <w:spacing w:val="-10"/>
        </w:rPr>
        <w:t xml:space="preserve"> </w:t>
      </w:r>
      <w:r>
        <w:rPr>
          <w:color w:val="231F20"/>
        </w:rPr>
        <w:t>potential</w:t>
      </w:r>
      <w:r>
        <w:rPr>
          <w:color w:val="231F20"/>
          <w:spacing w:val="-10"/>
        </w:rPr>
        <w:t xml:space="preserve"> </w:t>
      </w:r>
      <w:r>
        <w:rPr>
          <w:color w:val="231F20"/>
        </w:rPr>
        <w:t>default</w:t>
      </w:r>
      <w:r>
        <w:rPr>
          <w:color w:val="231F20"/>
          <w:spacing w:val="-9"/>
        </w:rPr>
        <w:t xml:space="preserve"> </w:t>
      </w:r>
      <w:r>
        <w:rPr>
          <w:color w:val="231F20"/>
        </w:rPr>
        <w:t>of</w:t>
      </w:r>
      <w:r>
        <w:rPr>
          <w:color w:val="231F20"/>
          <w:spacing w:val="-9"/>
        </w:rPr>
        <w:t xml:space="preserve"> </w:t>
      </w:r>
      <w:r>
        <w:rPr>
          <w:color w:val="231F20"/>
        </w:rPr>
        <w:t>a counter</w:t>
      </w:r>
      <w:r>
        <w:rPr>
          <w:color w:val="231F20"/>
          <w:spacing w:val="-8"/>
        </w:rPr>
        <w:t xml:space="preserve"> </w:t>
      </w:r>
      <w:r>
        <w:rPr>
          <w:color w:val="231F20"/>
        </w:rPr>
        <w:t>party</w:t>
      </w:r>
      <w:r>
        <w:rPr>
          <w:color w:val="231F20"/>
          <w:spacing w:val="-8"/>
        </w:rPr>
        <w:t xml:space="preserve"> </w:t>
      </w:r>
      <w:r>
        <w:rPr>
          <w:color w:val="231F20"/>
        </w:rPr>
        <w:t>on</w:t>
      </w:r>
      <w:r>
        <w:rPr>
          <w:color w:val="231F20"/>
          <w:spacing w:val="-9"/>
        </w:rPr>
        <w:t xml:space="preserve"> </w:t>
      </w:r>
      <w:r>
        <w:rPr>
          <w:color w:val="231F20"/>
        </w:rPr>
        <w:t>their</w:t>
      </w:r>
      <w:r>
        <w:rPr>
          <w:color w:val="231F20"/>
          <w:spacing w:val="-8"/>
        </w:rPr>
        <w:t xml:space="preserve"> </w:t>
      </w:r>
      <w:r>
        <w:rPr>
          <w:color w:val="231F20"/>
        </w:rPr>
        <w:t>contractual</w:t>
      </w:r>
      <w:r>
        <w:rPr>
          <w:color w:val="231F20"/>
          <w:spacing w:val="-9"/>
        </w:rPr>
        <w:t xml:space="preserve"> </w:t>
      </w:r>
      <w:r>
        <w:rPr>
          <w:color w:val="231F20"/>
        </w:rPr>
        <w:t>obligations</w:t>
      </w:r>
      <w:r>
        <w:rPr>
          <w:color w:val="231F20"/>
          <w:spacing w:val="-8"/>
        </w:rPr>
        <w:t xml:space="preserve"> </w:t>
      </w:r>
      <w:r>
        <w:rPr>
          <w:color w:val="231F20"/>
        </w:rPr>
        <w:t>resulting</w:t>
      </w:r>
      <w:r>
        <w:rPr>
          <w:color w:val="231F20"/>
          <w:spacing w:val="-9"/>
        </w:rPr>
        <w:t xml:space="preserve"> </w:t>
      </w:r>
      <w:r>
        <w:rPr>
          <w:color w:val="231F20"/>
        </w:rPr>
        <w:t>in</w:t>
      </w:r>
      <w:r>
        <w:rPr>
          <w:color w:val="231F20"/>
          <w:spacing w:val="-9"/>
        </w:rPr>
        <w:t xml:space="preserve"> </w:t>
      </w:r>
      <w:r>
        <w:rPr>
          <w:color w:val="231F20"/>
        </w:rPr>
        <w:t>financial</w:t>
      </w:r>
      <w:r>
        <w:rPr>
          <w:color w:val="231F20"/>
          <w:spacing w:val="-9"/>
        </w:rPr>
        <w:t xml:space="preserve"> </w:t>
      </w:r>
      <w:r>
        <w:rPr>
          <w:color w:val="231F20"/>
        </w:rPr>
        <w:t>loss</w:t>
      </w:r>
      <w:r>
        <w:rPr>
          <w:color w:val="231F20"/>
          <w:spacing w:val="-8"/>
        </w:rPr>
        <w:t xml:space="preserve"> </w:t>
      </w:r>
      <w:r>
        <w:rPr>
          <w:color w:val="231F20"/>
        </w:rPr>
        <w:t>to</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8"/>
        </w:rPr>
        <w:t xml:space="preserve"> </w:t>
      </w:r>
      <w:r>
        <w:rPr>
          <w:color w:val="231F20"/>
        </w:rPr>
        <w:t>Credit risk is measured at fair value and is monitored on a regular basis.</w:t>
      </w:r>
    </w:p>
    <w:p w14:paraId="7A217961" w14:textId="77777777" w:rsidR="00345EE3" w:rsidRDefault="00345EE3" w:rsidP="00345EE3">
      <w:pPr>
        <w:pStyle w:val="BodyText"/>
        <w:spacing w:before="119" w:line="242" w:lineRule="auto"/>
      </w:pPr>
      <w:r>
        <w:rPr>
          <w:color w:val="231F20"/>
        </w:rPr>
        <w:t>Credit risk associated with Victoria Police’s contractual financial assets is minimal as the main debtor</w:t>
      </w:r>
      <w:r>
        <w:rPr>
          <w:color w:val="231F20"/>
          <w:spacing w:val="-9"/>
        </w:rPr>
        <w:t xml:space="preserve"> </w:t>
      </w:r>
      <w:r>
        <w:rPr>
          <w:color w:val="231F20"/>
        </w:rPr>
        <w:t>is</w:t>
      </w:r>
      <w:r>
        <w:rPr>
          <w:color w:val="231F20"/>
          <w:spacing w:val="-9"/>
        </w:rPr>
        <w:t xml:space="preserve"> </w:t>
      </w:r>
      <w:r>
        <w:rPr>
          <w:color w:val="231F20"/>
        </w:rPr>
        <w:t>the</w:t>
      </w:r>
      <w:r>
        <w:rPr>
          <w:color w:val="231F20"/>
          <w:spacing w:val="-9"/>
        </w:rPr>
        <w:t xml:space="preserve"> </w:t>
      </w:r>
      <w:r>
        <w:rPr>
          <w:color w:val="231F20"/>
        </w:rPr>
        <w:t>Victorian</w:t>
      </w:r>
      <w:r>
        <w:rPr>
          <w:color w:val="231F20"/>
          <w:spacing w:val="-9"/>
        </w:rPr>
        <w:t xml:space="preserve"> </w:t>
      </w:r>
      <w:r>
        <w:rPr>
          <w:color w:val="231F20"/>
        </w:rPr>
        <w:t>Government.</w:t>
      </w:r>
      <w:r>
        <w:rPr>
          <w:color w:val="231F20"/>
          <w:spacing w:val="-9"/>
        </w:rPr>
        <w:t xml:space="preserve"> </w:t>
      </w:r>
      <w:r>
        <w:rPr>
          <w:color w:val="231F20"/>
        </w:rPr>
        <w:t>For</w:t>
      </w:r>
      <w:r>
        <w:rPr>
          <w:color w:val="231F20"/>
          <w:spacing w:val="-9"/>
        </w:rPr>
        <w:t xml:space="preserve"> </w:t>
      </w:r>
      <w:r>
        <w:rPr>
          <w:color w:val="231F20"/>
        </w:rPr>
        <w:t>debtors</w:t>
      </w:r>
      <w:r>
        <w:rPr>
          <w:color w:val="231F20"/>
          <w:spacing w:val="-9"/>
        </w:rPr>
        <w:t xml:space="preserve"> </w:t>
      </w:r>
      <w:r>
        <w:rPr>
          <w:color w:val="231F20"/>
        </w:rPr>
        <w:t>other</w:t>
      </w:r>
      <w:r>
        <w:rPr>
          <w:color w:val="231F20"/>
          <w:spacing w:val="-9"/>
        </w:rPr>
        <w:t xml:space="preserve"> </w:t>
      </w:r>
      <w:r>
        <w:rPr>
          <w:color w:val="231F20"/>
        </w:rPr>
        <w:t>than</w:t>
      </w:r>
      <w:r>
        <w:rPr>
          <w:color w:val="231F20"/>
          <w:spacing w:val="-9"/>
        </w:rPr>
        <w:t xml:space="preserve"> </w:t>
      </w:r>
      <w:r>
        <w:rPr>
          <w:color w:val="231F20"/>
        </w:rPr>
        <w:t>the</w:t>
      </w:r>
      <w:r>
        <w:rPr>
          <w:color w:val="231F20"/>
          <w:spacing w:val="-9"/>
        </w:rPr>
        <w:t xml:space="preserve"> </w:t>
      </w:r>
      <w:r>
        <w:rPr>
          <w:color w:val="231F20"/>
        </w:rPr>
        <w:t>government,</w:t>
      </w:r>
      <w:r>
        <w:rPr>
          <w:color w:val="231F20"/>
          <w:spacing w:val="-9"/>
        </w:rPr>
        <w:t xml:space="preserve"> </w:t>
      </w:r>
      <w:r>
        <w:rPr>
          <w:color w:val="231F20"/>
        </w:rPr>
        <w:t>it</w:t>
      </w:r>
      <w:r>
        <w:rPr>
          <w:color w:val="231F20"/>
          <w:spacing w:val="-9"/>
        </w:rPr>
        <w:t xml:space="preserve"> </w:t>
      </w:r>
      <w:r>
        <w:rPr>
          <w:color w:val="231F20"/>
        </w:rPr>
        <w:t>is</w:t>
      </w:r>
      <w:r>
        <w:rPr>
          <w:color w:val="231F20"/>
          <w:spacing w:val="-9"/>
        </w:rPr>
        <w:t xml:space="preserve"> </w:t>
      </w:r>
      <w:r>
        <w:rPr>
          <w:color w:val="231F20"/>
        </w:rPr>
        <w:t>Victoria</w:t>
      </w:r>
      <w:r>
        <w:rPr>
          <w:color w:val="231F20"/>
          <w:spacing w:val="-9"/>
        </w:rPr>
        <w:t xml:space="preserve"> </w:t>
      </w:r>
      <w:r>
        <w:rPr>
          <w:color w:val="231F20"/>
        </w:rPr>
        <w:t>Police’s policy</w:t>
      </w:r>
      <w:r>
        <w:rPr>
          <w:color w:val="231F20"/>
          <w:spacing w:val="-8"/>
        </w:rPr>
        <w:t xml:space="preserve"> </w:t>
      </w:r>
      <w:r>
        <w:rPr>
          <w:color w:val="231F20"/>
        </w:rPr>
        <w:t>to</w:t>
      </w:r>
      <w:r>
        <w:rPr>
          <w:color w:val="231F20"/>
          <w:spacing w:val="-9"/>
        </w:rPr>
        <w:t xml:space="preserve"> </w:t>
      </w:r>
      <w:r>
        <w:rPr>
          <w:color w:val="231F20"/>
        </w:rPr>
        <w:t>only</w:t>
      </w:r>
      <w:r>
        <w:rPr>
          <w:color w:val="231F20"/>
          <w:spacing w:val="-8"/>
        </w:rPr>
        <w:t xml:space="preserve"> </w:t>
      </w:r>
      <w:r>
        <w:rPr>
          <w:color w:val="231F20"/>
        </w:rPr>
        <w:t>deal</w:t>
      </w:r>
      <w:r>
        <w:rPr>
          <w:color w:val="231F20"/>
          <w:spacing w:val="-9"/>
        </w:rPr>
        <w:t xml:space="preserve"> </w:t>
      </w:r>
      <w:r>
        <w:rPr>
          <w:color w:val="231F20"/>
        </w:rPr>
        <w:t>with</w:t>
      </w:r>
      <w:r>
        <w:rPr>
          <w:color w:val="231F20"/>
          <w:spacing w:val="-9"/>
        </w:rPr>
        <w:t xml:space="preserve"> </w:t>
      </w:r>
      <w:r>
        <w:rPr>
          <w:color w:val="231F20"/>
        </w:rPr>
        <w:t>entities</w:t>
      </w:r>
      <w:r>
        <w:rPr>
          <w:color w:val="231F20"/>
          <w:spacing w:val="-8"/>
        </w:rPr>
        <w:t xml:space="preserve"> </w:t>
      </w:r>
      <w:r>
        <w:rPr>
          <w:color w:val="231F20"/>
        </w:rPr>
        <w:t>with</w:t>
      </w:r>
      <w:r>
        <w:rPr>
          <w:color w:val="231F20"/>
          <w:spacing w:val="-9"/>
        </w:rPr>
        <w:t xml:space="preserve"> </w:t>
      </w:r>
      <w:r>
        <w:rPr>
          <w:color w:val="231F20"/>
        </w:rPr>
        <w:t>high</w:t>
      </w:r>
      <w:r>
        <w:rPr>
          <w:color w:val="231F20"/>
          <w:spacing w:val="-9"/>
        </w:rPr>
        <w:t xml:space="preserve"> </w:t>
      </w:r>
      <w:r>
        <w:rPr>
          <w:color w:val="231F20"/>
        </w:rPr>
        <w:t>credit</w:t>
      </w:r>
      <w:r>
        <w:rPr>
          <w:color w:val="231F20"/>
          <w:spacing w:val="-8"/>
        </w:rPr>
        <w:t xml:space="preserve"> </w:t>
      </w:r>
      <w:r>
        <w:rPr>
          <w:color w:val="231F20"/>
        </w:rPr>
        <w:t>ratings</w:t>
      </w:r>
      <w:r>
        <w:rPr>
          <w:color w:val="231F20"/>
          <w:spacing w:val="-8"/>
        </w:rPr>
        <w:t xml:space="preserve"> </w:t>
      </w:r>
      <w:r>
        <w:rPr>
          <w:color w:val="231F20"/>
        </w:rPr>
        <w:t>of</w:t>
      </w:r>
      <w:r>
        <w:rPr>
          <w:color w:val="231F20"/>
          <w:spacing w:val="-8"/>
        </w:rPr>
        <w:t xml:space="preserve"> </w:t>
      </w:r>
      <w:r>
        <w:rPr>
          <w:color w:val="231F20"/>
        </w:rPr>
        <w:t>a</w:t>
      </w:r>
      <w:r>
        <w:rPr>
          <w:color w:val="231F20"/>
          <w:spacing w:val="-9"/>
        </w:rPr>
        <w:t xml:space="preserve"> </w:t>
      </w:r>
      <w:r>
        <w:rPr>
          <w:color w:val="231F20"/>
        </w:rPr>
        <w:t>minimum</w:t>
      </w:r>
      <w:r>
        <w:rPr>
          <w:color w:val="231F20"/>
          <w:spacing w:val="-8"/>
        </w:rPr>
        <w:t xml:space="preserve"> </w:t>
      </w:r>
      <w:r>
        <w:rPr>
          <w:color w:val="231F20"/>
        </w:rPr>
        <w:t>Triple-B</w:t>
      </w:r>
      <w:r>
        <w:rPr>
          <w:color w:val="231F20"/>
          <w:spacing w:val="-8"/>
        </w:rPr>
        <w:t xml:space="preserve"> </w:t>
      </w:r>
      <w:r>
        <w:rPr>
          <w:color w:val="231F20"/>
        </w:rPr>
        <w:t>rating</w:t>
      </w:r>
      <w:r>
        <w:rPr>
          <w:color w:val="231F20"/>
          <w:spacing w:val="-9"/>
        </w:rPr>
        <w:t xml:space="preserve"> </w:t>
      </w:r>
      <w:r>
        <w:rPr>
          <w:color w:val="231F20"/>
        </w:rPr>
        <w:t>and</w:t>
      </w:r>
      <w:r>
        <w:rPr>
          <w:color w:val="231F20"/>
          <w:spacing w:val="-9"/>
        </w:rPr>
        <w:t xml:space="preserve"> </w:t>
      </w:r>
      <w:r>
        <w:rPr>
          <w:color w:val="231F20"/>
        </w:rPr>
        <w:t>to</w:t>
      </w:r>
      <w:r>
        <w:rPr>
          <w:color w:val="231F20"/>
          <w:spacing w:val="-9"/>
        </w:rPr>
        <w:t xml:space="preserve"> </w:t>
      </w:r>
      <w:r>
        <w:rPr>
          <w:color w:val="231F20"/>
        </w:rPr>
        <w:t>obtain sufficient collateral or credit enhancements where appropriate.</w:t>
      </w:r>
    </w:p>
    <w:p w14:paraId="713A8555" w14:textId="77777777" w:rsidR="00345EE3" w:rsidRDefault="00345EE3" w:rsidP="00345EE3">
      <w:pPr>
        <w:pStyle w:val="BodyText"/>
        <w:spacing w:before="119" w:line="242" w:lineRule="auto"/>
        <w:ind w:right="549"/>
      </w:pPr>
      <w:r>
        <w:rPr>
          <w:color w:val="231F20"/>
        </w:rPr>
        <w:t>In addition, Victoria Police does engage in hedging some of its contractual financial assets and</w:t>
      </w:r>
      <w:r>
        <w:rPr>
          <w:color w:val="231F20"/>
          <w:spacing w:val="-10"/>
        </w:rPr>
        <w:t xml:space="preserve"> </w:t>
      </w:r>
      <w:r>
        <w:rPr>
          <w:color w:val="231F20"/>
        </w:rPr>
        <w:t>mainly</w:t>
      </w:r>
      <w:r>
        <w:rPr>
          <w:color w:val="231F20"/>
          <w:spacing w:val="-9"/>
        </w:rPr>
        <w:t xml:space="preserve"> </w:t>
      </w:r>
      <w:r>
        <w:rPr>
          <w:color w:val="231F20"/>
        </w:rPr>
        <w:t>obtains</w:t>
      </w:r>
      <w:r>
        <w:rPr>
          <w:color w:val="231F20"/>
          <w:spacing w:val="-9"/>
        </w:rPr>
        <w:t xml:space="preserve"> </w:t>
      </w:r>
      <w:r>
        <w:rPr>
          <w:color w:val="231F20"/>
        </w:rPr>
        <w:t>contractual</w:t>
      </w:r>
      <w:r>
        <w:rPr>
          <w:color w:val="231F20"/>
          <w:spacing w:val="-10"/>
        </w:rPr>
        <w:t xml:space="preserve"> </w:t>
      </w:r>
      <w:r>
        <w:rPr>
          <w:color w:val="231F20"/>
        </w:rPr>
        <w:t>financial</w:t>
      </w:r>
      <w:r>
        <w:rPr>
          <w:color w:val="231F20"/>
          <w:spacing w:val="-10"/>
        </w:rPr>
        <w:t xml:space="preserve"> </w:t>
      </w:r>
      <w:r>
        <w:rPr>
          <w:color w:val="231F20"/>
        </w:rPr>
        <w:t>assets</w:t>
      </w:r>
      <w:r>
        <w:rPr>
          <w:color w:val="231F20"/>
          <w:spacing w:val="-9"/>
        </w:rPr>
        <w:t xml:space="preserve"> </w:t>
      </w:r>
      <w:r>
        <w:rPr>
          <w:color w:val="231F20"/>
        </w:rPr>
        <w:t>that</w:t>
      </w:r>
      <w:r>
        <w:rPr>
          <w:color w:val="231F20"/>
          <w:spacing w:val="-9"/>
        </w:rPr>
        <w:t xml:space="preserve"> </w:t>
      </w:r>
      <w:r>
        <w:rPr>
          <w:color w:val="231F20"/>
        </w:rPr>
        <w:t>are</w:t>
      </w:r>
      <w:r>
        <w:rPr>
          <w:color w:val="231F20"/>
          <w:spacing w:val="-10"/>
        </w:rPr>
        <w:t xml:space="preserve"> </w:t>
      </w:r>
      <w:r>
        <w:rPr>
          <w:color w:val="231F20"/>
        </w:rPr>
        <w:t>on</w:t>
      </w:r>
      <w:r>
        <w:rPr>
          <w:color w:val="231F20"/>
          <w:spacing w:val="-10"/>
        </w:rPr>
        <w:t xml:space="preserve"> </w:t>
      </w:r>
      <w:r>
        <w:rPr>
          <w:color w:val="231F20"/>
        </w:rPr>
        <w:t>fixed</w:t>
      </w:r>
      <w:r>
        <w:rPr>
          <w:color w:val="231F20"/>
          <w:spacing w:val="-10"/>
        </w:rPr>
        <w:t xml:space="preserve"> </w:t>
      </w:r>
      <w:r>
        <w:rPr>
          <w:color w:val="231F20"/>
        </w:rPr>
        <w:t>interest,</w:t>
      </w:r>
      <w:r>
        <w:rPr>
          <w:color w:val="231F20"/>
          <w:spacing w:val="-9"/>
        </w:rPr>
        <w:t xml:space="preserve"> </w:t>
      </w:r>
      <w:r>
        <w:rPr>
          <w:color w:val="231F20"/>
        </w:rPr>
        <w:t>except</w:t>
      </w:r>
      <w:r>
        <w:rPr>
          <w:color w:val="231F20"/>
          <w:spacing w:val="-9"/>
        </w:rPr>
        <w:t xml:space="preserve"> </w:t>
      </w:r>
      <w:r>
        <w:rPr>
          <w:color w:val="231F20"/>
        </w:rPr>
        <w:t>for</w:t>
      </w:r>
      <w:r>
        <w:rPr>
          <w:color w:val="231F20"/>
          <w:spacing w:val="-9"/>
        </w:rPr>
        <w:t xml:space="preserve"> </w:t>
      </w:r>
      <w:r>
        <w:rPr>
          <w:color w:val="231F20"/>
        </w:rPr>
        <w:t>cash</w:t>
      </w:r>
      <w:r>
        <w:rPr>
          <w:color w:val="231F20"/>
          <w:spacing w:val="-10"/>
        </w:rPr>
        <w:t xml:space="preserve"> </w:t>
      </w:r>
      <w:r>
        <w:rPr>
          <w:color w:val="231F20"/>
        </w:rPr>
        <w:t>and</w:t>
      </w:r>
    </w:p>
    <w:p w14:paraId="6D19FAE6" w14:textId="77777777" w:rsidR="00345EE3" w:rsidRDefault="00345EE3" w:rsidP="00345EE3">
      <w:pPr>
        <w:pStyle w:val="BodyText"/>
        <w:spacing w:before="2" w:line="242" w:lineRule="auto"/>
        <w:ind w:right="115"/>
      </w:pPr>
      <w:r>
        <w:rPr>
          <w:color w:val="231F20"/>
        </w:rPr>
        <w:t>deposits,</w:t>
      </w:r>
      <w:r>
        <w:rPr>
          <w:color w:val="231F20"/>
          <w:spacing w:val="-8"/>
        </w:rPr>
        <w:t xml:space="preserve"> </w:t>
      </w:r>
      <w:r>
        <w:rPr>
          <w:color w:val="231F20"/>
        </w:rPr>
        <w:t>which</w:t>
      </w:r>
      <w:r>
        <w:rPr>
          <w:color w:val="231F20"/>
          <w:spacing w:val="-9"/>
        </w:rPr>
        <w:t xml:space="preserve"> </w:t>
      </w:r>
      <w:r>
        <w:rPr>
          <w:color w:val="231F20"/>
        </w:rPr>
        <w:t>are</w:t>
      </w:r>
      <w:r>
        <w:rPr>
          <w:color w:val="231F20"/>
          <w:spacing w:val="-9"/>
        </w:rPr>
        <w:t xml:space="preserve"> </w:t>
      </w:r>
      <w:r>
        <w:rPr>
          <w:color w:val="231F20"/>
        </w:rPr>
        <w:t>mainly</w:t>
      </w:r>
      <w:r>
        <w:rPr>
          <w:color w:val="231F20"/>
          <w:spacing w:val="-8"/>
        </w:rPr>
        <w:t xml:space="preserve"> </w:t>
      </w:r>
      <w:r>
        <w:rPr>
          <w:color w:val="231F20"/>
        </w:rPr>
        <w:t>cash</w:t>
      </w:r>
      <w:r>
        <w:rPr>
          <w:color w:val="231F20"/>
          <w:spacing w:val="-9"/>
        </w:rPr>
        <w:t xml:space="preserve"> </w:t>
      </w:r>
      <w:r>
        <w:rPr>
          <w:color w:val="231F20"/>
        </w:rPr>
        <w:t>at</w:t>
      </w:r>
      <w:r>
        <w:rPr>
          <w:color w:val="231F20"/>
          <w:spacing w:val="-8"/>
        </w:rPr>
        <w:t xml:space="preserve"> </w:t>
      </w:r>
      <w:r>
        <w:rPr>
          <w:color w:val="231F20"/>
        </w:rPr>
        <w:t>bank.</w:t>
      </w:r>
      <w:r>
        <w:rPr>
          <w:color w:val="231F20"/>
          <w:spacing w:val="-8"/>
        </w:rPr>
        <w:t xml:space="preserve"> </w:t>
      </w:r>
      <w:r>
        <w:rPr>
          <w:color w:val="231F20"/>
        </w:rPr>
        <w:t>As</w:t>
      </w:r>
      <w:r>
        <w:rPr>
          <w:color w:val="231F20"/>
          <w:spacing w:val="-8"/>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policy</w:t>
      </w:r>
      <w:r>
        <w:rPr>
          <w:color w:val="231F20"/>
          <w:spacing w:val="-8"/>
        </w:rPr>
        <w:t xml:space="preserve"> </w:t>
      </w:r>
      <w:r>
        <w:rPr>
          <w:color w:val="231F20"/>
        </w:rPr>
        <w:t>for</w:t>
      </w:r>
      <w:r>
        <w:rPr>
          <w:color w:val="231F20"/>
          <w:spacing w:val="-8"/>
        </w:rPr>
        <w:t xml:space="preserve"> </w:t>
      </w:r>
      <w:r>
        <w:rPr>
          <w:color w:val="231F20"/>
        </w:rPr>
        <w:t>debtors,</w:t>
      </w:r>
      <w:r>
        <w:rPr>
          <w:color w:val="231F20"/>
          <w:spacing w:val="-8"/>
        </w:rPr>
        <w:t xml:space="preserve"> </w:t>
      </w:r>
      <w:r>
        <w:rPr>
          <w:color w:val="231F20"/>
        </w:rPr>
        <w:t>Victoria</w:t>
      </w:r>
      <w:r>
        <w:rPr>
          <w:color w:val="231F20"/>
          <w:spacing w:val="-9"/>
        </w:rPr>
        <w:t xml:space="preserve"> </w:t>
      </w:r>
      <w:r>
        <w:rPr>
          <w:color w:val="231F20"/>
        </w:rPr>
        <w:t>Police’s</w:t>
      </w:r>
      <w:r>
        <w:rPr>
          <w:color w:val="231F20"/>
          <w:spacing w:val="-8"/>
        </w:rPr>
        <w:t xml:space="preserve"> </w:t>
      </w:r>
      <w:r>
        <w:rPr>
          <w:color w:val="231F20"/>
        </w:rPr>
        <w:t>policy</w:t>
      </w:r>
      <w:r>
        <w:rPr>
          <w:color w:val="231F20"/>
          <w:spacing w:val="-8"/>
        </w:rPr>
        <w:t xml:space="preserve"> </w:t>
      </w:r>
      <w:r>
        <w:rPr>
          <w:color w:val="231F20"/>
        </w:rPr>
        <w:t>is to only deal with banks with high credit ratings.</w:t>
      </w:r>
    </w:p>
    <w:p w14:paraId="18BB2E7C" w14:textId="77777777" w:rsidR="00345EE3" w:rsidRDefault="00345EE3" w:rsidP="00345EE3">
      <w:pPr>
        <w:pStyle w:val="BodyText"/>
        <w:spacing w:before="116" w:line="242" w:lineRule="auto"/>
      </w:pPr>
      <w:r>
        <w:rPr>
          <w:color w:val="231F20"/>
        </w:rPr>
        <w:t>Provision of impairment for contractual financial assets is recognised when there is objective evidence</w:t>
      </w:r>
      <w:r>
        <w:rPr>
          <w:color w:val="231F20"/>
          <w:spacing w:val="-5"/>
        </w:rPr>
        <w:t xml:space="preserve"> </w:t>
      </w:r>
      <w:r>
        <w:rPr>
          <w:color w:val="231F20"/>
        </w:rPr>
        <w:t>that</w:t>
      </w:r>
      <w:r>
        <w:rPr>
          <w:color w:val="231F20"/>
          <w:spacing w:val="-4"/>
        </w:rPr>
        <w:t xml:space="preserve"> </w:t>
      </w:r>
      <w:r>
        <w:rPr>
          <w:color w:val="231F20"/>
        </w:rPr>
        <w:t>Victoria</w:t>
      </w:r>
      <w:r>
        <w:rPr>
          <w:color w:val="231F20"/>
          <w:spacing w:val="-5"/>
        </w:rPr>
        <w:t xml:space="preserve"> </w:t>
      </w:r>
      <w:r>
        <w:rPr>
          <w:color w:val="231F20"/>
        </w:rPr>
        <w:t>Police</w:t>
      </w:r>
      <w:r>
        <w:rPr>
          <w:color w:val="231F20"/>
          <w:spacing w:val="-5"/>
        </w:rPr>
        <w:t xml:space="preserve"> </w:t>
      </w:r>
      <w:r>
        <w:rPr>
          <w:color w:val="231F20"/>
        </w:rPr>
        <w:t>will</w:t>
      </w:r>
      <w:r>
        <w:rPr>
          <w:color w:val="231F20"/>
          <w:spacing w:val="-5"/>
        </w:rPr>
        <w:t xml:space="preserve"> </w:t>
      </w:r>
      <w:r>
        <w:rPr>
          <w:color w:val="231F20"/>
        </w:rPr>
        <w:t>not</w:t>
      </w:r>
      <w:r>
        <w:rPr>
          <w:color w:val="231F20"/>
          <w:spacing w:val="-4"/>
        </w:rPr>
        <w:t xml:space="preserve"> </w:t>
      </w:r>
      <w:r>
        <w:rPr>
          <w:color w:val="231F20"/>
        </w:rPr>
        <w:t>be</w:t>
      </w:r>
      <w:r>
        <w:rPr>
          <w:color w:val="231F20"/>
          <w:spacing w:val="-5"/>
        </w:rPr>
        <w:t xml:space="preserve"> </w:t>
      </w:r>
      <w:r>
        <w:rPr>
          <w:color w:val="231F20"/>
        </w:rPr>
        <w:t>able</w:t>
      </w:r>
      <w:r>
        <w:rPr>
          <w:color w:val="231F20"/>
          <w:spacing w:val="-5"/>
        </w:rPr>
        <w:t xml:space="preserve"> </w:t>
      </w:r>
      <w:r>
        <w:rPr>
          <w:color w:val="231F20"/>
        </w:rPr>
        <w:t>to</w:t>
      </w:r>
      <w:r>
        <w:rPr>
          <w:color w:val="231F20"/>
          <w:spacing w:val="-5"/>
        </w:rPr>
        <w:t xml:space="preserve"> </w:t>
      </w:r>
      <w:r>
        <w:rPr>
          <w:color w:val="231F20"/>
        </w:rPr>
        <w:t>collect</w:t>
      </w:r>
      <w:r>
        <w:rPr>
          <w:color w:val="231F20"/>
          <w:spacing w:val="-4"/>
        </w:rPr>
        <w:t xml:space="preserve"> </w:t>
      </w:r>
      <w:r>
        <w:rPr>
          <w:color w:val="231F20"/>
        </w:rPr>
        <w:t>a</w:t>
      </w:r>
      <w:r>
        <w:rPr>
          <w:color w:val="231F20"/>
          <w:spacing w:val="-5"/>
        </w:rPr>
        <w:t xml:space="preserve"> </w:t>
      </w:r>
      <w:r>
        <w:rPr>
          <w:color w:val="231F20"/>
        </w:rPr>
        <w:t>receivable.</w:t>
      </w:r>
      <w:r>
        <w:rPr>
          <w:color w:val="231F20"/>
          <w:spacing w:val="-4"/>
        </w:rPr>
        <w:t xml:space="preserve"> </w:t>
      </w:r>
      <w:r>
        <w:rPr>
          <w:color w:val="231F20"/>
        </w:rPr>
        <w:t>Objective</w:t>
      </w:r>
      <w:r>
        <w:rPr>
          <w:color w:val="231F20"/>
          <w:spacing w:val="-5"/>
        </w:rPr>
        <w:t xml:space="preserve"> </w:t>
      </w:r>
      <w:r>
        <w:rPr>
          <w:color w:val="231F20"/>
        </w:rPr>
        <w:t>evidence</w:t>
      </w:r>
      <w:r>
        <w:rPr>
          <w:color w:val="231F20"/>
          <w:spacing w:val="-5"/>
        </w:rPr>
        <w:t xml:space="preserve"> </w:t>
      </w:r>
      <w:r>
        <w:rPr>
          <w:color w:val="231F20"/>
        </w:rPr>
        <w:t>includes financial</w:t>
      </w:r>
      <w:r>
        <w:rPr>
          <w:color w:val="231F20"/>
          <w:spacing w:val="-12"/>
        </w:rPr>
        <w:t xml:space="preserve"> </w:t>
      </w:r>
      <w:r>
        <w:rPr>
          <w:color w:val="231F20"/>
        </w:rPr>
        <w:t>difficulties</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debtor,</w:t>
      </w:r>
      <w:r>
        <w:rPr>
          <w:color w:val="231F20"/>
          <w:spacing w:val="-11"/>
        </w:rPr>
        <w:t xml:space="preserve"> </w:t>
      </w:r>
      <w:r>
        <w:rPr>
          <w:color w:val="231F20"/>
        </w:rPr>
        <w:t>default</w:t>
      </w:r>
      <w:r>
        <w:rPr>
          <w:color w:val="231F20"/>
          <w:spacing w:val="-11"/>
        </w:rPr>
        <w:t xml:space="preserve"> </w:t>
      </w:r>
      <w:r>
        <w:rPr>
          <w:color w:val="231F20"/>
        </w:rPr>
        <w:t>payments,</w:t>
      </w:r>
      <w:r>
        <w:rPr>
          <w:color w:val="231F20"/>
          <w:spacing w:val="-11"/>
        </w:rPr>
        <w:t xml:space="preserve"> </w:t>
      </w:r>
      <w:r>
        <w:rPr>
          <w:color w:val="231F20"/>
        </w:rPr>
        <w:t>debts</w:t>
      </w:r>
      <w:r>
        <w:rPr>
          <w:color w:val="231F20"/>
          <w:spacing w:val="-11"/>
        </w:rPr>
        <w:t xml:space="preserve"> </w:t>
      </w:r>
      <w:r>
        <w:rPr>
          <w:color w:val="231F20"/>
        </w:rPr>
        <w:t>which</w:t>
      </w:r>
      <w:r>
        <w:rPr>
          <w:color w:val="231F20"/>
          <w:spacing w:val="-12"/>
        </w:rPr>
        <w:t xml:space="preserve"> </w:t>
      </w:r>
      <w:r>
        <w:rPr>
          <w:color w:val="231F20"/>
        </w:rPr>
        <w:t>are</w:t>
      </w:r>
      <w:r>
        <w:rPr>
          <w:color w:val="231F20"/>
          <w:spacing w:val="-12"/>
        </w:rPr>
        <w:t xml:space="preserve"> </w:t>
      </w:r>
      <w:r>
        <w:rPr>
          <w:color w:val="231F20"/>
        </w:rPr>
        <w:t>more</w:t>
      </w:r>
      <w:r>
        <w:rPr>
          <w:color w:val="231F20"/>
          <w:spacing w:val="-12"/>
        </w:rPr>
        <w:t xml:space="preserve"> </w:t>
      </w:r>
      <w:r>
        <w:rPr>
          <w:color w:val="231F20"/>
        </w:rPr>
        <w:t>than</w:t>
      </w:r>
      <w:r>
        <w:rPr>
          <w:color w:val="231F20"/>
          <w:spacing w:val="-12"/>
        </w:rPr>
        <w:t xml:space="preserve"> </w:t>
      </w:r>
      <w:r>
        <w:rPr>
          <w:color w:val="231F20"/>
        </w:rPr>
        <w:t>60</w:t>
      </w:r>
      <w:r>
        <w:rPr>
          <w:color w:val="231F20"/>
          <w:spacing w:val="-12"/>
        </w:rPr>
        <w:t xml:space="preserve"> </w:t>
      </w:r>
      <w:r>
        <w:rPr>
          <w:color w:val="231F20"/>
        </w:rPr>
        <w:t>days</w:t>
      </w:r>
      <w:r>
        <w:rPr>
          <w:color w:val="231F20"/>
          <w:spacing w:val="-11"/>
        </w:rPr>
        <w:t xml:space="preserve"> </w:t>
      </w:r>
      <w:r>
        <w:rPr>
          <w:color w:val="231F20"/>
        </w:rPr>
        <w:t>overdue, and changes in debtor credit ratings.</w:t>
      </w:r>
    </w:p>
    <w:p w14:paraId="5FF3184C" w14:textId="77777777" w:rsidR="00345EE3" w:rsidRDefault="00345EE3" w:rsidP="00345EE3">
      <w:pPr>
        <w:pStyle w:val="BodyText"/>
        <w:spacing w:before="119" w:line="242" w:lineRule="auto"/>
      </w:pPr>
      <w:r>
        <w:rPr>
          <w:color w:val="231F20"/>
        </w:rPr>
        <w:t>Contractual financial assets are written off against the carrying amount when there is no reasonable expectation of recovery. Bad debt written off by mutual consent is classified as a transaction</w:t>
      </w:r>
      <w:r>
        <w:rPr>
          <w:color w:val="231F20"/>
          <w:spacing w:val="-10"/>
        </w:rPr>
        <w:t xml:space="preserve"> </w:t>
      </w:r>
      <w:r>
        <w:rPr>
          <w:color w:val="231F20"/>
        </w:rPr>
        <w:t>expense.</w:t>
      </w:r>
      <w:r>
        <w:rPr>
          <w:color w:val="231F20"/>
          <w:spacing w:val="-9"/>
        </w:rPr>
        <w:t xml:space="preserve"> </w:t>
      </w:r>
      <w:r>
        <w:rPr>
          <w:color w:val="231F20"/>
        </w:rPr>
        <w:t>Bad</w:t>
      </w:r>
      <w:r>
        <w:rPr>
          <w:color w:val="231F20"/>
          <w:spacing w:val="-10"/>
        </w:rPr>
        <w:t xml:space="preserve"> </w:t>
      </w:r>
      <w:r>
        <w:rPr>
          <w:color w:val="231F20"/>
        </w:rPr>
        <w:t>debt</w:t>
      </w:r>
      <w:r>
        <w:rPr>
          <w:color w:val="231F20"/>
          <w:spacing w:val="-9"/>
        </w:rPr>
        <w:t xml:space="preserve"> </w:t>
      </w:r>
      <w:r>
        <w:rPr>
          <w:color w:val="231F20"/>
        </w:rPr>
        <w:t>written</w:t>
      </w:r>
      <w:r>
        <w:rPr>
          <w:color w:val="231F20"/>
          <w:spacing w:val="-10"/>
        </w:rPr>
        <w:t xml:space="preserve"> </w:t>
      </w:r>
      <w:r>
        <w:rPr>
          <w:color w:val="231F20"/>
        </w:rPr>
        <w:t>off</w:t>
      </w:r>
      <w:r>
        <w:rPr>
          <w:color w:val="231F20"/>
          <w:spacing w:val="-9"/>
        </w:rPr>
        <w:t xml:space="preserve"> </w:t>
      </w:r>
      <w:r>
        <w:rPr>
          <w:color w:val="231F20"/>
        </w:rPr>
        <w:t>following</w:t>
      </w:r>
      <w:r>
        <w:rPr>
          <w:color w:val="231F20"/>
          <w:spacing w:val="-10"/>
        </w:rPr>
        <w:t xml:space="preserve"> </w:t>
      </w:r>
      <w:r>
        <w:rPr>
          <w:color w:val="231F20"/>
        </w:rPr>
        <w:t>a</w:t>
      </w:r>
      <w:r>
        <w:rPr>
          <w:color w:val="231F20"/>
          <w:spacing w:val="-10"/>
        </w:rPr>
        <w:t xml:space="preserve"> </w:t>
      </w:r>
      <w:r>
        <w:rPr>
          <w:color w:val="231F20"/>
        </w:rPr>
        <w:t>unilateral</w:t>
      </w:r>
      <w:r>
        <w:rPr>
          <w:color w:val="231F20"/>
          <w:spacing w:val="-10"/>
        </w:rPr>
        <w:t xml:space="preserve"> </w:t>
      </w:r>
      <w:r>
        <w:rPr>
          <w:color w:val="231F20"/>
        </w:rPr>
        <w:t>decision</w:t>
      </w:r>
      <w:r>
        <w:rPr>
          <w:color w:val="231F20"/>
          <w:spacing w:val="-10"/>
        </w:rPr>
        <w:t xml:space="preserve"> </w:t>
      </w:r>
      <w:r>
        <w:rPr>
          <w:color w:val="231F20"/>
        </w:rPr>
        <w:t>is</w:t>
      </w:r>
      <w:r>
        <w:rPr>
          <w:color w:val="231F20"/>
          <w:spacing w:val="-9"/>
        </w:rPr>
        <w:t xml:space="preserve"> </w:t>
      </w:r>
      <w:r>
        <w:rPr>
          <w:color w:val="231F20"/>
        </w:rPr>
        <w:t>recognised</w:t>
      </w:r>
      <w:r>
        <w:rPr>
          <w:color w:val="231F20"/>
          <w:spacing w:val="-10"/>
        </w:rPr>
        <w:t xml:space="preserve"> </w:t>
      </w:r>
      <w:r>
        <w:rPr>
          <w:color w:val="231F20"/>
        </w:rPr>
        <w:t>as</w:t>
      </w:r>
      <w:r>
        <w:rPr>
          <w:color w:val="231F20"/>
          <w:spacing w:val="-9"/>
        </w:rPr>
        <w:t xml:space="preserve"> </w:t>
      </w:r>
      <w:r>
        <w:rPr>
          <w:color w:val="231F20"/>
        </w:rPr>
        <w:t>other economic flows in the net result.</w:t>
      </w:r>
    </w:p>
    <w:p w14:paraId="0BF7FFDE" w14:textId="77777777" w:rsidR="00345EE3" w:rsidRDefault="00345EE3" w:rsidP="00345EE3">
      <w:pPr>
        <w:rPr>
          <w:color w:val="231F20"/>
          <w:sz w:val="24"/>
          <w:szCs w:val="24"/>
        </w:rPr>
      </w:pPr>
      <w:r>
        <w:rPr>
          <w:color w:val="231F20"/>
        </w:rPr>
        <w:br w:type="page"/>
      </w:r>
    </w:p>
    <w:p w14:paraId="441F9C79" w14:textId="77777777" w:rsidR="00345EE3" w:rsidRDefault="00345EE3" w:rsidP="00345EE3">
      <w:pPr>
        <w:pStyle w:val="BodyText"/>
        <w:spacing w:before="119" w:line="242" w:lineRule="auto"/>
      </w:pPr>
      <w:r>
        <w:rPr>
          <w:color w:val="231F20"/>
        </w:rPr>
        <w:t>Except as otherwise detailed in the following table, the carrying amount of contractual financial assets</w:t>
      </w:r>
      <w:r>
        <w:rPr>
          <w:color w:val="231F20"/>
          <w:spacing w:val="-10"/>
        </w:rPr>
        <w:t xml:space="preserve"> </w:t>
      </w:r>
      <w:r>
        <w:rPr>
          <w:color w:val="231F20"/>
        </w:rPr>
        <w:t>recorded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financial</w:t>
      </w:r>
      <w:r>
        <w:rPr>
          <w:color w:val="231F20"/>
          <w:spacing w:val="-11"/>
        </w:rPr>
        <w:t xml:space="preserve"> </w:t>
      </w:r>
      <w:r>
        <w:rPr>
          <w:color w:val="231F20"/>
        </w:rPr>
        <w:t>statements,</w:t>
      </w:r>
      <w:r>
        <w:rPr>
          <w:color w:val="231F20"/>
          <w:spacing w:val="-10"/>
        </w:rPr>
        <w:t xml:space="preserve"> </w:t>
      </w:r>
      <w:r>
        <w:rPr>
          <w:color w:val="231F20"/>
        </w:rPr>
        <w:t>net</w:t>
      </w:r>
      <w:r>
        <w:rPr>
          <w:color w:val="231F20"/>
          <w:spacing w:val="-10"/>
        </w:rPr>
        <w:t xml:space="preserve"> </w:t>
      </w:r>
      <w:r>
        <w:rPr>
          <w:color w:val="231F20"/>
        </w:rPr>
        <w:t>of</w:t>
      </w:r>
      <w:r>
        <w:rPr>
          <w:color w:val="231F20"/>
          <w:spacing w:val="-10"/>
        </w:rPr>
        <w:t xml:space="preserve"> </w:t>
      </w:r>
      <w:r>
        <w:rPr>
          <w:color w:val="231F20"/>
        </w:rPr>
        <w:t>any</w:t>
      </w:r>
      <w:r>
        <w:rPr>
          <w:color w:val="231F20"/>
          <w:spacing w:val="-10"/>
        </w:rPr>
        <w:t xml:space="preserve"> </w:t>
      </w:r>
      <w:r>
        <w:rPr>
          <w:color w:val="231F20"/>
        </w:rPr>
        <w:t>allowances</w:t>
      </w:r>
      <w:r>
        <w:rPr>
          <w:color w:val="231F20"/>
          <w:spacing w:val="-10"/>
        </w:rPr>
        <w:t xml:space="preserve"> </w:t>
      </w:r>
      <w:r>
        <w:rPr>
          <w:color w:val="231F20"/>
        </w:rPr>
        <w:t>for</w:t>
      </w:r>
      <w:r>
        <w:rPr>
          <w:color w:val="231F20"/>
          <w:spacing w:val="-10"/>
        </w:rPr>
        <w:t xml:space="preserve"> </w:t>
      </w:r>
      <w:r>
        <w:rPr>
          <w:color w:val="231F20"/>
        </w:rPr>
        <w:t>losses,</w:t>
      </w:r>
      <w:r>
        <w:rPr>
          <w:color w:val="231F20"/>
          <w:spacing w:val="-10"/>
        </w:rPr>
        <w:t xml:space="preserve"> </w:t>
      </w:r>
      <w:r>
        <w:rPr>
          <w:color w:val="231F20"/>
        </w:rPr>
        <w:t>represents</w:t>
      </w:r>
      <w:r>
        <w:rPr>
          <w:color w:val="231F20"/>
          <w:spacing w:val="-10"/>
        </w:rPr>
        <w:t xml:space="preserve"> </w:t>
      </w:r>
      <w:r>
        <w:rPr>
          <w:color w:val="231F20"/>
        </w:rPr>
        <w:t>Victoria Police’s maximum exposure to credit risk.</w:t>
      </w:r>
    </w:p>
    <w:p w14:paraId="0BC2A9F9" w14:textId="77777777" w:rsidR="00345EE3" w:rsidRDefault="00345EE3" w:rsidP="00345EE3">
      <w:pPr>
        <w:pStyle w:val="BodyText"/>
        <w:spacing w:before="117"/>
        <w:rPr>
          <w:color w:val="231F20"/>
          <w:spacing w:val="-2"/>
        </w:rPr>
      </w:pPr>
      <w:r>
        <w:rPr>
          <w:color w:val="231F20"/>
        </w:rPr>
        <w:t>There</w:t>
      </w:r>
      <w:r>
        <w:rPr>
          <w:color w:val="231F20"/>
          <w:spacing w:val="-11"/>
        </w:rPr>
        <w:t xml:space="preserve"> </w:t>
      </w:r>
      <w:r>
        <w:rPr>
          <w:color w:val="231F20"/>
        </w:rPr>
        <w:t>has</w:t>
      </w:r>
      <w:r>
        <w:rPr>
          <w:color w:val="231F20"/>
          <w:spacing w:val="-7"/>
        </w:rPr>
        <w:t xml:space="preserve"> </w:t>
      </w:r>
      <w:r>
        <w:rPr>
          <w:color w:val="231F20"/>
        </w:rPr>
        <w:t>been</w:t>
      </w:r>
      <w:r>
        <w:rPr>
          <w:color w:val="231F20"/>
          <w:spacing w:val="-9"/>
        </w:rPr>
        <w:t xml:space="preserve"> </w:t>
      </w:r>
      <w:r>
        <w:rPr>
          <w:color w:val="231F20"/>
        </w:rPr>
        <w:t>no</w:t>
      </w:r>
      <w:r>
        <w:rPr>
          <w:color w:val="231F20"/>
          <w:spacing w:val="-8"/>
        </w:rPr>
        <w:t xml:space="preserve"> </w:t>
      </w:r>
      <w:r>
        <w:rPr>
          <w:color w:val="231F20"/>
        </w:rPr>
        <w:t>material</w:t>
      </w:r>
      <w:r>
        <w:rPr>
          <w:color w:val="231F20"/>
          <w:spacing w:val="-8"/>
        </w:rPr>
        <w:t xml:space="preserve"> </w:t>
      </w:r>
      <w:r>
        <w:rPr>
          <w:color w:val="231F20"/>
        </w:rPr>
        <w:t>change</w:t>
      </w:r>
      <w:r>
        <w:rPr>
          <w:color w:val="231F20"/>
          <w:spacing w:val="-9"/>
        </w:rPr>
        <w:t xml:space="preserve"> </w:t>
      </w:r>
      <w:r>
        <w:rPr>
          <w:color w:val="231F20"/>
        </w:rPr>
        <w:t>to</w:t>
      </w:r>
      <w:r>
        <w:rPr>
          <w:color w:val="231F20"/>
          <w:spacing w:val="-8"/>
        </w:rPr>
        <w:t xml:space="preserve"> </w:t>
      </w:r>
      <w:r>
        <w:rPr>
          <w:color w:val="231F20"/>
        </w:rPr>
        <w:t>Victoria</w:t>
      </w:r>
      <w:r>
        <w:rPr>
          <w:color w:val="231F20"/>
          <w:spacing w:val="-8"/>
        </w:rPr>
        <w:t xml:space="preserve"> </w:t>
      </w:r>
      <w:r>
        <w:rPr>
          <w:color w:val="231F20"/>
        </w:rPr>
        <w:t>Police’s</w:t>
      </w:r>
      <w:r>
        <w:rPr>
          <w:color w:val="231F20"/>
          <w:spacing w:val="-8"/>
        </w:rPr>
        <w:t xml:space="preserve"> </w:t>
      </w:r>
      <w:r>
        <w:rPr>
          <w:color w:val="231F20"/>
        </w:rPr>
        <w:t>credit</w:t>
      </w:r>
      <w:r>
        <w:rPr>
          <w:color w:val="231F20"/>
          <w:spacing w:val="-7"/>
        </w:rPr>
        <w:t xml:space="preserve"> </w:t>
      </w:r>
      <w:r>
        <w:rPr>
          <w:color w:val="231F20"/>
        </w:rPr>
        <w:t>risk</w:t>
      </w:r>
      <w:r>
        <w:rPr>
          <w:color w:val="231F20"/>
          <w:spacing w:val="-8"/>
        </w:rPr>
        <w:t xml:space="preserve"> </w:t>
      </w:r>
      <w:r>
        <w:rPr>
          <w:color w:val="231F20"/>
        </w:rPr>
        <w:t>profile</w:t>
      </w:r>
      <w:r>
        <w:rPr>
          <w:color w:val="231F20"/>
          <w:spacing w:val="-8"/>
        </w:rPr>
        <w:t xml:space="preserve"> </w:t>
      </w:r>
      <w:r>
        <w:rPr>
          <w:color w:val="231F20"/>
        </w:rPr>
        <w:t>in</w:t>
      </w:r>
      <w:r>
        <w:rPr>
          <w:color w:val="231F20"/>
          <w:spacing w:val="-8"/>
        </w:rPr>
        <w:t xml:space="preserve"> </w:t>
      </w:r>
      <w:r>
        <w:rPr>
          <w:color w:val="231F20"/>
          <w:spacing w:val="-2"/>
        </w:rPr>
        <w:t>2021–22.</w:t>
      </w:r>
    </w:p>
    <w:p w14:paraId="45FF6B08" w14:textId="77777777" w:rsidR="00345EE3" w:rsidRDefault="00345EE3" w:rsidP="00345EE3">
      <w:pPr>
        <w:pStyle w:val="VicPol-Header5-2022Headings"/>
        <w:ind w:left="142"/>
        <w:rPr>
          <w:b/>
          <w:bCs/>
        </w:rPr>
      </w:pPr>
      <w:r>
        <w:rPr>
          <w:b/>
          <w:bCs/>
        </w:rPr>
        <w:t>Credit Quality of Financial Assets</w:t>
      </w:r>
    </w:p>
    <w:tbl>
      <w:tblPr>
        <w:tblW w:w="10205" w:type="dxa"/>
        <w:tblInd w:w="156" w:type="dxa"/>
        <w:tblLayout w:type="fixed"/>
        <w:tblCellMar>
          <w:left w:w="0" w:type="dxa"/>
          <w:right w:w="0" w:type="dxa"/>
        </w:tblCellMar>
        <w:tblLook w:val="0000" w:firstRow="0" w:lastRow="0" w:firstColumn="0" w:lastColumn="0" w:noHBand="0" w:noVBand="0"/>
      </w:tblPr>
      <w:tblGrid>
        <w:gridCol w:w="4252"/>
        <w:gridCol w:w="964"/>
        <w:gridCol w:w="1304"/>
        <w:gridCol w:w="1417"/>
        <w:gridCol w:w="1134"/>
        <w:gridCol w:w="1134"/>
      </w:tblGrid>
      <w:tr w:rsidR="00345EE3" w:rsidRPr="00FF000C" w14:paraId="60DAF877" w14:textId="77777777" w:rsidTr="00D73130">
        <w:trPr>
          <w:trHeight w:val="60"/>
          <w:tblHeader/>
        </w:trPr>
        <w:tc>
          <w:tcPr>
            <w:tcW w:w="10205" w:type="dxa"/>
            <w:gridSpan w:val="6"/>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72B9E6DF"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F000C">
              <w:rPr>
                <w:rFonts w:eastAsiaTheme="minorHAnsi"/>
                <w:b/>
                <w:bCs/>
                <w:color w:val="FFFFFF"/>
                <w:spacing w:val="-2"/>
                <w:sz w:val="24"/>
                <w:szCs w:val="24"/>
                <w:lang w:val="en-GB"/>
              </w:rPr>
              <w:t>($ thousand)</w:t>
            </w:r>
          </w:p>
        </w:tc>
      </w:tr>
      <w:tr w:rsidR="00345EE3" w:rsidRPr="00FF000C" w14:paraId="55C976B6" w14:textId="77777777" w:rsidTr="00D73130">
        <w:trPr>
          <w:trHeight w:val="60"/>
          <w:tblHeader/>
        </w:trPr>
        <w:tc>
          <w:tcPr>
            <w:tcW w:w="4252"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B7AC605" w14:textId="77777777" w:rsidR="00345EE3" w:rsidRPr="00FF000C"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F000C">
              <w:rPr>
                <w:rFonts w:eastAsiaTheme="minorHAnsi"/>
                <w:b/>
                <w:bCs/>
                <w:color w:val="FFFFFF"/>
                <w:sz w:val="24"/>
                <w:szCs w:val="24"/>
                <w:lang w:val="en-GB"/>
              </w:rPr>
              <w:t>2022</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00B9106"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F000C">
              <w:rPr>
                <w:rFonts w:eastAsiaTheme="minorHAnsi"/>
                <w:b/>
                <w:bCs/>
                <w:color w:val="FFFFFF"/>
                <w:spacing w:val="-2"/>
                <w:sz w:val="24"/>
                <w:szCs w:val="24"/>
                <w:lang w:val="en-GB"/>
              </w:rPr>
              <w:t>Notes</w:t>
            </w:r>
          </w:p>
        </w:tc>
        <w:tc>
          <w:tcPr>
            <w:tcW w:w="130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6C7598A"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F000C">
              <w:rPr>
                <w:rFonts w:eastAsiaTheme="minorHAnsi"/>
                <w:b/>
                <w:bCs/>
                <w:color w:val="FFFFFF"/>
                <w:spacing w:val="-2"/>
                <w:sz w:val="24"/>
                <w:szCs w:val="24"/>
                <w:lang w:val="en-GB"/>
              </w:rPr>
              <w:t>Financial institutions  (double</w:t>
            </w:r>
            <w:r w:rsidRPr="00FF000C">
              <w:rPr>
                <w:rFonts w:ascii="Cambria Math" w:eastAsiaTheme="minorHAnsi" w:hAnsi="Cambria Math" w:cs="Cambria Math"/>
                <w:b/>
                <w:bCs/>
                <w:color w:val="FFFFFF"/>
                <w:spacing w:val="-2"/>
                <w:sz w:val="24"/>
                <w:szCs w:val="24"/>
                <w:lang w:val="en-GB"/>
              </w:rPr>
              <w:t>‑</w:t>
            </w:r>
            <w:r w:rsidRPr="00FF000C">
              <w:rPr>
                <w:rFonts w:eastAsiaTheme="minorHAnsi"/>
                <w:b/>
                <w:bCs/>
                <w:color w:val="FFFFFF"/>
                <w:spacing w:val="-2"/>
                <w:sz w:val="24"/>
                <w:szCs w:val="24"/>
                <w:lang w:val="en-GB"/>
              </w:rPr>
              <w:t>A credit rating)</w:t>
            </w:r>
          </w:p>
        </w:tc>
        <w:tc>
          <w:tcPr>
            <w:tcW w:w="141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8C2CC1C"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F000C">
              <w:rPr>
                <w:rFonts w:eastAsiaTheme="minorHAnsi"/>
                <w:b/>
                <w:bCs/>
                <w:color w:val="FFFFFF"/>
                <w:spacing w:val="-2"/>
                <w:sz w:val="24"/>
                <w:szCs w:val="24"/>
                <w:lang w:val="en-GB"/>
              </w:rPr>
              <w:t>Government agencies (double-A credit rating)</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41D4B3A"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F000C">
              <w:rPr>
                <w:rFonts w:eastAsiaTheme="minorHAnsi"/>
                <w:b/>
                <w:bCs/>
                <w:color w:val="FFFFFF"/>
                <w:spacing w:val="-2"/>
                <w:sz w:val="24"/>
                <w:szCs w:val="24"/>
                <w:lang w:val="en-GB"/>
              </w:rPr>
              <w:t>Other</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52DBD00D"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F000C">
              <w:rPr>
                <w:rFonts w:eastAsiaTheme="minorHAnsi"/>
                <w:b/>
                <w:bCs/>
                <w:color w:val="FFFFFF"/>
                <w:spacing w:val="-2"/>
                <w:sz w:val="24"/>
                <w:szCs w:val="24"/>
                <w:lang w:val="en-GB"/>
              </w:rPr>
              <w:t>Total</w:t>
            </w:r>
          </w:p>
        </w:tc>
      </w:tr>
      <w:tr w:rsidR="00345EE3" w:rsidRPr="00FF000C" w14:paraId="3363F362" w14:textId="77777777" w:rsidTr="00D73130">
        <w:trPr>
          <w:trHeight w:val="60"/>
        </w:trPr>
        <w:tc>
          <w:tcPr>
            <w:tcW w:w="425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CDC04DA" w14:textId="77777777" w:rsidR="00345EE3" w:rsidRPr="00FF000C"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F000C">
              <w:rPr>
                <w:rFonts w:eastAsiaTheme="minorHAnsi"/>
                <w:color w:val="000000"/>
                <w:sz w:val="24"/>
                <w:szCs w:val="24"/>
                <w:lang w:val="en-GB"/>
              </w:rPr>
              <w:t xml:space="preserve">Cash and deposits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FB2E5C8"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7.3</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D25E12D"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3C6C0B"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62,483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099CAA"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9CC0837"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62,483 </w:t>
            </w:r>
          </w:p>
        </w:tc>
      </w:tr>
      <w:tr w:rsidR="00345EE3" w:rsidRPr="00FF000C" w14:paraId="528476CD" w14:textId="77777777" w:rsidTr="00D73130">
        <w:trPr>
          <w:trHeight w:val="60"/>
        </w:trPr>
        <w:tc>
          <w:tcPr>
            <w:tcW w:w="425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C7CC26E" w14:textId="77777777" w:rsidR="00345EE3" w:rsidRPr="00FF000C"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F000C">
              <w:rPr>
                <w:rFonts w:eastAsiaTheme="minorHAnsi"/>
                <w:color w:val="000000"/>
                <w:sz w:val="24"/>
                <w:szCs w:val="24"/>
                <w:lang w:val="en-GB"/>
              </w:rPr>
              <w:t>Derivative financial instruments</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93BC8E7"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6.1</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597490C"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7DA000B"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862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1405FB1"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DA3DDE5"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862 </w:t>
            </w:r>
          </w:p>
        </w:tc>
      </w:tr>
      <w:tr w:rsidR="00345EE3" w:rsidRPr="00FF000C" w14:paraId="23E02838" w14:textId="77777777" w:rsidTr="00D73130">
        <w:trPr>
          <w:trHeight w:val="60"/>
        </w:trPr>
        <w:tc>
          <w:tcPr>
            <w:tcW w:w="4252"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3ECE83CB" w14:textId="77777777" w:rsidR="00345EE3" w:rsidRPr="00FF000C"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F000C">
              <w:rPr>
                <w:rFonts w:eastAsiaTheme="minorHAnsi"/>
                <w:color w:val="000000"/>
                <w:sz w:val="24"/>
                <w:szCs w:val="24"/>
                <w:lang w:val="en-GB"/>
              </w:rPr>
              <w:t>Contractual receivables applying the simplified approach to impairment</w:t>
            </w:r>
          </w:p>
        </w:tc>
        <w:tc>
          <w:tcPr>
            <w:tcW w:w="96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3A2DD1D"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6.1</w:t>
            </w:r>
          </w:p>
        </w:tc>
        <w:tc>
          <w:tcPr>
            <w:tcW w:w="130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A095742"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1 </w:t>
            </w:r>
          </w:p>
        </w:tc>
        <w:tc>
          <w:tcPr>
            <w:tcW w:w="1417"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36561E3"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8,183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368EBF3"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3,540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4B30A2BE"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11,724 </w:t>
            </w:r>
          </w:p>
        </w:tc>
      </w:tr>
      <w:tr w:rsidR="00345EE3" w:rsidRPr="00FF000C" w14:paraId="1EE02D4E" w14:textId="77777777" w:rsidTr="00D73130">
        <w:trPr>
          <w:trHeight w:val="60"/>
        </w:trPr>
        <w:tc>
          <w:tcPr>
            <w:tcW w:w="4252"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6973B3F9" w14:textId="77777777" w:rsidR="00345EE3" w:rsidRPr="00FF000C"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F000C">
              <w:rPr>
                <w:rFonts w:eastAsiaTheme="minorHAnsi"/>
                <w:b/>
                <w:bCs/>
                <w:color w:val="000000"/>
                <w:sz w:val="24"/>
                <w:szCs w:val="24"/>
                <w:lang w:val="en-GB"/>
              </w:rPr>
              <w:t>Total Contractual Financial Assets</w:t>
            </w:r>
          </w:p>
        </w:tc>
        <w:tc>
          <w:tcPr>
            <w:tcW w:w="96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6CC4A2D" w14:textId="77777777" w:rsidR="00345EE3" w:rsidRPr="00FF000C" w:rsidRDefault="00345EE3" w:rsidP="00D73130">
            <w:pPr>
              <w:widowControl/>
              <w:adjustRightInd w:val="0"/>
              <w:rPr>
                <w:rFonts w:eastAsiaTheme="minorHAnsi"/>
                <w:sz w:val="24"/>
                <w:szCs w:val="24"/>
                <w:lang w:val="en-GB"/>
              </w:rPr>
            </w:pPr>
          </w:p>
        </w:tc>
        <w:tc>
          <w:tcPr>
            <w:tcW w:w="130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6465759"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b/>
                <w:bCs/>
                <w:color w:val="000000"/>
                <w:sz w:val="24"/>
                <w:szCs w:val="24"/>
                <w:lang w:val="en-GB"/>
              </w:rPr>
              <w:t xml:space="preserve">1 </w:t>
            </w:r>
          </w:p>
        </w:tc>
        <w:tc>
          <w:tcPr>
            <w:tcW w:w="1417"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4391B13F"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b/>
                <w:bCs/>
                <w:color w:val="000000"/>
                <w:sz w:val="24"/>
                <w:szCs w:val="24"/>
                <w:lang w:val="en-GB"/>
              </w:rPr>
              <w:t xml:space="preserve">71,528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47499567"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b/>
                <w:bCs/>
                <w:color w:val="000000"/>
                <w:sz w:val="24"/>
                <w:szCs w:val="24"/>
                <w:lang w:val="en-GB"/>
              </w:rPr>
              <w:t xml:space="preserve">3,540 </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6CF57040"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b/>
                <w:bCs/>
                <w:color w:val="000000"/>
                <w:sz w:val="24"/>
                <w:szCs w:val="24"/>
                <w:lang w:val="en-GB"/>
              </w:rPr>
              <w:t xml:space="preserve">75,069 </w:t>
            </w:r>
          </w:p>
        </w:tc>
      </w:tr>
    </w:tbl>
    <w:p w14:paraId="1936CC1A" w14:textId="77777777" w:rsidR="00345EE3" w:rsidRPr="00D44B96" w:rsidRDefault="00345EE3" w:rsidP="00345EE3">
      <w:pPr>
        <w:spacing w:before="74"/>
        <w:ind w:left="110"/>
        <w:rPr>
          <w:rFonts w:ascii="Arial-BoldItalicMT"/>
          <w:b/>
          <w:i/>
          <w:sz w:val="18"/>
          <w:szCs w:val="18"/>
        </w:rPr>
      </w:pPr>
      <w:r w:rsidRPr="00D44B96">
        <w:rPr>
          <w:rFonts w:ascii="Arial-BoldItalicMT"/>
          <w:b/>
          <w:i/>
          <w:color w:val="231F20"/>
          <w:spacing w:val="-2"/>
          <w:sz w:val="18"/>
          <w:szCs w:val="18"/>
        </w:rPr>
        <w:t>Note:</w:t>
      </w:r>
    </w:p>
    <w:p w14:paraId="6640AEDA" w14:textId="77777777" w:rsidR="00345EE3" w:rsidRPr="00D44B96" w:rsidRDefault="00345EE3" w:rsidP="00345EE3">
      <w:pPr>
        <w:spacing w:before="28"/>
        <w:ind w:left="110" w:right="115"/>
        <w:rPr>
          <w:sz w:val="18"/>
          <w:szCs w:val="18"/>
        </w:rPr>
      </w:pPr>
      <w:r w:rsidRPr="00D44B96">
        <w:rPr>
          <w:color w:val="231F20"/>
          <w:sz w:val="18"/>
          <w:szCs w:val="18"/>
        </w:rPr>
        <w:t>(a)</w:t>
      </w:r>
      <w:r w:rsidRPr="00D44B96">
        <w:rPr>
          <w:color w:val="231F20"/>
          <w:spacing w:val="29"/>
          <w:sz w:val="18"/>
          <w:szCs w:val="18"/>
        </w:rPr>
        <w:t xml:space="preserve"> </w:t>
      </w:r>
      <w:r w:rsidRPr="00D44B96">
        <w:rPr>
          <w:color w:val="231F20"/>
          <w:sz w:val="18"/>
          <w:szCs w:val="18"/>
        </w:rPr>
        <w:t>The</w:t>
      </w:r>
      <w:r w:rsidRPr="00D44B96">
        <w:rPr>
          <w:color w:val="231F20"/>
          <w:spacing w:val="-1"/>
          <w:sz w:val="18"/>
          <w:szCs w:val="18"/>
        </w:rPr>
        <w:t xml:space="preserve"> </w:t>
      </w:r>
      <w:r w:rsidRPr="00D44B96">
        <w:rPr>
          <w:color w:val="231F20"/>
          <w:sz w:val="18"/>
          <w:szCs w:val="18"/>
        </w:rPr>
        <w:t>total</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disclosed</w:t>
      </w:r>
      <w:r w:rsidRPr="00D44B96">
        <w:rPr>
          <w:color w:val="231F20"/>
          <w:spacing w:val="-1"/>
          <w:sz w:val="18"/>
          <w:szCs w:val="18"/>
        </w:rPr>
        <w:t xml:space="preserve"> </w:t>
      </w:r>
      <w:r w:rsidRPr="00D44B96">
        <w:rPr>
          <w:color w:val="231F20"/>
          <w:sz w:val="18"/>
          <w:szCs w:val="18"/>
        </w:rPr>
        <w:t>here</w:t>
      </w:r>
      <w:r w:rsidRPr="00D44B96">
        <w:rPr>
          <w:color w:val="231F20"/>
          <w:spacing w:val="-1"/>
          <w:sz w:val="18"/>
          <w:szCs w:val="18"/>
        </w:rPr>
        <w:t xml:space="preserve"> </w:t>
      </w:r>
      <w:r w:rsidRPr="00D44B96">
        <w:rPr>
          <w:color w:val="231F20"/>
          <w:sz w:val="18"/>
          <w:szCs w:val="18"/>
        </w:rPr>
        <w:t>exclude</w:t>
      </w:r>
      <w:r w:rsidRPr="00D44B96">
        <w:rPr>
          <w:color w:val="231F20"/>
          <w:spacing w:val="-1"/>
          <w:sz w:val="18"/>
          <w:szCs w:val="18"/>
        </w:rPr>
        <w:t xml:space="preserve"> </w:t>
      </w:r>
      <w:r w:rsidRPr="00D44B96">
        <w:rPr>
          <w:color w:val="231F20"/>
          <w:sz w:val="18"/>
          <w:szCs w:val="18"/>
        </w:rPr>
        <w:t>statutory</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(e.g.</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owing</w:t>
      </w:r>
      <w:r w:rsidRPr="00D44B96">
        <w:rPr>
          <w:color w:val="231F20"/>
          <w:spacing w:val="-1"/>
          <w:sz w:val="18"/>
          <w:szCs w:val="18"/>
        </w:rPr>
        <w:t xml:space="preserve"> </w:t>
      </w:r>
      <w:r w:rsidRPr="00D44B96">
        <w:rPr>
          <w:color w:val="231F20"/>
          <w:sz w:val="18"/>
          <w:szCs w:val="18"/>
        </w:rPr>
        <w:t>from</w:t>
      </w:r>
      <w:r w:rsidRPr="00D44B96">
        <w:rPr>
          <w:color w:val="231F20"/>
          <w:spacing w:val="-1"/>
          <w:sz w:val="18"/>
          <w:szCs w:val="18"/>
        </w:rPr>
        <w:t xml:space="preserve"> </w:t>
      </w:r>
      <w:r w:rsidRPr="00D44B96">
        <w:rPr>
          <w:color w:val="231F20"/>
          <w:sz w:val="18"/>
          <w:szCs w:val="18"/>
        </w:rPr>
        <w:t>Victorian</w:t>
      </w:r>
      <w:r w:rsidRPr="00D44B96">
        <w:rPr>
          <w:color w:val="231F20"/>
          <w:spacing w:val="-1"/>
          <w:sz w:val="18"/>
          <w:szCs w:val="18"/>
        </w:rPr>
        <w:t xml:space="preserve"> </w:t>
      </w:r>
      <w:r w:rsidRPr="00D44B96">
        <w:rPr>
          <w:color w:val="231F20"/>
          <w:sz w:val="18"/>
          <w:szCs w:val="18"/>
        </w:rPr>
        <w:t>Government</w:t>
      </w:r>
      <w:r w:rsidRPr="00D44B96">
        <w:rPr>
          <w:color w:val="231F20"/>
          <w:spacing w:val="-1"/>
          <w:sz w:val="18"/>
          <w:szCs w:val="18"/>
        </w:rPr>
        <w:t xml:space="preserve"> </w:t>
      </w:r>
      <w:r w:rsidRPr="00D44B96">
        <w:rPr>
          <w:color w:val="231F20"/>
          <w:sz w:val="18"/>
          <w:szCs w:val="18"/>
        </w:rPr>
        <w:t>and</w:t>
      </w:r>
      <w:r w:rsidRPr="00D44B96">
        <w:rPr>
          <w:color w:val="231F20"/>
          <w:spacing w:val="-1"/>
          <w:sz w:val="18"/>
          <w:szCs w:val="18"/>
        </w:rPr>
        <w:t xml:space="preserve"> </w:t>
      </w:r>
      <w:r w:rsidRPr="00D44B96">
        <w:rPr>
          <w:color w:val="231F20"/>
          <w:sz w:val="18"/>
          <w:szCs w:val="18"/>
        </w:rPr>
        <w:t>GST</w:t>
      </w:r>
      <w:r w:rsidRPr="00D44B96">
        <w:rPr>
          <w:color w:val="231F20"/>
          <w:spacing w:val="-1"/>
          <w:sz w:val="18"/>
          <w:szCs w:val="18"/>
        </w:rPr>
        <w:t xml:space="preserve"> </w:t>
      </w:r>
      <w:r w:rsidRPr="00D44B96">
        <w:rPr>
          <w:color w:val="231F20"/>
          <w:sz w:val="18"/>
          <w:szCs w:val="18"/>
        </w:rPr>
        <w:t>input</w:t>
      </w:r>
      <w:r w:rsidRPr="00D44B96">
        <w:rPr>
          <w:color w:val="231F20"/>
          <w:spacing w:val="-1"/>
          <w:sz w:val="18"/>
          <w:szCs w:val="18"/>
        </w:rPr>
        <w:t xml:space="preserve"> </w:t>
      </w:r>
      <w:r w:rsidRPr="00D44B96">
        <w:rPr>
          <w:color w:val="231F20"/>
          <w:sz w:val="18"/>
          <w:szCs w:val="18"/>
        </w:rPr>
        <w:t>tax</w:t>
      </w:r>
      <w:r w:rsidRPr="00D44B96">
        <w:rPr>
          <w:color w:val="231F20"/>
          <w:spacing w:val="-1"/>
          <w:sz w:val="18"/>
          <w:szCs w:val="18"/>
        </w:rPr>
        <w:t xml:space="preserve"> </w:t>
      </w:r>
      <w:r w:rsidRPr="00D44B96">
        <w:rPr>
          <w:color w:val="231F20"/>
          <w:sz w:val="18"/>
          <w:szCs w:val="18"/>
        </w:rPr>
        <w:t>credit</w:t>
      </w:r>
      <w:r w:rsidRPr="00D44B96">
        <w:rPr>
          <w:color w:val="231F20"/>
          <w:spacing w:val="-1"/>
          <w:sz w:val="18"/>
          <w:szCs w:val="18"/>
        </w:rPr>
        <w:t xml:space="preserve"> </w:t>
      </w:r>
      <w:r w:rsidRPr="00D44B96">
        <w:rPr>
          <w:color w:val="231F20"/>
          <w:sz w:val="18"/>
          <w:szCs w:val="18"/>
        </w:rPr>
        <w:t>recoveries</w:t>
      </w:r>
      <w:r w:rsidRPr="00D44B96">
        <w:rPr>
          <w:color w:val="231F20"/>
          <w:spacing w:val="-1"/>
          <w:sz w:val="18"/>
          <w:szCs w:val="18"/>
        </w:rPr>
        <w:t xml:space="preserve"> </w:t>
      </w:r>
      <w:r w:rsidRPr="00D44B96">
        <w:rPr>
          <w:color w:val="231F20"/>
          <w:sz w:val="18"/>
          <w:szCs w:val="18"/>
        </w:rPr>
        <w:t>and</w:t>
      </w:r>
      <w:r w:rsidRPr="00D44B96">
        <w:rPr>
          <w:color w:val="231F20"/>
          <w:spacing w:val="-1"/>
          <w:sz w:val="18"/>
          <w:szCs w:val="18"/>
        </w:rPr>
        <w:t xml:space="preserve"> </w:t>
      </w:r>
      <w:r w:rsidRPr="00D44B96">
        <w:rPr>
          <w:color w:val="231F20"/>
          <w:sz w:val="18"/>
          <w:szCs w:val="18"/>
        </w:rPr>
        <w:t>tax</w:t>
      </w:r>
      <w:r w:rsidRPr="00D44B96">
        <w:rPr>
          <w:color w:val="231F20"/>
          <w:spacing w:val="40"/>
          <w:sz w:val="18"/>
          <w:szCs w:val="18"/>
        </w:rPr>
        <w:t xml:space="preserve"> </w:t>
      </w:r>
      <w:r w:rsidRPr="00D44B96">
        <w:rPr>
          <w:color w:val="231F20"/>
          <w:spacing w:val="-2"/>
          <w:sz w:val="18"/>
          <w:szCs w:val="18"/>
        </w:rPr>
        <w:t>payables).</w:t>
      </w:r>
    </w:p>
    <w:p w14:paraId="5A80BDE1" w14:textId="77777777" w:rsidR="00345EE3" w:rsidRDefault="00345EE3" w:rsidP="00345EE3">
      <w:pPr>
        <w:pStyle w:val="BodyText"/>
        <w:spacing w:before="9"/>
        <w:rPr>
          <w:sz w:val="21"/>
        </w:rPr>
      </w:pPr>
    </w:p>
    <w:p w14:paraId="18015508" w14:textId="77777777" w:rsidR="00345EE3" w:rsidRDefault="00345EE3" w:rsidP="00345EE3">
      <w:pPr>
        <w:pStyle w:val="Heading5"/>
        <w:spacing w:before="0"/>
        <w:rPr>
          <w:sz w:val="14"/>
        </w:rPr>
      </w:pPr>
      <w:r>
        <w:rPr>
          <w:color w:val="231F20"/>
        </w:rPr>
        <w:t>Credit</w:t>
      </w:r>
      <w:r>
        <w:rPr>
          <w:color w:val="231F20"/>
          <w:spacing w:val="-3"/>
        </w:rPr>
        <w:t xml:space="preserve"> </w:t>
      </w:r>
      <w:r>
        <w:rPr>
          <w:color w:val="231F20"/>
        </w:rPr>
        <w:t>Quality</w:t>
      </w:r>
      <w:r>
        <w:rPr>
          <w:color w:val="231F20"/>
          <w:spacing w:val="-3"/>
        </w:rPr>
        <w:t xml:space="preserve"> </w:t>
      </w:r>
      <w:r>
        <w:rPr>
          <w:color w:val="231F20"/>
        </w:rPr>
        <w:t>of</w:t>
      </w:r>
      <w:r>
        <w:rPr>
          <w:color w:val="231F20"/>
          <w:spacing w:val="-1"/>
        </w:rPr>
        <w:t xml:space="preserve"> </w:t>
      </w:r>
      <w:r>
        <w:rPr>
          <w:color w:val="231F20"/>
        </w:rPr>
        <w:t>Contractual</w:t>
      </w:r>
      <w:r>
        <w:rPr>
          <w:color w:val="231F20"/>
          <w:spacing w:val="-2"/>
        </w:rPr>
        <w:t xml:space="preserve"> </w:t>
      </w:r>
      <w:r>
        <w:rPr>
          <w:color w:val="231F20"/>
        </w:rPr>
        <w:t>Financial</w:t>
      </w:r>
      <w:r>
        <w:rPr>
          <w:color w:val="231F20"/>
          <w:spacing w:val="-2"/>
        </w:rPr>
        <w:t xml:space="preserve"> </w:t>
      </w:r>
      <w:r>
        <w:rPr>
          <w:color w:val="231F20"/>
        </w:rPr>
        <w:t>Assets</w:t>
      </w:r>
      <w:r>
        <w:rPr>
          <w:color w:val="231F20"/>
          <w:spacing w:val="-3"/>
        </w:rPr>
        <w:t xml:space="preserve"> </w:t>
      </w:r>
      <w:r>
        <w:rPr>
          <w:color w:val="231F20"/>
        </w:rPr>
        <w:t>that</w:t>
      </w:r>
      <w:r>
        <w:rPr>
          <w:color w:val="231F20"/>
          <w:spacing w:val="-2"/>
        </w:rPr>
        <w:t xml:space="preserve"> </w:t>
      </w:r>
      <w:r>
        <w:rPr>
          <w:color w:val="231F20"/>
        </w:rPr>
        <w:t>are</w:t>
      </w:r>
      <w:r>
        <w:rPr>
          <w:color w:val="231F20"/>
          <w:spacing w:val="-3"/>
        </w:rPr>
        <w:t xml:space="preserve"> </w:t>
      </w:r>
      <w:r>
        <w:rPr>
          <w:color w:val="231F20"/>
        </w:rPr>
        <w:t>Neither</w:t>
      </w:r>
      <w:r>
        <w:rPr>
          <w:color w:val="231F20"/>
          <w:spacing w:val="-2"/>
        </w:rPr>
        <w:t xml:space="preserve"> </w:t>
      </w:r>
      <w:r>
        <w:rPr>
          <w:color w:val="231F20"/>
        </w:rPr>
        <w:t>Past</w:t>
      </w:r>
      <w:r>
        <w:rPr>
          <w:color w:val="231F20"/>
          <w:spacing w:val="-2"/>
        </w:rPr>
        <w:t xml:space="preserve"> </w:t>
      </w:r>
      <w:r>
        <w:rPr>
          <w:color w:val="231F20"/>
        </w:rPr>
        <w:t>Due</w:t>
      </w:r>
      <w:r>
        <w:rPr>
          <w:color w:val="231F20"/>
          <w:spacing w:val="-3"/>
        </w:rPr>
        <w:t xml:space="preserve"> </w:t>
      </w:r>
      <w:r>
        <w:rPr>
          <w:color w:val="231F20"/>
        </w:rPr>
        <w:t>Nor</w:t>
      </w:r>
      <w:r>
        <w:rPr>
          <w:color w:val="231F20"/>
          <w:spacing w:val="-2"/>
        </w:rPr>
        <w:t xml:space="preserve"> </w:t>
      </w:r>
      <w:r>
        <w:rPr>
          <w:color w:val="231F20"/>
        </w:rPr>
        <w:t>Impaired</w:t>
      </w:r>
      <w:r>
        <w:rPr>
          <w:color w:val="231F20"/>
          <w:spacing w:val="-28"/>
        </w:rPr>
        <w:t xml:space="preserve"> </w:t>
      </w:r>
      <w:r>
        <w:rPr>
          <w:color w:val="231F20"/>
          <w:spacing w:val="-5"/>
          <w:position w:val="8"/>
          <w:sz w:val="14"/>
        </w:rPr>
        <w:t>(a)</w:t>
      </w:r>
    </w:p>
    <w:p w14:paraId="0627C3CA" w14:textId="77777777" w:rsidR="00345EE3" w:rsidRDefault="00345EE3" w:rsidP="00345EE3">
      <w:pPr>
        <w:pStyle w:val="BodyText"/>
        <w:spacing w:before="7"/>
        <w:rPr>
          <w:b/>
          <w:sz w:val="6"/>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252"/>
        <w:gridCol w:w="964"/>
        <w:gridCol w:w="1304"/>
        <w:gridCol w:w="1417"/>
        <w:gridCol w:w="1134"/>
        <w:gridCol w:w="1134"/>
      </w:tblGrid>
      <w:tr w:rsidR="00345EE3" w14:paraId="082D9812" w14:textId="77777777" w:rsidTr="00D73130">
        <w:trPr>
          <w:trHeight w:val="405"/>
        </w:trPr>
        <w:tc>
          <w:tcPr>
            <w:tcW w:w="10205" w:type="dxa"/>
            <w:gridSpan w:val="6"/>
            <w:tcBorders>
              <w:top w:val="nil"/>
              <w:left w:val="nil"/>
              <w:bottom w:val="nil"/>
              <w:right w:val="nil"/>
            </w:tcBorders>
            <w:shd w:val="clear" w:color="auto" w:fill="00529F"/>
          </w:tcPr>
          <w:p w14:paraId="3E8ED27B"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3BC847AF" w14:textId="77777777" w:rsidTr="00D73130">
        <w:trPr>
          <w:trHeight w:val="1517"/>
        </w:trPr>
        <w:tc>
          <w:tcPr>
            <w:tcW w:w="4252" w:type="dxa"/>
            <w:tcBorders>
              <w:top w:val="nil"/>
              <w:left w:val="nil"/>
              <w:bottom w:val="nil"/>
              <w:right w:val="nil"/>
            </w:tcBorders>
            <w:shd w:val="clear" w:color="auto" w:fill="00529F"/>
          </w:tcPr>
          <w:p w14:paraId="582FA6C8" w14:textId="77777777" w:rsidR="00345EE3" w:rsidRDefault="00345EE3" w:rsidP="00D73130">
            <w:pPr>
              <w:pStyle w:val="TableParagraph"/>
              <w:spacing w:before="59"/>
              <w:jc w:val="left"/>
              <w:rPr>
                <w:b/>
                <w:sz w:val="24"/>
              </w:rPr>
            </w:pPr>
            <w:r>
              <w:rPr>
                <w:b/>
                <w:color w:val="FFFFFF"/>
                <w:spacing w:val="-4"/>
                <w:sz w:val="24"/>
              </w:rPr>
              <w:t>2021</w:t>
            </w:r>
          </w:p>
        </w:tc>
        <w:tc>
          <w:tcPr>
            <w:tcW w:w="964" w:type="dxa"/>
            <w:tcBorders>
              <w:top w:val="nil"/>
              <w:left w:val="nil"/>
              <w:bottom w:val="nil"/>
              <w:right w:val="nil"/>
            </w:tcBorders>
            <w:shd w:val="clear" w:color="auto" w:fill="00529F"/>
          </w:tcPr>
          <w:p w14:paraId="371E21FF" w14:textId="77777777" w:rsidR="00345EE3" w:rsidRDefault="00345EE3" w:rsidP="00D73130">
            <w:pPr>
              <w:pStyle w:val="TableParagraph"/>
              <w:spacing w:before="59"/>
              <w:ind w:right="3"/>
              <w:rPr>
                <w:b/>
                <w:sz w:val="24"/>
              </w:rPr>
            </w:pPr>
            <w:r>
              <w:rPr>
                <w:b/>
                <w:color w:val="FFFFFF"/>
                <w:spacing w:val="-2"/>
                <w:sz w:val="24"/>
              </w:rPr>
              <w:t>Notes</w:t>
            </w:r>
          </w:p>
        </w:tc>
        <w:tc>
          <w:tcPr>
            <w:tcW w:w="1304" w:type="dxa"/>
            <w:tcBorders>
              <w:top w:val="nil"/>
              <w:left w:val="nil"/>
              <w:bottom w:val="nil"/>
              <w:right w:val="nil"/>
            </w:tcBorders>
            <w:shd w:val="clear" w:color="auto" w:fill="00529F"/>
          </w:tcPr>
          <w:p w14:paraId="1A0AF73A" w14:textId="77777777" w:rsidR="00345EE3" w:rsidRDefault="00345EE3" w:rsidP="00D73130">
            <w:pPr>
              <w:pStyle w:val="TableParagraph"/>
              <w:spacing w:before="59" w:line="242" w:lineRule="auto"/>
              <w:ind w:left="34" w:right="-15" w:firstLine="245"/>
              <w:rPr>
                <w:b/>
                <w:sz w:val="24"/>
              </w:rPr>
            </w:pPr>
            <w:r>
              <w:rPr>
                <w:b/>
                <w:color w:val="FFFFFF"/>
                <w:spacing w:val="-2"/>
                <w:sz w:val="24"/>
              </w:rPr>
              <w:t>Financial institutions (double-A</w:t>
            </w:r>
          </w:p>
          <w:p w14:paraId="31BB1967" w14:textId="77777777" w:rsidR="00345EE3" w:rsidRDefault="00345EE3" w:rsidP="00D73130">
            <w:pPr>
              <w:pStyle w:val="TableParagraph"/>
              <w:spacing w:before="4" w:line="242" w:lineRule="auto"/>
              <w:ind w:left="569" w:right="3" w:firstLine="90"/>
              <w:rPr>
                <w:b/>
                <w:sz w:val="24"/>
              </w:rPr>
            </w:pPr>
            <w:r>
              <w:rPr>
                <w:b/>
                <w:color w:val="FFFFFF"/>
                <w:spacing w:val="-4"/>
                <w:sz w:val="24"/>
              </w:rPr>
              <w:t xml:space="preserve">credit </w:t>
            </w:r>
            <w:r>
              <w:rPr>
                <w:b/>
                <w:color w:val="FFFFFF"/>
                <w:spacing w:val="-5"/>
                <w:sz w:val="24"/>
              </w:rPr>
              <w:t>rating)</w:t>
            </w:r>
          </w:p>
        </w:tc>
        <w:tc>
          <w:tcPr>
            <w:tcW w:w="1417" w:type="dxa"/>
            <w:tcBorders>
              <w:top w:val="nil"/>
              <w:left w:val="nil"/>
              <w:bottom w:val="nil"/>
              <w:right w:val="nil"/>
            </w:tcBorders>
            <w:shd w:val="clear" w:color="auto" w:fill="00529F"/>
          </w:tcPr>
          <w:p w14:paraId="71CA5A22" w14:textId="77777777" w:rsidR="00345EE3" w:rsidRDefault="00345EE3" w:rsidP="00D73130">
            <w:pPr>
              <w:pStyle w:val="TableParagraph"/>
              <w:spacing w:before="59" w:line="242" w:lineRule="auto"/>
              <w:ind w:left="404" w:right="-15" w:hanging="382"/>
              <w:rPr>
                <w:b/>
                <w:sz w:val="24"/>
              </w:rPr>
            </w:pPr>
            <w:r>
              <w:rPr>
                <w:b/>
                <w:color w:val="FFFFFF"/>
                <w:spacing w:val="-2"/>
                <w:sz w:val="24"/>
              </w:rPr>
              <w:t>Government agencies (triple-A credit rating)</w:t>
            </w:r>
          </w:p>
        </w:tc>
        <w:tc>
          <w:tcPr>
            <w:tcW w:w="1134" w:type="dxa"/>
            <w:tcBorders>
              <w:top w:val="nil"/>
              <w:left w:val="nil"/>
              <w:bottom w:val="nil"/>
              <w:right w:val="nil"/>
            </w:tcBorders>
            <w:shd w:val="clear" w:color="auto" w:fill="00529F"/>
          </w:tcPr>
          <w:p w14:paraId="7AF0C2C2" w14:textId="77777777" w:rsidR="00345EE3" w:rsidRDefault="00345EE3" w:rsidP="00D73130">
            <w:pPr>
              <w:pStyle w:val="TableParagraph"/>
              <w:spacing w:before="59"/>
              <w:ind w:right="2"/>
              <w:rPr>
                <w:b/>
                <w:sz w:val="24"/>
              </w:rPr>
            </w:pPr>
            <w:r>
              <w:rPr>
                <w:b/>
                <w:color w:val="FFFFFF"/>
                <w:spacing w:val="-2"/>
                <w:sz w:val="24"/>
              </w:rPr>
              <w:t>Other</w:t>
            </w:r>
          </w:p>
        </w:tc>
        <w:tc>
          <w:tcPr>
            <w:tcW w:w="1134" w:type="dxa"/>
            <w:tcBorders>
              <w:top w:val="nil"/>
              <w:left w:val="nil"/>
              <w:bottom w:val="nil"/>
              <w:right w:val="nil"/>
            </w:tcBorders>
            <w:shd w:val="clear" w:color="auto" w:fill="00529F"/>
          </w:tcPr>
          <w:p w14:paraId="016C88C9" w14:textId="77777777" w:rsidR="00345EE3" w:rsidRDefault="00345EE3" w:rsidP="00D73130">
            <w:pPr>
              <w:pStyle w:val="TableParagraph"/>
              <w:spacing w:before="59"/>
              <w:rPr>
                <w:b/>
                <w:sz w:val="24"/>
              </w:rPr>
            </w:pPr>
            <w:r>
              <w:rPr>
                <w:b/>
                <w:color w:val="FFFFFF"/>
                <w:spacing w:val="-2"/>
                <w:sz w:val="24"/>
              </w:rPr>
              <w:t>Total</w:t>
            </w:r>
          </w:p>
        </w:tc>
      </w:tr>
      <w:tr w:rsidR="00345EE3" w14:paraId="01D1E9DA" w14:textId="77777777" w:rsidTr="00D73130">
        <w:trPr>
          <w:trHeight w:val="396"/>
        </w:trPr>
        <w:tc>
          <w:tcPr>
            <w:tcW w:w="4252" w:type="dxa"/>
            <w:tcBorders>
              <w:top w:val="nil"/>
              <w:left w:val="nil"/>
            </w:tcBorders>
          </w:tcPr>
          <w:p w14:paraId="0D72D50D" w14:textId="77777777" w:rsidR="00345EE3" w:rsidRDefault="00345EE3" w:rsidP="00D73130">
            <w:pPr>
              <w:pStyle w:val="TableParagraph"/>
              <w:spacing w:before="61"/>
              <w:ind w:left="-3"/>
              <w:jc w:val="left"/>
              <w:rPr>
                <w:sz w:val="24"/>
              </w:rPr>
            </w:pPr>
            <w:r>
              <w:rPr>
                <w:color w:val="231F20"/>
                <w:sz w:val="24"/>
              </w:rPr>
              <w:t>Cash</w:t>
            </w:r>
            <w:r>
              <w:rPr>
                <w:color w:val="231F20"/>
                <w:spacing w:val="-4"/>
                <w:sz w:val="24"/>
              </w:rPr>
              <w:t xml:space="preserve"> </w:t>
            </w:r>
            <w:r>
              <w:rPr>
                <w:color w:val="231F20"/>
                <w:sz w:val="24"/>
              </w:rPr>
              <w:t>and</w:t>
            </w:r>
            <w:r>
              <w:rPr>
                <w:color w:val="231F20"/>
                <w:spacing w:val="-3"/>
                <w:sz w:val="24"/>
              </w:rPr>
              <w:t xml:space="preserve"> </w:t>
            </w:r>
            <w:r>
              <w:rPr>
                <w:color w:val="231F20"/>
                <w:spacing w:val="-2"/>
                <w:sz w:val="24"/>
              </w:rPr>
              <w:t>deposits</w:t>
            </w:r>
          </w:p>
        </w:tc>
        <w:tc>
          <w:tcPr>
            <w:tcW w:w="964" w:type="dxa"/>
            <w:tcBorders>
              <w:top w:val="nil"/>
            </w:tcBorders>
          </w:tcPr>
          <w:p w14:paraId="096415D0" w14:textId="77777777" w:rsidR="00345EE3" w:rsidRDefault="00345EE3" w:rsidP="00D73130">
            <w:pPr>
              <w:pStyle w:val="TableParagraph"/>
              <w:spacing w:before="61"/>
              <w:rPr>
                <w:sz w:val="24"/>
              </w:rPr>
            </w:pPr>
            <w:r>
              <w:rPr>
                <w:color w:val="231F20"/>
                <w:spacing w:val="-5"/>
                <w:sz w:val="24"/>
              </w:rPr>
              <w:t>7.3</w:t>
            </w:r>
          </w:p>
        </w:tc>
        <w:tc>
          <w:tcPr>
            <w:tcW w:w="1304" w:type="dxa"/>
            <w:tcBorders>
              <w:top w:val="nil"/>
            </w:tcBorders>
          </w:tcPr>
          <w:p w14:paraId="5FA587FB" w14:textId="77777777" w:rsidR="00345EE3" w:rsidRDefault="00345EE3" w:rsidP="00D73130">
            <w:pPr>
              <w:pStyle w:val="TableParagraph"/>
              <w:spacing w:before="61"/>
              <w:ind w:left="66"/>
              <w:jc w:val="left"/>
              <w:rPr>
                <w:sz w:val="24"/>
              </w:rPr>
            </w:pPr>
            <w:r>
              <w:rPr>
                <w:color w:val="231F20"/>
                <w:sz w:val="24"/>
              </w:rPr>
              <w:t>-</w:t>
            </w:r>
          </w:p>
        </w:tc>
        <w:tc>
          <w:tcPr>
            <w:tcW w:w="1417" w:type="dxa"/>
            <w:tcBorders>
              <w:top w:val="nil"/>
            </w:tcBorders>
          </w:tcPr>
          <w:p w14:paraId="6C5E8398" w14:textId="77777777" w:rsidR="00345EE3" w:rsidRDefault="00345EE3" w:rsidP="00D73130">
            <w:pPr>
              <w:pStyle w:val="TableParagraph"/>
              <w:spacing w:before="61"/>
              <w:ind w:right="2"/>
              <w:rPr>
                <w:sz w:val="24"/>
              </w:rPr>
            </w:pPr>
            <w:r>
              <w:rPr>
                <w:color w:val="231F20"/>
                <w:spacing w:val="-2"/>
                <w:sz w:val="24"/>
              </w:rPr>
              <w:t>53,852</w:t>
            </w:r>
          </w:p>
        </w:tc>
        <w:tc>
          <w:tcPr>
            <w:tcW w:w="1134" w:type="dxa"/>
            <w:tcBorders>
              <w:top w:val="nil"/>
            </w:tcBorders>
          </w:tcPr>
          <w:p w14:paraId="00EB4F24" w14:textId="77777777" w:rsidR="00345EE3" w:rsidRDefault="00345EE3" w:rsidP="00D73130">
            <w:pPr>
              <w:pStyle w:val="TableParagraph"/>
              <w:spacing w:before="61"/>
              <w:rPr>
                <w:sz w:val="24"/>
              </w:rPr>
            </w:pPr>
            <w:r>
              <w:rPr>
                <w:color w:val="231F20"/>
                <w:sz w:val="24"/>
              </w:rPr>
              <w:t>-</w:t>
            </w:r>
          </w:p>
        </w:tc>
        <w:tc>
          <w:tcPr>
            <w:tcW w:w="1134" w:type="dxa"/>
            <w:tcBorders>
              <w:top w:val="nil"/>
              <w:right w:val="nil"/>
            </w:tcBorders>
          </w:tcPr>
          <w:p w14:paraId="5E47C15D" w14:textId="77777777" w:rsidR="00345EE3" w:rsidRDefault="00345EE3" w:rsidP="00D73130">
            <w:pPr>
              <w:pStyle w:val="TableParagraph"/>
              <w:spacing w:before="61"/>
              <w:rPr>
                <w:sz w:val="24"/>
              </w:rPr>
            </w:pPr>
            <w:r>
              <w:rPr>
                <w:color w:val="231F20"/>
                <w:spacing w:val="-2"/>
                <w:sz w:val="24"/>
              </w:rPr>
              <w:t>53,852</w:t>
            </w:r>
          </w:p>
        </w:tc>
      </w:tr>
      <w:tr w:rsidR="00345EE3" w14:paraId="578AF26A" w14:textId="77777777" w:rsidTr="00D73130">
        <w:trPr>
          <w:trHeight w:val="396"/>
        </w:trPr>
        <w:tc>
          <w:tcPr>
            <w:tcW w:w="4252" w:type="dxa"/>
            <w:tcBorders>
              <w:left w:val="nil"/>
            </w:tcBorders>
          </w:tcPr>
          <w:p w14:paraId="6D04FFB3" w14:textId="77777777" w:rsidR="00345EE3" w:rsidRDefault="00345EE3" w:rsidP="00D73130">
            <w:pPr>
              <w:pStyle w:val="TableParagraph"/>
              <w:spacing w:before="61"/>
              <w:ind w:left="-3"/>
              <w:jc w:val="left"/>
              <w:rPr>
                <w:sz w:val="24"/>
              </w:rPr>
            </w:pPr>
            <w:r>
              <w:rPr>
                <w:color w:val="231F20"/>
                <w:sz w:val="24"/>
              </w:rPr>
              <w:t>Derivative</w:t>
            </w:r>
            <w:r>
              <w:rPr>
                <w:color w:val="231F20"/>
                <w:spacing w:val="-6"/>
                <w:sz w:val="24"/>
              </w:rPr>
              <w:t xml:space="preserve"> </w:t>
            </w:r>
            <w:r>
              <w:rPr>
                <w:color w:val="231F20"/>
                <w:sz w:val="24"/>
              </w:rPr>
              <w:t>financial</w:t>
            </w:r>
            <w:r>
              <w:rPr>
                <w:color w:val="231F20"/>
                <w:spacing w:val="-4"/>
                <w:sz w:val="24"/>
              </w:rPr>
              <w:t xml:space="preserve"> </w:t>
            </w:r>
            <w:r>
              <w:rPr>
                <w:color w:val="231F20"/>
                <w:spacing w:val="-2"/>
                <w:sz w:val="24"/>
              </w:rPr>
              <w:t>instruments</w:t>
            </w:r>
          </w:p>
        </w:tc>
        <w:tc>
          <w:tcPr>
            <w:tcW w:w="964" w:type="dxa"/>
          </w:tcPr>
          <w:p w14:paraId="73D25603" w14:textId="77777777" w:rsidR="00345EE3" w:rsidRDefault="00345EE3" w:rsidP="00D73130">
            <w:pPr>
              <w:pStyle w:val="TableParagraph"/>
              <w:spacing w:before="61"/>
              <w:rPr>
                <w:sz w:val="24"/>
              </w:rPr>
            </w:pPr>
            <w:r>
              <w:rPr>
                <w:color w:val="231F20"/>
                <w:spacing w:val="-5"/>
                <w:sz w:val="24"/>
              </w:rPr>
              <w:t>6.1</w:t>
            </w:r>
          </w:p>
        </w:tc>
        <w:tc>
          <w:tcPr>
            <w:tcW w:w="1304" w:type="dxa"/>
          </w:tcPr>
          <w:p w14:paraId="673A95B7" w14:textId="77777777" w:rsidR="00345EE3" w:rsidRDefault="00345EE3" w:rsidP="00D73130">
            <w:pPr>
              <w:pStyle w:val="TableParagraph"/>
              <w:spacing w:before="61"/>
              <w:ind w:left="66"/>
              <w:jc w:val="left"/>
              <w:rPr>
                <w:sz w:val="24"/>
              </w:rPr>
            </w:pPr>
            <w:r>
              <w:rPr>
                <w:color w:val="231F20"/>
                <w:sz w:val="24"/>
              </w:rPr>
              <w:t>-</w:t>
            </w:r>
          </w:p>
        </w:tc>
        <w:tc>
          <w:tcPr>
            <w:tcW w:w="1417" w:type="dxa"/>
          </w:tcPr>
          <w:p w14:paraId="4D8E8B96" w14:textId="77777777" w:rsidR="00345EE3" w:rsidRDefault="00345EE3" w:rsidP="00D73130">
            <w:pPr>
              <w:pStyle w:val="TableParagraph"/>
              <w:spacing w:before="61"/>
              <w:rPr>
                <w:sz w:val="24"/>
              </w:rPr>
            </w:pPr>
            <w:r>
              <w:rPr>
                <w:color w:val="231F20"/>
                <w:spacing w:val="-5"/>
                <w:sz w:val="24"/>
              </w:rPr>
              <w:t>304</w:t>
            </w:r>
          </w:p>
        </w:tc>
        <w:tc>
          <w:tcPr>
            <w:tcW w:w="1134" w:type="dxa"/>
          </w:tcPr>
          <w:p w14:paraId="708DC7DD" w14:textId="77777777" w:rsidR="00345EE3" w:rsidRDefault="00345EE3" w:rsidP="00D73130">
            <w:pPr>
              <w:pStyle w:val="TableParagraph"/>
              <w:spacing w:before="61"/>
              <w:rPr>
                <w:sz w:val="24"/>
              </w:rPr>
            </w:pPr>
            <w:r>
              <w:rPr>
                <w:color w:val="231F20"/>
                <w:sz w:val="24"/>
              </w:rPr>
              <w:t>-</w:t>
            </w:r>
          </w:p>
        </w:tc>
        <w:tc>
          <w:tcPr>
            <w:tcW w:w="1134" w:type="dxa"/>
            <w:tcBorders>
              <w:right w:val="nil"/>
            </w:tcBorders>
          </w:tcPr>
          <w:p w14:paraId="0A396957" w14:textId="77777777" w:rsidR="00345EE3" w:rsidRDefault="00345EE3" w:rsidP="00D73130">
            <w:pPr>
              <w:pStyle w:val="TableParagraph"/>
              <w:spacing w:before="61"/>
              <w:rPr>
                <w:sz w:val="24"/>
              </w:rPr>
            </w:pPr>
            <w:r>
              <w:rPr>
                <w:color w:val="231F20"/>
                <w:spacing w:val="-5"/>
                <w:sz w:val="24"/>
              </w:rPr>
              <w:t>304</w:t>
            </w:r>
          </w:p>
        </w:tc>
      </w:tr>
      <w:tr w:rsidR="00345EE3" w14:paraId="36F2755E" w14:textId="77777777" w:rsidTr="00D73130">
        <w:trPr>
          <w:trHeight w:val="673"/>
        </w:trPr>
        <w:tc>
          <w:tcPr>
            <w:tcW w:w="4252" w:type="dxa"/>
            <w:tcBorders>
              <w:left w:val="nil"/>
              <w:bottom w:val="single" w:sz="4" w:space="0" w:color="231F20"/>
            </w:tcBorders>
          </w:tcPr>
          <w:p w14:paraId="0882B51D" w14:textId="77777777" w:rsidR="00345EE3" w:rsidRDefault="00345EE3" w:rsidP="00D73130">
            <w:pPr>
              <w:pStyle w:val="TableParagraph"/>
              <w:spacing w:before="61" w:line="242" w:lineRule="auto"/>
              <w:ind w:left="-3"/>
              <w:jc w:val="left"/>
              <w:rPr>
                <w:sz w:val="24"/>
              </w:rPr>
            </w:pPr>
            <w:r>
              <w:rPr>
                <w:color w:val="231F20"/>
                <w:sz w:val="24"/>
              </w:rPr>
              <w:t>Contractual</w:t>
            </w:r>
            <w:r>
              <w:rPr>
                <w:color w:val="231F20"/>
                <w:spacing w:val="-13"/>
                <w:sz w:val="24"/>
              </w:rPr>
              <w:t xml:space="preserve"> </w:t>
            </w:r>
            <w:r>
              <w:rPr>
                <w:color w:val="231F20"/>
                <w:sz w:val="24"/>
              </w:rPr>
              <w:t>receivables</w:t>
            </w:r>
            <w:r>
              <w:rPr>
                <w:color w:val="231F20"/>
                <w:spacing w:val="-12"/>
                <w:sz w:val="24"/>
              </w:rPr>
              <w:t xml:space="preserve"> </w:t>
            </w:r>
            <w:r>
              <w:rPr>
                <w:color w:val="231F20"/>
                <w:sz w:val="24"/>
              </w:rPr>
              <w:t>applying</w:t>
            </w:r>
            <w:r>
              <w:rPr>
                <w:color w:val="231F20"/>
                <w:spacing w:val="-13"/>
                <w:sz w:val="24"/>
              </w:rPr>
              <w:t xml:space="preserve"> </w:t>
            </w:r>
            <w:r>
              <w:rPr>
                <w:color w:val="231F20"/>
                <w:sz w:val="24"/>
              </w:rPr>
              <w:t>the simplified approach to impairment</w:t>
            </w:r>
          </w:p>
        </w:tc>
        <w:tc>
          <w:tcPr>
            <w:tcW w:w="964" w:type="dxa"/>
            <w:tcBorders>
              <w:bottom w:val="single" w:sz="4" w:space="0" w:color="231F20"/>
            </w:tcBorders>
          </w:tcPr>
          <w:p w14:paraId="196ABC88" w14:textId="77777777" w:rsidR="00345EE3" w:rsidRDefault="00345EE3" w:rsidP="00D73130">
            <w:pPr>
              <w:pStyle w:val="TableParagraph"/>
              <w:spacing w:before="61"/>
              <w:rPr>
                <w:sz w:val="24"/>
              </w:rPr>
            </w:pPr>
            <w:r>
              <w:rPr>
                <w:color w:val="231F20"/>
                <w:spacing w:val="-5"/>
                <w:sz w:val="24"/>
              </w:rPr>
              <w:t>6.1</w:t>
            </w:r>
          </w:p>
        </w:tc>
        <w:tc>
          <w:tcPr>
            <w:tcW w:w="1304" w:type="dxa"/>
            <w:tcBorders>
              <w:bottom w:val="single" w:sz="4" w:space="0" w:color="231F20"/>
            </w:tcBorders>
          </w:tcPr>
          <w:p w14:paraId="2ECF5A37" w14:textId="77777777" w:rsidR="00345EE3" w:rsidRDefault="00345EE3" w:rsidP="00D73130">
            <w:pPr>
              <w:pStyle w:val="TableParagraph"/>
              <w:spacing w:before="61"/>
              <w:ind w:left="66"/>
              <w:jc w:val="left"/>
              <w:rPr>
                <w:sz w:val="24"/>
              </w:rPr>
            </w:pPr>
            <w:r>
              <w:rPr>
                <w:color w:val="231F20"/>
                <w:sz w:val="24"/>
              </w:rPr>
              <w:t>-</w:t>
            </w:r>
          </w:p>
        </w:tc>
        <w:tc>
          <w:tcPr>
            <w:tcW w:w="1417" w:type="dxa"/>
            <w:tcBorders>
              <w:bottom w:val="single" w:sz="4" w:space="0" w:color="231F20"/>
            </w:tcBorders>
          </w:tcPr>
          <w:p w14:paraId="63C4BB48" w14:textId="77777777" w:rsidR="00345EE3" w:rsidRDefault="00345EE3" w:rsidP="00D73130">
            <w:pPr>
              <w:pStyle w:val="TableParagraph"/>
              <w:spacing w:before="61"/>
              <w:ind w:right="2"/>
              <w:rPr>
                <w:sz w:val="24"/>
              </w:rPr>
            </w:pPr>
            <w:r>
              <w:rPr>
                <w:color w:val="231F20"/>
                <w:spacing w:val="-2"/>
                <w:sz w:val="24"/>
              </w:rPr>
              <w:t>12,736</w:t>
            </w:r>
          </w:p>
        </w:tc>
        <w:tc>
          <w:tcPr>
            <w:tcW w:w="1134" w:type="dxa"/>
            <w:tcBorders>
              <w:bottom w:val="single" w:sz="4" w:space="0" w:color="231F20"/>
            </w:tcBorders>
          </w:tcPr>
          <w:p w14:paraId="0D51A80E" w14:textId="77777777" w:rsidR="00345EE3" w:rsidRDefault="00345EE3" w:rsidP="00D73130">
            <w:pPr>
              <w:pStyle w:val="TableParagraph"/>
              <w:spacing w:before="61"/>
              <w:rPr>
                <w:sz w:val="24"/>
              </w:rPr>
            </w:pPr>
            <w:r>
              <w:rPr>
                <w:color w:val="231F20"/>
                <w:spacing w:val="-2"/>
                <w:sz w:val="24"/>
              </w:rPr>
              <w:t>2,916</w:t>
            </w:r>
          </w:p>
        </w:tc>
        <w:tc>
          <w:tcPr>
            <w:tcW w:w="1134" w:type="dxa"/>
            <w:tcBorders>
              <w:bottom w:val="single" w:sz="4" w:space="0" w:color="231F20"/>
              <w:right w:val="nil"/>
            </w:tcBorders>
          </w:tcPr>
          <w:p w14:paraId="10A8CDF9" w14:textId="77777777" w:rsidR="00345EE3" w:rsidRDefault="00345EE3" w:rsidP="00D73130">
            <w:pPr>
              <w:pStyle w:val="TableParagraph"/>
              <w:spacing w:before="61"/>
              <w:rPr>
                <w:sz w:val="24"/>
              </w:rPr>
            </w:pPr>
            <w:r>
              <w:rPr>
                <w:color w:val="231F20"/>
                <w:spacing w:val="-2"/>
                <w:sz w:val="24"/>
              </w:rPr>
              <w:t>15,652</w:t>
            </w:r>
          </w:p>
        </w:tc>
      </w:tr>
      <w:tr w:rsidR="00345EE3" w14:paraId="51B5D4A6" w14:textId="77777777" w:rsidTr="00D73130">
        <w:trPr>
          <w:trHeight w:val="386"/>
        </w:trPr>
        <w:tc>
          <w:tcPr>
            <w:tcW w:w="4252" w:type="dxa"/>
            <w:tcBorders>
              <w:top w:val="single" w:sz="4" w:space="0" w:color="231F20"/>
              <w:left w:val="nil"/>
              <w:bottom w:val="single" w:sz="8" w:space="0" w:color="231F20"/>
            </w:tcBorders>
          </w:tcPr>
          <w:p w14:paraId="0E8D5B90" w14:textId="77777777" w:rsidR="00345EE3" w:rsidRDefault="00345EE3" w:rsidP="00D73130">
            <w:pPr>
              <w:pStyle w:val="TableParagraph"/>
              <w:spacing w:before="58"/>
              <w:ind w:left="-3"/>
              <w:jc w:val="left"/>
              <w:rPr>
                <w:b/>
                <w:sz w:val="24"/>
              </w:rPr>
            </w:pPr>
            <w:r>
              <w:rPr>
                <w:b/>
                <w:color w:val="231F20"/>
                <w:sz w:val="24"/>
              </w:rPr>
              <w:t>Total</w:t>
            </w:r>
            <w:r>
              <w:rPr>
                <w:b/>
                <w:color w:val="231F20"/>
                <w:spacing w:val="-12"/>
                <w:sz w:val="24"/>
              </w:rPr>
              <w:t xml:space="preserve"> </w:t>
            </w:r>
            <w:r>
              <w:rPr>
                <w:b/>
                <w:color w:val="231F20"/>
                <w:sz w:val="24"/>
              </w:rPr>
              <w:t>Contractual</w:t>
            </w:r>
            <w:r>
              <w:rPr>
                <w:b/>
                <w:color w:val="231F20"/>
                <w:spacing w:val="-11"/>
                <w:sz w:val="24"/>
              </w:rPr>
              <w:t xml:space="preserve"> </w:t>
            </w:r>
            <w:r>
              <w:rPr>
                <w:b/>
                <w:color w:val="231F20"/>
                <w:sz w:val="24"/>
              </w:rPr>
              <w:t>Financial</w:t>
            </w:r>
            <w:r>
              <w:rPr>
                <w:b/>
                <w:color w:val="231F20"/>
                <w:spacing w:val="-16"/>
                <w:sz w:val="24"/>
              </w:rPr>
              <w:t xml:space="preserve"> </w:t>
            </w:r>
            <w:r>
              <w:rPr>
                <w:b/>
                <w:color w:val="231F20"/>
                <w:spacing w:val="-2"/>
                <w:sz w:val="24"/>
              </w:rPr>
              <w:t>Assets</w:t>
            </w:r>
          </w:p>
        </w:tc>
        <w:tc>
          <w:tcPr>
            <w:tcW w:w="964" w:type="dxa"/>
            <w:tcBorders>
              <w:top w:val="single" w:sz="4" w:space="0" w:color="231F20"/>
              <w:bottom w:val="single" w:sz="8" w:space="0" w:color="231F20"/>
            </w:tcBorders>
          </w:tcPr>
          <w:p w14:paraId="5FFE5091" w14:textId="77777777" w:rsidR="00345EE3" w:rsidRDefault="00345EE3" w:rsidP="00D73130">
            <w:pPr>
              <w:pStyle w:val="TableParagraph"/>
              <w:spacing w:before="0"/>
              <w:jc w:val="left"/>
              <w:rPr>
                <w:rFonts w:ascii="Times New Roman"/>
              </w:rPr>
            </w:pPr>
          </w:p>
        </w:tc>
        <w:tc>
          <w:tcPr>
            <w:tcW w:w="1304" w:type="dxa"/>
            <w:tcBorders>
              <w:top w:val="single" w:sz="4" w:space="0" w:color="231F20"/>
              <w:bottom w:val="single" w:sz="8" w:space="0" w:color="231F20"/>
            </w:tcBorders>
          </w:tcPr>
          <w:p w14:paraId="3A65BFCA" w14:textId="77777777" w:rsidR="00345EE3" w:rsidRDefault="00345EE3" w:rsidP="00D73130">
            <w:pPr>
              <w:pStyle w:val="TableParagraph"/>
              <w:spacing w:before="58"/>
              <w:ind w:left="66"/>
              <w:jc w:val="left"/>
              <w:rPr>
                <w:b/>
                <w:sz w:val="24"/>
              </w:rPr>
            </w:pPr>
            <w:r>
              <w:rPr>
                <w:b/>
                <w:color w:val="231F20"/>
                <w:sz w:val="24"/>
              </w:rPr>
              <w:t>-</w:t>
            </w:r>
          </w:p>
        </w:tc>
        <w:tc>
          <w:tcPr>
            <w:tcW w:w="1417" w:type="dxa"/>
            <w:tcBorders>
              <w:top w:val="single" w:sz="4" w:space="0" w:color="231F20"/>
              <w:bottom w:val="single" w:sz="8" w:space="0" w:color="231F20"/>
            </w:tcBorders>
          </w:tcPr>
          <w:p w14:paraId="6C7B7E8C" w14:textId="77777777" w:rsidR="00345EE3" w:rsidRDefault="00345EE3" w:rsidP="00D73130">
            <w:pPr>
              <w:pStyle w:val="TableParagraph"/>
              <w:spacing w:before="58"/>
              <w:rPr>
                <w:b/>
                <w:sz w:val="24"/>
              </w:rPr>
            </w:pPr>
            <w:r>
              <w:rPr>
                <w:b/>
                <w:color w:val="231F20"/>
                <w:spacing w:val="-2"/>
                <w:sz w:val="24"/>
              </w:rPr>
              <w:t>66,892</w:t>
            </w:r>
          </w:p>
        </w:tc>
        <w:tc>
          <w:tcPr>
            <w:tcW w:w="1134" w:type="dxa"/>
            <w:tcBorders>
              <w:top w:val="single" w:sz="4" w:space="0" w:color="231F20"/>
              <w:bottom w:val="single" w:sz="8" w:space="0" w:color="231F20"/>
            </w:tcBorders>
          </w:tcPr>
          <w:p w14:paraId="58B2BCB7" w14:textId="77777777" w:rsidR="00345EE3" w:rsidRDefault="00345EE3" w:rsidP="00D73130">
            <w:pPr>
              <w:pStyle w:val="TableParagraph"/>
              <w:spacing w:before="58"/>
              <w:rPr>
                <w:b/>
                <w:sz w:val="24"/>
              </w:rPr>
            </w:pPr>
            <w:r>
              <w:rPr>
                <w:b/>
                <w:color w:val="231F20"/>
                <w:spacing w:val="-2"/>
                <w:sz w:val="24"/>
              </w:rPr>
              <w:t>2,916</w:t>
            </w:r>
          </w:p>
        </w:tc>
        <w:tc>
          <w:tcPr>
            <w:tcW w:w="1134" w:type="dxa"/>
            <w:tcBorders>
              <w:top w:val="single" w:sz="4" w:space="0" w:color="231F20"/>
              <w:bottom w:val="single" w:sz="8" w:space="0" w:color="231F20"/>
              <w:right w:val="nil"/>
            </w:tcBorders>
          </w:tcPr>
          <w:p w14:paraId="5BFE9C0F" w14:textId="77777777" w:rsidR="00345EE3" w:rsidRDefault="00345EE3" w:rsidP="00D73130">
            <w:pPr>
              <w:pStyle w:val="TableParagraph"/>
              <w:spacing w:before="58"/>
              <w:ind w:right="-15"/>
              <w:rPr>
                <w:b/>
                <w:sz w:val="24"/>
              </w:rPr>
            </w:pPr>
            <w:r>
              <w:rPr>
                <w:b/>
                <w:color w:val="231F20"/>
                <w:spacing w:val="-2"/>
                <w:sz w:val="24"/>
              </w:rPr>
              <w:t>69,808</w:t>
            </w:r>
          </w:p>
        </w:tc>
      </w:tr>
    </w:tbl>
    <w:p w14:paraId="47ABBF0B" w14:textId="77777777" w:rsidR="00345EE3" w:rsidRPr="00D44B96" w:rsidRDefault="00345EE3" w:rsidP="00345EE3">
      <w:pPr>
        <w:spacing w:before="76"/>
        <w:ind w:left="110"/>
        <w:rPr>
          <w:rFonts w:ascii="Arial-BoldItalicMT"/>
          <w:b/>
          <w:i/>
          <w:sz w:val="18"/>
          <w:szCs w:val="18"/>
        </w:rPr>
      </w:pPr>
      <w:r w:rsidRPr="00D44B96">
        <w:rPr>
          <w:rFonts w:ascii="Arial-BoldItalicMT"/>
          <w:b/>
          <w:i/>
          <w:color w:val="231F20"/>
          <w:spacing w:val="-2"/>
          <w:sz w:val="18"/>
          <w:szCs w:val="18"/>
        </w:rPr>
        <w:t>Note:</w:t>
      </w:r>
    </w:p>
    <w:p w14:paraId="22CCE190" w14:textId="77777777" w:rsidR="00345EE3" w:rsidRPr="00D44B96" w:rsidRDefault="00345EE3" w:rsidP="00345EE3">
      <w:pPr>
        <w:spacing w:before="27"/>
        <w:ind w:left="110" w:right="115"/>
        <w:rPr>
          <w:sz w:val="18"/>
          <w:szCs w:val="18"/>
        </w:rPr>
      </w:pPr>
      <w:r w:rsidRPr="00D44B96">
        <w:rPr>
          <w:color w:val="231F20"/>
          <w:sz w:val="18"/>
          <w:szCs w:val="18"/>
        </w:rPr>
        <w:t>(a)</w:t>
      </w:r>
      <w:r w:rsidRPr="00D44B96">
        <w:rPr>
          <w:color w:val="231F20"/>
          <w:spacing w:val="29"/>
          <w:sz w:val="18"/>
          <w:szCs w:val="18"/>
        </w:rPr>
        <w:t xml:space="preserve"> </w:t>
      </w:r>
      <w:r w:rsidRPr="00D44B96">
        <w:rPr>
          <w:color w:val="231F20"/>
          <w:sz w:val="18"/>
          <w:szCs w:val="18"/>
        </w:rPr>
        <w:t>The</w:t>
      </w:r>
      <w:r w:rsidRPr="00D44B96">
        <w:rPr>
          <w:color w:val="231F20"/>
          <w:spacing w:val="-1"/>
          <w:sz w:val="18"/>
          <w:szCs w:val="18"/>
        </w:rPr>
        <w:t xml:space="preserve"> </w:t>
      </w:r>
      <w:r w:rsidRPr="00D44B96">
        <w:rPr>
          <w:color w:val="231F20"/>
          <w:sz w:val="18"/>
          <w:szCs w:val="18"/>
        </w:rPr>
        <w:t>total</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disclosed</w:t>
      </w:r>
      <w:r w:rsidRPr="00D44B96">
        <w:rPr>
          <w:color w:val="231F20"/>
          <w:spacing w:val="-1"/>
          <w:sz w:val="18"/>
          <w:szCs w:val="18"/>
        </w:rPr>
        <w:t xml:space="preserve"> </w:t>
      </w:r>
      <w:r w:rsidRPr="00D44B96">
        <w:rPr>
          <w:color w:val="231F20"/>
          <w:sz w:val="18"/>
          <w:szCs w:val="18"/>
        </w:rPr>
        <w:t>here</w:t>
      </w:r>
      <w:r w:rsidRPr="00D44B96">
        <w:rPr>
          <w:color w:val="231F20"/>
          <w:spacing w:val="-1"/>
          <w:sz w:val="18"/>
          <w:szCs w:val="18"/>
        </w:rPr>
        <w:t xml:space="preserve"> </w:t>
      </w:r>
      <w:r w:rsidRPr="00D44B96">
        <w:rPr>
          <w:color w:val="231F20"/>
          <w:sz w:val="18"/>
          <w:szCs w:val="18"/>
        </w:rPr>
        <w:t>exclude</w:t>
      </w:r>
      <w:r w:rsidRPr="00D44B96">
        <w:rPr>
          <w:color w:val="231F20"/>
          <w:spacing w:val="-1"/>
          <w:sz w:val="18"/>
          <w:szCs w:val="18"/>
        </w:rPr>
        <w:t xml:space="preserve"> </w:t>
      </w:r>
      <w:r w:rsidRPr="00D44B96">
        <w:rPr>
          <w:color w:val="231F20"/>
          <w:sz w:val="18"/>
          <w:szCs w:val="18"/>
        </w:rPr>
        <w:t>statutory</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(e.g.</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owing</w:t>
      </w:r>
      <w:r w:rsidRPr="00D44B96">
        <w:rPr>
          <w:color w:val="231F20"/>
          <w:spacing w:val="-1"/>
          <w:sz w:val="18"/>
          <w:szCs w:val="18"/>
        </w:rPr>
        <w:t xml:space="preserve"> </w:t>
      </w:r>
      <w:r w:rsidRPr="00D44B96">
        <w:rPr>
          <w:color w:val="231F20"/>
          <w:sz w:val="18"/>
          <w:szCs w:val="18"/>
        </w:rPr>
        <w:t>from</w:t>
      </w:r>
      <w:r w:rsidRPr="00D44B96">
        <w:rPr>
          <w:color w:val="231F20"/>
          <w:spacing w:val="-1"/>
          <w:sz w:val="18"/>
          <w:szCs w:val="18"/>
        </w:rPr>
        <w:t xml:space="preserve"> </w:t>
      </w:r>
      <w:r w:rsidRPr="00D44B96">
        <w:rPr>
          <w:color w:val="231F20"/>
          <w:sz w:val="18"/>
          <w:szCs w:val="18"/>
        </w:rPr>
        <w:t>Victorian</w:t>
      </w:r>
      <w:r w:rsidRPr="00D44B96">
        <w:rPr>
          <w:color w:val="231F20"/>
          <w:spacing w:val="-1"/>
          <w:sz w:val="18"/>
          <w:szCs w:val="18"/>
        </w:rPr>
        <w:t xml:space="preserve"> </w:t>
      </w:r>
      <w:r w:rsidRPr="00D44B96">
        <w:rPr>
          <w:color w:val="231F20"/>
          <w:sz w:val="18"/>
          <w:szCs w:val="18"/>
        </w:rPr>
        <w:t>Government</w:t>
      </w:r>
      <w:r w:rsidRPr="00D44B96">
        <w:rPr>
          <w:color w:val="231F20"/>
          <w:spacing w:val="-1"/>
          <w:sz w:val="18"/>
          <w:szCs w:val="18"/>
        </w:rPr>
        <w:t xml:space="preserve"> </w:t>
      </w:r>
      <w:r w:rsidRPr="00D44B96">
        <w:rPr>
          <w:color w:val="231F20"/>
          <w:sz w:val="18"/>
          <w:szCs w:val="18"/>
        </w:rPr>
        <w:t>and</w:t>
      </w:r>
      <w:r w:rsidRPr="00D44B96">
        <w:rPr>
          <w:color w:val="231F20"/>
          <w:spacing w:val="-1"/>
          <w:sz w:val="18"/>
          <w:szCs w:val="18"/>
        </w:rPr>
        <w:t xml:space="preserve"> </w:t>
      </w:r>
      <w:r w:rsidRPr="00D44B96">
        <w:rPr>
          <w:color w:val="231F20"/>
          <w:sz w:val="18"/>
          <w:szCs w:val="18"/>
        </w:rPr>
        <w:t>GST</w:t>
      </w:r>
      <w:r w:rsidRPr="00D44B96">
        <w:rPr>
          <w:color w:val="231F20"/>
          <w:spacing w:val="-1"/>
          <w:sz w:val="18"/>
          <w:szCs w:val="18"/>
        </w:rPr>
        <w:t xml:space="preserve"> </w:t>
      </w:r>
      <w:r w:rsidRPr="00D44B96">
        <w:rPr>
          <w:color w:val="231F20"/>
          <w:sz w:val="18"/>
          <w:szCs w:val="18"/>
        </w:rPr>
        <w:t>input</w:t>
      </w:r>
      <w:r w:rsidRPr="00D44B96">
        <w:rPr>
          <w:color w:val="231F20"/>
          <w:spacing w:val="-1"/>
          <w:sz w:val="18"/>
          <w:szCs w:val="18"/>
        </w:rPr>
        <w:t xml:space="preserve"> </w:t>
      </w:r>
      <w:r w:rsidRPr="00D44B96">
        <w:rPr>
          <w:color w:val="231F20"/>
          <w:sz w:val="18"/>
          <w:szCs w:val="18"/>
        </w:rPr>
        <w:t>tax</w:t>
      </w:r>
      <w:r w:rsidRPr="00D44B96">
        <w:rPr>
          <w:color w:val="231F20"/>
          <w:spacing w:val="-1"/>
          <w:sz w:val="18"/>
          <w:szCs w:val="18"/>
        </w:rPr>
        <w:t xml:space="preserve"> </w:t>
      </w:r>
      <w:r w:rsidRPr="00D44B96">
        <w:rPr>
          <w:color w:val="231F20"/>
          <w:sz w:val="18"/>
          <w:szCs w:val="18"/>
        </w:rPr>
        <w:t>credit</w:t>
      </w:r>
      <w:r w:rsidRPr="00D44B96">
        <w:rPr>
          <w:color w:val="231F20"/>
          <w:spacing w:val="-1"/>
          <w:sz w:val="18"/>
          <w:szCs w:val="18"/>
        </w:rPr>
        <w:t xml:space="preserve"> </w:t>
      </w:r>
      <w:r w:rsidRPr="00D44B96">
        <w:rPr>
          <w:color w:val="231F20"/>
          <w:sz w:val="18"/>
          <w:szCs w:val="18"/>
        </w:rPr>
        <w:t>recoveries</w:t>
      </w:r>
      <w:r w:rsidRPr="00D44B96">
        <w:rPr>
          <w:color w:val="231F20"/>
          <w:spacing w:val="-1"/>
          <w:sz w:val="18"/>
          <w:szCs w:val="18"/>
        </w:rPr>
        <w:t xml:space="preserve"> </w:t>
      </w:r>
      <w:r w:rsidRPr="00D44B96">
        <w:rPr>
          <w:color w:val="231F20"/>
          <w:sz w:val="18"/>
          <w:szCs w:val="18"/>
        </w:rPr>
        <w:t>and</w:t>
      </w:r>
      <w:r w:rsidRPr="00D44B96">
        <w:rPr>
          <w:color w:val="231F20"/>
          <w:spacing w:val="-1"/>
          <w:sz w:val="18"/>
          <w:szCs w:val="18"/>
        </w:rPr>
        <w:t xml:space="preserve"> </w:t>
      </w:r>
      <w:r w:rsidRPr="00D44B96">
        <w:rPr>
          <w:color w:val="231F20"/>
          <w:sz w:val="18"/>
          <w:szCs w:val="18"/>
        </w:rPr>
        <w:t>tax</w:t>
      </w:r>
      <w:r w:rsidRPr="00D44B96">
        <w:rPr>
          <w:color w:val="231F20"/>
          <w:spacing w:val="40"/>
          <w:sz w:val="18"/>
          <w:szCs w:val="18"/>
        </w:rPr>
        <w:t xml:space="preserve"> </w:t>
      </w:r>
      <w:r w:rsidRPr="00D44B96">
        <w:rPr>
          <w:color w:val="231F20"/>
          <w:spacing w:val="-2"/>
          <w:sz w:val="18"/>
          <w:szCs w:val="18"/>
        </w:rPr>
        <w:t>payables).</w:t>
      </w:r>
    </w:p>
    <w:p w14:paraId="28F61F9D" w14:textId="77777777" w:rsidR="00345EE3" w:rsidRDefault="00345EE3" w:rsidP="00345EE3">
      <w:pPr>
        <w:pStyle w:val="BodyText"/>
        <w:spacing w:before="9"/>
        <w:rPr>
          <w:sz w:val="21"/>
        </w:rPr>
      </w:pPr>
    </w:p>
    <w:p w14:paraId="05279CC3" w14:textId="77777777" w:rsidR="00345EE3" w:rsidRDefault="00345EE3" w:rsidP="00345EE3">
      <w:pPr>
        <w:ind w:left="110"/>
        <w:rPr>
          <w:b/>
          <w:sz w:val="24"/>
        </w:rPr>
      </w:pPr>
      <w:r>
        <w:rPr>
          <w:b/>
          <w:color w:val="231F20"/>
          <w:sz w:val="24"/>
        </w:rPr>
        <w:t>Impairment</w:t>
      </w:r>
      <w:r>
        <w:rPr>
          <w:b/>
          <w:color w:val="231F20"/>
          <w:spacing w:val="-3"/>
          <w:sz w:val="24"/>
        </w:rPr>
        <w:t xml:space="preserve"> </w:t>
      </w:r>
      <w:r>
        <w:rPr>
          <w:b/>
          <w:color w:val="231F20"/>
          <w:sz w:val="24"/>
        </w:rPr>
        <w:t>of</w:t>
      </w:r>
      <w:r>
        <w:rPr>
          <w:b/>
          <w:color w:val="231F20"/>
          <w:spacing w:val="-2"/>
          <w:sz w:val="24"/>
        </w:rPr>
        <w:t xml:space="preserve"> </w:t>
      </w:r>
      <w:r>
        <w:rPr>
          <w:b/>
          <w:color w:val="231F20"/>
          <w:sz w:val="24"/>
        </w:rPr>
        <w:t>financial</w:t>
      </w:r>
      <w:r>
        <w:rPr>
          <w:b/>
          <w:color w:val="231F20"/>
          <w:spacing w:val="-2"/>
          <w:sz w:val="24"/>
        </w:rPr>
        <w:t xml:space="preserve"> </w:t>
      </w:r>
      <w:r>
        <w:rPr>
          <w:b/>
          <w:color w:val="231F20"/>
          <w:sz w:val="24"/>
        </w:rPr>
        <w:t>assets</w:t>
      </w:r>
      <w:r>
        <w:rPr>
          <w:b/>
          <w:color w:val="231F20"/>
          <w:spacing w:val="-3"/>
          <w:sz w:val="24"/>
        </w:rPr>
        <w:t xml:space="preserve"> </w:t>
      </w:r>
      <w:r>
        <w:rPr>
          <w:b/>
          <w:color w:val="231F20"/>
          <w:sz w:val="24"/>
        </w:rPr>
        <w:t>under</w:t>
      </w:r>
      <w:r>
        <w:rPr>
          <w:b/>
          <w:color w:val="231F20"/>
          <w:spacing w:val="-3"/>
          <w:sz w:val="24"/>
        </w:rPr>
        <w:t xml:space="preserve"> </w:t>
      </w:r>
      <w:r>
        <w:rPr>
          <w:b/>
          <w:color w:val="231F20"/>
          <w:sz w:val="24"/>
        </w:rPr>
        <w:t>AASB</w:t>
      </w:r>
      <w:r>
        <w:rPr>
          <w:b/>
          <w:color w:val="231F20"/>
          <w:spacing w:val="-4"/>
          <w:sz w:val="24"/>
        </w:rPr>
        <w:t xml:space="preserve"> </w:t>
      </w:r>
      <w:r>
        <w:rPr>
          <w:b/>
          <w:color w:val="231F20"/>
          <w:sz w:val="24"/>
        </w:rPr>
        <w:t>9</w:t>
      </w:r>
      <w:r>
        <w:rPr>
          <w:b/>
          <w:color w:val="231F20"/>
          <w:spacing w:val="-3"/>
          <w:sz w:val="24"/>
        </w:rPr>
        <w:t xml:space="preserve"> </w:t>
      </w:r>
      <w:r>
        <w:rPr>
          <w:rFonts w:ascii="Arial-BoldItalicMT"/>
          <w:b/>
          <w:i/>
          <w:color w:val="231F20"/>
          <w:sz w:val="24"/>
        </w:rPr>
        <w:t>Financial</w:t>
      </w:r>
      <w:r>
        <w:rPr>
          <w:rFonts w:ascii="Arial-BoldItalicMT"/>
          <w:b/>
          <w:i/>
          <w:color w:val="231F20"/>
          <w:spacing w:val="-2"/>
          <w:sz w:val="24"/>
        </w:rPr>
        <w:t xml:space="preserve"> </w:t>
      </w:r>
      <w:r>
        <w:rPr>
          <w:rFonts w:ascii="Arial-BoldItalicMT"/>
          <w:b/>
          <w:i/>
          <w:color w:val="231F20"/>
          <w:sz w:val="24"/>
        </w:rPr>
        <w:t>Instruments</w:t>
      </w:r>
      <w:r>
        <w:rPr>
          <w:rFonts w:ascii="Arial-BoldItalicMT"/>
          <w:b/>
          <w:i/>
          <w:color w:val="231F20"/>
          <w:spacing w:val="-2"/>
          <w:sz w:val="24"/>
        </w:rPr>
        <w:t xml:space="preserve"> </w:t>
      </w:r>
      <w:r>
        <w:rPr>
          <w:b/>
          <w:color w:val="231F20"/>
          <w:sz w:val="24"/>
        </w:rPr>
        <w:t>(AASB</w:t>
      </w:r>
      <w:r>
        <w:rPr>
          <w:b/>
          <w:color w:val="231F20"/>
          <w:spacing w:val="-2"/>
          <w:sz w:val="24"/>
        </w:rPr>
        <w:t xml:space="preserve"> </w:t>
      </w:r>
      <w:r>
        <w:rPr>
          <w:b/>
          <w:color w:val="231F20"/>
          <w:spacing w:val="-5"/>
          <w:sz w:val="24"/>
        </w:rPr>
        <w:t>9)</w:t>
      </w:r>
    </w:p>
    <w:p w14:paraId="5BB58655" w14:textId="77777777" w:rsidR="00345EE3" w:rsidRDefault="00345EE3" w:rsidP="00345EE3">
      <w:pPr>
        <w:pStyle w:val="BodyText"/>
        <w:spacing w:before="61"/>
      </w:pPr>
      <w:r>
        <w:rPr>
          <w:color w:val="231F20"/>
        </w:rPr>
        <w:t>For</w:t>
      </w:r>
      <w:r>
        <w:rPr>
          <w:color w:val="231F20"/>
          <w:spacing w:val="-14"/>
        </w:rPr>
        <w:t xml:space="preserve"> </w:t>
      </w:r>
      <w:r>
        <w:rPr>
          <w:color w:val="231F20"/>
        </w:rPr>
        <w:t>contractual</w:t>
      </w:r>
      <w:r>
        <w:rPr>
          <w:color w:val="231F20"/>
          <w:spacing w:val="-11"/>
        </w:rPr>
        <w:t xml:space="preserve"> </w:t>
      </w:r>
      <w:r>
        <w:rPr>
          <w:color w:val="231F20"/>
        </w:rPr>
        <w:t>and</w:t>
      </w:r>
      <w:r>
        <w:rPr>
          <w:color w:val="231F20"/>
          <w:spacing w:val="-11"/>
        </w:rPr>
        <w:t xml:space="preserve"> </w:t>
      </w:r>
      <w:r>
        <w:rPr>
          <w:color w:val="231F20"/>
        </w:rPr>
        <w:t>statutory</w:t>
      </w:r>
      <w:r>
        <w:rPr>
          <w:color w:val="231F20"/>
          <w:spacing w:val="-12"/>
        </w:rPr>
        <w:t xml:space="preserve"> </w:t>
      </w:r>
      <w:r>
        <w:rPr>
          <w:color w:val="231F20"/>
        </w:rPr>
        <w:t>receivables,</w:t>
      </w:r>
      <w:r>
        <w:rPr>
          <w:color w:val="231F20"/>
          <w:spacing w:val="-11"/>
        </w:rPr>
        <w:t xml:space="preserve"> </w:t>
      </w:r>
      <w:r>
        <w:rPr>
          <w:color w:val="231F20"/>
        </w:rPr>
        <w:t>please</w:t>
      </w:r>
      <w:r>
        <w:rPr>
          <w:color w:val="231F20"/>
          <w:spacing w:val="-11"/>
        </w:rPr>
        <w:t xml:space="preserve"> </w:t>
      </w:r>
      <w:r>
        <w:rPr>
          <w:color w:val="231F20"/>
        </w:rPr>
        <w:t>refer</w:t>
      </w:r>
      <w:r>
        <w:rPr>
          <w:color w:val="231F20"/>
          <w:spacing w:val="-12"/>
        </w:rPr>
        <w:t xml:space="preserve"> </w:t>
      </w:r>
      <w:r>
        <w:rPr>
          <w:color w:val="231F20"/>
        </w:rPr>
        <w:t>to</w:t>
      </w:r>
      <w:r>
        <w:rPr>
          <w:color w:val="231F20"/>
          <w:spacing w:val="-11"/>
        </w:rPr>
        <w:t xml:space="preserve"> </w:t>
      </w:r>
      <w:r>
        <w:rPr>
          <w:color w:val="231F20"/>
        </w:rPr>
        <w:t>Note</w:t>
      </w:r>
      <w:r>
        <w:rPr>
          <w:color w:val="231F20"/>
          <w:spacing w:val="-11"/>
        </w:rPr>
        <w:t xml:space="preserve"> </w:t>
      </w:r>
      <w:r>
        <w:rPr>
          <w:color w:val="231F20"/>
        </w:rPr>
        <w:t>6.1</w:t>
      </w:r>
      <w:r>
        <w:rPr>
          <w:color w:val="231F20"/>
          <w:spacing w:val="-11"/>
        </w:rPr>
        <w:t xml:space="preserve"> </w:t>
      </w:r>
      <w:r>
        <w:rPr>
          <w:color w:val="231F20"/>
          <w:spacing w:val="-2"/>
        </w:rPr>
        <w:t>Receivables.</w:t>
      </w:r>
    </w:p>
    <w:p w14:paraId="5DEF4C22" w14:textId="77777777" w:rsidR="00345EE3" w:rsidRDefault="00345EE3" w:rsidP="00345EE3">
      <w:pPr>
        <w:pStyle w:val="BodyText"/>
        <w:spacing w:before="118" w:after="60" w:line="242" w:lineRule="auto"/>
      </w:pPr>
      <w:r>
        <w:rPr>
          <w:color w:val="231F20"/>
        </w:rPr>
        <w:t>Equity instruments are not subject to impairment under AASB 9. Other financial assets mandatorily</w:t>
      </w:r>
      <w:r>
        <w:rPr>
          <w:color w:val="231F20"/>
          <w:spacing w:val="-10"/>
        </w:rPr>
        <w:t xml:space="preserve"> </w:t>
      </w:r>
      <w:r>
        <w:rPr>
          <w:color w:val="231F20"/>
        </w:rPr>
        <w:t>measured</w:t>
      </w:r>
      <w:r>
        <w:rPr>
          <w:color w:val="231F20"/>
          <w:spacing w:val="-11"/>
        </w:rPr>
        <w:t xml:space="preserve"> </w:t>
      </w:r>
      <w:r>
        <w:rPr>
          <w:color w:val="231F20"/>
        </w:rPr>
        <w:t>or</w:t>
      </w:r>
      <w:r>
        <w:rPr>
          <w:color w:val="231F20"/>
          <w:spacing w:val="-10"/>
        </w:rPr>
        <w:t xml:space="preserve"> </w:t>
      </w:r>
      <w:r>
        <w:rPr>
          <w:color w:val="231F20"/>
        </w:rPr>
        <w:t>designated</w:t>
      </w:r>
      <w:r>
        <w:rPr>
          <w:color w:val="231F20"/>
          <w:spacing w:val="-11"/>
        </w:rPr>
        <w:t xml:space="preserve"> </w:t>
      </w:r>
      <w:r>
        <w:rPr>
          <w:color w:val="231F20"/>
        </w:rPr>
        <w:t>at</w:t>
      </w:r>
      <w:r>
        <w:rPr>
          <w:color w:val="231F20"/>
          <w:spacing w:val="-10"/>
        </w:rPr>
        <w:t xml:space="preserve"> </w:t>
      </w:r>
      <w:r>
        <w:rPr>
          <w:color w:val="231F20"/>
        </w:rPr>
        <w:t>fair</w:t>
      </w:r>
      <w:r>
        <w:rPr>
          <w:color w:val="231F20"/>
          <w:spacing w:val="-10"/>
        </w:rPr>
        <w:t xml:space="preserve"> </w:t>
      </w:r>
      <w:r>
        <w:rPr>
          <w:color w:val="231F20"/>
        </w:rPr>
        <w:t>value</w:t>
      </w:r>
      <w:r>
        <w:rPr>
          <w:color w:val="231F20"/>
          <w:spacing w:val="-11"/>
        </w:rPr>
        <w:t xml:space="preserve"> </w:t>
      </w:r>
      <w:r>
        <w:rPr>
          <w:color w:val="231F20"/>
        </w:rPr>
        <w:t>through</w:t>
      </w:r>
      <w:r>
        <w:rPr>
          <w:color w:val="231F20"/>
          <w:spacing w:val="-11"/>
        </w:rPr>
        <w:t xml:space="preserve"> </w:t>
      </w:r>
      <w:r>
        <w:rPr>
          <w:color w:val="231F20"/>
        </w:rPr>
        <w:t>net</w:t>
      </w:r>
      <w:r>
        <w:rPr>
          <w:color w:val="231F20"/>
          <w:spacing w:val="-10"/>
        </w:rPr>
        <w:t xml:space="preserve"> </w:t>
      </w:r>
      <w:r>
        <w:rPr>
          <w:color w:val="231F20"/>
        </w:rPr>
        <w:t>result</w:t>
      </w:r>
      <w:r>
        <w:rPr>
          <w:color w:val="231F20"/>
          <w:spacing w:val="-10"/>
        </w:rPr>
        <w:t xml:space="preserve"> </w:t>
      </w:r>
      <w:r>
        <w:rPr>
          <w:color w:val="231F20"/>
        </w:rPr>
        <w:t>are</w:t>
      </w:r>
      <w:r>
        <w:rPr>
          <w:color w:val="231F20"/>
          <w:spacing w:val="-11"/>
        </w:rPr>
        <w:t xml:space="preserve"> </w:t>
      </w:r>
      <w:r>
        <w:rPr>
          <w:color w:val="231F20"/>
        </w:rPr>
        <w:t>not</w:t>
      </w:r>
      <w:r>
        <w:rPr>
          <w:color w:val="231F20"/>
          <w:spacing w:val="-10"/>
        </w:rPr>
        <w:t xml:space="preserve"> </w:t>
      </w:r>
      <w:r>
        <w:rPr>
          <w:color w:val="231F20"/>
        </w:rPr>
        <w:t>subject</w:t>
      </w:r>
      <w:r>
        <w:rPr>
          <w:color w:val="231F20"/>
          <w:spacing w:val="-10"/>
        </w:rPr>
        <w:t xml:space="preserve"> </w:t>
      </w:r>
      <w:r>
        <w:rPr>
          <w:color w:val="231F20"/>
        </w:rPr>
        <w:t>to</w:t>
      </w:r>
      <w:r>
        <w:rPr>
          <w:color w:val="231F20"/>
          <w:spacing w:val="-11"/>
        </w:rPr>
        <w:t xml:space="preserve"> </w:t>
      </w:r>
      <w:r>
        <w:rPr>
          <w:color w:val="231F20"/>
        </w:rPr>
        <w:t>impairment assessment</w:t>
      </w:r>
      <w:r>
        <w:rPr>
          <w:color w:val="231F20"/>
          <w:spacing w:val="-1"/>
        </w:rPr>
        <w:t xml:space="preserve"> </w:t>
      </w:r>
      <w:r>
        <w:rPr>
          <w:color w:val="231F20"/>
        </w:rPr>
        <w:t>under</w:t>
      </w:r>
      <w:r>
        <w:rPr>
          <w:color w:val="231F20"/>
          <w:spacing w:val="-1"/>
        </w:rPr>
        <w:t xml:space="preserve"> </w:t>
      </w:r>
      <w:r>
        <w:rPr>
          <w:color w:val="231F20"/>
        </w:rPr>
        <w:t>AASB</w:t>
      </w:r>
      <w:r>
        <w:rPr>
          <w:color w:val="231F20"/>
          <w:spacing w:val="-1"/>
        </w:rPr>
        <w:t xml:space="preserve"> </w:t>
      </w:r>
      <w:r>
        <w:rPr>
          <w:color w:val="231F20"/>
        </w:rPr>
        <w:t>9.</w:t>
      </w:r>
      <w:r>
        <w:rPr>
          <w:color w:val="231F20"/>
          <w:spacing w:val="-1"/>
        </w:rPr>
        <w:t xml:space="preserve"> </w:t>
      </w:r>
      <w:r>
        <w:rPr>
          <w:color w:val="231F20"/>
        </w:rPr>
        <w:t>While</w:t>
      </w:r>
      <w:r>
        <w:rPr>
          <w:color w:val="231F20"/>
          <w:spacing w:val="-2"/>
        </w:rPr>
        <w:t xml:space="preserve"> </w:t>
      </w:r>
      <w:r>
        <w:rPr>
          <w:color w:val="231F20"/>
        </w:rPr>
        <w:t>cash</w:t>
      </w:r>
      <w:r>
        <w:rPr>
          <w:color w:val="231F20"/>
          <w:spacing w:val="-2"/>
        </w:rPr>
        <w:t xml:space="preserve"> </w:t>
      </w:r>
      <w:r>
        <w:rPr>
          <w:color w:val="231F20"/>
        </w:rPr>
        <w:t>and</w:t>
      </w:r>
      <w:r>
        <w:rPr>
          <w:color w:val="231F20"/>
          <w:spacing w:val="-2"/>
        </w:rPr>
        <w:t xml:space="preserve"> </w:t>
      </w:r>
      <w:r>
        <w:rPr>
          <w:color w:val="231F20"/>
        </w:rPr>
        <w:t>cash</w:t>
      </w:r>
      <w:r>
        <w:rPr>
          <w:color w:val="231F20"/>
          <w:spacing w:val="-2"/>
        </w:rPr>
        <w:t xml:space="preserve"> </w:t>
      </w:r>
      <w:r>
        <w:rPr>
          <w:color w:val="231F20"/>
        </w:rPr>
        <w:t>equivalents</w:t>
      </w:r>
      <w:r>
        <w:rPr>
          <w:color w:val="231F20"/>
          <w:spacing w:val="-1"/>
        </w:rPr>
        <w:t xml:space="preserve"> </w:t>
      </w:r>
      <w:r>
        <w:rPr>
          <w:color w:val="231F20"/>
        </w:rPr>
        <w:t>are</w:t>
      </w:r>
      <w:r>
        <w:rPr>
          <w:color w:val="231F20"/>
          <w:spacing w:val="-2"/>
        </w:rPr>
        <w:t xml:space="preserve"> </w:t>
      </w:r>
      <w:r>
        <w:rPr>
          <w:color w:val="231F20"/>
        </w:rPr>
        <w:t>also</w:t>
      </w:r>
      <w:r>
        <w:rPr>
          <w:color w:val="231F20"/>
          <w:spacing w:val="-2"/>
        </w:rPr>
        <w:t xml:space="preserve"> </w:t>
      </w:r>
      <w:r>
        <w:rPr>
          <w:color w:val="231F20"/>
        </w:rPr>
        <w:t>subject</w:t>
      </w:r>
      <w:r>
        <w:rPr>
          <w:color w:val="231F20"/>
          <w:spacing w:val="-1"/>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impairment requirements of AASB 9, no impairment loss has been identified.</w:t>
      </w:r>
    </w:p>
    <w:p w14:paraId="4048ABB6" w14:textId="77777777" w:rsidR="00345EE3" w:rsidRDefault="00345EE3" w:rsidP="00345EE3">
      <w:pPr>
        <w:ind w:left="142"/>
        <w:rPr>
          <w:sz w:val="24"/>
        </w:rPr>
      </w:pPr>
      <w:r>
        <w:rPr>
          <w:color w:val="231F20"/>
          <w:sz w:val="24"/>
        </w:rPr>
        <w:t>Although</w:t>
      </w:r>
      <w:r>
        <w:rPr>
          <w:color w:val="231F20"/>
          <w:spacing w:val="-16"/>
          <w:sz w:val="24"/>
        </w:rPr>
        <w:t xml:space="preserve"> </w:t>
      </w:r>
      <w:r>
        <w:rPr>
          <w:color w:val="231F20"/>
          <w:sz w:val="24"/>
        </w:rPr>
        <w:t>not</w:t>
      </w:r>
      <w:r>
        <w:rPr>
          <w:color w:val="231F20"/>
          <w:spacing w:val="-12"/>
          <w:sz w:val="24"/>
        </w:rPr>
        <w:t xml:space="preserve"> </w:t>
      </w:r>
      <w:r>
        <w:rPr>
          <w:color w:val="231F20"/>
          <w:sz w:val="24"/>
        </w:rPr>
        <w:t>a</w:t>
      </w:r>
      <w:r>
        <w:rPr>
          <w:color w:val="231F20"/>
          <w:spacing w:val="-13"/>
          <w:sz w:val="24"/>
        </w:rPr>
        <w:t xml:space="preserve"> </w:t>
      </w:r>
      <w:r>
        <w:rPr>
          <w:color w:val="231F20"/>
          <w:sz w:val="24"/>
        </w:rPr>
        <w:t>financial</w:t>
      </w:r>
      <w:r>
        <w:rPr>
          <w:color w:val="231F20"/>
          <w:spacing w:val="-13"/>
          <w:sz w:val="24"/>
        </w:rPr>
        <w:t xml:space="preserve"> </w:t>
      </w:r>
      <w:r>
        <w:rPr>
          <w:color w:val="231F20"/>
          <w:sz w:val="24"/>
        </w:rPr>
        <w:t>asset,</w:t>
      </w:r>
      <w:r>
        <w:rPr>
          <w:color w:val="231F20"/>
          <w:spacing w:val="-12"/>
          <w:sz w:val="24"/>
        </w:rPr>
        <w:t xml:space="preserve"> </w:t>
      </w:r>
      <w:r>
        <w:rPr>
          <w:color w:val="231F20"/>
          <w:sz w:val="24"/>
        </w:rPr>
        <w:t>contract</w:t>
      </w:r>
      <w:r>
        <w:rPr>
          <w:color w:val="231F20"/>
          <w:spacing w:val="-12"/>
          <w:sz w:val="24"/>
        </w:rPr>
        <w:t xml:space="preserve"> </w:t>
      </w:r>
      <w:r>
        <w:rPr>
          <w:color w:val="231F20"/>
          <w:sz w:val="24"/>
        </w:rPr>
        <w:t>assets</w:t>
      </w:r>
      <w:r>
        <w:rPr>
          <w:color w:val="231F20"/>
          <w:spacing w:val="-12"/>
          <w:sz w:val="24"/>
        </w:rPr>
        <w:t xml:space="preserve"> </w:t>
      </w:r>
      <w:r>
        <w:rPr>
          <w:color w:val="231F20"/>
          <w:sz w:val="24"/>
        </w:rPr>
        <w:t>recognised</w:t>
      </w:r>
      <w:r>
        <w:rPr>
          <w:color w:val="231F20"/>
          <w:spacing w:val="-13"/>
          <w:sz w:val="24"/>
        </w:rPr>
        <w:t xml:space="preserve"> </w:t>
      </w:r>
      <w:r>
        <w:rPr>
          <w:color w:val="231F20"/>
          <w:sz w:val="24"/>
        </w:rPr>
        <w:t>applying</w:t>
      </w:r>
      <w:r>
        <w:rPr>
          <w:color w:val="231F20"/>
          <w:spacing w:val="-13"/>
          <w:sz w:val="24"/>
        </w:rPr>
        <w:t xml:space="preserve"> </w:t>
      </w:r>
      <w:r>
        <w:rPr>
          <w:color w:val="231F20"/>
          <w:sz w:val="24"/>
        </w:rPr>
        <w:t>AASB</w:t>
      </w:r>
      <w:r>
        <w:rPr>
          <w:color w:val="231F20"/>
          <w:spacing w:val="-12"/>
          <w:sz w:val="24"/>
        </w:rPr>
        <w:t xml:space="preserve"> </w:t>
      </w:r>
      <w:r>
        <w:rPr>
          <w:color w:val="231F20"/>
          <w:sz w:val="24"/>
        </w:rPr>
        <w:t>15</w:t>
      </w:r>
      <w:r>
        <w:rPr>
          <w:color w:val="231F20"/>
          <w:spacing w:val="-12"/>
          <w:sz w:val="24"/>
        </w:rPr>
        <w:t xml:space="preserve"> </w:t>
      </w:r>
      <w:r>
        <w:rPr>
          <w:i/>
          <w:color w:val="231F20"/>
          <w:sz w:val="24"/>
        </w:rPr>
        <w:t>Revenue</w:t>
      </w:r>
      <w:r>
        <w:rPr>
          <w:i/>
          <w:color w:val="231F20"/>
          <w:spacing w:val="-17"/>
          <w:sz w:val="24"/>
        </w:rPr>
        <w:t xml:space="preserve"> </w:t>
      </w:r>
      <w:r>
        <w:rPr>
          <w:i/>
          <w:color w:val="231F20"/>
          <w:sz w:val="24"/>
        </w:rPr>
        <w:t>from Contract</w:t>
      </w:r>
      <w:r>
        <w:rPr>
          <w:i/>
          <w:color w:val="231F20"/>
          <w:spacing w:val="-14"/>
          <w:sz w:val="24"/>
        </w:rPr>
        <w:t xml:space="preserve"> </w:t>
      </w:r>
      <w:r>
        <w:rPr>
          <w:i/>
          <w:color w:val="231F20"/>
          <w:sz w:val="24"/>
        </w:rPr>
        <w:t>with</w:t>
      </w:r>
      <w:r>
        <w:rPr>
          <w:i/>
          <w:color w:val="231F20"/>
          <w:spacing w:val="-14"/>
          <w:sz w:val="24"/>
        </w:rPr>
        <w:t xml:space="preserve"> </w:t>
      </w:r>
      <w:r>
        <w:rPr>
          <w:i/>
          <w:color w:val="231F20"/>
          <w:sz w:val="24"/>
        </w:rPr>
        <w:t>Customers</w:t>
      </w:r>
      <w:r>
        <w:rPr>
          <w:i/>
          <w:color w:val="231F20"/>
          <w:spacing w:val="-10"/>
          <w:sz w:val="24"/>
        </w:rPr>
        <w:t xml:space="preserve"> </w:t>
      </w:r>
      <w:r>
        <w:rPr>
          <w:color w:val="231F20"/>
          <w:sz w:val="24"/>
        </w:rPr>
        <w:t>are</w:t>
      </w:r>
      <w:r>
        <w:rPr>
          <w:color w:val="231F20"/>
          <w:spacing w:val="-6"/>
          <w:sz w:val="24"/>
        </w:rPr>
        <w:t xml:space="preserve"> </w:t>
      </w:r>
      <w:r>
        <w:rPr>
          <w:color w:val="231F20"/>
          <w:sz w:val="24"/>
        </w:rPr>
        <w:t>also</w:t>
      </w:r>
      <w:r>
        <w:rPr>
          <w:color w:val="231F20"/>
          <w:spacing w:val="-6"/>
          <w:sz w:val="24"/>
        </w:rPr>
        <w:t xml:space="preserve"> </w:t>
      </w:r>
      <w:r>
        <w:rPr>
          <w:color w:val="231F20"/>
          <w:sz w:val="24"/>
        </w:rPr>
        <w:t>subject</w:t>
      </w:r>
      <w:r>
        <w:rPr>
          <w:color w:val="231F20"/>
          <w:spacing w:val="-5"/>
          <w:sz w:val="24"/>
        </w:rPr>
        <w:t xml:space="preserve"> </w:t>
      </w:r>
      <w:r>
        <w:rPr>
          <w:color w:val="231F20"/>
          <w:sz w:val="24"/>
        </w:rPr>
        <w:t>to</w:t>
      </w:r>
      <w:r>
        <w:rPr>
          <w:color w:val="231F20"/>
          <w:spacing w:val="-6"/>
          <w:sz w:val="24"/>
        </w:rPr>
        <w:t xml:space="preserve"> </w:t>
      </w:r>
      <w:r>
        <w:rPr>
          <w:color w:val="231F20"/>
          <w:sz w:val="24"/>
        </w:rPr>
        <w:t>impairment,</w:t>
      </w:r>
      <w:r>
        <w:rPr>
          <w:color w:val="231F20"/>
          <w:spacing w:val="-5"/>
          <w:sz w:val="24"/>
        </w:rPr>
        <w:t xml:space="preserve"> </w:t>
      </w:r>
      <w:r>
        <w:rPr>
          <w:color w:val="231F20"/>
          <w:sz w:val="24"/>
        </w:rPr>
        <w:t>however,</w:t>
      </w:r>
      <w:r>
        <w:rPr>
          <w:color w:val="231F20"/>
          <w:spacing w:val="-5"/>
          <w:sz w:val="24"/>
        </w:rPr>
        <w:t xml:space="preserve"> </w:t>
      </w:r>
      <w:r>
        <w:rPr>
          <w:color w:val="231F20"/>
          <w:sz w:val="24"/>
        </w:rPr>
        <w:t>it</w:t>
      </w:r>
      <w:r>
        <w:rPr>
          <w:color w:val="231F20"/>
          <w:spacing w:val="-5"/>
          <w:sz w:val="24"/>
        </w:rPr>
        <w:t xml:space="preserve"> </w:t>
      </w:r>
      <w:r>
        <w:rPr>
          <w:color w:val="231F20"/>
          <w:sz w:val="24"/>
        </w:rPr>
        <w:t>is</w:t>
      </w:r>
      <w:r>
        <w:rPr>
          <w:color w:val="231F20"/>
          <w:spacing w:val="-5"/>
          <w:sz w:val="24"/>
        </w:rPr>
        <w:t xml:space="preserve"> </w:t>
      </w:r>
      <w:r>
        <w:rPr>
          <w:color w:val="231F20"/>
          <w:sz w:val="24"/>
        </w:rPr>
        <w:t>immaterial.</w:t>
      </w:r>
    </w:p>
    <w:p w14:paraId="3EF04C85" w14:textId="77777777" w:rsidR="00345EE3" w:rsidRDefault="00345EE3" w:rsidP="00345EE3">
      <w:pPr>
        <w:pStyle w:val="Heading5"/>
        <w:spacing w:before="120"/>
      </w:pPr>
      <w:r>
        <w:rPr>
          <w:color w:val="231F20"/>
        </w:rPr>
        <w:t>Statutory</w:t>
      </w:r>
      <w:r>
        <w:rPr>
          <w:color w:val="231F20"/>
          <w:spacing w:val="1"/>
        </w:rPr>
        <w:t xml:space="preserve"> </w:t>
      </w:r>
      <w:r>
        <w:rPr>
          <w:color w:val="231F20"/>
        </w:rPr>
        <w:t>receivables</w:t>
      </w:r>
      <w:r>
        <w:rPr>
          <w:color w:val="231F20"/>
          <w:spacing w:val="1"/>
        </w:rPr>
        <w:t xml:space="preserve"> </w:t>
      </w:r>
      <w:r>
        <w:rPr>
          <w:color w:val="231F20"/>
        </w:rPr>
        <w:t>at</w:t>
      </w:r>
      <w:r>
        <w:rPr>
          <w:color w:val="231F20"/>
          <w:spacing w:val="2"/>
        </w:rPr>
        <w:t xml:space="preserve"> </w:t>
      </w:r>
      <w:r>
        <w:rPr>
          <w:color w:val="231F20"/>
        </w:rPr>
        <w:t>amortised</w:t>
      </w:r>
      <w:r>
        <w:rPr>
          <w:color w:val="231F20"/>
          <w:spacing w:val="3"/>
        </w:rPr>
        <w:t xml:space="preserve"> </w:t>
      </w:r>
      <w:r>
        <w:rPr>
          <w:color w:val="231F20"/>
          <w:spacing w:val="-4"/>
        </w:rPr>
        <w:t>cost</w:t>
      </w:r>
    </w:p>
    <w:p w14:paraId="23B45745" w14:textId="77777777" w:rsidR="00345EE3" w:rsidRDefault="00345EE3" w:rsidP="00345EE3">
      <w:pPr>
        <w:pStyle w:val="BodyText"/>
        <w:spacing w:before="60" w:line="242" w:lineRule="auto"/>
        <w:ind w:right="115"/>
      </w:pPr>
      <w:r>
        <w:rPr>
          <w:color w:val="231F20"/>
        </w:rPr>
        <w:t>Victoria</w:t>
      </w:r>
      <w:r>
        <w:rPr>
          <w:color w:val="231F20"/>
          <w:spacing w:val="-13"/>
        </w:rPr>
        <w:t xml:space="preserve"> </w:t>
      </w:r>
      <w:r>
        <w:rPr>
          <w:color w:val="231F20"/>
        </w:rPr>
        <w:t>Police’s</w:t>
      </w:r>
      <w:r>
        <w:rPr>
          <w:color w:val="231F20"/>
          <w:spacing w:val="-12"/>
        </w:rPr>
        <w:t xml:space="preserve"> </w:t>
      </w:r>
      <w:r>
        <w:rPr>
          <w:color w:val="231F20"/>
        </w:rPr>
        <w:t>non-contractual</w:t>
      </w:r>
      <w:r>
        <w:rPr>
          <w:color w:val="231F20"/>
          <w:spacing w:val="-13"/>
        </w:rPr>
        <w:t xml:space="preserve"> </w:t>
      </w:r>
      <w:r>
        <w:rPr>
          <w:color w:val="231F20"/>
        </w:rPr>
        <w:t>receivables</w:t>
      </w:r>
      <w:r>
        <w:rPr>
          <w:color w:val="231F20"/>
          <w:spacing w:val="-12"/>
        </w:rPr>
        <w:t xml:space="preserve"> </w:t>
      </w:r>
      <w:r>
        <w:rPr>
          <w:color w:val="231F20"/>
        </w:rPr>
        <w:t>arising</w:t>
      </w:r>
      <w:r>
        <w:rPr>
          <w:color w:val="231F20"/>
          <w:spacing w:val="-13"/>
        </w:rPr>
        <w:t xml:space="preserve"> </w:t>
      </w:r>
      <w:r>
        <w:rPr>
          <w:color w:val="231F20"/>
        </w:rPr>
        <w:t>from</w:t>
      </w:r>
      <w:r>
        <w:rPr>
          <w:color w:val="231F20"/>
          <w:spacing w:val="-12"/>
        </w:rPr>
        <w:t xml:space="preserve"> </w:t>
      </w:r>
      <w:r>
        <w:rPr>
          <w:color w:val="231F20"/>
        </w:rPr>
        <w:t>statutory</w:t>
      </w:r>
      <w:r>
        <w:rPr>
          <w:color w:val="231F20"/>
          <w:spacing w:val="-12"/>
        </w:rPr>
        <w:t xml:space="preserve"> </w:t>
      </w:r>
      <w:r>
        <w:rPr>
          <w:color w:val="231F20"/>
        </w:rPr>
        <w:t>requirements</w:t>
      </w:r>
      <w:r>
        <w:rPr>
          <w:color w:val="231F20"/>
          <w:spacing w:val="-12"/>
        </w:rPr>
        <w:t xml:space="preserve"> </w:t>
      </w:r>
      <w:r>
        <w:rPr>
          <w:color w:val="231F20"/>
        </w:rPr>
        <w:t>are</w:t>
      </w:r>
      <w:r>
        <w:rPr>
          <w:color w:val="231F20"/>
          <w:spacing w:val="-13"/>
        </w:rPr>
        <w:t xml:space="preserve"> </w:t>
      </w:r>
      <w:r>
        <w:rPr>
          <w:color w:val="231F20"/>
        </w:rPr>
        <w:t>not</w:t>
      </w:r>
      <w:r>
        <w:rPr>
          <w:color w:val="231F20"/>
          <w:spacing w:val="-12"/>
        </w:rPr>
        <w:t xml:space="preserve"> </w:t>
      </w:r>
      <w:r>
        <w:rPr>
          <w:color w:val="231F20"/>
        </w:rPr>
        <w:t>financial instruments. However, they are nevertheless recognised and measured in accordance with AASB 9 requirements as if those receivables are financial instruments.</w:t>
      </w:r>
    </w:p>
    <w:p w14:paraId="5884BA72" w14:textId="77777777" w:rsidR="00345EE3" w:rsidRDefault="00345EE3" w:rsidP="00345EE3">
      <w:pPr>
        <w:pStyle w:val="BodyText"/>
        <w:spacing w:before="118"/>
      </w:pPr>
      <w:r>
        <w:rPr>
          <w:color w:val="231F20"/>
        </w:rPr>
        <w:t>The</w:t>
      </w:r>
      <w:r>
        <w:rPr>
          <w:color w:val="231F20"/>
          <w:spacing w:val="-11"/>
        </w:rPr>
        <w:t xml:space="preserve"> </w:t>
      </w:r>
      <w:r>
        <w:rPr>
          <w:color w:val="231F20"/>
        </w:rPr>
        <w:t>statutory</w:t>
      </w:r>
      <w:r>
        <w:rPr>
          <w:color w:val="231F20"/>
          <w:spacing w:val="-8"/>
        </w:rPr>
        <w:t xml:space="preserve"> </w:t>
      </w:r>
      <w:r>
        <w:rPr>
          <w:color w:val="231F20"/>
        </w:rPr>
        <w:t>receivables</w:t>
      </w:r>
      <w:r>
        <w:rPr>
          <w:color w:val="231F20"/>
          <w:spacing w:val="-7"/>
        </w:rPr>
        <w:t xml:space="preserve"> </w:t>
      </w:r>
      <w:r>
        <w:rPr>
          <w:color w:val="231F20"/>
        </w:rPr>
        <w:t>are</w:t>
      </w:r>
      <w:r>
        <w:rPr>
          <w:color w:val="231F20"/>
          <w:spacing w:val="-9"/>
        </w:rPr>
        <w:t xml:space="preserve"> </w:t>
      </w:r>
      <w:r>
        <w:rPr>
          <w:color w:val="231F20"/>
        </w:rPr>
        <w:t>considered</w:t>
      </w:r>
      <w:r>
        <w:rPr>
          <w:color w:val="231F20"/>
          <w:spacing w:val="-9"/>
        </w:rPr>
        <w:t xml:space="preserve"> </w:t>
      </w:r>
      <w:r>
        <w:rPr>
          <w:color w:val="231F20"/>
        </w:rPr>
        <w:t>to</w:t>
      </w:r>
      <w:r>
        <w:rPr>
          <w:color w:val="231F20"/>
          <w:spacing w:val="-8"/>
        </w:rPr>
        <w:t xml:space="preserve"> </w:t>
      </w:r>
      <w:r>
        <w:rPr>
          <w:color w:val="231F20"/>
        </w:rPr>
        <w:t>have</w:t>
      </w:r>
      <w:r>
        <w:rPr>
          <w:color w:val="231F20"/>
          <w:spacing w:val="-9"/>
        </w:rPr>
        <w:t xml:space="preserve"> </w:t>
      </w:r>
      <w:r>
        <w:rPr>
          <w:color w:val="231F20"/>
        </w:rPr>
        <w:t>low</w:t>
      </w:r>
      <w:r>
        <w:rPr>
          <w:color w:val="231F20"/>
          <w:spacing w:val="-8"/>
        </w:rPr>
        <w:t xml:space="preserve"> </w:t>
      </w:r>
      <w:r>
        <w:rPr>
          <w:color w:val="231F20"/>
        </w:rPr>
        <w:t>credit</w:t>
      </w:r>
      <w:r>
        <w:rPr>
          <w:color w:val="231F20"/>
          <w:spacing w:val="-8"/>
        </w:rPr>
        <w:t xml:space="preserve"> </w:t>
      </w:r>
      <w:r>
        <w:rPr>
          <w:color w:val="231F20"/>
        </w:rPr>
        <w:t>risk,</w:t>
      </w:r>
      <w:r>
        <w:rPr>
          <w:color w:val="231F20"/>
          <w:spacing w:val="-8"/>
        </w:rPr>
        <w:t xml:space="preserve"> </w:t>
      </w:r>
      <w:r>
        <w:rPr>
          <w:color w:val="231F20"/>
        </w:rPr>
        <w:t>taking</w:t>
      </w:r>
      <w:r>
        <w:rPr>
          <w:color w:val="231F20"/>
          <w:spacing w:val="-8"/>
        </w:rPr>
        <w:t xml:space="preserve"> </w:t>
      </w:r>
      <w:r>
        <w:rPr>
          <w:color w:val="231F20"/>
        </w:rPr>
        <w:t>into</w:t>
      </w:r>
      <w:r>
        <w:rPr>
          <w:color w:val="231F20"/>
          <w:spacing w:val="-9"/>
        </w:rPr>
        <w:t xml:space="preserve"> </w:t>
      </w:r>
      <w:r>
        <w:rPr>
          <w:color w:val="231F20"/>
        </w:rPr>
        <w:t>account</w:t>
      </w:r>
      <w:r>
        <w:rPr>
          <w:color w:val="231F20"/>
          <w:spacing w:val="-7"/>
        </w:rPr>
        <w:t xml:space="preserve"> </w:t>
      </w:r>
      <w:r>
        <w:rPr>
          <w:color w:val="231F20"/>
          <w:spacing w:val="-5"/>
        </w:rPr>
        <w:t xml:space="preserve">the </w:t>
      </w:r>
      <w:r>
        <w:rPr>
          <w:color w:val="231F20"/>
        </w:rPr>
        <w:t>counterparty’s</w:t>
      </w:r>
      <w:r>
        <w:rPr>
          <w:color w:val="231F20"/>
          <w:spacing w:val="-9"/>
        </w:rPr>
        <w:t xml:space="preserve"> </w:t>
      </w:r>
      <w:r>
        <w:rPr>
          <w:color w:val="231F20"/>
        </w:rPr>
        <w:t>credit</w:t>
      </w:r>
      <w:r>
        <w:rPr>
          <w:color w:val="231F20"/>
          <w:spacing w:val="-9"/>
        </w:rPr>
        <w:t xml:space="preserve"> </w:t>
      </w:r>
      <w:r>
        <w:rPr>
          <w:color w:val="231F20"/>
        </w:rPr>
        <w:t>rating,</w:t>
      </w:r>
      <w:r>
        <w:rPr>
          <w:color w:val="231F20"/>
          <w:spacing w:val="-9"/>
        </w:rPr>
        <w:t xml:space="preserve"> </w:t>
      </w:r>
      <w:r>
        <w:rPr>
          <w:color w:val="231F20"/>
        </w:rPr>
        <w:t>risk</w:t>
      </w:r>
      <w:r>
        <w:rPr>
          <w:color w:val="231F20"/>
          <w:spacing w:val="-9"/>
        </w:rPr>
        <w:t xml:space="preserve"> </w:t>
      </w:r>
      <w:r>
        <w:rPr>
          <w:color w:val="231F20"/>
        </w:rPr>
        <w:t>of</w:t>
      </w:r>
      <w:r>
        <w:rPr>
          <w:color w:val="231F20"/>
          <w:spacing w:val="-9"/>
        </w:rPr>
        <w:t xml:space="preserve"> </w:t>
      </w:r>
      <w:r>
        <w:rPr>
          <w:color w:val="231F20"/>
        </w:rPr>
        <w:t>default</w:t>
      </w:r>
      <w:r>
        <w:rPr>
          <w:color w:val="231F20"/>
          <w:spacing w:val="-9"/>
        </w:rPr>
        <w:t xml:space="preserve"> </w:t>
      </w:r>
      <w:r>
        <w:rPr>
          <w:color w:val="231F20"/>
        </w:rPr>
        <w:t>and</w:t>
      </w:r>
      <w:r>
        <w:rPr>
          <w:color w:val="231F20"/>
          <w:spacing w:val="-10"/>
        </w:rPr>
        <w:t xml:space="preserve"> </w:t>
      </w:r>
      <w:r>
        <w:rPr>
          <w:color w:val="231F20"/>
        </w:rPr>
        <w:t>capacity</w:t>
      </w:r>
      <w:r>
        <w:rPr>
          <w:color w:val="231F20"/>
          <w:spacing w:val="-9"/>
        </w:rPr>
        <w:t xml:space="preserve"> </w:t>
      </w:r>
      <w:r>
        <w:rPr>
          <w:color w:val="231F20"/>
        </w:rPr>
        <w:t>to</w:t>
      </w:r>
      <w:r>
        <w:rPr>
          <w:color w:val="231F20"/>
          <w:spacing w:val="-10"/>
        </w:rPr>
        <w:t xml:space="preserve"> </w:t>
      </w:r>
      <w:r>
        <w:rPr>
          <w:color w:val="231F20"/>
        </w:rPr>
        <w:t>meet</w:t>
      </w:r>
      <w:r>
        <w:rPr>
          <w:color w:val="231F20"/>
          <w:spacing w:val="-9"/>
        </w:rPr>
        <w:t xml:space="preserve"> </w:t>
      </w:r>
      <w:r>
        <w:rPr>
          <w:color w:val="231F20"/>
        </w:rPr>
        <w:t>contractual</w:t>
      </w:r>
      <w:r>
        <w:rPr>
          <w:color w:val="231F20"/>
          <w:spacing w:val="-10"/>
        </w:rPr>
        <w:t xml:space="preserve"> </w:t>
      </w:r>
      <w:r>
        <w:rPr>
          <w:color w:val="231F20"/>
        </w:rPr>
        <w:t>cash</w:t>
      </w:r>
      <w:r>
        <w:rPr>
          <w:color w:val="231F20"/>
          <w:spacing w:val="-10"/>
        </w:rPr>
        <w:t xml:space="preserve"> </w:t>
      </w:r>
      <w:r>
        <w:rPr>
          <w:color w:val="231F20"/>
        </w:rPr>
        <w:t>flow</w:t>
      </w:r>
      <w:r>
        <w:rPr>
          <w:color w:val="231F20"/>
          <w:spacing w:val="-10"/>
        </w:rPr>
        <w:t xml:space="preserve"> </w:t>
      </w:r>
      <w:r>
        <w:rPr>
          <w:color w:val="231F20"/>
        </w:rPr>
        <w:t>obligations in the near term. As the result, the loss allowance recognised for these financial assets during the period was limited to 12 months of expected losses. No loss allowance was recognised.</w:t>
      </w:r>
    </w:p>
    <w:p w14:paraId="76F19315" w14:textId="77777777" w:rsidR="00345EE3" w:rsidRDefault="00345EE3" w:rsidP="00345EE3">
      <w:pPr>
        <w:pStyle w:val="Heading5"/>
        <w:spacing w:before="120"/>
      </w:pPr>
      <w:r>
        <w:rPr>
          <w:color w:val="231F20"/>
        </w:rPr>
        <w:t>Financial</w:t>
      </w:r>
      <w:r>
        <w:rPr>
          <w:color w:val="231F20"/>
          <w:spacing w:val="-6"/>
        </w:rPr>
        <w:t xml:space="preserve"> </w:t>
      </w:r>
      <w:r>
        <w:rPr>
          <w:color w:val="231F20"/>
        </w:rPr>
        <w:t>Instruments:</w:t>
      </w:r>
      <w:r>
        <w:rPr>
          <w:color w:val="231F20"/>
          <w:spacing w:val="-5"/>
        </w:rPr>
        <w:t xml:space="preserve"> </w:t>
      </w:r>
      <w:r>
        <w:rPr>
          <w:color w:val="231F20"/>
        </w:rPr>
        <w:t>Liquidity</w:t>
      </w:r>
      <w:r>
        <w:rPr>
          <w:color w:val="231F20"/>
          <w:spacing w:val="-4"/>
        </w:rPr>
        <w:t xml:space="preserve"> Risk</w:t>
      </w:r>
    </w:p>
    <w:p w14:paraId="2CA48D82" w14:textId="77777777" w:rsidR="00345EE3" w:rsidRDefault="00345EE3" w:rsidP="00345EE3">
      <w:pPr>
        <w:pStyle w:val="BodyText"/>
        <w:spacing w:before="60" w:line="242" w:lineRule="auto"/>
        <w:ind w:right="327"/>
      </w:pPr>
      <w:r>
        <w:rPr>
          <w:color w:val="231F20"/>
        </w:rPr>
        <w:t>Liquidity risk arises from Victoria Police being unable to meet its financial obligations as they fall</w:t>
      </w:r>
      <w:r>
        <w:rPr>
          <w:color w:val="231F20"/>
          <w:spacing w:val="-11"/>
        </w:rPr>
        <w:t xml:space="preserve"> </w:t>
      </w:r>
      <w:r>
        <w:rPr>
          <w:color w:val="231F20"/>
        </w:rPr>
        <w:t>due.</w:t>
      </w:r>
      <w:r>
        <w:rPr>
          <w:color w:val="231F20"/>
          <w:spacing w:val="-10"/>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operates</w:t>
      </w:r>
      <w:r>
        <w:rPr>
          <w:color w:val="231F20"/>
          <w:spacing w:val="-10"/>
        </w:rPr>
        <w:t xml:space="preserve"> </w:t>
      </w:r>
      <w:r>
        <w:rPr>
          <w:color w:val="231F20"/>
        </w:rPr>
        <w:t>under</w:t>
      </w:r>
      <w:r>
        <w:rPr>
          <w:color w:val="231F20"/>
          <w:spacing w:val="-10"/>
        </w:rPr>
        <w:t xml:space="preserve"> </w:t>
      </w:r>
      <w:r>
        <w:rPr>
          <w:color w:val="231F20"/>
        </w:rPr>
        <w:t>the</w:t>
      </w:r>
      <w:r>
        <w:rPr>
          <w:color w:val="231F20"/>
          <w:spacing w:val="-11"/>
        </w:rPr>
        <w:t xml:space="preserve"> </w:t>
      </w:r>
      <w:r>
        <w:rPr>
          <w:color w:val="231F20"/>
        </w:rPr>
        <w:t>government</w:t>
      </w:r>
      <w:r>
        <w:rPr>
          <w:color w:val="231F20"/>
          <w:spacing w:val="-10"/>
        </w:rPr>
        <w:t xml:space="preserve"> </w:t>
      </w:r>
      <w:r>
        <w:rPr>
          <w:color w:val="231F20"/>
        </w:rPr>
        <w:t>fair</w:t>
      </w:r>
      <w:r>
        <w:rPr>
          <w:color w:val="231F20"/>
          <w:spacing w:val="-10"/>
        </w:rPr>
        <w:t xml:space="preserve"> </w:t>
      </w:r>
      <w:r>
        <w:rPr>
          <w:color w:val="231F20"/>
        </w:rPr>
        <w:t>payments</w:t>
      </w:r>
      <w:r>
        <w:rPr>
          <w:color w:val="231F20"/>
          <w:spacing w:val="-10"/>
        </w:rPr>
        <w:t xml:space="preserve"> </w:t>
      </w:r>
      <w:r>
        <w:rPr>
          <w:color w:val="231F20"/>
        </w:rPr>
        <w:t>policy</w:t>
      </w:r>
      <w:r>
        <w:rPr>
          <w:color w:val="231F20"/>
          <w:spacing w:val="-10"/>
        </w:rPr>
        <w:t xml:space="preserve"> </w:t>
      </w:r>
      <w:r>
        <w:rPr>
          <w:color w:val="231F20"/>
        </w:rPr>
        <w:t>of</w:t>
      </w:r>
      <w:r>
        <w:rPr>
          <w:color w:val="231F20"/>
          <w:spacing w:val="-10"/>
        </w:rPr>
        <w:t xml:space="preserve"> </w:t>
      </w:r>
      <w:r>
        <w:rPr>
          <w:color w:val="231F20"/>
        </w:rPr>
        <w:t>settling</w:t>
      </w:r>
      <w:r>
        <w:rPr>
          <w:color w:val="231F20"/>
          <w:spacing w:val="-11"/>
        </w:rPr>
        <w:t xml:space="preserve"> </w:t>
      </w:r>
      <w:r>
        <w:rPr>
          <w:color w:val="231F20"/>
        </w:rPr>
        <w:t>financial obligations</w:t>
      </w:r>
      <w:r>
        <w:rPr>
          <w:color w:val="231F20"/>
          <w:spacing w:val="-2"/>
        </w:rPr>
        <w:t xml:space="preserve"> </w:t>
      </w:r>
      <w:r>
        <w:rPr>
          <w:color w:val="231F20"/>
        </w:rPr>
        <w:t>within</w:t>
      </w:r>
      <w:r>
        <w:rPr>
          <w:color w:val="231F20"/>
          <w:spacing w:val="-3"/>
        </w:rPr>
        <w:t xml:space="preserve"> </w:t>
      </w:r>
      <w:r>
        <w:rPr>
          <w:color w:val="231F20"/>
        </w:rPr>
        <w:t>30</w:t>
      </w:r>
      <w:r>
        <w:rPr>
          <w:color w:val="231F20"/>
          <w:spacing w:val="-3"/>
        </w:rPr>
        <w:t xml:space="preserve"> </w:t>
      </w:r>
      <w:r>
        <w:rPr>
          <w:color w:val="231F20"/>
        </w:rPr>
        <w:t>days</w:t>
      </w:r>
      <w:r>
        <w:rPr>
          <w:color w:val="231F20"/>
          <w:spacing w:val="-2"/>
        </w:rPr>
        <w:t xml:space="preserve"> </w:t>
      </w:r>
      <w:r>
        <w:rPr>
          <w:color w:val="231F20"/>
        </w:rPr>
        <w:t>and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event</w:t>
      </w:r>
      <w:r>
        <w:rPr>
          <w:color w:val="231F20"/>
          <w:spacing w:val="-2"/>
        </w:rPr>
        <w:t xml:space="preserve"> </w:t>
      </w:r>
      <w:r>
        <w:rPr>
          <w:color w:val="231F20"/>
        </w:rPr>
        <w:t>of</w:t>
      </w:r>
      <w:r>
        <w:rPr>
          <w:color w:val="231F20"/>
          <w:spacing w:val="-2"/>
        </w:rPr>
        <w:t xml:space="preserve"> </w:t>
      </w:r>
      <w:r>
        <w:rPr>
          <w:color w:val="231F20"/>
        </w:rPr>
        <w:t>a</w:t>
      </w:r>
      <w:r>
        <w:rPr>
          <w:color w:val="231F20"/>
          <w:spacing w:val="-3"/>
        </w:rPr>
        <w:t xml:space="preserve"> </w:t>
      </w:r>
      <w:r>
        <w:rPr>
          <w:color w:val="231F20"/>
        </w:rPr>
        <w:t>dispute,</w:t>
      </w:r>
      <w:r>
        <w:rPr>
          <w:color w:val="231F20"/>
          <w:spacing w:val="-2"/>
        </w:rPr>
        <w:t xml:space="preserve"> </w:t>
      </w:r>
      <w:r>
        <w:rPr>
          <w:color w:val="231F20"/>
        </w:rPr>
        <w:t>making</w:t>
      </w:r>
      <w:r>
        <w:rPr>
          <w:color w:val="231F20"/>
          <w:spacing w:val="-3"/>
        </w:rPr>
        <w:t xml:space="preserve"> </w:t>
      </w:r>
      <w:r>
        <w:rPr>
          <w:color w:val="231F20"/>
        </w:rPr>
        <w:t>payments</w:t>
      </w:r>
      <w:r>
        <w:rPr>
          <w:color w:val="231F20"/>
          <w:spacing w:val="-2"/>
        </w:rPr>
        <w:t xml:space="preserve"> </w:t>
      </w:r>
      <w:r>
        <w:rPr>
          <w:color w:val="231F20"/>
        </w:rPr>
        <w:t>within</w:t>
      </w:r>
      <w:r>
        <w:rPr>
          <w:color w:val="231F20"/>
          <w:spacing w:val="-3"/>
        </w:rPr>
        <w:t xml:space="preserve"> </w:t>
      </w:r>
      <w:r>
        <w:rPr>
          <w:color w:val="231F20"/>
        </w:rPr>
        <w:t>30</w:t>
      </w:r>
      <w:r>
        <w:rPr>
          <w:color w:val="231F20"/>
          <w:spacing w:val="-3"/>
        </w:rPr>
        <w:t xml:space="preserve"> </w:t>
      </w:r>
      <w:r>
        <w:rPr>
          <w:color w:val="231F20"/>
        </w:rPr>
        <w:t>days</w:t>
      </w:r>
      <w:r>
        <w:rPr>
          <w:color w:val="231F20"/>
          <w:spacing w:val="-2"/>
        </w:rPr>
        <w:t xml:space="preserve"> </w:t>
      </w:r>
      <w:r>
        <w:rPr>
          <w:color w:val="231F20"/>
        </w:rPr>
        <w:t>from the date of resolution.</w:t>
      </w:r>
    </w:p>
    <w:p w14:paraId="3FD577E3" w14:textId="77777777" w:rsidR="00345EE3" w:rsidRDefault="00345EE3" w:rsidP="00345EE3">
      <w:pPr>
        <w:pStyle w:val="BodyText"/>
        <w:spacing w:before="119" w:line="242" w:lineRule="auto"/>
        <w:ind w:right="477"/>
        <w:jc w:val="both"/>
      </w:pPr>
      <w:r>
        <w:rPr>
          <w:color w:val="231F20"/>
        </w:rPr>
        <w:t>Victoria</w:t>
      </w:r>
      <w:r>
        <w:rPr>
          <w:color w:val="231F20"/>
          <w:spacing w:val="-7"/>
        </w:rPr>
        <w:t xml:space="preserve"> </w:t>
      </w:r>
      <w:r>
        <w:rPr>
          <w:color w:val="231F20"/>
        </w:rPr>
        <w:t>Police</w:t>
      </w:r>
      <w:r>
        <w:rPr>
          <w:color w:val="231F20"/>
          <w:spacing w:val="-7"/>
        </w:rPr>
        <w:t xml:space="preserve"> </w:t>
      </w:r>
      <w:r>
        <w:rPr>
          <w:color w:val="231F20"/>
        </w:rPr>
        <w:t>is</w:t>
      </w:r>
      <w:r>
        <w:rPr>
          <w:color w:val="231F20"/>
          <w:spacing w:val="-6"/>
        </w:rPr>
        <w:t xml:space="preserve"> </w:t>
      </w:r>
      <w:r>
        <w:rPr>
          <w:color w:val="231F20"/>
        </w:rPr>
        <w:t>exposed</w:t>
      </w:r>
      <w:r>
        <w:rPr>
          <w:color w:val="231F20"/>
          <w:spacing w:val="-7"/>
        </w:rPr>
        <w:t xml:space="preserve"> </w:t>
      </w:r>
      <w:r>
        <w:rPr>
          <w:color w:val="231F20"/>
        </w:rPr>
        <w:t>to</w:t>
      </w:r>
      <w:r>
        <w:rPr>
          <w:color w:val="231F20"/>
          <w:spacing w:val="-7"/>
        </w:rPr>
        <w:t xml:space="preserve"> </w:t>
      </w:r>
      <w:r>
        <w:rPr>
          <w:color w:val="231F20"/>
        </w:rPr>
        <w:t>liquidity</w:t>
      </w:r>
      <w:r>
        <w:rPr>
          <w:color w:val="231F20"/>
          <w:spacing w:val="-6"/>
        </w:rPr>
        <w:t xml:space="preserve"> </w:t>
      </w:r>
      <w:r>
        <w:rPr>
          <w:color w:val="231F20"/>
        </w:rPr>
        <w:t>risk</w:t>
      </w:r>
      <w:r>
        <w:rPr>
          <w:color w:val="231F20"/>
          <w:spacing w:val="-6"/>
        </w:rPr>
        <w:t xml:space="preserve"> </w:t>
      </w:r>
      <w:r>
        <w:rPr>
          <w:color w:val="231F20"/>
        </w:rPr>
        <w:t>mainly</w:t>
      </w:r>
      <w:r>
        <w:rPr>
          <w:color w:val="231F20"/>
          <w:spacing w:val="-6"/>
        </w:rPr>
        <w:t xml:space="preserve"> </w:t>
      </w:r>
      <w:r>
        <w:rPr>
          <w:color w:val="231F20"/>
        </w:rPr>
        <w:t>through</w:t>
      </w:r>
      <w:r>
        <w:rPr>
          <w:color w:val="231F20"/>
          <w:spacing w:val="-7"/>
        </w:rPr>
        <w:t xml:space="preserve"> </w:t>
      </w:r>
      <w:r>
        <w:rPr>
          <w:color w:val="231F20"/>
        </w:rPr>
        <w:t>the</w:t>
      </w:r>
      <w:r>
        <w:rPr>
          <w:color w:val="231F20"/>
          <w:spacing w:val="-7"/>
        </w:rPr>
        <w:t xml:space="preserve"> </w:t>
      </w:r>
      <w:r>
        <w:rPr>
          <w:color w:val="231F20"/>
        </w:rPr>
        <w:t>financial</w:t>
      </w:r>
      <w:r>
        <w:rPr>
          <w:color w:val="231F20"/>
          <w:spacing w:val="-7"/>
        </w:rPr>
        <w:t xml:space="preserve"> </w:t>
      </w:r>
      <w:r>
        <w:rPr>
          <w:color w:val="231F20"/>
        </w:rPr>
        <w:t>liabilities</w:t>
      </w:r>
      <w:r>
        <w:rPr>
          <w:color w:val="231F20"/>
          <w:spacing w:val="-6"/>
        </w:rPr>
        <w:t xml:space="preserve"> </w:t>
      </w:r>
      <w:r>
        <w:rPr>
          <w:color w:val="231F20"/>
        </w:rPr>
        <w:t>as</w:t>
      </w:r>
      <w:r>
        <w:rPr>
          <w:color w:val="231F20"/>
          <w:spacing w:val="-6"/>
        </w:rPr>
        <w:t xml:space="preserve"> </w:t>
      </w:r>
      <w:r>
        <w:rPr>
          <w:color w:val="231F20"/>
        </w:rPr>
        <w:t>disclosed</w:t>
      </w:r>
      <w:r>
        <w:rPr>
          <w:color w:val="231F20"/>
          <w:spacing w:val="-7"/>
        </w:rPr>
        <w:t xml:space="preserve"> </w:t>
      </w:r>
      <w:r>
        <w:rPr>
          <w:color w:val="231F20"/>
        </w:rPr>
        <w:t>in the</w:t>
      </w:r>
      <w:r>
        <w:rPr>
          <w:color w:val="231F20"/>
          <w:spacing w:val="-9"/>
        </w:rPr>
        <w:t xml:space="preserve"> </w:t>
      </w:r>
      <w:r>
        <w:rPr>
          <w:color w:val="231F20"/>
        </w:rPr>
        <w:t>face</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Balance</w:t>
      </w:r>
      <w:r>
        <w:rPr>
          <w:color w:val="231F20"/>
          <w:spacing w:val="-9"/>
        </w:rPr>
        <w:t xml:space="preserve"> </w:t>
      </w:r>
      <w:r>
        <w:rPr>
          <w:color w:val="231F20"/>
        </w:rPr>
        <w:t>Sheet</w:t>
      </w:r>
      <w:r>
        <w:rPr>
          <w:color w:val="231F20"/>
          <w:spacing w:val="-8"/>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amounts</w:t>
      </w:r>
      <w:r>
        <w:rPr>
          <w:color w:val="231F20"/>
          <w:spacing w:val="-8"/>
        </w:rPr>
        <w:t xml:space="preserve"> </w:t>
      </w:r>
      <w:r>
        <w:rPr>
          <w:color w:val="231F20"/>
        </w:rPr>
        <w:t>related</w:t>
      </w:r>
      <w:r>
        <w:rPr>
          <w:color w:val="231F20"/>
          <w:spacing w:val="-9"/>
        </w:rPr>
        <w:t xml:space="preserve"> </w:t>
      </w:r>
      <w:r>
        <w:rPr>
          <w:color w:val="231F20"/>
        </w:rPr>
        <w:t>to</w:t>
      </w:r>
      <w:r>
        <w:rPr>
          <w:color w:val="231F20"/>
          <w:spacing w:val="-9"/>
        </w:rPr>
        <w:t xml:space="preserve"> </w:t>
      </w:r>
      <w:r>
        <w:rPr>
          <w:color w:val="231F20"/>
        </w:rPr>
        <w:t>financial</w:t>
      </w:r>
      <w:r>
        <w:rPr>
          <w:color w:val="231F20"/>
          <w:spacing w:val="-9"/>
        </w:rPr>
        <w:t xml:space="preserve"> </w:t>
      </w:r>
      <w:r>
        <w:rPr>
          <w:color w:val="231F20"/>
        </w:rPr>
        <w:t>guarantees.</w:t>
      </w:r>
      <w:r>
        <w:rPr>
          <w:color w:val="231F20"/>
          <w:spacing w:val="-8"/>
        </w:rPr>
        <w:t xml:space="preserve"> </w:t>
      </w:r>
      <w:r>
        <w:rPr>
          <w:color w:val="231F20"/>
        </w:rPr>
        <w:t>Victoria</w:t>
      </w:r>
      <w:r>
        <w:rPr>
          <w:color w:val="231F20"/>
          <w:spacing w:val="-9"/>
        </w:rPr>
        <w:t xml:space="preserve"> </w:t>
      </w:r>
      <w:r>
        <w:rPr>
          <w:color w:val="231F20"/>
        </w:rPr>
        <w:t>Police manages its liquidity risk by:</w:t>
      </w:r>
    </w:p>
    <w:p w14:paraId="7B651A20" w14:textId="77777777" w:rsidR="00345EE3" w:rsidRDefault="00345EE3">
      <w:pPr>
        <w:pStyle w:val="ListParagraph"/>
        <w:numPr>
          <w:ilvl w:val="0"/>
          <w:numId w:val="16"/>
        </w:numPr>
        <w:tabs>
          <w:tab w:val="left" w:pos="393"/>
          <w:tab w:val="left" w:pos="394"/>
        </w:tabs>
        <w:spacing w:line="242" w:lineRule="auto"/>
        <w:ind w:right="256"/>
        <w:rPr>
          <w:sz w:val="24"/>
        </w:rPr>
      </w:pPr>
      <w:r>
        <w:rPr>
          <w:color w:val="231F20"/>
          <w:sz w:val="24"/>
        </w:rPr>
        <w:t>close</w:t>
      </w:r>
      <w:r>
        <w:rPr>
          <w:color w:val="231F20"/>
          <w:spacing w:val="-10"/>
          <w:sz w:val="24"/>
        </w:rPr>
        <w:t xml:space="preserve"> </w:t>
      </w:r>
      <w:r>
        <w:rPr>
          <w:color w:val="231F20"/>
          <w:sz w:val="24"/>
        </w:rPr>
        <w:t>monitoring</w:t>
      </w:r>
      <w:r>
        <w:rPr>
          <w:color w:val="231F20"/>
          <w:spacing w:val="-10"/>
          <w:sz w:val="24"/>
        </w:rPr>
        <w:t xml:space="preserve"> </w:t>
      </w:r>
      <w:r>
        <w:rPr>
          <w:color w:val="231F20"/>
          <w:sz w:val="24"/>
        </w:rPr>
        <w:t>of</w:t>
      </w:r>
      <w:r>
        <w:rPr>
          <w:color w:val="231F20"/>
          <w:spacing w:val="-9"/>
          <w:sz w:val="24"/>
        </w:rPr>
        <w:t xml:space="preserve"> </w:t>
      </w:r>
      <w:r>
        <w:rPr>
          <w:color w:val="231F20"/>
          <w:sz w:val="24"/>
        </w:rPr>
        <w:t>its</w:t>
      </w:r>
      <w:r>
        <w:rPr>
          <w:color w:val="231F20"/>
          <w:spacing w:val="-9"/>
          <w:sz w:val="24"/>
        </w:rPr>
        <w:t xml:space="preserve"> </w:t>
      </w:r>
      <w:r>
        <w:rPr>
          <w:color w:val="231F20"/>
          <w:sz w:val="24"/>
        </w:rPr>
        <w:t>short-term</w:t>
      </w:r>
      <w:r>
        <w:rPr>
          <w:color w:val="231F20"/>
          <w:spacing w:val="-9"/>
          <w:sz w:val="24"/>
        </w:rPr>
        <w:t xml:space="preserve"> </w:t>
      </w:r>
      <w:r>
        <w:rPr>
          <w:color w:val="231F20"/>
          <w:sz w:val="24"/>
        </w:rPr>
        <w:t>and</w:t>
      </w:r>
      <w:r>
        <w:rPr>
          <w:color w:val="231F20"/>
          <w:spacing w:val="-10"/>
          <w:sz w:val="24"/>
        </w:rPr>
        <w:t xml:space="preserve"> </w:t>
      </w:r>
      <w:r>
        <w:rPr>
          <w:color w:val="231F20"/>
          <w:sz w:val="24"/>
        </w:rPr>
        <w:t>long-term</w:t>
      </w:r>
      <w:r>
        <w:rPr>
          <w:color w:val="231F20"/>
          <w:spacing w:val="-9"/>
          <w:sz w:val="24"/>
        </w:rPr>
        <w:t xml:space="preserve"> </w:t>
      </w:r>
      <w:r>
        <w:rPr>
          <w:color w:val="231F20"/>
          <w:sz w:val="24"/>
        </w:rPr>
        <w:t>borrowings</w:t>
      </w:r>
      <w:r>
        <w:rPr>
          <w:color w:val="231F20"/>
          <w:spacing w:val="-9"/>
          <w:sz w:val="24"/>
        </w:rPr>
        <w:t xml:space="preserve"> </w:t>
      </w:r>
      <w:r>
        <w:rPr>
          <w:color w:val="231F20"/>
          <w:sz w:val="24"/>
        </w:rPr>
        <w:t>by</w:t>
      </w:r>
      <w:r>
        <w:rPr>
          <w:color w:val="231F20"/>
          <w:spacing w:val="-9"/>
          <w:sz w:val="24"/>
        </w:rPr>
        <w:t xml:space="preserve"> </w:t>
      </w:r>
      <w:r>
        <w:rPr>
          <w:color w:val="231F20"/>
          <w:sz w:val="24"/>
        </w:rPr>
        <w:t>senior</w:t>
      </w:r>
      <w:r>
        <w:rPr>
          <w:color w:val="231F20"/>
          <w:spacing w:val="-9"/>
          <w:sz w:val="24"/>
        </w:rPr>
        <w:t xml:space="preserve"> </w:t>
      </w:r>
      <w:r>
        <w:rPr>
          <w:color w:val="231F20"/>
          <w:sz w:val="24"/>
        </w:rPr>
        <w:t>management,</w:t>
      </w:r>
      <w:r>
        <w:rPr>
          <w:color w:val="231F20"/>
          <w:spacing w:val="-9"/>
          <w:sz w:val="24"/>
        </w:rPr>
        <w:t xml:space="preserve"> </w:t>
      </w:r>
      <w:r>
        <w:rPr>
          <w:color w:val="231F20"/>
          <w:sz w:val="24"/>
        </w:rPr>
        <w:t>including monthly</w:t>
      </w:r>
      <w:r>
        <w:rPr>
          <w:color w:val="231F20"/>
          <w:spacing w:val="-8"/>
          <w:sz w:val="24"/>
        </w:rPr>
        <w:t xml:space="preserve"> </w:t>
      </w:r>
      <w:r>
        <w:rPr>
          <w:color w:val="231F20"/>
          <w:sz w:val="24"/>
        </w:rPr>
        <w:t>reviews</w:t>
      </w:r>
      <w:r>
        <w:rPr>
          <w:color w:val="231F20"/>
          <w:spacing w:val="-8"/>
          <w:sz w:val="24"/>
        </w:rPr>
        <w:t xml:space="preserve"> </w:t>
      </w:r>
      <w:r>
        <w:rPr>
          <w:color w:val="231F20"/>
          <w:sz w:val="24"/>
        </w:rPr>
        <w:t>on</w:t>
      </w:r>
      <w:r>
        <w:rPr>
          <w:color w:val="231F20"/>
          <w:spacing w:val="-9"/>
          <w:sz w:val="24"/>
        </w:rPr>
        <w:t xml:space="preserve"> </w:t>
      </w:r>
      <w:r>
        <w:rPr>
          <w:color w:val="231F20"/>
          <w:sz w:val="24"/>
        </w:rPr>
        <w:t>current</w:t>
      </w:r>
      <w:r>
        <w:rPr>
          <w:color w:val="231F20"/>
          <w:spacing w:val="-8"/>
          <w:sz w:val="24"/>
        </w:rPr>
        <w:t xml:space="preserve"> </w:t>
      </w:r>
      <w:r>
        <w:rPr>
          <w:color w:val="231F20"/>
          <w:sz w:val="24"/>
        </w:rPr>
        <w:t>and</w:t>
      </w:r>
      <w:r>
        <w:rPr>
          <w:color w:val="231F20"/>
          <w:spacing w:val="-9"/>
          <w:sz w:val="24"/>
        </w:rPr>
        <w:t xml:space="preserve"> </w:t>
      </w:r>
      <w:r>
        <w:rPr>
          <w:color w:val="231F20"/>
          <w:sz w:val="24"/>
        </w:rPr>
        <w:t>future</w:t>
      </w:r>
      <w:r>
        <w:rPr>
          <w:color w:val="231F20"/>
          <w:spacing w:val="-9"/>
          <w:sz w:val="24"/>
        </w:rPr>
        <w:t xml:space="preserve"> </w:t>
      </w:r>
      <w:r>
        <w:rPr>
          <w:color w:val="231F20"/>
          <w:sz w:val="24"/>
        </w:rPr>
        <w:t>borrowing</w:t>
      </w:r>
      <w:r>
        <w:rPr>
          <w:color w:val="231F20"/>
          <w:spacing w:val="-16"/>
          <w:sz w:val="24"/>
        </w:rPr>
        <w:t xml:space="preserve"> </w:t>
      </w:r>
      <w:r>
        <w:rPr>
          <w:color w:val="231F20"/>
          <w:sz w:val="24"/>
        </w:rPr>
        <w:t>levels</w:t>
      </w:r>
      <w:r>
        <w:rPr>
          <w:color w:val="231F20"/>
          <w:spacing w:val="-16"/>
          <w:sz w:val="24"/>
        </w:rPr>
        <w:t xml:space="preserve"> </w:t>
      </w:r>
      <w:r>
        <w:rPr>
          <w:color w:val="231F20"/>
          <w:sz w:val="24"/>
        </w:rPr>
        <w:t>and</w:t>
      </w:r>
      <w:r>
        <w:rPr>
          <w:color w:val="231F20"/>
          <w:spacing w:val="-16"/>
          <w:sz w:val="24"/>
        </w:rPr>
        <w:t xml:space="preserve"> </w:t>
      </w:r>
      <w:r>
        <w:rPr>
          <w:color w:val="231F20"/>
          <w:sz w:val="24"/>
        </w:rPr>
        <w:t>requirements;</w:t>
      </w:r>
    </w:p>
    <w:p w14:paraId="70A83595" w14:textId="77777777" w:rsidR="00345EE3" w:rsidRDefault="00345EE3">
      <w:pPr>
        <w:pStyle w:val="ListParagraph"/>
        <w:numPr>
          <w:ilvl w:val="0"/>
          <w:numId w:val="16"/>
        </w:numPr>
        <w:tabs>
          <w:tab w:val="left" w:pos="393"/>
          <w:tab w:val="left" w:pos="394"/>
        </w:tabs>
        <w:spacing w:before="31" w:line="242" w:lineRule="auto"/>
        <w:ind w:right="167"/>
        <w:rPr>
          <w:sz w:val="24"/>
        </w:rPr>
      </w:pPr>
      <w:r>
        <w:rPr>
          <w:color w:val="231F20"/>
          <w:sz w:val="24"/>
        </w:rPr>
        <w:t>maintaining</w:t>
      </w:r>
      <w:r>
        <w:rPr>
          <w:color w:val="231F20"/>
          <w:spacing w:val="-9"/>
          <w:sz w:val="24"/>
        </w:rPr>
        <w:t xml:space="preserve"> </w:t>
      </w:r>
      <w:r>
        <w:rPr>
          <w:color w:val="231F20"/>
          <w:sz w:val="24"/>
        </w:rPr>
        <w:t>an</w:t>
      </w:r>
      <w:r>
        <w:rPr>
          <w:color w:val="231F20"/>
          <w:spacing w:val="-9"/>
          <w:sz w:val="24"/>
        </w:rPr>
        <w:t xml:space="preserve"> </w:t>
      </w:r>
      <w:r>
        <w:rPr>
          <w:color w:val="231F20"/>
          <w:sz w:val="24"/>
        </w:rPr>
        <w:t>adequate</w:t>
      </w:r>
      <w:r>
        <w:rPr>
          <w:color w:val="231F20"/>
          <w:spacing w:val="-9"/>
          <w:sz w:val="24"/>
        </w:rPr>
        <w:t xml:space="preserve"> </w:t>
      </w:r>
      <w:r>
        <w:rPr>
          <w:color w:val="231F20"/>
          <w:sz w:val="24"/>
        </w:rPr>
        <w:t>level</w:t>
      </w:r>
      <w:r>
        <w:rPr>
          <w:color w:val="231F20"/>
          <w:spacing w:val="-9"/>
          <w:sz w:val="24"/>
        </w:rPr>
        <w:t xml:space="preserve"> </w:t>
      </w:r>
      <w:r>
        <w:rPr>
          <w:color w:val="231F20"/>
          <w:sz w:val="24"/>
        </w:rPr>
        <w:t>of</w:t>
      </w:r>
      <w:r>
        <w:rPr>
          <w:color w:val="231F20"/>
          <w:spacing w:val="-8"/>
          <w:sz w:val="24"/>
        </w:rPr>
        <w:t xml:space="preserve"> </w:t>
      </w:r>
      <w:r>
        <w:rPr>
          <w:color w:val="231F20"/>
          <w:sz w:val="24"/>
        </w:rPr>
        <w:t>uncommitted</w:t>
      </w:r>
      <w:r>
        <w:rPr>
          <w:color w:val="231F20"/>
          <w:spacing w:val="-9"/>
          <w:sz w:val="24"/>
        </w:rPr>
        <w:t xml:space="preserve"> </w:t>
      </w:r>
      <w:r>
        <w:rPr>
          <w:color w:val="231F20"/>
          <w:sz w:val="24"/>
        </w:rPr>
        <w:t>funds</w:t>
      </w:r>
      <w:r>
        <w:rPr>
          <w:color w:val="231F20"/>
          <w:spacing w:val="-8"/>
          <w:sz w:val="24"/>
        </w:rPr>
        <w:t xml:space="preserve"> </w:t>
      </w:r>
      <w:r>
        <w:rPr>
          <w:color w:val="231F20"/>
          <w:sz w:val="24"/>
        </w:rPr>
        <w:t>that</w:t>
      </w:r>
      <w:r>
        <w:rPr>
          <w:color w:val="231F20"/>
          <w:spacing w:val="-8"/>
          <w:sz w:val="24"/>
        </w:rPr>
        <w:t xml:space="preserve"> </w:t>
      </w:r>
      <w:r>
        <w:rPr>
          <w:color w:val="231F20"/>
          <w:sz w:val="24"/>
        </w:rPr>
        <w:t>can</w:t>
      </w:r>
      <w:r>
        <w:rPr>
          <w:color w:val="231F20"/>
          <w:spacing w:val="-9"/>
          <w:sz w:val="24"/>
        </w:rPr>
        <w:t xml:space="preserve"> </w:t>
      </w:r>
      <w:r>
        <w:rPr>
          <w:color w:val="231F20"/>
          <w:sz w:val="24"/>
        </w:rPr>
        <w:t>be</w:t>
      </w:r>
      <w:r>
        <w:rPr>
          <w:color w:val="231F20"/>
          <w:spacing w:val="-9"/>
          <w:sz w:val="24"/>
        </w:rPr>
        <w:t xml:space="preserve"> </w:t>
      </w:r>
      <w:r>
        <w:rPr>
          <w:color w:val="231F20"/>
          <w:sz w:val="24"/>
        </w:rPr>
        <w:t>drawn</w:t>
      </w:r>
      <w:r>
        <w:rPr>
          <w:color w:val="231F20"/>
          <w:spacing w:val="-9"/>
          <w:sz w:val="24"/>
        </w:rPr>
        <w:t xml:space="preserve"> </w:t>
      </w:r>
      <w:r>
        <w:rPr>
          <w:color w:val="231F20"/>
          <w:sz w:val="24"/>
        </w:rPr>
        <w:t>at</w:t>
      </w:r>
      <w:r>
        <w:rPr>
          <w:color w:val="231F20"/>
          <w:spacing w:val="-8"/>
          <w:sz w:val="24"/>
        </w:rPr>
        <w:t xml:space="preserve"> </w:t>
      </w:r>
      <w:r>
        <w:rPr>
          <w:color w:val="231F20"/>
          <w:sz w:val="24"/>
        </w:rPr>
        <w:t>short</w:t>
      </w:r>
      <w:r>
        <w:rPr>
          <w:color w:val="231F20"/>
          <w:spacing w:val="-8"/>
          <w:sz w:val="24"/>
        </w:rPr>
        <w:t xml:space="preserve"> </w:t>
      </w:r>
      <w:r>
        <w:rPr>
          <w:color w:val="231F20"/>
          <w:sz w:val="24"/>
        </w:rPr>
        <w:t>notice</w:t>
      </w:r>
      <w:r>
        <w:rPr>
          <w:color w:val="231F20"/>
          <w:spacing w:val="-9"/>
          <w:sz w:val="24"/>
        </w:rPr>
        <w:t xml:space="preserve"> </w:t>
      </w:r>
      <w:r>
        <w:rPr>
          <w:color w:val="231F20"/>
          <w:sz w:val="24"/>
        </w:rPr>
        <w:t>to</w:t>
      </w:r>
      <w:r>
        <w:rPr>
          <w:color w:val="231F20"/>
          <w:spacing w:val="-9"/>
          <w:sz w:val="24"/>
        </w:rPr>
        <w:t xml:space="preserve"> </w:t>
      </w:r>
      <w:r>
        <w:rPr>
          <w:color w:val="231F20"/>
          <w:sz w:val="24"/>
        </w:rPr>
        <w:t>meet its short-term obligations;</w:t>
      </w:r>
    </w:p>
    <w:p w14:paraId="001C8DFE" w14:textId="77777777" w:rsidR="00345EE3" w:rsidRDefault="00345EE3">
      <w:pPr>
        <w:pStyle w:val="ListParagraph"/>
        <w:numPr>
          <w:ilvl w:val="0"/>
          <w:numId w:val="16"/>
        </w:numPr>
        <w:tabs>
          <w:tab w:val="left" w:pos="393"/>
          <w:tab w:val="left" w:pos="394"/>
        </w:tabs>
        <w:spacing w:before="31" w:line="242" w:lineRule="auto"/>
        <w:ind w:right="484"/>
        <w:rPr>
          <w:sz w:val="24"/>
        </w:rPr>
      </w:pPr>
      <w:r>
        <w:rPr>
          <w:color w:val="231F20"/>
          <w:sz w:val="24"/>
        </w:rPr>
        <w:t>careful</w:t>
      </w:r>
      <w:r>
        <w:rPr>
          <w:color w:val="231F20"/>
          <w:spacing w:val="-10"/>
          <w:sz w:val="24"/>
        </w:rPr>
        <w:t xml:space="preserve"> </w:t>
      </w:r>
      <w:r>
        <w:rPr>
          <w:color w:val="231F20"/>
          <w:sz w:val="24"/>
        </w:rPr>
        <w:t>maturity</w:t>
      </w:r>
      <w:r>
        <w:rPr>
          <w:color w:val="231F20"/>
          <w:spacing w:val="-9"/>
          <w:sz w:val="24"/>
        </w:rPr>
        <w:t xml:space="preserve"> </w:t>
      </w:r>
      <w:r>
        <w:rPr>
          <w:color w:val="231F20"/>
          <w:sz w:val="24"/>
        </w:rPr>
        <w:t>planning</w:t>
      </w:r>
      <w:r>
        <w:rPr>
          <w:color w:val="231F20"/>
          <w:spacing w:val="-10"/>
          <w:sz w:val="24"/>
        </w:rPr>
        <w:t xml:space="preserve"> </w:t>
      </w:r>
      <w:r>
        <w:rPr>
          <w:color w:val="231F20"/>
          <w:sz w:val="24"/>
        </w:rPr>
        <w:t>of</w:t>
      </w:r>
      <w:r>
        <w:rPr>
          <w:color w:val="231F20"/>
          <w:spacing w:val="-9"/>
          <w:sz w:val="24"/>
        </w:rPr>
        <w:t xml:space="preserve"> </w:t>
      </w:r>
      <w:r>
        <w:rPr>
          <w:color w:val="231F20"/>
          <w:sz w:val="24"/>
        </w:rPr>
        <w:t>its</w:t>
      </w:r>
      <w:r>
        <w:rPr>
          <w:color w:val="231F20"/>
          <w:spacing w:val="-9"/>
          <w:sz w:val="24"/>
        </w:rPr>
        <w:t xml:space="preserve"> </w:t>
      </w:r>
      <w:r>
        <w:rPr>
          <w:color w:val="231F20"/>
          <w:sz w:val="24"/>
        </w:rPr>
        <w:t>financial</w:t>
      </w:r>
      <w:r>
        <w:rPr>
          <w:color w:val="231F20"/>
          <w:spacing w:val="-10"/>
          <w:sz w:val="24"/>
        </w:rPr>
        <w:t xml:space="preserve"> </w:t>
      </w:r>
      <w:r>
        <w:rPr>
          <w:color w:val="231F20"/>
          <w:sz w:val="24"/>
        </w:rPr>
        <w:t>obligations</w:t>
      </w:r>
      <w:r>
        <w:rPr>
          <w:color w:val="231F20"/>
          <w:spacing w:val="-9"/>
          <w:sz w:val="24"/>
        </w:rPr>
        <w:t xml:space="preserve"> </w:t>
      </w:r>
      <w:r>
        <w:rPr>
          <w:color w:val="231F20"/>
          <w:sz w:val="24"/>
        </w:rPr>
        <w:t>based</w:t>
      </w:r>
      <w:r>
        <w:rPr>
          <w:color w:val="231F20"/>
          <w:spacing w:val="-10"/>
          <w:sz w:val="24"/>
        </w:rPr>
        <w:t xml:space="preserve"> </w:t>
      </w:r>
      <w:r>
        <w:rPr>
          <w:color w:val="231F20"/>
          <w:sz w:val="24"/>
        </w:rPr>
        <w:t>on</w:t>
      </w:r>
      <w:r>
        <w:rPr>
          <w:color w:val="231F20"/>
          <w:spacing w:val="-10"/>
          <w:sz w:val="24"/>
        </w:rPr>
        <w:t xml:space="preserve"> </w:t>
      </w:r>
      <w:r>
        <w:rPr>
          <w:color w:val="231F20"/>
          <w:sz w:val="24"/>
        </w:rPr>
        <w:t>forecasts</w:t>
      </w:r>
      <w:r>
        <w:rPr>
          <w:color w:val="231F20"/>
          <w:spacing w:val="-9"/>
          <w:sz w:val="24"/>
        </w:rPr>
        <w:t xml:space="preserve"> </w:t>
      </w:r>
      <w:r>
        <w:rPr>
          <w:color w:val="231F20"/>
          <w:sz w:val="24"/>
        </w:rPr>
        <w:t>of</w:t>
      </w:r>
      <w:r>
        <w:rPr>
          <w:color w:val="231F20"/>
          <w:spacing w:val="-9"/>
          <w:sz w:val="24"/>
        </w:rPr>
        <w:t xml:space="preserve"> </w:t>
      </w:r>
      <w:r>
        <w:rPr>
          <w:color w:val="231F20"/>
          <w:sz w:val="24"/>
        </w:rPr>
        <w:t>future</w:t>
      </w:r>
      <w:r>
        <w:rPr>
          <w:color w:val="231F20"/>
          <w:spacing w:val="-10"/>
          <w:sz w:val="24"/>
        </w:rPr>
        <w:t xml:space="preserve"> </w:t>
      </w:r>
      <w:r>
        <w:rPr>
          <w:color w:val="231F20"/>
          <w:sz w:val="24"/>
        </w:rPr>
        <w:t>cash</w:t>
      </w:r>
      <w:r>
        <w:rPr>
          <w:color w:val="231F20"/>
          <w:spacing w:val="-10"/>
          <w:sz w:val="24"/>
        </w:rPr>
        <w:t xml:space="preserve"> </w:t>
      </w:r>
      <w:r>
        <w:rPr>
          <w:color w:val="231F20"/>
          <w:sz w:val="24"/>
        </w:rPr>
        <w:t xml:space="preserve">flows; </w:t>
      </w:r>
      <w:r>
        <w:rPr>
          <w:color w:val="231F20"/>
          <w:spacing w:val="-4"/>
          <w:sz w:val="24"/>
        </w:rPr>
        <w:t>and</w:t>
      </w:r>
    </w:p>
    <w:p w14:paraId="627FFC4C" w14:textId="77777777" w:rsidR="00345EE3" w:rsidRDefault="00345EE3">
      <w:pPr>
        <w:pStyle w:val="ListParagraph"/>
        <w:numPr>
          <w:ilvl w:val="0"/>
          <w:numId w:val="16"/>
        </w:numPr>
        <w:tabs>
          <w:tab w:val="left" w:pos="393"/>
          <w:tab w:val="left" w:pos="394"/>
        </w:tabs>
        <w:spacing w:before="30" w:line="242" w:lineRule="auto"/>
        <w:ind w:right="219"/>
        <w:rPr>
          <w:sz w:val="24"/>
        </w:rPr>
      </w:pPr>
      <w:r>
        <w:rPr>
          <w:color w:val="231F20"/>
          <w:sz w:val="24"/>
        </w:rPr>
        <w:t>a</w:t>
      </w:r>
      <w:r>
        <w:rPr>
          <w:color w:val="231F20"/>
          <w:spacing w:val="-8"/>
          <w:sz w:val="24"/>
        </w:rPr>
        <w:t xml:space="preserve"> </w:t>
      </w:r>
      <w:r>
        <w:rPr>
          <w:color w:val="231F20"/>
          <w:sz w:val="24"/>
        </w:rPr>
        <w:t>high</w:t>
      </w:r>
      <w:r>
        <w:rPr>
          <w:color w:val="231F20"/>
          <w:spacing w:val="-8"/>
          <w:sz w:val="24"/>
        </w:rPr>
        <w:t xml:space="preserve"> </w:t>
      </w:r>
      <w:r>
        <w:rPr>
          <w:color w:val="231F20"/>
          <w:sz w:val="24"/>
        </w:rPr>
        <w:t>credit</w:t>
      </w:r>
      <w:r>
        <w:rPr>
          <w:color w:val="231F20"/>
          <w:spacing w:val="-8"/>
          <w:sz w:val="24"/>
        </w:rPr>
        <w:t xml:space="preserve"> </w:t>
      </w:r>
      <w:r>
        <w:rPr>
          <w:color w:val="231F20"/>
          <w:sz w:val="24"/>
        </w:rPr>
        <w:t>rating</w:t>
      </w:r>
      <w:r>
        <w:rPr>
          <w:color w:val="231F20"/>
          <w:spacing w:val="-8"/>
          <w:sz w:val="24"/>
        </w:rPr>
        <w:t xml:space="preserve"> </w:t>
      </w:r>
      <w:r>
        <w:rPr>
          <w:color w:val="231F20"/>
          <w:sz w:val="24"/>
        </w:rPr>
        <w:t>for</w:t>
      </w:r>
      <w:r>
        <w:rPr>
          <w:color w:val="231F20"/>
          <w:spacing w:val="-8"/>
          <w:sz w:val="24"/>
        </w:rPr>
        <w:t xml:space="preserve"> </w:t>
      </w:r>
      <w:r>
        <w:rPr>
          <w:color w:val="231F20"/>
          <w:sz w:val="24"/>
        </w:rPr>
        <w:t>the</w:t>
      </w:r>
      <w:r>
        <w:rPr>
          <w:color w:val="231F20"/>
          <w:spacing w:val="-8"/>
          <w:sz w:val="24"/>
        </w:rPr>
        <w:t xml:space="preserve"> </w:t>
      </w:r>
      <w:r>
        <w:rPr>
          <w:color w:val="231F20"/>
          <w:sz w:val="24"/>
        </w:rPr>
        <w:t>State</w:t>
      </w:r>
      <w:r>
        <w:rPr>
          <w:color w:val="231F20"/>
          <w:spacing w:val="-8"/>
          <w:sz w:val="24"/>
        </w:rPr>
        <w:t xml:space="preserve"> </w:t>
      </w:r>
      <w:r>
        <w:rPr>
          <w:color w:val="231F20"/>
          <w:sz w:val="24"/>
        </w:rPr>
        <w:t>of</w:t>
      </w:r>
      <w:r>
        <w:rPr>
          <w:color w:val="231F20"/>
          <w:spacing w:val="-8"/>
          <w:sz w:val="24"/>
        </w:rPr>
        <w:t xml:space="preserve"> </w:t>
      </w:r>
      <w:r>
        <w:rPr>
          <w:color w:val="231F20"/>
          <w:sz w:val="24"/>
        </w:rPr>
        <w:t>Victoria</w:t>
      </w:r>
      <w:r>
        <w:rPr>
          <w:color w:val="231F20"/>
          <w:spacing w:val="-8"/>
          <w:sz w:val="24"/>
        </w:rPr>
        <w:t xml:space="preserve"> </w:t>
      </w:r>
      <w:r>
        <w:rPr>
          <w:color w:val="231F20"/>
          <w:sz w:val="24"/>
        </w:rPr>
        <w:t>(Moody’s</w:t>
      </w:r>
      <w:r>
        <w:rPr>
          <w:color w:val="231F20"/>
          <w:spacing w:val="-8"/>
          <w:sz w:val="24"/>
        </w:rPr>
        <w:t xml:space="preserve"> </w:t>
      </w:r>
      <w:r>
        <w:rPr>
          <w:color w:val="231F20"/>
          <w:sz w:val="24"/>
        </w:rPr>
        <w:t>Investor</w:t>
      </w:r>
      <w:r>
        <w:rPr>
          <w:color w:val="231F20"/>
          <w:spacing w:val="-8"/>
          <w:sz w:val="24"/>
        </w:rPr>
        <w:t xml:space="preserve"> </w:t>
      </w:r>
      <w:r>
        <w:rPr>
          <w:color w:val="231F20"/>
          <w:sz w:val="24"/>
        </w:rPr>
        <w:t>Services</w:t>
      </w:r>
      <w:r>
        <w:rPr>
          <w:color w:val="231F20"/>
          <w:spacing w:val="-8"/>
          <w:sz w:val="24"/>
        </w:rPr>
        <w:t xml:space="preserve"> </w:t>
      </w:r>
      <w:r>
        <w:rPr>
          <w:color w:val="231F20"/>
          <w:sz w:val="24"/>
        </w:rPr>
        <w:t>and</w:t>
      </w:r>
      <w:r>
        <w:rPr>
          <w:color w:val="231F20"/>
          <w:spacing w:val="-8"/>
          <w:sz w:val="24"/>
        </w:rPr>
        <w:t xml:space="preserve"> </w:t>
      </w:r>
      <w:r>
        <w:rPr>
          <w:color w:val="231F20"/>
          <w:sz w:val="24"/>
        </w:rPr>
        <w:t>Standard</w:t>
      </w:r>
      <w:r>
        <w:rPr>
          <w:color w:val="231F20"/>
          <w:spacing w:val="-8"/>
          <w:sz w:val="24"/>
        </w:rPr>
        <w:t xml:space="preserve"> </w:t>
      </w:r>
      <w:r>
        <w:rPr>
          <w:color w:val="231F20"/>
          <w:sz w:val="24"/>
        </w:rPr>
        <w:t>&amp;</w:t>
      </w:r>
      <w:r>
        <w:rPr>
          <w:color w:val="231F20"/>
          <w:spacing w:val="-8"/>
          <w:sz w:val="24"/>
        </w:rPr>
        <w:t xml:space="preserve"> </w:t>
      </w:r>
      <w:r>
        <w:rPr>
          <w:color w:val="231F20"/>
          <w:sz w:val="24"/>
        </w:rPr>
        <w:t>Poor’s double-A,</w:t>
      </w:r>
      <w:r>
        <w:rPr>
          <w:color w:val="231F20"/>
          <w:spacing w:val="-4"/>
          <w:sz w:val="24"/>
        </w:rPr>
        <w:t xml:space="preserve"> </w:t>
      </w:r>
      <w:r>
        <w:rPr>
          <w:color w:val="231F20"/>
          <w:sz w:val="24"/>
        </w:rPr>
        <w:t>which</w:t>
      </w:r>
      <w:r>
        <w:rPr>
          <w:color w:val="231F20"/>
          <w:spacing w:val="-5"/>
          <w:sz w:val="24"/>
        </w:rPr>
        <w:t xml:space="preserve"> </w:t>
      </w:r>
      <w:r>
        <w:rPr>
          <w:color w:val="231F20"/>
          <w:sz w:val="24"/>
        </w:rPr>
        <w:t>assists</w:t>
      </w:r>
      <w:r>
        <w:rPr>
          <w:color w:val="231F20"/>
          <w:spacing w:val="-4"/>
          <w:sz w:val="24"/>
        </w:rPr>
        <w:t xml:space="preserve"> </w:t>
      </w:r>
      <w:r>
        <w:rPr>
          <w:color w:val="231F20"/>
          <w:sz w:val="24"/>
        </w:rPr>
        <w:t>in</w:t>
      </w:r>
      <w:r>
        <w:rPr>
          <w:color w:val="231F20"/>
          <w:spacing w:val="-5"/>
          <w:sz w:val="24"/>
        </w:rPr>
        <w:t xml:space="preserve"> </w:t>
      </w:r>
      <w:r>
        <w:rPr>
          <w:color w:val="231F20"/>
          <w:sz w:val="24"/>
        </w:rPr>
        <w:t>accessing</w:t>
      </w:r>
      <w:r>
        <w:rPr>
          <w:color w:val="231F20"/>
          <w:spacing w:val="-5"/>
          <w:sz w:val="24"/>
        </w:rPr>
        <w:t xml:space="preserve"> </w:t>
      </w:r>
      <w:r>
        <w:rPr>
          <w:color w:val="231F20"/>
          <w:sz w:val="24"/>
        </w:rPr>
        <w:t>debt</w:t>
      </w:r>
      <w:r>
        <w:rPr>
          <w:color w:val="231F20"/>
          <w:spacing w:val="-4"/>
          <w:sz w:val="24"/>
        </w:rPr>
        <w:t xml:space="preserve"> </w:t>
      </w:r>
      <w:r>
        <w:rPr>
          <w:color w:val="231F20"/>
          <w:sz w:val="24"/>
        </w:rPr>
        <w:t>market</w:t>
      </w:r>
      <w:r>
        <w:rPr>
          <w:color w:val="231F20"/>
          <w:spacing w:val="-12"/>
          <w:sz w:val="24"/>
        </w:rPr>
        <w:t xml:space="preserve"> </w:t>
      </w:r>
      <w:r>
        <w:rPr>
          <w:color w:val="231F20"/>
          <w:sz w:val="24"/>
        </w:rPr>
        <w:t>at</w:t>
      </w:r>
      <w:r>
        <w:rPr>
          <w:color w:val="231F20"/>
          <w:spacing w:val="-12"/>
          <w:sz w:val="24"/>
        </w:rPr>
        <w:t xml:space="preserve"> </w:t>
      </w:r>
      <w:r>
        <w:rPr>
          <w:color w:val="231F20"/>
          <w:sz w:val="24"/>
        </w:rPr>
        <w:t>a</w:t>
      </w:r>
      <w:r>
        <w:rPr>
          <w:color w:val="231F20"/>
          <w:spacing w:val="-12"/>
          <w:sz w:val="24"/>
        </w:rPr>
        <w:t xml:space="preserve"> </w:t>
      </w:r>
      <w:r>
        <w:rPr>
          <w:color w:val="231F20"/>
          <w:sz w:val="24"/>
        </w:rPr>
        <w:t>lower</w:t>
      </w:r>
      <w:r>
        <w:rPr>
          <w:color w:val="231F20"/>
          <w:spacing w:val="-12"/>
          <w:sz w:val="24"/>
        </w:rPr>
        <w:t xml:space="preserve"> </w:t>
      </w:r>
      <w:r>
        <w:rPr>
          <w:color w:val="231F20"/>
          <w:sz w:val="24"/>
        </w:rPr>
        <w:t>interest</w:t>
      </w:r>
      <w:r>
        <w:rPr>
          <w:color w:val="231F20"/>
          <w:spacing w:val="-12"/>
          <w:sz w:val="24"/>
        </w:rPr>
        <w:t xml:space="preserve"> </w:t>
      </w:r>
      <w:r>
        <w:rPr>
          <w:color w:val="231F20"/>
          <w:sz w:val="24"/>
        </w:rPr>
        <w:t>rate).</w:t>
      </w:r>
    </w:p>
    <w:p w14:paraId="62FEE433" w14:textId="77777777" w:rsidR="00345EE3" w:rsidRDefault="00345EE3" w:rsidP="00345EE3">
      <w:pPr>
        <w:pStyle w:val="BodyText"/>
        <w:spacing w:before="60" w:line="242" w:lineRule="auto"/>
        <w:ind w:right="421"/>
      </w:pPr>
      <w:r>
        <w:rPr>
          <w:color w:val="231F20"/>
        </w:rPr>
        <w:t>Victoria Police’s exposure to liquidity risk is deemed insignificant based on prior period’s data and</w:t>
      </w:r>
      <w:r>
        <w:rPr>
          <w:color w:val="231F20"/>
          <w:spacing w:val="-9"/>
        </w:rPr>
        <w:t xml:space="preserve"> </w:t>
      </w:r>
      <w:r>
        <w:rPr>
          <w:color w:val="231F20"/>
        </w:rPr>
        <w:t>current</w:t>
      </w:r>
      <w:r>
        <w:rPr>
          <w:color w:val="231F20"/>
          <w:spacing w:val="-8"/>
        </w:rPr>
        <w:t xml:space="preserve"> </w:t>
      </w:r>
      <w:r>
        <w:rPr>
          <w:color w:val="231F20"/>
        </w:rPr>
        <w:t>assessment</w:t>
      </w:r>
      <w:r>
        <w:rPr>
          <w:color w:val="231F20"/>
          <w:spacing w:val="-8"/>
        </w:rPr>
        <w:t xml:space="preserve"> </w:t>
      </w:r>
      <w:r>
        <w:rPr>
          <w:color w:val="231F20"/>
        </w:rPr>
        <w:t>of</w:t>
      </w:r>
      <w:r>
        <w:rPr>
          <w:color w:val="231F20"/>
          <w:spacing w:val="-8"/>
        </w:rPr>
        <w:t xml:space="preserve"> </w:t>
      </w:r>
      <w:r>
        <w:rPr>
          <w:color w:val="231F20"/>
        </w:rPr>
        <w:t>risk.</w:t>
      </w:r>
      <w:r>
        <w:rPr>
          <w:color w:val="231F20"/>
          <w:spacing w:val="-8"/>
        </w:rPr>
        <w:t xml:space="preserve"> </w:t>
      </w:r>
      <w:r>
        <w:rPr>
          <w:color w:val="231F20"/>
        </w:rPr>
        <w:t>Cash</w:t>
      </w:r>
      <w:r>
        <w:rPr>
          <w:color w:val="231F20"/>
          <w:spacing w:val="-9"/>
        </w:rPr>
        <w:t xml:space="preserve"> </w:t>
      </w:r>
      <w:r>
        <w:rPr>
          <w:color w:val="231F20"/>
        </w:rPr>
        <w:t>for</w:t>
      </w:r>
      <w:r>
        <w:rPr>
          <w:color w:val="231F20"/>
          <w:spacing w:val="-8"/>
        </w:rPr>
        <w:t xml:space="preserve"> </w:t>
      </w:r>
      <w:r>
        <w:rPr>
          <w:color w:val="231F20"/>
        </w:rPr>
        <w:t>unexpected</w:t>
      </w:r>
      <w:r>
        <w:rPr>
          <w:color w:val="231F20"/>
          <w:spacing w:val="-9"/>
        </w:rPr>
        <w:t xml:space="preserve"> </w:t>
      </w:r>
      <w:r>
        <w:rPr>
          <w:color w:val="231F20"/>
        </w:rPr>
        <w:t>events</w:t>
      </w:r>
      <w:r>
        <w:rPr>
          <w:color w:val="231F20"/>
          <w:spacing w:val="-8"/>
        </w:rPr>
        <w:t xml:space="preserve"> </w:t>
      </w:r>
      <w:r>
        <w:rPr>
          <w:color w:val="231F20"/>
        </w:rPr>
        <w:t>is</w:t>
      </w:r>
      <w:r>
        <w:rPr>
          <w:color w:val="231F20"/>
          <w:spacing w:val="-8"/>
        </w:rPr>
        <w:t xml:space="preserve"> </w:t>
      </w:r>
      <w:r>
        <w:rPr>
          <w:color w:val="231F20"/>
        </w:rPr>
        <w:t>generally</w:t>
      </w:r>
      <w:r>
        <w:rPr>
          <w:color w:val="231F20"/>
          <w:spacing w:val="-8"/>
        </w:rPr>
        <w:t xml:space="preserve"> </w:t>
      </w:r>
      <w:r>
        <w:rPr>
          <w:color w:val="231F20"/>
        </w:rPr>
        <w:t>sourced</w:t>
      </w:r>
      <w:r>
        <w:rPr>
          <w:color w:val="231F20"/>
          <w:spacing w:val="-9"/>
        </w:rPr>
        <w:t xml:space="preserve"> </w:t>
      </w:r>
      <w:r>
        <w:rPr>
          <w:color w:val="231F20"/>
        </w:rPr>
        <w:t>from</w:t>
      </w:r>
      <w:r>
        <w:rPr>
          <w:color w:val="231F20"/>
          <w:spacing w:val="-8"/>
        </w:rPr>
        <w:t xml:space="preserve"> </w:t>
      </w:r>
      <w:r>
        <w:rPr>
          <w:color w:val="231F20"/>
        </w:rPr>
        <w:t>making a request to the Treasury Corporation of Victoria (TCV). The carrying amount detailed in the following</w:t>
      </w:r>
      <w:r>
        <w:rPr>
          <w:color w:val="231F20"/>
          <w:spacing w:val="-12"/>
        </w:rPr>
        <w:t xml:space="preserve"> </w:t>
      </w:r>
      <w:r>
        <w:rPr>
          <w:color w:val="231F20"/>
        </w:rPr>
        <w:t>table</w:t>
      </w:r>
      <w:r>
        <w:rPr>
          <w:color w:val="231F20"/>
          <w:spacing w:val="-12"/>
        </w:rPr>
        <w:t xml:space="preserve"> </w:t>
      </w:r>
      <w:r>
        <w:rPr>
          <w:color w:val="231F20"/>
        </w:rPr>
        <w:t>of</w:t>
      </w:r>
      <w:r>
        <w:rPr>
          <w:color w:val="231F20"/>
          <w:spacing w:val="-11"/>
        </w:rPr>
        <w:t xml:space="preserve"> </w:t>
      </w:r>
      <w:r>
        <w:rPr>
          <w:color w:val="231F20"/>
        </w:rPr>
        <w:t>contractual</w:t>
      </w:r>
      <w:r>
        <w:rPr>
          <w:color w:val="231F20"/>
          <w:spacing w:val="-12"/>
        </w:rPr>
        <w:t xml:space="preserve"> </w:t>
      </w:r>
      <w:r>
        <w:rPr>
          <w:color w:val="231F20"/>
        </w:rPr>
        <w:t>financial</w:t>
      </w:r>
      <w:r>
        <w:rPr>
          <w:color w:val="231F20"/>
          <w:spacing w:val="-12"/>
        </w:rPr>
        <w:t xml:space="preserve"> </w:t>
      </w:r>
      <w:r>
        <w:rPr>
          <w:color w:val="231F20"/>
        </w:rPr>
        <w:t>liabilities</w:t>
      </w:r>
      <w:r>
        <w:rPr>
          <w:color w:val="231F20"/>
          <w:spacing w:val="-11"/>
        </w:rPr>
        <w:t xml:space="preserve"> </w:t>
      </w:r>
      <w:r>
        <w:rPr>
          <w:color w:val="231F20"/>
        </w:rPr>
        <w:t>recorded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financial</w:t>
      </w:r>
      <w:r>
        <w:rPr>
          <w:color w:val="231F20"/>
          <w:spacing w:val="-12"/>
        </w:rPr>
        <w:t xml:space="preserve"> </w:t>
      </w:r>
      <w:r>
        <w:rPr>
          <w:color w:val="231F20"/>
        </w:rPr>
        <w:t>statements</w:t>
      </w:r>
      <w:r>
        <w:rPr>
          <w:color w:val="231F20"/>
          <w:spacing w:val="-11"/>
        </w:rPr>
        <w:t xml:space="preserve"> </w:t>
      </w:r>
      <w:r>
        <w:rPr>
          <w:color w:val="231F20"/>
        </w:rPr>
        <w:t>represents Victoria Police’s maximum exposure to liquidity risk.</w:t>
      </w:r>
    </w:p>
    <w:p w14:paraId="678552AA" w14:textId="77777777" w:rsidR="00345EE3" w:rsidRDefault="00345EE3" w:rsidP="00345EE3">
      <w:pPr>
        <w:spacing w:before="120"/>
        <w:rPr>
          <w:b/>
          <w:sz w:val="24"/>
        </w:rPr>
      </w:pPr>
      <w:r>
        <w:rPr>
          <w:b/>
          <w:color w:val="231F20"/>
          <w:sz w:val="24"/>
        </w:rPr>
        <w:t>Maturity</w:t>
      </w:r>
      <w:r>
        <w:rPr>
          <w:b/>
          <w:color w:val="231F20"/>
          <w:spacing w:val="-6"/>
          <w:sz w:val="24"/>
        </w:rPr>
        <w:t xml:space="preserve"> </w:t>
      </w:r>
      <w:r>
        <w:rPr>
          <w:b/>
          <w:color w:val="231F20"/>
          <w:sz w:val="24"/>
        </w:rPr>
        <w:t>Analysis</w:t>
      </w:r>
      <w:r>
        <w:rPr>
          <w:b/>
          <w:color w:val="231F20"/>
          <w:spacing w:val="-3"/>
          <w:sz w:val="24"/>
        </w:rPr>
        <w:t xml:space="preserve"> </w:t>
      </w:r>
      <w:r>
        <w:rPr>
          <w:b/>
          <w:color w:val="231F20"/>
          <w:sz w:val="24"/>
        </w:rPr>
        <w:t>of</w:t>
      </w:r>
      <w:r>
        <w:rPr>
          <w:b/>
          <w:color w:val="231F20"/>
          <w:spacing w:val="-2"/>
          <w:sz w:val="24"/>
        </w:rPr>
        <w:t xml:space="preserve"> </w:t>
      </w:r>
      <w:r>
        <w:rPr>
          <w:b/>
          <w:color w:val="231F20"/>
          <w:sz w:val="24"/>
        </w:rPr>
        <w:t>Contractual</w:t>
      </w:r>
      <w:r>
        <w:rPr>
          <w:b/>
          <w:color w:val="231F20"/>
          <w:spacing w:val="-3"/>
          <w:sz w:val="24"/>
        </w:rPr>
        <w:t xml:space="preserve"> </w:t>
      </w:r>
      <w:r>
        <w:rPr>
          <w:b/>
          <w:color w:val="231F20"/>
          <w:sz w:val="24"/>
        </w:rPr>
        <w:t>Financial</w:t>
      </w:r>
      <w:r>
        <w:rPr>
          <w:b/>
          <w:color w:val="231F20"/>
          <w:spacing w:val="-3"/>
          <w:sz w:val="24"/>
        </w:rPr>
        <w:t xml:space="preserve"> </w:t>
      </w:r>
      <w:r>
        <w:rPr>
          <w:b/>
          <w:color w:val="231F20"/>
          <w:sz w:val="24"/>
        </w:rPr>
        <w:t>Liabilities</w:t>
      </w:r>
      <w:r>
        <w:rPr>
          <w:b/>
          <w:color w:val="231F20"/>
          <w:spacing w:val="-28"/>
          <w:sz w:val="24"/>
        </w:rPr>
        <w:t xml:space="preserve"> </w:t>
      </w:r>
      <w:r>
        <w:rPr>
          <w:b/>
          <w:color w:val="231F20"/>
          <w:spacing w:val="-5"/>
          <w:sz w:val="24"/>
          <w:vertAlign w:val="superscript"/>
        </w:rPr>
        <w:t>(a)</w:t>
      </w:r>
    </w:p>
    <w:p w14:paraId="00C1314F" w14:textId="77777777" w:rsidR="00345EE3" w:rsidRDefault="00345EE3" w:rsidP="00345EE3">
      <w:pPr>
        <w:pStyle w:val="BodyText"/>
        <w:spacing w:before="4"/>
        <w:rPr>
          <w:b/>
          <w:sz w:val="5"/>
        </w:rPr>
      </w:pPr>
    </w:p>
    <w:tbl>
      <w:tblPr>
        <w:tblW w:w="0" w:type="auto"/>
        <w:tblInd w:w="14" w:type="dxa"/>
        <w:tblLayout w:type="fixed"/>
        <w:tblCellMar>
          <w:left w:w="0" w:type="dxa"/>
          <w:right w:w="0" w:type="dxa"/>
        </w:tblCellMar>
        <w:tblLook w:val="0000" w:firstRow="0" w:lastRow="0" w:firstColumn="0" w:lastColumn="0" w:noHBand="0" w:noVBand="0"/>
      </w:tblPr>
      <w:tblGrid>
        <w:gridCol w:w="3402"/>
        <w:gridCol w:w="1133"/>
        <w:gridCol w:w="1134"/>
        <w:gridCol w:w="1134"/>
        <w:gridCol w:w="1134"/>
        <w:gridCol w:w="1134"/>
        <w:gridCol w:w="1134"/>
      </w:tblGrid>
      <w:tr w:rsidR="00345EE3" w14:paraId="5CCC883F" w14:textId="77777777" w:rsidTr="00D73130">
        <w:trPr>
          <w:trHeight w:val="60"/>
          <w:tblHeader/>
        </w:trPr>
        <w:tc>
          <w:tcPr>
            <w:tcW w:w="10205" w:type="dxa"/>
            <w:gridSpan w:val="7"/>
            <w:tcBorders>
              <w:top w:val="single" w:sz="6" w:space="0" w:color="000000"/>
              <w:left w:val="single" w:sz="6" w:space="0" w:color="000000"/>
              <w:bottom w:val="single" w:sz="2" w:space="0" w:color="FFFFFF"/>
              <w:right w:val="single" w:sz="2" w:space="0" w:color="FFFFFF"/>
            </w:tcBorders>
            <w:shd w:val="solid" w:color="004996" w:fill="auto"/>
            <w:tcMar>
              <w:top w:w="96" w:type="dxa"/>
              <w:left w:w="14" w:type="dxa"/>
              <w:bottom w:w="96" w:type="dxa"/>
              <w:right w:w="14" w:type="dxa"/>
            </w:tcMar>
          </w:tcPr>
          <w:p w14:paraId="0E8D463F" w14:textId="77777777" w:rsidR="00345EE3" w:rsidRDefault="00345EE3" w:rsidP="00D73130">
            <w:pPr>
              <w:pStyle w:val="VicPol-TableHeadingWhiteRight-2022Tables"/>
            </w:pPr>
            <w:r>
              <w:t>($ thousand)</w:t>
            </w:r>
          </w:p>
        </w:tc>
      </w:tr>
      <w:tr w:rsidR="00345EE3" w14:paraId="279BC3FA" w14:textId="77777777" w:rsidTr="00D73130">
        <w:trPr>
          <w:trHeight w:val="375"/>
          <w:tblHeader/>
        </w:trPr>
        <w:tc>
          <w:tcPr>
            <w:tcW w:w="3402" w:type="dxa"/>
            <w:tcBorders>
              <w:top w:val="single" w:sz="2" w:space="0" w:color="FFFFFF"/>
              <w:left w:val="single" w:sz="6" w:space="0" w:color="000000"/>
              <w:bottom w:val="single" w:sz="6" w:space="0" w:color="9D9C9C"/>
              <w:right w:val="single" w:sz="2" w:space="0" w:color="FFFFFF"/>
            </w:tcBorders>
            <w:shd w:val="solid" w:color="004996" w:fill="auto"/>
            <w:tcMar>
              <w:top w:w="96" w:type="dxa"/>
              <w:left w:w="14" w:type="dxa"/>
              <w:bottom w:w="96" w:type="dxa"/>
              <w:right w:w="14" w:type="dxa"/>
            </w:tcMar>
          </w:tcPr>
          <w:p w14:paraId="2D93C86B" w14:textId="77777777" w:rsidR="00345EE3" w:rsidRDefault="00345EE3" w:rsidP="00D73130">
            <w:pPr>
              <w:pStyle w:val="NoParagraphStyle"/>
              <w:spacing w:line="240" w:lineRule="auto"/>
              <w:textAlignment w:val="auto"/>
              <w:rPr>
                <w:color w:val="auto"/>
              </w:rPr>
            </w:pPr>
          </w:p>
        </w:tc>
        <w:tc>
          <w:tcPr>
            <w:tcW w:w="1133" w:type="dxa"/>
            <w:tcBorders>
              <w:top w:val="single" w:sz="2" w:space="0" w:color="FFFFFF"/>
              <w:left w:val="single" w:sz="2" w:space="0" w:color="FFFFFF"/>
              <w:bottom w:val="single" w:sz="6" w:space="0" w:color="FFFFFF"/>
              <w:right w:val="single" w:sz="2" w:space="0" w:color="FFFFFF"/>
            </w:tcBorders>
            <w:shd w:val="solid" w:color="004996" w:fill="auto"/>
            <w:tcMar>
              <w:top w:w="96" w:type="dxa"/>
              <w:left w:w="14" w:type="dxa"/>
              <w:bottom w:w="96" w:type="dxa"/>
              <w:right w:w="14" w:type="dxa"/>
            </w:tcMar>
          </w:tcPr>
          <w:p w14:paraId="197C85D8" w14:textId="77777777" w:rsidR="00345EE3" w:rsidRDefault="00345EE3" w:rsidP="00D73130">
            <w:pPr>
              <w:pStyle w:val="NoParagraphStyle"/>
              <w:spacing w:line="240" w:lineRule="auto"/>
              <w:textAlignment w:val="auto"/>
              <w:rPr>
                <w:color w:val="auto"/>
              </w:rPr>
            </w:pPr>
          </w:p>
        </w:tc>
        <w:tc>
          <w:tcPr>
            <w:tcW w:w="1134" w:type="dxa"/>
            <w:tcBorders>
              <w:top w:val="single" w:sz="2" w:space="0" w:color="FFFFFF"/>
              <w:left w:val="single" w:sz="2" w:space="0" w:color="FFFFFF"/>
              <w:bottom w:val="single" w:sz="6" w:space="0" w:color="FFFFFF"/>
              <w:right w:val="single" w:sz="2" w:space="0" w:color="FFFFFF"/>
            </w:tcBorders>
            <w:shd w:val="solid" w:color="004996" w:fill="auto"/>
            <w:tcMar>
              <w:top w:w="96" w:type="dxa"/>
              <w:left w:w="14" w:type="dxa"/>
              <w:bottom w:w="96" w:type="dxa"/>
              <w:right w:w="14" w:type="dxa"/>
            </w:tcMar>
          </w:tcPr>
          <w:p w14:paraId="59276232" w14:textId="77777777" w:rsidR="00345EE3" w:rsidRDefault="00345EE3" w:rsidP="00D73130">
            <w:pPr>
              <w:pStyle w:val="NoParagraphStyle"/>
              <w:spacing w:line="240" w:lineRule="auto"/>
              <w:textAlignment w:val="auto"/>
              <w:rPr>
                <w:color w:val="auto"/>
              </w:rPr>
            </w:pPr>
          </w:p>
        </w:tc>
        <w:tc>
          <w:tcPr>
            <w:tcW w:w="4536" w:type="dxa"/>
            <w:gridSpan w:val="4"/>
            <w:tcBorders>
              <w:top w:val="single" w:sz="2" w:space="0" w:color="FFFFFF"/>
              <w:left w:val="single" w:sz="2" w:space="0" w:color="FFFFFF"/>
              <w:bottom w:val="single" w:sz="2" w:space="0" w:color="FFFFFF"/>
              <w:right w:val="single" w:sz="2" w:space="0" w:color="FFFFFF"/>
            </w:tcBorders>
            <w:shd w:val="solid" w:color="004996" w:fill="auto"/>
            <w:tcMar>
              <w:top w:w="96" w:type="dxa"/>
              <w:left w:w="14" w:type="dxa"/>
              <w:bottom w:w="96" w:type="dxa"/>
              <w:right w:w="14" w:type="dxa"/>
            </w:tcMar>
          </w:tcPr>
          <w:p w14:paraId="56EEF0E1" w14:textId="77777777" w:rsidR="00345EE3" w:rsidRDefault="00345EE3" w:rsidP="00D73130">
            <w:pPr>
              <w:pStyle w:val="VicPol-TableHeadingWhiteRight-2022Tables"/>
              <w:jc w:val="center"/>
            </w:pPr>
            <w:r>
              <w:t>Maturity Dates</w:t>
            </w:r>
          </w:p>
        </w:tc>
      </w:tr>
      <w:tr w:rsidR="00345EE3" w14:paraId="06651C09" w14:textId="77777777" w:rsidTr="00D73130">
        <w:trPr>
          <w:trHeight w:val="60"/>
          <w:tblHeader/>
        </w:trPr>
        <w:tc>
          <w:tcPr>
            <w:tcW w:w="3402" w:type="dxa"/>
            <w:tcBorders>
              <w:top w:val="single" w:sz="6" w:space="0" w:color="9D9C9C"/>
              <w:left w:val="single" w:sz="6" w:space="0" w:color="000000"/>
              <w:bottom w:val="single" w:sz="6" w:space="0" w:color="9D9C9C"/>
              <w:right w:val="single" w:sz="2" w:space="0" w:color="FFFFFF"/>
            </w:tcBorders>
            <w:shd w:val="solid" w:color="004996" w:fill="auto"/>
            <w:tcMar>
              <w:top w:w="96" w:type="dxa"/>
              <w:left w:w="14" w:type="dxa"/>
              <w:bottom w:w="96" w:type="dxa"/>
              <w:right w:w="14" w:type="dxa"/>
            </w:tcMar>
          </w:tcPr>
          <w:p w14:paraId="1DBA184D" w14:textId="77777777" w:rsidR="00345EE3" w:rsidRDefault="00345EE3" w:rsidP="00D73130">
            <w:pPr>
              <w:pStyle w:val="NoParagraphStyle"/>
              <w:spacing w:line="240" w:lineRule="auto"/>
              <w:textAlignment w:val="auto"/>
              <w:rPr>
                <w:color w:val="auto"/>
              </w:rPr>
            </w:pPr>
          </w:p>
        </w:tc>
        <w:tc>
          <w:tcPr>
            <w:tcW w:w="1133" w:type="dxa"/>
            <w:tcBorders>
              <w:top w:val="single" w:sz="6" w:space="0" w:color="FFFFFF"/>
              <w:left w:val="single" w:sz="2" w:space="0" w:color="FFFFFF"/>
              <w:bottom w:val="single" w:sz="6" w:space="0" w:color="9D9C9C"/>
              <w:right w:val="single" w:sz="2" w:space="0" w:color="FFFFFF"/>
            </w:tcBorders>
            <w:shd w:val="solid" w:color="004996" w:fill="auto"/>
            <w:tcMar>
              <w:top w:w="96" w:type="dxa"/>
              <w:left w:w="14" w:type="dxa"/>
              <w:bottom w:w="96" w:type="dxa"/>
              <w:right w:w="14" w:type="dxa"/>
            </w:tcMar>
          </w:tcPr>
          <w:p w14:paraId="07430A95" w14:textId="77777777" w:rsidR="00345EE3" w:rsidRDefault="00345EE3" w:rsidP="00D73130">
            <w:pPr>
              <w:pStyle w:val="VicPol-TableHeadingWhiteRight-2022Tables"/>
            </w:pPr>
            <w:r>
              <w:t>Carrying Amount</w:t>
            </w:r>
          </w:p>
        </w:tc>
        <w:tc>
          <w:tcPr>
            <w:tcW w:w="1134" w:type="dxa"/>
            <w:tcBorders>
              <w:top w:val="single" w:sz="6" w:space="0" w:color="FFFFFF"/>
              <w:left w:val="single" w:sz="2" w:space="0" w:color="FFFFFF"/>
              <w:bottom w:val="single" w:sz="6" w:space="0" w:color="9D9C9C"/>
              <w:right w:val="single" w:sz="2" w:space="0" w:color="FFFFFF"/>
            </w:tcBorders>
            <w:shd w:val="solid" w:color="004996" w:fill="auto"/>
            <w:tcMar>
              <w:top w:w="96" w:type="dxa"/>
              <w:left w:w="14" w:type="dxa"/>
              <w:bottom w:w="96" w:type="dxa"/>
              <w:right w:w="14" w:type="dxa"/>
            </w:tcMar>
          </w:tcPr>
          <w:p w14:paraId="31F9A9FB" w14:textId="77777777" w:rsidR="00345EE3" w:rsidRDefault="00345EE3" w:rsidP="00D73130">
            <w:pPr>
              <w:pStyle w:val="VicPol-TableHeadingWhiteRight-2022Tables"/>
            </w:pPr>
            <w:r>
              <w:t>Nominal Amount</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6" w:type="dxa"/>
              <w:left w:w="14" w:type="dxa"/>
              <w:bottom w:w="96" w:type="dxa"/>
              <w:right w:w="14" w:type="dxa"/>
            </w:tcMar>
          </w:tcPr>
          <w:p w14:paraId="51FAD055" w14:textId="77777777" w:rsidR="00345EE3" w:rsidRDefault="00345EE3" w:rsidP="00D73130">
            <w:pPr>
              <w:pStyle w:val="VicPol-TableHeadingWhiteRight-2022Tables"/>
            </w:pPr>
            <w:r>
              <w:t xml:space="preserve">Less than </w:t>
            </w:r>
            <w:r>
              <w:br/>
              <w:t>1 Month</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6" w:type="dxa"/>
              <w:left w:w="14" w:type="dxa"/>
              <w:bottom w:w="96" w:type="dxa"/>
              <w:right w:w="14" w:type="dxa"/>
            </w:tcMar>
          </w:tcPr>
          <w:p w14:paraId="1E173807" w14:textId="77777777" w:rsidR="00345EE3" w:rsidRDefault="00345EE3" w:rsidP="00D73130">
            <w:pPr>
              <w:pStyle w:val="VicPol-TableHeadingWhiteRight-2022Tables"/>
            </w:pPr>
            <w:r>
              <w:t>1 - 3 Months</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6" w:type="dxa"/>
              <w:left w:w="14" w:type="dxa"/>
              <w:bottom w:w="96" w:type="dxa"/>
              <w:right w:w="14" w:type="dxa"/>
            </w:tcMar>
          </w:tcPr>
          <w:p w14:paraId="7BCD34A3" w14:textId="77777777" w:rsidR="00345EE3" w:rsidRDefault="00345EE3" w:rsidP="00D73130">
            <w:pPr>
              <w:pStyle w:val="VicPol-TableHeadingWhiteRight-2022Tables"/>
            </w:pPr>
            <w:r>
              <w:t>3 Months - 1 Year</w:t>
            </w:r>
          </w:p>
        </w:tc>
        <w:tc>
          <w:tcPr>
            <w:tcW w:w="1134" w:type="dxa"/>
            <w:tcBorders>
              <w:top w:val="single" w:sz="2" w:space="0" w:color="FFFFFF"/>
              <w:left w:val="single" w:sz="2" w:space="0" w:color="FFFFFF"/>
              <w:bottom w:val="single" w:sz="6" w:space="0" w:color="9D9C9C"/>
              <w:right w:val="single" w:sz="6" w:space="0" w:color="FFFFFF"/>
            </w:tcBorders>
            <w:shd w:val="solid" w:color="004996" w:fill="auto"/>
            <w:tcMar>
              <w:top w:w="96" w:type="dxa"/>
              <w:left w:w="14" w:type="dxa"/>
              <w:bottom w:w="96" w:type="dxa"/>
              <w:right w:w="14" w:type="dxa"/>
            </w:tcMar>
          </w:tcPr>
          <w:p w14:paraId="0A695817" w14:textId="77777777" w:rsidR="00345EE3" w:rsidRDefault="00345EE3" w:rsidP="00D73130">
            <w:pPr>
              <w:pStyle w:val="VicPol-TableHeadingWhiteRight-2022Tables"/>
            </w:pPr>
            <w:r>
              <w:t>More than 1 Year</w:t>
            </w:r>
          </w:p>
        </w:tc>
      </w:tr>
      <w:tr w:rsidR="00345EE3" w14:paraId="6E8BF723" w14:textId="77777777" w:rsidTr="00D73130">
        <w:trPr>
          <w:trHeight w:val="60"/>
        </w:trPr>
        <w:tc>
          <w:tcPr>
            <w:tcW w:w="3402" w:type="dxa"/>
            <w:tcBorders>
              <w:top w:val="single" w:sz="2" w:space="0" w:color="9D9C9C"/>
              <w:left w:val="single" w:sz="6" w:space="0" w:color="9D9C9C"/>
              <w:bottom w:val="single" w:sz="8" w:space="0" w:color="000000"/>
              <w:right w:val="single" w:sz="6" w:space="0" w:color="9D9C9C"/>
            </w:tcBorders>
            <w:tcMar>
              <w:top w:w="96" w:type="dxa"/>
              <w:left w:w="14" w:type="dxa"/>
              <w:bottom w:w="96" w:type="dxa"/>
              <w:right w:w="14" w:type="dxa"/>
            </w:tcMar>
          </w:tcPr>
          <w:p w14:paraId="6FF14927" w14:textId="77777777" w:rsidR="00345EE3" w:rsidRDefault="00345EE3" w:rsidP="00D73130">
            <w:pPr>
              <w:pStyle w:val="VicPol-TableBodyLeft-2022Tables"/>
            </w:pPr>
            <w:r>
              <w:rPr>
                <w:rStyle w:val="Heavy"/>
              </w:rPr>
              <w:t>2022</w:t>
            </w:r>
          </w:p>
        </w:tc>
        <w:tc>
          <w:tcPr>
            <w:tcW w:w="1133" w:type="dxa"/>
            <w:tcBorders>
              <w:top w:val="single" w:sz="2" w:space="0" w:color="9D9C9C"/>
              <w:left w:val="single" w:sz="6" w:space="0" w:color="9D9C9C"/>
              <w:bottom w:val="single" w:sz="8" w:space="0" w:color="000000"/>
              <w:right w:val="single" w:sz="6" w:space="0" w:color="9D9C9C"/>
            </w:tcBorders>
            <w:tcMar>
              <w:top w:w="96" w:type="dxa"/>
              <w:left w:w="14" w:type="dxa"/>
              <w:bottom w:w="96" w:type="dxa"/>
              <w:right w:w="14" w:type="dxa"/>
            </w:tcMar>
          </w:tcPr>
          <w:p w14:paraId="16904CBD"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9D9C9C"/>
              <w:bottom w:val="single" w:sz="8" w:space="0" w:color="000000"/>
              <w:right w:val="single" w:sz="6" w:space="0" w:color="9D9C9C"/>
            </w:tcBorders>
            <w:tcMar>
              <w:top w:w="96" w:type="dxa"/>
              <w:left w:w="14" w:type="dxa"/>
              <w:bottom w:w="96" w:type="dxa"/>
              <w:right w:w="14" w:type="dxa"/>
            </w:tcMar>
          </w:tcPr>
          <w:p w14:paraId="38DCB3F8"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9D9C9C"/>
              <w:bottom w:val="single" w:sz="8" w:space="0" w:color="000000"/>
              <w:right w:val="single" w:sz="6" w:space="0" w:color="9D9C9C"/>
            </w:tcBorders>
            <w:tcMar>
              <w:top w:w="96" w:type="dxa"/>
              <w:left w:w="14" w:type="dxa"/>
              <w:bottom w:w="96" w:type="dxa"/>
              <w:right w:w="14" w:type="dxa"/>
            </w:tcMar>
          </w:tcPr>
          <w:p w14:paraId="05F10B9C"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9D9C9C"/>
              <w:bottom w:val="single" w:sz="8" w:space="0" w:color="000000"/>
              <w:right w:val="single" w:sz="6" w:space="0" w:color="9D9C9C"/>
            </w:tcBorders>
            <w:tcMar>
              <w:top w:w="96" w:type="dxa"/>
              <w:left w:w="14" w:type="dxa"/>
              <w:bottom w:w="96" w:type="dxa"/>
              <w:right w:w="14" w:type="dxa"/>
            </w:tcMar>
          </w:tcPr>
          <w:p w14:paraId="0B572356"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9D9C9C"/>
              <w:bottom w:val="single" w:sz="8" w:space="0" w:color="000000"/>
              <w:right w:val="single" w:sz="6" w:space="0" w:color="9D9C9C"/>
            </w:tcBorders>
            <w:tcMar>
              <w:top w:w="96" w:type="dxa"/>
              <w:left w:w="14" w:type="dxa"/>
              <w:bottom w:w="96" w:type="dxa"/>
              <w:right w:w="14" w:type="dxa"/>
            </w:tcMar>
          </w:tcPr>
          <w:p w14:paraId="28F34E8B"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9D9C9C"/>
              <w:bottom w:val="single" w:sz="8" w:space="0" w:color="000000"/>
              <w:right w:val="single" w:sz="6" w:space="0" w:color="9D9C9C"/>
            </w:tcBorders>
            <w:tcMar>
              <w:top w:w="96" w:type="dxa"/>
              <w:left w:w="14" w:type="dxa"/>
              <w:bottom w:w="96" w:type="dxa"/>
              <w:right w:w="14" w:type="dxa"/>
            </w:tcMar>
          </w:tcPr>
          <w:p w14:paraId="1918FC19" w14:textId="77777777" w:rsidR="00345EE3" w:rsidRDefault="00345EE3" w:rsidP="00D73130">
            <w:pPr>
              <w:pStyle w:val="NoParagraphStyle"/>
              <w:spacing w:line="240" w:lineRule="auto"/>
              <w:textAlignment w:val="auto"/>
              <w:rPr>
                <w:color w:val="auto"/>
              </w:rPr>
            </w:pPr>
          </w:p>
        </w:tc>
      </w:tr>
      <w:tr w:rsidR="00345EE3" w14:paraId="72BD6686" w14:textId="77777777" w:rsidTr="00D73130">
        <w:trPr>
          <w:trHeight w:val="60"/>
        </w:trPr>
        <w:tc>
          <w:tcPr>
            <w:tcW w:w="3402" w:type="dxa"/>
            <w:tcBorders>
              <w:top w:val="single" w:sz="8" w:space="0" w:color="000000"/>
              <w:left w:val="single" w:sz="6" w:space="0" w:color="000000"/>
              <w:bottom w:val="single" w:sz="2" w:space="0" w:color="9D9C9C"/>
              <w:right w:val="single" w:sz="2" w:space="0" w:color="9D9C9C"/>
            </w:tcBorders>
            <w:tcMar>
              <w:top w:w="96" w:type="dxa"/>
              <w:left w:w="14" w:type="dxa"/>
              <w:bottom w:w="96" w:type="dxa"/>
              <w:right w:w="14" w:type="dxa"/>
            </w:tcMar>
          </w:tcPr>
          <w:p w14:paraId="0A94F26E" w14:textId="77777777" w:rsidR="00345EE3" w:rsidRDefault="00345EE3" w:rsidP="00D73130">
            <w:pPr>
              <w:pStyle w:val="VicPol-TableBodyLeft-2022Tables"/>
            </w:pPr>
            <w:r>
              <w:rPr>
                <w:rStyle w:val="Heavy"/>
              </w:rPr>
              <w:t>Payables</w:t>
            </w:r>
            <w:r>
              <w:rPr>
                <w:rStyle w:val="Heavy"/>
                <w:vertAlign w:val="superscript"/>
              </w:rPr>
              <w:t xml:space="preserve"> (b)</w:t>
            </w:r>
          </w:p>
        </w:tc>
        <w:tc>
          <w:tcPr>
            <w:tcW w:w="1133" w:type="dxa"/>
            <w:tcBorders>
              <w:top w:val="single" w:sz="8" w:space="0" w:color="000000"/>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0F250B0E"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1B25C831"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137DCACF"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5BDA13DB"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58389C49"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6" w:space="0" w:color="9D9C9C"/>
            </w:tcBorders>
            <w:shd w:val="solid" w:color="ECECEC" w:fill="auto"/>
            <w:tcMar>
              <w:top w:w="96" w:type="dxa"/>
              <w:left w:w="14" w:type="dxa"/>
              <w:bottom w:w="96" w:type="dxa"/>
              <w:right w:w="14" w:type="dxa"/>
            </w:tcMar>
          </w:tcPr>
          <w:p w14:paraId="0ED093A9" w14:textId="77777777" w:rsidR="00345EE3" w:rsidRDefault="00345EE3" w:rsidP="00D73130">
            <w:pPr>
              <w:pStyle w:val="NoParagraphStyle"/>
              <w:spacing w:line="240" w:lineRule="auto"/>
              <w:textAlignment w:val="auto"/>
              <w:rPr>
                <w:color w:val="auto"/>
              </w:rPr>
            </w:pPr>
          </w:p>
        </w:tc>
      </w:tr>
      <w:tr w:rsidR="00345EE3" w14:paraId="4BD80DA2"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6713225B" w14:textId="77777777" w:rsidR="00345EE3" w:rsidRDefault="00345EE3" w:rsidP="00D73130">
            <w:pPr>
              <w:pStyle w:val="VicPol-TableBodyLeftindented-2022Tables"/>
            </w:pPr>
            <w:r>
              <w:t>Supplies and services (Note 6.3)</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6419EAAD" w14:textId="77777777" w:rsidR="00345EE3" w:rsidRDefault="00345EE3" w:rsidP="00D73130">
            <w:pPr>
              <w:pStyle w:val="VicPol-TableBodyRight-2022Tables"/>
            </w:pPr>
            <w:r>
              <w:t xml:space="preserve">85,677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514CE515" w14:textId="77777777" w:rsidR="00345EE3" w:rsidRDefault="00345EE3" w:rsidP="00D73130">
            <w:pPr>
              <w:pStyle w:val="VicPol-TableBodyRight-2022Tables"/>
            </w:pPr>
            <w:r>
              <w:t xml:space="preserve">85,677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0DFD4899" w14:textId="77777777" w:rsidR="00345EE3" w:rsidRDefault="00345EE3" w:rsidP="00D73130">
            <w:pPr>
              <w:pStyle w:val="VicPol-TableBodyRight-2022Tables"/>
            </w:pPr>
            <w:r>
              <w:t xml:space="preserve">85,677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48D6D39F"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748163E2"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6" w:type="dxa"/>
              <w:left w:w="14" w:type="dxa"/>
              <w:bottom w:w="96" w:type="dxa"/>
              <w:right w:w="14" w:type="dxa"/>
            </w:tcMar>
          </w:tcPr>
          <w:p w14:paraId="22E1CF3D" w14:textId="77777777" w:rsidR="00345EE3" w:rsidRDefault="00345EE3" w:rsidP="00D73130">
            <w:pPr>
              <w:pStyle w:val="VicPol-TableBodyRight-2022Tables"/>
            </w:pPr>
            <w:r>
              <w:t xml:space="preserve"> -   </w:t>
            </w:r>
          </w:p>
        </w:tc>
      </w:tr>
      <w:tr w:rsidR="00345EE3" w14:paraId="049EB8A2"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3A8FDBB7" w14:textId="77777777" w:rsidR="00345EE3" w:rsidRDefault="00345EE3" w:rsidP="00D73130">
            <w:pPr>
              <w:pStyle w:val="VicPol-TableBodyLeftindented-2022Tables"/>
            </w:pPr>
            <w:r>
              <w:t>Amounts payable to government and agencies (Note 6.3)</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3BECC97B"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05FA50E6"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6EFE3988"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29F1F62B"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427D887E"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6" w:type="dxa"/>
              <w:left w:w="14" w:type="dxa"/>
              <w:bottom w:w="96" w:type="dxa"/>
              <w:right w:w="14" w:type="dxa"/>
            </w:tcMar>
          </w:tcPr>
          <w:p w14:paraId="64EA1E71" w14:textId="77777777" w:rsidR="00345EE3" w:rsidRDefault="00345EE3" w:rsidP="00D73130">
            <w:pPr>
              <w:pStyle w:val="VicPol-TableBodyRight-2022Tables"/>
            </w:pPr>
            <w:r>
              <w:t xml:space="preserve"> -   </w:t>
            </w:r>
          </w:p>
        </w:tc>
      </w:tr>
      <w:tr w:rsidR="00345EE3" w14:paraId="01D7D389"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581DE1B0" w14:textId="77777777" w:rsidR="00345EE3" w:rsidRDefault="00345EE3" w:rsidP="00D73130">
            <w:pPr>
              <w:pStyle w:val="VicPol-TableBodyLeftindented-2022Tables"/>
            </w:pPr>
            <w:r>
              <w:t>Other payables (Note 6.3)</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0D67F7AE" w14:textId="77777777" w:rsidR="00345EE3" w:rsidRDefault="00345EE3" w:rsidP="00D73130">
            <w:pPr>
              <w:pStyle w:val="VicPol-TableBodyRight-2022Tables"/>
            </w:pPr>
            <w:r>
              <w:t xml:space="preserve">1,493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68958069" w14:textId="77777777" w:rsidR="00345EE3" w:rsidRDefault="00345EE3" w:rsidP="00D73130">
            <w:pPr>
              <w:pStyle w:val="VicPol-TableBodyRight-2022Tables"/>
            </w:pPr>
            <w:r>
              <w:t xml:space="preserve">1,493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4A6C30CF" w14:textId="77777777" w:rsidR="00345EE3" w:rsidRDefault="00345EE3" w:rsidP="00D73130">
            <w:pPr>
              <w:pStyle w:val="VicPol-TableBodyRight-2022Tables"/>
            </w:pPr>
            <w:r>
              <w:t xml:space="preserve">1,493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339947EC"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1A68F098"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6" w:type="dxa"/>
              <w:left w:w="14" w:type="dxa"/>
              <w:bottom w:w="96" w:type="dxa"/>
              <w:right w:w="14" w:type="dxa"/>
            </w:tcMar>
          </w:tcPr>
          <w:p w14:paraId="46E2B21D" w14:textId="77777777" w:rsidR="00345EE3" w:rsidRDefault="00345EE3" w:rsidP="00D73130">
            <w:pPr>
              <w:pStyle w:val="NoParagraphStyle"/>
              <w:spacing w:line="240" w:lineRule="auto"/>
              <w:textAlignment w:val="auto"/>
              <w:rPr>
                <w:color w:val="auto"/>
              </w:rPr>
            </w:pPr>
          </w:p>
        </w:tc>
      </w:tr>
      <w:tr w:rsidR="00345EE3" w14:paraId="0DEDAD03"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4FDAEFCF" w14:textId="77777777" w:rsidR="00345EE3" w:rsidRDefault="00345EE3" w:rsidP="00D73130">
            <w:pPr>
              <w:pStyle w:val="VicPol-TableBodyLeft-2022Tables"/>
            </w:pPr>
            <w:r>
              <w:t xml:space="preserve">Derivative financial instruments (Note 6.3) </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1D2EA528" w14:textId="77777777" w:rsidR="00345EE3" w:rsidRDefault="00345EE3" w:rsidP="00D73130">
            <w:pPr>
              <w:pStyle w:val="VicPol-TableBodyRight-2022Tables"/>
            </w:pPr>
            <w:r>
              <w:t xml:space="preserve">4,274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2182A88E" w14:textId="77777777" w:rsidR="00345EE3" w:rsidRDefault="00345EE3" w:rsidP="00D73130">
            <w:pPr>
              <w:pStyle w:val="VicPol-TableBodyRight-2022Tables"/>
            </w:pPr>
            <w:r>
              <w:t xml:space="preserve">4,274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2C890BD4"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20979F5B" w14:textId="77777777" w:rsidR="00345EE3" w:rsidRDefault="00345EE3" w:rsidP="00D73130">
            <w:pPr>
              <w:pStyle w:val="VicPol-TableBodyRight-2022Tables"/>
            </w:pPr>
            <w:r>
              <w:t xml:space="preserve">162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73C929A4" w14:textId="77777777" w:rsidR="00345EE3" w:rsidRDefault="00345EE3" w:rsidP="00D73130">
            <w:pPr>
              <w:pStyle w:val="VicPol-TableBodyRight-2022Tables"/>
            </w:pPr>
            <w:r>
              <w:t xml:space="preserve">493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6" w:type="dxa"/>
              <w:left w:w="14" w:type="dxa"/>
              <w:bottom w:w="96" w:type="dxa"/>
              <w:right w:w="14" w:type="dxa"/>
            </w:tcMar>
          </w:tcPr>
          <w:p w14:paraId="074F72A4" w14:textId="77777777" w:rsidR="00345EE3" w:rsidRDefault="00345EE3" w:rsidP="00D73130">
            <w:pPr>
              <w:pStyle w:val="VicPol-TableBodyRight-2022Tables"/>
            </w:pPr>
            <w:r>
              <w:t xml:space="preserve">3,619 </w:t>
            </w:r>
          </w:p>
        </w:tc>
      </w:tr>
      <w:tr w:rsidR="00345EE3" w14:paraId="2296B80E"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7212FEBD" w14:textId="77777777" w:rsidR="00345EE3" w:rsidRDefault="00345EE3" w:rsidP="00D73130">
            <w:pPr>
              <w:pStyle w:val="VicPol-TableBodyLeft-2022Tables"/>
            </w:pPr>
            <w:r>
              <w:rPr>
                <w:rStyle w:val="Heavy"/>
              </w:rPr>
              <w:t>Borrowings</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5DC390C5"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3295B600"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3473EF13"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5EA773E8"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59167A79"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6" w:type="dxa"/>
              <w:left w:w="14" w:type="dxa"/>
              <w:bottom w:w="96" w:type="dxa"/>
              <w:right w:w="14" w:type="dxa"/>
            </w:tcMar>
          </w:tcPr>
          <w:p w14:paraId="4E656313" w14:textId="77777777" w:rsidR="00345EE3" w:rsidRDefault="00345EE3" w:rsidP="00D73130">
            <w:pPr>
              <w:pStyle w:val="NoParagraphStyle"/>
              <w:spacing w:line="240" w:lineRule="auto"/>
              <w:textAlignment w:val="auto"/>
              <w:rPr>
                <w:color w:val="auto"/>
              </w:rPr>
            </w:pPr>
          </w:p>
        </w:tc>
      </w:tr>
      <w:tr w:rsidR="00345EE3" w14:paraId="06F9E8B6" w14:textId="77777777" w:rsidTr="00D73130">
        <w:trPr>
          <w:trHeight w:val="60"/>
        </w:trPr>
        <w:tc>
          <w:tcPr>
            <w:tcW w:w="3402" w:type="dxa"/>
            <w:tcBorders>
              <w:top w:val="single" w:sz="2" w:space="0" w:color="9D9C9C"/>
              <w:left w:val="single" w:sz="6" w:space="0" w:color="000000"/>
              <w:bottom w:val="single" w:sz="4" w:space="0" w:color="000000"/>
              <w:right w:val="single" w:sz="2" w:space="0" w:color="9D9C9C"/>
            </w:tcBorders>
            <w:tcMar>
              <w:top w:w="96" w:type="dxa"/>
              <w:left w:w="14" w:type="dxa"/>
              <w:bottom w:w="96" w:type="dxa"/>
              <w:right w:w="14" w:type="dxa"/>
            </w:tcMar>
          </w:tcPr>
          <w:p w14:paraId="0B1FB6FF" w14:textId="77777777" w:rsidR="00345EE3" w:rsidRDefault="00345EE3" w:rsidP="00D73130">
            <w:pPr>
              <w:pStyle w:val="VicPol-TableBodyLeftindented-2022Tables"/>
            </w:pPr>
            <w:r>
              <w:t>Lease liabilities (Note 7.1)</w:t>
            </w:r>
          </w:p>
        </w:tc>
        <w:tc>
          <w:tcPr>
            <w:tcW w:w="1133" w:type="dxa"/>
            <w:tcBorders>
              <w:top w:val="single" w:sz="2" w:space="0" w:color="9D9C9C"/>
              <w:left w:val="single" w:sz="2" w:space="0" w:color="9D9C9C"/>
              <w:bottom w:val="single" w:sz="4" w:space="0" w:color="000000"/>
              <w:right w:val="single" w:sz="2" w:space="0" w:color="9D9C9C"/>
            </w:tcBorders>
            <w:shd w:val="solid" w:color="ECECEC" w:fill="auto"/>
            <w:tcMar>
              <w:top w:w="96" w:type="dxa"/>
              <w:left w:w="14" w:type="dxa"/>
              <w:bottom w:w="96" w:type="dxa"/>
              <w:right w:w="14" w:type="dxa"/>
            </w:tcMar>
          </w:tcPr>
          <w:p w14:paraId="5ABC1A2B" w14:textId="77777777" w:rsidR="00345EE3" w:rsidRDefault="00345EE3" w:rsidP="00D73130">
            <w:pPr>
              <w:pStyle w:val="VicPol-TableBodyRight-2022Tables"/>
            </w:pPr>
            <w:r>
              <w:t xml:space="preserve">1,861,468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96" w:type="dxa"/>
              <w:left w:w="14" w:type="dxa"/>
              <w:bottom w:w="96" w:type="dxa"/>
              <w:right w:w="14" w:type="dxa"/>
            </w:tcMar>
          </w:tcPr>
          <w:p w14:paraId="7D44D309" w14:textId="77777777" w:rsidR="00345EE3" w:rsidRDefault="00345EE3" w:rsidP="00D73130">
            <w:pPr>
              <w:pStyle w:val="VicPol-TableBodyRight-2022Tables"/>
            </w:pPr>
            <w:r>
              <w:t xml:space="preserve">2,823,140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96" w:type="dxa"/>
              <w:left w:w="14" w:type="dxa"/>
              <w:bottom w:w="96" w:type="dxa"/>
              <w:right w:w="14" w:type="dxa"/>
            </w:tcMar>
          </w:tcPr>
          <w:p w14:paraId="5461044B" w14:textId="77777777" w:rsidR="00345EE3" w:rsidRDefault="00345EE3" w:rsidP="00D73130">
            <w:pPr>
              <w:pStyle w:val="VicPol-TableBodyRight-2022Tables"/>
            </w:pPr>
            <w:r>
              <w:t xml:space="preserve">28,588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96" w:type="dxa"/>
              <w:left w:w="14" w:type="dxa"/>
              <w:bottom w:w="96" w:type="dxa"/>
              <w:right w:w="14" w:type="dxa"/>
            </w:tcMar>
          </w:tcPr>
          <w:p w14:paraId="28EE8D2F" w14:textId="77777777" w:rsidR="00345EE3" w:rsidRDefault="00345EE3" w:rsidP="00D73130">
            <w:pPr>
              <w:pStyle w:val="VicPol-TableBodyRight-2022Tables"/>
            </w:pPr>
            <w:r>
              <w:t xml:space="preserve">34,738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96" w:type="dxa"/>
              <w:left w:w="14" w:type="dxa"/>
              <w:bottom w:w="96" w:type="dxa"/>
              <w:right w:w="14" w:type="dxa"/>
            </w:tcMar>
          </w:tcPr>
          <w:p w14:paraId="62AB190B" w14:textId="77777777" w:rsidR="00345EE3" w:rsidRDefault="00345EE3" w:rsidP="00D73130">
            <w:pPr>
              <w:pStyle w:val="VicPol-TableBodyRight-2022Tables"/>
            </w:pPr>
            <w:r>
              <w:t xml:space="preserve">103,692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96" w:type="dxa"/>
              <w:left w:w="14" w:type="dxa"/>
              <w:bottom w:w="96" w:type="dxa"/>
              <w:right w:w="14" w:type="dxa"/>
            </w:tcMar>
          </w:tcPr>
          <w:p w14:paraId="58EC9416" w14:textId="77777777" w:rsidR="00345EE3" w:rsidRDefault="00345EE3" w:rsidP="00D73130">
            <w:pPr>
              <w:pStyle w:val="VicPol-TableBodyRight-2022Tables"/>
            </w:pPr>
            <w:r>
              <w:t xml:space="preserve">2,656,122 </w:t>
            </w:r>
          </w:p>
        </w:tc>
      </w:tr>
      <w:tr w:rsidR="00345EE3" w14:paraId="5DBEEBC8" w14:textId="77777777" w:rsidTr="00D73130">
        <w:trPr>
          <w:trHeight w:val="60"/>
        </w:trPr>
        <w:tc>
          <w:tcPr>
            <w:tcW w:w="3402" w:type="dxa"/>
            <w:tcBorders>
              <w:top w:val="single" w:sz="4" w:space="0" w:color="000000"/>
              <w:left w:val="single" w:sz="6" w:space="0" w:color="9D9C9C"/>
              <w:bottom w:val="single" w:sz="8" w:space="0" w:color="000000"/>
              <w:right w:val="single" w:sz="2" w:space="0" w:color="9D9C9C"/>
            </w:tcBorders>
            <w:tcMar>
              <w:top w:w="96" w:type="dxa"/>
              <w:left w:w="14" w:type="dxa"/>
              <w:bottom w:w="96" w:type="dxa"/>
              <w:right w:w="14" w:type="dxa"/>
            </w:tcMar>
          </w:tcPr>
          <w:p w14:paraId="3C6143FE" w14:textId="77777777" w:rsidR="00345EE3" w:rsidRDefault="00345EE3" w:rsidP="00D73130">
            <w:pPr>
              <w:pStyle w:val="VicPol-TableBodyLeft-2022Tables"/>
            </w:pPr>
            <w:r>
              <w:rPr>
                <w:rStyle w:val="Heavy"/>
              </w:rPr>
              <w:t>Total Contractual Financial Liabilities</w:t>
            </w:r>
          </w:p>
        </w:tc>
        <w:tc>
          <w:tcPr>
            <w:tcW w:w="1133" w:type="dxa"/>
            <w:tcBorders>
              <w:top w:val="single" w:sz="4" w:space="0" w:color="000000"/>
              <w:left w:val="single" w:sz="2" w:space="0" w:color="9D9C9C"/>
              <w:bottom w:val="single" w:sz="8" w:space="0" w:color="000000"/>
              <w:right w:val="single" w:sz="2" w:space="0" w:color="9D9C9C"/>
            </w:tcBorders>
            <w:shd w:val="solid" w:color="ECECEC" w:fill="auto"/>
            <w:tcMar>
              <w:top w:w="96" w:type="dxa"/>
              <w:left w:w="14" w:type="dxa"/>
              <w:bottom w:w="96" w:type="dxa"/>
              <w:right w:w="14" w:type="dxa"/>
            </w:tcMar>
          </w:tcPr>
          <w:p w14:paraId="7A7A31C0" w14:textId="77777777" w:rsidR="00345EE3" w:rsidRDefault="00345EE3" w:rsidP="00D73130">
            <w:pPr>
              <w:pStyle w:val="VicPol-TableBodyRight-2022Tables"/>
            </w:pPr>
            <w:r>
              <w:rPr>
                <w:rStyle w:val="Heavy"/>
                <w:spacing w:val="0"/>
              </w:rPr>
              <w:t xml:space="preserve">1,952,912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96" w:type="dxa"/>
              <w:left w:w="14" w:type="dxa"/>
              <w:bottom w:w="96" w:type="dxa"/>
              <w:right w:w="14" w:type="dxa"/>
            </w:tcMar>
          </w:tcPr>
          <w:p w14:paraId="3CD381B8" w14:textId="77777777" w:rsidR="00345EE3" w:rsidRDefault="00345EE3" w:rsidP="00D73130">
            <w:pPr>
              <w:pStyle w:val="VicPol-TableBodyRight-2022Tables"/>
            </w:pPr>
            <w:r>
              <w:rPr>
                <w:rStyle w:val="Heavy"/>
                <w:spacing w:val="0"/>
              </w:rPr>
              <w:t>2,914,584</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96" w:type="dxa"/>
              <w:left w:w="14" w:type="dxa"/>
              <w:bottom w:w="96" w:type="dxa"/>
              <w:right w:w="14" w:type="dxa"/>
            </w:tcMar>
          </w:tcPr>
          <w:p w14:paraId="19244A23" w14:textId="77777777" w:rsidR="00345EE3" w:rsidRDefault="00345EE3" w:rsidP="00D73130">
            <w:pPr>
              <w:pStyle w:val="VicPol-TableBodyRight-2022Tables"/>
            </w:pPr>
            <w:r>
              <w:rPr>
                <w:rStyle w:val="Heavy"/>
                <w:spacing w:val="0"/>
              </w:rPr>
              <w:t>115,758</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96" w:type="dxa"/>
              <w:left w:w="14" w:type="dxa"/>
              <w:bottom w:w="96" w:type="dxa"/>
              <w:right w:w="14" w:type="dxa"/>
            </w:tcMar>
          </w:tcPr>
          <w:p w14:paraId="203CCF79" w14:textId="77777777" w:rsidR="00345EE3" w:rsidRDefault="00345EE3" w:rsidP="00D73130">
            <w:pPr>
              <w:pStyle w:val="VicPol-TableBodyRight-2022Tables"/>
            </w:pPr>
            <w:r>
              <w:rPr>
                <w:rStyle w:val="Heavy"/>
                <w:spacing w:val="0"/>
              </w:rPr>
              <w:t>34,900</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96" w:type="dxa"/>
              <w:left w:w="14" w:type="dxa"/>
              <w:bottom w:w="96" w:type="dxa"/>
              <w:right w:w="14" w:type="dxa"/>
            </w:tcMar>
          </w:tcPr>
          <w:p w14:paraId="57F0159E" w14:textId="77777777" w:rsidR="00345EE3" w:rsidRDefault="00345EE3" w:rsidP="00D73130">
            <w:pPr>
              <w:pStyle w:val="VicPol-TableBodyRight-2022Tables"/>
            </w:pPr>
            <w:r>
              <w:rPr>
                <w:rStyle w:val="Heavy"/>
                <w:spacing w:val="0"/>
              </w:rPr>
              <w:t>104,185</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96" w:type="dxa"/>
              <w:left w:w="14" w:type="dxa"/>
              <w:bottom w:w="96" w:type="dxa"/>
              <w:right w:w="14" w:type="dxa"/>
            </w:tcMar>
          </w:tcPr>
          <w:p w14:paraId="307A453C" w14:textId="77777777" w:rsidR="00345EE3" w:rsidRDefault="00345EE3" w:rsidP="00D73130">
            <w:pPr>
              <w:pStyle w:val="VicPol-TableBodyRight-2022Tables"/>
            </w:pPr>
            <w:r>
              <w:rPr>
                <w:rStyle w:val="Heavy"/>
                <w:spacing w:val="0"/>
              </w:rPr>
              <w:t>2,659,741</w:t>
            </w:r>
          </w:p>
        </w:tc>
      </w:tr>
      <w:tr w:rsidR="00345EE3" w14:paraId="0CEED54C" w14:textId="77777777" w:rsidTr="00D73130">
        <w:trPr>
          <w:trHeight w:val="60"/>
        </w:trPr>
        <w:tc>
          <w:tcPr>
            <w:tcW w:w="3402" w:type="dxa"/>
            <w:tcBorders>
              <w:top w:val="single" w:sz="8" w:space="0" w:color="000000"/>
              <w:left w:val="single" w:sz="6" w:space="0" w:color="9D9C9C"/>
              <w:bottom w:val="single" w:sz="8" w:space="0" w:color="000000"/>
              <w:right w:val="single" w:sz="6" w:space="0" w:color="9D9C9C"/>
            </w:tcBorders>
            <w:tcMar>
              <w:top w:w="96" w:type="dxa"/>
              <w:left w:w="14" w:type="dxa"/>
              <w:bottom w:w="96" w:type="dxa"/>
              <w:right w:w="14" w:type="dxa"/>
            </w:tcMar>
          </w:tcPr>
          <w:p w14:paraId="00684176" w14:textId="77777777" w:rsidR="00345EE3" w:rsidRDefault="00345EE3" w:rsidP="00D73130">
            <w:pPr>
              <w:pStyle w:val="VicPol-TableBodyLeft-2022Tables"/>
            </w:pPr>
            <w:r>
              <w:rPr>
                <w:rStyle w:val="Heavy"/>
              </w:rPr>
              <w:t>2021</w:t>
            </w:r>
          </w:p>
        </w:tc>
        <w:tc>
          <w:tcPr>
            <w:tcW w:w="1133" w:type="dxa"/>
            <w:tcBorders>
              <w:top w:val="single" w:sz="8" w:space="0" w:color="000000"/>
              <w:left w:val="single" w:sz="6" w:space="0" w:color="9D9C9C"/>
              <w:bottom w:val="single" w:sz="8" w:space="0" w:color="000000"/>
              <w:right w:val="single" w:sz="6" w:space="0" w:color="9D9C9C"/>
            </w:tcBorders>
            <w:tcMar>
              <w:top w:w="96" w:type="dxa"/>
              <w:left w:w="14" w:type="dxa"/>
              <w:bottom w:w="96" w:type="dxa"/>
              <w:right w:w="14" w:type="dxa"/>
            </w:tcMar>
          </w:tcPr>
          <w:p w14:paraId="3AA3EB43"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9D9C9C"/>
              <w:bottom w:val="single" w:sz="8" w:space="0" w:color="000000"/>
              <w:right w:val="single" w:sz="6" w:space="0" w:color="9D9C9C"/>
            </w:tcBorders>
            <w:tcMar>
              <w:top w:w="96" w:type="dxa"/>
              <w:left w:w="14" w:type="dxa"/>
              <w:bottom w:w="96" w:type="dxa"/>
              <w:right w:w="14" w:type="dxa"/>
            </w:tcMar>
          </w:tcPr>
          <w:p w14:paraId="3D85474D"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9D9C9C"/>
              <w:bottom w:val="single" w:sz="8" w:space="0" w:color="000000"/>
              <w:right w:val="single" w:sz="6" w:space="0" w:color="9D9C9C"/>
            </w:tcBorders>
            <w:tcMar>
              <w:top w:w="96" w:type="dxa"/>
              <w:left w:w="14" w:type="dxa"/>
              <w:bottom w:w="96" w:type="dxa"/>
              <w:right w:w="14" w:type="dxa"/>
            </w:tcMar>
          </w:tcPr>
          <w:p w14:paraId="3D0D34A8"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9D9C9C"/>
              <w:bottom w:val="single" w:sz="8" w:space="0" w:color="000000"/>
              <w:right w:val="single" w:sz="6" w:space="0" w:color="9D9C9C"/>
            </w:tcBorders>
            <w:tcMar>
              <w:top w:w="96" w:type="dxa"/>
              <w:left w:w="14" w:type="dxa"/>
              <w:bottom w:w="96" w:type="dxa"/>
              <w:right w:w="14" w:type="dxa"/>
            </w:tcMar>
          </w:tcPr>
          <w:p w14:paraId="3EA9E926"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9D9C9C"/>
              <w:bottom w:val="single" w:sz="8" w:space="0" w:color="000000"/>
              <w:right w:val="single" w:sz="6" w:space="0" w:color="9D9C9C"/>
            </w:tcBorders>
            <w:tcMar>
              <w:top w:w="96" w:type="dxa"/>
              <w:left w:w="14" w:type="dxa"/>
              <w:bottom w:w="96" w:type="dxa"/>
              <w:right w:w="14" w:type="dxa"/>
            </w:tcMar>
          </w:tcPr>
          <w:p w14:paraId="176221A9"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9D9C9C"/>
              <w:bottom w:val="single" w:sz="8" w:space="0" w:color="000000"/>
              <w:right w:val="single" w:sz="6" w:space="0" w:color="9D9C9C"/>
            </w:tcBorders>
            <w:tcMar>
              <w:top w:w="96" w:type="dxa"/>
              <w:left w:w="14" w:type="dxa"/>
              <w:bottom w:w="96" w:type="dxa"/>
              <w:right w:w="14" w:type="dxa"/>
            </w:tcMar>
          </w:tcPr>
          <w:p w14:paraId="2AB2157B" w14:textId="77777777" w:rsidR="00345EE3" w:rsidRDefault="00345EE3" w:rsidP="00D73130">
            <w:pPr>
              <w:pStyle w:val="NoParagraphStyle"/>
              <w:spacing w:line="240" w:lineRule="auto"/>
              <w:textAlignment w:val="auto"/>
              <w:rPr>
                <w:color w:val="auto"/>
              </w:rPr>
            </w:pPr>
          </w:p>
        </w:tc>
      </w:tr>
      <w:tr w:rsidR="00345EE3" w14:paraId="5CF05448" w14:textId="77777777" w:rsidTr="00D73130">
        <w:trPr>
          <w:trHeight w:val="60"/>
        </w:trPr>
        <w:tc>
          <w:tcPr>
            <w:tcW w:w="3402" w:type="dxa"/>
            <w:tcBorders>
              <w:top w:val="single" w:sz="8" w:space="0" w:color="000000"/>
              <w:left w:val="single" w:sz="6" w:space="0" w:color="000000"/>
              <w:bottom w:val="single" w:sz="2" w:space="0" w:color="9D9C9C"/>
              <w:right w:val="single" w:sz="2" w:space="0" w:color="9D9C9C"/>
            </w:tcBorders>
            <w:tcMar>
              <w:top w:w="96" w:type="dxa"/>
              <w:left w:w="14" w:type="dxa"/>
              <w:bottom w:w="96" w:type="dxa"/>
              <w:right w:w="14" w:type="dxa"/>
            </w:tcMar>
          </w:tcPr>
          <w:p w14:paraId="41796E45" w14:textId="77777777" w:rsidR="00345EE3" w:rsidRDefault="00345EE3" w:rsidP="00D73130">
            <w:pPr>
              <w:pStyle w:val="VicPol-TableBodyLeft-2022Tables"/>
            </w:pPr>
            <w:r>
              <w:rPr>
                <w:rStyle w:val="Heavy"/>
              </w:rPr>
              <w:t>Payables</w:t>
            </w:r>
            <w:r>
              <w:rPr>
                <w:rStyle w:val="Heavy"/>
                <w:vertAlign w:val="superscript"/>
              </w:rPr>
              <w:t xml:space="preserve"> (b)</w:t>
            </w:r>
          </w:p>
        </w:tc>
        <w:tc>
          <w:tcPr>
            <w:tcW w:w="1133" w:type="dxa"/>
            <w:tcBorders>
              <w:top w:val="single" w:sz="8" w:space="0" w:color="000000"/>
              <w:left w:val="single" w:sz="2" w:space="0" w:color="9D9C9C"/>
              <w:bottom w:val="single" w:sz="2" w:space="0" w:color="9D9C9C"/>
              <w:right w:val="single" w:sz="2" w:space="0" w:color="9D9C9C"/>
            </w:tcBorders>
            <w:tcMar>
              <w:top w:w="96" w:type="dxa"/>
              <w:left w:w="14" w:type="dxa"/>
              <w:bottom w:w="96" w:type="dxa"/>
              <w:right w:w="14" w:type="dxa"/>
            </w:tcMar>
          </w:tcPr>
          <w:p w14:paraId="6A88269A"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tcMar>
              <w:top w:w="96" w:type="dxa"/>
              <w:left w:w="14" w:type="dxa"/>
              <w:bottom w:w="96" w:type="dxa"/>
              <w:right w:w="14" w:type="dxa"/>
            </w:tcMar>
          </w:tcPr>
          <w:p w14:paraId="043DE479"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tcMar>
              <w:top w:w="96" w:type="dxa"/>
              <w:left w:w="14" w:type="dxa"/>
              <w:bottom w:w="96" w:type="dxa"/>
              <w:right w:w="14" w:type="dxa"/>
            </w:tcMar>
          </w:tcPr>
          <w:p w14:paraId="5572B977"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tcMar>
              <w:top w:w="96" w:type="dxa"/>
              <w:left w:w="14" w:type="dxa"/>
              <w:bottom w:w="96" w:type="dxa"/>
              <w:right w:w="14" w:type="dxa"/>
            </w:tcMar>
          </w:tcPr>
          <w:p w14:paraId="2D41FD52"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tcMar>
              <w:top w:w="96" w:type="dxa"/>
              <w:left w:w="14" w:type="dxa"/>
              <w:bottom w:w="96" w:type="dxa"/>
              <w:right w:w="14" w:type="dxa"/>
            </w:tcMar>
          </w:tcPr>
          <w:p w14:paraId="57A00CA1"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6" w:space="0" w:color="9D9C9C"/>
            </w:tcBorders>
            <w:tcMar>
              <w:top w:w="96" w:type="dxa"/>
              <w:left w:w="14" w:type="dxa"/>
              <w:bottom w:w="96" w:type="dxa"/>
              <w:right w:w="14" w:type="dxa"/>
            </w:tcMar>
          </w:tcPr>
          <w:p w14:paraId="32114E29" w14:textId="77777777" w:rsidR="00345EE3" w:rsidRDefault="00345EE3" w:rsidP="00D73130">
            <w:pPr>
              <w:pStyle w:val="NoParagraphStyle"/>
              <w:spacing w:line="240" w:lineRule="auto"/>
              <w:textAlignment w:val="auto"/>
              <w:rPr>
                <w:color w:val="auto"/>
              </w:rPr>
            </w:pPr>
          </w:p>
        </w:tc>
      </w:tr>
      <w:tr w:rsidR="00345EE3" w14:paraId="53299C26"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0ADE42C0" w14:textId="77777777" w:rsidR="00345EE3" w:rsidRDefault="00345EE3" w:rsidP="00D73130">
            <w:pPr>
              <w:pStyle w:val="VicPol-TableBodyLeftindented-2022Tables"/>
            </w:pPr>
            <w:r>
              <w:t>Supplies and services (Note 6.3)</w:t>
            </w:r>
          </w:p>
        </w:tc>
        <w:tc>
          <w:tcPr>
            <w:tcW w:w="1133"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0BB36525" w14:textId="77777777" w:rsidR="00345EE3" w:rsidRDefault="00345EE3" w:rsidP="00D73130">
            <w:pPr>
              <w:pStyle w:val="VicPol-TableBodyRight-2022Tables"/>
            </w:pPr>
            <w:r>
              <w:t xml:space="preserve">56,233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7C3BE20D" w14:textId="77777777" w:rsidR="00345EE3" w:rsidRDefault="00345EE3" w:rsidP="00D73130">
            <w:pPr>
              <w:pStyle w:val="VicPol-TableBodyRight-2022Tables"/>
            </w:pPr>
            <w:r>
              <w:t xml:space="preserve">56,233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205C13F8" w14:textId="77777777" w:rsidR="00345EE3" w:rsidRDefault="00345EE3" w:rsidP="00D73130">
            <w:pPr>
              <w:pStyle w:val="VicPol-TableBodyRight-2022Tables"/>
            </w:pPr>
            <w:r>
              <w:t xml:space="preserve">54,722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0776E5B1" w14:textId="77777777" w:rsidR="00345EE3" w:rsidRDefault="00345EE3" w:rsidP="00D73130">
            <w:pPr>
              <w:pStyle w:val="VicPol-TableBodyRight-2022Tables"/>
            </w:pPr>
            <w:r>
              <w:t xml:space="preserve">954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77566D8C" w14:textId="77777777" w:rsidR="00345EE3" w:rsidRDefault="00345EE3" w:rsidP="00D73130">
            <w:pPr>
              <w:pStyle w:val="VicPol-TableBodyRight-2022Tables"/>
            </w:pPr>
            <w:r>
              <w:t xml:space="preserve">550 </w:t>
            </w:r>
          </w:p>
        </w:tc>
        <w:tc>
          <w:tcPr>
            <w:tcW w:w="1134" w:type="dxa"/>
            <w:tcBorders>
              <w:top w:val="single" w:sz="2" w:space="0" w:color="9D9C9C"/>
              <w:left w:val="single" w:sz="2" w:space="0" w:color="9D9C9C"/>
              <w:bottom w:val="single" w:sz="2" w:space="0" w:color="9D9C9C"/>
              <w:right w:val="single" w:sz="6" w:space="0" w:color="9D9C9C"/>
            </w:tcBorders>
            <w:tcMar>
              <w:top w:w="96" w:type="dxa"/>
              <w:left w:w="14" w:type="dxa"/>
              <w:bottom w:w="96" w:type="dxa"/>
              <w:right w:w="14" w:type="dxa"/>
            </w:tcMar>
          </w:tcPr>
          <w:p w14:paraId="49B5812E" w14:textId="77777777" w:rsidR="00345EE3" w:rsidRDefault="00345EE3" w:rsidP="00D73130">
            <w:pPr>
              <w:pStyle w:val="VicPol-TableBodyRight-2022Tables"/>
            </w:pPr>
            <w:r>
              <w:t xml:space="preserve">7 </w:t>
            </w:r>
          </w:p>
        </w:tc>
      </w:tr>
      <w:tr w:rsidR="00345EE3" w14:paraId="08C70165"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7E5840DB" w14:textId="77777777" w:rsidR="00345EE3" w:rsidRDefault="00345EE3" w:rsidP="00D73130">
            <w:pPr>
              <w:pStyle w:val="VicPol-TableBodyLeftindented-2022Tables"/>
            </w:pPr>
            <w:r>
              <w:t>Amounts payable to government and agencies (Note 6.3)”</w:t>
            </w:r>
          </w:p>
        </w:tc>
        <w:tc>
          <w:tcPr>
            <w:tcW w:w="1133"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1ABD16B5" w14:textId="77777777" w:rsidR="00345EE3" w:rsidRDefault="00345EE3" w:rsidP="00D73130">
            <w:pPr>
              <w:pStyle w:val="VicPol-TableBodyRight-2022Tables"/>
            </w:pPr>
            <w:r>
              <w:t xml:space="preserve">4,144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631CEF0D" w14:textId="77777777" w:rsidR="00345EE3" w:rsidRDefault="00345EE3" w:rsidP="00D73130">
            <w:pPr>
              <w:pStyle w:val="VicPol-TableBodyRight-2022Tables"/>
            </w:pPr>
            <w:r>
              <w:t xml:space="preserve">4,144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680BA2A2" w14:textId="77777777" w:rsidR="00345EE3" w:rsidRDefault="00345EE3" w:rsidP="00D73130">
            <w:pPr>
              <w:pStyle w:val="VicPol-TableBodyRight-2022Tables"/>
            </w:pPr>
            <w:r>
              <w:t xml:space="preserve">4,144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216B03AF"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21791A75"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tcMar>
              <w:top w:w="96" w:type="dxa"/>
              <w:left w:w="14" w:type="dxa"/>
              <w:bottom w:w="96" w:type="dxa"/>
              <w:right w:w="14" w:type="dxa"/>
            </w:tcMar>
          </w:tcPr>
          <w:p w14:paraId="3DF8B1BA" w14:textId="77777777" w:rsidR="00345EE3" w:rsidRDefault="00345EE3" w:rsidP="00D73130">
            <w:pPr>
              <w:pStyle w:val="VicPol-TableBodyRight-2022Tables"/>
            </w:pPr>
            <w:r>
              <w:t xml:space="preserve"> -   </w:t>
            </w:r>
          </w:p>
        </w:tc>
      </w:tr>
      <w:tr w:rsidR="00345EE3" w14:paraId="6015A9E5"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558D247B" w14:textId="77777777" w:rsidR="00345EE3" w:rsidRDefault="00345EE3" w:rsidP="00D73130">
            <w:pPr>
              <w:pStyle w:val="VicPol-TableBodyLeftindented-2022Tables"/>
            </w:pPr>
            <w:r>
              <w:t>Other payables (Note 6.3)</w:t>
            </w:r>
          </w:p>
        </w:tc>
        <w:tc>
          <w:tcPr>
            <w:tcW w:w="1133"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22BD63A5" w14:textId="77777777" w:rsidR="00345EE3" w:rsidRDefault="00345EE3" w:rsidP="00D73130">
            <w:pPr>
              <w:pStyle w:val="VicPol-TableBodyRight-2022Tables"/>
            </w:pPr>
            <w:r>
              <w:t xml:space="preserve">21,815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56A46611" w14:textId="77777777" w:rsidR="00345EE3" w:rsidRDefault="00345EE3" w:rsidP="00D73130">
            <w:pPr>
              <w:pStyle w:val="VicPol-TableBodyRight-2022Tables"/>
            </w:pPr>
            <w:r>
              <w:t xml:space="preserve">21,815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7BEC6BB2" w14:textId="77777777" w:rsidR="00345EE3" w:rsidRDefault="00345EE3" w:rsidP="00D73130">
            <w:pPr>
              <w:pStyle w:val="VicPol-TableBodyRight-2022Tables"/>
            </w:pPr>
            <w:r>
              <w:t xml:space="preserve">21,782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37EC7D7B"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0696AE3B"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tcMar>
              <w:top w:w="96" w:type="dxa"/>
              <w:left w:w="14" w:type="dxa"/>
              <w:bottom w:w="96" w:type="dxa"/>
              <w:right w:w="14" w:type="dxa"/>
            </w:tcMar>
          </w:tcPr>
          <w:p w14:paraId="5DA6B90A" w14:textId="77777777" w:rsidR="00345EE3" w:rsidRDefault="00345EE3" w:rsidP="00D73130">
            <w:pPr>
              <w:pStyle w:val="VicPol-TableBodyRight-2022Tables"/>
            </w:pPr>
            <w:r>
              <w:t xml:space="preserve">33 </w:t>
            </w:r>
          </w:p>
        </w:tc>
      </w:tr>
      <w:tr w:rsidR="00345EE3" w14:paraId="04352EDB"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3A239A4C" w14:textId="77777777" w:rsidR="00345EE3" w:rsidRDefault="00345EE3" w:rsidP="00D73130">
            <w:pPr>
              <w:pStyle w:val="VicPol-TableBodyLeft-2022Tables"/>
            </w:pPr>
            <w:r>
              <w:t xml:space="preserve">Derivative financial instruments (Note 6.3) </w:t>
            </w:r>
          </w:p>
        </w:tc>
        <w:tc>
          <w:tcPr>
            <w:tcW w:w="1133"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02E322DD" w14:textId="77777777" w:rsidR="00345EE3" w:rsidRDefault="00345EE3" w:rsidP="00D73130">
            <w:pPr>
              <w:pStyle w:val="VicPol-TableBodyRight-2022Tables"/>
            </w:pPr>
            <w:r>
              <w:t xml:space="preserve">13,745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5EBD362D" w14:textId="77777777" w:rsidR="00345EE3" w:rsidRDefault="00345EE3" w:rsidP="00D73130">
            <w:pPr>
              <w:pStyle w:val="VicPol-TableBodyRight-2022Tables"/>
            </w:pPr>
            <w:r>
              <w:t xml:space="preserve">14,493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1BD4378A" w14:textId="77777777" w:rsidR="00345EE3" w:rsidRDefault="00345EE3" w:rsidP="00D73130">
            <w:pPr>
              <w:pStyle w:val="VicPol-TableBodyRight-2022Tables"/>
            </w:pPr>
            <w:r>
              <w:t xml:space="preserve">115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376375C9" w14:textId="77777777" w:rsidR="00345EE3" w:rsidRDefault="00345EE3" w:rsidP="00D73130">
            <w:pPr>
              <w:pStyle w:val="VicPol-TableBodyRight-2022Tables"/>
            </w:pPr>
            <w:r>
              <w:t xml:space="preserve">230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7DAA72E3" w14:textId="77777777" w:rsidR="00345EE3" w:rsidRDefault="00345EE3" w:rsidP="00D73130">
            <w:pPr>
              <w:pStyle w:val="VicPol-TableBodyRight-2022Tables"/>
            </w:pPr>
            <w:r>
              <w:t xml:space="preserve">1,046 </w:t>
            </w:r>
          </w:p>
        </w:tc>
        <w:tc>
          <w:tcPr>
            <w:tcW w:w="1134" w:type="dxa"/>
            <w:tcBorders>
              <w:top w:val="single" w:sz="2" w:space="0" w:color="9D9C9C"/>
              <w:left w:val="single" w:sz="2" w:space="0" w:color="9D9C9C"/>
              <w:bottom w:val="single" w:sz="2" w:space="0" w:color="9D9C9C"/>
              <w:right w:val="single" w:sz="6" w:space="0" w:color="9D9C9C"/>
            </w:tcBorders>
            <w:tcMar>
              <w:top w:w="96" w:type="dxa"/>
              <w:left w:w="14" w:type="dxa"/>
              <w:bottom w:w="96" w:type="dxa"/>
              <w:right w:w="14" w:type="dxa"/>
            </w:tcMar>
          </w:tcPr>
          <w:p w14:paraId="0F066AA0" w14:textId="77777777" w:rsidR="00345EE3" w:rsidRDefault="00345EE3" w:rsidP="00D73130">
            <w:pPr>
              <w:pStyle w:val="VicPol-TableBodyRight-2022Tables"/>
            </w:pPr>
            <w:r>
              <w:t xml:space="preserve">13,102 </w:t>
            </w:r>
          </w:p>
        </w:tc>
      </w:tr>
      <w:tr w:rsidR="00345EE3" w14:paraId="32938A3F"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075339EA" w14:textId="77777777" w:rsidR="00345EE3" w:rsidRDefault="00345EE3" w:rsidP="00D73130">
            <w:pPr>
              <w:pStyle w:val="VicPol-TableBodyLeft-2022Tables"/>
            </w:pPr>
            <w:r>
              <w:rPr>
                <w:rStyle w:val="Heavy"/>
              </w:rPr>
              <w:t>Borrowings</w:t>
            </w:r>
          </w:p>
        </w:tc>
        <w:tc>
          <w:tcPr>
            <w:tcW w:w="1133"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1EE17BE2"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4B5A5794"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63DEB7BC"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723B8182"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6FE44CBD"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6" w:space="0" w:color="9D9C9C"/>
            </w:tcBorders>
            <w:tcMar>
              <w:top w:w="96" w:type="dxa"/>
              <w:left w:w="14" w:type="dxa"/>
              <w:bottom w:w="96" w:type="dxa"/>
              <w:right w:w="14" w:type="dxa"/>
            </w:tcMar>
          </w:tcPr>
          <w:p w14:paraId="2460D9E2" w14:textId="77777777" w:rsidR="00345EE3" w:rsidRDefault="00345EE3" w:rsidP="00D73130">
            <w:pPr>
              <w:pStyle w:val="NoParagraphStyle"/>
              <w:spacing w:line="240" w:lineRule="auto"/>
              <w:textAlignment w:val="auto"/>
              <w:rPr>
                <w:color w:val="auto"/>
              </w:rPr>
            </w:pPr>
          </w:p>
        </w:tc>
      </w:tr>
      <w:tr w:rsidR="00345EE3" w14:paraId="7D7A6F44" w14:textId="77777777" w:rsidTr="00D73130">
        <w:trPr>
          <w:trHeight w:val="60"/>
        </w:trPr>
        <w:tc>
          <w:tcPr>
            <w:tcW w:w="3402" w:type="dxa"/>
            <w:tcBorders>
              <w:top w:val="single" w:sz="2" w:space="0" w:color="9D9C9C"/>
              <w:left w:val="single" w:sz="6" w:space="0" w:color="000000"/>
              <w:bottom w:val="single" w:sz="4" w:space="0" w:color="000000"/>
              <w:right w:val="single" w:sz="2" w:space="0" w:color="9D9C9C"/>
            </w:tcBorders>
            <w:tcMar>
              <w:top w:w="96" w:type="dxa"/>
              <w:left w:w="14" w:type="dxa"/>
              <w:bottom w:w="96" w:type="dxa"/>
              <w:right w:w="14" w:type="dxa"/>
            </w:tcMar>
          </w:tcPr>
          <w:p w14:paraId="612B4FE0" w14:textId="77777777" w:rsidR="00345EE3" w:rsidRDefault="00345EE3" w:rsidP="00D73130">
            <w:pPr>
              <w:pStyle w:val="VicPol-TableBodyLeftindented-2022Tables"/>
            </w:pPr>
            <w:r>
              <w:t>Lease liabilities (Note 7.1)</w:t>
            </w:r>
          </w:p>
        </w:tc>
        <w:tc>
          <w:tcPr>
            <w:tcW w:w="1133" w:type="dxa"/>
            <w:tcBorders>
              <w:top w:val="single" w:sz="2" w:space="0" w:color="9D9C9C"/>
              <w:left w:val="single" w:sz="2" w:space="0" w:color="9D9C9C"/>
              <w:bottom w:val="single" w:sz="4" w:space="0" w:color="000000"/>
              <w:right w:val="single" w:sz="2" w:space="0" w:color="9D9C9C"/>
            </w:tcBorders>
            <w:tcMar>
              <w:top w:w="96" w:type="dxa"/>
              <w:left w:w="14" w:type="dxa"/>
              <w:bottom w:w="96" w:type="dxa"/>
              <w:right w:w="14" w:type="dxa"/>
            </w:tcMar>
          </w:tcPr>
          <w:p w14:paraId="55A43F08" w14:textId="77777777" w:rsidR="00345EE3" w:rsidRDefault="00345EE3" w:rsidP="00D73130">
            <w:pPr>
              <w:pStyle w:val="VicPol-TableBodyRight-2022Tables"/>
            </w:pPr>
            <w:r>
              <w:t xml:space="preserve">1,888,860 </w:t>
            </w:r>
          </w:p>
        </w:tc>
        <w:tc>
          <w:tcPr>
            <w:tcW w:w="1134" w:type="dxa"/>
            <w:tcBorders>
              <w:top w:val="single" w:sz="2" w:space="0" w:color="9D9C9C"/>
              <w:left w:val="single" w:sz="2" w:space="0" w:color="9D9C9C"/>
              <w:bottom w:val="single" w:sz="4" w:space="0" w:color="000000"/>
              <w:right w:val="single" w:sz="2" w:space="0" w:color="9D9C9C"/>
            </w:tcBorders>
            <w:tcMar>
              <w:top w:w="96" w:type="dxa"/>
              <w:left w:w="14" w:type="dxa"/>
              <w:bottom w:w="96" w:type="dxa"/>
              <w:right w:w="14" w:type="dxa"/>
            </w:tcMar>
          </w:tcPr>
          <w:p w14:paraId="1912FD03" w14:textId="77777777" w:rsidR="00345EE3" w:rsidRDefault="00345EE3" w:rsidP="00D73130">
            <w:pPr>
              <w:pStyle w:val="VicPol-TableBodyRight-2022Tables"/>
            </w:pPr>
            <w:r>
              <w:t xml:space="preserve">2,908,654 </w:t>
            </w:r>
          </w:p>
        </w:tc>
        <w:tc>
          <w:tcPr>
            <w:tcW w:w="1134" w:type="dxa"/>
            <w:tcBorders>
              <w:top w:val="single" w:sz="2" w:space="0" w:color="9D9C9C"/>
              <w:left w:val="single" w:sz="2" w:space="0" w:color="9D9C9C"/>
              <w:bottom w:val="single" w:sz="4" w:space="0" w:color="000000"/>
              <w:right w:val="single" w:sz="2" w:space="0" w:color="9D9C9C"/>
            </w:tcBorders>
            <w:tcMar>
              <w:top w:w="96" w:type="dxa"/>
              <w:left w:w="14" w:type="dxa"/>
              <w:bottom w:w="96" w:type="dxa"/>
              <w:right w:w="14" w:type="dxa"/>
            </w:tcMar>
          </w:tcPr>
          <w:p w14:paraId="08810D2C" w14:textId="77777777" w:rsidR="00345EE3" w:rsidRDefault="00345EE3" w:rsidP="00D73130">
            <w:pPr>
              <w:pStyle w:val="VicPol-TableBodyRight-2022Tables"/>
            </w:pPr>
            <w:r>
              <w:t xml:space="preserve">24,604 </w:t>
            </w:r>
          </w:p>
        </w:tc>
        <w:tc>
          <w:tcPr>
            <w:tcW w:w="1134" w:type="dxa"/>
            <w:tcBorders>
              <w:top w:val="single" w:sz="2" w:space="0" w:color="9D9C9C"/>
              <w:left w:val="single" w:sz="2" w:space="0" w:color="9D9C9C"/>
              <w:bottom w:val="single" w:sz="4" w:space="0" w:color="000000"/>
              <w:right w:val="single" w:sz="2" w:space="0" w:color="9D9C9C"/>
            </w:tcBorders>
            <w:tcMar>
              <w:top w:w="96" w:type="dxa"/>
              <w:left w:w="14" w:type="dxa"/>
              <w:bottom w:w="96" w:type="dxa"/>
              <w:right w:w="14" w:type="dxa"/>
            </w:tcMar>
          </w:tcPr>
          <w:p w14:paraId="59E3037C" w14:textId="77777777" w:rsidR="00345EE3" w:rsidRDefault="00345EE3" w:rsidP="00D73130">
            <w:pPr>
              <w:pStyle w:val="VicPol-TableBodyRight-2022Tables"/>
            </w:pPr>
            <w:r>
              <w:t>26,895</w:t>
            </w:r>
          </w:p>
        </w:tc>
        <w:tc>
          <w:tcPr>
            <w:tcW w:w="1134" w:type="dxa"/>
            <w:tcBorders>
              <w:top w:val="single" w:sz="2" w:space="0" w:color="9D9C9C"/>
              <w:left w:val="single" w:sz="2" w:space="0" w:color="9D9C9C"/>
              <w:bottom w:val="single" w:sz="4" w:space="0" w:color="000000"/>
              <w:right w:val="single" w:sz="2" w:space="0" w:color="9D9C9C"/>
            </w:tcBorders>
            <w:tcMar>
              <w:top w:w="96" w:type="dxa"/>
              <w:left w:w="14" w:type="dxa"/>
              <w:bottom w:w="96" w:type="dxa"/>
              <w:right w:w="14" w:type="dxa"/>
            </w:tcMar>
          </w:tcPr>
          <w:p w14:paraId="75099638" w14:textId="77777777" w:rsidR="00345EE3" w:rsidRDefault="00345EE3" w:rsidP="00D73130">
            <w:pPr>
              <w:pStyle w:val="VicPol-TableBodyRight-2022Tables"/>
            </w:pPr>
            <w:r>
              <w:t xml:space="preserve">111,105 </w:t>
            </w:r>
          </w:p>
        </w:tc>
        <w:tc>
          <w:tcPr>
            <w:tcW w:w="1134" w:type="dxa"/>
            <w:tcBorders>
              <w:top w:val="single" w:sz="2" w:space="0" w:color="9D9C9C"/>
              <w:left w:val="single" w:sz="2" w:space="0" w:color="9D9C9C"/>
              <w:bottom w:val="single" w:sz="4" w:space="0" w:color="000000"/>
              <w:right w:val="single" w:sz="6" w:space="0" w:color="9D9C9C"/>
            </w:tcBorders>
            <w:tcMar>
              <w:top w:w="96" w:type="dxa"/>
              <w:left w:w="14" w:type="dxa"/>
              <w:bottom w:w="96" w:type="dxa"/>
              <w:right w:w="14" w:type="dxa"/>
            </w:tcMar>
          </w:tcPr>
          <w:p w14:paraId="0BD4CAF2" w14:textId="77777777" w:rsidR="00345EE3" w:rsidRDefault="00345EE3" w:rsidP="00D73130">
            <w:pPr>
              <w:pStyle w:val="VicPol-TableBodyRight-2022Tables"/>
            </w:pPr>
            <w:r>
              <w:t xml:space="preserve">2,746,050 </w:t>
            </w:r>
          </w:p>
        </w:tc>
      </w:tr>
      <w:tr w:rsidR="00345EE3" w14:paraId="74DFB3AE" w14:textId="77777777" w:rsidTr="00D73130">
        <w:trPr>
          <w:trHeight w:val="60"/>
        </w:trPr>
        <w:tc>
          <w:tcPr>
            <w:tcW w:w="3402" w:type="dxa"/>
            <w:tcBorders>
              <w:top w:val="single" w:sz="4" w:space="0" w:color="000000"/>
              <w:left w:val="single" w:sz="6" w:space="0" w:color="9D9C9C"/>
              <w:bottom w:val="single" w:sz="8" w:space="0" w:color="000000"/>
              <w:right w:val="single" w:sz="2" w:space="0" w:color="9D9C9C"/>
            </w:tcBorders>
            <w:tcMar>
              <w:top w:w="96" w:type="dxa"/>
              <w:left w:w="14" w:type="dxa"/>
              <w:bottom w:w="96" w:type="dxa"/>
              <w:right w:w="14" w:type="dxa"/>
            </w:tcMar>
          </w:tcPr>
          <w:p w14:paraId="5D0B7D3C" w14:textId="77777777" w:rsidR="00345EE3" w:rsidRDefault="00345EE3" w:rsidP="00D73130">
            <w:pPr>
              <w:pStyle w:val="VicPol-TableBodyLeft-2022Tables"/>
            </w:pPr>
            <w:r>
              <w:rPr>
                <w:rStyle w:val="Heavy"/>
              </w:rPr>
              <w:t>Total Contractual Financial Liabilities</w:t>
            </w:r>
          </w:p>
        </w:tc>
        <w:tc>
          <w:tcPr>
            <w:tcW w:w="1133" w:type="dxa"/>
            <w:tcBorders>
              <w:top w:val="single" w:sz="4" w:space="0" w:color="000000"/>
              <w:left w:val="single" w:sz="2" w:space="0" w:color="9D9C9C"/>
              <w:bottom w:val="single" w:sz="8" w:space="0" w:color="000000"/>
              <w:right w:val="single" w:sz="2" w:space="0" w:color="9D9C9C"/>
            </w:tcBorders>
            <w:tcMar>
              <w:top w:w="96" w:type="dxa"/>
              <w:left w:w="14" w:type="dxa"/>
              <w:bottom w:w="96" w:type="dxa"/>
              <w:right w:w="14" w:type="dxa"/>
            </w:tcMar>
          </w:tcPr>
          <w:p w14:paraId="1CD0589E" w14:textId="77777777" w:rsidR="00345EE3" w:rsidRDefault="00345EE3" w:rsidP="00D73130">
            <w:pPr>
              <w:pStyle w:val="VicPol-TableBodyRight-2022Tables"/>
            </w:pPr>
            <w:r>
              <w:rPr>
                <w:rStyle w:val="Heavy"/>
                <w:spacing w:val="0"/>
              </w:rPr>
              <w:t xml:space="preserve">1,984,797 </w:t>
            </w:r>
          </w:p>
        </w:tc>
        <w:tc>
          <w:tcPr>
            <w:tcW w:w="1134" w:type="dxa"/>
            <w:tcBorders>
              <w:top w:val="single" w:sz="4" w:space="0" w:color="000000"/>
              <w:left w:val="single" w:sz="2" w:space="0" w:color="9D9C9C"/>
              <w:bottom w:val="single" w:sz="8" w:space="0" w:color="000000"/>
              <w:right w:val="single" w:sz="2" w:space="0" w:color="9D9C9C"/>
            </w:tcBorders>
            <w:tcMar>
              <w:top w:w="96" w:type="dxa"/>
              <w:left w:w="14" w:type="dxa"/>
              <w:bottom w:w="96" w:type="dxa"/>
              <w:right w:w="14" w:type="dxa"/>
            </w:tcMar>
          </w:tcPr>
          <w:p w14:paraId="7FE45580" w14:textId="77777777" w:rsidR="00345EE3" w:rsidRDefault="00345EE3" w:rsidP="00D73130">
            <w:pPr>
              <w:pStyle w:val="VicPol-TableBodyRight-2022Tables"/>
            </w:pPr>
            <w:r>
              <w:rPr>
                <w:rStyle w:val="Heavy"/>
                <w:spacing w:val="0"/>
              </w:rPr>
              <w:t xml:space="preserve">3,005,339 </w:t>
            </w:r>
          </w:p>
        </w:tc>
        <w:tc>
          <w:tcPr>
            <w:tcW w:w="1134" w:type="dxa"/>
            <w:tcBorders>
              <w:top w:val="single" w:sz="4" w:space="0" w:color="000000"/>
              <w:left w:val="single" w:sz="2" w:space="0" w:color="9D9C9C"/>
              <w:bottom w:val="single" w:sz="8" w:space="0" w:color="000000"/>
              <w:right w:val="single" w:sz="2" w:space="0" w:color="9D9C9C"/>
            </w:tcBorders>
            <w:tcMar>
              <w:top w:w="96" w:type="dxa"/>
              <w:left w:w="14" w:type="dxa"/>
              <w:bottom w:w="96" w:type="dxa"/>
              <w:right w:w="14" w:type="dxa"/>
            </w:tcMar>
          </w:tcPr>
          <w:p w14:paraId="75B100DD" w14:textId="77777777" w:rsidR="00345EE3" w:rsidRDefault="00345EE3" w:rsidP="00D73130">
            <w:pPr>
              <w:pStyle w:val="VicPol-TableBodyRight-2022Tables"/>
            </w:pPr>
            <w:r>
              <w:rPr>
                <w:rStyle w:val="Heavy"/>
                <w:spacing w:val="0"/>
              </w:rPr>
              <w:t xml:space="preserve">105,367 </w:t>
            </w:r>
          </w:p>
        </w:tc>
        <w:tc>
          <w:tcPr>
            <w:tcW w:w="1134" w:type="dxa"/>
            <w:tcBorders>
              <w:top w:val="single" w:sz="4" w:space="0" w:color="000000"/>
              <w:left w:val="single" w:sz="2" w:space="0" w:color="9D9C9C"/>
              <w:bottom w:val="single" w:sz="8" w:space="0" w:color="000000"/>
              <w:right w:val="single" w:sz="2" w:space="0" w:color="9D9C9C"/>
            </w:tcBorders>
            <w:tcMar>
              <w:top w:w="96" w:type="dxa"/>
              <w:left w:w="14" w:type="dxa"/>
              <w:bottom w:w="96" w:type="dxa"/>
              <w:right w:w="14" w:type="dxa"/>
            </w:tcMar>
          </w:tcPr>
          <w:p w14:paraId="227B17BF" w14:textId="77777777" w:rsidR="00345EE3" w:rsidRDefault="00345EE3" w:rsidP="00D73130">
            <w:pPr>
              <w:pStyle w:val="VicPol-TableBodyRight-2022Tables"/>
            </w:pPr>
            <w:r>
              <w:rPr>
                <w:rStyle w:val="Heavy"/>
                <w:spacing w:val="0"/>
              </w:rPr>
              <w:t xml:space="preserve">28,079 </w:t>
            </w:r>
          </w:p>
        </w:tc>
        <w:tc>
          <w:tcPr>
            <w:tcW w:w="1134" w:type="dxa"/>
            <w:tcBorders>
              <w:top w:val="single" w:sz="4" w:space="0" w:color="000000"/>
              <w:left w:val="single" w:sz="2" w:space="0" w:color="9D9C9C"/>
              <w:bottom w:val="single" w:sz="8" w:space="0" w:color="000000"/>
              <w:right w:val="single" w:sz="2" w:space="0" w:color="9D9C9C"/>
            </w:tcBorders>
            <w:tcMar>
              <w:top w:w="96" w:type="dxa"/>
              <w:left w:w="14" w:type="dxa"/>
              <w:bottom w:w="96" w:type="dxa"/>
              <w:right w:w="14" w:type="dxa"/>
            </w:tcMar>
          </w:tcPr>
          <w:p w14:paraId="674ABECB" w14:textId="77777777" w:rsidR="00345EE3" w:rsidRDefault="00345EE3" w:rsidP="00D73130">
            <w:pPr>
              <w:pStyle w:val="VicPol-TableBodyRight-2022Tables"/>
            </w:pPr>
            <w:r>
              <w:rPr>
                <w:rStyle w:val="Heavy"/>
                <w:spacing w:val="0"/>
              </w:rPr>
              <w:t xml:space="preserve">112,701 </w:t>
            </w:r>
          </w:p>
        </w:tc>
        <w:tc>
          <w:tcPr>
            <w:tcW w:w="1134" w:type="dxa"/>
            <w:tcBorders>
              <w:top w:val="single" w:sz="4" w:space="0" w:color="000000"/>
              <w:left w:val="single" w:sz="2" w:space="0" w:color="9D9C9C"/>
              <w:bottom w:val="single" w:sz="8" w:space="0" w:color="000000"/>
              <w:right w:val="single" w:sz="6" w:space="0" w:color="9D9C9C"/>
            </w:tcBorders>
            <w:tcMar>
              <w:top w:w="96" w:type="dxa"/>
              <w:left w:w="14" w:type="dxa"/>
              <w:bottom w:w="96" w:type="dxa"/>
              <w:right w:w="14" w:type="dxa"/>
            </w:tcMar>
          </w:tcPr>
          <w:p w14:paraId="39866BBB" w14:textId="77777777" w:rsidR="00345EE3" w:rsidRDefault="00345EE3" w:rsidP="00D73130">
            <w:pPr>
              <w:pStyle w:val="VicPol-TableBodyRight-2022Tables"/>
            </w:pPr>
            <w:r>
              <w:rPr>
                <w:rStyle w:val="Heavy"/>
                <w:spacing w:val="0"/>
              </w:rPr>
              <w:t xml:space="preserve">2,759,192 </w:t>
            </w:r>
          </w:p>
        </w:tc>
      </w:tr>
    </w:tbl>
    <w:p w14:paraId="44FD16BE" w14:textId="77777777" w:rsidR="00345EE3" w:rsidRPr="00804409" w:rsidRDefault="00345EE3" w:rsidP="00345EE3">
      <w:pPr>
        <w:spacing w:before="99"/>
        <w:ind w:left="110"/>
        <w:rPr>
          <w:rFonts w:ascii="Arial-BoldItalicMT"/>
          <w:b/>
          <w:i/>
          <w:sz w:val="18"/>
          <w:szCs w:val="18"/>
        </w:rPr>
      </w:pPr>
      <w:r w:rsidRPr="00804409">
        <w:rPr>
          <w:rFonts w:ascii="Arial-BoldItalicMT"/>
          <w:b/>
          <w:i/>
          <w:color w:val="231F20"/>
          <w:spacing w:val="-2"/>
          <w:sz w:val="18"/>
          <w:szCs w:val="18"/>
        </w:rPr>
        <w:t>Notes:</w:t>
      </w:r>
    </w:p>
    <w:p w14:paraId="3C5E4CAB" w14:textId="77777777" w:rsidR="00345EE3" w:rsidRPr="00804409" w:rsidRDefault="00345EE3">
      <w:pPr>
        <w:pStyle w:val="ListParagraph"/>
        <w:numPr>
          <w:ilvl w:val="0"/>
          <w:numId w:val="15"/>
        </w:numPr>
        <w:tabs>
          <w:tab w:val="left" w:pos="338"/>
        </w:tabs>
        <w:spacing w:before="28"/>
        <w:ind w:hanging="228"/>
        <w:rPr>
          <w:sz w:val="18"/>
          <w:szCs w:val="18"/>
        </w:rPr>
      </w:pPr>
      <w:r w:rsidRPr="00804409">
        <w:rPr>
          <w:color w:val="231F20"/>
          <w:sz w:val="18"/>
          <w:szCs w:val="18"/>
        </w:rPr>
        <w:t>Maturity</w:t>
      </w:r>
      <w:r w:rsidRPr="00804409">
        <w:rPr>
          <w:color w:val="231F20"/>
          <w:spacing w:val="-4"/>
          <w:sz w:val="18"/>
          <w:szCs w:val="18"/>
        </w:rPr>
        <w:t xml:space="preserve"> </w:t>
      </w:r>
      <w:r w:rsidRPr="00804409">
        <w:rPr>
          <w:color w:val="231F20"/>
          <w:sz w:val="18"/>
          <w:szCs w:val="18"/>
        </w:rPr>
        <w:t>analysis</w:t>
      </w:r>
      <w:r w:rsidRPr="00804409">
        <w:rPr>
          <w:color w:val="231F20"/>
          <w:spacing w:val="-1"/>
          <w:sz w:val="18"/>
          <w:szCs w:val="18"/>
        </w:rPr>
        <w:t xml:space="preserve"> </w:t>
      </w:r>
      <w:r w:rsidRPr="00804409">
        <w:rPr>
          <w:color w:val="231F20"/>
          <w:sz w:val="18"/>
          <w:szCs w:val="18"/>
        </w:rPr>
        <w:t>is</w:t>
      </w:r>
      <w:r w:rsidRPr="00804409">
        <w:rPr>
          <w:color w:val="231F20"/>
          <w:spacing w:val="-1"/>
          <w:sz w:val="18"/>
          <w:szCs w:val="18"/>
        </w:rPr>
        <w:t xml:space="preserve"> </w:t>
      </w:r>
      <w:r w:rsidRPr="00804409">
        <w:rPr>
          <w:color w:val="231F20"/>
          <w:sz w:val="18"/>
          <w:szCs w:val="18"/>
        </w:rPr>
        <w:t>presented</w:t>
      </w:r>
      <w:r w:rsidRPr="00804409">
        <w:rPr>
          <w:color w:val="231F20"/>
          <w:spacing w:val="-1"/>
          <w:sz w:val="18"/>
          <w:szCs w:val="18"/>
        </w:rPr>
        <w:t xml:space="preserve"> </w:t>
      </w:r>
      <w:r w:rsidRPr="00804409">
        <w:rPr>
          <w:color w:val="231F20"/>
          <w:sz w:val="18"/>
          <w:szCs w:val="18"/>
        </w:rPr>
        <w:t>using</w:t>
      </w:r>
      <w:r w:rsidRPr="00804409">
        <w:rPr>
          <w:color w:val="231F20"/>
          <w:spacing w:val="-1"/>
          <w:sz w:val="18"/>
          <w:szCs w:val="18"/>
        </w:rPr>
        <w:t xml:space="preserve"> </w:t>
      </w:r>
      <w:r w:rsidRPr="00804409">
        <w:rPr>
          <w:color w:val="231F20"/>
          <w:sz w:val="18"/>
          <w:szCs w:val="18"/>
        </w:rPr>
        <w:t>the</w:t>
      </w:r>
      <w:r w:rsidRPr="00804409">
        <w:rPr>
          <w:color w:val="231F20"/>
          <w:spacing w:val="-1"/>
          <w:sz w:val="18"/>
          <w:szCs w:val="18"/>
        </w:rPr>
        <w:t xml:space="preserve"> </w:t>
      </w:r>
      <w:r w:rsidRPr="00804409">
        <w:rPr>
          <w:color w:val="231F20"/>
          <w:sz w:val="18"/>
          <w:szCs w:val="18"/>
        </w:rPr>
        <w:t>contractual</w:t>
      </w:r>
      <w:r w:rsidRPr="00804409">
        <w:rPr>
          <w:color w:val="231F20"/>
          <w:spacing w:val="-1"/>
          <w:sz w:val="18"/>
          <w:szCs w:val="18"/>
        </w:rPr>
        <w:t xml:space="preserve"> </w:t>
      </w:r>
      <w:r w:rsidRPr="00804409">
        <w:rPr>
          <w:color w:val="231F20"/>
          <w:sz w:val="18"/>
          <w:szCs w:val="18"/>
        </w:rPr>
        <w:t>undiscounted</w:t>
      </w:r>
      <w:r w:rsidRPr="00804409">
        <w:rPr>
          <w:color w:val="231F20"/>
          <w:spacing w:val="-1"/>
          <w:sz w:val="18"/>
          <w:szCs w:val="18"/>
        </w:rPr>
        <w:t xml:space="preserve"> </w:t>
      </w:r>
      <w:r w:rsidRPr="00804409">
        <w:rPr>
          <w:color w:val="231F20"/>
          <w:sz w:val="18"/>
          <w:szCs w:val="18"/>
        </w:rPr>
        <w:t>cash</w:t>
      </w:r>
      <w:r w:rsidRPr="00804409">
        <w:rPr>
          <w:color w:val="231F20"/>
          <w:spacing w:val="-1"/>
          <w:sz w:val="18"/>
          <w:szCs w:val="18"/>
        </w:rPr>
        <w:t xml:space="preserve"> </w:t>
      </w:r>
      <w:r w:rsidRPr="00804409">
        <w:rPr>
          <w:color w:val="231F20"/>
          <w:spacing w:val="-2"/>
          <w:sz w:val="18"/>
          <w:szCs w:val="18"/>
        </w:rPr>
        <w:t>flows.</w:t>
      </w:r>
    </w:p>
    <w:p w14:paraId="08B00734" w14:textId="77777777" w:rsidR="00345EE3" w:rsidRPr="00804409" w:rsidRDefault="00345EE3">
      <w:pPr>
        <w:pStyle w:val="ListParagraph"/>
        <w:numPr>
          <w:ilvl w:val="0"/>
          <w:numId w:val="15"/>
        </w:numPr>
        <w:tabs>
          <w:tab w:val="left" w:pos="338"/>
        </w:tabs>
        <w:spacing w:before="27"/>
        <w:ind w:right="471"/>
        <w:rPr>
          <w:sz w:val="18"/>
          <w:szCs w:val="18"/>
        </w:rPr>
      </w:pPr>
      <w:r w:rsidRPr="00804409">
        <w:rPr>
          <w:color w:val="231F20"/>
          <w:sz w:val="18"/>
          <w:szCs w:val="18"/>
        </w:rPr>
        <w:t>The</w:t>
      </w:r>
      <w:r w:rsidRPr="00804409">
        <w:rPr>
          <w:color w:val="231F20"/>
          <w:spacing w:val="-1"/>
          <w:sz w:val="18"/>
          <w:szCs w:val="18"/>
        </w:rPr>
        <w:t xml:space="preserve"> </w:t>
      </w:r>
      <w:r w:rsidRPr="00804409">
        <w:rPr>
          <w:color w:val="231F20"/>
          <w:sz w:val="18"/>
          <w:szCs w:val="18"/>
        </w:rPr>
        <w:t>total</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disclosed</w:t>
      </w:r>
      <w:r w:rsidRPr="00804409">
        <w:rPr>
          <w:color w:val="231F20"/>
          <w:spacing w:val="-1"/>
          <w:sz w:val="18"/>
          <w:szCs w:val="18"/>
        </w:rPr>
        <w:t xml:space="preserve"> </w:t>
      </w:r>
      <w:r w:rsidRPr="00804409">
        <w:rPr>
          <w:color w:val="231F20"/>
          <w:sz w:val="18"/>
          <w:szCs w:val="18"/>
        </w:rPr>
        <w:t>here</w:t>
      </w:r>
      <w:r w:rsidRPr="00804409">
        <w:rPr>
          <w:color w:val="231F20"/>
          <w:spacing w:val="-1"/>
          <w:sz w:val="18"/>
          <w:szCs w:val="18"/>
        </w:rPr>
        <w:t xml:space="preserve"> </w:t>
      </w:r>
      <w:r w:rsidRPr="00804409">
        <w:rPr>
          <w:color w:val="231F20"/>
          <w:sz w:val="18"/>
          <w:szCs w:val="18"/>
        </w:rPr>
        <w:t>exclude</w:t>
      </w:r>
      <w:r w:rsidRPr="00804409">
        <w:rPr>
          <w:color w:val="231F20"/>
          <w:spacing w:val="-1"/>
          <w:sz w:val="18"/>
          <w:szCs w:val="18"/>
        </w:rPr>
        <w:t xml:space="preserve"> </w:t>
      </w:r>
      <w:r w:rsidRPr="00804409">
        <w:rPr>
          <w:color w:val="231F20"/>
          <w:sz w:val="18"/>
          <w:szCs w:val="18"/>
        </w:rPr>
        <w:t>statutory</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(e.g.</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owing</w:t>
      </w:r>
      <w:r w:rsidRPr="00804409">
        <w:rPr>
          <w:color w:val="231F20"/>
          <w:spacing w:val="-1"/>
          <w:sz w:val="18"/>
          <w:szCs w:val="18"/>
        </w:rPr>
        <w:t xml:space="preserve"> </w:t>
      </w:r>
      <w:r w:rsidRPr="00804409">
        <w:rPr>
          <w:color w:val="231F20"/>
          <w:sz w:val="18"/>
          <w:szCs w:val="18"/>
        </w:rPr>
        <w:t>from</w:t>
      </w:r>
      <w:r w:rsidRPr="00804409">
        <w:rPr>
          <w:color w:val="231F20"/>
          <w:spacing w:val="-1"/>
          <w:sz w:val="18"/>
          <w:szCs w:val="18"/>
        </w:rPr>
        <w:t xml:space="preserve"> </w:t>
      </w:r>
      <w:r w:rsidRPr="00804409">
        <w:rPr>
          <w:color w:val="231F20"/>
          <w:sz w:val="18"/>
          <w:szCs w:val="18"/>
        </w:rPr>
        <w:t>the</w:t>
      </w:r>
      <w:r w:rsidRPr="00804409">
        <w:rPr>
          <w:color w:val="231F20"/>
          <w:spacing w:val="-1"/>
          <w:sz w:val="18"/>
          <w:szCs w:val="18"/>
        </w:rPr>
        <w:t xml:space="preserve"> </w:t>
      </w:r>
      <w:r w:rsidRPr="00804409">
        <w:rPr>
          <w:color w:val="231F20"/>
          <w:sz w:val="18"/>
          <w:szCs w:val="18"/>
        </w:rPr>
        <w:t>Department</w:t>
      </w:r>
      <w:r w:rsidRPr="00804409">
        <w:rPr>
          <w:color w:val="231F20"/>
          <w:spacing w:val="-1"/>
          <w:sz w:val="18"/>
          <w:szCs w:val="18"/>
        </w:rPr>
        <w:t xml:space="preserve"> </w:t>
      </w:r>
      <w:r w:rsidRPr="00804409">
        <w:rPr>
          <w:color w:val="231F20"/>
          <w:sz w:val="18"/>
          <w:szCs w:val="18"/>
        </w:rPr>
        <w:t>of</w:t>
      </w:r>
      <w:r w:rsidRPr="00804409">
        <w:rPr>
          <w:color w:val="231F20"/>
          <w:spacing w:val="-1"/>
          <w:sz w:val="18"/>
          <w:szCs w:val="18"/>
        </w:rPr>
        <w:t xml:space="preserve"> </w:t>
      </w:r>
      <w:r w:rsidRPr="00804409">
        <w:rPr>
          <w:color w:val="231F20"/>
          <w:sz w:val="18"/>
          <w:szCs w:val="18"/>
        </w:rPr>
        <w:t>Justice</w:t>
      </w:r>
      <w:r w:rsidRPr="00804409">
        <w:rPr>
          <w:color w:val="231F20"/>
          <w:spacing w:val="-1"/>
          <w:sz w:val="18"/>
          <w:szCs w:val="18"/>
        </w:rPr>
        <w:t xml:space="preserve"> </w:t>
      </w:r>
      <w:r w:rsidRPr="00804409">
        <w:rPr>
          <w:color w:val="231F20"/>
          <w:sz w:val="18"/>
          <w:szCs w:val="18"/>
        </w:rPr>
        <w:t>and</w:t>
      </w:r>
      <w:r w:rsidRPr="00804409">
        <w:rPr>
          <w:color w:val="231F20"/>
          <w:spacing w:val="-1"/>
          <w:sz w:val="18"/>
          <w:szCs w:val="18"/>
        </w:rPr>
        <w:t xml:space="preserve"> </w:t>
      </w:r>
      <w:r w:rsidRPr="00804409">
        <w:rPr>
          <w:color w:val="231F20"/>
          <w:sz w:val="18"/>
          <w:szCs w:val="18"/>
        </w:rPr>
        <w:t>Community</w:t>
      </w:r>
      <w:r w:rsidRPr="00804409">
        <w:rPr>
          <w:color w:val="231F20"/>
          <w:spacing w:val="-1"/>
          <w:sz w:val="18"/>
          <w:szCs w:val="18"/>
        </w:rPr>
        <w:t xml:space="preserve"> </w:t>
      </w:r>
      <w:r w:rsidRPr="00804409">
        <w:rPr>
          <w:color w:val="231F20"/>
          <w:sz w:val="18"/>
          <w:szCs w:val="18"/>
        </w:rPr>
        <w:t>Safety</w:t>
      </w:r>
      <w:r w:rsidRPr="00804409">
        <w:rPr>
          <w:color w:val="231F20"/>
          <w:spacing w:val="-1"/>
          <w:sz w:val="18"/>
          <w:szCs w:val="18"/>
        </w:rPr>
        <w:t xml:space="preserve"> </w:t>
      </w:r>
      <w:r w:rsidRPr="00804409">
        <w:rPr>
          <w:color w:val="231F20"/>
          <w:sz w:val="18"/>
          <w:szCs w:val="18"/>
        </w:rPr>
        <w:t>and</w:t>
      </w:r>
      <w:r w:rsidRPr="00804409">
        <w:rPr>
          <w:color w:val="231F20"/>
          <w:spacing w:val="-1"/>
          <w:sz w:val="18"/>
          <w:szCs w:val="18"/>
        </w:rPr>
        <w:t xml:space="preserve"> </w:t>
      </w:r>
      <w:r w:rsidRPr="00804409">
        <w:rPr>
          <w:color w:val="231F20"/>
          <w:sz w:val="18"/>
          <w:szCs w:val="18"/>
        </w:rPr>
        <w:t>GST</w:t>
      </w:r>
      <w:r w:rsidRPr="00804409">
        <w:rPr>
          <w:color w:val="231F20"/>
          <w:spacing w:val="-1"/>
          <w:sz w:val="18"/>
          <w:szCs w:val="18"/>
        </w:rPr>
        <w:t xml:space="preserve"> </w:t>
      </w:r>
      <w:r w:rsidRPr="00804409">
        <w:rPr>
          <w:color w:val="231F20"/>
          <w:sz w:val="18"/>
          <w:szCs w:val="18"/>
        </w:rPr>
        <w:t>input</w:t>
      </w:r>
      <w:r w:rsidRPr="00804409">
        <w:rPr>
          <w:color w:val="231F20"/>
          <w:spacing w:val="-1"/>
          <w:sz w:val="18"/>
          <w:szCs w:val="18"/>
        </w:rPr>
        <w:t xml:space="preserve"> </w:t>
      </w:r>
      <w:r w:rsidRPr="00804409">
        <w:rPr>
          <w:color w:val="231F20"/>
          <w:sz w:val="18"/>
          <w:szCs w:val="18"/>
        </w:rPr>
        <w:t>tax</w:t>
      </w:r>
      <w:r w:rsidRPr="00804409">
        <w:rPr>
          <w:color w:val="231F20"/>
          <w:spacing w:val="40"/>
          <w:sz w:val="18"/>
          <w:szCs w:val="18"/>
        </w:rPr>
        <w:t xml:space="preserve"> </w:t>
      </w:r>
      <w:r w:rsidRPr="00804409">
        <w:rPr>
          <w:color w:val="231F20"/>
          <w:sz w:val="18"/>
          <w:szCs w:val="18"/>
        </w:rPr>
        <w:t>credit recoverable and taxes payable).</w:t>
      </w:r>
    </w:p>
    <w:p w14:paraId="64110984" w14:textId="77777777" w:rsidR="00345EE3" w:rsidRDefault="00345EE3" w:rsidP="00345EE3">
      <w:pPr>
        <w:rPr>
          <w:sz w:val="21"/>
          <w:szCs w:val="24"/>
        </w:rPr>
      </w:pPr>
      <w:r>
        <w:rPr>
          <w:sz w:val="21"/>
        </w:rPr>
        <w:br w:type="page"/>
      </w:r>
    </w:p>
    <w:p w14:paraId="7CA6EC8F" w14:textId="77777777" w:rsidR="00345EE3" w:rsidRDefault="00345EE3" w:rsidP="00345EE3">
      <w:pPr>
        <w:pStyle w:val="Heading5"/>
        <w:spacing w:before="0"/>
      </w:pPr>
      <w:r>
        <w:rPr>
          <w:color w:val="231F20"/>
        </w:rPr>
        <w:t>Financial</w:t>
      </w:r>
      <w:r>
        <w:rPr>
          <w:color w:val="231F20"/>
          <w:spacing w:val="-6"/>
        </w:rPr>
        <w:t xml:space="preserve"> </w:t>
      </w:r>
      <w:r>
        <w:rPr>
          <w:color w:val="231F20"/>
        </w:rPr>
        <w:t>Instruments:</w:t>
      </w:r>
      <w:r>
        <w:rPr>
          <w:color w:val="231F20"/>
          <w:spacing w:val="-6"/>
        </w:rPr>
        <w:t xml:space="preserve"> </w:t>
      </w:r>
      <w:r>
        <w:rPr>
          <w:color w:val="231F20"/>
        </w:rPr>
        <w:t>Market</w:t>
      </w:r>
      <w:r>
        <w:rPr>
          <w:color w:val="231F20"/>
          <w:spacing w:val="-5"/>
        </w:rPr>
        <w:t xml:space="preserve"> </w:t>
      </w:r>
      <w:r>
        <w:rPr>
          <w:color w:val="231F20"/>
          <w:spacing w:val="-4"/>
        </w:rPr>
        <w:t>Risk</w:t>
      </w:r>
    </w:p>
    <w:p w14:paraId="2ACE2176" w14:textId="77777777" w:rsidR="00345EE3" w:rsidRDefault="00345EE3" w:rsidP="00345EE3">
      <w:pPr>
        <w:pStyle w:val="BodyText"/>
        <w:spacing w:before="60" w:line="242" w:lineRule="auto"/>
        <w:ind w:right="115"/>
      </w:pPr>
      <w:r>
        <w:rPr>
          <w:color w:val="231F20"/>
        </w:rPr>
        <w:t>Victoria Police’s exposures to market risk is primarily through interest rate risk and foreign currency risk. Victoria Police’s exposure to other financial price risks is insignificant. These liabilities relate to the leasing arrangements. As the interest rates applied to these leasing arrangements</w:t>
      </w:r>
      <w:r>
        <w:rPr>
          <w:color w:val="231F20"/>
          <w:spacing w:val="-9"/>
        </w:rPr>
        <w:t xml:space="preserve"> </w:t>
      </w:r>
      <w:r>
        <w:rPr>
          <w:color w:val="231F20"/>
        </w:rPr>
        <w:t>are</w:t>
      </w:r>
      <w:r>
        <w:rPr>
          <w:color w:val="231F20"/>
          <w:spacing w:val="-10"/>
        </w:rPr>
        <w:t xml:space="preserve"> </w:t>
      </w:r>
      <w:r>
        <w:rPr>
          <w:color w:val="231F20"/>
        </w:rPr>
        <w:t>not</w:t>
      </w:r>
      <w:r>
        <w:rPr>
          <w:color w:val="231F20"/>
          <w:spacing w:val="-9"/>
        </w:rPr>
        <w:t xml:space="preserve"> </w:t>
      </w:r>
      <w:r>
        <w:rPr>
          <w:color w:val="231F20"/>
        </w:rPr>
        <w:t>variable</w:t>
      </w:r>
      <w:r>
        <w:rPr>
          <w:color w:val="231F20"/>
          <w:spacing w:val="-10"/>
        </w:rPr>
        <w:t xml:space="preserve"> </w:t>
      </w:r>
      <w:r>
        <w:rPr>
          <w:color w:val="231F20"/>
        </w:rPr>
        <w:t>or</w:t>
      </w:r>
      <w:r>
        <w:rPr>
          <w:color w:val="231F20"/>
          <w:spacing w:val="-9"/>
        </w:rPr>
        <w:t xml:space="preserve"> </w:t>
      </w:r>
      <w:r>
        <w:rPr>
          <w:color w:val="231F20"/>
        </w:rPr>
        <w:t>floating</w:t>
      </w:r>
      <w:r>
        <w:rPr>
          <w:color w:val="231F20"/>
          <w:spacing w:val="-10"/>
        </w:rPr>
        <w:t xml:space="preserve"> </w:t>
      </w:r>
      <w:r>
        <w:rPr>
          <w:color w:val="231F20"/>
        </w:rPr>
        <w:t>in</w:t>
      </w:r>
      <w:r>
        <w:rPr>
          <w:color w:val="231F20"/>
          <w:spacing w:val="-10"/>
        </w:rPr>
        <w:t xml:space="preserve"> </w:t>
      </w:r>
      <w:r>
        <w:rPr>
          <w:color w:val="231F20"/>
        </w:rPr>
        <w:t>nature,</w:t>
      </w:r>
      <w:r>
        <w:rPr>
          <w:color w:val="231F20"/>
          <w:spacing w:val="-9"/>
        </w:rPr>
        <w:t xml:space="preserve"> </w:t>
      </w:r>
      <w:r>
        <w:rPr>
          <w:color w:val="231F20"/>
        </w:rPr>
        <w:t>they</w:t>
      </w:r>
      <w:r>
        <w:rPr>
          <w:color w:val="231F20"/>
          <w:spacing w:val="-9"/>
        </w:rPr>
        <w:t xml:space="preserve"> </w:t>
      </w:r>
      <w:r>
        <w:rPr>
          <w:color w:val="231F20"/>
        </w:rPr>
        <w:t>are</w:t>
      </w:r>
      <w:r>
        <w:rPr>
          <w:color w:val="231F20"/>
          <w:spacing w:val="-10"/>
        </w:rPr>
        <w:t xml:space="preserve"> </w:t>
      </w:r>
      <w:r>
        <w:rPr>
          <w:color w:val="231F20"/>
        </w:rPr>
        <w:t>not</w:t>
      </w:r>
      <w:r>
        <w:rPr>
          <w:color w:val="231F20"/>
          <w:spacing w:val="-9"/>
        </w:rPr>
        <w:t xml:space="preserve"> </w:t>
      </w:r>
      <w:r>
        <w:rPr>
          <w:color w:val="231F20"/>
        </w:rPr>
        <w:t>subject</w:t>
      </w:r>
      <w:r>
        <w:rPr>
          <w:color w:val="231F20"/>
          <w:spacing w:val="-9"/>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sensitivity</w:t>
      </w:r>
      <w:r>
        <w:rPr>
          <w:color w:val="231F20"/>
          <w:spacing w:val="-9"/>
        </w:rPr>
        <w:t xml:space="preserve"> </w:t>
      </w:r>
      <w:r>
        <w:rPr>
          <w:color w:val="231F20"/>
        </w:rPr>
        <w:t>analysis. With</w:t>
      </w:r>
      <w:r>
        <w:rPr>
          <w:color w:val="231F20"/>
          <w:spacing w:val="-8"/>
        </w:rPr>
        <w:t xml:space="preserve"> </w:t>
      </w:r>
      <w:r>
        <w:rPr>
          <w:color w:val="231F20"/>
        </w:rPr>
        <w:t>reference</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VicFleet</w:t>
      </w:r>
      <w:r>
        <w:rPr>
          <w:color w:val="231F20"/>
          <w:spacing w:val="-8"/>
        </w:rPr>
        <w:t xml:space="preserve"> </w:t>
      </w:r>
      <w:r>
        <w:rPr>
          <w:color w:val="231F20"/>
        </w:rPr>
        <w:t>leases</w:t>
      </w:r>
      <w:r>
        <w:rPr>
          <w:color w:val="231F20"/>
          <w:spacing w:val="-8"/>
        </w:rPr>
        <w:t xml:space="preserve"> </w:t>
      </w:r>
      <w:r>
        <w:rPr>
          <w:color w:val="231F20"/>
        </w:rPr>
        <w:t>only,</w:t>
      </w:r>
      <w:r>
        <w:rPr>
          <w:color w:val="231F20"/>
          <w:spacing w:val="-8"/>
        </w:rPr>
        <w:t xml:space="preserve"> </w:t>
      </w:r>
      <w:r>
        <w:rPr>
          <w:color w:val="231F20"/>
        </w:rPr>
        <w:t>the</w:t>
      </w:r>
      <w:r>
        <w:rPr>
          <w:color w:val="231F20"/>
          <w:spacing w:val="-8"/>
        </w:rPr>
        <w:t xml:space="preserve"> </w:t>
      </w:r>
      <w:r>
        <w:rPr>
          <w:color w:val="231F20"/>
        </w:rPr>
        <w:t>adjustment</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interest</w:t>
      </w:r>
      <w:r>
        <w:rPr>
          <w:color w:val="231F20"/>
          <w:spacing w:val="-8"/>
        </w:rPr>
        <w:t xml:space="preserve"> </w:t>
      </w:r>
      <w:r>
        <w:rPr>
          <w:color w:val="231F20"/>
        </w:rPr>
        <w:t>rate</w:t>
      </w:r>
      <w:r>
        <w:rPr>
          <w:color w:val="231F20"/>
          <w:spacing w:val="-8"/>
        </w:rPr>
        <w:t xml:space="preserve"> </w:t>
      </w:r>
      <w:r>
        <w:rPr>
          <w:color w:val="231F20"/>
        </w:rPr>
        <w:t>that</w:t>
      </w:r>
      <w:r>
        <w:rPr>
          <w:color w:val="231F20"/>
          <w:spacing w:val="-8"/>
        </w:rPr>
        <w:t xml:space="preserve"> </w:t>
      </w:r>
      <w:r>
        <w:rPr>
          <w:color w:val="231F20"/>
        </w:rPr>
        <w:t>is</w:t>
      </w:r>
      <w:r>
        <w:rPr>
          <w:color w:val="231F20"/>
          <w:spacing w:val="-8"/>
        </w:rPr>
        <w:t xml:space="preserve"> </w:t>
      </w:r>
      <w:r>
        <w:rPr>
          <w:color w:val="231F20"/>
        </w:rPr>
        <w:t>made</w:t>
      </w:r>
      <w:r>
        <w:rPr>
          <w:color w:val="231F20"/>
          <w:spacing w:val="-8"/>
        </w:rPr>
        <w:t xml:space="preserve"> </w:t>
      </w:r>
      <w:r>
        <w:rPr>
          <w:color w:val="231F20"/>
        </w:rPr>
        <w:t>upon the settlement of such leases is regarded as a recovery by the lessor of their borrowing costs. Hence the underlying interest rates in these leases are based on fixed interest rate exposure.</w:t>
      </w:r>
    </w:p>
    <w:p w14:paraId="40E67AEB" w14:textId="77777777" w:rsidR="00345EE3" w:rsidRDefault="00345EE3" w:rsidP="00345EE3">
      <w:pPr>
        <w:pStyle w:val="BodyText"/>
        <w:spacing w:before="6"/>
        <w:rPr>
          <w:sz w:val="20"/>
        </w:rPr>
      </w:pPr>
    </w:p>
    <w:p w14:paraId="6506550C" w14:textId="77777777" w:rsidR="00345EE3" w:rsidRDefault="00345EE3" w:rsidP="00345EE3">
      <w:pPr>
        <w:pStyle w:val="Heading5"/>
        <w:spacing w:before="1"/>
      </w:pPr>
      <w:r>
        <w:rPr>
          <w:color w:val="231F20"/>
        </w:rPr>
        <w:t>Interest</w:t>
      </w:r>
      <w:r>
        <w:rPr>
          <w:color w:val="231F20"/>
          <w:spacing w:val="-3"/>
        </w:rPr>
        <w:t xml:space="preserve"> </w:t>
      </w:r>
      <w:r>
        <w:rPr>
          <w:color w:val="231F20"/>
        </w:rPr>
        <w:t>Rate</w:t>
      </w:r>
      <w:r>
        <w:rPr>
          <w:color w:val="231F20"/>
          <w:spacing w:val="-2"/>
        </w:rPr>
        <w:t xml:space="preserve"> </w:t>
      </w:r>
      <w:r>
        <w:rPr>
          <w:color w:val="231F20"/>
          <w:spacing w:val="-4"/>
        </w:rPr>
        <w:t>Risk</w:t>
      </w:r>
    </w:p>
    <w:p w14:paraId="3EF998BB" w14:textId="77777777" w:rsidR="00345EE3" w:rsidRDefault="00345EE3" w:rsidP="00345EE3">
      <w:pPr>
        <w:pStyle w:val="BodyText"/>
        <w:spacing w:before="60" w:line="242" w:lineRule="auto"/>
      </w:pPr>
      <w:r>
        <w:rPr>
          <w:color w:val="231F20"/>
        </w:rPr>
        <w:t>Fair value interest rate risk is the risk that the fair value of a financial instrument will fluctuate because of changes in market interest rates. Victoria Police does not hold any interest-bearing financial</w:t>
      </w:r>
      <w:r>
        <w:rPr>
          <w:color w:val="231F20"/>
          <w:spacing w:val="-11"/>
        </w:rPr>
        <w:t xml:space="preserve"> </w:t>
      </w:r>
      <w:r>
        <w:rPr>
          <w:color w:val="231F20"/>
        </w:rPr>
        <w:t>instruments</w:t>
      </w:r>
      <w:r>
        <w:rPr>
          <w:color w:val="231F20"/>
          <w:spacing w:val="-10"/>
        </w:rPr>
        <w:t xml:space="preserve"> </w:t>
      </w:r>
      <w:r>
        <w:rPr>
          <w:color w:val="231F20"/>
        </w:rPr>
        <w:t>that</w:t>
      </w:r>
      <w:r>
        <w:rPr>
          <w:color w:val="231F20"/>
          <w:spacing w:val="-10"/>
        </w:rPr>
        <w:t xml:space="preserve"> </w:t>
      </w:r>
      <w:r>
        <w:rPr>
          <w:color w:val="231F20"/>
        </w:rPr>
        <w:t>are</w:t>
      </w:r>
      <w:r>
        <w:rPr>
          <w:color w:val="231F20"/>
          <w:spacing w:val="-11"/>
        </w:rPr>
        <w:t xml:space="preserve"> </w:t>
      </w:r>
      <w:r>
        <w:rPr>
          <w:color w:val="231F20"/>
        </w:rPr>
        <w:t>measured</w:t>
      </w:r>
      <w:r>
        <w:rPr>
          <w:color w:val="231F20"/>
          <w:spacing w:val="-11"/>
        </w:rPr>
        <w:t xml:space="preserve"> </w:t>
      </w:r>
      <w:r>
        <w:rPr>
          <w:color w:val="231F20"/>
        </w:rPr>
        <w:t>at</w:t>
      </w:r>
      <w:r>
        <w:rPr>
          <w:color w:val="231F20"/>
          <w:spacing w:val="-10"/>
        </w:rPr>
        <w:t xml:space="preserve"> </w:t>
      </w:r>
      <w:r>
        <w:rPr>
          <w:color w:val="231F20"/>
        </w:rPr>
        <w:t>fair</w:t>
      </w:r>
      <w:r>
        <w:rPr>
          <w:color w:val="231F20"/>
          <w:spacing w:val="-10"/>
        </w:rPr>
        <w:t xml:space="preserve"> </w:t>
      </w:r>
      <w:r>
        <w:rPr>
          <w:color w:val="231F20"/>
        </w:rPr>
        <w:t>value,</w:t>
      </w:r>
      <w:r>
        <w:rPr>
          <w:color w:val="231F20"/>
          <w:spacing w:val="-10"/>
        </w:rPr>
        <w:t xml:space="preserve"> </w:t>
      </w:r>
      <w:r>
        <w:rPr>
          <w:color w:val="231F20"/>
        </w:rPr>
        <w:t>and</w:t>
      </w:r>
      <w:r>
        <w:rPr>
          <w:color w:val="231F20"/>
          <w:spacing w:val="-11"/>
        </w:rPr>
        <w:t xml:space="preserve"> </w:t>
      </w:r>
      <w:r>
        <w:rPr>
          <w:color w:val="231F20"/>
        </w:rPr>
        <w:t>therefore</w:t>
      </w:r>
      <w:r>
        <w:rPr>
          <w:color w:val="231F20"/>
          <w:spacing w:val="-11"/>
        </w:rPr>
        <w:t xml:space="preserve"> </w:t>
      </w:r>
      <w:r>
        <w:rPr>
          <w:color w:val="231F20"/>
        </w:rPr>
        <w:t>has</w:t>
      </w:r>
      <w:r>
        <w:rPr>
          <w:color w:val="231F20"/>
          <w:spacing w:val="-10"/>
        </w:rPr>
        <w:t xml:space="preserve"> </w:t>
      </w:r>
      <w:r>
        <w:rPr>
          <w:color w:val="231F20"/>
        </w:rPr>
        <w:t>no</w:t>
      </w:r>
      <w:r>
        <w:rPr>
          <w:color w:val="231F20"/>
          <w:spacing w:val="-11"/>
        </w:rPr>
        <w:t xml:space="preserve"> </w:t>
      </w:r>
      <w:r>
        <w:rPr>
          <w:color w:val="231F20"/>
        </w:rPr>
        <w:t>exposure</w:t>
      </w:r>
      <w:r>
        <w:rPr>
          <w:color w:val="231F20"/>
          <w:spacing w:val="-11"/>
        </w:rPr>
        <w:t xml:space="preserve"> </w:t>
      </w:r>
      <w:r>
        <w:rPr>
          <w:color w:val="231F20"/>
        </w:rPr>
        <w:t>to</w:t>
      </w:r>
      <w:r>
        <w:rPr>
          <w:color w:val="231F20"/>
          <w:spacing w:val="-11"/>
        </w:rPr>
        <w:t xml:space="preserve"> </w:t>
      </w:r>
      <w:r>
        <w:rPr>
          <w:color w:val="231F20"/>
        </w:rPr>
        <w:t>fair</w:t>
      </w:r>
      <w:r>
        <w:rPr>
          <w:color w:val="231F20"/>
          <w:spacing w:val="-10"/>
        </w:rPr>
        <w:t xml:space="preserve"> </w:t>
      </w:r>
      <w:r>
        <w:rPr>
          <w:color w:val="231F20"/>
        </w:rPr>
        <w:t>value interest rate risk.</w:t>
      </w:r>
    </w:p>
    <w:p w14:paraId="086522F1" w14:textId="77777777" w:rsidR="00345EE3" w:rsidRDefault="00345EE3" w:rsidP="00345EE3">
      <w:pPr>
        <w:pStyle w:val="BodyText"/>
        <w:spacing w:before="119" w:line="242" w:lineRule="auto"/>
        <w:ind w:right="549"/>
      </w:pPr>
      <w:r>
        <w:rPr>
          <w:color w:val="231F20"/>
        </w:rPr>
        <w:t>Cash flow interest rate risk is the risk that the future cash flows of a financial instrument will fluctuate</w:t>
      </w:r>
      <w:r>
        <w:rPr>
          <w:color w:val="231F20"/>
          <w:spacing w:val="-3"/>
        </w:rPr>
        <w:t xml:space="preserve"> </w:t>
      </w:r>
      <w:r>
        <w:rPr>
          <w:color w:val="231F20"/>
        </w:rPr>
        <w:t>because</w:t>
      </w:r>
      <w:r>
        <w:rPr>
          <w:color w:val="231F20"/>
          <w:spacing w:val="-3"/>
        </w:rPr>
        <w:t xml:space="preserve"> </w:t>
      </w:r>
      <w:r>
        <w:rPr>
          <w:color w:val="231F20"/>
        </w:rPr>
        <w:t>of</w:t>
      </w:r>
      <w:r>
        <w:rPr>
          <w:color w:val="231F20"/>
          <w:spacing w:val="-2"/>
        </w:rPr>
        <w:t xml:space="preserve"> </w:t>
      </w:r>
      <w:r>
        <w:rPr>
          <w:color w:val="231F20"/>
        </w:rPr>
        <w:t>changes</w:t>
      </w:r>
      <w:r>
        <w:rPr>
          <w:color w:val="231F20"/>
          <w:spacing w:val="-2"/>
        </w:rPr>
        <w:t xml:space="preserve"> </w:t>
      </w:r>
      <w:r>
        <w:rPr>
          <w:color w:val="231F20"/>
        </w:rPr>
        <w:t>in</w:t>
      </w:r>
      <w:r>
        <w:rPr>
          <w:color w:val="231F20"/>
          <w:spacing w:val="-3"/>
        </w:rPr>
        <w:t xml:space="preserve"> </w:t>
      </w:r>
      <w:r>
        <w:rPr>
          <w:color w:val="231F20"/>
        </w:rPr>
        <w:t>market</w:t>
      </w:r>
      <w:r>
        <w:rPr>
          <w:color w:val="231F20"/>
          <w:spacing w:val="-2"/>
        </w:rPr>
        <w:t xml:space="preserve"> </w:t>
      </w:r>
      <w:r>
        <w:rPr>
          <w:color w:val="231F20"/>
        </w:rPr>
        <w:t>interest</w:t>
      </w:r>
      <w:r>
        <w:rPr>
          <w:color w:val="231F20"/>
          <w:spacing w:val="-2"/>
        </w:rPr>
        <w:t xml:space="preserve"> </w:t>
      </w:r>
      <w:r>
        <w:rPr>
          <w:color w:val="231F20"/>
        </w:rPr>
        <w:t>rates.</w:t>
      </w:r>
      <w:r>
        <w:rPr>
          <w:color w:val="231F20"/>
          <w:spacing w:val="-2"/>
        </w:rPr>
        <w:t xml:space="preserve"> </w:t>
      </w:r>
      <w:r>
        <w:rPr>
          <w:color w:val="231F20"/>
        </w:rPr>
        <w:t>Victoria</w:t>
      </w:r>
      <w:r>
        <w:rPr>
          <w:color w:val="231F20"/>
          <w:spacing w:val="-3"/>
        </w:rPr>
        <w:t xml:space="preserve"> </w:t>
      </w:r>
      <w:r>
        <w:rPr>
          <w:color w:val="231F20"/>
        </w:rPr>
        <w:t>Police</w:t>
      </w:r>
      <w:r>
        <w:rPr>
          <w:color w:val="231F20"/>
          <w:spacing w:val="-3"/>
        </w:rPr>
        <w:t xml:space="preserve"> </w:t>
      </w:r>
      <w:r>
        <w:rPr>
          <w:color w:val="231F20"/>
        </w:rPr>
        <w:t>has</w:t>
      </w:r>
      <w:r>
        <w:rPr>
          <w:color w:val="231F20"/>
          <w:spacing w:val="-2"/>
        </w:rPr>
        <w:t xml:space="preserve"> </w:t>
      </w:r>
      <w:r>
        <w:rPr>
          <w:color w:val="231F20"/>
        </w:rPr>
        <w:t>minimal</w:t>
      </w:r>
      <w:r>
        <w:rPr>
          <w:color w:val="231F20"/>
          <w:spacing w:val="-3"/>
        </w:rPr>
        <w:t xml:space="preserve"> </w:t>
      </w:r>
      <w:r>
        <w:rPr>
          <w:color w:val="231F20"/>
        </w:rPr>
        <w:t>exposure to</w:t>
      </w:r>
      <w:r>
        <w:rPr>
          <w:color w:val="231F20"/>
          <w:spacing w:val="-8"/>
        </w:rPr>
        <w:t xml:space="preserve"> </w:t>
      </w:r>
      <w:r>
        <w:rPr>
          <w:color w:val="231F20"/>
        </w:rPr>
        <w:t>cash</w:t>
      </w:r>
      <w:r>
        <w:rPr>
          <w:color w:val="231F20"/>
          <w:spacing w:val="-8"/>
        </w:rPr>
        <w:t xml:space="preserve"> </w:t>
      </w:r>
      <w:r>
        <w:rPr>
          <w:color w:val="231F20"/>
        </w:rPr>
        <w:t>flow</w:t>
      </w:r>
      <w:r>
        <w:rPr>
          <w:color w:val="231F20"/>
          <w:spacing w:val="-8"/>
        </w:rPr>
        <w:t xml:space="preserve"> </w:t>
      </w:r>
      <w:r>
        <w:rPr>
          <w:color w:val="231F20"/>
        </w:rPr>
        <w:t>interest</w:t>
      </w:r>
      <w:r>
        <w:rPr>
          <w:color w:val="231F20"/>
          <w:spacing w:val="-7"/>
        </w:rPr>
        <w:t xml:space="preserve"> </w:t>
      </w:r>
      <w:r>
        <w:rPr>
          <w:color w:val="231F20"/>
        </w:rPr>
        <w:t>rate</w:t>
      </w:r>
      <w:r>
        <w:rPr>
          <w:color w:val="231F20"/>
          <w:spacing w:val="-8"/>
        </w:rPr>
        <w:t xml:space="preserve"> </w:t>
      </w:r>
      <w:r>
        <w:rPr>
          <w:color w:val="231F20"/>
        </w:rPr>
        <w:t>risks</w:t>
      </w:r>
      <w:r>
        <w:rPr>
          <w:color w:val="231F20"/>
          <w:spacing w:val="-7"/>
        </w:rPr>
        <w:t xml:space="preserve"> </w:t>
      </w:r>
      <w:r>
        <w:rPr>
          <w:color w:val="231F20"/>
        </w:rPr>
        <w:t>through</w:t>
      </w:r>
      <w:r>
        <w:rPr>
          <w:color w:val="231F20"/>
          <w:spacing w:val="-8"/>
        </w:rPr>
        <w:t xml:space="preserve"> </w:t>
      </w:r>
      <w:r>
        <w:rPr>
          <w:color w:val="231F20"/>
        </w:rPr>
        <w:t>cash</w:t>
      </w:r>
      <w:r>
        <w:rPr>
          <w:color w:val="231F20"/>
          <w:spacing w:val="-8"/>
        </w:rPr>
        <w:t xml:space="preserve"> </w:t>
      </w:r>
      <w:r>
        <w:rPr>
          <w:color w:val="231F20"/>
        </w:rPr>
        <w:t>and</w:t>
      </w:r>
      <w:r>
        <w:rPr>
          <w:color w:val="231F20"/>
          <w:spacing w:val="-8"/>
        </w:rPr>
        <w:t xml:space="preserve"> </w:t>
      </w:r>
      <w:r>
        <w:rPr>
          <w:color w:val="231F20"/>
        </w:rPr>
        <w:t>term</w:t>
      </w:r>
      <w:r>
        <w:rPr>
          <w:color w:val="231F20"/>
          <w:spacing w:val="-7"/>
        </w:rPr>
        <w:t xml:space="preserve"> </w:t>
      </w:r>
      <w:r>
        <w:rPr>
          <w:color w:val="231F20"/>
        </w:rPr>
        <w:t>deposits</w:t>
      </w:r>
      <w:r>
        <w:rPr>
          <w:color w:val="231F20"/>
          <w:spacing w:val="-7"/>
        </w:rPr>
        <w:t xml:space="preserve"> </w:t>
      </w:r>
      <w:r>
        <w:rPr>
          <w:color w:val="231F20"/>
        </w:rPr>
        <w:t>that</w:t>
      </w:r>
      <w:r>
        <w:rPr>
          <w:color w:val="231F20"/>
          <w:spacing w:val="-7"/>
        </w:rPr>
        <w:t xml:space="preserve"> </w:t>
      </w:r>
      <w:r>
        <w:rPr>
          <w:color w:val="231F20"/>
        </w:rPr>
        <w:t>are</w:t>
      </w:r>
      <w:r>
        <w:rPr>
          <w:color w:val="231F20"/>
          <w:spacing w:val="-8"/>
        </w:rPr>
        <w:t xml:space="preserve"> </w:t>
      </w:r>
      <w:r>
        <w:rPr>
          <w:color w:val="231F20"/>
        </w:rPr>
        <w:t>at</w:t>
      </w:r>
      <w:r>
        <w:rPr>
          <w:color w:val="231F20"/>
          <w:spacing w:val="-7"/>
        </w:rPr>
        <w:t xml:space="preserve"> </w:t>
      </w:r>
      <w:r>
        <w:rPr>
          <w:color w:val="231F20"/>
        </w:rPr>
        <w:t>floating</w:t>
      </w:r>
      <w:r>
        <w:rPr>
          <w:color w:val="231F20"/>
          <w:spacing w:val="-8"/>
        </w:rPr>
        <w:t xml:space="preserve"> </w:t>
      </w:r>
      <w:r>
        <w:rPr>
          <w:color w:val="231F20"/>
        </w:rPr>
        <w:t>rate</w:t>
      </w:r>
      <w:r>
        <w:rPr>
          <w:color w:val="231F20"/>
          <w:spacing w:val="-8"/>
        </w:rPr>
        <w:t xml:space="preserve"> </w:t>
      </w:r>
      <w:r>
        <w:rPr>
          <w:color w:val="231F20"/>
        </w:rPr>
        <w:t>as</w:t>
      </w:r>
      <w:r>
        <w:rPr>
          <w:color w:val="231F20"/>
          <w:spacing w:val="-7"/>
        </w:rPr>
        <w:t xml:space="preserve"> </w:t>
      </w:r>
      <w:r>
        <w:rPr>
          <w:color w:val="231F20"/>
        </w:rPr>
        <w:t>the balance held at 30 June 2022 is immaterial at $3.5 million.</w:t>
      </w:r>
    </w:p>
    <w:p w14:paraId="2AFA2555" w14:textId="77777777" w:rsidR="00345EE3" w:rsidRDefault="00345EE3" w:rsidP="00345EE3">
      <w:pPr>
        <w:pStyle w:val="BodyText"/>
        <w:spacing w:before="119" w:line="242" w:lineRule="auto"/>
        <w:ind w:right="115"/>
      </w:pPr>
      <w:r>
        <w:rPr>
          <w:color w:val="231F20"/>
        </w:rPr>
        <w:t>Victoria Police manages this risk by mainly undertaking fixed rate or non interest-bearing financial instruments with relatively even maturity profiles, with only insignificant amounts of financial</w:t>
      </w:r>
      <w:r>
        <w:rPr>
          <w:color w:val="231F20"/>
          <w:spacing w:val="-8"/>
        </w:rPr>
        <w:t xml:space="preserve"> </w:t>
      </w:r>
      <w:r>
        <w:rPr>
          <w:color w:val="231F20"/>
        </w:rPr>
        <w:t>instruments</w:t>
      </w:r>
      <w:r>
        <w:rPr>
          <w:color w:val="231F20"/>
          <w:spacing w:val="-7"/>
        </w:rPr>
        <w:t xml:space="preserve"> </w:t>
      </w:r>
      <w:r>
        <w:rPr>
          <w:color w:val="231F20"/>
        </w:rPr>
        <w:t>at</w:t>
      </w:r>
      <w:r>
        <w:rPr>
          <w:color w:val="231F20"/>
          <w:spacing w:val="-7"/>
        </w:rPr>
        <w:t xml:space="preserve"> </w:t>
      </w:r>
      <w:r>
        <w:rPr>
          <w:color w:val="231F20"/>
        </w:rPr>
        <w:t>floating</w:t>
      </w:r>
      <w:r>
        <w:rPr>
          <w:color w:val="231F20"/>
          <w:spacing w:val="-8"/>
        </w:rPr>
        <w:t xml:space="preserve"> </w:t>
      </w:r>
      <w:r>
        <w:rPr>
          <w:color w:val="231F20"/>
        </w:rPr>
        <w:t>rate.</w:t>
      </w:r>
      <w:r>
        <w:rPr>
          <w:color w:val="231F20"/>
          <w:spacing w:val="-7"/>
        </w:rPr>
        <w:t xml:space="preserve"> </w:t>
      </w:r>
      <w:r>
        <w:rPr>
          <w:color w:val="231F20"/>
        </w:rPr>
        <w:t>Management</w:t>
      </w:r>
      <w:r>
        <w:rPr>
          <w:color w:val="231F20"/>
          <w:spacing w:val="-7"/>
        </w:rPr>
        <w:t xml:space="preserve"> </w:t>
      </w:r>
      <w:r>
        <w:rPr>
          <w:color w:val="231F20"/>
        </w:rPr>
        <w:t>has</w:t>
      </w:r>
      <w:r>
        <w:rPr>
          <w:color w:val="231F20"/>
          <w:spacing w:val="-7"/>
        </w:rPr>
        <w:t xml:space="preserve"> </w:t>
      </w:r>
      <w:r>
        <w:rPr>
          <w:color w:val="231F20"/>
        </w:rPr>
        <w:t>concluded</w:t>
      </w:r>
      <w:r>
        <w:rPr>
          <w:color w:val="231F20"/>
          <w:spacing w:val="-8"/>
        </w:rPr>
        <w:t xml:space="preserve"> </w:t>
      </w:r>
      <w:r>
        <w:rPr>
          <w:color w:val="231F20"/>
        </w:rPr>
        <w:t>that</w:t>
      </w:r>
      <w:r>
        <w:rPr>
          <w:color w:val="231F20"/>
          <w:spacing w:val="-7"/>
        </w:rPr>
        <w:t xml:space="preserve"> </w:t>
      </w:r>
      <w:r>
        <w:rPr>
          <w:color w:val="231F20"/>
        </w:rPr>
        <w:t>cash</w:t>
      </w:r>
      <w:r>
        <w:rPr>
          <w:color w:val="231F20"/>
          <w:spacing w:val="-8"/>
        </w:rPr>
        <w:t xml:space="preserve"> </w:t>
      </w:r>
      <w:r>
        <w:rPr>
          <w:color w:val="231F20"/>
        </w:rPr>
        <w:t>at</w:t>
      </w:r>
      <w:r>
        <w:rPr>
          <w:color w:val="231F20"/>
          <w:spacing w:val="-7"/>
        </w:rPr>
        <w:t xml:space="preserve"> </w:t>
      </w:r>
      <w:r>
        <w:rPr>
          <w:color w:val="231F20"/>
        </w:rPr>
        <w:t>bank</w:t>
      </w:r>
      <w:r>
        <w:rPr>
          <w:color w:val="231F20"/>
          <w:spacing w:val="-7"/>
        </w:rPr>
        <w:t xml:space="preserve"> </w:t>
      </w:r>
      <w:r>
        <w:rPr>
          <w:color w:val="231F20"/>
        </w:rPr>
        <w:t>as</w:t>
      </w:r>
      <w:r>
        <w:rPr>
          <w:color w:val="231F20"/>
          <w:spacing w:val="-7"/>
        </w:rPr>
        <w:t xml:space="preserve"> </w:t>
      </w:r>
      <w:r>
        <w:rPr>
          <w:color w:val="231F20"/>
        </w:rPr>
        <w:t>financial assets,</w:t>
      </w:r>
      <w:r>
        <w:rPr>
          <w:color w:val="231F20"/>
          <w:spacing w:val="-8"/>
        </w:rPr>
        <w:t xml:space="preserve"> </w:t>
      </w:r>
      <w:r>
        <w:rPr>
          <w:color w:val="231F20"/>
        </w:rPr>
        <w:t>can</w:t>
      </w:r>
      <w:r>
        <w:rPr>
          <w:color w:val="231F20"/>
          <w:spacing w:val="-8"/>
        </w:rPr>
        <w:t xml:space="preserve"> </w:t>
      </w:r>
      <w:r>
        <w:rPr>
          <w:color w:val="231F20"/>
        </w:rPr>
        <w:t>be</w:t>
      </w:r>
      <w:r>
        <w:rPr>
          <w:color w:val="231F20"/>
          <w:spacing w:val="-8"/>
        </w:rPr>
        <w:t xml:space="preserve"> </w:t>
      </w:r>
      <w:r>
        <w:rPr>
          <w:color w:val="231F20"/>
        </w:rPr>
        <w:t>left</w:t>
      </w:r>
      <w:r>
        <w:rPr>
          <w:color w:val="231F20"/>
          <w:spacing w:val="-8"/>
        </w:rPr>
        <w:t xml:space="preserve"> </w:t>
      </w:r>
      <w:r>
        <w:rPr>
          <w:color w:val="231F20"/>
        </w:rPr>
        <w:t>at</w:t>
      </w:r>
      <w:r>
        <w:rPr>
          <w:color w:val="231F20"/>
          <w:spacing w:val="-8"/>
        </w:rPr>
        <w:t xml:space="preserve"> </w:t>
      </w:r>
      <w:r>
        <w:rPr>
          <w:color w:val="231F20"/>
        </w:rPr>
        <w:t>floating</w:t>
      </w:r>
      <w:r>
        <w:rPr>
          <w:color w:val="231F20"/>
          <w:spacing w:val="-8"/>
        </w:rPr>
        <w:t xml:space="preserve"> </w:t>
      </w:r>
      <w:r>
        <w:rPr>
          <w:color w:val="231F20"/>
        </w:rPr>
        <w:t>rate</w:t>
      </w:r>
      <w:r>
        <w:rPr>
          <w:color w:val="231F20"/>
          <w:spacing w:val="-8"/>
        </w:rPr>
        <w:t xml:space="preserve"> </w:t>
      </w:r>
      <w:r>
        <w:rPr>
          <w:color w:val="231F20"/>
        </w:rPr>
        <w:t>without</w:t>
      </w:r>
      <w:r>
        <w:rPr>
          <w:color w:val="231F20"/>
          <w:spacing w:val="-8"/>
        </w:rPr>
        <w:t xml:space="preserve"> </w:t>
      </w:r>
      <w:r>
        <w:rPr>
          <w:color w:val="231F20"/>
        </w:rPr>
        <w:t>necessarily</w:t>
      </w:r>
      <w:r>
        <w:rPr>
          <w:color w:val="231F20"/>
          <w:spacing w:val="-8"/>
        </w:rPr>
        <w:t xml:space="preserve"> </w:t>
      </w:r>
      <w:r>
        <w:rPr>
          <w:color w:val="231F20"/>
        </w:rPr>
        <w:t>exposing</w:t>
      </w:r>
      <w:r>
        <w:rPr>
          <w:color w:val="231F20"/>
          <w:spacing w:val="-8"/>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to</w:t>
      </w:r>
      <w:r>
        <w:rPr>
          <w:color w:val="231F20"/>
          <w:spacing w:val="-8"/>
        </w:rPr>
        <w:t xml:space="preserve"> </w:t>
      </w:r>
      <w:r>
        <w:rPr>
          <w:color w:val="231F20"/>
        </w:rPr>
        <w:t>significant</w:t>
      </w:r>
      <w:r>
        <w:rPr>
          <w:color w:val="231F20"/>
          <w:spacing w:val="-8"/>
        </w:rPr>
        <w:t xml:space="preserve"> </w:t>
      </w:r>
      <w:r>
        <w:rPr>
          <w:color w:val="231F20"/>
        </w:rPr>
        <w:t>bad risk. Management monitors movement in interest rates on a regular basis.</w:t>
      </w:r>
    </w:p>
    <w:p w14:paraId="5977070B" w14:textId="77777777" w:rsidR="00345EE3" w:rsidRDefault="00345EE3" w:rsidP="00345EE3">
      <w:pPr>
        <w:rPr>
          <w:color w:val="231F20"/>
          <w:sz w:val="24"/>
          <w:szCs w:val="24"/>
        </w:rPr>
      </w:pPr>
      <w:r>
        <w:rPr>
          <w:color w:val="231F20"/>
        </w:rPr>
        <w:br w:type="page"/>
      </w:r>
    </w:p>
    <w:p w14:paraId="465610AE" w14:textId="77777777" w:rsidR="00345EE3" w:rsidRDefault="00345EE3" w:rsidP="00345EE3">
      <w:pPr>
        <w:pStyle w:val="BodyText"/>
        <w:spacing w:before="60" w:line="242" w:lineRule="auto"/>
      </w:pPr>
      <w:r>
        <w:rPr>
          <w:color w:val="231F20"/>
        </w:rPr>
        <w:t>The</w:t>
      </w:r>
      <w:r>
        <w:rPr>
          <w:color w:val="231F20"/>
          <w:spacing w:val="-10"/>
        </w:rPr>
        <w:t xml:space="preserve"> </w:t>
      </w:r>
      <w:r>
        <w:rPr>
          <w:color w:val="231F20"/>
        </w:rPr>
        <w:t>carrying</w:t>
      </w:r>
      <w:r>
        <w:rPr>
          <w:color w:val="231F20"/>
          <w:spacing w:val="-10"/>
        </w:rPr>
        <w:t xml:space="preserve"> </w:t>
      </w:r>
      <w:r>
        <w:rPr>
          <w:color w:val="231F20"/>
        </w:rPr>
        <w:t>amounts</w:t>
      </w:r>
      <w:r>
        <w:rPr>
          <w:color w:val="231F20"/>
          <w:spacing w:val="-9"/>
        </w:rPr>
        <w:t xml:space="preserve"> </w:t>
      </w:r>
      <w:r>
        <w:rPr>
          <w:color w:val="231F20"/>
        </w:rPr>
        <w:t>of</w:t>
      </w:r>
      <w:r>
        <w:rPr>
          <w:color w:val="231F20"/>
          <w:spacing w:val="-9"/>
        </w:rPr>
        <w:t xml:space="preserve"> </w:t>
      </w:r>
      <w:r>
        <w:rPr>
          <w:color w:val="231F20"/>
        </w:rPr>
        <w:t>financial</w:t>
      </w:r>
      <w:r>
        <w:rPr>
          <w:color w:val="231F20"/>
          <w:spacing w:val="-10"/>
        </w:rPr>
        <w:t xml:space="preserve"> </w:t>
      </w:r>
      <w:r>
        <w:rPr>
          <w:color w:val="231F20"/>
        </w:rPr>
        <w:t>assets</w:t>
      </w:r>
      <w:r>
        <w:rPr>
          <w:color w:val="231F20"/>
          <w:spacing w:val="-9"/>
        </w:rPr>
        <w:t xml:space="preserve"> </w:t>
      </w:r>
      <w:r>
        <w:rPr>
          <w:color w:val="231F20"/>
        </w:rPr>
        <w:t>and</w:t>
      </w:r>
      <w:r>
        <w:rPr>
          <w:color w:val="231F20"/>
          <w:spacing w:val="-10"/>
        </w:rPr>
        <w:t xml:space="preserve"> </w:t>
      </w:r>
      <w:r>
        <w:rPr>
          <w:color w:val="231F20"/>
        </w:rPr>
        <w:t>financial</w:t>
      </w:r>
      <w:r>
        <w:rPr>
          <w:color w:val="231F20"/>
          <w:spacing w:val="-10"/>
        </w:rPr>
        <w:t xml:space="preserve"> </w:t>
      </w:r>
      <w:r>
        <w:rPr>
          <w:color w:val="231F20"/>
        </w:rPr>
        <w:t>liabilities</w:t>
      </w:r>
      <w:r>
        <w:rPr>
          <w:color w:val="231F20"/>
          <w:spacing w:val="-9"/>
        </w:rPr>
        <w:t xml:space="preserve"> </w:t>
      </w:r>
      <w:r>
        <w:rPr>
          <w:color w:val="231F20"/>
        </w:rPr>
        <w:t>that</w:t>
      </w:r>
      <w:r>
        <w:rPr>
          <w:color w:val="231F20"/>
          <w:spacing w:val="-9"/>
        </w:rPr>
        <w:t xml:space="preserve"> </w:t>
      </w:r>
      <w:r>
        <w:rPr>
          <w:color w:val="231F20"/>
        </w:rPr>
        <w:t>are</w:t>
      </w:r>
      <w:r>
        <w:rPr>
          <w:color w:val="231F20"/>
          <w:spacing w:val="-10"/>
        </w:rPr>
        <w:t xml:space="preserve"> </w:t>
      </w:r>
      <w:r>
        <w:rPr>
          <w:color w:val="231F20"/>
        </w:rPr>
        <w:t>exposed</w:t>
      </w:r>
      <w:r>
        <w:rPr>
          <w:color w:val="231F20"/>
          <w:spacing w:val="-10"/>
        </w:rPr>
        <w:t xml:space="preserve"> </w:t>
      </w:r>
      <w:r>
        <w:rPr>
          <w:color w:val="231F20"/>
        </w:rPr>
        <w:t>to</w:t>
      </w:r>
      <w:r>
        <w:rPr>
          <w:color w:val="231F20"/>
          <w:spacing w:val="-10"/>
        </w:rPr>
        <w:t xml:space="preserve"> </w:t>
      </w:r>
      <w:r>
        <w:rPr>
          <w:color w:val="231F20"/>
        </w:rPr>
        <w:t>interest</w:t>
      </w:r>
      <w:r>
        <w:rPr>
          <w:color w:val="231F20"/>
          <w:spacing w:val="-9"/>
        </w:rPr>
        <w:t xml:space="preserve"> </w:t>
      </w:r>
      <w:r>
        <w:rPr>
          <w:color w:val="231F20"/>
        </w:rPr>
        <w:t>rates are set out in the tables below.</w:t>
      </w:r>
    </w:p>
    <w:p w14:paraId="6ECABB53" w14:textId="1685DF4B" w:rsidR="00345EE3" w:rsidRDefault="00345EE3" w:rsidP="00345EE3">
      <w:pPr>
        <w:pStyle w:val="Heading5"/>
        <w:spacing w:before="230"/>
      </w:pPr>
      <w:r>
        <w:rPr>
          <w:color w:val="231F20"/>
        </w:rPr>
        <w:t>Interest</w:t>
      </w:r>
      <w:r>
        <w:rPr>
          <w:color w:val="231F20"/>
          <w:spacing w:val="-7"/>
        </w:rPr>
        <w:t xml:space="preserve"> </w:t>
      </w:r>
      <w:r>
        <w:rPr>
          <w:color w:val="231F20"/>
        </w:rPr>
        <w:t>Rate</w:t>
      </w:r>
      <w:r>
        <w:rPr>
          <w:color w:val="231F20"/>
          <w:spacing w:val="-4"/>
        </w:rPr>
        <w:t xml:space="preserve"> </w:t>
      </w:r>
      <w:r>
        <w:rPr>
          <w:color w:val="231F20"/>
        </w:rPr>
        <w:t>Exposure</w:t>
      </w:r>
      <w:r>
        <w:rPr>
          <w:color w:val="231F20"/>
          <w:spacing w:val="-5"/>
        </w:rPr>
        <w:t xml:space="preserve"> </w:t>
      </w:r>
      <w:r>
        <w:rPr>
          <w:color w:val="231F20"/>
        </w:rPr>
        <w:t>of</w:t>
      </w:r>
      <w:r>
        <w:rPr>
          <w:color w:val="231F20"/>
          <w:spacing w:val="-4"/>
        </w:rPr>
        <w:t xml:space="preserve"> </w:t>
      </w:r>
      <w:r>
        <w:rPr>
          <w:color w:val="231F20"/>
        </w:rPr>
        <w:t>Financial</w:t>
      </w:r>
      <w:r>
        <w:rPr>
          <w:color w:val="231F20"/>
          <w:spacing w:val="-4"/>
        </w:rPr>
        <w:t xml:space="preserve"> </w:t>
      </w:r>
      <w:r>
        <w:rPr>
          <w:color w:val="231F20"/>
          <w:spacing w:val="-2"/>
        </w:rPr>
        <w:t>Instruments</w:t>
      </w:r>
    </w:p>
    <w:p w14:paraId="7281505E" w14:textId="77777777" w:rsidR="00345EE3" w:rsidRDefault="00345EE3" w:rsidP="00345EE3">
      <w:pPr>
        <w:pStyle w:val="BodyText"/>
        <w:spacing w:before="6"/>
        <w:rPr>
          <w:b/>
          <w:sz w:val="6"/>
        </w:rPr>
      </w:pPr>
    </w:p>
    <w:tbl>
      <w:tblPr>
        <w:tblW w:w="0" w:type="auto"/>
        <w:tblInd w:w="11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02"/>
        <w:gridCol w:w="851"/>
        <w:gridCol w:w="1134"/>
        <w:gridCol w:w="1134"/>
        <w:gridCol w:w="1134"/>
        <w:gridCol w:w="1134"/>
        <w:gridCol w:w="1420"/>
      </w:tblGrid>
      <w:tr w:rsidR="00345EE3" w14:paraId="03106A2C" w14:textId="77777777" w:rsidTr="00D73130">
        <w:trPr>
          <w:trHeight w:val="405"/>
        </w:trPr>
        <w:tc>
          <w:tcPr>
            <w:tcW w:w="3402" w:type="dxa"/>
            <w:tcBorders>
              <w:top w:val="nil"/>
              <w:left w:val="nil"/>
              <w:bottom w:val="nil"/>
              <w:right w:val="nil"/>
            </w:tcBorders>
            <w:shd w:val="clear" w:color="auto" w:fill="00529F"/>
          </w:tcPr>
          <w:p w14:paraId="65F511AB" w14:textId="77777777" w:rsidR="00345EE3" w:rsidRDefault="00345EE3" w:rsidP="00D73130">
            <w:pPr>
              <w:pStyle w:val="TableParagraph"/>
              <w:spacing w:before="0"/>
              <w:jc w:val="left"/>
              <w:rPr>
                <w:rFonts w:ascii="Times New Roman"/>
              </w:rPr>
            </w:pPr>
          </w:p>
        </w:tc>
        <w:tc>
          <w:tcPr>
            <w:tcW w:w="851" w:type="dxa"/>
            <w:tcBorders>
              <w:top w:val="nil"/>
              <w:left w:val="nil"/>
              <w:bottom w:val="nil"/>
              <w:right w:val="nil"/>
            </w:tcBorders>
            <w:shd w:val="clear" w:color="auto" w:fill="00529F"/>
          </w:tcPr>
          <w:p w14:paraId="05B3C024"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5BDED196"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0E1B3D4A"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460AF289"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2D074385" w14:textId="77777777" w:rsidR="00345EE3" w:rsidRDefault="00345EE3" w:rsidP="00D73130">
            <w:pPr>
              <w:pStyle w:val="TableParagraph"/>
              <w:spacing w:before="0"/>
              <w:jc w:val="left"/>
              <w:rPr>
                <w:rFonts w:ascii="Times New Roman"/>
              </w:rPr>
            </w:pPr>
          </w:p>
        </w:tc>
        <w:tc>
          <w:tcPr>
            <w:tcW w:w="1420" w:type="dxa"/>
            <w:tcBorders>
              <w:top w:val="nil"/>
              <w:left w:val="nil"/>
              <w:bottom w:val="nil"/>
              <w:right w:val="nil"/>
            </w:tcBorders>
            <w:shd w:val="clear" w:color="auto" w:fill="00529F"/>
          </w:tcPr>
          <w:p w14:paraId="0AB5FF51" w14:textId="77777777" w:rsidR="00345EE3" w:rsidRDefault="00345EE3" w:rsidP="00D73130">
            <w:pPr>
              <w:pStyle w:val="TableParagraph"/>
              <w:spacing w:before="63"/>
              <w:ind w:right="4"/>
              <w:rPr>
                <w:b/>
                <w:sz w:val="24"/>
              </w:rPr>
            </w:pPr>
            <w:r>
              <w:rPr>
                <w:b/>
                <w:color w:val="FFFFFF"/>
                <w:sz w:val="24"/>
              </w:rPr>
              <w:t>($</w:t>
            </w:r>
            <w:r>
              <w:rPr>
                <w:b/>
                <w:color w:val="FFFFFF"/>
                <w:spacing w:val="-8"/>
                <w:sz w:val="24"/>
              </w:rPr>
              <w:t xml:space="preserve"> </w:t>
            </w:r>
            <w:r>
              <w:rPr>
                <w:b/>
                <w:color w:val="FFFFFF"/>
                <w:spacing w:val="-4"/>
                <w:sz w:val="24"/>
              </w:rPr>
              <w:t>thousand)</w:t>
            </w:r>
          </w:p>
        </w:tc>
      </w:tr>
      <w:tr w:rsidR="00345EE3" w14:paraId="6859F135" w14:textId="77777777" w:rsidTr="00D73130">
        <w:trPr>
          <w:trHeight w:val="401"/>
        </w:trPr>
        <w:tc>
          <w:tcPr>
            <w:tcW w:w="10209" w:type="dxa"/>
            <w:gridSpan w:val="7"/>
            <w:tcBorders>
              <w:top w:val="nil"/>
              <w:left w:val="nil"/>
              <w:bottom w:val="nil"/>
              <w:right w:val="nil"/>
            </w:tcBorders>
            <w:shd w:val="clear" w:color="auto" w:fill="00529F"/>
          </w:tcPr>
          <w:p w14:paraId="27C5BFC0" w14:textId="77777777" w:rsidR="00345EE3" w:rsidRDefault="00345EE3" w:rsidP="00D73130">
            <w:pPr>
              <w:pStyle w:val="TableParagraph"/>
              <w:spacing w:before="59"/>
              <w:ind w:left="5975"/>
              <w:jc w:val="left"/>
              <w:rPr>
                <w:b/>
                <w:sz w:val="24"/>
              </w:rPr>
            </w:pPr>
            <w:r>
              <w:rPr>
                <w:b/>
                <w:color w:val="FFFFFF"/>
                <w:sz w:val="24"/>
              </w:rPr>
              <w:t>Interest</w:t>
            </w:r>
            <w:r>
              <w:rPr>
                <w:b/>
                <w:color w:val="FFFFFF"/>
                <w:spacing w:val="-1"/>
                <w:sz w:val="24"/>
              </w:rPr>
              <w:t xml:space="preserve"> </w:t>
            </w:r>
            <w:r>
              <w:rPr>
                <w:b/>
                <w:color w:val="FFFFFF"/>
                <w:sz w:val="24"/>
              </w:rPr>
              <w:t>rate</w:t>
            </w:r>
            <w:r>
              <w:rPr>
                <w:b/>
                <w:color w:val="FFFFFF"/>
                <w:spacing w:val="-2"/>
                <w:sz w:val="24"/>
              </w:rPr>
              <w:t xml:space="preserve"> exposure</w:t>
            </w:r>
          </w:p>
        </w:tc>
      </w:tr>
      <w:tr w:rsidR="00345EE3" w14:paraId="67CF31C7" w14:textId="77777777" w:rsidTr="00D73130">
        <w:trPr>
          <w:trHeight w:val="1237"/>
        </w:trPr>
        <w:tc>
          <w:tcPr>
            <w:tcW w:w="3402" w:type="dxa"/>
            <w:tcBorders>
              <w:top w:val="nil"/>
              <w:left w:val="nil"/>
              <w:bottom w:val="nil"/>
              <w:right w:val="nil"/>
            </w:tcBorders>
            <w:shd w:val="clear" w:color="auto" w:fill="00529F"/>
          </w:tcPr>
          <w:p w14:paraId="5D876188" w14:textId="77777777" w:rsidR="00345EE3" w:rsidRDefault="00345EE3" w:rsidP="00D73130">
            <w:pPr>
              <w:pStyle w:val="TableParagraph"/>
              <w:spacing w:before="0"/>
              <w:jc w:val="left"/>
              <w:rPr>
                <w:rFonts w:ascii="Times New Roman"/>
              </w:rPr>
            </w:pPr>
          </w:p>
        </w:tc>
        <w:tc>
          <w:tcPr>
            <w:tcW w:w="851" w:type="dxa"/>
            <w:tcBorders>
              <w:top w:val="nil"/>
              <w:left w:val="nil"/>
              <w:bottom w:val="nil"/>
              <w:right w:val="nil"/>
            </w:tcBorders>
            <w:shd w:val="clear" w:color="auto" w:fill="00529F"/>
          </w:tcPr>
          <w:p w14:paraId="2DB59219" w14:textId="77777777" w:rsidR="00345EE3" w:rsidRDefault="00345EE3" w:rsidP="00D73130">
            <w:pPr>
              <w:pStyle w:val="TableParagraph"/>
              <w:spacing w:before="59"/>
              <w:ind w:right="4"/>
              <w:rPr>
                <w:b/>
                <w:sz w:val="24"/>
              </w:rPr>
            </w:pPr>
            <w:r>
              <w:rPr>
                <w:b/>
                <w:color w:val="FFFFFF"/>
                <w:spacing w:val="-2"/>
                <w:sz w:val="24"/>
              </w:rPr>
              <w:t>Notes</w:t>
            </w:r>
          </w:p>
        </w:tc>
        <w:tc>
          <w:tcPr>
            <w:tcW w:w="1134" w:type="dxa"/>
            <w:tcBorders>
              <w:top w:val="nil"/>
              <w:left w:val="nil"/>
              <w:bottom w:val="nil"/>
              <w:right w:val="nil"/>
            </w:tcBorders>
            <w:shd w:val="clear" w:color="auto" w:fill="00529F"/>
          </w:tcPr>
          <w:p w14:paraId="29B28DF1" w14:textId="77777777" w:rsidR="00345EE3" w:rsidRDefault="00345EE3" w:rsidP="00D73130">
            <w:pPr>
              <w:pStyle w:val="TableParagraph"/>
              <w:spacing w:before="59" w:line="242" w:lineRule="auto"/>
              <w:ind w:left="149" w:right="3" w:hanging="78"/>
              <w:jc w:val="both"/>
              <w:rPr>
                <w:b/>
                <w:sz w:val="24"/>
              </w:rPr>
            </w:pPr>
            <w:r>
              <w:rPr>
                <w:b/>
                <w:color w:val="FFFFFF"/>
                <w:spacing w:val="-4"/>
                <w:sz w:val="24"/>
              </w:rPr>
              <w:t xml:space="preserve">Weighted </w:t>
            </w:r>
            <w:r>
              <w:rPr>
                <w:b/>
                <w:color w:val="FFFFFF"/>
                <w:spacing w:val="-2"/>
                <w:sz w:val="24"/>
              </w:rPr>
              <w:t xml:space="preserve">average interest </w:t>
            </w:r>
            <w:r>
              <w:rPr>
                <w:b/>
                <w:color w:val="FFFFFF"/>
                <w:sz w:val="24"/>
              </w:rPr>
              <w:t>rate</w:t>
            </w:r>
            <w:r>
              <w:rPr>
                <w:b/>
                <w:color w:val="FFFFFF"/>
                <w:spacing w:val="-14"/>
                <w:sz w:val="24"/>
              </w:rPr>
              <w:t xml:space="preserve"> </w:t>
            </w:r>
            <w:r>
              <w:rPr>
                <w:b/>
                <w:color w:val="FFFFFF"/>
                <w:spacing w:val="-5"/>
                <w:sz w:val="24"/>
              </w:rPr>
              <w:t>(%)”</w:t>
            </w:r>
          </w:p>
        </w:tc>
        <w:tc>
          <w:tcPr>
            <w:tcW w:w="1134" w:type="dxa"/>
            <w:tcBorders>
              <w:top w:val="nil"/>
              <w:left w:val="nil"/>
              <w:bottom w:val="nil"/>
              <w:right w:val="nil"/>
            </w:tcBorders>
            <w:shd w:val="clear" w:color="auto" w:fill="00529F"/>
          </w:tcPr>
          <w:p w14:paraId="41FC2D9E" w14:textId="77777777" w:rsidR="00345EE3" w:rsidRDefault="00345EE3" w:rsidP="00D73130">
            <w:pPr>
              <w:pStyle w:val="TableParagraph"/>
              <w:spacing w:before="59" w:line="242" w:lineRule="auto"/>
              <w:ind w:left="275" w:hanging="116"/>
              <w:jc w:val="left"/>
              <w:rPr>
                <w:b/>
                <w:sz w:val="24"/>
              </w:rPr>
            </w:pPr>
            <w:r>
              <w:rPr>
                <w:b/>
                <w:color w:val="FFFFFF"/>
                <w:spacing w:val="-4"/>
                <w:sz w:val="24"/>
              </w:rPr>
              <w:t xml:space="preserve">Carrying </w:t>
            </w:r>
            <w:r>
              <w:rPr>
                <w:b/>
                <w:color w:val="FFFFFF"/>
                <w:spacing w:val="-5"/>
                <w:sz w:val="24"/>
              </w:rPr>
              <w:t>amount</w:t>
            </w:r>
          </w:p>
        </w:tc>
        <w:tc>
          <w:tcPr>
            <w:tcW w:w="1134" w:type="dxa"/>
            <w:tcBorders>
              <w:top w:val="nil"/>
              <w:left w:val="nil"/>
              <w:bottom w:val="nil"/>
              <w:right w:val="nil"/>
            </w:tcBorders>
            <w:shd w:val="clear" w:color="auto" w:fill="00529F"/>
          </w:tcPr>
          <w:p w14:paraId="026EE2CA" w14:textId="77777777" w:rsidR="00345EE3" w:rsidRDefault="00345EE3" w:rsidP="00D73130">
            <w:pPr>
              <w:pStyle w:val="TableParagraph"/>
              <w:spacing w:before="59" w:line="242" w:lineRule="auto"/>
              <w:ind w:left="279" w:right="3" w:firstLine="232"/>
              <w:rPr>
                <w:b/>
                <w:sz w:val="24"/>
              </w:rPr>
            </w:pPr>
            <w:r>
              <w:rPr>
                <w:b/>
                <w:color w:val="FFFFFF"/>
                <w:spacing w:val="-4"/>
                <w:sz w:val="24"/>
              </w:rPr>
              <w:t xml:space="preserve">Fixed </w:t>
            </w:r>
            <w:r>
              <w:rPr>
                <w:b/>
                <w:color w:val="FFFFFF"/>
                <w:spacing w:val="-5"/>
                <w:sz w:val="24"/>
              </w:rPr>
              <w:t>interest</w:t>
            </w:r>
          </w:p>
          <w:p w14:paraId="72FF116F" w14:textId="77777777" w:rsidR="00345EE3" w:rsidRDefault="00345EE3" w:rsidP="00D73130">
            <w:pPr>
              <w:pStyle w:val="TableParagraph"/>
              <w:spacing w:before="2"/>
              <w:ind w:right="4"/>
              <w:rPr>
                <w:b/>
                <w:sz w:val="24"/>
              </w:rPr>
            </w:pPr>
            <w:r>
              <w:rPr>
                <w:b/>
                <w:color w:val="FFFFFF"/>
                <w:spacing w:val="-4"/>
                <w:sz w:val="24"/>
              </w:rPr>
              <w:t>rate</w:t>
            </w:r>
          </w:p>
        </w:tc>
        <w:tc>
          <w:tcPr>
            <w:tcW w:w="1134" w:type="dxa"/>
            <w:tcBorders>
              <w:top w:val="nil"/>
              <w:left w:val="nil"/>
              <w:bottom w:val="nil"/>
              <w:right w:val="nil"/>
            </w:tcBorders>
            <w:shd w:val="clear" w:color="auto" w:fill="00529F"/>
          </w:tcPr>
          <w:p w14:paraId="3E4CB60E" w14:textId="77777777" w:rsidR="00345EE3" w:rsidRDefault="00345EE3" w:rsidP="00D73130">
            <w:pPr>
              <w:pStyle w:val="TableParagraph"/>
              <w:spacing w:before="59" w:line="242" w:lineRule="auto"/>
              <w:ind w:left="279" w:right="3" w:hanging="54"/>
              <w:rPr>
                <w:b/>
                <w:sz w:val="24"/>
              </w:rPr>
            </w:pPr>
            <w:r>
              <w:rPr>
                <w:b/>
                <w:color w:val="FFFFFF"/>
                <w:spacing w:val="-6"/>
                <w:sz w:val="24"/>
              </w:rPr>
              <w:t xml:space="preserve">Variable </w:t>
            </w:r>
            <w:r>
              <w:rPr>
                <w:b/>
                <w:color w:val="FFFFFF"/>
                <w:spacing w:val="-5"/>
                <w:sz w:val="24"/>
              </w:rPr>
              <w:t>interest</w:t>
            </w:r>
          </w:p>
          <w:p w14:paraId="1FF102B1" w14:textId="77777777" w:rsidR="00345EE3" w:rsidRDefault="00345EE3" w:rsidP="00D73130">
            <w:pPr>
              <w:pStyle w:val="TableParagraph"/>
              <w:spacing w:before="3"/>
              <w:ind w:right="4"/>
              <w:rPr>
                <w:b/>
                <w:sz w:val="24"/>
              </w:rPr>
            </w:pPr>
            <w:r>
              <w:rPr>
                <w:b/>
                <w:color w:val="FFFFFF"/>
                <w:spacing w:val="-4"/>
                <w:sz w:val="24"/>
              </w:rPr>
              <w:t>rate</w:t>
            </w:r>
          </w:p>
        </w:tc>
        <w:tc>
          <w:tcPr>
            <w:tcW w:w="1420" w:type="dxa"/>
            <w:tcBorders>
              <w:top w:val="nil"/>
              <w:left w:val="nil"/>
              <w:bottom w:val="nil"/>
              <w:right w:val="nil"/>
            </w:tcBorders>
            <w:shd w:val="clear" w:color="auto" w:fill="00529F"/>
          </w:tcPr>
          <w:p w14:paraId="7C00FE57" w14:textId="77777777" w:rsidR="00345EE3" w:rsidRDefault="00345EE3" w:rsidP="00D73130">
            <w:pPr>
              <w:pStyle w:val="TableParagraph"/>
              <w:spacing w:before="59"/>
              <w:ind w:right="5"/>
              <w:rPr>
                <w:b/>
                <w:sz w:val="24"/>
              </w:rPr>
            </w:pPr>
            <w:r>
              <w:rPr>
                <w:b/>
                <w:color w:val="FFFFFF"/>
                <w:spacing w:val="-3"/>
                <w:sz w:val="24"/>
              </w:rPr>
              <w:t>Non-</w:t>
            </w:r>
            <w:r>
              <w:rPr>
                <w:b/>
                <w:color w:val="FFFFFF"/>
                <w:spacing w:val="-2"/>
                <w:sz w:val="24"/>
              </w:rPr>
              <w:t>interest</w:t>
            </w:r>
          </w:p>
          <w:p w14:paraId="4D2A38BB" w14:textId="77777777" w:rsidR="00345EE3" w:rsidRDefault="00345EE3" w:rsidP="00D73130">
            <w:pPr>
              <w:pStyle w:val="TableParagraph"/>
              <w:spacing w:before="4"/>
              <w:ind w:right="4"/>
              <w:rPr>
                <w:b/>
                <w:sz w:val="24"/>
              </w:rPr>
            </w:pPr>
            <w:r>
              <w:rPr>
                <w:b/>
                <w:color w:val="FFFFFF"/>
                <w:spacing w:val="-2"/>
                <w:sz w:val="24"/>
              </w:rPr>
              <w:t>bearing</w:t>
            </w:r>
          </w:p>
        </w:tc>
      </w:tr>
      <w:tr w:rsidR="00345EE3" w14:paraId="586D6E15" w14:textId="77777777" w:rsidTr="00D73130">
        <w:trPr>
          <w:trHeight w:val="388"/>
        </w:trPr>
        <w:tc>
          <w:tcPr>
            <w:tcW w:w="10209" w:type="dxa"/>
            <w:gridSpan w:val="7"/>
            <w:tcBorders>
              <w:top w:val="nil"/>
              <w:left w:val="nil"/>
              <w:right w:val="nil"/>
            </w:tcBorders>
          </w:tcPr>
          <w:p w14:paraId="12B582F3" w14:textId="77777777" w:rsidR="00345EE3" w:rsidRDefault="00345EE3" w:rsidP="00D73130">
            <w:pPr>
              <w:pStyle w:val="TableParagraph"/>
              <w:spacing w:before="61"/>
              <w:jc w:val="left"/>
              <w:rPr>
                <w:b/>
                <w:sz w:val="24"/>
              </w:rPr>
            </w:pPr>
            <w:r>
              <w:rPr>
                <w:b/>
                <w:color w:val="231F20"/>
                <w:spacing w:val="-4"/>
                <w:sz w:val="24"/>
              </w:rPr>
              <w:t>2022</w:t>
            </w:r>
          </w:p>
        </w:tc>
      </w:tr>
      <w:tr w:rsidR="00345EE3" w14:paraId="40C2F95B" w14:textId="77777777" w:rsidTr="00D73130">
        <w:trPr>
          <w:trHeight w:val="388"/>
        </w:trPr>
        <w:tc>
          <w:tcPr>
            <w:tcW w:w="3402" w:type="dxa"/>
            <w:tcBorders>
              <w:left w:val="nil"/>
              <w:bottom w:val="single" w:sz="2" w:space="0" w:color="939598"/>
              <w:right w:val="single" w:sz="2" w:space="0" w:color="939598"/>
            </w:tcBorders>
          </w:tcPr>
          <w:p w14:paraId="7924F23E" w14:textId="77777777" w:rsidR="00345EE3" w:rsidRDefault="00345EE3" w:rsidP="00D73130">
            <w:pPr>
              <w:pStyle w:val="TableParagraph"/>
              <w:spacing w:before="54"/>
              <w:ind w:left="-3"/>
              <w:jc w:val="left"/>
              <w:rPr>
                <w:b/>
                <w:sz w:val="24"/>
              </w:rPr>
            </w:pPr>
            <w:r>
              <w:rPr>
                <w:b/>
                <w:color w:val="231F20"/>
                <w:sz w:val="24"/>
              </w:rPr>
              <w:t>Financial</w:t>
            </w:r>
            <w:r>
              <w:rPr>
                <w:b/>
                <w:color w:val="231F20"/>
                <w:spacing w:val="-9"/>
                <w:sz w:val="24"/>
              </w:rPr>
              <w:t xml:space="preserve"> </w:t>
            </w:r>
            <w:r>
              <w:rPr>
                <w:b/>
                <w:color w:val="231F20"/>
                <w:spacing w:val="-2"/>
                <w:sz w:val="24"/>
              </w:rPr>
              <w:t>Assets</w:t>
            </w:r>
          </w:p>
        </w:tc>
        <w:tc>
          <w:tcPr>
            <w:tcW w:w="851" w:type="dxa"/>
            <w:tcBorders>
              <w:left w:val="single" w:sz="2" w:space="0" w:color="939598"/>
              <w:bottom w:val="single" w:sz="2" w:space="0" w:color="939598"/>
              <w:right w:val="single" w:sz="2" w:space="0" w:color="939598"/>
            </w:tcBorders>
          </w:tcPr>
          <w:p w14:paraId="196E33D4"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shd w:val="clear" w:color="auto" w:fill="E6E7E8"/>
          </w:tcPr>
          <w:p w14:paraId="33C716DF"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shd w:val="clear" w:color="auto" w:fill="E6E7E8"/>
          </w:tcPr>
          <w:p w14:paraId="77C52E18"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shd w:val="clear" w:color="auto" w:fill="E6E7E8"/>
          </w:tcPr>
          <w:p w14:paraId="62863AB0"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shd w:val="clear" w:color="auto" w:fill="E6E7E8"/>
          </w:tcPr>
          <w:p w14:paraId="52866866" w14:textId="77777777" w:rsidR="00345EE3" w:rsidRDefault="00345EE3" w:rsidP="00D73130">
            <w:pPr>
              <w:pStyle w:val="TableParagraph"/>
              <w:spacing w:before="0"/>
              <w:jc w:val="left"/>
              <w:rPr>
                <w:rFonts w:ascii="Times New Roman"/>
              </w:rPr>
            </w:pPr>
          </w:p>
        </w:tc>
        <w:tc>
          <w:tcPr>
            <w:tcW w:w="1420" w:type="dxa"/>
            <w:tcBorders>
              <w:left w:val="single" w:sz="2" w:space="0" w:color="939598"/>
              <w:bottom w:val="single" w:sz="2" w:space="0" w:color="939598"/>
              <w:right w:val="nil"/>
            </w:tcBorders>
            <w:shd w:val="clear" w:color="auto" w:fill="E6E7E8"/>
          </w:tcPr>
          <w:p w14:paraId="095FF191" w14:textId="77777777" w:rsidR="00345EE3" w:rsidRDefault="00345EE3" w:rsidP="00D73130">
            <w:pPr>
              <w:pStyle w:val="TableParagraph"/>
              <w:spacing w:before="0"/>
              <w:jc w:val="left"/>
              <w:rPr>
                <w:rFonts w:ascii="Times New Roman"/>
              </w:rPr>
            </w:pPr>
          </w:p>
        </w:tc>
      </w:tr>
      <w:tr w:rsidR="00345EE3" w14:paraId="5EFFCF0C" w14:textId="77777777" w:rsidTr="00D73130">
        <w:trPr>
          <w:trHeight w:val="676"/>
        </w:trPr>
        <w:tc>
          <w:tcPr>
            <w:tcW w:w="3402" w:type="dxa"/>
            <w:tcBorders>
              <w:top w:val="single" w:sz="2" w:space="0" w:color="939598"/>
              <w:left w:val="nil"/>
              <w:bottom w:val="single" w:sz="2" w:space="0" w:color="939598"/>
              <w:right w:val="single" w:sz="2" w:space="0" w:color="939598"/>
            </w:tcBorders>
          </w:tcPr>
          <w:p w14:paraId="12E4DBF2" w14:textId="77777777" w:rsidR="00345EE3" w:rsidRDefault="00345EE3" w:rsidP="00D73130">
            <w:pPr>
              <w:pStyle w:val="TableParagraph"/>
              <w:spacing w:before="61" w:line="242" w:lineRule="auto"/>
              <w:ind w:left="-3" w:right="407"/>
              <w:jc w:val="left"/>
              <w:rPr>
                <w:sz w:val="24"/>
              </w:rPr>
            </w:pPr>
            <w:r>
              <w:rPr>
                <w:color w:val="231F20"/>
                <w:sz w:val="24"/>
              </w:rPr>
              <w:t>Cash and deposits (including</w:t>
            </w:r>
            <w:r>
              <w:rPr>
                <w:color w:val="231F20"/>
                <w:spacing w:val="-17"/>
                <w:sz w:val="24"/>
              </w:rPr>
              <w:t xml:space="preserve"> </w:t>
            </w:r>
            <w:r>
              <w:rPr>
                <w:color w:val="231F20"/>
                <w:sz w:val="24"/>
              </w:rPr>
              <w:t>cash</w:t>
            </w:r>
            <w:r>
              <w:rPr>
                <w:color w:val="231F20"/>
                <w:spacing w:val="-17"/>
                <w:sz w:val="24"/>
              </w:rPr>
              <w:t xml:space="preserve"> </w:t>
            </w:r>
            <w:r>
              <w:rPr>
                <w:color w:val="231F20"/>
                <w:sz w:val="24"/>
              </w:rPr>
              <w:t>equivalents)</w:t>
            </w:r>
          </w:p>
        </w:tc>
        <w:tc>
          <w:tcPr>
            <w:tcW w:w="851" w:type="dxa"/>
            <w:tcBorders>
              <w:top w:val="single" w:sz="2" w:space="0" w:color="939598"/>
              <w:left w:val="single" w:sz="2" w:space="0" w:color="939598"/>
              <w:bottom w:val="single" w:sz="2" w:space="0" w:color="939598"/>
              <w:right w:val="single" w:sz="2" w:space="0" w:color="939598"/>
            </w:tcBorders>
          </w:tcPr>
          <w:p w14:paraId="70D69C1E" w14:textId="77777777" w:rsidR="00345EE3" w:rsidRDefault="00345EE3" w:rsidP="00D73130">
            <w:pPr>
              <w:pStyle w:val="TableParagraph"/>
              <w:spacing w:before="61"/>
              <w:ind w:right="1"/>
              <w:rPr>
                <w:sz w:val="24"/>
              </w:rPr>
            </w:pPr>
            <w:r>
              <w:rPr>
                <w:color w:val="231F20"/>
                <w:spacing w:val="-5"/>
                <w:sz w:val="24"/>
              </w:rPr>
              <w:t>7.3</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7430167E" w14:textId="77777777" w:rsidR="00345EE3" w:rsidRDefault="00345EE3" w:rsidP="00D73130">
            <w:pPr>
              <w:pStyle w:val="TableParagraph"/>
              <w:spacing w:before="61"/>
              <w:ind w:right="1"/>
              <w:rPr>
                <w:sz w:val="24"/>
              </w:rPr>
            </w:pPr>
            <w:r>
              <w:rPr>
                <w:color w:val="231F20"/>
                <w:spacing w:val="-2"/>
                <w:sz w:val="24"/>
              </w:rPr>
              <w:t>0.10%</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73DBD9AE" w14:textId="77777777" w:rsidR="00345EE3" w:rsidRDefault="00345EE3" w:rsidP="00D73130">
            <w:pPr>
              <w:pStyle w:val="TableParagraph"/>
              <w:spacing w:before="61"/>
              <w:ind w:right="2"/>
              <w:rPr>
                <w:sz w:val="24"/>
              </w:rPr>
            </w:pPr>
            <w:r>
              <w:rPr>
                <w:color w:val="231F20"/>
                <w:spacing w:val="-2"/>
                <w:sz w:val="24"/>
              </w:rPr>
              <w:t>62,483</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543AD66E"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70411B4A" w14:textId="77777777" w:rsidR="00345EE3" w:rsidRDefault="00345EE3" w:rsidP="00D73130">
            <w:pPr>
              <w:pStyle w:val="TableParagraph"/>
              <w:spacing w:before="61"/>
              <w:ind w:right="2"/>
              <w:rPr>
                <w:sz w:val="24"/>
              </w:rPr>
            </w:pPr>
            <w:r>
              <w:rPr>
                <w:color w:val="231F20"/>
                <w:spacing w:val="-2"/>
                <w:sz w:val="24"/>
              </w:rPr>
              <w:t>3,540</w:t>
            </w:r>
          </w:p>
        </w:tc>
        <w:tc>
          <w:tcPr>
            <w:tcW w:w="1420" w:type="dxa"/>
            <w:tcBorders>
              <w:top w:val="single" w:sz="2" w:space="0" w:color="939598"/>
              <w:left w:val="single" w:sz="2" w:space="0" w:color="939598"/>
              <w:bottom w:val="single" w:sz="2" w:space="0" w:color="939598"/>
              <w:right w:val="nil"/>
            </w:tcBorders>
            <w:shd w:val="clear" w:color="auto" w:fill="E6E7E8"/>
          </w:tcPr>
          <w:p w14:paraId="0CC0E437" w14:textId="77777777" w:rsidR="00345EE3" w:rsidRDefault="00345EE3" w:rsidP="00D73130">
            <w:pPr>
              <w:pStyle w:val="TableParagraph"/>
              <w:spacing w:before="61"/>
              <w:ind w:right="2"/>
              <w:rPr>
                <w:sz w:val="24"/>
              </w:rPr>
            </w:pPr>
            <w:r>
              <w:rPr>
                <w:color w:val="231F20"/>
                <w:spacing w:val="-2"/>
                <w:sz w:val="24"/>
              </w:rPr>
              <w:t>58,943</w:t>
            </w:r>
          </w:p>
        </w:tc>
      </w:tr>
      <w:tr w:rsidR="00345EE3" w14:paraId="7AA09120"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16B6DAA0" w14:textId="77777777" w:rsidR="00345EE3" w:rsidRDefault="00345EE3" w:rsidP="00D73130">
            <w:pPr>
              <w:pStyle w:val="TableParagraph"/>
              <w:spacing w:before="61"/>
              <w:ind w:left="-3"/>
              <w:jc w:val="left"/>
              <w:rPr>
                <w:sz w:val="24"/>
              </w:rPr>
            </w:pPr>
            <w:r>
              <w:rPr>
                <w:color w:val="231F20"/>
                <w:spacing w:val="-2"/>
                <w:sz w:val="24"/>
              </w:rPr>
              <w:t>Receivables</w:t>
            </w:r>
            <w:r>
              <w:rPr>
                <w:color w:val="231F20"/>
                <w:spacing w:val="-16"/>
                <w:sz w:val="24"/>
              </w:rPr>
              <w:t xml:space="preserve"> </w:t>
            </w:r>
            <w:r>
              <w:rPr>
                <w:color w:val="231F20"/>
                <w:spacing w:val="-5"/>
                <w:sz w:val="24"/>
                <w:vertAlign w:val="superscript"/>
              </w:rPr>
              <w:t>(a)</w:t>
            </w:r>
          </w:p>
        </w:tc>
        <w:tc>
          <w:tcPr>
            <w:tcW w:w="851" w:type="dxa"/>
            <w:tcBorders>
              <w:top w:val="single" w:sz="2" w:space="0" w:color="939598"/>
              <w:left w:val="single" w:sz="2" w:space="0" w:color="939598"/>
              <w:bottom w:val="single" w:sz="2" w:space="0" w:color="939598"/>
              <w:right w:val="single" w:sz="2" w:space="0" w:color="939598"/>
            </w:tcBorders>
          </w:tcPr>
          <w:p w14:paraId="7FEDE8BD"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650698D6"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9224573"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2CF2258"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1F657472" w14:textId="77777777" w:rsidR="00345EE3" w:rsidRDefault="00345EE3" w:rsidP="00D73130">
            <w:pPr>
              <w:pStyle w:val="TableParagraph"/>
              <w:spacing w:before="0"/>
              <w:jc w:val="left"/>
              <w:rPr>
                <w:rFonts w:ascii="Times New Roman"/>
              </w:rPr>
            </w:pPr>
          </w:p>
        </w:tc>
        <w:tc>
          <w:tcPr>
            <w:tcW w:w="1420" w:type="dxa"/>
            <w:tcBorders>
              <w:top w:val="single" w:sz="2" w:space="0" w:color="939598"/>
              <w:left w:val="single" w:sz="2" w:space="0" w:color="939598"/>
              <w:bottom w:val="single" w:sz="2" w:space="0" w:color="939598"/>
              <w:right w:val="nil"/>
            </w:tcBorders>
            <w:shd w:val="clear" w:color="auto" w:fill="E6E7E8"/>
          </w:tcPr>
          <w:p w14:paraId="1230F12A" w14:textId="77777777" w:rsidR="00345EE3" w:rsidRDefault="00345EE3" w:rsidP="00D73130">
            <w:pPr>
              <w:pStyle w:val="TableParagraph"/>
              <w:spacing w:before="0"/>
              <w:jc w:val="left"/>
              <w:rPr>
                <w:rFonts w:ascii="Times New Roman"/>
              </w:rPr>
            </w:pPr>
          </w:p>
        </w:tc>
      </w:tr>
      <w:tr w:rsidR="00345EE3" w14:paraId="73F5AA51" w14:textId="77777777" w:rsidTr="00D73130">
        <w:trPr>
          <w:trHeight w:val="676"/>
        </w:trPr>
        <w:tc>
          <w:tcPr>
            <w:tcW w:w="3402" w:type="dxa"/>
            <w:tcBorders>
              <w:top w:val="single" w:sz="2" w:space="0" w:color="939598"/>
              <w:left w:val="nil"/>
              <w:bottom w:val="single" w:sz="2" w:space="0" w:color="939598"/>
              <w:right w:val="single" w:sz="2" w:space="0" w:color="939598"/>
            </w:tcBorders>
          </w:tcPr>
          <w:p w14:paraId="7CEC73A7" w14:textId="77777777" w:rsidR="00345EE3" w:rsidRDefault="00345EE3" w:rsidP="00D73130">
            <w:pPr>
              <w:pStyle w:val="TableParagraph"/>
              <w:spacing w:line="242" w:lineRule="auto"/>
              <w:ind w:left="167"/>
              <w:jc w:val="left"/>
              <w:rPr>
                <w:sz w:val="24"/>
              </w:rPr>
            </w:pPr>
            <w:r>
              <w:rPr>
                <w:color w:val="231F20"/>
                <w:sz w:val="24"/>
              </w:rPr>
              <w:t>Sale of goods and services (net</w:t>
            </w:r>
            <w:r>
              <w:rPr>
                <w:color w:val="231F20"/>
                <w:spacing w:val="-12"/>
                <w:sz w:val="24"/>
              </w:rPr>
              <w:t xml:space="preserve"> </w:t>
            </w:r>
            <w:r>
              <w:rPr>
                <w:color w:val="231F20"/>
                <w:sz w:val="24"/>
              </w:rPr>
              <w:t>of</w:t>
            </w:r>
            <w:r>
              <w:rPr>
                <w:color w:val="231F20"/>
                <w:spacing w:val="-13"/>
                <w:sz w:val="24"/>
              </w:rPr>
              <w:t xml:space="preserve"> </w:t>
            </w:r>
            <w:r>
              <w:rPr>
                <w:color w:val="231F20"/>
                <w:sz w:val="24"/>
              </w:rPr>
              <w:t>doubtful</w:t>
            </w:r>
            <w:r>
              <w:rPr>
                <w:color w:val="231F20"/>
                <w:spacing w:val="-13"/>
                <w:sz w:val="24"/>
              </w:rPr>
              <w:t xml:space="preserve"> </w:t>
            </w:r>
            <w:r>
              <w:rPr>
                <w:color w:val="231F20"/>
                <w:sz w:val="24"/>
              </w:rPr>
              <w:t>receivables)</w:t>
            </w:r>
          </w:p>
        </w:tc>
        <w:tc>
          <w:tcPr>
            <w:tcW w:w="851" w:type="dxa"/>
            <w:tcBorders>
              <w:top w:val="single" w:sz="2" w:space="0" w:color="939598"/>
              <w:left w:val="single" w:sz="2" w:space="0" w:color="939598"/>
              <w:bottom w:val="single" w:sz="2" w:space="0" w:color="939598"/>
              <w:right w:val="single" w:sz="2" w:space="0" w:color="939598"/>
            </w:tcBorders>
          </w:tcPr>
          <w:p w14:paraId="161DD7C4" w14:textId="77777777" w:rsidR="00345EE3" w:rsidRDefault="00345EE3" w:rsidP="00D73130">
            <w:pPr>
              <w:pStyle w:val="TableParagraph"/>
              <w:ind w:right="1"/>
              <w:rPr>
                <w:sz w:val="24"/>
              </w:rPr>
            </w:pPr>
            <w:r>
              <w:rPr>
                <w:color w:val="231F20"/>
                <w:spacing w:val="-5"/>
                <w:sz w:val="24"/>
              </w:rPr>
              <w:t>6.1</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11EB24B1"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04EB4D68" w14:textId="77777777" w:rsidR="00345EE3" w:rsidRDefault="00345EE3" w:rsidP="00D73130">
            <w:pPr>
              <w:pStyle w:val="TableParagraph"/>
              <w:ind w:right="2"/>
              <w:rPr>
                <w:sz w:val="24"/>
              </w:rPr>
            </w:pPr>
            <w:r>
              <w:rPr>
                <w:color w:val="231F20"/>
                <w:spacing w:val="-2"/>
                <w:sz w:val="24"/>
              </w:rPr>
              <w:t>2,975</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52053D9C"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2E1977AB" w14:textId="77777777" w:rsidR="00345EE3" w:rsidRDefault="00345EE3" w:rsidP="00D73130">
            <w:pPr>
              <w:pStyle w:val="TableParagraph"/>
              <w:ind w:right="1"/>
              <w:rPr>
                <w:sz w:val="24"/>
              </w:rPr>
            </w:pPr>
            <w:r>
              <w:rPr>
                <w:color w:val="231F20"/>
                <w:sz w:val="24"/>
              </w:rPr>
              <w:t>-</w:t>
            </w:r>
          </w:p>
        </w:tc>
        <w:tc>
          <w:tcPr>
            <w:tcW w:w="1420" w:type="dxa"/>
            <w:tcBorders>
              <w:top w:val="single" w:sz="2" w:space="0" w:color="939598"/>
              <w:left w:val="single" w:sz="2" w:space="0" w:color="939598"/>
              <w:bottom w:val="single" w:sz="2" w:space="0" w:color="939598"/>
              <w:right w:val="nil"/>
            </w:tcBorders>
            <w:shd w:val="clear" w:color="auto" w:fill="E6E7E8"/>
          </w:tcPr>
          <w:p w14:paraId="2210A77A" w14:textId="77777777" w:rsidR="00345EE3" w:rsidRDefault="00345EE3" w:rsidP="00D73130">
            <w:pPr>
              <w:pStyle w:val="TableParagraph"/>
              <w:ind w:right="2"/>
              <w:rPr>
                <w:sz w:val="24"/>
              </w:rPr>
            </w:pPr>
            <w:r>
              <w:rPr>
                <w:color w:val="231F20"/>
                <w:spacing w:val="-2"/>
                <w:sz w:val="24"/>
              </w:rPr>
              <w:t>2,975</w:t>
            </w:r>
          </w:p>
        </w:tc>
      </w:tr>
      <w:tr w:rsidR="00345EE3" w14:paraId="38481D8E" w14:textId="77777777" w:rsidTr="00D73130">
        <w:trPr>
          <w:trHeight w:val="673"/>
        </w:trPr>
        <w:tc>
          <w:tcPr>
            <w:tcW w:w="3402" w:type="dxa"/>
            <w:tcBorders>
              <w:top w:val="single" w:sz="2" w:space="0" w:color="939598"/>
              <w:left w:val="nil"/>
              <w:bottom w:val="single" w:sz="4" w:space="0" w:color="231F20"/>
              <w:right w:val="single" w:sz="2" w:space="0" w:color="939598"/>
            </w:tcBorders>
          </w:tcPr>
          <w:p w14:paraId="3293CBB4" w14:textId="77777777" w:rsidR="00345EE3" w:rsidRDefault="00345EE3" w:rsidP="00D73130">
            <w:pPr>
              <w:pStyle w:val="TableParagraph"/>
              <w:ind w:left="167"/>
              <w:jc w:val="left"/>
              <w:rPr>
                <w:sz w:val="24"/>
              </w:rPr>
            </w:pPr>
            <w:r>
              <w:rPr>
                <w:color w:val="231F20"/>
                <w:sz w:val="24"/>
              </w:rPr>
              <w:t xml:space="preserve">Other </w:t>
            </w:r>
            <w:r>
              <w:rPr>
                <w:color w:val="231F20"/>
                <w:spacing w:val="-2"/>
                <w:sz w:val="24"/>
              </w:rPr>
              <w:t>receivables</w:t>
            </w:r>
          </w:p>
          <w:p w14:paraId="6AFA8FFB" w14:textId="77777777" w:rsidR="00345EE3" w:rsidRDefault="00345EE3" w:rsidP="00D73130">
            <w:pPr>
              <w:pStyle w:val="TableParagraph"/>
              <w:spacing w:before="4"/>
              <w:ind w:left="167"/>
              <w:jc w:val="left"/>
              <w:rPr>
                <w:sz w:val="24"/>
              </w:rPr>
            </w:pPr>
            <w:r>
              <w:rPr>
                <w:color w:val="231F20"/>
                <w:sz w:val="24"/>
              </w:rPr>
              <w:t>(net</w:t>
            </w:r>
            <w:r>
              <w:rPr>
                <w:color w:val="231F20"/>
                <w:spacing w:val="-3"/>
                <w:sz w:val="24"/>
              </w:rPr>
              <w:t xml:space="preserve"> </w:t>
            </w:r>
            <w:r>
              <w:rPr>
                <w:color w:val="231F20"/>
                <w:sz w:val="24"/>
              </w:rPr>
              <w:t>of</w:t>
            </w:r>
            <w:r>
              <w:rPr>
                <w:color w:val="231F20"/>
                <w:spacing w:val="-4"/>
                <w:sz w:val="24"/>
              </w:rPr>
              <w:t xml:space="preserve"> </w:t>
            </w:r>
            <w:r>
              <w:rPr>
                <w:color w:val="231F20"/>
                <w:sz w:val="24"/>
              </w:rPr>
              <w:t>doubtful</w:t>
            </w:r>
            <w:r>
              <w:rPr>
                <w:color w:val="231F20"/>
                <w:spacing w:val="-3"/>
                <w:sz w:val="24"/>
              </w:rPr>
              <w:t xml:space="preserve"> </w:t>
            </w:r>
            <w:r>
              <w:rPr>
                <w:color w:val="231F20"/>
                <w:spacing w:val="-2"/>
                <w:sz w:val="24"/>
              </w:rPr>
              <w:t>receivables)</w:t>
            </w:r>
          </w:p>
        </w:tc>
        <w:tc>
          <w:tcPr>
            <w:tcW w:w="851" w:type="dxa"/>
            <w:tcBorders>
              <w:top w:val="single" w:sz="2" w:space="0" w:color="939598"/>
              <w:left w:val="single" w:sz="2" w:space="0" w:color="939598"/>
              <w:bottom w:val="single" w:sz="4" w:space="0" w:color="231F20"/>
              <w:right w:val="single" w:sz="2" w:space="0" w:color="939598"/>
            </w:tcBorders>
          </w:tcPr>
          <w:p w14:paraId="297276FD" w14:textId="77777777" w:rsidR="00345EE3" w:rsidRDefault="00345EE3" w:rsidP="00D73130">
            <w:pPr>
              <w:pStyle w:val="TableParagraph"/>
              <w:ind w:right="1"/>
              <w:rPr>
                <w:sz w:val="24"/>
              </w:rPr>
            </w:pPr>
            <w:r>
              <w:rPr>
                <w:color w:val="231F20"/>
                <w:spacing w:val="-5"/>
                <w:sz w:val="24"/>
              </w:rPr>
              <w:t>6.1</w:t>
            </w: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274B837B"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16FFC8AC" w14:textId="77777777" w:rsidR="00345EE3" w:rsidRDefault="00345EE3" w:rsidP="00D73130">
            <w:pPr>
              <w:pStyle w:val="TableParagraph"/>
              <w:ind w:right="2"/>
              <w:rPr>
                <w:sz w:val="24"/>
              </w:rPr>
            </w:pPr>
            <w:r>
              <w:rPr>
                <w:color w:val="231F20"/>
                <w:spacing w:val="-2"/>
                <w:sz w:val="24"/>
              </w:rPr>
              <w:t>8,749</w:t>
            </w: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6DC230CB"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4DD6D26F" w14:textId="77777777" w:rsidR="00345EE3" w:rsidRDefault="00345EE3" w:rsidP="00D73130">
            <w:pPr>
              <w:pStyle w:val="TableParagraph"/>
              <w:ind w:right="1"/>
              <w:rPr>
                <w:sz w:val="24"/>
              </w:rPr>
            </w:pPr>
            <w:r>
              <w:rPr>
                <w:color w:val="231F20"/>
                <w:sz w:val="24"/>
              </w:rPr>
              <w:t>-</w:t>
            </w:r>
          </w:p>
        </w:tc>
        <w:tc>
          <w:tcPr>
            <w:tcW w:w="1420" w:type="dxa"/>
            <w:tcBorders>
              <w:top w:val="single" w:sz="2" w:space="0" w:color="939598"/>
              <w:left w:val="single" w:sz="2" w:space="0" w:color="939598"/>
              <w:bottom w:val="single" w:sz="4" w:space="0" w:color="231F20"/>
              <w:right w:val="nil"/>
            </w:tcBorders>
            <w:shd w:val="clear" w:color="auto" w:fill="E6E7E8"/>
          </w:tcPr>
          <w:p w14:paraId="4553BB60" w14:textId="77777777" w:rsidR="00345EE3" w:rsidRDefault="00345EE3" w:rsidP="00D73130">
            <w:pPr>
              <w:pStyle w:val="TableParagraph"/>
              <w:ind w:right="2"/>
              <w:rPr>
                <w:sz w:val="24"/>
              </w:rPr>
            </w:pPr>
            <w:r>
              <w:rPr>
                <w:color w:val="231F20"/>
                <w:spacing w:val="-2"/>
                <w:sz w:val="24"/>
              </w:rPr>
              <w:t>8,749</w:t>
            </w:r>
          </w:p>
        </w:tc>
      </w:tr>
      <w:tr w:rsidR="00345EE3" w14:paraId="1DF2A335" w14:textId="77777777" w:rsidTr="00D73130">
        <w:trPr>
          <w:trHeight w:val="391"/>
        </w:trPr>
        <w:tc>
          <w:tcPr>
            <w:tcW w:w="3402" w:type="dxa"/>
            <w:tcBorders>
              <w:top w:val="single" w:sz="4" w:space="0" w:color="231F20"/>
              <w:left w:val="nil"/>
              <w:bottom w:val="single" w:sz="4" w:space="0" w:color="231F20"/>
              <w:right w:val="single" w:sz="2" w:space="0" w:color="939598"/>
            </w:tcBorders>
          </w:tcPr>
          <w:p w14:paraId="41A29598" w14:textId="77777777" w:rsidR="00345EE3" w:rsidRDefault="00345EE3" w:rsidP="00D73130">
            <w:pPr>
              <w:pStyle w:val="TableParagraph"/>
              <w:spacing w:before="58"/>
              <w:ind w:left="-3"/>
              <w:jc w:val="left"/>
              <w:rPr>
                <w:b/>
                <w:sz w:val="24"/>
              </w:rPr>
            </w:pPr>
            <w:r>
              <w:rPr>
                <w:b/>
                <w:color w:val="231F20"/>
                <w:sz w:val="24"/>
              </w:rPr>
              <w:t>Total</w:t>
            </w:r>
            <w:r>
              <w:rPr>
                <w:b/>
                <w:color w:val="231F20"/>
                <w:spacing w:val="-13"/>
                <w:sz w:val="24"/>
              </w:rPr>
              <w:t xml:space="preserve"> </w:t>
            </w:r>
            <w:r>
              <w:rPr>
                <w:b/>
                <w:color w:val="231F20"/>
                <w:sz w:val="24"/>
              </w:rPr>
              <w:t>Financial</w:t>
            </w:r>
            <w:r>
              <w:rPr>
                <w:b/>
                <w:color w:val="231F20"/>
                <w:spacing w:val="-16"/>
                <w:sz w:val="24"/>
              </w:rPr>
              <w:t xml:space="preserve"> </w:t>
            </w:r>
            <w:r>
              <w:rPr>
                <w:b/>
                <w:color w:val="231F20"/>
                <w:spacing w:val="-2"/>
                <w:sz w:val="24"/>
              </w:rPr>
              <w:t>Assets</w:t>
            </w:r>
          </w:p>
        </w:tc>
        <w:tc>
          <w:tcPr>
            <w:tcW w:w="851" w:type="dxa"/>
            <w:tcBorders>
              <w:top w:val="single" w:sz="4" w:space="0" w:color="231F20"/>
              <w:left w:val="single" w:sz="2" w:space="0" w:color="939598"/>
              <w:bottom w:val="single" w:sz="4" w:space="0" w:color="231F20"/>
              <w:right w:val="single" w:sz="2" w:space="0" w:color="939598"/>
            </w:tcBorders>
          </w:tcPr>
          <w:p w14:paraId="1551CD3A"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bottom w:val="single" w:sz="4" w:space="0" w:color="231F20"/>
              <w:right w:val="single" w:sz="2" w:space="0" w:color="939598"/>
            </w:tcBorders>
            <w:shd w:val="clear" w:color="auto" w:fill="E6E7E8"/>
          </w:tcPr>
          <w:p w14:paraId="7E3AD7D9"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bottom w:val="single" w:sz="4" w:space="0" w:color="231F20"/>
              <w:right w:val="single" w:sz="2" w:space="0" w:color="939598"/>
            </w:tcBorders>
            <w:shd w:val="clear" w:color="auto" w:fill="E6E7E8"/>
          </w:tcPr>
          <w:p w14:paraId="32779F5C" w14:textId="77777777" w:rsidR="00345EE3" w:rsidRDefault="00345EE3" w:rsidP="00D73130">
            <w:pPr>
              <w:pStyle w:val="TableParagraph"/>
              <w:spacing w:before="58"/>
              <w:ind w:right="1"/>
              <w:rPr>
                <w:b/>
                <w:sz w:val="24"/>
              </w:rPr>
            </w:pPr>
            <w:r>
              <w:rPr>
                <w:b/>
                <w:color w:val="231F20"/>
                <w:spacing w:val="-2"/>
                <w:sz w:val="24"/>
              </w:rPr>
              <w:t>74,207</w:t>
            </w:r>
          </w:p>
        </w:tc>
        <w:tc>
          <w:tcPr>
            <w:tcW w:w="1134" w:type="dxa"/>
            <w:tcBorders>
              <w:top w:val="single" w:sz="4" w:space="0" w:color="231F20"/>
              <w:left w:val="single" w:sz="2" w:space="0" w:color="939598"/>
              <w:bottom w:val="single" w:sz="4" w:space="0" w:color="231F20"/>
              <w:right w:val="single" w:sz="2" w:space="0" w:color="939598"/>
            </w:tcBorders>
            <w:shd w:val="clear" w:color="auto" w:fill="E6E7E8"/>
          </w:tcPr>
          <w:p w14:paraId="32296C42" w14:textId="77777777" w:rsidR="00345EE3" w:rsidRDefault="00345EE3" w:rsidP="00D73130">
            <w:pPr>
              <w:pStyle w:val="TableParagraph"/>
              <w:spacing w:before="58"/>
              <w:ind w:right="1"/>
              <w:rPr>
                <w:b/>
                <w:sz w:val="24"/>
              </w:rPr>
            </w:pPr>
            <w:r>
              <w:rPr>
                <w:b/>
                <w:color w:val="231F20"/>
                <w:sz w:val="24"/>
              </w:rPr>
              <w:t>-</w:t>
            </w:r>
          </w:p>
        </w:tc>
        <w:tc>
          <w:tcPr>
            <w:tcW w:w="1134" w:type="dxa"/>
            <w:tcBorders>
              <w:top w:val="single" w:sz="4" w:space="0" w:color="231F20"/>
              <w:left w:val="single" w:sz="2" w:space="0" w:color="939598"/>
              <w:bottom w:val="single" w:sz="4" w:space="0" w:color="231F20"/>
              <w:right w:val="single" w:sz="2" w:space="0" w:color="939598"/>
            </w:tcBorders>
            <w:shd w:val="clear" w:color="auto" w:fill="E6E7E8"/>
          </w:tcPr>
          <w:p w14:paraId="7A2ADFAA" w14:textId="77777777" w:rsidR="00345EE3" w:rsidRDefault="00345EE3" w:rsidP="00D73130">
            <w:pPr>
              <w:pStyle w:val="TableParagraph"/>
              <w:spacing w:before="58"/>
              <w:ind w:right="1"/>
              <w:rPr>
                <w:b/>
                <w:sz w:val="24"/>
              </w:rPr>
            </w:pPr>
            <w:r>
              <w:rPr>
                <w:b/>
                <w:color w:val="231F20"/>
                <w:spacing w:val="-2"/>
                <w:sz w:val="24"/>
              </w:rPr>
              <w:t>3,540</w:t>
            </w:r>
          </w:p>
        </w:tc>
        <w:tc>
          <w:tcPr>
            <w:tcW w:w="1420" w:type="dxa"/>
            <w:tcBorders>
              <w:top w:val="single" w:sz="4" w:space="0" w:color="231F20"/>
              <w:left w:val="single" w:sz="2" w:space="0" w:color="939598"/>
              <w:bottom w:val="single" w:sz="4" w:space="0" w:color="231F20"/>
              <w:right w:val="nil"/>
            </w:tcBorders>
            <w:shd w:val="clear" w:color="auto" w:fill="E6E7E8"/>
          </w:tcPr>
          <w:p w14:paraId="59D365BB" w14:textId="77777777" w:rsidR="00345EE3" w:rsidRDefault="00345EE3" w:rsidP="00D73130">
            <w:pPr>
              <w:pStyle w:val="TableParagraph"/>
              <w:spacing w:before="58"/>
              <w:rPr>
                <w:b/>
                <w:sz w:val="24"/>
              </w:rPr>
            </w:pPr>
            <w:r>
              <w:rPr>
                <w:b/>
                <w:color w:val="231F20"/>
                <w:spacing w:val="-2"/>
                <w:sz w:val="24"/>
              </w:rPr>
              <w:t>70,667</w:t>
            </w:r>
          </w:p>
        </w:tc>
      </w:tr>
      <w:tr w:rsidR="00345EE3" w14:paraId="1BFA6AAC" w14:textId="77777777" w:rsidTr="00D73130">
        <w:trPr>
          <w:trHeight w:val="393"/>
        </w:trPr>
        <w:tc>
          <w:tcPr>
            <w:tcW w:w="3402" w:type="dxa"/>
            <w:tcBorders>
              <w:top w:val="single" w:sz="4" w:space="0" w:color="231F20"/>
              <w:left w:val="nil"/>
              <w:bottom w:val="single" w:sz="2" w:space="0" w:color="939598"/>
              <w:right w:val="single" w:sz="2" w:space="0" w:color="939598"/>
            </w:tcBorders>
          </w:tcPr>
          <w:p w14:paraId="006BEDCB" w14:textId="77777777" w:rsidR="00345EE3" w:rsidRDefault="00345EE3" w:rsidP="00D73130">
            <w:pPr>
              <w:pStyle w:val="TableParagraph"/>
              <w:spacing w:before="58"/>
              <w:ind w:left="-3"/>
              <w:jc w:val="left"/>
              <w:rPr>
                <w:b/>
                <w:sz w:val="24"/>
              </w:rPr>
            </w:pPr>
            <w:r>
              <w:rPr>
                <w:b/>
                <w:color w:val="231F20"/>
                <w:sz w:val="24"/>
              </w:rPr>
              <w:t xml:space="preserve">Financial </w:t>
            </w:r>
            <w:r>
              <w:rPr>
                <w:b/>
                <w:color w:val="231F20"/>
                <w:spacing w:val="-2"/>
                <w:sz w:val="24"/>
              </w:rPr>
              <w:t>Liabilities</w:t>
            </w:r>
          </w:p>
        </w:tc>
        <w:tc>
          <w:tcPr>
            <w:tcW w:w="851" w:type="dxa"/>
            <w:tcBorders>
              <w:top w:val="single" w:sz="4" w:space="0" w:color="231F20"/>
              <w:left w:val="single" w:sz="2" w:space="0" w:color="939598"/>
              <w:bottom w:val="single" w:sz="2" w:space="0" w:color="939598"/>
              <w:right w:val="single" w:sz="2" w:space="0" w:color="939598"/>
            </w:tcBorders>
          </w:tcPr>
          <w:p w14:paraId="478E2770"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bottom w:val="single" w:sz="2" w:space="0" w:color="939598"/>
              <w:right w:val="single" w:sz="2" w:space="0" w:color="939598"/>
            </w:tcBorders>
            <w:shd w:val="clear" w:color="auto" w:fill="E6E7E8"/>
          </w:tcPr>
          <w:p w14:paraId="338BD15A"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bottom w:val="single" w:sz="2" w:space="0" w:color="939598"/>
              <w:right w:val="single" w:sz="2" w:space="0" w:color="939598"/>
            </w:tcBorders>
            <w:shd w:val="clear" w:color="auto" w:fill="E6E7E8"/>
          </w:tcPr>
          <w:p w14:paraId="15EB2A96"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bottom w:val="single" w:sz="2" w:space="0" w:color="939598"/>
              <w:right w:val="single" w:sz="2" w:space="0" w:color="939598"/>
            </w:tcBorders>
            <w:shd w:val="clear" w:color="auto" w:fill="E6E7E8"/>
          </w:tcPr>
          <w:p w14:paraId="79CD7B81"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bottom w:val="single" w:sz="2" w:space="0" w:color="939598"/>
              <w:right w:val="single" w:sz="2" w:space="0" w:color="939598"/>
            </w:tcBorders>
            <w:shd w:val="clear" w:color="auto" w:fill="E6E7E8"/>
          </w:tcPr>
          <w:p w14:paraId="5B07FAD9" w14:textId="77777777" w:rsidR="00345EE3" w:rsidRDefault="00345EE3" w:rsidP="00D73130">
            <w:pPr>
              <w:pStyle w:val="TableParagraph"/>
              <w:spacing w:before="0"/>
              <w:jc w:val="left"/>
              <w:rPr>
                <w:rFonts w:ascii="Times New Roman"/>
              </w:rPr>
            </w:pPr>
          </w:p>
        </w:tc>
        <w:tc>
          <w:tcPr>
            <w:tcW w:w="1420" w:type="dxa"/>
            <w:tcBorders>
              <w:top w:val="single" w:sz="4" w:space="0" w:color="231F20"/>
              <w:left w:val="single" w:sz="2" w:space="0" w:color="939598"/>
              <w:bottom w:val="single" w:sz="2" w:space="0" w:color="939598"/>
              <w:right w:val="nil"/>
            </w:tcBorders>
            <w:shd w:val="clear" w:color="auto" w:fill="E6E7E8"/>
          </w:tcPr>
          <w:p w14:paraId="5C2F41C1" w14:textId="77777777" w:rsidR="00345EE3" w:rsidRDefault="00345EE3" w:rsidP="00D73130">
            <w:pPr>
              <w:pStyle w:val="TableParagraph"/>
              <w:spacing w:before="0"/>
              <w:jc w:val="left"/>
              <w:rPr>
                <w:rFonts w:ascii="Times New Roman"/>
              </w:rPr>
            </w:pPr>
          </w:p>
        </w:tc>
      </w:tr>
      <w:tr w:rsidR="00345EE3" w14:paraId="0A35550F"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70DB0EFD" w14:textId="77777777" w:rsidR="00345EE3" w:rsidRDefault="00345EE3" w:rsidP="00D73130">
            <w:pPr>
              <w:pStyle w:val="TableParagraph"/>
              <w:ind w:left="-3"/>
              <w:jc w:val="left"/>
              <w:rPr>
                <w:sz w:val="14"/>
              </w:rPr>
            </w:pPr>
            <w:r>
              <w:rPr>
                <w:color w:val="231F20"/>
                <w:sz w:val="24"/>
              </w:rPr>
              <w:t>Payables</w:t>
            </w:r>
            <w:r>
              <w:rPr>
                <w:color w:val="231F20"/>
                <w:spacing w:val="-28"/>
                <w:sz w:val="24"/>
              </w:rPr>
              <w:t xml:space="preserve"> </w:t>
            </w:r>
            <w:r>
              <w:rPr>
                <w:color w:val="231F20"/>
                <w:spacing w:val="-5"/>
                <w:position w:val="8"/>
                <w:sz w:val="14"/>
              </w:rPr>
              <w:t>(a)</w:t>
            </w:r>
          </w:p>
        </w:tc>
        <w:tc>
          <w:tcPr>
            <w:tcW w:w="851" w:type="dxa"/>
            <w:tcBorders>
              <w:top w:val="single" w:sz="2" w:space="0" w:color="939598"/>
              <w:left w:val="single" w:sz="2" w:space="0" w:color="939598"/>
              <w:bottom w:val="single" w:sz="2" w:space="0" w:color="939598"/>
              <w:right w:val="single" w:sz="2" w:space="0" w:color="939598"/>
            </w:tcBorders>
          </w:tcPr>
          <w:p w14:paraId="1EDAFD31"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52300F40"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18C5EAE9"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7BD1AC41"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35CA41FC" w14:textId="77777777" w:rsidR="00345EE3" w:rsidRDefault="00345EE3" w:rsidP="00D73130">
            <w:pPr>
              <w:pStyle w:val="TableParagraph"/>
              <w:spacing w:before="0"/>
              <w:jc w:val="left"/>
              <w:rPr>
                <w:rFonts w:ascii="Times New Roman"/>
              </w:rPr>
            </w:pPr>
          </w:p>
        </w:tc>
        <w:tc>
          <w:tcPr>
            <w:tcW w:w="1420" w:type="dxa"/>
            <w:tcBorders>
              <w:top w:val="single" w:sz="2" w:space="0" w:color="939598"/>
              <w:left w:val="single" w:sz="2" w:space="0" w:color="939598"/>
              <w:bottom w:val="single" w:sz="2" w:space="0" w:color="939598"/>
              <w:right w:val="nil"/>
            </w:tcBorders>
            <w:shd w:val="clear" w:color="auto" w:fill="E6E7E8"/>
          </w:tcPr>
          <w:p w14:paraId="2B522A81" w14:textId="77777777" w:rsidR="00345EE3" w:rsidRDefault="00345EE3" w:rsidP="00D73130">
            <w:pPr>
              <w:pStyle w:val="TableParagraph"/>
              <w:spacing w:before="0"/>
              <w:jc w:val="left"/>
              <w:rPr>
                <w:rFonts w:ascii="Times New Roman"/>
              </w:rPr>
            </w:pPr>
          </w:p>
        </w:tc>
      </w:tr>
      <w:tr w:rsidR="00345EE3" w14:paraId="540C389A"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3B0CCAC9" w14:textId="77777777" w:rsidR="00345EE3" w:rsidRDefault="00345EE3" w:rsidP="00D73130">
            <w:pPr>
              <w:pStyle w:val="TableParagraph"/>
              <w:ind w:left="167"/>
              <w:jc w:val="left"/>
              <w:rPr>
                <w:sz w:val="24"/>
              </w:rPr>
            </w:pPr>
            <w:r>
              <w:rPr>
                <w:color w:val="231F20"/>
                <w:sz w:val="24"/>
              </w:rPr>
              <w:t>Supplies</w:t>
            </w:r>
            <w:r>
              <w:rPr>
                <w:color w:val="231F20"/>
                <w:spacing w:val="-3"/>
                <w:sz w:val="24"/>
              </w:rPr>
              <w:t xml:space="preserve"> </w:t>
            </w:r>
            <w:r>
              <w:rPr>
                <w:color w:val="231F20"/>
                <w:sz w:val="24"/>
              </w:rPr>
              <w:t>and</w:t>
            </w:r>
            <w:r>
              <w:rPr>
                <w:color w:val="231F20"/>
                <w:spacing w:val="-2"/>
                <w:sz w:val="24"/>
              </w:rPr>
              <w:t xml:space="preserve"> services</w:t>
            </w:r>
          </w:p>
        </w:tc>
        <w:tc>
          <w:tcPr>
            <w:tcW w:w="851" w:type="dxa"/>
            <w:tcBorders>
              <w:top w:val="single" w:sz="2" w:space="0" w:color="939598"/>
              <w:left w:val="single" w:sz="2" w:space="0" w:color="939598"/>
              <w:bottom w:val="single" w:sz="2" w:space="0" w:color="939598"/>
              <w:right w:val="single" w:sz="2" w:space="0" w:color="939598"/>
            </w:tcBorders>
          </w:tcPr>
          <w:p w14:paraId="74CC4C8B" w14:textId="77777777" w:rsidR="00345EE3" w:rsidRDefault="00345EE3" w:rsidP="00D73130">
            <w:pPr>
              <w:pStyle w:val="TableParagraph"/>
              <w:ind w:right="1"/>
              <w:rPr>
                <w:sz w:val="24"/>
              </w:rPr>
            </w:pPr>
            <w:r>
              <w:rPr>
                <w:color w:val="231F20"/>
                <w:spacing w:val="-5"/>
                <w:sz w:val="24"/>
              </w:rPr>
              <w:t>6.3</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5CA1744B"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38F74E91" w14:textId="77777777" w:rsidR="00345EE3" w:rsidRDefault="00345EE3" w:rsidP="00D73130">
            <w:pPr>
              <w:pStyle w:val="TableParagraph"/>
              <w:ind w:right="2"/>
              <w:rPr>
                <w:sz w:val="24"/>
              </w:rPr>
            </w:pPr>
            <w:r>
              <w:rPr>
                <w:color w:val="231F20"/>
                <w:spacing w:val="-2"/>
                <w:sz w:val="24"/>
              </w:rPr>
              <w:t>85,677</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028DEB0B"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197EBAB9" w14:textId="77777777" w:rsidR="00345EE3" w:rsidRDefault="00345EE3" w:rsidP="00D73130">
            <w:pPr>
              <w:pStyle w:val="TableParagraph"/>
              <w:ind w:right="1"/>
              <w:rPr>
                <w:sz w:val="24"/>
              </w:rPr>
            </w:pPr>
            <w:r>
              <w:rPr>
                <w:color w:val="231F20"/>
                <w:sz w:val="24"/>
              </w:rPr>
              <w:t>-</w:t>
            </w:r>
          </w:p>
        </w:tc>
        <w:tc>
          <w:tcPr>
            <w:tcW w:w="1420" w:type="dxa"/>
            <w:tcBorders>
              <w:top w:val="single" w:sz="2" w:space="0" w:color="939598"/>
              <w:left w:val="single" w:sz="2" w:space="0" w:color="939598"/>
              <w:bottom w:val="single" w:sz="2" w:space="0" w:color="939598"/>
              <w:right w:val="nil"/>
            </w:tcBorders>
            <w:shd w:val="clear" w:color="auto" w:fill="E6E7E8"/>
          </w:tcPr>
          <w:p w14:paraId="2DCE07C1" w14:textId="77777777" w:rsidR="00345EE3" w:rsidRDefault="00345EE3" w:rsidP="00D73130">
            <w:pPr>
              <w:pStyle w:val="TableParagraph"/>
              <w:ind w:right="2"/>
              <w:rPr>
                <w:sz w:val="24"/>
              </w:rPr>
            </w:pPr>
            <w:r>
              <w:rPr>
                <w:color w:val="231F20"/>
                <w:spacing w:val="-2"/>
                <w:sz w:val="24"/>
              </w:rPr>
              <w:t>85,677</w:t>
            </w:r>
          </w:p>
        </w:tc>
      </w:tr>
      <w:tr w:rsidR="00345EE3" w14:paraId="70FBD195" w14:textId="77777777" w:rsidTr="00D73130">
        <w:trPr>
          <w:trHeight w:val="676"/>
        </w:trPr>
        <w:tc>
          <w:tcPr>
            <w:tcW w:w="3402" w:type="dxa"/>
            <w:tcBorders>
              <w:top w:val="single" w:sz="2" w:space="0" w:color="939598"/>
              <w:left w:val="nil"/>
              <w:bottom w:val="single" w:sz="2" w:space="0" w:color="939598"/>
              <w:right w:val="single" w:sz="2" w:space="0" w:color="939598"/>
            </w:tcBorders>
          </w:tcPr>
          <w:p w14:paraId="73E43C57" w14:textId="77777777" w:rsidR="00345EE3" w:rsidRDefault="00345EE3" w:rsidP="00D73130">
            <w:pPr>
              <w:pStyle w:val="TableParagraph"/>
              <w:spacing w:line="242" w:lineRule="auto"/>
              <w:ind w:left="167"/>
              <w:jc w:val="left"/>
              <w:rPr>
                <w:sz w:val="24"/>
              </w:rPr>
            </w:pPr>
            <w:r>
              <w:rPr>
                <w:color w:val="231F20"/>
                <w:sz w:val="24"/>
              </w:rPr>
              <w:t>Amounts payable to government</w:t>
            </w:r>
            <w:r>
              <w:rPr>
                <w:color w:val="231F20"/>
                <w:spacing w:val="-17"/>
                <w:sz w:val="24"/>
              </w:rPr>
              <w:t xml:space="preserve"> </w:t>
            </w:r>
            <w:r>
              <w:rPr>
                <w:color w:val="231F20"/>
                <w:sz w:val="24"/>
              </w:rPr>
              <w:t>and</w:t>
            </w:r>
            <w:r>
              <w:rPr>
                <w:color w:val="231F20"/>
                <w:spacing w:val="-17"/>
                <w:sz w:val="24"/>
              </w:rPr>
              <w:t xml:space="preserve"> </w:t>
            </w:r>
            <w:r>
              <w:rPr>
                <w:color w:val="231F20"/>
                <w:sz w:val="24"/>
              </w:rPr>
              <w:t>agencies</w:t>
            </w:r>
          </w:p>
        </w:tc>
        <w:tc>
          <w:tcPr>
            <w:tcW w:w="851" w:type="dxa"/>
            <w:tcBorders>
              <w:top w:val="single" w:sz="2" w:space="0" w:color="939598"/>
              <w:left w:val="single" w:sz="2" w:space="0" w:color="939598"/>
              <w:bottom w:val="single" w:sz="2" w:space="0" w:color="939598"/>
              <w:right w:val="single" w:sz="2" w:space="0" w:color="939598"/>
            </w:tcBorders>
          </w:tcPr>
          <w:p w14:paraId="15EBD1FD" w14:textId="77777777" w:rsidR="00345EE3" w:rsidRDefault="00345EE3" w:rsidP="00D73130">
            <w:pPr>
              <w:pStyle w:val="TableParagraph"/>
              <w:ind w:right="1"/>
              <w:rPr>
                <w:sz w:val="24"/>
              </w:rPr>
            </w:pPr>
            <w:r>
              <w:rPr>
                <w:color w:val="231F20"/>
                <w:spacing w:val="-5"/>
                <w:sz w:val="24"/>
              </w:rPr>
              <w:t>6.3</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12E39E78"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14326FA"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83B264D"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20393DE1" w14:textId="77777777" w:rsidR="00345EE3" w:rsidRDefault="00345EE3" w:rsidP="00D73130">
            <w:pPr>
              <w:pStyle w:val="TableParagraph"/>
              <w:rPr>
                <w:sz w:val="24"/>
              </w:rPr>
            </w:pPr>
            <w:r>
              <w:rPr>
                <w:color w:val="231F20"/>
                <w:sz w:val="24"/>
              </w:rPr>
              <w:t>-</w:t>
            </w:r>
          </w:p>
        </w:tc>
        <w:tc>
          <w:tcPr>
            <w:tcW w:w="1420" w:type="dxa"/>
            <w:tcBorders>
              <w:top w:val="single" w:sz="2" w:space="0" w:color="939598"/>
              <w:left w:val="single" w:sz="2" w:space="0" w:color="939598"/>
              <w:bottom w:val="single" w:sz="2" w:space="0" w:color="939598"/>
              <w:right w:val="nil"/>
            </w:tcBorders>
            <w:shd w:val="clear" w:color="auto" w:fill="E6E7E8"/>
          </w:tcPr>
          <w:p w14:paraId="4F07956A" w14:textId="77777777" w:rsidR="00345EE3" w:rsidRDefault="00345EE3" w:rsidP="00D73130">
            <w:pPr>
              <w:pStyle w:val="TableParagraph"/>
              <w:rPr>
                <w:sz w:val="24"/>
              </w:rPr>
            </w:pPr>
            <w:r>
              <w:rPr>
                <w:color w:val="231F20"/>
                <w:sz w:val="24"/>
              </w:rPr>
              <w:t>-</w:t>
            </w:r>
          </w:p>
        </w:tc>
      </w:tr>
      <w:tr w:rsidR="00345EE3" w14:paraId="4440E34B"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07A42550" w14:textId="77777777" w:rsidR="00345EE3" w:rsidRDefault="00345EE3" w:rsidP="00D73130">
            <w:pPr>
              <w:pStyle w:val="TableParagraph"/>
              <w:ind w:left="167"/>
              <w:jc w:val="left"/>
              <w:rPr>
                <w:sz w:val="24"/>
              </w:rPr>
            </w:pPr>
            <w:r>
              <w:rPr>
                <w:color w:val="231F20"/>
                <w:sz w:val="24"/>
              </w:rPr>
              <w:t xml:space="preserve">Other </w:t>
            </w:r>
            <w:r>
              <w:rPr>
                <w:color w:val="231F20"/>
                <w:spacing w:val="-2"/>
                <w:sz w:val="24"/>
              </w:rPr>
              <w:t>payables</w:t>
            </w:r>
          </w:p>
        </w:tc>
        <w:tc>
          <w:tcPr>
            <w:tcW w:w="851" w:type="dxa"/>
            <w:tcBorders>
              <w:top w:val="single" w:sz="2" w:space="0" w:color="939598"/>
              <w:left w:val="single" w:sz="2" w:space="0" w:color="939598"/>
              <w:bottom w:val="single" w:sz="2" w:space="0" w:color="939598"/>
              <w:right w:val="single" w:sz="2" w:space="0" w:color="939598"/>
            </w:tcBorders>
          </w:tcPr>
          <w:p w14:paraId="3F381BFE" w14:textId="77777777" w:rsidR="00345EE3" w:rsidRDefault="00345EE3" w:rsidP="00D73130">
            <w:pPr>
              <w:pStyle w:val="TableParagraph"/>
              <w:ind w:right="2"/>
              <w:rPr>
                <w:sz w:val="24"/>
              </w:rPr>
            </w:pPr>
            <w:r>
              <w:rPr>
                <w:color w:val="231F20"/>
                <w:spacing w:val="-5"/>
                <w:sz w:val="24"/>
              </w:rPr>
              <w:t>6.3</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6696C65F"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1452851" w14:textId="77777777" w:rsidR="00345EE3" w:rsidRDefault="00345EE3" w:rsidP="00D73130">
            <w:pPr>
              <w:pStyle w:val="TableParagraph"/>
              <w:ind w:right="2"/>
              <w:rPr>
                <w:sz w:val="24"/>
              </w:rPr>
            </w:pPr>
            <w:r>
              <w:rPr>
                <w:color w:val="231F20"/>
                <w:spacing w:val="-2"/>
                <w:sz w:val="24"/>
              </w:rPr>
              <w:t>1,493</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1528844B"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E67F50E" w14:textId="77777777" w:rsidR="00345EE3" w:rsidRDefault="00345EE3" w:rsidP="00D73130">
            <w:pPr>
              <w:pStyle w:val="TableParagraph"/>
              <w:rPr>
                <w:sz w:val="24"/>
              </w:rPr>
            </w:pPr>
            <w:r>
              <w:rPr>
                <w:color w:val="231F20"/>
                <w:sz w:val="24"/>
              </w:rPr>
              <w:t>-</w:t>
            </w:r>
          </w:p>
        </w:tc>
        <w:tc>
          <w:tcPr>
            <w:tcW w:w="1420" w:type="dxa"/>
            <w:tcBorders>
              <w:top w:val="single" w:sz="2" w:space="0" w:color="939598"/>
              <w:left w:val="single" w:sz="2" w:space="0" w:color="939598"/>
              <w:bottom w:val="single" w:sz="2" w:space="0" w:color="939598"/>
              <w:right w:val="nil"/>
            </w:tcBorders>
            <w:shd w:val="clear" w:color="auto" w:fill="E6E7E8"/>
          </w:tcPr>
          <w:p w14:paraId="053102B1" w14:textId="77777777" w:rsidR="00345EE3" w:rsidRDefault="00345EE3" w:rsidP="00D73130">
            <w:pPr>
              <w:pStyle w:val="TableParagraph"/>
              <w:ind w:right="2"/>
              <w:rPr>
                <w:sz w:val="24"/>
              </w:rPr>
            </w:pPr>
            <w:r>
              <w:rPr>
                <w:color w:val="231F20"/>
                <w:spacing w:val="-2"/>
                <w:sz w:val="24"/>
              </w:rPr>
              <w:t>1,493</w:t>
            </w:r>
          </w:p>
        </w:tc>
      </w:tr>
      <w:tr w:rsidR="00345EE3" w14:paraId="11ED810F"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085C876C" w14:textId="77777777" w:rsidR="00345EE3" w:rsidRDefault="00345EE3" w:rsidP="00D73130">
            <w:pPr>
              <w:pStyle w:val="TableParagraph"/>
              <w:ind w:left="-3"/>
              <w:jc w:val="left"/>
              <w:rPr>
                <w:b/>
                <w:sz w:val="24"/>
              </w:rPr>
            </w:pPr>
            <w:r>
              <w:rPr>
                <w:b/>
                <w:color w:val="231F20"/>
                <w:spacing w:val="-2"/>
                <w:sz w:val="24"/>
              </w:rPr>
              <w:t>Borrowings</w:t>
            </w:r>
          </w:p>
        </w:tc>
        <w:tc>
          <w:tcPr>
            <w:tcW w:w="851" w:type="dxa"/>
            <w:tcBorders>
              <w:top w:val="single" w:sz="2" w:space="0" w:color="939598"/>
              <w:left w:val="single" w:sz="2" w:space="0" w:color="939598"/>
              <w:bottom w:val="single" w:sz="2" w:space="0" w:color="939598"/>
              <w:right w:val="single" w:sz="2" w:space="0" w:color="939598"/>
            </w:tcBorders>
          </w:tcPr>
          <w:p w14:paraId="60C3DF2C"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555589E1"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D974FFC"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0E448D2"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10CA64B4" w14:textId="77777777" w:rsidR="00345EE3" w:rsidRDefault="00345EE3" w:rsidP="00D73130">
            <w:pPr>
              <w:pStyle w:val="TableParagraph"/>
              <w:spacing w:before="0"/>
              <w:jc w:val="left"/>
              <w:rPr>
                <w:rFonts w:ascii="Times New Roman"/>
              </w:rPr>
            </w:pPr>
          </w:p>
        </w:tc>
        <w:tc>
          <w:tcPr>
            <w:tcW w:w="1420" w:type="dxa"/>
            <w:tcBorders>
              <w:top w:val="single" w:sz="2" w:space="0" w:color="939598"/>
              <w:left w:val="single" w:sz="2" w:space="0" w:color="939598"/>
              <w:bottom w:val="single" w:sz="2" w:space="0" w:color="939598"/>
              <w:right w:val="nil"/>
            </w:tcBorders>
            <w:shd w:val="clear" w:color="auto" w:fill="E6E7E8"/>
          </w:tcPr>
          <w:p w14:paraId="3F85FAA6" w14:textId="77777777" w:rsidR="00345EE3" w:rsidRDefault="00345EE3" w:rsidP="00D73130">
            <w:pPr>
              <w:pStyle w:val="TableParagraph"/>
              <w:spacing w:before="0"/>
              <w:jc w:val="left"/>
              <w:rPr>
                <w:rFonts w:ascii="Times New Roman"/>
              </w:rPr>
            </w:pPr>
          </w:p>
        </w:tc>
      </w:tr>
      <w:tr w:rsidR="00345EE3" w14:paraId="40D7459E" w14:textId="77777777" w:rsidTr="00D73130">
        <w:trPr>
          <w:trHeight w:val="394"/>
        </w:trPr>
        <w:tc>
          <w:tcPr>
            <w:tcW w:w="3402" w:type="dxa"/>
            <w:tcBorders>
              <w:top w:val="single" w:sz="2" w:space="0" w:color="939598"/>
              <w:left w:val="nil"/>
              <w:bottom w:val="single" w:sz="4" w:space="0" w:color="231F20"/>
              <w:right w:val="single" w:sz="2" w:space="0" w:color="939598"/>
            </w:tcBorders>
          </w:tcPr>
          <w:p w14:paraId="5F7CCC40" w14:textId="77777777" w:rsidR="00345EE3" w:rsidRDefault="00345EE3" w:rsidP="00D73130">
            <w:pPr>
              <w:pStyle w:val="TableParagraph"/>
              <w:ind w:left="167"/>
              <w:jc w:val="left"/>
              <w:rPr>
                <w:sz w:val="24"/>
              </w:rPr>
            </w:pPr>
            <w:r>
              <w:rPr>
                <w:color w:val="231F20"/>
                <w:sz w:val="24"/>
              </w:rPr>
              <w:t>Lease</w:t>
            </w:r>
            <w:r>
              <w:rPr>
                <w:color w:val="231F20"/>
                <w:spacing w:val="-5"/>
                <w:sz w:val="24"/>
              </w:rPr>
              <w:t xml:space="preserve"> </w:t>
            </w:r>
            <w:r>
              <w:rPr>
                <w:color w:val="231F20"/>
                <w:spacing w:val="-2"/>
                <w:sz w:val="24"/>
              </w:rPr>
              <w:t>liabilities</w:t>
            </w:r>
          </w:p>
        </w:tc>
        <w:tc>
          <w:tcPr>
            <w:tcW w:w="851" w:type="dxa"/>
            <w:tcBorders>
              <w:top w:val="single" w:sz="2" w:space="0" w:color="939598"/>
              <w:left w:val="single" w:sz="2" w:space="0" w:color="939598"/>
              <w:bottom w:val="single" w:sz="4" w:space="0" w:color="231F20"/>
              <w:right w:val="single" w:sz="2" w:space="0" w:color="939598"/>
            </w:tcBorders>
          </w:tcPr>
          <w:p w14:paraId="51B4AF1B" w14:textId="77777777" w:rsidR="00345EE3" w:rsidRDefault="00345EE3" w:rsidP="00D73130">
            <w:pPr>
              <w:pStyle w:val="TableParagraph"/>
              <w:ind w:right="1"/>
              <w:rPr>
                <w:sz w:val="24"/>
              </w:rPr>
            </w:pPr>
            <w:r>
              <w:rPr>
                <w:color w:val="231F20"/>
                <w:spacing w:val="-5"/>
                <w:sz w:val="24"/>
              </w:rPr>
              <w:t>7.1</w:t>
            </w: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1BAE8251" w14:textId="77777777" w:rsidR="00345EE3" w:rsidRDefault="00345EE3" w:rsidP="00D73130">
            <w:pPr>
              <w:pStyle w:val="TableParagraph"/>
              <w:ind w:right="2"/>
              <w:rPr>
                <w:sz w:val="24"/>
              </w:rPr>
            </w:pPr>
            <w:r>
              <w:rPr>
                <w:color w:val="231F20"/>
                <w:spacing w:val="-2"/>
                <w:sz w:val="24"/>
              </w:rPr>
              <w:t>2.95%</w:t>
            </w: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10CA194C" w14:textId="77777777" w:rsidR="00345EE3" w:rsidRDefault="00345EE3" w:rsidP="00D73130">
            <w:pPr>
              <w:pStyle w:val="TableParagraph"/>
              <w:ind w:right="2"/>
              <w:rPr>
                <w:sz w:val="24"/>
              </w:rPr>
            </w:pPr>
            <w:r>
              <w:rPr>
                <w:color w:val="231F20"/>
                <w:spacing w:val="-2"/>
                <w:sz w:val="24"/>
              </w:rPr>
              <w:t>1,861,468</w:t>
            </w: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3439311B" w14:textId="77777777" w:rsidR="00345EE3" w:rsidRDefault="00345EE3" w:rsidP="00D73130">
            <w:pPr>
              <w:pStyle w:val="TableParagraph"/>
              <w:ind w:right="2"/>
              <w:rPr>
                <w:sz w:val="24"/>
              </w:rPr>
            </w:pPr>
            <w:r>
              <w:rPr>
                <w:color w:val="231F20"/>
                <w:spacing w:val="-2"/>
                <w:sz w:val="24"/>
              </w:rPr>
              <w:t>1,861,468</w:t>
            </w: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111DB101" w14:textId="77777777" w:rsidR="00345EE3" w:rsidRDefault="00345EE3" w:rsidP="00D73130">
            <w:pPr>
              <w:pStyle w:val="TableParagraph"/>
              <w:rPr>
                <w:sz w:val="24"/>
              </w:rPr>
            </w:pPr>
            <w:r>
              <w:rPr>
                <w:color w:val="231F20"/>
                <w:sz w:val="24"/>
              </w:rPr>
              <w:t>-</w:t>
            </w:r>
          </w:p>
        </w:tc>
        <w:tc>
          <w:tcPr>
            <w:tcW w:w="1420" w:type="dxa"/>
            <w:tcBorders>
              <w:top w:val="single" w:sz="2" w:space="0" w:color="939598"/>
              <w:left w:val="single" w:sz="2" w:space="0" w:color="939598"/>
              <w:bottom w:val="single" w:sz="4" w:space="0" w:color="231F20"/>
              <w:right w:val="nil"/>
            </w:tcBorders>
            <w:shd w:val="clear" w:color="auto" w:fill="E6E7E8"/>
          </w:tcPr>
          <w:p w14:paraId="3B1C1ED3" w14:textId="77777777" w:rsidR="00345EE3" w:rsidRDefault="00345EE3" w:rsidP="00D73130">
            <w:pPr>
              <w:pStyle w:val="TableParagraph"/>
              <w:rPr>
                <w:sz w:val="24"/>
              </w:rPr>
            </w:pPr>
            <w:r>
              <w:rPr>
                <w:color w:val="231F20"/>
                <w:sz w:val="24"/>
              </w:rPr>
              <w:t>-</w:t>
            </w:r>
          </w:p>
        </w:tc>
      </w:tr>
      <w:tr w:rsidR="00345EE3" w14:paraId="4D185091" w14:textId="77777777" w:rsidTr="00D73130">
        <w:trPr>
          <w:trHeight w:val="386"/>
        </w:trPr>
        <w:tc>
          <w:tcPr>
            <w:tcW w:w="3402" w:type="dxa"/>
            <w:tcBorders>
              <w:top w:val="single" w:sz="4" w:space="0" w:color="231F20"/>
              <w:left w:val="nil"/>
              <w:right w:val="single" w:sz="2" w:space="0" w:color="939598"/>
            </w:tcBorders>
          </w:tcPr>
          <w:p w14:paraId="1D968462" w14:textId="77777777" w:rsidR="00345EE3" w:rsidRDefault="00345EE3" w:rsidP="00D73130">
            <w:pPr>
              <w:pStyle w:val="TableParagraph"/>
              <w:spacing w:before="58"/>
              <w:ind w:left="-4"/>
              <w:jc w:val="left"/>
              <w:rPr>
                <w:b/>
                <w:sz w:val="24"/>
              </w:rPr>
            </w:pPr>
            <w:r>
              <w:rPr>
                <w:b/>
                <w:color w:val="231F20"/>
                <w:sz w:val="24"/>
              </w:rPr>
              <w:t>Total</w:t>
            </w:r>
            <w:r>
              <w:rPr>
                <w:b/>
                <w:color w:val="231F20"/>
                <w:spacing w:val="-11"/>
                <w:sz w:val="24"/>
              </w:rPr>
              <w:t xml:space="preserve"> </w:t>
            </w:r>
            <w:r>
              <w:rPr>
                <w:b/>
                <w:color w:val="231F20"/>
                <w:sz w:val="24"/>
              </w:rPr>
              <w:t>Financial</w:t>
            </w:r>
            <w:r>
              <w:rPr>
                <w:b/>
                <w:color w:val="231F20"/>
                <w:spacing w:val="-9"/>
                <w:sz w:val="24"/>
              </w:rPr>
              <w:t xml:space="preserve"> </w:t>
            </w:r>
            <w:r>
              <w:rPr>
                <w:b/>
                <w:color w:val="231F20"/>
                <w:spacing w:val="-2"/>
                <w:sz w:val="24"/>
              </w:rPr>
              <w:t>Liabilities</w:t>
            </w:r>
          </w:p>
        </w:tc>
        <w:tc>
          <w:tcPr>
            <w:tcW w:w="851" w:type="dxa"/>
            <w:tcBorders>
              <w:top w:val="single" w:sz="4" w:space="0" w:color="231F20"/>
              <w:left w:val="single" w:sz="2" w:space="0" w:color="939598"/>
              <w:right w:val="single" w:sz="2" w:space="0" w:color="939598"/>
            </w:tcBorders>
          </w:tcPr>
          <w:p w14:paraId="3261701B"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right w:val="single" w:sz="2" w:space="0" w:color="939598"/>
            </w:tcBorders>
            <w:shd w:val="clear" w:color="auto" w:fill="E6E7E8"/>
          </w:tcPr>
          <w:p w14:paraId="5F1680BE"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right w:val="single" w:sz="2" w:space="0" w:color="939598"/>
            </w:tcBorders>
            <w:shd w:val="clear" w:color="auto" w:fill="E6E7E8"/>
          </w:tcPr>
          <w:p w14:paraId="7D55D70E" w14:textId="77777777" w:rsidR="00345EE3" w:rsidRDefault="00345EE3" w:rsidP="00D73130">
            <w:pPr>
              <w:pStyle w:val="TableParagraph"/>
              <w:spacing w:before="58"/>
              <w:rPr>
                <w:b/>
                <w:sz w:val="24"/>
              </w:rPr>
            </w:pPr>
            <w:r>
              <w:rPr>
                <w:b/>
                <w:color w:val="231F20"/>
                <w:spacing w:val="-2"/>
                <w:sz w:val="24"/>
              </w:rPr>
              <w:t>1,948,638</w:t>
            </w:r>
          </w:p>
        </w:tc>
        <w:tc>
          <w:tcPr>
            <w:tcW w:w="1134" w:type="dxa"/>
            <w:tcBorders>
              <w:top w:val="single" w:sz="4" w:space="0" w:color="231F20"/>
              <w:left w:val="single" w:sz="2" w:space="0" w:color="939598"/>
              <w:right w:val="single" w:sz="2" w:space="0" w:color="939598"/>
            </w:tcBorders>
            <w:shd w:val="clear" w:color="auto" w:fill="E6E7E8"/>
          </w:tcPr>
          <w:p w14:paraId="612832B7" w14:textId="77777777" w:rsidR="00345EE3" w:rsidRDefault="00345EE3" w:rsidP="00D73130">
            <w:pPr>
              <w:pStyle w:val="TableParagraph"/>
              <w:spacing w:before="58"/>
              <w:rPr>
                <w:b/>
                <w:sz w:val="24"/>
              </w:rPr>
            </w:pPr>
            <w:r>
              <w:rPr>
                <w:b/>
                <w:color w:val="231F20"/>
                <w:spacing w:val="-2"/>
                <w:sz w:val="24"/>
              </w:rPr>
              <w:t>1,861,468</w:t>
            </w:r>
          </w:p>
        </w:tc>
        <w:tc>
          <w:tcPr>
            <w:tcW w:w="1134" w:type="dxa"/>
            <w:tcBorders>
              <w:top w:val="single" w:sz="4" w:space="0" w:color="231F20"/>
              <w:left w:val="single" w:sz="2" w:space="0" w:color="939598"/>
              <w:right w:val="single" w:sz="2" w:space="0" w:color="939598"/>
            </w:tcBorders>
            <w:shd w:val="clear" w:color="auto" w:fill="E6E7E8"/>
          </w:tcPr>
          <w:p w14:paraId="5E2E6F6B" w14:textId="77777777" w:rsidR="00345EE3" w:rsidRDefault="00345EE3" w:rsidP="00D73130">
            <w:pPr>
              <w:pStyle w:val="TableParagraph"/>
              <w:spacing w:before="58"/>
              <w:rPr>
                <w:b/>
                <w:sz w:val="24"/>
              </w:rPr>
            </w:pPr>
            <w:r>
              <w:rPr>
                <w:b/>
                <w:color w:val="231F20"/>
                <w:sz w:val="24"/>
              </w:rPr>
              <w:t>-</w:t>
            </w:r>
          </w:p>
        </w:tc>
        <w:tc>
          <w:tcPr>
            <w:tcW w:w="1420" w:type="dxa"/>
            <w:tcBorders>
              <w:top w:val="single" w:sz="4" w:space="0" w:color="231F20"/>
              <w:left w:val="single" w:sz="2" w:space="0" w:color="939598"/>
              <w:right w:val="nil"/>
            </w:tcBorders>
            <w:shd w:val="clear" w:color="auto" w:fill="E6E7E8"/>
          </w:tcPr>
          <w:p w14:paraId="36754D04" w14:textId="77777777" w:rsidR="00345EE3" w:rsidRDefault="00345EE3" w:rsidP="00D73130">
            <w:pPr>
              <w:pStyle w:val="TableParagraph"/>
              <w:spacing w:before="58"/>
              <w:ind w:right="1"/>
              <w:rPr>
                <w:b/>
                <w:sz w:val="24"/>
              </w:rPr>
            </w:pPr>
            <w:r>
              <w:rPr>
                <w:b/>
                <w:color w:val="231F20"/>
                <w:spacing w:val="-2"/>
                <w:sz w:val="24"/>
              </w:rPr>
              <w:t>87,170</w:t>
            </w:r>
          </w:p>
        </w:tc>
      </w:tr>
    </w:tbl>
    <w:p w14:paraId="38D7BAC5" w14:textId="77777777" w:rsidR="00345EE3" w:rsidRPr="00804409" w:rsidRDefault="00345EE3" w:rsidP="00345EE3">
      <w:pPr>
        <w:spacing w:before="83"/>
        <w:ind w:left="110"/>
        <w:rPr>
          <w:rFonts w:ascii="Arial-BoldItalicMT"/>
          <w:b/>
          <w:i/>
          <w:sz w:val="18"/>
          <w:szCs w:val="18"/>
        </w:rPr>
      </w:pPr>
      <w:r w:rsidRPr="00804409">
        <w:rPr>
          <w:rFonts w:ascii="Arial-BoldItalicMT"/>
          <w:b/>
          <w:i/>
          <w:color w:val="231F20"/>
          <w:spacing w:val="-2"/>
          <w:sz w:val="18"/>
          <w:szCs w:val="18"/>
        </w:rPr>
        <w:t>Note:</w:t>
      </w:r>
    </w:p>
    <w:p w14:paraId="4724E737" w14:textId="77777777" w:rsidR="00345EE3" w:rsidRPr="00804409" w:rsidRDefault="00345EE3" w:rsidP="00345EE3">
      <w:pPr>
        <w:spacing w:before="27"/>
        <w:ind w:left="337" w:right="327" w:hanging="227"/>
        <w:rPr>
          <w:sz w:val="18"/>
          <w:szCs w:val="18"/>
        </w:rPr>
      </w:pPr>
      <w:r w:rsidRPr="00804409">
        <w:rPr>
          <w:color w:val="231F20"/>
          <w:sz w:val="18"/>
          <w:szCs w:val="18"/>
        </w:rPr>
        <w:t>(a)</w:t>
      </w:r>
      <w:r w:rsidRPr="00804409">
        <w:rPr>
          <w:color w:val="231F20"/>
          <w:spacing w:val="29"/>
          <w:sz w:val="18"/>
          <w:szCs w:val="18"/>
        </w:rPr>
        <w:t xml:space="preserve"> </w:t>
      </w:r>
      <w:r w:rsidRPr="00804409">
        <w:rPr>
          <w:color w:val="231F20"/>
          <w:sz w:val="18"/>
          <w:szCs w:val="18"/>
        </w:rPr>
        <w:t>The</w:t>
      </w:r>
      <w:r w:rsidRPr="00804409">
        <w:rPr>
          <w:color w:val="231F20"/>
          <w:spacing w:val="-1"/>
          <w:sz w:val="18"/>
          <w:szCs w:val="18"/>
        </w:rPr>
        <w:t xml:space="preserve"> </w:t>
      </w:r>
      <w:r w:rsidRPr="00804409">
        <w:rPr>
          <w:color w:val="231F20"/>
          <w:sz w:val="18"/>
          <w:szCs w:val="18"/>
        </w:rPr>
        <w:t>total</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disclosed</w:t>
      </w:r>
      <w:r w:rsidRPr="00804409">
        <w:rPr>
          <w:color w:val="231F20"/>
          <w:spacing w:val="-1"/>
          <w:sz w:val="18"/>
          <w:szCs w:val="18"/>
        </w:rPr>
        <w:t xml:space="preserve"> </w:t>
      </w:r>
      <w:r w:rsidRPr="00804409">
        <w:rPr>
          <w:color w:val="231F20"/>
          <w:sz w:val="18"/>
          <w:szCs w:val="18"/>
        </w:rPr>
        <w:t>here</w:t>
      </w:r>
      <w:r w:rsidRPr="00804409">
        <w:rPr>
          <w:color w:val="231F20"/>
          <w:spacing w:val="-1"/>
          <w:sz w:val="18"/>
          <w:szCs w:val="18"/>
        </w:rPr>
        <w:t xml:space="preserve"> </w:t>
      </w:r>
      <w:r w:rsidRPr="00804409">
        <w:rPr>
          <w:color w:val="231F20"/>
          <w:sz w:val="18"/>
          <w:szCs w:val="18"/>
        </w:rPr>
        <w:t>exclude</w:t>
      </w:r>
      <w:r w:rsidRPr="00804409">
        <w:rPr>
          <w:color w:val="231F20"/>
          <w:spacing w:val="-1"/>
          <w:sz w:val="18"/>
          <w:szCs w:val="18"/>
        </w:rPr>
        <w:t xml:space="preserve"> </w:t>
      </w:r>
      <w:r w:rsidRPr="00804409">
        <w:rPr>
          <w:color w:val="231F20"/>
          <w:sz w:val="18"/>
          <w:szCs w:val="18"/>
        </w:rPr>
        <w:t>statutory</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(e.g.</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owing</w:t>
      </w:r>
      <w:r w:rsidRPr="00804409">
        <w:rPr>
          <w:color w:val="231F20"/>
          <w:spacing w:val="-1"/>
          <w:sz w:val="18"/>
          <w:szCs w:val="18"/>
        </w:rPr>
        <w:t xml:space="preserve"> </w:t>
      </w:r>
      <w:r w:rsidRPr="00804409">
        <w:rPr>
          <w:color w:val="231F20"/>
          <w:sz w:val="18"/>
          <w:szCs w:val="18"/>
        </w:rPr>
        <w:t>from</w:t>
      </w:r>
      <w:r w:rsidRPr="00804409">
        <w:rPr>
          <w:color w:val="231F20"/>
          <w:spacing w:val="-1"/>
          <w:sz w:val="18"/>
          <w:szCs w:val="18"/>
        </w:rPr>
        <w:t xml:space="preserve"> </w:t>
      </w:r>
      <w:r w:rsidRPr="00804409">
        <w:rPr>
          <w:color w:val="231F20"/>
          <w:sz w:val="18"/>
          <w:szCs w:val="18"/>
        </w:rPr>
        <w:t>the</w:t>
      </w:r>
      <w:r w:rsidRPr="00804409">
        <w:rPr>
          <w:color w:val="231F20"/>
          <w:spacing w:val="-1"/>
          <w:sz w:val="18"/>
          <w:szCs w:val="18"/>
        </w:rPr>
        <w:t xml:space="preserve"> </w:t>
      </w:r>
      <w:r w:rsidRPr="00804409">
        <w:rPr>
          <w:color w:val="231F20"/>
          <w:sz w:val="18"/>
          <w:szCs w:val="18"/>
        </w:rPr>
        <w:t>Department</w:t>
      </w:r>
      <w:r w:rsidRPr="00804409">
        <w:rPr>
          <w:color w:val="231F20"/>
          <w:spacing w:val="-1"/>
          <w:sz w:val="18"/>
          <w:szCs w:val="18"/>
        </w:rPr>
        <w:t xml:space="preserve"> </w:t>
      </w:r>
      <w:r w:rsidRPr="00804409">
        <w:rPr>
          <w:color w:val="231F20"/>
          <w:sz w:val="18"/>
          <w:szCs w:val="18"/>
        </w:rPr>
        <w:t>of</w:t>
      </w:r>
      <w:r w:rsidRPr="00804409">
        <w:rPr>
          <w:color w:val="231F20"/>
          <w:spacing w:val="-1"/>
          <w:sz w:val="18"/>
          <w:szCs w:val="18"/>
        </w:rPr>
        <w:t xml:space="preserve"> </w:t>
      </w:r>
      <w:r w:rsidRPr="00804409">
        <w:rPr>
          <w:color w:val="231F20"/>
          <w:sz w:val="18"/>
          <w:szCs w:val="18"/>
        </w:rPr>
        <w:t>Justice</w:t>
      </w:r>
      <w:r w:rsidRPr="00804409">
        <w:rPr>
          <w:color w:val="231F20"/>
          <w:spacing w:val="-1"/>
          <w:sz w:val="18"/>
          <w:szCs w:val="18"/>
        </w:rPr>
        <w:t xml:space="preserve"> </w:t>
      </w:r>
      <w:r w:rsidRPr="00804409">
        <w:rPr>
          <w:color w:val="231F20"/>
          <w:sz w:val="18"/>
          <w:szCs w:val="18"/>
        </w:rPr>
        <w:t>and</w:t>
      </w:r>
      <w:r w:rsidRPr="00804409">
        <w:rPr>
          <w:color w:val="231F20"/>
          <w:spacing w:val="-1"/>
          <w:sz w:val="18"/>
          <w:szCs w:val="18"/>
        </w:rPr>
        <w:t xml:space="preserve"> </w:t>
      </w:r>
      <w:r w:rsidRPr="00804409">
        <w:rPr>
          <w:color w:val="231F20"/>
          <w:sz w:val="18"/>
          <w:szCs w:val="18"/>
        </w:rPr>
        <w:t>Community</w:t>
      </w:r>
      <w:r w:rsidRPr="00804409">
        <w:rPr>
          <w:color w:val="231F20"/>
          <w:spacing w:val="-1"/>
          <w:sz w:val="18"/>
          <w:szCs w:val="18"/>
        </w:rPr>
        <w:t xml:space="preserve"> </w:t>
      </w:r>
      <w:r w:rsidRPr="00804409">
        <w:rPr>
          <w:color w:val="231F20"/>
          <w:sz w:val="18"/>
          <w:szCs w:val="18"/>
        </w:rPr>
        <w:t>Safety</w:t>
      </w:r>
      <w:r w:rsidRPr="00804409">
        <w:rPr>
          <w:color w:val="231F20"/>
          <w:spacing w:val="-1"/>
          <w:sz w:val="18"/>
          <w:szCs w:val="18"/>
        </w:rPr>
        <w:t xml:space="preserve"> </w:t>
      </w:r>
      <w:r w:rsidRPr="00804409">
        <w:rPr>
          <w:color w:val="231F20"/>
          <w:sz w:val="18"/>
          <w:szCs w:val="18"/>
        </w:rPr>
        <w:t>and</w:t>
      </w:r>
      <w:r w:rsidRPr="00804409">
        <w:rPr>
          <w:color w:val="231F20"/>
          <w:spacing w:val="-1"/>
          <w:sz w:val="18"/>
          <w:szCs w:val="18"/>
        </w:rPr>
        <w:t xml:space="preserve"> </w:t>
      </w:r>
      <w:r w:rsidRPr="00804409">
        <w:rPr>
          <w:color w:val="231F20"/>
          <w:sz w:val="18"/>
          <w:szCs w:val="18"/>
        </w:rPr>
        <w:t>GST</w:t>
      </w:r>
      <w:r w:rsidRPr="00804409">
        <w:rPr>
          <w:color w:val="231F20"/>
          <w:spacing w:val="-1"/>
          <w:sz w:val="18"/>
          <w:szCs w:val="18"/>
        </w:rPr>
        <w:t xml:space="preserve"> </w:t>
      </w:r>
      <w:r w:rsidRPr="00804409">
        <w:rPr>
          <w:color w:val="231F20"/>
          <w:sz w:val="18"/>
          <w:szCs w:val="18"/>
        </w:rPr>
        <w:t>input</w:t>
      </w:r>
      <w:r w:rsidRPr="00804409">
        <w:rPr>
          <w:color w:val="231F20"/>
          <w:spacing w:val="-1"/>
          <w:sz w:val="18"/>
          <w:szCs w:val="18"/>
        </w:rPr>
        <w:t xml:space="preserve"> </w:t>
      </w:r>
      <w:r w:rsidRPr="00804409">
        <w:rPr>
          <w:color w:val="231F20"/>
          <w:sz w:val="18"/>
          <w:szCs w:val="18"/>
        </w:rPr>
        <w:t>tax</w:t>
      </w:r>
      <w:r w:rsidRPr="00804409">
        <w:rPr>
          <w:color w:val="231F20"/>
          <w:spacing w:val="40"/>
          <w:sz w:val="18"/>
          <w:szCs w:val="18"/>
        </w:rPr>
        <w:t xml:space="preserve"> </w:t>
      </w:r>
      <w:r w:rsidRPr="00804409">
        <w:rPr>
          <w:color w:val="231F20"/>
          <w:sz w:val="18"/>
          <w:szCs w:val="18"/>
        </w:rPr>
        <w:t>credit recoverable and taxes payable).</w:t>
      </w:r>
    </w:p>
    <w:p w14:paraId="6DC7060A" w14:textId="77777777" w:rsidR="00345EE3" w:rsidRDefault="00345EE3" w:rsidP="00345EE3">
      <w:pPr>
        <w:rPr>
          <w:b/>
          <w:color w:val="231F20"/>
          <w:sz w:val="24"/>
        </w:rPr>
      </w:pPr>
      <w:r>
        <w:rPr>
          <w:b/>
          <w:color w:val="231F20"/>
          <w:sz w:val="24"/>
        </w:rPr>
        <w:br w:type="page"/>
      </w:r>
    </w:p>
    <w:p w14:paraId="073F9E67" w14:textId="77777777" w:rsidR="00345EE3" w:rsidRDefault="00345EE3" w:rsidP="00345EE3">
      <w:pPr>
        <w:pStyle w:val="BodyText"/>
        <w:spacing w:before="5"/>
        <w:rPr>
          <w:b/>
          <w:sz w:val="7"/>
        </w:rPr>
      </w:pPr>
    </w:p>
    <w:tbl>
      <w:tblPr>
        <w:tblW w:w="0" w:type="auto"/>
        <w:tblInd w:w="117" w:type="dxa"/>
        <w:tblLayout w:type="fixed"/>
        <w:tblCellMar>
          <w:left w:w="0" w:type="dxa"/>
          <w:right w:w="0" w:type="dxa"/>
        </w:tblCellMar>
        <w:tblLook w:val="01E0" w:firstRow="1" w:lastRow="1" w:firstColumn="1" w:lastColumn="1" w:noHBand="0" w:noVBand="0"/>
      </w:tblPr>
      <w:tblGrid>
        <w:gridCol w:w="2063"/>
        <w:gridCol w:w="3401"/>
        <w:gridCol w:w="1193"/>
        <w:gridCol w:w="1107"/>
        <w:gridCol w:w="1035"/>
        <w:gridCol w:w="1404"/>
      </w:tblGrid>
      <w:tr w:rsidR="00345EE3" w14:paraId="507AB0E6" w14:textId="77777777" w:rsidTr="00D73130">
        <w:trPr>
          <w:trHeight w:val="807"/>
        </w:trPr>
        <w:tc>
          <w:tcPr>
            <w:tcW w:w="10203" w:type="dxa"/>
            <w:gridSpan w:val="6"/>
            <w:shd w:val="clear" w:color="auto" w:fill="00529F"/>
          </w:tcPr>
          <w:p w14:paraId="2EAC9722" w14:textId="77777777" w:rsidR="00345EE3" w:rsidRDefault="00345EE3" w:rsidP="00D73130">
            <w:pPr>
              <w:pStyle w:val="TableParagraph"/>
              <w:spacing w:before="63"/>
              <w:ind w:left="8791"/>
              <w:jc w:val="left"/>
              <w:rPr>
                <w:b/>
                <w:sz w:val="24"/>
              </w:rPr>
            </w:pPr>
            <w:r>
              <w:rPr>
                <w:b/>
                <w:color w:val="FFFFFF"/>
                <w:sz w:val="24"/>
              </w:rPr>
              <w:t>($</w:t>
            </w:r>
            <w:r>
              <w:rPr>
                <w:b/>
                <w:color w:val="FFFFFF"/>
                <w:spacing w:val="-8"/>
                <w:sz w:val="24"/>
              </w:rPr>
              <w:t xml:space="preserve"> </w:t>
            </w:r>
            <w:r>
              <w:rPr>
                <w:b/>
                <w:color w:val="FFFFFF"/>
                <w:spacing w:val="-5"/>
                <w:sz w:val="24"/>
              </w:rPr>
              <w:t>thousand)</w:t>
            </w:r>
          </w:p>
          <w:p w14:paraId="2E2EB24B" w14:textId="77777777" w:rsidR="00345EE3" w:rsidRDefault="00345EE3" w:rsidP="00D73130">
            <w:pPr>
              <w:pStyle w:val="TableParagraph"/>
              <w:spacing w:before="125"/>
              <w:ind w:left="5975"/>
              <w:jc w:val="left"/>
              <w:rPr>
                <w:b/>
                <w:sz w:val="24"/>
              </w:rPr>
            </w:pPr>
            <w:r>
              <w:rPr>
                <w:b/>
                <w:color w:val="FFFFFF"/>
                <w:sz w:val="24"/>
              </w:rPr>
              <w:t>Interest</w:t>
            </w:r>
            <w:r>
              <w:rPr>
                <w:b/>
                <w:color w:val="FFFFFF"/>
                <w:spacing w:val="-1"/>
                <w:sz w:val="24"/>
              </w:rPr>
              <w:t xml:space="preserve"> </w:t>
            </w:r>
            <w:r>
              <w:rPr>
                <w:b/>
                <w:color w:val="FFFFFF"/>
                <w:sz w:val="24"/>
              </w:rPr>
              <w:t>rate</w:t>
            </w:r>
            <w:r>
              <w:rPr>
                <w:b/>
                <w:color w:val="FFFFFF"/>
                <w:spacing w:val="-2"/>
                <w:sz w:val="24"/>
              </w:rPr>
              <w:t xml:space="preserve"> exposure</w:t>
            </w:r>
          </w:p>
        </w:tc>
      </w:tr>
      <w:tr w:rsidR="00345EE3" w14:paraId="3BD56100" w14:textId="77777777" w:rsidTr="00D73130">
        <w:trPr>
          <w:trHeight w:val="1237"/>
        </w:trPr>
        <w:tc>
          <w:tcPr>
            <w:tcW w:w="2063" w:type="dxa"/>
            <w:shd w:val="clear" w:color="auto" w:fill="00529F"/>
          </w:tcPr>
          <w:p w14:paraId="0DE1569A" w14:textId="77777777" w:rsidR="00345EE3" w:rsidRDefault="00345EE3" w:rsidP="00D73130">
            <w:pPr>
              <w:pStyle w:val="TableParagraph"/>
              <w:spacing w:before="0"/>
              <w:jc w:val="left"/>
              <w:rPr>
                <w:rFonts w:ascii="Times New Roman"/>
              </w:rPr>
            </w:pPr>
          </w:p>
        </w:tc>
        <w:tc>
          <w:tcPr>
            <w:tcW w:w="3401" w:type="dxa"/>
            <w:shd w:val="clear" w:color="auto" w:fill="00529F"/>
          </w:tcPr>
          <w:p w14:paraId="18C40CC4" w14:textId="77777777" w:rsidR="00345EE3" w:rsidRDefault="00345EE3" w:rsidP="00D73130">
            <w:pPr>
              <w:pStyle w:val="TableParagraph"/>
              <w:spacing w:before="59"/>
              <w:ind w:left="1529"/>
              <w:jc w:val="both"/>
              <w:rPr>
                <w:b/>
                <w:sz w:val="24"/>
              </w:rPr>
            </w:pPr>
            <w:r>
              <w:rPr>
                <w:b/>
                <w:color w:val="FFFFFF"/>
                <w:sz w:val="24"/>
              </w:rPr>
              <w:t>Notes</w:t>
            </w:r>
            <w:r>
              <w:rPr>
                <w:b/>
                <w:color w:val="FFFFFF"/>
                <w:spacing w:val="-6"/>
                <w:sz w:val="24"/>
              </w:rPr>
              <w:t xml:space="preserve"> </w:t>
            </w:r>
            <w:r>
              <w:rPr>
                <w:b/>
                <w:color w:val="FFFFFF"/>
                <w:spacing w:val="-2"/>
                <w:sz w:val="24"/>
              </w:rPr>
              <w:t>Weighted</w:t>
            </w:r>
          </w:p>
          <w:p w14:paraId="342A853C" w14:textId="77777777" w:rsidR="00345EE3" w:rsidRDefault="00345EE3" w:rsidP="00D73130">
            <w:pPr>
              <w:pStyle w:val="TableParagraph"/>
              <w:spacing w:before="4" w:line="242" w:lineRule="auto"/>
              <w:ind w:left="2456" w:right="80" w:hanging="30"/>
              <w:jc w:val="both"/>
              <w:rPr>
                <w:b/>
                <w:sz w:val="24"/>
              </w:rPr>
            </w:pPr>
            <w:r>
              <w:rPr>
                <w:b/>
                <w:color w:val="FFFFFF"/>
                <w:spacing w:val="-4"/>
                <w:sz w:val="24"/>
              </w:rPr>
              <w:t xml:space="preserve">average </w:t>
            </w:r>
            <w:r>
              <w:rPr>
                <w:b/>
                <w:color w:val="FFFFFF"/>
                <w:spacing w:val="-2"/>
                <w:sz w:val="24"/>
              </w:rPr>
              <w:t xml:space="preserve">interest </w:t>
            </w:r>
            <w:r>
              <w:rPr>
                <w:b/>
                <w:color w:val="FFFFFF"/>
                <w:sz w:val="24"/>
              </w:rPr>
              <w:t>rate</w:t>
            </w:r>
            <w:r>
              <w:rPr>
                <w:b/>
                <w:color w:val="FFFFFF"/>
                <w:spacing w:val="-14"/>
                <w:sz w:val="24"/>
              </w:rPr>
              <w:t xml:space="preserve"> </w:t>
            </w:r>
            <w:r>
              <w:rPr>
                <w:b/>
                <w:color w:val="FFFFFF"/>
                <w:spacing w:val="-5"/>
                <w:sz w:val="24"/>
              </w:rPr>
              <w:t>(%)</w:t>
            </w:r>
          </w:p>
        </w:tc>
        <w:tc>
          <w:tcPr>
            <w:tcW w:w="1193" w:type="dxa"/>
            <w:shd w:val="clear" w:color="auto" w:fill="00529F"/>
          </w:tcPr>
          <w:p w14:paraId="5E4613F4" w14:textId="77777777" w:rsidR="00345EE3" w:rsidRDefault="00345EE3" w:rsidP="00D73130">
            <w:pPr>
              <w:pStyle w:val="TableParagraph"/>
              <w:spacing w:before="59" w:line="242" w:lineRule="auto"/>
              <w:ind w:left="198" w:right="136" w:hanging="116"/>
              <w:jc w:val="left"/>
              <w:rPr>
                <w:b/>
                <w:sz w:val="24"/>
              </w:rPr>
            </w:pPr>
            <w:r>
              <w:rPr>
                <w:b/>
                <w:color w:val="FFFFFF"/>
                <w:spacing w:val="-4"/>
                <w:sz w:val="24"/>
              </w:rPr>
              <w:t xml:space="preserve">Carrying </w:t>
            </w:r>
            <w:r>
              <w:rPr>
                <w:b/>
                <w:color w:val="FFFFFF"/>
                <w:spacing w:val="-5"/>
                <w:sz w:val="24"/>
              </w:rPr>
              <w:t>amount</w:t>
            </w:r>
          </w:p>
        </w:tc>
        <w:tc>
          <w:tcPr>
            <w:tcW w:w="1107" w:type="dxa"/>
            <w:shd w:val="clear" w:color="auto" w:fill="00529F"/>
          </w:tcPr>
          <w:p w14:paraId="41786A95" w14:textId="77777777" w:rsidR="00345EE3" w:rsidRDefault="00345EE3" w:rsidP="00D73130">
            <w:pPr>
              <w:pStyle w:val="TableParagraph"/>
              <w:spacing w:before="59" w:line="242" w:lineRule="auto"/>
              <w:ind w:left="143" w:right="112" w:firstLine="232"/>
              <w:rPr>
                <w:b/>
                <w:sz w:val="24"/>
              </w:rPr>
            </w:pPr>
            <w:r>
              <w:rPr>
                <w:b/>
                <w:color w:val="FFFFFF"/>
                <w:spacing w:val="-4"/>
                <w:sz w:val="24"/>
              </w:rPr>
              <w:t xml:space="preserve">Fixed </w:t>
            </w:r>
            <w:r>
              <w:rPr>
                <w:b/>
                <w:color w:val="FFFFFF"/>
                <w:spacing w:val="-5"/>
                <w:sz w:val="24"/>
              </w:rPr>
              <w:t>interest</w:t>
            </w:r>
          </w:p>
          <w:p w14:paraId="439DA208" w14:textId="77777777" w:rsidR="00345EE3" w:rsidRDefault="00345EE3" w:rsidP="00D73130">
            <w:pPr>
              <w:pStyle w:val="TableParagraph"/>
              <w:spacing w:before="2"/>
              <w:ind w:right="113"/>
              <w:rPr>
                <w:b/>
                <w:sz w:val="24"/>
              </w:rPr>
            </w:pPr>
            <w:r>
              <w:rPr>
                <w:b/>
                <w:color w:val="FFFFFF"/>
                <w:spacing w:val="-4"/>
                <w:sz w:val="24"/>
              </w:rPr>
              <w:t>rate</w:t>
            </w:r>
          </w:p>
        </w:tc>
        <w:tc>
          <w:tcPr>
            <w:tcW w:w="1035" w:type="dxa"/>
            <w:shd w:val="clear" w:color="auto" w:fill="00529F"/>
          </w:tcPr>
          <w:p w14:paraId="115DE6D3" w14:textId="77777777" w:rsidR="00345EE3" w:rsidRDefault="00345EE3" w:rsidP="00D73130">
            <w:pPr>
              <w:pStyle w:val="TableParagraph"/>
              <w:spacing w:before="59" w:line="242" w:lineRule="auto"/>
              <w:ind w:left="170" w:right="13" w:hanging="54"/>
              <w:rPr>
                <w:b/>
                <w:sz w:val="24"/>
              </w:rPr>
            </w:pPr>
            <w:r>
              <w:rPr>
                <w:b/>
                <w:color w:val="FFFFFF"/>
                <w:spacing w:val="-6"/>
                <w:sz w:val="24"/>
              </w:rPr>
              <w:t xml:space="preserve">Variable </w:t>
            </w:r>
            <w:r>
              <w:rPr>
                <w:b/>
                <w:color w:val="FFFFFF"/>
                <w:spacing w:val="-5"/>
                <w:sz w:val="24"/>
              </w:rPr>
              <w:t>interest</w:t>
            </w:r>
          </w:p>
          <w:p w14:paraId="5A6CDEEE" w14:textId="77777777" w:rsidR="00345EE3" w:rsidRDefault="00345EE3" w:rsidP="00D73130">
            <w:pPr>
              <w:pStyle w:val="TableParagraph"/>
              <w:spacing w:before="3"/>
              <w:ind w:right="14"/>
              <w:rPr>
                <w:b/>
                <w:sz w:val="24"/>
              </w:rPr>
            </w:pPr>
            <w:r>
              <w:rPr>
                <w:b/>
                <w:color w:val="FFFFFF"/>
                <w:spacing w:val="-4"/>
                <w:sz w:val="24"/>
              </w:rPr>
              <w:t>rate</w:t>
            </w:r>
          </w:p>
        </w:tc>
        <w:tc>
          <w:tcPr>
            <w:tcW w:w="1404" w:type="dxa"/>
            <w:shd w:val="clear" w:color="auto" w:fill="00529F"/>
          </w:tcPr>
          <w:p w14:paraId="1DB125BB" w14:textId="77777777" w:rsidR="00345EE3" w:rsidRDefault="00345EE3" w:rsidP="00D73130">
            <w:pPr>
              <w:pStyle w:val="TableParagraph"/>
              <w:spacing w:before="59"/>
              <w:ind w:right="1"/>
              <w:rPr>
                <w:b/>
                <w:sz w:val="24"/>
              </w:rPr>
            </w:pPr>
            <w:r>
              <w:rPr>
                <w:b/>
                <w:color w:val="FFFFFF"/>
                <w:spacing w:val="-3"/>
                <w:sz w:val="24"/>
              </w:rPr>
              <w:t>Non-</w:t>
            </w:r>
            <w:r>
              <w:rPr>
                <w:b/>
                <w:color w:val="FFFFFF"/>
                <w:spacing w:val="-2"/>
                <w:sz w:val="24"/>
              </w:rPr>
              <w:t>interest</w:t>
            </w:r>
          </w:p>
          <w:p w14:paraId="30014589" w14:textId="77777777" w:rsidR="00345EE3" w:rsidRDefault="00345EE3" w:rsidP="00D73130">
            <w:pPr>
              <w:pStyle w:val="TableParagraph"/>
              <w:spacing w:before="4"/>
              <w:rPr>
                <w:b/>
                <w:sz w:val="24"/>
              </w:rPr>
            </w:pPr>
            <w:r>
              <w:rPr>
                <w:b/>
                <w:color w:val="FFFFFF"/>
                <w:spacing w:val="-2"/>
                <w:sz w:val="24"/>
              </w:rPr>
              <w:t>bearing</w:t>
            </w:r>
          </w:p>
        </w:tc>
      </w:tr>
      <w:tr w:rsidR="00345EE3" w14:paraId="06DF179A" w14:textId="77777777" w:rsidTr="00D73130">
        <w:trPr>
          <w:trHeight w:val="336"/>
        </w:trPr>
        <w:tc>
          <w:tcPr>
            <w:tcW w:w="2063" w:type="dxa"/>
          </w:tcPr>
          <w:p w14:paraId="03F71ABD" w14:textId="77777777" w:rsidR="00345EE3" w:rsidRDefault="00345EE3" w:rsidP="00D73130">
            <w:pPr>
              <w:pStyle w:val="TableParagraph"/>
              <w:spacing w:line="256" w:lineRule="exact"/>
              <w:jc w:val="left"/>
              <w:rPr>
                <w:b/>
                <w:sz w:val="24"/>
              </w:rPr>
            </w:pPr>
            <w:r>
              <w:rPr>
                <w:b/>
                <w:color w:val="231F20"/>
                <w:spacing w:val="-4"/>
                <w:sz w:val="24"/>
              </w:rPr>
              <w:t>2021</w:t>
            </w:r>
          </w:p>
        </w:tc>
        <w:tc>
          <w:tcPr>
            <w:tcW w:w="3401" w:type="dxa"/>
          </w:tcPr>
          <w:p w14:paraId="39C9810E" w14:textId="77777777" w:rsidR="00345EE3" w:rsidRDefault="00345EE3" w:rsidP="00D73130">
            <w:pPr>
              <w:pStyle w:val="TableParagraph"/>
              <w:spacing w:before="0"/>
              <w:jc w:val="left"/>
              <w:rPr>
                <w:rFonts w:ascii="Times New Roman"/>
              </w:rPr>
            </w:pPr>
          </w:p>
        </w:tc>
        <w:tc>
          <w:tcPr>
            <w:tcW w:w="1193" w:type="dxa"/>
          </w:tcPr>
          <w:p w14:paraId="0268B900" w14:textId="77777777" w:rsidR="00345EE3" w:rsidRDefault="00345EE3" w:rsidP="00D73130">
            <w:pPr>
              <w:pStyle w:val="TableParagraph"/>
              <w:spacing w:before="0"/>
              <w:jc w:val="left"/>
              <w:rPr>
                <w:rFonts w:ascii="Times New Roman"/>
              </w:rPr>
            </w:pPr>
          </w:p>
        </w:tc>
        <w:tc>
          <w:tcPr>
            <w:tcW w:w="1107" w:type="dxa"/>
          </w:tcPr>
          <w:p w14:paraId="068DF059" w14:textId="77777777" w:rsidR="00345EE3" w:rsidRDefault="00345EE3" w:rsidP="00D73130">
            <w:pPr>
              <w:pStyle w:val="TableParagraph"/>
              <w:spacing w:before="0"/>
              <w:jc w:val="left"/>
              <w:rPr>
                <w:rFonts w:ascii="Times New Roman"/>
              </w:rPr>
            </w:pPr>
          </w:p>
        </w:tc>
        <w:tc>
          <w:tcPr>
            <w:tcW w:w="1035" w:type="dxa"/>
          </w:tcPr>
          <w:p w14:paraId="0E4A346B" w14:textId="77777777" w:rsidR="00345EE3" w:rsidRDefault="00345EE3" w:rsidP="00D73130">
            <w:pPr>
              <w:pStyle w:val="TableParagraph"/>
              <w:spacing w:before="0"/>
              <w:jc w:val="left"/>
              <w:rPr>
                <w:rFonts w:ascii="Times New Roman"/>
              </w:rPr>
            </w:pPr>
          </w:p>
        </w:tc>
        <w:tc>
          <w:tcPr>
            <w:tcW w:w="1404" w:type="dxa"/>
          </w:tcPr>
          <w:p w14:paraId="4FC9AC2D" w14:textId="77777777" w:rsidR="00345EE3" w:rsidRDefault="00345EE3" w:rsidP="00D73130">
            <w:pPr>
              <w:pStyle w:val="TableParagraph"/>
              <w:spacing w:before="0"/>
              <w:jc w:val="left"/>
              <w:rPr>
                <w:rFonts w:ascii="Times New Roman"/>
              </w:rPr>
            </w:pPr>
          </w:p>
        </w:tc>
      </w:tr>
    </w:tbl>
    <w:p w14:paraId="37991143" w14:textId="77777777" w:rsidR="00345EE3" w:rsidRDefault="00345EE3" w:rsidP="00345EE3">
      <w:pPr>
        <w:pStyle w:val="BodyText"/>
        <w:spacing w:before="7"/>
        <w:rPr>
          <w:b/>
          <w:sz w:val="4"/>
        </w:rPr>
      </w:pPr>
    </w:p>
    <w:tbl>
      <w:tblPr>
        <w:tblW w:w="0" w:type="auto"/>
        <w:tblInd w:w="11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02"/>
        <w:gridCol w:w="851"/>
        <w:gridCol w:w="1134"/>
        <w:gridCol w:w="1134"/>
        <w:gridCol w:w="1134"/>
        <w:gridCol w:w="1134"/>
        <w:gridCol w:w="1417"/>
      </w:tblGrid>
      <w:tr w:rsidR="00345EE3" w14:paraId="5AD6FAA4" w14:textId="77777777" w:rsidTr="00D73130">
        <w:trPr>
          <w:trHeight w:val="388"/>
        </w:trPr>
        <w:tc>
          <w:tcPr>
            <w:tcW w:w="3402" w:type="dxa"/>
            <w:tcBorders>
              <w:left w:val="nil"/>
              <w:bottom w:val="single" w:sz="2" w:space="0" w:color="939598"/>
              <w:right w:val="single" w:sz="2" w:space="0" w:color="939598"/>
            </w:tcBorders>
          </w:tcPr>
          <w:p w14:paraId="06381887" w14:textId="77777777" w:rsidR="00345EE3" w:rsidRDefault="00345EE3" w:rsidP="00D73130">
            <w:pPr>
              <w:pStyle w:val="TableParagraph"/>
              <w:spacing w:before="53"/>
              <w:ind w:left="-3"/>
              <w:jc w:val="left"/>
              <w:rPr>
                <w:b/>
                <w:sz w:val="24"/>
              </w:rPr>
            </w:pPr>
            <w:r>
              <w:rPr>
                <w:b/>
                <w:color w:val="231F20"/>
                <w:sz w:val="24"/>
              </w:rPr>
              <w:t>Financial</w:t>
            </w:r>
            <w:r>
              <w:rPr>
                <w:b/>
                <w:color w:val="231F20"/>
                <w:spacing w:val="-9"/>
                <w:sz w:val="24"/>
              </w:rPr>
              <w:t xml:space="preserve"> </w:t>
            </w:r>
            <w:r>
              <w:rPr>
                <w:b/>
                <w:color w:val="231F20"/>
                <w:spacing w:val="-2"/>
                <w:sz w:val="24"/>
              </w:rPr>
              <w:t>Assets</w:t>
            </w:r>
          </w:p>
        </w:tc>
        <w:tc>
          <w:tcPr>
            <w:tcW w:w="851" w:type="dxa"/>
            <w:tcBorders>
              <w:left w:val="single" w:sz="2" w:space="0" w:color="939598"/>
              <w:bottom w:val="single" w:sz="2" w:space="0" w:color="939598"/>
              <w:right w:val="single" w:sz="2" w:space="0" w:color="939598"/>
            </w:tcBorders>
          </w:tcPr>
          <w:p w14:paraId="311196B6"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0ACF8948"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56D2355E"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5956496A"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5E4B416C" w14:textId="77777777" w:rsidR="00345EE3" w:rsidRDefault="00345EE3" w:rsidP="00D73130">
            <w:pPr>
              <w:pStyle w:val="TableParagraph"/>
              <w:spacing w:before="0"/>
              <w:jc w:val="left"/>
              <w:rPr>
                <w:rFonts w:ascii="Times New Roman"/>
              </w:rPr>
            </w:pPr>
          </w:p>
        </w:tc>
        <w:tc>
          <w:tcPr>
            <w:tcW w:w="1417" w:type="dxa"/>
            <w:tcBorders>
              <w:left w:val="single" w:sz="2" w:space="0" w:color="939598"/>
              <w:bottom w:val="single" w:sz="2" w:space="0" w:color="939598"/>
              <w:right w:val="nil"/>
            </w:tcBorders>
          </w:tcPr>
          <w:p w14:paraId="0819A4E1" w14:textId="77777777" w:rsidR="00345EE3" w:rsidRDefault="00345EE3" w:rsidP="00D73130">
            <w:pPr>
              <w:pStyle w:val="TableParagraph"/>
              <w:spacing w:before="0"/>
              <w:jc w:val="left"/>
              <w:rPr>
                <w:rFonts w:ascii="Times New Roman"/>
              </w:rPr>
            </w:pPr>
          </w:p>
        </w:tc>
      </w:tr>
      <w:tr w:rsidR="00345EE3" w14:paraId="0B93EC5A" w14:textId="77777777" w:rsidTr="00D73130">
        <w:trPr>
          <w:trHeight w:val="676"/>
        </w:trPr>
        <w:tc>
          <w:tcPr>
            <w:tcW w:w="3402" w:type="dxa"/>
            <w:tcBorders>
              <w:top w:val="single" w:sz="2" w:space="0" w:color="939598"/>
              <w:left w:val="nil"/>
              <w:bottom w:val="single" w:sz="2" w:space="0" w:color="939598"/>
              <w:right w:val="single" w:sz="2" w:space="0" w:color="939598"/>
            </w:tcBorders>
          </w:tcPr>
          <w:p w14:paraId="045A5A8C" w14:textId="77777777" w:rsidR="00345EE3" w:rsidRDefault="00345EE3" w:rsidP="00D73130">
            <w:pPr>
              <w:pStyle w:val="TableParagraph"/>
              <w:spacing w:line="242" w:lineRule="auto"/>
              <w:ind w:left="-3" w:right="407"/>
              <w:jc w:val="left"/>
              <w:rPr>
                <w:sz w:val="24"/>
              </w:rPr>
            </w:pPr>
            <w:r>
              <w:rPr>
                <w:color w:val="231F20"/>
                <w:sz w:val="24"/>
              </w:rPr>
              <w:t>Cash and deposits (including</w:t>
            </w:r>
            <w:r>
              <w:rPr>
                <w:color w:val="231F20"/>
                <w:spacing w:val="-17"/>
                <w:sz w:val="24"/>
              </w:rPr>
              <w:t xml:space="preserve"> </w:t>
            </w:r>
            <w:r>
              <w:rPr>
                <w:color w:val="231F20"/>
                <w:sz w:val="24"/>
              </w:rPr>
              <w:t>cash</w:t>
            </w:r>
            <w:r>
              <w:rPr>
                <w:color w:val="231F20"/>
                <w:spacing w:val="-17"/>
                <w:sz w:val="24"/>
              </w:rPr>
              <w:t xml:space="preserve"> </w:t>
            </w:r>
            <w:r>
              <w:rPr>
                <w:color w:val="231F20"/>
                <w:sz w:val="24"/>
              </w:rPr>
              <w:t>equivalents)</w:t>
            </w:r>
          </w:p>
        </w:tc>
        <w:tc>
          <w:tcPr>
            <w:tcW w:w="851" w:type="dxa"/>
            <w:tcBorders>
              <w:top w:val="single" w:sz="2" w:space="0" w:color="939598"/>
              <w:left w:val="single" w:sz="2" w:space="0" w:color="939598"/>
              <w:bottom w:val="single" w:sz="2" w:space="0" w:color="939598"/>
              <w:right w:val="single" w:sz="2" w:space="0" w:color="939598"/>
            </w:tcBorders>
          </w:tcPr>
          <w:p w14:paraId="19504EBB" w14:textId="77777777" w:rsidR="00345EE3" w:rsidRDefault="00345EE3" w:rsidP="00D73130">
            <w:pPr>
              <w:pStyle w:val="TableParagraph"/>
              <w:ind w:right="1"/>
              <w:rPr>
                <w:sz w:val="24"/>
              </w:rPr>
            </w:pPr>
            <w:r>
              <w:rPr>
                <w:color w:val="231F20"/>
                <w:spacing w:val="-5"/>
                <w:sz w:val="24"/>
              </w:rPr>
              <w:t>7.3</w:t>
            </w:r>
          </w:p>
        </w:tc>
        <w:tc>
          <w:tcPr>
            <w:tcW w:w="1134" w:type="dxa"/>
            <w:tcBorders>
              <w:top w:val="single" w:sz="2" w:space="0" w:color="939598"/>
              <w:left w:val="single" w:sz="2" w:space="0" w:color="939598"/>
              <w:bottom w:val="single" w:sz="2" w:space="0" w:color="939598"/>
              <w:right w:val="single" w:sz="2" w:space="0" w:color="939598"/>
            </w:tcBorders>
          </w:tcPr>
          <w:p w14:paraId="38E9134E" w14:textId="77777777" w:rsidR="00345EE3" w:rsidRDefault="00345EE3" w:rsidP="00D73130">
            <w:pPr>
              <w:pStyle w:val="TableParagraph"/>
              <w:ind w:right="1"/>
              <w:rPr>
                <w:sz w:val="24"/>
              </w:rPr>
            </w:pPr>
            <w:r>
              <w:rPr>
                <w:color w:val="231F20"/>
                <w:spacing w:val="-2"/>
                <w:sz w:val="24"/>
              </w:rPr>
              <w:t>0.08%</w:t>
            </w:r>
          </w:p>
        </w:tc>
        <w:tc>
          <w:tcPr>
            <w:tcW w:w="1134" w:type="dxa"/>
            <w:tcBorders>
              <w:top w:val="single" w:sz="2" w:space="0" w:color="939598"/>
              <w:left w:val="single" w:sz="2" w:space="0" w:color="939598"/>
              <w:bottom w:val="single" w:sz="2" w:space="0" w:color="939598"/>
              <w:right w:val="single" w:sz="2" w:space="0" w:color="939598"/>
            </w:tcBorders>
          </w:tcPr>
          <w:p w14:paraId="60967A17" w14:textId="77777777" w:rsidR="00345EE3" w:rsidRDefault="00345EE3" w:rsidP="00D73130">
            <w:pPr>
              <w:pStyle w:val="TableParagraph"/>
              <w:ind w:right="2"/>
              <w:rPr>
                <w:sz w:val="24"/>
              </w:rPr>
            </w:pPr>
            <w:r>
              <w:rPr>
                <w:color w:val="231F20"/>
                <w:spacing w:val="-2"/>
                <w:sz w:val="24"/>
              </w:rPr>
              <w:t>53,852</w:t>
            </w:r>
          </w:p>
        </w:tc>
        <w:tc>
          <w:tcPr>
            <w:tcW w:w="1134" w:type="dxa"/>
            <w:tcBorders>
              <w:top w:val="single" w:sz="2" w:space="0" w:color="939598"/>
              <w:left w:val="single" w:sz="2" w:space="0" w:color="939598"/>
              <w:bottom w:val="single" w:sz="2" w:space="0" w:color="939598"/>
              <w:right w:val="single" w:sz="2" w:space="0" w:color="939598"/>
            </w:tcBorders>
          </w:tcPr>
          <w:p w14:paraId="07D6ADA2"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51CFDB32" w14:textId="77777777" w:rsidR="00345EE3" w:rsidRDefault="00345EE3" w:rsidP="00D73130">
            <w:pPr>
              <w:pStyle w:val="TableParagraph"/>
              <w:ind w:right="2"/>
              <w:rPr>
                <w:sz w:val="24"/>
              </w:rPr>
            </w:pPr>
            <w:r>
              <w:rPr>
                <w:color w:val="231F20"/>
                <w:spacing w:val="-2"/>
                <w:sz w:val="24"/>
              </w:rPr>
              <w:t>3,445</w:t>
            </w:r>
          </w:p>
        </w:tc>
        <w:tc>
          <w:tcPr>
            <w:tcW w:w="1417" w:type="dxa"/>
            <w:tcBorders>
              <w:top w:val="single" w:sz="2" w:space="0" w:color="939598"/>
              <w:left w:val="single" w:sz="2" w:space="0" w:color="939598"/>
              <w:bottom w:val="single" w:sz="2" w:space="0" w:color="939598"/>
              <w:right w:val="nil"/>
            </w:tcBorders>
          </w:tcPr>
          <w:p w14:paraId="2E18E19C" w14:textId="77777777" w:rsidR="00345EE3" w:rsidRDefault="00345EE3" w:rsidP="00D73130">
            <w:pPr>
              <w:pStyle w:val="TableParagraph"/>
              <w:ind w:right="1"/>
              <w:rPr>
                <w:sz w:val="24"/>
              </w:rPr>
            </w:pPr>
            <w:r>
              <w:rPr>
                <w:color w:val="231F20"/>
                <w:spacing w:val="-2"/>
                <w:sz w:val="24"/>
              </w:rPr>
              <w:t>50,407</w:t>
            </w:r>
          </w:p>
        </w:tc>
      </w:tr>
      <w:tr w:rsidR="00345EE3" w14:paraId="4A6935EF"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44DEE188" w14:textId="77777777" w:rsidR="00345EE3" w:rsidRDefault="00345EE3" w:rsidP="00D73130">
            <w:pPr>
              <w:pStyle w:val="TableParagraph"/>
              <w:ind w:left="-3"/>
              <w:jc w:val="left"/>
              <w:rPr>
                <w:sz w:val="14"/>
              </w:rPr>
            </w:pPr>
            <w:r>
              <w:rPr>
                <w:color w:val="231F20"/>
                <w:spacing w:val="-2"/>
                <w:sz w:val="24"/>
              </w:rPr>
              <w:t>Receivables</w:t>
            </w:r>
            <w:r>
              <w:rPr>
                <w:color w:val="231F20"/>
                <w:spacing w:val="-16"/>
                <w:sz w:val="24"/>
              </w:rPr>
              <w:t xml:space="preserve"> </w:t>
            </w:r>
            <w:r>
              <w:rPr>
                <w:color w:val="231F20"/>
                <w:spacing w:val="-5"/>
                <w:position w:val="8"/>
                <w:sz w:val="14"/>
              </w:rPr>
              <w:t>(a)</w:t>
            </w:r>
          </w:p>
        </w:tc>
        <w:tc>
          <w:tcPr>
            <w:tcW w:w="851" w:type="dxa"/>
            <w:tcBorders>
              <w:top w:val="single" w:sz="2" w:space="0" w:color="939598"/>
              <w:left w:val="single" w:sz="2" w:space="0" w:color="939598"/>
              <w:bottom w:val="single" w:sz="2" w:space="0" w:color="939598"/>
              <w:right w:val="single" w:sz="2" w:space="0" w:color="939598"/>
            </w:tcBorders>
          </w:tcPr>
          <w:p w14:paraId="357EF805"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62FDBAF2"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3AF9BBAB"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19A15C3A"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5E5BCD06" w14:textId="77777777" w:rsidR="00345EE3" w:rsidRDefault="00345EE3" w:rsidP="00D73130">
            <w:pPr>
              <w:pStyle w:val="TableParagraph"/>
              <w:spacing w:before="0"/>
              <w:jc w:val="left"/>
              <w:rPr>
                <w:rFonts w:ascii="Times New Roman"/>
              </w:rPr>
            </w:pPr>
          </w:p>
        </w:tc>
        <w:tc>
          <w:tcPr>
            <w:tcW w:w="1417" w:type="dxa"/>
            <w:tcBorders>
              <w:top w:val="single" w:sz="2" w:space="0" w:color="939598"/>
              <w:left w:val="single" w:sz="2" w:space="0" w:color="939598"/>
              <w:bottom w:val="single" w:sz="2" w:space="0" w:color="939598"/>
              <w:right w:val="nil"/>
            </w:tcBorders>
          </w:tcPr>
          <w:p w14:paraId="02D5429D" w14:textId="77777777" w:rsidR="00345EE3" w:rsidRDefault="00345EE3" w:rsidP="00D73130">
            <w:pPr>
              <w:pStyle w:val="TableParagraph"/>
              <w:spacing w:before="0"/>
              <w:jc w:val="left"/>
              <w:rPr>
                <w:rFonts w:ascii="Times New Roman"/>
              </w:rPr>
            </w:pPr>
          </w:p>
        </w:tc>
      </w:tr>
      <w:tr w:rsidR="00345EE3" w14:paraId="05D5D064" w14:textId="77777777" w:rsidTr="00D73130">
        <w:trPr>
          <w:trHeight w:val="676"/>
        </w:trPr>
        <w:tc>
          <w:tcPr>
            <w:tcW w:w="3402" w:type="dxa"/>
            <w:tcBorders>
              <w:top w:val="single" w:sz="2" w:space="0" w:color="939598"/>
              <w:left w:val="nil"/>
              <w:bottom w:val="single" w:sz="2" w:space="0" w:color="939598"/>
              <w:right w:val="single" w:sz="2" w:space="0" w:color="939598"/>
            </w:tcBorders>
          </w:tcPr>
          <w:p w14:paraId="4146F4CF" w14:textId="77777777" w:rsidR="00345EE3" w:rsidRDefault="00345EE3" w:rsidP="00D73130">
            <w:pPr>
              <w:pStyle w:val="TableParagraph"/>
              <w:spacing w:line="242" w:lineRule="auto"/>
              <w:ind w:left="167"/>
              <w:jc w:val="left"/>
              <w:rPr>
                <w:sz w:val="24"/>
              </w:rPr>
            </w:pPr>
            <w:r>
              <w:rPr>
                <w:color w:val="231F20"/>
                <w:sz w:val="24"/>
              </w:rPr>
              <w:t>Sale of goods and services (net</w:t>
            </w:r>
            <w:r>
              <w:rPr>
                <w:color w:val="231F20"/>
                <w:spacing w:val="-12"/>
                <w:sz w:val="24"/>
              </w:rPr>
              <w:t xml:space="preserve"> </w:t>
            </w:r>
            <w:r>
              <w:rPr>
                <w:color w:val="231F20"/>
                <w:sz w:val="24"/>
              </w:rPr>
              <w:t>of</w:t>
            </w:r>
            <w:r>
              <w:rPr>
                <w:color w:val="231F20"/>
                <w:spacing w:val="-13"/>
                <w:sz w:val="24"/>
              </w:rPr>
              <w:t xml:space="preserve"> </w:t>
            </w:r>
            <w:r>
              <w:rPr>
                <w:color w:val="231F20"/>
                <w:sz w:val="24"/>
              </w:rPr>
              <w:t>doubtful</w:t>
            </w:r>
            <w:r>
              <w:rPr>
                <w:color w:val="231F20"/>
                <w:spacing w:val="-13"/>
                <w:sz w:val="24"/>
              </w:rPr>
              <w:t xml:space="preserve"> </w:t>
            </w:r>
            <w:r>
              <w:rPr>
                <w:color w:val="231F20"/>
                <w:sz w:val="24"/>
              </w:rPr>
              <w:t>receivables)</w:t>
            </w:r>
          </w:p>
        </w:tc>
        <w:tc>
          <w:tcPr>
            <w:tcW w:w="851" w:type="dxa"/>
            <w:tcBorders>
              <w:top w:val="single" w:sz="2" w:space="0" w:color="939598"/>
              <w:left w:val="single" w:sz="2" w:space="0" w:color="939598"/>
              <w:bottom w:val="single" w:sz="2" w:space="0" w:color="939598"/>
              <w:right w:val="single" w:sz="2" w:space="0" w:color="939598"/>
            </w:tcBorders>
          </w:tcPr>
          <w:p w14:paraId="5A2A71A7" w14:textId="77777777" w:rsidR="00345EE3" w:rsidRDefault="00345EE3" w:rsidP="00D73130">
            <w:pPr>
              <w:pStyle w:val="TableParagraph"/>
              <w:ind w:right="1"/>
              <w:rPr>
                <w:sz w:val="24"/>
              </w:rPr>
            </w:pPr>
            <w:r>
              <w:rPr>
                <w:color w:val="231F20"/>
                <w:spacing w:val="-5"/>
                <w:sz w:val="24"/>
              </w:rPr>
              <w:t>6.1</w:t>
            </w:r>
          </w:p>
        </w:tc>
        <w:tc>
          <w:tcPr>
            <w:tcW w:w="1134" w:type="dxa"/>
            <w:tcBorders>
              <w:top w:val="single" w:sz="2" w:space="0" w:color="939598"/>
              <w:left w:val="single" w:sz="2" w:space="0" w:color="939598"/>
              <w:bottom w:val="single" w:sz="2" w:space="0" w:color="939598"/>
              <w:right w:val="single" w:sz="2" w:space="0" w:color="939598"/>
            </w:tcBorders>
          </w:tcPr>
          <w:p w14:paraId="2957064F"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0A99DB18" w14:textId="77777777" w:rsidR="00345EE3" w:rsidRDefault="00345EE3" w:rsidP="00D73130">
            <w:pPr>
              <w:pStyle w:val="TableParagraph"/>
              <w:ind w:right="1"/>
              <w:rPr>
                <w:sz w:val="24"/>
              </w:rPr>
            </w:pPr>
            <w:r>
              <w:rPr>
                <w:color w:val="231F20"/>
                <w:spacing w:val="-4"/>
                <w:sz w:val="24"/>
              </w:rPr>
              <w:t>1,114</w:t>
            </w:r>
          </w:p>
        </w:tc>
        <w:tc>
          <w:tcPr>
            <w:tcW w:w="1134" w:type="dxa"/>
            <w:tcBorders>
              <w:top w:val="single" w:sz="2" w:space="0" w:color="939598"/>
              <w:left w:val="single" w:sz="2" w:space="0" w:color="939598"/>
              <w:bottom w:val="single" w:sz="2" w:space="0" w:color="939598"/>
              <w:right w:val="single" w:sz="2" w:space="0" w:color="939598"/>
            </w:tcBorders>
          </w:tcPr>
          <w:p w14:paraId="4B76EBC1"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tcPr>
          <w:p w14:paraId="2C3F2242" w14:textId="77777777" w:rsidR="00345EE3" w:rsidRDefault="00345EE3" w:rsidP="00D73130">
            <w:pPr>
              <w:pStyle w:val="TableParagraph"/>
              <w:ind w:right="1"/>
              <w:rPr>
                <w:sz w:val="24"/>
              </w:rPr>
            </w:pPr>
            <w:r>
              <w:rPr>
                <w:color w:val="231F20"/>
                <w:sz w:val="24"/>
              </w:rPr>
              <w:t>-</w:t>
            </w:r>
          </w:p>
        </w:tc>
        <w:tc>
          <w:tcPr>
            <w:tcW w:w="1417" w:type="dxa"/>
            <w:tcBorders>
              <w:top w:val="single" w:sz="2" w:space="0" w:color="939598"/>
              <w:left w:val="single" w:sz="2" w:space="0" w:color="939598"/>
              <w:bottom w:val="single" w:sz="2" w:space="0" w:color="939598"/>
              <w:right w:val="nil"/>
            </w:tcBorders>
          </w:tcPr>
          <w:p w14:paraId="0D11FAF9" w14:textId="77777777" w:rsidR="00345EE3" w:rsidRDefault="00345EE3" w:rsidP="00D73130">
            <w:pPr>
              <w:pStyle w:val="TableParagraph"/>
              <w:ind w:right="1"/>
              <w:rPr>
                <w:sz w:val="24"/>
              </w:rPr>
            </w:pPr>
            <w:r>
              <w:rPr>
                <w:color w:val="231F20"/>
                <w:spacing w:val="-4"/>
                <w:sz w:val="24"/>
              </w:rPr>
              <w:t>1,114</w:t>
            </w:r>
          </w:p>
        </w:tc>
      </w:tr>
      <w:tr w:rsidR="00345EE3" w14:paraId="779E5759" w14:textId="77777777" w:rsidTr="00D73130">
        <w:trPr>
          <w:trHeight w:val="673"/>
        </w:trPr>
        <w:tc>
          <w:tcPr>
            <w:tcW w:w="3402" w:type="dxa"/>
            <w:tcBorders>
              <w:top w:val="single" w:sz="2" w:space="0" w:color="939598"/>
              <w:left w:val="nil"/>
              <w:bottom w:val="single" w:sz="4" w:space="0" w:color="231F20"/>
              <w:right w:val="single" w:sz="2" w:space="0" w:color="939598"/>
            </w:tcBorders>
          </w:tcPr>
          <w:p w14:paraId="76A84D10" w14:textId="77777777" w:rsidR="00345EE3" w:rsidRDefault="00345EE3" w:rsidP="00D73130">
            <w:pPr>
              <w:pStyle w:val="TableParagraph"/>
              <w:ind w:left="167"/>
              <w:jc w:val="left"/>
              <w:rPr>
                <w:sz w:val="24"/>
              </w:rPr>
            </w:pPr>
            <w:r>
              <w:rPr>
                <w:color w:val="231F20"/>
                <w:sz w:val="24"/>
              </w:rPr>
              <w:t xml:space="preserve">Other </w:t>
            </w:r>
            <w:r>
              <w:rPr>
                <w:color w:val="231F20"/>
                <w:spacing w:val="-2"/>
                <w:sz w:val="24"/>
              </w:rPr>
              <w:t>receivables</w:t>
            </w:r>
          </w:p>
          <w:p w14:paraId="31A15C9E" w14:textId="77777777" w:rsidR="00345EE3" w:rsidRDefault="00345EE3" w:rsidP="00D73130">
            <w:pPr>
              <w:pStyle w:val="TableParagraph"/>
              <w:spacing w:before="4"/>
              <w:ind w:left="167"/>
              <w:jc w:val="left"/>
              <w:rPr>
                <w:sz w:val="24"/>
              </w:rPr>
            </w:pPr>
            <w:r>
              <w:rPr>
                <w:color w:val="231F20"/>
                <w:sz w:val="24"/>
              </w:rPr>
              <w:t>(net</w:t>
            </w:r>
            <w:r>
              <w:rPr>
                <w:color w:val="231F20"/>
                <w:spacing w:val="-3"/>
                <w:sz w:val="24"/>
              </w:rPr>
              <w:t xml:space="preserve"> </w:t>
            </w:r>
            <w:r>
              <w:rPr>
                <w:color w:val="231F20"/>
                <w:sz w:val="24"/>
              </w:rPr>
              <w:t>of</w:t>
            </w:r>
            <w:r>
              <w:rPr>
                <w:color w:val="231F20"/>
                <w:spacing w:val="-4"/>
                <w:sz w:val="24"/>
              </w:rPr>
              <w:t xml:space="preserve"> </w:t>
            </w:r>
            <w:r>
              <w:rPr>
                <w:color w:val="231F20"/>
                <w:sz w:val="24"/>
              </w:rPr>
              <w:t>doubtful</w:t>
            </w:r>
            <w:r>
              <w:rPr>
                <w:color w:val="231F20"/>
                <w:spacing w:val="-3"/>
                <w:sz w:val="24"/>
              </w:rPr>
              <w:t xml:space="preserve"> </w:t>
            </w:r>
            <w:r>
              <w:rPr>
                <w:color w:val="231F20"/>
                <w:spacing w:val="-2"/>
                <w:sz w:val="24"/>
              </w:rPr>
              <w:t>receivables)</w:t>
            </w:r>
          </w:p>
        </w:tc>
        <w:tc>
          <w:tcPr>
            <w:tcW w:w="851" w:type="dxa"/>
            <w:tcBorders>
              <w:top w:val="single" w:sz="2" w:space="0" w:color="939598"/>
              <w:left w:val="single" w:sz="2" w:space="0" w:color="939598"/>
              <w:bottom w:val="single" w:sz="4" w:space="0" w:color="231F20"/>
              <w:right w:val="single" w:sz="2" w:space="0" w:color="939598"/>
            </w:tcBorders>
          </w:tcPr>
          <w:p w14:paraId="166AF257" w14:textId="77777777" w:rsidR="00345EE3" w:rsidRDefault="00345EE3" w:rsidP="00D73130">
            <w:pPr>
              <w:pStyle w:val="TableParagraph"/>
              <w:ind w:right="1"/>
              <w:rPr>
                <w:sz w:val="24"/>
              </w:rPr>
            </w:pPr>
            <w:r>
              <w:rPr>
                <w:color w:val="231F20"/>
                <w:spacing w:val="-5"/>
                <w:sz w:val="24"/>
              </w:rPr>
              <w:t>6.1</w:t>
            </w:r>
          </w:p>
        </w:tc>
        <w:tc>
          <w:tcPr>
            <w:tcW w:w="1134" w:type="dxa"/>
            <w:tcBorders>
              <w:top w:val="single" w:sz="2" w:space="0" w:color="939598"/>
              <w:left w:val="single" w:sz="2" w:space="0" w:color="939598"/>
              <w:bottom w:val="single" w:sz="4" w:space="0" w:color="231F20"/>
              <w:right w:val="single" w:sz="2" w:space="0" w:color="939598"/>
            </w:tcBorders>
          </w:tcPr>
          <w:p w14:paraId="1FDFBE63"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4" w:space="0" w:color="231F20"/>
              <w:right w:val="single" w:sz="2" w:space="0" w:color="939598"/>
            </w:tcBorders>
          </w:tcPr>
          <w:p w14:paraId="65979A14" w14:textId="77777777" w:rsidR="00345EE3" w:rsidRDefault="00345EE3" w:rsidP="00D73130">
            <w:pPr>
              <w:pStyle w:val="TableParagraph"/>
              <w:ind w:right="2"/>
              <w:rPr>
                <w:sz w:val="24"/>
              </w:rPr>
            </w:pPr>
            <w:r>
              <w:rPr>
                <w:color w:val="231F20"/>
                <w:spacing w:val="-2"/>
                <w:sz w:val="24"/>
              </w:rPr>
              <w:t>14,538</w:t>
            </w:r>
          </w:p>
        </w:tc>
        <w:tc>
          <w:tcPr>
            <w:tcW w:w="1134" w:type="dxa"/>
            <w:tcBorders>
              <w:top w:val="single" w:sz="2" w:space="0" w:color="939598"/>
              <w:left w:val="single" w:sz="2" w:space="0" w:color="939598"/>
              <w:bottom w:val="single" w:sz="4" w:space="0" w:color="231F20"/>
              <w:right w:val="single" w:sz="2" w:space="0" w:color="939598"/>
            </w:tcBorders>
          </w:tcPr>
          <w:p w14:paraId="03FEE15D"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4" w:space="0" w:color="231F20"/>
              <w:right w:val="single" w:sz="2" w:space="0" w:color="939598"/>
            </w:tcBorders>
          </w:tcPr>
          <w:p w14:paraId="64185612" w14:textId="77777777" w:rsidR="00345EE3" w:rsidRDefault="00345EE3" w:rsidP="00D73130">
            <w:pPr>
              <w:pStyle w:val="TableParagraph"/>
              <w:ind w:right="1"/>
              <w:rPr>
                <w:sz w:val="24"/>
              </w:rPr>
            </w:pPr>
            <w:r>
              <w:rPr>
                <w:color w:val="231F20"/>
                <w:sz w:val="24"/>
              </w:rPr>
              <w:t>-</w:t>
            </w:r>
          </w:p>
        </w:tc>
        <w:tc>
          <w:tcPr>
            <w:tcW w:w="1417" w:type="dxa"/>
            <w:tcBorders>
              <w:top w:val="single" w:sz="2" w:space="0" w:color="939598"/>
              <w:left w:val="single" w:sz="2" w:space="0" w:color="939598"/>
              <w:bottom w:val="single" w:sz="4" w:space="0" w:color="231F20"/>
              <w:right w:val="nil"/>
            </w:tcBorders>
          </w:tcPr>
          <w:p w14:paraId="14AACD9A" w14:textId="77777777" w:rsidR="00345EE3" w:rsidRDefault="00345EE3" w:rsidP="00D73130">
            <w:pPr>
              <w:pStyle w:val="TableParagraph"/>
              <w:ind w:right="1"/>
              <w:rPr>
                <w:sz w:val="24"/>
              </w:rPr>
            </w:pPr>
            <w:r>
              <w:rPr>
                <w:color w:val="231F20"/>
                <w:spacing w:val="-2"/>
                <w:sz w:val="24"/>
              </w:rPr>
              <w:t>14,538</w:t>
            </w:r>
          </w:p>
        </w:tc>
      </w:tr>
      <w:tr w:rsidR="00345EE3" w14:paraId="4783167B" w14:textId="77777777" w:rsidTr="00D73130">
        <w:trPr>
          <w:trHeight w:val="386"/>
        </w:trPr>
        <w:tc>
          <w:tcPr>
            <w:tcW w:w="3402" w:type="dxa"/>
            <w:tcBorders>
              <w:top w:val="single" w:sz="4" w:space="0" w:color="231F20"/>
              <w:left w:val="nil"/>
              <w:right w:val="single" w:sz="2" w:space="0" w:color="939598"/>
            </w:tcBorders>
          </w:tcPr>
          <w:p w14:paraId="1089D956" w14:textId="77777777" w:rsidR="00345EE3" w:rsidRDefault="00345EE3" w:rsidP="00D73130">
            <w:pPr>
              <w:pStyle w:val="TableParagraph"/>
              <w:spacing w:before="58"/>
              <w:ind w:left="-3"/>
              <w:jc w:val="left"/>
              <w:rPr>
                <w:b/>
                <w:sz w:val="24"/>
              </w:rPr>
            </w:pPr>
            <w:r>
              <w:rPr>
                <w:b/>
                <w:color w:val="231F20"/>
                <w:sz w:val="24"/>
              </w:rPr>
              <w:t>Total</w:t>
            </w:r>
            <w:r>
              <w:rPr>
                <w:b/>
                <w:color w:val="231F20"/>
                <w:spacing w:val="-13"/>
                <w:sz w:val="24"/>
              </w:rPr>
              <w:t xml:space="preserve"> </w:t>
            </w:r>
            <w:r>
              <w:rPr>
                <w:b/>
                <w:color w:val="231F20"/>
                <w:sz w:val="24"/>
              </w:rPr>
              <w:t>Financial</w:t>
            </w:r>
            <w:r>
              <w:rPr>
                <w:b/>
                <w:color w:val="231F20"/>
                <w:spacing w:val="-16"/>
                <w:sz w:val="24"/>
              </w:rPr>
              <w:t xml:space="preserve"> </w:t>
            </w:r>
            <w:r>
              <w:rPr>
                <w:b/>
                <w:color w:val="231F20"/>
                <w:spacing w:val="-2"/>
                <w:sz w:val="24"/>
              </w:rPr>
              <w:t>Assets</w:t>
            </w:r>
          </w:p>
        </w:tc>
        <w:tc>
          <w:tcPr>
            <w:tcW w:w="851" w:type="dxa"/>
            <w:tcBorders>
              <w:top w:val="single" w:sz="4" w:space="0" w:color="231F20"/>
              <w:left w:val="single" w:sz="2" w:space="0" w:color="939598"/>
              <w:right w:val="single" w:sz="2" w:space="0" w:color="939598"/>
            </w:tcBorders>
          </w:tcPr>
          <w:p w14:paraId="13637037"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right w:val="single" w:sz="2" w:space="0" w:color="939598"/>
            </w:tcBorders>
          </w:tcPr>
          <w:p w14:paraId="68D4BBC1"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right w:val="single" w:sz="2" w:space="0" w:color="939598"/>
            </w:tcBorders>
          </w:tcPr>
          <w:p w14:paraId="4433C9C8" w14:textId="77777777" w:rsidR="00345EE3" w:rsidRDefault="00345EE3" w:rsidP="00D73130">
            <w:pPr>
              <w:pStyle w:val="TableParagraph"/>
              <w:spacing w:before="58"/>
              <w:rPr>
                <w:b/>
                <w:sz w:val="24"/>
              </w:rPr>
            </w:pPr>
            <w:r>
              <w:rPr>
                <w:b/>
                <w:color w:val="231F20"/>
                <w:spacing w:val="-2"/>
                <w:sz w:val="24"/>
              </w:rPr>
              <w:t>69,504</w:t>
            </w:r>
          </w:p>
        </w:tc>
        <w:tc>
          <w:tcPr>
            <w:tcW w:w="1134" w:type="dxa"/>
            <w:tcBorders>
              <w:top w:val="single" w:sz="4" w:space="0" w:color="231F20"/>
              <w:left w:val="single" w:sz="2" w:space="0" w:color="939598"/>
              <w:right w:val="single" w:sz="2" w:space="0" w:color="939598"/>
            </w:tcBorders>
          </w:tcPr>
          <w:p w14:paraId="11D0E25D" w14:textId="77777777" w:rsidR="00345EE3" w:rsidRDefault="00345EE3" w:rsidP="00D73130">
            <w:pPr>
              <w:pStyle w:val="TableParagraph"/>
              <w:spacing w:before="58"/>
              <w:ind w:right="1"/>
              <w:rPr>
                <w:b/>
                <w:sz w:val="24"/>
              </w:rPr>
            </w:pPr>
            <w:r>
              <w:rPr>
                <w:b/>
                <w:color w:val="231F20"/>
                <w:sz w:val="24"/>
              </w:rPr>
              <w:t>-</w:t>
            </w:r>
          </w:p>
        </w:tc>
        <w:tc>
          <w:tcPr>
            <w:tcW w:w="1134" w:type="dxa"/>
            <w:tcBorders>
              <w:top w:val="single" w:sz="4" w:space="0" w:color="231F20"/>
              <w:left w:val="single" w:sz="2" w:space="0" w:color="939598"/>
              <w:right w:val="single" w:sz="2" w:space="0" w:color="939598"/>
            </w:tcBorders>
          </w:tcPr>
          <w:p w14:paraId="1588C20F" w14:textId="77777777" w:rsidR="00345EE3" w:rsidRDefault="00345EE3" w:rsidP="00D73130">
            <w:pPr>
              <w:pStyle w:val="TableParagraph"/>
              <w:spacing w:before="58"/>
              <w:rPr>
                <w:b/>
                <w:sz w:val="24"/>
              </w:rPr>
            </w:pPr>
            <w:r>
              <w:rPr>
                <w:b/>
                <w:color w:val="231F20"/>
                <w:spacing w:val="-2"/>
                <w:sz w:val="24"/>
              </w:rPr>
              <w:t>3,445</w:t>
            </w:r>
          </w:p>
        </w:tc>
        <w:tc>
          <w:tcPr>
            <w:tcW w:w="1417" w:type="dxa"/>
            <w:tcBorders>
              <w:top w:val="single" w:sz="4" w:space="0" w:color="231F20"/>
              <w:left w:val="single" w:sz="2" w:space="0" w:color="939598"/>
              <w:right w:val="nil"/>
            </w:tcBorders>
          </w:tcPr>
          <w:p w14:paraId="3A897CBC" w14:textId="77777777" w:rsidR="00345EE3" w:rsidRDefault="00345EE3" w:rsidP="00D73130">
            <w:pPr>
              <w:pStyle w:val="TableParagraph"/>
              <w:spacing w:before="58"/>
              <w:ind w:right="-15"/>
              <w:rPr>
                <w:b/>
                <w:sz w:val="24"/>
              </w:rPr>
            </w:pPr>
            <w:r>
              <w:rPr>
                <w:b/>
                <w:color w:val="231F20"/>
                <w:spacing w:val="-2"/>
                <w:sz w:val="24"/>
              </w:rPr>
              <w:t>66,059</w:t>
            </w:r>
          </w:p>
        </w:tc>
      </w:tr>
      <w:tr w:rsidR="00345EE3" w14:paraId="1F918365" w14:textId="77777777" w:rsidTr="00D73130">
        <w:trPr>
          <w:trHeight w:val="388"/>
        </w:trPr>
        <w:tc>
          <w:tcPr>
            <w:tcW w:w="3402" w:type="dxa"/>
            <w:tcBorders>
              <w:left w:val="nil"/>
              <w:bottom w:val="single" w:sz="2" w:space="0" w:color="939598"/>
              <w:right w:val="single" w:sz="2" w:space="0" w:color="939598"/>
            </w:tcBorders>
          </w:tcPr>
          <w:p w14:paraId="0B0252E4" w14:textId="77777777" w:rsidR="00345EE3" w:rsidRDefault="00345EE3" w:rsidP="00D73130">
            <w:pPr>
              <w:pStyle w:val="TableParagraph"/>
              <w:spacing w:before="53"/>
              <w:ind w:left="-3"/>
              <w:jc w:val="left"/>
              <w:rPr>
                <w:b/>
                <w:sz w:val="24"/>
              </w:rPr>
            </w:pPr>
            <w:r>
              <w:rPr>
                <w:b/>
                <w:color w:val="231F20"/>
                <w:sz w:val="24"/>
              </w:rPr>
              <w:t xml:space="preserve">Financial </w:t>
            </w:r>
            <w:r>
              <w:rPr>
                <w:b/>
                <w:color w:val="231F20"/>
                <w:spacing w:val="-2"/>
                <w:sz w:val="24"/>
              </w:rPr>
              <w:t>Liabilities</w:t>
            </w:r>
          </w:p>
        </w:tc>
        <w:tc>
          <w:tcPr>
            <w:tcW w:w="851" w:type="dxa"/>
            <w:tcBorders>
              <w:left w:val="single" w:sz="2" w:space="0" w:color="939598"/>
              <w:bottom w:val="single" w:sz="2" w:space="0" w:color="939598"/>
              <w:right w:val="single" w:sz="2" w:space="0" w:color="939598"/>
            </w:tcBorders>
          </w:tcPr>
          <w:p w14:paraId="73329F03"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780B1A0B"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5CF2FDD2"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71005BCB"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35CE7A46" w14:textId="77777777" w:rsidR="00345EE3" w:rsidRDefault="00345EE3" w:rsidP="00D73130">
            <w:pPr>
              <w:pStyle w:val="TableParagraph"/>
              <w:spacing w:before="0"/>
              <w:jc w:val="left"/>
              <w:rPr>
                <w:rFonts w:ascii="Times New Roman"/>
              </w:rPr>
            </w:pPr>
          </w:p>
        </w:tc>
        <w:tc>
          <w:tcPr>
            <w:tcW w:w="1417" w:type="dxa"/>
            <w:tcBorders>
              <w:left w:val="single" w:sz="2" w:space="0" w:color="939598"/>
              <w:bottom w:val="single" w:sz="2" w:space="0" w:color="939598"/>
              <w:right w:val="nil"/>
            </w:tcBorders>
          </w:tcPr>
          <w:p w14:paraId="4D35AF43" w14:textId="77777777" w:rsidR="00345EE3" w:rsidRDefault="00345EE3" w:rsidP="00D73130">
            <w:pPr>
              <w:pStyle w:val="TableParagraph"/>
              <w:spacing w:before="0"/>
              <w:jc w:val="left"/>
              <w:rPr>
                <w:rFonts w:ascii="Times New Roman"/>
              </w:rPr>
            </w:pPr>
          </w:p>
        </w:tc>
      </w:tr>
      <w:tr w:rsidR="00345EE3" w14:paraId="7780434A"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2C6A7C4E" w14:textId="77777777" w:rsidR="00345EE3" w:rsidRDefault="00345EE3" w:rsidP="00D73130">
            <w:pPr>
              <w:pStyle w:val="TableParagraph"/>
              <w:ind w:left="-3"/>
              <w:jc w:val="left"/>
              <w:rPr>
                <w:sz w:val="14"/>
              </w:rPr>
            </w:pPr>
            <w:r>
              <w:rPr>
                <w:color w:val="231F20"/>
                <w:sz w:val="24"/>
              </w:rPr>
              <w:t>Payables</w:t>
            </w:r>
            <w:r>
              <w:rPr>
                <w:color w:val="231F20"/>
                <w:spacing w:val="-28"/>
                <w:sz w:val="24"/>
              </w:rPr>
              <w:t xml:space="preserve"> </w:t>
            </w:r>
            <w:r>
              <w:rPr>
                <w:color w:val="231F20"/>
                <w:spacing w:val="-5"/>
                <w:position w:val="8"/>
                <w:sz w:val="14"/>
              </w:rPr>
              <w:t>(a)</w:t>
            </w:r>
          </w:p>
        </w:tc>
        <w:tc>
          <w:tcPr>
            <w:tcW w:w="851" w:type="dxa"/>
            <w:tcBorders>
              <w:top w:val="single" w:sz="2" w:space="0" w:color="939598"/>
              <w:left w:val="single" w:sz="2" w:space="0" w:color="939598"/>
              <w:bottom w:val="single" w:sz="2" w:space="0" w:color="939598"/>
              <w:right w:val="single" w:sz="2" w:space="0" w:color="939598"/>
            </w:tcBorders>
          </w:tcPr>
          <w:p w14:paraId="0C2F822C"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15A1908D"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72333E65"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32EDAC57"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62F964FD" w14:textId="77777777" w:rsidR="00345EE3" w:rsidRDefault="00345EE3" w:rsidP="00D73130">
            <w:pPr>
              <w:pStyle w:val="TableParagraph"/>
              <w:spacing w:before="0"/>
              <w:jc w:val="left"/>
              <w:rPr>
                <w:rFonts w:ascii="Times New Roman"/>
              </w:rPr>
            </w:pPr>
          </w:p>
        </w:tc>
        <w:tc>
          <w:tcPr>
            <w:tcW w:w="1417" w:type="dxa"/>
            <w:tcBorders>
              <w:top w:val="single" w:sz="2" w:space="0" w:color="939598"/>
              <w:left w:val="single" w:sz="2" w:space="0" w:color="939598"/>
              <w:bottom w:val="single" w:sz="2" w:space="0" w:color="939598"/>
              <w:right w:val="nil"/>
            </w:tcBorders>
          </w:tcPr>
          <w:p w14:paraId="14A42085" w14:textId="77777777" w:rsidR="00345EE3" w:rsidRDefault="00345EE3" w:rsidP="00D73130">
            <w:pPr>
              <w:pStyle w:val="TableParagraph"/>
              <w:spacing w:before="0"/>
              <w:jc w:val="left"/>
              <w:rPr>
                <w:rFonts w:ascii="Times New Roman"/>
              </w:rPr>
            </w:pPr>
          </w:p>
        </w:tc>
      </w:tr>
      <w:tr w:rsidR="00345EE3" w14:paraId="1F35E15C"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0EA257D6" w14:textId="77777777" w:rsidR="00345EE3" w:rsidRDefault="00345EE3" w:rsidP="00D73130">
            <w:pPr>
              <w:pStyle w:val="TableParagraph"/>
              <w:ind w:left="167"/>
              <w:jc w:val="left"/>
              <w:rPr>
                <w:sz w:val="24"/>
              </w:rPr>
            </w:pPr>
            <w:r>
              <w:rPr>
                <w:color w:val="231F20"/>
                <w:sz w:val="24"/>
              </w:rPr>
              <w:t>Supplies</w:t>
            </w:r>
            <w:r>
              <w:rPr>
                <w:color w:val="231F20"/>
                <w:spacing w:val="-3"/>
                <w:sz w:val="24"/>
              </w:rPr>
              <w:t xml:space="preserve"> </w:t>
            </w:r>
            <w:r>
              <w:rPr>
                <w:color w:val="231F20"/>
                <w:sz w:val="24"/>
              </w:rPr>
              <w:t>and</w:t>
            </w:r>
            <w:r>
              <w:rPr>
                <w:color w:val="231F20"/>
                <w:spacing w:val="-2"/>
                <w:sz w:val="24"/>
              </w:rPr>
              <w:t xml:space="preserve"> services</w:t>
            </w:r>
          </w:p>
        </w:tc>
        <w:tc>
          <w:tcPr>
            <w:tcW w:w="851" w:type="dxa"/>
            <w:tcBorders>
              <w:top w:val="single" w:sz="2" w:space="0" w:color="939598"/>
              <w:left w:val="single" w:sz="2" w:space="0" w:color="939598"/>
              <w:bottom w:val="single" w:sz="2" w:space="0" w:color="939598"/>
              <w:right w:val="single" w:sz="2" w:space="0" w:color="939598"/>
            </w:tcBorders>
          </w:tcPr>
          <w:p w14:paraId="05105A3A" w14:textId="77777777" w:rsidR="00345EE3" w:rsidRDefault="00345EE3" w:rsidP="00D73130">
            <w:pPr>
              <w:pStyle w:val="TableParagraph"/>
              <w:ind w:right="1"/>
              <w:rPr>
                <w:sz w:val="24"/>
              </w:rPr>
            </w:pPr>
            <w:r>
              <w:rPr>
                <w:color w:val="231F20"/>
                <w:spacing w:val="-5"/>
                <w:sz w:val="24"/>
              </w:rPr>
              <w:t>6.3</w:t>
            </w:r>
          </w:p>
        </w:tc>
        <w:tc>
          <w:tcPr>
            <w:tcW w:w="1134" w:type="dxa"/>
            <w:tcBorders>
              <w:top w:val="single" w:sz="2" w:space="0" w:color="939598"/>
              <w:left w:val="single" w:sz="2" w:space="0" w:color="939598"/>
              <w:bottom w:val="single" w:sz="2" w:space="0" w:color="939598"/>
              <w:right w:val="single" w:sz="2" w:space="0" w:color="939598"/>
            </w:tcBorders>
          </w:tcPr>
          <w:p w14:paraId="5F62205C"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52805997" w14:textId="77777777" w:rsidR="00345EE3" w:rsidRDefault="00345EE3" w:rsidP="00D73130">
            <w:pPr>
              <w:pStyle w:val="TableParagraph"/>
              <w:ind w:right="2"/>
              <w:rPr>
                <w:sz w:val="24"/>
              </w:rPr>
            </w:pPr>
            <w:r>
              <w:rPr>
                <w:color w:val="231F20"/>
                <w:spacing w:val="-2"/>
                <w:sz w:val="24"/>
              </w:rPr>
              <w:t>56,233</w:t>
            </w:r>
          </w:p>
        </w:tc>
        <w:tc>
          <w:tcPr>
            <w:tcW w:w="1134" w:type="dxa"/>
            <w:tcBorders>
              <w:top w:val="single" w:sz="2" w:space="0" w:color="939598"/>
              <w:left w:val="single" w:sz="2" w:space="0" w:color="939598"/>
              <w:bottom w:val="single" w:sz="2" w:space="0" w:color="939598"/>
              <w:right w:val="single" w:sz="2" w:space="0" w:color="939598"/>
            </w:tcBorders>
          </w:tcPr>
          <w:p w14:paraId="20F9CC7A"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tcPr>
          <w:p w14:paraId="2A2616E6" w14:textId="77777777" w:rsidR="00345EE3" w:rsidRDefault="00345EE3" w:rsidP="00D73130">
            <w:pPr>
              <w:pStyle w:val="TableParagraph"/>
              <w:ind w:right="1"/>
              <w:rPr>
                <w:sz w:val="24"/>
              </w:rPr>
            </w:pPr>
            <w:r>
              <w:rPr>
                <w:color w:val="231F20"/>
                <w:sz w:val="24"/>
              </w:rPr>
              <w:t>-</w:t>
            </w:r>
          </w:p>
        </w:tc>
        <w:tc>
          <w:tcPr>
            <w:tcW w:w="1417" w:type="dxa"/>
            <w:tcBorders>
              <w:top w:val="single" w:sz="2" w:space="0" w:color="939598"/>
              <w:left w:val="single" w:sz="2" w:space="0" w:color="939598"/>
              <w:bottom w:val="single" w:sz="2" w:space="0" w:color="939598"/>
              <w:right w:val="nil"/>
            </w:tcBorders>
          </w:tcPr>
          <w:p w14:paraId="12494056" w14:textId="77777777" w:rsidR="00345EE3" w:rsidRDefault="00345EE3" w:rsidP="00D73130">
            <w:pPr>
              <w:pStyle w:val="TableParagraph"/>
              <w:ind w:right="1"/>
              <w:rPr>
                <w:sz w:val="24"/>
              </w:rPr>
            </w:pPr>
            <w:r>
              <w:rPr>
                <w:color w:val="231F20"/>
                <w:spacing w:val="-2"/>
                <w:sz w:val="24"/>
              </w:rPr>
              <w:t>56,233</w:t>
            </w:r>
          </w:p>
        </w:tc>
      </w:tr>
      <w:tr w:rsidR="00345EE3" w14:paraId="3C9068D2" w14:textId="77777777" w:rsidTr="00D73130">
        <w:trPr>
          <w:trHeight w:val="676"/>
        </w:trPr>
        <w:tc>
          <w:tcPr>
            <w:tcW w:w="3402" w:type="dxa"/>
            <w:tcBorders>
              <w:top w:val="single" w:sz="2" w:space="0" w:color="939598"/>
              <w:left w:val="nil"/>
              <w:bottom w:val="single" w:sz="2" w:space="0" w:color="939598"/>
              <w:right w:val="single" w:sz="2" w:space="0" w:color="939598"/>
            </w:tcBorders>
          </w:tcPr>
          <w:p w14:paraId="71135026" w14:textId="77777777" w:rsidR="00345EE3" w:rsidRDefault="00345EE3" w:rsidP="00D73130">
            <w:pPr>
              <w:pStyle w:val="TableParagraph"/>
              <w:spacing w:line="242" w:lineRule="auto"/>
              <w:ind w:left="167"/>
              <w:jc w:val="left"/>
              <w:rPr>
                <w:sz w:val="24"/>
              </w:rPr>
            </w:pPr>
            <w:r>
              <w:rPr>
                <w:color w:val="231F20"/>
                <w:sz w:val="24"/>
              </w:rPr>
              <w:t>Amounts payable to government</w:t>
            </w:r>
            <w:r>
              <w:rPr>
                <w:color w:val="231F20"/>
                <w:spacing w:val="-17"/>
                <w:sz w:val="24"/>
              </w:rPr>
              <w:t xml:space="preserve"> </w:t>
            </w:r>
            <w:r>
              <w:rPr>
                <w:color w:val="231F20"/>
                <w:sz w:val="24"/>
              </w:rPr>
              <w:t>and</w:t>
            </w:r>
            <w:r>
              <w:rPr>
                <w:color w:val="231F20"/>
                <w:spacing w:val="-17"/>
                <w:sz w:val="24"/>
              </w:rPr>
              <w:t xml:space="preserve"> </w:t>
            </w:r>
            <w:r>
              <w:rPr>
                <w:color w:val="231F20"/>
                <w:sz w:val="24"/>
              </w:rPr>
              <w:t>agencies</w:t>
            </w:r>
          </w:p>
        </w:tc>
        <w:tc>
          <w:tcPr>
            <w:tcW w:w="851" w:type="dxa"/>
            <w:tcBorders>
              <w:top w:val="single" w:sz="2" w:space="0" w:color="939598"/>
              <w:left w:val="single" w:sz="2" w:space="0" w:color="939598"/>
              <w:bottom w:val="single" w:sz="2" w:space="0" w:color="939598"/>
              <w:right w:val="single" w:sz="2" w:space="0" w:color="939598"/>
            </w:tcBorders>
          </w:tcPr>
          <w:p w14:paraId="0CF6B7D2" w14:textId="77777777" w:rsidR="00345EE3" w:rsidRDefault="00345EE3" w:rsidP="00D73130">
            <w:pPr>
              <w:pStyle w:val="TableParagraph"/>
              <w:ind w:right="1"/>
              <w:rPr>
                <w:sz w:val="24"/>
              </w:rPr>
            </w:pPr>
            <w:r>
              <w:rPr>
                <w:color w:val="231F20"/>
                <w:spacing w:val="-5"/>
                <w:sz w:val="24"/>
              </w:rPr>
              <w:t>6.3</w:t>
            </w:r>
          </w:p>
        </w:tc>
        <w:tc>
          <w:tcPr>
            <w:tcW w:w="1134" w:type="dxa"/>
            <w:tcBorders>
              <w:top w:val="single" w:sz="2" w:space="0" w:color="939598"/>
              <w:left w:val="single" w:sz="2" w:space="0" w:color="939598"/>
              <w:bottom w:val="single" w:sz="2" w:space="0" w:color="939598"/>
              <w:right w:val="single" w:sz="2" w:space="0" w:color="939598"/>
            </w:tcBorders>
          </w:tcPr>
          <w:p w14:paraId="6FF6AA0F"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64E6F92F" w14:textId="77777777" w:rsidR="00345EE3" w:rsidRDefault="00345EE3" w:rsidP="00D73130">
            <w:pPr>
              <w:pStyle w:val="TableParagraph"/>
              <w:ind w:right="2"/>
              <w:rPr>
                <w:sz w:val="24"/>
              </w:rPr>
            </w:pPr>
            <w:r>
              <w:rPr>
                <w:color w:val="231F20"/>
                <w:spacing w:val="-2"/>
                <w:sz w:val="24"/>
              </w:rPr>
              <w:t>4,144</w:t>
            </w:r>
          </w:p>
        </w:tc>
        <w:tc>
          <w:tcPr>
            <w:tcW w:w="1134" w:type="dxa"/>
            <w:tcBorders>
              <w:top w:val="single" w:sz="2" w:space="0" w:color="939598"/>
              <w:left w:val="single" w:sz="2" w:space="0" w:color="939598"/>
              <w:bottom w:val="single" w:sz="2" w:space="0" w:color="939598"/>
              <w:right w:val="single" w:sz="2" w:space="0" w:color="939598"/>
            </w:tcBorders>
          </w:tcPr>
          <w:p w14:paraId="0BF2641B"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tcPr>
          <w:p w14:paraId="6CF72617" w14:textId="77777777" w:rsidR="00345EE3" w:rsidRDefault="00345EE3" w:rsidP="00D73130">
            <w:pPr>
              <w:pStyle w:val="TableParagraph"/>
              <w:ind w:right="1"/>
              <w:rPr>
                <w:sz w:val="24"/>
              </w:rPr>
            </w:pPr>
            <w:r>
              <w:rPr>
                <w:color w:val="231F20"/>
                <w:sz w:val="24"/>
              </w:rPr>
              <w:t>-</w:t>
            </w:r>
          </w:p>
        </w:tc>
        <w:tc>
          <w:tcPr>
            <w:tcW w:w="1417" w:type="dxa"/>
            <w:tcBorders>
              <w:top w:val="single" w:sz="2" w:space="0" w:color="939598"/>
              <w:left w:val="single" w:sz="2" w:space="0" w:color="939598"/>
              <w:bottom w:val="single" w:sz="2" w:space="0" w:color="939598"/>
              <w:right w:val="nil"/>
            </w:tcBorders>
          </w:tcPr>
          <w:p w14:paraId="607D28BB" w14:textId="77777777" w:rsidR="00345EE3" w:rsidRDefault="00345EE3" w:rsidP="00D73130">
            <w:pPr>
              <w:pStyle w:val="TableParagraph"/>
              <w:ind w:right="1"/>
              <w:rPr>
                <w:sz w:val="24"/>
              </w:rPr>
            </w:pPr>
            <w:r>
              <w:rPr>
                <w:color w:val="231F20"/>
                <w:spacing w:val="-2"/>
                <w:sz w:val="24"/>
              </w:rPr>
              <w:t>4,144</w:t>
            </w:r>
          </w:p>
        </w:tc>
      </w:tr>
      <w:tr w:rsidR="00345EE3" w14:paraId="3F55A91E"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0B1226CB" w14:textId="77777777" w:rsidR="00345EE3" w:rsidRDefault="00345EE3" w:rsidP="00D73130">
            <w:pPr>
              <w:pStyle w:val="TableParagraph"/>
              <w:ind w:left="167"/>
              <w:jc w:val="left"/>
              <w:rPr>
                <w:sz w:val="24"/>
              </w:rPr>
            </w:pPr>
            <w:r>
              <w:rPr>
                <w:color w:val="231F20"/>
                <w:sz w:val="24"/>
              </w:rPr>
              <w:t xml:space="preserve">Other </w:t>
            </w:r>
            <w:r>
              <w:rPr>
                <w:color w:val="231F20"/>
                <w:spacing w:val="-2"/>
                <w:sz w:val="24"/>
              </w:rPr>
              <w:t>payables</w:t>
            </w:r>
          </w:p>
        </w:tc>
        <w:tc>
          <w:tcPr>
            <w:tcW w:w="851" w:type="dxa"/>
            <w:tcBorders>
              <w:top w:val="single" w:sz="2" w:space="0" w:color="939598"/>
              <w:left w:val="single" w:sz="2" w:space="0" w:color="939598"/>
              <w:bottom w:val="single" w:sz="2" w:space="0" w:color="939598"/>
              <w:right w:val="single" w:sz="2" w:space="0" w:color="939598"/>
            </w:tcBorders>
          </w:tcPr>
          <w:p w14:paraId="5266FFCE"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5470554E"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74857882" w14:textId="77777777" w:rsidR="00345EE3" w:rsidRDefault="00345EE3" w:rsidP="00D73130">
            <w:pPr>
              <w:pStyle w:val="TableParagraph"/>
              <w:ind w:right="2"/>
              <w:rPr>
                <w:sz w:val="24"/>
              </w:rPr>
            </w:pPr>
            <w:r>
              <w:rPr>
                <w:color w:val="231F20"/>
                <w:spacing w:val="-2"/>
                <w:sz w:val="24"/>
              </w:rPr>
              <w:t>21,815</w:t>
            </w:r>
          </w:p>
        </w:tc>
        <w:tc>
          <w:tcPr>
            <w:tcW w:w="1134" w:type="dxa"/>
            <w:tcBorders>
              <w:top w:val="single" w:sz="2" w:space="0" w:color="939598"/>
              <w:left w:val="single" w:sz="2" w:space="0" w:color="939598"/>
              <w:bottom w:val="single" w:sz="2" w:space="0" w:color="939598"/>
              <w:right w:val="single" w:sz="2" w:space="0" w:color="939598"/>
            </w:tcBorders>
          </w:tcPr>
          <w:p w14:paraId="3F6D1800"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tcPr>
          <w:p w14:paraId="573E8CBE" w14:textId="77777777" w:rsidR="00345EE3" w:rsidRDefault="00345EE3" w:rsidP="00D73130">
            <w:pPr>
              <w:pStyle w:val="TableParagraph"/>
              <w:ind w:right="1"/>
              <w:rPr>
                <w:sz w:val="24"/>
              </w:rPr>
            </w:pPr>
            <w:r>
              <w:rPr>
                <w:color w:val="231F20"/>
                <w:sz w:val="24"/>
              </w:rPr>
              <w:t>-</w:t>
            </w:r>
          </w:p>
        </w:tc>
        <w:tc>
          <w:tcPr>
            <w:tcW w:w="1417" w:type="dxa"/>
            <w:tcBorders>
              <w:top w:val="single" w:sz="2" w:space="0" w:color="939598"/>
              <w:left w:val="single" w:sz="2" w:space="0" w:color="939598"/>
              <w:bottom w:val="single" w:sz="2" w:space="0" w:color="939598"/>
              <w:right w:val="nil"/>
            </w:tcBorders>
          </w:tcPr>
          <w:p w14:paraId="15AA3F93" w14:textId="77777777" w:rsidR="00345EE3" w:rsidRDefault="00345EE3" w:rsidP="00D73130">
            <w:pPr>
              <w:pStyle w:val="TableParagraph"/>
              <w:ind w:right="1"/>
              <w:rPr>
                <w:sz w:val="24"/>
              </w:rPr>
            </w:pPr>
            <w:r>
              <w:rPr>
                <w:color w:val="231F20"/>
                <w:spacing w:val="-2"/>
                <w:sz w:val="24"/>
              </w:rPr>
              <w:t>21,815</w:t>
            </w:r>
          </w:p>
        </w:tc>
      </w:tr>
      <w:tr w:rsidR="00345EE3" w14:paraId="68C08C9A"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5445BF03" w14:textId="77777777" w:rsidR="00345EE3" w:rsidRDefault="00345EE3" w:rsidP="00D73130">
            <w:pPr>
              <w:pStyle w:val="TableParagraph"/>
              <w:ind w:left="-3"/>
              <w:jc w:val="left"/>
              <w:rPr>
                <w:b/>
                <w:sz w:val="24"/>
              </w:rPr>
            </w:pPr>
            <w:r>
              <w:rPr>
                <w:b/>
                <w:color w:val="231F20"/>
                <w:spacing w:val="-2"/>
                <w:sz w:val="24"/>
              </w:rPr>
              <w:t>Borrowings</w:t>
            </w:r>
          </w:p>
        </w:tc>
        <w:tc>
          <w:tcPr>
            <w:tcW w:w="851" w:type="dxa"/>
            <w:tcBorders>
              <w:top w:val="single" w:sz="2" w:space="0" w:color="939598"/>
              <w:left w:val="single" w:sz="2" w:space="0" w:color="939598"/>
              <w:bottom w:val="single" w:sz="2" w:space="0" w:color="939598"/>
              <w:right w:val="single" w:sz="2" w:space="0" w:color="939598"/>
            </w:tcBorders>
          </w:tcPr>
          <w:p w14:paraId="12BDAB23" w14:textId="77777777" w:rsidR="00345EE3" w:rsidRDefault="00345EE3" w:rsidP="00D73130">
            <w:pPr>
              <w:pStyle w:val="TableParagraph"/>
              <w:ind w:right="1"/>
              <w:rPr>
                <w:sz w:val="24"/>
              </w:rPr>
            </w:pPr>
            <w:r>
              <w:rPr>
                <w:color w:val="231F20"/>
                <w:spacing w:val="-5"/>
                <w:sz w:val="24"/>
              </w:rPr>
              <w:t>7.1</w:t>
            </w:r>
          </w:p>
        </w:tc>
        <w:tc>
          <w:tcPr>
            <w:tcW w:w="1134" w:type="dxa"/>
            <w:tcBorders>
              <w:top w:val="single" w:sz="2" w:space="0" w:color="939598"/>
              <w:left w:val="single" w:sz="2" w:space="0" w:color="939598"/>
              <w:bottom w:val="single" w:sz="2" w:space="0" w:color="939598"/>
              <w:right w:val="single" w:sz="2" w:space="0" w:color="939598"/>
            </w:tcBorders>
          </w:tcPr>
          <w:p w14:paraId="115B176A"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6E9DEBBC"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3B698E46"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5B83DA63" w14:textId="77777777" w:rsidR="00345EE3" w:rsidRDefault="00345EE3" w:rsidP="00D73130">
            <w:pPr>
              <w:pStyle w:val="TableParagraph"/>
              <w:spacing w:before="0"/>
              <w:jc w:val="left"/>
              <w:rPr>
                <w:rFonts w:ascii="Times New Roman"/>
              </w:rPr>
            </w:pPr>
          </w:p>
        </w:tc>
        <w:tc>
          <w:tcPr>
            <w:tcW w:w="1417" w:type="dxa"/>
            <w:tcBorders>
              <w:top w:val="single" w:sz="2" w:space="0" w:color="939598"/>
              <w:left w:val="single" w:sz="2" w:space="0" w:color="939598"/>
              <w:bottom w:val="single" w:sz="2" w:space="0" w:color="939598"/>
              <w:right w:val="nil"/>
            </w:tcBorders>
          </w:tcPr>
          <w:p w14:paraId="6C5DE253" w14:textId="77777777" w:rsidR="00345EE3" w:rsidRDefault="00345EE3" w:rsidP="00D73130">
            <w:pPr>
              <w:pStyle w:val="TableParagraph"/>
              <w:spacing w:before="0"/>
              <w:jc w:val="left"/>
              <w:rPr>
                <w:rFonts w:ascii="Times New Roman"/>
              </w:rPr>
            </w:pPr>
          </w:p>
        </w:tc>
      </w:tr>
      <w:tr w:rsidR="00345EE3" w14:paraId="0F0CCAFF" w14:textId="77777777" w:rsidTr="00D73130">
        <w:trPr>
          <w:trHeight w:val="393"/>
        </w:trPr>
        <w:tc>
          <w:tcPr>
            <w:tcW w:w="3402" w:type="dxa"/>
            <w:tcBorders>
              <w:top w:val="single" w:sz="2" w:space="0" w:color="939598"/>
              <w:left w:val="nil"/>
              <w:bottom w:val="single" w:sz="4" w:space="0" w:color="231F20"/>
              <w:right w:val="single" w:sz="2" w:space="0" w:color="939598"/>
            </w:tcBorders>
          </w:tcPr>
          <w:p w14:paraId="3DDED2ED" w14:textId="77777777" w:rsidR="00345EE3" w:rsidRDefault="00345EE3" w:rsidP="00D73130">
            <w:pPr>
              <w:pStyle w:val="TableParagraph"/>
              <w:ind w:left="167"/>
              <w:jc w:val="left"/>
              <w:rPr>
                <w:sz w:val="24"/>
              </w:rPr>
            </w:pPr>
            <w:r>
              <w:rPr>
                <w:color w:val="231F20"/>
                <w:sz w:val="24"/>
              </w:rPr>
              <w:t>Lease</w:t>
            </w:r>
            <w:r>
              <w:rPr>
                <w:color w:val="231F20"/>
                <w:spacing w:val="-5"/>
                <w:sz w:val="24"/>
              </w:rPr>
              <w:t xml:space="preserve"> </w:t>
            </w:r>
            <w:r>
              <w:rPr>
                <w:color w:val="231F20"/>
                <w:spacing w:val="-2"/>
                <w:sz w:val="24"/>
              </w:rPr>
              <w:t>liabilities</w:t>
            </w:r>
          </w:p>
        </w:tc>
        <w:tc>
          <w:tcPr>
            <w:tcW w:w="851" w:type="dxa"/>
            <w:tcBorders>
              <w:top w:val="single" w:sz="2" w:space="0" w:color="939598"/>
              <w:left w:val="single" w:sz="2" w:space="0" w:color="939598"/>
              <w:bottom w:val="single" w:sz="4" w:space="0" w:color="231F20"/>
              <w:right w:val="single" w:sz="2" w:space="0" w:color="939598"/>
            </w:tcBorders>
          </w:tcPr>
          <w:p w14:paraId="284EA5EA"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4" w:space="0" w:color="231F20"/>
              <w:right w:val="single" w:sz="2" w:space="0" w:color="939598"/>
            </w:tcBorders>
          </w:tcPr>
          <w:p w14:paraId="6C3FD759" w14:textId="77777777" w:rsidR="00345EE3" w:rsidRDefault="00345EE3" w:rsidP="00D73130">
            <w:pPr>
              <w:pStyle w:val="TableParagraph"/>
              <w:ind w:right="2"/>
              <w:rPr>
                <w:sz w:val="24"/>
              </w:rPr>
            </w:pPr>
            <w:r>
              <w:rPr>
                <w:color w:val="231F20"/>
                <w:spacing w:val="-2"/>
                <w:sz w:val="24"/>
              </w:rPr>
              <w:t>3.05%</w:t>
            </w:r>
          </w:p>
        </w:tc>
        <w:tc>
          <w:tcPr>
            <w:tcW w:w="1134" w:type="dxa"/>
            <w:tcBorders>
              <w:top w:val="single" w:sz="2" w:space="0" w:color="939598"/>
              <w:left w:val="single" w:sz="2" w:space="0" w:color="939598"/>
              <w:bottom w:val="single" w:sz="4" w:space="0" w:color="231F20"/>
              <w:right w:val="single" w:sz="2" w:space="0" w:color="939598"/>
            </w:tcBorders>
          </w:tcPr>
          <w:p w14:paraId="68356D43" w14:textId="77777777" w:rsidR="00345EE3" w:rsidRDefault="00345EE3" w:rsidP="00D73130">
            <w:pPr>
              <w:pStyle w:val="TableParagraph"/>
              <w:ind w:right="2"/>
              <w:rPr>
                <w:sz w:val="24"/>
              </w:rPr>
            </w:pPr>
            <w:r>
              <w:rPr>
                <w:color w:val="231F20"/>
                <w:spacing w:val="-2"/>
                <w:sz w:val="24"/>
              </w:rPr>
              <w:t>1,888,860</w:t>
            </w:r>
          </w:p>
        </w:tc>
        <w:tc>
          <w:tcPr>
            <w:tcW w:w="1134" w:type="dxa"/>
            <w:tcBorders>
              <w:top w:val="single" w:sz="2" w:space="0" w:color="939598"/>
              <w:left w:val="single" w:sz="2" w:space="0" w:color="939598"/>
              <w:bottom w:val="single" w:sz="4" w:space="0" w:color="231F20"/>
              <w:right w:val="single" w:sz="2" w:space="0" w:color="939598"/>
            </w:tcBorders>
          </w:tcPr>
          <w:p w14:paraId="64AD8DF6" w14:textId="77777777" w:rsidR="00345EE3" w:rsidRDefault="00345EE3" w:rsidP="00D73130">
            <w:pPr>
              <w:pStyle w:val="TableParagraph"/>
              <w:ind w:right="2"/>
              <w:rPr>
                <w:sz w:val="24"/>
              </w:rPr>
            </w:pPr>
            <w:r>
              <w:rPr>
                <w:color w:val="231F20"/>
                <w:spacing w:val="-2"/>
                <w:sz w:val="24"/>
              </w:rPr>
              <w:t>1,888,860</w:t>
            </w:r>
          </w:p>
        </w:tc>
        <w:tc>
          <w:tcPr>
            <w:tcW w:w="1134" w:type="dxa"/>
            <w:tcBorders>
              <w:top w:val="single" w:sz="2" w:space="0" w:color="939598"/>
              <w:left w:val="single" w:sz="2" w:space="0" w:color="939598"/>
              <w:bottom w:val="single" w:sz="4" w:space="0" w:color="231F20"/>
              <w:right w:val="single" w:sz="2" w:space="0" w:color="939598"/>
            </w:tcBorders>
          </w:tcPr>
          <w:p w14:paraId="712C0269" w14:textId="77777777" w:rsidR="00345EE3" w:rsidRDefault="00345EE3" w:rsidP="00D73130">
            <w:pPr>
              <w:pStyle w:val="TableParagraph"/>
              <w:rPr>
                <w:sz w:val="24"/>
              </w:rPr>
            </w:pPr>
            <w:r>
              <w:rPr>
                <w:color w:val="231F20"/>
                <w:sz w:val="24"/>
              </w:rPr>
              <w:t>-</w:t>
            </w:r>
          </w:p>
        </w:tc>
        <w:tc>
          <w:tcPr>
            <w:tcW w:w="1417" w:type="dxa"/>
            <w:tcBorders>
              <w:top w:val="single" w:sz="2" w:space="0" w:color="939598"/>
              <w:left w:val="single" w:sz="2" w:space="0" w:color="939598"/>
              <w:bottom w:val="single" w:sz="4" w:space="0" w:color="231F20"/>
              <w:right w:val="nil"/>
            </w:tcBorders>
          </w:tcPr>
          <w:p w14:paraId="40657380" w14:textId="77777777" w:rsidR="00345EE3" w:rsidRDefault="00345EE3" w:rsidP="00D73130">
            <w:pPr>
              <w:pStyle w:val="TableParagraph"/>
              <w:ind w:right="-15"/>
              <w:rPr>
                <w:sz w:val="24"/>
              </w:rPr>
            </w:pPr>
            <w:r>
              <w:rPr>
                <w:color w:val="231F20"/>
                <w:sz w:val="24"/>
              </w:rPr>
              <w:t>-</w:t>
            </w:r>
          </w:p>
        </w:tc>
      </w:tr>
      <w:tr w:rsidR="00345EE3" w14:paraId="15A3C4C6" w14:textId="77777777" w:rsidTr="00D73130">
        <w:trPr>
          <w:trHeight w:val="386"/>
        </w:trPr>
        <w:tc>
          <w:tcPr>
            <w:tcW w:w="3402" w:type="dxa"/>
            <w:tcBorders>
              <w:top w:val="single" w:sz="4" w:space="0" w:color="231F20"/>
              <w:left w:val="nil"/>
              <w:right w:val="single" w:sz="2" w:space="0" w:color="939598"/>
            </w:tcBorders>
          </w:tcPr>
          <w:p w14:paraId="78D455C6" w14:textId="77777777" w:rsidR="00345EE3" w:rsidRDefault="00345EE3" w:rsidP="00D73130">
            <w:pPr>
              <w:pStyle w:val="TableParagraph"/>
              <w:spacing w:before="58"/>
              <w:ind w:left="-4"/>
              <w:jc w:val="left"/>
              <w:rPr>
                <w:b/>
                <w:sz w:val="24"/>
              </w:rPr>
            </w:pPr>
            <w:r>
              <w:rPr>
                <w:b/>
                <w:color w:val="231F20"/>
                <w:sz w:val="24"/>
              </w:rPr>
              <w:t>Total</w:t>
            </w:r>
            <w:r>
              <w:rPr>
                <w:b/>
                <w:color w:val="231F20"/>
                <w:spacing w:val="-11"/>
                <w:sz w:val="24"/>
              </w:rPr>
              <w:t xml:space="preserve"> </w:t>
            </w:r>
            <w:r>
              <w:rPr>
                <w:b/>
                <w:color w:val="231F20"/>
                <w:sz w:val="24"/>
              </w:rPr>
              <w:t>Financial</w:t>
            </w:r>
            <w:r>
              <w:rPr>
                <w:b/>
                <w:color w:val="231F20"/>
                <w:spacing w:val="-9"/>
                <w:sz w:val="24"/>
              </w:rPr>
              <w:t xml:space="preserve"> </w:t>
            </w:r>
            <w:r>
              <w:rPr>
                <w:b/>
                <w:color w:val="231F20"/>
                <w:spacing w:val="-2"/>
                <w:sz w:val="24"/>
              </w:rPr>
              <w:t>Liabilities</w:t>
            </w:r>
          </w:p>
        </w:tc>
        <w:tc>
          <w:tcPr>
            <w:tcW w:w="851" w:type="dxa"/>
            <w:tcBorders>
              <w:top w:val="single" w:sz="4" w:space="0" w:color="231F20"/>
              <w:left w:val="single" w:sz="2" w:space="0" w:color="939598"/>
              <w:right w:val="single" w:sz="2" w:space="0" w:color="939598"/>
            </w:tcBorders>
          </w:tcPr>
          <w:p w14:paraId="04EB9587"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right w:val="single" w:sz="2" w:space="0" w:color="939598"/>
            </w:tcBorders>
          </w:tcPr>
          <w:p w14:paraId="5CD4149D"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right w:val="single" w:sz="2" w:space="0" w:color="939598"/>
            </w:tcBorders>
          </w:tcPr>
          <w:p w14:paraId="4F27AA32" w14:textId="77777777" w:rsidR="00345EE3" w:rsidRDefault="00345EE3" w:rsidP="00D73130">
            <w:pPr>
              <w:pStyle w:val="TableParagraph"/>
              <w:spacing w:before="58"/>
              <w:rPr>
                <w:b/>
                <w:sz w:val="24"/>
              </w:rPr>
            </w:pPr>
            <w:r>
              <w:rPr>
                <w:b/>
                <w:color w:val="231F20"/>
                <w:spacing w:val="-2"/>
                <w:sz w:val="24"/>
              </w:rPr>
              <w:t>1,971,052</w:t>
            </w:r>
          </w:p>
        </w:tc>
        <w:tc>
          <w:tcPr>
            <w:tcW w:w="1134" w:type="dxa"/>
            <w:tcBorders>
              <w:top w:val="single" w:sz="4" w:space="0" w:color="231F20"/>
              <w:left w:val="single" w:sz="2" w:space="0" w:color="939598"/>
              <w:right w:val="single" w:sz="2" w:space="0" w:color="939598"/>
            </w:tcBorders>
          </w:tcPr>
          <w:p w14:paraId="3FB90DDD" w14:textId="77777777" w:rsidR="00345EE3" w:rsidRDefault="00345EE3" w:rsidP="00D73130">
            <w:pPr>
              <w:pStyle w:val="TableParagraph"/>
              <w:spacing w:before="58"/>
              <w:rPr>
                <w:b/>
                <w:sz w:val="24"/>
              </w:rPr>
            </w:pPr>
            <w:r>
              <w:rPr>
                <w:b/>
                <w:color w:val="231F20"/>
                <w:spacing w:val="-2"/>
                <w:sz w:val="24"/>
              </w:rPr>
              <w:t>1,888,860</w:t>
            </w:r>
          </w:p>
        </w:tc>
        <w:tc>
          <w:tcPr>
            <w:tcW w:w="1134" w:type="dxa"/>
            <w:tcBorders>
              <w:top w:val="single" w:sz="4" w:space="0" w:color="231F20"/>
              <w:left w:val="single" w:sz="2" w:space="0" w:color="939598"/>
              <w:right w:val="single" w:sz="2" w:space="0" w:color="939598"/>
            </w:tcBorders>
          </w:tcPr>
          <w:p w14:paraId="3955BEFD" w14:textId="77777777" w:rsidR="00345EE3" w:rsidRDefault="00345EE3" w:rsidP="00D73130">
            <w:pPr>
              <w:pStyle w:val="TableParagraph"/>
              <w:spacing w:before="58"/>
              <w:rPr>
                <w:b/>
                <w:sz w:val="24"/>
              </w:rPr>
            </w:pPr>
            <w:r>
              <w:rPr>
                <w:b/>
                <w:color w:val="231F20"/>
                <w:sz w:val="24"/>
              </w:rPr>
              <w:t>-</w:t>
            </w:r>
          </w:p>
        </w:tc>
        <w:tc>
          <w:tcPr>
            <w:tcW w:w="1417" w:type="dxa"/>
            <w:tcBorders>
              <w:top w:val="single" w:sz="4" w:space="0" w:color="231F20"/>
              <w:left w:val="single" w:sz="2" w:space="0" w:color="939598"/>
              <w:right w:val="nil"/>
            </w:tcBorders>
          </w:tcPr>
          <w:p w14:paraId="298CB260" w14:textId="77777777" w:rsidR="00345EE3" w:rsidRDefault="00345EE3" w:rsidP="00D73130">
            <w:pPr>
              <w:pStyle w:val="TableParagraph"/>
              <w:spacing w:before="58"/>
              <w:rPr>
                <w:b/>
                <w:sz w:val="24"/>
              </w:rPr>
            </w:pPr>
            <w:r>
              <w:rPr>
                <w:b/>
                <w:color w:val="231F20"/>
                <w:spacing w:val="-2"/>
                <w:sz w:val="24"/>
              </w:rPr>
              <w:t>82,192</w:t>
            </w:r>
          </w:p>
        </w:tc>
      </w:tr>
    </w:tbl>
    <w:p w14:paraId="46C0A6BD" w14:textId="77777777" w:rsidR="00345EE3" w:rsidRPr="00804409" w:rsidRDefault="00345EE3" w:rsidP="00345EE3">
      <w:pPr>
        <w:spacing w:before="72"/>
        <w:ind w:left="110"/>
        <w:rPr>
          <w:rFonts w:ascii="Arial-BoldItalicMT"/>
          <w:b/>
          <w:i/>
          <w:sz w:val="18"/>
          <w:szCs w:val="18"/>
        </w:rPr>
      </w:pPr>
      <w:r w:rsidRPr="00804409">
        <w:rPr>
          <w:rFonts w:ascii="Arial-BoldItalicMT"/>
          <w:b/>
          <w:i/>
          <w:color w:val="231F20"/>
          <w:spacing w:val="-2"/>
          <w:sz w:val="18"/>
          <w:szCs w:val="18"/>
        </w:rPr>
        <w:t>Note:</w:t>
      </w:r>
    </w:p>
    <w:p w14:paraId="67C96D16" w14:textId="77777777" w:rsidR="00345EE3" w:rsidRPr="00804409" w:rsidRDefault="00345EE3" w:rsidP="00345EE3">
      <w:pPr>
        <w:spacing w:before="27"/>
        <w:ind w:left="337" w:right="327" w:hanging="227"/>
        <w:rPr>
          <w:sz w:val="18"/>
          <w:szCs w:val="18"/>
        </w:rPr>
      </w:pPr>
      <w:r w:rsidRPr="00804409">
        <w:rPr>
          <w:color w:val="231F20"/>
          <w:sz w:val="18"/>
          <w:szCs w:val="18"/>
        </w:rPr>
        <w:t>(a)</w:t>
      </w:r>
      <w:r w:rsidRPr="00804409">
        <w:rPr>
          <w:color w:val="231F20"/>
          <w:spacing w:val="29"/>
          <w:sz w:val="18"/>
          <w:szCs w:val="18"/>
        </w:rPr>
        <w:t xml:space="preserve"> </w:t>
      </w:r>
      <w:r w:rsidRPr="00804409">
        <w:rPr>
          <w:color w:val="231F20"/>
          <w:sz w:val="18"/>
          <w:szCs w:val="18"/>
        </w:rPr>
        <w:t>The</w:t>
      </w:r>
      <w:r w:rsidRPr="00804409">
        <w:rPr>
          <w:color w:val="231F20"/>
          <w:spacing w:val="-1"/>
          <w:sz w:val="18"/>
          <w:szCs w:val="18"/>
        </w:rPr>
        <w:t xml:space="preserve"> </w:t>
      </w:r>
      <w:r w:rsidRPr="00804409">
        <w:rPr>
          <w:color w:val="231F20"/>
          <w:sz w:val="18"/>
          <w:szCs w:val="18"/>
        </w:rPr>
        <w:t>total</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disclosed</w:t>
      </w:r>
      <w:r w:rsidRPr="00804409">
        <w:rPr>
          <w:color w:val="231F20"/>
          <w:spacing w:val="-1"/>
          <w:sz w:val="18"/>
          <w:szCs w:val="18"/>
        </w:rPr>
        <w:t xml:space="preserve"> </w:t>
      </w:r>
      <w:r w:rsidRPr="00804409">
        <w:rPr>
          <w:color w:val="231F20"/>
          <w:sz w:val="18"/>
          <w:szCs w:val="18"/>
        </w:rPr>
        <w:t>here</w:t>
      </w:r>
      <w:r w:rsidRPr="00804409">
        <w:rPr>
          <w:color w:val="231F20"/>
          <w:spacing w:val="-1"/>
          <w:sz w:val="18"/>
          <w:szCs w:val="18"/>
        </w:rPr>
        <w:t xml:space="preserve"> </w:t>
      </w:r>
      <w:r w:rsidRPr="00804409">
        <w:rPr>
          <w:color w:val="231F20"/>
          <w:sz w:val="18"/>
          <w:szCs w:val="18"/>
        </w:rPr>
        <w:t>exclude</w:t>
      </w:r>
      <w:r w:rsidRPr="00804409">
        <w:rPr>
          <w:color w:val="231F20"/>
          <w:spacing w:val="-1"/>
          <w:sz w:val="18"/>
          <w:szCs w:val="18"/>
        </w:rPr>
        <w:t xml:space="preserve"> </w:t>
      </w:r>
      <w:r w:rsidRPr="00804409">
        <w:rPr>
          <w:color w:val="231F20"/>
          <w:sz w:val="18"/>
          <w:szCs w:val="18"/>
        </w:rPr>
        <w:t>statutory</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(e.g.</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owing</w:t>
      </w:r>
      <w:r w:rsidRPr="00804409">
        <w:rPr>
          <w:color w:val="231F20"/>
          <w:spacing w:val="-1"/>
          <w:sz w:val="18"/>
          <w:szCs w:val="18"/>
        </w:rPr>
        <w:t xml:space="preserve"> </w:t>
      </w:r>
      <w:r w:rsidRPr="00804409">
        <w:rPr>
          <w:color w:val="231F20"/>
          <w:sz w:val="18"/>
          <w:szCs w:val="18"/>
        </w:rPr>
        <w:t>from</w:t>
      </w:r>
      <w:r w:rsidRPr="00804409">
        <w:rPr>
          <w:color w:val="231F20"/>
          <w:spacing w:val="-1"/>
          <w:sz w:val="18"/>
          <w:szCs w:val="18"/>
        </w:rPr>
        <w:t xml:space="preserve"> </w:t>
      </w:r>
      <w:r w:rsidRPr="00804409">
        <w:rPr>
          <w:color w:val="231F20"/>
          <w:sz w:val="18"/>
          <w:szCs w:val="18"/>
        </w:rPr>
        <w:t>the</w:t>
      </w:r>
      <w:r w:rsidRPr="00804409">
        <w:rPr>
          <w:color w:val="231F20"/>
          <w:spacing w:val="-1"/>
          <w:sz w:val="18"/>
          <w:szCs w:val="18"/>
        </w:rPr>
        <w:t xml:space="preserve"> </w:t>
      </w:r>
      <w:r w:rsidRPr="00804409">
        <w:rPr>
          <w:color w:val="231F20"/>
          <w:sz w:val="18"/>
          <w:szCs w:val="18"/>
        </w:rPr>
        <w:t>Department</w:t>
      </w:r>
      <w:r w:rsidRPr="00804409">
        <w:rPr>
          <w:color w:val="231F20"/>
          <w:spacing w:val="-1"/>
          <w:sz w:val="18"/>
          <w:szCs w:val="18"/>
        </w:rPr>
        <w:t xml:space="preserve"> </w:t>
      </w:r>
      <w:r w:rsidRPr="00804409">
        <w:rPr>
          <w:color w:val="231F20"/>
          <w:sz w:val="18"/>
          <w:szCs w:val="18"/>
        </w:rPr>
        <w:t>of</w:t>
      </w:r>
      <w:r w:rsidRPr="00804409">
        <w:rPr>
          <w:color w:val="231F20"/>
          <w:spacing w:val="-1"/>
          <w:sz w:val="18"/>
          <w:szCs w:val="18"/>
        </w:rPr>
        <w:t xml:space="preserve"> </w:t>
      </w:r>
      <w:r w:rsidRPr="00804409">
        <w:rPr>
          <w:color w:val="231F20"/>
          <w:sz w:val="18"/>
          <w:szCs w:val="18"/>
        </w:rPr>
        <w:t>Justice</w:t>
      </w:r>
      <w:r w:rsidRPr="00804409">
        <w:rPr>
          <w:color w:val="231F20"/>
          <w:spacing w:val="-1"/>
          <w:sz w:val="18"/>
          <w:szCs w:val="18"/>
        </w:rPr>
        <w:t xml:space="preserve"> </w:t>
      </w:r>
      <w:r w:rsidRPr="00804409">
        <w:rPr>
          <w:color w:val="231F20"/>
          <w:sz w:val="18"/>
          <w:szCs w:val="18"/>
        </w:rPr>
        <w:t>and</w:t>
      </w:r>
      <w:r w:rsidRPr="00804409">
        <w:rPr>
          <w:color w:val="231F20"/>
          <w:spacing w:val="-1"/>
          <w:sz w:val="18"/>
          <w:szCs w:val="18"/>
        </w:rPr>
        <w:t xml:space="preserve"> </w:t>
      </w:r>
      <w:r w:rsidRPr="00804409">
        <w:rPr>
          <w:color w:val="231F20"/>
          <w:sz w:val="18"/>
          <w:szCs w:val="18"/>
        </w:rPr>
        <w:t>Community</w:t>
      </w:r>
      <w:r w:rsidRPr="00804409">
        <w:rPr>
          <w:color w:val="231F20"/>
          <w:spacing w:val="-1"/>
          <w:sz w:val="18"/>
          <w:szCs w:val="18"/>
        </w:rPr>
        <w:t xml:space="preserve"> </w:t>
      </w:r>
      <w:r w:rsidRPr="00804409">
        <w:rPr>
          <w:color w:val="231F20"/>
          <w:sz w:val="18"/>
          <w:szCs w:val="18"/>
        </w:rPr>
        <w:t>Safety</w:t>
      </w:r>
      <w:r w:rsidRPr="00804409">
        <w:rPr>
          <w:color w:val="231F20"/>
          <w:spacing w:val="-1"/>
          <w:sz w:val="18"/>
          <w:szCs w:val="18"/>
        </w:rPr>
        <w:t xml:space="preserve"> </w:t>
      </w:r>
      <w:r w:rsidRPr="00804409">
        <w:rPr>
          <w:color w:val="231F20"/>
          <w:sz w:val="18"/>
          <w:szCs w:val="18"/>
        </w:rPr>
        <w:t>and</w:t>
      </w:r>
      <w:r w:rsidRPr="00804409">
        <w:rPr>
          <w:color w:val="231F20"/>
          <w:spacing w:val="-1"/>
          <w:sz w:val="18"/>
          <w:szCs w:val="18"/>
        </w:rPr>
        <w:t xml:space="preserve"> </w:t>
      </w:r>
      <w:r w:rsidRPr="00804409">
        <w:rPr>
          <w:color w:val="231F20"/>
          <w:sz w:val="18"/>
          <w:szCs w:val="18"/>
        </w:rPr>
        <w:t>GST</w:t>
      </w:r>
      <w:r w:rsidRPr="00804409">
        <w:rPr>
          <w:color w:val="231F20"/>
          <w:spacing w:val="-1"/>
          <w:sz w:val="18"/>
          <w:szCs w:val="18"/>
        </w:rPr>
        <w:t xml:space="preserve"> </w:t>
      </w:r>
      <w:r w:rsidRPr="00804409">
        <w:rPr>
          <w:color w:val="231F20"/>
          <w:sz w:val="18"/>
          <w:szCs w:val="18"/>
        </w:rPr>
        <w:t>input</w:t>
      </w:r>
      <w:r w:rsidRPr="00804409">
        <w:rPr>
          <w:color w:val="231F20"/>
          <w:spacing w:val="-1"/>
          <w:sz w:val="18"/>
          <w:szCs w:val="18"/>
        </w:rPr>
        <w:t xml:space="preserve"> </w:t>
      </w:r>
      <w:r w:rsidRPr="00804409">
        <w:rPr>
          <w:color w:val="231F20"/>
          <w:sz w:val="18"/>
          <w:szCs w:val="18"/>
        </w:rPr>
        <w:t>tax</w:t>
      </w:r>
      <w:r w:rsidRPr="00804409">
        <w:rPr>
          <w:color w:val="231F20"/>
          <w:spacing w:val="40"/>
          <w:sz w:val="18"/>
          <w:szCs w:val="18"/>
        </w:rPr>
        <w:t xml:space="preserve"> </w:t>
      </w:r>
      <w:r w:rsidRPr="00804409">
        <w:rPr>
          <w:color w:val="231F20"/>
          <w:sz w:val="18"/>
          <w:szCs w:val="18"/>
        </w:rPr>
        <w:t>credit recoverable and taxes payable).</w:t>
      </w:r>
    </w:p>
    <w:p w14:paraId="356AC952" w14:textId="77777777" w:rsidR="00345EE3" w:rsidRDefault="00345EE3" w:rsidP="00345EE3">
      <w:pPr>
        <w:pStyle w:val="BodyText"/>
        <w:spacing w:before="9"/>
        <w:rPr>
          <w:sz w:val="21"/>
        </w:rPr>
      </w:pPr>
    </w:p>
    <w:p w14:paraId="5CBA30F2" w14:textId="77777777" w:rsidR="00345EE3" w:rsidRDefault="00345EE3" w:rsidP="00345EE3">
      <w:pPr>
        <w:pStyle w:val="Heading5"/>
        <w:spacing w:before="0"/>
      </w:pPr>
      <w:r>
        <w:rPr>
          <w:color w:val="231F20"/>
        </w:rPr>
        <w:t>Interest Rate</w:t>
      </w:r>
      <w:r>
        <w:rPr>
          <w:color w:val="231F20"/>
          <w:spacing w:val="-1"/>
        </w:rPr>
        <w:t xml:space="preserve"> </w:t>
      </w:r>
      <w:r>
        <w:rPr>
          <w:color w:val="231F20"/>
        </w:rPr>
        <w:t>Sensitivity</w:t>
      </w:r>
      <w:r>
        <w:rPr>
          <w:color w:val="231F20"/>
          <w:spacing w:val="-1"/>
        </w:rPr>
        <w:t xml:space="preserve"> </w:t>
      </w:r>
      <w:r>
        <w:rPr>
          <w:color w:val="231F20"/>
          <w:spacing w:val="-2"/>
        </w:rPr>
        <w:t>Analysis</w:t>
      </w:r>
    </w:p>
    <w:p w14:paraId="6DF48BCD" w14:textId="77777777" w:rsidR="00345EE3" w:rsidRDefault="00345EE3" w:rsidP="00345EE3">
      <w:pPr>
        <w:pStyle w:val="BodyText"/>
        <w:spacing w:before="61" w:line="242" w:lineRule="auto"/>
        <w:ind w:right="115"/>
      </w:pPr>
      <w:r>
        <w:rPr>
          <w:color w:val="231F20"/>
        </w:rPr>
        <w:t>As</w:t>
      </w:r>
      <w:r>
        <w:rPr>
          <w:color w:val="231F20"/>
          <w:spacing w:val="-9"/>
        </w:rPr>
        <w:t xml:space="preserve"> </w:t>
      </w:r>
      <w:r>
        <w:rPr>
          <w:color w:val="231F20"/>
        </w:rPr>
        <w:t>Victoria</w:t>
      </w:r>
      <w:r>
        <w:rPr>
          <w:color w:val="231F20"/>
          <w:spacing w:val="-10"/>
        </w:rPr>
        <w:t xml:space="preserve"> </w:t>
      </w:r>
      <w:r>
        <w:rPr>
          <w:color w:val="231F20"/>
        </w:rPr>
        <w:t>Police’s</w:t>
      </w:r>
      <w:r>
        <w:rPr>
          <w:color w:val="231F20"/>
          <w:spacing w:val="-9"/>
        </w:rPr>
        <w:t xml:space="preserve"> </w:t>
      </w:r>
      <w:r>
        <w:rPr>
          <w:color w:val="231F20"/>
        </w:rPr>
        <w:t>exposure</w:t>
      </w:r>
      <w:r>
        <w:rPr>
          <w:color w:val="231F20"/>
          <w:spacing w:val="-10"/>
        </w:rPr>
        <w:t xml:space="preserve"> </w:t>
      </w:r>
      <w:r>
        <w:rPr>
          <w:color w:val="231F20"/>
        </w:rPr>
        <w:t>to</w:t>
      </w:r>
      <w:r>
        <w:rPr>
          <w:color w:val="231F20"/>
          <w:spacing w:val="-10"/>
        </w:rPr>
        <w:t xml:space="preserve"> </w:t>
      </w:r>
      <w:r>
        <w:rPr>
          <w:color w:val="231F20"/>
        </w:rPr>
        <w:t>interest</w:t>
      </w:r>
      <w:r>
        <w:rPr>
          <w:color w:val="231F20"/>
          <w:spacing w:val="-9"/>
        </w:rPr>
        <w:t xml:space="preserve"> </w:t>
      </w:r>
      <w:r>
        <w:rPr>
          <w:color w:val="231F20"/>
        </w:rPr>
        <w:t>rate</w:t>
      </w:r>
      <w:r>
        <w:rPr>
          <w:color w:val="231F20"/>
          <w:spacing w:val="-10"/>
        </w:rPr>
        <w:t xml:space="preserve"> </w:t>
      </w:r>
      <w:r>
        <w:rPr>
          <w:color w:val="231F20"/>
        </w:rPr>
        <w:t>risk</w:t>
      </w:r>
      <w:r>
        <w:rPr>
          <w:color w:val="231F20"/>
          <w:spacing w:val="-9"/>
        </w:rPr>
        <w:t xml:space="preserve"> </w:t>
      </w:r>
      <w:r>
        <w:rPr>
          <w:color w:val="231F20"/>
        </w:rPr>
        <w:t>sensitivity</w:t>
      </w:r>
      <w:r>
        <w:rPr>
          <w:color w:val="231F20"/>
          <w:spacing w:val="-9"/>
        </w:rPr>
        <w:t xml:space="preserve"> </w:t>
      </w:r>
      <w:r>
        <w:rPr>
          <w:color w:val="231F20"/>
        </w:rPr>
        <w:t>is</w:t>
      </w:r>
      <w:r>
        <w:rPr>
          <w:color w:val="231F20"/>
          <w:spacing w:val="-9"/>
        </w:rPr>
        <w:t xml:space="preserve"> </w:t>
      </w:r>
      <w:r>
        <w:rPr>
          <w:color w:val="231F20"/>
        </w:rPr>
        <w:t>deemed</w:t>
      </w:r>
      <w:r>
        <w:rPr>
          <w:color w:val="231F20"/>
          <w:spacing w:val="-10"/>
        </w:rPr>
        <w:t xml:space="preserve"> </w:t>
      </w:r>
      <w:r>
        <w:rPr>
          <w:color w:val="231F20"/>
        </w:rPr>
        <w:t>insignificant</w:t>
      </w:r>
      <w:r>
        <w:rPr>
          <w:color w:val="231F20"/>
          <w:spacing w:val="-9"/>
        </w:rPr>
        <w:t xml:space="preserve"> </w:t>
      </w:r>
      <w:r>
        <w:rPr>
          <w:color w:val="231F20"/>
        </w:rPr>
        <w:t>as</w:t>
      </w:r>
      <w:r>
        <w:rPr>
          <w:color w:val="231F20"/>
          <w:spacing w:val="-9"/>
        </w:rPr>
        <w:t xml:space="preserve"> </w:t>
      </w:r>
      <w:r>
        <w:rPr>
          <w:color w:val="231F20"/>
        </w:rPr>
        <w:t>the</w:t>
      </w:r>
      <w:r>
        <w:rPr>
          <w:color w:val="231F20"/>
          <w:spacing w:val="-10"/>
        </w:rPr>
        <w:t xml:space="preserve"> </w:t>
      </w:r>
      <w:r>
        <w:rPr>
          <w:color w:val="231F20"/>
        </w:rPr>
        <w:t>cash and</w:t>
      </w:r>
      <w:r>
        <w:rPr>
          <w:color w:val="231F20"/>
          <w:spacing w:val="-11"/>
        </w:rPr>
        <w:t xml:space="preserve"> </w:t>
      </w:r>
      <w:r>
        <w:rPr>
          <w:color w:val="231F20"/>
        </w:rPr>
        <w:t>deposit</w:t>
      </w:r>
      <w:r>
        <w:rPr>
          <w:color w:val="231F20"/>
          <w:spacing w:val="-8"/>
        </w:rPr>
        <w:t xml:space="preserve"> </w:t>
      </w:r>
      <w:r>
        <w:rPr>
          <w:color w:val="231F20"/>
        </w:rPr>
        <w:t>balance</w:t>
      </w:r>
      <w:r>
        <w:rPr>
          <w:color w:val="231F20"/>
          <w:spacing w:val="-8"/>
        </w:rPr>
        <w:t xml:space="preserve"> </w:t>
      </w:r>
      <w:r>
        <w:rPr>
          <w:color w:val="231F20"/>
        </w:rPr>
        <w:t>subject</w:t>
      </w:r>
      <w:r>
        <w:rPr>
          <w:color w:val="231F20"/>
          <w:spacing w:val="-8"/>
        </w:rPr>
        <w:t xml:space="preserve"> </w:t>
      </w:r>
      <w:r>
        <w:rPr>
          <w:color w:val="231F20"/>
        </w:rPr>
        <w:t>to</w:t>
      </w:r>
      <w:r>
        <w:rPr>
          <w:color w:val="231F20"/>
          <w:spacing w:val="-9"/>
        </w:rPr>
        <w:t xml:space="preserve"> </w:t>
      </w:r>
      <w:r>
        <w:rPr>
          <w:color w:val="231F20"/>
        </w:rPr>
        <w:t>interest</w:t>
      </w:r>
      <w:r>
        <w:rPr>
          <w:color w:val="231F20"/>
          <w:spacing w:val="-7"/>
        </w:rPr>
        <w:t xml:space="preserve"> </w:t>
      </w:r>
      <w:r>
        <w:rPr>
          <w:color w:val="231F20"/>
        </w:rPr>
        <w:t>rate</w:t>
      </w:r>
      <w:r>
        <w:rPr>
          <w:color w:val="231F20"/>
          <w:spacing w:val="-9"/>
        </w:rPr>
        <w:t xml:space="preserve"> </w:t>
      </w:r>
      <w:r>
        <w:rPr>
          <w:color w:val="231F20"/>
        </w:rPr>
        <w:t>sensitivity</w:t>
      </w:r>
      <w:r>
        <w:rPr>
          <w:color w:val="231F20"/>
          <w:spacing w:val="-8"/>
        </w:rPr>
        <w:t xml:space="preserve"> </w:t>
      </w:r>
      <w:r>
        <w:rPr>
          <w:color w:val="231F20"/>
        </w:rPr>
        <w:t>for</w:t>
      </w:r>
      <w:r>
        <w:rPr>
          <w:color w:val="231F20"/>
          <w:spacing w:val="-7"/>
        </w:rPr>
        <w:t xml:space="preserve"> </w:t>
      </w:r>
      <w:r>
        <w:rPr>
          <w:color w:val="231F20"/>
        </w:rPr>
        <w:t>the</w:t>
      </w:r>
      <w:r>
        <w:rPr>
          <w:color w:val="231F20"/>
          <w:spacing w:val="-9"/>
        </w:rPr>
        <w:t xml:space="preserve"> </w:t>
      </w:r>
      <w:r>
        <w:rPr>
          <w:color w:val="231F20"/>
        </w:rPr>
        <w:t>current</w:t>
      </w:r>
      <w:r>
        <w:rPr>
          <w:color w:val="231F20"/>
          <w:spacing w:val="-8"/>
        </w:rPr>
        <w:t xml:space="preserve"> </w:t>
      </w:r>
      <w:r>
        <w:rPr>
          <w:color w:val="231F20"/>
        </w:rPr>
        <w:t>year</w:t>
      </w:r>
      <w:r>
        <w:rPr>
          <w:color w:val="231F20"/>
          <w:spacing w:val="-7"/>
        </w:rPr>
        <w:t xml:space="preserve"> </w:t>
      </w:r>
      <w:r>
        <w:rPr>
          <w:color w:val="231F20"/>
        </w:rPr>
        <w:t>is</w:t>
      </w:r>
      <w:r>
        <w:rPr>
          <w:color w:val="231F20"/>
          <w:spacing w:val="-8"/>
        </w:rPr>
        <w:t xml:space="preserve"> </w:t>
      </w:r>
      <w:r>
        <w:rPr>
          <w:color w:val="231F20"/>
        </w:rPr>
        <w:t>$3.5</w:t>
      </w:r>
      <w:r>
        <w:rPr>
          <w:color w:val="231F20"/>
          <w:spacing w:val="-8"/>
        </w:rPr>
        <w:t xml:space="preserve"> </w:t>
      </w:r>
      <w:r>
        <w:rPr>
          <w:color w:val="231F20"/>
        </w:rPr>
        <w:t>million</w:t>
      </w:r>
      <w:r>
        <w:rPr>
          <w:color w:val="231F20"/>
          <w:spacing w:val="-8"/>
        </w:rPr>
        <w:t xml:space="preserve"> </w:t>
      </w:r>
      <w:r>
        <w:rPr>
          <w:color w:val="231F20"/>
          <w:spacing w:val="-2"/>
        </w:rPr>
        <w:t>(2021:</w:t>
      </w:r>
    </w:p>
    <w:p w14:paraId="59A43A25" w14:textId="77777777" w:rsidR="00345EE3" w:rsidRDefault="00345EE3" w:rsidP="00345EE3">
      <w:pPr>
        <w:pStyle w:val="BodyText"/>
        <w:spacing w:before="3"/>
        <w:rPr>
          <w:b/>
          <w:bCs/>
          <w:color w:val="231F20"/>
          <w:sz w:val="24"/>
          <w:szCs w:val="24"/>
        </w:rPr>
      </w:pPr>
      <w:r>
        <w:rPr>
          <w:color w:val="231F20"/>
        </w:rPr>
        <w:t>$3.4</w:t>
      </w:r>
      <w:r>
        <w:rPr>
          <w:color w:val="231F20"/>
          <w:spacing w:val="-12"/>
        </w:rPr>
        <w:t xml:space="preserve"> </w:t>
      </w:r>
      <w:r>
        <w:rPr>
          <w:color w:val="231F20"/>
        </w:rPr>
        <w:t>million).</w:t>
      </w:r>
      <w:r>
        <w:rPr>
          <w:color w:val="231F20"/>
          <w:spacing w:val="-8"/>
        </w:rPr>
        <w:t xml:space="preserve"> </w:t>
      </w:r>
      <w:r>
        <w:rPr>
          <w:color w:val="231F20"/>
        </w:rPr>
        <w:t>As</w:t>
      </w:r>
      <w:r>
        <w:rPr>
          <w:color w:val="231F20"/>
          <w:spacing w:val="-8"/>
        </w:rPr>
        <w:t xml:space="preserve"> </w:t>
      </w:r>
      <w:r>
        <w:rPr>
          <w:color w:val="231F20"/>
        </w:rPr>
        <w:t>such</w:t>
      </w:r>
      <w:r>
        <w:rPr>
          <w:color w:val="231F20"/>
          <w:spacing w:val="-9"/>
        </w:rPr>
        <w:t xml:space="preserve"> </w:t>
      </w:r>
      <w:r>
        <w:rPr>
          <w:color w:val="231F20"/>
        </w:rPr>
        <w:t>no</w:t>
      </w:r>
      <w:r>
        <w:rPr>
          <w:color w:val="231F20"/>
          <w:spacing w:val="-10"/>
        </w:rPr>
        <w:t xml:space="preserve"> </w:t>
      </w:r>
      <w:r>
        <w:rPr>
          <w:color w:val="231F20"/>
        </w:rPr>
        <w:t>interest</w:t>
      </w:r>
      <w:r>
        <w:rPr>
          <w:color w:val="231F20"/>
          <w:spacing w:val="-8"/>
        </w:rPr>
        <w:t xml:space="preserve"> </w:t>
      </w:r>
      <w:r>
        <w:rPr>
          <w:color w:val="231F20"/>
        </w:rPr>
        <w:t>rate</w:t>
      </w:r>
      <w:r>
        <w:rPr>
          <w:color w:val="231F20"/>
          <w:spacing w:val="-9"/>
        </w:rPr>
        <w:t xml:space="preserve"> </w:t>
      </w:r>
      <w:r>
        <w:rPr>
          <w:color w:val="231F20"/>
        </w:rPr>
        <w:t>risk</w:t>
      </w:r>
      <w:r>
        <w:rPr>
          <w:color w:val="231F20"/>
          <w:spacing w:val="-8"/>
        </w:rPr>
        <w:t xml:space="preserve"> </w:t>
      </w:r>
      <w:r>
        <w:rPr>
          <w:color w:val="231F20"/>
        </w:rPr>
        <w:t>sensitivity</w:t>
      </w:r>
      <w:r>
        <w:rPr>
          <w:color w:val="231F20"/>
          <w:spacing w:val="-9"/>
        </w:rPr>
        <w:t xml:space="preserve"> </w:t>
      </w:r>
      <w:r>
        <w:rPr>
          <w:color w:val="231F20"/>
        </w:rPr>
        <w:t>analysis</w:t>
      </w:r>
      <w:r>
        <w:rPr>
          <w:color w:val="231F20"/>
          <w:spacing w:val="-8"/>
        </w:rPr>
        <w:t xml:space="preserve"> </w:t>
      </w:r>
      <w:r>
        <w:rPr>
          <w:color w:val="231F20"/>
        </w:rPr>
        <w:t>was</w:t>
      </w:r>
      <w:r>
        <w:rPr>
          <w:color w:val="231F20"/>
          <w:spacing w:val="-8"/>
        </w:rPr>
        <w:t xml:space="preserve"> </w:t>
      </w:r>
      <w:r>
        <w:rPr>
          <w:color w:val="231F20"/>
        </w:rPr>
        <w:t>performed</w:t>
      </w:r>
      <w:r>
        <w:rPr>
          <w:color w:val="231F20"/>
          <w:spacing w:val="-9"/>
        </w:rPr>
        <w:t xml:space="preserve"> </w:t>
      </w:r>
      <w:r>
        <w:rPr>
          <w:color w:val="231F20"/>
        </w:rPr>
        <w:t>for</w:t>
      </w:r>
      <w:r>
        <w:rPr>
          <w:color w:val="231F20"/>
          <w:spacing w:val="-8"/>
        </w:rPr>
        <w:t xml:space="preserve"> </w:t>
      </w:r>
      <w:r>
        <w:rPr>
          <w:color w:val="231F20"/>
          <w:spacing w:val="-2"/>
        </w:rPr>
        <w:t>2021–22.</w:t>
      </w:r>
    </w:p>
    <w:p w14:paraId="0C579541" w14:textId="77777777" w:rsidR="00345EE3" w:rsidRDefault="00345EE3" w:rsidP="00345EE3">
      <w:pPr>
        <w:pStyle w:val="Heading5"/>
        <w:spacing w:before="231"/>
      </w:pPr>
      <w:r>
        <w:rPr>
          <w:color w:val="231F20"/>
        </w:rPr>
        <w:t>Foreign</w:t>
      </w:r>
      <w:r>
        <w:rPr>
          <w:color w:val="231F20"/>
          <w:spacing w:val="-10"/>
        </w:rPr>
        <w:t xml:space="preserve"> </w:t>
      </w:r>
      <w:r>
        <w:rPr>
          <w:color w:val="231F20"/>
        </w:rPr>
        <w:t>Currency</w:t>
      </w:r>
      <w:r>
        <w:rPr>
          <w:color w:val="231F20"/>
          <w:spacing w:val="-9"/>
        </w:rPr>
        <w:t xml:space="preserve"> </w:t>
      </w:r>
      <w:r>
        <w:rPr>
          <w:color w:val="231F20"/>
          <w:spacing w:val="-4"/>
        </w:rPr>
        <w:t>Risk</w:t>
      </w:r>
    </w:p>
    <w:p w14:paraId="1705A31A" w14:textId="77777777" w:rsidR="00345EE3" w:rsidRDefault="00345EE3" w:rsidP="00345EE3">
      <w:pPr>
        <w:pStyle w:val="BodyText"/>
        <w:spacing w:before="61" w:line="242" w:lineRule="auto"/>
        <w:ind w:right="115"/>
      </w:pPr>
      <w:r>
        <w:rPr>
          <w:color w:val="231F20"/>
        </w:rPr>
        <w:t>All foreign currency transactions during the financial year are brought to account using the exchange</w:t>
      </w:r>
      <w:r>
        <w:rPr>
          <w:color w:val="231F20"/>
          <w:spacing w:val="-9"/>
        </w:rPr>
        <w:t xml:space="preserve"> </w:t>
      </w:r>
      <w:r>
        <w:rPr>
          <w:color w:val="231F20"/>
        </w:rPr>
        <w:t>rate</w:t>
      </w:r>
      <w:r>
        <w:rPr>
          <w:color w:val="231F20"/>
          <w:spacing w:val="-9"/>
        </w:rPr>
        <w:t xml:space="preserve"> </w:t>
      </w:r>
      <w:r>
        <w:rPr>
          <w:color w:val="231F20"/>
        </w:rPr>
        <w:t>in</w:t>
      </w:r>
      <w:r>
        <w:rPr>
          <w:color w:val="231F20"/>
          <w:spacing w:val="-9"/>
        </w:rPr>
        <w:t xml:space="preserve"> </w:t>
      </w:r>
      <w:r>
        <w:rPr>
          <w:color w:val="231F20"/>
        </w:rPr>
        <w:t>effect</w:t>
      </w:r>
      <w:r>
        <w:rPr>
          <w:color w:val="231F20"/>
          <w:spacing w:val="-8"/>
        </w:rPr>
        <w:t xml:space="preserve"> </w:t>
      </w:r>
      <w:r>
        <w:rPr>
          <w:color w:val="231F20"/>
        </w:rPr>
        <w:t>at</w:t>
      </w:r>
      <w:r>
        <w:rPr>
          <w:color w:val="231F20"/>
          <w:spacing w:val="-8"/>
        </w:rPr>
        <w:t xml:space="preserve"> </w:t>
      </w:r>
      <w:r>
        <w:rPr>
          <w:color w:val="231F20"/>
        </w:rPr>
        <w:t>the</w:t>
      </w:r>
      <w:r>
        <w:rPr>
          <w:color w:val="231F20"/>
          <w:spacing w:val="-9"/>
        </w:rPr>
        <w:t xml:space="preserve"> </w:t>
      </w:r>
      <w:r>
        <w:rPr>
          <w:color w:val="231F20"/>
        </w:rPr>
        <w:t>date</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transaction.</w:t>
      </w:r>
      <w:r>
        <w:rPr>
          <w:color w:val="231F20"/>
          <w:spacing w:val="-8"/>
        </w:rPr>
        <w:t xml:space="preserve"> </w:t>
      </w:r>
      <w:r>
        <w:rPr>
          <w:color w:val="231F20"/>
        </w:rPr>
        <w:t>Foreign</w:t>
      </w:r>
      <w:r>
        <w:rPr>
          <w:color w:val="231F20"/>
          <w:spacing w:val="-9"/>
        </w:rPr>
        <w:t xml:space="preserve"> </w:t>
      </w:r>
      <w:r>
        <w:rPr>
          <w:color w:val="231F20"/>
        </w:rPr>
        <w:t>monetary</w:t>
      </w:r>
      <w:r>
        <w:rPr>
          <w:color w:val="231F20"/>
          <w:spacing w:val="-8"/>
        </w:rPr>
        <w:t xml:space="preserve"> </w:t>
      </w:r>
      <w:r>
        <w:rPr>
          <w:color w:val="231F20"/>
        </w:rPr>
        <w:t>items</w:t>
      </w:r>
      <w:r>
        <w:rPr>
          <w:color w:val="231F20"/>
          <w:spacing w:val="-8"/>
        </w:rPr>
        <w:t xml:space="preserve"> </w:t>
      </w:r>
      <w:r>
        <w:rPr>
          <w:color w:val="231F20"/>
        </w:rPr>
        <w:t>existing</w:t>
      </w:r>
      <w:r>
        <w:rPr>
          <w:color w:val="231F20"/>
          <w:spacing w:val="-9"/>
        </w:rPr>
        <w:t xml:space="preserve"> </w:t>
      </w:r>
      <w:r>
        <w:rPr>
          <w:color w:val="231F20"/>
        </w:rPr>
        <w:t>at</w:t>
      </w:r>
      <w:r>
        <w:rPr>
          <w:color w:val="231F20"/>
          <w:spacing w:val="-8"/>
        </w:rPr>
        <w:t xml:space="preserve"> </w:t>
      </w:r>
      <w:r>
        <w:rPr>
          <w:color w:val="231F20"/>
        </w:rPr>
        <w:t>the</w:t>
      </w:r>
      <w:r>
        <w:rPr>
          <w:color w:val="231F20"/>
          <w:spacing w:val="-9"/>
        </w:rPr>
        <w:t xml:space="preserve"> </w:t>
      </w:r>
      <w:r>
        <w:rPr>
          <w:color w:val="231F20"/>
        </w:rPr>
        <w:t xml:space="preserve">end of the reporting period are translated at the closing rate at the date of the end of the reporting period. There are no non-monetary assets carried at fair value that are denominated in foreign </w:t>
      </w:r>
      <w:r>
        <w:rPr>
          <w:color w:val="231F20"/>
          <w:spacing w:val="-2"/>
        </w:rPr>
        <w:t>currencies.</w:t>
      </w:r>
    </w:p>
    <w:p w14:paraId="4E4ED0AB" w14:textId="77777777" w:rsidR="00345EE3" w:rsidRDefault="00345EE3" w:rsidP="00345EE3">
      <w:pPr>
        <w:pStyle w:val="BodyText"/>
        <w:spacing w:before="62" w:line="242" w:lineRule="auto"/>
        <w:ind w:right="115"/>
      </w:pPr>
      <w:r>
        <w:rPr>
          <w:color w:val="231F20"/>
        </w:rPr>
        <w:t>Victoria</w:t>
      </w:r>
      <w:r>
        <w:rPr>
          <w:color w:val="231F20"/>
          <w:spacing w:val="-10"/>
        </w:rPr>
        <w:t xml:space="preserve"> </w:t>
      </w:r>
      <w:r>
        <w:rPr>
          <w:color w:val="231F20"/>
        </w:rPr>
        <w:t>Police</w:t>
      </w:r>
      <w:r>
        <w:rPr>
          <w:color w:val="231F20"/>
          <w:spacing w:val="-10"/>
        </w:rPr>
        <w:t xml:space="preserve"> </w:t>
      </w:r>
      <w:r>
        <w:rPr>
          <w:color w:val="231F20"/>
        </w:rPr>
        <w:t>is</w:t>
      </w:r>
      <w:r>
        <w:rPr>
          <w:color w:val="231F20"/>
          <w:spacing w:val="-10"/>
        </w:rPr>
        <w:t xml:space="preserve"> </w:t>
      </w:r>
      <w:r>
        <w:rPr>
          <w:color w:val="231F20"/>
        </w:rPr>
        <w:t>exposed</w:t>
      </w:r>
      <w:r>
        <w:rPr>
          <w:color w:val="231F20"/>
          <w:spacing w:val="-10"/>
        </w:rPr>
        <w:t xml:space="preserve"> </w:t>
      </w:r>
      <w:r>
        <w:rPr>
          <w:color w:val="231F20"/>
        </w:rPr>
        <w:t>to</w:t>
      </w:r>
      <w:r>
        <w:rPr>
          <w:color w:val="231F20"/>
          <w:spacing w:val="-10"/>
        </w:rPr>
        <w:t xml:space="preserve"> </w:t>
      </w:r>
      <w:r>
        <w:rPr>
          <w:color w:val="231F20"/>
        </w:rPr>
        <w:t>foreign</w:t>
      </w:r>
      <w:r>
        <w:rPr>
          <w:color w:val="231F20"/>
          <w:spacing w:val="-10"/>
        </w:rPr>
        <w:t xml:space="preserve"> </w:t>
      </w:r>
      <w:r>
        <w:rPr>
          <w:color w:val="231F20"/>
        </w:rPr>
        <w:t>currency</w:t>
      </w:r>
      <w:r>
        <w:rPr>
          <w:color w:val="231F20"/>
          <w:spacing w:val="-10"/>
        </w:rPr>
        <w:t xml:space="preserve"> </w:t>
      </w:r>
      <w:r>
        <w:rPr>
          <w:color w:val="231F20"/>
        </w:rPr>
        <w:t>risk</w:t>
      </w:r>
      <w:r>
        <w:rPr>
          <w:color w:val="231F20"/>
          <w:spacing w:val="-10"/>
        </w:rPr>
        <w:t xml:space="preserve"> </w:t>
      </w:r>
      <w:r>
        <w:rPr>
          <w:color w:val="231F20"/>
        </w:rPr>
        <w:t>mainly</w:t>
      </w:r>
      <w:r>
        <w:rPr>
          <w:color w:val="231F20"/>
          <w:spacing w:val="-10"/>
        </w:rPr>
        <w:t xml:space="preserve"> </w:t>
      </w:r>
      <w:r>
        <w:rPr>
          <w:color w:val="231F20"/>
        </w:rPr>
        <w:t>through</w:t>
      </w:r>
      <w:r>
        <w:rPr>
          <w:color w:val="231F20"/>
          <w:spacing w:val="-10"/>
        </w:rPr>
        <w:t xml:space="preserve"> </w:t>
      </w:r>
      <w:r>
        <w:rPr>
          <w:color w:val="231F20"/>
        </w:rPr>
        <w:t>payables</w:t>
      </w:r>
      <w:r>
        <w:rPr>
          <w:color w:val="231F20"/>
          <w:spacing w:val="-10"/>
        </w:rPr>
        <w:t xml:space="preserve"> </w:t>
      </w:r>
      <w:r>
        <w:rPr>
          <w:color w:val="231F20"/>
        </w:rPr>
        <w:t>relating</w:t>
      </w:r>
      <w:r>
        <w:rPr>
          <w:color w:val="231F20"/>
          <w:spacing w:val="-10"/>
        </w:rPr>
        <w:t xml:space="preserve"> </w:t>
      </w:r>
      <w:r>
        <w:rPr>
          <w:color w:val="231F20"/>
        </w:rPr>
        <w:t>to</w:t>
      </w:r>
      <w:r>
        <w:rPr>
          <w:color w:val="231F20"/>
          <w:spacing w:val="-10"/>
        </w:rPr>
        <w:t xml:space="preserve"> </w:t>
      </w:r>
      <w:r>
        <w:rPr>
          <w:color w:val="231F20"/>
        </w:rPr>
        <w:t>purchases of supplies and consumables from overseas as well as leasing of aviation aircrafts and related services. For the purchase of supplies and consumables from overseas, there are only limited amount of transactions denominated in foreign currencies and there is a relatively short timeframe between commitment and settlement, therefore risk is minimal and immaterial.</w:t>
      </w:r>
    </w:p>
    <w:p w14:paraId="40A8211D" w14:textId="77777777" w:rsidR="00345EE3" w:rsidRDefault="00345EE3" w:rsidP="00345EE3">
      <w:pPr>
        <w:pStyle w:val="BodyText"/>
        <w:spacing w:before="120" w:line="242" w:lineRule="auto"/>
      </w:pPr>
      <w:r>
        <w:rPr>
          <w:color w:val="231F20"/>
        </w:rPr>
        <w:t>However,</w:t>
      </w:r>
      <w:r>
        <w:rPr>
          <w:color w:val="231F20"/>
          <w:spacing w:val="-12"/>
        </w:rPr>
        <w:t xml:space="preserve"> </w:t>
      </w:r>
      <w:r>
        <w:rPr>
          <w:color w:val="231F20"/>
        </w:rPr>
        <w:t>with</w:t>
      </w:r>
      <w:r>
        <w:rPr>
          <w:color w:val="231F20"/>
          <w:spacing w:val="-13"/>
        </w:rPr>
        <w:t xml:space="preserve"> </w:t>
      </w:r>
      <w:r>
        <w:rPr>
          <w:color w:val="231F20"/>
        </w:rPr>
        <w:t>regard</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RW</w:t>
      </w:r>
      <w:r>
        <w:rPr>
          <w:color w:val="231F20"/>
          <w:spacing w:val="-12"/>
        </w:rPr>
        <w:t xml:space="preserve"> </w:t>
      </w:r>
      <w:r>
        <w:rPr>
          <w:color w:val="231F20"/>
        </w:rPr>
        <w:t>Aircraft</w:t>
      </w:r>
      <w:r>
        <w:rPr>
          <w:color w:val="231F20"/>
          <w:spacing w:val="-12"/>
        </w:rPr>
        <w:t xml:space="preserve"> </w:t>
      </w:r>
      <w:r>
        <w:rPr>
          <w:color w:val="231F20"/>
        </w:rPr>
        <w:t>Supply</w:t>
      </w:r>
      <w:r>
        <w:rPr>
          <w:color w:val="231F20"/>
          <w:spacing w:val="-12"/>
        </w:rPr>
        <w:t xml:space="preserve"> </w:t>
      </w:r>
      <w:r>
        <w:rPr>
          <w:color w:val="231F20"/>
        </w:rPr>
        <w:t>and</w:t>
      </w:r>
      <w:r>
        <w:rPr>
          <w:color w:val="231F20"/>
          <w:spacing w:val="-13"/>
        </w:rPr>
        <w:t xml:space="preserve"> </w:t>
      </w:r>
      <w:r>
        <w:rPr>
          <w:color w:val="231F20"/>
        </w:rPr>
        <w:t>Support</w:t>
      </w:r>
      <w:r>
        <w:rPr>
          <w:color w:val="231F20"/>
          <w:spacing w:val="-12"/>
        </w:rPr>
        <w:t xml:space="preserve"> </w:t>
      </w:r>
      <w:r>
        <w:rPr>
          <w:color w:val="231F20"/>
        </w:rPr>
        <w:t>Agreement</w:t>
      </w:r>
      <w:r>
        <w:rPr>
          <w:color w:val="231F20"/>
          <w:spacing w:val="-12"/>
        </w:rPr>
        <w:t xml:space="preserve"> </w:t>
      </w:r>
      <w:r>
        <w:rPr>
          <w:color w:val="231F20"/>
        </w:rPr>
        <w:t>(Agreement),</w:t>
      </w:r>
      <w:r>
        <w:rPr>
          <w:color w:val="231F20"/>
          <w:spacing w:val="-12"/>
        </w:rPr>
        <w:t xml:space="preserve"> </w:t>
      </w:r>
      <w:r>
        <w:rPr>
          <w:color w:val="231F20"/>
        </w:rPr>
        <w:t>Victoria Police has also entered into forward foreign exchange options to hedge foreign currency</w:t>
      </w:r>
    </w:p>
    <w:p w14:paraId="0D0B2C15" w14:textId="77777777" w:rsidR="00345EE3" w:rsidRDefault="00345EE3" w:rsidP="00345EE3">
      <w:pPr>
        <w:pStyle w:val="BodyText"/>
        <w:spacing w:before="3" w:line="242" w:lineRule="auto"/>
        <w:ind w:right="147"/>
      </w:pPr>
      <w:r>
        <w:rPr>
          <w:color w:val="231F20"/>
        </w:rPr>
        <w:t>risk exposure associated with lease liability in US dollars estimated based on the estimated flying hours.</w:t>
      </w:r>
      <w:r>
        <w:rPr>
          <w:color w:val="231F20"/>
          <w:spacing w:val="40"/>
        </w:rPr>
        <w:t xml:space="preserve"> </w:t>
      </w:r>
      <w:r>
        <w:rPr>
          <w:color w:val="231F20"/>
        </w:rPr>
        <w:t>For the cost of the flying hours, 95% is hedged of which 80% is through forward exchange</w:t>
      </w:r>
      <w:r>
        <w:rPr>
          <w:color w:val="231F20"/>
          <w:spacing w:val="-11"/>
        </w:rPr>
        <w:t xml:space="preserve"> </w:t>
      </w:r>
      <w:r>
        <w:rPr>
          <w:color w:val="231F20"/>
        </w:rPr>
        <w:t>contracts</w:t>
      </w:r>
      <w:r>
        <w:rPr>
          <w:color w:val="231F20"/>
          <w:spacing w:val="-10"/>
        </w:rPr>
        <w:t xml:space="preserve"> </w:t>
      </w:r>
      <w:r>
        <w:rPr>
          <w:color w:val="231F20"/>
        </w:rPr>
        <w:t>and</w:t>
      </w:r>
      <w:r>
        <w:rPr>
          <w:color w:val="231F20"/>
          <w:spacing w:val="-11"/>
        </w:rPr>
        <w:t xml:space="preserve"> </w:t>
      </w:r>
      <w:r>
        <w:rPr>
          <w:color w:val="231F20"/>
        </w:rPr>
        <w:t>15%</w:t>
      </w:r>
      <w:r>
        <w:rPr>
          <w:color w:val="231F20"/>
          <w:spacing w:val="-11"/>
        </w:rPr>
        <w:t xml:space="preserve"> </w:t>
      </w:r>
      <w:r>
        <w:rPr>
          <w:color w:val="231F20"/>
        </w:rPr>
        <w:t>is</w:t>
      </w:r>
      <w:r>
        <w:rPr>
          <w:color w:val="231F20"/>
          <w:spacing w:val="-10"/>
        </w:rPr>
        <w:t xml:space="preserve"> </w:t>
      </w:r>
      <w:r>
        <w:rPr>
          <w:color w:val="231F20"/>
        </w:rPr>
        <w:t>through</w:t>
      </w:r>
      <w:r>
        <w:rPr>
          <w:color w:val="231F20"/>
          <w:spacing w:val="-11"/>
        </w:rPr>
        <w:t xml:space="preserve"> </w:t>
      </w:r>
      <w:r>
        <w:rPr>
          <w:color w:val="231F20"/>
        </w:rPr>
        <w:t>forward</w:t>
      </w:r>
      <w:r>
        <w:rPr>
          <w:color w:val="231F20"/>
          <w:spacing w:val="-11"/>
        </w:rPr>
        <w:t xml:space="preserve"> </w:t>
      </w:r>
      <w:r>
        <w:rPr>
          <w:color w:val="231F20"/>
        </w:rPr>
        <w:t>exchange</w:t>
      </w:r>
      <w:r>
        <w:rPr>
          <w:color w:val="231F20"/>
          <w:spacing w:val="-11"/>
        </w:rPr>
        <w:t xml:space="preserve"> </w:t>
      </w:r>
      <w:r>
        <w:rPr>
          <w:color w:val="231F20"/>
        </w:rPr>
        <w:t>options.</w:t>
      </w:r>
      <w:r>
        <w:rPr>
          <w:color w:val="231F20"/>
          <w:spacing w:val="40"/>
        </w:rPr>
        <w:t xml:space="preserve"> </w:t>
      </w:r>
      <w:r>
        <w:rPr>
          <w:color w:val="231F20"/>
        </w:rPr>
        <w:t>The</w:t>
      </w:r>
      <w:r>
        <w:rPr>
          <w:color w:val="231F20"/>
          <w:spacing w:val="-11"/>
        </w:rPr>
        <w:t xml:space="preserve"> </w:t>
      </w:r>
      <w:r>
        <w:rPr>
          <w:color w:val="231F20"/>
        </w:rPr>
        <w:t>derivative</w:t>
      </w:r>
      <w:r>
        <w:rPr>
          <w:color w:val="231F20"/>
          <w:spacing w:val="-11"/>
        </w:rPr>
        <w:t xml:space="preserve"> </w:t>
      </w:r>
      <w:r>
        <w:rPr>
          <w:color w:val="231F20"/>
        </w:rPr>
        <w:t>contracts</w:t>
      </w:r>
      <w:r>
        <w:rPr>
          <w:color w:val="231F20"/>
          <w:spacing w:val="-10"/>
        </w:rPr>
        <w:t xml:space="preserve"> </w:t>
      </w:r>
      <w:r>
        <w:rPr>
          <w:color w:val="231F20"/>
        </w:rPr>
        <w:t>are for a term of 10 years ending 30 August 2030.</w:t>
      </w:r>
    </w:p>
    <w:p w14:paraId="00A6CD3E" w14:textId="77777777" w:rsidR="00345EE3" w:rsidRDefault="00345EE3" w:rsidP="00345EE3">
      <w:pPr>
        <w:spacing w:before="232"/>
        <w:ind w:left="110"/>
        <w:rPr>
          <w:b/>
          <w:sz w:val="24"/>
        </w:rPr>
      </w:pPr>
      <w:r>
        <w:rPr>
          <w:b/>
          <w:color w:val="231F20"/>
          <w:sz w:val="24"/>
        </w:rPr>
        <w:t>Foreign</w:t>
      </w:r>
      <w:r>
        <w:rPr>
          <w:b/>
          <w:color w:val="231F20"/>
          <w:spacing w:val="-5"/>
          <w:sz w:val="24"/>
        </w:rPr>
        <w:t xml:space="preserve"> </w:t>
      </w:r>
      <w:r>
        <w:rPr>
          <w:b/>
          <w:color w:val="231F20"/>
          <w:sz w:val="24"/>
        </w:rPr>
        <w:t>Exchange</w:t>
      </w:r>
      <w:r>
        <w:rPr>
          <w:b/>
          <w:color w:val="231F20"/>
          <w:spacing w:val="-5"/>
          <w:sz w:val="24"/>
        </w:rPr>
        <w:t xml:space="preserve"> </w:t>
      </w:r>
      <w:r>
        <w:rPr>
          <w:b/>
          <w:color w:val="231F20"/>
          <w:sz w:val="24"/>
        </w:rPr>
        <w:t>Sensitivity</w:t>
      </w:r>
      <w:r>
        <w:rPr>
          <w:b/>
          <w:color w:val="231F20"/>
          <w:spacing w:val="-4"/>
          <w:sz w:val="24"/>
        </w:rPr>
        <w:t xml:space="preserve"> </w:t>
      </w:r>
      <w:r>
        <w:rPr>
          <w:b/>
          <w:color w:val="231F20"/>
          <w:spacing w:val="-2"/>
          <w:sz w:val="24"/>
        </w:rPr>
        <w:t>Analysis</w:t>
      </w:r>
    </w:p>
    <w:p w14:paraId="1A1C6C10" w14:textId="5E9AFFFF" w:rsidR="00345EE3" w:rsidRDefault="00345EE3" w:rsidP="00345EE3">
      <w:pPr>
        <w:pStyle w:val="BodyText"/>
        <w:spacing w:before="3"/>
        <w:rPr>
          <w:b/>
          <w:sz w:val="5"/>
        </w:rPr>
      </w:pPr>
    </w:p>
    <w:tbl>
      <w:tblPr>
        <w:tblW w:w="0" w:type="auto"/>
        <w:tblInd w:w="-8" w:type="dxa"/>
        <w:tblLayout w:type="fixed"/>
        <w:tblCellMar>
          <w:left w:w="0" w:type="dxa"/>
          <w:right w:w="0" w:type="dxa"/>
        </w:tblCellMar>
        <w:tblLook w:val="0000" w:firstRow="0" w:lastRow="0" w:firstColumn="0" w:lastColumn="0" w:noHBand="0" w:noVBand="0"/>
      </w:tblPr>
      <w:tblGrid>
        <w:gridCol w:w="3402"/>
        <w:gridCol w:w="1020"/>
        <w:gridCol w:w="1134"/>
        <w:gridCol w:w="1134"/>
        <w:gridCol w:w="1190"/>
        <w:gridCol w:w="1134"/>
        <w:gridCol w:w="1191"/>
      </w:tblGrid>
      <w:tr w:rsidR="004E4A66" w:rsidRPr="004E4A66" w14:paraId="10359228" w14:textId="77777777" w:rsidTr="004E4A66">
        <w:trPr>
          <w:trHeight w:val="60"/>
          <w:tblHeader/>
        </w:trPr>
        <w:tc>
          <w:tcPr>
            <w:tcW w:w="10205" w:type="dxa"/>
            <w:gridSpan w:val="7"/>
            <w:tcBorders>
              <w:top w:val="single" w:sz="6" w:space="0" w:color="000000"/>
              <w:left w:val="single" w:sz="6" w:space="0" w:color="000000"/>
              <w:bottom w:val="single" w:sz="2" w:space="0" w:color="FFFFFF"/>
              <w:right w:val="single" w:sz="2" w:space="0" w:color="FFFFFF"/>
            </w:tcBorders>
            <w:shd w:val="solid" w:color="004996" w:fill="auto"/>
            <w:tcMar>
              <w:top w:w="57" w:type="dxa"/>
              <w:left w:w="14" w:type="dxa"/>
              <w:bottom w:w="57" w:type="dxa"/>
              <w:right w:w="14" w:type="dxa"/>
            </w:tcMar>
          </w:tcPr>
          <w:p w14:paraId="4CFC903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thousand)</w:t>
            </w:r>
          </w:p>
        </w:tc>
      </w:tr>
      <w:tr w:rsidR="004E4A66" w:rsidRPr="004E4A66" w14:paraId="0729ED52" w14:textId="77777777" w:rsidTr="004E4A66">
        <w:trPr>
          <w:trHeight w:val="60"/>
          <w:tblHeader/>
        </w:trPr>
        <w:tc>
          <w:tcPr>
            <w:tcW w:w="3402" w:type="dxa"/>
            <w:tcBorders>
              <w:top w:val="single" w:sz="2" w:space="0" w:color="FFFFFF"/>
              <w:left w:val="single" w:sz="6" w:space="0" w:color="000000"/>
              <w:bottom w:val="single" w:sz="6" w:space="0" w:color="9D9C9C"/>
              <w:right w:val="single" w:sz="6" w:space="0" w:color="FFFFFF"/>
            </w:tcBorders>
            <w:shd w:val="solid" w:color="004996" w:fill="auto"/>
            <w:tcMar>
              <w:top w:w="57" w:type="dxa"/>
              <w:left w:w="14" w:type="dxa"/>
              <w:bottom w:w="57" w:type="dxa"/>
              <w:right w:w="14" w:type="dxa"/>
            </w:tcMar>
          </w:tcPr>
          <w:p w14:paraId="7234CBE4" w14:textId="77777777" w:rsidR="004E4A66" w:rsidRPr="004E4A66" w:rsidRDefault="004E4A66" w:rsidP="004E4A66">
            <w:pPr>
              <w:widowControl/>
              <w:adjustRightInd w:val="0"/>
              <w:rPr>
                <w:rFonts w:eastAsia="Myriad Pro"/>
                <w:sz w:val="24"/>
                <w:szCs w:val="24"/>
                <w:lang w:val="en-GB"/>
              </w:rPr>
            </w:pPr>
          </w:p>
        </w:tc>
        <w:tc>
          <w:tcPr>
            <w:tcW w:w="1020" w:type="dxa"/>
            <w:tcBorders>
              <w:top w:val="single" w:sz="2" w:space="0" w:color="FFFFFF"/>
              <w:left w:val="single" w:sz="6" w:space="0" w:color="FFFFFF"/>
              <w:bottom w:val="single" w:sz="6" w:space="0" w:color="9D9C9C"/>
              <w:right w:val="single" w:sz="2" w:space="0" w:color="FFFFFF"/>
            </w:tcBorders>
            <w:shd w:val="solid" w:color="004996" w:fill="auto"/>
            <w:tcMar>
              <w:top w:w="57" w:type="dxa"/>
              <w:left w:w="14" w:type="dxa"/>
              <w:bottom w:w="57" w:type="dxa"/>
              <w:right w:w="14" w:type="dxa"/>
            </w:tcMar>
          </w:tcPr>
          <w:p w14:paraId="6E7ECEFB"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11D7556B" w14:textId="77777777" w:rsidR="004E4A66" w:rsidRPr="004E4A66" w:rsidRDefault="004E4A66" w:rsidP="004E4A66">
            <w:pPr>
              <w:widowControl/>
              <w:adjustRightInd w:val="0"/>
              <w:rPr>
                <w:rFonts w:eastAsia="Myriad Pro"/>
                <w:sz w:val="24"/>
                <w:szCs w:val="24"/>
                <w:lang w:val="en-GB"/>
              </w:rPr>
            </w:pPr>
          </w:p>
        </w:tc>
        <w:tc>
          <w:tcPr>
            <w:tcW w:w="2324" w:type="dxa"/>
            <w:gridSpan w:val="2"/>
            <w:tcBorders>
              <w:top w:val="single" w:sz="2" w:space="0" w:color="FFFFFF"/>
              <w:left w:val="single" w:sz="2" w:space="0" w:color="FFFFFF"/>
              <w:bottom w:val="single" w:sz="2" w:space="0" w:color="FFFFFF"/>
              <w:right w:val="single" w:sz="2" w:space="0" w:color="FFFFFF"/>
            </w:tcBorders>
            <w:shd w:val="solid" w:color="004996" w:fill="auto"/>
            <w:tcMar>
              <w:top w:w="57" w:type="dxa"/>
              <w:left w:w="14" w:type="dxa"/>
              <w:bottom w:w="57" w:type="dxa"/>
              <w:right w:w="14" w:type="dxa"/>
            </w:tcMar>
          </w:tcPr>
          <w:p w14:paraId="0CF4A272" w14:textId="77777777" w:rsidR="004E4A66" w:rsidRPr="004E4A66" w:rsidRDefault="004E4A66" w:rsidP="004E4A66">
            <w:pPr>
              <w:widowControl/>
              <w:tabs>
                <w:tab w:val="left" w:pos="240"/>
              </w:tabs>
              <w:suppressAutoHyphens/>
              <w:adjustRightInd w:val="0"/>
              <w:spacing w:after="57" w:line="280" w:lineRule="atLeast"/>
              <w:jc w:val="center"/>
              <w:textAlignment w:val="center"/>
              <w:rPr>
                <w:rFonts w:eastAsia="Myriad Pro"/>
                <w:b/>
                <w:bCs/>
                <w:color w:val="FFFFFF"/>
                <w:sz w:val="24"/>
                <w:szCs w:val="24"/>
                <w:lang w:val="en-GB"/>
              </w:rPr>
            </w:pPr>
            <w:r w:rsidRPr="004E4A66">
              <w:rPr>
                <w:rFonts w:ascii="Cambria Math" w:eastAsia="Myriad Pro" w:hAnsi="Cambria Math" w:cs="Cambria Math"/>
                <w:b/>
                <w:bCs/>
                <w:color w:val="FFFFFF"/>
                <w:sz w:val="24"/>
                <w:szCs w:val="24"/>
                <w:lang w:val="en-GB"/>
              </w:rPr>
              <w:t>‑</w:t>
            </w:r>
            <w:r w:rsidRPr="004E4A66">
              <w:rPr>
                <w:rFonts w:eastAsia="Myriad Pro"/>
                <w:b/>
                <w:bCs/>
                <w:color w:val="FFFFFF"/>
                <w:sz w:val="24"/>
                <w:szCs w:val="24"/>
                <w:lang w:val="en-GB"/>
              </w:rPr>
              <w:t>5%</w:t>
            </w:r>
          </w:p>
        </w:tc>
        <w:tc>
          <w:tcPr>
            <w:tcW w:w="2325" w:type="dxa"/>
            <w:gridSpan w:val="2"/>
            <w:tcBorders>
              <w:top w:val="single" w:sz="2" w:space="0" w:color="FFFFFF"/>
              <w:left w:val="single" w:sz="2" w:space="0" w:color="FFFFFF"/>
              <w:bottom w:val="single" w:sz="2" w:space="0" w:color="FFFFFF"/>
              <w:right w:val="single" w:sz="2" w:space="0" w:color="FFFFFF"/>
            </w:tcBorders>
            <w:shd w:val="solid" w:color="004996" w:fill="auto"/>
            <w:tcMar>
              <w:top w:w="57" w:type="dxa"/>
              <w:left w:w="14" w:type="dxa"/>
              <w:bottom w:w="57" w:type="dxa"/>
              <w:right w:w="14" w:type="dxa"/>
            </w:tcMar>
          </w:tcPr>
          <w:p w14:paraId="2008A836" w14:textId="77777777" w:rsidR="004E4A66" w:rsidRPr="004E4A66" w:rsidRDefault="004E4A66" w:rsidP="004E4A66">
            <w:pPr>
              <w:widowControl/>
              <w:tabs>
                <w:tab w:val="left" w:pos="240"/>
              </w:tabs>
              <w:suppressAutoHyphens/>
              <w:adjustRightInd w:val="0"/>
              <w:spacing w:after="57" w:line="280" w:lineRule="atLeast"/>
              <w:jc w:val="center"/>
              <w:textAlignment w:val="center"/>
              <w:rPr>
                <w:rFonts w:eastAsia="Myriad Pro"/>
                <w:b/>
                <w:bCs/>
                <w:color w:val="FFFFFF"/>
                <w:sz w:val="24"/>
                <w:szCs w:val="24"/>
                <w:lang w:val="en-GB"/>
              </w:rPr>
            </w:pPr>
            <w:r w:rsidRPr="004E4A66">
              <w:rPr>
                <w:rFonts w:eastAsia="Myriad Pro"/>
                <w:b/>
                <w:bCs/>
                <w:color w:val="FFFFFF"/>
                <w:sz w:val="24"/>
                <w:szCs w:val="24"/>
                <w:lang w:val="en-GB"/>
              </w:rPr>
              <w:t>+5%</w:t>
            </w:r>
          </w:p>
        </w:tc>
      </w:tr>
      <w:tr w:rsidR="004E4A66" w:rsidRPr="004E4A66" w14:paraId="1C3536BE" w14:textId="77777777" w:rsidTr="004E4A66">
        <w:trPr>
          <w:trHeight w:val="60"/>
          <w:tblHeader/>
        </w:trPr>
        <w:tc>
          <w:tcPr>
            <w:tcW w:w="3402" w:type="dxa"/>
            <w:tcBorders>
              <w:top w:val="single" w:sz="6" w:space="0" w:color="9D9C9C"/>
              <w:left w:val="single" w:sz="6" w:space="0" w:color="000000"/>
              <w:bottom w:val="single" w:sz="6" w:space="0" w:color="9D9C9C"/>
              <w:right w:val="single" w:sz="6" w:space="0" w:color="FFFFFF"/>
            </w:tcBorders>
            <w:shd w:val="solid" w:color="004996" w:fill="auto"/>
            <w:tcMar>
              <w:top w:w="57" w:type="dxa"/>
              <w:left w:w="14" w:type="dxa"/>
              <w:bottom w:w="57" w:type="dxa"/>
              <w:right w:w="14" w:type="dxa"/>
            </w:tcMar>
          </w:tcPr>
          <w:p w14:paraId="6E822420" w14:textId="77777777" w:rsidR="004E4A66" w:rsidRPr="004E4A66" w:rsidRDefault="004E4A66" w:rsidP="004E4A66">
            <w:pPr>
              <w:widowControl/>
              <w:adjustRightInd w:val="0"/>
              <w:rPr>
                <w:rFonts w:eastAsia="Myriad Pro"/>
                <w:sz w:val="24"/>
                <w:szCs w:val="24"/>
                <w:lang w:val="en-GB"/>
              </w:rPr>
            </w:pPr>
          </w:p>
        </w:tc>
        <w:tc>
          <w:tcPr>
            <w:tcW w:w="1020" w:type="dxa"/>
            <w:tcBorders>
              <w:top w:val="single" w:sz="6" w:space="0" w:color="9D9C9C"/>
              <w:left w:val="single" w:sz="6" w:space="0" w:color="FFFFFF"/>
              <w:bottom w:val="single" w:sz="6" w:space="0" w:color="9D9C9C"/>
              <w:right w:val="single" w:sz="2" w:space="0" w:color="FFFFFF"/>
            </w:tcBorders>
            <w:shd w:val="solid" w:color="004996" w:fill="auto"/>
            <w:tcMar>
              <w:top w:w="57" w:type="dxa"/>
              <w:left w:w="14" w:type="dxa"/>
              <w:bottom w:w="57" w:type="dxa"/>
              <w:right w:w="14" w:type="dxa"/>
            </w:tcMar>
          </w:tcPr>
          <w:p w14:paraId="11B0C874" w14:textId="77777777" w:rsidR="004E4A66" w:rsidRPr="004E4A66" w:rsidRDefault="004E4A66" w:rsidP="004E4A66">
            <w:pPr>
              <w:widowControl/>
              <w:adjustRightInd w:val="0"/>
              <w:rPr>
                <w:rFonts w:eastAsia="Myriad Pro"/>
                <w:sz w:val="24"/>
                <w:szCs w:val="24"/>
                <w:lang w:val="en-GB"/>
              </w:rPr>
            </w:pP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4606C21D"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Carrying amount</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0C51A05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Net result</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327FE55F"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xml:space="preserve">Fair value through OCI </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6F8F2BD9"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Net result</w:t>
            </w:r>
          </w:p>
        </w:tc>
        <w:tc>
          <w:tcPr>
            <w:tcW w:w="1191" w:type="dxa"/>
            <w:tcBorders>
              <w:top w:val="single" w:sz="2" w:space="0" w:color="FFFFFF"/>
              <w:left w:val="single" w:sz="2" w:space="0" w:color="FFFFFF"/>
              <w:bottom w:val="single" w:sz="6" w:space="0" w:color="auto"/>
              <w:right w:val="single" w:sz="6" w:space="0" w:color="auto"/>
            </w:tcBorders>
            <w:shd w:val="solid" w:color="004996" w:fill="auto"/>
            <w:tcMar>
              <w:top w:w="57" w:type="dxa"/>
              <w:left w:w="14" w:type="dxa"/>
              <w:bottom w:w="57" w:type="dxa"/>
              <w:right w:w="14" w:type="dxa"/>
            </w:tcMar>
          </w:tcPr>
          <w:p w14:paraId="629228D4"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xml:space="preserve">Fair value through OCI </w:t>
            </w:r>
          </w:p>
        </w:tc>
      </w:tr>
      <w:tr w:rsidR="004E4A66" w:rsidRPr="004E4A66" w14:paraId="3BA4593D" w14:textId="77777777" w:rsidTr="004E4A66">
        <w:trPr>
          <w:trHeight w:val="60"/>
        </w:trPr>
        <w:tc>
          <w:tcPr>
            <w:tcW w:w="3402" w:type="dxa"/>
            <w:tcBorders>
              <w:top w:val="single" w:sz="2" w:space="0" w:color="9D9C9C"/>
              <w:left w:val="single" w:sz="6" w:space="0" w:color="004996"/>
              <w:bottom w:val="single" w:sz="8" w:space="0" w:color="000000"/>
              <w:right w:val="single" w:sz="6" w:space="0" w:color="auto"/>
            </w:tcBorders>
            <w:tcMar>
              <w:top w:w="57" w:type="dxa"/>
              <w:left w:w="14" w:type="dxa"/>
              <w:bottom w:w="57" w:type="dxa"/>
              <w:right w:w="14" w:type="dxa"/>
            </w:tcMar>
          </w:tcPr>
          <w:p w14:paraId="4081D5D0"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2022</w:t>
            </w:r>
          </w:p>
        </w:tc>
        <w:tc>
          <w:tcPr>
            <w:tcW w:w="1020"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4FF46EA5"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6F4580DD"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586D7EB7" w14:textId="77777777" w:rsidR="004E4A66" w:rsidRPr="004E4A66" w:rsidRDefault="004E4A66" w:rsidP="004E4A66">
            <w:pPr>
              <w:widowControl/>
              <w:adjustRightInd w:val="0"/>
              <w:rPr>
                <w:rFonts w:eastAsia="Myriad Pro"/>
                <w:sz w:val="24"/>
                <w:szCs w:val="24"/>
                <w:lang w:val="en-GB"/>
              </w:rPr>
            </w:pPr>
          </w:p>
        </w:tc>
        <w:tc>
          <w:tcPr>
            <w:tcW w:w="1190"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7BA329FD"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3D8EC440" w14:textId="77777777" w:rsidR="004E4A66" w:rsidRPr="004E4A66" w:rsidRDefault="004E4A66" w:rsidP="004E4A66">
            <w:pPr>
              <w:widowControl/>
              <w:adjustRightInd w:val="0"/>
              <w:rPr>
                <w:rFonts w:eastAsia="Myriad Pro"/>
                <w:sz w:val="24"/>
                <w:szCs w:val="24"/>
                <w:lang w:val="en-GB"/>
              </w:rPr>
            </w:pPr>
          </w:p>
        </w:tc>
        <w:tc>
          <w:tcPr>
            <w:tcW w:w="1191" w:type="dxa"/>
            <w:tcBorders>
              <w:top w:val="single" w:sz="2" w:space="0" w:color="9D9C9C"/>
              <w:left w:val="single" w:sz="6" w:space="0" w:color="auto"/>
              <w:bottom w:val="single" w:sz="8" w:space="0" w:color="000000"/>
              <w:right w:val="single" w:sz="6" w:space="0" w:color="004996"/>
            </w:tcBorders>
            <w:tcMar>
              <w:top w:w="57" w:type="dxa"/>
              <w:left w:w="14" w:type="dxa"/>
              <w:bottom w:w="57" w:type="dxa"/>
              <w:right w:w="14" w:type="dxa"/>
            </w:tcMar>
          </w:tcPr>
          <w:p w14:paraId="290B901C" w14:textId="77777777" w:rsidR="004E4A66" w:rsidRPr="004E4A66" w:rsidRDefault="004E4A66" w:rsidP="004E4A66">
            <w:pPr>
              <w:widowControl/>
              <w:adjustRightInd w:val="0"/>
              <w:rPr>
                <w:rFonts w:eastAsia="Myriad Pro"/>
                <w:sz w:val="24"/>
                <w:szCs w:val="24"/>
                <w:lang w:val="en-GB"/>
              </w:rPr>
            </w:pPr>
          </w:p>
        </w:tc>
      </w:tr>
      <w:tr w:rsidR="004E4A66" w:rsidRPr="004E4A66" w14:paraId="72A8F3DD" w14:textId="77777777" w:rsidTr="004E4A66">
        <w:trPr>
          <w:trHeight w:val="60"/>
        </w:trPr>
        <w:tc>
          <w:tcPr>
            <w:tcW w:w="3402" w:type="dxa"/>
            <w:tcBorders>
              <w:top w:val="single" w:sz="8" w:space="0" w:color="000000"/>
              <w:left w:val="single" w:sz="6" w:space="0" w:color="auto"/>
              <w:bottom w:val="single" w:sz="2" w:space="0" w:color="9D9C9C"/>
              <w:right w:val="single" w:sz="2" w:space="0" w:color="9D9C9C"/>
            </w:tcBorders>
            <w:tcMar>
              <w:top w:w="57" w:type="dxa"/>
              <w:left w:w="14" w:type="dxa"/>
              <w:bottom w:w="57" w:type="dxa"/>
              <w:right w:w="14" w:type="dxa"/>
            </w:tcMar>
          </w:tcPr>
          <w:p w14:paraId="2B00558C"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Contractual Financial Assets</w:t>
            </w:r>
          </w:p>
        </w:tc>
        <w:tc>
          <w:tcPr>
            <w:tcW w:w="1020"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46DEB446"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8B6C827"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729817E" w14:textId="77777777" w:rsidR="004E4A66" w:rsidRPr="004E4A66" w:rsidRDefault="004E4A66" w:rsidP="004E4A66">
            <w:pPr>
              <w:widowControl/>
              <w:adjustRightInd w:val="0"/>
              <w:rPr>
                <w:rFonts w:eastAsia="Myriad Pro"/>
                <w:sz w:val="24"/>
                <w:szCs w:val="24"/>
                <w:lang w:val="en-GB"/>
              </w:rPr>
            </w:pPr>
          </w:p>
        </w:tc>
        <w:tc>
          <w:tcPr>
            <w:tcW w:w="1190"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E59AC3F"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131AED2" w14:textId="77777777" w:rsidR="004E4A66" w:rsidRPr="004E4A66" w:rsidRDefault="004E4A66" w:rsidP="004E4A66">
            <w:pPr>
              <w:widowControl/>
              <w:adjustRightInd w:val="0"/>
              <w:rPr>
                <w:rFonts w:eastAsia="Myriad Pro"/>
                <w:sz w:val="24"/>
                <w:szCs w:val="24"/>
                <w:lang w:val="en-GB"/>
              </w:rPr>
            </w:pPr>
          </w:p>
        </w:tc>
        <w:tc>
          <w:tcPr>
            <w:tcW w:w="1191" w:type="dxa"/>
            <w:tcBorders>
              <w:top w:val="single" w:sz="8" w:space="0" w:color="000000"/>
              <w:left w:val="single" w:sz="2" w:space="0" w:color="9D9C9C"/>
              <w:bottom w:val="single" w:sz="2" w:space="0" w:color="9D9C9C"/>
              <w:right w:val="single" w:sz="6" w:space="0" w:color="auto"/>
            </w:tcBorders>
            <w:shd w:val="solid" w:color="ECECEC" w:fill="auto"/>
            <w:tcMar>
              <w:top w:w="57" w:type="dxa"/>
              <w:left w:w="14" w:type="dxa"/>
              <w:bottom w:w="57" w:type="dxa"/>
              <w:right w:w="14" w:type="dxa"/>
            </w:tcMar>
          </w:tcPr>
          <w:p w14:paraId="1A0CA880" w14:textId="77777777" w:rsidR="004E4A66" w:rsidRPr="004E4A66" w:rsidRDefault="004E4A66" w:rsidP="004E4A66">
            <w:pPr>
              <w:widowControl/>
              <w:adjustRightInd w:val="0"/>
              <w:rPr>
                <w:rFonts w:eastAsia="Myriad Pro"/>
                <w:sz w:val="24"/>
                <w:szCs w:val="24"/>
                <w:lang w:val="en-GB"/>
              </w:rPr>
            </w:pPr>
          </w:p>
        </w:tc>
      </w:tr>
      <w:tr w:rsidR="004E4A66" w:rsidRPr="004E4A66" w14:paraId="33ADB825" w14:textId="77777777" w:rsidTr="004E4A66">
        <w:trPr>
          <w:trHeight w:val="60"/>
        </w:trPr>
        <w:tc>
          <w:tcPr>
            <w:tcW w:w="3402"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56A05C6C"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Derivative financial instruments</w:t>
            </w:r>
          </w:p>
        </w:tc>
        <w:tc>
          <w:tcPr>
            <w:tcW w:w="102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1066DE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Note 6.1</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EB237FD"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862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61ACA4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CCF498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(263)</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743C4C9"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2DE134A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188 </w:t>
            </w:r>
          </w:p>
        </w:tc>
      </w:tr>
      <w:tr w:rsidR="004E4A66" w:rsidRPr="004E4A66" w14:paraId="55B9576E" w14:textId="77777777" w:rsidTr="004E4A66">
        <w:trPr>
          <w:trHeight w:val="60"/>
        </w:trPr>
        <w:tc>
          <w:tcPr>
            <w:tcW w:w="3402" w:type="dxa"/>
            <w:tcBorders>
              <w:top w:val="single" w:sz="2" w:space="0" w:color="9D9C9C"/>
              <w:left w:val="single" w:sz="6" w:space="0" w:color="9D9C9C"/>
              <w:bottom w:val="single" w:sz="8" w:space="0" w:color="000000"/>
              <w:right w:val="single" w:sz="2" w:space="0" w:color="9D9C9C"/>
            </w:tcBorders>
            <w:tcMar>
              <w:top w:w="57" w:type="dxa"/>
              <w:left w:w="14" w:type="dxa"/>
              <w:bottom w:w="57" w:type="dxa"/>
              <w:right w:w="14" w:type="dxa"/>
            </w:tcMar>
          </w:tcPr>
          <w:p w14:paraId="2A7E363D"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Total Impact</w:t>
            </w:r>
          </w:p>
        </w:tc>
        <w:tc>
          <w:tcPr>
            <w:tcW w:w="1020" w:type="dxa"/>
            <w:tcBorders>
              <w:top w:val="single" w:sz="2" w:space="0" w:color="9D9C9C"/>
              <w:left w:val="single" w:sz="2" w:space="0" w:color="9D9C9C"/>
              <w:bottom w:val="single" w:sz="8" w:space="0" w:color="000000"/>
              <w:right w:val="single" w:sz="2" w:space="0" w:color="9D9C9C"/>
            </w:tcBorders>
            <w:tcMar>
              <w:top w:w="57" w:type="dxa"/>
              <w:left w:w="14" w:type="dxa"/>
              <w:bottom w:w="57" w:type="dxa"/>
              <w:right w:w="14" w:type="dxa"/>
            </w:tcMar>
          </w:tcPr>
          <w:p w14:paraId="46F390FC"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090DF0B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862 </w:t>
            </w:r>
          </w:p>
        </w:tc>
        <w:tc>
          <w:tcPr>
            <w:tcW w:w="1134"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76D73AF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0"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39FD39CB"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(263)</w:t>
            </w:r>
          </w:p>
        </w:tc>
        <w:tc>
          <w:tcPr>
            <w:tcW w:w="1134"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429EFF8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1" w:type="dxa"/>
            <w:tcBorders>
              <w:top w:val="single" w:sz="2" w:space="0" w:color="9D9C9C"/>
              <w:left w:val="single" w:sz="2" w:space="0" w:color="9D9C9C"/>
              <w:bottom w:val="single" w:sz="8" w:space="0" w:color="000000"/>
              <w:right w:val="single" w:sz="6" w:space="0" w:color="9D9C9C"/>
            </w:tcBorders>
            <w:shd w:val="solid" w:color="ECECEC" w:fill="auto"/>
            <w:tcMar>
              <w:top w:w="57" w:type="dxa"/>
              <w:left w:w="14" w:type="dxa"/>
              <w:bottom w:w="57" w:type="dxa"/>
              <w:right w:w="14" w:type="dxa"/>
            </w:tcMar>
          </w:tcPr>
          <w:p w14:paraId="68BDD5A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188 </w:t>
            </w:r>
          </w:p>
        </w:tc>
      </w:tr>
      <w:tr w:rsidR="004E4A66" w:rsidRPr="004E4A66" w14:paraId="360166C4" w14:textId="77777777" w:rsidTr="004E4A66">
        <w:trPr>
          <w:trHeight w:val="60"/>
        </w:trPr>
        <w:tc>
          <w:tcPr>
            <w:tcW w:w="3402" w:type="dxa"/>
            <w:tcBorders>
              <w:top w:val="single" w:sz="8" w:space="0" w:color="000000"/>
              <w:left w:val="single" w:sz="6" w:space="0" w:color="000000"/>
              <w:bottom w:val="single" w:sz="2" w:space="0" w:color="9D9C9C"/>
              <w:right w:val="single" w:sz="2" w:space="0" w:color="9D9C9C"/>
            </w:tcBorders>
            <w:tcMar>
              <w:top w:w="57" w:type="dxa"/>
              <w:left w:w="14" w:type="dxa"/>
              <w:bottom w:w="57" w:type="dxa"/>
              <w:right w:w="14" w:type="dxa"/>
            </w:tcMar>
          </w:tcPr>
          <w:p w14:paraId="425BFDEA"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Contractual Financial Liabilities</w:t>
            </w:r>
          </w:p>
        </w:tc>
        <w:tc>
          <w:tcPr>
            <w:tcW w:w="1020"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5E28C383"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CE159B2"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C3AEB16" w14:textId="77777777" w:rsidR="004E4A66" w:rsidRPr="004E4A66" w:rsidRDefault="004E4A66" w:rsidP="004E4A66">
            <w:pPr>
              <w:widowControl/>
              <w:adjustRightInd w:val="0"/>
              <w:rPr>
                <w:rFonts w:eastAsia="Myriad Pro"/>
                <w:sz w:val="24"/>
                <w:szCs w:val="24"/>
                <w:lang w:val="en-GB"/>
              </w:rPr>
            </w:pPr>
          </w:p>
        </w:tc>
        <w:tc>
          <w:tcPr>
            <w:tcW w:w="1190"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B599AA4"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78E2B6C" w14:textId="77777777" w:rsidR="004E4A66" w:rsidRPr="004E4A66" w:rsidRDefault="004E4A66" w:rsidP="004E4A66">
            <w:pPr>
              <w:widowControl/>
              <w:adjustRightInd w:val="0"/>
              <w:rPr>
                <w:rFonts w:eastAsia="Myriad Pro"/>
                <w:sz w:val="24"/>
                <w:szCs w:val="24"/>
                <w:lang w:val="en-GB"/>
              </w:rPr>
            </w:pPr>
          </w:p>
        </w:tc>
        <w:tc>
          <w:tcPr>
            <w:tcW w:w="1191" w:type="dxa"/>
            <w:tcBorders>
              <w:top w:val="single" w:sz="8" w:space="0" w:color="000000"/>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7424774B" w14:textId="77777777" w:rsidR="004E4A66" w:rsidRPr="004E4A66" w:rsidRDefault="004E4A66" w:rsidP="004E4A66">
            <w:pPr>
              <w:widowControl/>
              <w:adjustRightInd w:val="0"/>
              <w:rPr>
                <w:rFonts w:eastAsia="Myriad Pro"/>
                <w:sz w:val="24"/>
                <w:szCs w:val="24"/>
                <w:lang w:val="en-GB"/>
              </w:rPr>
            </w:pPr>
          </w:p>
        </w:tc>
      </w:tr>
      <w:tr w:rsidR="004E4A66" w:rsidRPr="004E4A66" w14:paraId="55CBE732" w14:textId="77777777" w:rsidTr="004E4A66">
        <w:trPr>
          <w:trHeight w:val="60"/>
        </w:trPr>
        <w:tc>
          <w:tcPr>
            <w:tcW w:w="3402"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6ED0440B"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Derivative financial instruments</w:t>
            </w:r>
          </w:p>
        </w:tc>
        <w:tc>
          <w:tcPr>
            <w:tcW w:w="102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46CF47D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Note 6.3</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903E809"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4,274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5E96E7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73EE8B4"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(3,437)</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371FA56"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369D90E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3,101 </w:t>
            </w:r>
          </w:p>
        </w:tc>
      </w:tr>
      <w:tr w:rsidR="004E4A66" w:rsidRPr="004E4A66" w14:paraId="66FD1186" w14:textId="77777777" w:rsidTr="004E4A66">
        <w:trPr>
          <w:trHeight w:val="60"/>
        </w:trPr>
        <w:tc>
          <w:tcPr>
            <w:tcW w:w="3402" w:type="dxa"/>
            <w:tcBorders>
              <w:top w:val="single" w:sz="2" w:space="0" w:color="9D9C9C"/>
              <w:left w:val="single" w:sz="6" w:space="0" w:color="9D9C9C"/>
              <w:bottom w:val="single" w:sz="8" w:space="0" w:color="000000"/>
              <w:right w:val="single" w:sz="2" w:space="0" w:color="9D9C9C"/>
            </w:tcBorders>
            <w:tcMar>
              <w:top w:w="57" w:type="dxa"/>
              <w:left w:w="14" w:type="dxa"/>
              <w:bottom w:w="57" w:type="dxa"/>
              <w:right w:w="14" w:type="dxa"/>
            </w:tcMar>
          </w:tcPr>
          <w:p w14:paraId="0A7152BE"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Total Impact</w:t>
            </w:r>
          </w:p>
        </w:tc>
        <w:tc>
          <w:tcPr>
            <w:tcW w:w="1020" w:type="dxa"/>
            <w:tcBorders>
              <w:top w:val="single" w:sz="2" w:space="0" w:color="9D9C9C"/>
              <w:left w:val="single" w:sz="2" w:space="0" w:color="9D9C9C"/>
              <w:bottom w:val="single" w:sz="8" w:space="0" w:color="000000"/>
              <w:right w:val="single" w:sz="2" w:space="0" w:color="9D9C9C"/>
            </w:tcBorders>
            <w:tcMar>
              <w:top w:w="57" w:type="dxa"/>
              <w:left w:w="14" w:type="dxa"/>
              <w:bottom w:w="57" w:type="dxa"/>
              <w:right w:w="14" w:type="dxa"/>
            </w:tcMar>
          </w:tcPr>
          <w:p w14:paraId="387FF3E1"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1FBBC2B3"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4,274 </w:t>
            </w:r>
          </w:p>
        </w:tc>
        <w:tc>
          <w:tcPr>
            <w:tcW w:w="1134"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01291D34"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0"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2152150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(3,437)</w:t>
            </w:r>
          </w:p>
        </w:tc>
        <w:tc>
          <w:tcPr>
            <w:tcW w:w="1134"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64FC9B4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1" w:type="dxa"/>
            <w:tcBorders>
              <w:top w:val="single" w:sz="2" w:space="0" w:color="9D9C9C"/>
              <w:left w:val="single" w:sz="2" w:space="0" w:color="9D9C9C"/>
              <w:bottom w:val="single" w:sz="8" w:space="0" w:color="000000"/>
              <w:right w:val="single" w:sz="6" w:space="0" w:color="9D9C9C"/>
            </w:tcBorders>
            <w:shd w:val="solid" w:color="ECECEC" w:fill="auto"/>
            <w:tcMar>
              <w:top w:w="57" w:type="dxa"/>
              <w:left w:w="14" w:type="dxa"/>
              <w:bottom w:w="57" w:type="dxa"/>
              <w:right w:w="14" w:type="dxa"/>
            </w:tcMar>
          </w:tcPr>
          <w:p w14:paraId="49DE0F4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3,101 </w:t>
            </w:r>
          </w:p>
        </w:tc>
      </w:tr>
      <w:tr w:rsidR="004E4A66" w:rsidRPr="004E4A66" w14:paraId="1A0D4572" w14:textId="77777777" w:rsidTr="004E4A66">
        <w:trPr>
          <w:trHeight w:val="60"/>
        </w:trPr>
        <w:tc>
          <w:tcPr>
            <w:tcW w:w="3402" w:type="dxa"/>
            <w:tcBorders>
              <w:top w:val="single" w:sz="8" w:space="0" w:color="000000"/>
              <w:left w:val="single" w:sz="6" w:space="0" w:color="auto"/>
              <w:bottom w:val="single" w:sz="6" w:space="0" w:color="9D9C9C"/>
              <w:right w:val="single" w:sz="6" w:space="0" w:color="auto"/>
            </w:tcBorders>
            <w:tcMar>
              <w:top w:w="57" w:type="dxa"/>
              <w:left w:w="14" w:type="dxa"/>
              <w:bottom w:w="57" w:type="dxa"/>
              <w:right w:w="14" w:type="dxa"/>
            </w:tcMar>
          </w:tcPr>
          <w:p w14:paraId="15962FC1" w14:textId="77777777" w:rsidR="004E4A66" w:rsidRPr="004E4A66" w:rsidRDefault="004E4A66" w:rsidP="004E4A66">
            <w:pPr>
              <w:widowControl/>
              <w:adjustRightInd w:val="0"/>
              <w:rPr>
                <w:rFonts w:eastAsia="Myriad Pro"/>
                <w:sz w:val="24"/>
                <w:szCs w:val="24"/>
                <w:lang w:val="en-GB"/>
              </w:rPr>
            </w:pPr>
          </w:p>
        </w:tc>
        <w:tc>
          <w:tcPr>
            <w:tcW w:w="1020" w:type="dxa"/>
            <w:tcBorders>
              <w:top w:val="single" w:sz="8" w:space="0" w:color="000000"/>
              <w:left w:val="single" w:sz="6" w:space="0" w:color="auto"/>
              <w:bottom w:val="single" w:sz="6" w:space="0" w:color="9D9C9C"/>
              <w:right w:val="single" w:sz="6" w:space="0" w:color="auto"/>
            </w:tcBorders>
            <w:tcMar>
              <w:top w:w="57" w:type="dxa"/>
              <w:left w:w="14" w:type="dxa"/>
              <w:bottom w:w="57" w:type="dxa"/>
              <w:right w:w="14" w:type="dxa"/>
            </w:tcMar>
          </w:tcPr>
          <w:p w14:paraId="3DB2AC12"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6" w:space="0" w:color="auto"/>
              <w:bottom w:val="single" w:sz="6" w:space="0" w:color="9D9C9C"/>
              <w:right w:val="single" w:sz="6" w:space="0" w:color="auto"/>
            </w:tcBorders>
            <w:tcMar>
              <w:top w:w="57" w:type="dxa"/>
              <w:left w:w="14" w:type="dxa"/>
              <w:bottom w:w="57" w:type="dxa"/>
              <w:right w:w="14" w:type="dxa"/>
            </w:tcMar>
          </w:tcPr>
          <w:p w14:paraId="0A8007C8"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6" w:space="0" w:color="auto"/>
              <w:bottom w:val="single" w:sz="6" w:space="0" w:color="9D9C9C"/>
              <w:right w:val="single" w:sz="6" w:space="0" w:color="auto"/>
            </w:tcBorders>
            <w:tcMar>
              <w:top w:w="57" w:type="dxa"/>
              <w:left w:w="14" w:type="dxa"/>
              <w:bottom w:w="57" w:type="dxa"/>
              <w:right w:w="14" w:type="dxa"/>
            </w:tcMar>
          </w:tcPr>
          <w:p w14:paraId="6CB743F1" w14:textId="77777777" w:rsidR="004E4A66" w:rsidRPr="004E4A66" w:rsidRDefault="004E4A66" w:rsidP="004E4A66">
            <w:pPr>
              <w:widowControl/>
              <w:adjustRightInd w:val="0"/>
              <w:rPr>
                <w:rFonts w:eastAsia="Myriad Pro"/>
                <w:sz w:val="24"/>
                <w:szCs w:val="24"/>
                <w:lang w:val="en-GB"/>
              </w:rPr>
            </w:pPr>
          </w:p>
        </w:tc>
        <w:tc>
          <w:tcPr>
            <w:tcW w:w="1190" w:type="dxa"/>
            <w:tcBorders>
              <w:top w:val="single" w:sz="8" w:space="0" w:color="000000"/>
              <w:left w:val="single" w:sz="6" w:space="0" w:color="auto"/>
              <w:bottom w:val="single" w:sz="6" w:space="0" w:color="9D9C9C"/>
              <w:right w:val="single" w:sz="6" w:space="0" w:color="auto"/>
            </w:tcBorders>
            <w:tcMar>
              <w:top w:w="57" w:type="dxa"/>
              <w:left w:w="14" w:type="dxa"/>
              <w:bottom w:w="57" w:type="dxa"/>
              <w:right w:w="14" w:type="dxa"/>
            </w:tcMar>
          </w:tcPr>
          <w:p w14:paraId="4DB66EE8"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6" w:space="0" w:color="auto"/>
              <w:bottom w:val="single" w:sz="6" w:space="0" w:color="9D9C9C"/>
              <w:right w:val="single" w:sz="6" w:space="0" w:color="auto"/>
            </w:tcBorders>
            <w:tcMar>
              <w:top w:w="57" w:type="dxa"/>
              <w:left w:w="14" w:type="dxa"/>
              <w:bottom w:w="57" w:type="dxa"/>
              <w:right w:w="14" w:type="dxa"/>
            </w:tcMar>
          </w:tcPr>
          <w:p w14:paraId="6AC9ABF2" w14:textId="77777777" w:rsidR="004E4A66" w:rsidRPr="004E4A66" w:rsidRDefault="004E4A66" w:rsidP="004E4A66">
            <w:pPr>
              <w:widowControl/>
              <w:adjustRightInd w:val="0"/>
              <w:rPr>
                <w:rFonts w:eastAsia="Myriad Pro"/>
                <w:sz w:val="24"/>
                <w:szCs w:val="24"/>
                <w:lang w:val="en-GB"/>
              </w:rPr>
            </w:pPr>
          </w:p>
        </w:tc>
        <w:tc>
          <w:tcPr>
            <w:tcW w:w="1191" w:type="dxa"/>
            <w:tcBorders>
              <w:top w:val="single" w:sz="8" w:space="0" w:color="000000"/>
              <w:left w:val="single" w:sz="6" w:space="0" w:color="auto"/>
              <w:bottom w:val="single" w:sz="6" w:space="0" w:color="9D9C9C"/>
              <w:right w:val="single" w:sz="6" w:space="0" w:color="auto"/>
            </w:tcBorders>
            <w:tcMar>
              <w:top w:w="57" w:type="dxa"/>
              <w:left w:w="14" w:type="dxa"/>
              <w:bottom w:w="57" w:type="dxa"/>
              <w:right w:w="14" w:type="dxa"/>
            </w:tcMar>
          </w:tcPr>
          <w:p w14:paraId="55D651CF" w14:textId="77777777" w:rsidR="004E4A66" w:rsidRPr="004E4A66" w:rsidRDefault="004E4A66" w:rsidP="004E4A66">
            <w:pPr>
              <w:widowControl/>
              <w:adjustRightInd w:val="0"/>
              <w:rPr>
                <w:rFonts w:eastAsia="Myriad Pro"/>
                <w:sz w:val="24"/>
                <w:szCs w:val="24"/>
                <w:lang w:val="en-GB"/>
              </w:rPr>
            </w:pPr>
          </w:p>
        </w:tc>
      </w:tr>
      <w:tr w:rsidR="004E4A66" w:rsidRPr="004E4A66" w14:paraId="20AA3C59" w14:textId="77777777" w:rsidTr="004E4A66">
        <w:trPr>
          <w:trHeight w:val="60"/>
        </w:trPr>
        <w:tc>
          <w:tcPr>
            <w:tcW w:w="10205" w:type="dxa"/>
            <w:gridSpan w:val="7"/>
            <w:tcBorders>
              <w:top w:val="single" w:sz="6" w:space="0" w:color="9D9C9C"/>
              <w:left w:val="single" w:sz="6" w:space="0" w:color="000000"/>
              <w:bottom w:val="single" w:sz="2" w:space="0" w:color="FFFFFF"/>
              <w:right w:val="single" w:sz="2" w:space="0" w:color="FFFFFF"/>
            </w:tcBorders>
            <w:shd w:val="solid" w:color="004996" w:fill="auto"/>
            <w:tcMar>
              <w:top w:w="57" w:type="dxa"/>
              <w:left w:w="14" w:type="dxa"/>
              <w:bottom w:w="57" w:type="dxa"/>
              <w:right w:w="14" w:type="dxa"/>
            </w:tcMar>
          </w:tcPr>
          <w:p w14:paraId="0A2DF8B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thousand)</w:t>
            </w:r>
          </w:p>
        </w:tc>
      </w:tr>
      <w:tr w:rsidR="004E4A66" w:rsidRPr="004E4A66" w14:paraId="2AA7DC4A" w14:textId="77777777" w:rsidTr="004E4A66">
        <w:trPr>
          <w:trHeight w:val="60"/>
        </w:trPr>
        <w:tc>
          <w:tcPr>
            <w:tcW w:w="3402" w:type="dxa"/>
            <w:tcBorders>
              <w:top w:val="single" w:sz="2" w:space="0" w:color="FFFFFF"/>
              <w:left w:val="single" w:sz="6" w:space="0" w:color="000000"/>
              <w:bottom w:val="single" w:sz="6" w:space="0" w:color="9D9C9C"/>
              <w:right w:val="single" w:sz="6" w:space="0" w:color="FFFFFF"/>
            </w:tcBorders>
            <w:shd w:val="solid" w:color="004996" w:fill="auto"/>
            <w:tcMar>
              <w:top w:w="57" w:type="dxa"/>
              <w:left w:w="14" w:type="dxa"/>
              <w:bottom w:w="57" w:type="dxa"/>
              <w:right w:w="14" w:type="dxa"/>
            </w:tcMar>
          </w:tcPr>
          <w:p w14:paraId="3DD9F5F4" w14:textId="77777777" w:rsidR="004E4A66" w:rsidRPr="004E4A66" w:rsidRDefault="004E4A66" w:rsidP="004E4A66">
            <w:pPr>
              <w:widowControl/>
              <w:adjustRightInd w:val="0"/>
              <w:rPr>
                <w:rFonts w:eastAsia="Myriad Pro"/>
                <w:sz w:val="24"/>
                <w:szCs w:val="24"/>
                <w:lang w:val="en-GB"/>
              </w:rPr>
            </w:pPr>
          </w:p>
        </w:tc>
        <w:tc>
          <w:tcPr>
            <w:tcW w:w="1020" w:type="dxa"/>
            <w:tcBorders>
              <w:top w:val="single" w:sz="2" w:space="0" w:color="FFFFFF"/>
              <w:left w:val="single" w:sz="6" w:space="0" w:color="FFFFFF"/>
              <w:bottom w:val="single" w:sz="6" w:space="0" w:color="9D9C9C"/>
              <w:right w:val="single" w:sz="2" w:space="0" w:color="FFFFFF"/>
            </w:tcBorders>
            <w:shd w:val="solid" w:color="004996" w:fill="auto"/>
            <w:tcMar>
              <w:top w:w="57" w:type="dxa"/>
              <w:left w:w="14" w:type="dxa"/>
              <w:bottom w:w="57" w:type="dxa"/>
              <w:right w:w="14" w:type="dxa"/>
            </w:tcMar>
          </w:tcPr>
          <w:p w14:paraId="6DBD6063"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1527B280" w14:textId="77777777" w:rsidR="004E4A66" w:rsidRPr="004E4A66" w:rsidRDefault="004E4A66" w:rsidP="004E4A66">
            <w:pPr>
              <w:widowControl/>
              <w:adjustRightInd w:val="0"/>
              <w:rPr>
                <w:rFonts w:eastAsia="Myriad Pro"/>
                <w:sz w:val="24"/>
                <w:szCs w:val="24"/>
                <w:lang w:val="en-GB"/>
              </w:rPr>
            </w:pPr>
          </w:p>
        </w:tc>
        <w:tc>
          <w:tcPr>
            <w:tcW w:w="2324" w:type="dxa"/>
            <w:gridSpan w:val="2"/>
            <w:tcBorders>
              <w:top w:val="single" w:sz="2" w:space="0" w:color="FFFFFF"/>
              <w:left w:val="single" w:sz="2" w:space="0" w:color="FFFFFF"/>
              <w:bottom w:val="single" w:sz="2" w:space="0" w:color="FFFFFF"/>
              <w:right w:val="single" w:sz="2" w:space="0" w:color="FFFFFF"/>
            </w:tcBorders>
            <w:shd w:val="solid" w:color="004996" w:fill="auto"/>
            <w:tcMar>
              <w:top w:w="57" w:type="dxa"/>
              <w:left w:w="14" w:type="dxa"/>
              <w:bottom w:w="57" w:type="dxa"/>
              <w:right w:w="14" w:type="dxa"/>
            </w:tcMar>
          </w:tcPr>
          <w:p w14:paraId="2EF787C8" w14:textId="77777777" w:rsidR="004E4A66" w:rsidRPr="004E4A66" w:rsidRDefault="004E4A66" w:rsidP="004E4A66">
            <w:pPr>
              <w:widowControl/>
              <w:tabs>
                <w:tab w:val="left" w:pos="240"/>
              </w:tabs>
              <w:suppressAutoHyphens/>
              <w:adjustRightInd w:val="0"/>
              <w:spacing w:after="57" w:line="280" w:lineRule="atLeast"/>
              <w:jc w:val="center"/>
              <w:textAlignment w:val="center"/>
              <w:rPr>
                <w:rFonts w:eastAsia="Myriad Pro"/>
                <w:b/>
                <w:bCs/>
                <w:color w:val="FFFFFF"/>
                <w:spacing w:val="-2"/>
                <w:sz w:val="24"/>
                <w:szCs w:val="24"/>
                <w:lang w:val="en-GB"/>
              </w:rPr>
            </w:pPr>
            <w:r w:rsidRPr="004E4A66">
              <w:rPr>
                <w:rFonts w:ascii="Cambria Math" w:eastAsia="Myriad Pro" w:hAnsi="Cambria Math" w:cs="Cambria Math"/>
                <w:b/>
                <w:bCs/>
                <w:color w:val="FFFFFF"/>
                <w:spacing w:val="-2"/>
                <w:sz w:val="24"/>
                <w:szCs w:val="24"/>
                <w:lang w:val="en-GB"/>
              </w:rPr>
              <w:t>‑</w:t>
            </w:r>
            <w:r w:rsidRPr="004E4A66">
              <w:rPr>
                <w:rFonts w:eastAsia="Myriad Pro"/>
                <w:b/>
                <w:bCs/>
                <w:color w:val="FFFFFF"/>
                <w:spacing w:val="-2"/>
                <w:sz w:val="24"/>
                <w:szCs w:val="24"/>
                <w:lang w:val="en-GB"/>
              </w:rPr>
              <w:t>5%</w:t>
            </w:r>
          </w:p>
        </w:tc>
        <w:tc>
          <w:tcPr>
            <w:tcW w:w="2325" w:type="dxa"/>
            <w:gridSpan w:val="2"/>
            <w:tcBorders>
              <w:top w:val="single" w:sz="2" w:space="0" w:color="FFFFFF"/>
              <w:left w:val="single" w:sz="2" w:space="0" w:color="FFFFFF"/>
              <w:bottom w:val="single" w:sz="2" w:space="0" w:color="FFFFFF"/>
              <w:right w:val="single" w:sz="2" w:space="0" w:color="FFFFFF"/>
            </w:tcBorders>
            <w:shd w:val="solid" w:color="004996" w:fill="auto"/>
            <w:tcMar>
              <w:top w:w="57" w:type="dxa"/>
              <w:left w:w="14" w:type="dxa"/>
              <w:bottom w:w="57" w:type="dxa"/>
              <w:right w:w="14" w:type="dxa"/>
            </w:tcMar>
          </w:tcPr>
          <w:p w14:paraId="6920CEBB" w14:textId="77777777" w:rsidR="004E4A66" w:rsidRPr="004E4A66" w:rsidRDefault="004E4A66" w:rsidP="004E4A66">
            <w:pPr>
              <w:widowControl/>
              <w:tabs>
                <w:tab w:val="left" w:pos="240"/>
              </w:tabs>
              <w:suppressAutoHyphens/>
              <w:adjustRightInd w:val="0"/>
              <w:spacing w:after="57" w:line="280" w:lineRule="atLeast"/>
              <w:jc w:val="center"/>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+5%</w:t>
            </w:r>
          </w:p>
        </w:tc>
      </w:tr>
      <w:tr w:rsidR="004E4A66" w:rsidRPr="004E4A66" w14:paraId="5C8ADA4F" w14:textId="77777777" w:rsidTr="004E4A66">
        <w:trPr>
          <w:trHeight w:val="60"/>
        </w:trPr>
        <w:tc>
          <w:tcPr>
            <w:tcW w:w="3402" w:type="dxa"/>
            <w:tcBorders>
              <w:top w:val="single" w:sz="6" w:space="0" w:color="9D9C9C"/>
              <w:left w:val="single" w:sz="6" w:space="0" w:color="000000"/>
              <w:bottom w:val="single" w:sz="2" w:space="0" w:color="9D9C9C"/>
              <w:right w:val="single" w:sz="6" w:space="0" w:color="FFFFFF"/>
            </w:tcBorders>
            <w:shd w:val="solid" w:color="004996" w:fill="auto"/>
            <w:tcMar>
              <w:top w:w="57" w:type="dxa"/>
              <w:left w:w="14" w:type="dxa"/>
              <w:bottom w:w="57" w:type="dxa"/>
              <w:right w:w="14" w:type="dxa"/>
            </w:tcMar>
          </w:tcPr>
          <w:p w14:paraId="04BABC22" w14:textId="77777777" w:rsidR="004E4A66" w:rsidRPr="004E4A66" w:rsidRDefault="004E4A66" w:rsidP="004E4A66">
            <w:pPr>
              <w:widowControl/>
              <w:adjustRightInd w:val="0"/>
              <w:rPr>
                <w:rFonts w:eastAsia="Myriad Pro"/>
                <w:sz w:val="24"/>
                <w:szCs w:val="24"/>
                <w:lang w:val="en-GB"/>
              </w:rPr>
            </w:pPr>
          </w:p>
        </w:tc>
        <w:tc>
          <w:tcPr>
            <w:tcW w:w="1020" w:type="dxa"/>
            <w:tcBorders>
              <w:top w:val="single" w:sz="6" w:space="0" w:color="9D9C9C"/>
              <w:left w:val="single" w:sz="6" w:space="0" w:color="FFFFFF"/>
              <w:bottom w:val="single" w:sz="2" w:space="0" w:color="9D9C9C"/>
              <w:right w:val="single" w:sz="2" w:space="0" w:color="FFFFFF"/>
            </w:tcBorders>
            <w:shd w:val="solid" w:color="004996" w:fill="auto"/>
            <w:tcMar>
              <w:top w:w="57" w:type="dxa"/>
              <w:left w:w="14" w:type="dxa"/>
              <w:bottom w:w="57" w:type="dxa"/>
              <w:right w:w="14" w:type="dxa"/>
            </w:tcMar>
          </w:tcPr>
          <w:p w14:paraId="0AD00F24" w14:textId="77777777" w:rsidR="004E4A66" w:rsidRPr="004E4A66" w:rsidRDefault="004E4A66" w:rsidP="004E4A66">
            <w:pPr>
              <w:widowControl/>
              <w:adjustRightInd w:val="0"/>
              <w:rPr>
                <w:rFonts w:eastAsia="Myriad Pro"/>
                <w:sz w:val="24"/>
                <w:szCs w:val="24"/>
                <w:lang w:val="en-GB"/>
              </w:rPr>
            </w:pPr>
          </w:p>
        </w:tc>
        <w:tc>
          <w:tcPr>
            <w:tcW w:w="1134" w:type="dxa"/>
            <w:tcBorders>
              <w:top w:val="single" w:sz="6" w:space="0" w:color="9D9C9C"/>
              <w:left w:val="single" w:sz="2" w:space="0" w:color="FFFFFF"/>
              <w:bottom w:val="single" w:sz="2" w:space="0" w:color="9D9C9C"/>
              <w:right w:val="single" w:sz="2" w:space="0" w:color="FFFFFF"/>
            </w:tcBorders>
            <w:shd w:val="solid" w:color="004996" w:fill="auto"/>
            <w:tcMar>
              <w:top w:w="57" w:type="dxa"/>
              <w:left w:w="14" w:type="dxa"/>
              <w:bottom w:w="57" w:type="dxa"/>
              <w:right w:w="14" w:type="dxa"/>
            </w:tcMar>
          </w:tcPr>
          <w:p w14:paraId="6AE180B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Carrying amount</w:t>
            </w:r>
          </w:p>
        </w:tc>
        <w:tc>
          <w:tcPr>
            <w:tcW w:w="1134" w:type="dxa"/>
            <w:tcBorders>
              <w:top w:val="single" w:sz="2" w:space="0" w:color="FFFFFF"/>
              <w:left w:val="single" w:sz="2" w:space="0" w:color="FFFFFF"/>
              <w:bottom w:val="single" w:sz="2" w:space="0" w:color="9D9C9C"/>
              <w:right w:val="single" w:sz="2" w:space="0" w:color="FFFFFF"/>
            </w:tcBorders>
            <w:shd w:val="solid" w:color="004996" w:fill="auto"/>
            <w:tcMar>
              <w:top w:w="57" w:type="dxa"/>
              <w:left w:w="14" w:type="dxa"/>
              <w:bottom w:w="57" w:type="dxa"/>
              <w:right w:w="14" w:type="dxa"/>
            </w:tcMar>
          </w:tcPr>
          <w:p w14:paraId="6812CB0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Net result</w:t>
            </w:r>
          </w:p>
        </w:tc>
        <w:tc>
          <w:tcPr>
            <w:tcW w:w="1190" w:type="dxa"/>
            <w:tcBorders>
              <w:top w:val="single" w:sz="2" w:space="0" w:color="FFFFFF"/>
              <w:left w:val="single" w:sz="2" w:space="0" w:color="FFFFFF"/>
              <w:bottom w:val="single" w:sz="2" w:space="0" w:color="9D9C9C"/>
              <w:right w:val="single" w:sz="2" w:space="0" w:color="FFFFFF"/>
            </w:tcBorders>
            <w:shd w:val="solid" w:color="004996" w:fill="auto"/>
            <w:tcMar>
              <w:top w:w="57" w:type="dxa"/>
              <w:left w:w="14" w:type="dxa"/>
              <w:bottom w:w="57" w:type="dxa"/>
              <w:right w:w="14" w:type="dxa"/>
            </w:tcMar>
          </w:tcPr>
          <w:p w14:paraId="3402FB4C"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xml:space="preserve">Fair value through OCI </w:t>
            </w:r>
          </w:p>
        </w:tc>
        <w:tc>
          <w:tcPr>
            <w:tcW w:w="1134" w:type="dxa"/>
            <w:tcBorders>
              <w:top w:val="single" w:sz="2" w:space="0" w:color="FFFFFF"/>
              <w:left w:val="single" w:sz="2" w:space="0" w:color="FFFFFF"/>
              <w:bottom w:val="single" w:sz="2" w:space="0" w:color="9D9C9C"/>
              <w:right w:val="single" w:sz="2" w:space="0" w:color="FFFFFF"/>
            </w:tcBorders>
            <w:shd w:val="solid" w:color="004996" w:fill="auto"/>
            <w:tcMar>
              <w:top w:w="57" w:type="dxa"/>
              <w:left w:w="14" w:type="dxa"/>
              <w:bottom w:w="57" w:type="dxa"/>
              <w:right w:w="14" w:type="dxa"/>
            </w:tcMar>
          </w:tcPr>
          <w:p w14:paraId="716F57D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Net result</w:t>
            </w:r>
          </w:p>
        </w:tc>
        <w:tc>
          <w:tcPr>
            <w:tcW w:w="1191" w:type="dxa"/>
            <w:tcBorders>
              <w:top w:val="single" w:sz="2" w:space="0" w:color="FFFFFF"/>
              <w:left w:val="single" w:sz="2" w:space="0" w:color="FFFFFF"/>
              <w:bottom w:val="single" w:sz="2" w:space="0" w:color="9D9C9C"/>
              <w:right w:val="single" w:sz="6" w:space="0" w:color="auto"/>
            </w:tcBorders>
            <w:shd w:val="solid" w:color="004996" w:fill="auto"/>
            <w:tcMar>
              <w:top w:w="57" w:type="dxa"/>
              <w:left w:w="14" w:type="dxa"/>
              <w:bottom w:w="57" w:type="dxa"/>
              <w:right w:w="14" w:type="dxa"/>
            </w:tcMar>
          </w:tcPr>
          <w:p w14:paraId="5789CD03"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xml:space="preserve">Fair value through OCI </w:t>
            </w:r>
          </w:p>
        </w:tc>
      </w:tr>
      <w:tr w:rsidR="004E4A66" w:rsidRPr="004E4A66" w14:paraId="3CC4381D" w14:textId="77777777" w:rsidTr="004E4A66">
        <w:trPr>
          <w:trHeight w:val="60"/>
        </w:trPr>
        <w:tc>
          <w:tcPr>
            <w:tcW w:w="3402" w:type="dxa"/>
            <w:tcBorders>
              <w:top w:val="single" w:sz="2" w:space="0" w:color="9D9C9C"/>
              <w:left w:val="single" w:sz="6" w:space="0" w:color="9D9C9C"/>
              <w:bottom w:val="single" w:sz="8" w:space="0" w:color="000000"/>
              <w:right w:val="single" w:sz="6" w:space="0" w:color="9D9C9C"/>
            </w:tcBorders>
            <w:tcMar>
              <w:top w:w="57" w:type="dxa"/>
              <w:left w:w="14" w:type="dxa"/>
              <w:bottom w:w="57" w:type="dxa"/>
              <w:right w:w="14" w:type="dxa"/>
            </w:tcMar>
          </w:tcPr>
          <w:p w14:paraId="55E5E9F5"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2021</w:t>
            </w:r>
          </w:p>
        </w:tc>
        <w:tc>
          <w:tcPr>
            <w:tcW w:w="1020" w:type="dxa"/>
            <w:tcBorders>
              <w:top w:val="single" w:sz="2" w:space="0" w:color="9D9C9C"/>
              <w:left w:val="single" w:sz="6" w:space="0" w:color="9D9C9C"/>
              <w:bottom w:val="single" w:sz="8" w:space="0" w:color="000000"/>
              <w:right w:val="single" w:sz="6" w:space="0" w:color="9D9C9C"/>
            </w:tcBorders>
            <w:tcMar>
              <w:top w:w="57" w:type="dxa"/>
              <w:left w:w="14" w:type="dxa"/>
              <w:bottom w:w="57" w:type="dxa"/>
              <w:right w:w="14" w:type="dxa"/>
            </w:tcMar>
          </w:tcPr>
          <w:p w14:paraId="704D2D00"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57" w:type="dxa"/>
              <w:left w:w="14" w:type="dxa"/>
              <w:bottom w:w="57" w:type="dxa"/>
              <w:right w:w="14" w:type="dxa"/>
            </w:tcMar>
          </w:tcPr>
          <w:p w14:paraId="5BC44066"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57" w:type="dxa"/>
              <w:left w:w="14" w:type="dxa"/>
              <w:bottom w:w="57" w:type="dxa"/>
              <w:right w:w="14" w:type="dxa"/>
            </w:tcMar>
          </w:tcPr>
          <w:p w14:paraId="12E77C5F" w14:textId="77777777" w:rsidR="004E4A66" w:rsidRPr="004E4A66" w:rsidRDefault="004E4A66" w:rsidP="004E4A66">
            <w:pPr>
              <w:widowControl/>
              <w:adjustRightInd w:val="0"/>
              <w:rPr>
                <w:rFonts w:eastAsia="Myriad Pro"/>
                <w:sz w:val="24"/>
                <w:szCs w:val="24"/>
                <w:lang w:val="en-GB"/>
              </w:rPr>
            </w:pPr>
          </w:p>
        </w:tc>
        <w:tc>
          <w:tcPr>
            <w:tcW w:w="1190" w:type="dxa"/>
            <w:tcBorders>
              <w:top w:val="single" w:sz="2" w:space="0" w:color="9D9C9C"/>
              <w:left w:val="single" w:sz="6" w:space="0" w:color="9D9C9C"/>
              <w:bottom w:val="single" w:sz="8" w:space="0" w:color="000000"/>
              <w:right w:val="single" w:sz="6" w:space="0" w:color="9D9C9C"/>
            </w:tcBorders>
            <w:tcMar>
              <w:top w:w="57" w:type="dxa"/>
              <w:left w:w="14" w:type="dxa"/>
              <w:bottom w:w="57" w:type="dxa"/>
              <w:right w:w="14" w:type="dxa"/>
            </w:tcMar>
          </w:tcPr>
          <w:p w14:paraId="559B10E4"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57" w:type="dxa"/>
              <w:left w:w="14" w:type="dxa"/>
              <w:bottom w:w="57" w:type="dxa"/>
              <w:right w:w="14" w:type="dxa"/>
            </w:tcMar>
          </w:tcPr>
          <w:p w14:paraId="38E3E680" w14:textId="77777777" w:rsidR="004E4A66" w:rsidRPr="004E4A66" w:rsidRDefault="004E4A66" w:rsidP="004E4A66">
            <w:pPr>
              <w:widowControl/>
              <w:adjustRightInd w:val="0"/>
              <w:rPr>
                <w:rFonts w:eastAsia="Myriad Pro"/>
                <w:sz w:val="24"/>
                <w:szCs w:val="24"/>
                <w:lang w:val="en-GB"/>
              </w:rPr>
            </w:pPr>
          </w:p>
        </w:tc>
        <w:tc>
          <w:tcPr>
            <w:tcW w:w="1191" w:type="dxa"/>
            <w:tcBorders>
              <w:top w:val="single" w:sz="2" w:space="0" w:color="9D9C9C"/>
              <w:left w:val="single" w:sz="6" w:space="0" w:color="9D9C9C"/>
              <w:bottom w:val="single" w:sz="8" w:space="0" w:color="000000"/>
              <w:right w:val="single" w:sz="6" w:space="0" w:color="9D9C9C"/>
            </w:tcBorders>
            <w:tcMar>
              <w:top w:w="57" w:type="dxa"/>
              <w:left w:w="14" w:type="dxa"/>
              <w:bottom w:w="57" w:type="dxa"/>
              <w:right w:w="14" w:type="dxa"/>
            </w:tcMar>
          </w:tcPr>
          <w:p w14:paraId="1A0E9704" w14:textId="77777777" w:rsidR="004E4A66" w:rsidRPr="004E4A66" w:rsidRDefault="004E4A66" w:rsidP="004E4A66">
            <w:pPr>
              <w:widowControl/>
              <w:adjustRightInd w:val="0"/>
              <w:rPr>
                <w:rFonts w:eastAsia="Myriad Pro"/>
                <w:sz w:val="24"/>
                <w:szCs w:val="24"/>
                <w:lang w:val="en-GB"/>
              </w:rPr>
            </w:pPr>
          </w:p>
        </w:tc>
      </w:tr>
      <w:tr w:rsidR="004E4A66" w:rsidRPr="004E4A66" w14:paraId="6938956F" w14:textId="77777777" w:rsidTr="004E4A66">
        <w:trPr>
          <w:trHeight w:val="60"/>
        </w:trPr>
        <w:tc>
          <w:tcPr>
            <w:tcW w:w="3402" w:type="dxa"/>
            <w:tcBorders>
              <w:top w:val="single" w:sz="8" w:space="0" w:color="000000"/>
              <w:left w:val="single" w:sz="6" w:space="0" w:color="000000"/>
              <w:bottom w:val="single" w:sz="2" w:space="0" w:color="9D9C9C"/>
              <w:right w:val="single" w:sz="2" w:space="0" w:color="9D9C9C"/>
            </w:tcBorders>
            <w:tcMar>
              <w:top w:w="57" w:type="dxa"/>
              <w:left w:w="14" w:type="dxa"/>
              <w:bottom w:w="57" w:type="dxa"/>
              <w:right w:w="14" w:type="dxa"/>
            </w:tcMar>
          </w:tcPr>
          <w:p w14:paraId="4EA98B33"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Contractual Financial Assets</w:t>
            </w:r>
          </w:p>
        </w:tc>
        <w:tc>
          <w:tcPr>
            <w:tcW w:w="1020"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594DF51F"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1EC19F0C"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04FF61B6" w14:textId="77777777" w:rsidR="004E4A66" w:rsidRPr="004E4A66" w:rsidRDefault="004E4A66" w:rsidP="004E4A66">
            <w:pPr>
              <w:widowControl/>
              <w:adjustRightInd w:val="0"/>
              <w:rPr>
                <w:rFonts w:eastAsia="Myriad Pro"/>
                <w:sz w:val="24"/>
                <w:szCs w:val="24"/>
                <w:lang w:val="en-GB"/>
              </w:rPr>
            </w:pPr>
          </w:p>
        </w:tc>
        <w:tc>
          <w:tcPr>
            <w:tcW w:w="1190"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54542821"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3B946FDA" w14:textId="77777777" w:rsidR="004E4A66" w:rsidRPr="004E4A66" w:rsidRDefault="004E4A66" w:rsidP="004E4A66">
            <w:pPr>
              <w:widowControl/>
              <w:adjustRightInd w:val="0"/>
              <w:rPr>
                <w:rFonts w:eastAsia="Myriad Pro"/>
                <w:sz w:val="24"/>
                <w:szCs w:val="24"/>
                <w:lang w:val="en-GB"/>
              </w:rPr>
            </w:pPr>
          </w:p>
        </w:tc>
        <w:tc>
          <w:tcPr>
            <w:tcW w:w="1191" w:type="dxa"/>
            <w:tcBorders>
              <w:top w:val="single" w:sz="8" w:space="0" w:color="000000"/>
              <w:left w:val="single" w:sz="2" w:space="0" w:color="9D9C9C"/>
              <w:bottom w:val="single" w:sz="2" w:space="0" w:color="9D9C9C"/>
              <w:right w:val="single" w:sz="6" w:space="0" w:color="9D9C9C"/>
            </w:tcBorders>
            <w:tcMar>
              <w:top w:w="57" w:type="dxa"/>
              <w:left w:w="14" w:type="dxa"/>
              <w:bottom w:w="57" w:type="dxa"/>
              <w:right w:w="14" w:type="dxa"/>
            </w:tcMar>
          </w:tcPr>
          <w:p w14:paraId="4893CD52" w14:textId="77777777" w:rsidR="004E4A66" w:rsidRPr="004E4A66" w:rsidRDefault="004E4A66" w:rsidP="004E4A66">
            <w:pPr>
              <w:widowControl/>
              <w:adjustRightInd w:val="0"/>
              <w:rPr>
                <w:rFonts w:eastAsia="Myriad Pro"/>
                <w:sz w:val="24"/>
                <w:szCs w:val="24"/>
                <w:lang w:val="en-GB"/>
              </w:rPr>
            </w:pPr>
          </w:p>
        </w:tc>
      </w:tr>
      <w:tr w:rsidR="004E4A66" w:rsidRPr="004E4A66" w14:paraId="2EEFF117" w14:textId="77777777" w:rsidTr="004E4A66">
        <w:trPr>
          <w:trHeight w:val="60"/>
        </w:trPr>
        <w:tc>
          <w:tcPr>
            <w:tcW w:w="3402"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3AC9AA93"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 xml:space="preserve">Derivative financial instruments </w:t>
            </w:r>
          </w:p>
        </w:tc>
        <w:tc>
          <w:tcPr>
            <w:tcW w:w="1020"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65A1AEC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Note 6.1</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06BAFF4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304 </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4EE031B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0"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09E01B0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(121)</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757A1523"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1" w:type="dxa"/>
            <w:tcBorders>
              <w:top w:val="single" w:sz="2" w:space="0" w:color="9D9C9C"/>
              <w:left w:val="single" w:sz="2" w:space="0" w:color="9D9C9C"/>
              <w:bottom w:val="single" w:sz="4" w:space="0" w:color="000000"/>
              <w:right w:val="single" w:sz="6" w:space="0" w:color="9D9C9C"/>
            </w:tcBorders>
            <w:tcMar>
              <w:top w:w="57" w:type="dxa"/>
              <w:left w:w="14" w:type="dxa"/>
              <w:bottom w:w="57" w:type="dxa"/>
              <w:right w:w="14" w:type="dxa"/>
            </w:tcMar>
          </w:tcPr>
          <w:p w14:paraId="6789DCFE"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109 </w:t>
            </w:r>
          </w:p>
        </w:tc>
      </w:tr>
      <w:tr w:rsidR="004E4A66" w:rsidRPr="004E4A66" w14:paraId="05410BE3" w14:textId="77777777" w:rsidTr="004E4A66">
        <w:trPr>
          <w:trHeight w:val="60"/>
        </w:trPr>
        <w:tc>
          <w:tcPr>
            <w:tcW w:w="3402" w:type="dxa"/>
            <w:tcBorders>
              <w:top w:val="single" w:sz="4" w:space="0" w:color="000000"/>
              <w:left w:val="single" w:sz="6" w:space="0" w:color="auto"/>
              <w:bottom w:val="single" w:sz="8" w:space="0" w:color="000000"/>
              <w:right w:val="single" w:sz="2" w:space="0" w:color="9D9C9C"/>
            </w:tcBorders>
            <w:tcMar>
              <w:top w:w="57" w:type="dxa"/>
              <w:left w:w="14" w:type="dxa"/>
              <w:bottom w:w="57" w:type="dxa"/>
              <w:right w:w="14" w:type="dxa"/>
            </w:tcMar>
          </w:tcPr>
          <w:p w14:paraId="4600B9A6"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Total Impact</w:t>
            </w:r>
          </w:p>
        </w:tc>
        <w:tc>
          <w:tcPr>
            <w:tcW w:w="1020"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24DEFB49" w14:textId="77777777" w:rsidR="004E4A66" w:rsidRPr="004E4A66" w:rsidRDefault="004E4A66" w:rsidP="004E4A66">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195ADB2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304 </w:t>
            </w:r>
          </w:p>
        </w:tc>
        <w:tc>
          <w:tcPr>
            <w:tcW w:w="113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4D96A436"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0"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2726902C"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(121)</w:t>
            </w:r>
          </w:p>
        </w:tc>
        <w:tc>
          <w:tcPr>
            <w:tcW w:w="113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0D75B8B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1" w:type="dxa"/>
            <w:tcBorders>
              <w:top w:val="single" w:sz="4" w:space="0" w:color="000000"/>
              <w:left w:val="single" w:sz="2" w:space="0" w:color="9D9C9C"/>
              <w:bottom w:val="single" w:sz="8" w:space="0" w:color="000000"/>
              <w:right w:val="single" w:sz="6" w:space="0" w:color="auto"/>
            </w:tcBorders>
            <w:tcMar>
              <w:top w:w="57" w:type="dxa"/>
              <w:left w:w="14" w:type="dxa"/>
              <w:bottom w:w="57" w:type="dxa"/>
              <w:right w:w="14" w:type="dxa"/>
            </w:tcMar>
          </w:tcPr>
          <w:p w14:paraId="783ADD19"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109 </w:t>
            </w:r>
          </w:p>
        </w:tc>
      </w:tr>
      <w:tr w:rsidR="004E4A66" w:rsidRPr="004E4A66" w14:paraId="2FCA558E" w14:textId="77777777" w:rsidTr="004E4A66">
        <w:trPr>
          <w:trHeight w:val="60"/>
        </w:trPr>
        <w:tc>
          <w:tcPr>
            <w:tcW w:w="3402" w:type="dxa"/>
            <w:tcBorders>
              <w:top w:val="single" w:sz="8" w:space="0" w:color="000000"/>
              <w:left w:val="single" w:sz="6" w:space="0" w:color="000000"/>
              <w:bottom w:val="single" w:sz="2" w:space="0" w:color="9D9C9C"/>
              <w:right w:val="single" w:sz="2" w:space="0" w:color="9D9C9C"/>
            </w:tcBorders>
            <w:tcMar>
              <w:top w:w="57" w:type="dxa"/>
              <w:left w:w="14" w:type="dxa"/>
              <w:bottom w:w="57" w:type="dxa"/>
              <w:right w:w="14" w:type="dxa"/>
            </w:tcMar>
          </w:tcPr>
          <w:p w14:paraId="2B71A40F"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Contractual Financial Liabilities</w:t>
            </w:r>
          </w:p>
        </w:tc>
        <w:tc>
          <w:tcPr>
            <w:tcW w:w="1020"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41AFADD0"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0BABE0A7"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5BD62335" w14:textId="77777777" w:rsidR="004E4A66" w:rsidRPr="004E4A66" w:rsidRDefault="004E4A66" w:rsidP="004E4A66">
            <w:pPr>
              <w:widowControl/>
              <w:adjustRightInd w:val="0"/>
              <w:rPr>
                <w:rFonts w:eastAsia="Myriad Pro"/>
                <w:sz w:val="24"/>
                <w:szCs w:val="24"/>
                <w:lang w:val="en-GB"/>
              </w:rPr>
            </w:pPr>
          </w:p>
        </w:tc>
        <w:tc>
          <w:tcPr>
            <w:tcW w:w="1190"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41119F77"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5C1F71B2" w14:textId="77777777" w:rsidR="004E4A66" w:rsidRPr="004E4A66" w:rsidRDefault="004E4A66" w:rsidP="004E4A66">
            <w:pPr>
              <w:widowControl/>
              <w:adjustRightInd w:val="0"/>
              <w:rPr>
                <w:rFonts w:eastAsia="Myriad Pro"/>
                <w:sz w:val="24"/>
                <w:szCs w:val="24"/>
                <w:lang w:val="en-GB"/>
              </w:rPr>
            </w:pPr>
          </w:p>
        </w:tc>
        <w:tc>
          <w:tcPr>
            <w:tcW w:w="1191" w:type="dxa"/>
            <w:tcBorders>
              <w:top w:val="single" w:sz="8" w:space="0" w:color="000000"/>
              <w:left w:val="single" w:sz="2" w:space="0" w:color="9D9C9C"/>
              <w:bottom w:val="single" w:sz="2" w:space="0" w:color="9D9C9C"/>
              <w:right w:val="single" w:sz="6" w:space="0" w:color="9D9C9C"/>
            </w:tcBorders>
            <w:tcMar>
              <w:top w:w="57" w:type="dxa"/>
              <w:left w:w="14" w:type="dxa"/>
              <w:bottom w:w="57" w:type="dxa"/>
              <w:right w:w="14" w:type="dxa"/>
            </w:tcMar>
          </w:tcPr>
          <w:p w14:paraId="3D598EDC" w14:textId="77777777" w:rsidR="004E4A66" w:rsidRPr="004E4A66" w:rsidRDefault="004E4A66" w:rsidP="004E4A66">
            <w:pPr>
              <w:widowControl/>
              <w:adjustRightInd w:val="0"/>
              <w:rPr>
                <w:rFonts w:eastAsia="Myriad Pro"/>
                <w:sz w:val="24"/>
                <w:szCs w:val="24"/>
                <w:lang w:val="en-GB"/>
              </w:rPr>
            </w:pPr>
          </w:p>
        </w:tc>
      </w:tr>
      <w:tr w:rsidR="004E4A66" w:rsidRPr="004E4A66" w14:paraId="3A675E14" w14:textId="77777777" w:rsidTr="004E4A66">
        <w:trPr>
          <w:trHeight w:val="60"/>
        </w:trPr>
        <w:tc>
          <w:tcPr>
            <w:tcW w:w="3402"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0040F4F1"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Derivative financial instruments</w:t>
            </w:r>
          </w:p>
        </w:tc>
        <w:tc>
          <w:tcPr>
            <w:tcW w:w="1020"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5701788C"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Note 6.3</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6E7A7923"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13,745 </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6B86199D"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0"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12919D7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(3,732)</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77519FD6"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1" w:type="dxa"/>
            <w:tcBorders>
              <w:top w:val="single" w:sz="2" w:space="0" w:color="9D9C9C"/>
              <w:left w:val="single" w:sz="2" w:space="0" w:color="9D9C9C"/>
              <w:bottom w:val="single" w:sz="4" w:space="0" w:color="000000"/>
              <w:right w:val="single" w:sz="6" w:space="0" w:color="9D9C9C"/>
            </w:tcBorders>
            <w:tcMar>
              <w:top w:w="57" w:type="dxa"/>
              <w:left w:w="14" w:type="dxa"/>
              <w:bottom w:w="57" w:type="dxa"/>
              <w:right w:w="14" w:type="dxa"/>
            </w:tcMar>
          </w:tcPr>
          <w:p w14:paraId="116DBFE5"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3,376 </w:t>
            </w:r>
          </w:p>
        </w:tc>
      </w:tr>
      <w:tr w:rsidR="004E4A66" w:rsidRPr="004E4A66" w14:paraId="56182CC6" w14:textId="77777777" w:rsidTr="004E4A66">
        <w:trPr>
          <w:trHeight w:val="60"/>
        </w:trPr>
        <w:tc>
          <w:tcPr>
            <w:tcW w:w="3402" w:type="dxa"/>
            <w:tcBorders>
              <w:top w:val="single" w:sz="4" w:space="0" w:color="000000"/>
              <w:left w:val="single" w:sz="6" w:space="0" w:color="auto"/>
              <w:bottom w:val="single" w:sz="8" w:space="0" w:color="000000"/>
              <w:right w:val="single" w:sz="2" w:space="0" w:color="9D9C9C"/>
            </w:tcBorders>
            <w:tcMar>
              <w:top w:w="57" w:type="dxa"/>
              <w:left w:w="14" w:type="dxa"/>
              <w:bottom w:w="57" w:type="dxa"/>
              <w:right w:w="14" w:type="dxa"/>
            </w:tcMar>
          </w:tcPr>
          <w:p w14:paraId="2A90ED59"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Total Impact</w:t>
            </w:r>
          </w:p>
        </w:tc>
        <w:tc>
          <w:tcPr>
            <w:tcW w:w="1020"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14EE3F22" w14:textId="77777777" w:rsidR="004E4A66" w:rsidRPr="004E4A66" w:rsidRDefault="004E4A66" w:rsidP="004E4A66">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12F8BFFD"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13,745 </w:t>
            </w:r>
          </w:p>
        </w:tc>
        <w:tc>
          <w:tcPr>
            <w:tcW w:w="113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6BEA0F1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0"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0D510E4B"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(3,732)</w:t>
            </w:r>
          </w:p>
        </w:tc>
        <w:tc>
          <w:tcPr>
            <w:tcW w:w="113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799E045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1" w:type="dxa"/>
            <w:tcBorders>
              <w:top w:val="single" w:sz="4" w:space="0" w:color="000000"/>
              <w:left w:val="single" w:sz="2" w:space="0" w:color="9D9C9C"/>
              <w:bottom w:val="single" w:sz="8" w:space="0" w:color="000000"/>
              <w:right w:val="single" w:sz="6" w:space="0" w:color="auto"/>
            </w:tcBorders>
            <w:tcMar>
              <w:top w:w="57" w:type="dxa"/>
              <w:left w:w="14" w:type="dxa"/>
              <w:bottom w:w="57" w:type="dxa"/>
              <w:right w:w="14" w:type="dxa"/>
            </w:tcMar>
          </w:tcPr>
          <w:p w14:paraId="3E18BD05"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3,376</w:t>
            </w:r>
          </w:p>
        </w:tc>
      </w:tr>
    </w:tbl>
    <w:p w14:paraId="0D5CEFA1" w14:textId="77777777" w:rsidR="00345EE3" w:rsidRDefault="00345EE3" w:rsidP="00345EE3">
      <w:pPr>
        <w:pStyle w:val="BodyText"/>
        <w:spacing w:before="3"/>
        <w:rPr>
          <w:b/>
          <w:sz w:val="14"/>
        </w:rPr>
      </w:pPr>
    </w:p>
    <w:p w14:paraId="4C27D5D7" w14:textId="77777777" w:rsidR="00345EE3" w:rsidRDefault="00345EE3" w:rsidP="00345EE3">
      <w:pPr>
        <w:rPr>
          <w:sz w:val="24"/>
        </w:rPr>
        <w:sectPr w:rsidR="00345EE3">
          <w:pgSz w:w="11910" w:h="16840"/>
          <w:pgMar w:top="720" w:right="720" w:bottom="280" w:left="740" w:header="720" w:footer="720" w:gutter="0"/>
          <w:cols w:space="720"/>
        </w:sectPr>
      </w:pPr>
    </w:p>
    <w:p w14:paraId="2F437216" w14:textId="77777777" w:rsidR="00345EE3" w:rsidRDefault="00345EE3" w:rsidP="00345EE3">
      <w:pPr>
        <w:spacing w:before="55"/>
        <w:ind w:left="110"/>
        <w:rPr>
          <w:b/>
          <w:sz w:val="24"/>
        </w:rPr>
      </w:pPr>
      <w:r>
        <w:rPr>
          <w:b/>
          <w:color w:val="231F20"/>
          <w:sz w:val="24"/>
        </w:rPr>
        <w:t>Cash</w:t>
      </w:r>
      <w:r>
        <w:rPr>
          <w:b/>
          <w:color w:val="231F20"/>
          <w:spacing w:val="-6"/>
          <w:sz w:val="24"/>
        </w:rPr>
        <w:t xml:space="preserve"> </w:t>
      </w:r>
      <w:r>
        <w:rPr>
          <w:b/>
          <w:color w:val="231F20"/>
          <w:sz w:val="24"/>
        </w:rPr>
        <w:t>Flow</w:t>
      </w:r>
      <w:r>
        <w:rPr>
          <w:b/>
          <w:color w:val="231F20"/>
          <w:spacing w:val="-5"/>
          <w:sz w:val="24"/>
        </w:rPr>
        <w:t xml:space="preserve"> </w:t>
      </w:r>
      <w:r>
        <w:rPr>
          <w:b/>
          <w:color w:val="231F20"/>
          <w:spacing w:val="-2"/>
          <w:sz w:val="24"/>
        </w:rPr>
        <w:t>Hedges</w:t>
      </w:r>
    </w:p>
    <w:p w14:paraId="497C7109" w14:textId="77777777" w:rsidR="00345EE3" w:rsidRDefault="00345EE3" w:rsidP="00345EE3">
      <w:pPr>
        <w:pStyle w:val="BodyText"/>
        <w:spacing w:before="60" w:after="120" w:line="242" w:lineRule="auto"/>
        <w:ind w:right="327"/>
      </w:pPr>
      <w:r>
        <w:rPr>
          <w:color w:val="231F20"/>
        </w:rPr>
        <w:t>As</w:t>
      </w:r>
      <w:r>
        <w:rPr>
          <w:color w:val="231F20"/>
          <w:spacing w:val="-7"/>
        </w:rPr>
        <w:t xml:space="preserve"> </w:t>
      </w:r>
      <w:r>
        <w:rPr>
          <w:color w:val="231F20"/>
        </w:rPr>
        <w:t>at</w:t>
      </w:r>
      <w:r>
        <w:rPr>
          <w:color w:val="231F20"/>
          <w:spacing w:val="-7"/>
        </w:rPr>
        <w:t xml:space="preserve"> </w:t>
      </w:r>
      <w:r>
        <w:rPr>
          <w:color w:val="231F20"/>
        </w:rPr>
        <w:t>30</w:t>
      </w:r>
      <w:r>
        <w:rPr>
          <w:color w:val="231F20"/>
          <w:spacing w:val="-8"/>
        </w:rPr>
        <w:t xml:space="preserve"> </w:t>
      </w:r>
      <w:r>
        <w:rPr>
          <w:color w:val="231F20"/>
        </w:rPr>
        <w:t>June</w:t>
      </w:r>
      <w:r>
        <w:rPr>
          <w:color w:val="231F20"/>
          <w:spacing w:val="-8"/>
        </w:rPr>
        <w:t xml:space="preserve"> </w:t>
      </w:r>
      <w:r>
        <w:rPr>
          <w:color w:val="231F20"/>
        </w:rPr>
        <w:t>2022,</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held</w:t>
      </w:r>
      <w:r>
        <w:rPr>
          <w:color w:val="231F20"/>
          <w:spacing w:val="-8"/>
        </w:rPr>
        <w:t xml:space="preserve"> </w:t>
      </w:r>
      <w:r>
        <w:rPr>
          <w:color w:val="231F20"/>
        </w:rPr>
        <w:t>the</w:t>
      </w:r>
      <w:r>
        <w:rPr>
          <w:color w:val="231F20"/>
          <w:spacing w:val="-8"/>
        </w:rPr>
        <w:t xml:space="preserve"> </w:t>
      </w:r>
      <w:r>
        <w:rPr>
          <w:color w:val="231F20"/>
        </w:rPr>
        <w:t>following</w:t>
      </w:r>
      <w:r>
        <w:rPr>
          <w:color w:val="231F20"/>
          <w:spacing w:val="-8"/>
        </w:rPr>
        <w:t xml:space="preserve"> </w:t>
      </w:r>
      <w:r>
        <w:rPr>
          <w:color w:val="231F20"/>
        </w:rPr>
        <w:t>instruments</w:t>
      </w:r>
      <w:r>
        <w:rPr>
          <w:color w:val="231F20"/>
          <w:spacing w:val="-7"/>
        </w:rPr>
        <w:t xml:space="preserve"> </w:t>
      </w:r>
      <w:r>
        <w:rPr>
          <w:color w:val="231F20"/>
        </w:rPr>
        <w:t>to</w:t>
      </w:r>
      <w:r>
        <w:rPr>
          <w:color w:val="231F20"/>
          <w:spacing w:val="-8"/>
        </w:rPr>
        <w:t xml:space="preserve"> </w:t>
      </w:r>
      <w:r>
        <w:rPr>
          <w:color w:val="231F20"/>
        </w:rPr>
        <w:t>hedge</w:t>
      </w:r>
      <w:r>
        <w:rPr>
          <w:color w:val="231F20"/>
          <w:spacing w:val="-8"/>
        </w:rPr>
        <w:t xml:space="preserve"> </w:t>
      </w:r>
      <w:r>
        <w:rPr>
          <w:color w:val="231F20"/>
        </w:rPr>
        <w:t>exposures</w:t>
      </w:r>
      <w:r>
        <w:rPr>
          <w:color w:val="231F20"/>
          <w:spacing w:val="-7"/>
        </w:rPr>
        <w:t xml:space="preserve"> </w:t>
      </w:r>
      <w:r>
        <w:rPr>
          <w:color w:val="231F20"/>
        </w:rPr>
        <w:t>to changes in foreign currencies.</w:t>
      </w:r>
    </w:p>
    <w:tbl>
      <w:tblPr>
        <w:tblW w:w="0" w:type="auto"/>
        <w:tblInd w:w="156" w:type="dxa"/>
        <w:tblLayout w:type="fixed"/>
        <w:tblCellMar>
          <w:left w:w="0" w:type="dxa"/>
          <w:right w:w="0" w:type="dxa"/>
        </w:tblCellMar>
        <w:tblLook w:val="0000" w:firstRow="0" w:lastRow="0" w:firstColumn="0" w:lastColumn="0" w:noHBand="0" w:noVBand="0"/>
      </w:tblPr>
      <w:tblGrid>
        <w:gridCol w:w="6803"/>
        <w:gridCol w:w="1134"/>
        <w:gridCol w:w="1134"/>
        <w:gridCol w:w="1134"/>
      </w:tblGrid>
      <w:tr w:rsidR="00345EE3" w14:paraId="6CB0BB0C" w14:textId="77777777" w:rsidTr="00D73130">
        <w:trPr>
          <w:trHeight w:val="60"/>
          <w:tblHeader/>
        </w:trPr>
        <w:tc>
          <w:tcPr>
            <w:tcW w:w="10205" w:type="dxa"/>
            <w:gridSpan w:val="4"/>
            <w:tcBorders>
              <w:top w:val="single" w:sz="6" w:space="0" w:color="000000"/>
              <w:left w:val="single" w:sz="6" w:space="0" w:color="auto"/>
              <w:bottom w:val="single" w:sz="2" w:space="0" w:color="FFFFFF"/>
              <w:right w:val="single" w:sz="2" w:space="0" w:color="FFFFFF"/>
            </w:tcBorders>
            <w:shd w:val="solid" w:color="004996" w:fill="auto"/>
            <w:tcMar>
              <w:top w:w="113" w:type="dxa"/>
              <w:left w:w="14" w:type="dxa"/>
              <w:bottom w:w="113" w:type="dxa"/>
              <w:right w:w="14" w:type="dxa"/>
            </w:tcMar>
          </w:tcPr>
          <w:p w14:paraId="46094534" w14:textId="77777777" w:rsidR="00345EE3" w:rsidRDefault="00345EE3" w:rsidP="00D73130">
            <w:pPr>
              <w:pStyle w:val="VicPol-TableHeadingWhiteRight-2022Tables"/>
            </w:pPr>
            <w:r>
              <w:t>($ thousand)</w:t>
            </w:r>
          </w:p>
        </w:tc>
      </w:tr>
      <w:tr w:rsidR="00345EE3" w14:paraId="7AE8FE84" w14:textId="77777777" w:rsidTr="00D73130">
        <w:trPr>
          <w:trHeight w:val="60"/>
          <w:tblHeader/>
        </w:trPr>
        <w:tc>
          <w:tcPr>
            <w:tcW w:w="6803"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304AF6C" w14:textId="77777777" w:rsidR="00345EE3" w:rsidRDefault="00345EE3" w:rsidP="00D73130">
            <w:pPr>
              <w:pStyle w:val="NoParagraphStyle"/>
              <w:spacing w:line="240" w:lineRule="auto"/>
              <w:textAlignment w:val="auto"/>
              <w:rPr>
                <w:color w:val="auto"/>
              </w:rPr>
            </w:pPr>
          </w:p>
        </w:tc>
        <w:tc>
          <w:tcPr>
            <w:tcW w:w="3402"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75CAAA02" w14:textId="77777777" w:rsidR="00345EE3" w:rsidRDefault="00345EE3" w:rsidP="00D73130">
            <w:pPr>
              <w:pStyle w:val="VicPol-TableHeadingWhiteRight-2022Tables"/>
              <w:jc w:val="center"/>
            </w:pPr>
            <w:r>
              <w:t>Maturity</w:t>
            </w:r>
          </w:p>
        </w:tc>
      </w:tr>
      <w:tr w:rsidR="00345EE3" w14:paraId="75AAA31B" w14:textId="77777777" w:rsidTr="00D73130">
        <w:trPr>
          <w:trHeight w:val="60"/>
          <w:tblHeader/>
        </w:trPr>
        <w:tc>
          <w:tcPr>
            <w:tcW w:w="6803"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7790E74" w14:textId="77777777" w:rsidR="00345EE3" w:rsidRDefault="00345EE3" w:rsidP="00D73130">
            <w:pPr>
              <w:pStyle w:val="NoParagraphStyle"/>
              <w:spacing w:line="240" w:lineRule="auto"/>
              <w:textAlignment w:val="auto"/>
              <w:rPr>
                <w:color w:val="auto"/>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A2C65C2" w14:textId="77777777" w:rsidR="00345EE3" w:rsidRDefault="00345EE3" w:rsidP="00D73130">
            <w:pPr>
              <w:pStyle w:val="VicPol-TableHeadingWhiteRight-2022Tables"/>
            </w:pPr>
            <w:r>
              <w:t>Up to 6     Months</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448B9B6" w14:textId="77777777" w:rsidR="00345EE3" w:rsidRDefault="00345EE3" w:rsidP="00D73130">
            <w:pPr>
              <w:pStyle w:val="VicPol-TableHeadingWhiteRight-2022Tables"/>
            </w:pPr>
            <w:r>
              <w:t>6 –12     Months</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25096D16" w14:textId="77777777" w:rsidR="00345EE3" w:rsidRDefault="00345EE3" w:rsidP="00D73130">
            <w:pPr>
              <w:pStyle w:val="VicPol-TableHeadingWhiteRight-2022Tables"/>
            </w:pPr>
            <w:r>
              <w:t>More than 1 Year</w:t>
            </w:r>
          </w:p>
        </w:tc>
      </w:tr>
      <w:tr w:rsidR="00345EE3" w14:paraId="5692188E" w14:textId="77777777" w:rsidTr="00D73130">
        <w:trPr>
          <w:trHeight w:val="60"/>
        </w:trPr>
        <w:tc>
          <w:tcPr>
            <w:tcW w:w="6803"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2E4032E7" w14:textId="77777777" w:rsidR="00345EE3" w:rsidRDefault="00345EE3" w:rsidP="00D73130">
            <w:pPr>
              <w:pStyle w:val="VicPol-TableBodyLeft-2022Tables"/>
            </w:pPr>
            <w:r>
              <w:rPr>
                <w:rStyle w:val="Heavy"/>
              </w:rPr>
              <w:t>2022</w:t>
            </w: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6FED9790"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08DC72BE"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0C2A8738" w14:textId="77777777" w:rsidR="00345EE3" w:rsidRDefault="00345EE3" w:rsidP="00D73130">
            <w:pPr>
              <w:pStyle w:val="NoParagraphStyle"/>
              <w:spacing w:line="240" w:lineRule="auto"/>
              <w:textAlignment w:val="auto"/>
              <w:rPr>
                <w:color w:val="auto"/>
              </w:rPr>
            </w:pPr>
          </w:p>
        </w:tc>
      </w:tr>
      <w:tr w:rsidR="00345EE3" w14:paraId="123A9B64" w14:textId="77777777" w:rsidTr="00D73130">
        <w:trPr>
          <w:trHeight w:val="60"/>
        </w:trPr>
        <w:tc>
          <w:tcPr>
            <w:tcW w:w="6803"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3DC4D5AE" w14:textId="77777777" w:rsidR="00345EE3" w:rsidRDefault="00345EE3" w:rsidP="00D73130">
            <w:pPr>
              <w:pStyle w:val="VicPol-TableBodyLeft-2022Tables"/>
            </w:pPr>
            <w:r>
              <w:rPr>
                <w:rStyle w:val="Heavy"/>
              </w:rPr>
              <w:t>Foreign Currency Risk</w:t>
            </w: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34642BC"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97B0DEB"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0D1F898" w14:textId="77777777" w:rsidR="00345EE3" w:rsidRDefault="00345EE3" w:rsidP="00D73130">
            <w:pPr>
              <w:pStyle w:val="NoParagraphStyle"/>
              <w:spacing w:line="240" w:lineRule="auto"/>
              <w:textAlignment w:val="auto"/>
              <w:rPr>
                <w:color w:val="auto"/>
              </w:rPr>
            </w:pPr>
          </w:p>
        </w:tc>
      </w:tr>
      <w:tr w:rsidR="00345EE3" w14:paraId="564E82E7"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D67F955" w14:textId="77777777" w:rsidR="00345EE3" w:rsidRDefault="00345EE3" w:rsidP="00D73130">
            <w:pPr>
              <w:pStyle w:val="VicPol-TableBodyLeft-2022Tables"/>
            </w:pPr>
            <w:r>
              <w:rPr>
                <w:rStyle w:val="Heavy"/>
              </w:rPr>
              <w:t>Forward Exchange Contracts (Nominal Value)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8D52B73"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4F0BCDC"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28A14D9" w14:textId="77777777" w:rsidR="00345EE3" w:rsidRDefault="00345EE3" w:rsidP="00D73130">
            <w:pPr>
              <w:pStyle w:val="NoParagraphStyle"/>
              <w:spacing w:line="240" w:lineRule="auto"/>
              <w:textAlignment w:val="auto"/>
              <w:rPr>
                <w:color w:val="auto"/>
              </w:rPr>
            </w:pPr>
          </w:p>
        </w:tc>
      </w:tr>
      <w:tr w:rsidR="00345EE3" w14:paraId="57280DE8" w14:textId="77777777" w:rsidTr="00D73130">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1D00A8FE" w14:textId="77777777" w:rsidR="00345EE3" w:rsidRDefault="00345EE3" w:rsidP="00D73130">
            <w:pPr>
              <w:pStyle w:val="VicPol-TableBodyLeftindented-2022Tables"/>
            </w:pPr>
            <w:r>
              <w:t>AUD equivalent of net exposure to USD</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D5FE048" w14:textId="77777777" w:rsidR="00345EE3" w:rsidRDefault="00345EE3" w:rsidP="00D73130">
            <w:pPr>
              <w:pStyle w:val="VicPol-TableBodyRight-2022Tables"/>
            </w:pPr>
            <w:r>
              <w:t>4,742</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222BF2FD" w14:textId="77777777" w:rsidR="00345EE3" w:rsidRDefault="00345EE3" w:rsidP="00D73130">
            <w:pPr>
              <w:pStyle w:val="VicPol-TableBodyRight-2022Tables"/>
            </w:pPr>
            <w:r>
              <w:t>4,750</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0B159CAB" w14:textId="77777777" w:rsidR="00345EE3" w:rsidRDefault="00345EE3" w:rsidP="00D73130">
            <w:pPr>
              <w:pStyle w:val="VicPol-TableBodyRight-2022Tables"/>
            </w:pPr>
            <w:r>
              <w:t>69,800</w:t>
            </w:r>
          </w:p>
        </w:tc>
      </w:tr>
      <w:tr w:rsidR="00345EE3" w14:paraId="0461DCC9" w14:textId="77777777" w:rsidTr="00D73130">
        <w:trPr>
          <w:trHeight w:val="60"/>
        </w:trPr>
        <w:tc>
          <w:tcPr>
            <w:tcW w:w="6803"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36AA698E" w14:textId="77777777" w:rsidR="00345EE3" w:rsidRDefault="00345EE3" w:rsidP="00D73130">
            <w:pPr>
              <w:pStyle w:val="VicPol-TableBodyLeftindented-2022Tables"/>
            </w:pPr>
            <w:r>
              <w:t>Average AUD:USD forward contract rate</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42A0321F" w14:textId="77777777" w:rsidR="00345EE3" w:rsidRDefault="00345EE3" w:rsidP="00D73130">
            <w:pPr>
              <w:pStyle w:val="VicPol-TableBodyRight-2022Tables"/>
            </w:pPr>
            <w:r>
              <w:t xml:space="preserve"> 0.64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6AF9852" w14:textId="77777777" w:rsidR="00345EE3" w:rsidRDefault="00345EE3" w:rsidP="00D73130">
            <w:pPr>
              <w:pStyle w:val="VicPol-TableBodyRight-2022Tables"/>
            </w:pPr>
            <w:r>
              <w:t xml:space="preserve"> 0.64 </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69733915" w14:textId="77777777" w:rsidR="00345EE3" w:rsidRDefault="00345EE3" w:rsidP="00D73130">
            <w:pPr>
              <w:pStyle w:val="VicPol-TableBodyRight-2022Tables"/>
            </w:pPr>
            <w:r>
              <w:t xml:space="preserve"> 0.62 </w:t>
            </w:r>
          </w:p>
        </w:tc>
      </w:tr>
      <w:tr w:rsidR="00345EE3" w14:paraId="74D0C3C3" w14:textId="77777777" w:rsidTr="00D73130">
        <w:trPr>
          <w:trHeight w:val="60"/>
        </w:trPr>
        <w:tc>
          <w:tcPr>
            <w:tcW w:w="6803" w:type="dxa"/>
            <w:tcBorders>
              <w:top w:val="single" w:sz="8" w:space="0" w:color="000000"/>
              <w:left w:val="single" w:sz="6" w:space="0" w:color="auto"/>
              <w:bottom w:val="single" w:sz="6" w:space="0" w:color="auto"/>
              <w:right w:val="single" w:sz="6" w:space="0" w:color="auto"/>
            </w:tcBorders>
            <w:tcMar>
              <w:top w:w="113" w:type="dxa"/>
              <w:left w:w="14" w:type="dxa"/>
              <w:bottom w:w="113" w:type="dxa"/>
              <w:right w:w="14" w:type="dxa"/>
            </w:tcMar>
          </w:tcPr>
          <w:p w14:paraId="395FABB0"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auto"/>
              <w:bottom w:val="single" w:sz="6" w:space="0" w:color="auto"/>
              <w:right w:val="single" w:sz="6" w:space="0" w:color="auto"/>
            </w:tcBorders>
            <w:tcMar>
              <w:top w:w="113" w:type="dxa"/>
              <w:left w:w="14" w:type="dxa"/>
              <w:bottom w:w="113" w:type="dxa"/>
              <w:right w:w="14" w:type="dxa"/>
            </w:tcMar>
          </w:tcPr>
          <w:p w14:paraId="264A6045"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auto"/>
              <w:bottom w:val="single" w:sz="6" w:space="0" w:color="auto"/>
              <w:right w:val="single" w:sz="6" w:space="0" w:color="auto"/>
            </w:tcBorders>
            <w:tcMar>
              <w:top w:w="113" w:type="dxa"/>
              <w:left w:w="14" w:type="dxa"/>
              <w:bottom w:w="113" w:type="dxa"/>
              <w:right w:w="14" w:type="dxa"/>
            </w:tcMar>
          </w:tcPr>
          <w:p w14:paraId="0E5C0F09"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auto"/>
              <w:bottom w:val="single" w:sz="6" w:space="0" w:color="auto"/>
              <w:right w:val="single" w:sz="6" w:space="0" w:color="auto"/>
            </w:tcBorders>
            <w:tcMar>
              <w:top w:w="113" w:type="dxa"/>
              <w:left w:w="14" w:type="dxa"/>
              <w:bottom w:w="113" w:type="dxa"/>
              <w:right w:w="14" w:type="dxa"/>
            </w:tcMar>
          </w:tcPr>
          <w:p w14:paraId="7CB9892F" w14:textId="77777777" w:rsidR="00345EE3" w:rsidRDefault="00345EE3" w:rsidP="00D73130">
            <w:pPr>
              <w:pStyle w:val="NoParagraphStyle"/>
              <w:spacing w:line="240" w:lineRule="auto"/>
              <w:textAlignment w:val="auto"/>
              <w:rPr>
                <w:color w:val="auto"/>
              </w:rPr>
            </w:pPr>
          </w:p>
        </w:tc>
      </w:tr>
      <w:tr w:rsidR="00345EE3" w14:paraId="0F966BF5" w14:textId="77777777" w:rsidTr="00D73130">
        <w:trPr>
          <w:trHeight w:val="60"/>
        </w:trPr>
        <w:tc>
          <w:tcPr>
            <w:tcW w:w="10205" w:type="dxa"/>
            <w:gridSpan w:val="4"/>
            <w:tcBorders>
              <w:top w:val="single" w:sz="6" w:space="0" w:color="auto"/>
              <w:left w:val="single" w:sz="6" w:space="0" w:color="auto"/>
              <w:bottom w:val="single" w:sz="2" w:space="0" w:color="FFFFFF"/>
              <w:right w:val="single" w:sz="2" w:space="0" w:color="FFFFFF"/>
            </w:tcBorders>
            <w:shd w:val="solid" w:color="004996" w:fill="auto"/>
            <w:tcMar>
              <w:top w:w="113" w:type="dxa"/>
              <w:left w:w="14" w:type="dxa"/>
              <w:bottom w:w="113" w:type="dxa"/>
              <w:right w:w="14" w:type="dxa"/>
            </w:tcMar>
          </w:tcPr>
          <w:p w14:paraId="07F2FB11" w14:textId="77777777" w:rsidR="00345EE3" w:rsidRDefault="00345EE3" w:rsidP="00D73130">
            <w:pPr>
              <w:pStyle w:val="VicPol-TableHeadingWhiteRight-2022Tables"/>
            </w:pPr>
            <w:r>
              <w:t>($ thousand)</w:t>
            </w:r>
          </w:p>
        </w:tc>
      </w:tr>
      <w:tr w:rsidR="00345EE3" w14:paraId="3B799590" w14:textId="77777777" w:rsidTr="00D73130">
        <w:trPr>
          <w:trHeight w:val="60"/>
        </w:trPr>
        <w:tc>
          <w:tcPr>
            <w:tcW w:w="6803"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8B85300" w14:textId="77777777" w:rsidR="00345EE3" w:rsidRDefault="00345EE3" w:rsidP="00D73130">
            <w:pPr>
              <w:pStyle w:val="NoParagraphStyle"/>
              <w:spacing w:line="240" w:lineRule="auto"/>
              <w:textAlignment w:val="auto"/>
              <w:rPr>
                <w:color w:val="auto"/>
              </w:rPr>
            </w:pPr>
          </w:p>
        </w:tc>
        <w:tc>
          <w:tcPr>
            <w:tcW w:w="3402"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7254D4EE" w14:textId="77777777" w:rsidR="00345EE3" w:rsidRDefault="00345EE3" w:rsidP="00D73130">
            <w:pPr>
              <w:pStyle w:val="VicPol-TableHeadingWhiteRight-2022Tables"/>
              <w:jc w:val="center"/>
            </w:pPr>
            <w:r>
              <w:t>Maturity</w:t>
            </w:r>
          </w:p>
        </w:tc>
      </w:tr>
      <w:tr w:rsidR="00345EE3" w14:paraId="6D01F2BA" w14:textId="77777777" w:rsidTr="00D73130">
        <w:trPr>
          <w:trHeight w:val="60"/>
        </w:trPr>
        <w:tc>
          <w:tcPr>
            <w:tcW w:w="6803" w:type="dxa"/>
            <w:tcBorders>
              <w:top w:val="single" w:sz="6" w:space="0" w:color="9D9C9C"/>
              <w:left w:val="single" w:sz="6" w:space="0" w:color="000000"/>
              <w:bottom w:val="single" w:sz="2" w:space="0" w:color="9D9C9C"/>
              <w:right w:val="single" w:sz="2" w:space="0" w:color="FFFFFF"/>
            </w:tcBorders>
            <w:shd w:val="solid" w:color="004996" w:fill="auto"/>
            <w:tcMar>
              <w:top w:w="113" w:type="dxa"/>
              <w:left w:w="14" w:type="dxa"/>
              <w:bottom w:w="113" w:type="dxa"/>
              <w:right w:w="14" w:type="dxa"/>
            </w:tcMar>
          </w:tcPr>
          <w:p w14:paraId="426B8CC1" w14:textId="77777777" w:rsidR="00345EE3" w:rsidRDefault="00345EE3" w:rsidP="00D73130">
            <w:pPr>
              <w:pStyle w:val="NoParagraphStyle"/>
              <w:spacing w:line="240" w:lineRule="auto"/>
              <w:textAlignment w:val="auto"/>
              <w:rPr>
                <w:color w:val="auto"/>
              </w:rPr>
            </w:pPr>
          </w:p>
        </w:tc>
        <w:tc>
          <w:tcPr>
            <w:tcW w:w="1134" w:type="dxa"/>
            <w:tcBorders>
              <w:top w:val="single" w:sz="2" w:space="0" w:color="FFFFFF"/>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3303A0FB" w14:textId="77777777" w:rsidR="00345EE3" w:rsidRDefault="00345EE3" w:rsidP="00D73130">
            <w:pPr>
              <w:pStyle w:val="VicPol-TableHeadingWhiteRight-2022Tables"/>
            </w:pPr>
            <w:r>
              <w:t>Up to 6     Months</w:t>
            </w:r>
          </w:p>
        </w:tc>
        <w:tc>
          <w:tcPr>
            <w:tcW w:w="1134" w:type="dxa"/>
            <w:tcBorders>
              <w:top w:val="single" w:sz="2" w:space="0" w:color="FFFFFF"/>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2D4380FF" w14:textId="77777777" w:rsidR="00345EE3" w:rsidRDefault="00345EE3" w:rsidP="00D73130">
            <w:pPr>
              <w:pStyle w:val="VicPol-TableHeadingWhiteRight-2022Tables"/>
            </w:pPr>
            <w:r>
              <w:t>6 – 12     Months</w:t>
            </w:r>
          </w:p>
        </w:tc>
        <w:tc>
          <w:tcPr>
            <w:tcW w:w="1134" w:type="dxa"/>
            <w:tcBorders>
              <w:top w:val="single" w:sz="2" w:space="0" w:color="FFFFFF"/>
              <w:left w:val="single" w:sz="2" w:space="0" w:color="FFFFFF"/>
              <w:bottom w:val="single" w:sz="2" w:space="0" w:color="9D9C9C"/>
              <w:right w:val="single" w:sz="6" w:space="0" w:color="FFFFFF"/>
            </w:tcBorders>
            <w:shd w:val="solid" w:color="004996" w:fill="auto"/>
            <w:tcMar>
              <w:top w:w="113" w:type="dxa"/>
              <w:left w:w="14" w:type="dxa"/>
              <w:bottom w:w="113" w:type="dxa"/>
              <w:right w:w="14" w:type="dxa"/>
            </w:tcMar>
          </w:tcPr>
          <w:p w14:paraId="11B878E0" w14:textId="77777777" w:rsidR="00345EE3" w:rsidRDefault="00345EE3" w:rsidP="00D73130">
            <w:pPr>
              <w:pStyle w:val="VicPol-TableHeadingWhiteRight-2022Tables"/>
            </w:pPr>
            <w:r>
              <w:t>More than 1 Year</w:t>
            </w:r>
          </w:p>
        </w:tc>
      </w:tr>
      <w:tr w:rsidR="00345EE3" w14:paraId="25F4DDF4" w14:textId="77777777" w:rsidTr="00D73130">
        <w:trPr>
          <w:trHeight w:val="60"/>
        </w:trPr>
        <w:tc>
          <w:tcPr>
            <w:tcW w:w="6803"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7EC9C31A" w14:textId="77777777" w:rsidR="00345EE3" w:rsidRDefault="00345EE3" w:rsidP="00D73130">
            <w:pPr>
              <w:pStyle w:val="VicPol-TableBodyLeft-2022Tables"/>
            </w:pPr>
            <w:r>
              <w:rPr>
                <w:rStyle w:val="Heavy"/>
              </w:rPr>
              <w:t>2021</w:t>
            </w: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1D4EAE44"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6E8016E1"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42FAAE13" w14:textId="77777777" w:rsidR="00345EE3" w:rsidRDefault="00345EE3" w:rsidP="00D73130">
            <w:pPr>
              <w:pStyle w:val="NoParagraphStyle"/>
              <w:spacing w:line="240" w:lineRule="auto"/>
              <w:textAlignment w:val="auto"/>
              <w:rPr>
                <w:color w:val="auto"/>
              </w:rPr>
            </w:pPr>
          </w:p>
        </w:tc>
      </w:tr>
      <w:tr w:rsidR="00345EE3" w14:paraId="11A15261" w14:textId="77777777" w:rsidTr="00D73130">
        <w:trPr>
          <w:trHeight w:val="60"/>
        </w:trPr>
        <w:tc>
          <w:tcPr>
            <w:tcW w:w="6803"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3DF3A552" w14:textId="77777777" w:rsidR="00345EE3" w:rsidRDefault="00345EE3" w:rsidP="00D73130">
            <w:pPr>
              <w:pStyle w:val="VicPol-TableBodyLeft-2022Tables"/>
            </w:pPr>
            <w:r>
              <w:rPr>
                <w:rStyle w:val="Heavy"/>
              </w:rPr>
              <w:t>Foreign Currency Risk</w:t>
            </w: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4719FFCC"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4B771A1D"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33319EAE" w14:textId="77777777" w:rsidR="00345EE3" w:rsidRDefault="00345EE3" w:rsidP="00D73130">
            <w:pPr>
              <w:pStyle w:val="NoParagraphStyle"/>
              <w:spacing w:line="240" w:lineRule="auto"/>
              <w:textAlignment w:val="auto"/>
              <w:rPr>
                <w:color w:val="auto"/>
              </w:rPr>
            </w:pPr>
          </w:p>
        </w:tc>
      </w:tr>
      <w:tr w:rsidR="00345EE3" w14:paraId="5CF109E1"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4E20C8E" w14:textId="77777777" w:rsidR="00345EE3" w:rsidRDefault="00345EE3" w:rsidP="00D73130">
            <w:pPr>
              <w:pStyle w:val="VicPol-TableBodyLeft-2022Tables"/>
            </w:pPr>
            <w:r>
              <w:rPr>
                <w:rStyle w:val="Heavy"/>
              </w:rPr>
              <w:t>Forward Exchange Contracts (Nominal Value)</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08A211"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3E3108"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1EBC4FD" w14:textId="77777777" w:rsidR="00345EE3" w:rsidRDefault="00345EE3" w:rsidP="00D73130">
            <w:pPr>
              <w:pStyle w:val="NoParagraphStyle"/>
              <w:spacing w:line="240" w:lineRule="auto"/>
              <w:textAlignment w:val="auto"/>
              <w:rPr>
                <w:color w:val="auto"/>
              </w:rPr>
            </w:pPr>
          </w:p>
        </w:tc>
      </w:tr>
      <w:tr w:rsidR="00345EE3" w14:paraId="738D911C" w14:textId="77777777" w:rsidTr="00D73130">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614F320" w14:textId="77777777" w:rsidR="00345EE3" w:rsidRDefault="00345EE3" w:rsidP="00D73130">
            <w:pPr>
              <w:pStyle w:val="VicPol-TableBodyLeftindented-2022Tables"/>
            </w:pPr>
            <w:r>
              <w:t>AUD equivalent of net exposure to USD</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CBFEC2B" w14:textId="77777777" w:rsidR="00345EE3" w:rsidRDefault="00345EE3" w:rsidP="00D73130">
            <w:pPr>
              <w:pStyle w:val="VicPol-TableBodyRight-2022Tables"/>
            </w:pPr>
            <w:r>
              <w:t xml:space="preserve">4,733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39D3E36C" w14:textId="77777777" w:rsidR="00345EE3" w:rsidRDefault="00345EE3" w:rsidP="00D73130">
            <w:pPr>
              <w:pStyle w:val="VicPol-TableBodyRight-2022Tables"/>
            </w:pPr>
            <w:r>
              <w:t xml:space="preserve">4,736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0C869BF" w14:textId="77777777" w:rsidR="00345EE3" w:rsidRDefault="00345EE3" w:rsidP="00D73130">
            <w:pPr>
              <w:pStyle w:val="VicPol-TableBodyRight-2022Tables"/>
            </w:pPr>
            <w:r>
              <w:t xml:space="preserve">79,292 </w:t>
            </w:r>
          </w:p>
        </w:tc>
      </w:tr>
      <w:tr w:rsidR="00345EE3" w14:paraId="22805C05" w14:textId="77777777" w:rsidTr="00D73130">
        <w:trPr>
          <w:trHeight w:val="60"/>
        </w:trPr>
        <w:tc>
          <w:tcPr>
            <w:tcW w:w="6803" w:type="dxa"/>
            <w:tcBorders>
              <w:top w:val="single" w:sz="4" w:space="0" w:color="000000"/>
              <w:left w:val="single" w:sz="6" w:space="0" w:color="auto"/>
              <w:bottom w:val="single" w:sz="8" w:space="0" w:color="000000"/>
              <w:right w:val="single" w:sz="2" w:space="0" w:color="9D9C9C"/>
            </w:tcBorders>
            <w:tcMar>
              <w:top w:w="113" w:type="dxa"/>
              <w:left w:w="14" w:type="dxa"/>
              <w:bottom w:w="113" w:type="dxa"/>
              <w:right w:w="14" w:type="dxa"/>
            </w:tcMar>
          </w:tcPr>
          <w:p w14:paraId="1904DF60" w14:textId="77777777" w:rsidR="00345EE3" w:rsidRDefault="00345EE3" w:rsidP="00D73130">
            <w:pPr>
              <w:pStyle w:val="VicPol-TableBodyLeftindented-2022Tables"/>
            </w:pPr>
            <w:r>
              <w:t>Average AUD:USD forward contract rate</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6AFA379F" w14:textId="77777777" w:rsidR="00345EE3" w:rsidRDefault="00345EE3" w:rsidP="00D73130">
            <w:pPr>
              <w:pStyle w:val="VicPol-TableBodyRight-2022Tables"/>
            </w:pPr>
            <w:r>
              <w:t>0.64</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1C34AF1F" w14:textId="77777777" w:rsidR="00345EE3" w:rsidRDefault="00345EE3" w:rsidP="00D73130">
            <w:pPr>
              <w:pStyle w:val="VicPol-TableBodyRight-2022Tables"/>
            </w:pPr>
            <w:r>
              <w:t>0.64</w:t>
            </w:r>
          </w:p>
        </w:tc>
        <w:tc>
          <w:tcPr>
            <w:tcW w:w="1134" w:type="dxa"/>
            <w:tcBorders>
              <w:top w:val="single" w:sz="4" w:space="0" w:color="000000"/>
              <w:left w:val="single" w:sz="2" w:space="0" w:color="9D9C9C"/>
              <w:bottom w:val="single" w:sz="8" w:space="0" w:color="000000"/>
              <w:right w:val="single" w:sz="6" w:space="0" w:color="auto"/>
            </w:tcBorders>
            <w:tcMar>
              <w:top w:w="113" w:type="dxa"/>
              <w:left w:w="14" w:type="dxa"/>
              <w:bottom w:w="113" w:type="dxa"/>
              <w:right w:w="14" w:type="dxa"/>
            </w:tcMar>
          </w:tcPr>
          <w:p w14:paraId="2C2F0284" w14:textId="77777777" w:rsidR="00345EE3" w:rsidRDefault="00345EE3" w:rsidP="00D73130">
            <w:pPr>
              <w:pStyle w:val="VicPol-TableBodyRight-2022Tables"/>
            </w:pPr>
            <w:r>
              <w:t>0.63</w:t>
            </w:r>
          </w:p>
        </w:tc>
      </w:tr>
    </w:tbl>
    <w:p w14:paraId="3156EC08" w14:textId="77777777" w:rsidR="00345EE3" w:rsidRDefault="00345EE3" w:rsidP="00345EE3">
      <w:pPr>
        <w:rPr>
          <w:b/>
          <w:bCs/>
          <w:color w:val="3D68AD"/>
          <w:sz w:val="28"/>
          <w:szCs w:val="28"/>
        </w:rPr>
      </w:pPr>
      <w:r>
        <w:rPr>
          <w:color w:val="3D68AD"/>
        </w:rPr>
        <w:br w:type="page"/>
      </w:r>
    </w:p>
    <w:p w14:paraId="6EA9BBEE" w14:textId="77777777" w:rsidR="00345EE3" w:rsidRDefault="00345EE3" w:rsidP="00345EE3">
      <w:pPr>
        <w:pStyle w:val="BodyText"/>
        <w:spacing w:before="61" w:after="120"/>
      </w:pPr>
      <w:r>
        <w:rPr>
          <w:color w:val="231F20"/>
        </w:rPr>
        <w:t>The</w:t>
      </w:r>
      <w:r>
        <w:rPr>
          <w:color w:val="231F20"/>
          <w:spacing w:val="-11"/>
        </w:rPr>
        <w:t xml:space="preserve"> </w:t>
      </w:r>
      <w:r>
        <w:rPr>
          <w:color w:val="231F20"/>
        </w:rPr>
        <w:t>amounts</w:t>
      </w:r>
      <w:r>
        <w:rPr>
          <w:color w:val="231F20"/>
          <w:spacing w:val="-8"/>
        </w:rPr>
        <w:t xml:space="preserve"> </w:t>
      </w:r>
      <w:r>
        <w:rPr>
          <w:color w:val="231F20"/>
        </w:rPr>
        <w:t>at</w:t>
      </w:r>
      <w:r>
        <w:rPr>
          <w:color w:val="231F20"/>
          <w:spacing w:val="-8"/>
        </w:rPr>
        <w:t xml:space="preserve"> </w:t>
      </w:r>
      <w:r>
        <w:rPr>
          <w:color w:val="231F20"/>
        </w:rPr>
        <w:t>reporting</w:t>
      </w:r>
      <w:r>
        <w:rPr>
          <w:color w:val="231F20"/>
          <w:spacing w:val="-9"/>
        </w:rPr>
        <w:t xml:space="preserve"> </w:t>
      </w:r>
      <w:r>
        <w:rPr>
          <w:color w:val="231F20"/>
        </w:rPr>
        <w:t>date</w:t>
      </w:r>
      <w:r>
        <w:rPr>
          <w:color w:val="231F20"/>
          <w:spacing w:val="-9"/>
        </w:rPr>
        <w:t xml:space="preserve"> </w:t>
      </w:r>
      <w:r>
        <w:rPr>
          <w:color w:val="231F20"/>
        </w:rPr>
        <w:t>relating</w:t>
      </w:r>
      <w:r>
        <w:rPr>
          <w:color w:val="231F20"/>
          <w:spacing w:val="-9"/>
        </w:rPr>
        <w:t xml:space="preserve"> </w:t>
      </w:r>
      <w:r>
        <w:rPr>
          <w:color w:val="231F20"/>
        </w:rPr>
        <w:t>to</w:t>
      </w:r>
      <w:r>
        <w:rPr>
          <w:color w:val="231F20"/>
          <w:spacing w:val="-8"/>
        </w:rPr>
        <w:t xml:space="preserve"> </w:t>
      </w:r>
      <w:r>
        <w:rPr>
          <w:color w:val="231F20"/>
        </w:rPr>
        <w:t>items</w:t>
      </w:r>
      <w:r>
        <w:rPr>
          <w:color w:val="231F20"/>
          <w:spacing w:val="-8"/>
        </w:rPr>
        <w:t xml:space="preserve"> </w:t>
      </w:r>
      <w:r>
        <w:rPr>
          <w:color w:val="231F20"/>
        </w:rPr>
        <w:t>designated</w:t>
      </w:r>
      <w:r>
        <w:rPr>
          <w:color w:val="231F20"/>
          <w:spacing w:val="-9"/>
        </w:rPr>
        <w:t xml:space="preserve"> </w:t>
      </w:r>
      <w:r>
        <w:rPr>
          <w:color w:val="231F20"/>
        </w:rPr>
        <w:t>as</w:t>
      </w:r>
      <w:r>
        <w:rPr>
          <w:color w:val="231F20"/>
          <w:spacing w:val="-8"/>
        </w:rPr>
        <w:t xml:space="preserve"> </w:t>
      </w:r>
      <w:r>
        <w:rPr>
          <w:color w:val="231F20"/>
        </w:rPr>
        <w:t>hedged</w:t>
      </w:r>
      <w:r>
        <w:rPr>
          <w:color w:val="231F20"/>
          <w:spacing w:val="-9"/>
        </w:rPr>
        <w:t xml:space="preserve"> </w:t>
      </w:r>
      <w:r>
        <w:rPr>
          <w:color w:val="231F20"/>
        </w:rPr>
        <w:t>items</w:t>
      </w:r>
      <w:r>
        <w:rPr>
          <w:color w:val="231F20"/>
          <w:spacing w:val="-8"/>
        </w:rPr>
        <w:t xml:space="preserve"> </w:t>
      </w:r>
      <w:r>
        <w:rPr>
          <w:color w:val="231F20"/>
        </w:rPr>
        <w:t>were</w:t>
      </w:r>
      <w:r>
        <w:rPr>
          <w:color w:val="231F20"/>
          <w:spacing w:val="-9"/>
        </w:rPr>
        <w:t xml:space="preserve"> </w:t>
      </w:r>
      <w:r>
        <w:rPr>
          <w:color w:val="231F20"/>
        </w:rPr>
        <w:t>as</w:t>
      </w:r>
      <w:r>
        <w:rPr>
          <w:color w:val="231F20"/>
          <w:spacing w:val="-7"/>
        </w:rPr>
        <w:t xml:space="preserve"> </w:t>
      </w:r>
      <w:r>
        <w:rPr>
          <w:color w:val="231F20"/>
          <w:spacing w:val="-2"/>
        </w:rPr>
        <w:t>follows:</w:t>
      </w:r>
    </w:p>
    <w:tbl>
      <w:tblPr>
        <w:tblW w:w="0" w:type="auto"/>
        <w:tblInd w:w="156" w:type="dxa"/>
        <w:tblLayout w:type="fixed"/>
        <w:tblCellMar>
          <w:left w:w="0" w:type="dxa"/>
          <w:right w:w="0" w:type="dxa"/>
        </w:tblCellMar>
        <w:tblLook w:val="0000" w:firstRow="0" w:lastRow="0" w:firstColumn="0" w:lastColumn="0" w:noHBand="0" w:noVBand="0"/>
      </w:tblPr>
      <w:tblGrid>
        <w:gridCol w:w="6803"/>
        <w:gridCol w:w="1134"/>
        <w:gridCol w:w="1134"/>
        <w:gridCol w:w="1134"/>
      </w:tblGrid>
      <w:tr w:rsidR="00345EE3" w:rsidRPr="00F712EA" w14:paraId="6AD0729C" w14:textId="77777777" w:rsidTr="00D73130">
        <w:trPr>
          <w:trHeight w:val="60"/>
          <w:tblHeader/>
        </w:trPr>
        <w:tc>
          <w:tcPr>
            <w:tcW w:w="10205" w:type="dxa"/>
            <w:gridSpan w:val="4"/>
            <w:tcBorders>
              <w:top w:val="single" w:sz="6" w:space="0" w:color="004996"/>
              <w:left w:val="single" w:sz="6" w:space="0" w:color="004996"/>
              <w:bottom w:val="single" w:sz="2" w:space="0" w:color="FFFFFF"/>
              <w:right w:val="single" w:sz="2" w:space="0" w:color="FFFFFF"/>
            </w:tcBorders>
            <w:shd w:val="solid" w:color="004996" w:fill="auto"/>
            <w:tcMar>
              <w:top w:w="113" w:type="dxa"/>
              <w:left w:w="14" w:type="dxa"/>
              <w:bottom w:w="113" w:type="dxa"/>
              <w:right w:w="14" w:type="dxa"/>
            </w:tcMar>
          </w:tcPr>
          <w:p w14:paraId="009B8F2D"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 thousand)</w:t>
            </w:r>
          </w:p>
        </w:tc>
      </w:tr>
      <w:tr w:rsidR="00345EE3" w:rsidRPr="00F712EA" w14:paraId="6A26965A" w14:textId="77777777" w:rsidTr="00D73130">
        <w:trPr>
          <w:trHeight w:val="60"/>
          <w:tblHeader/>
        </w:trPr>
        <w:tc>
          <w:tcPr>
            <w:tcW w:w="6803"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9C9AC87"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8ECA4F7"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Hedging reserve</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9815D1E"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Cost of hedging reserve</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12DE030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Total</w:t>
            </w:r>
          </w:p>
        </w:tc>
      </w:tr>
      <w:tr w:rsidR="00345EE3" w:rsidRPr="00F712EA" w14:paraId="02E32461" w14:textId="77777777" w:rsidTr="00D73130">
        <w:trPr>
          <w:trHeight w:val="60"/>
        </w:trPr>
        <w:tc>
          <w:tcPr>
            <w:tcW w:w="6803" w:type="dxa"/>
            <w:tcBorders>
              <w:top w:val="single" w:sz="6"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6562FC18"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2022</w:t>
            </w:r>
          </w:p>
        </w:tc>
        <w:tc>
          <w:tcPr>
            <w:tcW w:w="1134" w:type="dxa"/>
            <w:tcBorders>
              <w:top w:val="single" w:sz="6"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216E1929"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6"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17C7F7B7"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6"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6D76D556" w14:textId="77777777" w:rsidR="00345EE3" w:rsidRPr="00F712EA" w:rsidRDefault="00345EE3" w:rsidP="00D73130">
            <w:pPr>
              <w:widowControl/>
              <w:adjustRightInd w:val="0"/>
              <w:rPr>
                <w:rFonts w:eastAsiaTheme="minorHAnsi"/>
                <w:sz w:val="24"/>
                <w:szCs w:val="24"/>
                <w:lang w:val="en-GB"/>
              </w:rPr>
            </w:pPr>
          </w:p>
        </w:tc>
      </w:tr>
      <w:tr w:rsidR="00345EE3" w:rsidRPr="00F712EA" w14:paraId="219C0264" w14:textId="77777777" w:rsidTr="00D73130">
        <w:trPr>
          <w:trHeight w:val="60"/>
        </w:trPr>
        <w:tc>
          <w:tcPr>
            <w:tcW w:w="6803"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5EF75283"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Balance at 1 July 2021</w:t>
            </w: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254B0D"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11,722 </w:t>
            </w: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EBD0BF0"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3,670 </w:t>
            </w:r>
          </w:p>
        </w:tc>
        <w:tc>
          <w:tcPr>
            <w:tcW w:w="1134" w:type="dxa"/>
            <w:tcBorders>
              <w:top w:val="single" w:sz="8"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57FC45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15,392 </w:t>
            </w:r>
          </w:p>
        </w:tc>
      </w:tr>
      <w:tr w:rsidR="00345EE3" w:rsidRPr="00F712EA" w14:paraId="0551F0FD"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914866C"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Cash Flow Hedges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75E41B"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CBCB7D9"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EE5EA14" w14:textId="77777777" w:rsidR="00345EE3" w:rsidRPr="00F712EA" w:rsidRDefault="00345EE3" w:rsidP="00D73130">
            <w:pPr>
              <w:widowControl/>
              <w:adjustRightInd w:val="0"/>
              <w:rPr>
                <w:rFonts w:eastAsiaTheme="minorHAnsi"/>
                <w:sz w:val="24"/>
                <w:szCs w:val="24"/>
                <w:lang w:val="en-GB"/>
              </w:rPr>
            </w:pPr>
          </w:p>
        </w:tc>
      </w:tr>
      <w:tr w:rsidR="00345EE3" w:rsidRPr="00F712EA" w14:paraId="49AAC90D"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396C6CB"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Effective portion of changes in fair value: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A552C05"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0868039"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2F204B0" w14:textId="77777777" w:rsidR="00345EE3" w:rsidRPr="00F712EA" w:rsidRDefault="00345EE3" w:rsidP="00D73130">
            <w:pPr>
              <w:widowControl/>
              <w:adjustRightInd w:val="0"/>
              <w:rPr>
                <w:rFonts w:eastAsiaTheme="minorHAnsi"/>
                <w:sz w:val="24"/>
                <w:szCs w:val="24"/>
                <w:lang w:val="en-GB"/>
              </w:rPr>
            </w:pPr>
          </w:p>
        </w:tc>
      </w:tr>
      <w:tr w:rsidR="00345EE3" w:rsidRPr="00F712EA" w14:paraId="0446F38D"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7EFCDF7"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Financial instruments assets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5BD593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C138C2F"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(779)</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4F5C9AF"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(779)</w:t>
            </w:r>
          </w:p>
        </w:tc>
      </w:tr>
      <w:tr w:rsidR="00345EE3" w:rsidRPr="00F712EA" w14:paraId="669ED12B"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0FA2BCF"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Financial instruments liability</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6F77E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(8,700)</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75761E9"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(2,156)</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E53F9B1"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(10,856)</w:t>
            </w:r>
          </w:p>
        </w:tc>
      </w:tr>
      <w:tr w:rsidR="00345EE3" w:rsidRPr="00F712EA" w14:paraId="0839DD4C"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5CB3E9A"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Amount reclassified to Comprehensive Operating Statement: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2D8DF0"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AAEA8F"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6F53689" w14:textId="77777777" w:rsidR="00345EE3" w:rsidRPr="00F712EA" w:rsidRDefault="00345EE3" w:rsidP="00D73130">
            <w:pPr>
              <w:widowControl/>
              <w:adjustRightInd w:val="0"/>
              <w:rPr>
                <w:rFonts w:eastAsiaTheme="minorHAnsi"/>
                <w:sz w:val="24"/>
                <w:szCs w:val="24"/>
                <w:lang w:val="en-GB"/>
              </w:rPr>
            </w:pPr>
          </w:p>
        </w:tc>
      </w:tr>
      <w:tr w:rsidR="00345EE3" w:rsidRPr="00F712EA" w14:paraId="63D87546"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EB5094"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Foreign currency risk – other items – assets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47EF870"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0D9CC7"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344720F"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r>
      <w:tr w:rsidR="00345EE3" w:rsidRPr="00F712EA" w14:paraId="7443714D"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217F7BE"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Foreign currency risk – other items – liability</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87EA6B"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1,119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539062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267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7AD091C"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1,386 </w:t>
            </w:r>
          </w:p>
        </w:tc>
      </w:tr>
      <w:tr w:rsidR="00345EE3" w:rsidRPr="00F712EA" w14:paraId="29AD1DAA"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A5E9A05"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Amount included in the cost of non-financial items: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A47A62D"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BF0FEC"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1D2A914" w14:textId="77777777" w:rsidR="00345EE3" w:rsidRPr="00F712EA" w:rsidRDefault="00345EE3" w:rsidP="00D73130">
            <w:pPr>
              <w:widowControl/>
              <w:adjustRightInd w:val="0"/>
              <w:rPr>
                <w:rFonts w:eastAsiaTheme="minorHAnsi"/>
                <w:sz w:val="24"/>
                <w:szCs w:val="24"/>
                <w:lang w:val="en-GB"/>
              </w:rPr>
            </w:pPr>
          </w:p>
        </w:tc>
      </w:tr>
      <w:tr w:rsidR="00345EE3" w:rsidRPr="00F712EA" w14:paraId="48BD1D83" w14:textId="77777777" w:rsidTr="00D73130">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7157BB7A"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Foreign currency risk – services rendered</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DC0246A"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F41E254"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7D9498F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r>
      <w:tr w:rsidR="00345EE3" w:rsidRPr="00F712EA" w14:paraId="4C74B09F" w14:textId="77777777" w:rsidTr="00D73130">
        <w:trPr>
          <w:trHeight w:val="60"/>
        </w:trPr>
        <w:tc>
          <w:tcPr>
            <w:tcW w:w="6803"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1A220614"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Balance at 30 June 2022</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264FFECA"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4,141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5EE56D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1,002 </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03862637"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5,143 </w:t>
            </w:r>
          </w:p>
        </w:tc>
      </w:tr>
    </w:tbl>
    <w:p w14:paraId="33A896C9" w14:textId="77777777" w:rsidR="00345EE3" w:rsidRDefault="00345EE3" w:rsidP="00345EE3">
      <w:pPr>
        <w:rPr>
          <w:b/>
          <w:sz w:val="24"/>
        </w:rPr>
      </w:pPr>
      <w:r>
        <w:rPr>
          <w:b/>
          <w:sz w:val="24"/>
        </w:rPr>
        <w:br w:type="page"/>
      </w:r>
    </w:p>
    <w:p w14:paraId="65AD5A62" w14:textId="77777777" w:rsidR="00345EE3" w:rsidRDefault="00345EE3" w:rsidP="00345EE3">
      <w:pPr>
        <w:spacing w:before="63" w:after="53"/>
        <w:ind w:left="110"/>
        <w:rPr>
          <w:b/>
          <w:sz w:val="24"/>
        </w:rPr>
      </w:pPr>
    </w:p>
    <w:tbl>
      <w:tblPr>
        <w:tblW w:w="10205" w:type="dxa"/>
        <w:tblInd w:w="156" w:type="dxa"/>
        <w:tblLayout w:type="fixed"/>
        <w:tblCellMar>
          <w:left w:w="0" w:type="dxa"/>
          <w:right w:w="0" w:type="dxa"/>
        </w:tblCellMar>
        <w:tblLook w:val="0000" w:firstRow="0" w:lastRow="0" w:firstColumn="0" w:lastColumn="0" w:noHBand="0" w:noVBand="0"/>
      </w:tblPr>
      <w:tblGrid>
        <w:gridCol w:w="6803"/>
        <w:gridCol w:w="1134"/>
        <w:gridCol w:w="1134"/>
        <w:gridCol w:w="1134"/>
      </w:tblGrid>
      <w:tr w:rsidR="00345EE3" w:rsidRPr="00F712EA" w14:paraId="05661D29" w14:textId="77777777" w:rsidTr="00D73130">
        <w:trPr>
          <w:trHeight w:val="60"/>
          <w:tblHeader/>
        </w:trPr>
        <w:tc>
          <w:tcPr>
            <w:tcW w:w="10205" w:type="dxa"/>
            <w:gridSpan w:val="4"/>
            <w:tcBorders>
              <w:top w:val="single" w:sz="6" w:space="0" w:color="004996"/>
              <w:left w:val="single" w:sz="6" w:space="0" w:color="004996"/>
              <w:bottom w:val="single" w:sz="2" w:space="0" w:color="FFFFFF"/>
              <w:right w:val="single" w:sz="2" w:space="0" w:color="FFFFFF"/>
            </w:tcBorders>
            <w:shd w:val="solid" w:color="004996" w:fill="auto"/>
            <w:tcMar>
              <w:top w:w="113" w:type="dxa"/>
              <w:left w:w="14" w:type="dxa"/>
              <w:bottom w:w="113" w:type="dxa"/>
              <w:right w:w="14" w:type="dxa"/>
            </w:tcMar>
          </w:tcPr>
          <w:p w14:paraId="467158BD"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 thousand)</w:t>
            </w:r>
          </w:p>
        </w:tc>
      </w:tr>
      <w:tr w:rsidR="00345EE3" w:rsidRPr="00F712EA" w14:paraId="77942E2C" w14:textId="77777777" w:rsidTr="00D73130">
        <w:trPr>
          <w:trHeight w:val="60"/>
          <w:tblHeader/>
        </w:trPr>
        <w:tc>
          <w:tcPr>
            <w:tcW w:w="6803"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97960D9"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0852C18"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Hedging reserve</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FF93E3B"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Cost of hedging reserve</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67D52909"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Total</w:t>
            </w:r>
          </w:p>
        </w:tc>
      </w:tr>
      <w:tr w:rsidR="00345EE3" w:rsidRPr="00F712EA" w14:paraId="1F24C357" w14:textId="77777777" w:rsidTr="00D73130">
        <w:trPr>
          <w:trHeight w:val="60"/>
        </w:trPr>
        <w:tc>
          <w:tcPr>
            <w:tcW w:w="6803"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0ABC45B9"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2021</w:t>
            </w:r>
          </w:p>
        </w:tc>
        <w:tc>
          <w:tcPr>
            <w:tcW w:w="1134"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73CB87DF"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622862A8"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425DAF8E" w14:textId="77777777" w:rsidR="00345EE3" w:rsidRPr="00F712EA" w:rsidRDefault="00345EE3" w:rsidP="00D73130">
            <w:pPr>
              <w:widowControl/>
              <w:adjustRightInd w:val="0"/>
              <w:rPr>
                <w:rFonts w:eastAsiaTheme="minorHAnsi"/>
                <w:sz w:val="24"/>
                <w:szCs w:val="24"/>
                <w:lang w:val="en-GB"/>
              </w:rPr>
            </w:pPr>
          </w:p>
        </w:tc>
      </w:tr>
      <w:tr w:rsidR="00345EE3" w:rsidRPr="00F712EA" w14:paraId="3D6B0C4C" w14:textId="77777777" w:rsidTr="00D73130">
        <w:trPr>
          <w:trHeight w:val="60"/>
        </w:trPr>
        <w:tc>
          <w:tcPr>
            <w:tcW w:w="6803"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60669188"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Balance at 1 July 2020</w:t>
            </w: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59E9FFB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5,391 </w:t>
            </w: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0103421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2,413 </w:t>
            </w:r>
          </w:p>
        </w:tc>
        <w:tc>
          <w:tcPr>
            <w:tcW w:w="1134" w:type="dxa"/>
            <w:tcBorders>
              <w:top w:val="single" w:sz="8"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750AE11D"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7,804 </w:t>
            </w:r>
          </w:p>
        </w:tc>
      </w:tr>
      <w:tr w:rsidR="00345EE3" w:rsidRPr="00F712EA" w14:paraId="01F958F7"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EC3A13E"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Cash Flow Hedges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20D9500"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19F3CC"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4AAA7EF" w14:textId="77777777" w:rsidR="00345EE3" w:rsidRPr="00F712EA" w:rsidRDefault="00345EE3" w:rsidP="00D73130">
            <w:pPr>
              <w:widowControl/>
              <w:adjustRightInd w:val="0"/>
              <w:rPr>
                <w:rFonts w:eastAsiaTheme="minorHAnsi"/>
                <w:sz w:val="24"/>
                <w:szCs w:val="24"/>
                <w:lang w:val="en-GB"/>
              </w:rPr>
            </w:pPr>
          </w:p>
        </w:tc>
      </w:tr>
      <w:tr w:rsidR="00345EE3" w:rsidRPr="00F712EA" w14:paraId="5FA997B4"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5D6A6BD"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Effective portion of changes in fair value:</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C7848B"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3497D8"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FB22105" w14:textId="77777777" w:rsidR="00345EE3" w:rsidRPr="00F712EA" w:rsidRDefault="00345EE3" w:rsidP="00D73130">
            <w:pPr>
              <w:widowControl/>
              <w:adjustRightInd w:val="0"/>
              <w:rPr>
                <w:rFonts w:eastAsiaTheme="minorHAnsi"/>
                <w:sz w:val="24"/>
                <w:szCs w:val="24"/>
                <w:lang w:val="en-GB"/>
              </w:rPr>
            </w:pPr>
          </w:p>
        </w:tc>
      </w:tr>
      <w:tr w:rsidR="00345EE3" w:rsidRPr="00F712EA" w14:paraId="7BC7774C"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82DBAE5"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Financial instruments assets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D67A93F"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D4CFB8"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648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B31AD0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648 </w:t>
            </w:r>
          </w:p>
        </w:tc>
      </w:tr>
      <w:tr w:rsidR="00345EE3" w:rsidRPr="00F712EA" w14:paraId="0C28AEBD"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38A0B0"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Financial instruments liability</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D794000"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5,212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F992574"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405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13EAABB"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5,617 </w:t>
            </w:r>
          </w:p>
        </w:tc>
      </w:tr>
      <w:tr w:rsidR="00345EE3" w:rsidRPr="00F712EA" w14:paraId="1D7937FF"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FC4443B"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Amount reclassified to Comprehensive Operating Statement:</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77A4E6B"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A1F478C"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D089643" w14:textId="77777777" w:rsidR="00345EE3" w:rsidRPr="00F712EA" w:rsidRDefault="00345EE3" w:rsidP="00D73130">
            <w:pPr>
              <w:widowControl/>
              <w:adjustRightInd w:val="0"/>
              <w:rPr>
                <w:rFonts w:eastAsiaTheme="minorHAnsi"/>
                <w:sz w:val="24"/>
                <w:szCs w:val="24"/>
                <w:lang w:val="en-GB"/>
              </w:rPr>
            </w:pPr>
          </w:p>
        </w:tc>
      </w:tr>
      <w:tr w:rsidR="00345EE3" w:rsidRPr="00F712EA" w14:paraId="7B347D43"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E65F931"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Foreign currency risk – other items – assets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15B88C"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55B458"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FF45383"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r>
      <w:tr w:rsidR="00345EE3" w:rsidRPr="00F712EA" w14:paraId="299A1BA8"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7B667C8"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Foreign currency risk – other items – liability</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B821A0"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1,119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1EEB2EC"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204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D52B943"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1,323 </w:t>
            </w:r>
          </w:p>
        </w:tc>
      </w:tr>
      <w:tr w:rsidR="00345EE3" w:rsidRPr="00F712EA" w14:paraId="1ED7F2CA"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823BE1F"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Amount included in the cost of non-financial items: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4166AE"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0CFCA0"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34450AD" w14:textId="77777777" w:rsidR="00345EE3" w:rsidRPr="00F712EA" w:rsidRDefault="00345EE3" w:rsidP="00D73130">
            <w:pPr>
              <w:widowControl/>
              <w:adjustRightInd w:val="0"/>
              <w:rPr>
                <w:rFonts w:eastAsiaTheme="minorHAnsi"/>
                <w:sz w:val="24"/>
                <w:szCs w:val="24"/>
                <w:lang w:val="en-GB"/>
              </w:rPr>
            </w:pPr>
          </w:p>
        </w:tc>
      </w:tr>
      <w:tr w:rsidR="00345EE3" w:rsidRPr="00F712EA" w14:paraId="2384A699" w14:textId="77777777" w:rsidTr="00D73130">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5D89DF43"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Foreign currency risk – services rendered</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D46E9CE"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74843CDA"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01F802B"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r>
      <w:tr w:rsidR="00345EE3" w:rsidRPr="00F712EA" w14:paraId="60626347" w14:textId="77777777" w:rsidTr="00D73130">
        <w:trPr>
          <w:trHeight w:val="60"/>
        </w:trPr>
        <w:tc>
          <w:tcPr>
            <w:tcW w:w="6803"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32F7FF2B"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Balance at 30 June 2021</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6F04E850"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11,722 </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2A51412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3,670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0A3CFA7E"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15,391</w:t>
            </w:r>
          </w:p>
        </w:tc>
      </w:tr>
    </w:tbl>
    <w:p w14:paraId="39877AC7" w14:textId="77777777" w:rsidR="00345EE3" w:rsidRDefault="00345EE3" w:rsidP="00345EE3">
      <w:pPr>
        <w:rPr>
          <w:sz w:val="24"/>
        </w:rPr>
        <w:sectPr w:rsidR="00345EE3">
          <w:pgSz w:w="11910" w:h="16840"/>
          <w:pgMar w:top="840" w:right="720" w:bottom="280" w:left="740" w:header="720" w:footer="720" w:gutter="0"/>
          <w:cols w:space="720"/>
        </w:sectPr>
      </w:pPr>
    </w:p>
    <w:p w14:paraId="1D7DF1EC" w14:textId="77777777" w:rsidR="00345EE3" w:rsidRDefault="00345EE3" w:rsidP="00345EE3">
      <w:pPr>
        <w:pStyle w:val="BodyText"/>
        <w:spacing w:before="60"/>
      </w:pPr>
      <w:r>
        <w:rPr>
          <w:color w:val="231F20"/>
        </w:rPr>
        <w:t>The</w:t>
      </w:r>
      <w:r>
        <w:rPr>
          <w:color w:val="231F20"/>
          <w:spacing w:val="-13"/>
        </w:rPr>
        <w:t xml:space="preserve"> </w:t>
      </w:r>
      <w:r>
        <w:rPr>
          <w:color w:val="231F20"/>
        </w:rPr>
        <w:t>amounts</w:t>
      </w:r>
      <w:r>
        <w:rPr>
          <w:color w:val="231F20"/>
          <w:spacing w:val="-9"/>
        </w:rPr>
        <w:t xml:space="preserve"> </w:t>
      </w:r>
      <w:r>
        <w:rPr>
          <w:color w:val="231F20"/>
        </w:rPr>
        <w:t>relating</w:t>
      </w:r>
      <w:r>
        <w:rPr>
          <w:color w:val="231F20"/>
          <w:spacing w:val="-11"/>
        </w:rPr>
        <w:t xml:space="preserve"> </w:t>
      </w:r>
      <w:r>
        <w:rPr>
          <w:color w:val="231F20"/>
        </w:rPr>
        <w:t>to</w:t>
      </w:r>
      <w:r>
        <w:rPr>
          <w:color w:val="231F20"/>
          <w:spacing w:val="-10"/>
        </w:rPr>
        <w:t xml:space="preserve"> </w:t>
      </w:r>
      <w:r>
        <w:rPr>
          <w:color w:val="231F20"/>
        </w:rPr>
        <w:t>items</w:t>
      </w:r>
      <w:r>
        <w:rPr>
          <w:color w:val="231F20"/>
          <w:spacing w:val="-9"/>
        </w:rPr>
        <w:t xml:space="preserve"> </w:t>
      </w:r>
      <w:r>
        <w:rPr>
          <w:color w:val="231F20"/>
        </w:rPr>
        <w:t>designated</w:t>
      </w:r>
      <w:r>
        <w:rPr>
          <w:color w:val="231F20"/>
          <w:spacing w:val="-11"/>
        </w:rPr>
        <w:t xml:space="preserve"> </w:t>
      </w:r>
      <w:r>
        <w:rPr>
          <w:color w:val="231F20"/>
        </w:rPr>
        <w:t>as</w:t>
      </w:r>
      <w:r>
        <w:rPr>
          <w:color w:val="231F20"/>
          <w:spacing w:val="-9"/>
        </w:rPr>
        <w:t xml:space="preserve"> </w:t>
      </w:r>
      <w:r>
        <w:rPr>
          <w:color w:val="231F20"/>
        </w:rPr>
        <w:t>hedging</w:t>
      </w:r>
      <w:r>
        <w:rPr>
          <w:color w:val="231F20"/>
          <w:spacing w:val="-10"/>
        </w:rPr>
        <w:t xml:space="preserve"> </w:t>
      </w:r>
      <w:r>
        <w:rPr>
          <w:color w:val="231F20"/>
        </w:rPr>
        <w:t>instruments</w:t>
      </w:r>
      <w:r>
        <w:rPr>
          <w:color w:val="231F20"/>
          <w:spacing w:val="-10"/>
        </w:rPr>
        <w:t xml:space="preserve"> </w:t>
      </w:r>
      <w:r>
        <w:rPr>
          <w:color w:val="231F20"/>
        </w:rPr>
        <w:t>and</w:t>
      </w:r>
      <w:r>
        <w:rPr>
          <w:color w:val="231F20"/>
          <w:spacing w:val="-10"/>
        </w:rPr>
        <w:t xml:space="preserve"> </w:t>
      </w:r>
      <w:r>
        <w:rPr>
          <w:color w:val="231F20"/>
        </w:rPr>
        <w:t>hedge</w:t>
      </w:r>
      <w:r>
        <w:rPr>
          <w:color w:val="231F20"/>
          <w:spacing w:val="-10"/>
        </w:rPr>
        <w:t xml:space="preserve"> </w:t>
      </w:r>
      <w:r>
        <w:rPr>
          <w:color w:val="231F20"/>
        </w:rPr>
        <w:t>ineffectiveness</w:t>
      </w:r>
      <w:r>
        <w:rPr>
          <w:color w:val="231F20"/>
          <w:spacing w:val="-10"/>
        </w:rPr>
        <w:t xml:space="preserve"> </w:t>
      </w:r>
      <w:r>
        <w:rPr>
          <w:color w:val="231F20"/>
        </w:rPr>
        <w:t>were</w:t>
      </w:r>
      <w:r>
        <w:rPr>
          <w:color w:val="231F20"/>
          <w:spacing w:val="-10"/>
        </w:rPr>
        <w:t xml:space="preserve"> </w:t>
      </w:r>
      <w:r>
        <w:rPr>
          <w:color w:val="231F20"/>
        </w:rPr>
        <w:t>as</w:t>
      </w:r>
      <w:r>
        <w:rPr>
          <w:color w:val="231F20"/>
          <w:spacing w:val="-9"/>
        </w:rPr>
        <w:t xml:space="preserve"> </w:t>
      </w:r>
      <w:r>
        <w:rPr>
          <w:color w:val="231F20"/>
          <w:spacing w:val="-2"/>
        </w:rPr>
        <w:t>follows.</w:t>
      </w:r>
    </w:p>
    <w:p w14:paraId="03B6A51C" w14:textId="77777777" w:rsidR="00345EE3" w:rsidRDefault="00345EE3" w:rsidP="00345EE3">
      <w:pPr>
        <w:pStyle w:val="BodyText"/>
        <w:spacing w:before="6"/>
        <w:rPr>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247"/>
        <w:gridCol w:w="567"/>
        <w:gridCol w:w="964"/>
        <w:gridCol w:w="1134"/>
        <w:gridCol w:w="1474"/>
        <w:gridCol w:w="1474"/>
        <w:gridCol w:w="1928"/>
        <w:gridCol w:w="1871"/>
        <w:gridCol w:w="1417"/>
        <w:gridCol w:w="1417"/>
        <w:gridCol w:w="1474"/>
        <w:gridCol w:w="1474"/>
        <w:gridCol w:w="1871"/>
        <w:gridCol w:w="1871"/>
        <w:gridCol w:w="1871"/>
      </w:tblGrid>
      <w:tr w:rsidR="00345EE3" w14:paraId="4C9CB136" w14:textId="77777777" w:rsidTr="00D73130">
        <w:trPr>
          <w:trHeight w:val="405"/>
        </w:trPr>
        <w:tc>
          <w:tcPr>
            <w:tcW w:w="22054" w:type="dxa"/>
            <w:gridSpan w:val="15"/>
            <w:tcBorders>
              <w:top w:val="nil"/>
              <w:left w:val="nil"/>
              <w:bottom w:val="nil"/>
              <w:right w:val="nil"/>
            </w:tcBorders>
            <w:shd w:val="clear" w:color="auto" w:fill="00529F"/>
          </w:tcPr>
          <w:p w14:paraId="10E8C365" w14:textId="77777777" w:rsidR="00345EE3" w:rsidRDefault="00345EE3" w:rsidP="00D73130">
            <w:pPr>
              <w:pStyle w:val="TableParagraph"/>
              <w:spacing w:before="63"/>
              <w:ind w:left="1878"/>
              <w:jc w:val="left"/>
              <w:rPr>
                <w:b/>
                <w:sz w:val="24"/>
              </w:rPr>
            </w:pPr>
            <w:r>
              <w:rPr>
                <w:b/>
                <w:color w:val="FFFFFF"/>
                <w:sz w:val="24"/>
              </w:rPr>
              <w:t>Carrying</w:t>
            </w:r>
            <w:r>
              <w:rPr>
                <w:b/>
                <w:color w:val="FFFFFF"/>
                <w:spacing w:val="5"/>
                <w:sz w:val="24"/>
              </w:rPr>
              <w:t xml:space="preserve"> </w:t>
            </w:r>
            <w:r>
              <w:rPr>
                <w:b/>
                <w:color w:val="FFFFFF"/>
                <w:spacing w:val="-2"/>
                <w:sz w:val="24"/>
              </w:rPr>
              <w:t>Amount</w:t>
            </w:r>
          </w:p>
        </w:tc>
      </w:tr>
      <w:tr w:rsidR="00345EE3" w14:paraId="0DCA454F" w14:textId="77777777" w:rsidTr="00D73130">
        <w:trPr>
          <w:trHeight w:val="2357"/>
        </w:trPr>
        <w:tc>
          <w:tcPr>
            <w:tcW w:w="1247" w:type="dxa"/>
            <w:tcBorders>
              <w:top w:val="nil"/>
              <w:left w:val="nil"/>
              <w:bottom w:val="nil"/>
              <w:right w:val="nil"/>
            </w:tcBorders>
            <w:shd w:val="clear" w:color="auto" w:fill="00529F"/>
          </w:tcPr>
          <w:p w14:paraId="3247554F" w14:textId="77777777" w:rsidR="00345EE3" w:rsidRDefault="00345EE3" w:rsidP="00D73130">
            <w:pPr>
              <w:pStyle w:val="TableParagraph"/>
              <w:spacing w:before="59"/>
              <w:jc w:val="left"/>
              <w:rPr>
                <w:b/>
                <w:sz w:val="24"/>
              </w:rPr>
            </w:pPr>
            <w:r>
              <w:rPr>
                <w:b/>
                <w:color w:val="FFFFFF"/>
                <w:spacing w:val="-4"/>
                <w:sz w:val="24"/>
              </w:rPr>
              <w:t>2022</w:t>
            </w:r>
          </w:p>
        </w:tc>
        <w:tc>
          <w:tcPr>
            <w:tcW w:w="567" w:type="dxa"/>
            <w:tcBorders>
              <w:top w:val="nil"/>
              <w:left w:val="nil"/>
              <w:bottom w:val="nil"/>
              <w:right w:val="nil"/>
            </w:tcBorders>
            <w:shd w:val="clear" w:color="auto" w:fill="00529F"/>
          </w:tcPr>
          <w:p w14:paraId="75A098BA" w14:textId="77777777" w:rsidR="00345EE3" w:rsidRDefault="00345EE3" w:rsidP="00D73130">
            <w:pPr>
              <w:pStyle w:val="TableParagraph"/>
              <w:spacing w:before="59"/>
              <w:ind w:right="3"/>
              <w:rPr>
                <w:b/>
                <w:sz w:val="24"/>
              </w:rPr>
            </w:pPr>
            <w:r>
              <w:rPr>
                <w:b/>
                <w:color w:val="FFFFFF"/>
                <w:spacing w:val="-4"/>
                <w:sz w:val="24"/>
              </w:rPr>
              <w:t>Note</w:t>
            </w:r>
          </w:p>
        </w:tc>
        <w:tc>
          <w:tcPr>
            <w:tcW w:w="964" w:type="dxa"/>
            <w:tcBorders>
              <w:top w:val="nil"/>
              <w:left w:val="nil"/>
              <w:bottom w:val="nil"/>
              <w:right w:val="nil"/>
            </w:tcBorders>
            <w:shd w:val="clear" w:color="auto" w:fill="00529F"/>
          </w:tcPr>
          <w:p w14:paraId="2D102064" w14:textId="77777777" w:rsidR="00345EE3" w:rsidRDefault="00345EE3" w:rsidP="00D73130">
            <w:pPr>
              <w:pStyle w:val="TableParagraph"/>
              <w:spacing w:before="59"/>
              <w:ind w:right="3"/>
              <w:rPr>
                <w:b/>
                <w:sz w:val="24"/>
              </w:rPr>
            </w:pPr>
            <w:r>
              <w:rPr>
                <w:b/>
                <w:color w:val="FFFFFF"/>
                <w:spacing w:val="-2"/>
                <w:sz w:val="24"/>
              </w:rPr>
              <w:t>Assets</w:t>
            </w:r>
          </w:p>
        </w:tc>
        <w:tc>
          <w:tcPr>
            <w:tcW w:w="1134" w:type="dxa"/>
            <w:tcBorders>
              <w:top w:val="nil"/>
              <w:left w:val="nil"/>
              <w:bottom w:val="nil"/>
              <w:right w:val="nil"/>
            </w:tcBorders>
            <w:shd w:val="clear" w:color="auto" w:fill="00529F"/>
          </w:tcPr>
          <w:p w14:paraId="5EB769E1" w14:textId="77777777" w:rsidR="00345EE3" w:rsidRDefault="00345EE3" w:rsidP="00D73130">
            <w:pPr>
              <w:pStyle w:val="TableParagraph"/>
              <w:spacing w:before="59"/>
              <w:ind w:right="2"/>
              <w:rPr>
                <w:b/>
                <w:sz w:val="24"/>
              </w:rPr>
            </w:pPr>
            <w:r>
              <w:rPr>
                <w:b/>
                <w:color w:val="FFFFFF"/>
                <w:spacing w:val="-2"/>
                <w:sz w:val="24"/>
              </w:rPr>
              <w:t>Liabilities</w:t>
            </w:r>
          </w:p>
        </w:tc>
        <w:tc>
          <w:tcPr>
            <w:tcW w:w="1474" w:type="dxa"/>
            <w:tcBorders>
              <w:top w:val="nil"/>
              <w:left w:val="nil"/>
              <w:bottom w:val="nil"/>
              <w:right w:val="nil"/>
            </w:tcBorders>
            <w:shd w:val="clear" w:color="auto" w:fill="00529F"/>
          </w:tcPr>
          <w:p w14:paraId="3D65B681" w14:textId="77777777" w:rsidR="00345EE3" w:rsidRDefault="00345EE3" w:rsidP="00D73130">
            <w:pPr>
              <w:pStyle w:val="TableParagraph"/>
              <w:spacing w:before="59" w:line="242" w:lineRule="auto"/>
              <w:ind w:left="81" w:right="2" w:firstLine="82"/>
              <w:rPr>
                <w:b/>
                <w:sz w:val="24"/>
              </w:rPr>
            </w:pPr>
            <w:r>
              <w:rPr>
                <w:b/>
                <w:color w:val="FFFFFF"/>
                <w:spacing w:val="-2"/>
                <w:sz w:val="24"/>
              </w:rPr>
              <w:t>Line</w:t>
            </w:r>
            <w:r>
              <w:rPr>
                <w:b/>
                <w:color w:val="FFFFFF"/>
                <w:spacing w:val="-15"/>
                <w:sz w:val="24"/>
              </w:rPr>
              <w:t xml:space="preserve"> </w:t>
            </w:r>
            <w:r>
              <w:rPr>
                <w:b/>
                <w:color w:val="FFFFFF"/>
                <w:spacing w:val="-2"/>
                <w:sz w:val="24"/>
              </w:rPr>
              <w:t>item</w:t>
            </w:r>
            <w:r>
              <w:rPr>
                <w:b/>
                <w:color w:val="FFFFFF"/>
                <w:spacing w:val="-15"/>
                <w:sz w:val="24"/>
              </w:rPr>
              <w:t xml:space="preserve"> </w:t>
            </w:r>
            <w:r>
              <w:rPr>
                <w:b/>
                <w:color w:val="FFFFFF"/>
                <w:spacing w:val="-2"/>
                <w:sz w:val="24"/>
              </w:rPr>
              <w:t xml:space="preserve">in </w:t>
            </w:r>
            <w:r>
              <w:rPr>
                <w:b/>
                <w:color w:val="FFFFFF"/>
                <w:sz w:val="24"/>
              </w:rPr>
              <w:t xml:space="preserve">the Balance </w:t>
            </w:r>
            <w:r>
              <w:rPr>
                <w:b/>
                <w:color w:val="FFFFFF"/>
                <w:spacing w:val="-2"/>
                <w:sz w:val="24"/>
              </w:rPr>
              <w:t>Sheet</w:t>
            </w:r>
            <w:r>
              <w:rPr>
                <w:b/>
                <w:color w:val="FFFFFF"/>
                <w:spacing w:val="-15"/>
                <w:sz w:val="24"/>
              </w:rPr>
              <w:t xml:space="preserve"> </w:t>
            </w:r>
            <w:r>
              <w:rPr>
                <w:b/>
                <w:color w:val="FFFFFF"/>
                <w:spacing w:val="-2"/>
                <w:sz w:val="24"/>
              </w:rPr>
              <w:t xml:space="preserve">where </w:t>
            </w:r>
            <w:r>
              <w:rPr>
                <w:b/>
                <w:color w:val="FFFFFF"/>
                <w:sz w:val="24"/>
              </w:rPr>
              <w:t>the</w:t>
            </w:r>
            <w:r>
              <w:rPr>
                <w:b/>
                <w:color w:val="FFFFFF"/>
                <w:spacing w:val="-10"/>
                <w:sz w:val="24"/>
              </w:rPr>
              <w:t xml:space="preserve"> </w:t>
            </w:r>
            <w:r>
              <w:rPr>
                <w:b/>
                <w:color w:val="FFFFFF"/>
                <w:sz w:val="24"/>
              </w:rPr>
              <w:t xml:space="preserve">hedging </w:t>
            </w:r>
            <w:r>
              <w:rPr>
                <w:b/>
                <w:color w:val="FFFFFF"/>
                <w:spacing w:val="-2"/>
                <w:sz w:val="24"/>
              </w:rPr>
              <w:t xml:space="preserve">instrument </w:t>
            </w:r>
            <w:r>
              <w:rPr>
                <w:b/>
                <w:color w:val="FFFFFF"/>
                <w:sz w:val="24"/>
              </w:rPr>
              <w:t>is included</w:t>
            </w:r>
          </w:p>
        </w:tc>
        <w:tc>
          <w:tcPr>
            <w:tcW w:w="1474" w:type="dxa"/>
            <w:tcBorders>
              <w:top w:val="nil"/>
              <w:left w:val="nil"/>
              <w:bottom w:val="nil"/>
              <w:right w:val="nil"/>
            </w:tcBorders>
            <w:shd w:val="clear" w:color="auto" w:fill="00529F"/>
          </w:tcPr>
          <w:p w14:paraId="02173D92" w14:textId="77777777" w:rsidR="00345EE3" w:rsidRDefault="00345EE3" w:rsidP="00D73130">
            <w:pPr>
              <w:pStyle w:val="TableParagraph"/>
              <w:spacing w:before="59" w:line="242" w:lineRule="auto"/>
              <w:ind w:left="212" w:right="2" w:hanging="14"/>
              <w:rPr>
                <w:b/>
                <w:sz w:val="24"/>
              </w:rPr>
            </w:pPr>
            <w:r>
              <w:rPr>
                <w:b/>
                <w:color w:val="FFFFFF"/>
                <w:spacing w:val="-2"/>
                <w:sz w:val="24"/>
              </w:rPr>
              <w:t>Changes</w:t>
            </w:r>
            <w:r>
              <w:rPr>
                <w:b/>
                <w:color w:val="FFFFFF"/>
                <w:spacing w:val="-15"/>
                <w:sz w:val="24"/>
              </w:rPr>
              <w:t xml:space="preserve"> </w:t>
            </w:r>
            <w:r>
              <w:rPr>
                <w:b/>
                <w:color w:val="FFFFFF"/>
                <w:spacing w:val="-2"/>
                <w:sz w:val="24"/>
              </w:rPr>
              <w:t xml:space="preserve">in </w:t>
            </w:r>
            <w:r>
              <w:rPr>
                <w:b/>
                <w:color w:val="FFFFFF"/>
                <w:sz w:val="24"/>
              </w:rPr>
              <w:t>the value of</w:t>
            </w:r>
            <w:r>
              <w:rPr>
                <w:b/>
                <w:color w:val="FFFFFF"/>
                <w:spacing w:val="-7"/>
                <w:sz w:val="24"/>
              </w:rPr>
              <w:t xml:space="preserve"> </w:t>
            </w:r>
            <w:r>
              <w:rPr>
                <w:b/>
                <w:color w:val="FFFFFF"/>
                <w:sz w:val="24"/>
              </w:rPr>
              <w:t xml:space="preserve">hedging </w:t>
            </w:r>
            <w:r>
              <w:rPr>
                <w:b/>
                <w:color w:val="FFFFFF"/>
                <w:spacing w:val="-2"/>
                <w:sz w:val="24"/>
              </w:rPr>
              <w:t xml:space="preserve">instrument </w:t>
            </w:r>
            <w:r>
              <w:rPr>
                <w:b/>
                <w:color w:val="FFFFFF"/>
                <w:spacing w:val="-5"/>
                <w:sz w:val="24"/>
              </w:rPr>
              <w:t>recognised</w:t>
            </w:r>
          </w:p>
          <w:p w14:paraId="50A1C130" w14:textId="77777777" w:rsidR="00345EE3" w:rsidRDefault="00345EE3" w:rsidP="00D73130">
            <w:pPr>
              <w:pStyle w:val="TableParagraph"/>
              <w:spacing w:before="7"/>
              <w:ind w:left="776"/>
              <w:jc w:val="left"/>
              <w:rPr>
                <w:b/>
                <w:sz w:val="24"/>
              </w:rPr>
            </w:pPr>
            <w:r>
              <w:rPr>
                <w:b/>
                <w:color w:val="FFFFFF"/>
                <w:sz w:val="24"/>
              </w:rPr>
              <w:t>in</w:t>
            </w:r>
            <w:r>
              <w:rPr>
                <w:b/>
                <w:color w:val="FFFFFF"/>
                <w:spacing w:val="-8"/>
                <w:sz w:val="24"/>
              </w:rPr>
              <w:t xml:space="preserve"> </w:t>
            </w:r>
            <w:r>
              <w:rPr>
                <w:b/>
                <w:color w:val="FFFFFF"/>
                <w:spacing w:val="-5"/>
                <w:sz w:val="24"/>
              </w:rPr>
              <w:t>OCI</w:t>
            </w:r>
          </w:p>
        </w:tc>
        <w:tc>
          <w:tcPr>
            <w:tcW w:w="1928" w:type="dxa"/>
            <w:tcBorders>
              <w:top w:val="nil"/>
              <w:left w:val="nil"/>
              <w:bottom w:val="nil"/>
              <w:right w:val="nil"/>
            </w:tcBorders>
            <w:shd w:val="clear" w:color="auto" w:fill="00529F"/>
          </w:tcPr>
          <w:p w14:paraId="687D1C4A" w14:textId="77777777" w:rsidR="00345EE3" w:rsidRDefault="00345EE3" w:rsidP="00D73130">
            <w:pPr>
              <w:pStyle w:val="TableParagraph"/>
              <w:spacing w:line="242" w:lineRule="auto"/>
              <w:ind w:left="153" w:right="2" w:firstLine="1047"/>
              <w:rPr>
                <w:b/>
                <w:sz w:val="24"/>
              </w:rPr>
            </w:pPr>
            <w:r>
              <w:rPr>
                <w:b/>
                <w:color w:val="FFFFFF"/>
                <w:spacing w:val="-4"/>
                <w:sz w:val="24"/>
              </w:rPr>
              <w:t xml:space="preserve">Hedge </w:t>
            </w:r>
            <w:r>
              <w:rPr>
                <w:b/>
                <w:color w:val="FFFFFF"/>
                <w:spacing w:val="-2"/>
                <w:sz w:val="24"/>
              </w:rPr>
              <w:t xml:space="preserve">ineffectiveness </w:t>
            </w:r>
            <w:r>
              <w:rPr>
                <w:b/>
                <w:color w:val="FFFFFF"/>
                <w:sz w:val="24"/>
              </w:rPr>
              <w:t xml:space="preserve">recognised in </w:t>
            </w:r>
            <w:r>
              <w:rPr>
                <w:b/>
                <w:color w:val="FFFFFF"/>
                <w:spacing w:val="-4"/>
                <w:sz w:val="24"/>
              </w:rPr>
              <w:t>Comprehensive</w:t>
            </w:r>
          </w:p>
          <w:p w14:paraId="22B32929" w14:textId="77777777" w:rsidR="00345EE3" w:rsidRDefault="00345EE3" w:rsidP="00D73130">
            <w:pPr>
              <w:pStyle w:val="TableParagraph"/>
              <w:spacing w:before="5" w:line="242" w:lineRule="auto"/>
              <w:ind w:left="783" w:right="2" w:firstLine="26"/>
              <w:rPr>
                <w:b/>
                <w:sz w:val="24"/>
              </w:rPr>
            </w:pPr>
            <w:r>
              <w:rPr>
                <w:b/>
                <w:color w:val="FFFFFF"/>
                <w:spacing w:val="-4"/>
                <w:sz w:val="24"/>
              </w:rPr>
              <w:t xml:space="preserve">Operating </w:t>
            </w:r>
            <w:r>
              <w:rPr>
                <w:b/>
                <w:color w:val="FFFFFF"/>
                <w:spacing w:val="-5"/>
                <w:sz w:val="24"/>
              </w:rPr>
              <w:t>Statement</w:t>
            </w:r>
          </w:p>
        </w:tc>
        <w:tc>
          <w:tcPr>
            <w:tcW w:w="1871" w:type="dxa"/>
            <w:tcBorders>
              <w:top w:val="nil"/>
              <w:left w:val="nil"/>
              <w:bottom w:val="nil"/>
              <w:right w:val="nil"/>
            </w:tcBorders>
            <w:shd w:val="clear" w:color="auto" w:fill="00529F"/>
          </w:tcPr>
          <w:p w14:paraId="4E3EE169" w14:textId="77777777" w:rsidR="00345EE3" w:rsidRDefault="00345EE3" w:rsidP="00D73130">
            <w:pPr>
              <w:pStyle w:val="TableParagraph"/>
              <w:spacing w:line="242" w:lineRule="auto"/>
              <w:ind w:left="96" w:right="2" w:firstLine="464"/>
              <w:jc w:val="both"/>
              <w:rPr>
                <w:b/>
                <w:sz w:val="24"/>
              </w:rPr>
            </w:pPr>
            <w:r>
              <w:rPr>
                <w:b/>
                <w:color w:val="FFFFFF"/>
                <w:spacing w:val="-2"/>
                <w:sz w:val="24"/>
              </w:rPr>
              <w:t>Line</w:t>
            </w:r>
            <w:r>
              <w:rPr>
                <w:b/>
                <w:color w:val="FFFFFF"/>
                <w:spacing w:val="-15"/>
                <w:sz w:val="24"/>
              </w:rPr>
              <w:t xml:space="preserve"> </w:t>
            </w:r>
            <w:r>
              <w:rPr>
                <w:b/>
                <w:color w:val="FFFFFF"/>
                <w:spacing w:val="-2"/>
                <w:sz w:val="24"/>
              </w:rPr>
              <w:t>item</w:t>
            </w:r>
            <w:r>
              <w:rPr>
                <w:b/>
                <w:color w:val="FFFFFF"/>
                <w:spacing w:val="-15"/>
                <w:sz w:val="24"/>
              </w:rPr>
              <w:t xml:space="preserve"> </w:t>
            </w:r>
            <w:r>
              <w:rPr>
                <w:b/>
                <w:color w:val="FFFFFF"/>
                <w:spacing w:val="-2"/>
                <w:sz w:val="24"/>
              </w:rPr>
              <w:t xml:space="preserve">in </w:t>
            </w:r>
            <w:r>
              <w:rPr>
                <w:b/>
                <w:color w:val="FFFFFF"/>
                <w:spacing w:val="-4"/>
                <w:sz w:val="24"/>
              </w:rPr>
              <w:t>Comprehensive</w:t>
            </w:r>
          </w:p>
          <w:p w14:paraId="5D5A58FA" w14:textId="77777777" w:rsidR="00345EE3" w:rsidRDefault="00345EE3" w:rsidP="00D73130">
            <w:pPr>
              <w:pStyle w:val="TableParagraph"/>
              <w:spacing w:before="3" w:line="242" w:lineRule="auto"/>
              <w:ind w:left="152" w:right="2" w:firstLine="601"/>
              <w:jc w:val="both"/>
              <w:rPr>
                <w:b/>
                <w:sz w:val="24"/>
              </w:rPr>
            </w:pPr>
            <w:r>
              <w:rPr>
                <w:b/>
                <w:color w:val="FFFFFF"/>
                <w:spacing w:val="-4"/>
                <w:sz w:val="24"/>
              </w:rPr>
              <w:t xml:space="preserve">Operating </w:t>
            </w:r>
            <w:r>
              <w:rPr>
                <w:b/>
                <w:color w:val="FFFFFF"/>
                <w:sz w:val="24"/>
              </w:rPr>
              <w:t xml:space="preserve">Statement that </w:t>
            </w:r>
            <w:r>
              <w:rPr>
                <w:b/>
                <w:color w:val="FFFFFF"/>
                <w:spacing w:val="-2"/>
                <w:sz w:val="24"/>
              </w:rPr>
              <w:t>includes</w:t>
            </w:r>
            <w:r>
              <w:rPr>
                <w:b/>
                <w:color w:val="FFFFFF"/>
                <w:spacing w:val="-15"/>
                <w:sz w:val="24"/>
              </w:rPr>
              <w:t xml:space="preserve"> </w:t>
            </w:r>
            <w:r>
              <w:rPr>
                <w:b/>
                <w:color w:val="FFFFFF"/>
                <w:spacing w:val="-2"/>
                <w:sz w:val="24"/>
              </w:rPr>
              <w:t>hedge ineffectiveness</w:t>
            </w:r>
          </w:p>
          <w:p w14:paraId="6E1454DF" w14:textId="77777777" w:rsidR="00345EE3" w:rsidRDefault="00345EE3" w:rsidP="00D73130">
            <w:pPr>
              <w:pStyle w:val="TableParagraph"/>
              <w:spacing w:before="17"/>
              <w:ind w:right="2"/>
              <w:rPr>
                <w:b/>
                <w:sz w:val="14"/>
              </w:rPr>
            </w:pPr>
            <w:r>
              <w:rPr>
                <w:b/>
                <w:color w:val="FFFFFF"/>
                <w:spacing w:val="-5"/>
                <w:sz w:val="14"/>
              </w:rPr>
              <w:t>(a)</w:t>
            </w:r>
          </w:p>
        </w:tc>
        <w:tc>
          <w:tcPr>
            <w:tcW w:w="1417" w:type="dxa"/>
            <w:tcBorders>
              <w:top w:val="nil"/>
              <w:left w:val="nil"/>
              <w:bottom w:val="nil"/>
              <w:right w:val="nil"/>
            </w:tcBorders>
            <w:shd w:val="clear" w:color="auto" w:fill="00529F"/>
          </w:tcPr>
          <w:p w14:paraId="1D08D7FD" w14:textId="77777777" w:rsidR="00345EE3" w:rsidRDefault="00345EE3" w:rsidP="00D73130">
            <w:pPr>
              <w:pStyle w:val="TableParagraph"/>
              <w:spacing w:before="59" w:line="242" w:lineRule="auto"/>
              <w:ind w:left="155" w:right="2" w:firstLine="446"/>
              <w:rPr>
                <w:b/>
                <w:sz w:val="24"/>
              </w:rPr>
            </w:pPr>
            <w:r>
              <w:rPr>
                <w:b/>
                <w:color w:val="FFFFFF"/>
                <w:spacing w:val="-2"/>
                <w:sz w:val="24"/>
              </w:rPr>
              <w:t>Cost</w:t>
            </w:r>
            <w:r>
              <w:rPr>
                <w:b/>
                <w:color w:val="FFFFFF"/>
                <w:spacing w:val="-15"/>
                <w:sz w:val="24"/>
              </w:rPr>
              <w:t xml:space="preserve"> </w:t>
            </w:r>
            <w:r>
              <w:rPr>
                <w:b/>
                <w:color w:val="FFFFFF"/>
                <w:spacing w:val="-2"/>
                <w:sz w:val="24"/>
              </w:rPr>
              <w:t xml:space="preserve">of hedging </w:t>
            </w:r>
            <w:r>
              <w:rPr>
                <w:b/>
                <w:color w:val="FFFFFF"/>
                <w:spacing w:val="-5"/>
                <w:sz w:val="24"/>
              </w:rPr>
              <w:t>recognised</w:t>
            </w:r>
          </w:p>
          <w:p w14:paraId="7752CAD1" w14:textId="77777777" w:rsidR="00345EE3" w:rsidRDefault="00345EE3" w:rsidP="00D73130">
            <w:pPr>
              <w:pStyle w:val="TableParagraph"/>
              <w:spacing w:before="4"/>
              <w:ind w:left="719"/>
              <w:jc w:val="left"/>
              <w:rPr>
                <w:b/>
                <w:sz w:val="24"/>
              </w:rPr>
            </w:pPr>
            <w:r>
              <w:rPr>
                <w:b/>
                <w:color w:val="FFFFFF"/>
                <w:sz w:val="24"/>
              </w:rPr>
              <w:t>in</w:t>
            </w:r>
            <w:r>
              <w:rPr>
                <w:b/>
                <w:color w:val="FFFFFF"/>
                <w:spacing w:val="-8"/>
                <w:sz w:val="24"/>
              </w:rPr>
              <w:t xml:space="preserve"> </w:t>
            </w:r>
            <w:r>
              <w:rPr>
                <w:b/>
                <w:color w:val="FFFFFF"/>
                <w:spacing w:val="-5"/>
                <w:sz w:val="24"/>
              </w:rPr>
              <w:t>OCI</w:t>
            </w:r>
          </w:p>
        </w:tc>
        <w:tc>
          <w:tcPr>
            <w:tcW w:w="1417" w:type="dxa"/>
            <w:tcBorders>
              <w:top w:val="nil"/>
              <w:left w:val="nil"/>
              <w:bottom w:val="nil"/>
              <w:right w:val="nil"/>
            </w:tcBorders>
            <w:shd w:val="clear" w:color="auto" w:fill="00529F"/>
          </w:tcPr>
          <w:p w14:paraId="3E3B9FD3" w14:textId="77777777" w:rsidR="00345EE3" w:rsidRDefault="00345EE3" w:rsidP="00D73130">
            <w:pPr>
              <w:pStyle w:val="TableParagraph"/>
              <w:spacing w:before="59" w:line="242" w:lineRule="auto"/>
              <w:ind w:left="443" w:right="2" w:firstLine="25"/>
              <w:rPr>
                <w:b/>
                <w:sz w:val="24"/>
              </w:rPr>
            </w:pPr>
            <w:r>
              <w:rPr>
                <w:b/>
                <w:color w:val="FFFFFF"/>
                <w:spacing w:val="-4"/>
                <w:sz w:val="24"/>
              </w:rPr>
              <w:t xml:space="preserve">Hedging reserves </w:t>
            </w:r>
            <w:r>
              <w:rPr>
                <w:b/>
                <w:color w:val="FFFFFF"/>
                <w:sz w:val="24"/>
              </w:rPr>
              <w:t>in OCI</w:t>
            </w:r>
          </w:p>
        </w:tc>
        <w:tc>
          <w:tcPr>
            <w:tcW w:w="1474" w:type="dxa"/>
            <w:tcBorders>
              <w:top w:val="nil"/>
              <w:left w:val="nil"/>
              <w:bottom w:val="nil"/>
              <w:right w:val="nil"/>
            </w:tcBorders>
            <w:shd w:val="clear" w:color="auto" w:fill="00529F"/>
          </w:tcPr>
          <w:p w14:paraId="106F2AB6" w14:textId="77777777" w:rsidR="00345EE3" w:rsidRDefault="00345EE3" w:rsidP="00D73130">
            <w:pPr>
              <w:pStyle w:val="TableParagraph"/>
              <w:spacing w:before="59"/>
              <w:ind w:right="3"/>
              <w:rPr>
                <w:b/>
                <w:sz w:val="24"/>
              </w:rPr>
            </w:pPr>
            <w:r>
              <w:rPr>
                <w:b/>
                <w:color w:val="FFFFFF"/>
                <w:spacing w:val="-2"/>
                <w:sz w:val="24"/>
              </w:rPr>
              <w:t>Amount</w:t>
            </w:r>
          </w:p>
          <w:p w14:paraId="13C63F6B" w14:textId="77777777" w:rsidR="00345EE3" w:rsidRDefault="00345EE3" w:rsidP="00D73130">
            <w:pPr>
              <w:pStyle w:val="TableParagraph"/>
              <w:spacing w:before="4" w:line="242" w:lineRule="auto"/>
              <w:ind w:left="228" w:right="2" w:firstLine="717"/>
              <w:rPr>
                <w:b/>
                <w:sz w:val="24"/>
              </w:rPr>
            </w:pPr>
            <w:r>
              <w:rPr>
                <w:b/>
                <w:color w:val="FFFFFF"/>
                <w:spacing w:val="-6"/>
                <w:sz w:val="24"/>
              </w:rPr>
              <w:t xml:space="preserve">from </w:t>
            </w:r>
            <w:r>
              <w:rPr>
                <w:b/>
                <w:color w:val="FFFFFF"/>
                <w:spacing w:val="-2"/>
                <w:sz w:val="24"/>
              </w:rPr>
              <w:t xml:space="preserve">hedging reserves </w:t>
            </w:r>
            <w:r>
              <w:rPr>
                <w:b/>
                <w:color w:val="FFFFFF"/>
                <w:spacing w:val="-4"/>
                <w:sz w:val="24"/>
              </w:rPr>
              <w:t xml:space="preserve">transferred </w:t>
            </w:r>
            <w:r>
              <w:rPr>
                <w:b/>
                <w:color w:val="FFFFFF"/>
                <w:sz w:val="24"/>
              </w:rPr>
              <w:t xml:space="preserve">to cost of </w:t>
            </w:r>
            <w:r>
              <w:rPr>
                <w:b/>
                <w:color w:val="FFFFFF"/>
                <w:spacing w:val="-2"/>
                <w:sz w:val="24"/>
              </w:rPr>
              <w:t>service rendered</w:t>
            </w:r>
          </w:p>
        </w:tc>
        <w:tc>
          <w:tcPr>
            <w:tcW w:w="1474" w:type="dxa"/>
            <w:tcBorders>
              <w:top w:val="nil"/>
              <w:left w:val="nil"/>
              <w:bottom w:val="nil"/>
              <w:right w:val="nil"/>
            </w:tcBorders>
            <w:shd w:val="clear" w:color="auto" w:fill="00529F"/>
          </w:tcPr>
          <w:p w14:paraId="377BA14C" w14:textId="77777777" w:rsidR="00345EE3" w:rsidRDefault="00345EE3" w:rsidP="00D73130">
            <w:pPr>
              <w:pStyle w:val="TableParagraph"/>
              <w:spacing w:line="242" w:lineRule="auto"/>
              <w:ind w:left="228" w:right="2" w:firstLine="348"/>
              <w:rPr>
                <w:b/>
                <w:sz w:val="24"/>
              </w:rPr>
            </w:pPr>
            <w:r>
              <w:rPr>
                <w:b/>
                <w:color w:val="FFFFFF"/>
                <w:spacing w:val="-4"/>
                <w:sz w:val="24"/>
              </w:rPr>
              <w:t xml:space="preserve">Amount </w:t>
            </w:r>
            <w:r>
              <w:rPr>
                <w:b/>
                <w:color w:val="FFFFFF"/>
                <w:sz w:val="24"/>
              </w:rPr>
              <w:t>from cost of</w:t>
            </w:r>
            <w:r>
              <w:rPr>
                <w:b/>
                <w:color w:val="FFFFFF"/>
                <w:spacing w:val="-17"/>
                <w:sz w:val="24"/>
              </w:rPr>
              <w:t xml:space="preserve"> </w:t>
            </w:r>
            <w:r>
              <w:rPr>
                <w:b/>
                <w:color w:val="FFFFFF"/>
                <w:sz w:val="24"/>
              </w:rPr>
              <w:t xml:space="preserve">hedging </w:t>
            </w:r>
            <w:r>
              <w:rPr>
                <w:b/>
                <w:color w:val="FFFFFF"/>
                <w:spacing w:val="-4"/>
                <w:sz w:val="24"/>
              </w:rPr>
              <w:t xml:space="preserve">transferred </w:t>
            </w:r>
            <w:r>
              <w:rPr>
                <w:b/>
                <w:color w:val="FFFFFF"/>
                <w:sz w:val="24"/>
              </w:rPr>
              <w:t xml:space="preserve">to cost of </w:t>
            </w:r>
            <w:r>
              <w:rPr>
                <w:b/>
                <w:color w:val="FFFFFF"/>
                <w:spacing w:val="-2"/>
                <w:sz w:val="24"/>
              </w:rPr>
              <w:t>service rendered</w:t>
            </w:r>
          </w:p>
        </w:tc>
        <w:tc>
          <w:tcPr>
            <w:tcW w:w="1871" w:type="dxa"/>
            <w:tcBorders>
              <w:top w:val="nil"/>
              <w:left w:val="nil"/>
              <w:bottom w:val="nil"/>
              <w:right w:val="nil"/>
            </w:tcBorders>
            <w:shd w:val="clear" w:color="auto" w:fill="00529F"/>
          </w:tcPr>
          <w:p w14:paraId="1CE7A7A5" w14:textId="77777777" w:rsidR="00345EE3" w:rsidRDefault="00345EE3" w:rsidP="00D73130">
            <w:pPr>
              <w:pStyle w:val="TableParagraph"/>
              <w:spacing w:line="242" w:lineRule="auto"/>
              <w:ind w:left="95" w:right="2" w:firstLine="877"/>
              <w:rPr>
                <w:b/>
                <w:sz w:val="24"/>
              </w:rPr>
            </w:pPr>
            <w:r>
              <w:rPr>
                <w:b/>
                <w:color w:val="FFFFFF"/>
                <w:spacing w:val="-4"/>
                <w:sz w:val="24"/>
              </w:rPr>
              <w:t xml:space="preserve">Amount </w:t>
            </w:r>
            <w:r>
              <w:rPr>
                <w:b/>
                <w:color w:val="FFFFFF"/>
                <w:spacing w:val="-2"/>
                <w:sz w:val="24"/>
              </w:rPr>
              <w:t xml:space="preserve">reclassified </w:t>
            </w:r>
            <w:r>
              <w:rPr>
                <w:b/>
                <w:color w:val="FFFFFF"/>
                <w:sz w:val="24"/>
              </w:rPr>
              <w:t xml:space="preserve">from hedging reserves to </w:t>
            </w:r>
            <w:r>
              <w:rPr>
                <w:b/>
                <w:color w:val="FFFFFF"/>
                <w:spacing w:val="-4"/>
                <w:sz w:val="24"/>
              </w:rPr>
              <w:t>Comprehensive</w:t>
            </w:r>
          </w:p>
          <w:p w14:paraId="7E171FE8" w14:textId="77777777" w:rsidR="00345EE3" w:rsidRDefault="00345EE3" w:rsidP="00D73130">
            <w:pPr>
              <w:pStyle w:val="TableParagraph"/>
              <w:spacing w:before="7" w:line="242" w:lineRule="auto"/>
              <w:ind w:left="726" w:right="2" w:firstLine="26"/>
              <w:rPr>
                <w:b/>
                <w:sz w:val="24"/>
              </w:rPr>
            </w:pPr>
            <w:r>
              <w:rPr>
                <w:b/>
                <w:color w:val="FFFFFF"/>
                <w:spacing w:val="-4"/>
                <w:sz w:val="24"/>
              </w:rPr>
              <w:t xml:space="preserve">Operating </w:t>
            </w:r>
            <w:r>
              <w:rPr>
                <w:b/>
                <w:color w:val="FFFFFF"/>
                <w:spacing w:val="-5"/>
                <w:sz w:val="24"/>
              </w:rPr>
              <w:t>Statement</w:t>
            </w:r>
          </w:p>
        </w:tc>
        <w:tc>
          <w:tcPr>
            <w:tcW w:w="1871" w:type="dxa"/>
            <w:tcBorders>
              <w:top w:val="nil"/>
              <w:left w:val="nil"/>
              <w:bottom w:val="nil"/>
              <w:right w:val="nil"/>
            </w:tcBorders>
            <w:shd w:val="clear" w:color="auto" w:fill="00529F"/>
          </w:tcPr>
          <w:p w14:paraId="5830059C" w14:textId="77777777" w:rsidR="00345EE3" w:rsidRDefault="00345EE3" w:rsidP="00D73130">
            <w:pPr>
              <w:pStyle w:val="TableParagraph"/>
              <w:spacing w:before="61" w:line="242" w:lineRule="auto"/>
              <w:ind w:left="570" w:right="3" w:firstLine="402"/>
              <w:rPr>
                <w:b/>
                <w:sz w:val="24"/>
              </w:rPr>
            </w:pPr>
            <w:r>
              <w:rPr>
                <w:b/>
                <w:color w:val="FFFFFF"/>
                <w:spacing w:val="-4"/>
                <w:sz w:val="24"/>
              </w:rPr>
              <w:t xml:space="preserve">Amount reclassified </w:t>
            </w:r>
            <w:r>
              <w:rPr>
                <w:b/>
                <w:color w:val="FFFFFF"/>
                <w:sz w:val="24"/>
              </w:rPr>
              <w:t>from cost of hedging reserves</w:t>
            </w:r>
            <w:r>
              <w:rPr>
                <w:b/>
                <w:color w:val="FFFFFF"/>
                <w:spacing w:val="-17"/>
                <w:sz w:val="24"/>
              </w:rPr>
              <w:t xml:space="preserve"> </w:t>
            </w:r>
            <w:r>
              <w:rPr>
                <w:b/>
                <w:color w:val="FFFFFF"/>
                <w:sz w:val="24"/>
              </w:rPr>
              <w:t>to</w:t>
            </w:r>
          </w:p>
          <w:p w14:paraId="4554151A" w14:textId="77777777" w:rsidR="00345EE3" w:rsidRDefault="00345EE3" w:rsidP="00D73130">
            <w:pPr>
              <w:pStyle w:val="TableParagraph"/>
              <w:spacing w:before="6"/>
              <w:ind w:right="5"/>
              <w:rPr>
                <w:b/>
                <w:sz w:val="24"/>
              </w:rPr>
            </w:pPr>
            <w:r>
              <w:rPr>
                <w:b/>
                <w:color w:val="FFFFFF"/>
                <w:spacing w:val="-2"/>
                <w:sz w:val="24"/>
              </w:rPr>
              <w:t>Comprehensive</w:t>
            </w:r>
          </w:p>
          <w:p w14:paraId="45BA61B5" w14:textId="77777777" w:rsidR="00345EE3" w:rsidRDefault="00345EE3" w:rsidP="00D73130">
            <w:pPr>
              <w:pStyle w:val="TableParagraph"/>
              <w:spacing w:before="4" w:line="242" w:lineRule="auto"/>
              <w:ind w:left="726" w:right="3" w:firstLine="26"/>
              <w:rPr>
                <w:b/>
                <w:sz w:val="24"/>
              </w:rPr>
            </w:pPr>
            <w:r>
              <w:rPr>
                <w:b/>
                <w:color w:val="FFFFFF"/>
                <w:spacing w:val="-4"/>
                <w:sz w:val="24"/>
              </w:rPr>
              <w:t xml:space="preserve">Operating </w:t>
            </w:r>
            <w:r>
              <w:rPr>
                <w:b/>
                <w:color w:val="FFFFFF"/>
                <w:spacing w:val="-5"/>
                <w:sz w:val="24"/>
              </w:rPr>
              <w:t>Statement</w:t>
            </w:r>
          </w:p>
        </w:tc>
        <w:tc>
          <w:tcPr>
            <w:tcW w:w="1871" w:type="dxa"/>
            <w:tcBorders>
              <w:top w:val="nil"/>
              <w:left w:val="nil"/>
              <w:bottom w:val="nil"/>
              <w:right w:val="nil"/>
            </w:tcBorders>
            <w:shd w:val="clear" w:color="auto" w:fill="00529F"/>
          </w:tcPr>
          <w:p w14:paraId="1A433FBD" w14:textId="77777777" w:rsidR="00345EE3" w:rsidRDefault="00345EE3" w:rsidP="00D73130">
            <w:pPr>
              <w:pStyle w:val="TableParagraph"/>
              <w:spacing w:before="61" w:line="242" w:lineRule="auto"/>
              <w:ind w:left="95" w:right="3" w:firstLine="464"/>
              <w:rPr>
                <w:b/>
                <w:sz w:val="24"/>
              </w:rPr>
            </w:pPr>
            <w:r>
              <w:rPr>
                <w:b/>
                <w:color w:val="FFFFFF"/>
                <w:spacing w:val="-2"/>
                <w:sz w:val="24"/>
              </w:rPr>
              <w:t>Line</w:t>
            </w:r>
            <w:r>
              <w:rPr>
                <w:b/>
                <w:color w:val="FFFFFF"/>
                <w:spacing w:val="-15"/>
                <w:sz w:val="24"/>
              </w:rPr>
              <w:t xml:space="preserve"> </w:t>
            </w:r>
            <w:r>
              <w:rPr>
                <w:b/>
                <w:color w:val="FFFFFF"/>
                <w:spacing w:val="-2"/>
                <w:sz w:val="24"/>
              </w:rPr>
              <w:t>item</w:t>
            </w:r>
            <w:r>
              <w:rPr>
                <w:b/>
                <w:color w:val="FFFFFF"/>
                <w:spacing w:val="-15"/>
                <w:sz w:val="24"/>
              </w:rPr>
              <w:t xml:space="preserve"> </w:t>
            </w:r>
            <w:r>
              <w:rPr>
                <w:b/>
                <w:color w:val="FFFFFF"/>
                <w:spacing w:val="-2"/>
                <w:sz w:val="24"/>
              </w:rPr>
              <w:t xml:space="preserve">in </w:t>
            </w:r>
            <w:r>
              <w:rPr>
                <w:b/>
                <w:color w:val="FFFFFF"/>
                <w:spacing w:val="-4"/>
                <w:sz w:val="24"/>
              </w:rPr>
              <w:t>Comprehensive</w:t>
            </w:r>
          </w:p>
          <w:p w14:paraId="20F0E71D" w14:textId="77777777" w:rsidR="00345EE3" w:rsidRDefault="00345EE3" w:rsidP="00D73130">
            <w:pPr>
              <w:pStyle w:val="TableParagraph"/>
              <w:spacing w:before="3" w:line="242" w:lineRule="auto"/>
              <w:ind w:left="231" w:right="3" w:firstLine="521"/>
              <w:rPr>
                <w:b/>
                <w:sz w:val="24"/>
              </w:rPr>
            </w:pPr>
            <w:r>
              <w:rPr>
                <w:b/>
                <w:color w:val="FFFFFF"/>
                <w:spacing w:val="-4"/>
                <w:sz w:val="24"/>
              </w:rPr>
              <w:t xml:space="preserve">Operating </w:t>
            </w:r>
            <w:r>
              <w:rPr>
                <w:b/>
                <w:color w:val="FFFFFF"/>
                <w:spacing w:val="-2"/>
                <w:sz w:val="24"/>
              </w:rPr>
              <w:t>Statement</w:t>
            </w:r>
            <w:r>
              <w:rPr>
                <w:b/>
                <w:color w:val="FFFFFF"/>
                <w:spacing w:val="-15"/>
                <w:sz w:val="24"/>
              </w:rPr>
              <w:t xml:space="preserve"> </w:t>
            </w:r>
            <w:r>
              <w:rPr>
                <w:b/>
                <w:color w:val="FFFFFF"/>
                <w:spacing w:val="-2"/>
                <w:sz w:val="24"/>
              </w:rPr>
              <w:t xml:space="preserve">that </w:t>
            </w:r>
            <w:r>
              <w:rPr>
                <w:b/>
                <w:color w:val="FFFFFF"/>
                <w:sz w:val="24"/>
              </w:rPr>
              <w:t>is affected</w:t>
            </w:r>
          </w:p>
          <w:p w14:paraId="54DF18E1" w14:textId="77777777" w:rsidR="00345EE3" w:rsidRDefault="00345EE3" w:rsidP="00D73130">
            <w:pPr>
              <w:pStyle w:val="TableParagraph"/>
              <w:spacing w:before="4" w:line="242" w:lineRule="auto"/>
              <w:ind w:left="153" w:right="4" w:firstLine="1019"/>
              <w:rPr>
                <w:b/>
                <w:sz w:val="24"/>
              </w:rPr>
            </w:pPr>
            <w:r>
              <w:rPr>
                <w:b/>
                <w:color w:val="FFFFFF"/>
                <w:spacing w:val="-2"/>
                <w:sz w:val="24"/>
              </w:rPr>
              <w:t>by</w:t>
            </w:r>
            <w:r>
              <w:rPr>
                <w:b/>
                <w:color w:val="FFFFFF"/>
                <w:spacing w:val="-15"/>
                <w:sz w:val="24"/>
              </w:rPr>
              <w:t xml:space="preserve"> </w:t>
            </w:r>
            <w:r>
              <w:rPr>
                <w:b/>
                <w:color w:val="FFFFFF"/>
                <w:spacing w:val="-2"/>
                <w:sz w:val="24"/>
              </w:rPr>
              <w:t xml:space="preserve">the </w:t>
            </w:r>
            <w:r>
              <w:rPr>
                <w:b/>
                <w:color w:val="FFFFFF"/>
                <w:spacing w:val="-4"/>
                <w:sz w:val="24"/>
              </w:rPr>
              <w:t>reclassification</w:t>
            </w:r>
          </w:p>
        </w:tc>
      </w:tr>
      <w:tr w:rsidR="00345EE3" w14:paraId="418E2DFF" w14:textId="77777777" w:rsidTr="00D73130">
        <w:trPr>
          <w:trHeight w:val="956"/>
        </w:trPr>
        <w:tc>
          <w:tcPr>
            <w:tcW w:w="1247" w:type="dxa"/>
            <w:tcBorders>
              <w:top w:val="nil"/>
              <w:left w:val="nil"/>
            </w:tcBorders>
          </w:tcPr>
          <w:p w14:paraId="23D1ABD0" w14:textId="77777777" w:rsidR="00345EE3" w:rsidRDefault="00345EE3" w:rsidP="00D73130">
            <w:pPr>
              <w:pStyle w:val="TableParagraph"/>
              <w:spacing w:before="63" w:line="242" w:lineRule="auto"/>
              <w:ind w:left="-4" w:right="-15"/>
              <w:jc w:val="left"/>
              <w:rPr>
                <w:b/>
                <w:sz w:val="24"/>
              </w:rPr>
            </w:pPr>
            <w:r>
              <w:rPr>
                <w:b/>
                <w:color w:val="231F20"/>
                <w:spacing w:val="-2"/>
                <w:sz w:val="24"/>
              </w:rPr>
              <w:t xml:space="preserve">Foreign Currency </w:t>
            </w:r>
            <w:r>
              <w:rPr>
                <w:b/>
                <w:color w:val="231F20"/>
                <w:spacing w:val="-4"/>
                <w:sz w:val="24"/>
              </w:rPr>
              <w:t>Risk</w:t>
            </w:r>
          </w:p>
        </w:tc>
        <w:tc>
          <w:tcPr>
            <w:tcW w:w="567" w:type="dxa"/>
            <w:tcBorders>
              <w:top w:val="nil"/>
            </w:tcBorders>
          </w:tcPr>
          <w:p w14:paraId="3DB9024F" w14:textId="77777777" w:rsidR="00345EE3" w:rsidRDefault="00345EE3" w:rsidP="00D73130">
            <w:pPr>
              <w:pStyle w:val="TableParagraph"/>
              <w:spacing w:before="0"/>
              <w:jc w:val="left"/>
              <w:rPr>
                <w:rFonts w:ascii="Times New Roman"/>
              </w:rPr>
            </w:pPr>
          </w:p>
        </w:tc>
        <w:tc>
          <w:tcPr>
            <w:tcW w:w="964" w:type="dxa"/>
            <w:tcBorders>
              <w:top w:val="nil"/>
            </w:tcBorders>
          </w:tcPr>
          <w:p w14:paraId="7D9A6FEE" w14:textId="77777777" w:rsidR="00345EE3" w:rsidRDefault="00345EE3" w:rsidP="00D73130">
            <w:pPr>
              <w:pStyle w:val="TableParagraph"/>
              <w:spacing w:before="0"/>
              <w:jc w:val="left"/>
              <w:rPr>
                <w:rFonts w:ascii="Times New Roman"/>
              </w:rPr>
            </w:pPr>
          </w:p>
        </w:tc>
        <w:tc>
          <w:tcPr>
            <w:tcW w:w="1134" w:type="dxa"/>
            <w:tcBorders>
              <w:top w:val="nil"/>
            </w:tcBorders>
          </w:tcPr>
          <w:p w14:paraId="28C4F87F" w14:textId="77777777" w:rsidR="00345EE3" w:rsidRDefault="00345EE3" w:rsidP="00D73130">
            <w:pPr>
              <w:pStyle w:val="TableParagraph"/>
              <w:spacing w:before="0"/>
              <w:jc w:val="left"/>
              <w:rPr>
                <w:rFonts w:ascii="Times New Roman"/>
              </w:rPr>
            </w:pPr>
          </w:p>
        </w:tc>
        <w:tc>
          <w:tcPr>
            <w:tcW w:w="1474" w:type="dxa"/>
            <w:tcBorders>
              <w:top w:val="nil"/>
            </w:tcBorders>
          </w:tcPr>
          <w:p w14:paraId="277DDD81" w14:textId="77777777" w:rsidR="00345EE3" w:rsidRDefault="00345EE3" w:rsidP="00D73130">
            <w:pPr>
              <w:pStyle w:val="TableParagraph"/>
              <w:spacing w:before="0"/>
              <w:jc w:val="left"/>
              <w:rPr>
                <w:rFonts w:ascii="Times New Roman"/>
              </w:rPr>
            </w:pPr>
          </w:p>
        </w:tc>
        <w:tc>
          <w:tcPr>
            <w:tcW w:w="1474" w:type="dxa"/>
            <w:tcBorders>
              <w:top w:val="nil"/>
            </w:tcBorders>
          </w:tcPr>
          <w:p w14:paraId="22A76EA3" w14:textId="77777777" w:rsidR="00345EE3" w:rsidRDefault="00345EE3" w:rsidP="00D73130">
            <w:pPr>
              <w:pStyle w:val="TableParagraph"/>
              <w:spacing w:before="0"/>
              <w:jc w:val="left"/>
              <w:rPr>
                <w:rFonts w:ascii="Times New Roman"/>
              </w:rPr>
            </w:pPr>
          </w:p>
        </w:tc>
        <w:tc>
          <w:tcPr>
            <w:tcW w:w="1928" w:type="dxa"/>
            <w:tcBorders>
              <w:top w:val="nil"/>
            </w:tcBorders>
          </w:tcPr>
          <w:p w14:paraId="0C4C35B7" w14:textId="77777777" w:rsidR="00345EE3" w:rsidRDefault="00345EE3" w:rsidP="00D73130">
            <w:pPr>
              <w:pStyle w:val="TableParagraph"/>
              <w:spacing w:before="0"/>
              <w:jc w:val="left"/>
              <w:rPr>
                <w:rFonts w:ascii="Times New Roman"/>
              </w:rPr>
            </w:pPr>
          </w:p>
        </w:tc>
        <w:tc>
          <w:tcPr>
            <w:tcW w:w="1871" w:type="dxa"/>
            <w:tcBorders>
              <w:top w:val="nil"/>
            </w:tcBorders>
          </w:tcPr>
          <w:p w14:paraId="62B5606E" w14:textId="77777777" w:rsidR="00345EE3" w:rsidRDefault="00345EE3" w:rsidP="00D73130">
            <w:pPr>
              <w:pStyle w:val="TableParagraph"/>
              <w:spacing w:before="0"/>
              <w:jc w:val="left"/>
              <w:rPr>
                <w:rFonts w:ascii="Times New Roman"/>
              </w:rPr>
            </w:pPr>
          </w:p>
        </w:tc>
        <w:tc>
          <w:tcPr>
            <w:tcW w:w="1417" w:type="dxa"/>
            <w:tcBorders>
              <w:top w:val="nil"/>
            </w:tcBorders>
          </w:tcPr>
          <w:p w14:paraId="63414994" w14:textId="77777777" w:rsidR="00345EE3" w:rsidRDefault="00345EE3" w:rsidP="00D73130">
            <w:pPr>
              <w:pStyle w:val="TableParagraph"/>
              <w:spacing w:before="0"/>
              <w:jc w:val="left"/>
              <w:rPr>
                <w:rFonts w:ascii="Times New Roman"/>
              </w:rPr>
            </w:pPr>
          </w:p>
        </w:tc>
        <w:tc>
          <w:tcPr>
            <w:tcW w:w="1417" w:type="dxa"/>
            <w:tcBorders>
              <w:top w:val="nil"/>
            </w:tcBorders>
          </w:tcPr>
          <w:p w14:paraId="5AB0A900" w14:textId="77777777" w:rsidR="00345EE3" w:rsidRDefault="00345EE3" w:rsidP="00D73130">
            <w:pPr>
              <w:pStyle w:val="TableParagraph"/>
              <w:spacing w:before="0"/>
              <w:jc w:val="left"/>
              <w:rPr>
                <w:rFonts w:ascii="Times New Roman"/>
              </w:rPr>
            </w:pPr>
          </w:p>
        </w:tc>
        <w:tc>
          <w:tcPr>
            <w:tcW w:w="1474" w:type="dxa"/>
            <w:tcBorders>
              <w:top w:val="nil"/>
            </w:tcBorders>
          </w:tcPr>
          <w:p w14:paraId="465056F7" w14:textId="77777777" w:rsidR="00345EE3" w:rsidRDefault="00345EE3" w:rsidP="00D73130">
            <w:pPr>
              <w:pStyle w:val="TableParagraph"/>
              <w:spacing w:before="0"/>
              <w:jc w:val="left"/>
              <w:rPr>
                <w:rFonts w:ascii="Times New Roman"/>
              </w:rPr>
            </w:pPr>
          </w:p>
        </w:tc>
        <w:tc>
          <w:tcPr>
            <w:tcW w:w="1474" w:type="dxa"/>
            <w:tcBorders>
              <w:top w:val="nil"/>
            </w:tcBorders>
          </w:tcPr>
          <w:p w14:paraId="13252623" w14:textId="77777777" w:rsidR="00345EE3" w:rsidRDefault="00345EE3" w:rsidP="00D73130">
            <w:pPr>
              <w:pStyle w:val="TableParagraph"/>
              <w:spacing w:before="0"/>
              <w:jc w:val="left"/>
              <w:rPr>
                <w:rFonts w:ascii="Times New Roman"/>
              </w:rPr>
            </w:pPr>
          </w:p>
        </w:tc>
        <w:tc>
          <w:tcPr>
            <w:tcW w:w="1871" w:type="dxa"/>
            <w:tcBorders>
              <w:top w:val="nil"/>
            </w:tcBorders>
          </w:tcPr>
          <w:p w14:paraId="1334CF7B" w14:textId="77777777" w:rsidR="00345EE3" w:rsidRDefault="00345EE3" w:rsidP="00D73130">
            <w:pPr>
              <w:pStyle w:val="TableParagraph"/>
              <w:spacing w:before="0"/>
              <w:jc w:val="left"/>
              <w:rPr>
                <w:rFonts w:ascii="Times New Roman"/>
              </w:rPr>
            </w:pPr>
          </w:p>
        </w:tc>
        <w:tc>
          <w:tcPr>
            <w:tcW w:w="1871" w:type="dxa"/>
            <w:tcBorders>
              <w:top w:val="nil"/>
            </w:tcBorders>
          </w:tcPr>
          <w:p w14:paraId="6C084F16" w14:textId="77777777" w:rsidR="00345EE3" w:rsidRDefault="00345EE3" w:rsidP="00D73130">
            <w:pPr>
              <w:pStyle w:val="TableParagraph"/>
              <w:spacing w:before="0"/>
              <w:jc w:val="left"/>
              <w:rPr>
                <w:rFonts w:ascii="Times New Roman"/>
              </w:rPr>
            </w:pPr>
          </w:p>
        </w:tc>
        <w:tc>
          <w:tcPr>
            <w:tcW w:w="1871" w:type="dxa"/>
            <w:tcBorders>
              <w:top w:val="nil"/>
              <w:right w:val="nil"/>
            </w:tcBorders>
          </w:tcPr>
          <w:p w14:paraId="15CF020B" w14:textId="77777777" w:rsidR="00345EE3" w:rsidRDefault="00345EE3" w:rsidP="00D73130">
            <w:pPr>
              <w:pStyle w:val="TableParagraph"/>
              <w:spacing w:before="0"/>
              <w:jc w:val="left"/>
              <w:rPr>
                <w:rFonts w:ascii="Times New Roman"/>
              </w:rPr>
            </w:pPr>
          </w:p>
        </w:tc>
      </w:tr>
      <w:tr w:rsidR="00345EE3" w14:paraId="1117F905" w14:textId="77777777" w:rsidTr="00D73130">
        <w:trPr>
          <w:trHeight w:val="956"/>
        </w:trPr>
        <w:tc>
          <w:tcPr>
            <w:tcW w:w="1247" w:type="dxa"/>
            <w:tcBorders>
              <w:left w:val="nil"/>
            </w:tcBorders>
          </w:tcPr>
          <w:p w14:paraId="06876CDA" w14:textId="77777777" w:rsidR="00345EE3" w:rsidRDefault="00345EE3" w:rsidP="00D73130">
            <w:pPr>
              <w:pStyle w:val="TableParagraph"/>
              <w:spacing w:before="63" w:line="242" w:lineRule="auto"/>
              <w:ind w:left="-4" w:right="-15"/>
              <w:jc w:val="left"/>
              <w:rPr>
                <w:sz w:val="24"/>
              </w:rPr>
            </w:pPr>
            <w:r>
              <w:rPr>
                <w:color w:val="231F20"/>
                <w:spacing w:val="-2"/>
                <w:sz w:val="24"/>
              </w:rPr>
              <w:t>Derivative financial instruments</w:t>
            </w:r>
          </w:p>
        </w:tc>
        <w:tc>
          <w:tcPr>
            <w:tcW w:w="567" w:type="dxa"/>
          </w:tcPr>
          <w:p w14:paraId="1467992D" w14:textId="77777777" w:rsidR="00345EE3" w:rsidRDefault="00345EE3" w:rsidP="00D73130">
            <w:pPr>
              <w:pStyle w:val="TableParagraph"/>
              <w:spacing w:before="63"/>
              <w:ind w:right="1"/>
              <w:rPr>
                <w:sz w:val="24"/>
              </w:rPr>
            </w:pPr>
            <w:r>
              <w:rPr>
                <w:color w:val="231F20"/>
                <w:spacing w:val="-5"/>
                <w:sz w:val="24"/>
              </w:rPr>
              <w:t>6.1</w:t>
            </w:r>
          </w:p>
        </w:tc>
        <w:tc>
          <w:tcPr>
            <w:tcW w:w="964" w:type="dxa"/>
            <w:shd w:val="clear" w:color="auto" w:fill="E6E7E8"/>
          </w:tcPr>
          <w:p w14:paraId="656C0CBE" w14:textId="77777777" w:rsidR="00345EE3" w:rsidRDefault="00345EE3" w:rsidP="00D73130">
            <w:pPr>
              <w:pStyle w:val="TableParagraph"/>
              <w:spacing w:before="63"/>
              <w:ind w:right="1"/>
              <w:rPr>
                <w:sz w:val="24"/>
              </w:rPr>
            </w:pPr>
            <w:r>
              <w:rPr>
                <w:color w:val="231F20"/>
                <w:spacing w:val="-5"/>
                <w:sz w:val="24"/>
              </w:rPr>
              <w:t>862</w:t>
            </w:r>
          </w:p>
        </w:tc>
        <w:tc>
          <w:tcPr>
            <w:tcW w:w="1134" w:type="dxa"/>
            <w:shd w:val="clear" w:color="auto" w:fill="E6E7E8"/>
          </w:tcPr>
          <w:p w14:paraId="7D31B41B" w14:textId="77777777" w:rsidR="00345EE3" w:rsidRDefault="00345EE3" w:rsidP="00D73130">
            <w:pPr>
              <w:pStyle w:val="TableParagraph"/>
              <w:spacing w:before="63"/>
              <w:ind w:right="1"/>
              <w:rPr>
                <w:sz w:val="24"/>
              </w:rPr>
            </w:pPr>
            <w:r>
              <w:rPr>
                <w:color w:val="231F20"/>
                <w:sz w:val="24"/>
              </w:rPr>
              <w:t>-</w:t>
            </w:r>
          </w:p>
        </w:tc>
        <w:tc>
          <w:tcPr>
            <w:tcW w:w="1474" w:type="dxa"/>
            <w:shd w:val="clear" w:color="auto" w:fill="E6E7E8"/>
          </w:tcPr>
          <w:p w14:paraId="76D75CE7" w14:textId="77777777" w:rsidR="00345EE3" w:rsidRDefault="00345EE3" w:rsidP="00D73130">
            <w:pPr>
              <w:pStyle w:val="TableParagraph"/>
              <w:spacing w:before="63"/>
              <w:ind w:right="1"/>
              <w:rPr>
                <w:sz w:val="24"/>
              </w:rPr>
            </w:pPr>
            <w:r>
              <w:rPr>
                <w:color w:val="231F20"/>
                <w:spacing w:val="-2"/>
                <w:sz w:val="24"/>
              </w:rPr>
              <w:t>Receivables</w:t>
            </w:r>
          </w:p>
        </w:tc>
        <w:tc>
          <w:tcPr>
            <w:tcW w:w="1474" w:type="dxa"/>
            <w:shd w:val="clear" w:color="auto" w:fill="E6E7E8"/>
          </w:tcPr>
          <w:p w14:paraId="3F13F5BD" w14:textId="77777777" w:rsidR="00345EE3" w:rsidRDefault="00345EE3" w:rsidP="00D73130">
            <w:pPr>
              <w:pStyle w:val="TableParagraph"/>
              <w:spacing w:before="63"/>
              <w:ind w:right="1"/>
              <w:rPr>
                <w:sz w:val="24"/>
              </w:rPr>
            </w:pPr>
            <w:r>
              <w:rPr>
                <w:color w:val="231F20"/>
                <w:spacing w:val="-5"/>
                <w:sz w:val="24"/>
              </w:rPr>
              <w:t>558</w:t>
            </w:r>
          </w:p>
        </w:tc>
        <w:tc>
          <w:tcPr>
            <w:tcW w:w="1928" w:type="dxa"/>
            <w:shd w:val="clear" w:color="auto" w:fill="E6E7E8"/>
          </w:tcPr>
          <w:p w14:paraId="7BC73C2F" w14:textId="77777777" w:rsidR="00345EE3" w:rsidRDefault="00345EE3" w:rsidP="00D73130">
            <w:pPr>
              <w:pStyle w:val="TableParagraph"/>
              <w:spacing w:before="63"/>
              <w:ind w:right="1"/>
              <w:rPr>
                <w:sz w:val="24"/>
              </w:rPr>
            </w:pPr>
            <w:r>
              <w:rPr>
                <w:color w:val="231F20"/>
                <w:sz w:val="24"/>
              </w:rPr>
              <w:t>-</w:t>
            </w:r>
          </w:p>
        </w:tc>
        <w:tc>
          <w:tcPr>
            <w:tcW w:w="1871" w:type="dxa"/>
            <w:shd w:val="clear" w:color="auto" w:fill="E6E7E8"/>
          </w:tcPr>
          <w:p w14:paraId="255CBFD3" w14:textId="77777777" w:rsidR="00345EE3" w:rsidRDefault="00345EE3" w:rsidP="00D73130">
            <w:pPr>
              <w:pStyle w:val="TableParagraph"/>
              <w:spacing w:before="63" w:line="242" w:lineRule="auto"/>
              <w:ind w:left="853" w:right="-1" w:hanging="24"/>
              <w:jc w:val="left"/>
              <w:rPr>
                <w:sz w:val="24"/>
              </w:rPr>
            </w:pPr>
            <w:r>
              <w:rPr>
                <w:color w:val="231F20"/>
                <w:spacing w:val="-4"/>
                <w:sz w:val="24"/>
              </w:rPr>
              <w:t xml:space="preserve">Operating </w:t>
            </w:r>
            <w:r>
              <w:rPr>
                <w:color w:val="231F20"/>
                <w:spacing w:val="-5"/>
                <w:sz w:val="24"/>
              </w:rPr>
              <w:t>expenses</w:t>
            </w:r>
          </w:p>
        </w:tc>
        <w:tc>
          <w:tcPr>
            <w:tcW w:w="1417" w:type="dxa"/>
            <w:shd w:val="clear" w:color="auto" w:fill="E6E7E8"/>
          </w:tcPr>
          <w:p w14:paraId="7237D917" w14:textId="77777777" w:rsidR="00345EE3" w:rsidRDefault="00345EE3" w:rsidP="00D73130">
            <w:pPr>
              <w:pStyle w:val="TableParagraph"/>
              <w:spacing w:before="63"/>
              <w:ind w:right="1"/>
              <w:rPr>
                <w:sz w:val="24"/>
              </w:rPr>
            </w:pPr>
            <w:r>
              <w:rPr>
                <w:color w:val="231F20"/>
                <w:spacing w:val="-5"/>
                <w:sz w:val="24"/>
              </w:rPr>
              <w:t>868</w:t>
            </w:r>
          </w:p>
        </w:tc>
        <w:tc>
          <w:tcPr>
            <w:tcW w:w="1417" w:type="dxa"/>
            <w:shd w:val="clear" w:color="auto" w:fill="E6E7E8"/>
          </w:tcPr>
          <w:p w14:paraId="63904695" w14:textId="77777777" w:rsidR="00345EE3" w:rsidRDefault="00345EE3" w:rsidP="00D73130">
            <w:pPr>
              <w:pStyle w:val="TableParagraph"/>
              <w:spacing w:before="63"/>
              <w:rPr>
                <w:sz w:val="24"/>
              </w:rPr>
            </w:pPr>
            <w:r>
              <w:rPr>
                <w:color w:val="231F20"/>
                <w:sz w:val="24"/>
              </w:rPr>
              <w:t>-</w:t>
            </w:r>
          </w:p>
        </w:tc>
        <w:tc>
          <w:tcPr>
            <w:tcW w:w="1474" w:type="dxa"/>
            <w:shd w:val="clear" w:color="auto" w:fill="E6E7E8"/>
          </w:tcPr>
          <w:p w14:paraId="30F0AC74" w14:textId="77777777" w:rsidR="00345EE3" w:rsidRDefault="00345EE3" w:rsidP="00D73130">
            <w:pPr>
              <w:pStyle w:val="TableParagraph"/>
              <w:spacing w:before="63" w:line="242" w:lineRule="auto"/>
              <w:ind w:left="409" w:right="-6" w:firstLine="690"/>
              <w:jc w:val="left"/>
              <w:rPr>
                <w:sz w:val="24"/>
              </w:rPr>
            </w:pPr>
            <w:r>
              <w:rPr>
                <w:color w:val="231F20"/>
                <w:spacing w:val="-6"/>
                <w:sz w:val="24"/>
              </w:rPr>
              <w:t xml:space="preserve">Not </w:t>
            </w:r>
            <w:r>
              <w:rPr>
                <w:color w:val="231F20"/>
                <w:spacing w:val="-5"/>
                <w:sz w:val="24"/>
              </w:rPr>
              <w:t>applicable</w:t>
            </w:r>
          </w:p>
        </w:tc>
        <w:tc>
          <w:tcPr>
            <w:tcW w:w="1474" w:type="dxa"/>
            <w:shd w:val="clear" w:color="auto" w:fill="E6E7E8"/>
          </w:tcPr>
          <w:p w14:paraId="1C14AE51" w14:textId="77777777" w:rsidR="00345EE3" w:rsidRDefault="00345EE3" w:rsidP="00D73130">
            <w:pPr>
              <w:pStyle w:val="TableParagraph"/>
              <w:spacing w:before="63" w:line="242" w:lineRule="auto"/>
              <w:ind w:left="409" w:right="-6" w:firstLine="690"/>
              <w:jc w:val="left"/>
              <w:rPr>
                <w:sz w:val="24"/>
              </w:rPr>
            </w:pPr>
            <w:r>
              <w:rPr>
                <w:color w:val="231F20"/>
                <w:spacing w:val="-6"/>
                <w:sz w:val="24"/>
              </w:rPr>
              <w:t xml:space="preserve">Not </w:t>
            </w:r>
            <w:r>
              <w:rPr>
                <w:color w:val="231F20"/>
                <w:spacing w:val="-5"/>
                <w:sz w:val="24"/>
              </w:rPr>
              <w:t>applicable</w:t>
            </w:r>
          </w:p>
        </w:tc>
        <w:tc>
          <w:tcPr>
            <w:tcW w:w="1871" w:type="dxa"/>
            <w:shd w:val="clear" w:color="auto" w:fill="E6E7E8"/>
          </w:tcPr>
          <w:p w14:paraId="60701A89" w14:textId="77777777" w:rsidR="00345EE3" w:rsidRDefault="00345EE3" w:rsidP="00D73130">
            <w:pPr>
              <w:pStyle w:val="TableParagraph"/>
              <w:spacing w:before="63"/>
              <w:rPr>
                <w:sz w:val="24"/>
              </w:rPr>
            </w:pPr>
            <w:r>
              <w:rPr>
                <w:color w:val="231F20"/>
                <w:sz w:val="24"/>
              </w:rPr>
              <w:t>-</w:t>
            </w:r>
          </w:p>
        </w:tc>
        <w:tc>
          <w:tcPr>
            <w:tcW w:w="1871" w:type="dxa"/>
            <w:shd w:val="clear" w:color="auto" w:fill="E6E7E8"/>
          </w:tcPr>
          <w:p w14:paraId="47B6F40D" w14:textId="77777777" w:rsidR="00345EE3" w:rsidRDefault="00345EE3" w:rsidP="00D73130">
            <w:pPr>
              <w:pStyle w:val="TableParagraph"/>
              <w:spacing w:before="63"/>
              <w:rPr>
                <w:sz w:val="24"/>
              </w:rPr>
            </w:pPr>
            <w:r>
              <w:rPr>
                <w:color w:val="231F20"/>
                <w:sz w:val="24"/>
              </w:rPr>
              <w:t>-</w:t>
            </w:r>
          </w:p>
        </w:tc>
        <w:tc>
          <w:tcPr>
            <w:tcW w:w="1871" w:type="dxa"/>
            <w:tcBorders>
              <w:right w:val="nil"/>
            </w:tcBorders>
            <w:shd w:val="clear" w:color="auto" w:fill="E6E7E8"/>
          </w:tcPr>
          <w:p w14:paraId="50BD8158" w14:textId="77777777" w:rsidR="00345EE3" w:rsidRDefault="00345EE3" w:rsidP="00D73130">
            <w:pPr>
              <w:pStyle w:val="TableParagraph"/>
              <w:spacing w:before="63" w:line="242" w:lineRule="auto"/>
              <w:ind w:left="856" w:right="-20" w:hanging="24"/>
              <w:jc w:val="left"/>
              <w:rPr>
                <w:sz w:val="24"/>
              </w:rPr>
            </w:pPr>
            <w:r>
              <w:rPr>
                <w:color w:val="231F20"/>
                <w:spacing w:val="-2"/>
                <w:sz w:val="24"/>
              </w:rPr>
              <w:t>Operating expenses</w:t>
            </w:r>
          </w:p>
        </w:tc>
      </w:tr>
      <w:tr w:rsidR="00345EE3" w14:paraId="63589E6D" w14:textId="77777777" w:rsidTr="00D73130">
        <w:trPr>
          <w:trHeight w:val="673"/>
        </w:trPr>
        <w:tc>
          <w:tcPr>
            <w:tcW w:w="1247" w:type="dxa"/>
            <w:tcBorders>
              <w:left w:val="nil"/>
              <w:bottom w:val="single" w:sz="4" w:space="0" w:color="231F20"/>
            </w:tcBorders>
          </w:tcPr>
          <w:p w14:paraId="5FB8E571" w14:textId="77777777" w:rsidR="00345EE3" w:rsidRDefault="00345EE3" w:rsidP="00D73130">
            <w:pPr>
              <w:pStyle w:val="TableParagraph"/>
              <w:spacing w:before="0"/>
              <w:jc w:val="left"/>
              <w:rPr>
                <w:rFonts w:ascii="Times New Roman"/>
              </w:rPr>
            </w:pPr>
          </w:p>
        </w:tc>
        <w:tc>
          <w:tcPr>
            <w:tcW w:w="567" w:type="dxa"/>
            <w:tcBorders>
              <w:bottom w:val="single" w:sz="4" w:space="0" w:color="231F20"/>
            </w:tcBorders>
          </w:tcPr>
          <w:p w14:paraId="53471BD5" w14:textId="77777777" w:rsidR="00345EE3" w:rsidRDefault="00345EE3" w:rsidP="00D73130">
            <w:pPr>
              <w:pStyle w:val="TableParagraph"/>
              <w:spacing w:before="64"/>
              <w:rPr>
                <w:sz w:val="24"/>
              </w:rPr>
            </w:pPr>
            <w:r>
              <w:rPr>
                <w:color w:val="231F20"/>
                <w:spacing w:val="-5"/>
                <w:sz w:val="24"/>
              </w:rPr>
              <w:t>6.3</w:t>
            </w:r>
          </w:p>
        </w:tc>
        <w:tc>
          <w:tcPr>
            <w:tcW w:w="964" w:type="dxa"/>
            <w:tcBorders>
              <w:bottom w:val="single" w:sz="4" w:space="0" w:color="231F20"/>
            </w:tcBorders>
            <w:shd w:val="clear" w:color="auto" w:fill="E6E7E8"/>
          </w:tcPr>
          <w:p w14:paraId="6A0396EA" w14:textId="77777777" w:rsidR="00345EE3" w:rsidRDefault="00345EE3" w:rsidP="00D73130">
            <w:pPr>
              <w:pStyle w:val="TableParagraph"/>
              <w:spacing w:before="64"/>
              <w:rPr>
                <w:sz w:val="24"/>
              </w:rPr>
            </w:pPr>
            <w:r>
              <w:rPr>
                <w:color w:val="231F20"/>
                <w:sz w:val="24"/>
              </w:rPr>
              <w:t>-</w:t>
            </w:r>
          </w:p>
        </w:tc>
        <w:tc>
          <w:tcPr>
            <w:tcW w:w="1134" w:type="dxa"/>
            <w:tcBorders>
              <w:bottom w:val="single" w:sz="4" w:space="0" w:color="231F20"/>
            </w:tcBorders>
            <w:shd w:val="clear" w:color="auto" w:fill="E6E7E8"/>
          </w:tcPr>
          <w:p w14:paraId="26C1755D" w14:textId="77777777" w:rsidR="00345EE3" w:rsidRDefault="00345EE3" w:rsidP="00D73130">
            <w:pPr>
              <w:pStyle w:val="TableParagraph"/>
              <w:spacing w:before="64"/>
              <w:ind w:right="2"/>
              <w:rPr>
                <w:sz w:val="24"/>
              </w:rPr>
            </w:pPr>
            <w:r>
              <w:rPr>
                <w:color w:val="231F20"/>
                <w:spacing w:val="-2"/>
                <w:sz w:val="24"/>
              </w:rPr>
              <w:t>(4,274)</w:t>
            </w:r>
          </w:p>
        </w:tc>
        <w:tc>
          <w:tcPr>
            <w:tcW w:w="1474" w:type="dxa"/>
            <w:tcBorders>
              <w:bottom w:val="single" w:sz="4" w:space="0" w:color="231F20"/>
            </w:tcBorders>
            <w:shd w:val="clear" w:color="auto" w:fill="E6E7E8"/>
          </w:tcPr>
          <w:p w14:paraId="66C028E8" w14:textId="77777777" w:rsidR="00345EE3" w:rsidRDefault="00345EE3" w:rsidP="00D73130">
            <w:pPr>
              <w:pStyle w:val="TableParagraph"/>
              <w:spacing w:before="64"/>
              <w:rPr>
                <w:sz w:val="24"/>
              </w:rPr>
            </w:pPr>
            <w:r>
              <w:rPr>
                <w:color w:val="231F20"/>
                <w:spacing w:val="-2"/>
                <w:sz w:val="24"/>
              </w:rPr>
              <w:t>Payables</w:t>
            </w:r>
          </w:p>
        </w:tc>
        <w:tc>
          <w:tcPr>
            <w:tcW w:w="1474" w:type="dxa"/>
            <w:tcBorders>
              <w:bottom w:val="single" w:sz="4" w:space="0" w:color="231F20"/>
            </w:tcBorders>
            <w:shd w:val="clear" w:color="auto" w:fill="E6E7E8"/>
          </w:tcPr>
          <w:p w14:paraId="74EE27FE" w14:textId="77777777" w:rsidR="00345EE3" w:rsidRDefault="00345EE3" w:rsidP="00D73130">
            <w:pPr>
              <w:pStyle w:val="TableParagraph"/>
              <w:spacing w:before="64"/>
              <w:ind w:right="1"/>
              <w:rPr>
                <w:sz w:val="24"/>
              </w:rPr>
            </w:pPr>
            <w:r>
              <w:rPr>
                <w:color w:val="231F20"/>
                <w:spacing w:val="-2"/>
                <w:sz w:val="24"/>
              </w:rPr>
              <w:t>9,470</w:t>
            </w:r>
          </w:p>
        </w:tc>
        <w:tc>
          <w:tcPr>
            <w:tcW w:w="1928" w:type="dxa"/>
            <w:tcBorders>
              <w:bottom w:val="single" w:sz="4" w:space="0" w:color="231F20"/>
            </w:tcBorders>
            <w:shd w:val="clear" w:color="auto" w:fill="E6E7E8"/>
          </w:tcPr>
          <w:p w14:paraId="6F8121B3" w14:textId="77777777" w:rsidR="00345EE3" w:rsidRDefault="00345EE3" w:rsidP="00D73130">
            <w:pPr>
              <w:pStyle w:val="TableParagraph"/>
              <w:spacing w:before="64"/>
              <w:rPr>
                <w:sz w:val="24"/>
              </w:rPr>
            </w:pPr>
            <w:r>
              <w:rPr>
                <w:color w:val="231F20"/>
                <w:sz w:val="24"/>
              </w:rPr>
              <w:t>-</w:t>
            </w:r>
          </w:p>
        </w:tc>
        <w:tc>
          <w:tcPr>
            <w:tcW w:w="1871" w:type="dxa"/>
            <w:tcBorders>
              <w:bottom w:val="single" w:sz="4" w:space="0" w:color="231F20"/>
            </w:tcBorders>
            <w:shd w:val="clear" w:color="auto" w:fill="E6E7E8"/>
          </w:tcPr>
          <w:p w14:paraId="47F6B58E" w14:textId="77777777" w:rsidR="00345EE3" w:rsidRDefault="00345EE3" w:rsidP="00D73130">
            <w:pPr>
              <w:pStyle w:val="TableParagraph"/>
              <w:spacing w:before="64" w:line="242" w:lineRule="auto"/>
              <w:ind w:left="854" w:right="-2" w:hanging="24"/>
              <w:jc w:val="left"/>
              <w:rPr>
                <w:sz w:val="24"/>
              </w:rPr>
            </w:pPr>
            <w:r>
              <w:rPr>
                <w:color w:val="231F20"/>
                <w:spacing w:val="-4"/>
                <w:sz w:val="24"/>
              </w:rPr>
              <w:t xml:space="preserve">Operating </w:t>
            </w:r>
            <w:r>
              <w:rPr>
                <w:color w:val="231F20"/>
                <w:spacing w:val="-5"/>
                <w:sz w:val="24"/>
              </w:rPr>
              <w:t>expenses</w:t>
            </w:r>
          </w:p>
        </w:tc>
        <w:tc>
          <w:tcPr>
            <w:tcW w:w="1417" w:type="dxa"/>
            <w:tcBorders>
              <w:bottom w:val="single" w:sz="4" w:space="0" w:color="231F20"/>
            </w:tcBorders>
            <w:shd w:val="clear" w:color="auto" w:fill="E6E7E8"/>
          </w:tcPr>
          <w:p w14:paraId="5E9FE738" w14:textId="77777777" w:rsidR="00345EE3" w:rsidRDefault="00345EE3" w:rsidP="00D73130">
            <w:pPr>
              <w:pStyle w:val="TableParagraph"/>
              <w:spacing w:before="64"/>
              <w:ind w:right="1"/>
              <w:rPr>
                <w:sz w:val="24"/>
              </w:rPr>
            </w:pPr>
            <w:r>
              <w:rPr>
                <w:color w:val="231F20"/>
                <w:spacing w:val="-5"/>
                <w:sz w:val="24"/>
              </w:rPr>
              <w:t>134</w:t>
            </w:r>
          </w:p>
        </w:tc>
        <w:tc>
          <w:tcPr>
            <w:tcW w:w="1417" w:type="dxa"/>
            <w:tcBorders>
              <w:bottom w:val="single" w:sz="4" w:space="0" w:color="231F20"/>
            </w:tcBorders>
            <w:shd w:val="clear" w:color="auto" w:fill="E6E7E8"/>
          </w:tcPr>
          <w:p w14:paraId="377638FE" w14:textId="77777777" w:rsidR="00345EE3" w:rsidRDefault="00345EE3" w:rsidP="00D73130">
            <w:pPr>
              <w:pStyle w:val="TableParagraph"/>
              <w:spacing w:before="64"/>
              <w:rPr>
                <w:sz w:val="24"/>
              </w:rPr>
            </w:pPr>
            <w:r>
              <w:rPr>
                <w:color w:val="231F20"/>
                <w:spacing w:val="-2"/>
                <w:sz w:val="24"/>
              </w:rPr>
              <w:t>4,141</w:t>
            </w:r>
          </w:p>
        </w:tc>
        <w:tc>
          <w:tcPr>
            <w:tcW w:w="1474" w:type="dxa"/>
            <w:tcBorders>
              <w:bottom w:val="single" w:sz="4" w:space="0" w:color="231F20"/>
            </w:tcBorders>
            <w:shd w:val="clear" w:color="auto" w:fill="E6E7E8"/>
          </w:tcPr>
          <w:p w14:paraId="4D754675" w14:textId="77777777" w:rsidR="00345EE3" w:rsidRDefault="00345EE3" w:rsidP="00D73130">
            <w:pPr>
              <w:pStyle w:val="TableParagraph"/>
              <w:spacing w:before="64" w:line="242" w:lineRule="auto"/>
              <w:ind w:left="409" w:right="-6" w:firstLine="690"/>
              <w:jc w:val="left"/>
              <w:rPr>
                <w:sz w:val="24"/>
              </w:rPr>
            </w:pPr>
            <w:r>
              <w:rPr>
                <w:color w:val="231F20"/>
                <w:spacing w:val="-6"/>
                <w:sz w:val="24"/>
              </w:rPr>
              <w:t xml:space="preserve">Not </w:t>
            </w:r>
            <w:r>
              <w:rPr>
                <w:color w:val="231F20"/>
                <w:spacing w:val="-5"/>
                <w:sz w:val="24"/>
              </w:rPr>
              <w:t>applicable</w:t>
            </w:r>
          </w:p>
        </w:tc>
        <w:tc>
          <w:tcPr>
            <w:tcW w:w="1474" w:type="dxa"/>
            <w:tcBorders>
              <w:bottom w:val="single" w:sz="4" w:space="0" w:color="231F20"/>
            </w:tcBorders>
            <w:shd w:val="clear" w:color="auto" w:fill="E6E7E8"/>
          </w:tcPr>
          <w:p w14:paraId="271CDCB5" w14:textId="77777777" w:rsidR="00345EE3" w:rsidRDefault="00345EE3" w:rsidP="00D73130">
            <w:pPr>
              <w:pStyle w:val="TableParagraph"/>
              <w:spacing w:before="64" w:line="242" w:lineRule="auto"/>
              <w:ind w:left="409" w:right="-6" w:firstLine="690"/>
              <w:jc w:val="left"/>
              <w:rPr>
                <w:sz w:val="24"/>
              </w:rPr>
            </w:pPr>
            <w:r>
              <w:rPr>
                <w:color w:val="231F20"/>
                <w:spacing w:val="-6"/>
                <w:sz w:val="24"/>
              </w:rPr>
              <w:t xml:space="preserve">Not </w:t>
            </w:r>
            <w:r>
              <w:rPr>
                <w:color w:val="231F20"/>
                <w:spacing w:val="-5"/>
                <w:sz w:val="24"/>
              </w:rPr>
              <w:t>applicable</w:t>
            </w:r>
          </w:p>
        </w:tc>
        <w:tc>
          <w:tcPr>
            <w:tcW w:w="1871" w:type="dxa"/>
            <w:tcBorders>
              <w:bottom w:val="single" w:sz="4" w:space="0" w:color="231F20"/>
            </w:tcBorders>
            <w:shd w:val="clear" w:color="auto" w:fill="E6E7E8"/>
          </w:tcPr>
          <w:p w14:paraId="194BDC4E" w14:textId="77777777" w:rsidR="00345EE3" w:rsidRDefault="00345EE3" w:rsidP="00D73130">
            <w:pPr>
              <w:pStyle w:val="TableParagraph"/>
              <w:spacing w:before="64"/>
              <w:rPr>
                <w:sz w:val="24"/>
              </w:rPr>
            </w:pPr>
            <w:r>
              <w:rPr>
                <w:color w:val="231F20"/>
                <w:spacing w:val="-2"/>
                <w:sz w:val="24"/>
              </w:rPr>
              <w:t>(1,119)</w:t>
            </w:r>
          </w:p>
        </w:tc>
        <w:tc>
          <w:tcPr>
            <w:tcW w:w="1871" w:type="dxa"/>
            <w:tcBorders>
              <w:bottom w:val="single" w:sz="4" w:space="0" w:color="231F20"/>
            </w:tcBorders>
            <w:shd w:val="clear" w:color="auto" w:fill="E6E7E8"/>
          </w:tcPr>
          <w:p w14:paraId="0E4F59EE" w14:textId="77777777" w:rsidR="00345EE3" w:rsidRDefault="00345EE3" w:rsidP="00D73130">
            <w:pPr>
              <w:pStyle w:val="TableParagraph"/>
              <w:spacing w:before="64"/>
              <w:rPr>
                <w:sz w:val="24"/>
              </w:rPr>
            </w:pPr>
            <w:r>
              <w:rPr>
                <w:color w:val="231F20"/>
                <w:spacing w:val="-2"/>
                <w:sz w:val="24"/>
              </w:rPr>
              <w:t>(267)</w:t>
            </w:r>
          </w:p>
        </w:tc>
        <w:tc>
          <w:tcPr>
            <w:tcW w:w="1871" w:type="dxa"/>
            <w:tcBorders>
              <w:bottom w:val="single" w:sz="4" w:space="0" w:color="231F20"/>
              <w:right w:val="nil"/>
            </w:tcBorders>
            <w:shd w:val="clear" w:color="auto" w:fill="E6E7E8"/>
          </w:tcPr>
          <w:p w14:paraId="1539BEC7" w14:textId="77777777" w:rsidR="00345EE3" w:rsidRDefault="00345EE3" w:rsidP="00D73130">
            <w:pPr>
              <w:pStyle w:val="TableParagraph"/>
              <w:spacing w:before="64" w:line="242" w:lineRule="auto"/>
              <w:ind w:left="857" w:right="-20" w:hanging="25"/>
              <w:jc w:val="left"/>
              <w:rPr>
                <w:sz w:val="24"/>
              </w:rPr>
            </w:pPr>
            <w:r>
              <w:rPr>
                <w:color w:val="231F20"/>
                <w:spacing w:val="-2"/>
                <w:sz w:val="24"/>
              </w:rPr>
              <w:t>Operating expenses</w:t>
            </w:r>
          </w:p>
        </w:tc>
      </w:tr>
      <w:tr w:rsidR="00345EE3" w14:paraId="16A29847" w14:textId="77777777" w:rsidTr="00D73130">
        <w:trPr>
          <w:trHeight w:val="386"/>
        </w:trPr>
        <w:tc>
          <w:tcPr>
            <w:tcW w:w="1247" w:type="dxa"/>
            <w:tcBorders>
              <w:top w:val="single" w:sz="4" w:space="0" w:color="231F20"/>
              <w:left w:val="nil"/>
              <w:bottom w:val="single" w:sz="8" w:space="0" w:color="231F20"/>
            </w:tcBorders>
          </w:tcPr>
          <w:p w14:paraId="59C29609" w14:textId="77777777" w:rsidR="00345EE3" w:rsidRDefault="00345EE3" w:rsidP="00D73130">
            <w:pPr>
              <w:pStyle w:val="TableParagraph"/>
              <w:spacing w:before="61"/>
              <w:ind w:left="-3"/>
              <w:jc w:val="left"/>
              <w:rPr>
                <w:b/>
                <w:sz w:val="24"/>
              </w:rPr>
            </w:pPr>
            <w:r>
              <w:rPr>
                <w:b/>
                <w:color w:val="231F20"/>
                <w:spacing w:val="-2"/>
                <w:sz w:val="24"/>
              </w:rPr>
              <w:t>Total</w:t>
            </w:r>
          </w:p>
        </w:tc>
        <w:tc>
          <w:tcPr>
            <w:tcW w:w="567" w:type="dxa"/>
            <w:tcBorders>
              <w:top w:val="single" w:sz="4" w:space="0" w:color="231F20"/>
              <w:bottom w:val="single" w:sz="8" w:space="0" w:color="231F20"/>
            </w:tcBorders>
          </w:tcPr>
          <w:p w14:paraId="1902BA54" w14:textId="77777777" w:rsidR="00345EE3" w:rsidRDefault="00345EE3" w:rsidP="00D73130">
            <w:pPr>
              <w:pStyle w:val="TableParagraph"/>
              <w:spacing w:before="0"/>
              <w:jc w:val="left"/>
              <w:rPr>
                <w:rFonts w:ascii="Times New Roman"/>
              </w:rPr>
            </w:pPr>
          </w:p>
        </w:tc>
        <w:tc>
          <w:tcPr>
            <w:tcW w:w="964" w:type="dxa"/>
            <w:tcBorders>
              <w:top w:val="single" w:sz="4" w:space="0" w:color="231F20"/>
              <w:bottom w:val="single" w:sz="8" w:space="0" w:color="231F20"/>
            </w:tcBorders>
            <w:shd w:val="clear" w:color="auto" w:fill="E6E7E8"/>
          </w:tcPr>
          <w:p w14:paraId="18B2E0F0" w14:textId="77777777" w:rsidR="00345EE3" w:rsidRDefault="00345EE3" w:rsidP="00D73130">
            <w:pPr>
              <w:pStyle w:val="TableParagraph"/>
              <w:spacing w:before="61"/>
              <w:rPr>
                <w:b/>
                <w:sz w:val="24"/>
              </w:rPr>
            </w:pPr>
            <w:r>
              <w:rPr>
                <w:b/>
                <w:color w:val="231F20"/>
                <w:spacing w:val="-5"/>
                <w:sz w:val="24"/>
              </w:rPr>
              <w:t>862</w:t>
            </w:r>
          </w:p>
        </w:tc>
        <w:tc>
          <w:tcPr>
            <w:tcW w:w="1134" w:type="dxa"/>
            <w:tcBorders>
              <w:top w:val="single" w:sz="4" w:space="0" w:color="231F20"/>
              <w:bottom w:val="single" w:sz="8" w:space="0" w:color="231F20"/>
            </w:tcBorders>
            <w:shd w:val="clear" w:color="auto" w:fill="E6E7E8"/>
          </w:tcPr>
          <w:p w14:paraId="216C2869" w14:textId="77777777" w:rsidR="00345EE3" w:rsidRDefault="00345EE3" w:rsidP="00D73130">
            <w:pPr>
              <w:pStyle w:val="TableParagraph"/>
              <w:spacing w:before="61"/>
              <w:rPr>
                <w:b/>
                <w:sz w:val="24"/>
              </w:rPr>
            </w:pPr>
            <w:r>
              <w:rPr>
                <w:b/>
                <w:color w:val="231F20"/>
                <w:spacing w:val="-2"/>
                <w:sz w:val="24"/>
              </w:rPr>
              <w:t>(4,274)</w:t>
            </w:r>
          </w:p>
        </w:tc>
        <w:tc>
          <w:tcPr>
            <w:tcW w:w="1474" w:type="dxa"/>
            <w:tcBorders>
              <w:top w:val="single" w:sz="4" w:space="0" w:color="231F20"/>
              <w:bottom w:val="single" w:sz="8" w:space="0" w:color="231F20"/>
            </w:tcBorders>
            <w:shd w:val="clear" w:color="auto" w:fill="E6E7E8"/>
          </w:tcPr>
          <w:p w14:paraId="4D571A16" w14:textId="77777777" w:rsidR="00345EE3" w:rsidRDefault="00345EE3" w:rsidP="00D73130">
            <w:pPr>
              <w:pStyle w:val="TableParagraph"/>
              <w:spacing w:before="0"/>
              <w:jc w:val="left"/>
              <w:rPr>
                <w:rFonts w:ascii="Times New Roman"/>
              </w:rPr>
            </w:pPr>
          </w:p>
        </w:tc>
        <w:tc>
          <w:tcPr>
            <w:tcW w:w="1474" w:type="dxa"/>
            <w:tcBorders>
              <w:top w:val="single" w:sz="4" w:space="0" w:color="231F20"/>
              <w:bottom w:val="single" w:sz="8" w:space="0" w:color="231F20"/>
            </w:tcBorders>
            <w:shd w:val="clear" w:color="auto" w:fill="E6E7E8"/>
          </w:tcPr>
          <w:p w14:paraId="2190A4F2" w14:textId="77777777" w:rsidR="00345EE3" w:rsidRDefault="00345EE3" w:rsidP="00D73130">
            <w:pPr>
              <w:pStyle w:val="TableParagraph"/>
              <w:spacing w:before="61"/>
              <w:rPr>
                <w:b/>
                <w:sz w:val="24"/>
              </w:rPr>
            </w:pPr>
            <w:r>
              <w:rPr>
                <w:b/>
                <w:color w:val="231F20"/>
                <w:spacing w:val="-2"/>
                <w:sz w:val="24"/>
              </w:rPr>
              <w:t>10,028</w:t>
            </w:r>
          </w:p>
        </w:tc>
        <w:tc>
          <w:tcPr>
            <w:tcW w:w="1928" w:type="dxa"/>
            <w:tcBorders>
              <w:top w:val="single" w:sz="4" w:space="0" w:color="231F20"/>
              <w:bottom w:val="single" w:sz="8" w:space="0" w:color="231F20"/>
            </w:tcBorders>
            <w:shd w:val="clear" w:color="auto" w:fill="E6E7E8"/>
          </w:tcPr>
          <w:p w14:paraId="4514A16B" w14:textId="77777777" w:rsidR="00345EE3" w:rsidRDefault="00345EE3" w:rsidP="00D73130">
            <w:pPr>
              <w:pStyle w:val="TableParagraph"/>
              <w:spacing w:before="0"/>
              <w:jc w:val="left"/>
              <w:rPr>
                <w:rFonts w:ascii="Times New Roman"/>
              </w:rPr>
            </w:pPr>
          </w:p>
        </w:tc>
        <w:tc>
          <w:tcPr>
            <w:tcW w:w="1871" w:type="dxa"/>
            <w:tcBorders>
              <w:top w:val="single" w:sz="4" w:space="0" w:color="231F20"/>
              <w:bottom w:val="single" w:sz="8" w:space="0" w:color="231F20"/>
            </w:tcBorders>
            <w:shd w:val="clear" w:color="auto" w:fill="E6E7E8"/>
          </w:tcPr>
          <w:p w14:paraId="438166FA" w14:textId="77777777" w:rsidR="00345EE3" w:rsidRDefault="00345EE3" w:rsidP="00D73130">
            <w:pPr>
              <w:pStyle w:val="TableParagraph"/>
              <w:spacing w:before="0"/>
              <w:jc w:val="left"/>
              <w:rPr>
                <w:rFonts w:ascii="Times New Roman"/>
              </w:rPr>
            </w:pPr>
          </w:p>
        </w:tc>
        <w:tc>
          <w:tcPr>
            <w:tcW w:w="1417" w:type="dxa"/>
            <w:tcBorders>
              <w:top w:val="single" w:sz="4" w:space="0" w:color="231F20"/>
              <w:bottom w:val="single" w:sz="8" w:space="0" w:color="231F20"/>
            </w:tcBorders>
            <w:shd w:val="clear" w:color="auto" w:fill="E6E7E8"/>
          </w:tcPr>
          <w:p w14:paraId="56586E3E" w14:textId="77777777" w:rsidR="00345EE3" w:rsidRDefault="00345EE3" w:rsidP="00D73130">
            <w:pPr>
              <w:pStyle w:val="TableParagraph"/>
              <w:spacing w:before="61"/>
              <w:rPr>
                <w:b/>
                <w:sz w:val="24"/>
              </w:rPr>
            </w:pPr>
            <w:r>
              <w:rPr>
                <w:b/>
                <w:color w:val="231F20"/>
                <w:spacing w:val="-2"/>
                <w:sz w:val="24"/>
              </w:rPr>
              <w:t>1,002</w:t>
            </w:r>
          </w:p>
        </w:tc>
        <w:tc>
          <w:tcPr>
            <w:tcW w:w="1417" w:type="dxa"/>
            <w:tcBorders>
              <w:top w:val="single" w:sz="4" w:space="0" w:color="231F20"/>
              <w:bottom w:val="single" w:sz="8" w:space="0" w:color="231F20"/>
            </w:tcBorders>
            <w:shd w:val="clear" w:color="auto" w:fill="E6E7E8"/>
          </w:tcPr>
          <w:p w14:paraId="198A302B" w14:textId="77777777" w:rsidR="00345EE3" w:rsidRDefault="00345EE3" w:rsidP="00D73130">
            <w:pPr>
              <w:pStyle w:val="TableParagraph"/>
              <w:spacing w:before="61"/>
              <w:rPr>
                <w:b/>
                <w:sz w:val="24"/>
              </w:rPr>
            </w:pPr>
            <w:r>
              <w:rPr>
                <w:b/>
                <w:color w:val="231F20"/>
                <w:spacing w:val="-2"/>
                <w:sz w:val="24"/>
              </w:rPr>
              <w:t>4,141</w:t>
            </w:r>
          </w:p>
        </w:tc>
        <w:tc>
          <w:tcPr>
            <w:tcW w:w="1474" w:type="dxa"/>
            <w:tcBorders>
              <w:top w:val="single" w:sz="4" w:space="0" w:color="231F20"/>
              <w:bottom w:val="single" w:sz="8" w:space="0" w:color="231F20"/>
            </w:tcBorders>
            <w:shd w:val="clear" w:color="auto" w:fill="E6E7E8"/>
          </w:tcPr>
          <w:p w14:paraId="6566ADD2" w14:textId="77777777" w:rsidR="00345EE3" w:rsidRDefault="00345EE3" w:rsidP="00D73130">
            <w:pPr>
              <w:pStyle w:val="TableParagraph"/>
              <w:spacing w:before="61"/>
              <w:rPr>
                <w:b/>
                <w:sz w:val="24"/>
              </w:rPr>
            </w:pPr>
            <w:r>
              <w:rPr>
                <w:b/>
                <w:color w:val="231F20"/>
                <w:sz w:val="24"/>
              </w:rPr>
              <w:t>-</w:t>
            </w:r>
          </w:p>
        </w:tc>
        <w:tc>
          <w:tcPr>
            <w:tcW w:w="1474" w:type="dxa"/>
            <w:tcBorders>
              <w:top w:val="single" w:sz="4" w:space="0" w:color="231F20"/>
              <w:bottom w:val="single" w:sz="8" w:space="0" w:color="231F20"/>
            </w:tcBorders>
            <w:shd w:val="clear" w:color="auto" w:fill="E6E7E8"/>
          </w:tcPr>
          <w:p w14:paraId="2F274714" w14:textId="77777777" w:rsidR="00345EE3" w:rsidRDefault="00345EE3" w:rsidP="00D73130">
            <w:pPr>
              <w:pStyle w:val="TableParagraph"/>
              <w:spacing w:before="61"/>
              <w:rPr>
                <w:b/>
                <w:sz w:val="24"/>
              </w:rPr>
            </w:pPr>
            <w:r>
              <w:rPr>
                <w:b/>
                <w:color w:val="231F20"/>
                <w:sz w:val="24"/>
              </w:rPr>
              <w:t>-</w:t>
            </w:r>
          </w:p>
        </w:tc>
        <w:tc>
          <w:tcPr>
            <w:tcW w:w="1871" w:type="dxa"/>
            <w:tcBorders>
              <w:top w:val="single" w:sz="4" w:space="0" w:color="231F20"/>
              <w:bottom w:val="single" w:sz="8" w:space="0" w:color="231F20"/>
            </w:tcBorders>
            <w:shd w:val="clear" w:color="auto" w:fill="E6E7E8"/>
          </w:tcPr>
          <w:p w14:paraId="10DE926D" w14:textId="77777777" w:rsidR="00345EE3" w:rsidRDefault="00345EE3" w:rsidP="00D73130">
            <w:pPr>
              <w:pStyle w:val="TableParagraph"/>
              <w:spacing w:before="61"/>
              <w:rPr>
                <w:b/>
                <w:sz w:val="24"/>
              </w:rPr>
            </w:pPr>
            <w:r>
              <w:rPr>
                <w:b/>
                <w:color w:val="231F20"/>
                <w:spacing w:val="-2"/>
                <w:sz w:val="24"/>
              </w:rPr>
              <w:t>(1,119)</w:t>
            </w:r>
          </w:p>
        </w:tc>
        <w:tc>
          <w:tcPr>
            <w:tcW w:w="1871" w:type="dxa"/>
            <w:tcBorders>
              <w:top w:val="single" w:sz="4" w:space="0" w:color="231F20"/>
              <w:bottom w:val="single" w:sz="8" w:space="0" w:color="231F20"/>
            </w:tcBorders>
            <w:shd w:val="clear" w:color="auto" w:fill="E6E7E8"/>
          </w:tcPr>
          <w:p w14:paraId="45A41000" w14:textId="77777777" w:rsidR="00345EE3" w:rsidRDefault="00345EE3" w:rsidP="00D73130">
            <w:pPr>
              <w:pStyle w:val="TableParagraph"/>
              <w:spacing w:before="61"/>
              <w:rPr>
                <w:b/>
                <w:sz w:val="24"/>
              </w:rPr>
            </w:pPr>
            <w:r>
              <w:rPr>
                <w:b/>
                <w:color w:val="231F20"/>
                <w:spacing w:val="-2"/>
                <w:sz w:val="24"/>
              </w:rPr>
              <w:t>(267)</w:t>
            </w:r>
          </w:p>
        </w:tc>
        <w:tc>
          <w:tcPr>
            <w:tcW w:w="1871" w:type="dxa"/>
            <w:tcBorders>
              <w:top w:val="single" w:sz="4" w:space="0" w:color="231F20"/>
              <w:bottom w:val="single" w:sz="8" w:space="0" w:color="231F20"/>
              <w:right w:val="nil"/>
            </w:tcBorders>
            <w:shd w:val="clear" w:color="auto" w:fill="E6E7E8"/>
          </w:tcPr>
          <w:p w14:paraId="4206B6E0" w14:textId="77777777" w:rsidR="00345EE3" w:rsidRDefault="00345EE3" w:rsidP="00D73130">
            <w:pPr>
              <w:pStyle w:val="TableParagraph"/>
              <w:spacing w:before="0"/>
              <w:jc w:val="left"/>
              <w:rPr>
                <w:rFonts w:ascii="Times New Roman"/>
              </w:rPr>
            </w:pPr>
          </w:p>
        </w:tc>
      </w:tr>
      <w:tr w:rsidR="00345EE3" w14:paraId="05CCDA96" w14:textId="77777777" w:rsidTr="00D73130">
        <w:trPr>
          <w:trHeight w:val="391"/>
        </w:trPr>
        <w:tc>
          <w:tcPr>
            <w:tcW w:w="1247" w:type="dxa"/>
            <w:tcBorders>
              <w:top w:val="single" w:sz="8" w:space="0" w:color="231F20"/>
              <w:left w:val="nil"/>
              <w:bottom w:val="nil"/>
            </w:tcBorders>
          </w:tcPr>
          <w:p w14:paraId="76B89AA8" w14:textId="77777777" w:rsidR="00345EE3" w:rsidRDefault="00345EE3" w:rsidP="00D73130">
            <w:pPr>
              <w:pStyle w:val="TableParagraph"/>
              <w:spacing w:before="0"/>
              <w:jc w:val="left"/>
              <w:rPr>
                <w:rFonts w:ascii="Times New Roman"/>
              </w:rPr>
            </w:pPr>
          </w:p>
        </w:tc>
        <w:tc>
          <w:tcPr>
            <w:tcW w:w="20807" w:type="dxa"/>
            <w:gridSpan w:val="14"/>
            <w:tcBorders>
              <w:top w:val="single" w:sz="8" w:space="0" w:color="231F20"/>
              <w:bottom w:val="nil"/>
              <w:right w:val="nil"/>
            </w:tcBorders>
          </w:tcPr>
          <w:p w14:paraId="23120815" w14:textId="77777777" w:rsidR="00345EE3" w:rsidRDefault="00345EE3" w:rsidP="00D73130">
            <w:pPr>
              <w:pStyle w:val="TableParagraph"/>
              <w:spacing w:before="0"/>
              <w:jc w:val="left"/>
              <w:rPr>
                <w:rFonts w:ascii="Times New Roman"/>
              </w:rPr>
            </w:pPr>
          </w:p>
        </w:tc>
      </w:tr>
      <w:tr w:rsidR="00345EE3" w14:paraId="1DD2BCE7" w14:textId="77777777" w:rsidTr="00D73130">
        <w:trPr>
          <w:trHeight w:val="407"/>
        </w:trPr>
        <w:tc>
          <w:tcPr>
            <w:tcW w:w="22054" w:type="dxa"/>
            <w:gridSpan w:val="15"/>
            <w:tcBorders>
              <w:top w:val="nil"/>
              <w:left w:val="nil"/>
              <w:bottom w:val="nil"/>
              <w:right w:val="nil"/>
            </w:tcBorders>
            <w:shd w:val="clear" w:color="auto" w:fill="00529F"/>
          </w:tcPr>
          <w:p w14:paraId="1EEA4E83" w14:textId="77777777" w:rsidR="00345EE3" w:rsidRDefault="00345EE3" w:rsidP="00D73130">
            <w:pPr>
              <w:pStyle w:val="TableParagraph"/>
              <w:spacing w:before="66"/>
              <w:ind w:left="1904"/>
              <w:jc w:val="left"/>
              <w:rPr>
                <w:b/>
                <w:sz w:val="24"/>
              </w:rPr>
            </w:pPr>
            <w:r>
              <w:rPr>
                <w:b/>
                <w:color w:val="FFFFFF"/>
                <w:spacing w:val="-4"/>
                <w:sz w:val="24"/>
              </w:rPr>
              <w:t>Carrying</w:t>
            </w:r>
            <w:r>
              <w:rPr>
                <w:b/>
                <w:color w:val="FFFFFF"/>
                <w:spacing w:val="-3"/>
                <w:sz w:val="24"/>
              </w:rPr>
              <w:t xml:space="preserve"> </w:t>
            </w:r>
            <w:r>
              <w:rPr>
                <w:b/>
                <w:color w:val="FFFFFF"/>
                <w:spacing w:val="-2"/>
                <w:sz w:val="24"/>
              </w:rPr>
              <w:t>Amount</w:t>
            </w:r>
          </w:p>
        </w:tc>
      </w:tr>
      <w:tr w:rsidR="00345EE3" w14:paraId="5F861E27" w14:textId="77777777" w:rsidTr="00D73130">
        <w:trPr>
          <w:trHeight w:val="2355"/>
        </w:trPr>
        <w:tc>
          <w:tcPr>
            <w:tcW w:w="1247" w:type="dxa"/>
            <w:tcBorders>
              <w:top w:val="nil"/>
              <w:left w:val="nil"/>
              <w:bottom w:val="nil"/>
              <w:right w:val="nil"/>
            </w:tcBorders>
            <w:shd w:val="clear" w:color="auto" w:fill="00529F"/>
          </w:tcPr>
          <w:p w14:paraId="38A59E12" w14:textId="77777777" w:rsidR="00345EE3" w:rsidRDefault="00345EE3" w:rsidP="00D73130">
            <w:pPr>
              <w:pStyle w:val="TableParagraph"/>
              <w:jc w:val="left"/>
              <w:rPr>
                <w:b/>
                <w:sz w:val="24"/>
              </w:rPr>
            </w:pPr>
            <w:r>
              <w:rPr>
                <w:b/>
                <w:color w:val="FFFFFF"/>
                <w:spacing w:val="-4"/>
                <w:sz w:val="24"/>
              </w:rPr>
              <w:t>2021</w:t>
            </w:r>
          </w:p>
        </w:tc>
        <w:tc>
          <w:tcPr>
            <w:tcW w:w="567" w:type="dxa"/>
            <w:tcBorders>
              <w:top w:val="nil"/>
              <w:left w:val="nil"/>
              <w:bottom w:val="nil"/>
              <w:right w:val="nil"/>
            </w:tcBorders>
            <w:shd w:val="clear" w:color="auto" w:fill="00529F"/>
          </w:tcPr>
          <w:p w14:paraId="44ADDC33" w14:textId="77777777" w:rsidR="00345EE3" w:rsidRDefault="00345EE3" w:rsidP="00D73130">
            <w:pPr>
              <w:pStyle w:val="TableParagraph"/>
              <w:ind w:right="4"/>
              <w:rPr>
                <w:b/>
                <w:sz w:val="24"/>
              </w:rPr>
            </w:pPr>
            <w:r>
              <w:rPr>
                <w:b/>
                <w:color w:val="FFFFFF"/>
                <w:spacing w:val="-4"/>
                <w:sz w:val="24"/>
              </w:rPr>
              <w:t>Note</w:t>
            </w:r>
          </w:p>
        </w:tc>
        <w:tc>
          <w:tcPr>
            <w:tcW w:w="964" w:type="dxa"/>
            <w:tcBorders>
              <w:top w:val="nil"/>
              <w:left w:val="nil"/>
              <w:bottom w:val="nil"/>
              <w:right w:val="nil"/>
            </w:tcBorders>
            <w:shd w:val="clear" w:color="auto" w:fill="00529F"/>
          </w:tcPr>
          <w:p w14:paraId="5CE56B30" w14:textId="77777777" w:rsidR="00345EE3" w:rsidRDefault="00345EE3" w:rsidP="00D73130">
            <w:pPr>
              <w:pStyle w:val="TableParagraph"/>
              <w:ind w:right="3"/>
              <w:rPr>
                <w:b/>
                <w:sz w:val="24"/>
              </w:rPr>
            </w:pPr>
            <w:r>
              <w:rPr>
                <w:b/>
                <w:color w:val="FFFFFF"/>
                <w:spacing w:val="-2"/>
                <w:sz w:val="24"/>
              </w:rPr>
              <w:t>Assets</w:t>
            </w:r>
          </w:p>
        </w:tc>
        <w:tc>
          <w:tcPr>
            <w:tcW w:w="1134" w:type="dxa"/>
            <w:tcBorders>
              <w:top w:val="nil"/>
              <w:left w:val="nil"/>
              <w:bottom w:val="nil"/>
              <w:right w:val="nil"/>
            </w:tcBorders>
            <w:shd w:val="clear" w:color="auto" w:fill="00529F"/>
          </w:tcPr>
          <w:p w14:paraId="684E0865" w14:textId="77777777" w:rsidR="00345EE3" w:rsidRDefault="00345EE3" w:rsidP="00D73130">
            <w:pPr>
              <w:pStyle w:val="TableParagraph"/>
              <w:ind w:right="2"/>
              <w:rPr>
                <w:b/>
                <w:sz w:val="24"/>
              </w:rPr>
            </w:pPr>
            <w:r>
              <w:rPr>
                <w:b/>
                <w:color w:val="FFFFFF"/>
                <w:spacing w:val="-2"/>
                <w:sz w:val="24"/>
              </w:rPr>
              <w:t>Liabilities</w:t>
            </w:r>
          </w:p>
        </w:tc>
        <w:tc>
          <w:tcPr>
            <w:tcW w:w="1474" w:type="dxa"/>
            <w:tcBorders>
              <w:top w:val="nil"/>
              <w:left w:val="nil"/>
              <w:bottom w:val="nil"/>
              <w:right w:val="nil"/>
            </w:tcBorders>
            <w:shd w:val="clear" w:color="auto" w:fill="00529F"/>
          </w:tcPr>
          <w:p w14:paraId="14A5037B" w14:textId="77777777" w:rsidR="00345EE3" w:rsidRDefault="00345EE3" w:rsidP="00D73130">
            <w:pPr>
              <w:pStyle w:val="TableParagraph"/>
              <w:spacing w:line="242" w:lineRule="auto"/>
              <w:ind w:left="81" w:right="2" w:firstLine="82"/>
              <w:rPr>
                <w:b/>
                <w:sz w:val="24"/>
              </w:rPr>
            </w:pPr>
            <w:r>
              <w:rPr>
                <w:b/>
                <w:color w:val="FFFFFF"/>
                <w:spacing w:val="-2"/>
                <w:sz w:val="24"/>
              </w:rPr>
              <w:t>Line</w:t>
            </w:r>
            <w:r>
              <w:rPr>
                <w:b/>
                <w:color w:val="FFFFFF"/>
                <w:spacing w:val="-15"/>
                <w:sz w:val="24"/>
              </w:rPr>
              <w:t xml:space="preserve"> </w:t>
            </w:r>
            <w:r>
              <w:rPr>
                <w:b/>
                <w:color w:val="FFFFFF"/>
                <w:spacing w:val="-2"/>
                <w:sz w:val="24"/>
              </w:rPr>
              <w:t>item</w:t>
            </w:r>
            <w:r>
              <w:rPr>
                <w:b/>
                <w:color w:val="FFFFFF"/>
                <w:spacing w:val="-15"/>
                <w:sz w:val="24"/>
              </w:rPr>
              <w:t xml:space="preserve"> </w:t>
            </w:r>
            <w:r>
              <w:rPr>
                <w:b/>
                <w:color w:val="FFFFFF"/>
                <w:spacing w:val="-2"/>
                <w:sz w:val="24"/>
              </w:rPr>
              <w:t xml:space="preserve">in </w:t>
            </w:r>
            <w:r>
              <w:rPr>
                <w:b/>
                <w:color w:val="FFFFFF"/>
                <w:sz w:val="24"/>
              </w:rPr>
              <w:t xml:space="preserve">the Balance </w:t>
            </w:r>
            <w:r>
              <w:rPr>
                <w:b/>
                <w:color w:val="FFFFFF"/>
                <w:spacing w:val="-2"/>
                <w:sz w:val="24"/>
              </w:rPr>
              <w:t>Sheet</w:t>
            </w:r>
            <w:r>
              <w:rPr>
                <w:b/>
                <w:color w:val="FFFFFF"/>
                <w:spacing w:val="-15"/>
                <w:sz w:val="24"/>
              </w:rPr>
              <w:t xml:space="preserve"> </w:t>
            </w:r>
            <w:r>
              <w:rPr>
                <w:b/>
                <w:color w:val="FFFFFF"/>
                <w:spacing w:val="-2"/>
                <w:sz w:val="24"/>
              </w:rPr>
              <w:t xml:space="preserve">where </w:t>
            </w:r>
            <w:r>
              <w:rPr>
                <w:b/>
                <w:color w:val="FFFFFF"/>
                <w:sz w:val="24"/>
              </w:rPr>
              <w:t>the</w:t>
            </w:r>
            <w:r>
              <w:rPr>
                <w:b/>
                <w:color w:val="FFFFFF"/>
                <w:spacing w:val="-10"/>
                <w:sz w:val="24"/>
              </w:rPr>
              <w:t xml:space="preserve"> </w:t>
            </w:r>
            <w:r>
              <w:rPr>
                <w:b/>
                <w:color w:val="FFFFFF"/>
                <w:sz w:val="24"/>
              </w:rPr>
              <w:t xml:space="preserve">hedging </w:t>
            </w:r>
            <w:r>
              <w:rPr>
                <w:b/>
                <w:color w:val="FFFFFF"/>
                <w:spacing w:val="-2"/>
                <w:sz w:val="24"/>
              </w:rPr>
              <w:t xml:space="preserve">instrument </w:t>
            </w:r>
            <w:r>
              <w:rPr>
                <w:b/>
                <w:color w:val="FFFFFF"/>
                <w:sz w:val="24"/>
              </w:rPr>
              <w:t>is included</w:t>
            </w:r>
          </w:p>
        </w:tc>
        <w:tc>
          <w:tcPr>
            <w:tcW w:w="1474" w:type="dxa"/>
            <w:tcBorders>
              <w:top w:val="nil"/>
              <w:left w:val="nil"/>
              <w:bottom w:val="nil"/>
              <w:right w:val="nil"/>
            </w:tcBorders>
            <w:shd w:val="clear" w:color="auto" w:fill="00529F"/>
          </w:tcPr>
          <w:p w14:paraId="198331AB" w14:textId="77777777" w:rsidR="00345EE3" w:rsidRDefault="00345EE3" w:rsidP="00D73130">
            <w:pPr>
              <w:pStyle w:val="TableParagraph"/>
              <w:spacing w:before="61" w:line="242" w:lineRule="auto"/>
              <w:ind w:left="212" w:right="2" w:hanging="14"/>
              <w:rPr>
                <w:b/>
                <w:sz w:val="24"/>
              </w:rPr>
            </w:pPr>
            <w:r>
              <w:rPr>
                <w:b/>
                <w:color w:val="FFFFFF"/>
                <w:spacing w:val="-2"/>
                <w:sz w:val="24"/>
              </w:rPr>
              <w:t>Changes</w:t>
            </w:r>
            <w:r>
              <w:rPr>
                <w:b/>
                <w:color w:val="FFFFFF"/>
                <w:spacing w:val="-15"/>
                <w:sz w:val="24"/>
              </w:rPr>
              <w:t xml:space="preserve"> </w:t>
            </w:r>
            <w:r>
              <w:rPr>
                <w:b/>
                <w:color w:val="FFFFFF"/>
                <w:spacing w:val="-2"/>
                <w:sz w:val="24"/>
              </w:rPr>
              <w:t xml:space="preserve">in </w:t>
            </w:r>
            <w:r>
              <w:rPr>
                <w:b/>
                <w:color w:val="FFFFFF"/>
                <w:sz w:val="24"/>
              </w:rPr>
              <w:t>the value of</w:t>
            </w:r>
            <w:r>
              <w:rPr>
                <w:b/>
                <w:color w:val="FFFFFF"/>
                <w:spacing w:val="-7"/>
                <w:sz w:val="24"/>
              </w:rPr>
              <w:t xml:space="preserve"> </w:t>
            </w:r>
            <w:r>
              <w:rPr>
                <w:b/>
                <w:color w:val="FFFFFF"/>
                <w:sz w:val="24"/>
              </w:rPr>
              <w:t xml:space="preserve">hedging </w:t>
            </w:r>
            <w:r>
              <w:rPr>
                <w:b/>
                <w:color w:val="FFFFFF"/>
                <w:spacing w:val="-2"/>
                <w:sz w:val="24"/>
              </w:rPr>
              <w:t xml:space="preserve">instrument </w:t>
            </w:r>
            <w:r>
              <w:rPr>
                <w:b/>
                <w:color w:val="FFFFFF"/>
                <w:spacing w:val="-5"/>
                <w:sz w:val="24"/>
              </w:rPr>
              <w:t>recognised</w:t>
            </w:r>
          </w:p>
          <w:p w14:paraId="5915387F" w14:textId="77777777" w:rsidR="00345EE3" w:rsidRDefault="00345EE3" w:rsidP="00D73130">
            <w:pPr>
              <w:pStyle w:val="TableParagraph"/>
              <w:spacing w:before="7"/>
              <w:ind w:left="776"/>
              <w:jc w:val="left"/>
              <w:rPr>
                <w:b/>
                <w:sz w:val="24"/>
              </w:rPr>
            </w:pPr>
            <w:r>
              <w:rPr>
                <w:b/>
                <w:color w:val="FFFFFF"/>
                <w:sz w:val="24"/>
              </w:rPr>
              <w:t>in</w:t>
            </w:r>
            <w:r>
              <w:rPr>
                <w:b/>
                <w:color w:val="FFFFFF"/>
                <w:spacing w:val="-8"/>
                <w:sz w:val="24"/>
              </w:rPr>
              <w:t xml:space="preserve"> </w:t>
            </w:r>
            <w:r>
              <w:rPr>
                <w:b/>
                <w:color w:val="FFFFFF"/>
                <w:spacing w:val="-5"/>
                <w:sz w:val="24"/>
              </w:rPr>
              <w:t>OCI</w:t>
            </w:r>
          </w:p>
        </w:tc>
        <w:tc>
          <w:tcPr>
            <w:tcW w:w="1928" w:type="dxa"/>
            <w:tcBorders>
              <w:top w:val="nil"/>
              <w:left w:val="nil"/>
              <w:bottom w:val="nil"/>
              <w:right w:val="nil"/>
            </w:tcBorders>
            <w:shd w:val="clear" w:color="auto" w:fill="00529F"/>
          </w:tcPr>
          <w:p w14:paraId="1E255600" w14:textId="77777777" w:rsidR="00345EE3" w:rsidRDefault="00345EE3" w:rsidP="00D73130">
            <w:pPr>
              <w:pStyle w:val="TableParagraph"/>
              <w:spacing w:before="61" w:line="242" w:lineRule="auto"/>
              <w:ind w:left="153" w:right="1" w:firstLine="1047"/>
              <w:rPr>
                <w:b/>
                <w:sz w:val="24"/>
              </w:rPr>
            </w:pPr>
            <w:r>
              <w:rPr>
                <w:b/>
                <w:color w:val="FFFFFF"/>
                <w:spacing w:val="-4"/>
                <w:sz w:val="24"/>
              </w:rPr>
              <w:t xml:space="preserve">Hedge </w:t>
            </w:r>
            <w:r>
              <w:rPr>
                <w:b/>
                <w:color w:val="FFFFFF"/>
                <w:spacing w:val="-2"/>
                <w:sz w:val="24"/>
              </w:rPr>
              <w:t xml:space="preserve">ineffectiveness </w:t>
            </w:r>
            <w:r>
              <w:rPr>
                <w:b/>
                <w:color w:val="FFFFFF"/>
                <w:sz w:val="24"/>
              </w:rPr>
              <w:t xml:space="preserve">recognised in </w:t>
            </w:r>
            <w:r>
              <w:rPr>
                <w:b/>
                <w:color w:val="FFFFFF"/>
                <w:spacing w:val="-4"/>
                <w:sz w:val="24"/>
              </w:rPr>
              <w:t>Comprehensive</w:t>
            </w:r>
          </w:p>
          <w:p w14:paraId="19610D21" w14:textId="77777777" w:rsidR="00345EE3" w:rsidRDefault="00345EE3" w:rsidP="00D73130">
            <w:pPr>
              <w:pStyle w:val="TableParagraph"/>
              <w:spacing w:before="6" w:line="242" w:lineRule="auto"/>
              <w:ind w:left="784" w:right="2" w:firstLine="26"/>
              <w:rPr>
                <w:b/>
                <w:sz w:val="24"/>
              </w:rPr>
            </w:pPr>
            <w:r>
              <w:rPr>
                <w:b/>
                <w:color w:val="FFFFFF"/>
                <w:spacing w:val="-4"/>
                <w:sz w:val="24"/>
              </w:rPr>
              <w:t xml:space="preserve">Operating </w:t>
            </w:r>
            <w:r>
              <w:rPr>
                <w:b/>
                <w:color w:val="FFFFFF"/>
                <w:spacing w:val="-5"/>
                <w:sz w:val="24"/>
              </w:rPr>
              <w:t>Statement</w:t>
            </w:r>
          </w:p>
        </w:tc>
        <w:tc>
          <w:tcPr>
            <w:tcW w:w="1871" w:type="dxa"/>
            <w:tcBorders>
              <w:top w:val="nil"/>
              <w:left w:val="nil"/>
              <w:bottom w:val="nil"/>
              <w:right w:val="nil"/>
            </w:tcBorders>
            <w:shd w:val="clear" w:color="auto" w:fill="00529F"/>
          </w:tcPr>
          <w:p w14:paraId="3B415746" w14:textId="77777777" w:rsidR="00345EE3" w:rsidRDefault="00345EE3" w:rsidP="00D73130">
            <w:pPr>
              <w:pStyle w:val="TableParagraph"/>
              <w:spacing w:before="62" w:line="242" w:lineRule="auto"/>
              <w:ind w:left="96" w:right="2" w:firstLine="464"/>
              <w:jc w:val="both"/>
              <w:rPr>
                <w:b/>
                <w:sz w:val="24"/>
              </w:rPr>
            </w:pPr>
            <w:r>
              <w:rPr>
                <w:b/>
                <w:color w:val="FFFFFF"/>
                <w:spacing w:val="-2"/>
                <w:sz w:val="24"/>
              </w:rPr>
              <w:t>Line</w:t>
            </w:r>
            <w:r>
              <w:rPr>
                <w:b/>
                <w:color w:val="FFFFFF"/>
                <w:spacing w:val="-15"/>
                <w:sz w:val="24"/>
              </w:rPr>
              <w:t xml:space="preserve"> </w:t>
            </w:r>
            <w:r>
              <w:rPr>
                <w:b/>
                <w:color w:val="FFFFFF"/>
                <w:spacing w:val="-2"/>
                <w:sz w:val="24"/>
              </w:rPr>
              <w:t>item</w:t>
            </w:r>
            <w:r>
              <w:rPr>
                <w:b/>
                <w:color w:val="FFFFFF"/>
                <w:spacing w:val="-15"/>
                <w:sz w:val="24"/>
              </w:rPr>
              <w:t xml:space="preserve"> </w:t>
            </w:r>
            <w:r>
              <w:rPr>
                <w:b/>
                <w:color w:val="FFFFFF"/>
                <w:spacing w:val="-2"/>
                <w:sz w:val="24"/>
              </w:rPr>
              <w:t xml:space="preserve">in </w:t>
            </w:r>
            <w:r>
              <w:rPr>
                <w:b/>
                <w:color w:val="FFFFFF"/>
                <w:spacing w:val="-4"/>
                <w:sz w:val="24"/>
              </w:rPr>
              <w:t>Comprehensive</w:t>
            </w:r>
          </w:p>
          <w:p w14:paraId="54BDD951" w14:textId="77777777" w:rsidR="00345EE3" w:rsidRDefault="00345EE3" w:rsidP="00D73130">
            <w:pPr>
              <w:pStyle w:val="TableParagraph"/>
              <w:spacing w:before="2" w:line="242" w:lineRule="auto"/>
              <w:ind w:left="152" w:right="1" w:firstLine="601"/>
              <w:jc w:val="both"/>
              <w:rPr>
                <w:b/>
                <w:sz w:val="24"/>
              </w:rPr>
            </w:pPr>
            <w:r>
              <w:rPr>
                <w:b/>
                <w:color w:val="FFFFFF"/>
                <w:spacing w:val="-4"/>
                <w:sz w:val="24"/>
              </w:rPr>
              <w:t xml:space="preserve">Operating </w:t>
            </w:r>
            <w:r>
              <w:rPr>
                <w:b/>
                <w:color w:val="FFFFFF"/>
                <w:sz w:val="24"/>
              </w:rPr>
              <w:t xml:space="preserve">Statement that </w:t>
            </w:r>
            <w:r>
              <w:rPr>
                <w:b/>
                <w:color w:val="FFFFFF"/>
                <w:spacing w:val="-2"/>
                <w:sz w:val="24"/>
              </w:rPr>
              <w:t>includes</w:t>
            </w:r>
            <w:r>
              <w:rPr>
                <w:b/>
                <w:color w:val="FFFFFF"/>
                <w:spacing w:val="-15"/>
                <w:sz w:val="24"/>
              </w:rPr>
              <w:t xml:space="preserve"> </w:t>
            </w:r>
            <w:r>
              <w:rPr>
                <w:b/>
                <w:color w:val="FFFFFF"/>
                <w:spacing w:val="-2"/>
                <w:sz w:val="24"/>
              </w:rPr>
              <w:t>hedge ineffectiveness</w:t>
            </w:r>
          </w:p>
          <w:p w14:paraId="1246DDCF" w14:textId="77777777" w:rsidR="00345EE3" w:rsidRDefault="00345EE3" w:rsidP="00D73130">
            <w:pPr>
              <w:pStyle w:val="TableParagraph"/>
              <w:spacing w:before="14"/>
              <w:ind w:right="2"/>
              <w:rPr>
                <w:b/>
                <w:sz w:val="14"/>
              </w:rPr>
            </w:pPr>
            <w:r>
              <w:rPr>
                <w:b/>
                <w:color w:val="FFFFFF"/>
                <w:spacing w:val="-5"/>
                <w:sz w:val="14"/>
              </w:rPr>
              <w:t>(a)</w:t>
            </w:r>
          </w:p>
        </w:tc>
        <w:tc>
          <w:tcPr>
            <w:tcW w:w="1417" w:type="dxa"/>
            <w:tcBorders>
              <w:top w:val="nil"/>
              <w:left w:val="nil"/>
              <w:bottom w:val="nil"/>
              <w:right w:val="nil"/>
            </w:tcBorders>
            <w:shd w:val="clear" w:color="auto" w:fill="00529F"/>
          </w:tcPr>
          <w:p w14:paraId="43B7F875" w14:textId="77777777" w:rsidR="00345EE3" w:rsidRDefault="00345EE3" w:rsidP="00D73130">
            <w:pPr>
              <w:pStyle w:val="TableParagraph"/>
              <w:spacing w:before="57" w:line="242" w:lineRule="auto"/>
              <w:ind w:left="155" w:right="2" w:firstLine="446"/>
              <w:rPr>
                <w:b/>
                <w:sz w:val="24"/>
              </w:rPr>
            </w:pPr>
            <w:r>
              <w:rPr>
                <w:b/>
                <w:color w:val="FFFFFF"/>
                <w:spacing w:val="-2"/>
                <w:sz w:val="24"/>
              </w:rPr>
              <w:t>Cost</w:t>
            </w:r>
            <w:r>
              <w:rPr>
                <w:b/>
                <w:color w:val="FFFFFF"/>
                <w:spacing w:val="-15"/>
                <w:sz w:val="24"/>
              </w:rPr>
              <w:t xml:space="preserve"> </w:t>
            </w:r>
            <w:r>
              <w:rPr>
                <w:b/>
                <w:color w:val="FFFFFF"/>
                <w:spacing w:val="-2"/>
                <w:sz w:val="24"/>
              </w:rPr>
              <w:t xml:space="preserve">of hedging </w:t>
            </w:r>
            <w:r>
              <w:rPr>
                <w:b/>
                <w:color w:val="FFFFFF"/>
                <w:spacing w:val="-5"/>
                <w:sz w:val="24"/>
              </w:rPr>
              <w:t>recognised</w:t>
            </w:r>
          </w:p>
          <w:p w14:paraId="03C38B6E" w14:textId="77777777" w:rsidR="00345EE3" w:rsidRDefault="00345EE3" w:rsidP="00D73130">
            <w:pPr>
              <w:pStyle w:val="TableParagraph"/>
              <w:spacing w:before="4"/>
              <w:ind w:left="719"/>
              <w:jc w:val="left"/>
              <w:rPr>
                <w:b/>
                <w:sz w:val="24"/>
              </w:rPr>
            </w:pPr>
            <w:r>
              <w:rPr>
                <w:b/>
                <w:color w:val="FFFFFF"/>
                <w:sz w:val="24"/>
              </w:rPr>
              <w:t>in</w:t>
            </w:r>
            <w:r>
              <w:rPr>
                <w:b/>
                <w:color w:val="FFFFFF"/>
                <w:spacing w:val="-8"/>
                <w:sz w:val="24"/>
              </w:rPr>
              <w:t xml:space="preserve"> </w:t>
            </w:r>
            <w:r>
              <w:rPr>
                <w:b/>
                <w:color w:val="FFFFFF"/>
                <w:spacing w:val="-5"/>
                <w:sz w:val="24"/>
              </w:rPr>
              <w:t>OCI</w:t>
            </w:r>
          </w:p>
        </w:tc>
        <w:tc>
          <w:tcPr>
            <w:tcW w:w="1417" w:type="dxa"/>
            <w:tcBorders>
              <w:top w:val="nil"/>
              <w:left w:val="nil"/>
              <w:bottom w:val="nil"/>
              <w:right w:val="nil"/>
            </w:tcBorders>
            <w:shd w:val="clear" w:color="auto" w:fill="00529F"/>
          </w:tcPr>
          <w:p w14:paraId="7FC8B627" w14:textId="77777777" w:rsidR="00345EE3" w:rsidRDefault="00345EE3" w:rsidP="00D73130">
            <w:pPr>
              <w:pStyle w:val="TableParagraph"/>
              <w:spacing w:before="57" w:line="242" w:lineRule="auto"/>
              <w:ind w:left="443" w:right="2" w:firstLine="25"/>
              <w:rPr>
                <w:b/>
                <w:sz w:val="24"/>
              </w:rPr>
            </w:pPr>
            <w:r>
              <w:rPr>
                <w:b/>
                <w:color w:val="FFFFFF"/>
                <w:spacing w:val="-4"/>
                <w:sz w:val="24"/>
              </w:rPr>
              <w:t xml:space="preserve">Hedging reserves </w:t>
            </w:r>
            <w:r>
              <w:rPr>
                <w:b/>
                <w:color w:val="FFFFFF"/>
                <w:sz w:val="24"/>
              </w:rPr>
              <w:t>in OCI</w:t>
            </w:r>
          </w:p>
        </w:tc>
        <w:tc>
          <w:tcPr>
            <w:tcW w:w="1474" w:type="dxa"/>
            <w:tcBorders>
              <w:top w:val="nil"/>
              <w:left w:val="nil"/>
              <w:bottom w:val="nil"/>
              <w:right w:val="nil"/>
            </w:tcBorders>
            <w:shd w:val="clear" w:color="auto" w:fill="00529F"/>
          </w:tcPr>
          <w:p w14:paraId="5200E30A" w14:textId="77777777" w:rsidR="00345EE3" w:rsidRDefault="00345EE3" w:rsidP="00D73130">
            <w:pPr>
              <w:pStyle w:val="TableParagraph"/>
              <w:spacing w:before="57"/>
              <w:ind w:right="3"/>
              <w:rPr>
                <w:b/>
                <w:sz w:val="24"/>
              </w:rPr>
            </w:pPr>
            <w:r>
              <w:rPr>
                <w:b/>
                <w:color w:val="FFFFFF"/>
                <w:spacing w:val="-2"/>
                <w:sz w:val="24"/>
              </w:rPr>
              <w:t>Amount</w:t>
            </w:r>
          </w:p>
          <w:p w14:paraId="0712CDA1" w14:textId="77777777" w:rsidR="00345EE3" w:rsidRDefault="00345EE3" w:rsidP="00D73130">
            <w:pPr>
              <w:pStyle w:val="TableParagraph"/>
              <w:spacing w:before="4" w:line="242" w:lineRule="auto"/>
              <w:ind w:left="228" w:right="2" w:firstLine="717"/>
              <w:rPr>
                <w:b/>
                <w:sz w:val="24"/>
              </w:rPr>
            </w:pPr>
            <w:r>
              <w:rPr>
                <w:b/>
                <w:color w:val="FFFFFF"/>
                <w:spacing w:val="-6"/>
                <w:sz w:val="24"/>
              </w:rPr>
              <w:t xml:space="preserve">from </w:t>
            </w:r>
            <w:r>
              <w:rPr>
                <w:b/>
                <w:color w:val="FFFFFF"/>
                <w:spacing w:val="-2"/>
                <w:sz w:val="24"/>
              </w:rPr>
              <w:t xml:space="preserve">hedging reserves </w:t>
            </w:r>
            <w:r>
              <w:rPr>
                <w:b/>
                <w:color w:val="FFFFFF"/>
                <w:spacing w:val="-4"/>
                <w:sz w:val="24"/>
              </w:rPr>
              <w:t xml:space="preserve">transferred </w:t>
            </w:r>
            <w:r>
              <w:rPr>
                <w:b/>
                <w:color w:val="FFFFFF"/>
                <w:sz w:val="24"/>
              </w:rPr>
              <w:t xml:space="preserve">to cost of </w:t>
            </w:r>
            <w:r>
              <w:rPr>
                <w:b/>
                <w:color w:val="FFFFFF"/>
                <w:spacing w:val="-2"/>
                <w:sz w:val="24"/>
              </w:rPr>
              <w:t>service rendered</w:t>
            </w:r>
          </w:p>
        </w:tc>
        <w:tc>
          <w:tcPr>
            <w:tcW w:w="1474" w:type="dxa"/>
            <w:tcBorders>
              <w:top w:val="nil"/>
              <w:left w:val="nil"/>
              <w:bottom w:val="nil"/>
              <w:right w:val="nil"/>
            </w:tcBorders>
            <w:shd w:val="clear" w:color="auto" w:fill="00529F"/>
          </w:tcPr>
          <w:p w14:paraId="7767488A" w14:textId="77777777" w:rsidR="00345EE3" w:rsidRDefault="00345EE3" w:rsidP="00D73130">
            <w:pPr>
              <w:pStyle w:val="TableParagraph"/>
              <w:spacing w:before="58" w:line="242" w:lineRule="auto"/>
              <w:ind w:left="228" w:right="2" w:firstLine="348"/>
              <w:rPr>
                <w:b/>
                <w:sz w:val="24"/>
              </w:rPr>
            </w:pPr>
            <w:r>
              <w:rPr>
                <w:b/>
                <w:color w:val="FFFFFF"/>
                <w:spacing w:val="-4"/>
                <w:sz w:val="24"/>
              </w:rPr>
              <w:t xml:space="preserve">Amount </w:t>
            </w:r>
            <w:r>
              <w:rPr>
                <w:b/>
                <w:color w:val="FFFFFF"/>
                <w:sz w:val="24"/>
              </w:rPr>
              <w:t>from cost of</w:t>
            </w:r>
            <w:r>
              <w:rPr>
                <w:b/>
                <w:color w:val="FFFFFF"/>
                <w:spacing w:val="-17"/>
                <w:sz w:val="24"/>
              </w:rPr>
              <w:t xml:space="preserve"> </w:t>
            </w:r>
            <w:r>
              <w:rPr>
                <w:b/>
                <w:color w:val="FFFFFF"/>
                <w:sz w:val="24"/>
              </w:rPr>
              <w:t xml:space="preserve">hedging </w:t>
            </w:r>
            <w:r>
              <w:rPr>
                <w:b/>
                <w:color w:val="FFFFFF"/>
                <w:spacing w:val="-4"/>
                <w:sz w:val="24"/>
              </w:rPr>
              <w:t xml:space="preserve">transferred </w:t>
            </w:r>
            <w:r>
              <w:rPr>
                <w:b/>
                <w:color w:val="FFFFFF"/>
                <w:sz w:val="24"/>
              </w:rPr>
              <w:t xml:space="preserve">to cost of </w:t>
            </w:r>
            <w:r>
              <w:rPr>
                <w:b/>
                <w:color w:val="FFFFFF"/>
                <w:spacing w:val="-2"/>
                <w:sz w:val="24"/>
              </w:rPr>
              <w:t>service rendered</w:t>
            </w:r>
          </w:p>
        </w:tc>
        <w:tc>
          <w:tcPr>
            <w:tcW w:w="1871" w:type="dxa"/>
            <w:tcBorders>
              <w:top w:val="nil"/>
              <w:left w:val="nil"/>
              <w:bottom w:val="nil"/>
              <w:right w:val="nil"/>
            </w:tcBorders>
            <w:shd w:val="clear" w:color="auto" w:fill="00529F"/>
          </w:tcPr>
          <w:p w14:paraId="5056D908" w14:textId="77777777" w:rsidR="00345EE3" w:rsidRDefault="00345EE3" w:rsidP="00D73130">
            <w:pPr>
              <w:pStyle w:val="TableParagraph"/>
              <w:spacing w:before="58" w:line="242" w:lineRule="auto"/>
              <w:ind w:left="95" w:right="2" w:firstLine="877"/>
              <w:rPr>
                <w:b/>
                <w:sz w:val="24"/>
              </w:rPr>
            </w:pPr>
            <w:r>
              <w:rPr>
                <w:b/>
                <w:color w:val="FFFFFF"/>
                <w:spacing w:val="-4"/>
                <w:sz w:val="24"/>
              </w:rPr>
              <w:t xml:space="preserve">Amount </w:t>
            </w:r>
            <w:r>
              <w:rPr>
                <w:b/>
                <w:color w:val="FFFFFF"/>
                <w:spacing w:val="-2"/>
                <w:sz w:val="24"/>
              </w:rPr>
              <w:t xml:space="preserve">reclassified </w:t>
            </w:r>
            <w:r>
              <w:rPr>
                <w:b/>
                <w:color w:val="FFFFFF"/>
                <w:sz w:val="24"/>
              </w:rPr>
              <w:t xml:space="preserve">from hedging reserves to </w:t>
            </w:r>
            <w:r>
              <w:rPr>
                <w:b/>
                <w:color w:val="FFFFFF"/>
                <w:spacing w:val="-4"/>
                <w:sz w:val="24"/>
              </w:rPr>
              <w:t>Comprehensive</w:t>
            </w:r>
          </w:p>
          <w:p w14:paraId="2ED0EE56" w14:textId="77777777" w:rsidR="00345EE3" w:rsidRDefault="00345EE3" w:rsidP="00D73130">
            <w:pPr>
              <w:pStyle w:val="TableParagraph"/>
              <w:spacing w:before="7" w:line="242" w:lineRule="auto"/>
              <w:ind w:left="726" w:right="2" w:firstLine="26"/>
              <w:rPr>
                <w:b/>
                <w:sz w:val="24"/>
              </w:rPr>
            </w:pPr>
            <w:r>
              <w:rPr>
                <w:b/>
                <w:color w:val="FFFFFF"/>
                <w:spacing w:val="-4"/>
                <w:sz w:val="24"/>
              </w:rPr>
              <w:t xml:space="preserve">Operating </w:t>
            </w:r>
            <w:r>
              <w:rPr>
                <w:b/>
                <w:color w:val="FFFFFF"/>
                <w:spacing w:val="-5"/>
                <w:sz w:val="24"/>
              </w:rPr>
              <w:t>Statement</w:t>
            </w:r>
          </w:p>
        </w:tc>
        <w:tc>
          <w:tcPr>
            <w:tcW w:w="1871" w:type="dxa"/>
            <w:tcBorders>
              <w:top w:val="nil"/>
              <w:left w:val="nil"/>
              <w:bottom w:val="nil"/>
              <w:right w:val="nil"/>
            </w:tcBorders>
            <w:shd w:val="clear" w:color="auto" w:fill="00529F"/>
          </w:tcPr>
          <w:p w14:paraId="20541856" w14:textId="77777777" w:rsidR="00345EE3" w:rsidRDefault="00345EE3" w:rsidP="00D73130">
            <w:pPr>
              <w:pStyle w:val="TableParagraph"/>
              <w:spacing w:before="59" w:line="242" w:lineRule="auto"/>
              <w:ind w:left="570" w:right="3" w:firstLine="402"/>
              <w:rPr>
                <w:b/>
                <w:sz w:val="24"/>
              </w:rPr>
            </w:pPr>
            <w:r>
              <w:rPr>
                <w:b/>
                <w:color w:val="FFFFFF"/>
                <w:spacing w:val="-4"/>
                <w:sz w:val="24"/>
              </w:rPr>
              <w:t xml:space="preserve">Amount reclassified </w:t>
            </w:r>
            <w:r>
              <w:rPr>
                <w:b/>
                <w:color w:val="FFFFFF"/>
                <w:sz w:val="24"/>
              </w:rPr>
              <w:t>from cost of hedging reserves</w:t>
            </w:r>
            <w:r>
              <w:rPr>
                <w:b/>
                <w:color w:val="FFFFFF"/>
                <w:spacing w:val="-17"/>
                <w:sz w:val="24"/>
              </w:rPr>
              <w:t xml:space="preserve"> </w:t>
            </w:r>
            <w:r>
              <w:rPr>
                <w:b/>
                <w:color w:val="FFFFFF"/>
                <w:sz w:val="24"/>
              </w:rPr>
              <w:t>to</w:t>
            </w:r>
          </w:p>
          <w:p w14:paraId="55364C78" w14:textId="77777777" w:rsidR="00345EE3" w:rsidRDefault="00345EE3" w:rsidP="00D73130">
            <w:pPr>
              <w:pStyle w:val="TableParagraph"/>
              <w:spacing w:before="6"/>
              <w:ind w:right="5"/>
              <w:rPr>
                <w:b/>
                <w:sz w:val="24"/>
              </w:rPr>
            </w:pPr>
            <w:r>
              <w:rPr>
                <w:b/>
                <w:color w:val="FFFFFF"/>
                <w:spacing w:val="-2"/>
                <w:sz w:val="24"/>
              </w:rPr>
              <w:t>Comprehensive</w:t>
            </w:r>
          </w:p>
          <w:p w14:paraId="1F207E66" w14:textId="77777777" w:rsidR="00345EE3" w:rsidRDefault="00345EE3" w:rsidP="00D73130">
            <w:pPr>
              <w:pStyle w:val="TableParagraph"/>
              <w:spacing w:before="4" w:line="242" w:lineRule="auto"/>
              <w:ind w:left="726" w:right="3" w:firstLine="26"/>
              <w:rPr>
                <w:b/>
                <w:sz w:val="24"/>
              </w:rPr>
            </w:pPr>
            <w:r>
              <w:rPr>
                <w:b/>
                <w:color w:val="FFFFFF"/>
                <w:spacing w:val="-4"/>
                <w:sz w:val="24"/>
              </w:rPr>
              <w:t xml:space="preserve">Operating </w:t>
            </w:r>
            <w:r>
              <w:rPr>
                <w:b/>
                <w:color w:val="FFFFFF"/>
                <w:spacing w:val="-5"/>
                <w:sz w:val="24"/>
              </w:rPr>
              <w:t>Statement</w:t>
            </w:r>
          </w:p>
        </w:tc>
        <w:tc>
          <w:tcPr>
            <w:tcW w:w="1871" w:type="dxa"/>
            <w:tcBorders>
              <w:top w:val="nil"/>
              <w:left w:val="nil"/>
              <w:bottom w:val="nil"/>
              <w:right w:val="nil"/>
            </w:tcBorders>
            <w:shd w:val="clear" w:color="auto" w:fill="00529F"/>
          </w:tcPr>
          <w:p w14:paraId="3C9DCAA0" w14:textId="77777777" w:rsidR="00345EE3" w:rsidRDefault="00345EE3" w:rsidP="00D73130">
            <w:pPr>
              <w:pStyle w:val="TableParagraph"/>
              <w:spacing w:before="59" w:line="242" w:lineRule="auto"/>
              <w:ind w:left="95" w:right="3" w:firstLine="464"/>
              <w:rPr>
                <w:b/>
                <w:sz w:val="24"/>
              </w:rPr>
            </w:pPr>
            <w:r>
              <w:rPr>
                <w:b/>
                <w:color w:val="FFFFFF"/>
                <w:spacing w:val="-2"/>
                <w:sz w:val="24"/>
              </w:rPr>
              <w:t>Line</w:t>
            </w:r>
            <w:r>
              <w:rPr>
                <w:b/>
                <w:color w:val="FFFFFF"/>
                <w:spacing w:val="-15"/>
                <w:sz w:val="24"/>
              </w:rPr>
              <w:t xml:space="preserve"> </w:t>
            </w:r>
            <w:r>
              <w:rPr>
                <w:b/>
                <w:color w:val="FFFFFF"/>
                <w:spacing w:val="-2"/>
                <w:sz w:val="24"/>
              </w:rPr>
              <w:t>item</w:t>
            </w:r>
            <w:r>
              <w:rPr>
                <w:b/>
                <w:color w:val="FFFFFF"/>
                <w:spacing w:val="-15"/>
                <w:sz w:val="24"/>
              </w:rPr>
              <w:t xml:space="preserve"> </w:t>
            </w:r>
            <w:r>
              <w:rPr>
                <w:b/>
                <w:color w:val="FFFFFF"/>
                <w:spacing w:val="-2"/>
                <w:sz w:val="24"/>
              </w:rPr>
              <w:t xml:space="preserve">in </w:t>
            </w:r>
            <w:r>
              <w:rPr>
                <w:b/>
                <w:color w:val="FFFFFF"/>
                <w:spacing w:val="-4"/>
                <w:sz w:val="24"/>
              </w:rPr>
              <w:t>Comprehensive</w:t>
            </w:r>
          </w:p>
          <w:p w14:paraId="0C731F1D" w14:textId="77777777" w:rsidR="00345EE3" w:rsidRDefault="00345EE3" w:rsidP="00D73130">
            <w:pPr>
              <w:pStyle w:val="TableParagraph"/>
              <w:spacing w:before="3" w:line="242" w:lineRule="auto"/>
              <w:ind w:left="231" w:right="3" w:firstLine="521"/>
              <w:rPr>
                <w:b/>
                <w:sz w:val="24"/>
              </w:rPr>
            </w:pPr>
            <w:r>
              <w:rPr>
                <w:b/>
                <w:color w:val="FFFFFF"/>
                <w:spacing w:val="-4"/>
                <w:sz w:val="24"/>
              </w:rPr>
              <w:t xml:space="preserve">Operating </w:t>
            </w:r>
            <w:r>
              <w:rPr>
                <w:b/>
                <w:color w:val="FFFFFF"/>
                <w:spacing w:val="-2"/>
                <w:sz w:val="24"/>
              </w:rPr>
              <w:t>Statement</w:t>
            </w:r>
            <w:r>
              <w:rPr>
                <w:b/>
                <w:color w:val="FFFFFF"/>
                <w:spacing w:val="-15"/>
                <w:sz w:val="24"/>
              </w:rPr>
              <w:t xml:space="preserve"> </w:t>
            </w:r>
            <w:r>
              <w:rPr>
                <w:b/>
                <w:color w:val="FFFFFF"/>
                <w:spacing w:val="-2"/>
                <w:sz w:val="24"/>
              </w:rPr>
              <w:t xml:space="preserve">that </w:t>
            </w:r>
            <w:r>
              <w:rPr>
                <w:b/>
                <w:color w:val="FFFFFF"/>
                <w:sz w:val="24"/>
              </w:rPr>
              <w:t>is affected</w:t>
            </w:r>
          </w:p>
          <w:p w14:paraId="377D5DD9" w14:textId="77777777" w:rsidR="00345EE3" w:rsidRDefault="00345EE3" w:rsidP="00D73130">
            <w:pPr>
              <w:pStyle w:val="TableParagraph"/>
              <w:spacing w:before="4" w:line="242" w:lineRule="auto"/>
              <w:ind w:left="153" w:right="4" w:firstLine="1019"/>
              <w:rPr>
                <w:b/>
                <w:sz w:val="24"/>
              </w:rPr>
            </w:pPr>
            <w:r>
              <w:rPr>
                <w:b/>
                <w:color w:val="FFFFFF"/>
                <w:spacing w:val="-2"/>
                <w:sz w:val="24"/>
              </w:rPr>
              <w:t>by</w:t>
            </w:r>
            <w:r>
              <w:rPr>
                <w:b/>
                <w:color w:val="FFFFFF"/>
                <w:spacing w:val="-15"/>
                <w:sz w:val="24"/>
              </w:rPr>
              <w:t xml:space="preserve"> </w:t>
            </w:r>
            <w:r>
              <w:rPr>
                <w:b/>
                <w:color w:val="FFFFFF"/>
                <w:spacing w:val="-2"/>
                <w:sz w:val="24"/>
              </w:rPr>
              <w:t xml:space="preserve">the </w:t>
            </w:r>
            <w:r>
              <w:rPr>
                <w:b/>
                <w:color w:val="FFFFFF"/>
                <w:spacing w:val="-4"/>
                <w:sz w:val="24"/>
              </w:rPr>
              <w:t>reclassification</w:t>
            </w:r>
          </w:p>
        </w:tc>
      </w:tr>
      <w:tr w:rsidR="00345EE3" w14:paraId="1C4A6CD5" w14:textId="77777777" w:rsidTr="00D73130">
        <w:trPr>
          <w:trHeight w:val="958"/>
        </w:trPr>
        <w:tc>
          <w:tcPr>
            <w:tcW w:w="1247" w:type="dxa"/>
            <w:tcBorders>
              <w:top w:val="nil"/>
              <w:left w:val="nil"/>
            </w:tcBorders>
          </w:tcPr>
          <w:p w14:paraId="373FB395" w14:textId="77777777" w:rsidR="00345EE3" w:rsidRDefault="00345EE3" w:rsidP="00D73130">
            <w:pPr>
              <w:pStyle w:val="TableParagraph"/>
              <w:spacing w:before="66" w:line="242" w:lineRule="auto"/>
              <w:ind w:left="-4" w:right="-15"/>
              <w:jc w:val="left"/>
              <w:rPr>
                <w:b/>
                <w:sz w:val="24"/>
              </w:rPr>
            </w:pPr>
            <w:r>
              <w:rPr>
                <w:b/>
                <w:color w:val="231F20"/>
                <w:spacing w:val="-2"/>
                <w:sz w:val="24"/>
              </w:rPr>
              <w:t xml:space="preserve">Foreign Currency </w:t>
            </w:r>
            <w:r>
              <w:rPr>
                <w:b/>
                <w:color w:val="231F20"/>
                <w:spacing w:val="-4"/>
                <w:sz w:val="24"/>
              </w:rPr>
              <w:t>Risk</w:t>
            </w:r>
          </w:p>
        </w:tc>
        <w:tc>
          <w:tcPr>
            <w:tcW w:w="567" w:type="dxa"/>
            <w:tcBorders>
              <w:top w:val="nil"/>
            </w:tcBorders>
          </w:tcPr>
          <w:p w14:paraId="21D926CF" w14:textId="77777777" w:rsidR="00345EE3" w:rsidRDefault="00345EE3" w:rsidP="00D73130">
            <w:pPr>
              <w:pStyle w:val="TableParagraph"/>
              <w:spacing w:before="0"/>
              <w:jc w:val="left"/>
              <w:rPr>
                <w:rFonts w:ascii="Times New Roman"/>
              </w:rPr>
            </w:pPr>
          </w:p>
        </w:tc>
        <w:tc>
          <w:tcPr>
            <w:tcW w:w="964" w:type="dxa"/>
            <w:tcBorders>
              <w:top w:val="nil"/>
            </w:tcBorders>
          </w:tcPr>
          <w:p w14:paraId="22B29836" w14:textId="77777777" w:rsidR="00345EE3" w:rsidRDefault="00345EE3" w:rsidP="00D73130">
            <w:pPr>
              <w:pStyle w:val="TableParagraph"/>
              <w:spacing w:before="0"/>
              <w:jc w:val="left"/>
              <w:rPr>
                <w:rFonts w:ascii="Times New Roman"/>
              </w:rPr>
            </w:pPr>
          </w:p>
        </w:tc>
        <w:tc>
          <w:tcPr>
            <w:tcW w:w="1134" w:type="dxa"/>
            <w:tcBorders>
              <w:top w:val="nil"/>
            </w:tcBorders>
          </w:tcPr>
          <w:p w14:paraId="38860E42" w14:textId="77777777" w:rsidR="00345EE3" w:rsidRDefault="00345EE3" w:rsidP="00D73130">
            <w:pPr>
              <w:pStyle w:val="TableParagraph"/>
              <w:spacing w:before="0"/>
              <w:jc w:val="left"/>
              <w:rPr>
                <w:rFonts w:ascii="Times New Roman"/>
              </w:rPr>
            </w:pPr>
          </w:p>
        </w:tc>
        <w:tc>
          <w:tcPr>
            <w:tcW w:w="1474" w:type="dxa"/>
            <w:tcBorders>
              <w:top w:val="nil"/>
            </w:tcBorders>
          </w:tcPr>
          <w:p w14:paraId="09DDCE20" w14:textId="77777777" w:rsidR="00345EE3" w:rsidRDefault="00345EE3" w:rsidP="00D73130">
            <w:pPr>
              <w:pStyle w:val="TableParagraph"/>
              <w:spacing w:before="0"/>
              <w:jc w:val="left"/>
              <w:rPr>
                <w:rFonts w:ascii="Times New Roman"/>
              </w:rPr>
            </w:pPr>
          </w:p>
        </w:tc>
        <w:tc>
          <w:tcPr>
            <w:tcW w:w="1474" w:type="dxa"/>
            <w:tcBorders>
              <w:top w:val="nil"/>
            </w:tcBorders>
          </w:tcPr>
          <w:p w14:paraId="1D39546E" w14:textId="77777777" w:rsidR="00345EE3" w:rsidRDefault="00345EE3" w:rsidP="00D73130">
            <w:pPr>
              <w:pStyle w:val="TableParagraph"/>
              <w:spacing w:before="0"/>
              <w:jc w:val="left"/>
              <w:rPr>
                <w:rFonts w:ascii="Times New Roman"/>
              </w:rPr>
            </w:pPr>
          </w:p>
        </w:tc>
        <w:tc>
          <w:tcPr>
            <w:tcW w:w="1928" w:type="dxa"/>
            <w:tcBorders>
              <w:top w:val="nil"/>
            </w:tcBorders>
          </w:tcPr>
          <w:p w14:paraId="3B68B948" w14:textId="77777777" w:rsidR="00345EE3" w:rsidRDefault="00345EE3" w:rsidP="00D73130">
            <w:pPr>
              <w:pStyle w:val="TableParagraph"/>
              <w:spacing w:before="0"/>
              <w:jc w:val="left"/>
              <w:rPr>
                <w:rFonts w:ascii="Times New Roman"/>
              </w:rPr>
            </w:pPr>
          </w:p>
        </w:tc>
        <w:tc>
          <w:tcPr>
            <w:tcW w:w="1871" w:type="dxa"/>
            <w:tcBorders>
              <w:top w:val="nil"/>
            </w:tcBorders>
          </w:tcPr>
          <w:p w14:paraId="3B98D746" w14:textId="77777777" w:rsidR="00345EE3" w:rsidRDefault="00345EE3" w:rsidP="00D73130">
            <w:pPr>
              <w:pStyle w:val="TableParagraph"/>
              <w:spacing w:before="0"/>
              <w:jc w:val="left"/>
              <w:rPr>
                <w:rFonts w:ascii="Times New Roman"/>
              </w:rPr>
            </w:pPr>
          </w:p>
        </w:tc>
        <w:tc>
          <w:tcPr>
            <w:tcW w:w="1417" w:type="dxa"/>
            <w:tcBorders>
              <w:top w:val="nil"/>
            </w:tcBorders>
          </w:tcPr>
          <w:p w14:paraId="71876348" w14:textId="77777777" w:rsidR="00345EE3" w:rsidRDefault="00345EE3" w:rsidP="00D73130">
            <w:pPr>
              <w:pStyle w:val="TableParagraph"/>
              <w:spacing w:before="0"/>
              <w:jc w:val="left"/>
              <w:rPr>
                <w:rFonts w:ascii="Times New Roman"/>
              </w:rPr>
            </w:pPr>
          </w:p>
        </w:tc>
        <w:tc>
          <w:tcPr>
            <w:tcW w:w="1417" w:type="dxa"/>
            <w:tcBorders>
              <w:top w:val="nil"/>
            </w:tcBorders>
          </w:tcPr>
          <w:p w14:paraId="71F8AC9A" w14:textId="77777777" w:rsidR="00345EE3" w:rsidRDefault="00345EE3" w:rsidP="00D73130">
            <w:pPr>
              <w:pStyle w:val="TableParagraph"/>
              <w:spacing w:before="0"/>
              <w:jc w:val="left"/>
              <w:rPr>
                <w:rFonts w:ascii="Times New Roman"/>
              </w:rPr>
            </w:pPr>
          </w:p>
        </w:tc>
        <w:tc>
          <w:tcPr>
            <w:tcW w:w="1474" w:type="dxa"/>
            <w:tcBorders>
              <w:top w:val="nil"/>
            </w:tcBorders>
          </w:tcPr>
          <w:p w14:paraId="6C027C11" w14:textId="77777777" w:rsidR="00345EE3" w:rsidRDefault="00345EE3" w:rsidP="00D73130">
            <w:pPr>
              <w:pStyle w:val="TableParagraph"/>
              <w:spacing w:before="0"/>
              <w:jc w:val="left"/>
              <w:rPr>
                <w:rFonts w:ascii="Times New Roman"/>
              </w:rPr>
            </w:pPr>
          </w:p>
        </w:tc>
        <w:tc>
          <w:tcPr>
            <w:tcW w:w="1474" w:type="dxa"/>
            <w:tcBorders>
              <w:top w:val="nil"/>
            </w:tcBorders>
          </w:tcPr>
          <w:p w14:paraId="365E7636" w14:textId="77777777" w:rsidR="00345EE3" w:rsidRDefault="00345EE3" w:rsidP="00D73130">
            <w:pPr>
              <w:pStyle w:val="TableParagraph"/>
              <w:spacing w:before="0"/>
              <w:jc w:val="left"/>
              <w:rPr>
                <w:rFonts w:ascii="Times New Roman"/>
              </w:rPr>
            </w:pPr>
          </w:p>
        </w:tc>
        <w:tc>
          <w:tcPr>
            <w:tcW w:w="1871" w:type="dxa"/>
            <w:tcBorders>
              <w:top w:val="nil"/>
            </w:tcBorders>
          </w:tcPr>
          <w:p w14:paraId="60E9CDF5" w14:textId="77777777" w:rsidR="00345EE3" w:rsidRDefault="00345EE3" w:rsidP="00D73130">
            <w:pPr>
              <w:pStyle w:val="TableParagraph"/>
              <w:spacing w:before="0"/>
              <w:jc w:val="left"/>
              <w:rPr>
                <w:rFonts w:ascii="Times New Roman"/>
              </w:rPr>
            </w:pPr>
          </w:p>
        </w:tc>
        <w:tc>
          <w:tcPr>
            <w:tcW w:w="1871" w:type="dxa"/>
            <w:tcBorders>
              <w:top w:val="nil"/>
            </w:tcBorders>
          </w:tcPr>
          <w:p w14:paraId="048F0FC4" w14:textId="77777777" w:rsidR="00345EE3" w:rsidRDefault="00345EE3" w:rsidP="00D73130">
            <w:pPr>
              <w:pStyle w:val="TableParagraph"/>
              <w:spacing w:before="0"/>
              <w:jc w:val="left"/>
              <w:rPr>
                <w:rFonts w:ascii="Times New Roman"/>
              </w:rPr>
            </w:pPr>
          </w:p>
        </w:tc>
        <w:tc>
          <w:tcPr>
            <w:tcW w:w="1871" w:type="dxa"/>
            <w:tcBorders>
              <w:top w:val="nil"/>
              <w:right w:val="nil"/>
            </w:tcBorders>
          </w:tcPr>
          <w:p w14:paraId="7F5C8AEC" w14:textId="77777777" w:rsidR="00345EE3" w:rsidRDefault="00345EE3" w:rsidP="00D73130">
            <w:pPr>
              <w:pStyle w:val="TableParagraph"/>
              <w:spacing w:before="0"/>
              <w:jc w:val="left"/>
              <w:rPr>
                <w:rFonts w:ascii="Times New Roman"/>
              </w:rPr>
            </w:pPr>
          </w:p>
        </w:tc>
      </w:tr>
      <w:tr w:rsidR="00345EE3" w14:paraId="2AAB79F8" w14:textId="77777777" w:rsidTr="00D73130">
        <w:trPr>
          <w:trHeight w:val="956"/>
        </w:trPr>
        <w:tc>
          <w:tcPr>
            <w:tcW w:w="1247" w:type="dxa"/>
            <w:tcBorders>
              <w:left w:val="nil"/>
            </w:tcBorders>
          </w:tcPr>
          <w:p w14:paraId="6E3DECD6" w14:textId="77777777" w:rsidR="00345EE3" w:rsidRDefault="00345EE3" w:rsidP="00D73130">
            <w:pPr>
              <w:pStyle w:val="TableParagraph"/>
              <w:spacing w:before="63" w:line="242" w:lineRule="auto"/>
              <w:ind w:left="-4" w:right="-15"/>
              <w:jc w:val="left"/>
              <w:rPr>
                <w:sz w:val="24"/>
              </w:rPr>
            </w:pPr>
            <w:r>
              <w:rPr>
                <w:color w:val="231F20"/>
                <w:spacing w:val="-2"/>
                <w:sz w:val="24"/>
              </w:rPr>
              <w:t>Derivative financial instruments</w:t>
            </w:r>
          </w:p>
        </w:tc>
        <w:tc>
          <w:tcPr>
            <w:tcW w:w="567" w:type="dxa"/>
          </w:tcPr>
          <w:p w14:paraId="58B3B631" w14:textId="77777777" w:rsidR="00345EE3" w:rsidRDefault="00345EE3" w:rsidP="00D73130">
            <w:pPr>
              <w:pStyle w:val="TableParagraph"/>
              <w:spacing w:before="64"/>
              <w:ind w:right="1"/>
              <w:rPr>
                <w:sz w:val="24"/>
              </w:rPr>
            </w:pPr>
            <w:r>
              <w:rPr>
                <w:color w:val="231F20"/>
                <w:spacing w:val="-5"/>
                <w:sz w:val="24"/>
              </w:rPr>
              <w:t>6.1</w:t>
            </w:r>
          </w:p>
        </w:tc>
        <w:tc>
          <w:tcPr>
            <w:tcW w:w="964" w:type="dxa"/>
          </w:tcPr>
          <w:p w14:paraId="016157BC" w14:textId="77777777" w:rsidR="00345EE3" w:rsidRDefault="00345EE3" w:rsidP="00D73130">
            <w:pPr>
              <w:pStyle w:val="TableParagraph"/>
              <w:spacing w:before="64"/>
              <w:ind w:right="1"/>
              <w:rPr>
                <w:sz w:val="24"/>
              </w:rPr>
            </w:pPr>
            <w:r>
              <w:rPr>
                <w:color w:val="231F20"/>
                <w:spacing w:val="-5"/>
                <w:sz w:val="24"/>
              </w:rPr>
              <w:t>304</w:t>
            </w:r>
          </w:p>
        </w:tc>
        <w:tc>
          <w:tcPr>
            <w:tcW w:w="1134" w:type="dxa"/>
          </w:tcPr>
          <w:p w14:paraId="0E6F8A49" w14:textId="77777777" w:rsidR="00345EE3" w:rsidRDefault="00345EE3" w:rsidP="00D73130">
            <w:pPr>
              <w:pStyle w:val="TableParagraph"/>
              <w:spacing w:before="64"/>
              <w:ind w:right="1"/>
              <w:rPr>
                <w:sz w:val="24"/>
              </w:rPr>
            </w:pPr>
            <w:r>
              <w:rPr>
                <w:color w:val="231F20"/>
                <w:sz w:val="24"/>
              </w:rPr>
              <w:t>-</w:t>
            </w:r>
          </w:p>
        </w:tc>
        <w:tc>
          <w:tcPr>
            <w:tcW w:w="1474" w:type="dxa"/>
          </w:tcPr>
          <w:p w14:paraId="6818D4D5" w14:textId="77777777" w:rsidR="00345EE3" w:rsidRDefault="00345EE3" w:rsidP="00D73130">
            <w:pPr>
              <w:pStyle w:val="TableParagraph"/>
              <w:spacing w:before="64"/>
              <w:ind w:right="1"/>
              <w:rPr>
                <w:sz w:val="24"/>
              </w:rPr>
            </w:pPr>
            <w:r>
              <w:rPr>
                <w:color w:val="231F20"/>
                <w:spacing w:val="-2"/>
                <w:sz w:val="24"/>
              </w:rPr>
              <w:t>Receivables</w:t>
            </w:r>
          </w:p>
        </w:tc>
        <w:tc>
          <w:tcPr>
            <w:tcW w:w="1474" w:type="dxa"/>
          </w:tcPr>
          <w:p w14:paraId="1BA9CB35" w14:textId="77777777" w:rsidR="00345EE3" w:rsidRDefault="00345EE3" w:rsidP="00D73130">
            <w:pPr>
              <w:pStyle w:val="TableParagraph"/>
              <w:spacing w:before="64"/>
              <w:ind w:right="1"/>
              <w:rPr>
                <w:sz w:val="24"/>
              </w:rPr>
            </w:pPr>
            <w:r>
              <w:rPr>
                <w:color w:val="231F20"/>
                <w:spacing w:val="-2"/>
                <w:sz w:val="24"/>
              </w:rPr>
              <w:t>(832)</w:t>
            </w:r>
          </w:p>
        </w:tc>
        <w:tc>
          <w:tcPr>
            <w:tcW w:w="1928" w:type="dxa"/>
          </w:tcPr>
          <w:p w14:paraId="5BE5678D" w14:textId="77777777" w:rsidR="00345EE3" w:rsidRDefault="00345EE3" w:rsidP="00D73130">
            <w:pPr>
              <w:pStyle w:val="TableParagraph"/>
              <w:spacing w:before="64"/>
              <w:ind w:right="1"/>
              <w:rPr>
                <w:sz w:val="24"/>
              </w:rPr>
            </w:pPr>
            <w:r>
              <w:rPr>
                <w:color w:val="231F20"/>
                <w:sz w:val="24"/>
              </w:rPr>
              <w:t>-</w:t>
            </w:r>
          </w:p>
        </w:tc>
        <w:tc>
          <w:tcPr>
            <w:tcW w:w="1871" w:type="dxa"/>
          </w:tcPr>
          <w:p w14:paraId="0AC26803" w14:textId="77777777" w:rsidR="00345EE3" w:rsidRDefault="00345EE3" w:rsidP="00D73130">
            <w:pPr>
              <w:pStyle w:val="TableParagraph"/>
              <w:spacing w:before="64"/>
              <w:ind w:right="1"/>
              <w:rPr>
                <w:sz w:val="24"/>
              </w:rPr>
            </w:pPr>
            <w:r>
              <w:rPr>
                <w:color w:val="231F20"/>
                <w:sz w:val="24"/>
              </w:rPr>
              <w:t>-</w:t>
            </w:r>
          </w:p>
        </w:tc>
        <w:tc>
          <w:tcPr>
            <w:tcW w:w="1417" w:type="dxa"/>
          </w:tcPr>
          <w:p w14:paraId="5F1D021F" w14:textId="77777777" w:rsidR="00345EE3" w:rsidRDefault="00345EE3" w:rsidP="00D73130">
            <w:pPr>
              <w:pStyle w:val="TableParagraph"/>
              <w:spacing w:before="64"/>
              <w:ind w:right="2"/>
              <w:rPr>
                <w:sz w:val="24"/>
              </w:rPr>
            </w:pPr>
            <w:r>
              <w:rPr>
                <w:color w:val="231F20"/>
                <w:spacing w:val="-2"/>
                <w:sz w:val="24"/>
              </w:rPr>
              <w:t>1,646</w:t>
            </w:r>
          </w:p>
        </w:tc>
        <w:tc>
          <w:tcPr>
            <w:tcW w:w="1417" w:type="dxa"/>
          </w:tcPr>
          <w:p w14:paraId="76E74097" w14:textId="77777777" w:rsidR="00345EE3" w:rsidRDefault="00345EE3" w:rsidP="00D73130">
            <w:pPr>
              <w:pStyle w:val="TableParagraph"/>
              <w:spacing w:before="64"/>
              <w:ind w:right="1"/>
              <w:rPr>
                <w:sz w:val="24"/>
              </w:rPr>
            </w:pPr>
            <w:r>
              <w:rPr>
                <w:color w:val="231F20"/>
                <w:sz w:val="24"/>
              </w:rPr>
              <w:t>-</w:t>
            </w:r>
          </w:p>
        </w:tc>
        <w:tc>
          <w:tcPr>
            <w:tcW w:w="1474" w:type="dxa"/>
          </w:tcPr>
          <w:p w14:paraId="20A5DF30" w14:textId="77777777" w:rsidR="00345EE3" w:rsidRDefault="00345EE3" w:rsidP="00D73130">
            <w:pPr>
              <w:pStyle w:val="TableParagraph"/>
              <w:spacing w:before="64" w:line="242" w:lineRule="auto"/>
              <w:ind w:left="408" w:right="-5" w:firstLine="690"/>
              <w:jc w:val="left"/>
              <w:rPr>
                <w:sz w:val="24"/>
              </w:rPr>
            </w:pPr>
            <w:r>
              <w:rPr>
                <w:color w:val="231F20"/>
                <w:spacing w:val="-6"/>
                <w:sz w:val="24"/>
              </w:rPr>
              <w:t xml:space="preserve">Not </w:t>
            </w:r>
            <w:r>
              <w:rPr>
                <w:color w:val="231F20"/>
                <w:spacing w:val="-5"/>
                <w:sz w:val="24"/>
              </w:rPr>
              <w:t>applicable</w:t>
            </w:r>
          </w:p>
        </w:tc>
        <w:tc>
          <w:tcPr>
            <w:tcW w:w="1474" w:type="dxa"/>
          </w:tcPr>
          <w:p w14:paraId="166FF182" w14:textId="77777777" w:rsidR="00345EE3" w:rsidRDefault="00345EE3" w:rsidP="00D73130">
            <w:pPr>
              <w:pStyle w:val="TableParagraph"/>
              <w:spacing w:before="64" w:line="242" w:lineRule="auto"/>
              <w:ind w:left="408" w:right="-5" w:firstLine="690"/>
              <w:jc w:val="left"/>
              <w:rPr>
                <w:sz w:val="24"/>
              </w:rPr>
            </w:pPr>
            <w:r>
              <w:rPr>
                <w:color w:val="231F20"/>
                <w:spacing w:val="-6"/>
                <w:sz w:val="24"/>
              </w:rPr>
              <w:t xml:space="preserve">Not </w:t>
            </w:r>
            <w:r>
              <w:rPr>
                <w:color w:val="231F20"/>
                <w:spacing w:val="-5"/>
                <w:sz w:val="24"/>
              </w:rPr>
              <w:t>applicable</w:t>
            </w:r>
          </w:p>
        </w:tc>
        <w:tc>
          <w:tcPr>
            <w:tcW w:w="1871" w:type="dxa"/>
          </w:tcPr>
          <w:p w14:paraId="5F90BD20" w14:textId="77777777" w:rsidR="00345EE3" w:rsidRDefault="00345EE3" w:rsidP="00D73130">
            <w:pPr>
              <w:pStyle w:val="TableParagraph"/>
              <w:spacing w:before="64"/>
              <w:rPr>
                <w:sz w:val="24"/>
              </w:rPr>
            </w:pPr>
            <w:r>
              <w:rPr>
                <w:color w:val="231F20"/>
                <w:sz w:val="24"/>
              </w:rPr>
              <w:t>-</w:t>
            </w:r>
          </w:p>
        </w:tc>
        <w:tc>
          <w:tcPr>
            <w:tcW w:w="1871" w:type="dxa"/>
          </w:tcPr>
          <w:p w14:paraId="4EB4579B" w14:textId="77777777" w:rsidR="00345EE3" w:rsidRDefault="00345EE3" w:rsidP="00D73130">
            <w:pPr>
              <w:pStyle w:val="TableParagraph"/>
              <w:spacing w:before="64"/>
              <w:ind w:right="1"/>
              <w:rPr>
                <w:sz w:val="24"/>
              </w:rPr>
            </w:pPr>
            <w:r>
              <w:rPr>
                <w:color w:val="231F20"/>
                <w:sz w:val="24"/>
              </w:rPr>
              <w:t>-</w:t>
            </w:r>
          </w:p>
        </w:tc>
        <w:tc>
          <w:tcPr>
            <w:tcW w:w="1871" w:type="dxa"/>
            <w:tcBorders>
              <w:right w:val="nil"/>
            </w:tcBorders>
          </w:tcPr>
          <w:p w14:paraId="7791AD1F" w14:textId="77777777" w:rsidR="00345EE3" w:rsidRDefault="00345EE3" w:rsidP="00D73130">
            <w:pPr>
              <w:pStyle w:val="TableParagraph"/>
              <w:spacing w:before="64" w:line="242" w:lineRule="auto"/>
              <w:ind w:left="856" w:right="-20" w:hanging="24"/>
              <w:jc w:val="left"/>
              <w:rPr>
                <w:sz w:val="24"/>
              </w:rPr>
            </w:pPr>
            <w:r>
              <w:rPr>
                <w:color w:val="231F20"/>
                <w:spacing w:val="-2"/>
                <w:sz w:val="24"/>
              </w:rPr>
              <w:t>Operating expenses</w:t>
            </w:r>
          </w:p>
        </w:tc>
      </w:tr>
      <w:tr w:rsidR="00345EE3" w14:paraId="5363B35D" w14:textId="77777777" w:rsidTr="00D73130">
        <w:trPr>
          <w:trHeight w:val="673"/>
        </w:trPr>
        <w:tc>
          <w:tcPr>
            <w:tcW w:w="1247" w:type="dxa"/>
            <w:tcBorders>
              <w:left w:val="nil"/>
              <w:bottom w:val="single" w:sz="4" w:space="0" w:color="231F20"/>
            </w:tcBorders>
          </w:tcPr>
          <w:p w14:paraId="0F72F4BD" w14:textId="77777777" w:rsidR="00345EE3" w:rsidRDefault="00345EE3" w:rsidP="00D73130">
            <w:pPr>
              <w:pStyle w:val="TableParagraph"/>
              <w:spacing w:before="0"/>
              <w:jc w:val="left"/>
              <w:rPr>
                <w:rFonts w:ascii="Times New Roman"/>
              </w:rPr>
            </w:pPr>
          </w:p>
        </w:tc>
        <w:tc>
          <w:tcPr>
            <w:tcW w:w="567" w:type="dxa"/>
            <w:tcBorders>
              <w:bottom w:val="single" w:sz="4" w:space="0" w:color="231F20"/>
            </w:tcBorders>
          </w:tcPr>
          <w:p w14:paraId="4823C1BD" w14:textId="77777777" w:rsidR="00345EE3" w:rsidRDefault="00345EE3" w:rsidP="00D73130">
            <w:pPr>
              <w:pStyle w:val="TableParagraph"/>
              <w:spacing w:before="64"/>
              <w:ind w:right="1"/>
              <w:rPr>
                <w:sz w:val="24"/>
              </w:rPr>
            </w:pPr>
            <w:r>
              <w:rPr>
                <w:color w:val="231F20"/>
                <w:spacing w:val="-5"/>
                <w:sz w:val="24"/>
              </w:rPr>
              <w:t>6.3</w:t>
            </w:r>
          </w:p>
        </w:tc>
        <w:tc>
          <w:tcPr>
            <w:tcW w:w="964" w:type="dxa"/>
            <w:tcBorders>
              <w:bottom w:val="single" w:sz="4" w:space="0" w:color="231F20"/>
            </w:tcBorders>
          </w:tcPr>
          <w:p w14:paraId="1ECC49A7" w14:textId="77777777" w:rsidR="00345EE3" w:rsidRDefault="00345EE3" w:rsidP="00D73130">
            <w:pPr>
              <w:pStyle w:val="TableParagraph"/>
              <w:spacing w:before="64"/>
              <w:rPr>
                <w:sz w:val="24"/>
              </w:rPr>
            </w:pPr>
            <w:r>
              <w:rPr>
                <w:color w:val="231F20"/>
                <w:sz w:val="24"/>
              </w:rPr>
              <w:t>-</w:t>
            </w:r>
          </w:p>
        </w:tc>
        <w:tc>
          <w:tcPr>
            <w:tcW w:w="1134" w:type="dxa"/>
            <w:tcBorders>
              <w:bottom w:val="single" w:sz="4" w:space="0" w:color="231F20"/>
            </w:tcBorders>
          </w:tcPr>
          <w:p w14:paraId="1E3244EA" w14:textId="77777777" w:rsidR="00345EE3" w:rsidRDefault="00345EE3" w:rsidP="00D73130">
            <w:pPr>
              <w:pStyle w:val="TableParagraph"/>
              <w:spacing w:before="64"/>
              <w:ind w:right="1"/>
              <w:rPr>
                <w:sz w:val="24"/>
              </w:rPr>
            </w:pPr>
            <w:r>
              <w:rPr>
                <w:color w:val="231F20"/>
                <w:spacing w:val="-2"/>
                <w:sz w:val="24"/>
              </w:rPr>
              <w:t>(13,745)</w:t>
            </w:r>
          </w:p>
        </w:tc>
        <w:tc>
          <w:tcPr>
            <w:tcW w:w="1474" w:type="dxa"/>
            <w:tcBorders>
              <w:bottom w:val="single" w:sz="4" w:space="0" w:color="231F20"/>
            </w:tcBorders>
          </w:tcPr>
          <w:p w14:paraId="098A9629" w14:textId="77777777" w:rsidR="00345EE3" w:rsidRDefault="00345EE3" w:rsidP="00D73130">
            <w:pPr>
              <w:pStyle w:val="TableParagraph"/>
              <w:spacing w:before="64"/>
              <w:ind w:right="1"/>
              <w:rPr>
                <w:sz w:val="24"/>
              </w:rPr>
            </w:pPr>
            <w:r>
              <w:rPr>
                <w:color w:val="231F20"/>
                <w:spacing w:val="-2"/>
                <w:sz w:val="24"/>
              </w:rPr>
              <w:t>Payables</w:t>
            </w:r>
          </w:p>
        </w:tc>
        <w:tc>
          <w:tcPr>
            <w:tcW w:w="1474" w:type="dxa"/>
            <w:tcBorders>
              <w:bottom w:val="single" w:sz="4" w:space="0" w:color="231F20"/>
            </w:tcBorders>
          </w:tcPr>
          <w:p w14:paraId="24AF4B82" w14:textId="77777777" w:rsidR="00345EE3" w:rsidRDefault="00345EE3" w:rsidP="00D73130">
            <w:pPr>
              <w:pStyle w:val="TableParagraph"/>
              <w:spacing w:before="64"/>
              <w:ind w:right="1"/>
              <w:rPr>
                <w:sz w:val="24"/>
              </w:rPr>
            </w:pPr>
            <w:r>
              <w:rPr>
                <w:color w:val="231F20"/>
                <w:spacing w:val="-2"/>
                <w:sz w:val="24"/>
              </w:rPr>
              <w:t>(6,940)</w:t>
            </w:r>
          </w:p>
        </w:tc>
        <w:tc>
          <w:tcPr>
            <w:tcW w:w="1928" w:type="dxa"/>
            <w:tcBorders>
              <w:bottom w:val="single" w:sz="4" w:space="0" w:color="231F20"/>
            </w:tcBorders>
          </w:tcPr>
          <w:p w14:paraId="73F07EEF" w14:textId="77777777" w:rsidR="00345EE3" w:rsidRDefault="00345EE3" w:rsidP="00D73130">
            <w:pPr>
              <w:pStyle w:val="TableParagraph"/>
              <w:spacing w:before="64"/>
              <w:ind w:right="1"/>
              <w:rPr>
                <w:sz w:val="24"/>
              </w:rPr>
            </w:pPr>
            <w:r>
              <w:rPr>
                <w:color w:val="231F20"/>
                <w:sz w:val="24"/>
              </w:rPr>
              <w:t>-</w:t>
            </w:r>
          </w:p>
        </w:tc>
        <w:tc>
          <w:tcPr>
            <w:tcW w:w="1871" w:type="dxa"/>
            <w:tcBorders>
              <w:bottom w:val="single" w:sz="4" w:space="0" w:color="231F20"/>
            </w:tcBorders>
          </w:tcPr>
          <w:p w14:paraId="6C428651" w14:textId="77777777" w:rsidR="00345EE3" w:rsidRDefault="00345EE3" w:rsidP="00D73130">
            <w:pPr>
              <w:pStyle w:val="TableParagraph"/>
              <w:spacing w:before="64"/>
              <w:ind w:right="1"/>
              <w:rPr>
                <w:sz w:val="24"/>
              </w:rPr>
            </w:pPr>
            <w:r>
              <w:rPr>
                <w:color w:val="231F20"/>
                <w:sz w:val="24"/>
              </w:rPr>
              <w:t>-</w:t>
            </w:r>
          </w:p>
        </w:tc>
        <w:tc>
          <w:tcPr>
            <w:tcW w:w="1417" w:type="dxa"/>
            <w:tcBorders>
              <w:bottom w:val="single" w:sz="4" w:space="0" w:color="231F20"/>
            </w:tcBorders>
          </w:tcPr>
          <w:p w14:paraId="4F27B60E" w14:textId="77777777" w:rsidR="00345EE3" w:rsidRDefault="00345EE3" w:rsidP="00D73130">
            <w:pPr>
              <w:pStyle w:val="TableParagraph"/>
              <w:spacing w:before="64"/>
              <w:ind w:right="1"/>
              <w:rPr>
                <w:sz w:val="24"/>
              </w:rPr>
            </w:pPr>
            <w:r>
              <w:rPr>
                <w:color w:val="231F20"/>
                <w:spacing w:val="-2"/>
                <w:sz w:val="24"/>
              </w:rPr>
              <w:t>2,023</w:t>
            </w:r>
          </w:p>
        </w:tc>
        <w:tc>
          <w:tcPr>
            <w:tcW w:w="1417" w:type="dxa"/>
            <w:tcBorders>
              <w:bottom w:val="single" w:sz="4" w:space="0" w:color="231F20"/>
            </w:tcBorders>
          </w:tcPr>
          <w:p w14:paraId="41800ED4" w14:textId="77777777" w:rsidR="00345EE3" w:rsidRDefault="00345EE3" w:rsidP="00D73130">
            <w:pPr>
              <w:pStyle w:val="TableParagraph"/>
              <w:spacing w:before="64"/>
              <w:ind w:right="1"/>
              <w:rPr>
                <w:sz w:val="24"/>
              </w:rPr>
            </w:pPr>
            <w:r>
              <w:rPr>
                <w:color w:val="231F20"/>
                <w:spacing w:val="-2"/>
                <w:sz w:val="24"/>
              </w:rPr>
              <w:t>11,722</w:t>
            </w:r>
          </w:p>
        </w:tc>
        <w:tc>
          <w:tcPr>
            <w:tcW w:w="1474" w:type="dxa"/>
            <w:tcBorders>
              <w:bottom w:val="single" w:sz="4" w:space="0" w:color="231F20"/>
            </w:tcBorders>
          </w:tcPr>
          <w:p w14:paraId="68C5A963" w14:textId="77777777" w:rsidR="00345EE3" w:rsidRDefault="00345EE3" w:rsidP="00D73130">
            <w:pPr>
              <w:pStyle w:val="TableParagraph"/>
              <w:spacing w:before="64" w:line="242" w:lineRule="auto"/>
              <w:ind w:left="409" w:right="-6" w:firstLine="690"/>
              <w:jc w:val="left"/>
              <w:rPr>
                <w:sz w:val="24"/>
              </w:rPr>
            </w:pPr>
            <w:r>
              <w:rPr>
                <w:color w:val="231F20"/>
                <w:spacing w:val="-6"/>
                <w:sz w:val="24"/>
              </w:rPr>
              <w:t xml:space="preserve">Not </w:t>
            </w:r>
            <w:r>
              <w:rPr>
                <w:color w:val="231F20"/>
                <w:spacing w:val="-5"/>
                <w:sz w:val="24"/>
              </w:rPr>
              <w:t>applicable</w:t>
            </w:r>
          </w:p>
        </w:tc>
        <w:tc>
          <w:tcPr>
            <w:tcW w:w="1474" w:type="dxa"/>
            <w:tcBorders>
              <w:bottom w:val="single" w:sz="4" w:space="0" w:color="231F20"/>
            </w:tcBorders>
          </w:tcPr>
          <w:p w14:paraId="02003B05" w14:textId="77777777" w:rsidR="00345EE3" w:rsidRDefault="00345EE3" w:rsidP="00D73130">
            <w:pPr>
              <w:pStyle w:val="TableParagraph"/>
              <w:spacing w:before="64" w:line="242" w:lineRule="auto"/>
              <w:ind w:left="409" w:right="-6" w:firstLine="690"/>
              <w:jc w:val="left"/>
              <w:rPr>
                <w:sz w:val="24"/>
              </w:rPr>
            </w:pPr>
            <w:r>
              <w:rPr>
                <w:color w:val="231F20"/>
                <w:spacing w:val="-6"/>
                <w:sz w:val="24"/>
              </w:rPr>
              <w:t xml:space="preserve">Not </w:t>
            </w:r>
            <w:r>
              <w:rPr>
                <w:color w:val="231F20"/>
                <w:spacing w:val="-5"/>
                <w:sz w:val="24"/>
              </w:rPr>
              <w:t>applicable</w:t>
            </w:r>
          </w:p>
        </w:tc>
        <w:tc>
          <w:tcPr>
            <w:tcW w:w="1871" w:type="dxa"/>
            <w:tcBorders>
              <w:bottom w:val="single" w:sz="4" w:space="0" w:color="231F20"/>
            </w:tcBorders>
          </w:tcPr>
          <w:p w14:paraId="5DE4F28D" w14:textId="77777777" w:rsidR="00345EE3" w:rsidRDefault="00345EE3" w:rsidP="00D73130">
            <w:pPr>
              <w:pStyle w:val="TableParagraph"/>
              <w:spacing w:before="64"/>
              <w:ind w:right="1"/>
              <w:rPr>
                <w:sz w:val="24"/>
              </w:rPr>
            </w:pPr>
            <w:r>
              <w:rPr>
                <w:color w:val="231F20"/>
                <w:spacing w:val="-2"/>
                <w:sz w:val="24"/>
              </w:rPr>
              <w:t>(1,119)</w:t>
            </w:r>
          </w:p>
        </w:tc>
        <w:tc>
          <w:tcPr>
            <w:tcW w:w="1871" w:type="dxa"/>
            <w:tcBorders>
              <w:bottom w:val="single" w:sz="4" w:space="0" w:color="231F20"/>
            </w:tcBorders>
          </w:tcPr>
          <w:p w14:paraId="3339ECDC" w14:textId="77777777" w:rsidR="00345EE3" w:rsidRDefault="00345EE3" w:rsidP="00D73130">
            <w:pPr>
              <w:pStyle w:val="TableParagraph"/>
              <w:spacing w:before="64"/>
              <w:ind w:right="1"/>
              <w:rPr>
                <w:sz w:val="24"/>
              </w:rPr>
            </w:pPr>
            <w:r>
              <w:rPr>
                <w:color w:val="231F20"/>
                <w:spacing w:val="-2"/>
                <w:sz w:val="24"/>
              </w:rPr>
              <w:t>(204)</w:t>
            </w:r>
          </w:p>
        </w:tc>
        <w:tc>
          <w:tcPr>
            <w:tcW w:w="1871" w:type="dxa"/>
            <w:tcBorders>
              <w:bottom w:val="single" w:sz="4" w:space="0" w:color="231F20"/>
              <w:right w:val="nil"/>
            </w:tcBorders>
          </w:tcPr>
          <w:p w14:paraId="50407209" w14:textId="77777777" w:rsidR="00345EE3" w:rsidRDefault="00345EE3" w:rsidP="00D73130">
            <w:pPr>
              <w:pStyle w:val="TableParagraph"/>
              <w:spacing w:before="64" w:line="242" w:lineRule="auto"/>
              <w:ind w:left="856" w:right="-1" w:hanging="25"/>
              <w:jc w:val="left"/>
              <w:rPr>
                <w:sz w:val="24"/>
              </w:rPr>
            </w:pPr>
            <w:r>
              <w:rPr>
                <w:color w:val="231F20"/>
                <w:spacing w:val="-4"/>
                <w:sz w:val="24"/>
              </w:rPr>
              <w:t xml:space="preserve">Operating </w:t>
            </w:r>
            <w:r>
              <w:rPr>
                <w:color w:val="231F20"/>
                <w:spacing w:val="-5"/>
                <w:sz w:val="24"/>
              </w:rPr>
              <w:t>expenses</w:t>
            </w:r>
          </w:p>
        </w:tc>
      </w:tr>
      <w:tr w:rsidR="00345EE3" w14:paraId="38D32C04" w14:textId="77777777" w:rsidTr="00D73130">
        <w:trPr>
          <w:trHeight w:val="386"/>
        </w:trPr>
        <w:tc>
          <w:tcPr>
            <w:tcW w:w="1247" w:type="dxa"/>
            <w:tcBorders>
              <w:top w:val="single" w:sz="4" w:space="0" w:color="231F20"/>
              <w:left w:val="nil"/>
              <w:bottom w:val="single" w:sz="8" w:space="0" w:color="231F20"/>
            </w:tcBorders>
          </w:tcPr>
          <w:p w14:paraId="32E4C66F" w14:textId="77777777" w:rsidR="00345EE3" w:rsidRDefault="00345EE3" w:rsidP="00D73130">
            <w:pPr>
              <w:pStyle w:val="TableParagraph"/>
              <w:spacing w:before="61"/>
              <w:ind w:left="-4"/>
              <w:jc w:val="left"/>
              <w:rPr>
                <w:b/>
                <w:sz w:val="24"/>
              </w:rPr>
            </w:pPr>
            <w:r>
              <w:rPr>
                <w:b/>
                <w:color w:val="231F20"/>
                <w:spacing w:val="-2"/>
                <w:sz w:val="24"/>
              </w:rPr>
              <w:t>Total</w:t>
            </w:r>
          </w:p>
        </w:tc>
        <w:tc>
          <w:tcPr>
            <w:tcW w:w="567" w:type="dxa"/>
            <w:tcBorders>
              <w:top w:val="single" w:sz="4" w:space="0" w:color="231F20"/>
              <w:bottom w:val="single" w:sz="8" w:space="0" w:color="231F20"/>
            </w:tcBorders>
          </w:tcPr>
          <w:p w14:paraId="0D9D6D63" w14:textId="77777777" w:rsidR="00345EE3" w:rsidRDefault="00345EE3" w:rsidP="00D73130">
            <w:pPr>
              <w:pStyle w:val="TableParagraph"/>
              <w:spacing w:before="0"/>
              <w:jc w:val="left"/>
              <w:rPr>
                <w:rFonts w:ascii="Times New Roman"/>
              </w:rPr>
            </w:pPr>
          </w:p>
        </w:tc>
        <w:tc>
          <w:tcPr>
            <w:tcW w:w="964" w:type="dxa"/>
            <w:tcBorders>
              <w:top w:val="single" w:sz="4" w:space="0" w:color="231F20"/>
              <w:bottom w:val="single" w:sz="8" w:space="0" w:color="231F20"/>
            </w:tcBorders>
          </w:tcPr>
          <w:p w14:paraId="6B7A395E" w14:textId="77777777" w:rsidR="00345EE3" w:rsidRDefault="00345EE3" w:rsidP="00D73130">
            <w:pPr>
              <w:pStyle w:val="TableParagraph"/>
              <w:spacing w:before="61"/>
              <w:rPr>
                <w:b/>
                <w:sz w:val="24"/>
              </w:rPr>
            </w:pPr>
            <w:r>
              <w:rPr>
                <w:b/>
                <w:color w:val="231F20"/>
                <w:spacing w:val="-5"/>
                <w:sz w:val="24"/>
              </w:rPr>
              <w:t>304</w:t>
            </w:r>
          </w:p>
        </w:tc>
        <w:tc>
          <w:tcPr>
            <w:tcW w:w="1134" w:type="dxa"/>
            <w:tcBorders>
              <w:top w:val="single" w:sz="4" w:space="0" w:color="231F20"/>
              <w:bottom w:val="single" w:sz="8" w:space="0" w:color="231F20"/>
            </w:tcBorders>
          </w:tcPr>
          <w:p w14:paraId="4AF7B326" w14:textId="77777777" w:rsidR="00345EE3" w:rsidRDefault="00345EE3" w:rsidP="00D73130">
            <w:pPr>
              <w:pStyle w:val="TableParagraph"/>
              <w:spacing w:before="61"/>
              <w:rPr>
                <w:b/>
                <w:sz w:val="24"/>
              </w:rPr>
            </w:pPr>
            <w:r>
              <w:rPr>
                <w:b/>
                <w:color w:val="231F20"/>
                <w:spacing w:val="-2"/>
                <w:sz w:val="24"/>
              </w:rPr>
              <w:t>(13,745)</w:t>
            </w:r>
          </w:p>
        </w:tc>
        <w:tc>
          <w:tcPr>
            <w:tcW w:w="1474" w:type="dxa"/>
            <w:tcBorders>
              <w:top w:val="single" w:sz="4" w:space="0" w:color="231F20"/>
              <w:bottom w:val="single" w:sz="8" w:space="0" w:color="231F20"/>
            </w:tcBorders>
          </w:tcPr>
          <w:p w14:paraId="1BA09724" w14:textId="77777777" w:rsidR="00345EE3" w:rsidRDefault="00345EE3" w:rsidP="00D73130">
            <w:pPr>
              <w:pStyle w:val="TableParagraph"/>
              <w:spacing w:before="0"/>
              <w:jc w:val="left"/>
              <w:rPr>
                <w:rFonts w:ascii="Times New Roman"/>
              </w:rPr>
            </w:pPr>
          </w:p>
        </w:tc>
        <w:tc>
          <w:tcPr>
            <w:tcW w:w="1474" w:type="dxa"/>
            <w:tcBorders>
              <w:top w:val="single" w:sz="4" w:space="0" w:color="231F20"/>
              <w:bottom w:val="single" w:sz="8" w:space="0" w:color="231F20"/>
            </w:tcBorders>
          </w:tcPr>
          <w:p w14:paraId="7AD30DDA" w14:textId="77777777" w:rsidR="00345EE3" w:rsidRDefault="00345EE3" w:rsidP="00D73130">
            <w:pPr>
              <w:pStyle w:val="TableParagraph"/>
              <w:spacing w:before="61"/>
              <w:rPr>
                <w:b/>
                <w:sz w:val="24"/>
              </w:rPr>
            </w:pPr>
            <w:r>
              <w:rPr>
                <w:b/>
                <w:color w:val="231F20"/>
                <w:spacing w:val="-2"/>
                <w:sz w:val="24"/>
              </w:rPr>
              <w:t>(7,772)</w:t>
            </w:r>
          </w:p>
        </w:tc>
        <w:tc>
          <w:tcPr>
            <w:tcW w:w="1928" w:type="dxa"/>
            <w:tcBorders>
              <w:top w:val="single" w:sz="4" w:space="0" w:color="231F20"/>
              <w:bottom w:val="single" w:sz="8" w:space="0" w:color="231F20"/>
            </w:tcBorders>
          </w:tcPr>
          <w:p w14:paraId="0DC752DE" w14:textId="77777777" w:rsidR="00345EE3" w:rsidRDefault="00345EE3" w:rsidP="00D73130">
            <w:pPr>
              <w:pStyle w:val="TableParagraph"/>
              <w:spacing w:before="0"/>
              <w:jc w:val="left"/>
              <w:rPr>
                <w:rFonts w:ascii="Times New Roman"/>
              </w:rPr>
            </w:pPr>
          </w:p>
        </w:tc>
        <w:tc>
          <w:tcPr>
            <w:tcW w:w="1871" w:type="dxa"/>
            <w:tcBorders>
              <w:top w:val="single" w:sz="4" w:space="0" w:color="231F20"/>
              <w:bottom w:val="single" w:sz="8" w:space="0" w:color="231F20"/>
            </w:tcBorders>
          </w:tcPr>
          <w:p w14:paraId="32C2CD11" w14:textId="77777777" w:rsidR="00345EE3" w:rsidRDefault="00345EE3" w:rsidP="00D73130">
            <w:pPr>
              <w:pStyle w:val="TableParagraph"/>
              <w:spacing w:before="0"/>
              <w:jc w:val="left"/>
              <w:rPr>
                <w:rFonts w:ascii="Times New Roman"/>
              </w:rPr>
            </w:pPr>
          </w:p>
        </w:tc>
        <w:tc>
          <w:tcPr>
            <w:tcW w:w="1417" w:type="dxa"/>
            <w:tcBorders>
              <w:top w:val="single" w:sz="4" w:space="0" w:color="231F20"/>
              <w:bottom w:val="single" w:sz="8" w:space="0" w:color="231F20"/>
            </w:tcBorders>
          </w:tcPr>
          <w:p w14:paraId="7641C46A" w14:textId="77777777" w:rsidR="00345EE3" w:rsidRDefault="00345EE3" w:rsidP="00D73130">
            <w:pPr>
              <w:pStyle w:val="TableParagraph"/>
              <w:spacing w:before="61"/>
              <w:ind w:right="1"/>
              <w:rPr>
                <w:b/>
                <w:sz w:val="24"/>
              </w:rPr>
            </w:pPr>
            <w:r>
              <w:rPr>
                <w:b/>
                <w:color w:val="231F20"/>
                <w:spacing w:val="-2"/>
                <w:sz w:val="24"/>
              </w:rPr>
              <w:t>3,669</w:t>
            </w:r>
          </w:p>
        </w:tc>
        <w:tc>
          <w:tcPr>
            <w:tcW w:w="1417" w:type="dxa"/>
            <w:tcBorders>
              <w:top w:val="single" w:sz="4" w:space="0" w:color="231F20"/>
              <w:bottom w:val="single" w:sz="8" w:space="0" w:color="231F20"/>
            </w:tcBorders>
          </w:tcPr>
          <w:p w14:paraId="5418FC09" w14:textId="77777777" w:rsidR="00345EE3" w:rsidRDefault="00345EE3" w:rsidP="00D73130">
            <w:pPr>
              <w:pStyle w:val="TableParagraph"/>
              <w:spacing w:before="61"/>
              <w:rPr>
                <w:b/>
                <w:sz w:val="24"/>
              </w:rPr>
            </w:pPr>
            <w:r>
              <w:rPr>
                <w:b/>
                <w:color w:val="231F20"/>
                <w:spacing w:val="-2"/>
                <w:sz w:val="24"/>
              </w:rPr>
              <w:t>11,722</w:t>
            </w:r>
          </w:p>
        </w:tc>
        <w:tc>
          <w:tcPr>
            <w:tcW w:w="1474" w:type="dxa"/>
            <w:tcBorders>
              <w:top w:val="single" w:sz="4" w:space="0" w:color="231F20"/>
              <w:bottom w:val="single" w:sz="8" w:space="0" w:color="231F20"/>
            </w:tcBorders>
          </w:tcPr>
          <w:p w14:paraId="5D89C3E7" w14:textId="77777777" w:rsidR="00345EE3" w:rsidRDefault="00345EE3" w:rsidP="00D73130">
            <w:pPr>
              <w:pStyle w:val="TableParagraph"/>
              <w:spacing w:before="61"/>
              <w:rPr>
                <w:b/>
                <w:sz w:val="24"/>
              </w:rPr>
            </w:pPr>
            <w:r>
              <w:rPr>
                <w:b/>
                <w:color w:val="231F20"/>
                <w:sz w:val="24"/>
              </w:rPr>
              <w:t>-</w:t>
            </w:r>
          </w:p>
        </w:tc>
        <w:tc>
          <w:tcPr>
            <w:tcW w:w="1474" w:type="dxa"/>
            <w:tcBorders>
              <w:top w:val="single" w:sz="4" w:space="0" w:color="231F20"/>
              <w:bottom w:val="single" w:sz="8" w:space="0" w:color="231F20"/>
            </w:tcBorders>
          </w:tcPr>
          <w:p w14:paraId="092D5E92" w14:textId="77777777" w:rsidR="00345EE3" w:rsidRDefault="00345EE3" w:rsidP="00D73130">
            <w:pPr>
              <w:pStyle w:val="TableParagraph"/>
              <w:spacing w:before="61"/>
              <w:rPr>
                <w:b/>
                <w:sz w:val="24"/>
              </w:rPr>
            </w:pPr>
            <w:r>
              <w:rPr>
                <w:b/>
                <w:color w:val="231F20"/>
                <w:sz w:val="24"/>
              </w:rPr>
              <w:t>-</w:t>
            </w:r>
          </w:p>
        </w:tc>
        <w:tc>
          <w:tcPr>
            <w:tcW w:w="1871" w:type="dxa"/>
            <w:tcBorders>
              <w:top w:val="single" w:sz="4" w:space="0" w:color="231F20"/>
              <w:bottom w:val="single" w:sz="8" w:space="0" w:color="231F20"/>
            </w:tcBorders>
          </w:tcPr>
          <w:p w14:paraId="2C91BEDD" w14:textId="77777777" w:rsidR="00345EE3" w:rsidRDefault="00345EE3" w:rsidP="00D73130">
            <w:pPr>
              <w:pStyle w:val="TableParagraph"/>
              <w:spacing w:before="61"/>
              <w:rPr>
                <w:b/>
                <w:sz w:val="24"/>
              </w:rPr>
            </w:pPr>
            <w:r>
              <w:rPr>
                <w:b/>
                <w:color w:val="231F20"/>
                <w:spacing w:val="-2"/>
                <w:sz w:val="24"/>
              </w:rPr>
              <w:t>(1,119)</w:t>
            </w:r>
          </w:p>
        </w:tc>
        <w:tc>
          <w:tcPr>
            <w:tcW w:w="1871" w:type="dxa"/>
            <w:tcBorders>
              <w:top w:val="single" w:sz="4" w:space="0" w:color="231F20"/>
              <w:bottom w:val="single" w:sz="8" w:space="0" w:color="231F20"/>
            </w:tcBorders>
          </w:tcPr>
          <w:p w14:paraId="6E53E41F" w14:textId="77777777" w:rsidR="00345EE3" w:rsidRDefault="00345EE3" w:rsidP="00D73130">
            <w:pPr>
              <w:pStyle w:val="TableParagraph"/>
              <w:spacing w:before="61"/>
              <w:rPr>
                <w:b/>
                <w:sz w:val="24"/>
              </w:rPr>
            </w:pPr>
            <w:r>
              <w:rPr>
                <w:b/>
                <w:color w:val="231F20"/>
                <w:spacing w:val="-2"/>
                <w:sz w:val="24"/>
              </w:rPr>
              <w:t>(204)</w:t>
            </w:r>
          </w:p>
        </w:tc>
        <w:tc>
          <w:tcPr>
            <w:tcW w:w="1871" w:type="dxa"/>
            <w:tcBorders>
              <w:top w:val="single" w:sz="4" w:space="0" w:color="231F20"/>
              <w:bottom w:val="single" w:sz="8" w:space="0" w:color="231F20"/>
              <w:right w:val="nil"/>
            </w:tcBorders>
          </w:tcPr>
          <w:p w14:paraId="2363702D" w14:textId="77777777" w:rsidR="00345EE3" w:rsidRDefault="00345EE3" w:rsidP="00D73130">
            <w:pPr>
              <w:pStyle w:val="TableParagraph"/>
              <w:spacing w:before="0"/>
              <w:jc w:val="left"/>
              <w:rPr>
                <w:rFonts w:ascii="Times New Roman"/>
              </w:rPr>
            </w:pPr>
          </w:p>
        </w:tc>
      </w:tr>
    </w:tbl>
    <w:p w14:paraId="184C5BBD" w14:textId="77777777" w:rsidR="00345EE3" w:rsidRPr="00AC6ADA" w:rsidRDefault="00345EE3" w:rsidP="00345EE3">
      <w:pPr>
        <w:spacing w:before="80"/>
        <w:ind w:left="110"/>
        <w:rPr>
          <w:rFonts w:ascii="Arial-BoldItalicMT"/>
          <w:b/>
          <w:i/>
          <w:sz w:val="18"/>
          <w:szCs w:val="18"/>
        </w:rPr>
      </w:pPr>
      <w:r w:rsidRPr="00AC6ADA">
        <w:rPr>
          <w:rFonts w:ascii="Arial-BoldItalicMT"/>
          <w:b/>
          <w:i/>
          <w:color w:val="231F20"/>
          <w:spacing w:val="-2"/>
          <w:sz w:val="18"/>
          <w:szCs w:val="18"/>
        </w:rPr>
        <w:t>Note:</w:t>
      </w:r>
    </w:p>
    <w:p w14:paraId="446823AC" w14:textId="77777777" w:rsidR="00345EE3" w:rsidRPr="00AC6ADA" w:rsidRDefault="00345EE3" w:rsidP="00345EE3">
      <w:pPr>
        <w:spacing w:before="27"/>
        <w:ind w:left="110"/>
        <w:rPr>
          <w:sz w:val="18"/>
          <w:szCs w:val="18"/>
        </w:rPr>
      </w:pPr>
      <w:r w:rsidRPr="00AC6ADA">
        <w:rPr>
          <w:color w:val="231F20"/>
          <w:sz w:val="18"/>
          <w:szCs w:val="18"/>
        </w:rPr>
        <w:t>(a)</w:t>
      </w:r>
      <w:r w:rsidRPr="00AC6ADA">
        <w:rPr>
          <w:color w:val="231F20"/>
          <w:spacing w:val="27"/>
          <w:sz w:val="18"/>
          <w:szCs w:val="18"/>
        </w:rPr>
        <w:t xml:space="preserve"> </w:t>
      </w:r>
      <w:r w:rsidRPr="00AC6ADA">
        <w:rPr>
          <w:color w:val="231F20"/>
          <w:sz w:val="18"/>
          <w:szCs w:val="18"/>
        </w:rPr>
        <w:t>When</w:t>
      </w:r>
      <w:r w:rsidRPr="00AC6ADA">
        <w:rPr>
          <w:color w:val="231F20"/>
          <w:spacing w:val="-2"/>
          <w:sz w:val="18"/>
          <w:szCs w:val="18"/>
        </w:rPr>
        <w:t xml:space="preserve"> </w:t>
      </w:r>
      <w:r w:rsidRPr="00AC6ADA">
        <w:rPr>
          <w:color w:val="231F20"/>
          <w:sz w:val="18"/>
          <w:szCs w:val="18"/>
        </w:rPr>
        <w:t>there</w:t>
      </w:r>
      <w:r w:rsidRPr="00AC6ADA">
        <w:rPr>
          <w:color w:val="231F20"/>
          <w:spacing w:val="-3"/>
          <w:sz w:val="18"/>
          <w:szCs w:val="18"/>
        </w:rPr>
        <w:t xml:space="preserve"> </w:t>
      </w:r>
      <w:r w:rsidRPr="00AC6ADA">
        <w:rPr>
          <w:color w:val="231F20"/>
          <w:sz w:val="18"/>
          <w:szCs w:val="18"/>
        </w:rPr>
        <w:t>are</w:t>
      </w:r>
      <w:r w:rsidRPr="00AC6ADA">
        <w:rPr>
          <w:color w:val="231F20"/>
          <w:spacing w:val="-2"/>
          <w:sz w:val="18"/>
          <w:szCs w:val="18"/>
        </w:rPr>
        <w:t xml:space="preserve"> </w:t>
      </w:r>
      <w:r w:rsidRPr="00AC6ADA">
        <w:rPr>
          <w:color w:val="231F20"/>
          <w:sz w:val="18"/>
          <w:szCs w:val="18"/>
        </w:rPr>
        <w:t>no</w:t>
      </w:r>
      <w:r w:rsidRPr="00AC6ADA">
        <w:rPr>
          <w:color w:val="231F20"/>
          <w:spacing w:val="-2"/>
          <w:sz w:val="18"/>
          <w:szCs w:val="18"/>
        </w:rPr>
        <w:t xml:space="preserve"> </w:t>
      </w:r>
      <w:r w:rsidRPr="00AC6ADA">
        <w:rPr>
          <w:color w:val="231F20"/>
          <w:sz w:val="18"/>
          <w:szCs w:val="18"/>
        </w:rPr>
        <w:t>amounts</w:t>
      </w:r>
      <w:r w:rsidRPr="00AC6ADA">
        <w:rPr>
          <w:color w:val="231F20"/>
          <w:spacing w:val="-3"/>
          <w:sz w:val="18"/>
          <w:szCs w:val="18"/>
        </w:rPr>
        <w:t xml:space="preserve"> </w:t>
      </w:r>
      <w:r w:rsidRPr="00AC6ADA">
        <w:rPr>
          <w:color w:val="231F20"/>
          <w:sz w:val="18"/>
          <w:szCs w:val="18"/>
        </w:rPr>
        <w:t>falling</w:t>
      </w:r>
      <w:r w:rsidRPr="00AC6ADA">
        <w:rPr>
          <w:color w:val="231F20"/>
          <w:spacing w:val="-2"/>
          <w:sz w:val="18"/>
          <w:szCs w:val="18"/>
        </w:rPr>
        <w:t xml:space="preserve"> </w:t>
      </w:r>
      <w:r w:rsidRPr="00AC6ADA">
        <w:rPr>
          <w:color w:val="231F20"/>
          <w:sz w:val="18"/>
          <w:szCs w:val="18"/>
        </w:rPr>
        <w:t>under</w:t>
      </w:r>
      <w:r w:rsidRPr="00AC6ADA">
        <w:rPr>
          <w:color w:val="231F20"/>
          <w:spacing w:val="-2"/>
          <w:sz w:val="18"/>
          <w:szCs w:val="18"/>
        </w:rPr>
        <w:t xml:space="preserve"> </w:t>
      </w:r>
      <w:r w:rsidRPr="00AC6ADA">
        <w:rPr>
          <w:color w:val="231F20"/>
          <w:sz w:val="18"/>
          <w:szCs w:val="18"/>
        </w:rPr>
        <w:t>these</w:t>
      </w:r>
      <w:r w:rsidRPr="00AC6ADA">
        <w:rPr>
          <w:color w:val="231F20"/>
          <w:spacing w:val="-2"/>
          <w:sz w:val="18"/>
          <w:szCs w:val="18"/>
        </w:rPr>
        <w:t xml:space="preserve"> </w:t>
      </w:r>
      <w:r w:rsidRPr="00AC6ADA">
        <w:rPr>
          <w:color w:val="231F20"/>
          <w:sz w:val="18"/>
          <w:szCs w:val="18"/>
        </w:rPr>
        <w:t>categories</w:t>
      </w:r>
      <w:r w:rsidRPr="00AC6ADA">
        <w:rPr>
          <w:color w:val="231F20"/>
          <w:spacing w:val="-3"/>
          <w:sz w:val="18"/>
          <w:szCs w:val="18"/>
        </w:rPr>
        <w:t xml:space="preserve"> </w:t>
      </w:r>
      <w:r w:rsidRPr="00AC6ADA">
        <w:rPr>
          <w:color w:val="231F20"/>
          <w:sz w:val="18"/>
          <w:szCs w:val="18"/>
        </w:rPr>
        <w:t>for</w:t>
      </w:r>
      <w:r w:rsidRPr="00AC6ADA">
        <w:rPr>
          <w:color w:val="231F20"/>
          <w:spacing w:val="-2"/>
          <w:sz w:val="18"/>
          <w:szCs w:val="18"/>
        </w:rPr>
        <w:t xml:space="preserve"> </w:t>
      </w:r>
      <w:r w:rsidRPr="00AC6ADA">
        <w:rPr>
          <w:color w:val="231F20"/>
          <w:sz w:val="18"/>
          <w:szCs w:val="18"/>
        </w:rPr>
        <w:t>both</w:t>
      </w:r>
      <w:r w:rsidRPr="00AC6ADA">
        <w:rPr>
          <w:color w:val="231F20"/>
          <w:spacing w:val="-2"/>
          <w:sz w:val="18"/>
          <w:szCs w:val="18"/>
        </w:rPr>
        <w:t xml:space="preserve"> </w:t>
      </w:r>
      <w:r w:rsidRPr="00AC6ADA">
        <w:rPr>
          <w:color w:val="231F20"/>
          <w:sz w:val="18"/>
          <w:szCs w:val="18"/>
        </w:rPr>
        <w:t>current</w:t>
      </w:r>
      <w:r w:rsidRPr="00AC6ADA">
        <w:rPr>
          <w:color w:val="231F20"/>
          <w:spacing w:val="-3"/>
          <w:sz w:val="18"/>
          <w:szCs w:val="18"/>
        </w:rPr>
        <w:t xml:space="preserve"> </w:t>
      </w:r>
      <w:r w:rsidRPr="00AC6ADA">
        <w:rPr>
          <w:color w:val="231F20"/>
          <w:sz w:val="18"/>
          <w:szCs w:val="18"/>
        </w:rPr>
        <w:t>and</w:t>
      </w:r>
      <w:r w:rsidRPr="00AC6ADA">
        <w:rPr>
          <w:color w:val="231F20"/>
          <w:spacing w:val="-2"/>
          <w:sz w:val="18"/>
          <w:szCs w:val="18"/>
        </w:rPr>
        <w:t xml:space="preserve"> </w:t>
      </w:r>
      <w:r w:rsidRPr="00AC6ADA">
        <w:rPr>
          <w:color w:val="231F20"/>
          <w:sz w:val="18"/>
          <w:szCs w:val="18"/>
        </w:rPr>
        <w:t>prior</w:t>
      </w:r>
      <w:r w:rsidRPr="00AC6ADA">
        <w:rPr>
          <w:color w:val="231F20"/>
          <w:spacing w:val="-2"/>
          <w:sz w:val="18"/>
          <w:szCs w:val="18"/>
        </w:rPr>
        <w:t xml:space="preserve"> </w:t>
      </w:r>
      <w:r w:rsidRPr="00AC6ADA">
        <w:rPr>
          <w:color w:val="231F20"/>
          <w:sz w:val="18"/>
          <w:szCs w:val="18"/>
        </w:rPr>
        <w:t>periods,</w:t>
      </w:r>
      <w:r w:rsidRPr="00AC6ADA">
        <w:rPr>
          <w:color w:val="231F20"/>
          <w:spacing w:val="-2"/>
          <w:sz w:val="18"/>
          <w:szCs w:val="18"/>
        </w:rPr>
        <w:t xml:space="preserve"> </w:t>
      </w:r>
      <w:r w:rsidRPr="00AC6ADA">
        <w:rPr>
          <w:color w:val="231F20"/>
          <w:sz w:val="18"/>
          <w:szCs w:val="18"/>
        </w:rPr>
        <w:t>they</w:t>
      </w:r>
      <w:r w:rsidRPr="00AC6ADA">
        <w:rPr>
          <w:color w:val="231F20"/>
          <w:spacing w:val="-3"/>
          <w:sz w:val="18"/>
          <w:szCs w:val="18"/>
        </w:rPr>
        <w:t xml:space="preserve"> </w:t>
      </w:r>
      <w:r w:rsidRPr="00AC6ADA">
        <w:rPr>
          <w:color w:val="231F20"/>
          <w:sz w:val="18"/>
          <w:szCs w:val="18"/>
        </w:rPr>
        <w:t>are</w:t>
      </w:r>
      <w:r w:rsidRPr="00AC6ADA">
        <w:rPr>
          <w:color w:val="231F20"/>
          <w:spacing w:val="-2"/>
          <w:sz w:val="18"/>
          <w:szCs w:val="18"/>
        </w:rPr>
        <w:t xml:space="preserve"> </w:t>
      </w:r>
      <w:r w:rsidRPr="00AC6ADA">
        <w:rPr>
          <w:color w:val="231F20"/>
          <w:sz w:val="18"/>
          <w:szCs w:val="18"/>
        </w:rPr>
        <w:t>denoted</w:t>
      </w:r>
      <w:r w:rsidRPr="00AC6ADA">
        <w:rPr>
          <w:color w:val="231F20"/>
          <w:spacing w:val="-2"/>
          <w:sz w:val="18"/>
          <w:szCs w:val="18"/>
        </w:rPr>
        <w:t xml:space="preserve"> </w:t>
      </w:r>
      <w:r w:rsidRPr="00AC6ADA">
        <w:rPr>
          <w:color w:val="231F20"/>
          <w:sz w:val="18"/>
          <w:szCs w:val="18"/>
        </w:rPr>
        <w:t>as</w:t>
      </w:r>
      <w:r w:rsidRPr="00AC6ADA">
        <w:rPr>
          <w:color w:val="231F20"/>
          <w:spacing w:val="-2"/>
          <w:sz w:val="18"/>
          <w:szCs w:val="18"/>
        </w:rPr>
        <w:t xml:space="preserve"> </w:t>
      </w:r>
      <w:r w:rsidRPr="00AC6ADA">
        <w:rPr>
          <w:color w:val="231F20"/>
          <w:spacing w:val="-4"/>
          <w:sz w:val="18"/>
          <w:szCs w:val="18"/>
        </w:rPr>
        <w:t>‘–’.</w:t>
      </w:r>
    </w:p>
    <w:p w14:paraId="6A2D584C" w14:textId="77777777" w:rsidR="00345EE3" w:rsidRDefault="00345EE3" w:rsidP="00345EE3">
      <w:pPr>
        <w:rPr>
          <w:sz w:val="14"/>
        </w:rPr>
        <w:sectPr w:rsidR="00345EE3" w:rsidSect="008472B9">
          <w:pgSz w:w="23820" w:h="16840" w:orient="landscape"/>
          <w:pgMar w:top="794" w:right="799" w:bottom="278" w:left="743" w:header="720" w:footer="720" w:gutter="0"/>
          <w:cols w:space="720"/>
        </w:sectPr>
      </w:pPr>
    </w:p>
    <w:p w14:paraId="68A13B24" w14:textId="0347F411" w:rsidR="00345EE3" w:rsidRPr="00DD6926" w:rsidRDefault="00345EE3" w:rsidP="002A27BA">
      <w:pPr>
        <w:pStyle w:val="Heading3"/>
        <w:numPr>
          <w:ilvl w:val="1"/>
          <w:numId w:val="44"/>
        </w:numPr>
      </w:pPr>
      <w:r>
        <w:t>Contingent</w:t>
      </w:r>
      <w:r w:rsidRPr="00DD6926">
        <w:t xml:space="preserve"> </w:t>
      </w:r>
      <w:r>
        <w:t>Liabilities</w:t>
      </w:r>
      <w:r w:rsidRPr="00DD6926">
        <w:t xml:space="preserve"> </w:t>
      </w:r>
      <w:r>
        <w:t>and</w:t>
      </w:r>
      <w:r w:rsidRPr="00DD6926">
        <w:t xml:space="preserve"> </w:t>
      </w:r>
      <w:r>
        <w:t>Contingent</w:t>
      </w:r>
      <w:r w:rsidRPr="00DD6926">
        <w:t xml:space="preserve"> Assets</w:t>
      </w:r>
    </w:p>
    <w:p w14:paraId="0C66C4A0" w14:textId="77777777" w:rsidR="00345EE3" w:rsidRDefault="00345EE3" w:rsidP="00345EE3">
      <w:pPr>
        <w:pStyle w:val="BodyText"/>
        <w:spacing w:before="52" w:line="242" w:lineRule="auto"/>
        <w:ind w:right="327"/>
      </w:pPr>
      <w:r>
        <w:rPr>
          <w:color w:val="231F20"/>
        </w:rPr>
        <w:t>Contingent liabilities and contingent assets are not recognised in the Balance Sheet but are disclosed</w:t>
      </w:r>
      <w:r>
        <w:rPr>
          <w:color w:val="231F20"/>
          <w:spacing w:val="-13"/>
        </w:rPr>
        <w:t xml:space="preserve"> </w:t>
      </w:r>
      <w:r>
        <w:rPr>
          <w:color w:val="231F20"/>
        </w:rPr>
        <w:t>and,</w:t>
      </w:r>
      <w:r>
        <w:rPr>
          <w:color w:val="231F20"/>
          <w:spacing w:val="-12"/>
        </w:rPr>
        <w:t xml:space="preserve"> </w:t>
      </w:r>
      <w:r>
        <w:rPr>
          <w:color w:val="231F20"/>
        </w:rPr>
        <w:t>if</w:t>
      </w:r>
      <w:r>
        <w:rPr>
          <w:color w:val="231F20"/>
          <w:spacing w:val="-12"/>
        </w:rPr>
        <w:t xml:space="preserve"> </w:t>
      </w:r>
      <w:r>
        <w:rPr>
          <w:color w:val="231F20"/>
        </w:rPr>
        <w:t>quantifiable,</w:t>
      </w:r>
      <w:r>
        <w:rPr>
          <w:color w:val="231F20"/>
          <w:spacing w:val="-12"/>
        </w:rPr>
        <w:t xml:space="preserve"> </w:t>
      </w:r>
      <w:r>
        <w:rPr>
          <w:color w:val="231F20"/>
        </w:rPr>
        <w:t>are</w:t>
      </w:r>
      <w:r>
        <w:rPr>
          <w:color w:val="231F20"/>
          <w:spacing w:val="-13"/>
        </w:rPr>
        <w:t xml:space="preserve"> </w:t>
      </w:r>
      <w:r>
        <w:rPr>
          <w:color w:val="231F20"/>
        </w:rPr>
        <w:t>measured</w:t>
      </w:r>
      <w:r>
        <w:rPr>
          <w:color w:val="231F20"/>
          <w:spacing w:val="-13"/>
        </w:rPr>
        <w:t xml:space="preserve"> </w:t>
      </w:r>
      <w:r>
        <w:rPr>
          <w:color w:val="231F20"/>
        </w:rPr>
        <w:t>at</w:t>
      </w:r>
      <w:r>
        <w:rPr>
          <w:color w:val="231F20"/>
          <w:spacing w:val="-12"/>
        </w:rPr>
        <w:t xml:space="preserve"> </w:t>
      </w:r>
      <w:r>
        <w:rPr>
          <w:color w:val="231F20"/>
        </w:rPr>
        <w:t>nominal</w:t>
      </w:r>
      <w:r>
        <w:rPr>
          <w:color w:val="231F20"/>
          <w:spacing w:val="-13"/>
        </w:rPr>
        <w:t xml:space="preserve"> </w:t>
      </w:r>
      <w:r>
        <w:rPr>
          <w:color w:val="231F20"/>
        </w:rPr>
        <w:t>value.</w:t>
      </w:r>
      <w:r>
        <w:rPr>
          <w:color w:val="231F20"/>
          <w:spacing w:val="-12"/>
        </w:rPr>
        <w:t xml:space="preserve"> </w:t>
      </w:r>
      <w:r>
        <w:rPr>
          <w:color w:val="231F20"/>
        </w:rPr>
        <w:t>Contingent</w:t>
      </w:r>
      <w:r>
        <w:rPr>
          <w:color w:val="231F20"/>
          <w:spacing w:val="-12"/>
        </w:rPr>
        <w:t xml:space="preserve"> </w:t>
      </w:r>
      <w:r>
        <w:rPr>
          <w:color w:val="231F20"/>
        </w:rPr>
        <w:t>assets</w:t>
      </w:r>
      <w:r>
        <w:rPr>
          <w:color w:val="231F20"/>
          <w:spacing w:val="-12"/>
        </w:rPr>
        <w:t xml:space="preserve"> </w:t>
      </w:r>
      <w:r>
        <w:rPr>
          <w:color w:val="231F20"/>
        </w:rPr>
        <w:t>and</w:t>
      </w:r>
      <w:r>
        <w:rPr>
          <w:color w:val="231F20"/>
          <w:spacing w:val="-13"/>
        </w:rPr>
        <w:t xml:space="preserve"> </w:t>
      </w:r>
      <w:r>
        <w:rPr>
          <w:color w:val="231F20"/>
        </w:rPr>
        <w:t>liabilities are presented inclusive of GST receivable or payable respectively.</w:t>
      </w:r>
    </w:p>
    <w:p w14:paraId="5D91DADB" w14:textId="77777777" w:rsidR="00345EE3" w:rsidRDefault="00345EE3" w:rsidP="00345EE3">
      <w:pPr>
        <w:pStyle w:val="Heading5"/>
        <w:spacing w:before="174"/>
      </w:pPr>
      <w:r>
        <w:rPr>
          <w:color w:val="58595B"/>
        </w:rPr>
        <w:t>Contingent</w:t>
      </w:r>
      <w:r>
        <w:rPr>
          <w:color w:val="58595B"/>
          <w:spacing w:val="-10"/>
        </w:rPr>
        <w:t xml:space="preserve"> </w:t>
      </w:r>
      <w:r>
        <w:rPr>
          <w:color w:val="58595B"/>
          <w:spacing w:val="-2"/>
        </w:rPr>
        <w:t>assets</w:t>
      </w:r>
    </w:p>
    <w:p w14:paraId="3F85EE42" w14:textId="77777777" w:rsidR="00345EE3" w:rsidRDefault="00345EE3" w:rsidP="00345EE3">
      <w:pPr>
        <w:pStyle w:val="BodyText"/>
        <w:spacing w:before="4" w:line="242" w:lineRule="auto"/>
      </w:pPr>
      <w:r>
        <w:rPr>
          <w:color w:val="231F20"/>
        </w:rPr>
        <w:t>Contingent assets are possible assets that arise from past events, whose existence will be confirmed</w:t>
      </w:r>
      <w:r>
        <w:rPr>
          <w:color w:val="231F20"/>
          <w:spacing w:val="-6"/>
        </w:rPr>
        <w:t xml:space="preserve"> </w:t>
      </w:r>
      <w:r>
        <w:rPr>
          <w:color w:val="231F20"/>
        </w:rPr>
        <w:t>only</w:t>
      </w:r>
      <w:r>
        <w:rPr>
          <w:color w:val="231F20"/>
          <w:spacing w:val="-5"/>
        </w:rPr>
        <w:t xml:space="preserve"> </w:t>
      </w:r>
      <w:r>
        <w:rPr>
          <w:color w:val="231F20"/>
        </w:rPr>
        <w:t>by</w:t>
      </w:r>
      <w:r>
        <w:rPr>
          <w:color w:val="231F20"/>
          <w:spacing w:val="-5"/>
        </w:rPr>
        <w:t xml:space="preserve"> </w:t>
      </w:r>
      <w:r>
        <w:rPr>
          <w:color w:val="231F20"/>
        </w:rPr>
        <w:t>the</w:t>
      </w:r>
      <w:r>
        <w:rPr>
          <w:color w:val="231F20"/>
          <w:spacing w:val="-6"/>
        </w:rPr>
        <w:t xml:space="preserve"> </w:t>
      </w:r>
      <w:r>
        <w:rPr>
          <w:color w:val="231F20"/>
        </w:rPr>
        <w:t>occurrence</w:t>
      </w:r>
      <w:r>
        <w:rPr>
          <w:color w:val="231F20"/>
          <w:spacing w:val="-6"/>
        </w:rPr>
        <w:t xml:space="preserve"> </w:t>
      </w:r>
      <w:r>
        <w:rPr>
          <w:color w:val="231F20"/>
        </w:rPr>
        <w:t>or</w:t>
      </w:r>
      <w:r>
        <w:rPr>
          <w:color w:val="231F20"/>
          <w:spacing w:val="-5"/>
        </w:rPr>
        <w:t xml:space="preserve"> </w:t>
      </w:r>
      <w:r>
        <w:rPr>
          <w:color w:val="231F20"/>
        </w:rPr>
        <w:t>non-occurrence</w:t>
      </w:r>
      <w:r>
        <w:rPr>
          <w:color w:val="231F20"/>
          <w:spacing w:val="-6"/>
        </w:rPr>
        <w:t xml:space="preserve"> </w:t>
      </w:r>
      <w:r>
        <w:rPr>
          <w:color w:val="231F20"/>
        </w:rPr>
        <w:t>of</w:t>
      </w:r>
      <w:r>
        <w:rPr>
          <w:color w:val="231F20"/>
          <w:spacing w:val="-5"/>
        </w:rPr>
        <w:t xml:space="preserve"> </w:t>
      </w:r>
      <w:r>
        <w:rPr>
          <w:color w:val="231F20"/>
        </w:rPr>
        <w:t>one</w:t>
      </w:r>
      <w:r>
        <w:rPr>
          <w:color w:val="231F20"/>
          <w:spacing w:val="-6"/>
        </w:rPr>
        <w:t xml:space="preserve"> </w:t>
      </w:r>
      <w:r>
        <w:rPr>
          <w:color w:val="231F20"/>
        </w:rPr>
        <w:t>or</w:t>
      </w:r>
      <w:r>
        <w:rPr>
          <w:color w:val="231F20"/>
          <w:spacing w:val="-5"/>
        </w:rPr>
        <w:t xml:space="preserve"> </w:t>
      </w:r>
      <w:r>
        <w:rPr>
          <w:color w:val="231F20"/>
        </w:rPr>
        <w:t>more</w:t>
      </w:r>
      <w:r>
        <w:rPr>
          <w:color w:val="231F20"/>
          <w:spacing w:val="-6"/>
        </w:rPr>
        <w:t xml:space="preserve"> </w:t>
      </w:r>
      <w:r>
        <w:rPr>
          <w:color w:val="231F20"/>
        </w:rPr>
        <w:t>uncertain</w:t>
      </w:r>
      <w:r>
        <w:rPr>
          <w:color w:val="231F20"/>
          <w:spacing w:val="-6"/>
        </w:rPr>
        <w:t xml:space="preserve"> </w:t>
      </w:r>
      <w:r>
        <w:rPr>
          <w:color w:val="231F20"/>
        </w:rPr>
        <w:t>future</w:t>
      </w:r>
      <w:r>
        <w:rPr>
          <w:color w:val="231F20"/>
          <w:spacing w:val="-6"/>
        </w:rPr>
        <w:t xml:space="preserve"> </w:t>
      </w:r>
      <w:r>
        <w:rPr>
          <w:color w:val="231F20"/>
        </w:rPr>
        <w:t>events</w:t>
      </w:r>
      <w:r>
        <w:rPr>
          <w:color w:val="231F20"/>
          <w:spacing w:val="-5"/>
        </w:rPr>
        <w:t xml:space="preserve"> </w:t>
      </w:r>
      <w:r>
        <w:rPr>
          <w:color w:val="231F20"/>
        </w:rPr>
        <w:t>not wholly within the control of the entity.</w:t>
      </w:r>
    </w:p>
    <w:p w14:paraId="101226A2" w14:textId="77777777" w:rsidR="00345EE3" w:rsidRDefault="00345EE3" w:rsidP="00345EE3">
      <w:pPr>
        <w:pStyle w:val="BodyText"/>
        <w:spacing w:before="117" w:line="242" w:lineRule="auto"/>
        <w:ind w:right="604"/>
      </w:pPr>
      <w:r>
        <w:rPr>
          <w:color w:val="231F20"/>
        </w:rPr>
        <w:t>These</w:t>
      </w:r>
      <w:r>
        <w:rPr>
          <w:color w:val="231F20"/>
          <w:spacing w:val="-9"/>
        </w:rPr>
        <w:t xml:space="preserve"> </w:t>
      </w:r>
      <w:r>
        <w:rPr>
          <w:color w:val="231F20"/>
        </w:rPr>
        <w:t>are</w:t>
      </w:r>
      <w:r>
        <w:rPr>
          <w:color w:val="231F20"/>
          <w:spacing w:val="-9"/>
        </w:rPr>
        <w:t xml:space="preserve"> </w:t>
      </w:r>
      <w:r>
        <w:rPr>
          <w:color w:val="231F20"/>
        </w:rPr>
        <w:t>classified</w:t>
      </w:r>
      <w:r>
        <w:rPr>
          <w:color w:val="231F20"/>
          <w:spacing w:val="-9"/>
        </w:rPr>
        <w:t xml:space="preserve"> </w:t>
      </w:r>
      <w:r>
        <w:rPr>
          <w:color w:val="231F20"/>
        </w:rPr>
        <w:t>as</w:t>
      </w:r>
      <w:r>
        <w:rPr>
          <w:color w:val="231F20"/>
          <w:spacing w:val="-9"/>
        </w:rPr>
        <w:t xml:space="preserve"> </w:t>
      </w:r>
      <w:r>
        <w:rPr>
          <w:color w:val="231F20"/>
        </w:rPr>
        <w:t>either</w:t>
      </w:r>
      <w:r>
        <w:rPr>
          <w:color w:val="231F20"/>
          <w:spacing w:val="-9"/>
        </w:rPr>
        <w:t xml:space="preserve"> </w:t>
      </w:r>
      <w:r>
        <w:rPr>
          <w:color w:val="231F20"/>
        </w:rPr>
        <w:t>quantifiable,</w:t>
      </w:r>
      <w:r>
        <w:rPr>
          <w:color w:val="231F20"/>
          <w:spacing w:val="-9"/>
        </w:rPr>
        <w:t xml:space="preserve"> </w:t>
      </w:r>
      <w:r>
        <w:rPr>
          <w:color w:val="231F20"/>
        </w:rPr>
        <w:t>where</w:t>
      </w:r>
      <w:r>
        <w:rPr>
          <w:color w:val="231F20"/>
          <w:spacing w:val="-9"/>
        </w:rPr>
        <w:t xml:space="preserve"> </w:t>
      </w:r>
      <w:r>
        <w:rPr>
          <w:color w:val="231F20"/>
        </w:rPr>
        <w:t>the</w:t>
      </w:r>
      <w:r>
        <w:rPr>
          <w:color w:val="231F20"/>
          <w:spacing w:val="-9"/>
        </w:rPr>
        <w:t xml:space="preserve"> </w:t>
      </w:r>
      <w:r>
        <w:rPr>
          <w:color w:val="231F20"/>
        </w:rPr>
        <w:t>potential</w:t>
      </w:r>
      <w:r>
        <w:rPr>
          <w:color w:val="231F20"/>
          <w:spacing w:val="-9"/>
        </w:rPr>
        <w:t xml:space="preserve"> </w:t>
      </w:r>
      <w:r>
        <w:rPr>
          <w:color w:val="231F20"/>
        </w:rPr>
        <w:t>economic</w:t>
      </w:r>
      <w:r>
        <w:rPr>
          <w:color w:val="231F20"/>
          <w:spacing w:val="-9"/>
        </w:rPr>
        <w:t xml:space="preserve"> </w:t>
      </w:r>
      <w:r>
        <w:rPr>
          <w:color w:val="231F20"/>
        </w:rPr>
        <w:t>benefit</w:t>
      </w:r>
      <w:r>
        <w:rPr>
          <w:color w:val="231F20"/>
          <w:spacing w:val="-9"/>
        </w:rPr>
        <w:t xml:space="preserve"> </w:t>
      </w:r>
      <w:r>
        <w:rPr>
          <w:color w:val="231F20"/>
        </w:rPr>
        <w:t>is</w:t>
      </w:r>
      <w:r>
        <w:rPr>
          <w:color w:val="231F20"/>
          <w:spacing w:val="-9"/>
        </w:rPr>
        <w:t xml:space="preserve"> </w:t>
      </w:r>
      <w:r>
        <w:rPr>
          <w:color w:val="231F20"/>
        </w:rPr>
        <w:t>known,</w:t>
      </w:r>
      <w:r>
        <w:rPr>
          <w:color w:val="231F20"/>
          <w:spacing w:val="-9"/>
        </w:rPr>
        <w:t xml:space="preserve"> </w:t>
      </w:r>
      <w:r>
        <w:rPr>
          <w:color w:val="231F20"/>
        </w:rPr>
        <w:t xml:space="preserve">or </w:t>
      </w:r>
      <w:r>
        <w:rPr>
          <w:color w:val="231F20"/>
          <w:spacing w:val="-2"/>
        </w:rPr>
        <w:t>non-quantifiable.</w:t>
      </w:r>
    </w:p>
    <w:p w14:paraId="2360C15C" w14:textId="77777777" w:rsidR="00345EE3" w:rsidRDefault="00345EE3" w:rsidP="00345EE3">
      <w:pPr>
        <w:pStyle w:val="BodyText"/>
        <w:spacing w:before="116"/>
      </w:pPr>
      <w:r>
        <w:rPr>
          <w:color w:val="231F20"/>
        </w:rPr>
        <w:t>No</w:t>
      </w:r>
      <w:r>
        <w:rPr>
          <w:color w:val="231F20"/>
          <w:spacing w:val="-12"/>
        </w:rPr>
        <w:t xml:space="preserve"> </w:t>
      </w:r>
      <w:r>
        <w:rPr>
          <w:color w:val="231F20"/>
        </w:rPr>
        <w:t>contingent</w:t>
      </w:r>
      <w:r>
        <w:rPr>
          <w:color w:val="231F20"/>
          <w:spacing w:val="-9"/>
        </w:rPr>
        <w:t xml:space="preserve"> </w:t>
      </w:r>
      <w:r>
        <w:rPr>
          <w:color w:val="231F20"/>
        </w:rPr>
        <w:t>assets</w:t>
      </w:r>
      <w:r>
        <w:rPr>
          <w:color w:val="231F20"/>
          <w:spacing w:val="-9"/>
        </w:rPr>
        <w:t xml:space="preserve"> </w:t>
      </w:r>
      <w:r>
        <w:rPr>
          <w:color w:val="231F20"/>
        </w:rPr>
        <w:t>have</w:t>
      </w:r>
      <w:r>
        <w:rPr>
          <w:color w:val="231F20"/>
          <w:spacing w:val="-9"/>
        </w:rPr>
        <w:t xml:space="preserve"> </w:t>
      </w:r>
      <w:r>
        <w:rPr>
          <w:color w:val="231F20"/>
        </w:rPr>
        <w:t>been</w:t>
      </w:r>
      <w:r>
        <w:rPr>
          <w:color w:val="231F20"/>
          <w:spacing w:val="-10"/>
        </w:rPr>
        <w:t xml:space="preserve"> </w:t>
      </w:r>
      <w:r>
        <w:rPr>
          <w:color w:val="231F20"/>
        </w:rPr>
        <w:t>recognised</w:t>
      </w:r>
      <w:r>
        <w:rPr>
          <w:color w:val="231F20"/>
          <w:spacing w:val="-9"/>
        </w:rPr>
        <w:t xml:space="preserve"> </w:t>
      </w:r>
      <w:r>
        <w:rPr>
          <w:color w:val="231F20"/>
        </w:rPr>
        <w:t>for</w:t>
      </w:r>
      <w:r>
        <w:rPr>
          <w:color w:val="231F20"/>
          <w:spacing w:val="-9"/>
        </w:rPr>
        <w:t xml:space="preserve"> </w:t>
      </w:r>
      <w:r>
        <w:rPr>
          <w:color w:val="231F20"/>
        </w:rPr>
        <w:t>the</w:t>
      </w:r>
      <w:r>
        <w:rPr>
          <w:color w:val="231F20"/>
          <w:spacing w:val="-10"/>
        </w:rPr>
        <w:t xml:space="preserve"> </w:t>
      </w:r>
      <w:r>
        <w:rPr>
          <w:color w:val="231F20"/>
        </w:rPr>
        <w:t>year</w:t>
      </w:r>
      <w:r>
        <w:rPr>
          <w:color w:val="231F20"/>
          <w:spacing w:val="-8"/>
        </w:rPr>
        <w:t xml:space="preserve"> </w:t>
      </w:r>
      <w:r>
        <w:rPr>
          <w:color w:val="231F20"/>
        </w:rPr>
        <w:t>ended</w:t>
      </w:r>
      <w:r>
        <w:rPr>
          <w:color w:val="231F20"/>
          <w:spacing w:val="-10"/>
        </w:rPr>
        <w:t xml:space="preserve"> </w:t>
      </w:r>
      <w:r>
        <w:rPr>
          <w:color w:val="231F20"/>
        </w:rPr>
        <w:t>30</w:t>
      </w:r>
      <w:r>
        <w:rPr>
          <w:color w:val="231F20"/>
          <w:spacing w:val="-10"/>
        </w:rPr>
        <w:t xml:space="preserve"> </w:t>
      </w:r>
      <w:r>
        <w:rPr>
          <w:color w:val="231F20"/>
        </w:rPr>
        <w:t>June</w:t>
      </w:r>
      <w:r>
        <w:rPr>
          <w:color w:val="231F20"/>
          <w:spacing w:val="-9"/>
        </w:rPr>
        <w:t xml:space="preserve"> </w:t>
      </w:r>
      <w:r>
        <w:rPr>
          <w:color w:val="231F20"/>
        </w:rPr>
        <w:t>2022</w:t>
      </w:r>
      <w:r>
        <w:rPr>
          <w:color w:val="231F20"/>
          <w:spacing w:val="-10"/>
        </w:rPr>
        <w:t xml:space="preserve"> </w:t>
      </w:r>
      <w:r>
        <w:rPr>
          <w:color w:val="231F20"/>
        </w:rPr>
        <w:t>(2021:</w:t>
      </w:r>
      <w:r>
        <w:rPr>
          <w:color w:val="231F20"/>
          <w:spacing w:val="-8"/>
        </w:rPr>
        <w:t xml:space="preserve"> </w:t>
      </w:r>
      <w:r>
        <w:rPr>
          <w:color w:val="231F20"/>
          <w:spacing w:val="-2"/>
        </w:rPr>
        <w:t>Nil).</w:t>
      </w:r>
    </w:p>
    <w:p w14:paraId="51E6BC37" w14:textId="77777777" w:rsidR="00345EE3" w:rsidRDefault="00345EE3" w:rsidP="00345EE3">
      <w:pPr>
        <w:pStyle w:val="Heading5"/>
        <w:spacing w:before="174"/>
      </w:pPr>
      <w:r>
        <w:rPr>
          <w:color w:val="58595B"/>
        </w:rPr>
        <w:t>Contingent</w:t>
      </w:r>
      <w:r>
        <w:rPr>
          <w:color w:val="58595B"/>
          <w:spacing w:val="-10"/>
        </w:rPr>
        <w:t xml:space="preserve"> </w:t>
      </w:r>
      <w:r>
        <w:rPr>
          <w:color w:val="58595B"/>
          <w:spacing w:val="-2"/>
        </w:rPr>
        <w:t>liabilities</w:t>
      </w:r>
    </w:p>
    <w:p w14:paraId="1BCF62FF" w14:textId="77777777" w:rsidR="00345EE3" w:rsidRDefault="00345EE3" w:rsidP="00345EE3">
      <w:pPr>
        <w:pStyle w:val="BodyText"/>
        <w:spacing w:before="4"/>
      </w:pPr>
      <w:r>
        <w:rPr>
          <w:color w:val="231F20"/>
          <w:spacing w:val="-2"/>
        </w:rPr>
        <w:t>Contingent</w:t>
      </w:r>
      <w:r>
        <w:rPr>
          <w:color w:val="231F20"/>
          <w:spacing w:val="3"/>
        </w:rPr>
        <w:t xml:space="preserve"> </w:t>
      </w:r>
      <w:r>
        <w:rPr>
          <w:color w:val="231F20"/>
          <w:spacing w:val="-2"/>
        </w:rPr>
        <w:t>liabilities</w:t>
      </w:r>
      <w:r>
        <w:rPr>
          <w:color w:val="231F20"/>
          <w:spacing w:val="4"/>
        </w:rPr>
        <w:t xml:space="preserve"> </w:t>
      </w:r>
      <w:r>
        <w:rPr>
          <w:color w:val="231F20"/>
          <w:spacing w:val="-4"/>
        </w:rPr>
        <w:t>are:</w:t>
      </w:r>
    </w:p>
    <w:p w14:paraId="7E15A261" w14:textId="77777777" w:rsidR="00345EE3" w:rsidRDefault="00345EE3">
      <w:pPr>
        <w:pStyle w:val="ListParagraph"/>
        <w:numPr>
          <w:ilvl w:val="0"/>
          <w:numId w:val="13"/>
        </w:numPr>
        <w:tabs>
          <w:tab w:val="left" w:pos="393"/>
          <w:tab w:val="left" w:pos="394"/>
        </w:tabs>
        <w:spacing w:line="242" w:lineRule="auto"/>
        <w:ind w:right="278"/>
        <w:rPr>
          <w:sz w:val="24"/>
        </w:rPr>
      </w:pPr>
      <w:r>
        <w:rPr>
          <w:color w:val="231F20"/>
          <w:sz w:val="24"/>
        </w:rPr>
        <w:t>possible obligations that arise from past events, whose existence will be confirmed only by the</w:t>
      </w:r>
      <w:r>
        <w:rPr>
          <w:color w:val="231F20"/>
          <w:spacing w:val="-17"/>
          <w:sz w:val="24"/>
        </w:rPr>
        <w:t xml:space="preserve"> </w:t>
      </w:r>
      <w:r>
        <w:rPr>
          <w:color w:val="231F20"/>
          <w:sz w:val="24"/>
        </w:rPr>
        <w:t>occurrence</w:t>
      </w:r>
      <w:r>
        <w:rPr>
          <w:color w:val="231F20"/>
          <w:spacing w:val="-17"/>
          <w:sz w:val="24"/>
        </w:rPr>
        <w:t xml:space="preserve"> </w:t>
      </w:r>
      <w:r>
        <w:rPr>
          <w:color w:val="231F20"/>
          <w:sz w:val="24"/>
        </w:rPr>
        <w:t>or</w:t>
      </w:r>
      <w:r>
        <w:rPr>
          <w:color w:val="231F20"/>
          <w:spacing w:val="-16"/>
          <w:sz w:val="24"/>
        </w:rPr>
        <w:t xml:space="preserve"> </w:t>
      </w:r>
      <w:r>
        <w:rPr>
          <w:color w:val="231F20"/>
          <w:sz w:val="24"/>
        </w:rPr>
        <w:t>non-occurrence</w:t>
      </w:r>
      <w:r>
        <w:rPr>
          <w:color w:val="231F20"/>
          <w:spacing w:val="-17"/>
          <w:sz w:val="24"/>
        </w:rPr>
        <w:t xml:space="preserve"> </w:t>
      </w:r>
      <w:r>
        <w:rPr>
          <w:color w:val="231F20"/>
          <w:sz w:val="24"/>
        </w:rPr>
        <w:t>of</w:t>
      </w:r>
      <w:r>
        <w:rPr>
          <w:color w:val="231F20"/>
          <w:spacing w:val="-12"/>
          <w:sz w:val="24"/>
        </w:rPr>
        <w:t xml:space="preserve"> </w:t>
      </w:r>
      <w:r>
        <w:rPr>
          <w:color w:val="231F20"/>
          <w:sz w:val="24"/>
        </w:rPr>
        <w:t>one</w:t>
      </w:r>
      <w:r>
        <w:rPr>
          <w:color w:val="231F20"/>
          <w:spacing w:val="-14"/>
          <w:sz w:val="24"/>
        </w:rPr>
        <w:t xml:space="preserve"> </w:t>
      </w:r>
      <w:r>
        <w:rPr>
          <w:color w:val="231F20"/>
          <w:sz w:val="24"/>
        </w:rPr>
        <w:t>or</w:t>
      </w:r>
      <w:r>
        <w:rPr>
          <w:color w:val="231F20"/>
          <w:spacing w:val="-13"/>
          <w:sz w:val="24"/>
        </w:rPr>
        <w:t xml:space="preserve"> </w:t>
      </w:r>
      <w:r>
        <w:rPr>
          <w:color w:val="231F20"/>
          <w:sz w:val="24"/>
        </w:rPr>
        <w:t>more</w:t>
      </w:r>
      <w:r>
        <w:rPr>
          <w:color w:val="231F20"/>
          <w:spacing w:val="-14"/>
          <w:sz w:val="24"/>
        </w:rPr>
        <w:t xml:space="preserve"> </w:t>
      </w:r>
      <w:r>
        <w:rPr>
          <w:color w:val="231F20"/>
          <w:sz w:val="24"/>
        </w:rPr>
        <w:t>uncertain</w:t>
      </w:r>
      <w:r>
        <w:rPr>
          <w:color w:val="231F20"/>
          <w:spacing w:val="-14"/>
          <w:sz w:val="24"/>
        </w:rPr>
        <w:t xml:space="preserve"> </w:t>
      </w:r>
      <w:r>
        <w:rPr>
          <w:color w:val="231F20"/>
          <w:sz w:val="24"/>
        </w:rPr>
        <w:t>future</w:t>
      </w:r>
      <w:r>
        <w:rPr>
          <w:color w:val="231F20"/>
          <w:spacing w:val="-17"/>
          <w:sz w:val="24"/>
        </w:rPr>
        <w:t xml:space="preserve"> </w:t>
      </w:r>
      <w:r>
        <w:rPr>
          <w:color w:val="231F20"/>
          <w:sz w:val="24"/>
        </w:rPr>
        <w:t>events</w:t>
      </w:r>
      <w:r>
        <w:rPr>
          <w:color w:val="231F20"/>
          <w:spacing w:val="-17"/>
          <w:sz w:val="24"/>
        </w:rPr>
        <w:t xml:space="preserve"> </w:t>
      </w:r>
      <w:r>
        <w:rPr>
          <w:color w:val="231F20"/>
          <w:sz w:val="24"/>
        </w:rPr>
        <w:t>not</w:t>
      </w:r>
      <w:r>
        <w:rPr>
          <w:color w:val="231F20"/>
          <w:spacing w:val="-16"/>
          <w:sz w:val="24"/>
        </w:rPr>
        <w:t xml:space="preserve"> </w:t>
      </w:r>
      <w:r>
        <w:rPr>
          <w:color w:val="231F20"/>
          <w:sz w:val="24"/>
        </w:rPr>
        <w:t>wholly</w:t>
      </w:r>
      <w:r>
        <w:rPr>
          <w:color w:val="231F20"/>
          <w:spacing w:val="-17"/>
          <w:sz w:val="24"/>
        </w:rPr>
        <w:t xml:space="preserve"> </w:t>
      </w:r>
      <w:r>
        <w:rPr>
          <w:color w:val="231F20"/>
          <w:sz w:val="24"/>
        </w:rPr>
        <w:t>within</w:t>
      </w:r>
      <w:r>
        <w:rPr>
          <w:color w:val="231F20"/>
          <w:spacing w:val="-17"/>
          <w:sz w:val="24"/>
        </w:rPr>
        <w:t xml:space="preserve"> </w:t>
      </w:r>
      <w:r>
        <w:rPr>
          <w:color w:val="231F20"/>
          <w:sz w:val="24"/>
        </w:rPr>
        <w:t>the control of the entity; or</w:t>
      </w:r>
    </w:p>
    <w:p w14:paraId="1F0369F6" w14:textId="77777777" w:rsidR="00345EE3" w:rsidRDefault="00345EE3">
      <w:pPr>
        <w:pStyle w:val="ListParagraph"/>
        <w:numPr>
          <w:ilvl w:val="0"/>
          <w:numId w:val="13"/>
        </w:numPr>
        <w:tabs>
          <w:tab w:val="left" w:pos="393"/>
          <w:tab w:val="left" w:pos="394"/>
        </w:tabs>
        <w:rPr>
          <w:sz w:val="24"/>
        </w:rPr>
      </w:pPr>
      <w:r>
        <w:rPr>
          <w:color w:val="231F20"/>
          <w:sz w:val="24"/>
        </w:rPr>
        <w:t>present</w:t>
      </w:r>
      <w:r>
        <w:rPr>
          <w:color w:val="231F20"/>
          <w:spacing w:val="-11"/>
          <w:sz w:val="24"/>
        </w:rPr>
        <w:t xml:space="preserve"> </w:t>
      </w:r>
      <w:r>
        <w:rPr>
          <w:color w:val="231F20"/>
          <w:sz w:val="24"/>
        </w:rPr>
        <w:t>obligations</w:t>
      </w:r>
      <w:r>
        <w:rPr>
          <w:color w:val="231F20"/>
          <w:spacing w:val="-9"/>
          <w:sz w:val="24"/>
        </w:rPr>
        <w:t xml:space="preserve"> </w:t>
      </w:r>
      <w:r>
        <w:rPr>
          <w:color w:val="231F20"/>
          <w:sz w:val="24"/>
        </w:rPr>
        <w:t>that</w:t>
      </w:r>
      <w:r>
        <w:rPr>
          <w:color w:val="231F20"/>
          <w:spacing w:val="-9"/>
          <w:sz w:val="24"/>
        </w:rPr>
        <w:t xml:space="preserve"> </w:t>
      </w:r>
      <w:r>
        <w:rPr>
          <w:color w:val="231F20"/>
          <w:sz w:val="24"/>
        </w:rPr>
        <w:t>arise</w:t>
      </w:r>
      <w:r>
        <w:rPr>
          <w:color w:val="231F20"/>
          <w:spacing w:val="-9"/>
          <w:sz w:val="24"/>
        </w:rPr>
        <w:t xml:space="preserve"> </w:t>
      </w:r>
      <w:r>
        <w:rPr>
          <w:color w:val="231F20"/>
          <w:sz w:val="24"/>
        </w:rPr>
        <w:t>from</w:t>
      </w:r>
      <w:r>
        <w:rPr>
          <w:color w:val="231F20"/>
          <w:spacing w:val="-9"/>
          <w:sz w:val="24"/>
        </w:rPr>
        <w:t xml:space="preserve"> </w:t>
      </w:r>
      <w:r>
        <w:rPr>
          <w:color w:val="231F20"/>
          <w:sz w:val="24"/>
        </w:rPr>
        <w:t>past</w:t>
      </w:r>
      <w:r>
        <w:rPr>
          <w:color w:val="231F20"/>
          <w:spacing w:val="-8"/>
          <w:sz w:val="24"/>
        </w:rPr>
        <w:t xml:space="preserve"> </w:t>
      </w:r>
      <w:r>
        <w:rPr>
          <w:color w:val="231F20"/>
          <w:sz w:val="24"/>
        </w:rPr>
        <w:t>events</w:t>
      </w:r>
      <w:r>
        <w:rPr>
          <w:color w:val="231F20"/>
          <w:spacing w:val="-9"/>
          <w:sz w:val="24"/>
        </w:rPr>
        <w:t xml:space="preserve"> </w:t>
      </w:r>
      <w:r>
        <w:rPr>
          <w:color w:val="231F20"/>
          <w:sz w:val="24"/>
        </w:rPr>
        <w:t>but</w:t>
      </w:r>
      <w:r>
        <w:rPr>
          <w:color w:val="231F20"/>
          <w:spacing w:val="-9"/>
          <w:sz w:val="24"/>
        </w:rPr>
        <w:t xml:space="preserve"> </w:t>
      </w:r>
      <w:r>
        <w:rPr>
          <w:color w:val="231F20"/>
          <w:sz w:val="24"/>
        </w:rPr>
        <w:t>are</w:t>
      </w:r>
      <w:r>
        <w:rPr>
          <w:color w:val="231F20"/>
          <w:spacing w:val="-9"/>
          <w:sz w:val="24"/>
        </w:rPr>
        <w:t xml:space="preserve"> </w:t>
      </w:r>
      <w:r>
        <w:rPr>
          <w:color w:val="231F20"/>
          <w:sz w:val="24"/>
        </w:rPr>
        <w:t>not</w:t>
      </w:r>
      <w:r>
        <w:rPr>
          <w:color w:val="231F20"/>
          <w:spacing w:val="-9"/>
          <w:sz w:val="24"/>
        </w:rPr>
        <w:t xml:space="preserve"> </w:t>
      </w:r>
      <w:r>
        <w:rPr>
          <w:color w:val="231F20"/>
          <w:sz w:val="24"/>
        </w:rPr>
        <w:t>recognised</w:t>
      </w:r>
      <w:r>
        <w:rPr>
          <w:color w:val="231F20"/>
          <w:spacing w:val="-9"/>
          <w:sz w:val="24"/>
        </w:rPr>
        <w:t xml:space="preserve"> </w:t>
      </w:r>
      <w:r>
        <w:rPr>
          <w:color w:val="231F20"/>
          <w:spacing w:val="-2"/>
          <w:sz w:val="24"/>
        </w:rPr>
        <w:t>because:</w:t>
      </w:r>
    </w:p>
    <w:p w14:paraId="6104CC9F" w14:textId="77777777" w:rsidR="00345EE3" w:rsidRDefault="00345EE3">
      <w:pPr>
        <w:pStyle w:val="ListParagraph"/>
        <w:numPr>
          <w:ilvl w:val="1"/>
          <w:numId w:val="13"/>
        </w:numPr>
        <w:tabs>
          <w:tab w:val="left" w:pos="564"/>
        </w:tabs>
        <w:spacing w:before="33" w:line="242" w:lineRule="auto"/>
        <w:ind w:right="296" w:hanging="1"/>
        <w:rPr>
          <w:sz w:val="24"/>
        </w:rPr>
      </w:pPr>
      <w:r>
        <w:rPr>
          <w:color w:val="231F20"/>
          <w:spacing w:val="-4"/>
          <w:sz w:val="24"/>
        </w:rPr>
        <w:t>it</w:t>
      </w:r>
      <w:r>
        <w:rPr>
          <w:color w:val="231F20"/>
          <w:spacing w:val="-7"/>
          <w:sz w:val="24"/>
        </w:rPr>
        <w:t xml:space="preserve"> </w:t>
      </w:r>
      <w:r>
        <w:rPr>
          <w:color w:val="231F20"/>
          <w:spacing w:val="-4"/>
          <w:sz w:val="24"/>
        </w:rPr>
        <w:t>is</w:t>
      </w:r>
      <w:r>
        <w:rPr>
          <w:color w:val="231F20"/>
          <w:spacing w:val="-7"/>
          <w:sz w:val="24"/>
        </w:rPr>
        <w:t xml:space="preserve"> </w:t>
      </w:r>
      <w:r>
        <w:rPr>
          <w:color w:val="231F20"/>
          <w:spacing w:val="-4"/>
          <w:sz w:val="24"/>
        </w:rPr>
        <w:t>not</w:t>
      </w:r>
      <w:r>
        <w:rPr>
          <w:color w:val="231F20"/>
          <w:spacing w:val="-7"/>
          <w:sz w:val="24"/>
        </w:rPr>
        <w:t xml:space="preserve"> </w:t>
      </w:r>
      <w:r>
        <w:rPr>
          <w:color w:val="231F20"/>
          <w:spacing w:val="-4"/>
          <w:sz w:val="24"/>
        </w:rPr>
        <w:t>probable</w:t>
      </w:r>
      <w:r>
        <w:rPr>
          <w:color w:val="231F20"/>
          <w:spacing w:val="-7"/>
          <w:sz w:val="24"/>
        </w:rPr>
        <w:t xml:space="preserve"> </w:t>
      </w:r>
      <w:r>
        <w:rPr>
          <w:color w:val="231F20"/>
          <w:spacing w:val="-4"/>
          <w:sz w:val="24"/>
        </w:rPr>
        <w:t>that</w:t>
      </w:r>
      <w:r>
        <w:rPr>
          <w:color w:val="231F20"/>
          <w:spacing w:val="-7"/>
          <w:sz w:val="24"/>
        </w:rPr>
        <w:t xml:space="preserve"> </w:t>
      </w:r>
      <w:r>
        <w:rPr>
          <w:color w:val="231F20"/>
          <w:spacing w:val="-4"/>
          <w:sz w:val="24"/>
        </w:rPr>
        <w:t>an</w:t>
      </w:r>
      <w:r>
        <w:rPr>
          <w:color w:val="231F20"/>
          <w:spacing w:val="-7"/>
          <w:sz w:val="24"/>
        </w:rPr>
        <w:t xml:space="preserve"> </w:t>
      </w:r>
      <w:r>
        <w:rPr>
          <w:color w:val="231F20"/>
          <w:spacing w:val="-4"/>
          <w:sz w:val="24"/>
        </w:rPr>
        <w:t>outflow</w:t>
      </w:r>
      <w:r>
        <w:rPr>
          <w:color w:val="231F20"/>
          <w:spacing w:val="-7"/>
          <w:sz w:val="24"/>
        </w:rPr>
        <w:t xml:space="preserve"> </w:t>
      </w:r>
      <w:r>
        <w:rPr>
          <w:color w:val="231F20"/>
          <w:spacing w:val="-4"/>
          <w:sz w:val="24"/>
        </w:rPr>
        <w:t>of</w:t>
      </w:r>
      <w:r>
        <w:rPr>
          <w:color w:val="231F20"/>
          <w:spacing w:val="-7"/>
          <w:sz w:val="24"/>
        </w:rPr>
        <w:t xml:space="preserve"> </w:t>
      </w:r>
      <w:r>
        <w:rPr>
          <w:color w:val="231F20"/>
          <w:spacing w:val="-4"/>
          <w:sz w:val="24"/>
        </w:rPr>
        <w:t>resources</w:t>
      </w:r>
      <w:r>
        <w:rPr>
          <w:color w:val="231F20"/>
          <w:spacing w:val="-7"/>
          <w:sz w:val="24"/>
        </w:rPr>
        <w:t xml:space="preserve"> </w:t>
      </w:r>
      <w:r>
        <w:rPr>
          <w:color w:val="231F20"/>
          <w:spacing w:val="-4"/>
          <w:sz w:val="24"/>
        </w:rPr>
        <w:t>embodying</w:t>
      </w:r>
      <w:r>
        <w:rPr>
          <w:color w:val="231F20"/>
          <w:spacing w:val="-7"/>
          <w:sz w:val="24"/>
        </w:rPr>
        <w:t xml:space="preserve"> </w:t>
      </w:r>
      <w:r>
        <w:rPr>
          <w:color w:val="231F20"/>
          <w:spacing w:val="-4"/>
          <w:sz w:val="24"/>
        </w:rPr>
        <w:t>economic</w:t>
      </w:r>
      <w:r>
        <w:rPr>
          <w:color w:val="231F20"/>
          <w:spacing w:val="-7"/>
          <w:sz w:val="24"/>
        </w:rPr>
        <w:t xml:space="preserve"> </w:t>
      </w:r>
      <w:r>
        <w:rPr>
          <w:color w:val="231F20"/>
          <w:spacing w:val="-4"/>
          <w:sz w:val="24"/>
        </w:rPr>
        <w:t>benefits</w:t>
      </w:r>
      <w:r>
        <w:rPr>
          <w:color w:val="231F20"/>
          <w:spacing w:val="-7"/>
          <w:sz w:val="24"/>
        </w:rPr>
        <w:t xml:space="preserve"> </w:t>
      </w:r>
      <w:r>
        <w:rPr>
          <w:color w:val="231F20"/>
          <w:spacing w:val="-4"/>
          <w:sz w:val="24"/>
        </w:rPr>
        <w:t>will</w:t>
      </w:r>
      <w:r>
        <w:rPr>
          <w:color w:val="231F20"/>
          <w:spacing w:val="-7"/>
          <w:sz w:val="24"/>
        </w:rPr>
        <w:t xml:space="preserve"> </w:t>
      </w:r>
      <w:r>
        <w:rPr>
          <w:color w:val="231F20"/>
          <w:spacing w:val="-4"/>
          <w:sz w:val="24"/>
        </w:rPr>
        <w:t>be</w:t>
      </w:r>
      <w:r>
        <w:rPr>
          <w:color w:val="231F20"/>
          <w:spacing w:val="-7"/>
          <w:sz w:val="24"/>
        </w:rPr>
        <w:t xml:space="preserve"> </w:t>
      </w:r>
      <w:r>
        <w:rPr>
          <w:color w:val="231F20"/>
          <w:spacing w:val="-4"/>
          <w:sz w:val="24"/>
        </w:rPr>
        <w:t>required</w:t>
      </w:r>
      <w:r>
        <w:rPr>
          <w:color w:val="231F20"/>
          <w:spacing w:val="-7"/>
          <w:sz w:val="24"/>
        </w:rPr>
        <w:t xml:space="preserve"> </w:t>
      </w:r>
      <w:r>
        <w:rPr>
          <w:color w:val="231F20"/>
          <w:spacing w:val="-4"/>
          <w:sz w:val="24"/>
        </w:rPr>
        <w:t xml:space="preserve">to </w:t>
      </w:r>
      <w:r>
        <w:rPr>
          <w:color w:val="231F20"/>
          <w:sz w:val="24"/>
        </w:rPr>
        <w:t>settle the obligations; or</w:t>
      </w:r>
    </w:p>
    <w:p w14:paraId="102AC9D4" w14:textId="77777777" w:rsidR="00345EE3" w:rsidRDefault="00345EE3">
      <w:pPr>
        <w:pStyle w:val="ListParagraph"/>
        <w:numPr>
          <w:ilvl w:val="1"/>
          <w:numId w:val="13"/>
        </w:numPr>
        <w:tabs>
          <w:tab w:val="left" w:pos="564"/>
        </w:tabs>
        <w:spacing w:before="31" w:line="343" w:lineRule="auto"/>
        <w:ind w:left="110" w:right="2373" w:firstLine="283"/>
        <w:rPr>
          <w:sz w:val="24"/>
        </w:rPr>
      </w:pPr>
      <w:r>
        <w:rPr>
          <w:color w:val="231F20"/>
          <w:spacing w:val="-4"/>
          <w:sz w:val="24"/>
        </w:rPr>
        <w:t>the</w:t>
      </w:r>
      <w:r>
        <w:rPr>
          <w:color w:val="231F20"/>
          <w:spacing w:val="-6"/>
          <w:sz w:val="24"/>
        </w:rPr>
        <w:t xml:space="preserve"> </w:t>
      </w:r>
      <w:r>
        <w:rPr>
          <w:color w:val="231F20"/>
          <w:spacing w:val="-4"/>
          <w:sz w:val="24"/>
        </w:rPr>
        <w:t>amount</w:t>
      </w:r>
      <w:r>
        <w:rPr>
          <w:color w:val="231F20"/>
          <w:spacing w:val="-6"/>
          <w:sz w:val="24"/>
        </w:rPr>
        <w:t xml:space="preserve"> </w:t>
      </w:r>
      <w:r>
        <w:rPr>
          <w:color w:val="231F20"/>
          <w:spacing w:val="-4"/>
          <w:sz w:val="24"/>
        </w:rPr>
        <w:t>of</w:t>
      </w:r>
      <w:r>
        <w:rPr>
          <w:color w:val="231F20"/>
          <w:spacing w:val="-6"/>
          <w:sz w:val="24"/>
        </w:rPr>
        <w:t xml:space="preserve"> </w:t>
      </w:r>
      <w:r>
        <w:rPr>
          <w:color w:val="231F20"/>
          <w:spacing w:val="-4"/>
          <w:sz w:val="24"/>
        </w:rPr>
        <w:t>the</w:t>
      </w:r>
      <w:r>
        <w:rPr>
          <w:color w:val="231F20"/>
          <w:spacing w:val="-6"/>
          <w:sz w:val="24"/>
        </w:rPr>
        <w:t xml:space="preserve"> </w:t>
      </w:r>
      <w:r>
        <w:rPr>
          <w:color w:val="231F20"/>
          <w:spacing w:val="-4"/>
          <w:sz w:val="24"/>
        </w:rPr>
        <w:t>obligation</w:t>
      </w:r>
      <w:r>
        <w:rPr>
          <w:color w:val="231F20"/>
          <w:spacing w:val="-6"/>
          <w:sz w:val="24"/>
        </w:rPr>
        <w:t xml:space="preserve"> </w:t>
      </w:r>
      <w:r>
        <w:rPr>
          <w:color w:val="231F20"/>
          <w:spacing w:val="-4"/>
          <w:sz w:val="24"/>
        </w:rPr>
        <w:t>cannot</w:t>
      </w:r>
      <w:r>
        <w:rPr>
          <w:color w:val="231F20"/>
          <w:spacing w:val="-6"/>
          <w:sz w:val="24"/>
        </w:rPr>
        <w:t xml:space="preserve"> </w:t>
      </w:r>
      <w:r>
        <w:rPr>
          <w:color w:val="231F20"/>
          <w:spacing w:val="-4"/>
          <w:sz w:val="24"/>
        </w:rPr>
        <w:t>be</w:t>
      </w:r>
      <w:r>
        <w:rPr>
          <w:color w:val="231F20"/>
          <w:spacing w:val="-6"/>
          <w:sz w:val="24"/>
        </w:rPr>
        <w:t xml:space="preserve"> </w:t>
      </w:r>
      <w:r>
        <w:rPr>
          <w:color w:val="231F20"/>
          <w:spacing w:val="-4"/>
          <w:sz w:val="24"/>
        </w:rPr>
        <w:t>measured</w:t>
      </w:r>
      <w:r>
        <w:rPr>
          <w:color w:val="231F20"/>
          <w:spacing w:val="-6"/>
          <w:sz w:val="24"/>
        </w:rPr>
        <w:t xml:space="preserve"> </w:t>
      </w:r>
      <w:r>
        <w:rPr>
          <w:color w:val="231F20"/>
          <w:spacing w:val="-4"/>
          <w:sz w:val="24"/>
        </w:rPr>
        <w:t>with</w:t>
      </w:r>
      <w:r>
        <w:rPr>
          <w:color w:val="231F20"/>
          <w:spacing w:val="-6"/>
          <w:sz w:val="24"/>
        </w:rPr>
        <w:t xml:space="preserve"> </w:t>
      </w:r>
      <w:r>
        <w:rPr>
          <w:color w:val="231F20"/>
          <w:spacing w:val="-4"/>
          <w:sz w:val="24"/>
        </w:rPr>
        <w:t>sufficient</w:t>
      </w:r>
      <w:r>
        <w:rPr>
          <w:color w:val="231F20"/>
          <w:spacing w:val="-6"/>
          <w:sz w:val="24"/>
        </w:rPr>
        <w:t xml:space="preserve"> </w:t>
      </w:r>
      <w:r>
        <w:rPr>
          <w:color w:val="231F20"/>
          <w:spacing w:val="-4"/>
          <w:sz w:val="24"/>
        </w:rPr>
        <w:t xml:space="preserve">reliability. </w:t>
      </w:r>
      <w:r>
        <w:rPr>
          <w:color w:val="231F20"/>
          <w:sz w:val="24"/>
        </w:rPr>
        <w:t>Contingent</w:t>
      </w:r>
      <w:r>
        <w:rPr>
          <w:color w:val="231F20"/>
          <w:spacing w:val="-10"/>
          <w:sz w:val="24"/>
        </w:rPr>
        <w:t xml:space="preserve"> </w:t>
      </w:r>
      <w:r>
        <w:rPr>
          <w:color w:val="231F20"/>
          <w:sz w:val="24"/>
        </w:rPr>
        <w:t>liabilities</w:t>
      </w:r>
      <w:r>
        <w:rPr>
          <w:color w:val="231F20"/>
          <w:spacing w:val="-10"/>
          <w:sz w:val="24"/>
        </w:rPr>
        <w:t xml:space="preserve"> </w:t>
      </w:r>
      <w:r>
        <w:rPr>
          <w:color w:val="231F20"/>
          <w:sz w:val="24"/>
        </w:rPr>
        <w:t>are</w:t>
      </w:r>
      <w:r>
        <w:rPr>
          <w:color w:val="231F20"/>
          <w:spacing w:val="-11"/>
          <w:sz w:val="24"/>
        </w:rPr>
        <w:t xml:space="preserve"> </w:t>
      </w:r>
      <w:r>
        <w:rPr>
          <w:color w:val="231F20"/>
          <w:sz w:val="24"/>
        </w:rPr>
        <w:t>classified</w:t>
      </w:r>
      <w:r>
        <w:rPr>
          <w:color w:val="231F20"/>
          <w:spacing w:val="-11"/>
          <w:sz w:val="24"/>
        </w:rPr>
        <w:t xml:space="preserve"> </w:t>
      </w:r>
      <w:r>
        <w:rPr>
          <w:color w:val="231F20"/>
          <w:sz w:val="24"/>
        </w:rPr>
        <w:t>as</w:t>
      </w:r>
      <w:r>
        <w:rPr>
          <w:color w:val="231F20"/>
          <w:spacing w:val="-10"/>
          <w:sz w:val="24"/>
        </w:rPr>
        <w:t xml:space="preserve"> </w:t>
      </w:r>
      <w:r>
        <w:rPr>
          <w:color w:val="231F20"/>
          <w:sz w:val="24"/>
        </w:rPr>
        <w:t>either</w:t>
      </w:r>
      <w:r>
        <w:rPr>
          <w:color w:val="231F20"/>
          <w:spacing w:val="-10"/>
          <w:sz w:val="24"/>
        </w:rPr>
        <w:t xml:space="preserve"> </w:t>
      </w:r>
      <w:r>
        <w:rPr>
          <w:color w:val="231F20"/>
          <w:sz w:val="24"/>
        </w:rPr>
        <w:t>quantifiable</w:t>
      </w:r>
      <w:r>
        <w:rPr>
          <w:color w:val="231F20"/>
          <w:spacing w:val="-11"/>
          <w:sz w:val="24"/>
        </w:rPr>
        <w:t xml:space="preserve"> </w:t>
      </w:r>
      <w:r>
        <w:rPr>
          <w:color w:val="231F20"/>
          <w:sz w:val="24"/>
        </w:rPr>
        <w:t>or</w:t>
      </w:r>
      <w:r>
        <w:rPr>
          <w:color w:val="231F20"/>
          <w:spacing w:val="-10"/>
          <w:sz w:val="24"/>
        </w:rPr>
        <w:t xml:space="preserve"> </w:t>
      </w:r>
      <w:r>
        <w:rPr>
          <w:color w:val="231F20"/>
          <w:sz w:val="24"/>
        </w:rPr>
        <w:t>non-quantifiable.</w:t>
      </w:r>
    </w:p>
    <w:p w14:paraId="548D8A3A" w14:textId="77777777" w:rsidR="00345EE3" w:rsidRDefault="00345EE3" w:rsidP="00345EE3">
      <w:pPr>
        <w:pStyle w:val="Heading5"/>
        <w:spacing w:before="111"/>
      </w:pPr>
      <w:r>
        <w:rPr>
          <w:color w:val="231F20"/>
        </w:rPr>
        <w:t>Non-quantifiable</w:t>
      </w:r>
      <w:r>
        <w:rPr>
          <w:color w:val="231F20"/>
          <w:spacing w:val="1"/>
        </w:rPr>
        <w:t xml:space="preserve"> </w:t>
      </w:r>
      <w:r>
        <w:rPr>
          <w:color w:val="231F20"/>
        </w:rPr>
        <w:t>contingent</w:t>
      </w:r>
      <w:r>
        <w:rPr>
          <w:color w:val="231F20"/>
          <w:spacing w:val="2"/>
        </w:rPr>
        <w:t xml:space="preserve"> </w:t>
      </w:r>
      <w:r>
        <w:rPr>
          <w:color w:val="231F20"/>
          <w:spacing w:val="-2"/>
        </w:rPr>
        <w:t>liabilities</w:t>
      </w:r>
    </w:p>
    <w:p w14:paraId="54FCC675" w14:textId="77777777" w:rsidR="00345EE3" w:rsidRDefault="00345EE3" w:rsidP="00345EE3">
      <w:pPr>
        <w:pStyle w:val="BodyText"/>
        <w:spacing w:before="60" w:line="242" w:lineRule="auto"/>
        <w:ind w:right="115"/>
      </w:pPr>
      <w:r>
        <w:rPr>
          <w:color w:val="231F20"/>
        </w:rPr>
        <w:t>Non-quantifiable contingent liabilities include potential obligations arising from indemnities provided</w:t>
      </w:r>
      <w:r>
        <w:rPr>
          <w:color w:val="231F20"/>
          <w:spacing w:val="-4"/>
        </w:rPr>
        <w:t xml:space="preserve"> </w:t>
      </w:r>
      <w:r>
        <w:rPr>
          <w:color w:val="231F20"/>
        </w:rPr>
        <w:t>in</w:t>
      </w:r>
      <w:r>
        <w:rPr>
          <w:color w:val="231F20"/>
          <w:spacing w:val="-5"/>
        </w:rPr>
        <w:t xml:space="preserve"> </w:t>
      </w:r>
      <w:r>
        <w:rPr>
          <w:color w:val="231F20"/>
        </w:rPr>
        <w:t>relation</w:t>
      </w:r>
      <w:r>
        <w:rPr>
          <w:color w:val="231F20"/>
          <w:spacing w:val="-4"/>
        </w:rPr>
        <w:t xml:space="preserve"> </w:t>
      </w:r>
      <w:r>
        <w:rPr>
          <w:color w:val="231F20"/>
        </w:rPr>
        <w:t>to</w:t>
      </w:r>
      <w:r>
        <w:rPr>
          <w:color w:val="231F20"/>
          <w:spacing w:val="-5"/>
        </w:rPr>
        <w:t xml:space="preserve"> </w:t>
      </w:r>
      <w:r>
        <w:rPr>
          <w:color w:val="231F20"/>
        </w:rPr>
        <w:t>transactions</w:t>
      </w:r>
      <w:r>
        <w:rPr>
          <w:color w:val="231F20"/>
          <w:spacing w:val="-4"/>
        </w:rPr>
        <w:t xml:space="preserve"> </w:t>
      </w:r>
      <w:r>
        <w:rPr>
          <w:color w:val="231F20"/>
        </w:rPr>
        <w:t>(including</w:t>
      </w:r>
      <w:r>
        <w:rPr>
          <w:color w:val="231F20"/>
          <w:spacing w:val="-4"/>
        </w:rPr>
        <w:t xml:space="preserve"> </w:t>
      </w:r>
      <w:r>
        <w:rPr>
          <w:color w:val="231F20"/>
        </w:rPr>
        <w:t>financial</w:t>
      </w:r>
      <w:r>
        <w:rPr>
          <w:color w:val="231F20"/>
          <w:spacing w:val="-5"/>
        </w:rPr>
        <w:t xml:space="preserve"> </w:t>
      </w:r>
      <w:r>
        <w:rPr>
          <w:color w:val="231F20"/>
        </w:rPr>
        <w:t>arrangements</w:t>
      </w:r>
      <w:r>
        <w:rPr>
          <w:color w:val="231F20"/>
          <w:spacing w:val="-4"/>
        </w:rPr>
        <w:t xml:space="preserve"> </w:t>
      </w:r>
      <w:r>
        <w:rPr>
          <w:color w:val="231F20"/>
        </w:rPr>
        <w:t>and</w:t>
      </w:r>
      <w:r>
        <w:rPr>
          <w:color w:val="231F20"/>
          <w:spacing w:val="-4"/>
        </w:rPr>
        <w:t xml:space="preserve"> </w:t>
      </w:r>
      <w:r>
        <w:rPr>
          <w:color w:val="231F20"/>
        </w:rPr>
        <w:t>consultancy</w:t>
      </w:r>
      <w:r>
        <w:rPr>
          <w:color w:val="231F20"/>
          <w:spacing w:val="-4"/>
        </w:rPr>
        <w:t xml:space="preserve"> </w:t>
      </w:r>
      <w:r>
        <w:rPr>
          <w:color w:val="231F20"/>
        </w:rPr>
        <w:t>services) as well as for directors and administrators, performance guarantees, warranties and letters of comfort,</w:t>
      </w:r>
      <w:r>
        <w:rPr>
          <w:color w:val="231F20"/>
          <w:spacing w:val="-7"/>
        </w:rPr>
        <w:t xml:space="preserve"> </w:t>
      </w:r>
      <w:r>
        <w:rPr>
          <w:color w:val="231F20"/>
        </w:rPr>
        <w:t>deeds</w:t>
      </w:r>
      <w:r>
        <w:rPr>
          <w:color w:val="231F20"/>
          <w:spacing w:val="-7"/>
        </w:rPr>
        <w:t xml:space="preserve"> </w:t>
      </w:r>
      <w:r>
        <w:rPr>
          <w:color w:val="231F20"/>
        </w:rPr>
        <w:t>in</w:t>
      </w:r>
      <w:r>
        <w:rPr>
          <w:color w:val="231F20"/>
          <w:spacing w:val="-7"/>
        </w:rPr>
        <w:t xml:space="preserve"> </w:t>
      </w:r>
      <w:r>
        <w:rPr>
          <w:color w:val="231F20"/>
        </w:rPr>
        <w:t>respect</w:t>
      </w:r>
      <w:r>
        <w:rPr>
          <w:color w:val="231F20"/>
          <w:spacing w:val="-7"/>
        </w:rPr>
        <w:t xml:space="preserve"> </w:t>
      </w:r>
      <w:r>
        <w:rPr>
          <w:color w:val="231F20"/>
        </w:rPr>
        <w:t>of</w:t>
      </w:r>
      <w:r>
        <w:rPr>
          <w:color w:val="231F20"/>
          <w:spacing w:val="-7"/>
        </w:rPr>
        <w:t xml:space="preserve"> </w:t>
      </w:r>
      <w:r>
        <w:rPr>
          <w:color w:val="231F20"/>
        </w:rPr>
        <w:t>certain</w:t>
      </w:r>
      <w:r>
        <w:rPr>
          <w:color w:val="231F20"/>
          <w:spacing w:val="-7"/>
        </w:rPr>
        <w:t xml:space="preserve"> </w:t>
      </w:r>
      <w:r>
        <w:rPr>
          <w:color w:val="231F20"/>
        </w:rPr>
        <w:t>obligations</w:t>
      </w:r>
      <w:r>
        <w:rPr>
          <w:color w:val="231F20"/>
          <w:spacing w:val="-7"/>
        </w:rPr>
        <w:t xml:space="preserve"> </w:t>
      </w:r>
      <w:r>
        <w:rPr>
          <w:color w:val="231F20"/>
        </w:rPr>
        <w:t>and</w:t>
      </w:r>
      <w:r>
        <w:rPr>
          <w:color w:val="231F20"/>
          <w:spacing w:val="-7"/>
        </w:rPr>
        <w:t xml:space="preserve"> </w:t>
      </w:r>
      <w:r>
        <w:rPr>
          <w:color w:val="231F20"/>
        </w:rPr>
        <w:t>unclaimed</w:t>
      </w:r>
      <w:r>
        <w:rPr>
          <w:color w:val="231F20"/>
          <w:spacing w:val="-7"/>
        </w:rPr>
        <w:t xml:space="preserve"> </w:t>
      </w:r>
      <w:r>
        <w:rPr>
          <w:color w:val="231F20"/>
        </w:rPr>
        <w:t>monies,</w:t>
      </w:r>
      <w:r>
        <w:rPr>
          <w:color w:val="231F20"/>
          <w:spacing w:val="-7"/>
        </w:rPr>
        <w:t xml:space="preserve"> </w:t>
      </w:r>
      <w:r>
        <w:rPr>
          <w:color w:val="231F20"/>
        </w:rPr>
        <w:t>which</w:t>
      </w:r>
      <w:r>
        <w:rPr>
          <w:color w:val="231F20"/>
          <w:spacing w:val="-7"/>
        </w:rPr>
        <w:t xml:space="preserve"> </w:t>
      </w:r>
      <w:r>
        <w:rPr>
          <w:color w:val="231F20"/>
        </w:rPr>
        <w:t>may</w:t>
      </w:r>
      <w:r>
        <w:rPr>
          <w:color w:val="231F20"/>
          <w:spacing w:val="-7"/>
        </w:rPr>
        <w:t xml:space="preserve"> </w:t>
      </w:r>
      <w:r>
        <w:rPr>
          <w:color w:val="231F20"/>
        </w:rPr>
        <w:t>be</w:t>
      </w:r>
      <w:r>
        <w:rPr>
          <w:color w:val="231F20"/>
          <w:spacing w:val="-7"/>
        </w:rPr>
        <w:t xml:space="preserve"> </w:t>
      </w:r>
      <w:r>
        <w:rPr>
          <w:color w:val="231F20"/>
        </w:rPr>
        <w:t>subject</w:t>
      </w:r>
      <w:r>
        <w:rPr>
          <w:color w:val="231F20"/>
          <w:spacing w:val="-7"/>
        </w:rPr>
        <w:t xml:space="preserve"> </w:t>
      </w:r>
      <w:r>
        <w:rPr>
          <w:color w:val="231F20"/>
        </w:rPr>
        <w:t>to future claims by the general public against the state.</w:t>
      </w:r>
    </w:p>
    <w:p w14:paraId="00566C38" w14:textId="77777777" w:rsidR="00345EE3" w:rsidRDefault="00345EE3" w:rsidP="00345EE3">
      <w:pPr>
        <w:pStyle w:val="BodyText"/>
        <w:spacing w:before="120" w:line="242" w:lineRule="auto"/>
      </w:pPr>
      <w:r>
        <w:rPr>
          <w:color w:val="231F20"/>
        </w:rPr>
        <w:t>Since the conclusion of the Royal Commission into the Management of Police Informants (RCMPI),</w:t>
      </w:r>
      <w:r>
        <w:rPr>
          <w:color w:val="231F20"/>
          <w:spacing w:val="-9"/>
        </w:rPr>
        <w:t xml:space="preserve"> </w:t>
      </w:r>
      <w:r>
        <w:rPr>
          <w:color w:val="231F20"/>
        </w:rPr>
        <w:t>the</w:t>
      </w:r>
      <w:r>
        <w:rPr>
          <w:color w:val="231F20"/>
          <w:spacing w:val="-9"/>
        </w:rPr>
        <w:t xml:space="preserve"> </w:t>
      </w:r>
      <w:r>
        <w:rPr>
          <w:color w:val="231F20"/>
        </w:rPr>
        <w:t>State</w:t>
      </w:r>
      <w:r>
        <w:rPr>
          <w:color w:val="231F20"/>
          <w:spacing w:val="-9"/>
        </w:rPr>
        <w:t xml:space="preserve"> </w:t>
      </w:r>
      <w:r>
        <w:rPr>
          <w:color w:val="231F20"/>
        </w:rPr>
        <w:t>of</w:t>
      </w:r>
      <w:r>
        <w:rPr>
          <w:color w:val="231F20"/>
          <w:spacing w:val="-9"/>
        </w:rPr>
        <w:t xml:space="preserve"> </w:t>
      </w:r>
      <w:r>
        <w:rPr>
          <w:color w:val="231F20"/>
        </w:rPr>
        <w:t>Victoria</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have</w:t>
      </w:r>
      <w:r>
        <w:rPr>
          <w:color w:val="231F20"/>
          <w:spacing w:val="-9"/>
        </w:rPr>
        <w:t xml:space="preserve"> </w:t>
      </w:r>
      <w:r>
        <w:rPr>
          <w:color w:val="231F20"/>
        </w:rPr>
        <w:t>been</w:t>
      </w:r>
      <w:r>
        <w:rPr>
          <w:color w:val="231F20"/>
          <w:spacing w:val="-9"/>
        </w:rPr>
        <w:t xml:space="preserve"> </w:t>
      </w:r>
      <w:r>
        <w:rPr>
          <w:color w:val="231F20"/>
        </w:rPr>
        <w:t>served</w:t>
      </w:r>
      <w:r>
        <w:rPr>
          <w:color w:val="231F20"/>
          <w:spacing w:val="-9"/>
        </w:rPr>
        <w:t xml:space="preserve"> </w:t>
      </w:r>
      <w:r>
        <w:rPr>
          <w:color w:val="231F20"/>
        </w:rPr>
        <w:t>with</w:t>
      </w:r>
      <w:r>
        <w:rPr>
          <w:color w:val="231F20"/>
          <w:spacing w:val="-9"/>
        </w:rPr>
        <w:t xml:space="preserve"> </w:t>
      </w:r>
      <w:r>
        <w:rPr>
          <w:color w:val="231F20"/>
        </w:rPr>
        <w:t>a</w:t>
      </w:r>
      <w:r>
        <w:rPr>
          <w:color w:val="231F20"/>
          <w:spacing w:val="-9"/>
        </w:rPr>
        <w:t xml:space="preserve"> </w:t>
      </w:r>
      <w:r>
        <w:rPr>
          <w:color w:val="231F20"/>
        </w:rPr>
        <w:t>number</w:t>
      </w:r>
      <w:r>
        <w:rPr>
          <w:color w:val="231F20"/>
          <w:spacing w:val="-9"/>
        </w:rPr>
        <w:t xml:space="preserve"> </w:t>
      </w:r>
      <w:r>
        <w:rPr>
          <w:color w:val="231F20"/>
        </w:rPr>
        <w:t>of</w:t>
      </w:r>
      <w:r>
        <w:rPr>
          <w:color w:val="231F20"/>
          <w:spacing w:val="-9"/>
        </w:rPr>
        <w:t xml:space="preserve"> </w:t>
      </w:r>
      <w:r>
        <w:rPr>
          <w:color w:val="231F20"/>
        </w:rPr>
        <w:t>civil</w:t>
      </w:r>
      <w:r>
        <w:rPr>
          <w:color w:val="231F20"/>
          <w:spacing w:val="-9"/>
        </w:rPr>
        <w:t xml:space="preserve"> </w:t>
      </w:r>
      <w:r>
        <w:rPr>
          <w:color w:val="231F20"/>
        </w:rPr>
        <w:t>claims. These civil claims and a number of Court of Appeal criminal matters, as well as ongoing disclosure</w:t>
      </w:r>
      <w:r>
        <w:rPr>
          <w:color w:val="231F20"/>
          <w:spacing w:val="-4"/>
        </w:rPr>
        <w:t xml:space="preserve"> </w:t>
      </w:r>
      <w:r>
        <w:rPr>
          <w:color w:val="231F20"/>
        </w:rPr>
        <w:t>work</w:t>
      </w:r>
      <w:r>
        <w:rPr>
          <w:color w:val="231F20"/>
          <w:spacing w:val="-3"/>
        </w:rPr>
        <w:t xml:space="preserve"> </w:t>
      </w:r>
      <w:r>
        <w:rPr>
          <w:color w:val="231F20"/>
        </w:rPr>
        <w:t>by</w:t>
      </w:r>
      <w:r>
        <w:rPr>
          <w:color w:val="231F20"/>
          <w:spacing w:val="-3"/>
        </w:rPr>
        <w:t xml:space="preserve"> </w:t>
      </w:r>
      <w:r>
        <w:rPr>
          <w:color w:val="231F20"/>
        </w:rPr>
        <w:t>Victoria</w:t>
      </w:r>
      <w:r>
        <w:rPr>
          <w:color w:val="231F20"/>
          <w:spacing w:val="-4"/>
        </w:rPr>
        <w:t xml:space="preserve"> </w:t>
      </w:r>
      <w:r>
        <w:rPr>
          <w:color w:val="231F20"/>
        </w:rPr>
        <w:t>Police</w:t>
      </w:r>
      <w:r>
        <w:rPr>
          <w:color w:val="231F20"/>
          <w:spacing w:val="-4"/>
        </w:rPr>
        <w:t xml:space="preserve"> </w:t>
      </w:r>
      <w:r>
        <w:rPr>
          <w:color w:val="231F20"/>
        </w:rPr>
        <w:t>will</w:t>
      </w:r>
      <w:r>
        <w:rPr>
          <w:color w:val="231F20"/>
          <w:spacing w:val="-4"/>
        </w:rPr>
        <w:t xml:space="preserve"> </w:t>
      </w:r>
      <w:r>
        <w:rPr>
          <w:color w:val="231F20"/>
        </w:rPr>
        <w:t>likely</w:t>
      </w:r>
      <w:r>
        <w:rPr>
          <w:color w:val="231F20"/>
          <w:spacing w:val="-3"/>
        </w:rPr>
        <w:t xml:space="preserve"> </w:t>
      </w:r>
      <w:r>
        <w:rPr>
          <w:color w:val="231F20"/>
        </w:rPr>
        <w:t>dictate</w:t>
      </w:r>
      <w:r>
        <w:rPr>
          <w:color w:val="231F20"/>
          <w:spacing w:val="-4"/>
        </w:rPr>
        <w:t xml:space="preserve"> </w:t>
      </w:r>
      <w:r>
        <w:rPr>
          <w:color w:val="231F20"/>
        </w:rPr>
        <w:t>whether</w:t>
      </w:r>
      <w:r>
        <w:rPr>
          <w:color w:val="231F20"/>
          <w:spacing w:val="-3"/>
        </w:rPr>
        <w:t xml:space="preserve"> </w:t>
      </w:r>
      <w:r>
        <w:rPr>
          <w:color w:val="231F20"/>
        </w:rPr>
        <w:t>further</w:t>
      </w:r>
      <w:r>
        <w:rPr>
          <w:color w:val="231F20"/>
          <w:spacing w:val="-3"/>
        </w:rPr>
        <w:t xml:space="preserve"> </w:t>
      </w:r>
      <w:r>
        <w:rPr>
          <w:color w:val="231F20"/>
        </w:rPr>
        <w:t>claims</w:t>
      </w:r>
      <w:r>
        <w:rPr>
          <w:color w:val="231F20"/>
          <w:spacing w:val="-3"/>
        </w:rPr>
        <w:t xml:space="preserve"> </w:t>
      </w:r>
      <w:r>
        <w:rPr>
          <w:color w:val="231F20"/>
        </w:rPr>
        <w:t>are</w:t>
      </w:r>
      <w:r>
        <w:rPr>
          <w:color w:val="231F20"/>
          <w:spacing w:val="-4"/>
        </w:rPr>
        <w:t xml:space="preserve"> </w:t>
      </w:r>
      <w:r>
        <w:rPr>
          <w:color w:val="231F20"/>
        </w:rPr>
        <w:t>received.</w:t>
      </w:r>
      <w:r>
        <w:rPr>
          <w:color w:val="231F20"/>
          <w:spacing w:val="-3"/>
        </w:rPr>
        <w:t xml:space="preserve"> </w:t>
      </w:r>
      <w:r>
        <w:rPr>
          <w:color w:val="231F20"/>
        </w:rPr>
        <w:t>Given those circumstances, it is not possible to reliably quantify any contingent liabilities relating to potential matters arising from the conduct explored by the RCMPI.</w:t>
      </w:r>
    </w:p>
    <w:p w14:paraId="0E826189" w14:textId="77777777" w:rsidR="00345EE3" w:rsidRDefault="00345EE3" w:rsidP="00345EE3">
      <w:pPr>
        <w:pStyle w:val="BodyText"/>
        <w:spacing w:before="5"/>
        <w:rPr>
          <w:sz w:val="20"/>
        </w:rPr>
      </w:pPr>
    </w:p>
    <w:p w14:paraId="3AE4794C" w14:textId="48BC37EE" w:rsidR="00345EE3" w:rsidRDefault="00345EE3" w:rsidP="00345EE3">
      <w:pPr>
        <w:pStyle w:val="Heading5"/>
        <w:spacing w:before="0"/>
      </w:pPr>
      <w:r>
        <w:rPr>
          <w:color w:val="231F20"/>
        </w:rPr>
        <w:t>Quantifiable</w:t>
      </w:r>
      <w:r>
        <w:rPr>
          <w:color w:val="231F20"/>
          <w:spacing w:val="-2"/>
        </w:rPr>
        <w:t xml:space="preserve"> </w:t>
      </w:r>
      <w:r>
        <w:rPr>
          <w:color w:val="231F20"/>
        </w:rPr>
        <w:t xml:space="preserve">contingent </w:t>
      </w:r>
      <w:r>
        <w:rPr>
          <w:color w:val="231F20"/>
          <w:spacing w:val="-2"/>
        </w:rPr>
        <w:t>liabilities</w:t>
      </w:r>
    </w:p>
    <w:tbl>
      <w:tblPr>
        <w:tblW w:w="0" w:type="auto"/>
        <w:tblInd w:w="-8" w:type="dxa"/>
        <w:tblLayout w:type="fixed"/>
        <w:tblCellMar>
          <w:left w:w="0" w:type="dxa"/>
          <w:right w:w="0" w:type="dxa"/>
        </w:tblCellMar>
        <w:tblLook w:val="0000" w:firstRow="0" w:lastRow="0" w:firstColumn="0" w:lastColumn="0" w:noHBand="0" w:noVBand="0"/>
      </w:tblPr>
      <w:tblGrid>
        <w:gridCol w:w="7937"/>
        <w:gridCol w:w="1134"/>
        <w:gridCol w:w="1134"/>
      </w:tblGrid>
      <w:tr w:rsidR="004E4A66" w:rsidRPr="004E4A66" w14:paraId="1F5B257F" w14:textId="77777777" w:rsidTr="004E4A66">
        <w:trPr>
          <w:trHeight w:val="60"/>
          <w:tblHeader/>
        </w:trPr>
        <w:tc>
          <w:tcPr>
            <w:tcW w:w="10205" w:type="dxa"/>
            <w:gridSpan w:val="3"/>
            <w:tcBorders>
              <w:top w:val="single" w:sz="6" w:space="0" w:color="000000"/>
              <w:left w:val="single" w:sz="6" w:space="0" w:color="auto"/>
              <w:bottom w:val="single" w:sz="2" w:space="0" w:color="FFFFFF"/>
              <w:right w:val="single" w:sz="2" w:space="0" w:color="FFFFFF"/>
            </w:tcBorders>
            <w:shd w:val="solid" w:color="004996" w:fill="auto"/>
            <w:tcMar>
              <w:top w:w="85" w:type="dxa"/>
              <w:left w:w="14" w:type="dxa"/>
              <w:bottom w:w="85" w:type="dxa"/>
              <w:right w:w="14" w:type="dxa"/>
            </w:tcMar>
          </w:tcPr>
          <w:p w14:paraId="44C39C9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thousand)</w:t>
            </w:r>
          </w:p>
        </w:tc>
      </w:tr>
      <w:tr w:rsidR="004E4A66" w:rsidRPr="004E4A66" w14:paraId="5B830E1D" w14:textId="77777777" w:rsidTr="004E4A66">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85" w:type="dxa"/>
              <w:left w:w="14" w:type="dxa"/>
              <w:bottom w:w="85" w:type="dxa"/>
              <w:right w:w="14" w:type="dxa"/>
            </w:tcMar>
          </w:tcPr>
          <w:p w14:paraId="06BA4E69"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345EBA6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85" w:type="dxa"/>
              <w:left w:w="14" w:type="dxa"/>
              <w:bottom w:w="85" w:type="dxa"/>
              <w:right w:w="14" w:type="dxa"/>
            </w:tcMar>
          </w:tcPr>
          <w:p w14:paraId="312109D5"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2021</w:t>
            </w:r>
          </w:p>
        </w:tc>
      </w:tr>
      <w:tr w:rsidR="004E4A66" w:rsidRPr="004E4A66" w14:paraId="0B17ED9C" w14:textId="77777777" w:rsidTr="004E4A66">
        <w:trPr>
          <w:trHeight w:val="60"/>
        </w:trPr>
        <w:tc>
          <w:tcPr>
            <w:tcW w:w="7937" w:type="dxa"/>
            <w:tcBorders>
              <w:top w:val="single" w:sz="2" w:space="0" w:color="9D9C9C"/>
              <w:left w:val="single" w:sz="6" w:space="0" w:color="000000"/>
              <w:bottom w:val="single" w:sz="4" w:space="0" w:color="000000"/>
              <w:right w:val="single" w:sz="2" w:space="0" w:color="9D9C9C"/>
            </w:tcBorders>
            <w:tcMar>
              <w:top w:w="85" w:type="dxa"/>
              <w:left w:w="14" w:type="dxa"/>
              <w:bottom w:w="85" w:type="dxa"/>
              <w:right w:w="14" w:type="dxa"/>
            </w:tcMar>
          </w:tcPr>
          <w:p w14:paraId="4DC1514A"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Legal proceedings and disputes</w:t>
            </w:r>
            <w:r w:rsidRPr="004E4A66">
              <w:rPr>
                <w:rFonts w:eastAsia="Myriad Pro"/>
                <w:color w:val="000000"/>
                <w:sz w:val="24"/>
                <w:szCs w:val="24"/>
                <w:vertAlign w:val="superscript"/>
                <w:lang w:val="en-GB"/>
              </w:rPr>
              <w:t xml:space="preserve"> (a)</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85" w:type="dxa"/>
              <w:left w:w="14" w:type="dxa"/>
              <w:bottom w:w="85" w:type="dxa"/>
              <w:right w:w="14" w:type="dxa"/>
            </w:tcMar>
          </w:tcPr>
          <w:p w14:paraId="0C586D29"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56,750 </w:t>
            </w:r>
          </w:p>
        </w:tc>
        <w:tc>
          <w:tcPr>
            <w:tcW w:w="1134" w:type="dxa"/>
            <w:tcBorders>
              <w:top w:val="single" w:sz="2" w:space="0" w:color="9D9C9C"/>
              <w:left w:val="single" w:sz="2" w:space="0" w:color="9D9C9C"/>
              <w:bottom w:val="single" w:sz="4" w:space="0" w:color="000000"/>
              <w:right w:val="single" w:sz="6" w:space="0" w:color="9D9C9C"/>
            </w:tcBorders>
            <w:tcMar>
              <w:top w:w="85" w:type="dxa"/>
              <w:left w:w="14" w:type="dxa"/>
              <w:bottom w:w="85" w:type="dxa"/>
              <w:right w:w="14" w:type="dxa"/>
            </w:tcMar>
          </w:tcPr>
          <w:p w14:paraId="3760793D"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58,153</w:t>
            </w:r>
          </w:p>
        </w:tc>
      </w:tr>
      <w:tr w:rsidR="004E4A66" w:rsidRPr="004E4A66" w14:paraId="546A1F22" w14:textId="77777777" w:rsidTr="004E4A66">
        <w:trPr>
          <w:trHeight w:val="60"/>
        </w:trPr>
        <w:tc>
          <w:tcPr>
            <w:tcW w:w="7937" w:type="dxa"/>
            <w:tcBorders>
              <w:top w:val="single" w:sz="4" w:space="0" w:color="000000"/>
              <w:left w:val="single" w:sz="6" w:space="0" w:color="9D9C9C"/>
              <w:bottom w:val="single" w:sz="8" w:space="0" w:color="000000"/>
              <w:right w:val="single" w:sz="2" w:space="0" w:color="9D9C9C"/>
            </w:tcBorders>
            <w:tcMar>
              <w:top w:w="85" w:type="dxa"/>
              <w:left w:w="14" w:type="dxa"/>
              <w:bottom w:w="85" w:type="dxa"/>
              <w:right w:w="14" w:type="dxa"/>
            </w:tcMar>
          </w:tcPr>
          <w:p w14:paraId="300321FC"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Total Contingent Liabilities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85" w:type="dxa"/>
              <w:left w:w="14" w:type="dxa"/>
              <w:bottom w:w="85" w:type="dxa"/>
              <w:right w:w="14" w:type="dxa"/>
            </w:tcMar>
          </w:tcPr>
          <w:p w14:paraId="033B8FC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56,750 </w:t>
            </w:r>
          </w:p>
        </w:tc>
        <w:tc>
          <w:tcPr>
            <w:tcW w:w="1134" w:type="dxa"/>
            <w:tcBorders>
              <w:top w:val="single" w:sz="4" w:space="0" w:color="000000"/>
              <w:left w:val="single" w:sz="2" w:space="0" w:color="9D9C9C"/>
              <w:bottom w:val="single" w:sz="8" w:space="0" w:color="000000"/>
              <w:right w:val="single" w:sz="6" w:space="0" w:color="9D9C9C"/>
            </w:tcBorders>
            <w:tcMar>
              <w:top w:w="85" w:type="dxa"/>
              <w:left w:w="14" w:type="dxa"/>
              <w:bottom w:w="85" w:type="dxa"/>
              <w:right w:w="14" w:type="dxa"/>
            </w:tcMar>
          </w:tcPr>
          <w:p w14:paraId="1F066C0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58,153</w:t>
            </w:r>
          </w:p>
        </w:tc>
      </w:tr>
    </w:tbl>
    <w:p w14:paraId="2C8978C4" w14:textId="77777777" w:rsidR="00345EE3" w:rsidRDefault="00345EE3" w:rsidP="00345EE3">
      <w:pPr>
        <w:spacing w:before="73"/>
        <w:ind w:left="110"/>
        <w:rPr>
          <w:rFonts w:ascii="Arial-BoldItalicMT"/>
          <w:b/>
          <w:i/>
          <w:sz w:val="14"/>
        </w:rPr>
      </w:pPr>
      <w:r>
        <w:rPr>
          <w:rFonts w:ascii="Arial-BoldItalicMT"/>
          <w:b/>
          <w:i/>
          <w:color w:val="231F20"/>
          <w:spacing w:val="-2"/>
          <w:sz w:val="14"/>
        </w:rPr>
        <w:t>Note:</w:t>
      </w:r>
    </w:p>
    <w:p w14:paraId="30EAD2EB" w14:textId="77777777" w:rsidR="00345EE3" w:rsidRDefault="00345EE3" w:rsidP="00345EE3">
      <w:pPr>
        <w:spacing w:before="28"/>
        <w:ind w:left="110"/>
        <w:rPr>
          <w:sz w:val="14"/>
        </w:rPr>
      </w:pPr>
      <w:r>
        <w:rPr>
          <w:color w:val="231F20"/>
          <w:sz w:val="14"/>
        </w:rPr>
        <w:t>(a)</w:t>
      </w:r>
      <w:r>
        <w:rPr>
          <w:color w:val="231F20"/>
          <w:spacing w:val="24"/>
          <w:sz w:val="14"/>
        </w:rPr>
        <w:t xml:space="preserve"> </w:t>
      </w:r>
      <w:r>
        <w:rPr>
          <w:color w:val="231F20"/>
          <w:sz w:val="14"/>
        </w:rPr>
        <w:t>These</w:t>
      </w:r>
      <w:r>
        <w:rPr>
          <w:color w:val="231F20"/>
          <w:spacing w:val="-3"/>
          <w:sz w:val="14"/>
        </w:rPr>
        <w:t xml:space="preserve"> </w:t>
      </w:r>
      <w:r>
        <w:rPr>
          <w:color w:val="231F20"/>
          <w:sz w:val="14"/>
        </w:rPr>
        <w:t>estimates</w:t>
      </w:r>
      <w:r>
        <w:rPr>
          <w:color w:val="231F20"/>
          <w:spacing w:val="-2"/>
          <w:sz w:val="14"/>
        </w:rPr>
        <w:t xml:space="preserve"> </w:t>
      </w:r>
      <w:r>
        <w:rPr>
          <w:color w:val="231F20"/>
          <w:sz w:val="14"/>
        </w:rPr>
        <w:t>are</w:t>
      </w:r>
      <w:r>
        <w:rPr>
          <w:color w:val="231F20"/>
          <w:spacing w:val="-3"/>
          <w:sz w:val="14"/>
        </w:rPr>
        <w:t xml:space="preserve"> </w:t>
      </w:r>
      <w:r>
        <w:rPr>
          <w:color w:val="231F20"/>
          <w:sz w:val="14"/>
        </w:rPr>
        <w:t>based</w:t>
      </w:r>
      <w:r>
        <w:rPr>
          <w:color w:val="231F20"/>
          <w:spacing w:val="-3"/>
          <w:sz w:val="14"/>
        </w:rPr>
        <w:t xml:space="preserve"> </w:t>
      </w:r>
      <w:r>
        <w:rPr>
          <w:color w:val="231F20"/>
          <w:sz w:val="14"/>
        </w:rPr>
        <w:t>on</w:t>
      </w:r>
      <w:r>
        <w:rPr>
          <w:color w:val="231F20"/>
          <w:spacing w:val="-2"/>
          <w:sz w:val="14"/>
        </w:rPr>
        <w:t xml:space="preserve"> </w:t>
      </w:r>
      <w:r>
        <w:rPr>
          <w:color w:val="231F20"/>
          <w:sz w:val="14"/>
        </w:rPr>
        <w:t>a</w:t>
      </w:r>
      <w:r>
        <w:rPr>
          <w:color w:val="231F20"/>
          <w:spacing w:val="-3"/>
          <w:sz w:val="14"/>
        </w:rPr>
        <w:t xml:space="preserve"> </w:t>
      </w:r>
      <w:r>
        <w:rPr>
          <w:color w:val="231F20"/>
          <w:sz w:val="14"/>
        </w:rPr>
        <w:t>separate</w:t>
      </w:r>
      <w:r>
        <w:rPr>
          <w:color w:val="231F20"/>
          <w:spacing w:val="-3"/>
          <w:sz w:val="14"/>
        </w:rPr>
        <w:t xml:space="preserve"> </w:t>
      </w:r>
      <w:r>
        <w:rPr>
          <w:color w:val="231F20"/>
          <w:sz w:val="14"/>
        </w:rPr>
        <w:t>assessment</w:t>
      </w:r>
      <w:r>
        <w:rPr>
          <w:color w:val="231F20"/>
          <w:spacing w:val="-2"/>
          <w:sz w:val="14"/>
        </w:rPr>
        <w:t xml:space="preserve"> </w:t>
      </w:r>
      <w:r>
        <w:rPr>
          <w:color w:val="231F20"/>
          <w:sz w:val="14"/>
        </w:rPr>
        <w:t>of</w:t>
      </w:r>
      <w:r>
        <w:rPr>
          <w:color w:val="231F20"/>
          <w:spacing w:val="-3"/>
          <w:sz w:val="14"/>
        </w:rPr>
        <w:t xml:space="preserve"> </w:t>
      </w:r>
      <w:r>
        <w:rPr>
          <w:color w:val="231F20"/>
          <w:sz w:val="14"/>
        </w:rPr>
        <w:t>all</w:t>
      </w:r>
      <w:r>
        <w:rPr>
          <w:color w:val="231F20"/>
          <w:spacing w:val="-3"/>
          <w:sz w:val="14"/>
        </w:rPr>
        <w:t xml:space="preserve"> </w:t>
      </w:r>
      <w:r>
        <w:rPr>
          <w:color w:val="231F20"/>
          <w:sz w:val="14"/>
        </w:rPr>
        <w:t>Victoria</w:t>
      </w:r>
      <w:r>
        <w:rPr>
          <w:color w:val="231F20"/>
          <w:spacing w:val="-2"/>
          <w:sz w:val="14"/>
        </w:rPr>
        <w:t xml:space="preserve"> </w:t>
      </w:r>
      <w:r>
        <w:rPr>
          <w:color w:val="231F20"/>
          <w:sz w:val="14"/>
        </w:rPr>
        <w:t>Police</w:t>
      </w:r>
      <w:r>
        <w:rPr>
          <w:color w:val="231F20"/>
          <w:spacing w:val="-3"/>
          <w:sz w:val="14"/>
        </w:rPr>
        <w:t xml:space="preserve"> </w:t>
      </w:r>
      <w:r>
        <w:rPr>
          <w:color w:val="231F20"/>
          <w:sz w:val="14"/>
        </w:rPr>
        <w:t>files</w:t>
      </w:r>
      <w:r>
        <w:rPr>
          <w:color w:val="231F20"/>
          <w:spacing w:val="-3"/>
          <w:sz w:val="14"/>
        </w:rPr>
        <w:t xml:space="preserve"> </w:t>
      </w:r>
      <w:r>
        <w:rPr>
          <w:color w:val="231F20"/>
          <w:sz w:val="14"/>
        </w:rPr>
        <w:t>by</w:t>
      </w:r>
      <w:r>
        <w:rPr>
          <w:color w:val="231F20"/>
          <w:spacing w:val="-2"/>
          <w:sz w:val="14"/>
        </w:rPr>
        <w:t xml:space="preserve"> </w:t>
      </w:r>
      <w:r>
        <w:rPr>
          <w:color w:val="231F20"/>
          <w:sz w:val="14"/>
        </w:rPr>
        <w:t>our</w:t>
      </w:r>
      <w:r>
        <w:rPr>
          <w:color w:val="231F20"/>
          <w:spacing w:val="-3"/>
          <w:sz w:val="14"/>
        </w:rPr>
        <w:t xml:space="preserve"> </w:t>
      </w:r>
      <w:r>
        <w:rPr>
          <w:color w:val="231F20"/>
          <w:sz w:val="14"/>
        </w:rPr>
        <w:t>legal</w:t>
      </w:r>
      <w:r>
        <w:rPr>
          <w:color w:val="231F20"/>
          <w:spacing w:val="-2"/>
          <w:sz w:val="14"/>
        </w:rPr>
        <w:t xml:space="preserve"> advisors.</w:t>
      </w:r>
    </w:p>
    <w:p w14:paraId="0D9D24C8" w14:textId="77777777" w:rsidR="00345EE3" w:rsidRPr="0053280C" w:rsidRDefault="00345EE3" w:rsidP="002A27BA">
      <w:pPr>
        <w:pStyle w:val="Heading3"/>
        <w:numPr>
          <w:ilvl w:val="1"/>
          <w:numId w:val="44"/>
        </w:numPr>
      </w:pPr>
      <w:r>
        <w:t>Fair</w:t>
      </w:r>
      <w:r w:rsidRPr="0053280C">
        <w:t xml:space="preserve"> </w:t>
      </w:r>
      <w:r>
        <w:t>Value</w:t>
      </w:r>
      <w:r w:rsidRPr="0053280C">
        <w:t xml:space="preserve"> Determination</w:t>
      </w:r>
    </w:p>
    <w:p w14:paraId="6098BDE2" w14:textId="77777777" w:rsidR="00345EE3" w:rsidRDefault="00345EE3" w:rsidP="00345EE3">
      <w:pPr>
        <w:pStyle w:val="Heading5"/>
        <w:spacing w:before="109"/>
      </w:pPr>
      <w:r>
        <w:rPr>
          <w:color w:val="58595B"/>
        </w:rPr>
        <w:t>Significant</w:t>
      </w:r>
      <w:r>
        <w:rPr>
          <w:color w:val="58595B"/>
          <w:spacing w:val="-5"/>
        </w:rPr>
        <w:t xml:space="preserve"> </w:t>
      </w:r>
      <w:r>
        <w:rPr>
          <w:color w:val="58595B"/>
        </w:rPr>
        <w:t>judgement:</w:t>
      </w:r>
      <w:r>
        <w:rPr>
          <w:color w:val="58595B"/>
          <w:spacing w:val="-3"/>
        </w:rPr>
        <w:t xml:space="preserve"> </w:t>
      </w:r>
      <w:r>
        <w:rPr>
          <w:color w:val="58595B"/>
        </w:rPr>
        <w:t>Fair</w:t>
      </w:r>
      <w:r>
        <w:rPr>
          <w:color w:val="58595B"/>
          <w:spacing w:val="-3"/>
        </w:rPr>
        <w:t xml:space="preserve"> </w:t>
      </w:r>
      <w:r>
        <w:rPr>
          <w:color w:val="58595B"/>
        </w:rPr>
        <w:t>value</w:t>
      </w:r>
      <w:r>
        <w:rPr>
          <w:color w:val="58595B"/>
          <w:spacing w:val="-4"/>
        </w:rPr>
        <w:t xml:space="preserve"> </w:t>
      </w:r>
      <w:r>
        <w:rPr>
          <w:color w:val="58595B"/>
        </w:rPr>
        <w:t>measurements</w:t>
      </w:r>
      <w:r>
        <w:rPr>
          <w:color w:val="58595B"/>
          <w:spacing w:val="-3"/>
        </w:rPr>
        <w:t xml:space="preserve"> </w:t>
      </w:r>
      <w:r>
        <w:rPr>
          <w:color w:val="58595B"/>
        </w:rPr>
        <w:t>of</w:t>
      </w:r>
      <w:r>
        <w:rPr>
          <w:color w:val="58595B"/>
          <w:spacing w:val="-3"/>
        </w:rPr>
        <w:t xml:space="preserve"> </w:t>
      </w:r>
      <w:r>
        <w:rPr>
          <w:color w:val="58595B"/>
        </w:rPr>
        <w:t>assets</w:t>
      </w:r>
      <w:r>
        <w:rPr>
          <w:color w:val="58595B"/>
          <w:spacing w:val="-4"/>
        </w:rPr>
        <w:t xml:space="preserve"> </w:t>
      </w:r>
      <w:r>
        <w:rPr>
          <w:color w:val="58595B"/>
        </w:rPr>
        <w:t>and</w:t>
      </w:r>
      <w:r>
        <w:rPr>
          <w:color w:val="58595B"/>
          <w:spacing w:val="-3"/>
        </w:rPr>
        <w:t xml:space="preserve"> </w:t>
      </w:r>
      <w:r>
        <w:rPr>
          <w:color w:val="58595B"/>
          <w:spacing w:val="-2"/>
        </w:rPr>
        <w:t>liabilities</w:t>
      </w:r>
    </w:p>
    <w:p w14:paraId="5EB96DE7" w14:textId="77777777" w:rsidR="00345EE3" w:rsidRDefault="00345EE3" w:rsidP="00345EE3">
      <w:pPr>
        <w:pStyle w:val="BodyText"/>
        <w:spacing w:before="4" w:line="242" w:lineRule="auto"/>
      </w:pPr>
      <w:r>
        <w:rPr>
          <w:color w:val="231F20"/>
        </w:rPr>
        <w:t>This section sets out information on how Victoria Police determines fair value for financial reporting</w:t>
      </w:r>
      <w:r>
        <w:rPr>
          <w:color w:val="231F20"/>
          <w:spacing w:val="-4"/>
        </w:rPr>
        <w:t xml:space="preserve"> </w:t>
      </w:r>
      <w:r>
        <w:rPr>
          <w:color w:val="231F20"/>
        </w:rPr>
        <w:t>purposes.</w:t>
      </w:r>
      <w:r>
        <w:rPr>
          <w:color w:val="231F20"/>
          <w:spacing w:val="-3"/>
        </w:rPr>
        <w:t xml:space="preserve"> </w:t>
      </w:r>
      <w:r>
        <w:rPr>
          <w:color w:val="231F20"/>
        </w:rPr>
        <w:t>Fair</w:t>
      </w:r>
      <w:r>
        <w:rPr>
          <w:color w:val="231F20"/>
          <w:spacing w:val="-3"/>
        </w:rPr>
        <w:t xml:space="preserve"> </w:t>
      </w:r>
      <w:r>
        <w:rPr>
          <w:color w:val="231F20"/>
        </w:rPr>
        <w:t>value</w:t>
      </w:r>
      <w:r>
        <w:rPr>
          <w:color w:val="231F20"/>
          <w:spacing w:val="-4"/>
        </w:rPr>
        <w:t xml:space="preserve"> </w:t>
      </w:r>
      <w:r>
        <w:rPr>
          <w:color w:val="231F20"/>
        </w:rPr>
        <w:t>is</w:t>
      </w:r>
      <w:r>
        <w:rPr>
          <w:color w:val="231F20"/>
          <w:spacing w:val="-3"/>
        </w:rPr>
        <w:t xml:space="preserve"> </w:t>
      </w:r>
      <w:r>
        <w:rPr>
          <w:color w:val="231F20"/>
        </w:rPr>
        <w:t>the</w:t>
      </w:r>
      <w:r>
        <w:rPr>
          <w:color w:val="231F20"/>
          <w:spacing w:val="-4"/>
        </w:rPr>
        <w:t xml:space="preserve"> </w:t>
      </w:r>
      <w:r>
        <w:rPr>
          <w:color w:val="231F20"/>
        </w:rPr>
        <w:t>price</w:t>
      </w:r>
      <w:r>
        <w:rPr>
          <w:color w:val="231F20"/>
          <w:spacing w:val="-4"/>
        </w:rPr>
        <w:t xml:space="preserve"> </w:t>
      </w:r>
      <w:r>
        <w:rPr>
          <w:color w:val="231F20"/>
        </w:rPr>
        <w:t>that</w:t>
      </w:r>
      <w:r>
        <w:rPr>
          <w:color w:val="231F20"/>
          <w:spacing w:val="-3"/>
        </w:rPr>
        <w:t xml:space="preserve"> </w:t>
      </w:r>
      <w:r>
        <w:rPr>
          <w:color w:val="231F20"/>
        </w:rPr>
        <w:t>would</w:t>
      </w:r>
      <w:r>
        <w:rPr>
          <w:color w:val="231F20"/>
          <w:spacing w:val="-4"/>
        </w:rPr>
        <w:t xml:space="preserve"> </w:t>
      </w:r>
      <w:r>
        <w:rPr>
          <w:color w:val="231F20"/>
        </w:rPr>
        <w:t>be</w:t>
      </w:r>
      <w:r>
        <w:rPr>
          <w:color w:val="231F20"/>
          <w:spacing w:val="-4"/>
        </w:rPr>
        <w:t xml:space="preserve"> </w:t>
      </w:r>
      <w:r>
        <w:rPr>
          <w:color w:val="231F20"/>
        </w:rPr>
        <w:t>received</w:t>
      </w:r>
      <w:r>
        <w:rPr>
          <w:color w:val="231F20"/>
          <w:spacing w:val="-4"/>
        </w:rPr>
        <w:t xml:space="preserve"> </w:t>
      </w:r>
      <w:r>
        <w:rPr>
          <w:color w:val="231F20"/>
        </w:rPr>
        <w:t>from</w:t>
      </w:r>
      <w:r>
        <w:rPr>
          <w:color w:val="231F20"/>
          <w:spacing w:val="-3"/>
        </w:rPr>
        <w:t xml:space="preserve"> </w:t>
      </w:r>
      <w:r>
        <w:rPr>
          <w:color w:val="231F20"/>
        </w:rPr>
        <w:t>selling</w:t>
      </w:r>
      <w:r>
        <w:rPr>
          <w:color w:val="231F20"/>
          <w:spacing w:val="-4"/>
        </w:rPr>
        <w:t xml:space="preserve"> </w:t>
      </w:r>
      <w:r>
        <w:rPr>
          <w:color w:val="231F20"/>
        </w:rPr>
        <w:t>an</w:t>
      </w:r>
      <w:r>
        <w:rPr>
          <w:color w:val="231F20"/>
          <w:spacing w:val="-4"/>
        </w:rPr>
        <w:t xml:space="preserve"> </w:t>
      </w:r>
      <w:r>
        <w:rPr>
          <w:color w:val="231F20"/>
        </w:rPr>
        <w:t>asset</w:t>
      </w:r>
      <w:r>
        <w:rPr>
          <w:color w:val="231F20"/>
          <w:spacing w:val="-3"/>
        </w:rPr>
        <w:t xml:space="preserve"> </w:t>
      </w:r>
      <w:r>
        <w:rPr>
          <w:color w:val="231F20"/>
        </w:rPr>
        <w:t>or</w:t>
      </w:r>
      <w:r>
        <w:rPr>
          <w:color w:val="231F20"/>
          <w:spacing w:val="-3"/>
        </w:rPr>
        <w:t xml:space="preserve"> </w:t>
      </w:r>
      <w:r>
        <w:rPr>
          <w:color w:val="231F20"/>
        </w:rPr>
        <w:t>paid</w:t>
      </w:r>
      <w:r>
        <w:rPr>
          <w:color w:val="231F20"/>
          <w:spacing w:val="-4"/>
        </w:rPr>
        <w:t xml:space="preserve"> </w:t>
      </w:r>
      <w:r>
        <w:rPr>
          <w:color w:val="231F20"/>
        </w:rPr>
        <w:t>to transfer</w:t>
      </w:r>
      <w:r>
        <w:rPr>
          <w:color w:val="231F20"/>
          <w:spacing w:val="-10"/>
        </w:rPr>
        <w:t xml:space="preserve"> </w:t>
      </w:r>
      <w:r>
        <w:rPr>
          <w:color w:val="231F20"/>
        </w:rPr>
        <w:t>a</w:t>
      </w:r>
      <w:r>
        <w:rPr>
          <w:color w:val="231F20"/>
          <w:spacing w:val="-10"/>
        </w:rPr>
        <w:t xml:space="preserve"> </w:t>
      </w:r>
      <w:r>
        <w:rPr>
          <w:color w:val="231F20"/>
        </w:rPr>
        <w:t>liability</w:t>
      </w:r>
      <w:r>
        <w:rPr>
          <w:color w:val="231F20"/>
          <w:spacing w:val="-10"/>
        </w:rPr>
        <w:t xml:space="preserve"> </w:t>
      </w:r>
      <w:r>
        <w:rPr>
          <w:color w:val="231F20"/>
        </w:rPr>
        <w:t>in</w:t>
      </w:r>
      <w:r>
        <w:rPr>
          <w:color w:val="231F20"/>
          <w:spacing w:val="-10"/>
        </w:rPr>
        <w:t xml:space="preserve"> </w:t>
      </w:r>
      <w:r>
        <w:rPr>
          <w:color w:val="231F20"/>
        </w:rPr>
        <w:t>an</w:t>
      </w:r>
      <w:r>
        <w:rPr>
          <w:color w:val="231F20"/>
          <w:spacing w:val="-10"/>
        </w:rPr>
        <w:t xml:space="preserve"> </w:t>
      </w:r>
      <w:r>
        <w:rPr>
          <w:color w:val="231F20"/>
        </w:rPr>
        <w:t>orderly</w:t>
      </w:r>
      <w:r>
        <w:rPr>
          <w:color w:val="231F20"/>
          <w:spacing w:val="-10"/>
        </w:rPr>
        <w:t xml:space="preserve"> </w:t>
      </w:r>
      <w:r>
        <w:rPr>
          <w:color w:val="231F20"/>
        </w:rPr>
        <w:t>transaction</w:t>
      </w:r>
      <w:r>
        <w:rPr>
          <w:color w:val="231F20"/>
          <w:spacing w:val="-10"/>
        </w:rPr>
        <w:t xml:space="preserve"> </w:t>
      </w:r>
      <w:r>
        <w:rPr>
          <w:color w:val="231F20"/>
        </w:rPr>
        <w:t>between</w:t>
      </w:r>
      <w:r>
        <w:rPr>
          <w:color w:val="231F20"/>
          <w:spacing w:val="-10"/>
        </w:rPr>
        <w:t xml:space="preserve"> </w:t>
      </w:r>
      <w:r>
        <w:rPr>
          <w:color w:val="231F20"/>
        </w:rPr>
        <w:t>market</w:t>
      </w:r>
      <w:r>
        <w:rPr>
          <w:color w:val="231F20"/>
          <w:spacing w:val="-10"/>
        </w:rPr>
        <w:t xml:space="preserve"> </w:t>
      </w:r>
      <w:r>
        <w:rPr>
          <w:color w:val="231F20"/>
        </w:rPr>
        <w:t>participants</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measurement</w:t>
      </w:r>
      <w:r>
        <w:rPr>
          <w:color w:val="231F20"/>
          <w:spacing w:val="-10"/>
        </w:rPr>
        <w:t xml:space="preserve"> </w:t>
      </w:r>
      <w:r>
        <w:rPr>
          <w:color w:val="231F20"/>
        </w:rPr>
        <w:t>date.</w:t>
      </w:r>
    </w:p>
    <w:p w14:paraId="0ABA18DA" w14:textId="77777777" w:rsidR="00345EE3" w:rsidRDefault="00345EE3" w:rsidP="00345EE3">
      <w:pPr>
        <w:spacing w:line="242" w:lineRule="auto"/>
        <w:sectPr w:rsidR="00345EE3">
          <w:pgSz w:w="11910" w:h="16840"/>
          <w:pgMar w:top="700" w:right="720" w:bottom="280" w:left="740" w:header="720" w:footer="720" w:gutter="0"/>
          <w:cols w:space="720"/>
        </w:sectPr>
      </w:pPr>
    </w:p>
    <w:p w14:paraId="2058262F" w14:textId="77777777" w:rsidR="00345EE3" w:rsidRDefault="00345EE3" w:rsidP="00345EE3">
      <w:pPr>
        <w:pStyle w:val="BodyText"/>
        <w:spacing w:before="62"/>
      </w:pPr>
      <w:r>
        <w:rPr>
          <w:color w:val="231F20"/>
        </w:rPr>
        <w:t>The</w:t>
      </w:r>
      <w:r>
        <w:rPr>
          <w:color w:val="231F20"/>
          <w:spacing w:val="-10"/>
        </w:rPr>
        <w:t xml:space="preserve"> </w:t>
      </w:r>
      <w:r>
        <w:rPr>
          <w:color w:val="231F20"/>
        </w:rPr>
        <w:t>following</w:t>
      </w:r>
      <w:r>
        <w:rPr>
          <w:color w:val="231F20"/>
          <w:spacing w:val="-8"/>
        </w:rPr>
        <w:t xml:space="preserve"> </w:t>
      </w:r>
      <w:r>
        <w:rPr>
          <w:color w:val="231F20"/>
        </w:rPr>
        <w:t>assets</w:t>
      </w:r>
      <w:r>
        <w:rPr>
          <w:color w:val="231F20"/>
          <w:spacing w:val="-7"/>
        </w:rPr>
        <w:t xml:space="preserve"> </w:t>
      </w:r>
      <w:r>
        <w:rPr>
          <w:color w:val="231F20"/>
        </w:rPr>
        <w:t>and</w:t>
      </w:r>
      <w:r>
        <w:rPr>
          <w:color w:val="231F20"/>
          <w:spacing w:val="-8"/>
        </w:rPr>
        <w:t xml:space="preserve"> </w:t>
      </w:r>
      <w:r>
        <w:rPr>
          <w:color w:val="231F20"/>
        </w:rPr>
        <w:t>liabilities</w:t>
      </w:r>
      <w:r>
        <w:rPr>
          <w:color w:val="231F20"/>
          <w:spacing w:val="-7"/>
        </w:rPr>
        <w:t xml:space="preserve"> </w:t>
      </w:r>
      <w:r>
        <w:rPr>
          <w:color w:val="231F20"/>
        </w:rPr>
        <w:t>are</w:t>
      </w:r>
      <w:r>
        <w:rPr>
          <w:color w:val="231F20"/>
          <w:spacing w:val="-8"/>
        </w:rPr>
        <w:t xml:space="preserve"> </w:t>
      </w:r>
      <w:r>
        <w:rPr>
          <w:color w:val="231F20"/>
        </w:rPr>
        <w:t>carried</w:t>
      </w:r>
      <w:r>
        <w:rPr>
          <w:color w:val="231F20"/>
          <w:spacing w:val="-8"/>
        </w:rPr>
        <w:t xml:space="preserve"> </w:t>
      </w:r>
      <w:r>
        <w:rPr>
          <w:color w:val="231F20"/>
        </w:rPr>
        <w:t>at</w:t>
      </w:r>
      <w:r>
        <w:rPr>
          <w:color w:val="231F20"/>
          <w:spacing w:val="-7"/>
        </w:rPr>
        <w:t xml:space="preserve"> </w:t>
      </w:r>
      <w:r>
        <w:rPr>
          <w:color w:val="231F20"/>
        </w:rPr>
        <w:t>fair</w:t>
      </w:r>
      <w:r>
        <w:rPr>
          <w:color w:val="231F20"/>
          <w:spacing w:val="-6"/>
        </w:rPr>
        <w:t xml:space="preserve"> </w:t>
      </w:r>
      <w:r>
        <w:rPr>
          <w:color w:val="231F20"/>
          <w:spacing w:val="-2"/>
        </w:rPr>
        <w:t>value:</w:t>
      </w:r>
    </w:p>
    <w:p w14:paraId="70BD9B62" w14:textId="77777777" w:rsidR="00345EE3" w:rsidRDefault="00345EE3">
      <w:pPr>
        <w:pStyle w:val="ListParagraph"/>
        <w:numPr>
          <w:ilvl w:val="2"/>
          <w:numId w:val="14"/>
        </w:numPr>
        <w:tabs>
          <w:tab w:val="left" w:pos="393"/>
          <w:tab w:val="left" w:pos="394"/>
        </w:tabs>
        <w:rPr>
          <w:sz w:val="24"/>
        </w:rPr>
      </w:pPr>
      <w:r>
        <w:rPr>
          <w:color w:val="231F20"/>
          <w:sz w:val="24"/>
        </w:rPr>
        <w:t>financial</w:t>
      </w:r>
      <w:r>
        <w:rPr>
          <w:color w:val="231F20"/>
          <w:spacing w:val="-14"/>
          <w:sz w:val="24"/>
        </w:rPr>
        <w:t xml:space="preserve"> </w:t>
      </w:r>
      <w:r>
        <w:rPr>
          <w:color w:val="231F20"/>
          <w:sz w:val="24"/>
        </w:rPr>
        <w:t>assets</w:t>
      </w:r>
      <w:r>
        <w:rPr>
          <w:color w:val="231F20"/>
          <w:spacing w:val="-10"/>
          <w:sz w:val="24"/>
        </w:rPr>
        <w:t xml:space="preserve"> </w:t>
      </w:r>
      <w:r>
        <w:rPr>
          <w:color w:val="231F20"/>
          <w:sz w:val="24"/>
        </w:rPr>
        <w:t>and</w:t>
      </w:r>
      <w:r>
        <w:rPr>
          <w:color w:val="231F20"/>
          <w:spacing w:val="-11"/>
          <w:sz w:val="24"/>
        </w:rPr>
        <w:t xml:space="preserve"> </w:t>
      </w:r>
      <w:r>
        <w:rPr>
          <w:color w:val="231F20"/>
          <w:sz w:val="24"/>
        </w:rPr>
        <w:t>liabilities</w:t>
      </w:r>
      <w:r>
        <w:rPr>
          <w:color w:val="231F20"/>
          <w:spacing w:val="-11"/>
          <w:sz w:val="24"/>
        </w:rPr>
        <w:t xml:space="preserve"> </w:t>
      </w:r>
      <w:r>
        <w:rPr>
          <w:color w:val="231F20"/>
          <w:sz w:val="24"/>
        </w:rPr>
        <w:t>at</w:t>
      </w:r>
      <w:r>
        <w:rPr>
          <w:color w:val="231F20"/>
          <w:spacing w:val="-10"/>
          <w:sz w:val="24"/>
        </w:rPr>
        <w:t xml:space="preserve"> </w:t>
      </w:r>
      <w:r>
        <w:rPr>
          <w:color w:val="231F20"/>
          <w:sz w:val="24"/>
        </w:rPr>
        <w:t>fair</w:t>
      </w:r>
      <w:r>
        <w:rPr>
          <w:color w:val="231F20"/>
          <w:spacing w:val="-10"/>
          <w:sz w:val="24"/>
        </w:rPr>
        <w:t xml:space="preserve"> </w:t>
      </w:r>
      <w:r>
        <w:rPr>
          <w:color w:val="231F20"/>
          <w:sz w:val="24"/>
        </w:rPr>
        <w:t>value</w:t>
      </w:r>
      <w:r>
        <w:rPr>
          <w:color w:val="231F20"/>
          <w:spacing w:val="-12"/>
          <w:sz w:val="24"/>
        </w:rPr>
        <w:t xml:space="preserve"> </w:t>
      </w:r>
      <w:r>
        <w:rPr>
          <w:color w:val="231F20"/>
          <w:sz w:val="24"/>
        </w:rPr>
        <w:t>through</w:t>
      </w:r>
      <w:r>
        <w:rPr>
          <w:color w:val="231F20"/>
          <w:spacing w:val="-11"/>
          <w:sz w:val="24"/>
        </w:rPr>
        <w:t xml:space="preserve"> </w:t>
      </w:r>
      <w:r>
        <w:rPr>
          <w:color w:val="231F20"/>
          <w:sz w:val="24"/>
        </w:rPr>
        <w:t>the</w:t>
      </w:r>
      <w:r>
        <w:rPr>
          <w:color w:val="231F20"/>
          <w:spacing w:val="-11"/>
          <w:sz w:val="24"/>
        </w:rPr>
        <w:t xml:space="preserve"> </w:t>
      </w:r>
      <w:r>
        <w:rPr>
          <w:color w:val="231F20"/>
          <w:sz w:val="24"/>
        </w:rPr>
        <w:t>Comprehensive</w:t>
      </w:r>
      <w:r>
        <w:rPr>
          <w:color w:val="231F20"/>
          <w:spacing w:val="-11"/>
          <w:sz w:val="24"/>
        </w:rPr>
        <w:t xml:space="preserve"> </w:t>
      </w:r>
      <w:r>
        <w:rPr>
          <w:color w:val="231F20"/>
          <w:sz w:val="24"/>
        </w:rPr>
        <w:t>Operating</w:t>
      </w:r>
      <w:r>
        <w:rPr>
          <w:color w:val="231F20"/>
          <w:spacing w:val="-11"/>
          <w:sz w:val="24"/>
        </w:rPr>
        <w:t xml:space="preserve"> </w:t>
      </w:r>
      <w:r>
        <w:rPr>
          <w:color w:val="231F20"/>
          <w:spacing w:val="-2"/>
          <w:sz w:val="24"/>
        </w:rPr>
        <w:t>Statement;</w:t>
      </w:r>
    </w:p>
    <w:p w14:paraId="34FEF54A" w14:textId="77777777" w:rsidR="00345EE3" w:rsidRDefault="00345EE3">
      <w:pPr>
        <w:pStyle w:val="ListParagraph"/>
        <w:numPr>
          <w:ilvl w:val="2"/>
          <w:numId w:val="14"/>
        </w:numPr>
        <w:tabs>
          <w:tab w:val="left" w:pos="393"/>
          <w:tab w:val="left" w:pos="394"/>
        </w:tabs>
        <w:spacing w:before="33"/>
        <w:rPr>
          <w:sz w:val="24"/>
        </w:rPr>
      </w:pPr>
      <w:r>
        <w:rPr>
          <w:color w:val="231F20"/>
          <w:sz w:val="24"/>
        </w:rPr>
        <w:t>land,</w:t>
      </w:r>
      <w:r>
        <w:rPr>
          <w:color w:val="231F20"/>
          <w:spacing w:val="-17"/>
          <w:sz w:val="24"/>
        </w:rPr>
        <w:t xml:space="preserve"> </w:t>
      </w:r>
      <w:r>
        <w:rPr>
          <w:color w:val="231F20"/>
          <w:sz w:val="24"/>
        </w:rPr>
        <w:t>buildings,</w:t>
      </w:r>
      <w:r>
        <w:rPr>
          <w:color w:val="231F20"/>
          <w:spacing w:val="-15"/>
          <w:sz w:val="24"/>
        </w:rPr>
        <w:t xml:space="preserve"> </w:t>
      </w:r>
      <w:r>
        <w:rPr>
          <w:color w:val="231F20"/>
          <w:sz w:val="24"/>
        </w:rPr>
        <w:t>infrastructure,</w:t>
      </w:r>
      <w:r>
        <w:rPr>
          <w:color w:val="231F20"/>
          <w:spacing w:val="-14"/>
          <w:sz w:val="24"/>
        </w:rPr>
        <w:t xml:space="preserve"> </w:t>
      </w:r>
      <w:r>
        <w:rPr>
          <w:color w:val="231F20"/>
          <w:sz w:val="24"/>
        </w:rPr>
        <w:t>plant</w:t>
      </w:r>
      <w:r>
        <w:rPr>
          <w:color w:val="231F20"/>
          <w:spacing w:val="-15"/>
          <w:sz w:val="24"/>
        </w:rPr>
        <w:t xml:space="preserve"> </w:t>
      </w:r>
      <w:r>
        <w:rPr>
          <w:color w:val="231F20"/>
          <w:sz w:val="24"/>
        </w:rPr>
        <w:t>and</w:t>
      </w:r>
      <w:r>
        <w:rPr>
          <w:color w:val="231F20"/>
          <w:spacing w:val="-15"/>
          <w:sz w:val="24"/>
        </w:rPr>
        <w:t xml:space="preserve"> </w:t>
      </w:r>
      <w:r>
        <w:rPr>
          <w:color w:val="231F20"/>
          <w:sz w:val="24"/>
        </w:rPr>
        <w:t>equipment;</w:t>
      </w:r>
      <w:r>
        <w:rPr>
          <w:color w:val="231F20"/>
          <w:spacing w:val="-14"/>
          <w:sz w:val="24"/>
        </w:rPr>
        <w:t xml:space="preserve"> </w:t>
      </w:r>
      <w:r>
        <w:rPr>
          <w:color w:val="231F20"/>
          <w:spacing w:val="-5"/>
          <w:sz w:val="24"/>
        </w:rPr>
        <w:t>and</w:t>
      </w:r>
    </w:p>
    <w:p w14:paraId="3414E6EF" w14:textId="77777777" w:rsidR="00345EE3" w:rsidRDefault="00345EE3">
      <w:pPr>
        <w:pStyle w:val="ListParagraph"/>
        <w:numPr>
          <w:ilvl w:val="2"/>
          <w:numId w:val="14"/>
        </w:numPr>
        <w:tabs>
          <w:tab w:val="left" w:pos="393"/>
          <w:tab w:val="left" w:pos="394"/>
        </w:tabs>
        <w:rPr>
          <w:sz w:val="24"/>
        </w:rPr>
      </w:pPr>
      <w:r>
        <w:rPr>
          <w:color w:val="231F20"/>
          <w:sz w:val="24"/>
        </w:rPr>
        <w:t>right-of-use</w:t>
      </w:r>
      <w:r>
        <w:rPr>
          <w:color w:val="231F20"/>
          <w:spacing w:val="-8"/>
          <w:sz w:val="24"/>
        </w:rPr>
        <w:t xml:space="preserve"> </w:t>
      </w:r>
      <w:r>
        <w:rPr>
          <w:color w:val="231F20"/>
          <w:spacing w:val="-2"/>
          <w:sz w:val="24"/>
        </w:rPr>
        <w:t>assets.</w:t>
      </w:r>
    </w:p>
    <w:p w14:paraId="20EC2A81" w14:textId="77777777" w:rsidR="00345EE3" w:rsidRDefault="00345EE3" w:rsidP="00345EE3">
      <w:pPr>
        <w:pStyle w:val="BodyText"/>
        <w:spacing w:before="117" w:line="242" w:lineRule="auto"/>
      </w:pPr>
      <w:r>
        <w:rPr>
          <w:color w:val="231F20"/>
        </w:rPr>
        <w:t>In</w:t>
      </w:r>
      <w:r>
        <w:rPr>
          <w:color w:val="231F20"/>
          <w:spacing w:val="-8"/>
        </w:rPr>
        <w:t xml:space="preserve"> </w:t>
      </w:r>
      <w:r>
        <w:rPr>
          <w:color w:val="231F20"/>
        </w:rPr>
        <w:t>addition,</w:t>
      </w:r>
      <w:r>
        <w:rPr>
          <w:color w:val="231F20"/>
          <w:spacing w:val="-7"/>
        </w:rPr>
        <w:t xml:space="preserve"> </w:t>
      </w:r>
      <w:r>
        <w:rPr>
          <w:color w:val="231F20"/>
        </w:rPr>
        <w:t>the</w:t>
      </w:r>
      <w:r>
        <w:rPr>
          <w:color w:val="231F20"/>
          <w:spacing w:val="-8"/>
        </w:rPr>
        <w:t xml:space="preserve"> </w:t>
      </w:r>
      <w:r>
        <w:rPr>
          <w:color w:val="231F20"/>
        </w:rPr>
        <w:t>fair</w:t>
      </w:r>
      <w:r>
        <w:rPr>
          <w:color w:val="231F20"/>
          <w:spacing w:val="-7"/>
        </w:rPr>
        <w:t xml:space="preserve"> </w:t>
      </w:r>
      <w:r>
        <w:rPr>
          <w:color w:val="231F20"/>
        </w:rPr>
        <w:t>values</w:t>
      </w:r>
      <w:r>
        <w:rPr>
          <w:color w:val="231F20"/>
          <w:spacing w:val="-7"/>
        </w:rPr>
        <w:t xml:space="preserve"> </w:t>
      </w:r>
      <w:r>
        <w:rPr>
          <w:color w:val="231F20"/>
        </w:rPr>
        <w:t>of</w:t>
      </w:r>
      <w:r>
        <w:rPr>
          <w:color w:val="231F20"/>
          <w:spacing w:val="-7"/>
        </w:rPr>
        <w:t xml:space="preserve"> </w:t>
      </w:r>
      <w:r>
        <w:rPr>
          <w:color w:val="231F20"/>
        </w:rPr>
        <w:t>other</w:t>
      </w:r>
      <w:r>
        <w:rPr>
          <w:color w:val="231F20"/>
          <w:spacing w:val="-7"/>
        </w:rPr>
        <w:t xml:space="preserve"> </w:t>
      </w:r>
      <w:r>
        <w:rPr>
          <w:color w:val="231F20"/>
        </w:rPr>
        <w:t>assets</w:t>
      </w:r>
      <w:r>
        <w:rPr>
          <w:color w:val="231F20"/>
          <w:spacing w:val="-7"/>
        </w:rPr>
        <w:t xml:space="preserve"> </w:t>
      </w:r>
      <w:r>
        <w:rPr>
          <w:color w:val="231F20"/>
        </w:rPr>
        <w:t>and</w:t>
      </w:r>
      <w:r>
        <w:rPr>
          <w:color w:val="231F20"/>
          <w:spacing w:val="-8"/>
        </w:rPr>
        <w:t xml:space="preserve"> </w:t>
      </w:r>
      <w:r>
        <w:rPr>
          <w:color w:val="231F20"/>
        </w:rPr>
        <w:t>liabilities</w:t>
      </w:r>
      <w:r>
        <w:rPr>
          <w:color w:val="231F20"/>
          <w:spacing w:val="-7"/>
        </w:rPr>
        <w:t xml:space="preserve"> </w:t>
      </w:r>
      <w:r>
        <w:rPr>
          <w:color w:val="231F20"/>
        </w:rPr>
        <w:t>that</w:t>
      </w:r>
      <w:r>
        <w:rPr>
          <w:color w:val="231F20"/>
          <w:spacing w:val="-7"/>
        </w:rPr>
        <w:t xml:space="preserve"> </w:t>
      </w:r>
      <w:r>
        <w:rPr>
          <w:color w:val="231F20"/>
        </w:rPr>
        <w:t>are</w:t>
      </w:r>
      <w:r>
        <w:rPr>
          <w:color w:val="231F20"/>
          <w:spacing w:val="-8"/>
        </w:rPr>
        <w:t xml:space="preserve"> </w:t>
      </w:r>
      <w:r>
        <w:rPr>
          <w:color w:val="231F20"/>
        </w:rPr>
        <w:t>carried</w:t>
      </w:r>
      <w:r>
        <w:rPr>
          <w:color w:val="231F20"/>
          <w:spacing w:val="-8"/>
        </w:rPr>
        <w:t xml:space="preserve"> </w:t>
      </w:r>
      <w:r>
        <w:rPr>
          <w:color w:val="231F20"/>
        </w:rPr>
        <w:t>at</w:t>
      </w:r>
      <w:r>
        <w:rPr>
          <w:color w:val="231F20"/>
          <w:spacing w:val="-7"/>
        </w:rPr>
        <w:t xml:space="preserve"> </w:t>
      </w:r>
      <w:r>
        <w:rPr>
          <w:color w:val="231F20"/>
        </w:rPr>
        <w:t>amortised</w:t>
      </w:r>
      <w:r>
        <w:rPr>
          <w:color w:val="231F20"/>
          <w:spacing w:val="-8"/>
        </w:rPr>
        <w:t xml:space="preserve"> </w:t>
      </w:r>
      <w:r>
        <w:rPr>
          <w:color w:val="231F20"/>
        </w:rPr>
        <w:t>cost,</w:t>
      </w:r>
      <w:r>
        <w:rPr>
          <w:color w:val="231F20"/>
          <w:spacing w:val="-7"/>
        </w:rPr>
        <w:t xml:space="preserve"> </w:t>
      </w:r>
      <w:r>
        <w:rPr>
          <w:color w:val="231F20"/>
        </w:rPr>
        <w:t>also need to be determined for disclosure purposes.</w:t>
      </w:r>
    </w:p>
    <w:p w14:paraId="1F275BE0" w14:textId="77777777" w:rsidR="00345EE3" w:rsidRDefault="00345EE3" w:rsidP="00345EE3">
      <w:pPr>
        <w:pStyle w:val="BodyText"/>
        <w:spacing w:before="116" w:line="242" w:lineRule="auto"/>
        <w:ind w:right="115"/>
      </w:pPr>
      <w:r>
        <w:rPr>
          <w:color w:val="231F20"/>
        </w:rPr>
        <w:t>Victoria</w:t>
      </w:r>
      <w:r>
        <w:rPr>
          <w:color w:val="231F20"/>
          <w:spacing w:val="-10"/>
        </w:rPr>
        <w:t xml:space="preserve"> </w:t>
      </w:r>
      <w:r>
        <w:rPr>
          <w:color w:val="231F20"/>
        </w:rPr>
        <w:t>Police</w:t>
      </w:r>
      <w:r>
        <w:rPr>
          <w:color w:val="231F20"/>
          <w:spacing w:val="-10"/>
        </w:rPr>
        <w:t xml:space="preserve"> </w:t>
      </w:r>
      <w:r>
        <w:rPr>
          <w:color w:val="231F20"/>
        </w:rPr>
        <w:t>determines</w:t>
      </w:r>
      <w:r>
        <w:rPr>
          <w:color w:val="231F20"/>
          <w:spacing w:val="-9"/>
        </w:rPr>
        <w:t xml:space="preserve"> </w:t>
      </w:r>
      <w:r>
        <w:rPr>
          <w:color w:val="231F20"/>
        </w:rPr>
        <w:t>the</w:t>
      </w:r>
      <w:r>
        <w:rPr>
          <w:color w:val="231F20"/>
          <w:spacing w:val="-10"/>
        </w:rPr>
        <w:t xml:space="preserve"> </w:t>
      </w:r>
      <w:r>
        <w:rPr>
          <w:color w:val="231F20"/>
        </w:rPr>
        <w:t>policies</w:t>
      </w:r>
      <w:r>
        <w:rPr>
          <w:color w:val="231F20"/>
          <w:spacing w:val="-9"/>
        </w:rPr>
        <w:t xml:space="preserve"> </w:t>
      </w:r>
      <w:r>
        <w:rPr>
          <w:color w:val="231F20"/>
        </w:rPr>
        <w:t>and</w:t>
      </w:r>
      <w:r>
        <w:rPr>
          <w:color w:val="231F20"/>
          <w:spacing w:val="-10"/>
        </w:rPr>
        <w:t xml:space="preserve"> </w:t>
      </w:r>
      <w:r>
        <w:rPr>
          <w:color w:val="231F20"/>
        </w:rPr>
        <w:t>procedures</w:t>
      </w:r>
      <w:r>
        <w:rPr>
          <w:color w:val="231F20"/>
          <w:spacing w:val="-9"/>
        </w:rPr>
        <w:t xml:space="preserve"> </w:t>
      </w:r>
      <w:r>
        <w:rPr>
          <w:color w:val="231F20"/>
        </w:rPr>
        <w:t>for</w:t>
      </w:r>
      <w:r>
        <w:rPr>
          <w:color w:val="231F20"/>
          <w:spacing w:val="-9"/>
        </w:rPr>
        <w:t xml:space="preserve"> </w:t>
      </w:r>
      <w:r>
        <w:rPr>
          <w:color w:val="231F20"/>
        </w:rPr>
        <w:t>determining</w:t>
      </w:r>
      <w:r>
        <w:rPr>
          <w:color w:val="231F20"/>
          <w:spacing w:val="-10"/>
        </w:rPr>
        <w:t xml:space="preserve"> </w:t>
      </w:r>
      <w:r>
        <w:rPr>
          <w:color w:val="231F20"/>
        </w:rPr>
        <w:t>fair</w:t>
      </w:r>
      <w:r>
        <w:rPr>
          <w:color w:val="231F20"/>
          <w:spacing w:val="-9"/>
        </w:rPr>
        <w:t xml:space="preserve"> </w:t>
      </w:r>
      <w:r>
        <w:rPr>
          <w:color w:val="231F20"/>
        </w:rPr>
        <w:t>values</w:t>
      </w:r>
      <w:r>
        <w:rPr>
          <w:color w:val="231F20"/>
          <w:spacing w:val="-9"/>
        </w:rPr>
        <w:t xml:space="preserve"> </w:t>
      </w:r>
      <w:r>
        <w:rPr>
          <w:color w:val="231F20"/>
        </w:rPr>
        <w:t>for</w:t>
      </w:r>
      <w:r>
        <w:rPr>
          <w:color w:val="231F20"/>
          <w:spacing w:val="-9"/>
        </w:rPr>
        <w:t xml:space="preserve"> </w:t>
      </w:r>
      <w:r>
        <w:rPr>
          <w:color w:val="231F20"/>
        </w:rPr>
        <w:t>both financial and non-financial assets and liabilities as required.</w:t>
      </w:r>
    </w:p>
    <w:p w14:paraId="43FC5F04" w14:textId="77777777" w:rsidR="00345EE3" w:rsidRDefault="00345EE3" w:rsidP="00345EE3">
      <w:pPr>
        <w:pStyle w:val="Heading5"/>
        <w:spacing w:before="173"/>
      </w:pPr>
      <w:r>
        <w:rPr>
          <w:color w:val="58595B"/>
        </w:rPr>
        <w:t>Fair</w:t>
      </w:r>
      <w:r>
        <w:rPr>
          <w:color w:val="58595B"/>
          <w:spacing w:val="-9"/>
        </w:rPr>
        <w:t xml:space="preserve"> </w:t>
      </w:r>
      <w:r>
        <w:rPr>
          <w:color w:val="58595B"/>
        </w:rPr>
        <w:t>Value</w:t>
      </w:r>
      <w:r>
        <w:rPr>
          <w:color w:val="58595B"/>
          <w:spacing w:val="-9"/>
        </w:rPr>
        <w:t xml:space="preserve"> </w:t>
      </w:r>
      <w:r>
        <w:rPr>
          <w:color w:val="58595B"/>
          <w:spacing w:val="-2"/>
        </w:rPr>
        <w:t>Hierarchy</w:t>
      </w:r>
    </w:p>
    <w:p w14:paraId="43D5F099" w14:textId="77777777" w:rsidR="00345EE3" w:rsidRDefault="00345EE3" w:rsidP="00345EE3">
      <w:pPr>
        <w:pStyle w:val="BodyText"/>
        <w:spacing w:before="4" w:line="242" w:lineRule="auto"/>
        <w:ind w:right="115"/>
      </w:pPr>
      <w:r>
        <w:rPr>
          <w:color w:val="231F20"/>
        </w:rPr>
        <w:t>In determining fair values, a number of inputs are used. To increase consistency and comparability</w:t>
      </w:r>
      <w:r>
        <w:rPr>
          <w:color w:val="231F20"/>
          <w:spacing w:val="-10"/>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financial</w:t>
      </w:r>
      <w:r>
        <w:rPr>
          <w:color w:val="231F20"/>
          <w:spacing w:val="-11"/>
        </w:rPr>
        <w:t xml:space="preserve"> </w:t>
      </w:r>
      <w:r>
        <w:rPr>
          <w:color w:val="231F20"/>
        </w:rPr>
        <w:t>statements,</w:t>
      </w:r>
      <w:r>
        <w:rPr>
          <w:color w:val="231F20"/>
          <w:spacing w:val="-10"/>
        </w:rPr>
        <w:t xml:space="preserve"> </w:t>
      </w:r>
      <w:r>
        <w:rPr>
          <w:color w:val="231F20"/>
        </w:rPr>
        <w:t>these</w:t>
      </w:r>
      <w:r>
        <w:rPr>
          <w:color w:val="231F20"/>
          <w:spacing w:val="-11"/>
        </w:rPr>
        <w:t xml:space="preserve"> </w:t>
      </w:r>
      <w:r>
        <w:rPr>
          <w:color w:val="231F20"/>
        </w:rPr>
        <w:t>inputs</w:t>
      </w:r>
      <w:r>
        <w:rPr>
          <w:color w:val="231F20"/>
          <w:spacing w:val="-10"/>
        </w:rPr>
        <w:t xml:space="preserve"> </w:t>
      </w:r>
      <w:r>
        <w:rPr>
          <w:color w:val="231F20"/>
        </w:rPr>
        <w:t>are</w:t>
      </w:r>
      <w:r>
        <w:rPr>
          <w:color w:val="231F20"/>
          <w:spacing w:val="-11"/>
        </w:rPr>
        <w:t xml:space="preserve"> </w:t>
      </w:r>
      <w:r>
        <w:rPr>
          <w:color w:val="231F20"/>
        </w:rPr>
        <w:t>categorised</w:t>
      </w:r>
      <w:r>
        <w:rPr>
          <w:color w:val="231F20"/>
          <w:spacing w:val="-11"/>
        </w:rPr>
        <w:t xml:space="preserve"> </w:t>
      </w:r>
      <w:r>
        <w:rPr>
          <w:color w:val="231F20"/>
        </w:rPr>
        <w:t>into</w:t>
      </w:r>
      <w:r>
        <w:rPr>
          <w:color w:val="231F20"/>
          <w:spacing w:val="-11"/>
        </w:rPr>
        <w:t xml:space="preserve"> </w:t>
      </w:r>
      <w:r>
        <w:rPr>
          <w:color w:val="231F20"/>
        </w:rPr>
        <w:t>three</w:t>
      </w:r>
      <w:r>
        <w:rPr>
          <w:color w:val="231F20"/>
          <w:spacing w:val="-11"/>
        </w:rPr>
        <w:t xml:space="preserve"> </w:t>
      </w:r>
      <w:r>
        <w:rPr>
          <w:color w:val="231F20"/>
        </w:rPr>
        <w:t>levels,</w:t>
      </w:r>
      <w:r>
        <w:rPr>
          <w:color w:val="231F20"/>
          <w:spacing w:val="-10"/>
        </w:rPr>
        <w:t xml:space="preserve"> </w:t>
      </w:r>
      <w:r>
        <w:rPr>
          <w:color w:val="231F20"/>
        </w:rPr>
        <w:t>also known as the fair value hierarchy. The levels are as follows:</w:t>
      </w:r>
    </w:p>
    <w:p w14:paraId="017BF6C0" w14:textId="77777777" w:rsidR="00345EE3" w:rsidRDefault="00345EE3" w:rsidP="00345EE3">
      <w:pPr>
        <w:pStyle w:val="BodyText"/>
        <w:spacing w:before="117"/>
      </w:pPr>
      <w:r>
        <w:rPr>
          <w:b/>
          <w:color w:val="231F20"/>
        </w:rPr>
        <w:t>Level</w:t>
      </w:r>
      <w:r>
        <w:rPr>
          <w:b/>
          <w:color w:val="231F20"/>
          <w:spacing w:val="-12"/>
        </w:rPr>
        <w:t xml:space="preserve"> </w:t>
      </w:r>
      <w:r>
        <w:rPr>
          <w:b/>
          <w:color w:val="231F20"/>
        </w:rPr>
        <w:t>1</w:t>
      </w:r>
      <w:r>
        <w:rPr>
          <w:b/>
          <w:color w:val="231F20"/>
          <w:spacing w:val="-11"/>
        </w:rPr>
        <w:t xml:space="preserve"> </w:t>
      </w:r>
      <w:r>
        <w:rPr>
          <w:color w:val="231F20"/>
        </w:rPr>
        <w:t>–</w:t>
      </w:r>
      <w:r>
        <w:rPr>
          <w:color w:val="231F20"/>
          <w:spacing w:val="-10"/>
        </w:rPr>
        <w:t xml:space="preserve"> </w:t>
      </w:r>
      <w:r>
        <w:rPr>
          <w:color w:val="231F20"/>
        </w:rPr>
        <w:t>quoted</w:t>
      </w:r>
      <w:r>
        <w:rPr>
          <w:color w:val="231F20"/>
          <w:spacing w:val="-11"/>
        </w:rPr>
        <w:t xml:space="preserve"> </w:t>
      </w:r>
      <w:r>
        <w:rPr>
          <w:color w:val="231F20"/>
        </w:rPr>
        <w:t>(unadjusted)</w:t>
      </w:r>
      <w:r>
        <w:rPr>
          <w:color w:val="231F20"/>
          <w:spacing w:val="-10"/>
        </w:rPr>
        <w:t xml:space="preserve"> </w:t>
      </w:r>
      <w:r>
        <w:rPr>
          <w:color w:val="231F20"/>
        </w:rPr>
        <w:t>market</w:t>
      </w:r>
      <w:r>
        <w:rPr>
          <w:color w:val="231F20"/>
          <w:spacing w:val="-9"/>
        </w:rPr>
        <w:t xml:space="preserve"> </w:t>
      </w:r>
      <w:r>
        <w:rPr>
          <w:color w:val="231F20"/>
        </w:rPr>
        <w:t>prices</w:t>
      </w:r>
      <w:r>
        <w:rPr>
          <w:color w:val="231F20"/>
          <w:spacing w:val="-10"/>
        </w:rPr>
        <w:t xml:space="preserve"> </w:t>
      </w:r>
      <w:r>
        <w:rPr>
          <w:color w:val="231F20"/>
        </w:rPr>
        <w:t>in</w:t>
      </w:r>
      <w:r>
        <w:rPr>
          <w:color w:val="231F20"/>
          <w:spacing w:val="-11"/>
        </w:rPr>
        <w:t xml:space="preserve"> </w:t>
      </w:r>
      <w:r>
        <w:rPr>
          <w:color w:val="231F20"/>
        </w:rPr>
        <w:t>active</w:t>
      </w:r>
      <w:r>
        <w:rPr>
          <w:color w:val="231F20"/>
          <w:spacing w:val="-10"/>
        </w:rPr>
        <w:t xml:space="preserve"> </w:t>
      </w:r>
      <w:r>
        <w:rPr>
          <w:color w:val="231F20"/>
        </w:rPr>
        <w:t>markets</w:t>
      </w:r>
      <w:r>
        <w:rPr>
          <w:color w:val="231F20"/>
          <w:spacing w:val="-10"/>
        </w:rPr>
        <w:t xml:space="preserve"> </w:t>
      </w:r>
      <w:r>
        <w:rPr>
          <w:color w:val="231F20"/>
        </w:rPr>
        <w:t>for</w:t>
      </w:r>
      <w:r>
        <w:rPr>
          <w:color w:val="231F20"/>
          <w:spacing w:val="-10"/>
        </w:rPr>
        <w:t xml:space="preserve"> </w:t>
      </w:r>
      <w:r>
        <w:rPr>
          <w:color w:val="231F20"/>
        </w:rPr>
        <w:t>identical</w:t>
      </w:r>
      <w:r>
        <w:rPr>
          <w:color w:val="231F20"/>
          <w:spacing w:val="-10"/>
        </w:rPr>
        <w:t xml:space="preserve"> </w:t>
      </w:r>
      <w:r>
        <w:rPr>
          <w:color w:val="231F20"/>
        </w:rPr>
        <w:t>assets</w:t>
      </w:r>
      <w:r>
        <w:rPr>
          <w:color w:val="231F20"/>
          <w:spacing w:val="-10"/>
        </w:rPr>
        <w:t xml:space="preserve"> </w:t>
      </w:r>
      <w:r>
        <w:rPr>
          <w:color w:val="231F20"/>
        </w:rPr>
        <w:t>or</w:t>
      </w:r>
      <w:r>
        <w:rPr>
          <w:color w:val="231F20"/>
          <w:spacing w:val="-9"/>
        </w:rPr>
        <w:t xml:space="preserve"> </w:t>
      </w:r>
      <w:r>
        <w:rPr>
          <w:color w:val="231F20"/>
          <w:spacing w:val="-2"/>
        </w:rPr>
        <w:t>liabilities;</w:t>
      </w:r>
    </w:p>
    <w:p w14:paraId="0BB5DD13" w14:textId="77777777" w:rsidR="00345EE3" w:rsidRDefault="00345EE3" w:rsidP="00752D49">
      <w:pPr>
        <w:pStyle w:val="BodyText"/>
        <w:spacing w:before="118" w:line="242" w:lineRule="auto"/>
        <w:ind w:left="993" w:hanging="993"/>
      </w:pPr>
      <w:r>
        <w:rPr>
          <w:b/>
          <w:color w:val="231F20"/>
        </w:rPr>
        <w:t>Level</w:t>
      </w:r>
      <w:r>
        <w:rPr>
          <w:b/>
          <w:color w:val="231F20"/>
          <w:spacing w:val="-8"/>
        </w:rPr>
        <w:t xml:space="preserve"> </w:t>
      </w:r>
      <w:r>
        <w:rPr>
          <w:b/>
          <w:color w:val="231F20"/>
        </w:rPr>
        <w:t>2</w:t>
      </w:r>
      <w:r>
        <w:rPr>
          <w:b/>
          <w:color w:val="231F20"/>
          <w:spacing w:val="-9"/>
        </w:rPr>
        <w:t xml:space="preserve"> </w:t>
      </w:r>
      <w:r>
        <w:rPr>
          <w:color w:val="231F20"/>
        </w:rPr>
        <w:t>–</w:t>
      </w:r>
      <w:r>
        <w:rPr>
          <w:color w:val="231F20"/>
          <w:spacing w:val="-9"/>
        </w:rPr>
        <w:t xml:space="preserve"> </w:t>
      </w:r>
      <w:r>
        <w:rPr>
          <w:color w:val="231F20"/>
        </w:rPr>
        <w:t>valuation</w:t>
      </w:r>
      <w:r>
        <w:rPr>
          <w:color w:val="231F20"/>
          <w:spacing w:val="-9"/>
        </w:rPr>
        <w:t xml:space="preserve"> </w:t>
      </w:r>
      <w:r>
        <w:rPr>
          <w:color w:val="231F20"/>
        </w:rPr>
        <w:t>techniques</w:t>
      </w:r>
      <w:r>
        <w:rPr>
          <w:color w:val="231F20"/>
          <w:spacing w:val="-8"/>
        </w:rPr>
        <w:t xml:space="preserve"> </w:t>
      </w:r>
      <w:r>
        <w:rPr>
          <w:color w:val="231F20"/>
        </w:rPr>
        <w:t>for</w:t>
      </w:r>
      <w:r>
        <w:rPr>
          <w:color w:val="231F20"/>
          <w:spacing w:val="-8"/>
        </w:rPr>
        <w:t xml:space="preserve"> </w:t>
      </w:r>
      <w:r>
        <w:rPr>
          <w:color w:val="231F20"/>
        </w:rPr>
        <w:t>which</w:t>
      </w:r>
      <w:r>
        <w:rPr>
          <w:color w:val="231F20"/>
          <w:spacing w:val="-9"/>
        </w:rPr>
        <w:t xml:space="preserve"> </w:t>
      </w:r>
      <w:r>
        <w:rPr>
          <w:color w:val="231F20"/>
        </w:rPr>
        <w:t>the</w:t>
      </w:r>
      <w:r>
        <w:rPr>
          <w:color w:val="231F20"/>
          <w:spacing w:val="-9"/>
        </w:rPr>
        <w:t xml:space="preserve"> </w:t>
      </w:r>
      <w:r>
        <w:rPr>
          <w:color w:val="231F20"/>
        </w:rPr>
        <w:t>lowest</w:t>
      </w:r>
      <w:r>
        <w:rPr>
          <w:color w:val="231F20"/>
          <w:spacing w:val="-8"/>
        </w:rPr>
        <w:t xml:space="preserve"> </w:t>
      </w:r>
      <w:r>
        <w:rPr>
          <w:color w:val="231F20"/>
        </w:rPr>
        <w:t>level</w:t>
      </w:r>
      <w:r>
        <w:rPr>
          <w:color w:val="231F20"/>
          <w:spacing w:val="-9"/>
        </w:rPr>
        <w:t xml:space="preserve"> </w:t>
      </w:r>
      <w:r>
        <w:rPr>
          <w:color w:val="231F20"/>
        </w:rPr>
        <w:t>input</w:t>
      </w:r>
      <w:r>
        <w:rPr>
          <w:color w:val="231F20"/>
          <w:spacing w:val="-8"/>
        </w:rPr>
        <w:t xml:space="preserve"> </w:t>
      </w:r>
      <w:r>
        <w:rPr>
          <w:color w:val="231F20"/>
        </w:rPr>
        <w:t>that</w:t>
      </w:r>
      <w:r>
        <w:rPr>
          <w:color w:val="231F20"/>
          <w:spacing w:val="-8"/>
        </w:rPr>
        <w:t xml:space="preserve"> </w:t>
      </w:r>
      <w:r>
        <w:rPr>
          <w:color w:val="231F20"/>
        </w:rPr>
        <w:t>is</w:t>
      </w:r>
      <w:r>
        <w:rPr>
          <w:color w:val="231F20"/>
          <w:spacing w:val="-8"/>
        </w:rPr>
        <w:t xml:space="preserve"> </w:t>
      </w:r>
      <w:r>
        <w:rPr>
          <w:color w:val="231F20"/>
        </w:rPr>
        <w:t>significant</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fair</w:t>
      </w:r>
      <w:r>
        <w:rPr>
          <w:color w:val="231F20"/>
          <w:spacing w:val="-8"/>
        </w:rPr>
        <w:t xml:space="preserve"> </w:t>
      </w:r>
      <w:r>
        <w:rPr>
          <w:color w:val="231F20"/>
        </w:rPr>
        <w:t>value measurement is directly or indirectly observable; and</w:t>
      </w:r>
    </w:p>
    <w:p w14:paraId="5AEED3A8" w14:textId="77777777" w:rsidR="00345EE3" w:rsidRDefault="00345EE3" w:rsidP="00345EE3">
      <w:pPr>
        <w:pStyle w:val="BodyText"/>
        <w:spacing w:before="116" w:line="242" w:lineRule="auto"/>
      </w:pPr>
      <w:r>
        <w:rPr>
          <w:b/>
          <w:color w:val="231F20"/>
        </w:rPr>
        <w:t>Level</w:t>
      </w:r>
      <w:r>
        <w:rPr>
          <w:b/>
          <w:color w:val="231F20"/>
          <w:spacing w:val="-8"/>
        </w:rPr>
        <w:t xml:space="preserve"> </w:t>
      </w:r>
      <w:r>
        <w:rPr>
          <w:b/>
          <w:color w:val="231F20"/>
        </w:rPr>
        <w:t>3</w:t>
      </w:r>
      <w:r>
        <w:rPr>
          <w:b/>
          <w:color w:val="231F20"/>
          <w:spacing w:val="-9"/>
        </w:rPr>
        <w:t xml:space="preserve"> </w:t>
      </w:r>
      <w:r>
        <w:rPr>
          <w:color w:val="231F20"/>
        </w:rPr>
        <w:t>–</w:t>
      </w:r>
      <w:r>
        <w:rPr>
          <w:color w:val="231F20"/>
          <w:spacing w:val="-9"/>
        </w:rPr>
        <w:t xml:space="preserve"> </w:t>
      </w:r>
      <w:r>
        <w:rPr>
          <w:color w:val="231F20"/>
        </w:rPr>
        <w:t>valuation</w:t>
      </w:r>
      <w:r>
        <w:rPr>
          <w:color w:val="231F20"/>
          <w:spacing w:val="-9"/>
        </w:rPr>
        <w:t xml:space="preserve"> </w:t>
      </w:r>
      <w:r>
        <w:rPr>
          <w:color w:val="231F20"/>
        </w:rPr>
        <w:t>techniques</w:t>
      </w:r>
      <w:r>
        <w:rPr>
          <w:color w:val="231F20"/>
          <w:spacing w:val="-8"/>
        </w:rPr>
        <w:t xml:space="preserve"> </w:t>
      </w:r>
      <w:r>
        <w:rPr>
          <w:color w:val="231F20"/>
        </w:rPr>
        <w:t>for</w:t>
      </w:r>
      <w:r>
        <w:rPr>
          <w:color w:val="231F20"/>
          <w:spacing w:val="-8"/>
        </w:rPr>
        <w:t xml:space="preserve"> </w:t>
      </w:r>
      <w:r>
        <w:rPr>
          <w:color w:val="231F20"/>
        </w:rPr>
        <w:t>which</w:t>
      </w:r>
      <w:r>
        <w:rPr>
          <w:color w:val="231F20"/>
          <w:spacing w:val="-9"/>
        </w:rPr>
        <w:t xml:space="preserve"> </w:t>
      </w:r>
      <w:r>
        <w:rPr>
          <w:color w:val="231F20"/>
        </w:rPr>
        <w:t>the</w:t>
      </w:r>
      <w:r>
        <w:rPr>
          <w:color w:val="231F20"/>
          <w:spacing w:val="-9"/>
        </w:rPr>
        <w:t xml:space="preserve"> </w:t>
      </w:r>
      <w:r>
        <w:rPr>
          <w:color w:val="231F20"/>
        </w:rPr>
        <w:t>lowest</w:t>
      </w:r>
      <w:r>
        <w:rPr>
          <w:color w:val="231F20"/>
          <w:spacing w:val="-8"/>
        </w:rPr>
        <w:t xml:space="preserve"> </w:t>
      </w:r>
      <w:r>
        <w:rPr>
          <w:color w:val="231F20"/>
        </w:rPr>
        <w:t>level</w:t>
      </w:r>
      <w:r>
        <w:rPr>
          <w:color w:val="231F20"/>
          <w:spacing w:val="-9"/>
        </w:rPr>
        <w:t xml:space="preserve"> </w:t>
      </w:r>
      <w:r>
        <w:rPr>
          <w:color w:val="231F20"/>
        </w:rPr>
        <w:t>input</w:t>
      </w:r>
      <w:r>
        <w:rPr>
          <w:color w:val="231F20"/>
          <w:spacing w:val="-8"/>
        </w:rPr>
        <w:t xml:space="preserve"> </w:t>
      </w:r>
      <w:r>
        <w:rPr>
          <w:color w:val="231F20"/>
        </w:rPr>
        <w:t>that</w:t>
      </w:r>
      <w:r>
        <w:rPr>
          <w:color w:val="231F20"/>
          <w:spacing w:val="-8"/>
        </w:rPr>
        <w:t xml:space="preserve"> </w:t>
      </w:r>
      <w:r>
        <w:rPr>
          <w:color w:val="231F20"/>
        </w:rPr>
        <w:t>is</w:t>
      </w:r>
      <w:r>
        <w:rPr>
          <w:color w:val="231F20"/>
          <w:spacing w:val="-8"/>
        </w:rPr>
        <w:t xml:space="preserve"> </w:t>
      </w:r>
      <w:r>
        <w:rPr>
          <w:color w:val="231F20"/>
        </w:rPr>
        <w:t>significant</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fair</w:t>
      </w:r>
      <w:r>
        <w:rPr>
          <w:color w:val="231F20"/>
          <w:spacing w:val="-8"/>
        </w:rPr>
        <w:t xml:space="preserve"> </w:t>
      </w:r>
      <w:r>
        <w:rPr>
          <w:color w:val="231F20"/>
        </w:rPr>
        <w:t>value measurement is unobservable.</w:t>
      </w:r>
    </w:p>
    <w:p w14:paraId="173AAA64" w14:textId="77777777" w:rsidR="00345EE3" w:rsidRDefault="00345EE3" w:rsidP="00345EE3">
      <w:pPr>
        <w:pStyle w:val="BodyText"/>
        <w:spacing w:before="116" w:line="242" w:lineRule="auto"/>
      </w:pPr>
      <w:r>
        <w:rPr>
          <w:color w:val="231F20"/>
        </w:rPr>
        <w:t>Victoria</w:t>
      </w:r>
      <w:r>
        <w:rPr>
          <w:color w:val="231F20"/>
          <w:spacing w:val="-11"/>
        </w:rPr>
        <w:t xml:space="preserve"> </w:t>
      </w:r>
      <w:r>
        <w:rPr>
          <w:color w:val="231F20"/>
        </w:rPr>
        <w:t>Police</w:t>
      </w:r>
      <w:r>
        <w:rPr>
          <w:color w:val="231F20"/>
          <w:spacing w:val="-11"/>
        </w:rPr>
        <w:t xml:space="preserve"> </w:t>
      </w:r>
      <w:r>
        <w:rPr>
          <w:color w:val="231F20"/>
        </w:rPr>
        <w:t>determines</w:t>
      </w:r>
      <w:r>
        <w:rPr>
          <w:color w:val="231F20"/>
          <w:spacing w:val="-10"/>
        </w:rPr>
        <w:t xml:space="preserve"> </w:t>
      </w:r>
      <w:r>
        <w:rPr>
          <w:color w:val="231F20"/>
        </w:rPr>
        <w:t>whether</w:t>
      </w:r>
      <w:r>
        <w:rPr>
          <w:color w:val="231F20"/>
          <w:spacing w:val="-10"/>
        </w:rPr>
        <w:t xml:space="preserve"> </w:t>
      </w:r>
      <w:r>
        <w:rPr>
          <w:color w:val="231F20"/>
        </w:rPr>
        <w:t>transfers</w:t>
      </w:r>
      <w:r>
        <w:rPr>
          <w:color w:val="231F20"/>
          <w:spacing w:val="-10"/>
        </w:rPr>
        <w:t xml:space="preserve"> </w:t>
      </w:r>
      <w:r>
        <w:rPr>
          <w:color w:val="231F20"/>
        </w:rPr>
        <w:t>have</w:t>
      </w:r>
      <w:r>
        <w:rPr>
          <w:color w:val="231F20"/>
          <w:spacing w:val="-11"/>
        </w:rPr>
        <w:t xml:space="preserve"> </w:t>
      </w:r>
      <w:r>
        <w:rPr>
          <w:color w:val="231F20"/>
        </w:rPr>
        <w:t>occurred</w:t>
      </w:r>
      <w:r>
        <w:rPr>
          <w:color w:val="231F20"/>
          <w:spacing w:val="-11"/>
        </w:rPr>
        <w:t xml:space="preserve"> </w:t>
      </w:r>
      <w:r>
        <w:rPr>
          <w:color w:val="231F20"/>
        </w:rPr>
        <w:t>between</w:t>
      </w:r>
      <w:r>
        <w:rPr>
          <w:color w:val="231F20"/>
          <w:spacing w:val="-11"/>
        </w:rPr>
        <w:t xml:space="preserve"> </w:t>
      </w:r>
      <w:r>
        <w:rPr>
          <w:color w:val="231F20"/>
        </w:rPr>
        <w:t>levels</w:t>
      </w:r>
      <w:r>
        <w:rPr>
          <w:color w:val="231F20"/>
          <w:spacing w:val="-10"/>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hierarchy</w:t>
      </w:r>
      <w:r>
        <w:rPr>
          <w:color w:val="231F20"/>
          <w:spacing w:val="-10"/>
        </w:rPr>
        <w:t xml:space="preserve"> </w:t>
      </w:r>
      <w:r>
        <w:rPr>
          <w:color w:val="231F20"/>
        </w:rPr>
        <w:t>by reassessing categorisation (based on the lowest level input that is significant to the fair value measurement as a whole) at the end of each reporting period.</w:t>
      </w:r>
    </w:p>
    <w:p w14:paraId="40A76BBC" w14:textId="77777777" w:rsidR="00345EE3" w:rsidRDefault="00345EE3" w:rsidP="00345EE3">
      <w:pPr>
        <w:pStyle w:val="BodyText"/>
        <w:spacing w:before="117" w:line="242" w:lineRule="auto"/>
      </w:pPr>
      <w:r>
        <w:rPr>
          <w:color w:val="231F20"/>
        </w:rPr>
        <w:t>The</w:t>
      </w:r>
      <w:r>
        <w:rPr>
          <w:color w:val="231F20"/>
          <w:spacing w:val="-16"/>
        </w:rPr>
        <w:t xml:space="preserve"> </w:t>
      </w:r>
      <w:r>
        <w:rPr>
          <w:color w:val="231F20"/>
        </w:rPr>
        <w:t>Valuer-General</w:t>
      </w:r>
      <w:r>
        <w:rPr>
          <w:color w:val="231F20"/>
          <w:spacing w:val="-16"/>
        </w:rPr>
        <w:t xml:space="preserve"> </w:t>
      </w:r>
      <w:r>
        <w:rPr>
          <w:color w:val="231F20"/>
        </w:rPr>
        <w:t>Victoria</w:t>
      </w:r>
      <w:r>
        <w:rPr>
          <w:color w:val="231F20"/>
          <w:spacing w:val="-16"/>
        </w:rPr>
        <w:t xml:space="preserve"> </w:t>
      </w:r>
      <w:r>
        <w:rPr>
          <w:color w:val="231F20"/>
        </w:rPr>
        <w:t>(VGV)</w:t>
      </w:r>
      <w:r>
        <w:rPr>
          <w:color w:val="231F20"/>
          <w:spacing w:val="-16"/>
        </w:rPr>
        <w:t xml:space="preserve"> </w:t>
      </w:r>
      <w:r>
        <w:rPr>
          <w:color w:val="231F20"/>
        </w:rPr>
        <w:t>is</w:t>
      </w:r>
      <w:r>
        <w:rPr>
          <w:color w:val="231F20"/>
          <w:spacing w:val="-16"/>
        </w:rPr>
        <w:t xml:space="preserve"> </w:t>
      </w:r>
      <w:r>
        <w:rPr>
          <w:color w:val="231F20"/>
        </w:rPr>
        <w:t>Victoria</w:t>
      </w:r>
      <w:r>
        <w:rPr>
          <w:color w:val="231F20"/>
          <w:spacing w:val="-16"/>
        </w:rPr>
        <w:t xml:space="preserve"> </w:t>
      </w:r>
      <w:r>
        <w:rPr>
          <w:color w:val="231F20"/>
        </w:rPr>
        <w:t>Police’s</w:t>
      </w:r>
      <w:r>
        <w:rPr>
          <w:color w:val="231F20"/>
          <w:spacing w:val="-16"/>
        </w:rPr>
        <w:t xml:space="preserve"> </w:t>
      </w:r>
      <w:r>
        <w:rPr>
          <w:color w:val="231F20"/>
        </w:rPr>
        <w:t>independent</w:t>
      </w:r>
      <w:r>
        <w:rPr>
          <w:color w:val="231F20"/>
          <w:spacing w:val="-16"/>
        </w:rPr>
        <w:t xml:space="preserve"> </w:t>
      </w:r>
      <w:r>
        <w:rPr>
          <w:color w:val="231F20"/>
        </w:rPr>
        <w:t>valuation</w:t>
      </w:r>
      <w:r>
        <w:rPr>
          <w:color w:val="231F20"/>
          <w:spacing w:val="-16"/>
        </w:rPr>
        <w:t xml:space="preserve"> </w:t>
      </w:r>
      <w:r>
        <w:rPr>
          <w:color w:val="231F20"/>
        </w:rPr>
        <w:t>agency.</w:t>
      </w:r>
      <w:r>
        <w:rPr>
          <w:color w:val="231F20"/>
          <w:spacing w:val="-16"/>
        </w:rPr>
        <w:t xml:space="preserve"> </w:t>
      </w:r>
      <w:r>
        <w:rPr>
          <w:color w:val="231F20"/>
        </w:rPr>
        <w:t>Victoria Police,</w:t>
      </w:r>
      <w:r>
        <w:rPr>
          <w:color w:val="231F20"/>
          <w:spacing w:val="-3"/>
        </w:rPr>
        <w:t xml:space="preserve"> </w:t>
      </w:r>
      <w:r>
        <w:rPr>
          <w:color w:val="231F20"/>
        </w:rPr>
        <w:t>in</w:t>
      </w:r>
      <w:r>
        <w:rPr>
          <w:color w:val="231F20"/>
          <w:spacing w:val="-4"/>
        </w:rPr>
        <w:t xml:space="preserve"> </w:t>
      </w:r>
      <w:r>
        <w:rPr>
          <w:color w:val="231F20"/>
        </w:rPr>
        <w:t>conjunction</w:t>
      </w:r>
      <w:r>
        <w:rPr>
          <w:color w:val="231F20"/>
          <w:spacing w:val="-4"/>
        </w:rPr>
        <w:t xml:space="preserve"> </w:t>
      </w:r>
      <w:r>
        <w:rPr>
          <w:color w:val="231F20"/>
        </w:rPr>
        <w:t>with</w:t>
      </w:r>
      <w:r>
        <w:rPr>
          <w:color w:val="231F20"/>
          <w:spacing w:val="-4"/>
        </w:rPr>
        <w:t xml:space="preserve"> </w:t>
      </w:r>
      <w:r>
        <w:rPr>
          <w:color w:val="231F20"/>
        </w:rPr>
        <w:t>VGV,</w:t>
      </w:r>
      <w:r>
        <w:rPr>
          <w:color w:val="231F20"/>
          <w:spacing w:val="-3"/>
        </w:rPr>
        <w:t xml:space="preserve"> </w:t>
      </w:r>
      <w:r>
        <w:rPr>
          <w:color w:val="231F20"/>
        </w:rPr>
        <w:t>monitors</w:t>
      </w:r>
      <w:r>
        <w:rPr>
          <w:color w:val="231F20"/>
          <w:spacing w:val="-3"/>
        </w:rPr>
        <w:t xml:space="preserve"> </w:t>
      </w:r>
      <w:r>
        <w:rPr>
          <w:color w:val="231F20"/>
        </w:rPr>
        <w:t>changes</w:t>
      </w:r>
      <w:r>
        <w:rPr>
          <w:color w:val="231F20"/>
          <w:spacing w:val="-3"/>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fair</w:t>
      </w:r>
      <w:r>
        <w:rPr>
          <w:color w:val="231F20"/>
          <w:spacing w:val="-3"/>
        </w:rPr>
        <w:t xml:space="preserve"> </w:t>
      </w:r>
      <w:r>
        <w:rPr>
          <w:color w:val="231F20"/>
        </w:rPr>
        <w:t>value</w:t>
      </w:r>
      <w:r>
        <w:rPr>
          <w:color w:val="231F20"/>
          <w:spacing w:val="-4"/>
        </w:rPr>
        <w:t xml:space="preserve"> </w:t>
      </w:r>
      <w:r>
        <w:rPr>
          <w:color w:val="231F20"/>
        </w:rPr>
        <w:t>of</w:t>
      </w:r>
      <w:r>
        <w:rPr>
          <w:color w:val="231F20"/>
          <w:spacing w:val="-3"/>
        </w:rPr>
        <w:t xml:space="preserve"> </w:t>
      </w:r>
      <w:r>
        <w:rPr>
          <w:color w:val="231F20"/>
        </w:rPr>
        <w:t>each</w:t>
      </w:r>
      <w:r>
        <w:rPr>
          <w:color w:val="231F20"/>
          <w:spacing w:val="-4"/>
        </w:rPr>
        <w:t xml:space="preserve"> </w:t>
      </w:r>
      <w:r>
        <w:rPr>
          <w:color w:val="231F20"/>
        </w:rPr>
        <w:t>asset</w:t>
      </w:r>
      <w:r>
        <w:rPr>
          <w:color w:val="231F20"/>
          <w:spacing w:val="-3"/>
        </w:rPr>
        <w:t xml:space="preserve"> </w:t>
      </w:r>
      <w:r>
        <w:rPr>
          <w:color w:val="231F20"/>
        </w:rPr>
        <w:t>and</w:t>
      </w:r>
      <w:r>
        <w:rPr>
          <w:color w:val="231F20"/>
          <w:spacing w:val="-4"/>
        </w:rPr>
        <w:t xml:space="preserve"> </w:t>
      </w:r>
      <w:r>
        <w:rPr>
          <w:color w:val="231F20"/>
        </w:rPr>
        <w:t>liability through relevant data sources to determine whether revaluation is required.</w:t>
      </w:r>
    </w:p>
    <w:p w14:paraId="71DCE7FB" w14:textId="77777777" w:rsidR="00345EE3" w:rsidRDefault="00345EE3" w:rsidP="00345EE3">
      <w:pPr>
        <w:pStyle w:val="BodyText"/>
        <w:spacing w:before="117" w:line="242" w:lineRule="auto"/>
      </w:pPr>
      <w:r>
        <w:rPr>
          <w:color w:val="231F20"/>
        </w:rPr>
        <w:t>For</w:t>
      </w:r>
      <w:r>
        <w:rPr>
          <w:color w:val="231F20"/>
          <w:spacing w:val="-10"/>
        </w:rPr>
        <w:t xml:space="preserve"> </w:t>
      </w:r>
      <w:r>
        <w:rPr>
          <w:color w:val="231F20"/>
        </w:rPr>
        <w:t>those</w:t>
      </w:r>
      <w:r>
        <w:rPr>
          <w:color w:val="231F20"/>
          <w:spacing w:val="-11"/>
        </w:rPr>
        <w:t xml:space="preserve"> </w:t>
      </w:r>
      <w:r>
        <w:rPr>
          <w:color w:val="231F20"/>
        </w:rPr>
        <w:t>assets</w:t>
      </w:r>
      <w:r>
        <w:rPr>
          <w:color w:val="231F20"/>
          <w:spacing w:val="-10"/>
        </w:rPr>
        <w:t xml:space="preserve"> </w:t>
      </w:r>
      <w:r>
        <w:rPr>
          <w:color w:val="231F20"/>
        </w:rPr>
        <w:t>and</w:t>
      </w:r>
      <w:r>
        <w:rPr>
          <w:color w:val="231F20"/>
          <w:spacing w:val="-11"/>
        </w:rPr>
        <w:t xml:space="preserve"> </w:t>
      </w:r>
      <w:r>
        <w:rPr>
          <w:color w:val="231F20"/>
        </w:rPr>
        <w:t>liabilities</w:t>
      </w:r>
      <w:r>
        <w:rPr>
          <w:color w:val="231F20"/>
          <w:spacing w:val="-10"/>
        </w:rPr>
        <w:t xml:space="preserve"> </w:t>
      </w:r>
      <w:r>
        <w:rPr>
          <w:color w:val="231F20"/>
        </w:rPr>
        <w:t>for</w:t>
      </w:r>
      <w:r>
        <w:rPr>
          <w:color w:val="231F20"/>
          <w:spacing w:val="-10"/>
        </w:rPr>
        <w:t xml:space="preserve"> </w:t>
      </w:r>
      <w:r>
        <w:rPr>
          <w:color w:val="231F20"/>
        </w:rPr>
        <w:t>which</w:t>
      </w:r>
      <w:r>
        <w:rPr>
          <w:color w:val="231F20"/>
          <w:spacing w:val="-11"/>
        </w:rPr>
        <w:t xml:space="preserve"> </w:t>
      </w:r>
      <w:r>
        <w:rPr>
          <w:color w:val="231F20"/>
        </w:rPr>
        <w:t>fair</w:t>
      </w:r>
      <w:r>
        <w:rPr>
          <w:color w:val="231F20"/>
          <w:spacing w:val="-10"/>
        </w:rPr>
        <w:t xml:space="preserve"> </w:t>
      </w:r>
      <w:r>
        <w:rPr>
          <w:color w:val="231F20"/>
        </w:rPr>
        <w:t>values</w:t>
      </w:r>
      <w:r>
        <w:rPr>
          <w:color w:val="231F20"/>
          <w:spacing w:val="-10"/>
        </w:rPr>
        <w:t xml:space="preserve"> </w:t>
      </w:r>
      <w:r>
        <w:rPr>
          <w:color w:val="231F20"/>
        </w:rPr>
        <w:t>are</w:t>
      </w:r>
      <w:r>
        <w:rPr>
          <w:color w:val="231F20"/>
          <w:spacing w:val="-11"/>
        </w:rPr>
        <w:t xml:space="preserve"> </w:t>
      </w:r>
      <w:r>
        <w:rPr>
          <w:color w:val="231F20"/>
        </w:rPr>
        <w:t>determined,</w:t>
      </w:r>
      <w:r>
        <w:rPr>
          <w:color w:val="231F20"/>
          <w:spacing w:val="-10"/>
        </w:rPr>
        <w:t xml:space="preserve"> </w:t>
      </w:r>
      <w:r>
        <w:rPr>
          <w:color w:val="231F20"/>
        </w:rPr>
        <w:t>the</w:t>
      </w:r>
      <w:r>
        <w:rPr>
          <w:color w:val="231F20"/>
          <w:spacing w:val="-11"/>
        </w:rPr>
        <w:t xml:space="preserve"> </w:t>
      </w:r>
      <w:r>
        <w:rPr>
          <w:color w:val="231F20"/>
        </w:rPr>
        <w:t>following</w:t>
      </w:r>
      <w:r>
        <w:rPr>
          <w:color w:val="231F20"/>
          <w:spacing w:val="-11"/>
        </w:rPr>
        <w:t xml:space="preserve"> </w:t>
      </w:r>
      <w:r>
        <w:rPr>
          <w:color w:val="231F20"/>
        </w:rPr>
        <w:t>disclosures</w:t>
      </w:r>
      <w:r>
        <w:rPr>
          <w:color w:val="231F20"/>
          <w:spacing w:val="-10"/>
        </w:rPr>
        <w:t xml:space="preserve"> </w:t>
      </w:r>
      <w:r>
        <w:rPr>
          <w:color w:val="231F20"/>
        </w:rPr>
        <w:t xml:space="preserve">are </w:t>
      </w:r>
      <w:r>
        <w:rPr>
          <w:color w:val="231F20"/>
          <w:spacing w:val="-2"/>
        </w:rPr>
        <w:t>provided:</w:t>
      </w:r>
    </w:p>
    <w:p w14:paraId="42BC7C79" w14:textId="77777777" w:rsidR="00345EE3" w:rsidRDefault="00345EE3">
      <w:pPr>
        <w:pStyle w:val="ListParagraph"/>
        <w:numPr>
          <w:ilvl w:val="2"/>
          <w:numId w:val="14"/>
        </w:numPr>
        <w:tabs>
          <w:tab w:val="left" w:pos="393"/>
          <w:tab w:val="left" w:pos="394"/>
        </w:tabs>
        <w:spacing w:before="31" w:line="242" w:lineRule="auto"/>
        <w:ind w:right="489"/>
        <w:rPr>
          <w:sz w:val="24"/>
        </w:rPr>
      </w:pPr>
      <w:r>
        <w:rPr>
          <w:color w:val="231F20"/>
          <w:sz w:val="24"/>
        </w:rPr>
        <w:t>carrying</w:t>
      </w:r>
      <w:r>
        <w:rPr>
          <w:color w:val="231F20"/>
          <w:spacing w:val="-8"/>
          <w:sz w:val="24"/>
        </w:rPr>
        <w:t xml:space="preserve"> </w:t>
      </w:r>
      <w:r>
        <w:rPr>
          <w:color w:val="231F20"/>
          <w:sz w:val="24"/>
        </w:rPr>
        <w:t>amount</w:t>
      </w:r>
      <w:r>
        <w:rPr>
          <w:color w:val="231F20"/>
          <w:spacing w:val="-7"/>
          <w:sz w:val="24"/>
        </w:rPr>
        <w:t xml:space="preserve"> </w:t>
      </w:r>
      <w:r>
        <w:rPr>
          <w:color w:val="231F20"/>
          <w:sz w:val="24"/>
        </w:rPr>
        <w:t>and</w:t>
      </w:r>
      <w:r>
        <w:rPr>
          <w:color w:val="231F20"/>
          <w:spacing w:val="-8"/>
          <w:sz w:val="24"/>
        </w:rPr>
        <w:t xml:space="preserve"> </w:t>
      </w:r>
      <w:r>
        <w:rPr>
          <w:color w:val="231F20"/>
          <w:sz w:val="24"/>
        </w:rPr>
        <w:t>the</w:t>
      </w:r>
      <w:r>
        <w:rPr>
          <w:color w:val="231F20"/>
          <w:spacing w:val="-8"/>
          <w:sz w:val="24"/>
        </w:rPr>
        <w:t xml:space="preserve"> </w:t>
      </w:r>
      <w:r>
        <w:rPr>
          <w:color w:val="231F20"/>
          <w:sz w:val="24"/>
        </w:rPr>
        <w:t>fair</w:t>
      </w:r>
      <w:r>
        <w:rPr>
          <w:color w:val="231F20"/>
          <w:spacing w:val="-7"/>
          <w:sz w:val="24"/>
        </w:rPr>
        <w:t xml:space="preserve"> </w:t>
      </w:r>
      <w:r>
        <w:rPr>
          <w:color w:val="231F20"/>
          <w:sz w:val="24"/>
        </w:rPr>
        <w:t>value</w:t>
      </w:r>
      <w:r>
        <w:rPr>
          <w:color w:val="231F20"/>
          <w:spacing w:val="-8"/>
          <w:sz w:val="24"/>
        </w:rPr>
        <w:t xml:space="preserve"> </w:t>
      </w:r>
      <w:r>
        <w:rPr>
          <w:color w:val="231F20"/>
          <w:sz w:val="24"/>
        </w:rPr>
        <w:t>(which</w:t>
      </w:r>
      <w:r>
        <w:rPr>
          <w:color w:val="231F20"/>
          <w:spacing w:val="-8"/>
          <w:sz w:val="24"/>
        </w:rPr>
        <w:t xml:space="preserve"> </w:t>
      </w:r>
      <w:r>
        <w:rPr>
          <w:color w:val="231F20"/>
          <w:sz w:val="24"/>
        </w:rPr>
        <w:t>would</w:t>
      </w:r>
      <w:r>
        <w:rPr>
          <w:color w:val="231F20"/>
          <w:spacing w:val="-8"/>
          <w:sz w:val="24"/>
        </w:rPr>
        <w:t xml:space="preserve"> </w:t>
      </w:r>
      <w:r>
        <w:rPr>
          <w:color w:val="231F20"/>
          <w:sz w:val="24"/>
        </w:rPr>
        <w:t>be</w:t>
      </w:r>
      <w:r>
        <w:rPr>
          <w:color w:val="231F20"/>
          <w:spacing w:val="-8"/>
          <w:sz w:val="24"/>
        </w:rPr>
        <w:t xml:space="preserve"> </w:t>
      </w:r>
      <w:r>
        <w:rPr>
          <w:color w:val="231F20"/>
          <w:sz w:val="24"/>
        </w:rPr>
        <w:t>the</w:t>
      </w:r>
      <w:r>
        <w:rPr>
          <w:color w:val="231F20"/>
          <w:spacing w:val="-8"/>
          <w:sz w:val="24"/>
        </w:rPr>
        <w:t xml:space="preserve"> </w:t>
      </w:r>
      <w:r>
        <w:rPr>
          <w:color w:val="231F20"/>
          <w:sz w:val="24"/>
        </w:rPr>
        <w:t>same</w:t>
      </w:r>
      <w:r>
        <w:rPr>
          <w:color w:val="231F20"/>
          <w:spacing w:val="-8"/>
          <w:sz w:val="24"/>
        </w:rPr>
        <w:t xml:space="preserve"> </w:t>
      </w:r>
      <w:r>
        <w:rPr>
          <w:color w:val="231F20"/>
          <w:sz w:val="24"/>
        </w:rPr>
        <w:t>for</w:t>
      </w:r>
      <w:r>
        <w:rPr>
          <w:color w:val="231F20"/>
          <w:spacing w:val="-7"/>
          <w:sz w:val="24"/>
        </w:rPr>
        <w:t xml:space="preserve"> </w:t>
      </w:r>
      <w:r>
        <w:rPr>
          <w:color w:val="231F20"/>
          <w:sz w:val="24"/>
        </w:rPr>
        <w:t>those</w:t>
      </w:r>
      <w:r>
        <w:rPr>
          <w:color w:val="231F20"/>
          <w:spacing w:val="-8"/>
          <w:sz w:val="24"/>
        </w:rPr>
        <w:t xml:space="preserve"> </w:t>
      </w:r>
      <w:r>
        <w:rPr>
          <w:color w:val="231F20"/>
          <w:sz w:val="24"/>
        </w:rPr>
        <w:t>assets</w:t>
      </w:r>
      <w:r>
        <w:rPr>
          <w:color w:val="231F20"/>
          <w:spacing w:val="-7"/>
          <w:sz w:val="24"/>
        </w:rPr>
        <w:t xml:space="preserve"> </w:t>
      </w:r>
      <w:r>
        <w:rPr>
          <w:color w:val="231F20"/>
          <w:sz w:val="24"/>
        </w:rPr>
        <w:t>measured</w:t>
      </w:r>
      <w:r>
        <w:rPr>
          <w:color w:val="231F20"/>
          <w:spacing w:val="-8"/>
          <w:sz w:val="24"/>
        </w:rPr>
        <w:t xml:space="preserve"> </w:t>
      </w:r>
      <w:r>
        <w:rPr>
          <w:color w:val="231F20"/>
          <w:sz w:val="24"/>
        </w:rPr>
        <w:t>at fair value);</w:t>
      </w:r>
    </w:p>
    <w:p w14:paraId="54000433" w14:textId="77777777" w:rsidR="00345EE3" w:rsidRDefault="00345EE3">
      <w:pPr>
        <w:pStyle w:val="ListParagraph"/>
        <w:numPr>
          <w:ilvl w:val="2"/>
          <w:numId w:val="14"/>
        </w:numPr>
        <w:tabs>
          <w:tab w:val="left" w:pos="393"/>
          <w:tab w:val="left" w:pos="394"/>
        </w:tabs>
        <w:spacing w:before="30"/>
        <w:rPr>
          <w:sz w:val="24"/>
        </w:rPr>
      </w:pPr>
      <w:r>
        <w:rPr>
          <w:color w:val="231F20"/>
          <w:sz w:val="24"/>
        </w:rPr>
        <w:t>which</w:t>
      </w:r>
      <w:r>
        <w:rPr>
          <w:color w:val="231F20"/>
          <w:spacing w:val="-12"/>
          <w:sz w:val="24"/>
        </w:rPr>
        <w:t xml:space="preserve"> </w:t>
      </w:r>
      <w:r>
        <w:rPr>
          <w:color w:val="231F20"/>
          <w:sz w:val="24"/>
        </w:rPr>
        <w:t>level</w:t>
      </w:r>
      <w:r>
        <w:rPr>
          <w:color w:val="231F20"/>
          <w:spacing w:val="-10"/>
          <w:sz w:val="24"/>
        </w:rPr>
        <w:t xml:space="preserve"> </w:t>
      </w:r>
      <w:r>
        <w:rPr>
          <w:color w:val="231F20"/>
          <w:sz w:val="24"/>
        </w:rPr>
        <w:t>of</w:t>
      </w:r>
      <w:r>
        <w:rPr>
          <w:color w:val="231F20"/>
          <w:spacing w:val="-9"/>
          <w:sz w:val="24"/>
        </w:rPr>
        <w:t xml:space="preserve"> </w:t>
      </w:r>
      <w:r>
        <w:rPr>
          <w:color w:val="231F20"/>
          <w:sz w:val="24"/>
        </w:rPr>
        <w:t>the</w:t>
      </w:r>
      <w:r>
        <w:rPr>
          <w:color w:val="231F20"/>
          <w:spacing w:val="-10"/>
          <w:sz w:val="24"/>
        </w:rPr>
        <w:t xml:space="preserve"> </w:t>
      </w:r>
      <w:r>
        <w:rPr>
          <w:color w:val="231F20"/>
          <w:sz w:val="24"/>
        </w:rPr>
        <w:t>fair</w:t>
      </w:r>
      <w:r>
        <w:rPr>
          <w:color w:val="231F20"/>
          <w:spacing w:val="-8"/>
          <w:sz w:val="24"/>
        </w:rPr>
        <w:t xml:space="preserve"> </w:t>
      </w:r>
      <w:r>
        <w:rPr>
          <w:color w:val="231F20"/>
          <w:sz w:val="24"/>
        </w:rPr>
        <w:t>value</w:t>
      </w:r>
      <w:r>
        <w:rPr>
          <w:color w:val="231F20"/>
          <w:spacing w:val="-10"/>
          <w:sz w:val="24"/>
        </w:rPr>
        <w:t xml:space="preserve"> </w:t>
      </w:r>
      <w:r>
        <w:rPr>
          <w:color w:val="231F20"/>
          <w:sz w:val="24"/>
        </w:rPr>
        <w:t>hierarchy</w:t>
      </w:r>
      <w:r>
        <w:rPr>
          <w:color w:val="231F20"/>
          <w:spacing w:val="-9"/>
          <w:sz w:val="24"/>
        </w:rPr>
        <w:t xml:space="preserve"> </w:t>
      </w:r>
      <w:r>
        <w:rPr>
          <w:color w:val="231F20"/>
          <w:sz w:val="24"/>
        </w:rPr>
        <w:t>was</w:t>
      </w:r>
      <w:r>
        <w:rPr>
          <w:color w:val="231F20"/>
          <w:spacing w:val="-9"/>
          <w:sz w:val="24"/>
        </w:rPr>
        <w:t xml:space="preserve"> </w:t>
      </w:r>
      <w:r>
        <w:rPr>
          <w:color w:val="231F20"/>
          <w:sz w:val="24"/>
        </w:rPr>
        <w:t>used</w:t>
      </w:r>
      <w:r>
        <w:rPr>
          <w:color w:val="231F20"/>
          <w:spacing w:val="-10"/>
          <w:sz w:val="24"/>
        </w:rPr>
        <w:t xml:space="preserve"> </w:t>
      </w:r>
      <w:r>
        <w:rPr>
          <w:color w:val="231F20"/>
          <w:sz w:val="24"/>
        </w:rPr>
        <w:t>to</w:t>
      </w:r>
      <w:r>
        <w:rPr>
          <w:color w:val="231F20"/>
          <w:spacing w:val="-9"/>
          <w:sz w:val="24"/>
        </w:rPr>
        <w:t xml:space="preserve"> </w:t>
      </w:r>
      <w:r>
        <w:rPr>
          <w:color w:val="231F20"/>
          <w:sz w:val="24"/>
        </w:rPr>
        <w:t>determine</w:t>
      </w:r>
      <w:r>
        <w:rPr>
          <w:color w:val="231F20"/>
          <w:spacing w:val="-10"/>
          <w:sz w:val="24"/>
        </w:rPr>
        <w:t xml:space="preserve"> </w:t>
      </w:r>
      <w:r>
        <w:rPr>
          <w:color w:val="231F20"/>
          <w:sz w:val="24"/>
        </w:rPr>
        <w:t>the</w:t>
      </w:r>
      <w:r>
        <w:rPr>
          <w:color w:val="231F20"/>
          <w:spacing w:val="-10"/>
          <w:sz w:val="24"/>
        </w:rPr>
        <w:t xml:space="preserve"> </w:t>
      </w:r>
      <w:r>
        <w:rPr>
          <w:color w:val="231F20"/>
          <w:sz w:val="24"/>
        </w:rPr>
        <w:t>fair</w:t>
      </w:r>
      <w:r>
        <w:rPr>
          <w:color w:val="231F20"/>
          <w:spacing w:val="-9"/>
          <w:sz w:val="24"/>
        </w:rPr>
        <w:t xml:space="preserve"> </w:t>
      </w:r>
      <w:r>
        <w:rPr>
          <w:color w:val="231F20"/>
          <w:sz w:val="24"/>
        </w:rPr>
        <w:t>value;</w:t>
      </w:r>
      <w:r>
        <w:rPr>
          <w:color w:val="231F20"/>
          <w:spacing w:val="-8"/>
          <w:sz w:val="24"/>
        </w:rPr>
        <w:t xml:space="preserve"> </w:t>
      </w:r>
      <w:r>
        <w:rPr>
          <w:color w:val="231F20"/>
          <w:spacing w:val="-5"/>
          <w:sz w:val="24"/>
        </w:rPr>
        <w:t>and</w:t>
      </w:r>
    </w:p>
    <w:p w14:paraId="1FADF4FE" w14:textId="77777777" w:rsidR="00345EE3" w:rsidRDefault="00345EE3">
      <w:pPr>
        <w:pStyle w:val="ListParagraph"/>
        <w:numPr>
          <w:ilvl w:val="2"/>
          <w:numId w:val="14"/>
        </w:numPr>
        <w:tabs>
          <w:tab w:val="left" w:pos="393"/>
          <w:tab w:val="left" w:pos="394"/>
        </w:tabs>
        <w:spacing w:before="33" w:line="242" w:lineRule="auto"/>
        <w:ind w:right="851"/>
        <w:rPr>
          <w:sz w:val="24"/>
        </w:rPr>
      </w:pPr>
      <w:r>
        <w:rPr>
          <w:color w:val="231F20"/>
          <w:sz w:val="24"/>
        </w:rPr>
        <w:t>in</w:t>
      </w:r>
      <w:r>
        <w:rPr>
          <w:color w:val="231F20"/>
          <w:spacing w:val="-10"/>
          <w:sz w:val="24"/>
        </w:rPr>
        <w:t xml:space="preserve"> </w:t>
      </w:r>
      <w:r>
        <w:rPr>
          <w:color w:val="231F20"/>
          <w:sz w:val="24"/>
        </w:rPr>
        <w:t>respect</w:t>
      </w:r>
      <w:r>
        <w:rPr>
          <w:color w:val="231F20"/>
          <w:spacing w:val="-9"/>
          <w:sz w:val="24"/>
        </w:rPr>
        <w:t xml:space="preserve"> </w:t>
      </w:r>
      <w:r>
        <w:rPr>
          <w:color w:val="231F20"/>
          <w:sz w:val="24"/>
        </w:rPr>
        <w:t>of</w:t>
      </w:r>
      <w:r>
        <w:rPr>
          <w:color w:val="231F20"/>
          <w:spacing w:val="-9"/>
          <w:sz w:val="24"/>
        </w:rPr>
        <w:t xml:space="preserve"> </w:t>
      </w:r>
      <w:r>
        <w:rPr>
          <w:color w:val="231F20"/>
          <w:sz w:val="24"/>
        </w:rPr>
        <w:t>those</w:t>
      </w:r>
      <w:r>
        <w:rPr>
          <w:color w:val="231F20"/>
          <w:spacing w:val="-10"/>
          <w:sz w:val="24"/>
        </w:rPr>
        <w:t xml:space="preserve"> </w:t>
      </w:r>
      <w:r>
        <w:rPr>
          <w:color w:val="231F20"/>
          <w:sz w:val="24"/>
        </w:rPr>
        <w:t>assets</w:t>
      </w:r>
      <w:r>
        <w:rPr>
          <w:color w:val="231F20"/>
          <w:spacing w:val="-9"/>
          <w:sz w:val="24"/>
        </w:rPr>
        <w:t xml:space="preserve"> </w:t>
      </w:r>
      <w:r>
        <w:rPr>
          <w:color w:val="231F20"/>
          <w:sz w:val="24"/>
        </w:rPr>
        <w:t>and</w:t>
      </w:r>
      <w:r>
        <w:rPr>
          <w:color w:val="231F20"/>
          <w:spacing w:val="-10"/>
          <w:sz w:val="24"/>
        </w:rPr>
        <w:t xml:space="preserve"> </w:t>
      </w:r>
      <w:r>
        <w:rPr>
          <w:color w:val="231F20"/>
          <w:sz w:val="24"/>
        </w:rPr>
        <w:t>liabilities</w:t>
      </w:r>
      <w:r>
        <w:rPr>
          <w:color w:val="231F20"/>
          <w:spacing w:val="-9"/>
          <w:sz w:val="24"/>
        </w:rPr>
        <w:t xml:space="preserve"> </w:t>
      </w:r>
      <w:r>
        <w:rPr>
          <w:color w:val="231F20"/>
          <w:sz w:val="24"/>
        </w:rPr>
        <w:t>subject</w:t>
      </w:r>
      <w:r>
        <w:rPr>
          <w:color w:val="231F20"/>
          <w:spacing w:val="-9"/>
          <w:sz w:val="24"/>
        </w:rPr>
        <w:t xml:space="preserve"> </w:t>
      </w:r>
      <w:r>
        <w:rPr>
          <w:color w:val="231F20"/>
          <w:sz w:val="24"/>
        </w:rPr>
        <w:t>to</w:t>
      </w:r>
      <w:r>
        <w:rPr>
          <w:color w:val="231F20"/>
          <w:spacing w:val="-10"/>
          <w:sz w:val="24"/>
        </w:rPr>
        <w:t xml:space="preserve"> </w:t>
      </w:r>
      <w:r>
        <w:rPr>
          <w:color w:val="231F20"/>
          <w:sz w:val="24"/>
        </w:rPr>
        <w:t>fair</w:t>
      </w:r>
      <w:r>
        <w:rPr>
          <w:color w:val="231F20"/>
          <w:spacing w:val="-9"/>
          <w:sz w:val="24"/>
        </w:rPr>
        <w:t xml:space="preserve"> </w:t>
      </w:r>
      <w:r>
        <w:rPr>
          <w:color w:val="231F20"/>
          <w:sz w:val="24"/>
        </w:rPr>
        <w:t>value</w:t>
      </w:r>
      <w:r>
        <w:rPr>
          <w:color w:val="231F20"/>
          <w:spacing w:val="-10"/>
          <w:sz w:val="24"/>
        </w:rPr>
        <w:t xml:space="preserve"> </w:t>
      </w:r>
      <w:r>
        <w:rPr>
          <w:color w:val="231F20"/>
          <w:sz w:val="24"/>
        </w:rPr>
        <w:t>determination</w:t>
      </w:r>
      <w:r>
        <w:rPr>
          <w:color w:val="231F20"/>
          <w:spacing w:val="-10"/>
          <w:sz w:val="24"/>
        </w:rPr>
        <w:t xml:space="preserve"> </w:t>
      </w:r>
      <w:r>
        <w:rPr>
          <w:color w:val="231F20"/>
          <w:sz w:val="24"/>
        </w:rPr>
        <w:t>using</w:t>
      </w:r>
      <w:r>
        <w:rPr>
          <w:color w:val="231F20"/>
          <w:spacing w:val="-10"/>
          <w:sz w:val="24"/>
        </w:rPr>
        <w:t xml:space="preserve"> </w:t>
      </w:r>
      <w:r>
        <w:rPr>
          <w:color w:val="231F20"/>
          <w:sz w:val="24"/>
        </w:rPr>
        <w:t>Level</w:t>
      </w:r>
      <w:r>
        <w:rPr>
          <w:color w:val="231F20"/>
          <w:spacing w:val="-10"/>
          <w:sz w:val="24"/>
        </w:rPr>
        <w:t xml:space="preserve"> </w:t>
      </w:r>
      <w:r>
        <w:rPr>
          <w:color w:val="231F20"/>
          <w:sz w:val="24"/>
        </w:rPr>
        <w:t xml:space="preserve">3 </w:t>
      </w:r>
      <w:r>
        <w:rPr>
          <w:color w:val="231F20"/>
          <w:spacing w:val="-2"/>
          <w:sz w:val="24"/>
        </w:rPr>
        <w:t>inputs:</w:t>
      </w:r>
    </w:p>
    <w:p w14:paraId="6F9C6D4B" w14:textId="77777777" w:rsidR="00345EE3" w:rsidRDefault="00345EE3">
      <w:pPr>
        <w:pStyle w:val="ListParagraph"/>
        <w:numPr>
          <w:ilvl w:val="3"/>
          <w:numId w:val="14"/>
        </w:numPr>
        <w:tabs>
          <w:tab w:val="left" w:pos="564"/>
        </w:tabs>
        <w:spacing w:before="31"/>
        <w:rPr>
          <w:sz w:val="24"/>
        </w:rPr>
      </w:pPr>
      <w:r>
        <w:rPr>
          <w:color w:val="231F20"/>
          <w:spacing w:val="-2"/>
          <w:sz w:val="24"/>
        </w:rPr>
        <w:t>a</w:t>
      </w:r>
      <w:r>
        <w:rPr>
          <w:color w:val="231F20"/>
          <w:spacing w:val="-13"/>
          <w:sz w:val="24"/>
        </w:rPr>
        <w:t xml:space="preserve"> </w:t>
      </w:r>
      <w:r>
        <w:rPr>
          <w:color w:val="231F20"/>
          <w:spacing w:val="-2"/>
          <w:sz w:val="24"/>
        </w:rPr>
        <w:t>reconciliation</w:t>
      </w:r>
      <w:r>
        <w:rPr>
          <w:color w:val="231F20"/>
          <w:spacing w:val="-13"/>
          <w:sz w:val="24"/>
        </w:rPr>
        <w:t xml:space="preserve"> </w:t>
      </w:r>
      <w:r>
        <w:rPr>
          <w:color w:val="231F20"/>
          <w:spacing w:val="-2"/>
          <w:sz w:val="24"/>
        </w:rPr>
        <w:t>of</w:t>
      </w:r>
      <w:r>
        <w:rPr>
          <w:color w:val="231F20"/>
          <w:spacing w:val="-13"/>
          <w:sz w:val="24"/>
        </w:rPr>
        <w:t xml:space="preserve"> </w:t>
      </w:r>
      <w:r>
        <w:rPr>
          <w:color w:val="231F20"/>
          <w:spacing w:val="-2"/>
          <w:sz w:val="24"/>
        </w:rPr>
        <w:t>the</w:t>
      </w:r>
      <w:r>
        <w:rPr>
          <w:color w:val="231F20"/>
          <w:spacing w:val="-13"/>
          <w:sz w:val="24"/>
        </w:rPr>
        <w:t xml:space="preserve"> </w:t>
      </w:r>
      <w:r>
        <w:rPr>
          <w:color w:val="231F20"/>
          <w:spacing w:val="-2"/>
          <w:sz w:val="24"/>
        </w:rPr>
        <w:t>movements</w:t>
      </w:r>
      <w:r>
        <w:rPr>
          <w:color w:val="231F20"/>
          <w:spacing w:val="-13"/>
          <w:sz w:val="24"/>
        </w:rPr>
        <w:t xml:space="preserve"> </w:t>
      </w:r>
      <w:r>
        <w:rPr>
          <w:color w:val="231F20"/>
          <w:spacing w:val="-2"/>
          <w:sz w:val="24"/>
        </w:rPr>
        <w:t>in</w:t>
      </w:r>
      <w:r>
        <w:rPr>
          <w:color w:val="231F20"/>
          <w:spacing w:val="-12"/>
          <w:sz w:val="24"/>
        </w:rPr>
        <w:t xml:space="preserve"> </w:t>
      </w:r>
      <w:r>
        <w:rPr>
          <w:color w:val="231F20"/>
          <w:spacing w:val="-2"/>
          <w:sz w:val="24"/>
        </w:rPr>
        <w:t>fair</w:t>
      </w:r>
      <w:r>
        <w:rPr>
          <w:color w:val="231F20"/>
          <w:spacing w:val="-13"/>
          <w:sz w:val="24"/>
        </w:rPr>
        <w:t xml:space="preserve"> </w:t>
      </w:r>
      <w:r>
        <w:rPr>
          <w:color w:val="231F20"/>
          <w:spacing w:val="-2"/>
          <w:sz w:val="24"/>
        </w:rPr>
        <w:t>values</w:t>
      </w:r>
      <w:r>
        <w:rPr>
          <w:color w:val="231F20"/>
          <w:spacing w:val="-13"/>
          <w:sz w:val="24"/>
        </w:rPr>
        <w:t xml:space="preserve"> </w:t>
      </w:r>
      <w:r>
        <w:rPr>
          <w:color w:val="231F20"/>
          <w:spacing w:val="-2"/>
          <w:sz w:val="24"/>
        </w:rPr>
        <w:t>from</w:t>
      </w:r>
      <w:r>
        <w:rPr>
          <w:color w:val="231F20"/>
          <w:spacing w:val="-13"/>
          <w:sz w:val="24"/>
        </w:rPr>
        <w:t xml:space="preserve"> </w:t>
      </w:r>
      <w:r>
        <w:rPr>
          <w:color w:val="231F20"/>
          <w:spacing w:val="-2"/>
          <w:sz w:val="24"/>
        </w:rPr>
        <w:t>the</w:t>
      </w:r>
      <w:r>
        <w:rPr>
          <w:color w:val="231F20"/>
          <w:spacing w:val="-13"/>
          <w:sz w:val="24"/>
        </w:rPr>
        <w:t xml:space="preserve"> </w:t>
      </w:r>
      <w:r>
        <w:rPr>
          <w:color w:val="231F20"/>
          <w:spacing w:val="-2"/>
          <w:sz w:val="24"/>
        </w:rPr>
        <w:t>beginning</w:t>
      </w:r>
      <w:r>
        <w:rPr>
          <w:color w:val="231F20"/>
          <w:spacing w:val="-13"/>
          <w:sz w:val="24"/>
        </w:rPr>
        <w:t xml:space="preserve"> </w:t>
      </w:r>
      <w:r>
        <w:rPr>
          <w:color w:val="231F20"/>
          <w:spacing w:val="-2"/>
          <w:sz w:val="24"/>
        </w:rPr>
        <w:t>of</w:t>
      </w:r>
      <w:r>
        <w:rPr>
          <w:color w:val="231F20"/>
          <w:spacing w:val="-12"/>
          <w:sz w:val="24"/>
        </w:rPr>
        <w:t xml:space="preserve"> </w:t>
      </w:r>
      <w:r>
        <w:rPr>
          <w:color w:val="231F20"/>
          <w:spacing w:val="-2"/>
          <w:sz w:val="24"/>
        </w:rPr>
        <w:t>the</w:t>
      </w:r>
      <w:r>
        <w:rPr>
          <w:color w:val="231F20"/>
          <w:spacing w:val="-13"/>
          <w:sz w:val="24"/>
        </w:rPr>
        <w:t xml:space="preserve"> </w:t>
      </w:r>
      <w:r>
        <w:rPr>
          <w:color w:val="231F20"/>
          <w:spacing w:val="-2"/>
          <w:sz w:val="24"/>
        </w:rPr>
        <w:t>year</w:t>
      </w:r>
      <w:r>
        <w:rPr>
          <w:color w:val="231F20"/>
          <w:spacing w:val="-13"/>
          <w:sz w:val="24"/>
        </w:rPr>
        <w:t xml:space="preserve"> </w:t>
      </w:r>
      <w:r>
        <w:rPr>
          <w:color w:val="231F20"/>
          <w:spacing w:val="-2"/>
          <w:sz w:val="24"/>
        </w:rPr>
        <w:t>to</w:t>
      </w:r>
      <w:r>
        <w:rPr>
          <w:color w:val="231F20"/>
          <w:spacing w:val="-13"/>
          <w:sz w:val="24"/>
        </w:rPr>
        <w:t xml:space="preserve"> </w:t>
      </w:r>
      <w:r>
        <w:rPr>
          <w:color w:val="231F20"/>
          <w:spacing w:val="-2"/>
          <w:sz w:val="24"/>
        </w:rPr>
        <w:t>the</w:t>
      </w:r>
      <w:r>
        <w:rPr>
          <w:color w:val="231F20"/>
          <w:spacing w:val="-13"/>
          <w:sz w:val="24"/>
        </w:rPr>
        <w:t xml:space="preserve"> </w:t>
      </w:r>
      <w:r>
        <w:rPr>
          <w:color w:val="231F20"/>
          <w:spacing w:val="-2"/>
          <w:sz w:val="24"/>
        </w:rPr>
        <w:t>end;</w:t>
      </w:r>
      <w:r>
        <w:rPr>
          <w:color w:val="231F20"/>
          <w:spacing w:val="-12"/>
          <w:sz w:val="24"/>
        </w:rPr>
        <w:t xml:space="preserve"> </w:t>
      </w:r>
      <w:r>
        <w:rPr>
          <w:color w:val="231F20"/>
          <w:spacing w:val="-5"/>
          <w:sz w:val="24"/>
        </w:rPr>
        <w:t>and</w:t>
      </w:r>
    </w:p>
    <w:p w14:paraId="5F19B8DA" w14:textId="77777777" w:rsidR="00345EE3" w:rsidRDefault="00345EE3">
      <w:pPr>
        <w:pStyle w:val="ListParagraph"/>
        <w:numPr>
          <w:ilvl w:val="3"/>
          <w:numId w:val="14"/>
        </w:numPr>
        <w:tabs>
          <w:tab w:val="left" w:pos="564"/>
        </w:tabs>
        <w:rPr>
          <w:sz w:val="24"/>
        </w:rPr>
      </w:pPr>
      <w:r>
        <w:rPr>
          <w:color w:val="231F20"/>
          <w:spacing w:val="-4"/>
          <w:sz w:val="24"/>
        </w:rPr>
        <w:t>details of significant</w:t>
      </w:r>
      <w:r>
        <w:rPr>
          <w:color w:val="231F20"/>
          <w:spacing w:val="-3"/>
          <w:sz w:val="24"/>
        </w:rPr>
        <w:t xml:space="preserve"> </w:t>
      </w:r>
      <w:r>
        <w:rPr>
          <w:color w:val="231F20"/>
          <w:spacing w:val="-4"/>
          <w:sz w:val="24"/>
        </w:rPr>
        <w:t>unobservable inputs</w:t>
      </w:r>
      <w:r>
        <w:rPr>
          <w:color w:val="231F20"/>
          <w:spacing w:val="-3"/>
          <w:sz w:val="24"/>
        </w:rPr>
        <w:t xml:space="preserve"> </w:t>
      </w:r>
      <w:r>
        <w:rPr>
          <w:color w:val="231F20"/>
          <w:spacing w:val="-4"/>
          <w:sz w:val="24"/>
        </w:rPr>
        <w:t>used in the</w:t>
      </w:r>
      <w:r>
        <w:rPr>
          <w:color w:val="231F20"/>
          <w:spacing w:val="-3"/>
          <w:sz w:val="24"/>
        </w:rPr>
        <w:t xml:space="preserve"> </w:t>
      </w:r>
      <w:r>
        <w:rPr>
          <w:color w:val="231F20"/>
          <w:spacing w:val="-4"/>
          <w:sz w:val="24"/>
        </w:rPr>
        <w:t>fair value</w:t>
      </w:r>
      <w:r>
        <w:rPr>
          <w:color w:val="231F20"/>
          <w:spacing w:val="-3"/>
          <w:sz w:val="24"/>
        </w:rPr>
        <w:t xml:space="preserve"> </w:t>
      </w:r>
      <w:r>
        <w:rPr>
          <w:color w:val="231F20"/>
          <w:spacing w:val="-4"/>
          <w:sz w:val="24"/>
        </w:rPr>
        <w:t>determination.</w:t>
      </w:r>
    </w:p>
    <w:p w14:paraId="78D55E88" w14:textId="77777777" w:rsidR="00345EE3" w:rsidRDefault="00345EE3" w:rsidP="00345EE3">
      <w:pPr>
        <w:pStyle w:val="BodyText"/>
        <w:spacing w:before="117" w:after="240" w:line="242" w:lineRule="auto"/>
        <w:ind w:right="115"/>
      </w:pPr>
      <w:r>
        <w:rPr>
          <w:color w:val="231F20"/>
        </w:rPr>
        <w:t>This section is divided between disclosures in connection with fair value determination for financial</w:t>
      </w:r>
      <w:r>
        <w:rPr>
          <w:color w:val="231F20"/>
          <w:spacing w:val="-3"/>
        </w:rPr>
        <w:t xml:space="preserve"> </w:t>
      </w:r>
      <w:r>
        <w:rPr>
          <w:color w:val="231F20"/>
        </w:rPr>
        <w:t>instruments</w:t>
      </w:r>
      <w:r>
        <w:rPr>
          <w:color w:val="231F20"/>
          <w:spacing w:val="-2"/>
        </w:rPr>
        <w:t xml:space="preserve"> </w:t>
      </w:r>
      <w:r>
        <w:rPr>
          <w:color w:val="231F20"/>
        </w:rPr>
        <w:t>(refer</w:t>
      </w:r>
      <w:r>
        <w:rPr>
          <w:color w:val="231F20"/>
          <w:spacing w:val="-2"/>
        </w:rPr>
        <w:t xml:space="preserve"> </w:t>
      </w:r>
      <w:r>
        <w:rPr>
          <w:color w:val="231F20"/>
        </w:rPr>
        <w:t>to</w:t>
      </w:r>
      <w:r>
        <w:rPr>
          <w:color w:val="231F20"/>
          <w:spacing w:val="-3"/>
        </w:rPr>
        <w:t xml:space="preserve"> </w:t>
      </w:r>
      <w:r>
        <w:rPr>
          <w:color w:val="231F20"/>
        </w:rPr>
        <w:t>Note</w:t>
      </w:r>
      <w:r>
        <w:rPr>
          <w:color w:val="231F20"/>
          <w:spacing w:val="-3"/>
        </w:rPr>
        <w:t xml:space="preserve"> </w:t>
      </w:r>
      <w:r>
        <w:rPr>
          <w:color w:val="231F20"/>
        </w:rPr>
        <w:t>8.3.1</w:t>
      </w:r>
      <w:r>
        <w:rPr>
          <w:color w:val="231F20"/>
          <w:spacing w:val="-3"/>
        </w:rPr>
        <w:t xml:space="preserve"> </w:t>
      </w:r>
      <w:r>
        <w:rPr>
          <w:color w:val="231F20"/>
        </w:rPr>
        <w:t>Fair</w:t>
      </w:r>
      <w:r>
        <w:rPr>
          <w:color w:val="231F20"/>
          <w:spacing w:val="-2"/>
        </w:rPr>
        <w:t xml:space="preserve"> </w:t>
      </w:r>
      <w:r>
        <w:rPr>
          <w:color w:val="231F20"/>
        </w:rPr>
        <w:t>Value</w:t>
      </w:r>
      <w:r>
        <w:rPr>
          <w:color w:val="231F20"/>
          <w:spacing w:val="-3"/>
        </w:rPr>
        <w:t xml:space="preserve"> </w:t>
      </w:r>
      <w:r>
        <w:rPr>
          <w:color w:val="231F20"/>
        </w:rPr>
        <w:t>Determination</w:t>
      </w:r>
      <w:r>
        <w:rPr>
          <w:color w:val="231F20"/>
          <w:spacing w:val="-3"/>
        </w:rPr>
        <w:t xml:space="preserve"> </w:t>
      </w:r>
      <w:r>
        <w:rPr>
          <w:color w:val="231F20"/>
        </w:rPr>
        <w:t>of</w:t>
      </w:r>
      <w:r>
        <w:rPr>
          <w:color w:val="231F20"/>
          <w:spacing w:val="-2"/>
        </w:rPr>
        <w:t xml:space="preserve"> </w:t>
      </w:r>
      <w:r>
        <w:rPr>
          <w:color w:val="231F20"/>
        </w:rPr>
        <w:t>Financial</w:t>
      </w:r>
      <w:r>
        <w:rPr>
          <w:color w:val="231F20"/>
          <w:spacing w:val="-3"/>
        </w:rPr>
        <w:t xml:space="preserve"> </w:t>
      </w:r>
      <w:r>
        <w:rPr>
          <w:color w:val="231F20"/>
        </w:rPr>
        <w:t>Assets</w:t>
      </w:r>
      <w:r>
        <w:rPr>
          <w:color w:val="231F20"/>
          <w:spacing w:val="-2"/>
        </w:rPr>
        <w:t xml:space="preserve"> </w:t>
      </w:r>
      <w:r>
        <w:rPr>
          <w:color w:val="231F20"/>
        </w:rPr>
        <w:t>and Liabilities)</w:t>
      </w:r>
      <w:r>
        <w:rPr>
          <w:color w:val="231F20"/>
          <w:spacing w:val="-14"/>
        </w:rPr>
        <w:t xml:space="preserve"> </w:t>
      </w:r>
      <w:r>
        <w:rPr>
          <w:color w:val="231F20"/>
        </w:rPr>
        <w:t>and</w:t>
      </w:r>
      <w:r>
        <w:rPr>
          <w:color w:val="231F20"/>
          <w:spacing w:val="-15"/>
        </w:rPr>
        <w:t xml:space="preserve"> </w:t>
      </w:r>
      <w:r>
        <w:rPr>
          <w:color w:val="231F20"/>
        </w:rPr>
        <w:t>non-financial</w:t>
      </w:r>
      <w:r>
        <w:rPr>
          <w:color w:val="231F20"/>
          <w:spacing w:val="-15"/>
        </w:rPr>
        <w:t xml:space="preserve"> </w:t>
      </w:r>
      <w:r>
        <w:rPr>
          <w:color w:val="231F20"/>
        </w:rPr>
        <w:t>physical</w:t>
      </w:r>
      <w:r>
        <w:rPr>
          <w:color w:val="231F20"/>
          <w:spacing w:val="-15"/>
        </w:rPr>
        <w:t xml:space="preserve"> </w:t>
      </w:r>
      <w:r>
        <w:rPr>
          <w:color w:val="231F20"/>
        </w:rPr>
        <w:t>assets</w:t>
      </w:r>
      <w:r>
        <w:rPr>
          <w:color w:val="231F20"/>
          <w:spacing w:val="-14"/>
        </w:rPr>
        <w:t xml:space="preserve"> </w:t>
      </w:r>
      <w:r>
        <w:rPr>
          <w:color w:val="231F20"/>
        </w:rPr>
        <w:t>(refer</w:t>
      </w:r>
      <w:r>
        <w:rPr>
          <w:color w:val="231F20"/>
          <w:spacing w:val="-14"/>
        </w:rPr>
        <w:t xml:space="preserve"> </w:t>
      </w:r>
      <w:r>
        <w:rPr>
          <w:color w:val="231F20"/>
        </w:rPr>
        <w:t>to</w:t>
      </w:r>
      <w:r>
        <w:rPr>
          <w:color w:val="231F20"/>
          <w:spacing w:val="-15"/>
        </w:rPr>
        <w:t xml:space="preserve"> </w:t>
      </w:r>
      <w:r>
        <w:rPr>
          <w:color w:val="231F20"/>
        </w:rPr>
        <w:t>Note</w:t>
      </w:r>
      <w:r>
        <w:rPr>
          <w:color w:val="231F20"/>
          <w:spacing w:val="-15"/>
        </w:rPr>
        <w:t xml:space="preserve"> </w:t>
      </w:r>
      <w:r>
        <w:rPr>
          <w:color w:val="231F20"/>
        </w:rPr>
        <w:t>8.3.2</w:t>
      </w:r>
      <w:r>
        <w:rPr>
          <w:color w:val="231F20"/>
          <w:spacing w:val="-15"/>
        </w:rPr>
        <w:t xml:space="preserve"> </w:t>
      </w:r>
      <w:r>
        <w:rPr>
          <w:color w:val="231F20"/>
        </w:rPr>
        <w:t>Fair</w:t>
      </w:r>
      <w:r>
        <w:rPr>
          <w:color w:val="231F20"/>
          <w:spacing w:val="-14"/>
        </w:rPr>
        <w:t xml:space="preserve"> </w:t>
      </w:r>
      <w:r>
        <w:rPr>
          <w:color w:val="231F20"/>
        </w:rPr>
        <w:t>Value</w:t>
      </w:r>
      <w:r>
        <w:rPr>
          <w:color w:val="231F20"/>
          <w:spacing w:val="-15"/>
        </w:rPr>
        <w:t xml:space="preserve"> </w:t>
      </w:r>
      <w:r>
        <w:rPr>
          <w:color w:val="231F20"/>
        </w:rPr>
        <w:t>Determination:</w:t>
      </w:r>
      <w:r>
        <w:rPr>
          <w:color w:val="231F20"/>
          <w:spacing w:val="-14"/>
        </w:rPr>
        <w:t xml:space="preserve"> </w:t>
      </w:r>
      <w:r>
        <w:rPr>
          <w:color w:val="231F20"/>
        </w:rPr>
        <w:t>Non- Financial Physical Assets).</w:t>
      </w:r>
    </w:p>
    <w:p w14:paraId="2C98715B" w14:textId="77777777" w:rsidR="00345EE3" w:rsidRDefault="00345EE3" w:rsidP="00752D49">
      <w:pPr>
        <w:pStyle w:val="Heading5"/>
        <w:numPr>
          <w:ilvl w:val="2"/>
          <w:numId w:val="12"/>
        </w:numPr>
        <w:tabs>
          <w:tab w:val="left" w:pos="711"/>
        </w:tabs>
        <w:spacing w:before="109"/>
        <w:ind w:left="851" w:hanging="851"/>
      </w:pPr>
      <w:r>
        <w:rPr>
          <w:color w:val="58595B"/>
        </w:rPr>
        <w:t>Fair</w:t>
      </w:r>
      <w:r>
        <w:rPr>
          <w:color w:val="58595B"/>
          <w:spacing w:val="-6"/>
        </w:rPr>
        <w:t xml:space="preserve"> </w:t>
      </w:r>
      <w:r>
        <w:rPr>
          <w:color w:val="58595B"/>
        </w:rPr>
        <w:t>Value</w:t>
      </w:r>
      <w:r>
        <w:rPr>
          <w:color w:val="58595B"/>
          <w:spacing w:val="-6"/>
        </w:rPr>
        <w:t xml:space="preserve"> </w:t>
      </w:r>
      <w:r>
        <w:rPr>
          <w:color w:val="58595B"/>
        </w:rPr>
        <w:t>Determination</w:t>
      </w:r>
      <w:r>
        <w:rPr>
          <w:color w:val="58595B"/>
          <w:spacing w:val="-6"/>
        </w:rPr>
        <w:t xml:space="preserve"> </w:t>
      </w:r>
      <w:r>
        <w:rPr>
          <w:color w:val="58595B"/>
        </w:rPr>
        <w:t>of</w:t>
      </w:r>
      <w:r>
        <w:rPr>
          <w:color w:val="58595B"/>
          <w:spacing w:val="-6"/>
        </w:rPr>
        <w:t xml:space="preserve"> </w:t>
      </w:r>
      <w:r>
        <w:rPr>
          <w:color w:val="58595B"/>
        </w:rPr>
        <w:t>Financial</w:t>
      </w:r>
      <w:r>
        <w:rPr>
          <w:color w:val="58595B"/>
          <w:spacing w:val="-14"/>
        </w:rPr>
        <w:t xml:space="preserve"> </w:t>
      </w:r>
      <w:r>
        <w:rPr>
          <w:color w:val="58595B"/>
        </w:rPr>
        <w:t>Assets</w:t>
      </w:r>
      <w:r>
        <w:rPr>
          <w:color w:val="58595B"/>
          <w:spacing w:val="-6"/>
        </w:rPr>
        <w:t xml:space="preserve"> </w:t>
      </w:r>
      <w:r>
        <w:rPr>
          <w:color w:val="58595B"/>
        </w:rPr>
        <w:t>and</w:t>
      </w:r>
      <w:r>
        <w:rPr>
          <w:color w:val="58595B"/>
          <w:spacing w:val="-6"/>
        </w:rPr>
        <w:t xml:space="preserve"> </w:t>
      </w:r>
      <w:r>
        <w:rPr>
          <w:color w:val="58595B"/>
          <w:spacing w:val="-2"/>
        </w:rPr>
        <w:t>Liabilities</w:t>
      </w:r>
    </w:p>
    <w:p w14:paraId="6F4183E7" w14:textId="77777777" w:rsidR="00345EE3" w:rsidRDefault="00345EE3" w:rsidP="00345EE3">
      <w:pPr>
        <w:pStyle w:val="BodyText"/>
        <w:spacing w:before="4"/>
      </w:pPr>
      <w:r>
        <w:rPr>
          <w:color w:val="231F20"/>
        </w:rPr>
        <w:t>The</w:t>
      </w:r>
      <w:r>
        <w:rPr>
          <w:color w:val="231F20"/>
          <w:spacing w:val="-12"/>
        </w:rPr>
        <w:t xml:space="preserve"> </w:t>
      </w:r>
      <w:r>
        <w:rPr>
          <w:color w:val="231F20"/>
        </w:rPr>
        <w:t>fair</w:t>
      </w:r>
      <w:r>
        <w:rPr>
          <w:color w:val="231F20"/>
          <w:spacing w:val="-8"/>
        </w:rPr>
        <w:t xml:space="preserve"> </w:t>
      </w:r>
      <w:r>
        <w:rPr>
          <w:color w:val="231F20"/>
        </w:rPr>
        <w:t>value</w:t>
      </w:r>
      <w:r>
        <w:rPr>
          <w:color w:val="231F20"/>
          <w:spacing w:val="-9"/>
        </w:rPr>
        <w:t xml:space="preserve"> </w:t>
      </w:r>
      <w:r>
        <w:rPr>
          <w:color w:val="231F20"/>
        </w:rPr>
        <w:t>of</w:t>
      </w:r>
      <w:r>
        <w:rPr>
          <w:color w:val="231F20"/>
          <w:spacing w:val="-9"/>
        </w:rPr>
        <w:t xml:space="preserve"> </w:t>
      </w:r>
      <w:r>
        <w:rPr>
          <w:color w:val="231F20"/>
        </w:rPr>
        <w:t>financial</w:t>
      </w:r>
      <w:r>
        <w:rPr>
          <w:color w:val="231F20"/>
          <w:spacing w:val="-9"/>
        </w:rPr>
        <w:t xml:space="preserve"> </w:t>
      </w:r>
      <w:r>
        <w:rPr>
          <w:color w:val="231F20"/>
        </w:rPr>
        <w:t>assets</w:t>
      </w:r>
      <w:r>
        <w:rPr>
          <w:color w:val="231F20"/>
          <w:spacing w:val="-8"/>
        </w:rPr>
        <w:t xml:space="preserve"> </w:t>
      </w:r>
      <w:r>
        <w:rPr>
          <w:color w:val="231F20"/>
        </w:rPr>
        <w:t>and</w:t>
      </w:r>
      <w:r>
        <w:rPr>
          <w:color w:val="231F20"/>
          <w:spacing w:val="-9"/>
        </w:rPr>
        <w:t xml:space="preserve"> </w:t>
      </w:r>
      <w:r>
        <w:rPr>
          <w:color w:val="231F20"/>
        </w:rPr>
        <w:t>liabilities</w:t>
      </w:r>
      <w:r>
        <w:rPr>
          <w:color w:val="231F20"/>
          <w:spacing w:val="-9"/>
        </w:rPr>
        <w:t xml:space="preserve"> </w:t>
      </w:r>
      <w:r>
        <w:rPr>
          <w:color w:val="231F20"/>
        </w:rPr>
        <w:t>are</w:t>
      </w:r>
      <w:r>
        <w:rPr>
          <w:color w:val="231F20"/>
          <w:spacing w:val="-9"/>
        </w:rPr>
        <w:t xml:space="preserve"> </w:t>
      </w:r>
      <w:r>
        <w:rPr>
          <w:color w:val="231F20"/>
        </w:rPr>
        <w:t>determined</w:t>
      </w:r>
      <w:r>
        <w:rPr>
          <w:color w:val="231F20"/>
          <w:spacing w:val="-9"/>
        </w:rPr>
        <w:t xml:space="preserve"> </w:t>
      </w:r>
      <w:r>
        <w:rPr>
          <w:color w:val="231F20"/>
        </w:rPr>
        <w:t>as</w:t>
      </w:r>
      <w:r>
        <w:rPr>
          <w:color w:val="231F20"/>
          <w:spacing w:val="-8"/>
        </w:rPr>
        <w:t xml:space="preserve"> </w:t>
      </w:r>
      <w:r>
        <w:rPr>
          <w:color w:val="231F20"/>
          <w:spacing w:val="-2"/>
        </w:rPr>
        <w:t>follows:</w:t>
      </w:r>
    </w:p>
    <w:p w14:paraId="3F6E1893" w14:textId="77777777" w:rsidR="00345EE3" w:rsidRDefault="00345EE3" w:rsidP="00752D49">
      <w:pPr>
        <w:pStyle w:val="BodyText"/>
        <w:spacing w:before="117" w:line="242" w:lineRule="auto"/>
        <w:ind w:left="993" w:right="327" w:hanging="993"/>
      </w:pPr>
      <w:r>
        <w:rPr>
          <w:b/>
          <w:color w:val="231F20"/>
        </w:rPr>
        <w:t>Level</w:t>
      </w:r>
      <w:r>
        <w:rPr>
          <w:b/>
          <w:color w:val="231F20"/>
          <w:spacing w:val="-8"/>
        </w:rPr>
        <w:t xml:space="preserve"> </w:t>
      </w:r>
      <w:r>
        <w:rPr>
          <w:b/>
          <w:color w:val="231F20"/>
        </w:rPr>
        <w:t>1</w:t>
      </w:r>
      <w:r>
        <w:rPr>
          <w:b/>
          <w:color w:val="231F20"/>
          <w:spacing w:val="-8"/>
        </w:rPr>
        <w:t xml:space="preserve"> </w:t>
      </w:r>
      <w:r>
        <w:rPr>
          <w:color w:val="231F20"/>
        </w:rPr>
        <w:t>–</w:t>
      </w:r>
      <w:r>
        <w:rPr>
          <w:color w:val="231F20"/>
          <w:spacing w:val="-9"/>
        </w:rPr>
        <w:t xml:space="preserve"> </w:t>
      </w:r>
      <w:r>
        <w:rPr>
          <w:color w:val="231F20"/>
        </w:rPr>
        <w:t>The</w:t>
      </w:r>
      <w:r>
        <w:rPr>
          <w:color w:val="231F20"/>
          <w:spacing w:val="-8"/>
        </w:rPr>
        <w:t xml:space="preserve"> </w:t>
      </w:r>
      <w:r>
        <w:rPr>
          <w:color w:val="231F20"/>
        </w:rPr>
        <w:t>fair</w:t>
      </w:r>
      <w:r>
        <w:rPr>
          <w:color w:val="231F20"/>
          <w:spacing w:val="-8"/>
        </w:rPr>
        <w:t xml:space="preserve"> </w:t>
      </w:r>
      <w:r>
        <w:rPr>
          <w:color w:val="231F20"/>
        </w:rPr>
        <w:t>value</w:t>
      </w:r>
      <w:r>
        <w:rPr>
          <w:color w:val="231F20"/>
          <w:spacing w:val="-8"/>
        </w:rPr>
        <w:t xml:space="preserve"> </w:t>
      </w:r>
      <w:r>
        <w:rPr>
          <w:color w:val="231F20"/>
        </w:rPr>
        <w:t>of</w:t>
      </w:r>
      <w:r>
        <w:rPr>
          <w:color w:val="231F20"/>
          <w:spacing w:val="-8"/>
        </w:rPr>
        <w:t xml:space="preserve"> </w:t>
      </w:r>
      <w:r>
        <w:rPr>
          <w:color w:val="231F20"/>
        </w:rPr>
        <w:t>financial</w:t>
      </w:r>
      <w:r>
        <w:rPr>
          <w:color w:val="231F20"/>
          <w:spacing w:val="-8"/>
        </w:rPr>
        <w:t xml:space="preserve"> </w:t>
      </w:r>
      <w:r>
        <w:rPr>
          <w:color w:val="231F20"/>
        </w:rPr>
        <w:t>instruments</w:t>
      </w:r>
      <w:r>
        <w:rPr>
          <w:color w:val="231F20"/>
          <w:spacing w:val="-8"/>
        </w:rPr>
        <w:t xml:space="preserve"> </w:t>
      </w:r>
      <w:r>
        <w:rPr>
          <w:color w:val="231F20"/>
        </w:rPr>
        <w:t>with</w:t>
      </w:r>
      <w:r>
        <w:rPr>
          <w:color w:val="231F20"/>
          <w:spacing w:val="-8"/>
        </w:rPr>
        <w:t xml:space="preserve"> </w:t>
      </w:r>
      <w:r>
        <w:rPr>
          <w:color w:val="231F20"/>
        </w:rPr>
        <w:t>standard</w:t>
      </w:r>
      <w:r>
        <w:rPr>
          <w:color w:val="231F20"/>
          <w:spacing w:val="-9"/>
        </w:rPr>
        <w:t xml:space="preserve"> </w:t>
      </w:r>
      <w:r>
        <w:rPr>
          <w:color w:val="231F20"/>
        </w:rPr>
        <w:t>terms</w:t>
      </w:r>
      <w:r>
        <w:rPr>
          <w:color w:val="231F20"/>
          <w:spacing w:val="-8"/>
        </w:rPr>
        <w:t xml:space="preserve"> </w:t>
      </w:r>
      <w:r>
        <w:rPr>
          <w:color w:val="231F20"/>
        </w:rPr>
        <w:t>and</w:t>
      </w:r>
      <w:r>
        <w:rPr>
          <w:color w:val="231F20"/>
          <w:spacing w:val="-8"/>
        </w:rPr>
        <w:t xml:space="preserve"> </w:t>
      </w:r>
      <w:r>
        <w:rPr>
          <w:color w:val="231F20"/>
        </w:rPr>
        <w:t>conditions</w:t>
      </w:r>
      <w:r>
        <w:rPr>
          <w:color w:val="231F20"/>
          <w:spacing w:val="-8"/>
        </w:rPr>
        <w:t xml:space="preserve"> </w:t>
      </w:r>
      <w:r>
        <w:rPr>
          <w:color w:val="231F20"/>
        </w:rPr>
        <w:t>and</w:t>
      </w:r>
      <w:r>
        <w:rPr>
          <w:color w:val="231F20"/>
          <w:spacing w:val="-8"/>
        </w:rPr>
        <w:t xml:space="preserve"> </w:t>
      </w:r>
      <w:r>
        <w:rPr>
          <w:color w:val="231F20"/>
        </w:rPr>
        <w:t>traded in active liquid markets are determined with reference to quoted market prices;</w:t>
      </w:r>
    </w:p>
    <w:p w14:paraId="7DB1895A" w14:textId="77777777" w:rsidR="00345EE3" w:rsidRDefault="00345EE3" w:rsidP="00752D49">
      <w:pPr>
        <w:pStyle w:val="BodyText"/>
        <w:spacing w:before="116" w:line="242" w:lineRule="auto"/>
        <w:ind w:left="993" w:right="115" w:hanging="993"/>
      </w:pPr>
      <w:r>
        <w:rPr>
          <w:b/>
          <w:color w:val="231F20"/>
        </w:rPr>
        <w:t>Level</w:t>
      </w:r>
      <w:r>
        <w:rPr>
          <w:b/>
          <w:color w:val="231F20"/>
          <w:spacing w:val="-7"/>
        </w:rPr>
        <w:t xml:space="preserve"> </w:t>
      </w:r>
      <w:r>
        <w:rPr>
          <w:b/>
          <w:color w:val="231F20"/>
        </w:rPr>
        <w:t>2</w:t>
      </w:r>
      <w:r>
        <w:rPr>
          <w:b/>
          <w:color w:val="231F20"/>
          <w:spacing w:val="-8"/>
        </w:rPr>
        <w:t xml:space="preserve"> </w:t>
      </w:r>
      <w:r>
        <w:rPr>
          <w:color w:val="231F20"/>
        </w:rPr>
        <w:t>–</w:t>
      </w:r>
      <w:r>
        <w:rPr>
          <w:color w:val="231F20"/>
          <w:spacing w:val="-8"/>
        </w:rPr>
        <w:t xml:space="preserve"> </w:t>
      </w:r>
      <w:r>
        <w:rPr>
          <w:color w:val="231F20"/>
        </w:rPr>
        <w:t>The</w:t>
      </w:r>
      <w:r>
        <w:rPr>
          <w:color w:val="231F20"/>
          <w:spacing w:val="-8"/>
        </w:rPr>
        <w:t xml:space="preserve"> </w:t>
      </w:r>
      <w:r>
        <w:rPr>
          <w:color w:val="231F20"/>
        </w:rPr>
        <w:t>fair</w:t>
      </w:r>
      <w:r>
        <w:rPr>
          <w:color w:val="231F20"/>
          <w:spacing w:val="-7"/>
        </w:rPr>
        <w:t xml:space="preserve"> </w:t>
      </w:r>
      <w:r>
        <w:rPr>
          <w:color w:val="231F20"/>
        </w:rPr>
        <w:t>value</w:t>
      </w:r>
      <w:r>
        <w:rPr>
          <w:color w:val="231F20"/>
          <w:spacing w:val="-8"/>
        </w:rPr>
        <w:t xml:space="preserve"> </w:t>
      </w:r>
      <w:r>
        <w:rPr>
          <w:color w:val="231F20"/>
        </w:rPr>
        <w:t>is</w:t>
      </w:r>
      <w:r>
        <w:rPr>
          <w:color w:val="231F20"/>
          <w:spacing w:val="-7"/>
        </w:rPr>
        <w:t xml:space="preserve"> </w:t>
      </w:r>
      <w:r>
        <w:rPr>
          <w:color w:val="231F20"/>
        </w:rPr>
        <w:t>determined</w:t>
      </w:r>
      <w:r>
        <w:rPr>
          <w:color w:val="231F20"/>
          <w:spacing w:val="-8"/>
        </w:rPr>
        <w:t xml:space="preserve"> </w:t>
      </w:r>
      <w:r>
        <w:rPr>
          <w:color w:val="231F20"/>
        </w:rPr>
        <w:t>using</w:t>
      </w:r>
      <w:r>
        <w:rPr>
          <w:color w:val="231F20"/>
          <w:spacing w:val="-8"/>
        </w:rPr>
        <w:t xml:space="preserve"> </w:t>
      </w:r>
      <w:r>
        <w:rPr>
          <w:color w:val="231F20"/>
        </w:rPr>
        <w:t>inputs</w:t>
      </w:r>
      <w:r>
        <w:rPr>
          <w:color w:val="231F20"/>
          <w:spacing w:val="-7"/>
        </w:rPr>
        <w:t xml:space="preserve"> </w:t>
      </w:r>
      <w:r>
        <w:rPr>
          <w:color w:val="231F20"/>
        </w:rPr>
        <w:t>other</w:t>
      </w:r>
      <w:r>
        <w:rPr>
          <w:color w:val="231F20"/>
          <w:spacing w:val="-7"/>
        </w:rPr>
        <w:t xml:space="preserve"> </w:t>
      </w:r>
      <w:r>
        <w:rPr>
          <w:color w:val="231F20"/>
        </w:rPr>
        <w:t>than</w:t>
      </w:r>
      <w:r>
        <w:rPr>
          <w:color w:val="231F20"/>
          <w:spacing w:val="-8"/>
        </w:rPr>
        <w:t xml:space="preserve"> </w:t>
      </w:r>
      <w:r>
        <w:rPr>
          <w:color w:val="231F20"/>
        </w:rPr>
        <w:t>quoted</w:t>
      </w:r>
      <w:r>
        <w:rPr>
          <w:color w:val="231F20"/>
          <w:spacing w:val="-8"/>
        </w:rPr>
        <w:t xml:space="preserve"> </w:t>
      </w:r>
      <w:r>
        <w:rPr>
          <w:color w:val="231F20"/>
        </w:rPr>
        <w:t>prices</w:t>
      </w:r>
      <w:r>
        <w:rPr>
          <w:color w:val="231F20"/>
          <w:spacing w:val="-7"/>
        </w:rPr>
        <w:t xml:space="preserve"> </w:t>
      </w:r>
      <w:r>
        <w:rPr>
          <w:color w:val="231F20"/>
        </w:rPr>
        <w:t>that</w:t>
      </w:r>
      <w:r>
        <w:rPr>
          <w:color w:val="231F20"/>
          <w:spacing w:val="-7"/>
        </w:rPr>
        <w:t xml:space="preserve"> </w:t>
      </w:r>
      <w:r>
        <w:rPr>
          <w:color w:val="231F20"/>
        </w:rPr>
        <w:t>are</w:t>
      </w:r>
      <w:r>
        <w:rPr>
          <w:color w:val="231F20"/>
          <w:spacing w:val="-8"/>
        </w:rPr>
        <w:t xml:space="preserve"> </w:t>
      </w:r>
      <w:r>
        <w:rPr>
          <w:color w:val="231F20"/>
        </w:rPr>
        <w:t>observable for the financial asset or liability, either directly or indirectly; and</w:t>
      </w:r>
    </w:p>
    <w:p w14:paraId="1EEF4C9D" w14:textId="77777777" w:rsidR="00345EE3" w:rsidRDefault="00345EE3" w:rsidP="00752D49">
      <w:pPr>
        <w:pStyle w:val="BodyText"/>
        <w:spacing w:before="116" w:line="242" w:lineRule="auto"/>
        <w:ind w:left="993" w:right="115" w:hanging="993"/>
      </w:pPr>
      <w:r>
        <w:rPr>
          <w:b/>
          <w:color w:val="231F20"/>
        </w:rPr>
        <w:t>Level</w:t>
      </w:r>
      <w:r>
        <w:rPr>
          <w:b/>
          <w:color w:val="231F20"/>
          <w:spacing w:val="-7"/>
        </w:rPr>
        <w:t xml:space="preserve"> </w:t>
      </w:r>
      <w:r>
        <w:rPr>
          <w:b/>
          <w:color w:val="231F20"/>
        </w:rPr>
        <w:t>3</w:t>
      </w:r>
      <w:r>
        <w:rPr>
          <w:b/>
          <w:color w:val="231F20"/>
          <w:spacing w:val="-8"/>
        </w:rPr>
        <w:t xml:space="preserve"> </w:t>
      </w:r>
      <w:r>
        <w:rPr>
          <w:color w:val="231F20"/>
        </w:rPr>
        <w:t>–</w:t>
      </w:r>
      <w:r>
        <w:rPr>
          <w:color w:val="231F20"/>
          <w:spacing w:val="-8"/>
        </w:rPr>
        <w:t xml:space="preserve"> </w:t>
      </w:r>
      <w:r>
        <w:rPr>
          <w:color w:val="231F20"/>
        </w:rPr>
        <w:t>The</w:t>
      </w:r>
      <w:r>
        <w:rPr>
          <w:color w:val="231F20"/>
          <w:spacing w:val="-8"/>
        </w:rPr>
        <w:t xml:space="preserve"> </w:t>
      </w:r>
      <w:r>
        <w:rPr>
          <w:color w:val="231F20"/>
        </w:rPr>
        <w:t>fair</w:t>
      </w:r>
      <w:r>
        <w:rPr>
          <w:color w:val="231F20"/>
          <w:spacing w:val="-7"/>
        </w:rPr>
        <w:t xml:space="preserve"> </w:t>
      </w:r>
      <w:r>
        <w:rPr>
          <w:color w:val="231F20"/>
        </w:rPr>
        <w:t>value</w:t>
      </w:r>
      <w:r>
        <w:rPr>
          <w:color w:val="231F20"/>
          <w:spacing w:val="-8"/>
        </w:rPr>
        <w:t xml:space="preserve"> </w:t>
      </w:r>
      <w:r>
        <w:rPr>
          <w:color w:val="231F20"/>
        </w:rPr>
        <w:t>is</w:t>
      </w:r>
      <w:r>
        <w:rPr>
          <w:color w:val="231F20"/>
          <w:spacing w:val="-7"/>
        </w:rPr>
        <w:t xml:space="preserve"> </w:t>
      </w:r>
      <w:r>
        <w:rPr>
          <w:color w:val="231F20"/>
        </w:rPr>
        <w:t>determined</w:t>
      </w:r>
      <w:r>
        <w:rPr>
          <w:color w:val="231F20"/>
          <w:spacing w:val="-8"/>
        </w:rPr>
        <w:t xml:space="preserve"> </w:t>
      </w:r>
      <w:r>
        <w:rPr>
          <w:color w:val="231F20"/>
        </w:rPr>
        <w:t>in</w:t>
      </w:r>
      <w:r>
        <w:rPr>
          <w:color w:val="231F20"/>
          <w:spacing w:val="-8"/>
        </w:rPr>
        <w:t xml:space="preserve"> </w:t>
      </w:r>
      <w:r>
        <w:rPr>
          <w:color w:val="231F20"/>
        </w:rPr>
        <w:t>accordance</w:t>
      </w:r>
      <w:r>
        <w:rPr>
          <w:color w:val="231F20"/>
          <w:spacing w:val="-8"/>
        </w:rPr>
        <w:t xml:space="preserve"> </w:t>
      </w:r>
      <w:r>
        <w:rPr>
          <w:color w:val="231F20"/>
        </w:rPr>
        <w:t>with</w:t>
      </w:r>
      <w:r>
        <w:rPr>
          <w:color w:val="231F20"/>
          <w:spacing w:val="-8"/>
        </w:rPr>
        <w:t xml:space="preserve"> </w:t>
      </w:r>
      <w:r>
        <w:rPr>
          <w:color w:val="231F20"/>
        </w:rPr>
        <w:t>generally</w:t>
      </w:r>
      <w:r>
        <w:rPr>
          <w:color w:val="231F20"/>
          <w:spacing w:val="-7"/>
        </w:rPr>
        <w:t xml:space="preserve"> </w:t>
      </w:r>
      <w:r>
        <w:rPr>
          <w:color w:val="231F20"/>
        </w:rPr>
        <w:t>accepted</w:t>
      </w:r>
      <w:r>
        <w:rPr>
          <w:color w:val="231F20"/>
          <w:spacing w:val="-8"/>
        </w:rPr>
        <w:t xml:space="preserve"> </w:t>
      </w:r>
      <w:r>
        <w:rPr>
          <w:color w:val="231F20"/>
        </w:rPr>
        <w:t>pricing</w:t>
      </w:r>
      <w:r>
        <w:rPr>
          <w:color w:val="231F20"/>
          <w:spacing w:val="-8"/>
        </w:rPr>
        <w:t xml:space="preserve"> </w:t>
      </w:r>
      <w:r>
        <w:rPr>
          <w:color w:val="231F20"/>
        </w:rPr>
        <w:t>models based on discounted cash flow analysis using unobservable market inputs.</w:t>
      </w:r>
    </w:p>
    <w:p w14:paraId="5D5AF3E2" w14:textId="77777777" w:rsidR="00345EE3" w:rsidRDefault="00345EE3" w:rsidP="00345EE3">
      <w:pPr>
        <w:rPr>
          <w:color w:val="231F20"/>
          <w:sz w:val="24"/>
          <w:szCs w:val="24"/>
        </w:rPr>
      </w:pPr>
      <w:r>
        <w:rPr>
          <w:color w:val="231F20"/>
        </w:rPr>
        <w:br w:type="page"/>
      </w:r>
    </w:p>
    <w:p w14:paraId="054AFE92" w14:textId="77777777" w:rsidR="00345EE3" w:rsidRDefault="00345EE3" w:rsidP="00345EE3">
      <w:pPr>
        <w:pStyle w:val="BodyText"/>
        <w:spacing w:before="116"/>
        <w:rPr>
          <w:color w:val="231F20"/>
        </w:rPr>
      </w:pPr>
      <w:r>
        <w:rPr>
          <w:color w:val="231F20"/>
        </w:rPr>
        <w:t>Victoria</w:t>
      </w:r>
      <w:r>
        <w:rPr>
          <w:color w:val="231F20"/>
          <w:spacing w:val="-12"/>
        </w:rPr>
        <w:t xml:space="preserve"> </w:t>
      </w:r>
      <w:r>
        <w:rPr>
          <w:color w:val="231F20"/>
        </w:rPr>
        <w:t>Police</w:t>
      </w:r>
      <w:r>
        <w:rPr>
          <w:color w:val="231F20"/>
          <w:spacing w:val="-9"/>
        </w:rPr>
        <w:t xml:space="preserve"> </w:t>
      </w:r>
      <w:r>
        <w:rPr>
          <w:color w:val="231F20"/>
        </w:rPr>
        <w:t>currently</w:t>
      </w:r>
      <w:r>
        <w:rPr>
          <w:color w:val="231F20"/>
          <w:spacing w:val="-8"/>
        </w:rPr>
        <w:t xml:space="preserve"> </w:t>
      </w:r>
      <w:r>
        <w:rPr>
          <w:color w:val="231F20"/>
        </w:rPr>
        <w:t>holds</w:t>
      </w:r>
      <w:r>
        <w:rPr>
          <w:color w:val="231F20"/>
          <w:spacing w:val="-8"/>
        </w:rPr>
        <w:t xml:space="preserve"> </w:t>
      </w:r>
      <w:r>
        <w:rPr>
          <w:color w:val="231F20"/>
        </w:rPr>
        <w:t>Level</w:t>
      </w:r>
      <w:r>
        <w:rPr>
          <w:color w:val="231F20"/>
          <w:spacing w:val="-10"/>
        </w:rPr>
        <w:t xml:space="preserve"> </w:t>
      </w:r>
      <w:r>
        <w:rPr>
          <w:color w:val="231F20"/>
        </w:rPr>
        <w:t>1</w:t>
      </w:r>
      <w:r>
        <w:rPr>
          <w:color w:val="231F20"/>
          <w:spacing w:val="-9"/>
        </w:rPr>
        <w:t xml:space="preserve"> </w:t>
      </w:r>
      <w:r>
        <w:rPr>
          <w:color w:val="231F20"/>
        </w:rPr>
        <w:t>financial</w:t>
      </w:r>
      <w:r>
        <w:rPr>
          <w:color w:val="231F20"/>
          <w:spacing w:val="-9"/>
        </w:rPr>
        <w:t xml:space="preserve"> </w:t>
      </w:r>
      <w:r>
        <w:rPr>
          <w:color w:val="231F20"/>
        </w:rPr>
        <w:t>instruments.</w:t>
      </w:r>
      <w:r>
        <w:rPr>
          <w:color w:val="231F20"/>
          <w:spacing w:val="-8"/>
        </w:rPr>
        <w:t xml:space="preserve"> </w:t>
      </w:r>
      <w:r>
        <w:rPr>
          <w:color w:val="231F20"/>
        </w:rPr>
        <w:t>We</w:t>
      </w:r>
      <w:r>
        <w:rPr>
          <w:color w:val="231F20"/>
          <w:spacing w:val="-10"/>
        </w:rPr>
        <w:t xml:space="preserve"> </w:t>
      </w:r>
      <w:r>
        <w:rPr>
          <w:color w:val="231F20"/>
        </w:rPr>
        <w:t>consider</w:t>
      </w:r>
      <w:r>
        <w:rPr>
          <w:color w:val="231F20"/>
          <w:spacing w:val="-8"/>
        </w:rPr>
        <w:t xml:space="preserve"> </w:t>
      </w:r>
      <w:r>
        <w:rPr>
          <w:color w:val="231F20"/>
        </w:rPr>
        <w:t>the</w:t>
      </w:r>
      <w:r>
        <w:rPr>
          <w:color w:val="231F20"/>
          <w:spacing w:val="-9"/>
        </w:rPr>
        <w:t xml:space="preserve"> </w:t>
      </w:r>
      <w:r>
        <w:rPr>
          <w:color w:val="231F20"/>
        </w:rPr>
        <w:t>carrying</w:t>
      </w:r>
      <w:r>
        <w:rPr>
          <w:color w:val="231F20"/>
          <w:spacing w:val="-9"/>
        </w:rPr>
        <w:t xml:space="preserve"> </w:t>
      </w:r>
      <w:r>
        <w:rPr>
          <w:color w:val="231F20"/>
        </w:rPr>
        <w:t>amount</w:t>
      </w:r>
      <w:r>
        <w:rPr>
          <w:color w:val="231F20"/>
          <w:spacing w:val="-8"/>
        </w:rPr>
        <w:t xml:space="preserve"> </w:t>
      </w:r>
      <w:r>
        <w:rPr>
          <w:color w:val="231F20"/>
          <w:spacing w:val="-5"/>
        </w:rPr>
        <w:t xml:space="preserve">of </w:t>
      </w:r>
      <w:r>
        <w:rPr>
          <w:color w:val="231F20"/>
        </w:rPr>
        <w:t>financial assets and financial liabilities recorded in the financial report to be a fair approximation of their fair value, because of the short-term nature of the financial instruments and the expectation</w:t>
      </w:r>
      <w:r>
        <w:rPr>
          <w:color w:val="231F20"/>
          <w:spacing w:val="-7"/>
        </w:rPr>
        <w:t xml:space="preserve"> </w:t>
      </w:r>
      <w:r>
        <w:rPr>
          <w:color w:val="231F20"/>
        </w:rPr>
        <w:t>that</w:t>
      </w:r>
      <w:r>
        <w:rPr>
          <w:color w:val="231F20"/>
          <w:spacing w:val="-7"/>
        </w:rPr>
        <w:t xml:space="preserve"> </w:t>
      </w:r>
      <w:r>
        <w:rPr>
          <w:color w:val="231F20"/>
        </w:rPr>
        <w:t>they</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paid</w:t>
      </w:r>
      <w:r>
        <w:rPr>
          <w:color w:val="231F20"/>
          <w:spacing w:val="-7"/>
        </w:rPr>
        <w:t xml:space="preserve"> </w:t>
      </w:r>
      <w:r>
        <w:rPr>
          <w:color w:val="231F20"/>
        </w:rPr>
        <w:t>in</w:t>
      </w:r>
      <w:r>
        <w:rPr>
          <w:color w:val="231F20"/>
          <w:spacing w:val="-7"/>
        </w:rPr>
        <w:t xml:space="preserve"> </w:t>
      </w:r>
      <w:r>
        <w:rPr>
          <w:color w:val="231F20"/>
        </w:rPr>
        <w:t>full</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end</w:t>
      </w:r>
      <w:r>
        <w:rPr>
          <w:color w:val="231F20"/>
          <w:spacing w:val="-7"/>
        </w:rPr>
        <w:t xml:space="preserve"> </w:t>
      </w:r>
      <w:r>
        <w:rPr>
          <w:color w:val="231F20"/>
        </w:rPr>
        <w:t>of</w:t>
      </w:r>
      <w:r>
        <w:rPr>
          <w:color w:val="231F20"/>
          <w:spacing w:val="-7"/>
        </w:rPr>
        <w:t xml:space="preserve"> </w:t>
      </w:r>
      <w:r>
        <w:rPr>
          <w:color w:val="231F20"/>
        </w:rPr>
        <w:t>2022–23</w:t>
      </w:r>
      <w:r>
        <w:rPr>
          <w:color w:val="231F20"/>
          <w:spacing w:val="-7"/>
        </w:rPr>
        <w:t xml:space="preserve"> </w:t>
      </w:r>
      <w:r>
        <w:rPr>
          <w:color w:val="231F20"/>
        </w:rPr>
        <w:t>reporting</w:t>
      </w:r>
      <w:r>
        <w:rPr>
          <w:color w:val="231F20"/>
          <w:spacing w:val="-7"/>
        </w:rPr>
        <w:t xml:space="preserve"> </w:t>
      </w:r>
      <w:r>
        <w:rPr>
          <w:color w:val="231F20"/>
        </w:rPr>
        <w:t>period</w:t>
      </w:r>
      <w:r>
        <w:rPr>
          <w:color w:val="231F20"/>
          <w:spacing w:val="-7"/>
        </w:rPr>
        <w:t xml:space="preserve"> </w:t>
      </w:r>
      <w:r>
        <w:rPr>
          <w:color w:val="231F20"/>
        </w:rPr>
        <w:t>with</w:t>
      </w:r>
      <w:r>
        <w:rPr>
          <w:color w:val="231F20"/>
          <w:spacing w:val="-7"/>
        </w:rPr>
        <w:t xml:space="preserve"> </w:t>
      </w:r>
      <w:r>
        <w:rPr>
          <w:color w:val="231F20"/>
        </w:rPr>
        <w:t>the</w:t>
      </w:r>
      <w:r>
        <w:rPr>
          <w:color w:val="231F20"/>
          <w:spacing w:val="-7"/>
        </w:rPr>
        <w:t xml:space="preserve"> </w:t>
      </w:r>
      <w:r>
        <w:rPr>
          <w:color w:val="231F20"/>
        </w:rPr>
        <w:t>exception of derivative financial instruments and borrowings.</w:t>
      </w:r>
    </w:p>
    <w:p w14:paraId="2914D5DF" w14:textId="77777777" w:rsidR="00345EE3" w:rsidRDefault="00345EE3" w:rsidP="00345EE3">
      <w:pPr>
        <w:pStyle w:val="VicPol-BodytextB4Bullet-2022Bodytext"/>
        <w:spacing w:before="240" w:after="120"/>
        <w:ind w:left="142"/>
      </w:pPr>
      <w:r>
        <w:t>These financial instruments include:</w:t>
      </w:r>
    </w:p>
    <w:tbl>
      <w:tblPr>
        <w:tblW w:w="0" w:type="auto"/>
        <w:tblInd w:w="156" w:type="dxa"/>
        <w:tblLayout w:type="fixed"/>
        <w:tblCellMar>
          <w:left w:w="0" w:type="dxa"/>
          <w:right w:w="0" w:type="dxa"/>
        </w:tblCellMar>
        <w:tblLook w:val="0000" w:firstRow="0" w:lastRow="0" w:firstColumn="0" w:lastColumn="0" w:noHBand="0" w:noVBand="0"/>
      </w:tblPr>
      <w:tblGrid>
        <w:gridCol w:w="5102"/>
        <w:gridCol w:w="5103"/>
      </w:tblGrid>
      <w:tr w:rsidR="00345EE3" w:rsidRPr="00F712EA" w14:paraId="6C9D339B" w14:textId="77777777" w:rsidTr="00D73130">
        <w:trPr>
          <w:trHeight w:val="60"/>
          <w:tblHeader/>
        </w:trPr>
        <w:tc>
          <w:tcPr>
            <w:tcW w:w="5102" w:type="dxa"/>
            <w:tcBorders>
              <w:top w:val="single" w:sz="4" w:space="0" w:color="000000"/>
              <w:left w:val="single" w:sz="6" w:space="0" w:color="9D9C9C"/>
              <w:bottom w:val="single" w:sz="8" w:space="0" w:color="000000"/>
              <w:right w:val="single" w:sz="6" w:space="0" w:color="9D9C9C"/>
            </w:tcBorders>
            <w:tcMar>
              <w:top w:w="113" w:type="dxa"/>
              <w:left w:w="14" w:type="dxa"/>
              <w:bottom w:w="113" w:type="dxa"/>
              <w:right w:w="14" w:type="dxa"/>
            </w:tcMar>
          </w:tcPr>
          <w:p w14:paraId="1F5D93A5"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Financial Assets</w:t>
            </w:r>
          </w:p>
        </w:tc>
        <w:tc>
          <w:tcPr>
            <w:tcW w:w="5103" w:type="dxa"/>
            <w:tcBorders>
              <w:top w:val="single" w:sz="4" w:space="0" w:color="000000"/>
              <w:left w:val="single" w:sz="6" w:space="0" w:color="9D9C9C"/>
              <w:bottom w:val="single" w:sz="8" w:space="0" w:color="000000"/>
              <w:right w:val="single" w:sz="6" w:space="0" w:color="9D9C9C"/>
            </w:tcBorders>
            <w:tcMar>
              <w:top w:w="113" w:type="dxa"/>
              <w:left w:w="14" w:type="dxa"/>
              <w:bottom w:w="113" w:type="dxa"/>
              <w:right w:w="14" w:type="dxa"/>
            </w:tcMar>
          </w:tcPr>
          <w:p w14:paraId="63F5ED4B"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Financial Liabilities</w:t>
            </w:r>
          </w:p>
        </w:tc>
      </w:tr>
      <w:tr w:rsidR="00345EE3" w:rsidRPr="00F712EA" w14:paraId="4E8F5EE4" w14:textId="77777777" w:rsidTr="00D73130">
        <w:trPr>
          <w:trHeight w:val="60"/>
        </w:trPr>
        <w:tc>
          <w:tcPr>
            <w:tcW w:w="5102" w:type="dxa"/>
            <w:tcBorders>
              <w:top w:val="single" w:sz="2" w:space="0" w:color="9D9C9C"/>
              <w:left w:val="single" w:sz="6" w:space="0" w:color="000000"/>
              <w:bottom w:val="single" w:sz="4" w:space="0" w:color="000000"/>
              <w:right w:val="single" w:sz="6" w:space="0" w:color="9D9C9C"/>
            </w:tcBorders>
            <w:tcMar>
              <w:top w:w="113" w:type="dxa"/>
              <w:left w:w="14" w:type="dxa"/>
              <w:bottom w:w="113" w:type="dxa"/>
              <w:right w:w="14" w:type="dxa"/>
            </w:tcMar>
          </w:tcPr>
          <w:p w14:paraId="65D1A795"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Cash and deposits</w:t>
            </w:r>
          </w:p>
          <w:p w14:paraId="3716FD16"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Receivables: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Sales of goods and services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Other receivables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Derivative financial instrument</w:t>
            </w:r>
            <w:r w:rsidRPr="00F712EA">
              <w:rPr>
                <w:rFonts w:eastAsiaTheme="minorHAnsi"/>
                <w:color w:val="000000"/>
                <w:sz w:val="24"/>
                <w:szCs w:val="24"/>
                <w:lang w:val="en-GB"/>
              </w:rPr>
              <w:br/>
              <w:t>Investment and other contractual assets: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Term deposits</w:t>
            </w:r>
          </w:p>
        </w:tc>
        <w:tc>
          <w:tcPr>
            <w:tcW w:w="5103" w:type="dxa"/>
            <w:tcBorders>
              <w:top w:val="single" w:sz="2" w:space="0" w:color="9D9C9C"/>
              <w:left w:val="single" w:sz="6" w:space="0" w:color="9D9C9C"/>
              <w:bottom w:val="single" w:sz="4" w:space="0" w:color="000000"/>
              <w:right w:val="single" w:sz="6" w:space="0" w:color="9D9C9C"/>
            </w:tcBorders>
            <w:tcMar>
              <w:top w:w="113" w:type="dxa"/>
              <w:left w:w="14" w:type="dxa"/>
              <w:bottom w:w="113" w:type="dxa"/>
              <w:right w:w="14" w:type="dxa"/>
            </w:tcMar>
          </w:tcPr>
          <w:p w14:paraId="07F7F56F"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Payables: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Purchase of supplies and services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Amounts payable to government and agencies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Other payables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Derivative financial instrument</w:t>
            </w:r>
          </w:p>
        </w:tc>
      </w:tr>
    </w:tbl>
    <w:p w14:paraId="6D383A2D" w14:textId="77777777" w:rsidR="00345EE3" w:rsidRDefault="00345EE3" w:rsidP="00345EE3">
      <w:pPr>
        <w:pStyle w:val="BodyText"/>
        <w:spacing w:before="119"/>
      </w:pPr>
    </w:p>
    <w:p w14:paraId="211CB906" w14:textId="77777777" w:rsidR="00345EE3" w:rsidRDefault="00345EE3" w:rsidP="00345EE3">
      <w:pPr>
        <w:rPr>
          <w:sz w:val="24"/>
          <w:szCs w:val="24"/>
        </w:rPr>
      </w:pPr>
      <w:r>
        <w:br w:type="page"/>
      </w:r>
    </w:p>
    <w:p w14:paraId="65F2EB93" w14:textId="77777777" w:rsidR="00345EE3" w:rsidRPr="00672E89" w:rsidRDefault="00345EE3">
      <w:pPr>
        <w:pStyle w:val="Heading5"/>
        <w:numPr>
          <w:ilvl w:val="2"/>
          <w:numId w:val="12"/>
        </w:numPr>
        <w:tabs>
          <w:tab w:val="left" w:pos="711"/>
        </w:tabs>
        <w:spacing w:before="0" w:line="343" w:lineRule="auto"/>
        <w:ind w:left="110" w:right="3302" w:firstLine="0"/>
        <w:rPr>
          <w:color w:val="000000" w:themeColor="text1"/>
          <w:sz w:val="14"/>
        </w:rPr>
      </w:pPr>
      <w:r w:rsidRPr="00672E89">
        <w:rPr>
          <w:color w:val="000000" w:themeColor="text1"/>
          <w:spacing w:val="-11"/>
        </w:rPr>
        <w:t xml:space="preserve"> </w:t>
      </w:r>
      <w:r w:rsidRPr="00672E89">
        <w:rPr>
          <w:color w:val="000000" w:themeColor="text1"/>
        </w:rPr>
        <w:t>Determination:</w:t>
      </w:r>
      <w:r w:rsidRPr="00672E89">
        <w:rPr>
          <w:color w:val="000000" w:themeColor="text1"/>
          <w:spacing w:val="-11"/>
        </w:rPr>
        <w:t xml:space="preserve"> </w:t>
      </w:r>
      <w:r w:rsidRPr="00672E89">
        <w:rPr>
          <w:color w:val="000000" w:themeColor="text1"/>
        </w:rPr>
        <w:t>Non-Financial</w:t>
      </w:r>
      <w:r w:rsidRPr="00672E89">
        <w:rPr>
          <w:color w:val="000000" w:themeColor="text1"/>
          <w:spacing w:val="-11"/>
        </w:rPr>
        <w:t xml:space="preserve"> </w:t>
      </w:r>
      <w:r w:rsidRPr="00672E89">
        <w:rPr>
          <w:color w:val="000000" w:themeColor="text1"/>
        </w:rPr>
        <w:t>Physical</w:t>
      </w:r>
      <w:r w:rsidRPr="00672E89">
        <w:rPr>
          <w:color w:val="000000" w:themeColor="text1"/>
          <w:spacing w:val="-17"/>
        </w:rPr>
        <w:t xml:space="preserve"> </w:t>
      </w:r>
      <w:r w:rsidRPr="00672E89">
        <w:rPr>
          <w:color w:val="000000" w:themeColor="text1"/>
        </w:rPr>
        <w:t>Assets Fair Value Measurement Hierarchy</w:t>
      </w:r>
      <w:r w:rsidRPr="00672E89">
        <w:rPr>
          <w:color w:val="000000" w:themeColor="text1"/>
          <w:spacing w:val="-8"/>
        </w:rPr>
        <w:t xml:space="preserve"> </w:t>
      </w:r>
      <w:r w:rsidRPr="00672E89">
        <w:rPr>
          <w:color w:val="000000" w:themeColor="text1"/>
          <w:position w:val="8"/>
          <w:sz w:val="14"/>
        </w:rPr>
        <w:t>(a)</w:t>
      </w:r>
    </w:p>
    <w:tbl>
      <w:tblPr>
        <w:tblW w:w="0" w:type="auto"/>
        <w:tblInd w:w="156" w:type="dxa"/>
        <w:tblLayout w:type="fixed"/>
        <w:tblCellMar>
          <w:left w:w="0" w:type="dxa"/>
          <w:right w:w="0" w:type="dxa"/>
        </w:tblCellMar>
        <w:tblLook w:val="0000" w:firstRow="0" w:lastRow="0" w:firstColumn="0" w:lastColumn="0" w:noHBand="0" w:noVBand="0"/>
      </w:tblPr>
      <w:tblGrid>
        <w:gridCol w:w="4535"/>
        <w:gridCol w:w="1134"/>
        <w:gridCol w:w="1134"/>
        <w:gridCol w:w="1134"/>
        <w:gridCol w:w="1134"/>
        <w:gridCol w:w="1134"/>
      </w:tblGrid>
      <w:tr w:rsidR="00345EE3" w:rsidRPr="00F712EA" w14:paraId="618E8093" w14:textId="77777777" w:rsidTr="00D73130">
        <w:trPr>
          <w:trHeight w:val="60"/>
          <w:tblHeader/>
        </w:trPr>
        <w:tc>
          <w:tcPr>
            <w:tcW w:w="10205" w:type="dxa"/>
            <w:gridSpan w:val="6"/>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334462C9"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 thousand)</w:t>
            </w:r>
          </w:p>
        </w:tc>
      </w:tr>
      <w:tr w:rsidR="00345EE3" w:rsidRPr="00F712EA" w14:paraId="0E43B582" w14:textId="77777777" w:rsidTr="00D73130">
        <w:trPr>
          <w:trHeight w:val="60"/>
          <w:tblHeader/>
        </w:trPr>
        <w:tc>
          <w:tcPr>
            <w:tcW w:w="4535"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2E77326"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4395A49"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749886C"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Carrying Amount as at 30 June 2022</w:t>
            </w:r>
          </w:p>
        </w:tc>
        <w:tc>
          <w:tcPr>
            <w:tcW w:w="3402"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3B037246" w14:textId="77777777" w:rsidR="00345EE3" w:rsidRPr="00F712EA"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 xml:space="preserve">Fair Value Measurement at </w:t>
            </w:r>
            <w:r w:rsidRPr="00F712EA">
              <w:rPr>
                <w:rFonts w:eastAsiaTheme="minorHAnsi"/>
                <w:b/>
                <w:bCs/>
                <w:color w:val="FFFFFF"/>
                <w:spacing w:val="-2"/>
                <w:sz w:val="24"/>
                <w:szCs w:val="24"/>
                <w:lang w:val="en-GB"/>
              </w:rPr>
              <w:br/>
              <w:t>End of Reporting Period Using:</w:t>
            </w:r>
          </w:p>
        </w:tc>
      </w:tr>
      <w:tr w:rsidR="00345EE3" w:rsidRPr="00F712EA" w14:paraId="18529658" w14:textId="77777777" w:rsidTr="00D73130">
        <w:trPr>
          <w:trHeight w:val="60"/>
          <w:tblHeader/>
        </w:trPr>
        <w:tc>
          <w:tcPr>
            <w:tcW w:w="4535"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696FA0B"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9034C3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Note</w:t>
            </w: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E8FBA1E"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AE3C62C"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Level 1</w:t>
            </w:r>
            <w:r w:rsidRPr="00F712EA">
              <w:rPr>
                <w:rFonts w:eastAsiaTheme="minorHAnsi"/>
                <w:b/>
                <w:bCs/>
                <w:color w:val="FFFFFF"/>
                <w:spacing w:val="-2"/>
                <w:sz w:val="24"/>
                <w:szCs w:val="24"/>
                <w:vertAlign w:val="superscript"/>
                <w:lang w:val="en-GB"/>
              </w:rPr>
              <w:t xml:space="preserve"> (a)</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F366571"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Level 2</w:t>
            </w:r>
            <w:r w:rsidRPr="00F712EA">
              <w:rPr>
                <w:rFonts w:eastAsiaTheme="minorHAnsi"/>
                <w:b/>
                <w:bCs/>
                <w:color w:val="FFFFFF"/>
                <w:spacing w:val="-2"/>
                <w:sz w:val="24"/>
                <w:szCs w:val="24"/>
                <w:vertAlign w:val="superscript"/>
                <w:lang w:val="en-GB"/>
              </w:rPr>
              <w:t xml:space="preserve"> (a)</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74DE899F"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Level 3</w:t>
            </w:r>
            <w:r w:rsidRPr="00F712EA">
              <w:rPr>
                <w:rFonts w:eastAsiaTheme="minorHAnsi"/>
                <w:b/>
                <w:bCs/>
                <w:color w:val="FFFFFF"/>
                <w:spacing w:val="-2"/>
                <w:sz w:val="24"/>
                <w:szCs w:val="24"/>
                <w:vertAlign w:val="superscript"/>
                <w:lang w:val="en-GB"/>
              </w:rPr>
              <w:t xml:space="preserve"> (a)</w:t>
            </w:r>
          </w:p>
        </w:tc>
      </w:tr>
      <w:tr w:rsidR="00345EE3" w:rsidRPr="00F712EA" w14:paraId="1D464E5D" w14:textId="77777777" w:rsidTr="00D73130">
        <w:trPr>
          <w:trHeight w:val="60"/>
        </w:trPr>
        <w:tc>
          <w:tcPr>
            <w:tcW w:w="4535"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335E71EE"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2022</w:t>
            </w: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494587A2"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0B713955"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11B11F70"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530FCFF2"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20A962F7" w14:textId="77777777" w:rsidR="00345EE3" w:rsidRPr="00F712EA" w:rsidRDefault="00345EE3" w:rsidP="00D73130">
            <w:pPr>
              <w:widowControl/>
              <w:adjustRightInd w:val="0"/>
              <w:rPr>
                <w:rFonts w:eastAsiaTheme="minorHAnsi"/>
                <w:sz w:val="24"/>
                <w:szCs w:val="24"/>
                <w:lang w:val="en-GB"/>
              </w:rPr>
            </w:pPr>
          </w:p>
        </w:tc>
      </w:tr>
      <w:tr w:rsidR="00345EE3" w:rsidRPr="00F712EA" w14:paraId="6D892715" w14:textId="77777777" w:rsidTr="00D73130">
        <w:trPr>
          <w:trHeight w:val="60"/>
        </w:trPr>
        <w:tc>
          <w:tcPr>
            <w:tcW w:w="4535"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2D38F4D7"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Crown Land and Land at Fair Value</w:t>
            </w: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7D15B8A3"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5951EE"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A8F619"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F5E05F"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DAD5456" w14:textId="77777777" w:rsidR="00345EE3" w:rsidRPr="00F712EA" w:rsidRDefault="00345EE3" w:rsidP="00D73130">
            <w:pPr>
              <w:widowControl/>
              <w:adjustRightInd w:val="0"/>
              <w:rPr>
                <w:rFonts w:eastAsiaTheme="minorHAnsi"/>
                <w:sz w:val="24"/>
                <w:szCs w:val="24"/>
                <w:lang w:val="en-GB"/>
              </w:rPr>
            </w:pPr>
          </w:p>
        </w:tc>
      </w:tr>
      <w:tr w:rsidR="00345EE3" w:rsidRPr="00F712EA" w14:paraId="0537901F"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1AD382E"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Non-specialised land</w:t>
            </w:r>
            <w:r w:rsidRPr="00F712EA">
              <w:rPr>
                <w:rFonts w:eastAsiaTheme="minorHAnsi"/>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5117C0"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08EED4"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25,220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0BEF8D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95CD798"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25,220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9C7E8B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r>
      <w:tr w:rsidR="00345EE3" w:rsidRPr="00F712EA" w14:paraId="3BF73572"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3FA0AE6F"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Specialised land</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1250A282"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A7701F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646,905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292FEB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C420C0A"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6CD4D4DE"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646,905 </w:t>
            </w:r>
          </w:p>
        </w:tc>
      </w:tr>
      <w:tr w:rsidR="00345EE3" w:rsidRPr="00F712EA" w14:paraId="7AD87A34" w14:textId="77777777" w:rsidTr="00D73130">
        <w:trPr>
          <w:trHeight w:val="60"/>
        </w:trPr>
        <w:tc>
          <w:tcPr>
            <w:tcW w:w="4535"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15CA265E"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Total of Crown Land at Fair Value</w:t>
            </w: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072E905C"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064D358"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672,125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70C9A1A"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980CE0F"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25,220 </w:t>
            </w:r>
          </w:p>
        </w:tc>
        <w:tc>
          <w:tcPr>
            <w:tcW w:w="1134" w:type="dxa"/>
            <w:tcBorders>
              <w:top w:val="single" w:sz="4"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D6DDD87"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646,905 </w:t>
            </w:r>
          </w:p>
        </w:tc>
      </w:tr>
      <w:tr w:rsidR="00345EE3" w:rsidRPr="00F712EA" w14:paraId="6E48F6F0"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DD507F6"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Buildings at Fair Value</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9F57EF"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BFD576D"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0F9DC8"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F24C971"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150A7F9" w14:textId="77777777" w:rsidR="00345EE3" w:rsidRPr="00F712EA" w:rsidRDefault="00345EE3" w:rsidP="00D73130">
            <w:pPr>
              <w:widowControl/>
              <w:adjustRightInd w:val="0"/>
              <w:rPr>
                <w:rFonts w:eastAsiaTheme="minorHAnsi"/>
                <w:sz w:val="24"/>
                <w:szCs w:val="24"/>
                <w:lang w:val="en-GB"/>
              </w:rPr>
            </w:pPr>
          </w:p>
        </w:tc>
      </w:tr>
      <w:tr w:rsidR="00345EE3" w:rsidRPr="00F712EA" w14:paraId="19DCD4F4"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0363C38"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Non-specialised buildings</w:t>
            </w:r>
            <w:r w:rsidRPr="00F712EA">
              <w:rPr>
                <w:rFonts w:eastAsiaTheme="minorHAnsi"/>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B0DA87"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ABC5101"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35,764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7C3AB3"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E4CCBB"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35,764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98EE46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r>
      <w:tr w:rsidR="00345EE3" w:rsidRPr="00F712EA" w14:paraId="76041B06"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7E25B73"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Specialised buildings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DB1734"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D160A38"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2,278,412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192E880"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BEE4E63"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0422EA4"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2,278,412 </w:t>
            </w:r>
          </w:p>
        </w:tc>
      </w:tr>
      <w:tr w:rsidR="00345EE3" w:rsidRPr="00F712EA" w14:paraId="61A5F89B"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68DA008"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Heritage assets</w:t>
            </w:r>
            <w:r w:rsidRPr="00F712EA">
              <w:rPr>
                <w:rFonts w:eastAsiaTheme="minorHAnsi"/>
                <w:color w:val="000000"/>
                <w:sz w:val="24"/>
                <w:szCs w:val="24"/>
                <w:vertAlign w:val="superscript"/>
                <w:lang w:val="en-GB"/>
              </w:rPr>
              <w:t xml:space="preserve"> (c)</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410748"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C12DB9"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64,241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03E08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0C8ADF3"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DC60B2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64,241 </w:t>
            </w:r>
          </w:p>
        </w:tc>
      </w:tr>
      <w:tr w:rsidR="00345EE3" w:rsidRPr="00F712EA" w14:paraId="00B47520"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373F49D2"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Leasehold improvement</w:t>
            </w:r>
            <w:r w:rsidRPr="00F712EA">
              <w:rPr>
                <w:rFonts w:eastAsiaTheme="minorHAnsi"/>
                <w:color w:val="000000"/>
                <w:sz w:val="24"/>
                <w:szCs w:val="24"/>
                <w:vertAlign w:val="superscript"/>
                <w:lang w:val="en-GB"/>
              </w:rPr>
              <w:t xml:space="preserve"> (d)</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11FFCC44"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D4C116A"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196,942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A44D8A4"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E37C9D9"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0D473B23"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196,942 </w:t>
            </w:r>
          </w:p>
        </w:tc>
      </w:tr>
      <w:tr w:rsidR="00345EE3" w:rsidRPr="00F712EA" w14:paraId="7BF52D13" w14:textId="77777777" w:rsidTr="00D73130">
        <w:trPr>
          <w:trHeight w:val="60"/>
        </w:trPr>
        <w:tc>
          <w:tcPr>
            <w:tcW w:w="4535"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25FE0413"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Total of Buildings at Fair Value</w:t>
            </w: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1CEF1044"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A4FCAFF"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2,575,359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2B630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81EEB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35,764 </w:t>
            </w:r>
          </w:p>
        </w:tc>
        <w:tc>
          <w:tcPr>
            <w:tcW w:w="1134" w:type="dxa"/>
            <w:tcBorders>
              <w:top w:val="single" w:sz="4"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4AF163E"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2,539,595 </w:t>
            </w:r>
          </w:p>
        </w:tc>
      </w:tr>
      <w:tr w:rsidR="00345EE3" w:rsidRPr="00F712EA" w14:paraId="6A780D40"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7CF291E"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Plant, Equipment and Vehicles at Fair Value</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691713"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A71011"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F201FB0"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E6C6FAB"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104A699" w14:textId="77777777" w:rsidR="00345EE3" w:rsidRPr="00F712EA" w:rsidRDefault="00345EE3" w:rsidP="00D73130">
            <w:pPr>
              <w:widowControl/>
              <w:adjustRightInd w:val="0"/>
              <w:rPr>
                <w:rFonts w:eastAsiaTheme="minorHAnsi"/>
                <w:sz w:val="24"/>
                <w:szCs w:val="24"/>
                <w:lang w:val="en-GB"/>
              </w:rPr>
            </w:pPr>
          </w:p>
        </w:tc>
      </w:tr>
      <w:tr w:rsidR="00345EE3" w:rsidRPr="00F712EA" w14:paraId="30B9A2A6"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1AA15001"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Plant and equipment</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39870497"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BC7E09D"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361,788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E008CA7"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6209D30"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6C3B0EF4"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361,788 </w:t>
            </w:r>
          </w:p>
        </w:tc>
      </w:tr>
      <w:tr w:rsidR="00345EE3" w:rsidRPr="00F712EA" w14:paraId="374E7196" w14:textId="77777777" w:rsidTr="00D73130">
        <w:trPr>
          <w:trHeight w:val="60"/>
        </w:trPr>
        <w:tc>
          <w:tcPr>
            <w:tcW w:w="4535"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5CA18575"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Total Plant, Equipment and Vehicles at Fair Value</w:t>
            </w: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3B89BA76"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DC31C5B"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361,788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123A09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ED43F9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F980D98"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361,788 </w:t>
            </w:r>
          </w:p>
        </w:tc>
      </w:tr>
      <w:tr w:rsidR="00345EE3" w:rsidRPr="00F712EA" w14:paraId="0BF70BA6"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7685A96"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Cultural Assets at Fair Value</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9681730"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94E7F75"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7C5803"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4940E1"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94AF71E" w14:textId="77777777" w:rsidR="00345EE3" w:rsidRPr="00F712EA" w:rsidRDefault="00345EE3" w:rsidP="00D73130">
            <w:pPr>
              <w:widowControl/>
              <w:adjustRightInd w:val="0"/>
              <w:rPr>
                <w:rFonts w:eastAsiaTheme="minorHAnsi"/>
                <w:sz w:val="24"/>
                <w:szCs w:val="24"/>
                <w:lang w:val="en-GB"/>
              </w:rPr>
            </w:pPr>
          </w:p>
        </w:tc>
      </w:tr>
      <w:tr w:rsidR="00345EE3" w:rsidRPr="00F712EA" w14:paraId="0D2F2B38"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1F86994D"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Artworks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9B3E915"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6017064"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5,288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0419B2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FE9CD1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076D750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5,288 </w:t>
            </w:r>
          </w:p>
        </w:tc>
      </w:tr>
      <w:tr w:rsidR="00345EE3" w:rsidRPr="00F712EA" w14:paraId="00925D25" w14:textId="77777777" w:rsidTr="00D73130">
        <w:trPr>
          <w:trHeight w:val="60"/>
        </w:trPr>
        <w:tc>
          <w:tcPr>
            <w:tcW w:w="4535"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6599B41F"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Total of Cultural Assets at Fair Value</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549FEC9E"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6453DB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5,288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95C966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002C4DB"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354704DD"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5,288 </w:t>
            </w:r>
          </w:p>
        </w:tc>
      </w:tr>
    </w:tbl>
    <w:p w14:paraId="0A0BF32A" w14:textId="77777777" w:rsidR="00345EE3" w:rsidRPr="00AC6ADA" w:rsidRDefault="00345EE3" w:rsidP="00345EE3">
      <w:pPr>
        <w:ind w:left="110"/>
        <w:rPr>
          <w:rFonts w:ascii="Arial-BoldItalicMT"/>
          <w:b/>
          <w:i/>
          <w:sz w:val="18"/>
          <w:szCs w:val="18"/>
        </w:rPr>
      </w:pPr>
      <w:r w:rsidRPr="00AC6ADA">
        <w:rPr>
          <w:rFonts w:ascii="Arial-BoldItalicMT"/>
          <w:b/>
          <w:i/>
          <w:color w:val="231F20"/>
          <w:spacing w:val="-2"/>
          <w:sz w:val="18"/>
          <w:szCs w:val="18"/>
        </w:rPr>
        <w:t>Notes:</w:t>
      </w:r>
    </w:p>
    <w:p w14:paraId="077C57DF" w14:textId="77777777" w:rsidR="00345EE3" w:rsidRPr="00AC6ADA" w:rsidRDefault="00345EE3">
      <w:pPr>
        <w:pStyle w:val="ListParagraph"/>
        <w:numPr>
          <w:ilvl w:val="0"/>
          <w:numId w:val="11"/>
        </w:numPr>
        <w:tabs>
          <w:tab w:val="left" w:pos="338"/>
        </w:tabs>
        <w:spacing w:before="0"/>
        <w:ind w:hanging="228"/>
        <w:rPr>
          <w:sz w:val="18"/>
          <w:szCs w:val="18"/>
        </w:rPr>
      </w:pPr>
      <w:r w:rsidRPr="00AC6ADA">
        <w:rPr>
          <w:color w:val="231F20"/>
          <w:sz w:val="18"/>
          <w:szCs w:val="18"/>
        </w:rPr>
        <w:t>Classified</w:t>
      </w:r>
      <w:r w:rsidRPr="00AC6ADA">
        <w:rPr>
          <w:color w:val="231F20"/>
          <w:spacing w:val="-1"/>
          <w:sz w:val="18"/>
          <w:szCs w:val="18"/>
        </w:rPr>
        <w:t xml:space="preserve"> </w:t>
      </w:r>
      <w:r w:rsidRPr="00AC6ADA">
        <w:rPr>
          <w:color w:val="231F20"/>
          <w:sz w:val="18"/>
          <w:szCs w:val="18"/>
        </w:rPr>
        <w:t>in</w:t>
      </w:r>
      <w:r w:rsidRPr="00AC6ADA">
        <w:rPr>
          <w:color w:val="231F20"/>
          <w:spacing w:val="-1"/>
          <w:sz w:val="18"/>
          <w:szCs w:val="18"/>
        </w:rPr>
        <w:t xml:space="preserve"> </w:t>
      </w:r>
      <w:r w:rsidRPr="00AC6ADA">
        <w:rPr>
          <w:color w:val="231F20"/>
          <w:sz w:val="18"/>
          <w:szCs w:val="18"/>
        </w:rPr>
        <w:t>accordance</w:t>
      </w:r>
      <w:r w:rsidRPr="00AC6ADA">
        <w:rPr>
          <w:color w:val="231F20"/>
          <w:spacing w:val="-1"/>
          <w:sz w:val="18"/>
          <w:szCs w:val="18"/>
        </w:rPr>
        <w:t xml:space="preserve"> </w:t>
      </w:r>
      <w:r w:rsidRPr="00AC6ADA">
        <w:rPr>
          <w:color w:val="231F20"/>
          <w:sz w:val="18"/>
          <w:szCs w:val="18"/>
        </w:rPr>
        <w:t>with</w:t>
      </w:r>
      <w:r w:rsidRPr="00AC6ADA">
        <w:rPr>
          <w:color w:val="231F20"/>
          <w:spacing w:val="-1"/>
          <w:sz w:val="18"/>
          <w:szCs w:val="18"/>
        </w:rPr>
        <w:t xml:space="preserve"> </w:t>
      </w:r>
      <w:r w:rsidRPr="00AC6ADA">
        <w:rPr>
          <w:color w:val="231F20"/>
          <w:sz w:val="18"/>
          <w:szCs w:val="18"/>
        </w:rPr>
        <w:t>the</w:t>
      </w:r>
      <w:r w:rsidRPr="00AC6ADA">
        <w:rPr>
          <w:color w:val="231F20"/>
          <w:spacing w:val="-1"/>
          <w:sz w:val="18"/>
          <w:szCs w:val="18"/>
        </w:rPr>
        <w:t xml:space="preserve"> </w:t>
      </w:r>
      <w:r w:rsidRPr="00AC6ADA">
        <w:rPr>
          <w:color w:val="231F20"/>
          <w:sz w:val="18"/>
          <w:szCs w:val="18"/>
        </w:rPr>
        <w:t>fair</w:t>
      </w:r>
      <w:r w:rsidRPr="00AC6ADA">
        <w:rPr>
          <w:color w:val="231F20"/>
          <w:spacing w:val="-1"/>
          <w:sz w:val="18"/>
          <w:szCs w:val="18"/>
        </w:rPr>
        <w:t xml:space="preserve"> </w:t>
      </w:r>
      <w:r w:rsidRPr="00AC6ADA">
        <w:rPr>
          <w:color w:val="231F20"/>
          <w:sz w:val="18"/>
          <w:szCs w:val="18"/>
        </w:rPr>
        <w:t>value</w:t>
      </w:r>
      <w:r w:rsidRPr="00AC6ADA">
        <w:rPr>
          <w:color w:val="231F20"/>
          <w:spacing w:val="-1"/>
          <w:sz w:val="18"/>
          <w:szCs w:val="18"/>
        </w:rPr>
        <w:t xml:space="preserve"> </w:t>
      </w:r>
      <w:r w:rsidRPr="00AC6ADA">
        <w:rPr>
          <w:color w:val="231F20"/>
          <w:spacing w:val="-2"/>
          <w:sz w:val="18"/>
          <w:szCs w:val="18"/>
        </w:rPr>
        <w:t>hierarchy.</w:t>
      </w:r>
    </w:p>
    <w:p w14:paraId="4843BB2C" w14:textId="77777777" w:rsidR="00345EE3" w:rsidRPr="00AC6ADA" w:rsidRDefault="00345EE3">
      <w:pPr>
        <w:pStyle w:val="ListParagraph"/>
        <w:numPr>
          <w:ilvl w:val="0"/>
          <w:numId w:val="11"/>
        </w:numPr>
        <w:tabs>
          <w:tab w:val="left" w:pos="338"/>
        </w:tabs>
        <w:spacing w:before="0"/>
        <w:ind w:hanging="228"/>
        <w:rPr>
          <w:sz w:val="18"/>
          <w:szCs w:val="18"/>
        </w:rPr>
      </w:pPr>
      <w:r w:rsidRPr="00AC6ADA">
        <w:rPr>
          <w:color w:val="231F20"/>
          <w:sz w:val="18"/>
          <w:szCs w:val="18"/>
        </w:rPr>
        <w:t>Non-specialised land and buildings are</w:t>
      </w:r>
      <w:r w:rsidRPr="00AC6ADA">
        <w:rPr>
          <w:color w:val="231F20"/>
          <w:spacing w:val="1"/>
          <w:sz w:val="18"/>
          <w:szCs w:val="18"/>
        </w:rPr>
        <w:t xml:space="preserve"> </w:t>
      </w:r>
      <w:r w:rsidRPr="00AC6ADA">
        <w:rPr>
          <w:color w:val="231F20"/>
          <w:sz w:val="18"/>
          <w:szCs w:val="18"/>
        </w:rPr>
        <w:t>residential properties used by Sworn</w:t>
      </w:r>
      <w:r w:rsidRPr="00AC6ADA">
        <w:rPr>
          <w:color w:val="231F20"/>
          <w:spacing w:val="1"/>
          <w:sz w:val="18"/>
          <w:szCs w:val="18"/>
        </w:rPr>
        <w:t xml:space="preserve"> </w:t>
      </w:r>
      <w:r w:rsidRPr="00AC6ADA">
        <w:rPr>
          <w:color w:val="231F20"/>
          <w:spacing w:val="-2"/>
          <w:sz w:val="18"/>
          <w:szCs w:val="18"/>
        </w:rPr>
        <w:t>members.</w:t>
      </w:r>
    </w:p>
    <w:p w14:paraId="69706F2C" w14:textId="77777777" w:rsidR="00345EE3" w:rsidRPr="00AC6ADA" w:rsidRDefault="00345EE3">
      <w:pPr>
        <w:pStyle w:val="ListParagraph"/>
        <w:numPr>
          <w:ilvl w:val="0"/>
          <w:numId w:val="11"/>
        </w:numPr>
        <w:tabs>
          <w:tab w:val="left" w:pos="338"/>
        </w:tabs>
        <w:spacing w:before="0"/>
        <w:ind w:hanging="228"/>
        <w:rPr>
          <w:sz w:val="18"/>
          <w:szCs w:val="18"/>
        </w:rPr>
      </w:pPr>
      <w:r w:rsidRPr="00AC6ADA">
        <w:rPr>
          <w:color w:val="231F20"/>
          <w:sz w:val="18"/>
          <w:szCs w:val="18"/>
        </w:rPr>
        <w:t>These</w:t>
      </w:r>
      <w:r w:rsidRPr="00AC6ADA">
        <w:rPr>
          <w:color w:val="231F20"/>
          <w:spacing w:val="-3"/>
          <w:sz w:val="18"/>
          <w:szCs w:val="18"/>
        </w:rPr>
        <w:t xml:space="preserve"> </w:t>
      </w:r>
      <w:r w:rsidRPr="00AC6ADA">
        <w:rPr>
          <w:color w:val="231F20"/>
          <w:sz w:val="18"/>
          <w:szCs w:val="18"/>
        </w:rPr>
        <w:t>heritage</w:t>
      </w:r>
      <w:r w:rsidRPr="00AC6ADA">
        <w:rPr>
          <w:color w:val="231F20"/>
          <w:spacing w:val="-1"/>
          <w:sz w:val="18"/>
          <w:szCs w:val="18"/>
        </w:rPr>
        <w:t xml:space="preserve"> </w:t>
      </w:r>
      <w:r w:rsidRPr="00AC6ADA">
        <w:rPr>
          <w:color w:val="231F20"/>
          <w:sz w:val="18"/>
          <w:szCs w:val="18"/>
        </w:rPr>
        <w:t>assets</w:t>
      </w:r>
      <w:r w:rsidRPr="00AC6ADA">
        <w:rPr>
          <w:color w:val="231F20"/>
          <w:spacing w:val="-1"/>
          <w:sz w:val="18"/>
          <w:szCs w:val="18"/>
        </w:rPr>
        <w:t xml:space="preserve"> </w:t>
      </w:r>
      <w:r w:rsidRPr="00AC6ADA">
        <w:rPr>
          <w:color w:val="231F20"/>
          <w:sz w:val="18"/>
          <w:szCs w:val="18"/>
        </w:rPr>
        <w:t>cannot be</w:t>
      </w:r>
      <w:r w:rsidRPr="00AC6ADA">
        <w:rPr>
          <w:color w:val="231F20"/>
          <w:spacing w:val="-1"/>
          <w:sz w:val="18"/>
          <w:szCs w:val="18"/>
        </w:rPr>
        <w:t xml:space="preserve"> </w:t>
      </w:r>
      <w:r w:rsidRPr="00AC6ADA">
        <w:rPr>
          <w:color w:val="231F20"/>
          <w:sz w:val="18"/>
          <w:szCs w:val="18"/>
        </w:rPr>
        <w:t>modified</w:t>
      </w:r>
      <w:r w:rsidRPr="00AC6ADA">
        <w:rPr>
          <w:color w:val="231F20"/>
          <w:spacing w:val="-1"/>
          <w:sz w:val="18"/>
          <w:szCs w:val="18"/>
        </w:rPr>
        <w:t xml:space="preserve"> </w:t>
      </w:r>
      <w:r w:rsidRPr="00AC6ADA">
        <w:rPr>
          <w:color w:val="231F20"/>
          <w:sz w:val="18"/>
          <w:szCs w:val="18"/>
        </w:rPr>
        <w:t>nor</w:t>
      </w:r>
      <w:r w:rsidRPr="00AC6ADA">
        <w:rPr>
          <w:color w:val="231F20"/>
          <w:spacing w:val="-1"/>
          <w:sz w:val="18"/>
          <w:szCs w:val="18"/>
        </w:rPr>
        <w:t xml:space="preserve"> </w:t>
      </w:r>
      <w:r w:rsidRPr="00AC6ADA">
        <w:rPr>
          <w:color w:val="231F20"/>
          <w:sz w:val="18"/>
          <w:szCs w:val="18"/>
        </w:rPr>
        <w:t>disposed of</w:t>
      </w:r>
      <w:r w:rsidRPr="00AC6ADA">
        <w:rPr>
          <w:color w:val="231F20"/>
          <w:spacing w:val="-1"/>
          <w:sz w:val="18"/>
          <w:szCs w:val="18"/>
        </w:rPr>
        <w:t xml:space="preserve"> </w:t>
      </w:r>
      <w:r w:rsidRPr="00AC6ADA">
        <w:rPr>
          <w:color w:val="231F20"/>
          <w:sz w:val="18"/>
          <w:szCs w:val="18"/>
        </w:rPr>
        <w:t>without</w:t>
      </w:r>
      <w:r w:rsidRPr="00AC6ADA">
        <w:rPr>
          <w:color w:val="231F20"/>
          <w:spacing w:val="-1"/>
          <w:sz w:val="18"/>
          <w:szCs w:val="18"/>
        </w:rPr>
        <w:t xml:space="preserve"> </w:t>
      </w:r>
      <w:r w:rsidRPr="00AC6ADA">
        <w:rPr>
          <w:color w:val="231F20"/>
          <w:sz w:val="18"/>
          <w:szCs w:val="18"/>
        </w:rPr>
        <w:t>formal</w:t>
      </w:r>
      <w:r w:rsidRPr="00AC6ADA">
        <w:rPr>
          <w:color w:val="231F20"/>
          <w:spacing w:val="-1"/>
          <w:sz w:val="18"/>
          <w:szCs w:val="18"/>
        </w:rPr>
        <w:t xml:space="preserve"> </w:t>
      </w:r>
      <w:r w:rsidRPr="00AC6ADA">
        <w:rPr>
          <w:color w:val="231F20"/>
          <w:sz w:val="18"/>
          <w:szCs w:val="18"/>
        </w:rPr>
        <w:t xml:space="preserve">ministerial </w:t>
      </w:r>
      <w:r w:rsidRPr="00AC6ADA">
        <w:rPr>
          <w:color w:val="231F20"/>
          <w:spacing w:val="-2"/>
          <w:sz w:val="18"/>
          <w:szCs w:val="18"/>
        </w:rPr>
        <w:t>approval.</w:t>
      </w:r>
    </w:p>
    <w:p w14:paraId="1965C799" w14:textId="77777777" w:rsidR="00345EE3" w:rsidRPr="00AC6ADA" w:rsidRDefault="00345EE3">
      <w:pPr>
        <w:pStyle w:val="ListParagraph"/>
        <w:numPr>
          <w:ilvl w:val="0"/>
          <w:numId w:val="11"/>
        </w:numPr>
        <w:tabs>
          <w:tab w:val="left" w:pos="338"/>
        </w:tabs>
        <w:spacing w:before="0"/>
        <w:ind w:hanging="228"/>
        <w:rPr>
          <w:sz w:val="18"/>
          <w:szCs w:val="18"/>
        </w:rPr>
      </w:pPr>
      <w:r w:rsidRPr="00AC6ADA">
        <w:rPr>
          <w:color w:val="231F20"/>
          <w:sz w:val="18"/>
          <w:szCs w:val="18"/>
        </w:rPr>
        <w:t>This</w:t>
      </w:r>
      <w:r w:rsidRPr="00AC6ADA">
        <w:rPr>
          <w:color w:val="231F20"/>
          <w:spacing w:val="-5"/>
          <w:sz w:val="18"/>
          <w:szCs w:val="18"/>
        </w:rPr>
        <w:t xml:space="preserve"> </w:t>
      </w:r>
      <w:r w:rsidRPr="00AC6ADA">
        <w:rPr>
          <w:color w:val="231F20"/>
          <w:sz w:val="18"/>
          <w:szCs w:val="18"/>
        </w:rPr>
        <w:t>amount</w:t>
      </w:r>
      <w:r w:rsidRPr="00AC6ADA">
        <w:rPr>
          <w:color w:val="231F20"/>
          <w:spacing w:val="-3"/>
          <w:sz w:val="18"/>
          <w:szCs w:val="18"/>
        </w:rPr>
        <w:t xml:space="preserve"> </w:t>
      </w:r>
      <w:r w:rsidRPr="00AC6ADA">
        <w:rPr>
          <w:color w:val="231F20"/>
          <w:sz w:val="18"/>
          <w:szCs w:val="18"/>
        </w:rPr>
        <w:t>forms</w:t>
      </w:r>
      <w:r w:rsidRPr="00AC6ADA">
        <w:rPr>
          <w:color w:val="231F20"/>
          <w:spacing w:val="-3"/>
          <w:sz w:val="18"/>
          <w:szCs w:val="18"/>
        </w:rPr>
        <w:t xml:space="preserve"> </w:t>
      </w:r>
      <w:r w:rsidRPr="00AC6ADA">
        <w:rPr>
          <w:color w:val="231F20"/>
          <w:sz w:val="18"/>
          <w:szCs w:val="18"/>
        </w:rPr>
        <w:t>part</w:t>
      </w:r>
      <w:r w:rsidRPr="00AC6ADA">
        <w:rPr>
          <w:color w:val="231F20"/>
          <w:spacing w:val="-3"/>
          <w:sz w:val="18"/>
          <w:szCs w:val="18"/>
        </w:rPr>
        <w:t xml:space="preserve"> </w:t>
      </w:r>
      <w:r w:rsidRPr="00AC6ADA">
        <w:rPr>
          <w:color w:val="231F20"/>
          <w:sz w:val="18"/>
          <w:szCs w:val="18"/>
        </w:rPr>
        <w:t>of</w:t>
      </w:r>
      <w:r w:rsidRPr="00AC6ADA">
        <w:rPr>
          <w:color w:val="231F20"/>
          <w:spacing w:val="-3"/>
          <w:sz w:val="18"/>
          <w:szCs w:val="18"/>
        </w:rPr>
        <w:t xml:space="preserve"> </w:t>
      </w:r>
      <w:r w:rsidRPr="00AC6ADA">
        <w:rPr>
          <w:color w:val="231F20"/>
          <w:sz w:val="18"/>
          <w:szCs w:val="18"/>
        </w:rPr>
        <w:t>the</w:t>
      </w:r>
      <w:r w:rsidRPr="00AC6ADA">
        <w:rPr>
          <w:color w:val="231F20"/>
          <w:spacing w:val="-3"/>
          <w:sz w:val="18"/>
          <w:szCs w:val="18"/>
        </w:rPr>
        <w:t xml:space="preserve"> </w:t>
      </w:r>
      <w:r w:rsidRPr="00AC6ADA">
        <w:rPr>
          <w:color w:val="231F20"/>
          <w:sz w:val="18"/>
          <w:szCs w:val="18"/>
        </w:rPr>
        <w:t>balance</w:t>
      </w:r>
      <w:r w:rsidRPr="00AC6ADA">
        <w:rPr>
          <w:color w:val="231F20"/>
          <w:spacing w:val="-3"/>
          <w:sz w:val="18"/>
          <w:szCs w:val="18"/>
        </w:rPr>
        <w:t xml:space="preserve"> </w:t>
      </w:r>
      <w:r w:rsidRPr="00AC6ADA">
        <w:rPr>
          <w:color w:val="231F20"/>
          <w:sz w:val="18"/>
          <w:szCs w:val="18"/>
        </w:rPr>
        <w:t>for</w:t>
      </w:r>
      <w:r w:rsidRPr="00AC6ADA">
        <w:rPr>
          <w:color w:val="231F20"/>
          <w:spacing w:val="-3"/>
          <w:sz w:val="18"/>
          <w:szCs w:val="18"/>
        </w:rPr>
        <w:t xml:space="preserve"> </w:t>
      </w:r>
      <w:r w:rsidRPr="00AC6ADA">
        <w:rPr>
          <w:color w:val="231F20"/>
          <w:sz w:val="18"/>
          <w:szCs w:val="18"/>
        </w:rPr>
        <w:t>Buildings</w:t>
      </w:r>
      <w:r w:rsidRPr="00AC6ADA">
        <w:rPr>
          <w:color w:val="231F20"/>
          <w:spacing w:val="-3"/>
          <w:sz w:val="18"/>
          <w:szCs w:val="18"/>
        </w:rPr>
        <w:t xml:space="preserve"> </w:t>
      </w:r>
      <w:r w:rsidRPr="00AC6ADA">
        <w:rPr>
          <w:color w:val="231F20"/>
          <w:sz w:val="18"/>
          <w:szCs w:val="18"/>
        </w:rPr>
        <w:t>at</w:t>
      </w:r>
      <w:r w:rsidRPr="00AC6ADA">
        <w:rPr>
          <w:color w:val="231F20"/>
          <w:spacing w:val="-3"/>
          <w:sz w:val="18"/>
          <w:szCs w:val="18"/>
        </w:rPr>
        <w:t xml:space="preserve"> </w:t>
      </w:r>
      <w:r w:rsidRPr="00AC6ADA">
        <w:rPr>
          <w:color w:val="231F20"/>
          <w:sz w:val="18"/>
          <w:szCs w:val="18"/>
        </w:rPr>
        <w:t>Fair</w:t>
      </w:r>
      <w:r w:rsidRPr="00AC6ADA">
        <w:rPr>
          <w:color w:val="231F20"/>
          <w:spacing w:val="-3"/>
          <w:sz w:val="18"/>
          <w:szCs w:val="18"/>
        </w:rPr>
        <w:t xml:space="preserve"> </w:t>
      </w:r>
      <w:r w:rsidRPr="00AC6ADA">
        <w:rPr>
          <w:color w:val="231F20"/>
          <w:sz w:val="18"/>
          <w:szCs w:val="18"/>
        </w:rPr>
        <w:t>Value</w:t>
      </w:r>
      <w:r w:rsidRPr="00AC6ADA">
        <w:rPr>
          <w:color w:val="231F20"/>
          <w:spacing w:val="-3"/>
          <w:sz w:val="18"/>
          <w:szCs w:val="18"/>
        </w:rPr>
        <w:t xml:space="preserve"> </w:t>
      </w:r>
      <w:r w:rsidRPr="00AC6ADA">
        <w:rPr>
          <w:color w:val="231F20"/>
          <w:sz w:val="18"/>
          <w:szCs w:val="18"/>
        </w:rPr>
        <w:t>(Excluding</w:t>
      </w:r>
      <w:r w:rsidRPr="00AC6ADA">
        <w:rPr>
          <w:color w:val="231F20"/>
          <w:spacing w:val="-3"/>
          <w:sz w:val="18"/>
          <w:szCs w:val="18"/>
        </w:rPr>
        <w:t xml:space="preserve"> </w:t>
      </w:r>
      <w:r w:rsidRPr="00AC6ADA">
        <w:rPr>
          <w:color w:val="231F20"/>
          <w:sz w:val="18"/>
          <w:szCs w:val="18"/>
        </w:rPr>
        <w:t>Heritage</w:t>
      </w:r>
      <w:r w:rsidRPr="00AC6ADA">
        <w:rPr>
          <w:color w:val="231F20"/>
          <w:spacing w:val="-3"/>
          <w:sz w:val="18"/>
          <w:szCs w:val="18"/>
        </w:rPr>
        <w:t xml:space="preserve"> </w:t>
      </w:r>
      <w:r w:rsidRPr="00AC6ADA">
        <w:rPr>
          <w:color w:val="231F20"/>
          <w:sz w:val="18"/>
          <w:szCs w:val="18"/>
        </w:rPr>
        <w:t>Buildings)</w:t>
      </w:r>
      <w:r w:rsidRPr="00AC6ADA">
        <w:rPr>
          <w:color w:val="231F20"/>
          <w:spacing w:val="-3"/>
          <w:sz w:val="18"/>
          <w:szCs w:val="18"/>
        </w:rPr>
        <w:t xml:space="preserve"> </w:t>
      </w:r>
      <w:r w:rsidRPr="00AC6ADA">
        <w:rPr>
          <w:color w:val="231F20"/>
          <w:sz w:val="18"/>
          <w:szCs w:val="18"/>
        </w:rPr>
        <w:t>in</w:t>
      </w:r>
      <w:r w:rsidRPr="00AC6ADA">
        <w:rPr>
          <w:color w:val="231F20"/>
          <w:spacing w:val="-3"/>
          <w:sz w:val="18"/>
          <w:szCs w:val="18"/>
        </w:rPr>
        <w:t xml:space="preserve"> </w:t>
      </w:r>
      <w:r w:rsidRPr="00AC6ADA">
        <w:rPr>
          <w:color w:val="231F20"/>
          <w:sz w:val="18"/>
          <w:szCs w:val="18"/>
        </w:rPr>
        <w:t>Note</w:t>
      </w:r>
      <w:r w:rsidRPr="00AC6ADA">
        <w:rPr>
          <w:color w:val="231F20"/>
          <w:spacing w:val="-3"/>
          <w:sz w:val="18"/>
          <w:szCs w:val="18"/>
        </w:rPr>
        <w:t xml:space="preserve"> </w:t>
      </w:r>
      <w:r w:rsidRPr="00AC6ADA">
        <w:rPr>
          <w:color w:val="231F20"/>
          <w:sz w:val="18"/>
          <w:szCs w:val="18"/>
        </w:rPr>
        <w:t>5.1</w:t>
      </w:r>
      <w:r w:rsidRPr="00AC6ADA">
        <w:rPr>
          <w:color w:val="231F20"/>
          <w:spacing w:val="-3"/>
          <w:sz w:val="18"/>
          <w:szCs w:val="18"/>
        </w:rPr>
        <w:t xml:space="preserve"> </w:t>
      </w:r>
      <w:r w:rsidRPr="00AC6ADA">
        <w:rPr>
          <w:color w:val="231F20"/>
          <w:sz w:val="18"/>
          <w:szCs w:val="18"/>
        </w:rPr>
        <w:t>Property,</w:t>
      </w:r>
      <w:r w:rsidRPr="00AC6ADA">
        <w:rPr>
          <w:color w:val="231F20"/>
          <w:spacing w:val="-3"/>
          <w:sz w:val="18"/>
          <w:szCs w:val="18"/>
        </w:rPr>
        <w:t xml:space="preserve"> </w:t>
      </w:r>
      <w:r w:rsidRPr="00AC6ADA">
        <w:rPr>
          <w:color w:val="231F20"/>
          <w:sz w:val="18"/>
          <w:szCs w:val="18"/>
        </w:rPr>
        <w:t>Plant</w:t>
      </w:r>
      <w:r w:rsidRPr="00AC6ADA">
        <w:rPr>
          <w:color w:val="231F20"/>
          <w:spacing w:val="-3"/>
          <w:sz w:val="18"/>
          <w:szCs w:val="18"/>
        </w:rPr>
        <w:t xml:space="preserve"> </w:t>
      </w:r>
      <w:r w:rsidRPr="00AC6ADA">
        <w:rPr>
          <w:color w:val="231F20"/>
          <w:sz w:val="18"/>
          <w:szCs w:val="18"/>
        </w:rPr>
        <w:t>and</w:t>
      </w:r>
      <w:r w:rsidRPr="00AC6ADA">
        <w:rPr>
          <w:color w:val="231F20"/>
          <w:spacing w:val="-3"/>
          <w:sz w:val="18"/>
          <w:szCs w:val="18"/>
        </w:rPr>
        <w:t xml:space="preserve"> </w:t>
      </w:r>
      <w:r w:rsidRPr="00AC6ADA">
        <w:rPr>
          <w:color w:val="231F20"/>
          <w:spacing w:val="-2"/>
          <w:sz w:val="18"/>
          <w:szCs w:val="18"/>
        </w:rPr>
        <w:t>Equipment.</w:t>
      </w:r>
    </w:p>
    <w:p w14:paraId="70A6FF89" w14:textId="39AEE757" w:rsidR="00345EE3" w:rsidRDefault="00345EE3" w:rsidP="00345EE3">
      <w:pPr>
        <w:pStyle w:val="Heading5"/>
        <w:spacing w:before="0" w:line="343" w:lineRule="auto"/>
        <w:ind w:right="2924"/>
      </w:pPr>
      <w:r>
        <w:rPr>
          <w:color w:val="58595B"/>
        </w:rPr>
        <w:t>8.3.2</w:t>
      </w:r>
      <w:r>
        <w:rPr>
          <w:color w:val="58595B"/>
          <w:spacing w:val="-8"/>
        </w:rPr>
        <w:t xml:space="preserve"> </w:t>
      </w:r>
      <w:r>
        <w:rPr>
          <w:color w:val="58595B"/>
        </w:rPr>
        <w:t>Fair</w:t>
      </w:r>
      <w:r>
        <w:rPr>
          <w:color w:val="58595B"/>
          <w:spacing w:val="-8"/>
        </w:rPr>
        <w:t xml:space="preserve"> </w:t>
      </w:r>
      <w:r>
        <w:rPr>
          <w:color w:val="58595B"/>
        </w:rPr>
        <w:t>Value</w:t>
      </w:r>
      <w:r>
        <w:rPr>
          <w:color w:val="58595B"/>
          <w:spacing w:val="-9"/>
        </w:rPr>
        <w:t xml:space="preserve"> </w:t>
      </w:r>
      <w:r>
        <w:rPr>
          <w:color w:val="58595B"/>
        </w:rPr>
        <w:t>Determination:</w:t>
      </w:r>
      <w:r>
        <w:rPr>
          <w:color w:val="58595B"/>
          <w:spacing w:val="-9"/>
        </w:rPr>
        <w:t xml:space="preserve"> </w:t>
      </w:r>
      <w:r>
        <w:rPr>
          <w:color w:val="58595B"/>
        </w:rPr>
        <w:t>Non-Financial</w:t>
      </w:r>
      <w:r>
        <w:rPr>
          <w:color w:val="58595B"/>
          <w:spacing w:val="-9"/>
        </w:rPr>
        <w:t xml:space="preserve"> </w:t>
      </w:r>
      <w:r>
        <w:rPr>
          <w:color w:val="58595B"/>
        </w:rPr>
        <w:t>Physical</w:t>
      </w:r>
      <w:r>
        <w:rPr>
          <w:color w:val="58595B"/>
          <w:spacing w:val="-17"/>
        </w:rPr>
        <w:t xml:space="preserve"> </w:t>
      </w:r>
      <w:r>
        <w:rPr>
          <w:color w:val="58595B"/>
        </w:rPr>
        <w:t xml:space="preserve">Assets </w:t>
      </w:r>
      <w:r>
        <w:rPr>
          <w:color w:val="231F20"/>
        </w:rPr>
        <w:t>Fair Value Measurement Hierarchy</w:t>
      </w:r>
    </w:p>
    <w:tbl>
      <w:tblPr>
        <w:tblW w:w="0" w:type="auto"/>
        <w:tblInd w:w="-8" w:type="dxa"/>
        <w:tblLayout w:type="fixed"/>
        <w:tblCellMar>
          <w:left w:w="0" w:type="dxa"/>
          <w:right w:w="0" w:type="dxa"/>
        </w:tblCellMar>
        <w:tblLook w:val="0000" w:firstRow="0" w:lastRow="0" w:firstColumn="0" w:lastColumn="0" w:noHBand="0" w:noVBand="0"/>
      </w:tblPr>
      <w:tblGrid>
        <w:gridCol w:w="4535"/>
        <w:gridCol w:w="1134"/>
        <w:gridCol w:w="1134"/>
        <w:gridCol w:w="1134"/>
        <w:gridCol w:w="1134"/>
        <w:gridCol w:w="1134"/>
      </w:tblGrid>
      <w:tr w:rsidR="0052306E" w:rsidRPr="0052306E" w14:paraId="418415D2" w14:textId="77777777" w:rsidTr="0052306E">
        <w:trPr>
          <w:trHeight w:val="60"/>
          <w:tblHeader/>
        </w:trPr>
        <w:tc>
          <w:tcPr>
            <w:tcW w:w="10205" w:type="dxa"/>
            <w:gridSpan w:val="6"/>
            <w:tcBorders>
              <w:top w:val="single" w:sz="6" w:space="0" w:color="000000"/>
              <w:left w:val="single" w:sz="6" w:space="0" w:color="000000"/>
              <w:bottom w:val="single" w:sz="2" w:space="0" w:color="FFFFFF"/>
              <w:right w:val="single" w:sz="2" w:space="0" w:color="FFFFFF"/>
            </w:tcBorders>
            <w:shd w:val="solid" w:color="004996" w:fill="auto"/>
            <w:tcMar>
              <w:top w:w="57" w:type="dxa"/>
              <w:left w:w="14" w:type="dxa"/>
              <w:bottom w:w="57" w:type="dxa"/>
              <w:right w:w="14" w:type="dxa"/>
            </w:tcMar>
          </w:tcPr>
          <w:p w14:paraId="08DA809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thousand)</w:t>
            </w:r>
          </w:p>
        </w:tc>
      </w:tr>
      <w:tr w:rsidR="0052306E" w:rsidRPr="0052306E" w14:paraId="6BAED838" w14:textId="77777777" w:rsidTr="0052306E">
        <w:trPr>
          <w:trHeight w:val="60"/>
          <w:tblHeader/>
        </w:trPr>
        <w:tc>
          <w:tcPr>
            <w:tcW w:w="4535" w:type="dxa"/>
            <w:tcBorders>
              <w:top w:val="single" w:sz="2" w:space="0" w:color="FFFFFF"/>
              <w:left w:val="single" w:sz="6" w:space="0" w:color="000000"/>
              <w:bottom w:val="single" w:sz="6" w:space="0" w:color="9D9C9C"/>
              <w:right w:val="single" w:sz="2" w:space="0" w:color="FFFFFF"/>
            </w:tcBorders>
            <w:shd w:val="solid" w:color="004996" w:fill="auto"/>
            <w:tcMar>
              <w:top w:w="57" w:type="dxa"/>
              <w:left w:w="14" w:type="dxa"/>
              <w:bottom w:w="57" w:type="dxa"/>
              <w:right w:w="14" w:type="dxa"/>
            </w:tcMar>
          </w:tcPr>
          <w:p w14:paraId="0345E186"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2AE9890E"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5C3B9A7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Carrying Amount as at 30 June 2022</w:t>
            </w:r>
          </w:p>
        </w:tc>
        <w:tc>
          <w:tcPr>
            <w:tcW w:w="3402" w:type="dxa"/>
            <w:gridSpan w:val="3"/>
            <w:tcBorders>
              <w:top w:val="single" w:sz="2" w:space="0" w:color="FFFFFF"/>
              <w:left w:val="single" w:sz="2" w:space="0" w:color="FFFFFF"/>
              <w:bottom w:val="single" w:sz="2" w:space="0" w:color="FFFFFF"/>
              <w:right w:val="single" w:sz="2" w:space="0" w:color="FFFFFF"/>
            </w:tcBorders>
            <w:shd w:val="solid" w:color="004996" w:fill="auto"/>
            <w:tcMar>
              <w:top w:w="57" w:type="dxa"/>
              <w:left w:w="14" w:type="dxa"/>
              <w:bottom w:w="57" w:type="dxa"/>
              <w:right w:w="14" w:type="dxa"/>
            </w:tcMar>
          </w:tcPr>
          <w:p w14:paraId="75A23A98" w14:textId="77777777" w:rsidR="0052306E" w:rsidRPr="0052306E" w:rsidRDefault="0052306E" w:rsidP="0052306E">
            <w:pPr>
              <w:widowControl/>
              <w:tabs>
                <w:tab w:val="left" w:pos="240"/>
              </w:tabs>
              <w:suppressAutoHyphens/>
              <w:adjustRightInd w:val="0"/>
              <w:spacing w:after="57" w:line="280" w:lineRule="atLeast"/>
              <w:jc w:val="center"/>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xml:space="preserve">Fair Value Measurement at </w:t>
            </w:r>
            <w:r w:rsidRPr="0052306E">
              <w:rPr>
                <w:rFonts w:eastAsia="Myriad Pro"/>
                <w:b/>
                <w:bCs/>
                <w:color w:val="FFFFFF"/>
                <w:spacing w:val="-2"/>
                <w:sz w:val="24"/>
                <w:szCs w:val="24"/>
                <w:lang w:val="en-GB"/>
              </w:rPr>
              <w:br/>
              <w:t>End of Reporting Period Using:</w:t>
            </w:r>
          </w:p>
        </w:tc>
      </w:tr>
      <w:tr w:rsidR="0052306E" w:rsidRPr="0052306E" w14:paraId="38E08B8F" w14:textId="77777777" w:rsidTr="0052306E">
        <w:trPr>
          <w:trHeight w:val="60"/>
          <w:tblHeader/>
        </w:trPr>
        <w:tc>
          <w:tcPr>
            <w:tcW w:w="4535" w:type="dxa"/>
            <w:tcBorders>
              <w:top w:val="single" w:sz="6" w:space="0" w:color="9D9C9C"/>
              <w:left w:val="single" w:sz="6" w:space="0" w:color="000000"/>
              <w:bottom w:val="single" w:sz="6" w:space="0" w:color="9D9C9C"/>
              <w:right w:val="single" w:sz="2" w:space="0" w:color="FFFFFF"/>
            </w:tcBorders>
            <w:shd w:val="solid" w:color="004996" w:fill="auto"/>
            <w:tcMar>
              <w:top w:w="57" w:type="dxa"/>
              <w:left w:w="14" w:type="dxa"/>
              <w:bottom w:w="57" w:type="dxa"/>
              <w:right w:w="14" w:type="dxa"/>
            </w:tcMar>
          </w:tcPr>
          <w:p w14:paraId="2DA9D80D" w14:textId="77777777" w:rsidR="0052306E" w:rsidRPr="0052306E" w:rsidRDefault="0052306E" w:rsidP="0052306E">
            <w:pPr>
              <w:widowControl/>
              <w:adjustRightInd w:val="0"/>
              <w:rPr>
                <w:rFonts w:eastAsia="Myriad Pro"/>
                <w:sz w:val="24"/>
                <w:szCs w:val="24"/>
                <w:lang w:val="en-GB"/>
              </w:rPr>
            </w:pP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67D2405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Note</w:t>
            </w: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07FC213B"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6E93880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Level 1</w:t>
            </w:r>
            <w:r w:rsidRPr="0052306E">
              <w:rPr>
                <w:rFonts w:eastAsia="Myriad Pro"/>
                <w:b/>
                <w:bCs/>
                <w:color w:val="FFFFFF"/>
                <w:spacing w:val="-2"/>
                <w:sz w:val="24"/>
                <w:szCs w:val="24"/>
                <w:vertAlign w:val="superscript"/>
                <w:lang w:val="en-GB"/>
              </w:rPr>
              <w:t xml:space="preserve"> (a)</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2CD7870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Level 2</w:t>
            </w:r>
            <w:r w:rsidRPr="0052306E">
              <w:rPr>
                <w:rFonts w:eastAsia="Myriad Pro"/>
                <w:b/>
                <w:bCs/>
                <w:color w:val="FFFFFF"/>
                <w:spacing w:val="-2"/>
                <w:sz w:val="24"/>
                <w:szCs w:val="24"/>
                <w:vertAlign w:val="superscript"/>
                <w:lang w:val="en-GB"/>
              </w:rPr>
              <w:t xml:space="preserve"> (a)</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57" w:type="dxa"/>
              <w:left w:w="14" w:type="dxa"/>
              <w:bottom w:w="57" w:type="dxa"/>
              <w:right w:w="14" w:type="dxa"/>
            </w:tcMar>
          </w:tcPr>
          <w:p w14:paraId="63651B9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Level 3</w:t>
            </w:r>
            <w:r w:rsidRPr="0052306E">
              <w:rPr>
                <w:rFonts w:eastAsia="Myriad Pro"/>
                <w:b/>
                <w:bCs/>
                <w:color w:val="FFFFFF"/>
                <w:spacing w:val="-2"/>
                <w:sz w:val="24"/>
                <w:szCs w:val="24"/>
                <w:vertAlign w:val="superscript"/>
                <w:lang w:val="en-GB"/>
              </w:rPr>
              <w:t xml:space="preserve"> (a)</w:t>
            </w:r>
          </w:p>
        </w:tc>
      </w:tr>
      <w:tr w:rsidR="0052306E" w:rsidRPr="0052306E" w14:paraId="50E6E66A" w14:textId="77777777" w:rsidTr="0052306E">
        <w:trPr>
          <w:trHeight w:val="60"/>
        </w:trPr>
        <w:tc>
          <w:tcPr>
            <w:tcW w:w="4535"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1956B1A9"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2022</w:t>
            </w: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2DEA6987"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14DF1E50"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4E9A945D"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1B3AA18F"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3354A266" w14:textId="77777777" w:rsidR="0052306E" w:rsidRPr="0052306E" w:rsidRDefault="0052306E" w:rsidP="0052306E">
            <w:pPr>
              <w:widowControl/>
              <w:adjustRightInd w:val="0"/>
              <w:rPr>
                <w:rFonts w:eastAsia="Myriad Pro"/>
                <w:sz w:val="24"/>
                <w:szCs w:val="24"/>
                <w:lang w:val="en-GB"/>
              </w:rPr>
            </w:pPr>
          </w:p>
        </w:tc>
      </w:tr>
      <w:tr w:rsidR="0052306E" w:rsidRPr="0052306E" w14:paraId="6E0EF242" w14:textId="77777777" w:rsidTr="0052306E">
        <w:trPr>
          <w:trHeight w:val="60"/>
        </w:trPr>
        <w:tc>
          <w:tcPr>
            <w:tcW w:w="4535" w:type="dxa"/>
            <w:tcBorders>
              <w:top w:val="single" w:sz="8" w:space="0" w:color="000000"/>
              <w:left w:val="single" w:sz="6" w:space="0" w:color="000000"/>
              <w:bottom w:val="single" w:sz="2" w:space="0" w:color="9D9C9C"/>
              <w:right w:val="single" w:sz="2" w:space="0" w:color="9D9C9C"/>
            </w:tcBorders>
            <w:tcMar>
              <w:top w:w="57" w:type="dxa"/>
              <w:left w:w="14" w:type="dxa"/>
              <w:bottom w:w="57" w:type="dxa"/>
              <w:right w:w="14" w:type="dxa"/>
            </w:tcMar>
          </w:tcPr>
          <w:p w14:paraId="452255A9"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Crown Land and Land at Fair Value</w:t>
            </w:r>
          </w:p>
        </w:tc>
        <w:tc>
          <w:tcPr>
            <w:tcW w:w="113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513D167A" w14:textId="77777777" w:rsidR="0052306E" w:rsidRPr="0052306E" w:rsidRDefault="0052306E" w:rsidP="0052306E">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F94173F" w14:textId="77777777" w:rsidR="0052306E" w:rsidRPr="0052306E" w:rsidRDefault="0052306E" w:rsidP="0052306E">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F4C85F4" w14:textId="77777777" w:rsidR="0052306E" w:rsidRPr="0052306E" w:rsidRDefault="0052306E" w:rsidP="0052306E">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5BBD914" w14:textId="77777777" w:rsidR="0052306E" w:rsidRPr="0052306E" w:rsidRDefault="0052306E" w:rsidP="0052306E">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62839C45" w14:textId="77777777" w:rsidR="0052306E" w:rsidRPr="0052306E" w:rsidRDefault="0052306E" w:rsidP="0052306E">
            <w:pPr>
              <w:widowControl/>
              <w:adjustRightInd w:val="0"/>
              <w:rPr>
                <w:rFonts w:eastAsia="Myriad Pro"/>
                <w:sz w:val="24"/>
                <w:szCs w:val="24"/>
                <w:lang w:val="en-GB"/>
              </w:rPr>
            </w:pPr>
          </w:p>
        </w:tc>
      </w:tr>
      <w:tr w:rsidR="0052306E" w:rsidRPr="0052306E" w14:paraId="6C2DAA6D" w14:textId="77777777" w:rsidTr="0052306E">
        <w:trPr>
          <w:trHeight w:val="60"/>
        </w:trPr>
        <w:tc>
          <w:tcPr>
            <w:tcW w:w="4535"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4E70BD18"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Non-specialised land</w:t>
            </w:r>
            <w:r w:rsidRPr="0052306E">
              <w:rPr>
                <w:rFonts w:eastAsia="Myriad Pro"/>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561329F1"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83CF5C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25,220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5AE2E2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62DA45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25,220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3005DE4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2E318B44" w14:textId="77777777" w:rsidTr="0052306E">
        <w:trPr>
          <w:trHeight w:val="60"/>
        </w:trPr>
        <w:tc>
          <w:tcPr>
            <w:tcW w:w="4535"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2EF006DE"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Specialised land</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49444272"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5AB5FA6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646,905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125476A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4D5966D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57" w:type="dxa"/>
              <w:left w:w="14" w:type="dxa"/>
              <w:bottom w:w="57" w:type="dxa"/>
              <w:right w:w="14" w:type="dxa"/>
            </w:tcMar>
          </w:tcPr>
          <w:p w14:paraId="79CC504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646,905 </w:t>
            </w:r>
          </w:p>
        </w:tc>
      </w:tr>
      <w:tr w:rsidR="0052306E" w:rsidRPr="0052306E" w14:paraId="64E64A8C" w14:textId="77777777" w:rsidTr="0052306E">
        <w:trPr>
          <w:trHeight w:val="60"/>
        </w:trPr>
        <w:tc>
          <w:tcPr>
            <w:tcW w:w="4535" w:type="dxa"/>
            <w:tcBorders>
              <w:top w:val="single" w:sz="4" w:space="0" w:color="000000"/>
              <w:left w:val="single" w:sz="6" w:space="0" w:color="000000"/>
              <w:bottom w:val="single" w:sz="2" w:space="0" w:color="9D9C9C"/>
              <w:right w:val="single" w:sz="2" w:space="0" w:color="9D9C9C"/>
            </w:tcBorders>
            <w:tcMar>
              <w:top w:w="57" w:type="dxa"/>
              <w:left w:w="14" w:type="dxa"/>
              <w:bottom w:w="57" w:type="dxa"/>
              <w:right w:w="14" w:type="dxa"/>
            </w:tcMar>
          </w:tcPr>
          <w:p w14:paraId="3DB87BC1"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Total of Crown Land at Fair Value</w:t>
            </w:r>
          </w:p>
        </w:tc>
        <w:tc>
          <w:tcPr>
            <w:tcW w:w="1134" w:type="dxa"/>
            <w:tcBorders>
              <w:top w:val="single" w:sz="4" w:space="0" w:color="000000"/>
              <w:left w:val="single" w:sz="2" w:space="0" w:color="9D9C9C"/>
              <w:bottom w:val="single" w:sz="2" w:space="0" w:color="9D9C9C"/>
              <w:right w:val="single" w:sz="2" w:space="0" w:color="9D9C9C"/>
            </w:tcBorders>
            <w:tcMar>
              <w:top w:w="57" w:type="dxa"/>
              <w:left w:w="14" w:type="dxa"/>
              <w:bottom w:w="57" w:type="dxa"/>
              <w:right w:w="14" w:type="dxa"/>
            </w:tcMar>
          </w:tcPr>
          <w:p w14:paraId="697082F6" w14:textId="77777777" w:rsidR="0052306E" w:rsidRPr="0052306E" w:rsidRDefault="0052306E" w:rsidP="0052306E">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C5D0E2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672,125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8F3DE0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E98BA4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25,220 </w:t>
            </w:r>
          </w:p>
        </w:tc>
        <w:tc>
          <w:tcPr>
            <w:tcW w:w="1134" w:type="dxa"/>
            <w:tcBorders>
              <w:top w:val="single" w:sz="4" w:space="0" w:color="000000"/>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442F47E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646,905 </w:t>
            </w:r>
          </w:p>
        </w:tc>
      </w:tr>
      <w:tr w:rsidR="0052306E" w:rsidRPr="0052306E" w14:paraId="2AB8ECE5" w14:textId="77777777" w:rsidTr="0052306E">
        <w:trPr>
          <w:trHeight w:val="60"/>
        </w:trPr>
        <w:tc>
          <w:tcPr>
            <w:tcW w:w="4535"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71C6D0B2"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Buildings at Fair Value</w:t>
            </w:r>
          </w:p>
        </w:tc>
        <w:tc>
          <w:tcPr>
            <w:tcW w:w="113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34135D2"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7BAAE8E"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FC73B67"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93EB2A3"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5557F759" w14:textId="77777777" w:rsidR="0052306E" w:rsidRPr="0052306E" w:rsidRDefault="0052306E" w:rsidP="0052306E">
            <w:pPr>
              <w:widowControl/>
              <w:adjustRightInd w:val="0"/>
              <w:rPr>
                <w:rFonts w:eastAsia="Myriad Pro"/>
                <w:sz w:val="24"/>
                <w:szCs w:val="24"/>
                <w:lang w:val="en-GB"/>
              </w:rPr>
            </w:pPr>
          </w:p>
        </w:tc>
      </w:tr>
      <w:tr w:rsidR="0052306E" w:rsidRPr="0052306E" w14:paraId="4C16953F" w14:textId="77777777" w:rsidTr="0052306E">
        <w:trPr>
          <w:trHeight w:val="60"/>
        </w:trPr>
        <w:tc>
          <w:tcPr>
            <w:tcW w:w="4535"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1364E5AF"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Non-specialised buildings</w:t>
            </w:r>
            <w:r w:rsidRPr="0052306E">
              <w:rPr>
                <w:rFonts w:eastAsia="Myriad Pro"/>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0CC31E8"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4A3681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35,764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BDE5B1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C59FF9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35,764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63AF031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7849F723" w14:textId="77777777" w:rsidTr="0052306E">
        <w:trPr>
          <w:trHeight w:val="60"/>
        </w:trPr>
        <w:tc>
          <w:tcPr>
            <w:tcW w:w="4535"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19687073"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Specialised buildings</w:t>
            </w:r>
          </w:p>
        </w:tc>
        <w:tc>
          <w:tcPr>
            <w:tcW w:w="113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56AEA818"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573830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2,278,412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B76630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7C117C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55BABF4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2,278,412 </w:t>
            </w:r>
          </w:p>
        </w:tc>
      </w:tr>
      <w:tr w:rsidR="0052306E" w:rsidRPr="0052306E" w14:paraId="21D53F2F" w14:textId="77777777" w:rsidTr="0052306E">
        <w:trPr>
          <w:trHeight w:val="60"/>
        </w:trPr>
        <w:tc>
          <w:tcPr>
            <w:tcW w:w="4535"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489AF7D2"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Heritage assets</w:t>
            </w:r>
            <w:r w:rsidRPr="0052306E">
              <w:rPr>
                <w:rFonts w:eastAsia="Myriad Pro"/>
                <w:color w:val="000000"/>
                <w:sz w:val="24"/>
                <w:szCs w:val="24"/>
                <w:vertAlign w:val="superscript"/>
                <w:lang w:val="en-GB"/>
              </w:rPr>
              <w:t xml:space="preserve"> (c)</w:t>
            </w:r>
          </w:p>
        </w:tc>
        <w:tc>
          <w:tcPr>
            <w:tcW w:w="113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C2201BC"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FA9905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64,241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712598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602662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6516415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64,241 </w:t>
            </w:r>
          </w:p>
        </w:tc>
      </w:tr>
      <w:tr w:rsidR="0052306E" w:rsidRPr="0052306E" w14:paraId="1BC18CBD" w14:textId="77777777" w:rsidTr="0052306E">
        <w:trPr>
          <w:trHeight w:val="60"/>
        </w:trPr>
        <w:tc>
          <w:tcPr>
            <w:tcW w:w="4535"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0CE5B7BB"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Leasehold improvement</w:t>
            </w:r>
            <w:r w:rsidRPr="0052306E">
              <w:rPr>
                <w:rFonts w:eastAsia="Myriad Pro"/>
                <w:color w:val="000000"/>
                <w:sz w:val="24"/>
                <w:szCs w:val="24"/>
                <w:vertAlign w:val="superscript"/>
                <w:lang w:val="en-GB"/>
              </w:rPr>
              <w:t xml:space="preserve"> (d)</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63C6499D"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4902ED3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196,942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1053476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65E5F30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57" w:type="dxa"/>
              <w:left w:w="14" w:type="dxa"/>
              <w:bottom w:w="57" w:type="dxa"/>
              <w:right w:w="14" w:type="dxa"/>
            </w:tcMar>
          </w:tcPr>
          <w:p w14:paraId="41A96CD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196,942 </w:t>
            </w:r>
          </w:p>
        </w:tc>
      </w:tr>
      <w:tr w:rsidR="0052306E" w:rsidRPr="0052306E" w14:paraId="3ECA2530" w14:textId="77777777" w:rsidTr="0052306E">
        <w:trPr>
          <w:trHeight w:val="60"/>
        </w:trPr>
        <w:tc>
          <w:tcPr>
            <w:tcW w:w="4535" w:type="dxa"/>
            <w:tcBorders>
              <w:top w:val="single" w:sz="4" w:space="0" w:color="000000"/>
              <w:left w:val="single" w:sz="6" w:space="0" w:color="000000"/>
              <w:bottom w:val="single" w:sz="2" w:space="0" w:color="9D9C9C"/>
              <w:right w:val="single" w:sz="2" w:space="0" w:color="9D9C9C"/>
            </w:tcBorders>
            <w:tcMar>
              <w:top w:w="57" w:type="dxa"/>
              <w:left w:w="14" w:type="dxa"/>
              <w:bottom w:w="57" w:type="dxa"/>
              <w:right w:w="14" w:type="dxa"/>
            </w:tcMar>
          </w:tcPr>
          <w:p w14:paraId="6B40E235"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Total of Buildings at Fair Value</w:t>
            </w:r>
          </w:p>
        </w:tc>
        <w:tc>
          <w:tcPr>
            <w:tcW w:w="1134" w:type="dxa"/>
            <w:tcBorders>
              <w:top w:val="single" w:sz="4" w:space="0" w:color="000000"/>
              <w:left w:val="single" w:sz="2" w:space="0" w:color="9D9C9C"/>
              <w:bottom w:val="single" w:sz="2" w:space="0" w:color="9D9C9C"/>
              <w:right w:val="single" w:sz="2" w:space="0" w:color="9D9C9C"/>
            </w:tcBorders>
            <w:tcMar>
              <w:top w:w="57" w:type="dxa"/>
              <w:left w:w="14" w:type="dxa"/>
              <w:bottom w:w="57" w:type="dxa"/>
              <w:right w:w="14" w:type="dxa"/>
            </w:tcMar>
          </w:tcPr>
          <w:p w14:paraId="33330A42" w14:textId="77777777" w:rsidR="0052306E" w:rsidRPr="0052306E" w:rsidRDefault="0052306E" w:rsidP="0052306E">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81D5B5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2,575,359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9452E5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E10438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35,764 </w:t>
            </w:r>
          </w:p>
        </w:tc>
        <w:tc>
          <w:tcPr>
            <w:tcW w:w="1134" w:type="dxa"/>
            <w:tcBorders>
              <w:top w:val="single" w:sz="4" w:space="0" w:color="000000"/>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30FB968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2,539,595 </w:t>
            </w:r>
          </w:p>
        </w:tc>
      </w:tr>
      <w:tr w:rsidR="0052306E" w:rsidRPr="0052306E" w14:paraId="6BE0C7C2" w14:textId="77777777" w:rsidTr="0052306E">
        <w:trPr>
          <w:trHeight w:val="60"/>
        </w:trPr>
        <w:tc>
          <w:tcPr>
            <w:tcW w:w="4535"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6C01771B"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Plant, Equipment and Vehicles at Fair Value</w:t>
            </w:r>
          </w:p>
        </w:tc>
        <w:tc>
          <w:tcPr>
            <w:tcW w:w="113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F432A64"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EBE013E"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A4262DD"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FD7B317"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70FE6E77" w14:textId="77777777" w:rsidR="0052306E" w:rsidRPr="0052306E" w:rsidRDefault="0052306E" w:rsidP="0052306E">
            <w:pPr>
              <w:widowControl/>
              <w:adjustRightInd w:val="0"/>
              <w:rPr>
                <w:rFonts w:eastAsia="Myriad Pro"/>
                <w:sz w:val="24"/>
                <w:szCs w:val="24"/>
                <w:lang w:val="en-GB"/>
              </w:rPr>
            </w:pPr>
          </w:p>
        </w:tc>
      </w:tr>
      <w:tr w:rsidR="0052306E" w:rsidRPr="0052306E" w14:paraId="7137C891" w14:textId="77777777" w:rsidTr="0052306E">
        <w:trPr>
          <w:trHeight w:val="60"/>
        </w:trPr>
        <w:tc>
          <w:tcPr>
            <w:tcW w:w="4535"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295C597C"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Plant and equipment</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56E1B533"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2BF1467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361,788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6229DE8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7B4AFF4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57" w:type="dxa"/>
              <w:left w:w="14" w:type="dxa"/>
              <w:bottom w:w="57" w:type="dxa"/>
              <w:right w:w="14" w:type="dxa"/>
            </w:tcMar>
          </w:tcPr>
          <w:p w14:paraId="0730ABB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361,788 </w:t>
            </w:r>
          </w:p>
        </w:tc>
      </w:tr>
      <w:tr w:rsidR="0052306E" w:rsidRPr="0052306E" w14:paraId="05FD8DFC" w14:textId="77777777" w:rsidTr="0052306E">
        <w:trPr>
          <w:trHeight w:val="60"/>
        </w:trPr>
        <w:tc>
          <w:tcPr>
            <w:tcW w:w="4535" w:type="dxa"/>
            <w:tcBorders>
              <w:top w:val="single" w:sz="4" w:space="0" w:color="000000"/>
              <w:left w:val="single" w:sz="6" w:space="0" w:color="000000"/>
              <w:bottom w:val="single" w:sz="2" w:space="0" w:color="9D9C9C"/>
              <w:right w:val="single" w:sz="2" w:space="0" w:color="9D9C9C"/>
            </w:tcBorders>
            <w:tcMar>
              <w:top w:w="57" w:type="dxa"/>
              <w:left w:w="14" w:type="dxa"/>
              <w:bottom w:w="57" w:type="dxa"/>
              <w:right w:w="14" w:type="dxa"/>
            </w:tcMar>
          </w:tcPr>
          <w:p w14:paraId="04165B04"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Total Plant, Equipment and Vehicles at Fair Value</w:t>
            </w:r>
          </w:p>
        </w:tc>
        <w:tc>
          <w:tcPr>
            <w:tcW w:w="1134" w:type="dxa"/>
            <w:tcBorders>
              <w:top w:val="single" w:sz="4" w:space="0" w:color="000000"/>
              <w:left w:val="single" w:sz="2" w:space="0" w:color="9D9C9C"/>
              <w:bottom w:val="single" w:sz="2" w:space="0" w:color="9D9C9C"/>
              <w:right w:val="single" w:sz="2" w:space="0" w:color="9D9C9C"/>
            </w:tcBorders>
            <w:tcMar>
              <w:top w:w="57" w:type="dxa"/>
              <w:left w:w="14" w:type="dxa"/>
              <w:bottom w:w="57" w:type="dxa"/>
              <w:right w:w="14" w:type="dxa"/>
            </w:tcMar>
          </w:tcPr>
          <w:p w14:paraId="68AE5123" w14:textId="77777777" w:rsidR="0052306E" w:rsidRPr="0052306E" w:rsidRDefault="0052306E" w:rsidP="0052306E">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26B9DC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361,788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58FE07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BA3DA0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47F10FF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361,788 </w:t>
            </w:r>
          </w:p>
        </w:tc>
      </w:tr>
      <w:tr w:rsidR="0052306E" w:rsidRPr="0052306E" w14:paraId="643171DD" w14:textId="77777777" w:rsidTr="0052306E">
        <w:trPr>
          <w:trHeight w:val="60"/>
        </w:trPr>
        <w:tc>
          <w:tcPr>
            <w:tcW w:w="4535"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6B3CB291"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Cultural Assets at Fair Value</w:t>
            </w:r>
          </w:p>
        </w:tc>
        <w:tc>
          <w:tcPr>
            <w:tcW w:w="113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29B6375"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E433FDD"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4F6029D"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CCF084C"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7D7DF51E" w14:textId="77777777" w:rsidR="0052306E" w:rsidRPr="0052306E" w:rsidRDefault="0052306E" w:rsidP="0052306E">
            <w:pPr>
              <w:widowControl/>
              <w:adjustRightInd w:val="0"/>
              <w:rPr>
                <w:rFonts w:eastAsia="Myriad Pro"/>
                <w:sz w:val="24"/>
                <w:szCs w:val="24"/>
                <w:lang w:val="en-GB"/>
              </w:rPr>
            </w:pPr>
          </w:p>
        </w:tc>
      </w:tr>
      <w:tr w:rsidR="0052306E" w:rsidRPr="0052306E" w14:paraId="54FCFE40" w14:textId="77777777" w:rsidTr="0052306E">
        <w:trPr>
          <w:trHeight w:val="60"/>
        </w:trPr>
        <w:tc>
          <w:tcPr>
            <w:tcW w:w="4535"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57EA0FC3"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Artworks</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496B9BEF"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4049EF7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5,288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6F74D20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6FA9D43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57" w:type="dxa"/>
              <w:left w:w="14" w:type="dxa"/>
              <w:bottom w:w="57" w:type="dxa"/>
              <w:right w:w="14" w:type="dxa"/>
            </w:tcMar>
          </w:tcPr>
          <w:p w14:paraId="613F506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5,288 </w:t>
            </w:r>
          </w:p>
        </w:tc>
      </w:tr>
      <w:tr w:rsidR="0052306E" w:rsidRPr="0052306E" w14:paraId="0A04467F" w14:textId="77777777" w:rsidTr="0052306E">
        <w:trPr>
          <w:trHeight w:val="60"/>
        </w:trPr>
        <w:tc>
          <w:tcPr>
            <w:tcW w:w="4535" w:type="dxa"/>
            <w:tcBorders>
              <w:top w:val="single" w:sz="4" w:space="0" w:color="000000"/>
              <w:left w:val="single" w:sz="6" w:space="0" w:color="9D9C9C"/>
              <w:bottom w:val="single" w:sz="8" w:space="0" w:color="000000"/>
              <w:right w:val="single" w:sz="2" w:space="0" w:color="9D9C9C"/>
            </w:tcBorders>
            <w:tcMar>
              <w:top w:w="57" w:type="dxa"/>
              <w:left w:w="14" w:type="dxa"/>
              <w:bottom w:w="57" w:type="dxa"/>
              <w:right w:w="14" w:type="dxa"/>
            </w:tcMar>
          </w:tcPr>
          <w:p w14:paraId="08B2ADE0"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Total of Cultural Assets at Fair Value</w:t>
            </w:r>
          </w:p>
        </w:tc>
        <w:tc>
          <w:tcPr>
            <w:tcW w:w="113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49C52EEF" w14:textId="77777777" w:rsidR="0052306E" w:rsidRPr="0052306E" w:rsidRDefault="0052306E" w:rsidP="0052306E">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2CA6686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5,288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06FF3E1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08FE8F1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   </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57" w:type="dxa"/>
              <w:left w:w="14" w:type="dxa"/>
              <w:bottom w:w="57" w:type="dxa"/>
              <w:right w:w="14" w:type="dxa"/>
            </w:tcMar>
          </w:tcPr>
          <w:p w14:paraId="28C433C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5,288 </w:t>
            </w:r>
          </w:p>
        </w:tc>
      </w:tr>
    </w:tbl>
    <w:p w14:paraId="1CBB3286" w14:textId="77777777" w:rsidR="00345EE3" w:rsidRPr="00AC6ADA" w:rsidRDefault="00345EE3" w:rsidP="00345EE3">
      <w:pPr>
        <w:spacing w:before="74"/>
        <w:ind w:left="110"/>
        <w:rPr>
          <w:rFonts w:ascii="Arial-BoldItalicMT"/>
          <w:b/>
          <w:i/>
          <w:sz w:val="18"/>
          <w:szCs w:val="18"/>
        </w:rPr>
      </w:pPr>
      <w:r w:rsidRPr="00AC6ADA">
        <w:rPr>
          <w:rFonts w:ascii="Arial-BoldItalicMT"/>
          <w:b/>
          <w:i/>
          <w:color w:val="231F20"/>
          <w:spacing w:val="-2"/>
          <w:sz w:val="18"/>
          <w:szCs w:val="18"/>
        </w:rPr>
        <w:t>Notes:</w:t>
      </w:r>
    </w:p>
    <w:p w14:paraId="548DFC1F" w14:textId="77777777" w:rsidR="00345EE3" w:rsidRPr="00AC6ADA" w:rsidRDefault="00345EE3">
      <w:pPr>
        <w:pStyle w:val="ListParagraph"/>
        <w:numPr>
          <w:ilvl w:val="0"/>
          <w:numId w:val="10"/>
        </w:numPr>
        <w:tabs>
          <w:tab w:val="left" w:pos="338"/>
        </w:tabs>
        <w:spacing w:before="27"/>
        <w:ind w:hanging="228"/>
        <w:rPr>
          <w:sz w:val="18"/>
          <w:szCs w:val="18"/>
        </w:rPr>
      </w:pPr>
      <w:r w:rsidRPr="00AC6ADA">
        <w:rPr>
          <w:color w:val="231F20"/>
          <w:sz w:val="18"/>
          <w:szCs w:val="18"/>
        </w:rPr>
        <w:t>Classified</w:t>
      </w:r>
      <w:r w:rsidRPr="00AC6ADA">
        <w:rPr>
          <w:color w:val="231F20"/>
          <w:spacing w:val="-1"/>
          <w:sz w:val="18"/>
          <w:szCs w:val="18"/>
        </w:rPr>
        <w:t xml:space="preserve"> </w:t>
      </w:r>
      <w:r w:rsidRPr="00AC6ADA">
        <w:rPr>
          <w:color w:val="231F20"/>
          <w:sz w:val="18"/>
          <w:szCs w:val="18"/>
        </w:rPr>
        <w:t>in</w:t>
      </w:r>
      <w:r w:rsidRPr="00AC6ADA">
        <w:rPr>
          <w:color w:val="231F20"/>
          <w:spacing w:val="-1"/>
          <w:sz w:val="18"/>
          <w:szCs w:val="18"/>
        </w:rPr>
        <w:t xml:space="preserve"> </w:t>
      </w:r>
      <w:r w:rsidRPr="00AC6ADA">
        <w:rPr>
          <w:color w:val="231F20"/>
          <w:sz w:val="18"/>
          <w:szCs w:val="18"/>
        </w:rPr>
        <w:t>accordance</w:t>
      </w:r>
      <w:r w:rsidRPr="00AC6ADA">
        <w:rPr>
          <w:color w:val="231F20"/>
          <w:spacing w:val="-1"/>
          <w:sz w:val="18"/>
          <w:szCs w:val="18"/>
        </w:rPr>
        <w:t xml:space="preserve"> </w:t>
      </w:r>
      <w:r w:rsidRPr="00AC6ADA">
        <w:rPr>
          <w:color w:val="231F20"/>
          <w:sz w:val="18"/>
          <w:szCs w:val="18"/>
        </w:rPr>
        <w:t>with</w:t>
      </w:r>
      <w:r w:rsidRPr="00AC6ADA">
        <w:rPr>
          <w:color w:val="231F20"/>
          <w:spacing w:val="-1"/>
          <w:sz w:val="18"/>
          <w:szCs w:val="18"/>
        </w:rPr>
        <w:t xml:space="preserve"> </w:t>
      </w:r>
      <w:r w:rsidRPr="00AC6ADA">
        <w:rPr>
          <w:color w:val="231F20"/>
          <w:sz w:val="18"/>
          <w:szCs w:val="18"/>
        </w:rPr>
        <w:t>the</w:t>
      </w:r>
      <w:r w:rsidRPr="00AC6ADA">
        <w:rPr>
          <w:color w:val="231F20"/>
          <w:spacing w:val="-1"/>
          <w:sz w:val="18"/>
          <w:szCs w:val="18"/>
        </w:rPr>
        <w:t xml:space="preserve"> </w:t>
      </w:r>
      <w:r w:rsidRPr="00AC6ADA">
        <w:rPr>
          <w:color w:val="231F20"/>
          <w:sz w:val="18"/>
          <w:szCs w:val="18"/>
        </w:rPr>
        <w:t>fair</w:t>
      </w:r>
      <w:r w:rsidRPr="00AC6ADA">
        <w:rPr>
          <w:color w:val="231F20"/>
          <w:spacing w:val="-1"/>
          <w:sz w:val="18"/>
          <w:szCs w:val="18"/>
        </w:rPr>
        <w:t xml:space="preserve"> </w:t>
      </w:r>
      <w:r w:rsidRPr="00AC6ADA">
        <w:rPr>
          <w:color w:val="231F20"/>
          <w:sz w:val="18"/>
          <w:szCs w:val="18"/>
        </w:rPr>
        <w:t>value</w:t>
      </w:r>
      <w:r w:rsidRPr="00AC6ADA">
        <w:rPr>
          <w:color w:val="231F20"/>
          <w:spacing w:val="-1"/>
          <w:sz w:val="18"/>
          <w:szCs w:val="18"/>
        </w:rPr>
        <w:t xml:space="preserve"> </w:t>
      </w:r>
      <w:r w:rsidRPr="00AC6ADA">
        <w:rPr>
          <w:color w:val="231F20"/>
          <w:spacing w:val="-2"/>
          <w:sz w:val="18"/>
          <w:szCs w:val="18"/>
        </w:rPr>
        <w:t>hierarchy.</w:t>
      </w:r>
    </w:p>
    <w:p w14:paraId="660E0900" w14:textId="77777777" w:rsidR="00345EE3" w:rsidRPr="00AC6ADA" w:rsidRDefault="00345EE3">
      <w:pPr>
        <w:pStyle w:val="ListParagraph"/>
        <w:numPr>
          <w:ilvl w:val="0"/>
          <w:numId w:val="10"/>
        </w:numPr>
        <w:tabs>
          <w:tab w:val="left" w:pos="338"/>
        </w:tabs>
        <w:spacing w:before="27"/>
        <w:ind w:hanging="228"/>
        <w:rPr>
          <w:sz w:val="18"/>
          <w:szCs w:val="18"/>
        </w:rPr>
      </w:pPr>
      <w:r w:rsidRPr="00AC6ADA">
        <w:rPr>
          <w:color w:val="231F20"/>
          <w:sz w:val="18"/>
          <w:szCs w:val="18"/>
        </w:rPr>
        <w:t>Non-specialised land and buildings are</w:t>
      </w:r>
      <w:r w:rsidRPr="00AC6ADA">
        <w:rPr>
          <w:color w:val="231F20"/>
          <w:spacing w:val="1"/>
          <w:sz w:val="18"/>
          <w:szCs w:val="18"/>
        </w:rPr>
        <w:t xml:space="preserve"> </w:t>
      </w:r>
      <w:r w:rsidRPr="00AC6ADA">
        <w:rPr>
          <w:color w:val="231F20"/>
          <w:sz w:val="18"/>
          <w:szCs w:val="18"/>
        </w:rPr>
        <w:t>residential properties used by Sworn</w:t>
      </w:r>
      <w:r w:rsidRPr="00AC6ADA">
        <w:rPr>
          <w:color w:val="231F20"/>
          <w:spacing w:val="1"/>
          <w:sz w:val="18"/>
          <w:szCs w:val="18"/>
        </w:rPr>
        <w:t xml:space="preserve"> </w:t>
      </w:r>
      <w:r w:rsidRPr="00AC6ADA">
        <w:rPr>
          <w:color w:val="231F20"/>
          <w:spacing w:val="-2"/>
          <w:sz w:val="18"/>
          <w:szCs w:val="18"/>
        </w:rPr>
        <w:t>members.</w:t>
      </w:r>
    </w:p>
    <w:p w14:paraId="437C39BD" w14:textId="77777777" w:rsidR="00345EE3" w:rsidRPr="00AC6ADA" w:rsidRDefault="00345EE3">
      <w:pPr>
        <w:pStyle w:val="ListParagraph"/>
        <w:numPr>
          <w:ilvl w:val="0"/>
          <w:numId w:val="10"/>
        </w:numPr>
        <w:tabs>
          <w:tab w:val="left" w:pos="338"/>
        </w:tabs>
        <w:spacing w:before="28"/>
        <w:ind w:hanging="228"/>
        <w:rPr>
          <w:sz w:val="18"/>
          <w:szCs w:val="18"/>
        </w:rPr>
      </w:pPr>
      <w:r w:rsidRPr="00AC6ADA">
        <w:rPr>
          <w:color w:val="231F20"/>
          <w:sz w:val="18"/>
          <w:szCs w:val="18"/>
        </w:rPr>
        <w:t>These</w:t>
      </w:r>
      <w:r w:rsidRPr="00AC6ADA">
        <w:rPr>
          <w:color w:val="231F20"/>
          <w:spacing w:val="-3"/>
          <w:sz w:val="18"/>
          <w:szCs w:val="18"/>
        </w:rPr>
        <w:t xml:space="preserve"> </w:t>
      </w:r>
      <w:r w:rsidRPr="00AC6ADA">
        <w:rPr>
          <w:color w:val="231F20"/>
          <w:sz w:val="18"/>
          <w:szCs w:val="18"/>
        </w:rPr>
        <w:t>heritage</w:t>
      </w:r>
      <w:r w:rsidRPr="00AC6ADA">
        <w:rPr>
          <w:color w:val="231F20"/>
          <w:spacing w:val="-1"/>
          <w:sz w:val="18"/>
          <w:szCs w:val="18"/>
        </w:rPr>
        <w:t xml:space="preserve"> </w:t>
      </w:r>
      <w:r w:rsidRPr="00AC6ADA">
        <w:rPr>
          <w:color w:val="231F20"/>
          <w:sz w:val="18"/>
          <w:szCs w:val="18"/>
        </w:rPr>
        <w:t>assets</w:t>
      </w:r>
      <w:r w:rsidRPr="00AC6ADA">
        <w:rPr>
          <w:color w:val="231F20"/>
          <w:spacing w:val="-1"/>
          <w:sz w:val="18"/>
          <w:szCs w:val="18"/>
        </w:rPr>
        <w:t xml:space="preserve"> </w:t>
      </w:r>
      <w:r w:rsidRPr="00AC6ADA">
        <w:rPr>
          <w:color w:val="231F20"/>
          <w:sz w:val="18"/>
          <w:szCs w:val="18"/>
        </w:rPr>
        <w:t>cannot be</w:t>
      </w:r>
      <w:r w:rsidRPr="00AC6ADA">
        <w:rPr>
          <w:color w:val="231F20"/>
          <w:spacing w:val="-1"/>
          <w:sz w:val="18"/>
          <w:szCs w:val="18"/>
        </w:rPr>
        <w:t xml:space="preserve"> </w:t>
      </w:r>
      <w:r w:rsidRPr="00AC6ADA">
        <w:rPr>
          <w:color w:val="231F20"/>
          <w:sz w:val="18"/>
          <w:szCs w:val="18"/>
        </w:rPr>
        <w:t>modified</w:t>
      </w:r>
      <w:r w:rsidRPr="00AC6ADA">
        <w:rPr>
          <w:color w:val="231F20"/>
          <w:spacing w:val="-1"/>
          <w:sz w:val="18"/>
          <w:szCs w:val="18"/>
        </w:rPr>
        <w:t xml:space="preserve"> </w:t>
      </w:r>
      <w:r w:rsidRPr="00AC6ADA">
        <w:rPr>
          <w:color w:val="231F20"/>
          <w:sz w:val="18"/>
          <w:szCs w:val="18"/>
        </w:rPr>
        <w:t>nor</w:t>
      </w:r>
      <w:r w:rsidRPr="00AC6ADA">
        <w:rPr>
          <w:color w:val="231F20"/>
          <w:spacing w:val="-1"/>
          <w:sz w:val="18"/>
          <w:szCs w:val="18"/>
        </w:rPr>
        <w:t xml:space="preserve"> </w:t>
      </w:r>
      <w:r w:rsidRPr="00AC6ADA">
        <w:rPr>
          <w:color w:val="231F20"/>
          <w:sz w:val="18"/>
          <w:szCs w:val="18"/>
        </w:rPr>
        <w:t>disposed of</w:t>
      </w:r>
      <w:r w:rsidRPr="00AC6ADA">
        <w:rPr>
          <w:color w:val="231F20"/>
          <w:spacing w:val="-1"/>
          <w:sz w:val="18"/>
          <w:szCs w:val="18"/>
        </w:rPr>
        <w:t xml:space="preserve"> </w:t>
      </w:r>
      <w:r w:rsidRPr="00AC6ADA">
        <w:rPr>
          <w:color w:val="231F20"/>
          <w:sz w:val="18"/>
          <w:szCs w:val="18"/>
        </w:rPr>
        <w:t>without</w:t>
      </w:r>
      <w:r w:rsidRPr="00AC6ADA">
        <w:rPr>
          <w:color w:val="231F20"/>
          <w:spacing w:val="-1"/>
          <w:sz w:val="18"/>
          <w:szCs w:val="18"/>
        </w:rPr>
        <w:t xml:space="preserve"> </w:t>
      </w:r>
      <w:r w:rsidRPr="00AC6ADA">
        <w:rPr>
          <w:color w:val="231F20"/>
          <w:sz w:val="18"/>
          <w:szCs w:val="18"/>
        </w:rPr>
        <w:t>formal</w:t>
      </w:r>
      <w:r w:rsidRPr="00AC6ADA">
        <w:rPr>
          <w:color w:val="231F20"/>
          <w:spacing w:val="-1"/>
          <w:sz w:val="18"/>
          <w:szCs w:val="18"/>
        </w:rPr>
        <w:t xml:space="preserve"> </w:t>
      </w:r>
      <w:r w:rsidRPr="00AC6ADA">
        <w:rPr>
          <w:color w:val="231F20"/>
          <w:sz w:val="18"/>
          <w:szCs w:val="18"/>
        </w:rPr>
        <w:t xml:space="preserve">ministerial </w:t>
      </w:r>
      <w:r w:rsidRPr="00AC6ADA">
        <w:rPr>
          <w:color w:val="231F20"/>
          <w:spacing w:val="-2"/>
          <w:sz w:val="18"/>
          <w:szCs w:val="18"/>
        </w:rPr>
        <w:t>approval.</w:t>
      </w:r>
    </w:p>
    <w:p w14:paraId="0FBFE15A" w14:textId="77777777" w:rsidR="00345EE3" w:rsidRPr="00AC6ADA" w:rsidRDefault="00345EE3">
      <w:pPr>
        <w:pStyle w:val="ListParagraph"/>
        <w:numPr>
          <w:ilvl w:val="0"/>
          <w:numId w:val="10"/>
        </w:numPr>
        <w:tabs>
          <w:tab w:val="left" w:pos="338"/>
        </w:tabs>
        <w:spacing w:before="27"/>
        <w:ind w:hanging="228"/>
        <w:rPr>
          <w:sz w:val="18"/>
          <w:szCs w:val="18"/>
        </w:rPr>
      </w:pPr>
      <w:r w:rsidRPr="00AC6ADA">
        <w:rPr>
          <w:color w:val="231F20"/>
          <w:sz w:val="18"/>
          <w:szCs w:val="18"/>
        </w:rPr>
        <w:t>This</w:t>
      </w:r>
      <w:r w:rsidRPr="00AC6ADA">
        <w:rPr>
          <w:color w:val="231F20"/>
          <w:spacing w:val="-5"/>
          <w:sz w:val="18"/>
          <w:szCs w:val="18"/>
        </w:rPr>
        <w:t xml:space="preserve"> </w:t>
      </w:r>
      <w:r w:rsidRPr="00AC6ADA">
        <w:rPr>
          <w:color w:val="231F20"/>
          <w:sz w:val="18"/>
          <w:szCs w:val="18"/>
        </w:rPr>
        <w:t>amount</w:t>
      </w:r>
      <w:r w:rsidRPr="00AC6ADA">
        <w:rPr>
          <w:color w:val="231F20"/>
          <w:spacing w:val="-3"/>
          <w:sz w:val="18"/>
          <w:szCs w:val="18"/>
        </w:rPr>
        <w:t xml:space="preserve"> </w:t>
      </w:r>
      <w:r w:rsidRPr="00AC6ADA">
        <w:rPr>
          <w:color w:val="231F20"/>
          <w:sz w:val="18"/>
          <w:szCs w:val="18"/>
        </w:rPr>
        <w:t>forms</w:t>
      </w:r>
      <w:r w:rsidRPr="00AC6ADA">
        <w:rPr>
          <w:color w:val="231F20"/>
          <w:spacing w:val="-3"/>
          <w:sz w:val="18"/>
          <w:szCs w:val="18"/>
        </w:rPr>
        <w:t xml:space="preserve"> </w:t>
      </w:r>
      <w:r w:rsidRPr="00AC6ADA">
        <w:rPr>
          <w:color w:val="231F20"/>
          <w:sz w:val="18"/>
          <w:szCs w:val="18"/>
        </w:rPr>
        <w:t>part</w:t>
      </w:r>
      <w:r w:rsidRPr="00AC6ADA">
        <w:rPr>
          <w:color w:val="231F20"/>
          <w:spacing w:val="-3"/>
          <w:sz w:val="18"/>
          <w:szCs w:val="18"/>
        </w:rPr>
        <w:t xml:space="preserve"> </w:t>
      </w:r>
      <w:r w:rsidRPr="00AC6ADA">
        <w:rPr>
          <w:color w:val="231F20"/>
          <w:sz w:val="18"/>
          <w:szCs w:val="18"/>
        </w:rPr>
        <w:t>of</w:t>
      </w:r>
      <w:r w:rsidRPr="00AC6ADA">
        <w:rPr>
          <w:color w:val="231F20"/>
          <w:spacing w:val="-3"/>
          <w:sz w:val="18"/>
          <w:szCs w:val="18"/>
        </w:rPr>
        <w:t xml:space="preserve"> </w:t>
      </w:r>
      <w:r w:rsidRPr="00AC6ADA">
        <w:rPr>
          <w:color w:val="231F20"/>
          <w:sz w:val="18"/>
          <w:szCs w:val="18"/>
        </w:rPr>
        <w:t>the</w:t>
      </w:r>
      <w:r w:rsidRPr="00AC6ADA">
        <w:rPr>
          <w:color w:val="231F20"/>
          <w:spacing w:val="-3"/>
          <w:sz w:val="18"/>
          <w:szCs w:val="18"/>
        </w:rPr>
        <w:t xml:space="preserve"> </w:t>
      </w:r>
      <w:r w:rsidRPr="00AC6ADA">
        <w:rPr>
          <w:color w:val="231F20"/>
          <w:sz w:val="18"/>
          <w:szCs w:val="18"/>
        </w:rPr>
        <w:t>balance</w:t>
      </w:r>
      <w:r w:rsidRPr="00AC6ADA">
        <w:rPr>
          <w:color w:val="231F20"/>
          <w:spacing w:val="-3"/>
          <w:sz w:val="18"/>
          <w:szCs w:val="18"/>
        </w:rPr>
        <w:t xml:space="preserve"> </w:t>
      </w:r>
      <w:r w:rsidRPr="00AC6ADA">
        <w:rPr>
          <w:color w:val="231F20"/>
          <w:sz w:val="18"/>
          <w:szCs w:val="18"/>
        </w:rPr>
        <w:t>for</w:t>
      </w:r>
      <w:r w:rsidRPr="00AC6ADA">
        <w:rPr>
          <w:color w:val="231F20"/>
          <w:spacing w:val="-3"/>
          <w:sz w:val="18"/>
          <w:szCs w:val="18"/>
        </w:rPr>
        <w:t xml:space="preserve"> </w:t>
      </w:r>
      <w:r w:rsidRPr="00AC6ADA">
        <w:rPr>
          <w:color w:val="231F20"/>
          <w:sz w:val="18"/>
          <w:szCs w:val="18"/>
        </w:rPr>
        <w:t>Buildings</w:t>
      </w:r>
      <w:r w:rsidRPr="00AC6ADA">
        <w:rPr>
          <w:color w:val="231F20"/>
          <w:spacing w:val="-3"/>
          <w:sz w:val="18"/>
          <w:szCs w:val="18"/>
        </w:rPr>
        <w:t xml:space="preserve"> </w:t>
      </w:r>
      <w:r w:rsidRPr="00AC6ADA">
        <w:rPr>
          <w:color w:val="231F20"/>
          <w:sz w:val="18"/>
          <w:szCs w:val="18"/>
        </w:rPr>
        <w:t>at</w:t>
      </w:r>
      <w:r w:rsidRPr="00AC6ADA">
        <w:rPr>
          <w:color w:val="231F20"/>
          <w:spacing w:val="-3"/>
          <w:sz w:val="18"/>
          <w:szCs w:val="18"/>
        </w:rPr>
        <w:t xml:space="preserve"> </w:t>
      </w:r>
      <w:r w:rsidRPr="00AC6ADA">
        <w:rPr>
          <w:color w:val="231F20"/>
          <w:sz w:val="18"/>
          <w:szCs w:val="18"/>
        </w:rPr>
        <w:t>Fair</w:t>
      </w:r>
      <w:r w:rsidRPr="00AC6ADA">
        <w:rPr>
          <w:color w:val="231F20"/>
          <w:spacing w:val="-3"/>
          <w:sz w:val="18"/>
          <w:szCs w:val="18"/>
        </w:rPr>
        <w:t xml:space="preserve"> </w:t>
      </w:r>
      <w:r w:rsidRPr="00AC6ADA">
        <w:rPr>
          <w:color w:val="231F20"/>
          <w:sz w:val="18"/>
          <w:szCs w:val="18"/>
        </w:rPr>
        <w:t>Value</w:t>
      </w:r>
      <w:r w:rsidRPr="00AC6ADA">
        <w:rPr>
          <w:color w:val="231F20"/>
          <w:spacing w:val="-3"/>
          <w:sz w:val="18"/>
          <w:szCs w:val="18"/>
        </w:rPr>
        <w:t xml:space="preserve"> </w:t>
      </w:r>
      <w:r w:rsidRPr="00AC6ADA">
        <w:rPr>
          <w:color w:val="231F20"/>
          <w:sz w:val="18"/>
          <w:szCs w:val="18"/>
        </w:rPr>
        <w:t>(Excluding</w:t>
      </w:r>
      <w:r w:rsidRPr="00AC6ADA">
        <w:rPr>
          <w:color w:val="231F20"/>
          <w:spacing w:val="-3"/>
          <w:sz w:val="18"/>
          <w:szCs w:val="18"/>
        </w:rPr>
        <w:t xml:space="preserve"> </w:t>
      </w:r>
      <w:r w:rsidRPr="00AC6ADA">
        <w:rPr>
          <w:color w:val="231F20"/>
          <w:sz w:val="18"/>
          <w:szCs w:val="18"/>
        </w:rPr>
        <w:t>Heritage</w:t>
      </w:r>
      <w:r w:rsidRPr="00AC6ADA">
        <w:rPr>
          <w:color w:val="231F20"/>
          <w:spacing w:val="-3"/>
          <w:sz w:val="18"/>
          <w:szCs w:val="18"/>
        </w:rPr>
        <w:t xml:space="preserve"> </w:t>
      </w:r>
      <w:r w:rsidRPr="00AC6ADA">
        <w:rPr>
          <w:color w:val="231F20"/>
          <w:sz w:val="18"/>
          <w:szCs w:val="18"/>
        </w:rPr>
        <w:t>Buildings)</w:t>
      </w:r>
      <w:r w:rsidRPr="00AC6ADA">
        <w:rPr>
          <w:color w:val="231F20"/>
          <w:spacing w:val="-3"/>
          <w:sz w:val="18"/>
          <w:szCs w:val="18"/>
        </w:rPr>
        <w:t xml:space="preserve"> </w:t>
      </w:r>
      <w:r w:rsidRPr="00AC6ADA">
        <w:rPr>
          <w:color w:val="231F20"/>
          <w:sz w:val="18"/>
          <w:szCs w:val="18"/>
        </w:rPr>
        <w:t>in</w:t>
      </w:r>
      <w:r w:rsidRPr="00AC6ADA">
        <w:rPr>
          <w:color w:val="231F20"/>
          <w:spacing w:val="-3"/>
          <w:sz w:val="18"/>
          <w:szCs w:val="18"/>
        </w:rPr>
        <w:t xml:space="preserve"> </w:t>
      </w:r>
      <w:r w:rsidRPr="00AC6ADA">
        <w:rPr>
          <w:color w:val="231F20"/>
          <w:sz w:val="18"/>
          <w:szCs w:val="18"/>
        </w:rPr>
        <w:t>Note</w:t>
      </w:r>
      <w:r w:rsidRPr="00AC6ADA">
        <w:rPr>
          <w:color w:val="231F20"/>
          <w:spacing w:val="-3"/>
          <w:sz w:val="18"/>
          <w:szCs w:val="18"/>
        </w:rPr>
        <w:t xml:space="preserve"> </w:t>
      </w:r>
      <w:r w:rsidRPr="00AC6ADA">
        <w:rPr>
          <w:color w:val="231F20"/>
          <w:sz w:val="18"/>
          <w:szCs w:val="18"/>
        </w:rPr>
        <w:t>5.1</w:t>
      </w:r>
      <w:r w:rsidRPr="00AC6ADA">
        <w:rPr>
          <w:color w:val="231F20"/>
          <w:spacing w:val="-3"/>
          <w:sz w:val="18"/>
          <w:szCs w:val="18"/>
        </w:rPr>
        <w:t xml:space="preserve"> </w:t>
      </w:r>
      <w:r w:rsidRPr="00AC6ADA">
        <w:rPr>
          <w:color w:val="231F20"/>
          <w:sz w:val="18"/>
          <w:szCs w:val="18"/>
        </w:rPr>
        <w:t>Property,</w:t>
      </w:r>
      <w:r w:rsidRPr="00AC6ADA">
        <w:rPr>
          <w:color w:val="231F20"/>
          <w:spacing w:val="-3"/>
          <w:sz w:val="18"/>
          <w:szCs w:val="18"/>
        </w:rPr>
        <w:t xml:space="preserve"> </w:t>
      </w:r>
      <w:r w:rsidRPr="00AC6ADA">
        <w:rPr>
          <w:color w:val="231F20"/>
          <w:sz w:val="18"/>
          <w:szCs w:val="18"/>
        </w:rPr>
        <w:t>Plant</w:t>
      </w:r>
      <w:r w:rsidRPr="00AC6ADA">
        <w:rPr>
          <w:color w:val="231F20"/>
          <w:spacing w:val="-3"/>
          <w:sz w:val="18"/>
          <w:szCs w:val="18"/>
        </w:rPr>
        <w:t xml:space="preserve"> </w:t>
      </w:r>
      <w:r w:rsidRPr="00AC6ADA">
        <w:rPr>
          <w:color w:val="231F20"/>
          <w:sz w:val="18"/>
          <w:szCs w:val="18"/>
        </w:rPr>
        <w:t>and</w:t>
      </w:r>
      <w:r w:rsidRPr="00AC6ADA">
        <w:rPr>
          <w:color w:val="231F20"/>
          <w:spacing w:val="-3"/>
          <w:sz w:val="18"/>
          <w:szCs w:val="18"/>
        </w:rPr>
        <w:t xml:space="preserve"> </w:t>
      </w:r>
      <w:r w:rsidRPr="00AC6ADA">
        <w:rPr>
          <w:color w:val="231F20"/>
          <w:spacing w:val="-2"/>
          <w:sz w:val="18"/>
          <w:szCs w:val="18"/>
        </w:rPr>
        <w:t>Equipment.</w:t>
      </w:r>
    </w:p>
    <w:p w14:paraId="4F34FD6E" w14:textId="77777777" w:rsidR="00345EE3" w:rsidRDefault="00345EE3" w:rsidP="00345EE3">
      <w:pPr>
        <w:pStyle w:val="BodyText"/>
        <w:spacing w:before="10"/>
        <w:rPr>
          <w:sz w:val="21"/>
        </w:rPr>
      </w:pPr>
    </w:p>
    <w:p w14:paraId="3EEB4698" w14:textId="77777777" w:rsidR="00345EE3" w:rsidRDefault="00345EE3" w:rsidP="00345EE3">
      <w:pPr>
        <w:rPr>
          <w:color w:val="231F20"/>
          <w:sz w:val="24"/>
          <w:szCs w:val="24"/>
        </w:rPr>
      </w:pPr>
      <w:r>
        <w:rPr>
          <w:color w:val="231F20"/>
        </w:rPr>
        <w:br w:type="page"/>
      </w:r>
    </w:p>
    <w:p w14:paraId="630002B1" w14:textId="77777777" w:rsidR="00345EE3" w:rsidRDefault="00345EE3" w:rsidP="00345EE3">
      <w:pPr>
        <w:pStyle w:val="BodyText"/>
        <w:spacing w:before="60"/>
      </w:pPr>
      <w:r>
        <w:rPr>
          <w:color w:val="231F20"/>
        </w:rPr>
        <w:t>There</w:t>
      </w:r>
      <w:r>
        <w:rPr>
          <w:color w:val="231F20"/>
          <w:spacing w:val="-12"/>
        </w:rPr>
        <w:t xml:space="preserve"> </w:t>
      </w:r>
      <w:r>
        <w:rPr>
          <w:color w:val="231F20"/>
        </w:rPr>
        <w:t>have</w:t>
      </w:r>
      <w:r>
        <w:rPr>
          <w:color w:val="231F20"/>
          <w:spacing w:val="-9"/>
        </w:rPr>
        <w:t xml:space="preserve"> </w:t>
      </w:r>
      <w:r>
        <w:rPr>
          <w:color w:val="231F20"/>
        </w:rPr>
        <w:t>been</w:t>
      </w:r>
      <w:r>
        <w:rPr>
          <w:color w:val="231F20"/>
          <w:spacing w:val="-9"/>
        </w:rPr>
        <w:t xml:space="preserve"> </w:t>
      </w:r>
      <w:r>
        <w:rPr>
          <w:color w:val="231F20"/>
        </w:rPr>
        <w:t>no</w:t>
      </w:r>
      <w:r>
        <w:rPr>
          <w:color w:val="231F20"/>
          <w:spacing w:val="-9"/>
        </w:rPr>
        <w:t xml:space="preserve"> </w:t>
      </w:r>
      <w:r>
        <w:rPr>
          <w:color w:val="231F20"/>
        </w:rPr>
        <w:t>transfers</w:t>
      </w:r>
      <w:r>
        <w:rPr>
          <w:color w:val="231F20"/>
          <w:spacing w:val="-9"/>
        </w:rPr>
        <w:t xml:space="preserve"> </w:t>
      </w:r>
      <w:r>
        <w:rPr>
          <w:color w:val="231F20"/>
        </w:rPr>
        <w:t>between</w:t>
      </w:r>
      <w:r>
        <w:rPr>
          <w:color w:val="231F20"/>
          <w:spacing w:val="-9"/>
        </w:rPr>
        <w:t xml:space="preserve"> </w:t>
      </w:r>
      <w:r>
        <w:rPr>
          <w:color w:val="231F20"/>
        </w:rPr>
        <w:t>levels</w:t>
      </w:r>
      <w:r>
        <w:rPr>
          <w:color w:val="231F20"/>
          <w:spacing w:val="-8"/>
        </w:rPr>
        <w:t xml:space="preserve"> </w:t>
      </w:r>
      <w:r>
        <w:rPr>
          <w:color w:val="231F20"/>
        </w:rPr>
        <w:t>during</w:t>
      </w:r>
      <w:r>
        <w:rPr>
          <w:color w:val="231F20"/>
          <w:spacing w:val="-9"/>
        </w:rPr>
        <w:t xml:space="preserve"> </w:t>
      </w:r>
      <w:r>
        <w:rPr>
          <w:color w:val="231F20"/>
        </w:rPr>
        <w:t>the</w:t>
      </w:r>
      <w:r>
        <w:rPr>
          <w:color w:val="231F20"/>
          <w:spacing w:val="-9"/>
        </w:rPr>
        <w:t xml:space="preserve"> </w:t>
      </w:r>
      <w:r>
        <w:rPr>
          <w:color w:val="231F20"/>
          <w:spacing w:val="-2"/>
        </w:rPr>
        <w:t>year.</w:t>
      </w:r>
    </w:p>
    <w:p w14:paraId="12743977" w14:textId="77777777" w:rsidR="00345EE3" w:rsidRDefault="00345EE3" w:rsidP="00345EE3">
      <w:pPr>
        <w:spacing w:before="118" w:line="242" w:lineRule="auto"/>
        <w:ind w:left="110" w:right="115"/>
        <w:rPr>
          <w:sz w:val="24"/>
        </w:rPr>
      </w:pPr>
      <w:r>
        <w:rPr>
          <w:b/>
          <w:color w:val="231F20"/>
          <w:sz w:val="24"/>
        </w:rPr>
        <w:t xml:space="preserve">Non-specialised land and non-specialised buildings </w:t>
      </w:r>
      <w:r>
        <w:rPr>
          <w:color w:val="231F20"/>
          <w:sz w:val="24"/>
        </w:rPr>
        <w:t>are valued using the market approach and</w:t>
      </w:r>
      <w:r>
        <w:rPr>
          <w:color w:val="231F20"/>
          <w:spacing w:val="-9"/>
          <w:sz w:val="24"/>
        </w:rPr>
        <w:t xml:space="preserve"> </w:t>
      </w:r>
      <w:r>
        <w:rPr>
          <w:color w:val="231F20"/>
          <w:sz w:val="24"/>
        </w:rPr>
        <w:t>current</w:t>
      </w:r>
      <w:r>
        <w:rPr>
          <w:color w:val="231F20"/>
          <w:spacing w:val="-8"/>
          <w:sz w:val="24"/>
        </w:rPr>
        <w:t xml:space="preserve"> </w:t>
      </w:r>
      <w:r>
        <w:rPr>
          <w:color w:val="231F20"/>
          <w:sz w:val="24"/>
        </w:rPr>
        <w:t>replacement</w:t>
      </w:r>
      <w:r>
        <w:rPr>
          <w:color w:val="231F20"/>
          <w:spacing w:val="-8"/>
          <w:sz w:val="24"/>
        </w:rPr>
        <w:t xml:space="preserve"> </w:t>
      </w:r>
      <w:r>
        <w:rPr>
          <w:color w:val="231F20"/>
          <w:sz w:val="24"/>
        </w:rPr>
        <w:t>cost</w:t>
      </w:r>
      <w:r>
        <w:rPr>
          <w:color w:val="231F20"/>
          <w:spacing w:val="-8"/>
          <w:sz w:val="24"/>
        </w:rPr>
        <w:t xml:space="preserve"> </w:t>
      </w:r>
      <w:r>
        <w:rPr>
          <w:color w:val="231F20"/>
          <w:sz w:val="24"/>
        </w:rPr>
        <w:t>whereby</w:t>
      </w:r>
      <w:r>
        <w:rPr>
          <w:color w:val="231F20"/>
          <w:spacing w:val="-8"/>
          <w:sz w:val="24"/>
        </w:rPr>
        <w:t xml:space="preserve"> </w:t>
      </w:r>
      <w:r>
        <w:rPr>
          <w:color w:val="231F20"/>
          <w:sz w:val="24"/>
        </w:rPr>
        <w:t>assets</w:t>
      </w:r>
      <w:r>
        <w:rPr>
          <w:color w:val="231F20"/>
          <w:spacing w:val="-8"/>
          <w:sz w:val="24"/>
        </w:rPr>
        <w:t xml:space="preserve"> </w:t>
      </w:r>
      <w:r>
        <w:rPr>
          <w:color w:val="231F20"/>
          <w:sz w:val="24"/>
        </w:rPr>
        <w:t>are</w:t>
      </w:r>
      <w:r>
        <w:rPr>
          <w:color w:val="231F20"/>
          <w:spacing w:val="-9"/>
          <w:sz w:val="24"/>
        </w:rPr>
        <w:t xml:space="preserve"> </w:t>
      </w:r>
      <w:r>
        <w:rPr>
          <w:color w:val="231F20"/>
          <w:sz w:val="24"/>
        </w:rPr>
        <w:t>compared</w:t>
      </w:r>
      <w:r>
        <w:rPr>
          <w:color w:val="231F20"/>
          <w:spacing w:val="-9"/>
          <w:sz w:val="24"/>
        </w:rPr>
        <w:t xml:space="preserve"> </w:t>
      </w:r>
      <w:r>
        <w:rPr>
          <w:color w:val="231F20"/>
          <w:sz w:val="24"/>
        </w:rPr>
        <w:t>to</w:t>
      </w:r>
      <w:r>
        <w:rPr>
          <w:color w:val="231F20"/>
          <w:spacing w:val="-9"/>
          <w:sz w:val="24"/>
        </w:rPr>
        <w:t xml:space="preserve"> </w:t>
      </w:r>
      <w:r>
        <w:rPr>
          <w:color w:val="231F20"/>
          <w:sz w:val="24"/>
        </w:rPr>
        <w:t>recent</w:t>
      </w:r>
      <w:r>
        <w:rPr>
          <w:color w:val="231F20"/>
          <w:spacing w:val="-8"/>
          <w:sz w:val="24"/>
        </w:rPr>
        <w:t xml:space="preserve"> </w:t>
      </w:r>
      <w:r>
        <w:rPr>
          <w:color w:val="231F20"/>
          <w:sz w:val="24"/>
        </w:rPr>
        <w:t>comparable</w:t>
      </w:r>
      <w:r>
        <w:rPr>
          <w:color w:val="231F20"/>
          <w:spacing w:val="-9"/>
          <w:sz w:val="24"/>
        </w:rPr>
        <w:t xml:space="preserve"> </w:t>
      </w:r>
      <w:r>
        <w:rPr>
          <w:color w:val="231F20"/>
          <w:sz w:val="24"/>
        </w:rPr>
        <w:t>sales</w:t>
      </w:r>
      <w:r>
        <w:rPr>
          <w:color w:val="231F20"/>
          <w:spacing w:val="-8"/>
          <w:sz w:val="24"/>
        </w:rPr>
        <w:t xml:space="preserve"> </w:t>
      </w:r>
      <w:r>
        <w:rPr>
          <w:color w:val="231F20"/>
          <w:sz w:val="24"/>
        </w:rPr>
        <w:t>or</w:t>
      </w:r>
      <w:r>
        <w:rPr>
          <w:color w:val="231F20"/>
          <w:spacing w:val="-8"/>
          <w:sz w:val="24"/>
        </w:rPr>
        <w:t xml:space="preserve"> </w:t>
      </w:r>
      <w:r>
        <w:rPr>
          <w:color w:val="231F20"/>
          <w:sz w:val="24"/>
        </w:rPr>
        <w:t>sales of comparable assets that are considered to have nominal value.</w:t>
      </w:r>
    </w:p>
    <w:p w14:paraId="0FCD32B2" w14:textId="77777777" w:rsidR="00345EE3" w:rsidRDefault="00345EE3" w:rsidP="00345EE3">
      <w:pPr>
        <w:pStyle w:val="BodyText"/>
        <w:spacing w:before="117" w:line="242" w:lineRule="auto"/>
      </w:pPr>
      <w:r>
        <w:rPr>
          <w:color w:val="231F20"/>
        </w:rPr>
        <w:t>Every five years, an independent valuation of land and buildings is performed by the Valuer- General Victoria (VGV) to determine the fair value using the market approach. The last independent</w:t>
      </w:r>
      <w:r>
        <w:rPr>
          <w:color w:val="231F20"/>
          <w:spacing w:val="-10"/>
        </w:rPr>
        <w:t xml:space="preserve"> </w:t>
      </w:r>
      <w:r>
        <w:rPr>
          <w:color w:val="231F20"/>
        </w:rPr>
        <w:t>valuation</w:t>
      </w:r>
      <w:r>
        <w:rPr>
          <w:color w:val="231F20"/>
          <w:spacing w:val="-11"/>
        </w:rPr>
        <w:t xml:space="preserve"> </w:t>
      </w:r>
      <w:r>
        <w:rPr>
          <w:color w:val="231F20"/>
        </w:rPr>
        <w:t>was</w:t>
      </w:r>
      <w:r>
        <w:rPr>
          <w:color w:val="231F20"/>
          <w:spacing w:val="-10"/>
        </w:rPr>
        <w:t xml:space="preserve"> </w:t>
      </w:r>
      <w:r>
        <w:rPr>
          <w:color w:val="231F20"/>
        </w:rPr>
        <w:t>performed</w:t>
      </w:r>
      <w:r>
        <w:rPr>
          <w:color w:val="231F20"/>
          <w:spacing w:val="-11"/>
        </w:rPr>
        <w:t xml:space="preserve"> </w:t>
      </w:r>
      <w:r>
        <w:rPr>
          <w:color w:val="231F20"/>
        </w:rPr>
        <w:t>during</w:t>
      </w:r>
      <w:r>
        <w:rPr>
          <w:color w:val="231F20"/>
          <w:spacing w:val="-11"/>
        </w:rPr>
        <w:t xml:space="preserve"> </w:t>
      </w:r>
      <w:r>
        <w:rPr>
          <w:color w:val="231F20"/>
        </w:rPr>
        <w:t>the</w:t>
      </w:r>
      <w:r>
        <w:rPr>
          <w:color w:val="231F20"/>
          <w:spacing w:val="-11"/>
        </w:rPr>
        <w:t xml:space="preserve"> </w:t>
      </w:r>
      <w:r>
        <w:rPr>
          <w:color w:val="231F20"/>
        </w:rPr>
        <w:t>2020–21</w:t>
      </w:r>
      <w:r>
        <w:rPr>
          <w:color w:val="231F20"/>
          <w:spacing w:val="-11"/>
        </w:rPr>
        <w:t xml:space="preserve"> </w:t>
      </w:r>
      <w:r>
        <w:rPr>
          <w:color w:val="231F20"/>
        </w:rPr>
        <w:t>financial</w:t>
      </w:r>
      <w:r>
        <w:rPr>
          <w:color w:val="231F20"/>
          <w:spacing w:val="-11"/>
        </w:rPr>
        <w:t xml:space="preserve"> </w:t>
      </w:r>
      <w:r>
        <w:rPr>
          <w:color w:val="231F20"/>
        </w:rPr>
        <w:t>year.</w:t>
      </w:r>
      <w:r>
        <w:rPr>
          <w:color w:val="231F20"/>
          <w:spacing w:val="-10"/>
        </w:rPr>
        <w:t xml:space="preserve"> </w:t>
      </w:r>
      <w:r>
        <w:rPr>
          <w:color w:val="231F20"/>
        </w:rPr>
        <w:t>The</w:t>
      </w:r>
      <w:r>
        <w:rPr>
          <w:color w:val="231F20"/>
          <w:spacing w:val="-11"/>
        </w:rPr>
        <w:t xml:space="preserve"> </w:t>
      </w:r>
      <w:r>
        <w:rPr>
          <w:color w:val="231F20"/>
        </w:rPr>
        <w:t>fair</w:t>
      </w:r>
      <w:r>
        <w:rPr>
          <w:color w:val="231F20"/>
          <w:spacing w:val="-10"/>
        </w:rPr>
        <w:t xml:space="preserve"> </w:t>
      </w:r>
      <w:r>
        <w:rPr>
          <w:color w:val="231F20"/>
        </w:rPr>
        <w:t>value</w:t>
      </w:r>
      <w:r>
        <w:rPr>
          <w:color w:val="231F20"/>
          <w:spacing w:val="-11"/>
        </w:rPr>
        <w:t xml:space="preserve"> </w:t>
      </w:r>
      <w:r>
        <w:rPr>
          <w:color w:val="231F20"/>
        </w:rPr>
        <w:t>of</w:t>
      </w:r>
      <w:r>
        <w:rPr>
          <w:color w:val="231F20"/>
          <w:spacing w:val="-10"/>
        </w:rPr>
        <w:t xml:space="preserve"> </w:t>
      </w:r>
      <w:r>
        <w:rPr>
          <w:color w:val="231F20"/>
        </w:rPr>
        <w:t>assets was determined</w:t>
      </w:r>
      <w:r>
        <w:rPr>
          <w:color w:val="231F20"/>
          <w:spacing w:val="-1"/>
        </w:rPr>
        <w:t xml:space="preserve"> </w:t>
      </w:r>
      <w:r>
        <w:rPr>
          <w:color w:val="231F20"/>
        </w:rPr>
        <w:t>by analysing</w:t>
      </w:r>
      <w:r>
        <w:rPr>
          <w:color w:val="231F20"/>
          <w:spacing w:val="-1"/>
        </w:rPr>
        <w:t xml:space="preserve"> </w:t>
      </w:r>
      <w:r>
        <w:rPr>
          <w:color w:val="231F20"/>
        </w:rPr>
        <w:t>sales and</w:t>
      </w:r>
      <w:r>
        <w:rPr>
          <w:color w:val="231F20"/>
          <w:spacing w:val="-1"/>
        </w:rPr>
        <w:t xml:space="preserve"> </w:t>
      </w:r>
      <w:r>
        <w:rPr>
          <w:color w:val="231F20"/>
        </w:rPr>
        <w:t>allowing</w:t>
      </w:r>
      <w:r>
        <w:rPr>
          <w:color w:val="231F20"/>
          <w:spacing w:val="-1"/>
        </w:rPr>
        <w:t xml:space="preserve"> </w:t>
      </w:r>
      <w:r>
        <w:rPr>
          <w:color w:val="231F20"/>
        </w:rPr>
        <w:t>for share, size, topography, location</w:t>
      </w:r>
      <w:r>
        <w:rPr>
          <w:color w:val="231F20"/>
          <w:spacing w:val="-1"/>
        </w:rPr>
        <w:t xml:space="preserve"> </w:t>
      </w:r>
      <w:r>
        <w:rPr>
          <w:color w:val="231F20"/>
        </w:rPr>
        <w:t>and</w:t>
      </w:r>
      <w:r>
        <w:rPr>
          <w:color w:val="231F20"/>
          <w:spacing w:val="-1"/>
        </w:rPr>
        <w:t xml:space="preserve"> </w:t>
      </w:r>
      <w:r>
        <w:rPr>
          <w:color w:val="231F20"/>
        </w:rPr>
        <w:t>other relevant factors specific to the asset being valued. From this analysis, an appropriate rate per square metre has been applied to the subject asset. During the intervening periods, fair value assessment</w:t>
      </w:r>
      <w:r>
        <w:rPr>
          <w:color w:val="231F20"/>
          <w:spacing w:val="-8"/>
        </w:rPr>
        <w:t xml:space="preserve"> </w:t>
      </w:r>
      <w:r>
        <w:rPr>
          <w:color w:val="231F20"/>
        </w:rPr>
        <w:t>using</w:t>
      </w:r>
      <w:r>
        <w:rPr>
          <w:color w:val="231F20"/>
          <w:spacing w:val="-9"/>
        </w:rPr>
        <w:t xml:space="preserve"> </w:t>
      </w:r>
      <w:r>
        <w:rPr>
          <w:color w:val="231F20"/>
        </w:rPr>
        <w:t>the</w:t>
      </w:r>
      <w:r>
        <w:rPr>
          <w:color w:val="231F20"/>
          <w:spacing w:val="-9"/>
        </w:rPr>
        <w:t xml:space="preserve"> </w:t>
      </w:r>
      <w:r>
        <w:rPr>
          <w:color w:val="231F20"/>
        </w:rPr>
        <w:t>indices</w:t>
      </w:r>
      <w:r>
        <w:rPr>
          <w:color w:val="231F20"/>
          <w:spacing w:val="-8"/>
        </w:rPr>
        <w:t xml:space="preserve"> </w:t>
      </w:r>
      <w:r>
        <w:rPr>
          <w:color w:val="231F20"/>
        </w:rPr>
        <w:t>provided</w:t>
      </w:r>
      <w:r>
        <w:rPr>
          <w:color w:val="231F20"/>
          <w:spacing w:val="-9"/>
        </w:rPr>
        <w:t xml:space="preserve"> </w:t>
      </w:r>
      <w:r>
        <w:rPr>
          <w:color w:val="231F20"/>
        </w:rPr>
        <w:t>by</w:t>
      </w:r>
      <w:r>
        <w:rPr>
          <w:color w:val="231F20"/>
          <w:spacing w:val="-8"/>
        </w:rPr>
        <w:t xml:space="preserve"> </w:t>
      </w:r>
      <w:r>
        <w:rPr>
          <w:color w:val="231F20"/>
        </w:rPr>
        <w:t>VGV</w:t>
      </w:r>
      <w:r>
        <w:rPr>
          <w:color w:val="231F20"/>
          <w:spacing w:val="-8"/>
        </w:rPr>
        <w:t xml:space="preserve"> </w:t>
      </w:r>
      <w:r>
        <w:rPr>
          <w:color w:val="231F20"/>
        </w:rPr>
        <w:t>is</w:t>
      </w:r>
      <w:r>
        <w:rPr>
          <w:color w:val="231F20"/>
          <w:spacing w:val="-8"/>
        </w:rPr>
        <w:t xml:space="preserve"> </w:t>
      </w:r>
      <w:r>
        <w:rPr>
          <w:color w:val="231F20"/>
        </w:rPr>
        <w:t>performed</w:t>
      </w:r>
      <w:r>
        <w:rPr>
          <w:color w:val="231F20"/>
          <w:spacing w:val="-9"/>
        </w:rPr>
        <w:t xml:space="preserve"> </w:t>
      </w:r>
      <w:r>
        <w:rPr>
          <w:color w:val="231F20"/>
        </w:rPr>
        <w:t>on</w:t>
      </w:r>
      <w:r>
        <w:rPr>
          <w:color w:val="231F20"/>
          <w:spacing w:val="-9"/>
        </w:rPr>
        <w:t xml:space="preserve"> </w:t>
      </w:r>
      <w:r>
        <w:rPr>
          <w:color w:val="231F20"/>
        </w:rPr>
        <w:t>a</w:t>
      </w:r>
      <w:r>
        <w:rPr>
          <w:color w:val="231F20"/>
          <w:spacing w:val="-9"/>
        </w:rPr>
        <w:t xml:space="preserve"> </w:t>
      </w:r>
      <w:r>
        <w:rPr>
          <w:color w:val="231F20"/>
        </w:rPr>
        <w:t>semi-annual</w:t>
      </w:r>
      <w:r>
        <w:rPr>
          <w:color w:val="231F20"/>
          <w:spacing w:val="-9"/>
        </w:rPr>
        <w:t xml:space="preserve"> </w:t>
      </w:r>
      <w:r>
        <w:rPr>
          <w:color w:val="231F20"/>
        </w:rPr>
        <w:t>basis</w:t>
      </w:r>
      <w:r>
        <w:rPr>
          <w:color w:val="231F20"/>
          <w:spacing w:val="-8"/>
        </w:rPr>
        <w:t xml:space="preserve"> </w:t>
      </w:r>
      <w:r>
        <w:rPr>
          <w:color w:val="231F20"/>
        </w:rPr>
        <w:t>as</w:t>
      </w:r>
      <w:r>
        <w:rPr>
          <w:color w:val="231F20"/>
          <w:spacing w:val="-8"/>
        </w:rPr>
        <w:t xml:space="preserve"> </w:t>
      </w:r>
      <w:r>
        <w:rPr>
          <w:color w:val="231F20"/>
        </w:rPr>
        <w:t>required by FRD 103 Non-Financial Physical Assets to determine that the carrying values of land and building approximate fair values.</w:t>
      </w:r>
    </w:p>
    <w:p w14:paraId="4E1E8D70" w14:textId="77777777" w:rsidR="00345EE3" w:rsidRDefault="00345EE3" w:rsidP="00345EE3">
      <w:pPr>
        <w:pStyle w:val="BodyText"/>
        <w:spacing w:before="119" w:line="242" w:lineRule="auto"/>
      </w:pPr>
      <w:r>
        <w:rPr>
          <w:color w:val="231F20"/>
        </w:rPr>
        <w:t>At 30 June 2022, the market in which the properties’ fair values assessed are significantly impacted</w:t>
      </w:r>
      <w:r>
        <w:rPr>
          <w:color w:val="231F20"/>
          <w:spacing w:val="-11"/>
        </w:rPr>
        <w:t xml:space="preserve"> </w:t>
      </w:r>
      <w:r>
        <w:rPr>
          <w:color w:val="231F20"/>
        </w:rPr>
        <w:t>by</w:t>
      </w:r>
      <w:r>
        <w:rPr>
          <w:color w:val="231F20"/>
          <w:spacing w:val="-10"/>
        </w:rPr>
        <w:t xml:space="preserve"> </w:t>
      </w:r>
      <w:r>
        <w:rPr>
          <w:color w:val="231F20"/>
        </w:rPr>
        <w:t>the</w:t>
      </w:r>
      <w:r>
        <w:rPr>
          <w:color w:val="231F20"/>
          <w:spacing w:val="-11"/>
        </w:rPr>
        <w:t xml:space="preserve"> </w:t>
      </w:r>
      <w:r>
        <w:rPr>
          <w:color w:val="231F20"/>
        </w:rPr>
        <w:t>uncertainty,</w:t>
      </w:r>
      <w:r>
        <w:rPr>
          <w:color w:val="231F20"/>
          <w:spacing w:val="-10"/>
        </w:rPr>
        <w:t xml:space="preserve"> </w:t>
      </w:r>
      <w:r>
        <w:rPr>
          <w:color w:val="231F20"/>
        </w:rPr>
        <w:t>that</w:t>
      </w:r>
      <w:r>
        <w:rPr>
          <w:color w:val="231F20"/>
          <w:spacing w:val="-10"/>
        </w:rPr>
        <w:t xml:space="preserve"> </w:t>
      </w:r>
      <w:r>
        <w:rPr>
          <w:color w:val="231F20"/>
        </w:rPr>
        <w:t>COVID-19</w:t>
      </w:r>
      <w:r>
        <w:rPr>
          <w:color w:val="231F20"/>
          <w:spacing w:val="-11"/>
        </w:rPr>
        <w:t xml:space="preserve"> </w:t>
      </w:r>
      <w:r>
        <w:rPr>
          <w:color w:val="231F20"/>
        </w:rPr>
        <w:t>and</w:t>
      </w:r>
      <w:r>
        <w:rPr>
          <w:color w:val="231F20"/>
          <w:spacing w:val="-11"/>
        </w:rPr>
        <w:t xml:space="preserve"> </w:t>
      </w:r>
      <w:r>
        <w:rPr>
          <w:color w:val="231F20"/>
        </w:rPr>
        <w:t>current</w:t>
      </w:r>
      <w:r>
        <w:rPr>
          <w:color w:val="231F20"/>
          <w:spacing w:val="-10"/>
        </w:rPr>
        <w:t xml:space="preserve"> </w:t>
      </w:r>
      <w:r>
        <w:rPr>
          <w:color w:val="231F20"/>
        </w:rPr>
        <w:t>market</w:t>
      </w:r>
      <w:r>
        <w:rPr>
          <w:color w:val="231F20"/>
          <w:spacing w:val="-10"/>
        </w:rPr>
        <w:t xml:space="preserve"> </w:t>
      </w:r>
      <w:r>
        <w:rPr>
          <w:color w:val="231F20"/>
        </w:rPr>
        <w:t>conditions</w:t>
      </w:r>
      <w:r>
        <w:rPr>
          <w:color w:val="231F20"/>
          <w:spacing w:val="-10"/>
        </w:rPr>
        <w:t xml:space="preserve"> </w:t>
      </w:r>
      <w:r>
        <w:rPr>
          <w:color w:val="231F20"/>
        </w:rPr>
        <w:t>driven</w:t>
      </w:r>
      <w:r>
        <w:rPr>
          <w:color w:val="231F20"/>
          <w:spacing w:val="-11"/>
        </w:rPr>
        <w:t xml:space="preserve"> </w:t>
      </w:r>
      <w:r>
        <w:rPr>
          <w:color w:val="231F20"/>
        </w:rPr>
        <w:t>by</w:t>
      </w:r>
      <w:r>
        <w:rPr>
          <w:color w:val="231F20"/>
          <w:spacing w:val="-10"/>
        </w:rPr>
        <w:t xml:space="preserve"> </w:t>
      </w:r>
      <w:r>
        <w:rPr>
          <w:color w:val="231F20"/>
        </w:rPr>
        <w:t>shortages</w:t>
      </w:r>
      <w:r>
        <w:rPr>
          <w:color w:val="231F20"/>
          <w:spacing w:val="-10"/>
        </w:rPr>
        <w:t xml:space="preserve"> </w:t>
      </w:r>
      <w:r>
        <w:rPr>
          <w:color w:val="231F20"/>
        </w:rPr>
        <w:t>of materials</w:t>
      </w:r>
      <w:r>
        <w:rPr>
          <w:color w:val="231F20"/>
          <w:spacing w:val="-10"/>
        </w:rPr>
        <w:t xml:space="preserve"> </w:t>
      </w:r>
      <w:r>
        <w:rPr>
          <w:color w:val="231F20"/>
        </w:rPr>
        <w:t>and</w:t>
      </w:r>
      <w:r>
        <w:rPr>
          <w:color w:val="231F20"/>
          <w:spacing w:val="-11"/>
        </w:rPr>
        <w:t xml:space="preserve"> </w:t>
      </w:r>
      <w:r>
        <w:rPr>
          <w:color w:val="231F20"/>
        </w:rPr>
        <w:t>labour</w:t>
      </w:r>
      <w:r>
        <w:rPr>
          <w:color w:val="231F20"/>
          <w:spacing w:val="-10"/>
        </w:rPr>
        <w:t xml:space="preserve"> </w:t>
      </w:r>
      <w:r>
        <w:rPr>
          <w:color w:val="231F20"/>
        </w:rPr>
        <w:t>have</w:t>
      </w:r>
      <w:r>
        <w:rPr>
          <w:color w:val="231F20"/>
          <w:spacing w:val="-11"/>
        </w:rPr>
        <w:t xml:space="preserve"> </w:t>
      </w:r>
      <w:r>
        <w:rPr>
          <w:color w:val="231F20"/>
        </w:rPr>
        <w:t>caused.</w:t>
      </w:r>
      <w:r>
        <w:rPr>
          <w:color w:val="231F20"/>
          <w:spacing w:val="-10"/>
        </w:rPr>
        <w:t xml:space="preserve"> </w:t>
      </w:r>
      <w:r>
        <w:rPr>
          <w:color w:val="231F20"/>
        </w:rPr>
        <w:t>The</w:t>
      </w:r>
      <w:r>
        <w:rPr>
          <w:color w:val="231F20"/>
          <w:spacing w:val="-11"/>
        </w:rPr>
        <w:t xml:space="preserve"> </w:t>
      </w:r>
      <w:r>
        <w:rPr>
          <w:color w:val="231F20"/>
        </w:rPr>
        <w:t>market</w:t>
      </w:r>
      <w:r>
        <w:rPr>
          <w:color w:val="231F20"/>
          <w:spacing w:val="-10"/>
        </w:rPr>
        <w:t xml:space="preserve"> </w:t>
      </w:r>
      <w:r>
        <w:rPr>
          <w:color w:val="231F20"/>
        </w:rPr>
        <w:t>conditions</w:t>
      </w:r>
      <w:r>
        <w:rPr>
          <w:color w:val="231F20"/>
          <w:spacing w:val="-10"/>
        </w:rPr>
        <w:t xml:space="preserve"> </w:t>
      </w:r>
      <w:r>
        <w:rPr>
          <w:color w:val="231F20"/>
        </w:rPr>
        <w:t>are</w:t>
      </w:r>
      <w:r>
        <w:rPr>
          <w:color w:val="231F20"/>
          <w:spacing w:val="-11"/>
        </w:rPr>
        <w:t xml:space="preserve"> </w:t>
      </w:r>
      <w:r>
        <w:rPr>
          <w:color w:val="231F20"/>
        </w:rPr>
        <w:t>rapidly</w:t>
      </w:r>
      <w:r>
        <w:rPr>
          <w:color w:val="231F20"/>
          <w:spacing w:val="-10"/>
        </w:rPr>
        <w:t xml:space="preserve"> </w:t>
      </w:r>
      <w:r>
        <w:rPr>
          <w:color w:val="231F20"/>
        </w:rPr>
        <w:t>changing</w:t>
      </w:r>
      <w:r>
        <w:rPr>
          <w:color w:val="231F20"/>
          <w:spacing w:val="-11"/>
        </w:rPr>
        <w:t xml:space="preserve"> </w:t>
      </w:r>
      <w:r>
        <w:rPr>
          <w:color w:val="231F20"/>
        </w:rPr>
        <w:t>at</w:t>
      </w:r>
      <w:r>
        <w:rPr>
          <w:color w:val="231F20"/>
          <w:spacing w:val="-10"/>
        </w:rPr>
        <w:t xml:space="preserve"> </w:t>
      </w:r>
      <w:r>
        <w:rPr>
          <w:color w:val="231F20"/>
        </w:rPr>
        <w:t>present.</w:t>
      </w:r>
      <w:r>
        <w:rPr>
          <w:color w:val="231F20"/>
          <w:spacing w:val="-10"/>
        </w:rPr>
        <w:t xml:space="preserve"> </w:t>
      </w:r>
      <w:r>
        <w:rPr>
          <w:color w:val="231F20"/>
        </w:rPr>
        <w:t>Due</w:t>
      </w:r>
      <w:r>
        <w:rPr>
          <w:color w:val="231F20"/>
          <w:spacing w:val="-11"/>
        </w:rPr>
        <w:t xml:space="preserve"> </w:t>
      </w:r>
      <w:r>
        <w:rPr>
          <w:color w:val="231F20"/>
        </w:rPr>
        <w:t>to these factors, management considers that there is valuation uncertainty with regards to the fair values of assets at 30 June 2022.</w:t>
      </w:r>
    </w:p>
    <w:p w14:paraId="0524D310" w14:textId="77777777" w:rsidR="00345EE3" w:rsidRDefault="00345EE3" w:rsidP="00345EE3">
      <w:pPr>
        <w:pStyle w:val="BodyText"/>
        <w:spacing w:before="120" w:line="242" w:lineRule="auto"/>
      </w:pPr>
      <w:r>
        <w:rPr>
          <w:color w:val="231F20"/>
        </w:rPr>
        <w:t>For</w:t>
      </w:r>
      <w:r>
        <w:rPr>
          <w:color w:val="231F20"/>
          <w:spacing w:val="-8"/>
        </w:rPr>
        <w:t xml:space="preserve"> </w:t>
      </w:r>
      <w:r>
        <w:rPr>
          <w:color w:val="231F20"/>
        </w:rPr>
        <w:t>artwork,</w:t>
      </w:r>
      <w:r>
        <w:rPr>
          <w:color w:val="231F20"/>
          <w:spacing w:val="-8"/>
        </w:rPr>
        <w:t xml:space="preserve"> </w:t>
      </w:r>
      <w:r>
        <w:rPr>
          <w:color w:val="231F20"/>
        </w:rPr>
        <w:t>valuation</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assets</w:t>
      </w:r>
      <w:r>
        <w:rPr>
          <w:color w:val="231F20"/>
          <w:spacing w:val="-8"/>
        </w:rPr>
        <w:t xml:space="preserve"> </w:t>
      </w:r>
      <w:r>
        <w:rPr>
          <w:color w:val="231F20"/>
        </w:rPr>
        <w:t>is</w:t>
      </w:r>
      <w:r>
        <w:rPr>
          <w:color w:val="231F20"/>
          <w:spacing w:val="-8"/>
        </w:rPr>
        <w:t xml:space="preserve"> </w:t>
      </w:r>
      <w:r>
        <w:rPr>
          <w:color w:val="231F20"/>
        </w:rPr>
        <w:t>determined</w:t>
      </w:r>
      <w:r>
        <w:rPr>
          <w:color w:val="231F20"/>
          <w:spacing w:val="-9"/>
        </w:rPr>
        <w:t xml:space="preserve"> </w:t>
      </w:r>
      <w:r>
        <w:rPr>
          <w:color w:val="231F20"/>
        </w:rPr>
        <w:t>by</w:t>
      </w:r>
      <w:r>
        <w:rPr>
          <w:color w:val="231F20"/>
          <w:spacing w:val="-8"/>
        </w:rPr>
        <w:t xml:space="preserve"> </w:t>
      </w:r>
      <w:r>
        <w:rPr>
          <w:color w:val="231F20"/>
        </w:rPr>
        <w:t>a</w:t>
      </w:r>
      <w:r>
        <w:rPr>
          <w:color w:val="231F20"/>
          <w:spacing w:val="-9"/>
        </w:rPr>
        <w:t xml:space="preserve"> </w:t>
      </w:r>
      <w:r>
        <w:rPr>
          <w:color w:val="231F20"/>
        </w:rPr>
        <w:t>comparison</w:t>
      </w:r>
      <w:r>
        <w:rPr>
          <w:color w:val="231F20"/>
          <w:spacing w:val="-9"/>
        </w:rPr>
        <w:t xml:space="preserve"> </w:t>
      </w:r>
      <w:r>
        <w:rPr>
          <w:color w:val="231F20"/>
        </w:rPr>
        <w:t>to</w:t>
      </w:r>
      <w:r>
        <w:rPr>
          <w:color w:val="231F20"/>
          <w:spacing w:val="-9"/>
        </w:rPr>
        <w:t xml:space="preserve"> </w:t>
      </w:r>
      <w:r>
        <w:rPr>
          <w:color w:val="231F20"/>
        </w:rPr>
        <w:t>similar</w:t>
      </w:r>
      <w:r>
        <w:rPr>
          <w:color w:val="231F20"/>
          <w:spacing w:val="-8"/>
        </w:rPr>
        <w:t xml:space="preserve"> </w:t>
      </w:r>
      <w:r>
        <w:rPr>
          <w:color w:val="231F20"/>
        </w:rPr>
        <w:t>examples</w:t>
      </w:r>
      <w:r>
        <w:rPr>
          <w:color w:val="231F20"/>
          <w:spacing w:val="-8"/>
        </w:rPr>
        <w:t xml:space="preserve"> </w:t>
      </w:r>
      <w:r>
        <w:rPr>
          <w:color w:val="231F20"/>
        </w:rPr>
        <w:t>of</w:t>
      </w:r>
      <w:r>
        <w:rPr>
          <w:color w:val="231F20"/>
          <w:spacing w:val="-8"/>
        </w:rPr>
        <w:t xml:space="preserve"> </w:t>
      </w:r>
      <w:r>
        <w:rPr>
          <w:color w:val="231F20"/>
        </w:rPr>
        <w:t>the artist’s work in existence throughout Australia and research on recent prices paid for similar examples offered at auctions or through art galleries.</w:t>
      </w:r>
    </w:p>
    <w:p w14:paraId="70C1CA53" w14:textId="77777777" w:rsidR="00345EE3" w:rsidRDefault="00345EE3" w:rsidP="00345EE3">
      <w:pPr>
        <w:pStyle w:val="BodyText"/>
        <w:spacing w:before="117" w:line="242" w:lineRule="auto"/>
      </w:pPr>
      <w:r>
        <w:rPr>
          <w:color w:val="231F20"/>
        </w:rPr>
        <w:t>To</w:t>
      </w:r>
      <w:r>
        <w:rPr>
          <w:color w:val="231F20"/>
          <w:spacing w:val="-11"/>
        </w:rPr>
        <w:t xml:space="preserve"> </w:t>
      </w:r>
      <w:r>
        <w:rPr>
          <w:color w:val="231F20"/>
        </w:rPr>
        <w:t>the</w:t>
      </w:r>
      <w:r>
        <w:rPr>
          <w:color w:val="231F20"/>
          <w:spacing w:val="-11"/>
        </w:rPr>
        <w:t xml:space="preserve"> </w:t>
      </w:r>
      <w:r>
        <w:rPr>
          <w:color w:val="231F20"/>
        </w:rPr>
        <w:t>extent</w:t>
      </w:r>
      <w:r>
        <w:rPr>
          <w:color w:val="231F20"/>
          <w:spacing w:val="-10"/>
        </w:rPr>
        <w:t xml:space="preserve"> </w:t>
      </w:r>
      <w:r>
        <w:rPr>
          <w:color w:val="231F20"/>
        </w:rPr>
        <w:t>that</w:t>
      </w:r>
      <w:r>
        <w:rPr>
          <w:color w:val="231F20"/>
          <w:spacing w:val="-10"/>
        </w:rPr>
        <w:t xml:space="preserve"> </w:t>
      </w:r>
      <w:r>
        <w:rPr>
          <w:color w:val="231F20"/>
        </w:rPr>
        <w:t>non-specialised</w:t>
      </w:r>
      <w:r>
        <w:rPr>
          <w:color w:val="231F20"/>
          <w:spacing w:val="-11"/>
        </w:rPr>
        <w:t xml:space="preserve"> </w:t>
      </w:r>
      <w:r>
        <w:rPr>
          <w:color w:val="231F20"/>
        </w:rPr>
        <w:t>land</w:t>
      </w:r>
      <w:r>
        <w:rPr>
          <w:color w:val="231F20"/>
          <w:spacing w:val="-11"/>
        </w:rPr>
        <w:t xml:space="preserve"> </w:t>
      </w:r>
      <w:r>
        <w:rPr>
          <w:color w:val="231F20"/>
        </w:rPr>
        <w:t>and</w:t>
      </w:r>
      <w:r>
        <w:rPr>
          <w:color w:val="231F20"/>
          <w:spacing w:val="-11"/>
        </w:rPr>
        <w:t xml:space="preserve"> </w:t>
      </w:r>
      <w:r>
        <w:rPr>
          <w:color w:val="231F20"/>
        </w:rPr>
        <w:t>non-specialised</w:t>
      </w:r>
      <w:r>
        <w:rPr>
          <w:color w:val="231F20"/>
          <w:spacing w:val="-11"/>
        </w:rPr>
        <w:t xml:space="preserve"> </w:t>
      </w:r>
      <w:r>
        <w:rPr>
          <w:color w:val="231F20"/>
        </w:rPr>
        <w:t>buildings</w:t>
      </w:r>
      <w:r>
        <w:rPr>
          <w:color w:val="231F20"/>
          <w:spacing w:val="-10"/>
        </w:rPr>
        <w:t xml:space="preserve"> </w:t>
      </w:r>
      <w:r>
        <w:rPr>
          <w:color w:val="231F20"/>
        </w:rPr>
        <w:t>do</w:t>
      </w:r>
      <w:r>
        <w:rPr>
          <w:color w:val="231F20"/>
          <w:spacing w:val="-11"/>
        </w:rPr>
        <w:t xml:space="preserve"> </w:t>
      </w:r>
      <w:r>
        <w:rPr>
          <w:color w:val="231F20"/>
        </w:rPr>
        <w:t>not</w:t>
      </w:r>
      <w:r>
        <w:rPr>
          <w:color w:val="231F20"/>
          <w:spacing w:val="-10"/>
        </w:rPr>
        <w:t xml:space="preserve"> </w:t>
      </w:r>
      <w:r>
        <w:rPr>
          <w:color w:val="231F20"/>
        </w:rPr>
        <w:t>contain</w:t>
      </w:r>
      <w:r>
        <w:rPr>
          <w:color w:val="231F20"/>
          <w:spacing w:val="-11"/>
        </w:rPr>
        <w:t xml:space="preserve"> </w:t>
      </w:r>
      <w:r>
        <w:rPr>
          <w:color w:val="231F20"/>
        </w:rPr>
        <w:t>significant, unobservable adjustments, these assets are classified as Level 2 under the market approach.</w:t>
      </w:r>
    </w:p>
    <w:p w14:paraId="557BD739" w14:textId="77777777" w:rsidR="00345EE3" w:rsidRDefault="00345EE3" w:rsidP="00345EE3">
      <w:pPr>
        <w:pStyle w:val="BodyText"/>
        <w:spacing w:before="116" w:line="242" w:lineRule="auto"/>
      </w:pPr>
      <w:r>
        <w:rPr>
          <w:b/>
          <w:color w:val="231F20"/>
        </w:rPr>
        <w:t>Specialised</w:t>
      </w:r>
      <w:r>
        <w:rPr>
          <w:b/>
          <w:color w:val="231F20"/>
          <w:spacing w:val="-7"/>
        </w:rPr>
        <w:t xml:space="preserve"> </w:t>
      </w:r>
      <w:r>
        <w:rPr>
          <w:b/>
          <w:color w:val="231F20"/>
        </w:rPr>
        <w:t>land</w:t>
      </w:r>
      <w:r>
        <w:rPr>
          <w:b/>
          <w:color w:val="231F20"/>
          <w:spacing w:val="-8"/>
        </w:rPr>
        <w:t xml:space="preserve"> </w:t>
      </w:r>
      <w:r>
        <w:rPr>
          <w:b/>
          <w:color w:val="231F20"/>
        </w:rPr>
        <w:t>and</w:t>
      </w:r>
      <w:r>
        <w:rPr>
          <w:b/>
          <w:color w:val="231F20"/>
          <w:spacing w:val="-8"/>
        </w:rPr>
        <w:t xml:space="preserve"> </w:t>
      </w:r>
      <w:r>
        <w:rPr>
          <w:b/>
          <w:color w:val="231F20"/>
        </w:rPr>
        <w:t>Specialised</w:t>
      </w:r>
      <w:r>
        <w:rPr>
          <w:b/>
          <w:color w:val="231F20"/>
          <w:spacing w:val="-8"/>
        </w:rPr>
        <w:t xml:space="preserve"> </w:t>
      </w:r>
      <w:r>
        <w:rPr>
          <w:b/>
          <w:color w:val="231F20"/>
        </w:rPr>
        <w:t>buildings:</w:t>
      </w:r>
      <w:r>
        <w:rPr>
          <w:b/>
          <w:color w:val="231F20"/>
          <w:spacing w:val="-7"/>
        </w:rPr>
        <w:t xml:space="preserve"> </w:t>
      </w:r>
      <w:r>
        <w:rPr>
          <w:color w:val="231F20"/>
        </w:rPr>
        <w:t>The</w:t>
      </w:r>
      <w:r>
        <w:rPr>
          <w:color w:val="231F20"/>
          <w:spacing w:val="-8"/>
        </w:rPr>
        <w:t xml:space="preserve"> </w:t>
      </w:r>
      <w:r>
        <w:rPr>
          <w:color w:val="231F20"/>
        </w:rPr>
        <w:t>market</w:t>
      </w:r>
      <w:r>
        <w:rPr>
          <w:color w:val="231F20"/>
          <w:spacing w:val="-8"/>
        </w:rPr>
        <w:t xml:space="preserve"> </w:t>
      </w:r>
      <w:r>
        <w:rPr>
          <w:color w:val="231F20"/>
        </w:rPr>
        <w:t>approach</w:t>
      </w:r>
      <w:r>
        <w:rPr>
          <w:color w:val="231F20"/>
          <w:spacing w:val="-8"/>
        </w:rPr>
        <w:t xml:space="preserve"> </w:t>
      </w:r>
      <w:r>
        <w:rPr>
          <w:color w:val="231F20"/>
        </w:rPr>
        <w:t>is</w:t>
      </w:r>
      <w:r>
        <w:rPr>
          <w:color w:val="231F20"/>
          <w:spacing w:val="-7"/>
        </w:rPr>
        <w:t xml:space="preserve"> </w:t>
      </w:r>
      <w:r>
        <w:rPr>
          <w:color w:val="231F20"/>
        </w:rPr>
        <w:t>also</w:t>
      </w:r>
      <w:r>
        <w:rPr>
          <w:color w:val="231F20"/>
          <w:spacing w:val="-8"/>
        </w:rPr>
        <w:t xml:space="preserve"> </w:t>
      </w:r>
      <w:r>
        <w:rPr>
          <w:color w:val="231F20"/>
        </w:rPr>
        <w:t>used</w:t>
      </w:r>
      <w:r>
        <w:rPr>
          <w:color w:val="231F20"/>
          <w:spacing w:val="-8"/>
        </w:rPr>
        <w:t xml:space="preserve"> </w:t>
      </w:r>
      <w:r>
        <w:rPr>
          <w:color w:val="231F20"/>
        </w:rPr>
        <w:t>for</w:t>
      </w:r>
      <w:r>
        <w:rPr>
          <w:color w:val="231F20"/>
          <w:spacing w:val="-8"/>
        </w:rPr>
        <w:t xml:space="preserve"> </w:t>
      </w:r>
      <w:r>
        <w:rPr>
          <w:color w:val="231F20"/>
        </w:rPr>
        <w:t>specialised land, although is adjusted for the community service obligation (CSO) to reflect the specialised nature of the land being valued.</w:t>
      </w:r>
    </w:p>
    <w:p w14:paraId="0AFC9654" w14:textId="77777777" w:rsidR="00345EE3" w:rsidRDefault="00345EE3" w:rsidP="00345EE3">
      <w:pPr>
        <w:pStyle w:val="BodyText"/>
        <w:spacing w:before="117" w:line="242" w:lineRule="auto"/>
      </w:pPr>
      <w:r>
        <w:rPr>
          <w:color w:val="231F20"/>
        </w:rPr>
        <w:t>The CSO adjustment is a reflection of the valuer’s assessment of the impact of restrictions associated with an asset to the extent that is also equally applicable to market participants. This approach</w:t>
      </w:r>
      <w:r>
        <w:rPr>
          <w:color w:val="231F20"/>
          <w:spacing w:val="-10"/>
        </w:rPr>
        <w:t xml:space="preserve"> </w:t>
      </w:r>
      <w:r>
        <w:rPr>
          <w:color w:val="231F20"/>
        </w:rPr>
        <w:t>is</w:t>
      </w:r>
      <w:r>
        <w:rPr>
          <w:color w:val="231F20"/>
          <w:spacing w:val="-10"/>
        </w:rPr>
        <w:t xml:space="preserve"> </w:t>
      </w:r>
      <w:r>
        <w:rPr>
          <w:color w:val="231F20"/>
        </w:rPr>
        <w:t>in</w:t>
      </w:r>
      <w:r>
        <w:rPr>
          <w:color w:val="231F20"/>
          <w:spacing w:val="-10"/>
        </w:rPr>
        <w:t xml:space="preserve"> </w:t>
      </w:r>
      <w:r>
        <w:rPr>
          <w:color w:val="231F20"/>
        </w:rPr>
        <w:t>light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highest</w:t>
      </w:r>
      <w:r>
        <w:rPr>
          <w:color w:val="231F20"/>
          <w:spacing w:val="-10"/>
        </w:rPr>
        <w:t xml:space="preserve"> </w:t>
      </w:r>
      <w:r>
        <w:rPr>
          <w:color w:val="231F20"/>
        </w:rPr>
        <w:t>and</w:t>
      </w:r>
      <w:r>
        <w:rPr>
          <w:color w:val="231F20"/>
          <w:spacing w:val="-10"/>
        </w:rPr>
        <w:t xml:space="preserve"> </w:t>
      </w:r>
      <w:r>
        <w:rPr>
          <w:color w:val="231F20"/>
        </w:rPr>
        <w:t>best</w:t>
      </w:r>
      <w:r>
        <w:rPr>
          <w:color w:val="231F20"/>
          <w:spacing w:val="-10"/>
        </w:rPr>
        <w:t xml:space="preserve"> </w:t>
      </w:r>
      <w:r>
        <w:rPr>
          <w:color w:val="231F20"/>
        </w:rPr>
        <w:t>use</w:t>
      </w:r>
      <w:r>
        <w:rPr>
          <w:color w:val="231F20"/>
          <w:spacing w:val="-10"/>
        </w:rPr>
        <w:t xml:space="preserve"> </w:t>
      </w:r>
      <w:r>
        <w:rPr>
          <w:color w:val="231F20"/>
        </w:rPr>
        <w:t>consideration</w:t>
      </w:r>
      <w:r>
        <w:rPr>
          <w:color w:val="231F20"/>
          <w:spacing w:val="-10"/>
        </w:rPr>
        <w:t xml:space="preserve"> </w:t>
      </w:r>
      <w:r>
        <w:rPr>
          <w:color w:val="231F20"/>
        </w:rPr>
        <w:t>required</w:t>
      </w:r>
      <w:r>
        <w:rPr>
          <w:color w:val="231F20"/>
          <w:spacing w:val="-10"/>
        </w:rPr>
        <w:t xml:space="preserve"> </w:t>
      </w:r>
      <w:r>
        <w:rPr>
          <w:color w:val="231F20"/>
        </w:rPr>
        <w:t>for</w:t>
      </w:r>
      <w:r>
        <w:rPr>
          <w:color w:val="231F20"/>
          <w:spacing w:val="-10"/>
        </w:rPr>
        <w:t xml:space="preserve"> </w:t>
      </w:r>
      <w:r>
        <w:rPr>
          <w:color w:val="231F20"/>
        </w:rPr>
        <w:t>fair</w:t>
      </w:r>
      <w:r>
        <w:rPr>
          <w:color w:val="231F20"/>
          <w:spacing w:val="-10"/>
        </w:rPr>
        <w:t xml:space="preserve"> </w:t>
      </w:r>
      <w:r>
        <w:rPr>
          <w:color w:val="231F20"/>
        </w:rPr>
        <w:t>value</w:t>
      </w:r>
      <w:r>
        <w:rPr>
          <w:color w:val="231F20"/>
          <w:spacing w:val="-10"/>
        </w:rPr>
        <w:t xml:space="preserve"> </w:t>
      </w:r>
      <w:r>
        <w:rPr>
          <w:color w:val="231F20"/>
        </w:rPr>
        <w:t>measurement and takes into account the use of the asset that is physically possible, legally permissible, and financially feasible. As adjustments of CSO are considered significant unobservable inputs, specialised land would be classified as Level 3 assets.</w:t>
      </w:r>
      <w:r>
        <w:rPr>
          <w:color w:val="231F20"/>
          <w:spacing w:val="40"/>
        </w:rPr>
        <w:t xml:space="preserve"> </w:t>
      </w:r>
      <w:r>
        <w:rPr>
          <w:color w:val="231F20"/>
        </w:rPr>
        <w:t>A significant increase or decrease in the CSO adjustment would result in a significantly lower (higher) fair value.</w:t>
      </w:r>
    </w:p>
    <w:p w14:paraId="171FC838" w14:textId="77777777" w:rsidR="00345EE3" w:rsidRDefault="00345EE3" w:rsidP="00345EE3">
      <w:pPr>
        <w:pStyle w:val="BodyText"/>
        <w:spacing w:before="123" w:line="242" w:lineRule="auto"/>
        <w:ind w:right="198"/>
      </w:pPr>
      <w:r>
        <w:rPr>
          <w:color w:val="231F20"/>
        </w:rPr>
        <w:t>For</w:t>
      </w:r>
      <w:r>
        <w:rPr>
          <w:color w:val="231F20"/>
          <w:spacing w:val="-1"/>
        </w:rPr>
        <w:t xml:space="preserve"> </w:t>
      </w:r>
      <w:r>
        <w:rPr>
          <w:color w:val="231F20"/>
        </w:rPr>
        <w:t>the</w:t>
      </w:r>
      <w:r>
        <w:rPr>
          <w:color w:val="231F20"/>
          <w:spacing w:val="-2"/>
        </w:rPr>
        <w:t xml:space="preserve"> </w:t>
      </w:r>
      <w:r>
        <w:rPr>
          <w:color w:val="231F20"/>
        </w:rPr>
        <w:t>majority</w:t>
      </w:r>
      <w:r>
        <w:rPr>
          <w:color w:val="231F20"/>
          <w:spacing w:val="-1"/>
        </w:rPr>
        <w:t xml:space="preserve"> </w:t>
      </w:r>
      <w:r>
        <w:rPr>
          <w:color w:val="231F20"/>
        </w:rPr>
        <w:t>of</w:t>
      </w:r>
      <w:r>
        <w:rPr>
          <w:color w:val="231F20"/>
          <w:spacing w:val="-1"/>
        </w:rPr>
        <w:t xml:space="preserve"> </w:t>
      </w:r>
      <w:r>
        <w:rPr>
          <w:color w:val="231F20"/>
        </w:rPr>
        <w:t>Victoria</w:t>
      </w:r>
      <w:r>
        <w:rPr>
          <w:color w:val="231F20"/>
          <w:spacing w:val="-2"/>
        </w:rPr>
        <w:t xml:space="preserve"> </w:t>
      </w:r>
      <w:r>
        <w:rPr>
          <w:color w:val="231F20"/>
        </w:rPr>
        <w:t>Police’s</w:t>
      </w:r>
      <w:r>
        <w:rPr>
          <w:color w:val="231F20"/>
          <w:spacing w:val="-1"/>
        </w:rPr>
        <w:t xml:space="preserve"> </w:t>
      </w:r>
      <w:r>
        <w:rPr>
          <w:color w:val="231F20"/>
        </w:rPr>
        <w:t>specialised</w:t>
      </w:r>
      <w:r>
        <w:rPr>
          <w:color w:val="231F20"/>
          <w:spacing w:val="-2"/>
        </w:rPr>
        <w:t xml:space="preserve"> </w:t>
      </w:r>
      <w:r>
        <w:rPr>
          <w:color w:val="231F20"/>
        </w:rPr>
        <w:t>buildings,</w:t>
      </w:r>
      <w:r>
        <w:rPr>
          <w:color w:val="231F20"/>
          <w:spacing w:val="-1"/>
        </w:rPr>
        <w:t xml:space="preserve"> </w:t>
      </w:r>
      <w:r>
        <w:rPr>
          <w:color w:val="231F20"/>
        </w:rPr>
        <w:t>the</w:t>
      </w:r>
      <w:r>
        <w:rPr>
          <w:color w:val="231F20"/>
          <w:spacing w:val="-2"/>
        </w:rPr>
        <w:t xml:space="preserve"> </w:t>
      </w:r>
      <w:r>
        <w:rPr>
          <w:color w:val="231F20"/>
        </w:rPr>
        <w:t>current</w:t>
      </w:r>
      <w:r>
        <w:rPr>
          <w:color w:val="231F20"/>
          <w:spacing w:val="-1"/>
        </w:rPr>
        <w:t xml:space="preserve"> </w:t>
      </w:r>
      <w:r>
        <w:rPr>
          <w:color w:val="231F20"/>
        </w:rPr>
        <w:t>replacement</w:t>
      </w:r>
      <w:r>
        <w:rPr>
          <w:color w:val="231F20"/>
          <w:spacing w:val="-1"/>
        </w:rPr>
        <w:t xml:space="preserve"> </w:t>
      </w:r>
      <w:r>
        <w:rPr>
          <w:color w:val="231F20"/>
        </w:rPr>
        <w:t>cost</w:t>
      </w:r>
      <w:r>
        <w:rPr>
          <w:color w:val="231F20"/>
          <w:spacing w:val="-1"/>
        </w:rPr>
        <w:t xml:space="preserve"> </w:t>
      </w:r>
      <w:r>
        <w:rPr>
          <w:color w:val="231F20"/>
        </w:rPr>
        <w:t>method is</w:t>
      </w:r>
      <w:r>
        <w:rPr>
          <w:color w:val="231F20"/>
          <w:spacing w:val="-11"/>
        </w:rPr>
        <w:t xml:space="preserve"> </w:t>
      </w:r>
      <w:r>
        <w:rPr>
          <w:color w:val="231F20"/>
        </w:rPr>
        <w:t>used,</w:t>
      </w:r>
      <w:r>
        <w:rPr>
          <w:color w:val="231F20"/>
          <w:spacing w:val="-11"/>
        </w:rPr>
        <w:t xml:space="preserve"> </w:t>
      </w:r>
      <w:r>
        <w:rPr>
          <w:color w:val="231F20"/>
        </w:rPr>
        <w:t>adjusting</w:t>
      </w:r>
      <w:r>
        <w:rPr>
          <w:color w:val="231F20"/>
          <w:spacing w:val="-12"/>
        </w:rPr>
        <w:t xml:space="preserve"> </w:t>
      </w:r>
      <w:r>
        <w:rPr>
          <w:color w:val="231F20"/>
        </w:rPr>
        <w:t>for</w:t>
      </w:r>
      <w:r>
        <w:rPr>
          <w:color w:val="231F20"/>
          <w:spacing w:val="-11"/>
        </w:rPr>
        <w:t xml:space="preserve"> </w:t>
      </w:r>
      <w:r>
        <w:rPr>
          <w:color w:val="231F20"/>
        </w:rPr>
        <w:t>the</w:t>
      </w:r>
      <w:r>
        <w:rPr>
          <w:color w:val="231F20"/>
          <w:spacing w:val="-12"/>
        </w:rPr>
        <w:t xml:space="preserve"> </w:t>
      </w:r>
      <w:r>
        <w:rPr>
          <w:color w:val="231F20"/>
        </w:rPr>
        <w:t>associated</w:t>
      </w:r>
      <w:r>
        <w:rPr>
          <w:color w:val="231F20"/>
          <w:spacing w:val="-12"/>
        </w:rPr>
        <w:t xml:space="preserve"> </w:t>
      </w:r>
      <w:r>
        <w:rPr>
          <w:color w:val="231F20"/>
        </w:rPr>
        <w:t>depreciations.</w:t>
      </w:r>
      <w:r>
        <w:rPr>
          <w:color w:val="231F20"/>
          <w:spacing w:val="-11"/>
        </w:rPr>
        <w:t xml:space="preserve"> </w:t>
      </w:r>
      <w:r>
        <w:rPr>
          <w:color w:val="231F20"/>
        </w:rPr>
        <w:t>As</w:t>
      </w:r>
      <w:r>
        <w:rPr>
          <w:color w:val="231F20"/>
          <w:spacing w:val="-11"/>
        </w:rPr>
        <w:t xml:space="preserve"> </w:t>
      </w:r>
      <w:r>
        <w:rPr>
          <w:color w:val="231F20"/>
        </w:rPr>
        <w:t>depreciation</w:t>
      </w:r>
      <w:r>
        <w:rPr>
          <w:color w:val="231F20"/>
          <w:spacing w:val="-12"/>
        </w:rPr>
        <w:t xml:space="preserve"> </w:t>
      </w:r>
      <w:r>
        <w:rPr>
          <w:color w:val="231F20"/>
        </w:rPr>
        <w:t>adjustments</w:t>
      </w:r>
      <w:r>
        <w:rPr>
          <w:color w:val="231F20"/>
          <w:spacing w:val="-11"/>
        </w:rPr>
        <w:t xml:space="preserve"> </w:t>
      </w:r>
      <w:r>
        <w:rPr>
          <w:color w:val="231F20"/>
        </w:rPr>
        <w:t>are</w:t>
      </w:r>
      <w:r>
        <w:rPr>
          <w:color w:val="231F20"/>
          <w:spacing w:val="-12"/>
        </w:rPr>
        <w:t xml:space="preserve"> </w:t>
      </w:r>
      <w:r>
        <w:rPr>
          <w:color w:val="231F20"/>
        </w:rPr>
        <w:t>considered significant, unobservable inputs in nature, specialised buildings are classified as Level 3 fair value measurements.</w:t>
      </w:r>
    </w:p>
    <w:p w14:paraId="3950CC8F" w14:textId="77777777" w:rsidR="00345EE3" w:rsidRDefault="00345EE3" w:rsidP="00345EE3">
      <w:pPr>
        <w:pStyle w:val="BodyText"/>
        <w:spacing w:before="119" w:line="242" w:lineRule="auto"/>
        <w:ind w:right="150"/>
        <w:jc w:val="both"/>
      </w:pPr>
      <w:r>
        <w:rPr>
          <w:color w:val="231F20"/>
        </w:rPr>
        <w:t>The</w:t>
      </w:r>
      <w:r>
        <w:rPr>
          <w:color w:val="231F20"/>
          <w:spacing w:val="-13"/>
        </w:rPr>
        <w:t xml:space="preserve"> </w:t>
      </w:r>
      <w:r>
        <w:rPr>
          <w:color w:val="231F20"/>
        </w:rPr>
        <w:t>last</w:t>
      </w:r>
      <w:r>
        <w:rPr>
          <w:color w:val="231F20"/>
          <w:spacing w:val="-13"/>
        </w:rPr>
        <w:t xml:space="preserve"> </w:t>
      </w:r>
      <w:r>
        <w:rPr>
          <w:color w:val="231F20"/>
        </w:rPr>
        <w:t>independent</w:t>
      </w:r>
      <w:r>
        <w:rPr>
          <w:color w:val="231F20"/>
          <w:spacing w:val="-13"/>
        </w:rPr>
        <w:t xml:space="preserve"> </w:t>
      </w:r>
      <w:r>
        <w:rPr>
          <w:color w:val="231F20"/>
        </w:rPr>
        <w:t>valuation</w:t>
      </w:r>
      <w:r>
        <w:rPr>
          <w:color w:val="231F20"/>
          <w:spacing w:val="-13"/>
        </w:rPr>
        <w:t xml:space="preserve"> </w:t>
      </w:r>
      <w:r>
        <w:rPr>
          <w:color w:val="231F20"/>
        </w:rPr>
        <w:t>of</w:t>
      </w:r>
      <w:r>
        <w:rPr>
          <w:color w:val="231F20"/>
          <w:spacing w:val="-13"/>
        </w:rPr>
        <w:t xml:space="preserve"> </w:t>
      </w:r>
      <w:r>
        <w:rPr>
          <w:color w:val="231F20"/>
        </w:rPr>
        <w:t>Victoria</w:t>
      </w:r>
      <w:r>
        <w:rPr>
          <w:color w:val="231F20"/>
          <w:spacing w:val="-13"/>
        </w:rPr>
        <w:t xml:space="preserve"> </w:t>
      </w:r>
      <w:r>
        <w:rPr>
          <w:color w:val="231F20"/>
        </w:rPr>
        <w:t>Police’s</w:t>
      </w:r>
      <w:r>
        <w:rPr>
          <w:color w:val="231F20"/>
          <w:spacing w:val="-13"/>
        </w:rPr>
        <w:t xml:space="preserve"> </w:t>
      </w:r>
      <w:r>
        <w:rPr>
          <w:color w:val="231F20"/>
        </w:rPr>
        <w:t>specialised</w:t>
      </w:r>
      <w:r>
        <w:rPr>
          <w:color w:val="231F20"/>
          <w:spacing w:val="-13"/>
        </w:rPr>
        <w:t xml:space="preserve"> </w:t>
      </w:r>
      <w:r>
        <w:rPr>
          <w:color w:val="231F20"/>
        </w:rPr>
        <w:t>land</w:t>
      </w:r>
      <w:r>
        <w:rPr>
          <w:color w:val="231F20"/>
          <w:spacing w:val="-13"/>
        </w:rPr>
        <w:t xml:space="preserve"> </w:t>
      </w:r>
      <w:r>
        <w:rPr>
          <w:color w:val="231F20"/>
        </w:rPr>
        <w:t>and</w:t>
      </w:r>
      <w:r>
        <w:rPr>
          <w:color w:val="231F20"/>
          <w:spacing w:val="-13"/>
        </w:rPr>
        <w:t xml:space="preserve"> </w:t>
      </w:r>
      <w:r>
        <w:rPr>
          <w:color w:val="231F20"/>
        </w:rPr>
        <w:t>specialised</w:t>
      </w:r>
      <w:r>
        <w:rPr>
          <w:color w:val="231F20"/>
          <w:spacing w:val="-13"/>
        </w:rPr>
        <w:t xml:space="preserve"> </w:t>
      </w:r>
      <w:r>
        <w:rPr>
          <w:color w:val="231F20"/>
        </w:rPr>
        <w:t>buildings</w:t>
      </w:r>
      <w:r>
        <w:rPr>
          <w:color w:val="231F20"/>
          <w:spacing w:val="-13"/>
        </w:rPr>
        <w:t xml:space="preserve"> </w:t>
      </w:r>
      <w:r>
        <w:rPr>
          <w:color w:val="231F20"/>
        </w:rPr>
        <w:t>was performed</w:t>
      </w:r>
      <w:r>
        <w:rPr>
          <w:color w:val="231F20"/>
          <w:spacing w:val="-8"/>
        </w:rPr>
        <w:t xml:space="preserve"> </w:t>
      </w:r>
      <w:r>
        <w:rPr>
          <w:color w:val="231F20"/>
        </w:rPr>
        <w:t>by</w:t>
      </w:r>
      <w:r>
        <w:rPr>
          <w:color w:val="231F20"/>
          <w:spacing w:val="-7"/>
        </w:rPr>
        <w:t xml:space="preserve"> </w:t>
      </w:r>
      <w:r>
        <w:rPr>
          <w:color w:val="231F20"/>
        </w:rPr>
        <w:t>VGV</w:t>
      </w:r>
      <w:r>
        <w:rPr>
          <w:color w:val="231F20"/>
          <w:spacing w:val="-7"/>
        </w:rPr>
        <w:t xml:space="preserve"> </w:t>
      </w:r>
      <w:r>
        <w:rPr>
          <w:color w:val="231F20"/>
        </w:rPr>
        <w:t>in</w:t>
      </w:r>
      <w:r>
        <w:rPr>
          <w:color w:val="231F20"/>
          <w:spacing w:val="-8"/>
        </w:rPr>
        <w:t xml:space="preserve"> </w:t>
      </w:r>
      <w:r>
        <w:rPr>
          <w:color w:val="231F20"/>
        </w:rPr>
        <w:t>the</w:t>
      </w:r>
      <w:r>
        <w:rPr>
          <w:color w:val="231F20"/>
          <w:spacing w:val="40"/>
        </w:rPr>
        <w:t xml:space="preserve"> </w:t>
      </w:r>
      <w:r>
        <w:rPr>
          <w:color w:val="231F20"/>
        </w:rPr>
        <w:t>2020–21</w:t>
      </w:r>
      <w:r>
        <w:rPr>
          <w:color w:val="231F20"/>
          <w:spacing w:val="-8"/>
        </w:rPr>
        <w:t xml:space="preserve"> </w:t>
      </w:r>
      <w:r>
        <w:rPr>
          <w:color w:val="231F20"/>
        </w:rPr>
        <w:t>financial</w:t>
      </w:r>
      <w:r>
        <w:rPr>
          <w:color w:val="231F20"/>
          <w:spacing w:val="-8"/>
        </w:rPr>
        <w:t xml:space="preserve"> </w:t>
      </w:r>
      <w:r>
        <w:rPr>
          <w:color w:val="231F20"/>
        </w:rPr>
        <w:t>year.</w:t>
      </w:r>
      <w:r>
        <w:rPr>
          <w:color w:val="231F20"/>
          <w:spacing w:val="-7"/>
        </w:rPr>
        <w:t xml:space="preserve"> </w:t>
      </w:r>
      <w:r>
        <w:rPr>
          <w:color w:val="231F20"/>
        </w:rPr>
        <w:t>The</w:t>
      </w:r>
      <w:r>
        <w:rPr>
          <w:color w:val="231F20"/>
          <w:spacing w:val="-8"/>
        </w:rPr>
        <w:t xml:space="preserve"> </w:t>
      </w:r>
      <w:r>
        <w:rPr>
          <w:color w:val="231F20"/>
        </w:rPr>
        <w:t>valuation</w:t>
      </w:r>
      <w:r>
        <w:rPr>
          <w:color w:val="231F20"/>
          <w:spacing w:val="-8"/>
        </w:rPr>
        <w:t xml:space="preserve"> </w:t>
      </w:r>
      <w:r>
        <w:rPr>
          <w:color w:val="231F20"/>
        </w:rPr>
        <w:t>was</w:t>
      </w:r>
      <w:r>
        <w:rPr>
          <w:color w:val="231F20"/>
          <w:spacing w:val="-7"/>
        </w:rPr>
        <w:t xml:space="preserve"> </w:t>
      </w:r>
      <w:r>
        <w:rPr>
          <w:color w:val="231F20"/>
        </w:rPr>
        <w:t>performed</w:t>
      </w:r>
      <w:r>
        <w:rPr>
          <w:color w:val="231F20"/>
          <w:spacing w:val="-8"/>
        </w:rPr>
        <w:t xml:space="preserve"> </w:t>
      </w:r>
      <w:r>
        <w:rPr>
          <w:color w:val="231F20"/>
        </w:rPr>
        <w:t>using</w:t>
      </w:r>
      <w:r>
        <w:rPr>
          <w:color w:val="231F20"/>
          <w:spacing w:val="-8"/>
        </w:rPr>
        <w:t xml:space="preserve"> </w:t>
      </w:r>
      <w:r>
        <w:rPr>
          <w:color w:val="231F20"/>
        </w:rPr>
        <w:t>the</w:t>
      </w:r>
      <w:r>
        <w:rPr>
          <w:color w:val="231F20"/>
          <w:spacing w:val="-8"/>
        </w:rPr>
        <w:t xml:space="preserve"> </w:t>
      </w:r>
      <w:r>
        <w:rPr>
          <w:color w:val="231F20"/>
        </w:rPr>
        <w:t>market approach adjusted for CSO. The effective date of the valuation was 30 June 2021.</w:t>
      </w:r>
    </w:p>
    <w:p w14:paraId="6BC456F9" w14:textId="77777777" w:rsidR="00345EE3" w:rsidRDefault="00345EE3" w:rsidP="00345EE3">
      <w:pPr>
        <w:pStyle w:val="BodyText"/>
        <w:spacing w:before="117" w:line="242" w:lineRule="auto"/>
      </w:pPr>
      <w:r>
        <w:rPr>
          <w:b/>
          <w:color w:val="231F20"/>
        </w:rPr>
        <w:t xml:space="preserve">Heritage assets </w:t>
      </w:r>
      <w:r>
        <w:rPr>
          <w:color w:val="231F20"/>
        </w:rPr>
        <w:t>are valued using the current replacement cost method. This cost generally represents</w:t>
      </w:r>
      <w:r>
        <w:rPr>
          <w:color w:val="231F20"/>
          <w:spacing w:val="-10"/>
        </w:rPr>
        <w:t xml:space="preserve"> </w:t>
      </w:r>
      <w:r>
        <w:rPr>
          <w:color w:val="231F20"/>
        </w:rPr>
        <w:t>the</w:t>
      </w:r>
      <w:r>
        <w:rPr>
          <w:color w:val="231F20"/>
          <w:spacing w:val="-11"/>
        </w:rPr>
        <w:t xml:space="preserve"> </w:t>
      </w:r>
      <w:r>
        <w:rPr>
          <w:color w:val="231F20"/>
        </w:rPr>
        <w:t>replacement</w:t>
      </w:r>
      <w:r>
        <w:rPr>
          <w:color w:val="231F20"/>
          <w:spacing w:val="-10"/>
        </w:rPr>
        <w:t xml:space="preserve"> </w:t>
      </w:r>
      <w:r>
        <w:rPr>
          <w:color w:val="231F20"/>
        </w:rPr>
        <w:t>cost</w:t>
      </w:r>
      <w:r>
        <w:rPr>
          <w:color w:val="231F20"/>
          <w:spacing w:val="-10"/>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building/component</w:t>
      </w:r>
      <w:r>
        <w:rPr>
          <w:color w:val="231F20"/>
          <w:spacing w:val="-10"/>
        </w:rPr>
        <w:t xml:space="preserve"> </w:t>
      </w:r>
      <w:r>
        <w:rPr>
          <w:color w:val="231F20"/>
        </w:rPr>
        <w:t>after</w:t>
      </w:r>
      <w:r>
        <w:rPr>
          <w:color w:val="231F20"/>
          <w:spacing w:val="-10"/>
        </w:rPr>
        <w:t xml:space="preserve"> </w:t>
      </w:r>
      <w:r>
        <w:rPr>
          <w:color w:val="231F20"/>
        </w:rPr>
        <w:t>applying</w:t>
      </w:r>
      <w:r>
        <w:rPr>
          <w:color w:val="231F20"/>
          <w:spacing w:val="-11"/>
        </w:rPr>
        <w:t xml:space="preserve"> </w:t>
      </w:r>
      <w:r>
        <w:rPr>
          <w:color w:val="231F20"/>
        </w:rPr>
        <w:t>depreciation</w:t>
      </w:r>
      <w:r>
        <w:rPr>
          <w:color w:val="231F20"/>
          <w:spacing w:val="-11"/>
        </w:rPr>
        <w:t xml:space="preserve"> </w:t>
      </w:r>
      <w:r>
        <w:rPr>
          <w:color w:val="231F20"/>
        </w:rPr>
        <w:t>rates</w:t>
      </w:r>
      <w:r>
        <w:rPr>
          <w:color w:val="231F20"/>
          <w:spacing w:val="-10"/>
        </w:rPr>
        <w:t xml:space="preserve"> </w:t>
      </w:r>
      <w:r>
        <w:rPr>
          <w:color w:val="231F20"/>
        </w:rPr>
        <w:t>on</w:t>
      </w:r>
      <w:r>
        <w:rPr>
          <w:color w:val="231F20"/>
          <w:spacing w:val="-11"/>
        </w:rPr>
        <w:t xml:space="preserve"> </w:t>
      </w:r>
      <w:r>
        <w:rPr>
          <w:color w:val="231F20"/>
        </w:rPr>
        <w:t>a useful</w:t>
      </w:r>
      <w:r>
        <w:rPr>
          <w:color w:val="231F20"/>
          <w:spacing w:val="-9"/>
        </w:rPr>
        <w:t xml:space="preserve"> </w:t>
      </w:r>
      <w:r>
        <w:rPr>
          <w:color w:val="231F20"/>
        </w:rPr>
        <w:t>life</w:t>
      </w:r>
      <w:r>
        <w:rPr>
          <w:color w:val="231F20"/>
          <w:spacing w:val="-9"/>
        </w:rPr>
        <w:t xml:space="preserve"> </w:t>
      </w:r>
      <w:r>
        <w:rPr>
          <w:color w:val="231F20"/>
        </w:rPr>
        <w:t>basis.</w:t>
      </w:r>
      <w:r>
        <w:rPr>
          <w:color w:val="231F20"/>
          <w:spacing w:val="-8"/>
        </w:rPr>
        <w:t xml:space="preserve"> </w:t>
      </w:r>
      <w:r>
        <w:rPr>
          <w:color w:val="231F20"/>
        </w:rPr>
        <w:t>However,</w:t>
      </w:r>
      <w:r>
        <w:rPr>
          <w:color w:val="231F20"/>
          <w:spacing w:val="-8"/>
        </w:rPr>
        <w:t xml:space="preserve"> </w:t>
      </w:r>
      <w:r>
        <w:rPr>
          <w:color w:val="231F20"/>
        </w:rPr>
        <w:t>for</w:t>
      </w:r>
      <w:r>
        <w:rPr>
          <w:color w:val="231F20"/>
          <w:spacing w:val="-8"/>
        </w:rPr>
        <w:t xml:space="preserve"> </w:t>
      </w:r>
      <w:r>
        <w:rPr>
          <w:color w:val="231F20"/>
        </w:rPr>
        <w:t>some</w:t>
      </w:r>
      <w:r>
        <w:rPr>
          <w:color w:val="231F20"/>
          <w:spacing w:val="-9"/>
        </w:rPr>
        <w:t xml:space="preserve"> </w:t>
      </w:r>
      <w:r>
        <w:rPr>
          <w:color w:val="231F20"/>
        </w:rPr>
        <w:t>heritage</w:t>
      </w:r>
      <w:r>
        <w:rPr>
          <w:color w:val="231F20"/>
          <w:spacing w:val="-9"/>
        </w:rPr>
        <w:t xml:space="preserve"> </w:t>
      </w:r>
      <w:r>
        <w:rPr>
          <w:color w:val="231F20"/>
        </w:rPr>
        <w:t>and</w:t>
      </w:r>
      <w:r>
        <w:rPr>
          <w:color w:val="231F20"/>
          <w:spacing w:val="-9"/>
        </w:rPr>
        <w:t xml:space="preserve"> </w:t>
      </w:r>
      <w:r>
        <w:rPr>
          <w:color w:val="231F20"/>
        </w:rPr>
        <w:t>iconic</w:t>
      </w:r>
      <w:r>
        <w:rPr>
          <w:color w:val="231F20"/>
          <w:spacing w:val="-8"/>
        </w:rPr>
        <w:t xml:space="preserve"> </w:t>
      </w:r>
      <w:r>
        <w:rPr>
          <w:color w:val="231F20"/>
        </w:rPr>
        <w:t>assets,</w:t>
      </w:r>
      <w:r>
        <w:rPr>
          <w:color w:val="231F20"/>
          <w:spacing w:val="-8"/>
        </w:rPr>
        <w:t xml:space="preserve"> </w:t>
      </w:r>
      <w:r>
        <w:rPr>
          <w:color w:val="231F20"/>
        </w:rPr>
        <w:t>the</w:t>
      </w:r>
      <w:r>
        <w:rPr>
          <w:color w:val="231F20"/>
          <w:spacing w:val="-9"/>
        </w:rPr>
        <w:t xml:space="preserve"> </w:t>
      </w:r>
      <w:r>
        <w:rPr>
          <w:color w:val="231F20"/>
        </w:rPr>
        <w:t>cost</w:t>
      </w:r>
      <w:r>
        <w:rPr>
          <w:color w:val="231F20"/>
          <w:spacing w:val="-8"/>
        </w:rPr>
        <w:t xml:space="preserve"> </w:t>
      </w:r>
      <w:r>
        <w:rPr>
          <w:color w:val="231F20"/>
        </w:rPr>
        <w:t>may</w:t>
      </w:r>
      <w:r>
        <w:rPr>
          <w:color w:val="231F20"/>
          <w:spacing w:val="-8"/>
        </w:rPr>
        <w:t xml:space="preserve"> </w:t>
      </w:r>
      <w:r>
        <w:rPr>
          <w:color w:val="231F20"/>
        </w:rPr>
        <w:t>be</w:t>
      </w:r>
      <w:r>
        <w:rPr>
          <w:color w:val="231F20"/>
          <w:spacing w:val="-9"/>
        </w:rPr>
        <w:t xml:space="preserve"> </w:t>
      </w:r>
      <w:r>
        <w:rPr>
          <w:color w:val="231F20"/>
        </w:rPr>
        <w:t>the</w:t>
      </w:r>
      <w:r>
        <w:rPr>
          <w:color w:val="231F20"/>
          <w:spacing w:val="-9"/>
        </w:rPr>
        <w:t xml:space="preserve"> </w:t>
      </w:r>
      <w:r>
        <w:rPr>
          <w:color w:val="231F20"/>
        </w:rPr>
        <w:t>reproduction cost rather than the current replacement cost if those assets’ service potential could only be replaced by reproducing them with the same materials.</w:t>
      </w:r>
    </w:p>
    <w:p w14:paraId="6649842B" w14:textId="77777777" w:rsidR="00345EE3" w:rsidRDefault="00345EE3" w:rsidP="00345EE3">
      <w:pPr>
        <w:pStyle w:val="BodyText"/>
        <w:spacing w:before="120" w:line="242" w:lineRule="auto"/>
        <w:ind w:right="115"/>
      </w:pPr>
      <w:r>
        <w:rPr>
          <w:color w:val="231F20"/>
        </w:rPr>
        <w:t>Where it has not been possible to examine hidden works such as structural frames and floors, the use of reasonable materials and methods of construction have been assumed bearing in mind</w:t>
      </w:r>
      <w:r>
        <w:rPr>
          <w:color w:val="231F20"/>
          <w:spacing w:val="-9"/>
        </w:rPr>
        <w:t xml:space="preserve"> </w:t>
      </w:r>
      <w:r>
        <w:rPr>
          <w:color w:val="231F20"/>
        </w:rPr>
        <w:t>the</w:t>
      </w:r>
      <w:r>
        <w:rPr>
          <w:color w:val="231F20"/>
          <w:spacing w:val="-9"/>
        </w:rPr>
        <w:t xml:space="preserve"> </w:t>
      </w:r>
      <w:r>
        <w:rPr>
          <w:color w:val="231F20"/>
        </w:rPr>
        <w:t>age</w:t>
      </w:r>
      <w:r>
        <w:rPr>
          <w:color w:val="231F20"/>
          <w:spacing w:val="-9"/>
        </w:rPr>
        <w:t xml:space="preserve"> </w:t>
      </w:r>
      <w:r>
        <w:rPr>
          <w:color w:val="231F20"/>
        </w:rPr>
        <w:t>and</w:t>
      </w:r>
      <w:r>
        <w:rPr>
          <w:color w:val="231F20"/>
          <w:spacing w:val="-9"/>
        </w:rPr>
        <w:t xml:space="preserve"> </w:t>
      </w:r>
      <w:r>
        <w:rPr>
          <w:color w:val="231F20"/>
        </w:rPr>
        <w:t>nature</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building.</w:t>
      </w:r>
      <w:r>
        <w:rPr>
          <w:color w:val="231F20"/>
          <w:spacing w:val="-8"/>
        </w:rPr>
        <w:t xml:space="preserve"> </w:t>
      </w:r>
      <w:r>
        <w:rPr>
          <w:color w:val="231F20"/>
        </w:rPr>
        <w:t>The</w:t>
      </w:r>
      <w:r>
        <w:rPr>
          <w:color w:val="231F20"/>
          <w:spacing w:val="-9"/>
        </w:rPr>
        <w:t xml:space="preserve"> </w:t>
      </w:r>
      <w:r>
        <w:rPr>
          <w:color w:val="231F20"/>
        </w:rPr>
        <w:t>estimated</w:t>
      </w:r>
      <w:r>
        <w:rPr>
          <w:color w:val="231F20"/>
          <w:spacing w:val="-9"/>
        </w:rPr>
        <w:t xml:space="preserve"> </w:t>
      </w:r>
      <w:r>
        <w:rPr>
          <w:color w:val="231F20"/>
        </w:rPr>
        <w:t>cost</w:t>
      </w:r>
      <w:r>
        <w:rPr>
          <w:color w:val="231F20"/>
          <w:spacing w:val="-8"/>
        </w:rPr>
        <w:t xml:space="preserve"> </w:t>
      </w:r>
      <w:r>
        <w:rPr>
          <w:color w:val="231F20"/>
        </w:rPr>
        <w:t>of</w:t>
      </w:r>
      <w:r>
        <w:rPr>
          <w:color w:val="231F20"/>
          <w:spacing w:val="-8"/>
        </w:rPr>
        <w:t xml:space="preserve"> </w:t>
      </w:r>
      <w:r>
        <w:rPr>
          <w:color w:val="231F20"/>
        </w:rPr>
        <w:t>reconstruction</w:t>
      </w:r>
      <w:r>
        <w:rPr>
          <w:color w:val="231F20"/>
          <w:spacing w:val="-9"/>
        </w:rPr>
        <w:t xml:space="preserve"> </w:t>
      </w:r>
      <w:r>
        <w:rPr>
          <w:color w:val="231F20"/>
        </w:rPr>
        <w:t>including</w:t>
      </w:r>
      <w:r>
        <w:rPr>
          <w:color w:val="231F20"/>
          <w:spacing w:val="-9"/>
        </w:rPr>
        <w:t xml:space="preserve"> </w:t>
      </w:r>
      <w:r>
        <w:rPr>
          <w:color w:val="231F20"/>
        </w:rPr>
        <w:t>structure services and finishes, also factors in any heritage classifications as applicable.</w:t>
      </w:r>
    </w:p>
    <w:p w14:paraId="2D604D40" w14:textId="77777777" w:rsidR="00345EE3" w:rsidRDefault="00345EE3" w:rsidP="00345EE3">
      <w:pPr>
        <w:pStyle w:val="BodyText"/>
        <w:spacing w:before="118" w:line="242" w:lineRule="auto"/>
        <w:ind w:right="115"/>
      </w:pPr>
      <w:r>
        <w:rPr>
          <w:color w:val="231F20"/>
        </w:rPr>
        <w:t>An independent valuation of Victoria Police’s heritage assets was performed by VGV. The valuation</w:t>
      </w:r>
      <w:r>
        <w:rPr>
          <w:color w:val="231F20"/>
          <w:spacing w:val="-8"/>
        </w:rPr>
        <w:t xml:space="preserve"> </w:t>
      </w:r>
      <w:r>
        <w:rPr>
          <w:color w:val="231F20"/>
        </w:rPr>
        <w:t>was</w:t>
      </w:r>
      <w:r>
        <w:rPr>
          <w:color w:val="231F20"/>
          <w:spacing w:val="-8"/>
        </w:rPr>
        <w:t xml:space="preserve"> </w:t>
      </w:r>
      <w:r>
        <w:rPr>
          <w:color w:val="231F20"/>
        </w:rPr>
        <w:t>performed</w:t>
      </w:r>
      <w:r>
        <w:rPr>
          <w:color w:val="231F20"/>
          <w:spacing w:val="-8"/>
        </w:rPr>
        <w:t xml:space="preserve"> </w:t>
      </w:r>
      <w:r>
        <w:rPr>
          <w:color w:val="231F20"/>
        </w:rPr>
        <w:t>based</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current</w:t>
      </w:r>
      <w:r>
        <w:rPr>
          <w:color w:val="231F20"/>
          <w:spacing w:val="-8"/>
        </w:rPr>
        <w:t xml:space="preserve"> </w:t>
      </w:r>
      <w:r>
        <w:rPr>
          <w:color w:val="231F20"/>
        </w:rPr>
        <w:t>replacement</w:t>
      </w:r>
      <w:r>
        <w:rPr>
          <w:color w:val="231F20"/>
          <w:spacing w:val="-8"/>
        </w:rPr>
        <w:t xml:space="preserve"> </w:t>
      </w:r>
      <w:r>
        <w:rPr>
          <w:color w:val="231F20"/>
        </w:rPr>
        <w:t>cost</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assets.</w:t>
      </w:r>
      <w:r>
        <w:rPr>
          <w:color w:val="231F20"/>
          <w:spacing w:val="-8"/>
        </w:rPr>
        <w:t xml:space="preserve"> </w:t>
      </w:r>
      <w:r>
        <w:rPr>
          <w:color w:val="231F20"/>
        </w:rPr>
        <w:t>The</w:t>
      </w:r>
      <w:r>
        <w:rPr>
          <w:color w:val="231F20"/>
          <w:spacing w:val="-8"/>
        </w:rPr>
        <w:t xml:space="preserve"> </w:t>
      </w:r>
      <w:r>
        <w:rPr>
          <w:color w:val="231F20"/>
        </w:rPr>
        <w:t>effective</w:t>
      </w:r>
      <w:r>
        <w:rPr>
          <w:color w:val="231F20"/>
          <w:spacing w:val="-8"/>
        </w:rPr>
        <w:t xml:space="preserve"> </w:t>
      </w:r>
      <w:r>
        <w:rPr>
          <w:color w:val="231F20"/>
        </w:rPr>
        <w:t>date of</w:t>
      </w:r>
      <w:r>
        <w:rPr>
          <w:color w:val="231F20"/>
          <w:spacing w:val="-2"/>
        </w:rPr>
        <w:t xml:space="preserve"> </w:t>
      </w:r>
      <w:r>
        <w:rPr>
          <w:color w:val="231F20"/>
        </w:rPr>
        <w:t>the</w:t>
      </w:r>
      <w:r>
        <w:rPr>
          <w:color w:val="231F20"/>
          <w:spacing w:val="-3"/>
        </w:rPr>
        <w:t xml:space="preserve"> </w:t>
      </w:r>
      <w:r>
        <w:rPr>
          <w:color w:val="231F20"/>
        </w:rPr>
        <w:t>valuation</w:t>
      </w:r>
      <w:r>
        <w:rPr>
          <w:color w:val="231F20"/>
          <w:spacing w:val="-3"/>
        </w:rPr>
        <w:t xml:space="preserve"> </w:t>
      </w:r>
      <w:r>
        <w:rPr>
          <w:color w:val="231F20"/>
        </w:rPr>
        <w:t>was</w:t>
      </w:r>
      <w:r>
        <w:rPr>
          <w:color w:val="231F20"/>
          <w:spacing w:val="-2"/>
        </w:rPr>
        <w:t xml:space="preserve"> </w:t>
      </w:r>
      <w:r>
        <w:rPr>
          <w:color w:val="231F20"/>
        </w:rPr>
        <w:t>30</w:t>
      </w:r>
      <w:r>
        <w:rPr>
          <w:color w:val="231F20"/>
          <w:spacing w:val="-3"/>
        </w:rPr>
        <w:t xml:space="preserve"> </w:t>
      </w:r>
      <w:r>
        <w:rPr>
          <w:color w:val="231F20"/>
        </w:rPr>
        <w:t>June</w:t>
      </w:r>
      <w:r>
        <w:rPr>
          <w:color w:val="231F20"/>
          <w:spacing w:val="-3"/>
        </w:rPr>
        <w:t xml:space="preserve"> </w:t>
      </w:r>
      <w:r>
        <w:rPr>
          <w:color w:val="231F20"/>
        </w:rPr>
        <w:t>2021.</w:t>
      </w:r>
      <w:r>
        <w:rPr>
          <w:color w:val="231F20"/>
          <w:spacing w:val="-2"/>
        </w:rPr>
        <w:t xml:space="preserve"> </w:t>
      </w:r>
      <w:r>
        <w:rPr>
          <w:color w:val="231F20"/>
        </w:rPr>
        <w:t>As</w:t>
      </w:r>
      <w:r>
        <w:rPr>
          <w:color w:val="231F20"/>
          <w:spacing w:val="-2"/>
        </w:rPr>
        <w:t xml:space="preserve"> </w:t>
      </w:r>
      <w:r>
        <w:rPr>
          <w:color w:val="231F20"/>
        </w:rPr>
        <w:t>adjustments</w:t>
      </w:r>
      <w:r>
        <w:rPr>
          <w:color w:val="231F20"/>
          <w:spacing w:val="-2"/>
        </w:rPr>
        <w:t xml:space="preserve"> </w:t>
      </w:r>
      <w:r>
        <w:rPr>
          <w:color w:val="231F20"/>
        </w:rPr>
        <w:t>of</w:t>
      </w:r>
      <w:r>
        <w:rPr>
          <w:color w:val="231F20"/>
          <w:spacing w:val="-2"/>
        </w:rPr>
        <w:t xml:space="preserve"> </w:t>
      </w:r>
      <w:r>
        <w:rPr>
          <w:color w:val="231F20"/>
        </w:rPr>
        <w:t>heritage</w:t>
      </w:r>
      <w:r>
        <w:rPr>
          <w:color w:val="231F20"/>
          <w:spacing w:val="-3"/>
        </w:rPr>
        <w:t xml:space="preserve"> </w:t>
      </w:r>
      <w:r>
        <w:rPr>
          <w:color w:val="231F20"/>
        </w:rPr>
        <w:t>assets</w:t>
      </w:r>
      <w:r>
        <w:rPr>
          <w:color w:val="231F20"/>
          <w:spacing w:val="-2"/>
        </w:rPr>
        <w:t xml:space="preserve"> </w:t>
      </w:r>
      <w:r>
        <w:rPr>
          <w:color w:val="231F20"/>
        </w:rPr>
        <w:t>are</w:t>
      </w:r>
      <w:r>
        <w:rPr>
          <w:color w:val="231F20"/>
          <w:spacing w:val="-3"/>
        </w:rPr>
        <w:t xml:space="preserve"> </w:t>
      </w:r>
      <w:r>
        <w:rPr>
          <w:color w:val="231F20"/>
        </w:rPr>
        <w:t>considered</w:t>
      </w:r>
      <w:r>
        <w:rPr>
          <w:color w:val="231F20"/>
          <w:spacing w:val="-3"/>
        </w:rPr>
        <w:t xml:space="preserve"> </w:t>
      </w:r>
      <w:r>
        <w:rPr>
          <w:color w:val="231F20"/>
        </w:rPr>
        <w:t>significant unobservable inputs, these assets would be classified as Level 3 assets.</w:t>
      </w:r>
    </w:p>
    <w:p w14:paraId="62804BBE" w14:textId="77777777" w:rsidR="00345EE3" w:rsidRDefault="00345EE3" w:rsidP="00345EE3">
      <w:pPr>
        <w:pStyle w:val="Heading5"/>
        <w:spacing w:before="62"/>
      </w:pPr>
      <w:r>
        <w:rPr>
          <w:color w:val="231F20"/>
          <w:spacing w:val="-2"/>
        </w:rPr>
        <w:t>Artworks</w:t>
      </w:r>
    </w:p>
    <w:p w14:paraId="6EE69A67" w14:textId="77777777" w:rsidR="00345EE3" w:rsidRDefault="00345EE3" w:rsidP="00345EE3">
      <w:pPr>
        <w:pStyle w:val="BodyText"/>
        <w:spacing w:before="4" w:line="242" w:lineRule="auto"/>
        <w:ind w:right="115"/>
      </w:pPr>
      <w:r>
        <w:rPr>
          <w:color w:val="231F20"/>
        </w:rPr>
        <w:t>Artworks</w:t>
      </w:r>
      <w:r>
        <w:rPr>
          <w:color w:val="231F20"/>
          <w:spacing w:val="-6"/>
        </w:rPr>
        <w:t xml:space="preserve"> </w:t>
      </w:r>
      <w:r>
        <w:rPr>
          <w:color w:val="231F20"/>
        </w:rPr>
        <w:t>are</w:t>
      </w:r>
      <w:r>
        <w:rPr>
          <w:color w:val="231F20"/>
          <w:spacing w:val="-7"/>
        </w:rPr>
        <w:t xml:space="preserve"> </w:t>
      </w:r>
      <w:r>
        <w:rPr>
          <w:color w:val="231F20"/>
        </w:rPr>
        <w:t>held</w:t>
      </w:r>
      <w:r>
        <w:rPr>
          <w:color w:val="231F20"/>
          <w:spacing w:val="-7"/>
        </w:rPr>
        <w:t xml:space="preserve"> </w:t>
      </w:r>
      <w:r>
        <w:rPr>
          <w:color w:val="231F20"/>
        </w:rPr>
        <w:t>at</w:t>
      </w:r>
      <w:r>
        <w:rPr>
          <w:color w:val="231F20"/>
          <w:spacing w:val="-6"/>
        </w:rPr>
        <w:t xml:space="preserve"> </w:t>
      </w:r>
      <w:r>
        <w:rPr>
          <w:color w:val="231F20"/>
        </w:rPr>
        <w:t>fair</w:t>
      </w:r>
      <w:r>
        <w:rPr>
          <w:color w:val="231F20"/>
          <w:spacing w:val="-6"/>
        </w:rPr>
        <w:t xml:space="preserve"> </w:t>
      </w:r>
      <w:r>
        <w:rPr>
          <w:color w:val="231F20"/>
        </w:rPr>
        <w:t>value.</w:t>
      </w:r>
      <w:r>
        <w:rPr>
          <w:color w:val="231F20"/>
          <w:spacing w:val="-6"/>
        </w:rPr>
        <w:t xml:space="preserve"> </w:t>
      </w:r>
      <w:r>
        <w:rPr>
          <w:color w:val="231F20"/>
        </w:rPr>
        <w:t>The</w:t>
      </w:r>
      <w:r>
        <w:rPr>
          <w:color w:val="231F20"/>
          <w:spacing w:val="-7"/>
        </w:rPr>
        <w:t xml:space="preserve"> </w:t>
      </w:r>
      <w:r>
        <w:rPr>
          <w:color w:val="231F20"/>
        </w:rPr>
        <w:t>market</w:t>
      </w:r>
      <w:r>
        <w:rPr>
          <w:color w:val="231F20"/>
          <w:spacing w:val="-6"/>
        </w:rPr>
        <w:t xml:space="preserve"> </w:t>
      </w:r>
      <w:r>
        <w:rPr>
          <w:color w:val="231F20"/>
        </w:rPr>
        <w:t>approach</w:t>
      </w:r>
      <w:r>
        <w:rPr>
          <w:color w:val="231F20"/>
          <w:spacing w:val="-7"/>
        </w:rPr>
        <w:t xml:space="preserve"> </w:t>
      </w:r>
      <w:r>
        <w:rPr>
          <w:color w:val="231F20"/>
        </w:rPr>
        <w:t>is</w:t>
      </w:r>
      <w:r>
        <w:rPr>
          <w:color w:val="231F20"/>
          <w:spacing w:val="-6"/>
        </w:rPr>
        <w:t xml:space="preserve"> </w:t>
      </w:r>
      <w:r>
        <w:rPr>
          <w:color w:val="231F20"/>
        </w:rPr>
        <w:t>also</w:t>
      </w:r>
      <w:r>
        <w:rPr>
          <w:color w:val="231F20"/>
          <w:spacing w:val="-7"/>
        </w:rPr>
        <w:t xml:space="preserve"> </w:t>
      </w:r>
      <w:r>
        <w:rPr>
          <w:color w:val="231F20"/>
        </w:rPr>
        <w:t>used</w:t>
      </w:r>
      <w:r>
        <w:rPr>
          <w:color w:val="231F20"/>
          <w:spacing w:val="-7"/>
        </w:rPr>
        <w:t xml:space="preserve"> </w:t>
      </w:r>
      <w:r>
        <w:rPr>
          <w:color w:val="231F20"/>
        </w:rPr>
        <w:t>for</w:t>
      </w:r>
      <w:r>
        <w:rPr>
          <w:color w:val="231F20"/>
          <w:spacing w:val="-6"/>
        </w:rPr>
        <w:t xml:space="preserve"> </w:t>
      </w:r>
      <w:r>
        <w:rPr>
          <w:color w:val="231F20"/>
        </w:rPr>
        <w:t>artworks.</w:t>
      </w:r>
      <w:r>
        <w:rPr>
          <w:color w:val="231F20"/>
          <w:spacing w:val="40"/>
        </w:rPr>
        <w:t xml:space="preserve"> </w:t>
      </w:r>
      <w:r>
        <w:rPr>
          <w:color w:val="231F20"/>
        </w:rPr>
        <w:t>Any</w:t>
      </w:r>
      <w:r>
        <w:rPr>
          <w:color w:val="231F20"/>
          <w:spacing w:val="-6"/>
        </w:rPr>
        <w:t xml:space="preserve"> </w:t>
      </w:r>
      <w:r>
        <w:rPr>
          <w:color w:val="231F20"/>
        </w:rPr>
        <w:t>adjustments to artworks are considered significant unobservable inputs, as such these assets would be classified as Level 3 assets.</w:t>
      </w:r>
    </w:p>
    <w:p w14:paraId="1FBE4E37" w14:textId="77777777" w:rsidR="00345EE3" w:rsidRDefault="00345EE3" w:rsidP="00345EE3">
      <w:pPr>
        <w:pStyle w:val="Heading5"/>
        <w:spacing w:before="117"/>
      </w:pPr>
      <w:r>
        <w:rPr>
          <w:color w:val="231F20"/>
        </w:rPr>
        <w:t>Plant</w:t>
      </w:r>
      <w:r>
        <w:rPr>
          <w:color w:val="231F20"/>
          <w:spacing w:val="-5"/>
        </w:rPr>
        <w:t xml:space="preserve"> </w:t>
      </w:r>
      <w:r>
        <w:rPr>
          <w:color w:val="231F20"/>
        </w:rPr>
        <w:t>and</w:t>
      </w:r>
      <w:r>
        <w:rPr>
          <w:color w:val="231F20"/>
          <w:spacing w:val="-4"/>
        </w:rPr>
        <w:t xml:space="preserve"> </w:t>
      </w:r>
      <w:r>
        <w:rPr>
          <w:color w:val="231F20"/>
          <w:spacing w:val="-2"/>
        </w:rPr>
        <w:t>Equipment</w:t>
      </w:r>
    </w:p>
    <w:p w14:paraId="62CB63ED" w14:textId="77777777" w:rsidR="00345EE3" w:rsidRDefault="00345EE3" w:rsidP="00345EE3">
      <w:pPr>
        <w:pStyle w:val="BodyText"/>
        <w:spacing w:before="4" w:line="242" w:lineRule="auto"/>
        <w:ind w:right="115"/>
      </w:pPr>
      <w:r>
        <w:rPr>
          <w:color w:val="231F20"/>
        </w:rPr>
        <w:t>Plant and equipment are held at fair value. When plant and equipment are specialised in use, such that they are rarely sold other than as part of a going concern, fair value is determined using the current replacement cost method. Any adjustments of plant and equipment are considered</w:t>
      </w:r>
      <w:r>
        <w:rPr>
          <w:color w:val="231F20"/>
          <w:spacing w:val="-9"/>
        </w:rPr>
        <w:t xml:space="preserve"> </w:t>
      </w:r>
      <w:r>
        <w:rPr>
          <w:color w:val="231F20"/>
        </w:rPr>
        <w:t>significant</w:t>
      </w:r>
      <w:r>
        <w:rPr>
          <w:color w:val="231F20"/>
          <w:spacing w:val="-9"/>
        </w:rPr>
        <w:t xml:space="preserve"> </w:t>
      </w:r>
      <w:r>
        <w:rPr>
          <w:color w:val="231F20"/>
        </w:rPr>
        <w:t>unobservable</w:t>
      </w:r>
      <w:r>
        <w:rPr>
          <w:color w:val="231F20"/>
          <w:spacing w:val="-9"/>
        </w:rPr>
        <w:t xml:space="preserve"> </w:t>
      </w:r>
      <w:r>
        <w:rPr>
          <w:color w:val="231F20"/>
        </w:rPr>
        <w:t>inputs,</w:t>
      </w:r>
      <w:r>
        <w:rPr>
          <w:color w:val="231F20"/>
          <w:spacing w:val="-9"/>
        </w:rPr>
        <w:t xml:space="preserve"> </w:t>
      </w:r>
      <w:r>
        <w:rPr>
          <w:color w:val="231F20"/>
        </w:rPr>
        <w:t>as</w:t>
      </w:r>
      <w:r>
        <w:rPr>
          <w:color w:val="231F20"/>
          <w:spacing w:val="-9"/>
        </w:rPr>
        <w:t xml:space="preserve"> </w:t>
      </w:r>
      <w:r>
        <w:rPr>
          <w:color w:val="231F20"/>
        </w:rPr>
        <w:t>such</w:t>
      </w:r>
      <w:r>
        <w:rPr>
          <w:color w:val="231F20"/>
          <w:spacing w:val="-9"/>
        </w:rPr>
        <w:t xml:space="preserve"> </w:t>
      </w:r>
      <w:r>
        <w:rPr>
          <w:color w:val="231F20"/>
        </w:rPr>
        <w:t>these</w:t>
      </w:r>
      <w:r>
        <w:rPr>
          <w:color w:val="231F20"/>
          <w:spacing w:val="-9"/>
        </w:rPr>
        <w:t xml:space="preserve"> </w:t>
      </w:r>
      <w:r>
        <w:rPr>
          <w:color w:val="231F20"/>
        </w:rPr>
        <w:t>assets</w:t>
      </w:r>
      <w:r>
        <w:rPr>
          <w:color w:val="231F20"/>
          <w:spacing w:val="-9"/>
        </w:rPr>
        <w:t xml:space="preserve"> </w:t>
      </w:r>
      <w:r>
        <w:rPr>
          <w:color w:val="231F20"/>
        </w:rPr>
        <w:t>would</w:t>
      </w:r>
      <w:r>
        <w:rPr>
          <w:color w:val="231F20"/>
          <w:spacing w:val="-9"/>
        </w:rPr>
        <w:t xml:space="preserve"> </w:t>
      </w:r>
      <w:r>
        <w:rPr>
          <w:color w:val="231F20"/>
        </w:rPr>
        <w:t>be</w:t>
      </w:r>
      <w:r>
        <w:rPr>
          <w:color w:val="231F20"/>
          <w:spacing w:val="-9"/>
        </w:rPr>
        <w:t xml:space="preserve"> </w:t>
      </w:r>
      <w:r>
        <w:rPr>
          <w:color w:val="231F20"/>
        </w:rPr>
        <w:t>classified</w:t>
      </w:r>
      <w:r>
        <w:rPr>
          <w:color w:val="231F20"/>
          <w:spacing w:val="-9"/>
        </w:rPr>
        <w:t xml:space="preserve"> </w:t>
      </w:r>
      <w:r>
        <w:rPr>
          <w:color w:val="231F20"/>
        </w:rPr>
        <w:t>as</w:t>
      </w:r>
      <w:r>
        <w:rPr>
          <w:color w:val="231F20"/>
          <w:spacing w:val="-9"/>
        </w:rPr>
        <w:t xml:space="preserve"> </w:t>
      </w:r>
      <w:r>
        <w:rPr>
          <w:color w:val="231F20"/>
        </w:rPr>
        <w:t>Level</w:t>
      </w:r>
      <w:r>
        <w:rPr>
          <w:color w:val="231F20"/>
          <w:spacing w:val="-9"/>
        </w:rPr>
        <w:t xml:space="preserve"> </w:t>
      </w:r>
      <w:r>
        <w:rPr>
          <w:color w:val="231F20"/>
        </w:rPr>
        <w:t xml:space="preserve">3 </w:t>
      </w:r>
      <w:r>
        <w:rPr>
          <w:color w:val="231F20"/>
          <w:spacing w:val="-2"/>
        </w:rPr>
        <w:t>assets.</w:t>
      </w:r>
    </w:p>
    <w:p w14:paraId="2FC57409" w14:textId="77777777" w:rsidR="00345EE3" w:rsidRDefault="00345EE3" w:rsidP="00345EE3">
      <w:pPr>
        <w:pStyle w:val="BodyText"/>
        <w:spacing w:before="120"/>
      </w:pPr>
      <w:r>
        <w:rPr>
          <w:color w:val="231F20"/>
        </w:rPr>
        <w:t>There</w:t>
      </w:r>
      <w:r>
        <w:rPr>
          <w:color w:val="231F20"/>
          <w:spacing w:val="-11"/>
        </w:rPr>
        <w:t xml:space="preserve"> </w:t>
      </w:r>
      <w:r>
        <w:rPr>
          <w:color w:val="231F20"/>
        </w:rPr>
        <w:t>were</w:t>
      </w:r>
      <w:r>
        <w:rPr>
          <w:color w:val="231F20"/>
          <w:spacing w:val="-8"/>
        </w:rPr>
        <w:t xml:space="preserve"> </w:t>
      </w:r>
      <w:r>
        <w:rPr>
          <w:color w:val="231F20"/>
        </w:rPr>
        <w:t>no</w:t>
      </w:r>
      <w:r>
        <w:rPr>
          <w:color w:val="231F20"/>
          <w:spacing w:val="-8"/>
        </w:rPr>
        <w:t xml:space="preserve"> </w:t>
      </w:r>
      <w:r>
        <w:rPr>
          <w:color w:val="231F20"/>
        </w:rPr>
        <w:t>changes</w:t>
      </w:r>
      <w:r>
        <w:rPr>
          <w:color w:val="231F20"/>
          <w:spacing w:val="-7"/>
        </w:rPr>
        <w:t xml:space="preserve"> </w:t>
      </w:r>
      <w:r>
        <w:rPr>
          <w:color w:val="231F20"/>
        </w:rPr>
        <w:t>in</w:t>
      </w:r>
      <w:r>
        <w:rPr>
          <w:color w:val="231F20"/>
          <w:spacing w:val="-8"/>
        </w:rPr>
        <w:t xml:space="preserve"> </w:t>
      </w:r>
      <w:r>
        <w:rPr>
          <w:color w:val="231F20"/>
        </w:rPr>
        <w:t>valuation</w:t>
      </w:r>
      <w:r>
        <w:rPr>
          <w:color w:val="231F20"/>
          <w:spacing w:val="-8"/>
        </w:rPr>
        <w:t xml:space="preserve"> </w:t>
      </w:r>
      <w:r>
        <w:rPr>
          <w:color w:val="231F20"/>
        </w:rPr>
        <w:t>techniques</w:t>
      </w:r>
      <w:r>
        <w:rPr>
          <w:color w:val="231F20"/>
          <w:spacing w:val="-7"/>
        </w:rPr>
        <w:t xml:space="preserve"> </w:t>
      </w:r>
      <w:r>
        <w:rPr>
          <w:color w:val="231F20"/>
        </w:rPr>
        <w:t>throughout</w:t>
      </w:r>
      <w:r>
        <w:rPr>
          <w:color w:val="231F20"/>
          <w:spacing w:val="-7"/>
        </w:rPr>
        <w:t xml:space="preserve"> </w:t>
      </w:r>
      <w:r>
        <w:rPr>
          <w:color w:val="231F20"/>
        </w:rPr>
        <w:t>the</w:t>
      </w:r>
      <w:r>
        <w:rPr>
          <w:color w:val="231F20"/>
          <w:spacing w:val="-8"/>
        </w:rPr>
        <w:t xml:space="preserve"> </w:t>
      </w:r>
      <w:r>
        <w:rPr>
          <w:color w:val="231F20"/>
        </w:rPr>
        <w:t>period</w:t>
      </w:r>
      <w:r>
        <w:rPr>
          <w:color w:val="231F20"/>
          <w:spacing w:val="-8"/>
        </w:rPr>
        <w:t xml:space="preserve"> </w:t>
      </w:r>
      <w:r>
        <w:rPr>
          <w:color w:val="231F20"/>
        </w:rPr>
        <w:t>to</w:t>
      </w:r>
      <w:r>
        <w:rPr>
          <w:color w:val="231F20"/>
          <w:spacing w:val="-8"/>
        </w:rPr>
        <w:t xml:space="preserve"> </w:t>
      </w:r>
      <w:r>
        <w:rPr>
          <w:color w:val="231F20"/>
        </w:rPr>
        <w:t>30</w:t>
      </w:r>
      <w:r>
        <w:rPr>
          <w:color w:val="231F20"/>
          <w:spacing w:val="-8"/>
        </w:rPr>
        <w:t xml:space="preserve"> </w:t>
      </w:r>
      <w:r>
        <w:rPr>
          <w:color w:val="231F20"/>
        </w:rPr>
        <w:t>June</w:t>
      </w:r>
      <w:r>
        <w:rPr>
          <w:color w:val="231F20"/>
          <w:spacing w:val="-8"/>
        </w:rPr>
        <w:t xml:space="preserve"> </w:t>
      </w:r>
      <w:r>
        <w:rPr>
          <w:color w:val="231F20"/>
          <w:spacing w:val="-2"/>
        </w:rPr>
        <w:t>2022.</w:t>
      </w:r>
    </w:p>
    <w:p w14:paraId="45013730" w14:textId="77777777" w:rsidR="00345EE3" w:rsidRDefault="00345EE3" w:rsidP="00345EE3">
      <w:pPr>
        <w:pStyle w:val="BodyText"/>
        <w:spacing w:before="118"/>
      </w:pPr>
      <w:r>
        <w:rPr>
          <w:color w:val="231F20"/>
        </w:rPr>
        <w:t>For</w:t>
      </w:r>
      <w:r>
        <w:rPr>
          <w:color w:val="231F20"/>
          <w:spacing w:val="-10"/>
        </w:rPr>
        <w:t xml:space="preserve"> </w:t>
      </w:r>
      <w:r>
        <w:rPr>
          <w:color w:val="231F20"/>
        </w:rPr>
        <w:t>all</w:t>
      </w:r>
      <w:r>
        <w:rPr>
          <w:color w:val="231F20"/>
          <w:spacing w:val="-8"/>
        </w:rPr>
        <w:t xml:space="preserve"> </w:t>
      </w:r>
      <w:r>
        <w:rPr>
          <w:color w:val="231F20"/>
        </w:rPr>
        <w:t>assets</w:t>
      </w:r>
      <w:r>
        <w:rPr>
          <w:color w:val="231F20"/>
          <w:spacing w:val="-7"/>
        </w:rPr>
        <w:t xml:space="preserve"> </w:t>
      </w:r>
      <w:r>
        <w:rPr>
          <w:color w:val="231F20"/>
        </w:rPr>
        <w:t>measured</w:t>
      </w:r>
      <w:r>
        <w:rPr>
          <w:color w:val="231F20"/>
          <w:spacing w:val="-9"/>
        </w:rPr>
        <w:t xml:space="preserve"> </w:t>
      </w:r>
      <w:r>
        <w:rPr>
          <w:color w:val="231F20"/>
        </w:rPr>
        <w:t>at</w:t>
      </w:r>
      <w:r>
        <w:rPr>
          <w:color w:val="231F20"/>
          <w:spacing w:val="-7"/>
        </w:rPr>
        <w:t xml:space="preserve"> </w:t>
      </w:r>
      <w:r>
        <w:rPr>
          <w:color w:val="231F20"/>
        </w:rPr>
        <w:t>fair</w:t>
      </w:r>
      <w:r>
        <w:rPr>
          <w:color w:val="231F20"/>
          <w:spacing w:val="-7"/>
        </w:rPr>
        <w:t xml:space="preserve"> </w:t>
      </w:r>
      <w:r>
        <w:rPr>
          <w:color w:val="231F20"/>
        </w:rPr>
        <w:t>value,</w:t>
      </w:r>
      <w:r>
        <w:rPr>
          <w:color w:val="231F20"/>
          <w:spacing w:val="-8"/>
        </w:rPr>
        <w:t xml:space="preserve"> </w:t>
      </w:r>
      <w:r>
        <w:rPr>
          <w:color w:val="231F20"/>
        </w:rPr>
        <w:t>the</w:t>
      </w:r>
      <w:r>
        <w:rPr>
          <w:color w:val="231F20"/>
          <w:spacing w:val="-8"/>
        </w:rPr>
        <w:t xml:space="preserve"> </w:t>
      </w:r>
      <w:r>
        <w:rPr>
          <w:color w:val="231F20"/>
        </w:rPr>
        <w:t>current</w:t>
      </w:r>
      <w:r>
        <w:rPr>
          <w:color w:val="231F20"/>
          <w:spacing w:val="-7"/>
        </w:rPr>
        <w:t xml:space="preserve"> </w:t>
      </w:r>
      <w:r>
        <w:rPr>
          <w:color w:val="231F20"/>
        </w:rPr>
        <w:t>use</w:t>
      </w:r>
      <w:r>
        <w:rPr>
          <w:color w:val="231F20"/>
          <w:spacing w:val="-9"/>
        </w:rPr>
        <w:t xml:space="preserve"> </w:t>
      </w:r>
      <w:r>
        <w:rPr>
          <w:color w:val="231F20"/>
        </w:rPr>
        <w:t>is</w:t>
      </w:r>
      <w:r>
        <w:rPr>
          <w:color w:val="231F20"/>
          <w:spacing w:val="-7"/>
        </w:rPr>
        <w:t xml:space="preserve"> </w:t>
      </w:r>
      <w:r>
        <w:rPr>
          <w:color w:val="231F20"/>
        </w:rPr>
        <w:t>considered</w:t>
      </w:r>
      <w:r>
        <w:rPr>
          <w:color w:val="231F20"/>
          <w:spacing w:val="-8"/>
        </w:rPr>
        <w:t xml:space="preserve"> </w:t>
      </w:r>
      <w:r>
        <w:rPr>
          <w:color w:val="231F20"/>
        </w:rPr>
        <w:t>the</w:t>
      </w:r>
      <w:r>
        <w:rPr>
          <w:color w:val="231F20"/>
          <w:spacing w:val="-9"/>
        </w:rPr>
        <w:t xml:space="preserve"> </w:t>
      </w:r>
      <w:r>
        <w:rPr>
          <w:color w:val="231F20"/>
        </w:rPr>
        <w:t>highest</w:t>
      </w:r>
      <w:r>
        <w:rPr>
          <w:color w:val="231F20"/>
          <w:spacing w:val="-7"/>
        </w:rPr>
        <w:t xml:space="preserve"> </w:t>
      </w:r>
      <w:r>
        <w:rPr>
          <w:color w:val="231F20"/>
        </w:rPr>
        <w:t>and</w:t>
      </w:r>
      <w:r>
        <w:rPr>
          <w:color w:val="231F20"/>
          <w:spacing w:val="-8"/>
        </w:rPr>
        <w:t xml:space="preserve"> </w:t>
      </w:r>
      <w:r>
        <w:rPr>
          <w:color w:val="231F20"/>
        </w:rPr>
        <w:t>best</w:t>
      </w:r>
      <w:r>
        <w:rPr>
          <w:color w:val="231F20"/>
          <w:spacing w:val="-7"/>
        </w:rPr>
        <w:t xml:space="preserve"> </w:t>
      </w:r>
      <w:r>
        <w:rPr>
          <w:color w:val="231F20"/>
          <w:spacing w:val="-4"/>
        </w:rPr>
        <w:t>use.</w:t>
      </w:r>
    </w:p>
    <w:p w14:paraId="5AAF15EF" w14:textId="77777777" w:rsidR="00345EE3" w:rsidRDefault="00345EE3" w:rsidP="00345EE3">
      <w:pPr>
        <w:pStyle w:val="Heading5"/>
        <w:spacing w:before="117"/>
      </w:pPr>
      <w:r>
        <w:rPr>
          <w:color w:val="231F20"/>
          <w:spacing w:val="-2"/>
        </w:rPr>
        <w:t>Vehicles</w:t>
      </w:r>
    </w:p>
    <w:p w14:paraId="09E96870" w14:textId="77777777" w:rsidR="00345EE3" w:rsidRDefault="00345EE3" w:rsidP="00345EE3">
      <w:pPr>
        <w:pStyle w:val="BodyText"/>
        <w:spacing w:before="4" w:line="242" w:lineRule="auto"/>
      </w:pPr>
      <w:r>
        <w:rPr>
          <w:color w:val="231F20"/>
        </w:rPr>
        <w:t>Vehicles are valued using the current replacement cost method. Victoria Police acquires new vehicles and at times disposes of them before the end of their economic life. The process of acquisition,</w:t>
      </w:r>
      <w:r>
        <w:rPr>
          <w:color w:val="231F20"/>
          <w:spacing w:val="-10"/>
        </w:rPr>
        <w:t xml:space="preserve"> </w:t>
      </w:r>
      <w:r>
        <w:rPr>
          <w:color w:val="231F20"/>
        </w:rPr>
        <w:t>use</w:t>
      </w:r>
      <w:r>
        <w:rPr>
          <w:color w:val="231F20"/>
          <w:spacing w:val="-10"/>
        </w:rPr>
        <w:t xml:space="preserve"> </w:t>
      </w:r>
      <w:r>
        <w:rPr>
          <w:color w:val="231F20"/>
        </w:rPr>
        <w:t>and</w:t>
      </w:r>
      <w:r>
        <w:rPr>
          <w:color w:val="231F20"/>
          <w:spacing w:val="-10"/>
        </w:rPr>
        <w:t xml:space="preserve"> </w:t>
      </w:r>
      <w:r>
        <w:rPr>
          <w:color w:val="231F20"/>
        </w:rPr>
        <w:t>disposal</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market</w:t>
      </w:r>
      <w:r>
        <w:rPr>
          <w:color w:val="231F20"/>
          <w:spacing w:val="-10"/>
        </w:rPr>
        <w:t xml:space="preserve"> </w:t>
      </w:r>
      <w:r>
        <w:rPr>
          <w:color w:val="231F20"/>
        </w:rPr>
        <w:t>is</w:t>
      </w:r>
      <w:r>
        <w:rPr>
          <w:color w:val="231F20"/>
          <w:spacing w:val="-10"/>
        </w:rPr>
        <w:t xml:space="preserve"> </w:t>
      </w:r>
      <w:r>
        <w:rPr>
          <w:color w:val="231F20"/>
        </w:rPr>
        <w:t>managed</w:t>
      </w:r>
      <w:r>
        <w:rPr>
          <w:color w:val="231F20"/>
          <w:spacing w:val="-10"/>
        </w:rPr>
        <w:t xml:space="preserve"> </w:t>
      </w:r>
      <w:r>
        <w:rPr>
          <w:color w:val="231F20"/>
        </w:rPr>
        <w:t>by</w:t>
      </w:r>
      <w:r>
        <w:rPr>
          <w:color w:val="231F20"/>
          <w:spacing w:val="-10"/>
        </w:rPr>
        <w:t xml:space="preserve"> </w:t>
      </w:r>
      <w:r>
        <w:rPr>
          <w:color w:val="231F20"/>
        </w:rPr>
        <w:t>experienced</w:t>
      </w:r>
      <w:r>
        <w:rPr>
          <w:color w:val="231F20"/>
          <w:spacing w:val="-10"/>
        </w:rPr>
        <w:t xml:space="preserve"> </w:t>
      </w:r>
      <w:r>
        <w:rPr>
          <w:color w:val="231F20"/>
        </w:rPr>
        <w:t>fleet</w:t>
      </w:r>
      <w:r>
        <w:rPr>
          <w:color w:val="231F20"/>
          <w:spacing w:val="-10"/>
        </w:rPr>
        <w:t xml:space="preserve"> </w:t>
      </w:r>
      <w:r>
        <w:rPr>
          <w:color w:val="231F20"/>
        </w:rPr>
        <w:t>managers</w:t>
      </w:r>
      <w:r>
        <w:rPr>
          <w:color w:val="231F20"/>
          <w:spacing w:val="-10"/>
        </w:rPr>
        <w:t xml:space="preserve"> </w:t>
      </w:r>
      <w:r>
        <w:rPr>
          <w:color w:val="231F20"/>
        </w:rPr>
        <w:t>in</w:t>
      </w:r>
      <w:r>
        <w:rPr>
          <w:color w:val="231F20"/>
          <w:spacing w:val="-10"/>
        </w:rPr>
        <w:t xml:space="preserve"> </w:t>
      </w:r>
      <w:r>
        <w:rPr>
          <w:color w:val="231F20"/>
        </w:rPr>
        <w:t>Victoria Police who set relevant depreciation rates during use to reflect the utilisation of the vehicles.</w:t>
      </w:r>
    </w:p>
    <w:p w14:paraId="5A5858C4" w14:textId="77777777" w:rsidR="00345EE3" w:rsidRDefault="00345EE3" w:rsidP="00345EE3">
      <w:pPr>
        <w:spacing w:line="242" w:lineRule="auto"/>
        <w:sectPr w:rsidR="00345EE3">
          <w:pgSz w:w="11910" w:h="16840"/>
          <w:pgMar w:top="720" w:right="720" w:bottom="280" w:left="740" w:header="720" w:footer="720" w:gutter="0"/>
          <w:cols w:space="720"/>
        </w:sectPr>
      </w:pPr>
    </w:p>
    <w:p w14:paraId="0A524D5E" w14:textId="77777777" w:rsidR="00345EE3" w:rsidRDefault="00345EE3" w:rsidP="00345EE3">
      <w:pPr>
        <w:spacing w:before="74"/>
        <w:ind w:left="110"/>
        <w:rPr>
          <w:b/>
          <w:sz w:val="24"/>
        </w:rPr>
      </w:pPr>
      <w:r>
        <w:rPr>
          <w:b/>
          <w:color w:val="231F20"/>
          <w:sz w:val="24"/>
        </w:rPr>
        <w:t>Reconciliation</w:t>
      </w:r>
      <w:r>
        <w:rPr>
          <w:b/>
          <w:color w:val="231F20"/>
          <w:spacing w:val="-8"/>
          <w:sz w:val="24"/>
        </w:rPr>
        <w:t xml:space="preserve"> </w:t>
      </w:r>
      <w:r>
        <w:rPr>
          <w:b/>
          <w:color w:val="231F20"/>
          <w:sz w:val="24"/>
        </w:rPr>
        <w:t>of</w:t>
      </w:r>
      <w:r>
        <w:rPr>
          <w:b/>
          <w:color w:val="231F20"/>
          <w:spacing w:val="-7"/>
          <w:sz w:val="24"/>
        </w:rPr>
        <w:t xml:space="preserve"> </w:t>
      </w:r>
      <w:r>
        <w:rPr>
          <w:b/>
          <w:color w:val="231F20"/>
          <w:sz w:val="24"/>
        </w:rPr>
        <w:t>Level</w:t>
      </w:r>
      <w:r>
        <w:rPr>
          <w:b/>
          <w:color w:val="231F20"/>
          <w:spacing w:val="-7"/>
          <w:sz w:val="24"/>
        </w:rPr>
        <w:t xml:space="preserve"> </w:t>
      </w:r>
      <w:r>
        <w:rPr>
          <w:b/>
          <w:color w:val="231F20"/>
          <w:sz w:val="24"/>
        </w:rPr>
        <w:t>3</w:t>
      </w:r>
      <w:r>
        <w:rPr>
          <w:b/>
          <w:color w:val="231F20"/>
          <w:spacing w:val="-8"/>
          <w:sz w:val="24"/>
        </w:rPr>
        <w:t xml:space="preserve"> </w:t>
      </w:r>
      <w:r>
        <w:rPr>
          <w:b/>
          <w:color w:val="231F20"/>
          <w:sz w:val="24"/>
        </w:rPr>
        <w:t>Fair</w:t>
      </w:r>
      <w:r>
        <w:rPr>
          <w:b/>
          <w:color w:val="231F20"/>
          <w:spacing w:val="-8"/>
          <w:sz w:val="24"/>
        </w:rPr>
        <w:t xml:space="preserve"> </w:t>
      </w:r>
      <w:r>
        <w:rPr>
          <w:b/>
          <w:color w:val="231F20"/>
          <w:sz w:val="24"/>
        </w:rPr>
        <w:t>Value</w:t>
      </w:r>
      <w:r>
        <w:rPr>
          <w:b/>
          <w:color w:val="231F20"/>
          <w:spacing w:val="-8"/>
          <w:sz w:val="24"/>
        </w:rPr>
        <w:t xml:space="preserve"> </w:t>
      </w:r>
      <w:r>
        <w:rPr>
          <w:b/>
          <w:color w:val="231F20"/>
          <w:spacing w:val="-2"/>
          <w:sz w:val="24"/>
        </w:rPr>
        <w:t>Movements</w:t>
      </w:r>
    </w:p>
    <w:p w14:paraId="126ED3C9" w14:textId="481C5A10" w:rsidR="00345EE3" w:rsidRDefault="00345EE3" w:rsidP="00345EE3">
      <w:pPr>
        <w:pStyle w:val="BodyText"/>
        <w:spacing w:before="4"/>
        <w:rPr>
          <w:b/>
          <w:sz w:val="5"/>
        </w:rPr>
      </w:pPr>
    </w:p>
    <w:tbl>
      <w:tblPr>
        <w:tblW w:w="0" w:type="auto"/>
        <w:tblInd w:w="-8" w:type="dxa"/>
        <w:tblLayout w:type="fixed"/>
        <w:tblCellMar>
          <w:left w:w="0" w:type="dxa"/>
          <w:right w:w="0" w:type="dxa"/>
        </w:tblCellMar>
        <w:tblLook w:val="0000" w:firstRow="0" w:lastRow="0" w:firstColumn="0" w:lastColumn="0" w:noHBand="0" w:noVBand="0"/>
      </w:tblPr>
      <w:tblGrid>
        <w:gridCol w:w="6520"/>
        <w:gridCol w:w="1474"/>
        <w:gridCol w:w="1474"/>
        <w:gridCol w:w="1304"/>
        <w:gridCol w:w="1587"/>
        <w:gridCol w:w="1417"/>
        <w:gridCol w:w="1361"/>
      </w:tblGrid>
      <w:tr w:rsidR="0052306E" w:rsidRPr="0052306E" w14:paraId="0BDB07D2" w14:textId="77777777" w:rsidTr="0052306E">
        <w:trPr>
          <w:trHeight w:val="60"/>
          <w:tblHeader/>
        </w:trPr>
        <w:tc>
          <w:tcPr>
            <w:tcW w:w="15137" w:type="dxa"/>
            <w:gridSpan w:val="7"/>
            <w:tcBorders>
              <w:top w:val="single" w:sz="6" w:space="0" w:color="000000"/>
              <w:left w:val="single" w:sz="6" w:space="0" w:color="000000"/>
              <w:bottom w:val="single" w:sz="2" w:space="0" w:color="FFFFFF"/>
              <w:right w:val="single" w:sz="2" w:space="0" w:color="FFFFFF"/>
            </w:tcBorders>
            <w:shd w:val="solid" w:color="004996" w:fill="auto"/>
            <w:tcMar>
              <w:top w:w="57" w:type="dxa"/>
              <w:left w:w="14" w:type="dxa"/>
              <w:bottom w:w="57" w:type="dxa"/>
              <w:right w:w="14" w:type="dxa"/>
            </w:tcMar>
          </w:tcPr>
          <w:p w14:paraId="7BB9396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thousand)</w:t>
            </w:r>
          </w:p>
        </w:tc>
      </w:tr>
      <w:tr w:rsidR="0052306E" w:rsidRPr="0052306E" w14:paraId="0A46DE89" w14:textId="77777777" w:rsidTr="0052306E">
        <w:trPr>
          <w:trHeight w:val="60"/>
          <w:tblHeader/>
        </w:trPr>
        <w:tc>
          <w:tcPr>
            <w:tcW w:w="6520" w:type="dxa"/>
            <w:tcBorders>
              <w:top w:val="single" w:sz="2" w:space="0" w:color="FFFFFF"/>
              <w:left w:val="single" w:sz="6" w:space="0" w:color="000000"/>
              <w:bottom w:val="single" w:sz="6" w:space="0" w:color="auto"/>
              <w:right w:val="single" w:sz="2" w:space="0" w:color="FFFFFF"/>
            </w:tcBorders>
            <w:shd w:val="solid" w:color="004996" w:fill="auto"/>
            <w:tcMar>
              <w:top w:w="57" w:type="dxa"/>
              <w:left w:w="14" w:type="dxa"/>
              <w:bottom w:w="57" w:type="dxa"/>
              <w:right w:w="14" w:type="dxa"/>
            </w:tcMar>
          </w:tcPr>
          <w:p w14:paraId="6CC7C526"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46E3360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Specialised Land</w:t>
            </w:r>
          </w:p>
        </w:tc>
        <w:tc>
          <w:tcPr>
            <w:tcW w:w="1474"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159D2BE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Specialised Buildings</w:t>
            </w:r>
          </w:p>
        </w:tc>
        <w:tc>
          <w:tcPr>
            <w:tcW w:w="1304"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49AAD41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Heritage Buildings</w:t>
            </w:r>
          </w:p>
        </w:tc>
        <w:tc>
          <w:tcPr>
            <w:tcW w:w="1587"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3997BB5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Leasehold Improvement</w:t>
            </w:r>
          </w:p>
        </w:tc>
        <w:tc>
          <w:tcPr>
            <w:tcW w:w="1417"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0CFAE6E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Plant and Equipment</w:t>
            </w:r>
          </w:p>
        </w:tc>
        <w:tc>
          <w:tcPr>
            <w:tcW w:w="1361" w:type="dxa"/>
            <w:tcBorders>
              <w:top w:val="single" w:sz="2" w:space="0" w:color="FFFFFF"/>
              <w:left w:val="single" w:sz="2" w:space="0" w:color="FFFFFF"/>
              <w:bottom w:val="single" w:sz="6" w:space="0" w:color="auto"/>
              <w:right w:val="single" w:sz="6" w:space="0" w:color="auto"/>
            </w:tcBorders>
            <w:shd w:val="solid" w:color="004996" w:fill="auto"/>
            <w:tcMar>
              <w:top w:w="57" w:type="dxa"/>
              <w:left w:w="14" w:type="dxa"/>
              <w:bottom w:w="57" w:type="dxa"/>
              <w:right w:w="14" w:type="dxa"/>
            </w:tcMar>
          </w:tcPr>
          <w:p w14:paraId="1078EDC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Cultural Artworks</w:t>
            </w:r>
          </w:p>
        </w:tc>
      </w:tr>
      <w:tr w:rsidR="0052306E" w:rsidRPr="0052306E" w14:paraId="0B5893A5" w14:textId="77777777" w:rsidTr="0052306E">
        <w:trPr>
          <w:trHeight w:val="60"/>
        </w:trPr>
        <w:tc>
          <w:tcPr>
            <w:tcW w:w="6520"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5BD3EF2E"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2022</w:t>
            </w:r>
          </w:p>
        </w:tc>
        <w:tc>
          <w:tcPr>
            <w:tcW w:w="147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6C8BA780" w14:textId="77777777" w:rsidR="0052306E" w:rsidRPr="0052306E" w:rsidRDefault="0052306E" w:rsidP="0052306E">
            <w:pPr>
              <w:widowControl/>
              <w:adjustRightInd w:val="0"/>
              <w:rPr>
                <w:rFonts w:eastAsia="Myriad Pro"/>
                <w:sz w:val="24"/>
                <w:szCs w:val="24"/>
                <w:lang w:val="en-GB"/>
              </w:rPr>
            </w:pPr>
          </w:p>
        </w:tc>
        <w:tc>
          <w:tcPr>
            <w:tcW w:w="147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44A5DA01" w14:textId="77777777" w:rsidR="0052306E" w:rsidRPr="0052306E" w:rsidRDefault="0052306E" w:rsidP="0052306E">
            <w:pPr>
              <w:widowControl/>
              <w:adjustRightInd w:val="0"/>
              <w:rPr>
                <w:rFonts w:eastAsia="Myriad Pro"/>
                <w:sz w:val="24"/>
                <w:szCs w:val="24"/>
                <w:lang w:val="en-GB"/>
              </w:rPr>
            </w:pPr>
          </w:p>
        </w:tc>
        <w:tc>
          <w:tcPr>
            <w:tcW w:w="130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29A91F9F" w14:textId="77777777" w:rsidR="0052306E" w:rsidRPr="0052306E" w:rsidRDefault="0052306E" w:rsidP="0052306E">
            <w:pPr>
              <w:widowControl/>
              <w:adjustRightInd w:val="0"/>
              <w:rPr>
                <w:rFonts w:eastAsia="Myriad Pro"/>
                <w:sz w:val="24"/>
                <w:szCs w:val="24"/>
                <w:lang w:val="en-GB"/>
              </w:rPr>
            </w:pPr>
          </w:p>
        </w:tc>
        <w:tc>
          <w:tcPr>
            <w:tcW w:w="1587"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582EE6A2" w14:textId="77777777" w:rsidR="0052306E" w:rsidRPr="0052306E" w:rsidRDefault="0052306E" w:rsidP="0052306E">
            <w:pPr>
              <w:widowControl/>
              <w:adjustRightInd w:val="0"/>
              <w:rPr>
                <w:rFonts w:eastAsia="Myriad Pro"/>
                <w:sz w:val="24"/>
                <w:szCs w:val="24"/>
                <w:lang w:val="en-GB"/>
              </w:rPr>
            </w:pPr>
          </w:p>
        </w:tc>
        <w:tc>
          <w:tcPr>
            <w:tcW w:w="1417"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1A52C6D2" w14:textId="77777777" w:rsidR="0052306E" w:rsidRPr="0052306E" w:rsidRDefault="0052306E" w:rsidP="0052306E">
            <w:pPr>
              <w:widowControl/>
              <w:adjustRightInd w:val="0"/>
              <w:rPr>
                <w:rFonts w:eastAsia="Myriad Pro"/>
                <w:sz w:val="24"/>
                <w:szCs w:val="24"/>
                <w:lang w:val="en-GB"/>
              </w:rPr>
            </w:pPr>
          </w:p>
        </w:tc>
        <w:tc>
          <w:tcPr>
            <w:tcW w:w="1361"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74A22454" w14:textId="77777777" w:rsidR="0052306E" w:rsidRPr="0052306E" w:rsidRDefault="0052306E" w:rsidP="0052306E">
            <w:pPr>
              <w:widowControl/>
              <w:adjustRightInd w:val="0"/>
              <w:rPr>
                <w:rFonts w:eastAsia="Myriad Pro"/>
                <w:sz w:val="24"/>
                <w:szCs w:val="24"/>
                <w:lang w:val="en-GB"/>
              </w:rPr>
            </w:pPr>
          </w:p>
        </w:tc>
      </w:tr>
      <w:tr w:rsidR="0052306E" w:rsidRPr="0052306E" w14:paraId="04BD6CB5" w14:textId="77777777" w:rsidTr="0052306E">
        <w:trPr>
          <w:trHeight w:val="60"/>
        </w:trPr>
        <w:tc>
          <w:tcPr>
            <w:tcW w:w="6520" w:type="dxa"/>
            <w:tcBorders>
              <w:top w:val="single" w:sz="8" w:space="0" w:color="000000"/>
              <w:left w:val="single" w:sz="6" w:space="0" w:color="000000"/>
              <w:bottom w:val="single" w:sz="2" w:space="0" w:color="9D9C9C"/>
              <w:right w:val="single" w:sz="2" w:space="0" w:color="9D9C9C"/>
            </w:tcBorders>
            <w:tcMar>
              <w:top w:w="57" w:type="dxa"/>
              <w:left w:w="14" w:type="dxa"/>
              <w:bottom w:w="57" w:type="dxa"/>
              <w:right w:w="14" w:type="dxa"/>
            </w:tcMar>
          </w:tcPr>
          <w:p w14:paraId="6024CE6C"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 xml:space="preserve">Opening balance </w:t>
            </w:r>
          </w:p>
        </w:tc>
        <w:tc>
          <w:tcPr>
            <w:tcW w:w="147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F0FE8E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626,438 </w:t>
            </w:r>
          </w:p>
        </w:tc>
        <w:tc>
          <w:tcPr>
            <w:tcW w:w="147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0663CA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2,340,681 </w:t>
            </w:r>
          </w:p>
        </w:tc>
        <w:tc>
          <w:tcPr>
            <w:tcW w:w="130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D30E98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67,126 </w:t>
            </w:r>
          </w:p>
        </w:tc>
        <w:tc>
          <w:tcPr>
            <w:tcW w:w="1587"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87C596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174,090 </w:t>
            </w:r>
          </w:p>
        </w:tc>
        <w:tc>
          <w:tcPr>
            <w:tcW w:w="1417"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57EB17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374,293 </w:t>
            </w:r>
          </w:p>
        </w:tc>
        <w:tc>
          <w:tcPr>
            <w:tcW w:w="1361" w:type="dxa"/>
            <w:tcBorders>
              <w:top w:val="single" w:sz="8" w:space="0" w:color="000000"/>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2869FA8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5,239 </w:t>
            </w:r>
          </w:p>
        </w:tc>
      </w:tr>
      <w:tr w:rsidR="0052306E" w:rsidRPr="0052306E" w14:paraId="2EBA1E63"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720016CB"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Purchases/Additions</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8776F0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8EBD83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773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AD3241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723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11CDD0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B58186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81,795 </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5DAC1BF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49 </w:t>
            </w:r>
          </w:p>
        </w:tc>
      </w:tr>
      <w:tr w:rsidR="0052306E" w:rsidRPr="0052306E" w14:paraId="3D03634B"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352C8A44"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Sales/Disposals</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8C1256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(735)</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4C58E7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9F6D96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DFEEF3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82B6CD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(18,660)</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64FC458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30C81699"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460510A2"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Assets free of charge</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B5BEF4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2,771 </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0F6EA6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B8C58E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23C433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CEB0A3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363 </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4FF2CDA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07B525CD"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0717B564"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Movement to carrying value of right-of-use assets</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3966D9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CF6C61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(4,351)</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2196B5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436E6E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9451C0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6B506EB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w:t>
            </w:r>
          </w:p>
        </w:tc>
      </w:tr>
      <w:tr w:rsidR="0052306E" w:rsidRPr="0052306E" w14:paraId="190DFB32"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4B77D48E"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Assets recognised for first time</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F22366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E8F1AE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3084DA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0973CC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502B07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033811C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0B2A4938"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486A7E17"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Transfers:</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874096E"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69A88F7" w14:textId="77777777" w:rsidR="0052306E" w:rsidRPr="0052306E" w:rsidRDefault="0052306E" w:rsidP="0052306E">
            <w:pPr>
              <w:widowControl/>
              <w:adjustRightInd w:val="0"/>
              <w:rPr>
                <w:rFonts w:eastAsia="Myriad Pro"/>
                <w:sz w:val="24"/>
                <w:szCs w:val="24"/>
                <w:lang w:val="en-GB"/>
              </w:rPr>
            </w:pP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1855AEE" w14:textId="77777777" w:rsidR="0052306E" w:rsidRPr="0052306E" w:rsidRDefault="0052306E" w:rsidP="0052306E">
            <w:pPr>
              <w:widowControl/>
              <w:adjustRightInd w:val="0"/>
              <w:rPr>
                <w:rFonts w:eastAsia="Myriad Pro"/>
                <w:sz w:val="24"/>
                <w:szCs w:val="24"/>
                <w:lang w:val="en-GB"/>
              </w:rPr>
            </w:pP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3FDFEDA" w14:textId="77777777" w:rsidR="0052306E" w:rsidRPr="0052306E" w:rsidRDefault="0052306E" w:rsidP="0052306E">
            <w:pPr>
              <w:widowControl/>
              <w:adjustRightInd w:val="0"/>
              <w:rPr>
                <w:rFonts w:eastAsia="Myriad Pro"/>
                <w:sz w:val="24"/>
                <w:szCs w:val="24"/>
                <w:lang w:val="en-GB"/>
              </w:rPr>
            </w:pP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226D958" w14:textId="77777777" w:rsidR="0052306E" w:rsidRPr="0052306E" w:rsidRDefault="0052306E" w:rsidP="0052306E">
            <w:pPr>
              <w:widowControl/>
              <w:adjustRightInd w:val="0"/>
              <w:rPr>
                <w:rFonts w:eastAsia="Myriad Pro"/>
                <w:sz w:val="24"/>
                <w:szCs w:val="24"/>
                <w:lang w:val="en-GB"/>
              </w:rPr>
            </w:pP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576CFCC7" w14:textId="77777777" w:rsidR="0052306E" w:rsidRPr="0052306E" w:rsidRDefault="0052306E" w:rsidP="0052306E">
            <w:pPr>
              <w:widowControl/>
              <w:adjustRightInd w:val="0"/>
              <w:rPr>
                <w:rFonts w:eastAsia="Myriad Pro"/>
                <w:sz w:val="24"/>
                <w:szCs w:val="24"/>
                <w:lang w:val="en-GB"/>
              </w:rPr>
            </w:pPr>
          </w:p>
        </w:tc>
      </w:tr>
      <w:tr w:rsidR="0052306E" w:rsidRPr="0052306E" w14:paraId="2FE9AEB2"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7047A489"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In (out) of level 3</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78008A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5D8529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6E4807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720E50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3FF96F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2F50200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65E4377D"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32DFA9B2"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In (out) of assets under construction</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97DF2F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14,826 </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FDFF89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63,420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E510F3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237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6C1F17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36,042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9597AC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14,480 </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68C843F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39D40670"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7F31B1AA"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Between asset classes</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079BF3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9AA8A5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(35)</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E8AC74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D0C098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310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1D6108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(274)</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3C44E36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200F3352"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1607B661"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From contributed capital</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0EC69D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4,250 </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8A5960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3796F7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4B6422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F13EFA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4ADD1F8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657F3C42"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023089E3"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Gains or losses recognised in net result:</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B268CAE"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0EFA011" w14:textId="77777777" w:rsidR="0052306E" w:rsidRPr="0052306E" w:rsidRDefault="0052306E" w:rsidP="0052306E">
            <w:pPr>
              <w:widowControl/>
              <w:adjustRightInd w:val="0"/>
              <w:rPr>
                <w:rFonts w:eastAsia="Myriad Pro"/>
                <w:sz w:val="24"/>
                <w:szCs w:val="24"/>
                <w:lang w:val="en-GB"/>
              </w:rPr>
            </w:pP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3DC8723" w14:textId="77777777" w:rsidR="0052306E" w:rsidRPr="0052306E" w:rsidRDefault="0052306E" w:rsidP="0052306E">
            <w:pPr>
              <w:widowControl/>
              <w:adjustRightInd w:val="0"/>
              <w:rPr>
                <w:rFonts w:eastAsia="Myriad Pro"/>
                <w:sz w:val="24"/>
                <w:szCs w:val="24"/>
                <w:lang w:val="en-GB"/>
              </w:rPr>
            </w:pP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E39372F" w14:textId="77777777" w:rsidR="0052306E" w:rsidRPr="0052306E" w:rsidRDefault="0052306E" w:rsidP="0052306E">
            <w:pPr>
              <w:widowControl/>
              <w:adjustRightInd w:val="0"/>
              <w:rPr>
                <w:rFonts w:eastAsia="Myriad Pro"/>
                <w:sz w:val="24"/>
                <w:szCs w:val="24"/>
                <w:lang w:val="en-GB"/>
              </w:rPr>
            </w:pP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406EE74" w14:textId="77777777" w:rsidR="0052306E" w:rsidRPr="0052306E" w:rsidRDefault="0052306E" w:rsidP="0052306E">
            <w:pPr>
              <w:widowControl/>
              <w:adjustRightInd w:val="0"/>
              <w:rPr>
                <w:rFonts w:eastAsia="Myriad Pro"/>
                <w:sz w:val="24"/>
                <w:szCs w:val="24"/>
                <w:lang w:val="en-GB"/>
              </w:rPr>
            </w:pP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38F68CAB" w14:textId="77777777" w:rsidR="0052306E" w:rsidRPr="0052306E" w:rsidRDefault="0052306E" w:rsidP="0052306E">
            <w:pPr>
              <w:widowControl/>
              <w:adjustRightInd w:val="0"/>
              <w:rPr>
                <w:rFonts w:eastAsia="Myriad Pro"/>
                <w:sz w:val="24"/>
                <w:szCs w:val="24"/>
                <w:lang w:val="en-GB"/>
              </w:rPr>
            </w:pPr>
          </w:p>
        </w:tc>
      </w:tr>
      <w:tr w:rsidR="0052306E" w:rsidRPr="0052306E" w14:paraId="3BB57F7B" w14:textId="77777777" w:rsidTr="0052306E">
        <w:trPr>
          <w:trHeight w:val="60"/>
        </w:trPr>
        <w:tc>
          <w:tcPr>
            <w:tcW w:w="6520"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5D379C65"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Depreciation</w:t>
            </w:r>
          </w:p>
        </w:tc>
        <w:tc>
          <w:tcPr>
            <w:tcW w:w="147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3977C88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(644)</w:t>
            </w:r>
          </w:p>
        </w:tc>
        <w:tc>
          <w:tcPr>
            <w:tcW w:w="147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4354A3D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(122,077)</w:t>
            </w:r>
          </w:p>
        </w:tc>
        <w:tc>
          <w:tcPr>
            <w:tcW w:w="130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211EE6F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(3,844)</w:t>
            </w:r>
          </w:p>
        </w:tc>
        <w:tc>
          <w:tcPr>
            <w:tcW w:w="1587"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398F8CD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(13,505)</w:t>
            </w:r>
          </w:p>
        </w:tc>
        <w:tc>
          <w:tcPr>
            <w:tcW w:w="1417"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531AD84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(90,210)</w:t>
            </w:r>
          </w:p>
        </w:tc>
        <w:tc>
          <w:tcPr>
            <w:tcW w:w="1361" w:type="dxa"/>
            <w:tcBorders>
              <w:top w:val="single" w:sz="2" w:space="0" w:color="9D9C9C"/>
              <w:left w:val="single" w:sz="2" w:space="0" w:color="9D9C9C"/>
              <w:bottom w:val="single" w:sz="4" w:space="0" w:color="000000"/>
              <w:right w:val="single" w:sz="6" w:space="0" w:color="9D9C9C"/>
            </w:tcBorders>
            <w:shd w:val="solid" w:color="ECECEC" w:fill="auto"/>
            <w:tcMar>
              <w:top w:w="57" w:type="dxa"/>
              <w:left w:w="14" w:type="dxa"/>
              <w:bottom w:w="57" w:type="dxa"/>
              <w:right w:w="14" w:type="dxa"/>
            </w:tcMar>
          </w:tcPr>
          <w:p w14:paraId="47E873F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0749DE24" w14:textId="77777777" w:rsidTr="0052306E">
        <w:trPr>
          <w:trHeight w:val="60"/>
        </w:trPr>
        <w:tc>
          <w:tcPr>
            <w:tcW w:w="6520" w:type="dxa"/>
            <w:tcBorders>
              <w:top w:val="single" w:sz="4" w:space="0" w:color="000000"/>
              <w:left w:val="single" w:sz="6" w:space="0" w:color="000000"/>
              <w:bottom w:val="single" w:sz="4" w:space="0" w:color="000000"/>
              <w:right w:val="single" w:sz="2" w:space="0" w:color="9D9C9C"/>
            </w:tcBorders>
            <w:tcMar>
              <w:top w:w="57" w:type="dxa"/>
              <w:left w:w="14" w:type="dxa"/>
              <w:bottom w:w="57" w:type="dxa"/>
              <w:right w:w="14" w:type="dxa"/>
            </w:tcMar>
          </w:tcPr>
          <w:p w14:paraId="3CE866BA"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Subtotal</w:t>
            </w:r>
          </w:p>
        </w:tc>
        <w:tc>
          <w:tcPr>
            <w:tcW w:w="147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3AB9CDA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20,468</w:t>
            </w:r>
          </w:p>
        </w:tc>
        <w:tc>
          <w:tcPr>
            <w:tcW w:w="147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05126E1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(62,270)</w:t>
            </w:r>
          </w:p>
        </w:tc>
        <w:tc>
          <w:tcPr>
            <w:tcW w:w="130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2F15F83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(2,884)</w:t>
            </w:r>
          </w:p>
        </w:tc>
        <w:tc>
          <w:tcPr>
            <w:tcW w:w="1587"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78E1297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22,853</w:t>
            </w:r>
          </w:p>
        </w:tc>
        <w:tc>
          <w:tcPr>
            <w:tcW w:w="1417"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71012E0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(12,506)</w:t>
            </w:r>
          </w:p>
        </w:tc>
        <w:tc>
          <w:tcPr>
            <w:tcW w:w="1361" w:type="dxa"/>
            <w:tcBorders>
              <w:top w:val="single" w:sz="4" w:space="0" w:color="000000"/>
              <w:left w:val="single" w:sz="2" w:space="0" w:color="9D9C9C"/>
              <w:bottom w:val="single" w:sz="4" w:space="0" w:color="000000"/>
              <w:right w:val="single" w:sz="6" w:space="0" w:color="9D9C9C"/>
            </w:tcBorders>
            <w:shd w:val="solid" w:color="ECECEC" w:fill="auto"/>
            <w:tcMar>
              <w:top w:w="57" w:type="dxa"/>
              <w:left w:w="14" w:type="dxa"/>
              <w:bottom w:w="57" w:type="dxa"/>
              <w:right w:w="14" w:type="dxa"/>
            </w:tcMar>
          </w:tcPr>
          <w:p w14:paraId="55505E9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49</w:t>
            </w:r>
          </w:p>
        </w:tc>
      </w:tr>
      <w:tr w:rsidR="0052306E" w:rsidRPr="0052306E" w14:paraId="0CE5504E" w14:textId="77777777" w:rsidTr="0052306E">
        <w:trPr>
          <w:trHeight w:val="60"/>
        </w:trPr>
        <w:tc>
          <w:tcPr>
            <w:tcW w:w="6520" w:type="dxa"/>
            <w:tcBorders>
              <w:top w:val="single" w:sz="4" w:space="0" w:color="000000"/>
              <w:left w:val="single" w:sz="6" w:space="0" w:color="000000"/>
              <w:bottom w:val="single" w:sz="4" w:space="0" w:color="000000"/>
              <w:right w:val="single" w:sz="2" w:space="0" w:color="9D9C9C"/>
            </w:tcBorders>
            <w:tcMar>
              <w:top w:w="57" w:type="dxa"/>
              <w:left w:w="14" w:type="dxa"/>
              <w:bottom w:w="57" w:type="dxa"/>
              <w:right w:w="14" w:type="dxa"/>
            </w:tcMar>
          </w:tcPr>
          <w:p w14:paraId="37DBB44A"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Revaluation</w:t>
            </w:r>
          </w:p>
        </w:tc>
        <w:tc>
          <w:tcPr>
            <w:tcW w:w="147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02A050F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5B4F555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0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0D89F89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587"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0112D81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17"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4AF8509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61" w:type="dxa"/>
            <w:tcBorders>
              <w:top w:val="single" w:sz="4" w:space="0" w:color="000000"/>
              <w:left w:val="single" w:sz="2" w:space="0" w:color="9D9C9C"/>
              <w:bottom w:val="single" w:sz="4" w:space="0" w:color="000000"/>
              <w:right w:val="single" w:sz="6" w:space="0" w:color="9D9C9C"/>
            </w:tcBorders>
            <w:shd w:val="solid" w:color="ECECEC" w:fill="auto"/>
            <w:tcMar>
              <w:top w:w="57" w:type="dxa"/>
              <w:left w:w="14" w:type="dxa"/>
              <w:bottom w:w="57" w:type="dxa"/>
              <w:right w:w="14" w:type="dxa"/>
            </w:tcMar>
          </w:tcPr>
          <w:p w14:paraId="33382B6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202BEBDE" w14:textId="77777777" w:rsidTr="0052306E">
        <w:trPr>
          <w:trHeight w:val="60"/>
        </w:trPr>
        <w:tc>
          <w:tcPr>
            <w:tcW w:w="6520" w:type="dxa"/>
            <w:tcBorders>
              <w:top w:val="single" w:sz="4" w:space="0" w:color="000000"/>
              <w:left w:val="single" w:sz="6" w:space="0" w:color="9D9C9C"/>
              <w:bottom w:val="single" w:sz="8" w:space="0" w:color="000000"/>
              <w:right w:val="single" w:sz="2" w:space="0" w:color="9D9C9C"/>
            </w:tcBorders>
            <w:tcMar>
              <w:top w:w="57" w:type="dxa"/>
              <w:left w:w="14" w:type="dxa"/>
              <w:bottom w:w="57" w:type="dxa"/>
              <w:right w:w="14" w:type="dxa"/>
            </w:tcMar>
          </w:tcPr>
          <w:p w14:paraId="544683EC"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 xml:space="preserve">Closing Balance </w:t>
            </w:r>
          </w:p>
        </w:tc>
        <w:tc>
          <w:tcPr>
            <w:tcW w:w="147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303FC86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646,906 </w:t>
            </w:r>
          </w:p>
        </w:tc>
        <w:tc>
          <w:tcPr>
            <w:tcW w:w="147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19F8F9A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2,278,411 </w:t>
            </w:r>
          </w:p>
        </w:tc>
        <w:tc>
          <w:tcPr>
            <w:tcW w:w="130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7F8F5A4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64,242 </w:t>
            </w:r>
          </w:p>
        </w:tc>
        <w:tc>
          <w:tcPr>
            <w:tcW w:w="1587"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39866BD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196,943 </w:t>
            </w:r>
          </w:p>
        </w:tc>
        <w:tc>
          <w:tcPr>
            <w:tcW w:w="1417"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74E41D9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361,787 </w:t>
            </w:r>
          </w:p>
        </w:tc>
        <w:tc>
          <w:tcPr>
            <w:tcW w:w="1361" w:type="dxa"/>
            <w:tcBorders>
              <w:top w:val="single" w:sz="4" w:space="0" w:color="000000"/>
              <w:left w:val="single" w:sz="2" w:space="0" w:color="9D9C9C"/>
              <w:bottom w:val="single" w:sz="8" w:space="0" w:color="000000"/>
              <w:right w:val="single" w:sz="6" w:space="0" w:color="9D9C9C"/>
            </w:tcBorders>
            <w:shd w:val="solid" w:color="ECECEC" w:fill="auto"/>
            <w:tcMar>
              <w:top w:w="57" w:type="dxa"/>
              <w:left w:w="14" w:type="dxa"/>
              <w:bottom w:w="57" w:type="dxa"/>
              <w:right w:w="14" w:type="dxa"/>
            </w:tcMar>
          </w:tcPr>
          <w:p w14:paraId="6E50788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5,288 </w:t>
            </w:r>
          </w:p>
        </w:tc>
      </w:tr>
    </w:tbl>
    <w:p w14:paraId="69413CD2" w14:textId="77777777" w:rsidR="00345EE3" w:rsidRDefault="00345EE3" w:rsidP="00345EE3">
      <w:pPr>
        <w:rPr>
          <w:sz w:val="24"/>
        </w:rPr>
        <w:sectPr w:rsidR="00345EE3">
          <w:pgSz w:w="16840" w:h="11910" w:orient="landscape"/>
          <w:pgMar w:top="720" w:right="740" w:bottom="280" w:left="740" w:header="720" w:footer="720" w:gutter="0"/>
          <w:cols w:space="720"/>
        </w:sectPr>
      </w:pPr>
    </w:p>
    <w:p w14:paraId="06C7282C" w14:textId="748D7164" w:rsidR="00345EE3" w:rsidRDefault="00345EE3" w:rsidP="00345EE3">
      <w:pPr>
        <w:pStyle w:val="BodyText"/>
        <w:spacing w:before="3"/>
        <w:rPr>
          <w:b/>
          <w:sz w:val="10"/>
        </w:rPr>
      </w:pPr>
    </w:p>
    <w:tbl>
      <w:tblPr>
        <w:tblW w:w="0" w:type="auto"/>
        <w:tblInd w:w="-8" w:type="dxa"/>
        <w:tblLayout w:type="fixed"/>
        <w:tblCellMar>
          <w:left w:w="0" w:type="dxa"/>
          <w:right w:w="0" w:type="dxa"/>
        </w:tblCellMar>
        <w:tblLook w:val="0000" w:firstRow="0" w:lastRow="0" w:firstColumn="0" w:lastColumn="0" w:noHBand="0" w:noVBand="0"/>
      </w:tblPr>
      <w:tblGrid>
        <w:gridCol w:w="6066"/>
        <w:gridCol w:w="1474"/>
        <w:gridCol w:w="1474"/>
        <w:gridCol w:w="1474"/>
        <w:gridCol w:w="1701"/>
        <w:gridCol w:w="1474"/>
        <w:gridCol w:w="1474"/>
      </w:tblGrid>
      <w:tr w:rsidR="0052306E" w:rsidRPr="0052306E" w14:paraId="22FD6A2B" w14:textId="77777777" w:rsidTr="0052306E">
        <w:trPr>
          <w:trHeight w:val="60"/>
          <w:tblHeader/>
        </w:trPr>
        <w:tc>
          <w:tcPr>
            <w:tcW w:w="15137" w:type="dxa"/>
            <w:gridSpan w:val="7"/>
            <w:tcBorders>
              <w:top w:val="single" w:sz="6" w:space="0" w:color="000000"/>
              <w:left w:val="single" w:sz="6" w:space="0" w:color="000000"/>
              <w:bottom w:val="single" w:sz="2" w:space="0" w:color="FFFFFF"/>
              <w:right w:val="single" w:sz="2" w:space="0" w:color="FFFFFF"/>
            </w:tcBorders>
            <w:shd w:val="solid" w:color="004996" w:fill="auto"/>
            <w:tcMar>
              <w:top w:w="57" w:type="dxa"/>
              <w:left w:w="14" w:type="dxa"/>
              <w:bottom w:w="57" w:type="dxa"/>
              <w:right w:w="14" w:type="dxa"/>
            </w:tcMar>
          </w:tcPr>
          <w:p w14:paraId="55F494C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thousand)</w:t>
            </w:r>
          </w:p>
        </w:tc>
      </w:tr>
      <w:tr w:rsidR="0052306E" w:rsidRPr="0052306E" w14:paraId="0E259E21" w14:textId="77777777" w:rsidTr="0052306E">
        <w:trPr>
          <w:trHeight w:val="60"/>
          <w:tblHeader/>
        </w:trPr>
        <w:tc>
          <w:tcPr>
            <w:tcW w:w="6066" w:type="dxa"/>
            <w:tcBorders>
              <w:top w:val="single" w:sz="2" w:space="0" w:color="FFFFFF"/>
              <w:left w:val="single" w:sz="6" w:space="0" w:color="000000"/>
              <w:bottom w:val="single" w:sz="6" w:space="0" w:color="auto"/>
              <w:right w:val="single" w:sz="2" w:space="0" w:color="FFFFFF"/>
            </w:tcBorders>
            <w:shd w:val="solid" w:color="004996" w:fill="auto"/>
            <w:tcMar>
              <w:top w:w="57" w:type="dxa"/>
              <w:left w:w="14" w:type="dxa"/>
              <w:bottom w:w="57" w:type="dxa"/>
              <w:right w:w="14" w:type="dxa"/>
            </w:tcMar>
          </w:tcPr>
          <w:p w14:paraId="6EDECA76"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7409FEB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Specialised Land</w:t>
            </w:r>
          </w:p>
        </w:tc>
        <w:tc>
          <w:tcPr>
            <w:tcW w:w="1474"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3E7D710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Specialised Buildings</w:t>
            </w:r>
          </w:p>
        </w:tc>
        <w:tc>
          <w:tcPr>
            <w:tcW w:w="1474"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6D66A69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Heritage Buildings</w:t>
            </w:r>
          </w:p>
        </w:tc>
        <w:tc>
          <w:tcPr>
            <w:tcW w:w="1701"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161292E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Leasehold Improvement</w:t>
            </w:r>
          </w:p>
        </w:tc>
        <w:tc>
          <w:tcPr>
            <w:tcW w:w="1474"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619B696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Plant and Equipment</w:t>
            </w:r>
          </w:p>
        </w:tc>
        <w:tc>
          <w:tcPr>
            <w:tcW w:w="1474" w:type="dxa"/>
            <w:tcBorders>
              <w:top w:val="single" w:sz="2" w:space="0" w:color="FFFFFF"/>
              <w:left w:val="single" w:sz="2" w:space="0" w:color="FFFFFF"/>
              <w:bottom w:val="single" w:sz="6" w:space="0" w:color="auto"/>
              <w:right w:val="single" w:sz="6" w:space="0" w:color="auto"/>
            </w:tcBorders>
            <w:shd w:val="solid" w:color="004996" w:fill="auto"/>
            <w:tcMar>
              <w:top w:w="57" w:type="dxa"/>
              <w:left w:w="14" w:type="dxa"/>
              <w:bottom w:w="57" w:type="dxa"/>
              <w:right w:w="14" w:type="dxa"/>
            </w:tcMar>
          </w:tcPr>
          <w:p w14:paraId="2228B14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Cultural Artworks</w:t>
            </w:r>
          </w:p>
        </w:tc>
      </w:tr>
      <w:tr w:rsidR="0052306E" w:rsidRPr="0052306E" w14:paraId="3F8CB066" w14:textId="77777777" w:rsidTr="0052306E">
        <w:trPr>
          <w:trHeight w:val="60"/>
        </w:trPr>
        <w:tc>
          <w:tcPr>
            <w:tcW w:w="6066"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54300758"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2021</w:t>
            </w:r>
          </w:p>
        </w:tc>
        <w:tc>
          <w:tcPr>
            <w:tcW w:w="147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51968D04" w14:textId="77777777" w:rsidR="0052306E" w:rsidRPr="0052306E" w:rsidRDefault="0052306E" w:rsidP="0052306E">
            <w:pPr>
              <w:widowControl/>
              <w:adjustRightInd w:val="0"/>
              <w:rPr>
                <w:rFonts w:eastAsia="Myriad Pro"/>
                <w:sz w:val="24"/>
                <w:szCs w:val="24"/>
                <w:lang w:val="en-GB"/>
              </w:rPr>
            </w:pPr>
          </w:p>
        </w:tc>
        <w:tc>
          <w:tcPr>
            <w:tcW w:w="147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17ACA853" w14:textId="77777777" w:rsidR="0052306E" w:rsidRPr="0052306E" w:rsidRDefault="0052306E" w:rsidP="0052306E">
            <w:pPr>
              <w:widowControl/>
              <w:adjustRightInd w:val="0"/>
              <w:rPr>
                <w:rFonts w:eastAsia="Myriad Pro"/>
                <w:sz w:val="24"/>
                <w:szCs w:val="24"/>
                <w:lang w:val="en-GB"/>
              </w:rPr>
            </w:pPr>
          </w:p>
        </w:tc>
        <w:tc>
          <w:tcPr>
            <w:tcW w:w="147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55C231C5" w14:textId="77777777" w:rsidR="0052306E" w:rsidRPr="0052306E" w:rsidRDefault="0052306E" w:rsidP="0052306E">
            <w:pPr>
              <w:widowControl/>
              <w:adjustRightInd w:val="0"/>
              <w:rPr>
                <w:rFonts w:eastAsia="Myriad Pro"/>
                <w:sz w:val="24"/>
                <w:szCs w:val="24"/>
                <w:lang w:val="en-GB"/>
              </w:rPr>
            </w:pPr>
          </w:p>
        </w:tc>
        <w:tc>
          <w:tcPr>
            <w:tcW w:w="1701"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15FC468F" w14:textId="77777777" w:rsidR="0052306E" w:rsidRPr="0052306E" w:rsidRDefault="0052306E" w:rsidP="0052306E">
            <w:pPr>
              <w:widowControl/>
              <w:adjustRightInd w:val="0"/>
              <w:rPr>
                <w:rFonts w:eastAsia="Myriad Pro"/>
                <w:sz w:val="24"/>
                <w:szCs w:val="24"/>
                <w:lang w:val="en-GB"/>
              </w:rPr>
            </w:pPr>
          </w:p>
        </w:tc>
        <w:tc>
          <w:tcPr>
            <w:tcW w:w="147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0A2B9652" w14:textId="77777777" w:rsidR="0052306E" w:rsidRPr="0052306E" w:rsidRDefault="0052306E" w:rsidP="0052306E">
            <w:pPr>
              <w:widowControl/>
              <w:adjustRightInd w:val="0"/>
              <w:rPr>
                <w:rFonts w:eastAsia="Myriad Pro"/>
                <w:sz w:val="24"/>
                <w:szCs w:val="24"/>
                <w:lang w:val="en-GB"/>
              </w:rPr>
            </w:pPr>
          </w:p>
        </w:tc>
        <w:tc>
          <w:tcPr>
            <w:tcW w:w="147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45328E5F" w14:textId="77777777" w:rsidR="0052306E" w:rsidRPr="0052306E" w:rsidRDefault="0052306E" w:rsidP="0052306E">
            <w:pPr>
              <w:widowControl/>
              <w:adjustRightInd w:val="0"/>
              <w:rPr>
                <w:rFonts w:eastAsia="Myriad Pro"/>
                <w:sz w:val="24"/>
                <w:szCs w:val="24"/>
                <w:lang w:val="en-GB"/>
              </w:rPr>
            </w:pPr>
          </w:p>
        </w:tc>
      </w:tr>
      <w:tr w:rsidR="0052306E" w:rsidRPr="0052306E" w14:paraId="0F1DE251" w14:textId="77777777" w:rsidTr="0052306E">
        <w:trPr>
          <w:trHeight w:val="60"/>
        </w:trPr>
        <w:tc>
          <w:tcPr>
            <w:tcW w:w="6066" w:type="dxa"/>
            <w:tcBorders>
              <w:top w:val="single" w:sz="8" w:space="0" w:color="000000"/>
              <w:left w:val="single" w:sz="6" w:space="0" w:color="000000"/>
              <w:bottom w:val="single" w:sz="2" w:space="0" w:color="9D9C9C"/>
              <w:right w:val="single" w:sz="2" w:space="0" w:color="9D9C9C"/>
            </w:tcBorders>
            <w:tcMar>
              <w:top w:w="57" w:type="dxa"/>
              <w:left w:w="14" w:type="dxa"/>
              <w:bottom w:w="57" w:type="dxa"/>
              <w:right w:w="14" w:type="dxa"/>
            </w:tcMar>
          </w:tcPr>
          <w:p w14:paraId="13580363"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 xml:space="preserve">Opening balance </w:t>
            </w:r>
          </w:p>
        </w:tc>
        <w:tc>
          <w:tcPr>
            <w:tcW w:w="147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3286A7A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485,163 </w:t>
            </w:r>
          </w:p>
        </w:tc>
        <w:tc>
          <w:tcPr>
            <w:tcW w:w="147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72D9D44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1,509,274 </w:t>
            </w:r>
          </w:p>
        </w:tc>
        <w:tc>
          <w:tcPr>
            <w:tcW w:w="147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29B2A81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72,118 </w:t>
            </w:r>
          </w:p>
        </w:tc>
        <w:tc>
          <w:tcPr>
            <w:tcW w:w="1701"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45E7B95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75,371 </w:t>
            </w:r>
          </w:p>
        </w:tc>
        <w:tc>
          <w:tcPr>
            <w:tcW w:w="147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65BE653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281,172 </w:t>
            </w:r>
          </w:p>
        </w:tc>
        <w:tc>
          <w:tcPr>
            <w:tcW w:w="1474" w:type="dxa"/>
            <w:tcBorders>
              <w:top w:val="single" w:sz="8" w:space="0" w:color="000000"/>
              <w:left w:val="single" w:sz="2" w:space="0" w:color="9D9C9C"/>
              <w:bottom w:val="single" w:sz="2" w:space="0" w:color="9D9C9C"/>
              <w:right w:val="single" w:sz="6" w:space="0" w:color="9D9C9C"/>
            </w:tcBorders>
            <w:tcMar>
              <w:top w:w="57" w:type="dxa"/>
              <w:left w:w="14" w:type="dxa"/>
              <w:bottom w:w="57" w:type="dxa"/>
              <w:right w:w="14" w:type="dxa"/>
            </w:tcMar>
          </w:tcPr>
          <w:p w14:paraId="543EFA8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4,879 </w:t>
            </w:r>
          </w:p>
        </w:tc>
      </w:tr>
      <w:tr w:rsidR="0052306E" w:rsidRPr="0052306E" w14:paraId="7F16E6E3"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087FE5AA"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Purchases/Additions</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D9A72F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14,958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93A31A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1,016,877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88F69B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0D6BAF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62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8CE6AE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164,586 </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11E7A7A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60E21FB5"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2CA48807"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Sales</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3F034E3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CDD178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48DC9E0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52A7B32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691EBD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(15,340)</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271161D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316F3CD9"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5DE756F7"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Assets free of charge</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F00375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658F1B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D3E71F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FA610A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0DAACD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183 </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1026895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6FEFBE4E"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137E28CD"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Assets recognised for first time</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9EFFD6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36D8B2A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324A9BE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34B50E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B6B3D9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49 </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4C262F4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0D2977F6"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5B64B38A"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Transfers:</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4148A30E"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AA41579"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3D87E14" w14:textId="77777777" w:rsidR="0052306E" w:rsidRPr="0052306E" w:rsidRDefault="0052306E" w:rsidP="0052306E">
            <w:pPr>
              <w:widowControl/>
              <w:adjustRightInd w:val="0"/>
              <w:rPr>
                <w:rFonts w:eastAsia="Myriad Pro"/>
                <w:sz w:val="24"/>
                <w:szCs w:val="24"/>
                <w:lang w:val="en-GB"/>
              </w:rPr>
            </w:pP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436984CE"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4218ADE0"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47D33873" w14:textId="77777777" w:rsidR="0052306E" w:rsidRPr="0052306E" w:rsidRDefault="0052306E" w:rsidP="0052306E">
            <w:pPr>
              <w:widowControl/>
              <w:adjustRightInd w:val="0"/>
              <w:rPr>
                <w:rFonts w:eastAsia="Myriad Pro"/>
                <w:sz w:val="24"/>
                <w:szCs w:val="24"/>
                <w:lang w:val="en-GB"/>
              </w:rPr>
            </w:pPr>
          </w:p>
        </w:tc>
      </w:tr>
      <w:tr w:rsidR="0052306E" w:rsidRPr="0052306E" w14:paraId="7B2A9EFB"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0AEBC63A"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In (out) of level 3</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22058D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DFD0BA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FB5779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FBA897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523791E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38E66E8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477A2FFE"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2D220C01"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In (out) of assets under construction</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E334FE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5,811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18D9DC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38,784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0EA7FA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437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F2F475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110,668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3D188A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35,126 </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3873A47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29DA0E2A"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35900249"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Between asset classes</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0B46A4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545E3C1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1,871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3E34734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D386A9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27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85D712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(1,899)</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33CBBB3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583402E5"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2D5E2B4A"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From contributed capital</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0AF7B0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3710219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0E4D04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5181A3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8B3E1E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57EDC88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3F1052CD"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5E5FE913"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Gains or losses recognised in net result:</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07D6E99"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7089E41"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0ABDFB4" w14:textId="77777777" w:rsidR="0052306E" w:rsidRPr="0052306E" w:rsidRDefault="0052306E" w:rsidP="0052306E">
            <w:pPr>
              <w:widowControl/>
              <w:adjustRightInd w:val="0"/>
              <w:rPr>
                <w:rFonts w:eastAsia="Myriad Pro"/>
                <w:sz w:val="24"/>
                <w:szCs w:val="24"/>
                <w:lang w:val="en-GB"/>
              </w:rPr>
            </w:pP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CB1F029"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156FA70"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20D24E3E" w14:textId="77777777" w:rsidR="0052306E" w:rsidRPr="0052306E" w:rsidRDefault="0052306E" w:rsidP="0052306E">
            <w:pPr>
              <w:widowControl/>
              <w:adjustRightInd w:val="0"/>
              <w:rPr>
                <w:rFonts w:eastAsia="Myriad Pro"/>
                <w:sz w:val="24"/>
                <w:szCs w:val="24"/>
                <w:lang w:val="en-GB"/>
              </w:rPr>
            </w:pPr>
          </w:p>
        </w:tc>
      </w:tr>
      <w:tr w:rsidR="0052306E" w:rsidRPr="0052306E" w14:paraId="54C77E91" w14:textId="77777777" w:rsidTr="0052306E">
        <w:trPr>
          <w:trHeight w:val="60"/>
        </w:trPr>
        <w:tc>
          <w:tcPr>
            <w:tcW w:w="6066"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704557BD"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Depreciation</w:t>
            </w:r>
          </w:p>
        </w:tc>
        <w:tc>
          <w:tcPr>
            <w:tcW w:w="147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2F43E2A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(590)</w:t>
            </w:r>
          </w:p>
        </w:tc>
        <w:tc>
          <w:tcPr>
            <w:tcW w:w="147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5A59DC6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(113,260)</w:t>
            </w:r>
          </w:p>
        </w:tc>
        <w:tc>
          <w:tcPr>
            <w:tcW w:w="147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446A4CA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(2,860)</w:t>
            </w:r>
          </w:p>
        </w:tc>
        <w:tc>
          <w:tcPr>
            <w:tcW w:w="1701"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3D0BF46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(12,038)</w:t>
            </w:r>
          </w:p>
        </w:tc>
        <w:tc>
          <w:tcPr>
            <w:tcW w:w="147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0EAB89F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(89,584)</w:t>
            </w:r>
          </w:p>
        </w:tc>
        <w:tc>
          <w:tcPr>
            <w:tcW w:w="1474" w:type="dxa"/>
            <w:tcBorders>
              <w:top w:val="single" w:sz="2" w:space="0" w:color="9D9C9C"/>
              <w:left w:val="single" w:sz="2" w:space="0" w:color="9D9C9C"/>
              <w:bottom w:val="single" w:sz="4" w:space="0" w:color="000000"/>
              <w:right w:val="single" w:sz="6" w:space="0" w:color="9D9C9C"/>
            </w:tcBorders>
            <w:tcMar>
              <w:top w:w="57" w:type="dxa"/>
              <w:left w:w="14" w:type="dxa"/>
              <w:bottom w:w="57" w:type="dxa"/>
              <w:right w:w="14" w:type="dxa"/>
            </w:tcMar>
          </w:tcPr>
          <w:p w14:paraId="65D91A0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7739D624" w14:textId="77777777" w:rsidTr="0052306E">
        <w:trPr>
          <w:trHeight w:val="60"/>
        </w:trPr>
        <w:tc>
          <w:tcPr>
            <w:tcW w:w="6066" w:type="dxa"/>
            <w:tcBorders>
              <w:top w:val="single" w:sz="4" w:space="0" w:color="000000"/>
              <w:left w:val="single" w:sz="6" w:space="0" w:color="000000"/>
              <w:bottom w:val="single" w:sz="4" w:space="0" w:color="000000"/>
              <w:right w:val="single" w:sz="2" w:space="0" w:color="9D9C9C"/>
            </w:tcBorders>
            <w:tcMar>
              <w:top w:w="57" w:type="dxa"/>
              <w:left w:w="14" w:type="dxa"/>
              <w:bottom w:w="57" w:type="dxa"/>
              <w:right w:w="14" w:type="dxa"/>
            </w:tcMar>
          </w:tcPr>
          <w:p w14:paraId="044F513A"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Subtotal</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71EBDBA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20,179</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0056C81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944,272</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1C46471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(2,423)</w:t>
            </w:r>
          </w:p>
        </w:tc>
        <w:tc>
          <w:tcPr>
            <w:tcW w:w="1701"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4F22DE9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98,719</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07C1C11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93,121</w:t>
            </w:r>
          </w:p>
        </w:tc>
        <w:tc>
          <w:tcPr>
            <w:tcW w:w="1474" w:type="dxa"/>
            <w:tcBorders>
              <w:top w:val="single" w:sz="4" w:space="0" w:color="000000"/>
              <w:left w:val="single" w:sz="2" w:space="0" w:color="9D9C9C"/>
              <w:bottom w:val="single" w:sz="4" w:space="0" w:color="000000"/>
              <w:right w:val="single" w:sz="6" w:space="0" w:color="9D9C9C"/>
            </w:tcBorders>
            <w:tcMar>
              <w:top w:w="57" w:type="dxa"/>
              <w:left w:w="14" w:type="dxa"/>
              <w:bottom w:w="57" w:type="dxa"/>
              <w:right w:w="14" w:type="dxa"/>
            </w:tcMar>
          </w:tcPr>
          <w:p w14:paraId="2F19435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   </w:t>
            </w:r>
          </w:p>
        </w:tc>
      </w:tr>
      <w:tr w:rsidR="0052306E" w:rsidRPr="0052306E" w14:paraId="0F36654D" w14:textId="77777777" w:rsidTr="0052306E">
        <w:trPr>
          <w:trHeight w:val="60"/>
        </w:trPr>
        <w:tc>
          <w:tcPr>
            <w:tcW w:w="6066" w:type="dxa"/>
            <w:tcBorders>
              <w:top w:val="single" w:sz="4" w:space="0" w:color="000000"/>
              <w:left w:val="single" w:sz="6" w:space="0" w:color="000000"/>
              <w:bottom w:val="single" w:sz="4" w:space="0" w:color="000000"/>
              <w:right w:val="single" w:sz="2" w:space="0" w:color="9D9C9C"/>
            </w:tcBorders>
            <w:tcMar>
              <w:top w:w="57" w:type="dxa"/>
              <w:left w:w="14" w:type="dxa"/>
              <w:bottom w:w="57" w:type="dxa"/>
              <w:right w:w="14" w:type="dxa"/>
            </w:tcMar>
          </w:tcPr>
          <w:p w14:paraId="00D92C5A"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Revaluation</w:t>
            </w:r>
            <w:r w:rsidRPr="0052306E">
              <w:rPr>
                <w:rFonts w:eastAsia="Myriad Pro"/>
                <w:color w:val="000000"/>
                <w:sz w:val="24"/>
                <w:szCs w:val="24"/>
                <w:vertAlign w:val="superscript"/>
                <w:lang w:val="en-GB"/>
              </w:rPr>
              <w:t xml:space="preserve"> (a)</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2687232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121,096 </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295D752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(112,865)</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0165200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(2,569)</w:t>
            </w:r>
          </w:p>
        </w:tc>
        <w:tc>
          <w:tcPr>
            <w:tcW w:w="1701"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1F8B1C4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36C89C8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4" w:space="0" w:color="000000"/>
              <w:left w:val="single" w:sz="2" w:space="0" w:color="9D9C9C"/>
              <w:bottom w:val="single" w:sz="4" w:space="0" w:color="000000"/>
              <w:right w:val="single" w:sz="6" w:space="0" w:color="9D9C9C"/>
            </w:tcBorders>
            <w:tcMar>
              <w:top w:w="57" w:type="dxa"/>
              <w:left w:w="14" w:type="dxa"/>
              <w:bottom w:w="57" w:type="dxa"/>
              <w:right w:w="14" w:type="dxa"/>
            </w:tcMar>
          </w:tcPr>
          <w:p w14:paraId="492AEF9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360 </w:t>
            </w:r>
          </w:p>
        </w:tc>
      </w:tr>
      <w:tr w:rsidR="0052306E" w:rsidRPr="0052306E" w14:paraId="57D8D2FC" w14:textId="77777777" w:rsidTr="0052306E">
        <w:trPr>
          <w:trHeight w:val="60"/>
        </w:trPr>
        <w:tc>
          <w:tcPr>
            <w:tcW w:w="6066" w:type="dxa"/>
            <w:tcBorders>
              <w:top w:val="single" w:sz="4" w:space="0" w:color="000000"/>
              <w:left w:val="single" w:sz="6" w:space="0" w:color="9D9C9C"/>
              <w:bottom w:val="single" w:sz="8" w:space="0" w:color="000000"/>
              <w:right w:val="single" w:sz="2" w:space="0" w:color="9D9C9C"/>
            </w:tcBorders>
            <w:tcMar>
              <w:top w:w="57" w:type="dxa"/>
              <w:left w:w="14" w:type="dxa"/>
              <w:bottom w:w="57" w:type="dxa"/>
              <w:right w:w="14" w:type="dxa"/>
            </w:tcMar>
          </w:tcPr>
          <w:p w14:paraId="34D8EE99"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 xml:space="preserve">Closing Balance </w:t>
            </w:r>
          </w:p>
        </w:tc>
        <w:tc>
          <w:tcPr>
            <w:tcW w:w="147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0146433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626,438 </w:t>
            </w:r>
          </w:p>
        </w:tc>
        <w:tc>
          <w:tcPr>
            <w:tcW w:w="147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7F8C7FF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2,340,681 </w:t>
            </w:r>
          </w:p>
        </w:tc>
        <w:tc>
          <w:tcPr>
            <w:tcW w:w="147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4C155C4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67,126 </w:t>
            </w:r>
          </w:p>
        </w:tc>
        <w:tc>
          <w:tcPr>
            <w:tcW w:w="1701"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6A80F9D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174,090 </w:t>
            </w:r>
          </w:p>
        </w:tc>
        <w:tc>
          <w:tcPr>
            <w:tcW w:w="147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70FE5B5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374,293 </w:t>
            </w:r>
          </w:p>
        </w:tc>
        <w:tc>
          <w:tcPr>
            <w:tcW w:w="1474" w:type="dxa"/>
            <w:tcBorders>
              <w:top w:val="single" w:sz="4" w:space="0" w:color="000000"/>
              <w:left w:val="single" w:sz="2" w:space="0" w:color="9D9C9C"/>
              <w:bottom w:val="single" w:sz="8" w:space="0" w:color="000000"/>
              <w:right w:val="single" w:sz="6" w:space="0" w:color="9D9C9C"/>
            </w:tcBorders>
            <w:tcMar>
              <w:top w:w="57" w:type="dxa"/>
              <w:left w:w="14" w:type="dxa"/>
              <w:bottom w:w="57" w:type="dxa"/>
              <w:right w:w="14" w:type="dxa"/>
            </w:tcMar>
          </w:tcPr>
          <w:p w14:paraId="6903F4F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5,239</w:t>
            </w:r>
          </w:p>
        </w:tc>
      </w:tr>
    </w:tbl>
    <w:p w14:paraId="3E8980BC" w14:textId="77777777" w:rsidR="00345EE3" w:rsidRPr="00AC6ADA" w:rsidRDefault="00345EE3" w:rsidP="00345EE3">
      <w:pPr>
        <w:spacing w:before="70"/>
        <w:ind w:left="110"/>
        <w:rPr>
          <w:rFonts w:ascii="Arial-BoldItalicMT"/>
          <w:b/>
          <w:i/>
          <w:sz w:val="18"/>
          <w:szCs w:val="18"/>
        </w:rPr>
      </w:pPr>
      <w:r w:rsidRPr="00AC6ADA">
        <w:rPr>
          <w:rFonts w:ascii="Arial-BoldItalicMT"/>
          <w:b/>
          <w:i/>
          <w:color w:val="231F20"/>
          <w:spacing w:val="-2"/>
          <w:sz w:val="18"/>
          <w:szCs w:val="18"/>
        </w:rPr>
        <w:t>Note:</w:t>
      </w:r>
    </w:p>
    <w:p w14:paraId="3C1C792D" w14:textId="77777777" w:rsidR="00345EE3" w:rsidRPr="00AC6ADA" w:rsidRDefault="00345EE3" w:rsidP="00345EE3">
      <w:pPr>
        <w:spacing w:before="28"/>
        <w:ind w:left="110"/>
        <w:rPr>
          <w:sz w:val="18"/>
          <w:szCs w:val="18"/>
        </w:rPr>
      </w:pPr>
      <w:r w:rsidRPr="00AC6ADA">
        <w:rPr>
          <w:color w:val="231F20"/>
          <w:sz w:val="18"/>
          <w:szCs w:val="18"/>
        </w:rPr>
        <w:t>(a)</w:t>
      </w:r>
      <w:r w:rsidRPr="00AC6ADA">
        <w:rPr>
          <w:color w:val="231F20"/>
          <w:spacing w:val="27"/>
          <w:sz w:val="18"/>
          <w:szCs w:val="18"/>
        </w:rPr>
        <w:t xml:space="preserve"> </w:t>
      </w:r>
      <w:r w:rsidRPr="00AC6ADA">
        <w:rPr>
          <w:color w:val="231F20"/>
          <w:sz w:val="18"/>
          <w:szCs w:val="18"/>
        </w:rPr>
        <w:t>This</w:t>
      </w:r>
      <w:r w:rsidRPr="00AC6ADA">
        <w:rPr>
          <w:color w:val="231F20"/>
          <w:spacing w:val="-3"/>
          <w:sz w:val="18"/>
          <w:szCs w:val="18"/>
        </w:rPr>
        <w:t xml:space="preserve"> </w:t>
      </w:r>
      <w:r w:rsidRPr="00AC6ADA">
        <w:rPr>
          <w:color w:val="231F20"/>
          <w:sz w:val="18"/>
          <w:szCs w:val="18"/>
        </w:rPr>
        <w:t>balance</w:t>
      </w:r>
      <w:r w:rsidRPr="00AC6ADA">
        <w:rPr>
          <w:color w:val="231F20"/>
          <w:spacing w:val="-2"/>
          <w:sz w:val="18"/>
          <w:szCs w:val="18"/>
        </w:rPr>
        <w:t xml:space="preserve"> </w:t>
      </w:r>
      <w:r w:rsidRPr="00AC6ADA">
        <w:rPr>
          <w:color w:val="231F20"/>
          <w:sz w:val="18"/>
          <w:szCs w:val="18"/>
        </w:rPr>
        <w:t>relates</w:t>
      </w:r>
      <w:r w:rsidRPr="00AC6ADA">
        <w:rPr>
          <w:color w:val="231F20"/>
          <w:spacing w:val="-2"/>
          <w:sz w:val="18"/>
          <w:szCs w:val="18"/>
        </w:rPr>
        <w:t xml:space="preserve"> </w:t>
      </w:r>
      <w:r w:rsidRPr="00AC6ADA">
        <w:rPr>
          <w:color w:val="231F20"/>
          <w:sz w:val="18"/>
          <w:szCs w:val="18"/>
        </w:rPr>
        <w:t>to</w:t>
      </w:r>
      <w:r w:rsidRPr="00AC6ADA">
        <w:rPr>
          <w:color w:val="231F20"/>
          <w:spacing w:val="-2"/>
          <w:sz w:val="18"/>
          <w:szCs w:val="18"/>
        </w:rPr>
        <w:t xml:space="preserve"> </w:t>
      </w:r>
      <w:r w:rsidRPr="00AC6ADA">
        <w:rPr>
          <w:color w:val="231F20"/>
          <w:sz w:val="18"/>
          <w:szCs w:val="18"/>
        </w:rPr>
        <w:t>a</w:t>
      </w:r>
      <w:r w:rsidRPr="00AC6ADA">
        <w:rPr>
          <w:color w:val="231F20"/>
          <w:spacing w:val="-3"/>
          <w:sz w:val="18"/>
          <w:szCs w:val="18"/>
        </w:rPr>
        <w:t xml:space="preserve"> </w:t>
      </w:r>
      <w:r w:rsidRPr="00AC6ADA">
        <w:rPr>
          <w:color w:val="231F20"/>
          <w:sz w:val="18"/>
          <w:szCs w:val="18"/>
        </w:rPr>
        <w:t>correction</w:t>
      </w:r>
      <w:r w:rsidRPr="00AC6ADA">
        <w:rPr>
          <w:color w:val="231F20"/>
          <w:spacing w:val="-2"/>
          <w:sz w:val="18"/>
          <w:szCs w:val="18"/>
        </w:rPr>
        <w:t xml:space="preserve"> </w:t>
      </w:r>
      <w:r w:rsidRPr="00AC6ADA">
        <w:rPr>
          <w:color w:val="231F20"/>
          <w:sz w:val="18"/>
          <w:szCs w:val="18"/>
        </w:rPr>
        <w:t>of</w:t>
      </w:r>
      <w:r w:rsidRPr="00AC6ADA">
        <w:rPr>
          <w:color w:val="231F20"/>
          <w:spacing w:val="-2"/>
          <w:sz w:val="18"/>
          <w:szCs w:val="18"/>
        </w:rPr>
        <w:t xml:space="preserve"> </w:t>
      </w:r>
      <w:r w:rsidRPr="00AC6ADA">
        <w:rPr>
          <w:color w:val="231F20"/>
          <w:sz w:val="18"/>
          <w:szCs w:val="18"/>
        </w:rPr>
        <w:t>the</w:t>
      </w:r>
      <w:r w:rsidRPr="00AC6ADA">
        <w:rPr>
          <w:color w:val="231F20"/>
          <w:spacing w:val="-3"/>
          <w:sz w:val="18"/>
          <w:szCs w:val="18"/>
        </w:rPr>
        <w:t xml:space="preserve"> </w:t>
      </w:r>
      <w:r w:rsidRPr="00AC6ADA">
        <w:rPr>
          <w:color w:val="231F20"/>
          <w:sz w:val="18"/>
          <w:szCs w:val="18"/>
        </w:rPr>
        <w:t>prior</w:t>
      </w:r>
      <w:r w:rsidRPr="00AC6ADA">
        <w:rPr>
          <w:color w:val="231F20"/>
          <w:spacing w:val="-2"/>
          <w:sz w:val="18"/>
          <w:szCs w:val="18"/>
        </w:rPr>
        <w:t xml:space="preserve"> </w:t>
      </w:r>
      <w:r w:rsidRPr="00AC6ADA">
        <w:rPr>
          <w:color w:val="231F20"/>
          <w:sz w:val="18"/>
          <w:szCs w:val="18"/>
        </w:rPr>
        <w:t>year’s</w:t>
      </w:r>
      <w:r w:rsidRPr="00AC6ADA">
        <w:rPr>
          <w:color w:val="231F20"/>
          <w:spacing w:val="-2"/>
          <w:sz w:val="18"/>
          <w:szCs w:val="18"/>
        </w:rPr>
        <w:t xml:space="preserve"> </w:t>
      </w:r>
      <w:r w:rsidRPr="00AC6ADA">
        <w:rPr>
          <w:color w:val="231F20"/>
          <w:sz w:val="18"/>
          <w:szCs w:val="18"/>
        </w:rPr>
        <w:t>managerial</w:t>
      </w:r>
      <w:r w:rsidRPr="00AC6ADA">
        <w:rPr>
          <w:color w:val="231F20"/>
          <w:spacing w:val="-2"/>
          <w:sz w:val="18"/>
          <w:szCs w:val="18"/>
        </w:rPr>
        <w:t xml:space="preserve"> revaluation.</w:t>
      </w:r>
    </w:p>
    <w:p w14:paraId="2B6174C3" w14:textId="77777777" w:rsidR="00345EE3" w:rsidRDefault="00345EE3" w:rsidP="00345EE3">
      <w:pPr>
        <w:rPr>
          <w:sz w:val="14"/>
        </w:rPr>
        <w:sectPr w:rsidR="00345EE3">
          <w:pgSz w:w="16840" w:h="11910" w:orient="landscape"/>
          <w:pgMar w:top="720" w:right="740" w:bottom="280" w:left="740" w:header="720" w:footer="720" w:gutter="0"/>
          <w:cols w:space="720"/>
        </w:sectPr>
      </w:pPr>
    </w:p>
    <w:p w14:paraId="54C92645" w14:textId="77777777" w:rsidR="00345EE3" w:rsidRDefault="00345EE3" w:rsidP="00345EE3">
      <w:pPr>
        <w:pStyle w:val="Heading5"/>
        <w:spacing w:before="109" w:line="343" w:lineRule="auto"/>
        <w:ind w:right="5916"/>
      </w:pPr>
      <w:r>
        <w:rPr>
          <w:color w:val="231F20"/>
        </w:rPr>
        <w:t>Description of Significant Unobservable Inputs to Level 3 Valuations</w:t>
      </w:r>
    </w:p>
    <w:tbl>
      <w:tblPr>
        <w:tblW w:w="0" w:type="auto"/>
        <w:tblInd w:w="156" w:type="dxa"/>
        <w:tblLayout w:type="fixed"/>
        <w:tblCellMar>
          <w:left w:w="0" w:type="dxa"/>
          <w:right w:w="0" w:type="dxa"/>
        </w:tblCellMar>
        <w:tblLook w:val="0000" w:firstRow="0" w:lastRow="0" w:firstColumn="0" w:lastColumn="0" w:noHBand="0" w:noVBand="0"/>
      </w:tblPr>
      <w:tblGrid>
        <w:gridCol w:w="1701"/>
        <w:gridCol w:w="1701"/>
        <w:gridCol w:w="1700"/>
        <w:gridCol w:w="1701"/>
        <w:gridCol w:w="8277"/>
      </w:tblGrid>
      <w:tr w:rsidR="00345EE3" w14:paraId="358C5D6A" w14:textId="77777777" w:rsidTr="00D73130">
        <w:trPr>
          <w:trHeight w:val="60"/>
          <w:tblHeader/>
        </w:trPr>
        <w:tc>
          <w:tcPr>
            <w:tcW w:w="1701"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3CDFF35" w14:textId="77777777" w:rsidR="00345EE3" w:rsidRDefault="00345EE3" w:rsidP="00D73130">
            <w:pPr>
              <w:pStyle w:val="VicPol-TableHeadingWhiteLeft-2022Tables"/>
            </w:pPr>
            <w:r>
              <w:t>Asset Class</w:t>
            </w:r>
          </w:p>
        </w:tc>
        <w:tc>
          <w:tcPr>
            <w:tcW w:w="1701"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0C45B6F" w14:textId="77777777" w:rsidR="00345EE3" w:rsidRDefault="00345EE3" w:rsidP="00D73130">
            <w:pPr>
              <w:pStyle w:val="VicPol-TableHeadingWhiteLeft-2022Tables"/>
            </w:pPr>
            <w:r>
              <w:t xml:space="preserve">Valuation Technique </w:t>
            </w:r>
          </w:p>
        </w:tc>
        <w:tc>
          <w:tcPr>
            <w:tcW w:w="1700"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7F4A098" w14:textId="77777777" w:rsidR="00345EE3" w:rsidRDefault="00345EE3" w:rsidP="00D73130">
            <w:pPr>
              <w:pStyle w:val="VicPol-TableHeadingWhiteLeft-2022Tables"/>
            </w:pPr>
            <w:r>
              <w:t xml:space="preserve">Significant Unobservable Inputs </w:t>
            </w:r>
          </w:p>
        </w:tc>
        <w:tc>
          <w:tcPr>
            <w:tcW w:w="1701"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EC1B6F2" w14:textId="77777777" w:rsidR="00345EE3" w:rsidRDefault="00345EE3" w:rsidP="00D73130">
            <w:pPr>
              <w:pStyle w:val="VicPol-TableHeadingWhiteLeft-2022Tables"/>
            </w:pPr>
            <w:r>
              <w:t xml:space="preserve">Range (Weighted Average) </w:t>
            </w:r>
          </w:p>
        </w:tc>
        <w:tc>
          <w:tcPr>
            <w:tcW w:w="8277"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8941F95" w14:textId="77777777" w:rsidR="00345EE3" w:rsidRDefault="00345EE3" w:rsidP="00D73130">
            <w:pPr>
              <w:pStyle w:val="VicPol-TableHeadingWhiteLeft-2022Tables"/>
            </w:pPr>
            <w:r>
              <w:t xml:space="preserve">Sensitivity Of Fair Value Measurement to Changes in Significant Unobservable Inputs </w:t>
            </w:r>
          </w:p>
        </w:tc>
      </w:tr>
      <w:tr w:rsidR="00345EE3" w14:paraId="570967F7"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4E86D85" w14:textId="77777777" w:rsidR="00345EE3" w:rsidRDefault="00345EE3" w:rsidP="00D73130">
            <w:pPr>
              <w:pStyle w:val="VicPol-TableBodyLeft-2022Tables"/>
            </w:pPr>
            <w:r>
              <w:rPr>
                <w:rStyle w:val="Heavy"/>
              </w:rPr>
              <w:t>Specialised Land</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BE6221" w14:textId="77777777" w:rsidR="00345EE3" w:rsidRDefault="00345EE3" w:rsidP="00D73130">
            <w:pPr>
              <w:pStyle w:val="VicPol-TableBodyLeft-2022Tables"/>
            </w:pPr>
            <w:r>
              <w:t>Market approach</w:t>
            </w: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C76B85" w14:textId="77777777" w:rsidR="00345EE3" w:rsidRDefault="00345EE3" w:rsidP="00D73130">
            <w:pPr>
              <w:pStyle w:val="VicPol-TableBodyLeft-2022Tables"/>
            </w:pPr>
            <w:r>
              <w:t xml:space="preserve">Community Service Obligation (CSO) adjustment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74BDDB" w14:textId="77777777" w:rsidR="00345EE3" w:rsidRDefault="00345EE3" w:rsidP="00D73130">
            <w:pPr>
              <w:pStyle w:val="VicPol-TableBodyLeft-2022Tables"/>
            </w:pPr>
            <w:r>
              <w:t>10% – 45%</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3A4742C" w14:textId="77777777" w:rsidR="00345EE3" w:rsidRDefault="00345EE3" w:rsidP="00D73130">
            <w:pPr>
              <w:pStyle w:val="VicPol-TableBodyLeft-2022Tables"/>
            </w:pPr>
            <w:r>
              <w:t xml:space="preserve">A significant increase or decrease in the CSO adjustment would result in a significantly lower (higher) fair value. </w:t>
            </w:r>
          </w:p>
        </w:tc>
      </w:tr>
      <w:tr w:rsidR="00345EE3" w14:paraId="3281BB53" w14:textId="77777777" w:rsidTr="00D73130">
        <w:trPr>
          <w:trHeight w:val="60"/>
        </w:trPr>
        <w:tc>
          <w:tcPr>
            <w:tcW w:w="1701"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EE66079" w14:textId="77777777" w:rsidR="00345EE3" w:rsidRDefault="00345EE3" w:rsidP="00D73130">
            <w:pPr>
              <w:pStyle w:val="VicPol-TableBodyLeft-2022Tables"/>
            </w:pPr>
            <w:r>
              <w:rPr>
                <w:rStyle w:val="Heavy"/>
              </w:rPr>
              <w:t>Specialised Buildings</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70FD176" w14:textId="77777777" w:rsidR="00345EE3" w:rsidRDefault="00345EE3" w:rsidP="00D73130">
            <w:pPr>
              <w:pStyle w:val="VicPol-TableBodyLeft-2022Tables"/>
            </w:pPr>
            <w:r>
              <w:t>Market approach</w:t>
            </w: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E344A2" w14:textId="77777777" w:rsidR="00345EE3" w:rsidRDefault="00345EE3" w:rsidP="00D73130">
            <w:pPr>
              <w:pStyle w:val="VicPol-TableBodyLeft-2022Tables"/>
            </w:pPr>
            <w:r>
              <w:t xml:space="preserve">Community Service Obligation (CSO) adjustment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DCCA723" w14:textId="77777777" w:rsidR="00345EE3" w:rsidRDefault="00345EE3" w:rsidP="00D73130">
            <w:pPr>
              <w:pStyle w:val="VicPol-TableBodyLeft-2022Tables"/>
            </w:pPr>
            <w:r>
              <w:t>10% – 45%</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F34AA9A" w14:textId="77777777" w:rsidR="00345EE3" w:rsidRDefault="00345EE3" w:rsidP="00D73130">
            <w:pPr>
              <w:pStyle w:val="VicPol-TableBodyLeft-2022Tables"/>
            </w:pPr>
            <w:r>
              <w:t xml:space="preserve">A significant increase or decrease in the CSO adjustment would result in a significantly lower (higher) fair value. </w:t>
            </w:r>
          </w:p>
        </w:tc>
      </w:tr>
      <w:tr w:rsidR="00345EE3" w14:paraId="033BFA89" w14:textId="77777777" w:rsidTr="00D73130">
        <w:trPr>
          <w:trHeight w:val="60"/>
        </w:trPr>
        <w:tc>
          <w:tcPr>
            <w:tcW w:w="1701" w:type="dxa"/>
            <w:vMerge/>
            <w:tcBorders>
              <w:top w:val="single" w:sz="2" w:space="0" w:color="9D9C9C"/>
              <w:left w:val="single" w:sz="6" w:space="0" w:color="000000"/>
              <w:bottom w:val="single" w:sz="2" w:space="0" w:color="9D9C9C"/>
              <w:right w:val="single" w:sz="2" w:space="0" w:color="9D9C9C"/>
            </w:tcBorders>
          </w:tcPr>
          <w:p w14:paraId="35FC2FC7" w14:textId="77777777" w:rsidR="00345EE3" w:rsidRDefault="00345EE3" w:rsidP="00D73130">
            <w:pPr>
              <w:pStyle w:val="NoParagraphStyle"/>
              <w:spacing w:line="240" w:lineRule="auto"/>
              <w:textAlignment w:val="auto"/>
              <w:rPr>
                <w:color w:val="auto"/>
              </w:rPr>
            </w:pPr>
          </w:p>
        </w:tc>
        <w:tc>
          <w:tcPr>
            <w:tcW w:w="1701" w:type="dxa"/>
            <w:vMerge w:val="restart"/>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C1A9DB" w14:textId="77777777" w:rsidR="00345EE3" w:rsidRDefault="00345EE3" w:rsidP="00D73130">
            <w:pPr>
              <w:pStyle w:val="VicPol-TableBodyLeft-2022Tables"/>
            </w:pPr>
            <w:r>
              <w:t>Current replacement cost</w:t>
            </w: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9DF1C0" w14:textId="77777777" w:rsidR="00345EE3" w:rsidRDefault="00345EE3" w:rsidP="00D73130">
            <w:pPr>
              <w:pStyle w:val="VicPol-TableBodyLeft-2022Tables"/>
            </w:pPr>
            <w:r>
              <w:t xml:space="preserve">Direct cost per square metre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503F9F" w14:textId="77777777" w:rsidR="00345EE3" w:rsidRDefault="00345EE3" w:rsidP="00D73130">
            <w:pPr>
              <w:pStyle w:val="VicPol-TableBodyLeft-2022Tables"/>
            </w:pPr>
            <w:r>
              <w:t>Range: $39 – $14,920/m</w:t>
            </w:r>
            <w:r>
              <w:rPr>
                <w:vertAlign w:val="superscript"/>
              </w:rPr>
              <w:t>2</w:t>
            </w:r>
            <w:r>
              <w:t xml:space="preserve"> </w:t>
            </w:r>
            <w:r>
              <w:br/>
              <w:t>(Avg: $1,246/m</w:t>
            </w:r>
            <w:r>
              <w:rPr>
                <w:vertAlign w:val="superscript"/>
              </w:rPr>
              <w:t>2</w:t>
            </w:r>
            <w:r>
              <w:t>)</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DA58DC0" w14:textId="77777777" w:rsidR="00345EE3" w:rsidRDefault="00345EE3" w:rsidP="00D73130">
            <w:pPr>
              <w:pStyle w:val="VicPol-TableBodyLeft-2022Tables"/>
            </w:pPr>
            <w:r>
              <w:t xml:space="preserve">A significant increase or decrease in direct cost per square metre adjustment would result in a significantly higher or lower fair value. </w:t>
            </w:r>
          </w:p>
        </w:tc>
      </w:tr>
      <w:tr w:rsidR="00345EE3" w14:paraId="37551336" w14:textId="77777777" w:rsidTr="00D73130">
        <w:trPr>
          <w:trHeight w:val="60"/>
        </w:trPr>
        <w:tc>
          <w:tcPr>
            <w:tcW w:w="1701" w:type="dxa"/>
            <w:vMerge/>
            <w:tcBorders>
              <w:top w:val="single" w:sz="2" w:space="0" w:color="9D9C9C"/>
              <w:left w:val="single" w:sz="6" w:space="0" w:color="000000"/>
              <w:bottom w:val="single" w:sz="2" w:space="0" w:color="9D9C9C"/>
              <w:right w:val="single" w:sz="2" w:space="0" w:color="9D9C9C"/>
            </w:tcBorders>
          </w:tcPr>
          <w:p w14:paraId="2F070FF2" w14:textId="77777777" w:rsidR="00345EE3" w:rsidRDefault="00345EE3" w:rsidP="00D73130">
            <w:pPr>
              <w:pStyle w:val="NoParagraphStyle"/>
              <w:spacing w:line="240" w:lineRule="auto"/>
              <w:textAlignment w:val="auto"/>
              <w:rPr>
                <w:color w:val="auto"/>
              </w:rPr>
            </w:pPr>
          </w:p>
        </w:tc>
        <w:tc>
          <w:tcPr>
            <w:tcW w:w="1701" w:type="dxa"/>
            <w:vMerge/>
            <w:tcBorders>
              <w:top w:val="single" w:sz="2" w:space="0" w:color="9D9C9C"/>
              <w:left w:val="single" w:sz="2" w:space="0" w:color="9D9C9C"/>
              <w:bottom w:val="single" w:sz="2" w:space="0" w:color="9D9C9C"/>
              <w:right w:val="single" w:sz="2" w:space="0" w:color="9D9C9C"/>
            </w:tcBorders>
          </w:tcPr>
          <w:p w14:paraId="3CFB76E8" w14:textId="77777777" w:rsidR="00345EE3" w:rsidRDefault="00345EE3" w:rsidP="00D73130">
            <w:pPr>
              <w:pStyle w:val="NoParagraphStyle"/>
              <w:spacing w:line="240" w:lineRule="auto"/>
              <w:textAlignment w:val="auto"/>
              <w:rPr>
                <w:color w:val="auto"/>
              </w:rPr>
            </w:pP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0D7169" w14:textId="77777777" w:rsidR="00345EE3" w:rsidRDefault="00345EE3" w:rsidP="00D73130">
            <w:pPr>
              <w:pStyle w:val="VicPol-TableBodyLeft-2022Tables"/>
            </w:pPr>
            <w:r>
              <w:t xml:space="preserve">Useful life of specialised buildings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C4756E" w14:textId="77777777" w:rsidR="00345EE3" w:rsidRDefault="00345EE3" w:rsidP="00D73130">
            <w:pPr>
              <w:pStyle w:val="VicPol-TableBodyLeft-2022Tables"/>
            </w:pPr>
            <w:r>
              <w:t xml:space="preserve">10-50 years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7D9BDDA" w14:textId="77777777" w:rsidR="00345EE3" w:rsidRDefault="00345EE3" w:rsidP="00D73130">
            <w:pPr>
              <w:pStyle w:val="VicPol-TableBodyLeft-2022Tables"/>
            </w:pPr>
            <w:r>
              <w:t xml:space="preserve">A significant increase or decrease in the estimated useful life of the asset would result in a significantly higher or lower valuation. </w:t>
            </w:r>
          </w:p>
        </w:tc>
      </w:tr>
      <w:tr w:rsidR="00345EE3" w14:paraId="1CC0F3C3" w14:textId="77777777" w:rsidTr="00D73130">
        <w:trPr>
          <w:trHeight w:val="60"/>
        </w:trPr>
        <w:tc>
          <w:tcPr>
            <w:tcW w:w="1701"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5CECF3D" w14:textId="77777777" w:rsidR="00345EE3" w:rsidRDefault="00345EE3" w:rsidP="00D73130">
            <w:pPr>
              <w:pStyle w:val="VicPol-TableBodyLeft-2022Tables"/>
            </w:pPr>
            <w:r>
              <w:rPr>
                <w:rStyle w:val="Heavy"/>
              </w:rPr>
              <w:t>Heritage Assets</w:t>
            </w:r>
          </w:p>
        </w:tc>
        <w:tc>
          <w:tcPr>
            <w:tcW w:w="1701" w:type="dxa"/>
            <w:vMerge w:val="restart"/>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F14214" w14:textId="77777777" w:rsidR="00345EE3" w:rsidRDefault="00345EE3" w:rsidP="00D73130">
            <w:pPr>
              <w:pStyle w:val="VicPol-TableBodyLeft-2022Tables"/>
            </w:pPr>
            <w:r>
              <w:t>Current replacement cost</w:t>
            </w: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810130" w14:textId="77777777" w:rsidR="00345EE3" w:rsidRDefault="00345EE3" w:rsidP="00D73130">
            <w:pPr>
              <w:pStyle w:val="VicPol-TableBodyLeft-2022Tables"/>
            </w:pPr>
            <w:r>
              <w:t xml:space="preserve">Direct cost per square metre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175518" w14:textId="77777777" w:rsidR="00345EE3" w:rsidRDefault="00345EE3" w:rsidP="00D73130">
            <w:pPr>
              <w:pStyle w:val="VicPol-TableBodyLeft-2022Tables"/>
            </w:pPr>
            <w:r>
              <w:t>Range: $300 – $5,986/m</w:t>
            </w:r>
            <w:r>
              <w:rPr>
                <w:vertAlign w:val="superscript"/>
              </w:rPr>
              <w:t>2</w:t>
            </w:r>
            <w:r>
              <w:t xml:space="preserve"> </w:t>
            </w:r>
            <w:r>
              <w:br/>
              <w:t>(Avg: $1,124/m</w:t>
            </w:r>
            <w:r>
              <w:rPr>
                <w:vertAlign w:val="superscript"/>
              </w:rPr>
              <w:t>2</w:t>
            </w:r>
            <w:r>
              <w:t xml:space="preserve">)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9285E92" w14:textId="77777777" w:rsidR="00345EE3" w:rsidRDefault="00345EE3" w:rsidP="00D73130">
            <w:pPr>
              <w:pStyle w:val="VicPol-TableBodyLeft-2022Tables"/>
            </w:pPr>
            <w:r>
              <w:t xml:space="preserve">A significant increase or decrease  in direct cost per square metre adjustment would result in a significantly higher or lower fair value. </w:t>
            </w:r>
          </w:p>
        </w:tc>
      </w:tr>
      <w:tr w:rsidR="00345EE3" w14:paraId="4318380C" w14:textId="77777777" w:rsidTr="00D73130">
        <w:trPr>
          <w:trHeight w:val="60"/>
        </w:trPr>
        <w:tc>
          <w:tcPr>
            <w:tcW w:w="1701" w:type="dxa"/>
            <w:vMerge/>
            <w:tcBorders>
              <w:top w:val="single" w:sz="2" w:space="0" w:color="9D9C9C"/>
              <w:left w:val="single" w:sz="6" w:space="0" w:color="000000"/>
              <w:bottom w:val="single" w:sz="2" w:space="0" w:color="9D9C9C"/>
              <w:right w:val="single" w:sz="2" w:space="0" w:color="9D9C9C"/>
            </w:tcBorders>
          </w:tcPr>
          <w:p w14:paraId="315448E5" w14:textId="77777777" w:rsidR="00345EE3" w:rsidRDefault="00345EE3" w:rsidP="00D73130">
            <w:pPr>
              <w:pStyle w:val="NoParagraphStyle"/>
              <w:spacing w:line="240" w:lineRule="auto"/>
              <w:textAlignment w:val="auto"/>
              <w:rPr>
                <w:color w:val="auto"/>
              </w:rPr>
            </w:pPr>
          </w:p>
        </w:tc>
        <w:tc>
          <w:tcPr>
            <w:tcW w:w="1701" w:type="dxa"/>
            <w:vMerge/>
            <w:tcBorders>
              <w:top w:val="single" w:sz="2" w:space="0" w:color="9D9C9C"/>
              <w:left w:val="single" w:sz="2" w:space="0" w:color="9D9C9C"/>
              <w:bottom w:val="single" w:sz="2" w:space="0" w:color="9D9C9C"/>
              <w:right w:val="single" w:sz="2" w:space="0" w:color="9D9C9C"/>
            </w:tcBorders>
          </w:tcPr>
          <w:p w14:paraId="097D56DB" w14:textId="77777777" w:rsidR="00345EE3" w:rsidRDefault="00345EE3" w:rsidP="00D73130">
            <w:pPr>
              <w:pStyle w:val="NoParagraphStyle"/>
              <w:spacing w:line="240" w:lineRule="auto"/>
              <w:textAlignment w:val="auto"/>
              <w:rPr>
                <w:color w:val="auto"/>
              </w:rPr>
            </w:pP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879C4FC" w14:textId="77777777" w:rsidR="00345EE3" w:rsidRDefault="00345EE3" w:rsidP="00D73130">
            <w:pPr>
              <w:pStyle w:val="VicPol-TableBodyLeft-2022Tables"/>
            </w:pPr>
            <w:r>
              <w:t xml:space="preserve">Useful life of heritage assets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286BE94" w14:textId="77777777" w:rsidR="00345EE3" w:rsidRDefault="00345EE3" w:rsidP="00D73130">
            <w:pPr>
              <w:pStyle w:val="VicPol-TableBodyLeft-2022Tables"/>
            </w:pPr>
            <w:r>
              <w:t xml:space="preserve">18–50 years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64A1518" w14:textId="77777777" w:rsidR="00345EE3" w:rsidRDefault="00345EE3" w:rsidP="00D73130">
            <w:pPr>
              <w:pStyle w:val="VicPol-TableBodyLeft-2022Tables"/>
            </w:pPr>
            <w:r>
              <w:t xml:space="preserve">A significant increase or decrease in the estimated useful life of the asset would result in a significantly higher or lower valuation. </w:t>
            </w:r>
          </w:p>
        </w:tc>
      </w:tr>
      <w:tr w:rsidR="00345EE3" w14:paraId="45912EF7" w14:textId="77777777" w:rsidTr="00D73130">
        <w:trPr>
          <w:trHeight w:val="60"/>
        </w:trPr>
        <w:tc>
          <w:tcPr>
            <w:tcW w:w="1701"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32B07A4" w14:textId="77777777" w:rsidR="00345EE3" w:rsidRDefault="00345EE3" w:rsidP="00D73130">
            <w:pPr>
              <w:pStyle w:val="VicPol-TableBodyLeft-2022Tables"/>
            </w:pPr>
            <w:r>
              <w:rPr>
                <w:rStyle w:val="Heavy"/>
              </w:rPr>
              <w:t>Leasehold Improvements</w:t>
            </w:r>
          </w:p>
        </w:tc>
        <w:tc>
          <w:tcPr>
            <w:tcW w:w="1701" w:type="dxa"/>
            <w:vMerge w:val="restart"/>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4D0EBE7" w14:textId="77777777" w:rsidR="00345EE3" w:rsidRDefault="00345EE3" w:rsidP="00D73130">
            <w:pPr>
              <w:pStyle w:val="VicPol-TableBodyLeft-2022Tables"/>
            </w:pPr>
            <w:r>
              <w:t>Current replacement cost</w:t>
            </w: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F6E825" w14:textId="77777777" w:rsidR="00345EE3" w:rsidRDefault="00345EE3" w:rsidP="00D73130">
            <w:pPr>
              <w:pStyle w:val="VicPol-TableBodyLeft-2022Tables"/>
            </w:pPr>
            <w:r>
              <w:t xml:space="preserve">Cost per lease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348438" w14:textId="77777777" w:rsidR="00345EE3" w:rsidRDefault="00345EE3" w:rsidP="00D73130">
            <w:pPr>
              <w:pStyle w:val="VicPol-TableBodyLeft-2022Tables"/>
            </w:pPr>
            <w:r>
              <w:t xml:space="preserve">Range: $149 – $46,859,555 </w:t>
            </w:r>
          </w:p>
          <w:p w14:paraId="7DC13BB2" w14:textId="77777777" w:rsidR="00345EE3" w:rsidRDefault="00345EE3" w:rsidP="00D73130">
            <w:pPr>
              <w:pStyle w:val="VicPol-TableBodyLeft-2022Tables"/>
            </w:pPr>
            <w:r>
              <w:t xml:space="preserve">(Avg: $1,036,620 per lease)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91C1652" w14:textId="77777777" w:rsidR="00345EE3" w:rsidRDefault="00345EE3" w:rsidP="00D73130">
            <w:pPr>
              <w:pStyle w:val="VicPol-TableBodyLeft-2022Tables"/>
            </w:pPr>
            <w:r>
              <w:t xml:space="preserve">A significant increase or decrease in cost per lease would result in a significantly higher or lower fair value. </w:t>
            </w:r>
          </w:p>
        </w:tc>
      </w:tr>
      <w:tr w:rsidR="00345EE3" w14:paraId="03CAFF5F" w14:textId="77777777" w:rsidTr="00D73130">
        <w:trPr>
          <w:trHeight w:val="60"/>
        </w:trPr>
        <w:tc>
          <w:tcPr>
            <w:tcW w:w="1701" w:type="dxa"/>
            <w:vMerge/>
            <w:tcBorders>
              <w:top w:val="single" w:sz="2" w:space="0" w:color="9D9C9C"/>
              <w:left w:val="single" w:sz="6" w:space="0" w:color="000000"/>
              <w:bottom w:val="single" w:sz="2" w:space="0" w:color="9D9C9C"/>
              <w:right w:val="single" w:sz="2" w:space="0" w:color="9D9C9C"/>
            </w:tcBorders>
          </w:tcPr>
          <w:p w14:paraId="6DC39836" w14:textId="77777777" w:rsidR="00345EE3" w:rsidRDefault="00345EE3" w:rsidP="00D73130">
            <w:pPr>
              <w:pStyle w:val="NoParagraphStyle"/>
              <w:spacing w:line="240" w:lineRule="auto"/>
              <w:textAlignment w:val="auto"/>
              <w:rPr>
                <w:color w:val="auto"/>
              </w:rPr>
            </w:pPr>
          </w:p>
        </w:tc>
        <w:tc>
          <w:tcPr>
            <w:tcW w:w="1701" w:type="dxa"/>
            <w:vMerge/>
            <w:tcBorders>
              <w:top w:val="single" w:sz="2" w:space="0" w:color="9D9C9C"/>
              <w:left w:val="single" w:sz="2" w:space="0" w:color="9D9C9C"/>
              <w:bottom w:val="single" w:sz="2" w:space="0" w:color="9D9C9C"/>
              <w:right w:val="single" w:sz="2" w:space="0" w:color="9D9C9C"/>
            </w:tcBorders>
          </w:tcPr>
          <w:p w14:paraId="03B351B2" w14:textId="77777777" w:rsidR="00345EE3" w:rsidRDefault="00345EE3" w:rsidP="00D73130">
            <w:pPr>
              <w:pStyle w:val="NoParagraphStyle"/>
              <w:spacing w:line="240" w:lineRule="auto"/>
              <w:textAlignment w:val="auto"/>
              <w:rPr>
                <w:color w:val="auto"/>
              </w:rPr>
            </w:pP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51D9BB" w14:textId="77777777" w:rsidR="00345EE3" w:rsidRDefault="00345EE3" w:rsidP="00D73130">
            <w:pPr>
              <w:pStyle w:val="VicPol-TableBodyLeft-2022Tables"/>
            </w:pPr>
            <w:r>
              <w:t xml:space="preserve">Lease period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C1A9A07" w14:textId="77777777" w:rsidR="00345EE3" w:rsidRDefault="00345EE3" w:rsidP="00D73130">
            <w:pPr>
              <w:pStyle w:val="VicPol-TableBodyLeft-2022Tables"/>
            </w:pPr>
            <w:r>
              <w:t xml:space="preserve">1–30 years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393AFC5" w14:textId="77777777" w:rsidR="00345EE3" w:rsidRDefault="00345EE3" w:rsidP="00D73130">
            <w:pPr>
              <w:pStyle w:val="VicPol-TableBodyLeft-2022Tables"/>
            </w:pPr>
            <w:r>
              <w:t xml:space="preserve">A significant increase or decrease in the estimated useful life of the asset would result in a significantly higher or lower valuation. </w:t>
            </w:r>
          </w:p>
        </w:tc>
      </w:tr>
      <w:tr w:rsidR="00345EE3" w14:paraId="5FFC03A2" w14:textId="77777777" w:rsidTr="00D73130">
        <w:trPr>
          <w:trHeight w:val="60"/>
        </w:trPr>
        <w:tc>
          <w:tcPr>
            <w:tcW w:w="1701"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DB39B15" w14:textId="77777777" w:rsidR="00345EE3" w:rsidRDefault="00345EE3" w:rsidP="00D73130">
            <w:pPr>
              <w:pStyle w:val="VicPol-TableBodyLeft-2022Tables"/>
            </w:pPr>
            <w:r>
              <w:rPr>
                <w:rStyle w:val="Heavy"/>
              </w:rPr>
              <w:t>Plant and Equipment</w:t>
            </w:r>
          </w:p>
        </w:tc>
        <w:tc>
          <w:tcPr>
            <w:tcW w:w="1701" w:type="dxa"/>
            <w:vMerge w:val="restart"/>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51379E" w14:textId="77777777" w:rsidR="00345EE3" w:rsidRDefault="00345EE3" w:rsidP="00D73130">
            <w:pPr>
              <w:pStyle w:val="VicPol-TableBodyLeft-2022Tables"/>
            </w:pPr>
            <w:r>
              <w:t>Current replacement cost</w:t>
            </w: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CF6AB5" w14:textId="77777777" w:rsidR="00345EE3" w:rsidRDefault="00345EE3" w:rsidP="00D73130">
            <w:pPr>
              <w:pStyle w:val="VicPol-TableBodyLeft-2022Tables"/>
            </w:pPr>
            <w:r>
              <w:t xml:space="preserve">Cost per unit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3D9871" w14:textId="77777777" w:rsidR="00345EE3" w:rsidRDefault="00345EE3" w:rsidP="00D73130">
            <w:pPr>
              <w:pStyle w:val="VicPol-TableBodyLeft-2022Tables"/>
            </w:pPr>
            <w:r>
              <w:t xml:space="preserve">Range: $43 – $6,854,166 </w:t>
            </w:r>
          </w:p>
          <w:p w14:paraId="020DF61B" w14:textId="77777777" w:rsidR="00345EE3" w:rsidRDefault="00345EE3" w:rsidP="00D73130">
            <w:pPr>
              <w:pStyle w:val="VicPol-TableBodyLeft-2022Tables"/>
            </w:pPr>
            <w:r>
              <w:t xml:space="preserve">(Avg: $23,228 </w:t>
            </w:r>
            <w:r>
              <w:br/>
              <w:t xml:space="preserve">per unit)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CA70F1F" w14:textId="77777777" w:rsidR="00345EE3" w:rsidRDefault="00345EE3" w:rsidP="00D73130">
            <w:pPr>
              <w:pStyle w:val="VicPol-TableBodyLeft-2022Tables"/>
            </w:pPr>
            <w:r>
              <w:t xml:space="preserve">A significant increase or decrease in cost per unit would result in a significantly higher or lower fair value. </w:t>
            </w:r>
          </w:p>
        </w:tc>
      </w:tr>
      <w:tr w:rsidR="00345EE3" w14:paraId="133EAD35" w14:textId="77777777" w:rsidTr="00D73130">
        <w:trPr>
          <w:trHeight w:val="60"/>
        </w:trPr>
        <w:tc>
          <w:tcPr>
            <w:tcW w:w="1701" w:type="dxa"/>
            <w:vMerge/>
            <w:tcBorders>
              <w:top w:val="single" w:sz="2" w:space="0" w:color="9D9C9C"/>
              <w:left w:val="single" w:sz="6" w:space="0" w:color="000000"/>
              <w:bottom w:val="single" w:sz="2" w:space="0" w:color="9D9C9C"/>
              <w:right w:val="single" w:sz="2" w:space="0" w:color="9D9C9C"/>
            </w:tcBorders>
          </w:tcPr>
          <w:p w14:paraId="622459DB" w14:textId="77777777" w:rsidR="00345EE3" w:rsidRDefault="00345EE3" w:rsidP="00D73130">
            <w:pPr>
              <w:pStyle w:val="NoParagraphStyle"/>
              <w:spacing w:line="240" w:lineRule="auto"/>
              <w:textAlignment w:val="auto"/>
              <w:rPr>
                <w:color w:val="auto"/>
              </w:rPr>
            </w:pPr>
          </w:p>
        </w:tc>
        <w:tc>
          <w:tcPr>
            <w:tcW w:w="1701" w:type="dxa"/>
            <w:vMerge/>
            <w:tcBorders>
              <w:top w:val="single" w:sz="2" w:space="0" w:color="9D9C9C"/>
              <w:left w:val="single" w:sz="2" w:space="0" w:color="9D9C9C"/>
              <w:bottom w:val="single" w:sz="2" w:space="0" w:color="9D9C9C"/>
              <w:right w:val="single" w:sz="2" w:space="0" w:color="9D9C9C"/>
            </w:tcBorders>
          </w:tcPr>
          <w:p w14:paraId="27981800" w14:textId="77777777" w:rsidR="00345EE3" w:rsidRDefault="00345EE3" w:rsidP="00D73130">
            <w:pPr>
              <w:pStyle w:val="NoParagraphStyle"/>
              <w:spacing w:line="240" w:lineRule="auto"/>
              <w:textAlignment w:val="auto"/>
              <w:rPr>
                <w:color w:val="auto"/>
              </w:rPr>
            </w:pP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DD91FE" w14:textId="77777777" w:rsidR="00345EE3" w:rsidRDefault="00345EE3" w:rsidP="00D73130">
            <w:pPr>
              <w:pStyle w:val="VicPol-TableBodyLeft-2022Tables"/>
            </w:pPr>
            <w:r>
              <w:t xml:space="preserve">Useful life of plant and equipment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367685" w14:textId="77777777" w:rsidR="00345EE3" w:rsidRDefault="00345EE3" w:rsidP="00D73130">
            <w:pPr>
              <w:pStyle w:val="VicPol-TableBodyLeft-2022Tables"/>
            </w:pPr>
            <w:r>
              <w:t xml:space="preserve">2–40 years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76D9D78" w14:textId="77777777" w:rsidR="00345EE3" w:rsidRDefault="00345EE3" w:rsidP="00D73130">
            <w:pPr>
              <w:pStyle w:val="VicPol-TableBodyLeft-2022Tables"/>
            </w:pPr>
            <w:r>
              <w:t xml:space="preserve">A significant increase or decrease in the estimated useful life of the asset would result in a significantly higher or lower valuation. </w:t>
            </w:r>
          </w:p>
        </w:tc>
      </w:tr>
      <w:tr w:rsidR="00345EE3" w14:paraId="33613580" w14:textId="77777777" w:rsidTr="00D73130">
        <w:trPr>
          <w:trHeight w:val="60"/>
        </w:trPr>
        <w:tc>
          <w:tcPr>
            <w:tcW w:w="1701"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6878EF6" w14:textId="77777777" w:rsidR="00345EE3" w:rsidRDefault="00345EE3" w:rsidP="00D73130">
            <w:pPr>
              <w:pStyle w:val="VicPol-TableBodyLeft-2022Tables"/>
            </w:pPr>
            <w:r>
              <w:rPr>
                <w:rStyle w:val="Heavy"/>
              </w:rPr>
              <w:t>Cultural Artworks</w:t>
            </w:r>
          </w:p>
        </w:tc>
        <w:tc>
          <w:tcPr>
            <w:tcW w:w="1701" w:type="dxa"/>
            <w:vMerge w:val="restart"/>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8462DB" w14:textId="77777777" w:rsidR="00345EE3" w:rsidRDefault="00345EE3" w:rsidP="00D73130">
            <w:pPr>
              <w:pStyle w:val="VicPol-TableBodyLeft-2022Tables"/>
            </w:pPr>
            <w:r>
              <w:t>Market approach</w:t>
            </w: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D1768C" w14:textId="77777777" w:rsidR="00345EE3" w:rsidRDefault="00345EE3" w:rsidP="00D73130">
            <w:pPr>
              <w:pStyle w:val="VicPol-TableBodyLeft-2022Tables"/>
            </w:pPr>
            <w:r>
              <w:t xml:space="preserve">Cost per unit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CBDD6F8" w14:textId="77777777" w:rsidR="00345EE3" w:rsidRDefault="00345EE3" w:rsidP="00D73130">
            <w:pPr>
              <w:pStyle w:val="VicPol-TableBodyLeft-2022Tables"/>
            </w:pPr>
            <w:r>
              <w:t xml:space="preserve">Range: $1,500 – $2,400,000 </w:t>
            </w:r>
            <w:r>
              <w:br/>
              <w:t>(Avg: $188,856 per unit)</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9EC901A" w14:textId="77777777" w:rsidR="00345EE3" w:rsidRDefault="00345EE3" w:rsidP="00D73130">
            <w:pPr>
              <w:pStyle w:val="VicPol-TableBodyLeft-2022Tables"/>
            </w:pPr>
            <w:r>
              <w:t xml:space="preserve">A significant increase or decrease in cost per unit would result in a significantly higher or lower fair value. </w:t>
            </w:r>
          </w:p>
        </w:tc>
      </w:tr>
      <w:tr w:rsidR="00345EE3" w14:paraId="5CFCA525" w14:textId="77777777" w:rsidTr="00D73130">
        <w:trPr>
          <w:trHeight w:val="60"/>
        </w:trPr>
        <w:tc>
          <w:tcPr>
            <w:tcW w:w="1701" w:type="dxa"/>
            <w:vMerge/>
            <w:tcBorders>
              <w:top w:val="single" w:sz="2" w:space="0" w:color="9D9C9C"/>
              <w:left w:val="single" w:sz="6" w:space="0" w:color="000000"/>
              <w:bottom w:val="single" w:sz="2" w:space="0" w:color="9D9C9C"/>
              <w:right w:val="single" w:sz="2" w:space="0" w:color="9D9C9C"/>
            </w:tcBorders>
          </w:tcPr>
          <w:p w14:paraId="334E333C" w14:textId="77777777" w:rsidR="00345EE3" w:rsidRDefault="00345EE3" w:rsidP="00D73130">
            <w:pPr>
              <w:pStyle w:val="NoParagraphStyle"/>
              <w:spacing w:line="240" w:lineRule="auto"/>
              <w:textAlignment w:val="auto"/>
              <w:rPr>
                <w:color w:val="auto"/>
              </w:rPr>
            </w:pPr>
          </w:p>
        </w:tc>
        <w:tc>
          <w:tcPr>
            <w:tcW w:w="1701" w:type="dxa"/>
            <w:vMerge/>
            <w:tcBorders>
              <w:top w:val="single" w:sz="2" w:space="0" w:color="9D9C9C"/>
              <w:left w:val="single" w:sz="2" w:space="0" w:color="9D9C9C"/>
              <w:bottom w:val="single" w:sz="2" w:space="0" w:color="9D9C9C"/>
              <w:right w:val="single" w:sz="2" w:space="0" w:color="9D9C9C"/>
            </w:tcBorders>
          </w:tcPr>
          <w:p w14:paraId="5A10666D" w14:textId="77777777" w:rsidR="00345EE3" w:rsidRDefault="00345EE3" w:rsidP="00D73130">
            <w:pPr>
              <w:pStyle w:val="NoParagraphStyle"/>
              <w:spacing w:line="240" w:lineRule="auto"/>
              <w:textAlignment w:val="auto"/>
              <w:rPr>
                <w:color w:val="auto"/>
              </w:rPr>
            </w:pP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2365770" w14:textId="77777777" w:rsidR="00345EE3" w:rsidRDefault="00345EE3" w:rsidP="00D73130">
            <w:pPr>
              <w:pStyle w:val="VicPol-TableBodyLeft-2022Tables"/>
            </w:pPr>
            <w:r>
              <w:t xml:space="preserve">Useful life of cultural artworks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C5367C" w14:textId="77777777" w:rsidR="00345EE3" w:rsidRDefault="00345EE3" w:rsidP="00D73130">
            <w:pPr>
              <w:pStyle w:val="VicPol-TableBodyLeft-2022Tables"/>
            </w:pPr>
            <w:r>
              <w:t xml:space="preserve">23–100 years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DC801DF" w14:textId="77777777" w:rsidR="00345EE3" w:rsidRDefault="00345EE3" w:rsidP="00D73130">
            <w:pPr>
              <w:pStyle w:val="VicPol-TableBodyLeft-2022Tables"/>
            </w:pPr>
            <w:r>
              <w:t xml:space="preserve">A significant increase or decrease in the estimated useful life of the asset would result in a significantly higher or lower valuation. </w:t>
            </w:r>
          </w:p>
        </w:tc>
      </w:tr>
    </w:tbl>
    <w:p w14:paraId="6358742D" w14:textId="77777777" w:rsidR="00345EE3" w:rsidRPr="00221494" w:rsidRDefault="00345EE3" w:rsidP="00345EE3">
      <w:pPr>
        <w:spacing w:before="90"/>
        <w:ind w:left="110"/>
        <w:rPr>
          <w:rFonts w:ascii="Arial-BoldItalicMT"/>
          <w:b/>
          <w:i/>
          <w:sz w:val="18"/>
          <w:szCs w:val="18"/>
        </w:rPr>
      </w:pPr>
      <w:r w:rsidRPr="00221494">
        <w:rPr>
          <w:rFonts w:ascii="Arial-BoldItalicMT"/>
          <w:b/>
          <w:i/>
          <w:color w:val="231F20"/>
          <w:spacing w:val="-2"/>
          <w:sz w:val="18"/>
          <w:szCs w:val="18"/>
        </w:rPr>
        <w:t>Note:</w:t>
      </w:r>
    </w:p>
    <w:p w14:paraId="536DC63A" w14:textId="77777777" w:rsidR="00345EE3" w:rsidRPr="00221494" w:rsidRDefault="00345EE3" w:rsidP="00345EE3">
      <w:pPr>
        <w:spacing w:before="27"/>
        <w:ind w:left="110"/>
        <w:rPr>
          <w:sz w:val="18"/>
          <w:szCs w:val="18"/>
        </w:rPr>
      </w:pPr>
      <w:r w:rsidRPr="00221494">
        <w:rPr>
          <w:color w:val="231F20"/>
          <w:sz w:val="18"/>
          <w:szCs w:val="18"/>
        </w:rPr>
        <w:t>Significant</w:t>
      </w:r>
      <w:r w:rsidRPr="00221494">
        <w:rPr>
          <w:color w:val="231F20"/>
          <w:spacing w:val="-1"/>
          <w:sz w:val="18"/>
          <w:szCs w:val="18"/>
        </w:rPr>
        <w:t xml:space="preserve"> </w:t>
      </w:r>
      <w:r w:rsidRPr="00221494">
        <w:rPr>
          <w:color w:val="231F20"/>
          <w:sz w:val="18"/>
          <w:szCs w:val="18"/>
        </w:rPr>
        <w:t>unobservable</w:t>
      </w:r>
      <w:r w:rsidRPr="00221494">
        <w:rPr>
          <w:color w:val="231F20"/>
          <w:spacing w:val="-1"/>
          <w:sz w:val="18"/>
          <w:szCs w:val="18"/>
        </w:rPr>
        <w:t xml:space="preserve"> </w:t>
      </w:r>
      <w:r w:rsidRPr="00221494">
        <w:rPr>
          <w:color w:val="231F20"/>
          <w:sz w:val="18"/>
          <w:szCs w:val="18"/>
        </w:rPr>
        <w:t>inputs</w:t>
      </w:r>
      <w:r w:rsidRPr="00221494">
        <w:rPr>
          <w:color w:val="231F20"/>
          <w:spacing w:val="-1"/>
          <w:sz w:val="18"/>
          <w:szCs w:val="18"/>
        </w:rPr>
        <w:t xml:space="preserve"> </w:t>
      </w:r>
      <w:r w:rsidRPr="00221494">
        <w:rPr>
          <w:color w:val="231F20"/>
          <w:sz w:val="18"/>
          <w:szCs w:val="18"/>
        </w:rPr>
        <w:t>have</w:t>
      </w:r>
      <w:r w:rsidRPr="00221494">
        <w:rPr>
          <w:color w:val="231F20"/>
          <w:spacing w:val="-1"/>
          <w:sz w:val="18"/>
          <w:szCs w:val="18"/>
        </w:rPr>
        <w:t xml:space="preserve"> </w:t>
      </w:r>
      <w:r w:rsidRPr="00221494">
        <w:rPr>
          <w:color w:val="231F20"/>
          <w:sz w:val="18"/>
          <w:szCs w:val="18"/>
        </w:rPr>
        <w:t>remained</w:t>
      </w:r>
      <w:r w:rsidRPr="00221494">
        <w:rPr>
          <w:color w:val="231F20"/>
          <w:spacing w:val="-1"/>
          <w:sz w:val="18"/>
          <w:szCs w:val="18"/>
        </w:rPr>
        <w:t xml:space="preserve"> </w:t>
      </w:r>
      <w:r w:rsidRPr="00221494">
        <w:rPr>
          <w:color w:val="231F20"/>
          <w:sz w:val="18"/>
          <w:szCs w:val="18"/>
        </w:rPr>
        <w:t>unchanged</w:t>
      </w:r>
      <w:r w:rsidRPr="00221494">
        <w:rPr>
          <w:color w:val="231F20"/>
          <w:spacing w:val="-1"/>
          <w:sz w:val="18"/>
          <w:szCs w:val="18"/>
        </w:rPr>
        <w:t xml:space="preserve"> </w:t>
      </w:r>
      <w:r w:rsidRPr="00221494">
        <w:rPr>
          <w:color w:val="231F20"/>
          <w:sz w:val="18"/>
          <w:szCs w:val="18"/>
        </w:rPr>
        <w:t>since</w:t>
      </w:r>
      <w:r w:rsidRPr="00221494">
        <w:rPr>
          <w:color w:val="231F20"/>
          <w:spacing w:val="-1"/>
          <w:sz w:val="18"/>
          <w:szCs w:val="18"/>
        </w:rPr>
        <w:t xml:space="preserve"> </w:t>
      </w:r>
      <w:r w:rsidRPr="00221494">
        <w:rPr>
          <w:color w:val="231F20"/>
          <w:sz w:val="18"/>
          <w:szCs w:val="18"/>
        </w:rPr>
        <w:t>30</w:t>
      </w:r>
      <w:r w:rsidRPr="00221494">
        <w:rPr>
          <w:color w:val="231F20"/>
          <w:spacing w:val="-1"/>
          <w:sz w:val="18"/>
          <w:szCs w:val="18"/>
        </w:rPr>
        <w:t xml:space="preserve"> </w:t>
      </w:r>
      <w:r w:rsidRPr="00221494">
        <w:rPr>
          <w:color w:val="231F20"/>
          <w:sz w:val="18"/>
          <w:szCs w:val="18"/>
        </w:rPr>
        <w:t>June</w:t>
      </w:r>
      <w:r w:rsidRPr="00221494">
        <w:rPr>
          <w:color w:val="231F20"/>
          <w:spacing w:val="-1"/>
          <w:sz w:val="18"/>
          <w:szCs w:val="18"/>
        </w:rPr>
        <w:t xml:space="preserve"> </w:t>
      </w:r>
      <w:r w:rsidRPr="00221494">
        <w:rPr>
          <w:color w:val="231F20"/>
          <w:spacing w:val="-4"/>
          <w:sz w:val="18"/>
          <w:szCs w:val="18"/>
        </w:rPr>
        <w:t>2021.</w:t>
      </w:r>
    </w:p>
    <w:p w14:paraId="355A7DC8" w14:textId="77777777" w:rsidR="00345EE3" w:rsidRDefault="00345EE3" w:rsidP="00345EE3">
      <w:pPr>
        <w:rPr>
          <w:sz w:val="14"/>
        </w:rPr>
        <w:sectPr w:rsidR="00345EE3">
          <w:pgSz w:w="16840" w:h="11910" w:orient="landscape"/>
          <w:pgMar w:top="820" w:right="740" w:bottom="280" w:left="740" w:header="720" w:footer="720" w:gutter="0"/>
          <w:cols w:space="720"/>
        </w:sectPr>
      </w:pPr>
    </w:p>
    <w:p w14:paraId="6B982BE8" w14:textId="77777777" w:rsidR="00345EE3" w:rsidRPr="00672E89" w:rsidRDefault="00345EE3">
      <w:pPr>
        <w:pStyle w:val="Heading2"/>
        <w:numPr>
          <w:ilvl w:val="0"/>
          <w:numId w:val="44"/>
        </w:numPr>
        <w:tabs>
          <w:tab w:val="left" w:pos="460"/>
        </w:tabs>
        <w:ind w:left="459" w:hanging="350"/>
        <w:rPr>
          <w:sz w:val="32"/>
          <w:szCs w:val="32"/>
        </w:rPr>
      </w:pPr>
      <w:r w:rsidRPr="00672E89">
        <w:rPr>
          <w:color w:val="00529F"/>
          <w:sz w:val="32"/>
          <w:szCs w:val="32"/>
        </w:rPr>
        <w:t>Other</w:t>
      </w:r>
      <w:r w:rsidRPr="00672E89">
        <w:rPr>
          <w:color w:val="00529F"/>
          <w:spacing w:val="-6"/>
          <w:sz w:val="32"/>
          <w:szCs w:val="32"/>
        </w:rPr>
        <w:t xml:space="preserve"> </w:t>
      </w:r>
      <w:r w:rsidRPr="00672E89">
        <w:rPr>
          <w:color w:val="00529F"/>
          <w:spacing w:val="-2"/>
          <w:sz w:val="32"/>
          <w:szCs w:val="32"/>
        </w:rPr>
        <w:t>Disclosures</w:t>
      </w:r>
    </w:p>
    <w:p w14:paraId="47D963B5" w14:textId="77777777" w:rsidR="00345EE3" w:rsidRDefault="00345EE3" w:rsidP="002A27BA">
      <w:pPr>
        <w:pStyle w:val="Heading3"/>
      </w:pPr>
      <w:r>
        <w:t>Introduction</w:t>
      </w:r>
    </w:p>
    <w:p w14:paraId="79D2FD7A" w14:textId="77777777" w:rsidR="00345EE3" w:rsidRDefault="00345EE3" w:rsidP="00345EE3">
      <w:pPr>
        <w:pStyle w:val="BodyText"/>
        <w:spacing w:before="52" w:line="242" w:lineRule="auto"/>
      </w:pPr>
      <w:r>
        <w:rPr>
          <w:color w:val="231F20"/>
        </w:rPr>
        <w:t>This</w:t>
      </w:r>
      <w:r>
        <w:rPr>
          <w:color w:val="231F20"/>
          <w:spacing w:val="-12"/>
        </w:rPr>
        <w:t xml:space="preserve"> </w:t>
      </w:r>
      <w:r>
        <w:rPr>
          <w:color w:val="231F20"/>
        </w:rPr>
        <w:t>section</w:t>
      </w:r>
      <w:r>
        <w:rPr>
          <w:color w:val="231F20"/>
          <w:spacing w:val="-12"/>
        </w:rPr>
        <w:t xml:space="preserve"> </w:t>
      </w:r>
      <w:r>
        <w:rPr>
          <w:color w:val="231F20"/>
        </w:rPr>
        <w:t>includes</w:t>
      </w:r>
      <w:r>
        <w:rPr>
          <w:color w:val="231F20"/>
          <w:spacing w:val="-12"/>
        </w:rPr>
        <w:t xml:space="preserve"> </w:t>
      </w:r>
      <w:r>
        <w:rPr>
          <w:color w:val="231F20"/>
        </w:rPr>
        <w:t>those</w:t>
      </w:r>
      <w:r>
        <w:rPr>
          <w:color w:val="231F20"/>
          <w:spacing w:val="-12"/>
        </w:rPr>
        <w:t xml:space="preserve"> </w:t>
      </w:r>
      <w:r>
        <w:rPr>
          <w:color w:val="231F20"/>
        </w:rPr>
        <w:t>additional</w:t>
      </w:r>
      <w:r>
        <w:rPr>
          <w:color w:val="231F20"/>
          <w:spacing w:val="-12"/>
        </w:rPr>
        <w:t xml:space="preserve"> </w:t>
      </w:r>
      <w:r>
        <w:rPr>
          <w:color w:val="231F20"/>
        </w:rPr>
        <w:t>disclosures</w:t>
      </w:r>
      <w:r>
        <w:rPr>
          <w:color w:val="231F20"/>
          <w:spacing w:val="-12"/>
        </w:rPr>
        <w:t xml:space="preserve"> </w:t>
      </w:r>
      <w:r>
        <w:rPr>
          <w:color w:val="231F20"/>
        </w:rPr>
        <w:t>required</w:t>
      </w:r>
      <w:r>
        <w:rPr>
          <w:color w:val="231F20"/>
          <w:spacing w:val="-12"/>
        </w:rPr>
        <w:t xml:space="preserve"> </w:t>
      </w:r>
      <w:r>
        <w:rPr>
          <w:color w:val="231F20"/>
        </w:rPr>
        <w:t>by</w:t>
      </w:r>
      <w:r>
        <w:rPr>
          <w:color w:val="231F20"/>
          <w:spacing w:val="-12"/>
        </w:rPr>
        <w:t xml:space="preserve"> </w:t>
      </w:r>
      <w:r>
        <w:rPr>
          <w:color w:val="231F20"/>
        </w:rPr>
        <w:t>accounting</w:t>
      </w:r>
      <w:r>
        <w:rPr>
          <w:color w:val="231F20"/>
          <w:spacing w:val="-12"/>
        </w:rPr>
        <w:t xml:space="preserve"> </w:t>
      </w:r>
      <w:r>
        <w:rPr>
          <w:color w:val="231F20"/>
        </w:rPr>
        <w:t>standards</w:t>
      </w:r>
      <w:r>
        <w:rPr>
          <w:color w:val="231F20"/>
          <w:spacing w:val="-12"/>
        </w:rPr>
        <w:t xml:space="preserve"> </w:t>
      </w:r>
      <w:r>
        <w:rPr>
          <w:color w:val="231F20"/>
        </w:rPr>
        <w:t>or</w:t>
      </w:r>
      <w:r>
        <w:rPr>
          <w:color w:val="231F20"/>
          <w:spacing w:val="-12"/>
        </w:rPr>
        <w:t xml:space="preserve"> </w:t>
      </w:r>
      <w:r>
        <w:rPr>
          <w:color w:val="231F20"/>
        </w:rPr>
        <w:t>otherwise, that are material for the understanding of this financial report.</w:t>
      </w:r>
    </w:p>
    <w:p w14:paraId="2E5332A6" w14:textId="77777777" w:rsidR="00345EE3" w:rsidRDefault="00345EE3" w:rsidP="00345EE3">
      <w:pPr>
        <w:pStyle w:val="BodyText"/>
        <w:spacing w:before="1"/>
        <w:rPr>
          <w:sz w:val="12"/>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34"/>
        <w:gridCol w:w="7937"/>
        <w:gridCol w:w="1134"/>
      </w:tblGrid>
      <w:tr w:rsidR="00345EE3" w14:paraId="58F1E609" w14:textId="77777777" w:rsidTr="00D73130">
        <w:trPr>
          <w:trHeight w:val="401"/>
        </w:trPr>
        <w:tc>
          <w:tcPr>
            <w:tcW w:w="1134" w:type="dxa"/>
            <w:tcBorders>
              <w:top w:val="nil"/>
              <w:left w:val="nil"/>
              <w:bottom w:val="nil"/>
              <w:right w:val="nil"/>
            </w:tcBorders>
            <w:shd w:val="clear" w:color="auto" w:fill="00529F"/>
          </w:tcPr>
          <w:p w14:paraId="48CAD190" w14:textId="77777777" w:rsidR="00345EE3" w:rsidRDefault="00345EE3" w:rsidP="00D73130">
            <w:pPr>
              <w:pStyle w:val="TableParagraph"/>
              <w:spacing w:before="63"/>
              <w:jc w:val="left"/>
              <w:rPr>
                <w:b/>
                <w:sz w:val="24"/>
              </w:rPr>
            </w:pPr>
            <w:r>
              <w:rPr>
                <w:b/>
                <w:color w:val="FFFFFF"/>
                <w:spacing w:val="-2"/>
                <w:sz w:val="24"/>
              </w:rPr>
              <w:t>Structure</w:t>
            </w:r>
          </w:p>
        </w:tc>
        <w:tc>
          <w:tcPr>
            <w:tcW w:w="7937" w:type="dxa"/>
            <w:tcBorders>
              <w:top w:val="nil"/>
              <w:left w:val="nil"/>
              <w:bottom w:val="nil"/>
              <w:right w:val="nil"/>
            </w:tcBorders>
            <w:shd w:val="clear" w:color="auto" w:fill="00529F"/>
          </w:tcPr>
          <w:p w14:paraId="27D65130"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63F56A0A" w14:textId="77777777" w:rsidR="00345EE3" w:rsidRDefault="00345EE3" w:rsidP="00D73130">
            <w:pPr>
              <w:pStyle w:val="TableParagraph"/>
              <w:spacing w:before="63"/>
              <w:rPr>
                <w:b/>
                <w:sz w:val="24"/>
              </w:rPr>
            </w:pPr>
            <w:r>
              <w:rPr>
                <w:b/>
                <w:color w:val="FFFFFF"/>
                <w:spacing w:val="-2"/>
                <w:sz w:val="24"/>
              </w:rPr>
              <w:t>Pages</w:t>
            </w:r>
          </w:p>
        </w:tc>
      </w:tr>
      <w:tr w:rsidR="00345EE3" w14:paraId="374CCA83" w14:textId="77777777" w:rsidTr="00D73130">
        <w:trPr>
          <w:trHeight w:val="396"/>
        </w:trPr>
        <w:tc>
          <w:tcPr>
            <w:tcW w:w="1134" w:type="dxa"/>
            <w:tcBorders>
              <w:top w:val="nil"/>
              <w:left w:val="nil"/>
            </w:tcBorders>
          </w:tcPr>
          <w:p w14:paraId="5312D065" w14:textId="77777777" w:rsidR="00345EE3" w:rsidRDefault="00345EE3" w:rsidP="00D73130">
            <w:pPr>
              <w:pStyle w:val="TableParagraph"/>
              <w:ind w:left="-3"/>
              <w:jc w:val="left"/>
              <w:rPr>
                <w:sz w:val="24"/>
              </w:rPr>
            </w:pPr>
            <w:r>
              <w:rPr>
                <w:color w:val="231F20"/>
                <w:spacing w:val="-5"/>
                <w:sz w:val="24"/>
              </w:rPr>
              <w:t>9.1</w:t>
            </w:r>
          </w:p>
        </w:tc>
        <w:tc>
          <w:tcPr>
            <w:tcW w:w="7937" w:type="dxa"/>
            <w:tcBorders>
              <w:top w:val="nil"/>
            </w:tcBorders>
          </w:tcPr>
          <w:p w14:paraId="13D18677" w14:textId="77777777" w:rsidR="00345EE3" w:rsidRDefault="00345EE3" w:rsidP="00D73130">
            <w:pPr>
              <w:pStyle w:val="TableParagraph"/>
              <w:ind w:left="-1"/>
              <w:jc w:val="left"/>
              <w:rPr>
                <w:sz w:val="24"/>
              </w:rPr>
            </w:pPr>
            <w:r>
              <w:rPr>
                <w:color w:val="231F20"/>
                <w:sz w:val="24"/>
              </w:rPr>
              <w:t>Other</w:t>
            </w:r>
            <w:r>
              <w:rPr>
                <w:color w:val="231F20"/>
                <w:spacing w:val="-1"/>
                <w:sz w:val="24"/>
              </w:rPr>
              <w:t xml:space="preserve"> </w:t>
            </w:r>
            <w:r>
              <w:rPr>
                <w:color w:val="231F20"/>
                <w:sz w:val="24"/>
              </w:rPr>
              <w:t>Economic Flows</w:t>
            </w:r>
            <w:r>
              <w:rPr>
                <w:color w:val="231F20"/>
                <w:spacing w:val="-1"/>
                <w:sz w:val="24"/>
              </w:rPr>
              <w:t xml:space="preserve"> </w:t>
            </w:r>
            <w:r>
              <w:rPr>
                <w:color w:val="231F20"/>
                <w:sz w:val="24"/>
              </w:rPr>
              <w:t>Included</w:t>
            </w:r>
            <w:r>
              <w:rPr>
                <w:color w:val="231F20"/>
                <w:spacing w:val="-1"/>
                <w:sz w:val="24"/>
              </w:rPr>
              <w:t xml:space="preserve"> </w:t>
            </w:r>
            <w:r>
              <w:rPr>
                <w:color w:val="231F20"/>
                <w:sz w:val="24"/>
              </w:rPr>
              <w:t>in</w:t>
            </w:r>
            <w:r>
              <w:rPr>
                <w:color w:val="231F20"/>
                <w:spacing w:val="-1"/>
                <w:sz w:val="24"/>
              </w:rPr>
              <w:t xml:space="preserve"> </w:t>
            </w:r>
            <w:r>
              <w:rPr>
                <w:color w:val="231F20"/>
                <w:sz w:val="24"/>
              </w:rPr>
              <w:t>Net</w:t>
            </w:r>
            <w:r>
              <w:rPr>
                <w:color w:val="231F20"/>
                <w:spacing w:val="-1"/>
                <w:sz w:val="24"/>
              </w:rPr>
              <w:t xml:space="preserve"> </w:t>
            </w:r>
            <w:r>
              <w:rPr>
                <w:color w:val="231F20"/>
                <w:spacing w:val="-2"/>
                <w:sz w:val="24"/>
              </w:rPr>
              <w:t>Result</w:t>
            </w:r>
          </w:p>
        </w:tc>
        <w:tc>
          <w:tcPr>
            <w:tcW w:w="1134" w:type="dxa"/>
            <w:tcBorders>
              <w:top w:val="nil"/>
              <w:right w:val="nil"/>
            </w:tcBorders>
          </w:tcPr>
          <w:p w14:paraId="6820398D" w14:textId="2DB4A248" w:rsidR="00345EE3" w:rsidRDefault="00345EE3" w:rsidP="00D73130">
            <w:pPr>
              <w:pStyle w:val="TableParagraph"/>
              <w:rPr>
                <w:sz w:val="24"/>
              </w:rPr>
            </w:pPr>
            <w:r>
              <w:rPr>
                <w:color w:val="231F20"/>
                <w:spacing w:val="-5"/>
                <w:sz w:val="24"/>
              </w:rPr>
              <w:t>1</w:t>
            </w:r>
            <w:r w:rsidR="00877EFB">
              <w:rPr>
                <w:color w:val="231F20"/>
                <w:spacing w:val="-5"/>
                <w:sz w:val="24"/>
              </w:rPr>
              <w:t>89-190</w:t>
            </w:r>
          </w:p>
        </w:tc>
      </w:tr>
      <w:tr w:rsidR="00345EE3" w14:paraId="4E8F7504" w14:textId="77777777" w:rsidTr="00D73130">
        <w:trPr>
          <w:trHeight w:val="396"/>
        </w:trPr>
        <w:tc>
          <w:tcPr>
            <w:tcW w:w="1134" w:type="dxa"/>
            <w:tcBorders>
              <w:left w:val="nil"/>
            </w:tcBorders>
          </w:tcPr>
          <w:p w14:paraId="1801D9D6" w14:textId="77777777" w:rsidR="00345EE3" w:rsidRDefault="00345EE3" w:rsidP="00D73130">
            <w:pPr>
              <w:pStyle w:val="TableParagraph"/>
              <w:ind w:left="-3"/>
              <w:jc w:val="left"/>
              <w:rPr>
                <w:sz w:val="24"/>
              </w:rPr>
            </w:pPr>
            <w:r>
              <w:rPr>
                <w:color w:val="231F20"/>
                <w:spacing w:val="-5"/>
                <w:sz w:val="24"/>
              </w:rPr>
              <w:t>9.2</w:t>
            </w:r>
          </w:p>
        </w:tc>
        <w:tc>
          <w:tcPr>
            <w:tcW w:w="7937" w:type="dxa"/>
          </w:tcPr>
          <w:p w14:paraId="1A0E9CD8" w14:textId="77777777" w:rsidR="00345EE3" w:rsidRDefault="00345EE3" w:rsidP="00D73130">
            <w:pPr>
              <w:pStyle w:val="TableParagraph"/>
              <w:ind w:left="-1"/>
              <w:jc w:val="left"/>
              <w:rPr>
                <w:sz w:val="24"/>
              </w:rPr>
            </w:pPr>
            <w:r>
              <w:rPr>
                <w:color w:val="231F20"/>
                <w:sz w:val="24"/>
              </w:rPr>
              <w:t>Responsible</w:t>
            </w:r>
            <w:r>
              <w:rPr>
                <w:color w:val="231F20"/>
                <w:spacing w:val="-11"/>
                <w:sz w:val="24"/>
              </w:rPr>
              <w:t xml:space="preserve"> </w:t>
            </w:r>
            <w:r>
              <w:rPr>
                <w:color w:val="231F20"/>
                <w:spacing w:val="-2"/>
                <w:sz w:val="24"/>
              </w:rPr>
              <w:t>Persons</w:t>
            </w:r>
          </w:p>
        </w:tc>
        <w:tc>
          <w:tcPr>
            <w:tcW w:w="1134" w:type="dxa"/>
            <w:tcBorders>
              <w:right w:val="nil"/>
            </w:tcBorders>
          </w:tcPr>
          <w:p w14:paraId="3DA3C37D" w14:textId="6D6F0DB2" w:rsidR="00345EE3" w:rsidRDefault="000A6EE7" w:rsidP="00D73130">
            <w:pPr>
              <w:pStyle w:val="TableParagraph"/>
              <w:rPr>
                <w:sz w:val="24"/>
              </w:rPr>
            </w:pPr>
            <w:r>
              <w:rPr>
                <w:color w:val="231F20"/>
                <w:spacing w:val="-5"/>
                <w:sz w:val="24"/>
              </w:rPr>
              <w:t>191-192</w:t>
            </w:r>
          </w:p>
        </w:tc>
      </w:tr>
      <w:tr w:rsidR="00345EE3" w14:paraId="27819CDD" w14:textId="77777777" w:rsidTr="00D73130">
        <w:trPr>
          <w:trHeight w:val="396"/>
        </w:trPr>
        <w:tc>
          <w:tcPr>
            <w:tcW w:w="1134" w:type="dxa"/>
            <w:tcBorders>
              <w:left w:val="nil"/>
            </w:tcBorders>
          </w:tcPr>
          <w:p w14:paraId="7088F5CA" w14:textId="77777777" w:rsidR="00345EE3" w:rsidRDefault="00345EE3" w:rsidP="00D73130">
            <w:pPr>
              <w:pStyle w:val="TableParagraph"/>
              <w:ind w:left="-3"/>
              <w:jc w:val="left"/>
              <w:rPr>
                <w:sz w:val="24"/>
              </w:rPr>
            </w:pPr>
            <w:r>
              <w:rPr>
                <w:color w:val="231F20"/>
                <w:spacing w:val="-5"/>
                <w:sz w:val="24"/>
              </w:rPr>
              <w:t>9.3</w:t>
            </w:r>
          </w:p>
        </w:tc>
        <w:tc>
          <w:tcPr>
            <w:tcW w:w="7937" w:type="dxa"/>
          </w:tcPr>
          <w:p w14:paraId="514A3055" w14:textId="77777777" w:rsidR="00345EE3" w:rsidRDefault="00345EE3" w:rsidP="00D73130">
            <w:pPr>
              <w:pStyle w:val="TableParagraph"/>
              <w:ind w:left="-1"/>
              <w:jc w:val="left"/>
              <w:rPr>
                <w:sz w:val="24"/>
              </w:rPr>
            </w:pPr>
            <w:r>
              <w:rPr>
                <w:color w:val="231F20"/>
                <w:sz w:val="24"/>
              </w:rPr>
              <w:t>Remuneration</w:t>
            </w:r>
            <w:r>
              <w:rPr>
                <w:color w:val="231F20"/>
                <w:spacing w:val="-7"/>
                <w:sz w:val="24"/>
              </w:rPr>
              <w:t xml:space="preserve"> </w:t>
            </w:r>
            <w:r>
              <w:rPr>
                <w:color w:val="231F20"/>
                <w:sz w:val="24"/>
              </w:rPr>
              <w:t>of</w:t>
            </w:r>
            <w:r>
              <w:rPr>
                <w:color w:val="231F20"/>
                <w:spacing w:val="-7"/>
                <w:sz w:val="24"/>
              </w:rPr>
              <w:t xml:space="preserve"> </w:t>
            </w:r>
            <w:r>
              <w:rPr>
                <w:color w:val="231F20"/>
                <w:spacing w:val="-2"/>
                <w:sz w:val="24"/>
              </w:rPr>
              <w:t>Executives</w:t>
            </w:r>
          </w:p>
        </w:tc>
        <w:tc>
          <w:tcPr>
            <w:tcW w:w="1134" w:type="dxa"/>
            <w:tcBorders>
              <w:right w:val="nil"/>
            </w:tcBorders>
          </w:tcPr>
          <w:p w14:paraId="262D00BA" w14:textId="3215B9A6" w:rsidR="00345EE3" w:rsidRDefault="000A6EE7" w:rsidP="00D73130">
            <w:pPr>
              <w:pStyle w:val="TableParagraph"/>
              <w:rPr>
                <w:sz w:val="24"/>
              </w:rPr>
            </w:pPr>
            <w:r>
              <w:rPr>
                <w:color w:val="231F20"/>
                <w:spacing w:val="-5"/>
                <w:sz w:val="24"/>
              </w:rPr>
              <w:t>192</w:t>
            </w:r>
          </w:p>
        </w:tc>
      </w:tr>
      <w:tr w:rsidR="00345EE3" w14:paraId="6F1564D5" w14:textId="77777777" w:rsidTr="00D73130">
        <w:trPr>
          <w:trHeight w:val="396"/>
        </w:trPr>
        <w:tc>
          <w:tcPr>
            <w:tcW w:w="1134" w:type="dxa"/>
            <w:tcBorders>
              <w:left w:val="nil"/>
            </w:tcBorders>
          </w:tcPr>
          <w:p w14:paraId="326B9417" w14:textId="77777777" w:rsidR="00345EE3" w:rsidRDefault="00345EE3" w:rsidP="00D73130">
            <w:pPr>
              <w:pStyle w:val="TableParagraph"/>
              <w:ind w:left="-3"/>
              <w:jc w:val="left"/>
              <w:rPr>
                <w:sz w:val="24"/>
              </w:rPr>
            </w:pPr>
            <w:r>
              <w:rPr>
                <w:color w:val="231F20"/>
                <w:spacing w:val="-5"/>
                <w:sz w:val="24"/>
              </w:rPr>
              <w:t>9.4</w:t>
            </w:r>
          </w:p>
        </w:tc>
        <w:tc>
          <w:tcPr>
            <w:tcW w:w="7937" w:type="dxa"/>
          </w:tcPr>
          <w:p w14:paraId="641D0CF8" w14:textId="77777777" w:rsidR="00345EE3" w:rsidRDefault="00345EE3" w:rsidP="00D73130">
            <w:pPr>
              <w:pStyle w:val="TableParagraph"/>
              <w:ind w:left="-1"/>
              <w:jc w:val="left"/>
              <w:rPr>
                <w:sz w:val="24"/>
              </w:rPr>
            </w:pPr>
            <w:r>
              <w:rPr>
                <w:color w:val="231F20"/>
                <w:sz w:val="24"/>
              </w:rPr>
              <w:t>Related</w:t>
            </w:r>
            <w:r>
              <w:rPr>
                <w:color w:val="231F20"/>
                <w:spacing w:val="-7"/>
                <w:sz w:val="24"/>
              </w:rPr>
              <w:t xml:space="preserve"> </w:t>
            </w:r>
            <w:r>
              <w:rPr>
                <w:color w:val="231F20"/>
                <w:spacing w:val="-2"/>
                <w:sz w:val="24"/>
              </w:rPr>
              <w:t>Parties</w:t>
            </w:r>
          </w:p>
        </w:tc>
        <w:tc>
          <w:tcPr>
            <w:tcW w:w="1134" w:type="dxa"/>
            <w:tcBorders>
              <w:right w:val="nil"/>
            </w:tcBorders>
          </w:tcPr>
          <w:p w14:paraId="49878566" w14:textId="1C4F8DA3" w:rsidR="00345EE3" w:rsidRDefault="000A6EE7" w:rsidP="00D73130">
            <w:pPr>
              <w:pStyle w:val="TableParagraph"/>
              <w:rPr>
                <w:sz w:val="24"/>
              </w:rPr>
            </w:pPr>
            <w:r>
              <w:rPr>
                <w:color w:val="231F20"/>
                <w:spacing w:val="-3"/>
                <w:sz w:val="24"/>
              </w:rPr>
              <w:t>193</w:t>
            </w:r>
            <w:r w:rsidR="00345EE3">
              <w:rPr>
                <w:color w:val="231F20"/>
                <w:spacing w:val="-3"/>
                <w:sz w:val="24"/>
              </w:rPr>
              <w:t>-</w:t>
            </w:r>
            <w:r w:rsidR="00345EE3">
              <w:rPr>
                <w:color w:val="231F20"/>
                <w:spacing w:val="-5"/>
                <w:sz w:val="24"/>
              </w:rPr>
              <w:t>1</w:t>
            </w:r>
            <w:r>
              <w:rPr>
                <w:color w:val="231F20"/>
                <w:spacing w:val="-5"/>
                <w:sz w:val="24"/>
              </w:rPr>
              <w:t>97</w:t>
            </w:r>
          </w:p>
        </w:tc>
      </w:tr>
      <w:tr w:rsidR="00345EE3" w14:paraId="13966061" w14:textId="77777777" w:rsidTr="00D73130">
        <w:trPr>
          <w:trHeight w:val="396"/>
        </w:trPr>
        <w:tc>
          <w:tcPr>
            <w:tcW w:w="1134" w:type="dxa"/>
            <w:tcBorders>
              <w:left w:val="nil"/>
            </w:tcBorders>
          </w:tcPr>
          <w:p w14:paraId="22CA23DC" w14:textId="77777777" w:rsidR="00345EE3" w:rsidRDefault="00345EE3" w:rsidP="00D73130">
            <w:pPr>
              <w:pStyle w:val="TableParagraph"/>
              <w:ind w:left="-3"/>
              <w:jc w:val="left"/>
              <w:rPr>
                <w:sz w:val="24"/>
              </w:rPr>
            </w:pPr>
            <w:r>
              <w:rPr>
                <w:color w:val="231F20"/>
                <w:spacing w:val="-5"/>
                <w:sz w:val="24"/>
              </w:rPr>
              <w:t>9.5</w:t>
            </w:r>
          </w:p>
        </w:tc>
        <w:tc>
          <w:tcPr>
            <w:tcW w:w="7937" w:type="dxa"/>
          </w:tcPr>
          <w:p w14:paraId="3FCE78BA" w14:textId="77777777" w:rsidR="00345EE3" w:rsidRDefault="00345EE3" w:rsidP="00D73130">
            <w:pPr>
              <w:pStyle w:val="TableParagraph"/>
              <w:ind w:left="-1"/>
              <w:jc w:val="left"/>
              <w:rPr>
                <w:sz w:val="24"/>
              </w:rPr>
            </w:pPr>
            <w:r>
              <w:rPr>
                <w:color w:val="231F20"/>
                <w:sz w:val="24"/>
              </w:rPr>
              <w:t xml:space="preserve">Subsequent </w:t>
            </w:r>
            <w:r>
              <w:rPr>
                <w:color w:val="231F20"/>
                <w:spacing w:val="-2"/>
                <w:sz w:val="24"/>
              </w:rPr>
              <w:t>Events</w:t>
            </w:r>
          </w:p>
        </w:tc>
        <w:tc>
          <w:tcPr>
            <w:tcW w:w="1134" w:type="dxa"/>
            <w:tcBorders>
              <w:right w:val="nil"/>
            </w:tcBorders>
          </w:tcPr>
          <w:p w14:paraId="6EFA4E2F" w14:textId="00BDB589" w:rsidR="00345EE3" w:rsidRDefault="000A6EE7" w:rsidP="00D73130">
            <w:pPr>
              <w:pStyle w:val="TableParagraph"/>
              <w:rPr>
                <w:sz w:val="24"/>
              </w:rPr>
            </w:pPr>
            <w:r>
              <w:rPr>
                <w:color w:val="231F20"/>
                <w:spacing w:val="-5"/>
                <w:sz w:val="24"/>
              </w:rPr>
              <w:t>197</w:t>
            </w:r>
          </w:p>
        </w:tc>
      </w:tr>
      <w:tr w:rsidR="00345EE3" w14:paraId="475F8270" w14:textId="77777777" w:rsidTr="00D73130">
        <w:trPr>
          <w:trHeight w:val="396"/>
        </w:trPr>
        <w:tc>
          <w:tcPr>
            <w:tcW w:w="1134" w:type="dxa"/>
            <w:tcBorders>
              <w:left w:val="nil"/>
            </w:tcBorders>
          </w:tcPr>
          <w:p w14:paraId="0AFC3418" w14:textId="77777777" w:rsidR="00345EE3" w:rsidRDefault="00345EE3" w:rsidP="00D73130">
            <w:pPr>
              <w:pStyle w:val="TableParagraph"/>
              <w:ind w:left="-3"/>
              <w:jc w:val="left"/>
              <w:rPr>
                <w:sz w:val="24"/>
              </w:rPr>
            </w:pPr>
            <w:r>
              <w:rPr>
                <w:color w:val="231F20"/>
                <w:spacing w:val="-5"/>
                <w:sz w:val="24"/>
              </w:rPr>
              <w:t>9.6</w:t>
            </w:r>
          </w:p>
        </w:tc>
        <w:tc>
          <w:tcPr>
            <w:tcW w:w="7937" w:type="dxa"/>
          </w:tcPr>
          <w:p w14:paraId="086741CE" w14:textId="77777777" w:rsidR="00345EE3" w:rsidRDefault="00345EE3" w:rsidP="00D73130">
            <w:pPr>
              <w:pStyle w:val="TableParagraph"/>
              <w:ind w:left="-1"/>
              <w:jc w:val="left"/>
              <w:rPr>
                <w:sz w:val="24"/>
              </w:rPr>
            </w:pPr>
            <w:r>
              <w:rPr>
                <w:color w:val="231F20"/>
                <w:sz w:val="24"/>
              </w:rPr>
              <w:t>COVID-19</w:t>
            </w:r>
            <w:r>
              <w:rPr>
                <w:color w:val="231F20"/>
                <w:spacing w:val="-8"/>
                <w:sz w:val="24"/>
              </w:rPr>
              <w:t xml:space="preserve"> </w:t>
            </w:r>
            <w:r>
              <w:rPr>
                <w:color w:val="231F20"/>
                <w:spacing w:val="-2"/>
                <w:sz w:val="24"/>
              </w:rPr>
              <w:t>Statement</w:t>
            </w:r>
          </w:p>
        </w:tc>
        <w:tc>
          <w:tcPr>
            <w:tcW w:w="1134" w:type="dxa"/>
            <w:tcBorders>
              <w:right w:val="nil"/>
            </w:tcBorders>
          </w:tcPr>
          <w:p w14:paraId="7C544171" w14:textId="393C3550" w:rsidR="00345EE3" w:rsidRDefault="000A6EE7" w:rsidP="00D73130">
            <w:pPr>
              <w:pStyle w:val="TableParagraph"/>
              <w:rPr>
                <w:sz w:val="24"/>
              </w:rPr>
            </w:pPr>
            <w:r>
              <w:rPr>
                <w:color w:val="231F20"/>
                <w:spacing w:val="-5"/>
                <w:sz w:val="24"/>
              </w:rPr>
              <w:t>197</w:t>
            </w:r>
          </w:p>
        </w:tc>
      </w:tr>
      <w:tr w:rsidR="00345EE3" w14:paraId="3315C16D" w14:textId="77777777" w:rsidTr="00D73130">
        <w:trPr>
          <w:trHeight w:val="396"/>
        </w:trPr>
        <w:tc>
          <w:tcPr>
            <w:tcW w:w="1134" w:type="dxa"/>
            <w:tcBorders>
              <w:left w:val="nil"/>
            </w:tcBorders>
          </w:tcPr>
          <w:p w14:paraId="361BDC3A" w14:textId="77777777" w:rsidR="00345EE3" w:rsidRDefault="00345EE3" w:rsidP="00D73130">
            <w:pPr>
              <w:pStyle w:val="TableParagraph"/>
              <w:ind w:left="-3"/>
              <w:jc w:val="left"/>
              <w:rPr>
                <w:sz w:val="24"/>
              </w:rPr>
            </w:pPr>
            <w:r>
              <w:rPr>
                <w:color w:val="231F20"/>
                <w:spacing w:val="-5"/>
                <w:sz w:val="24"/>
              </w:rPr>
              <w:t>9.7</w:t>
            </w:r>
          </w:p>
        </w:tc>
        <w:tc>
          <w:tcPr>
            <w:tcW w:w="7937" w:type="dxa"/>
          </w:tcPr>
          <w:p w14:paraId="65DC793B" w14:textId="77777777" w:rsidR="00345EE3" w:rsidRDefault="00345EE3" w:rsidP="00D73130">
            <w:pPr>
              <w:pStyle w:val="TableParagraph"/>
              <w:ind w:left="-1"/>
              <w:jc w:val="left"/>
              <w:rPr>
                <w:sz w:val="24"/>
              </w:rPr>
            </w:pPr>
            <w:r>
              <w:rPr>
                <w:color w:val="231F20"/>
                <w:sz w:val="24"/>
              </w:rPr>
              <w:t>Other</w:t>
            </w:r>
            <w:r>
              <w:rPr>
                <w:color w:val="231F20"/>
                <w:spacing w:val="-14"/>
                <w:sz w:val="24"/>
              </w:rPr>
              <w:t xml:space="preserve"> </w:t>
            </w:r>
            <w:r>
              <w:rPr>
                <w:color w:val="231F20"/>
                <w:sz w:val="24"/>
              </w:rPr>
              <w:t xml:space="preserve">Accounting </w:t>
            </w:r>
            <w:r>
              <w:rPr>
                <w:color w:val="231F20"/>
                <w:spacing w:val="-2"/>
                <w:sz w:val="24"/>
              </w:rPr>
              <w:t>Policies</w:t>
            </w:r>
          </w:p>
        </w:tc>
        <w:tc>
          <w:tcPr>
            <w:tcW w:w="1134" w:type="dxa"/>
            <w:tcBorders>
              <w:right w:val="nil"/>
            </w:tcBorders>
          </w:tcPr>
          <w:p w14:paraId="5623B64E" w14:textId="0AC09E96" w:rsidR="00345EE3" w:rsidRDefault="000A6EE7" w:rsidP="00D73130">
            <w:pPr>
              <w:pStyle w:val="TableParagraph"/>
              <w:rPr>
                <w:sz w:val="24"/>
              </w:rPr>
            </w:pPr>
            <w:r>
              <w:rPr>
                <w:color w:val="231F20"/>
                <w:spacing w:val="-5"/>
                <w:sz w:val="24"/>
              </w:rPr>
              <w:t>197-198</w:t>
            </w:r>
          </w:p>
        </w:tc>
      </w:tr>
      <w:tr w:rsidR="00345EE3" w14:paraId="198839DE" w14:textId="77777777" w:rsidTr="00D73130">
        <w:trPr>
          <w:trHeight w:val="396"/>
        </w:trPr>
        <w:tc>
          <w:tcPr>
            <w:tcW w:w="1134" w:type="dxa"/>
            <w:tcBorders>
              <w:left w:val="nil"/>
            </w:tcBorders>
          </w:tcPr>
          <w:p w14:paraId="64AA4C6F" w14:textId="77777777" w:rsidR="00345EE3" w:rsidRDefault="00345EE3" w:rsidP="00D73130">
            <w:pPr>
              <w:pStyle w:val="TableParagraph"/>
              <w:ind w:left="-3"/>
              <w:jc w:val="left"/>
              <w:rPr>
                <w:sz w:val="24"/>
              </w:rPr>
            </w:pPr>
            <w:r>
              <w:rPr>
                <w:color w:val="231F20"/>
                <w:spacing w:val="-5"/>
                <w:sz w:val="24"/>
              </w:rPr>
              <w:t>9.8</w:t>
            </w:r>
          </w:p>
        </w:tc>
        <w:tc>
          <w:tcPr>
            <w:tcW w:w="7937" w:type="dxa"/>
          </w:tcPr>
          <w:p w14:paraId="7443365B" w14:textId="77777777" w:rsidR="00345EE3" w:rsidRDefault="00345EE3" w:rsidP="00D73130">
            <w:pPr>
              <w:pStyle w:val="TableParagraph"/>
              <w:ind w:left="-1"/>
              <w:jc w:val="left"/>
              <w:rPr>
                <w:sz w:val="24"/>
              </w:rPr>
            </w:pPr>
            <w:r>
              <w:rPr>
                <w:color w:val="231F20"/>
                <w:sz w:val="24"/>
              </w:rPr>
              <w:t>Australian</w:t>
            </w:r>
            <w:r>
              <w:rPr>
                <w:color w:val="231F20"/>
                <w:spacing w:val="-17"/>
                <w:sz w:val="24"/>
              </w:rPr>
              <w:t xml:space="preserve"> </w:t>
            </w:r>
            <w:r>
              <w:rPr>
                <w:color w:val="231F20"/>
                <w:sz w:val="24"/>
              </w:rPr>
              <w:t>Accounting</w:t>
            </w:r>
            <w:r>
              <w:rPr>
                <w:color w:val="231F20"/>
                <w:spacing w:val="-4"/>
                <w:sz w:val="24"/>
              </w:rPr>
              <w:t xml:space="preserve"> </w:t>
            </w:r>
            <w:r>
              <w:rPr>
                <w:color w:val="231F20"/>
                <w:sz w:val="24"/>
              </w:rPr>
              <w:t>Standards</w:t>
            </w:r>
            <w:r>
              <w:rPr>
                <w:color w:val="231F20"/>
                <w:spacing w:val="-3"/>
                <w:sz w:val="24"/>
              </w:rPr>
              <w:t xml:space="preserve"> </w:t>
            </w:r>
            <w:r>
              <w:rPr>
                <w:color w:val="231F20"/>
                <w:sz w:val="24"/>
              </w:rPr>
              <w:t>Issued</w:t>
            </w:r>
            <w:r>
              <w:rPr>
                <w:color w:val="231F20"/>
                <w:spacing w:val="-8"/>
                <w:sz w:val="24"/>
              </w:rPr>
              <w:t xml:space="preserve"> </w:t>
            </w:r>
            <w:r>
              <w:rPr>
                <w:color w:val="231F20"/>
                <w:sz w:val="24"/>
              </w:rPr>
              <w:t>That</w:t>
            </w:r>
            <w:r>
              <w:rPr>
                <w:color w:val="231F20"/>
                <w:spacing w:val="-16"/>
                <w:sz w:val="24"/>
              </w:rPr>
              <w:t xml:space="preserve"> </w:t>
            </w:r>
            <w:r>
              <w:rPr>
                <w:color w:val="231F20"/>
                <w:sz w:val="24"/>
              </w:rPr>
              <w:t>Are</w:t>
            </w:r>
            <w:r>
              <w:rPr>
                <w:color w:val="231F20"/>
                <w:spacing w:val="-4"/>
                <w:sz w:val="24"/>
              </w:rPr>
              <w:t xml:space="preserve"> </w:t>
            </w:r>
            <w:r>
              <w:rPr>
                <w:color w:val="231F20"/>
                <w:sz w:val="24"/>
              </w:rPr>
              <w:t>Not</w:t>
            </w:r>
            <w:r>
              <w:rPr>
                <w:color w:val="231F20"/>
                <w:spacing w:val="-8"/>
                <w:sz w:val="24"/>
              </w:rPr>
              <w:t xml:space="preserve"> </w:t>
            </w:r>
            <w:r>
              <w:rPr>
                <w:color w:val="231F20"/>
                <w:sz w:val="24"/>
              </w:rPr>
              <w:t>Yet</w:t>
            </w:r>
            <w:r>
              <w:rPr>
                <w:color w:val="231F20"/>
                <w:spacing w:val="-4"/>
                <w:sz w:val="24"/>
              </w:rPr>
              <w:t xml:space="preserve"> </w:t>
            </w:r>
            <w:r>
              <w:rPr>
                <w:color w:val="231F20"/>
                <w:spacing w:val="-2"/>
                <w:sz w:val="24"/>
              </w:rPr>
              <w:t>Effective</w:t>
            </w:r>
          </w:p>
        </w:tc>
        <w:tc>
          <w:tcPr>
            <w:tcW w:w="1134" w:type="dxa"/>
            <w:tcBorders>
              <w:right w:val="nil"/>
            </w:tcBorders>
          </w:tcPr>
          <w:p w14:paraId="518940D0" w14:textId="42838827" w:rsidR="00345EE3" w:rsidRDefault="00345EE3" w:rsidP="00D73130">
            <w:pPr>
              <w:pStyle w:val="TableParagraph"/>
              <w:rPr>
                <w:sz w:val="24"/>
              </w:rPr>
            </w:pPr>
            <w:r>
              <w:rPr>
                <w:color w:val="231F20"/>
                <w:spacing w:val="-5"/>
                <w:sz w:val="24"/>
              </w:rPr>
              <w:t>1</w:t>
            </w:r>
            <w:r w:rsidR="000A6EE7">
              <w:rPr>
                <w:color w:val="231F20"/>
                <w:spacing w:val="-5"/>
                <w:sz w:val="24"/>
              </w:rPr>
              <w:t>98</w:t>
            </w:r>
          </w:p>
        </w:tc>
      </w:tr>
      <w:tr w:rsidR="00345EE3" w14:paraId="581FDA1C" w14:textId="77777777" w:rsidTr="00D73130">
        <w:trPr>
          <w:trHeight w:val="396"/>
        </w:trPr>
        <w:tc>
          <w:tcPr>
            <w:tcW w:w="1134" w:type="dxa"/>
            <w:tcBorders>
              <w:left w:val="nil"/>
            </w:tcBorders>
          </w:tcPr>
          <w:p w14:paraId="1A20A602" w14:textId="77777777" w:rsidR="00345EE3" w:rsidRDefault="00345EE3" w:rsidP="00D73130">
            <w:pPr>
              <w:pStyle w:val="TableParagraph"/>
              <w:ind w:left="-3"/>
              <w:jc w:val="left"/>
              <w:rPr>
                <w:sz w:val="24"/>
              </w:rPr>
            </w:pPr>
            <w:r>
              <w:rPr>
                <w:color w:val="231F20"/>
                <w:spacing w:val="-5"/>
                <w:sz w:val="24"/>
              </w:rPr>
              <w:t>9.9</w:t>
            </w:r>
          </w:p>
        </w:tc>
        <w:tc>
          <w:tcPr>
            <w:tcW w:w="7937" w:type="dxa"/>
          </w:tcPr>
          <w:p w14:paraId="718D6295" w14:textId="77777777" w:rsidR="00345EE3" w:rsidRDefault="00345EE3" w:rsidP="00D73130">
            <w:pPr>
              <w:pStyle w:val="TableParagraph"/>
              <w:ind w:left="-1"/>
              <w:jc w:val="left"/>
              <w:rPr>
                <w:sz w:val="24"/>
              </w:rPr>
            </w:pPr>
            <w:r>
              <w:rPr>
                <w:color w:val="231F20"/>
                <w:sz w:val="24"/>
              </w:rPr>
              <w:t xml:space="preserve">Style </w:t>
            </w:r>
            <w:r>
              <w:rPr>
                <w:color w:val="231F20"/>
                <w:spacing w:val="-2"/>
                <w:sz w:val="24"/>
              </w:rPr>
              <w:t>Conventions</w:t>
            </w:r>
          </w:p>
        </w:tc>
        <w:tc>
          <w:tcPr>
            <w:tcW w:w="1134" w:type="dxa"/>
            <w:tcBorders>
              <w:right w:val="nil"/>
            </w:tcBorders>
          </w:tcPr>
          <w:p w14:paraId="580BCF62" w14:textId="1AE6A934" w:rsidR="00345EE3" w:rsidRDefault="00345EE3" w:rsidP="00D73130">
            <w:pPr>
              <w:pStyle w:val="TableParagraph"/>
              <w:rPr>
                <w:sz w:val="24"/>
              </w:rPr>
            </w:pPr>
            <w:r>
              <w:rPr>
                <w:color w:val="231F20"/>
                <w:spacing w:val="-5"/>
                <w:sz w:val="24"/>
              </w:rPr>
              <w:t>1</w:t>
            </w:r>
            <w:r w:rsidR="000A6EE7">
              <w:rPr>
                <w:color w:val="231F20"/>
                <w:spacing w:val="-5"/>
                <w:sz w:val="24"/>
              </w:rPr>
              <w:t>99</w:t>
            </w:r>
          </w:p>
        </w:tc>
      </w:tr>
    </w:tbl>
    <w:p w14:paraId="58FF5982" w14:textId="77777777" w:rsidR="00345EE3" w:rsidRDefault="00345EE3" w:rsidP="002A27BA">
      <w:pPr>
        <w:pStyle w:val="Heading3"/>
        <w:numPr>
          <w:ilvl w:val="1"/>
          <w:numId w:val="44"/>
        </w:numPr>
      </w:pPr>
      <w:r>
        <w:t>Other</w:t>
      </w:r>
      <w:r>
        <w:rPr>
          <w:spacing w:val="-7"/>
        </w:rPr>
        <w:t xml:space="preserve"> </w:t>
      </w:r>
      <w:r>
        <w:t>Economic</w:t>
      </w:r>
      <w:r>
        <w:rPr>
          <w:spacing w:val="-4"/>
        </w:rPr>
        <w:t xml:space="preserve"> </w:t>
      </w:r>
      <w:r>
        <w:t>Flows</w:t>
      </w:r>
      <w:r>
        <w:rPr>
          <w:spacing w:val="-4"/>
        </w:rPr>
        <w:t xml:space="preserve"> </w:t>
      </w:r>
      <w:r>
        <w:t>Included</w:t>
      </w:r>
      <w:r>
        <w:rPr>
          <w:spacing w:val="-5"/>
        </w:rPr>
        <w:t xml:space="preserve"> </w:t>
      </w:r>
      <w:r>
        <w:t>In</w:t>
      </w:r>
      <w:r>
        <w:rPr>
          <w:spacing w:val="-3"/>
        </w:rPr>
        <w:t xml:space="preserve"> </w:t>
      </w:r>
      <w:r>
        <w:t>Net</w:t>
      </w:r>
      <w:r>
        <w:rPr>
          <w:spacing w:val="-3"/>
        </w:rPr>
        <w:t xml:space="preserve"> </w:t>
      </w:r>
      <w:r>
        <w:rPr>
          <w:spacing w:val="-2"/>
        </w:rPr>
        <w:t>Result</w:t>
      </w:r>
    </w:p>
    <w:p w14:paraId="5719BB4C" w14:textId="77777777" w:rsidR="00345EE3" w:rsidRDefault="00345EE3" w:rsidP="00345EE3">
      <w:pPr>
        <w:pStyle w:val="BodyText"/>
        <w:spacing w:before="53" w:line="242" w:lineRule="auto"/>
      </w:pPr>
      <w:r>
        <w:rPr>
          <w:color w:val="231F20"/>
        </w:rPr>
        <w:t>Other</w:t>
      </w:r>
      <w:r>
        <w:rPr>
          <w:color w:val="231F20"/>
          <w:spacing w:val="-7"/>
        </w:rPr>
        <w:t xml:space="preserve"> </w:t>
      </w:r>
      <w:r>
        <w:rPr>
          <w:color w:val="231F20"/>
        </w:rPr>
        <w:t>economic</w:t>
      </w:r>
      <w:r>
        <w:rPr>
          <w:color w:val="231F20"/>
          <w:spacing w:val="-7"/>
        </w:rPr>
        <w:t xml:space="preserve"> </w:t>
      </w:r>
      <w:r>
        <w:rPr>
          <w:color w:val="231F20"/>
        </w:rPr>
        <w:t>flows</w:t>
      </w:r>
      <w:r>
        <w:rPr>
          <w:color w:val="231F20"/>
          <w:spacing w:val="-7"/>
        </w:rPr>
        <w:t xml:space="preserve"> </w:t>
      </w:r>
      <w:r>
        <w:rPr>
          <w:color w:val="231F20"/>
        </w:rPr>
        <w:t>measure</w:t>
      </w:r>
      <w:r>
        <w:rPr>
          <w:color w:val="231F20"/>
          <w:spacing w:val="-8"/>
        </w:rPr>
        <w:t xml:space="preserve"> </w:t>
      </w:r>
      <w:r>
        <w:rPr>
          <w:color w:val="231F20"/>
        </w:rPr>
        <w:t>the</w:t>
      </w:r>
      <w:r>
        <w:rPr>
          <w:color w:val="231F20"/>
          <w:spacing w:val="-8"/>
        </w:rPr>
        <w:t xml:space="preserve"> </w:t>
      </w:r>
      <w:r>
        <w:rPr>
          <w:color w:val="231F20"/>
        </w:rPr>
        <w:t>change</w:t>
      </w:r>
      <w:r>
        <w:rPr>
          <w:color w:val="231F20"/>
          <w:spacing w:val="-8"/>
        </w:rPr>
        <w:t xml:space="preserve"> </w:t>
      </w:r>
      <w:r>
        <w:rPr>
          <w:color w:val="231F20"/>
        </w:rPr>
        <w:t>in</w:t>
      </w:r>
      <w:r>
        <w:rPr>
          <w:color w:val="231F20"/>
          <w:spacing w:val="-8"/>
        </w:rPr>
        <w:t xml:space="preserve"> </w:t>
      </w:r>
      <w:r>
        <w:rPr>
          <w:color w:val="231F20"/>
        </w:rPr>
        <w:t>volume</w:t>
      </w:r>
      <w:r>
        <w:rPr>
          <w:color w:val="231F20"/>
          <w:spacing w:val="-8"/>
        </w:rPr>
        <w:t xml:space="preserve"> </w:t>
      </w:r>
      <w:r>
        <w:rPr>
          <w:color w:val="231F20"/>
        </w:rPr>
        <w:t>or</w:t>
      </w:r>
      <w:r>
        <w:rPr>
          <w:color w:val="231F20"/>
          <w:spacing w:val="-7"/>
        </w:rPr>
        <w:t xml:space="preserve"> </w:t>
      </w:r>
      <w:r>
        <w:rPr>
          <w:color w:val="231F20"/>
        </w:rPr>
        <w:t>value</w:t>
      </w:r>
      <w:r>
        <w:rPr>
          <w:color w:val="231F20"/>
          <w:spacing w:val="-8"/>
        </w:rPr>
        <w:t xml:space="preserve"> </w:t>
      </w:r>
      <w:r>
        <w:rPr>
          <w:color w:val="231F20"/>
        </w:rPr>
        <w:t>of</w:t>
      </w:r>
      <w:r>
        <w:rPr>
          <w:color w:val="231F20"/>
          <w:spacing w:val="-7"/>
        </w:rPr>
        <w:t xml:space="preserve"> </w:t>
      </w:r>
      <w:r>
        <w:rPr>
          <w:color w:val="231F20"/>
        </w:rPr>
        <w:t>assets</w:t>
      </w:r>
      <w:r>
        <w:rPr>
          <w:color w:val="231F20"/>
          <w:spacing w:val="-7"/>
        </w:rPr>
        <w:t xml:space="preserve"> </w:t>
      </w:r>
      <w:r>
        <w:rPr>
          <w:color w:val="231F20"/>
        </w:rPr>
        <w:t>or</w:t>
      </w:r>
      <w:r>
        <w:rPr>
          <w:color w:val="231F20"/>
          <w:spacing w:val="-7"/>
        </w:rPr>
        <w:t xml:space="preserve"> </w:t>
      </w:r>
      <w:r>
        <w:rPr>
          <w:color w:val="231F20"/>
        </w:rPr>
        <w:t>liabilities</w:t>
      </w:r>
      <w:r>
        <w:rPr>
          <w:color w:val="231F20"/>
          <w:spacing w:val="-7"/>
        </w:rPr>
        <w:t xml:space="preserve"> </w:t>
      </w:r>
      <w:r>
        <w:rPr>
          <w:color w:val="231F20"/>
        </w:rPr>
        <w:t>that</w:t>
      </w:r>
      <w:r>
        <w:rPr>
          <w:color w:val="231F20"/>
          <w:spacing w:val="-7"/>
        </w:rPr>
        <w:t xml:space="preserve"> </w:t>
      </w:r>
      <w:r>
        <w:rPr>
          <w:color w:val="231F20"/>
        </w:rPr>
        <w:t>do</w:t>
      </w:r>
      <w:r>
        <w:rPr>
          <w:color w:val="231F20"/>
          <w:spacing w:val="-8"/>
        </w:rPr>
        <w:t xml:space="preserve"> </w:t>
      </w:r>
      <w:r>
        <w:rPr>
          <w:color w:val="231F20"/>
        </w:rPr>
        <w:t>not result from transactions.</w:t>
      </w:r>
    </w:p>
    <w:p w14:paraId="1133421B" w14:textId="77777777" w:rsidR="00345EE3" w:rsidRDefault="00345EE3" w:rsidP="00345EE3">
      <w:pPr>
        <w:pStyle w:val="BodyText"/>
        <w:spacing w:before="116"/>
      </w:pPr>
      <w:r>
        <w:rPr>
          <w:color w:val="231F20"/>
        </w:rPr>
        <w:t>Other</w:t>
      </w:r>
      <w:r>
        <w:rPr>
          <w:color w:val="231F20"/>
          <w:spacing w:val="-11"/>
        </w:rPr>
        <w:t xml:space="preserve"> </w:t>
      </w:r>
      <w:r>
        <w:rPr>
          <w:color w:val="231F20"/>
        </w:rPr>
        <w:t>gains/(losses)</w:t>
      </w:r>
      <w:r>
        <w:rPr>
          <w:color w:val="231F20"/>
          <w:spacing w:val="-9"/>
        </w:rPr>
        <w:t xml:space="preserve"> </w:t>
      </w:r>
      <w:r>
        <w:rPr>
          <w:color w:val="231F20"/>
        </w:rPr>
        <w:t>from</w:t>
      </w:r>
      <w:r>
        <w:rPr>
          <w:color w:val="231F20"/>
          <w:spacing w:val="-8"/>
        </w:rPr>
        <w:t xml:space="preserve"> </w:t>
      </w:r>
      <w:r>
        <w:rPr>
          <w:color w:val="231F20"/>
        </w:rPr>
        <w:t>other</w:t>
      </w:r>
      <w:r>
        <w:rPr>
          <w:color w:val="231F20"/>
          <w:spacing w:val="-9"/>
        </w:rPr>
        <w:t xml:space="preserve"> </w:t>
      </w:r>
      <w:r>
        <w:rPr>
          <w:color w:val="231F20"/>
        </w:rPr>
        <w:t>economic</w:t>
      </w:r>
      <w:r>
        <w:rPr>
          <w:color w:val="231F20"/>
          <w:spacing w:val="-8"/>
        </w:rPr>
        <w:t xml:space="preserve"> </w:t>
      </w:r>
      <w:r>
        <w:rPr>
          <w:color w:val="231F20"/>
        </w:rPr>
        <w:t>flows</w:t>
      </w:r>
      <w:r>
        <w:rPr>
          <w:color w:val="231F20"/>
          <w:spacing w:val="-9"/>
        </w:rPr>
        <w:t xml:space="preserve"> </w:t>
      </w:r>
      <w:r>
        <w:rPr>
          <w:color w:val="231F20"/>
        </w:rPr>
        <w:t>include</w:t>
      </w:r>
      <w:r>
        <w:rPr>
          <w:color w:val="231F20"/>
          <w:spacing w:val="-9"/>
        </w:rPr>
        <w:t xml:space="preserve"> </w:t>
      </w:r>
      <w:r>
        <w:rPr>
          <w:color w:val="231F20"/>
        </w:rPr>
        <w:t>the</w:t>
      </w:r>
      <w:r>
        <w:rPr>
          <w:color w:val="231F20"/>
          <w:spacing w:val="-10"/>
        </w:rPr>
        <w:t xml:space="preserve"> </w:t>
      </w:r>
      <w:r>
        <w:rPr>
          <w:color w:val="231F20"/>
        </w:rPr>
        <w:t>gains</w:t>
      </w:r>
      <w:r>
        <w:rPr>
          <w:color w:val="231F20"/>
          <w:spacing w:val="-8"/>
        </w:rPr>
        <w:t xml:space="preserve"> </w:t>
      </w:r>
      <w:r>
        <w:rPr>
          <w:color w:val="231F20"/>
        </w:rPr>
        <w:t>or</w:t>
      </w:r>
      <w:r>
        <w:rPr>
          <w:color w:val="231F20"/>
          <w:spacing w:val="-9"/>
        </w:rPr>
        <w:t xml:space="preserve"> </w:t>
      </w:r>
      <w:r>
        <w:rPr>
          <w:color w:val="231F20"/>
        </w:rPr>
        <w:t>losses</w:t>
      </w:r>
      <w:r>
        <w:rPr>
          <w:color w:val="231F20"/>
          <w:spacing w:val="-8"/>
        </w:rPr>
        <w:t xml:space="preserve"> </w:t>
      </w:r>
      <w:r>
        <w:rPr>
          <w:color w:val="231F20"/>
          <w:spacing w:val="-2"/>
        </w:rPr>
        <w:t>from:</w:t>
      </w:r>
    </w:p>
    <w:p w14:paraId="767BC412" w14:textId="77777777" w:rsidR="00345EE3" w:rsidRDefault="00345EE3">
      <w:pPr>
        <w:pStyle w:val="ListParagraph"/>
        <w:numPr>
          <w:ilvl w:val="0"/>
          <w:numId w:val="9"/>
        </w:numPr>
        <w:tabs>
          <w:tab w:val="left" w:pos="393"/>
          <w:tab w:val="left" w:pos="394"/>
        </w:tabs>
        <w:spacing w:line="242" w:lineRule="auto"/>
        <w:ind w:right="583"/>
        <w:rPr>
          <w:sz w:val="24"/>
        </w:rPr>
      </w:pPr>
      <w:r>
        <w:rPr>
          <w:color w:val="231F20"/>
          <w:sz w:val="24"/>
        </w:rPr>
        <w:t>the</w:t>
      </w:r>
      <w:r>
        <w:rPr>
          <w:color w:val="231F20"/>
          <w:spacing w:val="-8"/>
          <w:sz w:val="24"/>
        </w:rPr>
        <w:t xml:space="preserve"> </w:t>
      </w:r>
      <w:r>
        <w:rPr>
          <w:color w:val="231F20"/>
          <w:sz w:val="24"/>
        </w:rPr>
        <w:t>revaluation</w:t>
      </w:r>
      <w:r>
        <w:rPr>
          <w:color w:val="231F20"/>
          <w:spacing w:val="-8"/>
          <w:sz w:val="24"/>
        </w:rPr>
        <w:t xml:space="preserve"> </w:t>
      </w:r>
      <w:r>
        <w:rPr>
          <w:color w:val="231F20"/>
          <w:sz w:val="24"/>
        </w:rPr>
        <w:t>of</w:t>
      </w:r>
      <w:r>
        <w:rPr>
          <w:color w:val="231F20"/>
          <w:spacing w:val="-7"/>
          <w:sz w:val="24"/>
        </w:rPr>
        <w:t xml:space="preserve"> </w:t>
      </w:r>
      <w:r>
        <w:rPr>
          <w:color w:val="231F20"/>
          <w:sz w:val="24"/>
        </w:rPr>
        <w:t>the</w:t>
      </w:r>
      <w:r>
        <w:rPr>
          <w:color w:val="231F20"/>
          <w:spacing w:val="-8"/>
          <w:sz w:val="24"/>
        </w:rPr>
        <w:t xml:space="preserve"> </w:t>
      </w:r>
      <w:r>
        <w:rPr>
          <w:color w:val="231F20"/>
          <w:sz w:val="24"/>
        </w:rPr>
        <w:t>present</w:t>
      </w:r>
      <w:r>
        <w:rPr>
          <w:color w:val="231F20"/>
          <w:spacing w:val="-7"/>
          <w:sz w:val="24"/>
        </w:rPr>
        <w:t xml:space="preserve"> </w:t>
      </w:r>
      <w:r>
        <w:rPr>
          <w:color w:val="231F20"/>
          <w:sz w:val="24"/>
        </w:rPr>
        <w:t>value</w:t>
      </w:r>
      <w:r>
        <w:rPr>
          <w:color w:val="231F20"/>
          <w:spacing w:val="-8"/>
          <w:sz w:val="24"/>
        </w:rPr>
        <w:t xml:space="preserve"> </w:t>
      </w:r>
      <w:r>
        <w:rPr>
          <w:color w:val="231F20"/>
          <w:sz w:val="24"/>
        </w:rPr>
        <w:t>of</w:t>
      </w:r>
      <w:r>
        <w:rPr>
          <w:color w:val="231F20"/>
          <w:spacing w:val="-7"/>
          <w:sz w:val="24"/>
        </w:rPr>
        <w:t xml:space="preserve"> </w:t>
      </w:r>
      <w:r>
        <w:rPr>
          <w:color w:val="231F20"/>
          <w:sz w:val="24"/>
        </w:rPr>
        <w:t>the</w:t>
      </w:r>
      <w:r>
        <w:rPr>
          <w:color w:val="231F20"/>
          <w:spacing w:val="-8"/>
          <w:sz w:val="24"/>
        </w:rPr>
        <w:t xml:space="preserve"> </w:t>
      </w:r>
      <w:r>
        <w:rPr>
          <w:color w:val="231F20"/>
          <w:sz w:val="24"/>
        </w:rPr>
        <w:t>long</w:t>
      </w:r>
      <w:r>
        <w:rPr>
          <w:color w:val="231F20"/>
          <w:spacing w:val="-8"/>
          <w:sz w:val="24"/>
        </w:rPr>
        <w:t xml:space="preserve"> </w:t>
      </w:r>
      <w:r>
        <w:rPr>
          <w:color w:val="231F20"/>
          <w:sz w:val="24"/>
        </w:rPr>
        <w:t>service</w:t>
      </w:r>
      <w:r>
        <w:rPr>
          <w:color w:val="231F20"/>
          <w:spacing w:val="-8"/>
          <w:sz w:val="24"/>
        </w:rPr>
        <w:t xml:space="preserve"> </w:t>
      </w:r>
      <w:r>
        <w:rPr>
          <w:color w:val="231F20"/>
          <w:sz w:val="24"/>
        </w:rPr>
        <w:t>leave</w:t>
      </w:r>
      <w:r>
        <w:rPr>
          <w:color w:val="231F20"/>
          <w:spacing w:val="-8"/>
          <w:sz w:val="24"/>
        </w:rPr>
        <w:t xml:space="preserve"> </w:t>
      </w:r>
      <w:r>
        <w:rPr>
          <w:color w:val="231F20"/>
          <w:sz w:val="24"/>
        </w:rPr>
        <w:t>liability</w:t>
      </w:r>
      <w:r>
        <w:rPr>
          <w:color w:val="231F20"/>
          <w:spacing w:val="-7"/>
          <w:sz w:val="24"/>
        </w:rPr>
        <w:t xml:space="preserve"> </w:t>
      </w:r>
      <w:r>
        <w:rPr>
          <w:color w:val="231F20"/>
          <w:sz w:val="24"/>
        </w:rPr>
        <w:t>due</w:t>
      </w:r>
      <w:r>
        <w:rPr>
          <w:color w:val="231F20"/>
          <w:spacing w:val="-8"/>
          <w:sz w:val="24"/>
        </w:rPr>
        <w:t xml:space="preserve"> </w:t>
      </w:r>
      <w:r>
        <w:rPr>
          <w:color w:val="231F20"/>
          <w:sz w:val="24"/>
        </w:rPr>
        <w:t>to</w:t>
      </w:r>
      <w:r>
        <w:rPr>
          <w:color w:val="231F20"/>
          <w:spacing w:val="-8"/>
          <w:sz w:val="24"/>
        </w:rPr>
        <w:t xml:space="preserve"> </w:t>
      </w:r>
      <w:r>
        <w:rPr>
          <w:color w:val="231F20"/>
          <w:sz w:val="24"/>
        </w:rPr>
        <w:t>changes</w:t>
      </w:r>
      <w:r>
        <w:rPr>
          <w:color w:val="231F20"/>
          <w:spacing w:val="-7"/>
          <w:sz w:val="24"/>
        </w:rPr>
        <w:t xml:space="preserve"> </w:t>
      </w:r>
      <w:r>
        <w:rPr>
          <w:color w:val="231F20"/>
          <w:sz w:val="24"/>
        </w:rPr>
        <w:t>in</w:t>
      </w:r>
      <w:r>
        <w:rPr>
          <w:color w:val="231F20"/>
          <w:spacing w:val="-8"/>
          <w:sz w:val="24"/>
        </w:rPr>
        <w:t xml:space="preserve"> </w:t>
      </w:r>
      <w:r>
        <w:rPr>
          <w:color w:val="231F20"/>
          <w:sz w:val="24"/>
        </w:rPr>
        <w:t>the bond interest rates; and</w:t>
      </w:r>
    </w:p>
    <w:p w14:paraId="051DE493" w14:textId="77777777" w:rsidR="00345EE3" w:rsidRDefault="00345EE3">
      <w:pPr>
        <w:pStyle w:val="ListParagraph"/>
        <w:numPr>
          <w:ilvl w:val="0"/>
          <w:numId w:val="9"/>
        </w:numPr>
        <w:tabs>
          <w:tab w:val="left" w:pos="393"/>
          <w:tab w:val="left" w:pos="394"/>
        </w:tabs>
        <w:spacing w:before="31" w:line="242" w:lineRule="auto"/>
        <w:ind w:right="129"/>
        <w:rPr>
          <w:sz w:val="24"/>
        </w:rPr>
      </w:pPr>
      <w:r>
        <w:rPr>
          <w:color w:val="231F20"/>
          <w:sz w:val="24"/>
        </w:rPr>
        <w:t>reclassified amounts relating to fair value through other comprehensive income from the reserves to</w:t>
      </w:r>
      <w:r>
        <w:rPr>
          <w:color w:val="231F20"/>
          <w:spacing w:val="-1"/>
          <w:sz w:val="24"/>
        </w:rPr>
        <w:t xml:space="preserve"> </w:t>
      </w:r>
      <w:r>
        <w:rPr>
          <w:color w:val="231F20"/>
          <w:sz w:val="24"/>
        </w:rPr>
        <w:t>net result due</w:t>
      </w:r>
      <w:r>
        <w:rPr>
          <w:color w:val="231F20"/>
          <w:spacing w:val="-1"/>
          <w:sz w:val="24"/>
        </w:rPr>
        <w:t xml:space="preserve"> </w:t>
      </w:r>
      <w:r>
        <w:rPr>
          <w:color w:val="231F20"/>
          <w:sz w:val="24"/>
        </w:rPr>
        <w:t>to</w:t>
      </w:r>
      <w:r>
        <w:rPr>
          <w:color w:val="231F20"/>
          <w:spacing w:val="-1"/>
          <w:sz w:val="24"/>
        </w:rPr>
        <w:t xml:space="preserve"> </w:t>
      </w:r>
      <w:r>
        <w:rPr>
          <w:color w:val="231F20"/>
          <w:sz w:val="24"/>
        </w:rPr>
        <w:t>a</w:t>
      </w:r>
      <w:r>
        <w:rPr>
          <w:color w:val="231F20"/>
          <w:spacing w:val="-1"/>
          <w:sz w:val="24"/>
        </w:rPr>
        <w:t xml:space="preserve"> </w:t>
      </w:r>
      <w:r>
        <w:rPr>
          <w:color w:val="231F20"/>
          <w:sz w:val="24"/>
        </w:rPr>
        <w:t>disposal</w:t>
      </w:r>
      <w:r>
        <w:rPr>
          <w:color w:val="231F20"/>
          <w:spacing w:val="-1"/>
          <w:sz w:val="24"/>
        </w:rPr>
        <w:t xml:space="preserve"> </w:t>
      </w:r>
      <w:r>
        <w:rPr>
          <w:color w:val="231F20"/>
          <w:sz w:val="24"/>
        </w:rPr>
        <w:t>or derecognition</w:t>
      </w:r>
      <w:r>
        <w:rPr>
          <w:color w:val="231F20"/>
          <w:spacing w:val="-1"/>
          <w:sz w:val="24"/>
        </w:rPr>
        <w:t xml:space="preserve"> </w:t>
      </w:r>
      <w:r>
        <w:rPr>
          <w:color w:val="231F20"/>
          <w:sz w:val="24"/>
        </w:rPr>
        <w:t>of the</w:t>
      </w:r>
      <w:r>
        <w:rPr>
          <w:color w:val="231F20"/>
          <w:spacing w:val="-1"/>
          <w:sz w:val="24"/>
        </w:rPr>
        <w:t xml:space="preserve"> </w:t>
      </w:r>
      <w:r>
        <w:rPr>
          <w:color w:val="231F20"/>
          <w:sz w:val="24"/>
        </w:rPr>
        <w:t>financial</w:t>
      </w:r>
      <w:r>
        <w:rPr>
          <w:color w:val="231F20"/>
          <w:spacing w:val="-1"/>
          <w:sz w:val="24"/>
        </w:rPr>
        <w:t xml:space="preserve"> </w:t>
      </w:r>
      <w:r>
        <w:rPr>
          <w:color w:val="231F20"/>
          <w:sz w:val="24"/>
        </w:rPr>
        <w:t>instrument. This does not</w:t>
      </w:r>
      <w:r>
        <w:rPr>
          <w:color w:val="231F20"/>
          <w:spacing w:val="-10"/>
          <w:sz w:val="24"/>
        </w:rPr>
        <w:t xml:space="preserve"> </w:t>
      </w:r>
      <w:r>
        <w:rPr>
          <w:color w:val="231F20"/>
          <w:sz w:val="24"/>
        </w:rPr>
        <w:t>include</w:t>
      </w:r>
      <w:r>
        <w:rPr>
          <w:color w:val="231F20"/>
          <w:spacing w:val="-10"/>
          <w:sz w:val="24"/>
        </w:rPr>
        <w:t xml:space="preserve"> </w:t>
      </w:r>
      <w:r>
        <w:rPr>
          <w:color w:val="231F20"/>
          <w:sz w:val="24"/>
        </w:rPr>
        <w:t>reclassification</w:t>
      </w:r>
      <w:r>
        <w:rPr>
          <w:color w:val="231F20"/>
          <w:spacing w:val="-10"/>
          <w:sz w:val="24"/>
        </w:rPr>
        <w:t xml:space="preserve"> </w:t>
      </w:r>
      <w:r>
        <w:rPr>
          <w:color w:val="231F20"/>
          <w:sz w:val="24"/>
        </w:rPr>
        <w:t>between</w:t>
      </w:r>
      <w:r>
        <w:rPr>
          <w:color w:val="231F20"/>
          <w:spacing w:val="-10"/>
          <w:sz w:val="24"/>
        </w:rPr>
        <w:t xml:space="preserve"> </w:t>
      </w:r>
      <w:r>
        <w:rPr>
          <w:color w:val="231F20"/>
          <w:sz w:val="24"/>
        </w:rPr>
        <w:t>equity</w:t>
      </w:r>
      <w:r>
        <w:rPr>
          <w:color w:val="231F20"/>
          <w:spacing w:val="-10"/>
          <w:sz w:val="24"/>
        </w:rPr>
        <w:t xml:space="preserve"> </w:t>
      </w:r>
      <w:r>
        <w:rPr>
          <w:color w:val="231F20"/>
          <w:sz w:val="24"/>
        </w:rPr>
        <w:t>accounts</w:t>
      </w:r>
      <w:r>
        <w:rPr>
          <w:color w:val="231F20"/>
          <w:spacing w:val="-10"/>
          <w:sz w:val="24"/>
        </w:rPr>
        <w:t xml:space="preserve"> </w:t>
      </w:r>
      <w:r>
        <w:rPr>
          <w:color w:val="231F20"/>
          <w:sz w:val="24"/>
        </w:rPr>
        <w:t>due</w:t>
      </w:r>
      <w:r>
        <w:rPr>
          <w:color w:val="231F20"/>
          <w:spacing w:val="-10"/>
          <w:sz w:val="24"/>
        </w:rPr>
        <w:t xml:space="preserve"> </w:t>
      </w:r>
      <w:r>
        <w:rPr>
          <w:color w:val="231F20"/>
          <w:sz w:val="24"/>
        </w:rPr>
        <w:t>to</w:t>
      </w:r>
      <w:r>
        <w:rPr>
          <w:color w:val="231F20"/>
          <w:spacing w:val="-10"/>
          <w:sz w:val="24"/>
        </w:rPr>
        <w:t xml:space="preserve"> </w:t>
      </w:r>
      <w:r>
        <w:rPr>
          <w:color w:val="231F20"/>
          <w:sz w:val="24"/>
        </w:rPr>
        <w:t>machinery</w:t>
      </w:r>
      <w:r>
        <w:rPr>
          <w:color w:val="231F20"/>
          <w:spacing w:val="-10"/>
          <w:sz w:val="24"/>
        </w:rPr>
        <w:t xml:space="preserve"> </w:t>
      </w:r>
      <w:r>
        <w:rPr>
          <w:color w:val="231F20"/>
          <w:sz w:val="24"/>
        </w:rPr>
        <w:t>of</w:t>
      </w:r>
      <w:r>
        <w:rPr>
          <w:color w:val="231F20"/>
          <w:spacing w:val="-10"/>
          <w:sz w:val="24"/>
        </w:rPr>
        <w:t xml:space="preserve"> </w:t>
      </w:r>
      <w:r>
        <w:rPr>
          <w:color w:val="231F20"/>
          <w:sz w:val="24"/>
        </w:rPr>
        <w:t>government</w:t>
      </w:r>
      <w:r>
        <w:rPr>
          <w:color w:val="231F20"/>
          <w:spacing w:val="-10"/>
          <w:sz w:val="24"/>
        </w:rPr>
        <w:t xml:space="preserve"> </w:t>
      </w:r>
      <w:r>
        <w:rPr>
          <w:color w:val="231F20"/>
          <w:sz w:val="24"/>
        </w:rPr>
        <w:t>changes or ‘other transfers’ of assets.</w:t>
      </w:r>
    </w:p>
    <w:p w14:paraId="66D67C98" w14:textId="77777777" w:rsidR="00345EE3" w:rsidRDefault="00345EE3" w:rsidP="00345EE3">
      <w:pPr>
        <w:pStyle w:val="BodyText"/>
        <w:spacing w:before="7"/>
        <w:rPr>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937"/>
        <w:gridCol w:w="1134"/>
        <w:gridCol w:w="1134"/>
      </w:tblGrid>
      <w:tr w:rsidR="00345EE3" w14:paraId="5F88EB36" w14:textId="77777777" w:rsidTr="00D73130">
        <w:trPr>
          <w:trHeight w:val="405"/>
        </w:trPr>
        <w:tc>
          <w:tcPr>
            <w:tcW w:w="10205" w:type="dxa"/>
            <w:gridSpan w:val="3"/>
            <w:tcBorders>
              <w:top w:val="nil"/>
              <w:left w:val="nil"/>
              <w:bottom w:val="nil"/>
              <w:right w:val="nil"/>
            </w:tcBorders>
            <w:shd w:val="clear" w:color="auto" w:fill="00529F"/>
          </w:tcPr>
          <w:p w14:paraId="4D76BEF7"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41FBA6AE" w14:textId="77777777" w:rsidTr="00D73130">
        <w:trPr>
          <w:trHeight w:val="397"/>
        </w:trPr>
        <w:tc>
          <w:tcPr>
            <w:tcW w:w="7937" w:type="dxa"/>
            <w:tcBorders>
              <w:top w:val="nil"/>
              <w:left w:val="nil"/>
              <w:bottom w:val="nil"/>
              <w:right w:val="nil"/>
            </w:tcBorders>
            <w:shd w:val="clear" w:color="auto" w:fill="00529F"/>
          </w:tcPr>
          <w:p w14:paraId="22B45C86"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7C4E355A" w14:textId="77777777" w:rsidR="00345EE3" w:rsidRDefault="00345EE3" w:rsidP="00D73130">
            <w:pPr>
              <w:pStyle w:val="TableParagraph"/>
              <w:spacing w:before="59"/>
              <w:ind w:right="3"/>
              <w:rPr>
                <w:b/>
                <w:sz w:val="24"/>
              </w:rPr>
            </w:pPr>
            <w:r>
              <w:rPr>
                <w:b/>
                <w:color w:val="FFFFFF"/>
                <w:spacing w:val="-4"/>
                <w:sz w:val="24"/>
              </w:rPr>
              <w:t>2022</w:t>
            </w:r>
          </w:p>
        </w:tc>
        <w:tc>
          <w:tcPr>
            <w:tcW w:w="1134" w:type="dxa"/>
            <w:tcBorders>
              <w:top w:val="nil"/>
              <w:left w:val="nil"/>
              <w:bottom w:val="nil"/>
              <w:right w:val="nil"/>
            </w:tcBorders>
            <w:shd w:val="clear" w:color="auto" w:fill="00529F"/>
          </w:tcPr>
          <w:p w14:paraId="5F61B222" w14:textId="77777777" w:rsidR="00345EE3" w:rsidRDefault="00345EE3" w:rsidP="00D73130">
            <w:pPr>
              <w:pStyle w:val="TableParagraph"/>
              <w:spacing w:before="59"/>
              <w:rPr>
                <w:b/>
                <w:sz w:val="24"/>
              </w:rPr>
            </w:pPr>
            <w:r>
              <w:rPr>
                <w:b/>
                <w:color w:val="FFFFFF"/>
                <w:spacing w:val="-4"/>
                <w:sz w:val="24"/>
              </w:rPr>
              <w:t>2021</w:t>
            </w:r>
          </w:p>
        </w:tc>
      </w:tr>
      <w:tr w:rsidR="00345EE3" w14:paraId="112F313C" w14:textId="77777777" w:rsidTr="00D73130">
        <w:trPr>
          <w:trHeight w:val="396"/>
        </w:trPr>
        <w:tc>
          <w:tcPr>
            <w:tcW w:w="7937" w:type="dxa"/>
            <w:tcBorders>
              <w:top w:val="nil"/>
              <w:left w:val="nil"/>
            </w:tcBorders>
          </w:tcPr>
          <w:p w14:paraId="6E36435D" w14:textId="77777777" w:rsidR="00345EE3" w:rsidRDefault="00345EE3" w:rsidP="00D73130">
            <w:pPr>
              <w:pStyle w:val="TableParagraph"/>
              <w:ind w:left="-3"/>
              <w:jc w:val="left"/>
              <w:rPr>
                <w:b/>
                <w:sz w:val="24"/>
              </w:rPr>
            </w:pPr>
            <w:r>
              <w:rPr>
                <w:b/>
                <w:color w:val="231F20"/>
                <w:sz w:val="24"/>
              </w:rPr>
              <w:t>Net</w:t>
            </w:r>
            <w:r>
              <w:rPr>
                <w:b/>
                <w:color w:val="231F20"/>
                <w:spacing w:val="-5"/>
                <w:sz w:val="24"/>
              </w:rPr>
              <w:t xml:space="preserve"> </w:t>
            </w:r>
            <w:r>
              <w:rPr>
                <w:b/>
                <w:color w:val="231F20"/>
                <w:sz w:val="24"/>
              </w:rPr>
              <w:t>Gain/(Loss)</w:t>
            </w:r>
            <w:r>
              <w:rPr>
                <w:b/>
                <w:color w:val="231F20"/>
                <w:spacing w:val="-4"/>
                <w:sz w:val="24"/>
              </w:rPr>
              <w:t xml:space="preserve"> </w:t>
            </w:r>
            <w:r>
              <w:rPr>
                <w:b/>
                <w:color w:val="231F20"/>
                <w:sz w:val="24"/>
              </w:rPr>
              <w:t>on</w:t>
            </w:r>
            <w:r>
              <w:rPr>
                <w:b/>
                <w:color w:val="231F20"/>
                <w:spacing w:val="-3"/>
                <w:sz w:val="24"/>
              </w:rPr>
              <w:t xml:space="preserve"> </w:t>
            </w:r>
            <w:r>
              <w:rPr>
                <w:b/>
                <w:color w:val="231F20"/>
                <w:sz w:val="24"/>
              </w:rPr>
              <w:t>Non-Financial</w:t>
            </w:r>
            <w:r>
              <w:rPr>
                <w:b/>
                <w:color w:val="231F20"/>
                <w:spacing w:val="-13"/>
                <w:sz w:val="24"/>
              </w:rPr>
              <w:t xml:space="preserve"> </w:t>
            </w:r>
            <w:r>
              <w:rPr>
                <w:b/>
                <w:color w:val="231F20"/>
                <w:spacing w:val="-2"/>
                <w:sz w:val="24"/>
              </w:rPr>
              <w:t>Assets</w:t>
            </w:r>
          </w:p>
        </w:tc>
        <w:tc>
          <w:tcPr>
            <w:tcW w:w="1134" w:type="dxa"/>
            <w:tcBorders>
              <w:top w:val="nil"/>
            </w:tcBorders>
            <w:shd w:val="clear" w:color="auto" w:fill="E6E7E8"/>
          </w:tcPr>
          <w:p w14:paraId="32C3450A" w14:textId="77777777" w:rsidR="00345EE3" w:rsidRDefault="00345EE3" w:rsidP="00D73130">
            <w:pPr>
              <w:pStyle w:val="TableParagraph"/>
              <w:spacing w:before="0"/>
              <w:jc w:val="left"/>
              <w:rPr>
                <w:rFonts w:ascii="Times New Roman"/>
              </w:rPr>
            </w:pPr>
          </w:p>
        </w:tc>
        <w:tc>
          <w:tcPr>
            <w:tcW w:w="1134" w:type="dxa"/>
            <w:tcBorders>
              <w:top w:val="nil"/>
              <w:right w:val="nil"/>
            </w:tcBorders>
          </w:tcPr>
          <w:p w14:paraId="083C6D06" w14:textId="77777777" w:rsidR="00345EE3" w:rsidRDefault="00345EE3" w:rsidP="00D73130">
            <w:pPr>
              <w:pStyle w:val="TableParagraph"/>
              <w:spacing w:before="0"/>
              <w:jc w:val="left"/>
              <w:rPr>
                <w:rFonts w:ascii="Times New Roman"/>
              </w:rPr>
            </w:pPr>
          </w:p>
        </w:tc>
      </w:tr>
      <w:tr w:rsidR="00345EE3" w14:paraId="104E45D9" w14:textId="77777777" w:rsidTr="00D73130">
        <w:trPr>
          <w:trHeight w:val="396"/>
        </w:trPr>
        <w:tc>
          <w:tcPr>
            <w:tcW w:w="7937" w:type="dxa"/>
            <w:tcBorders>
              <w:left w:val="nil"/>
            </w:tcBorders>
          </w:tcPr>
          <w:p w14:paraId="5A808B29" w14:textId="77777777" w:rsidR="00345EE3" w:rsidRDefault="00345EE3" w:rsidP="00D73130">
            <w:pPr>
              <w:pStyle w:val="TableParagraph"/>
              <w:ind w:left="-3"/>
              <w:jc w:val="left"/>
              <w:rPr>
                <w:sz w:val="24"/>
              </w:rPr>
            </w:pPr>
            <w:r>
              <w:rPr>
                <w:color w:val="231F20"/>
                <w:sz w:val="24"/>
              </w:rPr>
              <w:t>Net</w:t>
            </w:r>
            <w:r>
              <w:rPr>
                <w:color w:val="231F20"/>
                <w:spacing w:val="-7"/>
                <w:sz w:val="24"/>
              </w:rPr>
              <w:t xml:space="preserve"> </w:t>
            </w:r>
            <w:r>
              <w:rPr>
                <w:color w:val="231F20"/>
                <w:sz w:val="24"/>
              </w:rPr>
              <w:t>gain</w:t>
            </w:r>
            <w:r>
              <w:rPr>
                <w:color w:val="231F20"/>
                <w:spacing w:val="-4"/>
                <w:sz w:val="24"/>
              </w:rPr>
              <w:t xml:space="preserve"> </w:t>
            </w:r>
            <w:r>
              <w:rPr>
                <w:color w:val="231F20"/>
                <w:sz w:val="24"/>
              </w:rPr>
              <w:t>on</w:t>
            </w:r>
            <w:r>
              <w:rPr>
                <w:color w:val="231F20"/>
                <w:spacing w:val="-4"/>
                <w:sz w:val="24"/>
              </w:rPr>
              <w:t xml:space="preserve"> </w:t>
            </w:r>
            <w:r>
              <w:rPr>
                <w:color w:val="231F20"/>
                <w:sz w:val="24"/>
              </w:rPr>
              <w:t>disposal</w:t>
            </w:r>
            <w:r>
              <w:rPr>
                <w:color w:val="231F20"/>
                <w:spacing w:val="-4"/>
                <w:sz w:val="24"/>
              </w:rPr>
              <w:t xml:space="preserve"> </w:t>
            </w:r>
            <w:r>
              <w:rPr>
                <w:color w:val="231F20"/>
                <w:sz w:val="24"/>
              </w:rPr>
              <w:t>of</w:t>
            </w:r>
            <w:r>
              <w:rPr>
                <w:color w:val="231F20"/>
                <w:spacing w:val="-5"/>
                <w:sz w:val="24"/>
              </w:rPr>
              <w:t xml:space="preserve"> </w:t>
            </w:r>
            <w:r>
              <w:rPr>
                <w:color w:val="231F20"/>
                <w:sz w:val="24"/>
              </w:rPr>
              <w:t>plant,</w:t>
            </w:r>
            <w:r>
              <w:rPr>
                <w:color w:val="231F20"/>
                <w:spacing w:val="-4"/>
                <w:sz w:val="24"/>
              </w:rPr>
              <w:t xml:space="preserve"> </w:t>
            </w:r>
            <w:r>
              <w:rPr>
                <w:color w:val="231F20"/>
                <w:sz w:val="24"/>
              </w:rPr>
              <w:t>equipment</w:t>
            </w:r>
            <w:r>
              <w:rPr>
                <w:color w:val="231F20"/>
                <w:spacing w:val="-4"/>
                <w:sz w:val="24"/>
              </w:rPr>
              <w:t xml:space="preserve"> </w:t>
            </w:r>
            <w:r>
              <w:rPr>
                <w:color w:val="231F20"/>
                <w:sz w:val="24"/>
              </w:rPr>
              <w:t>and</w:t>
            </w:r>
            <w:r>
              <w:rPr>
                <w:color w:val="231F20"/>
                <w:spacing w:val="-4"/>
                <w:sz w:val="24"/>
              </w:rPr>
              <w:t xml:space="preserve"> </w:t>
            </w:r>
            <w:r>
              <w:rPr>
                <w:color w:val="231F20"/>
                <w:sz w:val="24"/>
              </w:rPr>
              <w:t>motor</w:t>
            </w:r>
            <w:r>
              <w:rPr>
                <w:color w:val="231F20"/>
                <w:spacing w:val="-3"/>
                <w:sz w:val="24"/>
              </w:rPr>
              <w:t xml:space="preserve"> </w:t>
            </w:r>
            <w:r>
              <w:rPr>
                <w:color w:val="231F20"/>
                <w:spacing w:val="-2"/>
                <w:sz w:val="24"/>
              </w:rPr>
              <w:t>vehicles</w:t>
            </w:r>
          </w:p>
        </w:tc>
        <w:tc>
          <w:tcPr>
            <w:tcW w:w="1134" w:type="dxa"/>
            <w:shd w:val="clear" w:color="auto" w:fill="E6E7E8"/>
          </w:tcPr>
          <w:p w14:paraId="10677EDC" w14:textId="77777777" w:rsidR="00345EE3" w:rsidRDefault="00345EE3" w:rsidP="00D73130">
            <w:pPr>
              <w:pStyle w:val="TableParagraph"/>
              <w:ind w:right="1"/>
              <w:rPr>
                <w:sz w:val="24"/>
              </w:rPr>
            </w:pPr>
            <w:r>
              <w:rPr>
                <w:color w:val="231F20"/>
                <w:spacing w:val="-2"/>
                <w:sz w:val="24"/>
              </w:rPr>
              <w:t>13,856</w:t>
            </w:r>
          </w:p>
        </w:tc>
        <w:tc>
          <w:tcPr>
            <w:tcW w:w="1134" w:type="dxa"/>
            <w:tcBorders>
              <w:right w:val="nil"/>
            </w:tcBorders>
          </w:tcPr>
          <w:p w14:paraId="6D7A8507" w14:textId="77777777" w:rsidR="00345EE3" w:rsidRDefault="00345EE3" w:rsidP="00D73130">
            <w:pPr>
              <w:pStyle w:val="TableParagraph"/>
              <w:rPr>
                <w:sz w:val="24"/>
              </w:rPr>
            </w:pPr>
            <w:r>
              <w:rPr>
                <w:color w:val="231F20"/>
                <w:spacing w:val="-2"/>
                <w:sz w:val="24"/>
              </w:rPr>
              <w:t>15,637</w:t>
            </w:r>
          </w:p>
        </w:tc>
      </w:tr>
      <w:tr w:rsidR="00345EE3" w14:paraId="34FA51EC" w14:textId="77777777" w:rsidTr="00D73130">
        <w:trPr>
          <w:trHeight w:val="393"/>
        </w:trPr>
        <w:tc>
          <w:tcPr>
            <w:tcW w:w="7937" w:type="dxa"/>
            <w:tcBorders>
              <w:left w:val="nil"/>
              <w:bottom w:val="single" w:sz="4" w:space="0" w:color="231F20"/>
            </w:tcBorders>
          </w:tcPr>
          <w:p w14:paraId="25DA4351" w14:textId="77777777" w:rsidR="00345EE3" w:rsidRDefault="00345EE3" w:rsidP="00D73130">
            <w:pPr>
              <w:pStyle w:val="TableParagraph"/>
              <w:ind w:left="-3"/>
              <w:jc w:val="left"/>
              <w:rPr>
                <w:sz w:val="24"/>
              </w:rPr>
            </w:pPr>
            <w:r>
              <w:rPr>
                <w:color w:val="231F20"/>
                <w:sz w:val="24"/>
              </w:rPr>
              <w:t xml:space="preserve">Assets recognised for the first </w:t>
            </w:r>
            <w:r>
              <w:rPr>
                <w:color w:val="231F20"/>
                <w:spacing w:val="-4"/>
                <w:sz w:val="24"/>
              </w:rPr>
              <w:t>time</w:t>
            </w:r>
          </w:p>
        </w:tc>
        <w:tc>
          <w:tcPr>
            <w:tcW w:w="1134" w:type="dxa"/>
            <w:tcBorders>
              <w:bottom w:val="single" w:sz="4" w:space="0" w:color="231F20"/>
            </w:tcBorders>
            <w:shd w:val="clear" w:color="auto" w:fill="E6E7E8"/>
          </w:tcPr>
          <w:p w14:paraId="415537B8" w14:textId="77777777" w:rsidR="00345EE3" w:rsidRDefault="00345EE3" w:rsidP="00D73130">
            <w:pPr>
              <w:pStyle w:val="TableParagraph"/>
              <w:rPr>
                <w:sz w:val="24"/>
              </w:rPr>
            </w:pPr>
            <w:r>
              <w:rPr>
                <w:color w:val="231F20"/>
                <w:spacing w:val="-2"/>
                <w:sz w:val="24"/>
              </w:rPr>
              <w:t>1,496</w:t>
            </w:r>
          </w:p>
        </w:tc>
        <w:tc>
          <w:tcPr>
            <w:tcW w:w="1134" w:type="dxa"/>
            <w:tcBorders>
              <w:bottom w:val="single" w:sz="4" w:space="0" w:color="231F20"/>
              <w:right w:val="nil"/>
            </w:tcBorders>
          </w:tcPr>
          <w:p w14:paraId="7D4757A5" w14:textId="77777777" w:rsidR="00345EE3" w:rsidRDefault="00345EE3" w:rsidP="00D73130">
            <w:pPr>
              <w:pStyle w:val="TableParagraph"/>
              <w:rPr>
                <w:sz w:val="24"/>
              </w:rPr>
            </w:pPr>
            <w:r>
              <w:rPr>
                <w:color w:val="231F20"/>
                <w:spacing w:val="-5"/>
                <w:sz w:val="24"/>
              </w:rPr>
              <w:t>60</w:t>
            </w:r>
          </w:p>
        </w:tc>
      </w:tr>
      <w:tr w:rsidR="00345EE3" w14:paraId="2B119F0B" w14:textId="77777777" w:rsidTr="00D73130">
        <w:trPr>
          <w:trHeight w:val="391"/>
        </w:trPr>
        <w:tc>
          <w:tcPr>
            <w:tcW w:w="7937" w:type="dxa"/>
            <w:tcBorders>
              <w:top w:val="single" w:sz="4" w:space="0" w:color="231F20"/>
              <w:left w:val="nil"/>
              <w:bottom w:val="single" w:sz="4" w:space="0" w:color="231F20"/>
            </w:tcBorders>
          </w:tcPr>
          <w:p w14:paraId="0225A3AE" w14:textId="77777777" w:rsidR="00345EE3" w:rsidRDefault="00345EE3" w:rsidP="00D73130">
            <w:pPr>
              <w:pStyle w:val="TableParagraph"/>
              <w:spacing w:before="58"/>
              <w:ind w:left="-3"/>
              <w:jc w:val="left"/>
              <w:rPr>
                <w:b/>
                <w:sz w:val="24"/>
              </w:rPr>
            </w:pPr>
            <w:r>
              <w:rPr>
                <w:b/>
                <w:color w:val="231F20"/>
                <w:sz w:val="24"/>
              </w:rPr>
              <w:t>Total</w:t>
            </w:r>
            <w:r>
              <w:rPr>
                <w:b/>
                <w:color w:val="231F20"/>
                <w:spacing w:val="-9"/>
                <w:sz w:val="24"/>
              </w:rPr>
              <w:t xml:space="preserve"> </w:t>
            </w:r>
            <w:r>
              <w:rPr>
                <w:b/>
                <w:color w:val="231F20"/>
                <w:sz w:val="24"/>
              </w:rPr>
              <w:t>Net</w:t>
            </w:r>
            <w:r>
              <w:rPr>
                <w:b/>
                <w:color w:val="231F20"/>
                <w:spacing w:val="-8"/>
                <w:sz w:val="24"/>
              </w:rPr>
              <w:t xml:space="preserve"> </w:t>
            </w:r>
            <w:r>
              <w:rPr>
                <w:b/>
                <w:color w:val="231F20"/>
                <w:sz w:val="24"/>
              </w:rPr>
              <w:t>Gain/(Loss)</w:t>
            </w:r>
            <w:r>
              <w:rPr>
                <w:b/>
                <w:color w:val="231F20"/>
                <w:spacing w:val="-6"/>
                <w:sz w:val="24"/>
              </w:rPr>
              <w:t xml:space="preserve"> </w:t>
            </w:r>
            <w:r>
              <w:rPr>
                <w:b/>
                <w:color w:val="231F20"/>
                <w:sz w:val="24"/>
              </w:rPr>
              <w:t>on</w:t>
            </w:r>
            <w:r>
              <w:rPr>
                <w:b/>
                <w:color w:val="231F20"/>
                <w:spacing w:val="-7"/>
                <w:sz w:val="24"/>
              </w:rPr>
              <w:t xml:space="preserve"> </w:t>
            </w:r>
            <w:r>
              <w:rPr>
                <w:b/>
                <w:color w:val="231F20"/>
                <w:sz w:val="24"/>
              </w:rPr>
              <w:t>Non-Financial</w:t>
            </w:r>
            <w:r>
              <w:rPr>
                <w:b/>
                <w:color w:val="231F20"/>
                <w:spacing w:val="-15"/>
                <w:sz w:val="24"/>
              </w:rPr>
              <w:t xml:space="preserve"> </w:t>
            </w:r>
            <w:r>
              <w:rPr>
                <w:b/>
                <w:color w:val="231F20"/>
                <w:spacing w:val="-2"/>
                <w:sz w:val="24"/>
              </w:rPr>
              <w:t>Assets</w:t>
            </w:r>
          </w:p>
        </w:tc>
        <w:tc>
          <w:tcPr>
            <w:tcW w:w="1134" w:type="dxa"/>
            <w:tcBorders>
              <w:top w:val="single" w:sz="4" w:space="0" w:color="231F20"/>
              <w:bottom w:val="single" w:sz="4" w:space="0" w:color="231F20"/>
            </w:tcBorders>
            <w:shd w:val="clear" w:color="auto" w:fill="E6E7E8"/>
          </w:tcPr>
          <w:p w14:paraId="7904EE9F" w14:textId="77777777" w:rsidR="00345EE3" w:rsidRDefault="00345EE3" w:rsidP="00D73130">
            <w:pPr>
              <w:pStyle w:val="TableParagraph"/>
              <w:spacing w:before="58"/>
              <w:rPr>
                <w:b/>
                <w:sz w:val="24"/>
              </w:rPr>
            </w:pPr>
            <w:r>
              <w:rPr>
                <w:b/>
                <w:color w:val="231F20"/>
                <w:spacing w:val="-2"/>
                <w:sz w:val="24"/>
              </w:rPr>
              <w:t>15,352</w:t>
            </w:r>
          </w:p>
        </w:tc>
        <w:tc>
          <w:tcPr>
            <w:tcW w:w="1134" w:type="dxa"/>
            <w:tcBorders>
              <w:top w:val="single" w:sz="4" w:space="0" w:color="231F20"/>
              <w:bottom w:val="single" w:sz="4" w:space="0" w:color="231F20"/>
              <w:right w:val="nil"/>
            </w:tcBorders>
          </w:tcPr>
          <w:p w14:paraId="4D43549B" w14:textId="77777777" w:rsidR="00345EE3" w:rsidRDefault="00345EE3" w:rsidP="00D73130">
            <w:pPr>
              <w:pStyle w:val="TableParagraph"/>
              <w:spacing w:before="58"/>
              <w:ind w:right="-15"/>
              <w:rPr>
                <w:b/>
                <w:sz w:val="24"/>
              </w:rPr>
            </w:pPr>
            <w:r>
              <w:rPr>
                <w:b/>
                <w:color w:val="231F20"/>
                <w:spacing w:val="-2"/>
                <w:sz w:val="24"/>
              </w:rPr>
              <w:t>15,697</w:t>
            </w:r>
          </w:p>
        </w:tc>
      </w:tr>
      <w:tr w:rsidR="00345EE3" w14:paraId="677635AB" w14:textId="77777777" w:rsidTr="00D73130">
        <w:trPr>
          <w:trHeight w:val="393"/>
        </w:trPr>
        <w:tc>
          <w:tcPr>
            <w:tcW w:w="7937" w:type="dxa"/>
            <w:tcBorders>
              <w:top w:val="single" w:sz="4" w:space="0" w:color="231F20"/>
              <w:left w:val="nil"/>
            </w:tcBorders>
          </w:tcPr>
          <w:p w14:paraId="5E0F2F94" w14:textId="77777777" w:rsidR="00345EE3" w:rsidRDefault="00345EE3" w:rsidP="00D73130">
            <w:pPr>
              <w:pStyle w:val="TableParagraph"/>
              <w:spacing w:before="58"/>
              <w:ind w:left="-3"/>
              <w:jc w:val="left"/>
              <w:rPr>
                <w:b/>
                <w:sz w:val="24"/>
              </w:rPr>
            </w:pPr>
            <w:r>
              <w:rPr>
                <w:b/>
                <w:color w:val="231F20"/>
                <w:sz w:val="24"/>
              </w:rPr>
              <w:t xml:space="preserve">Other Gain/(Loss) from Other Economic </w:t>
            </w:r>
            <w:r>
              <w:rPr>
                <w:b/>
                <w:color w:val="231F20"/>
                <w:spacing w:val="-2"/>
                <w:sz w:val="24"/>
              </w:rPr>
              <w:t>Flows</w:t>
            </w:r>
          </w:p>
        </w:tc>
        <w:tc>
          <w:tcPr>
            <w:tcW w:w="1134" w:type="dxa"/>
            <w:tcBorders>
              <w:top w:val="single" w:sz="4" w:space="0" w:color="231F20"/>
            </w:tcBorders>
            <w:shd w:val="clear" w:color="auto" w:fill="E6E7E8"/>
          </w:tcPr>
          <w:p w14:paraId="07A11EA8" w14:textId="77777777" w:rsidR="00345EE3" w:rsidRDefault="00345EE3" w:rsidP="00D73130">
            <w:pPr>
              <w:pStyle w:val="TableParagraph"/>
              <w:spacing w:before="0"/>
              <w:jc w:val="left"/>
              <w:rPr>
                <w:rFonts w:ascii="Times New Roman"/>
              </w:rPr>
            </w:pPr>
          </w:p>
        </w:tc>
        <w:tc>
          <w:tcPr>
            <w:tcW w:w="1134" w:type="dxa"/>
            <w:tcBorders>
              <w:top w:val="single" w:sz="4" w:space="0" w:color="231F20"/>
              <w:right w:val="nil"/>
            </w:tcBorders>
          </w:tcPr>
          <w:p w14:paraId="4B21B6FF" w14:textId="77777777" w:rsidR="00345EE3" w:rsidRDefault="00345EE3" w:rsidP="00D73130">
            <w:pPr>
              <w:pStyle w:val="TableParagraph"/>
              <w:spacing w:before="0"/>
              <w:jc w:val="left"/>
              <w:rPr>
                <w:rFonts w:ascii="Times New Roman"/>
              </w:rPr>
            </w:pPr>
          </w:p>
        </w:tc>
      </w:tr>
      <w:tr w:rsidR="00345EE3" w14:paraId="1D1419BA" w14:textId="77777777" w:rsidTr="00D73130">
        <w:trPr>
          <w:trHeight w:val="396"/>
        </w:trPr>
        <w:tc>
          <w:tcPr>
            <w:tcW w:w="7937" w:type="dxa"/>
            <w:tcBorders>
              <w:left w:val="nil"/>
            </w:tcBorders>
          </w:tcPr>
          <w:p w14:paraId="3CF5C394" w14:textId="77777777" w:rsidR="00345EE3" w:rsidRDefault="00345EE3" w:rsidP="00D73130">
            <w:pPr>
              <w:pStyle w:val="TableParagraph"/>
              <w:ind w:left="-3"/>
              <w:jc w:val="left"/>
              <w:rPr>
                <w:sz w:val="24"/>
              </w:rPr>
            </w:pPr>
            <w:r>
              <w:rPr>
                <w:color w:val="231F20"/>
                <w:sz w:val="24"/>
              </w:rPr>
              <w:t>Net</w:t>
            </w:r>
            <w:r>
              <w:rPr>
                <w:color w:val="231F20"/>
                <w:spacing w:val="-7"/>
                <w:sz w:val="24"/>
              </w:rPr>
              <w:t xml:space="preserve"> </w:t>
            </w:r>
            <w:r>
              <w:rPr>
                <w:color w:val="231F20"/>
                <w:sz w:val="24"/>
              </w:rPr>
              <w:t>gain/(loss)</w:t>
            </w:r>
            <w:r>
              <w:rPr>
                <w:color w:val="231F20"/>
                <w:spacing w:val="-4"/>
                <w:sz w:val="24"/>
              </w:rPr>
              <w:t xml:space="preserve"> </w:t>
            </w:r>
            <w:r>
              <w:rPr>
                <w:color w:val="231F20"/>
                <w:sz w:val="24"/>
              </w:rPr>
              <w:t>arising</w:t>
            </w:r>
            <w:r>
              <w:rPr>
                <w:color w:val="231F20"/>
                <w:spacing w:val="-5"/>
                <w:sz w:val="24"/>
              </w:rPr>
              <w:t xml:space="preserve"> </w:t>
            </w:r>
            <w:r>
              <w:rPr>
                <w:color w:val="231F20"/>
                <w:sz w:val="24"/>
              </w:rPr>
              <w:t>from</w:t>
            </w:r>
            <w:r>
              <w:rPr>
                <w:color w:val="231F20"/>
                <w:spacing w:val="-3"/>
                <w:sz w:val="24"/>
              </w:rPr>
              <w:t xml:space="preserve"> </w:t>
            </w:r>
            <w:r>
              <w:rPr>
                <w:color w:val="231F20"/>
                <w:sz w:val="24"/>
              </w:rPr>
              <w:t>revaluation</w:t>
            </w:r>
            <w:r>
              <w:rPr>
                <w:color w:val="231F20"/>
                <w:spacing w:val="-4"/>
                <w:sz w:val="24"/>
              </w:rPr>
              <w:t xml:space="preserve"> </w:t>
            </w:r>
            <w:r>
              <w:rPr>
                <w:color w:val="231F20"/>
                <w:sz w:val="24"/>
              </w:rPr>
              <w:t>of</w:t>
            </w:r>
            <w:r>
              <w:rPr>
                <w:color w:val="231F20"/>
                <w:spacing w:val="-4"/>
                <w:sz w:val="24"/>
              </w:rPr>
              <w:t xml:space="preserve"> </w:t>
            </w:r>
            <w:r>
              <w:rPr>
                <w:color w:val="231F20"/>
                <w:sz w:val="24"/>
              </w:rPr>
              <w:t>long</w:t>
            </w:r>
            <w:r>
              <w:rPr>
                <w:color w:val="231F20"/>
                <w:spacing w:val="-4"/>
                <w:sz w:val="24"/>
              </w:rPr>
              <w:t xml:space="preserve"> </w:t>
            </w:r>
            <w:r>
              <w:rPr>
                <w:color w:val="231F20"/>
                <w:sz w:val="24"/>
              </w:rPr>
              <w:t>service</w:t>
            </w:r>
            <w:r>
              <w:rPr>
                <w:color w:val="231F20"/>
                <w:spacing w:val="-4"/>
                <w:sz w:val="24"/>
              </w:rPr>
              <w:t xml:space="preserve"> </w:t>
            </w:r>
            <w:r>
              <w:rPr>
                <w:color w:val="231F20"/>
                <w:sz w:val="24"/>
              </w:rPr>
              <w:t>leave</w:t>
            </w:r>
            <w:r>
              <w:rPr>
                <w:color w:val="231F20"/>
                <w:spacing w:val="-4"/>
                <w:sz w:val="24"/>
              </w:rPr>
              <w:t xml:space="preserve"> </w:t>
            </w:r>
            <w:r>
              <w:rPr>
                <w:color w:val="231F20"/>
                <w:sz w:val="24"/>
              </w:rPr>
              <w:t>liability</w:t>
            </w:r>
            <w:r>
              <w:rPr>
                <w:color w:val="231F20"/>
                <w:spacing w:val="-4"/>
                <w:sz w:val="24"/>
              </w:rPr>
              <w:t xml:space="preserve"> </w:t>
            </w:r>
            <w:r>
              <w:rPr>
                <w:color w:val="231F20"/>
                <w:spacing w:val="-5"/>
                <w:sz w:val="24"/>
              </w:rPr>
              <w:t>(a)</w:t>
            </w:r>
          </w:p>
        </w:tc>
        <w:tc>
          <w:tcPr>
            <w:tcW w:w="1134" w:type="dxa"/>
            <w:shd w:val="clear" w:color="auto" w:fill="E6E7E8"/>
          </w:tcPr>
          <w:p w14:paraId="3B5CD22B" w14:textId="77777777" w:rsidR="00345EE3" w:rsidRDefault="00345EE3" w:rsidP="00D73130">
            <w:pPr>
              <w:pStyle w:val="TableParagraph"/>
              <w:rPr>
                <w:sz w:val="24"/>
              </w:rPr>
            </w:pPr>
            <w:r>
              <w:rPr>
                <w:color w:val="231F20"/>
                <w:spacing w:val="-2"/>
                <w:sz w:val="24"/>
              </w:rPr>
              <w:t>68,111</w:t>
            </w:r>
          </w:p>
        </w:tc>
        <w:tc>
          <w:tcPr>
            <w:tcW w:w="1134" w:type="dxa"/>
            <w:tcBorders>
              <w:right w:val="nil"/>
            </w:tcBorders>
          </w:tcPr>
          <w:p w14:paraId="72F78772" w14:textId="77777777" w:rsidR="00345EE3" w:rsidRDefault="00345EE3" w:rsidP="00D73130">
            <w:pPr>
              <w:pStyle w:val="TableParagraph"/>
              <w:rPr>
                <w:sz w:val="24"/>
              </w:rPr>
            </w:pPr>
            <w:r>
              <w:rPr>
                <w:color w:val="231F20"/>
                <w:spacing w:val="-2"/>
                <w:sz w:val="24"/>
              </w:rPr>
              <w:t>9,651</w:t>
            </w:r>
          </w:p>
        </w:tc>
      </w:tr>
      <w:tr w:rsidR="00345EE3" w14:paraId="4B216BF2" w14:textId="77777777" w:rsidTr="00D73130">
        <w:trPr>
          <w:trHeight w:val="393"/>
        </w:trPr>
        <w:tc>
          <w:tcPr>
            <w:tcW w:w="7937" w:type="dxa"/>
            <w:tcBorders>
              <w:left w:val="nil"/>
              <w:bottom w:val="single" w:sz="4" w:space="0" w:color="231F20"/>
            </w:tcBorders>
          </w:tcPr>
          <w:p w14:paraId="272BAB0C" w14:textId="77777777" w:rsidR="00345EE3" w:rsidRDefault="00345EE3" w:rsidP="00D73130">
            <w:pPr>
              <w:pStyle w:val="TableParagraph"/>
              <w:ind w:left="-3"/>
              <w:jc w:val="left"/>
              <w:rPr>
                <w:sz w:val="24"/>
              </w:rPr>
            </w:pPr>
            <w:r>
              <w:rPr>
                <w:color w:val="231F20"/>
                <w:sz w:val="24"/>
              </w:rPr>
              <w:t>Net</w:t>
            </w:r>
            <w:r>
              <w:rPr>
                <w:color w:val="231F20"/>
                <w:spacing w:val="-7"/>
                <w:sz w:val="24"/>
              </w:rPr>
              <w:t xml:space="preserve"> </w:t>
            </w:r>
            <w:r>
              <w:rPr>
                <w:color w:val="231F20"/>
                <w:sz w:val="24"/>
              </w:rPr>
              <w:t>gain/(loss)</w:t>
            </w:r>
            <w:r>
              <w:rPr>
                <w:color w:val="231F20"/>
                <w:spacing w:val="-7"/>
                <w:sz w:val="24"/>
              </w:rPr>
              <w:t xml:space="preserve"> </w:t>
            </w:r>
            <w:r>
              <w:rPr>
                <w:color w:val="231F20"/>
                <w:sz w:val="24"/>
              </w:rPr>
              <w:t>from</w:t>
            </w:r>
            <w:r>
              <w:rPr>
                <w:color w:val="231F20"/>
                <w:spacing w:val="-6"/>
                <w:sz w:val="24"/>
              </w:rPr>
              <w:t xml:space="preserve"> </w:t>
            </w:r>
            <w:r>
              <w:rPr>
                <w:color w:val="231F20"/>
                <w:sz w:val="24"/>
              </w:rPr>
              <w:t>bad/doubtful</w:t>
            </w:r>
            <w:r>
              <w:rPr>
                <w:color w:val="231F20"/>
                <w:spacing w:val="-6"/>
                <w:sz w:val="24"/>
              </w:rPr>
              <w:t xml:space="preserve"> </w:t>
            </w:r>
            <w:r>
              <w:rPr>
                <w:color w:val="231F20"/>
                <w:spacing w:val="-2"/>
                <w:sz w:val="24"/>
              </w:rPr>
              <w:t>debts</w:t>
            </w:r>
          </w:p>
        </w:tc>
        <w:tc>
          <w:tcPr>
            <w:tcW w:w="1134" w:type="dxa"/>
            <w:tcBorders>
              <w:bottom w:val="single" w:sz="4" w:space="0" w:color="231F20"/>
            </w:tcBorders>
            <w:shd w:val="clear" w:color="auto" w:fill="E6E7E8"/>
          </w:tcPr>
          <w:p w14:paraId="514DA0DC" w14:textId="77777777" w:rsidR="00345EE3" w:rsidRDefault="00345EE3" w:rsidP="00D73130">
            <w:pPr>
              <w:pStyle w:val="TableParagraph"/>
              <w:rPr>
                <w:sz w:val="24"/>
              </w:rPr>
            </w:pPr>
            <w:r>
              <w:rPr>
                <w:color w:val="231F20"/>
                <w:spacing w:val="-2"/>
                <w:sz w:val="24"/>
              </w:rPr>
              <w:t>1,726</w:t>
            </w:r>
          </w:p>
        </w:tc>
        <w:tc>
          <w:tcPr>
            <w:tcW w:w="1134" w:type="dxa"/>
            <w:tcBorders>
              <w:bottom w:val="single" w:sz="4" w:space="0" w:color="231F20"/>
              <w:right w:val="nil"/>
            </w:tcBorders>
          </w:tcPr>
          <w:p w14:paraId="2A20E5ED" w14:textId="77777777" w:rsidR="00345EE3" w:rsidRDefault="00345EE3" w:rsidP="00D73130">
            <w:pPr>
              <w:pStyle w:val="TableParagraph"/>
              <w:ind w:right="-15"/>
              <w:rPr>
                <w:sz w:val="24"/>
              </w:rPr>
            </w:pPr>
            <w:r>
              <w:rPr>
                <w:color w:val="231F20"/>
                <w:spacing w:val="-2"/>
                <w:sz w:val="24"/>
              </w:rPr>
              <w:t>(3,218)</w:t>
            </w:r>
          </w:p>
        </w:tc>
      </w:tr>
      <w:tr w:rsidR="00345EE3" w14:paraId="35D3AF51" w14:textId="77777777" w:rsidTr="00D73130">
        <w:trPr>
          <w:trHeight w:val="386"/>
        </w:trPr>
        <w:tc>
          <w:tcPr>
            <w:tcW w:w="7937" w:type="dxa"/>
            <w:tcBorders>
              <w:top w:val="single" w:sz="4" w:space="0" w:color="231F20"/>
              <w:left w:val="nil"/>
              <w:bottom w:val="single" w:sz="8" w:space="0" w:color="231F20"/>
            </w:tcBorders>
          </w:tcPr>
          <w:p w14:paraId="5C36FB41" w14:textId="77777777" w:rsidR="00345EE3" w:rsidRDefault="00345EE3" w:rsidP="00D73130">
            <w:pPr>
              <w:pStyle w:val="TableParagraph"/>
              <w:spacing w:before="58"/>
              <w:ind w:left="-3"/>
              <w:jc w:val="left"/>
              <w:rPr>
                <w:b/>
                <w:sz w:val="24"/>
              </w:rPr>
            </w:pPr>
            <w:r>
              <w:rPr>
                <w:b/>
                <w:color w:val="231F20"/>
                <w:sz w:val="24"/>
              </w:rPr>
              <w:t>Total</w:t>
            </w:r>
            <w:r>
              <w:rPr>
                <w:b/>
                <w:color w:val="231F20"/>
                <w:spacing w:val="-3"/>
                <w:sz w:val="24"/>
              </w:rPr>
              <w:t xml:space="preserve"> </w:t>
            </w:r>
            <w:r>
              <w:rPr>
                <w:b/>
                <w:color w:val="231F20"/>
                <w:sz w:val="24"/>
              </w:rPr>
              <w:t>Other</w:t>
            </w:r>
            <w:r>
              <w:rPr>
                <w:b/>
                <w:color w:val="231F20"/>
                <w:spacing w:val="-3"/>
                <w:sz w:val="24"/>
              </w:rPr>
              <w:t xml:space="preserve"> </w:t>
            </w:r>
            <w:r>
              <w:rPr>
                <w:b/>
                <w:color w:val="231F20"/>
                <w:sz w:val="24"/>
              </w:rPr>
              <w:t>Gain/(Loss)</w:t>
            </w:r>
            <w:r>
              <w:rPr>
                <w:b/>
                <w:color w:val="231F20"/>
                <w:spacing w:val="-3"/>
                <w:sz w:val="24"/>
              </w:rPr>
              <w:t xml:space="preserve"> </w:t>
            </w:r>
            <w:r>
              <w:rPr>
                <w:b/>
                <w:color w:val="231F20"/>
                <w:sz w:val="24"/>
              </w:rPr>
              <w:t>from</w:t>
            </w:r>
            <w:r>
              <w:rPr>
                <w:b/>
                <w:color w:val="231F20"/>
                <w:spacing w:val="-3"/>
                <w:sz w:val="24"/>
              </w:rPr>
              <w:t xml:space="preserve"> </w:t>
            </w:r>
            <w:r>
              <w:rPr>
                <w:b/>
                <w:color w:val="231F20"/>
                <w:sz w:val="24"/>
              </w:rPr>
              <w:t>Other</w:t>
            </w:r>
            <w:r>
              <w:rPr>
                <w:b/>
                <w:color w:val="231F20"/>
                <w:spacing w:val="-3"/>
                <w:sz w:val="24"/>
              </w:rPr>
              <w:t xml:space="preserve"> </w:t>
            </w:r>
            <w:r>
              <w:rPr>
                <w:b/>
                <w:color w:val="231F20"/>
                <w:sz w:val="24"/>
              </w:rPr>
              <w:t>Economic</w:t>
            </w:r>
            <w:r>
              <w:rPr>
                <w:b/>
                <w:color w:val="231F20"/>
                <w:spacing w:val="-3"/>
                <w:sz w:val="24"/>
              </w:rPr>
              <w:t xml:space="preserve"> </w:t>
            </w:r>
            <w:r>
              <w:rPr>
                <w:b/>
                <w:color w:val="231F20"/>
                <w:spacing w:val="-2"/>
                <w:sz w:val="24"/>
              </w:rPr>
              <w:t>Flows</w:t>
            </w:r>
          </w:p>
        </w:tc>
        <w:tc>
          <w:tcPr>
            <w:tcW w:w="1134" w:type="dxa"/>
            <w:tcBorders>
              <w:top w:val="single" w:sz="4" w:space="0" w:color="231F20"/>
              <w:bottom w:val="single" w:sz="8" w:space="0" w:color="231F20"/>
            </w:tcBorders>
            <w:shd w:val="clear" w:color="auto" w:fill="E6E7E8"/>
          </w:tcPr>
          <w:p w14:paraId="4451CC5F" w14:textId="77777777" w:rsidR="00345EE3" w:rsidRDefault="00345EE3" w:rsidP="00D73130">
            <w:pPr>
              <w:pStyle w:val="TableParagraph"/>
              <w:spacing w:before="58"/>
              <w:rPr>
                <w:b/>
                <w:sz w:val="24"/>
              </w:rPr>
            </w:pPr>
            <w:r>
              <w:rPr>
                <w:b/>
                <w:color w:val="231F20"/>
                <w:spacing w:val="-2"/>
                <w:sz w:val="24"/>
              </w:rPr>
              <w:t>69,837</w:t>
            </w:r>
          </w:p>
        </w:tc>
        <w:tc>
          <w:tcPr>
            <w:tcW w:w="1134" w:type="dxa"/>
            <w:tcBorders>
              <w:top w:val="single" w:sz="4" w:space="0" w:color="231F20"/>
              <w:bottom w:val="single" w:sz="8" w:space="0" w:color="231F20"/>
              <w:right w:val="nil"/>
            </w:tcBorders>
          </w:tcPr>
          <w:p w14:paraId="111A3799" w14:textId="77777777" w:rsidR="00345EE3" w:rsidRDefault="00345EE3" w:rsidP="00D73130">
            <w:pPr>
              <w:pStyle w:val="TableParagraph"/>
              <w:spacing w:before="58"/>
              <w:ind w:right="-15"/>
              <w:rPr>
                <w:b/>
                <w:sz w:val="24"/>
              </w:rPr>
            </w:pPr>
            <w:r>
              <w:rPr>
                <w:b/>
                <w:color w:val="231F20"/>
                <w:spacing w:val="-2"/>
                <w:sz w:val="24"/>
              </w:rPr>
              <w:t>6,433</w:t>
            </w:r>
          </w:p>
        </w:tc>
      </w:tr>
    </w:tbl>
    <w:p w14:paraId="14F97BE3" w14:textId="77777777" w:rsidR="00345EE3" w:rsidRDefault="00345EE3" w:rsidP="00345EE3">
      <w:pPr>
        <w:spacing w:before="78"/>
        <w:ind w:left="110"/>
        <w:rPr>
          <w:rFonts w:ascii="Arial-BoldItalicMT"/>
          <w:b/>
          <w:i/>
          <w:sz w:val="14"/>
        </w:rPr>
      </w:pPr>
      <w:r>
        <w:rPr>
          <w:rFonts w:ascii="Arial-BoldItalicMT"/>
          <w:b/>
          <w:i/>
          <w:color w:val="231F20"/>
          <w:spacing w:val="-2"/>
          <w:sz w:val="14"/>
        </w:rPr>
        <w:t>Note:</w:t>
      </w:r>
    </w:p>
    <w:p w14:paraId="4212758D" w14:textId="77777777" w:rsidR="00345EE3" w:rsidRDefault="00345EE3" w:rsidP="00345EE3">
      <w:pPr>
        <w:spacing w:before="28"/>
        <w:ind w:left="110"/>
        <w:rPr>
          <w:sz w:val="14"/>
        </w:rPr>
      </w:pPr>
      <w:r>
        <w:rPr>
          <w:color w:val="231F20"/>
          <w:sz w:val="14"/>
        </w:rPr>
        <w:t>(a)</w:t>
      </w:r>
      <w:r>
        <w:rPr>
          <w:color w:val="231F20"/>
          <w:spacing w:val="23"/>
          <w:sz w:val="14"/>
        </w:rPr>
        <w:t xml:space="preserve"> </w:t>
      </w:r>
      <w:r>
        <w:rPr>
          <w:color w:val="231F20"/>
          <w:sz w:val="14"/>
        </w:rPr>
        <w:t>Revaluation</w:t>
      </w:r>
      <w:r>
        <w:rPr>
          <w:color w:val="231F20"/>
          <w:spacing w:val="-4"/>
          <w:sz w:val="14"/>
        </w:rPr>
        <w:t xml:space="preserve"> </w:t>
      </w:r>
      <w:r>
        <w:rPr>
          <w:color w:val="231F20"/>
          <w:sz w:val="14"/>
        </w:rPr>
        <w:t>gain/(loss)</w:t>
      </w:r>
      <w:r>
        <w:rPr>
          <w:color w:val="231F20"/>
          <w:spacing w:val="-4"/>
          <w:sz w:val="14"/>
        </w:rPr>
        <w:t xml:space="preserve"> </w:t>
      </w:r>
      <w:r>
        <w:rPr>
          <w:color w:val="231F20"/>
          <w:sz w:val="14"/>
        </w:rPr>
        <w:t>are</w:t>
      </w:r>
      <w:r>
        <w:rPr>
          <w:color w:val="231F20"/>
          <w:spacing w:val="-4"/>
          <w:sz w:val="14"/>
        </w:rPr>
        <w:t xml:space="preserve"> </w:t>
      </w:r>
      <w:r>
        <w:rPr>
          <w:color w:val="231F20"/>
          <w:sz w:val="14"/>
        </w:rPr>
        <w:t>due</w:t>
      </w:r>
      <w:r>
        <w:rPr>
          <w:color w:val="231F20"/>
          <w:spacing w:val="-4"/>
          <w:sz w:val="14"/>
        </w:rPr>
        <w:t xml:space="preserve"> </w:t>
      </w:r>
      <w:r>
        <w:rPr>
          <w:color w:val="231F20"/>
          <w:sz w:val="14"/>
        </w:rPr>
        <w:t>to</w:t>
      </w:r>
      <w:r>
        <w:rPr>
          <w:color w:val="231F20"/>
          <w:spacing w:val="-4"/>
          <w:sz w:val="14"/>
        </w:rPr>
        <w:t xml:space="preserve"> </w:t>
      </w:r>
      <w:r>
        <w:rPr>
          <w:color w:val="231F20"/>
          <w:sz w:val="14"/>
        </w:rPr>
        <w:t>changes</w:t>
      </w:r>
      <w:r>
        <w:rPr>
          <w:color w:val="231F20"/>
          <w:spacing w:val="-4"/>
          <w:sz w:val="14"/>
        </w:rPr>
        <w:t xml:space="preserve"> </w:t>
      </w:r>
      <w:r>
        <w:rPr>
          <w:color w:val="231F20"/>
          <w:sz w:val="14"/>
        </w:rPr>
        <w:t>in</w:t>
      </w:r>
      <w:r>
        <w:rPr>
          <w:color w:val="231F20"/>
          <w:spacing w:val="-4"/>
          <w:sz w:val="14"/>
        </w:rPr>
        <w:t xml:space="preserve"> </w:t>
      </w:r>
      <w:r>
        <w:rPr>
          <w:color w:val="231F20"/>
          <w:sz w:val="14"/>
        </w:rPr>
        <w:t>bond</w:t>
      </w:r>
      <w:r>
        <w:rPr>
          <w:color w:val="231F20"/>
          <w:spacing w:val="-4"/>
          <w:sz w:val="14"/>
        </w:rPr>
        <w:t xml:space="preserve"> </w:t>
      </w:r>
      <w:r>
        <w:rPr>
          <w:color w:val="231F20"/>
          <w:spacing w:val="-2"/>
          <w:sz w:val="14"/>
        </w:rPr>
        <w:t>rates.</w:t>
      </w:r>
    </w:p>
    <w:p w14:paraId="59348401" w14:textId="77777777" w:rsidR="00345EE3" w:rsidRDefault="00345EE3" w:rsidP="00345EE3">
      <w:pPr>
        <w:pStyle w:val="BodyText"/>
        <w:spacing w:before="10"/>
        <w:rPr>
          <w:sz w:val="21"/>
        </w:rPr>
      </w:pPr>
    </w:p>
    <w:p w14:paraId="4EB8F5C6" w14:textId="77777777" w:rsidR="00345EE3" w:rsidRDefault="00345EE3" w:rsidP="00345EE3">
      <w:pPr>
        <w:rPr>
          <w:b/>
          <w:bCs/>
          <w:color w:val="231F20"/>
          <w:sz w:val="24"/>
          <w:szCs w:val="24"/>
        </w:rPr>
      </w:pPr>
      <w:r>
        <w:rPr>
          <w:color w:val="231F20"/>
        </w:rPr>
        <w:br w:type="page"/>
      </w:r>
    </w:p>
    <w:p w14:paraId="28B99DD9" w14:textId="77777777" w:rsidR="00345EE3" w:rsidRDefault="00345EE3" w:rsidP="00345EE3">
      <w:pPr>
        <w:pStyle w:val="Heading5"/>
        <w:spacing w:before="0"/>
      </w:pPr>
      <w:r>
        <w:rPr>
          <w:color w:val="231F20"/>
        </w:rPr>
        <w:t>Net</w:t>
      </w:r>
      <w:r>
        <w:rPr>
          <w:color w:val="231F20"/>
          <w:spacing w:val="-7"/>
        </w:rPr>
        <w:t xml:space="preserve"> </w:t>
      </w:r>
      <w:r>
        <w:rPr>
          <w:color w:val="231F20"/>
        </w:rPr>
        <w:t>Gain/(Loss)</w:t>
      </w:r>
      <w:r>
        <w:rPr>
          <w:color w:val="231F20"/>
          <w:spacing w:val="-6"/>
        </w:rPr>
        <w:t xml:space="preserve"> </w:t>
      </w:r>
      <w:r>
        <w:rPr>
          <w:color w:val="231F20"/>
        </w:rPr>
        <w:t>on</w:t>
      </w:r>
      <w:r>
        <w:rPr>
          <w:color w:val="231F20"/>
          <w:spacing w:val="-6"/>
        </w:rPr>
        <w:t xml:space="preserve"> </w:t>
      </w:r>
      <w:r>
        <w:rPr>
          <w:color w:val="231F20"/>
        </w:rPr>
        <w:t>Non-Financial</w:t>
      </w:r>
      <w:r>
        <w:rPr>
          <w:color w:val="231F20"/>
          <w:spacing w:val="-6"/>
        </w:rPr>
        <w:t xml:space="preserve"> </w:t>
      </w:r>
      <w:r>
        <w:rPr>
          <w:color w:val="231F20"/>
          <w:spacing w:val="-2"/>
        </w:rPr>
        <w:t>Assets</w:t>
      </w:r>
    </w:p>
    <w:p w14:paraId="73E95D67" w14:textId="77777777" w:rsidR="00345EE3" w:rsidRDefault="00345EE3" w:rsidP="00345EE3">
      <w:pPr>
        <w:pStyle w:val="BodyText"/>
        <w:spacing w:before="61" w:line="242" w:lineRule="auto"/>
      </w:pPr>
      <w:r>
        <w:rPr>
          <w:color w:val="231F20"/>
        </w:rPr>
        <w:t>Net</w:t>
      </w:r>
      <w:r>
        <w:rPr>
          <w:color w:val="231F20"/>
          <w:spacing w:val="-12"/>
        </w:rPr>
        <w:t xml:space="preserve"> </w:t>
      </w:r>
      <w:r>
        <w:rPr>
          <w:color w:val="231F20"/>
        </w:rPr>
        <w:t>gain/(loss)</w:t>
      </w:r>
      <w:r>
        <w:rPr>
          <w:color w:val="231F20"/>
          <w:spacing w:val="-12"/>
        </w:rPr>
        <w:t xml:space="preserve"> </w:t>
      </w:r>
      <w:r>
        <w:rPr>
          <w:color w:val="231F20"/>
        </w:rPr>
        <w:t>on</w:t>
      </w:r>
      <w:r>
        <w:rPr>
          <w:color w:val="231F20"/>
          <w:spacing w:val="-13"/>
        </w:rPr>
        <w:t xml:space="preserve"> </w:t>
      </w:r>
      <w:r>
        <w:rPr>
          <w:color w:val="231F20"/>
        </w:rPr>
        <w:t>non-financial</w:t>
      </w:r>
      <w:r>
        <w:rPr>
          <w:color w:val="231F20"/>
          <w:spacing w:val="-13"/>
        </w:rPr>
        <w:t xml:space="preserve"> </w:t>
      </w:r>
      <w:r>
        <w:rPr>
          <w:color w:val="231F20"/>
        </w:rPr>
        <w:t>assets</w:t>
      </w:r>
      <w:r>
        <w:rPr>
          <w:color w:val="231F20"/>
          <w:spacing w:val="-12"/>
        </w:rPr>
        <w:t xml:space="preserve"> </w:t>
      </w:r>
      <w:r>
        <w:rPr>
          <w:color w:val="231F20"/>
        </w:rPr>
        <w:t>and</w:t>
      </w:r>
      <w:r>
        <w:rPr>
          <w:color w:val="231F20"/>
          <w:spacing w:val="-13"/>
        </w:rPr>
        <w:t xml:space="preserve"> </w:t>
      </w:r>
      <w:r>
        <w:rPr>
          <w:color w:val="231F20"/>
        </w:rPr>
        <w:t>liabilities</w:t>
      </w:r>
      <w:r>
        <w:rPr>
          <w:color w:val="231F20"/>
          <w:spacing w:val="-12"/>
        </w:rPr>
        <w:t xml:space="preserve"> </w:t>
      </w:r>
      <w:r>
        <w:rPr>
          <w:color w:val="231F20"/>
        </w:rPr>
        <w:t>includes</w:t>
      </w:r>
      <w:r>
        <w:rPr>
          <w:color w:val="231F20"/>
          <w:spacing w:val="-12"/>
        </w:rPr>
        <w:t xml:space="preserve"> </w:t>
      </w:r>
      <w:r>
        <w:rPr>
          <w:color w:val="231F20"/>
        </w:rPr>
        <w:t>realised</w:t>
      </w:r>
      <w:r>
        <w:rPr>
          <w:color w:val="231F20"/>
          <w:spacing w:val="-13"/>
        </w:rPr>
        <w:t xml:space="preserve"> </w:t>
      </w:r>
      <w:r>
        <w:rPr>
          <w:color w:val="231F20"/>
        </w:rPr>
        <w:t>and</w:t>
      </w:r>
      <w:r>
        <w:rPr>
          <w:color w:val="231F20"/>
          <w:spacing w:val="-13"/>
        </w:rPr>
        <w:t xml:space="preserve"> </w:t>
      </w:r>
      <w:r>
        <w:rPr>
          <w:color w:val="231F20"/>
        </w:rPr>
        <w:t>unrealised</w:t>
      </w:r>
      <w:r>
        <w:rPr>
          <w:color w:val="231F20"/>
          <w:spacing w:val="-13"/>
        </w:rPr>
        <w:t xml:space="preserve"> </w:t>
      </w:r>
      <w:r>
        <w:rPr>
          <w:color w:val="231F20"/>
        </w:rPr>
        <w:t>gains</w:t>
      </w:r>
      <w:r>
        <w:rPr>
          <w:color w:val="231F20"/>
          <w:spacing w:val="-12"/>
        </w:rPr>
        <w:t xml:space="preserve"> </w:t>
      </w:r>
      <w:r>
        <w:rPr>
          <w:color w:val="231F20"/>
        </w:rPr>
        <w:t>and losses as follows:</w:t>
      </w:r>
    </w:p>
    <w:p w14:paraId="5AB134DF" w14:textId="77777777" w:rsidR="00345EE3" w:rsidRDefault="00345EE3">
      <w:pPr>
        <w:pStyle w:val="Heading5"/>
        <w:numPr>
          <w:ilvl w:val="0"/>
          <w:numId w:val="9"/>
        </w:numPr>
        <w:tabs>
          <w:tab w:val="left" w:pos="393"/>
          <w:tab w:val="left" w:pos="394"/>
        </w:tabs>
        <w:spacing w:before="116"/>
        <w:ind w:left="337" w:hanging="227"/>
      </w:pPr>
      <w:r>
        <w:rPr>
          <w:color w:val="231F20"/>
        </w:rPr>
        <w:t>Disposal</w:t>
      </w:r>
      <w:r>
        <w:rPr>
          <w:color w:val="231F20"/>
          <w:spacing w:val="-8"/>
        </w:rPr>
        <w:t xml:space="preserve"> </w:t>
      </w:r>
      <w:r>
        <w:rPr>
          <w:color w:val="231F20"/>
        </w:rPr>
        <w:t>of</w:t>
      </w:r>
      <w:r>
        <w:rPr>
          <w:color w:val="231F20"/>
          <w:spacing w:val="-7"/>
        </w:rPr>
        <w:t xml:space="preserve"> </w:t>
      </w:r>
      <w:r>
        <w:rPr>
          <w:color w:val="231F20"/>
        </w:rPr>
        <w:t>Non-Financial</w:t>
      </w:r>
      <w:r>
        <w:rPr>
          <w:color w:val="231F20"/>
          <w:spacing w:val="-14"/>
        </w:rPr>
        <w:t xml:space="preserve"> </w:t>
      </w:r>
      <w:r>
        <w:rPr>
          <w:color w:val="231F20"/>
          <w:spacing w:val="-2"/>
        </w:rPr>
        <w:t>Assets</w:t>
      </w:r>
    </w:p>
    <w:p w14:paraId="5B4643F9" w14:textId="77777777" w:rsidR="00345EE3" w:rsidRDefault="00345EE3" w:rsidP="00345EE3">
      <w:pPr>
        <w:pStyle w:val="BodyText"/>
        <w:spacing w:before="62" w:line="242" w:lineRule="auto"/>
        <w:ind w:left="393"/>
      </w:pPr>
      <w:r>
        <w:rPr>
          <w:color w:val="231F20"/>
          <w:spacing w:val="-2"/>
        </w:rPr>
        <w:t>Any</w:t>
      </w:r>
      <w:r>
        <w:rPr>
          <w:color w:val="231F20"/>
          <w:spacing w:val="-15"/>
        </w:rPr>
        <w:t xml:space="preserve"> </w:t>
      </w:r>
      <w:r>
        <w:rPr>
          <w:color w:val="231F20"/>
          <w:spacing w:val="-2"/>
        </w:rPr>
        <w:t>gain</w:t>
      </w:r>
      <w:r>
        <w:rPr>
          <w:color w:val="231F20"/>
          <w:spacing w:val="-15"/>
        </w:rPr>
        <w:t xml:space="preserve"> </w:t>
      </w:r>
      <w:r>
        <w:rPr>
          <w:color w:val="231F20"/>
          <w:spacing w:val="-2"/>
        </w:rPr>
        <w:t>or</w:t>
      </w:r>
      <w:r>
        <w:rPr>
          <w:color w:val="231F20"/>
          <w:spacing w:val="-14"/>
        </w:rPr>
        <w:t xml:space="preserve"> </w:t>
      </w:r>
      <w:r>
        <w:rPr>
          <w:color w:val="231F20"/>
          <w:spacing w:val="-2"/>
        </w:rPr>
        <w:t>loss</w:t>
      </w:r>
      <w:r>
        <w:rPr>
          <w:color w:val="231F20"/>
          <w:spacing w:val="-15"/>
        </w:rPr>
        <w:t xml:space="preserve"> </w:t>
      </w:r>
      <w:r>
        <w:rPr>
          <w:color w:val="231F20"/>
          <w:spacing w:val="-2"/>
        </w:rPr>
        <w:t>on</w:t>
      </w:r>
      <w:r>
        <w:rPr>
          <w:color w:val="231F20"/>
          <w:spacing w:val="-15"/>
        </w:rPr>
        <w:t xml:space="preserve"> </w:t>
      </w:r>
      <w:r>
        <w:rPr>
          <w:color w:val="231F20"/>
          <w:spacing w:val="-2"/>
        </w:rPr>
        <w:t>the</w:t>
      </w:r>
      <w:r>
        <w:rPr>
          <w:color w:val="231F20"/>
          <w:spacing w:val="-15"/>
        </w:rPr>
        <w:t xml:space="preserve"> </w:t>
      </w:r>
      <w:r>
        <w:rPr>
          <w:color w:val="231F20"/>
          <w:spacing w:val="-2"/>
        </w:rPr>
        <w:t>sale</w:t>
      </w:r>
      <w:r>
        <w:rPr>
          <w:color w:val="231F20"/>
          <w:spacing w:val="-14"/>
        </w:rPr>
        <w:t xml:space="preserve"> </w:t>
      </w:r>
      <w:r>
        <w:rPr>
          <w:color w:val="231F20"/>
          <w:spacing w:val="-2"/>
        </w:rPr>
        <w:t>of</w:t>
      </w:r>
      <w:r>
        <w:rPr>
          <w:color w:val="231F20"/>
          <w:spacing w:val="-15"/>
        </w:rPr>
        <w:t xml:space="preserve"> </w:t>
      </w:r>
      <w:r>
        <w:rPr>
          <w:color w:val="231F20"/>
          <w:spacing w:val="-2"/>
        </w:rPr>
        <w:t>non-financial</w:t>
      </w:r>
      <w:r>
        <w:rPr>
          <w:color w:val="231F20"/>
          <w:spacing w:val="-15"/>
        </w:rPr>
        <w:t xml:space="preserve"> </w:t>
      </w:r>
      <w:r>
        <w:rPr>
          <w:color w:val="231F20"/>
          <w:spacing w:val="-2"/>
        </w:rPr>
        <w:t>assets</w:t>
      </w:r>
      <w:r>
        <w:rPr>
          <w:color w:val="231F20"/>
          <w:spacing w:val="-14"/>
        </w:rPr>
        <w:t xml:space="preserve"> </w:t>
      </w:r>
      <w:r>
        <w:rPr>
          <w:color w:val="231F20"/>
          <w:spacing w:val="-2"/>
        </w:rPr>
        <w:t>is</w:t>
      </w:r>
      <w:r>
        <w:rPr>
          <w:color w:val="231F20"/>
          <w:spacing w:val="-15"/>
        </w:rPr>
        <w:t xml:space="preserve"> </w:t>
      </w:r>
      <w:r>
        <w:rPr>
          <w:color w:val="231F20"/>
          <w:spacing w:val="-2"/>
        </w:rPr>
        <w:t>recognised</w:t>
      </w:r>
      <w:r>
        <w:rPr>
          <w:color w:val="231F20"/>
          <w:spacing w:val="-15"/>
        </w:rPr>
        <w:t xml:space="preserve"> </w:t>
      </w:r>
      <w:r>
        <w:rPr>
          <w:color w:val="231F20"/>
          <w:spacing w:val="-2"/>
        </w:rPr>
        <w:t>at</w:t>
      </w:r>
      <w:r>
        <w:rPr>
          <w:color w:val="231F20"/>
          <w:spacing w:val="-14"/>
        </w:rPr>
        <w:t xml:space="preserve"> </w:t>
      </w:r>
      <w:r>
        <w:rPr>
          <w:color w:val="231F20"/>
          <w:spacing w:val="-2"/>
        </w:rPr>
        <w:t>the</w:t>
      </w:r>
      <w:r>
        <w:rPr>
          <w:color w:val="231F20"/>
          <w:spacing w:val="-15"/>
        </w:rPr>
        <w:t xml:space="preserve"> </w:t>
      </w:r>
      <w:r>
        <w:rPr>
          <w:color w:val="231F20"/>
          <w:spacing w:val="-2"/>
        </w:rPr>
        <w:t>date</w:t>
      </w:r>
      <w:r>
        <w:rPr>
          <w:color w:val="231F20"/>
          <w:spacing w:val="-15"/>
        </w:rPr>
        <w:t xml:space="preserve"> </w:t>
      </w:r>
      <w:r>
        <w:rPr>
          <w:color w:val="231F20"/>
          <w:spacing w:val="-2"/>
        </w:rPr>
        <w:t>of</w:t>
      </w:r>
      <w:r>
        <w:rPr>
          <w:color w:val="231F20"/>
          <w:spacing w:val="-14"/>
        </w:rPr>
        <w:t xml:space="preserve"> </w:t>
      </w:r>
      <w:r>
        <w:rPr>
          <w:color w:val="231F20"/>
          <w:spacing w:val="-2"/>
        </w:rPr>
        <w:t>disposal</w:t>
      </w:r>
      <w:r>
        <w:rPr>
          <w:color w:val="231F20"/>
          <w:spacing w:val="-15"/>
        </w:rPr>
        <w:t xml:space="preserve"> </w:t>
      </w:r>
      <w:r>
        <w:rPr>
          <w:color w:val="231F20"/>
          <w:spacing w:val="-2"/>
        </w:rPr>
        <w:t>and</w:t>
      </w:r>
      <w:r>
        <w:rPr>
          <w:color w:val="231F20"/>
          <w:spacing w:val="-15"/>
        </w:rPr>
        <w:t xml:space="preserve"> </w:t>
      </w:r>
      <w:r>
        <w:rPr>
          <w:color w:val="231F20"/>
          <w:spacing w:val="-2"/>
        </w:rPr>
        <w:t xml:space="preserve">is </w:t>
      </w:r>
      <w:r>
        <w:rPr>
          <w:color w:val="231F20"/>
        </w:rPr>
        <w:t>determined</w:t>
      </w:r>
      <w:r>
        <w:rPr>
          <w:color w:val="231F20"/>
          <w:spacing w:val="-17"/>
        </w:rPr>
        <w:t xml:space="preserve"> </w:t>
      </w:r>
      <w:r>
        <w:rPr>
          <w:color w:val="231F20"/>
        </w:rPr>
        <w:t>after</w:t>
      </w:r>
      <w:r>
        <w:rPr>
          <w:color w:val="231F20"/>
          <w:spacing w:val="-17"/>
        </w:rPr>
        <w:t xml:space="preserve"> </w:t>
      </w:r>
      <w:r>
        <w:rPr>
          <w:color w:val="231F20"/>
        </w:rPr>
        <w:t>deducting</w:t>
      </w:r>
      <w:r>
        <w:rPr>
          <w:color w:val="231F20"/>
          <w:spacing w:val="-16"/>
        </w:rPr>
        <w:t xml:space="preserve"> </w:t>
      </w:r>
      <w:r>
        <w:rPr>
          <w:color w:val="231F20"/>
        </w:rPr>
        <w:t>from</w:t>
      </w:r>
      <w:r>
        <w:rPr>
          <w:color w:val="231F20"/>
          <w:spacing w:val="-17"/>
        </w:rPr>
        <w:t xml:space="preserve"> </w:t>
      </w:r>
      <w:r>
        <w:rPr>
          <w:color w:val="231F20"/>
        </w:rPr>
        <w:t>the</w:t>
      </w:r>
      <w:r>
        <w:rPr>
          <w:color w:val="231F20"/>
          <w:spacing w:val="-17"/>
        </w:rPr>
        <w:t xml:space="preserve"> </w:t>
      </w:r>
      <w:r>
        <w:rPr>
          <w:color w:val="231F20"/>
        </w:rPr>
        <w:t>proceeds</w:t>
      </w:r>
      <w:r>
        <w:rPr>
          <w:color w:val="231F20"/>
          <w:spacing w:val="-17"/>
        </w:rPr>
        <w:t xml:space="preserve"> </w:t>
      </w:r>
      <w:r>
        <w:rPr>
          <w:color w:val="231F20"/>
        </w:rPr>
        <w:t>the</w:t>
      </w:r>
      <w:r>
        <w:rPr>
          <w:color w:val="231F20"/>
          <w:spacing w:val="-16"/>
        </w:rPr>
        <w:t xml:space="preserve"> </w:t>
      </w:r>
      <w:r>
        <w:rPr>
          <w:color w:val="231F20"/>
        </w:rPr>
        <w:t>carrying</w:t>
      </w:r>
      <w:r>
        <w:rPr>
          <w:color w:val="231F20"/>
          <w:spacing w:val="-17"/>
        </w:rPr>
        <w:t xml:space="preserve"> </w:t>
      </w:r>
      <w:r>
        <w:rPr>
          <w:color w:val="231F20"/>
        </w:rPr>
        <w:t>value</w:t>
      </w:r>
      <w:r>
        <w:rPr>
          <w:color w:val="231F20"/>
          <w:spacing w:val="-17"/>
        </w:rPr>
        <w:t xml:space="preserve"> </w:t>
      </w:r>
      <w:r>
        <w:rPr>
          <w:color w:val="231F20"/>
        </w:rPr>
        <w:t>of</w:t>
      </w:r>
      <w:r>
        <w:rPr>
          <w:color w:val="231F20"/>
          <w:spacing w:val="-16"/>
        </w:rPr>
        <w:t xml:space="preserve"> </w:t>
      </w:r>
      <w:r>
        <w:rPr>
          <w:color w:val="231F20"/>
        </w:rPr>
        <w:t>the</w:t>
      </w:r>
      <w:r>
        <w:rPr>
          <w:color w:val="231F20"/>
          <w:spacing w:val="-17"/>
        </w:rPr>
        <w:t xml:space="preserve"> </w:t>
      </w:r>
      <w:r>
        <w:rPr>
          <w:color w:val="231F20"/>
        </w:rPr>
        <w:t>asset</w:t>
      </w:r>
      <w:r>
        <w:rPr>
          <w:color w:val="231F20"/>
          <w:spacing w:val="-17"/>
        </w:rPr>
        <w:t xml:space="preserve"> </w:t>
      </w:r>
      <w:r>
        <w:rPr>
          <w:color w:val="231F20"/>
        </w:rPr>
        <w:t>at</w:t>
      </w:r>
      <w:r>
        <w:rPr>
          <w:color w:val="231F20"/>
          <w:spacing w:val="-16"/>
        </w:rPr>
        <w:t xml:space="preserve"> </w:t>
      </w:r>
      <w:r>
        <w:rPr>
          <w:color w:val="231F20"/>
        </w:rPr>
        <w:t>the</w:t>
      </w:r>
      <w:r>
        <w:rPr>
          <w:color w:val="231F20"/>
          <w:spacing w:val="-17"/>
        </w:rPr>
        <w:t xml:space="preserve"> </w:t>
      </w:r>
      <w:r>
        <w:rPr>
          <w:color w:val="231F20"/>
        </w:rPr>
        <w:t>time.</w:t>
      </w:r>
    </w:p>
    <w:p w14:paraId="31AA960D" w14:textId="77777777" w:rsidR="00345EE3" w:rsidRDefault="00345EE3">
      <w:pPr>
        <w:pStyle w:val="Heading5"/>
        <w:numPr>
          <w:ilvl w:val="0"/>
          <w:numId w:val="9"/>
        </w:numPr>
        <w:tabs>
          <w:tab w:val="left" w:pos="393"/>
          <w:tab w:val="left" w:pos="394"/>
        </w:tabs>
        <w:spacing w:before="31"/>
        <w:ind w:left="337" w:hanging="227"/>
      </w:pPr>
      <w:r>
        <w:rPr>
          <w:color w:val="231F20"/>
        </w:rPr>
        <w:t>Impairment</w:t>
      </w:r>
      <w:r>
        <w:rPr>
          <w:color w:val="231F20"/>
          <w:spacing w:val="-5"/>
        </w:rPr>
        <w:t xml:space="preserve"> </w:t>
      </w:r>
      <w:r>
        <w:rPr>
          <w:color w:val="231F20"/>
        </w:rPr>
        <w:t>of</w:t>
      </w:r>
      <w:r>
        <w:rPr>
          <w:color w:val="231F20"/>
          <w:spacing w:val="-4"/>
        </w:rPr>
        <w:t xml:space="preserve"> </w:t>
      </w:r>
      <w:r>
        <w:rPr>
          <w:color w:val="231F20"/>
        </w:rPr>
        <w:t>Non-Financial</w:t>
      </w:r>
      <w:r>
        <w:rPr>
          <w:color w:val="231F20"/>
          <w:spacing w:val="-12"/>
        </w:rPr>
        <w:t xml:space="preserve"> </w:t>
      </w:r>
      <w:r>
        <w:rPr>
          <w:color w:val="231F20"/>
          <w:spacing w:val="-2"/>
        </w:rPr>
        <w:t>Assets</w:t>
      </w:r>
    </w:p>
    <w:p w14:paraId="784B4E74" w14:textId="77777777" w:rsidR="00345EE3" w:rsidRDefault="00345EE3" w:rsidP="00345EE3">
      <w:pPr>
        <w:pStyle w:val="BodyText"/>
        <w:spacing w:before="4"/>
        <w:ind w:left="393"/>
      </w:pPr>
      <w:r>
        <w:rPr>
          <w:color w:val="231F20"/>
          <w:spacing w:val="-4"/>
        </w:rPr>
        <w:t>Refer</w:t>
      </w:r>
      <w:r>
        <w:rPr>
          <w:color w:val="231F20"/>
          <w:spacing w:val="-11"/>
        </w:rPr>
        <w:t xml:space="preserve"> </w:t>
      </w:r>
      <w:r>
        <w:rPr>
          <w:color w:val="231F20"/>
          <w:spacing w:val="-4"/>
        </w:rPr>
        <w:t>to</w:t>
      </w:r>
      <w:r>
        <w:rPr>
          <w:color w:val="231F20"/>
          <w:spacing w:val="-11"/>
        </w:rPr>
        <w:t xml:space="preserve"> </w:t>
      </w:r>
      <w:r>
        <w:rPr>
          <w:color w:val="231F20"/>
          <w:spacing w:val="-4"/>
        </w:rPr>
        <w:t>Note</w:t>
      </w:r>
      <w:r>
        <w:rPr>
          <w:color w:val="231F20"/>
          <w:spacing w:val="-11"/>
        </w:rPr>
        <w:t xml:space="preserve"> </w:t>
      </w:r>
      <w:r>
        <w:rPr>
          <w:color w:val="231F20"/>
          <w:spacing w:val="-4"/>
        </w:rPr>
        <w:t>5.1</w:t>
      </w:r>
      <w:r>
        <w:rPr>
          <w:color w:val="231F20"/>
          <w:spacing w:val="-10"/>
        </w:rPr>
        <w:t xml:space="preserve"> </w:t>
      </w:r>
      <w:r>
        <w:rPr>
          <w:color w:val="231F20"/>
          <w:spacing w:val="-4"/>
        </w:rPr>
        <w:t>Property,</w:t>
      </w:r>
      <w:r>
        <w:rPr>
          <w:color w:val="231F20"/>
          <w:spacing w:val="-11"/>
        </w:rPr>
        <w:t xml:space="preserve"> </w:t>
      </w:r>
      <w:r>
        <w:rPr>
          <w:color w:val="231F20"/>
          <w:spacing w:val="-4"/>
        </w:rPr>
        <w:t>Plant</w:t>
      </w:r>
      <w:r>
        <w:rPr>
          <w:color w:val="231F20"/>
          <w:spacing w:val="-11"/>
        </w:rPr>
        <w:t xml:space="preserve"> </w:t>
      </w:r>
      <w:r>
        <w:rPr>
          <w:color w:val="231F20"/>
          <w:spacing w:val="-4"/>
        </w:rPr>
        <w:t>and</w:t>
      </w:r>
      <w:r>
        <w:rPr>
          <w:color w:val="231F20"/>
          <w:spacing w:val="-10"/>
        </w:rPr>
        <w:t xml:space="preserve"> </w:t>
      </w:r>
      <w:r>
        <w:rPr>
          <w:color w:val="231F20"/>
          <w:spacing w:val="-4"/>
        </w:rPr>
        <w:t>Equipment.</w:t>
      </w:r>
    </w:p>
    <w:p w14:paraId="7C0DC142" w14:textId="77777777" w:rsidR="00345EE3" w:rsidRDefault="00345EE3" w:rsidP="00345EE3">
      <w:pPr>
        <w:pStyle w:val="Heading5"/>
        <w:spacing w:before="231"/>
      </w:pPr>
      <w:r>
        <w:rPr>
          <w:color w:val="231F20"/>
        </w:rPr>
        <w:t>Net</w:t>
      </w:r>
      <w:r>
        <w:rPr>
          <w:color w:val="231F20"/>
          <w:spacing w:val="-6"/>
        </w:rPr>
        <w:t xml:space="preserve"> </w:t>
      </w:r>
      <w:r>
        <w:rPr>
          <w:color w:val="231F20"/>
        </w:rPr>
        <w:t>Gain/(Loss)</w:t>
      </w:r>
      <w:r>
        <w:rPr>
          <w:color w:val="231F20"/>
          <w:spacing w:val="-5"/>
        </w:rPr>
        <w:t xml:space="preserve"> </w:t>
      </w:r>
      <w:r>
        <w:rPr>
          <w:color w:val="231F20"/>
        </w:rPr>
        <w:t>on</w:t>
      </w:r>
      <w:r>
        <w:rPr>
          <w:color w:val="231F20"/>
          <w:spacing w:val="-5"/>
        </w:rPr>
        <w:t xml:space="preserve"> </w:t>
      </w:r>
      <w:r>
        <w:rPr>
          <w:color w:val="231F20"/>
        </w:rPr>
        <w:t>Disposal</w:t>
      </w:r>
      <w:r>
        <w:rPr>
          <w:color w:val="231F20"/>
          <w:spacing w:val="-5"/>
        </w:rPr>
        <w:t xml:space="preserve"> </w:t>
      </w:r>
      <w:r>
        <w:rPr>
          <w:color w:val="231F20"/>
        </w:rPr>
        <w:t>of</w:t>
      </w:r>
      <w:r>
        <w:rPr>
          <w:color w:val="231F20"/>
          <w:spacing w:val="-5"/>
        </w:rPr>
        <w:t xml:space="preserve"> </w:t>
      </w:r>
      <w:r>
        <w:rPr>
          <w:color w:val="231F20"/>
        </w:rPr>
        <w:t>Non-Financial</w:t>
      </w:r>
      <w:r>
        <w:rPr>
          <w:color w:val="231F20"/>
          <w:spacing w:val="-5"/>
        </w:rPr>
        <w:t xml:space="preserve"> </w:t>
      </w:r>
      <w:r>
        <w:rPr>
          <w:color w:val="231F20"/>
          <w:spacing w:val="-2"/>
        </w:rPr>
        <w:t>Assets</w:t>
      </w:r>
    </w:p>
    <w:p w14:paraId="36BBEA67" w14:textId="3390707F" w:rsidR="00345EE3" w:rsidRDefault="00345EE3" w:rsidP="0052306E">
      <w:pPr>
        <w:pStyle w:val="BodyText"/>
        <w:spacing w:before="61" w:after="120" w:line="242" w:lineRule="auto"/>
      </w:pPr>
      <w:r>
        <w:rPr>
          <w:color w:val="231F20"/>
        </w:rPr>
        <w:t>Net</w:t>
      </w:r>
      <w:r>
        <w:rPr>
          <w:color w:val="231F20"/>
          <w:spacing w:val="-12"/>
        </w:rPr>
        <w:t xml:space="preserve"> </w:t>
      </w:r>
      <w:r>
        <w:rPr>
          <w:color w:val="231F20"/>
        </w:rPr>
        <w:t>gain/(loss)</w:t>
      </w:r>
      <w:r>
        <w:rPr>
          <w:color w:val="231F20"/>
          <w:spacing w:val="-12"/>
        </w:rPr>
        <w:t xml:space="preserve"> </w:t>
      </w:r>
      <w:r>
        <w:rPr>
          <w:color w:val="231F20"/>
        </w:rPr>
        <w:t>on</w:t>
      </w:r>
      <w:r>
        <w:rPr>
          <w:color w:val="231F20"/>
          <w:spacing w:val="-13"/>
        </w:rPr>
        <w:t xml:space="preserve"> </w:t>
      </w:r>
      <w:r>
        <w:rPr>
          <w:color w:val="231F20"/>
        </w:rPr>
        <w:t>non-financial</w:t>
      </w:r>
      <w:r>
        <w:rPr>
          <w:color w:val="231F20"/>
          <w:spacing w:val="-13"/>
        </w:rPr>
        <w:t xml:space="preserve"> </w:t>
      </w:r>
      <w:r>
        <w:rPr>
          <w:color w:val="231F20"/>
        </w:rPr>
        <w:t>assets</w:t>
      </w:r>
      <w:r>
        <w:rPr>
          <w:color w:val="231F20"/>
          <w:spacing w:val="-12"/>
        </w:rPr>
        <w:t xml:space="preserve"> </w:t>
      </w:r>
      <w:r>
        <w:rPr>
          <w:color w:val="231F20"/>
        </w:rPr>
        <w:t>and</w:t>
      </w:r>
      <w:r>
        <w:rPr>
          <w:color w:val="231F20"/>
          <w:spacing w:val="-13"/>
        </w:rPr>
        <w:t xml:space="preserve"> </w:t>
      </w:r>
      <w:r>
        <w:rPr>
          <w:color w:val="231F20"/>
        </w:rPr>
        <w:t>liabilities</w:t>
      </w:r>
      <w:r>
        <w:rPr>
          <w:color w:val="231F20"/>
          <w:spacing w:val="-12"/>
        </w:rPr>
        <w:t xml:space="preserve"> </w:t>
      </w:r>
      <w:r>
        <w:rPr>
          <w:color w:val="231F20"/>
        </w:rPr>
        <w:t>includes</w:t>
      </w:r>
      <w:r>
        <w:rPr>
          <w:color w:val="231F20"/>
          <w:spacing w:val="-12"/>
        </w:rPr>
        <w:t xml:space="preserve"> </w:t>
      </w:r>
      <w:r>
        <w:rPr>
          <w:color w:val="231F20"/>
        </w:rPr>
        <w:t>realised</w:t>
      </w:r>
      <w:r>
        <w:rPr>
          <w:color w:val="231F20"/>
          <w:spacing w:val="-13"/>
        </w:rPr>
        <w:t xml:space="preserve"> </w:t>
      </w:r>
      <w:r>
        <w:rPr>
          <w:color w:val="231F20"/>
        </w:rPr>
        <w:t>and</w:t>
      </w:r>
      <w:r>
        <w:rPr>
          <w:color w:val="231F20"/>
          <w:spacing w:val="-13"/>
        </w:rPr>
        <w:t xml:space="preserve"> </w:t>
      </w:r>
      <w:r>
        <w:rPr>
          <w:color w:val="231F20"/>
        </w:rPr>
        <w:t>unrealised</w:t>
      </w:r>
      <w:r>
        <w:rPr>
          <w:color w:val="231F20"/>
          <w:spacing w:val="-13"/>
        </w:rPr>
        <w:t xml:space="preserve"> </w:t>
      </w:r>
      <w:r>
        <w:rPr>
          <w:color w:val="231F20"/>
        </w:rPr>
        <w:t>gains</w:t>
      </w:r>
      <w:r>
        <w:rPr>
          <w:color w:val="231F20"/>
          <w:spacing w:val="-12"/>
        </w:rPr>
        <w:t xml:space="preserve"> </w:t>
      </w:r>
      <w:r>
        <w:rPr>
          <w:color w:val="231F20"/>
        </w:rPr>
        <w:t>and losses as follows:</w:t>
      </w:r>
    </w:p>
    <w:tbl>
      <w:tblPr>
        <w:tblW w:w="0" w:type="auto"/>
        <w:tblInd w:w="-8" w:type="dxa"/>
        <w:tblLayout w:type="fixed"/>
        <w:tblCellMar>
          <w:left w:w="0" w:type="dxa"/>
          <w:right w:w="0" w:type="dxa"/>
        </w:tblCellMar>
        <w:tblLook w:val="0000" w:firstRow="0" w:lastRow="0" w:firstColumn="0" w:lastColumn="0" w:noHBand="0" w:noVBand="0"/>
      </w:tblPr>
      <w:tblGrid>
        <w:gridCol w:w="7937"/>
        <w:gridCol w:w="1134"/>
        <w:gridCol w:w="1134"/>
      </w:tblGrid>
      <w:tr w:rsidR="0052306E" w:rsidRPr="0052306E" w14:paraId="2C313CC6" w14:textId="77777777">
        <w:trPr>
          <w:trHeight w:val="60"/>
          <w:tblHeader/>
        </w:trPr>
        <w:tc>
          <w:tcPr>
            <w:tcW w:w="10205" w:type="dxa"/>
            <w:gridSpan w:val="3"/>
            <w:tcBorders>
              <w:top w:val="single" w:sz="6" w:space="0" w:color="000000"/>
              <w:left w:val="single" w:sz="6" w:space="0" w:color="auto"/>
              <w:bottom w:val="single" w:sz="2" w:space="0" w:color="FFFFFF"/>
              <w:right w:val="single" w:sz="2" w:space="0" w:color="FFFFFF"/>
            </w:tcBorders>
            <w:shd w:val="solid" w:color="004996" w:fill="auto"/>
            <w:tcMar>
              <w:top w:w="113" w:type="dxa"/>
              <w:left w:w="14" w:type="dxa"/>
              <w:bottom w:w="113" w:type="dxa"/>
              <w:right w:w="14" w:type="dxa"/>
            </w:tcMar>
          </w:tcPr>
          <w:p w14:paraId="7A9B204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thousand)</w:t>
            </w:r>
          </w:p>
        </w:tc>
      </w:tr>
      <w:tr w:rsidR="0052306E" w:rsidRPr="0052306E" w14:paraId="678C5BBF" w14:textId="77777777">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7F545C7"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782D8E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11C9033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2021</w:t>
            </w:r>
          </w:p>
        </w:tc>
      </w:tr>
      <w:tr w:rsidR="0052306E" w:rsidRPr="0052306E" w14:paraId="7BCC1FC1" w14:textId="77777777">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EA88C46"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Proceeds from disposal of plant, equipment and motor vehicles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31A23C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30,860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CDAAA8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26,660 </w:t>
            </w:r>
          </w:p>
        </w:tc>
      </w:tr>
      <w:tr w:rsidR="0052306E" w:rsidRPr="0052306E" w14:paraId="2F49652A" w14:textId="77777777">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60EB29D8"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Written down value of assets sold/disposed of</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8B131B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(17,004)</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00CC0E3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(11,023)</w:t>
            </w:r>
          </w:p>
        </w:tc>
      </w:tr>
      <w:tr w:rsidR="0052306E" w:rsidRPr="0052306E" w14:paraId="303EBD3A" w14:textId="77777777">
        <w:trPr>
          <w:trHeight w:val="60"/>
        </w:trPr>
        <w:tc>
          <w:tcPr>
            <w:tcW w:w="793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2DBABD4C"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Net Gain/(Loss) on Disposal of Non-Financial Assets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FFCE50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13,856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53EC6DD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15,637</w:t>
            </w:r>
          </w:p>
        </w:tc>
      </w:tr>
    </w:tbl>
    <w:p w14:paraId="586F22B9" w14:textId="77777777" w:rsidR="00345EE3" w:rsidRDefault="00345EE3" w:rsidP="00345EE3">
      <w:pPr>
        <w:pStyle w:val="BodyText"/>
        <w:spacing w:before="1"/>
        <w:rPr>
          <w:sz w:val="9"/>
        </w:rPr>
      </w:pPr>
    </w:p>
    <w:p w14:paraId="3A93E807" w14:textId="77777777" w:rsidR="00345EE3" w:rsidRDefault="00345EE3" w:rsidP="00345EE3">
      <w:pPr>
        <w:rPr>
          <w:sz w:val="9"/>
          <w:szCs w:val="24"/>
        </w:rPr>
      </w:pPr>
      <w:r>
        <w:rPr>
          <w:sz w:val="9"/>
        </w:rPr>
        <w:br w:type="page"/>
      </w:r>
    </w:p>
    <w:p w14:paraId="57391FB2" w14:textId="77777777" w:rsidR="00345EE3" w:rsidRDefault="00345EE3" w:rsidP="002A27BA">
      <w:pPr>
        <w:pStyle w:val="Heading3"/>
        <w:numPr>
          <w:ilvl w:val="1"/>
          <w:numId w:val="44"/>
        </w:numPr>
      </w:pPr>
      <w:r>
        <w:t>Responsible</w:t>
      </w:r>
      <w:r>
        <w:rPr>
          <w:spacing w:val="-10"/>
        </w:rPr>
        <w:t xml:space="preserve"> </w:t>
      </w:r>
      <w:r>
        <w:rPr>
          <w:spacing w:val="-2"/>
        </w:rPr>
        <w:t>Persons</w:t>
      </w:r>
    </w:p>
    <w:p w14:paraId="4581D09F" w14:textId="77777777" w:rsidR="00345EE3" w:rsidRDefault="00345EE3" w:rsidP="00345EE3">
      <w:pPr>
        <w:pStyle w:val="BodyText"/>
        <w:spacing w:before="53" w:line="242" w:lineRule="auto"/>
        <w:ind w:right="115"/>
      </w:pPr>
      <w:r>
        <w:rPr>
          <w:color w:val="231F20"/>
        </w:rPr>
        <w:t xml:space="preserve">In accordance with the Ministerial Directions issued by the Assistant Treasurer under the </w:t>
      </w:r>
      <w:r>
        <w:rPr>
          <w:i/>
          <w:color w:val="231F20"/>
          <w:spacing w:val="-2"/>
        </w:rPr>
        <w:t>Financial</w:t>
      </w:r>
      <w:r>
        <w:rPr>
          <w:i/>
          <w:color w:val="231F20"/>
          <w:spacing w:val="-14"/>
        </w:rPr>
        <w:t xml:space="preserve"> </w:t>
      </w:r>
      <w:r>
        <w:rPr>
          <w:i/>
          <w:color w:val="231F20"/>
          <w:spacing w:val="-2"/>
        </w:rPr>
        <w:t>Management</w:t>
      </w:r>
      <w:r>
        <w:rPr>
          <w:i/>
          <w:color w:val="231F20"/>
          <w:spacing w:val="-14"/>
        </w:rPr>
        <w:t xml:space="preserve"> </w:t>
      </w:r>
      <w:r>
        <w:rPr>
          <w:i/>
          <w:color w:val="231F20"/>
          <w:spacing w:val="-2"/>
        </w:rPr>
        <w:t>Act</w:t>
      </w:r>
      <w:r>
        <w:rPr>
          <w:i/>
          <w:color w:val="231F20"/>
          <w:spacing w:val="-14"/>
        </w:rPr>
        <w:t xml:space="preserve"> </w:t>
      </w:r>
      <w:r>
        <w:rPr>
          <w:color w:val="231F20"/>
          <w:spacing w:val="-2"/>
        </w:rPr>
        <w:t>1994</w:t>
      </w:r>
      <w:r>
        <w:rPr>
          <w:color w:val="231F20"/>
          <w:spacing w:val="-5"/>
        </w:rPr>
        <w:t xml:space="preserve"> </w:t>
      </w:r>
      <w:r>
        <w:rPr>
          <w:color w:val="231F20"/>
          <w:spacing w:val="-2"/>
        </w:rPr>
        <w:t>(FMA),</w:t>
      </w:r>
      <w:r>
        <w:rPr>
          <w:color w:val="231F20"/>
          <w:spacing w:val="-5"/>
        </w:rPr>
        <w:t xml:space="preserve"> </w:t>
      </w:r>
      <w:r>
        <w:rPr>
          <w:color w:val="231F20"/>
          <w:spacing w:val="-2"/>
        </w:rPr>
        <w:t>the</w:t>
      </w:r>
      <w:r>
        <w:rPr>
          <w:color w:val="231F20"/>
          <w:spacing w:val="-5"/>
        </w:rPr>
        <w:t xml:space="preserve"> </w:t>
      </w:r>
      <w:r>
        <w:rPr>
          <w:color w:val="231F20"/>
          <w:spacing w:val="-2"/>
        </w:rPr>
        <w:t>following</w:t>
      </w:r>
      <w:r>
        <w:rPr>
          <w:color w:val="231F20"/>
          <w:spacing w:val="-5"/>
        </w:rPr>
        <w:t xml:space="preserve"> </w:t>
      </w:r>
      <w:r>
        <w:rPr>
          <w:color w:val="231F20"/>
          <w:spacing w:val="-2"/>
        </w:rPr>
        <w:t>disclosures</w:t>
      </w:r>
      <w:r>
        <w:rPr>
          <w:color w:val="231F20"/>
          <w:spacing w:val="-5"/>
        </w:rPr>
        <w:t xml:space="preserve"> </w:t>
      </w:r>
      <w:r>
        <w:rPr>
          <w:color w:val="231F20"/>
          <w:spacing w:val="-2"/>
        </w:rPr>
        <w:t>are</w:t>
      </w:r>
      <w:r>
        <w:rPr>
          <w:color w:val="231F20"/>
          <w:spacing w:val="-5"/>
        </w:rPr>
        <w:t xml:space="preserve"> </w:t>
      </w:r>
      <w:r>
        <w:rPr>
          <w:color w:val="231F20"/>
          <w:spacing w:val="-2"/>
        </w:rPr>
        <w:t>made</w:t>
      </w:r>
      <w:r>
        <w:rPr>
          <w:color w:val="231F20"/>
          <w:spacing w:val="-5"/>
        </w:rPr>
        <w:t xml:space="preserve"> </w:t>
      </w:r>
      <w:r>
        <w:rPr>
          <w:color w:val="231F20"/>
          <w:spacing w:val="-2"/>
        </w:rPr>
        <w:t>regarding</w:t>
      </w:r>
      <w:r>
        <w:rPr>
          <w:color w:val="231F20"/>
          <w:spacing w:val="-5"/>
        </w:rPr>
        <w:t xml:space="preserve"> </w:t>
      </w:r>
      <w:r>
        <w:rPr>
          <w:color w:val="231F20"/>
          <w:spacing w:val="-2"/>
        </w:rPr>
        <w:t xml:space="preserve">responsible </w:t>
      </w:r>
      <w:r>
        <w:rPr>
          <w:color w:val="231F20"/>
        </w:rPr>
        <w:t>persons for the reporting period.</w:t>
      </w:r>
    </w:p>
    <w:p w14:paraId="202D3F40" w14:textId="77777777" w:rsidR="00345EE3" w:rsidRDefault="00345EE3" w:rsidP="00345EE3">
      <w:pPr>
        <w:pStyle w:val="Heading5"/>
        <w:spacing w:before="174"/>
      </w:pPr>
      <w:r>
        <w:rPr>
          <w:color w:val="58595B"/>
          <w:spacing w:val="-2"/>
        </w:rPr>
        <w:t>Names</w:t>
      </w:r>
    </w:p>
    <w:p w14:paraId="02E04BC7" w14:textId="77777777" w:rsidR="00345EE3" w:rsidRDefault="00345EE3" w:rsidP="00345EE3">
      <w:pPr>
        <w:pStyle w:val="BodyText"/>
        <w:spacing w:before="4" w:line="242" w:lineRule="auto"/>
        <w:ind w:right="115"/>
      </w:pPr>
      <w:r>
        <w:rPr>
          <w:color w:val="231F20"/>
        </w:rPr>
        <w:t>The</w:t>
      </w:r>
      <w:r>
        <w:rPr>
          <w:color w:val="231F20"/>
          <w:spacing w:val="-6"/>
        </w:rPr>
        <w:t xml:space="preserve"> </w:t>
      </w:r>
      <w:r>
        <w:rPr>
          <w:color w:val="231F20"/>
        </w:rPr>
        <w:t>persons</w:t>
      </w:r>
      <w:r>
        <w:rPr>
          <w:color w:val="231F20"/>
          <w:spacing w:val="-5"/>
        </w:rPr>
        <w:t xml:space="preserve"> </w:t>
      </w:r>
      <w:r>
        <w:rPr>
          <w:color w:val="231F20"/>
        </w:rPr>
        <w:t>who</w:t>
      </w:r>
      <w:r>
        <w:rPr>
          <w:color w:val="231F20"/>
          <w:spacing w:val="-6"/>
        </w:rPr>
        <w:t xml:space="preserve"> </w:t>
      </w:r>
      <w:r>
        <w:rPr>
          <w:color w:val="231F20"/>
        </w:rPr>
        <w:t>held</w:t>
      </w:r>
      <w:r>
        <w:rPr>
          <w:color w:val="231F20"/>
          <w:spacing w:val="-6"/>
        </w:rPr>
        <w:t xml:space="preserve"> </w:t>
      </w:r>
      <w:r>
        <w:rPr>
          <w:color w:val="231F20"/>
        </w:rPr>
        <w:t>the</w:t>
      </w:r>
      <w:r>
        <w:rPr>
          <w:color w:val="231F20"/>
          <w:spacing w:val="-6"/>
        </w:rPr>
        <w:t xml:space="preserve"> </w:t>
      </w:r>
      <w:r>
        <w:rPr>
          <w:color w:val="231F20"/>
        </w:rPr>
        <w:t>positions</w:t>
      </w:r>
      <w:r>
        <w:rPr>
          <w:color w:val="231F20"/>
          <w:spacing w:val="-5"/>
        </w:rPr>
        <w:t xml:space="preserve"> </w:t>
      </w:r>
      <w:r>
        <w:rPr>
          <w:color w:val="231F20"/>
        </w:rPr>
        <w:t>of</w:t>
      </w:r>
      <w:r>
        <w:rPr>
          <w:color w:val="231F20"/>
          <w:spacing w:val="-5"/>
        </w:rPr>
        <w:t xml:space="preserve"> </w:t>
      </w:r>
      <w:r>
        <w:rPr>
          <w:color w:val="231F20"/>
        </w:rPr>
        <w:t>Ministers</w:t>
      </w:r>
      <w:r>
        <w:rPr>
          <w:color w:val="231F20"/>
          <w:spacing w:val="-5"/>
        </w:rPr>
        <w:t xml:space="preserve"> </w:t>
      </w:r>
      <w:r>
        <w:rPr>
          <w:color w:val="231F20"/>
        </w:rPr>
        <w:t>and</w:t>
      </w:r>
      <w:r>
        <w:rPr>
          <w:color w:val="231F20"/>
          <w:spacing w:val="-6"/>
        </w:rPr>
        <w:t xml:space="preserve"> </w:t>
      </w:r>
      <w:r>
        <w:rPr>
          <w:color w:val="231F20"/>
        </w:rPr>
        <w:t>Accountable</w:t>
      </w:r>
      <w:r>
        <w:rPr>
          <w:color w:val="231F20"/>
          <w:spacing w:val="-6"/>
        </w:rPr>
        <w:t xml:space="preserve"> </w:t>
      </w:r>
      <w:r>
        <w:rPr>
          <w:color w:val="231F20"/>
        </w:rPr>
        <w:t>Officers</w:t>
      </w:r>
      <w:r>
        <w:rPr>
          <w:color w:val="231F20"/>
          <w:spacing w:val="-5"/>
        </w:rPr>
        <w:t xml:space="preserve"> </w:t>
      </w:r>
      <w:r>
        <w:rPr>
          <w:color w:val="231F20"/>
        </w:rPr>
        <w:t>in</w:t>
      </w:r>
      <w:r>
        <w:rPr>
          <w:color w:val="231F20"/>
          <w:spacing w:val="-6"/>
        </w:rPr>
        <w:t xml:space="preserve"> </w:t>
      </w:r>
      <w:r>
        <w:rPr>
          <w:color w:val="231F20"/>
        </w:rPr>
        <w:t>Victoria</w:t>
      </w:r>
      <w:r>
        <w:rPr>
          <w:color w:val="231F20"/>
          <w:spacing w:val="-6"/>
        </w:rPr>
        <w:t xml:space="preserve"> </w:t>
      </w:r>
      <w:r>
        <w:rPr>
          <w:color w:val="231F20"/>
        </w:rPr>
        <w:t>Police</w:t>
      </w:r>
      <w:r>
        <w:rPr>
          <w:color w:val="231F20"/>
          <w:spacing w:val="-6"/>
        </w:rPr>
        <w:t xml:space="preserve"> </w:t>
      </w:r>
      <w:r>
        <w:rPr>
          <w:color w:val="231F20"/>
        </w:rPr>
        <w:t>are as follows:</w:t>
      </w:r>
    </w:p>
    <w:p w14:paraId="71C7B661" w14:textId="77777777" w:rsidR="00345EE3" w:rsidRDefault="00345EE3" w:rsidP="00345EE3">
      <w:pPr>
        <w:pStyle w:val="BodyText"/>
        <w:rPr>
          <w:sz w:val="12"/>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969"/>
        <w:gridCol w:w="2835"/>
        <w:gridCol w:w="3402"/>
      </w:tblGrid>
      <w:tr w:rsidR="00345EE3" w14:paraId="1B1F289F" w14:textId="77777777" w:rsidTr="00D73130">
        <w:trPr>
          <w:trHeight w:val="401"/>
        </w:trPr>
        <w:tc>
          <w:tcPr>
            <w:tcW w:w="10206" w:type="dxa"/>
            <w:gridSpan w:val="3"/>
            <w:tcBorders>
              <w:top w:val="nil"/>
              <w:left w:val="nil"/>
              <w:bottom w:val="nil"/>
              <w:right w:val="nil"/>
            </w:tcBorders>
            <w:shd w:val="clear" w:color="auto" w:fill="00529F"/>
          </w:tcPr>
          <w:p w14:paraId="15ACA413" w14:textId="77777777" w:rsidR="00345EE3" w:rsidRDefault="00345EE3" w:rsidP="00D73130">
            <w:pPr>
              <w:pStyle w:val="TableParagraph"/>
              <w:spacing w:before="63"/>
              <w:jc w:val="left"/>
              <w:rPr>
                <w:b/>
                <w:sz w:val="24"/>
              </w:rPr>
            </w:pPr>
            <w:r>
              <w:rPr>
                <w:b/>
                <w:color w:val="FFFFFF"/>
                <w:sz w:val="24"/>
              </w:rPr>
              <w:t>Responsible</w:t>
            </w:r>
            <w:r>
              <w:rPr>
                <w:b/>
                <w:color w:val="FFFFFF"/>
                <w:spacing w:val="-8"/>
                <w:sz w:val="24"/>
              </w:rPr>
              <w:t xml:space="preserve"> </w:t>
            </w:r>
            <w:r>
              <w:rPr>
                <w:b/>
                <w:color w:val="FFFFFF"/>
                <w:spacing w:val="-2"/>
                <w:sz w:val="24"/>
              </w:rPr>
              <w:t>Ministers</w:t>
            </w:r>
          </w:p>
        </w:tc>
      </w:tr>
      <w:tr w:rsidR="00345EE3" w14:paraId="78814F7A" w14:textId="77777777" w:rsidTr="00D73130">
        <w:trPr>
          <w:trHeight w:val="678"/>
        </w:trPr>
        <w:tc>
          <w:tcPr>
            <w:tcW w:w="3969" w:type="dxa"/>
            <w:tcBorders>
              <w:top w:val="nil"/>
              <w:left w:val="nil"/>
            </w:tcBorders>
          </w:tcPr>
          <w:p w14:paraId="15662CB0" w14:textId="77777777" w:rsidR="00345EE3" w:rsidRDefault="00345EE3" w:rsidP="00D73130">
            <w:pPr>
              <w:pStyle w:val="TableParagraph"/>
              <w:spacing w:before="63" w:line="242" w:lineRule="auto"/>
              <w:ind w:left="-3"/>
              <w:jc w:val="left"/>
              <w:rPr>
                <w:sz w:val="24"/>
              </w:rPr>
            </w:pPr>
            <w:r>
              <w:rPr>
                <w:color w:val="231F20"/>
                <w:sz w:val="24"/>
              </w:rPr>
              <w:t>Minister</w:t>
            </w:r>
            <w:r>
              <w:rPr>
                <w:color w:val="231F20"/>
                <w:spacing w:val="-9"/>
                <w:sz w:val="24"/>
              </w:rPr>
              <w:t xml:space="preserve"> </w:t>
            </w:r>
            <w:r>
              <w:rPr>
                <w:color w:val="231F20"/>
                <w:sz w:val="24"/>
              </w:rPr>
              <w:t>for</w:t>
            </w:r>
            <w:r>
              <w:rPr>
                <w:color w:val="231F20"/>
                <w:spacing w:val="-9"/>
                <w:sz w:val="24"/>
              </w:rPr>
              <w:t xml:space="preserve"> </w:t>
            </w:r>
            <w:r>
              <w:rPr>
                <w:color w:val="231F20"/>
                <w:sz w:val="24"/>
              </w:rPr>
              <w:t>Police</w:t>
            </w:r>
            <w:r>
              <w:rPr>
                <w:color w:val="231F20"/>
                <w:spacing w:val="-9"/>
                <w:sz w:val="24"/>
              </w:rPr>
              <w:t xml:space="preserve"> </w:t>
            </w:r>
            <w:r>
              <w:rPr>
                <w:color w:val="231F20"/>
                <w:sz w:val="24"/>
              </w:rPr>
              <w:t>and</w:t>
            </w:r>
            <w:r>
              <w:rPr>
                <w:color w:val="231F20"/>
                <w:spacing w:val="-10"/>
                <w:sz w:val="24"/>
              </w:rPr>
              <w:t xml:space="preserve"> </w:t>
            </w:r>
            <w:r>
              <w:rPr>
                <w:color w:val="231F20"/>
                <w:sz w:val="24"/>
              </w:rPr>
              <w:t xml:space="preserve">Emergency </w:t>
            </w:r>
            <w:r>
              <w:rPr>
                <w:color w:val="231F20"/>
                <w:spacing w:val="-2"/>
                <w:sz w:val="24"/>
              </w:rPr>
              <w:t>Services</w:t>
            </w:r>
          </w:p>
        </w:tc>
        <w:tc>
          <w:tcPr>
            <w:tcW w:w="2835" w:type="dxa"/>
            <w:vMerge w:val="restart"/>
            <w:tcBorders>
              <w:top w:val="nil"/>
            </w:tcBorders>
          </w:tcPr>
          <w:p w14:paraId="0BCD1603" w14:textId="77777777" w:rsidR="00345EE3" w:rsidRDefault="00345EE3" w:rsidP="00D73130">
            <w:pPr>
              <w:pStyle w:val="TableParagraph"/>
              <w:spacing w:before="63"/>
              <w:ind w:left="-1"/>
              <w:jc w:val="left"/>
              <w:rPr>
                <w:sz w:val="24"/>
              </w:rPr>
            </w:pPr>
            <w:r>
              <w:rPr>
                <w:color w:val="231F20"/>
                <w:sz w:val="24"/>
              </w:rPr>
              <w:t>The</w:t>
            </w:r>
            <w:r>
              <w:rPr>
                <w:color w:val="231F20"/>
                <w:spacing w:val="-4"/>
                <w:sz w:val="24"/>
              </w:rPr>
              <w:t xml:space="preserve"> </w:t>
            </w:r>
            <w:r>
              <w:rPr>
                <w:color w:val="231F20"/>
                <w:sz w:val="24"/>
              </w:rPr>
              <w:t>Hon.</w:t>
            </w:r>
            <w:r>
              <w:rPr>
                <w:color w:val="231F20"/>
                <w:spacing w:val="-4"/>
                <w:sz w:val="24"/>
              </w:rPr>
              <w:t xml:space="preserve"> </w:t>
            </w:r>
            <w:r>
              <w:rPr>
                <w:color w:val="231F20"/>
                <w:sz w:val="24"/>
              </w:rPr>
              <w:t>Lisa</w:t>
            </w:r>
            <w:r>
              <w:rPr>
                <w:color w:val="231F20"/>
                <w:spacing w:val="-4"/>
                <w:sz w:val="24"/>
              </w:rPr>
              <w:t xml:space="preserve"> </w:t>
            </w:r>
            <w:r>
              <w:rPr>
                <w:color w:val="231F20"/>
                <w:sz w:val="24"/>
              </w:rPr>
              <w:t>Neville</w:t>
            </w:r>
            <w:r>
              <w:rPr>
                <w:color w:val="231F20"/>
                <w:spacing w:val="-3"/>
                <w:sz w:val="24"/>
              </w:rPr>
              <w:t xml:space="preserve"> </w:t>
            </w:r>
            <w:r>
              <w:rPr>
                <w:color w:val="231F20"/>
                <w:spacing w:val="-5"/>
                <w:sz w:val="24"/>
              </w:rPr>
              <w:t>MP</w:t>
            </w:r>
          </w:p>
        </w:tc>
        <w:tc>
          <w:tcPr>
            <w:tcW w:w="3402" w:type="dxa"/>
            <w:tcBorders>
              <w:top w:val="nil"/>
              <w:right w:val="nil"/>
            </w:tcBorders>
          </w:tcPr>
          <w:p w14:paraId="55D21BCC" w14:textId="77777777" w:rsidR="00345EE3" w:rsidRDefault="00345EE3" w:rsidP="00D73130">
            <w:pPr>
              <w:pStyle w:val="TableParagraph"/>
              <w:spacing w:before="63"/>
              <w:ind w:left="-1"/>
              <w:jc w:val="left"/>
              <w:rPr>
                <w:sz w:val="24"/>
              </w:rPr>
            </w:pPr>
            <w:r>
              <w:rPr>
                <w:color w:val="231F20"/>
                <w:sz w:val="24"/>
              </w:rPr>
              <w:t>23</w:t>
            </w:r>
            <w:r>
              <w:rPr>
                <w:color w:val="231F20"/>
                <w:spacing w:val="-15"/>
                <w:sz w:val="24"/>
              </w:rPr>
              <w:t xml:space="preserve"> </w:t>
            </w:r>
            <w:r>
              <w:rPr>
                <w:color w:val="231F20"/>
                <w:sz w:val="24"/>
              </w:rPr>
              <w:t xml:space="preserve">August </w:t>
            </w:r>
            <w:r>
              <w:rPr>
                <w:color w:val="231F20"/>
                <w:spacing w:val="-4"/>
                <w:sz w:val="24"/>
              </w:rPr>
              <w:t>2021</w:t>
            </w:r>
          </w:p>
        </w:tc>
      </w:tr>
      <w:tr w:rsidR="00345EE3" w14:paraId="3FF6D401" w14:textId="77777777" w:rsidTr="00D73130">
        <w:trPr>
          <w:trHeight w:val="1629"/>
        </w:trPr>
        <w:tc>
          <w:tcPr>
            <w:tcW w:w="3969" w:type="dxa"/>
            <w:tcBorders>
              <w:left w:val="nil"/>
            </w:tcBorders>
          </w:tcPr>
          <w:p w14:paraId="13D2EA84" w14:textId="77777777" w:rsidR="00345EE3" w:rsidRDefault="00345EE3" w:rsidP="00D73130">
            <w:pPr>
              <w:pStyle w:val="TableParagraph"/>
              <w:spacing w:before="61"/>
              <w:ind w:left="-3"/>
              <w:jc w:val="left"/>
              <w:rPr>
                <w:sz w:val="24"/>
              </w:rPr>
            </w:pPr>
            <w:r>
              <w:rPr>
                <w:color w:val="231F20"/>
                <w:sz w:val="24"/>
              </w:rPr>
              <w:t xml:space="preserve">Minister for </w:t>
            </w:r>
            <w:r>
              <w:rPr>
                <w:color w:val="231F20"/>
                <w:spacing w:val="-2"/>
                <w:sz w:val="24"/>
              </w:rPr>
              <w:t>Police</w:t>
            </w:r>
          </w:p>
        </w:tc>
        <w:tc>
          <w:tcPr>
            <w:tcW w:w="2835" w:type="dxa"/>
            <w:vMerge/>
            <w:tcBorders>
              <w:top w:val="nil"/>
            </w:tcBorders>
          </w:tcPr>
          <w:p w14:paraId="1D7B92B6" w14:textId="77777777" w:rsidR="00345EE3" w:rsidRDefault="00345EE3" w:rsidP="00D73130">
            <w:pPr>
              <w:rPr>
                <w:sz w:val="2"/>
                <w:szCs w:val="2"/>
              </w:rPr>
            </w:pPr>
          </w:p>
        </w:tc>
        <w:tc>
          <w:tcPr>
            <w:tcW w:w="3402" w:type="dxa"/>
            <w:tcBorders>
              <w:right w:val="nil"/>
            </w:tcBorders>
          </w:tcPr>
          <w:p w14:paraId="28B811E8" w14:textId="77777777" w:rsidR="00345EE3" w:rsidRDefault="00345EE3" w:rsidP="00D73130">
            <w:pPr>
              <w:pStyle w:val="TableParagraph"/>
              <w:spacing w:before="61"/>
              <w:ind w:left="-1"/>
              <w:jc w:val="left"/>
              <w:rPr>
                <w:sz w:val="24"/>
              </w:rPr>
            </w:pPr>
            <w:r>
              <w:rPr>
                <w:color w:val="231F20"/>
                <w:sz w:val="24"/>
              </w:rPr>
              <w:t>24</w:t>
            </w:r>
            <w:r>
              <w:rPr>
                <w:color w:val="231F20"/>
                <w:spacing w:val="-15"/>
                <w:sz w:val="24"/>
              </w:rPr>
              <w:t xml:space="preserve"> </w:t>
            </w:r>
            <w:r>
              <w:rPr>
                <w:color w:val="231F20"/>
                <w:sz w:val="24"/>
              </w:rPr>
              <w:t>August</w:t>
            </w:r>
            <w:r>
              <w:rPr>
                <w:color w:val="231F20"/>
                <w:spacing w:val="-1"/>
                <w:sz w:val="24"/>
              </w:rPr>
              <w:t xml:space="preserve"> </w:t>
            </w:r>
            <w:r>
              <w:rPr>
                <w:color w:val="231F20"/>
                <w:sz w:val="24"/>
              </w:rPr>
              <w:t>2021</w:t>
            </w:r>
            <w:r>
              <w:rPr>
                <w:color w:val="231F20"/>
                <w:spacing w:val="-2"/>
                <w:sz w:val="24"/>
              </w:rPr>
              <w:t xml:space="preserve"> </w:t>
            </w:r>
            <w:r>
              <w:rPr>
                <w:color w:val="231F20"/>
                <w:sz w:val="24"/>
              </w:rPr>
              <w:t>to</w:t>
            </w:r>
            <w:r>
              <w:rPr>
                <w:color w:val="231F20"/>
                <w:spacing w:val="-1"/>
                <w:sz w:val="24"/>
              </w:rPr>
              <w:t xml:space="preserve"> </w:t>
            </w:r>
            <w:r>
              <w:rPr>
                <w:color w:val="231F20"/>
                <w:sz w:val="24"/>
              </w:rPr>
              <w:t>15</w:t>
            </w:r>
            <w:r>
              <w:rPr>
                <w:color w:val="231F20"/>
                <w:spacing w:val="-2"/>
                <w:sz w:val="24"/>
              </w:rPr>
              <w:t xml:space="preserve"> January</w:t>
            </w:r>
          </w:p>
          <w:p w14:paraId="3893B731" w14:textId="77777777" w:rsidR="00345EE3" w:rsidRDefault="00345EE3" w:rsidP="00D73130">
            <w:pPr>
              <w:pStyle w:val="TableParagraph"/>
              <w:spacing w:before="4"/>
              <w:ind w:left="-1"/>
              <w:jc w:val="left"/>
              <w:rPr>
                <w:sz w:val="24"/>
              </w:rPr>
            </w:pPr>
            <w:r>
              <w:rPr>
                <w:color w:val="231F20"/>
                <w:spacing w:val="-4"/>
                <w:sz w:val="24"/>
              </w:rPr>
              <w:t>2022</w:t>
            </w:r>
          </w:p>
          <w:p w14:paraId="15E79856" w14:textId="77777777" w:rsidR="00345EE3" w:rsidRDefault="00345EE3" w:rsidP="00D73130">
            <w:pPr>
              <w:pStyle w:val="TableParagraph"/>
              <w:ind w:left="-1"/>
              <w:jc w:val="left"/>
              <w:rPr>
                <w:sz w:val="24"/>
              </w:rPr>
            </w:pPr>
            <w:r>
              <w:rPr>
                <w:color w:val="231F20"/>
                <w:sz w:val="24"/>
              </w:rPr>
              <w:t>26</w:t>
            </w:r>
            <w:r>
              <w:rPr>
                <w:color w:val="231F20"/>
                <w:spacing w:val="-2"/>
                <w:sz w:val="24"/>
              </w:rPr>
              <w:t xml:space="preserve"> </w:t>
            </w:r>
            <w:r>
              <w:rPr>
                <w:color w:val="231F20"/>
                <w:sz w:val="24"/>
              </w:rPr>
              <w:t>January</w:t>
            </w:r>
            <w:r>
              <w:rPr>
                <w:color w:val="231F20"/>
                <w:spacing w:val="-1"/>
                <w:sz w:val="24"/>
              </w:rPr>
              <w:t xml:space="preserve"> </w:t>
            </w:r>
            <w:r>
              <w:rPr>
                <w:color w:val="231F20"/>
                <w:sz w:val="24"/>
              </w:rPr>
              <w:t>2022</w:t>
            </w:r>
            <w:r>
              <w:rPr>
                <w:color w:val="231F20"/>
                <w:spacing w:val="-2"/>
                <w:sz w:val="24"/>
              </w:rPr>
              <w:t xml:space="preserve"> </w:t>
            </w:r>
            <w:r>
              <w:rPr>
                <w:color w:val="231F20"/>
                <w:sz w:val="24"/>
              </w:rPr>
              <w:t>to</w:t>
            </w:r>
            <w:r>
              <w:rPr>
                <w:color w:val="231F20"/>
                <w:spacing w:val="-1"/>
                <w:sz w:val="24"/>
              </w:rPr>
              <w:t xml:space="preserve"> </w:t>
            </w:r>
            <w:r>
              <w:rPr>
                <w:color w:val="231F20"/>
                <w:sz w:val="24"/>
              </w:rPr>
              <w:t>28</w:t>
            </w:r>
            <w:r>
              <w:rPr>
                <w:color w:val="231F20"/>
                <w:spacing w:val="-2"/>
                <w:sz w:val="24"/>
              </w:rPr>
              <w:t xml:space="preserve"> </w:t>
            </w:r>
            <w:r>
              <w:rPr>
                <w:color w:val="231F20"/>
                <w:spacing w:val="-5"/>
                <w:sz w:val="24"/>
              </w:rPr>
              <w:t>May</w:t>
            </w:r>
          </w:p>
          <w:p w14:paraId="70CBE44B" w14:textId="77777777" w:rsidR="00345EE3" w:rsidRDefault="00345EE3" w:rsidP="00D73130">
            <w:pPr>
              <w:pStyle w:val="TableParagraph"/>
              <w:spacing w:before="4"/>
              <w:ind w:left="-1"/>
              <w:jc w:val="left"/>
              <w:rPr>
                <w:sz w:val="24"/>
              </w:rPr>
            </w:pPr>
            <w:r>
              <w:rPr>
                <w:color w:val="231F20"/>
                <w:spacing w:val="-4"/>
                <w:sz w:val="24"/>
              </w:rPr>
              <w:t>2022</w:t>
            </w:r>
          </w:p>
          <w:p w14:paraId="59021545" w14:textId="77777777" w:rsidR="00345EE3" w:rsidRDefault="00345EE3" w:rsidP="00D73130">
            <w:pPr>
              <w:pStyle w:val="TableParagraph"/>
              <w:spacing w:before="61"/>
              <w:ind w:left="-1"/>
              <w:jc w:val="left"/>
              <w:rPr>
                <w:sz w:val="24"/>
              </w:rPr>
            </w:pPr>
            <w:r>
              <w:rPr>
                <w:color w:val="231F20"/>
                <w:sz w:val="24"/>
              </w:rPr>
              <w:t>6</w:t>
            </w:r>
            <w:r>
              <w:rPr>
                <w:color w:val="231F20"/>
                <w:spacing w:val="-2"/>
                <w:sz w:val="24"/>
              </w:rPr>
              <w:t xml:space="preserve"> </w:t>
            </w:r>
            <w:r>
              <w:rPr>
                <w:color w:val="231F20"/>
                <w:sz w:val="24"/>
              </w:rPr>
              <w:t>June</w:t>
            </w:r>
            <w:r>
              <w:rPr>
                <w:color w:val="231F20"/>
                <w:spacing w:val="-1"/>
                <w:sz w:val="24"/>
              </w:rPr>
              <w:t xml:space="preserve"> </w:t>
            </w:r>
            <w:r>
              <w:rPr>
                <w:color w:val="231F20"/>
                <w:sz w:val="24"/>
              </w:rPr>
              <w:t>2022</w:t>
            </w:r>
            <w:r>
              <w:rPr>
                <w:color w:val="231F20"/>
                <w:spacing w:val="-1"/>
                <w:sz w:val="24"/>
              </w:rPr>
              <w:t xml:space="preserve"> </w:t>
            </w:r>
            <w:r>
              <w:rPr>
                <w:color w:val="231F20"/>
                <w:sz w:val="24"/>
              </w:rPr>
              <w:t>to</w:t>
            </w:r>
            <w:r>
              <w:rPr>
                <w:color w:val="231F20"/>
                <w:spacing w:val="-1"/>
                <w:sz w:val="24"/>
              </w:rPr>
              <w:t xml:space="preserve"> </w:t>
            </w:r>
            <w:r>
              <w:rPr>
                <w:color w:val="231F20"/>
                <w:sz w:val="24"/>
              </w:rPr>
              <w:t>27</w:t>
            </w:r>
            <w:r>
              <w:rPr>
                <w:color w:val="231F20"/>
                <w:spacing w:val="-2"/>
                <w:sz w:val="24"/>
              </w:rPr>
              <w:t xml:space="preserve"> </w:t>
            </w:r>
            <w:r>
              <w:rPr>
                <w:color w:val="231F20"/>
                <w:sz w:val="24"/>
              </w:rPr>
              <w:t xml:space="preserve">June </w:t>
            </w:r>
            <w:r>
              <w:rPr>
                <w:color w:val="231F20"/>
                <w:spacing w:val="-4"/>
                <w:sz w:val="24"/>
              </w:rPr>
              <w:t>2022</w:t>
            </w:r>
          </w:p>
        </w:tc>
      </w:tr>
      <w:tr w:rsidR="00345EE3" w14:paraId="51E47361" w14:textId="77777777" w:rsidTr="00D73130">
        <w:trPr>
          <w:trHeight w:val="676"/>
        </w:trPr>
        <w:tc>
          <w:tcPr>
            <w:tcW w:w="3969" w:type="dxa"/>
            <w:tcBorders>
              <w:left w:val="nil"/>
            </w:tcBorders>
          </w:tcPr>
          <w:p w14:paraId="7B2FFF54" w14:textId="77777777" w:rsidR="00345EE3" w:rsidRDefault="00345EE3" w:rsidP="00D73130">
            <w:pPr>
              <w:pStyle w:val="TableParagraph"/>
              <w:spacing w:before="61" w:line="242" w:lineRule="auto"/>
              <w:ind w:left="-3"/>
              <w:jc w:val="left"/>
              <w:rPr>
                <w:sz w:val="24"/>
              </w:rPr>
            </w:pPr>
            <w:r>
              <w:rPr>
                <w:color w:val="231F20"/>
                <w:sz w:val="24"/>
              </w:rPr>
              <w:t>Acting</w:t>
            </w:r>
            <w:r>
              <w:rPr>
                <w:color w:val="231F20"/>
                <w:spacing w:val="-9"/>
                <w:sz w:val="24"/>
              </w:rPr>
              <w:t xml:space="preserve"> </w:t>
            </w:r>
            <w:r>
              <w:rPr>
                <w:color w:val="231F20"/>
                <w:sz w:val="24"/>
              </w:rPr>
              <w:t>Minister</w:t>
            </w:r>
            <w:r>
              <w:rPr>
                <w:color w:val="231F20"/>
                <w:spacing w:val="-9"/>
                <w:sz w:val="24"/>
              </w:rPr>
              <w:t xml:space="preserve"> </w:t>
            </w:r>
            <w:r>
              <w:rPr>
                <w:color w:val="231F20"/>
                <w:sz w:val="24"/>
              </w:rPr>
              <w:t>for</w:t>
            </w:r>
            <w:r>
              <w:rPr>
                <w:color w:val="231F20"/>
                <w:spacing w:val="-9"/>
                <w:sz w:val="24"/>
              </w:rPr>
              <w:t xml:space="preserve"> </w:t>
            </w:r>
            <w:r>
              <w:rPr>
                <w:color w:val="231F20"/>
                <w:sz w:val="24"/>
              </w:rPr>
              <w:t>Police</w:t>
            </w:r>
            <w:r>
              <w:rPr>
                <w:color w:val="231F20"/>
                <w:spacing w:val="-9"/>
                <w:sz w:val="24"/>
              </w:rPr>
              <w:t xml:space="preserve"> </w:t>
            </w:r>
            <w:r>
              <w:rPr>
                <w:color w:val="231F20"/>
                <w:sz w:val="24"/>
              </w:rPr>
              <w:t>and Emergency Services</w:t>
            </w:r>
          </w:p>
        </w:tc>
        <w:tc>
          <w:tcPr>
            <w:tcW w:w="2835" w:type="dxa"/>
            <w:vMerge w:val="restart"/>
          </w:tcPr>
          <w:p w14:paraId="7B6338F7" w14:textId="77777777" w:rsidR="00345EE3" w:rsidRDefault="00345EE3" w:rsidP="00D73130">
            <w:pPr>
              <w:pStyle w:val="TableParagraph"/>
              <w:spacing w:before="61" w:line="242" w:lineRule="auto"/>
              <w:ind w:left="-1"/>
              <w:jc w:val="left"/>
              <w:rPr>
                <w:sz w:val="24"/>
              </w:rPr>
            </w:pPr>
            <w:r>
              <w:rPr>
                <w:color w:val="231F20"/>
                <w:sz w:val="24"/>
              </w:rPr>
              <w:t>The</w:t>
            </w:r>
            <w:r>
              <w:rPr>
                <w:color w:val="231F20"/>
                <w:spacing w:val="-12"/>
                <w:sz w:val="24"/>
              </w:rPr>
              <w:t xml:space="preserve"> </w:t>
            </w:r>
            <w:r>
              <w:rPr>
                <w:color w:val="231F20"/>
                <w:sz w:val="24"/>
              </w:rPr>
              <w:t>Hon.</w:t>
            </w:r>
            <w:r>
              <w:rPr>
                <w:color w:val="231F20"/>
                <w:spacing w:val="-13"/>
                <w:sz w:val="24"/>
              </w:rPr>
              <w:t xml:space="preserve"> </w:t>
            </w:r>
            <w:r>
              <w:rPr>
                <w:color w:val="231F20"/>
                <w:sz w:val="24"/>
              </w:rPr>
              <w:t>Danny</w:t>
            </w:r>
            <w:r>
              <w:rPr>
                <w:color w:val="231F20"/>
                <w:spacing w:val="-13"/>
                <w:sz w:val="24"/>
              </w:rPr>
              <w:t xml:space="preserve"> </w:t>
            </w:r>
            <w:r>
              <w:rPr>
                <w:color w:val="231F20"/>
                <w:sz w:val="24"/>
              </w:rPr>
              <w:t xml:space="preserve">Pearson </w:t>
            </w:r>
            <w:r>
              <w:rPr>
                <w:color w:val="231F20"/>
                <w:spacing w:val="-6"/>
                <w:sz w:val="24"/>
              </w:rPr>
              <w:t>MP</w:t>
            </w:r>
          </w:p>
        </w:tc>
        <w:tc>
          <w:tcPr>
            <w:tcW w:w="3402" w:type="dxa"/>
            <w:tcBorders>
              <w:right w:val="nil"/>
            </w:tcBorders>
          </w:tcPr>
          <w:p w14:paraId="288D5AE3" w14:textId="77777777" w:rsidR="00345EE3" w:rsidRDefault="00345EE3" w:rsidP="00D73130">
            <w:pPr>
              <w:pStyle w:val="TableParagraph"/>
              <w:spacing w:before="61"/>
              <w:ind w:left="-1"/>
              <w:jc w:val="left"/>
              <w:rPr>
                <w:sz w:val="24"/>
              </w:rPr>
            </w:pPr>
            <w:r>
              <w:rPr>
                <w:color w:val="231F20"/>
                <w:sz w:val="24"/>
              </w:rPr>
              <w:t>1</w:t>
            </w:r>
            <w:r>
              <w:rPr>
                <w:color w:val="231F20"/>
                <w:spacing w:val="-2"/>
                <w:sz w:val="24"/>
              </w:rPr>
              <w:t xml:space="preserve"> </w:t>
            </w:r>
            <w:r>
              <w:rPr>
                <w:color w:val="231F20"/>
                <w:sz w:val="24"/>
              </w:rPr>
              <w:t>July</w:t>
            </w:r>
            <w:r>
              <w:rPr>
                <w:color w:val="231F20"/>
                <w:spacing w:val="-1"/>
                <w:sz w:val="24"/>
              </w:rPr>
              <w:t xml:space="preserve"> </w:t>
            </w:r>
            <w:r>
              <w:rPr>
                <w:color w:val="231F20"/>
                <w:sz w:val="24"/>
              </w:rPr>
              <w:t>2021</w:t>
            </w:r>
            <w:r>
              <w:rPr>
                <w:color w:val="231F20"/>
                <w:spacing w:val="-2"/>
                <w:sz w:val="24"/>
              </w:rPr>
              <w:t xml:space="preserve"> </w:t>
            </w:r>
            <w:r>
              <w:rPr>
                <w:color w:val="231F20"/>
                <w:sz w:val="24"/>
              </w:rPr>
              <w:t>to 22</w:t>
            </w:r>
            <w:r>
              <w:rPr>
                <w:color w:val="231F20"/>
                <w:spacing w:val="-15"/>
                <w:sz w:val="24"/>
              </w:rPr>
              <w:t xml:space="preserve"> </w:t>
            </w:r>
            <w:r>
              <w:rPr>
                <w:color w:val="231F20"/>
                <w:sz w:val="24"/>
              </w:rPr>
              <w:t xml:space="preserve">August </w:t>
            </w:r>
            <w:r>
              <w:rPr>
                <w:color w:val="231F20"/>
                <w:spacing w:val="-4"/>
                <w:sz w:val="24"/>
              </w:rPr>
              <w:t>2021</w:t>
            </w:r>
          </w:p>
        </w:tc>
      </w:tr>
      <w:tr w:rsidR="00345EE3" w14:paraId="7438C3F1" w14:textId="77777777" w:rsidTr="00D73130">
        <w:trPr>
          <w:trHeight w:val="396"/>
        </w:trPr>
        <w:tc>
          <w:tcPr>
            <w:tcW w:w="3969" w:type="dxa"/>
            <w:tcBorders>
              <w:left w:val="nil"/>
            </w:tcBorders>
          </w:tcPr>
          <w:p w14:paraId="442B43ED" w14:textId="77777777" w:rsidR="00345EE3" w:rsidRDefault="00345EE3" w:rsidP="00D73130">
            <w:pPr>
              <w:pStyle w:val="TableParagraph"/>
              <w:spacing w:before="61"/>
              <w:ind w:left="-3"/>
              <w:jc w:val="left"/>
              <w:rPr>
                <w:sz w:val="24"/>
              </w:rPr>
            </w:pPr>
            <w:r>
              <w:rPr>
                <w:color w:val="231F20"/>
                <w:sz w:val="24"/>
              </w:rPr>
              <w:t xml:space="preserve">Minister for </w:t>
            </w:r>
            <w:r>
              <w:rPr>
                <w:color w:val="231F20"/>
                <w:spacing w:val="-2"/>
                <w:sz w:val="24"/>
              </w:rPr>
              <w:t>Police</w:t>
            </w:r>
          </w:p>
        </w:tc>
        <w:tc>
          <w:tcPr>
            <w:tcW w:w="2835" w:type="dxa"/>
            <w:vMerge/>
            <w:tcBorders>
              <w:top w:val="nil"/>
            </w:tcBorders>
          </w:tcPr>
          <w:p w14:paraId="4AD9C652" w14:textId="77777777" w:rsidR="00345EE3" w:rsidRDefault="00345EE3" w:rsidP="00D73130">
            <w:pPr>
              <w:rPr>
                <w:sz w:val="2"/>
                <w:szCs w:val="2"/>
              </w:rPr>
            </w:pPr>
          </w:p>
        </w:tc>
        <w:tc>
          <w:tcPr>
            <w:tcW w:w="3402" w:type="dxa"/>
            <w:tcBorders>
              <w:right w:val="nil"/>
            </w:tcBorders>
          </w:tcPr>
          <w:p w14:paraId="1F9A0EDC" w14:textId="77777777" w:rsidR="00345EE3" w:rsidRDefault="00345EE3" w:rsidP="00D73130">
            <w:pPr>
              <w:pStyle w:val="TableParagraph"/>
              <w:spacing w:before="61"/>
              <w:ind w:left="-1"/>
              <w:jc w:val="left"/>
              <w:rPr>
                <w:sz w:val="24"/>
              </w:rPr>
            </w:pPr>
            <w:r>
              <w:rPr>
                <w:color w:val="231F20"/>
                <w:sz w:val="24"/>
              </w:rPr>
              <w:t>16</w:t>
            </w:r>
            <w:r>
              <w:rPr>
                <w:color w:val="231F20"/>
                <w:spacing w:val="-2"/>
                <w:sz w:val="24"/>
              </w:rPr>
              <w:t xml:space="preserve"> </w:t>
            </w:r>
            <w:r>
              <w:rPr>
                <w:color w:val="231F20"/>
                <w:sz w:val="24"/>
              </w:rPr>
              <w:t>–</w:t>
            </w:r>
            <w:r>
              <w:rPr>
                <w:color w:val="231F20"/>
                <w:spacing w:val="-1"/>
                <w:sz w:val="24"/>
              </w:rPr>
              <w:t xml:space="preserve"> </w:t>
            </w:r>
            <w:r>
              <w:rPr>
                <w:color w:val="231F20"/>
                <w:sz w:val="24"/>
              </w:rPr>
              <w:t>25</w:t>
            </w:r>
            <w:r>
              <w:rPr>
                <w:color w:val="231F20"/>
                <w:spacing w:val="-2"/>
                <w:sz w:val="24"/>
              </w:rPr>
              <w:t xml:space="preserve"> </w:t>
            </w:r>
            <w:r>
              <w:rPr>
                <w:color w:val="231F20"/>
                <w:sz w:val="24"/>
              </w:rPr>
              <w:t xml:space="preserve">January </w:t>
            </w:r>
            <w:r>
              <w:rPr>
                <w:color w:val="231F20"/>
                <w:spacing w:val="-4"/>
                <w:sz w:val="24"/>
              </w:rPr>
              <w:t>2022</w:t>
            </w:r>
          </w:p>
        </w:tc>
      </w:tr>
      <w:tr w:rsidR="00345EE3" w14:paraId="2996D7AB" w14:textId="77777777" w:rsidTr="00D73130">
        <w:trPr>
          <w:trHeight w:val="676"/>
        </w:trPr>
        <w:tc>
          <w:tcPr>
            <w:tcW w:w="3969" w:type="dxa"/>
            <w:tcBorders>
              <w:left w:val="nil"/>
            </w:tcBorders>
          </w:tcPr>
          <w:p w14:paraId="40C1F354" w14:textId="77777777" w:rsidR="00345EE3" w:rsidRDefault="00345EE3" w:rsidP="00D73130">
            <w:pPr>
              <w:pStyle w:val="TableParagraph"/>
              <w:spacing w:before="61"/>
              <w:ind w:left="-3"/>
              <w:jc w:val="left"/>
              <w:rPr>
                <w:sz w:val="24"/>
              </w:rPr>
            </w:pPr>
            <w:r>
              <w:rPr>
                <w:color w:val="231F20"/>
                <w:sz w:val="24"/>
              </w:rPr>
              <w:t xml:space="preserve">Acting Minister for </w:t>
            </w:r>
            <w:r>
              <w:rPr>
                <w:color w:val="231F20"/>
                <w:spacing w:val="-2"/>
                <w:sz w:val="24"/>
              </w:rPr>
              <w:t>Police</w:t>
            </w:r>
          </w:p>
        </w:tc>
        <w:tc>
          <w:tcPr>
            <w:tcW w:w="2835" w:type="dxa"/>
          </w:tcPr>
          <w:p w14:paraId="6BA0C43D" w14:textId="77777777" w:rsidR="00345EE3" w:rsidRDefault="00345EE3" w:rsidP="00D73130">
            <w:pPr>
              <w:pStyle w:val="TableParagraph"/>
              <w:spacing w:before="61" w:line="242" w:lineRule="auto"/>
              <w:ind w:left="-1" w:right="8"/>
              <w:jc w:val="left"/>
              <w:rPr>
                <w:sz w:val="24"/>
              </w:rPr>
            </w:pPr>
            <w:r>
              <w:rPr>
                <w:color w:val="231F20"/>
                <w:sz w:val="24"/>
              </w:rPr>
              <w:t>The</w:t>
            </w:r>
            <w:r>
              <w:rPr>
                <w:color w:val="231F20"/>
                <w:spacing w:val="-13"/>
                <w:sz w:val="24"/>
              </w:rPr>
              <w:t xml:space="preserve"> </w:t>
            </w:r>
            <w:r>
              <w:rPr>
                <w:color w:val="231F20"/>
                <w:sz w:val="24"/>
              </w:rPr>
              <w:t>Hon.</w:t>
            </w:r>
            <w:r>
              <w:rPr>
                <w:color w:val="231F20"/>
                <w:spacing w:val="-14"/>
                <w:sz w:val="24"/>
              </w:rPr>
              <w:t xml:space="preserve"> </w:t>
            </w:r>
            <w:r>
              <w:rPr>
                <w:color w:val="231F20"/>
                <w:sz w:val="24"/>
              </w:rPr>
              <w:t>Jaclyn</w:t>
            </w:r>
            <w:r>
              <w:rPr>
                <w:color w:val="231F20"/>
                <w:spacing w:val="-13"/>
                <w:sz w:val="24"/>
              </w:rPr>
              <w:t xml:space="preserve"> </w:t>
            </w:r>
            <w:r>
              <w:rPr>
                <w:color w:val="231F20"/>
                <w:sz w:val="24"/>
              </w:rPr>
              <w:t xml:space="preserve">Symes </w:t>
            </w:r>
            <w:r>
              <w:rPr>
                <w:color w:val="231F20"/>
                <w:spacing w:val="-6"/>
                <w:sz w:val="24"/>
              </w:rPr>
              <w:t>MP</w:t>
            </w:r>
          </w:p>
        </w:tc>
        <w:tc>
          <w:tcPr>
            <w:tcW w:w="3402" w:type="dxa"/>
            <w:tcBorders>
              <w:right w:val="nil"/>
            </w:tcBorders>
          </w:tcPr>
          <w:p w14:paraId="1195597D" w14:textId="77777777" w:rsidR="00345EE3" w:rsidRDefault="00345EE3" w:rsidP="00D73130">
            <w:pPr>
              <w:pStyle w:val="TableParagraph"/>
              <w:spacing w:before="61"/>
              <w:ind w:left="-1"/>
              <w:jc w:val="left"/>
              <w:rPr>
                <w:sz w:val="24"/>
              </w:rPr>
            </w:pPr>
            <w:r>
              <w:rPr>
                <w:color w:val="231F20"/>
                <w:sz w:val="24"/>
              </w:rPr>
              <w:t>29</w:t>
            </w:r>
            <w:r>
              <w:rPr>
                <w:color w:val="231F20"/>
                <w:spacing w:val="-2"/>
                <w:sz w:val="24"/>
              </w:rPr>
              <w:t xml:space="preserve"> </w:t>
            </w:r>
            <w:r>
              <w:rPr>
                <w:color w:val="231F20"/>
                <w:sz w:val="24"/>
              </w:rPr>
              <w:t>May</w:t>
            </w:r>
            <w:r>
              <w:rPr>
                <w:color w:val="231F20"/>
                <w:spacing w:val="-1"/>
                <w:sz w:val="24"/>
              </w:rPr>
              <w:t xml:space="preserve"> </w:t>
            </w:r>
            <w:r>
              <w:rPr>
                <w:color w:val="231F20"/>
                <w:sz w:val="24"/>
              </w:rPr>
              <w:t>2022</w:t>
            </w:r>
            <w:r>
              <w:rPr>
                <w:color w:val="231F20"/>
                <w:spacing w:val="-1"/>
                <w:sz w:val="24"/>
              </w:rPr>
              <w:t xml:space="preserve"> </w:t>
            </w:r>
            <w:r>
              <w:rPr>
                <w:color w:val="231F20"/>
                <w:sz w:val="24"/>
              </w:rPr>
              <w:t>to</w:t>
            </w:r>
            <w:r>
              <w:rPr>
                <w:color w:val="231F20"/>
                <w:spacing w:val="-1"/>
                <w:sz w:val="24"/>
              </w:rPr>
              <w:t xml:space="preserve"> </w:t>
            </w:r>
            <w:r>
              <w:rPr>
                <w:color w:val="231F20"/>
                <w:sz w:val="24"/>
              </w:rPr>
              <w:t>5</w:t>
            </w:r>
            <w:r>
              <w:rPr>
                <w:color w:val="231F20"/>
                <w:spacing w:val="-2"/>
                <w:sz w:val="24"/>
              </w:rPr>
              <w:t xml:space="preserve"> </w:t>
            </w:r>
            <w:r>
              <w:rPr>
                <w:color w:val="231F20"/>
                <w:sz w:val="24"/>
              </w:rPr>
              <w:t xml:space="preserve">June </w:t>
            </w:r>
            <w:r>
              <w:rPr>
                <w:color w:val="231F20"/>
                <w:spacing w:val="-4"/>
                <w:sz w:val="24"/>
              </w:rPr>
              <w:t>2022</w:t>
            </w:r>
          </w:p>
        </w:tc>
      </w:tr>
      <w:tr w:rsidR="00345EE3" w14:paraId="48F8A970" w14:textId="77777777" w:rsidTr="00D73130">
        <w:trPr>
          <w:trHeight w:val="676"/>
        </w:trPr>
        <w:tc>
          <w:tcPr>
            <w:tcW w:w="3969" w:type="dxa"/>
            <w:tcBorders>
              <w:left w:val="nil"/>
              <w:bottom w:val="nil"/>
            </w:tcBorders>
          </w:tcPr>
          <w:p w14:paraId="1ADC8AFF" w14:textId="77777777" w:rsidR="00345EE3" w:rsidRDefault="00345EE3" w:rsidP="00D73130">
            <w:pPr>
              <w:pStyle w:val="TableParagraph"/>
              <w:spacing w:before="61"/>
              <w:ind w:left="-3"/>
              <w:jc w:val="left"/>
              <w:rPr>
                <w:sz w:val="24"/>
              </w:rPr>
            </w:pPr>
            <w:r>
              <w:rPr>
                <w:color w:val="231F20"/>
                <w:sz w:val="24"/>
              </w:rPr>
              <w:t xml:space="preserve">Minister for </w:t>
            </w:r>
            <w:r>
              <w:rPr>
                <w:color w:val="231F20"/>
                <w:spacing w:val="-2"/>
                <w:sz w:val="24"/>
              </w:rPr>
              <w:t>Police</w:t>
            </w:r>
          </w:p>
        </w:tc>
        <w:tc>
          <w:tcPr>
            <w:tcW w:w="2835" w:type="dxa"/>
            <w:tcBorders>
              <w:bottom w:val="nil"/>
            </w:tcBorders>
          </w:tcPr>
          <w:p w14:paraId="19CD243E" w14:textId="77777777" w:rsidR="00345EE3" w:rsidRDefault="00345EE3" w:rsidP="00D73130">
            <w:pPr>
              <w:pStyle w:val="TableParagraph"/>
              <w:spacing w:before="61" w:line="242" w:lineRule="auto"/>
              <w:ind w:left="-1"/>
              <w:jc w:val="left"/>
              <w:rPr>
                <w:sz w:val="24"/>
              </w:rPr>
            </w:pPr>
            <w:r>
              <w:rPr>
                <w:color w:val="231F20"/>
                <w:sz w:val="24"/>
              </w:rPr>
              <w:t>The</w:t>
            </w:r>
            <w:r>
              <w:rPr>
                <w:color w:val="231F20"/>
                <w:spacing w:val="-17"/>
                <w:sz w:val="24"/>
              </w:rPr>
              <w:t xml:space="preserve"> </w:t>
            </w:r>
            <w:r>
              <w:rPr>
                <w:color w:val="231F20"/>
                <w:sz w:val="24"/>
              </w:rPr>
              <w:t>Hon.</w:t>
            </w:r>
            <w:r>
              <w:rPr>
                <w:color w:val="231F20"/>
                <w:spacing w:val="-17"/>
                <w:sz w:val="24"/>
              </w:rPr>
              <w:t xml:space="preserve"> </w:t>
            </w:r>
            <w:r>
              <w:rPr>
                <w:color w:val="231F20"/>
                <w:sz w:val="24"/>
              </w:rPr>
              <w:t>Anthony Carbines MP</w:t>
            </w:r>
          </w:p>
        </w:tc>
        <w:tc>
          <w:tcPr>
            <w:tcW w:w="3402" w:type="dxa"/>
            <w:tcBorders>
              <w:right w:val="nil"/>
            </w:tcBorders>
          </w:tcPr>
          <w:p w14:paraId="6DF41C90" w14:textId="77777777" w:rsidR="00345EE3" w:rsidRDefault="00345EE3" w:rsidP="00D73130">
            <w:pPr>
              <w:pStyle w:val="TableParagraph"/>
              <w:spacing w:before="61"/>
              <w:ind w:left="-1"/>
              <w:jc w:val="left"/>
              <w:rPr>
                <w:sz w:val="24"/>
              </w:rPr>
            </w:pPr>
            <w:r>
              <w:rPr>
                <w:color w:val="231F20"/>
                <w:sz w:val="24"/>
              </w:rPr>
              <w:t>27</w:t>
            </w:r>
            <w:r>
              <w:rPr>
                <w:color w:val="231F20"/>
                <w:spacing w:val="-2"/>
                <w:sz w:val="24"/>
              </w:rPr>
              <w:t xml:space="preserve"> </w:t>
            </w:r>
            <w:r>
              <w:rPr>
                <w:color w:val="231F20"/>
                <w:sz w:val="24"/>
              </w:rPr>
              <w:t>June</w:t>
            </w:r>
            <w:r>
              <w:rPr>
                <w:color w:val="231F20"/>
                <w:spacing w:val="-1"/>
                <w:sz w:val="24"/>
              </w:rPr>
              <w:t xml:space="preserve"> </w:t>
            </w:r>
            <w:r>
              <w:rPr>
                <w:color w:val="231F20"/>
                <w:sz w:val="24"/>
              </w:rPr>
              <w:t>2022</w:t>
            </w:r>
            <w:r>
              <w:rPr>
                <w:color w:val="231F20"/>
                <w:spacing w:val="-2"/>
                <w:sz w:val="24"/>
              </w:rPr>
              <w:t xml:space="preserve"> </w:t>
            </w:r>
            <w:r>
              <w:rPr>
                <w:color w:val="231F20"/>
                <w:sz w:val="24"/>
              </w:rPr>
              <w:t>to</w:t>
            </w:r>
            <w:r>
              <w:rPr>
                <w:color w:val="231F20"/>
                <w:spacing w:val="-1"/>
                <w:sz w:val="24"/>
              </w:rPr>
              <w:t xml:space="preserve"> </w:t>
            </w:r>
            <w:r>
              <w:rPr>
                <w:color w:val="231F20"/>
                <w:sz w:val="24"/>
              </w:rPr>
              <w:t>30</w:t>
            </w:r>
            <w:r>
              <w:rPr>
                <w:color w:val="231F20"/>
                <w:spacing w:val="-2"/>
                <w:sz w:val="24"/>
              </w:rPr>
              <w:t xml:space="preserve"> </w:t>
            </w:r>
            <w:r>
              <w:rPr>
                <w:color w:val="231F20"/>
                <w:sz w:val="24"/>
              </w:rPr>
              <w:t xml:space="preserve">June </w:t>
            </w:r>
            <w:r>
              <w:rPr>
                <w:color w:val="231F20"/>
                <w:spacing w:val="-4"/>
                <w:sz w:val="24"/>
              </w:rPr>
              <w:t>2022</w:t>
            </w:r>
          </w:p>
        </w:tc>
      </w:tr>
      <w:tr w:rsidR="00345EE3" w14:paraId="510CA20F" w14:textId="77777777" w:rsidTr="00D73130">
        <w:trPr>
          <w:trHeight w:val="396"/>
        </w:trPr>
        <w:tc>
          <w:tcPr>
            <w:tcW w:w="10206" w:type="dxa"/>
            <w:gridSpan w:val="3"/>
            <w:tcBorders>
              <w:top w:val="nil"/>
              <w:left w:val="nil"/>
              <w:bottom w:val="nil"/>
              <w:right w:val="nil"/>
            </w:tcBorders>
            <w:shd w:val="clear" w:color="auto" w:fill="00529F"/>
          </w:tcPr>
          <w:p w14:paraId="06890189" w14:textId="77777777" w:rsidR="00345EE3" w:rsidRDefault="00345EE3" w:rsidP="00D73130">
            <w:pPr>
              <w:pStyle w:val="TableParagraph"/>
              <w:spacing w:before="61"/>
              <w:jc w:val="left"/>
              <w:rPr>
                <w:b/>
                <w:sz w:val="24"/>
              </w:rPr>
            </w:pPr>
            <w:r>
              <w:rPr>
                <w:b/>
                <w:color w:val="FFFFFF"/>
                <w:sz w:val="24"/>
              </w:rPr>
              <w:t>Accountable</w:t>
            </w:r>
            <w:r>
              <w:rPr>
                <w:b/>
                <w:color w:val="FFFFFF"/>
                <w:spacing w:val="-5"/>
                <w:sz w:val="24"/>
              </w:rPr>
              <w:t xml:space="preserve"> </w:t>
            </w:r>
            <w:r>
              <w:rPr>
                <w:b/>
                <w:color w:val="FFFFFF"/>
                <w:spacing w:val="-2"/>
                <w:sz w:val="24"/>
              </w:rPr>
              <w:t>Officers</w:t>
            </w:r>
          </w:p>
        </w:tc>
      </w:tr>
      <w:tr w:rsidR="00345EE3" w14:paraId="1A1A6AA2" w14:textId="77777777" w:rsidTr="00D73130">
        <w:trPr>
          <w:trHeight w:val="1069"/>
        </w:trPr>
        <w:tc>
          <w:tcPr>
            <w:tcW w:w="3969" w:type="dxa"/>
            <w:tcBorders>
              <w:top w:val="nil"/>
              <w:left w:val="nil"/>
            </w:tcBorders>
          </w:tcPr>
          <w:p w14:paraId="6CB2099D" w14:textId="77777777" w:rsidR="00345EE3" w:rsidRDefault="00345EE3" w:rsidP="00D73130">
            <w:pPr>
              <w:pStyle w:val="TableParagraph"/>
              <w:spacing w:before="61"/>
              <w:ind w:left="-3"/>
              <w:jc w:val="left"/>
              <w:rPr>
                <w:sz w:val="24"/>
              </w:rPr>
            </w:pPr>
            <w:r>
              <w:rPr>
                <w:color w:val="231F20"/>
                <w:sz w:val="24"/>
              </w:rPr>
              <w:t>Chief</w:t>
            </w:r>
            <w:r>
              <w:rPr>
                <w:color w:val="231F20"/>
                <w:spacing w:val="-7"/>
                <w:sz w:val="24"/>
              </w:rPr>
              <w:t xml:space="preserve"> </w:t>
            </w:r>
            <w:r>
              <w:rPr>
                <w:color w:val="231F20"/>
                <w:sz w:val="24"/>
              </w:rPr>
              <w:t>Commissioner</w:t>
            </w:r>
            <w:r>
              <w:rPr>
                <w:color w:val="231F20"/>
                <w:spacing w:val="-6"/>
                <w:sz w:val="24"/>
              </w:rPr>
              <w:t xml:space="preserve"> </w:t>
            </w:r>
            <w:r>
              <w:rPr>
                <w:color w:val="231F20"/>
                <w:sz w:val="24"/>
              </w:rPr>
              <w:t>of</w:t>
            </w:r>
            <w:r>
              <w:rPr>
                <w:color w:val="231F20"/>
                <w:spacing w:val="-6"/>
                <w:sz w:val="24"/>
              </w:rPr>
              <w:t xml:space="preserve"> </w:t>
            </w:r>
            <w:r>
              <w:rPr>
                <w:color w:val="231F20"/>
                <w:spacing w:val="-2"/>
                <w:sz w:val="24"/>
              </w:rPr>
              <w:t>Police</w:t>
            </w:r>
          </w:p>
        </w:tc>
        <w:tc>
          <w:tcPr>
            <w:tcW w:w="2835" w:type="dxa"/>
            <w:tcBorders>
              <w:top w:val="nil"/>
            </w:tcBorders>
          </w:tcPr>
          <w:p w14:paraId="0527C905" w14:textId="77777777" w:rsidR="00345EE3" w:rsidRDefault="00345EE3" w:rsidP="00D73130">
            <w:pPr>
              <w:pStyle w:val="TableParagraph"/>
              <w:spacing w:before="61"/>
              <w:ind w:left="-1"/>
              <w:jc w:val="left"/>
              <w:rPr>
                <w:sz w:val="24"/>
              </w:rPr>
            </w:pPr>
            <w:r>
              <w:rPr>
                <w:color w:val="231F20"/>
                <w:sz w:val="24"/>
              </w:rPr>
              <w:t>Shane Patton</w:t>
            </w:r>
            <w:r>
              <w:rPr>
                <w:color w:val="231F20"/>
                <w:spacing w:val="-14"/>
                <w:sz w:val="24"/>
              </w:rPr>
              <w:t xml:space="preserve"> </w:t>
            </w:r>
            <w:r>
              <w:rPr>
                <w:color w:val="231F20"/>
                <w:spacing w:val="-5"/>
                <w:sz w:val="24"/>
              </w:rPr>
              <w:t>APM</w:t>
            </w:r>
          </w:p>
        </w:tc>
        <w:tc>
          <w:tcPr>
            <w:tcW w:w="3402" w:type="dxa"/>
            <w:tcBorders>
              <w:right w:val="nil"/>
            </w:tcBorders>
          </w:tcPr>
          <w:p w14:paraId="62577764" w14:textId="77777777" w:rsidR="00345EE3" w:rsidRDefault="00345EE3" w:rsidP="00D73130">
            <w:pPr>
              <w:pStyle w:val="TableParagraph"/>
              <w:spacing w:before="61"/>
              <w:ind w:left="-1"/>
              <w:jc w:val="left"/>
              <w:rPr>
                <w:sz w:val="24"/>
              </w:rPr>
            </w:pPr>
            <w:r>
              <w:rPr>
                <w:color w:val="231F20"/>
                <w:sz w:val="24"/>
              </w:rPr>
              <w:t>1</w:t>
            </w:r>
            <w:r>
              <w:rPr>
                <w:color w:val="231F20"/>
                <w:spacing w:val="-4"/>
                <w:sz w:val="24"/>
              </w:rPr>
              <w:t xml:space="preserve"> </w:t>
            </w:r>
            <w:r>
              <w:rPr>
                <w:color w:val="231F20"/>
                <w:sz w:val="24"/>
              </w:rPr>
              <w:t>July 2021</w:t>
            </w:r>
            <w:r>
              <w:rPr>
                <w:color w:val="231F20"/>
                <w:spacing w:val="-2"/>
                <w:sz w:val="24"/>
              </w:rPr>
              <w:t xml:space="preserve"> </w:t>
            </w:r>
            <w:r>
              <w:rPr>
                <w:color w:val="231F20"/>
                <w:sz w:val="24"/>
              </w:rPr>
              <w:t>to 7</w:t>
            </w:r>
            <w:r>
              <w:rPr>
                <w:color w:val="231F20"/>
                <w:spacing w:val="-2"/>
                <w:sz w:val="24"/>
              </w:rPr>
              <w:t xml:space="preserve"> </w:t>
            </w:r>
            <w:r>
              <w:rPr>
                <w:color w:val="231F20"/>
                <w:sz w:val="24"/>
              </w:rPr>
              <w:t xml:space="preserve">July </w:t>
            </w:r>
            <w:r>
              <w:rPr>
                <w:color w:val="231F20"/>
                <w:spacing w:val="-4"/>
                <w:sz w:val="24"/>
              </w:rPr>
              <w:t>2021</w:t>
            </w:r>
          </w:p>
          <w:p w14:paraId="508C2878" w14:textId="77777777" w:rsidR="00345EE3" w:rsidRDefault="00345EE3" w:rsidP="00D73130">
            <w:pPr>
              <w:pStyle w:val="TableParagraph"/>
              <w:spacing w:before="61"/>
              <w:ind w:left="-1"/>
              <w:jc w:val="left"/>
              <w:rPr>
                <w:sz w:val="24"/>
              </w:rPr>
            </w:pPr>
            <w:r>
              <w:rPr>
                <w:color w:val="231F20"/>
                <w:sz w:val="24"/>
              </w:rPr>
              <w:t>20</w:t>
            </w:r>
            <w:r>
              <w:rPr>
                <w:color w:val="231F20"/>
                <w:spacing w:val="-2"/>
                <w:sz w:val="24"/>
              </w:rPr>
              <w:t xml:space="preserve"> </w:t>
            </w:r>
            <w:r>
              <w:rPr>
                <w:color w:val="231F20"/>
                <w:sz w:val="24"/>
              </w:rPr>
              <w:t>July</w:t>
            </w:r>
            <w:r>
              <w:rPr>
                <w:color w:val="231F20"/>
                <w:spacing w:val="-1"/>
                <w:sz w:val="24"/>
              </w:rPr>
              <w:t xml:space="preserve"> </w:t>
            </w:r>
            <w:r>
              <w:rPr>
                <w:color w:val="231F20"/>
                <w:sz w:val="24"/>
              </w:rPr>
              <w:t>2021</w:t>
            </w:r>
            <w:r>
              <w:rPr>
                <w:color w:val="231F20"/>
                <w:spacing w:val="-2"/>
                <w:sz w:val="24"/>
              </w:rPr>
              <w:t xml:space="preserve"> </w:t>
            </w:r>
            <w:r>
              <w:rPr>
                <w:color w:val="231F20"/>
                <w:sz w:val="24"/>
              </w:rPr>
              <w:t>to</w:t>
            </w:r>
            <w:r>
              <w:rPr>
                <w:color w:val="231F20"/>
                <w:spacing w:val="-1"/>
                <w:sz w:val="24"/>
              </w:rPr>
              <w:t xml:space="preserve"> </w:t>
            </w:r>
            <w:r>
              <w:rPr>
                <w:color w:val="231F20"/>
                <w:sz w:val="24"/>
              </w:rPr>
              <w:t>12</w:t>
            </w:r>
            <w:r>
              <w:rPr>
                <w:color w:val="231F20"/>
                <w:spacing w:val="-2"/>
                <w:sz w:val="24"/>
              </w:rPr>
              <w:t xml:space="preserve"> </w:t>
            </w:r>
            <w:r>
              <w:rPr>
                <w:color w:val="231F20"/>
                <w:sz w:val="24"/>
              </w:rPr>
              <w:t xml:space="preserve">May </w:t>
            </w:r>
            <w:r>
              <w:rPr>
                <w:color w:val="231F20"/>
                <w:spacing w:val="-4"/>
                <w:sz w:val="24"/>
              </w:rPr>
              <w:t>2022</w:t>
            </w:r>
          </w:p>
          <w:p w14:paraId="2BF96813" w14:textId="77777777" w:rsidR="00345EE3" w:rsidRDefault="00345EE3" w:rsidP="00D73130">
            <w:pPr>
              <w:pStyle w:val="TableParagraph"/>
              <w:spacing w:before="61"/>
              <w:ind w:left="-1"/>
              <w:jc w:val="left"/>
              <w:rPr>
                <w:sz w:val="24"/>
              </w:rPr>
            </w:pPr>
            <w:r>
              <w:rPr>
                <w:color w:val="231F20"/>
                <w:sz w:val="24"/>
              </w:rPr>
              <w:t>25</w:t>
            </w:r>
            <w:r>
              <w:rPr>
                <w:color w:val="231F20"/>
                <w:spacing w:val="-2"/>
                <w:sz w:val="24"/>
              </w:rPr>
              <w:t xml:space="preserve"> </w:t>
            </w:r>
            <w:r>
              <w:rPr>
                <w:color w:val="231F20"/>
                <w:sz w:val="24"/>
              </w:rPr>
              <w:t>May</w:t>
            </w:r>
            <w:r>
              <w:rPr>
                <w:color w:val="231F20"/>
                <w:spacing w:val="-1"/>
                <w:sz w:val="24"/>
              </w:rPr>
              <w:t xml:space="preserve"> </w:t>
            </w:r>
            <w:r>
              <w:rPr>
                <w:color w:val="231F20"/>
                <w:sz w:val="24"/>
              </w:rPr>
              <w:t>2022</w:t>
            </w:r>
            <w:r>
              <w:rPr>
                <w:color w:val="231F20"/>
                <w:spacing w:val="-2"/>
                <w:sz w:val="24"/>
              </w:rPr>
              <w:t xml:space="preserve"> </w:t>
            </w:r>
            <w:r>
              <w:rPr>
                <w:color w:val="231F20"/>
                <w:sz w:val="24"/>
              </w:rPr>
              <w:t>to</w:t>
            </w:r>
            <w:r>
              <w:rPr>
                <w:color w:val="231F20"/>
                <w:spacing w:val="-1"/>
                <w:sz w:val="24"/>
              </w:rPr>
              <w:t xml:space="preserve"> </w:t>
            </w:r>
            <w:r>
              <w:rPr>
                <w:color w:val="231F20"/>
                <w:sz w:val="24"/>
              </w:rPr>
              <w:t>30</w:t>
            </w:r>
            <w:r>
              <w:rPr>
                <w:color w:val="231F20"/>
                <w:spacing w:val="-2"/>
                <w:sz w:val="24"/>
              </w:rPr>
              <w:t xml:space="preserve"> </w:t>
            </w:r>
            <w:r>
              <w:rPr>
                <w:color w:val="231F20"/>
                <w:sz w:val="24"/>
              </w:rPr>
              <w:t xml:space="preserve">June </w:t>
            </w:r>
            <w:r>
              <w:rPr>
                <w:color w:val="231F20"/>
                <w:spacing w:val="-4"/>
                <w:sz w:val="24"/>
              </w:rPr>
              <w:t>2022</w:t>
            </w:r>
          </w:p>
        </w:tc>
      </w:tr>
      <w:tr w:rsidR="00345EE3" w14:paraId="0D002C7D" w14:textId="77777777" w:rsidTr="00D73130">
        <w:trPr>
          <w:trHeight w:val="396"/>
        </w:trPr>
        <w:tc>
          <w:tcPr>
            <w:tcW w:w="3969" w:type="dxa"/>
            <w:tcBorders>
              <w:left w:val="nil"/>
            </w:tcBorders>
          </w:tcPr>
          <w:p w14:paraId="02799881" w14:textId="77777777" w:rsidR="00345EE3" w:rsidRDefault="00345EE3" w:rsidP="00D73130">
            <w:pPr>
              <w:pStyle w:val="TableParagraph"/>
              <w:spacing w:before="61"/>
              <w:ind w:left="-3"/>
              <w:jc w:val="left"/>
              <w:rPr>
                <w:sz w:val="24"/>
              </w:rPr>
            </w:pPr>
            <w:r>
              <w:rPr>
                <w:color w:val="231F20"/>
                <w:sz w:val="24"/>
              </w:rPr>
              <w:t>Acting</w:t>
            </w:r>
            <w:r>
              <w:rPr>
                <w:color w:val="231F20"/>
                <w:spacing w:val="-7"/>
                <w:sz w:val="24"/>
              </w:rPr>
              <w:t xml:space="preserve"> </w:t>
            </w:r>
            <w:r>
              <w:rPr>
                <w:color w:val="231F20"/>
                <w:sz w:val="24"/>
              </w:rPr>
              <w:t>Chief</w:t>
            </w:r>
            <w:r>
              <w:rPr>
                <w:color w:val="231F20"/>
                <w:spacing w:val="-5"/>
                <w:sz w:val="24"/>
              </w:rPr>
              <w:t xml:space="preserve"> </w:t>
            </w:r>
            <w:r>
              <w:rPr>
                <w:color w:val="231F20"/>
                <w:sz w:val="24"/>
              </w:rPr>
              <w:t>Commissioner</w:t>
            </w:r>
            <w:r>
              <w:rPr>
                <w:color w:val="231F20"/>
                <w:spacing w:val="-5"/>
                <w:sz w:val="24"/>
              </w:rPr>
              <w:t xml:space="preserve"> </w:t>
            </w:r>
            <w:r>
              <w:rPr>
                <w:color w:val="231F20"/>
                <w:sz w:val="24"/>
              </w:rPr>
              <w:t>of</w:t>
            </w:r>
            <w:r>
              <w:rPr>
                <w:color w:val="231F20"/>
                <w:spacing w:val="-4"/>
                <w:sz w:val="24"/>
              </w:rPr>
              <w:t xml:space="preserve"> </w:t>
            </w:r>
            <w:r>
              <w:rPr>
                <w:color w:val="231F20"/>
                <w:spacing w:val="-2"/>
                <w:sz w:val="24"/>
              </w:rPr>
              <w:t>Police</w:t>
            </w:r>
          </w:p>
        </w:tc>
        <w:tc>
          <w:tcPr>
            <w:tcW w:w="2835" w:type="dxa"/>
          </w:tcPr>
          <w:p w14:paraId="0DDC4390" w14:textId="77777777" w:rsidR="00345EE3" w:rsidRDefault="00345EE3" w:rsidP="00D73130">
            <w:pPr>
              <w:pStyle w:val="TableParagraph"/>
              <w:spacing w:before="61"/>
              <w:ind w:left="-1"/>
              <w:jc w:val="left"/>
              <w:rPr>
                <w:sz w:val="24"/>
              </w:rPr>
            </w:pPr>
            <w:r>
              <w:rPr>
                <w:color w:val="231F20"/>
                <w:sz w:val="24"/>
              </w:rPr>
              <w:t>Wendy</w:t>
            </w:r>
            <w:r>
              <w:rPr>
                <w:color w:val="231F20"/>
                <w:spacing w:val="-8"/>
                <w:sz w:val="24"/>
              </w:rPr>
              <w:t xml:space="preserve"> </w:t>
            </w:r>
            <w:r>
              <w:rPr>
                <w:color w:val="231F20"/>
                <w:sz w:val="24"/>
              </w:rPr>
              <w:t>Steendam</w:t>
            </w:r>
            <w:r>
              <w:rPr>
                <w:color w:val="231F20"/>
                <w:spacing w:val="-16"/>
                <w:sz w:val="24"/>
              </w:rPr>
              <w:t xml:space="preserve"> </w:t>
            </w:r>
            <w:r>
              <w:rPr>
                <w:color w:val="231F20"/>
                <w:spacing w:val="-5"/>
                <w:sz w:val="24"/>
              </w:rPr>
              <w:t>APM</w:t>
            </w:r>
          </w:p>
        </w:tc>
        <w:tc>
          <w:tcPr>
            <w:tcW w:w="3402" w:type="dxa"/>
            <w:tcBorders>
              <w:right w:val="nil"/>
            </w:tcBorders>
          </w:tcPr>
          <w:p w14:paraId="5618B5B8" w14:textId="77777777" w:rsidR="00345EE3" w:rsidRDefault="00345EE3" w:rsidP="00D73130">
            <w:pPr>
              <w:pStyle w:val="TableParagraph"/>
              <w:spacing w:before="61"/>
              <w:ind w:left="-1"/>
              <w:jc w:val="left"/>
              <w:rPr>
                <w:sz w:val="24"/>
              </w:rPr>
            </w:pPr>
            <w:r>
              <w:rPr>
                <w:color w:val="231F20"/>
                <w:sz w:val="24"/>
              </w:rPr>
              <w:t>8</w:t>
            </w:r>
            <w:r>
              <w:rPr>
                <w:color w:val="231F20"/>
                <w:spacing w:val="-2"/>
                <w:sz w:val="24"/>
              </w:rPr>
              <w:t xml:space="preserve"> </w:t>
            </w:r>
            <w:r>
              <w:rPr>
                <w:color w:val="231F20"/>
                <w:sz w:val="24"/>
              </w:rPr>
              <w:t>July</w:t>
            </w:r>
            <w:r>
              <w:rPr>
                <w:color w:val="231F20"/>
                <w:spacing w:val="-1"/>
                <w:sz w:val="24"/>
              </w:rPr>
              <w:t xml:space="preserve"> </w:t>
            </w:r>
            <w:r>
              <w:rPr>
                <w:color w:val="231F20"/>
                <w:sz w:val="24"/>
              </w:rPr>
              <w:t>2021</w:t>
            </w:r>
            <w:r>
              <w:rPr>
                <w:color w:val="231F20"/>
                <w:spacing w:val="-1"/>
                <w:sz w:val="24"/>
              </w:rPr>
              <w:t xml:space="preserve"> </w:t>
            </w:r>
            <w:r>
              <w:rPr>
                <w:color w:val="231F20"/>
                <w:sz w:val="24"/>
              </w:rPr>
              <w:t>to</w:t>
            </w:r>
            <w:r>
              <w:rPr>
                <w:color w:val="231F20"/>
                <w:spacing w:val="-1"/>
                <w:sz w:val="24"/>
              </w:rPr>
              <w:t xml:space="preserve"> </w:t>
            </w:r>
            <w:r>
              <w:rPr>
                <w:color w:val="231F20"/>
                <w:sz w:val="24"/>
              </w:rPr>
              <w:t>19</w:t>
            </w:r>
            <w:r>
              <w:rPr>
                <w:color w:val="231F20"/>
                <w:spacing w:val="-2"/>
                <w:sz w:val="24"/>
              </w:rPr>
              <w:t xml:space="preserve"> </w:t>
            </w:r>
            <w:r>
              <w:rPr>
                <w:color w:val="231F20"/>
                <w:sz w:val="24"/>
              </w:rPr>
              <w:t xml:space="preserve">July </w:t>
            </w:r>
            <w:r>
              <w:rPr>
                <w:color w:val="231F20"/>
                <w:spacing w:val="-4"/>
                <w:sz w:val="24"/>
              </w:rPr>
              <w:t>2021</w:t>
            </w:r>
          </w:p>
        </w:tc>
      </w:tr>
      <w:tr w:rsidR="00345EE3" w14:paraId="5B2D8DAA" w14:textId="77777777" w:rsidTr="00D73130">
        <w:trPr>
          <w:trHeight w:val="396"/>
        </w:trPr>
        <w:tc>
          <w:tcPr>
            <w:tcW w:w="3969" w:type="dxa"/>
            <w:tcBorders>
              <w:left w:val="nil"/>
            </w:tcBorders>
          </w:tcPr>
          <w:p w14:paraId="5AB76650" w14:textId="77777777" w:rsidR="00345EE3" w:rsidRDefault="00345EE3" w:rsidP="00D73130">
            <w:pPr>
              <w:pStyle w:val="TableParagraph"/>
              <w:spacing w:before="61"/>
              <w:ind w:left="-3"/>
              <w:jc w:val="left"/>
              <w:rPr>
                <w:sz w:val="24"/>
              </w:rPr>
            </w:pPr>
            <w:r>
              <w:rPr>
                <w:color w:val="231F20"/>
                <w:sz w:val="24"/>
              </w:rPr>
              <w:t>Acting</w:t>
            </w:r>
            <w:r>
              <w:rPr>
                <w:color w:val="231F20"/>
                <w:spacing w:val="-7"/>
                <w:sz w:val="24"/>
              </w:rPr>
              <w:t xml:space="preserve"> </w:t>
            </w:r>
            <w:r>
              <w:rPr>
                <w:color w:val="231F20"/>
                <w:sz w:val="24"/>
              </w:rPr>
              <w:t>Chief</w:t>
            </w:r>
            <w:r>
              <w:rPr>
                <w:color w:val="231F20"/>
                <w:spacing w:val="-5"/>
                <w:sz w:val="24"/>
              </w:rPr>
              <w:t xml:space="preserve"> </w:t>
            </w:r>
            <w:r>
              <w:rPr>
                <w:color w:val="231F20"/>
                <w:sz w:val="24"/>
              </w:rPr>
              <w:t>Commissioner</w:t>
            </w:r>
            <w:r>
              <w:rPr>
                <w:color w:val="231F20"/>
                <w:spacing w:val="-5"/>
                <w:sz w:val="24"/>
              </w:rPr>
              <w:t xml:space="preserve"> </w:t>
            </w:r>
            <w:r>
              <w:rPr>
                <w:color w:val="231F20"/>
                <w:sz w:val="24"/>
              </w:rPr>
              <w:t>of</w:t>
            </w:r>
            <w:r>
              <w:rPr>
                <w:color w:val="231F20"/>
                <w:spacing w:val="-4"/>
                <w:sz w:val="24"/>
              </w:rPr>
              <w:t xml:space="preserve"> </w:t>
            </w:r>
            <w:r>
              <w:rPr>
                <w:color w:val="231F20"/>
                <w:spacing w:val="-2"/>
                <w:sz w:val="24"/>
              </w:rPr>
              <w:t>Police</w:t>
            </w:r>
          </w:p>
        </w:tc>
        <w:tc>
          <w:tcPr>
            <w:tcW w:w="2835" w:type="dxa"/>
          </w:tcPr>
          <w:p w14:paraId="48DD0006" w14:textId="77777777" w:rsidR="00345EE3" w:rsidRDefault="00345EE3" w:rsidP="00D73130">
            <w:pPr>
              <w:pStyle w:val="TableParagraph"/>
              <w:spacing w:before="61"/>
              <w:ind w:left="-1"/>
              <w:jc w:val="left"/>
              <w:rPr>
                <w:sz w:val="24"/>
              </w:rPr>
            </w:pPr>
            <w:r>
              <w:rPr>
                <w:color w:val="231F20"/>
                <w:sz w:val="24"/>
              </w:rPr>
              <w:t>Richard</w:t>
            </w:r>
            <w:r>
              <w:rPr>
                <w:color w:val="231F20"/>
                <w:spacing w:val="-11"/>
                <w:sz w:val="24"/>
              </w:rPr>
              <w:t xml:space="preserve"> </w:t>
            </w:r>
            <w:r>
              <w:rPr>
                <w:color w:val="231F20"/>
                <w:sz w:val="24"/>
              </w:rPr>
              <w:t>Nugent</w:t>
            </w:r>
            <w:r>
              <w:rPr>
                <w:color w:val="231F20"/>
                <w:spacing w:val="-16"/>
                <w:sz w:val="24"/>
              </w:rPr>
              <w:t xml:space="preserve"> </w:t>
            </w:r>
            <w:r>
              <w:rPr>
                <w:color w:val="231F20"/>
                <w:spacing w:val="-5"/>
                <w:sz w:val="24"/>
              </w:rPr>
              <w:t>APM</w:t>
            </w:r>
          </w:p>
        </w:tc>
        <w:tc>
          <w:tcPr>
            <w:tcW w:w="3402" w:type="dxa"/>
            <w:tcBorders>
              <w:right w:val="nil"/>
            </w:tcBorders>
          </w:tcPr>
          <w:p w14:paraId="6156D4C6" w14:textId="77777777" w:rsidR="00345EE3" w:rsidRDefault="00345EE3" w:rsidP="00D73130">
            <w:pPr>
              <w:pStyle w:val="TableParagraph"/>
              <w:spacing w:before="61"/>
              <w:ind w:left="-1"/>
              <w:jc w:val="left"/>
              <w:rPr>
                <w:sz w:val="24"/>
              </w:rPr>
            </w:pPr>
            <w:r>
              <w:rPr>
                <w:color w:val="231F20"/>
                <w:sz w:val="24"/>
              </w:rPr>
              <w:t>13</w:t>
            </w:r>
            <w:r>
              <w:rPr>
                <w:color w:val="231F20"/>
                <w:spacing w:val="-2"/>
                <w:sz w:val="24"/>
              </w:rPr>
              <w:t xml:space="preserve"> </w:t>
            </w:r>
            <w:r>
              <w:rPr>
                <w:color w:val="231F20"/>
                <w:sz w:val="24"/>
              </w:rPr>
              <w:t>May</w:t>
            </w:r>
            <w:r>
              <w:rPr>
                <w:color w:val="231F20"/>
                <w:spacing w:val="-1"/>
                <w:sz w:val="24"/>
              </w:rPr>
              <w:t xml:space="preserve"> </w:t>
            </w:r>
            <w:r>
              <w:rPr>
                <w:color w:val="231F20"/>
                <w:sz w:val="24"/>
              </w:rPr>
              <w:t>2022</w:t>
            </w:r>
            <w:r>
              <w:rPr>
                <w:color w:val="231F20"/>
                <w:spacing w:val="-2"/>
                <w:sz w:val="24"/>
              </w:rPr>
              <w:t xml:space="preserve"> </w:t>
            </w:r>
            <w:r>
              <w:rPr>
                <w:color w:val="231F20"/>
                <w:sz w:val="24"/>
              </w:rPr>
              <w:t>to</w:t>
            </w:r>
            <w:r>
              <w:rPr>
                <w:color w:val="231F20"/>
                <w:spacing w:val="-1"/>
                <w:sz w:val="24"/>
              </w:rPr>
              <w:t xml:space="preserve"> </w:t>
            </w:r>
            <w:r>
              <w:rPr>
                <w:color w:val="231F20"/>
                <w:sz w:val="24"/>
              </w:rPr>
              <w:t>24</w:t>
            </w:r>
            <w:r>
              <w:rPr>
                <w:color w:val="231F20"/>
                <w:spacing w:val="-2"/>
                <w:sz w:val="24"/>
              </w:rPr>
              <w:t xml:space="preserve"> </w:t>
            </w:r>
            <w:r>
              <w:rPr>
                <w:color w:val="231F20"/>
                <w:sz w:val="24"/>
              </w:rPr>
              <w:t xml:space="preserve">May </w:t>
            </w:r>
            <w:r>
              <w:rPr>
                <w:color w:val="231F20"/>
                <w:spacing w:val="-4"/>
                <w:sz w:val="24"/>
              </w:rPr>
              <w:t>2022</w:t>
            </w:r>
          </w:p>
        </w:tc>
      </w:tr>
    </w:tbl>
    <w:p w14:paraId="1494ABDE" w14:textId="77777777" w:rsidR="00345EE3" w:rsidRDefault="00345EE3" w:rsidP="0052306E">
      <w:pPr>
        <w:pStyle w:val="Heading5"/>
        <w:spacing w:before="62"/>
        <w:ind w:left="142"/>
      </w:pPr>
      <w:r>
        <w:rPr>
          <w:color w:val="58595B"/>
          <w:spacing w:val="-2"/>
        </w:rPr>
        <w:t>Remuneration</w:t>
      </w:r>
    </w:p>
    <w:p w14:paraId="26921F12" w14:textId="77777777" w:rsidR="00345EE3" w:rsidRDefault="00345EE3" w:rsidP="0052306E">
      <w:pPr>
        <w:pStyle w:val="BodyText"/>
        <w:spacing w:before="4" w:line="242" w:lineRule="auto"/>
        <w:ind w:left="142" w:right="186"/>
      </w:pPr>
      <w:r>
        <w:rPr>
          <w:color w:val="231F20"/>
        </w:rPr>
        <w:t>Total</w:t>
      </w:r>
      <w:r>
        <w:rPr>
          <w:color w:val="231F20"/>
          <w:spacing w:val="-16"/>
        </w:rPr>
        <w:t xml:space="preserve"> </w:t>
      </w:r>
      <w:r>
        <w:rPr>
          <w:color w:val="231F20"/>
        </w:rPr>
        <w:t>remuneration</w:t>
      </w:r>
      <w:r>
        <w:rPr>
          <w:color w:val="231F20"/>
          <w:spacing w:val="-16"/>
        </w:rPr>
        <w:t xml:space="preserve"> </w:t>
      </w:r>
      <w:r>
        <w:rPr>
          <w:color w:val="231F20"/>
        </w:rPr>
        <w:t>including</w:t>
      </w:r>
      <w:r>
        <w:rPr>
          <w:color w:val="231F20"/>
          <w:spacing w:val="-16"/>
        </w:rPr>
        <w:t xml:space="preserve"> </w:t>
      </w:r>
      <w:r>
        <w:rPr>
          <w:color w:val="231F20"/>
        </w:rPr>
        <w:t>long</w:t>
      </w:r>
      <w:r>
        <w:rPr>
          <w:color w:val="231F20"/>
          <w:spacing w:val="-16"/>
        </w:rPr>
        <w:t xml:space="preserve"> </w:t>
      </w:r>
      <w:r>
        <w:rPr>
          <w:color w:val="231F20"/>
        </w:rPr>
        <w:t>service</w:t>
      </w:r>
      <w:r>
        <w:rPr>
          <w:color w:val="231F20"/>
          <w:spacing w:val="-16"/>
        </w:rPr>
        <w:t xml:space="preserve"> </w:t>
      </w:r>
      <w:r>
        <w:rPr>
          <w:color w:val="231F20"/>
        </w:rPr>
        <w:t>leave</w:t>
      </w:r>
      <w:r>
        <w:rPr>
          <w:color w:val="231F20"/>
          <w:spacing w:val="-16"/>
        </w:rPr>
        <w:t xml:space="preserve"> </w:t>
      </w:r>
      <w:r>
        <w:rPr>
          <w:color w:val="231F20"/>
        </w:rPr>
        <w:t>payments,</w:t>
      </w:r>
      <w:r>
        <w:rPr>
          <w:color w:val="231F20"/>
          <w:spacing w:val="-16"/>
        </w:rPr>
        <w:t xml:space="preserve"> </w:t>
      </w:r>
      <w:r>
        <w:rPr>
          <w:color w:val="231F20"/>
        </w:rPr>
        <w:t>redundancy</w:t>
      </w:r>
      <w:r>
        <w:rPr>
          <w:color w:val="231F20"/>
          <w:spacing w:val="-16"/>
        </w:rPr>
        <w:t xml:space="preserve"> </w:t>
      </w:r>
      <w:r>
        <w:rPr>
          <w:color w:val="231F20"/>
        </w:rPr>
        <w:t>payments</w:t>
      </w:r>
      <w:r>
        <w:rPr>
          <w:color w:val="231F20"/>
          <w:spacing w:val="-16"/>
        </w:rPr>
        <w:t xml:space="preserve"> </w:t>
      </w:r>
      <w:r>
        <w:rPr>
          <w:color w:val="231F20"/>
        </w:rPr>
        <w:t>and</w:t>
      </w:r>
      <w:r>
        <w:rPr>
          <w:color w:val="231F20"/>
          <w:spacing w:val="-16"/>
        </w:rPr>
        <w:t xml:space="preserve"> </w:t>
      </w:r>
      <w:r>
        <w:rPr>
          <w:color w:val="231F20"/>
        </w:rPr>
        <w:t>retirement benefits received or receivable by the Accountable Officer in connection with the management of</w:t>
      </w:r>
      <w:r>
        <w:rPr>
          <w:color w:val="231F20"/>
          <w:spacing w:val="-2"/>
        </w:rPr>
        <w:t xml:space="preserve"> </w:t>
      </w:r>
      <w:r>
        <w:rPr>
          <w:color w:val="231F20"/>
        </w:rPr>
        <w:t>Victoria</w:t>
      </w:r>
      <w:r>
        <w:rPr>
          <w:color w:val="231F20"/>
          <w:spacing w:val="-3"/>
        </w:rPr>
        <w:t xml:space="preserve"> </w:t>
      </w:r>
      <w:r>
        <w:rPr>
          <w:color w:val="231F20"/>
        </w:rPr>
        <w:t>Police</w:t>
      </w:r>
      <w:r>
        <w:rPr>
          <w:color w:val="231F20"/>
          <w:spacing w:val="-3"/>
        </w:rPr>
        <w:t xml:space="preserve"> </w:t>
      </w:r>
      <w:r>
        <w:rPr>
          <w:color w:val="231F20"/>
        </w:rPr>
        <w:t>during</w:t>
      </w:r>
      <w:r>
        <w:rPr>
          <w:color w:val="231F20"/>
          <w:spacing w:val="-3"/>
        </w:rPr>
        <w:t xml:space="preserve"> </w:t>
      </w:r>
      <w:r>
        <w:rPr>
          <w:color w:val="231F20"/>
        </w:rPr>
        <w:t>the</w:t>
      </w:r>
      <w:r>
        <w:rPr>
          <w:color w:val="231F20"/>
          <w:spacing w:val="-3"/>
        </w:rPr>
        <w:t xml:space="preserve"> </w:t>
      </w:r>
      <w:r>
        <w:rPr>
          <w:color w:val="231F20"/>
        </w:rPr>
        <w:t>reporting</w:t>
      </w:r>
      <w:r>
        <w:rPr>
          <w:color w:val="231F20"/>
          <w:spacing w:val="-3"/>
        </w:rPr>
        <w:t xml:space="preserve"> </w:t>
      </w:r>
      <w:r>
        <w:rPr>
          <w:color w:val="231F20"/>
        </w:rPr>
        <w:t>period</w:t>
      </w:r>
      <w:r>
        <w:rPr>
          <w:color w:val="231F20"/>
          <w:spacing w:val="-3"/>
        </w:rPr>
        <w:t xml:space="preserve"> </w:t>
      </w:r>
      <w:r>
        <w:rPr>
          <w:color w:val="231F20"/>
        </w:rPr>
        <w:t>was</w:t>
      </w:r>
      <w:r>
        <w:rPr>
          <w:color w:val="231F20"/>
          <w:spacing w:val="-2"/>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range</w:t>
      </w:r>
      <w:r>
        <w:rPr>
          <w:color w:val="231F20"/>
          <w:spacing w:val="-3"/>
        </w:rPr>
        <w:t xml:space="preserve"> </w:t>
      </w:r>
      <w:r>
        <w:rPr>
          <w:color w:val="231F20"/>
        </w:rPr>
        <w:t>of</w:t>
      </w:r>
      <w:r>
        <w:rPr>
          <w:color w:val="231F20"/>
          <w:spacing w:val="-2"/>
        </w:rPr>
        <w:t xml:space="preserve"> </w:t>
      </w:r>
      <w:r>
        <w:rPr>
          <w:color w:val="231F20"/>
        </w:rPr>
        <w:t>$670,000</w:t>
      </w:r>
      <w:r>
        <w:rPr>
          <w:color w:val="231F20"/>
          <w:spacing w:val="-3"/>
        </w:rPr>
        <w:t xml:space="preserve"> </w:t>
      </w:r>
      <w:r>
        <w:rPr>
          <w:color w:val="231F20"/>
        </w:rPr>
        <w:t>and</w:t>
      </w:r>
      <w:r>
        <w:rPr>
          <w:color w:val="231F20"/>
          <w:spacing w:val="-3"/>
        </w:rPr>
        <w:t xml:space="preserve"> </w:t>
      </w:r>
      <w:r>
        <w:rPr>
          <w:color w:val="231F20"/>
        </w:rPr>
        <w:t>$680,999</w:t>
      </w:r>
      <w:r>
        <w:rPr>
          <w:color w:val="231F20"/>
          <w:spacing w:val="-3"/>
        </w:rPr>
        <w:t xml:space="preserve"> </w:t>
      </w:r>
      <w:r>
        <w:rPr>
          <w:color w:val="231F20"/>
        </w:rPr>
        <w:t>(2021:</w:t>
      </w:r>
    </w:p>
    <w:p w14:paraId="4EBEAA96" w14:textId="4F5A315C" w:rsidR="0052306E" w:rsidRDefault="00345EE3" w:rsidP="0052306E">
      <w:pPr>
        <w:pStyle w:val="BodyText"/>
        <w:spacing w:before="4"/>
        <w:ind w:left="142"/>
        <w:rPr>
          <w:color w:val="231F20"/>
          <w:spacing w:val="-2"/>
        </w:rPr>
      </w:pPr>
      <w:r>
        <w:rPr>
          <w:color w:val="231F20"/>
        </w:rPr>
        <w:t>$630,000</w:t>
      </w:r>
      <w:r>
        <w:rPr>
          <w:color w:val="231F20"/>
          <w:spacing w:val="-2"/>
        </w:rPr>
        <w:t xml:space="preserve"> </w:t>
      </w:r>
      <w:r>
        <w:rPr>
          <w:color w:val="231F20"/>
        </w:rPr>
        <w:t>and</w:t>
      </w:r>
      <w:r>
        <w:rPr>
          <w:color w:val="231F20"/>
          <w:spacing w:val="-1"/>
        </w:rPr>
        <w:t xml:space="preserve"> </w:t>
      </w:r>
      <w:r>
        <w:rPr>
          <w:color w:val="231F20"/>
          <w:spacing w:val="-2"/>
        </w:rPr>
        <w:t>$640,999).</w:t>
      </w:r>
    </w:p>
    <w:p w14:paraId="52246D6A" w14:textId="77777777" w:rsidR="0052306E" w:rsidRDefault="0052306E">
      <w:pPr>
        <w:widowControl/>
        <w:autoSpaceDE/>
        <w:autoSpaceDN/>
        <w:rPr>
          <w:color w:val="231F20"/>
          <w:spacing w:val="-2"/>
        </w:rPr>
      </w:pPr>
      <w:r>
        <w:rPr>
          <w:color w:val="231F20"/>
          <w:spacing w:val="-2"/>
        </w:rPr>
        <w:br w:type="page"/>
      </w:r>
    </w:p>
    <w:p w14:paraId="03A32D6A" w14:textId="77777777" w:rsidR="00345EE3" w:rsidRDefault="00345EE3" w:rsidP="002A27BA">
      <w:pPr>
        <w:pStyle w:val="Heading3"/>
        <w:numPr>
          <w:ilvl w:val="1"/>
          <w:numId w:val="44"/>
        </w:numPr>
      </w:pPr>
      <w:r>
        <w:t>Remuneration</w:t>
      </w:r>
      <w:r>
        <w:rPr>
          <w:spacing w:val="-9"/>
        </w:rPr>
        <w:t xml:space="preserve"> </w:t>
      </w:r>
      <w:r>
        <w:t>of</w:t>
      </w:r>
      <w:r>
        <w:rPr>
          <w:spacing w:val="-6"/>
        </w:rPr>
        <w:t xml:space="preserve"> </w:t>
      </w:r>
      <w:r>
        <w:t>Senior</w:t>
      </w:r>
      <w:r>
        <w:rPr>
          <w:spacing w:val="-7"/>
        </w:rPr>
        <w:t xml:space="preserve"> </w:t>
      </w:r>
      <w:r>
        <w:t>Executive</w:t>
      </w:r>
      <w:r>
        <w:rPr>
          <w:spacing w:val="-7"/>
        </w:rPr>
        <w:t xml:space="preserve"> </w:t>
      </w:r>
      <w:r>
        <w:t>Service</w:t>
      </w:r>
      <w:r>
        <w:rPr>
          <w:spacing w:val="-7"/>
        </w:rPr>
        <w:t xml:space="preserve"> </w:t>
      </w:r>
      <w:r>
        <w:t>(SES)</w:t>
      </w:r>
      <w:r>
        <w:rPr>
          <w:spacing w:val="-6"/>
        </w:rPr>
        <w:t xml:space="preserve"> </w:t>
      </w:r>
      <w:r>
        <w:rPr>
          <w:spacing w:val="-2"/>
        </w:rPr>
        <w:t>Officers</w:t>
      </w:r>
    </w:p>
    <w:p w14:paraId="2611E4B8" w14:textId="77777777" w:rsidR="00345EE3" w:rsidRDefault="00345EE3" w:rsidP="0052306E">
      <w:pPr>
        <w:pStyle w:val="Heading5"/>
        <w:spacing w:before="109"/>
        <w:ind w:left="142"/>
      </w:pPr>
      <w:r>
        <w:rPr>
          <w:color w:val="58595B"/>
        </w:rPr>
        <w:t>Remuneration</w:t>
      </w:r>
      <w:r>
        <w:rPr>
          <w:color w:val="58595B"/>
          <w:spacing w:val="-3"/>
        </w:rPr>
        <w:t xml:space="preserve"> </w:t>
      </w:r>
      <w:r>
        <w:rPr>
          <w:color w:val="58595B"/>
        </w:rPr>
        <w:t>of</w:t>
      </w:r>
      <w:r>
        <w:rPr>
          <w:color w:val="58595B"/>
          <w:spacing w:val="-2"/>
        </w:rPr>
        <w:t xml:space="preserve"> </w:t>
      </w:r>
      <w:r>
        <w:rPr>
          <w:color w:val="58595B"/>
        </w:rPr>
        <w:t>Senior</w:t>
      </w:r>
      <w:r>
        <w:rPr>
          <w:color w:val="58595B"/>
          <w:spacing w:val="-2"/>
        </w:rPr>
        <w:t xml:space="preserve"> </w:t>
      </w:r>
      <w:r>
        <w:rPr>
          <w:color w:val="58595B"/>
        </w:rPr>
        <w:t>Executive</w:t>
      </w:r>
      <w:r>
        <w:rPr>
          <w:color w:val="58595B"/>
          <w:spacing w:val="-2"/>
        </w:rPr>
        <w:t xml:space="preserve"> </w:t>
      </w:r>
      <w:r>
        <w:rPr>
          <w:color w:val="58595B"/>
        </w:rPr>
        <w:t>Service</w:t>
      </w:r>
      <w:r>
        <w:rPr>
          <w:color w:val="58595B"/>
          <w:spacing w:val="-2"/>
        </w:rPr>
        <w:t xml:space="preserve"> </w:t>
      </w:r>
      <w:r>
        <w:rPr>
          <w:color w:val="58595B"/>
        </w:rPr>
        <w:t>(SES)</w:t>
      </w:r>
      <w:r>
        <w:rPr>
          <w:color w:val="58595B"/>
          <w:spacing w:val="-1"/>
        </w:rPr>
        <w:t xml:space="preserve"> </w:t>
      </w:r>
      <w:r>
        <w:rPr>
          <w:color w:val="58595B"/>
          <w:spacing w:val="-2"/>
        </w:rPr>
        <w:t>Officers</w:t>
      </w:r>
    </w:p>
    <w:p w14:paraId="17803CF0" w14:textId="77777777" w:rsidR="00345EE3" w:rsidRDefault="00345EE3" w:rsidP="0052306E">
      <w:pPr>
        <w:pStyle w:val="BodyText"/>
        <w:spacing w:before="4" w:line="242" w:lineRule="auto"/>
        <w:ind w:left="142" w:right="549"/>
      </w:pPr>
      <w:r>
        <w:rPr>
          <w:color w:val="231F20"/>
        </w:rPr>
        <w:t>The number of SES officers (other than the Minister, Accountable Officer and Governor-in- Council</w:t>
      </w:r>
      <w:r>
        <w:rPr>
          <w:color w:val="231F20"/>
          <w:spacing w:val="-12"/>
        </w:rPr>
        <w:t xml:space="preserve"> </w:t>
      </w:r>
      <w:r>
        <w:rPr>
          <w:color w:val="231F20"/>
        </w:rPr>
        <w:t>(GIC)</w:t>
      </w:r>
      <w:r>
        <w:rPr>
          <w:color w:val="231F20"/>
          <w:spacing w:val="-11"/>
        </w:rPr>
        <w:t xml:space="preserve"> </w:t>
      </w:r>
      <w:r>
        <w:rPr>
          <w:color w:val="231F20"/>
        </w:rPr>
        <w:t>appointees)</w:t>
      </w:r>
      <w:r>
        <w:rPr>
          <w:color w:val="231F20"/>
          <w:spacing w:val="-11"/>
        </w:rPr>
        <w:t xml:space="preserve"> </w:t>
      </w:r>
      <w:r>
        <w:rPr>
          <w:color w:val="231F20"/>
        </w:rPr>
        <w:t>and</w:t>
      </w:r>
      <w:r>
        <w:rPr>
          <w:color w:val="231F20"/>
          <w:spacing w:val="-12"/>
        </w:rPr>
        <w:t xml:space="preserve"> </w:t>
      </w:r>
      <w:r>
        <w:rPr>
          <w:color w:val="231F20"/>
        </w:rPr>
        <w:t>their</w:t>
      </w:r>
      <w:r>
        <w:rPr>
          <w:color w:val="231F20"/>
          <w:spacing w:val="-11"/>
        </w:rPr>
        <w:t xml:space="preserve"> </w:t>
      </w:r>
      <w:r>
        <w:rPr>
          <w:color w:val="231F20"/>
        </w:rPr>
        <w:t>total</w:t>
      </w:r>
      <w:r>
        <w:rPr>
          <w:color w:val="231F20"/>
          <w:spacing w:val="-12"/>
        </w:rPr>
        <w:t xml:space="preserve"> </w:t>
      </w:r>
      <w:r>
        <w:rPr>
          <w:color w:val="231F20"/>
        </w:rPr>
        <w:t>remuneration</w:t>
      </w:r>
      <w:r>
        <w:rPr>
          <w:color w:val="231F20"/>
          <w:spacing w:val="-12"/>
        </w:rPr>
        <w:t xml:space="preserve"> </w:t>
      </w:r>
      <w:r>
        <w:rPr>
          <w:color w:val="231F20"/>
        </w:rPr>
        <w:t>during</w:t>
      </w:r>
      <w:r>
        <w:rPr>
          <w:color w:val="231F20"/>
          <w:spacing w:val="-12"/>
        </w:rPr>
        <w:t xml:space="preserve"> </w:t>
      </w:r>
      <w:r>
        <w:rPr>
          <w:color w:val="231F20"/>
        </w:rPr>
        <w:t>the</w:t>
      </w:r>
      <w:r>
        <w:rPr>
          <w:color w:val="231F20"/>
          <w:spacing w:val="-12"/>
        </w:rPr>
        <w:t xml:space="preserve"> </w:t>
      </w:r>
      <w:r>
        <w:rPr>
          <w:color w:val="231F20"/>
        </w:rPr>
        <w:t>reporting</w:t>
      </w:r>
      <w:r>
        <w:rPr>
          <w:color w:val="231F20"/>
          <w:spacing w:val="-12"/>
        </w:rPr>
        <w:t xml:space="preserve"> </w:t>
      </w:r>
      <w:r>
        <w:rPr>
          <w:color w:val="231F20"/>
        </w:rPr>
        <w:t>period</w:t>
      </w:r>
      <w:r>
        <w:rPr>
          <w:color w:val="231F20"/>
          <w:spacing w:val="-12"/>
        </w:rPr>
        <w:t xml:space="preserve"> </w:t>
      </w:r>
      <w:r>
        <w:rPr>
          <w:color w:val="231F20"/>
        </w:rPr>
        <w:t>are</w:t>
      </w:r>
      <w:r>
        <w:rPr>
          <w:color w:val="231F20"/>
          <w:spacing w:val="-12"/>
        </w:rPr>
        <w:t xml:space="preserve"> </w:t>
      </w:r>
      <w:r>
        <w:rPr>
          <w:color w:val="231F20"/>
        </w:rPr>
        <w:t>shown in</w:t>
      </w:r>
      <w:r>
        <w:rPr>
          <w:color w:val="231F20"/>
          <w:spacing w:val="-1"/>
        </w:rPr>
        <w:t xml:space="preserve"> </w:t>
      </w:r>
      <w:r>
        <w:rPr>
          <w:color w:val="231F20"/>
        </w:rPr>
        <w:t>the</w:t>
      </w:r>
      <w:r>
        <w:rPr>
          <w:color w:val="231F20"/>
          <w:spacing w:val="-1"/>
        </w:rPr>
        <w:t xml:space="preserve"> </w:t>
      </w:r>
      <w:r>
        <w:rPr>
          <w:color w:val="231F20"/>
        </w:rPr>
        <w:t>table</w:t>
      </w:r>
      <w:r>
        <w:rPr>
          <w:color w:val="231F20"/>
          <w:spacing w:val="-1"/>
        </w:rPr>
        <w:t xml:space="preserve"> </w:t>
      </w:r>
      <w:r>
        <w:rPr>
          <w:color w:val="231F20"/>
        </w:rPr>
        <w:t>below. Total</w:t>
      </w:r>
      <w:r>
        <w:rPr>
          <w:color w:val="231F20"/>
          <w:spacing w:val="-1"/>
        </w:rPr>
        <w:t xml:space="preserve"> </w:t>
      </w:r>
      <w:r>
        <w:rPr>
          <w:color w:val="231F20"/>
        </w:rPr>
        <w:t>annualised</w:t>
      </w:r>
      <w:r>
        <w:rPr>
          <w:color w:val="231F20"/>
          <w:spacing w:val="-1"/>
        </w:rPr>
        <w:t xml:space="preserve"> </w:t>
      </w:r>
      <w:r>
        <w:rPr>
          <w:color w:val="231F20"/>
        </w:rPr>
        <w:t>employee</w:t>
      </w:r>
      <w:r>
        <w:rPr>
          <w:color w:val="231F20"/>
          <w:spacing w:val="-1"/>
        </w:rPr>
        <w:t xml:space="preserve"> </w:t>
      </w:r>
      <w:r>
        <w:rPr>
          <w:color w:val="231F20"/>
        </w:rPr>
        <w:t>equivalents provides a</w:t>
      </w:r>
      <w:r>
        <w:rPr>
          <w:color w:val="231F20"/>
          <w:spacing w:val="-1"/>
        </w:rPr>
        <w:t xml:space="preserve"> </w:t>
      </w:r>
      <w:r>
        <w:rPr>
          <w:color w:val="231F20"/>
        </w:rPr>
        <w:t>measure</w:t>
      </w:r>
      <w:r>
        <w:rPr>
          <w:color w:val="231F20"/>
          <w:spacing w:val="-1"/>
        </w:rPr>
        <w:t xml:space="preserve"> </w:t>
      </w:r>
      <w:r>
        <w:rPr>
          <w:color w:val="231F20"/>
        </w:rPr>
        <w:t>of full-time equivalent executive officers over the reporting period.</w:t>
      </w:r>
    </w:p>
    <w:p w14:paraId="2DAE91B7" w14:textId="77777777" w:rsidR="00345EE3" w:rsidRDefault="00345EE3" w:rsidP="0052306E">
      <w:pPr>
        <w:pStyle w:val="BodyText"/>
        <w:spacing w:before="119" w:line="242" w:lineRule="auto"/>
        <w:ind w:left="142" w:right="549"/>
      </w:pPr>
      <w:r>
        <w:rPr>
          <w:color w:val="231F20"/>
        </w:rPr>
        <w:t>Remuneration</w:t>
      </w:r>
      <w:r>
        <w:rPr>
          <w:color w:val="231F20"/>
          <w:spacing w:val="-9"/>
        </w:rPr>
        <w:t xml:space="preserve"> </w:t>
      </w:r>
      <w:r>
        <w:rPr>
          <w:color w:val="231F20"/>
        </w:rPr>
        <w:t>comprises</w:t>
      </w:r>
      <w:r>
        <w:rPr>
          <w:color w:val="231F20"/>
          <w:spacing w:val="-8"/>
        </w:rPr>
        <w:t xml:space="preserve"> </w:t>
      </w:r>
      <w:r>
        <w:rPr>
          <w:color w:val="231F20"/>
        </w:rPr>
        <w:t>employee</w:t>
      </w:r>
      <w:r>
        <w:rPr>
          <w:color w:val="231F20"/>
          <w:spacing w:val="-9"/>
        </w:rPr>
        <w:t xml:space="preserve"> </w:t>
      </w:r>
      <w:r>
        <w:rPr>
          <w:color w:val="231F20"/>
        </w:rPr>
        <w:t>benefits</w:t>
      </w:r>
      <w:r>
        <w:rPr>
          <w:color w:val="231F20"/>
          <w:spacing w:val="-8"/>
        </w:rPr>
        <w:t xml:space="preserve"> </w:t>
      </w:r>
      <w:r>
        <w:rPr>
          <w:color w:val="231F20"/>
        </w:rPr>
        <w:t>(as</w:t>
      </w:r>
      <w:r>
        <w:rPr>
          <w:color w:val="231F20"/>
          <w:spacing w:val="-8"/>
        </w:rPr>
        <w:t xml:space="preserve"> </w:t>
      </w:r>
      <w:r>
        <w:rPr>
          <w:color w:val="231F20"/>
        </w:rPr>
        <w:t>defined</w:t>
      </w:r>
      <w:r>
        <w:rPr>
          <w:color w:val="231F20"/>
          <w:spacing w:val="-9"/>
        </w:rPr>
        <w:t xml:space="preserve"> </w:t>
      </w:r>
      <w:r>
        <w:rPr>
          <w:color w:val="231F20"/>
        </w:rPr>
        <w:t>in</w:t>
      </w:r>
      <w:r>
        <w:rPr>
          <w:color w:val="231F20"/>
          <w:spacing w:val="-9"/>
        </w:rPr>
        <w:t xml:space="preserve"> </w:t>
      </w:r>
      <w:r>
        <w:rPr>
          <w:color w:val="231F20"/>
        </w:rPr>
        <w:t>AASB</w:t>
      </w:r>
      <w:r>
        <w:rPr>
          <w:color w:val="231F20"/>
          <w:spacing w:val="-8"/>
        </w:rPr>
        <w:t xml:space="preserve"> </w:t>
      </w:r>
      <w:r>
        <w:rPr>
          <w:color w:val="231F20"/>
        </w:rPr>
        <w:t>119</w:t>
      </w:r>
      <w:r>
        <w:rPr>
          <w:color w:val="231F20"/>
          <w:spacing w:val="-9"/>
        </w:rPr>
        <w:t xml:space="preserve"> </w:t>
      </w:r>
      <w:r>
        <w:rPr>
          <w:i/>
          <w:color w:val="231F20"/>
        </w:rPr>
        <w:t>Employee</w:t>
      </w:r>
      <w:r>
        <w:rPr>
          <w:i/>
          <w:color w:val="231F20"/>
          <w:spacing w:val="-16"/>
        </w:rPr>
        <w:t xml:space="preserve"> </w:t>
      </w:r>
      <w:r>
        <w:rPr>
          <w:i/>
          <w:color w:val="231F20"/>
        </w:rPr>
        <w:t>Benefits</w:t>
      </w:r>
      <w:r>
        <w:rPr>
          <w:color w:val="231F20"/>
        </w:rPr>
        <w:t>)</w:t>
      </w:r>
      <w:r>
        <w:rPr>
          <w:color w:val="231F20"/>
          <w:spacing w:val="-8"/>
        </w:rPr>
        <w:t xml:space="preserve"> </w:t>
      </w:r>
      <w:r>
        <w:rPr>
          <w:color w:val="231F20"/>
        </w:rPr>
        <w:t>in all</w:t>
      </w:r>
      <w:r>
        <w:rPr>
          <w:color w:val="231F20"/>
          <w:spacing w:val="-10"/>
        </w:rPr>
        <w:t xml:space="preserve"> </w:t>
      </w:r>
      <w:r>
        <w:rPr>
          <w:color w:val="231F20"/>
        </w:rPr>
        <w:t>forms</w:t>
      </w:r>
      <w:r>
        <w:rPr>
          <w:color w:val="231F20"/>
          <w:spacing w:val="-9"/>
        </w:rPr>
        <w:t xml:space="preserve"> </w:t>
      </w:r>
      <w:r>
        <w:rPr>
          <w:color w:val="231F20"/>
        </w:rPr>
        <w:t>of</w:t>
      </w:r>
      <w:r>
        <w:rPr>
          <w:color w:val="231F20"/>
          <w:spacing w:val="-9"/>
        </w:rPr>
        <w:t xml:space="preserve"> </w:t>
      </w:r>
      <w:r>
        <w:rPr>
          <w:color w:val="231F20"/>
        </w:rPr>
        <w:t>consideration</w:t>
      </w:r>
      <w:r>
        <w:rPr>
          <w:color w:val="231F20"/>
          <w:spacing w:val="-10"/>
        </w:rPr>
        <w:t xml:space="preserve"> </w:t>
      </w:r>
      <w:r>
        <w:rPr>
          <w:color w:val="231F20"/>
        </w:rPr>
        <w:t>paid,</w:t>
      </w:r>
      <w:r>
        <w:rPr>
          <w:color w:val="231F20"/>
          <w:spacing w:val="-9"/>
        </w:rPr>
        <w:t xml:space="preserve"> </w:t>
      </w:r>
      <w:r>
        <w:rPr>
          <w:color w:val="231F20"/>
        </w:rPr>
        <w:t>payable</w:t>
      </w:r>
      <w:r>
        <w:rPr>
          <w:color w:val="231F20"/>
          <w:spacing w:val="-10"/>
        </w:rPr>
        <w:t xml:space="preserve"> </w:t>
      </w:r>
      <w:r>
        <w:rPr>
          <w:color w:val="231F20"/>
        </w:rPr>
        <w:t>or</w:t>
      </w:r>
      <w:r>
        <w:rPr>
          <w:color w:val="231F20"/>
          <w:spacing w:val="-9"/>
        </w:rPr>
        <w:t xml:space="preserve"> </w:t>
      </w:r>
      <w:r>
        <w:rPr>
          <w:color w:val="231F20"/>
        </w:rPr>
        <w:t>provided</w:t>
      </w:r>
      <w:r>
        <w:rPr>
          <w:color w:val="231F20"/>
          <w:spacing w:val="-10"/>
        </w:rPr>
        <w:t xml:space="preserve"> </w:t>
      </w:r>
      <w:r>
        <w:rPr>
          <w:color w:val="231F20"/>
        </w:rPr>
        <w:t>by</w:t>
      </w:r>
      <w:r>
        <w:rPr>
          <w:color w:val="231F20"/>
          <w:spacing w:val="-9"/>
        </w:rPr>
        <w:t xml:space="preserve"> </w:t>
      </w:r>
      <w:r>
        <w:rPr>
          <w:color w:val="231F20"/>
        </w:rPr>
        <w:t>the</w:t>
      </w:r>
      <w:r>
        <w:rPr>
          <w:color w:val="231F20"/>
          <w:spacing w:val="-10"/>
        </w:rPr>
        <w:t xml:space="preserve"> </w:t>
      </w:r>
      <w:r>
        <w:rPr>
          <w:color w:val="231F20"/>
        </w:rPr>
        <w:t>entity,</w:t>
      </w:r>
      <w:r>
        <w:rPr>
          <w:color w:val="231F20"/>
          <w:spacing w:val="-9"/>
        </w:rPr>
        <w:t xml:space="preserve"> </w:t>
      </w:r>
      <w:r>
        <w:rPr>
          <w:color w:val="231F20"/>
        </w:rPr>
        <w:t>or</w:t>
      </w:r>
      <w:r>
        <w:rPr>
          <w:color w:val="231F20"/>
          <w:spacing w:val="-9"/>
        </w:rPr>
        <w:t xml:space="preserve"> </w:t>
      </w:r>
      <w:r>
        <w:rPr>
          <w:color w:val="231F20"/>
        </w:rPr>
        <w:t>on</w:t>
      </w:r>
      <w:r>
        <w:rPr>
          <w:color w:val="231F20"/>
          <w:spacing w:val="-10"/>
        </w:rPr>
        <w:t xml:space="preserve"> </w:t>
      </w:r>
      <w:r>
        <w:rPr>
          <w:color w:val="231F20"/>
        </w:rPr>
        <w:t>behalf</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entity,</w:t>
      </w:r>
      <w:r>
        <w:rPr>
          <w:color w:val="231F20"/>
          <w:spacing w:val="-9"/>
        </w:rPr>
        <w:t xml:space="preserve"> </w:t>
      </w:r>
      <w:r>
        <w:rPr>
          <w:color w:val="231F20"/>
        </w:rPr>
        <w:t>in exchange for services rendered, and is disclosed in the following categories.</w:t>
      </w:r>
    </w:p>
    <w:p w14:paraId="1D18DABF" w14:textId="77777777" w:rsidR="00345EE3" w:rsidRDefault="00345EE3" w:rsidP="0052306E">
      <w:pPr>
        <w:pStyle w:val="ListParagraph"/>
        <w:numPr>
          <w:ilvl w:val="0"/>
          <w:numId w:val="8"/>
        </w:numPr>
        <w:tabs>
          <w:tab w:val="left" w:pos="384"/>
        </w:tabs>
        <w:spacing w:before="117" w:line="242" w:lineRule="auto"/>
        <w:ind w:left="142" w:right="696" w:firstLine="0"/>
        <w:rPr>
          <w:sz w:val="24"/>
        </w:rPr>
      </w:pPr>
      <w:r>
        <w:rPr>
          <w:b/>
          <w:color w:val="231F20"/>
          <w:sz w:val="24"/>
        </w:rPr>
        <w:t xml:space="preserve">Short-term employee benefits </w:t>
      </w:r>
      <w:r>
        <w:rPr>
          <w:color w:val="231F20"/>
          <w:sz w:val="24"/>
        </w:rPr>
        <w:t>include amounts such as wages, salaries, annual leave or</w:t>
      </w:r>
      <w:r>
        <w:rPr>
          <w:color w:val="231F20"/>
          <w:spacing w:val="-7"/>
          <w:sz w:val="24"/>
        </w:rPr>
        <w:t xml:space="preserve"> </w:t>
      </w:r>
      <w:r>
        <w:rPr>
          <w:color w:val="231F20"/>
          <w:sz w:val="24"/>
        </w:rPr>
        <w:t>sick</w:t>
      </w:r>
      <w:r>
        <w:rPr>
          <w:color w:val="231F20"/>
          <w:spacing w:val="-7"/>
          <w:sz w:val="24"/>
        </w:rPr>
        <w:t xml:space="preserve"> </w:t>
      </w:r>
      <w:r>
        <w:rPr>
          <w:color w:val="231F20"/>
          <w:sz w:val="24"/>
        </w:rPr>
        <w:t>leave</w:t>
      </w:r>
      <w:r>
        <w:rPr>
          <w:color w:val="231F20"/>
          <w:spacing w:val="-8"/>
          <w:sz w:val="24"/>
        </w:rPr>
        <w:t xml:space="preserve"> </w:t>
      </w:r>
      <w:r>
        <w:rPr>
          <w:color w:val="231F20"/>
          <w:sz w:val="24"/>
        </w:rPr>
        <w:t>that</w:t>
      </w:r>
      <w:r>
        <w:rPr>
          <w:color w:val="231F20"/>
          <w:spacing w:val="-7"/>
          <w:sz w:val="24"/>
        </w:rPr>
        <w:t xml:space="preserve"> </w:t>
      </w:r>
      <w:r>
        <w:rPr>
          <w:color w:val="231F20"/>
          <w:sz w:val="24"/>
        </w:rPr>
        <w:t>are</w:t>
      </w:r>
      <w:r>
        <w:rPr>
          <w:color w:val="231F20"/>
          <w:spacing w:val="-8"/>
          <w:sz w:val="24"/>
        </w:rPr>
        <w:t xml:space="preserve"> </w:t>
      </w:r>
      <w:r>
        <w:rPr>
          <w:color w:val="231F20"/>
          <w:sz w:val="24"/>
        </w:rPr>
        <w:t>usually</w:t>
      </w:r>
      <w:r>
        <w:rPr>
          <w:color w:val="231F20"/>
          <w:spacing w:val="-7"/>
          <w:sz w:val="24"/>
        </w:rPr>
        <w:t xml:space="preserve"> </w:t>
      </w:r>
      <w:r>
        <w:rPr>
          <w:color w:val="231F20"/>
          <w:sz w:val="24"/>
        </w:rPr>
        <w:t>paid</w:t>
      </w:r>
      <w:r>
        <w:rPr>
          <w:color w:val="231F20"/>
          <w:spacing w:val="-8"/>
          <w:sz w:val="24"/>
        </w:rPr>
        <w:t xml:space="preserve"> </w:t>
      </w:r>
      <w:r>
        <w:rPr>
          <w:color w:val="231F20"/>
          <w:sz w:val="24"/>
        </w:rPr>
        <w:t>or</w:t>
      </w:r>
      <w:r>
        <w:rPr>
          <w:color w:val="231F20"/>
          <w:spacing w:val="-7"/>
          <w:sz w:val="24"/>
        </w:rPr>
        <w:t xml:space="preserve"> </w:t>
      </w:r>
      <w:r>
        <w:rPr>
          <w:color w:val="231F20"/>
          <w:sz w:val="24"/>
        </w:rPr>
        <w:t>payable</w:t>
      </w:r>
      <w:r>
        <w:rPr>
          <w:color w:val="231F20"/>
          <w:spacing w:val="-8"/>
          <w:sz w:val="24"/>
        </w:rPr>
        <w:t xml:space="preserve"> </w:t>
      </w:r>
      <w:r>
        <w:rPr>
          <w:color w:val="231F20"/>
          <w:sz w:val="24"/>
        </w:rPr>
        <w:t>on</w:t>
      </w:r>
      <w:r>
        <w:rPr>
          <w:color w:val="231F20"/>
          <w:spacing w:val="-8"/>
          <w:sz w:val="24"/>
        </w:rPr>
        <w:t xml:space="preserve"> </w:t>
      </w:r>
      <w:r>
        <w:rPr>
          <w:color w:val="231F20"/>
          <w:sz w:val="24"/>
        </w:rPr>
        <w:t>a</w:t>
      </w:r>
      <w:r>
        <w:rPr>
          <w:color w:val="231F20"/>
          <w:spacing w:val="-8"/>
          <w:sz w:val="24"/>
        </w:rPr>
        <w:t xml:space="preserve"> </w:t>
      </w:r>
      <w:r>
        <w:rPr>
          <w:color w:val="231F20"/>
          <w:sz w:val="24"/>
        </w:rPr>
        <w:t>regular</w:t>
      </w:r>
      <w:r>
        <w:rPr>
          <w:color w:val="231F20"/>
          <w:spacing w:val="-7"/>
          <w:sz w:val="24"/>
        </w:rPr>
        <w:t xml:space="preserve"> </w:t>
      </w:r>
      <w:r>
        <w:rPr>
          <w:color w:val="231F20"/>
          <w:sz w:val="24"/>
        </w:rPr>
        <w:t>basis,</w:t>
      </w:r>
      <w:r>
        <w:rPr>
          <w:color w:val="231F20"/>
          <w:spacing w:val="-7"/>
          <w:sz w:val="24"/>
        </w:rPr>
        <w:t xml:space="preserve"> </w:t>
      </w:r>
      <w:r>
        <w:rPr>
          <w:color w:val="231F20"/>
          <w:sz w:val="24"/>
        </w:rPr>
        <w:t>as</w:t>
      </w:r>
      <w:r>
        <w:rPr>
          <w:color w:val="231F20"/>
          <w:spacing w:val="-7"/>
          <w:sz w:val="24"/>
        </w:rPr>
        <w:t xml:space="preserve"> </w:t>
      </w:r>
      <w:r>
        <w:rPr>
          <w:color w:val="231F20"/>
          <w:sz w:val="24"/>
        </w:rPr>
        <w:t>well</w:t>
      </w:r>
      <w:r>
        <w:rPr>
          <w:color w:val="231F20"/>
          <w:spacing w:val="-8"/>
          <w:sz w:val="24"/>
        </w:rPr>
        <w:t xml:space="preserve"> </w:t>
      </w:r>
      <w:r>
        <w:rPr>
          <w:color w:val="231F20"/>
          <w:sz w:val="24"/>
        </w:rPr>
        <w:t>as</w:t>
      </w:r>
      <w:r>
        <w:rPr>
          <w:color w:val="231F20"/>
          <w:spacing w:val="-7"/>
          <w:sz w:val="24"/>
        </w:rPr>
        <w:t xml:space="preserve"> </w:t>
      </w:r>
      <w:r>
        <w:rPr>
          <w:color w:val="231F20"/>
          <w:sz w:val="24"/>
        </w:rPr>
        <w:t>non-monetary benefits such as allowances and free or subsidised goods or services.</w:t>
      </w:r>
    </w:p>
    <w:p w14:paraId="5D8C8CE1" w14:textId="77777777" w:rsidR="00345EE3" w:rsidRDefault="00345EE3" w:rsidP="0052306E">
      <w:pPr>
        <w:pStyle w:val="ListParagraph"/>
        <w:numPr>
          <w:ilvl w:val="0"/>
          <w:numId w:val="8"/>
        </w:numPr>
        <w:tabs>
          <w:tab w:val="left" w:pos="397"/>
        </w:tabs>
        <w:spacing w:before="117" w:line="242" w:lineRule="auto"/>
        <w:ind w:left="142" w:right="412" w:firstLine="0"/>
        <w:rPr>
          <w:sz w:val="24"/>
        </w:rPr>
      </w:pPr>
      <w:r>
        <w:rPr>
          <w:b/>
          <w:color w:val="231F20"/>
          <w:sz w:val="24"/>
        </w:rPr>
        <w:t>Post-employment</w:t>
      </w:r>
      <w:r>
        <w:rPr>
          <w:b/>
          <w:color w:val="231F20"/>
          <w:spacing w:val="-10"/>
          <w:sz w:val="24"/>
        </w:rPr>
        <w:t xml:space="preserve"> </w:t>
      </w:r>
      <w:r>
        <w:rPr>
          <w:b/>
          <w:color w:val="231F20"/>
          <w:sz w:val="24"/>
        </w:rPr>
        <w:t>benefits</w:t>
      </w:r>
      <w:r>
        <w:rPr>
          <w:b/>
          <w:color w:val="231F20"/>
          <w:spacing w:val="-10"/>
          <w:sz w:val="24"/>
        </w:rPr>
        <w:t xml:space="preserve"> </w:t>
      </w:r>
      <w:r>
        <w:rPr>
          <w:color w:val="231F20"/>
          <w:sz w:val="24"/>
        </w:rPr>
        <w:t>include</w:t>
      </w:r>
      <w:r>
        <w:rPr>
          <w:color w:val="231F20"/>
          <w:spacing w:val="-11"/>
          <w:sz w:val="24"/>
        </w:rPr>
        <w:t xml:space="preserve"> </w:t>
      </w:r>
      <w:r>
        <w:rPr>
          <w:color w:val="231F20"/>
          <w:sz w:val="24"/>
        </w:rPr>
        <w:t>pensions</w:t>
      </w:r>
      <w:r>
        <w:rPr>
          <w:color w:val="231F20"/>
          <w:spacing w:val="-10"/>
          <w:sz w:val="24"/>
        </w:rPr>
        <w:t xml:space="preserve"> </w:t>
      </w:r>
      <w:r>
        <w:rPr>
          <w:color w:val="231F20"/>
          <w:sz w:val="24"/>
        </w:rPr>
        <w:t>and</w:t>
      </w:r>
      <w:r>
        <w:rPr>
          <w:color w:val="231F20"/>
          <w:spacing w:val="-11"/>
          <w:sz w:val="24"/>
        </w:rPr>
        <w:t xml:space="preserve"> </w:t>
      </w:r>
      <w:r>
        <w:rPr>
          <w:color w:val="231F20"/>
          <w:sz w:val="24"/>
        </w:rPr>
        <w:t>other</w:t>
      </w:r>
      <w:r>
        <w:rPr>
          <w:color w:val="231F20"/>
          <w:spacing w:val="-10"/>
          <w:sz w:val="24"/>
        </w:rPr>
        <w:t xml:space="preserve"> </w:t>
      </w:r>
      <w:r>
        <w:rPr>
          <w:color w:val="231F20"/>
          <w:sz w:val="24"/>
        </w:rPr>
        <w:t>retirement</w:t>
      </w:r>
      <w:r>
        <w:rPr>
          <w:color w:val="231F20"/>
          <w:spacing w:val="-10"/>
          <w:sz w:val="24"/>
        </w:rPr>
        <w:t xml:space="preserve"> </w:t>
      </w:r>
      <w:r>
        <w:rPr>
          <w:color w:val="231F20"/>
          <w:sz w:val="24"/>
        </w:rPr>
        <w:t>benefits</w:t>
      </w:r>
      <w:r>
        <w:rPr>
          <w:color w:val="231F20"/>
          <w:spacing w:val="-10"/>
          <w:sz w:val="24"/>
        </w:rPr>
        <w:t xml:space="preserve"> </w:t>
      </w:r>
      <w:r>
        <w:rPr>
          <w:color w:val="231F20"/>
          <w:sz w:val="24"/>
        </w:rPr>
        <w:t>paid</w:t>
      </w:r>
      <w:r>
        <w:rPr>
          <w:color w:val="231F20"/>
          <w:spacing w:val="-11"/>
          <w:sz w:val="24"/>
        </w:rPr>
        <w:t xml:space="preserve"> </w:t>
      </w:r>
      <w:r>
        <w:rPr>
          <w:color w:val="231F20"/>
          <w:sz w:val="24"/>
        </w:rPr>
        <w:t>or</w:t>
      </w:r>
      <w:r>
        <w:rPr>
          <w:color w:val="231F20"/>
          <w:spacing w:val="-10"/>
          <w:sz w:val="24"/>
        </w:rPr>
        <w:t xml:space="preserve"> </w:t>
      </w:r>
      <w:r>
        <w:rPr>
          <w:color w:val="231F20"/>
          <w:sz w:val="24"/>
        </w:rPr>
        <w:t>payable on a discrete basis when employment has ceased.</w:t>
      </w:r>
    </w:p>
    <w:p w14:paraId="7405761E" w14:textId="77777777" w:rsidR="00345EE3" w:rsidRDefault="00345EE3" w:rsidP="0052306E">
      <w:pPr>
        <w:pStyle w:val="ListParagraph"/>
        <w:numPr>
          <w:ilvl w:val="0"/>
          <w:numId w:val="8"/>
        </w:numPr>
        <w:tabs>
          <w:tab w:val="left" w:pos="383"/>
        </w:tabs>
        <w:spacing w:before="116" w:line="242" w:lineRule="auto"/>
        <w:ind w:left="142" w:right="388" w:firstLine="0"/>
        <w:rPr>
          <w:sz w:val="24"/>
        </w:rPr>
      </w:pPr>
      <w:r>
        <w:rPr>
          <w:b/>
          <w:color w:val="231F20"/>
          <w:sz w:val="24"/>
        </w:rPr>
        <w:t>Other</w:t>
      </w:r>
      <w:r>
        <w:rPr>
          <w:b/>
          <w:color w:val="231F20"/>
          <w:spacing w:val="-5"/>
          <w:sz w:val="24"/>
        </w:rPr>
        <w:t xml:space="preserve"> </w:t>
      </w:r>
      <w:r>
        <w:rPr>
          <w:b/>
          <w:color w:val="231F20"/>
          <w:sz w:val="24"/>
        </w:rPr>
        <w:t>long-term</w:t>
      </w:r>
      <w:r>
        <w:rPr>
          <w:b/>
          <w:color w:val="231F20"/>
          <w:spacing w:val="-5"/>
          <w:sz w:val="24"/>
        </w:rPr>
        <w:t xml:space="preserve"> </w:t>
      </w:r>
      <w:r>
        <w:rPr>
          <w:b/>
          <w:color w:val="231F20"/>
          <w:sz w:val="24"/>
        </w:rPr>
        <w:t>benefits</w:t>
      </w:r>
      <w:r>
        <w:rPr>
          <w:b/>
          <w:color w:val="231F20"/>
          <w:spacing w:val="-4"/>
          <w:sz w:val="24"/>
        </w:rPr>
        <w:t xml:space="preserve"> </w:t>
      </w:r>
      <w:r>
        <w:rPr>
          <w:color w:val="231F20"/>
          <w:sz w:val="24"/>
        </w:rPr>
        <w:t>include</w:t>
      </w:r>
      <w:r>
        <w:rPr>
          <w:color w:val="231F20"/>
          <w:spacing w:val="-5"/>
          <w:sz w:val="24"/>
        </w:rPr>
        <w:t xml:space="preserve"> </w:t>
      </w:r>
      <w:r>
        <w:rPr>
          <w:color w:val="231F20"/>
          <w:sz w:val="24"/>
        </w:rPr>
        <w:t>long</w:t>
      </w:r>
      <w:r>
        <w:rPr>
          <w:color w:val="231F20"/>
          <w:spacing w:val="-5"/>
          <w:sz w:val="24"/>
        </w:rPr>
        <w:t xml:space="preserve"> </w:t>
      </w:r>
      <w:r>
        <w:rPr>
          <w:color w:val="231F20"/>
          <w:sz w:val="24"/>
        </w:rPr>
        <w:t>service</w:t>
      </w:r>
      <w:r>
        <w:rPr>
          <w:color w:val="231F20"/>
          <w:spacing w:val="-5"/>
          <w:sz w:val="24"/>
        </w:rPr>
        <w:t xml:space="preserve"> </w:t>
      </w:r>
      <w:r>
        <w:rPr>
          <w:color w:val="231F20"/>
          <w:sz w:val="24"/>
        </w:rPr>
        <w:t>leave,</w:t>
      </w:r>
      <w:r>
        <w:rPr>
          <w:color w:val="231F20"/>
          <w:spacing w:val="-4"/>
          <w:sz w:val="24"/>
        </w:rPr>
        <w:t xml:space="preserve"> </w:t>
      </w:r>
      <w:r>
        <w:rPr>
          <w:color w:val="231F20"/>
          <w:sz w:val="24"/>
        </w:rPr>
        <w:t>other</w:t>
      </w:r>
      <w:r>
        <w:rPr>
          <w:color w:val="231F20"/>
          <w:spacing w:val="-4"/>
          <w:sz w:val="24"/>
        </w:rPr>
        <w:t xml:space="preserve"> </w:t>
      </w:r>
      <w:r>
        <w:rPr>
          <w:color w:val="231F20"/>
          <w:sz w:val="24"/>
        </w:rPr>
        <w:t>long-service</w:t>
      </w:r>
      <w:r>
        <w:rPr>
          <w:color w:val="231F20"/>
          <w:spacing w:val="-5"/>
          <w:sz w:val="24"/>
        </w:rPr>
        <w:t xml:space="preserve"> </w:t>
      </w:r>
      <w:r>
        <w:rPr>
          <w:color w:val="231F20"/>
          <w:sz w:val="24"/>
        </w:rPr>
        <w:t>benefit</w:t>
      </w:r>
      <w:r>
        <w:rPr>
          <w:color w:val="231F20"/>
          <w:spacing w:val="-4"/>
          <w:sz w:val="24"/>
        </w:rPr>
        <w:t xml:space="preserve"> </w:t>
      </w:r>
      <w:r>
        <w:rPr>
          <w:color w:val="231F20"/>
          <w:sz w:val="24"/>
        </w:rPr>
        <w:t>or</w:t>
      </w:r>
      <w:r>
        <w:rPr>
          <w:color w:val="231F20"/>
          <w:spacing w:val="-4"/>
          <w:sz w:val="24"/>
        </w:rPr>
        <w:t xml:space="preserve"> </w:t>
      </w:r>
      <w:r>
        <w:rPr>
          <w:color w:val="231F20"/>
          <w:sz w:val="24"/>
        </w:rPr>
        <w:t xml:space="preserve">deferred </w:t>
      </w:r>
      <w:r>
        <w:rPr>
          <w:color w:val="231F20"/>
          <w:spacing w:val="-2"/>
          <w:sz w:val="24"/>
        </w:rPr>
        <w:t>compensation.</w:t>
      </w:r>
    </w:p>
    <w:p w14:paraId="109149B3" w14:textId="77777777" w:rsidR="00345EE3" w:rsidRDefault="00345EE3" w:rsidP="0052306E">
      <w:pPr>
        <w:pStyle w:val="ListParagraph"/>
        <w:numPr>
          <w:ilvl w:val="0"/>
          <w:numId w:val="8"/>
        </w:numPr>
        <w:tabs>
          <w:tab w:val="left" w:pos="402"/>
        </w:tabs>
        <w:spacing w:before="116" w:line="242" w:lineRule="auto"/>
        <w:ind w:left="142" w:right="804" w:firstLine="0"/>
        <w:rPr>
          <w:sz w:val="24"/>
        </w:rPr>
      </w:pPr>
      <w:r>
        <w:rPr>
          <w:b/>
          <w:color w:val="231F20"/>
          <w:sz w:val="24"/>
        </w:rPr>
        <w:t>Termination</w:t>
      </w:r>
      <w:r>
        <w:rPr>
          <w:b/>
          <w:color w:val="231F20"/>
          <w:spacing w:val="-14"/>
          <w:sz w:val="24"/>
        </w:rPr>
        <w:t xml:space="preserve"> </w:t>
      </w:r>
      <w:r>
        <w:rPr>
          <w:b/>
          <w:color w:val="231F20"/>
          <w:sz w:val="24"/>
        </w:rPr>
        <w:t>benefits</w:t>
      </w:r>
      <w:r>
        <w:rPr>
          <w:b/>
          <w:color w:val="231F20"/>
          <w:spacing w:val="-14"/>
          <w:sz w:val="24"/>
        </w:rPr>
        <w:t xml:space="preserve"> </w:t>
      </w:r>
      <w:r>
        <w:rPr>
          <w:color w:val="231F20"/>
          <w:sz w:val="24"/>
        </w:rPr>
        <w:t>include</w:t>
      </w:r>
      <w:r>
        <w:rPr>
          <w:color w:val="231F20"/>
          <w:spacing w:val="-14"/>
          <w:sz w:val="24"/>
        </w:rPr>
        <w:t xml:space="preserve"> </w:t>
      </w:r>
      <w:r>
        <w:rPr>
          <w:color w:val="231F20"/>
          <w:sz w:val="24"/>
        </w:rPr>
        <w:t>termination</w:t>
      </w:r>
      <w:r>
        <w:rPr>
          <w:color w:val="231F20"/>
          <w:spacing w:val="-14"/>
          <w:sz w:val="24"/>
        </w:rPr>
        <w:t xml:space="preserve"> </w:t>
      </w:r>
      <w:r>
        <w:rPr>
          <w:color w:val="231F20"/>
          <w:sz w:val="24"/>
        </w:rPr>
        <w:t>of</w:t>
      </w:r>
      <w:r>
        <w:rPr>
          <w:color w:val="231F20"/>
          <w:spacing w:val="-14"/>
          <w:sz w:val="24"/>
        </w:rPr>
        <w:t xml:space="preserve"> </w:t>
      </w:r>
      <w:r>
        <w:rPr>
          <w:color w:val="231F20"/>
          <w:sz w:val="24"/>
        </w:rPr>
        <w:t>employment</w:t>
      </w:r>
      <w:r>
        <w:rPr>
          <w:color w:val="231F20"/>
          <w:spacing w:val="-14"/>
          <w:sz w:val="24"/>
        </w:rPr>
        <w:t xml:space="preserve"> </w:t>
      </w:r>
      <w:r>
        <w:rPr>
          <w:color w:val="231F20"/>
          <w:sz w:val="24"/>
        </w:rPr>
        <w:t>payments,</w:t>
      </w:r>
      <w:r>
        <w:rPr>
          <w:color w:val="231F20"/>
          <w:spacing w:val="-14"/>
          <w:sz w:val="24"/>
        </w:rPr>
        <w:t xml:space="preserve"> </w:t>
      </w:r>
      <w:r>
        <w:rPr>
          <w:color w:val="231F20"/>
          <w:sz w:val="24"/>
        </w:rPr>
        <w:t>such</w:t>
      </w:r>
      <w:r>
        <w:rPr>
          <w:color w:val="231F20"/>
          <w:spacing w:val="-14"/>
          <w:sz w:val="24"/>
        </w:rPr>
        <w:t xml:space="preserve"> </w:t>
      </w:r>
      <w:r>
        <w:rPr>
          <w:color w:val="231F20"/>
          <w:sz w:val="24"/>
        </w:rPr>
        <w:t>as</w:t>
      </w:r>
      <w:r>
        <w:rPr>
          <w:color w:val="231F20"/>
          <w:spacing w:val="-14"/>
          <w:sz w:val="24"/>
        </w:rPr>
        <w:t xml:space="preserve"> </w:t>
      </w:r>
      <w:r>
        <w:rPr>
          <w:color w:val="231F20"/>
          <w:sz w:val="24"/>
        </w:rPr>
        <w:t xml:space="preserve">severance </w:t>
      </w:r>
      <w:r>
        <w:rPr>
          <w:color w:val="231F20"/>
          <w:spacing w:val="-2"/>
          <w:sz w:val="24"/>
        </w:rPr>
        <w:t>packages.</w:t>
      </w:r>
    </w:p>
    <w:p w14:paraId="30C5019D" w14:textId="2CBBAE90" w:rsidR="00345EE3" w:rsidRDefault="00345EE3" w:rsidP="0052306E">
      <w:pPr>
        <w:pStyle w:val="BodyText"/>
        <w:spacing w:before="116" w:after="120" w:line="242" w:lineRule="auto"/>
        <w:ind w:left="142"/>
      </w:pPr>
      <w:r>
        <w:rPr>
          <w:color w:val="231F20"/>
        </w:rPr>
        <w:t>Several factors affected total remuneration payable to SES officers over the year. A number of employment</w:t>
      </w:r>
      <w:r>
        <w:rPr>
          <w:color w:val="231F20"/>
          <w:spacing w:val="-9"/>
        </w:rPr>
        <w:t xml:space="preserve"> </w:t>
      </w:r>
      <w:r>
        <w:rPr>
          <w:color w:val="231F20"/>
        </w:rPr>
        <w:t>contracts</w:t>
      </w:r>
      <w:r>
        <w:rPr>
          <w:color w:val="231F20"/>
          <w:spacing w:val="-9"/>
        </w:rPr>
        <w:t xml:space="preserve"> </w:t>
      </w:r>
      <w:r>
        <w:rPr>
          <w:color w:val="231F20"/>
        </w:rPr>
        <w:t>were</w:t>
      </w:r>
      <w:r>
        <w:rPr>
          <w:color w:val="231F20"/>
          <w:spacing w:val="-9"/>
        </w:rPr>
        <w:t xml:space="preserve"> </w:t>
      </w:r>
      <w:r>
        <w:rPr>
          <w:color w:val="231F20"/>
        </w:rPr>
        <w:t>completed</w:t>
      </w:r>
      <w:r>
        <w:rPr>
          <w:color w:val="231F20"/>
          <w:spacing w:val="-9"/>
        </w:rPr>
        <w:t xml:space="preserve"> </w:t>
      </w:r>
      <w:r>
        <w:rPr>
          <w:color w:val="231F20"/>
        </w:rPr>
        <w:t>and</w:t>
      </w:r>
      <w:r>
        <w:rPr>
          <w:color w:val="231F20"/>
          <w:spacing w:val="-9"/>
        </w:rPr>
        <w:t xml:space="preserve"> </w:t>
      </w:r>
      <w:r>
        <w:rPr>
          <w:color w:val="231F20"/>
        </w:rPr>
        <w:t>renegotiated</w:t>
      </w:r>
      <w:r>
        <w:rPr>
          <w:color w:val="231F20"/>
          <w:spacing w:val="-9"/>
        </w:rPr>
        <w:t xml:space="preserve"> </w:t>
      </w:r>
      <w:r>
        <w:rPr>
          <w:color w:val="231F20"/>
        </w:rPr>
        <w:t>and</w:t>
      </w:r>
      <w:r>
        <w:rPr>
          <w:color w:val="231F20"/>
          <w:spacing w:val="-9"/>
        </w:rPr>
        <w:t xml:space="preserve"> </w:t>
      </w:r>
      <w:r>
        <w:rPr>
          <w:color w:val="231F20"/>
        </w:rPr>
        <w:t>a</w:t>
      </w:r>
      <w:r>
        <w:rPr>
          <w:color w:val="231F20"/>
          <w:spacing w:val="-9"/>
        </w:rPr>
        <w:t xml:space="preserve"> </w:t>
      </w:r>
      <w:r>
        <w:rPr>
          <w:color w:val="231F20"/>
        </w:rPr>
        <w:t>number</w:t>
      </w:r>
      <w:r>
        <w:rPr>
          <w:color w:val="231F20"/>
          <w:spacing w:val="-9"/>
        </w:rPr>
        <w:t xml:space="preserve"> </w:t>
      </w:r>
      <w:r>
        <w:rPr>
          <w:color w:val="231F20"/>
        </w:rPr>
        <w:t>of</w:t>
      </w:r>
      <w:r>
        <w:rPr>
          <w:color w:val="231F20"/>
          <w:spacing w:val="-9"/>
        </w:rPr>
        <w:t xml:space="preserve"> </w:t>
      </w:r>
      <w:r>
        <w:rPr>
          <w:color w:val="231F20"/>
        </w:rPr>
        <w:t>SES</w:t>
      </w:r>
      <w:r>
        <w:rPr>
          <w:color w:val="231F20"/>
          <w:spacing w:val="-9"/>
        </w:rPr>
        <w:t xml:space="preserve"> </w:t>
      </w:r>
      <w:r>
        <w:rPr>
          <w:color w:val="231F20"/>
        </w:rPr>
        <w:t>officers</w:t>
      </w:r>
      <w:r>
        <w:rPr>
          <w:color w:val="231F20"/>
          <w:spacing w:val="-9"/>
        </w:rPr>
        <w:t xml:space="preserve"> </w:t>
      </w:r>
      <w:r>
        <w:rPr>
          <w:color w:val="231F20"/>
        </w:rPr>
        <w:t>retired</w:t>
      </w:r>
      <w:r>
        <w:rPr>
          <w:color w:val="231F20"/>
          <w:spacing w:val="-9"/>
        </w:rPr>
        <w:t xml:space="preserve"> </w:t>
      </w:r>
      <w:r>
        <w:rPr>
          <w:color w:val="231F20"/>
        </w:rPr>
        <w:t>or resigned in the past year. The impact of this is shown in the table below.</w:t>
      </w:r>
    </w:p>
    <w:tbl>
      <w:tblPr>
        <w:tblW w:w="10205" w:type="dxa"/>
        <w:tblInd w:w="134" w:type="dxa"/>
        <w:tblLayout w:type="fixed"/>
        <w:tblCellMar>
          <w:left w:w="0" w:type="dxa"/>
          <w:right w:w="0" w:type="dxa"/>
        </w:tblCellMar>
        <w:tblLook w:val="0000" w:firstRow="0" w:lastRow="0" w:firstColumn="0" w:lastColumn="0" w:noHBand="0" w:noVBand="0"/>
      </w:tblPr>
      <w:tblGrid>
        <w:gridCol w:w="7937"/>
        <w:gridCol w:w="1134"/>
        <w:gridCol w:w="1134"/>
      </w:tblGrid>
      <w:tr w:rsidR="0052306E" w:rsidRPr="0052306E" w14:paraId="2165307C" w14:textId="77777777" w:rsidTr="0052306E">
        <w:trPr>
          <w:trHeight w:val="60"/>
          <w:tblHeader/>
        </w:trPr>
        <w:tc>
          <w:tcPr>
            <w:tcW w:w="10205" w:type="dxa"/>
            <w:gridSpan w:val="3"/>
            <w:tcBorders>
              <w:top w:val="single" w:sz="6" w:space="0" w:color="auto"/>
              <w:left w:val="single" w:sz="6" w:space="0" w:color="auto"/>
              <w:bottom w:val="single" w:sz="2" w:space="0" w:color="FFFFFF"/>
              <w:right w:val="single" w:sz="2" w:space="0" w:color="FFFFFF"/>
            </w:tcBorders>
            <w:shd w:val="solid" w:color="004996" w:fill="auto"/>
            <w:tcMar>
              <w:top w:w="85" w:type="dxa"/>
              <w:left w:w="14" w:type="dxa"/>
              <w:bottom w:w="85" w:type="dxa"/>
              <w:right w:w="14" w:type="dxa"/>
            </w:tcMar>
          </w:tcPr>
          <w:p w14:paraId="6C2D500F"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thousand)</w:t>
            </w:r>
          </w:p>
        </w:tc>
      </w:tr>
      <w:tr w:rsidR="0052306E" w:rsidRPr="0052306E" w14:paraId="5564DDBD" w14:textId="77777777" w:rsidTr="0052306E">
        <w:trPr>
          <w:trHeight w:val="60"/>
          <w:tblHeader/>
        </w:trPr>
        <w:tc>
          <w:tcPr>
            <w:tcW w:w="7937" w:type="dxa"/>
            <w:vMerge w:val="restart"/>
            <w:tcBorders>
              <w:top w:val="single" w:sz="2" w:space="0" w:color="FFFFFF"/>
              <w:left w:val="single" w:sz="6" w:space="0" w:color="000000"/>
              <w:bottom w:val="single" w:sz="6" w:space="0" w:color="9D9C9C"/>
              <w:right w:val="single" w:sz="2" w:space="0" w:color="FFFFFF"/>
            </w:tcBorders>
            <w:shd w:val="solid" w:color="004996" w:fill="auto"/>
            <w:tcMar>
              <w:top w:w="85" w:type="dxa"/>
              <w:left w:w="14" w:type="dxa"/>
              <w:bottom w:w="85" w:type="dxa"/>
              <w:right w:w="14" w:type="dxa"/>
            </w:tcMar>
          </w:tcPr>
          <w:p w14:paraId="4201C137"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i/>
                <w:iCs/>
                <w:color w:val="FFFFFF"/>
                <w:sz w:val="24"/>
                <w:szCs w:val="24"/>
                <w:lang w:val="en-GB"/>
              </w:rPr>
            </w:pPr>
            <w:r w:rsidRPr="0052306E">
              <w:rPr>
                <w:rFonts w:eastAsia="Myriad Pro"/>
                <w:i/>
                <w:iCs/>
                <w:color w:val="FFFFFF"/>
                <w:sz w:val="24"/>
                <w:szCs w:val="24"/>
                <w:lang w:val="en-GB"/>
              </w:rPr>
              <w:t>Remuneration of SES officers</w:t>
            </w:r>
          </w:p>
          <w:p w14:paraId="585E2F59"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b/>
                <w:bCs/>
                <w:color w:val="FFFFFF"/>
                <w:sz w:val="24"/>
                <w:szCs w:val="24"/>
                <w:lang w:val="en-GB"/>
              </w:rPr>
            </w:pPr>
            <w:r w:rsidRPr="0052306E">
              <w:rPr>
                <w:rFonts w:eastAsia="Myriad Pro"/>
                <w:i/>
                <w:iCs/>
                <w:color w:val="FFFFFF"/>
                <w:spacing w:val="-6"/>
                <w:sz w:val="24"/>
                <w:szCs w:val="24"/>
                <w:lang w:val="en-GB"/>
              </w:rPr>
              <w:t>(including Key Management Personnel disclosed in Note 9.4 Related Parties and excluding GIC appointees)</w:t>
            </w: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85" w:type="dxa"/>
              <w:left w:w="14" w:type="dxa"/>
              <w:bottom w:w="85" w:type="dxa"/>
              <w:right w:w="14" w:type="dxa"/>
            </w:tcMar>
          </w:tcPr>
          <w:p w14:paraId="304B5767" w14:textId="77777777" w:rsidR="0052306E" w:rsidRPr="0052306E" w:rsidRDefault="0052306E" w:rsidP="0052306E">
            <w:pPr>
              <w:widowControl/>
              <w:tabs>
                <w:tab w:val="left" w:pos="240"/>
              </w:tabs>
              <w:suppressAutoHyphens/>
              <w:adjustRightInd w:val="0"/>
              <w:spacing w:after="57" w:line="280" w:lineRule="atLeast"/>
              <w:ind w:left="142"/>
              <w:jc w:val="center"/>
              <w:textAlignment w:val="center"/>
              <w:rPr>
                <w:rFonts w:eastAsia="Myriad Pro"/>
                <w:b/>
                <w:bCs/>
                <w:color w:val="FFFFFF"/>
                <w:sz w:val="24"/>
                <w:szCs w:val="24"/>
                <w:lang w:val="en-GB"/>
              </w:rPr>
            </w:pPr>
            <w:r w:rsidRPr="0052306E">
              <w:rPr>
                <w:rFonts w:eastAsia="Myriad Pro"/>
                <w:b/>
                <w:bCs/>
                <w:color w:val="FFFFFF"/>
                <w:sz w:val="24"/>
                <w:szCs w:val="24"/>
                <w:lang w:val="en-GB"/>
              </w:rPr>
              <w:t>Total Remuneration</w:t>
            </w:r>
          </w:p>
        </w:tc>
      </w:tr>
      <w:tr w:rsidR="0052306E" w:rsidRPr="0052306E" w14:paraId="0820058F" w14:textId="77777777" w:rsidTr="0052306E">
        <w:trPr>
          <w:trHeight w:val="60"/>
          <w:tblHeader/>
        </w:trPr>
        <w:tc>
          <w:tcPr>
            <w:tcW w:w="7937" w:type="dxa"/>
            <w:vMerge/>
            <w:tcBorders>
              <w:top w:val="single" w:sz="6" w:space="0" w:color="9D9C9C"/>
              <w:left w:val="single" w:sz="6" w:space="0" w:color="000000"/>
              <w:bottom w:val="single" w:sz="6" w:space="0" w:color="9D9C9C"/>
              <w:right w:val="single" w:sz="2" w:space="0" w:color="FFFFFF"/>
            </w:tcBorders>
            <w:tcMar>
              <w:top w:w="85" w:type="dxa"/>
              <w:bottom w:w="85" w:type="dxa"/>
            </w:tcMar>
          </w:tcPr>
          <w:p w14:paraId="199B74E7" w14:textId="77777777" w:rsidR="0052306E" w:rsidRPr="0052306E" w:rsidRDefault="0052306E" w:rsidP="0052306E">
            <w:pPr>
              <w:widowControl/>
              <w:adjustRightInd w:val="0"/>
              <w:ind w:left="142"/>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7BE08234"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85" w:type="dxa"/>
              <w:left w:w="14" w:type="dxa"/>
              <w:bottom w:w="85" w:type="dxa"/>
              <w:right w:w="14" w:type="dxa"/>
            </w:tcMar>
          </w:tcPr>
          <w:p w14:paraId="6EEFFF3F"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2021</w:t>
            </w:r>
          </w:p>
        </w:tc>
      </w:tr>
      <w:tr w:rsidR="0052306E" w:rsidRPr="0052306E" w14:paraId="5E631117" w14:textId="77777777" w:rsidTr="0052306E">
        <w:trPr>
          <w:trHeight w:val="60"/>
        </w:trPr>
        <w:tc>
          <w:tcPr>
            <w:tcW w:w="7937"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4F81E131"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color w:val="000000"/>
                <w:sz w:val="24"/>
                <w:szCs w:val="24"/>
                <w:lang w:val="en-GB"/>
              </w:rPr>
            </w:pPr>
            <w:r w:rsidRPr="0052306E">
              <w:rPr>
                <w:rFonts w:eastAsia="Myriad Pro"/>
                <w:color w:val="000000"/>
                <w:sz w:val="24"/>
                <w:szCs w:val="24"/>
                <w:lang w:val="en-GB"/>
              </w:rPr>
              <w:t>Short-term employee benefits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44A8EF04"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15,587 </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14" w:type="dxa"/>
            </w:tcMar>
          </w:tcPr>
          <w:p w14:paraId="1FE63A9B"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11,433 </w:t>
            </w:r>
          </w:p>
        </w:tc>
      </w:tr>
      <w:tr w:rsidR="0052306E" w:rsidRPr="0052306E" w14:paraId="34D35709" w14:textId="77777777" w:rsidTr="0052306E">
        <w:trPr>
          <w:trHeight w:val="60"/>
        </w:trPr>
        <w:tc>
          <w:tcPr>
            <w:tcW w:w="7937"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199395D2"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color w:val="000000"/>
                <w:sz w:val="24"/>
                <w:szCs w:val="24"/>
                <w:lang w:val="en-GB"/>
              </w:rPr>
            </w:pPr>
            <w:r w:rsidRPr="0052306E">
              <w:rPr>
                <w:rFonts w:eastAsia="Myriad Pro"/>
                <w:color w:val="000000"/>
                <w:sz w:val="24"/>
                <w:szCs w:val="24"/>
                <w:lang w:val="en-GB"/>
              </w:rPr>
              <w:t>Post employment benefits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4DE7536F"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1,825 </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14" w:type="dxa"/>
            </w:tcMar>
          </w:tcPr>
          <w:p w14:paraId="3E78A15E"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1,399 </w:t>
            </w:r>
          </w:p>
        </w:tc>
      </w:tr>
      <w:tr w:rsidR="0052306E" w:rsidRPr="0052306E" w14:paraId="11D39536" w14:textId="77777777" w:rsidTr="0052306E">
        <w:trPr>
          <w:trHeight w:val="60"/>
        </w:trPr>
        <w:tc>
          <w:tcPr>
            <w:tcW w:w="7937"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2ABEBD7A"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color w:val="000000"/>
                <w:sz w:val="24"/>
                <w:szCs w:val="24"/>
                <w:lang w:val="en-GB"/>
              </w:rPr>
            </w:pPr>
            <w:r w:rsidRPr="0052306E">
              <w:rPr>
                <w:rFonts w:eastAsia="Myriad Pro"/>
                <w:color w:val="000000"/>
                <w:sz w:val="24"/>
                <w:szCs w:val="24"/>
                <w:lang w:val="en-GB"/>
              </w:rPr>
              <w:t>Other long-term benefits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7277B68D"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346 </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14" w:type="dxa"/>
            </w:tcMar>
          </w:tcPr>
          <w:p w14:paraId="75A33921"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260 </w:t>
            </w:r>
          </w:p>
        </w:tc>
      </w:tr>
      <w:tr w:rsidR="0052306E" w:rsidRPr="0052306E" w14:paraId="398CAC16" w14:textId="77777777" w:rsidTr="0052306E">
        <w:trPr>
          <w:trHeight w:val="60"/>
        </w:trPr>
        <w:tc>
          <w:tcPr>
            <w:tcW w:w="7937" w:type="dxa"/>
            <w:tcBorders>
              <w:top w:val="single" w:sz="2" w:space="0" w:color="9D9C9C"/>
              <w:left w:val="single" w:sz="6" w:space="0" w:color="000000"/>
              <w:bottom w:val="single" w:sz="4" w:space="0" w:color="000000"/>
              <w:right w:val="single" w:sz="2" w:space="0" w:color="9D9C9C"/>
            </w:tcBorders>
            <w:tcMar>
              <w:top w:w="85" w:type="dxa"/>
              <w:left w:w="14" w:type="dxa"/>
              <w:bottom w:w="85" w:type="dxa"/>
              <w:right w:w="14" w:type="dxa"/>
            </w:tcMar>
          </w:tcPr>
          <w:p w14:paraId="7D0FF395"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color w:val="000000"/>
                <w:sz w:val="24"/>
                <w:szCs w:val="24"/>
                <w:lang w:val="en-GB"/>
              </w:rPr>
            </w:pPr>
            <w:r w:rsidRPr="0052306E">
              <w:rPr>
                <w:rFonts w:eastAsia="Myriad Pro"/>
                <w:color w:val="000000"/>
                <w:sz w:val="24"/>
                <w:szCs w:val="24"/>
                <w:lang w:val="en-GB"/>
              </w:rPr>
              <w:t>Termination benefits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85" w:type="dxa"/>
              <w:left w:w="14" w:type="dxa"/>
              <w:bottom w:w="85" w:type="dxa"/>
              <w:right w:w="14" w:type="dxa"/>
            </w:tcMar>
          </w:tcPr>
          <w:p w14:paraId="68009975"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tcMar>
              <w:top w:w="85" w:type="dxa"/>
              <w:left w:w="14" w:type="dxa"/>
              <w:bottom w:w="85" w:type="dxa"/>
              <w:right w:w="14" w:type="dxa"/>
            </w:tcMar>
          </w:tcPr>
          <w:p w14:paraId="7A0C00EE"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395 </w:t>
            </w:r>
          </w:p>
        </w:tc>
      </w:tr>
      <w:tr w:rsidR="0052306E" w:rsidRPr="0052306E" w14:paraId="539EA5E7" w14:textId="77777777" w:rsidTr="0052306E">
        <w:trPr>
          <w:trHeight w:val="60"/>
        </w:trPr>
        <w:tc>
          <w:tcPr>
            <w:tcW w:w="7937" w:type="dxa"/>
            <w:tcBorders>
              <w:top w:val="single" w:sz="4" w:space="0" w:color="000000"/>
              <w:left w:val="single" w:sz="6" w:space="0" w:color="000000"/>
              <w:bottom w:val="single" w:sz="4" w:space="0" w:color="000000"/>
              <w:right w:val="single" w:sz="2" w:space="0" w:color="9D9C9C"/>
            </w:tcBorders>
            <w:tcMar>
              <w:top w:w="85" w:type="dxa"/>
              <w:left w:w="14" w:type="dxa"/>
              <w:bottom w:w="85" w:type="dxa"/>
              <w:right w:w="14" w:type="dxa"/>
            </w:tcMar>
          </w:tcPr>
          <w:p w14:paraId="64B2AB1F"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color w:val="000000"/>
                <w:sz w:val="24"/>
                <w:szCs w:val="24"/>
                <w:lang w:val="en-GB"/>
              </w:rPr>
            </w:pPr>
            <w:r w:rsidRPr="0052306E">
              <w:rPr>
                <w:rFonts w:eastAsia="Myriad Pro"/>
                <w:b/>
                <w:bCs/>
                <w:color w:val="000000"/>
                <w:sz w:val="24"/>
                <w:szCs w:val="24"/>
                <w:lang w:val="en-GB"/>
              </w:rPr>
              <w:t>Total Remuneration</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85" w:type="dxa"/>
              <w:left w:w="14" w:type="dxa"/>
              <w:bottom w:w="85" w:type="dxa"/>
              <w:right w:w="14" w:type="dxa"/>
            </w:tcMar>
          </w:tcPr>
          <w:p w14:paraId="355BAA04"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17,758 </w:t>
            </w:r>
          </w:p>
        </w:tc>
        <w:tc>
          <w:tcPr>
            <w:tcW w:w="1134" w:type="dxa"/>
            <w:tcBorders>
              <w:top w:val="single" w:sz="4" w:space="0" w:color="000000"/>
              <w:left w:val="single" w:sz="2" w:space="0" w:color="9D9C9C"/>
              <w:bottom w:val="single" w:sz="4" w:space="0" w:color="000000"/>
              <w:right w:val="single" w:sz="6" w:space="0" w:color="9D9C9C"/>
            </w:tcBorders>
            <w:tcMar>
              <w:top w:w="85" w:type="dxa"/>
              <w:left w:w="14" w:type="dxa"/>
              <w:bottom w:w="85" w:type="dxa"/>
              <w:right w:w="14" w:type="dxa"/>
            </w:tcMar>
          </w:tcPr>
          <w:p w14:paraId="1896288F"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13,487 </w:t>
            </w:r>
          </w:p>
        </w:tc>
      </w:tr>
      <w:tr w:rsidR="0052306E" w:rsidRPr="0052306E" w14:paraId="1F9FF16C" w14:textId="77777777" w:rsidTr="0052306E">
        <w:trPr>
          <w:trHeight w:val="60"/>
        </w:trPr>
        <w:tc>
          <w:tcPr>
            <w:tcW w:w="7937" w:type="dxa"/>
            <w:tcBorders>
              <w:top w:val="single" w:sz="4" w:space="0" w:color="000000"/>
              <w:left w:val="single" w:sz="6" w:space="0" w:color="000000"/>
              <w:bottom w:val="single" w:sz="4" w:space="0" w:color="000000"/>
              <w:right w:val="single" w:sz="2" w:space="0" w:color="9D9C9C"/>
            </w:tcBorders>
            <w:tcMar>
              <w:top w:w="85" w:type="dxa"/>
              <w:left w:w="14" w:type="dxa"/>
              <w:bottom w:w="85" w:type="dxa"/>
              <w:right w:w="14" w:type="dxa"/>
            </w:tcMar>
          </w:tcPr>
          <w:p w14:paraId="084F725A"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color w:val="000000"/>
                <w:sz w:val="24"/>
                <w:szCs w:val="24"/>
                <w:lang w:val="en-GB"/>
              </w:rPr>
            </w:pPr>
            <w:r w:rsidRPr="0052306E">
              <w:rPr>
                <w:rFonts w:eastAsia="Myriad Pro"/>
                <w:b/>
                <w:bCs/>
                <w:color w:val="000000"/>
                <w:sz w:val="24"/>
                <w:szCs w:val="24"/>
                <w:lang w:val="en-GB"/>
              </w:rPr>
              <w:t>Total Number Of Ses Officers</w:t>
            </w:r>
            <w:r w:rsidRPr="0052306E">
              <w:rPr>
                <w:rFonts w:eastAsia="Myriad Pro"/>
                <w:b/>
                <w:bCs/>
                <w:color w:val="000000"/>
                <w:sz w:val="24"/>
                <w:szCs w:val="24"/>
                <w:vertAlign w:val="superscript"/>
                <w:lang w:val="en-GB"/>
              </w:rPr>
              <w:t xml:space="preserve"> (a)</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85" w:type="dxa"/>
              <w:left w:w="14" w:type="dxa"/>
              <w:bottom w:w="85" w:type="dxa"/>
              <w:right w:w="14" w:type="dxa"/>
            </w:tcMar>
          </w:tcPr>
          <w:p w14:paraId="6AE29B98"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63 </w:t>
            </w:r>
          </w:p>
        </w:tc>
        <w:tc>
          <w:tcPr>
            <w:tcW w:w="1134" w:type="dxa"/>
            <w:tcBorders>
              <w:top w:val="single" w:sz="4" w:space="0" w:color="000000"/>
              <w:left w:val="single" w:sz="2" w:space="0" w:color="9D9C9C"/>
              <w:bottom w:val="single" w:sz="4" w:space="0" w:color="000000"/>
              <w:right w:val="single" w:sz="6" w:space="0" w:color="9D9C9C"/>
            </w:tcBorders>
            <w:tcMar>
              <w:top w:w="85" w:type="dxa"/>
              <w:left w:w="14" w:type="dxa"/>
              <w:bottom w:w="85" w:type="dxa"/>
              <w:right w:w="14" w:type="dxa"/>
            </w:tcMar>
          </w:tcPr>
          <w:p w14:paraId="1277F934"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54 </w:t>
            </w:r>
          </w:p>
        </w:tc>
      </w:tr>
      <w:tr w:rsidR="0052306E" w:rsidRPr="0052306E" w14:paraId="0B3EF100" w14:textId="77777777" w:rsidTr="0052306E">
        <w:trPr>
          <w:trHeight w:val="60"/>
        </w:trPr>
        <w:tc>
          <w:tcPr>
            <w:tcW w:w="7937" w:type="dxa"/>
            <w:tcBorders>
              <w:top w:val="single" w:sz="4" w:space="0" w:color="000000"/>
              <w:left w:val="single" w:sz="6" w:space="0" w:color="9D9C9C"/>
              <w:bottom w:val="single" w:sz="8" w:space="0" w:color="000000"/>
              <w:right w:val="single" w:sz="2" w:space="0" w:color="9D9C9C"/>
            </w:tcBorders>
            <w:tcMar>
              <w:top w:w="85" w:type="dxa"/>
              <w:left w:w="14" w:type="dxa"/>
              <w:bottom w:w="85" w:type="dxa"/>
              <w:right w:w="14" w:type="dxa"/>
            </w:tcMar>
          </w:tcPr>
          <w:p w14:paraId="55FD722F"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color w:val="000000"/>
                <w:sz w:val="24"/>
                <w:szCs w:val="24"/>
                <w:lang w:val="en-GB"/>
              </w:rPr>
            </w:pPr>
            <w:r w:rsidRPr="0052306E">
              <w:rPr>
                <w:rFonts w:eastAsia="Myriad Pro"/>
                <w:b/>
                <w:bCs/>
                <w:color w:val="000000"/>
                <w:sz w:val="24"/>
                <w:szCs w:val="24"/>
                <w:lang w:val="en-GB"/>
              </w:rPr>
              <w:t>Total Annualised Employee Equivalent</w:t>
            </w:r>
            <w:r w:rsidRPr="0052306E">
              <w:rPr>
                <w:rFonts w:eastAsia="Myriad Pro"/>
                <w:b/>
                <w:bCs/>
                <w:color w:val="000000"/>
                <w:sz w:val="24"/>
                <w:szCs w:val="24"/>
                <w:vertAlign w:val="superscript"/>
                <w:lang w:val="en-GB"/>
              </w:rPr>
              <w:t xml:space="preserve"> (b)</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85" w:type="dxa"/>
              <w:left w:w="14" w:type="dxa"/>
              <w:bottom w:w="85" w:type="dxa"/>
              <w:right w:w="14" w:type="dxa"/>
            </w:tcMar>
          </w:tcPr>
          <w:p w14:paraId="77124685"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48 </w:t>
            </w:r>
          </w:p>
        </w:tc>
        <w:tc>
          <w:tcPr>
            <w:tcW w:w="1134" w:type="dxa"/>
            <w:tcBorders>
              <w:top w:val="single" w:sz="4" w:space="0" w:color="000000"/>
              <w:left w:val="single" w:sz="2" w:space="0" w:color="9D9C9C"/>
              <w:bottom w:val="single" w:sz="8" w:space="0" w:color="000000"/>
              <w:right w:val="single" w:sz="6" w:space="0" w:color="9D9C9C"/>
            </w:tcBorders>
            <w:tcMar>
              <w:top w:w="85" w:type="dxa"/>
              <w:left w:w="14" w:type="dxa"/>
              <w:bottom w:w="85" w:type="dxa"/>
              <w:right w:w="14" w:type="dxa"/>
            </w:tcMar>
          </w:tcPr>
          <w:p w14:paraId="1328472B"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45</w:t>
            </w:r>
          </w:p>
        </w:tc>
      </w:tr>
    </w:tbl>
    <w:p w14:paraId="67C965E2" w14:textId="77777777" w:rsidR="00345EE3" w:rsidRPr="00221494" w:rsidRDefault="00345EE3" w:rsidP="0052306E">
      <w:pPr>
        <w:spacing w:before="77"/>
        <w:ind w:left="142"/>
        <w:rPr>
          <w:rFonts w:ascii="Arial-BoldItalicMT"/>
          <w:b/>
          <w:i/>
          <w:sz w:val="18"/>
          <w:szCs w:val="18"/>
        </w:rPr>
      </w:pPr>
      <w:r w:rsidRPr="00221494">
        <w:rPr>
          <w:rFonts w:ascii="Arial-BoldItalicMT"/>
          <w:b/>
          <w:i/>
          <w:color w:val="231F20"/>
          <w:spacing w:val="-2"/>
          <w:sz w:val="18"/>
          <w:szCs w:val="18"/>
        </w:rPr>
        <w:t>Notes:</w:t>
      </w:r>
    </w:p>
    <w:p w14:paraId="34566EB6" w14:textId="77777777" w:rsidR="00345EE3" w:rsidRPr="00221494" w:rsidRDefault="00345EE3" w:rsidP="0052306E">
      <w:pPr>
        <w:pStyle w:val="ListParagraph"/>
        <w:numPr>
          <w:ilvl w:val="0"/>
          <w:numId w:val="7"/>
        </w:numPr>
        <w:tabs>
          <w:tab w:val="left" w:pos="338"/>
        </w:tabs>
        <w:spacing w:before="27"/>
        <w:ind w:left="142" w:right="215" w:firstLine="0"/>
        <w:rPr>
          <w:sz w:val="18"/>
          <w:szCs w:val="18"/>
        </w:rPr>
      </w:pPr>
      <w:r w:rsidRPr="00221494">
        <w:rPr>
          <w:color w:val="231F20"/>
          <w:sz w:val="18"/>
          <w:szCs w:val="18"/>
        </w:rPr>
        <w:t xml:space="preserve">The total number of SES officers includes persons who meet the definition of Key Management Personnel (KMP) of the entity under AASB 124 </w:t>
      </w:r>
      <w:r w:rsidRPr="00221494">
        <w:rPr>
          <w:b/>
          <w:color w:val="231F20"/>
          <w:sz w:val="18"/>
          <w:szCs w:val="18"/>
        </w:rPr>
        <w:t>Related Party</w:t>
      </w:r>
      <w:r w:rsidRPr="00221494">
        <w:rPr>
          <w:b/>
          <w:color w:val="231F20"/>
          <w:spacing w:val="40"/>
          <w:sz w:val="18"/>
          <w:szCs w:val="18"/>
        </w:rPr>
        <w:t xml:space="preserve"> </w:t>
      </w:r>
      <w:r w:rsidRPr="00221494">
        <w:rPr>
          <w:b/>
          <w:color w:val="231F20"/>
          <w:sz w:val="18"/>
          <w:szCs w:val="18"/>
        </w:rPr>
        <w:t xml:space="preserve">Disclosures </w:t>
      </w:r>
      <w:r w:rsidRPr="00221494">
        <w:rPr>
          <w:color w:val="231F20"/>
          <w:sz w:val="18"/>
          <w:szCs w:val="18"/>
        </w:rPr>
        <w:t>and are also reported within the related parties note disclosure (refer to Note 9.4 Related Parties). This number includes all SES officers that have</w:t>
      </w:r>
      <w:r w:rsidRPr="00221494">
        <w:rPr>
          <w:color w:val="231F20"/>
          <w:spacing w:val="40"/>
          <w:sz w:val="18"/>
          <w:szCs w:val="18"/>
        </w:rPr>
        <w:t xml:space="preserve"> </w:t>
      </w:r>
      <w:r w:rsidRPr="00221494">
        <w:rPr>
          <w:color w:val="231F20"/>
          <w:sz w:val="18"/>
          <w:szCs w:val="18"/>
        </w:rPr>
        <w:t>been employed during the year, including those who have left Victoria Police during the course of the year.</w:t>
      </w:r>
    </w:p>
    <w:p w14:paraId="7BF420F9" w14:textId="68EED058" w:rsidR="0052306E" w:rsidRPr="0052306E" w:rsidRDefault="00345EE3" w:rsidP="0052306E">
      <w:pPr>
        <w:pStyle w:val="ListParagraph"/>
        <w:numPr>
          <w:ilvl w:val="0"/>
          <w:numId w:val="7"/>
        </w:numPr>
        <w:tabs>
          <w:tab w:val="left" w:pos="338"/>
        </w:tabs>
        <w:spacing w:before="25"/>
        <w:ind w:left="142" w:firstLine="0"/>
        <w:rPr>
          <w:sz w:val="18"/>
          <w:szCs w:val="18"/>
        </w:rPr>
      </w:pPr>
      <w:r w:rsidRPr="00221494">
        <w:rPr>
          <w:color w:val="231F20"/>
          <w:sz w:val="18"/>
          <w:szCs w:val="18"/>
        </w:rPr>
        <w:t>Annualised</w:t>
      </w:r>
      <w:r w:rsidRPr="00221494">
        <w:rPr>
          <w:color w:val="231F20"/>
          <w:spacing w:val="-2"/>
          <w:sz w:val="18"/>
          <w:szCs w:val="18"/>
        </w:rPr>
        <w:t xml:space="preserve"> </w:t>
      </w:r>
      <w:r w:rsidRPr="00221494">
        <w:rPr>
          <w:color w:val="231F20"/>
          <w:sz w:val="18"/>
          <w:szCs w:val="18"/>
        </w:rPr>
        <w:t>employee</w:t>
      </w:r>
      <w:r w:rsidRPr="00221494">
        <w:rPr>
          <w:color w:val="231F20"/>
          <w:spacing w:val="-2"/>
          <w:sz w:val="18"/>
          <w:szCs w:val="18"/>
        </w:rPr>
        <w:t xml:space="preserve"> </w:t>
      </w:r>
      <w:r w:rsidRPr="00221494">
        <w:rPr>
          <w:color w:val="231F20"/>
          <w:sz w:val="18"/>
          <w:szCs w:val="18"/>
        </w:rPr>
        <w:t>equivalent</w:t>
      </w:r>
      <w:r w:rsidRPr="00221494">
        <w:rPr>
          <w:color w:val="231F20"/>
          <w:spacing w:val="-2"/>
          <w:sz w:val="18"/>
          <w:szCs w:val="18"/>
        </w:rPr>
        <w:t xml:space="preserve"> </w:t>
      </w:r>
      <w:r w:rsidRPr="00221494">
        <w:rPr>
          <w:color w:val="231F20"/>
          <w:sz w:val="18"/>
          <w:szCs w:val="18"/>
        </w:rPr>
        <w:t>is</w:t>
      </w:r>
      <w:r w:rsidRPr="00221494">
        <w:rPr>
          <w:color w:val="231F20"/>
          <w:spacing w:val="-2"/>
          <w:sz w:val="18"/>
          <w:szCs w:val="18"/>
        </w:rPr>
        <w:t xml:space="preserve"> </w:t>
      </w:r>
      <w:r w:rsidRPr="00221494">
        <w:rPr>
          <w:color w:val="231F20"/>
          <w:sz w:val="18"/>
          <w:szCs w:val="18"/>
        </w:rPr>
        <w:t>based</w:t>
      </w:r>
      <w:r w:rsidRPr="00221494">
        <w:rPr>
          <w:color w:val="231F20"/>
          <w:spacing w:val="-1"/>
          <w:sz w:val="18"/>
          <w:szCs w:val="18"/>
        </w:rPr>
        <w:t xml:space="preserve"> </w:t>
      </w:r>
      <w:r w:rsidRPr="00221494">
        <w:rPr>
          <w:color w:val="231F20"/>
          <w:sz w:val="18"/>
          <w:szCs w:val="18"/>
        </w:rPr>
        <w:t>on</w:t>
      </w:r>
      <w:r w:rsidRPr="00221494">
        <w:rPr>
          <w:color w:val="231F20"/>
          <w:spacing w:val="-2"/>
          <w:sz w:val="18"/>
          <w:szCs w:val="18"/>
        </w:rPr>
        <w:t xml:space="preserve"> </w:t>
      </w:r>
      <w:r w:rsidRPr="00221494">
        <w:rPr>
          <w:color w:val="231F20"/>
          <w:sz w:val="18"/>
          <w:szCs w:val="18"/>
        </w:rPr>
        <w:t>paid</w:t>
      </w:r>
      <w:r w:rsidRPr="00221494">
        <w:rPr>
          <w:color w:val="231F20"/>
          <w:spacing w:val="-2"/>
          <w:sz w:val="18"/>
          <w:szCs w:val="18"/>
        </w:rPr>
        <w:t xml:space="preserve"> </w:t>
      </w:r>
      <w:r w:rsidRPr="00221494">
        <w:rPr>
          <w:color w:val="231F20"/>
          <w:sz w:val="18"/>
          <w:szCs w:val="18"/>
        </w:rPr>
        <w:t>working</w:t>
      </w:r>
      <w:r w:rsidRPr="00221494">
        <w:rPr>
          <w:color w:val="231F20"/>
          <w:spacing w:val="-2"/>
          <w:sz w:val="18"/>
          <w:szCs w:val="18"/>
        </w:rPr>
        <w:t xml:space="preserve"> </w:t>
      </w:r>
      <w:r w:rsidRPr="00221494">
        <w:rPr>
          <w:color w:val="231F20"/>
          <w:sz w:val="18"/>
          <w:szCs w:val="18"/>
        </w:rPr>
        <w:t>hours</w:t>
      </w:r>
      <w:r w:rsidRPr="00221494">
        <w:rPr>
          <w:color w:val="231F20"/>
          <w:spacing w:val="-1"/>
          <w:sz w:val="18"/>
          <w:szCs w:val="18"/>
        </w:rPr>
        <w:t xml:space="preserve"> </w:t>
      </w:r>
      <w:r w:rsidRPr="00221494">
        <w:rPr>
          <w:color w:val="231F20"/>
          <w:sz w:val="18"/>
          <w:szCs w:val="18"/>
        </w:rPr>
        <w:t>of</w:t>
      </w:r>
      <w:r w:rsidRPr="00221494">
        <w:rPr>
          <w:color w:val="231F20"/>
          <w:spacing w:val="-2"/>
          <w:sz w:val="18"/>
          <w:szCs w:val="18"/>
        </w:rPr>
        <w:t xml:space="preserve"> </w:t>
      </w:r>
      <w:r w:rsidRPr="00221494">
        <w:rPr>
          <w:color w:val="231F20"/>
          <w:sz w:val="18"/>
          <w:szCs w:val="18"/>
        </w:rPr>
        <w:t>38</w:t>
      </w:r>
      <w:r w:rsidRPr="00221494">
        <w:rPr>
          <w:color w:val="231F20"/>
          <w:spacing w:val="-2"/>
          <w:sz w:val="18"/>
          <w:szCs w:val="18"/>
        </w:rPr>
        <w:t xml:space="preserve"> </w:t>
      </w:r>
      <w:r w:rsidRPr="00221494">
        <w:rPr>
          <w:color w:val="231F20"/>
          <w:sz w:val="18"/>
          <w:szCs w:val="18"/>
        </w:rPr>
        <w:t>ordinary</w:t>
      </w:r>
      <w:r w:rsidRPr="00221494">
        <w:rPr>
          <w:color w:val="231F20"/>
          <w:spacing w:val="-2"/>
          <w:sz w:val="18"/>
          <w:szCs w:val="18"/>
        </w:rPr>
        <w:t xml:space="preserve"> </w:t>
      </w:r>
      <w:r w:rsidRPr="00221494">
        <w:rPr>
          <w:color w:val="231F20"/>
          <w:sz w:val="18"/>
          <w:szCs w:val="18"/>
        </w:rPr>
        <w:t>hours</w:t>
      </w:r>
      <w:r w:rsidRPr="00221494">
        <w:rPr>
          <w:color w:val="231F20"/>
          <w:spacing w:val="-2"/>
          <w:sz w:val="18"/>
          <w:szCs w:val="18"/>
        </w:rPr>
        <w:t xml:space="preserve"> </w:t>
      </w:r>
      <w:r w:rsidRPr="00221494">
        <w:rPr>
          <w:color w:val="231F20"/>
          <w:sz w:val="18"/>
          <w:szCs w:val="18"/>
        </w:rPr>
        <w:t>per</w:t>
      </w:r>
      <w:r w:rsidRPr="00221494">
        <w:rPr>
          <w:color w:val="231F20"/>
          <w:spacing w:val="-1"/>
          <w:sz w:val="18"/>
          <w:szCs w:val="18"/>
        </w:rPr>
        <w:t xml:space="preserve"> </w:t>
      </w:r>
      <w:r w:rsidRPr="00221494">
        <w:rPr>
          <w:color w:val="231F20"/>
          <w:sz w:val="18"/>
          <w:szCs w:val="18"/>
        </w:rPr>
        <w:t>week</w:t>
      </w:r>
      <w:r w:rsidRPr="00221494">
        <w:rPr>
          <w:color w:val="231F20"/>
          <w:spacing w:val="-2"/>
          <w:sz w:val="18"/>
          <w:szCs w:val="18"/>
        </w:rPr>
        <w:t xml:space="preserve"> </w:t>
      </w:r>
      <w:r w:rsidRPr="00221494">
        <w:rPr>
          <w:color w:val="231F20"/>
          <w:sz w:val="18"/>
          <w:szCs w:val="18"/>
        </w:rPr>
        <w:t>over</w:t>
      </w:r>
      <w:r w:rsidRPr="00221494">
        <w:rPr>
          <w:color w:val="231F20"/>
          <w:spacing w:val="-2"/>
          <w:sz w:val="18"/>
          <w:szCs w:val="18"/>
        </w:rPr>
        <w:t xml:space="preserve"> </w:t>
      </w:r>
      <w:r w:rsidRPr="00221494">
        <w:rPr>
          <w:color w:val="231F20"/>
          <w:sz w:val="18"/>
          <w:szCs w:val="18"/>
        </w:rPr>
        <w:t>the</w:t>
      </w:r>
      <w:r w:rsidRPr="00221494">
        <w:rPr>
          <w:color w:val="231F20"/>
          <w:spacing w:val="-2"/>
          <w:sz w:val="18"/>
          <w:szCs w:val="18"/>
        </w:rPr>
        <w:t xml:space="preserve"> </w:t>
      </w:r>
      <w:r w:rsidRPr="00221494">
        <w:rPr>
          <w:color w:val="231F20"/>
          <w:sz w:val="18"/>
          <w:szCs w:val="18"/>
        </w:rPr>
        <w:t>52</w:t>
      </w:r>
      <w:r w:rsidRPr="00221494">
        <w:rPr>
          <w:color w:val="231F20"/>
          <w:spacing w:val="-1"/>
          <w:sz w:val="18"/>
          <w:szCs w:val="18"/>
        </w:rPr>
        <w:t xml:space="preserve"> </w:t>
      </w:r>
      <w:r w:rsidRPr="00221494">
        <w:rPr>
          <w:color w:val="231F20"/>
          <w:sz w:val="18"/>
          <w:szCs w:val="18"/>
        </w:rPr>
        <w:t>weeks</w:t>
      </w:r>
      <w:r w:rsidRPr="00221494">
        <w:rPr>
          <w:color w:val="231F20"/>
          <w:spacing w:val="-2"/>
          <w:sz w:val="18"/>
          <w:szCs w:val="18"/>
        </w:rPr>
        <w:t xml:space="preserve"> </w:t>
      </w:r>
      <w:r w:rsidRPr="00221494">
        <w:rPr>
          <w:color w:val="231F20"/>
          <w:sz w:val="18"/>
          <w:szCs w:val="18"/>
        </w:rPr>
        <w:t>for</w:t>
      </w:r>
      <w:r w:rsidRPr="00221494">
        <w:rPr>
          <w:color w:val="231F20"/>
          <w:spacing w:val="-2"/>
          <w:sz w:val="18"/>
          <w:szCs w:val="18"/>
        </w:rPr>
        <w:t xml:space="preserve"> </w:t>
      </w:r>
      <w:r w:rsidRPr="00221494">
        <w:rPr>
          <w:color w:val="231F20"/>
          <w:sz w:val="18"/>
          <w:szCs w:val="18"/>
        </w:rPr>
        <w:t>a</w:t>
      </w:r>
      <w:r w:rsidRPr="00221494">
        <w:rPr>
          <w:color w:val="231F20"/>
          <w:spacing w:val="-2"/>
          <w:sz w:val="18"/>
          <w:szCs w:val="18"/>
        </w:rPr>
        <w:t xml:space="preserve"> </w:t>
      </w:r>
      <w:r w:rsidRPr="00221494">
        <w:rPr>
          <w:color w:val="231F20"/>
          <w:sz w:val="18"/>
          <w:szCs w:val="18"/>
        </w:rPr>
        <w:t>reporting</w:t>
      </w:r>
      <w:r w:rsidRPr="00221494">
        <w:rPr>
          <w:color w:val="231F20"/>
          <w:spacing w:val="-1"/>
          <w:sz w:val="18"/>
          <w:szCs w:val="18"/>
        </w:rPr>
        <w:t xml:space="preserve"> </w:t>
      </w:r>
      <w:r w:rsidRPr="00221494">
        <w:rPr>
          <w:color w:val="231F20"/>
          <w:spacing w:val="-2"/>
          <w:sz w:val="18"/>
          <w:szCs w:val="18"/>
        </w:rPr>
        <w:t>period.</w:t>
      </w:r>
    </w:p>
    <w:p w14:paraId="5F04781F" w14:textId="77777777" w:rsidR="0052306E" w:rsidRDefault="0052306E" w:rsidP="0052306E">
      <w:pPr>
        <w:widowControl/>
        <w:autoSpaceDE/>
        <w:autoSpaceDN/>
        <w:ind w:left="142"/>
        <w:rPr>
          <w:sz w:val="14"/>
        </w:rPr>
      </w:pPr>
      <w:r>
        <w:rPr>
          <w:b/>
          <w:sz w:val="14"/>
        </w:rPr>
        <w:br w:type="page"/>
      </w:r>
    </w:p>
    <w:p w14:paraId="2670B012" w14:textId="6BF2DC90" w:rsidR="00345EE3" w:rsidRDefault="00345EE3" w:rsidP="002A27BA">
      <w:pPr>
        <w:pStyle w:val="Heading3"/>
        <w:numPr>
          <w:ilvl w:val="1"/>
          <w:numId w:val="44"/>
        </w:numPr>
      </w:pPr>
      <w:r>
        <w:t>Related</w:t>
      </w:r>
      <w:r>
        <w:rPr>
          <w:spacing w:val="-5"/>
        </w:rPr>
        <w:t xml:space="preserve"> </w:t>
      </w:r>
      <w:r>
        <w:rPr>
          <w:spacing w:val="-2"/>
        </w:rPr>
        <w:t>Parties</w:t>
      </w:r>
    </w:p>
    <w:p w14:paraId="4C1F799B" w14:textId="77777777" w:rsidR="00345EE3" w:rsidRDefault="00345EE3" w:rsidP="0052306E">
      <w:pPr>
        <w:pStyle w:val="BodyText"/>
        <w:spacing w:before="52" w:line="242" w:lineRule="auto"/>
        <w:ind w:left="142"/>
      </w:pPr>
      <w:r>
        <w:rPr>
          <w:color w:val="231F20"/>
        </w:rPr>
        <w:t>Victoria</w:t>
      </w:r>
      <w:r>
        <w:rPr>
          <w:color w:val="231F20"/>
          <w:spacing w:val="-7"/>
        </w:rPr>
        <w:t xml:space="preserve"> </w:t>
      </w:r>
      <w:r>
        <w:rPr>
          <w:color w:val="231F20"/>
        </w:rPr>
        <w:t>Police</w:t>
      </w:r>
      <w:r>
        <w:rPr>
          <w:color w:val="231F20"/>
          <w:spacing w:val="-7"/>
        </w:rPr>
        <w:t xml:space="preserve"> </w:t>
      </w:r>
      <w:r>
        <w:rPr>
          <w:color w:val="231F20"/>
        </w:rPr>
        <w:t>is</w:t>
      </w:r>
      <w:r>
        <w:rPr>
          <w:color w:val="231F20"/>
          <w:spacing w:val="-6"/>
        </w:rPr>
        <w:t xml:space="preserve"> </w:t>
      </w:r>
      <w:r>
        <w:rPr>
          <w:color w:val="231F20"/>
        </w:rPr>
        <w:t>a</w:t>
      </w:r>
      <w:r>
        <w:rPr>
          <w:color w:val="231F20"/>
          <w:spacing w:val="-7"/>
        </w:rPr>
        <w:t xml:space="preserve"> </w:t>
      </w:r>
      <w:r>
        <w:rPr>
          <w:color w:val="231F20"/>
        </w:rPr>
        <w:t>wholly</w:t>
      </w:r>
      <w:r>
        <w:rPr>
          <w:color w:val="231F20"/>
          <w:spacing w:val="-6"/>
        </w:rPr>
        <w:t xml:space="preserve"> </w:t>
      </w:r>
      <w:r>
        <w:rPr>
          <w:color w:val="231F20"/>
        </w:rPr>
        <w:t>owned</w:t>
      </w:r>
      <w:r>
        <w:rPr>
          <w:color w:val="231F20"/>
          <w:spacing w:val="-7"/>
        </w:rPr>
        <w:t xml:space="preserve"> </w:t>
      </w:r>
      <w:r>
        <w:rPr>
          <w:color w:val="231F20"/>
        </w:rPr>
        <w:t>and</w:t>
      </w:r>
      <w:r>
        <w:rPr>
          <w:color w:val="231F20"/>
          <w:spacing w:val="-7"/>
        </w:rPr>
        <w:t xml:space="preserve"> </w:t>
      </w:r>
      <w:r>
        <w:rPr>
          <w:color w:val="231F20"/>
        </w:rPr>
        <w:t>controlled</w:t>
      </w:r>
      <w:r>
        <w:rPr>
          <w:color w:val="231F20"/>
          <w:spacing w:val="-7"/>
        </w:rPr>
        <w:t xml:space="preserve"> </w:t>
      </w:r>
      <w:r>
        <w:rPr>
          <w:color w:val="231F20"/>
        </w:rPr>
        <w:t>entity</w:t>
      </w:r>
      <w:r>
        <w:rPr>
          <w:color w:val="231F20"/>
          <w:spacing w:val="-6"/>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State</w:t>
      </w:r>
      <w:r>
        <w:rPr>
          <w:color w:val="231F20"/>
          <w:spacing w:val="-7"/>
        </w:rPr>
        <w:t xml:space="preserve"> </w:t>
      </w:r>
      <w:r>
        <w:rPr>
          <w:color w:val="231F20"/>
        </w:rPr>
        <w:t>of</w:t>
      </w:r>
      <w:r>
        <w:rPr>
          <w:color w:val="231F20"/>
          <w:spacing w:val="-6"/>
        </w:rPr>
        <w:t xml:space="preserve"> </w:t>
      </w:r>
      <w:r>
        <w:rPr>
          <w:color w:val="231F20"/>
        </w:rPr>
        <w:t>Victoria.</w:t>
      </w:r>
      <w:r>
        <w:rPr>
          <w:color w:val="231F20"/>
          <w:spacing w:val="-6"/>
        </w:rPr>
        <w:t xml:space="preserve"> </w:t>
      </w:r>
      <w:r>
        <w:rPr>
          <w:color w:val="231F20"/>
        </w:rPr>
        <w:t>Related</w:t>
      </w:r>
      <w:r>
        <w:rPr>
          <w:color w:val="231F20"/>
          <w:spacing w:val="-7"/>
        </w:rPr>
        <w:t xml:space="preserve"> </w:t>
      </w:r>
      <w:r>
        <w:rPr>
          <w:color w:val="231F20"/>
        </w:rPr>
        <w:t>parties</w:t>
      </w:r>
      <w:r>
        <w:rPr>
          <w:color w:val="231F20"/>
          <w:spacing w:val="-6"/>
        </w:rPr>
        <w:t xml:space="preserve"> </w:t>
      </w:r>
      <w:r>
        <w:rPr>
          <w:color w:val="231F20"/>
        </w:rPr>
        <w:t>of Victoria Police include:</w:t>
      </w:r>
    </w:p>
    <w:p w14:paraId="6E890BB1" w14:textId="77777777" w:rsidR="00345EE3" w:rsidRDefault="00345EE3" w:rsidP="0052306E">
      <w:pPr>
        <w:pStyle w:val="ListParagraph"/>
        <w:numPr>
          <w:ilvl w:val="0"/>
          <w:numId w:val="6"/>
        </w:numPr>
        <w:tabs>
          <w:tab w:val="left" w:pos="393"/>
          <w:tab w:val="left" w:pos="394"/>
        </w:tabs>
        <w:spacing w:before="31" w:line="242" w:lineRule="auto"/>
        <w:ind w:left="142" w:right="206" w:firstLine="0"/>
        <w:rPr>
          <w:sz w:val="24"/>
        </w:rPr>
      </w:pPr>
      <w:r>
        <w:rPr>
          <w:color w:val="231F20"/>
          <w:sz w:val="24"/>
        </w:rPr>
        <w:t xml:space="preserve">all key management personnel and their close family members and personal business </w:t>
      </w:r>
      <w:r>
        <w:rPr>
          <w:color w:val="231F20"/>
          <w:spacing w:val="-2"/>
          <w:sz w:val="24"/>
        </w:rPr>
        <w:t>interests</w:t>
      </w:r>
      <w:r>
        <w:rPr>
          <w:color w:val="231F20"/>
          <w:spacing w:val="-15"/>
          <w:sz w:val="24"/>
        </w:rPr>
        <w:t xml:space="preserve"> </w:t>
      </w:r>
      <w:r>
        <w:rPr>
          <w:color w:val="231F20"/>
          <w:spacing w:val="-2"/>
          <w:sz w:val="24"/>
        </w:rPr>
        <w:t>(controlled</w:t>
      </w:r>
      <w:r>
        <w:rPr>
          <w:color w:val="231F20"/>
          <w:spacing w:val="-15"/>
          <w:sz w:val="24"/>
        </w:rPr>
        <w:t xml:space="preserve"> </w:t>
      </w:r>
      <w:r>
        <w:rPr>
          <w:color w:val="231F20"/>
          <w:spacing w:val="-2"/>
          <w:sz w:val="24"/>
        </w:rPr>
        <w:t>entities,</w:t>
      </w:r>
      <w:r>
        <w:rPr>
          <w:color w:val="231F20"/>
          <w:spacing w:val="-14"/>
          <w:sz w:val="24"/>
        </w:rPr>
        <w:t xml:space="preserve"> </w:t>
      </w:r>
      <w:r>
        <w:rPr>
          <w:color w:val="231F20"/>
          <w:spacing w:val="-2"/>
          <w:sz w:val="24"/>
        </w:rPr>
        <w:t>joint</w:t>
      </w:r>
      <w:r>
        <w:rPr>
          <w:color w:val="231F20"/>
          <w:spacing w:val="-15"/>
          <w:sz w:val="24"/>
        </w:rPr>
        <w:t xml:space="preserve"> </w:t>
      </w:r>
      <w:r>
        <w:rPr>
          <w:color w:val="231F20"/>
          <w:spacing w:val="-2"/>
          <w:sz w:val="24"/>
        </w:rPr>
        <w:t>ventures</w:t>
      </w:r>
      <w:r>
        <w:rPr>
          <w:color w:val="231F20"/>
          <w:spacing w:val="-15"/>
          <w:sz w:val="24"/>
        </w:rPr>
        <w:t xml:space="preserve"> </w:t>
      </w:r>
      <w:r>
        <w:rPr>
          <w:color w:val="231F20"/>
          <w:spacing w:val="-2"/>
          <w:sz w:val="24"/>
        </w:rPr>
        <w:t>and</w:t>
      </w:r>
      <w:r>
        <w:rPr>
          <w:color w:val="231F20"/>
          <w:spacing w:val="-15"/>
          <w:sz w:val="24"/>
        </w:rPr>
        <w:t xml:space="preserve"> </w:t>
      </w:r>
      <w:r>
        <w:rPr>
          <w:color w:val="231F20"/>
          <w:spacing w:val="-2"/>
          <w:sz w:val="24"/>
        </w:rPr>
        <w:t>entities</w:t>
      </w:r>
      <w:r>
        <w:rPr>
          <w:color w:val="231F20"/>
          <w:spacing w:val="-14"/>
          <w:sz w:val="24"/>
        </w:rPr>
        <w:t xml:space="preserve"> </w:t>
      </w:r>
      <w:r>
        <w:rPr>
          <w:color w:val="231F20"/>
          <w:spacing w:val="-2"/>
          <w:sz w:val="24"/>
        </w:rPr>
        <w:t>that</w:t>
      </w:r>
      <w:r>
        <w:rPr>
          <w:color w:val="231F20"/>
          <w:spacing w:val="-15"/>
          <w:sz w:val="24"/>
        </w:rPr>
        <w:t xml:space="preserve"> </w:t>
      </w:r>
      <w:r>
        <w:rPr>
          <w:color w:val="231F20"/>
          <w:spacing w:val="-2"/>
          <w:sz w:val="24"/>
        </w:rPr>
        <w:t>they</w:t>
      </w:r>
      <w:r>
        <w:rPr>
          <w:color w:val="231F20"/>
          <w:spacing w:val="-15"/>
          <w:sz w:val="24"/>
        </w:rPr>
        <w:t xml:space="preserve"> </w:t>
      </w:r>
      <w:r>
        <w:rPr>
          <w:color w:val="231F20"/>
          <w:spacing w:val="-2"/>
          <w:sz w:val="24"/>
        </w:rPr>
        <w:t>have</w:t>
      </w:r>
      <w:r>
        <w:rPr>
          <w:color w:val="231F20"/>
          <w:spacing w:val="-14"/>
          <w:sz w:val="24"/>
        </w:rPr>
        <w:t xml:space="preserve"> </w:t>
      </w:r>
      <w:r>
        <w:rPr>
          <w:color w:val="231F20"/>
          <w:spacing w:val="-2"/>
          <w:sz w:val="24"/>
        </w:rPr>
        <w:t>significant</w:t>
      </w:r>
      <w:r>
        <w:rPr>
          <w:color w:val="231F20"/>
          <w:spacing w:val="-15"/>
          <w:sz w:val="24"/>
        </w:rPr>
        <w:t xml:space="preserve"> </w:t>
      </w:r>
      <w:r>
        <w:rPr>
          <w:color w:val="231F20"/>
          <w:spacing w:val="-2"/>
          <w:sz w:val="24"/>
        </w:rPr>
        <w:t>influence</w:t>
      </w:r>
      <w:r>
        <w:rPr>
          <w:color w:val="231F20"/>
          <w:spacing w:val="-15"/>
          <w:sz w:val="24"/>
        </w:rPr>
        <w:t xml:space="preserve"> </w:t>
      </w:r>
      <w:r>
        <w:rPr>
          <w:color w:val="231F20"/>
          <w:spacing w:val="-2"/>
          <w:sz w:val="24"/>
        </w:rPr>
        <w:t xml:space="preserve">over); </w:t>
      </w:r>
      <w:r>
        <w:rPr>
          <w:color w:val="231F20"/>
          <w:spacing w:val="-4"/>
          <w:sz w:val="24"/>
        </w:rPr>
        <w:t>and</w:t>
      </w:r>
    </w:p>
    <w:p w14:paraId="1A928415" w14:textId="77777777" w:rsidR="00345EE3" w:rsidRDefault="00345EE3" w:rsidP="0052306E">
      <w:pPr>
        <w:pStyle w:val="ListParagraph"/>
        <w:numPr>
          <w:ilvl w:val="0"/>
          <w:numId w:val="6"/>
        </w:numPr>
        <w:tabs>
          <w:tab w:val="left" w:pos="393"/>
          <w:tab w:val="left" w:pos="394"/>
        </w:tabs>
        <w:ind w:left="142" w:firstLine="0"/>
        <w:rPr>
          <w:sz w:val="24"/>
        </w:rPr>
      </w:pPr>
      <w:r>
        <w:rPr>
          <w:color w:val="231F20"/>
          <w:sz w:val="24"/>
        </w:rPr>
        <w:t>all</w:t>
      </w:r>
      <w:r>
        <w:rPr>
          <w:color w:val="231F20"/>
          <w:spacing w:val="-12"/>
          <w:sz w:val="24"/>
        </w:rPr>
        <w:t xml:space="preserve"> </w:t>
      </w:r>
      <w:r>
        <w:rPr>
          <w:color w:val="231F20"/>
          <w:sz w:val="24"/>
        </w:rPr>
        <w:t>Cabinet</w:t>
      </w:r>
      <w:r>
        <w:rPr>
          <w:color w:val="231F20"/>
          <w:spacing w:val="-9"/>
          <w:sz w:val="24"/>
        </w:rPr>
        <w:t xml:space="preserve"> </w:t>
      </w:r>
      <w:r>
        <w:rPr>
          <w:color w:val="231F20"/>
          <w:sz w:val="24"/>
        </w:rPr>
        <w:t>Ministers</w:t>
      </w:r>
      <w:r>
        <w:rPr>
          <w:color w:val="231F20"/>
          <w:spacing w:val="-9"/>
          <w:sz w:val="24"/>
        </w:rPr>
        <w:t xml:space="preserve"> </w:t>
      </w:r>
      <w:r>
        <w:rPr>
          <w:color w:val="231F20"/>
          <w:sz w:val="24"/>
        </w:rPr>
        <w:t>and</w:t>
      </w:r>
      <w:r>
        <w:rPr>
          <w:color w:val="231F20"/>
          <w:spacing w:val="-10"/>
          <w:sz w:val="24"/>
        </w:rPr>
        <w:t xml:space="preserve"> </w:t>
      </w:r>
      <w:r>
        <w:rPr>
          <w:color w:val="231F20"/>
          <w:sz w:val="24"/>
        </w:rPr>
        <w:t>their</w:t>
      </w:r>
      <w:r>
        <w:rPr>
          <w:color w:val="231F20"/>
          <w:spacing w:val="-9"/>
          <w:sz w:val="24"/>
        </w:rPr>
        <w:t xml:space="preserve"> </w:t>
      </w:r>
      <w:r>
        <w:rPr>
          <w:color w:val="231F20"/>
          <w:sz w:val="24"/>
        </w:rPr>
        <w:t>close</w:t>
      </w:r>
      <w:r>
        <w:rPr>
          <w:color w:val="231F20"/>
          <w:spacing w:val="-10"/>
          <w:sz w:val="24"/>
        </w:rPr>
        <w:t xml:space="preserve"> </w:t>
      </w:r>
      <w:r>
        <w:rPr>
          <w:color w:val="231F20"/>
          <w:sz w:val="24"/>
        </w:rPr>
        <w:t>family</w:t>
      </w:r>
      <w:r>
        <w:rPr>
          <w:color w:val="231F20"/>
          <w:spacing w:val="-9"/>
          <w:sz w:val="24"/>
        </w:rPr>
        <w:t xml:space="preserve"> </w:t>
      </w:r>
      <w:r>
        <w:rPr>
          <w:color w:val="231F20"/>
          <w:sz w:val="24"/>
        </w:rPr>
        <w:t>members;</w:t>
      </w:r>
      <w:r>
        <w:rPr>
          <w:color w:val="231F20"/>
          <w:spacing w:val="-8"/>
          <w:sz w:val="24"/>
        </w:rPr>
        <w:t xml:space="preserve"> </w:t>
      </w:r>
      <w:r>
        <w:rPr>
          <w:color w:val="231F20"/>
          <w:spacing w:val="-5"/>
          <w:sz w:val="24"/>
        </w:rPr>
        <w:t>and</w:t>
      </w:r>
    </w:p>
    <w:p w14:paraId="01E1D9FF" w14:textId="77777777" w:rsidR="00345EE3" w:rsidRDefault="00345EE3" w:rsidP="0052306E">
      <w:pPr>
        <w:pStyle w:val="ListParagraph"/>
        <w:numPr>
          <w:ilvl w:val="0"/>
          <w:numId w:val="6"/>
        </w:numPr>
        <w:tabs>
          <w:tab w:val="left" w:pos="393"/>
          <w:tab w:val="left" w:pos="394"/>
        </w:tabs>
        <w:spacing w:line="242" w:lineRule="auto"/>
        <w:ind w:left="142" w:right="362" w:firstLine="0"/>
        <w:rPr>
          <w:sz w:val="24"/>
        </w:rPr>
      </w:pPr>
      <w:r>
        <w:rPr>
          <w:color w:val="231F20"/>
          <w:sz w:val="24"/>
        </w:rPr>
        <w:t>all</w:t>
      </w:r>
      <w:r>
        <w:rPr>
          <w:color w:val="231F20"/>
          <w:spacing w:val="-9"/>
          <w:sz w:val="24"/>
        </w:rPr>
        <w:t xml:space="preserve"> </w:t>
      </w:r>
      <w:r>
        <w:rPr>
          <w:color w:val="231F20"/>
          <w:sz w:val="24"/>
        </w:rPr>
        <w:t>departments</w:t>
      </w:r>
      <w:r>
        <w:rPr>
          <w:color w:val="231F20"/>
          <w:spacing w:val="-9"/>
          <w:sz w:val="24"/>
        </w:rPr>
        <w:t xml:space="preserve"> </w:t>
      </w:r>
      <w:r>
        <w:rPr>
          <w:color w:val="231F20"/>
          <w:sz w:val="24"/>
        </w:rPr>
        <w:t>and</w:t>
      </w:r>
      <w:r>
        <w:rPr>
          <w:color w:val="231F20"/>
          <w:spacing w:val="-9"/>
          <w:sz w:val="24"/>
        </w:rPr>
        <w:t xml:space="preserve"> </w:t>
      </w:r>
      <w:r>
        <w:rPr>
          <w:color w:val="231F20"/>
          <w:sz w:val="24"/>
        </w:rPr>
        <w:t>public</w:t>
      </w:r>
      <w:r>
        <w:rPr>
          <w:color w:val="231F20"/>
          <w:spacing w:val="-9"/>
          <w:sz w:val="24"/>
        </w:rPr>
        <w:t xml:space="preserve"> </w:t>
      </w:r>
      <w:r>
        <w:rPr>
          <w:color w:val="231F20"/>
          <w:sz w:val="24"/>
        </w:rPr>
        <w:t>sector</w:t>
      </w:r>
      <w:r>
        <w:rPr>
          <w:color w:val="231F20"/>
          <w:spacing w:val="-9"/>
          <w:sz w:val="24"/>
        </w:rPr>
        <w:t xml:space="preserve"> </w:t>
      </w:r>
      <w:r>
        <w:rPr>
          <w:color w:val="231F20"/>
          <w:sz w:val="24"/>
        </w:rPr>
        <w:t>entities</w:t>
      </w:r>
      <w:r>
        <w:rPr>
          <w:color w:val="231F20"/>
          <w:spacing w:val="-9"/>
          <w:sz w:val="24"/>
        </w:rPr>
        <w:t xml:space="preserve"> </w:t>
      </w:r>
      <w:r>
        <w:rPr>
          <w:color w:val="231F20"/>
          <w:sz w:val="24"/>
        </w:rPr>
        <w:t>that</w:t>
      </w:r>
      <w:r>
        <w:rPr>
          <w:color w:val="231F20"/>
          <w:spacing w:val="-9"/>
          <w:sz w:val="24"/>
        </w:rPr>
        <w:t xml:space="preserve"> </w:t>
      </w:r>
      <w:r>
        <w:rPr>
          <w:color w:val="231F20"/>
          <w:sz w:val="24"/>
        </w:rPr>
        <w:t>are</w:t>
      </w:r>
      <w:r>
        <w:rPr>
          <w:color w:val="231F20"/>
          <w:spacing w:val="-9"/>
          <w:sz w:val="24"/>
        </w:rPr>
        <w:t xml:space="preserve"> </w:t>
      </w:r>
      <w:r>
        <w:rPr>
          <w:color w:val="231F20"/>
          <w:sz w:val="24"/>
        </w:rPr>
        <w:t>controlled</w:t>
      </w:r>
      <w:r>
        <w:rPr>
          <w:color w:val="231F20"/>
          <w:spacing w:val="-9"/>
          <w:sz w:val="24"/>
        </w:rPr>
        <w:t xml:space="preserve"> </w:t>
      </w:r>
      <w:r>
        <w:rPr>
          <w:color w:val="231F20"/>
          <w:sz w:val="24"/>
        </w:rPr>
        <w:t>and</w:t>
      </w:r>
      <w:r>
        <w:rPr>
          <w:color w:val="231F20"/>
          <w:spacing w:val="-9"/>
          <w:sz w:val="24"/>
        </w:rPr>
        <w:t xml:space="preserve"> </w:t>
      </w:r>
      <w:r>
        <w:rPr>
          <w:color w:val="231F20"/>
          <w:sz w:val="24"/>
        </w:rPr>
        <w:t>consolidated</w:t>
      </w:r>
      <w:r>
        <w:rPr>
          <w:color w:val="231F20"/>
          <w:spacing w:val="-9"/>
          <w:sz w:val="24"/>
        </w:rPr>
        <w:t xml:space="preserve"> </w:t>
      </w:r>
      <w:r>
        <w:rPr>
          <w:color w:val="231F20"/>
          <w:sz w:val="24"/>
        </w:rPr>
        <w:t>into</w:t>
      </w:r>
      <w:r>
        <w:rPr>
          <w:color w:val="231F20"/>
          <w:spacing w:val="-9"/>
          <w:sz w:val="24"/>
        </w:rPr>
        <w:t xml:space="preserve"> </w:t>
      </w:r>
      <w:r>
        <w:rPr>
          <w:color w:val="231F20"/>
          <w:sz w:val="24"/>
        </w:rPr>
        <w:t>the</w:t>
      </w:r>
      <w:r>
        <w:rPr>
          <w:color w:val="231F20"/>
          <w:spacing w:val="-9"/>
          <w:sz w:val="24"/>
        </w:rPr>
        <w:t xml:space="preserve"> </w:t>
      </w:r>
      <w:r>
        <w:rPr>
          <w:color w:val="231F20"/>
          <w:sz w:val="24"/>
        </w:rPr>
        <w:t>whole of state consolidated financial statements.</w:t>
      </w:r>
    </w:p>
    <w:p w14:paraId="5074C03C" w14:textId="77777777" w:rsidR="00345EE3" w:rsidRDefault="00345EE3" w:rsidP="0052306E">
      <w:pPr>
        <w:pStyle w:val="Heading5"/>
        <w:spacing w:before="173"/>
        <w:ind w:left="142"/>
      </w:pPr>
      <w:r>
        <w:rPr>
          <w:color w:val="58595B"/>
        </w:rPr>
        <w:t xml:space="preserve">Significant transactions with government-related </w:t>
      </w:r>
      <w:r>
        <w:rPr>
          <w:color w:val="58595B"/>
          <w:spacing w:val="-2"/>
        </w:rPr>
        <w:t>entities</w:t>
      </w:r>
    </w:p>
    <w:p w14:paraId="29FFAB45" w14:textId="77777777" w:rsidR="00345EE3" w:rsidRDefault="00345EE3" w:rsidP="0052306E">
      <w:pPr>
        <w:pStyle w:val="BodyText"/>
        <w:spacing w:before="4" w:line="242" w:lineRule="auto"/>
        <w:ind w:left="142" w:right="147"/>
      </w:pPr>
      <w:r>
        <w:rPr>
          <w:color w:val="231F20"/>
        </w:rPr>
        <w:t>Victoria</w:t>
      </w:r>
      <w:r>
        <w:rPr>
          <w:color w:val="231F20"/>
          <w:spacing w:val="-10"/>
        </w:rPr>
        <w:t xml:space="preserve"> </w:t>
      </w:r>
      <w:r>
        <w:rPr>
          <w:color w:val="231F20"/>
        </w:rPr>
        <w:t>Police</w:t>
      </w:r>
      <w:r>
        <w:rPr>
          <w:color w:val="231F20"/>
          <w:spacing w:val="-10"/>
        </w:rPr>
        <w:t xml:space="preserve"> </w:t>
      </w:r>
      <w:r>
        <w:rPr>
          <w:color w:val="231F20"/>
        </w:rPr>
        <w:t>received</w:t>
      </w:r>
      <w:r>
        <w:rPr>
          <w:color w:val="231F20"/>
          <w:spacing w:val="-10"/>
        </w:rPr>
        <w:t xml:space="preserve"> </w:t>
      </w:r>
      <w:r>
        <w:rPr>
          <w:color w:val="231F20"/>
        </w:rPr>
        <w:t>funding</w:t>
      </w:r>
      <w:r>
        <w:rPr>
          <w:color w:val="231F20"/>
          <w:spacing w:val="-10"/>
        </w:rPr>
        <w:t xml:space="preserve"> </w:t>
      </w:r>
      <w:r>
        <w:rPr>
          <w:color w:val="231F20"/>
        </w:rPr>
        <w:t>and</w:t>
      </w:r>
      <w:r>
        <w:rPr>
          <w:color w:val="231F20"/>
          <w:spacing w:val="-10"/>
        </w:rPr>
        <w:t xml:space="preserve"> </w:t>
      </w:r>
      <w:r>
        <w:rPr>
          <w:color w:val="231F20"/>
        </w:rPr>
        <w:t>made</w:t>
      </w:r>
      <w:r>
        <w:rPr>
          <w:color w:val="231F20"/>
          <w:spacing w:val="-10"/>
        </w:rPr>
        <w:t xml:space="preserve"> </w:t>
      </w:r>
      <w:r>
        <w:rPr>
          <w:color w:val="231F20"/>
        </w:rPr>
        <w:t>payments</w:t>
      </w:r>
      <w:r>
        <w:rPr>
          <w:color w:val="231F20"/>
          <w:spacing w:val="-9"/>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Consolidated</w:t>
      </w:r>
      <w:r>
        <w:rPr>
          <w:color w:val="231F20"/>
          <w:spacing w:val="-10"/>
        </w:rPr>
        <w:t xml:space="preserve"> </w:t>
      </w:r>
      <w:r>
        <w:rPr>
          <w:color w:val="231F20"/>
        </w:rPr>
        <w:t>Fund</w:t>
      </w:r>
      <w:r>
        <w:rPr>
          <w:color w:val="231F20"/>
          <w:spacing w:val="-10"/>
        </w:rPr>
        <w:t xml:space="preserve"> </w:t>
      </w:r>
      <w:r>
        <w:rPr>
          <w:color w:val="231F20"/>
        </w:rPr>
        <w:t>of</w:t>
      </w:r>
      <w:r>
        <w:rPr>
          <w:color w:val="231F20"/>
          <w:spacing w:val="-9"/>
        </w:rPr>
        <w:t xml:space="preserve"> </w:t>
      </w:r>
      <w:r>
        <w:rPr>
          <w:color w:val="231F20"/>
        </w:rPr>
        <w:t>$4.08</w:t>
      </w:r>
      <w:r>
        <w:rPr>
          <w:color w:val="231F20"/>
          <w:spacing w:val="-10"/>
        </w:rPr>
        <w:t xml:space="preserve"> </w:t>
      </w:r>
      <w:r>
        <w:rPr>
          <w:color w:val="231F20"/>
        </w:rPr>
        <w:t>billion and $43.8 million respectively (2021: $4.09 billion and $59.33 million respectively).</w:t>
      </w:r>
    </w:p>
    <w:p w14:paraId="505A4F01" w14:textId="77777777" w:rsidR="00345EE3" w:rsidRDefault="00345EE3" w:rsidP="0052306E">
      <w:pPr>
        <w:pStyle w:val="BodyText"/>
        <w:spacing w:before="116" w:line="242" w:lineRule="auto"/>
        <w:ind w:left="142"/>
        <w:rPr>
          <w:color w:val="231F20"/>
        </w:rPr>
      </w:pPr>
      <w:r>
        <w:rPr>
          <w:color w:val="231F20"/>
        </w:rPr>
        <w:t>During the year, Victoria Police incurred the following material government related entity transactions</w:t>
      </w:r>
      <w:r>
        <w:rPr>
          <w:color w:val="231F20"/>
          <w:spacing w:val="-9"/>
        </w:rPr>
        <w:t xml:space="preserve"> </w:t>
      </w:r>
      <w:r>
        <w:rPr>
          <w:color w:val="231F20"/>
        </w:rPr>
        <w:t>and</w:t>
      </w:r>
      <w:r>
        <w:rPr>
          <w:color w:val="231F20"/>
          <w:spacing w:val="-9"/>
        </w:rPr>
        <w:t xml:space="preserve"> </w:t>
      </w:r>
      <w:r>
        <w:rPr>
          <w:color w:val="231F20"/>
        </w:rPr>
        <w:t>balances</w:t>
      </w:r>
      <w:r>
        <w:rPr>
          <w:color w:val="231F20"/>
          <w:spacing w:val="-9"/>
        </w:rPr>
        <w:t xml:space="preserve"> </w:t>
      </w:r>
      <w:r>
        <w:rPr>
          <w:color w:val="231F20"/>
        </w:rPr>
        <w:t>at</w:t>
      </w:r>
      <w:r>
        <w:rPr>
          <w:color w:val="231F20"/>
          <w:spacing w:val="-9"/>
        </w:rPr>
        <w:t xml:space="preserve"> </w:t>
      </w:r>
      <w:r>
        <w:rPr>
          <w:color w:val="231F20"/>
        </w:rPr>
        <w:t>year-end</w:t>
      </w:r>
      <w:r>
        <w:rPr>
          <w:color w:val="231F20"/>
          <w:spacing w:val="-9"/>
        </w:rPr>
        <w:t xml:space="preserve"> </w:t>
      </w:r>
      <w:r>
        <w:rPr>
          <w:color w:val="231F20"/>
        </w:rPr>
        <w:t>30</w:t>
      </w:r>
      <w:r>
        <w:rPr>
          <w:color w:val="231F20"/>
          <w:spacing w:val="-9"/>
        </w:rPr>
        <w:t xml:space="preserve"> </w:t>
      </w:r>
      <w:r>
        <w:rPr>
          <w:color w:val="231F20"/>
        </w:rPr>
        <w:t>June</w:t>
      </w:r>
      <w:r>
        <w:rPr>
          <w:color w:val="231F20"/>
          <w:spacing w:val="-9"/>
        </w:rPr>
        <w:t xml:space="preserve"> </w:t>
      </w:r>
      <w:r>
        <w:rPr>
          <w:color w:val="231F20"/>
        </w:rPr>
        <w:t>2022.</w:t>
      </w:r>
      <w:r>
        <w:rPr>
          <w:color w:val="231F20"/>
          <w:spacing w:val="-9"/>
        </w:rPr>
        <w:t xml:space="preserve"> </w:t>
      </w:r>
      <w:r>
        <w:rPr>
          <w:color w:val="231F20"/>
        </w:rPr>
        <w:t>All</w:t>
      </w:r>
      <w:r>
        <w:rPr>
          <w:color w:val="231F20"/>
          <w:spacing w:val="-9"/>
        </w:rPr>
        <w:t xml:space="preserve"> </w:t>
      </w:r>
      <w:r>
        <w:rPr>
          <w:color w:val="231F20"/>
        </w:rPr>
        <w:t>related</w:t>
      </w:r>
      <w:r>
        <w:rPr>
          <w:color w:val="231F20"/>
          <w:spacing w:val="-9"/>
        </w:rPr>
        <w:t xml:space="preserve"> </w:t>
      </w:r>
      <w:r>
        <w:rPr>
          <w:color w:val="231F20"/>
        </w:rPr>
        <w:t>party</w:t>
      </w:r>
      <w:r>
        <w:rPr>
          <w:color w:val="231F20"/>
          <w:spacing w:val="-9"/>
        </w:rPr>
        <w:t xml:space="preserve"> </w:t>
      </w:r>
      <w:r>
        <w:rPr>
          <w:color w:val="231F20"/>
        </w:rPr>
        <w:t>transactions</w:t>
      </w:r>
      <w:r>
        <w:rPr>
          <w:color w:val="231F20"/>
          <w:spacing w:val="-9"/>
        </w:rPr>
        <w:t xml:space="preserve"> </w:t>
      </w:r>
      <w:r>
        <w:rPr>
          <w:color w:val="231F20"/>
        </w:rPr>
        <w:t>have</w:t>
      </w:r>
      <w:r>
        <w:rPr>
          <w:color w:val="231F20"/>
          <w:spacing w:val="-9"/>
        </w:rPr>
        <w:t xml:space="preserve"> </w:t>
      </w:r>
      <w:r>
        <w:rPr>
          <w:color w:val="231F20"/>
        </w:rPr>
        <w:t>been entered into on an arm’s-length basis.</w:t>
      </w:r>
    </w:p>
    <w:tbl>
      <w:tblPr>
        <w:tblW w:w="10205" w:type="dxa"/>
        <w:tblInd w:w="156" w:type="dxa"/>
        <w:tblLayout w:type="fixed"/>
        <w:tblCellMar>
          <w:left w:w="0" w:type="dxa"/>
          <w:right w:w="0" w:type="dxa"/>
        </w:tblCellMar>
        <w:tblLook w:val="0000" w:firstRow="0" w:lastRow="0" w:firstColumn="0" w:lastColumn="0" w:noHBand="0" w:noVBand="0"/>
      </w:tblPr>
      <w:tblGrid>
        <w:gridCol w:w="3912"/>
        <w:gridCol w:w="1077"/>
        <w:gridCol w:w="1531"/>
        <w:gridCol w:w="1134"/>
        <w:gridCol w:w="1417"/>
        <w:gridCol w:w="1134"/>
      </w:tblGrid>
      <w:tr w:rsidR="00345EE3" w:rsidRPr="00221494" w14:paraId="0B0248B4" w14:textId="77777777" w:rsidTr="0052306E">
        <w:trPr>
          <w:trHeight w:val="60"/>
          <w:tblHeader/>
        </w:trPr>
        <w:tc>
          <w:tcPr>
            <w:tcW w:w="7654" w:type="dxa"/>
            <w:gridSpan w:val="4"/>
            <w:tcBorders>
              <w:top w:val="single" w:sz="6" w:space="0" w:color="000000"/>
              <w:left w:val="single" w:sz="6" w:space="0" w:color="FFFFFF"/>
              <w:bottom w:val="single" w:sz="2" w:space="0" w:color="FFFFFF"/>
              <w:right w:val="single" w:sz="2" w:space="0" w:color="FFFFFF"/>
            </w:tcBorders>
            <w:shd w:val="solid" w:color="004996" w:fill="auto"/>
            <w:tcMar>
              <w:top w:w="28" w:type="dxa"/>
              <w:left w:w="14" w:type="dxa"/>
              <w:bottom w:w="28" w:type="dxa"/>
              <w:right w:w="14" w:type="dxa"/>
            </w:tcMar>
          </w:tcPr>
          <w:p w14:paraId="3395CA82"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b/>
                <w:bCs/>
                <w:color w:val="FFFFFF"/>
                <w:sz w:val="24"/>
                <w:szCs w:val="24"/>
                <w:lang w:val="en-GB"/>
              </w:rPr>
            </w:pPr>
            <w:r w:rsidRPr="00221494">
              <w:rPr>
                <w:rFonts w:eastAsiaTheme="minorHAnsi"/>
                <w:b/>
                <w:bCs/>
                <w:color w:val="FFFFFF"/>
                <w:sz w:val="24"/>
                <w:szCs w:val="24"/>
                <w:lang w:val="en-GB"/>
              </w:rPr>
              <w:t>2022</w:t>
            </w:r>
          </w:p>
        </w:tc>
        <w:tc>
          <w:tcPr>
            <w:tcW w:w="2551" w:type="dxa"/>
            <w:gridSpan w:val="2"/>
            <w:tcBorders>
              <w:top w:val="single" w:sz="6" w:space="0" w:color="004996"/>
              <w:left w:val="single" w:sz="6" w:space="0" w:color="FFFFFF"/>
              <w:bottom w:val="single" w:sz="2" w:space="0" w:color="FFFFFF"/>
              <w:right w:val="single" w:sz="6" w:space="0" w:color="auto"/>
            </w:tcBorders>
            <w:shd w:val="solid" w:color="004996" w:fill="auto"/>
            <w:tcMar>
              <w:top w:w="28" w:type="dxa"/>
              <w:left w:w="14" w:type="dxa"/>
              <w:bottom w:w="28" w:type="dxa"/>
              <w:right w:w="14" w:type="dxa"/>
            </w:tcMar>
          </w:tcPr>
          <w:p w14:paraId="14869B58"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 thousand)</w:t>
            </w:r>
          </w:p>
        </w:tc>
      </w:tr>
      <w:tr w:rsidR="00345EE3" w:rsidRPr="00221494" w14:paraId="421CD38A" w14:textId="77777777" w:rsidTr="0052306E">
        <w:trPr>
          <w:trHeight w:val="60"/>
          <w:tblHeader/>
        </w:trPr>
        <w:tc>
          <w:tcPr>
            <w:tcW w:w="3912" w:type="dxa"/>
            <w:tcBorders>
              <w:top w:val="single" w:sz="2" w:space="0" w:color="FFFFFF"/>
              <w:left w:val="single" w:sz="6" w:space="0" w:color="000000"/>
              <w:bottom w:val="single" w:sz="2" w:space="0" w:color="FFFFFF"/>
              <w:right w:val="single" w:sz="2" w:space="0" w:color="FFFFFF"/>
            </w:tcBorders>
            <w:shd w:val="solid" w:color="004996" w:fill="auto"/>
            <w:tcMar>
              <w:top w:w="28" w:type="dxa"/>
              <w:left w:w="14" w:type="dxa"/>
              <w:bottom w:w="28" w:type="dxa"/>
              <w:right w:w="14" w:type="dxa"/>
            </w:tcMar>
          </w:tcPr>
          <w:p w14:paraId="71ABCAAC"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b/>
                <w:bCs/>
                <w:color w:val="FFFFFF"/>
                <w:sz w:val="24"/>
                <w:szCs w:val="24"/>
                <w:lang w:val="en-GB"/>
              </w:rPr>
            </w:pPr>
            <w:r w:rsidRPr="00221494">
              <w:rPr>
                <w:rFonts w:eastAsiaTheme="minorHAnsi"/>
                <w:b/>
                <w:bCs/>
                <w:color w:val="FFFFFF"/>
                <w:sz w:val="24"/>
                <w:szCs w:val="24"/>
                <w:lang w:val="en-GB"/>
              </w:rPr>
              <w:t>Receipts/Receivables</w:t>
            </w:r>
          </w:p>
        </w:tc>
        <w:tc>
          <w:tcPr>
            <w:tcW w:w="1077" w:type="dxa"/>
            <w:vMerge w:val="restart"/>
            <w:tcBorders>
              <w:top w:val="single" w:sz="2" w:space="0" w:color="FFFFFF"/>
              <w:left w:val="single" w:sz="2" w:space="0" w:color="FFFFFF"/>
              <w:bottom w:val="single" w:sz="6" w:space="0" w:color="9D9C9C"/>
              <w:right w:val="single" w:sz="2" w:space="0" w:color="FFFFFF"/>
            </w:tcBorders>
            <w:shd w:val="solid" w:color="004996" w:fill="auto"/>
            <w:tcMar>
              <w:top w:w="28" w:type="dxa"/>
              <w:left w:w="14" w:type="dxa"/>
              <w:bottom w:w="28" w:type="dxa"/>
              <w:right w:w="14" w:type="dxa"/>
            </w:tcMar>
          </w:tcPr>
          <w:p w14:paraId="668B2BE8"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b/>
                <w:bCs/>
                <w:color w:val="FFFFFF"/>
                <w:sz w:val="24"/>
                <w:szCs w:val="24"/>
                <w:lang w:val="en-GB"/>
              </w:rPr>
            </w:pPr>
            <w:r w:rsidRPr="00221494">
              <w:rPr>
                <w:rFonts w:eastAsiaTheme="minorHAnsi"/>
                <w:b/>
                <w:bCs/>
                <w:color w:val="FFFFFF"/>
                <w:sz w:val="24"/>
                <w:szCs w:val="24"/>
                <w:lang w:val="en-GB"/>
              </w:rPr>
              <w:t>Portfolio Dept</w:t>
            </w:r>
          </w:p>
        </w:tc>
        <w:tc>
          <w:tcPr>
            <w:tcW w:w="2665" w:type="dxa"/>
            <w:gridSpan w:val="2"/>
            <w:tcBorders>
              <w:top w:val="single" w:sz="2" w:space="0" w:color="FFFFFF"/>
              <w:left w:val="single" w:sz="2" w:space="0" w:color="FFFFFF"/>
              <w:bottom w:val="single" w:sz="2" w:space="0" w:color="FFFFFF"/>
              <w:right w:val="single" w:sz="2" w:space="0" w:color="FFFFFF"/>
            </w:tcBorders>
            <w:shd w:val="solid" w:color="004996" w:fill="auto"/>
            <w:tcMar>
              <w:top w:w="28" w:type="dxa"/>
              <w:left w:w="14" w:type="dxa"/>
              <w:bottom w:w="28" w:type="dxa"/>
              <w:right w:w="14" w:type="dxa"/>
            </w:tcMar>
          </w:tcPr>
          <w:p w14:paraId="04205434" w14:textId="77777777" w:rsidR="00345EE3" w:rsidRPr="00221494" w:rsidRDefault="00345EE3" w:rsidP="0052306E">
            <w:pPr>
              <w:widowControl/>
              <w:tabs>
                <w:tab w:val="left" w:pos="240"/>
              </w:tabs>
              <w:suppressAutoHyphens/>
              <w:adjustRightInd w:val="0"/>
              <w:spacing w:after="57" w:line="280" w:lineRule="atLeast"/>
              <w:ind w:left="142"/>
              <w:jc w:val="center"/>
              <w:textAlignment w:val="center"/>
              <w:rPr>
                <w:rFonts w:eastAsiaTheme="minorHAnsi"/>
                <w:b/>
                <w:bCs/>
                <w:color w:val="FFFFFF"/>
                <w:sz w:val="24"/>
                <w:szCs w:val="24"/>
                <w:lang w:val="en-GB"/>
              </w:rPr>
            </w:pPr>
            <w:r w:rsidRPr="00221494">
              <w:rPr>
                <w:rFonts w:eastAsiaTheme="minorHAnsi"/>
                <w:b/>
                <w:bCs/>
                <w:color w:val="FFFFFF"/>
                <w:sz w:val="24"/>
                <w:szCs w:val="24"/>
                <w:lang w:val="en-GB"/>
              </w:rPr>
              <w:t>Receipts</w:t>
            </w:r>
          </w:p>
        </w:tc>
        <w:tc>
          <w:tcPr>
            <w:tcW w:w="2551" w:type="dxa"/>
            <w:gridSpan w:val="2"/>
            <w:tcBorders>
              <w:top w:val="single" w:sz="2" w:space="0" w:color="FFFFFF"/>
              <w:left w:val="single" w:sz="2" w:space="0" w:color="FFFFFF"/>
              <w:bottom w:val="single" w:sz="2" w:space="0" w:color="FFFFFF"/>
              <w:right w:val="single" w:sz="6" w:space="0" w:color="auto"/>
            </w:tcBorders>
            <w:shd w:val="solid" w:color="004996" w:fill="auto"/>
            <w:tcMar>
              <w:top w:w="28" w:type="dxa"/>
              <w:left w:w="14" w:type="dxa"/>
              <w:bottom w:w="28" w:type="dxa"/>
              <w:right w:w="14" w:type="dxa"/>
            </w:tcMar>
          </w:tcPr>
          <w:p w14:paraId="674AF819" w14:textId="77777777" w:rsidR="00345EE3" w:rsidRPr="00221494" w:rsidRDefault="00345EE3" w:rsidP="0052306E">
            <w:pPr>
              <w:widowControl/>
              <w:tabs>
                <w:tab w:val="left" w:pos="240"/>
              </w:tabs>
              <w:suppressAutoHyphens/>
              <w:adjustRightInd w:val="0"/>
              <w:spacing w:after="57" w:line="280" w:lineRule="atLeast"/>
              <w:ind w:left="142"/>
              <w:jc w:val="center"/>
              <w:textAlignment w:val="center"/>
              <w:rPr>
                <w:rFonts w:eastAsiaTheme="minorHAnsi"/>
                <w:b/>
                <w:bCs/>
                <w:color w:val="FFFFFF"/>
                <w:sz w:val="24"/>
                <w:szCs w:val="24"/>
                <w:lang w:val="en-GB"/>
              </w:rPr>
            </w:pPr>
            <w:r w:rsidRPr="00221494">
              <w:rPr>
                <w:rFonts w:eastAsiaTheme="minorHAnsi"/>
                <w:b/>
                <w:bCs/>
                <w:color w:val="FFFFFF"/>
                <w:sz w:val="24"/>
                <w:szCs w:val="24"/>
                <w:lang w:val="en-GB"/>
              </w:rPr>
              <w:t>Balance Outstanding</w:t>
            </w:r>
          </w:p>
        </w:tc>
      </w:tr>
      <w:tr w:rsidR="00345EE3" w:rsidRPr="00221494" w14:paraId="592D9750" w14:textId="77777777" w:rsidTr="0052306E">
        <w:trPr>
          <w:trHeight w:val="60"/>
          <w:tblHeader/>
        </w:trPr>
        <w:tc>
          <w:tcPr>
            <w:tcW w:w="3912" w:type="dxa"/>
            <w:tcBorders>
              <w:top w:val="single" w:sz="2" w:space="0" w:color="FFFFFF"/>
              <w:left w:val="single" w:sz="6" w:space="0" w:color="000000"/>
              <w:bottom w:val="single" w:sz="6" w:space="0" w:color="9D9C9C"/>
              <w:right w:val="single" w:sz="2" w:space="0" w:color="FFFFFF"/>
            </w:tcBorders>
            <w:shd w:val="solid" w:color="004996" w:fill="auto"/>
            <w:tcMar>
              <w:top w:w="28" w:type="dxa"/>
              <w:left w:w="14" w:type="dxa"/>
              <w:bottom w:w="28" w:type="dxa"/>
              <w:right w:w="14" w:type="dxa"/>
            </w:tcMar>
          </w:tcPr>
          <w:p w14:paraId="66EC23A8"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b/>
                <w:bCs/>
                <w:color w:val="FFFFFF"/>
                <w:sz w:val="24"/>
                <w:szCs w:val="24"/>
                <w:lang w:val="en-GB"/>
              </w:rPr>
            </w:pPr>
            <w:r w:rsidRPr="00221494">
              <w:rPr>
                <w:rFonts w:eastAsiaTheme="minorHAnsi"/>
                <w:b/>
                <w:bCs/>
                <w:color w:val="FFFFFF"/>
                <w:sz w:val="24"/>
                <w:szCs w:val="24"/>
                <w:lang w:val="en-GB"/>
              </w:rPr>
              <w:t>Entity</w:t>
            </w:r>
          </w:p>
        </w:tc>
        <w:tc>
          <w:tcPr>
            <w:tcW w:w="1077" w:type="dxa"/>
            <w:vMerge/>
            <w:tcBorders>
              <w:top w:val="single" w:sz="6" w:space="0" w:color="9D9C9C"/>
              <w:left w:val="single" w:sz="2" w:space="0" w:color="FFFFFF"/>
              <w:bottom w:val="single" w:sz="6" w:space="0" w:color="9D9C9C"/>
              <w:right w:val="single" w:sz="2" w:space="0" w:color="FFFFFF"/>
            </w:tcBorders>
            <w:tcMar>
              <w:top w:w="28" w:type="dxa"/>
              <w:bottom w:w="28" w:type="dxa"/>
            </w:tcMar>
          </w:tcPr>
          <w:p w14:paraId="0C20CBA9" w14:textId="77777777" w:rsidR="00345EE3" w:rsidRPr="00221494" w:rsidRDefault="00345EE3" w:rsidP="0052306E">
            <w:pPr>
              <w:widowControl/>
              <w:adjustRightInd w:val="0"/>
              <w:ind w:left="142"/>
              <w:rPr>
                <w:rFonts w:eastAsiaTheme="minorHAnsi"/>
                <w:sz w:val="24"/>
                <w:szCs w:val="24"/>
                <w:lang w:val="en-GB"/>
              </w:rPr>
            </w:pPr>
          </w:p>
        </w:tc>
        <w:tc>
          <w:tcPr>
            <w:tcW w:w="1531" w:type="dxa"/>
            <w:tcBorders>
              <w:top w:val="single" w:sz="2" w:space="0" w:color="FFFFFF"/>
              <w:left w:val="single" w:sz="2" w:space="0" w:color="FFFFFF"/>
              <w:bottom w:val="single" w:sz="6" w:space="0" w:color="9D9C9C"/>
              <w:right w:val="single" w:sz="2" w:space="0" w:color="FFFFFF"/>
            </w:tcBorders>
            <w:shd w:val="solid" w:color="004996" w:fill="auto"/>
            <w:tcMar>
              <w:top w:w="28" w:type="dxa"/>
              <w:left w:w="14" w:type="dxa"/>
              <w:bottom w:w="28" w:type="dxa"/>
              <w:right w:w="14" w:type="dxa"/>
            </w:tcMar>
          </w:tcPr>
          <w:p w14:paraId="6131CDE3"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Nature</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28" w:type="dxa"/>
              <w:left w:w="14" w:type="dxa"/>
              <w:bottom w:w="28" w:type="dxa"/>
              <w:right w:w="14" w:type="dxa"/>
            </w:tcMar>
          </w:tcPr>
          <w:p w14:paraId="4EB45FD8"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Amount</w:t>
            </w:r>
          </w:p>
        </w:tc>
        <w:tc>
          <w:tcPr>
            <w:tcW w:w="1417" w:type="dxa"/>
            <w:tcBorders>
              <w:top w:val="single" w:sz="2" w:space="0" w:color="FFFFFF"/>
              <w:left w:val="single" w:sz="2" w:space="0" w:color="FFFFFF"/>
              <w:bottom w:val="single" w:sz="6" w:space="0" w:color="9D9C9C"/>
              <w:right w:val="single" w:sz="2" w:space="0" w:color="FFFFFF"/>
            </w:tcBorders>
            <w:shd w:val="solid" w:color="004996" w:fill="auto"/>
            <w:tcMar>
              <w:top w:w="28" w:type="dxa"/>
              <w:left w:w="14" w:type="dxa"/>
              <w:bottom w:w="28" w:type="dxa"/>
              <w:right w:w="14" w:type="dxa"/>
            </w:tcMar>
          </w:tcPr>
          <w:p w14:paraId="78CDCE43"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Nature</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28" w:type="dxa"/>
              <w:left w:w="14" w:type="dxa"/>
              <w:bottom w:w="28" w:type="dxa"/>
              <w:right w:w="14" w:type="dxa"/>
            </w:tcMar>
          </w:tcPr>
          <w:p w14:paraId="0A6ED6A8"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Amount</w:t>
            </w:r>
          </w:p>
        </w:tc>
      </w:tr>
      <w:tr w:rsidR="00345EE3" w:rsidRPr="00221494" w14:paraId="2BB77374" w14:textId="77777777" w:rsidTr="0052306E">
        <w:trPr>
          <w:trHeight w:val="60"/>
        </w:trPr>
        <w:tc>
          <w:tcPr>
            <w:tcW w:w="3912" w:type="dxa"/>
            <w:vMerge w:val="restart"/>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4512BF50"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Department of Justice and Community Safety</w:t>
            </w:r>
          </w:p>
        </w:tc>
        <w:tc>
          <w:tcPr>
            <w:tcW w:w="1077" w:type="dxa"/>
            <w:vMerge w:val="restart"/>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7B424570"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386ED0AD"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0E484169"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4,082,978 </w:t>
            </w:r>
          </w:p>
        </w:tc>
        <w:tc>
          <w:tcPr>
            <w:tcW w:w="1417" w:type="dxa"/>
            <w:vMerge w:val="restart"/>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05021458"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vMerge w:val="restart"/>
            <w:tcBorders>
              <w:top w:val="single" w:sz="2" w:space="0" w:color="9D9C9C"/>
              <w:left w:val="single" w:sz="2" w:space="0" w:color="9D9C9C"/>
              <w:bottom w:val="single" w:sz="2" w:space="0" w:color="9D9C9C"/>
              <w:right w:val="single" w:sz="6" w:space="0" w:color="9D9C9C"/>
            </w:tcBorders>
            <w:shd w:val="solid" w:color="ECECEC" w:fill="auto"/>
            <w:tcMar>
              <w:top w:w="28" w:type="dxa"/>
              <w:left w:w="14" w:type="dxa"/>
              <w:bottom w:w="28" w:type="dxa"/>
              <w:right w:w="14" w:type="dxa"/>
            </w:tcMar>
          </w:tcPr>
          <w:p w14:paraId="3BD3141D"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451 </w:t>
            </w:r>
          </w:p>
        </w:tc>
      </w:tr>
      <w:tr w:rsidR="00345EE3" w:rsidRPr="00221494" w14:paraId="475FB3C8" w14:textId="77777777" w:rsidTr="0052306E">
        <w:trPr>
          <w:trHeight w:val="60"/>
        </w:trPr>
        <w:tc>
          <w:tcPr>
            <w:tcW w:w="3912" w:type="dxa"/>
            <w:vMerge/>
            <w:tcBorders>
              <w:top w:val="single" w:sz="2" w:space="0" w:color="9D9C9C"/>
              <w:left w:val="single" w:sz="6" w:space="0" w:color="000000"/>
              <w:bottom w:val="single" w:sz="2" w:space="0" w:color="9D9C9C"/>
              <w:right w:val="single" w:sz="2" w:space="0" w:color="9D9C9C"/>
            </w:tcBorders>
            <w:tcMar>
              <w:top w:w="28" w:type="dxa"/>
              <w:bottom w:w="28" w:type="dxa"/>
            </w:tcMar>
          </w:tcPr>
          <w:p w14:paraId="37D4F797" w14:textId="77777777" w:rsidR="00345EE3" w:rsidRPr="00221494" w:rsidRDefault="00345EE3" w:rsidP="0052306E">
            <w:pPr>
              <w:widowControl/>
              <w:adjustRightInd w:val="0"/>
              <w:ind w:left="142"/>
              <w:rPr>
                <w:rFonts w:eastAsiaTheme="minorHAnsi"/>
                <w:sz w:val="24"/>
                <w:szCs w:val="24"/>
                <w:lang w:val="en-GB"/>
              </w:rPr>
            </w:pPr>
          </w:p>
        </w:tc>
        <w:tc>
          <w:tcPr>
            <w:tcW w:w="1077" w:type="dxa"/>
            <w:vMerge/>
            <w:tcBorders>
              <w:top w:val="single" w:sz="2" w:space="0" w:color="9D9C9C"/>
              <w:left w:val="single" w:sz="2" w:space="0" w:color="9D9C9C"/>
              <w:bottom w:val="single" w:sz="2" w:space="0" w:color="9D9C9C"/>
              <w:right w:val="single" w:sz="2" w:space="0" w:color="9D9C9C"/>
            </w:tcBorders>
            <w:tcMar>
              <w:top w:w="28" w:type="dxa"/>
              <w:bottom w:w="28" w:type="dxa"/>
            </w:tcMar>
          </w:tcPr>
          <w:p w14:paraId="002B3C84" w14:textId="77777777" w:rsidR="00345EE3" w:rsidRPr="00221494" w:rsidRDefault="00345EE3" w:rsidP="0052306E">
            <w:pPr>
              <w:widowControl/>
              <w:adjustRightInd w:val="0"/>
              <w:ind w:left="142"/>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15BD5392"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Other Income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1B3BC3B0"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895 </w:t>
            </w:r>
          </w:p>
        </w:tc>
        <w:tc>
          <w:tcPr>
            <w:tcW w:w="1417" w:type="dxa"/>
            <w:vMerge/>
            <w:tcBorders>
              <w:top w:val="single" w:sz="2" w:space="0" w:color="9D9C9C"/>
              <w:left w:val="single" w:sz="2" w:space="0" w:color="9D9C9C"/>
              <w:bottom w:val="single" w:sz="2" w:space="0" w:color="9D9C9C"/>
              <w:right w:val="single" w:sz="2" w:space="0" w:color="9D9C9C"/>
            </w:tcBorders>
            <w:tcMar>
              <w:top w:w="28" w:type="dxa"/>
              <w:bottom w:w="28" w:type="dxa"/>
            </w:tcMar>
          </w:tcPr>
          <w:p w14:paraId="5ECEE8E5" w14:textId="77777777" w:rsidR="00345EE3" w:rsidRPr="00221494" w:rsidRDefault="00345EE3" w:rsidP="0052306E">
            <w:pPr>
              <w:widowControl/>
              <w:adjustRightInd w:val="0"/>
              <w:ind w:left="142"/>
              <w:rPr>
                <w:rFonts w:eastAsiaTheme="minorHAnsi"/>
                <w:sz w:val="24"/>
                <w:szCs w:val="24"/>
                <w:lang w:val="en-GB"/>
              </w:rPr>
            </w:pPr>
          </w:p>
        </w:tc>
        <w:tc>
          <w:tcPr>
            <w:tcW w:w="1134" w:type="dxa"/>
            <w:vMerge/>
            <w:tcBorders>
              <w:top w:val="single" w:sz="2" w:space="0" w:color="9D9C9C"/>
              <w:left w:val="single" w:sz="2" w:space="0" w:color="9D9C9C"/>
              <w:bottom w:val="single" w:sz="2" w:space="0" w:color="9D9C9C"/>
              <w:right w:val="single" w:sz="6" w:space="0" w:color="9D9C9C"/>
            </w:tcBorders>
            <w:tcMar>
              <w:top w:w="28" w:type="dxa"/>
              <w:bottom w:w="28" w:type="dxa"/>
            </w:tcMar>
          </w:tcPr>
          <w:p w14:paraId="42C980D1" w14:textId="77777777" w:rsidR="00345EE3" w:rsidRPr="00221494" w:rsidRDefault="00345EE3" w:rsidP="0052306E">
            <w:pPr>
              <w:widowControl/>
              <w:adjustRightInd w:val="0"/>
              <w:ind w:left="142"/>
              <w:rPr>
                <w:rFonts w:eastAsiaTheme="minorHAnsi"/>
                <w:sz w:val="24"/>
                <w:szCs w:val="24"/>
                <w:lang w:val="en-GB"/>
              </w:rPr>
            </w:pPr>
          </w:p>
        </w:tc>
      </w:tr>
      <w:tr w:rsidR="00345EE3" w:rsidRPr="00221494" w14:paraId="60580741" w14:textId="77777777" w:rsidTr="0052306E">
        <w:trPr>
          <w:trHeight w:val="60"/>
        </w:trPr>
        <w:tc>
          <w:tcPr>
            <w:tcW w:w="3912" w:type="dxa"/>
            <w:vMerge/>
            <w:tcBorders>
              <w:top w:val="single" w:sz="2" w:space="0" w:color="9D9C9C"/>
              <w:left w:val="single" w:sz="6" w:space="0" w:color="000000"/>
              <w:bottom w:val="single" w:sz="2" w:space="0" w:color="9D9C9C"/>
              <w:right w:val="single" w:sz="2" w:space="0" w:color="9D9C9C"/>
            </w:tcBorders>
            <w:tcMar>
              <w:top w:w="28" w:type="dxa"/>
              <w:bottom w:w="28" w:type="dxa"/>
            </w:tcMar>
          </w:tcPr>
          <w:p w14:paraId="3D80E20A" w14:textId="77777777" w:rsidR="00345EE3" w:rsidRPr="00221494" w:rsidRDefault="00345EE3" w:rsidP="0052306E">
            <w:pPr>
              <w:widowControl/>
              <w:adjustRightInd w:val="0"/>
              <w:ind w:left="142"/>
              <w:rPr>
                <w:rFonts w:eastAsiaTheme="minorHAnsi"/>
                <w:sz w:val="24"/>
                <w:szCs w:val="24"/>
                <w:lang w:val="en-GB"/>
              </w:rPr>
            </w:pPr>
          </w:p>
        </w:tc>
        <w:tc>
          <w:tcPr>
            <w:tcW w:w="1077" w:type="dxa"/>
            <w:vMerge/>
            <w:tcBorders>
              <w:top w:val="single" w:sz="2" w:space="0" w:color="9D9C9C"/>
              <w:left w:val="single" w:sz="2" w:space="0" w:color="9D9C9C"/>
              <w:bottom w:val="single" w:sz="2" w:space="0" w:color="9D9C9C"/>
              <w:right w:val="single" w:sz="2" w:space="0" w:color="9D9C9C"/>
            </w:tcBorders>
            <w:tcMar>
              <w:top w:w="28" w:type="dxa"/>
              <w:bottom w:w="28" w:type="dxa"/>
            </w:tcMar>
          </w:tcPr>
          <w:p w14:paraId="146C6012" w14:textId="77777777" w:rsidR="00345EE3" w:rsidRPr="00221494" w:rsidRDefault="00345EE3" w:rsidP="0052306E">
            <w:pPr>
              <w:widowControl/>
              <w:adjustRightInd w:val="0"/>
              <w:ind w:left="142"/>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1CAE3C20" w14:textId="3F840264" w:rsidR="00345EE3" w:rsidRPr="00221494" w:rsidRDefault="00A10CBC"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Contributions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63456A32"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302 </w:t>
            </w:r>
          </w:p>
        </w:tc>
        <w:tc>
          <w:tcPr>
            <w:tcW w:w="1417" w:type="dxa"/>
            <w:vMerge/>
            <w:tcBorders>
              <w:top w:val="single" w:sz="2" w:space="0" w:color="9D9C9C"/>
              <w:left w:val="single" w:sz="2" w:space="0" w:color="9D9C9C"/>
              <w:bottom w:val="single" w:sz="2" w:space="0" w:color="9D9C9C"/>
              <w:right w:val="single" w:sz="2" w:space="0" w:color="9D9C9C"/>
            </w:tcBorders>
            <w:tcMar>
              <w:top w:w="28" w:type="dxa"/>
              <w:bottom w:w="28" w:type="dxa"/>
            </w:tcMar>
          </w:tcPr>
          <w:p w14:paraId="7907E072" w14:textId="77777777" w:rsidR="00345EE3" w:rsidRPr="00221494" w:rsidRDefault="00345EE3" w:rsidP="0052306E">
            <w:pPr>
              <w:widowControl/>
              <w:adjustRightInd w:val="0"/>
              <w:ind w:left="142"/>
              <w:rPr>
                <w:rFonts w:eastAsiaTheme="minorHAnsi"/>
                <w:sz w:val="24"/>
                <w:szCs w:val="24"/>
                <w:lang w:val="en-GB"/>
              </w:rPr>
            </w:pPr>
          </w:p>
        </w:tc>
        <w:tc>
          <w:tcPr>
            <w:tcW w:w="1134" w:type="dxa"/>
            <w:vMerge/>
            <w:tcBorders>
              <w:top w:val="single" w:sz="2" w:space="0" w:color="9D9C9C"/>
              <w:left w:val="single" w:sz="2" w:space="0" w:color="9D9C9C"/>
              <w:bottom w:val="single" w:sz="2" w:space="0" w:color="9D9C9C"/>
              <w:right w:val="single" w:sz="6" w:space="0" w:color="9D9C9C"/>
            </w:tcBorders>
            <w:tcMar>
              <w:top w:w="28" w:type="dxa"/>
              <w:bottom w:w="28" w:type="dxa"/>
            </w:tcMar>
          </w:tcPr>
          <w:p w14:paraId="3E3A5EEA" w14:textId="77777777" w:rsidR="00345EE3" w:rsidRPr="00221494" w:rsidRDefault="00345EE3" w:rsidP="0052306E">
            <w:pPr>
              <w:widowControl/>
              <w:adjustRightInd w:val="0"/>
              <w:ind w:left="142"/>
              <w:rPr>
                <w:rFonts w:eastAsiaTheme="minorHAnsi"/>
                <w:sz w:val="24"/>
                <w:szCs w:val="24"/>
                <w:lang w:val="en-GB"/>
              </w:rPr>
            </w:pPr>
          </w:p>
        </w:tc>
      </w:tr>
      <w:tr w:rsidR="00345EE3" w:rsidRPr="00221494" w14:paraId="024C79F2" w14:textId="77777777" w:rsidTr="0052306E">
        <w:trPr>
          <w:trHeight w:val="60"/>
        </w:trPr>
        <w:tc>
          <w:tcPr>
            <w:tcW w:w="3912" w:type="dxa"/>
            <w:vMerge w:val="restart"/>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2C1B370F"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Department of Treasury and Finance</w:t>
            </w:r>
          </w:p>
        </w:tc>
        <w:tc>
          <w:tcPr>
            <w:tcW w:w="1077" w:type="dxa"/>
            <w:vMerge w:val="restart"/>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2B1C0A40"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DTF</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6DC1FDE2"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Other Income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4635AFA0"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91 </w:t>
            </w:r>
          </w:p>
        </w:tc>
        <w:tc>
          <w:tcPr>
            <w:tcW w:w="1417" w:type="dxa"/>
            <w:vMerge w:val="restart"/>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149F75F4"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vMerge w:val="restart"/>
            <w:tcBorders>
              <w:top w:val="single" w:sz="2" w:space="0" w:color="9D9C9C"/>
              <w:left w:val="single" w:sz="2" w:space="0" w:color="9D9C9C"/>
              <w:bottom w:val="single" w:sz="2" w:space="0" w:color="9D9C9C"/>
              <w:right w:val="single" w:sz="6" w:space="0" w:color="9D9C9C"/>
            </w:tcBorders>
            <w:shd w:val="solid" w:color="ECECEC" w:fill="auto"/>
            <w:tcMar>
              <w:top w:w="28" w:type="dxa"/>
              <w:left w:w="14" w:type="dxa"/>
              <w:bottom w:w="28" w:type="dxa"/>
              <w:right w:w="14" w:type="dxa"/>
            </w:tcMar>
          </w:tcPr>
          <w:p w14:paraId="447CC98A"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908,304 </w:t>
            </w:r>
          </w:p>
        </w:tc>
      </w:tr>
      <w:tr w:rsidR="00345EE3" w:rsidRPr="00221494" w14:paraId="008D48A6" w14:textId="77777777" w:rsidTr="0052306E">
        <w:trPr>
          <w:trHeight w:val="60"/>
        </w:trPr>
        <w:tc>
          <w:tcPr>
            <w:tcW w:w="3912" w:type="dxa"/>
            <w:vMerge/>
            <w:tcBorders>
              <w:top w:val="single" w:sz="2" w:space="0" w:color="9D9C9C"/>
              <w:left w:val="single" w:sz="6" w:space="0" w:color="000000"/>
              <w:bottom w:val="single" w:sz="2" w:space="0" w:color="9D9C9C"/>
              <w:right w:val="single" w:sz="2" w:space="0" w:color="9D9C9C"/>
            </w:tcBorders>
            <w:tcMar>
              <w:top w:w="28" w:type="dxa"/>
              <w:bottom w:w="28" w:type="dxa"/>
            </w:tcMar>
          </w:tcPr>
          <w:p w14:paraId="4AEEDEFA" w14:textId="77777777" w:rsidR="00345EE3" w:rsidRPr="00221494" w:rsidRDefault="00345EE3" w:rsidP="0052306E">
            <w:pPr>
              <w:widowControl/>
              <w:adjustRightInd w:val="0"/>
              <w:ind w:left="142"/>
              <w:rPr>
                <w:rFonts w:eastAsiaTheme="minorHAnsi"/>
                <w:sz w:val="24"/>
                <w:szCs w:val="24"/>
                <w:lang w:val="en-GB"/>
              </w:rPr>
            </w:pPr>
          </w:p>
        </w:tc>
        <w:tc>
          <w:tcPr>
            <w:tcW w:w="1077" w:type="dxa"/>
            <w:vMerge/>
            <w:tcBorders>
              <w:top w:val="single" w:sz="2" w:space="0" w:color="9D9C9C"/>
              <w:left w:val="single" w:sz="2" w:space="0" w:color="9D9C9C"/>
              <w:bottom w:val="single" w:sz="2" w:space="0" w:color="9D9C9C"/>
              <w:right w:val="single" w:sz="2" w:space="0" w:color="9D9C9C"/>
            </w:tcBorders>
            <w:tcMar>
              <w:top w:w="28" w:type="dxa"/>
              <w:bottom w:w="28" w:type="dxa"/>
            </w:tcMar>
          </w:tcPr>
          <w:p w14:paraId="48ED0127" w14:textId="77777777" w:rsidR="00345EE3" w:rsidRPr="00221494" w:rsidRDefault="00345EE3" w:rsidP="0052306E">
            <w:pPr>
              <w:widowControl/>
              <w:adjustRightInd w:val="0"/>
              <w:ind w:left="142"/>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475207F7" w14:textId="67B7976E" w:rsidR="00345EE3" w:rsidRPr="00221494" w:rsidRDefault="00A10CBC"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Contributions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31085D8E"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200 </w:t>
            </w:r>
          </w:p>
        </w:tc>
        <w:tc>
          <w:tcPr>
            <w:tcW w:w="1417" w:type="dxa"/>
            <w:vMerge/>
            <w:tcBorders>
              <w:top w:val="single" w:sz="2" w:space="0" w:color="9D9C9C"/>
              <w:left w:val="single" w:sz="2" w:space="0" w:color="9D9C9C"/>
              <w:bottom w:val="single" w:sz="2" w:space="0" w:color="9D9C9C"/>
              <w:right w:val="single" w:sz="2" w:space="0" w:color="9D9C9C"/>
            </w:tcBorders>
            <w:tcMar>
              <w:top w:w="28" w:type="dxa"/>
              <w:bottom w:w="28" w:type="dxa"/>
            </w:tcMar>
          </w:tcPr>
          <w:p w14:paraId="28F9EDB9" w14:textId="77777777" w:rsidR="00345EE3" w:rsidRPr="00221494" w:rsidRDefault="00345EE3" w:rsidP="0052306E">
            <w:pPr>
              <w:widowControl/>
              <w:adjustRightInd w:val="0"/>
              <w:ind w:left="142"/>
              <w:rPr>
                <w:rFonts w:eastAsiaTheme="minorHAnsi"/>
                <w:sz w:val="24"/>
                <w:szCs w:val="24"/>
                <w:lang w:val="en-GB"/>
              </w:rPr>
            </w:pPr>
          </w:p>
        </w:tc>
        <w:tc>
          <w:tcPr>
            <w:tcW w:w="1134" w:type="dxa"/>
            <w:vMerge/>
            <w:tcBorders>
              <w:top w:val="single" w:sz="2" w:space="0" w:color="9D9C9C"/>
              <w:left w:val="single" w:sz="2" w:space="0" w:color="9D9C9C"/>
              <w:bottom w:val="single" w:sz="2" w:space="0" w:color="9D9C9C"/>
              <w:right w:val="single" w:sz="6" w:space="0" w:color="9D9C9C"/>
            </w:tcBorders>
            <w:tcMar>
              <w:top w:w="28" w:type="dxa"/>
              <w:bottom w:w="28" w:type="dxa"/>
            </w:tcMar>
          </w:tcPr>
          <w:p w14:paraId="1721A395" w14:textId="77777777" w:rsidR="00345EE3" w:rsidRPr="00221494" w:rsidRDefault="00345EE3" w:rsidP="0052306E">
            <w:pPr>
              <w:widowControl/>
              <w:adjustRightInd w:val="0"/>
              <w:ind w:left="142"/>
              <w:rPr>
                <w:rFonts w:eastAsiaTheme="minorHAnsi"/>
                <w:sz w:val="24"/>
                <w:szCs w:val="24"/>
                <w:lang w:val="en-GB"/>
              </w:rPr>
            </w:pPr>
          </w:p>
        </w:tc>
      </w:tr>
      <w:tr w:rsidR="00345EE3" w:rsidRPr="00221494" w14:paraId="44C2A98B" w14:textId="77777777" w:rsidTr="0052306E">
        <w:trPr>
          <w:trHeight w:val="60"/>
        </w:trPr>
        <w:tc>
          <w:tcPr>
            <w:tcW w:w="3912"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4728C0A7"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Office of the Governor</w:t>
            </w:r>
          </w:p>
        </w:tc>
        <w:tc>
          <w:tcPr>
            <w:tcW w:w="107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017390ED"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DPC</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498B9343"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Protective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0A9D4FE7"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2,718 </w:t>
            </w:r>
          </w:p>
        </w:tc>
        <w:tc>
          <w:tcPr>
            <w:tcW w:w="141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500F18B3"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28" w:type="dxa"/>
              <w:left w:w="14" w:type="dxa"/>
              <w:bottom w:w="28" w:type="dxa"/>
              <w:right w:w="14" w:type="dxa"/>
            </w:tcMar>
          </w:tcPr>
          <w:p w14:paraId="6E336550"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2C159591" w14:textId="77777777" w:rsidTr="0052306E">
        <w:trPr>
          <w:trHeight w:val="60"/>
        </w:trPr>
        <w:tc>
          <w:tcPr>
            <w:tcW w:w="3912"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7AEF2085"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Family Safety Victoria</w:t>
            </w:r>
          </w:p>
        </w:tc>
        <w:tc>
          <w:tcPr>
            <w:tcW w:w="107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42BF8527"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DFFH</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4864064E"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Contributions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4052AFB5"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1,492 </w:t>
            </w:r>
          </w:p>
        </w:tc>
        <w:tc>
          <w:tcPr>
            <w:tcW w:w="141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3F2B96A2"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28" w:type="dxa"/>
              <w:left w:w="14" w:type="dxa"/>
              <w:bottom w:w="28" w:type="dxa"/>
              <w:right w:w="14" w:type="dxa"/>
            </w:tcMar>
          </w:tcPr>
          <w:p w14:paraId="063EA391"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7B714299" w14:textId="77777777" w:rsidTr="0052306E">
        <w:trPr>
          <w:trHeight w:val="60"/>
        </w:trPr>
        <w:tc>
          <w:tcPr>
            <w:tcW w:w="3912" w:type="dxa"/>
            <w:vMerge w:val="restart"/>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5317B5BD"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Transport Accident Commission</w:t>
            </w:r>
          </w:p>
        </w:tc>
        <w:tc>
          <w:tcPr>
            <w:tcW w:w="107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4FA3FA3D"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DoT</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60C3C32F"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Contributions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5123D7C9"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116 </w:t>
            </w:r>
          </w:p>
        </w:tc>
        <w:tc>
          <w:tcPr>
            <w:tcW w:w="1417" w:type="dxa"/>
            <w:vMerge w:val="restart"/>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671A2192"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vMerge w:val="restart"/>
            <w:tcBorders>
              <w:top w:val="single" w:sz="2" w:space="0" w:color="9D9C9C"/>
              <w:left w:val="single" w:sz="2" w:space="0" w:color="9D9C9C"/>
              <w:bottom w:val="single" w:sz="2" w:space="0" w:color="9D9C9C"/>
              <w:right w:val="single" w:sz="6" w:space="0" w:color="9D9C9C"/>
            </w:tcBorders>
            <w:shd w:val="solid" w:color="ECECEC" w:fill="auto"/>
            <w:tcMar>
              <w:top w:w="28" w:type="dxa"/>
              <w:left w:w="14" w:type="dxa"/>
              <w:bottom w:w="28" w:type="dxa"/>
              <w:right w:w="14" w:type="dxa"/>
            </w:tcMar>
          </w:tcPr>
          <w:p w14:paraId="7086B8ED"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25 </w:t>
            </w:r>
          </w:p>
        </w:tc>
      </w:tr>
      <w:tr w:rsidR="00345EE3" w:rsidRPr="00221494" w14:paraId="279E1502" w14:textId="77777777" w:rsidTr="0052306E">
        <w:trPr>
          <w:trHeight w:val="60"/>
        </w:trPr>
        <w:tc>
          <w:tcPr>
            <w:tcW w:w="3912" w:type="dxa"/>
            <w:vMerge/>
            <w:tcBorders>
              <w:top w:val="single" w:sz="2" w:space="0" w:color="9D9C9C"/>
              <w:left w:val="single" w:sz="6" w:space="0" w:color="000000"/>
              <w:bottom w:val="single" w:sz="2" w:space="0" w:color="9D9C9C"/>
              <w:right w:val="single" w:sz="2" w:space="0" w:color="9D9C9C"/>
            </w:tcBorders>
            <w:tcMar>
              <w:top w:w="28" w:type="dxa"/>
              <w:bottom w:w="28" w:type="dxa"/>
            </w:tcMar>
          </w:tcPr>
          <w:p w14:paraId="4314D401" w14:textId="77777777" w:rsidR="00345EE3" w:rsidRPr="00221494" w:rsidRDefault="00345EE3" w:rsidP="0052306E">
            <w:pPr>
              <w:widowControl/>
              <w:adjustRightInd w:val="0"/>
              <w:ind w:left="142"/>
              <w:rPr>
                <w:rFonts w:eastAsiaTheme="minorHAnsi"/>
                <w:sz w:val="24"/>
                <w:szCs w:val="24"/>
                <w:lang w:val="en-GB"/>
              </w:rPr>
            </w:pPr>
          </w:p>
        </w:tc>
        <w:tc>
          <w:tcPr>
            <w:tcW w:w="107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1115FDE9"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DoT</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13BA9B6E"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78E97EE2"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3,496 </w:t>
            </w:r>
          </w:p>
        </w:tc>
        <w:tc>
          <w:tcPr>
            <w:tcW w:w="1417" w:type="dxa"/>
            <w:vMerge/>
            <w:tcBorders>
              <w:top w:val="single" w:sz="2" w:space="0" w:color="9D9C9C"/>
              <w:left w:val="single" w:sz="2" w:space="0" w:color="9D9C9C"/>
              <w:bottom w:val="single" w:sz="2" w:space="0" w:color="9D9C9C"/>
              <w:right w:val="single" w:sz="2" w:space="0" w:color="9D9C9C"/>
            </w:tcBorders>
            <w:tcMar>
              <w:top w:w="28" w:type="dxa"/>
              <w:bottom w:w="28" w:type="dxa"/>
            </w:tcMar>
          </w:tcPr>
          <w:p w14:paraId="30B59F96" w14:textId="77777777" w:rsidR="00345EE3" w:rsidRPr="00221494" w:rsidRDefault="00345EE3" w:rsidP="0052306E">
            <w:pPr>
              <w:widowControl/>
              <w:adjustRightInd w:val="0"/>
              <w:ind w:left="142"/>
              <w:rPr>
                <w:rFonts w:eastAsiaTheme="minorHAnsi"/>
                <w:sz w:val="24"/>
                <w:szCs w:val="24"/>
                <w:lang w:val="en-GB"/>
              </w:rPr>
            </w:pPr>
          </w:p>
        </w:tc>
        <w:tc>
          <w:tcPr>
            <w:tcW w:w="1134" w:type="dxa"/>
            <w:vMerge/>
            <w:tcBorders>
              <w:top w:val="single" w:sz="2" w:space="0" w:color="9D9C9C"/>
              <w:left w:val="single" w:sz="2" w:space="0" w:color="9D9C9C"/>
              <w:bottom w:val="single" w:sz="2" w:space="0" w:color="9D9C9C"/>
              <w:right w:val="single" w:sz="6" w:space="0" w:color="9D9C9C"/>
            </w:tcBorders>
            <w:tcMar>
              <w:top w:w="28" w:type="dxa"/>
              <w:bottom w:w="28" w:type="dxa"/>
            </w:tcMar>
          </w:tcPr>
          <w:p w14:paraId="42B7FE28" w14:textId="77777777" w:rsidR="00345EE3" w:rsidRPr="00221494" w:rsidRDefault="00345EE3" w:rsidP="0052306E">
            <w:pPr>
              <w:widowControl/>
              <w:adjustRightInd w:val="0"/>
              <w:ind w:left="142"/>
              <w:rPr>
                <w:rFonts w:eastAsiaTheme="minorHAnsi"/>
                <w:sz w:val="24"/>
                <w:szCs w:val="24"/>
                <w:lang w:val="en-GB"/>
              </w:rPr>
            </w:pPr>
          </w:p>
        </w:tc>
      </w:tr>
      <w:tr w:rsidR="00345EE3" w:rsidRPr="00221494" w14:paraId="25208CD0" w14:textId="77777777" w:rsidTr="0052306E">
        <w:trPr>
          <w:trHeight w:val="60"/>
        </w:trPr>
        <w:tc>
          <w:tcPr>
            <w:tcW w:w="3912"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7698A459"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Worksafe Victoria</w:t>
            </w:r>
          </w:p>
        </w:tc>
        <w:tc>
          <w:tcPr>
            <w:tcW w:w="107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58E5D421"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0407E21D"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Contributions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3D7A2A22"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3,234 </w:t>
            </w:r>
          </w:p>
        </w:tc>
        <w:tc>
          <w:tcPr>
            <w:tcW w:w="141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12AF2BA7"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28" w:type="dxa"/>
              <w:left w:w="14" w:type="dxa"/>
              <w:bottom w:w="28" w:type="dxa"/>
              <w:right w:w="14" w:type="dxa"/>
            </w:tcMar>
          </w:tcPr>
          <w:p w14:paraId="652A5C37"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30FBEDE3" w14:textId="77777777" w:rsidTr="0052306E">
        <w:trPr>
          <w:trHeight w:val="60"/>
        </w:trPr>
        <w:tc>
          <w:tcPr>
            <w:tcW w:w="3912"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6CC6D170"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Victorian Managed Insurance Authority</w:t>
            </w:r>
          </w:p>
        </w:tc>
        <w:tc>
          <w:tcPr>
            <w:tcW w:w="107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225DB9A3"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DTF</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00A7771D"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Insurance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33913F4B"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6635FD15"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28" w:type="dxa"/>
              <w:left w:w="14" w:type="dxa"/>
              <w:bottom w:w="28" w:type="dxa"/>
              <w:right w:w="14" w:type="dxa"/>
            </w:tcMar>
          </w:tcPr>
          <w:p w14:paraId="403AF5FE"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28EC67F1" w14:textId="77777777" w:rsidTr="0052306E">
        <w:trPr>
          <w:trHeight w:val="60"/>
        </w:trPr>
        <w:tc>
          <w:tcPr>
            <w:tcW w:w="3912" w:type="dxa"/>
            <w:tcBorders>
              <w:top w:val="single" w:sz="2" w:space="0" w:color="9D9C9C"/>
              <w:left w:val="single" w:sz="6" w:space="0" w:color="000000"/>
              <w:bottom w:val="single" w:sz="6" w:space="0" w:color="000000"/>
              <w:right w:val="single" w:sz="2" w:space="0" w:color="9D9C9C"/>
            </w:tcBorders>
            <w:tcMar>
              <w:top w:w="28" w:type="dxa"/>
              <w:left w:w="14" w:type="dxa"/>
              <w:bottom w:w="28" w:type="dxa"/>
              <w:right w:w="14" w:type="dxa"/>
            </w:tcMar>
          </w:tcPr>
          <w:p w14:paraId="4BE1E46C"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Victorian WorkCover Authority</w:t>
            </w:r>
          </w:p>
        </w:tc>
        <w:tc>
          <w:tcPr>
            <w:tcW w:w="1077" w:type="dxa"/>
            <w:tcBorders>
              <w:top w:val="single" w:sz="2" w:space="0" w:color="9D9C9C"/>
              <w:left w:val="single" w:sz="2" w:space="0" w:color="9D9C9C"/>
              <w:bottom w:val="single" w:sz="6" w:space="0" w:color="000000"/>
              <w:right w:val="single" w:sz="2" w:space="0" w:color="9D9C9C"/>
            </w:tcBorders>
            <w:tcMar>
              <w:top w:w="28" w:type="dxa"/>
              <w:left w:w="14" w:type="dxa"/>
              <w:bottom w:w="28" w:type="dxa"/>
              <w:right w:w="14" w:type="dxa"/>
            </w:tcMar>
          </w:tcPr>
          <w:p w14:paraId="3404DD99"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531" w:type="dxa"/>
            <w:tcBorders>
              <w:top w:val="single" w:sz="2" w:space="0" w:color="9D9C9C"/>
              <w:left w:val="single" w:sz="2" w:space="0" w:color="9D9C9C"/>
              <w:bottom w:val="single" w:sz="6" w:space="0" w:color="000000"/>
              <w:right w:val="single" w:sz="2" w:space="0" w:color="9D9C9C"/>
            </w:tcBorders>
            <w:tcMar>
              <w:top w:w="28" w:type="dxa"/>
              <w:left w:w="14" w:type="dxa"/>
              <w:bottom w:w="28" w:type="dxa"/>
              <w:right w:w="14" w:type="dxa"/>
            </w:tcMar>
          </w:tcPr>
          <w:p w14:paraId="39B612AB"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Contributions</w:t>
            </w:r>
          </w:p>
        </w:tc>
        <w:tc>
          <w:tcPr>
            <w:tcW w:w="1134" w:type="dxa"/>
            <w:tcBorders>
              <w:top w:val="single" w:sz="2" w:space="0" w:color="9D9C9C"/>
              <w:left w:val="single" w:sz="2" w:space="0" w:color="9D9C9C"/>
              <w:bottom w:val="single" w:sz="6" w:space="0" w:color="000000"/>
              <w:right w:val="single" w:sz="2" w:space="0" w:color="9D9C9C"/>
            </w:tcBorders>
            <w:shd w:val="solid" w:color="ECECEC" w:fill="auto"/>
            <w:tcMar>
              <w:top w:w="28" w:type="dxa"/>
              <w:left w:w="14" w:type="dxa"/>
              <w:bottom w:w="28" w:type="dxa"/>
              <w:right w:w="14" w:type="dxa"/>
            </w:tcMar>
          </w:tcPr>
          <w:p w14:paraId="18F70D07"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26 </w:t>
            </w:r>
          </w:p>
        </w:tc>
        <w:tc>
          <w:tcPr>
            <w:tcW w:w="1417" w:type="dxa"/>
            <w:tcBorders>
              <w:top w:val="single" w:sz="2" w:space="0" w:color="9D9C9C"/>
              <w:left w:val="single" w:sz="2" w:space="0" w:color="9D9C9C"/>
              <w:bottom w:val="single" w:sz="6" w:space="0" w:color="000000"/>
              <w:right w:val="single" w:sz="2" w:space="0" w:color="9D9C9C"/>
            </w:tcBorders>
            <w:tcMar>
              <w:top w:w="28" w:type="dxa"/>
              <w:left w:w="14" w:type="dxa"/>
              <w:bottom w:w="28" w:type="dxa"/>
              <w:right w:w="14" w:type="dxa"/>
            </w:tcMar>
          </w:tcPr>
          <w:p w14:paraId="58BB9664"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6" w:space="0" w:color="000000"/>
              <w:right w:val="single" w:sz="6" w:space="0" w:color="9D9C9C"/>
            </w:tcBorders>
            <w:shd w:val="solid" w:color="ECECEC" w:fill="auto"/>
            <w:tcMar>
              <w:top w:w="28" w:type="dxa"/>
              <w:left w:w="14" w:type="dxa"/>
              <w:bottom w:w="28" w:type="dxa"/>
              <w:right w:w="14" w:type="dxa"/>
            </w:tcMar>
          </w:tcPr>
          <w:p w14:paraId="2F8553CB"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1,607</w:t>
            </w:r>
          </w:p>
        </w:tc>
      </w:tr>
    </w:tbl>
    <w:p w14:paraId="105C502F" w14:textId="77777777" w:rsidR="00345EE3" w:rsidRPr="00221494" w:rsidRDefault="00345EE3" w:rsidP="0052306E">
      <w:pPr>
        <w:spacing w:before="75"/>
        <w:ind w:left="142"/>
        <w:rPr>
          <w:rFonts w:ascii="Arial-BoldItalicMT"/>
          <w:b/>
          <w:i/>
          <w:sz w:val="18"/>
          <w:szCs w:val="18"/>
        </w:rPr>
      </w:pPr>
      <w:r w:rsidRPr="00221494">
        <w:rPr>
          <w:rFonts w:ascii="Arial-BoldItalicMT"/>
          <w:b/>
          <w:i/>
          <w:color w:val="231F20"/>
          <w:spacing w:val="-2"/>
          <w:sz w:val="18"/>
          <w:szCs w:val="18"/>
        </w:rPr>
        <w:t>Note:</w:t>
      </w:r>
    </w:p>
    <w:p w14:paraId="407CE76D" w14:textId="77777777" w:rsidR="00345EE3" w:rsidRPr="00221494" w:rsidRDefault="00345EE3" w:rsidP="0052306E">
      <w:pPr>
        <w:spacing w:before="28"/>
        <w:ind w:left="142" w:right="327"/>
        <w:rPr>
          <w:sz w:val="18"/>
          <w:szCs w:val="18"/>
        </w:rPr>
      </w:pPr>
      <w:r w:rsidRPr="00221494">
        <w:rPr>
          <w:color w:val="231F20"/>
          <w:sz w:val="18"/>
          <w:szCs w:val="18"/>
        </w:rPr>
        <w:t>The</w:t>
      </w:r>
      <w:r w:rsidRPr="00221494">
        <w:rPr>
          <w:color w:val="231F20"/>
          <w:spacing w:val="-2"/>
          <w:sz w:val="18"/>
          <w:szCs w:val="18"/>
        </w:rPr>
        <w:t xml:space="preserve"> </w:t>
      </w:r>
      <w:r w:rsidRPr="00221494">
        <w:rPr>
          <w:color w:val="231F20"/>
          <w:sz w:val="18"/>
          <w:szCs w:val="18"/>
        </w:rPr>
        <w:t>amount</w:t>
      </w:r>
      <w:r w:rsidRPr="00221494">
        <w:rPr>
          <w:color w:val="231F20"/>
          <w:spacing w:val="-2"/>
          <w:sz w:val="18"/>
          <w:szCs w:val="18"/>
        </w:rPr>
        <w:t xml:space="preserve"> </w:t>
      </w:r>
      <w:r w:rsidRPr="00221494">
        <w:rPr>
          <w:color w:val="231F20"/>
          <w:sz w:val="18"/>
          <w:szCs w:val="18"/>
        </w:rPr>
        <w:t>owing</w:t>
      </w:r>
      <w:r w:rsidRPr="00221494">
        <w:rPr>
          <w:color w:val="231F20"/>
          <w:spacing w:val="-2"/>
          <w:sz w:val="18"/>
          <w:szCs w:val="18"/>
        </w:rPr>
        <w:t xml:space="preserve"> </w:t>
      </w:r>
      <w:r w:rsidRPr="00221494">
        <w:rPr>
          <w:color w:val="231F20"/>
          <w:sz w:val="18"/>
          <w:szCs w:val="18"/>
        </w:rPr>
        <w:t>from</w:t>
      </w:r>
      <w:r w:rsidRPr="00221494">
        <w:rPr>
          <w:color w:val="231F20"/>
          <w:spacing w:val="-2"/>
          <w:sz w:val="18"/>
          <w:szCs w:val="18"/>
        </w:rPr>
        <w:t xml:space="preserve"> </w:t>
      </w:r>
      <w:r w:rsidRPr="00221494">
        <w:rPr>
          <w:color w:val="231F20"/>
          <w:sz w:val="18"/>
          <w:szCs w:val="18"/>
        </w:rPr>
        <w:t>the</w:t>
      </w:r>
      <w:r w:rsidRPr="00221494">
        <w:rPr>
          <w:color w:val="231F20"/>
          <w:spacing w:val="-2"/>
          <w:sz w:val="18"/>
          <w:szCs w:val="18"/>
        </w:rPr>
        <w:t xml:space="preserve"> </w:t>
      </w:r>
      <w:r w:rsidRPr="00221494">
        <w:rPr>
          <w:color w:val="231F20"/>
          <w:sz w:val="18"/>
          <w:szCs w:val="18"/>
        </w:rPr>
        <w:t>Victorian</w:t>
      </w:r>
      <w:r w:rsidRPr="00221494">
        <w:rPr>
          <w:color w:val="231F20"/>
          <w:spacing w:val="-2"/>
          <w:sz w:val="18"/>
          <w:szCs w:val="18"/>
        </w:rPr>
        <w:t xml:space="preserve"> </w:t>
      </w:r>
      <w:r w:rsidRPr="00221494">
        <w:rPr>
          <w:color w:val="231F20"/>
          <w:sz w:val="18"/>
          <w:szCs w:val="18"/>
        </w:rPr>
        <w:t>Government</w:t>
      </w:r>
      <w:r w:rsidRPr="00221494">
        <w:rPr>
          <w:color w:val="231F20"/>
          <w:spacing w:val="-2"/>
          <w:sz w:val="18"/>
          <w:szCs w:val="18"/>
        </w:rPr>
        <w:t xml:space="preserve"> </w:t>
      </w:r>
      <w:r w:rsidRPr="00221494">
        <w:rPr>
          <w:color w:val="231F20"/>
          <w:sz w:val="18"/>
          <w:szCs w:val="18"/>
        </w:rPr>
        <w:t>as</w:t>
      </w:r>
      <w:r w:rsidRPr="00221494">
        <w:rPr>
          <w:color w:val="231F20"/>
          <w:spacing w:val="-2"/>
          <w:sz w:val="18"/>
          <w:szCs w:val="18"/>
        </w:rPr>
        <w:t xml:space="preserve"> </w:t>
      </w:r>
      <w:r w:rsidRPr="00221494">
        <w:rPr>
          <w:color w:val="231F20"/>
          <w:sz w:val="18"/>
          <w:szCs w:val="18"/>
        </w:rPr>
        <w:t>disclosed</w:t>
      </w:r>
      <w:r w:rsidRPr="00221494">
        <w:rPr>
          <w:color w:val="231F20"/>
          <w:spacing w:val="-2"/>
          <w:sz w:val="18"/>
          <w:szCs w:val="18"/>
        </w:rPr>
        <w:t xml:space="preserve"> </w:t>
      </w:r>
      <w:r w:rsidRPr="00221494">
        <w:rPr>
          <w:color w:val="231F20"/>
          <w:sz w:val="18"/>
          <w:szCs w:val="18"/>
        </w:rPr>
        <w:t>in</w:t>
      </w:r>
      <w:r w:rsidRPr="00221494">
        <w:rPr>
          <w:color w:val="231F20"/>
          <w:spacing w:val="-2"/>
          <w:sz w:val="18"/>
          <w:szCs w:val="18"/>
        </w:rPr>
        <w:t xml:space="preserve"> </w:t>
      </w:r>
      <w:r w:rsidRPr="00221494">
        <w:rPr>
          <w:color w:val="231F20"/>
          <w:sz w:val="18"/>
          <w:szCs w:val="18"/>
        </w:rPr>
        <w:t>Note</w:t>
      </w:r>
      <w:r w:rsidRPr="00221494">
        <w:rPr>
          <w:color w:val="231F20"/>
          <w:spacing w:val="-2"/>
          <w:sz w:val="18"/>
          <w:szCs w:val="18"/>
        </w:rPr>
        <w:t xml:space="preserve"> </w:t>
      </w:r>
      <w:r w:rsidRPr="00221494">
        <w:rPr>
          <w:color w:val="231F20"/>
          <w:sz w:val="18"/>
          <w:szCs w:val="18"/>
        </w:rPr>
        <w:t>6.1</w:t>
      </w:r>
      <w:r w:rsidRPr="00221494">
        <w:rPr>
          <w:color w:val="231F20"/>
          <w:spacing w:val="-2"/>
          <w:sz w:val="18"/>
          <w:szCs w:val="18"/>
        </w:rPr>
        <w:t xml:space="preserve"> </w:t>
      </w:r>
      <w:r w:rsidRPr="00221494">
        <w:rPr>
          <w:color w:val="231F20"/>
          <w:sz w:val="18"/>
          <w:szCs w:val="18"/>
        </w:rPr>
        <w:t>Receivables</w:t>
      </w:r>
      <w:r w:rsidRPr="00221494">
        <w:rPr>
          <w:color w:val="231F20"/>
          <w:spacing w:val="-2"/>
          <w:sz w:val="18"/>
          <w:szCs w:val="18"/>
        </w:rPr>
        <w:t xml:space="preserve"> </w:t>
      </w:r>
      <w:r w:rsidRPr="00221494">
        <w:rPr>
          <w:color w:val="231F20"/>
          <w:sz w:val="18"/>
          <w:szCs w:val="18"/>
        </w:rPr>
        <w:t>are</w:t>
      </w:r>
      <w:r w:rsidRPr="00221494">
        <w:rPr>
          <w:color w:val="231F20"/>
          <w:spacing w:val="-2"/>
          <w:sz w:val="18"/>
          <w:szCs w:val="18"/>
        </w:rPr>
        <w:t xml:space="preserve"> </w:t>
      </w:r>
      <w:r w:rsidRPr="00221494">
        <w:rPr>
          <w:color w:val="231F20"/>
          <w:sz w:val="18"/>
          <w:szCs w:val="18"/>
        </w:rPr>
        <w:t>amounts</w:t>
      </w:r>
      <w:r w:rsidRPr="00221494">
        <w:rPr>
          <w:color w:val="231F20"/>
          <w:spacing w:val="-2"/>
          <w:sz w:val="18"/>
          <w:szCs w:val="18"/>
        </w:rPr>
        <w:t xml:space="preserve"> </w:t>
      </w:r>
      <w:r w:rsidRPr="00221494">
        <w:rPr>
          <w:color w:val="231F20"/>
          <w:sz w:val="18"/>
          <w:szCs w:val="18"/>
        </w:rPr>
        <w:t>due</w:t>
      </w:r>
      <w:r w:rsidRPr="00221494">
        <w:rPr>
          <w:color w:val="231F20"/>
          <w:spacing w:val="-2"/>
          <w:sz w:val="18"/>
          <w:szCs w:val="18"/>
        </w:rPr>
        <w:t xml:space="preserve"> </w:t>
      </w:r>
      <w:r w:rsidRPr="00221494">
        <w:rPr>
          <w:color w:val="231F20"/>
          <w:sz w:val="18"/>
          <w:szCs w:val="18"/>
        </w:rPr>
        <w:t>from</w:t>
      </w:r>
      <w:r w:rsidRPr="00221494">
        <w:rPr>
          <w:color w:val="231F20"/>
          <w:spacing w:val="-2"/>
          <w:sz w:val="18"/>
          <w:szCs w:val="18"/>
        </w:rPr>
        <w:t xml:space="preserve"> </w:t>
      </w:r>
      <w:r w:rsidRPr="00221494">
        <w:rPr>
          <w:color w:val="231F20"/>
          <w:sz w:val="18"/>
          <w:szCs w:val="18"/>
        </w:rPr>
        <w:t>the</w:t>
      </w:r>
      <w:r w:rsidRPr="00221494">
        <w:rPr>
          <w:color w:val="231F20"/>
          <w:spacing w:val="-2"/>
          <w:sz w:val="18"/>
          <w:szCs w:val="18"/>
        </w:rPr>
        <w:t xml:space="preserve"> </w:t>
      </w:r>
      <w:r w:rsidRPr="00221494">
        <w:rPr>
          <w:color w:val="231F20"/>
          <w:sz w:val="18"/>
          <w:szCs w:val="18"/>
        </w:rPr>
        <w:t>Department</w:t>
      </w:r>
      <w:r w:rsidRPr="00221494">
        <w:rPr>
          <w:color w:val="231F20"/>
          <w:spacing w:val="-2"/>
          <w:sz w:val="18"/>
          <w:szCs w:val="18"/>
        </w:rPr>
        <w:t xml:space="preserve"> </w:t>
      </w:r>
      <w:r w:rsidRPr="00221494">
        <w:rPr>
          <w:color w:val="231F20"/>
          <w:sz w:val="18"/>
          <w:szCs w:val="18"/>
        </w:rPr>
        <w:t>of</w:t>
      </w:r>
      <w:r w:rsidRPr="00221494">
        <w:rPr>
          <w:color w:val="231F20"/>
          <w:spacing w:val="-2"/>
          <w:sz w:val="18"/>
          <w:szCs w:val="18"/>
        </w:rPr>
        <w:t xml:space="preserve"> </w:t>
      </w:r>
      <w:r w:rsidRPr="00221494">
        <w:rPr>
          <w:color w:val="231F20"/>
          <w:sz w:val="18"/>
          <w:szCs w:val="18"/>
        </w:rPr>
        <w:t>Treasury</w:t>
      </w:r>
      <w:r w:rsidRPr="00221494">
        <w:rPr>
          <w:color w:val="231F20"/>
          <w:spacing w:val="-2"/>
          <w:sz w:val="18"/>
          <w:szCs w:val="18"/>
        </w:rPr>
        <w:t xml:space="preserve"> </w:t>
      </w:r>
      <w:r w:rsidRPr="00221494">
        <w:rPr>
          <w:color w:val="231F20"/>
          <w:sz w:val="18"/>
          <w:szCs w:val="18"/>
        </w:rPr>
        <w:t>and</w:t>
      </w:r>
      <w:r w:rsidRPr="00221494">
        <w:rPr>
          <w:color w:val="231F20"/>
          <w:spacing w:val="-2"/>
          <w:sz w:val="18"/>
          <w:szCs w:val="18"/>
        </w:rPr>
        <w:t xml:space="preserve"> </w:t>
      </w:r>
      <w:r w:rsidRPr="00221494">
        <w:rPr>
          <w:color w:val="231F20"/>
          <w:sz w:val="18"/>
          <w:szCs w:val="18"/>
        </w:rPr>
        <w:t>Finance.</w:t>
      </w:r>
      <w:r w:rsidRPr="00221494">
        <w:rPr>
          <w:color w:val="231F20"/>
          <w:spacing w:val="-2"/>
          <w:sz w:val="18"/>
          <w:szCs w:val="18"/>
        </w:rPr>
        <w:t xml:space="preserve"> </w:t>
      </w:r>
      <w:r w:rsidRPr="00221494">
        <w:rPr>
          <w:color w:val="231F20"/>
          <w:sz w:val="18"/>
          <w:szCs w:val="18"/>
        </w:rPr>
        <w:t>This</w:t>
      </w:r>
      <w:r w:rsidRPr="00221494">
        <w:rPr>
          <w:color w:val="231F20"/>
          <w:spacing w:val="40"/>
          <w:sz w:val="18"/>
          <w:szCs w:val="18"/>
        </w:rPr>
        <w:t xml:space="preserve"> </w:t>
      </w:r>
      <w:r w:rsidRPr="00221494">
        <w:rPr>
          <w:color w:val="231F20"/>
          <w:sz w:val="18"/>
          <w:szCs w:val="18"/>
        </w:rPr>
        <w:t>amount relates to all funding commitments incurred and drawdowns through grants from the Consolidated Funds.</w:t>
      </w:r>
    </w:p>
    <w:p w14:paraId="12C71DF6" w14:textId="77777777" w:rsidR="00345EE3" w:rsidRDefault="00345EE3" w:rsidP="00345EE3">
      <w:pPr>
        <w:rPr>
          <w:sz w:val="14"/>
        </w:rPr>
        <w:sectPr w:rsidR="00345EE3">
          <w:pgSz w:w="11910" w:h="16840"/>
          <w:pgMar w:top="700" w:right="720" w:bottom="280" w:left="740" w:header="720" w:footer="720" w:gutter="0"/>
          <w:cols w:space="720"/>
        </w:sectPr>
      </w:pPr>
    </w:p>
    <w:tbl>
      <w:tblPr>
        <w:tblW w:w="0" w:type="auto"/>
        <w:tblInd w:w="156" w:type="dxa"/>
        <w:tblLayout w:type="fixed"/>
        <w:tblCellMar>
          <w:left w:w="0" w:type="dxa"/>
          <w:right w:w="0" w:type="dxa"/>
        </w:tblCellMar>
        <w:tblLook w:val="0000" w:firstRow="0" w:lastRow="0" w:firstColumn="0" w:lastColumn="0" w:noHBand="0" w:noVBand="0"/>
      </w:tblPr>
      <w:tblGrid>
        <w:gridCol w:w="3628"/>
        <w:gridCol w:w="1078"/>
        <w:gridCol w:w="1814"/>
        <w:gridCol w:w="1134"/>
        <w:gridCol w:w="1417"/>
        <w:gridCol w:w="1134"/>
      </w:tblGrid>
      <w:tr w:rsidR="00345EE3" w:rsidRPr="00221494" w14:paraId="660AF951" w14:textId="77777777" w:rsidTr="00D73130">
        <w:trPr>
          <w:trHeight w:val="60"/>
          <w:tblHeader/>
        </w:trPr>
        <w:tc>
          <w:tcPr>
            <w:tcW w:w="7654" w:type="dxa"/>
            <w:gridSpan w:val="4"/>
            <w:tcBorders>
              <w:top w:val="single" w:sz="6" w:space="0" w:color="auto"/>
              <w:left w:val="single" w:sz="6" w:space="0" w:color="auto"/>
              <w:bottom w:val="single" w:sz="2" w:space="0" w:color="FFFFFF"/>
              <w:right w:val="single" w:sz="2" w:space="0" w:color="FFFFFF"/>
            </w:tcBorders>
            <w:shd w:val="solid" w:color="004996" w:fill="auto"/>
            <w:tcMar>
              <w:top w:w="99" w:type="dxa"/>
              <w:left w:w="14" w:type="dxa"/>
              <w:bottom w:w="99" w:type="dxa"/>
              <w:right w:w="14" w:type="dxa"/>
            </w:tcMar>
          </w:tcPr>
          <w:p w14:paraId="7BD52647"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221494">
              <w:rPr>
                <w:rFonts w:eastAsiaTheme="minorHAnsi"/>
                <w:b/>
                <w:bCs/>
                <w:color w:val="FFFFFF"/>
                <w:sz w:val="24"/>
                <w:szCs w:val="24"/>
                <w:lang w:val="en-GB"/>
              </w:rPr>
              <w:t>2022</w:t>
            </w:r>
          </w:p>
        </w:tc>
        <w:tc>
          <w:tcPr>
            <w:tcW w:w="2551" w:type="dxa"/>
            <w:gridSpan w:val="2"/>
            <w:tcBorders>
              <w:top w:val="single" w:sz="6" w:space="0" w:color="auto"/>
              <w:left w:val="single" w:sz="6" w:space="0" w:color="auto"/>
              <w:bottom w:val="single" w:sz="2" w:space="0" w:color="FFFFFF"/>
              <w:right w:val="single" w:sz="6" w:space="0" w:color="auto"/>
            </w:tcBorders>
            <w:shd w:val="solid" w:color="004996" w:fill="auto"/>
            <w:tcMar>
              <w:top w:w="99" w:type="dxa"/>
              <w:left w:w="14" w:type="dxa"/>
              <w:bottom w:w="99" w:type="dxa"/>
              <w:right w:w="14" w:type="dxa"/>
            </w:tcMar>
          </w:tcPr>
          <w:p w14:paraId="3B2A6FAC"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 thousand)</w:t>
            </w:r>
          </w:p>
        </w:tc>
      </w:tr>
      <w:tr w:rsidR="00345EE3" w:rsidRPr="00221494" w14:paraId="758F155B" w14:textId="77777777" w:rsidTr="00D73130">
        <w:trPr>
          <w:trHeight w:val="60"/>
          <w:tblHeader/>
        </w:trPr>
        <w:tc>
          <w:tcPr>
            <w:tcW w:w="3628" w:type="dxa"/>
            <w:tcBorders>
              <w:top w:val="single" w:sz="2" w:space="0" w:color="FFFFFF"/>
              <w:left w:val="single" w:sz="6" w:space="0" w:color="000000"/>
              <w:bottom w:val="single" w:sz="2" w:space="0" w:color="FFFFFF"/>
              <w:right w:val="single" w:sz="2" w:space="0" w:color="FFFFFF"/>
            </w:tcBorders>
            <w:shd w:val="solid" w:color="004996" w:fill="auto"/>
            <w:tcMar>
              <w:top w:w="99" w:type="dxa"/>
              <w:left w:w="14" w:type="dxa"/>
              <w:bottom w:w="99" w:type="dxa"/>
              <w:right w:w="14" w:type="dxa"/>
            </w:tcMar>
          </w:tcPr>
          <w:p w14:paraId="4E0B7E7A"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221494">
              <w:rPr>
                <w:rFonts w:eastAsiaTheme="minorHAnsi"/>
                <w:b/>
                <w:bCs/>
                <w:color w:val="FFFFFF"/>
                <w:sz w:val="24"/>
                <w:szCs w:val="24"/>
                <w:lang w:val="en-GB"/>
              </w:rPr>
              <w:t>Payments/Liabilities</w:t>
            </w:r>
          </w:p>
        </w:tc>
        <w:tc>
          <w:tcPr>
            <w:tcW w:w="1078" w:type="dxa"/>
            <w:vMerge w:val="restart"/>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29FFF74C"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221494">
              <w:rPr>
                <w:rFonts w:eastAsiaTheme="minorHAnsi"/>
                <w:b/>
                <w:bCs/>
                <w:color w:val="FFFFFF"/>
                <w:sz w:val="24"/>
                <w:szCs w:val="24"/>
                <w:lang w:val="en-GB"/>
              </w:rPr>
              <w:t>Portfolio Dept</w:t>
            </w:r>
          </w:p>
        </w:tc>
        <w:tc>
          <w:tcPr>
            <w:tcW w:w="2948" w:type="dxa"/>
            <w:gridSpan w:val="2"/>
            <w:tcBorders>
              <w:top w:val="single" w:sz="2" w:space="0" w:color="FFFFFF"/>
              <w:left w:val="single" w:sz="2" w:space="0" w:color="FFFFFF"/>
              <w:bottom w:val="single" w:sz="2" w:space="0" w:color="FFFFFF"/>
              <w:right w:val="single" w:sz="2" w:space="0" w:color="FFFFFF"/>
            </w:tcBorders>
            <w:shd w:val="solid" w:color="004996" w:fill="auto"/>
            <w:tcMar>
              <w:top w:w="99" w:type="dxa"/>
              <w:left w:w="14" w:type="dxa"/>
              <w:bottom w:w="99" w:type="dxa"/>
              <w:right w:w="14" w:type="dxa"/>
            </w:tcMar>
          </w:tcPr>
          <w:p w14:paraId="5BBEE471" w14:textId="77777777" w:rsidR="00345EE3" w:rsidRPr="00221494"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221494">
              <w:rPr>
                <w:rFonts w:eastAsiaTheme="minorHAnsi"/>
                <w:b/>
                <w:bCs/>
                <w:color w:val="FFFFFF"/>
                <w:sz w:val="24"/>
                <w:szCs w:val="24"/>
                <w:lang w:val="en-GB"/>
              </w:rPr>
              <w:t>Payments</w:t>
            </w:r>
          </w:p>
        </w:tc>
        <w:tc>
          <w:tcPr>
            <w:tcW w:w="2551" w:type="dxa"/>
            <w:gridSpan w:val="2"/>
            <w:tcBorders>
              <w:top w:val="single" w:sz="2" w:space="0" w:color="FFFFFF"/>
              <w:left w:val="single" w:sz="2" w:space="0" w:color="FFFFFF"/>
              <w:bottom w:val="single" w:sz="2" w:space="0" w:color="FFFFFF"/>
              <w:right w:val="single" w:sz="6" w:space="0" w:color="auto"/>
            </w:tcBorders>
            <w:shd w:val="solid" w:color="004996" w:fill="auto"/>
            <w:tcMar>
              <w:top w:w="99" w:type="dxa"/>
              <w:left w:w="14" w:type="dxa"/>
              <w:bottom w:w="99" w:type="dxa"/>
              <w:right w:w="14" w:type="dxa"/>
            </w:tcMar>
          </w:tcPr>
          <w:p w14:paraId="454EA7FB" w14:textId="77777777" w:rsidR="00345EE3" w:rsidRPr="00221494"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221494">
              <w:rPr>
                <w:rFonts w:eastAsiaTheme="minorHAnsi"/>
                <w:b/>
                <w:bCs/>
                <w:color w:val="FFFFFF"/>
                <w:sz w:val="24"/>
                <w:szCs w:val="24"/>
                <w:lang w:val="en-GB"/>
              </w:rPr>
              <w:t>Balance Outstanding</w:t>
            </w:r>
          </w:p>
        </w:tc>
      </w:tr>
      <w:tr w:rsidR="00345EE3" w:rsidRPr="00221494" w14:paraId="1CABE93C" w14:textId="77777777" w:rsidTr="00D73130">
        <w:trPr>
          <w:trHeight w:val="60"/>
          <w:tblHeader/>
        </w:trPr>
        <w:tc>
          <w:tcPr>
            <w:tcW w:w="3628" w:type="dxa"/>
            <w:tcBorders>
              <w:top w:val="single" w:sz="2" w:space="0" w:color="FFFFFF"/>
              <w:left w:val="single" w:sz="6" w:space="0" w:color="000000"/>
              <w:bottom w:val="single" w:sz="6" w:space="0" w:color="9D9C9C"/>
              <w:right w:val="single" w:sz="2" w:space="0" w:color="FFFFFF"/>
            </w:tcBorders>
            <w:shd w:val="solid" w:color="004996" w:fill="auto"/>
            <w:tcMar>
              <w:top w:w="99" w:type="dxa"/>
              <w:left w:w="14" w:type="dxa"/>
              <w:bottom w:w="99" w:type="dxa"/>
              <w:right w:w="14" w:type="dxa"/>
            </w:tcMar>
          </w:tcPr>
          <w:p w14:paraId="0D3347B6"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221494">
              <w:rPr>
                <w:rFonts w:eastAsiaTheme="minorHAnsi"/>
                <w:b/>
                <w:bCs/>
                <w:color w:val="FFFFFF"/>
                <w:sz w:val="24"/>
                <w:szCs w:val="24"/>
                <w:lang w:val="en-GB"/>
              </w:rPr>
              <w:t>Entity</w:t>
            </w:r>
          </w:p>
        </w:tc>
        <w:tc>
          <w:tcPr>
            <w:tcW w:w="1078" w:type="dxa"/>
            <w:vMerge/>
            <w:tcBorders>
              <w:top w:val="single" w:sz="6" w:space="0" w:color="9D9C9C"/>
              <w:left w:val="single" w:sz="2" w:space="0" w:color="FFFFFF"/>
              <w:bottom w:val="single" w:sz="6" w:space="0" w:color="9D9C9C"/>
              <w:right w:val="single" w:sz="2" w:space="0" w:color="FFFFFF"/>
            </w:tcBorders>
          </w:tcPr>
          <w:p w14:paraId="0352CA24" w14:textId="77777777" w:rsidR="00345EE3" w:rsidRPr="00221494" w:rsidRDefault="00345EE3" w:rsidP="00D73130">
            <w:pPr>
              <w:widowControl/>
              <w:adjustRightInd w:val="0"/>
              <w:rPr>
                <w:rFonts w:eastAsiaTheme="minorHAnsi"/>
                <w:sz w:val="24"/>
                <w:szCs w:val="24"/>
                <w:lang w:val="en-GB"/>
              </w:rPr>
            </w:pPr>
          </w:p>
        </w:tc>
        <w:tc>
          <w:tcPr>
            <w:tcW w:w="1814"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1A21835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Nature</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12B7BC22"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Amount</w:t>
            </w:r>
          </w:p>
        </w:tc>
        <w:tc>
          <w:tcPr>
            <w:tcW w:w="1417"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2DB91894"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Nature</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30F0B065"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Amount</w:t>
            </w:r>
          </w:p>
        </w:tc>
      </w:tr>
      <w:tr w:rsidR="00345EE3" w:rsidRPr="00221494" w14:paraId="559D3DD6"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A1F74C6"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 xml:space="preserve">Court Services of Victoria </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3CF7877"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CSV</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94D5155"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Court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26361D7F"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2,725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5164F1B"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43E57A9A"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64 </w:t>
            </w:r>
          </w:p>
        </w:tc>
      </w:tr>
      <w:tr w:rsidR="00345EE3" w:rsidRPr="00221494" w14:paraId="6306804C"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C5A170F"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Department of Justice and Community Safety</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7334588"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4FF5D42"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Various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53A9615A"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418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408924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77DFE2A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45 </w:t>
            </w:r>
          </w:p>
        </w:tc>
      </w:tr>
      <w:tr w:rsidR="00345EE3" w:rsidRPr="00221494" w14:paraId="7AF2227C"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B74D1D5"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Department of Premier and Cabinet</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BA29346"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DPC</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6F8B56D"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IT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4E54FE00"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3,217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DA112F4"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1760E306"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622 </w:t>
            </w:r>
          </w:p>
        </w:tc>
      </w:tr>
      <w:tr w:rsidR="00345EE3" w:rsidRPr="00221494" w14:paraId="278226E3"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3621EFED"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Department of Treasury and Finance</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EFE1AC2"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DTF</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5555F25"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Various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372FB9AD"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47,849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CF2F445"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4F91CD69"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79535A32"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71AA1F7"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Department of Transport</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3C44FDA"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DoT</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D38573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Licensing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75764D24"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2,415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67A439B"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2B806FF2"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475 </w:t>
            </w:r>
          </w:p>
        </w:tc>
      </w:tr>
      <w:tr w:rsidR="00345EE3" w:rsidRPr="00221494" w14:paraId="4C553720"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DB834B7"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Emergency Services Telecommunication Authority</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ECB1064"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F40CA34"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Tele-Communications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739A3316"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70,216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DA6B91E"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0018A3EC"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310 </w:t>
            </w:r>
          </w:p>
        </w:tc>
      </w:tr>
      <w:tr w:rsidR="00345EE3" w:rsidRPr="00221494" w14:paraId="57E839A7"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7C30AEC6"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State Revenue Office</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2ADDBD6"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DTF</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2D78EF7"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Payroll Tax</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729454B2"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133,362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F822EFE"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0051A9B5"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10,820 </w:t>
            </w:r>
          </w:p>
        </w:tc>
      </w:tr>
      <w:tr w:rsidR="00345EE3" w:rsidRPr="00221494" w14:paraId="1D373113"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2F89EA7"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Victorian Interpreting and Translating Service</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6EB2C82"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DPC</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71747C7"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Interpreting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332971E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995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802EE1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03743C3A"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0A2C67A2"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69625BA0"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VicRoads</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D61EC07"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DoT</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0A8BFC1"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Registration &amp; Records Check</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54D128A7"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968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7116AD4"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723C30E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1683BBF8"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64906C5E"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VicFleet Lease Management</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39A4D09"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DTF</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18A018D"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Leasing of Motor Vehicles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466A494D"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47,032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68AE8F5"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4A1804FA"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131,245 </w:t>
            </w:r>
          </w:p>
        </w:tc>
      </w:tr>
      <w:tr w:rsidR="00345EE3" w:rsidRPr="00221494" w14:paraId="3ED51B31"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56CEE811"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Victoria Government Solicitors Office</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AA9BF3F"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D1AC361"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Legal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46C644DE"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30,013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F4CD051"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00E07AD6"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822 </w:t>
            </w:r>
          </w:p>
        </w:tc>
      </w:tr>
      <w:tr w:rsidR="00345EE3" w:rsidRPr="00221494" w14:paraId="15389081"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1080EA2A"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Victoria Institute of Forensic Medicine</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CA41783"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E26D6A6"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Forensic Medical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3305AB3F"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12,018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B875CFC"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13072C3B"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1,281 </w:t>
            </w:r>
          </w:p>
        </w:tc>
      </w:tr>
      <w:tr w:rsidR="00345EE3" w:rsidRPr="00221494" w14:paraId="568B9BAD"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360C59C3"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Victoria WorkCover Authority</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2DC70D3"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DE1001B"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Insurance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2BCDE127"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143,391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4436ABD"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796298C4"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199A31B5" w14:textId="77777777" w:rsidTr="00D73130">
        <w:trPr>
          <w:trHeight w:val="60"/>
        </w:trPr>
        <w:tc>
          <w:tcPr>
            <w:tcW w:w="3628" w:type="dxa"/>
            <w:tcBorders>
              <w:top w:val="single" w:sz="2" w:space="0" w:color="9D9C9C"/>
              <w:left w:val="single" w:sz="6" w:space="0" w:color="000000"/>
              <w:bottom w:val="single" w:sz="6" w:space="0" w:color="000000"/>
              <w:right w:val="single" w:sz="2" w:space="0" w:color="9D9C9C"/>
            </w:tcBorders>
            <w:tcMar>
              <w:top w:w="99" w:type="dxa"/>
              <w:left w:w="14" w:type="dxa"/>
              <w:bottom w:w="99" w:type="dxa"/>
              <w:right w:w="14" w:type="dxa"/>
            </w:tcMar>
          </w:tcPr>
          <w:p w14:paraId="44E01B15"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Victoria Managed Insurance Authority</w:t>
            </w:r>
          </w:p>
        </w:tc>
        <w:tc>
          <w:tcPr>
            <w:tcW w:w="1078" w:type="dxa"/>
            <w:tcBorders>
              <w:top w:val="single" w:sz="2" w:space="0" w:color="9D9C9C"/>
              <w:left w:val="single" w:sz="2" w:space="0" w:color="9D9C9C"/>
              <w:bottom w:val="single" w:sz="6" w:space="0" w:color="000000"/>
              <w:right w:val="single" w:sz="2" w:space="0" w:color="9D9C9C"/>
            </w:tcBorders>
            <w:tcMar>
              <w:top w:w="99" w:type="dxa"/>
              <w:left w:w="14" w:type="dxa"/>
              <w:bottom w:w="99" w:type="dxa"/>
              <w:right w:w="14" w:type="dxa"/>
            </w:tcMar>
          </w:tcPr>
          <w:p w14:paraId="647BC94C"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DTF</w:t>
            </w:r>
          </w:p>
        </w:tc>
        <w:tc>
          <w:tcPr>
            <w:tcW w:w="1814" w:type="dxa"/>
            <w:tcBorders>
              <w:top w:val="single" w:sz="2" w:space="0" w:color="9D9C9C"/>
              <w:left w:val="single" w:sz="2" w:space="0" w:color="9D9C9C"/>
              <w:bottom w:val="single" w:sz="6" w:space="0" w:color="000000"/>
              <w:right w:val="single" w:sz="2" w:space="0" w:color="9D9C9C"/>
            </w:tcBorders>
            <w:tcMar>
              <w:top w:w="99" w:type="dxa"/>
              <w:left w:w="14" w:type="dxa"/>
              <w:bottom w:w="99" w:type="dxa"/>
              <w:right w:w="14" w:type="dxa"/>
            </w:tcMar>
          </w:tcPr>
          <w:p w14:paraId="7BE64C30"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Insurance</w:t>
            </w:r>
          </w:p>
        </w:tc>
        <w:tc>
          <w:tcPr>
            <w:tcW w:w="1134" w:type="dxa"/>
            <w:tcBorders>
              <w:top w:val="single" w:sz="2" w:space="0" w:color="9D9C9C"/>
              <w:left w:val="single" w:sz="2" w:space="0" w:color="9D9C9C"/>
              <w:bottom w:val="single" w:sz="6" w:space="0" w:color="000000"/>
              <w:right w:val="single" w:sz="2" w:space="0" w:color="9D9C9C"/>
            </w:tcBorders>
            <w:shd w:val="solid" w:color="ECECEC" w:fill="auto"/>
            <w:tcMar>
              <w:top w:w="99" w:type="dxa"/>
              <w:left w:w="14" w:type="dxa"/>
              <w:bottom w:w="99" w:type="dxa"/>
              <w:right w:w="14" w:type="dxa"/>
            </w:tcMar>
          </w:tcPr>
          <w:p w14:paraId="4D05B6A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7,811 </w:t>
            </w:r>
          </w:p>
        </w:tc>
        <w:tc>
          <w:tcPr>
            <w:tcW w:w="1417" w:type="dxa"/>
            <w:tcBorders>
              <w:top w:val="single" w:sz="2" w:space="0" w:color="9D9C9C"/>
              <w:left w:val="single" w:sz="2" w:space="0" w:color="9D9C9C"/>
              <w:bottom w:val="single" w:sz="6" w:space="0" w:color="000000"/>
              <w:right w:val="single" w:sz="2" w:space="0" w:color="9D9C9C"/>
            </w:tcBorders>
            <w:tcMar>
              <w:top w:w="99" w:type="dxa"/>
              <w:left w:w="14" w:type="dxa"/>
              <w:bottom w:w="99" w:type="dxa"/>
              <w:right w:w="14" w:type="dxa"/>
            </w:tcMar>
          </w:tcPr>
          <w:p w14:paraId="6F3C65F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6" w:space="0" w:color="000000"/>
              <w:right w:val="single" w:sz="6" w:space="0" w:color="9D9C9C"/>
            </w:tcBorders>
            <w:shd w:val="solid" w:color="ECECEC" w:fill="auto"/>
            <w:tcMar>
              <w:top w:w="99" w:type="dxa"/>
              <w:left w:w="14" w:type="dxa"/>
              <w:bottom w:w="99" w:type="dxa"/>
              <w:right w:w="14" w:type="dxa"/>
            </w:tcMar>
          </w:tcPr>
          <w:p w14:paraId="7B201A34"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994</w:t>
            </w:r>
          </w:p>
        </w:tc>
      </w:tr>
    </w:tbl>
    <w:p w14:paraId="4B71A71F" w14:textId="77777777" w:rsidR="00345EE3" w:rsidRDefault="00345EE3" w:rsidP="00345EE3">
      <w:pPr>
        <w:pStyle w:val="BodyText"/>
        <w:spacing w:before="1" w:after="1"/>
        <w:rPr>
          <w:b/>
          <w:sz w:val="29"/>
        </w:rPr>
      </w:pPr>
    </w:p>
    <w:p w14:paraId="62253D35" w14:textId="77777777" w:rsidR="00345EE3" w:rsidRDefault="00345EE3" w:rsidP="00345EE3">
      <w:pPr>
        <w:rPr>
          <w:sz w:val="24"/>
        </w:rPr>
        <w:sectPr w:rsidR="00345EE3">
          <w:pgSz w:w="11910" w:h="16840"/>
          <w:pgMar w:top="700" w:right="720" w:bottom="280" w:left="740" w:header="720" w:footer="720" w:gutter="0"/>
          <w:cols w:space="720"/>
        </w:sectPr>
      </w:pPr>
    </w:p>
    <w:tbl>
      <w:tblPr>
        <w:tblW w:w="10205" w:type="dxa"/>
        <w:tblInd w:w="156" w:type="dxa"/>
        <w:tblLayout w:type="fixed"/>
        <w:tblCellMar>
          <w:left w:w="0" w:type="dxa"/>
          <w:right w:w="0" w:type="dxa"/>
        </w:tblCellMar>
        <w:tblLook w:val="0000" w:firstRow="0" w:lastRow="0" w:firstColumn="0" w:lastColumn="0" w:noHBand="0" w:noVBand="0"/>
      </w:tblPr>
      <w:tblGrid>
        <w:gridCol w:w="3912"/>
        <w:gridCol w:w="1077"/>
        <w:gridCol w:w="1531"/>
        <w:gridCol w:w="1134"/>
        <w:gridCol w:w="1417"/>
        <w:gridCol w:w="1134"/>
      </w:tblGrid>
      <w:tr w:rsidR="00345EE3" w:rsidRPr="00645B84" w14:paraId="7E3D41CF" w14:textId="77777777" w:rsidTr="00D73130">
        <w:trPr>
          <w:trHeight w:val="60"/>
          <w:tblHeader/>
        </w:trPr>
        <w:tc>
          <w:tcPr>
            <w:tcW w:w="7654" w:type="dxa"/>
            <w:gridSpan w:val="4"/>
            <w:tcBorders>
              <w:top w:val="single" w:sz="6" w:space="0" w:color="000000"/>
              <w:left w:val="single" w:sz="6" w:space="0" w:color="000000"/>
              <w:bottom w:val="single" w:sz="2" w:space="0" w:color="FFFFFF"/>
              <w:right w:val="single" w:sz="2" w:space="0" w:color="FFFFFF"/>
            </w:tcBorders>
            <w:shd w:val="solid" w:color="004996" w:fill="auto"/>
            <w:tcMar>
              <w:top w:w="99" w:type="dxa"/>
              <w:left w:w="14" w:type="dxa"/>
              <w:bottom w:w="99" w:type="dxa"/>
              <w:right w:w="14" w:type="dxa"/>
            </w:tcMar>
          </w:tcPr>
          <w:p w14:paraId="49A9F82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2021</w:t>
            </w:r>
          </w:p>
        </w:tc>
        <w:tc>
          <w:tcPr>
            <w:tcW w:w="2551" w:type="dxa"/>
            <w:gridSpan w:val="2"/>
            <w:tcBorders>
              <w:top w:val="single" w:sz="6" w:space="0" w:color="9D9C9C"/>
              <w:left w:val="single" w:sz="6" w:space="0" w:color="FFFFFF"/>
              <w:bottom w:val="single" w:sz="2" w:space="0" w:color="FFFFFF"/>
              <w:right w:val="single" w:sz="6" w:space="0" w:color="auto"/>
            </w:tcBorders>
            <w:shd w:val="solid" w:color="004996" w:fill="auto"/>
            <w:tcMar>
              <w:top w:w="99" w:type="dxa"/>
              <w:left w:w="14" w:type="dxa"/>
              <w:bottom w:w="99" w:type="dxa"/>
              <w:right w:w="14" w:type="dxa"/>
            </w:tcMar>
          </w:tcPr>
          <w:p w14:paraId="18A14769"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 thousand)</w:t>
            </w:r>
          </w:p>
        </w:tc>
      </w:tr>
      <w:tr w:rsidR="00345EE3" w:rsidRPr="00645B84" w14:paraId="171BB5A1" w14:textId="77777777" w:rsidTr="00D73130">
        <w:trPr>
          <w:trHeight w:val="60"/>
          <w:tblHeader/>
        </w:trPr>
        <w:tc>
          <w:tcPr>
            <w:tcW w:w="3912" w:type="dxa"/>
            <w:tcBorders>
              <w:top w:val="single" w:sz="2" w:space="0" w:color="FFFFFF"/>
              <w:left w:val="single" w:sz="6" w:space="0" w:color="000000"/>
              <w:bottom w:val="single" w:sz="2" w:space="0" w:color="FFFFFF"/>
              <w:right w:val="single" w:sz="2" w:space="0" w:color="FFFFFF"/>
            </w:tcBorders>
            <w:shd w:val="solid" w:color="004996" w:fill="auto"/>
            <w:tcMar>
              <w:top w:w="99" w:type="dxa"/>
              <w:left w:w="14" w:type="dxa"/>
              <w:bottom w:w="99" w:type="dxa"/>
              <w:right w:w="14" w:type="dxa"/>
            </w:tcMar>
          </w:tcPr>
          <w:p w14:paraId="0F12AB0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Receipts/Receivables</w:t>
            </w:r>
          </w:p>
        </w:tc>
        <w:tc>
          <w:tcPr>
            <w:tcW w:w="1077" w:type="dxa"/>
            <w:vMerge w:val="restart"/>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5A37AC5E"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Portfolio Dept</w:t>
            </w:r>
          </w:p>
        </w:tc>
        <w:tc>
          <w:tcPr>
            <w:tcW w:w="2665" w:type="dxa"/>
            <w:gridSpan w:val="2"/>
            <w:tcBorders>
              <w:top w:val="single" w:sz="2" w:space="0" w:color="FFFFFF"/>
              <w:left w:val="single" w:sz="2" w:space="0" w:color="FFFFFF"/>
              <w:bottom w:val="single" w:sz="2" w:space="0" w:color="FFFFFF"/>
              <w:right w:val="single" w:sz="2" w:space="0" w:color="FFFFFF"/>
            </w:tcBorders>
            <w:shd w:val="solid" w:color="004996" w:fill="auto"/>
            <w:tcMar>
              <w:top w:w="99" w:type="dxa"/>
              <w:left w:w="14" w:type="dxa"/>
              <w:bottom w:w="99" w:type="dxa"/>
              <w:right w:w="14" w:type="dxa"/>
            </w:tcMar>
          </w:tcPr>
          <w:p w14:paraId="24DC6BEA" w14:textId="77777777" w:rsidR="00345EE3" w:rsidRPr="00645B84"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645B84">
              <w:rPr>
                <w:rFonts w:eastAsiaTheme="minorHAnsi"/>
                <w:b/>
                <w:bCs/>
                <w:color w:val="FFFFFF"/>
                <w:sz w:val="24"/>
                <w:szCs w:val="24"/>
                <w:lang w:val="en-GB"/>
              </w:rPr>
              <w:t>Receipts</w:t>
            </w:r>
          </w:p>
        </w:tc>
        <w:tc>
          <w:tcPr>
            <w:tcW w:w="2551" w:type="dxa"/>
            <w:gridSpan w:val="2"/>
            <w:tcBorders>
              <w:top w:val="single" w:sz="2" w:space="0" w:color="FFFFFF"/>
              <w:left w:val="single" w:sz="2" w:space="0" w:color="FFFFFF"/>
              <w:bottom w:val="single" w:sz="2" w:space="0" w:color="FFFFFF"/>
              <w:right w:val="single" w:sz="6" w:space="0" w:color="auto"/>
            </w:tcBorders>
            <w:shd w:val="solid" w:color="004996" w:fill="auto"/>
            <w:tcMar>
              <w:top w:w="99" w:type="dxa"/>
              <w:left w:w="14" w:type="dxa"/>
              <w:bottom w:w="99" w:type="dxa"/>
              <w:right w:w="14" w:type="dxa"/>
            </w:tcMar>
          </w:tcPr>
          <w:p w14:paraId="3724BAB6" w14:textId="77777777" w:rsidR="00345EE3" w:rsidRPr="00645B84"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Balance Outstanding</w:t>
            </w:r>
          </w:p>
        </w:tc>
      </w:tr>
      <w:tr w:rsidR="00345EE3" w:rsidRPr="00645B84" w14:paraId="60A07ABC" w14:textId="77777777" w:rsidTr="00D73130">
        <w:trPr>
          <w:trHeight w:val="60"/>
          <w:tblHeader/>
        </w:trPr>
        <w:tc>
          <w:tcPr>
            <w:tcW w:w="3912" w:type="dxa"/>
            <w:tcBorders>
              <w:top w:val="single" w:sz="2" w:space="0" w:color="FFFFFF"/>
              <w:left w:val="single" w:sz="6" w:space="0" w:color="000000"/>
              <w:bottom w:val="single" w:sz="6" w:space="0" w:color="9D9C9C"/>
              <w:right w:val="single" w:sz="2" w:space="0" w:color="FFFFFF"/>
            </w:tcBorders>
            <w:shd w:val="solid" w:color="004996" w:fill="auto"/>
            <w:tcMar>
              <w:top w:w="99" w:type="dxa"/>
              <w:left w:w="14" w:type="dxa"/>
              <w:bottom w:w="99" w:type="dxa"/>
              <w:right w:w="14" w:type="dxa"/>
            </w:tcMar>
          </w:tcPr>
          <w:p w14:paraId="1D13AF5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Entity</w:t>
            </w:r>
          </w:p>
        </w:tc>
        <w:tc>
          <w:tcPr>
            <w:tcW w:w="1077" w:type="dxa"/>
            <w:vMerge/>
            <w:tcBorders>
              <w:top w:val="single" w:sz="6" w:space="0" w:color="9D9C9C"/>
              <w:left w:val="single" w:sz="2" w:space="0" w:color="FFFFFF"/>
              <w:bottom w:val="single" w:sz="6" w:space="0" w:color="9D9C9C"/>
              <w:right w:val="single" w:sz="2" w:space="0" w:color="FFFFFF"/>
            </w:tcBorders>
          </w:tcPr>
          <w:p w14:paraId="173A6BE2" w14:textId="77777777" w:rsidR="00345EE3" w:rsidRPr="00645B84" w:rsidRDefault="00345EE3" w:rsidP="00D73130">
            <w:pPr>
              <w:widowControl/>
              <w:adjustRightInd w:val="0"/>
              <w:rPr>
                <w:rFonts w:eastAsiaTheme="minorHAnsi"/>
                <w:sz w:val="24"/>
                <w:szCs w:val="24"/>
                <w:lang w:val="en-GB"/>
              </w:rPr>
            </w:pPr>
          </w:p>
        </w:tc>
        <w:tc>
          <w:tcPr>
            <w:tcW w:w="1531"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37497752"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Nature</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187363CD"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Amount</w:t>
            </w:r>
          </w:p>
        </w:tc>
        <w:tc>
          <w:tcPr>
            <w:tcW w:w="1417" w:type="dxa"/>
            <w:tcBorders>
              <w:top w:val="single" w:sz="2" w:space="0" w:color="FFFFFF"/>
              <w:left w:val="single" w:sz="2" w:space="0" w:color="FFFFFF"/>
              <w:bottom w:val="single" w:sz="6" w:space="0" w:color="9D9C9C"/>
              <w:right w:val="single" w:sz="6" w:space="0" w:color="auto"/>
            </w:tcBorders>
            <w:shd w:val="solid" w:color="004996" w:fill="auto"/>
            <w:tcMar>
              <w:top w:w="99" w:type="dxa"/>
              <w:left w:w="14" w:type="dxa"/>
              <w:bottom w:w="99" w:type="dxa"/>
              <w:right w:w="14" w:type="dxa"/>
            </w:tcMar>
          </w:tcPr>
          <w:p w14:paraId="1DC86F3D"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Nature</w:t>
            </w:r>
          </w:p>
        </w:tc>
        <w:tc>
          <w:tcPr>
            <w:tcW w:w="1134" w:type="dxa"/>
            <w:tcBorders>
              <w:top w:val="single" w:sz="2" w:space="0" w:color="FFFFFF"/>
              <w:left w:val="single" w:sz="6" w:space="0" w:color="auto"/>
              <w:bottom w:val="single" w:sz="6" w:space="0" w:color="auto"/>
              <w:right w:val="single" w:sz="6" w:space="0" w:color="auto"/>
            </w:tcBorders>
            <w:shd w:val="solid" w:color="004996" w:fill="auto"/>
            <w:tcMar>
              <w:top w:w="99" w:type="dxa"/>
              <w:left w:w="14" w:type="dxa"/>
              <w:bottom w:w="99" w:type="dxa"/>
              <w:right w:w="14" w:type="dxa"/>
            </w:tcMar>
          </w:tcPr>
          <w:p w14:paraId="2D6040BE"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Amount</w:t>
            </w:r>
          </w:p>
        </w:tc>
      </w:tr>
      <w:tr w:rsidR="00345EE3" w:rsidRPr="00645B84" w14:paraId="3315F598" w14:textId="77777777" w:rsidTr="00D73130">
        <w:trPr>
          <w:trHeight w:val="60"/>
        </w:trPr>
        <w:tc>
          <w:tcPr>
            <w:tcW w:w="3912" w:type="dxa"/>
            <w:vMerge w:val="restart"/>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vAlign w:val="center"/>
          </w:tcPr>
          <w:p w14:paraId="0791639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 of Justice and Community Safety</w:t>
            </w:r>
          </w:p>
        </w:tc>
        <w:tc>
          <w:tcPr>
            <w:tcW w:w="1077" w:type="dxa"/>
            <w:vMerge w:val="restart"/>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vAlign w:val="center"/>
          </w:tcPr>
          <w:p w14:paraId="6FA6D49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DJCS</w:t>
            </w: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E36E0A0"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A543B75"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4,088,960 </w:t>
            </w:r>
          </w:p>
        </w:tc>
        <w:tc>
          <w:tcPr>
            <w:tcW w:w="1417" w:type="dxa"/>
            <w:vMerge w:val="restart"/>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vAlign w:val="center"/>
          </w:tcPr>
          <w:p w14:paraId="1C79CF8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Receivables</w:t>
            </w:r>
          </w:p>
        </w:tc>
        <w:tc>
          <w:tcPr>
            <w:tcW w:w="1134" w:type="dxa"/>
            <w:vMerge w:val="restart"/>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vAlign w:val="center"/>
          </w:tcPr>
          <w:p w14:paraId="081BF1C0"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685,234 </w:t>
            </w:r>
          </w:p>
        </w:tc>
      </w:tr>
      <w:tr w:rsidR="00345EE3" w:rsidRPr="00645B84" w14:paraId="2CB3789B" w14:textId="77777777" w:rsidTr="00D73130">
        <w:trPr>
          <w:trHeight w:val="60"/>
        </w:trPr>
        <w:tc>
          <w:tcPr>
            <w:tcW w:w="3912" w:type="dxa"/>
            <w:vMerge/>
            <w:tcBorders>
              <w:top w:val="single" w:sz="2" w:space="0" w:color="9D9C9C"/>
              <w:left w:val="single" w:sz="6" w:space="0" w:color="000000"/>
              <w:bottom w:val="single" w:sz="2" w:space="0" w:color="9D9C9C"/>
              <w:right w:val="single" w:sz="2" w:space="0" w:color="9D9C9C"/>
            </w:tcBorders>
          </w:tcPr>
          <w:p w14:paraId="6C7B8D73" w14:textId="77777777" w:rsidR="00345EE3" w:rsidRPr="00645B84" w:rsidRDefault="00345EE3" w:rsidP="00D73130">
            <w:pPr>
              <w:widowControl/>
              <w:adjustRightInd w:val="0"/>
              <w:rPr>
                <w:rFonts w:eastAsiaTheme="minorHAnsi"/>
                <w:sz w:val="24"/>
                <w:szCs w:val="24"/>
                <w:lang w:val="en-GB"/>
              </w:rPr>
            </w:pPr>
          </w:p>
        </w:tc>
        <w:tc>
          <w:tcPr>
            <w:tcW w:w="1077" w:type="dxa"/>
            <w:vMerge/>
            <w:tcBorders>
              <w:top w:val="single" w:sz="2" w:space="0" w:color="9D9C9C"/>
              <w:left w:val="single" w:sz="2" w:space="0" w:color="9D9C9C"/>
              <w:bottom w:val="single" w:sz="2" w:space="0" w:color="9D9C9C"/>
              <w:right w:val="single" w:sz="2" w:space="0" w:color="9D9C9C"/>
            </w:tcBorders>
          </w:tcPr>
          <w:p w14:paraId="5AEE6EAF" w14:textId="77777777" w:rsidR="00345EE3" w:rsidRPr="00645B84"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8191DC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Other Income</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698D601"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990 </w:t>
            </w:r>
          </w:p>
        </w:tc>
        <w:tc>
          <w:tcPr>
            <w:tcW w:w="1417" w:type="dxa"/>
            <w:vMerge/>
            <w:tcBorders>
              <w:top w:val="single" w:sz="2" w:space="0" w:color="9D9C9C"/>
              <w:left w:val="single" w:sz="2" w:space="0" w:color="9D9C9C"/>
              <w:bottom w:val="single" w:sz="2" w:space="0" w:color="9D9C9C"/>
              <w:right w:val="single" w:sz="2" w:space="0" w:color="9D9C9C"/>
            </w:tcBorders>
          </w:tcPr>
          <w:p w14:paraId="7056B55C" w14:textId="77777777" w:rsidR="00345EE3" w:rsidRPr="00645B84" w:rsidRDefault="00345EE3" w:rsidP="00D73130">
            <w:pPr>
              <w:widowControl/>
              <w:adjustRightInd w:val="0"/>
              <w:rPr>
                <w:rFonts w:eastAsiaTheme="minorHAnsi"/>
                <w:sz w:val="24"/>
                <w:szCs w:val="24"/>
                <w:lang w:val="en-GB"/>
              </w:rPr>
            </w:pPr>
          </w:p>
        </w:tc>
        <w:tc>
          <w:tcPr>
            <w:tcW w:w="1134" w:type="dxa"/>
            <w:vMerge/>
            <w:tcBorders>
              <w:top w:val="single" w:sz="2" w:space="0" w:color="9D9C9C"/>
              <w:left w:val="single" w:sz="2" w:space="0" w:color="9D9C9C"/>
              <w:bottom w:val="single" w:sz="2" w:space="0" w:color="9D9C9C"/>
              <w:right w:val="single" w:sz="6" w:space="0" w:color="9D9C9C"/>
            </w:tcBorders>
          </w:tcPr>
          <w:p w14:paraId="497871D3" w14:textId="77777777" w:rsidR="00345EE3" w:rsidRPr="00645B84" w:rsidRDefault="00345EE3" w:rsidP="00D73130">
            <w:pPr>
              <w:widowControl/>
              <w:adjustRightInd w:val="0"/>
              <w:rPr>
                <w:rFonts w:eastAsiaTheme="minorHAnsi"/>
                <w:sz w:val="24"/>
                <w:szCs w:val="24"/>
                <w:lang w:val="en-GB"/>
              </w:rPr>
            </w:pPr>
          </w:p>
        </w:tc>
      </w:tr>
      <w:tr w:rsidR="00345EE3" w:rsidRPr="00645B84" w14:paraId="7340FB89" w14:textId="77777777" w:rsidTr="00D73130">
        <w:trPr>
          <w:trHeight w:val="60"/>
        </w:trPr>
        <w:tc>
          <w:tcPr>
            <w:tcW w:w="3912"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7C269AB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 of Environment Land Water and Planning</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0093D9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DPC</w:t>
            </w: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D8D6443"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44C290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1,445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8CF6882"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67E91113"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306C1E60" w14:textId="77777777" w:rsidTr="00D73130">
        <w:trPr>
          <w:trHeight w:val="60"/>
        </w:trPr>
        <w:tc>
          <w:tcPr>
            <w:tcW w:w="3912"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1EFEBDB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 of Premier and Cabinet</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DC0F49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DoT</w:t>
            </w: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E732568"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26EF29B"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3,129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55DE664"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2E5C927A"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66AC29EB" w14:textId="77777777" w:rsidTr="00D73130">
        <w:trPr>
          <w:trHeight w:val="60"/>
        </w:trPr>
        <w:tc>
          <w:tcPr>
            <w:tcW w:w="3912" w:type="dxa"/>
            <w:vMerge w:val="restart"/>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vAlign w:val="center"/>
          </w:tcPr>
          <w:p w14:paraId="3ED60A5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Transport Accident Commission</w:t>
            </w:r>
          </w:p>
        </w:tc>
        <w:tc>
          <w:tcPr>
            <w:tcW w:w="1077" w:type="dxa"/>
            <w:vMerge w:val="restart"/>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vAlign w:val="center"/>
          </w:tcPr>
          <w:p w14:paraId="3458622F"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DoT</w:t>
            </w: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DBB7B18"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Contributions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C6E0F46"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1,695 </w:t>
            </w:r>
          </w:p>
        </w:tc>
        <w:tc>
          <w:tcPr>
            <w:tcW w:w="1417" w:type="dxa"/>
            <w:vMerge w:val="restart"/>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vAlign w:val="center"/>
          </w:tcPr>
          <w:p w14:paraId="054CDC2E"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Receivables</w:t>
            </w:r>
          </w:p>
        </w:tc>
        <w:tc>
          <w:tcPr>
            <w:tcW w:w="1134" w:type="dxa"/>
            <w:vMerge w:val="restart"/>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vAlign w:val="center"/>
          </w:tcPr>
          <w:p w14:paraId="70A78BD4"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791 </w:t>
            </w:r>
          </w:p>
        </w:tc>
      </w:tr>
      <w:tr w:rsidR="00345EE3" w:rsidRPr="00645B84" w14:paraId="292EF4EF" w14:textId="77777777" w:rsidTr="00D73130">
        <w:trPr>
          <w:trHeight w:val="60"/>
        </w:trPr>
        <w:tc>
          <w:tcPr>
            <w:tcW w:w="3912" w:type="dxa"/>
            <w:vMerge/>
            <w:tcBorders>
              <w:top w:val="single" w:sz="2" w:space="0" w:color="9D9C9C"/>
              <w:left w:val="single" w:sz="6" w:space="0" w:color="000000"/>
              <w:bottom w:val="single" w:sz="2" w:space="0" w:color="9D9C9C"/>
              <w:right w:val="single" w:sz="2" w:space="0" w:color="9D9C9C"/>
            </w:tcBorders>
          </w:tcPr>
          <w:p w14:paraId="75D0F768" w14:textId="77777777" w:rsidR="00345EE3" w:rsidRPr="00645B84" w:rsidRDefault="00345EE3" w:rsidP="00D73130">
            <w:pPr>
              <w:widowControl/>
              <w:adjustRightInd w:val="0"/>
              <w:rPr>
                <w:rFonts w:eastAsiaTheme="minorHAnsi"/>
                <w:sz w:val="24"/>
                <w:szCs w:val="24"/>
                <w:lang w:val="en-GB"/>
              </w:rPr>
            </w:pPr>
          </w:p>
        </w:tc>
        <w:tc>
          <w:tcPr>
            <w:tcW w:w="1077" w:type="dxa"/>
            <w:vMerge/>
            <w:tcBorders>
              <w:top w:val="single" w:sz="2" w:space="0" w:color="9D9C9C"/>
              <w:left w:val="single" w:sz="2" w:space="0" w:color="9D9C9C"/>
              <w:bottom w:val="single" w:sz="2" w:space="0" w:color="9D9C9C"/>
              <w:right w:val="single" w:sz="2" w:space="0" w:color="9D9C9C"/>
            </w:tcBorders>
          </w:tcPr>
          <w:p w14:paraId="6CB04538" w14:textId="77777777" w:rsidR="00345EE3" w:rsidRPr="00645B84"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15C59A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EE8FDB8"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4,623 </w:t>
            </w:r>
          </w:p>
        </w:tc>
        <w:tc>
          <w:tcPr>
            <w:tcW w:w="1417" w:type="dxa"/>
            <w:vMerge/>
            <w:tcBorders>
              <w:top w:val="single" w:sz="2" w:space="0" w:color="9D9C9C"/>
              <w:left w:val="single" w:sz="2" w:space="0" w:color="9D9C9C"/>
              <w:bottom w:val="single" w:sz="2" w:space="0" w:color="9D9C9C"/>
              <w:right w:val="single" w:sz="2" w:space="0" w:color="9D9C9C"/>
            </w:tcBorders>
          </w:tcPr>
          <w:p w14:paraId="1B5A3458" w14:textId="77777777" w:rsidR="00345EE3" w:rsidRPr="00645B84" w:rsidRDefault="00345EE3" w:rsidP="00D73130">
            <w:pPr>
              <w:widowControl/>
              <w:adjustRightInd w:val="0"/>
              <w:rPr>
                <w:rFonts w:eastAsiaTheme="minorHAnsi"/>
                <w:sz w:val="24"/>
                <w:szCs w:val="24"/>
                <w:lang w:val="en-GB"/>
              </w:rPr>
            </w:pPr>
          </w:p>
        </w:tc>
        <w:tc>
          <w:tcPr>
            <w:tcW w:w="1134" w:type="dxa"/>
            <w:vMerge/>
            <w:tcBorders>
              <w:top w:val="single" w:sz="2" w:space="0" w:color="9D9C9C"/>
              <w:left w:val="single" w:sz="2" w:space="0" w:color="9D9C9C"/>
              <w:bottom w:val="single" w:sz="2" w:space="0" w:color="9D9C9C"/>
              <w:right w:val="single" w:sz="6" w:space="0" w:color="9D9C9C"/>
            </w:tcBorders>
          </w:tcPr>
          <w:p w14:paraId="6E96C5CB" w14:textId="77777777" w:rsidR="00345EE3" w:rsidRPr="00645B84" w:rsidRDefault="00345EE3" w:rsidP="00D73130">
            <w:pPr>
              <w:widowControl/>
              <w:adjustRightInd w:val="0"/>
              <w:rPr>
                <w:rFonts w:eastAsiaTheme="minorHAnsi"/>
                <w:sz w:val="24"/>
                <w:szCs w:val="24"/>
                <w:lang w:val="en-GB"/>
              </w:rPr>
            </w:pPr>
          </w:p>
        </w:tc>
      </w:tr>
      <w:tr w:rsidR="00345EE3" w:rsidRPr="00645B84" w14:paraId="3FCCA391" w14:textId="77777777" w:rsidTr="00D73130">
        <w:trPr>
          <w:trHeight w:val="60"/>
        </w:trPr>
        <w:tc>
          <w:tcPr>
            <w:tcW w:w="3912"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97735C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Victorian Managed Insurance Authority</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D574C5E"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DTF</w:t>
            </w: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9197EA6"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Insurance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21C919A"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15,271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D0A9EFB"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7B81DB72"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39BFBB99" w14:textId="77777777" w:rsidTr="00D73130">
        <w:trPr>
          <w:trHeight w:val="60"/>
        </w:trPr>
        <w:tc>
          <w:tcPr>
            <w:tcW w:w="3912" w:type="dxa"/>
            <w:vMerge w:val="restart"/>
            <w:tcBorders>
              <w:top w:val="single" w:sz="2" w:space="0" w:color="9D9C9C"/>
              <w:left w:val="single" w:sz="6" w:space="0" w:color="000000"/>
              <w:bottom w:val="single" w:sz="6" w:space="0" w:color="000000"/>
              <w:right w:val="single" w:sz="2" w:space="0" w:color="9D9C9C"/>
            </w:tcBorders>
            <w:tcMar>
              <w:top w:w="99" w:type="dxa"/>
              <w:left w:w="14" w:type="dxa"/>
              <w:bottom w:w="99" w:type="dxa"/>
              <w:right w:w="14" w:type="dxa"/>
            </w:tcMar>
            <w:vAlign w:val="center"/>
          </w:tcPr>
          <w:p w14:paraId="28ABD4F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Victorian WorkCover Authority</w:t>
            </w:r>
          </w:p>
        </w:tc>
        <w:tc>
          <w:tcPr>
            <w:tcW w:w="1077" w:type="dxa"/>
            <w:vMerge w:val="restart"/>
            <w:tcBorders>
              <w:top w:val="single" w:sz="2" w:space="0" w:color="9D9C9C"/>
              <w:left w:val="single" w:sz="2" w:space="0" w:color="9D9C9C"/>
              <w:bottom w:val="single" w:sz="6" w:space="0" w:color="000000"/>
              <w:right w:val="single" w:sz="2" w:space="0" w:color="9D9C9C"/>
            </w:tcBorders>
            <w:tcMar>
              <w:top w:w="99" w:type="dxa"/>
              <w:left w:w="14" w:type="dxa"/>
              <w:bottom w:w="99" w:type="dxa"/>
              <w:right w:w="14" w:type="dxa"/>
            </w:tcMar>
            <w:vAlign w:val="center"/>
          </w:tcPr>
          <w:p w14:paraId="6315885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DJCS</w:t>
            </w: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C1BE9BD"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5E2CEBA"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53 </w:t>
            </w:r>
          </w:p>
        </w:tc>
        <w:tc>
          <w:tcPr>
            <w:tcW w:w="1417" w:type="dxa"/>
            <w:vMerge w:val="restart"/>
            <w:tcBorders>
              <w:top w:val="single" w:sz="2" w:space="0" w:color="9D9C9C"/>
              <w:left w:val="single" w:sz="2" w:space="0" w:color="9D9C9C"/>
              <w:bottom w:val="single" w:sz="6" w:space="0" w:color="000000"/>
              <w:right w:val="single" w:sz="2" w:space="0" w:color="9D9C9C"/>
            </w:tcBorders>
            <w:tcMar>
              <w:top w:w="99" w:type="dxa"/>
              <w:left w:w="14" w:type="dxa"/>
              <w:bottom w:w="99" w:type="dxa"/>
              <w:right w:w="14" w:type="dxa"/>
            </w:tcMar>
            <w:vAlign w:val="center"/>
          </w:tcPr>
          <w:p w14:paraId="492191F5"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27E93C6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1B624501" w14:textId="77777777" w:rsidTr="00D73130">
        <w:trPr>
          <w:trHeight w:val="60"/>
        </w:trPr>
        <w:tc>
          <w:tcPr>
            <w:tcW w:w="3912" w:type="dxa"/>
            <w:vMerge/>
            <w:tcBorders>
              <w:top w:val="single" w:sz="6" w:space="0" w:color="000000"/>
              <w:left w:val="single" w:sz="6" w:space="0" w:color="000000"/>
              <w:bottom w:val="single" w:sz="6" w:space="0" w:color="000000"/>
              <w:right w:val="single" w:sz="2" w:space="0" w:color="9D9C9C"/>
            </w:tcBorders>
          </w:tcPr>
          <w:p w14:paraId="0B8CB78C" w14:textId="77777777" w:rsidR="00345EE3" w:rsidRPr="00645B84" w:rsidRDefault="00345EE3" w:rsidP="00D73130">
            <w:pPr>
              <w:widowControl/>
              <w:adjustRightInd w:val="0"/>
              <w:rPr>
                <w:rFonts w:eastAsiaTheme="minorHAnsi"/>
                <w:sz w:val="24"/>
                <w:szCs w:val="24"/>
                <w:lang w:val="en-GB"/>
              </w:rPr>
            </w:pPr>
          </w:p>
        </w:tc>
        <w:tc>
          <w:tcPr>
            <w:tcW w:w="1077" w:type="dxa"/>
            <w:vMerge/>
            <w:tcBorders>
              <w:top w:val="single" w:sz="6" w:space="0" w:color="000000"/>
              <w:left w:val="single" w:sz="2" w:space="0" w:color="9D9C9C"/>
              <w:bottom w:val="single" w:sz="6" w:space="0" w:color="000000"/>
              <w:right w:val="single" w:sz="2" w:space="0" w:color="9D9C9C"/>
            </w:tcBorders>
          </w:tcPr>
          <w:p w14:paraId="306A3CF8" w14:textId="77777777" w:rsidR="00345EE3" w:rsidRPr="00645B84"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6" w:space="0" w:color="000000"/>
              <w:right w:val="single" w:sz="2" w:space="0" w:color="9D9C9C"/>
            </w:tcBorders>
            <w:tcMar>
              <w:top w:w="99" w:type="dxa"/>
              <w:left w:w="14" w:type="dxa"/>
              <w:bottom w:w="99" w:type="dxa"/>
              <w:right w:w="14" w:type="dxa"/>
            </w:tcMar>
          </w:tcPr>
          <w:p w14:paraId="76B1B807"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Other Income</w:t>
            </w:r>
          </w:p>
        </w:tc>
        <w:tc>
          <w:tcPr>
            <w:tcW w:w="1134" w:type="dxa"/>
            <w:tcBorders>
              <w:top w:val="single" w:sz="2" w:space="0" w:color="9D9C9C"/>
              <w:left w:val="single" w:sz="2" w:space="0" w:color="9D9C9C"/>
              <w:bottom w:val="single" w:sz="6" w:space="0" w:color="000000"/>
              <w:right w:val="single" w:sz="2" w:space="0" w:color="9D9C9C"/>
            </w:tcBorders>
            <w:tcMar>
              <w:top w:w="99" w:type="dxa"/>
              <w:left w:w="14" w:type="dxa"/>
              <w:bottom w:w="99" w:type="dxa"/>
              <w:right w:w="14" w:type="dxa"/>
            </w:tcMar>
          </w:tcPr>
          <w:p w14:paraId="1AEDDEC1"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2,000 </w:t>
            </w:r>
          </w:p>
        </w:tc>
        <w:tc>
          <w:tcPr>
            <w:tcW w:w="1417" w:type="dxa"/>
            <w:vMerge/>
            <w:tcBorders>
              <w:top w:val="single" w:sz="6" w:space="0" w:color="000000"/>
              <w:left w:val="single" w:sz="2" w:space="0" w:color="9D9C9C"/>
              <w:bottom w:val="single" w:sz="6" w:space="0" w:color="000000"/>
              <w:right w:val="single" w:sz="2" w:space="0" w:color="9D9C9C"/>
            </w:tcBorders>
          </w:tcPr>
          <w:p w14:paraId="32874F7B" w14:textId="77777777" w:rsidR="00345EE3" w:rsidRPr="00645B84"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6" w:space="0" w:color="000000"/>
              <w:right w:val="single" w:sz="6" w:space="0" w:color="9D9C9C"/>
            </w:tcBorders>
            <w:tcMar>
              <w:top w:w="99" w:type="dxa"/>
              <w:left w:w="14" w:type="dxa"/>
              <w:bottom w:w="99" w:type="dxa"/>
              <w:right w:w="14" w:type="dxa"/>
            </w:tcMar>
          </w:tcPr>
          <w:p w14:paraId="0C00F276"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4,000 </w:t>
            </w:r>
          </w:p>
        </w:tc>
      </w:tr>
    </w:tbl>
    <w:p w14:paraId="23FDEA51" w14:textId="77777777" w:rsidR="00345EE3" w:rsidRDefault="00345EE3" w:rsidP="00345EE3">
      <w:pPr>
        <w:pStyle w:val="BodyText"/>
        <w:spacing w:before="2"/>
        <w:rPr>
          <w:b/>
          <w:sz w:val="2"/>
        </w:rPr>
      </w:pPr>
    </w:p>
    <w:p w14:paraId="5F12ECAE" w14:textId="77777777" w:rsidR="00345EE3" w:rsidRDefault="00345EE3" w:rsidP="00345EE3">
      <w:pPr>
        <w:pStyle w:val="BodyText"/>
        <w:spacing w:before="2"/>
        <w:rPr>
          <w:b/>
          <w:sz w:val="2"/>
        </w:rPr>
      </w:pPr>
    </w:p>
    <w:p w14:paraId="740EC572" w14:textId="77777777" w:rsidR="00345EE3" w:rsidRPr="00645B84" w:rsidRDefault="00345EE3" w:rsidP="00345EE3">
      <w:pPr>
        <w:spacing w:before="72"/>
        <w:ind w:left="110"/>
        <w:rPr>
          <w:rFonts w:ascii="Arial-BoldItalicMT"/>
          <w:b/>
          <w:i/>
          <w:sz w:val="18"/>
          <w:szCs w:val="18"/>
        </w:rPr>
      </w:pPr>
      <w:r w:rsidRPr="00645B84">
        <w:rPr>
          <w:rFonts w:ascii="Arial-BoldItalicMT"/>
          <w:b/>
          <w:i/>
          <w:color w:val="231F20"/>
          <w:spacing w:val="-2"/>
          <w:sz w:val="18"/>
          <w:szCs w:val="18"/>
        </w:rPr>
        <w:t>Note:</w:t>
      </w:r>
    </w:p>
    <w:p w14:paraId="75B99861" w14:textId="77777777" w:rsidR="00345EE3" w:rsidRPr="00645B84" w:rsidRDefault="00345EE3" w:rsidP="00345EE3">
      <w:pPr>
        <w:spacing w:before="28"/>
        <w:ind w:left="110" w:right="327"/>
        <w:rPr>
          <w:sz w:val="18"/>
          <w:szCs w:val="18"/>
        </w:rPr>
      </w:pPr>
      <w:r w:rsidRPr="00645B84">
        <w:rPr>
          <w:color w:val="231F20"/>
          <w:sz w:val="18"/>
          <w:szCs w:val="18"/>
        </w:rPr>
        <w:t>The</w:t>
      </w:r>
      <w:r w:rsidRPr="00645B84">
        <w:rPr>
          <w:color w:val="231F20"/>
          <w:spacing w:val="-2"/>
          <w:sz w:val="18"/>
          <w:szCs w:val="18"/>
        </w:rPr>
        <w:t xml:space="preserve"> </w:t>
      </w:r>
      <w:r w:rsidRPr="00645B84">
        <w:rPr>
          <w:color w:val="231F20"/>
          <w:sz w:val="18"/>
          <w:szCs w:val="18"/>
        </w:rPr>
        <w:t>amount</w:t>
      </w:r>
      <w:r w:rsidRPr="00645B84">
        <w:rPr>
          <w:color w:val="231F20"/>
          <w:spacing w:val="-2"/>
          <w:sz w:val="18"/>
          <w:szCs w:val="18"/>
        </w:rPr>
        <w:t xml:space="preserve"> </w:t>
      </w:r>
      <w:r w:rsidRPr="00645B84">
        <w:rPr>
          <w:color w:val="231F20"/>
          <w:sz w:val="18"/>
          <w:szCs w:val="18"/>
        </w:rPr>
        <w:t>owing</w:t>
      </w:r>
      <w:r w:rsidRPr="00645B84">
        <w:rPr>
          <w:color w:val="231F20"/>
          <w:spacing w:val="-2"/>
          <w:sz w:val="18"/>
          <w:szCs w:val="18"/>
        </w:rPr>
        <w:t xml:space="preserve"> </w:t>
      </w:r>
      <w:r w:rsidRPr="00645B84">
        <w:rPr>
          <w:color w:val="231F20"/>
          <w:sz w:val="18"/>
          <w:szCs w:val="18"/>
        </w:rPr>
        <w:t>from</w:t>
      </w:r>
      <w:r w:rsidRPr="00645B84">
        <w:rPr>
          <w:color w:val="231F20"/>
          <w:spacing w:val="-2"/>
          <w:sz w:val="18"/>
          <w:szCs w:val="18"/>
        </w:rPr>
        <w:t xml:space="preserve"> </w:t>
      </w:r>
      <w:r w:rsidRPr="00645B84">
        <w:rPr>
          <w:color w:val="231F20"/>
          <w:sz w:val="18"/>
          <w:szCs w:val="18"/>
        </w:rPr>
        <w:t>the</w:t>
      </w:r>
      <w:r w:rsidRPr="00645B84">
        <w:rPr>
          <w:color w:val="231F20"/>
          <w:spacing w:val="-2"/>
          <w:sz w:val="18"/>
          <w:szCs w:val="18"/>
        </w:rPr>
        <w:t xml:space="preserve"> </w:t>
      </w:r>
      <w:r w:rsidRPr="00645B84">
        <w:rPr>
          <w:color w:val="231F20"/>
          <w:sz w:val="18"/>
          <w:szCs w:val="18"/>
        </w:rPr>
        <w:t>Victorian</w:t>
      </w:r>
      <w:r w:rsidRPr="00645B84">
        <w:rPr>
          <w:color w:val="231F20"/>
          <w:spacing w:val="-2"/>
          <w:sz w:val="18"/>
          <w:szCs w:val="18"/>
        </w:rPr>
        <w:t xml:space="preserve"> </w:t>
      </w:r>
      <w:r w:rsidRPr="00645B84">
        <w:rPr>
          <w:color w:val="231F20"/>
          <w:sz w:val="18"/>
          <w:szCs w:val="18"/>
        </w:rPr>
        <w:t>Government</w:t>
      </w:r>
      <w:r w:rsidRPr="00645B84">
        <w:rPr>
          <w:color w:val="231F20"/>
          <w:spacing w:val="-2"/>
          <w:sz w:val="18"/>
          <w:szCs w:val="18"/>
        </w:rPr>
        <w:t xml:space="preserve"> </w:t>
      </w:r>
      <w:r w:rsidRPr="00645B84">
        <w:rPr>
          <w:color w:val="231F20"/>
          <w:sz w:val="18"/>
          <w:szCs w:val="18"/>
        </w:rPr>
        <w:t>as</w:t>
      </w:r>
      <w:r w:rsidRPr="00645B84">
        <w:rPr>
          <w:color w:val="231F20"/>
          <w:spacing w:val="-2"/>
          <w:sz w:val="18"/>
          <w:szCs w:val="18"/>
        </w:rPr>
        <w:t xml:space="preserve"> </w:t>
      </w:r>
      <w:r w:rsidRPr="00645B84">
        <w:rPr>
          <w:color w:val="231F20"/>
          <w:sz w:val="18"/>
          <w:szCs w:val="18"/>
        </w:rPr>
        <w:t>disclosed</w:t>
      </w:r>
      <w:r w:rsidRPr="00645B84">
        <w:rPr>
          <w:color w:val="231F20"/>
          <w:spacing w:val="-2"/>
          <w:sz w:val="18"/>
          <w:szCs w:val="18"/>
        </w:rPr>
        <w:t xml:space="preserve"> </w:t>
      </w:r>
      <w:r w:rsidRPr="00645B84">
        <w:rPr>
          <w:color w:val="231F20"/>
          <w:sz w:val="18"/>
          <w:szCs w:val="18"/>
        </w:rPr>
        <w:t>in</w:t>
      </w:r>
      <w:r w:rsidRPr="00645B84">
        <w:rPr>
          <w:color w:val="231F20"/>
          <w:spacing w:val="-2"/>
          <w:sz w:val="18"/>
          <w:szCs w:val="18"/>
        </w:rPr>
        <w:t xml:space="preserve"> </w:t>
      </w:r>
      <w:r w:rsidRPr="00645B84">
        <w:rPr>
          <w:color w:val="231F20"/>
          <w:sz w:val="18"/>
          <w:szCs w:val="18"/>
        </w:rPr>
        <w:t>Note</w:t>
      </w:r>
      <w:r w:rsidRPr="00645B84">
        <w:rPr>
          <w:color w:val="231F20"/>
          <w:spacing w:val="-2"/>
          <w:sz w:val="18"/>
          <w:szCs w:val="18"/>
        </w:rPr>
        <w:t xml:space="preserve"> </w:t>
      </w:r>
      <w:r w:rsidRPr="00645B84">
        <w:rPr>
          <w:color w:val="231F20"/>
          <w:sz w:val="18"/>
          <w:szCs w:val="18"/>
        </w:rPr>
        <w:t>6.1</w:t>
      </w:r>
      <w:r w:rsidRPr="00645B84">
        <w:rPr>
          <w:color w:val="231F20"/>
          <w:spacing w:val="-2"/>
          <w:sz w:val="18"/>
          <w:szCs w:val="18"/>
        </w:rPr>
        <w:t xml:space="preserve"> </w:t>
      </w:r>
      <w:r w:rsidRPr="00645B84">
        <w:rPr>
          <w:color w:val="231F20"/>
          <w:sz w:val="18"/>
          <w:szCs w:val="18"/>
        </w:rPr>
        <w:t>Receivables</w:t>
      </w:r>
      <w:r w:rsidRPr="00645B84">
        <w:rPr>
          <w:color w:val="231F20"/>
          <w:spacing w:val="-2"/>
          <w:sz w:val="18"/>
          <w:szCs w:val="18"/>
        </w:rPr>
        <w:t xml:space="preserve"> </w:t>
      </w:r>
      <w:r w:rsidRPr="00645B84">
        <w:rPr>
          <w:color w:val="231F20"/>
          <w:sz w:val="18"/>
          <w:szCs w:val="18"/>
        </w:rPr>
        <w:t>are</w:t>
      </w:r>
      <w:r w:rsidRPr="00645B84">
        <w:rPr>
          <w:color w:val="231F20"/>
          <w:spacing w:val="-2"/>
          <w:sz w:val="18"/>
          <w:szCs w:val="18"/>
        </w:rPr>
        <w:t xml:space="preserve"> </w:t>
      </w:r>
      <w:r w:rsidRPr="00645B84">
        <w:rPr>
          <w:color w:val="231F20"/>
          <w:sz w:val="18"/>
          <w:szCs w:val="18"/>
        </w:rPr>
        <w:t>amounts</w:t>
      </w:r>
      <w:r w:rsidRPr="00645B84">
        <w:rPr>
          <w:color w:val="231F20"/>
          <w:spacing w:val="-2"/>
          <w:sz w:val="18"/>
          <w:szCs w:val="18"/>
        </w:rPr>
        <w:t xml:space="preserve"> </w:t>
      </w:r>
      <w:r w:rsidRPr="00645B84">
        <w:rPr>
          <w:color w:val="231F20"/>
          <w:sz w:val="18"/>
          <w:szCs w:val="18"/>
        </w:rPr>
        <w:t>due</w:t>
      </w:r>
      <w:r w:rsidRPr="00645B84">
        <w:rPr>
          <w:color w:val="231F20"/>
          <w:spacing w:val="-2"/>
          <w:sz w:val="18"/>
          <w:szCs w:val="18"/>
        </w:rPr>
        <w:t xml:space="preserve"> </w:t>
      </w:r>
      <w:r w:rsidRPr="00645B84">
        <w:rPr>
          <w:color w:val="231F20"/>
          <w:sz w:val="18"/>
          <w:szCs w:val="18"/>
        </w:rPr>
        <w:t>from</w:t>
      </w:r>
      <w:r w:rsidRPr="00645B84">
        <w:rPr>
          <w:color w:val="231F20"/>
          <w:spacing w:val="-2"/>
          <w:sz w:val="18"/>
          <w:szCs w:val="18"/>
        </w:rPr>
        <w:t xml:space="preserve"> </w:t>
      </w:r>
      <w:r w:rsidRPr="00645B84">
        <w:rPr>
          <w:color w:val="231F20"/>
          <w:sz w:val="18"/>
          <w:szCs w:val="18"/>
        </w:rPr>
        <w:t>the</w:t>
      </w:r>
      <w:r w:rsidRPr="00645B84">
        <w:rPr>
          <w:color w:val="231F20"/>
          <w:spacing w:val="-2"/>
          <w:sz w:val="18"/>
          <w:szCs w:val="18"/>
        </w:rPr>
        <w:t xml:space="preserve"> </w:t>
      </w:r>
      <w:r w:rsidRPr="00645B84">
        <w:rPr>
          <w:color w:val="231F20"/>
          <w:sz w:val="18"/>
          <w:szCs w:val="18"/>
        </w:rPr>
        <w:t>Department</w:t>
      </w:r>
      <w:r w:rsidRPr="00645B84">
        <w:rPr>
          <w:color w:val="231F20"/>
          <w:spacing w:val="-2"/>
          <w:sz w:val="18"/>
          <w:szCs w:val="18"/>
        </w:rPr>
        <w:t xml:space="preserve"> </w:t>
      </w:r>
      <w:r w:rsidRPr="00645B84">
        <w:rPr>
          <w:color w:val="231F20"/>
          <w:sz w:val="18"/>
          <w:szCs w:val="18"/>
        </w:rPr>
        <w:t>of</w:t>
      </w:r>
      <w:r w:rsidRPr="00645B84">
        <w:rPr>
          <w:color w:val="231F20"/>
          <w:spacing w:val="-2"/>
          <w:sz w:val="18"/>
          <w:szCs w:val="18"/>
        </w:rPr>
        <w:t xml:space="preserve"> </w:t>
      </w:r>
      <w:r w:rsidRPr="00645B84">
        <w:rPr>
          <w:color w:val="231F20"/>
          <w:sz w:val="18"/>
          <w:szCs w:val="18"/>
        </w:rPr>
        <w:t>Treasury</w:t>
      </w:r>
      <w:r w:rsidRPr="00645B84">
        <w:rPr>
          <w:color w:val="231F20"/>
          <w:spacing w:val="-2"/>
          <w:sz w:val="18"/>
          <w:szCs w:val="18"/>
        </w:rPr>
        <w:t xml:space="preserve"> </w:t>
      </w:r>
      <w:r w:rsidRPr="00645B84">
        <w:rPr>
          <w:color w:val="231F20"/>
          <w:sz w:val="18"/>
          <w:szCs w:val="18"/>
        </w:rPr>
        <w:t>and</w:t>
      </w:r>
      <w:r w:rsidRPr="00645B84">
        <w:rPr>
          <w:color w:val="231F20"/>
          <w:spacing w:val="-2"/>
          <w:sz w:val="18"/>
          <w:szCs w:val="18"/>
        </w:rPr>
        <w:t xml:space="preserve"> </w:t>
      </w:r>
      <w:r w:rsidRPr="00645B84">
        <w:rPr>
          <w:color w:val="231F20"/>
          <w:sz w:val="18"/>
          <w:szCs w:val="18"/>
        </w:rPr>
        <w:t>Finance.</w:t>
      </w:r>
      <w:r w:rsidRPr="00645B84">
        <w:rPr>
          <w:color w:val="231F20"/>
          <w:spacing w:val="36"/>
          <w:sz w:val="18"/>
          <w:szCs w:val="18"/>
        </w:rPr>
        <w:t xml:space="preserve"> </w:t>
      </w:r>
      <w:r w:rsidRPr="00645B84">
        <w:rPr>
          <w:color w:val="231F20"/>
          <w:sz w:val="18"/>
          <w:szCs w:val="18"/>
        </w:rPr>
        <w:t>This</w:t>
      </w:r>
      <w:r w:rsidRPr="00645B84">
        <w:rPr>
          <w:color w:val="231F20"/>
          <w:spacing w:val="40"/>
          <w:sz w:val="18"/>
          <w:szCs w:val="18"/>
        </w:rPr>
        <w:t xml:space="preserve"> </w:t>
      </w:r>
      <w:r w:rsidRPr="00645B84">
        <w:rPr>
          <w:color w:val="231F20"/>
          <w:sz w:val="18"/>
          <w:szCs w:val="18"/>
        </w:rPr>
        <w:t>amount relates to all funding commitments incurred and drawdowns through grants from the Consolidated Funds.</w:t>
      </w:r>
    </w:p>
    <w:p w14:paraId="6C17A5B7" w14:textId="77777777" w:rsidR="00345EE3" w:rsidRDefault="00345EE3" w:rsidP="00345EE3">
      <w:pPr>
        <w:rPr>
          <w:sz w:val="14"/>
        </w:rPr>
        <w:sectPr w:rsidR="00345EE3">
          <w:pgSz w:w="11910" w:h="16840"/>
          <w:pgMar w:top="800" w:right="720" w:bottom="280" w:left="740" w:header="720" w:footer="720" w:gutter="0"/>
          <w:cols w:space="720"/>
        </w:sectPr>
      </w:pPr>
    </w:p>
    <w:tbl>
      <w:tblPr>
        <w:tblW w:w="0" w:type="auto"/>
        <w:tblInd w:w="156" w:type="dxa"/>
        <w:tblLayout w:type="fixed"/>
        <w:tblCellMar>
          <w:left w:w="0" w:type="dxa"/>
          <w:right w:w="0" w:type="dxa"/>
        </w:tblCellMar>
        <w:tblLook w:val="0000" w:firstRow="0" w:lastRow="0" w:firstColumn="0" w:lastColumn="0" w:noHBand="0" w:noVBand="0"/>
      </w:tblPr>
      <w:tblGrid>
        <w:gridCol w:w="3855"/>
        <w:gridCol w:w="1077"/>
        <w:gridCol w:w="1871"/>
        <w:gridCol w:w="1134"/>
        <w:gridCol w:w="1134"/>
        <w:gridCol w:w="1134"/>
      </w:tblGrid>
      <w:tr w:rsidR="00345EE3" w:rsidRPr="00645B84" w14:paraId="67E4A98B" w14:textId="77777777" w:rsidTr="00D73130">
        <w:trPr>
          <w:trHeight w:val="60"/>
          <w:tblHeader/>
        </w:trPr>
        <w:tc>
          <w:tcPr>
            <w:tcW w:w="7937" w:type="dxa"/>
            <w:gridSpan w:val="4"/>
            <w:tcBorders>
              <w:top w:val="single" w:sz="6" w:space="0" w:color="000000"/>
              <w:left w:val="single" w:sz="6" w:space="0" w:color="000000"/>
              <w:bottom w:val="single" w:sz="2" w:space="0" w:color="FFFFFF"/>
              <w:right w:val="single" w:sz="2" w:space="0" w:color="FFFFFF"/>
            </w:tcBorders>
            <w:shd w:val="solid" w:color="004996" w:fill="auto"/>
            <w:tcMar>
              <w:top w:w="99" w:type="dxa"/>
              <w:left w:w="14" w:type="dxa"/>
              <w:bottom w:w="99" w:type="dxa"/>
              <w:right w:w="14" w:type="dxa"/>
            </w:tcMar>
          </w:tcPr>
          <w:p w14:paraId="623D4DA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2021</w:t>
            </w:r>
          </w:p>
        </w:tc>
        <w:tc>
          <w:tcPr>
            <w:tcW w:w="2268" w:type="dxa"/>
            <w:gridSpan w:val="2"/>
            <w:tcBorders>
              <w:top w:val="single" w:sz="6" w:space="0" w:color="004996"/>
              <w:left w:val="single" w:sz="6" w:space="0" w:color="004996"/>
              <w:bottom w:val="single" w:sz="2" w:space="0" w:color="FFFFFF"/>
              <w:right w:val="single" w:sz="6" w:space="0" w:color="auto"/>
            </w:tcBorders>
            <w:shd w:val="solid" w:color="004996" w:fill="auto"/>
            <w:tcMar>
              <w:top w:w="99" w:type="dxa"/>
              <w:left w:w="14" w:type="dxa"/>
              <w:bottom w:w="99" w:type="dxa"/>
              <w:right w:w="14" w:type="dxa"/>
            </w:tcMar>
          </w:tcPr>
          <w:p w14:paraId="64D8AFFF"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 thousand)</w:t>
            </w:r>
          </w:p>
        </w:tc>
      </w:tr>
      <w:tr w:rsidR="00345EE3" w:rsidRPr="00645B84" w14:paraId="735EF050" w14:textId="77777777" w:rsidTr="00D73130">
        <w:trPr>
          <w:trHeight w:val="60"/>
          <w:tblHeader/>
        </w:trPr>
        <w:tc>
          <w:tcPr>
            <w:tcW w:w="3855" w:type="dxa"/>
            <w:tcBorders>
              <w:top w:val="single" w:sz="2" w:space="0" w:color="FFFFFF"/>
              <w:left w:val="single" w:sz="6" w:space="0" w:color="000000"/>
              <w:bottom w:val="single" w:sz="2" w:space="0" w:color="FFFFFF"/>
              <w:right w:val="single" w:sz="2" w:space="0" w:color="FFFFFF"/>
            </w:tcBorders>
            <w:shd w:val="solid" w:color="004996" w:fill="auto"/>
            <w:tcMar>
              <w:top w:w="99" w:type="dxa"/>
              <w:left w:w="14" w:type="dxa"/>
              <w:bottom w:w="99" w:type="dxa"/>
              <w:right w:w="14" w:type="dxa"/>
            </w:tcMar>
          </w:tcPr>
          <w:p w14:paraId="4A49268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Payments/Liabilities</w:t>
            </w:r>
          </w:p>
        </w:tc>
        <w:tc>
          <w:tcPr>
            <w:tcW w:w="1077" w:type="dxa"/>
            <w:vMerge w:val="restart"/>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73577ACE"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Portfolio Dept</w:t>
            </w:r>
          </w:p>
        </w:tc>
        <w:tc>
          <w:tcPr>
            <w:tcW w:w="3005" w:type="dxa"/>
            <w:gridSpan w:val="2"/>
            <w:tcBorders>
              <w:top w:val="single" w:sz="2" w:space="0" w:color="FFFFFF"/>
              <w:left w:val="single" w:sz="2" w:space="0" w:color="FFFFFF"/>
              <w:bottom w:val="single" w:sz="2" w:space="0" w:color="FFFFFF"/>
              <w:right w:val="single" w:sz="2" w:space="0" w:color="FFFFFF"/>
            </w:tcBorders>
            <w:shd w:val="solid" w:color="004996" w:fill="auto"/>
            <w:tcMar>
              <w:top w:w="99" w:type="dxa"/>
              <w:left w:w="14" w:type="dxa"/>
              <w:bottom w:w="99" w:type="dxa"/>
              <w:right w:w="14" w:type="dxa"/>
            </w:tcMar>
          </w:tcPr>
          <w:p w14:paraId="7E0F1D67" w14:textId="77777777" w:rsidR="00345EE3" w:rsidRPr="00645B84"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645B84">
              <w:rPr>
                <w:rFonts w:eastAsiaTheme="minorHAnsi"/>
                <w:b/>
                <w:bCs/>
                <w:color w:val="FFFFFF"/>
                <w:sz w:val="24"/>
                <w:szCs w:val="24"/>
                <w:lang w:val="en-GB"/>
              </w:rPr>
              <w:t>Payments</w:t>
            </w:r>
          </w:p>
        </w:tc>
        <w:tc>
          <w:tcPr>
            <w:tcW w:w="2268" w:type="dxa"/>
            <w:gridSpan w:val="2"/>
            <w:tcBorders>
              <w:top w:val="single" w:sz="2" w:space="0" w:color="FFFFFF"/>
              <w:left w:val="single" w:sz="2" w:space="0" w:color="FFFFFF"/>
              <w:bottom w:val="single" w:sz="2" w:space="0" w:color="FFFFFF"/>
              <w:right w:val="single" w:sz="6" w:space="0" w:color="auto"/>
            </w:tcBorders>
            <w:shd w:val="solid" w:color="004996" w:fill="auto"/>
            <w:tcMar>
              <w:top w:w="99" w:type="dxa"/>
              <w:left w:w="14" w:type="dxa"/>
              <w:bottom w:w="99" w:type="dxa"/>
              <w:right w:w="14" w:type="dxa"/>
            </w:tcMar>
          </w:tcPr>
          <w:p w14:paraId="24E80044" w14:textId="77777777" w:rsidR="00345EE3" w:rsidRPr="00645B84"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645B84">
              <w:rPr>
                <w:rFonts w:eastAsiaTheme="minorHAnsi"/>
                <w:b/>
                <w:bCs/>
                <w:color w:val="FFFFFF"/>
                <w:sz w:val="24"/>
                <w:szCs w:val="24"/>
                <w:lang w:val="en-GB"/>
              </w:rPr>
              <w:t>Balance Outstanding</w:t>
            </w:r>
          </w:p>
        </w:tc>
      </w:tr>
      <w:tr w:rsidR="00345EE3" w:rsidRPr="00645B84" w14:paraId="0E0E84CD" w14:textId="77777777" w:rsidTr="00D73130">
        <w:trPr>
          <w:trHeight w:val="60"/>
          <w:tblHeader/>
        </w:trPr>
        <w:tc>
          <w:tcPr>
            <w:tcW w:w="3855" w:type="dxa"/>
            <w:tcBorders>
              <w:top w:val="single" w:sz="2" w:space="0" w:color="FFFFFF"/>
              <w:left w:val="single" w:sz="6" w:space="0" w:color="000000"/>
              <w:bottom w:val="single" w:sz="6" w:space="0" w:color="9D9C9C"/>
              <w:right w:val="single" w:sz="2" w:space="0" w:color="FFFFFF"/>
            </w:tcBorders>
            <w:shd w:val="solid" w:color="004996" w:fill="auto"/>
            <w:tcMar>
              <w:top w:w="99" w:type="dxa"/>
              <w:left w:w="14" w:type="dxa"/>
              <w:bottom w:w="99" w:type="dxa"/>
              <w:right w:w="14" w:type="dxa"/>
            </w:tcMar>
          </w:tcPr>
          <w:p w14:paraId="1C36356F"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Entity</w:t>
            </w:r>
          </w:p>
        </w:tc>
        <w:tc>
          <w:tcPr>
            <w:tcW w:w="1077" w:type="dxa"/>
            <w:vMerge/>
            <w:tcBorders>
              <w:top w:val="single" w:sz="6" w:space="0" w:color="9D9C9C"/>
              <w:left w:val="single" w:sz="2" w:space="0" w:color="FFFFFF"/>
              <w:bottom w:val="single" w:sz="6" w:space="0" w:color="9D9C9C"/>
              <w:right w:val="single" w:sz="2" w:space="0" w:color="FFFFFF"/>
            </w:tcBorders>
          </w:tcPr>
          <w:p w14:paraId="66ACAD47" w14:textId="77777777" w:rsidR="00345EE3" w:rsidRPr="00645B84" w:rsidRDefault="00345EE3" w:rsidP="00D73130">
            <w:pPr>
              <w:widowControl/>
              <w:adjustRightInd w:val="0"/>
              <w:rPr>
                <w:rFonts w:eastAsiaTheme="minorHAnsi"/>
                <w:sz w:val="24"/>
                <w:szCs w:val="24"/>
                <w:lang w:val="en-GB"/>
              </w:rPr>
            </w:pPr>
          </w:p>
        </w:tc>
        <w:tc>
          <w:tcPr>
            <w:tcW w:w="1871"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0980615A"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Nature</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1D236408"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Amount</w:t>
            </w:r>
          </w:p>
        </w:tc>
        <w:tc>
          <w:tcPr>
            <w:tcW w:w="1134" w:type="dxa"/>
            <w:tcBorders>
              <w:top w:val="single" w:sz="2" w:space="0" w:color="FFFFFF"/>
              <w:left w:val="single" w:sz="2" w:space="0" w:color="FFFFFF"/>
              <w:bottom w:val="single" w:sz="6" w:space="0" w:color="9D9C9C"/>
              <w:right w:val="single" w:sz="6" w:space="0" w:color="auto"/>
            </w:tcBorders>
            <w:shd w:val="solid" w:color="004996" w:fill="auto"/>
            <w:tcMar>
              <w:top w:w="99" w:type="dxa"/>
              <w:left w:w="14" w:type="dxa"/>
              <w:bottom w:w="99" w:type="dxa"/>
              <w:right w:w="14" w:type="dxa"/>
            </w:tcMar>
          </w:tcPr>
          <w:p w14:paraId="71C1526E"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Nature</w:t>
            </w:r>
          </w:p>
        </w:tc>
        <w:tc>
          <w:tcPr>
            <w:tcW w:w="1134" w:type="dxa"/>
            <w:tcBorders>
              <w:top w:val="single" w:sz="2" w:space="0" w:color="FFFFFF"/>
              <w:left w:val="single" w:sz="6" w:space="0" w:color="auto"/>
              <w:bottom w:val="single" w:sz="6" w:space="0" w:color="auto"/>
              <w:right w:val="single" w:sz="6" w:space="0" w:color="auto"/>
            </w:tcBorders>
            <w:shd w:val="solid" w:color="004996" w:fill="auto"/>
            <w:tcMar>
              <w:top w:w="99" w:type="dxa"/>
              <w:left w:w="14" w:type="dxa"/>
              <w:bottom w:w="99" w:type="dxa"/>
              <w:right w:w="14" w:type="dxa"/>
            </w:tcMar>
          </w:tcPr>
          <w:p w14:paraId="208449C3"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Amount</w:t>
            </w:r>
          </w:p>
        </w:tc>
      </w:tr>
      <w:tr w:rsidR="00345EE3" w:rsidRPr="00645B84" w14:paraId="41C981F3"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5E09607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Court Services of Victoria </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8C6DE0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CSV</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0412EE6"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Court Services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FB124C5"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2,478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9DC4CBF"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378F130"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1E50E98E"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6A8B140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 of Justice and Community Safety</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48B4433"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DJCS</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DC45091"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Various Expenses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F537DDB"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198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10FF05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B84BCEF"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2,736 </w:t>
            </w:r>
          </w:p>
        </w:tc>
      </w:tr>
      <w:tr w:rsidR="00345EE3" w:rsidRPr="00645B84" w14:paraId="11FBA9D0"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211CA01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 of Premier and Cabinet</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235577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DPC</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36A0970"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Various Expenses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5F8DBEB"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1,564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7196BC3"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547E3D1"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33 </w:t>
            </w:r>
          </w:p>
        </w:tc>
      </w:tr>
      <w:tr w:rsidR="00345EE3" w:rsidRPr="00645B84" w14:paraId="5A7DA9D3"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7EAE3EB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 of Treasury and Finance</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DA8EE7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DTF</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4D1FC90"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Various Expenses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6D30159"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14,875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7E76F6D"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4AA7600"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48AF65AB"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21E8FCF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Emergency Services Telecommunication Authority</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23D462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DJCS</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3B834E3"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Tele-Communications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CD1943A"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70,203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F30428A"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9756BA5"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11091A46"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BDC2AF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State Revenue Office</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868F10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DTF</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CF3E607"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Payroll Tax</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3CC4269"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128,639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E1C5B89"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0F062C0"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10,136 </w:t>
            </w:r>
          </w:p>
        </w:tc>
      </w:tr>
      <w:tr w:rsidR="00345EE3" w:rsidRPr="00645B84" w14:paraId="035F25F0"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25419D9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Victorian Interpreting and Translating Service</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147592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DPC</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9335EC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Interpreting Services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2C86BBD"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1,033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DD9EAE8"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C15976E"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386D7F5F"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743F2CE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VicRoads</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6AA3CB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DoT</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BE6EA34"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Registration &amp; Records Check</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4B3A48F"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531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ABCC95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78585DE"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6 </w:t>
            </w:r>
          </w:p>
        </w:tc>
      </w:tr>
      <w:tr w:rsidR="00345EE3" w:rsidRPr="00645B84" w14:paraId="2CCD196F"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5BBC44A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VicFleet Lease Management</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0A30FD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DTF</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AA37C07"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Leasing of Motor Vehicles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CD9F8FA"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41,321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1315FE4"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E389C33"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114,232 </w:t>
            </w:r>
          </w:p>
        </w:tc>
      </w:tr>
      <w:tr w:rsidR="00345EE3" w:rsidRPr="00645B84" w14:paraId="5001007F"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5355870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Victoria Government Solicitors Office</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32ABB6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DJCS</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963B19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Legal Expenses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0A1960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13,723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206252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0CCE886"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76 </w:t>
            </w:r>
          </w:p>
        </w:tc>
      </w:tr>
      <w:tr w:rsidR="00345EE3" w:rsidRPr="00645B84" w14:paraId="3754A872"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517CDB3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Victoria Institute of Forensic Medicine</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DF35C9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DJCS</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C341E38"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Forensic Medical Services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6780C82"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11,933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684999D"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805F354"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811 </w:t>
            </w:r>
          </w:p>
        </w:tc>
      </w:tr>
      <w:tr w:rsidR="00345EE3" w:rsidRPr="00645B84" w14:paraId="6FC8E12C"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5CEE97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Victoria WorkCover Authority</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DDF621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DJCS</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DC29006"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Insurance</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C1C328F"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117,186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0CC85DF"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1388166"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70948D33" w14:textId="77777777" w:rsidTr="00D73130">
        <w:trPr>
          <w:trHeight w:val="60"/>
        </w:trPr>
        <w:tc>
          <w:tcPr>
            <w:tcW w:w="3855" w:type="dxa"/>
            <w:vMerge w:val="restart"/>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vAlign w:val="center"/>
          </w:tcPr>
          <w:p w14:paraId="08733AE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Victoria Managed Insurance Authority</w:t>
            </w:r>
          </w:p>
        </w:tc>
        <w:tc>
          <w:tcPr>
            <w:tcW w:w="1077" w:type="dxa"/>
            <w:vMerge w:val="restart"/>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vAlign w:val="center"/>
          </w:tcPr>
          <w:p w14:paraId="47A6FD0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DTF</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C465C05"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Insurance</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2452187"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5,274 </w:t>
            </w:r>
          </w:p>
        </w:tc>
        <w:tc>
          <w:tcPr>
            <w:tcW w:w="1134" w:type="dxa"/>
            <w:vMerge w:val="restart"/>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vAlign w:val="center"/>
          </w:tcPr>
          <w:p w14:paraId="11241FA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1DFC4FB"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3D8A45F7" w14:textId="77777777" w:rsidTr="00D73130">
        <w:trPr>
          <w:trHeight w:val="60"/>
        </w:trPr>
        <w:tc>
          <w:tcPr>
            <w:tcW w:w="3855" w:type="dxa"/>
            <w:vMerge/>
            <w:tcBorders>
              <w:top w:val="single" w:sz="2" w:space="0" w:color="9D9C9C"/>
              <w:left w:val="single" w:sz="6" w:space="0" w:color="000000"/>
              <w:bottom w:val="single" w:sz="2" w:space="0" w:color="9D9C9C"/>
              <w:right w:val="single" w:sz="2" w:space="0" w:color="9D9C9C"/>
            </w:tcBorders>
          </w:tcPr>
          <w:p w14:paraId="0DF9CA54" w14:textId="77777777" w:rsidR="00345EE3" w:rsidRPr="00645B84" w:rsidRDefault="00345EE3" w:rsidP="00D73130">
            <w:pPr>
              <w:widowControl/>
              <w:adjustRightInd w:val="0"/>
              <w:rPr>
                <w:rFonts w:eastAsiaTheme="minorHAnsi"/>
                <w:sz w:val="24"/>
                <w:szCs w:val="24"/>
                <w:lang w:val="en-GB"/>
              </w:rPr>
            </w:pPr>
          </w:p>
        </w:tc>
        <w:tc>
          <w:tcPr>
            <w:tcW w:w="1077" w:type="dxa"/>
            <w:vMerge/>
            <w:tcBorders>
              <w:top w:val="single" w:sz="2" w:space="0" w:color="9D9C9C"/>
              <w:left w:val="single" w:sz="2" w:space="0" w:color="9D9C9C"/>
              <w:bottom w:val="single" w:sz="2" w:space="0" w:color="9D9C9C"/>
              <w:right w:val="single" w:sz="2" w:space="0" w:color="9D9C9C"/>
            </w:tcBorders>
          </w:tcPr>
          <w:p w14:paraId="42D3A21A" w14:textId="77777777" w:rsidR="00345EE3" w:rsidRPr="00645B84" w:rsidRDefault="00345EE3" w:rsidP="00D73130">
            <w:pPr>
              <w:widowControl/>
              <w:adjustRightInd w:val="0"/>
              <w:rPr>
                <w:rFonts w:eastAsiaTheme="minorHAnsi"/>
                <w:sz w:val="24"/>
                <w:szCs w:val="24"/>
                <w:lang w:val="en-GB"/>
              </w:rPr>
            </w:pP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BFE9204"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Various Expenses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03483BD"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301 </w:t>
            </w:r>
          </w:p>
        </w:tc>
        <w:tc>
          <w:tcPr>
            <w:tcW w:w="1134" w:type="dxa"/>
            <w:vMerge/>
            <w:tcBorders>
              <w:top w:val="single" w:sz="2" w:space="0" w:color="9D9C9C"/>
              <w:left w:val="single" w:sz="2" w:space="0" w:color="9D9C9C"/>
              <w:bottom w:val="single" w:sz="2" w:space="0" w:color="9D9C9C"/>
              <w:right w:val="single" w:sz="2" w:space="0" w:color="9D9C9C"/>
            </w:tcBorders>
          </w:tcPr>
          <w:p w14:paraId="79AEACCB" w14:textId="77777777" w:rsidR="00345EE3" w:rsidRPr="00645B84"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D27DE5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bl>
    <w:p w14:paraId="7CAAE6B3" w14:textId="77777777" w:rsidR="00345EE3" w:rsidRDefault="00345EE3" w:rsidP="00345EE3">
      <w:pPr>
        <w:pStyle w:val="Heading5"/>
        <w:spacing w:before="108"/>
      </w:pPr>
    </w:p>
    <w:p w14:paraId="4361564A" w14:textId="77777777" w:rsidR="00345EE3" w:rsidRDefault="00345EE3" w:rsidP="00345EE3">
      <w:pPr>
        <w:pStyle w:val="BodyText"/>
        <w:spacing w:before="2"/>
        <w:rPr>
          <w:b/>
          <w:sz w:val="12"/>
        </w:rPr>
      </w:pPr>
    </w:p>
    <w:p w14:paraId="08383911" w14:textId="77777777" w:rsidR="00345EE3" w:rsidRDefault="00345EE3" w:rsidP="00345EE3">
      <w:pPr>
        <w:rPr>
          <w:sz w:val="24"/>
        </w:rPr>
        <w:sectPr w:rsidR="00345EE3">
          <w:pgSz w:w="11910" w:h="16840"/>
          <w:pgMar w:top="700" w:right="720" w:bottom="280" w:left="740" w:header="720" w:footer="720" w:gutter="0"/>
          <w:cols w:space="720"/>
        </w:sectPr>
      </w:pPr>
    </w:p>
    <w:p w14:paraId="6FF1EF08" w14:textId="77777777" w:rsidR="00345EE3" w:rsidRDefault="00345EE3" w:rsidP="00345EE3">
      <w:pPr>
        <w:spacing w:before="62"/>
        <w:ind w:left="110"/>
        <w:rPr>
          <w:b/>
          <w:sz w:val="24"/>
        </w:rPr>
      </w:pPr>
      <w:r>
        <w:rPr>
          <w:b/>
          <w:color w:val="231F20"/>
          <w:sz w:val="24"/>
        </w:rPr>
        <w:t>Key</w:t>
      </w:r>
      <w:r>
        <w:rPr>
          <w:b/>
          <w:color w:val="231F20"/>
          <w:spacing w:val="-6"/>
          <w:sz w:val="24"/>
        </w:rPr>
        <w:t xml:space="preserve"> </w:t>
      </w:r>
      <w:r>
        <w:rPr>
          <w:b/>
          <w:color w:val="231F20"/>
          <w:sz w:val="24"/>
        </w:rPr>
        <w:t>Management</w:t>
      </w:r>
      <w:r>
        <w:rPr>
          <w:b/>
          <w:color w:val="231F20"/>
          <w:spacing w:val="-5"/>
          <w:sz w:val="24"/>
        </w:rPr>
        <w:t xml:space="preserve"> </w:t>
      </w:r>
      <w:r>
        <w:rPr>
          <w:b/>
          <w:color w:val="231F20"/>
          <w:spacing w:val="-2"/>
          <w:sz w:val="24"/>
        </w:rPr>
        <w:t>Personnel</w:t>
      </w:r>
    </w:p>
    <w:p w14:paraId="2F6BE60A" w14:textId="77777777" w:rsidR="00345EE3" w:rsidRDefault="00345EE3" w:rsidP="00345EE3">
      <w:pPr>
        <w:pStyle w:val="BodyText"/>
        <w:spacing w:before="61" w:line="242" w:lineRule="auto"/>
        <w:ind w:right="942"/>
      </w:pPr>
      <w:r>
        <w:rPr>
          <w:color w:val="231F20"/>
        </w:rPr>
        <w:t>The</w:t>
      </w:r>
      <w:r>
        <w:rPr>
          <w:color w:val="231F20"/>
          <w:spacing w:val="-11"/>
        </w:rPr>
        <w:t xml:space="preserve"> </w:t>
      </w:r>
      <w:r>
        <w:rPr>
          <w:color w:val="231F20"/>
        </w:rPr>
        <w:t>compensation</w:t>
      </w:r>
      <w:r>
        <w:rPr>
          <w:color w:val="231F20"/>
          <w:spacing w:val="-11"/>
        </w:rPr>
        <w:t xml:space="preserve"> </w:t>
      </w:r>
      <w:r>
        <w:rPr>
          <w:color w:val="231F20"/>
        </w:rPr>
        <w:t>detailed</w:t>
      </w:r>
      <w:r>
        <w:rPr>
          <w:color w:val="231F20"/>
          <w:spacing w:val="-11"/>
        </w:rPr>
        <w:t xml:space="preserve"> </w:t>
      </w:r>
      <w:r>
        <w:rPr>
          <w:color w:val="231F20"/>
        </w:rPr>
        <w:t>below</w:t>
      </w:r>
      <w:r>
        <w:rPr>
          <w:color w:val="231F20"/>
          <w:spacing w:val="-11"/>
        </w:rPr>
        <w:t xml:space="preserve"> </w:t>
      </w:r>
      <w:r>
        <w:rPr>
          <w:color w:val="231F20"/>
        </w:rPr>
        <w:t>only</w:t>
      </w:r>
      <w:r>
        <w:rPr>
          <w:color w:val="231F20"/>
          <w:spacing w:val="-11"/>
        </w:rPr>
        <w:t xml:space="preserve"> </w:t>
      </w:r>
      <w:r>
        <w:rPr>
          <w:color w:val="231F20"/>
        </w:rPr>
        <w:t>includes</w:t>
      </w:r>
      <w:r>
        <w:rPr>
          <w:color w:val="231F20"/>
          <w:spacing w:val="-11"/>
        </w:rPr>
        <w:t xml:space="preserve"> </w:t>
      </w:r>
      <w:r>
        <w:rPr>
          <w:color w:val="231F20"/>
        </w:rPr>
        <w:t>salaries</w:t>
      </w:r>
      <w:r>
        <w:rPr>
          <w:color w:val="231F20"/>
          <w:spacing w:val="-11"/>
        </w:rPr>
        <w:t xml:space="preserve"> </w:t>
      </w:r>
      <w:r>
        <w:rPr>
          <w:color w:val="231F20"/>
        </w:rPr>
        <w:t>and</w:t>
      </w:r>
      <w:r>
        <w:rPr>
          <w:color w:val="231F20"/>
          <w:spacing w:val="-11"/>
        </w:rPr>
        <w:t xml:space="preserve"> </w:t>
      </w:r>
      <w:r>
        <w:rPr>
          <w:color w:val="231F20"/>
        </w:rPr>
        <w:t>benefits</w:t>
      </w:r>
      <w:r>
        <w:rPr>
          <w:color w:val="231F20"/>
          <w:spacing w:val="-11"/>
        </w:rPr>
        <w:t xml:space="preserve"> </w:t>
      </w:r>
      <w:r>
        <w:rPr>
          <w:color w:val="231F20"/>
        </w:rPr>
        <w:t>of</w:t>
      </w:r>
      <w:r>
        <w:rPr>
          <w:color w:val="231F20"/>
          <w:spacing w:val="-11"/>
        </w:rPr>
        <w:t xml:space="preserve"> </w:t>
      </w:r>
      <w:r>
        <w:rPr>
          <w:color w:val="231F20"/>
        </w:rPr>
        <w:t>key</w:t>
      </w:r>
      <w:r>
        <w:rPr>
          <w:color w:val="231F20"/>
          <w:spacing w:val="-11"/>
        </w:rPr>
        <w:t xml:space="preserve"> </w:t>
      </w:r>
      <w:r>
        <w:rPr>
          <w:color w:val="231F20"/>
        </w:rPr>
        <w:t>management personnel of Victoria Police Executive Command.</w:t>
      </w:r>
      <w:r>
        <w:rPr>
          <w:color w:val="231F20"/>
          <w:spacing w:val="78"/>
        </w:rPr>
        <w:t xml:space="preserve"> </w:t>
      </w:r>
      <w:r>
        <w:rPr>
          <w:color w:val="231F20"/>
        </w:rPr>
        <w:t>As at 30 June 2022, the Victoria Police Executive Command is made up of 8 members.</w:t>
      </w:r>
      <w:r>
        <w:rPr>
          <w:color w:val="231F20"/>
          <w:spacing w:val="79"/>
        </w:rPr>
        <w:t xml:space="preserve"> </w:t>
      </w:r>
      <w:r>
        <w:rPr>
          <w:color w:val="231F20"/>
        </w:rPr>
        <w:t>The members comprise the Chief Commissioner of Victoria Police, Deputy Commissioners,</w:t>
      </w:r>
      <w:r>
        <w:rPr>
          <w:color w:val="231F20"/>
          <w:spacing w:val="40"/>
        </w:rPr>
        <w:t xml:space="preserve"> </w:t>
      </w:r>
      <w:r>
        <w:rPr>
          <w:color w:val="231F20"/>
        </w:rPr>
        <w:t>Deputy Secretaries and an Independent Member.</w:t>
      </w:r>
      <w:r>
        <w:rPr>
          <w:color w:val="231F20"/>
          <w:spacing w:val="40"/>
        </w:rPr>
        <w:t xml:space="preserve"> </w:t>
      </w:r>
      <w:r>
        <w:rPr>
          <w:color w:val="231F20"/>
        </w:rPr>
        <w:t>It excludes the salaries and benefits received by the Portfolio</w:t>
      </w:r>
    </w:p>
    <w:p w14:paraId="5964E945" w14:textId="1ADE1924" w:rsidR="00345EE3" w:rsidRDefault="00345EE3" w:rsidP="0052306E">
      <w:pPr>
        <w:spacing w:before="120" w:after="120" w:line="242" w:lineRule="auto"/>
        <w:ind w:left="110"/>
        <w:rPr>
          <w:sz w:val="24"/>
        </w:rPr>
      </w:pPr>
      <w:r>
        <w:rPr>
          <w:color w:val="231F20"/>
          <w:sz w:val="24"/>
        </w:rPr>
        <w:t>Minister</w:t>
      </w:r>
      <w:r>
        <w:rPr>
          <w:color w:val="231F20"/>
          <w:spacing w:val="-17"/>
          <w:sz w:val="24"/>
        </w:rPr>
        <w:t xml:space="preserve"> </w:t>
      </w:r>
      <w:r>
        <w:rPr>
          <w:color w:val="231F20"/>
          <w:sz w:val="24"/>
        </w:rPr>
        <w:t>where</w:t>
      </w:r>
      <w:r>
        <w:rPr>
          <w:color w:val="231F20"/>
          <w:spacing w:val="-17"/>
          <w:sz w:val="24"/>
        </w:rPr>
        <w:t xml:space="preserve"> </w:t>
      </w:r>
      <w:r>
        <w:rPr>
          <w:color w:val="231F20"/>
          <w:sz w:val="24"/>
        </w:rPr>
        <w:t>the</w:t>
      </w:r>
      <w:r>
        <w:rPr>
          <w:color w:val="231F20"/>
          <w:spacing w:val="-16"/>
          <w:sz w:val="24"/>
        </w:rPr>
        <w:t xml:space="preserve"> </w:t>
      </w:r>
      <w:r>
        <w:rPr>
          <w:color w:val="231F20"/>
          <w:sz w:val="24"/>
        </w:rPr>
        <w:t>remuneration</w:t>
      </w:r>
      <w:r>
        <w:rPr>
          <w:color w:val="231F20"/>
          <w:spacing w:val="-17"/>
          <w:sz w:val="24"/>
        </w:rPr>
        <w:t xml:space="preserve"> </w:t>
      </w:r>
      <w:r>
        <w:rPr>
          <w:color w:val="231F20"/>
          <w:sz w:val="24"/>
        </w:rPr>
        <w:t>and</w:t>
      </w:r>
      <w:r>
        <w:rPr>
          <w:color w:val="231F20"/>
          <w:spacing w:val="-17"/>
          <w:sz w:val="24"/>
        </w:rPr>
        <w:t xml:space="preserve"> </w:t>
      </w:r>
      <w:r>
        <w:rPr>
          <w:color w:val="231F20"/>
          <w:sz w:val="24"/>
        </w:rPr>
        <w:t>allowances</w:t>
      </w:r>
      <w:r>
        <w:rPr>
          <w:color w:val="231F20"/>
          <w:spacing w:val="-17"/>
          <w:sz w:val="24"/>
        </w:rPr>
        <w:t xml:space="preserve"> </w:t>
      </w:r>
      <w:r>
        <w:rPr>
          <w:color w:val="231F20"/>
          <w:sz w:val="24"/>
        </w:rPr>
        <w:t>are</w:t>
      </w:r>
      <w:r>
        <w:rPr>
          <w:color w:val="231F20"/>
          <w:spacing w:val="-16"/>
          <w:sz w:val="24"/>
        </w:rPr>
        <w:t xml:space="preserve"> </w:t>
      </w:r>
      <w:r>
        <w:rPr>
          <w:color w:val="231F20"/>
          <w:sz w:val="24"/>
        </w:rPr>
        <w:t>set</w:t>
      </w:r>
      <w:r>
        <w:rPr>
          <w:color w:val="231F20"/>
          <w:spacing w:val="-17"/>
          <w:sz w:val="24"/>
        </w:rPr>
        <w:t xml:space="preserve"> </w:t>
      </w:r>
      <w:r>
        <w:rPr>
          <w:color w:val="231F20"/>
          <w:sz w:val="24"/>
        </w:rPr>
        <w:t>by</w:t>
      </w:r>
      <w:r>
        <w:rPr>
          <w:color w:val="231F20"/>
          <w:spacing w:val="-17"/>
          <w:sz w:val="24"/>
        </w:rPr>
        <w:t xml:space="preserve"> </w:t>
      </w:r>
      <w:r>
        <w:rPr>
          <w:color w:val="231F20"/>
          <w:sz w:val="24"/>
        </w:rPr>
        <w:t>the</w:t>
      </w:r>
      <w:r>
        <w:rPr>
          <w:color w:val="231F20"/>
          <w:spacing w:val="-16"/>
          <w:sz w:val="24"/>
        </w:rPr>
        <w:t xml:space="preserve"> </w:t>
      </w:r>
      <w:r>
        <w:rPr>
          <w:i/>
          <w:color w:val="231F20"/>
          <w:sz w:val="24"/>
        </w:rPr>
        <w:t>Parliamentary</w:t>
      </w:r>
      <w:r>
        <w:rPr>
          <w:i/>
          <w:color w:val="231F20"/>
          <w:spacing w:val="-17"/>
          <w:sz w:val="24"/>
        </w:rPr>
        <w:t xml:space="preserve"> </w:t>
      </w:r>
      <w:r>
        <w:rPr>
          <w:i/>
          <w:color w:val="231F20"/>
          <w:sz w:val="24"/>
        </w:rPr>
        <w:t>Salaries</w:t>
      </w:r>
      <w:r>
        <w:rPr>
          <w:i/>
          <w:color w:val="231F20"/>
          <w:spacing w:val="-17"/>
          <w:sz w:val="24"/>
        </w:rPr>
        <w:t xml:space="preserve"> </w:t>
      </w:r>
      <w:r>
        <w:rPr>
          <w:i/>
          <w:color w:val="231F20"/>
          <w:sz w:val="24"/>
        </w:rPr>
        <w:t>and Superannuation</w:t>
      </w:r>
      <w:r>
        <w:rPr>
          <w:i/>
          <w:color w:val="231F20"/>
          <w:spacing w:val="-12"/>
          <w:sz w:val="24"/>
        </w:rPr>
        <w:t xml:space="preserve"> </w:t>
      </w:r>
      <w:r>
        <w:rPr>
          <w:i/>
          <w:color w:val="231F20"/>
          <w:sz w:val="24"/>
        </w:rPr>
        <w:t>Act</w:t>
      </w:r>
      <w:r>
        <w:rPr>
          <w:i/>
          <w:color w:val="231F20"/>
          <w:spacing w:val="-12"/>
          <w:sz w:val="24"/>
        </w:rPr>
        <w:t xml:space="preserve"> </w:t>
      </w:r>
      <w:r>
        <w:rPr>
          <w:i/>
          <w:color w:val="231F20"/>
          <w:sz w:val="24"/>
        </w:rPr>
        <w:t>1968</w:t>
      </w:r>
      <w:r>
        <w:rPr>
          <w:i/>
          <w:color w:val="231F20"/>
          <w:spacing w:val="-8"/>
          <w:sz w:val="24"/>
        </w:rPr>
        <w:t xml:space="preserve"> </w:t>
      </w:r>
      <w:r>
        <w:rPr>
          <w:color w:val="231F20"/>
          <w:sz w:val="24"/>
        </w:rPr>
        <w:t>and</w:t>
      </w:r>
      <w:r>
        <w:rPr>
          <w:color w:val="231F20"/>
          <w:spacing w:val="-3"/>
          <w:sz w:val="24"/>
        </w:rPr>
        <w:t xml:space="preserve"> </w:t>
      </w:r>
      <w:r>
        <w:rPr>
          <w:color w:val="231F20"/>
          <w:sz w:val="24"/>
        </w:rPr>
        <w:t>are</w:t>
      </w:r>
      <w:r>
        <w:rPr>
          <w:color w:val="231F20"/>
          <w:spacing w:val="-3"/>
          <w:sz w:val="24"/>
        </w:rPr>
        <w:t xml:space="preserve"> </w:t>
      </w:r>
      <w:r>
        <w:rPr>
          <w:color w:val="231F20"/>
          <w:sz w:val="24"/>
        </w:rPr>
        <w:t>reported</w:t>
      </w:r>
      <w:r>
        <w:rPr>
          <w:color w:val="231F20"/>
          <w:spacing w:val="-3"/>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state’s</w:t>
      </w:r>
      <w:r>
        <w:rPr>
          <w:color w:val="231F20"/>
          <w:spacing w:val="-3"/>
          <w:sz w:val="24"/>
        </w:rPr>
        <w:t xml:space="preserve"> </w:t>
      </w:r>
      <w:r>
        <w:rPr>
          <w:color w:val="231F20"/>
          <w:sz w:val="24"/>
        </w:rPr>
        <w:t>Annual</w:t>
      </w:r>
      <w:r>
        <w:rPr>
          <w:color w:val="231F20"/>
          <w:spacing w:val="-3"/>
          <w:sz w:val="24"/>
        </w:rPr>
        <w:t xml:space="preserve"> </w:t>
      </w:r>
      <w:r>
        <w:rPr>
          <w:color w:val="231F20"/>
          <w:sz w:val="24"/>
        </w:rPr>
        <w:t>Financial</w:t>
      </w:r>
      <w:r>
        <w:rPr>
          <w:color w:val="231F20"/>
          <w:spacing w:val="-3"/>
          <w:sz w:val="24"/>
        </w:rPr>
        <w:t xml:space="preserve"> </w:t>
      </w:r>
      <w:r>
        <w:rPr>
          <w:color w:val="231F20"/>
          <w:sz w:val="24"/>
        </w:rPr>
        <w:t>Report.</w:t>
      </w:r>
    </w:p>
    <w:tbl>
      <w:tblPr>
        <w:tblW w:w="0" w:type="auto"/>
        <w:tblInd w:w="-8" w:type="dxa"/>
        <w:tblLayout w:type="fixed"/>
        <w:tblCellMar>
          <w:left w:w="0" w:type="dxa"/>
          <w:right w:w="0" w:type="dxa"/>
        </w:tblCellMar>
        <w:tblLook w:val="0000" w:firstRow="0" w:lastRow="0" w:firstColumn="0" w:lastColumn="0" w:noHBand="0" w:noVBand="0"/>
      </w:tblPr>
      <w:tblGrid>
        <w:gridCol w:w="7937"/>
        <w:gridCol w:w="1134"/>
        <w:gridCol w:w="1134"/>
      </w:tblGrid>
      <w:tr w:rsidR="0052306E" w:rsidRPr="0052306E" w14:paraId="5010AF59" w14:textId="77777777" w:rsidTr="0052306E">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4103F667"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thousand)</w:t>
            </w:r>
          </w:p>
        </w:tc>
      </w:tr>
      <w:tr w:rsidR="0052306E" w:rsidRPr="0052306E" w14:paraId="40C3E5CA" w14:textId="77777777" w:rsidTr="0052306E">
        <w:trPr>
          <w:trHeight w:val="375"/>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2B23D2AF" w14:textId="77777777" w:rsidR="0052306E" w:rsidRPr="0052306E" w:rsidRDefault="0052306E" w:rsidP="0052306E">
            <w:pPr>
              <w:widowControl/>
              <w:adjustRightInd w:val="0"/>
              <w:spacing w:before="120"/>
              <w:rPr>
                <w:rFonts w:eastAsia="Myriad Pro"/>
                <w:sz w:val="24"/>
                <w:szCs w:val="24"/>
                <w:lang w:val="en-GB"/>
              </w:rPr>
            </w:pP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185645E3" w14:textId="77777777" w:rsidR="0052306E" w:rsidRPr="0052306E" w:rsidRDefault="0052306E" w:rsidP="0052306E">
            <w:pPr>
              <w:widowControl/>
              <w:tabs>
                <w:tab w:val="left" w:pos="240"/>
              </w:tabs>
              <w:suppressAutoHyphens/>
              <w:adjustRightInd w:val="0"/>
              <w:spacing w:before="120" w:line="280" w:lineRule="atLeast"/>
              <w:jc w:val="center"/>
              <w:textAlignment w:val="center"/>
              <w:rPr>
                <w:rFonts w:eastAsia="Myriad Pro"/>
                <w:b/>
                <w:bCs/>
                <w:color w:val="FFFFFF"/>
                <w:sz w:val="24"/>
                <w:szCs w:val="24"/>
                <w:lang w:val="en-GB"/>
              </w:rPr>
            </w:pPr>
            <w:r w:rsidRPr="0052306E">
              <w:rPr>
                <w:rFonts w:eastAsia="Myriad Pro"/>
                <w:b/>
                <w:bCs/>
                <w:color w:val="FFFFFF"/>
                <w:sz w:val="24"/>
                <w:szCs w:val="24"/>
                <w:lang w:val="en-GB"/>
              </w:rPr>
              <w:t>Total Remuneration</w:t>
            </w:r>
          </w:p>
        </w:tc>
      </w:tr>
      <w:tr w:rsidR="0052306E" w:rsidRPr="0052306E" w14:paraId="6C883783" w14:textId="77777777" w:rsidTr="0052306E">
        <w:trPr>
          <w:trHeight w:val="60"/>
          <w:tblHeader/>
        </w:trPr>
        <w:tc>
          <w:tcPr>
            <w:tcW w:w="7937"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653456F" w14:textId="77777777" w:rsidR="0052306E" w:rsidRPr="0052306E" w:rsidRDefault="0052306E" w:rsidP="0052306E">
            <w:pPr>
              <w:widowControl/>
              <w:adjustRightInd w:val="0"/>
              <w:spacing w:before="12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39B7F01"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6F640E5F"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2021</w:t>
            </w:r>
          </w:p>
        </w:tc>
      </w:tr>
      <w:tr w:rsidR="0052306E" w:rsidRPr="0052306E" w14:paraId="777C7E0B" w14:textId="77777777" w:rsidTr="0052306E">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0C69719" w14:textId="77777777" w:rsidR="0052306E" w:rsidRPr="0052306E" w:rsidRDefault="0052306E" w:rsidP="0052306E">
            <w:pPr>
              <w:widowControl/>
              <w:tabs>
                <w:tab w:val="left" w:pos="240"/>
              </w:tabs>
              <w:suppressAutoHyphens/>
              <w:adjustRightInd w:val="0"/>
              <w:spacing w:before="120" w:line="280" w:lineRule="atLeast"/>
              <w:textAlignment w:val="center"/>
              <w:rPr>
                <w:rFonts w:eastAsia="Myriad Pro"/>
                <w:color w:val="000000"/>
                <w:sz w:val="24"/>
                <w:szCs w:val="24"/>
                <w:lang w:val="en-GB"/>
              </w:rPr>
            </w:pPr>
            <w:r w:rsidRPr="0052306E">
              <w:rPr>
                <w:rFonts w:eastAsia="Myriad Pro"/>
                <w:color w:val="000000"/>
                <w:sz w:val="24"/>
                <w:szCs w:val="24"/>
                <w:lang w:val="en-GB"/>
              </w:rPr>
              <w:t>Short-term employee benefits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D9F7353"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3,329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917F772"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2,917 </w:t>
            </w:r>
          </w:p>
        </w:tc>
      </w:tr>
      <w:tr w:rsidR="0052306E" w:rsidRPr="0052306E" w14:paraId="0F8DF8EE" w14:textId="77777777" w:rsidTr="0052306E">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DFC5D95" w14:textId="77777777" w:rsidR="0052306E" w:rsidRPr="0052306E" w:rsidRDefault="0052306E" w:rsidP="0052306E">
            <w:pPr>
              <w:widowControl/>
              <w:tabs>
                <w:tab w:val="left" w:pos="240"/>
              </w:tabs>
              <w:suppressAutoHyphens/>
              <w:adjustRightInd w:val="0"/>
              <w:spacing w:before="120" w:line="280" w:lineRule="atLeast"/>
              <w:textAlignment w:val="center"/>
              <w:rPr>
                <w:rFonts w:eastAsia="Myriad Pro"/>
                <w:color w:val="000000"/>
                <w:sz w:val="24"/>
                <w:szCs w:val="24"/>
                <w:lang w:val="en-GB"/>
              </w:rPr>
            </w:pPr>
            <w:r w:rsidRPr="0052306E">
              <w:rPr>
                <w:rFonts w:eastAsia="Myriad Pro"/>
                <w:color w:val="000000"/>
                <w:sz w:val="24"/>
                <w:szCs w:val="24"/>
                <w:lang w:val="en-GB"/>
              </w:rPr>
              <w:t>Post employment benefits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9F2B6B"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152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6517F50"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542 </w:t>
            </w:r>
          </w:p>
        </w:tc>
      </w:tr>
      <w:tr w:rsidR="0052306E" w:rsidRPr="0052306E" w14:paraId="74FE557D" w14:textId="77777777" w:rsidTr="0052306E">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4938645" w14:textId="77777777" w:rsidR="0052306E" w:rsidRPr="0052306E" w:rsidRDefault="0052306E" w:rsidP="0052306E">
            <w:pPr>
              <w:widowControl/>
              <w:tabs>
                <w:tab w:val="left" w:pos="240"/>
              </w:tabs>
              <w:suppressAutoHyphens/>
              <w:adjustRightInd w:val="0"/>
              <w:spacing w:before="120" w:line="280" w:lineRule="atLeast"/>
              <w:textAlignment w:val="center"/>
              <w:rPr>
                <w:rFonts w:eastAsia="Myriad Pro"/>
                <w:color w:val="000000"/>
                <w:sz w:val="24"/>
                <w:szCs w:val="24"/>
                <w:lang w:val="en-GB"/>
              </w:rPr>
            </w:pPr>
            <w:r w:rsidRPr="0052306E">
              <w:rPr>
                <w:rFonts w:eastAsia="Myriad Pro"/>
                <w:color w:val="000000"/>
                <w:sz w:val="24"/>
                <w:szCs w:val="24"/>
                <w:lang w:val="en-GB"/>
              </w:rPr>
              <w:t>Other long-term benefits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A92EDAB"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82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1B4827A"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67 </w:t>
            </w:r>
          </w:p>
        </w:tc>
      </w:tr>
      <w:tr w:rsidR="0052306E" w:rsidRPr="0052306E" w14:paraId="0D0D9539" w14:textId="77777777" w:rsidTr="0052306E">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5C228E13" w14:textId="77777777" w:rsidR="0052306E" w:rsidRPr="0052306E" w:rsidRDefault="0052306E" w:rsidP="0052306E">
            <w:pPr>
              <w:widowControl/>
              <w:tabs>
                <w:tab w:val="left" w:pos="240"/>
              </w:tabs>
              <w:suppressAutoHyphens/>
              <w:adjustRightInd w:val="0"/>
              <w:spacing w:before="120" w:line="280" w:lineRule="atLeast"/>
              <w:textAlignment w:val="center"/>
              <w:rPr>
                <w:rFonts w:eastAsia="Myriad Pro"/>
                <w:color w:val="000000"/>
                <w:sz w:val="24"/>
                <w:szCs w:val="24"/>
                <w:lang w:val="en-GB"/>
              </w:rPr>
            </w:pPr>
            <w:r w:rsidRPr="0052306E">
              <w:rPr>
                <w:rFonts w:eastAsia="Myriad Pro"/>
                <w:color w:val="000000"/>
                <w:sz w:val="24"/>
                <w:szCs w:val="24"/>
                <w:lang w:val="en-GB"/>
              </w:rPr>
              <w:t>Termination benefits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4B15DDF"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36B0E3A"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194 </w:t>
            </w:r>
          </w:p>
        </w:tc>
      </w:tr>
      <w:tr w:rsidR="0052306E" w:rsidRPr="0052306E" w14:paraId="23CF2E5C" w14:textId="77777777" w:rsidTr="0052306E">
        <w:trPr>
          <w:trHeight w:val="60"/>
        </w:trPr>
        <w:tc>
          <w:tcPr>
            <w:tcW w:w="793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5D22707D" w14:textId="77777777" w:rsidR="0052306E" w:rsidRPr="0052306E" w:rsidRDefault="0052306E" w:rsidP="0052306E">
            <w:pPr>
              <w:widowControl/>
              <w:tabs>
                <w:tab w:val="left" w:pos="240"/>
              </w:tabs>
              <w:suppressAutoHyphens/>
              <w:adjustRightInd w:val="0"/>
              <w:spacing w:before="120" w:line="280" w:lineRule="atLeast"/>
              <w:textAlignment w:val="center"/>
              <w:rPr>
                <w:rFonts w:eastAsia="Myriad Pro"/>
                <w:color w:val="000000"/>
                <w:sz w:val="24"/>
                <w:szCs w:val="24"/>
                <w:lang w:val="en-GB"/>
              </w:rPr>
            </w:pPr>
            <w:r w:rsidRPr="0052306E">
              <w:rPr>
                <w:rFonts w:eastAsia="Myriad Pro"/>
                <w:b/>
                <w:bCs/>
                <w:color w:val="000000"/>
                <w:sz w:val="24"/>
                <w:szCs w:val="24"/>
                <w:lang w:val="en-GB"/>
              </w:rPr>
              <w:t>Total Remuneration</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0D4261E0"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3,563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46B18885"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3,720</w:t>
            </w:r>
          </w:p>
        </w:tc>
      </w:tr>
    </w:tbl>
    <w:p w14:paraId="094C257B" w14:textId="77777777" w:rsidR="00345EE3" w:rsidRDefault="00345EE3" w:rsidP="00345EE3">
      <w:pPr>
        <w:pStyle w:val="BodyText"/>
        <w:spacing w:before="7"/>
        <w:rPr>
          <w:sz w:val="10"/>
        </w:rPr>
      </w:pPr>
    </w:p>
    <w:p w14:paraId="49468CDD" w14:textId="77777777" w:rsidR="00345EE3" w:rsidRDefault="00345EE3" w:rsidP="00345EE3">
      <w:pPr>
        <w:pStyle w:val="Heading5"/>
        <w:spacing w:before="92"/>
      </w:pPr>
      <w:r>
        <w:rPr>
          <w:color w:val="231F20"/>
        </w:rPr>
        <w:t>Transactions</w:t>
      </w:r>
      <w:r>
        <w:rPr>
          <w:color w:val="231F20"/>
          <w:spacing w:val="-6"/>
        </w:rPr>
        <w:t xml:space="preserve"> </w:t>
      </w:r>
      <w:r>
        <w:rPr>
          <w:color w:val="231F20"/>
        </w:rPr>
        <w:t>with</w:t>
      </w:r>
      <w:r>
        <w:rPr>
          <w:color w:val="231F20"/>
          <w:spacing w:val="-5"/>
        </w:rPr>
        <w:t xml:space="preserve"> </w:t>
      </w:r>
      <w:r>
        <w:rPr>
          <w:color w:val="231F20"/>
        </w:rPr>
        <w:t>key</w:t>
      </w:r>
      <w:r>
        <w:rPr>
          <w:color w:val="231F20"/>
          <w:spacing w:val="-6"/>
        </w:rPr>
        <w:t xml:space="preserve"> </w:t>
      </w:r>
      <w:r>
        <w:rPr>
          <w:color w:val="231F20"/>
        </w:rPr>
        <w:t>management</w:t>
      </w:r>
      <w:r>
        <w:rPr>
          <w:color w:val="231F20"/>
          <w:spacing w:val="-5"/>
        </w:rPr>
        <w:t xml:space="preserve"> </w:t>
      </w:r>
      <w:r>
        <w:rPr>
          <w:color w:val="231F20"/>
        </w:rPr>
        <w:t>personnel</w:t>
      </w:r>
      <w:r>
        <w:rPr>
          <w:color w:val="231F20"/>
          <w:spacing w:val="-5"/>
        </w:rPr>
        <w:t xml:space="preserve"> </w:t>
      </w:r>
      <w:r>
        <w:rPr>
          <w:color w:val="231F20"/>
        </w:rPr>
        <w:t>and</w:t>
      </w:r>
      <w:r>
        <w:rPr>
          <w:color w:val="231F20"/>
          <w:spacing w:val="-5"/>
        </w:rPr>
        <w:t xml:space="preserve"> </w:t>
      </w:r>
      <w:r>
        <w:rPr>
          <w:color w:val="231F20"/>
        </w:rPr>
        <w:t>other</w:t>
      </w:r>
      <w:r>
        <w:rPr>
          <w:color w:val="231F20"/>
          <w:spacing w:val="-6"/>
        </w:rPr>
        <w:t xml:space="preserve"> </w:t>
      </w:r>
      <w:r>
        <w:rPr>
          <w:color w:val="231F20"/>
        </w:rPr>
        <w:t>related</w:t>
      </w:r>
      <w:r>
        <w:rPr>
          <w:color w:val="231F20"/>
          <w:spacing w:val="-4"/>
        </w:rPr>
        <w:t xml:space="preserve"> </w:t>
      </w:r>
      <w:r>
        <w:rPr>
          <w:color w:val="231F20"/>
          <w:spacing w:val="-2"/>
        </w:rPr>
        <w:t>parties</w:t>
      </w:r>
    </w:p>
    <w:p w14:paraId="3296E86E" w14:textId="77777777" w:rsidR="00345EE3" w:rsidRDefault="00345EE3" w:rsidP="00345EE3">
      <w:pPr>
        <w:pStyle w:val="BodyText"/>
        <w:spacing w:before="61" w:line="242" w:lineRule="auto"/>
        <w:ind w:right="115"/>
      </w:pPr>
      <w:r>
        <w:rPr>
          <w:color w:val="231F20"/>
        </w:rPr>
        <w:t>Given the breadth and depth of state government activities, related parties transact with the Victorian</w:t>
      </w:r>
      <w:r>
        <w:rPr>
          <w:color w:val="231F20"/>
          <w:spacing w:val="-9"/>
        </w:rPr>
        <w:t xml:space="preserve"> </w:t>
      </w:r>
      <w:r>
        <w:rPr>
          <w:color w:val="231F20"/>
        </w:rPr>
        <w:t>public</w:t>
      </w:r>
      <w:r>
        <w:rPr>
          <w:color w:val="231F20"/>
          <w:spacing w:val="-8"/>
        </w:rPr>
        <w:t xml:space="preserve"> </w:t>
      </w:r>
      <w:r>
        <w:rPr>
          <w:color w:val="231F20"/>
        </w:rPr>
        <w:t>sector</w:t>
      </w:r>
      <w:r>
        <w:rPr>
          <w:color w:val="231F20"/>
          <w:spacing w:val="-8"/>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manner</w:t>
      </w:r>
      <w:r>
        <w:rPr>
          <w:color w:val="231F20"/>
          <w:spacing w:val="-8"/>
        </w:rPr>
        <w:t xml:space="preserve"> </w:t>
      </w:r>
      <w:r>
        <w:rPr>
          <w:color w:val="231F20"/>
        </w:rPr>
        <w:t>consistent</w:t>
      </w:r>
      <w:r>
        <w:rPr>
          <w:color w:val="231F20"/>
          <w:spacing w:val="-8"/>
        </w:rPr>
        <w:t xml:space="preserve"> </w:t>
      </w:r>
      <w:r>
        <w:rPr>
          <w:color w:val="231F20"/>
        </w:rPr>
        <w:t>with</w:t>
      </w:r>
      <w:r>
        <w:rPr>
          <w:color w:val="231F20"/>
          <w:spacing w:val="-9"/>
        </w:rPr>
        <w:t xml:space="preserve"> </w:t>
      </w:r>
      <w:r>
        <w:rPr>
          <w:color w:val="231F20"/>
        </w:rPr>
        <w:t>other</w:t>
      </w:r>
      <w:r>
        <w:rPr>
          <w:color w:val="231F20"/>
          <w:spacing w:val="-8"/>
        </w:rPr>
        <w:t xml:space="preserve"> </w:t>
      </w:r>
      <w:r>
        <w:rPr>
          <w:color w:val="231F20"/>
        </w:rPr>
        <w:t>members</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public</w:t>
      </w:r>
      <w:r>
        <w:rPr>
          <w:color w:val="231F20"/>
          <w:spacing w:val="-8"/>
        </w:rPr>
        <w:t xml:space="preserve"> </w:t>
      </w:r>
      <w:r>
        <w:rPr>
          <w:color w:val="231F20"/>
        </w:rPr>
        <w:t>e.g.</w:t>
      </w:r>
      <w:r>
        <w:rPr>
          <w:color w:val="231F20"/>
          <w:spacing w:val="-8"/>
        </w:rPr>
        <w:t xml:space="preserve"> </w:t>
      </w:r>
      <w:r>
        <w:rPr>
          <w:color w:val="231F20"/>
        </w:rPr>
        <w:t>stamp</w:t>
      </w:r>
      <w:r>
        <w:rPr>
          <w:color w:val="231F20"/>
          <w:spacing w:val="-9"/>
        </w:rPr>
        <w:t xml:space="preserve"> </w:t>
      </w:r>
      <w:r>
        <w:rPr>
          <w:color w:val="231F20"/>
        </w:rPr>
        <w:t>duty and</w:t>
      </w:r>
      <w:r>
        <w:rPr>
          <w:color w:val="231F20"/>
          <w:spacing w:val="-9"/>
        </w:rPr>
        <w:t xml:space="preserve"> </w:t>
      </w:r>
      <w:r>
        <w:rPr>
          <w:color w:val="231F20"/>
        </w:rPr>
        <w:t>other</w:t>
      </w:r>
      <w:r>
        <w:rPr>
          <w:color w:val="231F20"/>
          <w:spacing w:val="-8"/>
        </w:rPr>
        <w:t xml:space="preserve"> </w:t>
      </w:r>
      <w:r>
        <w:rPr>
          <w:color w:val="231F20"/>
        </w:rPr>
        <w:t>government</w:t>
      </w:r>
      <w:r>
        <w:rPr>
          <w:color w:val="231F20"/>
          <w:spacing w:val="-8"/>
        </w:rPr>
        <w:t xml:space="preserve"> </w:t>
      </w:r>
      <w:r>
        <w:rPr>
          <w:color w:val="231F20"/>
        </w:rPr>
        <w:t>fees</w:t>
      </w:r>
      <w:r>
        <w:rPr>
          <w:color w:val="231F20"/>
          <w:spacing w:val="-8"/>
        </w:rPr>
        <w:t xml:space="preserve"> </w:t>
      </w:r>
      <w:r>
        <w:rPr>
          <w:color w:val="231F20"/>
        </w:rPr>
        <w:t>and</w:t>
      </w:r>
      <w:r>
        <w:rPr>
          <w:color w:val="231F20"/>
          <w:spacing w:val="-9"/>
        </w:rPr>
        <w:t xml:space="preserve"> </w:t>
      </w:r>
      <w:r>
        <w:rPr>
          <w:color w:val="231F20"/>
        </w:rPr>
        <w:t>charges.</w:t>
      </w:r>
      <w:r>
        <w:rPr>
          <w:color w:val="231F20"/>
          <w:spacing w:val="-8"/>
        </w:rPr>
        <w:t xml:space="preserve"> </w:t>
      </w:r>
      <w:r>
        <w:rPr>
          <w:color w:val="231F20"/>
        </w:rPr>
        <w:t>Further</w:t>
      </w:r>
      <w:r>
        <w:rPr>
          <w:color w:val="231F20"/>
          <w:spacing w:val="-8"/>
        </w:rPr>
        <w:t xml:space="preserve"> </w:t>
      </w:r>
      <w:r>
        <w:rPr>
          <w:color w:val="231F20"/>
        </w:rPr>
        <w:t>employment</w:t>
      </w:r>
      <w:r>
        <w:rPr>
          <w:color w:val="231F20"/>
          <w:spacing w:val="-8"/>
        </w:rPr>
        <w:t xml:space="preserve"> </w:t>
      </w:r>
      <w:r>
        <w:rPr>
          <w:color w:val="231F20"/>
        </w:rPr>
        <w:t>of</w:t>
      </w:r>
      <w:r>
        <w:rPr>
          <w:color w:val="231F20"/>
          <w:spacing w:val="-8"/>
        </w:rPr>
        <w:t xml:space="preserve"> </w:t>
      </w:r>
      <w:r>
        <w:rPr>
          <w:color w:val="231F20"/>
        </w:rPr>
        <w:t>processes</w:t>
      </w:r>
      <w:r>
        <w:rPr>
          <w:color w:val="231F20"/>
          <w:spacing w:val="-8"/>
        </w:rPr>
        <w:t xml:space="preserve"> </w:t>
      </w:r>
      <w:r>
        <w:rPr>
          <w:color w:val="231F20"/>
        </w:rPr>
        <w:t>within</w:t>
      </w:r>
      <w:r>
        <w:rPr>
          <w:color w:val="231F20"/>
          <w:spacing w:val="-9"/>
        </w:rPr>
        <w:t xml:space="preserve"> </w:t>
      </w:r>
      <w:r>
        <w:rPr>
          <w:color w:val="231F20"/>
        </w:rPr>
        <w:t>the</w:t>
      </w:r>
      <w:r>
        <w:rPr>
          <w:color w:val="231F20"/>
          <w:spacing w:val="-9"/>
        </w:rPr>
        <w:t xml:space="preserve"> </w:t>
      </w:r>
      <w:r>
        <w:rPr>
          <w:color w:val="231F20"/>
        </w:rPr>
        <w:t>Victorian public</w:t>
      </w:r>
      <w:r>
        <w:rPr>
          <w:color w:val="231F20"/>
          <w:spacing w:val="-2"/>
        </w:rPr>
        <w:t xml:space="preserve"> </w:t>
      </w:r>
      <w:r>
        <w:rPr>
          <w:color w:val="231F20"/>
        </w:rPr>
        <w:t>sector</w:t>
      </w:r>
      <w:r>
        <w:rPr>
          <w:color w:val="231F20"/>
          <w:spacing w:val="-2"/>
        </w:rPr>
        <w:t xml:space="preserve"> </w:t>
      </w:r>
      <w:r>
        <w:rPr>
          <w:color w:val="231F20"/>
        </w:rPr>
        <w:t>occur</w:t>
      </w:r>
      <w:r>
        <w:rPr>
          <w:color w:val="231F20"/>
          <w:spacing w:val="-2"/>
        </w:rPr>
        <w:t xml:space="preserve"> </w:t>
      </w:r>
      <w:r>
        <w:rPr>
          <w:color w:val="231F20"/>
        </w:rPr>
        <w:t>on</w:t>
      </w:r>
      <w:r>
        <w:rPr>
          <w:color w:val="231F20"/>
          <w:spacing w:val="-3"/>
        </w:rPr>
        <w:t xml:space="preserve"> </w:t>
      </w:r>
      <w:r>
        <w:rPr>
          <w:color w:val="231F20"/>
        </w:rPr>
        <w:t>terms</w:t>
      </w:r>
      <w:r>
        <w:rPr>
          <w:color w:val="231F20"/>
          <w:spacing w:val="-2"/>
        </w:rPr>
        <w:t xml:space="preserve"> </w:t>
      </w:r>
      <w:r>
        <w:rPr>
          <w:color w:val="231F20"/>
        </w:rPr>
        <w:t>and</w:t>
      </w:r>
      <w:r>
        <w:rPr>
          <w:color w:val="231F20"/>
          <w:spacing w:val="-3"/>
        </w:rPr>
        <w:t xml:space="preserve"> </w:t>
      </w:r>
      <w:r>
        <w:rPr>
          <w:color w:val="231F20"/>
        </w:rPr>
        <w:t>conditions</w:t>
      </w:r>
      <w:r>
        <w:rPr>
          <w:color w:val="231F20"/>
          <w:spacing w:val="-2"/>
        </w:rPr>
        <w:t xml:space="preserve"> </w:t>
      </w:r>
      <w:r>
        <w:rPr>
          <w:color w:val="231F20"/>
        </w:rPr>
        <w:t>consistent</w:t>
      </w:r>
      <w:r>
        <w:rPr>
          <w:color w:val="231F20"/>
          <w:spacing w:val="-2"/>
        </w:rPr>
        <w:t xml:space="preserve"> </w:t>
      </w:r>
      <w:r>
        <w:rPr>
          <w:color w:val="231F20"/>
        </w:rPr>
        <w:t>with</w:t>
      </w:r>
      <w:r>
        <w:rPr>
          <w:color w:val="231F20"/>
          <w:spacing w:val="-3"/>
        </w:rPr>
        <w:t xml:space="preserve"> </w:t>
      </w:r>
      <w:r>
        <w:rPr>
          <w:color w:val="231F20"/>
        </w:rPr>
        <w:t>the</w:t>
      </w:r>
      <w:r>
        <w:rPr>
          <w:color w:val="231F20"/>
          <w:spacing w:val="-3"/>
        </w:rPr>
        <w:t xml:space="preserve"> </w:t>
      </w:r>
      <w:r>
        <w:rPr>
          <w:i/>
          <w:color w:val="231F20"/>
        </w:rPr>
        <w:t>Public</w:t>
      </w:r>
      <w:r>
        <w:rPr>
          <w:i/>
          <w:color w:val="231F20"/>
          <w:spacing w:val="-11"/>
        </w:rPr>
        <w:t xml:space="preserve"> </w:t>
      </w:r>
      <w:r>
        <w:rPr>
          <w:i/>
          <w:color w:val="231F20"/>
        </w:rPr>
        <w:t>Administration</w:t>
      </w:r>
      <w:r>
        <w:rPr>
          <w:i/>
          <w:color w:val="231F20"/>
          <w:spacing w:val="-11"/>
        </w:rPr>
        <w:t xml:space="preserve"> </w:t>
      </w:r>
      <w:r>
        <w:rPr>
          <w:i/>
          <w:color w:val="231F20"/>
        </w:rPr>
        <w:t>Act</w:t>
      </w:r>
      <w:r>
        <w:rPr>
          <w:i/>
          <w:color w:val="231F20"/>
          <w:spacing w:val="-11"/>
        </w:rPr>
        <w:t xml:space="preserve"> </w:t>
      </w:r>
      <w:r>
        <w:rPr>
          <w:color w:val="231F20"/>
        </w:rPr>
        <w:t>2004 and Codes of Conduct and Standards issued by the Victorian Public Sector Commission.</w:t>
      </w:r>
    </w:p>
    <w:p w14:paraId="625F9E3F" w14:textId="77777777" w:rsidR="00345EE3" w:rsidRDefault="00345EE3" w:rsidP="00345EE3">
      <w:pPr>
        <w:pStyle w:val="BodyText"/>
        <w:spacing w:before="7" w:line="242" w:lineRule="auto"/>
      </w:pPr>
      <w:r>
        <w:rPr>
          <w:color w:val="231F20"/>
        </w:rPr>
        <w:t>Procurement</w:t>
      </w:r>
      <w:r>
        <w:rPr>
          <w:color w:val="231F20"/>
          <w:spacing w:val="-9"/>
        </w:rPr>
        <w:t xml:space="preserve"> </w:t>
      </w:r>
      <w:r>
        <w:rPr>
          <w:color w:val="231F20"/>
        </w:rPr>
        <w:t>processes</w:t>
      </w:r>
      <w:r>
        <w:rPr>
          <w:color w:val="231F20"/>
          <w:spacing w:val="-9"/>
        </w:rPr>
        <w:t xml:space="preserve"> </w:t>
      </w:r>
      <w:r>
        <w:rPr>
          <w:color w:val="231F20"/>
        </w:rPr>
        <w:t>occur</w:t>
      </w:r>
      <w:r>
        <w:rPr>
          <w:color w:val="231F20"/>
          <w:spacing w:val="-9"/>
        </w:rPr>
        <w:t xml:space="preserve"> </w:t>
      </w:r>
      <w:r>
        <w:rPr>
          <w:color w:val="231F20"/>
        </w:rPr>
        <w:t>on</w:t>
      </w:r>
      <w:r>
        <w:rPr>
          <w:color w:val="231F20"/>
          <w:spacing w:val="-10"/>
        </w:rPr>
        <w:t xml:space="preserve"> </w:t>
      </w:r>
      <w:r>
        <w:rPr>
          <w:color w:val="231F20"/>
        </w:rPr>
        <w:t>terms</w:t>
      </w:r>
      <w:r>
        <w:rPr>
          <w:color w:val="231F20"/>
          <w:spacing w:val="-9"/>
        </w:rPr>
        <w:t xml:space="preserve"> </w:t>
      </w:r>
      <w:r>
        <w:rPr>
          <w:color w:val="231F20"/>
        </w:rPr>
        <w:t>and</w:t>
      </w:r>
      <w:r>
        <w:rPr>
          <w:color w:val="231F20"/>
          <w:spacing w:val="-10"/>
        </w:rPr>
        <w:t xml:space="preserve"> </w:t>
      </w:r>
      <w:r>
        <w:rPr>
          <w:color w:val="231F20"/>
        </w:rPr>
        <w:t>conditions</w:t>
      </w:r>
      <w:r>
        <w:rPr>
          <w:color w:val="231F20"/>
          <w:spacing w:val="-9"/>
        </w:rPr>
        <w:t xml:space="preserve"> </w:t>
      </w:r>
      <w:r>
        <w:rPr>
          <w:color w:val="231F20"/>
        </w:rPr>
        <w:t>consistent</w:t>
      </w:r>
      <w:r>
        <w:rPr>
          <w:color w:val="231F20"/>
          <w:spacing w:val="-9"/>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Victorian</w:t>
      </w:r>
      <w:r>
        <w:rPr>
          <w:color w:val="231F20"/>
          <w:spacing w:val="-10"/>
        </w:rPr>
        <w:t xml:space="preserve"> </w:t>
      </w:r>
      <w:r>
        <w:rPr>
          <w:color w:val="231F20"/>
        </w:rPr>
        <w:t>Government Procurement Board requirements.</w:t>
      </w:r>
    </w:p>
    <w:p w14:paraId="0946D25F" w14:textId="77777777" w:rsidR="00345EE3" w:rsidRDefault="00345EE3" w:rsidP="00345EE3">
      <w:pPr>
        <w:pStyle w:val="BodyText"/>
        <w:spacing w:before="116" w:line="242" w:lineRule="auto"/>
      </w:pPr>
      <w:r>
        <w:rPr>
          <w:color w:val="231F20"/>
        </w:rPr>
        <w:t>Outside of normal citizen type transactions with Victoria Police, there were no related party transactions that involved key management personnel and their close family members. No provision</w:t>
      </w:r>
      <w:r>
        <w:rPr>
          <w:color w:val="231F20"/>
          <w:spacing w:val="-12"/>
        </w:rPr>
        <w:t xml:space="preserve"> </w:t>
      </w:r>
      <w:r>
        <w:rPr>
          <w:color w:val="231F20"/>
        </w:rPr>
        <w:t>has</w:t>
      </w:r>
      <w:r>
        <w:rPr>
          <w:color w:val="231F20"/>
          <w:spacing w:val="-11"/>
        </w:rPr>
        <w:t xml:space="preserve"> </w:t>
      </w:r>
      <w:r>
        <w:rPr>
          <w:color w:val="231F20"/>
        </w:rPr>
        <w:t>been</w:t>
      </w:r>
      <w:r>
        <w:rPr>
          <w:color w:val="231F20"/>
          <w:spacing w:val="-12"/>
        </w:rPr>
        <w:t xml:space="preserve"> </w:t>
      </w:r>
      <w:r>
        <w:rPr>
          <w:color w:val="231F20"/>
        </w:rPr>
        <w:t>required,</w:t>
      </w:r>
      <w:r>
        <w:rPr>
          <w:color w:val="231F20"/>
          <w:spacing w:val="-11"/>
        </w:rPr>
        <w:t xml:space="preserve"> </w:t>
      </w:r>
      <w:r>
        <w:rPr>
          <w:color w:val="231F20"/>
        </w:rPr>
        <w:t>nor</w:t>
      </w:r>
      <w:r>
        <w:rPr>
          <w:color w:val="231F20"/>
          <w:spacing w:val="-11"/>
        </w:rPr>
        <w:t xml:space="preserve"> </w:t>
      </w:r>
      <w:r>
        <w:rPr>
          <w:color w:val="231F20"/>
        </w:rPr>
        <w:t>any</w:t>
      </w:r>
      <w:r>
        <w:rPr>
          <w:color w:val="231F20"/>
          <w:spacing w:val="-11"/>
        </w:rPr>
        <w:t xml:space="preserve"> </w:t>
      </w:r>
      <w:r>
        <w:rPr>
          <w:color w:val="231F20"/>
        </w:rPr>
        <w:t>expense</w:t>
      </w:r>
      <w:r>
        <w:rPr>
          <w:color w:val="231F20"/>
          <w:spacing w:val="-12"/>
        </w:rPr>
        <w:t xml:space="preserve"> </w:t>
      </w:r>
      <w:r>
        <w:rPr>
          <w:color w:val="231F20"/>
        </w:rPr>
        <w:t>recognised,</w:t>
      </w:r>
      <w:r>
        <w:rPr>
          <w:color w:val="231F20"/>
          <w:spacing w:val="-11"/>
        </w:rPr>
        <w:t xml:space="preserve"> </w:t>
      </w:r>
      <w:r>
        <w:rPr>
          <w:color w:val="231F20"/>
        </w:rPr>
        <w:t>for</w:t>
      </w:r>
      <w:r>
        <w:rPr>
          <w:color w:val="231F20"/>
          <w:spacing w:val="-11"/>
        </w:rPr>
        <w:t xml:space="preserve"> </w:t>
      </w:r>
      <w:r>
        <w:rPr>
          <w:color w:val="231F20"/>
        </w:rPr>
        <w:t>impairment</w:t>
      </w:r>
      <w:r>
        <w:rPr>
          <w:color w:val="231F20"/>
          <w:spacing w:val="-11"/>
        </w:rPr>
        <w:t xml:space="preserve"> </w:t>
      </w:r>
      <w:r>
        <w:rPr>
          <w:color w:val="231F20"/>
        </w:rPr>
        <w:t>of</w:t>
      </w:r>
      <w:r>
        <w:rPr>
          <w:color w:val="231F20"/>
          <w:spacing w:val="-11"/>
        </w:rPr>
        <w:t xml:space="preserve"> </w:t>
      </w:r>
      <w:r>
        <w:rPr>
          <w:color w:val="231F20"/>
        </w:rPr>
        <w:t>receivables</w:t>
      </w:r>
      <w:r>
        <w:rPr>
          <w:color w:val="231F20"/>
          <w:spacing w:val="-11"/>
        </w:rPr>
        <w:t xml:space="preserve"> </w:t>
      </w:r>
      <w:r>
        <w:rPr>
          <w:color w:val="231F20"/>
        </w:rPr>
        <w:t>from related parties.</w:t>
      </w:r>
    </w:p>
    <w:p w14:paraId="7D01472C" w14:textId="77777777" w:rsidR="00345EE3" w:rsidRPr="00C5736A" w:rsidRDefault="00345EE3" w:rsidP="002A27BA">
      <w:pPr>
        <w:pStyle w:val="Heading3"/>
        <w:numPr>
          <w:ilvl w:val="1"/>
          <w:numId w:val="44"/>
        </w:numPr>
      </w:pPr>
      <w:r>
        <w:t>Subsequent</w:t>
      </w:r>
      <w:r w:rsidRPr="00C5736A">
        <w:t xml:space="preserve"> Events</w:t>
      </w:r>
    </w:p>
    <w:p w14:paraId="351459D2" w14:textId="77777777" w:rsidR="00345EE3" w:rsidRDefault="00345EE3" w:rsidP="00345EE3">
      <w:pPr>
        <w:pStyle w:val="BodyText"/>
        <w:spacing w:before="52"/>
      </w:pPr>
      <w:r>
        <w:rPr>
          <w:color w:val="231F20"/>
        </w:rPr>
        <w:t>There</w:t>
      </w:r>
      <w:r>
        <w:rPr>
          <w:color w:val="231F20"/>
          <w:spacing w:val="-12"/>
        </w:rPr>
        <w:t xml:space="preserve"> </w:t>
      </w:r>
      <w:r>
        <w:rPr>
          <w:color w:val="231F20"/>
        </w:rPr>
        <w:t>are</w:t>
      </w:r>
      <w:r>
        <w:rPr>
          <w:color w:val="231F20"/>
          <w:spacing w:val="-9"/>
        </w:rPr>
        <w:t xml:space="preserve"> </w:t>
      </w:r>
      <w:r>
        <w:rPr>
          <w:color w:val="231F20"/>
        </w:rPr>
        <w:t>no</w:t>
      </w:r>
      <w:r>
        <w:rPr>
          <w:color w:val="231F20"/>
          <w:spacing w:val="-9"/>
        </w:rPr>
        <w:t xml:space="preserve"> </w:t>
      </w:r>
      <w:r>
        <w:rPr>
          <w:color w:val="231F20"/>
        </w:rPr>
        <w:t>known</w:t>
      </w:r>
      <w:r>
        <w:rPr>
          <w:color w:val="231F20"/>
          <w:spacing w:val="-10"/>
        </w:rPr>
        <w:t xml:space="preserve"> </w:t>
      </w:r>
      <w:r>
        <w:rPr>
          <w:color w:val="231F20"/>
        </w:rPr>
        <w:t>material</w:t>
      </w:r>
      <w:r>
        <w:rPr>
          <w:color w:val="231F20"/>
          <w:spacing w:val="-9"/>
        </w:rPr>
        <w:t xml:space="preserve"> </w:t>
      </w:r>
      <w:r>
        <w:rPr>
          <w:color w:val="231F20"/>
        </w:rPr>
        <w:t>subsequent</w:t>
      </w:r>
      <w:r>
        <w:rPr>
          <w:color w:val="231F20"/>
          <w:spacing w:val="-9"/>
        </w:rPr>
        <w:t xml:space="preserve"> </w:t>
      </w:r>
      <w:r>
        <w:rPr>
          <w:color w:val="231F20"/>
        </w:rPr>
        <w:t>events</w:t>
      </w:r>
      <w:r>
        <w:rPr>
          <w:color w:val="231F20"/>
          <w:spacing w:val="-8"/>
        </w:rPr>
        <w:t xml:space="preserve"> </w:t>
      </w:r>
      <w:r>
        <w:rPr>
          <w:color w:val="231F20"/>
        </w:rPr>
        <w:t>for</w:t>
      </w:r>
      <w:r>
        <w:rPr>
          <w:color w:val="231F20"/>
          <w:spacing w:val="-8"/>
        </w:rPr>
        <w:t xml:space="preserve"> </w:t>
      </w:r>
      <w:r>
        <w:rPr>
          <w:color w:val="231F20"/>
        </w:rPr>
        <w:t>the</w:t>
      </w:r>
      <w:r>
        <w:rPr>
          <w:color w:val="231F20"/>
          <w:spacing w:val="-10"/>
        </w:rPr>
        <w:t xml:space="preserve"> </w:t>
      </w:r>
      <w:r>
        <w:rPr>
          <w:color w:val="231F20"/>
        </w:rPr>
        <w:t>current</w:t>
      </w:r>
      <w:r>
        <w:rPr>
          <w:color w:val="231F20"/>
          <w:spacing w:val="-8"/>
        </w:rPr>
        <w:t xml:space="preserve"> </w:t>
      </w:r>
      <w:r>
        <w:rPr>
          <w:color w:val="231F20"/>
        </w:rPr>
        <w:t>reporting</w:t>
      </w:r>
      <w:r>
        <w:rPr>
          <w:color w:val="231F20"/>
          <w:spacing w:val="-9"/>
        </w:rPr>
        <w:t xml:space="preserve"> </w:t>
      </w:r>
      <w:r>
        <w:rPr>
          <w:color w:val="231F20"/>
          <w:spacing w:val="-2"/>
        </w:rPr>
        <w:t>year.</w:t>
      </w:r>
    </w:p>
    <w:p w14:paraId="68C6AA6C" w14:textId="77777777" w:rsidR="00345EE3" w:rsidRPr="00013371" w:rsidRDefault="00345EE3" w:rsidP="002A27BA">
      <w:pPr>
        <w:pStyle w:val="Heading3"/>
        <w:numPr>
          <w:ilvl w:val="1"/>
          <w:numId w:val="44"/>
        </w:numPr>
      </w:pPr>
      <w:r w:rsidRPr="00013371">
        <w:t>COVID-19 Statement</w:t>
      </w:r>
    </w:p>
    <w:p w14:paraId="2884E8F9" w14:textId="77777777" w:rsidR="00345EE3" w:rsidRDefault="00345EE3" w:rsidP="00345EE3">
      <w:pPr>
        <w:pStyle w:val="BodyText"/>
        <w:spacing w:before="52" w:line="242" w:lineRule="auto"/>
        <w:ind w:right="115"/>
      </w:pPr>
      <w:r>
        <w:rPr>
          <w:color w:val="231F20"/>
        </w:rPr>
        <w:t>Victoria</w:t>
      </w:r>
      <w:r>
        <w:rPr>
          <w:color w:val="231F20"/>
          <w:spacing w:val="-15"/>
        </w:rPr>
        <w:t xml:space="preserve"> </w:t>
      </w:r>
      <w:r>
        <w:rPr>
          <w:color w:val="231F20"/>
        </w:rPr>
        <w:t>Police</w:t>
      </w:r>
      <w:r>
        <w:rPr>
          <w:color w:val="231F20"/>
          <w:spacing w:val="-15"/>
        </w:rPr>
        <w:t xml:space="preserve"> </w:t>
      </w:r>
      <w:r>
        <w:rPr>
          <w:color w:val="231F20"/>
        </w:rPr>
        <w:t>has</w:t>
      </w:r>
      <w:r>
        <w:rPr>
          <w:color w:val="231F20"/>
          <w:spacing w:val="-14"/>
        </w:rPr>
        <w:t xml:space="preserve"> </w:t>
      </w:r>
      <w:r>
        <w:rPr>
          <w:color w:val="231F20"/>
        </w:rPr>
        <w:t>incurred</w:t>
      </w:r>
      <w:r>
        <w:rPr>
          <w:color w:val="231F20"/>
          <w:spacing w:val="-15"/>
        </w:rPr>
        <w:t xml:space="preserve"> </w:t>
      </w:r>
      <w:r>
        <w:rPr>
          <w:color w:val="231F20"/>
        </w:rPr>
        <w:t>direct</w:t>
      </w:r>
      <w:r>
        <w:rPr>
          <w:color w:val="231F20"/>
          <w:spacing w:val="-14"/>
        </w:rPr>
        <w:t xml:space="preserve"> </w:t>
      </w:r>
      <w:r>
        <w:rPr>
          <w:color w:val="231F20"/>
        </w:rPr>
        <w:t>additional</w:t>
      </w:r>
      <w:r>
        <w:rPr>
          <w:color w:val="231F20"/>
          <w:spacing w:val="-15"/>
        </w:rPr>
        <w:t xml:space="preserve"> </w:t>
      </w:r>
      <w:r>
        <w:rPr>
          <w:color w:val="231F20"/>
        </w:rPr>
        <w:t>costs</w:t>
      </w:r>
      <w:r>
        <w:rPr>
          <w:color w:val="231F20"/>
          <w:spacing w:val="-14"/>
        </w:rPr>
        <w:t xml:space="preserve"> </w:t>
      </w:r>
      <w:r>
        <w:rPr>
          <w:color w:val="231F20"/>
        </w:rPr>
        <w:t>of</w:t>
      </w:r>
      <w:r>
        <w:rPr>
          <w:color w:val="231F20"/>
          <w:spacing w:val="-14"/>
        </w:rPr>
        <w:t xml:space="preserve"> </w:t>
      </w:r>
      <w:r>
        <w:rPr>
          <w:color w:val="231F20"/>
        </w:rPr>
        <w:t>approximately</w:t>
      </w:r>
      <w:r>
        <w:rPr>
          <w:color w:val="231F20"/>
          <w:spacing w:val="-14"/>
        </w:rPr>
        <w:t xml:space="preserve"> </w:t>
      </w:r>
      <w:r>
        <w:rPr>
          <w:color w:val="231F20"/>
        </w:rPr>
        <w:t>$118.9</w:t>
      </w:r>
      <w:r>
        <w:rPr>
          <w:color w:val="231F20"/>
          <w:spacing w:val="-15"/>
        </w:rPr>
        <w:t xml:space="preserve"> </w:t>
      </w:r>
      <w:r>
        <w:rPr>
          <w:color w:val="231F20"/>
        </w:rPr>
        <w:t>million</w:t>
      </w:r>
      <w:r>
        <w:rPr>
          <w:color w:val="231F20"/>
          <w:spacing w:val="-15"/>
        </w:rPr>
        <w:t xml:space="preserve"> </w:t>
      </w:r>
      <w:r>
        <w:rPr>
          <w:color w:val="231F20"/>
        </w:rPr>
        <w:t>in</w:t>
      </w:r>
      <w:r>
        <w:rPr>
          <w:color w:val="231F20"/>
          <w:spacing w:val="-15"/>
        </w:rPr>
        <w:t xml:space="preserve"> </w:t>
      </w:r>
      <w:r>
        <w:rPr>
          <w:color w:val="231F20"/>
        </w:rPr>
        <w:t>2021–22 related to COVID-19 which have been reflected in the financial statements primarily under Employee</w:t>
      </w:r>
      <w:r>
        <w:rPr>
          <w:color w:val="231F20"/>
          <w:spacing w:val="-4"/>
        </w:rPr>
        <w:t xml:space="preserve"> </w:t>
      </w:r>
      <w:r>
        <w:rPr>
          <w:color w:val="231F20"/>
        </w:rPr>
        <w:t>Expense</w:t>
      </w:r>
      <w:r>
        <w:rPr>
          <w:color w:val="231F20"/>
          <w:spacing w:val="-4"/>
        </w:rPr>
        <w:t xml:space="preserve"> </w:t>
      </w:r>
      <w:r>
        <w:rPr>
          <w:color w:val="231F20"/>
        </w:rPr>
        <w:t>(Note</w:t>
      </w:r>
      <w:r>
        <w:rPr>
          <w:color w:val="231F20"/>
          <w:spacing w:val="-4"/>
        </w:rPr>
        <w:t xml:space="preserve"> </w:t>
      </w:r>
      <w:r>
        <w:rPr>
          <w:color w:val="231F20"/>
        </w:rPr>
        <w:t>3.1.1)</w:t>
      </w:r>
      <w:r>
        <w:rPr>
          <w:color w:val="231F20"/>
          <w:spacing w:val="-3"/>
        </w:rPr>
        <w:t xml:space="preserve"> </w:t>
      </w:r>
      <w:r>
        <w:rPr>
          <w:color w:val="231F20"/>
        </w:rPr>
        <w:t>and</w:t>
      </w:r>
      <w:r>
        <w:rPr>
          <w:color w:val="231F20"/>
          <w:spacing w:val="-4"/>
        </w:rPr>
        <w:t xml:space="preserve"> </w:t>
      </w:r>
      <w:r>
        <w:rPr>
          <w:color w:val="231F20"/>
        </w:rPr>
        <w:t>within</w:t>
      </w:r>
      <w:r>
        <w:rPr>
          <w:color w:val="231F20"/>
          <w:spacing w:val="-4"/>
        </w:rPr>
        <w:t xml:space="preserve"> </w:t>
      </w:r>
      <w:r>
        <w:rPr>
          <w:color w:val="231F20"/>
        </w:rPr>
        <w:t>Note</w:t>
      </w:r>
      <w:r>
        <w:rPr>
          <w:color w:val="231F20"/>
          <w:spacing w:val="-4"/>
        </w:rPr>
        <w:t xml:space="preserve"> </w:t>
      </w:r>
      <w:r>
        <w:rPr>
          <w:color w:val="231F20"/>
        </w:rPr>
        <w:t>3.3</w:t>
      </w:r>
      <w:r>
        <w:rPr>
          <w:color w:val="231F20"/>
          <w:spacing w:val="-3"/>
        </w:rPr>
        <w:t xml:space="preserve"> </w:t>
      </w:r>
      <w:r>
        <w:rPr>
          <w:color w:val="231F20"/>
        </w:rPr>
        <w:t>Operating</w:t>
      </w:r>
      <w:r>
        <w:rPr>
          <w:color w:val="231F20"/>
          <w:spacing w:val="-4"/>
        </w:rPr>
        <w:t xml:space="preserve"> </w:t>
      </w:r>
      <w:r>
        <w:rPr>
          <w:color w:val="231F20"/>
        </w:rPr>
        <w:t>Expenses</w:t>
      </w:r>
      <w:r>
        <w:rPr>
          <w:color w:val="231F20"/>
          <w:spacing w:val="-3"/>
        </w:rPr>
        <w:t xml:space="preserve"> </w:t>
      </w:r>
      <w:r>
        <w:rPr>
          <w:color w:val="231F20"/>
        </w:rPr>
        <w:t>for</w:t>
      </w:r>
      <w:r>
        <w:rPr>
          <w:color w:val="231F20"/>
          <w:spacing w:val="-3"/>
        </w:rPr>
        <w:t xml:space="preserve"> </w:t>
      </w:r>
      <w:r>
        <w:rPr>
          <w:color w:val="231F20"/>
        </w:rPr>
        <w:t>travel</w:t>
      </w:r>
      <w:r>
        <w:rPr>
          <w:color w:val="231F20"/>
          <w:spacing w:val="-4"/>
        </w:rPr>
        <w:t xml:space="preserve"> </w:t>
      </w:r>
      <w:r>
        <w:rPr>
          <w:color w:val="231F20"/>
        </w:rPr>
        <w:t>and accommodation, property and rental &amp; maintenance expenses. The costs incurred relate primarily to the purchasing of additional health and wellbeing items/services, travel and accommodation,</w:t>
      </w:r>
      <w:r>
        <w:rPr>
          <w:color w:val="231F20"/>
          <w:spacing w:val="40"/>
        </w:rPr>
        <w:t xml:space="preserve"> </w:t>
      </w:r>
      <w:r>
        <w:rPr>
          <w:color w:val="231F20"/>
        </w:rPr>
        <w:t>sworn members overtime and vehicle/station/equipment cleaning.</w:t>
      </w:r>
    </w:p>
    <w:p w14:paraId="0DEA55FA" w14:textId="77777777" w:rsidR="00345EE3" w:rsidRDefault="00345EE3" w:rsidP="00345EE3">
      <w:pPr>
        <w:pStyle w:val="BodyText"/>
        <w:spacing w:before="122" w:line="242" w:lineRule="auto"/>
      </w:pPr>
      <w:r>
        <w:rPr>
          <w:color w:val="231F20"/>
        </w:rPr>
        <w:t>The</w:t>
      </w:r>
      <w:r>
        <w:rPr>
          <w:color w:val="231F20"/>
          <w:spacing w:val="-11"/>
        </w:rPr>
        <w:t xml:space="preserve"> </w:t>
      </w:r>
      <w:r>
        <w:rPr>
          <w:color w:val="231F20"/>
        </w:rPr>
        <w:t>operational</w:t>
      </w:r>
      <w:r>
        <w:rPr>
          <w:color w:val="231F20"/>
          <w:spacing w:val="-11"/>
        </w:rPr>
        <w:t xml:space="preserve"> </w:t>
      </w:r>
      <w:r>
        <w:rPr>
          <w:color w:val="231F20"/>
        </w:rPr>
        <w:t>requirements</w:t>
      </w:r>
      <w:r>
        <w:rPr>
          <w:color w:val="231F20"/>
          <w:spacing w:val="-10"/>
        </w:rPr>
        <w:t xml:space="preserve"> </w:t>
      </w:r>
      <w:r>
        <w:rPr>
          <w:color w:val="231F20"/>
        </w:rPr>
        <w:t>for</w:t>
      </w:r>
      <w:r>
        <w:rPr>
          <w:color w:val="231F20"/>
          <w:spacing w:val="-10"/>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arising</w:t>
      </w:r>
      <w:r>
        <w:rPr>
          <w:color w:val="231F20"/>
          <w:spacing w:val="-11"/>
        </w:rPr>
        <w:t xml:space="preserve"> </w:t>
      </w:r>
      <w:r>
        <w:rPr>
          <w:color w:val="231F20"/>
        </w:rPr>
        <w:t>from</w:t>
      </w:r>
      <w:r>
        <w:rPr>
          <w:color w:val="231F20"/>
          <w:spacing w:val="-10"/>
        </w:rPr>
        <w:t xml:space="preserve"> </w:t>
      </w:r>
      <w:r>
        <w:rPr>
          <w:color w:val="231F20"/>
        </w:rPr>
        <w:t>Victoria’s</w:t>
      </w:r>
      <w:r>
        <w:rPr>
          <w:color w:val="231F20"/>
          <w:spacing w:val="-10"/>
        </w:rPr>
        <w:t xml:space="preserve"> </w:t>
      </w:r>
      <w:r>
        <w:rPr>
          <w:color w:val="231F20"/>
        </w:rPr>
        <w:t>state</w:t>
      </w:r>
      <w:r>
        <w:rPr>
          <w:color w:val="231F20"/>
          <w:spacing w:val="-11"/>
        </w:rPr>
        <w:t xml:space="preserve"> </w:t>
      </w:r>
      <w:r>
        <w:rPr>
          <w:color w:val="231F20"/>
        </w:rPr>
        <w:t>of</w:t>
      </w:r>
      <w:r>
        <w:rPr>
          <w:color w:val="231F20"/>
          <w:spacing w:val="-10"/>
        </w:rPr>
        <w:t xml:space="preserve"> </w:t>
      </w:r>
      <w:r>
        <w:rPr>
          <w:color w:val="231F20"/>
        </w:rPr>
        <w:t>emergency</w:t>
      </w:r>
      <w:r>
        <w:rPr>
          <w:color w:val="231F20"/>
          <w:spacing w:val="-10"/>
        </w:rPr>
        <w:t xml:space="preserve"> </w:t>
      </w:r>
      <w:r>
        <w:rPr>
          <w:color w:val="231F20"/>
        </w:rPr>
        <w:t>and disaster had a significant financial impact in the 2021–22 financial year.</w:t>
      </w:r>
    </w:p>
    <w:p w14:paraId="71F1102A" w14:textId="77777777" w:rsidR="00345EE3" w:rsidRPr="00C37B8B" w:rsidRDefault="00345EE3" w:rsidP="002A27BA">
      <w:pPr>
        <w:pStyle w:val="Heading3"/>
        <w:numPr>
          <w:ilvl w:val="1"/>
          <w:numId w:val="44"/>
        </w:numPr>
      </w:pPr>
      <w:r>
        <w:t>Other</w:t>
      </w:r>
      <w:r w:rsidRPr="00C37B8B">
        <w:t xml:space="preserve"> </w:t>
      </w:r>
      <w:r>
        <w:t>Accounting</w:t>
      </w:r>
      <w:r w:rsidRPr="00C37B8B">
        <w:t xml:space="preserve"> Policies</w:t>
      </w:r>
    </w:p>
    <w:p w14:paraId="48060BE0" w14:textId="77777777" w:rsidR="00345EE3" w:rsidRPr="00F712EA" w:rsidRDefault="00345EE3" w:rsidP="00345EE3">
      <w:pPr>
        <w:spacing w:before="109" w:line="242" w:lineRule="auto"/>
        <w:ind w:left="110" w:right="370"/>
        <w:rPr>
          <w:sz w:val="24"/>
          <w:szCs w:val="24"/>
        </w:rPr>
      </w:pPr>
      <w:r>
        <w:rPr>
          <w:b/>
          <w:color w:val="58595B"/>
          <w:sz w:val="24"/>
        </w:rPr>
        <w:t xml:space="preserve">Assets and Services Provided Free of Charge or for Nominal Consideration </w:t>
      </w:r>
      <w:r>
        <w:rPr>
          <w:color w:val="231F20"/>
          <w:sz w:val="24"/>
        </w:rPr>
        <w:t>Contributions</w:t>
      </w:r>
      <w:r>
        <w:rPr>
          <w:color w:val="231F20"/>
          <w:spacing w:val="-9"/>
          <w:sz w:val="24"/>
        </w:rPr>
        <w:t xml:space="preserve"> </w:t>
      </w:r>
      <w:r>
        <w:rPr>
          <w:color w:val="231F20"/>
          <w:sz w:val="24"/>
        </w:rPr>
        <w:t>of</w:t>
      </w:r>
      <w:r>
        <w:rPr>
          <w:color w:val="231F20"/>
          <w:spacing w:val="-9"/>
          <w:sz w:val="24"/>
        </w:rPr>
        <w:t xml:space="preserve"> </w:t>
      </w:r>
      <w:r>
        <w:rPr>
          <w:color w:val="231F20"/>
          <w:sz w:val="24"/>
        </w:rPr>
        <w:t>resources</w:t>
      </w:r>
      <w:r>
        <w:rPr>
          <w:color w:val="231F20"/>
          <w:spacing w:val="-9"/>
          <w:sz w:val="24"/>
        </w:rPr>
        <w:t xml:space="preserve"> </w:t>
      </w:r>
      <w:r>
        <w:rPr>
          <w:color w:val="231F20"/>
          <w:sz w:val="24"/>
        </w:rPr>
        <w:t>provided</w:t>
      </w:r>
      <w:r>
        <w:rPr>
          <w:color w:val="231F20"/>
          <w:spacing w:val="-10"/>
          <w:sz w:val="24"/>
        </w:rPr>
        <w:t xml:space="preserve"> </w:t>
      </w:r>
      <w:r>
        <w:rPr>
          <w:color w:val="231F20"/>
          <w:sz w:val="24"/>
        </w:rPr>
        <w:t>free</w:t>
      </w:r>
      <w:r>
        <w:rPr>
          <w:color w:val="231F20"/>
          <w:spacing w:val="-10"/>
          <w:sz w:val="24"/>
        </w:rPr>
        <w:t xml:space="preserve"> </w:t>
      </w:r>
      <w:r>
        <w:rPr>
          <w:color w:val="231F20"/>
          <w:sz w:val="24"/>
        </w:rPr>
        <w:t>of</w:t>
      </w:r>
      <w:r>
        <w:rPr>
          <w:color w:val="231F20"/>
          <w:spacing w:val="-9"/>
          <w:sz w:val="24"/>
        </w:rPr>
        <w:t xml:space="preserve"> </w:t>
      </w:r>
      <w:r>
        <w:rPr>
          <w:color w:val="231F20"/>
          <w:sz w:val="24"/>
        </w:rPr>
        <w:t>charge</w:t>
      </w:r>
      <w:r>
        <w:rPr>
          <w:color w:val="231F20"/>
          <w:spacing w:val="-10"/>
          <w:sz w:val="24"/>
        </w:rPr>
        <w:t xml:space="preserve"> </w:t>
      </w:r>
      <w:r>
        <w:rPr>
          <w:color w:val="231F20"/>
          <w:sz w:val="24"/>
        </w:rPr>
        <w:t>or</w:t>
      </w:r>
      <w:r>
        <w:rPr>
          <w:color w:val="231F20"/>
          <w:spacing w:val="-9"/>
          <w:sz w:val="24"/>
        </w:rPr>
        <w:t xml:space="preserve"> </w:t>
      </w:r>
      <w:r>
        <w:rPr>
          <w:color w:val="231F20"/>
          <w:sz w:val="24"/>
        </w:rPr>
        <w:t>for</w:t>
      </w:r>
      <w:r>
        <w:rPr>
          <w:color w:val="231F20"/>
          <w:spacing w:val="-9"/>
          <w:sz w:val="24"/>
        </w:rPr>
        <w:t xml:space="preserve"> </w:t>
      </w:r>
      <w:r>
        <w:rPr>
          <w:color w:val="231F20"/>
          <w:sz w:val="24"/>
        </w:rPr>
        <w:t>nominal</w:t>
      </w:r>
      <w:r>
        <w:rPr>
          <w:color w:val="231F20"/>
          <w:spacing w:val="-10"/>
          <w:sz w:val="24"/>
        </w:rPr>
        <w:t xml:space="preserve"> </w:t>
      </w:r>
      <w:r>
        <w:rPr>
          <w:color w:val="231F20"/>
          <w:sz w:val="24"/>
        </w:rPr>
        <w:t>consideration</w:t>
      </w:r>
      <w:r>
        <w:rPr>
          <w:color w:val="231F20"/>
          <w:spacing w:val="-10"/>
          <w:sz w:val="24"/>
        </w:rPr>
        <w:t xml:space="preserve"> </w:t>
      </w:r>
      <w:r>
        <w:rPr>
          <w:color w:val="231F20"/>
          <w:sz w:val="24"/>
        </w:rPr>
        <w:t>are</w:t>
      </w:r>
      <w:r>
        <w:rPr>
          <w:color w:val="231F20"/>
          <w:spacing w:val="-10"/>
          <w:sz w:val="24"/>
        </w:rPr>
        <w:t xml:space="preserve"> </w:t>
      </w:r>
      <w:r>
        <w:rPr>
          <w:color w:val="231F20"/>
          <w:sz w:val="24"/>
        </w:rPr>
        <w:t xml:space="preserve">recognised at their fair value when the transferee obtains control over them, irrespective of whether restrictions or conditions are imposed over the use of the contributions unless received from </w:t>
      </w:r>
      <w:r w:rsidRPr="00F712EA">
        <w:rPr>
          <w:color w:val="231F20"/>
          <w:sz w:val="24"/>
          <w:szCs w:val="24"/>
        </w:rPr>
        <w:t>another</w:t>
      </w:r>
      <w:r w:rsidRPr="00F712EA">
        <w:rPr>
          <w:color w:val="231F20"/>
          <w:spacing w:val="-10"/>
          <w:sz w:val="24"/>
          <w:szCs w:val="24"/>
        </w:rPr>
        <w:t xml:space="preserve"> </w:t>
      </w:r>
      <w:r w:rsidRPr="00F712EA">
        <w:rPr>
          <w:color w:val="231F20"/>
          <w:sz w:val="24"/>
          <w:szCs w:val="24"/>
        </w:rPr>
        <w:t>government</w:t>
      </w:r>
      <w:r w:rsidRPr="00F712EA">
        <w:rPr>
          <w:color w:val="231F20"/>
          <w:spacing w:val="-7"/>
          <w:sz w:val="24"/>
          <w:szCs w:val="24"/>
        </w:rPr>
        <w:t xml:space="preserve"> </w:t>
      </w:r>
      <w:r w:rsidRPr="00F712EA">
        <w:rPr>
          <w:color w:val="231F20"/>
          <w:sz w:val="24"/>
          <w:szCs w:val="24"/>
        </w:rPr>
        <w:t>department</w:t>
      </w:r>
      <w:r w:rsidRPr="00F712EA">
        <w:rPr>
          <w:color w:val="231F20"/>
          <w:spacing w:val="-8"/>
          <w:sz w:val="24"/>
          <w:szCs w:val="24"/>
        </w:rPr>
        <w:t xml:space="preserve"> </w:t>
      </w:r>
      <w:r w:rsidRPr="00F712EA">
        <w:rPr>
          <w:color w:val="231F20"/>
          <w:sz w:val="24"/>
          <w:szCs w:val="24"/>
        </w:rPr>
        <w:t>or</w:t>
      </w:r>
      <w:r w:rsidRPr="00F712EA">
        <w:rPr>
          <w:color w:val="231F20"/>
          <w:spacing w:val="-7"/>
          <w:sz w:val="24"/>
          <w:szCs w:val="24"/>
        </w:rPr>
        <w:t xml:space="preserve"> </w:t>
      </w:r>
      <w:r w:rsidRPr="00F712EA">
        <w:rPr>
          <w:color w:val="231F20"/>
          <w:sz w:val="24"/>
          <w:szCs w:val="24"/>
        </w:rPr>
        <w:t>agency</w:t>
      </w:r>
      <w:r w:rsidRPr="00F712EA">
        <w:rPr>
          <w:color w:val="231F20"/>
          <w:spacing w:val="-8"/>
          <w:sz w:val="24"/>
          <w:szCs w:val="24"/>
        </w:rPr>
        <w:t xml:space="preserve"> </w:t>
      </w:r>
      <w:r w:rsidRPr="00F712EA">
        <w:rPr>
          <w:color w:val="231F20"/>
          <w:sz w:val="24"/>
          <w:szCs w:val="24"/>
        </w:rPr>
        <w:t>as</w:t>
      </w:r>
      <w:r w:rsidRPr="00F712EA">
        <w:rPr>
          <w:color w:val="231F20"/>
          <w:spacing w:val="-7"/>
          <w:sz w:val="24"/>
          <w:szCs w:val="24"/>
        </w:rPr>
        <w:t xml:space="preserve"> </w:t>
      </w:r>
      <w:r w:rsidRPr="00F712EA">
        <w:rPr>
          <w:color w:val="231F20"/>
          <w:sz w:val="24"/>
          <w:szCs w:val="24"/>
        </w:rPr>
        <w:t>a</w:t>
      </w:r>
      <w:r w:rsidRPr="00F712EA">
        <w:rPr>
          <w:color w:val="231F20"/>
          <w:spacing w:val="-9"/>
          <w:sz w:val="24"/>
          <w:szCs w:val="24"/>
        </w:rPr>
        <w:t xml:space="preserve"> </w:t>
      </w:r>
      <w:r w:rsidRPr="00F712EA">
        <w:rPr>
          <w:color w:val="231F20"/>
          <w:sz w:val="24"/>
          <w:szCs w:val="24"/>
        </w:rPr>
        <w:t>consequence</w:t>
      </w:r>
      <w:r w:rsidRPr="00F712EA">
        <w:rPr>
          <w:color w:val="231F20"/>
          <w:spacing w:val="-8"/>
          <w:sz w:val="24"/>
          <w:szCs w:val="24"/>
        </w:rPr>
        <w:t xml:space="preserve"> </w:t>
      </w:r>
      <w:r w:rsidRPr="00F712EA">
        <w:rPr>
          <w:color w:val="231F20"/>
          <w:sz w:val="24"/>
          <w:szCs w:val="24"/>
        </w:rPr>
        <w:t>of</w:t>
      </w:r>
      <w:r w:rsidRPr="00F712EA">
        <w:rPr>
          <w:color w:val="231F20"/>
          <w:spacing w:val="-7"/>
          <w:sz w:val="24"/>
          <w:szCs w:val="24"/>
        </w:rPr>
        <w:t xml:space="preserve"> </w:t>
      </w:r>
      <w:r w:rsidRPr="00F712EA">
        <w:rPr>
          <w:color w:val="231F20"/>
          <w:sz w:val="24"/>
          <w:szCs w:val="24"/>
        </w:rPr>
        <w:t>a</w:t>
      </w:r>
      <w:r w:rsidRPr="00F712EA">
        <w:rPr>
          <w:color w:val="231F20"/>
          <w:spacing w:val="-9"/>
          <w:sz w:val="24"/>
          <w:szCs w:val="24"/>
        </w:rPr>
        <w:t xml:space="preserve"> </w:t>
      </w:r>
      <w:r w:rsidRPr="00F712EA">
        <w:rPr>
          <w:color w:val="231F20"/>
          <w:sz w:val="24"/>
          <w:szCs w:val="24"/>
        </w:rPr>
        <w:t>restructuring</w:t>
      </w:r>
      <w:r w:rsidRPr="00F712EA">
        <w:rPr>
          <w:color w:val="231F20"/>
          <w:spacing w:val="-8"/>
          <w:sz w:val="24"/>
          <w:szCs w:val="24"/>
        </w:rPr>
        <w:t xml:space="preserve"> </w:t>
      </w:r>
      <w:r w:rsidRPr="00F712EA">
        <w:rPr>
          <w:color w:val="231F20"/>
          <w:sz w:val="24"/>
          <w:szCs w:val="24"/>
        </w:rPr>
        <w:t>of</w:t>
      </w:r>
      <w:r w:rsidRPr="00F712EA">
        <w:rPr>
          <w:color w:val="231F20"/>
          <w:spacing w:val="-7"/>
          <w:sz w:val="24"/>
          <w:szCs w:val="24"/>
        </w:rPr>
        <w:t xml:space="preserve"> </w:t>
      </w:r>
      <w:r w:rsidRPr="00F712EA">
        <w:rPr>
          <w:color w:val="231F20"/>
          <w:spacing w:val="-2"/>
          <w:sz w:val="24"/>
          <w:szCs w:val="24"/>
        </w:rPr>
        <w:t xml:space="preserve">administrative </w:t>
      </w:r>
      <w:r w:rsidRPr="00F712EA">
        <w:rPr>
          <w:color w:val="231F20"/>
          <w:sz w:val="24"/>
          <w:szCs w:val="24"/>
        </w:rPr>
        <w:t>arrangements. In the latter case, such a transfer will be recognised at its carrying value. Contributions</w:t>
      </w:r>
      <w:r w:rsidRPr="00F712EA">
        <w:rPr>
          <w:color w:val="231F20"/>
          <w:spacing w:val="-6"/>
          <w:sz w:val="24"/>
          <w:szCs w:val="24"/>
        </w:rPr>
        <w:t xml:space="preserve"> </w:t>
      </w:r>
      <w:r w:rsidRPr="00F712EA">
        <w:rPr>
          <w:color w:val="231F20"/>
          <w:sz w:val="24"/>
          <w:szCs w:val="24"/>
        </w:rPr>
        <w:t>in</w:t>
      </w:r>
      <w:r w:rsidRPr="00F712EA">
        <w:rPr>
          <w:color w:val="231F20"/>
          <w:spacing w:val="-7"/>
          <w:sz w:val="24"/>
          <w:szCs w:val="24"/>
        </w:rPr>
        <w:t xml:space="preserve"> </w:t>
      </w:r>
      <w:r w:rsidRPr="00F712EA">
        <w:rPr>
          <w:color w:val="231F20"/>
          <w:sz w:val="24"/>
          <w:szCs w:val="24"/>
        </w:rPr>
        <w:t>the</w:t>
      </w:r>
      <w:r w:rsidRPr="00F712EA">
        <w:rPr>
          <w:color w:val="231F20"/>
          <w:spacing w:val="-7"/>
          <w:sz w:val="24"/>
          <w:szCs w:val="24"/>
        </w:rPr>
        <w:t xml:space="preserve"> </w:t>
      </w:r>
      <w:r w:rsidRPr="00F712EA">
        <w:rPr>
          <w:color w:val="231F20"/>
          <w:sz w:val="24"/>
          <w:szCs w:val="24"/>
        </w:rPr>
        <w:t>form</w:t>
      </w:r>
      <w:r w:rsidRPr="00F712EA">
        <w:rPr>
          <w:color w:val="231F20"/>
          <w:spacing w:val="-6"/>
          <w:sz w:val="24"/>
          <w:szCs w:val="24"/>
        </w:rPr>
        <w:t xml:space="preserve"> </w:t>
      </w:r>
      <w:r w:rsidRPr="00F712EA">
        <w:rPr>
          <w:color w:val="231F20"/>
          <w:sz w:val="24"/>
          <w:szCs w:val="24"/>
        </w:rPr>
        <w:t>of</w:t>
      </w:r>
      <w:r w:rsidRPr="00F712EA">
        <w:rPr>
          <w:color w:val="231F20"/>
          <w:spacing w:val="-6"/>
          <w:sz w:val="24"/>
          <w:szCs w:val="24"/>
        </w:rPr>
        <w:t xml:space="preserve"> </w:t>
      </w:r>
      <w:r w:rsidRPr="00F712EA">
        <w:rPr>
          <w:color w:val="231F20"/>
          <w:sz w:val="24"/>
          <w:szCs w:val="24"/>
        </w:rPr>
        <w:t>services</w:t>
      </w:r>
      <w:r w:rsidRPr="00F712EA">
        <w:rPr>
          <w:color w:val="231F20"/>
          <w:spacing w:val="-6"/>
          <w:sz w:val="24"/>
          <w:szCs w:val="24"/>
        </w:rPr>
        <w:t xml:space="preserve"> </w:t>
      </w:r>
      <w:r w:rsidRPr="00F712EA">
        <w:rPr>
          <w:color w:val="231F20"/>
          <w:sz w:val="24"/>
          <w:szCs w:val="24"/>
        </w:rPr>
        <w:t>are</w:t>
      </w:r>
      <w:r w:rsidRPr="00F712EA">
        <w:rPr>
          <w:color w:val="231F20"/>
          <w:spacing w:val="-7"/>
          <w:sz w:val="24"/>
          <w:szCs w:val="24"/>
        </w:rPr>
        <w:t xml:space="preserve"> </w:t>
      </w:r>
      <w:r w:rsidRPr="00F712EA">
        <w:rPr>
          <w:color w:val="231F20"/>
          <w:sz w:val="24"/>
          <w:szCs w:val="24"/>
        </w:rPr>
        <w:t>only</w:t>
      </w:r>
      <w:r w:rsidRPr="00F712EA">
        <w:rPr>
          <w:color w:val="231F20"/>
          <w:spacing w:val="-6"/>
          <w:sz w:val="24"/>
          <w:szCs w:val="24"/>
        </w:rPr>
        <w:t xml:space="preserve"> </w:t>
      </w:r>
      <w:r w:rsidRPr="00F712EA">
        <w:rPr>
          <w:color w:val="231F20"/>
          <w:sz w:val="24"/>
          <w:szCs w:val="24"/>
        </w:rPr>
        <w:t>recognised</w:t>
      </w:r>
      <w:r w:rsidRPr="00F712EA">
        <w:rPr>
          <w:color w:val="231F20"/>
          <w:spacing w:val="-7"/>
          <w:sz w:val="24"/>
          <w:szCs w:val="24"/>
        </w:rPr>
        <w:t xml:space="preserve"> </w:t>
      </w:r>
      <w:r w:rsidRPr="00F712EA">
        <w:rPr>
          <w:color w:val="231F20"/>
          <w:sz w:val="24"/>
          <w:szCs w:val="24"/>
        </w:rPr>
        <w:t>when</w:t>
      </w:r>
      <w:r w:rsidRPr="00F712EA">
        <w:rPr>
          <w:color w:val="231F20"/>
          <w:spacing w:val="-7"/>
          <w:sz w:val="24"/>
          <w:szCs w:val="24"/>
        </w:rPr>
        <w:t xml:space="preserve"> </w:t>
      </w:r>
      <w:r w:rsidRPr="00F712EA">
        <w:rPr>
          <w:color w:val="231F20"/>
          <w:sz w:val="24"/>
          <w:szCs w:val="24"/>
        </w:rPr>
        <w:t>a</w:t>
      </w:r>
      <w:r w:rsidRPr="00F712EA">
        <w:rPr>
          <w:color w:val="231F20"/>
          <w:spacing w:val="-7"/>
          <w:sz w:val="24"/>
          <w:szCs w:val="24"/>
        </w:rPr>
        <w:t xml:space="preserve"> </w:t>
      </w:r>
      <w:r w:rsidRPr="00F712EA">
        <w:rPr>
          <w:color w:val="231F20"/>
          <w:sz w:val="24"/>
          <w:szCs w:val="24"/>
        </w:rPr>
        <w:t>fair</w:t>
      </w:r>
      <w:r w:rsidRPr="00F712EA">
        <w:rPr>
          <w:color w:val="231F20"/>
          <w:spacing w:val="-6"/>
          <w:sz w:val="24"/>
          <w:szCs w:val="24"/>
        </w:rPr>
        <w:t xml:space="preserve"> </w:t>
      </w:r>
      <w:r w:rsidRPr="00F712EA">
        <w:rPr>
          <w:color w:val="231F20"/>
          <w:sz w:val="24"/>
          <w:szCs w:val="24"/>
        </w:rPr>
        <w:t>value</w:t>
      </w:r>
      <w:r w:rsidRPr="00F712EA">
        <w:rPr>
          <w:color w:val="231F20"/>
          <w:spacing w:val="-7"/>
          <w:sz w:val="24"/>
          <w:szCs w:val="24"/>
        </w:rPr>
        <w:t xml:space="preserve"> </w:t>
      </w:r>
      <w:r w:rsidRPr="00F712EA">
        <w:rPr>
          <w:color w:val="231F20"/>
          <w:sz w:val="24"/>
          <w:szCs w:val="24"/>
        </w:rPr>
        <w:t>can</w:t>
      </w:r>
      <w:r w:rsidRPr="00F712EA">
        <w:rPr>
          <w:color w:val="231F20"/>
          <w:spacing w:val="-7"/>
          <w:sz w:val="24"/>
          <w:szCs w:val="24"/>
        </w:rPr>
        <w:t xml:space="preserve"> </w:t>
      </w:r>
      <w:r w:rsidRPr="00F712EA">
        <w:rPr>
          <w:color w:val="231F20"/>
          <w:sz w:val="24"/>
          <w:szCs w:val="24"/>
        </w:rPr>
        <w:t>be</w:t>
      </w:r>
      <w:r w:rsidRPr="00F712EA">
        <w:rPr>
          <w:color w:val="231F20"/>
          <w:spacing w:val="-7"/>
          <w:sz w:val="24"/>
          <w:szCs w:val="24"/>
        </w:rPr>
        <w:t xml:space="preserve"> </w:t>
      </w:r>
      <w:r w:rsidRPr="00F712EA">
        <w:rPr>
          <w:color w:val="231F20"/>
          <w:sz w:val="24"/>
          <w:szCs w:val="24"/>
        </w:rPr>
        <w:t>reliably determined and the service would have been purchased.</w:t>
      </w:r>
    </w:p>
    <w:p w14:paraId="2B026A84" w14:textId="77777777" w:rsidR="00345EE3" w:rsidRDefault="00345EE3" w:rsidP="00345EE3">
      <w:pPr>
        <w:pStyle w:val="Heading5"/>
        <w:spacing w:before="174"/>
      </w:pPr>
      <w:r>
        <w:rPr>
          <w:color w:val="58595B"/>
        </w:rPr>
        <w:t>Contributions</w:t>
      </w:r>
      <w:r>
        <w:rPr>
          <w:color w:val="58595B"/>
          <w:spacing w:val="-7"/>
        </w:rPr>
        <w:t xml:space="preserve"> </w:t>
      </w:r>
      <w:r>
        <w:rPr>
          <w:color w:val="58595B"/>
        </w:rPr>
        <w:t>by</w:t>
      </w:r>
      <w:r>
        <w:rPr>
          <w:color w:val="58595B"/>
          <w:spacing w:val="-6"/>
        </w:rPr>
        <w:t xml:space="preserve"> </w:t>
      </w:r>
      <w:r>
        <w:rPr>
          <w:color w:val="58595B"/>
          <w:spacing w:val="-2"/>
        </w:rPr>
        <w:t>Owners</w:t>
      </w:r>
    </w:p>
    <w:p w14:paraId="16BD1123" w14:textId="77777777" w:rsidR="00345EE3" w:rsidRDefault="00345EE3" w:rsidP="00345EE3">
      <w:pPr>
        <w:pStyle w:val="BodyText"/>
        <w:spacing w:before="4" w:line="242" w:lineRule="auto"/>
        <w:ind w:right="115"/>
      </w:pPr>
      <w:r>
        <w:rPr>
          <w:color w:val="231F20"/>
        </w:rPr>
        <w:t>Consistent</w:t>
      </w:r>
      <w:r>
        <w:rPr>
          <w:color w:val="231F20"/>
          <w:spacing w:val="-1"/>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requirements</w:t>
      </w:r>
      <w:r>
        <w:rPr>
          <w:color w:val="231F20"/>
          <w:spacing w:val="-1"/>
        </w:rPr>
        <w:t xml:space="preserve"> </w:t>
      </w:r>
      <w:r>
        <w:rPr>
          <w:color w:val="231F20"/>
        </w:rPr>
        <w:t>of</w:t>
      </w:r>
      <w:r>
        <w:rPr>
          <w:color w:val="231F20"/>
          <w:spacing w:val="-1"/>
        </w:rPr>
        <w:t xml:space="preserve"> </w:t>
      </w:r>
      <w:r>
        <w:rPr>
          <w:color w:val="231F20"/>
        </w:rPr>
        <w:t>AASB</w:t>
      </w:r>
      <w:r>
        <w:rPr>
          <w:color w:val="231F20"/>
          <w:spacing w:val="-1"/>
        </w:rPr>
        <w:t xml:space="preserve"> </w:t>
      </w:r>
      <w:r>
        <w:rPr>
          <w:color w:val="231F20"/>
        </w:rPr>
        <w:t>1004</w:t>
      </w:r>
      <w:r>
        <w:rPr>
          <w:color w:val="231F20"/>
          <w:spacing w:val="-2"/>
        </w:rPr>
        <w:t xml:space="preserve"> </w:t>
      </w:r>
      <w:r>
        <w:rPr>
          <w:i/>
          <w:color w:val="231F20"/>
        </w:rPr>
        <w:t>Contributions</w:t>
      </w:r>
      <w:r>
        <w:rPr>
          <w:color w:val="231F20"/>
        </w:rPr>
        <w:t>,</w:t>
      </w:r>
      <w:r>
        <w:rPr>
          <w:color w:val="231F20"/>
          <w:spacing w:val="-1"/>
        </w:rPr>
        <w:t xml:space="preserve"> </w:t>
      </w:r>
      <w:r>
        <w:rPr>
          <w:color w:val="231F20"/>
        </w:rPr>
        <w:t>contributions</w:t>
      </w:r>
      <w:r>
        <w:rPr>
          <w:color w:val="231F20"/>
          <w:spacing w:val="-1"/>
        </w:rPr>
        <w:t xml:space="preserve"> </w:t>
      </w:r>
      <w:r>
        <w:rPr>
          <w:color w:val="231F20"/>
        </w:rPr>
        <w:t>by</w:t>
      </w:r>
      <w:r>
        <w:rPr>
          <w:color w:val="231F20"/>
          <w:spacing w:val="-1"/>
        </w:rPr>
        <w:t xml:space="preserve"> </w:t>
      </w:r>
      <w:r>
        <w:rPr>
          <w:color w:val="231F20"/>
        </w:rPr>
        <w:t>the</w:t>
      </w:r>
      <w:r>
        <w:rPr>
          <w:color w:val="231F20"/>
          <w:spacing w:val="-2"/>
        </w:rPr>
        <w:t xml:space="preserve"> </w:t>
      </w:r>
      <w:r>
        <w:rPr>
          <w:color w:val="231F20"/>
        </w:rPr>
        <w:t>owner</w:t>
      </w:r>
      <w:r>
        <w:rPr>
          <w:color w:val="231F20"/>
          <w:spacing w:val="-1"/>
        </w:rPr>
        <w:t xml:space="preserve"> </w:t>
      </w:r>
      <w:r>
        <w:rPr>
          <w:color w:val="231F20"/>
        </w:rPr>
        <w:t>(that is,</w:t>
      </w:r>
      <w:r>
        <w:rPr>
          <w:color w:val="231F20"/>
          <w:spacing w:val="-10"/>
        </w:rPr>
        <w:t xml:space="preserve"> </w:t>
      </w:r>
      <w:r>
        <w:rPr>
          <w:color w:val="231F20"/>
        </w:rPr>
        <w:t>contributed</w:t>
      </w:r>
      <w:r>
        <w:rPr>
          <w:color w:val="231F20"/>
          <w:spacing w:val="-11"/>
        </w:rPr>
        <w:t xml:space="preserve"> </w:t>
      </w:r>
      <w:r>
        <w:rPr>
          <w:color w:val="231F20"/>
        </w:rPr>
        <w:t>capital</w:t>
      </w:r>
      <w:r>
        <w:rPr>
          <w:color w:val="231F20"/>
          <w:spacing w:val="-11"/>
        </w:rPr>
        <w:t xml:space="preserve"> </w:t>
      </w:r>
      <w:r>
        <w:rPr>
          <w:color w:val="231F20"/>
        </w:rPr>
        <w:t>and</w:t>
      </w:r>
      <w:r>
        <w:rPr>
          <w:color w:val="231F20"/>
          <w:spacing w:val="-11"/>
        </w:rPr>
        <w:t xml:space="preserve"> </w:t>
      </w:r>
      <w:r>
        <w:rPr>
          <w:color w:val="231F20"/>
        </w:rPr>
        <w:t>its</w:t>
      </w:r>
      <w:r>
        <w:rPr>
          <w:color w:val="231F20"/>
          <w:spacing w:val="-10"/>
        </w:rPr>
        <w:t xml:space="preserve"> </w:t>
      </w:r>
      <w:r>
        <w:rPr>
          <w:color w:val="231F20"/>
        </w:rPr>
        <w:t>repayment)</w:t>
      </w:r>
      <w:r>
        <w:rPr>
          <w:color w:val="231F20"/>
          <w:spacing w:val="-10"/>
        </w:rPr>
        <w:t xml:space="preserve"> </w:t>
      </w:r>
      <w:r>
        <w:rPr>
          <w:color w:val="231F20"/>
        </w:rPr>
        <w:t>are</w:t>
      </w:r>
      <w:r>
        <w:rPr>
          <w:color w:val="231F20"/>
          <w:spacing w:val="-11"/>
        </w:rPr>
        <w:t xml:space="preserve"> </w:t>
      </w:r>
      <w:r>
        <w:rPr>
          <w:color w:val="231F20"/>
        </w:rPr>
        <w:t>treated</w:t>
      </w:r>
      <w:r>
        <w:rPr>
          <w:color w:val="231F20"/>
          <w:spacing w:val="-11"/>
        </w:rPr>
        <w:t xml:space="preserve"> </w:t>
      </w:r>
      <w:r>
        <w:rPr>
          <w:color w:val="231F20"/>
        </w:rPr>
        <w:t>as</w:t>
      </w:r>
      <w:r>
        <w:rPr>
          <w:color w:val="231F20"/>
          <w:spacing w:val="-10"/>
        </w:rPr>
        <w:t xml:space="preserve"> </w:t>
      </w:r>
      <w:r>
        <w:rPr>
          <w:color w:val="231F20"/>
        </w:rPr>
        <w:t>equity</w:t>
      </w:r>
      <w:r>
        <w:rPr>
          <w:color w:val="231F20"/>
          <w:spacing w:val="-10"/>
        </w:rPr>
        <w:t xml:space="preserve"> </w:t>
      </w:r>
      <w:r>
        <w:rPr>
          <w:color w:val="231F20"/>
        </w:rPr>
        <w:t>transactions</w:t>
      </w:r>
      <w:r>
        <w:rPr>
          <w:color w:val="231F20"/>
          <w:spacing w:val="-10"/>
        </w:rPr>
        <w:t xml:space="preserve"> </w:t>
      </w:r>
      <w:r>
        <w:rPr>
          <w:color w:val="231F20"/>
        </w:rPr>
        <w:t>and,</w:t>
      </w:r>
      <w:r>
        <w:rPr>
          <w:color w:val="231F20"/>
          <w:spacing w:val="-10"/>
        </w:rPr>
        <w:t xml:space="preserve"> </w:t>
      </w:r>
      <w:r>
        <w:rPr>
          <w:color w:val="231F20"/>
        </w:rPr>
        <w:t>therefore,</w:t>
      </w:r>
      <w:r>
        <w:rPr>
          <w:color w:val="231F20"/>
          <w:spacing w:val="-10"/>
        </w:rPr>
        <w:t xml:space="preserve"> </w:t>
      </w:r>
      <w:r>
        <w:rPr>
          <w:color w:val="231F20"/>
        </w:rPr>
        <w:t>do</w:t>
      </w:r>
      <w:r>
        <w:rPr>
          <w:color w:val="231F20"/>
          <w:spacing w:val="-11"/>
        </w:rPr>
        <w:t xml:space="preserve"> </w:t>
      </w:r>
      <w:r>
        <w:rPr>
          <w:color w:val="231F20"/>
        </w:rPr>
        <w:t>not form part of the income and expenses of Victoria Police.</w:t>
      </w:r>
    </w:p>
    <w:p w14:paraId="6E47349E" w14:textId="77777777" w:rsidR="00345EE3" w:rsidRDefault="00345EE3" w:rsidP="00345EE3">
      <w:pPr>
        <w:pStyle w:val="BodyText"/>
        <w:spacing w:before="117" w:line="242" w:lineRule="auto"/>
        <w:ind w:right="115"/>
      </w:pPr>
      <w:r>
        <w:rPr>
          <w:color w:val="231F20"/>
        </w:rPr>
        <w:t>Additions</w:t>
      </w:r>
      <w:r>
        <w:rPr>
          <w:color w:val="231F20"/>
          <w:spacing w:val="-1"/>
        </w:rPr>
        <w:t xml:space="preserve"> </w:t>
      </w:r>
      <w:r>
        <w:rPr>
          <w:color w:val="231F20"/>
        </w:rPr>
        <w:t>to</w:t>
      </w:r>
      <w:r>
        <w:rPr>
          <w:color w:val="231F20"/>
          <w:spacing w:val="-2"/>
        </w:rPr>
        <w:t xml:space="preserve"> </w:t>
      </w:r>
      <w:r>
        <w:rPr>
          <w:color w:val="231F20"/>
        </w:rPr>
        <w:t>net</w:t>
      </w:r>
      <w:r>
        <w:rPr>
          <w:color w:val="231F20"/>
          <w:spacing w:val="-1"/>
        </w:rPr>
        <w:t xml:space="preserve"> </w:t>
      </w:r>
      <w:r>
        <w:rPr>
          <w:color w:val="231F20"/>
        </w:rPr>
        <w:t>assets</w:t>
      </w:r>
      <w:r>
        <w:rPr>
          <w:color w:val="231F20"/>
          <w:spacing w:val="-1"/>
        </w:rPr>
        <w:t xml:space="preserve"> </w:t>
      </w:r>
      <w:r>
        <w:rPr>
          <w:color w:val="231F20"/>
        </w:rPr>
        <w:t>which</w:t>
      </w:r>
      <w:r>
        <w:rPr>
          <w:color w:val="231F20"/>
          <w:spacing w:val="-2"/>
        </w:rPr>
        <w:t xml:space="preserve"> </w:t>
      </w:r>
      <w:r>
        <w:rPr>
          <w:color w:val="231F20"/>
        </w:rPr>
        <w:t>have</w:t>
      </w:r>
      <w:r>
        <w:rPr>
          <w:color w:val="231F20"/>
          <w:spacing w:val="-2"/>
        </w:rPr>
        <w:t xml:space="preserve"> </w:t>
      </w:r>
      <w:r>
        <w:rPr>
          <w:color w:val="231F20"/>
        </w:rPr>
        <w:t>been</w:t>
      </w:r>
      <w:r>
        <w:rPr>
          <w:color w:val="231F20"/>
          <w:spacing w:val="-2"/>
        </w:rPr>
        <w:t xml:space="preserve"> </w:t>
      </w:r>
      <w:r>
        <w:rPr>
          <w:color w:val="231F20"/>
        </w:rPr>
        <w:t>designated</w:t>
      </w:r>
      <w:r>
        <w:rPr>
          <w:color w:val="231F20"/>
          <w:spacing w:val="-2"/>
        </w:rPr>
        <w:t xml:space="preserve"> </w:t>
      </w:r>
      <w:r>
        <w:rPr>
          <w:color w:val="231F20"/>
        </w:rPr>
        <w:t>as</w:t>
      </w:r>
      <w:r>
        <w:rPr>
          <w:color w:val="231F20"/>
          <w:spacing w:val="-1"/>
        </w:rPr>
        <w:t xml:space="preserve"> </w:t>
      </w:r>
      <w:r>
        <w:rPr>
          <w:color w:val="231F20"/>
        </w:rPr>
        <w:t>contributions</w:t>
      </w:r>
      <w:r>
        <w:rPr>
          <w:color w:val="231F20"/>
          <w:spacing w:val="-1"/>
        </w:rPr>
        <w:t xml:space="preserve"> </w:t>
      </w:r>
      <w:r>
        <w:rPr>
          <w:color w:val="231F20"/>
        </w:rPr>
        <w:t>by</w:t>
      </w:r>
      <w:r>
        <w:rPr>
          <w:color w:val="231F20"/>
          <w:spacing w:val="-1"/>
        </w:rPr>
        <w:t xml:space="preserve"> </w:t>
      </w:r>
      <w:r>
        <w:rPr>
          <w:color w:val="231F20"/>
        </w:rPr>
        <w:t>owners</w:t>
      </w:r>
      <w:r>
        <w:rPr>
          <w:color w:val="231F20"/>
          <w:spacing w:val="-1"/>
        </w:rPr>
        <w:t xml:space="preserve"> </w:t>
      </w:r>
      <w:r>
        <w:rPr>
          <w:color w:val="231F20"/>
        </w:rPr>
        <w:t>are</w:t>
      </w:r>
      <w:r>
        <w:rPr>
          <w:color w:val="231F20"/>
          <w:spacing w:val="-2"/>
        </w:rPr>
        <w:t xml:space="preserve"> </w:t>
      </w:r>
      <w:r>
        <w:rPr>
          <w:color w:val="231F20"/>
        </w:rPr>
        <w:t>recognised as</w:t>
      </w:r>
      <w:r>
        <w:rPr>
          <w:color w:val="231F20"/>
          <w:spacing w:val="-9"/>
        </w:rPr>
        <w:t xml:space="preserve"> </w:t>
      </w:r>
      <w:r>
        <w:rPr>
          <w:color w:val="231F20"/>
        </w:rPr>
        <w:t>contributed</w:t>
      </w:r>
      <w:r>
        <w:rPr>
          <w:color w:val="231F20"/>
          <w:spacing w:val="-10"/>
        </w:rPr>
        <w:t xml:space="preserve"> </w:t>
      </w:r>
      <w:r>
        <w:rPr>
          <w:color w:val="231F20"/>
        </w:rPr>
        <w:t>capital.</w:t>
      </w:r>
      <w:r>
        <w:rPr>
          <w:color w:val="231F20"/>
          <w:spacing w:val="-9"/>
        </w:rPr>
        <w:t xml:space="preserve"> </w:t>
      </w:r>
      <w:r>
        <w:rPr>
          <w:color w:val="231F20"/>
        </w:rPr>
        <w:t>Other</w:t>
      </w:r>
      <w:r>
        <w:rPr>
          <w:color w:val="231F20"/>
          <w:spacing w:val="-9"/>
        </w:rPr>
        <w:t xml:space="preserve"> </w:t>
      </w:r>
      <w:r>
        <w:rPr>
          <w:color w:val="231F20"/>
        </w:rPr>
        <w:t>transfers</w:t>
      </w:r>
      <w:r>
        <w:rPr>
          <w:color w:val="231F20"/>
          <w:spacing w:val="-9"/>
        </w:rPr>
        <w:t xml:space="preserve"> </w:t>
      </w:r>
      <w:r>
        <w:rPr>
          <w:color w:val="231F20"/>
        </w:rPr>
        <w:t>that</w:t>
      </w:r>
      <w:r>
        <w:rPr>
          <w:color w:val="231F20"/>
          <w:spacing w:val="-9"/>
        </w:rPr>
        <w:t xml:space="preserve"> </w:t>
      </w:r>
      <w:r>
        <w:rPr>
          <w:color w:val="231F20"/>
        </w:rPr>
        <w:t>are</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nature</w:t>
      </w:r>
      <w:r>
        <w:rPr>
          <w:color w:val="231F20"/>
          <w:spacing w:val="-10"/>
        </w:rPr>
        <w:t xml:space="preserve"> </w:t>
      </w:r>
      <w:r>
        <w:rPr>
          <w:color w:val="231F20"/>
        </w:rPr>
        <w:t>of</w:t>
      </w:r>
      <w:r>
        <w:rPr>
          <w:color w:val="231F20"/>
          <w:spacing w:val="-9"/>
        </w:rPr>
        <w:t xml:space="preserve"> </w:t>
      </w:r>
      <w:r>
        <w:rPr>
          <w:color w:val="231F20"/>
        </w:rPr>
        <w:t>contributions</w:t>
      </w:r>
      <w:r>
        <w:rPr>
          <w:color w:val="231F20"/>
          <w:spacing w:val="-9"/>
        </w:rPr>
        <w:t xml:space="preserve"> </w:t>
      </w:r>
      <w:r>
        <w:rPr>
          <w:color w:val="231F20"/>
        </w:rPr>
        <w:t>or</w:t>
      </w:r>
      <w:r>
        <w:rPr>
          <w:color w:val="231F20"/>
          <w:spacing w:val="-9"/>
        </w:rPr>
        <w:t xml:space="preserve"> </w:t>
      </w:r>
      <w:r>
        <w:rPr>
          <w:color w:val="231F20"/>
        </w:rPr>
        <w:t>distributions</w:t>
      </w:r>
      <w:r>
        <w:rPr>
          <w:color w:val="231F20"/>
          <w:spacing w:val="-9"/>
        </w:rPr>
        <w:t xml:space="preserve"> </w:t>
      </w:r>
      <w:r>
        <w:rPr>
          <w:color w:val="231F20"/>
        </w:rPr>
        <w:t>have also been designated as contributions by owners.</w:t>
      </w:r>
    </w:p>
    <w:p w14:paraId="3CBA877C" w14:textId="77777777" w:rsidR="00345EE3" w:rsidRDefault="00345EE3" w:rsidP="00345EE3">
      <w:pPr>
        <w:pStyle w:val="BodyText"/>
        <w:spacing w:before="118" w:line="242" w:lineRule="auto"/>
      </w:pPr>
      <w:r>
        <w:rPr>
          <w:color w:val="231F20"/>
        </w:rPr>
        <w:t>Transfers</w:t>
      </w:r>
      <w:r>
        <w:rPr>
          <w:color w:val="231F20"/>
          <w:spacing w:val="-12"/>
        </w:rPr>
        <w:t xml:space="preserve"> </w:t>
      </w:r>
      <w:r>
        <w:rPr>
          <w:color w:val="231F20"/>
        </w:rPr>
        <w:t>of</w:t>
      </w:r>
      <w:r>
        <w:rPr>
          <w:color w:val="231F20"/>
          <w:spacing w:val="-12"/>
        </w:rPr>
        <w:t xml:space="preserve"> </w:t>
      </w:r>
      <w:r>
        <w:rPr>
          <w:color w:val="231F20"/>
        </w:rPr>
        <w:t>net</w:t>
      </w:r>
      <w:r>
        <w:rPr>
          <w:color w:val="231F20"/>
          <w:spacing w:val="-12"/>
        </w:rPr>
        <w:t xml:space="preserve"> </w:t>
      </w:r>
      <w:r>
        <w:rPr>
          <w:color w:val="231F20"/>
        </w:rPr>
        <w:t>assets</w:t>
      </w:r>
      <w:r>
        <w:rPr>
          <w:color w:val="231F20"/>
          <w:spacing w:val="-12"/>
        </w:rPr>
        <w:t xml:space="preserve"> </w:t>
      </w:r>
      <w:r>
        <w:rPr>
          <w:color w:val="231F20"/>
        </w:rPr>
        <w:t>arising</w:t>
      </w:r>
      <w:r>
        <w:rPr>
          <w:color w:val="231F20"/>
          <w:spacing w:val="-13"/>
        </w:rPr>
        <w:t xml:space="preserve"> </w:t>
      </w:r>
      <w:r>
        <w:rPr>
          <w:color w:val="231F20"/>
        </w:rPr>
        <w:t>from</w:t>
      </w:r>
      <w:r>
        <w:rPr>
          <w:color w:val="231F20"/>
          <w:spacing w:val="-12"/>
        </w:rPr>
        <w:t xml:space="preserve"> </w:t>
      </w:r>
      <w:r>
        <w:rPr>
          <w:color w:val="231F20"/>
        </w:rPr>
        <w:t>administrative</w:t>
      </w:r>
      <w:r>
        <w:rPr>
          <w:color w:val="231F20"/>
          <w:spacing w:val="-13"/>
        </w:rPr>
        <w:t xml:space="preserve"> </w:t>
      </w:r>
      <w:r>
        <w:rPr>
          <w:color w:val="231F20"/>
        </w:rPr>
        <w:t>restructurings</w:t>
      </w:r>
      <w:r>
        <w:rPr>
          <w:color w:val="231F20"/>
          <w:spacing w:val="-12"/>
        </w:rPr>
        <w:t xml:space="preserve"> </w:t>
      </w:r>
      <w:r>
        <w:rPr>
          <w:color w:val="231F20"/>
        </w:rPr>
        <w:t>are</w:t>
      </w:r>
      <w:r>
        <w:rPr>
          <w:color w:val="231F20"/>
          <w:spacing w:val="-13"/>
        </w:rPr>
        <w:t xml:space="preserve"> </w:t>
      </w:r>
      <w:r>
        <w:rPr>
          <w:color w:val="231F20"/>
        </w:rPr>
        <w:t>treated</w:t>
      </w:r>
      <w:r>
        <w:rPr>
          <w:color w:val="231F20"/>
          <w:spacing w:val="-13"/>
        </w:rPr>
        <w:t xml:space="preserve"> </w:t>
      </w:r>
      <w:r>
        <w:rPr>
          <w:color w:val="231F20"/>
        </w:rPr>
        <w:t>as</w:t>
      </w:r>
      <w:r>
        <w:rPr>
          <w:color w:val="231F20"/>
          <w:spacing w:val="-12"/>
        </w:rPr>
        <w:t xml:space="preserve"> </w:t>
      </w:r>
      <w:r>
        <w:rPr>
          <w:color w:val="231F20"/>
        </w:rPr>
        <w:t>distributions</w:t>
      </w:r>
      <w:r>
        <w:rPr>
          <w:color w:val="231F20"/>
          <w:spacing w:val="-12"/>
        </w:rPr>
        <w:t xml:space="preserve"> </w:t>
      </w:r>
      <w:r>
        <w:rPr>
          <w:color w:val="231F20"/>
        </w:rPr>
        <w:t>to</w:t>
      </w:r>
      <w:r>
        <w:rPr>
          <w:color w:val="231F20"/>
          <w:spacing w:val="-13"/>
        </w:rPr>
        <w:t xml:space="preserve"> </w:t>
      </w:r>
      <w:r>
        <w:rPr>
          <w:color w:val="231F20"/>
        </w:rPr>
        <w:t>or contributions by owners. Transfers of net liabilities arising</w:t>
      </w:r>
      <w:r>
        <w:rPr>
          <w:color w:val="231F20"/>
          <w:spacing w:val="-1"/>
        </w:rPr>
        <w:t xml:space="preserve"> </w:t>
      </w:r>
      <w:r>
        <w:rPr>
          <w:color w:val="231F20"/>
        </w:rPr>
        <w:t>from administrative</w:t>
      </w:r>
      <w:r>
        <w:rPr>
          <w:color w:val="231F20"/>
          <w:spacing w:val="-1"/>
        </w:rPr>
        <w:t xml:space="preserve"> </w:t>
      </w:r>
      <w:r>
        <w:rPr>
          <w:color w:val="231F20"/>
        </w:rPr>
        <w:t>restructurings are treated as distributions to owners.</w:t>
      </w:r>
    </w:p>
    <w:p w14:paraId="48F24234" w14:textId="77777777" w:rsidR="00C84B1F" w:rsidRPr="00C84B1F" w:rsidRDefault="00345EE3" w:rsidP="002A27BA">
      <w:pPr>
        <w:pStyle w:val="Heading3"/>
        <w:numPr>
          <w:ilvl w:val="1"/>
          <w:numId w:val="44"/>
        </w:numPr>
      </w:pPr>
      <w:r w:rsidRPr="00C84B1F">
        <w:t xml:space="preserve">Australian Accounting Standards Issued That Are Not Yet Effective </w:t>
      </w:r>
    </w:p>
    <w:p w14:paraId="5AEC8413" w14:textId="635181ED" w:rsidR="00345EE3" w:rsidRDefault="00345EE3" w:rsidP="00C84B1F">
      <w:pPr>
        <w:pStyle w:val="ListParagraph"/>
        <w:tabs>
          <w:tab w:val="left" w:pos="575"/>
        </w:tabs>
        <w:spacing w:before="0" w:line="254" w:lineRule="auto"/>
        <w:ind w:left="110" w:right="604" w:firstLine="0"/>
        <w:rPr>
          <w:sz w:val="24"/>
        </w:rPr>
      </w:pPr>
      <w:r>
        <w:rPr>
          <w:color w:val="231F20"/>
          <w:sz w:val="24"/>
        </w:rPr>
        <w:t>Certain</w:t>
      </w:r>
      <w:r>
        <w:rPr>
          <w:color w:val="231F20"/>
          <w:spacing w:val="-9"/>
          <w:sz w:val="24"/>
        </w:rPr>
        <w:t xml:space="preserve"> </w:t>
      </w:r>
      <w:r>
        <w:rPr>
          <w:color w:val="231F20"/>
          <w:sz w:val="24"/>
        </w:rPr>
        <w:t>new</w:t>
      </w:r>
      <w:r>
        <w:rPr>
          <w:color w:val="231F20"/>
          <w:spacing w:val="-9"/>
          <w:sz w:val="24"/>
        </w:rPr>
        <w:t xml:space="preserve"> </w:t>
      </w:r>
      <w:r>
        <w:rPr>
          <w:color w:val="231F20"/>
          <w:sz w:val="24"/>
        </w:rPr>
        <w:t>and</w:t>
      </w:r>
      <w:r>
        <w:rPr>
          <w:color w:val="231F20"/>
          <w:spacing w:val="-9"/>
          <w:sz w:val="24"/>
        </w:rPr>
        <w:t xml:space="preserve"> </w:t>
      </w:r>
      <w:r>
        <w:rPr>
          <w:color w:val="231F20"/>
          <w:sz w:val="24"/>
        </w:rPr>
        <w:t>revised</w:t>
      </w:r>
      <w:r>
        <w:rPr>
          <w:color w:val="231F20"/>
          <w:spacing w:val="-9"/>
          <w:sz w:val="24"/>
        </w:rPr>
        <w:t xml:space="preserve"> </w:t>
      </w:r>
      <w:r>
        <w:rPr>
          <w:color w:val="231F20"/>
          <w:sz w:val="24"/>
        </w:rPr>
        <w:t>accounting</w:t>
      </w:r>
      <w:r>
        <w:rPr>
          <w:color w:val="231F20"/>
          <w:spacing w:val="-9"/>
          <w:sz w:val="24"/>
        </w:rPr>
        <w:t xml:space="preserve"> </w:t>
      </w:r>
      <w:r>
        <w:rPr>
          <w:color w:val="231F20"/>
          <w:sz w:val="24"/>
        </w:rPr>
        <w:t>standards</w:t>
      </w:r>
      <w:r>
        <w:rPr>
          <w:color w:val="231F20"/>
          <w:spacing w:val="-8"/>
          <w:sz w:val="24"/>
        </w:rPr>
        <w:t xml:space="preserve"> </w:t>
      </w:r>
      <w:r>
        <w:rPr>
          <w:color w:val="231F20"/>
          <w:sz w:val="24"/>
        </w:rPr>
        <w:t>have</w:t>
      </w:r>
      <w:r>
        <w:rPr>
          <w:color w:val="231F20"/>
          <w:spacing w:val="-9"/>
          <w:sz w:val="24"/>
        </w:rPr>
        <w:t xml:space="preserve"> </w:t>
      </w:r>
      <w:r>
        <w:rPr>
          <w:color w:val="231F20"/>
          <w:sz w:val="24"/>
        </w:rPr>
        <w:t>been</w:t>
      </w:r>
      <w:r>
        <w:rPr>
          <w:color w:val="231F20"/>
          <w:spacing w:val="-9"/>
          <w:sz w:val="24"/>
        </w:rPr>
        <w:t xml:space="preserve"> </w:t>
      </w:r>
      <w:r>
        <w:rPr>
          <w:color w:val="231F20"/>
          <w:sz w:val="24"/>
        </w:rPr>
        <w:t>issued</w:t>
      </w:r>
      <w:r>
        <w:rPr>
          <w:color w:val="231F20"/>
          <w:spacing w:val="-9"/>
          <w:sz w:val="24"/>
        </w:rPr>
        <w:t xml:space="preserve"> </w:t>
      </w:r>
      <w:r>
        <w:rPr>
          <w:color w:val="231F20"/>
          <w:sz w:val="24"/>
        </w:rPr>
        <w:t>but</w:t>
      </w:r>
      <w:r>
        <w:rPr>
          <w:color w:val="231F20"/>
          <w:spacing w:val="-8"/>
          <w:sz w:val="24"/>
        </w:rPr>
        <w:t xml:space="preserve"> </w:t>
      </w:r>
      <w:r>
        <w:rPr>
          <w:color w:val="231F20"/>
          <w:sz w:val="24"/>
        </w:rPr>
        <w:t>are</w:t>
      </w:r>
      <w:r>
        <w:rPr>
          <w:color w:val="231F20"/>
          <w:spacing w:val="-9"/>
          <w:sz w:val="24"/>
        </w:rPr>
        <w:t xml:space="preserve"> </w:t>
      </w:r>
      <w:r>
        <w:rPr>
          <w:color w:val="231F20"/>
          <w:sz w:val="24"/>
        </w:rPr>
        <w:t>not</w:t>
      </w:r>
      <w:r>
        <w:rPr>
          <w:color w:val="231F20"/>
          <w:spacing w:val="-8"/>
          <w:sz w:val="24"/>
        </w:rPr>
        <w:t xml:space="preserve"> </w:t>
      </w:r>
      <w:r>
        <w:rPr>
          <w:color w:val="231F20"/>
          <w:sz w:val="24"/>
        </w:rPr>
        <w:t>effective</w:t>
      </w:r>
      <w:r>
        <w:rPr>
          <w:color w:val="231F20"/>
          <w:spacing w:val="-9"/>
          <w:sz w:val="24"/>
        </w:rPr>
        <w:t xml:space="preserve"> </w:t>
      </w:r>
      <w:r>
        <w:rPr>
          <w:color w:val="231F20"/>
          <w:sz w:val="24"/>
        </w:rPr>
        <w:t>for</w:t>
      </w:r>
      <w:r>
        <w:rPr>
          <w:color w:val="231F20"/>
          <w:spacing w:val="-8"/>
          <w:sz w:val="24"/>
        </w:rPr>
        <w:t xml:space="preserve"> </w:t>
      </w:r>
      <w:r>
        <w:rPr>
          <w:color w:val="231F20"/>
          <w:sz w:val="24"/>
        </w:rPr>
        <w:t>the 2021–22 reporting period. These accounting standards have not been applied to the Model Financial</w:t>
      </w:r>
      <w:r>
        <w:rPr>
          <w:color w:val="231F20"/>
          <w:spacing w:val="-3"/>
          <w:sz w:val="24"/>
        </w:rPr>
        <w:t xml:space="preserve"> </w:t>
      </w:r>
      <w:r>
        <w:rPr>
          <w:color w:val="231F20"/>
          <w:sz w:val="24"/>
        </w:rPr>
        <w:t>Statements.</w:t>
      </w:r>
      <w:r>
        <w:rPr>
          <w:color w:val="231F20"/>
          <w:spacing w:val="-2"/>
          <w:sz w:val="24"/>
        </w:rPr>
        <w:t xml:space="preserve"> </w:t>
      </w:r>
      <w:r>
        <w:rPr>
          <w:color w:val="231F20"/>
          <w:sz w:val="24"/>
        </w:rPr>
        <w:t>The</w:t>
      </w:r>
      <w:r>
        <w:rPr>
          <w:color w:val="231F20"/>
          <w:spacing w:val="-3"/>
          <w:sz w:val="24"/>
        </w:rPr>
        <w:t xml:space="preserve"> </w:t>
      </w:r>
      <w:r>
        <w:rPr>
          <w:color w:val="231F20"/>
          <w:sz w:val="24"/>
        </w:rPr>
        <w:t>state</w:t>
      </w:r>
      <w:r>
        <w:rPr>
          <w:color w:val="231F20"/>
          <w:spacing w:val="-3"/>
          <w:sz w:val="24"/>
        </w:rPr>
        <w:t xml:space="preserve"> </w:t>
      </w:r>
      <w:r>
        <w:rPr>
          <w:color w:val="231F20"/>
          <w:sz w:val="24"/>
        </w:rPr>
        <w:t>is</w:t>
      </w:r>
      <w:r>
        <w:rPr>
          <w:color w:val="231F20"/>
          <w:spacing w:val="-2"/>
          <w:sz w:val="24"/>
        </w:rPr>
        <w:t xml:space="preserve"> </w:t>
      </w:r>
      <w:r>
        <w:rPr>
          <w:color w:val="231F20"/>
          <w:sz w:val="24"/>
        </w:rPr>
        <w:t>reviewing</w:t>
      </w:r>
      <w:r>
        <w:rPr>
          <w:color w:val="231F20"/>
          <w:spacing w:val="-3"/>
          <w:sz w:val="24"/>
        </w:rPr>
        <w:t xml:space="preserve"> </w:t>
      </w:r>
      <w:r>
        <w:rPr>
          <w:color w:val="231F20"/>
          <w:sz w:val="24"/>
        </w:rPr>
        <w:t>its</w:t>
      </w:r>
      <w:r>
        <w:rPr>
          <w:color w:val="231F20"/>
          <w:spacing w:val="-2"/>
          <w:sz w:val="24"/>
        </w:rPr>
        <w:t xml:space="preserve"> </w:t>
      </w:r>
      <w:r>
        <w:rPr>
          <w:color w:val="231F20"/>
          <w:sz w:val="24"/>
        </w:rPr>
        <w:t>existing</w:t>
      </w:r>
      <w:r>
        <w:rPr>
          <w:color w:val="231F20"/>
          <w:spacing w:val="-3"/>
          <w:sz w:val="24"/>
        </w:rPr>
        <w:t xml:space="preserve"> </w:t>
      </w:r>
      <w:r>
        <w:rPr>
          <w:color w:val="231F20"/>
          <w:sz w:val="24"/>
        </w:rPr>
        <w:t>policies</w:t>
      </w:r>
      <w:r>
        <w:rPr>
          <w:color w:val="231F20"/>
          <w:spacing w:val="-2"/>
          <w:sz w:val="24"/>
        </w:rPr>
        <w:t xml:space="preserve"> </w:t>
      </w:r>
      <w:r>
        <w:rPr>
          <w:color w:val="231F20"/>
          <w:sz w:val="24"/>
        </w:rPr>
        <w:t>and</w:t>
      </w:r>
      <w:r>
        <w:rPr>
          <w:color w:val="231F20"/>
          <w:spacing w:val="-3"/>
          <w:sz w:val="24"/>
        </w:rPr>
        <w:t xml:space="preserve"> </w:t>
      </w:r>
      <w:r>
        <w:rPr>
          <w:color w:val="231F20"/>
          <w:sz w:val="24"/>
        </w:rPr>
        <w:t>assessing</w:t>
      </w:r>
      <w:r>
        <w:rPr>
          <w:color w:val="231F20"/>
          <w:spacing w:val="-3"/>
          <w:sz w:val="24"/>
        </w:rPr>
        <w:t xml:space="preserve"> </w:t>
      </w:r>
      <w:r>
        <w:rPr>
          <w:color w:val="231F20"/>
          <w:sz w:val="24"/>
        </w:rPr>
        <w:t>the</w:t>
      </w:r>
      <w:r>
        <w:rPr>
          <w:color w:val="231F20"/>
          <w:spacing w:val="-3"/>
          <w:sz w:val="24"/>
        </w:rPr>
        <w:t xml:space="preserve"> </w:t>
      </w:r>
      <w:r>
        <w:rPr>
          <w:color w:val="231F20"/>
          <w:sz w:val="24"/>
        </w:rPr>
        <w:t>potential</w:t>
      </w:r>
    </w:p>
    <w:p w14:paraId="3E93B98C" w14:textId="77777777" w:rsidR="00345EE3" w:rsidRDefault="00345EE3" w:rsidP="00345EE3">
      <w:pPr>
        <w:pStyle w:val="BodyText"/>
        <w:spacing w:line="272" w:lineRule="exact"/>
      </w:pPr>
      <w:r>
        <w:rPr>
          <w:color w:val="231F20"/>
        </w:rPr>
        <w:t>implications</w:t>
      </w:r>
      <w:r>
        <w:rPr>
          <w:color w:val="231F20"/>
          <w:spacing w:val="-12"/>
        </w:rPr>
        <w:t xml:space="preserve"> </w:t>
      </w:r>
      <w:r>
        <w:rPr>
          <w:color w:val="231F20"/>
        </w:rPr>
        <w:t>of</w:t>
      </w:r>
      <w:r>
        <w:rPr>
          <w:color w:val="231F20"/>
          <w:spacing w:val="-10"/>
        </w:rPr>
        <w:t xml:space="preserve"> </w:t>
      </w:r>
      <w:r>
        <w:rPr>
          <w:color w:val="231F20"/>
        </w:rPr>
        <w:t>these</w:t>
      </w:r>
      <w:r>
        <w:rPr>
          <w:color w:val="231F20"/>
          <w:spacing w:val="-9"/>
        </w:rPr>
        <w:t xml:space="preserve"> </w:t>
      </w:r>
      <w:r>
        <w:rPr>
          <w:color w:val="231F20"/>
        </w:rPr>
        <w:t>accounting</w:t>
      </w:r>
      <w:r>
        <w:rPr>
          <w:color w:val="231F20"/>
          <w:spacing w:val="-10"/>
        </w:rPr>
        <w:t xml:space="preserve"> </w:t>
      </w:r>
      <w:r>
        <w:rPr>
          <w:color w:val="231F20"/>
        </w:rPr>
        <w:t>standards</w:t>
      </w:r>
      <w:r>
        <w:rPr>
          <w:color w:val="231F20"/>
          <w:spacing w:val="-10"/>
        </w:rPr>
        <w:t xml:space="preserve"> </w:t>
      </w:r>
      <w:r>
        <w:rPr>
          <w:color w:val="231F20"/>
        </w:rPr>
        <w:t>which</w:t>
      </w:r>
      <w:r>
        <w:rPr>
          <w:color w:val="231F20"/>
          <w:spacing w:val="-9"/>
        </w:rPr>
        <w:t xml:space="preserve"> </w:t>
      </w:r>
      <w:r>
        <w:rPr>
          <w:color w:val="231F20"/>
          <w:spacing w:val="-2"/>
        </w:rPr>
        <w:t>include:</w:t>
      </w:r>
    </w:p>
    <w:p w14:paraId="4442183C" w14:textId="77777777" w:rsidR="00345EE3" w:rsidRDefault="00345EE3" w:rsidP="00345EE3">
      <w:pPr>
        <w:pStyle w:val="Heading5"/>
        <w:spacing w:before="118" w:line="242" w:lineRule="auto"/>
      </w:pPr>
      <w:r>
        <w:rPr>
          <w:color w:val="231F20"/>
        </w:rPr>
        <w:t>AASB</w:t>
      </w:r>
      <w:r>
        <w:rPr>
          <w:color w:val="231F20"/>
          <w:spacing w:val="-4"/>
        </w:rPr>
        <w:t xml:space="preserve"> </w:t>
      </w:r>
      <w:r>
        <w:rPr>
          <w:color w:val="231F20"/>
        </w:rPr>
        <w:t>2020-1</w:t>
      </w:r>
      <w:r>
        <w:rPr>
          <w:color w:val="231F20"/>
          <w:spacing w:val="-4"/>
        </w:rPr>
        <w:t xml:space="preserve"> </w:t>
      </w:r>
      <w:r>
        <w:rPr>
          <w:color w:val="231F20"/>
        </w:rPr>
        <w:t>Amendments</w:t>
      </w:r>
      <w:r>
        <w:rPr>
          <w:color w:val="231F20"/>
          <w:spacing w:val="-4"/>
        </w:rPr>
        <w:t xml:space="preserve"> </w:t>
      </w:r>
      <w:r>
        <w:rPr>
          <w:color w:val="231F20"/>
        </w:rPr>
        <w:t>to</w:t>
      </w:r>
      <w:r>
        <w:rPr>
          <w:color w:val="231F20"/>
          <w:spacing w:val="-3"/>
        </w:rPr>
        <w:t xml:space="preserve"> </w:t>
      </w:r>
      <w:r>
        <w:rPr>
          <w:color w:val="231F20"/>
        </w:rPr>
        <w:t>Australian</w:t>
      </w:r>
      <w:r>
        <w:rPr>
          <w:color w:val="231F20"/>
          <w:spacing w:val="-4"/>
        </w:rPr>
        <w:t xml:space="preserve"> </w:t>
      </w:r>
      <w:r>
        <w:rPr>
          <w:color w:val="231F20"/>
        </w:rPr>
        <w:t>Accounting</w:t>
      </w:r>
      <w:r>
        <w:rPr>
          <w:color w:val="231F20"/>
          <w:spacing w:val="-3"/>
        </w:rPr>
        <w:t xml:space="preserve"> </w:t>
      </w:r>
      <w:r>
        <w:rPr>
          <w:color w:val="231F20"/>
        </w:rPr>
        <w:t>Standards</w:t>
      </w:r>
      <w:r>
        <w:rPr>
          <w:color w:val="231F20"/>
          <w:spacing w:val="-4"/>
        </w:rPr>
        <w:t xml:space="preserve"> </w:t>
      </w:r>
      <w:r>
        <w:rPr>
          <w:color w:val="231F20"/>
        </w:rPr>
        <w:t>–</w:t>
      </w:r>
      <w:r>
        <w:rPr>
          <w:color w:val="231F20"/>
          <w:spacing w:val="-4"/>
        </w:rPr>
        <w:t xml:space="preserve"> </w:t>
      </w:r>
      <w:r>
        <w:rPr>
          <w:color w:val="231F20"/>
        </w:rPr>
        <w:t>Classification</w:t>
      </w:r>
      <w:r>
        <w:rPr>
          <w:color w:val="231F20"/>
          <w:spacing w:val="-3"/>
        </w:rPr>
        <w:t xml:space="preserve"> </w:t>
      </w:r>
      <w:r>
        <w:rPr>
          <w:color w:val="231F20"/>
        </w:rPr>
        <w:t>of Liabilities as Current or Non-Current</w:t>
      </w:r>
    </w:p>
    <w:p w14:paraId="36A8909C" w14:textId="77777777" w:rsidR="00345EE3" w:rsidRDefault="00345EE3" w:rsidP="00345EE3">
      <w:pPr>
        <w:pStyle w:val="BodyText"/>
        <w:spacing w:before="116" w:line="242" w:lineRule="auto"/>
        <w:ind w:right="115"/>
        <w:rPr>
          <w:i/>
        </w:rPr>
      </w:pPr>
      <w:r>
        <w:rPr>
          <w:color w:val="231F20"/>
        </w:rPr>
        <w:t>This</w:t>
      </w:r>
      <w:r>
        <w:rPr>
          <w:color w:val="231F20"/>
          <w:spacing w:val="-8"/>
        </w:rPr>
        <w:t xml:space="preserve"> </w:t>
      </w:r>
      <w:r>
        <w:rPr>
          <w:color w:val="231F20"/>
        </w:rPr>
        <w:t>Standard</w:t>
      </w:r>
      <w:r>
        <w:rPr>
          <w:color w:val="231F20"/>
          <w:spacing w:val="-9"/>
        </w:rPr>
        <w:t xml:space="preserve"> </w:t>
      </w:r>
      <w:r>
        <w:rPr>
          <w:color w:val="231F20"/>
        </w:rPr>
        <w:t>amends</w:t>
      </w:r>
      <w:r>
        <w:rPr>
          <w:color w:val="231F20"/>
          <w:spacing w:val="-8"/>
        </w:rPr>
        <w:t xml:space="preserve"> </w:t>
      </w:r>
      <w:r>
        <w:rPr>
          <w:color w:val="231F20"/>
        </w:rPr>
        <w:t>AASB</w:t>
      </w:r>
      <w:r>
        <w:rPr>
          <w:color w:val="231F20"/>
          <w:spacing w:val="-8"/>
        </w:rPr>
        <w:t xml:space="preserve"> </w:t>
      </w:r>
      <w:r>
        <w:rPr>
          <w:color w:val="231F20"/>
        </w:rPr>
        <w:t>101</w:t>
      </w:r>
      <w:r>
        <w:rPr>
          <w:color w:val="231F20"/>
          <w:spacing w:val="-9"/>
        </w:rPr>
        <w:t xml:space="preserve"> </w:t>
      </w:r>
      <w:r>
        <w:rPr>
          <w:color w:val="231F20"/>
        </w:rPr>
        <w:t>to</w:t>
      </w:r>
      <w:r>
        <w:rPr>
          <w:color w:val="231F20"/>
          <w:spacing w:val="-9"/>
        </w:rPr>
        <w:t xml:space="preserve"> </w:t>
      </w:r>
      <w:r>
        <w:rPr>
          <w:color w:val="231F20"/>
        </w:rPr>
        <w:t>clarify</w:t>
      </w:r>
      <w:r>
        <w:rPr>
          <w:color w:val="231F20"/>
          <w:spacing w:val="-8"/>
        </w:rPr>
        <w:t xml:space="preserve"> </w:t>
      </w:r>
      <w:r>
        <w:rPr>
          <w:color w:val="231F20"/>
        </w:rPr>
        <w:t>requirements</w:t>
      </w:r>
      <w:r>
        <w:rPr>
          <w:color w:val="231F20"/>
          <w:spacing w:val="-8"/>
        </w:rPr>
        <w:t xml:space="preserve"> </w:t>
      </w:r>
      <w:r>
        <w:rPr>
          <w:color w:val="231F20"/>
        </w:rPr>
        <w:t>for</w:t>
      </w:r>
      <w:r>
        <w:rPr>
          <w:color w:val="231F20"/>
          <w:spacing w:val="-8"/>
        </w:rPr>
        <w:t xml:space="preserve"> </w:t>
      </w:r>
      <w:r>
        <w:rPr>
          <w:color w:val="231F20"/>
        </w:rPr>
        <w:t>the</w:t>
      </w:r>
      <w:r>
        <w:rPr>
          <w:color w:val="231F20"/>
          <w:spacing w:val="-9"/>
        </w:rPr>
        <w:t xml:space="preserve"> </w:t>
      </w:r>
      <w:r>
        <w:rPr>
          <w:color w:val="231F20"/>
        </w:rPr>
        <w:t>presentation</w:t>
      </w:r>
      <w:r>
        <w:rPr>
          <w:color w:val="231F20"/>
          <w:spacing w:val="-9"/>
        </w:rPr>
        <w:t xml:space="preserve"> </w:t>
      </w:r>
      <w:r>
        <w:rPr>
          <w:color w:val="231F20"/>
        </w:rPr>
        <w:t>of</w:t>
      </w:r>
      <w:r>
        <w:rPr>
          <w:color w:val="231F20"/>
          <w:spacing w:val="-8"/>
        </w:rPr>
        <w:t xml:space="preserve"> </w:t>
      </w:r>
      <w:r>
        <w:rPr>
          <w:color w:val="231F20"/>
        </w:rPr>
        <w:t>liabilities</w:t>
      </w:r>
      <w:r>
        <w:rPr>
          <w:color w:val="231F20"/>
          <w:spacing w:val="-8"/>
        </w:rPr>
        <w:t xml:space="preserve"> </w:t>
      </w:r>
      <w:r>
        <w:rPr>
          <w:color w:val="231F20"/>
        </w:rPr>
        <w:t>in</w:t>
      </w:r>
      <w:r>
        <w:rPr>
          <w:color w:val="231F20"/>
          <w:spacing w:val="-9"/>
        </w:rPr>
        <w:t xml:space="preserve"> </w:t>
      </w:r>
      <w:r>
        <w:rPr>
          <w:color w:val="231F20"/>
        </w:rPr>
        <w:t>the statement of financial position as current or non-current. It initially applied to annual reporting periods beginning on or after 1 January 2022 with earlier application permitted however the AASB</w:t>
      </w:r>
      <w:r>
        <w:rPr>
          <w:color w:val="231F20"/>
          <w:spacing w:val="-7"/>
        </w:rPr>
        <w:t xml:space="preserve"> </w:t>
      </w:r>
      <w:r>
        <w:rPr>
          <w:color w:val="231F20"/>
        </w:rPr>
        <w:t>has</w:t>
      </w:r>
      <w:r>
        <w:rPr>
          <w:color w:val="231F20"/>
          <w:spacing w:val="-7"/>
        </w:rPr>
        <w:t xml:space="preserve"> </w:t>
      </w:r>
      <w:r>
        <w:rPr>
          <w:color w:val="231F20"/>
        </w:rPr>
        <w:t>recently</w:t>
      </w:r>
      <w:r>
        <w:rPr>
          <w:color w:val="231F20"/>
          <w:spacing w:val="-7"/>
        </w:rPr>
        <w:t xml:space="preserve"> </w:t>
      </w:r>
      <w:r>
        <w:rPr>
          <w:color w:val="231F20"/>
        </w:rPr>
        <w:t>issued</w:t>
      </w:r>
      <w:r>
        <w:rPr>
          <w:color w:val="231F20"/>
          <w:spacing w:val="-8"/>
        </w:rPr>
        <w:t xml:space="preserve"> </w:t>
      </w:r>
      <w:r>
        <w:rPr>
          <w:color w:val="231F20"/>
        </w:rPr>
        <w:t>AASB</w:t>
      </w:r>
      <w:r>
        <w:rPr>
          <w:color w:val="231F20"/>
          <w:spacing w:val="-7"/>
        </w:rPr>
        <w:t xml:space="preserve"> </w:t>
      </w:r>
      <w:r>
        <w:rPr>
          <w:color w:val="231F20"/>
        </w:rPr>
        <w:t>2020-6</w:t>
      </w:r>
      <w:r>
        <w:rPr>
          <w:color w:val="231F20"/>
          <w:spacing w:val="-8"/>
        </w:rPr>
        <w:t xml:space="preserve"> </w:t>
      </w:r>
      <w:r>
        <w:rPr>
          <w:i/>
          <w:color w:val="231F20"/>
        </w:rPr>
        <w:t>Amendments</w:t>
      </w:r>
      <w:r>
        <w:rPr>
          <w:i/>
          <w:color w:val="231F20"/>
          <w:spacing w:val="-15"/>
        </w:rPr>
        <w:t xml:space="preserve"> </w:t>
      </w:r>
      <w:r>
        <w:rPr>
          <w:i/>
          <w:color w:val="231F20"/>
        </w:rPr>
        <w:t>to</w:t>
      </w:r>
      <w:r>
        <w:rPr>
          <w:i/>
          <w:color w:val="231F20"/>
          <w:spacing w:val="-15"/>
        </w:rPr>
        <w:t xml:space="preserve"> </w:t>
      </w:r>
      <w:r>
        <w:rPr>
          <w:i/>
          <w:color w:val="231F20"/>
        </w:rPr>
        <w:t>Australian</w:t>
      </w:r>
      <w:r>
        <w:rPr>
          <w:i/>
          <w:color w:val="231F20"/>
          <w:spacing w:val="-15"/>
        </w:rPr>
        <w:t xml:space="preserve"> </w:t>
      </w:r>
      <w:r>
        <w:rPr>
          <w:i/>
          <w:color w:val="231F20"/>
        </w:rPr>
        <w:t>Accounting</w:t>
      </w:r>
      <w:r>
        <w:rPr>
          <w:i/>
          <w:color w:val="231F20"/>
          <w:spacing w:val="-15"/>
        </w:rPr>
        <w:t xml:space="preserve"> </w:t>
      </w:r>
      <w:r>
        <w:rPr>
          <w:i/>
          <w:color w:val="231F20"/>
        </w:rPr>
        <w:t>Standards</w:t>
      </w:r>
    </w:p>
    <w:p w14:paraId="7BC09034" w14:textId="77777777" w:rsidR="00345EE3" w:rsidRDefault="00345EE3" w:rsidP="00345EE3">
      <w:pPr>
        <w:spacing w:before="5" w:line="242" w:lineRule="auto"/>
        <w:ind w:left="110"/>
        <w:rPr>
          <w:sz w:val="24"/>
        </w:rPr>
      </w:pPr>
      <w:r>
        <w:rPr>
          <w:i/>
          <w:color w:val="231F20"/>
          <w:spacing w:val="-2"/>
          <w:sz w:val="24"/>
        </w:rPr>
        <w:t>–</w:t>
      </w:r>
      <w:r>
        <w:rPr>
          <w:i/>
          <w:color w:val="231F20"/>
          <w:spacing w:val="-10"/>
          <w:sz w:val="24"/>
        </w:rPr>
        <w:t xml:space="preserve"> </w:t>
      </w:r>
      <w:r>
        <w:rPr>
          <w:i/>
          <w:color w:val="231F20"/>
          <w:spacing w:val="-2"/>
          <w:sz w:val="24"/>
        </w:rPr>
        <w:t>Classification</w:t>
      </w:r>
      <w:r>
        <w:rPr>
          <w:i/>
          <w:color w:val="231F20"/>
          <w:spacing w:val="-10"/>
          <w:sz w:val="24"/>
        </w:rPr>
        <w:t xml:space="preserve"> </w:t>
      </w:r>
      <w:r>
        <w:rPr>
          <w:i/>
          <w:color w:val="231F20"/>
          <w:spacing w:val="-2"/>
          <w:sz w:val="24"/>
        </w:rPr>
        <w:t>of</w:t>
      </w:r>
      <w:r>
        <w:rPr>
          <w:i/>
          <w:color w:val="231F20"/>
          <w:spacing w:val="-10"/>
          <w:sz w:val="24"/>
        </w:rPr>
        <w:t xml:space="preserve"> </w:t>
      </w:r>
      <w:r>
        <w:rPr>
          <w:i/>
          <w:color w:val="231F20"/>
          <w:spacing w:val="-2"/>
          <w:sz w:val="24"/>
        </w:rPr>
        <w:t>Liabilities</w:t>
      </w:r>
      <w:r>
        <w:rPr>
          <w:i/>
          <w:color w:val="231F20"/>
          <w:spacing w:val="-10"/>
          <w:sz w:val="24"/>
        </w:rPr>
        <w:t xml:space="preserve"> </w:t>
      </w:r>
      <w:r>
        <w:rPr>
          <w:i/>
          <w:color w:val="231F20"/>
          <w:spacing w:val="-2"/>
          <w:sz w:val="24"/>
        </w:rPr>
        <w:t>as</w:t>
      </w:r>
      <w:r>
        <w:rPr>
          <w:i/>
          <w:color w:val="231F20"/>
          <w:spacing w:val="-10"/>
          <w:sz w:val="24"/>
        </w:rPr>
        <w:t xml:space="preserve"> </w:t>
      </w:r>
      <w:r>
        <w:rPr>
          <w:i/>
          <w:color w:val="231F20"/>
          <w:spacing w:val="-2"/>
          <w:sz w:val="24"/>
        </w:rPr>
        <w:t>Current</w:t>
      </w:r>
      <w:r>
        <w:rPr>
          <w:i/>
          <w:color w:val="231F20"/>
          <w:spacing w:val="-10"/>
          <w:sz w:val="24"/>
        </w:rPr>
        <w:t xml:space="preserve"> </w:t>
      </w:r>
      <w:r>
        <w:rPr>
          <w:i/>
          <w:color w:val="231F20"/>
          <w:spacing w:val="-2"/>
          <w:sz w:val="24"/>
        </w:rPr>
        <w:t>or</w:t>
      </w:r>
      <w:r>
        <w:rPr>
          <w:i/>
          <w:color w:val="231F20"/>
          <w:spacing w:val="-10"/>
          <w:sz w:val="24"/>
        </w:rPr>
        <w:t xml:space="preserve"> </w:t>
      </w:r>
      <w:r>
        <w:rPr>
          <w:i/>
          <w:color w:val="231F20"/>
          <w:spacing w:val="-2"/>
          <w:sz w:val="24"/>
        </w:rPr>
        <w:t>Non-current</w:t>
      </w:r>
      <w:r>
        <w:rPr>
          <w:i/>
          <w:color w:val="231F20"/>
          <w:spacing w:val="-10"/>
          <w:sz w:val="24"/>
        </w:rPr>
        <w:t xml:space="preserve"> </w:t>
      </w:r>
      <w:r>
        <w:rPr>
          <w:i/>
          <w:color w:val="231F20"/>
          <w:spacing w:val="-2"/>
          <w:sz w:val="24"/>
        </w:rPr>
        <w:t>–</w:t>
      </w:r>
      <w:r>
        <w:rPr>
          <w:i/>
          <w:color w:val="231F20"/>
          <w:spacing w:val="-10"/>
          <w:sz w:val="24"/>
        </w:rPr>
        <w:t xml:space="preserve"> </w:t>
      </w:r>
      <w:r>
        <w:rPr>
          <w:i/>
          <w:color w:val="231F20"/>
          <w:spacing w:val="-2"/>
          <w:sz w:val="24"/>
        </w:rPr>
        <w:t>Deferral</w:t>
      </w:r>
      <w:r>
        <w:rPr>
          <w:i/>
          <w:color w:val="231F20"/>
          <w:spacing w:val="-10"/>
          <w:sz w:val="24"/>
        </w:rPr>
        <w:t xml:space="preserve"> </w:t>
      </w:r>
      <w:r>
        <w:rPr>
          <w:i/>
          <w:color w:val="231F20"/>
          <w:spacing w:val="-2"/>
          <w:sz w:val="24"/>
        </w:rPr>
        <w:t>of</w:t>
      </w:r>
      <w:r>
        <w:rPr>
          <w:i/>
          <w:color w:val="231F20"/>
          <w:spacing w:val="-10"/>
          <w:sz w:val="24"/>
        </w:rPr>
        <w:t xml:space="preserve"> </w:t>
      </w:r>
      <w:r>
        <w:rPr>
          <w:i/>
          <w:color w:val="231F20"/>
          <w:spacing w:val="-2"/>
          <w:sz w:val="24"/>
        </w:rPr>
        <w:t>Effective</w:t>
      </w:r>
      <w:r>
        <w:rPr>
          <w:i/>
          <w:color w:val="231F20"/>
          <w:spacing w:val="-10"/>
          <w:sz w:val="24"/>
        </w:rPr>
        <w:t xml:space="preserve"> </w:t>
      </w:r>
      <w:r>
        <w:rPr>
          <w:i/>
          <w:color w:val="231F20"/>
          <w:spacing w:val="-2"/>
          <w:sz w:val="24"/>
        </w:rPr>
        <w:t>Date</w:t>
      </w:r>
      <w:r>
        <w:rPr>
          <w:i/>
          <w:color w:val="231F20"/>
          <w:spacing w:val="-6"/>
          <w:sz w:val="24"/>
        </w:rPr>
        <w:t xml:space="preserve"> </w:t>
      </w:r>
      <w:r>
        <w:rPr>
          <w:color w:val="231F20"/>
          <w:spacing w:val="-2"/>
          <w:sz w:val="24"/>
        </w:rPr>
        <w:t xml:space="preserve">to defer the </w:t>
      </w:r>
      <w:r>
        <w:rPr>
          <w:color w:val="231F20"/>
          <w:sz w:val="24"/>
        </w:rPr>
        <w:t>application</w:t>
      </w:r>
      <w:r>
        <w:rPr>
          <w:color w:val="231F20"/>
          <w:spacing w:val="-7"/>
          <w:sz w:val="24"/>
        </w:rPr>
        <w:t xml:space="preserve"> </w:t>
      </w:r>
      <w:r>
        <w:rPr>
          <w:color w:val="231F20"/>
          <w:sz w:val="24"/>
        </w:rPr>
        <w:t>by</w:t>
      </w:r>
      <w:r>
        <w:rPr>
          <w:color w:val="231F20"/>
          <w:spacing w:val="-6"/>
          <w:sz w:val="24"/>
        </w:rPr>
        <w:t xml:space="preserve"> </w:t>
      </w:r>
      <w:r>
        <w:rPr>
          <w:color w:val="231F20"/>
          <w:sz w:val="24"/>
        </w:rPr>
        <w:t>one</w:t>
      </w:r>
      <w:r>
        <w:rPr>
          <w:color w:val="231F20"/>
          <w:spacing w:val="-7"/>
          <w:sz w:val="24"/>
        </w:rPr>
        <w:t xml:space="preserve"> </w:t>
      </w:r>
      <w:r>
        <w:rPr>
          <w:color w:val="231F20"/>
          <w:sz w:val="24"/>
        </w:rPr>
        <w:t>year</w:t>
      </w:r>
      <w:r>
        <w:rPr>
          <w:color w:val="231F20"/>
          <w:spacing w:val="-6"/>
          <w:sz w:val="24"/>
        </w:rPr>
        <w:t xml:space="preserve"> </w:t>
      </w:r>
      <w:r>
        <w:rPr>
          <w:color w:val="231F20"/>
          <w:sz w:val="24"/>
        </w:rPr>
        <w:t>to</w:t>
      </w:r>
      <w:r>
        <w:rPr>
          <w:color w:val="231F20"/>
          <w:spacing w:val="-7"/>
          <w:sz w:val="24"/>
        </w:rPr>
        <w:t xml:space="preserve"> </w:t>
      </w:r>
      <w:r>
        <w:rPr>
          <w:color w:val="231F20"/>
          <w:sz w:val="24"/>
        </w:rPr>
        <w:t>periods</w:t>
      </w:r>
      <w:r>
        <w:rPr>
          <w:color w:val="231F20"/>
          <w:spacing w:val="-6"/>
          <w:sz w:val="24"/>
        </w:rPr>
        <w:t xml:space="preserve"> </w:t>
      </w:r>
      <w:r>
        <w:rPr>
          <w:color w:val="231F20"/>
          <w:sz w:val="24"/>
        </w:rPr>
        <w:t>beginning</w:t>
      </w:r>
      <w:r>
        <w:rPr>
          <w:color w:val="231F20"/>
          <w:spacing w:val="-7"/>
          <w:sz w:val="24"/>
        </w:rPr>
        <w:t xml:space="preserve"> </w:t>
      </w:r>
      <w:r>
        <w:rPr>
          <w:color w:val="231F20"/>
          <w:sz w:val="24"/>
        </w:rPr>
        <w:t>on</w:t>
      </w:r>
      <w:r>
        <w:rPr>
          <w:color w:val="231F20"/>
          <w:spacing w:val="-7"/>
          <w:sz w:val="24"/>
        </w:rPr>
        <w:t xml:space="preserve"> </w:t>
      </w:r>
      <w:r>
        <w:rPr>
          <w:color w:val="231F20"/>
          <w:sz w:val="24"/>
        </w:rPr>
        <w:t>or</w:t>
      </w:r>
      <w:r>
        <w:rPr>
          <w:color w:val="231F20"/>
          <w:spacing w:val="-6"/>
          <w:sz w:val="24"/>
        </w:rPr>
        <w:t xml:space="preserve"> </w:t>
      </w:r>
      <w:r>
        <w:rPr>
          <w:color w:val="231F20"/>
          <w:sz w:val="24"/>
        </w:rPr>
        <w:t>after</w:t>
      </w:r>
      <w:r>
        <w:rPr>
          <w:color w:val="231F20"/>
          <w:spacing w:val="-6"/>
          <w:sz w:val="24"/>
        </w:rPr>
        <w:t xml:space="preserve"> </w:t>
      </w:r>
      <w:r>
        <w:rPr>
          <w:color w:val="231F20"/>
          <w:sz w:val="24"/>
        </w:rPr>
        <w:t>1</w:t>
      </w:r>
      <w:r>
        <w:rPr>
          <w:color w:val="231F20"/>
          <w:spacing w:val="-7"/>
          <w:sz w:val="24"/>
        </w:rPr>
        <w:t xml:space="preserve"> </w:t>
      </w:r>
      <w:r>
        <w:rPr>
          <w:color w:val="231F20"/>
          <w:sz w:val="24"/>
        </w:rPr>
        <w:t>January</w:t>
      </w:r>
      <w:r>
        <w:rPr>
          <w:color w:val="231F20"/>
          <w:spacing w:val="-6"/>
          <w:sz w:val="24"/>
        </w:rPr>
        <w:t xml:space="preserve"> </w:t>
      </w:r>
      <w:r>
        <w:rPr>
          <w:color w:val="231F20"/>
          <w:sz w:val="24"/>
        </w:rPr>
        <w:t>2023.</w:t>
      </w:r>
      <w:r>
        <w:rPr>
          <w:color w:val="231F20"/>
          <w:spacing w:val="-6"/>
          <w:sz w:val="24"/>
        </w:rPr>
        <w:t xml:space="preserve"> </w:t>
      </w:r>
      <w:r>
        <w:rPr>
          <w:color w:val="231F20"/>
          <w:sz w:val="24"/>
        </w:rPr>
        <w:t>Victoria</w:t>
      </w:r>
      <w:r>
        <w:rPr>
          <w:color w:val="231F20"/>
          <w:spacing w:val="-7"/>
          <w:sz w:val="24"/>
        </w:rPr>
        <w:t xml:space="preserve"> </w:t>
      </w:r>
      <w:r>
        <w:rPr>
          <w:color w:val="231F20"/>
          <w:sz w:val="24"/>
        </w:rPr>
        <w:t>Police</w:t>
      </w:r>
      <w:r>
        <w:rPr>
          <w:color w:val="231F20"/>
          <w:spacing w:val="-7"/>
          <w:sz w:val="24"/>
        </w:rPr>
        <w:t xml:space="preserve"> </w:t>
      </w:r>
      <w:r>
        <w:rPr>
          <w:color w:val="231F20"/>
          <w:sz w:val="24"/>
        </w:rPr>
        <w:t>will</w:t>
      </w:r>
      <w:r>
        <w:rPr>
          <w:color w:val="231F20"/>
          <w:spacing w:val="-7"/>
          <w:sz w:val="24"/>
        </w:rPr>
        <w:t xml:space="preserve"> </w:t>
      </w:r>
      <w:r>
        <w:rPr>
          <w:color w:val="231F20"/>
          <w:sz w:val="24"/>
        </w:rPr>
        <w:t>not early adopt the standard.</w:t>
      </w:r>
    </w:p>
    <w:p w14:paraId="25690B6F" w14:textId="77777777" w:rsidR="00345EE3" w:rsidRDefault="00345EE3" w:rsidP="00C84B1F">
      <w:pPr>
        <w:pStyle w:val="BodyText"/>
        <w:spacing w:line="242" w:lineRule="auto"/>
      </w:pPr>
      <w:r>
        <w:rPr>
          <w:color w:val="231F20"/>
        </w:rPr>
        <w:t>Victoria</w:t>
      </w:r>
      <w:r>
        <w:rPr>
          <w:color w:val="231F20"/>
          <w:spacing w:val="-9"/>
        </w:rPr>
        <w:t xml:space="preserve"> </w:t>
      </w:r>
      <w:r>
        <w:rPr>
          <w:color w:val="231F20"/>
        </w:rPr>
        <w:t>Police</w:t>
      </w:r>
      <w:r>
        <w:rPr>
          <w:color w:val="231F20"/>
          <w:spacing w:val="-9"/>
        </w:rPr>
        <w:t xml:space="preserve"> </w:t>
      </w:r>
      <w:r>
        <w:rPr>
          <w:color w:val="231F20"/>
        </w:rPr>
        <w:t>is</w:t>
      </w:r>
      <w:r>
        <w:rPr>
          <w:color w:val="231F20"/>
          <w:spacing w:val="-8"/>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process</w:t>
      </w:r>
      <w:r>
        <w:rPr>
          <w:color w:val="231F20"/>
          <w:spacing w:val="-8"/>
        </w:rPr>
        <w:t xml:space="preserve"> </w:t>
      </w:r>
      <w:r>
        <w:rPr>
          <w:color w:val="231F20"/>
        </w:rPr>
        <w:t>of</w:t>
      </w:r>
      <w:r>
        <w:rPr>
          <w:color w:val="231F20"/>
          <w:spacing w:val="-8"/>
        </w:rPr>
        <w:t xml:space="preserve"> </w:t>
      </w:r>
      <w:r>
        <w:rPr>
          <w:color w:val="231F20"/>
        </w:rPr>
        <w:t>analysing</w:t>
      </w:r>
      <w:r>
        <w:rPr>
          <w:color w:val="231F20"/>
          <w:spacing w:val="-9"/>
        </w:rPr>
        <w:t xml:space="preserve"> </w:t>
      </w:r>
      <w:r>
        <w:rPr>
          <w:color w:val="231F20"/>
        </w:rPr>
        <w:t>the</w:t>
      </w:r>
      <w:r>
        <w:rPr>
          <w:color w:val="231F20"/>
          <w:spacing w:val="-9"/>
        </w:rPr>
        <w:t xml:space="preserve"> </w:t>
      </w:r>
      <w:r>
        <w:rPr>
          <w:color w:val="231F20"/>
        </w:rPr>
        <w:t>impacts</w:t>
      </w:r>
      <w:r>
        <w:rPr>
          <w:color w:val="231F20"/>
          <w:spacing w:val="-8"/>
        </w:rPr>
        <w:t xml:space="preserve"> </w:t>
      </w:r>
      <w:r>
        <w:rPr>
          <w:color w:val="231F20"/>
        </w:rPr>
        <w:t>of</w:t>
      </w:r>
      <w:r>
        <w:rPr>
          <w:color w:val="231F20"/>
          <w:spacing w:val="-8"/>
        </w:rPr>
        <w:t xml:space="preserve"> </w:t>
      </w:r>
      <w:r>
        <w:rPr>
          <w:color w:val="231F20"/>
        </w:rPr>
        <w:t>this</w:t>
      </w:r>
      <w:r>
        <w:rPr>
          <w:color w:val="231F20"/>
          <w:spacing w:val="-8"/>
        </w:rPr>
        <w:t xml:space="preserve"> </w:t>
      </w:r>
      <w:r>
        <w:rPr>
          <w:color w:val="231F20"/>
        </w:rPr>
        <w:t>standard.</w:t>
      </w:r>
      <w:r>
        <w:rPr>
          <w:color w:val="231F20"/>
          <w:spacing w:val="-8"/>
        </w:rPr>
        <w:t xml:space="preserve"> </w:t>
      </w:r>
      <w:r>
        <w:rPr>
          <w:color w:val="231F20"/>
        </w:rPr>
        <w:t>However,</w:t>
      </w:r>
      <w:r>
        <w:rPr>
          <w:color w:val="231F20"/>
          <w:spacing w:val="-8"/>
        </w:rPr>
        <w:t xml:space="preserve"> </w:t>
      </w:r>
      <w:r>
        <w:rPr>
          <w:color w:val="231F20"/>
        </w:rPr>
        <w:t>it</w:t>
      </w:r>
      <w:r>
        <w:rPr>
          <w:color w:val="231F20"/>
          <w:spacing w:val="-8"/>
        </w:rPr>
        <w:t xml:space="preserve"> </w:t>
      </w:r>
      <w:r>
        <w:rPr>
          <w:color w:val="231F20"/>
        </w:rPr>
        <w:t>is</w:t>
      </w:r>
      <w:r>
        <w:rPr>
          <w:color w:val="231F20"/>
          <w:spacing w:val="-8"/>
        </w:rPr>
        <w:t xml:space="preserve"> </w:t>
      </w:r>
      <w:r>
        <w:rPr>
          <w:color w:val="231F20"/>
        </w:rPr>
        <w:t>not anticipated to have a material impact.</w:t>
      </w:r>
    </w:p>
    <w:p w14:paraId="49E87492" w14:textId="77777777" w:rsidR="00345EE3" w:rsidRDefault="00345EE3" w:rsidP="00345EE3">
      <w:pPr>
        <w:pStyle w:val="BodyText"/>
        <w:spacing w:before="116" w:line="242" w:lineRule="auto"/>
      </w:pPr>
      <w:r>
        <w:rPr>
          <w:color w:val="231F20"/>
        </w:rPr>
        <w:t>Several other amending standards and AASB interpretations have been issued that apply to future</w:t>
      </w:r>
      <w:r>
        <w:rPr>
          <w:color w:val="231F20"/>
          <w:spacing w:val="-10"/>
        </w:rPr>
        <w:t xml:space="preserve"> </w:t>
      </w:r>
      <w:r>
        <w:rPr>
          <w:color w:val="231F20"/>
        </w:rPr>
        <w:t>reporting</w:t>
      </w:r>
      <w:r>
        <w:rPr>
          <w:color w:val="231F20"/>
          <w:spacing w:val="-10"/>
        </w:rPr>
        <w:t xml:space="preserve"> </w:t>
      </w:r>
      <w:r>
        <w:rPr>
          <w:color w:val="231F20"/>
        </w:rPr>
        <w:t>periods,</w:t>
      </w:r>
      <w:r>
        <w:rPr>
          <w:color w:val="231F20"/>
          <w:spacing w:val="-9"/>
        </w:rPr>
        <w:t xml:space="preserve"> </w:t>
      </w:r>
      <w:r>
        <w:rPr>
          <w:color w:val="231F20"/>
        </w:rPr>
        <w:t>but</w:t>
      </w:r>
      <w:r>
        <w:rPr>
          <w:color w:val="231F20"/>
          <w:spacing w:val="-9"/>
        </w:rPr>
        <w:t xml:space="preserve"> </w:t>
      </w:r>
      <w:r>
        <w:rPr>
          <w:color w:val="231F20"/>
        </w:rPr>
        <w:t>are</w:t>
      </w:r>
      <w:r>
        <w:rPr>
          <w:color w:val="231F20"/>
          <w:spacing w:val="-10"/>
        </w:rPr>
        <w:t xml:space="preserve"> </w:t>
      </w:r>
      <w:r>
        <w:rPr>
          <w:color w:val="231F20"/>
        </w:rPr>
        <w:t>considered</w:t>
      </w:r>
      <w:r>
        <w:rPr>
          <w:color w:val="231F20"/>
          <w:spacing w:val="-10"/>
        </w:rPr>
        <w:t xml:space="preserve"> </w:t>
      </w:r>
      <w:r>
        <w:rPr>
          <w:color w:val="231F20"/>
        </w:rPr>
        <w:t>to</w:t>
      </w:r>
      <w:r>
        <w:rPr>
          <w:color w:val="231F20"/>
          <w:spacing w:val="-10"/>
        </w:rPr>
        <w:t xml:space="preserve"> </w:t>
      </w:r>
      <w:r>
        <w:rPr>
          <w:color w:val="231F20"/>
        </w:rPr>
        <w:t>have</w:t>
      </w:r>
      <w:r>
        <w:rPr>
          <w:color w:val="231F20"/>
          <w:spacing w:val="-10"/>
        </w:rPr>
        <w:t xml:space="preserve"> </w:t>
      </w:r>
      <w:r>
        <w:rPr>
          <w:color w:val="231F20"/>
        </w:rPr>
        <w:t>limited</w:t>
      </w:r>
      <w:r>
        <w:rPr>
          <w:color w:val="231F20"/>
          <w:spacing w:val="-10"/>
        </w:rPr>
        <w:t xml:space="preserve"> </w:t>
      </w:r>
      <w:r>
        <w:rPr>
          <w:color w:val="231F20"/>
        </w:rPr>
        <w:t>impact</w:t>
      </w:r>
      <w:r>
        <w:rPr>
          <w:color w:val="231F20"/>
          <w:spacing w:val="-9"/>
        </w:rPr>
        <w:t xml:space="preserve"> </w:t>
      </w:r>
      <w:r>
        <w:rPr>
          <w:color w:val="231F20"/>
        </w:rPr>
        <w:t>on</w:t>
      </w:r>
      <w:r>
        <w:rPr>
          <w:color w:val="231F20"/>
          <w:spacing w:val="-10"/>
        </w:rPr>
        <w:t xml:space="preserve"> </w:t>
      </w:r>
      <w:r>
        <w:rPr>
          <w:color w:val="231F20"/>
        </w:rPr>
        <w:t>Victoria</w:t>
      </w:r>
      <w:r>
        <w:rPr>
          <w:color w:val="231F20"/>
          <w:spacing w:val="-10"/>
        </w:rPr>
        <w:t xml:space="preserve"> </w:t>
      </w:r>
      <w:r>
        <w:rPr>
          <w:color w:val="231F20"/>
        </w:rPr>
        <w:t>Police’s</w:t>
      </w:r>
      <w:r>
        <w:rPr>
          <w:color w:val="231F20"/>
          <w:spacing w:val="-9"/>
        </w:rPr>
        <w:t xml:space="preserve"> </w:t>
      </w:r>
      <w:r>
        <w:rPr>
          <w:color w:val="231F20"/>
        </w:rPr>
        <w:t>reporting.</w:t>
      </w:r>
    </w:p>
    <w:p w14:paraId="75CCD74F" w14:textId="77777777" w:rsidR="00345EE3" w:rsidRDefault="00345EE3">
      <w:pPr>
        <w:pStyle w:val="ListParagraph"/>
        <w:numPr>
          <w:ilvl w:val="2"/>
          <w:numId w:val="5"/>
        </w:numPr>
        <w:tabs>
          <w:tab w:val="left" w:pos="393"/>
          <w:tab w:val="left" w:pos="394"/>
        </w:tabs>
        <w:spacing w:before="115"/>
        <w:rPr>
          <w:i/>
          <w:sz w:val="24"/>
        </w:rPr>
      </w:pPr>
      <w:r>
        <w:rPr>
          <w:color w:val="231F20"/>
          <w:spacing w:val="-2"/>
          <w:sz w:val="24"/>
        </w:rPr>
        <w:t>AASB</w:t>
      </w:r>
      <w:r>
        <w:rPr>
          <w:color w:val="231F20"/>
          <w:spacing w:val="-11"/>
          <w:sz w:val="24"/>
        </w:rPr>
        <w:t xml:space="preserve"> </w:t>
      </w:r>
      <w:r>
        <w:rPr>
          <w:color w:val="231F20"/>
          <w:spacing w:val="-2"/>
          <w:sz w:val="24"/>
        </w:rPr>
        <w:t>17</w:t>
      </w:r>
      <w:r>
        <w:rPr>
          <w:color w:val="231F20"/>
          <w:spacing w:val="-9"/>
          <w:sz w:val="24"/>
        </w:rPr>
        <w:t xml:space="preserve"> </w:t>
      </w:r>
      <w:r>
        <w:rPr>
          <w:i/>
          <w:color w:val="231F20"/>
          <w:spacing w:val="-2"/>
          <w:sz w:val="24"/>
        </w:rPr>
        <w:t>Insurance</w:t>
      </w:r>
      <w:r>
        <w:rPr>
          <w:i/>
          <w:color w:val="231F20"/>
          <w:spacing w:val="-14"/>
          <w:sz w:val="24"/>
        </w:rPr>
        <w:t xml:space="preserve"> </w:t>
      </w:r>
      <w:r>
        <w:rPr>
          <w:i/>
          <w:color w:val="231F20"/>
          <w:spacing w:val="-2"/>
          <w:sz w:val="24"/>
        </w:rPr>
        <w:t>Contracts</w:t>
      </w:r>
    </w:p>
    <w:p w14:paraId="4E6CDC79" w14:textId="77777777" w:rsidR="00345EE3" w:rsidRDefault="00345EE3">
      <w:pPr>
        <w:pStyle w:val="ListParagraph"/>
        <w:numPr>
          <w:ilvl w:val="2"/>
          <w:numId w:val="5"/>
        </w:numPr>
        <w:tabs>
          <w:tab w:val="left" w:pos="393"/>
          <w:tab w:val="left" w:pos="394"/>
        </w:tabs>
        <w:spacing w:before="33" w:line="242" w:lineRule="auto"/>
        <w:ind w:right="325"/>
        <w:rPr>
          <w:i/>
          <w:sz w:val="24"/>
        </w:rPr>
      </w:pPr>
      <w:r>
        <w:rPr>
          <w:color w:val="231F20"/>
          <w:spacing w:val="-4"/>
          <w:sz w:val="24"/>
        </w:rPr>
        <w:t xml:space="preserve">AASB 2020–3 </w:t>
      </w:r>
      <w:r>
        <w:rPr>
          <w:i/>
          <w:color w:val="231F20"/>
          <w:spacing w:val="-4"/>
          <w:sz w:val="24"/>
        </w:rPr>
        <w:t>Amendments</w:t>
      </w:r>
      <w:r>
        <w:rPr>
          <w:i/>
          <w:color w:val="231F20"/>
          <w:spacing w:val="-12"/>
          <w:sz w:val="24"/>
        </w:rPr>
        <w:t xml:space="preserve"> </w:t>
      </w:r>
      <w:r>
        <w:rPr>
          <w:i/>
          <w:color w:val="231F20"/>
          <w:spacing w:val="-4"/>
          <w:sz w:val="24"/>
        </w:rPr>
        <w:t>to</w:t>
      </w:r>
      <w:r>
        <w:rPr>
          <w:i/>
          <w:color w:val="231F20"/>
          <w:spacing w:val="-12"/>
          <w:sz w:val="24"/>
        </w:rPr>
        <w:t xml:space="preserve"> </w:t>
      </w:r>
      <w:r>
        <w:rPr>
          <w:i/>
          <w:color w:val="231F20"/>
          <w:spacing w:val="-4"/>
          <w:sz w:val="24"/>
        </w:rPr>
        <w:t>Australian</w:t>
      </w:r>
      <w:r>
        <w:rPr>
          <w:i/>
          <w:color w:val="231F20"/>
          <w:spacing w:val="-12"/>
          <w:sz w:val="24"/>
        </w:rPr>
        <w:t xml:space="preserve"> </w:t>
      </w:r>
      <w:r>
        <w:rPr>
          <w:i/>
          <w:color w:val="231F20"/>
          <w:spacing w:val="-4"/>
          <w:sz w:val="24"/>
        </w:rPr>
        <w:t>Accounting</w:t>
      </w:r>
      <w:r>
        <w:rPr>
          <w:i/>
          <w:color w:val="231F20"/>
          <w:spacing w:val="-12"/>
          <w:sz w:val="24"/>
        </w:rPr>
        <w:t xml:space="preserve"> </w:t>
      </w:r>
      <w:r>
        <w:rPr>
          <w:i/>
          <w:color w:val="231F20"/>
          <w:spacing w:val="-4"/>
          <w:sz w:val="24"/>
        </w:rPr>
        <w:t>Standards</w:t>
      </w:r>
      <w:r>
        <w:rPr>
          <w:i/>
          <w:color w:val="231F20"/>
          <w:spacing w:val="-12"/>
          <w:sz w:val="24"/>
        </w:rPr>
        <w:t xml:space="preserve"> </w:t>
      </w:r>
      <w:r>
        <w:rPr>
          <w:i/>
          <w:color w:val="231F20"/>
          <w:spacing w:val="-4"/>
          <w:sz w:val="24"/>
        </w:rPr>
        <w:t>–</w:t>
      </w:r>
      <w:r>
        <w:rPr>
          <w:i/>
          <w:color w:val="231F20"/>
          <w:spacing w:val="-12"/>
          <w:sz w:val="24"/>
        </w:rPr>
        <w:t xml:space="preserve"> </w:t>
      </w:r>
      <w:r>
        <w:rPr>
          <w:i/>
          <w:color w:val="231F20"/>
          <w:spacing w:val="-4"/>
          <w:sz w:val="24"/>
        </w:rPr>
        <w:t>Annual</w:t>
      </w:r>
      <w:r>
        <w:rPr>
          <w:i/>
          <w:color w:val="231F20"/>
          <w:spacing w:val="-12"/>
          <w:sz w:val="24"/>
        </w:rPr>
        <w:t xml:space="preserve"> </w:t>
      </w:r>
      <w:r>
        <w:rPr>
          <w:i/>
          <w:color w:val="231F20"/>
          <w:spacing w:val="-4"/>
          <w:sz w:val="24"/>
        </w:rPr>
        <w:t>Improvements</w:t>
      </w:r>
      <w:r>
        <w:rPr>
          <w:i/>
          <w:color w:val="231F20"/>
          <w:spacing w:val="-12"/>
          <w:sz w:val="24"/>
        </w:rPr>
        <w:t xml:space="preserve"> </w:t>
      </w:r>
      <w:r>
        <w:rPr>
          <w:i/>
          <w:color w:val="231F20"/>
          <w:spacing w:val="-4"/>
          <w:sz w:val="24"/>
        </w:rPr>
        <w:t xml:space="preserve">2018- </w:t>
      </w:r>
      <w:r>
        <w:rPr>
          <w:i/>
          <w:color w:val="231F20"/>
          <w:sz w:val="24"/>
        </w:rPr>
        <w:t>2020 and Other Amendments</w:t>
      </w:r>
    </w:p>
    <w:p w14:paraId="4152E1A7" w14:textId="77777777" w:rsidR="00345EE3" w:rsidRDefault="00345EE3">
      <w:pPr>
        <w:pStyle w:val="ListParagraph"/>
        <w:numPr>
          <w:ilvl w:val="2"/>
          <w:numId w:val="5"/>
        </w:numPr>
        <w:tabs>
          <w:tab w:val="left" w:pos="393"/>
          <w:tab w:val="left" w:pos="394"/>
        </w:tabs>
        <w:spacing w:before="31" w:line="242" w:lineRule="auto"/>
        <w:ind w:right="699"/>
        <w:rPr>
          <w:i/>
          <w:sz w:val="24"/>
        </w:rPr>
      </w:pPr>
      <w:r>
        <w:rPr>
          <w:color w:val="231F20"/>
          <w:spacing w:val="-4"/>
          <w:sz w:val="24"/>
        </w:rPr>
        <w:t xml:space="preserve">AASB 2021–2 </w:t>
      </w:r>
      <w:r>
        <w:rPr>
          <w:i/>
          <w:color w:val="231F20"/>
          <w:spacing w:val="-4"/>
          <w:sz w:val="24"/>
        </w:rPr>
        <w:t>Amendments</w:t>
      </w:r>
      <w:r>
        <w:rPr>
          <w:i/>
          <w:color w:val="231F20"/>
          <w:spacing w:val="-12"/>
          <w:sz w:val="24"/>
        </w:rPr>
        <w:t xml:space="preserve"> </w:t>
      </w:r>
      <w:r>
        <w:rPr>
          <w:i/>
          <w:color w:val="231F20"/>
          <w:spacing w:val="-4"/>
          <w:sz w:val="24"/>
        </w:rPr>
        <w:t>to</w:t>
      </w:r>
      <w:r>
        <w:rPr>
          <w:i/>
          <w:color w:val="231F20"/>
          <w:spacing w:val="-12"/>
          <w:sz w:val="24"/>
        </w:rPr>
        <w:t xml:space="preserve"> </w:t>
      </w:r>
      <w:r>
        <w:rPr>
          <w:i/>
          <w:color w:val="231F20"/>
          <w:spacing w:val="-4"/>
          <w:sz w:val="24"/>
        </w:rPr>
        <w:t>Australian</w:t>
      </w:r>
      <w:r>
        <w:rPr>
          <w:i/>
          <w:color w:val="231F20"/>
          <w:spacing w:val="-12"/>
          <w:sz w:val="24"/>
        </w:rPr>
        <w:t xml:space="preserve"> </w:t>
      </w:r>
      <w:r>
        <w:rPr>
          <w:i/>
          <w:color w:val="231F20"/>
          <w:spacing w:val="-4"/>
          <w:sz w:val="24"/>
        </w:rPr>
        <w:t>Accounting</w:t>
      </w:r>
      <w:r>
        <w:rPr>
          <w:i/>
          <w:color w:val="231F20"/>
          <w:spacing w:val="-12"/>
          <w:sz w:val="24"/>
        </w:rPr>
        <w:t xml:space="preserve"> </w:t>
      </w:r>
      <w:r>
        <w:rPr>
          <w:i/>
          <w:color w:val="231F20"/>
          <w:spacing w:val="-4"/>
          <w:sz w:val="24"/>
        </w:rPr>
        <w:t>Standards</w:t>
      </w:r>
      <w:r>
        <w:rPr>
          <w:i/>
          <w:color w:val="231F20"/>
          <w:spacing w:val="-12"/>
          <w:sz w:val="24"/>
        </w:rPr>
        <w:t xml:space="preserve"> </w:t>
      </w:r>
      <w:r>
        <w:rPr>
          <w:i/>
          <w:color w:val="231F20"/>
          <w:spacing w:val="-4"/>
          <w:sz w:val="24"/>
        </w:rPr>
        <w:t>–</w:t>
      </w:r>
      <w:r>
        <w:rPr>
          <w:i/>
          <w:color w:val="231F20"/>
          <w:spacing w:val="-12"/>
          <w:sz w:val="24"/>
        </w:rPr>
        <w:t xml:space="preserve"> </w:t>
      </w:r>
      <w:r>
        <w:rPr>
          <w:i/>
          <w:color w:val="231F20"/>
          <w:spacing w:val="-4"/>
          <w:sz w:val="24"/>
        </w:rPr>
        <w:t>Disclosure</w:t>
      </w:r>
      <w:r>
        <w:rPr>
          <w:i/>
          <w:color w:val="231F20"/>
          <w:spacing w:val="-12"/>
          <w:sz w:val="24"/>
        </w:rPr>
        <w:t xml:space="preserve"> </w:t>
      </w:r>
      <w:r>
        <w:rPr>
          <w:i/>
          <w:color w:val="231F20"/>
          <w:spacing w:val="-4"/>
          <w:sz w:val="24"/>
        </w:rPr>
        <w:t>of</w:t>
      </w:r>
      <w:r>
        <w:rPr>
          <w:i/>
          <w:color w:val="231F20"/>
          <w:spacing w:val="-12"/>
          <w:sz w:val="24"/>
        </w:rPr>
        <w:t xml:space="preserve"> </w:t>
      </w:r>
      <w:r>
        <w:rPr>
          <w:i/>
          <w:color w:val="231F20"/>
          <w:spacing w:val="-4"/>
          <w:sz w:val="24"/>
        </w:rPr>
        <w:t xml:space="preserve">Accounting </w:t>
      </w:r>
      <w:r>
        <w:rPr>
          <w:i/>
          <w:color w:val="231F20"/>
          <w:sz w:val="24"/>
        </w:rPr>
        <w:t>Policies</w:t>
      </w:r>
      <w:r>
        <w:rPr>
          <w:i/>
          <w:color w:val="231F20"/>
          <w:spacing w:val="-17"/>
          <w:sz w:val="24"/>
        </w:rPr>
        <w:t xml:space="preserve"> </w:t>
      </w:r>
      <w:r>
        <w:rPr>
          <w:i/>
          <w:color w:val="231F20"/>
          <w:sz w:val="24"/>
        </w:rPr>
        <w:t>and</w:t>
      </w:r>
      <w:r>
        <w:rPr>
          <w:i/>
          <w:color w:val="231F20"/>
          <w:spacing w:val="-17"/>
          <w:sz w:val="24"/>
        </w:rPr>
        <w:t xml:space="preserve"> </w:t>
      </w:r>
      <w:r>
        <w:rPr>
          <w:i/>
          <w:color w:val="231F20"/>
          <w:sz w:val="24"/>
        </w:rPr>
        <w:t>Definitions</w:t>
      </w:r>
      <w:r>
        <w:rPr>
          <w:i/>
          <w:color w:val="231F20"/>
          <w:spacing w:val="-16"/>
          <w:sz w:val="24"/>
        </w:rPr>
        <w:t xml:space="preserve"> </w:t>
      </w:r>
      <w:r>
        <w:rPr>
          <w:i/>
          <w:color w:val="231F20"/>
          <w:sz w:val="24"/>
        </w:rPr>
        <w:t>of</w:t>
      </w:r>
      <w:r>
        <w:rPr>
          <w:i/>
          <w:color w:val="231F20"/>
          <w:spacing w:val="-17"/>
          <w:sz w:val="24"/>
        </w:rPr>
        <w:t xml:space="preserve"> </w:t>
      </w:r>
      <w:r>
        <w:rPr>
          <w:i/>
          <w:color w:val="231F20"/>
          <w:sz w:val="24"/>
        </w:rPr>
        <w:t>Accounting</w:t>
      </w:r>
      <w:r>
        <w:rPr>
          <w:i/>
          <w:color w:val="231F20"/>
          <w:spacing w:val="-17"/>
          <w:sz w:val="24"/>
        </w:rPr>
        <w:t xml:space="preserve"> </w:t>
      </w:r>
      <w:r>
        <w:rPr>
          <w:i/>
          <w:color w:val="231F20"/>
          <w:sz w:val="24"/>
        </w:rPr>
        <w:t>Estimates</w:t>
      </w:r>
    </w:p>
    <w:p w14:paraId="23A79963" w14:textId="77777777" w:rsidR="00345EE3" w:rsidRDefault="00345EE3">
      <w:pPr>
        <w:pStyle w:val="ListParagraph"/>
        <w:numPr>
          <w:ilvl w:val="2"/>
          <w:numId w:val="5"/>
        </w:numPr>
        <w:tabs>
          <w:tab w:val="left" w:pos="393"/>
          <w:tab w:val="left" w:pos="394"/>
        </w:tabs>
        <w:spacing w:before="30" w:line="242" w:lineRule="auto"/>
        <w:ind w:right="135"/>
        <w:rPr>
          <w:i/>
          <w:sz w:val="24"/>
        </w:rPr>
      </w:pPr>
      <w:r>
        <w:rPr>
          <w:color w:val="231F20"/>
          <w:spacing w:val="-4"/>
          <w:sz w:val="24"/>
        </w:rPr>
        <w:t>AASB 2021–5</w:t>
      </w:r>
      <w:r>
        <w:rPr>
          <w:color w:val="231F20"/>
          <w:spacing w:val="-5"/>
          <w:sz w:val="24"/>
        </w:rPr>
        <w:t xml:space="preserve"> </w:t>
      </w:r>
      <w:r>
        <w:rPr>
          <w:i/>
          <w:color w:val="231F20"/>
          <w:spacing w:val="-4"/>
          <w:sz w:val="24"/>
        </w:rPr>
        <w:t>Amendments</w:t>
      </w:r>
      <w:r>
        <w:rPr>
          <w:i/>
          <w:color w:val="231F20"/>
          <w:spacing w:val="-13"/>
          <w:sz w:val="24"/>
        </w:rPr>
        <w:t xml:space="preserve"> </w:t>
      </w:r>
      <w:r>
        <w:rPr>
          <w:i/>
          <w:color w:val="231F20"/>
          <w:spacing w:val="-4"/>
          <w:sz w:val="24"/>
        </w:rPr>
        <w:t>to</w:t>
      </w:r>
      <w:r>
        <w:rPr>
          <w:i/>
          <w:color w:val="231F20"/>
          <w:spacing w:val="-12"/>
          <w:sz w:val="24"/>
        </w:rPr>
        <w:t xml:space="preserve"> </w:t>
      </w:r>
      <w:r>
        <w:rPr>
          <w:i/>
          <w:color w:val="231F20"/>
          <w:spacing w:val="-4"/>
          <w:sz w:val="24"/>
        </w:rPr>
        <w:t>Australian</w:t>
      </w:r>
      <w:r>
        <w:rPr>
          <w:i/>
          <w:color w:val="231F20"/>
          <w:spacing w:val="-13"/>
          <w:sz w:val="24"/>
        </w:rPr>
        <w:t xml:space="preserve"> </w:t>
      </w:r>
      <w:r>
        <w:rPr>
          <w:i/>
          <w:color w:val="231F20"/>
          <w:spacing w:val="-4"/>
          <w:sz w:val="24"/>
        </w:rPr>
        <w:t>Accounting</w:t>
      </w:r>
      <w:r>
        <w:rPr>
          <w:i/>
          <w:color w:val="231F20"/>
          <w:spacing w:val="-12"/>
          <w:sz w:val="24"/>
        </w:rPr>
        <w:t xml:space="preserve"> </w:t>
      </w:r>
      <w:r>
        <w:rPr>
          <w:i/>
          <w:color w:val="231F20"/>
          <w:spacing w:val="-4"/>
          <w:sz w:val="24"/>
        </w:rPr>
        <w:t>Standards</w:t>
      </w:r>
      <w:r>
        <w:rPr>
          <w:i/>
          <w:color w:val="231F20"/>
          <w:spacing w:val="-13"/>
          <w:sz w:val="24"/>
        </w:rPr>
        <w:t xml:space="preserve"> </w:t>
      </w:r>
      <w:r>
        <w:rPr>
          <w:i/>
          <w:color w:val="231F20"/>
          <w:spacing w:val="-4"/>
          <w:sz w:val="24"/>
        </w:rPr>
        <w:t>–</w:t>
      </w:r>
      <w:r>
        <w:rPr>
          <w:i/>
          <w:color w:val="231F20"/>
          <w:spacing w:val="-12"/>
          <w:sz w:val="24"/>
        </w:rPr>
        <w:t xml:space="preserve"> </w:t>
      </w:r>
      <w:r>
        <w:rPr>
          <w:i/>
          <w:color w:val="231F20"/>
          <w:spacing w:val="-4"/>
          <w:sz w:val="24"/>
        </w:rPr>
        <w:t>Deferred</w:t>
      </w:r>
      <w:r>
        <w:rPr>
          <w:i/>
          <w:color w:val="231F20"/>
          <w:spacing w:val="-13"/>
          <w:sz w:val="24"/>
        </w:rPr>
        <w:t xml:space="preserve"> </w:t>
      </w:r>
      <w:r>
        <w:rPr>
          <w:i/>
          <w:color w:val="231F20"/>
          <w:spacing w:val="-4"/>
          <w:sz w:val="24"/>
        </w:rPr>
        <w:t>Tax</w:t>
      </w:r>
      <w:r>
        <w:rPr>
          <w:i/>
          <w:color w:val="231F20"/>
          <w:spacing w:val="-12"/>
          <w:sz w:val="24"/>
        </w:rPr>
        <w:t xml:space="preserve"> </w:t>
      </w:r>
      <w:r>
        <w:rPr>
          <w:i/>
          <w:color w:val="231F20"/>
          <w:spacing w:val="-4"/>
          <w:sz w:val="24"/>
        </w:rPr>
        <w:t>related</w:t>
      </w:r>
      <w:r>
        <w:rPr>
          <w:i/>
          <w:color w:val="231F20"/>
          <w:spacing w:val="-13"/>
          <w:sz w:val="24"/>
        </w:rPr>
        <w:t xml:space="preserve"> </w:t>
      </w:r>
      <w:r>
        <w:rPr>
          <w:i/>
          <w:color w:val="231F20"/>
          <w:spacing w:val="-4"/>
          <w:sz w:val="24"/>
        </w:rPr>
        <w:t>to</w:t>
      </w:r>
      <w:r>
        <w:rPr>
          <w:i/>
          <w:color w:val="231F20"/>
          <w:spacing w:val="-12"/>
          <w:sz w:val="24"/>
        </w:rPr>
        <w:t xml:space="preserve"> </w:t>
      </w:r>
      <w:r>
        <w:rPr>
          <w:i/>
          <w:color w:val="231F20"/>
          <w:spacing w:val="-4"/>
          <w:sz w:val="24"/>
        </w:rPr>
        <w:t xml:space="preserve">Assets </w:t>
      </w:r>
      <w:r>
        <w:rPr>
          <w:i/>
          <w:color w:val="231F20"/>
          <w:sz w:val="24"/>
        </w:rPr>
        <w:t>and</w:t>
      </w:r>
      <w:r>
        <w:rPr>
          <w:i/>
          <w:color w:val="231F20"/>
          <w:spacing w:val="-17"/>
          <w:sz w:val="24"/>
        </w:rPr>
        <w:t xml:space="preserve"> </w:t>
      </w:r>
      <w:r>
        <w:rPr>
          <w:i/>
          <w:color w:val="231F20"/>
          <w:sz w:val="24"/>
        </w:rPr>
        <w:t>Liabilities</w:t>
      </w:r>
      <w:r>
        <w:rPr>
          <w:i/>
          <w:color w:val="231F20"/>
          <w:spacing w:val="-17"/>
          <w:sz w:val="24"/>
        </w:rPr>
        <w:t xml:space="preserve"> </w:t>
      </w:r>
      <w:r>
        <w:rPr>
          <w:i/>
          <w:color w:val="231F20"/>
          <w:sz w:val="24"/>
        </w:rPr>
        <w:t>arising</w:t>
      </w:r>
      <w:r>
        <w:rPr>
          <w:i/>
          <w:color w:val="231F20"/>
          <w:spacing w:val="-16"/>
          <w:sz w:val="24"/>
        </w:rPr>
        <w:t xml:space="preserve"> </w:t>
      </w:r>
      <w:r>
        <w:rPr>
          <w:i/>
          <w:color w:val="231F20"/>
          <w:sz w:val="24"/>
        </w:rPr>
        <w:t>from</w:t>
      </w:r>
      <w:r>
        <w:rPr>
          <w:i/>
          <w:color w:val="231F20"/>
          <w:spacing w:val="-17"/>
          <w:sz w:val="24"/>
        </w:rPr>
        <w:t xml:space="preserve"> </w:t>
      </w:r>
      <w:r>
        <w:rPr>
          <w:i/>
          <w:color w:val="231F20"/>
          <w:sz w:val="24"/>
        </w:rPr>
        <w:t>a</w:t>
      </w:r>
      <w:r>
        <w:rPr>
          <w:i/>
          <w:color w:val="231F20"/>
          <w:spacing w:val="-17"/>
          <w:sz w:val="24"/>
        </w:rPr>
        <w:t xml:space="preserve"> </w:t>
      </w:r>
      <w:r>
        <w:rPr>
          <w:i/>
          <w:color w:val="231F20"/>
          <w:sz w:val="24"/>
        </w:rPr>
        <w:t>Single</w:t>
      </w:r>
      <w:r>
        <w:rPr>
          <w:i/>
          <w:color w:val="231F20"/>
          <w:spacing w:val="-17"/>
          <w:sz w:val="24"/>
        </w:rPr>
        <w:t xml:space="preserve"> </w:t>
      </w:r>
      <w:r>
        <w:rPr>
          <w:i/>
          <w:color w:val="231F20"/>
          <w:sz w:val="24"/>
        </w:rPr>
        <w:t>Transaction</w:t>
      </w:r>
    </w:p>
    <w:p w14:paraId="6FB43D02" w14:textId="77777777" w:rsidR="00345EE3" w:rsidRDefault="00345EE3">
      <w:pPr>
        <w:pStyle w:val="ListParagraph"/>
        <w:numPr>
          <w:ilvl w:val="2"/>
          <w:numId w:val="5"/>
        </w:numPr>
        <w:tabs>
          <w:tab w:val="left" w:pos="393"/>
          <w:tab w:val="left" w:pos="394"/>
        </w:tabs>
        <w:spacing w:before="31" w:line="242" w:lineRule="auto"/>
        <w:ind w:right="687"/>
        <w:rPr>
          <w:i/>
          <w:sz w:val="24"/>
        </w:rPr>
      </w:pPr>
      <w:r>
        <w:rPr>
          <w:color w:val="231F20"/>
          <w:spacing w:val="-4"/>
          <w:sz w:val="24"/>
        </w:rPr>
        <w:t xml:space="preserve">AASB 2021–6 </w:t>
      </w:r>
      <w:r>
        <w:rPr>
          <w:i/>
          <w:color w:val="231F20"/>
          <w:spacing w:val="-4"/>
          <w:sz w:val="24"/>
        </w:rPr>
        <w:t>Amendments</w:t>
      </w:r>
      <w:r>
        <w:rPr>
          <w:i/>
          <w:color w:val="231F20"/>
          <w:spacing w:val="-11"/>
          <w:sz w:val="24"/>
        </w:rPr>
        <w:t xml:space="preserve"> </w:t>
      </w:r>
      <w:r>
        <w:rPr>
          <w:i/>
          <w:color w:val="231F20"/>
          <w:spacing w:val="-4"/>
          <w:sz w:val="24"/>
        </w:rPr>
        <w:t>to</w:t>
      </w:r>
      <w:r>
        <w:rPr>
          <w:i/>
          <w:color w:val="231F20"/>
          <w:spacing w:val="-11"/>
          <w:sz w:val="24"/>
        </w:rPr>
        <w:t xml:space="preserve"> </w:t>
      </w:r>
      <w:r>
        <w:rPr>
          <w:i/>
          <w:color w:val="231F20"/>
          <w:spacing w:val="-4"/>
          <w:sz w:val="24"/>
        </w:rPr>
        <w:t>Australian</w:t>
      </w:r>
      <w:r>
        <w:rPr>
          <w:i/>
          <w:color w:val="231F20"/>
          <w:spacing w:val="-11"/>
          <w:sz w:val="24"/>
        </w:rPr>
        <w:t xml:space="preserve"> </w:t>
      </w:r>
      <w:r>
        <w:rPr>
          <w:i/>
          <w:color w:val="231F20"/>
          <w:spacing w:val="-4"/>
          <w:sz w:val="24"/>
        </w:rPr>
        <w:t>Accounting</w:t>
      </w:r>
      <w:r>
        <w:rPr>
          <w:i/>
          <w:color w:val="231F20"/>
          <w:spacing w:val="-11"/>
          <w:sz w:val="24"/>
        </w:rPr>
        <w:t xml:space="preserve"> </w:t>
      </w:r>
      <w:r>
        <w:rPr>
          <w:i/>
          <w:color w:val="231F20"/>
          <w:spacing w:val="-4"/>
          <w:sz w:val="24"/>
        </w:rPr>
        <w:t>Standards</w:t>
      </w:r>
      <w:r>
        <w:rPr>
          <w:i/>
          <w:color w:val="231F20"/>
          <w:spacing w:val="-11"/>
          <w:sz w:val="24"/>
        </w:rPr>
        <w:t xml:space="preserve"> </w:t>
      </w:r>
      <w:r>
        <w:rPr>
          <w:i/>
          <w:color w:val="231F20"/>
          <w:spacing w:val="-4"/>
          <w:sz w:val="24"/>
        </w:rPr>
        <w:t>–</w:t>
      </w:r>
      <w:r>
        <w:rPr>
          <w:i/>
          <w:color w:val="231F20"/>
          <w:spacing w:val="-11"/>
          <w:sz w:val="24"/>
        </w:rPr>
        <w:t xml:space="preserve"> </w:t>
      </w:r>
      <w:r>
        <w:rPr>
          <w:i/>
          <w:color w:val="231F20"/>
          <w:spacing w:val="-4"/>
          <w:sz w:val="24"/>
        </w:rPr>
        <w:t>Disclosure</w:t>
      </w:r>
      <w:r>
        <w:rPr>
          <w:i/>
          <w:color w:val="231F20"/>
          <w:spacing w:val="-11"/>
          <w:sz w:val="24"/>
        </w:rPr>
        <w:t xml:space="preserve"> </w:t>
      </w:r>
      <w:r>
        <w:rPr>
          <w:i/>
          <w:color w:val="231F20"/>
          <w:spacing w:val="-4"/>
          <w:sz w:val="24"/>
        </w:rPr>
        <w:t>of</w:t>
      </w:r>
      <w:r>
        <w:rPr>
          <w:i/>
          <w:color w:val="231F20"/>
          <w:spacing w:val="-11"/>
          <w:sz w:val="24"/>
        </w:rPr>
        <w:t xml:space="preserve"> </w:t>
      </w:r>
      <w:r>
        <w:rPr>
          <w:i/>
          <w:color w:val="231F20"/>
          <w:spacing w:val="-4"/>
          <w:sz w:val="24"/>
        </w:rPr>
        <w:t xml:space="preserve">Accounting </w:t>
      </w:r>
      <w:r>
        <w:rPr>
          <w:i/>
          <w:color w:val="231F20"/>
          <w:spacing w:val="-2"/>
          <w:sz w:val="24"/>
        </w:rPr>
        <w:t>Policies:</w:t>
      </w:r>
      <w:r>
        <w:rPr>
          <w:i/>
          <w:color w:val="231F20"/>
          <w:spacing w:val="-14"/>
          <w:sz w:val="24"/>
        </w:rPr>
        <w:t xml:space="preserve"> </w:t>
      </w:r>
      <w:r>
        <w:rPr>
          <w:i/>
          <w:color w:val="231F20"/>
          <w:spacing w:val="-2"/>
          <w:sz w:val="24"/>
        </w:rPr>
        <w:t>Tier</w:t>
      </w:r>
      <w:r>
        <w:rPr>
          <w:i/>
          <w:color w:val="231F20"/>
          <w:spacing w:val="-14"/>
          <w:sz w:val="24"/>
        </w:rPr>
        <w:t xml:space="preserve"> </w:t>
      </w:r>
      <w:r>
        <w:rPr>
          <w:i/>
          <w:color w:val="231F20"/>
          <w:spacing w:val="-2"/>
          <w:sz w:val="24"/>
        </w:rPr>
        <w:t>2</w:t>
      </w:r>
      <w:r>
        <w:rPr>
          <w:i/>
          <w:color w:val="231F20"/>
          <w:spacing w:val="-14"/>
          <w:sz w:val="24"/>
        </w:rPr>
        <w:t xml:space="preserve"> </w:t>
      </w:r>
      <w:r>
        <w:rPr>
          <w:i/>
          <w:color w:val="231F20"/>
          <w:spacing w:val="-2"/>
          <w:sz w:val="24"/>
        </w:rPr>
        <w:t>and</w:t>
      </w:r>
      <w:r>
        <w:rPr>
          <w:i/>
          <w:color w:val="231F20"/>
          <w:spacing w:val="-14"/>
          <w:sz w:val="24"/>
        </w:rPr>
        <w:t xml:space="preserve"> </w:t>
      </w:r>
      <w:r>
        <w:rPr>
          <w:i/>
          <w:color w:val="231F20"/>
          <w:spacing w:val="-2"/>
          <w:sz w:val="24"/>
        </w:rPr>
        <w:t>Other</w:t>
      </w:r>
      <w:r>
        <w:rPr>
          <w:i/>
          <w:color w:val="231F20"/>
          <w:spacing w:val="-14"/>
          <w:sz w:val="24"/>
        </w:rPr>
        <w:t xml:space="preserve"> </w:t>
      </w:r>
      <w:r>
        <w:rPr>
          <w:i/>
          <w:color w:val="231F20"/>
          <w:spacing w:val="-2"/>
          <w:sz w:val="24"/>
        </w:rPr>
        <w:t>Australian</w:t>
      </w:r>
      <w:r>
        <w:rPr>
          <w:i/>
          <w:color w:val="231F20"/>
          <w:spacing w:val="-14"/>
          <w:sz w:val="24"/>
        </w:rPr>
        <w:t xml:space="preserve"> </w:t>
      </w:r>
      <w:r>
        <w:rPr>
          <w:i/>
          <w:color w:val="231F20"/>
          <w:spacing w:val="-2"/>
          <w:sz w:val="24"/>
        </w:rPr>
        <w:t>Accounting</w:t>
      </w:r>
      <w:r>
        <w:rPr>
          <w:i/>
          <w:color w:val="231F20"/>
          <w:spacing w:val="-14"/>
          <w:sz w:val="24"/>
        </w:rPr>
        <w:t xml:space="preserve"> </w:t>
      </w:r>
      <w:r>
        <w:rPr>
          <w:i/>
          <w:color w:val="231F20"/>
          <w:spacing w:val="-2"/>
          <w:sz w:val="24"/>
        </w:rPr>
        <w:t>Standards</w:t>
      </w:r>
      <w:r>
        <w:rPr>
          <w:i/>
          <w:color w:val="231F20"/>
          <w:spacing w:val="-14"/>
          <w:sz w:val="24"/>
        </w:rPr>
        <w:t xml:space="preserve"> </w:t>
      </w:r>
      <w:r>
        <w:rPr>
          <w:i/>
          <w:color w:val="231F20"/>
          <w:spacing w:val="-2"/>
          <w:sz w:val="24"/>
        </w:rPr>
        <w:t>Amendments</w:t>
      </w:r>
    </w:p>
    <w:p w14:paraId="3041A423" w14:textId="4215C025" w:rsidR="00345EE3" w:rsidRPr="00C84B1F" w:rsidRDefault="00345EE3" w:rsidP="00345EE3">
      <w:pPr>
        <w:pStyle w:val="ListParagraph"/>
        <w:numPr>
          <w:ilvl w:val="2"/>
          <w:numId w:val="5"/>
        </w:numPr>
        <w:tabs>
          <w:tab w:val="left" w:pos="393"/>
          <w:tab w:val="left" w:pos="394"/>
        </w:tabs>
        <w:spacing w:before="31" w:line="242" w:lineRule="auto"/>
        <w:ind w:right="134"/>
        <w:rPr>
          <w:i/>
          <w:color w:val="231F20"/>
          <w:sz w:val="24"/>
        </w:rPr>
      </w:pPr>
      <w:r>
        <w:rPr>
          <w:color w:val="231F20"/>
          <w:spacing w:val="-4"/>
          <w:sz w:val="24"/>
        </w:rPr>
        <w:t>AASB</w:t>
      </w:r>
      <w:r>
        <w:rPr>
          <w:color w:val="231F20"/>
          <w:spacing w:val="-5"/>
          <w:sz w:val="24"/>
        </w:rPr>
        <w:t xml:space="preserve"> </w:t>
      </w:r>
      <w:r>
        <w:rPr>
          <w:color w:val="231F20"/>
          <w:spacing w:val="-4"/>
          <w:sz w:val="24"/>
        </w:rPr>
        <w:t>2021–7</w:t>
      </w:r>
      <w:r>
        <w:rPr>
          <w:color w:val="231F20"/>
          <w:spacing w:val="-5"/>
          <w:sz w:val="24"/>
        </w:rPr>
        <w:t xml:space="preserve"> </w:t>
      </w:r>
      <w:r>
        <w:rPr>
          <w:i/>
          <w:color w:val="231F20"/>
          <w:spacing w:val="-4"/>
          <w:sz w:val="24"/>
        </w:rPr>
        <w:t>Amendments</w:t>
      </w:r>
      <w:r>
        <w:rPr>
          <w:i/>
          <w:color w:val="231F20"/>
          <w:spacing w:val="-13"/>
          <w:sz w:val="24"/>
        </w:rPr>
        <w:t xml:space="preserve"> </w:t>
      </w:r>
      <w:r>
        <w:rPr>
          <w:i/>
          <w:color w:val="231F20"/>
          <w:spacing w:val="-4"/>
          <w:sz w:val="24"/>
        </w:rPr>
        <w:t>to</w:t>
      </w:r>
      <w:r>
        <w:rPr>
          <w:i/>
          <w:color w:val="231F20"/>
          <w:spacing w:val="-13"/>
          <w:sz w:val="24"/>
        </w:rPr>
        <w:t xml:space="preserve"> </w:t>
      </w:r>
      <w:r>
        <w:rPr>
          <w:i/>
          <w:color w:val="231F20"/>
          <w:spacing w:val="-4"/>
          <w:sz w:val="24"/>
        </w:rPr>
        <w:t>Australian</w:t>
      </w:r>
      <w:r>
        <w:rPr>
          <w:i/>
          <w:color w:val="231F20"/>
          <w:spacing w:val="-12"/>
          <w:sz w:val="24"/>
        </w:rPr>
        <w:t xml:space="preserve"> </w:t>
      </w:r>
      <w:r>
        <w:rPr>
          <w:i/>
          <w:color w:val="231F20"/>
          <w:spacing w:val="-4"/>
          <w:sz w:val="24"/>
        </w:rPr>
        <w:t>Accounting</w:t>
      </w:r>
      <w:r>
        <w:rPr>
          <w:i/>
          <w:color w:val="231F20"/>
          <w:spacing w:val="-13"/>
          <w:sz w:val="24"/>
        </w:rPr>
        <w:t xml:space="preserve"> </w:t>
      </w:r>
      <w:r>
        <w:rPr>
          <w:i/>
          <w:color w:val="231F20"/>
          <w:spacing w:val="-4"/>
          <w:sz w:val="24"/>
        </w:rPr>
        <w:t>Standards</w:t>
      </w:r>
      <w:r>
        <w:rPr>
          <w:i/>
          <w:color w:val="231F20"/>
          <w:spacing w:val="-13"/>
          <w:sz w:val="24"/>
        </w:rPr>
        <w:t xml:space="preserve"> </w:t>
      </w:r>
      <w:r>
        <w:rPr>
          <w:i/>
          <w:color w:val="231F20"/>
          <w:spacing w:val="-4"/>
          <w:sz w:val="24"/>
        </w:rPr>
        <w:t>–</w:t>
      </w:r>
      <w:r>
        <w:rPr>
          <w:i/>
          <w:color w:val="231F20"/>
          <w:spacing w:val="-12"/>
          <w:sz w:val="24"/>
        </w:rPr>
        <w:t xml:space="preserve"> </w:t>
      </w:r>
      <w:r>
        <w:rPr>
          <w:i/>
          <w:color w:val="231F20"/>
          <w:spacing w:val="-4"/>
          <w:sz w:val="24"/>
        </w:rPr>
        <w:t>Effective</w:t>
      </w:r>
      <w:r>
        <w:rPr>
          <w:i/>
          <w:color w:val="231F20"/>
          <w:spacing w:val="-13"/>
          <w:sz w:val="24"/>
        </w:rPr>
        <w:t xml:space="preserve"> </w:t>
      </w:r>
      <w:r>
        <w:rPr>
          <w:i/>
          <w:color w:val="231F20"/>
          <w:spacing w:val="-4"/>
          <w:sz w:val="24"/>
        </w:rPr>
        <w:t>Date</w:t>
      </w:r>
      <w:r>
        <w:rPr>
          <w:i/>
          <w:color w:val="231F20"/>
          <w:spacing w:val="-13"/>
          <w:sz w:val="24"/>
        </w:rPr>
        <w:t xml:space="preserve"> </w:t>
      </w:r>
      <w:r>
        <w:rPr>
          <w:i/>
          <w:color w:val="231F20"/>
          <w:spacing w:val="-4"/>
          <w:sz w:val="24"/>
        </w:rPr>
        <w:t>of</w:t>
      </w:r>
      <w:r>
        <w:rPr>
          <w:i/>
          <w:color w:val="231F20"/>
          <w:spacing w:val="-12"/>
          <w:sz w:val="24"/>
        </w:rPr>
        <w:t xml:space="preserve"> </w:t>
      </w:r>
      <w:r>
        <w:rPr>
          <w:i/>
          <w:color w:val="231F20"/>
          <w:spacing w:val="-4"/>
          <w:sz w:val="24"/>
        </w:rPr>
        <w:t xml:space="preserve">Amendments </w:t>
      </w:r>
      <w:r>
        <w:rPr>
          <w:i/>
          <w:color w:val="231F20"/>
          <w:sz w:val="24"/>
        </w:rPr>
        <w:t>to</w:t>
      </w:r>
      <w:r>
        <w:rPr>
          <w:i/>
          <w:color w:val="231F20"/>
          <w:spacing w:val="-14"/>
          <w:sz w:val="24"/>
        </w:rPr>
        <w:t xml:space="preserve"> </w:t>
      </w:r>
      <w:r>
        <w:rPr>
          <w:i/>
          <w:color w:val="231F20"/>
          <w:sz w:val="24"/>
        </w:rPr>
        <w:t>AASB</w:t>
      </w:r>
      <w:r>
        <w:rPr>
          <w:i/>
          <w:color w:val="231F20"/>
          <w:spacing w:val="-14"/>
          <w:sz w:val="24"/>
        </w:rPr>
        <w:t xml:space="preserve"> </w:t>
      </w:r>
      <w:r>
        <w:rPr>
          <w:i/>
          <w:color w:val="231F20"/>
          <w:sz w:val="24"/>
        </w:rPr>
        <w:t>10</w:t>
      </w:r>
      <w:r>
        <w:rPr>
          <w:i/>
          <w:color w:val="231F20"/>
          <w:spacing w:val="-14"/>
          <w:sz w:val="24"/>
        </w:rPr>
        <w:t xml:space="preserve"> </w:t>
      </w:r>
      <w:r>
        <w:rPr>
          <w:i/>
          <w:color w:val="231F20"/>
          <w:sz w:val="24"/>
        </w:rPr>
        <w:t>and</w:t>
      </w:r>
      <w:r>
        <w:rPr>
          <w:i/>
          <w:color w:val="231F20"/>
          <w:spacing w:val="-14"/>
          <w:sz w:val="24"/>
        </w:rPr>
        <w:t xml:space="preserve"> </w:t>
      </w:r>
      <w:r>
        <w:rPr>
          <w:i/>
          <w:color w:val="231F20"/>
          <w:sz w:val="24"/>
        </w:rPr>
        <w:t>AASB</w:t>
      </w:r>
      <w:r>
        <w:rPr>
          <w:i/>
          <w:color w:val="231F20"/>
          <w:spacing w:val="-14"/>
          <w:sz w:val="24"/>
        </w:rPr>
        <w:t xml:space="preserve"> </w:t>
      </w:r>
      <w:r>
        <w:rPr>
          <w:i/>
          <w:color w:val="231F20"/>
          <w:sz w:val="24"/>
        </w:rPr>
        <w:t>128</w:t>
      </w:r>
      <w:r>
        <w:rPr>
          <w:i/>
          <w:color w:val="231F20"/>
          <w:spacing w:val="-14"/>
          <w:sz w:val="24"/>
        </w:rPr>
        <w:t xml:space="preserve"> </w:t>
      </w:r>
      <w:r>
        <w:rPr>
          <w:i/>
          <w:color w:val="231F20"/>
          <w:sz w:val="24"/>
        </w:rPr>
        <w:t>and</w:t>
      </w:r>
      <w:r>
        <w:rPr>
          <w:i/>
          <w:color w:val="231F20"/>
          <w:spacing w:val="-14"/>
          <w:sz w:val="24"/>
        </w:rPr>
        <w:t xml:space="preserve"> </w:t>
      </w:r>
      <w:r>
        <w:rPr>
          <w:i/>
          <w:color w:val="231F20"/>
          <w:sz w:val="24"/>
        </w:rPr>
        <w:t>Editorial</w:t>
      </w:r>
      <w:r>
        <w:rPr>
          <w:i/>
          <w:color w:val="231F20"/>
          <w:spacing w:val="-14"/>
          <w:sz w:val="24"/>
        </w:rPr>
        <w:t xml:space="preserve"> </w:t>
      </w:r>
      <w:r>
        <w:rPr>
          <w:i/>
          <w:color w:val="231F20"/>
          <w:sz w:val="24"/>
        </w:rPr>
        <w:t>Corrections</w:t>
      </w:r>
      <w:r w:rsidRPr="00C84B1F">
        <w:rPr>
          <w:i/>
          <w:color w:val="231F20"/>
          <w:sz w:val="24"/>
        </w:rPr>
        <w:br w:type="page"/>
      </w:r>
    </w:p>
    <w:p w14:paraId="6142AE5A" w14:textId="77777777" w:rsidR="00345EE3" w:rsidRPr="00C84B1F" w:rsidRDefault="00345EE3" w:rsidP="002A27BA">
      <w:pPr>
        <w:pStyle w:val="Heading3"/>
        <w:numPr>
          <w:ilvl w:val="1"/>
          <w:numId w:val="44"/>
        </w:numPr>
      </w:pPr>
      <w:r>
        <w:t>Style</w:t>
      </w:r>
      <w:r w:rsidRPr="00C84B1F">
        <w:t xml:space="preserve"> Conventions</w:t>
      </w:r>
    </w:p>
    <w:p w14:paraId="56279227" w14:textId="77777777" w:rsidR="00345EE3" w:rsidRDefault="00345EE3" w:rsidP="00345EE3">
      <w:pPr>
        <w:pStyle w:val="BodyText"/>
        <w:spacing w:before="52" w:line="242" w:lineRule="auto"/>
      </w:pPr>
      <w:r>
        <w:rPr>
          <w:color w:val="231F20"/>
        </w:rPr>
        <w:t>Figures</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tables</w:t>
      </w:r>
      <w:r>
        <w:rPr>
          <w:color w:val="231F20"/>
          <w:spacing w:val="-8"/>
        </w:rPr>
        <w:t xml:space="preserve"> </w:t>
      </w:r>
      <w:r>
        <w:rPr>
          <w:color w:val="231F20"/>
        </w:rPr>
        <w:t>and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text</w:t>
      </w:r>
      <w:r>
        <w:rPr>
          <w:color w:val="231F20"/>
          <w:spacing w:val="-8"/>
        </w:rPr>
        <w:t xml:space="preserve"> </w:t>
      </w:r>
      <w:r>
        <w:rPr>
          <w:color w:val="231F20"/>
        </w:rPr>
        <w:t>have</w:t>
      </w:r>
      <w:r>
        <w:rPr>
          <w:color w:val="231F20"/>
          <w:spacing w:val="-8"/>
        </w:rPr>
        <w:t xml:space="preserve"> </w:t>
      </w:r>
      <w:r>
        <w:rPr>
          <w:color w:val="231F20"/>
        </w:rPr>
        <w:t>been</w:t>
      </w:r>
      <w:r>
        <w:rPr>
          <w:color w:val="231F20"/>
          <w:spacing w:val="-8"/>
        </w:rPr>
        <w:t xml:space="preserve"> </w:t>
      </w:r>
      <w:r>
        <w:rPr>
          <w:color w:val="231F20"/>
        </w:rPr>
        <w:t>rounded</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nearest</w:t>
      </w:r>
      <w:r>
        <w:rPr>
          <w:color w:val="231F20"/>
          <w:spacing w:val="-8"/>
        </w:rPr>
        <w:t xml:space="preserve"> </w:t>
      </w:r>
      <w:r>
        <w:rPr>
          <w:color w:val="231F20"/>
        </w:rPr>
        <w:t>thousand</w:t>
      </w:r>
      <w:r>
        <w:rPr>
          <w:color w:val="231F20"/>
          <w:spacing w:val="-8"/>
        </w:rPr>
        <w:t xml:space="preserve"> </w:t>
      </w:r>
      <w:r>
        <w:rPr>
          <w:color w:val="231F20"/>
        </w:rPr>
        <w:t>dollars,</w:t>
      </w:r>
      <w:r>
        <w:rPr>
          <w:color w:val="231F20"/>
          <w:spacing w:val="-8"/>
        </w:rPr>
        <w:t xml:space="preserve"> </w:t>
      </w:r>
      <w:r>
        <w:rPr>
          <w:color w:val="231F20"/>
        </w:rPr>
        <w:t>unless otherwise stated. Discrepancies in tables between totals and sums of components reflect rounding.</w:t>
      </w:r>
      <w:r>
        <w:rPr>
          <w:color w:val="231F20"/>
          <w:spacing w:val="-2"/>
        </w:rPr>
        <w:t xml:space="preserve"> </w:t>
      </w:r>
      <w:r>
        <w:rPr>
          <w:color w:val="231F20"/>
        </w:rPr>
        <w:t>Percentage</w:t>
      </w:r>
      <w:r>
        <w:rPr>
          <w:color w:val="231F20"/>
          <w:spacing w:val="-3"/>
        </w:rPr>
        <w:t xml:space="preserve"> </w:t>
      </w:r>
      <w:r>
        <w:rPr>
          <w:color w:val="231F20"/>
        </w:rPr>
        <w:t>variations</w:t>
      </w:r>
      <w:r>
        <w:rPr>
          <w:color w:val="231F20"/>
          <w:spacing w:val="-2"/>
        </w:rPr>
        <w:t xml:space="preserve"> </w:t>
      </w:r>
      <w:r>
        <w:rPr>
          <w:color w:val="231F20"/>
        </w:rPr>
        <w:t>in</w:t>
      </w:r>
      <w:r>
        <w:rPr>
          <w:color w:val="231F20"/>
          <w:spacing w:val="-3"/>
        </w:rPr>
        <w:t xml:space="preserve"> </w:t>
      </w:r>
      <w:r>
        <w:rPr>
          <w:color w:val="231F20"/>
        </w:rPr>
        <w:t>all</w:t>
      </w:r>
      <w:r>
        <w:rPr>
          <w:color w:val="231F20"/>
          <w:spacing w:val="-3"/>
        </w:rPr>
        <w:t xml:space="preserve"> </w:t>
      </w:r>
      <w:r>
        <w:rPr>
          <w:color w:val="231F20"/>
        </w:rPr>
        <w:t>tables</w:t>
      </w:r>
      <w:r>
        <w:rPr>
          <w:color w:val="231F20"/>
          <w:spacing w:val="-2"/>
        </w:rPr>
        <w:t xml:space="preserve"> </w:t>
      </w:r>
      <w:r>
        <w:rPr>
          <w:color w:val="231F20"/>
        </w:rPr>
        <w:t>are</w:t>
      </w:r>
      <w:r>
        <w:rPr>
          <w:color w:val="231F20"/>
          <w:spacing w:val="-3"/>
        </w:rPr>
        <w:t xml:space="preserve"> </w:t>
      </w:r>
      <w:r>
        <w:rPr>
          <w:color w:val="231F20"/>
        </w:rPr>
        <w:t>based</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underlying</w:t>
      </w:r>
      <w:r>
        <w:rPr>
          <w:color w:val="231F20"/>
          <w:spacing w:val="-3"/>
        </w:rPr>
        <w:t xml:space="preserve"> </w:t>
      </w:r>
      <w:r>
        <w:rPr>
          <w:color w:val="231F20"/>
        </w:rPr>
        <w:t>unrounded</w:t>
      </w:r>
      <w:r>
        <w:rPr>
          <w:color w:val="231F20"/>
          <w:spacing w:val="-3"/>
        </w:rPr>
        <w:t xml:space="preserve"> </w:t>
      </w:r>
      <w:r>
        <w:rPr>
          <w:color w:val="231F20"/>
        </w:rPr>
        <w:t>amounts.</w:t>
      </w:r>
    </w:p>
    <w:p w14:paraId="471ECBBE" w14:textId="77777777" w:rsidR="00345EE3" w:rsidRDefault="00345EE3" w:rsidP="00345EE3">
      <w:pPr>
        <w:pStyle w:val="BodyText"/>
        <w:spacing w:before="117"/>
      </w:pPr>
      <w:r>
        <w:rPr>
          <w:color w:val="231F20"/>
        </w:rPr>
        <w:t>The</w:t>
      </w:r>
      <w:r>
        <w:rPr>
          <w:color w:val="231F20"/>
          <w:spacing w:val="-6"/>
        </w:rPr>
        <w:t xml:space="preserve"> </w:t>
      </w:r>
      <w:r>
        <w:rPr>
          <w:color w:val="231F20"/>
        </w:rPr>
        <w:t>notation</w:t>
      </w:r>
      <w:r>
        <w:rPr>
          <w:color w:val="231F20"/>
          <w:spacing w:val="-5"/>
        </w:rPr>
        <w:t xml:space="preserve"> </w:t>
      </w:r>
      <w:r>
        <w:rPr>
          <w:color w:val="231F20"/>
        </w:rPr>
        <w:t>used</w:t>
      </w:r>
      <w:r>
        <w:rPr>
          <w:color w:val="231F20"/>
          <w:spacing w:val="-6"/>
        </w:rPr>
        <w:t xml:space="preserve"> </w:t>
      </w:r>
      <w:r>
        <w:rPr>
          <w:color w:val="231F20"/>
        </w:rPr>
        <w:t>in</w:t>
      </w:r>
      <w:r>
        <w:rPr>
          <w:color w:val="231F20"/>
          <w:spacing w:val="-5"/>
        </w:rPr>
        <w:t xml:space="preserve"> </w:t>
      </w:r>
      <w:r>
        <w:rPr>
          <w:color w:val="231F20"/>
        </w:rPr>
        <w:t>the</w:t>
      </w:r>
      <w:r>
        <w:rPr>
          <w:color w:val="231F20"/>
          <w:spacing w:val="-6"/>
        </w:rPr>
        <w:t xml:space="preserve"> </w:t>
      </w:r>
      <w:r>
        <w:rPr>
          <w:color w:val="231F20"/>
        </w:rPr>
        <w:t>tables</w:t>
      </w:r>
      <w:r>
        <w:rPr>
          <w:color w:val="231F20"/>
          <w:spacing w:val="-4"/>
        </w:rPr>
        <w:t xml:space="preserve"> </w:t>
      </w:r>
      <w:r>
        <w:rPr>
          <w:color w:val="231F20"/>
        </w:rPr>
        <w:t>is</w:t>
      </w:r>
      <w:r>
        <w:rPr>
          <w:color w:val="231F20"/>
          <w:spacing w:val="-5"/>
        </w:rPr>
        <w:t xml:space="preserve"> </w:t>
      </w:r>
      <w:r>
        <w:rPr>
          <w:color w:val="231F20"/>
        </w:rPr>
        <w:t>as</w:t>
      </w:r>
      <w:r>
        <w:rPr>
          <w:color w:val="231F20"/>
          <w:spacing w:val="-4"/>
        </w:rPr>
        <w:t xml:space="preserve"> </w:t>
      </w:r>
      <w:r>
        <w:rPr>
          <w:color w:val="231F20"/>
          <w:spacing w:val="-2"/>
        </w:rPr>
        <w:t>follows:</w:t>
      </w:r>
    </w:p>
    <w:p w14:paraId="037B0F3E" w14:textId="77777777" w:rsidR="00345EE3" w:rsidRDefault="00345EE3" w:rsidP="00345EE3">
      <w:pPr>
        <w:pStyle w:val="BodyText"/>
        <w:spacing w:before="32" w:line="268" w:lineRule="auto"/>
        <w:ind w:left="393" w:right="7014"/>
        <w:jc w:val="both"/>
        <w:rPr>
          <w:color w:val="231F20"/>
        </w:rPr>
      </w:pPr>
      <w:r>
        <w:rPr>
          <w:color w:val="231F20"/>
        </w:rPr>
        <w:t>-</w:t>
      </w:r>
      <w:r>
        <w:rPr>
          <w:color w:val="231F20"/>
          <w:spacing w:val="80"/>
          <w:w w:val="150"/>
        </w:rPr>
        <w:t xml:space="preserve"> </w:t>
      </w:r>
      <w:r>
        <w:rPr>
          <w:color w:val="231F20"/>
        </w:rPr>
        <w:t>zero</w:t>
      </w:r>
      <w:r>
        <w:rPr>
          <w:color w:val="231F20"/>
          <w:spacing w:val="-15"/>
        </w:rPr>
        <w:t xml:space="preserve"> </w:t>
      </w:r>
      <w:r>
        <w:rPr>
          <w:color w:val="231F20"/>
        </w:rPr>
        <w:t>or</w:t>
      </w:r>
      <w:r>
        <w:rPr>
          <w:color w:val="231F20"/>
          <w:spacing w:val="-15"/>
        </w:rPr>
        <w:t xml:space="preserve"> </w:t>
      </w:r>
      <w:r>
        <w:rPr>
          <w:color w:val="231F20"/>
        </w:rPr>
        <w:t>rounded</w:t>
      </w:r>
      <w:r>
        <w:rPr>
          <w:color w:val="231F20"/>
          <w:spacing w:val="-15"/>
        </w:rPr>
        <w:t xml:space="preserve"> </w:t>
      </w:r>
      <w:r>
        <w:rPr>
          <w:color w:val="231F20"/>
        </w:rPr>
        <w:t>to</w:t>
      </w:r>
      <w:r>
        <w:rPr>
          <w:color w:val="231F20"/>
          <w:spacing w:val="-15"/>
        </w:rPr>
        <w:t xml:space="preserve"> </w:t>
      </w:r>
      <w:r>
        <w:rPr>
          <w:color w:val="231F20"/>
        </w:rPr>
        <w:t>zero (xxx.x)</w:t>
      </w:r>
      <w:r>
        <w:rPr>
          <w:color w:val="231F20"/>
          <w:spacing w:val="40"/>
        </w:rPr>
        <w:t xml:space="preserve"> </w:t>
      </w:r>
      <w:r>
        <w:rPr>
          <w:color w:val="231F20"/>
        </w:rPr>
        <w:t>negative</w:t>
      </w:r>
      <w:r>
        <w:rPr>
          <w:color w:val="231F20"/>
          <w:spacing w:val="-17"/>
        </w:rPr>
        <w:t xml:space="preserve"> </w:t>
      </w:r>
      <w:r>
        <w:rPr>
          <w:color w:val="231F20"/>
        </w:rPr>
        <w:t>numbers 200x</w:t>
      </w:r>
      <w:r>
        <w:rPr>
          <w:color w:val="231F20"/>
          <w:spacing w:val="40"/>
        </w:rPr>
        <w:t xml:space="preserve"> </w:t>
      </w:r>
      <w:r>
        <w:rPr>
          <w:color w:val="231F20"/>
        </w:rPr>
        <w:t>year period</w:t>
      </w:r>
    </w:p>
    <w:p w14:paraId="2304817C" w14:textId="77777777" w:rsidR="00345EE3" w:rsidRDefault="00345EE3" w:rsidP="00345EE3">
      <w:pPr>
        <w:rPr>
          <w:color w:val="231F20"/>
          <w:sz w:val="24"/>
          <w:szCs w:val="24"/>
        </w:rPr>
      </w:pPr>
      <w:r>
        <w:rPr>
          <w:color w:val="231F20"/>
        </w:rPr>
        <w:br w:type="page"/>
      </w:r>
    </w:p>
    <w:p w14:paraId="7EE84237" w14:textId="77777777" w:rsidR="00345EE3" w:rsidRPr="00672E89" w:rsidRDefault="00345EE3">
      <w:pPr>
        <w:pStyle w:val="Heading1"/>
        <w:numPr>
          <w:ilvl w:val="0"/>
          <w:numId w:val="93"/>
        </w:numPr>
        <w:tabs>
          <w:tab w:val="left" w:pos="664"/>
        </w:tabs>
        <w:ind w:left="663" w:hanging="554"/>
        <w:rPr>
          <w:b w:val="0"/>
          <w:bCs/>
          <w:sz w:val="56"/>
          <w:szCs w:val="56"/>
        </w:rPr>
      </w:pPr>
      <w:bookmarkStart w:id="7" w:name="_TOC_250000"/>
      <w:bookmarkEnd w:id="7"/>
      <w:r w:rsidRPr="00672E89">
        <w:rPr>
          <w:b w:val="0"/>
          <w:bCs/>
          <w:color w:val="00529F"/>
          <w:spacing w:val="-2"/>
          <w:sz w:val="56"/>
          <w:szCs w:val="56"/>
        </w:rPr>
        <w:t>Appendices</w:t>
      </w:r>
    </w:p>
    <w:p w14:paraId="2F4145D2" w14:textId="77777777" w:rsidR="00345EE3" w:rsidRPr="00672E89" w:rsidRDefault="00345EE3" w:rsidP="00345EE3">
      <w:pPr>
        <w:pStyle w:val="Heading2"/>
        <w:spacing w:before="204"/>
        <w:rPr>
          <w:sz w:val="32"/>
          <w:szCs w:val="32"/>
        </w:rPr>
      </w:pPr>
      <w:r w:rsidRPr="00672E89">
        <w:rPr>
          <w:color w:val="00529F"/>
          <w:sz w:val="32"/>
          <w:szCs w:val="32"/>
        </w:rPr>
        <w:t>Appendix</w:t>
      </w:r>
      <w:r w:rsidRPr="00672E89">
        <w:rPr>
          <w:color w:val="00529F"/>
          <w:spacing w:val="-14"/>
          <w:sz w:val="32"/>
          <w:szCs w:val="32"/>
        </w:rPr>
        <w:t xml:space="preserve"> </w:t>
      </w:r>
      <w:r w:rsidRPr="00672E89">
        <w:rPr>
          <w:color w:val="00529F"/>
          <w:sz w:val="32"/>
          <w:szCs w:val="32"/>
        </w:rPr>
        <w:t>A:</w:t>
      </w:r>
      <w:r w:rsidRPr="00672E89">
        <w:rPr>
          <w:color w:val="00529F"/>
          <w:spacing w:val="-11"/>
          <w:sz w:val="32"/>
          <w:szCs w:val="32"/>
        </w:rPr>
        <w:t xml:space="preserve"> </w:t>
      </w:r>
      <w:r w:rsidRPr="00672E89">
        <w:rPr>
          <w:color w:val="00529F"/>
          <w:sz w:val="32"/>
          <w:szCs w:val="32"/>
        </w:rPr>
        <w:t>Disclosure</w:t>
      </w:r>
      <w:r w:rsidRPr="00672E89">
        <w:rPr>
          <w:color w:val="00529F"/>
          <w:spacing w:val="-12"/>
          <w:sz w:val="32"/>
          <w:szCs w:val="32"/>
        </w:rPr>
        <w:t xml:space="preserve"> </w:t>
      </w:r>
      <w:r w:rsidRPr="00672E89">
        <w:rPr>
          <w:color w:val="00529F"/>
          <w:spacing w:val="-2"/>
          <w:sz w:val="32"/>
          <w:szCs w:val="32"/>
        </w:rPr>
        <w:t>Index</w:t>
      </w:r>
    </w:p>
    <w:p w14:paraId="76205D48" w14:textId="77777777" w:rsidR="00345EE3" w:rsidRDefault="00345EE3" w:rsidP="00345EE3">
      <w:pPr>
        <w:spacing w:before="120" w:after="120"/>
        <w:ind w:left="110"/>
        <w:rPr>
          <w:rFonts w:ascii="Arial-BoldItalicMT"/>
          <w:b/>
          <w:i/>
          <w:color w:val="231F20"/>
          <w:spacing w:val="-4"/>
          <w:sz w:val="18"/>
        </w:rPr>
      </w:pPr>
      <w:r>
        <w:rPr>
          <w:color w:val="231F20"/>
          <w:sz w:val="18"/>
        </w:rPr>
        <w:t>Table:</w:t>
      </w:r>
      <w:r>
        <w:rPr>
          <w:color w:val="231F20"/>
          <w:spacing w:val="-14"/>
          <w:sz w:val="18"/>
        </w:rPr>
        <w:t xml:space="preserve"> </w:t>
      </w:r>
      <w:r>
        <w:rPr>
          <w:color w:val="231F20"/>
          <w:sz w:val="18"/>
        </w:rPr>
        <w:t>7.1:</w:t>
      </w:r>
      <w:r>
        <w:rPr>
          <w:color w:val="231F20"/>
          <w:spacing w:val="-12"/>
          <w:sz w:val="18"/>
        </w:rPr>
        <w:t xml:space="preserve"> </w:t>
      </w:r>
      <w:r>
        <w:rPr>
          <w:rFonts w:ascii="Arial-BoldItalicMT"/>
          <w:b/>
          <w:i/>
          <w:color w:val="231F20"/>
          <w:sz w:val="18"/>
        </w:rPr>
        <w:t>Disclosure</w:t>
      </w:r>
      <w:r>
        <w:rPr>
          <w:rFonts w:ascii="Arial-BoldItalicMT"/>
          <w:b/>
          <w:i/>
          <w:color w:val="231F20"/>
          <w:spacing w:val="-12"/>
          <w:sz w:val="18"/>
        </w:rPr>
        <w:t xml:space="preserve"> </w:t>
      </w:r>
      <w:r>
        <w:rPr>
          <w:rFonts w:ascii="Arial-BoldItalicMT"/>
          <w:b/>
          <w:i/>
          <w:color w:val="231F20"/>
          <w:spacing w:val="-4"/>
          <w:sz w:val="18"/>
        </w:rPr>
        <w:t>Index</w:t>
      </w:r>
    </w:p>
    <w:tbl>
      <w:tblPr>
        <w:tblW w:w="0" w:type="auto"/>
        <w:tblInd w:w="156" w:type="dxa"/>
        <w:tblLayout w:type="fixed"/>
        <w:tblCellMar>
          <w:left w:w="0" w:type="dxa"/>
          <w:right w:w="0" w:type="dxa"/>
        </w:tblCellMar>
        <w:tblLook w:val="0000" w:firstRow="0" w:lastRow="0" w:firstColumn="0" w:lastColumn="0" w:noHBand="0" w:noVBand="0"/>
      </w:tblPr>
      <w:tblGrid>
        <w:gridCol w:w="1701"/>
        <w:gridCol w:w="6803"/>
        <w:gridCol w:w="1701"/>
      </w:tblGrid>
      <w:tr w:rsidR="00345EE3" w:rsidRPr="00645B84" w14:paraId="3133836E" w14:textId="77777777" w:rsidTr="00D73130">
        <w:trPr>
          <w:trHeight w:val="60"/>
          <w:tblHeader/>
        </w:trPr>
        <w:tc>
          <w:tcPr>
            <w:tcW w:w="8504" w:type="dxa"/>
            <w:gridSpan w:val="2"/>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52A784BF"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 xml:space="preserve">Legislation Requirement </w:t>
            </w:r>
          </w:p>
        </w:tc>
        <w:tc>
          <w:tcPr>
            <w:tcW w:w="1701" w:type="dxa"/>
            <w:tcBorders>
              <w:top w:val="single" w:sz="6" w:space="0" w:color="004996"/>
              <w:left w:val="single" w:sz="2" w:space="0" w:color="FFFFFF"/>
              <w:bottom w:val="single" w:sz="2" w:space="0" w:color="FFFFFF"/>
              <w:right w:val="single" w:sz="6" w:space="0" w:color="004996"/>
            </w:tcBorders>
            <w:shd w:val="solid" w:color="004996" w:fill="auto"/>
            <w:tcMar>
              <w:top w:w="113" w:type="dxa"/>
              <w:left w:w="14" w:type="dxa"/>
              <w:bottom w:w="113" w:type="dxa"/>
              <w:right w:w="14" w:type="dxa"/>
            </w:tcMar>
          </w:tcPr>
          <w:p w14:paraId="7F9C7B4F"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Page Reference</w:t>
            </w:r>
          </w:p>
        </w:tc>
      </w:tr>
      <w:tr w:rsidR="00345EE3" w:rsidRPr="00645B84" w14:paraId="346F5398" w14:textId="77777777" w:rsidTr="00D73130">
        <w:trPr>
          <w:trHeight w:val="60"/>
        </w:trPr>
        <w:tc>
          <w:tcPr>
            <w:tcW w:w="10205" w:type="dxa"/>
            <w:gridSpan w:val="3"/>
            <w:tcBorders>
              <w:top w:val="single" w:sz="2" w:space="0" w:color="FFFFFF"/>
              <w:left w:val="single" w:sz="6" w:space="0" w:color="000000"/>
              <w:bottom w:val="single" w:sz="2" w:space="0" w:color="FFFFFF"/>
              <w:right w:val="single" w:sz="2" w:space="0" w:color="9D9C9C"/>
            </w:tcBorders>
            <w:shd w:val="solid" w:color="004996" w:fill="auto"/>
            <w:tcMar>
              <w:top w:w="113" w:type="dxa"/>
              <w:left w:w="14" w:type="dxa"/>
              <w:bottom w:w="113" w:type="dxa"/>
              <w:right w:w="14" w:type="dxa"/>
            </w:tcMar>
          </w:tcPr>
          <w:p w14:paraId="2045E50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 xml:space="preserve">Standing Directions (SD) &amp; Financial Reporting Directions (FRD) </w:t>
            </w:r>
          </w:p>
        </w:tc>
      </w:tr>
      <w:tr w:rsidR="00345EE3" w:rsidRPr="00645B84" w14:paraId="0A816E85" w14:textId="77777777" w:rsidTr="00D73130">
        <w:trPr>
          <w:trHeight w:val="60"/>
        </w:trPr>
        <w:tc>
          <w:tcPr>
            <w:tcW w:w="10205" w:type="dxa"/>
            <w:gridSpan w:val="3"/>
            <w:tcBorders>
              <w:top w:val="single" w:sz="2" w:space="0" w:color="FFFFFF"/>
              <w:left w:val="single" w:sz="6" w:space="0" w:color="000000"/>
              <w:bottom w:val="single" w:sz="2" w:space="0" w:color="9D9C9C"/>
              <w:right w:val="single" w:sz="2" w:space="0" w:color="9D9C9C"/>
            </w:tcBorders>
            <w:shd w:val="solid" w:color="004996" w:fill="auto"/>
            <w:tcMar>
              <w:top w:w="113" w:type="dxa"/>
              <w:left w:w="14" w:type="dxa"/>
              <w:bottom w:w="113" w:type="dxa"/>
              <w:right w:w="14" w:type="dxa"/>
            </w:tcMar>
          </w:tcPr>
          <w:p w14:paraId="2DE6CE3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FFFFFF" w:themeColor="background1"/>
                <w:sz w:val="24"/>
                <w:szCs w:val="24"/>
                <w:lang w:val="en-GB"/>
              </w:rPr>
            </w:pPr>
            <w:r w:rsidRPr="00645B84">
              <w:rPr>
                <w:rFonts w:eastAsiaTheme="minorHAnsi"/>
                <w:b/>
                <w:bCs/>
                <w:color w:val="FFFFFF" w:themeColor="background1"/>
                <w:sz w:val="24"/>
                <w:szCs w:val="24"/>
                <w:lang w:val="en-GB"/>
              </w:rPr>
              <w:t xml:space="preserve">Report of Operations </w:t>
            </w:r>
          </w:p>
        </w:tc>
      </w:tr>
      <w:tr w:rsidR="00345EE3" w:rsidRPr="00645B84" w14:paraId="2EC98C85"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22799EB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b/>
                <w:bCs/>
                <w:color w:val="000000"/>
                <w:sz w:val="24"/>
                <w:szCs w:val="24"/>
                <w:lang w:val="en-GB"/>
              </w:rPr>
              <w:t>Charter and Purpose</w:t>
            </w:r>
          </w:p>
        </w:tc>
      </w:tr>
      <w:tr w:rsidR="00345EE3" w:rsidRPr="00645B84" w14:paraId="4F209B55"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520A83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E19D3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Manner of establishment and the relevant Ministers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A594E5F" w14:textId="2144D49D" w:rsidR="00345EE3" w:rsidRPr="00645B84" w:rsidRDefault="002B607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w:t>
            </w:r>
            <w:r w:rsidR="00345EE3" w:rsidRPr="00645B84">
              <w:rPr>
                <w:rFonts w:eastAsiaTheme="minorHAnsi"/>
                <w:color w:val="000000"/>
                <w:spacing w:val="-2"/>
                <w:sz w:val="24"/>
                <w:szCs w:val="24"/>
                <w:lang w:val="en-GB"/>
              </w:rPr>
              <w:t>, 1</w:t>
            </w:r>
            <w:r>
              <w:rPr>
                <w:rFonts w:eastAsiaTheme="minorHAnsi"/>
                <w:color w:val="000000"/>
                <w:spacing w:val="-2"/>
                <w:sz w:val="24"/>
                <w:szCs w:val="24"/>
                <w:lang w:val="en-GB"/>
              </w:rPr>
              <w:t>92</w:t>
            </w:r>
          </w:p>
        </w:tc>
      </w:tr>
      <w:tr w:rsidR="00345EE3" w:rsidRPr="00645B84" w14:paraId="302D16F1"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0F3D96E"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5E92AB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Purpose, functions, powers and duties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D18EC46" w14:textId="77AD74C9" w:rsidR="00345EE3" w:rsidRPr="00645B84" w:rsidRDefault="002B607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w:t>
            </w:r>
            <w:r w:rsidR="00345EE3" w:rsidRPr="00645B84">
              <w:rPr>
                <w:rFonts w:eastAsiaTheme="minorHAnsi"/>
                <w:color w:val="000000"/>
                <w:spacing w:val="-2"/>
                <w:sz w:val="24"/>
                <w:szCs w:val="24"/>
                <w:lang w:val="en-GB"/>
              </w:rPr>
              <w:t>-</w:t>
            </w:r>
            <w:r>
              <w:rPr>
                <w:rFonts w:eastAsiaTheme="minorHAnsi"/>
                <w:color w:val="000000"/>
                <w:spacing w:val="-2"/>
                <w:sz w:val="24"/>
                <w:szCs w:val="24"/>
                <w:lang w:val="en-GB"/>
              </w:rPr>
              <w:t>6</w:t>
            </w:r>
          </w:p>
        </w:tc>
      </w:tr>
      <w:tr w:rsidR="00345EE3" w:rsidRPr="00645B84" w14:paraId="5FCB061C"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CD5E96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8</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567E3B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Departmental objectives, indicators and outputs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D96DDE2" w14:textId="5C80AB4A"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1</w:t>
            </w:r>
            <w:r w:rsidR="002B607D">
              <w:rPr>
                <w:rFonts w:eastAsiaTheme="minorHAnsi"/>
                <w:color w:val="000000"/>
                <w:spacing w:val="-2"/>
                <w:sz w:val="24"/>
                <w:szCs w:val="24"/>
                <w:lang w:val="en-GB"/>
              </w:rPr>
              <w:t>8</w:t>
            </w:r>
            <w:r w:rsidRPr="00645B84">
              <w:rPr>
                <w:rFonts w:eastAsiaTheme="minorHAnsi"/>
                <w:color w:val="000000"/>
                <w:spacing w:val="-2"/>
                <w:sz w:val="24"/>
                <w:szCs w:val="24"/>
                <w:lang w:val="en-GB"/>
              </w:rPr>
              <w:t>-</w:t>
            </w:r>
            <w:r w:rsidR="002B607D">
              <w:rPr>
                <w:rFonts w:eastAsiaTheme="minorHAnsi"/>
                <w:color w:val="000000"/>
                <w:spacing w:val="-2"/>
                <w:sz w:val="24"/>
                <w:szCs w:val="24"/>
                <w:lang w:val="en-GB"/>
              </w:rPr>
              <w:t>2</w:t>
            </w:r>
            <w:r w:rsidRPr="00645B84">
              <w:rPr>
                <w:rFonts w:eastAsiaTheme="minorHAnsi"/>
                <w:color w:val="000000"/>
                <w:spacing w:val="-2"/>
                <w:sz w:val="24"/>
                <w:szCs w:val="24"/>
                <w:lang w:val="en-GB"/>
              </w:rPr>
              <w:t>9</w:t>
            </w:r>
          </w:p>
        </w:tc>
      </w:tr>
      <w:tr w:rsidR="00345EE3" w:rsidRPr="00645B84" w14:paraId="7A6B16E9"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AB6464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B3C18E"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Nature and range of services provided</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415264C" w14:textId="383DF5A9" w:rsidR="00345EE3" w:rsidRPr="00645B84" w:rsidRDefault="002B607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w:t>
            </w:r>
          </w:p>
        </w:tc>
      </w:tr>
      <w:tr w:rsidR="00345EE3" w:rsidRPr="00645B84" w14:paraId="779DEDCD"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95AD8A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36BA8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Key initiatives and projects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79E1BD1" w14:textId="53EEA1AA" w:rsidR="00345EE3" w:rsidRPr="00645B84" w:rsidRDefault="002B607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30</w:t>
            </w:r>
            <w:r w:rsidR="00345EE3" w:rsidRPr="00645B84">
              <w:rPr>
                <w:rFonts w:eastAsiaTheme="minorHAnsi"/>
                <w:color w:val="000000"/>
                <w:spacing w:val="-2"/>
                <w:sz w:val="24"/>
                <w:szCs w:val="24"/>
                <w:lang w:val="en-GB"/>
              </w:rPr>
              <w:t>-</w:t>
            </w:r>
            <w:r>
              <w:rPr>
                <w:rFonts w:eastAsiaTheme="minorHAnsi"/>
                <w:color w:val="000000"/>
                <w:spacing w:val="-2"/>
                <w:sz w:val="24"/>
                <w:szCs w:val="24"/>
                <w:lang w:val="en-GB"/>
              </w:rPr>
              <w:t>53</w:t>
            </w:r>
          </w:p>
        </w:tc>
      </w:tr>
      <w:tr w:rsidR="00345EE3" w:rsidRPr="00645B84" w14:paraId="49A795C1"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00B8B94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b/>
                <w:bCs/>
                <w:color w:val="000000"/>
                <w:sz w:val="24"/>
                <w:szCs w:val="24"/>
                <w:lang w:val="en-GB"/>
              </w:rPr>
              <w:t>Management and Structure</w:t>
            </w:r>
          </w:p>
        </w:tc>
      </w:tr>
      <w:tr w:rsidR="00345EE3" w:rsidRPr="00645B84" w14:paraId="6F840B4E"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D28EE3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47CF3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Organisational chart</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BE5F20F" w14:textId="5E8C41DC" w:rsidR="00345EE3" w:rsidRPr="00645B84" w:rsidRDefault="002B607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7</w:t>
            </w:r>
          </w:p>
        </w:tc>
      </w:tr>
      <w:tr w:rsidR="00345EE3" w:rsidRPr="00645B84" w14:paraId="00C6D2E5"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7B291DE"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892C61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Audit and Risk Committee membership</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1C65566" w14:textId="448F7520" w:rsidR="00345EE3" w:rsidRPr="00645B84" w:rsidRDefault="002B607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10</w:t>
            </w:r>
          </w:p>
        </w:tc>
      </w:tr>
      <w:tr w:rsidR="00345EE3" w:rsidRPr="00645B84" w14:paraId="08EF2830"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66954E7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b/>
                <w:bCs/>
                <w:color w:val="000000"/>
                <w:sz w:val="24"/>
                <w:szCs w:val="24"/>
                <w:lang w:val="en-GB"/>
              </w:rPr>
              <w:t>Financial And Other Information</w:t>
            </w:r>
          </w:p>
        </w:tc>
      </w:tr>
      <w:tr w:rsidR="00345EE3" w:rsidRPr="00645B84" w14:paraId="7DFE839D"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9E55DE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8</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51388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Performance against output performance measures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9F31877" w14:textId="01551DC0" w:rsidR="00345EE3" w:rsidRPr="00645B84" w:rsidRDefault="002B607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22</w:t>
            </w:r>
            <w:r w:rsidR="00345EE3" w:rsidRPr="00645B84">
              <w:rPr>
                <w:rFonts w:eastAsiaTheme="minorHAnsi"/>
                <w:color w:val="000000"/>
                <w:spacing w:val="-2"/>
                <w:sz w:val="24"/>
                <w:szCs w:val="24"/>
                <w:lang w:val="en-GB"/>
              </w:rPr>
              <w:t>-</w:t>
            </w:r>
            <w:r>
              <w:rPr>
                <w:rFonts w:eastAsiaTheme="minorHAnsi"/>
                <w:color w:val="000000"/>
                <w:spacing w:val="-2"/>
                <w:sz w:val="24"/>
                <w:szCs w:val="24"/>
                <w:lang w:val="en-GB"/>
              </w:rPr>
              <w:t>24</w:t>
            </w:r>
          </w:p>
        </w:tc>
      </w:tr>
      <w:tr w:rsidR="00345EE3" w:rsidRPr="00645B84" w14:paraId="3F65A405"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80C1DF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8</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E55C6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Budget portfolio outcomes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1178C14" w14:textId="4AEB63F3" w:rsidR="00345EE3" w:rsidRPr="00645B84" w:rsidRDefault="00F41A2C"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205</w:t>
            </w:r>
            <w:r w:rsidR="00345EE3" w:rsidRPr="00645B84">
              <w:rPr>
                <w:rFonts w:eastAsiaTheme="minorHAnsi"/>
                <w:color w:val="000000"/>
                <w:spacing w:val="-2"/>
                <w:sz w:val="24"/>
                <w:szCs w:val="24"/>
                <w:lang w:val="en-GB"/>
              </w:rPr>
              <w:t>-</w:t>
            </w:r>
            <w:r>
              <w:rPr>
                <w:rFonts w:eastAsiaTheme="minorHAnsi"/>
                <w:color w:val="000000"/>
                <w:spacing w:val="-2"/>
                <w:sz w:val="24"/>
                <w:szCs w:val="24"/>
                <w:lang w:val="en-GB"/>
              </w:rPr>
              <w:t>212</w:t>
            </w:r>
          </w:p>
        </w:tc>
      </w:tr>
      <w:tr w:rsidR="00345EE3" w:rsidRPr="00645B84" w14:paraId="1FDB369D"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9523BF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10</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D35F0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Disclosure index</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1F06EE6" w14:textId="52727FB0" w:rsidR="00345EE3" w:rsidRPr="00645B84" w:rsidRDefault="00F41A2C"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200</w:t>
            </w:r>
            <w:r w:rsidR="00345EE3" w:rsidRPr="00645B84">
              <w:rPr>
                <w:rFonts w:eastAsiaTheme="minorHAnsi"/>
                <w:color w:val="000000"/>
                <w:spacing w:val="-2"/>
                <w:sz w:val="24"/>
                <w:szCs w:val="24"/>
                <w:lang w:val="en-GB"/>
              </w:rPr>
              <w:t>-</w:t>
            </w:r>
            <w:r>
              <w:rPr>
                <w:rFonts w:eastAsiaTheme="minorHAnsi"/>
                <w:color w:val="000000"/>
                <w:spacing w:val="-2"/>
                <w:sz w:val="24"/>
                <w:szCs w:val="24"/>
                <w:lang w:val="en-GB"/>
              </w:rPr>
              <w:t>204</w:t>
            </w:r>
          </w:p>
        </w:tc>
      </w:tr>
      <w:tr w:rsidR="00345EE3" w:rsidRPr="00645B84" w14:paraId="2676C880"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7CADC5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7384A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Disclosure of major contracts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6B55B26" w14:textId="4AF12C98" w:rsidR="00345EE3" w:rsidRPr="00645B84" w:rsidRDefault="00F41A2C"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57</w:t>
            </w:r>
          </w:p>
        </w:tc>
      </w:tr>
      <w:tr w:rsidR="00345EE3" w:rsidRPr="00645B84" w14:paraId="3A50206F"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5F6AE8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15</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392CE6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Executive officer disclosures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2044ECF" w14:textId="64D5E03D" w:rsidR="00345EE3" w:rsidRPr="00645B84" w:rsidRDefault="00F41A2C"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101</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102</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103</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193</w:t>
            </w:r>
          </w:p>
        </w:tc>
      </w:tr>
      <w:tr w:rsidR="00345EE3" w:rsidRPr="00645B84" w14:paraId="789F4763"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F915DF"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C8D3C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Employment and conduct principles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771ED09" w14:textId="465C746A" w:rsidR="00345EE3" w:rsidRPr="00645B84" w:rsidRDefault="00F41A2C"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w:t>
            </w:r>
            <w:r w:rsidR="00345EE3" w:rsidRPr="00645B84">
              <w:rPr>
                <w:rFonts w:eastAsiaTheme="minorHAnsi"/>
                <w:color w:val="000000"/>
                <w:spacing w:val="-2"/>
                <w:sz w:val="24"/>
                <w:szCs w:val="24"/>
                <w:lang w:val="en-GB"/>
              </w:rPr>
              <w:t>0</w:t>
            </w:r>
            <w:r>
              <w:rPr>
                <w:rFonts w:eastAsiaTheme="minorHAnsi"/>
                <w:color w:val="000000"/>
                <w:spacing w:val="-2"/>
                <w:sz w:val="24"/>
                <w:szCs w:val="24"/>
                <w:lang w:val="en-GB"/>
              </w:rPr>
              <w:t>3</w:t>
            </w:r>
          </w:p>
        </w:tc>
      </w:tr>
      <w:tr w:rsidR="00345EE3" w:rsidRPr="00645B84" w14:paraId="30321F34"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18287FF"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7A7EBD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Occupational Health and Safety matters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00EBB3E" w14:textId="44A1DBA0"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1</w:t>
            </w:r>
            <w:r w:rsidR="00F41A2C">
              <w:rPr>
                <w:rFonts w:eastAsiaTheme="minorHAnsi"/>
                <w:color w:val="000000"/>
                <w:spacing w:val="-2"/>
                <w:sz w:val="24"/>
                <w:szCs w:val="24"/>
                <w:lang w:val="en-GB"/>
              </w:rPr>
              <w:t>5</w:t>
            </w:r>
            <w:r w:rsidRPr="00645B84">
              <w:rPr>
                <w:rFonts w:eastAsiaTheme="minorHAnsi"/>
                <w:color w:val="000000"/>
                <w:spacing w:val="-2"/>
                <w:sz w:val="24"/>
                <w:szCs w:val="24"/>
                <w:lang w:val="en-GB"/>
              </w:rPr>
              <w:t>-1</w:t>
            </w:r>
            <w:r w:rsidR="00F41A2C">
              <w:rPr>
                <w:rFonts w:eastAsiaTheme="minorHAnsi"/>
                <w:color w:val="000000"/>
                <w:spacing w:val="-2"/>
                <w:sz w:val="24"/>
                <w:szCs w:val="24"/>
                <w:lang w:val="en-GB"/>
              </w:rPr>
              <w:t>7</w:t>
            </w:r>
          </w:p>
        </w:tc>
      </w:tr>
      <w:tr w:rsidR="00345EE3" w:rsidRPr="00645B84" w14:paraId="08657514"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DE3D40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49C49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Summary of the financial results with comparative information for the preceding four reporting periods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108C474" w14:textId="0BD5FC54"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2</w:t>
            </w:r>
            <w:r w:rsidR="00F41A2C">
              <w:rPr>
                <w:rFonts w:eastAsiaTheme="minorHAnsi"/>
                <w:color w:val="000000"/>
                <w:spacing w:val="-2"/>
                <w:sz w:val="24"/>
                <w:szCs w:val="24"/>
                <w:lang w:val="en-GB"/>
              </w:rPr>
              <w:t>8</w:t>
            </w:r>
            <w:r w:rsidRPr="00645B84">
              <w:rPr>
                <w:rFonts w:eastAsiaTheme="minorHAnsi"/>
                <w:color w:val="000000"/>
                <w:spacing w:val="-2"/>
                <w:sz w:val="24"/>
                <w:szCs w:val="24"/>
                <w:lang w:val="en-GB"/>
              </w:rPr>
              <w:t>-2</w:t>
            </w:r>
            <w:r w:rsidR="00F41A2C">
              <w:rPr>
                <w:rFonts w:eastAsiaTheme="minorHAnsi"/>
                <w:color w:val="000000"/>
                <w:spacing w:val="-2"/>
                <w:sz w:val="24"/>
                <w:szCs w:val="24"/>
                <w:lang w:val="en-GB"/>
              </w:rPr>
              <w:t>9</w:t>
            </w:r>
          </w:p>
        </w:tc>
      </w:tr>
      <w:tr w:rsidR="00345EE3" w:rsidRPr="00645B84" w14:paraId="12CBECB6"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749391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F1EE88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Significant changes in financial position</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FCAD14B" w14:textId="63C4E40C"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2</w:t>
            </w:r>
            <w:r w:rsidR="00F41A2C">
              <w:rPr>
                <w:rFonts w:eastAsiaTheme="minorHAnsi"/>
                <w:color w:val="000000"/>
                <w:spacing w:val="-2"/>
                <w:sz w:val="24"/>
                <w:szCs w:val="24"/>
                <w:lang w:val="en-GB"/>
              </w:rPr>
              <w:t>8</w:t>
            </w:r>
            <w:r w:rsidRPr="00645B84">
              <w:rPr>
                <w:rFonts w:eastAsiaTheme="minorHAnsi"/>
                <w:color w:val="000000"/>
                <w:spacing w:val="-2"/>
                <w:sz w:val="24"/>
                <w:szCs w:val="24"/>
                <w:lang w:val="en-GB"/>
              </w:rPr>
              <w:t>-2</w:t>
            </w:r>
            <w:r w:rsidR="00F41A2C">
              <w:rPr>
                <w:rFonts w:eastAsiaTheme="minorHAnsi"/>
                <w:color w:val="000000"/>
                <w:spacing w:val="-2"/>
                <w:sz w:val="24"/>
                <w:szCs w:val="24"/>
                <w:lang w:val="en-GB"/>
              </w:rPr>
              <w:t>9</w:t>
            </w:r>
          </w:p>
        </w:tc>
      </w:tr>
      <w:tr w:rsidR="00345EE3" w:rsidRPr="00645B84" w14:paraId="18420389"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444BA0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A0F243"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Summary of operational and budgetary objectives, including performance against the objectives and significant achievements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6211D9D" w14:textId="77777777" w:rsidR="00345EE3"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1</w:t>
            </w:r>
            <w:r w:rsidR="00CB6DC4">
              <w:rPr>
                <w:rFonts w:eastAsiaTheme="minorHAnsi"/>
                <w:color w:val="000000"/>
                <w:spacing w:val="-2"/>
                <w:sz w:val="24"/>
                <w:szCs w:val="24"/>
                <w:lang w:val="en-GB"/>
              </w:rPr>
              <w:t>8</w:t>
            </w:r>
            <w:r w:rsidRPr="00645B84">
              <w:rPr>
                <w:rFonts w:eastAsiaTheme="minorHAnsi"/>
                <w:color w:val="000000"/>
                <w:spacing w:val="-2"/>
                <w:sz w:val="24"/>
                <w:szCs w:val="24"/>
                <w:lang w:val="en-GB"/>
              </w:rPr>
              <w:t>-2</w:t>
            </w:r>
            <w:r w:rsidR="00CB6DC4">
              <w:rPr>
                <w:rFonts w:eastAsiaTheme="minorHAnsi"/>
                <w:color w:val="000000"/>
                <w:spacing w:val="-2"/>
                <w:sz w:val="24"/>
                <w:szCs w:val="24"/>
                <w:lang w:val="en-GB"/>
              </w:rPr>
              <w:t>9</w:t>
            </w:r>
          </w:p>
          <w:p w14:paraId="787AC0C3" w14:textId="40A146AC" w:rsidR="00CB6DC4"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p>
        </w:tc>
      </w:tr>
      <w:tr w:rsidR="00345EE3" w:rsidRPr="00645B84" w14:paraId="4B86259D"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78E5AA3"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37FE1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Statement on any events occurring after balance date which may significantly affect the entity’s operations in  subsequent reporting periods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E1AF717" w14:textId="722004BB"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197</w:t>
            </w:r>
          </w:p>
        </w:tc>
      </w:tr>
      <w:tr w:rsidR="00345EE3" w:rsidRPr="00645B84" w14:paraId="67FDBC33"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45DE65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5A0CB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Expenditure on consultancies – detail of consultancies over $10,000, details of consultancies under $10,000</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6A7A1FB" w14:textId="508323E5"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57</w:t>
            </w:r>
          </w:p>
        </w:tc>
      </w:tr>
      <w:tr w:rsidR="00345EE3" w:rsidRPr="00645B84" w14:paraId="7D842FB1"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C29DC3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F16B0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Expenditure on government advertising </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4A448A9" w14:textId="613F8FDE"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56</w:t>
            </w:r>
          </w:p>
        </w:tc>
      </w:tr>
      <w:tr w:rsidR="00345EE3" w:rsidRPr="00645B84" w14:paraId="32A9F6B5"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3269143"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99F89D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Discussion and analysis of the entity’s operating results and financial position – including details about any significant factors that affect the entity’s performance</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877B00E" w14:textId="4958CE2B"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18</w:t>
            </w:r>
            <w:r w:rsidR="00345EE3" w:rsidRPr="00645B84">
              <w:rPr>
                <w:rFonts w:eastAsiaTheme="minorHAnsi"/>
                <w:color w:val="000000"/>
                <w:spacing w:val="-2"/>
                <w:sz w:val="24"/>
                <w:szCs w:val="24"/>
                <w:lang w:val="en-GB"/>
              </w:rPr>
              <w:t>-2</w:t>
            </w:r>
            <w:r>
              <w:rPr>
                <w:rFonts w:eastAsiaTheme="minorHAnsi"/>
                <w:color w:val="000000"/>
                <w:spacing w:val="-2"/>
                <w:sz w:val="24"/>
                <w:szCs w:val="24"/>
                <w:lang w:val="en-GB"/>
              </w:rPr>
              <w:t>9</w:t>
            </w:r>
          </w:p>
        </w:tc>
      </w:tr>
      <w:tr w:rsidR="00345EE3" w:rsidRPr="00645B84" w14:paraId="3952069A"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D6A4DA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230E51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Disclosure of ICT expenditure</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8D187C3" w14:textId="286AC20F"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55</w:t>
            </w:r>
          </w:p>
        </w:tc>
      </w:tr>
      <w:tr w:rsidR="00345EE3" w:rsidRPr="00645B84" w14:paraId="598C6E1A"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AD415B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51EA2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Statement on National Competition Policy</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291418C" w14:textId="67556574"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59</w:t>
            </w:r>
          </w:p>
        </w:tc>
      </w:tr>
      <w:tr w:rsidR="00345EE3" w:rsidRPr="00645B84" w14:paraId="5776A511"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B68B7E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B641EA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Application and operation of </w:t>
            </w:r>
            <w:r w:rsidRPr="00645B84">
              <w:rPr>
                <w:rFonts w:eastAsiaTheme="minorHAnsi"/>
                <w:i/>
                <w:iCs/>
                <w:color w:val="000000"/>
                <w:spacing w:val="-4"/>
                <w:sz w:val="24"/>
                <w:szCs w:val="24"/>
                <w:lang w:val="en-GB"/>
              </w:rPr>
              <w:t>Freedom of Information Act</w:t>
            </w:r>
            <w:r w:rsidRPr="00645B84">
              <w:rPr>
                <w:rFonts w:eastAsiaTheme="minorHAnsi"/>
                <w:color w:val="000000"/>
                <w:sz w:val="24"/>
                <w:szCs w:val="24"/>
                <w:lang w:val="en-GB"/>
              </w:rPr>
              <w:t xml:space="preserve"> 1982</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AF94270" w14:textId="5616FF15"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57-59</w:t>
            </w:r>
          </w:p>
        </w:tc>
      </w:tr>
      <w:tr w:rsidR="00345EE3" w:rsidRPr="00645B84" w14:paraId="312731DA"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DA769F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A99456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Compliance with building and maintenance provisions of </w:t>
            </w:r>
            <w:r w:rsidRPr="00645B84">
              <w:rPr>
                <w:rFonts w:eastAsiaTheme="minorHAnsi"/>
                <w:i/>
                <w:iCs/>
                <w:color w:val="000000"/>
                <w:spacing w:val="-4"/>
                <w:sz w:val="24"/>
                <w:szCs w:val="24"/>
                <w:lang w:val="en-GB"/>
              </w:rPr>
              <w:t>Building Act</w:t>
            </w:r>
            <w:r w:rsidRPr="00645B84">
              <w:rPr>
                <w:rFonts w:eastAsiaTheme="minorHAnsi"/>
                <w:color w:val="000000"/>
                <w:sz w:val="24"/>
                <w:szCs w:val="24"/>
                <w:lang w:val="en-GB"/>
              </w:rPr>
              <w:t xml:space="preserve"> 1993</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508796E" w14:textId="02D2A3A5"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59</w:t>
            </w:r>
          </w:p>
        </w:tc>
      </w:tr>
      <w:tr w:rsidR="00345EE3" w:rsidRPr="00645B84" w14:paraId="6968B52F"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7B0373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42E33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Application and operation of the </w:t>
            </w:r>
            <w:r w:rsidRPr="00645B84">
              <w:rPr>
                <w:rFonts w:eastAsiaTheme="minorHAnsi"/>
                <w:i/>
                <w:iCs/>
                <w:color w:val="000000"/>
                <w:spacing w:val="-4"/>
                <w:sz w:val="24"/>
                <w:szCs w:val="24"/>
                <w:lang w:val="en-GB"/>
              </w:rPr>
              <w:t>Public Interest Disclosures Act</w:t>
            </w:r>
            <w:r w:rsidRPr="00645B84">
              <w:rPr>
                <w:rFonts w:eastAsiaTheme="minorHAnsi"/>
                <w:color w:val="000000"/>
                <w:sz w:val="24"/>
                <w:szCs w:val="24"/>
                <w:lang w:val="en-GB"/>
              </w:rPr>
              <w:t xml:space="preserve"> 2012</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7148614" w14:textId="2BB8C31A"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59-61</w:t>
            </w:r>
          </w:p>
        </w:tc>
      </w:tr>
      <w:tr w:rsidR="00345EE3" w:rsidRPr="00645B84" w14:paraId="28EA3CD2"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0FBB91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F8B29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Statement, to the extent applicable, that the information disclosed in accordance with FRD 15 is available on request </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6E777C2" w14:textId="3FE72938"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103</w:t>
            </w:r>
          </w:p>
        </w:tc>
      </w:tr>
      <w:tr w:rsidR="00345EE3" w:rsidRPr="00645B84" w14:paraId="5CDA1222"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D2C1B2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019AED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Application and operation of the </w:t>
            </w:r>
            <w:r w:rsidRPr="00645B84">
              <w:rPr>
                <w:rFonts w:eastAsiaTheme="minorHAnsi"/>
                <w:i/>
                <w:iCs/>
                <w:color w:val="000000"/>
                <w:spacing w:val="-4"/>
                <w:sz w:val="24"/>
                <w:szCs w:val="24"/>
                <w:lang w:val="en-GB"/>
              </w:rPr>
              <w:t xml:space="preserve">Carers Recognition Act </w:t>
            </w:r>
            <w:r w:rsidRPr="00645B84">
              <w:rPr>
                <w:rFonts w:eastAsiaTheme="minorHAnsi"/>
                <w:color w:val="000000"/>
                <w:sz w:val="24"/>
                <w:szCs w:val="24"/>
                <w:lang w:val="en-GB"/>
              </w:rPr>
              <w:t>2012</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4550628" w14:textId="11A1CD28"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62</w:t>
            </w:r>
          </w:p>
        </w:tc>
      </w:tr>
      <w:tr w:rsidR="00345EE3" w:rsidRPr="00645B84" w14:paraId="1AE7D044"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4F687E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24</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0C7A14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Reporting of office-based environmental impacts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583C34A" w14:textId="3C0C0DE9"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77-88</w:t>
            </w:r>
          </w:p>
        </w:tc>
      </w:tr>
      <w:tr w:rsidR="00345EE3" w:rsidRPr="00645B84" w14:paraId="7829B3CC"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A2D8723"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25</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A619A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Local Jobs First</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2336154" w14:textId="2A9B218D"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54</w:t>
            </w:r>
          </w:p>
        </w:tc>
      </w:tr>
      <w:tr w:rsidR="00345EE3" w:rsidRPr="00645B84" w14:paraId="1A05AC99"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2E3829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29</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D166AE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Workforce Data disclosures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010A7E5" w14:textId="4D5CC2F2"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95-104</w:t>
            </w:r>
          </w:p>
        </w:tc>
      </w:tr>
      <w:tr w:rsidR="00345EE3" w:rsidRPr="00645B84" w14:paraId="6D6432C7"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6BB2A1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SD 5.2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54AD14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Specific requirements under Standing Direction 5.2</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57" w:type="dxa"/>
              <w:bottom w:w="113" w:type="dxa"/>
              <w:right w:w="14" w:type="dxa"/>
            </w:tcMar>
          </w:tcPr>
          <w:p w14:paraId="124B4A0B" w14:textId="3B74EEC5"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2</w:t>
            </w:r>
          </w:p>
        </w:tc>
      </w:tr>
      <w:tr w:rsidR="00345EE3" w:rsidRPr="00645B84" w14:paraId="7DCE98B5"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37FCF1A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b/>
                <w:bCs/>
                <w:color w:val="000000"/>
                <w:sz w:val="24"/>
                <w:szCs w:val="24"/>
                <w:lang w:val="en-GB"/>
              </w:rPr>
              <w:t>Compliance Attestation And Declaration</w:t>
            </w:r>
          </w:p>
        </w:tc>
      </w:tr>
      <w:tr w:rsidR="00345EE3" w:rsidRPr="00645B84" w14:paraId="41367789"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9C5552E"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SD 5.1.4</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61C89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Financial Management Compliance Attestation </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C59EF1A" w14:textId="798ED588"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89</w:t>
            </w:r>
          </w:p>
        </w:tc>
      </w:tr>
      <w:tr w:rsidR="00345EE3" w:rsidRPr="00645B84" w14:paraId="5A10C490"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1949A5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SD 5.2.3</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F2A23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Declaration in report of operations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57" w:type="dxa"/>
              <w:bottom w:w="113" w:type="dxa"/>
              <w:right w:w="14" w:type="dxa"/>
            </w:tcMar>
          </w:tcPr>
          <w:p w14:paraId="234646A4" w14:textId="39C30FD6"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2</w:t>
            </w:r>
          </w:p>
        </w:tc>
      </w:tr>
      <w:tr w:rsidR="00345EE3" w:rsidRPr="00645B84" w14:paraId="68FFAA3B"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004996" w:fill="auto"/>
            <w:tcMar>
              <w:top w:w="113" w:type="dxa"/>
              <w:left w:w="14" w:type="dxa"/>
              <w:bottom w:w="113" w:type="dxa"/>
              <w:right w:w="14" w:type="dxa"/>
            </w:tcMar>
          </w:tcPr>
          <w:p w14:paraId="5051B0F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FFFFFF" w:themeColor="background1"/>
                <w:sz w:val="24"/>
                <w:szCs w:val="24"/>
                <w:lang w:val="en-GB"/>
              </w:rPr>
            </w:pPr>
            <w:r w:rsidRPr="00645B84">
              <w:rPr>
                <w:rFonts w:eastAsiaTheme="minorHAnsi"/>
                <w:b/>
                <w:bCs/>
                <w:color w:val="FFFFFF" w:themeColor="background1"/>
                <w:sz w:val="24"/>
                <w:szCs w:val="24"/>
                <w:lang w:val="en-GB"/>
              </w:rPr>
              <w:t>Financial Performance and Financial Statements</w:t>
            </w:r>
          </w:p>
        </w:tc>
      </w:tr>
      <w:tr w:rsidR="00345EE3" w:rsidRPr="00645B84" w14:paraId="359EE683"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33328ED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b/>
                <w:bCs/>
                <w:color w:val="000000"/>
                <w:sz w:val="24"/>
                <w:szCs w:val="24"/>
                <w:lang w:val="en-GB"/>
              </w:rPr>
              <w:t>Declaration</w:t>
            </w:r>
          </w:p>
        </w:tc>
      </w:tr>
      <w:tr w:rsidR="00345EE3" w:rsidRPr="00645B84" w14:paraId="024C4262"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BFDF49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SD 5.2.2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9D769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Declaration in financial statements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BDB2CA3" w14:textId="687FF127"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108</w:t>
            </w:r>
          </w:p>
        </w:tc>
      </w:tr>
      <w:tr w:rsidR="00345EE3" w:rsidRPr="00645B84" w14:paraId="5E2ECFDA"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429B62E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b/>
                <w:bCs/>
                <w:color w:val="000000"/>
                <w:sz w:val="24"/>
                <w:szCs w:val="24"/>
                <w:lang w:val="en-GB"/>
              </w:rPr>
              <w:t>Other Requirements under Standing Directions 5.2</w:t>
            </w:r>
          </w:p>
        </w:tc>
      </w:tr>
      <w:tr w:rsidR="00345EE3" w:rsidRPr="00645B84" w14:paraId="7AD06178"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4E8C00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SD 5.2.1(a)</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1C951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Compliance with Australian accounting standards and other authoritative pronouncements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390F33E" w14:textId="3B7B33DD"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115-116</w:t>
            </w:r>
          </w:p>
        </w:tc>
      </w:tr>
      <w:tr w:rsidR="00345EE3" w:rsidRPr="00645B84" w14:paraId="036C27B4"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738318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SD 5.2.1(b)</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D0E87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Compliance with Model Financial  Report</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6736165" w14:textId="24CBB12A"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105-199</w:t>
            </w:r>
          </w:p>
        </w:tc>
      </w:tr>
      <w:tr w:rsidR="00345EE3" w:rsidRPr="00645B84" w14:paraId="7B48AEAD"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673BC6D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b/>
                <w:bCs/>
                <w:color w:val="000000"/>
                <w:sz w:val="24"/>
                <w:szCs w:val="24"/>
                <w:lang w:val="en-GB"/>
              </w:rPr>
              <w:t>Other Disclosures as Required by FRDs In Notes To The Financial Statements</w:t>
            </w:r>
          </w:p>
        </w:tc>
      </w:tr>
      <w:tr w:rsidR="00345EE3" w:rsidRPr="00645B84" w14:paraId="230D558D"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620B0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9</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4CC51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Departmental Disclosure of Administered Assets and Liabilities by Activity</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630A3EB" w14:textId="1705E9AE"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127-130</w:t>
            </w:r>
          </w:p>
        </w:tc>
      </w:tr>
      <w:tr w:rsidR="00345EE3" w:rsidRPr="00645B84" w14:paraId="5853EAB7"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197D14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11</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44361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Disclosure of Ex gratia Expenses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BDC952D" w14:textId="60AD8C27"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127</w:t>
            </w:r>
          </w:p>
        </w:tc>
      </w:tr>
      <w:tr w:rsidR="00345EE3" w:rsidRPr="00645B84" w14:paraId="477CE5CB"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66042A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21</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E8CD4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Disclosures of Responsible Persons, Executive Officers and other Personnel (Contractors with Significant Management Responsibilities) in the Financial Report</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F186F91" w14:textId="0F87C0B9"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191</w:t>
            </w:r>
          </w:p>
        </w:tc>
      </w:tr>
      <w:tr w:rsidR="00345EE3" w:rsidRPr="00645B84" w14:paraId="388013FA"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D88679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103</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4FB440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Non-Financial Physical Assets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66DAC85" w14:textId="3C584483"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135-144</w:t>
            </w:r>
          </w:p>
        </w:tc>
      </w:tr>
      <w:tr w:rsidR="00345EE3" w:rsidRPr="00645B84" w14:paraId="0F7B1918"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48B375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110</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BD7A09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Cash Flow Statement</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A385E00" w14:textId="2098FBA0"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114</w:t>
            </w:r>
          </w:p>
        </w:tc>
      </w:tr>
      <w:tr w:rsidR="00345EE3" w:rsidRPr="00645B84" w14:paraId="08CA3D15"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07E6133"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112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B638CD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Defined Benefit Superannuation  Obligations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51EC723" w14:textId="6E1C3233"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121</w:t>
            </w:r>
          </w:p>
        </w:tc>
      </w:tr>
      <w:tr w:rsidR="00345EE3" w:rsidRPr="00645B84" w14:paraId="78BC47B6"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19602A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114</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F1268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Financial Instruments – general government entities and public non-financial corporations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85F3D36" w14:textId="243B7CD3"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160-177</w:t>
            </w:r>
          </w:p>
        </w:tc>
      </w:tr>
      <w:tr w:rsidR="00345EE3" w:rsidRPr="00645B84" w14:paraId="77753EA8"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A18151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Building Act</w:t>
            </w:r>
            <w:r w:rsidRPr="00645B84">
              <w:rPr>
                <w:rFonts w:eastAsiaTheme="minorHAnsi"/>
                <w:color w:val="000000"/>
                <w:sz w:val="24"/>
                <w:szCs w:val="24"/>
                <w:lang w:val="en-GB"/>
              </w:rPr>
              <w:t xml:space="preserve"> 1993</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8ED0212" w14:textId="4AE3A0D4"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59</w:t>
            </w:r>
          </w:p>
        </w:tc>
      </w:tr>
      <w:tr w:rsidR="00345EE3" w:rsidRPr="00645B84" w14:paraId="04B4FE7C"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7F1B63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Carers Recognition Act</w:t>
            </w:r>
            <w:r w:rsidRPr="00645B84">
              <w:rPr>
                <w:rFonts w:eastAsiaTheme="minorHAnsi"/>
                <w:color w:val="000000"/>
                <w:sz w:val="24"/>
                <w:szCs w:val="24"/>
                <w:lang w:val="en-GB"/>
              </w:rPr>
              <w:t xml:space="preserve"> 2012</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EE8D15F" w14:textId="14FC15D3"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62</w:t>
            </w:r>
          </w:p>
        </w:tc>
      </w:tr>
      <w:tr w:rsidR="00345EE3" w:rsidRPr="00645B84" w14:paraId="7D223F2D"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938DC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Charter of Human Rights and Responsibilities Act </w:t>
            </w:r>
            <w:r w:rsidRPr="00645B84">
              <w:rPr>
                <w:rFonts w:eastAsiaTheme="minorHAnsi"/>
                <w:color w:val="000000"/>
                <w:sz w:val="24"/>
                <w:szCs w:val="24"/>
                <w:lang w:val="en-GB"/>
              </w:rPr>
              <w:t>2006</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DB2BDA4" w14:textId="026B9429"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50</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70</w:t>
            </w:r>
          </w:p>
        </w:tc>
      </w:tr>
      <w:tr w:rsidR="00345EE3" w:rsidRPr="00645B84" w14:paraId="57FFFBC1"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5DE924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Climate Change Act</w:t>
            </w:r>
            <w:r w:rsidRPr="00645B84">
              <w:rPr>
                <w:rFonts w:eastAsiaTheme="minorHAnsi"/>
                <w:color w:val="000000"/>
                <w:sz w:val="24"/>
                <w:szCs w:val="24"/>
                <w:lang w:val="en-GB"/>
              </w:rPr>
              <w:t xml:space="preserve"> 2017</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69E0A5A" w14:textId="413B0D84"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83</w:t>
            </w:r>
          </w:p>
        </w:tc>
      </w:tr>
      <w:tr w:rsidR="00345EE3" w:rsidRPr="00645B84" w14:paraId="5B1496FE"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26A0BE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Control of Weapons Act</w:t>
            </w:r>
            <w:r w:rsidRPr="00645B84">
              <w:rPr>
                <w:rFonts w:eastAsiaTheme="minorHAnsi"/>
                <w:color w:val="000000"/>
                <w:sz w:val="24"/>
                <w:szCs w:val="24"/>
                <w:lang w:val="en-GB"/>
              </w:rPr>
              <w:t xml:space="preserve"> 1990</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9569EBE" w14:textId="0F681D84" w:rsidR="00345EE3" w:rsidRPr="00645B84" w:rsidRDefault="00A74529"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66-68</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70</w:t>
            </w:r>
          </w:p>
        </w:tc>
      </w:tr>
      <w:tr w:rsidR="00345EE3" w:rsidRPr="00645B84" w14:paraId="356AE444"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FF1826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Corrections Act </w:t>
            </w:r>
            <w:r w:rsidRPr="00645B84">
              <w:rPr>
                <w:rFonts w:eastAsiaTheme="minorHAnsi"/>
                <w:color w:val="000000"/>
                <w:sz w:val="24"/>
                <w:szCs w:val="24"/>
                <w:lang w:val="en-GB"/>
              </w:rPr>
              <w:t>1986</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F24E4D1" w14:textId="4E49909E" w:rsidR="00345EE3" w:rsidRPr="00645B84" w:rsidRDefault="00A74529"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70-71</w:t>
            </w:r>
          </w:p>
        </w:tc>
      </w:tr>
      <w:tr w:rsidR="00345EE3" w:rsidRPr="00645B84" w14:paraId="3D3A6003"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0C3E35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Criminal Procedure Act</w:t>
            </w:r>
            <w:r w:rsidRPr="00645B84">
              <w:rPr>
                <w:rFonts w:eastAsiaTheme="minorHAnsi"/>
                <w:color w:val="000000"/>
                <w:sz w:val="24"/>
                <w:szCs w:val="24"/>
                <w:lang w:val="en-GB"/>
              </w:rPr>
              <w:t xml:space="preserve"> 2009</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5F543E4" w14:textId="6E11CEDF" w:rsidR="00345EE3" w:rsidRPr="00645B84" w:rsidRDefault="00A74529"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43</w:t>
            </w:r>
          </w:p>
        </w:tc>
      </w:tr>
      <w:tr w:rsidR="00345EE3" w:rsidRPr="00645B84" w14:paraId="7129C9B3"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382394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Disability Act 2</w:t>
            </w:r>
            <w:r w:rsidRPr="00645B84">
              <w:rPr>
                <w:rFonts w:eastAsiaTheme="minorHAnsi"/>
                <w:color w:val="000000"/>
                <w:sz w:val="24"/>
                <w:szCs w:val="24"/>
                <w:lang w:val="en-GB"/>
              </w:rPr>
              <w:t>006</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5DCC2CC" w14:textId="1FFDC938" w:rsidR="00345EE3" w:rsidRPr="00645B84" w:rsidRDefault="00A74529"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62</w:t>
            </w:r>
          </w:p>
        </w:tc>
      </w:tr>
      <w:tr w:rsidR="00345EE3" w:rsidRPr="00645B84" w14:paraId="578E54D9"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B2BBDB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Fair Work Act</w:t>
            </w:r>
            <w:r w:rsidRPr="00645B84">
              <w:rPr>
                <w:rFonts w:eastAsiaTheme="minorHAnsi"/>
                <w:color w:val="000000"/>
                <w:sz w:val="24"/>
                <w:szCs w:val="24"/>
                <w:lang w:val="en-GB"/>
              </w:rPr>
              <w:t xml:space="preserve"> 2009</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8198EF7" w14:textId="75C7F85D"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1</w:t>
            </w:r>
            <w:r w:rsidR="00A74529">
              <w:rPr>
                <w:rFonts w:eastAsiaTheme="minorHAnsi"/>
                <w:color w:val="000000"/>
                <w:spacing w:val="-2"/>
                <w:sz w:val="24"/>
                <w:szCs w:val="24"/>
                <w:lang w:val="en-GB"/>
              </w:rPr>
              <w:t>4</w:t>
            </w:r>
            <w:r w:rsidRPr="00645B84">
              <w:rPr>
                <w:rFonts w:eastAsiaTheme="minorHAnsi"/>
                <w:color w:val="000000"/>
                <w:spacing w:val="-2"/>
                <w:sz w:val="24"/>
                <w:szCs w:val="24"/>
                <w:lang w:val="en-GB"/>
              </w:rPr>
              <w:t xml:space="preserve">, </w:t>
            </w:r>
            <w:r w:rsidR="00A74529">
              <w:rPr>
                <w:rFonts w:eastAsiaTheme="minorHAnsi"/>
                <w:color w:val="000000"/>
                <w:spacing w:val="-2"/>
                <w:sz w:val="24"/>
                <w:szCs w:val="24"/>
                <w:lang w:val="en-GB"/>
              </w:rPr>
              <w:t>62</w:t>
            </w:r>
          </w:p>
        </w:tc>
      </w:tr>
      <w:tr w:rsidR="00345EE3" w:rsidRPr="00645B84" w14:paraId="275D1A52"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A59EEB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Fair Work Regulations 2009</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7287D56" w14:textId="1686D28F"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1</w:t>
            </w:r>
            <w:r w:rsidR="00A74529">
              <w:rPr>
                <w:rFonts w:eastAsiaTheme="minorHAnsi"/>
                <w:color w:val="000000"/>
                <w:spacing w:val="-2"/>
                <w:sz w:val="24"/>
                <w:szCs w:val="24"/>
                <w:lang w:val="en-GB"/>
              </w:rPr>
              <w:t>4</w:t>
            </w:r>
          </w:p>
        </w:tc>
      </w:tr>
      <w:tr w:rsidR="00345EE3" w:rsidRPr="00645B84" w14:paraId="3A41322D"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9C7799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Financial Management Act</w:t>
            </w:r>
            <w:r w:rsidRPr="00645B84">
              <w:rPr>
                <w:rFonts w:eastAsiaTheme="minorHAnsi"/>
                <w:color w:val="000000"/>
                <w:sz w:val="24"/>
                <w:szCs w:val="24"/>
                <w:lang w:val="en-GB"/>
              </w:rPr>
              <w:t xml:space="preserve"> 1994</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57" w:type="dxa"/>
              <w:bottom w:w="113" w:type="dxa"/>
              <w:right w:w="14" w:type="dxa"/>
            </w:tcMar>
          </w:tcPr>
          <w:p w14:paraId="34910387" w14:textId="575F888D" w:rsidR="00345EE3" w:rsidRPr="00645B84" w:rsidRDefault="00A74529"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2</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4</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9, 10, 11</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66</w:t>
            </w:r>
            <w:r w:rsidR="00345EE3" w:rsidRPr="00645B84">
              <w:rPr>
                <w:rFonts w:eastAsiaTheme="minorHAnsi"/>
                <w:color w:val="000000"/>
                <w:spacing w:val="-2"/>
                <w:sz w:val="24"/>
                <w:szCs w:val="24"/>
                <w:lang w:val="en-GB"/>
              </w:rPr>
              <w:t xml:space="preserve">, </w:t>
            </w:r>
            <w:r w:rsidR="00345EE3" w:rsidRPr="00645B84">
              <w:rPr>
                <w:rFonts w:eastAsiaTheme="minorHAnsi"/>
                <w:color w:val="000000"/>
                <w:spacing w:val="-2"/>
                <w:sz w:val="24"/>
                <w:szCs w:val="24"/>
                <w:lang w:val="en-GB"/>
              </w:rPr>
              <w:br/>
            </w:r>
            <w:r>
              <w:rPr>
                <w:rFonts w:eastAsiaTheme="minorHAnsi"/>
                <w:color w:val="000000"/>
                <w:spacing w:val="-2"/>
                <w:sz w:val="24"/>
                <w:szCs w:val="24"/>
                <w:lang w:val="en-GB"/>
              </w:rPr>
              <w:t>70</w:t>
            </w:r>
            <w:r w:rsidR="00345EE3" w:rsidRPr="00645B84">
              <w:rPr>
                <w:rFonts w:eastAsiaTheme="minorHAnsi"/>
                <w:color w:val="000000"/>
                <w:spacing w:val="-2"/>
                <w:sz w:val="24"/>
                <w:szCs w:val="24"/>
                <w:lang w:val="en-GB"/>
              </w:rPr>
              <w:t>-</w:t>
            </w:r>
            <w:r>
              <w:rPr>
                <w:rFonts w:eastAsiaTheme="minorHAnsi"/>
                <w:color w:val="000000"/>
                <w:spacing w:val="-2"/>
                <w:sz w:val="24"/>
                <w:szCs w:val="24"/>
                <w:lang w:val="en-GB"/>
              </w:rPr>
              <w:t>73</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88-89</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116</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120</w:t>
            </w:r>
            <w:r w:rsidR="00345EE3" w:rsidRPr="00645B84">
              <w:rPr>
                <w:rFonts w:eastAsiaTheme="minorHAnsi"/>
                <w:color w:val="000000"/>
                <w:spacing w:val="-2"/>
                <w:sz w:val="24"/>
                <w:szCs w:val="24"/>
                <w:lang w:val="en-GB"/>
              </w:rPr>
              <w:t xml:space="preserve">, </w:t>
            </w:r>
            <w:r w:rsidR="00345EE3" w:rsidRPr="00645B84">
              <w:rPr>
                <w:rFonts w:eastAsiaTheme="minorHAnsi"/>
                <w:color w:val="000000"/>
                <w:spacing w:val="-2"/>
                <w:sz w:val="24"/>
                <w:szCs w:val="24"/>
                <w:lang w:val="en-GB"/>
              </w:rPr>
              <w:br/>
            </w:r>
            <w:r>
              <w:rPr>
                <w:rFonts w:eastAsiaTheme="minorHAnsi"/>
                <w:color w:val="000000"/>
                <w:spacing w:val="-2"/>
                <w:sz w:val="24"/>
                <w:szCs w:val="24"/>
                <w:lang w:val="en-GB"/>
              </w:rPr>
              <w:t>156-158</w:t>
            </w:r>
            <w:r w:rsidR="00345EE3" w:rsidRPr="00645B84">
              <w:rPr>
                <w:rFonts w:eastAsiaTheme="minorHAnsi"/>
                <w:color w:val="000000"/>
                <w:spacing w:val="-2"/>
                <w:sz w:val="24"/>
                <w:szCs w:val="24"/>
                <w:lang w:val="en-GB"/>
              </w:rPr>
              <w:t>, 19</w:t>
            </w:r>
            <w:r>
              <w:rPr>
                <w:rFonts w:eastAsiaTheme="minorHAnsi"/>
                <w:color w:val="000000"/>
                <w:spacing w:val="-2"/>
                <w:sz w:val="24"/>
                <w:szCs w:val="24"/>
                <w:lang w:val="en-GB"/>
              </w:rPr>
              <w:t>1</w:t>
            </w:r>
          </w:p>
        </w:tc>
      </w:tr>
      <w:tr w:rsidR="00345EE3" w:rsidRPr="00645B84" w14:paraId="3C0BF81F"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22EC3E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Firearms Act </w:t>
            </w:r>
            <w:r w:rsidRPr="00645B84">
              <w:rPr>
                <w:rFonts w:eastAsiaTheme="minorHAnsi"/>
                <w:color w:val="000000"/>
                <w:sz w:val="24"/>
                <w:szCs w:val="24"/>
                <w:lang w:val="en-GB"/>
              </w:rPr>
              <w:t>1996</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71E9A23" w14:textId="0B6ED1B7"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47</w:t>
            </w:r>
            <w:r w:rsidR="00345EE3" w:rsidRPr="00645B84">
              <w:rPr>
                <w:rFonts w:eastAsiaTheme="minorHAnsi"/>
                <w:color w:val="000000"/>
                <w:spacing w:val="-2"/>
                <w:sz w:val="24"/>
                <w:szCs w:val="24"/>
                <w:lang w:val="en-GB"/>
              </w:rPr>
              <w:t xml:space="preserve">, </w:t>
            </w:r>
            <w:r w:rsidR="00345EE3" w:rsidRPr="00645B84">
              <w:rPr>
                <w:rFonts w:eastAsiaTheme="minorHAnsi"/>
                <w:color w:val="000000"/>
                <w:spacing w:val="-2"/>
                <w:sz w:val="24"/>
                <w:szCs w:val="24"/>
                <w:lang w:val="en-GB"/>
              </w:rPr>
              <w:br/>
            </w:r>
            <w:r>
              <w:rPr>
                <w:rFonts w:eastAsiaTheme="minorHAnsi"/>
                <w:color w:val="000000"/>
                <w:spacing w:val="-2"/>
                <w:sz w:val="24"/>
                <w:szCs w:val="24"/>
                <w:lang w:val="en-GB"/>
              </w:rPr>
              <w:t>71-73</w:t>
            </w:r>
          </w:p>
        </w:tc>
      </w:tr>
      <w:tr w:rsidR="00345EE3" w:rsidRPr="00645B84" w14:paraId="1A5D4E7F"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23A9B13"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Firearms and other Acts Amendment Act </w:t>
            </w:r>
            <w:r w:rsidRPr="00645B84">
              <w:rPr>
                <w:rFonts w:eastAsiaTheme="minorHAnsi"/>
                <w:color w:val="000000"/>
                <w:sz w:val="24"/>
                <w:szCs w:val="24"/>
                <w:lang w:val="en-GB"/>
              </w:rPr>
              <w:t>2021</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D5BEB44" w14:textId="4D1BDDC3"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89</w:t>
            </w:r>
          </w:p>
        </w:tc>
      </w:tr>
      <w:tr w:rsidR="00345EE3" w:rsidRPr="00645B84" w14:paraId="2F68CA1E"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89919D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Freedom of Information Act </w:t>
            </w:r>
            <w:r w:rsidRPr="00645B84">
              <w:rPr>
                <w:rFonts w:eastAsiaTheme="minorHAnsi"/>
                <w:color w:val="000000"/>
                <w:sz w:val="24"/>
                <w:szCs w:val="24"/>
                <w:lang w:val="en-GB"/>
              </w:rPr>
              <w:t>1982</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481B77A" w14:textId="2CE7CE14"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57-58</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88</w:t>
            </w:r>
          </w:p>
        </w:tc>
      </w:tr>
      <w:tr w:rsidR="00345EE3" w:rsidRPr="00645B84" w14:paraId="1BEDB8F4"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21EB20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Gender Equality Act </w:t>
            </w:r>
            <w:r w:rsidRPr="00645B84">
              <w:rPr>
                <w:rFonts w:eastAsiaTheme="minorHAnsi"/>
                <w:color w:val="000000"/>
                <w:sz w:val="24"/>
                <w:szCs w:val="24"/>
                <w:lang w:val="en-GB"/>
              </w:rPr>
              <w:t>2020</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EA14555" w14:textId="3CA90B1C"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12</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38</w:t>
            </w:r>
          </w:p>
        </w:tc>
      </w:tr>
      <w:tr w:rsidR="00345EE3" w:rsidRPr="00645B84" w14:paraId="601150D4"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9DD31C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Graffiti Prevention Act </w:t>
            </w:r>
            <w:r w:rsidRPr="00645B84">
              <w:rPr>
                <w:rFonts w:eastAsiaTheme="minorHAnsi"/>
                <w:color w:val="000000"/>
                <w:sz w:val="24"/>
                <w:szCs w:val="24"/>
                <w:lang w:val="en-GB"/>
              </w:rPr>
              <w:t>2007</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5CB3733" w14:textId="2C40B631"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74</w:t>
            </w:r>
          </w:p>
        </w:tc>
      </w:tr>
      <w:tr w:rsidR="00345EE3" w:rsidRPr="00645B84" w14:paraId="558A8CBD"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356C2C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Independent Broad-based Anti-corruption Act </w:t>
            </w:r>
            <w:r w:rsidRPr="00645B84">
              <w:rPr>
                <w:rFonts w:eastAsiaTheme="minorHAnsi"/>
                <w:color w:val="000000"/>
                <w:sz w:val="24"/>
                <w:szCs w:val="24"/>
                <w:lang w:val="en-GB"/>
              </w:rPr>
              <w:t>2011</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27B76D5" w14:textId="4DD08DE7"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61</w:t>
            </w:r>
          </w:p>
        </w:tc>
      </w:tr>
      <w:tr w:rsidR="00345EE3" w:rsidRPr="00645B84" w14:paraId="1E92A72A"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F4613D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Local Jobs First Act </w:t>
            </w:r>
            <w:r w:rsidRPr="00645B84">
              <w:rPr>
                <w:rFonts w:eastAsiaTheme="minorHAnsi"/>
                <w:color w:val="000000"/>
                <w:sz w:val="24"/>
                <w:szCs w:val="24"/>
                <w:lang w:val="en-GB"/>
              </w:rPr>
              <w:t>2003</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E730BA5" w14:textId="78073477"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54</w:t>
            </w:r>
          </w:p>
        </w:tc>
      </w:tr>
      <w:tr w:rsidR="00345EE3" w:rsidRPr="00645B84" w14:paraId="3BE9FAB3"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B23B13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Police and Emergency Legislation Amendment Act </w:t>
            </w:r>
            <w:r w:rsidRPr="00645B84">
              <w:rPr>
                <w:rFonts w:eastAsiaTheme="minorHAnsi"/>
                <w:color w:val="000000"/>
                <w:sz w:val="24"/>
                <w:szCs w:val="24"/>
                <w:lang w:val="en-GB"/>
              </w:rPr>
              <w:t>2020</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352D60A" w14:textId="29F28522"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33</w:t>
            </w:r>
          </w:p>
        </w:tc>
      </w:tr>
      <w:tr w:rsidR="00345EE3" w:rsidRPr="00645B84" w14:paraId="7658EB19"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A43804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Project Development and Construction Management Act </w:t>
            </w:r>
            <w:r w:rsidRPr="00645B84">
              <w:rPr>
                <w:rFonts w:eastAsiaTheme="minorHAnsi"/>
                <w:color w:val="000000"/>
                <w:sz w:val="24"/>
                <w:szCs w:val="24"/>
                <w:lang w:val="en-GB"/>
              </w:rPr>
              <w:t>1994</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A9D79DD" w14:textId="5A3C81BE"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9</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59</w:t>
            </w:r>
          </w:p>
        </w:tc>
      </w:tr>
      <w:tr w:rsidR="00345EE3" w:rsidRPr="00645B84" w14:paraId="3781479F"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C4019C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Public Administration Act </w:t>
            </w:r>
            <w:r w:rsidRPr="00645B84">
              <w:rPr>
                <w:rFonts w:eastAsiaTheme="minorHAnsi"/>
                <w:color w:val="000000"/>
                <w:sz w:val="24"/>
                <w:szCs w:val="24"/>
                <w:lang w:val="en-GB"/>
              </w:rPr>
              <w:t>2004</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22A3006" w14:textId="693CA81B"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8</w:t>
            </w:r>
            <w:r w:rsidR="00345EE3" w:rsidRPr="00645B84">
              <w:rPr>
                <w:rFonts w:eastAsiaTheme="minorHAnsi"/>
                <w:color w:val="000000"/>
                <w:spacing w:val="-2"/>
                <w:sz w:val="24"/>
                <w:szCs w:val="24"/>
                <w:lang w:val="en-GB"/>
              </w:rPr>
              <w:t>, 1</w:t>
            </w:r>
            <w:r>
              <w:rPr>
                <w:rFonts w:eastAsiaTheme="minorHAnsi"/>
                <w:color w:val="000000"/>
                <w:spacing w:val="-2"/>
                <w:sz w:val="24"/>
                <w:szCs w:val="24"/>
                <w:lang w:val="en-GB"/>
              </w:rPr>
              <w:t>4</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9</w:t>
            </w:r>
            <w:r w:rsidR="00345EE3" w:rsidRPr="00645B84">
              <w:rPr>
                <w:rFonts w:eastAsiaTheme="minorHAnsi"/>
                <w:color w:val="000000"/>
                <w:spacing w:val="-2"/>
                <w:sz w:val="24"/>
                <w:szCs w:val="24"/>
                <w:lang w:val="en-GB"/>
              </w:rPr>
              <w:t>1, 1</w:t>
            </w:r>
            <w:r>
              <w:rPr>
                <w:rFonts w:eastAsiaTheme="minorHAnsi"/>
                <w:color w:val="000000"/>
                <w:spacing w:val="-2"/>
                <w:sz w:val="24"/>
                <w:szCs w:val="24"/>
                <w:lang w:val="en-GB"/>
              </w:rPr>
              <w:t>97</w:t>
            </w:r>
          </w:p>
        </w:tc>
      </w:tr>
      <w:tr w:rsidR="00345EE3" w:rsidRPr="00645B84" w14:paraId="383CC392"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5A578BF"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Public Health and Wellbeing Act </w:t>
            </w:r>
            <w:r w:rsidRPr="00645B84">
              <w:rPr>
                <w:rFonts w:eastAsiaTheme="minorHAnsi"/>
                <w:color w:val="000000"/>
                <w:sz w:val="24"/>
                <w:szCs w:val="24"/>
                <w:lang w:val="en-GB"/>
              </w:rPr>
              <w:t>2008</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8163D5B" w14:textId="5E7218D0" w:rsidR="00345EE3" w:rsidRPr="00645B84" w:rsidRDefault="0022402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32</w:t>
            </w:r>
          </w:p>
        </w:tc>
      </w:tr>
      <w:tr w:rsidR="00345EE3" w:rsidRPr="00645B84" w14:paraId="6F963963"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E27870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Public Interest Disclosure Act </w:t>
            </w:r>
            <w:r w:rsidRPr="00645B84">
              <w:rPr>
                <w:rFonts w:eastAsiaTheme="minorHAnsi"/>
                <w:color w:val="000000"/>
                <w:sz w:val="24"/>
                <w:szCs w:val="24"/>
                <w:lang w:val="en-GB"/>
              </w:rPr>
              <w:t>2012</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D73692A" w14:textId="0B5A67C5" w:rsidR="00345EE3" w:rsidRPr="00645B84" w:rsidRDefault="0022402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59-60</w:t>
            </w:r>
          </w:p>
        </w:tc>
      </w:tr>
      <w:tr w:rsidR="00345EE3" w:rsidRPr="00645B84" w14:paraId="4D2438D1"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1246F9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Sentencing Act </w:t>
            </w:r>
            <w:r w:rsidRPr="00645B84">
              <w:rPr>
                <w:rFonts w:eastAsiaTheme="minorHAnsi"/>
                <w:color w:val="000000"/>
                <w:sz w:val="24"/>
                <w:szCs w:val="24"/>
                <w:lang w:val="en-GB"/>
              </w:rPr>
              <w:t>1991</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DD9F1F6" w14:textId="05B75218" w:rsidR="00345EE3" w:rsidRPr="00645B84" w:rsidRDefault="0022402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75</w:t>
            </w:r>
          </w:p>
        </w:tc>
      </w:tr>
      <w:tr w:rsidR="00345EE3" w:rsidRPr="00645B84" w14:paraId="6B8B59D0"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1A48A9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Sex Offenders Registration Act </w:t>
            </w:r>
            <w:r w:rsidRPr="00645B84">
              <w:rPr>
                <w:rFonts w:eastAsiaTheme="minorHAnsi"/>
                <w:color w:val="000000"/>
                <w:sz w:val="24"/>
                <w:szCs w:val="24"/>
                <w:lang w:val="en-GB"/>
              </w:rPr>
              <w:t>2004</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0655C1C" w14:textId="16BB44DD" w:rsidR="00345EE3" w:rsidRPr="00645B84" w:rsidRDefault="00A462F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76-77</w:t>
            </w:r>
          </w:p>
        </w:tc>
      </w:tr>
      <w:tr w:rsidR="00345EE3" w:rsidRPr="00645B84" w14:paraId="623C77F7"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C017C6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Spent Convictions Act </w:t>
            </w:r>
            <w:r w:rsidRPr="00645B84">
              <w:rPr>
                <w:rFonts w:eastAsiaTheme="minorHAnsi"/>
                <w:color w:val="000000"/>
                <w:sz w:val="24"/>
                <w:szCs w:val="24"/>
                <w:lang w:val="en-GB"/>
              </w:rPr>
              <w:t xml:space="preserve">2021 </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00D888E" w14:textId="7926079C" w:rsidR="00345EE3" w:rsidRPr="00645B84" w:rsidRDefault="00A462F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39</w:t>
            </w:r>
          </w:p>
        </w:tc>
      </w:tr>
      <w:tr w:rsidR="00345EE3" w:rsidRPr="00645B84" w14:paraId="6D1B137B"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4D32A6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Victoria Police Act </w:t>
            </w:r>
            <w:r w:rsidRPr="00645B84">
              <w:rPr>
                <w:rFonts w:eastAsiaTheme="minorHAnsi"/>
                <w:color w:val="000000"/>
                <w:sz w:val="24"/>
                <w:szCs w:val="24"/>
                <w:lang w:val="en-GB"/>
              </w:rPr>
              <w:t>2013</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F494543" w14:textId="77777777" w:rsidR="00A462F1" w:rsidRDefault="00A462F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5-6</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8</w:t>
            </w:r>
            <w:r w:rsidR="00345EE3" w:rsidRPr="00645B84">
              <w:rPr>
                <w:rFonts w:eastAsiaTheme="minorHAnsi"/>
                <w:color w:val="000000"/>
                <w:spacing w:val="-2"/>
                <w:sz w:val="24"/>
                <w:szCs w:val="24"/>
                <w:lang w:val="en-GB"/>
              </w:rPr>
              <w:t xml:space="preserve">, </w:t>
            </w:r>
          </w:p>
          <w:p w14:paraId="32BA120B" w14:textId="110C4895" w:rsidR="00A462F1"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1</w:t>
            </w:r>
            <w:r w:rsidR="00A462F1">
              <w:rPr>
                <w:rFonts w:eastAsiaTheme="minorHAnsi"/>
                <w:color w:val="000000"/>
                <w:spacing w:val="-2"/>
                <w:sz w:val="24"/>
                <w:szCs w:val="24"/>
                <w:lang w:val="en-GB"/>
              </w:rPr>
              <w:t>4</w:t>
            </w:r>
            <w:r w:rsidRPr="00645B84">
              <w:rPr>
                <w:rFonts w:eastAsiaTheme="minorHAnsi"/>
                <w:color w:val="000000"/>
                <w:spacing w:val="-2"/>
                <w:sz w:val="24"/>
                <w:szCs w:val="24"/>
                <w:lang w:val="en-GB"/>
              </w:rPr>
              <w:t xml:space="preserve">, </w:t>
            </w:r>
          </w:p>
          <w:p w14:paraId="365FB76B" w14:textId="77777777" w:rsidR="00A462F1" w:rsidRDefault="00A462F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39</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64-65</w:t>
            </w:r>
            <w:r w:rsidR="00345EE3" w:rsidRPr="00645B84">
              <w:rPr>
                <w:rFonts w:eastAsiaTheme="minorHAnsi"/>
                <w:color w:val="000000"/>
                <w:spacing w:val="-2"/>
                <w:sz w:val="24"/>
                <w:szCs w:val="24"/>
                <w:lang w:val="en-GB"/>
              </w:rPr>
              <w:t xml:space="preserve">, </w:t>
            </w:r>
          </w:p>
          <w:p w14:paraId="740E8BEE" w14:textId="59B3CC3A" w:rsidR="00345EE3" w:rsidRPr="00645B84" w:rsidRDefault="00A462F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91</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1</w:t>
            </w:r>
            <w:r w:rsidR="00345EE3" w:rsidRPr="00645B84">
              <w:rPr>
                <w:rFonts w:eastAsiaTheme="minorHAnsi"/>
                <w:color w:val="000000"/>
                <w:spacing w:val="-2"/>
                <w:sz w:val="24"/>
                <w:szCs w:val="24"/>
                <w:lang w:val="en-GB"/>
              </w:rPr>
              <w:t>1</w:t>
            </w:r>
            <w:r>
              <w:rPr>
                <w:rFonts w:eastAsiaTheme="minorHAnsi"/>
                <w:color w:val="000000"/>
                <w:spacing w:val="-2"/>
                <w:sz w:val="24"/>
                <w:szCs w:val="24"/>
                <w:lang w:val="en-GB"/>
              </w:rPr>
              <w:t>5</w:t>
            </w:r>
          </w:p>
        </w:tc>
      </w:tr>
      <w:tr w:rsidR="00345EE3" w:rsidRPr="00645B84" w14:paraId="1D6C69AA"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2C756C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Victoria Police Regulations 2014</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45935A8" w14:textId="04E14356"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1</w:t>
            </w:r>
            <w:r w:rsidR="00A462F1">
              <w:rPr>
                <w:rFonts w:eastAsiaTheme="minorHAnsi"/>
                <w:color w:val="000000"/>
                <w:spacing w:val="-2"/>
                <w:sz w:val="24"/>
                <w:szCs w:val="24"/>
                <w:lang w:val="en-GB"/>
              </w:rPr>
              <w:t>4</w:t>
            </w:r>
          </w:p>
        </w:tc>
      </w:tr>
    </w:tbl>
    <w:p w14:paraId="631E6D81" w14:textId="77777777" w:rsidR="00345EE3" w:rsidRDefault="00345EE3" w:rsidP="00345EE3">
      <w:pPr>
        <w:rPr>
          <w:sz w:val="24"/>
        </w:rPr>
        <w:sectPr w:rsidR="00345EE3">
          <w:pgSz w:w="11910" w:h="16840"/>
          <w:pgMar w:top="660" w:right="720" w:bottom="280" w:left="740" w:header="720" w:footer="720" w:gutter="0"/>
          <w:cols w:space="720"/>
        </w:sectPr>
      </w:pPr>
    </w:p>
    <w:p w14:paraId="215BEA65" w14:textId="29FA6490" w:rsidR="00345EE3" w:rsidRPr="00672E89" w:rsidRDefault="00345EE3" w:rsidP="00345EE3">
      <w:pPr>
        <w:pStyle w:val="Heading2"/>
        <w:spacing w:before="77"/>
        <w:rPr>
          <w:sz w:val="32"/>
          <w:szCs w:val="32"/>
        </w:rPr>
      </w:pPr>
      <w:r w:rsidRPr="00672E89">
        <w:rPr>
          <w:color w:val="00529F"/>
          <w:sz w:val="32"/>
          <w:szCs w:val="32"/>
        </w:rPr>
        <w:t>Appendix</w:t>
      </w:r>
      <w:r w:rsidRPr="00672E89">
        <w:rPr>
          <w:color w:val="00529F"/>
          <w:spacing w:val="-14"/>
          <w:sz w:val="32"/>
          <w:szCs w:val="32"/>
        </w:rPr>
        <w:t xml:space="preserve"> </w:t>
      </w:r>
      <w:r w:rsidRPr="00672E89">
        <w:rPr>
          <w:color w:val="00529F"/>
          <w:sz w:val="32"/>
          <w:szCs w:val="32"/>
        </w:rPr>
        <w:t>B:</w:t>
      </w:r>
      <w:r w:rsidRPr="00672E89">
        <w:rPr>
          <w:color w:val="00529F"/>
          <w:spacing w:val="-11"/>
          <w:sz w:val="32"/>
          <w:szCs w:val="32"/>
        </w:rPr>
        <w:t xml:space="preserve"> </w:t>
      </w:r>
      <w:r w:rsidRPr="00672E89">
        <w:rPr>
          <w:color w:val="00529F"/>
          <w:sz w:val="32"/>
          <w:szCs w:val="32"/>
        </w:rPr>
        <w:t>Budget</w:t>
      </w:r>
      <w:r w:rsidRPr="00672E89">
        <w:rPr>
          <w:color w:val="00529F"/>
          <w:spacing w:val="-11"/>
          <w:sz w:val="32"/>
          <w:szCs w:val="32"/>
        </w:rPr>
        <w:t xml:space="preserve"> </w:t>
      </w:r>
      <w:r w:rsidRPr="00672E89">
        <w:rPr>
          <w:color w:val="00529F"/>
          <w:sz w:val="32"/>
          <w:szCs w:val="32"/>
        </w:rPr>
        <w:t>Portfolio</w:t>
      </w:r>
      <w:r w:rsidRPr="00672E89">
        <w:rPr>
          <w:color w:val="00529F"/>
          <w:spacing w:val="-12"/>
          <w:sz w:val="32"/>
          <w:szCs w:val="32"/>
        </w:rPr>
        <w:t xml:space="preserve"> </w:t>
      </w:r>
      <w:r w:rsidRPr="00672E89">
        <w:rPr>
          <w:color w:val="00529F"/>
          <w:spacing w:val="-2"/>
          <w:sz w:val="32"/>
          <w:szCs w:val="32"/>
        </w:rPr>
        <w:t>Outcomes</w:t>
      </w:r>
    </w:p>
    <w:p w14:paraId="5E3BFA2F" w14:textId="77777777" w:rsidR="00345EE3" w:rsidRDefault="00345EE3" w:rsidP="00345EE3">
      <w:pPr>
        <w:spacing w:before="41" w:after="60"/>
        <w:ind w:left="110"/>
      </w:pPr>
      <w:r>
        <w:rPr>
          <w:color w:val="231F20"/>
        </w:rPr>
        <w:t>Comprehensive</w:t>
      </w:r>
      <w:r>
        <w:rPr>
          <w:color w:val="231F20"/>
          <w:spacing w:val="-5"/>
        </w:rPr>
        <w:t xml:space="preserve"> </w:t>
      </w:r>
      <w:r>
        <w:rPr>
          <w:color w:val="231F20"/>
        </w:rPr>
        <w:t>Operating</w:t>
      </w:r>
      <w:r>
        <w:rPr>
          <w:color w:val="231F20"/>
          <w:spacing w:val="-2"/>
        </w:rPr>
        <w:t xml:space="preserve"> </w:t>
      </w:r>
      <w:r>
        <w:rPr>
          <w:color w:val="231F20"/>
        </w:rPr>
        <w:t>Statement</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financial</w:t>
      </w:r>
      <w:r>
        <w:rPr>
          <w:color w:val="231F20"/>
          <w:spacing w:val="-1"/>
        </w:rPr>
        <w:t xml:space="preserve"> </w:t>
      </w:r>
      <w:r>
        <w:rPr>
          <w:color w:val="231F20"/>
        </w:rPr>
        <w:t>year</w:t>
      </w:r>
      <w:r>
        <w:rPr>
          <w:color w:val="231F20"/>
          <w:spacing w:val="-2"/>
        </w:rPr>
        <w:t xml:space="preserve"> </w:t>
      </w:r>
      <w:r>
        <w:rPr>
          <w:color w:val="231F20"/>
        </w:rPr>
        <w:t>ending</w:t>
      </w:r>
      <w:r>
        <w:rPr>
          <w:color w:val="231F20"/>
          <w:spacing w:val="-3"/>
        </w:rPr>
        <w:t xml:space="preserve"> </w:t>
      </w:r>
      <w:r>
        <w:rPr>
          <w:color w:val="231F20"/>
        </w:rPr>
        <w:t>30</w:t>
      </w:r>
      <w:r>
        <w:rPr>
          <w:color w:val="231F20"/>
          <w:spacing w:val="-3"/>
        </w:rPr>
        <w:t xml:space="preserve"> </w:t>
      </w:r>
      <w:r>
        <w:rPr>
          <w:color w:val="231F20"/>
        </w:rPr>
        <w:t>June</w:t>
      </w:r>
      <w:r>
        <w:rPr>
          <w:color w:val="231F20"/>
          <w:spacing w:val="-1"/>
        </w:rPr>
        <w:t xml:space="preserve"> </w:t>
      </w:r>
      <w:r>
        <w:rPr>
          <w:color w:val="231F20"/>
          <w:spacing w:val="-4"/>
        </w:rPr>
        <w:t>2022</w:t>
      </w:r>
    </w:p>
    <w:tbl>
      <w:tblPr>
        <w:tblW w:w="0" w:type="auto"/>
        <w:tblInd w:w="11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20"/>
      </w:tblGrid>
      <w:tr w:rsidR="00345EE3" w14:paraId="5874BA70" w14:textId="77777777" w:rsidTr="00D73130">
        <w:trPr>
          <w:trHeight w:val="657"/>
        </w:trPr>
        <w:tc>
          <w:tcPr>
            <w:tcW w:w="9468" w:type="dxa"/>
            <w:tcBorders>
              <w:top w:val="nil"/>
              <w:left w:val="nil"/>
              <w:bottom w:val="nil"/>
              <w:right w:val="nil"/>
            </w:tcBorders>
            <w:shd w:val="clear" w:color="auto" w:fill="00529F"/>
          </w:tcPr>
          <w:p w14:paraId="3DF9C094" w14:textId="77777777" w:rsidR="00345EE3" w:rsidRDefault="00345EE3" w:rsidP="00D73130">
            <w:pPr>
              <w:pStyle w:val="TableParagraph"/>
              <w:spacing w:before="0"/>
              <w:jc w:val="left"/>
              <w:rPr>
                <w:rFonts w:ascii="Times New Roman"/>
                <w:sz w:val="24"/>
              </w:rPr>
            </w:pPr>
          </w:p>
        </w:tc>
        <w:tc>
          <w:tcPr>
            <w:tcW w:w="1418" w:type="dxa"/>
            <w:tcBorders>
              <w:top w:val="nil"/>
              <w:left w:val="nil"/>
              <w:bottom w:val="nil"/>
              <w:right w:val="nil"/>
            </w:tcBorders>
            <w:shd w:val="clear" w:color="auto" w:fill="00529F"/>
          </w:tcPr>
          <w:p w14:paraId="315DCFFF" w14:textId="77777777" w:rsidR="00345EE3" w:rsidRDefault="00345EE3" w:rsidP="00D73130">
            <w:pPr>
              <w:pStyle w:val="TableParagraph"/>
              <w:spacing w:before="49"/>
              <w:ind w:right="56"/>
              <w:rPr>
                <w:b/>
                <w:sz w:val="24"/>
              </w:rPr>
            </w:pPr>
            <w:r>
              <w:rPr>
                <w:b/>
                <w:color w:val="FFFFFF"/>
                <w:spacing w:val="-2"/>
                <w:sz w:val="24"/>
              </w:rPr>
              <w:t>Actual</w:t>
            </w:r>
          </w:p>
        </w:tc>
        <w:tc>
          <w:tcPr>
            <w:tcW w:w="1418" w:type="dxa"/>
            <w:tcBorders>
              <w:top w:val="nil"/>
              <w:left w:val="nil"/>
              <w:bottom w:val="nil"/>
              <w:right w:val="nil"/>
            </w:tcBorders>
            <w:shd w:val="clear" w:color="auto" w:fill="00529F"/>
          </w:tcPr>
          <w:p w14:paraId="7701487E" w14:textId="77777777" w:rsidR="00345EE3" w:rsidRDefault="00345EE3" w:rsidP="00D73130">
            <w:pPr>
              <w:pStyle w:val="TableParagraph"/>
              <w:spacing w:before="49" w:line="242" w:lineRule="auto"/>
              <w:ind w:left="547" w:right="52" w:hanging="76"/>
              <w:jc w:val="left"/>
              <w:rPr>
                <w:b/>
                <w:sz w:val="24"/>
              </w:rPr>
            </w:pPr>
            <w:r>
              <w:rPr>
                <w:b/>
                <w:color w:val="FFFFFF"/>
                <w:spacing w:val="-4"/>
                <w:sz w:val="24"/>
              </w:rPr>
              <w:t xml:space="preserve">Original </w:t>
            </w:r>
            <w:r>
              <w:rPr>
                <w:b/>
                <w:color w:val="FFFFFF"/>
                <w:spacing w:val="-5"/>
                <w:sz w:val="24"/>
              </w:rPr>
              <w:t>Budget</w:t>
            </w:r>
          </w:p>
        </w:tc>
        <w:tc>
          <w:tcPr>
            <w:tcW w:w="1418" w:type="dxa"/>
            <w:tcBorders>
              <w:top w:val="nil"/>
              <w:left w:val="nil"/>
              <w:bottom w:val="nil"/>
              <w:right w:val="nil"/>
            </w:tcBorders>
            <w:shd w:val="clear" w:color="auto" w:fill="00529F"/>
          </w:tcPr>
          <w:p w14:paraId="07470855" w14:textId="77777777" w:rsidR="00345EE3" w:rsidRDefault="00345EE3" w:rsidP="00D73130">
            <w:pPr>
              <w:pStyle w:val="TableParagraph"/>
              <w:spacing w:before="49"/>
              <w:ind w:right="57"/>
              <w:rPr>
                <w:b/>
                <w:sz w:val="24"/>
              </w:rPr>
            </w:pPr>
            <w:r>
              <w:rPr>
                <w:b/>
                <w:color w:val="FFFFFF"/>
                <w:spacing w:val="-2"/>
                <w:sz w:val="24"/>
              </w:rPr>
              <w:t>Variance</w:t>
            </w:r>
          </w:p>
        </w:tc>
        <w:tc>
          <w:tcPr>
            <w:tcW w:w="1420" w:type="dxa"/>
            <w:tcBorders>
              <w:top w:val="nil"/>
              <w:left w:val="nil"/>
              <w:bottom w:val="nil"/>
              <w:right w:val="nil"/>
            </w:tcBorders>
            <w:shd w:val="clear" w:color="auto" w:fill="00529F"/>
          </w:tcPr>
          <w:p w14:paraId="4B175069" w14:textId="77777777" w:rsidR="00345EE3" w:rsidRDefault="00345EE3" w:rsidP="00D73130">
            <w:pPr>
              <w:pStyle w:val="TableParagraph"/>
              <w:spacing w:before="49"/>
              <w:ind w:right="60"/>
              <w:rPr>
                <w:b/>
                <w:sz w:val="24"/>
              </w:rPr>
            </w:pPr>
            <w:r>
              <w:rPr>
                <w:b/>
                <w:color w:val="FFFFFF"/>
                <w:spacing w:val="-2"/>
                <w:sz w:val="24"/>
              </w:rPr>
              <w:t>Variance</w:t>
            </w:r>
          </w:p>
        </w:tc>
      </w:tr>
      <w:tr w:rsidR="00345EE3" w14:paraId="6320E805" w14:textId="77777777" w:rsidTr="00D73130">
        <w:trPr>
          <w:trHeight w:val="369"/>
        </w:trPr>
        <w:tc>
          <w:tcPr>
            <w:tcW w:w="9468" w:type="dxa"/>
            <w:tcBorders>
              <w:top w:val="nil"/>
              <w:left w:val="nil"/>
              <w:bottom w:val="nil"/>
              <w:right w:val="nil"/>
            </w:tcBorders>
            <w:shd w:val="clear" w:color="auto" w:fill="00529F"/>
          </w:tcPr>
          <w:p w14:paraId="112142EA" w14:textId="77777777" w:rsidR="00345EE3" w:rsidRDefault="00345EE3" w:rsidP="00D73130">
            <w:pPr>
              <w:pStyle w:val="TableParagraph"/>
              <w:spacing w:before="0"/>
              <w:jc w:val="left"/>
              <w:rPr>
                <w:rFonts w:ascii="Times New Roman"/>
                <w:sz w:val="24"/>
              </w:rPr>
            </w:pPr>
          </w:p>
        </w:tc>
        <w:tc>
          <w:tcPr>
            <w:tcW w:w="1418" w:type="dxa"/>
            <w:tcBorders>
              <w:top w:val="nil"/>
              <w:left w:val="nil"/>
              <w:bottom w:val="nil"/>
              <w:right w:val="nil"/>
            </w:tcBorders>
            <w:shd w:val="clear" w:color="auto" w:fill="00529F"/>
          </w:tcPr>
          <w:p w14:paraId="4410D7E2" w14:textId="77777777" w:rsidR="00345EE3" w:rsidRDefault="00345EE3" w:rsidP="00D73130">
            <w:pPr>
              <w:pStyle w:val="TableParagraph"/>
              <w:spacing w:before="44"/>
              <w:ind w:right="56"/>
              <w:rPr>
                <w:b/>
                <w:sz w:val="24"/>
              </w:rPr>
            </w:pPr>
            <w:r>
              <w:rPr>
                <w:b/>
                <w:color w:val="FFFFFF"/>
                <w:spacing w:val="-2"/>
                <w:sz w:val="24"/>
              </w:rPr>
              <w:t>$’000</w:t>
            </w:r>
          </w:p>
        </w:tc>
        <w:tc>
          <w:tcPr>
            <w:tcW w:w="1418" w:type="dxa"/>
            <w:tcBorders>
              <w:top w:val="nil"/>
              <w:left w:val="nil"/>
              <w:bottom w:val="nil"/>
              <w:right w:val="nil"/>
            </w:tcBorders>
            <w:shd w:val="clear" w:color="auto" w:fill="00529F"/>
          </w:tcPr>
          <w:p w14:paraId="5536E0E0" w14:textId="77777777" w:rsidR="00345EE3" w:rsidRDefault="00345EE3" w:rsidP="00D73130">
            <w:pPr>
              <w:pStyle w:val="TableParagraph"/>
              <w:spacing w:before="44"/>
              <w:ind w:right="56"/>
              <w:rPr>
                <w:b/>
                <w:sz w:val="24"/>
              </w:rPr>
            </w:pPr>
            <w:r>
              <w:rPr>
                <w:b/>
                <w:color w:val="FFFFFF"/>
                <w:spacing w:val="-2"/>
                <w:sz w:val="24"/>
              </w:rPr>
              <w:t>$’000</w:t>
            </w:r>
          </w:p>
        </w:tc>
        <w:tc>
          <w:tcPr>
            <w:tcW w:w="1418" w:type="dxa"/>
            <w:tcBorders>
              <w:top w:val="nil"/>
              <w:left w:val="nil"/>
              <w:bottom w:val="nil"/>
              <w:right w:val="nil"/>
            </w:tcBorders>
            <w:shd w:val="clear" w:color="auto" w:fill="00529F"/>
          </w:tcPr>
          <w:p w14:paraId="355DE12B" w14:textId="77777777" w:rsidR="00345EE3" w:rsidRDefault="00345EE3" w:rsidP="00D73130">
            <w:pPr>
              <w:pStyle w:val="TableParagraph"/>
              <w:spacing w:before="44"/>
              <w:ind w:right="57"/>
              <w:rPr>
                <w:b/>
                <w:sz w:val="24"/>
              </w:rPr>
            </w:pPr>
            <w:r>
              <w:rPr>
                <w:b/>
                <w:color w:val="FFFFFF"/>
                <w:spacing w:val="-2"/>
                <w:sz w:val="24"/>
              </w:rPr>
              <w:t>$’000</w:t>
            </w:r>
          </w:p>
        </w:tc>
        <w:tc>
          <w:tcPr>
            <w:tcW w:w="1420" w:type="dxa"/>
            <w:tcBorders>
              <w:top w:val="nil"/>
              <w:left w:val="nil"/>
              <w:bottom w:val="nil"/>
              <w:right w:val="nil"/>
            </w:tcBorders>
            <w:shd w:val="clear" w:color="auto" w:fill="00529F"/>
          </w:tcPr>
          <w:p w14:paraId="6D9408C2" w14:textId="77777777" w:rsidR="00345EE3" w:rsidRDefault="00345EE3" w:rsidP="00D73130">
            <w:pPr>
              <w:pStyle w:val="TableParagraph"/>
              <w:spacing w:before="44"/>
              <w:ind w:right="57"/>
              <w:rPr>
                <w:b/>
                <w:sz w:val="24"/>
              </w:rPr>
            </w:pPr>
            <w:r>
              <w:rPr>
                <w:b/>
                <w:color w:val="FFFFFF"/>
                <w:sz w:val="24"/>
              </w:rPr>
              <w:t>%</w:t>
            </w:r>
          </w:p>
        </w:tc>
      </w:tr>
      <w:tr w:rsidR="00345EE3" w14:paraId="2F269675" w14:textId="77777777" w:rsidTr="00D73130">
        <w:trPr>
          <w:trHeight w:val="368"/>
        </w:trPr>
        <w:tc>
          <w:tcPr>
            <w:tcW w:w="15142" w:type="dxa"/>
            <w:gridSpan w:val="5"/>
            <w:tcBorders>
              <w:top w:val="nil"/>
              <w:left w:val="nil"/>
            </w:tcBorders>
            <w:shd w:val="clear" w:color="auto" w:fill="D1D3D4"/>
          </w:tcPr>
          <w:p w14:paraId="0071F73D" w14:textId="77777777" w:rsidR="00345EE3" w:rsidRDefault="00345EE3" w:rsidP="00D73130">
            <w:pPr>
              <w:pStyle w:val="TableParagraph"/>
              <w:spacing w:before="46"/>
              <w:ind w:left="-1"/>
              <w:jc w:val="left"/>
              <w:rPr>
                <w:b/>
                <w:sz w:val="24"/>
              </w:rPr>
            </w:pPr>
            <w:r>
              <w:rPr>
                <w:b/>
                <w:color w:val="231F20"/>
                <w:sz w:val="24"/>
              </w:rPr>
              <w:t xml:space="preserve">Income From </w:t>
            </w:r>
            <w:r>
              <w:rPr>
                <w:b/>
                <w:color w:val="231F20"/>
                <w:spacing w:val="-2"/>
                <w:sz w:val="24"/>
              </w:rPr>
              <w:t>Transactions</w:t>
            </w:r>
          </w:p>
        </w:tc>
      </w:tr>
      <w:tr w:rsidR="00345EE3" w14:paraId="70A45D48" w14:textId="77777777" w:rsidTr="00D73130">
        <w:trPr>
          <w:trHeight w:val="368"/>
        </w:trPr>
        <w:tc>
          <w:tcPr>
            <w:tcW w:w="9468" w:type="dxa"/>
            <w:tcBorders>
              <w:left w:val="nil"/>
            </w:tcBorders>
          </w:tcPr>
          <w:p w14:paraId="7666E24A" w14:textId="77777777" w:rsidR="00345EE3" w:rsidRDefault="00345EE3" w:rsidP="00D73130">
            <w:pPr>
              <w:pStyle w:val="TableParagraph"/>
              <w:spacing w:before="46"/>
              <w:ind w:left="283"/>
              <w:jc w:val="left"/>
              <w:rPr>
                <w:sz w:val="14"/>
              </w:rPr>
            </w:pPr>
            <w:r>
              <w:rPr>
                <w:color w:val="231F20"/>
                <w:sz w:val="24"/>
              </w:rPr>
              <w:t>Output</w:t>
            </w:r>
            <w:r>
              <w:rPr>
                <w:color w:val="231F20"/>
                <w:spacing w:val="-13"/>
                <w:sz w:val="24"/>
              </w:rPr>
              <w:t xml:space="preserve"> </w:t>
            </w:r>
            <w:r>
              <w:rPr>
                <w:color w:val="231F20"/>
                <w:sz w:val="24"/>
              </w:rPr>
              <w:t>appropriations</w:t>
            </w:r>
            <w:r>
              <w:rPr>
                <w:color w:val="231F20"/>
                <w:spacing w:val="-28"/>
                <w:sz w:val="24"/>
              </w:rPr>
              <w:t xml:space="preserve"> </w:t>
            </w:r>
            <w:r>
              <w:rPr>
                <w:color w:val="231F20"/>
                <w:spacing w:val="-5"/>
                <w:position w:val="8"/>
                <w:sz w:val="14"/>
              </w:rPr>
              <w:t>(a)</w:t>
            </w:r>
          </w:p>
        </w:tc>
        <w:tc>
          <w:tcPr>
            <w:tcW w:w="1418" w:type="dxa"/>
            <w:shd w:val="clear" w:color="auto" w:fill="E6E7E8"/>
          </w:tcPr>
          <w:p w14:paraId="640429C7" w14:textId="77777777" w:rsidR="00345EE3" w:rsidRDefault="00345EE3" w:rsidP="00D73130">
            <w:pPr>
              <w:pStyle w:val="TableParagraph"/>
              <w:spacing w:before="46"/>
              <w:ind w:right="53"/>
              <w:rPr>
                <w:sz w:val="24"/>
              </w:rPr>
            </w:pPr>
            <w:r>
              <w:rPr>
                <w:color w:val="231F20"/>
                <w:spacing w:val="-2"/>
                <w:sz w:val="24"/>
              </w:rPr>
              <w:t>4,082,978</w:t>
            </w:r>
          </w:p>
        </w:tc>
        <w:tc>
          <w:tcPr>
            <w:tcW w:w="1418" w:type="dxa"/>
          </w:tcPr>
          <w:p w14:paraId="0EC3A750" w14:textId="77777777" w:rsidR="00345EE3" w:rsidRDefault="00345EE3" w:rsidP="00D73130">
            <w:pPr>
              <w:pStyle w:val="TableParagraph"/>
              <w:spacing w:before="46"/>
              <w:ind w:right="54"/>
              <w:rPr>
                <w:sz w:val="24"/>
              </w:rPr>
            </w:pPr>
            <w:r>
              <w:rPr>
                <w:color w:val="231F20"/>
                <w:spacing w:val="-2"/>
                <w:sz w:val="24"/>
              </w:rPr>
              <w:t>3,696,215</w:t>
            </w:r>
          </w:p>
        </w:tc>
        <w:tc>
          <w:tcPr>
            <w:tcW w:w="1418" w:type="dxa"/>
          </w:tcPr>
          <w:p w14:paraId="02F670BF" w14:textId="77777777" w:rsidR="00345EE3" w:rsidRDefault="00345EE3" w:rsidP="00D73130">
            <w:pPr>
              <w:pStyle w:val="TableParagraph"/>
              <w:spacing w:before="46"/>
              <w:ind w:right="54"/>
              <w:rPr>
                <w:sz w:val="24"/>
              </w:rPr>
            </w:pPr>
            <w:r>
              <w:rPr>
                <w:color w:val="231F20"/>
                <w:spacing w:val="-2"/>
                <w:sz w:val="24"/>
              </w:rPr>
              <w:t>386,763</w:t>
            </w:r>
          </w:p>
        </w:tc>
        <w:tc>
          <w:tcPr>
            <w:tcW w:w="1420" w:type="dxa"/>
            <w:tcBorders>
              <w:right w:val="nil"/>
            </w:tcBorders>
          </w:tcPr>
          <w:p w14:paraId="43500A35" w14:textId="77777777" w:rsidR="00345EE3" w:rsidRDefault="00345EE3" w:rsidP="00D73130">
            <w:pPr>
              <w:pStyle w:val="TableParagraph"/>
              <w:spacing w:before="46"/>
              <w:ind w:right="57"/>
              <w:rPr>
                <w:sz w:val="24"/>
              </w:rPr>
            </w:pPr>
            <w:r>
              <w:rPr>
                <w:color w:val="231F20"/>
                <w:spacing w:val="-5"/>
                <w:sz w:val="24"/>
              </w:rPr>
              <w:t>10%</w:t>
            </w:r>
          </w:p>
        </w:tc>
      </w:tr>
      <w:tr w:rsidR="00345EE3" w14:paraId="03130A39" w14:textId="77777777" w:rsidTr="00D73130">
        <w:trPr>
          <w:trHeight w:val="368"/>
        </w:trPr>
        <w:tc>
          <w:tcPr>
            <w:tcW w:w="9468" w:type="dxa"/>
            <w:tcBorders>
              <w:left w:val="nil"/>
            </w:tcBorders>
          </w:tcPr>
          <w:p w14:paraId="6C9B95AE" w14:textId="77777777" w:rsidR="00345EE3" w:rsidRDefault="00345EE3" w:rsidP="00D73130">
            <w:pPr>
              <w:pStyle w:val="TableParagraph"/>
              <w:spacing w:before="46"/>
              <w:ind w:left="283"/>
              <w:jc w:val="left"/>
              <w:rPr>
                <w:sz w:val="24"/>
              </w:rPr>
            </w:pPr>
            <w:r>
              <w:rPr>
                <w:color w:val="231F20"/>
                <w:spacing w:val="-2"/>
                <w:sz w:val="24"/>
              </w:rPr>
              <w:t>Interest</w:t>
            </w:r>
          </w:p>
        </w:tc>
        <w:tc>
          <w:tcPr>
            <w:tcW w:w="1418" w:type="dxa"/>
            <w:shd w:val="clear" w:color="auto" w:fill="E6E7E8"/>
          </w:tcPr>
          <w:p w14:paraId="27CA1E3C" w14:textId="77777777" w:rsidR="00345EE3" w:rsidRDefault="00345EE3" w:rsidP="00D73130">
            <w:pPr>
              <w:pStyle w:val="TableParagraph"/>
              <w:spacing w:before="46"/>
              <w:ind w:right="50"/>
              <w:rPr>
                <w:sz w:val="24"/>
              </w:rPr>
            </w:pPr>
            <w:r>
              <w:rPr>
                <w:color w:val="231F20"/>
                <w:sz w:val="24"/>
              </w:rPr>
              <w:t>4</w:t>
            </w:r>
          </w:p>
        </w:tc>
        <w:tc>
          <w:tcPr>
            <w:tcW w:w="1418" w:type="dxa"/>
          </w:tcPr>
          <w:p w14:paraId="0FF6BE8A" w14:textId="77777777" w:rsidR="00345EE3" w:rsidRDefault="00345EE3" w:rsidP="00D73130">
            <w:pPr>
              <w:pStyle w:val="TableParagraph"/>
              <w:spacing w:before="46"/>
              <w:ind w:right="53"/>
              <w:rPr>
                <w:sz w:val="24"/>
              </w:rPr>
            </w:pPr>
            <w:r>
              <w:rPr>
                <w:color w:val="231F20"/>
                <w:spacing w:val="-5"/>
                <w:sz w:val="24"/>
              </w:rPr>
              <w:t>50</w:t>
            </w:r>
          </w:p>
        </w:tc>
        <w:tc>
          <w:tcPr>
            <w:tcW w:w="1418" w:type="dxa"/>
          </w:tcPr>
          <w:p w14:paraId="07F86657" w14:textId="77777777" w:rsidR="00345EE3" w:rsidRDefault="00345EE3" w:rsidP="00D73130">
            <w:pPr>
              <w:pStyle w:val="TableParagraph"/>
              <w:spacing w:before="46"/>
              <w:ind w:right="54"/>
              <w:rPr>
                <w:sz w:val="24"/>
              </w:rPr>
            </w:pPr>
            <w:r>
              <w:rPr>
                <w:color w:val="231F20"/>
                <w:spacing w:val="-4"/>
                <w:sz w:val="24"/>
              </w:rPr>
              <w:t>(46)</w:t>
            </w:r>
          </w:p>
        </w:tc>
        <w:tc>
          <w:tcPr>
            <w:tcW w:w="1420" w:type="dxa"/>
            <w:tcBorders>
              <w:right w:val="nil"/>
            </w:tcBorders>
          </w:tcPr>
          <w:p w14:paraId="5F7ABF8A" w14:textId="77777777" w:rsidR="00345EE3" w:rsidRDefault="00345EE3" w:rsidP="00D73130">
            <w:pPr>
              <w:pStyle w:val="TableParagraph"/>
              <w:spacing w:before="46"/>
              <w:ind w:right="57"/>
              <w:rPr>
                <w:sz w:val="24"/>
              </w:rPr>
            </w:pPr>
            <w:r>
              <w:rPr>
                <w:color w:val="231F20"/>
                <w:spacing w:val="-3"/>
                <w:sz w:val="24"/>
              </w:rPr>
              <w:t>-</w:t>
            </w:r>
            <w:r>
              <w:rPr>
                <w:color w:val="231F20"/>
                <w:spacing w:val="-5"/>
                <w:sz w:val="24"/>
              </w:rPr>
              <w:t>93%</w:t>
            </w:r>
          </w:p>
        </w:tc>
      </w:tr>
      <w:tr w:rsidR="00345EE3" w14:paraId="77DB4B2D" w14:textId="77777777" w:rsidTr="00D73130">
        <w:trPr>
          <w:trHeight w:val="368"/>
        </w:trPr>
        <w:tc>
          <w:tcPr>
            <w:tcW w:w="9468" w:type="dxa"/>
            <w:tcBorders>
              <w:left w:val="nil"/>
            </w:tcBorders>
          </w:tcPr>
          <w:p w14:paraId="0C7BCE34" w14:textId="77777777" w:rsidR="00345EE3" w:rsidRDefault="00345EE3" w:rsidP="00D73130">
            <w:pPr>
              <w:pStyle w:val="TableParagraph"/>
              <w:spacing w:before="46"/>
              <w:ind w:left="283"/>
              <w:jc w:val="left"/>
              <w:rPr>
                <w:sz w:val="24"/>
              </w:rPr>
            </w:pPr>
            <w:r>
              <w:rPr>
                <w:color w:val="231F20"/>
                <w:sz w:val="24"/>
              </w:rPr>
              <w:t>Sale</w:t>
            </w:r>
            <w:r>
              <w:rPr>
                <w:color w:val="231F20"/>
                <w:spacing w:val="-2"/>
                <w:sz w:val="24"/>
              </w:rPr>
              <w:t xml:space="preserve"> </w:t>
            </w:r>
            <w:r>
              <w:rPr>
                <w:color w:val="231F20"/>
                <w:sz w:val="24"/>
              </w:rPr>
              <w:t>of</w:t>
            </w:r>
            <w:r>
              <w:rPr>
                <w:color w:val="231F20"/>
                <w:spacing w:val="-3"/>
                <w:sz w:val="24"/>
              </w:rPr>
              <w:t xml:space="preserve"> </w:t>
            </w:r>
            <w:r>
              <w:rPr>
                <w:color w:val="231F20"/>
                <w:sz w:val="24"/>
              </w:rPr>
              <w:t>goods</w:t>
            </w:r>
            <w:r>
              <w:rPr>
                <w:color w:val="231F20"/>
                <w:spacing w:val="-3"/>
                <w:sz w:val="24"/>
              </w:rPr>
              <w:t xml:space="preserve"> </w:t>
            </w:r>
            <w:r>
              <w:rPr>
                <w:color w:val="231F20"/>
                <w:sz w:val="24"/>
              </w:rPr>
              <w:t>and</w:t>
            </w:r>
            <w:r>
              <w:rPr>
                <w:color w:val="231F20"/>
                <w:spacing w:val="-2"/>
                <w:sz w:val="24"/>
              </w:rPr>
              <w:t xml:space="preserve"> services</w:t>
            </w:r>
          </w:p>
        </w:tc>
        <w:tc>
          <w:tcPr>
            <w:tcW w:w="1418" w:type="dxa"/>
            <w:shd w:val="clear" w:color="auto" w:fill="E6E7E8"/>
          </w:tcPr>
          <w:p w14:paraId="04A25BCA" w14:textId="77777777" w:rsidR="00345EE3" w:rsidRDefault="00345EE3" w:rsidP="00D73130">
            <w:pPr>
              <w:pStyle w:val="TableParagraph"/>
              <w:spacing w:before="46"/>
              <w:ind w:right="53"/>
              <w:rPr>
                <w:sz w:val="24"/>
              </w:rPr>
            </w:pPr>
            <w:r>
              <w:rPr>
                <w:color w:val="231F20"/>
                <w:spacing w:val="-2"/>
                <w:sz w:val="24"/>
              </w:rPr>
              <w:t>1,789</w:t>
            </w:r>
          </w:p>
        </w:tc>
        <w:tc>
          <w:tcPr>
            <w:tcW w:w="1418" w:type="dxa"/>
          </w:tcPr>
          <w:p w14:paraId="63A81602" w14:textId="77777777" w:rsidR="00345EE3" w:rsidRDefault="00345EE3" w:rsidP="00D73130">
            <w:pPr>
              <w:pStyle w:val="TableParagraph"/>
              <w:spacing w:before="46"/>
              <w:ind w:right="51"/>
              <w:rPr>
                <w:sz w:val="24"/>
              </w:rPr>
            </w:pPr>
            <w:r>
              <w:rPr>
                <w:color w:val="231F20"/>
                <w:sz w:val="24"/>
              </w:rPr>
              <w:t>-</w:t>
            </w:r>
          </w:p>
        </w:tc>
        <w:tc>
          <w:tcPr>
            <w:tcW w:w="1418" w:type="dxa"/>
          </w:tcPr>
          <w:p w14:paraId="4261402B" w14:textId="77777777" w:rsidR="00345EE3" w:rsidRDefault="00345EE3" w:rsidP="00D73130">
            <w:pPr>
              <w:pStyle w:val="TableParagraph"/>
              <w:spacing w:before="46"/>
              <w:ind w:right="54"/>
              <w:rPr>
                <w:sz w:val="24"/>
              </w:rPr>
            </w:pPr>
            <w:r>
              <w:rPr>
                <w:color w:val="231F20"/>
                <w:spacing w:val="-2"/>
                <w:sz w:val="24"/>
              </w:rPr>
              <w:t>1,789</w:t>
            </w:r>
          </w:p>
        </w:tc>
        <w:tc>
          <w:tcPr>
            <w:tcW w:w="1420" w:type="dxa"/>
            <w:tcBorders>
              <w:right w:val="nil"/>
            </w:tcBorders>
          </w:tcPr>
          <w:p w14:paraId="27E784B8" w14:textId="77777777" w:rsidR="00345EE3" w:rsidRDefault="00345EE3" w:rsidP="00D73130">
            <w:pPr>
              <w:pStyle w:val="TableParagraph"/>
              <w:spacing w:before="46"/>
              <w:ind w:right="57"/>
              <w:rPr>
                <w:sz w:val="24"/>
              </w:rPr>
            </w:pPr>
            <w:r>
              <w:rPr>
                <w:color w:val="231F20"/>
                <w:spacing w:val="-5"/>
                <w:sz w:val="24"/>
              </w:rPr>
              <w:t>0%</w:t>
            </w:r>
          </w:p>
        </w:tc>
      </w:tr>
      <w:tr w:rsidR="00345EE3" w14:paraId="58161460" w14:textId="77777777" w:rsidTr="00D73130">
        <w:trPr>
          <w:trHeight w:val="368"/>
        </w:trPr>
        <w:tc>
          <w:tcPr>
            <w:tcW w:w="9468" w:type="dxa"/>
            <w:tcBorders>
              <w:left w:val="nil"/>
            </w:tcBorders>
          </w:tcPr>
          <w:p w14:paraId="32DFF05D" w14:textId="77777777" w:rsidR="00345EE3" w:rsidRDefault="00345EE3" w:rsidP="00D73130">
            <w:pPr>
              <w:pStyle w:val="TableParagraph"/>
              <w:spacing w:before="46"/>
              <w:ind w:left="283"/>
              <w:jc w:val="left"/>
              <w:rPr>
                <w:sz w:val="24"/>
              </w:rPr>
            </w:pPr>
            <w:r>
              <w:rPr>
                <w:color w:val="231F20"/>
                <w:spacing w:val="-2"/>
                <w:sz w:val="24"/>
              </w:rPr>
              <w:t>Grants</w:t>
            </w:r>
          </w:p>
        </w:tc>
        <w:tc>
          <w:tcPr>
            <w:tcW w:w="1418" w:type="dxa"/>
            <w:shd w:val="clear" w:color="auto" w:fill="E6E7E8"/>
          </w:tcPr>
          <w:p w14:paraId="5414F2BB" w14:textId="77777777" w:rsidR="00345EE3" w:rsidRDefault="00345EE3" w:rsidP="00D73130">
            <w:pPr>
              <w:pStyle w:val="TableParagraph"/>
              <w:spacing w:before="46"/>
              <w:ind w:right="53"/>
              <w:rPr>
                <w:sz w:val="24"/>
              </w:rPr>
            </w:pPr>
            <w:r>
              <w:rPr>
                <w:color w:val="231F20"/>
                <w:spacing w:val="-2"/>
                <w:sz w:val="24"/>
              </w:rPr>
              <w:t>10,824</w:t>
            </w:r>
          </w:p>
        </w:tc>
        <w:tc>
          <w:tcPr>
            <w:tcW w:w="1418" w:type="dxa"/>
          </w:tcPr>
          <w:p w14:paraId="42B0CCB2" w14:textId="77777777" w:rsidR="00345EE3" w:rsidRDefault="00345EE3" w:rsidP="00D73130">
            <w:pPr>
              <w:pStyle w:val="TableParagraph"/>
              <w:spacing w:before="46"/>
              <w:ind w:right="54"/>
              <w:rPr>
                <w:sz w:val="24"/>
              </w:rPr>
            </w:pPr>
            <w:r>
              <w:rPr>
                <w:color w:val="231F20"/>
                <w:spacing w:val="-2"/>
                <w:sz w:val="24"/>
              </w:rPr>
              <w:t>7,875</w:t>
            </w:r>
          </w:p>
        </w:tc>
        <w:tc>
          <w:tcPr>
            <w:tcW w:w="1418" w:type="dxa"/>
          </w:tcPr>
          <w:p w14:paraId="13A99D90" w14:textId="77777777" w:rsidR="00345EE3" w:rsidRDefault="00345EE3" w:rsidP="00D73130">
            <w:pPr>
              <w:pStyle w:val="TableParagraph"/>
              <w:spacing w:before="46"/>
              <w:ind w:right="54"/>
              <w:rPr>
                <w:sz w:val="24"/>
              </w:rPr>
            </w:pPr>
            <w:r>
              <w:rPr>
                <w:color w:val="231F20"/>
                <w:spacing w:val="-2"/>
                <w:sz w:val="24"/>
              </w:rPr>
              <w:t>2,949</w:t>
            </w:r>
          </w:p>
        </w:tc>
        <w:tc>
          <w:tcPr>
            <w:tcW w:w="1420" w:type="dxa"/>
            <w:tcBorders>
              <w:right w:val="nil"/>
            </w:tcBorders>
          </w:tcPr>
          <w:p w14:paraId="6D0E4911" w14:textId="77777777" w:rsidR="00345EE3" w:rsidRDefault="00345EE3" w:rsidP="00D73130">
            <w:pPr>
              <w:pStyle w:val="TableParagraph"/>
              <w:spacing w:before="46"/>
              <w:ind w:right="57"/>
              <w:rPr>
                <w:sz w:val="24"/>
              </w:rPr>
            </w:pPr>
            <w:r>
              <w:rPr>
                <w:color w:val="231F20"/>
                <w:spacing w:val="-5"/>
                <w:sz w:val="24"/>
              </w:rPr>
              <w:t>37%</w:t>
            </w:r>
          </w:p>
        </w:tc>
      </w:tr>
      <w:tr w:rsidR="00345EE3" w14:paraId="0B22D3E2" w14:textId="77777777" w:rsidTr="00D73130">
        <w:trPr>
          <w:trHeight w:val="368"/>
        </w:trPr>
        <w:tc>
          <w:tcPr>
            <w:tcW w:w="9468" w:type="dxa"/>
            <w:tcBorders>
              <w:left w:val="nil"/>
            </w:tcBorders>
          </w:tcPr>
          <w:p w14:paraId="621882CF" w14:textId="77777777" w:rsidR="00345EE3" w:rsidRDefault="00345EE3" w:rsidP="00D73130">
            <w:pPr>
              <w:pStyle w:val="TableParagraph"/>
              <w:spacing w:before="46"/>
              <w:ind w:left="283"/>
              <w:jc w:val="left"/>
              <w:rPr>
                <w:sz w:val="24"/>
              </w:rPr>
            </w:pPr>
            <w:r>
              <w:rPr>
                <w:color w:val="231F20"/>
                <w:sz w:val="24"/>
              </w:rPr>
              <w:t>Fair</w:t>
            </w:r>
            <w:r>
              <w:rPr>
                <w:color w:val="231F20"/>
                <w:spacing w:val="-2"/>
                <w:sz w:val="24"/>
              </w:rPr>
              <w:t xml:space="preserve"> </w:t>
            </w:r>
            <w:r>
              <w:rPr>
                <w:color w:val="231F20"/>
                <w:sz w:val="24"/>
              </w:rPr>
              <w:t>value</w:t>
            </w:r>
            <w:r>
              <w:rPr>
                <w:color w:val="231F20"/>
                <w:spacing w:val="-1"/>
                <w:sz w:val="24"/>
              </w:rPr>
              <w:t xml:space="preserve"> </w:t>
            </w:r>
            <w:r>
              <w:rPr>
                <w:color w:val="231F20"/>
                <w:sz w:val="24"/>
              </w:rPr>
              <w:t>of</w:t>
            </w:r>
            <w:r>
              <w:rPr>
                <w:color w:val="231F20"/>
                <w:spacing w:val="-2"/>
                <w:sz w:val="24"/>
              </w:rPr>
              <w:t xml:space="preserve"> </w:t>
            </w:r>
            <w:r>
              <w:rPr>
                <w:color w:val="231F20"/>
                <w:sz w:val="24"/>
              </w:rPr>
              <w:t>assets</w:t>
            </w:r>
            <w:r>
              <w:rPr>
                <w:color w:val="231F20"/>
                <w:spacing w:val="-2"/>
                <w:sz w:val="24"/>
              </w:rPr>
              <w:t xml:space="preserve"> </w:t>
            </w:r>
            <w:r>
              <w:rPr>
                <w:color w:val="231F20"/>
                <w:sz w:val="24"/>
              </w:rPr>
              <w:t>and</w:t>
            </w:r>
            <w:r>
              <w:rPr>
                <w:color w:val="231F20"/>
                <w:spacing w:val="-3"/>
                <w:sz w:val="24"/>
              </w:rPr>
              <w:t xml:space="preserve"> </w:t>
            </w:r>
            <w:r>
              <w:rPr>
                <w:color w:val="231F20"/>
                <w:sz w:val="24"/>
              </w:rPr>
              <w:t>services</w:t>
            </w:r>
            <w:r>
              <w:rPr>
                <w:color w:val="231F20"/>
                <w:spacing w:val="-1"/>
                <w:sz w:val="24"/>
              </w:rPr>
              <w:t xml:space="preserve"> </w:t>
            </w:r>
            <w:r>
              <w:rPr>
                <w:color w:val="231F20"/>
                <w:sz w:val="24"/>
              </w:rPr>
              <w:t>received</w:t>
            </w:r>
            <w:r>
              <w:rPr>
                <w:color w:val="231F20"/>
                <w:spacing w:val="-1"/>
                <w:sz w:val="24"/>
              </w:rPr>
              <w:t xml:space="preserve"> </w:t>
            </w:r>
            <w:r>
              <w:rPr>
                <w:color w:val="231F20"/>
                <w:sz w:val="24"/>
              </w:rPr>
              <w:t>free</w:t>
            </w:r>
            <w:r>
              <w:rPr>
                <w:color w:val="231F20"/>
                <w:spacing w:val="-1"/>
                <w:sz w:val="24"/>
              </w:rPr>
              <w:t xml:space="preserve"> </w:t>
            </w:r>
            <w:r>
              <w:rPr>
                <w:color w:val="231F20"/>
                <w:sz w:val="24"/>
              </w:rPr>
              <w:t>of</w:t>
            </w:r>
            <w:r>
              <w:rPr>
                <w:color w:val="231F20"/>
                <w:spacing w:val="-3"/>
                <w:sz w:val="24"/>
              </w:rPr>
              <w:t xml:space="preserve"> </w:t>
            </w:r>
            <w:r>
              <w:rPr>
                <w:color w:val="231F20"/>
                <w:sz w:val="24"/>
              </w:rPr>
              <w:t>charge</w:t>
            </w:r>
            <w:r>
              <w:rPr>
                <w:color w:val="231F20"/>
                <w:spacing w:val="-1"/>
                <w:sz w:val="24"/>
              </w:rPr>
              <w:t xml:space="preserve"> </w:t>
            </w:r>
            <w:r>
              <w:rPr>
                <w:color w:val="231F20"/>
                <w:sz w:val="24"/>
              </w:rPr>
              <w:t>or</w:t>
            </w:r>
            <w:r>
              <w:rPr>
                <w:color w:val="231F20"/>
                <w:spacing w:val="-2"/>
                <w:sz w:val="24"/>
              </w:rPr>
              <w:t xml:space="preserve"> </w:t>
            </w:r>
            <w:r>
              <w:rPr>
                <w:color w:val="231F20"/>
                <w:sz w:val="24"/>
              </w:rPr>
              <w:t>for</w:t>
            </w:r>
            <w:r>
              <w:rPr>
                <w:color w:val="231F20"/>
                <w:spacing w:val="-1"/>
                <w:sz w:val="24"/>
              </w:rPr>
              <w:t xml:space="preserve"> </w:t>
            </w:r>
            <w:r>
              <w:rPr>
                <w:color w:val="231F20"/>
                <w:sz w:val="24"/>
              </w:rPr>
              <w:t>nominal</w:t>
            </w:r>
            <w:r>
              <w:rPr>
                <w:color w:val="231F20"/>
                <w:spacing w:val="-2"/>
                <w:sz w:val="24"/>
              </w:rPr>
              <w:t xml:space="preserve"> consideration</w:t>
            </w:r>
          </w:p>
        </w:tc>
        <w:tc>
          <w:tcPr>
            <w:tcW w:w="1418" w:type="dxa"/>
            <w:shd w:val="clear" w:color="auto" w:fill="E6E7E8"/>
          </w:tcPr>
          <w:p w14:paraId="615F3A88" w14:textId="77777777" w:rsidR="00345EE3" w:rsidRDefault="00345EE3" w:rsidP="00D73130">
            <w:pPr>
              <w:pStyle w:val="TableParagraph"/>
              <w:spacing w:before="46"/>
              <w:ind w:right="53"/>
              <w:rPr>
                <w:sz w:val="24"/>
              </w:rPr>
            </w:pPr>
            <w:r>
              <w:rPr>
                <w:color w:val="231F20"/>
                <w:spacing w:val="-2"/>
                <w:sz w:val="24"/>
              </w:rPr>
              <w:t>3,088</w:t>
            </w:r>
          </w:p>
        </w:tc>
        <w:tc>
          <w:tcPr>
            <w:tcW w:w="1418" w:type="dxa"/>
          </w:tcPr>
          <w:p w14:paraId="1D554C80" w14:textId="77777777" w:rsidR="00345EE3" w:rsidRDefault="00345EE3" w:rsidP="00D73130">
            <w:pPr>
              <w:pStyle w:val="TableParagraph"/>
              <w:spacing w:before="46"/>
              <w:ind w:right="51"/>
              <w:rPr>
                <w:sz w:val="24"/>
              </w:rPr>
            </w:pPr>
            <w:r>
              <w:rPr>
                <w:color w:val="231F20"/>
                <w:sz w:val="24"/>
              </w:rPr>
              <w:t>-</w:t>
            </w:r>
          </w:p>
        </w:tc>
        <w:tc>
          <w:tcPr>
            <w:tcW w:w="1418" w:type="dxa"/>
          </w:tcPr>
          <w:p w14:paraId="6C647CD9" w14:textId="77777777" w:rsidR="00345EE3" w:rsidRDefault="00345EE3" w:rsidP="00D73130">
            <w:pPr>
              <w:pStyle w:val="TableParagraph"/>
              <w:spacing w:before="46"/>
              <w:ind w:right="54"/>
              <w:rPr>
                <w:sz w:val="24"/>
              </w:rPr>
            </w:pPr>
            <w:r>
              <w:rPr>
                <w:color w:val="231F20"/>
                <w:spacing w:val="-2"/>
                <w:sz w:val="24"/>
              </w:rPr>
              <w:t>3,088</w:t>
            </w:r>
          </w:p>
        </w:tc>
        <w:tc>
          <w:tcPr>
            <w:tcW w:w="1420" w:type="dxa"/>
            <w:tcBorders>
              <w:right w:val="nil"/>
            </w:tcBorders>
          </w:tcPr>
          <w:p w14:paraId="6616936E" w14:textId="77777777" w:rsidR="00345EE3" w:rsidRDefault="00345EE3" w:rsidP="00D73130">
            <w:pPr>
              <w:pStyle w:val="TableParagraph"/>
              <w:spacing w:before="46"/>
              <w:ind w:right="56"/>
              <w:rPr>
                <w:sz w:val="24"/>
              </w:rPr>
            </w:pPr>
            <w:r>
              <w:rPr>
                <w:color w:val="231F20"/>
                <w:spacing w:val="-5"/>
                <w:sz w:val="24"/>
              </w:rPr>
              <w:t>0%</w:t>
            </w:r>
          </w:p>
        </w:tc>
      </w:tr>
      <w:tr w:rsidR="00345EE3" w14:paraId="031637D8" w14:textId="77777777" w:rsidTr="00D73130">
        <w:trPr>
          <w:trHeight w:val="368"/>
        </w:trPr>
        <w:tc>
          <w:tcPr>
            <w:tcW w:w="9468" w:type="dxa"/>
            <w:tcBorders>
              <w:left w:val="nil"/>
              <w:bottom w:val="single" w:sz="2" w:space="0" w:color="231F20"/>
            </w:tcBorders>
          </w:tcPr>
          <w:p w14:paraId="52272E50" w14:textId="77777777" w:rsidR="00345EE3" w:rsidRDefault="00345EE3" w:rsidP="00D73130">
            <w:pPr>
              <w:pStyle w:val="TableParagraph"/>
              <w:spacing w:before="46"/>
              <w:ind w:left="283"/>
              <w:jc w:val="left"/>
              <w:rPr>
                <w:sz w:val="24"/>
              </w:rPr>
            </w:pPr>
            <w:r>
              <w:rPr>
                <w:color w:val="231F20"/>
                <w:sz w:val="24"/>
              </w:rPr>
              <w:t xml:space="preserve">Other </w:t>
            </w:r>
            <w:r>
              <w:rPr>
                <w:color w:val="231F20"/>
                <w:spacing w:val="-2"/>
                <w:sz w:val="24"/>
              </w:rPr>
              <w:t>Income</w:t>
            </w:r>
          </w:p>
        </w:tc>
        <w:tc>
          <w:tcPr>
            <w:tcW w:w="1418" w:type="dxa"/>
            <w:tcBorders>
              <w:bottom w:val="single" w:sz="2" w:space="0" w:color="231F20"/>
            </w:tcBorders>
            <w:shd w:val="clear" w:color="auto" w:fill="E6E7E8"/>
          </w:tcPr>
          <w:p w14:paraId="44288928" w14:textId="77777777" w:rsidR="00345EE3" w:rsidRDefault="00345EE3" w:rsidP="00D73130">
            <w:pPr>
              <w:pStyle w:val="TableParagraph"/>
              <w:spacing w:before="46"/>
              <w:ind w:right="53"/>
              <w:rPr>
                <w:sz w:val="24"/>
              </w:rPr>
            </w:pPr>
            <w:r>
              <w:rPr>
                <w:color w:val="231F20"/>
                <w:spacing w:val="-2"/>
                <w:sz w:val="24"/>
              </w:rPr>
              <w:t>2,746</w:t>
            </w:r>
          </w:p>
        </w:tc>
        <w:tc>
          <w:tcPr>
            <w:tcW w:w="1418" w:type="dxa"/>
            <w:tcBorders>
              <w:bottom w:val="single" w:sz="2" w:space="0" w:color="231F20"/>
            </w:tcBorders>
          </w:tcPr>
          <w:p w14:paraId="6222920E" w14:textId="77777777" w:rsidR="00345EE3" w:rsidRDefault="00345EE3" w:rsidP="00D73130">
            <w:pPr>
              <w:pStyle w:val="TableParagraph"/>
              <w:spacing w:before="46"/>
              <w:ind w:right="53"/>
              <w:rPr>
                <w:sz w:val="24"/>
              </w:rPr>
            </w:pPr>
            <w:r>
              <w:rPr>
                <w:color w:val="231F20"/>
                <w:spacing w:val="-2"/>
                <w:sz w:val="24"/>
              </w:rPr>
              <w:t>1,514</w:t>
            </w:r>
          </w:p>
        </w:tc>
        <w:tc>
          <w:tcPr>
            <w:tcW w:w="1418" w:type="dxa"/>
            <w:tcBorders>
              <w:bottom w:val="single" w:sz="2" w:space="0" w:color="231F20"/>
            </w:tcBorders>
          </w:tcPr>
          <w:p w14:paraId="634A0AB6" w14:textId="77777777" w:rsidR="00345EE3" w:rsidRDefault="00345EE3" w:rsidP="00D73130">
            <w:pPr>
              <w:pStyle w:val="TableParagraph"/>
              <w:spacing w:before="46"/>
              <w:ind w:right="54"/>
              <w:rPr>
                <w:sz w:val="24"/>
              </w:rPr>
            </w:pPr>
            <w:r>
              <w:rPr>
                <w:color w:val="231F20"/>
                <w:spacing w:val="-2"/>
                <w:sz w:val="24"/>
              </w:rPr>
              <w:t>1,232</w:t>
            </w:r>
          </w:p>
        </w:tc>
        <w:tc>
          <w:tcPr>
            <w:tcW w:w="1420" w:type="dxa"/>
            <w:tcBorders>
              <w:bottom w:val="single" w:sz="2" w:space="0" w:color="231F20"/>
              <w:right w:val="nil"/>
            </w:tcBorders>
          </w:tcPr>
          <w:p w14:paraId="2A89C9FA" w14:textId="77777777" w:rsidR="00345EE3" w:rsidRDefault="00345EE3" w:rsidP="00D73130">
            <w:pPr>
              <w:pStyle w:val="TableParagraph"/>
              <w:spacing w:before="46"/>
              <w:ind w:right="57"/>
              <w:rPr>
                <w:sz w:val="24"/>
              </w:rPr>
            </w:pPr>
            <w:r>
              <w:rPr>
                <w:color w:val="231F20"/>
                <w:spacing w:val="-5"/>
                <w:sz w:val="24"/>
              </w:rPr>
              <w:t>81%</w:t>
            </w:r>
          </w:p>
        </w:tc>
      </w:tr>
      <w:tr w:rsidR="00345EE3" w14:paraId="153FF87C" w14:textId="77777777" w:rsidTr="00D73130">
        <w:trPr>
          <w:trHeight w:val="398"/>
        </w:trPr>
        <w:tc>
          <w:tcPr>
            <w:tcW w:w="9468" w:type="dxa"/>
            <w:tcBorders>
              <w:top w:val="single" w:sz="2" w:space="0" w:color="231F20"/>
              <w:left w:val="nil"/>
              <w:bottom w:val="nil"/>
            </w:tcBorders>
          </w:tcPr>
          <w:p w14:paraId="0668F98B" w14:textId="77777777" w:rsidR="00345EE3" w:rsidRDefault="00345EE3" w:rsidP="00D73130">
            <w:pPr>
              <w:pStyle w:val="TableParagraph"/>
              <w:jc w:val="left"/>
              <w:rPr>
                <w:b/>
                <w:sz w:val="24"/>
              </w:rPr>
            </w:pPr>
            <w:r>
              <w:rPr>
                <w:b/>
                <w:color w:val="231F20"/>
                <w:sz w:val="24"/>
              </w:rPr>
              <w:t>Total</w:t>
            </w:r>
            <w:r>
              <w:rPr>
                <w:b/>
                <w:color w:val="231F20"/>
                <w:spacing w:val="-6"/>
                <w:sz w:val="24"/>
              </w:rPr>
              <w:t xml:space="preserve"> </w:t>
            </w:r>
            <w:r>
              <w:rPr>
                <w:b/>
                <w:color w:val="231F20"/>
                <w:sz w:val="24"/>
              </w:rPr>
              <w:t>Income</w:t>
            </w:r>
            <w:r>
              <w:rPr>
                <w:b/>
                <w:color w:val="231F20"/>
                <w:spacing w:val="-6"/>
                <w:sz w:val="24"/>
              </w:rPr>
              <w:t xml:space="preserve"> </w:t>
            </w:r>
            <w:r>
              <w:rPr>
                <w:b/>
                <w:color w:val="231F20"/>
                <w:sz w:val="24"/>
              </w:rPr>
              <w:t>From</w:t>
            </w:r>
            <w:r>
              <w:rPr>
                <w:b/>
                <w:color w:val="231F20"/>
                <w:spacing w:val="-6"/>
                <w:sz w:val="24"/>
              </w:rPr>
              <w:t xml:space="preserve"> </w:t>
            </w:r>
            <w:r>
              <w:rPr>
                <w:b/>
                <w:color w:val="231F20"/>
                <w:spacing w:val="-2"/>
                <w:sz w:val="24"/>
              </w:rPr>
              <w:t>Transactions</w:t>
            </w:r>
          </w:p>
        </w:tc>
        <w:tc>
          <w:tcPr>
            <w:tcW w:w="1418" w:type="dxa"/>
            <w:tcBorders>
              <w:top w:val="single" w:sz="2" w:space="0" w:color="231F20"/>
              <w:bottom w:val="nil"/>
              <w:right w:val="nil"/>
            </w:tcBorders>
            <w:shd w:val="clear" w:color="auto" w:fill="E6E7E8"/>
          </w:tcPr>
          <w:p w14:paraId="0439F316" w14:textId="77777777" w:rsidR="00345EE3" w:rsidRDefault="00345EE3" w:rsidP="00D73130">
            <w:pPr>
              <w:pStyle w:val="TableParagraph"/>
              <w:ind w:right="51"/>
              <w:rPr>
                <w:b/>
                <w:sz w:val="24"/>
              </w:rPr>
            </w:pPr>
            <w:r>
              <w:rPr>
                <w:b/>
                <w:color w:val="231F20"/>
                <w:spacing w:val="-2"/>
                <w:sz w:val="24"/>
              </w:rPr>
              <w:t>4,101,429</w:t>
            </w:r>
          </w:p>
        </w:tc>
        <w:tc>
          <w:tcPr>
            <w:tcW w:w="1418" w:type="dxa"/>
            <w:tcBorders>
              <w:top w:val="single" w:sz="2" w:space="0" w:color="231F20"/>
              <w:left w:val="nil"/>
              <w:bottom w:val="nil"/>
            </w:tcBorders>
          </w:tcPr>
          <w:p w14:paraId="3E2F5632" w14:textId="77777777" w:rsidR="00345EE3" w:rsidRDefault="00345EE3" w:rsidP="00D73130">
            <w:pPr>
              <w:pStyle w:val="TableParagraph"/>
              <w:ind w:right="51"/>
              <w:rPr>
                <w:b/>
                <w:sz w:val="24"/>
              </w:rPr>
            </w:pPr>
            <w:r>
              <w:rPr>
                <w:b/>
                <w:color w:val="231F20"/>
                <w:spacing w:val="-2"/>
                <w:sz w:val="24"/>
              </w:rPr>
              <w:t>3,705,654</w:t>
            </w:r>
          </w:p>
        </w:tc>
        <w:tc>
          <w:tcPr>
            <w:tcW w:w="1418" w:type="dxa"/>
            <w:tcBorders>
              <w:top w:val="single" w:sz="2" w:space="0" w:color="231F20"/>
              <w:bottom w:val="nil"/>
            </w:tcBorders>
          </w:tcPr>
          <w:p w14:paraId="390A8420" w14:textId="77777777" w:rsidR="00345EE3" w:rsidRDefault="00345EE3" w:rsidP="00D73130">
            <w:pPr>
              <w:pStyle w:val="TableParagraph"/>
              <w:ind w:right="52"/>
              <w:rPr>
                <w:b/>
                <w:sz w:val="24"/>
              </w:rPr>
            </w:pPr>
            <w:r>
              <w:rPr>
                <w:b/>
                <w:color w:val="231F20"/>
                <w:spacing w:val="-2"/>
                <w:sz w:val="24"/>
              </w:rPr>
              <w:t>395,775</w:t>
            </w:r>
          </w:p>
        </w:tc>
        <w:tc>
          <w:tcPr>
            <w:tcW w:w="1420" w:type="dxa"/>
            <w:tcBorders>
              <w:top w:val="single" w:sz="2" w:space="0" w:color="231F20"/>
              <w:bottom w:val="nil"/>
              <w:right w:val="nil"/>
            </w:tcBorders>
          </w:tcPr>
          <w:p w14:paraId="637B88E7" w14:textId="77777777" w:rsidR="00345EE3" w:rsidRDefault="00345EE3" w:rsidP="00D73130">
            <w:pPr>
              <w:pStyle w:val="TableParagraph"/>
              <w:ind w:right="-15"/>
              <w:rPr>
                <w:b/>
                <w:sz w:val="24"/>
              </w:rPr>
            </w:pPr>
            <w:r>
              <w:rPr>
                <w:b/>
                <w:color w:val="231F20"/>
                <w:spacing w:val="-5"/>
                <w:sz w:val="24"/>
              </w:rPr>
              <w:t>11%</w:t>
            </w:r>
          </w:p>
        </w:tc>
      </w:tr>
      <w:tr w:rsidR="00345EE3" w14:paraId="6C818D4D" w14:textId="77777777" w:rsidTr="00D73130">
        <w:trPr>
          <w:trHeight w:val="373"/>
        </w:trPr>
        <w:tc>
          <w:tcPr>
            <w:tcW w:w="15142" w:type="dxa"/>
            <w:gridSpan w:val="5"/>
            <w:tcBorders>
              <w:top w:val="nil"/>
              <w:left w:val="nil"/>
              <w:bottom w:val="nil"/>
              <w:right w:val="nil"/>
            </w:tcBorders>
            <w:shd w:val="clear" w:color="auto" w:fill="D1D3D4"/>
          </w:tcPr>
          <w:p w14:paraId="522C7C78" w14:textId="58E6C328" w:rsidR="00345EE3" w:rsidRDefault="00345EE3" w:rsidP="00D73130">
            <w:pPr>
              <w:pStyle w:val="TableParagraph"/>
              <w:spacing w:before="0" w:line="20" w:lineRule="exact"/>
              <w:ind w:left="-1" w:right="-72"/>
              <w:jc w:val="left"/>
              <w:rPr>
                <w:sz w:val="2"/>
              </w:rPr>
            </w:pPr>
          </w:p>
          <w:p w14:paraId="0FAFF61E" w14:textId="77777777" w:rsidR="00345EE3" w:rsidRDefault="00345EE3" w:rsidP="00D73130">
            <w:pPr>
              <w:pStyle w:val="TableParagraph"/>
              <w:spacing w:before="29"/>
              <w:ind w:left="2"/>
              <w:jc w:val="left"/>
              <w:rPr>
                <w:b/>
                <w:sz w:val="24"/>
              </w:rPr>
            </w:pPr>
            <w:r>
              <w:rPr>
                <w:b/>
                <w:color w:val="231F20"/>
                <w:sz w:val="24"/>
              </w:rPr>
              <w:t xml:space="preserve">Expenses From </w:t>
            </w:r>
            <w:r>
              <w:rPr>
                <w:b/>
                <w:color w:val="231F20"/>
                <w:spacing w:val="-2"/>
                <w:sz w:val="24"/>
              </w:rPr>
              <w:t>Transactions</w:t>
            </w:r>
          </w:p>
        </w:tc>
      </w:tr>
      <w:tr w:rsidR="00345EE3" w14:paraId="5BF632CE" w14:textId="77777777" w:rsidTr="00D73130">
        <w:trPr>
          <w:trHeight w:val="370"/>
        </w:trPr>
        <w:tc>
          <w:tcPr>
            <w:tcW w:w="9468" w:type="dxa"/>
            <w:tcBorders>
              <w:top w:val="nil"/>
              <w:left w:val="nil"/>
            </w:tcBorders>
          </w:tcPr>
          <w:p w14:paraId="4116A9D9" w14:textId="77777777" w:rsidR="00345EE3" w:rsidRDefault="00345EE3" w:rsidP="00D73130">
            <w:pPr>
              <w:pStyle w:val="TableParagraph"/>
              <w:spacing w:before="49"/>
              <w:ind w:left="283"/>
              <w:jc w:val="left"/>
              <w:rPr>
                <w:sz w:val="24"/>
              </w:rPr>
            </w:pPr>
            <w:r>
              <w:rPr>
                <w:color w:val="231F20"/>
                <w:sz w:val="24"/>
              </w:rPr>
              <w:t>Employee</w:t>
            </w:r>
            <w:r>
              <w:rPr>
                <w:color w:val="231F20"/>
                <w:spacing w:val="-7"/>
                <w:sz w:val="24"/>
              </w:rPr>
              <w:t xml:space="preserve"> </w:t>
            </w:r>
            <w:r>
              <w:rPr>
                <w:color w:val="231F20"/>
                <w:sz w:val="24"/>
              </w:rPr>
              <w:t>expenses</w:t>
            </w:r>
            <w:r>
              <w:rPr>
                <w:color w:val="231F20"/>
                <w:spacing w:val="-28"/>
                <w:sz w:val="24"/>
              </w:rPr>
              <w:t xml:space="preserve"> </w:t>
            </w:r>
            <w:r>
              <w:rPr>
                <w:color w:val="231F20"/>
                <w:spacing w:val="-5"/>
                <w:sz w:val="24"/>
                <w:vertAlign w:val="superscript"/>
              </w:rPr>
              <w:t>(b)</w:t>
            </w:r>
          </w:p>
        </w:tc>
        <w:tc>
          <w:tcPr>
            <w:tcW w:w="1418" w:type="dxa"/>
            <w:tcBorders>
              <w:top w:val="nil"/>
            </w:tcBorders>
            <w:shd w:val="clear" w:color="auto" w:fill="E6E7E8"/>
          </w:tcPr>
          <w:p w14:paraId="1D7ED2CF" w14:textId="77777777" w:rsidR="00345EE3" w:rsidRDefault="00345EE3" w:rsidP="00D73130">
            <w:pPr>
              <w:pStyle w:val="TableParagraph"/>
              <w:spacing w:before="49"/>
              <w:ind w:right="53"/>
              <w:rPr>
                <w:sz w:val="24"/>
              </w:rPr>
            </w:pPr>
            <w:r>
              <w:rPr>
                <w:color w:val="231F20"/>
                <w:spacing w:val="-2"/>
                <w:sz w:val="24"/>
              </w:rPr>
              <w:t>3,124,793</w:t>
            </w:r>
          </w:p>
        </w:tc>
        <w:tc>
          <w:tcPr>
            <w:tcW w:w="1418" w:type="dxa"/>
            <w:tcBorders>
              <w:top w:val="nil"/>
            </w:tcBorders>
          </w:tcPr>
          <w:p w14:paraId="256A1509" w14:textId="77777777" w:rsidR="00345EE3" w:rsidRDefault="00345EE3" w:rsidP="00D73130">
            <w:pPr>
              <w:pStyle w:val="TableParagraph"/>
              <w:spacing w:before="49"/>
              <w:ind w:right="54"/>
              <w:rPr>
                <w:sz w:val="24"/>
              </w:rPr>
            </w:pPr>
            <w:r>
              <w:rPr>
                <w:color w:val="231F20"/>
                <w:spacing w:val="-2"/>
                <w:sz w:val="24"/>
              </w:rPr>
              <w:t>2,740,175</w:t>
            </w:r>
          </w:p>
        </w:tc>
        <w:tc>
          <w:tcPr>
            <w:tcW w:w="1418" w:type="dxa"/>
            <w:tcBorders>
              <w:top w:val="nil"/>
            </w:tcBorders>
          </w:tcPr>
          <w:p w14:paraId="71B5B8D5" w14:textId="77777777" w:rsidR="00345EE3" w:rsidRDefault="00345EE3" w:rsidP="00D73130">
            <w:pPr>
              <w:pStyle w:val="TableParagraph"/>
              <w:spacing w:before="49"/>
              <w:ind w:right="54"/>
              <w:rPr>
                <w:sz w:val="24"/>
              </w:rPr>
            </w:pPr>
            <w:r>
              <w:rPr>
                <w:color w:val="231F20"/>
                <w:spacing w:val="-2"/>
                <w:sz w:val="24"/>
              </w:rPr>
              <w:t>384,618</w:t>
            </w:r>
          </w:p>
        </w:tc>
        <w:tc>
          <w:tcPr>
            <w:tcW w:w="1420" w:type="dxa"/>
            <w:tcBorders>
              <w:top w:val="nil"/>
              <w:right w:val="nil"/>
            </w:tcBorders>
          </w:tcPr>
          <w:p w14:paraId="6380B6EB" w14:textId="77777777" w:rsidR="00345EE3" w:rsidRDefault="00345EE3" w:rsidP="00D73130">
            <w:pPr>
              <w:pStyle w:val="TableParagraph"/>
              <w:spacing w:before="49"/>
              <w:ind w:right="57"/>
              <w:rPr>
                <w:sz w:val="24"/>
              </w:rPr>
            </w:pPr>
            <w:r>
              <w:rPr>
                <w:color w:val="231F20"/>
                <w:spacing w:val="-5"/>
                <w:sz w:val="24"/>
              </w:rPr>
              <w:t>14%</w:t>
            </w:r>
          </w:p>
        </w:tc>
      </w:tr>
      <w:tr w:rsidR="00345EE3" w14:paraId="502B8BEF" w14:textId="77777777" w:rsidTr="00D73130">
        <w:trPr>
          <w:trHeight w:val="368"/>
        </w:trPr>
        <w:tc>
          <w:tcPr>
            <w:tcW w:w="9468" w:type="dxa"/>
            <w:tcBorders>
              <w:left w:val="nil"/>
            </w:tcBorders>
          </w:tcPr>
          <w:p w14:paraId="0F07F616" w14:textId="77777777" w:rsidR="00345EE3" w:rsidRDefault="00345EE3" w:rsidP="00D73130">
            <w:pPr>
              <w:pStyle w:val="TableParagraph"/>
              <w:spacing w:before="46"/>
              <w:ind w:left="283"/>
              <w:jc w:val="left"/>
              <w:rPr>
                <w:sz w:val="24"/>
              </w:rPr>
            </w:pPr>
            <w:r>
              <w:rPr>
                <w:color w:val="231F20"/>
                <w:sz w:val="24"/>
              </w:rPr>
              <w:t>Depreciation</w:t>
            </w:r>
            <w:r>
              <w:rPr>
                <w:color w:val="231F20"/>
                <w:spacing w:val="-8"/>
                <w:sz w:val="24"/>
              </w:rPr>
              <w:t xml:space="preserve"> </w:t>
            </w:r>
            <w:r>
              <w:rPr>
                <w:color w:val="231F20"/>
                <w:sz w:val="24"/>
              </w:rPr>
              <w:t>and</w:t>
            </w:r>
            <w:r>
              <w:rPr>
                <w:color w:val="231F20"/>
                <w:spacing w:val="-7"/>
                <w:sz w:val="24"/>
              </w:rPr>
              <w:t xml:space="preserve"> </w:t>
            </w:r>
            <w:r>
              <w:rPr>
                <w:color w:val="231F20"/>
                <w:spacing w:val="-2"/>
                <w:sz w:val="24"/>
              </w:rPr>
              <w:t>amortisation</w:t>
            </w:r>
          </w:p>
        </w:tc>
        <w:tc>
          <w:tcPr>
            <w:tcW w:w="1418" w:type="dxa"/>
            <w:shd w:val="clear" w:color="auto" w:fill="E6E7E8"/>
          </w:tcPr>
          <w:p w14:paraId="3F785706" w14:textId="77777777" w:rsidR="00345EE3" w:rsidRDefault="00345EE3" w:rsidP="00D73130">
            <w:pPr>
              <w:pStyle w:val="TableParagraph"/>
              <w:spacing w:before="46"/>
              <w:ind w:right="53"/>
              <w:rPr>
                <w:sz w:val="24"/>
              </w:rPr>
            </w:pPr>
            <w:r>
              <w:rPr>
                <w:color w:val="231F20"/>
                <w:spacing w:val="-2"/>
                <w:sz w:val="24"/>
              </w:rPr>
              <w:t>260,214</w:t>
            </w:r>
          </w:p>
        </w:tc>
        <w:tc>
          <w:tcPr>
            <w:tcW w:w="1418" w:type="dxa"/>
          </w:tcPr>
          <w:p w14:paraId="06AF6164" w14:textId="77777777" w:rsidR="00345EE3" w:rsidRDefault="00345EE3" w:rsidP="00D73130">
            <w:pPr>
              <w:pStyle w:val="TableParagraph"/>
              <w:spacing w:before="46"/>
              <w:ind w:right="54"/>
              <w:rPr>
                <w:sz w:val="24"/>
              </w:rPr>
            </w:pPr>
            <w:r>
              <w:rPr>
                <w:color w:val="231F20"/>
                <w:spacing w:val="-2"/>
                <w:sz w:val="24"/>
              </w:rPr>
              <w:t>233,391</w:t>
            </w:r>
          </w:p>
        </w:tc>
        <w:tc>
          <w:tcPr>
            <w:tcW w:w="1418" w:type="dxa"/>
          </w:tcPr>
          <w:p w14:paraId="1137F580" w14:textId="77777777" w:rsidR="00345EE3" w:rsidRDefault="00345EE3" w:rsidP="00D73130">
            <w:pPr>
              <w:pStyle w:val="TableParagraph"/>
              <w:spacing w:before="46"/>
              <w:ind w:right="54"/>
              <w:rPr>
                <w:sz w:val="24"/>
              </w:rPr>
            </w:pPr>
            <w:r>
              <w:rPr>
                <w:color w:val="231F20"/>
                <w:spacing w:val="-2"/>
                <w:sz w:val="24"/>
              </w:rPr>
              <w:t>26,823</w:t>
            </w:r>
          </w:p>
        </w:tc>
        <w:tc>
          <w:tcPr>
            <w:tcW w:w="1420" w:type="dxa"/>
            <w:tcBorders>
              <w:right w:val="nil"/>
            </w:tcBorders>
          </w:tcPr>
          <w:p w14:paraId="2AD1DD82" w14:textId="77777777" w:rsidR="00345EE3" w:rsidRDefault="00345EE3" w:rsidP="00D73130">
            <w:pPr>
              <w:pStyle w:val="TableParagraph"/>
              <w:spacing w:before="46"/>
              <w:ind w:right="54"/>
              <w:rPr>
                <w:sz w:val="24"/>
              </w:rPr>
            </w:pPr>
            <w:r>
              <w:rPr>
                <w:color w:val="231F20"/>
                <w:spacing w:val="-5"/>
                <w:sz w:val="24"/>
              </w:rPr>
              <w:t>11%</w:t>
            </w:r>
          </w:p>
        </w:tc>
      </w:tr>
      <w:tr w:rsidR="00345EE3" w14:paraId="43782E7B" w14:textId="77777777" w:rsidTr="00D73130">
        <w:trPr>
          <w:trHeight w:val="368"/>
        </w:trPr>
        <w:tc>
          <w:tcPr>
            <w:tcW w:w="9468" w:type="dxa"/>
            <w:tcBorders>
              <w:left w:val="nil"/>
            </w:tcBorders>
          </w:tcPr>
          <w:p w14:paraId="31A42325" w14:textId="77777777" w:rsidR="00345EE3" w:rsidRDefault="00345EE3" w:rsidP="00D73130">
            <w:pPr>
              <w:pStyle w:val="TableParagraph"/>
              <w:spacing w:before="46"/>
              <w:ind w:left="283"/>
              <w:jc w:val="left"/>
              <w:rPr>
                <w:sz w:val="24"/>
              </w:rPr>
            </w:pPr>
            <w:r>
              <w:rPr>
                <w:color w:val="231F20"/>
                <w:sz w:val="24"/>
              </w:rPr>
              <w:t xml:space="preserve">Interest </w:t>
            </w:r>
            <w:r>
              <w:rPr>
                <w:color w:val="231F20"/>
                <w:spacing w:val="-2"/>
                <w:sz w:val="24"/>
              </w:rPr>
              <w:t>expense</w:t>
            </w:r>
          </w:p>
        </w:tc>
        <w:tc>
          <w:tcPr>
            <w:tcW w:w="1418" w:type="dxa"/>
            <w:shd w:val="clear" w:color="auto" w:fill="E6E7E8"/>
          </w:tcPr>
          <w:p w14:paraId="00E51BAF" w14:textId="77777777" w:rsidR="00345EE3" w:rsidRDefault="00345EE3" w:rsidP="00D73130">
            <w:pPr>
              <w:pStyle w:val="TableParagraph"/>
              <w:spacing w:before="46"/>
              <w:ind w:right="53"/>
              <w:rPr>
                <w:sz w:val="24"/>
              </w:rPr>
            </w:pPr>
            <w:r>
              <w:rPr>
                <w:color w:val="231F20"/>
                <w:spacing w:val="-2"/>
                <w:sz w:val="24"/>
              </w:rPr>
              <w:t>61,320</w:t>
            </w:r>
          </w:p>
        </w:tc>
        <w:tc>
          <w:tcPr>
            <w:tcW w:w="1418" w:type="dxa"/>
          </w:tcPr>
          <w:p w14:paraId="7063C8DC" w14:textId="77777777" w:rsidR="00345EE3" w:rsidRDefault="00345EE3" w:rsidP="00D73130">
            <w:pPr>
              <w:pStyle w:val="TableParagraph"/>
              <w:spacing w:before="46"/>
              <w:ind w:right="53"/>
              <w:rPr>
                <w:sz w:val="24"/>
              </w:rPr>
            </w:pPr>
            <w:r>
              <w:rPr>
                <w:color w:val="231F20"/>
                <w:spacing w:val="-2"/>
                <w:sz w:val="24"/>
              </w:rPr>
              <w:t>62,348</w:t>
            </w:r>
          </w:p>
        </w:tc>
        <w:tc>
          <w:tcPr>
            <w:tcW w:w="1418" w:type="dxa"/>
          </w:tcPr>
          <w:p w14:paraId="3F1D9A48" w14:textId="77777777" w:rsidR="00345EE3" w:rsidRDefault="00345EE3" w:rsidP="00D73130">
            <w:pPr>
              <w:pStyle w:val="TableParagraph"/>
              <w:spacing w:before="46"/>
              <w:ind w:right="54"/>
              <w:rPr>
                <w:sz w:val="24"/>
              </w:rPr>
            </w:pPr>
            <w:r>
              <w:rPr>
                <w:color w:val="231F20"/>
                <w:spacing w:val="-2"/>
                <w:sz w:val="24"/>
              </w:rPr>
              <w:t>(1,028)</w:t>
            </w:r>
          </w:p>
        </w:tc>
        <w:tc>
          <w:tcPr>
            <w:tcW w:w="1420" w:type="dxa"/>
            <w:tcBorders>
              <w:right w:val="nil"/>
            </w:tcBorders>
          </w:tcPr>
          <w:p w14:paraId="6DB492FF" w14:textId="77777777" w:rsidR="00345EE3" w:rsidRDefault="00345EE3" w:rsidP="00D73130">
            <w:pPr>
              <w:pStyle w:val="TableParagraph"/>
              <w:spacing w:before="46"/>
              <w:ind w:right="56"/>
              <w:rPr>
                <w:sz w:val="24"/>
              </w:rPr>
            </w:pPr>
            <w:r>
              <w:rPr>
                <w:color w:val="231F20"/>
                <w:spacing w:val="-3"/>
                <w:sz w:val="24"/>
              </w:rPr>
              <w:t>-</w:t>
            </w:r>
            <w:r>
              <w:rPr>
                <w:color w:val="231F20"/>
                <w:spacing w:val="-5"/>
                <w:sz w:val="24"/>
              </w:rPr>
              <w:t>2%</w:t>
            </w:r>
          </w:p>
        </w:tc>
      </w:tr>
      <w:tr w:rsidR="00345EE3" w14:paraId="477C4DB1" w14:textId="77777777" w:rsidTr="00D73130">
        <w:trPr>
          <w:trHeight w:val="368"/>
        </w:trPr>
        <w:tc>
          <w:tcPr>
            <w:tcW w:w="9468" w:type="dxa"/>
            <w:tcBorders>
              <w:left w:val="nil"/>
            </w:tcBorders>
          </w:tcPr>
          <w:p w14:paraId="749C099C" w14:textId="77777777" w:rsidR="00345EE3" w:rsidRDefault="00345EE3" w:rsidP="00D73130">
            <w:pPr>
              <w:pStyle w:val="TableParagraph"/>
              <w:spacing w:before="46"/>
              <w:ind w:left="284"/>
              <w:jc w:val="left"/>
              <w:rPr>
                <w:sz w:val="24"/>
              </w:rPr>
            </w:pPr>
            <w:r>
              <w:rPr>
                <w:color w:val="231F20"/>
                <w:sz w:val="24"/>
              </w:rPr>
              <w:t>Grants</w:t>
            </w:r>
            <w:r>
              <w:rPr>
                <w:color w:val="231F20"/>
                <w:spacing w:val="-3"/>
                <w:sz w:val="24"/>
              </w:rPr>
              <w:t xml:space="preserve"> </w:t>
            </w:r>
            <w:r>
              <w:rPr>
                <w:color w:val="231F20"/>
                <w:sz w:val="24"/>
              </w:rPr>
              <w:t>and</w:t>
            </w:r>
            <w:r>
              <w:rPr>
                <w:color w:val="231F20"/>
                <w:spacing w:val="-3"/>
                <w:sz w:val="24"/>
              </w:rPr>
              <w:t xml:space="preserve"> </w:t>
            </w:r>
            <w:r>
              <w:rPr>
                <w:color w:val="231F20"/>
                <w:sz w:val="24"/>
              </w:rPr>
              <w:t>other</w:t>
            </w:r>
            <w:r>
              <w:rPr>
                <w:color w:val="231F20"/>
                <w:spacing w:val="-2"/>
                <w:sz w:val="24"/>
              </w:rPr>
              <w:t xml:space="preserve"> transfers</w:t>
            </w:r>
          </w:p>
        </w:tc>
        <w:tc>
          <w:tcPr>
            <w:tcW w:w="1418" w:type="dxa"/>
            <w:shd w:val="clear" w:color="auto" w:fill="E6E7E8"/>
          </w:tcPr>
          <w:p w14:paraId="21299937" w14:textId="77777777" w:rsidR="00345EE3" w:rsidRDefault="00345EE3" w:rsidP="00D73130">
            <w:pPr>
              <w:pStyle w:val="TableParagraph"/>
              <w:spacing w:before="46"/>
              <w:ind w:right="52"/>
              <w:rPr>
                <w:sz w:val="24"/>
              </w:rPr>
            </w:pPr>
            <w:r>
              <w:rPr>
                <w:color w:val="231F20"/>
                <w:spacing w:val="-2"/>
                <w:sz w:val="24"/>
              </w:rPr>
              <w:t>2,005</w:t>
            </w:r>
          </w:p>
        </w:tc>
        <w:tc>
          <w:tcPr>
            <w:tcW w:w="1418" w:type="dxa"/>
          </w:tcPr>
          <w:p w14:paraId="53E78A0D" w14:textId="77777777" w:rsidR="00345EE3" w:rsidRDefault="00345EE3" w:rsidP="00D73130">
            <w:pPr>
              <w:pStyle w:val="TableParagraph"/>
              <w:spacing w:before="46"/>
              <w:ind w:right="53"/>
              <w:rPr>
                <w:sz w:val="24"/>
              </w:rPr>
            </w:pPr>
            <w:r>
              <w:rPr>
                <w:color w:val="231F20"/>
                <w:spacing w:val="-2"/>
                <w:sz w:val="24"/>
              </w:rPr>
              <w:t>3,867</w:t>
            </w:r>
          </w:p>
        </w:tc>
        <w:tc>
          <w:tcPr>
            <w:tcW w:w="1418" w:type="dxa"/>
          </w:tcPr>
          <w:p w14:paraId="74A801F7" w14:textId="77777777" w:rsidR="00345EE3" w:rsidRDefault="00345EE3" w:rsidP="00D73130">
            <w:pPr>
              <w:pStyle w:val="TableParagraph"/>
              <w:spacing w:before="46"/>
              <w:ind w:right="53"/>
              <w:rPr>
                <w:sz w:val="24"/>
              </w:rPr>
            </w:pPr>
            <w:r>
              <w:rPr>
                <w:color w:val="231F20"/>
                <w:spacing w:val="-2"/>
                <w:sz w:val="24"/>
              </w:rPr>
              <w:t>(1,862)</w:t>
            </w:r>
          </w:p>
        </w:tc>
        <w:tc>
          <w:tcPr>
            <w:tcW w:w="1420" w:type="dxa"/>
            <w:tcBorders>
              <w:right w:val="nil"/>
            </w:tcBorders>
          </w:tcPr>
          <w:p w14:paraId="6C605A7D" w14:textId="77777777" w:rsidR="00345EE3" w:rsidRDefault="00345EE3" w:rsidP="00D73130">
            <w:pPr>
              <w:pStyle w:val="TableParagraph"/>
              <w:spacing w:before="46"/>
              <w:ind w:right="56"/>
              <w:rPr>
                <w:sz w:val="24"/>
              </w:rPr>
            </w:pPr>
            <w:r>
              <w:rPr>
                <w:color w:val="231F20"/>
                <w:spacing w:val="-3"/>
                <w:sz w:val="24"/>
              </w:rPr>
              <w:t>-</w:t>
            </w:r>
            <w:r>
              <w:rPr>
                <w:color w:val="231F20"/>
                <w:spacing w:val="-5"/>
                <w:sz w:val="24"/>
              </w:rPr>
              <w:t>48%</w:t>
            </w:r>
          </w:p>
        </w:tc>
      </w:tr>
      <w:tr w:rsidR="00345EE3" w14:paraId="4678CDAF" w14:textId="77777777" w:rsidTr="00D73130">
        <w:trPr>
          <w:trHeight w:val="368"/>
        </w:trPr>
        <w:tc>
          <w:tcPr>
            <w:tcW w:w="9468" w:type="dxa"/>
            <w:tcBorders>
              <w:left w:val="nil"/>
            </w:tcBorders>
          </w:tcPr>
          <w:p w14:paraId="06BD68E1" w14:textId="77777777" w:rsidR="00345EE3" w:rsidRDefault="00345EE3" w:rsidP="00D73130">
            <w:pPr>
              <w:pStyle w:val="TableParagraph"/>
              <w:spacing w:before="46"/>
              <w:ind w:left="284"/>
              <w:jc w:val="left"/>
              <w:rPr>
                <w:sz w:val="24"/>
              </w:rPr>
            </w:pPr>
            <w:r>
              <w:rPr>
                <w:color w:val="231F20"/>
                <w:sz w:val="24"/>
              </w:rPr>
              <w:t>Capital</w:t>
            </w:r>
            <w:r>
              <w:rPr>
                <w:color w:val="231F20"/>
                <w:spacing w:val="-6"/>
                <w:sz w:val="24"/>
              </w:rPr>
              <w:t xml:space="preserve"> </w:t>
            </w:r>
            <w:r>
              <w:rPr>
                <w:color w:val="231F20"/>
                <w:sz w:val="24"/>
              </w:rPr>
              <w:t>asset</w:t>
            </w:r>
            <w:r>
              <w:rPr>
                <w:color w:val="231F20"/>
                <w:spacing w:val="-6"/>
                <w:sz w:val="24"/>
              </w:rPr>
              <w:t xml:space="preserve"> </w:t>
            </w:r>
            <w:r>
              <w:rPr>
                <w:color w:val="231F20"/>
                <w:spacing w:val="-2"/>
                <w:sz w:val="24"/>
              </w:rPr>
              <w:t>charge</w:t>
            </w:r>
          </w:p>
        </w:tc>
        <w:tc>
          <w:tcPr>
            <w:tcW w:w="1418" w:type="dxa"/>
            <w:shd w:val="clear" w:color="auto" w:fill="E6E7E8"/>
          </w:tcPr>
          <w:p w14:paraId="2B6D3098" w14:textId="77777777" w:rsidR="00345EE3" w:rsidRDefault="00345EE3" w:rsidP="00D73130">
            <w:pPr>
              <w:pStyle w:val="TableParagraph"/>
              <w:spacing w:before="46"/>
              <w:ind w:right="50"/>
              <w:rPr>
                <w:sz w:val="24"/>
              </w:rPr>
            </w:pPr>
            <w:r>
              <w:rPr>
                <w:color w:val="231F20"/>
                <w:sz w:val="24"/>
              </w:rPr>
              <w:t>-</w:t>
            </w:r>
          </w:p>
        </w:tc>
        <w:tc>
          <w:tcPr>
            <w:tcW w:w="1418" w:type="dxa"/>
          </w:tcPr>
          <w:p w14:paraId="16EDFB2E" w14:textId="77777777" w:rsidR="00345EE3" w:rsidRDefault="00345EE3" w:rsidP="00D73130">
            <w:pPr>
              <w:pStyle w:val="TableParagraph"/>
              <w:spacing w:before="46"/>
              <w:ind w:right="50"/>
              <w:rPr>
                <w:sz w:val="24"/>
              </w:rPr>
            </w:pPr>
            <w:r>
              <w:rPr>
                <w:color w:val="231F20"/>
                <w:sz w:val="24"/>
              </w:rPr>
              <w:t>-</w:t>
            </w:r>
          </w:p>
        </w:tc>
        <w:tc>
          <w:tcPr>
            <w:tcW w:w="1418" w:type="dxa"/>
          </w:tcPr>
          <w:p w14:paraId="42C9E3E2" w14:textId="77777777" w:rsidR="00345EE3" w:rsidRDefault="00345EE3" w:rsidP="00D73130">
            <w:pPr>
              <w:pStyle w:val="TableParagraph"/>
              <w:spacing w:before="46"/>
              <w:ind w:right="51"/>
              <w:rPr>
                <w:sz w:val="24"/>
              </w:rPr>
            </w:pPr>
            <w:r>
              <w:rPr>
                <w:color w:val="231F20"/>
                <w:sz w:val="24"/>
              </w:rPr>
              <w:t>-</w:t>
            </w:r>
          </w:p>
        </w:tc>
        <w:tc>
          <w:tcPr>
            <w:tcW w:w="1420" w:type="dxa"/>
            <w:tcBorders>
              <w:right w:val="nil"/>
            </w:tcBorders>
          </w:tcPr>
          <w:p w14:paraId="56383C94" w14:textId="77777777" w:rsidR="00345EE3" w:rsidRDefault="00345EE3" w:rsidP="00D73130">
            <w:pPr>
              <w:pStyle w:val="TableParagraph"/>
              <w:spacing w:before="46"/>
              <w:ind w:right="56"/>
              <w:rPr>
                <w:sz w:val="24"/>
              </w:rPr>
            </w:pPr>
            <w:r>
              <w:rPr>
                <w:color w:val="231F20"/>
                <w:spacing w:val="-5"/>
                <w:sz w:val="24"/>
              </w:rPr>
              <w:t>0%</w:t>
            </w:r>
          </w:p>
        </w:tc>
      </w:tr>
      <w:tr w:rsidR="00345EE3" w14:paraId="31AD562E" w14:textId="77777777" w:rsidTr="00D73130">
        <w:trPr>
          <w:trHeight w:val="368"/>
        </w:trPr>
        <w:tc>
          <w:tcPr>
            <w:tcW w:w="9468" w:type="dxa"/>
            <w:tcBorders>
              <w:left w:val="nil"/>
              <w:bottom w:val="single" w:sz="2" w:space="0" w:color="231F20"/>
            </w:tcBorders>
          </w:tcPr>
          <w:p w14:paraId="23779D33" w14:textId="77777777" w:rsidR="00345EE3" w:rsidRDefault="00345EE3" w:rsidP="00D73130">
            <w:pPr>
              <w:pStyle w:val="TableParagraph"/>
              <w:spacing w:before="46"/>
              <w:ind w:left="284"/>
              <w:jc w:val="left"/>
              <w:rPr>
                <w:sz w:val="24"/>
              </w:rPr>
            </w:pPr>
            <w:r>
              <w:rPr>
                <w:color w:val="231F20"/>
                <w:sz w:val="24"/>
              </w:rPr>
              <w:t>Purchase</w:t>
            </w:r>
            <w:r>
              <w:rPr>
                <w:color w:val="231F20"/>
                <w:spacing w:val="-1"/>
                <w:sz w:val="24"/>
              </w:rPr>
              <w:t xml:space="preserve"> </w:t>
            </w:r>
            <w:r>
              <w:rPr>
                <w:color w:val="231F20"/>
                <w:sz w:val="24"/>
              </w:rPr>
              <w:t>of</w:t>
            </w:r>
            <w:r>
              <w:rPr>
                <w:color w:val="231F20"/>
                <w:spacing w:val="-2"/>
                <w:sz w:val="24"/>
              </w:rPr>
              <w:t xml:space="preserve"> </w:t>
            </w:r>
            <w:r>
              <w:rPr>
                <w:color w:val="231F20"/>
                <w:sz w:val="24"/>
              </w:rPr>
              <w:t>supplies</w:t>
            </w:r>
            <w:r>
              <w:rPr>
                <w:color w:val="231F20"/>
                <w:spacing w:val="-1"/>
                <w:sz w:val="24"/>
              </w:rPr>
              <w:t xml:space="preserve"> </w:t>
            </w:r>
            <w:r>
              <w:rPr>
                <w:color w:val="231F20"/>
                <w:sz w:val="24"/>
              </w:rPr>
              <w:t>and</w:t>
            </w:r>
            <w:r>
              <w:rPr>
                <w:color w:val="231F20"/>
                <w:spacing w:val="-1"/>
                <w:sz w:val="24"/>
              </w:rPr>
              <w:t xml:space="preserve"> </w:t>
            </w:r>
            <w:r>
              <w:rPr>
                <w:color w:val="231F20"/>
                <w:spacing w:val="-2"/>
                <w:sz w:val="24"/>
              </w:rPr>
              <w:t>services</w:t>
            </w:r>
          </w:p>
        </w:tc>
        <w:tc>
          <w:tcPr>
            <w:tcW w:w="1418" w:type="dxa"/>
            <w:tcBorders>
              <w:bottom w:val="single" w:sz="2" w:space="0" w:color="231F20"/>
            </w:tcBorders>
            <w:shd w:val="clear" w:color="auto" w:fill="E6E7E8"/>
          </w:tcPr>
          <w:p w14:paraId="3ED67336" w14:textId="77777777" w:rsidR="00345EE3" w:rsidRDefault="00345EE3" w:rsidP="00D73130">
            <w:pPr>
              <w:pStyle w:val="TableParagraph"/>
              <w:spacing w:before="46"/>
              <w:ind w:right="52"/>
              <w:rPr>
                <w:sz w:val="24"/>
              </w:rPr>
            </w:pPr>
            <w:r>
              <w:rPr>
                <w:color w:val="231F20"/>
                <w:spacing w:val="-2"/>
                <w:sz w:val="24"/>
              </w:rPr>
              <w:t>651,347</w:t>
            </w:r>
          </w:p>
        </w:tc>
        <w:tc>
          <w:tcPr>
            <w:tcW w:w="1418" w:type="dxa"/>
            <w:tcBorders>
              <w:bottom w:val="single" w:sz="2" w:space="0" w:color="231F20"/>
            </w:tcBorders>
          </w:tcPr>
          <w:p w14:paraId="440EB59C" w14:textId="77777777" w:rsidR="00345EE3" w:rsidRDefault="00345EE3" w:rsidP="00D73130">
            <w:pPr>
              <w:pStyle w:val="TableParagraph"/>
              <w:spacing w:before="46"/>
              <w:ind w:right="53"/>
              <w:rPr>
                <w:sz w:val="24"/>
              </w:rPr>
            </w:pPr>
            <w:r>
              <w:rPr>
                <w:color w:val="231F20"/>
                <w:spacing w:val="-2"/>
                <w:sz w:val="24"/>
              </w:rPr>
              <w:t>662,992</w:t>
            </w:r>
          </w:p>
        </w:tc>
        <w:tc>
          <w:tcPr>
            <w:tcW w:w="1418" w:type="dxa"/>
            <w:tcBorders>
              <w:bottom w:val="single" w:sz="2" w:space="0" w:color="231F20"/>
            </w:tcBorders>
          </w:tcPr>
          <w:p w14:paraId="0359F718" w14:textId="77777777" w:rsidR="00345EE3" w:rsidRDefault="00345EE3" w:rsidP="00D73130">
            <w:pPr>
              <w:pStyle w:val="TableParagraph"/>
              <w:spacing w:before="46"/>
              <w:ind w:right="53"/>
              <w:rPr>
                <w:sz w:val="24"/>
              </w:rPr>
            </w:pPr>
            <w:r>
              <w:rPr>
                <w:color w:val="231F20"/>
                <w:spacing w:val="-2"/>
                <w:sz w:val="24"/>
              </w:rPr>
              <w:t>(11,645)</w:t>
            </w:r>
          </w:p>
        </w:tc>
        <w:tc>
          <w:tcPr>
            <w:tcW w:w="1420" w:type="dxa"/>
            <w:tcBorders>
              <w:bottom w:val="single" w:sz="2" w:space="0" w:color="231F20"/>
              <w:right w:val="nil"/>
            </w:tcBorders>
          </w:tcPr>
          <w:p w14:paraId="2D6909E5" w14:textId="77777777" w:rsidR="00345EE3" w:rsidRDefault="00345EE3" w:rsidP="00D73130">
            <w:pPr>
              <w:pStyle w:val="TableParagraph"/>
              <w:spacing w:before="46"/>
              <w:ind w:right="56"/>
              <w:rPr>
                <w:sz w:val="24"/>
              </w:rPr>
            </w:pPr>
            <w:r>
              <w:rPr>
                <w:color w:val="231F20"/>
                <w:spacing w:val="-3"/>
                <w:sz w:val="24"/>
              </w:rPr>
              <w:t>-</w:t>
            </w:r>
            <w:r>
              <w:rPr>
                <w:color w:val="231F20"/>
                <w:spacing w:val="-5"/>
                <w:sz w:val="24"/>
              </w:rPr>
              <w:t>2%</w:t>
            </w:r>
          </w:p>
        </w:tc>
      </w:tr>
      <w:tr w:rsidR="00345EE3" w14:paraId="25FA83BE" w14:textId="77777777" w:rsidTr="00D73130">
        <w:trPr>
          <w:trHeight w:val="396"/>
        </w:trPr>
        <w:tc>
          <w:tcPr>
            <w:tcW w:w="9468" w:type="dxa"/>
            <w:tcBorders>
              <w:top w:val="single" w:sz="2" w:space="0" w:color="231F20"/>
              <w:left w:val="nil"/>
              <w:bottom w:val="single" w:sz="2" w:space="0" w:color="231F20"/>
            </w:tcBorders>
          </w:tcPr>
          <w:p w14:paraId="61D00132" w14:textId="77777777" w:rsidR="00345EE3" w:rsidRDefault="00345EE3" w:rsidP="00D73130">
            <w:pPr>
              <w:pStyle w:val="TableParagraph"/>
              <w:ind w:left="1"/>
              <w:jc w:val="left"/>
              <w:rPr>
                <w:b/>
                <w:sz w:val="24"/>
              </w:rPr>
            </w:pPr>
            <w:r>
              <w:rPr>
                <w:b/>
                <w:color w:val="231F20"/>
                <w:sz w:val="24"/>
              </w:rPr>
              <w:t>Total</w:t>
            </w:r>
            <w:r>
              <w:rPr>
                <w:b/>
                <w:color w:val="231F20"/>
                <w:spacing w:val="-6"/>
                <w:sz w:val="24"/>
              </w:rPr>
              <w:t xml:space="preserve"> </w:t>
            </w:r>
            <w:r>
              <w:rPr>
                <w:b/>
                <w:color w:val="231F20"/>
                <w:sz w:val="24"/>
              </w:rPr>
              <w:t>Expenses</w:t>
            </w:r>
            <w:r>
              <w:rPr>
                <w:b/>
                <w:color w:val="231F20"/>
                <w:spacing w:val="-6"/>
                <w:sz w:val="24"/>
              </w:rPr>
              <w:t xml:space="preserve"> </w:t>
            </w:r>
            <w:r>
              <w:rPr>
                <w:b/>
                <w:color w:val="231F20"/>
                <w:sz w:val="24"/>
              </w:rPr>
              <w:t>From</w:t>
            </w:r>
            <w:r>
              <w:rPr>
                <w:b/>
                <w:color w:val="231F20"/>
                <w:spacing w:val="-6"/>
                <w:sz w:val="24"/>
              </w:rPr>
              <w:t xml:space="preserve"> </w:t>
            </w:r>
            <w:r>
              <w:rPr>
                <w:b/>
                <w:color w:val="231F20"/>
                <w:spacing w:val="-2"/>
                <w:sz w:val="24"/>
              </w:rPr>
              <w:t>Transactions</w:t>
            </w:r>
          </w:p>
        </w:tc>
        <w:tc>
          <w:tcPr>
            <w:tcW w:w="1418" w:type="dxa"/>
            <w:tcBorders>
              <w:top w:val="single" w:sz="2" w:space="0" w:color="231F20"/>
              <w:bottom w:val="single" w:sz="2" w:space="0" w:color="231F20"/>
            </w:tcBorders>
            <w:shd w:val="clear" w:color="auto" w:fill="E6E7E8"/>
          </w:tcPr>
          <w:p w14:paraId="03CAB6E1" w14:textId="77777777" w:rsidR="00345EE3" w:rsidRDefault="00345EE3" w:rsidP="00D73130">
            <w:pPr>
              <w:pStyle w:val="TableParagraph"/>
              <w:ind w:right="50"/>
              <w:rPr>
                <w:b/>
                <w:sz w:val="24"/>
              </w:rPr>
            </w:pPr>
            <w:r>
              <w:rPr>
                <w:b/>
                <w:color w:val="231F20"/>
                <w:spacing w:val="-2"/>
                <w:sz w:val="24"/>
              </w:rPr>
              <w:t>4,099,679</w:t>
            </w:r>
          </w:p>
        </w:tc>
        <w:tc>
          <w:tcPr>
            <w:tcW w:w="1418" w:type="dxa"/>
            <w:tcBorders>
              <w:top w:val="single" w:sz="2" w:space="0" w:color="231F20"/>
              <w:bottom w:val="single" w:sz="2" w:space="0" w:color="231F20"/>
            </w:tcBorders>
          </w:tcPr>
          <w:p w14:paraId="12D695CE" w14:textId="77777777" w:rsidR="00345EE3" w:rsidRDefault="00345EE3" w:rsidP="00D73130">
            <w:pPr>
              <w:pStyle w:val="TableParagraph"/>
              <w:ind w:right="50"/>
              <w:rPr>
                <w:b/>
                <w:sz w:val="24"/>
              </w:rPr>
            </w:pPr>
            <w:r>
              <w:rPr>
                <w:b/>
                <w:color w:val="231F20"/>
                <w:spacing w:val="-2"/>
                <w:sz w:val="24"/>
              </w:rPr>
              <w:t>3,702,773</w:t>
            </w:r>
          </w:p>
        </w:tc>
        <w:tc>
          <w:tcPr>
            <w:tcW w:w="1418" w:type="dxa"/>
            <w:tcBorders>
              <w:top w:val="single" w:sz="2" w:space="0" w:color="231F20"/>
              <w:bottom w:val="single" w:sz="2" w:space="0" w:color="231F20"/>
            </w:tcBorders>
          </w:tcPr>
          <w:p w14:paraId="4D3DBEED" w14:textId="77777777" w:rsidR="00345EE3" w:rsidRDefault="00345EE3" w:rsidP="00D73130">
            <w:pPr>
              <w:pStyle w:val="TableParagraph"/>
              <w:ind w:right="51"/>
              <w:rPr>
                <w:b/>
                <w:sz w:val="24"/>
              </w:rPr>
            </w:pPr>
            <w:r>
              <w:rPr>
                <w:b/>
                <w:color w:val="231F20"/>
                <w:spacing w:val="-2"/>
                <w:sz w:val="24"/>
              </w:rPr>
              <w:t>396,906</w:t>
            </w:r>
          </w:p>
        </w:tc>
        <w:tc>
          <w:tcPr>
            <w:tcW w:w="1420" w:type="dxa"/>
            <w:tcBorders>
              <w:top w:val="single" w:sz="2" w:space="0" w:color="231F20"/>
              <w:bottom w:val="single" w:sz="2" w:space="0" w:color="231F20"/>
              <w:right w:val="nil"/>
            </w:tcBorders>
          </w:tcPr>
          <w:p w14:paraId="54D261B0" w14:textId="77777777" w:rsidR="00345EE3" w:rsidRDefault="00345EE3" w:rsidP="00D73130">
            <w:pPr>
              <w:pStyle w:val="TableParagraph"/>
              <w:ind w:right="-15"/>
              <w:rPr>
                <w:b/>
                <w:sz w:val="24"/>
              </w:rPr>
            </w:pPr>
            <w:r>
              <w:rPr>
                <w:b/>
                <w:color w:val="231F20"/>
                <w:spacing w:val="-5"/>
                <w:sz w:val="24"/>
              </w:rPr>
              <w:t>11%</w:t>
            </w:r>
          </w:p>
        </w:tc>
      </w:tr>
      <w:tr w:rsidR="00345EE3" w14:paraId="58332C66" w14:textId="77777777" w:rsidTr="00D73130">
        <w:trPr>
          <w:trHeight w:val="398"/>
        </w:trPr>
        <w:tc>
          <w:tcPr>
            <w:tcW w:w="9468" w:type="dxa"/>
            <w:tcBorders>
              <w:top w:val="single" w:sz="2" w:space="0" w:color="231F20"/>
              <w:left w:val="nil"/>
              <w:bottom w:val="nil"/>
            </w:tcBorders>
          </w:tcPr>
          <w:p w14:paraId="169CCB98" w14:textId="77777777" w:rsidR="00345EE3" w:rsidRDefault="00345EE3" w:rsidP="00D73130">
            <w:pPr>
              <w:pStyle w:val="TableParagraph"/>
              <w:jc w:val="left"/>
              <w:rPr>
                <w:b/>
                <w:sz w:val="24"/>
              </w:rPr>
            </w:pPr>
            <w:r>
              <w:rPr>
                <w:b/>
                <w:color w:val="231F20"/>
                <w:sz w:val="24"/>
              </w:rPr>
              <w:t>Net</w:t>
            </w:r>
            <w:r>
              <w:rPr>
                <w:b/>
                <w:color w:val="231F20"/>
                <w:spacing w:val="-7"/>
                <w:sz w:val="24"/>
              </w:rPr>
              <w:t xml:space="preserve"> </w:t>
            </w:r>
            <w:r>
              <w:rPr>
                <w:b/>
                <w:color w:val="231F20"/>
                <w:sz w:val="24"/>
              </w:rPr>
              <w:t>Result</w:t>
            </w:r>
            <w:r>
              <w:rPr>
                <w:b/>
                <w:color w:val="231F20"/>
                <w:spacing w:val="-6"/>
                <w:sz w:val="24"/>
              </w:rPr>
              <w:t xml:space="preserve"> </w:t>
            </w:r>
            <w:r>
              <w:rPr>
                <w:b/>
                <w:color w:val="231F20"/>
                <w:sz w:val="24"/>
              </w:rPr>
              <w:t>From</w:t>
            </w:r>
            <w:r>
              <w:rPr>
                <w:b/>
                <w:color w:val="231F20"/>
                <w:spacing w:val="-5"/>
                <w:sz w:val="24"/>
              </w:rPr>
              <w:t xml:space="preserve"> </w:t>
            </w:r>
            <w:r>
              <w:rPr>
                <w:b/>
                <w:color w:val="231F20"/>
                <w:sz w:val="24"/>
              </w:rPr>
              <w:t>Transactions</w:t>
            </w:r>
            <w:r>
              <w:rPr>
                <w:b/>
                <w:color w:val="231F20"/>
                <w:spacing w:val="-6"/>
                <w:sz w:val="24"/>
              </w:rPr>
              <w:t xml:space="preserve"> </w:t>
            </w:r>
            <w:r>
              <w:rPr>
                <w:b/>
                <w:color w:val="231F20"/>
                <w:sz w:val="24"/>
              </w:rPr>
              <w:t>(Net</w:t>
            </w:r>
            <w:r>
              <w:rPr>
                <w:b/>
                <w:color w:val="231F20"/>
                <w:spacing w:val="-5"/>
                <w:sz w:val="24"/>
              </w:rPr>
              <w:t xml:space="preserve"> </w:t>
            </w:r>
            <w:r>
              <w:rPr>
                <w:b/>
                <w:color w:val="231F20"/>
                <w:sz w:val="24"/>
              </w:rPr>
              <w:t>Operating</w:t>
            </w:r>
            <w:r>
              <w:rPr>
                <w:b/>
                <w:color w:val="231F20"/>
                <w:spacing w:val="-5"/>
                <w:sz w:val="24"/>
              </w:rPr>
              <w:t xml:space="preserve"> </w:t>
            </w:r>
            <w:r>
              <w:rPr>
                <w:b/>
                <w:color w:val="231F20"/>
                <w:spacing w:val="-2"/>
                <w:sz w:val="24"/>
              </w:rPr>
              <w:t>Balance)</w:t>
            </w:r>
          </w:p>
        </w:tc>
        <w:tc>
          <w:tcPr>
            <w:tcW w:w="1418" w:type="dxa"/>
            <w:tcBorders>
              <w:top w:val="single" w:sz="2" w:space="0" w:color="231F20"/>
              <w:bottom w:val="nil"/>
            </w:tcBorders>
            <w:shd w:val="clear" w:color="auto" w:fill="E6E7E8"/>
          </w:tcPr>
          <w:p w14:paraId="183B4935" w14:textId="77777777" w:rsidR="00345EE3" w:rsidRDefault="00345EE3" w:rsidP="00D73130">
            <w:pPr>
              <w:pStyle w:val="TableParagraph"/>
              <w:ind w:right="50"/>
              <w:rPr>
                <w:b/>
                <w:sz w:val="24"/>
              </w:rPr>
            </w:pPr>
            <w:r>
              <w:rPr>
                <w:b/>
                <w:color w:val="231F20"/>
                <w:spacing w:val="-2"/>
                <w:sz w:val="24"/>
              </w:rPr>
              <w:t>1,750</w:t>
            </w:r>
          </w:p>
        </w:tc>
        <w:tc>
          <w:tcPr>
            <w:tcW w:w="1418" w:type="dxa"/>
            <w:tcBorders>
              <w:top w:val="single" w:sz="2" w:space="0" w:color="231F20"/>
              <w:bottom w:val="nil"/>
            </w:tcBorders>
          </w:tcPr>
          <w:p w14:paraId="35743891" w14:textId="77777777" w:rsidR="00345EE3" w:rsidRDefault="00345EE3" w:rsidP="00D73130">
            <w:pPr>
              <w:pStyle w:val="TableParagraph"/>
              <w:ind w:right="50"/>
              <w:rPr>
                <w:b/>
                <w:sz w:val="24"/>
              </w:rPr>
            </w:pPr>
            <w:r>
              <w:rPr>
                <w:b/>
                <w:color w:val="231F20"/>
                <w:spacing w:val="-2"/>
                <w:sz w:val="24"/>
              </w:rPr>
              <w:t>2,881</w:t>
            </w:r>
          </w:p>
        </w:tc>
        <w:tc>
          <w:tcPr>
            <w:tcW w:w="1418" w:type="dxa"/>
            <w:tcBorders>
              <w:top w:val="single" w:sz="2" w:space="0" w:color="231F20"/>
              <w:bottom w:val="nil"/>
            </w:tcBorders>
          </w:tcPr>
          <w:p w14:paraId="46AAE300" w14:textId="77777777" w:rsidR="00345EE3" w:rsidRDefault="00345EE3" w:rsidP="00D73130">
            <w:pPr>
              <w:pStyle w:val="TableParagraph"/>
              <w:ind w:right="51"/>
              <w:rPr>
                <w:b/>
                <w:sz w:val="24"/>
              </w:rPr>
            </w:pPr>
            <w:r>
              <w:rPr>
                <w:b/>
                <w:color w:val="231F20"/>
                <w:spacing w:val="-2"/>
                <w:sz w:val="24"/>
              </w:rPr>
              <w:t>(1,131)</w:t>
            </w:r>
          </w:p>
        </w:tc>
        <w:tc>
          <w:tcPr>
            <w:tcW w:w="1420" w:type="dxa"/>
            <w:tcBorders>
              <w:top w:val="single" w:sz="2" w:space="0" w:color="231F20"/>
              <w:bottom w:val="nil"/>
              <w:right w:val="nil"/>
            </w:tcBorders>
          </w:tcPr>
          <w:p w14:paraId="24D3460D" w14:textId="77777777" w:rsidR="00345EE3" w:rsidRDefault="00345EE3" w:rsidP="00D73130">
            <w:pPr>
              <w:pStyle w:val="TableParagraph"/>
              <w:ind w:right="-15"/>
              <w:rPr>
                <w:b/>
                <w:sz w:val="24"/>
              </w:rPr>
            </w:pPr>
            <w:r>
              <w:rPr>
                <w:b/>
                <w:color w:val="231F20"/>
                <w:sz w:val="24"/>
              </w:rPr>
              <w:t>-</w:t>
            </w:r>
            <w:r>
              <w:rPr>
                <w:b/>
                <w:color w:val="231F20"/>
                <w:spacing w:val="-5"/>
                <w:sz w:val="24"/>
              </w:rPr>
              <w:t>39%</w:t>
            </w:r>
          </w:p>
        </w:tc>
      </w:tr>
      <w:tr w:rsidR="00345EE3" w14:paraId="2A46AA17" w14:textId="77777777" w:rsidTr="00D73130">
        <w:trPr>
          <w:trHeight w:val="401"/>
        </w:trPr>
        <w:tc>
          <w:tcPr>
            <w:tcW w:w="15142" w:type="dxa"/>
            <w:gridSpan w:val="5"/>
            <w:tcBorders>
              <w:top w:val="nil"/>
              <w:left w:val="nil"/>
              <w:bottom w:val="nil"/>
              <w:right w:val="nil"/>
            </w:tcBorders>
            <w:shd w:val="clear" w:color="auto" w:fill="D1D3D4"/>
          </w:tcPr>
          <w:p w14:paraId="3E3B306D" w14:textId="11B6FF9D" w:rsidR="00345EE3" w:rsidRDefault="00345EE3" w:rsidP="00D73130">
            <w:pPr>
              <w:pStyle w:val="TableParagraph"/>
              <w:spacing w:before="0" w:line="20" w:lineRule="exact"/>
              <w:ind w:left="-1" w:right="-72"/>
              <w:jc w:val="left"/>
              <w:rPr>
                <w:sz w:val="2"/>
              </w:rPr>
            </w:pPr>
          </w:p>
          <w:p w14:paraId="7FBDAA99" w14:textId="77777777" w:rsidR="00345EE3" w:rsidRDefault="00345EE3" w:rsidP="00D73130">
            <w:pPr>
              <w:pStyle w:val="TableParagraph"/>
              <w:spacing w:before="43"/>
              <w:ind w:left="3"/>
              <w:jc w:val="left"/>
              <w:rPr>
                <w:b/>
                <w:sz w:val="24"/>
              </w:rPr>
            </w:pPr>
            <w:r>
              <w:rPr>
                <w:b/>
                <w:color w:val="231F20"/>
                <w:sz w:val="24"/>
              </w:rPr>
              <w:t>Other</w:t>
            </w:r>
            <w:r>
              <w:rPr>
                <w:b/>
                <w:color w:val="231F20"/>
                <w:spacing w:val="-1"/>
                <w:sz w:val="24"/>
              </w:rPr>
              <w:t xml:space="preserve"> </w:t>
            </w:r>
            <w:r>
              <w:rPr>
                <w:b/>
                <w:color w:val="231F20"/>
                <w:sz w:val="24"/>
              </w:rPr>
              <w:t>Economic Flows Included</w:t>
            </w:r>
            <w:r>
              <w:rPr>
                <w:b/>
                <w:color w:val="231F20"/>
                <w:spacing w:val="-1"/>
                <w:sz w:val="24"/>
              </w:rPr>
              <w:t xml:space="preserve"> </w:t>
            </w:r>
            <w:r>
              <w:rPr>
                <w:b/>
                <w:color w:val="231F20"/>
                <w:sz w:val="24"/>
              </w:rPr>
              <w:t>in Net</w:t>
            </w:r>
            <w:r>
              <w:rPr>
                <w:b/>
                <w:color w:val="231F20"/>
                <w:spacing w:val="-1"/>
                <w:sz w:val="24"/>
              </w:rPr>
              <w:t xml:space="preserve"> </w:t>
            </w:r>
            <w:r>
              <w:rPr>
                <w:b/>
                <w:color w:val="231F20"/>
                <w:spacing w:val="-2"/>
                <w:sz w:val="24"/>
              </w:rPr>
              <w:t>Result</w:t>
            </w:r>
          </w:p>
        </w:tc>
      </w:tr>
      <w:tr w:rsidR="00345EE3" w14:paraId="7FD05A72" w14:textId="77777777" w:rsidTr="00D73130">
        <w:trPr>
          <w:trHeight w:val="370"/>
        </w:trPr>
        <w:tc>
          <w:tcPr>
            <w:tcW w:w="9468" w:type="dxa"/>
            <w:tcBorders>
              <w:top w:val="nil"/>
              <w:left w:val="nil"/>
            </w:tcBorders>
          </w:tcPr>
          <w:p w14:paraId="73F80D98" w14:textId="77777777" w:rsidR="00345EE3" w:rsidRDefault="00345EE3" w:rsidP="00D73130">
            <w:pPr>
              <w:pStyle w:val="TableParagraph"/>
              <w:spacing w:before="49"/>
              <w:ind w:left="284"/>
              <w:jc w:val="left"/>
              <w:rPr>
                <w:sz w:val="24"/>
              </w:rPr>
            </w:pPr>
            <w:r>
              <w:rPr>
                <w:color w:val="231F20"/>
                <w:sz w:val="24"/>
              </w:rPr>
              <w:t>Net</w:t>
            </w:r>
            <w:r>
              <w:rPr>
                <w:color w:val="231F20"/>
                <w:spacing w:val="-8"/>
                <w:sz w:val="24"/>
              </w:rPr>
              <w:t xml:space="preserve"> </w:t>
            </w:r>
            <w:r>
              <w:rPr>
                <w:color w:val="231F20"/>
                <w:sz w:val="24"/>
              </w:rPr>
              <w:t>gain/(loss)</w:t>
            </w:r>
            <w:r>
              <w:rPr>
                <w:color w:val="231F20"/>
                <w:spacing w:val="-7"/>
                <w:sz w:val="24"/>
              </w:rPr>
              <w:t xml:space="preserve"> </w:t>
            </w:r>
            <w:r>
              <w:rPr>
                <w:color w:val="231F20"/>
                <w:sz w:val="24"/>
              </w:rPr>
              <w:t>on</w:t>
            </w:r>
            <w:r>
              <w:rPr>
                <w:color w:val="231F20"/>
                <w:spacing w:val="-7"/>
                <w:sz w:val="24"/>
              </w:rPr>
              <w:t xml:space="preserve"> </w:t>
            </w:r>
            <w:r>
              <w:rPr>
                <w:color w:val="231F20"/>
                <w:sz w:val="24"/>
              </w:rPr>
              <w:t>non-financial</w:t>
            </w:r>
            <w:r>
              <w:rPr>
                <w:color w:val="231F20"/>
                <w:spacing w:val="-7"/>
                <w:sz w:val="24"/>
              </w:rPr>
              <w:t xml:space="preserve"> </w:t>
            </w:r>
            <w:r>
              <w:rPr>
                <w:color w:val="231F20"/>
                <w:spacing w:val="-2"/>
                <w:sz w:val="24"/>
              </w:rPr>
              <w:t>assets</w:t>
            </w:r>
          </w:p>
        </w:tc>
        <w:tc>
          <w:tcPr>
            <w:tcW w:w="1418" w:type="dxa"/>
            <w:tcBorders>
              <w:top w:val="nil"/>
            </w:tcBorders>
            <w:shd w:val="clear" w:color="auto" w:fill="E6E7E8"/>
          </w:tcPr>
          <w:p w14:paraId="0E2E66E0" w14:textId="77777777" w:rsidR="00345EE3" w:rsidRDefault="00345EE3" w:rsidP="00D73130">
            <w:pPr>
              <w:pStyle w:val="TableParagraph"/>
              <w:spacing w:before="49"/>
              <w:ind w:right="52"/>
              <w:rPr>
                <w:sz w:val="24"/>
              </w:rPr>
            </w:pPr>
            <w:r>
              <w:rPr>
                <w:color w:val="231F20"/>
                <w:spacing w:val="-2"/>
                <w:sz w:val="24"/>
              </w:rPr>
              <w:t>15,352</w:t>
            </w:r>
          </w:p>
        </w:tc>
        <w:tc>
          <w:tcPr>
            <w:tcW w:w="1418" w:type="dxa"/>
            <w:tcBorders>
              <w:top w:val="nil"/>
            </w:tcBorders>
          </w:tcPr>
          <w:p w14:paraId="252D4D28" w14:textId="77777777" w:rsidR="00345EE3" w:rsidRDefault="00345EE3" w:rsidP="00D73130">
            <w:pPr>
              <w:pStyle w:val="TableParagraph"/>
              <w:spacing w:before="49"/>
              <w:ind w:right="53"/>
              <w:rPr>
                <w:sz w:val="24"/>
              </w:rPr>
            </w:pPr>
            <w:r>
              <w:rPr>
                <w:color w:val="231F20"/>
                <w:spacing w:val="-2"/>
                <w:sz w:val="24"/>
              </w:rPr>
              <w:t>10,700</w:t>
            </w:r>
          </w:p>
        </w:tc>
        <w:tc>
          <w:tcPr>
            <w:tcW w:w="1418" w:type="dxa"/>
            <w:tcBorders>
              <w:top w:val="nil"/>
            </w:tcBorders>
          </w:tcPr>
          <w:p w14:paraId="55F5D0B2" w14:textId="77777777" w:rsidR="00345EE3" w:rsidRDefault="00345EE3" w:rsidP="00D73130">
            <w:pPr>
              <w:pStyle w:val="TableParagraph"/>
              <w:spacing w:before="49"/>
              <w:ind w:right="53"/>
              <w:rPr>
                <w:sz w:val="24"/>
              </w:rPr>
            </w:pPr>
            <w:r>
              <w:rPr>
                <w:color w:val="231F20"/>
                <w:spacing w:val="-2"/>
                <w:sz w:val="24"/>
              </w:rPr>
              <w:t>4,652</w:t>
            </w:r>
          </w:p>
        </w:tc>
        <w:tc>
          <w:tcPr>
            <w:tcW w:w="1420" w:type="dxa"/>
            <w:tcBorders>
              <w:top w:val="nil"/>
              <w:right w:val="nil"/>
            </w:tcBorders>
          </w:tcPr>
          <w:p w14:paraId="52541C59" w14:textId="77777777" w:rsidR="00345EE3" w:rsidRDefault="00345EE3" w:rsidP="00D73130">
            <w:pPr>
              <w:pStyle w:val="TableParagraph"/>
              <w:spacing w:before="49"/>
              <w:ind w:right="56"/>
              <w:rPr>
                <w:sz w:val="24"/>
              </w:rPr>
            </w:pPr>
            <w:r>
              <w:rPr>
                <w:color w:val="231F20"/>
                <w:spacing w:val="-5"/>
                <w:sz w:val="24"/>
              </w:rPr>
              <w:t>43%</w:t>
            </w:r>
          </w:p>
        </w:tc>
      </w:tr>
      <w:tr w:rsidR="00345EE3" w14:paraId="5FFBAC8F" w14:textId="77777777" w:rsidTr="00D73130">
        <w:trPr>
          <w:trHeight w:val="368"/>
        </w:trPr>
        <w:tc>
          <w:tcPr>
            <w:tcW w:w="9468" w:type="dxa"/>
            <w:tcBorders>
              <w:left w:val="nil"/>
            </w:tcBorders>
          </w:tcPr>
          <w:p w14:paraId="772AB8A1" w14:textId="77777777" w:rsidR="00345EE3" w:rsidRDefault="00345EE3" w:rsidP="00D73130">
            <w:pPr>
              <w:pStyle w:val="TableParagraph"/>
              <w:spacing w:before="46"/>
              <w:ind w:left="284"/>
              <w:jc w:val="left"/>
              <w:rPr>
                <w:sz w:val="24"/>
              </w:rPr>
            </w:pPr>
            <w:r>
              <w:rPr>
                <w:color w:val="231F20"/>
                <w:sz w:val="24"/>
              </w:rPr>
              <w:t>Net</w:t>
            </w:r>
            <w:r>
              <w:rPr>
                <w:color w:val="231F20"/>
                <w:spacing w:val="-8"/>
                <w:sz w:val="24"/>
              </w:rPr>
              <w:t xml:space="preserve"> </w:t>
            </w:r>
            <w:r>
              <w:rPr>
                <w:color w:val="231F20"/>
                <w:sz w:val="24"/>
              </w:rPr>
              <w:t>gain/(loss)</w:t>
            </w:r>
            <w:r>
              <w:rPr>
                <w:color w:val="231F20"/>
                <w:spacing w:val="-5"/>
                <w:sz w:val="24"/>
              </w:rPr>
              <w:t xml:space="preserve"> </w:t>
            </w:r>
            <w:r>
              <w:rPr>
                <w:color w:val="231F20"/>
                <w:sz w:val="24"/>
              </w:rPr>
              <w:t>from</w:t>
            </w:r>
            <w:r>
              <w:rPr>
                <w:color w:val="231F20"/>
                <w:spacing w:val="-4"/>
                <w:sz w:val="24"/>
              </w:rPr>
              <w:t xml:space="preserve"> </w:t>
            </w:r>
            <w:r>
              <w:rPr>
                <w:color w:val="231F20"/>
                <w:sz w:val="24"/>
              </w:rPr>
              <w:t>other</w:t>
            </w:r>
            <w:r>
              <w:rPr>
                <w:color w:val="231F20"/>
                <w:spacing w:val="-5"/>
                <w:sz w:val="24"/>
              </w:rPr>
              <w:t xml:space="preserve"> </w:t>
            </w:r>
            <w:r>
              <w:rPr>
                <w:color w:val="231F20"/>
                <w:sz w:val="24"/>
              </w:rPr>
              <w:t>economic</w:t>
            </w:r>
            <w:r>
              <w:rPr>
                <w:color w:val="231F20"/>
                <w:spacing w:val="-5"/>
                <w:sz w:val="24"/>
              </w:rPr>
              <w:t xml:space="preserve"> </w:t>
            </w:r>
            <w:r>
              <w:rPr>
                <w:color w:val="231F20"/>
                <w:sz w:val="24"/>
              </w:rPr>
              <w:t>flows</w:t>
            </w:r>
            <w:r>
              <w:rPr>
                <w:color w:val="231F20"/>
                <w:spacing w:val="-28"/>
                <w:sz w:val="24"/>
              </w:rPr>
              <w:t xml:space="preserve"> </w:t>
            </w:r>
            <w:r>
              <w:rPr>
                <w:color w:val="231F20"/>
                <w:spacing w:val="-5"/>
                <w:sz w:val="24"/>
                <w:vertAlign w:val="superscript"/>
              </w:rPr>
              <w:t>(c)</w:t>
            </w:r>
          </w:p>
        </w:tc>
        <w:tc>
          <w:tcPr>
            <w:tcW w:w="1418" w:type="dxa"/>
            <w:shd w:val="clear" w:color="auto" w:fill="E6E7E8"/>
          </w:tcPr>
          <w:p w14:paraId="3CF9E403" w14:textId="77777777" w:rsidR="00345EE3" w:rsidRDefault="00345EE3" w:rsidP="00D73130">
            <w:pPr>
              <w:pStyle w:val="TableParagraph"/>
              <w:spacing w:before="46"/>
              <w:ind w:right="53"/>
              <w:rPr>
                <w:sz w:val="24"/>
              </w:rPr>
            </w:pPr>
            <w:r>
              <w:rPr>
                <w:color w:val="231F20"/>
                <w:spacing w:val="-2"/>
                <w:sz w:val="24"/>
              </w:rPr>
              <w:t>69,837</w:t>
            </w:r>
          </w:p>
        </w:tc>
        <w:tc>
          <w:tcPr>
            <w:tcW w:w="1418" w:type="dxa"/>
          </w:tcPr>
          <w:p w14:paraId="59AD13BE" w14:textId="77777777" w:rsidR="00345EE3" w:rsidRDefault="00345EE3" w:rsidP="00D73130">
            <w:pPr>
              <w:pStyle w:val="TableParagraph"/>
              <w:spacing w:before="46"/>
              <w:ind w:right="51"/>
              <w:rPr>
                <w:sz w:val="24"/>
              </w:rPr>
            </w:pPr>
            <w:r>
              <w:rPr>
                <w:color w:val="231F20"/>
                <w:sz w:val="24"/>
              </w:rPr>
              <w:t>-</w:t>
            </w:r>
          </w:p>
        </w:tc>
        <w:tc>
          <w:tcPr>
            <w:tcW w:w="1418" w:type="dxa"/>
          </w:tcPr>
          <w:p w14:paraId="5FDB32E4" w14:textId="77777777" w:rsidR="00345EE3" w:rsidRDefault="00345EE3" w:rsidP="00D73130">
            <w:pPr>
              <w:pStyle w:val="TableParagraph"/>
              <w:spacing w:before="46"/>
              <w:ind w:right="54"/>
              <w:rPr>
                <w:sz w:val="24"/>
              </w:rPr>
            </w:pPr>
            <w:r>
              <w:rPr>
                <w:color w:val="231F20"/>
                <w:spacing w:val="-2"/>
                <w:sz w:val="24"/>
              </w:rPr>
              <w:t>69,837</w:t>
            </w:r>
          </w:p>
        </w:tc>
        <w:tc>
          <w:tcPr>
            <w:tcW w:w="1420" w:type="dxa"/>
            <w:tcBorders>
              <w:right w:val="nil"/>
            </w:tcBorders>
          </w:tcPr>
          <w:p w14:paraId="773C50FB" w14:textId="77777777" w:rsidR="00345EE3" w:rsidRDefault="00345EE3" w:rsidP="00D73130">
            <w:pPr>
              <w:pStyle w:val="TableParagraph"/>
              <w:spacing w:before="46"/>
              <w:ind w:right="57"/>
              <w:rPr>
                <w:sz w:val="24"/>
              </w:rPr>
            </w:pPr>
            <w:r>
              <w:rPr>
                <w:color w:val="231F20"/>
                <w:spacing w:val="-5"/>
                <w:sz w:val="24"/>
              </w:rPr>
              <w:t>0%</w:t>
            </w:r>
          </w:p>
        </w:tc>
      </w:tr>
      <w:tr w:rsidR="00345EE3" w14:paraId="36D22537" w14:textId="77777777" w:rsidTr="00D73130">
        <w:trPr>
          <w:trHeight w:val="368"/>
        </w:trPr>
        <w:tc>
          <w:tcPr>
            <w:tcW w:w="9468" w:type="dxa"/>
            <w:tcBorders>
              <w:left w:val="nil"/>
              <w:bottom w:val="single" w:sz="2" w:space="0" w:color="231F20"/>
            </w:tcBorders>
          </w:tcPr>
          <w:p w14:paraId="5517E20F" w14:textId="77777777" w:rsidR="00345EE3" w:rsidRDefault="00345EE3" w:rsidP="00D73130">
            <w:pPr>
              <w:pStyle w:val="TableParagraph"/>
              <w:spacing w:before="46"/>
              <w:jc w:val="left"/>
              <w:rPr>
                <w:b/>
                <w:sz w:val="24"/>
              </w:rPr>
            </w:pPr>
            <w:r>
              <w:rPr>
                <w:b/>
                <w:color w:val="231F20"/>
                <w:sz w:val="24"/>
              </w:rPr>
              <w:t>Total</w:t>
            </w:r>
            <w:r>
              <w:rPr>
                <w:b/>
                <w:color w:val="231F20"/>
                <w:spacing w:val="-3"/>
                <w:sz w:val="24"/>
              </w:rPr>
              <w:t xml:space="preserve"> </w:t>
            </w:r>
            <w:r>
              <w:rPr>
                <w:b/>
                <w:color w:val="231F20"/>
                <w:sz w:val="24"/>
              </w:rPr>
              <w:t>Other</w:t>
            </w:r>
            <w:r>
              <w:rPr>
                <w:b/>
                <w:color w:val="231F20"/>
                <w:spacing w:val="-3"/>
                <w:sz w:val="24"/>
              </w:rPr>
              <w:t xml:space="preserve"> </w:t>
            </w:r>
            <w:r>
              <w:rPr>
                <w:b/>
                <w:color w:val="231F20"/>
                <w:sz w:val="24"/>
              </w:rPr>
              <w:t>Economic</w:t>
            </w:r>
            <w:r>
              <w:rPr>
                <w:b/>
                <w:color w:val="231F20"/>
                <w:spacing w:val="-3"/>
                <w:sz w:val="24"/>
              </w:rPr>
              <w:t xml:space="preserve"> </w:t>
            </w:r>
            <w:r>
              <w:rPr>
                <w:b/>
                <w:color w:val="231F20"/>
                <w:sz w:val="24"/>
              </w:rPr>
              <w:t>Flows</w:t>
            </w:r>
            <w:r>
              <w:rPr>
                <w:b/>
                <w:color w:val="231F20"/>
                <w:spacing w:val="-3"/>
                <w:sz w:val="24"/>
              </w:rPr>
              <w:t xml:space="preserve"> </w:t>
            </w:r>
            <w:r>
              <w:rPr>
                <w:b/>
                <w:color w:val="231F20"/>
                <w:sz w:val="24"/>
              </w:rPr>
              <w:t>Included</w:t>
            </w:r>
            <w:r>
              <w:rPr>
                <w:b/>
                <w:color w:val="231F20"/>
                <w:spacing w:val="-3"/>
                <w:sz w:val="24"/>
              </w:rPr>
              <w:t xml:space="preserve"> </w:t>
            </w:r>
            <w:r>
              <w:rPr>
                <w:b/>
                <w:color w:val="231F20"/>
                <w:sz w:val="24"/>
              </w:rPr>
              <w:t>in</w:t>
            </w:r>
            <w:r>
              <w:rPr>
                <w:b/>
                <w:color w:val="231F20"/>
                <w:spacing w:val="-3"/>
                <w:sz w:val="24"/>
              </w:rPr>
              <w:t xml:space="preserve"> </w:t>
            </w:r>
            <w:r>
              <w:rPr>
                <w:b/>
                <w:color w:val="231F20"/>
                <w:sz w:val="24"/>
              </w:rPr>
              <w:t>Net</w:t>
            </w:r>
            <w:r>
              <w:rPr>
                <w:b/>
                <w:color w:val="231F20"/>
                <w:spacing w:val="-3"/>
                <w:sz w:val="24"/>
              </w:rPr>
              <w:t xml:space="preserve"> </w:t>
            </w:r>
            <w:r>
              <w:rPr>
                <w:b/>
                <w:color w:val="231F20"/>
                <w:spacing w:val="-2"/>
                <w:sz w:val="24"/>
              </w:rPr>
              <w:t>Result</w:t>
            </w:r>
          </w:p>
        </w:tc>
        <w:tc>
          <w:tcPr>
            <w:tcW w:w="1418" w:type="dxa"/>
            <w:tcBorders>
              <w:bottom w:val="single" w:sz="2" w:space="0" w:color="231F20"/>
            </w:tcBorders>
            <w:shd w:val="clear" w:color="auto" w:fill="E6E7E8"/>
          </w:tcPr>
          <w:p w14:paraId="104839CF" w14:textId="77777777" w:rsidR="00345EE3" w:rsidRDefault="00345EE3" w:rsidP="00D73130">
            <w:pPr>
              <w:pStyle w:val="TableParagraph"/>
              <w:spacing w:before="46"/>
              <w:ind w:right="50"/>
              <w:rPr>
                <w:b/>
                <w:sz w:val="24"/>
              </w:rPr>
            </w:pPr>
            <w:r>
              <w:rPr>
                <w:b/>
                <w:color w:val="231F20"/>
                <w:spacing w:val="-2"/>
                <w:sz w:val="24"/>
              </w:rPr>
              <w:t>85,189</w:t>
            </w:r>
          </w:p>
        </w:tc>
        <w:tc>
          <w:tcPr>
            <w:tcW w:w="1418" w:type="dxa"/>
            <w:tcBorders>
              <w:bottom w:val="single" w:sz="2" w:space="0" w:color="231F20"/>
            </w:tcBorders>
          </w:tcPr>
          <w:p w14:paraId="3DDE844E" w14:textId="77777777" w:rsidR="00345EE3" w:rsidRDefault="00345EE3" w:rsidP="00D73130">
            <w:pPr>
              <w:pStyle w:val="TableParagraph"/>
              <w:spacing w:before="46"/>
              <w:ind w:right="51"/>
              <w:rPr>
                <w:b/>
                <w:sz w:val="24"/>
              </w:rPr>
            </w:pPr>
            <w:r>
              <w:rPr>
                <w:b/>
                <w:color w:val="231F20"/>
                <w:spacing w:val="-2"/>
                <w:sz w:val="24"/>
              </w:rPr>
              <w:t>10,700</w:t>
            </w:r>
          </w:p>
        </w:tc>
        <w:tc>
          <w:tcPr>
            <w:tcW w:w="1418" w:type="dxa"/>
            <w:tcBorders>
              <w:bottom w:val="single" w:sz="2" w:space="0" w:color="231F20"/>
            </w:tcBorders>
          </w:tcPr>
          <w:p w14:paraId="1C867077" w14:textId="77777777" w:rsidR="00345EE3" w:rsidRDefault="00345EE3" w:rsidP="00D73130">
            <w:pPr>
              <w:pStyle w:val="TableParagraph"/>
              <w:spacing w:before="46"/>
              <w:ind w:right="51"/>
              <w:rPr>
                <w:b/>
                <w:sz w:val="24"/>
              </w:rPr>
            </w:pPr>
            <w:r>
              <w:rPr>
                <w:b/>
                <w:color w:val="231F20"/>
                <w:spacing w:val="-2"/>
                <w:sz w:val="24"/>
              </w:rPr>
              <w:t>74,489</w:t>
            </w:r>
          </w:p>
        </w:tc>
        <w:tc>
          <w:tcPr>
            <w:tcW w:w="1420" w:type="dxa"/>
            <w:tcBorders>
              <w:bottom w:val="single" w:sz="2" w:space="0" w:color="231F20"/>
              <w:right w:val="nil"/>
            </w:tcBorders>
          </w:tcPr>
          <w:p w14:paraId="6C954DAF" w14:textId="77777777" w:rsidR="00345EE3" w:rsidRDefault="00345EE3" w:rsidP="00D73130">
            <w:pPr>
              <w:pStyle w:val="TableParagraph"/>
              <w:spacing w:before="46"/>
              <w:ind w:right="54"/>
              <w:rPr>
                <w:b/>
                <w:sz w:val="24"/>
              </w:rPr>
            </w:pPr>
            <w:r>
              <w:rPr>
                <w:b/>
                <w:color w:val="231F20"/>
                <w:spacing w:val="-4"/>
                <w:sz w:val="24"/>
              </w:rPr>
              <w:t>696%</w:t>
            </w:r>
          </w:p>
        </w:tc>
      </w:tr>
    </w:tbl>
    <w:p w14:paraId="36EA8586" w14:textId="77777777" w:rsidR="00345EE3" w:rsidRDefault="00345EE3" w:rsidP="00345EE3">
      <w:pPr>
        <w:rPr>
          <w:sz w:val="24"/>
        </w:rPr>
        <w:sectPr w:rsidR="00345EE3">
          <w:pgSz w:w="16840" w:h="11910" w:orient="landscape"/>
          <w:pgMar w:top="700" w:right="740" w:bottom="929" w:left="740" w:header="720" w:footer="720" w:gutter="0"/>
          <w:cols w:space="720"/>
        </w:sect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18"/>
      </w:tblGrid>
      <w:tr w:rsidR="00345EE3" w14:paraId="2F9E2EC8" w14:textId="77777777" w:rsidTr="00D73130">
        <w:trPr>
          <w:trHeight w:val="1026"/>
        </w:trPr>
        <w:tc>
          <w:tcPr>
            <w:tcW w:w="15140" w:type="dxa"/>
            <w:gridSpan w:val="5"/>
            <w:tcBorders>
              <w:top w:val="nil"/>
              <w:left w:val="nil"/>
              <w:bottom w:val="nil"/>
              <w:right w:val="nil"/>
            </w:tcBorders>
            <w:shd w:val="clear" w:color="auto" w:fill="00529F"/>
          </w:tcPr>
          <w:p w14:paraId="5E1137A6" w14:textId="77777777" w:rsidR="00345EE3" w:rsidRDefault="00345EE3" w:rsidP="00D73130">
            <w:pPr>
              <w:pStyle w:val="TableParagraph"/>
              <w:tabs>
                <w:tab w:val="left" w:pos="11355"/>
                <w:tab w:val="left" w:pos="12692"/>
                <w:tab w:val="left" w:pos="14109"/>
              </w:tabs>
              <w:spacing w:before="49" w:line="242" w:lineRule="auto"/>
              <w:ind w:left="11430" w:right="60" w:hanging="1325"/>
              <w:jc w:val="left"/>
              <w:rPr>
                <w:b/>
                <w:sz w:val="24"/>
              </w:rPr>
            </w:pPr>
            <w:r>
              <w:rPr>
                <w:b/>
                <w:color w:val="FFFFFF"/>
                <w:spacing w:val="-2"/>
                <w:sz w:val="24"/>
              </w:rPr>
              <w:t>Actual</w:t>
            </w:r>
            <w:r>
              <w:rPr>
                <w:b/>
                <w:color w:val="FFFFFF"/>
                <w:sz w:val="24"/>
              </w:rPr>
              <w:tab/>
            </w:r>
            <w:r>
              <w:rPr>
                <w:b/>
                <w:color w:val="FFFFFF"/>
                <w:spacing w:val="-2"/>
                <w:sz w:val="24"/>
              </w:rPr>
              <w:t>Original</w:t>
            </w:r>
            <w:r>
              <w:rPr>
                <w:b/>
                <w:color w:val="FFFFFF"/>
                <w:sz w:val="24"/>
              </w:rPr>
              <w:tab/>
            </w:r>
            <w:r>
              <w:rPr>
                <w:b/>
                <w:color w:val="FFFFFF"/>
                <w:spacing w:val="-2"/>
                <w:sz w:val="24"/>
              </w:rPr>
              <w:t>Variance</w:t>
            </w:r>
            <w:r>
              <w:rPr>
                <w:b/>
                <w:color w:val="FFFFFF"/>
                <w:sz w:val="24"/>
              </w:rPr>
              <w:tab/>
            </w:r>
            <w:r>
              <w:rPr>
                <w:b/>
                <w:color w:val="FFFFFF"/>
                <w:spacing w:val="-6"/>
                <w:sz w:val="24"/>
              </w:rPr>
              <w:t xml:space="preserve">Variance </w:t>
            </w:r>
            <w:r>
              <w:rPr>
                <w:b/>
                <w:color w:val="FFFFFF"/>
                <w:spacing w:val="-2"/>
                <w:sz w:val="24"/>
              </w:rPr>
              <w:t>Budget</w:t>
            </w:r>
          </w:p>
          <w:p w14:paraId="5590D091" w14:textId="77777777" w:rsidR="00345EE3" w:rsidRDefault="00345EE3" w:rsidP="00D73130">
            <w:pPr>
              <w:pStyle w:val="TableParagraph"/>
              <w:tabs>
                <w:tab w:val="left" w:pos="11654"/>
                <w:tab w:val="left" w:pos="13071"/>
                <w:tab w:val="left" w:pos="14866"/>
              </w:tabs>
              <w:spacing w:before="95"/>
              <w:ind w:left="10237"/>
              <w:jc w:val="left"/>
              <w:rPr>
                <w:b/>
                <w:sz w:val="24"/>
              </w:rPr>
            </w:pPr>
            <w:r>
              <w:rPr>
                <w:b/>
                <w:color w:val="FFFFFF"/>
                <w:spacing w:val="-2"/>
                <w:sz w:val="24"/>
              </w:rPr>
              <w:t>$’000</w:t>
            </w:r>
            <w:r>
              <w:rPr>
                <w:b/>
                <w:color w:val="FFFFFF"/>
                <w:sz w:val="24"/>
              </w:rPr>
              <w:tab/>
            </w:r>
            <w:r>
              <w:rPr>
                <w:b/>
                <w:color w:val="FFFFFF"/>
                <w:spacing w:val="-2"/>
                <w:sz w:val="24"/>
              </w:rPr>
              <w:t>$’000</w:t>
            </w:r>
            <w:r>
              <w:rPr>
                <w:b/>
                <w:color w:val="FFFFFF"/>
                <w:sz w:val="24"/>
              </w:rPr>
              <w:tab/>
            </w:r>
            <w:r>
              <w:rPr>
                <w:b/>
                <w:color w:val="FFFFFF"/>
                <w:spacing w:val="-2"/>
                <w:sz w:val="24"/>
              </w:rPr>
              <w:t>$’000</w:t>
            </w:r>
            <w:r>
              <w:rPr>
                <w:b/>
                <w:color w:val="FFFFFF"/>
                <w:sz w:val="24"/>
              </w:rPr>
              <w:tab/>
            </w:r>
            <w:r>
              <w:rPr>
                <w:b/>
                <w:color w:val="FFFFFF"/>
                <w:spacing w:val="-10"/>
                <w:sz w:val="24"/>
              </w:rPr>
              <w:t>%</w:t>
            </w:r>
          </w:p>
        </w:tc>
      </w:tr>
      <w:tr w:rsidR="00345EE3" w14:paraId="569EAE4C" w14:textId="77777777" w:rsidTr="00D73130">
        <w:trPr>
          <w:trHeight w:val="399"/>
        </w:trPr>
        <w:tc>
          <w:tcPr>
            <w:tcW w:w="9468" w:type="dxa"/>
            <w:tcBorders>
              <w:top w:val="nil"/>
              <w:left w:val="nil"/>
              <w:bottom w:val="nil"/>
            </w:tcBorders>
          </w:tcPr>
          <w:p w14:paraId="62757BE8" w14:textId="77777777" w:rsidR="00345EE3" w:rsidRDefault="00345EE3" w:rsidP="00D73130">
            <w:pPr>
              <w:pStyle w:val="TableParagraph"/>
              <w:ind w:left="-3"/>
              <w:jc w:val="left"/>
              <w:rPr>
                <w:b/>
                <w:sz w:val="24"/>
              </w:rPr>
            </w:pPr>
            <w:r>
              <w:rPr>
                <w:b/>
                <w:color w:val="231F20"/>
                <w:sz w:val="24"/>
              </w:rPr>
              <w:t>Net</w:t>
            </w:r>
            <w:r>
              <w:rPr>
                <w:b/>
                <w:color w:val="231F20"/>
                <w:spacing w:val="-3"/>
                <w:sz w:val="24"/>
              </w:rPr>
              <w:t xml:space="preserve"> </w:t>
            </w:r>
            <w:r>
              <w:rPr>
                <w:b/>
                <w:color w:val="231F20"/>
                <w:spacing w:val="-2"/>
                <w:sz w:val="24"/>
              </w:rPr>
              <w:t>Result</w:t>
            </w:r>
          </w:p>
        </w:tc>
        <w:tc>
          <w:tcPr>
            <w:tcW w:w="1418" w:type="dxa"/>
            <w:tcBorders>
              <w:top w:val="nil"/>
              <w:bottom w:val="nil"/>
            </w:tcBorders>
            <w:shd w:val="clear" w:color="auto" w:fill="E6E7E8"/>
          </w:tcPr>
          <w:p w14:paraId="501F5789" w14:textId="77777777" w:rsidR="00345EE3" w:rsidRDefault="00345EE3" w:rsidP="00D73130">
            <w:pPr>
              <w:pStyle w:val="TableParagraph"/>
              <w:ind w:right="53"/>
              <w:rPr>
                <w:b/>
                <w:sz w:val="24"/>
              </w:rPr>
            </w:pPr>
            <w:r>
              <w:rPr>
                <w:b/>
                <w:color w:val="231F20"/>
                <w:spacing w:val="-2"/>
                <w:sz w:val="24"/>
              </w:rPr>
              <w:t>86,939</w:t>
            </w:r>
          </w:p>
        </w:tc>
        <w:tc>
          <w:tcPr>
            <w:tcW w:w="1418" w:type="dxa"/>
            <w:tcBorders>
              <w:top w:val="nil"/>
              <w:bottom w:val="nil"/>
            </w:tcBorders>
          </w:tcPr>
          <w:p w14:paraId="5D6DFDF5" w14:textId="77777777" w:rsidR="00345EE3" w:rsidRDefault="00345EE3" w:rsidP="00D73130">
            <w:pPr>
              <w:pStyle w:val="TableParagraph"/>
              <w:ind w:right="54"/>
              <w:rPr>
                <w:b/>
                <w:sz w:val="24"/>
              </w:rPr>
            </w:pPr>
            <w:r>
              <w:rPr>
                <w:b/>
                <w:color w:val="231F20"/>
                <w:spacing w:val="-2"/>
                <w:sz w:val="24"/>
              </w:rPr>
              <w:t>13,581</w:t>
            </w:r>
          </w:p>
        </w:tc>
        <w:tc>
          <w:tcPr>
            <w:tcW w:w="1418" w:type="dxa"/>
            <w:tcBorders>
              <w:top w:val="nil"/>
              <w:bottom w:val="nil"/>
            </w:tcBorders>
          </w:tcPr>
          <w:p w14:paraId="5FB47C04" w14:textId="77777777" w:rsidR="00345EE3" w:rsidRDefault="00345EE3" w:rsidP="00D73130">
            <w:pPr>
              <w:pStyle w:val="TableParagraph"/>
              <w:ind w:right="54"/>
              <w:rPr>
                <w:b/>
                <w:sz w:val="24"/>
              </w:rPr>
            </w:pPr>
            <w:r>
              <w:rPr>
                <w:b/>
                <w:color w:val="231F20"/>
                <w:spacing w:val="-2"/>
                <w:sz w:val="24"/>
              </w:rPr>
              <w:t>73,358</w:t>
            </w:r>
          </w:p>
        </w:tc>
        <w:tc>
          <w:tcPr>
            <w:tcW w:w="1418" w:type="dxa"/>
            <w:tcBorders>
              <w:top w:val="nil"/>
              <w:bottom w:val="nil"/>
              <w:right w:val="nil"/>
            </w:tcBorders>
          </w:tcPr>
          <w:p w14:paraId="2A068164" w14:textId="77777777" w:rsidR="00345EE3" w:rsidRDefault="00345EE3" w:rsidP="00D73130">
            <w:pPr>
              <w:pStyle w:val="TableParagraph"/>
              <w:rPr>
                <w:b/>
                <w:sz w:val="24"/>
              </w:rPr>
            </w:pPr>
            <w:r>
              <w:rPr>
                <w:b/>
                <w:color w:val="231F20"/>
                <w:spacing w:val="-4"/>
                <w:sz w:val="24"/>
              </w:rPr>
              <w:t>540%</w:t>
            </w:r>
          </w:p>
        </w:tc>
      </w:tr>
      <w:tr w:rsidR="00345EE3" w14:paraId="5D50F642" w14:textId="77777777" w:rsidTr="00D73130">
        <w:trPr>
          <w:trHeight w:val="373"/>
        </w:trPr>
        <w:tc>
          <w:tcPr>
            <w:tcW w:w="15140" w:type="dxa"/>
            <w:gridSpan w:val="5"/>
            <w:tcBorders>
              <w:top w:val="nil"/>
              <w:left w:val="nil"/>
              <w:bottom w:val="nil"/>
              <w:right w:val="nil"/>
            </w:tcBorders>
            <w:shd w:val="clear" w:color="auto" w:fill="D1D3D4"/>
          </w:tcPr>
          <w:p w14:paraId="209172B4" w14:textId="4B25E902" w:rsidR="00345EE3" w:rsidRDefault="00345EE3" w:rsidP="00D73130">
            <w:pPr>
              <w:pStyle w:val="TableParagraph"/>
              <w:spacing w:before="0" w:line="20" w:lineRule="exact"/>
              <w:ind w:left="-3" w:right="-72"/>
              <w:jc w:val="left"/>
              <w:rPr>
                <w:sz w:val="2"/>
              </w:rPr>
            </w:pPr>
          </w:p>
          <w:p w14:paraId="06EA15BF" w14:textId="77777777" w:rsidR="00345EE3" w:rsidRDefault="00345EE3" w:rsidP="00D73130">
            <w:pPr>
              <w:pStyle w:val="TableParagraph"/>
              <w:spacing w:before="28"/>
              <w:jc w:val="left"/>
              <w:rPr>
                <w:b/>
                <w:sz w:val="24"/>
              </w:rPr>
            </w:pPr>
            <w:r>
              <w:rPr>
                <w:b/>
                <w:color w:val="231F20"/>
                <w:sz w:val="24"/>
              </w:rPr>
              <w:t>Other</w:t>
            </w:r>
            <w:r>
              <w:rPr>
                <w:b/>
                <w:color w:val="231F20"/>
                <w:spacing w:val="-3"/>
                <w:sz w:val="24"/>
              </w:rPr>
              <w:t xml:space="preserve"> </w:t>
            </w:r>
            <w:r>
              <w:rPr>
                <w:b/>
                <w:color w:val="231F20"/>
                <w:sz w:val="24"/>
              </w:rPr>
              <w:t>Economic</w:t>
            </w:r>
            <w:r>
              <w:rPr>
                <w:b/>
                <w:color w:val="231F20"/>
                <w:spacing w:val="-2"/>
                <w:sz w:val="24"/>
              </w:rPr>
              <w:t xml:space="preserve"> </w:t>
            </w:r>
            <w:r>
              <w:rPr>
                <w:b/>
                <w:color w:val="231F20"/>
                <w:sz w:val="24"/>
              </w:rPr>
              <w:t>Flows</w:t>
            </w:r>
            <w:r>
              <w:rPr>
                <w:b/>
                <w:color w:val="231F20"/>
                <w:spacing w:val="-2"/>
                <w:sz w:val="24"/>
              </w:rPr>
              <w:t xml:space="preserve"> </w:t>
            </w:r>
            <w:r>
              <w:rPr>
                <w:b/>
                <w:color w:val="231F20"/>
                <w:sz w:val="24"/>
              </w:rPr>
              <w:t>–</w:t>
            </w:r>
            <w:r>
              <w:rPr>
                <w:b/>
                <w:color w:val="231F20"/>
                <w:spacing w:val="-3"/>
                <w:sz w:val="24"/>
              </w:rPr>
              <w:t xml:space="preserve"> </w:t>
            </w:r>
            <w:r>
              <w:rPr>
                <w:b/>
                <w:color w:val="231F20"/>
                <w:sz w:val="24"/>
              </w:rPr>
              <w:t>Other</w:t>
            </w:r>
            <w:r>
              <w:rPr>
                <w:b/>
                <w:color w:val="231F20"/>
                <w:spacing w:val="-2"/>
                <w:sz w:val="24"/>
              </w:rPr>
              <w:t xml:space="preserve"> </w:t>
            </w:r>
            <w:r>
              <w:rPr>
                <w:b/>
                <w:color w:val="231F20"/>
                <w:sz w:val="24"/>
              </w:rPr>
              <w:t>Comprehensive</w:t>
            </w:r>
            <w:r>
              <w:rPr>
                <w:b/>
                <w:color w:val="231F20"/>
                <w:spacing w:val="-2"/>
                <w:sz w:val="24"/>
              </w:rPr>
              <w:t xml:space="preserve"> Income</w:t>
            </w:r>
          </w:p>
        </w:tc>
      </w:tr>
      <w:tr w:rsidR="00345EE3" w14:paraId="3F476DC5" w14:textId="77777777" w:rsidTr="00D73130">
        <w:trPr>
          <w:trHeight w:val="370"/>
        </w:trPr>
        <w:tc>
          <w:tcPr>
            <w:tcW w:w="9468" w:type="dxa"/>
            <w:tcBorders>
              <w:top w:val="nil"/>
              <w:left w:val="nil"/>
            </w:tcBorders>
          </w:tcPr>
          <w:p w14:paraId="060432D3" w14:textId="77777777" w:rsidR="00345EE3" w:rsidRDefault="00345EE3" w:rsidP="00D73130">
            <w:pPr>
              <w:pStyle w:val="TableParagraph"/>
              <w:spacing w:before="48"/>
              <w:ind w:left="-3"/>
              <w:jc w:val="left"/>
              <w:rPr>
                <w:b/>
                <w:sz w:val="24"/>
              </w:rPr>
            </w:pPr>
            <w:r>
              <w:rPr>
                <w:b/>
                <w:color w:val="231F20"/>
                <w:sz w:val="24"/>
              </w:rPr>
              <w:t>Items</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May</w:t>
            </w:r>
            <w:r>
              <w:rPr>
                <w:b/>
                <w:color w:val="231F20"/>
                <w:spacing w:val="-4"/>
                <w:sz w:val="24"/>
              </w:rPr>
              <w:t xml:space="preserve"> </w:t>
            </w:r>
            <w:r>
              <w:rPr>
                <w:b/>
                <w:color w:val="231F20"/>
                <w:sz w:val="24"/>
              </w:rPr>
              <w:t>Be</w:t>
            </w:r>
            <w:r>
              <w:rPr>
                <w:b/>
                <w:color w:val="231F20"/>
                <w:spacing w:val="-6"/>
                <w:sz w:val="24"/>
              </w:rPr>
              <w:t xml:space="preserve"> </w:t>
            </w:r>
            <w:r>
              <w:rPr>
                <w:b/>
                <w:color w:val="231F20"/>
                <w:sz w:val="24"/>
              </w:rPr>
              <w:t>Reclassified</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Net</w:t>
            </w:r>
            <w:r>
              <w:rPr>
                <w:b/>
                <w:color w:val="231F20"/>
                <w:spacing w:val="-5"/>
                <w:sz w:val="24"/>
              </w:rPr>
              <w:t xml:space="preserve"> </w:t>
            </w:r>
            <w:r>
              <w:rPr>
                <w:b/>
                <w:color w:val="231F20"/>
                <w:spacing w:val="-2"/>
                <w:sz w:val="24"/>
              </w:rPr>
              <w:t>Result</w:t>
            </w:r>
          </w:p>
        </w:tc>
        <w:tc>
          <w:tcPr>
            <w:tcW w:w="1418" w:type="dxa"/>
            <w:tcBorders>
              <w:top w:val="nil"/>
            </w:tcBorders>
            <w:shd w:val="clear" w:color="auto" w:fill="E6E7E8"/>
          </w:tcPr>
          <w:p w14:paraId="6A1E6AE4" w14:textId="77777777" w:rsidR="00345EE3" w:rsidRDefault="00345EE3" w:rsidP="00D73130">
            <w:pPr>
              <w:pStyle w:val="TableParagraph"/>
              <w:spacing w:before="0"/>
              <w:jc w:val="left"/>
              <w:rPr>
                <w:rFonts w:ascii="Times New Roman"/>
                <w:sz w:val="18"/>
              </w:rPr>
            </w:pPr>
          </w:p>
        </w:tc>
        <w:tc>
          <w:tcPr>
            <w:tcW w:w="1418" w:type="dxa"/>
            <w:tcBorders>
              <w:top w:val="nil"/>
            </w:tcBorders>
          </w:tcPr>
          <w:p w14:paraId="2BF7AD68" w14:textId="77777777" w:rsidR="00345EE3" w:rsidRDefault="00345EE3" w:rsidP="00D73130">
            <w:pPr>
              <w:pStyle w:val="TableParagraph"/>
              <w:spacing w:before="0"/>
              <w:jc w:val="left"/>
              <w:rPr>
                <w:rFonts w:ascii="Times New Roman"/>
                <w:sz w:val="18"/>
              </w:rPr>
            </w:pPr>
          </w:p>
        </w:tc>
        <w:tc>
          <w:tcPr>
            <w:tcW w:w="1418" w:type="dxa"/>
            <w:tcBorders>
              <w:top w:val="nil"/>
            </w:tcBorders>
          </w:tcPr>
          <w:p w14:paraId="57C43CEE" w14:textId="77777777" w:rsidR="00345EE3" w:rsidRDefault="00345EE3" w:rsidP="00D73130">
            <w:pPr>
              <w:pStyle w:val="TableParagraph"/>
              <w:spacing w:before="0"/>
              <w:jc w:val="left"/>
              <w:rPr>
                <w:rFonts w:ascii="Times New Roman"/>
                <w:sz w:val="18"/>
              </w:rPr>
            </w:pPr>
          </w:p>
        </w:tc>
        <w:tc>
          <w:tcPr>
            <w:tcW w:w="1418" w:type="dxa"/>
            <w:tcBorders>
              <w:top w:val="nil"/>
              <w:right w:val="nil"/>
            </w:tcBorders>
          </w:tcPr>
          <w:p w14:paraId="1E62619C" w14:textId="77777777" w:rsidR="00345EE3" w:rsidRDefault="00345EE3" w:rsidP="00D73130">
            <w:pPr>
              <w:pStyle w:val="TableParagraph"/>
              <w:spacing w:before="0"/>
              <w:jc w:val="left"/>
              <w:rPr>
                <w:rFonts w:ascii="Times New Roman"/>
                <w:sz w:val="18"/>
              </w:rPr>
            </w:pPr>
          </w:p>
        </w:tc>
      </w:tr>
      <w:tr w:rsidR="00345EE3" w14:paraId="68E00841" w14:textId="77777777" w:rsidTr="00D73130">
        <w:trPr>
          <w:trHeight w:val="368"/>
        </w:trPr>
        <w:tc>
          <w:tcPr>
            <w:tcW w:w="9468" w:type="dxa"/>
            <w:tcBorders>
              <w:left w:val="nil"/>
            </w:tcBorders>
          </w:tcPr>
          <w:p w14:paraId="324AFF13" w14:textId="77777777" w:rsidR="00345EE3" w:rsidRDefault="00345EE3" w:rsidP="00D73130">
            <w:pPr>
              <w:pStyle w:val="TableParagraph"/>
              <w:spacing w:before="46"/>
              <w:ind w:left="281"/>
              <w:jc w:val="left"/>
              <w:rPr>
                <w:sz w:val="24"/>
              </w:rPr>
            </w:pPr>
            <w:r>
              <w:rPr>
                <w:color w:val="231F20"/>
                <w:spacing w:val="-4"/>
                <w:sz w:val="24"/>
              </w:rPr>
              <w:t>Fair</w:t>
            </w:r>
            <w:r>
              <w:rPr>
                <w:color w:val="231F20"/>
                <w:spacing w:val="-11"/>
                <w:sz w:val="24"/>
              </w:rPr>
              <w:t xml:space="preserve"> </w:t>
            </w:r>
            <w:r>
              <w:rPr>
                <w:color w:val="231F20"/>
                <w:spacing w:val="-4"/>
                <w:sz w:val="24"/>
              </w:rPr>
              <w:t>value</w:t>
            </w:r>
            <w:r>
              <w:rPr>
                <w:color w:val="231F20"/>
                <w:spacing w:val="-11"/>
                <w:sz w:val="24"/>
              </w:rPr>
              <w:t xml:space="preserve"> </w:t>
            </w:r>
            <w:r>
              <w:rPr>
                <w:color w:val="231F20"/>
                <w:spacing w:val="-4"/>
                <w:sz w:val="24"/>
              </w:rPr>
              <w:t>gain/(loss)</w:t>
            </w:r>
            <w:r>
              <w:rPr>
                <w:color w:val="231F20"/>
                <w:spacing w:val="-10"/>
                <w:sz w:val="24"/>
              </w:rPr>
              <w:t xml:space="preserve"> </w:t>
            </w:r>
            <w:r>
              <w:rPr>
                <w:color w:val="231F20"/>
                <w:spacing w:val="-4"/>
                <w:sz w:val="24"/>
              </w:rPr>
              <w:t>arising</w:t>
            </w:r>
            <w:r>
              <w:rPr>
                <w:color w:val="231F20"/>
                <w:spacing w:val="-11"/>
                <w:sz w:val="24"/>
              </w:rPr>
              <w:t xml:space="preserve"> </w:t>
            </w:r>
            <w:r>
              <w:rPr>
                <w:color w:val="231F20"/>
                <w:spacing w:val="-4"/>
                <w:sz w:val="24"/>
              </w:rPr>
              <w:t>from</w:t>
            </w:r>
            <w:r>
              <w:rPr>
                <w:color w:val="231F20"/>
                <w:spacing w:val="-11"/>
                <w:sz w:val="24"/>
              </w:rPr>
              <w:t xml:space="preserve"> </w:t>
            </w:r>
            <w:r>
              <w:rPr>
                <w:color w:val="231F20"/>
                <w:spacing w:val="-4"/>
                <w:sz w:val="24"/>
              </w:rPr>
              <w:t>cash</w:t>
            </w:r>
            <w:r>
              <w:rPr>
                <w:color w:val="231F20"/>
                <w:spacing w:val="-10"/>
                <w:sz w:val="24"/>
              </w:rPr>
              <w:t xml:space="preserve"> </w:t>
            </w:r>
            <w:r>
              <w:rPr>
                <w:color w:val="231F20"/>
                <w:spacing w:val="-4"/>
                <w:sz w:val="24"/>
              </w:rPr>
              <w:t>flow</w:t>
            </w:r>
            <w:r>
              <w:rPr>
                <w:color w:val="231F20"/>
                <w:spacing w:val="-11"/>
                <w:sz w:val="24"/>
              </w:rPr>
              <w:t xml:space="preserve"> </w:t>
            </w:r>
            <w:r>
              <w:rPr>
                <w:color w:val="231F20"/>
                <w:spacing w:val="-4"/>
                <w:sz w:val="24"/>
              </w:rPr>
              <w:t>hedging</w:t>
            </w:r>
            <w:r>
              <w:rPr>
                <w:color w:val="231F20"/>
                <w:spacing w:val="-11"/>
                <w:sz w:val="24"/>
              </w:rPr>
              <w:t xml:space="preserve"> </w:t>
            </w:r>
            <w:r>
              <w:rPr>
                <w:color w:val="231F20"/>
                <w:spacing w:val="-4"/>
                <w:sz w:val="24"/>
              </w:rPr>
              <w:t>instruments</w:t>
            </w:r>
            <w:r>
              <w:rPr>
                <w:color w:val="231F20"/>
                <w:spacing w:val="-10"/>
                <w:sz w:val="24"/>
              </w:rPr>
              <w:t xml:space="preserve"> </w:t>
            </w:r>
            <w:r>
              <w:rPr>
                <w:color w:val="231F20"/>
                <w:spacing w:val="-4"/>
                <w:sz w:val="24"/>
              </w:rPr>
              <w:t>during</w:t>
            </w:r>
            <w:r>
              <w:rPr>
                <w:color w:val="231F20"/>
                <w:spacing w:val="-11"/>
                <w:sz w:val="24"/>
              </w:rPr>
              <w:t xml:space="preserve"> </w:t>
            </w:r>
            <w:r>
              <w:rPr>
                <w:color w:val="231F20"/>
                <w:spacing w:val="-4"/>
                <w:sz w:val="24"/>
              </w:rPr>
              <w:t>the</w:t>
            </w:r>
            <w:r>
              <w:rPr>
                <w:color w:val="231F20"/>
                <w:spacing w:val="-10"/>
                <w:sz w:val="24"/>
              </w:rPr>
              <w:t xml:space="preserve"> </w:t>
            </w:r>
            <w:r>
              <w:rPr>
                <w:color w:val="231F20"/>
                <w:spacing w:val="-4"/>
                <w:sz w:val="24"/>
              </w:rPr>
              <w:t>year</w:t>
            </w:r>
          </w:p>
        </w:tc>
        <w:tc>
          <w:tcPr>
            <w:tcW w:w="1418" w:type="dxa"/>
            <w:shd w:val="clear" w:color="auto" w:fill="E6E7E8"/>
          </w:tcPr>
          <w:p w14:paraId="022853F2" w14:textId="77777777" w:rsidR="00345EE3" w:rsidRDefault="00345EE3" w:rsidP="00D73130">
            <w:pPr>
              <w:pStyle w:val="TableParagraph"/>
              <w:spacing w:before="46"/>
              <w:ind w:right="55"/>
              <w:rPr>
                <w:sz w:val="24"/>
              </w:rPr>
            </w:pPr>
            <w:r>
              <w:rPr>
                <w:color w:val="231F20"/>
                <w:spacing w:val="-2"/>
                <w:sz w:val="24"/>
              </w:rPr>
              <w:t>10,248</w:t>
            </w:r>
          </w:p>
        </w:tc>
        <w:tc>
          <w:tcPr>
            <w:tcW w:w="1418" w:type="dxa"/>
          </w:tcPr>
          <w:p w14:paraId="60292ECC" w14:textId="77777777" w:rsidR="00345EE3" w:rsidRDefault="00345EE3" w:rsidP="00D73130">
            <w:pPr>
              <w:pStyle w:val="TableParagraph"/>
              <w:spacing w:before="46"/>
              <w:ind w:right="53"/>
              <w:rPr>
                <w:sz w:val="24"/>
              </w:rPr>
            </w:pPr>
            <w:r>
              <w:rPr>
                <w:color w:val="231F20"/>
                <w:sz w:val="24"/>
              </w:rPr>
              <w:t>-</w:t>
            </w:r>
          </w:p>
        </w:tc>
        <w:tc>
          <w:tcPr>
            <w:tcW w:w="1418" w:type="dxa"/>
          </w:tcPr>
          <w:p w14:paraId="26F537AF" w14:textId="77777777" w:rsidR="00345EE3" w:rsidRDefault="00345EE3" w:rsidP="00D73130">
            <w:pPr>
              <w:pStyle w:val="TableParagraph"/>
              <w:spacing w:before="46"/>
              <w:ind w:right="57"/>
              <w:rPr>
                <w:sz w:val="24"/>
              </w:rPr>
            </w:pPr>
            <w:r>
              <w:rPr>
                <w:color w:val="231F20"/>
                <w:spacing w:val="-2"/>
                <w:sz w:val="24"/>
              </w:rPr>
              <w:t>10,248</w:t>
            </w:r>
          </w:p>
        </w:tc>
        <w:tc>
          <w:tcPr>
            <w:tcW w:w="1418" w:type="dxa"/>
            <w:tcBorders>
              <w:right w:val="nil"/>
            </w:tcBorders>
          </w:tcPr>
          <w:p w14:paraId="2865EA73" w14:textId="77777777" w:rsidR="00345EE3" w:rsidRDefault="00345EE3" w:rsidP="00D73130">
            <w:pPr>
              <w:pStyle w:val="TableParagraph"/>
              <w:spacing w:before="46"/>
              <w:ind w:right="57"/>
              <w:rPr>
                <w:sz w:val="24"/>
              </w:rPr>
            </w:pPr>
            <w:r>
              <w:rPr>
                <w:color w:val="231F20"/>
                <w:spacing w:val="-4"/>
                <w:sz w:val="24"/>
              </w:rPr>
              <w:t>0.0%</w:t>
            </w:r>
          </w:p>
        </w:tc>
      </w:tr>
      <w:tr w:rsidR="00345EE3" w14:paraId="1A5DD704" w14:textId="77777777" w:rsidTr="00D73130">
        <w:trPr>
          <w:trHeight w:val="368"/>
        </w:trPr>
        <w:tc>
          <w:tcPr>
            <w:tcW w:w="9468" w:type="dxa"/>
            <w:tcBorders>
              <w:left w:val="nil"/>
            </w:tcBorders>
          </w:tcPr>
          <w:p w14:paraId="75A99494" w14:textId="77777777" w:rsidR="00345EE3" w:rsidRDefault="00345EE3" w:rsidP="00D73130">
            <w:pPr>
              <w:pStyle w:val="TableParagraph"/>
              <w:spacing w:before="46"/>
              <w:ind w:left="-3"/>
              <w:jc w:val="left"/>
              <w:rPr>
                <w:b/>
                <w:sz w:val="24"/>
              </w:rPr>
            </w:pPr>
            <w:r>
              <w:rPr>
                <w:b/>
                <w:color w:val="231F20"/>
                <w:sz w:val="24"/>
              </w:rPr>
              <w:t>Items</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Will</w:t>
            </w:r>
            <w:r>
              <w:rPr>
                <w:b/>
                <w:color w:val="231F20"/>
                <w:spacing w:val="-4"/>
                <w:sz w:val="24"/>
              </w:rPr>
              <w:t xml:space="preserve"> </w:t>
            </w:r>
            <w:r>
              <w:rPr>
                <w:b/>
                <w:color w:val="231F20"/>
                <w:sz w:val="24"/>
              </w:rPr>
              <w:t>Not</w:t>
            </w:r>
            <w:r>
              <w:rPr>
                <w:b/>
                <w:color w:val="231F20"/>
                <w:spacing w:val="-6"/>
                <w:sz w:val="24"/>
              </w:rPr>
              <w:t xml:space="preserve"> </w:t>
            </w:r>
            <w:r>
              <w:rPr>
                <w:b/>
                <w:color w:val="231F20"/>
                <w:sz w:val="24"/>
              </w:rPr>
              <w:t>Be</w:t>
            </w:r>
            <w:r>
              <w:rPr>
                <w:b/>
                <w:color w:val="231F20"/>
                <w:spacing w:val="-6"/>
                <w:sz w:val="24"/>
              </w:rPr>
              <w:t xml:space="preserve"> </w:t>
            </w:r>
            <w:r>
              <w:rPr>
                <w:b/>
                <w:color w:val="231F20"/>
                <w:sz w:val="24"/>
              </w:rPr>
              <w:t>Reclassified</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Net</w:t>
            </w:r>
            <w:r>
              <w:rPr>
                <w:b/>
                <w:color w:val="231F20"/>
                <w:spacing w:val="-5"/>
                <w:sz w:val="24"/>
              </w:rPr>
              <w:t xml:space="preserve"> </w:t>
            </w:r>
            <w:r>
              <w:rPr>
                <w:b/>
                <w:color w:val="231F20"/>
                <w:spacing w:val="-2"/>
                <w:sz w:val="24"/>
              </w:rPr>
              <w:t>Result</w:t>
            </w:r>
          </w:p>
        </w:tc>
        <w:tc>
          <w:tcPr>
            <w:tcW w:w="1418" w:type="dxa"/>
            <w:shd w:val="clear" w:color="auto" w:fill="E6E7E8"/>
          </w:tcPr>
          <w:p w14:paraId="05B5F259" w14:textId="77777777" w:rsidR="00345EE3" w:rsidRDefault="00345EE3" w:rsidP="00D73130">
            <w:pPr>
              <w:pStyle w:val="TableParagraph"/>
              <w:spacing w:before="0"/>
              <w:jc w:val="left"/>
              <w:rPr>
                <w:rFonts w:ascii="Times New Roman"/>
                <w:sz w:val="18"/>
              </w:rPr>
            </w:pPr>
          </w:p>
        </w:tc>
        <w:tc>
          <w:tcPr>
            <w:tcW w:w="1418" w:type="dxa"/>
          </w:tcPr>
          <w:p w14:paraId="301EE81F" w14:textId="77777777" w:rsidR="00345EE3" w:rsidRDefault="00345EE3" w:rsidP="00D73130">
            <w:pPr>
              <w:pStyle w:val="TableParagraph"/>
              <w:spacing w:before="0"/>
              <w:jc w:val="left"/>
              <w:rPr>
                <w:rFonts w:ascii="Times New Roman"/>
                <w:sz w:val="18"/>
              </w:rPr>
            </w:pPr>
          </w:p>
        </w:tc>
        <w:tc>
          <w:tcPr>
            <w:tcW w:w="1418" w:type="dxa"/>
          </w:tcPr>
          <w:p w14:paraId="2CBBB20C" w14:textId="77777777" w:rsidR="00345EE3" w:rsidRDefault="00345EE3" w:rsidP="00D73130">
            <w:pPr>
              <w:pStyle w:val="TableParagraph"/>
              <w:spacing w:before="0"/>
              <w:jc w:val="left"/>
              <w:rPr>
                <w:rFonts w:ascii="Times New Roman"/>
                <w:sz w:val="18"/>
              </w:rPr>
            </w:pPr>
          </w:p>
        </w:tc>
        <w:tc>
          <w:tcPr>
            <w:tcW w:w="1418" w:type="dxa"/>
            <w:tcBorders>
              <w:right w:val="nil"/>
            </w:tcBorders>
          </w:tcPr>
          <w:p w14:paraId="37AA4675" w14:textId="77777777" w:rsidR="00345EE3" w:rsidRDefault="00345EE3" w:rsidP="00D73130">
            <w:pPr>
              <w:pStyle w:val="TableParagraph"/>
              <w:spacing w:before="0"/>
              <w:jc w:val="left"/>
              <w:rPr>
                <w:rFonts w:ascii="Times New Roman"/>
                <w:sz w:val="18"/>
              </w:rPr>
            </w:pPr>
          </w:p>
        </w:tc>
      </w:tr>
      <w:tr w:rsidR="00345EE3" w14:paraId="2032AE97" w14:textId="77777777" w:rsidTr="00D73130">
        <w:trPr>
          <w:trHeight w:val="368"/>
        </w:trPr>
        <w:tc>
          <w:tcPr>
            <w:tcW w:w="9468" w:type="dxa"/>
            <w:tcBorders>
              <w:left w:val="nil"/>
              <w:bottom w:val="single" w:sz="2" w:space="0" w:color="231F20"/>
            </w:tcBorders>
          </w:tcPr>
          <w:p w14:paraId="1D0E6622" w14:textId="77777777" w:rsidR="00345EE3" w:rsidRDefault="00345EE3" w:rsidP="00D73130">
            <w:pPr>
              <w:pStyle w:val="TableParagraph"/>
              <w:spacing w:before="46"/>
              <w:ind w:left="281"/>
              <w:jc w:val="left"/>
              <w:rPr>
                <w:sz w:val="24"/>
              </w:rPr>
            </w:pPr>
            <w:r>
              <w:rPr>
                <w:color w:val="231F20"/>
                <w:sz w:val="24"/>
              </w:rPr>
              <w:t>Changes</w:t>
            </w:r>
            <w:r>
              <w:rPr>
                <w:color w:val="231F20"/>
                <w:spacing w:val="-5"/>
                <w:sz w:val="24"/>
              </w:rPr>
              <w:t xml:space="preserve"> </w:t>
            </w:r>
            <w:r>
              <w:rPr>
                <w:color w:val="231F20"/>
                <w:sz w:val="24"/>
              </w:rPr>
              <w:t>in</w:t>
            </w:r>
            <w:r>
              <w:rPr>
                <w:color w:val="231F20"/>
                <w:spacing w:val="-5"/>
                <w:sz w:val="24"/>
              </w:rPr>
              <w:t xml:space="preserve"> </w:t>
            </w:r>
            <w:r>
              <w:rPr>
                <w:color w:val="231F20"/>
                <w:sz w:val="24"/>
              </w:rPr>
              <w:t>physical</w:t>
            </w:r>
            <w:r>
              <w:rPr>
                <w:color w:val="231F20"/>
                <w:spacing w:val="-4"/>
                <w:sz w:val="24"/>
              </w:rPr>
              <w:t xml:space="preserve"> </w:t>
            </w:r>
            <w:r>
              <w:rPr>
                <w:color w:val="231F20"/>
                <w:sz w:val="24"/>
              </w:rPr>
              <w:t>asset</w:t>
            </w:r>
            <w:r>
              <w:rPr>
                <w:color w:val="231F20"/>
                <w:spacing w:val="-5"/>
                <w:sz w:val="24"/>
              </w:rPr>
              <w:t xml:space="preserve"> </w:t>
            </w:r>
            <w:r>
              <w:rPr>
                <w:color w:val="231F20"/>
                <w:sz w:val="24"/>
              </w:rPr>
              <w:t>revaluation</w:t>
            </w:r>
            <w:r>
              <w:rPr>
                <w:color w:val="231F20"/>
                <w:spacing w:val="-3"/>
                <w:sz w:val="24"/>
              </w:rPr>
              <w:t xml:space="preserve"> </w:t>
            </w:r>
            <w:r>
              <w:rPr>
                <w:color w:val="231F20"/>
                <w:spacing w:val="-2"/>
                <w:sz w:val="24"/>
              </w:rPr>
              <w:t>surplus</w:t>
            </w:r>
          </w:p>
        </w:tc>
        <w:tc>
          <w:tcPr>
            <w:tcW w:w="1418" w:type="dxa"/>
            <w:tcBorders>
              <w:bottom w:val="single" w:sz="2" w:space="0" w:color="231F20"/>
            </w:tcBorders>
            <w:shd w:val="clear" w:color="auto" w:fill="E6E7E8"/>
          </w:tcPr>
          <w:p w14:paraId="4C70EA3C" w14:textId="77777777" w:rsidR="00345EE3" w:rsidRDefault="00345EE3" w:rsidP="00D73130">
            <w:pPr>
              <w:pStyle w:val="TableParagraph"/>
              <w:spacing w:before="46"/>
              <w:ind w:right="55"/>
              <w:rPr>
                <w:sz w:val="24"/>
              </w:rPr>
            </w:pPr>
            <w:r>
              <w:rPr>
                <w:color w:val="231F20"/>
                <w:spacing w:val="-2"/>
                <w:sz w:val="24"/>
              </w:rPr>
              <w:t>(3,395)</w:t>
            </w:r>
          </w:p>
        </w:tc>
        <w:tc>
          <w:tcPr>
            <w:tcW w:w="1418" w:type="dxa"/>
            <w:tcBorders>
              <w:bottom w:val="single" w:sz="2" w:space="0" w:color="231F20"/>
            </w:tcBorders>
          </w:tcPr>
          <w:p w14:paraId="22D6EF5E" w14:textId="77777777" w:rsidR="00345EE3" w:rsidRDefault="00345EE3" w:rsidP="00D73130">
            <w:pPr>
              <w:pStyle w:val="TableParagraph"/>
              <w:spacing w:before="46"/>
              <w:ind w:right="53"/>
              <w:rPr>
                <w:sz w:val="24"/>
              </w:rPr>
            </w:pPr>
            <w:r>
              <w:rPr>
                <w:color w:val="231F20"/>
                <w:sz w:val="24"/>
              </w:rPr>
              <w:t>-</w:t>
            </w:r>
          </w:p>
        </w:tc>
        <w:tc>
          <w:tcPr>
            <w:tcW w:w="1418" w:type="dxa"/>
            <w:tcBorders>
              <w:bottom w:val="single" w:sz="2" w:space="0" w:color="231F20"/>
            </w:tcBorders>
          </w:tcPr>
          <w:p w14:paraId="2AA9AE62" w14:textId="77777777" w:rsidR="00345EE3" w:rsidRDefault="00345EE3" w:rsidP="00D73130">
            <w:pPr>
              <w:pStyle w:val="TableParagraph"/>
              <w:spacing w:before="46"/>
              <w:ind w:right="56"/>
              <w:rPr>
                <w:sz w:val="24"/>
              </w:rPr>
            </w:pPr>
            <w:r>
              <w:rPr>
                <w:color w:val="231F20"/>
                <w:spacing w:val="-2"/>
                <w:sz w:val="24"/>
              </w:rPr>
              <w:t>(3,395)</w:t>
            </w:r>
          </w:p>
        </w:tc>
        <w:tc>
          <w:tcPr>
            <w:tcW w:w="1418" w:type="dxa"/>
            <w:tcBorders>
              <w:bottom w:val="single" w:sz="2" w:space="0" w:color="231F20"/>
              <w:right w:val="nil"/>
            </w:tcBorders>
          </w:tcPr>
          <w:p w14:paraId="4A93B925" w14:textId="77777777" w:rsidR="00345EE3" w:rsidRDefault="00345EE3" w:rsidP="00D73130">
            <w:pPr>
              <w:pStyle w:val="TableParagraph"/>
              <w:spacing w:before="46"/>
              <w:ind w:right="57"/>
              <w:rPr>
                <w:sz w:val="24"/>
              </w:rPr>
            </w:pPr>
            <w:r>
              <w:rPr>
                <w:color w:val="231F20"/>
                <w:spacing w:val="-4"/>
                <w:sz w:val="24"/>
              </w:rPr>
              <w:t>0.0%</w:t>
            </w:r>
          </w:p>
        </w:tc>
      </w:tr>
      <w:tr w:rsidR="00345EE3" w14:paraId="407E0336" w14:textId="77777777" w:rsidTr="00D73130">
        <w:trPr>
          <w:trHeight w:val="396"/>
        </w:trPr>
        <w:tc>
          <w:tcPr>
            <w:tcW w:w="9468" w:type="dxa"/>
            <w:tcBorders>
              <w:top w:val="single" w:sz="2" w:space="0" w:color="231F20"/>
              <w:left w:val="nil"/>
              <w:bottom w:val="single" w:sz="2" w:space="0" w:color="231F20"/>
            </w:tcBorders>
          </w:tcPr>
          <w:p w14:paraId="53608AC8" w14:textId="77777777" w:rsidR="00345EE3" w:rsidRDefault="00345EE3" w:rsidP="00D73130">
            <w:pPr>
              <w:pStyle w:val="TableParagraph"/>
              <w:ind w:left="-3"/>
              <w:jc w:val="left"/>
              <w:rPr>
                <w:b/>
                <w:sz w:val="24"/>
              </w:rPr>
            </w:pPr>
            <w:r>
              <w:rPr>
                <w:b/>
                <w:color w:val="231F20"/>
                <w:sz w:val="24"/>
              </w:rPr>
              <w:t>Total</w:t>
            </w:r>
            <w:r>
              <w:rPr>
                <w:b/>
                <w:color w:val="231F20"/>
                <w:spacing w:val="-5"/>
                <w:sz w:val="24"/>
              </w:rPr>
              <w:t xml:space="preserve"> </w:t>
            </w:r>
            <w:r>
              <w:rPr>
                <w:b/>
                <w:color w:val="231F20"/>
                <w:sz w:val="24"/>
              </w:rPr>
              <w:t>Other</w:t>
            </w:r>
            <w:r>
              <w:rPr>
                <w:b/>
                <w:color w:val="231F20"/>
                <w:spacing w:val="-4"/>
                <w:sz w:val="24"/>
              </w:rPr>
              <w:t xml:space="preserve"> </w:t>
            </w:r>
            <w:r>
              <w:rPr>
                <w:b/>
                <w:color w:val="231F20"/>
                <w:sz w:val="24"/>
              </w:rPr>
              <w:t>Economic</w:t>
            </w:r>
            <w:r>
              <w:rPr>
                <w:b/>
                <w:color w:val="231F20"/>
                <w:spacing w:val="-4"/>
                <w:sz w:val="24"/>
              </w:rPr>
              <w:t xml:space="preserve"> </w:t>
            </w:r>
            <w:r>
              <w:rPr>
                <w:b/>
                <w:color w:val="231F20"/>
                <w:sz w:val="24"/>
              </w:rPr>
              <w:t>Flows</w:t>
            </w:r>
            <w:r>
              <w:rPr>
                <w:b/>
                <w:color w:val="231F20"/>
                <w:spacing w:val="-5"/>
                <w:sz w:val="24"/>
              </w:rPr>
              <w:t xml:space="preserve"> </w:t>
            </w:r>
            <w:r>
              <w:rPr>
                <w:b/>
                <w:color w:val="231F20"/>
                <w:sz w:val="24"/>
              </w:rPr>
              <w:t>–</w:t>
            </w:r>
            <w:r>
              <w:rPr>
                <w:b/>
                <w:color w:val="231F20"/>
                <w:spacing w:val="-5"/>
                <w:sz w:val="24"/>
              </w:rPr>
              <w:t xml:space="preserve"> </w:t>
            </w:r>
            <w:r>
              <w:rPr>
                <w:b/>
                <w:color w:val="231F20"/>
                <w:sz w:val="24"/>
              </w:rPr>
              <w:t>Other</w:t>
            </w:r>
            <w:r>
              <w:rPr>
                <w:b/>
                <w:color w:val="231F20"/>
                <w:spacing w:val="-4"/>
                <w:sz w:val="24"/>
              </w:rPr>
              <w:t xml:space="preserve"> </w:t>
            </w:r>
            <w:r>
              <w:rPr>
                <w:b/>
                <w:color w:val="231F20"/>
                <w:sz w:val="24"/>
              </w:rPr>
              <w:t>Comprehensive</w:t>
            </w:r>
            <w:r>
              <w:rPr>
                <w:b/>
                <w:color w:val="231F20"/>
                <w:spacing w:val="-5"/>
                <w:sz w:val="24"/>
              </w:rPr>
              <w:t xml:space="preserve"> </w:t>
            </w:r>
            <w:r>
              <w:rPr>
                <w:b/>
                <w:color w:val="231F20"/>
                <w:spacing w:val="-2"/>
                <w:sz w:val="24"/>
              </w:rPr>
              <w:t>Income</w:t>
            </w:r>
          </w:p>
        </w:tc>
        <w:tc>
          <w:tcPr>
            <w:tcW w:w="1418" w:type="dxa"/>
            <w:tcBorders>
              <w:top w:val="single" w:sz="2" w:space="0" w:color="231F20"/>
              <w:bottom w:val="single" w:sz="2" w:space="0" w:color="231F20"/>
            </w:tcBorders>
            <w:shd w:val="clear" w:color="auto" w:fill="E6E7E8"/>
          </w:tcPr>
          <w:p w14:paraId="39B8EFC7" w14:textId="77777777" w:rsidR="00345EE3" w:rsidRDefault="00345EE3" w:rsidP="00D73130">
            <w:pPr>
              <w:pStyle w:val="TableParagraph"/>
              <w:ind w:right="55"/>
              <w:rPr>
                <w:sz w:val="24"/>
              </w:rPr>
            </w:pPr>
            <w:r>
              <w:rPr>
                <w:color w:val="231F20"/>
                <w:spacing w:val="-2"/>
                <w:sz w:val="24"/>
              </w:rPr>
              <w:t>6,853</w:t>
            </w:r>
          </w:p>
        </w:tc>
        <w:tc>
          <w:tcPr>
            <w:tcW w:w="1418" w:type="dxa"/>
            <w:tcBorders>
              <w:top w:val="single" w:sz="2" w:space="0" w:color="231F20"/>
              <w:bottom w:val="single" w:sz="2" w:space="0" w:color="231F20"/>
            </w:tcBorders>
          </w:tcPr>
          <w:p w14:paraId="06D365F6" w14:textId="77777777" w:rsidR="00345EE3" w:rsidRDefault="00345EE3" w:rsidP="00D73130">
            <w:pPr>
              <w:pStyle w:val="TableParagraph"/>
              <w:ind w:right="53"/>
              <w:rPr>
                <w:sz w:val="24"/>
              </w:rPr>
            </w:pPr>
            <w:r>
              <w:rPr>
                <w:color w:val="231F20"/>
                <w:sz w:val="24"/>
              </w:rPr>
              <w:t>-</w:t>
            </w:r>
          </w:p>
        </w:tc>
        <w:tc>
          <w:tcPr>
            <w:tcW w:w="1418" w:type="dxa"/>
            <w:tcBorders>
              <w:top w:val="single" w:sz="2" w:space="0" w:color="231F20"/>
              <w:bottom w:val="single" w:sz="2" w:space="0" w:color="231F20"/>
            </w:tcBorders>
          </w:tcPr>
          <w:p w14:paraId="76FB3879" w14:textId="77777777" w:rsidR="00345EE3" w:rsidRDefault="00345EE3" w:rsidP="00D73130">
            <w:pPr>
              <w:pStyle w:val="TableParagraph"/>
              <w:ind w:right="56"/>
              <w:rPr>
                <w:sz w:val="24"/>
              </w:rPr>
            </w:pPr>
            <w:r>
              <w:rPr>
                <w:color w:val="231F20"/>
                <w:spacing w:val="-2"/>
                <w:sz w:val="24"/>
              </w:rPr>
              <w:t>6,853</w:t>
            </w:r>
          </w:p>
        </w:tc>
        <w:tc>
          <w:tcPr>
            <w:tcW w:w="1418" w:type="dxa"/>
            <w:tcBorders>
              <w:top w:val="single" w:sz="2" w:space="0" w:color="231F20"/>
              <w:bottom w:val="single" w:sz="2" w:space="0" w:color="231F20"/>
              <w:right w:val="nil"/>
            </w:tcBorders>
          </w:tcPr>
          <w:p w14:paraId="1EB27D4F" w14:textId="77777777" w:rsidR="00345EE3" w:rsidRDefault="00345EE3" w:rsidP="00D73130">
            <w:pPr>
              <w:pStyle w:val="TableParagraph"/>
              <w:rPr>
                <w:sz w:val="24"/>
              </w:rPr>
            </w:pPr>
            <w:r>
              <w:rPr>
                <w:color w:val="231F20"/>
                <w:spacing w:val="-4"/>
                <w:sz w:val="24"/>
              </w:rPr>
              <w:t>0.0%</w:t>
            </w:r>
          </w:p>
        </w:tc>
      </w:tr>
      <w:tr w:rsidR="00345EE3" w14:paraId="3FFACC7A" w14:textId="77777777" w:rsidTr="00D73130">
        <w:trPr>
          <w:trHeight w:val="363"/>
        </w:trPr>
        <w:tc>
          <w:tcPr>
            <w:tcW w:w="9468" w:type="dxa"/>
            <w:tcBorders>
              <w:top w:val="single" w:sz="2" w:space="0" w:color="231F20"/>
              <w:left w:val="nil"/>
              <w:bottom w:val="single" w:sz="6" w:space="0" w:color="231F20"/>
            </w:tcBorders>
          </w:tcPr>
          <w:p w14:paraId="3D4DFB58" w14:textId="77777777" w:rsidR="00345EE3" w:rsidRDefault="00345EE3" w:rsidP="00D73130">
            <w:pPr>
              <w:pStyle w:val="TableParagraph"/>
              <w:spacing w:before="46"/>
              <w:ind w:left="-3"/>
              <w:jc w:val="left"/>
              <w:rPr>
                <w:b/>
                <w:sz w:val="24"/>
              </w:rPr>
            </w:pPr>
            <w:r>
              <w:rPr>
                <w:b/>
                <w:color w:val="231F20"/>
                <w:sz w:val="24"/>
              </w:rPr>
              <w:t>Comprehensive</w:t>
            </w:r>
            <w:r>
              <w:rPr>
                <w:b/>
                <w:color w:val="231F20"/>
                <w:spacing w:val="-13"/>
                <w:sz w:val="24"/>
              </w:rPr>
              <w:t xml:space="preserve"> </w:t>
            </w:r>
            <w:r>
              <w:rPr>
                <w:b/>
                <w:color w:val="231F20"/>
                <w:spacing w:val="-2"/>
                <w:sz w:val="24"/>
              </w:rPr>
              <w:t>Result</w:t>
            </w:r>
          </w:p>
        </w:tc>
        <w:tc>
          <w:tcPr>
            <w:tcW w:w="1418" w:type="dxa"/>
            <w:tcBorders>
              <w:top w:val="single" w:sz="2" w:space="0" w:color="231F20"/>
              <w:bottom w:val="single" w:sz="6" w:space="0" w:color="231F20"/>
            </w:tcBorders>
            <w:shd w:val="clear" w:color="auto" w:fill="E6E7E8"/>
          </w:tcPr>
          <w:p w14:paraId="73B038CE" w14:textId="77777777" w:rsidR="00345EE3" w:rsidRDefault="00345EE3" w:rsidP="00D73130">
            <w:pPr>
              <w:pStyle w:val="TableParagraph"/>
              <w:spacing w:before="46"/>
              <w:ind w:right="53"/>
              <w:rPr>
                <w:b/>
                <w:sz w:val="24"/>
              </w:rPr>
            </w:pPr>
            <w:r>
              <w:rPr>
                <w:b/>
                <w:color w:val="231F20"/>
                <w:spacing w:val="-2"/>
                <w:sz w:val="24"/>
              </w:rPr>
              <w:t>93,792</w:t>
            </w:r>
          </w:p>
        </w:tc>
        <w:tc>
          <w:tcPr>
            <w:tcW w:w="1418" w:type="dxa"/>
            <w:tcBorders>
              <w:top w:val="single" w:sz="2" w:space="0" w:color="231F20"/>
              <w:bottom w:val="single" w:sz="6" w:space="0" w:color="231F20"/>
            </w:tcBorders>
          </w:tcPr>
          <w:p w14:paraId="4A802EDF" w14:textId="77777777" w:rsidR="00345EE3" w:rsidRDefault="00345EE3" w:rsidP="00D73130">
            <w:pPr>
              <w:pStyle w:val="TableParagraph"/>
              <w:spacing w:before="46"/>
              <w:ind w:right="53"/>
              <w:rPr>
                <w:b/>
                <w:sz w:val="24"/>
              </w:rPr>
            </w:pPr>
            <w:r>
              <w:rPr>
                <w:b/>
                <w:color w:val="231F20"/>
                <w:spacing w:val="-2"/>
                <w:sz w:val="24"/>
              </w:rPr>
              <w:t>13,581</w:t>
            </w:r>
          </w:p>
        </w:tc>
        <w:tc>
          <w:tcPr>
            <w:tcW w:w="1418" w:type="dxa"/>
            <w:tcBorders>
              <w:top w:val="single" w:sz="2" w:space="0" w:color="231F20"/>
              <w:bottom w:val="single" w:sz="6" w:space="0" w:color="231F20"/>
            </w:tcBorders>
          </w:tcPr>
          <w:p w14:paraId="3292FA8D" w14:textId="77777777" w:rsidR="00345EE3" w:rsidRDefault="00345EE3" w:rsidP="00D73130">
            <w:pPr>
              <w:pStyle w:val="TableParagraph"/>
              <w:spacing w:before="46"/>
              <w:ind w:right="53"/>
              <w:rPr>
                <w:b/>
                <w:sz w:val="24"/>
              </w:rPr>
            </w:pPr>
            <w:r>
              <w:rPr>
                <w:b/>
                <w:color w:val="231F20"/>
                <w:spacing w:val="-2"/>
                <w:sz w:val="24"/>
              </w:rPr>
              <w:t>80,211</w:t>
            </w:r>
          </w:p>
        </w:tc>
        <w:tc>
          <w:tcPr>
            <w:tcW w:w="1418" w:type="dxa"/>
            <w:tcBorders>
              <w:top w:val="single" w:sz="2" w:space="0" w:color="231F20"/>
              <w:bottom w:val="single" w:sz="6" w:space="0" w:color="231F20"/>
              <w:right w:val="nil"/>
            </w:tcBorders>
          </w:tcPr>
          <w:p w14:paraId="4BA2CF62" w14:textId="77777777" w:rsidR="00345EE3" w:rsidRDefault="00345EE3" w:rsidP="00D73130">
            <w:pPr>
              <w:pStyle w:val="TableParagraph"/>
              <w:spacing w:before="46"/>
              <w:ind w:right="54"/>
              <w:rPr>
                <w:b/>
                <w:sz w:val="24"/>
              </w:rPr>
            </w:pPr>
            <w:r>
              <w:rPr>
                <w:b/>
                <w:color w:val="231F20"/>
                <w:spacing w:val="-2"/>
                <w:sz w:val="24"/>
              </w:rPr>
              <w:t>590.6%</w:t>
            </w:r>
          </w:p>
        </w:tc>
      </w:tr>
    </w:tbl>
    <w:p w14:paraId="1383310D" w14:textId="0868C846" w:rsidR="00345EE3" w:rsidRDefault="00345EE3" w:rsidP="00345EE3">
      <w:pPr>
        <w:spacing w:before="89"/>
        <w:ind w:left="110"/>
        <w:rPr>
          <w:rFonts w:ascii="Arial-BoldItalicMT"/>
          <w:b/>
          <w:i/>
          <w:sz w:val="14"/>
        </w:rPr>
      </w:pPr>
      <w:r>
        <w:rPr>
          <w:rFonts w:ascii="Arial-BoldItalicMT"/>
          <w:b/>
          <w:i/>
          <w:color w:val="231F20"/>
          <w:spacing w:val="-2"/>
          <w:sz w:val="14"/>
        </w:rPr>
        <w:t>Notes:</w:t>
      </w:r>
    </w:p>
    <w:p w14:paraId="2AFD7333" w14:textId="77777777" w:rsidR="00345EE3" w:rsidRDefault="00345EE3" w:rsidP="00345EE3">
      <w:pPr>
        <w:spacing w:before="27"/>
        <w:ind w:left="110"/>
        <w:rPr>
          <w:rFonts w:ascii="Arial-BoldItalicMT"/>
          <w:b/>
          <w:i/>
          <w:sz w:val="14"/>
        </w:rPr>
      </w:pPr>
      <w:r>
        <w:rPr>
          <w:rFonts w:ascii="Arial-BoldItalicMT"/>
          <w:b/>
          <w:i/>
          <w:color w:val="231F20"/>
          <w:sz w:val="14"/>
        </w:rPr>
        <w:t>The</w:t>
      </w:r>
      <w:r>
        <w:rPr>
          <w:rFonts w:ascii="Arial-BoldItalicMT"/>
          <w:b/>
          <w:i/>
          <w:color w:val="231F20"/>
          <w:spacing w:val="1"/>
          <w:sz w:val="14"/>
        </w:rPr>
        <w:t xml:space="preserve"> </w:t>
      </w:r>
      <w:r>
        <w:rPr>
          <w:rFonts w:ascii="Arial-BoldItalicMT"/>
          <w:b/>
          <w:i/>
          <w:color w:val="231F20"/>
          <w:sz w:val="14"/>
        </w:rPr>
        <w:t>budget</w:t>
      </w:r>
      <w:r>
        <w:rPr>
          <w:rFonts w:ascii="Arial-BoldItalicMT"/>
          <w:b/>
          <w:i/>
          <w:color w:val="231F20"/>
          <w:spacing w:val="1"/>
          <w:sz w:val="14"/>
        </w:rPr>
        <w:t xml:space="preserve"> </w:t>
      </w:r>
      <w:r>
        <w:rPr>
          <w:rFonts w:ascii="Arial-BoldItalicMT"/>
          <w:b/>
          <w:i/>
          <w:color w:val="231F20"/>
          <w:sz w:val="14"/>
        </w:rPr>
        <w:t>portfolio</w:t>
      </w:r>
      <w:r>
        <w:rPr>
          <w:rFonts w:ascii="Arial-BoldItalicMT"/>
          <w:b/>
          <w:i/>
          <w:color w:val="231F20"/>
          <w:spacing w:val="1"/>
          <w:sz w:val="14"/>
        </w:rPr>
        <w:t xml:space="preserve"> </w:t>
      </w:r>
      <w:r>
        <w:rPr>
          <w:rFonts w:ascii="Arial-BoldItalicMT"/>
          <w:b/>
          <w:i/>
          <w:color w:val="231F20"/>
          <w:sz w:val="14"/>
        </w:rPr>
        <w:t>outcome</w:t>
      </w:r>
      <w:r>
        <w:rPr>
          <w:rFonts w:ascii="Arial-BoldItalicMT"/>
          <w:b/>
          <w:i/>
          <w:color w:val="231F20"/>
          <w:spacing w:val="1"/>
          <w:sz w:val="14"/>
        </w:rPr>
        <w:t xml:space="preserve"> </w:t>
      </w:r>
      <w:r>
        <w:rPr>
          <w:rFonts w:ascii="Arial-BoldItalicMT"/>
          <w:b/>
          <w:i/>
          <w:color w:val="231F20"/>
          <w:sz w:val="14"/>
        </w:rPr>
        <w:t>statements</w:t>
      </w:r>
      <w:r>
        <w:rPr>
          <w:rFonts w:ascii="Arial-BoldItalicMT"/>
          <w:b/>
          <w:i/>
          <w:color w:val="231F20"/>
          <w:spacing w:val="1"/>
          <w:sz w:val="14"/>
        </w:rPr>
        <w:t xml:space="preserve"> </w:t>
      </w:r>
      <w:r>
        <w:rPr>
          <w:rFonts w:ascii="Arial-BoldItalicMT"/>
          <w:b/>
          <w:i/>
          <w:color w:val="231F20"/>
          <w:sz w:val="14"/>
        </w:rPr>
        <w:t>are</w:t>
      </w:r>
      <w:r>
        <w:rPr>
          <w:rFonts w:ascii="Arial-BoldItalicMT"/>
          <w:b/>
          <w:i/>
          <w:color w:val="231F20"/>
          <w:spacing w:val="1"/>
          <w:sz w:val="14"/>
        </w:rPr>
        <w:t xml:space="preserve"> </w:t>
      </w:r>
      <w:r>
        <w:rPr>
          <w:rFonts w:ascii="Arial-BoldItalicMT"/>
          <w:b/>
          <w:i/>
          <w:color w:val="231F20"/>
          <w:sz w:val="14"/>
        </w:rPr>
        <w:t>not</w:t>
      </w:r>
      <w:r>
        <w:rPr>
          <w:rFonts w:ascii="Arial-BoldItalicMT"/>
          <w:b/>
          <w:i/>
          <w:color w:val="231F20"/>
          <w:spacing w:val="1"/>
          <w:sz w:val="14"/>
        </w:rPr>
        <w:t xml:space="preserve"> </w:t>
      </w:r>
      <w:r>
        <w:rPr>
          <w:rFonts w:ascii="Arial-BoldItalicMT"/>
          <w:b/>
          <w:i/>
          <w:color w:val="231F20"/>
          <w:sz w:val="14"/>
        </w:rPr>
        <w:t>prepared</w:t>
      </w:r>
      <w:r>
        <w:rPr>
          <w:rFonts w:ascii="Arial-BoldItalicMT"/>
          <w:b/>
          <w:i/>
          <w:color w:val="231F20"/>
          <w:spacing w:val="1"/>
          <w:sz w:val="14"/>
        </w:rPr>
        <w:t xml:space="preserve"> </w:t>
      </w:r>
      <w:r>
        <w:rPr>
          <w:rFonts w:ascii="Arial-BoldItalicMT"/>
          <w:b/>
          <w:i/>
          <w:color w:val="231F20"/>
          <w:sz w:val="14"/>
        </w:rPr>
        <w:t>on</w:t>
      </w:r>
      <w:r>
        <w:rPr>
          <w:rFonts w:ascii="Arial-BoldItalicMT"/>
          <w:b/>
          <w:i/>
          <w:color w:val="231F20"/>
          <w:spacing w:val="1"/>
          <w:sz w:val="14"/>
        </w:rPr>
        <w:t xml:space="preserve"> </w:t>
      </w:r>
      <w:r>
        <w:rPr>
          <w:rFonts w:ascii="Arial-BoldItalicMT"/>
          <w:b/>
          <w:i/>
          <w:color w:val="231F20"/>
          <w:sz w:val="14"/>
        </w:rPr>
        <w:t>the</w:t>
      </w:r>
      <w:r>
        <w:rPr>
          <w:rFonts w:ascii="Arial-BoldItalicMT"/>
          <w:b/>
          <w:i/>
          <w:color w:val="231F20"/>
          <w:spacing w:val="1"/>
          <w:sz w:val="14"/>
        </w:rPr>
        <w:t xml:space="preserve"> </w:t>
      </w:r>
      <w:r>
        <w:rPr>
          <w:rFonts w:ascii="Arial-BoldItalicMT"/>
          <w:b/>
          <w:i/>
          <w:color w:val="231F20"/>
          <w:sz w:val="14"/>
        </w:rPr>
        <w:t>same</w:t>
      </w:r>
      <w:r>
        <w:rPr>
          <w:rFonts w:ascii="Arial-BoldItalicMT"/>
          <w:b/>
          <w:i/>
          <w:color w:val="231F20"/>
          <w:spacing w:val="1"/>
          <w:sz w:val="14"/>
        </w:rPr>
        <w:t xml:space="preserve"> </w:t>
      </w:r>
      <w:r>
        <w:rPr>
          <w:rFonts w:ascii="Arial-BoldItalicMT"/>
          <w:b/>
          <w:i/>
          <w:color w:val="231F20"/>
          <w:sz w:val="14"/>
        </w:rPr>
        <w:t>basis</w:t>
      </w:r>
      <w:r>
        <w:rPr>
          <w:rFonts w:ascii="Arial-BoldItalicMT"/>
          <w:b/>
          <w:i/>
          <w:color w:val="231F20"/>
          <w:spacing w:val="1"/>
          <w:sz w:val="14"/>
        </w:rPr>
        <w:t xml:space="preserve"> </w:t>
      </w:r>
      <w:r>
        <w:rPr>
          <w:rFonts w:ascii="Arial-BoldItalicMT"/>
          <w:b/>
          <w:i/>
          <w:color w:val="231F20"/>
          <w:sz w:val="14"/>
        </w:rPr>
        <w:t>as</w:t>
      </w:r>
      <w:r>
        <w:rPr>
          <w:rFonts w:ascii="Arial-BoldItalicMT"/>
          <w:b/>
          <w:i/>
          <w:color w:val="231F20"/>
          <w:spacing w:val="2"/>
          <w:sz w:val="14"/>
        </w:rPr>
        <w:t xml:space="preserve"> </w:t>
      </w:r>
      <w:r>
        <w:rPr>
          <w:rFonts w:ascii="Arial-BoldItalicMT"/>
          <w:b/>
          <w:i/>
          <w:color w:val="231F20"/>
          <w:sz w:val="14"/>
        </w:rPr>
        <w:t>the</w:t>
      </w:r>
      <w:r>
        <w:rPr>
          <w:rFonts w:ascii="Arial-BoldItalicMT"/>
          <w:b/>
          <w:i/>
          <w:color w:val="231F20"/>
          <w:spacing w:val="1"/>
          <w:sz w:val="14"/>
        </w:rPr>
        <w:t xml:space="preserve"> </w:t>
      </w:r>
      <w:r>
        <w:rPr>
          <w:rFonts w:ascii="Arial-BoldItalicMT"/>
          <w:b/>
          <w:i/>
          <w:color w:val="231F20"/>
          <w:sz w:val="14"/>
        </w:rPr>
        <w:t>Annual</w:t>
      </w:r>
      <w:r>
        <w:rPr>
          <w:rFonts w:ascii="Arial-BoldItalicMT"/>
          <w:b/>
          <w:i/>
          <w:color w:val="231F20"/>
          <w:spacing w:val="1"/>
          <w:sz w:val="14"/>
        </w:rPr>
        <w:t xml:space="preserve"> </w:t>
      </w:r>
      <w:r>
        <w:rPr>
          <w:rFonts w:ascii="Arial-BoldItalicMT"/>
          <w:b/>
          <w:i/>
          <w:color w:val="231F20"/>
          <w:sz w:val="14"/>
        </w:rPr>
        <w:t>Financial</w:t>
      </w:r>
      <w:r>
        <w:rPr>
          <w:rFonts w:ascii="Arial-BoldItalicMT"/>
          <w:b/>
          <w:i/>
          <w:color w:val="231F20"/>
          <w:spacing w:val="1"/>
          <w:sz w:val="14"/>
        </w:rPr>
        <w:t xml:space="preserve"> </w:t>
      </w:r>
      <w:r>
        <w:rPr>
          <w:rFonts w:ascii="Arial-BoldItalicMT"/>
          <w:b/>
          <w:i/>
          <w:color w:val="231F20"/>
          <w:sz w:val="14"/>
        </w:rPr>
        <w:t>Statements</w:t>
      </w:r>
      <w:r>
        <w:rPr>
          <w:rFonts w:ascii="Arial-BoldItalicMT"/>
          <w:b/>
          <w:i/>
          <w:color w:val="231F20"/>
          <w:spacing w:val="1"/>
          <w:sz w:val="14"/>
        </w:rPr>
        <w:t xml:space="preserve"> </w:t>
      </w:r>
      <w:r>
        <w:rPr>
          <w:rFonts w:ascii="Arial-BoldItalicMT"/>
          <w:b/>
          <w:i/>
          <w:color w:val="231F20"/>
          <w:sz w:val="14"/>
        </w:rPr>
        <w:t>due</w:t>
      </w:r>
      <w:r>
        <w:rPr>
          <w:rFonts w:ascii="Arial-BoldItalicMT"/>
          <w:b/>
          <w:i/>
          <w:color w:val="231F20"/>
          <w:spacing w:val="1"/>
          <w:sz w:val="14"/>
        </w:rPr>
        <w:t xml:space="preserve"> </w:t>
      </w:r>
      <w:r>
        <w:rPr>
          <w:rFonts w:ascii="Arial-BoldItalicMT"/>
          <w:b/>
          <w:i/>
          <w:color w:val="231F20"/>
          <w:sz w:val="14"/>
        </w:rPr>
        <w:t>to</w:t>
      </w:r>
      <w:r>
        <w:rPr>
          <w:rFonts w:ascii="Arial-BoldItalicMT"/>
          <w:b/>
          <w:i/>
          <w:color w:val="231F20"/>
          <w:spacing w:val="1"/>
          <w:sz w:val="14"/>
        </w:rPr>
        <w:t xml:space="preserve"> </w:t>
      </w:r>
      <w:r>
        <w:rPr>
          <w:rFonts w:ascii="Arial-BoldItalicMT"/>
          <w:b/>
          <w:i/>
          <w:color w:val="231F20"/>
          <w:sz w:val="14"/>
        </w:rPr>
        <w:t>differences</w:t>
      </w:r>
      <w:r>
        <w:rPr>
          <w:rFonts w:ascii="Arial-BoldItalicMT"/>
          <w:b/>
          <w:i/>
          <w:color w:val="231F20"/>
          <w:spacing w:val="1"/>
          <w:sz w:val="14"/>
        </w:rPr>
        <w:t xml:space="preserve"> </w:t>
      </w:r>
      <w:r>
        <w:rPr>
          <w:rFonts w:ascii="Arial-BoldItalicMT"/>
          <w:b/>
          <w:i/>
          <w:color w:val="231F20"/>
          <w:sz w:val="14"/>
        </w:rPr>
        <w:t>in</w:t>
      </w:r>
      <w:r>
        <w:rPr>
          <w:rFonts w:ascii="Arial-BoldItalicMT"/>
          <w:b/>
          <w:i/>
          <w:color w:val="231F20"/>
          <w:spacing w:val="1"/>
          <w:sz w:val="14"/>
        </w:rPr>
        <w:t xml:space="preserve"> </w:t>
      </w:r>
      <w:r>
        <w:rPr>
          <w:rFonts w:ascii="Arial-BoldItalicMT"/>
          <w:b/>
          <w:i/>
          <w:color w:val="231F20"/>
          <w:sz w:val="14"/>
        </w:rPr>
        <w:t>the</w:t>
      </w:r>
      <w:r>
        <w:rPr>
          <w:rFonts w:ascii="Arial-BoldItalicMT"/>
          <w:b/>
          <w:i/>
          <w:color w:val="231F20"/>
          <w:spacing w:val="1"/>
          <w:sz w:val="14"/>
        </w:rPr>
        <w:t xml:space="preserve"> </w:t>
      </w:r>
      <w:r>
        <w:rPr>
          <w:rFonts w:ascii="Arial-BoldItalicMT"/>
          <w:b/>
          <w:i/>
          <w:color w:val="231F20"/>
          <w:sz w:val="14"/>
        </w:rPr>
        <w:t>mapping</w:t>
      </w:r>
      <w:r>
        <w:rPr>
          <w:rFonts w:ascii="Arial-BoldItalicMT"/>
          <w:b/>
          <w:i/>
          <w:color w:val="231F20"/>
          <w:spacing w:val="1"/>
          <w:sz w:val="14"/>
        </w:rPr>
        <w:t xml:space="preserve"> </w:t>
      </w:r>
      <w:r>
        <w:rPr>
          <w:rFonts w:ascii="Arial-BoldItalicMT"/>
          <w:b/>
          <w:i/>
          <w:color w:val="231F20"/>
          <w:sz w:val="14"/>
        </w:rPr>
        <w:t>between</w:t>
      </w:r>
      <w:r>
        <w:rPr>
          <w:rFonts w:ascii="Arial-BoldItalicMT"/>
          <w:b/>
          <w:i/>
          <w:color w:val="231F20"/>
          <w:spacing w:val="1"/>
          <w:sz w:val="14"/>
        </w:rPr>
        <w:t xml:space="preserve"> </w:t>
      </w:r>
      <w:r>
        <w:rPr>
          <w:rFonts w:ascii="Arial-BoldItalicMT"/>
          <w:b/>
          <w:i/>
          <w:color w:val="231F20"/>
          <w:sz w:val="14"/>
        </w:rPr>
        <w:t>Actuals</w:t>
      </w:r>
      <w:r>
        <w:rPr>
          <w:rFonts w:ascii="Arial-BoldItalicMT"/>
          <w:b/>
          <w:i/>
          <w:color w:val="231F20"/>
          <w:spacing w:val="1"/>
          <w:sz w:val="14"/>
        </w:rPr>
        <w:t xml:space="preserve"> </w:t>
      </w:r>
      <w:r>
        <w:rPr>
          <w:rFonts w:ascii="Arial-BoldItalicMT"/>
          <w:b/>
          <w:i/>
          <w:color w:val="231F20"/>
          <w:sz w:val="14"/>
        </w:rPr>
        <w:t>and</w:t>
      </w:r>
      <w:r>
        <w:rPr>
          <w:rFonts w:ascii="Arial-BoldItalicMT"/>
          <w:b/>
          <w:i/>
          <w:color w:val="231F20"/>
          <w:spacing w:val="2"/>
          <w:sz w:val="14"/>
        </w:rPr>
        <w:t xml:space="preserve"> </w:t>
      </w:r>
      <w:r>
        <w:rPr>
          <w:rFonts w:ascii="Arial-BoldItalicMT"/>
          <w:b/>
          <w:i/>
          <w:color w:val="231F20"/>
          <w:spacing w:val="-2"/>
          <w:sz w:val="14"/>
        </w:rPr>
        <w:t>Budget.</w:t>
      </w:r>
    </w:p>
    <w:p w14:paraId="58393D33" w14:textId="77777777" w:rsidR="00345EE3" w:rsidRDefault="00345EE3">
      <w:pPr>
        <w:pStyle w:val="ListParagraph"/>
        <w:numPr>
          <w:ilvl w:val="0"/>
          <w:numId w:val="4"/>
        </w:numPr>
        <w:tabs>
          <w:tab w:val="left" w:pos="338"/>
        </w:tabs>
        <w:spacing w:before="27"/>
        <w:ind w:right="897"/>
        <w:rPr>
          <w:rFonts w:ascii="Arial-BoldItalicMT"/>
          <w:b/>
          <w:i/>
          <w:sz w:val="14"/>
        </w:rPr>
      </w:pPr>
      <w:r>
        <w:rPr>
          <w:rFonts w:ascii="Arial-BoldItalicMT"/>
          <w:b/>
          <w:i/>
          <w:color w:val="231F20"/>
          <w:sz w:val="14"/>
        </w:rPr>
        <w:t>Actual Output Appropriation is greater than budget primarily due to support provided for Victoria Police operations, supplementation for costs associated with the COVID-19 response and Victoria Police system</w:t>
      </w:r>
      <w:r>
        <w:rPr>
          <w:rFonts w:ascii="Arial-BoldItalicMT"/>
          <w:b/>
          <w:i/>
          <w:color w:val="231F20"/>
          <w:spacing w:val="40"/>
          <w:sz w:val="14"/>
        </w:rPr>
        <w:t xml:space="preserve"> </w:t>
      </w:r>
      <w:r>
        <w:rPr>
          <w:rFonts w:ascii="Arial-BoldItalicMT"/>
          <w:b/>
          <w:i/>
          <w:color w:val="231F20"/>
          <w:sz w:val="14"/>
        </w:rPr>
        <w:t>enhancements and resources.</w:t>
      </w:r>
    </w:p>
    <w:p w14:paraId="26EDA6EB" w14:textId="77777777" w:rsidR="00345EE3" w:rsidRDefault="00345EE3">
      <w:pPr>
        <w:pStyle w:val="ListParagraph"/>
        <w:numPr>
          <w:ilvl w:val="0"/>
          <w:numId w:val="4"/>
        </w:numPr>
        <w:tabs>
          <w:tab w:val="left" w:pos="338"/>
        </w:tabs>
        <w:spacing w:before="27"/>
        <w:ind w:right="764"/>
        <w:rPr>
          <w:rFonts w:ascii="Arial-BoldItalicMT" w:hAnsi="Arial-BoldItalicMT"/>
          <w:b/>
          <w:i/>
          <w:sz w:val="14"/>
        </w:rPr>
      </w:pPr>
      <w:r>
        <w:rPr>
          <w:rFonts w:ascii="Arial-BoldItalicMT" w:hAnsi="Arial-BoldItalicMT"/>
          <w:b/>
          <w:i/>
          <w:color w:val="231F20"/>
          <w:sz w:val="14"/>
        </w:rPr>
        <w:t>Actual employee expenditure is greater than budget due to support for the Community Safety Statement program, increments in the Enterprise Bargaining Agreements (EBA’s), WorkCover costs and the additional</w:t>
      </w:r>
      <w:r>
        <w:rPr>
          <w:rFonts w:ascii="Arial-BoldItalicMT" w:hAnsi="Arial-BoldItalicMT"/>
          <w:b/>
          <w:i/>
          <w:color w:val="231F20"/>
          <w:spacing w:val="40"/>
          <w:sz w:val="14"/>
        </w:rPr>
        <w:t xml:space="preserve"> </w:t>
      </w:r>
      <w:r>
        <w:rPr>
          <w:rFonts w:ascii="Arial-BoldItalicMT" w:hAnsi="Arial-BoldItalicMT"/>
          <w:b/>
          <w:i/>
          <w:color w:val="231F20"/>
          <w:sz w:val="14"/>
        </w:rPr>
        <w:t>expenditure incurred in responding to the COVID-19 pandemic.</w:t>
      </w:r>
    </w:p>
    <w:p w14:paraId="0629539A" w14:textId="77777777" w:rsidR="00345EE3" w:rsidRDefault="00345EE3">
      <w:pPr>
        <w:pStyle w:val="ListParagraph"/>
        <w:numPr>
          <w:ilvl w:val="0"/>
          <w:numId w:val="4"/>
        </w:numPr>
        <w:tabs>
          <w:tab w:val="left" w:pos="338"/>
        </w:tabs>
        <w:spacing w:before="26"/>
        <w:ind w:hanging="228"/>
        <w:rPr>
          <w:rFonts w:ascii="Arial-BoldItalicMT"/>
          <w:b/>
          <w:i/>
          <w:sz w:val="14"/>
        </w:rPr>
      </w:pPr>
      <w:r>
        <w:rPr>
          <w:rFonts w:ascii="Arial-BoldItalicMT"/>
          <w:b/>
          <w:i/>
          <w:color w:val="231F20"/>
          <w:sz w:val="14"/>
        </w:rPr>
        <w:t>The</w:t>
      </w:r>
      <w:r>
        <w:rPr>
          <w:rFonts w:ascii="Arial-BoldItalicMT"/>
          <w:b/>
          <w:i/>
          <w:color w:val="231F20"/>
          <w:spacing w:val="-1"/>
          <w:sz w:val="14"/>
        </w:rPr>
        <w:t xml:space="preserve"> </w:t>
      </w:r>
      <w:r>
        <w:rPr>
          <w:rFonts w:ascii="Arial-BoldItalicMT"/>
          <w:b/>
          <w:i/>
          <w:color w:val="231F20"/>
          <w:sz w:val="14"/>
        </w:rPr>
        <w:t>net gain</w:t>
      </w:r>
      <w:r>
        <w:rPr>
          <w:rFonts w:ascii="Arial-BoldItalicMT"/>
          <w:b/>
          <w:i/>
          <w:color w:val="231F20"/>
          <w:spacing w:val="-1"/>
          <w:sz w:val="14"/>
        </w:rPr>
        <w:t xml:space="preserve"> </w:t>
      </w:r>
      <w:r>
        <w:rPr>
          <w:rFonts w:ascii="Arial-BoldItalicMT"/>
          <w:b/>
          <w:i/>
          <w:color w:val="231F20"/>
          <w:sz w:val="14"/>
        </w:rPr>
        <w:t>is primarily the</w:t>
      </w:r>
      <w:r>
        <w:rPr>
          <w:rFonts w:ascii="Arial-BoldItalicMT"/>
          <w:b/>
          <w:i/>
          <w:color w:val="231F20"/>
          <w:spacing w:val="-1"/>
          <w:sz w:val="14"/>
        </w:rPr>
        <w:t xml:space="preserve"> </w:t>
      </w:r>
      <w:r>
        <w:rPr>
          <w:rFonts w:ascii="Arial-BoldItalicMT"/>
          <w:b/>
          <w:i/>
          <w:color w:val="231F20"/>
          <w:sz w:val="14"/>
        </w:rPr>
        <w:t>result in the</w:t>
      </w:r>
      <w:r>
        <w:rPr>
          <w:rFonts w:ascii="Arial-BoldItalicMT"/>
          <w:b/>
          <w:i/>
          <w:color w:val="231F20"/>
          <w:spacing w:val="-1"/>
          <w:sz w:val="14"/>
        </w:rPr>
        <w:t xml:space="preserve"> </w:t>
      </w:r>
      <w:r>
        <w:rPr>
          <w:rFonts w:ascii="Arial-BoldItalicMT"/>
          <w:b/>
          <w:i/>
          <w:color w:val="231F20"/>
          <w:sz w:val="14"/>
        </w:rPr>
        <w:t>increase in the</w:t>
      </w:r>
      <w:r>
        <w:rPr>
          <w:rFonts w:ascii="Arial-BoldItalicMT"/>
          <w:b/>
          <w:i/>
          <w:color w:val="231F20"/>
          <w:spacing w:val="-1"/>
          <w:sz w:val="14"/>
        </w:rPr>
        <w:t xml:space="preserve"> </w:t>
      </w:r>
      <w:r>
        <w:rPr>
          <w:rFonts w:ascii="Arial-BoldItalicMT"/>
          <w:b/>
          <w:i/>
          <w:color w:val="231F20"/>
          <w:sz w:val="14"/>
        </w:rPr>
        <w:t xml:space="preserve">Treasury bond </w:t>
      </w:r>
      <w:r>
        <w:rPr>
          <w:rFonts w:ascii="Arial-BoldItalicMT"/>
          <w:b/>
          <w:i/>
          <w:color w:val="231F20"/>
          <w:spacing w:val="-4"/>
          <w:sz w:val="14"/>
        </w:rPr>
        <w:t>rate.</w:t>
      </w:r>
    </w:p>
    <w:p w14:paraId="7A78E055" w14:textId="77777777" w:rsidR="00345EE3" w:rsidRDefault="00345EE3" w:rsidP="00345EE3">
      <w:pPr>
        <w:pStyle w:val="BodyText"/>
        <w:spacing w:before="3"/>
        <w:rPr>
          <w:rFonts w:ascii="Arial-BoldItalicMT"/>
          <w:b/>
          <w:i/>
          <w:sz w:val="14"/>
        </w:rPr>
      </w:pPr>
    </w:p>
    <w:p w14:paraId="0A430F39" w14:textId="77777777" w:rsidR="00345EE3" w:rsidRDefault="00345EE3" w:rsidP="00345EE3">
      <w:pPr>
        <w:spacing w:after="60"/>
        <w:ind w:left="110"/>
      </w:pPr>
      <w:r>
        <w:rPr>
          <w:color w:val="231F20"/>
        </w:rPr>
        <w:t>Balance</w:t>
      </w:r>
      <w:r>
        <w:rPr>
          <w:color w:val="231F20"/>
          <w:spacing w:val="-1"/>
        </w:rPr>
        <w:t xml:space="preserve"> </w:t>
      </w:r>
      <w:r>
        <w:rPr>
          <w:color w:val="231F20"/>
        </w:rPr>
        <w:t>Sheet as</w:t>
      </w:r>
      <w:r>
        <w:rPr>
          <w:color w:val="231F20"/>
          <w:spacing w:val="-2"/>
        </w:rPr>
        <w:t xml:space="preserve"> </w:t>
      </w:r>
      <w:r>
        <w:rPr>
          <w:color w:val="231F20"/>
        </w:rPr>
        <w:t>at</w:t>
      </w:r>
      <w:r>
        <w:rPr>
          <w:color w:val="231F20"/>
          <w:spacing w:val="-1"/>
        </w:rPr>
        <w:t xml:space="preserve"> </w:t>
      </w:r>
      <w:r>
        <w:rPr>
          <w:color w:val="231F20"/>
        </w:rPr>
        <w:t>30</w:t>
      </w:r>
      <w:r>
        <w:rPr>
          <w:color w:val="231F20"/>
          <w:spacing w:val="-2"/>
        </w:rPr>
        <w:t xml:space="preserve"> </w:t>
      </w:r>
      <w:r>
        <w:rPr>
          <w:color w:val="231F20"/>
        </w:rPr>
        <w:t xml:space="preserve">June </w:t>
      </w:r>
      <w:r>
        <w:rPr>
          <w:color w:val="231F20"/>
          <w:spacing w:val="-4"/>
        </w:rPr>
        <w:t>2022</w:t>
      </w: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18"/>
      </w:tblGrid>
      <w:tr w:rsidR="00345EE3" w14:paraId="2AB89889" w14:textId="77777777" w:rsidTr="00D73130">
        <w:trPr>
          <w:trHeight w:val="685"/>
        </w:trPr>
        <w:tc>
          <w:tcPr>
            <w:tcW w:w="9468" w:type="dxa"/>
            <w:tcBorders>
              <w:top w:val="nil"/>
              <w:left w:val="nil"/>
              <w:bottom w:val="nil"/>
              <w:right w:val="nil"/>
            </w:tcBorders>
            <w:shd w:val="clear" w:color="auto" w:fill="00529F"/>
          </w:tcPr>
          <w:p w14:paraId="49ABB860" w14:textId="77777777" w:rsidR="00345EE3" w:rsidRDefault="00345EE3" w:rsidP="00D73130">
            <w:pPr>
              <w:pStyle w:val="TableParagraph"/>
              <w:spacing w:before="0"/>
              <w:jc w:val="left"/>
              <w:rPr>
                <w:rFonts w:ascii="Times New Roman"/>
                <w:sz w:val="18"/>
              </w:rPr>
            </w:pPr>
          </w:p>
        </w:tc>
        <w:tc>
          <w:tcPr>
            <w:tcW w:w="1418" w:type="dxa"/>
            <w:tcBorders>
              <w:top w:val="nil"/>
              <w:left w:val="nil"/>
              <w:bottom w:val="nil"/>
              <w:right w:val="nil"/>
            </w:tcBorders>
            <w:shd w:val="clear" w:color="auto" w:fill="00529F"/>
          </w:tcPr>
          <w:p w14:paraId="5BCD1D54" w14:textId="77777777" w:rsidR="00345EE3" w:rsidRDefault="00345EE3" w:rsidP="00D73130">
            <w:pPr>
              <w:pStyle w:val="TableParagraph"/>
              <w:spacing w:before="63"/>
              <w:ind w:right="4"/>
              <w:rPr>
                <w:b/>
                <w:sz w:val="24"/>
              </w:rPr>
            </w:pPr>
            <w:r>
              <w:rPr>
                <w:b/>
                <w:color w:val="FFFFFF"/>
                <w:spacing w:val="-2"/>
                <w:sz w:val="24"/>
              </w:rPr>
              <w:t>Actual</w:t>
            </w:r>
          </w:p>
        </w:tc>
        <w:tc>
          <w:tcPr>
            <w:tcW w:w="1418" w:type="dxa"/>
            <w:tcBorders>
              <w:top w:val="nil"/>
              <w:left w:val="nil"/>
              <w:bottom w:val="nil"/>
              <w:right w:val="nil"/>
            </w:tcBorders>
            <w:shd w:val="clear" w:color="auto" w:fill="00529F"/>
          </w:tcPr>
          <w:p w14:paraId="66EB1347" w14:textId="77777777" w:rsidR="00345EE3" w:rsidRDefault="00345EE3" w:rsidP="00D73130">
            <w:pPr>
              <w:pStyle w:val="TableParagraph"/>
              <w:spacing w:before="63" w:line="242" w:lineRule="auto"/>
              <w:ind w:left="599" w:hanging="76"/>
              <w:jc w:val="left"/>
              <w:rPr>
                <w:b/>
                <w:sz w:val="24"/>
              </w:rPr>
            </w:pPr>
            <w:r>
              <w:rPr>
                <w:b/>
                <w:color w:val="FFFFFF"/>
                <w:spacing w:val="-4"/>
                <w:sz w:val="24"/>
              </w:rPr>
              <w:t xml:space="preserve">Original </w:t>
            </w:r>
            <w:r>
              <w:rPr>
                <w:b/>
                <w:color w:val="FFFFFF"/>
                <w:spacing w:val="-5"/>
                <w:sz w:val="24"/>
              </w:rPr>
              <w:t>Budget</w:t>
            </w:r>
          </w:p>
        </w:tc>
        <w:tc>
          <w:tcPr>
            <w:tcW w:w="1418" w:type="dxa"/>
            <w:tcBorders>
              <w:top w:val="nil"/>
              <w:left w:val="nil"/>
              <w:bottom w:val="nil"/>
              <w:right w:val="nil"/>
            </w:tcBorders>
            <w:shd w:val="clear" w:color="auto" w:fill="00529F"/>
          </w:tcPr>
          <w:p w14:paraId="634F7CFB" w14:textId="77777777" w:rsidR="00345EE3" w:rsidRDefault="00345EE3" w:rsidP="00D73130">
            <w:pPr>
              <w:pStyle w:val="TableParagraph"/>
              <w:spacing w:before="63"/>
              <w:ind w:right="5"/>
              <w:rPr>
                <w:b/>
                <w:sz w:val="24"/>
              </w:rPr>
            </w:pPr>
            <w:r>
              <w:rPr>
                <w:b/>
                <w:color w:val="FFFFFF"/>
                <w:spacing w:val="-2"/>
                <w:sz w:val="24"/>
              </w:rPr>
              <w:t>Variance</w:t>
            </w:r>
          </w:p>
        </w:tc>
        <w:tc>
          <w:tcPr>
            <w:tcW w:w="1418" w:type="dxa"/>
            <w:tcBorders>
              <w:top w:val="nil"/>
              <w:left w:val="nil"/>
              <w:bottom w:val="nil"/>
              <w:right w:val="nil"/>
            </w:tcBorders>
            <w:shd w:val="clear" w:color="auto" w:fill="00529F"/>
          </w:tcPr>
          <w:p w14:paraId="7B7AA27D" w14:textId="77777777" w:rsidR="00345EE3" w:rsidRDefault="00345EE3" w:rsidP="00D73130">
            <w:pPr>
              <w:pStyle w:val="TableParagraph"/>
              <w:spacing w:before="63"/>
              <w:ind w:right="4"/>
              <w:rPr>
                <w:b/>
                <w:sz w:val="24"/>
              </w:rPr>
            </w:pPr>
            <w:r>
              <w:rPr>
                <w:b/>
                <w:color w:val="FFFFFF"/>
                <w:spacing w:val="-2"/>
                <w:sz w:val="24"/>
              </w:rPr>
              <w:t>Variance</w:t>
            </w:r>
          </w:p>
        </w:tc>
      </w:tr>
      <w:tr w:rsidR="00345EE3" w14:paraId="78F00069" w14:textId="77777777" w:rsidTr="00D73130">
        <w:trPr>
          <w:trHeight w:val="397"/>
        </w:trPr>
        <w:tc>
          <w:tcPr>
            <w:tcW w:w="9468" w:type="dxa"/>
            <w:tcBorders>
              <w:top w:val="nil"/>
              <w:left w:val="nil"/>
              <w:bottom w:val="nil"/>
              <w:right w:val="nil"/>
            </w:tcBorders>
            <w:shd w:val="clear" w:color="auto" w:fill="00529F"/>
          </w:tcPr>
          <w:p w14:paraId="06C094D1" w14:textId="77777777" w:rsidR="00345EE3" w:rsidRDefault="00345EE3" w:rsidP="00D73130">
            <w:pPr>
              <w:pStyle w:val="TableParagraph"/>
              <w:spacing w:before="0"/>
              <w:jc w:val="left"/>
              <w:rPr>
                <w:rFonts w:ascii="Times New Roman"/>
                <w:sz w:val="18"/>
              </w:rPr>
            </w:pPr>
          </w:p>
        </w:tc>
        <w:tc>
          <w:tcPr>
            <w:tcW w:w="1418" w:type="dxa"/>
            <w:tcBorders>
              <w:top w:val="nil"/>
              <w:left w:val="nil"/>
              <w:bottom w:val="nil"/>
              <w:right w:val="nil"/>
            </w:tcBorders>
            <w:shd w:val="clear" w:color="auto" w:fill="00529F"/>
          </w:tcPr>
          <w:p w14:paraId="2519CF9F" w14:textId="77777777" w:rsidR="00345EE3" w:rsidRDefault="00345EE3" w:rsidP="00D73130">
            <w:pPr>
              <w:pStyle w:val="TableParagraph"/>
              <w:spacing w:before="59"/>
              <w:ind w:right="4"/>
              <w:rPr>
                <w:b/>
                <w:sz w:val="24"/>
              </w:rPr>
            </w:pPr>
            <w:r>
              <w:rPr>
                <w:b/>
                <w:color w:val="FFFFFF"/>
                <w:spacing w:val="-2"/>
                <w:sz w:val="24"/>
              </w:rPr>
              <w:t>$’000</w:t>
            </w:r>
          </w:p>
        </w:tc>
        <w:tc>
          <w:tcPr>
            <w:tcW w:w="1418" w:type="dxa"/>
            <w:tcBorders>
              <w:top w:val="nil"/>
              <w:left w:val="nil"/>
              <w:bottom w:val="nil"/>
              <w:right w:val="nil"/>
            </w:tcBorders>
            <w:shd w:val="clear" w:color="auto" w:fill="00529F"/>
          </w:tcPr>
          <w:p w14:paraId="6A3EDB5A" w14:textId="77777777" w:rsidR="00345EE3" w:rsidRDefault="00345EE3" w:rsidP="00D73130">
            <w:pPr>
              <w:pStyle w:val="TableParagraph"/>
              <w:spacing w:before="59"/>
              <w:ind w:right="4"/>
              <w:rPr>
                <w:b/>
                <w:sz w:val="24"/>
              </w:rPr>
            </w:pPr>
            <w:r>
              <w:rPr>
                <w:b/>
                <w:color w:val="FFFFFF"/>
                <w:spacing w:val="-2"/>
                <w:sz w:val="24"/>
              </w:rPr>
              <w:t>$’000</w:t>
            </w:r>
          </w:p>
        </w:tc>
        <w:tc>
          <w:tcPr>
            <w:tcW w:w="1418" w:type="dxa"/>
            <w:tcBorders>
              <w:top w:val="nil"/>
              <w:left w:val="nil"/>
              <w:bottom w:val="nil"/>
              <w:right w:val="nil"/>
            </w:tcBorders>
            <w:shd w:val="clear" w:color="auto" w:fill="00529F"/>
          </w:tcPr>
          <w:p w14:paraId="08720EAC" w14:textId="77777777" w:rsidR="00345EE3" w:rsidRDefault="00345EE3" w:rsidP="00D73130">
            <w:pPr>
              <w:pStyle w:val="TableParagraph"/>
              <w:spacing w:before="59"/>
              <w:ind w:right="5"/>
              <w:rPr>
                <w:b/>
                <w:sz w:val="24"/>
              </w:rPr>
            </w:pPr>
            <w:r>
              <w:rPr>
                <w:b/>
                <w:color w:val="FFFFFF"/>
                <w:spacing w:val="-2"/>
                <w:sz w:val="24"/>
              </w:rPr>
              <w:t>$’000</w:t>
            </w:r>
          </w:p>
        </w:tc>
        <w:tc>
          <w:tcPr>
            <w:tcW w:w="1418" w:type="dxa"/>
            <w:tcBorders>
              <w:top w:val="nil"/>
              <w:left w:val="nil"/>
              <w:bottom w:val="nil"/>
              <w:right w:val="nil"/>
            </w:tcBorders>
            <w:shd w:val="clear" w:color="auto" w:fill="00529F"/>
          </w:tcPr>
          <w:p w14:paraId="1AA9A372" w14:textId="77777777" w:rsidR="00345EE3" w:rsidRDefault="00345EE3" w:rsidP="00D73130">
            <w:pPr>
              <w:pStyle w:val="TableParagraph"/>
              <w:spacing w:before="59"/>
              <w:rPr>
                <w:b/>
                <w:sz w:val="24"/>
              </w:rPr>
            </w:pPr>
            <w:r>
              <w:rPr>
                <w:b/>
                <w:color w:val="FFFFFF"/>
                <w:sz w:val="24"/>
              </w:rPr>
              <w:t>%</w:t>
            </w:r>
          </w:p>
        </w:tc>
      </w:tr>
      <w:tr w:rsidR="00345EE3" w14:paraId="5D38B033" w14:textId="77777777" w:rsidTr="00D73130">
        <w:trPr>
          <w:trHeight w:val="396"/>
        </w:trPr>
        <w:tc>
          <w:tcPr>
            <w:tcW w:w="15140" w:type="dxa"/>
            <w:gridSpan w:val="5"/>
            <w:tcBorders>
              <w:top w:val="nil"/>
              <w:left w:val="nil"/>
              <w:right w:val="nil"/>
            </w:tcBorders>
            <w:shd w:val="clear" w:color="auto" w:fill="D1D3D4"/>
          </w:tcPr>
          <w:p w14:paraId="2A4CBE99" w14:textId="77777777" w:rsidR="00345EE3" w:rsidRDefault="00345EE3" w:rsidP="00D73130">
            <w:pPr>
              <w:pStyle w:val="TableParagraph"/>
              <w:ind w:left="-1"/>
              <w:jc w:val="left"/>
              <w:rPr>
                <w:b/>
                <w:sz w:val="24"/>
              </w:rPr>
            </w:pPr>
            <w:r>
              <w:rPr>
                <w:b/>
                <w:color w:val="231F20"/>
                <w:spacing w:val="-2"/>
                <w:sz w:val="24"/>
              </w:rPr>
              <w:t>Assets</w:t>
            </w:r>
          </w:p>
        </w:tc>
      </w:tr>
      <w:tr w:rsidR="00345EE3" w14:paraId="34C61B8E" w14:textId="77777777" w:rsidTr="00D73130">
        <w:trPr>
          <w:trHeight w:val="396"/>
        </w:trPr>
        <w:tc>
          <w:tcPr>
            <w:tcW w:w="9468" w:type="dxa"/>
            <w:tcBorders>
              <w:left w:val="nil"/>
            </w:tcBorders>
          </w:tcPr>
          <w:p w14:paraId="62CC6C57" w14:textId="77777777" w:rsidR="00345EE3" w:rsidRDefault="00345EE3" w:rsidP="00D73130">
            <w:pPr>
              <w:pStyle w:val="TableParagraph"/>
              <w:ind w:left="-3"/>
              <w:jc w:val="left"/>
              <w:rPr>
                <w:b/>
                <w:sz w:val="24"/>
              </w:rPr>
            </w:pPr>
            <w:r>
              <w:rPr>
                <w:b/>
                <w:color w:val="231F20"/>
                <w:sz w:val="24"/>
              </w:rPr>
              <w:t>Financial</w:t>
            </w:r>
            <w:r>
              <w:rPr>
                <w:b/>
                <w:color w:val="231F20"/>
                <w:spacing w:val="-9"/>
                <w:sz w:val="24"/>
              </w:rPr>
              <w:t xml:space="preserve"> </w:t>
            </w:r>
            <w:r>
              <w:rPr>
                <w:b/>
                <w:color w:val="231F20"/>
                <w:spacing w:val="-2"/>
                <w:sz w:val="24"/>
              </w:rPr>
              <w:t>Assets</w:t>
            </w:r>
          </w:p>
        </w:tc>
        <w:tc>
          <w:tcPr>
            <w:tcW w:w="1418" w:type="dxa"/>
            <w:shd w:val="clear" w:color="auto" w:fill="E6E7E8"/>
          </w:tcPr>
          <w:p w14:paraId="57654150" w14:textId="77777777" w:rsidR="00345EE3" w:rsidRDefault="00345EE3" w:rsidP="00D73130">
            <w:pPr>
              <w:pStyle w:val="TableParagraph"/>
              <w:spacing w:before="0"/>
              <w:jc w:val="left"/>
              <w:rPr>
                <w:rFonts w:ascii="Times New Roman"/>
                <w:sz w:val="18"/>
              </w:rPr>
            </w:pPr>
          </w:p>
        </w:tc>
        <w:tc>
          <w:tcPr>
            <w:tcW w:w="1418" w:type="dxa"/>
          </w:tcPr>
          <w:p w14:paraId="62876FA1" w14:textId="77777777" w:rsidR="00345EE3" w:rsidRDefault="00345EE3" w:rsidP="00D73130">
            <w:pPr>
              <w:pStyle w:val="TableParagraph"/>
              <w:spacing w:before="0"/>
              <w:jc w:val="left"/>
              <w:rPr>
                <w:rFonts w:ascii="Times New Roman"/>
                <w:sz w:val="18"/>
              </w:rPr>
            </w:pPr>
          </w:p>
        </w:tc>
        <w:tc>
          <w:tcPr>
            <w:tcW w:w="1418" w:type="dxa"/>
          </w:tcPr>
          <w:p w14:paraId="00D25DF7" w14:textId="77777777" w:rsidR="00345EE3" w:rsidRDefault="00345EE3" w:rsidP="00D73130">
            <w:pPr>
              <w:pStyle w:val="TableParagraph"/>
              <w:spacing w:before="0"/>
              <w:jc w:val="left"/>
              <w:rPr>
                <w:rFonts w:ascii="Times New Roman"/>
                <w:sz w:val="18"/>
              </w:rPr>
            </w:pPr>
          </w:p>
        </w:tc>
        <w:tc>
          <w:tcPr>
            <w:tcW w:w="1418" w:type="dxa"/>
            <w:tcBorders>
              <w:right w:val="nil"/>
            </w:tcBorders>
          </w:tcPr>
          <w:p w14:paraId="216B847B" w14:textId="77777777" w:rsidR="00345EE3" w:rsidRDefault="00345EE3" w:rsidP="00D73130">
            <w:pPr>
              <w:pStyle w:val="TableParagraph"/>
              <w:spacing w:before="0"/>
              <w:jc w:val="left"/>
              <w:rPr>
                <w:rFonts w:ascii="Times New Roman"/>
                <w:sz w:val="18"/>
              </w:rPr>
            </w:pPr>
          </w:p>
        </w:tc>
      </w:tr>
      <w:tr w:rsidR="00345EE3" w14:paraId="447D7690" w14:textId="77777777" w:rsidTr="00D73130">
        <w:trPr>
          <w:trHeight w:val="396"/>
        </w:trPr>
        <w:tc>
          <w:tcPr>
            <w:tcW w:w="9468" w:type="dxa"/>
            <w:tcBorders>
              <w:left w:val="nil"/>
            </w:tcBorders>
          </w:tcPr>
          <w:p w14:paraId="2F1BF6C2" w14:textId="77777777" w:rsidR="00345EE3" w:rsidRDefault="00345EE3" w:rsidP="00D73130">
            <w:pPr>
              <w:pStyle w:val="TableParagraph"/>
              <w:ind w:left="-3"/>
              <w:jc w:val="left"/>
              <w:rPr>
                <w:sz w:val="24"/>
              </w:rPr>
            </w:pPr>
            <w:r>
              <w:rPr>
                <w:color w:val="231F20"/>
                <w:sz w:val="24"/>
              </w:rPr>
              <w:t>Cash</w:t>
            </w:r>
            <w:r>
              <w:rPr>
                <w:color w:val="231F20"/>
                <w:spacing w:val="-4"/>
                <w:sz w:val="24"/>
              </w:rPr>
              <w:t xml:space="preserve"> </w:t>
            </w:r>
            <w:r>
              <w:rPr>
                <w:color w:val="231F20"/>
                <w:sz w:val="24"/>
              </w:rPr>
              <w:t>and</w:t>
            </w:r>
            <w:r>
              <w:rPr>
                <w:color w:val="231F20"/>
                <w:spacing w:val="-3"/>
                <w:sz w:val="24"/>
              </w:rPr>
              <w:t xml:space="preserve"> </w:t>
            </w:r>
            <w:r>
              <w:rPr>
                <w:color w:val="231F20"/>
                <w:spacing w:val="-2"/>
                <w:sz w:val="24"/>
              </w:rPr>
              <w:t>deposits</w:t>
            </w:r>
          </w:p>
        </w:tc>
        <w:tc>
          <w:tcPr>
            <w:tcW w:w="1418" w:type="dxa"/>
            <w:shd w:val="clear" w:color="auto" w:fill="E6E7E8"/>
          </w:tcPr>
          <w:p w14:paraId="5ED63C57" w14:textId="77777777" w:rsidR="00345EE3" w:rsidRDefault="00345EE3" w:rsidP="00D73130">
            <w:pPr>
              <w:pStyle w:val="TableParagraph"/>
              <w:ind w:right="55"/>
              <w:rPr>
                <w:sz w:val="24"/>
              </w:rPr>
            </w:pPr>
            <w:r>
              <w:rPr>
                <w:color w:val="231F20"/>
                <w:spacing w:val="-2"/>
                <w:sz w:val="24"/>
              </w:rPr>
              <w:t>62,483</w:t>
            </w:r>
          </w:p>
        </w:tc>
        <w:tc>
          <w:tcPr>
            <w:tcW w:w="1418" w:type="dxa"/>
          </w:tcPr>
          <w:p w14:paraId="5BD5BF37" w14:textId="77777777" w:rsidR="00345EE3" w:rsidRDefault="00345EE3" w:rsidP="00D73130">
            <w:pPr>
              <w:pStyle w:val="TableParagraph"/>
              <w:ind w:right="56"/>
              <w:rPr>
                <w:sz w:val="24"/>
              </w:rPr>
            </w:pPr>
            <w:r>
              <w:rPr>
                <w:color w:val="231F20"/>
                <w:spacing w:val="-2"/>
                <w:sz w:val="24"/>
              </w:rPr>
              <w:t>77,427</w:t>
            </w:r>
          </w:p>
        </w:tc>
        <w:tc>
          <w:tcPr>
            <w:tcW w:w="1418" w:type="dxa"/>
          </w:tcPr>
          <w:p w14:paraId="32158ED4" w14:textId="77777777" w:rsidR="00345EE3" w:rsidRDefault="00345EE3" w:rsidP="00D73130">
            <w:pPr>
              <w:pStyle w:val="TableParagraph"/>
              <w:ind w:right="56"/>
              <w:rPr>
                <w:sz w:val="24"/>
              </w:rPr>
            </w:pPr>
            <w:r>
              <w:rPr>
                <w:color w:val="231F20"/>
                <w:spacing w:val="-2"/>
                <w:sz w:val="24"/>
              </w:rPr>
              <w:t>(14,944)</w:t>
            </w:r>
          </w:p>
        </w:tc>
        <w:tc>
          <w:tcPr>
            <w:tcW w:w="1418" w:type="dxa"/>
            <w:tcBorders>
              <w:right w:val="nil"/>
            </w:tcBorders>
          </w:tcPr>
          <w:p w14:paraId="0015196F" w14:textId="77777777" w:rsidR="00345EE3" w:rsidRDefault="00345EE3" w:rsidP="00D73130">
            <w:pPr>
              <w:pStyle w:val="TableParagraph"/>
              <w:ind w:right="57"/>
              <w:rPr>
                <w:sz w:val="24"/>
              </w:rPr>
            </w:pPr>
            <w:r>
              <w:rPr>
                <w:color w:val="231F20"/>
                <w:spacing w:val="-3"/>
                <w:sz w:val="24"/>
              </w:rPr>
              <w:t>-</w:t>
            </w:r>
            <w:r>
              <w:rPr>
                <w:color w:val="231F20"/>
                <w:spacing w:val="-5"/>
                <w:sz w:val="24"/>
              </w:rPr>
              <w:t>19%</w:t>
            </w:r>
          </w:p>
        </w:tc>
      </w:tr>
      <w:tr w:rsidR="00345EE3" w14:paraId="4D6CFBBF" w14:textId="77777777" w:rsidTr="00D73130">
        <w:trPr>
          <w:trHeight w:val="396"/>
        </w:trPr>
        <w:tc>
          <w:tcPr>
            <w:tcW w:w="9468" w:type="dxa"/>
            <w:tcBorders>
              <w:left w:val="nil"/>
            </w:tcBorders>
          </w:tcPr>
          <w:p w14:paraId="1C3A57D8" w14:textId="77777777" w:rsidR="00345EE3" w:rsidRDefault="00345EE3" w:rsidP="00D73130">
            <w:pPr>
              <w:pStyle w:val="TableParagraph"/>
              <w:ind w:left="-3"/>
              <w:jc w:val="left"/>
              <w:rPr>
                <w:sz w:val="24"/>
              </w:rPr>
            </w:pPr>
            <w:r>
              <w:rPr>
                <w:color w:val="231F20"/>
                <w:spacing w:val="-2"/>
                <w:sz w:val="24"/>
              </w:rPr>
              <w:t>Receivables</w:t>
            </w:r>
          </w:p>
        </w:tc>
        <w:tc>
          <w:tcPr>
            <w:tcW w:w="1418" w:type="dxa"/>
            <w:shd w:val="clear" w:color="auto" w:fill="E6E7E8"/>
          </w:tcPr>
          <w:p w14:paraId="0548BF4E" w14:textId="77777777" w:rsidR="00345EE3" w:rsidRDefault="00345EE3" w:rsidP="00D73130">
            <w:pPr>
              <w:pStyle w:val="TableParagraph"/>
              <w:ind w:right="55"/>
              <w:rPr>
                <w:sz w:val="24"/>
              </w:rPr>
            </w:pPr>
            <w:r>
              <w:rPr>
                <w:color w:val="231F20"/>
                <w:spacing w:val="-2"/>
                <w:sz w:val="24"/>
              </w:rPr>
              <w:t>961,068</w:t>
            </w:r>
          </w:p>
        </w:tc>
        <w:tc>
          <w:tcPr>
            <w:tcW w:w="1418" w:type="dxa"/>
          </w:tcPr>
          <w:p w14:paraId="52DFD1E6" w14:textId="77777777" w:rsidR="00345EE3" w:rsidRDefault="00345EE3" w:rsidP="00D73130">
            <w:pPr>
              <w:pStyle w:val="TableParagraph"/>
              <w:ind w:right="56"/>
              <w:rPr>
                <w:sz w:val="24"/>
              </w:rPr>
            </w:pPr>
            <w:r>
              <w:rPr>
                <w:color w:val="231F20"/>
                <w:spacing w:val="-2"/>
                <w:sz w:val="24"/>
              </w:rPr>
              <w:t>1,006,233</w:t>
            </w:r>
          </w:p>
        </w:tc>
        <w:tc>
          <w:tcPr>
            <w:tcW w:w="1418" w:type="dxa"/>
          </w:tcPr>
          <w:p w14:paraId="6F845817" w14:textId="77777777" w:rsidR="00345EE3" w:rsidRDefault="00345EE3" w:rsidP="00D73130">
            <w:pPr>
              <w:pStyle w:val="TableParagraph"/>
              <w:ind w:right="56"/>
              <w:rPr>
                <w:sz w:val="24"/>
              </w:rPr>
            </w:pPr>
            <w:r>
              <w:rPr>
                <w:color w:val="231F20"/>
                <w:spacing w:val="-2"/>
                <w:sz w:val="24"/>
              </w:rPr>
              <w:t>(45,165)</w:t>
            </w:r>
          </w:p>
        </w:tc>
        <w:tc>
          <w:tcPr>
            <w:tcW w:w="1418" w:type="dxa"/>
            <w:tcBorders>
              <w:right w:val="nil"/>
            </w:tcBorders>
          </w:tcPr>
          <w:p w14:paraId="43346E01" w14:textId="77777777" w:rsidR="00345EE3" w:rsidRDefault="00345EE3" w:rsidP="00D73130">
            <w:pPr>
              <w:pStyle w:val="TableParagraph"/>
              <w:ind w:right="57"/>
              <w:rPr>
                <w:sz w:val="24"/>
              </w:rPr>
            </w:pPr>
            <w:r>
              <w:rPr>
                <w:color w:val="231F20"/>
                <w:spacing w:val="-3"/>
                <w:sz w:val="24"/>
              </w:rPr>
              <w:t>-</w:t>
            </w:r>
            <w:r>
              <w:rPr>
                <w:color w:val="231F20"/>
                <w:spacing w:val="-5"/>
                <w:sz w:val="24"/>
              </w:rPr>
              <w:t>4%</w:t>
            </w:r>
          </w:p>
        </w:tc>
      </w:tr>
      <w:tr w:rsidR="00345EE3" w14:paraId="3084DEC1" w14:textId="77777777" w:rsidTr="00D73130">
        <w:trPr>
          <w:trHeight w:val="396"/>
        </w:trPr>
        <w:tc>
          <w:tcPr>
            <w:tcW w:w="9468" w:type="dxa"/>
            <w:tcBorders>
              <w:left w:val="nil"/>
              <w:bottom w:val="single" w:sz="2" w:space="0" w:color="231F20"/>
            </w:tcBorders>
          </w:tcPr>
          <w:p w14:paraId="6902B0FD" w14:textId="77777777" w:rsidR="00345EE3" w:rsidRDefault="00345EE3" w:rsidP="00D73130">
            <w:pPr>
              <w:pStyle w:val="TableParagraph"/>
              <w:ind w:left="-3"/>
              <w:jc w:val="left"/>
              <w:rPr>
                <w:sz w:val="24"/>
              </w:rPr>
            </w:pPr>
            <w:r>
              <w:rPr>
                <w:color w:val="231F20"/>
                <w:sz w:val="24"/>
              </w:rPr>
              <w:t>Other Financial</w:t>
            </w:r>
            <w:r>
              <w:rPr>
                <w:color w:val="231F20"/>
                <w:spacing w:val="-13"/>
                <w:sz w:val="24"/>
              </w:rPr>
              <w:t xml:space="preserve"> </w:t>
            </w:r>
            <w:r>
              <w:rPr>
                <w:color w:val="231F20"/>
                <w:spacing w:val="-2"/>
                <w:sz w:val="24"/>
              </w:rPr>
              <w:t>Assets</w:t>
            </w:r>
          </w:p>
        </w:tc>
        <w:tc>
          <w:tcPr>
            <w:tcW w:w="1418" w:type="dxa"/>
            <w:tcBorders>
              <w:bottom w:val="single" w:sz="2" w:space="0" w:color="231F20"/>
            </w:tcBorders>
            <w:shd w:val="clear" w:color="auto" w:fill="E6E7E8"/>
          </w:tcPr>
          <w:p w14:paraId="274CDB9D" w14:textId="77777777" w:rsidR="00345EE3" w:rsidRDefault="00345EE3" w:rsidP="00D73130">
            <w:pPr>
              <w:pStyle w:val="TableParagraph"/>
              <w:ind w:right="55"/>
              <w:rPr>
                <w:sz w:val="24"/>
              </w:rPr>
            </w:pPr>
            <w:r>
              <w:rPr>
                <w:color w:val="231F20"/>
                <w:spacing w:val="-5"/>
                <w:sz w:val="24"/>
              </w:rPr>
              <w:t>862</w:t>
            </w:r>
          </w:p>
        </w:tc>
        <w:tc>
          <w:tcPr>
            <w:tcW w:w="1418" w:type="dxa"/>
            <w:tcBorders>
              <w:bottom w:val="single" w:sz="2" w:space="0" w:color="231F20"/>
            </w:tcBorders>
          </w:tcPr>
          <w:p w14:paraId="4A91D99F" w14:textId="77777777" w:rsidR="00345EE3" w:rsidRDefault="00345EE3" w:rsidP="00D73130">
            <w:pPr>
              <w:pStyle w:val="TableParagraph"/>
              <w:ind w:right="55"/>
              <w:rPr>
                <w:sz w:val="24"/>
              </w:rPr>
            </w:pPr>
            <w:r>
              <w:rPr>
                <w:color w:val="231F20"/>
                <w:spacing w:val="-2"/>
                <w:sz w:val="24"/>
              </w:rPr>
              <w:t>1,136</w:t>
            </w:r>
          </w:p>
        </w:tc>
        <w:tc>
          <w:tcPr>
            <w:tcW w:w="1418" w:type="dxa"/>
            <w:tcBorders>
              <w:bottom w:val="single" w:sz="2" w:space="0" w:color="231F20"/>
            </w:tcBorders>
          </w:tcPr>
          <w:p w14:paraId="58567C75" w14:textId="77777777" w:rsidR="00345EE3" w:rsidRDefault="00345EE3" w:rsidP="00D73130">
            <w:pPr>
              <w:pStyle w:val="TableParagraph"/>
              <w:ind w:right="56"/>
              <w:rPr>
                <w:sz w:val="24"/>
              </w:rPr>
            </w:pPr>
            <w:r>
              <w:rPr>
                <w:color w:val="231F20"/>
                <w:spacing w:val="-2"/>
                <w:sz w:val="24"/>
              </w:rPr>
              <w:t>(274)</w:t>
            </w:r>
          </w:p>
        </w:tc>
        <w:tc>
          <w:tcPr>
            <w:tcW w:w="1418" w:type="dxa"/>
            <w:tcBorders>
              <w:bottom w:val="single" w:sz="2" w:space="0" w:color="231F20"/>
              <w:right w:val="nil"/>
            </w:tcBorders>
          </w:tcPr>
          <w:p w14:paraId="08F16A3A" w14:textId="77777777" w:rsidR="00345EE3" w:rsidRDefault="00345EE3" w:rsidP="00D73130">
            <w:pPr>
              <w:pStyle w:val="TableParagraph"/>
              <w:ind w:right="56"/>
              <w:rPr>
                <w:sz w:val="24"/>
              </w:rPr>
            </w:pPr>
            <w:r>
              <w:rPr>
                <w:color w:val="231F20"/>
                <w:spacing w:val="-3"/>
                <w:sz w:val="24"/>
              </w:rPr>
              <w:t>-</w:t>
            </w:r>
            <w:r>
              <w:rPr>
                <w:color w:val="231F20"/>
                <w:spacing w:val="-5"/>
                <w:sz w:val="24"/>
              </w:rPr>
              <w:t>24%</w:t>
            </w:r>
          </w:p>
        </w:tc>
      </w:tr>
      <w:tr w:rsidR="00345EE3" w14:paraId="2BFFF5F3" w14:textId="77777777" w:rsidTr="00D73130">
        <w:trPr>
          <w:trHeight w:val="396"/>
        </w:trPr>
        <w:tc>
          <w:tcPr>
            <w:tcW w:w="9468" w:type="dxa"/>
            <w:tcBorders>
              <w:top w:val="single" w:sz="2" w:space="0" w:color="231F20"/>
              <w:left w:val="nil"/>
            </w:tcBorders>
          </w:tcPr>
          <w:p w14:paraId="746267FA" w14:textId="77777777" w:rsidR="00345EE3" w:rsidRDefault="00345EE3" w:rsidP="00D73130">
            <w:pPr>
              <w:pStyle w:val="TableParagraph"/>
              <w:ind w:left="-2"/>
              <w:jc w:val="left"/>
              <w:rPr>
                <w:b/>
                <w:sz w:val="24"/>
              </w:rPr>
            </w:pPr>
            <w:r>
              <w:rPr>
                <w:b/>
                <w:color w:val="231F20"/>
                <w:sz w:val="24"/>
              </w:rPr>
              <w:t>Total</w:t>
            </w:r>
            <w:r>
              <w:rPr>
                <w:b/>
                <w:color w:val="231F20"/>
                <w:spacing w:val="-13"/>
                <w:sz w:val="24"/>
              </w:rPr>
              <w:t xml:space="preserve"> </w:t>
            </w:r>
            <w:r>
              <w:rPr>
                <w:b/>
                <w:color w:val="231F20"/>
                <w:sz w:val="24"/>
              </w:rPr>
              <w:t>Financial</w:t>
            </w:r>
            <w:r>
              <w:rPr>
                <w:b/>
                <w:color w:val="231F20"/>
                <w:spacing w:val="-16"/>
                <w:sz w:val="24"/>
              </w:rPr>
              <w:t xml:space="preserve"> </w:t>
            </w:r>
            <w:r>
              <w:rPr>
                <w:b/>
                <w:color w:val="231F20"/>
                <w:spacing w:val="-2"/>
                <w:sz w:val="24"/>
              </w:rPr>
              <w:t>Assets</w:t>
            </w:r>
          </w:p>
        </w:tc>
        <w:tc>
          <w:tcPr>
            <w:tcW w:w="1418" w:type="dxa"/>
            <w:tcBorders>
              <w:top w:val="single" w:sz="2" w:space="0" w:color="231F20"/>
            </w:tcBorders>
            <w:shd w:val="clear" w:color="auto" w:fill="E6E7E8"/>
          </w:tcPr>
          <w:p w14:paraId="7E3BE82A" w14:textId="77777777" w:rsidR="00345EE3" w:rsidRDefault="00345EE3" w:rsidP="00D73130">
            <w:pPr>
              <w:pStyle w:val="TableParagraph"/>
              <w:ind w:left="290"/>
              <w:jc w:val="left"/>
              <w:rPr>
                <w:b/>
                <w:sz w:val="24"/>
              </w:rPr>
            </w:pPr>
            <w:r>
              <w:rPr>
                <w:b/>
                <w:color w:val="231F20"/>
                <w:spacing w:val="-2"/>
                <w:sz w:val="24"/>
              </w:rPr>
              <w:t>1,024,413</w:t>
            </w:r>
          </w:p>
        </w:tc>
        <w:tc>
          <w:tcPr>
            <w:tcW w:w="1418" w:type="dxa"/>
            <w:tcBorders>
              <w:top w:val="single" w:sz="2" w:space="0" w:color="231F20"/>
            </w:tcBorders>
          </w:tcPr>
          <w:p w14:paraId="5B468752" w14:textId="77777777" w:rsidR="00345EE3" w:rsidRDefault="00345EE3" w:rsidP="00D73130">
            <w:pPr>
              <w:pStyle w:val="TableParagraph"/>
              <w:ind w:right="53"/>
              <w:rPr>
                <w:b/>
                <w:sz w:val="24"/>
              </w:rPr>
            </w:pPr>
            <w:r>
              <w:rPr>
                <w:b/>
                <w:color w:val="231F20"/>
                <w:spacing w:val="-2"/>
                <w:sz w:val="24"/>
              </w:rPr>
              <w:t>1,084,796</w:t>
            </w:r>
          </w:p>
        </w:tc>
        <w:tc>
          <w:tcPr>
            <w:tcW w:w="1418" w:type="dxa"/>
            <w:tcBorders>
              <w:top w:val="single" w:sz="2" w:space="0" w:color="231F20"/>
            </w:tcBorders>
          </w:tcPr>
          <w:p w14:paraId="3BC23C91" w14:textId="77777777" w:rsidR="00345EE3" w:rsidRDefault="00345EE3" w:rsidP="00D73130">
            <w:pPr>
              <w:pStyle w:val="TableParagraph"/>
              <w:ind w:right="53"/>
              <w:rPr>
                <w:b/>
                <w:sz w:val="24"/>
              </w:rPr>
            </w:pPr>
            <w:r>
              <w:rPr>
                <w:b/>
                <w:color w:val="231F20"/>
                <w:spacing w:val="-2"/>
                <w:sz w:val="24"/>
              </w:rPr>
              <w:t>(60,383)</w:t>
            </w:r>
          </w:p>
        </w:tc>
        <w:tc>
          <w:tcPr>
            <w:tcW w:w="1418" w:type="dxa"/>
            <w:tcBorders>
              <w:top w:val="single" w:sz="2" w:space="0" w:color="231F20"/>
              <w:right w:val="nil"/>
            </w:tcBorders>
          </w:tcPr>
          <w:p w14:paraId="259A501C" w14:textId="77777777" w:rsidR="00345EE3" w:rsidRDefault="00345EE3" w:rsidP="00D73130">
            <w:pPr>
              <w:pStyle w:val="TableParagraph"/>
              <w:ind w:right="-15"/>
              <w:rPr>
                <w:b/>
                <w:sz w:val="24"/>
              </w:rPr>
            </w:pPr>
            <w:r>
              <w:rPr>
                <w:b/>
                <w:color w:val="231F20"/>
                <w:sz w:val="24"/>
              </w:rPr>
              <w:t>-</w:t>
            </w:r>
            <w:r>
              <w:rPr>
                <w:b/>
                <w:color w:val="231F20"/>
                <w:spacing w:val="-5"/>
                <w:sz w:val="24"/>
              </w:rPr>
              <w:t>6%</w:t>
            </w:r>
          </w:p>
        </w:tc>
      </w:tr>
    </w:tbl>
    <w:p w14:paraId="158B3276" w14:textId="77777777" w:rsidR="00345EE3" w:rsidRDefault="00345EE3" w:rsidP="00345EE3">
      <w:pPr>
        <w:rPr>
          <w:sz w:val="24"/>
        </w:rPr>
        <w:sectPr w:rsidR="00345EE3">
          <w:type w:val="continuous"/>
          <w:pgSz w:w="16840" w:h="11910" w:orient="landscape"/>
          <w:pgMar w:top="820" w:right="740" w:bottom="1389" w:left="740" w:header="720" w:footer="720" w:gutter="0"/>
          <w:cols w:space="720"/>
        </w:sect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18"/>
      </w:tblGrid>
      <w:tr w:rsidR="00345EE3" w14:paraId="7642AB9A" w14:textId="77777777" w:rsidTr="00D73130">
        <w:trPr>
          <w:trHeight w:val="685"/>
        </w:trPr>
        <w:tc>
          <w:tcPr>
            <w:tcW w:w="9468" w:type="dxa"/>
            <w:tcBorders>
              <w:top w:val="nil"/>
              <w:left w:val="nil"/>
              <w:bottom w:val="nil"/>
              <w:right w:val="nil"/>
            </w:tcBorders>
            <w:shd w:val="clear" w:color="auto" w:fill="00529F"/>
          </w:tcPr>
          <w:p w14:paraId="181BA1C6" w14:textId="77777777" w:rsidR="00345EE3" w:rsidRDefault="00345EE3" w:rsidP="00D73130">
            <w:pPr>
              <w:pStyle w:val="TableParagraph"/>
              <w:spacing w:before="0"/>
              <w:jc w:val="left"/>
              <w:rPr>
                <w:rFonts w:ascii="Times New Roman"/>
              </w:rPr>
            </w:pPr>
          </w:p>
        </w:tc>
        <w:tc>
          <w:tcPr>
            <w:tcW w:w="1418" w:type="dxa"/>
            <w:tcBorders>
              <w:top w:val="nil"/>
              <w:left w:val="nil"/>
              <w:bottom w:val="nil"/>
              <w:right w:val="nil"/>
            </w:tcBorders>
            <w:shd w:val="clear" w:color="auto" w:fill="00529F"/>
          </w:tcPr>
          <w:p w14:paraId="7719F8A6" w14:textId="77777777" w:rsidR="00345EE3" w:rsidRDefault="00345EE3" w:rsidP="00D73130">
            <w:pPr>
              <w:pStyle w:val="TableParagraph"/>
              <w:spacing w:before="63"/>
              <w:ind w:right="4"/>
              <w:rPr>
                <w:b/>
                <w:sz w:val="24"/>
              </w:rPr>
            </w:pPr>
            <w:r>
              <w:rPr>
                <w:b/>
                <w:color w:val="FFFFFF"/>
                <w:spacing w:val="-2"/>
                <w:sz w:val="24"/>
              </w:rPr>
              <w:t>Actual</w:t>
            </w:r>
          </w:p>
        </w:tc>
        <w:tc>
          <w:tcPr>
            <w:tcW w:w="1418" w:type="dxa"/>
            <w:tcBorders>
              <w:top w:val="nil"/>
              <w:left w:val="nil"/>
              <w:bottom w:val="nil"/>
              <w:right w:val="nil"/>
            </w:tcBorders>
            <w:shd w:val="clear" w:color="auto" w:fill="00529F"/>
          </w:tcPr>
          <w:p w14:paraId="3A6502B3" w14:textId="77777777" w:rsidR="00345EE3" w:rsidRDefault="00345EE3" w:rsidP="00D73130">
            <w:pPr>
              <w:pStyle w:val="TableParagraph"/>
              <w:spacing w:before="63" w:line="242" w:lineRule="auto"/>
              <w:ind w:left="599" w:hanging="76"/>
              <w:jc w:val="left"/>
              <w:rPr>
                <w:b/>
                <w:sz w:val="24"/>
              </w:rPr>
            </w:pPr>
            <w:r>
              <w:rPr>
                <w:b/>
                <w:color w:val="FFFFFF"/>
                <w:spacing w:val="-4"/>
                <w:sz w:val="24"/>
              </w:rPr>
              <w:t xml:space="preserve">Original </w:t>
            </w:r>
            <w:r>
              <w:rPr>
                <w:b/>
                <w:color w:val="FFFFFF"/>
                <w:spacing w:val="-5"/>
                <w:sz w:val="24"/>
              </w:rPr>
              <w:t>Budget</w:t>
            </w:r>
          </w:p>
        </w:tc>
        <w:tc>
          <w:tcPr>
            <w:tcW w:w="1418" w:type="dxa"/>
            <w:tcBorders>
              <w:top w:val="nil"/>
              <w:left w:val="nil"/>
              <w:bottom w:val="nil"/>
              <w:right w:val="nil"/>
            </w:tcBorders>
            <w:shd w:val="clear" w:color="auto" w:fill="00529F"/>
          </w:tcPr>
          <w:p w14:paraId="50255362" w14:textId="77777777" w:rsidR="00345EE3" w:rsidRDefault="00345EE3" w:rsidP="00D73130">
            <w:pPr>
              <w:pStyle w:val="TableParagraph"/>
              <w:spacing w:before="63"/>
              <w:ind w:right="5"/>
              <w:rPr>
                <w:b/>
                <w:sz w:val="24"/>
              </w:rPr>
            </w:pPr>
            <w:r>
              <w:rPr>
                <w:b/>
                <w:color w:val="FFFFFF"/>
                <w:spacing w:val="-2"/>
                <w:sz w:val="24"/>
              </w:rPr>
              <w:t>Variance</w:t>
            </w:r>
          </w:p>
        </w:tc>
        <w:tc>
          <w:tcPr>
            <w:tcW w:w="1418" w:type="dxa"/>
            <w:tcBorders>
              <w:top w:val="nil"/>
              <w:left w:val="nil"/>
              <w:bottom w:val="nil"/>
              <w:right w:val="nil"/>
            </w:tcBorders>
            <w:shd w:val="clear" w:color="auto" w:fill="00529F"/>
          </w:tcPr>
          <w:p w14:paraId="42FCC5F2" w14:textId="77777777" w:rsidR="00345EE3" w:rsidRDefault="00345EE3" w:rsidP="00D73130">
            <w:pPr>
              <w:pStyle w:val="TableParagraph"/>
              <w:spacing w:before="63"/>
              <w:ind w:right="4"/>
              <w:rPr>
                <w:b/>
                <w:sz w:val="24"/>
              </w:rPr>
            </w:pPr>
            <w:r>
              <w:rPr>
                <w:b/>
                <w:color w:val="FFFFFF"/>
                <w:spacing w:val="-2"/>
                <w:sz w:val="24"/>
              </w:rPr>
              <w:t>Variance</w:t>
            </w:r>
          </w:p>
        </w:tc>
      </w:tr>
      <w:tr w:rsidR="00345EE3" w14:paraId="3CC31CB3" w14:textId="77777777" w:rsidTr="00D73130">
        <w:trPr>
          <w:trHeight w:val="397"/>
        </w:trPr>
        <w:tc>
          <w:tcPr>
            <w:tcW w:w="9468" w:type="dxa"/>
            <w:tcBorders>
              <w:top w:val="nil"/>
              <w:left w:val="nil"/>
              <w:bottom w:val="nil"/>
              <w:right w:val="nil"/>
            </w:tcBorders>
            <w:shd w:val="clear" w:color="auto" w:fill="00529F"/>
          </w:tcPr>
          <w:p w14:paraId="76BE3937" w14:textId="77777777" w:rsidR="00345EE3" w:rsidRDefault="00345EE3" w:rsidP="00D73130">
            <w:pPr>
              <w:pStyle w:val="TableParagraph"/>
              <w:spacing w:before="0"/>
              <w:jc w:val="left"/>
              <w:rPr>
                <w:rFonts w:ascii="Times New Roman"/>
              </w:rPr>
            </w:pPr>
          </w:p>
        </w:tc>
        <w:tc>
          <w:tcPr>
            <w:tcW w:w="1418" w:type="dxa"/>
            <w:tcBorders>
              <w:top w:val="nil"/>
              <w:left w:val="nil"/>
              <w:bottom w:val="nil"/>
              <w:right w:val="nil"/>
            </w:tcBorders>
            <w:shd w:val="clear" w:color="auto" w:fill="00529F"/>
          </w:tcPr>
          <w:p w14:paraId="7AA5DFFF" w14:textId="77777777" w:rsidR="00345EE3" w:rsidRDefault="00345EE3" w:rsidP="00D73130">
            <w:pPr>
              <w:pStyle w:val="TableParagraph"/>
              <w:spacing w:before="59"/>
              <w:ind w:right="4"/>
              <w:rPr>
                <w:b/>
                <w:sz w:val="24"/>
              </w:rPr>
            </w:pPr>
            <w:r>
              <w:rPr>
                <w:b/>
                <w:color w:val="FFFFFF"/>
                <w:spacing w:val="-2"/>
                <w:sz w:val="24"/>
              </w:rPr>
              <w:t>$’000</w:t>
            </w:r>
          </w:p>
        </w:tc>
        <w:tc>
          <w:tcPr>
            <w:tcW w:w="1418" w:type="dxa"/>
            <w:tcBorders>
              <w:top w:val="nil"/>
              <w:left w:val="nil"/>
              <w:bottom w:val="nil"/>
              <w:right w:val="nil"/>
            </w:tcBorders>
            <w:shd w:val="clear" w:color="auto" w:fill="00529F"/>
          </w:tcPr>
          <w:p w14:paraId="488F44EE" w14:textId="77777777" w:rsidR="00345EE3" w:rsidRDefault="00345EE3" w:rsidP="00D73130">
            <w:pPr>
              <w:pStyle w:val="TableParagraph"/>
              <w:spacing w:before="59"/>
              <w:ind w:right="5"/>
              <w:rPr>
                <w:b/>
                <w:sz w:val="24"/>
              </w:rPr>
            </w:pPr>
            <w:r>
              <w:rPr>
                <w:b/>
                <w:color w:val="FFFFFF"/>
                <w:spacing w:val="-2"/>
                <w:sz w:val="24"/>
              </w:rPr>
              <w:t>$’000</w:t>
            </w:r>
          </w:p>
        </w:tc>
        <w:tc>
          <w:tcPr>
            <w:tcW w:w="1418" w:type="dxa"/>
            <w:tcBorders>
              <w:top w:val="nil"/>
              <w:left w:val="nil"/>
              <w:bottom w:val="nil"/>
              <w:right w:val="nil"/>
            </w:tcBorders>
            <w:shd w:val="clear" w:color="auto" w:fill="00529F"/>
          </w:tcPr>
          <w:p w14:paraId="3B542BB6" w14:textId="77777777" w:rsidR="00345EE3" w:rsidRDefault="00345EE3" w:rsidP="00D73130">
            <w:pPr>
              <w:pStyle w:val="TableParagraph"/>
              <w:spacing w:before="59"/>
              <w:ind w:right="5"/>
              <w:rPr>
                <w:b/>
                <w:sz w:val="24"/>
              </w:rPr>
            </w:pPr>
            <w:r>
              <w:rPr>
                <w:b/>
                <w:color w:val="FFFFFF"/>
                <w:spacing w:val="-2"/>
                <w:sz w:val="24"/>
              </w:rPr>
              <w:t>$’000</w:t>
            </w:r>
          </w:p>
        </w:tc>
        <w:tc>
          <w:tcPr>
            <w:tcW w:w="1418" w:type="dxa"/>
            <w:tcBorders>
              <w:top w:val="nil"/>
              <w:left w:val="nil"/>
              <w:bottom w:val="nil"/>
              <w:right w:val="nil"/>
            </w:tcBorders>
            <w:shd w:val="clear" w:color="auto" w:fill="00529F"/>
          </w:tcPr>
          <w:p w14:paraId="271DC960" w14:textId="77777777" w:rsidR="00345EE3" w:rsidRDefault="00345EE3" w:rsidP="00D73130">
            <w:pPr>
              <w:pStyle w:val="TableParagraph"/>
              <w:spacing w:before="59"/>
              <w:ind w:right="1"/>
              <w:rPr>
                <w:b/>
                <w:sz w:val="24"/>
              </w:rPr>
            </w:pPr>
            <w:r>
              <w:rPr>
                <w:b/>
                <w:color w:val="FFFFFF"/>
                <w:sz w:val="24"/>
              </w:rPr>
              <w:t>%</w:t>
            </w:r>
          </w:p>
        </w:tc>
      </w:tr>
      <w:tr w:rsidR="00345EE3" w14:paraId="014FEA93" w14:textId="77777777" w:rsidTr="00D73130">
        <w:trPr>
          <w:trHeight w:val="396"/>
        </w:trPr>
        <w:tc>
          <w:tcPr>
            <w:tcW w:w="15140" w:type="dxa"/>
            <w:gridSpan w:val="5"/>
            <w:tcBorders>
              <w:top w:val="nil"/>
              <w:left w:val="nil"/>
              <w:right w:val="nil"/>
            </w:tcBorders>
            <w:shd w:val="clear" w:color="auto" w:fill="D1D3D4"/>
          </w:tcPr>
          <w:p w14:paraId="2430DB0B" w14:textId="77777777" w:rsidR="00345EE3" w:rsidRDefault="00345EE3" w:rsidP="00D73130">
            <w:pPr>
              <w:pStyle w:val="TableParagraph"/>
              <w:ind w:left="-1"/>
              <w:jc w:val="left"/>
              <w:rPr>
                <w:b/>
                <w:sz w:val="24"/>
              </w:rPr>
            </w:pPr>
            <w:r>
              <w:rPr>
                <w:b/>
                <w:color w:val="231F20"/>
                <w:sz w:val="24"/>
              </w:rPr>
              <w:t>Non</w:t>
            </w:r>
            <w:r>
              <w:rPr>
                <w:b/>
                <w:color w:val="231F20"/>
                <w:spacing w:val="-3"/>
                <w:sz w:val="24"/>
              </w:rPr>
              <w:t xml:space="preserve"> </w:t>
            </w:r>
            <w:r>
              <w:rPr>
                <w:b/>
                <w:color w:val="231F20"/>
                <w:sz w:val="24"/>
              </w:rPr>
              <w:t>Financial</w:t>
            </w:r>
            <w:r>
              <w:rPr>
                <w:b/>
                <w:color w:val="231F20"/>
                <w:spacing w:val="-9"/>
                <w:sz w:val="24"/>
              </w:rPr>
              <w:t xml:space="preserve"> </w:t>
            </w:r>
            <w:r>
              <w:rPr>
                <w:b/>
                <w:color w:val="231F20"/>
                <w:spacing w:val="-2"/>
                <w:sz w:val="24"/>
              </w:rPr>
              <w:t>Assets</w:t>
            </w:r>
          </w:p>
        </w:tc>
      </w:tr>
      <w:tr w:rsidR="00345EE3" w14:paraId="61DF5F8E" w14:textId="77777777" w:rsidTr="00D73130">
        <w:trPr>
          <w:trHeight w:val="396"/>
        </w:trPr>
        <w:tc>
          <w:tcPr>
            <w:tcW w:w="9468" w:type="dxa"/>
            <w:tcBorders>
              <w:left w:val="nil"/>
            </w:tcBorders>
          </w:tcPr>
          <w:p w14:paraId="71E6B801" w14:textId="77777777" w:rsidR="00345EE3" w:rsidRDefault="00345EE3" w:rsidP="00D73130">
            <w:pPr>
              <w:pStyle w:val="TableParagraph"/>
              <w:ind w:left="-3"/>
              <w:jc w:val="left"/>
              <w:rPr>
                <w:sz w:val="24"/>
              </w:rPr>
            </w:pPr>
            <w:r>
              <w:rPr>
                <w:color w:val="231F20"/>
                <w:spacing w:val="-2"/>
                <w:sz w:val="24"/>
              </w:rPr>
              <w:t>Inventories</w:t>
            </w:r>
          </w:p>
        </w:tc>
        <w:tc>
          <w:tcPr>
            <w:tcW w:w="1418" w:type="dxa"/>
            <w:shd w:val="clear" w:color="auto" w:fill="E6E7E8"/>
          </w:tcPr>
          <w:p w14:paraId="3B2DFDD1" w14:textId="77777777" w:rsidR="00345EE3" w:rsidRDefault="00345EE3" w:rsidP="00D73130">
            <w:pPr>
              <w:pStyle w:val="TableParagraph"/>
              <w:ind w:right="56"/>
              <w:rPr>
                <w:sz w:val="24"/>
              </w:rPr>
            </w:pPr>
            <w:r>
              <w:rPr>
                <w:color w:val="231F20"/>
                <w:spacing w:val="-2"/>
                <w:sz w:val="24"/>
              </w:rPr>
              <w:t>8,284</w:t>
            </w:r>
          </w:p>
        </w:tc>
        <w:tc>
          <w:tcPr>
            <w:tcW w:w="1418" w:type="dxa"/>
          </w:tcPr>
          <w:p w14:paraId="6E6F1F41" w14:textId="77777777" w:rsidR="00345EE3" w:rsidRDefault="00345EE3" w:rsidP="00D73130">
            <w:pPr>
              <w:pStyle w:val="TableParagraph"/>
              <w:ind w:right="56"/>
              <w:rPr>
                <w:sz w:val="24"/>
              </w:rPr>
            </w:pPr>
            <w:r>
              <w:rPr>
                <w:color w:val="231F20"/>
                <w:spacing w:val="-2"/>
                <w:sz w:val="24"/>
              </w:rPr>
              <w:t>6,057</w:t>
            </w:r>
          </w:p>
        </w:tc>
        <w:tc>
          <w:tcPr>
            <w:tcW w:w="1418" w:type="dxa"/>
          </w:tcPr>
          <w:p w14:paraId="380EE2C5" w14:textId="77777777" w:rsidR="00345EE3" w:rsidRDefault="00345EE3" w:rsidP="00D73130">
            <w:pPr>
              <w:pStyle w:val="TableParagraph"/>
              <w:ind w:right="57"/>
              <w:rPr>
                <w:sz w:val="24"/>
              </w:rPr>
            </w:pPr>
            <w:r>
              <w:rPr>
                <w:color w:val="231F20"/>
                <w:spacing w:val="-2"/>
                <w:sz w:val="24"/>
              </w:rPr>
              <w:t>2,227</w:t>
            </w:r>
          </w:p>
        </w:tc>
        <w:tc>
          <w:tcPr>
            <w:tcW w:w="1418" w:type="dxa"/>
            <w:tcBorders>
              <w:right w:val="nil"/>
            </w:tcBorders>
          </w:tcPr>
          <w:p w14:paraId="2E1E779C" w14:textId="77777777" w:rsidR="00345EE3" w:rsidRDefault="00345EE3" w:rsidP="00D73130">
            <w:pPr>
              <w:pStyle w:val="TableParagraph"/>
              <w:ind w:right="57"/>
              <w:rPr>
                <w:sz w:val="24"/>
              </w:rPr>
            </w:pPr>
            <w:r>
              <w:rPr>
                <w:color w:val="231F20"/>
                <w:spacing w:val="-5"/>
                <w:sz w:val="24"/>
              </w:rPr>
              <w:t>37%</w:t>
            </w:r>
          </w:p>
        </w:tc>
      </w:tr>
      <w:tr w:rsidR="00345EE3" w14:paraId="5C6F04C8" w14:textId="77777777" w:rsidTr="00D73130">
        <w:trPr>
          <w:trHeight w:val="396"/>
        </w:trPr>
        <w:tc>
          <w:tcPr>
            <w:tcW w:w="9468" w:type="dxa"/>
            <w:tcBorders>
              <w:left w:val="nil"/>
            </w:tcBorders>
          </w:tcPr>
          <w:p w14:paraId="5161BA27" w14:textId="77777777" w:rsidR="00345EE3" w:rsidRDefault="00345EE3" w:rsidP="00D73130">
            <w:pPr>
              <w:pStyle w:val="TableParagraph"/>
              <w:ind w:left="-3"/>
              <w:jc w:val="left"/>
              <w:rPr>
                <w:sz w:val="24"/>
              </w:rPr>
            </w:pPr>
            <w:r>
              <w:rPr>
                <w:color w:val="231F20"/>
                <w:sz w:val="24"/>
              </w:rPr>
              <w:t>Non-financial</w:t>
            </w:r>
            <w:r>
              <w:rPr>
                <w:color w:val="231F20"/>
                <w:spacing w:val="-8"/>
                <w:sz w:val="24"/>
              </w:rPr>
              <w:t xml:space="preserve"> </w:t>
            </w:r>
            <w:r>
              <w:rPr>
                <w:color w:val="231F20"/>
                <w:sz w:val="24"/>
              </w:rPr>
              <w:t>physical</w:t>
            </w:r>
            <w:r>
              <w:rPr>
                <w:color w:val="231F20"/>
                <w:spacing w:val="-5"/>
                <w:sz w:val="24"/>
              </w:rPr>
              <w:t xml:space="preserve"> </w:t>
            </w:r>
            <w:r>
              <w:rPr>
                <w:color w:val="231F20"/>
                <w:sz w:val="24"/>
              </w:rPr>
              <w:t>assets</w:t>
            </w:r>
            <w:r>
              <w:rPr>
                <w:color w:val="231F20"/>
                <w:spacing w:val="-5"/>
                <w:sz w:val="24"/>
              </w:rPr>
              <w:t xml:space="preserve"> </w:t>
            </w:r>
            <w:r>
              <w:rPr>
                <w:color w:val="231F20"/>
                <w:sz w:val="24"/>
              </w:rPr>
              <w:t>classified</w:t>
            </w:r>
            <w:r>
              <w:rPr>
                <w:color w:val="231F20"/>
                <w:spacing w:val="-5"/>
                <w:sz w:val="24"/>
              </w:rPr>
              <w:t xml:space="preserve"> </w:t>
            </w:r>
            <w:r>
              <w:rPr>
                <w:color w:val="231F20"/>
                <w:sz w:val="24"/>
              </w:rPr>
              <w:t>as</w:t>
            </w:r>
            <w:r>
              <w:rPr>
                <w:color w:val="231F20"/>
                <w:spacing w:val="-5"/>
                <w:sz w:val="24"/>
              </w:rPr>
              <w:t xml:space="preserve"> </w:t>
            </w:r>
            <w:r>
              <w:rPr>
                <w:color w:val="231F20"/>
                <w:sz w:val="24"/>
              </w:rPr>
              <w:t>held</w:t>
            </w:r>
            <w:r>
              <w:rPr>
                <w:color w:val="231F20"/>
                <w:spacing w:val="-5"/>
                <w:sz w:val="24"/>
              </w:rPr>
              <w:t xml:space="preserve"> </w:t>
            </w:r>
            <w:r>
              <w:rPr>
                <w:color w:val="231F20"/>
                <w:sz w:val="24"/>
              </w:rPr>
              <w:t>for</w:t>
            </w:r>
            <w:r>
              <w:rPr>
                <w:color w:val="231F20"/>
                <w:spacing w:val="-4"/>
                <w:sz w:val="24"/>
              </w:rPr>
              <w:t xml:space="preserve"> </w:t>
            </w:r>
            <w:r>
              <w:rPr>
                <w:color w:val="231F20"/>
                <w:sz w:val="24"/>
              </w:rPr>
              <w:t>sale,</w:t>
            </w:r>
            <w:r>
              <w:rPr>
                <w:color w:val="231F20"/>
                <w:spacing w:val="-5"/>
                <w:sz w:val="24"/>
              </w:rPr>
              <w:t xml:space="preserve"> </w:t>
            </w:r>
            <w:r>
              <w:rPr>
                <w:color w:val="231F20"/>
                <w:sz w:val="24"/>
              </w:rPr>
              <w:t>including</w:t>
            </w:r>
            <w:r>
              <w:rPr>
                <w:color w:val="231F20"/>
                <w:spacing w:val="-5"/>
                <w:sz w:val="24"/>
              </w:rPr>
              <w:t xml:space="preserve"> </w:t>
            </w:r>
            <w:r>
              <w:rPr>
                <w:color w:val="231F20"/>
                <w:sz w:val="24"/>
              </w:rPr>
              <w:t>disposal</w:t>
            </w:r>
            <w:r>
              <w:rPr>
                <w:color w:val="231F20"/>
                <w:spacing w:val="-5"/>
                <w:sz w:val="24"/>
              </w:rPr>
              <w:t xml:space="preserve"> </w:t>
            </w:r>
            <w:r>
              <w:rPr>
                <w:color w:val="231F20"/>
                <w:sz w:val="24"/>
              </w:rPr>
              <w:t>group</w:t>
            </w:r>
            <w:r>
              <w:rPr>
                <w:color w:val="231F20"/>
                <w:spacing w:val="-5"/>
                <w:sz w:val="24"/>
              </w:rPr>
              <w:t xml:space="preserve"> </w:t>
            </w:r>
            <w:r>
              <w:rPr>
                <w:color w:val="231F20"/>
                <w:spacing w:val="-2"/>
                <w:sz w:val="24"/>
              </w:rPr>
              <w:t>assets</w:t>
            </w:r>
          </w:p>
        </w:tc>
        <w:tc>
          <w:tcPr>
            <w:tcW w:w="1418" w:type="dxa"/>
            <w:shd w:val="clear" w:color="auto" w:fill="E6E7E8"/>
          </w:tcPr>
          <w:p w14:paraId="2D2F55C4" w14:textId="77777777" w:rsidR="00345EE3" w:rsidRDefault="00345EE3" w:rsidP="00D73130">
            <w:pPr>
              <w:pStyle w:val="TableParagraph"/>
              <w:ind w:right="55"/>
              <w:rPr>
                <w:sz w:val="24"/>
              </w:rPr>
            </w:pPr>
            <w:r>
              <w:rPr>
                <w:color w:val="231F20"/>
                <w:spacing w:val="-2"/>
                <w:sz w:val="24"/>
              </w:rPr>
              <w:t>3,630</w:t>
            </w:r>
          </w:p>
        </w:tc>
        <w:tc>
          <w:tcPr>
            <w:tcW w:w="1418" w:type="dxa"/>
          </w:tcPr>
          <w:p w14:paraId="0BFA13C0" w14:textId="77777777" w:rsidR="00345EE3" w:rsidRDefault="00345EE3" w:rsidP="00D73130">
            <w:pPr>
              <w:pStyle w:val="TableParagraph"/>
              <w:ind w:right="56"/>
              <w:rPr>
                <w:sz w:val="24"/>
              </w:rPr>
            </w:pPr>
            <w:r>
              <w:rPr>
                <w:color w:val="231F20"/>
                <w:spacing w:val="-2"/>
                <w:sz w:val="24"/>
              </w:rPr>
              <w:t>2,482</w:t>
            </w:r>
          </w:p>
        </w:tc>
        <w:tc>
          <w:tcPr>
            <w:tcW w:w="1418" w:type="dxa"/>
          </w:tcPr>
          <w:p w14:paraId="13D47489" w14:textId="77777777" w:rsidR="00345EE3" w:rsidRDefault="00345EE3" w:rsidP="00D73130">
            <w:pPr>
              <w:pStyle w:val="TableParagraph"/>
              <w:ind w:right="57"/>
              <w:rPr>
                <w:sz w:val="24"/>
              </w:rPr>
            </w:pPr>
            <w:r>
              <w:rPr>
                <w:color w:val="231F20"/>
                <w:spacing w:val="-2"/>
                <w:sz w:val="24"/>
              </w:rPr>
              <w:t>1,148</w:t>
            </w:r>
          </w:p>
        </w:tc>
        <w:tc>
          <w:tcPr>
            <w:tcW w:w="1418" w:type="dxa"/>
            <w:tcBorders>
              <w:right w:val="nil"/>
            </w:tcBorders>
          </w:tcPr>
          <w:p w14:paraId="58875FB2" w14:textId="77777777" w:rsidR="00345EE3" w:rsidRDefault="00345EE3" w:rsidP="00D73130">
            <w:pPr>
              <w:pStyle w:val="TableParagraph"/>
              <w:ind w:right="57"/>
              <w:rPr>
                <w:sz w:val="24"/>
              </w:rPr>
            </w:pPr>
            <w:r>
              <w:rPr>
                <w:color w:val="231F20"/>
                <w:spacing w:val="-5"/>
                <w:sz w:val="24"/>
              </w:rPr>
              <w:t>46%</w:t>
            </w:r>
          </w:p>
        </w:tc>
      </w:tr>
      <w:tr w:rsidR="00345EE3" w14:paraId="5C4D7C1C" w14:textId="77777777" w:rsidTr="00D73130">
        <w:trPr>
          <w:trHeight w:val="396"/>
        </w:trPr>
        <w:tc>
          <w:tcPr>
            <w:tcW w:w="9468" w:type="dxa"/>
            <w:tcBorders>
              <w:left w:val="nil"/>
            </w:tcBorders>
          </w:tcPr>
          <w:p w14:paraId="2A1753AF" w14:textId="77777777" w:rsidR="00345EE3" w:rsidRDefault="00345EE3" w:rsidP="00D73130">
            <w:pPr>
              <w:pStyle w:val="TableParagraph"/>
              <w:ind w:left="-3"/>
              <w:jc w:val="left"/>
              <w:rPr>
                <w:sz w:val="24"/>
              </w:rPr>
            </w:pPr>
            <w:r>
              <w:rPr>
                <w:color w:val="231F20"/>
                <w:sz w:val="24"/>
              </w:rPr>
              <w:t>Property,</w:t>
            </w:r>
            <w:r>
              <w:rPr>
                <w:color w:val="231F20"/>
                <w:spacing w:val="-9"/>
                <w:sz w:val="24"/>
              </w:rPr>
              <w:t xml:space="preserve"> </w:t>
            </w:r>
            <w:r>
              <w:rPr>
                <w:color w:val="231F20"/>
                <w:sz w:val="24"/>
              </w:rPr>
              <w:t>plant</w:t>
            </w:r>
            <w:r>
              <w:rPr>
                <w:color w:val="231F20"/>
                <w:spacing w:val="-9"/>
                <w:sz w:val="24"/>
              </w:rPr>
              <w:t xml:space="preserve"> </w:t>
            </w:r>
            <w:r>
              <w:rPr>
                <w:color w:val="231F20"/>
                <w:sz w:val="24"/>
              </w:rPr>
              <w:t>and</w:t>
            </w:r>
            <w:r>
              <w:rPr>
                <w:color w:val="231F20"/>
                <w:spacing w:val="-8"/>
                <w:sz w:val="24"/>
              </w:rPr>
              <w:t xml:space="preserve"> </w:t>
            </w:r>
            <w:r>
              <w:rPr>
                <w:color w:val="231F20"/>
                <w:spacing w:val="-2"/>
                <w:sz w:val="24"/>
              </w:rPr>
              <w:t>equipment</w:t>
            </w:r>
          </w:p>
        </w:tc>
        <w:tc>
          <w:tcPr>
            <w:tcW w:w="1418" w:type="dxa"/>
            <w:shd w:val="clear" w:color="auto" w:fill="E6E7E8"/>
          </w:tcPr>
          <w:p w14:paraId="5BF2310C" w14:textId="77777777" w:rsidR="00345EE3" w:rsidRDefault="00345EE3" w:rsidP="00D73130">
            <w:pPr>
              <w:pStyle w:val="TableParagraph"/>
              <w:ind w:left="309"/>
              <w:jc w:val="left"/>
              <w:rPr>
                <w:sz w:val="24"/>
              </w:rPr>
            </w:pPr>
            <w:r>
              <w:rPr>
                <w:color w:val="231F20"/>
                <w:spacing w:val="-2"/>
                <w:sz w:val="24"/>
              </w:rPr>
              <w:t>3,654,782</w:t>
            </w:r>
          </w:p>
        </w:tc>
        <w:tc>
          <w:tcPr>
            <w:tcW w:w="1418" w:type="dxa"/>
          </w:tcPr>
          <w:p w14:paraId="75507658" w14:textId="77777777" w:rsidR="00345EE3" w:rsidRDefault="00345EE3" w:rsidP="00D73130">
            <w:pPr>
              <w:pStyle w:val="TableParagraph"/>
              <w:ind w:right="56"/>
              <w:rPr>
                <w:sz w:val="24"/>
              </w:rPr>
            </w:pPr>
            <w:r>
              <w:rPr>
                <w:color w:val="231F20"/>
                <w:spacing w:val="-2"/>
                <w:sz w:val="24"/>
              </w:rPr>
              <w:t>3,560,057</w:t>
            </w:r>
          </w:p>
        </w:tc>
        <w:tc>
          <w:tcPr>
            <w:tcW w:w="1418" w:type="dxa"/>
          </w:tcPr>
          <w:p w14:paraId="2AD8F7C5" w14:textId="77777777" w:rsidR="00345EE3" w:rsidRDefault="00345EE3" w:rsidP="00D73130">
            <w:pPr>
              <w:pStyle w:val="TableParagraph"/>
              <w:ind w:right="57"/>
              <w:rPr>
                <w:sz w:val="24"/>
              </w:rPr>
            </w:pPr>
            <w:r>
              <w:rPr>
                <w:color w:val="231F20"/>
                <w:spacing w:val="-2"/>
                <w:sz w:val="24"/>
              </w:rPr>
              <w:t>94,725</w:t>
            </w:r>
          </w:p>
        </w:tc>
        <w:tc>
          <w:tcPr>
            <w:tcW w:w="1418" w:type="dxa"/>
            <w:tcBorders>
              <w:right w:val="nil"/>
            </w:tcBorders>
          </w:tcPr>
          <w:p w14:paraId="60A60653" w14:textId="77777777" w:rsidR="00345EE3" w:rsidRDefault="00345EE3" w:rsidP="00D73130">
            <w:pPr>
              <w:pStyle w:val="TableParagraph"/>
              <w:ind w:right="57"/>
              <w:rPr>
                <w:sz w:val="24"/>
              </w:rPr>
            </w:pPr>
            <w:r>
              <w:rPr>
                <w:color w:val="231F20"/>
                <w:spacing w:val="-5"/>
                <w:sz w:val="24"/>
              </w:rPr>
              <w:t>3%</w:t>
            </w:r>
          </w:p>
        </w:tc>
      </w:tr>
      <w:tr w:rsidR="00345EE3" w14:paraId="514D688B" w14:textId="77777777" w:rsidTr="00D73130">
        <w:trPr>
          <w:trHeight w:val="396"/>
        </w:trPr>
        <w:tc>
          <w:tcPr>
            <w:tcW w:w="9468" w:type="dxa"/>
            <w:tcBorders>
              <w:left w:val="nil"/>
            </w:tcBorders>
          </w:tcPr>
          <w:p w14:paraId="239F35D6" w14:textId="77777777" w:rsidR="00345EE3" w:rsidRDefault="00345EE3" w:rsidP="00D73130">
            <w:pPr>
              <w:pStyle w:val="TableParagraph"/>
              <w:spacing w:before="61"/>
              <w:ind w:left="-3"/>
              <w:jc w:val="left"/>
              <w:rPr>
                <w:sz w:val="24"/>
              </w:rPr>
            </w:pPr>
            <w:r>
              <w:rPr>
                <w:color w:val="231F20"/>
                <w:sz w:val="24"/>
              </w:rPr>
              <w:t xml:space="preserve">Intangible </w:t>
            </w:r>
            <w:r>
              <w:rPr>
                <w:color w:val="231F20"/>
                <w:spacing w:val="-2"/>
                <w:sz w:val="24"/>
              </w:rPr>
              <w:t>assets</w:t>
            </w:r>
          </w:p>
        </w:tc>
        <w:tc>
          <w:tcPr>
            <w:tcW w:w="1418" w:type="dxa"/>
            <w:shd w:val="clear" w:color="auto" w:fill="E6E7E8"/>
          </w:tcPr>
          <w:p w14:paraId="2DE1094B" w14:textId="77777777" w:rsidR="00345EE3" w:rsidRDefault="00345EE3" w:rsidP="00D73130">
            <w:pPr>
              <w:pStyle w:val="TableParagraph"/>
              <w:spacing w:before="61"/>
              <w:ind w:right="55"/>
              <w:rPr>
                <w:sz w:val="24"/>
              </w:rPr>
            </w:pPr>
            <w:r>
              <w:rPr>
                <w:color w:val="231F20"/>
                <w:spacing w:val="-2"/>
                <w:sz w:val="24"/>
              </w:rPr>
              <w:t>90,020</w:t>
            </w:r>
          </w:p>
        </w:tc>
        <w:tc>
          <w:tcPr>
            <w:tcW w:w="1418" w:type="dxa"/>
          </w:tcPr>
          <w:p w14:paraId="2D2E3EB7" w14:textId="77777777" w:rsidR="00345EE3" w:rsidRDefault="00345EE3" w:rsidP="00D73130">
            <w:pPr>
              <w:pStyle w:val="TableParagraph"/>
              <w:spacing w:before="61"/>
              <w:ind w:right="56"/>
              <w:rPr>
                <w:sz w:val="24"/>
              </w:rPr>
            </w:pPr>
            <w:r>
              <w:rPr>
                <w:color w:val="231F20"/>
                <w:spacing w:val="-2"/>
                <w:sz w:val="24"/>
              </w:rPr>
              <w:t>117,663</w:t>
            </w:r>
          </w:p>
        </w:tc>
        <w:tc>
          <w:tcPr>
            <w:tcW w:w="1418" w:type="dxa"/>
          </w:tcPr>
          <w:p w14:paraId="6228BC5C" w14:textId="77777777" w:rsidR="00345EE3" w:rsidRDefault="00345EE3" w:rsidP="00D73130">
            <w:pPr>
              <w:pStyle w:val="TableParagraph"/>
              <w:spacing w:before="61"/>
              <w:ind w:right="56"/>
              <w:rPr>
                <w:sz w:val="24"/>
              </w:rPr>
            </w:pPr>
            <w:r>
              <w:rPr>
                <w:color w:val="231F20"/>
                <w:spacing w:val="-2"/>
                <w:sz w:val="24"/>
              </w:rPr>
              <w:t>(27,643)</w:t>
            </w:r>
          </w:p>
        </w:tc>
        <w:tc>
          <w:tcPr>
            <w:tcW w:w="1418" w:type="dxa"/>
            <w:tcBorders>
              <w:right w:val="nil"/>
            </w:tcBorders>
          </w:tcPr>
          <w:p w14:paraId="4FCEF302" w14:textId="77777777" w:rsidR="00345EE3" w:rsidRDefault="00345EE3" w:rsidP="00D73130">
            <w:pPr>
              <w:pStyle w:val="TableParagraph"/>
              <w:spacing w:before="61"/>
              <w:ind w:right="56"/>
              <w:rPr>
                <w:sz w:val="24"/>
              </w:rPr>
            </w:pPr>
            <w:r>
              <w:rPr>
                <w:color w:val="231F20"/>
                <w:spacing w:val="-3"/>
                <w:sz w:val="24"/>
              </w:rPr>
              <w:t>-</w:t>
            </w:r>
            <w:r>
              <w:rPr>
                <w:color w:val="231F20"/>
                <w:spacing w:val="-5"/>
                <w:sz w:val="24"/>
              </w:rPr>
              <w:t>23%</w:t>
            </w:r>
          </w:p>
        </w:tc>
      </w:tr>
      <w:tr w:rsidR="00345EE3" w14:paraId="474F4122" w14:textId="77777777" w:rsidTr="00D73130">
        <w:trPr>
          <w:trHeight w:val="396"/>
        </w:trPr>
        <w:tc>
          <w:tcPr>
            <w:tcW w:w="9468" w:type="dxa"/>
            <w:tcBorders>
              <w:left w:val="nil"/>
              <w:bottom w:val="single" w:sz="2" w:space="0" w:color="231F20"/>
            </w:tcBorders>
          </w:tcPr>
          <w:p w14:paraId="21B08E04" w14:textId="77777777" w:rsidR="00345EE3" w:rsidRDefault="00345EE3" w:rsidP="00D73130">
            <w:pPr>
              <w:pStyle w:val="TableParagraph"/>
              <w:spacing w:before="61"/>
              <w:ind w:left="-2"/>
              <w:jc w:val="left"/>
              <w:rPr>
                <w:sz w:val="24"/>
              </w:rPr>
            </w:pPr>
            <w:r>
              <w:rPr>
                <w:color w:val="231F20"/>
                <w:spacing w:val="-2"/>
                <w:sz w:val="24"/>
              </w:rPr>
              <w:t>Other</w:t>
            </w:r>
          </w:p>
        </w:tc>
        <w:tc>
          <w:tcPr>
            <w:tcW w:w="1418" w:type="dxa"/>
            <w:tcBorders>
              <w:bottom w:val="single" w:sz="2" w:space="0" w:color="231F20"/>
            </w:tcBorders>
            <w:shd w:val="clear" w:color="auto" w:fill="E6E7E8"/>
          </w:tcPr>
          <w:p w14:paraId="0D44EA0D" w14:textId="77777777" w:rsidR="00345EE3" w:rsidRDefault="00345EE3" w:rsidP="00D73130">
            <w:pPr>
              <w:pStyle w:val="TableParagraph"/>
              <w:spacing w:before="61"/>
              <w:ind w:right="55"/>
              <w:rPr>
                <w:sz w:val="24"/>
              </w:rPr>
            </w:pPr>
            <w:r>
              <w:rPr>
                <w:color w:val="231F20"/>
                <w:spacing w:val="-2"/>
                <w:sz w:val="24"/>
              </w:rPr>
              <w:t>41,321</w:t>
            </w:r>
          </w:p>
        </w:tc>
        <w:tc>
          <w:tcPr>
            <w:tcW w:w="1418" w:type="dxa"/>
            <w:tcBorders>
              <w:bottom w:val="single" w:sz="2" w:space="0" w:color="231F20"/>
            </w:tcBorders>
          </w:tcPr>
          <w:p w14:paraId="27D3A9D9" w14:textId="77777777" w:rsidR="00345EE3" w:rsidRDefault="00345EE3" w:rsidP="00D73130">
            <w:pPr>
              <w:pStyle w:val="TableParagraph"/>
              <w:spacing w:before="61"/>
              <w:ind w:right="55"/>
              <w:rPr>
                <w:sz w:val="24"/>
              </w:rPr>
            </w:pPr>
            <w:r>
              <w:rPr>
                <w:color w:val="231F20"/>
                <w:spacing w:val="-2"/>
                <w:sz w:val="24"/>
              </w:rPr>
              <w:t>27,612</w:t>
            </w:r>
          </w:p>
        </w:tc>
        <w:tc>
          <w:tcPr>
            <w:tcW w:w="1418" w:type="dxa"/>
            <w:tcBorders>
              <w:bottom w:val="single" w:sz="2" w:space="0" w:color="231F20"/>
            </w:tcBorders>
          </w:tcPr>
          <w:p w14:paraId="7E27BB5A" w14:textId="77777777" w:rsidR="00345EE3" w:rsidRDefault="00345EE3" w:rsidP="00D73130">
            <w:pPr>
              <w:pStyle w:val="TableParagraph"/>
              <w:spacing w:before="61"/>
              <w:ind w:right="56"/>
              <w:rPr>
                <w:sz w:val="24"/>
              </w:rPr>
            </w:pPr>
            <w:r>
              <w:rPr>
                <w:color w:val="231F20"/>
                <w:spacing w:val="-2"/>
                <w:sz w:val="24"/>
              </w:rPr>
              <w:t>13,709</w:t>
            </w:r>
          </w:p>
        </w:tc>
        <w:tc>
          <w:tcPr>
            <w:tcW w:w="1418" w:type="dxa"/>
            <w:tcBorders>
              <w:bottom w:val="single" w:sz="2" w:space="0" w:color="231F20"/>
              <w:right w:val="nil"/>
            </w:tcBorders>
          </w:tcPr>
          <w:p w14:paraId="554B5D83" w14:textId="77777777" w:rsidR="00345EE3" w:rsidRDefault="00345EE3" w:rsidP="00D73130">
            <w:pPr>
              <w:pStyle w:val="TableParagraph"/>
              <w:spacing w:before="61"/>
              <w:ind w:right="56"/>
              <w:rPr>
                <w:sz w:val="24"/>
              </w:rPr>
            </w:pPr>
            <w:r>
              <w:rPr>
                <w:color w:val="231F20"/>
                <w:spacing w:val="-5"/>
                <w:sz w:val="24"/>
              </w:rPr>
              <w:t>50%</w:t>
            </w:r>
          </w:p>
        </w:tc>
      </w:tr>
      <w:tr w:rsidR="00345EE3" w14:paraId="17BF1032" w14:textId="77777777" w:rsidTr="00D73130">
        <w:trPr>
          <w:trHeight w:val="396"/>
        </w:trPr>
        <w:tc>
          <w:tcPr>
            <w:tcW w:w="9468" w:type="dxa"/>
            <w:tcBorders>
              <w:top w:val="single" w:sz="2" w:space="0" w:color="231F20"/>
              <w:left w:val="nil"/>
              <w:bottom w:val="single" w:sz="2" w:space="0" w:color="231F20"/>
            </w:tcBorders>
          </w:tcPr>
          <w:p w14:paraId="46828753" w14:textId="77777777" w:rsidR="00345EE3" w:rsidRDefault="00345EE3" w:rsidP="00D73130">
            <w:pPr>
              <w:pStyle w:val="TableParagraph"/>
              <w:spacing w:before="61"/>
              <w:ind w:left="-2"/>
              <w:jc w:val="left"/>
              <w:rPr>
                <w:b/>
                <w:sz w:val="24"/>
              </w:rPr>
            </w:pPr>
            <w:r>
              <w:rPr>
                <w:b/>
                <w:color w:val="231F20"/>
                <w:sz w:val="24"/>
              </w:rPr>
              <w:t>Total</w:t>
            </w:r>
            <w:r>
              <w:rPr>
                <w:b/>
                <w:color w:val="231F20"/>
                <w:spacing w:val="-8"/>
                <w:sz w:val="24"/>
              </w:rPr>
              <w:t xml:space="preserve"> </w:t>
            </w:r>
            <w:r>
              <w:rPr>
                <w:b/>
                <w:color w:val="231F20"/>
                <w:sz w:val="24"/>
              </w:rPr>
              <w:t>Non</w:t>
            </w:r>
            <w:r>
              <w:rPr>
                <w:b/>
                <w:color w:val="231F20"/>
                <w:spacing w:val="-7"/>
                <w:sz w:val="24"/>
              </w:rPr>
              <w:t xml:space="preserve"> </w:t>
            </w:r>
            <w:r>
              <w:rPr>
                <w:b/>
                <w:color w:val="231F20"/>
                <w:sz w:val="24"/>
              </w:rPr>
              <w:t>Financial</w:t>
            </w:r>
            <w:r>
              <w:rPr>
                <w:b/>
                <w:color w:val="231F20"/>
                <w:spacing w:val="-16"/>
                <w:sz w:val="24"/>
              </w:rPr>
              <w:t xml:space="preserve"> </w:t>
            </w:r>
            <w:r>
              <w:rPr>
                <w:b/>
                <w:color w:val="231F20"/>
                <w:spacing w:val="-2"/>
                <w:sz w:val="24"/>
              </w:rPr>
              <w:t>Assets</w:t>
            </w:r>
          </w:p>
        </w:tc>
        <w:tc>
          <w:tcPr>
            <w:tcW w:w="1418" w:type="dxa"/>
            <w:tcBorders>
              <w:top w:val="single" w:sz="2" w:space="0" w:color="231F20"/>
              <w:bottom w:val="single" w:sz="2" w:space="0" w:color="231F20"/>
            </w:tcBorders>
            <w:shd w:val="clear" w:color="auto" w:fill="E6E7E8"/>
          </w:tcPr>
          <w:p w14:paraId="188E4A0E" w14:textId="77777777" w:rsidR="00345EE3" w:rsidRDefault="00345EE3" w:rsidP="00D73130">
            <w:pPr>
              <w:pStyle w:val="TableParagraph"/>
              <w:spacing w:before="61"/>
              <w:ind w:left="291"/>
              <w:jc w:val="left"/>
              <w:rPr>
                <w:b/>
                <w:sz w:val="24"/>
              </w:rPr>
            </w:pPr>
            <w:r>
              <w:rPr>
                <w:b/>
                <w:color w:val="231F20"/>
                <w:spacing w:val="-2"/>
                <w:sz w:val="24"/>
              </w:rPr>
              <w:t>3,798,037</w:t>
            </w:r>
          </w:p>
        </w:tc>
        <w:tc>
          <w:tcPr>
            <w:tcW w:w="1418" w:type="dxa"/>
            <w:tcBorders>
              <w:top w:val="single" w:sz="2" w:space="0" w:color="231F20"/>
              <w:bottom w:val="single" w:sz="2" w:space="0" w:color="231F20"/>
            </w:tcBorders>
          </w:tcPr>
          <w:p w14:paraId="25BBB8D4" w14:textId="77777777" w:rsidR="00345EE3" w:rsidRDefault="00345EE3" w:rsidP="00D73130">
            <w:pPr>
              <w:pStyle w:val="TableParagraph"/>
              <w:spacing w:before="61"/>
              <w:ind w:right="53"/>
              <w:rPr>
                <w:b/>
                <w:sz w:val="24"/>
              </w:rPr>
            </w:pPr>
            <w:r>
              <w:rPr>
                <w:b/>
                <w:color w:val="231F20"/>
                <w:spacing w:val="-2"/>
                <w:sz w:val="24"/>
              </w:rPr>
              <w:t>3,713,871</w:t>
            </w:r>
          </w:p>
        </w:tc>
        <w:tc>
          <w:tcPr>
            <w:tcW w:w="1418" w:type="dxa"/>
            <w:tcBorders>
              <w:top w:val="single" w:sz="2" w:space="0" w:color="231F20"/>
              <w:bottom w:val="single" w:sz="2" w:space="0" w:color="231F20"/>
            </w:tcBorders>
          </w:tcPr>
          <w:p w14:paraId="2DAE6A45" w14:textId="77777777" w:rsidR="00345EE3" w:rsidRDefault="00345EE3" w:rsidP="00D73130">
            <w:pPr>
              <w:pStyle w:val="TableParagraph"/>
              <w:spacing w:before="61"/>
              <w:ind w:right="53"/>
              <w:rPr>
                <w:b/>
                <w:sz w:val="24"/>
              </w:rPr>
            </w:pPr>
            <w:r>
              <w:rPr>
                <w:b/>
                <w:color w:val="231F20"/>
                <w:spacing w:val="-2"/>
                <w:sz w:val="24"/>
              </w:rPr>
              <w:t>84,166</w:t>
            </w:r>
          </w:p>
        </w:tc>
        <w:tc>
          <w:tcPr>
            <w:tcW w:w="1418" w:type="dxa"/>
            <w:tcBorders>
              <w:top w:val="single" w:sz="2" w:space="0" w:color="231F20"/>
              <w:bottom w:val="single" w:sz="2" w:space="0" w:color="231F20"/>
              <w:right w:val="nil"/>
            </w:tcBorders>
          </w:tcPr>
          <w:p w14:paraId="172F96F6" w14:textId="77777777" w:rsidR="00345EE3" w:rsidRDefault="00345EE3" w:rsidP="00D73130">
            <w:pPr>
              <w:pStyle w:val="TableParagraph"/>
              <w:spacing w:before="61"/>
              <w:ind w:right="-15"/>
              <w:rPr>
                <w:b/>
                <w:sz w:val="24"/>
              </w:rPr>
            </w:pPr>
            <w:r>
              <w:rPr>
                <w:b/>
                <w:color w:val="231F20"/>
                <w:spacing w:val="-5"/>
                <w:sz w:val="24"/>
              </w:rPr>
              <w:t>2%</w:t>
            </w:r>
          </w:p>
        </w:tc>
      </w:tr>
      <w:tr w:rsidR="00345EE3" w14:paraId="37387E1F" w14:textId="77777777" w:rsidTr="00D73130">
        <w:trPr>
          <w:trHeight w:val="398"/>
        </w:trPr>
        <w:tc>
          <w:tcPr>
            <w:tcW w:w="9468" w:type="dxa"/>
            <w:tcBorders>
              <w:top w:val="single" w:sz="2" w:space="0" w:color="231F20"/>
              <w:left w:val="nil"/>
              <w:bottom w:val="nil"/>
            </w:tcBorders>
          </w:tcPr>
          <w:p w14:paraId="17DD03D1" w14:textId="77777777" w:rsidR="00345EE3" w:rsidRDefault="00345EE3" w:rsidP="00D73130">
            <w:pPr>
              <w:pStyle w:val="TableParagraph"/>
              <w:spacing w:before="61"/>
              <w:ind w:left="-2"/>
              <w:jc w:val="left"/>
              <w:rPr>
                <w:b/>
                <w:sz w:val="24"/>
              </w:rPr>
            </w:pPr>
            <w:r>
              <w:rPr>
                <w:b/>
                <w:color w:val="231F20"/>
                <w:spacing w:val="-4"/>
                <w:sz w:val="24"/>
              </w:rPr>
              <w:t>Total</w:t>
            </w:r>
            <w:r>
              <w:rPr>
                <w:b/>
                <w:color w:val="231F20"/>
                <w:spacing w:val="-7"/>
                <w:sz w:val="24"/>
              </w:rPr>
              <w:t xml:space="preserve"> </w:t>
            </w:r>
            <w:r>
              <w:rPr>
                <w:b/>
                <w:color w:val="231F20"/>
                <w:spacing w:val="-2"/>
                <w:sz w:val="24"/>
              </w:rPr>
              <w:t>Assets</w:t>
            </w:r>
          </w:p>
        </w:tc>
        <w:tc>
          <w:tcPr>
            <w:tcW w:w="1418" w:type="dxa"/>
            <w:tcBorders>
              <w:top w:val="single" w:sz="2" w:space="0" w:color="231F20"/>
              <w:bottom w:val="nil"/>
            </w:tcBorders>
            <w:shd w:val="clear" w:color="auto" w:fill="E6E7E8"/>
          </w:tcPr>
          <w:p w14:paraId="14E81E81" w14:textId="77777777" w:rsidR="00345EE3" w:rsidRDefault="00345EE3" w:rsidP="00D73130">
            <w:pPr>
              <w:pStyle w:val="TableParagraph"/>
              <w:spacing w:before="61"/>
              <w:rPr>
                <w:b/>
                <w:sz w:val="24"/>
              </w:rPr>
            </w:pPr>
            <w:r>
              <w:rPr>
                <w:b/>
                <w:color w:val="231F20"/>
                <w:spacing w:val="-2"/>
                <w:sz w:val="24"/>
              </w:rPr>
              <w:t>4,822,450</w:t>
            </w:r>
          </w:p>
        </w:tc>
        <w:tc>
          <w:tcPr>
            <w:tcW w:w="1418" w:type="dxa"/>
            <w:tcBorders>
              <w:top w:val="single" w:sz="2" w:space="0" w:color="231F20"/>
              <w:bottom w:val="nil"/>
            </w:tcBorders>
          </w:tcPr>
          <w:p w14:paraId="27E6E978" w14:textId="77777777" w:rsidR="00345EE3" w:rsidRDefault="00345EE3" w:rsidP="00D73130">
            <w:pPr>
              <w:pStyle w:val="TableParagraph"/>
              <w:spacing w:before="61"/>
              <w:ind w:right="1"/>
              <w:rPr>
                <w:b/>
                <w:sz w:val="24"/>
              </w:rPr>
            </w:pPr>
            <w:r>
              <w:rPr>
                <w:b/>
                <w:color w:val="231F20"/>
                <w:spacing w:val="-2"/>
                <w:sz w:val="24"/>
              </w:rPr>
              <w:t>4,798,667</w:t>
            </w:r>
          </w:p>
        </w:tc>
        <w:tc>
          <w:tcPr>
            <w:tcW w:w="1418" w:type="dxa"/>
            <w:tcBorders>
              <w:top w:val="single" w:sz="2" w:space="0" w:color="231F20"/>
              <w:bottom w:val="nil"/>
            </w:tcBorders>
          </w:tcPr>
          <w:p w14:paraId="609779AF" w14:textId="77777777" w:rsidR="00345EE3" w:rsidRDefault="00345EE3" w:rsidP="00D73130">
            <w:pPr>
              <w:pStyle w:val="TableParagraph"/>
              <w:spacing w:before="61"/>
              <w:ind w:right="1"/>
              <w:rPr>
                <w:b/>
                <w:sz w:val="24"/>
              </w:rPr>
            </w:pPr>
            <w:r>
              <w:rPr>
                <w:b/>
                <w:color w:val="231F20"/>
                <w:spacing w:val="-2"/>
                <w:sz w:val="24"/>
              </w:rPr>
              <w:t>23,783</w:t>
            </w:r>
          </w:p>
        </w:tc>
        <w:tc>
          <w:tcPr>
            <w:tcW w:w="1418" w:type="dxa"/>
            <w:tcBorders>
              <w:top w:val="single" w:sz="2" w:space="0" w:color="231F20"/>
              <w:bottom w:val="nil"/>
              <w:right w:val="nil"/>
            </w:tcBorders>
          </w:tcPr>
          <w:p w14:paraId="2E24074A" w14:textId="77777777" w:rsidR="00345EE3" w:rsidRDefault="00345EE3" w:rsidP="00D73130">
            <w:pPr>
              <w:pStyle w:val="TableParagraph"/>
              <w:spacing w:before="61"/>
              <w:ind w:right="-15"/>
              <w:rPr>
                <w:b/>
                <w:sz w:val="24"/>
              </w:rPr>
            </w:pPr>
            <w:r>
              <w:rPr>
                <w:b/>
                <w:color w:val="231F20"/>
                <w:spacing w:val="-4"/>
                <w:sz w:val="24"/>
              </w:rPr>
              <w:t>0.5%</w:t>
            </w:r>
          </w:p>
        </w:tc>
      </w:tr>
      <w:tr w:rsidR="00345EE3" w14:paraId="19F534B4" w14:textId="77777777" w:rsidTr="00D73130">
        <w:trPr>
          <w:trHeight w:val="401"/>
        </w:trPr>
        <w:tc>
          <w:tcPr>
            <w:tcW w:w="15140" w:type="dxa"/>
            <w:gridSpan w:val="5"/>
            <w:tcBorders>
              <w:top w:val="nil"/>
              <w:left w:val="nil"/>
              <w:bottom w:val="nil"/>
              <w:right w:val="nil"/>
            </w:tcBorders>
            <w:shd w:val="clear" w:color="auto" w:fill="D1D3D4"/>
          </w:tcPr>
          <w:p w14:paraId="0D4B35BE" w14:textId="1120FFEA" w:rsidR="00345EE3" w:rsidRDefault="00345EE3" w:rsidP="00D73130">
            <w:pPr>
              <w:pStyle w:val="TableParagraph"/>
              <w:spacing w:before="0" w:line="20" w:lineRule="exact"/>
              <w:ind w:left="-3" w:right="-72"/>
              <w:jc w:val="left"/>
              <w:rPr>
                <w:sz w:val="2"/>
              </w:rPr>
            </w:pPr>
          </w:p>
          <w:p w14:paraId="195982A2" w14:textId="77777777" w:rsidR="00345EE3" w:rsidRDefault="00345EE3" w:rsidP="00D73130">
            <w:pPr>
              <w:pStyle w:val="TableParagraph"/>
              <w:spacing w:before="43"/>
              <w:jc w:val="left"/>
              <w:rPr>
                <w:b/>
                <w:sz w:val="24"/>
              </w:rPr>
            </w:pPr>
            <w:r>
              <w:rPr>
                <w:b/>
                <w:color w:val="231F20"/>
                <w:spacing w:val="-2"/>
                <w:sz w:val="24"/>
              </w:rPr>
              <w:t>Liabilities</w:t>
            </w:r>
          </w:p>
        </w:tc>
      </w:tr>
      <w:tr w:rsidR="00345EE3" w14:paraId="7CEDC5A0" w14:textId="77777777" w:rsidTr="00D73130">
        <w:trPr>
          <w:trHeight w:val="398"/>
        </w:trPr>
        <w:tc>
          <w:tcPr>
            <w:tcW w:w="9468" w:type="dxa"/>
            <w:tcBorders>
              <w:top w:val="nil"/>
              <w:left w:val="nil"/>
            </w:tcBorders>
          </w:tcPr>
          <w:p w14:paraId="6EF3AB8A" w14:textId="77777777" w:rsidR="00345EE3" w:rsidRDefault="00345EE3" w:rsidP="00D73130">
            <w:pPr>
              <w:pStyle w:val="TableParagraph"/>
              <w:spacing w:before="63"/>
              <w:ind w:left="-2"/>
              <w:jc w:val="left"/>
              <w:rPr>
                <w:sz w:val="24"/>
              </w:rPr>
            </w:pPr>
            <w:r>
              <w:rPr>
                <w:color w:val="231F20"/>
                <w:spacing w:val="-2"/>
                <w:sz w:val="24"/>
              </w:rPr>
              <w:t>Payables</w:t>
            </w:r>
          </w:p>
        </w:tc>
        <w:tc>
          <w:tcPr>
            <w:tcW w:w="1418" w:type="dxa"/>
            <w:tcBorders>
              <w:top w:val="nil"/>
            </w:tcBorders>
            <w:shd w:val="clear" w:color="auto" w:fill="E6E7E8"/>
          </w:tcPr>
          <w:p w14:paraId="1508B849" w14:textId="77777777" w:rsidR="00345EE3" w:rsidRDefault="00345EE3" w:rsidP="00D73130">
            <w:pPr>
              <w:pStyle w:val="TableParagraph"/>
              <w:spacing w:before="63"/>
              <w:ind w:right="55"/>
              <w:rPr>
                <w:sz w:val="24"/>
              </w:rPr>
            </w:pPr>
            <w:r>
              <w:rPr>
                <w:color w:val="231F20"/>
                <w:spacing w:val="-2"/>
                <w:sz w:val="24"/>
              </w:rPr>
              <w:t>141,185</w:t>
            </w:r>
          </w:p>
        </w:tc>
        <w:tc>
          <w:tcPr>
            <w:tcW w:w="1418" w:type="dxa"/>
            <w:tcBorders>
              <w:top w:val="nil"/>
            </w:tcBorders>
          </w:tcPr>
          <w:p w14:paraId="0A927268" w14:textId="77777777" w:rsidR="00345EE3" w:rsidRDefault="00345EE3" w:rsidP="00D73130">
            <w:pPr>
              <w:pStyle w:val="TableParagraph"/>
              <w:spacing w:before="63"/>
              <w:ind w:right="55"/>
              <w:rPr>
                <w:sz w:val="24"/>
              </w:rPr>
            </w:pPr>
            <w:r>
              <w:rPr>
                <w:color w:val="231F20"/>
                <w:spacing w:val="-2"/>
                <w:sz w:val="24"/>
              </w:rPr>
              <w:t>177,639</w:t>
            </w:r>
          </w:p>
        </w:tc>
        <w:tc>
          <w:tcPr>
            <w:tcW w:w="1418" w:type="dxa"/>
            <w:tcBorders>
              <w:top w:val="nil"/>
            </w:tcBorders>
          </w:tcPr>
          <w:p w14:paraId="2F3BC7DD" w14:textId="77777777" w:rsidR="00345EE3" w:rsidRDefault="00345EE3" w:rsidP="00D73130">
            <w:pPr>
              <w:pStyle w:val="TableParagraph"/>
              <w:spacing w:before="63"/>
              <w:ind w:right="55"/>
              <w:rPr>
                <w:sz w:val="24"/>
              </w:rPr>
            </w:pPr>
            <w:r>
              <w:rPr>
                <w:color w:val="231F20"/>
                <w:spacing w:val="-2"/>
                <w:sz w:val="24"/>
              </w:rPr>
              <w:t>(36,454)</w:t>
            </w:r>
          </w:p>
        </w:tc>
        <w:tc>
          <w:tcPr>
            <w:tcW w:w="1418" w:type="dxa"/>
            <w:tcBorders>
              <w:top w:val="nil"/>
              <w:right w:val="nil"/>
            </w:tcBorders>
          </w:tcPr>
          <w:p w14:paraId="236F3916" w14:textId="77777777" w:rsidR="00345EE3" w:rsidRDefault="00345EE3" w:rsidP="00D73130">
            <w:pPr>
              <w:pStyle w:val="TableParagraph"/>
              <w:spacing w:before="63"/>
              <w:ind w:right="56"/>
              <w:rPr>
                <w:sz w:val="24"/>
              </w:rPr>
            </w:pPr>
            <w:r>
              <w:rPr>
                <w:color w:val="231F20"/>
                <w:spacing w:val="-3"/>
                <w:sz w:val="24"/>
              </w:rPr>
              <w:t>-</w:t>
            </w:r>
            <w:r>
              <w:rPr>
                <w:color w:val="231F20"/>
                <w:spacing w:val="-5"/>
                <w:sz w:val="24"/>
              </w:rPr>
              <w:t>21%</w:t>
            </w:r>
          </w:p>
        </w:tc>
      </w:tr>
      <w:tr w:rsidR="00345EE3" w14:paraId="0433E2B5" w14:textId="77777777" w:rsidTr="00D73130">
        <w:trPr>
          <w:trHeight w:val="396"/>
        </w:trPr>
        <w:tc>
          <w:tcPr>
            <w:tcW w:w="9468" w:type="dxa"/>
            <w:tcBorders>
              <w:left w:val="nil"/>
            </w:tcBorders>
          </w:tcPr>
          <w:p w14:paraId="48C373A6" w14:textId="77777777" w:rsidR="00345EE3" w:rsidRDefault="00345EE3" w:rsidP="00D73130">
            <w:pPr>
              <w:pStyle w:val="TableParagraph"/>
              <w:spacing w:before="61"/>
              <w:ind w:left="-2"/>
              <w:jc w:val="left"/>
              <w:rPr>
                <w:sz w:val="24"/>
              </w:rPr>
            </w:pPr>
            <w:r>
              <w:rPr>
                <w:color w:val="231F20"/>
                <w:spacing w:val="-2"/>
                <w:sz w:val="24"/>
              </w:rPr>
              <w:t>Borrowings</w:t>
            </w:r>
          </w:p>
        </w:tc>
        <w:tc>
          <w:tcPr>
            <w:tcW w:w="1418" w:type="dxa"/>
            <w:shd w:val="clear" w:color="auto" w:fill="E6E7E8"/>
          </w:tcPr>
          <w:p w14:paraId="0D389022" w14:textId="77777777" w:rsidR="00345EE3" w:rsidRDefault="00345EE3" w:rsidP="00D73130">
            <w:pPr>
              <w:pStyle w:val="TableParagraph"/>
              <w:spacing w:before="61"/>
              <w:ind w:left="310"/>
              <w:jc w:val="left"/>
              <w:rPr>
                <w:sz w:val="24"/>
              </w:rPr>
            </w:pPr>
            <w:r>
              <w:rPr>
                <w:color w:val="231F20"/>
                <w:spacing w:val="-2"/>
                <w:sz w:val="24"/>
              </w:rPr>
              <w:t>1,865,742</w:t>
            </w:r>
          </w:p>
        </w:tc>
        <w:tc>
          <w:tcPr>
            <w:tcW w:w="1418" w:type="dxa"/>
          </w:tcPr>
          <w:p w14:paraId="4DFE203F" w14:textId="77777777" w:rsidR="00345EE3" w:rsidRDefault="00345EE3" w:rsidP="00D73130">
            <w:pPr>
              <w:pStyle w:val="TableParagraph"/>
              <w:spacing w:before="61"/>
              <w:ind w:right="55"/>
              <w:rPr>
                <w:sz w:val="24"/>
              </w:rPr>
            </w:pPr>
            <w:r>
              <w:rPr>
                <w:color w:val="231F20"/>
                <w:spacing w:val="-2"/>
                <w:sz w:val="24"/>
              </w:rPr>
              <w:t>1,870,160</w:t>
            </w:r>
          </w:p>
        </w:tc>
        <w:tc>
          <w:tcPr>
            <w:tcW w:w="1418" w:type="dxa"/>
          </w:tcPr>
          <w:p w14:paraId="2927FE0F" w14:textId="77777777" w:rsidR="00345EE3" w:rsidRDefault="00345EE3" w:rsidP="00D73130">
            <w:pPr>
              <w:pStyle w:val="TableParagraph"/>
              <w:spacing w:before="61"/>
              <w:ind w:right="55"/>
              <w:rPr>
                <w:sz w:val="24"/>
              </w:rPr>
            </w:pPr>
            <w:r>
              <w:rPr>
                <w:color w:val="231F20"/>
                <w:spacing w:val="-2"/>
                <w:sz w:val="24"/>
              </w:rPr>
              <w:t>(4,418)</w:t>
            </w:r>
          </w:p>
        </w:tc>
        <w:tc>
          <w:tcPr>
            <w:tcW w:w="1418" w:type="dxa"/>
            <w:tcBorders>
              <w:right w:val="nil"/>
            </w:tcBorders>
          </w:tcPr>
          <w:p w14:paraId="7E4A51DF" w14:textId="77777777" w:rsidR="00345EE3" w:rsidRDefault="00345EE3" w:rsidP="00D73130">
            <w:pPr>
              <w:pStyle w:val="TableParagraph"/>
              <w:spacing w:before="61"/>
              <w:ind w:right="56"/>
              <w:rPr>
                <w:sz w:val="24"/>
              </w:rPr>
            </w:pPr>
            <w:r>
              <w:rPr>
                <w:color w:val="231F20"/>
                <w:spacing w:val="-5"/>
                <w:sz w:val="24"/>
              </w:rPr>
              <w:t>0%</w:t>
            </w:r>
          </w:p>
        </w:tc>
      </w:tr>
      <w:tr w:rsidR="00345EE3" w14:paraId="74E22E25" w14:textId="77777777" w:rsidTr="00D73130">
        <w:trPr>
          <w:trHeight w:val="396"/>
        </w:trPr>
        <w:tc>
          <w:tcPr>
            <w:tcW w:w="9468" w:type="dxa"/>
            <w:tcBorders>
              <w:left w:val="nil"/>
              <w:bottom w:val="single" w:sz="2" w:space="0" w:color="231F20"/>
            </w:tcBorders>
          </w:tcPr>
          <w:p w14:paraId="558CF59F" w14:textId="77777777" w:rsidR="00345EE3" w:rsidRDefault="00345EE3" w:rsidP="00D73130">
            <w:pPr>
              <w:pStyle w:val="TableParagraph"/>
              <w:spacing w:before="61"/>
              <w:ind w:left="-2"/>
              <w:jc w:val="left"/>
              <w:rPr>
                <w:sz w:val="24"/>
              </w:rPr>
            </w:pPr>
            <w:r>
              <w:rPr>
                <w:color w:val="231F20"/>
                <w:spacing w:val="-2"/>
                <w:sz w:val="24"/>
              </w:rPr>
              <w:t>Provisions</w:t>
            </w:r>
          </w:p>
        </w:tc>
        <w:tc>
          <w:tcPr>
            <w:tcW w:w="1418" w:type="dxa"/>
            <w:tcBorders>
              <w:bottom w:val="single" w:sz="2" w:space="0" w:color="231F20"/>
            </w:tcBorders>
            <w:shd w:val="clear" w:color="auto" w:fill="E6E7E8"/>
          </w:tcPr>
          <w:p w14:paraId="1BB7B3A0" w14:textId="77777777" w:rsidR="00345EE3" w:rsidRDefault="00345EE3" w:rsidP="00D73130">
            <w:pPr>
              <w:pStyle w:val="TableParagraph"/>
              <w:spacing w:before="61"/>
              <w:ind w:right="54"/>
              <w:rPr>
                <w:sz w:val="24"/>
              </w:rPr>
            </w:pPr>
            <w:r>
              <w:rPr>
                <w:color w:val="231F20"/>
                <w:spacing w:val="-2"/>
                <w:sz w:val="24"/>
              </w:rPr>
              <w:t>842,589</w:t>
            </w:r>
          </w:p>
        </w:tc>
        <w:tc>
          <w:tcPr>
            <w:tcW w:w="1418" w:type="dxa"/>
            <w:tcBorders>
              <w:bottom w:val="single" w:sz="2" w:space="0" w:color="231F20"/>
            </w:tcBorders>
          </w:tcPr>
          <w:p w14:paraId="7172B2F3" w14:textId="77777777" w:rsidR="00345EE3" w:rsidRDefault="00345EE3" w:rsidP="00D73130">
            <w:pPr>
              <w:pStyle w:val="TableParagraph"/>
              <w:spacing w:before="61"/>
              <w:ind w:right="55"/>
              <w:rPr>
                <w:sz w:val="24"/>
              </w:rPr>
            </w:pPr>
            <w:r>
              <w:rPr>
                <w:color w:val="231F20"/>
                <w:spacing w:val="-2"/>
                <w:sz w:val="24"/>
              </w:rPr>
              <w:t>781,032</w:t>
            </w:r>
          </w:p>
        </w:tc>
        <w:tc>
          <w:tcPr>
            <w:tcW w:w="1418" w:type="dxa"/>
            <w:tcBorders>
              <w:bottom w:val="single" w:sz="2" w:space="0" w:color="231F20"/>
            </w:tcBorders>
          </w:tcPr>
          <w:p w14:paraId="58480C76" w14:textId="77777777" w:rsidR="00345EE3" w:rsidRDefault="00345EE3" w:rsidP="00D73130">
            <w:pPr>
              <w:pStyle w:val="TableParagraph"/>
              <w:spacing w:before="61"/>
              <w:ind w:right="55"/>
              <w:rPr>
                <w:sz w:val="24"/>
              </w:rPr>
            </w:pPr>
            <w:r>
              <w:rPr>
                <w:color w:val="231F20"/>
                <w:spacing w:val="-2"/>
                <w:sz w:val="24"/>
              </w:rPr>
              <w:t>61,557</w:t>
            </w:r>
          </w:p>
        </w:tc>
        <w:tc>
          <w:tcPr>
            <w:tcW w:w="1418" w:type="dxa"/>
            <w:tcBorders>
              <w:bottom w:val="single" w:sz="2" w:space="0" w:color="231F20"/>
              <w:right w:val="nil"/>
            </w:tcBorders>
          </w:tcPr>
          <w:p w14:paraId="5F12F231" w14:textId="77777777" w:rsidR="00345EE3" w:rsidRDefault="00345EE3" w:rsidP="00D73130">
            <w:pPr>
              <w:pStyle w:val="TableParagraph"/>
              <w:spacing w:before="61"/>
              <w:ind w:right="56"/>
              <w:rPr>
                <w:sz w:val="24"/>
              </w:rPr>
            </w:pPr>
            <w:r>
              <w:rPr>
                <w:color w:val="231F20"/>
                <w:spacing w:val="-5"/>
                <w:sz w:val="24"/>
              </w:rPr>
              <w:t>8%</w:t>
            </w:r>
          </w:p>
        </w:tc>
      </w:tr>
      <w:tr w:rsidR="00345EE3" w14:paraId="203A18A8" w14:textId="77777777" w:rsidTr="00D73130">
        <w:trPr>
          <w:trHeight w:val="396"/>
        </w:trPr>
        <w:tc>
          <w:tcPr>
            <w:tcW w:w="9468" w:type="dxa"/>
            <w:tcBorders>
              <w:top w:val="single" w:sz="2" w:space="0" w:color="231F20"/>
              <w:left w:val="nil"/>
              <w:bottom w:val="single" w:sz="2" w:space="0" w:color="231F20"/>
            </w:tcBorders>
          </w:tcPr>
          <w:p w14:paraId="2411344F" w14:textId="77777777" w:rsidR="00345EE3" w:rsidRDefault="00345EE3" w:rsidP="00D73130">
            <w:pPr>
              <w:pStyle w:val="TableParagraph"/>
              <w:spacing w:before="61"/>
              <w:ind w:left="-1"/>
              <w:jc w:val="left"/>
              <w:rPr>
                <w:b/>
                <w:sz w:val="24"/>
              </w:rPr>
            </w:pPr>
            <w:r>
              <w:rPr>
                <w:b/>
                <w:color w:val="231F20"/>
                <w:spacing w:val="-2"/>
                <w:sz w:val="24"/>
              </w:rPr>
              <w:t>Total</w:t>
            </w:r>
            <w:r>
              <w:rPr>
                <w:b/>
                <w:color w:val="231F20"/>
                <w:spacing w:val="-8"/>
                <w:sz w:val="24"/>
              </w:rPr>
              <w:t xml:space="preserve"> </w:t>
            </w:r>
            <w:r>
              <w:rPr>
                <w:b/>
                <w:color w:val="231F20"/>
                <w:spacing w:val="-2"/>
                <w:sz w:val="24"/>
              </w:rPr>
              <w:t>Liabilities</w:t>
            </w:r>
          </w:p>
        </w:tc>
        <w:tc>
          <w:tcPr>
            <w:tcW w:w="1418" w:type="dxa"/>
            <w:tcBorders>
              <w:top w:val="single" w:sz="2" w:space="0" w:color="231F20"/>
              <w:bottom w:val="single" w:sz="2" w:space="0" w:color="231F20"/>
            </w:tcBorders>
            <w:shd w:val="clear" w:color="auto" w:fill="E6E7E8"/>
          </w:tcPr>
          <w:p w14:paraId="43107FB5" w14:textId="77777777" w:rsidR="00345EE3" w:rsidRDefault="00345EE3" w:rsidP="00D73130">
            <w:pPr>
              <w:pStyle w:val="TableParagraph"/>
              <w:spacing w:before="61"/>
              <w:ind w:left="291"/>
              <w:jc w:val="left"/>
              <w:rPr>
                <w:b/>
                <w:sz w:val="24"/>
              </w:rPr>
            </w:pPr>
            <w:r>
              <w:rPr>
                <w:b/>
                <w:color w:val="231F20"/>
                <w:spacing w:val="-2"/>
                <w:sz w:val="24"/>
              </w:rPr>
              <w:t>2,849,516</w:t>
            </w:r>
          </w:p>
        </w:tc>
        <w:tc>
          <w:tcPr>
            <w:tcW w:w="1418" w:type="dxa"/>
            <w:tcBorders>
              <w:top w:val="single" w:sz="2" w:space="0" w:color="231F20"/>
              <w:bottom w:val="single" w:sz="2" w:space="0" w:color="231F20"/>
            </w:tcBorders>
          </w:tcPr>
          <w:p w14:paraId="6B0027C1" w14:textId="77777777" w:rsidR="00345EE3" w:rsidRDefault="00345EE3" w:rsidP="00D73130">
            <w:pPr>
              <w:pStyle w:val="TableParagraph"/>
              <w:spacing w:before="61"/>
              <w:ind w:right="52"/>
              <w:rPr>
                <w:b/>
                <w:sz w:val="24"/>
              </w:rPr>
            </w:pPr>
            <w:r>
              <w:rPr>
                <w:b/>
                <w:color w:val="231F20"/>
                <w:spacing w:val="-2"/>
                <w:sz w:val="24"/>
              </w:rPr>
              <w:t>2,828,831</w:t>
            </w:r>
          </w:p>
        </w:tc>
        <w:tc>
          <w:tcPr>
            <w:tcW w:w="1418" w:type="dxa"/>
            <w:tcBorders>
              <w:top w:val="single" w:sz="2" w:space="0" w:color="231F20"/>
              <w:bottom w:val="single" w:sz="2" w:space="0" w:color="231F20"/>
            </w:tcBorders>
          </w:tcPr>
          <w:p w14:paraId="000211A0" w14:textId="77777777" w:rsidR="00345EE3" w:rsidRDefault="00345EE3" w:rsidP="00D73130">
            <w:pPr>
              <w:pStyle w:val="TableParagraph"/>
              <w:spacing w:before="61"/>
              <w:ind w:right="53"/>
              <w:rPr>
                <w:b/>
                <w:sz w:val="24"/>
              </w:rPr>
            </w:pPr>
            <w:r>
              <w:rPr>
                <w:b/>
                <w:color w:val="231F20"/>
                <w:spacing w:val="-2"/>
                <w:sz w:val="24"/>
              </w:rPr>
              <w:t>20,685</w:t>
            </w:r>
          </w:p>
        </w:tc>
        <w:tc>
          <w:tcPr>
            <w:tcW w:w="1418" w:type="dxa"/>
            <w:tcBorders>
              <w:top w:val="single" w:sz="2" w:space="0" w:color="231F20"/>
              <w:bottom w:val="single" w:sz="2" w:space="0" w:color="231F20"/>
              <w:right w:val="nil"/>
            </w:tcBorders>
          </w:tcPr>
          <w:p w14:paraId="6A6ADA00" w14:textId="77777777" w:rsidR="00345EE3" w:rsidRDefault="00345EE3" w:rsidP="00D73130">
            <w:pPr>
              <w:pStyle w:val="TableParagraph"/>
              <w:spacing w:before="61"/>
              <w:ind w:right="-15"/>
              <w:rPr>
                <w:b/>
                <w:sz w:val="24"/>
              </w:rPr>
            </w:pPr>
            <w:r>
              <w:rPr>
                <w:b/>
                <w:color w:val="231F20"/>
                <w:spacing w:val="-5"/>
                <w:sz w:val="24"/>
              </w:rPr>
              <w:t>1%</w:t>
            </w:r>
          </w:p>
        </w:tc>
      </w:tr>
      <w:tr w:rsidR="00345EE3" w14:paraId="01DEE48D" w14:textId="77777777" w:rsidTr="00D73130">
        <w:trPr>
          <w:trHeight w:val="398"/>
        </w:trPr>
        <w:tc>
          <w:tcPr>
            <w:tcW w:w="9468" w:type="dxa"/>
            <w:tcBorders>
              <w:top w:val="single" w:sz="2" w:space="0" w:color="231F20"/>
              <w:left w:val="nil"/>
              <w:bottom w:val="nil"/>
            </w:tcBorders>
          </w:tcPr>
          <w:p w14:paraId="6FD0A086" w14:textId="77777777" w:rsidR="00345EE3" w:rsidRDefault="00345EE3" w:rsidP="00D73130">
            <w:pPr>
              <w:pStyle w:val="TableParagraph"/>
              <w:spacing w:before="61"/>
              <w:ind w:left="-1"/>
              <w:jc w:val="left"/>
              <w:rPr>
                <w:b/>
                <w:sz w:val="24"/>
              </w:rPr>
            </w:pPr>
            <w:r>
              <w:rPr>
                <w:b/>
                <w:color w:val="231F20"/>
                <w:sz w:val="24"/>
              </w:rPr>
              <w:t>NET</w:t>
            </w:r>
            <w:r>
              <w:rPr>
                <w:b/>
                <w:color w:val="231F20"/>
                <w:spacing w:val="-11"/>
                <w:sz w:val="24"/>
              </w:rPr>
              <w:t xml:space="preserve"> </w:t>
            </w:r>
            <w:r>
              <w:rPr>
                <w:b/>
                <w:color w:val="231F20"/>
                <w:spacing w:val="-2"/>
                <w:sz w:val="24"/>
              </w:rPr>
              <w:t>ASSETS</w:t>
            </w:r>
          </w:p>
        </w:tc>
        <w:tc>
          <w:tcPr>
            <w:tcW w:w="1418" w:type="dxa"/>
            <w:tcBorders>
              <w:top w:val="single" w:sz="2" w:space="0" w:color="231F20"/>
              <w:bottom w:val="nil"/>
            </w:tcBorders>
            <w:shd w:val="clear" w:color="auto" w:fill="E6E7E8"/>
          </w:tcPr>
          <w:p w14:paraId="31AB1710" w14:textId="77777777" w:rsidR="00345EE3" w:rsidRDefault="00345EE3" w:rsidP="00D73130">
            <w:pPr>
              <w:pStyle w:val="TableParagraph"/>
              <w:spacing w:before="61"/>
              <w:rPr>
                <w:b/>
                <w:sz w:val="24"/>
              </w:rPr>
            </w:pPr>
            <w:r>
              <w:rPr>
                <w:b/>
                <w:color w:val="231F20"/>
                <w:spacing w:val="-2"/>
                <w:sz w:val="24"/>
              </w:rPr>
              <w:t>1,972,934</w:t>
            </w:r>
          </w:p>
        </w:tc>
        <w:tc>
          <w:tcPr>
            <w:tcW w:w="1418" w:type="dxa"/>
            <w:tcBorders>
              <w:top w:val="single" w:sz="2" w:space="0" w:color="231F20"/>
              <w:bottom w:val="nil"/>
            </w:tcBorders>
          </w:tcPr>
          <w:p w14:paraId="0BA08753" w14:textId="77777777" w:rsidR="00345EE3" w:rsidRDefault="00345EE3" w:rsidP="00D73130">
            <w:pPr>
              <w:pStyle w:val="TableParagraph"/>
              <w:spacing w:before="61"/>
              <w:rPr>
                <w:b/>
                <w:sz w:val="24"/>
              </w:rPr>
            </w:pPr>
            <w:r>
              <w:rPr>
                <w:b/>
                <w:color w:val="231F20"/>
                <w:spacing w:val="-2"/>
                <w:sz w:val="24"/>
              </w:rPr>
              <w:t>1,969,836</w:t>
            </w:r>
          </w:p>
        </w:tc>
        <w:tc>
          <w:tcPr>
            <w:tcW w:w="1418" w:type="dxa"/>
            <w:tcBorders>
              <w:top w:val="single" w:sz="2" w:space="0" w:color="231F20"/>
              <w:bottom w:val="nil"/>
            </w:tcBorders>
          </w:tcPr>
          <w:p w14:paraId="28742BB5" w14:textId="77777777" w:rsidR="00345EE3" w:rsidRDefault="00345EE3" w:rsidP="00D73130">
            <w:pPr>
              <w:pStyle w:val="TableParagraph"/>
              <w:spacing w:before="61"/>
              <w:ind w:right="1"/>
              <w:rPr>
                <w:b/>
                <w:sz w:val="24"/>
              </w:rPr>
            </w:pPr>
            <w:r>
              <w:rPr>
                <w:b/>
                <w:color w:val="231F20"/>
                <w:spacing w:val="-2"/>
                <w:sz w:val="24"/>
              </w:rPr>
              <w:t>3,098</w:t>
            </w:r>
          </w:p>
        </w:tc>
        <w:tc>
          <w:tcPr>
            <w:tcW w:w="1418" w:type="dxa"/>
            <w:tcBorders>
              <w:top w:val="single" w:sz="2" w:space="0" w:color="231F20"/>
              <w:bottom w:val="nil"/>
              <w:right w:val="nil"/>
            </w:tcBorders>
          </w:tcPr>
          <w:p w14:paraId="0BBD8D35" w14:textId="77777777" w:rsidR="00345EE3" w:rsidRDefault="00345EE3" w:rsidP="00D73130">
            <w:pPr>
              <w:pStyle w:val="TableParagraph"/>
              <w:spacing w:before="61"/>
              <w:ind w:right="-15"/>
              <w:rPr>
                <w:b/>
                <w:sz w:val="24"/>
              </w:rPr>
            </w:pPr>
            <w:r>
              <w:rPr>
                <w:b/>
                <w:color w:val="231F20"/>
                <w:spacing w:val="-5"/>
                <w:sz w:val="24"/>
              </w:rPr>
              <w:t>0%</w:t>
            </w:r>
          </w:p>
        </w:tc>
      </w:tr>
      <w:tr w:rsidR="00345EE3" w14:paraId="2E0341B5" w14:textId="77777777" w:rsidTr="00D73130">
        <w:trPr>
          <w:trHeight w:val="401"/>
        </w:trPr>
        <w:tc>
          <w:tcPr>
            <w:tcW w:w="15140" w:type="dxa"/>
            <w:gridSpan w:val="5"/>
            <w:tcBorders>
              <w:top w:val="nil"/>
              <w:left w:val="nil"/>
              <w:bottom w:val="nil"/>
              <w:right w:val="nil"/>
            </w:tcBorders>
            <w:shd w:val="clear" w:color="auto" w:fill="D1D3D4"/>
          </w:tcPr>
          <w:p w14:paraId="5EF2B4D6" w14:textId="2DF052B0" w:rsidR="00345EE3" w:rsidRDefault="00345EE3" w:rsidP="00D73130">
            <w:pPr>
              <w:pStyle w:val="TableParagraph"/>
              <w:spacing w:before="0" w:line="20" w:lineRule="exact"/>
              <w:ind w:left="-3" w:right="-72"/>
              <w:jc w:val="left"/>
              <w:rPr>
                <w:sz w:val="2"/>
              </w:rPr>
            </w:pPr>
          </w:p>
          <w:p w14:paraId="201057C1" w14:textId="77777777" w:rsidR="00345EE3" w:rsidRDefault="00345EE3" w:rsidP="00D73130">
            <w:pPr>
              <w:pStyle w:val="TableParagraph"/>
              <w:spacing w:before="43"/>
              <w:ind w:left="1"/>
              <w:jc w:val="left"/>
              <w:rPr>
                <w:b/>
                <w:sz w:val="24"/>
              </w:rPr>
            </w:pPr>
            <w:r>
              <w:rPr>
                <w:b/>
                <w:color w:val="231F20"/>
                <w:spacing w:val="-2"/>
                <w:sz w:val="24"/>
              </w:rPr>
              <w:t>EQUITY</w:t>
            </w:r>
          </w:p>
        </w:tc>
      </w:tr>
      <w:tr w:rsidR="00345EE3" w14:paraId="292B298F" w14:textId="77777777" w:rsidTr="00D73130">
        <w:trPr>
          <w:trHeight w:val="398"/>
        </w:trPr>
        <w:tc>
          <w:tcPr>
            <w:tcW w:w="9468" w:type="dxa"/>
            <w:tcBorders>
              <w:top w:val="nil"/>
              <w:left w:val="nil"/>
            </w:tcBorders>
          </w:tcPr>
          <w:p w14:paraId="4DFC983E" w14:textId="77777777" w:rsidR="00345EE3" w:rsidRDefault="00345EE3" w:rsidP="00D73130">
            <w:pPr>
              <w:pStyle w:val="TableParagraph"/>
              <w:spacing w:before="63"/>
              <w:ind w:left="-2"/>
              <w:jc w:val="left"/>
              <w:rPr>
                <w:sz w:val="24"/>
              </w:rPr>
            </w:pPr>
            <w:r>
              <w:rPr>
                <w:color w:val="231F20"/>
                <w:sz w:val="24"/>
              </w:rPr>
              <w:t xml:space="preserve">Accumulated </w:t>
            </w:r>
            <w:r>
              <w:rPr>
                <w:color w:val="231F20"/>
                <w:spacing w:val="-2"/>
                <w:sz w:val="24"/>
              </w:rPr>
              <w:t>Surplus/(Deficit)</w:t>
            </w:r>
          </w:p>
        </w:tc>
        <w:tc>
          <w:tcPr>
            <w:tcW w:w="1418" w:type="dxa"/>
            <w:tcBorders>
              <w:top w:val="nil"/>
            </w:tcBorders>
            <w:shd w:val="clear" w:color="auto" w:fill="E6E7E8"/>
          </w:tcPr>
          <w:p w14:paraId="6E69540B" w14:textId="77777777" w:rsidR="00345EE3" w:rsidRDefault="00345EE3" w:rsidP="00D73130">
            <w:pPr>
              <w:pStyle w:val="TableParagraph"/>
              <w:spacing w:before="63"/>
              <w:ind w:right="54"/>
              <w:rPr>
                <w:sz w:val="24"/>
              </w:rPr>
            </w:pPr>
            <w:r>
              <w:rPr>
                <w:color w:val="231F20"/>
                <w:spacing w:val="-2"/>
                <w:sz w:val="24"/>
              </w:rPr>
              <w:t>136,752</w:t>
            </w:r>
          </w:p>
        </w:tc>
        <w:tc>
          <w:tcPr>
            <w:tcW w:w="1418" w:type="dxa"/>
            <w:tcBorders>
              <w:top w:val="nil"/>
            </w:tcBorders>
          </w:tcPr>
          <w:p w14:paraId="59CA1BD0" w14:textId="77777777" w:rsidR="00345EE3" w:rsidRDefault="00345EE3" w:rsidP="00D73130">
            <w:pPr>
              <w:pStyle w:val="TableParagraph"/>
              <w:spacing w:before="63"/>
              <w:ind w:right="55"/>
              <w:rPr>
                <w:sz w:val="24"/>
              </w:rPr>
            </w:pPr>
            <w:r>
              <w:rPr>
                <w:color w:val="231F20"/>
                <w:spacing w:val="-2"/>
                <w:sz w:val="24"/>
              </w:rPr>
              <w:t>51,980</w:t>
            </w:r>
          </w:p>
        </w:tc>
        <w:tc>
          <w:tcPr>
            <w:tcW w:w="1418" w:type="dxa"/>
            <w:tcBorders>
              <w:top w:val="nil"/>
            </w:tcBorders>
          </w:tcPr>
          <w:p w14:paraId="3999D11B" w14:textId="77777777" w:rsidR="00345EE3" w:rsidRDefault="00345EE3" w:rsidP="00D73130">
            <w:pPr>
              <w:pStyle w:val="TableParagraph"/>
              <w:spacing w:before="63"/>
              <w:ind w:right="55"/>
              <w:rPr>
                <w:sz w:val="24"/>
              </w:rPr>
            </w:pPr>
            <w:r>
              <w:rPr>
                <w:color w:val="231F20"/>
                <w:spacing w:val="-2"/>
                <w:sz w:val="24"/>
              </w:rPr>
              <w:t>84,772</w:t>
            </w:r>
          </w:p>
        </w:tc>
        <w:tc>
          <w:tcPr>
            <w:tcW w:w="1418" w:type="dxa"/>
            <w:tcBorders>
              <w:top w:val="nil"/>
              <w:right w:val="nil"/>
            </w:tcBorders>
          </w:tcPr>
          <w:p w14:paraId="5CF7CAC7" w14:textId="77777777" w:rsidR="00345EE3" w:rsidRDefault="00345EE3" w:rsidP="00D73130">
            <w:pPr>
              <w:pStyle w:val="TableParagraph"/>
              <w:spacing w:before="63"/>
              <w:ind w:right="56"/>
              <w:rPr>
                <w:sz w:val="24"/>
              </w:rPr>
            </w:pPr>
            <w:r>
              <w:rPr>
                <w:color w:val="231F20"/>
                <w:spacing w:val="-4"/>
                <w:sz w:val="24"/>
              </w:rPr>
              <w:t>163%</w:t>
            </w:r>
          </w:p>
        </w:tc>
      </w:tr>
      <w:tr w:rsidR="00345EE3" w14:paraId="1724124E" w14:textId="77777777" w:rsidTr="00D73130">
        <w:trPr>
          <w:trHeight w:val="396"/>
        </w:trPr>
        <w:tc>
          <w:tcPr>
            <w:tcW w:w="9468" w:type="dxa"/>
            <w:tcBorders>
              <w:left w:val="nil"/>
            </w:tcBorders>
          </w:tcPr>
          <w:p w14:paraId="77E610B0" w14:textId="77777777" w:rsidR="00345EE3" w:rsidRDefault="00345EE3" w:rsidP="00D73130">
            <w:pPr>
              <w:pStyle w:val="TableParagraph"/>
              <w:spacing w:before="61"/>
              <w:ind w:left="-2"/>
              <w:jc w:val="left"/>
              <w:rPr>
                <w:sz w:val="24"/>
              </w:rPr>
            </w:pPr>
            <w:r>
              <w:rPr>
                <w:color w:val="231F20"/>
                <w:spacing w:val="-2"/>
                <w:sz w:val="24"/>
              </w:rPr>
              <w:t>Reserves</w:t>
            </w:r>
          </w:p>
        </w:tc>
        <w:tc>
          <w:tcPr>
            <w:tcW w:w="1418" w:type="dxa"/>
            <w:shd w:val="clear" w:color="auto" w:fill="E6E7E8"/>
          </w:tcPr>
          <w:p w14:paraId="501B238D" w14:textId="77777777" w:rsidR="00345EE3" w:rsidRDefault="00345EE3" w:rsidP="00D73130">
            <w:pPr>
              <w:pStyle w:val="TableParagraph"/>
              <w:spacing w:before="61"/>
              <w:ind w:right="54"/>
              <w:rPr>
                <w:sz w:val="24"/>
              </w:rPr>
            </w:pPr>
            <w:r>
              <w:rPr>
                <w:color w:val="231F20"/>
                <w:spacing w:val="-2"/>
                <w:sz w:val="24"/>
              </w:rPr>
              <w:t>869,654</w:t>
            </w:r>
          </w:p>
        </w:tc>
        <w:tc>
          <w:tcPr>
            <w:tcW w:w="1418" w:type="dxa"/>
          </w:tcPr>
          <w:p w14:paraId="3C2FBC8D" w14:textId="77777777" w:rsidR="00345EE3" w:rsidRDefault="00345EE3" w:rsidP="00D73130">
            <w:pPr>
              <w:pStyle w:val="TableParagraph"/>
              <w:spacing w:before="61"/>
              <w:ind w:right="55"/>
              <w:rPr>
                <w:sz w:val="24"/>
              </w:rPr>
            </w:pPr>
            <w:r>
              <w:rPr>
                <w:color w:val="231F20"/>
                <w:spacing w:val="-2"/>
                <w:sz w:val="24"/>
              </w:rPr>
              <w:t>859,072</w:t>
            </w:r>
          </w:p>
        </w:tc>
        <w:tc>
          <w:tcPr>
            <w:tcW w:w="1418" w:type="dxa"/>
          </w:tcPr>
          <w:p w14:paraId="0E614F62" w14:textId="77777777" w:rsidR="00345EE3" w:rsidRDefault="00345EE3" w:rsidP="00D73130">
            <w:pPr>
              <w:pStyle w:val="TableParagraph"/>
              <w:spacing w:before="61"/>
              <w:ind w:right="55"/>
              <w:rPr>
                <w:sz w:val="24"/>
              </w:rPr>
            </w:pPr>
            <w:r>
              <w:rPr>
                <w:color w:val="231F20"/>
                <w:spacing w:val="-2"/>
                <w:sz w:val="24"/>
              </w:rPr>
              <w:t>10,582</w:t>
            </w:r>
          </w:p>
        </w:tc>
        <w:tc>
          <w:tcPr>
            <w:tcW w:w="1418" w:type="dxa"/>
            <w:tcBorders>
              <w:right w:val="nil"/>
            </w:tcBorders>
          </w:tcPr>
          <w:p w14:paraId="462F1421" w14:textId="77777777" w:rsidR="00345EE3" w:rsidRDefault="00345EE3" w:rsidP="00D73130">
            <w:pPr>
              <w:pStyle w:val="TableParagraph"/>
              <w:spacing w:before="61"/>
              <w:ind w:right="56"/>
              <w:rPr>
                <w:sz w:val="24"/>
              </w:rPr>
            </w:pPr>
            <w:r>
              <w:rPr>
                <w:color w:val="231F20"/>
                <w:spacing w:val="-5"/>
                <w:sz w:val="24"/>
              </w:rPr>
              <w:t>1%</w:t>
            </w:r>
          </w:p>
        </w:tc>
      </w:tr>
      <w:tr w:rsidR="00345EE3" w14:paraId="4205990C" w14:textId="77777777" w:rsidTr="00D73130">
        <w:trPr>
          <w:trHeight w:val="396"/>
        </w:trPr>
        <w:tc>
          <w:tcPr>
            <w:tcW w:w="9468" w:type="dxa"/>
            <w:tcBorders>
              <w:left w:val="nil"/>
              <w:bottom w:val="single" w:sz="2" w:space="0" w:color="231F20"/>
            </w:tcBorders>
          </w:tcPr>
          <w:p w14:paraId="5DDEE56B" w14:textId="77777777" w:rsidR="00345EE3" w:rsidRDefault="00345EE3" w:rsidP="00D73130">
            <w:pPr>
              <w:pStyle w:val="TableParagraph"/>
              <w:spacing w:before="61"/>
              <w:ind w:left="-1"/>
              <w:jc w:val="left"/>
              <w:rPr>
                <w:sz w:val="24"/>
              </w:rPr>
            </w:pPr>
            <w:r>
              <w:rPr>
                <w:color w:val="231F20"/>
                <w:sz w:val="24"/>
              </w:rPr>
              <w:t>Contributed</w:t>
            </w:r>
            <w:r>
              <w:rPr>
                <w:color w:val="231F20"/>
                <w:spacing w:val="-11"/>
                <w:sz w:val="24"/>
              </w:rPr>
              <w:t xml:space="preserve"> </w:t>
            </w:r>
            <w:r>
              <w:rPr>
                <w:color w:val="231F20"/>
                <w:spacing w:val="-2"/>
                <w:sz w:val="24"/>
              </w:rPr>
              <w:t>Capital</w:t>
            </w:r>
          </w:p>
        </w:tc>
        <w:tc>
          <w:tcPr>
            <w:tcW w:w="1418" w:type="dxa"/>
            <w:tcBorders>
              <w:bottom w:val="single" w:sz="2" w:space="0" w:color="231F20"/>
            </w:tcBorders>
            <w:shd w:val="clear" w:color="auto" w:fill="E6E7E8"/>
          </w:tcPr>
          <w:p w14:paraId="4B1424B8" w14:textId="77777777" w:rsidR="00345EE3" w:rsidRDefault="00345EE3" w:rsidP="00D73130">
            <w:pPr>
              <w:pStyle w:val="TableParagraph"/>
              <w:spacing w:before="61"/>
              <w:ind w:right="54"/>
              <w:rPr>
                <w:sz w:val="24"/>
              </w:rPr>
            </w:pPr>
            <w:r>
              <w:rPr>
                <w:color w:val="231F20"/>
                <w:spacing w:val="-2"/>
                <w:sz w:val="24"/>
              </w:rPr>
              <w:t>966,528</w:t>
            </w:r>
          </w:p>
        </w:tc>
        <w:tc>
          <w:tcPr>
            <w:tcW w:w="1418" w:type="dxa"/>
            <w:tcBorders>
              <w:bottom w:val="single" w:sz="2" w:space="0" w:color="231F20"/>
            </w:tcBorders>
          </w:tcPr>
          <w:p w14:paraId="5ED1816E" w14:textId="77777777" w:rsidR="00345EE3" w:rsidRDefault="00345EE3" w:rsidP="00D73130">
            <w:pPr>
              <w:pStyle w:val="TableParagraph"/>
              <w:spacing w:before="61"/>
              <w:ind w:right="55"/>
              <w:rPr>
                <w:sz w:val="24"/>
              </w:rPr>
            </w:pPr>
            <w:r>
              <w:rPr>
                <w:color w:val="231F20"/>
                <w:spacing w:val="-2"/>
                <w:sz w:val="24"/>
              </w:rPr>
              <w:t>1,058,784</w:t>
            </w:r>
          </w:p>
        </w:tc>
        <w:tc>
          <w:tcPr>
            <w:tcW w:w="1418" w:type="dxa"/>
            <w:tcBorders>
              <w:bottom w:val="single" w:sz="2" w:space="0" w:color="231F20"/>
            </w:tcBorders>
          </w:tcPr>
          <w:p w14:paraId="265F49F4" w14:textId="77777777" w:rsidR="00345EE3" w:rsidRDefault="00345EE3" w:rsidP="00D73130">
            <w:pPr>
              <w:pStyle w:val="TableParagraph"/>
              <w:spacing w:before="61"/>
              <w:ind w:right="55"/>
              <w:rPr>
                <w:sz w:val="24"/>
              </w:rPr>
            </w:pPr>
            <w:r>
              <w:rPr>
                <w:color w:val="231F20"/>
                <w:spacing w:val="-2"/>
                <w:sz w:val="24"/>
              </w:rPr>
              <w:t>(92,256)</w:t>
            </w:r>
          </w:p>
        </w:tc>
        <w:tc>
          <w:tcPr>
            <w:tcW w:w="1418" w:type="dxa"/>
            <w:tcBorders>
              <w:bottom w:val="single" w:sz="2" w:space="0" w:color="231F20"/>
              <w:right w:val="nil"/>
            </w:tcBorders>
          </w:tcPr>
          <w:p w14:paraId="30A4EC2F" w14:textId="77777777" w:rsidR="00345EE3" w:rsidRDefault="00345EE3" w:rsidP="00D73130">
            <w:pPr>
              <w:pStyle w:val="TableParagraph"/>
              <w:spacing w:before="61"/>
              <w:ind w:right="55"/>
              <w:rPr>
                <w:sz w:val="24"/>
              </w:rPr>
            </w:pPr>
            <w:r>
              <w:rPr>
                <w:color w:val="231F20"/>
                <w:spacing w:val="-3"/>
                <w:sz w:val="24"/>
              </w:rPr>
              <w:t>-</w:t>
            </w:r>
            <w:r>
              <w:rPr>
                <w:color w:val="231F20"/>
                <w:spacing w:val="-5"/>
                <w:sz w:val="24"/>
              </w:rPr>
              <w:t>9%</w:t>
            </w:r>
          </w:p>
        </w:tc>
      </w:tr>
      <w:tr w:rsidR="00345EE3" w14:paraId="472D0EE1" w14:textId="77777777" w:rsidTr="00D73130">
        <w:trPr>
          <w:trHeight w:val="391"/>
        </w:trPr>
        <w:tc>
          <w:tcPr>
            <w:tcW w:w="9468" w:type="dxa"/>
            <w:tcBorders>
              <w:top w:val="single" w:sz="2" w:space="0" w:color="231F20"/>
              <w:left w:val="nil"/>
              <w:bottom w:val="single" w:sz="6" w:space="0" w:color="231F20"/>
            </w:tcBorders>
          </w:tcPr>
          <w:p w14:paraId="6BCD3042" w14:textId="77777777" w:rsidR="00345EE3" w:rsidRDefault="00345EE3" w:rsidP="00D73130">
            <w:pPr>
              <w:pStyle w:val="TableParagraph"/>
              <w:spacing w:before="61"/>
              <w:ind w:left="-1"/>
              <w:jc w:val="left"/>
              <w:rPr>
                <w:b/>
                <w:sz w:val="24"/>
              </w:rPr>
            </w:pPr>
            <w:r>
              <w:rPr>
                <w:b/>
                <w:color w:val="231F20"/>
                <w:sz w:val="24"/>
              </w:rPr>
              <w:t>NET</w:t>
            </w:r>
            <w:r>
              <w:rPr>
                <w:b/>
                <w:color w:val="231F20"/>
                <w:spacing w:val="-3"/>
                <w:sz w:val="24"/>
              </w:rPr>
              <w:t xml:space="preserve"> </w:t>
            </w:r>
            <w:r>
              <w:rPr>
                <w:b/>
                <w:color w:val="231F20"/>
                <w:spacing w:val="-2"/>
                <w:sz w:val="24"/>
              </w:rPr>
              <w:t>WORTH</w:t>
            </w:r>
          </w:p>
        </w:tc>
        <w:tc>
          <w:tcPr>
            <w:tcW w:w="1418" w:type="dxa"/>
            <w:tcBorders>
              <w:top w:val="single" w:sz="2" w:space="0" w:color="231F20"/>
              <w:bottom w:val="single" w:sz="6" w:space="0" w:color="231F20"/>
            </w:tcBorders>
            <w:shd w:val="clear" w:color="auto" w:fill="E6E7E8"/>
          </w:tcPr>
          <w:p w14:paraId="39C13815" w14:textId="77777777" w:rsidR="00345EE3" w:rsidRDefault="00345EE3" w:rsidP="00D73130">
            <w:pPr>
              <w:pStyle w:val="TableParagraph"/>
              <w:spacing w:before="61"/>
              <w:ind w:left="291"/>
              <w:jc w:val="left"/>
              <w:rPr>
                <w:b/>
                <w:sz w:val="24"/>
              </w:rPr>
            </w:pPr>
            <w:r>
              <w:rPr>
                <w:b/>
                <w:color w:val="231F20"/>
                <w:spacing w:val="-2"/>
                <w:sz w:val="24"/>
              </w:rPr>
              <w:t>1,972,934</w:t>
            </w:r>
          </w:p>
        </w:tc>
        <w:tc>
          <w:tcPr>
            <w:tcW w:w="1418" w:type="dxa"/>
            <w:tcBorders>
              <w:top w:val="single" w:sz="2" w:space="0" w:color="231F20"/>
              <w:bottom w:val="single" w:sz="6" w:space="0" w:color="231F20"/>
            </w:tcBorders>
          </w:tcPr>
          <w:p w14:paraId="44914AE1" w14:textId="77777777" w:rsidR="00345EE3" w:rsidRDefault="00345EE3" w:rsidP="00D73130">
            <w:pPr>
              <w:pStyle w:val="TableParagraph"/>
              <w:spacing w:before="61"/>
              <w:ind w:right="52"/>
              <w:rPr>
                <w:b/>
                <w:sz w:val="24"/>
              </w:rPr>
            </w:pPr>
            <w:r>
              <w:rPr>
                <w:b/>
                <w:color w:val="231F20"/>
                <w:spacing w:val="-2"/>
                <w:sz w:val="24"/>
              </w:rPr>
              <w:t>1,969,836</w:t>
            </w:r>
          </w:p>
        </w:tc>
        <w:tc>
          <w:tcPr>
            <w:tcW w:w="1418" w:type="dxa"/>
            <w:tcBorders>
              <w:top w:val="single" w:sz="2" w:space="0" w:color="231F20"/>
              <w:bottom w:val="single" w:sz="6" w:space="0" w:color="231F20"/>
            </w:tcBorders>
          </w:tcPr>
          <w:p w14:paraId="14F27DFF" w14:textId="77777777" w:rsidR="00345EE3" w:rsidRDefault="00345EE3" w:rsidP="00D73130">
            <w:pPr>
              <w:pStyle w:val="TableParagraph"/>
              <w:spacing w:before="61"/>
              <w:ind w:right="52"/>
              <w:rPr>
                <w:b/>
                <w:sz w:val="24"/>
              </w:rPr>
            </w:pPr>
            <w:r>
              <w:rPr>
                <w:b/>
                <w:color w:val="231F20"/>
                <w:spacing w:val="-2"/>
                <w:sz w:val="24"/>
              </w:rPr>
              <w:t>3,098</w:t>
            </w:r>
          </w:p>
        </w:tc>
        <w:tc>
          <w:tcPr>
            <w:tcW w:w="1418" w:type="dxa"/>
            <w:tcBorders>
              <w:top w:val="single" w:sz="2" w:space="0" w:color="231F20"/>
              <w:bottom w:val="single" w:sz="6" w:space="0" w:color="231F20"/>
              <w:right w:val="nil"/>
            </w:tcBorders>
          </w:tcPr>
          <w:p w14:paraId="35D85476" w14:textId="77777777" w:rsidR="00345EE3" w:rsidRDefault="00345EE3" w:rsidP="00D73130">
            <w:pPr>
              <w:pStyle w:val="TableParagraph"/>
              <w:spacing w:before="61"/>
              <w:ind w:right="53"/>
              <w:rPr>
                <w:b/>
                <w:sz w:val="24"/>
              </w:rPr>
            </w:pPr>
            <w:r>
              <w:rPr>
                <w:b/>
                <w:color w:val="231F20"/>
                <w:spacing w:val="-5"/>
                <w:sz w:val="24"/>
              </w:rPr>
              <w:t>0%</w:t>
            </w:r>
          </w:p>
        </w:tc>
      </w:tr>
    </w:tbl>
    <w:p w14:paraId="26A0A9AD" w14:textId="73D92077" w:rsidR="00345EE3" w:rsidRDefault="00345EE3" w:rsidP="00345EE3">
      <w:pPr>
        <w:spacing w:before="99"/>
        <w:ind w:left="110"/>
        <w:rPr>
          <w:rFonts w:ascii="Arial-BoldItalicMT"/>
          <w:b/>
          <w:i/>
          <w:sz w:val="14"/>
        </w:rPr>
      </w:pPr>
      <w:r>
        <w:rPr>
          <w:rFonts w:ascii="Arial-BoldItalicMT"/>
          <w:b/>
          <w:i/>
          <w:color w:val="231F20"/>
          <w:spacing w:val="-2"/>
          <w:sz w:val="14"/>
        </w:rPr>
        <w:t>Note:</w:t>
      </w:r>
    </w:p>
    <w:p w14:paraId="7C9A26D0" w14:textId="77777777" w:rsidR="00345EE3" w:rsidRDefault="00345EE3" w:rsidP="00345EE3">
      <w:pPr>
        <w:spacing w:before="27"/>
        <w:ind w:left="110"/>
        <w:rPr>
          <w:sz w:val="14"/>
        </w:rPr>
      </w:pPr>
      <w:r>
        <w:rPr>
          <w:color w:val="231F20"/>
          <w:sz w:val="14"/>
        </w:rPr>
        <w:t>The</w:t>
      </w:r>
      <w:r>
        <w:rPr>
          <w:color w:val="231F20"/>
          <w:spacing w:val="-2"/>
          <w:sz w:val="14"/>
        </w:rPr>
        <w:t xml:space="preserve"> </w:t>
      </w:r>
      <w:r>
        <w:rPr>
          <w:color w:val="231F20"/>
          <w:sz w:val="14"/>
        </w:rPr>
        <w:t>budget</w:t>
      </w:r>
      <w:r>
        <w:rPr>
          <w:color w:val="231F20"/>
          <w:spacing w:val="-1"/>
          <w:sz w:val="14"/>
        </w:rPr>
        <w:t xml:space="preserve"> </w:t>
      </w:r>
      <w:r>
        <w:rPr>
          <w:color w:val="231F20"/>
          <w:sz w:val="14"/>
        </w:rPr>
        <w:t>portfolio</w:t>
      </w:r>
      <w:r>
        <w:rPr>
          <w:color w:val="231F20"/>
          <w:spacing w:val="-1"/>
          <w:sz w:val="14"/>
        </w:rPr>
        <w:t xml:space="preserve"> </w:t>
      </w:r>
      <w:r>
        <w:rPr>
          <w:color w:val="231F20"/>
          <w:sz w:val="14"/>
        </w:rPr>
        <w:t>outcome</w:t>
      </w:r>
      <w:r>
        <w:rPr>
          <w:color w:val="231F20"/>
          <w:spacing w:val="-2"/>
          <w:sz w:val="14"/>
        </w:rPr>
        <w:t xml:space="preserve"> </w:t>
      </w:r>
      <w:r>
        <w:rPr>
          <w:color w:val="231F20"/>
          <w:sz w:val="14"/>
        </w:rPr>
        <w:t>statements</w:t>
      </w:r>
      <w:r>
        <w:rPr>
          <w:color w:val="231F20"/>
          <w:spacing w:val="-1"/>
          <w:sz w:val="14"/>
        </w:rPr>
        <w:t xml:space="preserve"> </w:t>
      </w:r>
      <w:r>
        <w:rPr>
          <w:color w:val="231F20"/>
          <w:sz w:val="14"/>
        </w:rPr>
        <w:t>are</w:t>
      </w:r>
      <w:r>
        <w:rPr>
          <w:color w:val="231F20"/>
          <w:spacing w:val="-1"/>
          <w:sz w:val="14"/>
        </w:rPr>
        <w:t xml:space="preserve"> </w:t>
      </w:r>
      <w:r>
        <w:rPr>
          <w:color w:val="231F20"/>
          <w:sz w:val="14"/>
        </w:rPr>
        <w:t>not</w:t>
      </w:r>
      <w:r>
        <w:rPr>
          <w:color w:val="231F20"/>
          <w:spacing w:val="-1"/>
          <w:sz w:val="14"/>
        </w:rPr>
        <w:t xml:space="preserve"> </w:t>
      </w:r>
      <w:r>
        <w:rPr>
          <w:color w:val="231F20"/>
          <w:sz w:val="14"/>
        </w:rPr>
        <w:t>prepared</w:t>
      </w:r>
      <w:r>
        <w:rPr>
          <w:color w:val="231F20"/>
          <w:spacing w:val="-2"/>
          <w:sz w:val="14"/>
        </w:rPr>
        <w:t xml:space="preserve"> </w:t>
      </w:r>
      <w:r>
        <w:rPr>
          <w:color w:val="231F20"/>
          <w:sz w:val="14"/>
        </w:rPr>
        <w:t>on</w:t>
      </w:r>
      <w:r>
        <w:rPr>
          <w:color w:val="231F20"/>
          <w:spacing w:val="-1"/>
          <w:sz w:val="14"/>
        </w:rPr>
        <w:t xml:space="preserve"> </w:t>
      </w:r>
      <w:r>
        <w:rPr>
          <w:color w:val="231F20"/>
          <w:sz w:val="14"/>
        </w:rPr>
        <w:t>the</w:t>
      </w:r>
      <w:r>
        <w:rPr>
          <w:color w:val="231F20"/>
          <w:spacing w:val="-1"/>
          <w:sz w:val="14"/>
        </w:rPr>
        <w:t xml:space="preserve"> </w:t>
      </w:r>
      <w:r>
        <w:rPr>
          <w:color w:val="231F20"/>
          <w:sz w:val="14"/>
        </w:rPr>
        <w:t>same</w:t>
      </w:r>
      <w:r>
        <w:rPr>
          <w:color w:val="231F20"/>
          <w:spacing w:val="-1"/>
          <w:sz w:val="14"/>
        </w:rPr>
        <w:t xml:space="preserve"> </w:t>
      </w:r>
      <w:r>
        <w:rPr>
          <w:color w:val="231F20"/>
          <w:sz w:val="14"/>
        </w:rPr>
        <w:t>basis</w:t>
      </w:r>
      <w:r>
        <w:rPr>
          <w:color w:val="231F20"/>
          <w:spacing w:val="-2"/>
          <w:sz w:val="14"/>
        </w:rPr>
        <w:t xml:space="preserve"> </w:t>
      </w:r>
      <w:r>
        <w:rPr>
          <w:color w:val="231F20"/>
          <w:sz w:val="14"/>
        </w:rPr>
        <w:t>as</w:t>
      </w:r>
      <w:r>
        <w:rPr>
          <w:color w:val="231F20"/>
          <w:spacing w:val="-1"/>
          <w:sz w:val="14"/>
        </w:rPr>
        <w:t xml:space="preserve"> </w:t>
      </w:r>
      <w:r>
        <w:rPr>
          <w:color w:val="231F20"/>
          <w:sz w:val="14"/>
        </w:rPr>
        <w:t>the</w:t>
      </w:r>
      <w:r>
        <w:rPr>
          <w:color w:val="231F20"/>
          <w:spacing w:val="-1"/>
          <w:sz w:val="14"/>
        </w:rPr>
        <w:t xml:space="preserve"> </w:t>
      </w:r>
      <w:r>
        <w:rPr>
          <w:color w:val="231F20"/>
          <w:sz w:val="14"/>
        </w:rPr>
        <w:t>Annual</w:t>
      </w:r>
      <w:r>
        <w:rPr>
          <w:color w:val="231F20"/>
          <w:spacing w:val="-2"/>
          <w:sz w:val="14"/>
        </w:rPr>
        <w:t xml:space="preserve"> </w:t>
      </w:r>
      <w:r>
        <w:rPr>
          <w:color w:val="231F20"/>
          <w:sz w:val="14"/>
        </w:rPr>
        <w:t>Financial</w:t>
      </w:r>
      <w:r>
        <w:rPr>
          <w:color w:val="231F20"/>
          <w:spacing w:val="-1"/>
          <w:sz w:val="14"/>
        </w:rPr>
        <w:t xml:space="preserve"> </w:t>
      </w:r>
      <w:r>
        <w:rPr>
          <w:color w:val="231F20"/>
          <w:sz w:val="14"/>
        </w:rPr>
        <w:t>Statements</w:t>
      </w:r>
      <w:r>
        <w:rPr>
          <w:color w:val="231F20"/>
          <w:spacing w:val="-1"/>
          <w:sz w:val="14"/>
        </w:rPr>
        <w:t xml:space="preserve"> </w:t>
      </w:r>
      <w:r>
        <w:rPr>
          <w:color w:val="231F20"/>
          <w:sz w:val="14"/>
        </w:rPr>
        <w:t>due</w:t>
      </w:r>
      <w:r>
        <w:rPr>
          <w:color w:val="231F20"/>
          <w:spacing w:val="-1"/>
          <w:sz w:val="14"/>
        </w:rPr>
        <w:t xml:space="preserve"> </w:t>
      </w:r>
      <w:r>
        <w:rPr>
          <w:color w:val="231F20"/>
          <w:sz w:val="14"/>
        </w:rPr>
        <w:t>to</w:t>
      </w:r>
      <w:r>
        <w:rPr>
          <w:color w:val="231F20"/>
          <w:spacing w:val="-2"/>
          <w:sz w:val="14"/>
        </w:rPr>
        <w:t xml:space="preserve"> </w:t>
      </w:r>
      <w:r>
        <w:rPr>
          <w:color w:val="231F20"/>
          <w:sz w:val="14"/>
        </w:rPr>
        <w:t>differences</w:t>
      </w:r>
      <w:r>
        <w:rPr>
          <w:color w:val="231F20"/>
          <w:spacing w:val="-1"/>
          <w:sz w:val="14"/>
        </w:rPr>
        <w:t xml:space="preserve"> </w:t>
      </w:r>
      <w:r>
        <w:rPr>
          <w:color w:val="231F20"/>
          <w:sz w:val="14"/>
        </w:rPr>
        <w:t>in</w:t>
      </w:r>
      <w:r>
        <w:rPr>
          <w:color w:val="231F20"/>
          <w:spacing w:val="-1"/>
          <w:sz w:val="14"/>
        </w:rPr>
        <w:t xml:space="preserve"> </w:t>
      </w:r>
      <w:r>
        <w:rPr>
          <w:color w:val="231F20"/>
          <w:sz w:val="14"/>
        </w:rPr>
        <w:t>the</w:t>
      </w:r>
      <w:r>
        <w:rPr>
          <w:color w:val="231F20"/>
          <w:spacing w:val="-1"/>
          <w:sz w:val="14"/>
        </w:rPr>
        <w:t xml:space="preserve"> </w:t>
      </w:r>
      <w:r>
        <w:rPr>
          <w:color w:val="231F20"/>
          <w:sz w:val="14"/>
        </w:rPr>
        <w:t>mapping</w:t>
      </w:r>
      <w:r>
        <w:rPr>
          <w:color w:val="231F20"/>
          <w:spacing w:val="-2"/>
          <w:sz w:val="14"/>
        </w:rPr>
        <w:t xml:space="preserve"> </w:t>
      </w:r>
      <w:r>
        <w:rPr>
          <w:color w:val="231F20"/>
          <w:sz w:val="14"/>
        </w:rPr>
        <w:t>between</w:t>
      </w:r>
      <w:r>
        <w:rPr>
          <w:color w:val="231F20"/>
          <w:spacing w:val="-1"/>
          <w:sz w:val="14"/>
        </w:rPr>
        <w:t xml:space="preserve"> </w:t>
      </w:r>
      <w:r>
        <w:rPr>
          <w:color w:val="231F20"/>
          <w:sz w:val="14"/>
        </w:rPr>
        <w:t>Actuals</w:t>
      </w:r>
      <w:r>
        <w:rPr>
          <w:color w:val="231F20"/>
          <w:spacing w:val="-1"/>
          <w:sz w:val="14"/>
        </w:rPr>
        <w:t xml:space="preserve"> </w:t>
      </w:r>
      <w:r>
        <w:rPr>
          <w:color w:val="231F20"/>
          <w:sz w:val="14"/>
        </w:rPr>
        <w:t>and</w:t>
      </w:r>
      <w:r>
        <w:rPr>
          <w:color w:val="231F20"/>
          <w:spacing w:val="-1"/>
          <w:sz w:val="14"/>
        </w:rPr>
        <w:t xml:space="preserve"> </w:t>
      </w:r>
      <w:r>
        <w:rPr>
          <w:color w:val="231F20"/>
          <w:spacing w:val="-2"/>
          <w:sz w:val="14"/>
        </w:rPr>
        <w:t>Budget.</w:t>
      </w:r>
    </w:p>
    <w:p w14:paraId="40CFF904" w14:textId="77777777" w:rsidR="00345EE3" w:rsidRDefault="00345EE3" w:rsidP="00345EE3">
      <w:pPr>
        <w:rPr>
          <w:sz w:val="14"/>
        </w:rPr>
        <w:sectPr w:rsidR="00345EE3">
          <w:type w:val="continuous"/>
          <w:pgSz w:w="16840" w:h="11910" w:orient="landscape"/>
          <w:pgMar w:top="820" w:right="740" w:bottom="280" w:left="740" w:header="720" w:footer="720" w:gutter="0"/>
          <w:cols w:space="720"/>
        </w:sectPr>
      </w:pPr>
    </w:p>
    <w:p w14:paraId="0590E73F" w14:textId="6BBF7AD3" w:rsidR="00345EE3" w:rsidRDefault="00345EE3" w:rsidP="00345EE3">
      <w:pPr>
        <w:spacing w:before="78" w:after="60"/>
        <w:ind w:left="110"/>
      </w:pPr>
      <w:r>
        <w:rPr>
          <w:color w:val="231F20"/>
        </w:rPr>
        <w:t>Cash</w:t>
      </w:r>
      <w:r>
        <w:rPr>
          <w:color w:val="231F20"/>
          <w:spacing w:val="-2"/>
        </w:rPr>
        <w:t xml:space="preserve"> </w:t>
      </w:r>
      <w:r>
        <w:rPr>
          <w:color w:val="231F20"/>
        </w:rPr>
        <w:t>Flow</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financial</w:t>
      </w:r>
      <w:r>
        <w:rPr>
          <w:color w:val="231F20"/>
          <w:spacing w:val="-1"/>
        </w:rPr>
        <w:t xml:space="preserve"> </w:t>
      </w:r>
      <w:r>
        <w:rPr>
          <w:color w:val="231F20"/>
        </w:rPr>
        <w:t>year</w:t>
      </w:r>
      <w:r>
        <w:rPr>
          <w:color w:val="231F20"/>
          <w:spacing w:val="-1"/>
        </w:rPr>
        <w:t xml:space="preserve"> </w:t>
      </w:r>
      <w:r>
        <w:rPr>
          <w:color w:val="231F20"/>
        </w:rPr>
        <w:t>ended</w:t>
      </w:r>
      <w:r>
        <w:rPr>
          <w:color w:val="231F20"/>
          <w:spacing w:val="-2"/>
        </w:rPr>
        <w:t xml:space="preserve"> </w:t>
      </w:r>
      <w:r>
        <w:rPr>
          <w:color w:val="231F20"/>
        </w:rPr>
        <w:t>30</w:t>
      </w:r>
      <w:r>
        <w:rPr>
          <w:color w:val="231F20"/>
          <w:spacing w:val="-2"/>
        </w:rPr>
        <w:t xml:space="preserve"> </w:t>
      </w:r>
      <w:r>
        <w:rPr>
          <w:color w:val="231F20"/>
        </w:rPr>
        <w:t xml:space="preserve">June </w:t>
      </w:r>
      <w:r>
        <w:rPr>
          <w:color w:val="231F20"/>
          <w:spacing w:val="-4"/>
        </w:rPr>
        <w:t>2022</w:t>
      </w:r>
    </w:p>
    <w:tbl>
      <w:tblPr>
        <w:tblW w:w="0" w:type="auto"/>
        <w:tblInd w:w="117" w:type="dxa"/>
        <w:tblLayout w:type="fixed"/>
        <w:tblCellMar>
          <w:left w:w="0" w:type="dxa"/>
          <w:right w:w="0" w:type="dxa"/>
        </w:tblCellMar>
        <w:tblLook w:val="01E0" w:firstRow="1" w:lastRow="1" w:firstColumn="1" w:lastColumn="1" w:noHBand="0" w:noVBand="0"/>
      </w:tblPr>
      <w:tblGrid>
        <w:gridCol w:w="11128"/>
        <w:gridCol w:w="1339"/>
        <w:gridCol w:w="1417"/>
        <w:gridCol w:w="1252"/>
      </w:tblGrid>
      <w:tr w:rsidR="00345EE3" w14:paraId="67822D90" w14:textId="77777777" w:rsidTr="00D73130">
        <w:trPr>
          <w:trHeight w:val="405"/>
        </w:trPr>
        <w:tc>
          <w:tcPr>
            <w:tcW w:w="11128" w:type="dxa"/>
            <w:shd w:val="clear" w:color="auto" w:fill="00529F"/>
          </w:tcPr>
          <w:p w14:paraId="230418BB" w14:textId="77777777" w:rsidR="00345EE3" w:rsidRDefault="00345EE3" w:rsidP="00D73130">
            <w:pPr>
              <w:pStyle w:val="TableParagraph"/>
              <w:spacing w:before="63"/>
              <w:ind w:right="300"/>
              <w:rPr>
                <w:b/>
                <w:sz w:val="24"/>
              </w:rPr>
            </w:pPr>
            <w:r>
              <w:rPr>
                <w:b/>
                <w:color w:val="FFFFFF"/>
                <w:spacing w:val="-2"/>
                <w:sz w:val="24"/>
              </w:rPr>
              <w:t>Actual</w:t>
            </w:r>
          </w:p>
        </w:tc>
        <w:tc>
          <w:tcPr>
            <w:tcW w:w="1339" w:type="dxa"/>
            <w:shd w:val="clear" w:color="auto" w:fill="00529F"/>
          </w:tcPr>
          <w:p w14:paraId="6F35844A" w14:textId="77777777" w:rsidR="00345EE3" w:rsidRDefault="00345EE3" w:rsidP="00D73130">
            <w:pPr>
              <w:pStyle w:val="TableParagraph"/>
              <w:spacing w:before="63"/>
              <w:ind w:right="222"/>
              <w:rPr>
                <w:b/>
                <w:sz w:val="24"/>
              </w:rPr>
            </w:pPr>
            <w:r>
              <w:rPr>
                <w:b/>
                <w:color w:val="FFFFFF"/>
                <w:spacing w:val="-2"/>
                <w:sz w:val="24"/>
              </w:rPr>
              <w:t>Budget</w:t>
            </w:r>
          </w:p>
        </w:tc>
        <w:tc>
          <w:tcPr>
            <w:tcW w:w="1417" w:type="dxa"/>
            <w:shd w:val="clear" w:color="auto" w:fill="00529F"/>
          </w:tcPr>
          <w:p w14:paraId="7320FA39" w14:textId="77777777" w:rsidR="00345EE3" w:rsidRDefault="00345EE3" w:rsidP="00D73130">
            <w:pPr>
              <w:pStyle w:val="TableParagraph"/>
              <w:spacing w:before="63"/>
              <w:ind w:right="221"/>
              <w:rPr>
                <w:b/>
                <w:sz w:val="24"/>
              </w:rPr>
            </w:pPr>
            <w:r>
              <w:rPr>
                <w:b/>
                <w:color w:val="FFFFFF"/>
                <w:spacing w:val="-2"/>
                <w:sz w:val="24"/>
              </w:rPr>
              <w:t>Variance</w:t>
            </w:r>
          </w:p>
        </w:tc>
        <w:tc>
          <w:tcPr>
            <w:tcW w:w="1252" w:type="dxa"/>
            <w:shd w:val="clear" w:color="auto" w:fill="00529F"/>
          </w:tcPr>
          <w:p w14:paraId="532C59E9" w14:textId="77777777" w:rsidR="00345EE3" w:rsidRDefault="00345EE3" w:rsidP="00D73130">
            <w:pPr>
              <w:pStyle w:val="TableParagraph"/>
              <w:spacing w:before="63"/>
              <w:ind w:right="56"/>
              <w:rPr>
                <w:b/>
                <w:sz w:val="24"/>
              </w:rPr>
            </w:pPr>
            <w:r>
              <w:rPr>
                <w:b/>
                <w:color w:val="FFFFFF"/>
                <w:spacing w:val="-2"/>
                <w:sz w:val="24"/>
              </w:rPr>
              <w:t>Variance</w:t>
            </w:r>
          </w:p>
        </w:tc>
      </w:tr>
      <w:tr w:rsidR="00345EE3" w14:paraId="54DAA7BA" w14:textId="77777777" w:rsidTr="00D73130">
        <w:trPr>
          <w:trHeight w:val="397"/>
        </w:trPr>
        <w:tc>
          <w:tcPr>
            <w:tcW w:w="11128" w:type="dxa"/>
            <w:shd w:val="clear" w:color="auto" w:fill="00529F"/>
          </w:tcPr>
          <w:p w14:paraId="081AD910" w14:textId="77777777" w:rsidR="00345EE3" w:rsidRDefault="00345EE3" w:rsidP="00D73130">
            <w:pPr>
              <w:pStyle w:val="TableParagraph"/>
              <w:spacing w:before="59"/>
              <w:ind w:right="300"/>
              <w:rPr>
                <w:b/>
                <w:sz w:val="24"/>
              </w:rPr>
            </w:pPr>
            <w:r>
              <w:rPr>
                <w:b/>
                <w:color w:val="FFFFFF"/>
                <w:spacing w:val="-2"/>
                <w:sz w:val="24"/>
              </w:rPr>
              <w:t>$’000</w:t>
            </w:r>
          </w:p>
        </w:tc>
        <w:tc>
          <w:tcPr>
            <w:tcW w:w="1339" w:type="dxa"/>
            <w:shd w:val="clear" w:color="auto" w:fill="00529F"/>
          </w:tcPr>
          <w:p w14:paraId="0905F5EF" w14:textId="77777777" w:rsidR="00345EE3" w:rsidRDefault="00345EE3" w:rsidP="00D73130">
            <w:pPr>
              <w:pStyle w:val="TableParagraph"/>
              <w:spacing w:before="59"/>
              <w:ind w:right="221"/>
              <w:rPr>
                <w:b/>
                <w:sz w:val="24"/>
              </w:rPr>
            </w:pPr>
            <w:r>
              <w:rPr>
                <w:b/>
                <w:color w:val="FFFFFF"/>
                <w:spacing w:val="-2"/>
                <w:sz w:val="24"/>
              </w:rPr>
              <w:t>$’000</w:t>
            </w:r>
          </w:p>
        </w:tc>
        <w:tc>
          <w:tcPr>
            <w:tcW w:w="1417" w:type="dxa"/>
            <w:shd w:val="clear" w:color="auto" w:fill="00529F"/>
          </w:tcPr>
          <w:p w14:paraId="44B8915D" w14:textId="77777777" w:rsidR="00345EE3" w:rsidRDefault="00345EE3" w:rsidP="00D73130">
            <w:pPr>
              <w:pStyle w:val="TableParagraph"/>
              <w:spacing w:before="59"/>
              <w:ind w:right="221"/>
              <w:rPr>
                <w:b/>
                <w:sz w:val="24"/>
              </w:rPr>
            </w:pPr>
            <w:r>
              <w:rPr>
                <w:b/>
                <w:color w:val="FFFFFF"/>
                <w:spacing w:val="-2"/>
                <w:sz w:val="24"/>
              </w:rPr>
              <w:t>$’000</w:t>
            </w:r>
          </w:p>
        </w:tc>
        <w:tc>
          <w:tcPr>
            <w:tcW w:w="1252" w:type="dxa"/>
            <w:shd w:val="clear" w:color="auto" w:fill="00529F"/>
          </w:tcPr>
          <w:p w14:paraId="77AD77D2" w14:textId="77777777" w:rsidR="00345EE3" w:rsidRDefault="00345EE3" w:rsidP="00D73130">
            <w:pPr>
              <w:pStyle w:val="TableParagraph"/>
              <w:spacing w:before="59"/>
              <w:ind w:right="53"/>
              <w:rPr>
                <w:b/>
                <w:sz w:val="24"/>
              </w:rPr>
            </w:pPr>
            <w:r>
              <w:rPr>
                <w:b/>
                <w:color w:val="FFFFFF"/>
                <w:sz w:val="24"/>
              </w:rPr>
              <w:t>%</w:t>
            </w:r>
          </w:p>
        </w:tc>
      </w:tr>
      <w:tr w:rsidR="00345EE3" w14:paraId="2BE84FB6" w14:textId="77777777" w:rsidTr="00D73130">
        <w:trPr>
          <w:trHeight w:val="396"/>
        </w:trPr>
        <w:tc>
          <w:tcPr>
            <w:tcW w:w="15136" w:type="dxa"/>
            <w:gridSpan w:val="4"/>
            <w:tcBorders>
              <w:bottom w:val="single" w:sz="2" w:space="0" w:color="939598"/>
            </w:tcBorders>
            <w:shd w:val="clear" w:color="auto" w:fill="D1D3D4"/>
          </w:tcPr>
          <w:p w14:paraId="63616EE6" w14:textId="77777777" w:rsidR="00345EE3" w:rsidRDefault="00345EE3" w:rsidP="00D73130">
            <w:pPr>
              <w:pStyle w:val="TableParagraph"/>
              <w:ind w:left="-1"/>
              <w:jc w:val="left"/>
              <w:rPr>
                <w:b/>
                <w:sz w:val="24"/>
              </w:rPr>
            </w:pP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Operating</w:t>
            </w:r>
            <w:r>
              <w:rPr>
                <w:b/>
                <w:color w:val="231F20"/>
                <w:spacing w:val="-10"/>
                <w:sz w:val="24"/>
              </w:rPr>
              <w:t xml:space="preserve"> </w:t>
            </w:r>
            <w:r>
              <w:rPr>
                <w:b/>
                <w:color w:val="231F20"/>
                <w:spacing w:val="-2"/>
                <w:sz w:val="24"/>
              </w:rPr>
              <w:t>Activities</w:t>
            </w:r>
          </w:p>
        </w:tc>
      </w:tr>
    </w:tbl>
    <w:p w14:paraId="0A46D103" w14:textId="77777777" w:rsidR="00345EE3" w:rsidRDefault="00345EE3" w:rsidP="00345EE3">
      <w:pPr>
        <w:pStyle w:val="Heading5"/>
        <w:spacing w:before="64"/>
      </w:pPr>
      <w:r>
        <w:rPr>
          <w:color w:val="231F20"/>
          <w:spacing w:val="-2"/>
        </w:rPr>
        <w:t>Receipts</w:t>
      </w:r>
    </w:p>
    <w:p w14:paraId="59CD1609" w14:textId="77777777" w:rsidR="00345EE3" w:rsidRDefault="00345EE3" w:rsidP="00345EE3">
      <w:pPr>
        <w:pStyle w:val="BodyText"/>
        <w:spacing w:before="3"/>
        <w:rPr>
          <w:b/>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18"/>
      </w:tblGrid>
      <w:tr w:rsidR="00345EE3" w14:paraId="24C18681" w14:textId="77777777" w:rsidTr="00D73130">
        <w:trPr>
          <w:trHeight w:val="396"/>
        </w:trPr>
        <w:tc>
          <w:tcPr>
            <w:tcW w:w="9468" w:type="dxa"/>
            <w:tcBorders>
              <w:left w:val="nil"/>
            </w:tcBorders>
          </w:tcPr>
          <w:p w14:paraId="2BD34F15" w14:textId="77777777" w:rsidR="00345EE3" w:rsidRDefault="00345EE3" w:rsidP="00D73130">
            <w:pPr>
              <w:pStyle w:val="TableParagraph"/>
              <w:ind w:left="-3"/>
              <w:jc w:val="left"/>
              <w:rPr>
                <w:sz w:val="24"/>
              </w:rPr>
            </w:pPr>
            <w:r>
              <w:rPr>
                <w:color w:val="231F20"/>
                <w:sz w:val="24"/>
              </w:rPr>
              <w:t>Receipts</w:t>
            </w:r>
            <w:r>
              <w:rPr>
                <w:color w:val="231F20"/>
                <w:spacing w:val="-5"/>
                <w:sz w:val="24"/>
              </w:rPr>
              <w:t xml:space="preserve"> </w:t>
            </w:r>
            <w:r>
              <w:rPr>
                <w:color w:val="231F20"/>
                <w:sz w:val="24"/>
              </w:rPr>
              <w:t>from</w:t>
            </w:r>
            <w:r>
              <w:rPr>
                <w:color w:val="231F20"/>
                <w:spacing w:val="-3"/>
                <w:sz w:val="24"/>
              </w:rPr>
              <w:t xml:space="preserve"> </w:t>
            </w:r>
            <w:r>
              <w:rPr>
                <w:color w:val="231F20"/>
                <w:spacing w:val="-2"/>
                <w:sz w:val="24"/>
              </w:rPr>
              <w:t>government</w:t>
            </w:r>
          </w:p>
        </w:tc>
        <w:tc>
          <w:tcPr>
            <w:tcW w:w="1418" w:type="dxa"/>
            <w:shd w:val="clear" w:color="auto" w:fill="E6E7E8"/>
          </w:tcPr>
          <w:p w14:paraId="648D9D1D" w14:textId="77777777" w:rsidR="00345EE3" w:rsidRDefault="00345EE3" w:rsidP="00D73130">
            <w:pPr>
              <w:pStyle w:val="TableParagraph"/>
              <w:ind w:right="56"/>
              <w:rPr>
                <w:sz w:val="24"/>
              </w:rPr>
            </w:pPr>
            <w:r>
              <w:rPr>
                <w:color w:val="231F20"/>
                <w:spacing w:val="-2"/>
                <w:sz w:val="24"/>
              </w:rPr>
              <w:t>3,867,706</w:t>
            </w:r>
          </w:p>
        </w:tc>
        <w:tc>
          <w:tcPr>
            <w:tcW w:w="1418" w:type="dxa"/>
          </w:tcPr>
          <w:p w14:paraId="27D13C20" w14:textId="77777777" w:rsidR="00345EE3" w:rsidRDefault="00345EE3" w:rsidP="00D73130">
            <w:pPr>
              <w:pStyle w:val="TableParagraph"/>
              <w:ind w:right="56"/>
              <w:rPr>
                <w:sz w:val="24"/>
              </w:rPr>
            </w:pPr>
            <w:r>
              <w:rPr>
                <w:color w:val="231F20"/>
                <w:spacing w:val="-2"/>
                <w:sz w:val="24"/>
              </w:rPr>
              <w:t>3,509,064</w:t>
            </w:r>
          </w:p>
        </w:tc>
        <w:tc>
          <w:tcPr>
            <w:tcW w:w="1418" w:type="dxa"/>
          </w:tcPr>
          <w:p w14:paraId="20FC6241" w14:textId="77777777" w:rsidR="00345EE3" w:rsidRDefault="00345EE3" w:rsidP="00D73130">
            <w:pPr>
              <w:pStyle w:val="TableParagraph"/>
              <w:ind w:right="57"/>
              <w:rPr>
                <w:sz w:val="24"/>
              </w:rPr>
            </w:pPr>
            <w:r>
              <w:rPr>
                <w:color w:val="231F20"/>
                <w:spacing w:val="-2"/>
                <w:sz w:val="24"/>
              </w:rPr>
              <w:t>358,642</w:t>
            </w:r>
          </w:p>
        </w:tc>
        <w:tc>
          <w:tcPr>
            <w:tcW w:w="1418" w:type="dxa"/>
            <w:tcBorders>
              <w:right w:val="nil"/>
            </w:tcBorders>
          </w:tcPr>
          <w:p w14:paraId="0D522E29" w14:textId="77777777" w:rsidR="00345EE3" w:rsidRDefault="00345EE3" w:rsidP="00D73130">
            <w:pPr>
              <w:pStyle w:val="TableParagraph"/>
              <w:ind w:right="57"/>
              <w:rPr>
                <w:sz w:val="24"/>
              </w:rPr>
            </w:pPr>
            <w:r>
              <w:rPr>
                <w:color w:val="231F20"/>
                <w:spacing w:val="-5"/>
                <w:sz w:val="24"/>
              </w:rPr>
              <w:t>10%</w:t>
            </w:r>
          </w:p>
        </w:tc>
      </w:tr>
      <w:tr w:rsidR="00345EE3" w14:paraId="2485B933" w14:textId="77777777" w:rsidTr="00D73130">
        <w:trPr>
          <w:trHeight w:val="396"/>
        </w:trPr>
        <w:tc>
          <w:tcPr>
            <w:tcW w:w="9468" w:type="dxa"/>
            <w:tcBorders>
              <w:left w:val="nil"/>
            </w:tcBorders>
          </w:tcPr>
          <w:p w14:paraId="2F51D1C4" w14:textId="77777777" w:rsidR="00345EE3" w:rsidRDefault="00345EE3" w:rsidP="00D73130">
            <w:pPr>
              <w:pStyle w:val="TableParagraph"/>
              <w:ind w:left="-3"/>
              <w:jc w:val="left"/>
              <w:rPr>
                <w:sz w:val="24"/>
              </w:rPr>
            </w:pPr>
            <w:r>
              <w:rPr>
                <w:color w:val="231F20"/>
                <w:sz w:val="24"/>
              </w:rPr>
              <w:t xml:space="preserve">Other </w:t>
            </w:r>
            <w:r>
              <w:rPr>
                <w:color w:val="231F20"/>
                <w:spacing w:val="-2"/>
                <w:sz w:val="24"/>
              </w:rPr>
              <w:t>receipts</w:t>
            </w:r>
          </w:p>
        </w:tc>
        <w:tc>
          <w:tcPr>
            <w:tcW w:w="1418" w:type="dxa"/>
            <w:shd w:val="clear" w:color="auto" w:fill="E6E7E8"/>
          </w:tcPr>
          <w:p w14:paraId="70E909F1" w14:textId="77777777" w:rsidR="00345EE3" w:rsidRDefault="00345EE3" w:rsidP="00D73130">
            <w:pPr>
              <w:pStyle w:val="TableParagraph"/>
              <w:ind w:right="55"/>
              <w:rPr>
                <w:sz w:val="24"/>
              </w:rPr>
            </w:pPr>
            <w:r>
              <w:rPr>
                <w:color w:val="231F20"/>
                <w:spacing w:val="-2"/>
                <w:sz w:val="24"/>
              </w:rPr>
              <w:t>6,474</w:t>
            </w:r>
          </w:p>
        </w:tc>
        <w:tc>
          <w:tcPr>
            <w:tcW w:w="1418" w:type="dxa"/>
          </w:tcPr>
          <w:p w14:paraId="372F562A" w14:textId="77777777" w:rsidR="00345EE3" w:rsidRDefault="00345EE3" w:rsidP="00D73130">
            <w:pPr>
              <w:pStyle w:val="TableParagraph"/>
              <w:ind w:right="56"/>
              <w:rPr>
                <w:sz w:val="24"/>
              </w:rPr>
            </w:pPr>
            <w:r>
              <w:rPr>
                <w:color w:val="231F20"/>
                <w:spacing w:val="-2"/>
                <w:sz w:val="24"/>
              </w:rPr>
              <w:t>6,875</w:t>
            </w:r>
          </w:p>
        </w:tc>
        <w:tc>
          <w:tcPr>
            <w:tcW w:w="1418" w:type="dxa"/>
          </w:tcPr>
          <w:p w14:paraId="2E096D97" w14:textId="77777777" w:rsidR="00345EE3" w:rsidRDefault="00345EE3" w:rsidP="00D73130">
            <w:pPr>
              <w:pStyle w:val="TableParagraph"/>
              <w:ind w:right="56"/>
              <w:rPr>
                <w:sz w:val="24"/>
              </w:rPr>
            </w:pPr>
            <w:r>
              <w:rPr>
                <w:color w:val="231F20"/>
                <w:spacing w:val="-2"/>
                <w:sz w:val="24"/>
              </w:rPr>
              <w:t>(401)</w:t>
            </w:r>
          </w:p>
        </w:tc>
        <w:tc>
          <w:tcPr>
            <w:tcW w:w="1418" w:type="dxa"/>
            <w:tcBorders>
              <w:right w:val="nil"/>
            </w:tcBorders>
          </w:tcPr>
          <w:p w14:paraId="3ABDF5A6" w14:textId="77777777" w:rsidR="00345EE3" w:rsidRDefault="00345EE3" w:rsidP="00D73130">
            <w:pPr>
              <w:pStyle w:val="TableParagraph"/>
              <w:ind w:right="57"/>
              <w:rPr>
                <w:sz w:val="24"/>
              </w:rPr>
            </w:pPr>
            <w:r>
              <w:rPr>
                <w:color w:val="231F20"/>
                <w:spacing w:val="-3"/>
                <w:sz w:val="24"/>
              </w:rPr>
              <w:t>-</w:t>
            </w:r>
            <w:r>
              <w:rPr>
                <w:color w:val="231F20"/>
                <w:spacing w:val="-5"/>
                <w:sz w:val="24"/>
              </w:rPr>
              <w:t>6%</w:t>
            </w:r>
          </w:p>
        </w:tc>
      </w:tr>
      <w:tr w:rsidR="00345EE3" w14:paraId="1B0DDAD9" w14:textId="77777777" w:rsidTr="00D73130">
        <w:trPr>
          <w:trHeight w:val="396"/>
        </w:trPr>
        <w:tc>
          <w:tcPr>
            <w:tcW w:w="9468" w:type="dxa"/>
            <w:tcBorders>
              <w:left w:val="nil"/>
            </w:tcBorders>
          </w:tcPr>
          <w:p w14:paraId="391E8F7A" w14:textId="77777777" w:rsidR="00345EE3" w:rsidRDefault="00345EE3" w:rsidP="00D73130">
            <w:pPr>
              <w:pStyle w:val="TableParagraph"/>
              <w:ind w:left="-3"/>
              <w:jc w:val="left"/>
              <w:rPr>
                <w:sz w:val="24"/>
              </w:rPr>
            </w:pPr>
            <w:r>
              <w:rPr>
                <w:color w:val="231F20"/>
                <w:sz w:val="24"/>
              </w:rPr>
              <w:t xml:space="preserve">Interest </w:t>
            </w:r>
            <w:r>
              <w:rPr>
                <w:color w:val="231F20"/>
                <w:spacing w:val="-2"/>
                <w:sz w:val="24"/>
              </w:rPr>
              <w:t>received</w:t>
            </w:r>
          </w:p>
        </w:tc>
        <w:tc>
          <w:tcPr>
            <w:tcW w:w="1418" w:type="dxa"/>
            <w:shd w:val="clear" w:color="auto" w:fill="E6E7E8"/>
          </w:tcPr>
          <w:p w14:paraId="64730CC4" w14:textId="77777777" w:rsidR="00345EE3" w:rsidRDefault="00345EE3" w:rsidP="00D73130">
            <w:pPr>
              <w:pStyle w:val="TableParagraph"/>
              <w:ind w:right="52"/>
              <w:rPr>
                <w:sz w:val="24"/>
              </w:rPr>
            </w:pPr>
            <w:r>
              <w:rPr>
                <w:color w:val="231F20"/>
                <w:sz w:val="24"/>
              </w:rPr>
              <w:t>3</w:t>
            </w:r>
          </w:p>
        </w:tc>
        <w:tc>
          <w:tcPr>
            <w:tcW w:w="1418" w:type="dxa"/>
          </w:tcPr>
          <w:p w14:paraId="2CBDA60D" w14:textId="77777777" w:rsidR="00345EE3" w:rsidRDefault="00345EE3" w:rsidP="00D73130">
            <w:pPr>
              <w:pStyle w:val="TableParagraph"/>
              <w:ind w:right="56"/>
              <w:rPr>
                <w:sz w:val="24"/>
              </w:rPr>
            </w:pPr>
            <w:r>
              <w:rPr>
                <w:color w:val="231F20"/>
                <w:spacing w:val="-5"/>
                <w:sz w:val="24"/>
              </w:rPr>
              <w:t>50</w:t>
            </w:r>
          </w:p>
        </w:tc>
        <w:tc>
          <w:tcPr>
            <w:tcW w:w="1418" w:type="dxa"/>
          </w:tcPr>
          <w:p w14:paraId="02981B51" w14:textId="77777777" w:rsidR="00345EE3" w:rsidRDefault="00345EE3" w:rsidP="00D73130">
            <w:pPr>
              <w:pStyle w:val="TableParagraph"/>
              <w:ind w:right="56"/>
              <w:rPr>
                <w:sz w:val="24"/>
              </w:rPr>
            </w:pPr>
            <w:r>
              <w:rPr>
                <w:color w:val="231F20"/>
                <w:spacing w:val="-4"/>
                <w:sz w:val="24"/>
              </w:rPr>
              <w:t>(47)</w:t>
            </w:r>
          </w:p>
        </w:tc>
        <w:tc>
          <w:tcPr>
            <w:tcW w:w="1418" w:type="dxa"/>
            <w:tcBorders>
              <w:right w:val="nil"/>
            </w:tcBorders>
          </w:tcPr>
          <w:p w14:paraId="205C96B1" w14:textId="77777777" w:rsidR="00345EE3" w:rsidRDefault="00345EE3" w:rsidP="00D73130">
            <w:pPr>
              <w:pStyle w:val="TableParagraph"/>
              <w:ind w:right="57"/>
              <w:rPr>
                <w:sz w:val="24"/>
              </w:rPr>
            </w:pPr>
            <w:r>
              <w:rPr>
                <w:color w:val="231F20"/>
                <w:spacing w:val="-3"/>
                <w:sz w:val="24"/>
              </w:rPr>
              <w:t>-</w:t>
            </w:r>
            <w:r>
              <w:rPr>
                <w:color w:val="231F20"/>
                <w:spacing w:val="-5"/>
                <w:sz w:val="24"/>
              </w:rPr>
              <w:t>94%</w:t>
            </w:r>
          </w:p>
        </w:tc>
      </w:tr>
      <w:tr w:rsidR="00345EE3" w14:paraId="58702F3E" w14:textId="77777777" w:rsidTr="00D73130">
        <w:trPr>
          <w:trHeight w:val="396"/>
        </w:trPr>
        <w:tc>
          <w:tcPr>
            <w:tcW w:w="9468" w:type="dxa"/>
            <w:tcBorders>
              <w:left w:val="nil"/>
            </w:tcBorders>
          </w:tcPr>
          <w:p w14:paraId="7D917971" w14:textId="77777777" w:rsidR="00345EE3" w:rsidRDefault="00345EE3" w:rsidP="00D73130">
            <w:pPr>
              <w:pStyle w:val="TableParagraph"/>
              <w:ind w:left="-3"/>
              <w:jc w:val="left"/>
              <w:rPr>
                <w:sz w:val="14"/>
              </w:rPr>
            </w:pPr>
            <w:r>
              <w:rPr>
                <w:color w:val="231F20"/>
                <w:sz w:val="24"/>
              </w:rPr>
              <w:t>GST</w:t>
            </w:r>
            <w:r>
              <w:rPr>
                <w:color w:val="231F20"/>
                <w:spacing w:val="-12"/>
                <w:sz w:val="24"/>
              </w:rPr>
              <w:t xml:space="preserve"> </w:t>
            </w:r>
            <w:r>
              <w:rPr>
                <w:color w:val="231F20"/>
                <w:sz w:val="24"/>
              </w:rPr>
              <w:t>paid</w:t>
            </w:r>
            <w:r>
              <w:rPr>
                <w:color w:val="231F20"/>
                <w:spacing w:val="-5"/>
                <w:sz w:val="24"/>
              </w:rPr>
              <w:t xml:space="preserve"> </w:t>
            </w:r>
            <w:r>
              <w:rPr>
                <w:color w:val="231F20"/>
                <w:sz w:val="24"/>
              </w:rPr>
              <w:t>to</w:t>
            </w:r>
            <w:r>
              <w:rPr>
                <w:color w:val="231F20"/>
                <w:spacing w:val="-4"/>
                <w:sz w:val="24"/>
              </w:rPr>
              <w:t xml:space="preserve"> </w:t>
            </w:r>
            <w:r>
              <w:rPr>
                <w:color w:val="231F20"/>
                <w:sz w:val="24"/>
              </w:rPr>
              <w:t>or</w:t>
            </w:r>
            <w:r>
              <w:rPr>
                <w:color w:val="231F20"/>
                <w:spacing w:val="-6"/>
                <w:sz w:val="24"/>
              </w:rPr>
              <w:t xml:space="preserve"> </w:t>
            </w:r>
            <w:r>
              <w:rPr>
                <w:color w:val="231F20"/>
                <w:sz w:val="24"/>
              </w:rPr>
              <w:t>received</w:t>
            </w:r>
            <w:r>
              <w:rPr>
                <w:color w:val="231F20"/>
                <w:spacing w:val="-4"/>
                <w:sz w:val="24"/>
              </w:rPr>
              <w:t xml:space="preserve"> </w:t>
            </w:r>
            <w:r>
              <w:rPr>
                <w:color w:val="231F20"/>
                <w:sz w:val="24"/>
              </w:rPr>
              <w:t>from</w:t>
            </w:r>
            <w:r>
              <w:rPr>
                <w:color w:val="231F20"/>
                <w:spacing w:val="-16"/>
                <w:sz w:val="24"/>
              </w:rPr>
              <w:t xml:space="preserve"> </w:t>
            </w:r>
            <w:r>
              <w:rPr>
                <w:color w:val="231F20"/>
                <w:sz w:val="24"/>
              </w:rPr>
              <w:t>ATO</w:t>
            </w:r>
            <w:r>
              <w:rPr>
                <w:color w:val="231F20"/>
                <w:spacing w:val="-29"/>
                <w:sz w:val="24"/>
              </w:rPr>
              <w:t xml:space="preserve"> </w:t>
            </w:r>
            <w:r>
              <w:rPr>
                <w:color w:val="231F20"/>
                <w:spacing w:val="-5"/>
                <w:position w:val="8"/>
                <w:sz w:val="14"/>
              </w:rPr>
              <w:t>(a)</w:t>
            </w:r>
          </w:p>
        </w:tc>
        <w:tc>
          <w:tcPr>
            <w:tcW w:w="1418" w:type="dxa"/>
            <w:shd w:val="clear" w:color="auto" w:fill="E6E7E8"/>
          </w:tcPr>
          <w:p w14:paraId="50ECD03F" w14:textId="77777777" w:rsidR="00345EE3" w:rsidRDefault="00345EE3" w:rsidP="00D73130">
            <w:pPr>
              <w:pStyle w:val="TableParagraph"/>
              <w:ind w:right="55"/>
              <w:rPr>
                <w:sz w:val="24"/>
              </w:rPr>
            </w:pPr>
            <w:r>
              <w:rPr>
                <w:color w:val="231F20"/>
                <w:spacing w:val="-2"/>
                <w:sz w:val="24"/>
              </w:rPr>
              <w:t>(1,096)</w:t>
            </w:r>
          </w:p>
        </w:tc>
        <w:tc>
          <w:tcPr>
            <w:tcW w:w="1418" w:type="dxa"/>
          </w:tcPr>
          <w:p w14:paraId="27FDE5D1" w14:textId="77777777" w:rsidR="00345EE3" w:rsidRDefault="00345EE3" w:rsidP="00D73130">
            <w:pPr>
              <w:pStyle w:val="TableParagraph"/>
              <w:ind w:right="53"/>
              <w:rPr>
                <w:sz w:val="24"/>
              </w:rPr>
            </w:pPr>
            <w:r>
              <w:rPr>
                <w:color w:val="231F20"/>
                <w:sz w:val="24"/>
              </w:rPr>
              <w:t>-</w:t>
            </w:r>
          </w:p>
        </w:tc>
        <w:tc>
          <w:tcPr>
            <w:tcW w:w="1418" w:type="dxa"/>
          </w:tcPr>
          <w:p w14:paraId="5266501A" w14:textId="77777777" w:rsidR="00345EE3" w:rsidRDefault="00345EE3" w:rsidP="00D73130">
            <w:pPr>
              <w:pStyle w:val="TableParagraph"/>
              <w:ind w:right="56"/>
              <w:rPr>
                <w:sz w:val="24"/>
              </w:rPr>
            </w:pPr>
            <w:r>
              <w:rPr>
                <w:color w:val="231F20"/>
                <w:spacing w:val="-2"/>
                <w:sz w:val="24"/>
              </w:rPr>
              <w:t>(1,096)</w:t>
            </w:r>
          </w:p>
        </w:tc>
        <w:tc>
          <w:tcPr>
            <w:tcW w:w="1418" w:type="dxa"/>
            <w:tcBorders>
              <w:right w:val="nil"/>
            </w:tcBorders>
          </w:tcPr>
          <w:p w14:paraId="3A1BD2BB" w14:textId="77777777" w:rsidR="00345EE3" w:rsidRDefault="00345EE3" w:rsidP="00D73130">
            <w:pPr>
              <w:pStyle w:val="TableParagraph"/>
              <w:ind w:right="57"/>
              <w:rPr>
                <w:sz w:val="24"/>
              </w:rPr>
            </w:pPr>
            <w:r>
              <w:rPr>
                <w:color w:val="231F20"/>
                <w:spacing w:val="-5"/>
                <w:sz w:val="24"/>
              </w:rPr>
              <w:t>0%</w:t>
            </w:r>
          </w:p>
        </w:tc>
      </w:tr>
    </w:tbl>
    <w:p w14:paraId="62D13929" w14:textId="77777777" w:rsidR="00345EE3" w:rsidRDefault="00345EE3" w:rsidP="00345EE3">
      <w:pPr>
        <w:spacing w:before="62"/>
        <w:ind w:left="110"/>
        <w:rPr>
          <w:b/>
          <w:sz w:val="24"/>
        </w:rPr>
      </w:pPr>
      <w:r>
        <w:rPr>
          <w:b/>
          <w:color w:val="231F20"/>
          <w:spacing w:val="-2"/>
          <w:sz w:val="24"/>
        </w:rPr>
        <w:t>Payments</w:t>
      </w:r>
    </w:p>
    <w:p w14:paraId="0F8AB95B" w14:textId="77777777" w:rsidR="00345EE3" w:rsidRDefault="00345EE3" w:rsidP="00345EE3">
      <w:pPr>
        <w:pStyle w:val="BodyText"/>
        <w:spacing w:before="3"/>
        <w:rPr>
          <w:b/>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18"/>
      </w:tblGrid>
      <w:tr w:rsidR="00345EE3" w14:paraId="222D60EF" w14:textId="77777777" w:rsidTr="00D73130">
        <w:trPr>
          <w:trHeight w:val="396"/>
        </w:trPr>
        <w:tc>
          <w:tcPr>
            <w:tcW w:w="9468" w:type="dxa"/>
            <w:tcBorders>
              <w:left w:val="nil"/>
            </w:tcBorders>
          </w:tcPr>
          <w:p w14:paraId="57F59B45" w14:textId="77777777" w:rsidR="00345EE3" w:rsidRDefault="00345EE3" w:rsidP="00D73130">
            <w:pPr>
              <w:pStyle w:val="TableParagraph"/>
              <w:ind w:left="-3"/>
              <w:jc w:val="left"/>
              <w:rPr>
                <w:sz w:val="24"/>
              </w:rPr>
            </w:pPr>
            <w:r>
              <w:rPr>
                <w:color w:val="231F20"/>
                <w:sz w:val="24"/>
              </w:rPr>
              <w:t>Payments</w:t>
            </w:r>
            <w:r>
              <w:rPr>
                <w:color w:val="231F20"/>
                <w:spacing w:val="-3"/>
                <w:sz w:val="24"/>
              </w:rPr>
              <w:t xml:space="preserve"> </w:t>
            </w:r>
            <w:r>
              <w:rPr>
                <w:color w:val="231F20"/>
                <w:sz w:val="24"/>
              </w:rPr>
              <w:t>of</w:t>
            </w:r>
            <w:r>
              <w:rPr>
                <w:color w:val="231F20"/>
                <w:spacing w:val="-3"/>
                <w:sz w:val="24"/>
              </w:rPr>
              <w:t xml:space="preserve"> </w:t>
            </w:r>
            <w:r>
              <w:rPr>
                <w:color w:val="231F20"/>
                <w:sz w:val="24"/>
              </w:rPr>
              <w:t>grants</w:t>
            </w:r>
            <w:r>
              <w:rPr>
                <w:color w:val="231F20"/>
                <w:spacing w:val="-4"/>
                <w:sz w:val="24"/>
              </w:rPr>
              <w:t xml:space="preserve"> </w:t>
            </w:r>
            <w:r>
              <w:rPr>
                <w:color w:val="231F20"/>
                <w:sz w:val="24"/>
              </w:rPr>
              <w:t>and</w:t>
            </w:r>
            <w:r>
              <w:rPr>
                <w:color w:val="231F20"/>
                <w:spacing w:val="-3"/>
                <w:sz w:val="24"/>
              </w:rPr>
              <w:t xml:space="preserve"> </w:t>
            </w:r>
            <w:r>
              <w:rPr>
                <w:color w:val="231F20"/>
                <w:sz w:val="24"/>
              </w:rPr>
              <w:t>other</w:t>
            </w:r>
            <w:r>
              <w:rPr>
                <w:color w:val="231F20"/>
                <w:spacing w:val="-3"/>
                <w:sz w:val="24"/>
              </w:rPr>
              <w:t xml:space="preserve"> </w:t>
            </w:r>
            <w:r>
              <w:rPr>
                <w:color w:val="231F20"/>
                <w:spacing w:val="-2"/>
                <w:sz w:val="24"/>
              </w:rPr>
              <w:t>transfers</w:t>
            </w:r>
          </w:p>
        </w:tc>
        <w:tc>
          <w:tcPr>
            <w:tcW w:w="1418" w:type="dxa"/>
            <w:shd w:val="clear" w:color="auto" w:fill="E6E7E8"/>
          </w:tcPr>
          <w:p w14:paraId="04527D49" w14:textId="77777777" w:rsidR="00345EE3" w:rsidRDefault="00345EE3" w:rsidP="00D73130">
            <w:pPr>
              <w:pStyle w:val="TableParagraph"/>
              <w:ind w:right="55"/>
              <w:rPr>
                <w:sz w:val="24"/>
              </w:rPr>
            </w:pPr>
            <w:r>
              <w:rPr>
                <w:color w:val="231F20"/>
                <w:spacing w:val="-2"/>
                <w:sz w:val="24"/>
              </w:rPr>
              <w:t>(2,695)</w:t>
            </w:r>
          </w:p>
        </w:tc>
        <w:tc>
          <w:tcPr>
            <w:tcW w:w="1418" w:type="dxa"/>
          </w:tcPr>
          <w:p w14:paraId="6B9D1D7A" w14:textId="77777777" w:rsidR="00345EE3" w:rsidRDefault="00345EE3" w:rsidP="00D73130">
            <w:pPr>
              <w:pStyle w:val="TableParagraph"/>
              <w:ind w:right="55"/>
              <w:rPr>
                <w:sz w:val="24"/>
              </w:rPr>
            </w:pPr>
            <w:r>
              <w:rPr>
                <w:color w:val="231F20"/>
                <w:spacing w:val="-2"/>
                <w:sz w:val="24"/>
              </w:rPr>
              <w:t>(4,853)</w:t>
            </w:r>
          </w:p>
        </w:tc>
        <w:tc>
          <w:tcPr>
            <w:tcW w:w="1418" w:type="dxa"/>
          </w:tcPr>
          <w:p w14:paraId="0580C7DC" w14:textId="77777777" w:rsidR="00345EE3" w:rsidRDefault="00345EE3" w:rsidP="00D73130">
            <w:pPr>
              <w:pStyle w:val="TableParagraph"/>
              <w:ind w:right="56"/>
              <w:rPr>
                <w:sz w:val="24"/>
              </w:rPr>
            </w:pPr>
            <w:r>
              <w:rPr>
                <w:color w:val="231F20"/>
                <w:spacing w:val="-2"/>
                <w:sz w:val="24"/>
              </w:rPr>
              <w:t>2,158</w:t>
            </w:r>
          </w:p>
        </w:tc>
        <w:tc>
          <w:tcPr>
            <w:tcW w:w="1418" w:type="dxa"/>
            <w:tcBorders>
              <w:right w:val="nil"/>
            </w:tcBorders>
          </w:tcPr>
          <w:p w14:paraId="3880042F" w14:textId="77777777" w:rsidR="00345EE3" w:rsidRDefault="00345EE3" w:rsidP="00D73130">
            <w:pPr>
              <w:pStyle w:val="TableParagraph"/>
              <w:ind w:right="57"/>
              <w:rPr>
                <w:sz w:val="24"/>
              </w:rPr>
            </w:pPr>
            <w:r>
              <w:rPr>
                <w:color w:val="231F20"/>
                <w:spacing w:val="-3"/>
                <w:sz w:val="24"/>
              </w:rPr>
              <w:t>-</w:t>
            </w:r>
            <w:r>
              <w:rPr>
                <w:color w:val="231F20"/>
                <w:spacing w:val="-5"/>
                <w:sz w:val="24"/>
              </w:rPr>
              <w:t>44%</w:t>
            </w:r>
          </w:p>
        </w:tc>
      </w:tr>
      <w:tr w:rsidR="00345EE3" w14:paraId="75BD279F" w14:textId="77777777" w:rsidTr="00D73130">
        <w:trPr>
          <w:trHeight w:val="396"/>
        </w:trPr>
        <w:tc>
          <w:tcPr>
            <w:tcW w:w="9468" w:type="dxa"/>
            <w:tcBorders>
              <w:left w:val="nil"/>
            </w:tcBorders>
          </w:tcPr>
          <w:p w14:paraId="41EC6CD8" w14:textId="77777777" w:rsidR="00345EE3" w:rsidRDefault="00345EE3" w:rsidP="00D73130">
            <w:pPr>
              <w:pStyle w:val="TableParagraph"/>
              <w:ind w:left="-3"/>
              <w:jc w:val="left"/>
              <w:rPr>
                <w:sz w:val="24"/>
              </w:rPr>
            </w:pPr>
            <w:r>
              <w:rPr>
                <w:color w:val="231F20"/>
                <w:sz w:val="24"/>
              </w:rPr>
              <w:t>Payments</w:t>
            </w:r>
            <w:r>
              <w:rPr>
                <w:color w:val="231F20"/>
                <w:spacing w:val="-1"/>
                <w:sz w:val="24"/>
              </w:rPr>
              <w:t xml:space="preserve"> </w:t>
            </w:r>
            <w:r>
              <w:rPr>
                <w:color w:val="231F20"/>
                <w:sz w:val="24"/>
              </w:rPr>
              <w:t>to suppliers</w:t>
            </w:r>
            <w:r>
              <w:rPr>
                <w:color w:val="231F20"/>
                <w:spacing w:val="-1"/>
                <w:sz w:val="24"/>
              </w:rPr>
              <w:t xml:space="preserve"> </w:t>
            </w:r>
            <w:r>
              <w:rPr>
                <w:color w:val="231F20"/>
                <w:sz w:val="24"/>
              </w:rPr>
              <w:t>and</w:t>
            </w:r>
            <w:r>
              <w:rPr>
                <w:color w:val="231F20"/>
                <w:spacing w:val="-1"/>
                <w:sz w:val="24"/>
              </w:rPr>
              <w:t xml:space="preserve"> </w:t>
            </w:r>
            <w:r>
              <w:rPr>
                <w:color w:val="231F20"/>
                <w:spacing w:val="-2"/>
                <w:sz w:val="24"/>
              </w:rPr>
              <w:t>employees</w:t>
            </w:r>
          </w:p>
        </w:tc>
        <w:tc>
          <w:tcPr>
            <w:tcW w:w="1418" w:type="dxa"/>
            <w:shd w:val="clear" w:color="auto" w:fill="E6E7E8"/>
          </w:tcPr>
          <w:p w14:paraId="261860E7" w14:textId="77777777" w:rsidR="00345EE3" w:rsidRDefault="00345EE3" w:rsidP="00D73130">
            <w:pPr>
              <w:pStyle w:val="TableParagraph"/>
              <w:ind w:right="55"/>
              <w:rPr>
                <w:sz w:val="24"/>
              </w:rPr>
            </w:pPr>
            <w:r>
              <w:rPr>
                <w:color w:val="231F20"/>
                <w:spacing w:val="-2"/>
                <w:sz w:val="24"/>
              </w:rPr>
              <w:t>(3,665,499)</w:t>
            </w:r>
          </w:p>
        </w:tc>
        <w:tc>
          <w:tcPr>
            <w:tcW w:w="1418" w:type="dxa"/>
          </w:tcPr>
          <w:p w14:paraId="104A4DDF" w14:textId="77777777" w:rsidR="00345EE3" w:rsidRDefault="00345EE3" w:rsidP="00D73130">
            <w:pPr>
              <w:pStyle w:val="TableParagraph"/>
              <w:ind w:right="55"/>
              <w:rPr>
                <w:sz w:val="24"/>
              </w:rPr>
            </w:pPr>
            <w:r>
              <w:rPr>
                <w:color w:val="231F20"/>
                <w:spacing w:val="-2"/>
                <w:sz w:val="24"/>
              </w:rPr>
              <w:t>(3,377,442)</w:t>
            </w:r>
          </w:p>
        </w:tc>
        <w:tc>
          <w:tcPr>
            <w:tcW w:w="1418" w:type="dxa"/>
          </w:tcPr>
          <w:p w14:paraId="0D9A1039" w14:textId="77777777" w:rsidR="00345EE3" w:rsidRDefault="00345EE3" w:rsidP="00D73130">
            <w:pPr>
              <w:pStyle w:val="TableParagraph"/>
              <w:ind w:right="56"/>
              <w:rPr>
                <w:sz w:val="24"/>
              </w:rPr>
            </w:pPr>
            <w:r>
              <w:rPr>
                <w:color w:val="231F20"/>
                <w:spacing w:val="-2"/>
                <w:sz w:val="24"/>
              </w:rPr>
              <w:t>(288,057)</w:t>
            </w:r>
          </w:p>
        </w:tc>
        <w:tc>
          <w:tcPr>
            <w:tcW w:w="1418" w:type="dxa"/>
            <w:tcBorders>
              <w:right w:val="nil"/>
            </w:tcBorders>
          </w:tcPr>
          <w:p w14:paraId="6A6D14A0" w14:textId="77777777" w:rsidR="00345EE3" w:rsidRDefault="00345EE3" w:rsidP="00D73130">
            <w:pPr>
              <w:pStyle w:val="TableParagraph"/>
              <w:ind w:right="57"/>
              <w:rPr>
                <w:sz w:val="24"/>
              </w:rPr>
            </w:pPr>
            <w:r>
              <w:rPr>
                <w:color w:val="231F20"/>
                <w:spacing w:val="-5"/>
                <w:sz w:val="24"/>
              </w:rPr>
              <w:t>9%</w:t>
            </w:r>
          </w:p>
        </w:tc>
      </w:tr>
      <w:tr w:rsidR="00345EE3" w14:paraId="1BF41739" w14:textId="77777777" w:rsidTr="00D73130">
        <w:trPr>
          <w:trHeight w:val="396"/>
        </w:trPr>
        <w:tc>
          <w:tcPr>
            <w:tcW w:w="9468" w:type="dxa"/>
            <w:tcBorders>
              <w:left w:val="nil"/>
              <w:bottom w:val="single" w:sz="2" w:space="0" w:color="231F20"/>
            </w:tcBorders>
          </w:tcPr>
          <w:p w14:paraId="74A5F55F" w14:textId="77777777" w:rsidR="00345EE3" w:rsidRDefault="00345EE3" w:rsidP="00D73130">
            <w:pPr>
              <w:pStyle w:val="TableParagraph"/>
              <w:ind w:left="-3"/>
              <w:jc w:val="left"/>
              <w:rPr>
                <w:sz w:val="24"/>
              </w:rPr>
            </w:pPr>
            <w:r>
              <w:rPr>
                <w:color w:val="231F20"/>
                <w:sz w:val="24"/>
              </w:rPr>
              <w:t>Interest</w:t>
            </w:r>
            <w:r>
              <w:rPr>
                <w:color w:val="231F20"/>
                <w:spacing w:val="-4"/>
                <w:sz w:val="24"/>
              </w:rPr>
              <w:t xml:space="preserve"> </w:t>
            </w:r>
            <w:r>
              <w:rPr>
                <w:color w:val="231F20"/>
                <w:sz w:val="24"/>
              </w:rPr>
              <w:t>and</w:t>
            </w:r>
            <w:r>
              <w:rPr>
                <w:color w:val="231F20"/>
                <w:spacing w:val="-2"/>
                <w:sz w:val="24"/>
              </w:rPr>
              <w:t xml:space="preserve"> </w:t>
            </w:r>
            <w:r>
              <w:rPr>
                <w:color w:val="231F20"/>
                <w:sz w:val="24"/>
              </w:rPr>
              <w:t>other</w:t>
            </w:r>
            <w:r>
              <w:rPr>
                <w:color w:val="231F20"/>
                <w:spacing w:val="-2"/>
                <w:sz w:val="24"/>
              </w:rPr>
              <w:t xml:space="preserve"> </w:t>
            </w:r>
            <w:r>
              <w:rPr>
                <w:color w:val="231F20"/>
                <w:sz w:val="24"/>
              </w:rPr>
              <w:t>costs</w:t>
            </w:r>
            <w:r>
              <w:rPr>
                <w:color w:val="231F20"/>
                <w:spacing w:val="-1"/>
                <w:sz w:val="24"/>
              </w:rPr>
              <w:t xml:space="preserve"> </w:t>
            </w:r>
            <w:r>
              <w:rPr>
                <w:color w:val="231F20"/>
                <w:sz w:val="24"/>
              </w:rPr>
              <w:t>of</w:t>
            </w:r>
            <w:r>
              <w:rPr>
                <w:color w:val="231F20"/>
                <w:spacing w:val="-2"/>
                <w:sz w:val="24"/>
              </w:rPr>
              <w:t xml:space="preserve"> </w:t>
            </w:r>
            <w:r>
              <w:rPr>
                <w:color w:val="231F20"/>
                <w:sz w:val="24"/>
              </w:rPr>
              <w:t>finance</w:t>
            </w:r>
            <w:r>
              <w:rPr>
                <w:color w:val="231F20"/>
                <w:spacing w:val="-1"/>
                <w:sz w:val="24"/>
              </w:rPr>
              <w:t xml:space="preserve"> </w:t>
            </w:r>
            <w:r>
              <w:rPr>
                <w:color w:val="231F20"/>
                <w:spacing w:val="-4"/>
                <w:sz w:val="24"/>
              </w:rPr>
              <w:t>paid</w:t>
            </w:r>
          </w:p>
        </w:tc>
        <w:tc>
          <w:tcPr>
            <w:tcW w:w="1418" w:type="dxa"/>
            <w:tcBorders>
              <w:bottom w:val="single" w:sz="2" w:space="0" w:color="231F20"/>
            </w:tcBorders>
            <w:shd w:val="clear" w:color="auto" w:fill="E6E7E8"/>
          </w:tcPr>
          <w:p w14:paraId="1DC32C09" w14:textId="77777777" w:rsidR="00345EE3" w:rsidRDefault="00345EE3" w:rsidP="00D73130">
            <w:pPr>
              <w:pStyle w:val="TableParagraph"/>
              <w:ind w:right="55"/>
              <w:rPr>
                <w:sz w:val="24"/>
              </w:rPr>
            </w:pPr>
            <w:r>
              <w:rPr>
                <w:color w:val="231F20"/>
                <w:spacing w:val="-2"/>
                <w:sz w:val="24"/>
              </w:rPr>
              <w:t>(61,320)</w:t>
            </w:r>
          </w:p>
        </w:tc>
        <w:tc>
          <w:tcPr>
            <w:tcW w:w="1418" w:type="dxa"/>
            <w:tcBorders>
              <w:bottom w:val="single" w:sz="2" w:space="0" w:color="231F20"/>
            </w:tcBorders>
          </w:tcPr>
          <w:p w14:paraId="637D05BF" w14:textId="77777777" w:rsidR="00345EE3" w:rsidRDefault="00345EE3" w:rsidP="00D73130">
            <w:pPr>
              <w:pStyle w:val="TableParagraph"/>
              <w:ind w:right="55"/>
              <w:rPr>
                <w:sz w:val="24"/>
              </w:rPr>
            </w:pPr>
            <w:r>
              <w:rPr>
                <w:color w:val="231F20"/>
                <w:spacing w:val="-2"/>
                <w:sz w:val="24"/>
              </w:rPr>
              <w:t>(62,348)</w:t>
            </w:r>
          </w:p>
        </w:tc>
        <w:tc>
          <w:tcPr>
            <w:tcW w:w="1418" w:type="dxa"/>
            <w:tcBorders>
              <w:bottom w:val="single" w:sz="2" w:space="0" w:color="231F20"/>
            </w:tcBorders>
          </w:tcPr>
          <w:p w14:paraId="4E525E3B" w14:textId="77777777" w:rsidR="00345EE3" w:rsidRDefault="00345EE3" w:rsidP="00D73130">
            <w:pPr>
              <w:pStyle w:val="TableParagraph"/>
              <w:ind w:right="56"/>
              <w:rPr>
                <w:sz w:val="24"/>
              </w:rPr>
            </w:pPr>
            <w:r>
              <w:rPr>
                <w:color w:val="231F20"/>
                <w:spacing w:val="-2"/>
                <w:sz w:val="24"/>
              </w:rPr>
              <w:t>1,028</w:t>
            </w:r>
          </w:p>
        </w:tc>
        <w:tc>
          <w:tcPr>
            <w:tcW w:w="1418" w:type="dxa"/>
            <w:tcBorders>
              <w:bottom w:val="single" w:sz="2" w:space="0" w:color="231F20"/>
              <w:right w:val="nil"/>
            </w:tcBorders>
          </w:tcPr>
          <w:p w14:paraId="48F5E236" w14:textId="77777777" w:rsidR="00345EE3" w:rsidRDefault="00345EE3" w:rsidP="00D73130">
            <w:pPr>
              <w:pStyle w:val="TableParagraph"/>
              <w:ind w:right="56"/>
              <w:rPr>
                <w:sz w:val="24"/>
              </w:rPr>
            </w:pPr>
            <w:r>
              <w:rPr>
                <w:color w:val="231F20"/>
                <w:spacing w:val="-3"/>
                <w:sz w:val="24"/>
              </w:rPr>
              <w:t>-</w:t>
            </w:r>
            <w:r>
              <w:rPr>
                <w:color w:val="231F20"/>
                <w:spacing w:val="-5"/>
                <w:sz w:val="24"/>
              </w:rPr>
              <w:t>2%</w:t>
            </w:r>
          </w:p>
        </w:tc>
      </w:tr>
      <w:tr w:rsidR="00345EE3" w14:paraId="505BF916" w14:textId="77777777" w:rsidTr="00D73130">
        <w:trPr>
          <w:trHeight w:val="398"/>
        </w:trPr>
        <w:tc>
          <w:tcPr>
            <w:tcW w:w="9468" w:type="dxa"/>
            <w:tcBorders>
              <w:top w:val="single" w:sz="2" w:space="0" w:color="231F20"/>
              <w:left w:val="nil"/>
              <w:bottom w:val="nil"/>
            </w:tcBorders>
          </w:tcPr>
          <w:p w14:paraId="7E2BA4DE" w14:textId="77777777" w:rsidR="00345EE3" w:rsidRDefault="00345EE3" w:rsidP="00D73130">
            <w:pPr>
              <w:pStyle w:val="TableParagraph"/>
              <w:ind w:left="-2"/>
              <w:jc w:val="left"/>
              <w:rPr>
                <w:b/>
                <w:sz w:val="24"/>
              </w:rPr>
            </w:pPr>
            <w:r>
              <w:rPr>
                <w:b/>
                <w:color w:val="231F20"/>
                <w:sz w:val="24"/>
              </w:rPr>
              <w:t>Net</w:t>
            </w:r>
            <w:r>
              <w:rPr>
                <w:b/>
                <w:color w:val="231F20"/>
                <w:spacing w:val="-3"/>
                <w:sz w:val="24"/>
              </w:rPr>
              <w:t xml:space="preserve"> </w:t>
            </w: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Operating</w:t>
            </w:r>
            <w:r>
              <w:rPr>
                <w:b/>
                <w:color w:val="231F20"/>
                <w:spacing w:val="-10"/>
                <w:sz w:val="24"/>
              </w:rPr>
              <w:t xml:space="preserve"> </w:t>
            </w:r>
            <w:r>
              <w:rPr>
                <w:b/>
                <w:color w:val="231F20"/>
                <w:spacing w:val="-2"/>
                <w:sz w:val="24"/>
              </w:rPr>
              <w:t>Activities</w:t>
            </w:r>
          </w:p>
        </w:tc>
        <w:tc>
          <w:tcPr>
            <w:tcW w:w="1418" w:type="dxa"/>
            <w:tcBorders>
              <w:top w:val="single" w:sz="2" w:space="0" w:color="231F20"/>
              <w:bottom w:val="nil"/>
            </w:tcBorders>
            <w:shd w:val="clear" w:color="auto" w:fill="E6E7E8"/>
          </w:tcPr>
          <w:p w14:paraId="6B60DD92" w14:textId="77777777" w:rsidR="00345EE3" w:rsidRDefault="00345EE3" w:rsidP="00D73130">
            <w:pPr>
              <w:pStyle w:val="TableParagraph"/>
              <w:ind w:right="52"/>
              <w:rPr>
                <w:b/>
                <w:sz w:val="24"/>
              </w:rPr>
            </w:pPr>
            <w:r>
              <w:rPr>
                <w:b/>
                <w:color w:val="231F20"/>
                <w:spacing w:val="-2"/>
                <w:sz w:val="24"/>
              </w:rPr>
              <w:t>143,573</w:t>
            </w:r>
          </w:p>
        </w:tc>
        <w:tc>
          <w:tcPr>
            <w:tcW w:w="1418" w:type="dxa"/>
            <w:tcBorders>
              <w:top w:val="single" w:sz="2" w:space="0" w:color="231F20"/>
              <w:bottom w:val="nil"/>
            </w:tcBorders>
          </w:tcPr>
          <w:p w14:paraId="7E210CDE" w14:textId="77777777" w:rsidR="00345EE3" w:rsidRDefault="00345EE3" w:rsidP="00D73130">
            <w:pPr>
              <w:pStyle w:val="TableParagraph"/>
              <w:ind w:right="53"/>
              <w:rPr>
                <w:b/>
                <w:sz w:val="24"/>
              </w:rPr>
            </w:pPr>
            <w:r>
              <w:rPr>
                <w:b/>
                <w:color w:val="231F20"/>
                <w:spacing w:val="-2"/>
                <w:sz w:val="24"/>
              </w:rPr>
              <w:t>71,346</w:t>
            </w:r>
          </w:p>
        </w:tc>
        <w:tc>
          <w:tcPr>
            <w:tcW w:w="1418" w:type="dxa"/>
            <w:tcBorders>
              <w:top w:val="single" w:sz="2" w:space="0" w:color="231F20"/>
              <w:bottom w:val="nil"/>
            </w:tcBorders>
          </w:tcPr>
          <w:p w14:paraId="54F790F7" w14:textId="77777777" w:rsidR="00345EE3" w:rsidRDefault="00345EE3" w:rsidP="00D73130">
            <w:pPr>
              <w:pStyle w:val="TableParagraph"/>
              <w:ind w:right="53"/>
              <w:rPr>
                <w:b/>
                <w:sz w:val="24"/>
              </w:rPr>
            </w:pPr>
            <w:r>
              <w:rPr>
                <w:b/>
                <w:color w:val="231F20"/>
                <w:spacing w:val="-2"/>
                <w:sz w:val="24"/>
              </w:rPr>
              <w:t>72,227</w:t>
            </w:r>
          </w:p>
        </w:tc>
        <w:tc>
          <w:tcPr>
            <w:tcW w:w="1418" w:type="dxa"/>
            <w:tcBorders>
              <w:top w:val="single" w:sz="2" w:space="0" w:color="231F20"/>
              <w:bottom w:val="nil"/>
              <w:right w:val="nil"/>
            </w:tcBorders>
          </w:tcPr>
          <w:p w14:paraId="3881385C" w14:textId="77777777" w:rsidR="00345EE3" w:rsidRDefault="00345EE3" w:rsidP="00D73130">
            <w:pPr>
              <w:pStyle w:val="TableParagraph"/>
              <w:ind w:right="-15"/>
              <w:rPr>
                <w:b/>
                <w:sz w:val="24"/>
              </w:rPr>
            </w:pPr>
            <w:r>
              <w:rPr>
                <w:b/>
                <w:color w:val="231F20"/>
                <w:spacing w:val="-4"/>
                <w:sz w:val="24"/>
              </w:rPr>
              <w:t>101%</w:t>
            </w:r>
          </w:p>
        </w:tc>
      </w:tr>
      <w:tr w:rsidR="00345EE3" w14:paraId="20D96608" w14:textId="77777777" w:rsidTr="00D73130">
        <w:trPr>
          <w:trHeight w:val="401"/>
        </w:trPr>
        <w:tc>
          <w:tcPr>
            <w:tcW w:w="15140" w:type="dxa"/>
            <w:gridSpan w:val="5"/>
            <w:tcBorders>
              <w:top w:val="nil"/>
              <w:left w:val="nil"/>
              <w:bottom w:val="nil"/>
              <w:right w:val="nil"/>
            </w:tcBorders>
            <w:shd w:val="clear" w:color="auto" w:fill="D1D3D4"/>
          </w:tcPr>
          <w:p w14:paraId="736FAEC2" w14:textId="20348D15" w:rsidR="00345EE3" w:rsidRDefault="00345EE3" w:rsidP="00D73130">
            <w:pPr>
              <w:pStyle w:val="TableParagraph"/>
              <w:spacing w:before="0" w:line="20" w:lineRule="exact"/>
              <w:ind w:left="-3" w:right="-72"/>
              <w:jc w:val="left"/>
              <w:rPr>
                <w:sz w:val="2"/>
              </w:rPr>
            </w:pPr>
          </w:p>
          <w:p w14:paraId="1E904CA7" w14:textId="77777777" w:rsidR="00345EE3" w:rsidRDefault="00345EE3" w:rsidP="00D73130">
            <w:pPr>
              <w:pStyle w:val="TableParagraph"/>
              <w:spacing w:before="43"/>
              <w:ind w:left="1"/>
              <w:jc w:val="left"/>
              <w:rPr>
                <w:b/>
                <w:sz w:val="24"/>
              </w:rPr>
            </w:pP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Investing</w:t>
            </w:r>
            <w:r>
              <w:rPr>
                <w:b/>
                <w:color w:val="231F20"/>
                <w:spacing w:val="-10"/>
                <w:sz w:val="24"/>
              </w:rPr>
              <w:t xml:space="preserve"> </w:t>
            </w:r>
            <w:r>
              <w:rPr>
                <w:b/>
                <w:color w:val="231F20"/>
                <w:spacing w:val="-2"/>
                <w:sz w:val="24"/>
              </w:rPr>
              <w:t>Activities</w:t>
            </w:r>
          </w:p>
        </w:tc>
      </w:tr>
      <w:tr w:rsidR="00345EE3" w14:paraId="2172A29B" w14:textId="77777777" w:rsidTr="00D73130">
        <w:trPr>
          <w:trHeight w:val="398"/>
        </w:trPr>
        <w:tc>
          <w:tcPr>
            <w:tcW w:w="9468" w:type="dxa"/>
            <w:tcBorders>
              <w:top w:val="nil"/>
              <w:left w:val="nil"/>
            </w:tcBorders>
          </w:tcPr>
          <w:p w14:paraId="4F2BFFB2" w14:textId="77777777" w:rsidR="00345EE3" w:rsidRDefault="00345EE3" w:rsidP="00D73130">
            <w:pPr>
              <w:pStyle w:val="TableParagraph"/>
              <w:spacing w:before="63"/>
              <w:ind w:left="-2"/>
              <w:jc w:val="left"/>
              <w:rPr>
                <w:sz w:val="24"/>
              </w:rPr>
            </w:pPr>
            <w:r>
              <w:rPr>
                <w:color w:val="231F20"/>
                <w:sz w:val="24"/>
              </w:rPr>
              <w:t>Proceeds</w:t>
            </w:r>
            <w:r>
              <w:rPr>
                <w:color w:val="231F20"/>
                <w:spacing w:val="-5"/>
                <w:sz w:val="24"/>
              </w:rPr>
              <w:t xml:space="preserve"> </w:t>
            </w:r>
            <w:r>
              <w:rPr>
                <w:color w:val="231F20"/>
                <w:sz w:val="24"/>
              </w:rPr>
              <w:t>from</w:t>
            </w:r>
            <w:r>
              <w:rPr>
                <w:color w:val="231F20"/>
                <w:spacing w:val="-2"/>
                <w:sz w:val="24"/>
              </w:rPr>
              <w:t xml:space="preserve"> </w:t>
            </w:r>
            <w:r>
              <w:rPr>
                <w:color w:val="231F20"/>
                <w:sz w:val="24"/>
              </w:rPr>
              <w:t>the</w:t>
            </w:r>
            <w:r>
              <w:rPr>
                <w:color w:val="231F20"/>
                <w:spacing w:val="-2"/>
                <w:sz w:val="24"/>
              </w:rPr>
              <w:t xml:space="preserve"> </w:t>
            </w:r>
            <w:r>
              <w:rPr>
                <w:color w:val="231F20"/>
                <w:sz w:val="24"/>
              </w:rPr>
              <w:t>sale</w:t>
            </w:r>
            <w:r>
              <w:rPr>
                <w:color w:val="231F20"/>
                <w:spacing w:val="-2"/>
                <w:sz w:val="24"/>
              </w:rPr>
              <w:t xml:space="preserve"> </w:t>
            </w:r>
            <w:r>
              <w:rPr>
                <w:color w:val="231F20"/>
                <w:sz w:val="24"/>
              </w:rPr>
              <w:t>of</w:t>
            </w:r>
            <w:r>
              <w:rPr>
                <w:color w:val="231F20"/>
                <w:spacing w:val="-3"/>
                <w:sz w:val="24"/>
              </w:rPr>
              <w:t xml:space="preserve"> </w:t>
            </w:r>
            <w:r>
              <w:rPr>
                <w:color w:val="231F20"/>
                <w:sz w:val="24"/>
              </w:rPr>
              <w:t>non-financial</w:t>
            </w:r>
            <w:r>
              <w:rPr>
                <w:color w:val="231F20"/>
                <w:spacing w:val="-3"/>
                <w:sz w:val="24"/>
              </w:rPr>
              <w:t xml:space="preserve"> </w:t>
            </w:r>
            <w:r>
              <w:rPr>
                <w:color w:val="231F20"/>
                <w:spacing w:val="-2"/>
                <w:sz w:val="24"/>
              </w:rPr>
              <w:t>assets</w:t>
            </w:r>
          </w:p>
        </w:tc>
        <w:tc>
          <w:tcPr>
            <w:tcW w:w="1418" w:type="dxa"/>
            <w:tcBorders>
              <w:top w:val="nil"/>
            </w:tcBorders>
            <w:shd w:val="clear" w:color="auto" w:fill="E6E7E8"/>
          </w:tcPr>
          <w:p w14:paraId="65FD31BE" w14:textId="77777777" w:rsidR="00345EE3" w:rsidRDefault="00345EE3" w:rsidP="00D73130">
            <w:pPr>
              <w:pStyle w:val="TableParagraph"/>
              <w:spacing w:before="63"/>
              <w:ind w:right="54"/>
              <w:rPr>
                <w:sz w:val="24"/>
              </w:rPr>
            </w:pPr>
            <w:r>
              <w:rPr>
                <w:color w:val="231F20"/>
                <w:spacing w:val="-2"/>
                <w:sz w:val="24"/>
              </w:rPr>
              <w:t>30,860</w:t>
            </w:r>
          </w:p>
        </w:tc>
        <w:tc>
          <w:tcPr>
            <w:tcW w:w="1418" w:type="dxa"/>
            <w:tcBorders>
              <w:top w:val="nil"/>
            </w:tcBorders>
          </w:tcPr>
          <w:p w14:paraId="3D6A3D4F" w14:textId="77777777" w:rsidR="00345EE3" w:rsidRDefault="00345EE3" w:rsidP="00D73130">
            <w:pPr>
              <w:pStyle w:val="TableParagraph"/>
              <w:spacing w:before="63"/>
              <w:ind w:right="55"/>
              <w:rPr>
                <w:sz w:val="24"/>
              </w:rPr>
            </w:pPr>
            <w:r>
              <w:rPr>
                <w:color w:val="231F20"/>
                <w:spacing w:val="-2"/>
                <w:sz w:val="24"/>
              </w:rPr>
              <w:t>34,000</w:t>
            </w:r>
          </w:p>
        </w:tc>
        <w:tc>
          <w:tcPr>
            <w:tcW w:w="1418" w:type="dxa"/>
            <w:tcBorders>
              <w:top w:val="nil"/>
            </w:tcBorders>
          </w:tcPr>
          <w:p w14:paraId="2FBEE022" w14:textId="77777777" w:rsidR="00345EE3" w:rsidRDefault="00345EE3" w:rsidP="00D73130">
            <w:pPr>
              <w:pStyle w:val="TableParagraph"/>
              <w:spacing w:before="63"/>
              <w:ind w:right="55"/>
              <w:rPr>
                <w:sz w:val="24"/>
              </w:rPr>
            </w:pPr>
            <w:r>
              <w:rPr>
                <w:color w:val="231F20"/>
                <w:spacing w:val="-2"/>
                <w:sz w:val="24"/>
              </w:rPr>
              <w:t>(3,140)</w:t>
            </w:r>
          </w:p>
        </w:tc>
        <w:tc>
          <w:tcPr>
            <w:tcW w:w="1418" w:type="dxa"/>
            <w:tcBorders>
              <w:top w:val="nil"/>
              <w:right w:val="nil"/>
            </w:tcBorders>
          </w:tcPr>
          <w:p w14:paraId="48A9496C" w14:textId="77777777" w:rsidR="00345EE3" w:rsidRDefault="00345EE3" w:rsidP="00D73130">
            <w:pPr>
              <w:pStyle w:val="TableParagraph"/>
              <w:spacing w:before="63"/>
              <w:ind w:right="56"/>
              <w:rPr>
                <w:sz w:val="24"/>
              </w:rPr>
            </w:pPr>
            <w:r>
              <w:rPr>
                <w:color w:val="231F20"/>
                <w:spacing w:val="-3"/>
                <w:sz w:val="24"/>
              </w:rPr>
              <w:t>-</w:t>
            </w:r>
            <w:r>
              <w:rPr>
                <w:color w:val="231F20"/>
                <w:spacing w:val="-5"/>
                <w:sz w:val="24"/>
              </w:rPr>
              <w:t>9%</w:t>
            </w:r>
          </w:p>
        </w:tc>
      </w:tr>
      <w:tr w:rsidR="00345EE3" w14:paraId="3387196D" w14:textId="77777777" w:rsidTr="00D73130">
        <w:trPr>
          <w:trHeight w:val="396"/>
        </w:trPr>
        <w:tc>
          <w:tcPr>
            <w:tcW w:w="9468" w:type="dxa"/>
            <w:tcBorders>
              <w:left w:val="nil"/>
            </w:tcBorders>
          </w:tcPr>
          <w:p w14:paraId="45D4DD24" w14:textId="77777777" w:rsidR="00345EE3" w:rsidRDefault="00345EE3" w:rsidP="00D73130">
            <w:pPr>
              <w:pStyle w:val="TableParagraph"/>
              <w:ind w:left="-1"/>
              <w:jc w:val="left"/>
              <w:rPr>
                <w:sz w:val="24"/>
              </w:rPr>
            </w:pPr>
            <w:r>
              <w:rPr>
                <w:color w:val="231F20"/>
                <w:sz w:val="24"/>
              </w:rPr>
              <w:t>Net</w:t>
            </w:r>
            <w:r>
              <w:rPr>
                <w:color w:val="231F20"/>
                <w:spacing w:val="-3"/>
                <w:sz w:val="24"/>
              </w:rPr>
              <w:t xml:space="preserve"> </w:t>
            </w:r>
            <w:r>
              <w:rPr>
                <w:color w:val="231F20"/>
                <w:spacing w:val="-2"/>
                <w:sz w:val="24"/>
              </w:rPr>
              <w:t>Investment</w:t>
            </w:r>
          </w:p>
        </w:tc>
        <w:tc>
          <w:tcPr>
            <w:tcW w:w="1418" w:type="dxa"/>
            <w:shd w:val="clear" w:color="auto" w:fill="E6E7E8"/>
          </w:tcPr>
          <w:p w14:paraId="123476D6" w14:textId="77777777" w:rsidR="00345EE3" w:rsidRDefault="00345EE3" w:rsidP="00D73130">
            <w:pPr>
              <w:pStyle w:val="TableParagraph"/>
              <w:ind w:right="54"/>
              <w:rPr>
                <w:sz w:val="24"/>
              </w:rPr>
            </w:pPr>
            <w:r>
              <w:rPr>
                <w:color w:val="231F20"/>
                <w:spacing w:val="-2"/>
                <w:sz w:val="24"/>
              </w:rPr>
              <w:t>10,248</w:t>
            </w:r>
          </w:p>
        </w:tc>
        <w:tc>
          <w:tcPr>
            <w:tcW w:w="1418" w:type="dxa"/>
          </w:tcPr>
          <w:p w14:paraId="01BFB189" w14:textId="77777777" w:rsidR="00345EE3" w:rsidRDefault="00345EE3" w:rsidP="00D73130">
            <w:pPr>
              <w:pStyle w:val="TableParagraph"/>
              <w:ind w:right="52"/>
              <w:rPr>
                <w:sz w:val="24"/>
              </w:rPr>
            </w:pPr>
            <w:r>
              <w:rPr>
                <w:color w:val="231F20"/>
                <w:sz w:val="24"/>
              </w:rPr>
              <w:t>-</w:t>
            </w:r>
          </w:p>
        </w:tc>
        <w:tc>
          <w:tcPr>
            <w:tcW w:w="1418" w:type="dxa"/>
          </w:tcPr>
          <w:p w14:paraId="320A7451" w14:textId="77777777" w:rsidR="00345EE3" w:rsidRDefault="00345EE3" w:rsidP="00D73130">
            <w:pPr>
              <w:pStyle w:val="TableParagraph"/>
              <w:ind w:right="55"/>
              <w:rPr>
                <w:sz w:val="24"/>
              </w:rPr>
            </w:pPr>
            <w:r>
              <w:rPr>
                <w:color w:val="231F20"/>
                <w:spacing w:val="-2"/>
                <w:sz w:val="24"/>
              </w:rPr>
              <w:t>10,248</w:t>
            </w:r>
          </w:p>
        </w:tc>
        <w:tc>
          <w:tcPr>
            <w:tcW w:w="1418" w:type="dxa"/>
            <w:tcBorders>
              <w:right w:val="nil"/>
            </w:tcBorders>
          </w:tcPr>
          <w:p w14:paraId="561D0CF6" w14:textId="77777777" w:rsidR="00345EE3" w:rsidRDefault="00345EE3" w:rsidP="00D73130">
            <w:pPr>
              <w:pStyle w:val="TableParagraph"/>
              <w:ind w:right="55"/>
              <w:rPr>
                <w:sz w:val="24"/>
              </w:rPr>
            </w:pPr>
            <w:r>
              <w:rPr>
                <w:color w:val="231F20"/>
                <w:spacing w:val="-5"/>
                <w:sz w:val="24"/>
              </w:rPr>
              <w:t>0%</w:t>
            </w:r>
          </w:p>
        </w:tc>
      </w:tr>
      <w:tr w:rsidR="00345EE3" w14:paraId="11E2453F" w14:textId="77777777" w:rsidTr="00D73130">
        <w:trPr>
          <w:trHeight w:val="396"/>
        </w:trPr>
        <w:tc>
          <w:tcPr>
            <w:tcW w:w="9468" w:type="dxa"/>
            <w:tcBorders>
              <w:left w:val="nil"/>
            </w:tcBorders>
          </w:tcPr>
          <w:p w14:paraId="60E73F31" w14:textId="77777777" w:rsidR="00345EE3" w:rsidRDefault="00345EE3" w:rsidP="00D73130">
            <w:pPr>
              <w:pStyle w:val="TableParagraph"/>
              <w:ind w:left="-1"/>
              <w:jc w:val="left"/>
              <w:rPr>
                <w:sz w:val="24"/>
              </w:rPr>
            </w:pPr>
            <w:r>
              <w:rPr>
                <w:color w:val="231F20"/>
                <w:sz w:val="24"/>
              </w:rPr>
              <w:t>Payments</w:t>
            </w:r>
            <w:r>
              <w:rPr>
                <w:color w:val="231F20"/>
                <w:spacing w:val="-7"/>
                <w:sz w:val="24"/>
              </w:rPr>
              <w:t xml:space="preserve"> </w:t>
            </w:r>
            <w:r>
              <w:rPr>
                <w:color w:val="231F20"/>
                <w:sz w:val="24"/>
              </w:rPr>
              <w:t>for</w:t>
            </w:r>
            <w:r>
              <w:rPr>
                <w:color w:val="231F20"/>
                <w:spacing w:val="-4"/>
                <w:sz w:val="24"/>
              </w:rPr>
              <w:t xml:space="preserve"> </w:t>
            </w:r>
            <w:r>
              <w:rPr>
                <w:color w:val="231F20"/>
                <w:sz w:val="24"/>
              </w:rPr>
              <w:t>non-financial</w:t>
            </w:r>
            <w:r>
              <w:rPr>
                <w:color w:val="231F20"/>
                <w:spacing w:val="-4"/>
                <w:sz w:val="24"/>
              </w:rPr>
              <w:t xml:space="preserve"> </w:t>
            </w:r>
            <w:r>
              <w:rPr>
                <w:color w:val="231F20"/>
                <w:spacing w:val="-2"/>
                <w:sz w:val="24"/>
              </w:rPr>
              <w:t>assets</w:t>
            </w:r>
          </w:p>
        </w:tc>
        <w:tc>
          <w:tcPr>
            <w:tcW w:w="1418" w:type="dxa"/>
            <w:shd w:val="clear" w:color="auto" w:fill="E6E7E8"/>
          </w:tcPr>
          <w:p w14:paraId="2270176A" w14:textId="77777777" w:rsidR="00345EE3" w:rsidRDefault="00345EE3" w:rsidP="00D73130">
            <w:pPr>
              <w:pStyle w:val="TableParagraph"/>
              <w:ind w:right="53"/>
              <w:rPr>
                <w:sz w:val="24"/>
              </w:rPr>
            </w:pPr>
            <w:r>
              <w:rPr>
                <w:color w:val="231F20"/>
                <w:spacing w:val="-2"/>
                <w:sz w:val="24"/>
              </w:rPr>
              <w:t>(163,335)</w:t>
            </w:r>
          </w:p>
        </w:tc>
        <w:tc>
          <w:tcPr>
            <w:tcW w:w="1418" w:type="dxa"/>
          </w:tcPr>
          <w:p w14:paraId="413F0477" w14:textId="77777777" w:rsidR="00345EE3" w:rsidRDefault="00345EE3" w:rsidP="00D73130">
            <w:pPr>
              <w:pStyle w:val="TableParagraph"/>
              <w:ind w:right="54"/>
              <w:rPr>
                <w:sz w:val="24"/>
              </w:rPr>
            </w:pPr>
            <w:r>
              <w:rPr>
                <w:color w:val="231F20"/>
                <w:spacing w:val="-2"/>
                <w:sz w:val="24"/>
              </w:rPr>
              <w:t>(73,913)</w:t>
            </w:r>
          </w:p>
        </w:tc>
        <w:tc>
          <w:tcPr>
            <w:tcW w:w="1418" w:type="dxa"/>
          </w:tcPr>
          <w:p w14:paraId="299B2398" w14:textId="77777777" w:rsidR="00345EE3" w:rsidRDefault="00345EE3" w:rsidP="00D73130">
            <w:pPr>
              <w:pStyle w:val="TableParagraph"/>
              <w:ind w:right="56"/>
              <w:rPr>
                <w:sz w:val="24"/>
              </w:rPr>
            </w:pPr>
            <w:r>
              <w:rPr>
                <w:color w:val="231F20"/>
                <w:spacing w:val="-2"/>
                <w:sz w:val="24"/>
              </w:rPr>
              <w:t>(89,422)</w:t>
            </w:r>
          </w:p>
        </w:tc>
        <w:tc>
          <w:tcPr>
            <w:tcW w:w="1418" w:type="dxa"/>
            <w:tcBorders>
              <w:right w:val="nil"/>
            </w:tcBorders>
          </w:tcPr>
          <w:p w14:paraId="3FB15A4E" w14:textId="77777777" w:rsidR="00345EE3" w:rsidRDefault="00345EE3" w:rsidP="00D73130">
            <w:pPr>
              <w:pStyle w:val="TableParagraph"/>
              <w:ind w:right="56"/>
              <w:rPr>
                <w:sz w:val="24"/>
              </w:rPr>
            </w:pPr>
            <w:r>
              <w:rPr>
                <w:color w:val="231F20"/>
                <w:spacing w:val="-4"/>
                <w:sz w:val="24"/>
              </w:rPr>
              <w:t>121%</w:t>
            </w:r>
          </w:p>
        </w:tc>
      </w:tr>
      <w:tr w:rsidR="00345EE3" w14:paraId="07FF4B55" w14:textId="77777777" w:rsidTr="00D73130">
        <w:trPr>
          <w:trHeight w:val="396"/>
        </w:trPr>
        <w:tc>
          <w:tcPr>
            <w:tcW w:w="9468" w:type="dxa"/>
            <w:tcBorders>
              <w:left w:val="nil"/>
              <w:bottom w:val="single" w:sz="2" w:space="0" w:color="231F20"/>
            </w:tcBorders>
          </w:tcPr>
          <w:p w14:paraId="30872C5F" w14:textId="77777777" w:rsidR="00345EE3" w:rsidRDefault="00345EE3" w:rsidP="00D73130">
            <w:pPr>
              <w:pStyle w:val="TableParagraph"/>
              <w:ind w:left="-1"/>
              <w:jc w:val="left"/>
              <w:rPr>
                <w:sz w:val="24"/>
              </w:rPr>
            </w:pPr>
            <w:r>
              <w:rPr>
                <w:color w:val="231F20"/>
                <w:sz w:val="24"/>
              </w:rPr>
              <w:t>Net</w:t>
            </w:r>
            <w:r>
              <w:rPr>
                <w:color w:val="231F20"/>
                <w:spacing w:val="-4"/>
                <w:sz w:val="24"/>
              </w:rPr>
              <w:t xml:space="preserve"> </w:t>
            </w:r>
            <w:r>
              <w:rPr>
                <w:color w:val="231F20"/>
                <w:sz w:val="24"/>
              </w:rPr>
              <w:t>loans</w:t>
            </w:r>
            <w:r>
              <w:rPr>
                <w:color w:val="231F20"/>
                <w:spacing w:val="-3"/>
                <w:sz w:val="24"/>
              </w:rPr>
              <w:t xml:space="preserve"> </w:t>
            </w:r>
            <w:r>
              <w:rPr>
                <w:color w:val="231F20"/>
                <w:sz w:val="24"/>
              </w:rPr>
              <w:t>from</w:t>
            </w:r>
            <w:r>
              <w:rPr>
                <w:color w:val="231F20"/>
                <w:spacing w:val="-3"/>
                <w:sz w:val="24"/>
              </w:rPr>
              <w:t xml:space="preserve"> </w:t>
            </w:r>
            <w:r>
              <w:rPr>
                <w:color w:val="231F20"/>
                <w:sz w:val="24"/>
              </w:rPr>
              <w:t>other</w:t>
            </w:r>
            <w:r>
              <w:rPr>
                <w:color w:val="231F20"/>
                <w:spacing w:val="-3"/>
                <w:sz w:val="24"/>
              </w:rPr>
              <w:t xml:space="preserve"> </w:t>
            </w:r>
            <w:r>
              <w:rPr>
                <w:color w:val="231F20"/>
                <w:spacing w:val="-2"/>
                <w:sz w:val="24"/>
              </w:rPr>
              <w:t>parties</w:t>
            </w:r>
          </w:p>
        </w:tc>
        <w:tc>
          <w:tcPr>
            <w:tcW w:w="1418" w:type="dxa"/>
            <w:tcBorders>
              <w:bottom w:val="single" w:sz="2" w:space="0" w:color="231F20"/>
            </w:tcBorders>
            <w:shd w:val="clear" w:color="auto" w:fill="E6E7E8"/>
          </w:tcPr>
          <w:p w14:paraId="4CBE11FA" w14:textId="77777777" w:rsidR="00345EE3" w:rsidRDefault="00345EE3" w:rsidP="00D73130">
            <w:pPr>
              <w:pStyle w:val="TableParagraph"/>
              <w:ind w:right="53"/>
              <w:rPr>
                <w:sz w:val="24"/>
              </w:rPr>
            </w:pPr>
            <w:r>
              <w:rPr>
                <w:color w:val="231F20"/>
                <w:spacing w:val="-2"/>
                <w:sz w:val="24"/>
              </w:rPr>
              <w:t>(9,356)</w:t>
            </w:r>
          </w:p>
        </w:tc>
        <w:tc>
          <w:tcPr>
            <w:tcW w:w="1418" w:type="dxa"/>
            <w:tcBorders>
              <w:bottom w:val="single" w:sz="2" w:space="0" w:color="231F20"/>
            </w:tcBorders>
          </w:tcPr>
          <w:p w14:paraId="32C47904" w14:textId="77777777" w:rsidR="00345EE3" w:rsidRDefault="00345EE3" w:rsidP="00D73130">
            <w:pPr>
              <w:pStyle w:val="TableParagraph"/>
              <w:ind w:right="51"/>
              <w:rPr>
                <w:sz w:val="24"/>
              </w:rPr>
            </w:pPr>
            <w:r>
              <w:rPr>
                <w:color w:val="231F20"/>
                <w:sz w:val="24"/>
              </w:rPr>
              <w:t>-</w:t>
            </w:r>
          </w:p>
        </w:tc>
        <w:tc>
          <w:tcPr>
            <w:tcW w:w="1418" w:type="dxa"/>
            <w:tcBorders>
              <w:bottom w:val="single" w:sz="2" w:space="0" w:color="231F20"/>
            </w:tcBorders>
          </w:tcPr>
          <w:p w14:paraId="36635616" w14:textId="77777777" w:rsidR="00345EE3" w:rsidRDefault="00345EE3" w:rsidP="00D73130">
            <w:pPr>
              <w:pStyle w:val="TableParagraph"/>
              <w:ind w:right="55"/>
              <w:rPr>
                <w:sz w:val="24"/>
              </w:rPr>
            </w:pPr>
            <w:r>
              <w:rPr>
                <w:color w:val="231F20"/>
                <w:spacing w:val="-2"/>
                <w:sz w:val="24"/>
              </w:rPr>
              <w:t>(9,356)</w:t>
            </w:r>
          </w:p>
        </w:tc>
        <w:tc>
          <w:tcPr>
            <w:tcW w:w="1418" w:type="dxa"/>
            <w:tcBorders>
              <w:bottom w:val="single" w:sz="2" w:space="0" w:color="231F20"/>
              <w:right w:val="nil"/>
            </w:tcBorders>
          </w:tcPr>
          <w:p w14:paraId="1BEA5659" w14:textId="77777777" w:rsidR="00345EE3" w:rsidRDefault="00345EE3" w:rsidP="00D73130">
            <w:pPr>
              <w:pStyle w:val="TableParagraph"/>
              <w:ind w:right="55"/>
              <w:rPr>
                <w:sz w:val="24"/>
              </w:rPr>
            </w:pPr>
            <w:r>
              <w:rPr>
                <w:color w:val="231F20"/>
                <w:spacing w:val="-5"/>
                <w:sz w:val="24"/>
              </w:rPr>
              <w:t>0%</w:t>
            </w:r>
          </w:p>
        </w:tc>
      </w:tr>
      <w:tr w:rsidR="00345EE3" w14:paraId="27BCCC7C" w14:textId="77777777" w:rsidTr="00D73130">
        <w:trPr>
          <w:trHeight w:val="396"/>
        </w:trPr>
        <w:tc>
          <w:tcPr>
            <w:tcW w:w="9468" w:type="dxa"/>
            <w:tcBorders>
              <w:top w:val="single" w:sz="2" w:space="0" w:color="231F20"/>
              <w:left w:val="nil"/>
            </w:tcBorders>
          </w:tcPr>
          <w:p w14:paraId="67F9BBCA" w14:textId="77777777" w:rsidR="00345EE3" w:rsidRDefault="00345EE3" w:rsidP="00D73130">
            <w:pPr>
              <w:pStyle w:val="TableParagraph"/>
              <w:ind w:left="-1"/>
              <w:jc w:val="left"/>
              <w:rPr>
                <w:b/>
                <w:sz w:val="24"/>
              </w:rPr>
            </w:pPr>
            <w:r>
              <w:rPr>
                <w:b/>
                <w:color w:val="231F20"/>
                <w:sz w:val="24"/>
              </w:rPr>
              <w:t>Net</w:t>
            </w:r>
            <w:r>
              <w:rPr>
                <w:b/>
                <w:color w:val="231F20"/>
                <w:spacing w:val="-2"/>
                <w:sz w:val="24"/>
              </w:rPr>
              <w:t xml:space="preserve"> </w:t>
            </w: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(Used</w:t>
            </w:r>
            <w:r>
              <w:rPr>
                <w:b/>
                <w:color w:val="231F20"/>
                <w:spacing w:val="-1"/>
                <w:sz w:val="24"/>
              </w:rPr>
              <w:t xml:space="preserve"> </w:t>
            </w:r>
            <w:r>
              <w:rPr>
                <w:b/>
                <w:color w:val="231F20"/>
                <w:sz w:val="24"/>
              </w:rPr>
              <w:t>In)</w:t>
            </w:r>
            <w:r>
              <w:rPr>
                <w:b/>
                <w:color w:val="231F20"/>
                <w:spacing w:val="-1"/>
                <w:sz w:val="24"/>
              </w:rPr>
              <w:t xml:space="preserve"> </w:t>
            </w:r>
            <w:r>
              <w:rPr>
                <w:b/>
                <w:color w:val="231F20"/>
                <w:sz w:val="24"/>
              </w:rPr>
              <w:t>Investing</w:t>
            </w:r>
            <w:r>
              <w:rPr>
                <w:b/>
                <w:color w:val="231F20"/>
                <w:spacing w:val="-10"/>
                <w:sz w:val="24"/>
              </w:rPr>
              <w:t xml:space="preserve"> </w:t>
            </w:r>
            <w:r>
              <w:rPr>
                <w:b/>
                <w:color w:val="231F20"/>
                <w:spacing w:val="-2"/>
                <w:sz w:val="24"/>
              </w:rPr>
              <w:t>Activities</w:t>
            </w:r>
          </w:p>
        </w:tc>
        <w:tc>
          <w:tcPr>
            <w:tcW w:w="1418" w:type="dxa"/>
            <w:tcBorders>
              <w:top w:val="single" w:sz="2" w:space="0" w:color="231F20"/>
            </w:tcBorders>
            <w:shd w:val="clear" w:color="auto" w:fill="E6E7E8"/>
          </w:tcPr>
          <w:p w14:paraId="72A63242" w14:textId="77777777" w:rsidR="00345EE3" w:rsidRDefault="00345EE3" w:rsidP="00D73130">
            <w:pPr>
              <w:pStyle w:val="TableParagraph"/>
              <w:ind w:right="51"/>
              <w:rPr>
                <w:b/>
                <w:sz w:val="24"/>
              </w:rPr>
            </w:pPr>
            <w:r>
              <w:rPr>
                <w:b/>
                <w:color w:val="231F20"/>
                <w:spacing w:val="-2"/>
                <w:sz w:val="24"/>
              </w:rPr>
              <w:t>(131,582)</w:t>
            </w:r>
          </w:p>
        </w:tc>
        <w:tc>
          <w:tcPr>
            <w:tcW w:w="1418" w:type="dxa"/>
            <w:tcBorders>
              <w:top w:val="single" w:sz="2" w:space="0" w:color="231F20"/>
            </w:tcBorders>
          </w:tcPr>
          <w:p w14:paraId="6CE3142C" w14:textId="77777777" w:rsidR="00345EE3" w:rsidRDefault="00345EE3" w:rsidP="00D73130">
            <w:pPr>
              <w:pStyle w:val="TableParagraph"/>
              <w:ind w:right="51"/>
              <w:rPr>
                <w:b/>
                <w:sz w:val="24"/>
              </w:rPr>
            </w:pPr>
            <w:r>
              <w:rPr>
                <w:b/>
                <w:color w:val="231F20"/>
                <w:spacing w:val="-2"/>
                <w:sz w:val="24"/>
              </w:rPr>
              <w:t>(39,913)</w:t>
            </w:r>
          </w:p>
        </w:tc>
        <w:tc>
          <w:tcPr>
            <w:tcW w:w="1418" w:type="dxa"/>
            <w:tcBorders>
              <w:top w:val="single" w:sz="2" w:space="0" w:color="231F20"/>
            </w:tcBorders>
          </w:tcPr>
          <w:p w14:paraId="5E89C21C" w14:textId="77777777" w:rsidR="00345EE3" w:rsidRDefault="00345EE3" w:rsidP="00D73130">
            <w:pPr>
              <w:pStyle w:val="TableParagraph"/>
              <w:ind w:right="52"/>
              <w:rPr>
                <w:b/>
                <w:sz w:val="24"/>
              </w:rPr>
            </w:pPr>
            <w:r>
              <w:rPr>
                <w:b/>
                <w:color w:val="231F20"/>
                <w:spacing w:val="-2"/>
                <w:sz w:val="24"/>
              </w:rPr>
              <w:t>(91,670)</w:t>
            </w:r>
          </w:p>
        </w:tc>
        <w:tc>
          <w:tcPr>
            <w:tcW w:w="1418" w:type="dxa"/>
            <w:tcBorders>
              <w:top w:val="single" w:sz="2" w:space="0" w:color="231F20"/>
              <w:right w:val="nil"/>
            </w:tcBorders>
          </w:tcPr>
          <w:p w14:paraId="65E89C30" w14:textId="77777777" w:rsidR="00345EE3" w:rsidRDefault="00345EE3" w:rsidP="00D73130">
            <w:pPr>
              <w:pStyle w:val="TableParagraph"/>
              <w:ind w:right="-15"/>
              <w:rPr>
                <w:b/>
                <w:sz w:val="24"/>
              </w:rPr>
            </w:pPr>
            <w:r>
              <w:rPr>
                <w:b/>
                <w:color w:val="231F20"/>
                <w:spacing w:val="-4"/>
                <w:sz w:val="24"/>
              </w:rPr>
              <w:t>230%</w:t>
            </w:r>
          </w:p>
        </w:tc>
      </w:tr>
    </w:tbl>
    <w:p w14:paraId="10FD6BDE" w14:textId="77777777" w:rsidR="00345EE3" w:rsidRDefault="00345EE3" w:rsidP="00345EE3">
      <w:pPr>
        <w:rPr>
          <w:sz w:val="24"/>
        </w:rPr>
        <w:sectPr w:rsidR="00345EE3">
          <w:pgSz w:w="16840" w:h="11910" w:orient="landscape"/>
          <w:pgMar w:top="720" w:right="740" w:bottom="280" w:left="740" w:header="720" w:footer="720" w:gutter="0"/>
          <w:cols w:space="720"/>
        </w:sect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18"/>
      </w:tblGrid>
      <w:tr w:rsidR="00345EE3" w14:paraId="55CE4878" w14:textId="77777777" w:rsidTr="00D73130">
        <w:trPr>
          <w:trHeight w:val="405"/>
        </w:trPr>
        <w:tc>
          <w:tcPr>
            <w:tcW w:w="9468" w:type="dxa"/>
            <w:tcBorders>
              <w:top w:val="nil"/>
              <w:left w:val="nil"/>
              <w:bottom w:val="nil"/>
              <w:right w:val="nil"/>
            </w:tcBorders>
            <w:shd w:val="clear" w:color="auto" w:fill="00529F"/>
          </w:tcPr>
          <w:p w14:paraId="651FEDAD" w14:textId="77777777" w:rsidR="00345EE3" w:rsidRDefault="00345EE3" w:rsidP="00D73130">
            <w:pPr>
              <w:pStyle w:val="TableParagraph"/>
              <w:spacing w:before="0"/>
              <w:jc w:val="left"/>
              <w:rPr>
                <w:rFonts w:ascii="Times New Roman"/>
                <w:sz w:val="20"/>
              </w:rPr>
            </w:pPr>
          </w:p>
        </w:tc>
        <w:tc>
          <w:tcPr>
            <w:tcW w:w="1418" w:type="dxa"/>
            <w:tcBorders>
              <w:top w:val="nil"/>
              <w:left w:val="nil"/>
              <w:bottom w:val="nil"/>
              <w:right w:val="nil"/>
            </w:tcBorders>
            <w:shd w:val="clear" w:color="auto" w:fill="00529F"/>
          </w:tcPr>
          <w:p w14:paraId="14EDF15F" w14:textId="77777777" w:rsidR="00345EE3" w:rsidRDefault="00345EE3" w:rsidP="00D73130">
            <w:pPr>
              <w:pStyle w:val="TableParagraph"/>
              <w:spacing w:before="63"/>
              <w:ind w:right="58"/>
              <w:rPr>
                <w:b/>
                <w:sz w:val="24"/>
              </w:rPr>
            </w:pPr>
            <w:r>
              <w:rPr>
                <w:b/>
                <w:color w:val="FFFFFF"/>
                <w:spacing w:val="-2"/>
                <w:sz w:val="24"/>
              </w:rPr>
              <w:t>Actual</w:t>
            </w:r>
          </w:p>
        </w:tc>
        <w:tc>
          <w:tcPr>
            <w:tcW w:w="1418" w:type="dxa"/>
            <w:tcBorders>
              <w:top w:val="nil"/>
              <w:left w:val="nil"/>
              <w:bottom w:val="nil"/>
              <w:right w:val="nil"/>
            </w:tcBorders>
            <w:shd w:val="clear" w:color="auto" w:fill="00529F"/>
          </w:tcPr>
          <w:p w14:paraId="07519618" w14:textId="77777777" w:rsidR="00345EE3" w:rsidRDefault="00345EE3" w:rsidP="00D73130">
            <w:pPr>
              <w:pStyle w:val="TableParagraph"/>
              <w:spacing w:before="63"/>
              <w:ind w:right="59"/>
              <w:rPr>
                <w:b/>
                <w:sz w:val="24"/>
              </w:rPr>
            </w:pPr>
            <w:r>
              <w:rPr>
                <w:b/>
                <w:color w:val="FFFFFF"/>
                <w:spacing w:val="-2"/>
                <w:sz w:val="24"/>
              </w:rPr>
              <w:t>Budget</w:t>
            </w:r>
          </w:p>
        </w:tc>
        <w:tc>
          <w:tcPr>
            <w:tcW w:w="1418" w:type="dxa"/>
            <w:tcBorders>
              <w:top w:val="nil"/>
              <w:left w:val="nil"/>
              <w:bottom w:val="nil"/>
              <w:right w:val="nil"/>
            </w:tcBorders>
            <w:shd w:val="clear" w:color="auto" w:fill="00529F"/>
          </w:tcPr>
          <w:p w14:paraId="5FF7BC42" w14:textId="77777777" w:rsidR="00345EE3" w:rsidRDefault="00345EE3" w:rsidP="00D73130">
            <w:pPr>
              <w:pStyle w:val="TableParagraph"/>
              <w:spacing w:before="63"/>
              <w:ind w:right="59"/>
              <w:rPr>
                <w:b/>
                <w:sz w:val="24"/>
              </w:rPr>
            </w:pPr>
            <w:r>
              <w:rPr>
                <w:b/>
                <w:color w:val="FFFFFF"/>
                <w:spacing w:val="-2"/>
                <w:sz w:val="24"/>
              </w:rPr>
              <w:t>Variance</w:t>
            </w:r>
          </w:p>
        </w:tc>
        <w:tc>
          <w:tcPr>
            <w:tcW w:w="1418" w:type="dxa"/>
            <w:tcBorders>
              <w:top w:val="nil"/>
              <w:left w:val="nil"/>
              <w:bottom w:val="nil"/>
              <w:right w:val="nil"/>
            </w:tcBorders>
            <w:shd w:val="clear" w:color="auto" w:fill="00529F"/>
          </w:tcPr>
          <w:p w14:paraId="3DFE09E4" w14:textId="77777777" w:rsidR="00345EE3" w:rsidRDefault="00345EE3" w:rsidP="00D73130">
            <w:pPr>
              <w:pStyle w:val="TableParagraph"/>
              <w:spacing w:before="63"/>
              <w:ind w:right="60"/>
              <w:rPr>
                <w:b/>
                <w:sz w:val="24"/>
              </w:rPr>
            </w:pPr>
            <w:r>
              <w:rPr>
                <w:b/>
                <w:color w:val="FFFFFF"/>
                <w:spacing w:val="-2"/>
                <w:sz w:val="24"/>
              </w:rPr>
              <w:t>Variance</w:t>
            </w:r>
          </w:p>
        </w:tc>
      </w:tr>
      <w:tr w:rsidR="00345EE3" w14:paraId="015E277A" w14:textId="77777777" w:rsidTr="00D73130">
        <w:trPr>
          <w:trHeight w:val="397"/>
        </w:trPr>
        <w:tc>
          <w:tcPr>
            <w:tcW w:w="9468" w:type="dxa"/>
            <w:tcBorders>
              <w:top w:val="nil"/>
              <w:left w:val="nil"/>
              <w:bottom w:val="nil"/>
              <w:right w:val="nil"/>
            </w:tcBorders>
            <w:shd w:val="clear" w:color="auto" w:fill="00529F"/>
          </w:tcPr>
          <w:p w14:paraId="65BEF8DC" w14:textId="77777777" w:rsidR="00345EE3" w:rsidRDefault="00345EE3" w:rsidP="00D73130">
            <w:pPr>
              <w:pStyle w:val="TableParagraph"/>
              <w:spacing w:before="0"/>
              <w:jc w:val="left"/>
              <w:rPr>
                <w:rFonts w:ascii="Times New Roman"/>
                <w:sz w:val="20"/>
              </w:rPr>
            </w:pPr>
          </w:p>
        </w:tc>
        <w:tc>
          <w:tcPr>
            <w:tcW w:w="1418" w:type="dxa"/>
            <w:tcBorders>
              <w:top w:val="nil"/>
              <w:left w:val="nil"/>
              <w:bottom w:val="nil"/>
              <w:right w:val="nil"/>
            </w:tcBorders>
            <w:shd w:val="clear" w:color="auto" w:fill="00529F"/>
          </w:tcPr>
          <w:p w14:paraId="6A5E04E2" w14:textId="77777777" w:rsidR="00345EE3" w:rsidRDefault="00345EE3" w:rsidP="00D73130">
            <w:pPr>
              <w:pStyle w:val="TableParagraph"/>
              <w:spacing w:before="59"/>
              <w:ind w:right="58"/>
              <w:rPr>
                <w:b/>
                <w:sz w:val="24"/>
              </w:rPr>
            </w:pPr>
            <w:r>
              <w:rPr>
                <w:b/>
                <w:color w:val="FFFFFF"/>
                <w:spacing w:val="-2"/>
                <w:sz w:val="24"/>
              </w:rPr>
              <w:t>$’000</w:t>
            </w:r>
          </w:p>
        </w:tc>
        <w:tc>
          <w:tcPr>
            <w:tcW w:w="1418" w:type="dxa"/>
            <w:tcBorders>
              <w:top w:val="nil"/>
              <w:left w:val="nil"/>
              <w:bottom w:val="nil"/>
              <w:right w:val="nil"/>
            </w:tcBorders>
            <w:shd w:val="clear" w:color="auto" w:fill="00529F"/>
          </w:tcPr>
          <w:p w14:paraId="33EE40B2" w14:textId="77777777" w:rsidR="00345EE3" w:rsidRDefault="00345EE3" w:rsidP="00D73130">
            <w:pPr>
              <w:pStyle w:val="TableParagraph"/>
              <w:spacing w:before="59"/>
              <w:ind w:right="58"/>
              <w:rPr>
                <w:b/>
                <w:sz w:val="24"/>
              </w:rPr>
            </w:pPr>
            <w:r>
              <w:rPr>
                <w:b/>
                <w:color w:val="FFFFFF"/>
                <w:spacing w:val="-2"/>
                <w:sz w:val="24"/>
              </w:rPr>
              <w:t>$’000</w:t>
            </w:r>
          </w:p>
        </w:tc>
        <w:tc>
          <w:tcPr>
            <w:tcW w:w="1418" w:type="dxa"/>
            <w:tcBorders>
              <w:top w:val="nil"/>
              <w:left w:val="nil"/>
              <w:bottom w:val="nil"/>
              <w:right w:val="nil"/>
            </w:tcBorders>
            <w:shd w:val="clear" w:color="auto" w:fill="00529F"/>
          </w:tcPr>
          <w:p w14:paraId="5634CA66" w14:textId="77777777" w:rsidR="00345EE3" w:rsidRDefault="00345EE3" w:rsidP="00D73130">
            <w:pPr>
              <w:pStyle w:val="TableParagraph"/>
              <w:spacing w:before="59"/>
              <w:ind w:right="59"/>
              <w:rPr>
                <w:b/>
                <w:sz w:val="24"/>
              </w:rPr>
            </w:pPr>
            <w:r>
              <w:rPr>
                <w:b/>
                <w:color w:val="FFFFFF"/>
                <w:spacing w:val="-2"/>
                <w:sz w:val="24"/>
              </w:rPr>
              <w:t>$’000</w:t>
            </w:r>
          </w:p>
        </w:tc>
        <w:tc>
          <w:tcPr>
            <w:tcW w:w="1418" w:type="dxa"/>
            <w:tcBorders>
              <w:top w:val="nil"/>
              <w:left w:val="nil"/>
              <w:bottom w:val="nil"/>
              <w:right w:val="nil"/>
            </w:tcBorders>
            <w:shd w:val="clear" w:color="auto" w:fill="00529F"/>
          </w:tcPr>
          <w:p w14:paraId="42458DCF" w14:textId="77777777" w:rsidR="00345EE3" w:rsidRDefault="00345EE3" w:rsidP="00D73130">
            <w:pPr>
              <w:pStyle w:val="TableParagraph"/>
              <w:spacing w:before="59"/>
              <w:ind w:right="57"/>
              <w:rPr>
                <w:b/>
                <w:sz w:val="24"/>
              </w:rPr>
            </w:pPr>
            <w:r>
              <w:rPr>
                <w:b/>
                <w:color w:val="FFFFFF"/>
                <w:sz w:val="24"/>
              </w:rPr>
              <w:t>%</w:t>
            </w:r>
          </w:p>
        </w:tc>
      </w:tr>
      <w:tr w:rsidR="00345EE3" w14:paraId="3E940434" w14:textId="77777777" w:rsidTr="00D73130">
        <w:trPr>
          <w:trHeight w:val="396"/>
        </w:trPr>
        <w:tc>
          <w:tcPr>
            <w:tcW w:w="15140" w:type="dxa"/>
            <w:gridSpan w:val="5"/>
            <w:tcBorders>
              <w:top w:val="nil"/>
              <w:left w:val="nil"/>
              <w:right w:val="nil"/>
            </w:tcBorders>
            <w:shd w:val="clear" w:color="auto" w:fill="D1D3D4"/>
          </w:tcPr>
          <w:p w14:paraId="141D2EAB" w14:textId="77777777" w:rsidR="00345EE3" w:rsidRDefault="00345EE3" w:rsidP="00D73130">
            <w:pPr>
              <w:pStyle w:val="TableParagraph"/>
              <w:ind w:left="-1"/>
              <w:jc w:val="left"/>
              <w:rPr>
                <w:b/>
                <w:sz w:val="24"/>
              </w:rPr>
            </w:pP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Financing</w:t>
            </w:r>
            <w:r>
              <w:rPr>
                <w:b/>
                <w:color w:val="231F20"/>
                <w:spacing w:val="-10"/>
                <w:sz w:val="24"/>
              </w:rPr>
              <w:t xml:space="preserve"> </w:t>
            </w:r>
            <w:r>
              <w:rPr>
                <w:b/>
                <w:color w:val="231F20"/>
                <w:spacing w:val="-2"/>
                <w:sz w:val="24"/>
              </w:rPr>
              <w:t>Activities</w:t>
            </w:r>
          </w:p>
        </w:tc>
      </w:tr>
      <w:tr w:rsidR="00345EE3" w14:paraId="40C1AF43" w14:textId="77777777" w:rsidTr="00D73130">
        <w:trPr>
          <w:trHeight w:val="396"/>
        </w:trPr>
        <w:tc>
          <w:tcPr>
            <w:tcW w:w="9468" w:type="dxa"/>
            <w:tcBorders>
              <w:left w:val="nil"/>
            </w:tcBorders>
          </w:tcPr>
          <w:p w14:paraId="4F721911" w14:textId="77777777" w:rsidR="00345EE3" w:rsidRDefault="00345EE3" w:rsidP="00D73130">
            <w:pPr>
              <w:pStyle w:val="TableParagraph"/>
              <w:ind w:left="-3"/>
              <w:jc w:val="left"/>
              <w:rPr>
                <w:sz w:val="24"/>
              </w:rPr>
            </w:pPr>
            <w:r>
              <w:rPr>
                <w:color w:val="231F20"/>
                <w:sz w:val="24"/>
              </w:rPr>
              <w:t>Proceeds</w:t>
            </w:r>
            <w:r>
              <w:rPr>
                <w:color w:val="231F20"/>
                <w:spacing w:val="-2"/>
                <w:sz w:val="24"/>
              </w:rPr>
              <w:t xml:space="preserve"> </w:t>
            </w:r>
            <w:r>
              <w:rPr>
                <w:color w:val="231F20"/>
                <w:sz w:val="24"/>
              </w:rPr>
              <w:t>from</w:t>
            </w:r>
            <w:r>
              <w:rPr>
                <w:color w:val="231F20"/>
                <w:spacing w:val="-1"/>
                <w:sz w:val="24"/>
              </w:rPr>
              <w:t xml:space="preserve"> </w:t>
            </w:r>
            <w:r>
              <w:rPr>
                <w:color w:val="231F20"/>
                <w:sz w:val="24"/>
              </w:rPr>
              <w:t>capital</w:t>
            </w:r>
            <w:r>
              <w:rPr>
                <w:color w:val="231F20"/>
                <w:spacing w:val="-2"/>
                <w:sz w:val="24"/>
              </w:rPr>
              <w:t xml:space="preserve"> </w:t>
            </w:r>
            <w:r>
              <w:rPr>
                <w:color w:val="231F20"/>
                <w:sz w:val="24"/>
              </w:rPr>
              <w:t>contribution</w:t>
            </w:r>
            <w:r>
              <w:rPr>
                <w:color w:val="231F20"/>
                <w:spacing w:val="-1"/>
                <w:sz w:val="24"/>
              </w:rPr>
              <w:t xml:space="preserve"> </w:t>
            </w:r>
            <w:r>
              <w:rPr>
                <w:color w:val="231F20"/>
                <w:sz w:val="24"/>
              </w:rPr>
              <w:t>by</w:t>
            </w:r>
            <w:r>
              <w:rPr>
                <w:color w:val="231F20"/>
                <w:spacing w:val="-3"/>
                <w:sz w:val="24"/>
              </w:rPr>
              <w:t xml:space="preserve"> </w:t>
            </w:r>
            <w:r>
              <w:rPr>
                <w:color w:val="231F20"/>
                <w:sz w:val="24"/>
              </w:rPr>
              <w:t>Department</w:t>
            </w:r>
            <w:r>
              <w:rPr>
                <w:color w:val="231F20"/>
                <w:spacing w:val="-2"/>
                <w:sz w:val="24"/>
              </w:rPr>
              <w:t xml:space="preserve"> </w:t>
            </w:r>
            <w:r>
              <w:rPr>
                <w:color w:val="231F20"/>
                <w:sz w:val="24"/>
              </w:rPr>
              <w:t>of</w:t>
            </w:r>
            <w:r>
              <w:rPr>
                <w:color w:val="231F20"/>
                <w:spacing w:val="-3"/>
                <w:sz w:val="24"/>
              </w:rPr>
              <w:t xml:space="preserve"> </w:t>
            </w:r>
            <w:r>
              <w:rPr>
                <w:color w:val="231F20"/>
                <w:sz w:val="24"/>
              </w:rPr>
              <w:t>Justice</w:t>
            </w:r>
            <w:r>
              <w:rPr>
                <w:color w:val="231F20"/>
                <w:spacing w:val="-1"/>
                <w:sz w:val="24"/>
              </w:rPr>
              <w:t xml:space="preserve"> </w:t>
            </w:r>
            <w:r>
              <w:rPr>
                <w:color w:val="231F20"/>
                <w:sz w:val="24"/>
              </w:rPr>
              <w:t>and</w:t>
            </w:r>
            <w:r>
              <w:rPr>
                <w:color w:val="231F20"/>
                <w:spacing w:val="-2"/>
                <w:sz w:val="24"/>
              </w:rPr>
              <w:t xml:space="preserve"> Regulations</w:t>
            </w:r>
          </w:p>
        </w:tc>
        <w:tc>
          <w:tcPr>
            <w:tcW w:w="1418" w:type="dxa"/>
            <w:shd w:val="clear" w:color="auto" w:fill="E6E7E8"/>
          </w:tcPr>
          <w:p w14:paraId="67387EFC" w14:textId="77777777" w:rsidR="00345EE3" w:rsidRDefault="00345EE3" w:rsidP="00D73130">
            <w:pPr>
              <w:pStyle w:val="TableParagraph"/>
              <w:ind w:right="55"/>
              <w:rPr>
                <w:sz w:val="24"/>
              </w:rPr>
            </w:pPr>
            <w:r>
              <w:rPr>
                <w:color w:val="231F20"/>
                <w:spacing w:val="-2"/>
                <w:sz w:val="24"/>
              </w:rPr>
              <w:t>32,287</w:t>
            </w:r>
          </w:p>
        </w:tc>
        <w:tc>
          <w:tcPr>
            <w:tcW w:w="1418" w:type="dxa"/>
          </w:tcPr>
          <w:p w14:paraId="7D6C7344" w14:textId="77777777" w:rsidR="00345EE3" w:rsidRDefault="00345EE3" w:rsidP="00D73130">
            <w:pPr>
              <w:pStyle w:val="TableParagraph"/>
              <w:ind w:right="56"/>
              <w:rPr>
                <w:sz w:val="24"/>
              </w:rPr>
            </w:pPr>
            <w:r>
              <w:rPr>
                <w:color w:val="231F20"/>
                <w:spacing w:val="-2"/>
                <w:sz w:val="24"/>
              </w:rPr>
              <w:t>32,369</w:t>
            </w:r>
          </w:p>
        </w:tc>
        <w:tc>
          <w:tcPr>
            <w:tcW w:w="1418" w:type="dxa"/>
          </w:tcPr>
          <w:p w14:paraId="448F0338" w14:textId="77777777" w:rsidR="00345EE3" w:rsidRDefault="00345EE3" w:rsidP="00D73130">
            <w:pPr>
              <w:pStyle w:val="TableParagraph"/>
              <w:ind w:right="56"/>
              <w:rPr>
                <w:sz w:val="24"/>
              </w:rPr>
            </w:pPr>
            <w:r>
              <w:rPr>
                <w:color w:val="231F20"/>
                <w:spacing w:val="-4"/>
                <w:sz w:val="24"/>
              </w:rPr>
              <w:t>(82)</w:t>
            </w:r>
          </w:p>
        </w:tc>
        <w:tc>
          <w:tcPr>
            <w:tcW w:w="1418" w:type="dxa"/>
            <w:tcBorders>
              <w:right w:val="nil"/>
            </w:tcBorders>
          </w:tcPr>
          <w:p w14:paraId="3D7B5D93" w14:textId="77777777" w:rsidR="00345EE3" w:rsidRDefault="00345EE3" w:rsidP="00D73130">
            <w:pPr>
              <w:pStyle w:val="TableParagraph"/>
              <w:ind w:right="57"/>
              <w:rPr>
                <w:sz w:val="24"/>
              </w:rPr>
            </w:pPr>
            <w:r>
              <w:rPr>
                <w:color w:val="231F20"/>
                <w:spacing w:val="-5"/>
                <w:sz w:val="24"/>
              </w:rPr>
              <w:t>0%</w:t>
            </w:r>
          </w:p>
        </w:tc>
      </w:tr>
      <w:tr w:rsidR="00345EE3" w14:paraId="69B91263" w14:textId="77777777" w:rsidTr="00D73130">
        <w:trPr>
          <w:trHeight w:val="396"/>
        </w:trPr>
        <w:tc>
          <w:tcPr>
            <w:tcW w:w="9468" w:type="dxa"/>
            <w:tcBorders>
              <w:left w:val="nil"/>
            </w:tcBorders>
          </w:tcPr>
          <w:p w14:paraId="616D7587" w14:textId="77777777" w:rsidR="00345EE3" w:rsidRDefault="00345EE3" w:rsidP="00D73130">
            <w:pPr>
              <w:pStyle w:val="TableParagraph"/>
              <w:ind w:left="-3"/>
              <w:jc w:val="left"/>
              <w:rPr>
                <w:sz w:val="24"/>
              </w:rPr>
            </w:pPr>
            <w:r>
              <w:rPr>
                <w:color w:val="231F20"/>
                <w:sz w:val="24"/>
              </w:rPr>
              <w:t>Repayment</w:t>
            </w:r>
            <w:r>
              <w:rPr>
                <w:color w:val="231F20"/>
                <w:spacing w:val="-4"/>
                <w:sz w:val="24"/>
              </w:rPr>
              <w:t xml:space="preserve"> </w:t>
            </w:r>
            <w:r>
              <w:rPr>
                <w:color w:val="231F20"/>
                <w:sz w:val="24"/>
              </w:rPr>
              <w:t>of</w:t>
            </w:r>
            <w:r>
              <w:rPr>
                <w:color w:val="231F20"/>
                <w:spacing w:val="-4"/>
                <w:sz w:val="24"/>
              </w:rPr>
              <w:t xml:space="preserve"> </w:t>
            </w:r>
            <w:r>
              <w:rPr>
                <w:color w:val="231F20"/>
                <w:sz w:val="24"/>
              </w:rPr>
              <w:t>right-of-use</w:t>
            </w:r>
            <w:r>
              <w:rPr>
                <w:color w:val="231F20"/>
                <w:spacing w:val="-3"/>
                <w:sz w:val="24"/>
              </w:rPr>
              <w:t xml:space="preserve"> </w:t>
            </w:r>
            <w:r>
              <w:rPr>
                <w:color w:val="231F20"/>
                <w:spacing w:val="-2"/>
                <w:sz w:val="24"/>
              </w:rPr>
              <w:t>leases</w:t>
            </w:r>
          </w:p>
        </w:tc>
        <w:tc>
          <w:tcPr>
            <w:tcW w:w="1418" w:type="dxa"/>
            <w:shd w:val="clear" w:color="auto" w:fill="E6E7E8"/>
          </w:tcPr>
          <w:p w14:paraId="3F42B43A" w14:textId="77777777" w:rsidR="00345EE3" w:rsidRDefault="00345EE3" w:rsidP="00D73130">
            <w:pPr>
              <w:pStyle w:val="TableParagraph"/>
              <w:ind w:right="56"/>
              <w:rPr>
                <w:sz w:val="24"/>
              </w:rPr>
            </w:pPr>
            <w:r>
              <w:rPr>
                <w:color w:val="231F20"/>
                <w:spacing w:val="-2"/>
                <w:sz w:val="24"/>
              </w:rPr>
              <w:t>(27,392)</w:t>
            </w:r>
          </w:p>
        </w:tc>
        <w:tc>
          <w:tcPr>
            <w:tcW w:w="1418" w:type="dxa"/>
          </w:tcPr>
          <w:p w14:paraId="7D08FC65" w14:textId="77777777" w:rsidR="00345EE3" w:rsidRDefault="00345EE3" w:rsidP="00D73130">
            <w:pPr>
              <w:pStyle w:val="TableParagraph"/>
              <w:ind w:right="55"/>
              <w:rPr>
                <w:sz w:val="24"/>
              </w:rPr>
            </w:pPr>
            <w:r>
              <w:rPr>
                <w:color w:val="231F20"/>
                <w:spacing w:val="-2"/>
                <w:sz w:val="24"/>
              </w:rPr>
              <w:t>(49,725)</w:t>
            </w:r>
          </w:p>
        </w:tc>
        <w:tc>
          <w:tcPr>
            <w:tcW w:w="1418" w:type="dxa"/>
          </w:tcPr>
          <w:p w14:paraId="5CC79B09" w14:textId="77777777" w:rsidR="00345EE3" w:rsidRDefault="00345EE3" w:rsidP="00D73130">
            <w:pPr>
              <w:pStyle w:val="TableParagraph"/>
              <w:ind w:right="56"/>
              <w:rPr>
                <w:sz w:val="24"/>
              </w:rPr>
            </w:pPr>
            <w:r>
              <w:rPr>
                <w:color w:val="231F20"/>
                <w:spacing w:val="-2"/>
                <w:sz w:val="24"/>
              </w:rPr>
              <w:t>22,333</w:t>
            </w:r>
          </w:p>
        </w:tc>
        <w:tc>
          <w:tcPr>
            <w:tcW w:w="1418" w:type="dxa"/>
            <w:tcBorders>
              <w:right w:val="nil"/>
            </w:tcBorders>
          </w:tcPr>
          <w:p w14:paraId="70939B48" w14:textId="77777777" w:rsidR="00345EE3" w:rsidRDefault="00345EE3" w:rsidP="00D73130">
            <w:pPr>
              <w:pStyle w:val="TableParagraph"/>
              <w:ind w:right="56"/>
              <w:rPr>
                <w:sz w:val="24"/>
              </w:rPr>
            </w:pPr>
            <w:r>
              <w:rPr>
                <w:color w:val="231F20"/>
                <w:spacing w:val="-3"/>
                <w:sz w:val="24"/>
              </w:rPr>
              <w:t>-</w:t>
            </w:r>
            <w:r>
              <w:rPr>
                <w:color w:val="231F20"/>
                <w:spacing w:val="-5"/>
                <w:sz w:val="24"/>
              </w:rPr>
              <w:t>45%</w:t>
            </w:r>
          </w:p>
        </w:tc>
      </w:tr>
      <w:tr w:rsidR="00345EE3" w14:paraId="41289A16" w14:textId="77777777" w:rsidTr="00D73130">
        <w:trPr>
          <w:trHeight w:val="396"/>
        </w:trPr>
        <w:tc>
          <w:tcPr>
            <w:tcW w:w="9468" w:type="dxa"/>
            <w:tcBorders>
              <w:left w:val="nil"/>
              <w:bottom w:val="single" w:sz="2" w:space="0" w:color="231F20"/>
            </w:tcBorders>
          </w:tcPr>
          <w:p w14:paraId="7C035C44" w14:textId="77777777" w:rsidR="00345EE3" w:rsidRDefault="00345EE3" w:rsidP="00D73130">
            <w:pPr>
              <w:pStyle w:val="TableParagraph"/>
              <w:ind w:left="-2"/>
              <w:jc w:val="left"/>
              <w:rPr>
                <w:sz w:val="24"/>
              </w:rPr>
            </w:pPr>
            <w:r>
              <w:rPr>
                <w:color w:val="231F20"/>
                <w:sz w:val="24"/>
              </w:rPr>
              <w:t>Net</w:t>
            </w:r>
            <w:r>
              <w:rPr>
                <w:color w:val="231F20"/>
                <w:spacing w:val="-3"/>
                <w:sz w:val="24"/>
              </w:rPr>
              <w:t xml:space="preserve"> </w:t>
            </w:r>
            <w:r>
              <w:rPr>
                <w:color w:val="231F20"/>
                <w:spacing w:val="-2"/>
                <w:sz w:val="24"/>
              </w:rPr>
              <w:t>borrowings</w:t>
            </w:r>
          </w:p>
        </w:tc>
        <w:tc>
          <w:tcPr>
            <w:tcW w:w="1418" w:type="dxa"/>
            <w:tcBorders>
              <w:bottom w:val="single" w:sz="2" w:space="0" w:color="231F20"/>
            </w:tcBorders>
            <w:shd w:val="clear" w:color="auto" w:fill="E6E7E8"/>
          </w:tcPr>
          <w:p w14:paraId="27F7AA05" w14:textId="77777777" w:rsidR="00345EE3" w:rsidRDefault="00345EE3" w:rsidP="00D73130">
            <w:pPr>
              <w:pStyle w:val="TableParagraph"/>
              <w:ind w:right="54"/>
              <w:rPr>
                <w:sz w:val="24"/>
              </w:rPr>
            </w:pPr>
            <w:r>
              <w:rPr>
                <w:color w:val="231F20"/>
                <w:spacing w:val="-2"/>
                <w:sz w:val="24"/>
              </w:rPr>
              <w:t>(8,254)</w:t>
            </w:r>
          </w:p>
        </w:tc>
        <w:tc>
          <w:tcPr>
            <w:tcW w:w="1418" w:type="dxa"/>
            <w:tcBorders>
              <w:bottom w:val="single" w:sz="2" w:space="0" w:color="231F20"/>
            </w:tcBorders>
          </w:tcPr>
          <w:p w14:paraId="63424B78" w14:textId="77777777" w:rsidR="00345EE3" w:rsidRDefault="00345EE3" w:rsidP="00D73130">
            <w:pPr>
              <w:pStyle w:val="TableParagraph"/>
              <w:ind w:right="52"/>
              <w:rPr>
                <w:sz w:val="24"/>
              </w:rPr>
            </w:pPr>
            <w:r>
              <w:rPr>
                <w:color w:val="231F20"/>
                <w:sz w:val="24"/>
              </w:rPr>
              <w:t>-</w:t>
            </w:r>
          </w:p>
        </w:tc>
        <w:tc>
          <w:tcPr>
            <w:tcW w:w="1418" w:type="dxa"/>
            <w:tcBorders>
              <w:bottom w:val="single" w:sz="2" w:space="0" w:color="231F20"/>
            </w:tcBorders>
          </w:tcPr>
          <w:p w14:paraId="015629A4" w14:textId="77777777" w:rsidR="00345EE3" w:rsidRDefault="00345EE3" w:rsidP="00D73130">
            <w:pPr>
              <w:pStyle w:val="TableParagraph"/>
              <w:ind w:right="55"/>
              <w:rPr>
                <w:sz w:val="24"/>
              </w:rPr>
            </w:pPr>
            <w:r>
              <w:rPr>
                <w:color w:val="231F20"/>
                <w:spacing w:val="-2"/>
                <w:sz w:val="24"/>
              </w:rPr>
              <w:t>(8,254)</w:t>
            </w:r>
          </w:p>
        </w:tc>
        <w:tc>
          <w:tcPr>
            <w:tcW w:w="1418" w:type="dxa"/>
            <w:tcBorders>
              <w:bottom w:val="single" w:sz="2" w:space="0" w:color="231F20"/>
              <w:right w:val="nil"/>
            </w:tcBorders>
          </w:tcPr>
          <w:p w14:paraId="61883365" w14:textId="77777777" w:rsidR="00345EE3" w:rsidRDefault="00345EE3" w:rsidP="00D73130">
            <w:pPr>
              <w:pStyle w:val="TableParagraph"/>
              <w:ind w:right="56"/>
              <w:rPr>
                <w:sz w:val="24"/>
              </w:rPr>
            </w:pPr>
            <w:r>
              <w:rPr>
                <w:color w:val="231F20"/>
                <w:spacing w:val="-5"/>
                <w:sz w:val="24"/>
              </w:rPr>
              <w:t>0%</w:t>
            </w:r>
          </w:p>
        </w:tc>
      </w:tr>
      <w:tr w:rsidR="00345EE3" w14:paraId="25D24BB5" w14:textId="77777777" w:rsidTr="00D73130">
        <w:trPr>
          <w:trHeight w:val="396"/>
        </w:trPr>
        <w:tc>
          <w:tcPr>
            <w:tcW w:w="9468" w:type="dxa"/>
            <w:tcBorders>
              <w:top w:val="single" w:sz="2" w:space="0" w:color="231F20"/>
              <w:left w:val="nil"/>
              <w:bottom w:val="single" w:sz="2" w:space="0" w:color="231F20"/>
            </w:tcBorders>
          </w:tcPr>
          <w:p w14:paraId="4DAC0E9D" w14:textId="77777777" w:rsidR="00345EE3" w:rsidRDefault="00345EE3" w:rsidP="00D73130">
            <w:pPr>
              <w:pStyle w:val="TableParagraph"/>
              <w:ind w:left="-2"/>
              <w:jc w:val="left"/>
              <w:rPr>
                <w:b/>
                <w:sz w:val="24"/>
              </w:rPr>
            </w:pPr>
            <w:r>
              <w:rPr>
                <w:b/>
                <w:color w:val="231F20"/>
                <w:sz w:val="24"/>
              </w:rPr>
              <w:t>Net</w:t>
            </w:r>
            <w:r>
              <w:rPr>
                <w:b/>
                <w:color w:val="231F20"/>
                <w:spacing w:val="-3"/>
                <w:sz w:val="24"/>
              </w:rPr>
              <w:t xml:space="preserve"> </w:t>
            </w: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Financing</w:t>
            </w:r>
            <w:r>
              <w:rPr>
                <w:b/>
                <w:color w:val="231F20"/>
                <w:spacing w:val="-10"/>
                <w:sz w:val="24"/>
              </w:rPr>
              <w:t xml:space="preserve"> </w:t>
            </w:r>
            <w:r>
              <w:rPr>
                <w:b/>
                <w:color w:val="231F20"/>
                <w:spacing w:val="-2"/>
                <w:sz w:val="24"/>
              </w:rPr>
              <w:t>Activities</w:t>
            </w:r>
          </w:p>
        </w:tc>
        <w:tc>
          <w:tcPr>
            <w:tcW w:w="1418" w:type="dxa"/>
            <w:tcBorders>
              <w:top w:val="single" w:sz="2" w:space="0" w:color="231F20"/>
              <w:bottom w:val="single" w:sz="2" w:space="0" w:color="231F20"/>
            </w:tcBorders>
            <w:shd w:val="clear" w:color="auto" w:fill="E6E7E8"/>
          </w:tcPr>
          <w:p w14:paraId="5CB987F5" w14:textId="77777777" w:rsidR="00345EE3" w:rsidRDefault="00345EE3" w:rsidP="00D73130">
            <w:pPr>
              <w:pStyle w:val="TableParagraph"/>
              <w:ind w:right="51"/>
              <w:rPr>
                <w:b/>
                <w:sz w:val="24"/>
              </w:rPr>
            </w:pPr>
            <w:r>
              <w:rPr>
                <w:b/>
                <w:color w:val="231F20"/>
                <w:spacing w:val="-2"/>
                <w:sz w:val="24"/>
              </w:rPr>
              <w:t>(3,359)</w:t>
            </w:r>
          </w:p>
        </w:tc>
        <w:tc>
          <w:tcPr>
            <w:tcW w:w="1418" w:type="dxa"/>
            <w:tcBorders>
              <w:top w:val="single" w:sz="2" w:space="0" w:color="231F20"/>
              <w:bottom w:val="single" w:sz="2" w:space="0" w:color="231F20"/>
            </w:tcBorders>
          </w:tcPr>
          <w:p w14:paraId="54A1A38F" w14:textId="77777777" w:rsidR="00345EE3" w:rsidRDefault="00345EE3" w:rsidP="00D73130">
            <w:pPr>
              <w:pStyle w:val="TableParagraph"/>
              <w:ind w:right="52"/>
              <w:rPr>
                <w:b/>
                <w:sz w:val="24"/>
              </w:rPr>
            </w:pPr>
            <w:r>
              <w:rPr>
                <w:b/>
                <w:color w:val="231F20"/>
                <w:spacing w:val="-2"/>
                <w:sz w:val="24"/>
              </w:rPr>
              <w:t>(17,356)</w:t>
            </w:r>
          </w:p>
        </w:tc>
        <w:tc>
          <w:tcPr>
            <w:tcW w:w="1418" w:type="dxa"/>
            <w:tcBorders>
              <w:top w:val="single" w:sz="2" w:space="0" w:color="231F20"/>
              <w:bottom w:val="single" w:sz="2" w:space="0" w:color="231F20"/>
            </w:tcBorders>
          </w:tcPr>
          <w:p w14:paraId="580C91D2" w14:textId="77777777" w:rsidR="00345EE3" w:rsidRDefault="00345EE3" w:rsidP="00D73130">
            <w:pPr>
              <w:pStyle w:val="TableParagraph"/>
              <w:ind w:right="53"/>
              <w:rPr>
                <w:b/>
                <w:sz w:val="24"/>
              </w:rPr>
            </w:pPr>
            <w:r>
              <w:rPr>
                <w:b/>
                <w:color w:val="231F20"/>
                <w:spacing w:val="-2"/>
                <w:sz w:val="24"/>
              </w:rPr>
              <w:t>13,997</w:t>
            </w:r>
          </w:p>
        </w:tc>
        <w:tc>
          <w:tcPr>
            <w:tcW w:w="1418" w:type="dxa"/>
            <w:tcBorders>
              <w:top w:val="single" w:sz="2" w:space="0" w:color="231F20"/>
              <w:bottom w:val="single" w:sz="2" w:space="0" w:color="231F20"/>
              <w:right w:val="nil"/>
            </w:tcBorders>
          </w:tcPr>
          <w:p w14:paraId="7542FC34" w14:textId="77777777" w:rsidR="00345EE3" w:rsidRDefault="00345EE3" w:rsidP="00D73130">
            <w:pPr>
              <w:pStyle w:val="TableParagraph"/>
              <w:ind w:right="-15"/>
              <w:rPr>
                <w:b/>
                <w:sz w:val="24"/>
              </w:rPr>
            </w:pPr>
            <w:r>
              <w:rPr>
                <w:b/>
                <w:color w:val="231F20"/>
                <w:sz w:val="24"/>
              </w:rPr>
              <w:t>-</w:t>
            </w:r>
            <w:r>
              <w:rPr>
                <w:b/>
                <w:color w:val="231F20"/>
                <w:spacing w:val="-5"/>
                <w:sz w:val="24"/>
              </w:rPr>
              <w:t>81%</w:t>
            </w:r>
          </w:p>
        </w:tc>
      </w:tr>
      <w:tr w:rsidR="00345EE3" w14:paraId="57AD3504" w14:textId="77777777" w:rsidTr="00D73130">
        <w:trPr>
          <w:trHeight w:val="396"/>
        </w:trPr>
        <w:tc>
          <w:tcPr>
            <w:tcW w:w="9468" w:type="dxa"/>
            <w:tcBorders>
              <w:top w:val="single" w:sz="2" w:space="0" w:color="231F20"/>
              <w:left w:val="nil"/>
              <w:bottom w:val="single" w:sz="2" w:space="0" w:color="231F20"/>
            </w:tcBorders>
          </w:tcPr>
          <w:p w14:paraId="0FAF1920" w14:textId="77777777" w:rsidR="00345EE3" w:rsidRDefault="00345EE3" w:rsidP="00D73130">
            <w:pPr>
              <w:pStyle w:val="TableParagraph"/>
              <w:ind w:left="-2"/>
              <w:jc w:val="left"/>
              <w:rPr>
                <w:b/>
                <w:sz w:val="24"/>
              </w:rPr>
            </w:pPr>
            <w:r>
              <w:rPr>
                <w:b/>
                <w:color w:val="231F20"/>
                <w:sz w:val="24"/>
              </w:rPr>
              <w:t>Net</w:t>
            </w:r>
            <w:r>
              <w:rPr>
                <w:b/>
                <w:color w:val="231F20"/>
                <w:spacing w:val="-5"/>
                <w:sz w:val="24"/>
              </w:rPr>
              <w:t xml:space="preserve"> </w:t>
            </w:r>
            <w:r>
              <w:rPr>
                <w:b/>
                <w:color w:val="231F20"/>
                <w:sz w:val="24"/>
              </w:rPr>
              <w:t>Increase</w:t>
            </w:r>
            <w:r>
              <w:rPr>
                <w:b/>
                <w:color w:val="231F20"/>
                <w:spacing w:val="-2"/>
                <w:sz w:val="24"/>
              </w:rPr>
              <w:t xml:space="preserve"> </w:t>
            </w:r>
            <w:r>
              <w:rPr>
                <w:b/>
                <w:color w:val="231F20"/>
                <w:sz w:val="24"/>
              </w:rPr>
              <w:t>In</w:t>
            </w:r>
            <w:r>
              <w:rPr>
                <w:b/>
                <w:color w:val="231F20"/>
                <w:spacing w:val="-2"/>
                <w:sz w:val="24"/>
              </w:rPr>
              <w:t xml:space="preserve"> </w:t>
            </w:r>
            <w:r>
              <w:rPr>
                <w:b/>
                <w:color w:val="231F20"/>
                <w:sz w:val="24"/>
              </w:rPr>
              <w:t>Cash</w:t>
            </w:r>
            <w:r>
              <w:rPr>
                <w:b/>
                <w:color w:val="231F20"/>
                <w:spacing w:val="-10"/>
                <w:sz w:val="24"/>
              </w:rPr>
              <w:t xml:space="preserve"> </w:t>
            </w:r>
            <w:r>
              <w:rPr>
                <w:b/>
                <w:color w:val="231F20"/>
                <w:sz w:val="24"/>
              </w:rPr>
              <w:t>And</w:t>
            </w:r>
            <w:r>
              <w:rPr>
                <w:b/>
                <w:color w:val="231F20"/>
                <w:spacing w:val="-3"/>
                <w:sz w:val="24"/>
              </w:rPr>
              <w:t xml:space="preserve"> </w:t>
            </w:r>
            <w:r>
              <w:rPr>
                <w:b/>
                <w:color w:val="231F20"/>
                <w:sz w:val="24"/>
              </w:rPr>
              <w:t>Cash</w:t>
            </w:r>
            <w:r>
              <w:rPr>
                <w:b/>
                <w:color w:val="231F20"/>
                <w:spacing w:val="-2"/>
                <w:sz w:val="24"/>
              </w:rPr>
              <w:t xml:space="preserve"> Equivalents</w:t>
            </w:r>
          </w:p>
        </w:tc>
        <w:tc>
          <w:tcPr>
            <w:tcW w:w="1418" w:type="dxa"/>
            <w:tcBorders>
              <w:top w:val="single" w:sz="2" w:space="0" w:color="231F20"/>
              <w:bottom w:val="single" w:sz="2" w:space="0" w:color="231F20"/>
            </w:tcBorders>
            <w:shd w:val="clear" w:color="auto" w:fill="E6E7E8"/>
          </w:tcPr>
          <w:p w14:paraId="4B63A735" w14:textId="77777777" w:rsidR="00345EE3" w:rsidRDefault="00345EE3" w:rsidP="00D73130">
            <w:pPr>
              <w:pStyle w:val="TableParagraph"/>
              <w:ind w:right="52"/>
              <w:rPr>
                <w:b/>
                <w:sz w:val="24"/>
              </w:rPr>
            </w:pPr>
            <w:r>
              <w:rPr>
                <w:b/>
                <w:color w:val="231F20"/>
                <w:spacing w:val="-2"/>
                <w:sz w:val="24"/>
              </w:rPr>
              <w:t>8,632</w:t>
            </w:r>
          </w:p>
        </w:tc>
        <w:tc>
          <w:tcPr>
            <w:tcW w:w="1418" w:type="dxa"/>
            <w:tcBorders>
              <w:top w:val="single" w:sz="2" w:space="0" w:color="231F20"/>
              <w:bottom w:val="single" w:sz="2" w:space="0" w:color="231F20"/>
            </w:tcBorders>
          </w:tcPr>
          <w:p w14:paraId="49127A24" w14:textId="77777777" w:rsidR="00345EE3" w:rsidRDefault="00345EE3" w:rsidP="00D73130">
            <w:pPr>
              <w:pStyle w:val="TableParagraph"/>
              <w:ind w:right="52"/>
              <w:rPr>
                <w:b/>
                <w:sz w:val="24"/>
              </w:rPr>
            </w:pPr>
            <w:r>
              <w:rPr>
                <w:b/>
                <w:color w:val="231F20"/>
                <w:spacing w:val="-2"/>
                <w:sz w:val="24"/>
              </w:rPr>
              <w:t>14,077</w:t>
            </w:r>
          </w:p>
        </w:tc>
        <w:tc>
          <w:tcPr>
            <w:tcW w:w="1418" w:type="dxa"/>
            <w:tcBorders>
              <w:top w:val="single" w:sz="2" w:space="0" w:color="231F20"/>
              <w:bottom w:val="single" w:sz="2" w:space="0" w:color="231F20"/>
            </w:tcBorders>
          </w:tcPr>
          <w:p w14:paraId="64E48168" w14:textId="77777777" w:rsidR="00345EE3" w:rsidRDefault="00345EE3" w:rsidP="00D73130">
            <w:pPr>
              <w:pStyle w:val="TableParagraph"/>
              <w:ind w:right="53"/>
              <w:rPr>
                <w:b/>
                <w:sz w:val="24"/>
              </w:rPr>
            </w:pPr>
            <w:r>
              <w:rPr>
                <w:b/>
                <w:color w:val="231F20"/>
                <w:spacing w:val="-2"/>
                <w:sz w:val="24"/>
              </w:rPr>
              <w:t>(5,446)</w:t>
            </w:r>
          </w:p>
        </w:tc>
        <w:tc>
          <w:tcPr>
            <w:tcW w:w="1418" w:type="dxa"/>
            <w:tcBorders>
              <w:top w:val="single" w:sz="2" w:space="0" w:color="231F20"/>
              <w:bottom w:val="single" w:sz="2" w:space="0" w:color="231F20"/>
              <w:right w:val="nil"/>
            </w:tcBorders>
          </w:tcPr>
          <w:p w14:paraId="2D4553D1" w14:textId="77777777" w:rsidR="00345EE3" w:rsidRDefault="00345EE3" w:rsidP="00D73130">
            <w:pPr>
              <w:pStyle w:val="TableParagraph"/>
              <w:ind w:right="-15"/>
              <w:rPr>
                <w:b/>
                <w:sz w:val="24"/>
              </w:rPr>
            </w:pPr>
            <w:r>
              <w:rPr>
                <w:b/>
                <w:color w:val="231F20"/>
                <w:sz w:val="24"/>
              </w:rPr>
              <w:t>-</w:t>
            </w:r>
            <w:r>
              <w:rPr>
                <w:b/>
                <w:color w:val="231F20"/>
                <w:spacing w:val="-5"/>
                <w:sz w:val="24"/>
              </w:rPr>
              <w:t>39%</w:t>
            </w:r>
          </w:p>
        </w:tc>
      </w:tr>
      <w:tr w:rsidR="00345EE3" w14:paraId="5FA56011" w14:textId="77777777" w:rsidTr="00D73130">
        <w:trPr>
          <w:trHeight w:val="396"/>
        </w:trPr>
        <w:tc>
          <w:tcPr>
            <w:tcW w:w="9468" w:type="dxa"/>
            <w:tcBorders>
              <w:top w:val="single" w:sz="2" w:space="0" w:color="231F20"/>
              <w:left w:val="nil"/>
              <w:bottom w:val="single" w:sz="2" w:space="0" w:color="231F20"/>
            </w:tcBorders>
          </w:tcPr>
          <w:p w14:paraId="2AD7CE38" w14:textId="77777777" w:rsidR="00345EE3" w:rsidRDefault="00345EE3" w:rsidP="00D73130">
            <w:pPr>
              <w:pStyle w:val="TableParagraph"/>
              <w:ind w:left="-1"/>
              <w:jc w:val="left"/>
              <w:rPr>
                <w:sz w:val="24"/>
              </w:rPr>
            </w:pPr>
            <w:r>
              <w:rPr>
                <w:color w:val="231F20"/>
                <w:sz w:val="24"/>
              </w:rPr>
              <w:t>Cash</w:t>
            </w:r>
            <w:r>
              <w:rPr>
                <w:color w:val="231F20"/>
                <w:spacing w:val="-6"/>
                <w:sz w:val="24"/>
              </w:rPr>
              <w:t xml:space="preserve"> </w:t>
            </w:r>
            <w:r>
              <w:rPr>
                <w:color w:val="231F20"/>
                <w:sz w:val="24"/>
              </w:rPr>
              <w:t>and</w:t>
            </w:r>
            <w:r>
              <w:rPr>
                <w:color w:val="231F20"/>
                <w:spacing w:val="-3"/>
                <w:sz w:val="24"/>
              </w:rPr>
              <w:t xml:space="preserve"> </w:t>
            </w:r>
            <w:r>
              <w:rPr>
                <w:color w:val="231F20"/>
                <w:sz w:val="24"/>
              </w:rPr>
              <w:t>cash</w:t>
            </w:r>
            <w:r>
              <w:rPr>
                <w:color w:val="231F20"/>
                <w:spacing w:val="-3"/>
                <w:sz w:val="24"/>
              </w:rPr>
              <w:t xml:space="preserve"> </w:t>
            </w:r>
            <w:r>
              <w:rPr>
                <w:color w:val="231F20"/>
                <w:sz w:val="24"/>
              </w:rPr>
              <w:t>equivalents</w:t>
            </w:r>
            <w:r>
              <w:rPr>
                <w:color w:val="231F20"/>
                <w:spacing w:val="-3"/>
                <w:sz w:val="24"/>
              </w:rPr>
              <w:t xml:space="preserve"> </w:t>
            </w:r>
            <w:r>
              <w:rPr>
                <w:color w:val="231F20"/>
                <w:sz w:val="24"/>
              </w:rPr>
              <w:t>at</w:t>
            </w:r>
            <w:r>
              <w:rPr>
                <w:color w:val="231F20"/>
                <w:spacing w:val="-4"/>
                <w:sz w:val="24"/>
              </w:rPr>
              <w:t xml:space="preserve"> </w:t>
            </w:r>
            <w:r>
              <w:rPr>
                <w:color w:val="231F20"/>
                <w:sz w:val="24"/>
              </w:rPr>
              <w:t>the</w:t>
            </w:r>
            <w:r>
              <w:rPr>
                <w:color w:val="231F20"/>
                <w:spacing w:val="-2"/>
                <w:sz w:val="24"/>
              </w:rPr>
              <w:t xml:space="preserve"> </w:t>
            </w:r>
            <w:r>
              <w:rPr>
                <w:color w:val="231F20"/>
                <w:sz w:val="24"/>
              </w:rPr>
              <w:t>beginning</w:t>
            </w:r>
            <w:r>
              <w:rPr>
                <w:color w:val="231F20"/>
                <w:spacing w:val="-4"/>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financial</w:t>
            </w:r>
            <w:r>
              <w:rPr>
                <w:color w:val="231F20"/>
                <w:spacing w:val="-2"/>
                <w:sz w:val="24"/>
              </w:rPr>
              <w:t xml:space="preserve"> </w:t>
            </w:r>
            <w:r>
              <w:rPr>
                <w:color w:val="231F20"/>
                <w:spacing w:val="-4"/>
                <w:sz w:val="24"/>
              </w:rPr>
              <w:t>year</w:t>
            </w:r>
          </w:p>
        </w:tc>
        <w:tc>
          <w:tcPr>
            <w:tcW w:w="1418" w:type="dxa"/>
            <w:tcBorders>
              <w:top w:val="single" w:sz="2" w:space="0" w:color="231F20"/>
              <w:bottom w:val="single" w:sz="2" w:space="0" w:color="231F20"/>
            </w:tcBorders>
            <w:shd w:val="clear" w:color="auto" w:fill="E6E7E8"/>
          </w:tcPr>
          <w:p w14:paraId="340F062C" w14:textId="77777777" w:rsidR="00345EE3" w:rsidRDefault="00345EE3" w:rsidP="00D73130">
            <w:pPr>
              <w:pStyle w:val="TableParagraph"/>
              <w:ind w:right="54"/>
              <w:rPr>
                <w:sz w:val="24"/>
              </w:rPr>
            </w:pPr>
            <w:r>
              <w:rPr>
                <w:color w:val="231F20"/>
                <w:spacing w:val="-2"/>
                <w:sz w:val="24"/>
              </w:rPr>
              <w:t>53,852</w:t>
            </w:r>
          </w:p>
        </w:tc>
        <w:tc>
          <w:tcPr>
            <w:tcW w:w="1418" w:type="dxa"/>
            <w:tcBorders>
              <w:top w:val="single" w:sz="2" w:space="0" w:color="231F20"/>
              <w:bottom w:val="single" w:sz="2" w:space="0" w:color="231F20"/>
            </w:tcBorders>
          </w:tcPr>
          <w:p w14:paraId="3F6C98EE" w14:textId="77777777" w:rsidR="00345EE3" w:rsidRDefault="00345EE3" w:rsidP="00D73130">
            <w:pPr>
              <w:pStyle w:val="TableParagraph"/>
              <w:ind w:right="55"/>
              <w:rPr>
                <w:sz w:val="24"/>
              </w:rPr>
            </w:pPr>
            <w:r>
              <w:rPr>
                <w:color w:val="231F20"/>
                <w:spacing w:val="-2"/>
                <w:sz w:val="24"/>
              </w:rPr>
              <w:t>63,350</w:t>
            </w:r>
          </w:p>
        </w:tc>
        <w:tc>
          <w:tcPr>
            <w:tcW w:w="1418" w:type="dxa"/>
            <w:tcBorders>
              <w:top w:val="single" w:sz="2" w:space="0" w:color="231F20"/>
              <w:bottom w:val="single" w:sz="2" w:space="0" w:color="231F20"/>
            </w:tcBorders>
          </w:tcPr>
          <w:p w14:paraId="4433BF39" w14:textId="77777777" w:rsidR="00345EE3" w:rsidRDefault="00345EE3" w:rsidP="00D73130">
            <w:pPr>
              <w:pStyle w:val="TableParagraph"/>
              <w:ind w:right="52"/>
              <w:rPr>
                <w:b/>
                <w:sz w:val="24"/>
              </w:rPr>
            </w:pPr>
            <w:r>
              <w:rPr>
                <w:b/>
                <w:color w:val="231F20"/>
                <w:spacing w:val="-2"/>
                <w:sz w:val="24"/>
              </w:rPr>
              <w:t>(9,498)</w:t>
            </w:r>
          </w:p>
        </w:tc>
        <w:tc>
          <w:tcPr>
            <w:tcW w:w="1418" w:type="dxa"/>
            <w:tcBorders>
              <w:top w:val="single" w:sz="2" w:space="0" w:color="231F20"/>
              <w:bottom w:val="single" w:sz="2" w:space="0" w:color="231F20"/>
              <w:right w:val="nil"/>
            </w:tcBorders>
          </w:tcPr>
          <w:p w14:paraId="103BC29B" w14:textId="77777777" w:rsidR="00345EE3" w:rsidRDefault="00345EE3" w:rsidP="00D73130">
            <w:pPr>
              <w:pStyle w:val="TableParagraph"/>
              <w:ind w:right="-15"/>
              <w:rPr>
                <w:b/>
                <w:sz w:val="24"/>
              </w:rPr>
            </w:pPr>
            <w:r>
              <w:rPr>
                <w:b/>
                <w:color w:val="231F20"/>
                <w:sz w:val="24"/>
              </w:rPr>
              <w:t>-</w:t>
            </w:r>
            <w:r>
              <w:rPr>
                <w:b/>
                <w:color w:val="231F20"/>
                <w:spacing w:val="-5"/>
                <w:sz w:val="24"/>
              </w:rPr>
              <w:t>15%</w:t>
            </w:r>
          </w:p>
        </w:tc>
      </w:tr>
      <w:tr w:rsidR="00345EE3" w14:paraId="79612AF6" w14:textId="77777777" w:rsidTr="00D73130">
        <w:trPr>
          <w:trHeight w:val="391"/>
        </w:trPr>
        <w:tc>
          <w:tcPr>
            <w:tcW w:w="9468" w:type="dxa"/>
            <w:tcBorders>
              <w:top w:val="single" w:sz="2" w:space="0" w:color="231F20"/>
              <w:left w:val="nil"/>
              <w:bottom w:val="single" w:sz="6" w:space="0" w:color="231F20"/>
            </w:tcBorders>
          </w:tcPr>
          <w:p w14:paraId="66634903" w14:textId="77777777" w:rsidR="00345EE3" w:rsidRDefault="00345EE3" w:rsidP="00D73130">
            <w:pPr>
              <w:pStyle w:val="TableParagraph"/>
              <w:ind w:left="-1"/>
              <w:jc w:val="left"/>
              <w:rPr>
                <w:b/>
                <w:sz w:val="24"/>
              </w:rPr>
            </w:pPr>
            <w:r>
              <w:rPr>
                <w:b/>
                <w:color w:val="231F20"/>
                <w:sz w:val="24"/>
              </w:rPr>
              <w:t>Cash</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Cash</w:t>
            </w:r>
            <w:r>
              <w:rPr>
                <w:b/>
                <w:color w:val="231F20"/>
                <w:spacing w:val="-2"/>
                <w:sz w:val="24"/>
              </w:rPr>
              <w:t xml:space="preserve"> </w:t>
            </w:r>
            <w:r>
              <w:rPr>
                <w:b/>
                <w:color w:val="231F20"/>
                <w:sz w:val="24"/>
              </w:rPr>
              <w:t>Equivalents</w:t>
            </w:r>
            <w:r>
              <w:rPr>
                <w:b/>
                <w:color w:val="231F20"/>
                <w:spacing w:val="-10"/>
                <w:sz w:val="24"/>
              </w:rPr>
              <w:t xml:space="preserve"> </w:t>
            </w:r>
            <w:r>
              <w:rPr>
                <w:b/>
                <w:color w:val="231F20"/>
                <w:sz w:val="24"/>
              </w:rPr>
              <w:t>At</w:t>
            </w:r>
            <w:r>
              <w:rPr>
                <w:b/>
                <w:color w:val="231F20"/>
                <w:spacing w:val="-2"/>
                <w:sz w:val="24"/>
              </w:rPr>
              <w:t xml:space="preserve"> </w:t>
            </w:r>
            <w:r>
              <w:rPr>
                <w:b/>
                <w:color w:val="231F20"/>
                <w:sz w:val="24"/>
              </w:rPr>
              <w:t>The</w:t>
            </w:r>
            <w:r>
              <w:rPr>
                <w:b/>
                <w:color w:val="231F20"/>
                <w:spacing w:val="-1"/>
                <w:sz w:val="24"/>
              </w:rPr>
              <w:t xml:space="preserve"> </w:t>
            </w:r>
            <w:r>
              <w:rPr>
                <w:b/>
                <w:color w:val="231F20"/>
                <w:sz w:val="24"/>
              </w:rPr>
              <w:t>End</w:t>
            </w:r>
            <w:r>
              <w:rPr>
                <w:b/>
                <w:color w:val="231F20"/>
                <w:spacing w:val="-1"/>
                <w:sz w:val="24"/>
              </w:rPr>
              <w:t xml:space="preserve"> </w:t>
            </w:r>
            <w:r>
              <w:rPr>
                <w:b/>
                <w:color w:val="231F20"/>
                <w:sz w:val="24"/>
              </w:rPr>
              <w:t>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Financial</w:t>
            </w:r>
            <w:r>
              <w:rPr>
                <w:b/>
                <w:color w:val="231F20"/>
                <w:spacing w:val="-5"/>
                <w:sz w:val="24"/>
              </w:rPr>
              <w:t xml:space="preserve"> </w:t>
            </w:r>
            <w:r>
              <w:rPr>
                <w:b/>
                <w:color w:val="231F20"/>
                <w:spacing w:val="-4"/>
                <w:sz w:val="24"/>
              </w:rPr>
              <w:t>Year</w:t>
            </w:r>
          </w:p>
        </w:tc>
        <w:tc>
          <w:tcPr>
            <w:tcW w:w="1418" w:type="dxa"/>
            <w:tcBorders>
              <w:top w:val="single" w:sz="2" w:space="0" w:color="231F20"/>
              <w:bottom w:val="single" w:sz="6" w:space="0" w:color="231F20"/>
            </w:tcBorders>
            <w:shd w:val="clear" w:color="auto" w:fill="E6E7E8"/>
          </w:tcPr>
          <w:p w14:paraId="09F4D3F5" w14:textId="77777777" w:rsidR="00345EE3" w:rsidRDefault="00345EE3" w:rsidP="00D73130">
            <w:pPr>
              <w:pStyle w:val="TableParagraph"/>
              <w:ind w:right="51"/>
              <w:rPr>
                <w:b/>
                <w:sz w:val="24"/>
              </w:rPr>
            </w:pPr>
            <w:r>
              <w:rPr>
                <w:b/>
                <w:color w:val="231F20"/>
                <w:spacing w:val="-2"/>
                <w:sz w:val="24"/>
              </w:rPr>
              <w:t>62,483</w:t>
            </w:r>
          </w:p>
        </w:tc>
        <w:tc>
          <w:tcPr>
            <w:tcW w:w="1418" w:type="dxa"/>
            <w:tcBorders>
              <w:top w:val="single" w:sz="2" w:space="0" w:color="231F20"/>
              <w:bottom w:val="single" w:sz="6" w:space="0" w:color="231F20"/>
            </w:tcBorders>
          </w:tcPr>
          <w:p w14:paraId="107405A5" w14:textId="77777777" w:rsidR="00345EE3" w:rsidRDefault="00345EE3" w:rsidP="00D73130">
            <w:pPr>
              <w:pStyle w:val="TableParagraph"/>
              <w:ind w:right="52"/>
              <w:rPr>
                <w:b/>
                <w:sz w:val="24"/>
              </w:rPr>
            </w:pPr>
            <w:r>
              <w:rPr>
                <w:b/>
                <w:color w:val="231F20"/>
                <w:spacing w:val="-2"/>
                <w:sz w:val="24"/>
              </w:rPr>
              <w:t>77,427</w:t>
            </w:r>
          </w:p>
        </w:tc>
        <w:tc>
          <w:tcPr>
            <w:tcW w:w="1418" w:type="dxa"/>
            <w:tcBorders>
              <w:top w:val="single" w:sz="2" w:space="0" w:color="231F20"/>
              <w:bottom w:val="single" w:sz="6" w:space="0" w:color="231F20"/>
            </w:tcBorders>
          </w:tcPr>
          <w:p w14:paraId="4E0941CA" w14:textId="77777777" w:rsidR="00345EE3" w:rsidRDefault="00345EE3" w:rsidP="00D73130">
            <w:pPr>
              <w:pStyle w:val="TableParagraph"/>
              <w:ind w:right="52"/>
              <w:rPr>
                <w:b/>
                <w:sz w:val="24"/>
              </w:rPr>
            </w:pPr>
            <w:r>
              <w:rPr>
                <w:b/>
                <w:color w:val="231F20"/>
                <w:spacing w:val="-2"/>
                <w:sz w:val="24"/>
              </w:rPr>
              <w:t>(14,944)</w:t>
            </w:r>
          </w:p>
        </w:tc>
        <w:tc>
          <w:tcPr>
            <w:tcW w:w="1418" w:type="dxa"/>
            <w:tcBorders>
              <w:top w:val="single" w:sz="2" w:space="0" w:color="231F20"/>
              <w:bottom w:val="single" w:sz="6" w:space="0" w:color="231F20"/>
              <w:right w:val="nil"/>
            </w:tcBorders>
          </w:tcPr>
          <w:p w14:paraId="542DBAB9" w14:textId="77777777" w:rsidR="00345EE3" w:rsidRDefault="00345EE3" w:rsidP="00D73130">
            <w:pPr>
              <w:pStyle w:val="TableParagraph"/>
              <w:ind w:right="53"/>
              <w:rPr>
                <w:b/>
                <w:sz w:val="24"/>
              </w:rPr>
            </w:pPr>
            <w:r>
              <w:rPr>
                <w:b/>
                <w:color w:val="231F20"/>
                <w:sz w:val="24"/>
              </w:rPr>
              <w:t>-</w:t>
            </w:r>
            <w:r>
              <w:rPr>
                <w:b/>
                <w:color w:val="231F20"/>
                <w:spacing w:val="-5"/>
                <w:sz w:val="24"/>
              </w:rPr>
              <w:t>19%</w:t>
            </w:r>
          </w:p>
        </w:tc>
      </w:tr>
    </w:tbl>
    <w:p w14:paraId="1FBA24D1" w14:textId="77777777" w:rsidR="00345EE3" w:rsidRDefault="00345EE3" w:rsidP="00345EE3">
      <w:pPr>
        <w:spacing w:before="92"/>
        <w:ind w:left="110"/>
        <w:rPr>
          <w:rFonts w:ascii="Arial-BoldItalicMT"/>
          <w:b/>
          <w:i/>
          <w:sz w:val="14"/>
        </w:rPr>
      </w:pPr>
      <w:r>
        <w:rPr>
          <w:rFonts w:ascii="Arial-BoldItalicMT"/>
          <w:b/>
          <w:i/>
          <w:color w:val="231F20"/>
          <w:spacing w:val="-2"/>
          <w:sz w:val="14"/>
        </w:rPr>
        <w:t>Note:</w:t>
      </w:r>
    </w:p>
    <w:p w14:paraId="43232CBC" w14:textId="77777777" w:rsidR="00345EE3" w:rsidRDefault="00345EE3" w:rsidP="00345EE3">
      <w:pPr>
        <w:spacing w:before="27"/>
        <w:ind w:left="110"/>
        <w:rPr>
          <w:sz w:val="14"/>
        </w:rPr>
      </w:pPr>
      <w:r>
        <w:rPr>
          <w:color w:val="231F20"/>
          <w:sz w:val="14"/>
        </w:rPr>
        <w:t>The</w:t>
      </w:r>
      <w:r>
        <w:rPr>
          <w:color w:val="231F20"/>
          <w:spacing w:val="-2"/>
          <w:sz w:val="14"/>
        </w:rPr>
        <w:t xml:space="preserve"> </w:t>
      </w:r>
      <w:r>
        <w:rPr>
          <w:color w:val="231F20"/>
          <w:sz w:val="14"/>
        </w:rPr>
        <w:t>budget</w:t>
      </w:r>
      <w:r>
        <w:rPr>
          <w:color w:val="231F20"/>
          <w:spacing w:val="-1"/>
          <w:sz w:val="14"/>
        </w:rPr>
        <w:t xml:space="preserve"> </w:t>
      </w:r>
      <w:r>
        <w:rPr>
          <w:color w:val="231F20"/>
          <w:sz w:val="14"/>
        </w:rPr>
        <w:t>portfolio</w:t>
      </w:r>
      <w:r>
        <w:rPr>
          <w:color w:val="231F20"/>
          <w:spacing w:val="-1"/>
          <w:sz w:val="14"/>
        </w:rPr>
        <w:t xml:space="preserve"> </w:t>
      </w:r>
      <w:r>
        <w:rPr>
          <w:color w:val="231F20"/>
          <w:sz w:val="14"/>
        </w:rPr>
        <w:t>outcome</w:t>
      </w:r>
      <w:r>
        <w:rPr>
          <w:color w:val="231F20"/>
          <w:spacing w:val="-2"/>
          <w:sz w:val="14"/>
        </w:rPr>
        <w:t xml:space="preserve"> </w:t>
      </w:r>
      <w:r>
        <w:rPr>
          <w:color w:val="231F20"/>
          <w:sz w:val="14"/>
        </w:rPr>
        <w:t>statements</w:t>
      </w:r>
      <w:r>
        <w:rPr>
          <w:color w:val="231F20"/>
          <w:spacing w:val="-1"/>
          <w:sz w:val="14"/>
        </w:rPr>
        <w:t xml:space="preserve"> </w:t>
      </w:r>
      <w:r>
        <w:rPr>
          <w:color w:val="231F20"/>
          <w:sz w:val="14"/>
        </w:rPr>
        <w:t>are</w:t>
      </w:r>
      <w:r>
        <w:rPr>
          <w:color w:val="231F20"/>
          <w:spacing w:val="-1"/>
          <w:sz w:val="14"/>
        </w:rPr>
        <w:t xml:space="preserve"> </w:t>
      </w:r>
      <w:r>
        <w:rPr>
          <w:color w:val="231F20"/>
          <w:sz w:val="14"/>
        </w:rPr>
        <w:t>not</w:t>
      </w:r>
      <w:r>
        <w:rPr>
          <w:color w:val="231F20"/>
          <w:spacing w:val="-1"/>
          <w:sz w:val="14"/>
        </w:rPr>
        <w:t xml:space="preserve"> </w:t>
      </w:r>
      <w:r>
        <w:rPr>
          <w:color w:val="231F20"/>
          <w:sz w:val="14"/>
        </w:rPr>
        <w:t>prepared</w:t>
      </w:r>
      <w:r>
        <w:rPr>
          <w:color w:val="231F20"/>
          <w:spacing w:val="-2"/>
          <w:sz w:val="14"/>
        </w:rPr>
        <w:t xml:space="preserve"> </w:t>
      </w:r>
      <w:r>
        <w:rPr>
          <w:color w:val="231F20"/>
          <w:sz w:val="14"/>
        </w:rPr>
        <w:t>on</w:t>
      </w:r>
      <w:r>
        <w:rPr>
          <w:color w:val="231F20"/>
          <w:spacing w:val="-1"/>
          <w:sz w:val="14"/>
        </w:rPr>
        <w:t xml:space="preserve"> </w:t>
      </w:r>
      <w:r>
        <w:rPr>
          <w:color w:val="231F20"/>
          <w:sz w:val="14"/>
        </w:rPr>
        <w:t>the</w:t>
      </w:r>
      <w:r>
        <w:rPr>
          <w:color w:val="231F20"/>
          <w:spacing w:val="-1"/>
          <w:sz w:val="14"/>
        </w:rPr>
        <w:t xml:space="preserve"> </w:t>
      </w:r>
      <w:r>
        <w:rPr>
          <w:color w:val="231F20"/>
          <w:sz w:val="14"/>
        </w:rPr>
        <w:t>same</w:t>
      </w:r>
      <w:r>
        <w:rPr>
          <w:color w:val="231F20"/>
          <w:spacing w:val="-1"/>
          <w:sz w:val="14"/>
        </w:rPr>
        <w:t xml:space="preserve"> </w:t>
      </w:r>
      <w:r>
        <w:rPr>
          <w:color w:val="231F20"/>
          <w:sz w:val="14"/>
        </w:rPr>
        <w:t>basis</w:t>
      </w:r>
      <w:r>
        <w:rPr>
          <w:color w:val="231F20"/>
          <w:spacing w:val="-2"/>
          <w:sz w:val="14"/>
        </w:rPr>
        <w:t xml:space="preserve"> </w:t>
      </w:r>
      <w:r>
        <w:rPr>
          <w:color w:val="231F20"/>
          <w:sz w:val="14"/>
        </w:rPr>
        <w:t>as</w:t>
      </w:r>
      <w:r>
        <w:rPr>
          <w:color w:val="231F20"/>
          <w:spacing w:val="-1"/>
          <w:sz w:val="14"/>
        </w:rPr>
        <w:t xml:space="preserve"> </w:t>
      </w:r>
      <w:r>
        <w:rPr>
          <w:color w:val="231F20"/>
          <w:sz w:val="14"/>
        </w:rPr>
        <w:t>the</w:t>
      </w:r>
      <w:r>
        <w:rPr>
          <w:color w:val="231F20"/>
          <w:spacing w:val="-1"/>
          <w:sz w:val="14"/>
        </w:rPr>
        <w:t xml:space="preserve"> </w:t>
      </w:r>
      <w:r>
        <w:rPr>
          <w:color w:val="231F20"/>
          <w:sz w:val="14"/>
        </w:rPr>
        <w:t>Annual</w:t>
      </w:r>
      <w:r>
        <w:rPr>
          <w:color w:val="231F20"/>
          <w:spacing w:val="-2"/>
          <w:sz w:val="14"/>
        </w:rPr>
        <w:t xml:space="preserve"> </w:t>
      </w:r>
      <w:r>
        <w:rPr>
          <w:color w:val="231F20"/>
          <w:sz w:val="14"/>
        </w:rPr>
        <w:t>Financial</w:t>
      </w:r>
      <w:r>
        <w:rPr>
          <w:color w:val="231F20"/>
          <w:spacing w:val="-1"/>
          <w:sz w:val="14"/>
        </w:rPr>
        <w:t xml:space="preserve"> </w:t>
      </w:r>
      <w:r>
        <w:rPr>
          <w:color w:val="231F20"/>
          <w:sz w:val="14"/>
        </w:rPr>
        <w:t>Statements</w:t>
      </w:r>
      <w:r>
        <w:rPr>
          <w:color w:val="231F20"/>
          <w:spacing w:val="-1"/>
          <w:sz w:val="14"/>
        </w:rPr>
        <w:t xml:space="preserve"> </w:t>
      </w:r>
      <w:r>
        <w:rPr>
          <w:color w:val="231F20"/>
          <w:sz w:val="14"/>
        </w:rPr>
        <w:t>due</w:t>
      </w:r>
      <w:r>
        <w:rPr>
          <w:color w:val="231F20"/>
          <w:spacing w:val="-1"/>
          <w:sz w:val="14"/>
        </w:rPr>
        <w:t xml:space="preserve"> </w:t>
      </w:r>
      <w:r>
        <w:rPr>
          <w:color w:val="231F20"/>
          <w:sz w:val="14"/>
        </w:rPr>
        <w:t>to</w:t>
      </w:r>
      <w:r>
        <w:rPr>
          <w:color w:val="231F20"/>
          <w:spacing w:val="-2"/>
          <w:sz w:val="14"/>
        </w:rPr>
        <w:t xml:space="preserve"> </w:t>
      </w:r>
      <w:r>
        <w:rPr>
          <w:color w:val="231F20"/>
          <w:sz w:val="14"/>
        </w:rPr>
        <w:t>differences</w:t>
      </w:r>
      <w:r>
        <w:rPr>
          <w:color w:val="231F20"/>
          <w:spacing w:val="-1"/>
          <w:sz w:val="14"/>
        </w:rPr>
        <w:t xml:space="preserve"> </w:t>
      </w:r>
      <w:r>
        <w:rPr>
          <w:color w:val="231F20"/>
          <w:sz w:val="14"/>
        </w:rPr>
        <w:t>in</w:t>
      </w:r>
      <w:r>
        <w:rPr>
          <w:color w:val="231F20"/>
          <w:spacing w:val="-1"/>
          <w:sz w:val="14"/>
        </w:rPr>
        <w:t xml:space="preserve"> </w:t>
      </w:r>
      <w:r>
        <w:rPr>
          <w:color w:val="231F20"/>
          <w:sz w:val="14"/>
        </w:rPr>
        <w:t>the</w:t>
      </w:r>
      <w:r>
        <w:rPr>
          <w:color w:val="231F20"/>
          <w:spacing w:val="-1"/>
          <w:sz w:val="14"/>
        </w:rPr>
        <w:t xml:space="preserve"> </w:t>
      </w:r>
      <w:r>
        <w:rPr>
          <w:color w:val="231F20"/>
          <w:sz w:val="14"/>
        </w:rPr>
        <w:t>mapping</w:t>
      </w:r>
      <w:r>
        <w:rPr>
          <w:color w:val="231F20"/>
          <w:spacing w:val="-2"/>
          <w:sz w:val="14"/>
        </w:rPr>
        <w:t xml:space="preserve"> </w:t>
      </w:r>
      <w:r>
        <w:rPr>
          <w:color w:val="231F20"/>
          <w:sz w:val="14"/>
        </w:rPr>
        <w:t>between</w:t>
      </w:r>
      <w:r>
        <w:rPr>
          <w:color w:val="231F20"/>
          <w:spacing w:val="-1"/>
          <w:sz w:val="14"/>
        </w:rPr>
        <w:t xml:space="preserve"> </w:t>
      </w:r>
      <w:r>
        <w:rPr>
          <w:color w:val="231F20"/>
          <w:sz w:val="14"/>
        </w:rPr>
        <w:t>Actuals</w:t>
      </w:r>
      <w:r>
        <w:rPr>
          <w:color w:val="231F20"/>
          <w:spacing w:val="-1"/>
          <w:sz w:val="14"/>
        </w:rPr>
        <w:t xml:space="preserve"> </w:t>
      </w:r>
      <w:r>
        <w:rPr>
          <w:color w:val="231F20"/>
          <w:sz w:val="14"/>
        </w:rPr>
        <w:t>and</w:t>
      </w:r>
      <w:r>
        <w:rPr>
          <w:color w:val="231F20"/>
          <w:spacing w:val="-1"/>
          <w:sz w:val="14"/>
        </w:rPr>
        <w:t xml:space="preserve"> </w:t>
      </w:r>
      <w:r>
        <w:rPr>
          <w:color w:val="231F20"/>
          <w:spacing w:val="-2"/>
          <w:sz w:val="14"/>
        </w:rPr>
        <w:t>Budget.</w:t>
      </w:r>
    </w:p>
    <w:p w14:paraId="3777F4B9" w14:textId="77777777" w:rsidR="00345EE3" w:rsidRDefault="00345EE3">
      <w:pPr>
        <w:pStyle w:val="ListParagraph"/>
        <w:numPr>
          <w:ilvl w:val="0"/>
          <w:numId w:val="3"/>
        </w:numPr>
        <w:tabs>
          <w:tab w:val="left" w:pos="307"/>
        </w:tabs>
        <w:spacing w:before="27"/>
        <w:rPr>
          <w:sz w:val="14"/>
        </w:rPr>
      </w:pPr>
      <w:r>
        <w:rPr>
          <w:color w:val="231F20"/>
          <w:sz w:val="14"/>
        </w:rPr>
        <w:t>Goods</w:t>
      </w:r>
      <w:r>
        <w:rPr>
          <w:color w:val="231F20"/>
          <w:spacing w:val="-3"/>
          <w:sz w:val="14"/>
        </w:rPr>
        <w:t xml:space="preserve"> </w:t>
      </w:r>
      <w:r>
        <w:rPr>
          <w:color w:val="231F20"/>
          <w:sz w:val="14"/>
        </w:rPr>
        <w:t>and</w:t>
      </w:r>
      <w:r>
        <w:rPr>
          <w:color w:val="231F20"/>
          <w:spacing w:val="-1"/>
          <w:sz w:val="14"/>
        </w:rPr>
        <w:t xml:space="preserve"> </w:t>
      </w:r>
      <w:r>
        <w:rPr>
          <w:color w:val="231F20"/>
          <w:sz w:val="14"/>
        </w:rPr>
        <w:t>Services</w:t>
      </w:r>
      <w:r>
        <w:rPr>
          <w:color w:val="231F20"/>
          <w:spacing w:val="-1"/>
          <w:sz w:val="14"/>
        </w:rPr>
        <w:t xml:space="preserve"> </w:t>
      </w:r>
      <w:r>
        <w:rPr>
          <w:color w:val="231F20"/>
          <w:sz w:val="14"/>
        </w:rPr>
        <w:t>tax</w:t>
      </w:r>
      <w:r>
        <w:rPr>
          <w:color w:val="231F20"/>
          <w:spacing w:val="-1"/>
          <w:sz w:val="14"/>
        </w:rPr>
        <w:t xml:space="preserve"> </w:t>
      </w:r>
      <w:r>
        <w:rPr>
          <w:color w:val="231F20"/>
          <w:sz w:val="14"/>
        </w:rPr>
        <w:t>is</w:t>
      </w:r>
      <w:r>
        <w:rPr>
          <w:color w:val="231F20"/>
          <w:spacing w:val="-1"/>
          <w:sz w:val="14"/>
        </w:rPr>
        <w:t xml:space="preserve"> </w:t>
      </w:r>
      <w:r>
        <w:rPr>
          <w:color w:val="231F20"/>
          <w:sz w:val="14"/>
        </w:rPr>
        <w:t>presented</w:t>
      </w:r>
      <w:r>
        <w:rPr>
          <w:color w:val="231F20"/>
          <w:spacing w:val="-1"/>
          <w:sz w:val="14"/>
        </w:rPr>
        <w:t xml:space="preserve"> </w:t>
      </w:r>
      <w:r>
        <w:rPr>
          <w:color w:val="231F20"/>
          <w:sz w:val="14"/>
        </w:rPr>
        <w:t>on</w:t>
      </w:r>
      <w:r>
        <w:rPr>
          <w:color w:val="231F20"/>
          <w:spacing w:val="-1"/>
          <w:sz w:val="14"/>
        </w:rPr>
        <w:t xml:space="preserve"> </w:t>
      </w:r>
      <w:r>
        <w:rPr>
          <w:color w:val="231F20"/>
          <w:sz w:val="14"/>
        </w:rPr>
        <w:t>a</w:t>
      </w:r>
      <w:r>
        <w:rPr>
          <w:color w:val="231F20"/>
          <w:spacing w:val="-1"/>
          <w:sz w:val="14"/>
        </w:rPr>
        <w:t xml:space="preserve"> </w:t>
      </w:r>
      <w:r>
        <w:rPr>
          <w:color w:val="231F20"/>
          <w:sz w:val="14"/>
        </w:rPr>
        <w:t xml:space="preserve">net </w:t>
      </w:r>
      <w:r>
        <w:rPr>
          <w:color w:val="231F20"/>
          <w:spacing w:val="-2"/>
          <w:sz w:val="14"/>
        </w:rPr>
        <w:t>basis.</w:t>
      </w:r>
    </w:p>
    <w:p w14:paraId="0FF4418A" w14:textId="77777777" w:rsidR="00345EE3" w:rsidRDefault="00345EE3" w:rsidP="00345EE3">
      <w:pPr>
        <w:rPr>
          <w:sz w:val="14"/>
        </w:rPr>
        <w:sectPr w:rsidR="00345EE3">
          <w:pgSz w:w="16840" w:h="11910" w:orient="landscape"/>
          <w:pgMar w:top="820" w:right="740" w:bottom="280" w:left="740" w:header="720" w:footer="720" w:gutter="0"/>
          <w:cols w:space="720"/>
        </w:sectPr>
      </w:pPr>
    </w:p>
    <w:p w14:paraId="288306ED" w14:textId="6870EE5F" w:rsidR="00345EE3" w:rsidRDefault="00345EE3" w:rsidP="00345EE3">
      <w:pPr>
        <w:spacing w:before="78" w:after="55"/>
        <w:ind w:left="110"/>
      </w:pPr>
      <w:r>
        <w:rPr>
          <w:color w:val="231F20"/>
        </w:rPr>
        <w:t>Statement</w:t>
      </w:r>
      <w:r>
        <w:rPr>
          <w:color w:val="231F20"/>
          <w:spacing w:val="-2"/>
        </w:rPr>
        <w:t xml:space="preserve"> </w:t>
      </w:r>
      <w:r>
        <w:rPr>
          <w:color w:val="231F20"/>
        </w:rPr>
        <w:t>of</w:t>
      </w:r>
      <w:r>
        <w:rPr>
          <w:color w:val="231F20"/>
          <w:spacing w:val="-2"/>
        </w:rPr>
        <w:t xml:space="preserve"> </w:t>
      </w:r>
      <w:r>
        <w:rPr>
          <w:color w:val="231F20"/>
        </w:rPr>
        <w:t>Changes</w:t>
      </w:r>
      <w:r>
        <w:rPr>
          <w:color w:val="231F20"/>
          <w:spacing w:val="-2"/>
        </w:rPr>
        <w:t xml:space="preserve"> </w:t>
      </w:r>
      <w:r>
        <w:rPr>
          <w:color w:val="231F20"/>
        </w:rPr>
        <w:t>in</w:t>
      </w:r>
      <w:r>
        <w:rPr>
          <w:color w:val="231F20"/>
          <w:spacing w:val="-2"/>
        </w:rPr>
        <w:t xml:space="preserve"> </w:t>
      </w:r>
      <w:r>
        <w:rPr>
          <w:color w:val="231F20"/>
        </w:rPr>
        <w:t>Equity</w:t>
      </w:r>
      <w:r>
        <w:rPr>
          <w:color w:val="231F20"/>
          <w:spacing w:val="-1"/>
        </w:rPr>
        <w:t xml:space="preserve"> </w:t>
      </w:r>
      <w:r>
        <w:rPr>
          <w:color w:val="231F20"/>
        </w:rPr>
        <w:t>for</w:t>
      </w:r>
      <w:r>
        <w:rPr>
          <w:color w:val="231F20"/>
          <w:spacing w:val="-1"/>
        </w:rPr>
        <w:t xml:space="preserve"> </w:t>
      </w:r>
      <w:r>
        <w:rPr>
          <w:color w:val="231F20"/>
        </w:rPr>
        <w:t>the</w:t>
      </w:r>
      <w:r>
        <w:rPr>
          <w:color w:val="231F20"/>
          <w:spacing w:val="-2"/>
        </w:rPr>
        <w:t xml:space="preserve"> </w:t>
      </w:r>
      <w:r>
        <w:rPr>
          <w:color w:val="231F20"/>
        </w:rPr>
        <w:t>financial</w:t>
      </w:r>
      <w:r>
        <w:rPr>
          <w:color w:val="231F20"/>
          <w:spacing w:val="-1"/>
        </w:rPr>
        <w:t xml:space="preserve"> </w:t>
      </w:r>
      <w:r>
        <w:rPr>
          <w:color w:val="231F20"/>
        </w:rPr>
        <w:t>year</w:t>
      </w:r>
      <w:r>
        <w:rPr>
          <w:color w:val="231F20"/>
          <w:spacing w:val="-1"/>
        </w:rPr>
        <w:t xml:space="preserve"> </w:t>
      </w:r>
      <w:r>
        <w:rPr>
          <w:color w:val="231F20"/>
        </w:rPr>
        <w:t>ending</w:t>
      </w:r>
      <w:r>
        <w:rPr>
          <w:color w:val="231F20"/>
          <w:spacing w:val="-2"/>
        </w:rPr>
        <w:t xml:space="preserve"> </w:t>
      </w:r>
      <w:r>
        <w:rPr>
          <w:color w:val="231F20"/>
        </w:rPr>
        <w:t>30</w:t>
      </w:r>
      <w:r>
        <w:rPr>
          <w:color w:val="231F20"/>
          <w:spacing w:val="-2"/>
        </w:rPr>
        <w:t xml:space="preserve"> </w:t>
      </w:r>
      <w:r>
        <w:rPr>
          <w:color w:val="231F20"/>
        </w:rPr>
        <w:t>June</w:t>
      </w:r>
      <w:r>
        <w:rPr>
          <w:color w:val="231F20"/>
          <w:spacing w:val="-1"/>
        </w:rPr>
        <w:t xml:space="preserve"> </w:t>
      </w:r>
      <w:r>
        <w:rPr>
          <w:color w:val="231F20"/>
          <w:spacing w:val="-4"/>
        </w:rPr>
        <w:t>2022</w:t>
      </w: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18"/>
      </w:tblGrid>
      <w:tr w:rsidR="00345EE3" w14:paraId="0487F6A1" w14:textId="77777777" w:rsidTr="00D73130">
        <w:trPr>
          <w:trHeight w:val="685"/>
        </w:trPr>
        <w:tc>
          <w:tcPr>
            <w:tcW w:w="9468" w:type="dxa"/>
            <w:tcBorders>
              <w:top w:val="nil"/>
              <w:left w:val="nil"/>
              <w:bottom w:val="nil"/>
              <w:right w:val="nil"/>
            </w:tcBorders>
            <w:shd w:val="clear" w:color="auto" w:fill="00529F"/>
          </w:tcPr>
          <w:p w14:paraId="45AD89FD" w14:textId="77777777" w:rsidR="00345EE3" w:rsidRDefault="00345EE3" w:rsidP="00D73130">
            <w:pPr>
              <w:pStyle w:val="TableParagraph"/>
              <w:spacing w:before="0"/>
              <w:jc w:val="left"/>
              <w:rPr>
                <w:rFonts w:ascii="Times New Roman"/>
              </w:rPr>
            </w:pPr>
          </w:p>
        </w:tc>
        <w:tc>
          <w:tcPr>
            <w:tcW w:w="1418" w:type="dxa"/>
            <w:tcBorders>
              <w:top w:val="nil"/>
              <w:left w:val="nil"/>
              <w:bottom w:val="nil"/>
              <w:right w:val="nil"/>
            </w:tcBorders>
            <w:shd w:val="clear" w:color="auto" w:fill="00529F"/>
          </w:tcPr>
          <w:p w14:paraId="2D938B39" w14:textId="77777777" w:rsidR="00345EE3" w:rsidRDefault="00345EE3" w:rsidP="00D73130">
            <w:pPr>
              <w:pStyle w:val="TableParagraph"/>
              <w:spacing w:before="63"/>
              <w:ind w:right="4"/>
              <w:rPr>
                <w:b/>
                <w:sz w:val="24"/>
              </w:rPr>
            </w:pPr>
            <w:r>
              <w:rPr>
                <w:b/>
                <w:color w:val="FFFFFF"/>
                <w:spacing w:val="-2"/>
                <w:sz w:val="24"/>
              </w:rPr>
              <w:t>Actual</w:t>
            </w:r>
          </w:p>
        </w:tc>
        <w:tc>
          <w:tcPr>
            <w:tcW w:w="1418" w:type="dxa"/>
            <w:tcBorders>
              <w:top w:val="nil"/>
              <w:left w:val="nil"/>
              <w:bottom w:val="nil"/>
              <w:right w:val="nil"/>
            </w:tcBorders>
            <w:shd w:val="clear" w:color="auto" w:fill="00529F"/>
          </w:tcPr>
          <w:p w14:paraId="1050DB28" w14:textId="77777777" w:rsidR="00345EE3" w:rsidRDefault="00345EE3" w:rsidP="00D73130">
            <w:pPr>
              <w:pStyle w:val="TableParagraph"/>
              <w:spacing w:before="63" w:line="242" w:lineRule="auto"/>
              <w:ind w:left="599" w:hanging="76"/>
              <w:jc w:val="left"/>
              <w:rPr>
                <w:b/>
                <w:sz w:val="24"/>
              </w:rPr>
            </w:pPr>
            <w:r>
              <w:rPr>
                <w:b/>
                <w:color w:val="FFFFFF"/>
                <w:spacing w:val="-4"/>
                <w:sz w:val="24"/>
              </w:rPr>
              <w:t xml:space="preserve">Original </w:t>
            </w:r>
            <w:r>
              <w:rPr>
                <w:b/>
                <w:color w:val="FFFFFF"/>
                <w:spacing w:val="-5"/>
                <w:sz w:val="24"/>
              </w:rPr>
              <w:t>Budget</w:t>
            </w:r>
          </w:p>
        </w:tc>
        <w:tc>
          <w:tcPr>
            <w:tcW w:w="1418" w:type="dxa"/>
            <w:tcBorders>
              <w:top w:val="nil"/>
              <w:left w:val="nil"/>
              <w:bottom w:val="nil"/>
              <w:right w:val="nil"/>
            </w:tcBorders>
            <w:shd w:val="clear" w:color="auto" w:fill="00529F"/>
          </w:tcPr>
          <w:p w14:paraId="08F45205" w14:textId="77777777" w:rsidR="00345EE3" w:rsidRDefault="00345EE3" w:rsidP="00D73130">
            <w:pPr>
              <w:pStyle w:val="TableParagraph"/>
              <w:spacing w:before="63"/>
              <w:ind w:right="5"/>
              <w:rPr>
                <w:b/>
                <w:sz w:val="24"/>
              </w:rPr>
            </w:pPr>
            <w:r>
              <w:rPr>
                <w:b/>
                <w:color w:val="FFFFFF"/>
                <w:spacing w:val="-2"/>
                <w:sz w:val="24"/>
              </w:rPr>
              <w:t>Variance</w:t>
            </w:r>
          </w:p>
        </w:tc>
        <w:tc>
          <w:tcPr>
            <w:tcW w:w="1418" w:type="dxa"/>
            <w:tcBorders>
              <w:top w:val="nil"/>
              <w:left w:val="nil"/>
              <w:bottom w:val="nil"/>
              <w:right w:val="nil"/>
            </w:tcBorders>
            <w:shd w:val="clear" w:color="auto" w:fill="00529F"/>
          </w:tcPr>
          <w:p w14:paraId="1FFB3E0B" w14:textId="77777777" w:rsidR="00345EE3" w:rsidRDefault="00345EE3" w:rsidP="00D73130">
            <w:pPr>
              <w:pStyle w:val="TableParagraph"/>
              <w:spacing w:before="63"/>
              <w:ind w:right="4"/>
              <w:rPr>
                <w:b/>
                <w:sz w:val="24"/>
              </w:rPr>
            </w:pPr>
            <w:r>
              <w:rPr>
                <w:b/>
                <w:color w:val="FFFFFF"/>
                <w:spacing w:val="-2"/>
                <w:sz w:val="24"/>
              </w:rPr>
              <w:t>Variance</w:t>
            </w:r>
          </w:p>
        </w:tc>
      </w:tr>
      <w:tr w:rsidR="00345EE3" w14:paraId="1F317AF1" w14:textId="77777777" w:rsidTr="00D73130">
        <w:trPr>
          <w:trHeight w:val="397"/>
        </w:trPr>
        <w:tc>
          <w:tcPr>
            <w:tcW w:w="9468" w:type="dxa"/>
            <w:tcBorders>
              <w:top w:val="nil"/>
              <w:left w:val="nil"/>
              <w:bottom w:val="nil"/>
              <w:right w:val="nil"/>
            </w:tcBorders>
            <w:shd w:val="clear" w:color="auto" w:fill="00529F"/>
          </w:tcPr>
          <w:p w14:paraId="6F0D2EAA" w14:textId="77777777" w:rsidR="00345EE3" w:rsidRDefault="00345EE3" w:rsidP="00D73130">
            <w:pPr>
              <w:pStyle w:val="TableParagraph"/>
              <w:spacing w:before="0"/>
              <w:jc w:val="left"/>
              <w:rPr>
                <w:rFonts w:ascii="Times New Roman"/>
              </w:rPr>
            </w:pPr>
          </w:p>
        </w:tc>
        <w:tc>
          <w:tcPr>
            <w:tcW w:w="1418" w:type="dxa"/>
            <w:tcBorders>
              <w:top w:val="nil"/>
              <w:left w:val="nil"/>
              <w:bottom w:val="nil"/>
              <w:right w:val="nil"/>
            </w:tcBorders>
            <w:shd w:val="clear" w:color="auto" w:fill="00529F"/>
          </w:tcPr>
          <w:p w14:paraId="67C42817" w14:textId="77777777" w:rsidR="00345EE3" w:rsidRDefault="00345EE3" w:rsidP="00D73130">
            <w:pPr>
              <w:pStyle w:val="TableParagraph"/>
              <w:spacing w:before="59"/>
              <w:ind w:right="4"/>
              <w:rPr>
                <w:b/>
                <w:sz w:val="24"/>
              </w:rPr>
            </w:pPr>
            <w:r>
              <w:rPr>
                <w:b/>
                <w:color w:val="FFFFFF"/>
                <w:spacing w:val="-2"/>
                <w:sz w:val="24"/>
              </w:rPr>
              <w:t>$’000</w:t>
            </w:r>
          </w:p>
        </w:tc>
        <w:tc>
          <w:tcPr>
            <w:tcW w:w="1418" w:type="dxa"/>
            <w:tcBorders>
              <w:top w:val="nil"/>
              <w:left w:val="nil"/>
              <w:bottom w:val="nil"/>
              <w:right w:val="nil"/>
            </w:tcBorders>
            <w:shd w:val="clear" w:color="auto" w:fill="00529F"/>
          </w:tcPr>
          <w:p w14:paraId="6B42EFC4" w14:textId="77777777" w:rsidR="00345EE3" w:rsidRDefault="00345EE3" w:rsidP="00D73130">
            <w:pPr>
              <w:pStyle w:val="TableParagraph"/>
              <w:spacing w:before="59"/>
              <w:ind w:right="5"/>
              <w:rPr>
                <w:b/>
                <w:sz w:val="24"/>
              </w:rPr>
            </w:pPr>
            <w:r>
              <w:rPr>
                <w:b/>
                <w:color w:val="FFFFFF"/>
                <w:spacing w:val="-2"/>
                <w:sz w:val="24"/>
              </w:rPr>
              <w:t>$’000</w:t>
            </w:r>
          </w:p>
        </w:tc>
        <w:tc>
          <w:tcPr>
            <w:tcW w:w="1418" w:type="dxa"/>
            <w:tcBorders>
              <w:top w:val="nil"/>
              <w:left w:val="nil"/>
              <w:bottom w:val="nil"/>
              <w:right w:val="nil"/>
            </w:tcBorders>
            <w:shd w:val="clear" w:color="auto" w:fill="00529F"/>
          </w:tcPr>
          <w:p w14:paraId="01F52440" w14:textId="77777777" w:rsidR="00345EE3" w:rsidRDefault="00345EE3" w:rsidP="00D73130">
            <w:pPr>
              <w:pStyle w:val="TableParagraph"/>
              <w:spacing w:before="59"/>
              <w:ind w:right="5"/>
              <w:rPr>
                <w:b/>
                <w:sz w:val="24"/>
              </w:rPr>
            </w:pPr>
            <w:r>
              <w:rPr>
                <w:b/>
                <w:color w:val="FFFFFF"/>
                <w:spacing w:val="-2"/>
                <w:sz w:val="24"/>
              </w:rPr>
              <w:t>$’000</w:t>
            </w:r>
          </w:p>
        </w:tc>
        <w:tc>
          <w:tcPr>
            <w:tcW w:w="1418" w:type="dxa"/>
            <w:tcBorders>
              <w:top w:val="nil"/>
              <w:left w:val="nil"/>
              <w:bottom w:val="nil"/>
              <w:right w:val="nil"/>
            </w:tcBorders>
            <w:shd w:val="clear" w:color="auto" w:fill="00529F"/>
          </w:tcPr>
          <w:p w14:paraId="347C4A0C" w14:textId="77777777" w:rsidR="00345EE3" w:rsidRDefault="00345EE3" w:rsidP="00D73130">
            <w:pPr>
              <w:pStyle w:val="TableParagraph"/>
              <w:spacing w:before="59"/>
              <w:ind w:right="1"/>
              <w:rPr>
                <w:b/>
                <w:sz w:val="24"/>
              </w:rPr>
            </w:pPr>
            <w:r>
              <w:rPr>
                <w:b/>
                <w:color w:val="FFFFFF"/>
                <w:sz w:val="24"/>
              </w:rPr>
              <w:t>%</w:t>
            </w:r>
          </w:p>
        </w:tc>
      </w:tr>
      <w:tr w:rsidR="00345EE3" w14:paraId="47166591" w14:textId="77777777" w:rsidTr="00D73130">
        <w:trPr>
          <w:trHeight w:val="396"/>
        </w:trPr>
        <w:tc>
          <w:tcPr>
            <w:tcW w:w="15140" w:type="dxa"/>
            <w:gridSpan w:val="5"/>
            <w:tcBorders>
              <w:top w:val="nil"/>
              <w:left w:val="nil"/>
              <w:right w:val="nil"/>
            </w:tcBorders>
            <w:shd w:val="clear" w:color="auto" w:fill="D1D3D4"/>
          </w:tcPr>
          <w:p w14:paraId="48462C18" w14:textId="77777777" w:rsidR="00345EE3" w:rsidRDefault="00345EE3" w:rsidP="00D73130">
            <w:pPr>
              <w:pStyle w:val="TableParagraph"/>
              <w:ind w:left="-1"/>
              <w:jc w:val="left"/>
              <w:rPr>
                <w:b/>
                <w:sz w:val="24"/>
              </w:rPr>
            </w:pPr>
            <w:r>
              <w:rPr>
                <w:b/>
                <w:color w:val="231F20"/>
                <w:sz w:val="24"/>
              </w:rPr>
              <w:t>Accumulated</w:t>
            </w:r>
            <w:r>
              <w:rPr>
                <w:b/>
                <w:color w:val="231F20"/>
                <w:spacing w:val="-11"/>
                <w:sz w:val="24"/>
              </w:rPr>
              <w:t xml:space="preserve"> </w:t>
            </w:r>
            <w:r>
              <w:rPr>
                <w:b/>
                <w:color w:val="231F20"/>
                <w:spacing w:val="-2"/>
                <w:sz w:val="24"/>
              </w:rPr>
              <w:t>Surplus/(Deficit)</w:t>
            </w:r>
          </w:p>
        </w:tc>
      </w:tr>
      <w:tr w:rsidR="00345EE3" w14:paraId="0968F1AE" w14:textId="77777777" w:rsidTr="00D73130">
        <w:trPr>
          <w:trHeight w:val="396"/>
        </w:trPr>
        <w:tc>
          <w:tcPr>
            <w:tcW w:w="9468" w:type="dxa"/>
            <w:tcBorders>
              <w:left w:val="nil"/>
            </w:tcBorders>
          </w:tcPr>
          <w:p w14:paraId="41434524" w14:textId="77777777" w:rsidR="00345EE3" w:rsidRDefault="00345EE3" w:rsidP="00D73130">
            <w:pPr>
              <w:pStyle w:val="TableParagraph"/>
              <w:ind w:left="-3"/>
              <w:jc w:val="left"/>
              <w:rPr>
                <w:b/>
                <w:sz w:val="24"/>
              </w:rPr>
            </w:pPr>
            <w:r>
              <w:rPr>
                <w:b/>
                <w:color w:val="231F20"/>
                <w:sz w:val="24"/>
              </w:rPr>
              <w:t xml:space="preserve">Opening </w:t>
            </w:r>
            <w:r>
              <w:rPr>
                <w:b/>
                <w:color w:val="231F20"/>
                <w:spacing w:val="-2"/>
                <w:sz w:val="24"/>
              </w:rPr>
              <w:t>Balance*</w:t>
            </w:r>
          </w:p>
        </w:tc>
        <w:tc>
          <w:tcPr>
            <w:tcW w:w="1418" w:type="dxa"/>
            <w:shd w:val="clear" w:color="auto" w:fill="E6E7E8"/>
          </w:tcPr>
          <w:p w14:paraId="4CC04B45" w14:textId="77777777" w:rsidR="00345EE3" w:rsidRDefault="00345EE3" w:rsidP="00D73130">
            <w:pPr>
              <w:pStyle w:val="TableParagraph"/>
              <w:ind w:right="53"/>
              <w:rPr>
                <w:b/>
                <w:sz w:val="24"/>
              </w:rPr>
            </w:pPr>
            <w:r>
              <w:rPr>
                <w:b/>
                <w:color w:val="231F20"/>
                <w:spacing w:val="-2"/>
                <w:sz w:val="24"/>
              </w:rPr>
              <w:t>49,814</w:t>
            </w:r>
          </w:p>
        </w:tc>
        <w:tc>
          <w:tcPr>
            <w:tcW w:w="1418" w:type="dxa"/>
          </w:tcPr>
          <w:p w14:paraId="08148411" w14:textId="77777777" w:rsidR="00345EE3" w:rsidRDefault="00345EE3" w:rsidP="00D73130">
            <w:pPr>
              <w:pStyle w:val="TableParagraph"/>
              <w:ind w:right="54"/>
              <w:rPr>
                <w:b/>
                <w:sz w:val="24"/>
              </w:rPr>
            </w:pPr>
            <w:r>
              <w:rPr>
                <w:b/>
                <w:color w:val="231F20"/>
                <w:spacing w:val="-2"/>
                <w:sz w:val="24"/>
              </w:rPr>
              <w:t>38,400</w:t>
            </w:r>
          </w:p>
        </w:tc>
        <w:tc>
          <w:tcPr>
            <w:tcW w:w="1418" w:type="dxa"/>
          </w:tcPr>
          <w:p w14:paraId="161B262B" w14:textId="77777777" w:rsidR="00345EE3" w:rsidRDefault="00345EE3" w:rsidP="00D73130">
            <w:pPr>
              <w:pStyle w:val="TableParagraph"/>
              <w:ind w:right="54"/>
              <w:rPr>
                <w:b/>
                <w:sz w:val="24"/>
              </w:rPr>
            </w:pPr>
            <w:r>
              <w:rPr>
                <w:b/>
                <w:color w:val="231F20"/>
                <w:spacing w:val="-2"/>
                <w:sz w:val="24"/>
              </w:rPr>
              <w:t>11,414</w:t>
            </w:r>
          </w:p>
        </w:tc>
        <w:tc>
          <w:tcPr>
            <w:tcW w:w="1418" w:type="dxa"/>
            <w:tcBorders>
              <w:right w:val="nil"/>
            </w:tcBorders>
          </w:tcPr>
          <w:p w14:paraId="2A93F69F" w14:textId="77777777" w:rsidR="00345EE3" w:rsidRDefault="00345EE3" w:rsidP="00D73130">
            <w:pPr>
              <w:pStyle w:val="TableParagraph"/>
              <w:ind w:right="55"/>
              <w:rPr>
                <w:b/>
                <w:sz w:val="24"/>
              </w:rPr>
            </w:pPr>
            <w:r>
              <w:rPr>
                <w:b/>
                <w:color w:val="231F20"/>
                <w:spacing w:val="-2"/>
                <w:sz w:val="24"/>
              </w:rPr>
              <w:t>29.7%</w:t>
            </w:r>
          </w:p>
        </w:tc>
      </w:tr>
      <w:tr w:rsidR="00345EE3" w14:paraId="557894D7" w14:textId="77777777" w:rsidTr="00D73130">
        <w:trPr>
          <w:trHeight w:val="396"/>
        </w:trPr>
        <w:tc>
          <w:tcPr>
            <w:tcW w:w="9468" w:type="dxa"/>
            <w:tcBorders>
              <w:left w:val="nil"/>
            </w:tcBorders>
          </w:tcPr>
          <w:p w14:paraId="1A0C515E" w14:textId="77777777" w:rsidR="00345EE3" w:rsidRDefault="00345EE3" w:rsidP="00D73130">
            <w:pPr>
              <w:pStyle w:val="TableParagraph"/>
              <w:ind w:left="-3"/>
              <w:jc w:val="left"/>
              <w:rPr>
                <w:sz w:val="24"/>
              </w:rPr>
            </w:pPr>
            <w:r>
              <w:rPr>
                <w:color w:val="231F20"/>
                <w:sz w:val="24"/>
              </w:rPr>
              <w:t>Comprehensive</w:t>
            </w:r>
            <w:r>
              <w:rPr>
                <w:color w:val="231F20"/>
                <w:spacing w:val="-13"/>
                <w:sz w:val="24"/>
              </w:rPr>
              <w:t xml:space="preserve"> </w:t>
            </w:r>
            <w:r>
              <w:rPr>
                <w:color w:val="231F20"/>
                <w:spacing w:val="-2"/>
                <w:sz w:val="24"/>
              </w:rPr>
              <w:t>result</w:t>
            </w:r>
          </w:p>
        </w:tc>
        <w:tc>
          <w:tcPr>
            <w:tcW w:w="1418" w:type="dxa"/>
            <w:shd w:val="clear" w:color="auto" w:fill="E6E7E8"/>
          </w:tcPr>
          <w:p w14:paraId="659A3C9E" w14:textId="77777777" w:rsidR="00345EE3" w:rsidRDefault="00345EE3" w:rsidP="00D73130">
            <w:pPr>
              <w:pStyle w:val="TableParagraph"/>
              <w:ind w:right="55"/>
              <w:rPr>
                <w:sz w:val="24"/>
              </w:rPr>
            </w:pPr>
            <w:r>
              <w:rPr>
                <w:color w:val="231F20"/>
                <w:spacing w:val="-2"/>
                <w:sz w:val="24"/>
              </w:rPr>
              <w:t>86,939</w:t>
            </w:r>
          </w:p>
        </w:tc>
        <w:tc>
          <w:tcPr>
            <w:tcW w:w="1418" w:type="dxa"/>
          </w:tcPr>
          <w:p w14:paraId="69145F73" w14:textId="77777777" w:rsidR="00345EE3" w:rsidRDefault="00345EE3" w:rsidP="00D73130">
            <w:pPr>
              <w:pStyle w:val="TableParagraph"/>
              <w:ind w:right="56"/>
              <w:rPr>
                <w:sz w:val="24"/>
              </w:rPr>
            </w:pPr>
            <w:r>
              <w:rPr>
                <w:color w:val="231F20"/>
                <w:spacing w:val="-2"/>
                <w:sz w:val="24"/>
              </w:rPr>
              <w:t>13,581</w:t>
            </w:r>
          </w:p>
        </w:tc>
        <w:tc>
          <w:tcPr>
            <w:tcW w:w="1418" w:type="dxa"/>
          </w:tcPr>
          <w:p w14:paraId="4D9EA7C0" w14:textId="77777777" w:rsidR="00345EE3" w:rsidRDefault="00345EE3" w:rsidP="00D73130">
            <w:pPr>
              <w:pStyle w:val="TableParagraph"/>
              <w:ind w:right="57"/>
              <w:rPr>
                <w:sz w:val="24"/>
              </w:rPr>
            </w:pPr>
            <w:r>
              <w:rPr>
                <w:color w:val="231F20"/>
                <w:spacing w:val="-2"/>
                <w:sz w:val="24"/>
              </w:rPr>
              <w:t>73,358</w:t>
            </w:r>
          </w:p>
        </w:tc>
        <w:tc>
          <w:tcPr>
            <w:tcW w:w="1418" w:type="dxa"/>
            <w:tcBorders>
              <w:right w:val="nil"/>
            </w:tcBorders>
          </w:tcPr>
          <w:p w14:paraId="5A965CF2" w14:textId="77777777" w:rsidR="00345EE3" w:rsidRDefault="00345EE3" w:rsidP="00D73130">
            <w:pPr>
              <w:pStyle w:val="TableParagraph"/>
              <w:ind w:right="57"/>
              <w:rPr>
                <w:sz w:val="24"/>
              </w:rPr>
            </w:pPr>
            <w:r>
              <w:rPr>
                <w:color w:val="231F20"/>
                <w:spacing w:val="-2"/>
                <w:sz w:val="24"/>
              </w:rPr>
              <w:t>540.2%</w:t>
            </w:r>
          </w:p>
        </w:tc>
      </w:tr>
      <w:tr w:rsidR="00345EE3" w14:paraId="79C96319" w14:textId="77777777" w:rsidTr="00D73130">
        <w:trPr>
          <w:trHeight w:val="398"/>
        </w:trPr>
        <w:tc>
          <w:tcPr>
            <w:tcW w:w="9468" w:type="dxa"/>
            <w:tcBorders>
              <w:left w:val="nil"/>
              <w:bottom w:val="nil"/>
            </w:tcBorders>
          </w:tcPr>
          <w:p w14:paraId="0DF2EFA6" w14:textId="77777777" w:rsidR="00345EE3" w:rsidRDefault="00345EE3" w:rsidP="00D73130">
            <w:pPr>
              <w:pStyle w:val="TableParagraph"/>
              <w:ind w:left="-3"/>
              <w:jc w:val="left"/>
              <w:rPr>
                <w:b/>
                <w:sz w:val="24"/>
              </w:rPr>
            </w:pPr>
            <w:r>
              <w:rPr>
                <w:b/>
                <w:color w:val="231F20"/>
                <w:sz w:val="24"/>
              </w:rPr>
              <w:t>Closing</w:t>
            </w:r>
            <w:r>
              <w:rPr>
                <w:b/>
                <w:color w:val="231F20"/>
                <w:spacing w:val="-7"/>
                <w:sz w:val="24"/>
              </w:rPr>
              <w:t xml:space="preserve"> </w:t>
            </w:r>
            <w:r>
              <w:rPr>
                <w:b/>
                <w:color w:val="231F20"/>
                <w:spacing w:val="-2"/>
                <w:sz w:val="24"/>
              </w:rPr>
              <w:t>Balance</w:t>
            </w:r>
          </w:p>
        </w:tc>
        <w:tc>
          <w:tcPr>
            <w:tcW w:w="1418" w:type="dxa"/>
            <w:tcBorders>
              <w:bottom w:val="nil"/>
            </w:tcBorders>
            <w:shd w:val="clear" w:color="auto" w:fill="E6E7E8"/>
          </w:tcPr>
          <w:p w14:paraId="3BE06A3A" w14:textId="77777777" w:rsidR="00345EE3" w:rsidRDefault="00345EE3" w:rsidP="00D73130">
            <w:pPr>
              <w:pStyle w:val="TableParagraph"/>
              <w:ind w:right="53"/>
              <w:rPr>
                <w:b/>
                <w:sz w:val="24"/>
              </w:rPr>
            </w:pPr>
            <w:r>
              <w:rPr>
                <w:b/>
                <w:color w:val="231F20"/>
                <w:spacing w:val="-2"/>
                <w:sz w:val="24"/>
              </w:rPr>
              <w:t>136,753</w:t>
            </w:r>
          </w:p>
        </w:tc>
        <w:tc>
          <w:tcPr>
            <w:tcW w:w="1418" w:type="dxa"/>
            <w:tcBorders>
              <w:bottom w:val="nil"/>
            </w:tcBorders>
          </w:tcPr>
          <w:p w14:paraId="2B581261" w14:textId="77777777" w:rsidR="00345EE3" w:rsidRDefault="00345EE3" w:rsidP="00D73130">
            <w:pPr>
              <w:pStyle w:val="TableParagraph"/>
              <w:ind w:right="54"/>
              <w:rPr>
                <w:b/>
                <w:sz w:val="24"/>
              </w:rPr>
            </w:pPr>
            <w:r>
              <w:rPr>
                <w:b/>
                <w:color w:val="231F20"/>
                <w:spacing w:val="-2"/>
                <w:sz w:val="24"/>
              </w:rPr>
              <w:t>51,981</w:t>
            </w:r>
          </w:p>
        </w:tc>
        <w:tc>
          <w:tcPr>
            <w:tcW w:w="1418" w:type="dxa"/>
            <w:tcBorders>
              <w:bottom w:val="nil"/>
            </w:tcBorders>
          </w:tcPr>
          <w:p w14:paraId="6CC5EEE0" w14:textId="77777777" w:rsidR="00345EE3" w:rsidRDefault="00345EE3" w:rsidP="00D73130">
            <w:pPr>
              <w:pStyle w:val="TableParagraph"/>
              <w:ind w:right="54"/>
              <w:rPr>
                <w:b/>
                <w:sz w:val="24"/>
              </w:rPr>
            </w:pPr>
            <w:r>
              <w:rPr>
                <w:b/>
                <w:color w:val="231F20"/>
                <w:spacing w:val="-2"/>
                <w:sz w:val="24"/>
              </w:rPr>
              <w:t>84,772</w:t>
            </w:r>
          </w:p>
        </w:tc>
        <w:tc>
          <w:tcPr>
            <w:tcW w:w="1418" w:type="dxa"/>
            <w:tcBorders>
              <w:bottom w:val="nil"/>
              <w:right w:val="nil"/>
            </w:tcBorders>
          </w:tcPr>
          <w:p w14:paraId="0069E6D6" w14:textId="77777777" w:rsidR="00345EE3" w:rsidRDefault="00345EE3" w:rsidP="00D73130">
            <w:pPr>
              <w:pStyle w:val="TableParagraph"/>
              <w:ind w:right="55"/>
              <w:rPr>
                <w:b/>
                <w:sz w:val="24"/>
              </w:rPr>
            </w:pPr>
            <w:r>
              <w:rPr>
                <w:b/>
                <w:color w:val="231F20"/>
                <w:spacing w:val="-2"/>
                <w:sz w:val="24"/>
              </w:rPr>
              <w:t>163.1%</w:t>
            </w:r>
          </w:p>
        </w:tc>
      </w:tr>
      <w:tr w:rsidR="00345EE3" w14:paraId="74A1EDD9" w14:textId="77777777" w:rsidTr="00D73130">
        <w:trPr>
          <w:trHeight w:val="401"/>
        </w:trPr>
        <w:tc>
          <w:tcPr>
            <w:tcW w:w="15140" w:type="dxa"/>
            <w:gridSpan w:val="5"/>
            <w:tcBorders>
              <w:top w:val="nil"/>
              <w:left w:val="nil"/>
              <w:bottom w:val="nil"/>
              <w:right w:val="nil"/>
            </w:tcBorders>
            <w:shd w:val="clear" w:color="auto" w:fill="D1D3D4"/>
          </w:tcPr>
          <w:p w14:paraId="3DEBC19A" w14:textId="3CD6B391" w:rsidR="00345EE3" w:rsidRDefault="00345EE3" w:rsidP="00D73130">
            <w:pPr>
              <w:pStyle w:val="TableParagraph"/>
              <w:spacing w:before="0" w:line="20" w:lineRule="exact"/>
              <w:ind w:left="-3" w:right="-72"/>
              <w:jc w:val="left"/>
              <w:rPr>
                <w:sz w:val="2"/>
              </w:rPr>
            </w:pPr>
          </w:p>
          <w:p w14:paraId="186EFB0D" w14:textId="77777777" w:rsidR="00345EE3" w:rsidRDefault="00345EE3" w:rsidP="00D73130">
            <w:pPr>
              <w:pStyle w:val="TableParagraph"/>
              <w:spacing w:before="43"/>
              <w:jc w:val="left"/>
              <w:rPr>
                <w:b/>
                <w:sz w:val="24"/>
              </w:rPr>
            </w:pPr>
            <w:r>
              <w:rPr>
                <w:b/>
                <w:color w:val="231F20"/>
                <w:sz w:val="24"/>
              </w:rPr>
              <w:t>Contributed</w:t>
            </w:r>
            <w:r>
              <w:rPr>
                <w:b/>
                <w:color w:val="231F20"/>
                <w:spacing w:val="-11"/>
                <w:sz w:val="24"/>
              </w:rPr>
              <w:t xml:space="preserve"> </w:t>
            </w:r>
            <w:r>
              <w:rPr>
                <w:b/>
                <w:color w:val="231F20"/>
                <w:spacing w:val="-2"/>
                <w:sz w:val="24"/>
              </w:rPr>
              <w:t>Capital</w:t>
            </w:r>
          </w:p>
        </w:tc>
      </w:tr>
      <w:tr w:rsidR="00345EE3" w14:paraId="671610EB" w14:textId="77777777" w:rsidTr="00D73130">
        <w:trPr>
          <w:trHeight w:val="398"/>
        </w:trPr>
        <w:tc>
          <w:tcPr>
            <w:tcW w:w="9468" w:type="dxa"/>
            <w:tcBorders>
              <w:top w:val="nil"/>
              <w:left w:val="nil"/>
            </w:tcBorders>
          </w:tcPr>
          <w:p w14:paraId="032E8CA8" w14:textId="77777777" w:rsidR="00345EE3" w:rsidRDefault="00345EE3" w:rsidP="00D73130">
            <w:pPr>
              <w:pStyle w:val="TableParagraph"/>
              <w:spacing w:before="63"/>
              <w:ind w:left="-3"/>
              <w:jc w:val="left"/>
              <w:rPr>
                <w:b/>
                <w:sz w:val="24"/>
              </w:rPr>
            </w:pPr>
            <w:r>
              <w:rPr>
                <w:b/>
                <w:color w:val="231F20"/>
                <w:sz w:val="24"/>
              </w:rPr>
              <w:t xml:space="preserve">Opening </w:t>
            </w:r>
            <w:r>
              <w:rPr>
                <w:b/>
                <w:color w:val="231F20"/>
                <w:spacing w:val="-2"/>
                <w:sz w:val="24"/>
              </w:rPr>
              <w:t>Balance*</w:t>
            </w:r>
          </w:p>
        </w:tc>
        <w:tc>
          <w:tcPr>
            <w:tcW w:w="1418" w:type="dxa"/>
            <w:tcBorders>
              <w:top w:val="nil"/>
            </w:tcBorders>
            <w:shd w:val="clear" w:color="auto" w:fill="E6E7E8"/>
          </w:tcPr>
          <w:p w14:paraId="2BD6AF05" w14:textId="77777777" w:rsidR="00345EE3" w:rsidRDefault="00345EE3" w:rsidP="00D73130">
            <w:pPr>
              <w:pStyle w:val="TableParagraph"/>
              <w:spacing w:before="63"/>
              <w:ind w:right="53"/>
              <w:rPr>
                <w:b/>
                <w:sz w:val="24"/>
              </w:rPr>
            </w:pPr>
            <w:r>
              <w:rPr>
                <w:b/>
                <w:color w:val="231F20"/>
                <w:spacing w:val="-2"/>
                <w:sz w:val="24"/>
              </w:rPr>
              <w:t>929,988</w:t>
            </w:r>
          </w:p>
        </w:tc>
        <w:tc>
          <w:tcPr>
            <w:tcW w:w="1418" w:type="dxa"/>
            <w:tcBorders>
              <w:top w:val="nil"/>
            </w:tcBorders>
          </w:tcPr>
          <w:p w14:paraId="6605302D" w14:textId="77777777" w:rsidR="00345EE3" w:rsidRDefault="00345EE3" w:rsidP="00D73130">
            <w:pPr>
              <w:pStyle w:val="TableParagraph"/>
              <w:spacing w:before="63"/>
              <w:ind w:right="54"/>
              <w:rPr>
                <w:b/>
                <w:sz w:val="24"/>
              </w:rPr>
            </w:pPr>
            <w:r>
              <w:rPr>
                <w:b/>
                <w:color w:val="231F20"/>
                <w:spacing w:val="-2"/>
                <w:sz w:val="24"/>
              </w:rPr>
              <w:t>1,026,415</w:t>
            </w:r>
          </w:p>
        </w:tc>
        <w:tc>
          <w:tcPr>
            <w:tcW w:w="1418" w:type="dxa"/>
            <w:tcBorders>
              <w:top w:val="nil"/>
            </w:tcBorders>
          </w:tcPr>
          <w:p w14:paraId="70162BA0" w14:textId="77777777" w:rsidR="00345EE3" w:rsidRDefault="00345EE3" w:rsidP="00D73130">
            <w:pPr>
              <w:pStyle w:val="TableParagraph"/>
              <w:spacing w:before="63"/>
              <w:ind w:right="54"/>
              <w:rPr>
                <w:b/>
                <w:sz w:val="24"/>
              </w:rPr>
            </w:pPr>
            <w:r>
              <w:rPr>
                <w:b/>
                <w:color w:val="231F20"/>
                <w:spacing w:val="-2"/>
                <w:sz w:val="24"/>
              </w:rPr>
              <w:t>(96,427)</w:t>
            </w:r>
          </w:p>
        </w:tc>
        <w:tc>
          <w:tcPr>
            <w:tcW w:w="1418" w:type="dxa"/>
            <w:tcBorders>
              <w:top w:val="nil"/>
              <w:right w:val="nil"/>
            </w:tcBorders>
          </w:tcPr>
          <w:p w14:paraId="1D948DF1" w14:textId="77777777" w:rsidR="00345EE3" w:rsidRDefault="00345EE3" w:rsidP="00D73130">
            <w:pPr>
              <w:pStyle w:val="TableParagraph"/>
              <w:spacing w:before="63"/>
              <w:ind w:right="54"/>
              <w:rPr>
                <w:b/>
                <w:sz w:val="24"/>
              </w:rPr>
            </w:pPr>
            <w:r>
              <w:rPr>
                <w:b/>
                <w:color w:val="231F20"/>
                <w:sz w:val="24"/>
              </w:rPr>
              <w:t>-</w:t>
            </w:r>
            <w:r>
              <w:rPr>
                <w:b/>
                <w:color w:val="231F20"/>
                <w:spacing w:val="-4"/>
                <w:sz w:val="24"/>
              </w:rPr>
              <w:t>9.4%</w:t>
            </w:r>
          </w:p>
        </w:tc>
      </w:tr>
      <w:tr w:rsidR="00345EE3" w14:paraId="2A37C14A" w14:textId="77777777" w:rsidTr="00D73130">
        <w:trPr>
          <w:trHeight w:val="676"/>
        </w:trPr>
        <w:tc>
          <w:tcPr>
            <w:tcW w:w="9468" w:type="dxa"/>
            <w:tcBorders>
              <w:left w:val="nil"/>
              <w:bottom w:val="single" w:sz="2" w:space="0" w:color="231F20"/>
            </w:tcBorders>
          </w:tcPr>
          <w:p w14:paraId="5493F451" w14:textId="77777777" w:rsidR="00345EE3" w:rsidRDefault="00345EE3" w:rsidP="00D73130">
            <w:pPr>
              <w:pStyle w:val="TableParagraph"/>
              <w:spacing w:line="242" w:lineRule="auto"/>
              <w:ind w:left="-3"/>
              <w:jc w:val="left"/>
              <w:rPr>
                <w:sz w:val="24"/>
              </w:rPr>
            </w:pPr>
            <w:r>
              <w:rPr>
                <w:color w:val="231F20"/>
                <w:sz w:val="24"/>
              </w:rPr>
              <w:t>Capital</w:t>
            </w:r>
            <w:r>
              <w:rPr>
                <w:color w:val="231F20"/>
                <w:spacing w:val="-5"/>
                <w:sz w:val="24"/>
              </w:rPr>
              <w:t xml:space="preserve"> </w:t>
            </w:r>
            <w:r>
              <w:rPr>
                <w:color w:val="231F20"/>
                <w:sz w:val="24"/>
              </w:rPr>
              <w:t>contributions</w:t>
            </w:r>
            <w:r>
              <w:rPr>
                <w:color w:val="231F20"/>
                <w:spacing w:val="-4"/>
                <w:sz w:val="24"/>
              </w:rPr>
              <w:t xml:space="preserve"> </w:t>
            </w:r>
            <w:r>
              <w:rPr>
                <w:color w:val="231F20"/>
                <w:sz w:val="24"/>
              </w:rPr>
              <w:t>received</w:t>
            </w:r>
            <w:r>
              <w:rPr>
                <w:color w:val="231F20"/>
                <w:spacing w:val="-4"/>
                <w:sz w:val="24"/>
              </w:rPr>
              <w:t xml:space="preserve"> </w:t>
            </w:r>
            <w:r>
              <w:rPr>
                <w:color w:val="231F20"/>
                <w:sz w:val="24"/>
              </w:rPr>
              <w:t>from</w:t>
            </w:r>
            <w:r>
              <w:rPr>
                <w:color w:val="231F20"/>
                <w:spacing w:val="-4"/>
                <w:sz w:val="24"/>
              </w:rPr>
              <w:t xml:space="preserve"> </w:t>
            </w:r>
            <w:r>
              <w:rPr>
                <w:color w:val="231F20"/>
                <w:sz w:val="24"/>
              </w:rPr>
              <w:t>government</w:t>
            </w:r>
            <w:r>
              <w:rPr>
                <w:color w:val="231F20"/>
                <w:spacing w:val="-5"/>
                <w:sz w:val="24"/>
              </w:rPr>
              <w:t xml:space="preserve"> </w:t>
            </w:r>
            <w:r>
              <w:rPr>
                <w:color w:val="231F20"/>
                <w:sz w:val="24"/>
              </w:rPr>
              <w:t>and/or</w:t>
            </w:r>
            <w:r>
              <w:rPr>
                <w:color w:val="231F20"/>
                <w:spacing w:val="-5"/>
                <w:sz w:val="24"/>
              </w:rPr>
              <w:t xml:space="preserve"> </w:t>
            </w:r>
            <w:r>
              <w:rPr>
                <w:color w:val="231F20"/>
                <w:sz w:val="24"/>
              </w:rPr>
              <w:t>contributions</w:t>
            </w:r>
            <w:r>
              <w:rPr>
                <w:color w:val="231F20"/>
                <w:spacing w:val="-4"/>
                <w:sz w:val="24"/>
              </w:rPr>
              <w:t xml:space="preserve"> </w:t>
            </w:r>
            <w:r>
              <w:rPr>
                <w:color w:val="231F20"/>
                <w:sz w:val="24"/>
              </w:rPr>
              <w:t>made</w:t>
            </w:r>
            <w:r>
              <w:rPr>
                <w:color w:val="231F20"/>
                <w:spacing w:val="-4"/>
                <w:sz w:val="24"/>
              </w:rPr>
              <w:t xml:space="preserve"> </w:t>
            </w:r>
            <w:r>
              <w:rPr>
                <w:color w:val="231F20"/>
                <w:sz w:val="24"/>
              </w:rPr>
              <w:t>to</w:t>
            </w:r>
            <w:r>
              <w:rPr>
                <w:color w:val="231F20"/>
                <w:spacing w:val="-4"/>
                <w:sz w:val="24"/>
              </w:rPr>
              <w:t xml:space="preserve"> </w:t>
            </w:r>
            <w:r>
              <w:rPr>
                <w:color w:val="231F20"/>
                <w:sz w:val="24"/>
              </w:rPr>
              <w:t>other</w:t>
            </w:r>
            <w:r>
              <w:rPr>
                <w:color w:val="231F20"/>
                <w:spacing w:val="-5"/>
                <w:sz w:val="24"/>
              </w:rPr>
              <w:t xml:space="preserve"> </w:t>
            </w:r>
            <w:r>
              <w:rPr>
                <w:color w:val="231F20"/>
                <w:sz w:val="24"/>
              </w:rPr>
              <w:t>state departments or entities</w:t>
            </w:r>
          </w:p>
        </w:tc>
        <w:tc>
          <w:tcPr>
            <w:tcW w:w="1418" w:type="dxa"/>
            <w:tcBorders>
              <w:bottom w:val="single" w:sz="2" w:space="0" w:color="231F20"/>
            </w:tcBorders>
            <w:shd w:val="clear" w:color="auto" w:fill="E6E7E8"/>
          </w:tcPr>
          <w:p w14:paraId="4B10A550" w14:textId="77777777" w:rsidR="00345EE3" w:rsidRDefault="00345EE3" w:rsidP="00D73130">
            <w:pPr>
              <w:pStyle w:val="TableParagraph"/>
              <w:ind w:right="55"/>
              <w:rPr>
                <w:sz w:val="24"/>
              </w:rPr>
            </w:pPr>
            <w:r>
              <w:rPr>
                <w:color w:val="231F20"/>
                <w:spacing w:val="-2"/>
                <w:sz w:val="24"/>
              </w:rPr>
              <w:t>36,539</w:t>
            </w:r>
          </w:p>
        </w:tc>
        <w:tc>
          <w:tcPr>
            <w:tcW w:w="1418" w:type="dxa"/>
            <w:tcBorders>
              <w:bottom w:val="single" w:sz="2" w:space="0" w:color="231F20"/>
            </w:tcBorders>
          </w:tcPr>
          <w:p w14:paraId="58A2B864" w14:textId="77777777" w:rsidR="00345EE3" w:rsidRDefault="00345EE3" w:rsidP="00D73130">
            <w:pPr>
              <w:pStyle w:val="TableParagraph"/>
              <w:ind w:right="56"/>
              <w:rPr>
                <w:sz w:val="24"/>
              </w:rPr>
            </w:pPr>
            <w:r>
              <w:rPr>
                <w:color w:val="231F20"/>
                <w:spacing w:val="-2"/>
                <w:sz w:val="24"/>
              </w:rPr>
              <w:t>32,369</w:t>
            </w:r>
          </w:p>
        </w:tc>
        <w:tc>
          <w:tcPr>
            <w:tcW w:w="1418" w:type="dxa"/>
            <w:tcBorders>
              <w:bottom w:val="single" w:sz="2" w:space="0" w:color="231F20"/>
            </w:tcBorders>
          </w:tcPr>
          <w:p w14:paraId="7588B55B" w14:textId="77777777" w:rsidR="00345EE3" w:rsidRDefault="00345EE3" w:rsidP="00D73130">
            <w:pPr>
              <w:pStyle w:val="TableParagraph"/>
              <w:ind w:right="56"/>
              <w:rPr>
                <w:sz w:val="24"/>
              </w:rPr>
            </w:pPr>
            <w:r>
              <w:rPr>
                <w:color w:val="231F20"/>
                <w:spacing w:val="-2"/>
                <w:sz w:val="24"/>
              </w:rPr>
              <w:t>4,170</w:t>
            </w:r>
          </w:p>
        </w:tc>
        <w:tc>
          <w:tcPr>
            <w:tcW w:w="1418" w:type="dxa"/>
            <w:tcBorders>
              <w:bottom w:val="single" w:sz="2" w:space="0" w:color="231F20"/>
              <w:right w:val="nil"/>
            </w:tcBorders>
          </w:tcPr>
          <w:p w14:paraId="18A26CE1" w14:textId="77777777" w:rsidR="00345EE3" w:rsidRDefault="00345EE3" w:rsidP="00D73130">
            <w:pPr>
              <w:pStyle w:val="TableParagraph"/>
              <w:ind w:right="57"/>
              <w:rPr>
                <w:sz w:val="24"/>
              </w:rPr>
            </w:pPr>
            <w:r>
              <w:rPr>
                <w:color w:val="231F20"/>
                <w:spacing w:val="-2"/>
                <w:sz w:val="24"/>
              </w:rPr>
              <w:t>12.9%</w:t>
            </w:r>
          </w:p>
        </w:tc>
      </w:tr>
      <w:tr w:rsidR="00345EE3" w14:paraId="06E7425F" w14:textId="77777777" w:rsidTr="00D73130">
        <w:trPr>
          <w:trHeight w:val="398"/>
        </w:trPr>
        <w:tc>
          <w:tcPr>
            <w:tcW w:w="9468" w:type="dxa"/>
            <w:tcBorders>
              <w:top w:val="single" w:sz="2" w:space="0" w:color="231F20"/>
              <w:left w:val="nil"/>
              <w:bottom w:val="nil"/>
            </w:tcBorders>
          </w:tcPr>
          <w:p w14:paraId="37FF0DA6" w14:textId="77777777" w:rsidR="00345EE3" w:rsidRDefault="00345EE3" w:rsidP="00D73130">
            <w:pPr>
              <w:pStyle w:val="TableParagraph"/>
              <w:ind w:left="-2"/>
              <w:jc w:val="left"/>
              <w:rPr>
                <w:b/>
                <w:sz w:val="24"/>
              </w:rPr>
            </w:pPr>
            <w:r>
              <w:rPr>
                <w:b/>
                <w:color w:val="231F20"/>
                <w:sz w:val="24"/>
              </w:rPr>
              <w:t>Closing</w:t>
            </w:r>
            <w:r>
              <w:rPr>
                <w:b/>
                <w:color w:val="231F20"/>
                <w:spacing w:val="-7"/>
                <w:sz w:val="24"/>
              </w:rPr>
              <w:t xml:space="preserve"> </w:t>
            </w:r>
            <w:r>
              <w:rPr>
                <w:b/>
                <w:color w:val="231F20"/>
                <w:spacing w:val="-2"/>
                <w:sz w:val="24"/>
              </w:rPr>
              <w:t>Balance</w:t>
            </w:r>
          </w:p>
        </w:tc>
        <w:tc>
          <w:tcPr>
            <w:tcW w:w="1418" w:type="dxa"/>
            <w:tcBorders>
              <w:top w:val="single" w:sz="2" w:space="0" w:color="231F20"/>
              <w:bottom w:val="nil"/>
            </w:tcBorders>
            <w:shd w:val="clear" w:color="auto" w:fill="E6E7E8"/>
          </w:tcPr>
          <w:p w14:paraId="4EBB6402" w14:textId="77777777" w:rsidR="00345EE3" w:rsidRDefault="00345EE3" w:rsidP="00D73130">
            <w:pPr>
              <w:pStyle w:val="TableParagraph"/>
              <w:ind w:right="53"/>
              <w:rPr>
                <w:b/>
                <w:sz w:val="24"/>
              </w:rPr>
            </w:pPr>
            <w:r>
              <w:rPr>
                <w:b/>
                <w:color w:val="231F20"/>
                <w:spacing w:val="-2"/>
                <w:sz w:val="24"/>
              </w:rPr>
              <w:t>966,527</w:t>
            </w:r>
          </w:p>
        </w:tc>
        <w:tc>
          <w:tcPr>
            <w:tcW w:w="1418" w:type="dxa"/>
            <w:tcBorders>
              <w:top w:val="single" w:sz="2" w:space="0" w:color="231F20"/>
              <w:bottom w:val="nil"/>
            </w:tcBorders>
          </w:tcPr>
          <w:p w14:paraId="05F87E3E" w14:textId="77777777" w:rsidR="00345EE3" w:rsidRDefault="00345EE3" w:rsidP="00D73130">
            <w:pPr>
              <w:pStyle w:val="TableParagraph"/>
              <w:ind w:right="53"/>
              <w:rPr>
                <w:b/>
                <w:sz w:val="24"/>
              </w:rPr>
            </w:pPr>
            <w:r>
              <w:rPr>
                <w:b/>
                <w:color w:val="231F20"/>
                <w:spacing w:val="-2"/>
                <w:sz w:val="24"/>
              </w:rPr>
              <w:t>1,058,784</w:t>
            </w:r>
          </w:p>
        </w:tc>
        <w:tc>
          <w:tcPr>
            <w:tcW w:w="1418" w:type="dxa"/>
            <w:tcBorders>
              <w:top w:val="single" w:sz="2" w:space="0" w:color="231F20"/>
              <w:bottom w:val="nil"/>
            </w:tcBorders>
          </w:tcPr>
          <w:p w14:paraId="290FB803" w14:textId="77777777" w:rsidR="00345EE3" w:rsidRDefault="00345EE3" w:rsidP="00D73130">
            <w:pPr>
              <w:pStyle w:val="TableParagraph"/>
              <w:ind w:right="53"/>
              <w:rPr>
                <w:b/>
                <w:sz w:val="24"/>
              </w:rPr>
            </w:pPr>
            <w:r>
              <w:rPr>
                <w:b/>
                <w:color w:val="231F20"/>
                <w:spacing w:val="-2"/>
                <w:sz w:val="24"/>
              </w:rPr>
              <w:t>(92,257)</w:t>
            </w:r>
          </w:p>
        </w:tc>
        <w:tc>
          <w:tcPr>
            <w:tcW w:w="1418" w:type="dxa"/>
            <w:tcBorders>
              <w:top w:val="single" w:sz="2" w:space="0" w:color="231F20"/>
              <w:bottom w:val="nil"/>
              <w:right w:val="nil"/>
            </w:tcBorders>
          </w:tcPr>
          <w:p w14:paraId="5B131A5D" w14:textId="77777777" w:rsidR="00345EE3" w:rsidRDefault="00345EE3" w:rsidP="00D73130">
            <w:pPr>
              <w:pStyle w:val="TableParagraph"/>
              <w:ind w:right="-15"/>
              <w:rPr>
                <w:b/>
                <w:sz w:val="24"/>
              </w:rPr>
            </w:pPr>
            <w:r>
              <w:rPr>
                <w:b/>
                <w:color w:val="231F20"/>
                <w:sz w:val="24"/>
              </w:rPr>
              <w:t>-</w:t>
            </w:r>
            <w:r>
              <w:rPr>
                <w:b/>
                <w:color w:val="231F20"/>
                <w:spacing w:val="-4"/>
                <w:sz w:val="24"/>
              </w:rPr>
              <w:t>8.7%</w:t>
            </w:r>
          </w:p>
        </w:tc>
      </w:tr>
      <w:tr w:rsidR="00345EE3" w14:paraId="6CFA980C" w14:textId="77777777" w:rsidTr="00D73130">
        <w:trPr>
          <w:trHeight w:val="401"/>
        </w:trPr>
        <w:tc>
          <w:tcPr>
            <w:tcW w:w="15140" w:type="dxa"/>
            <w:gridSpan w:val="5"/>
            <w:tcBorders>
              <w:top w:val="nil"/>
              <w:left w:val="nil"/>
              <w:bottom w:val="nil"/>
              <w:right w:val="nil"/>
            </w:tcBorders>
            <w:shd w:val="clear" w:color="auto" w:fill="D1D3D4"/>
          </w:tcPr>
          <w:p w14:paraId="70E9EF28" w14:textId="70F03D55" w:rsidR="00345EE3" w:rsidRDefault="00345EE3" w:rsidP="00D73130">
            <w:pPr>
              <w:pStyle w:val="TableParagraph"/>
              <w:spacing w:before="0" w:line="20" w:lineRule="exact"/>
              <w:ind w:left="-3" w:right="-72"/>
              <w:jc w:val="left"/>
              <w:rPr>
                <w:sz w:val="2"/>
              </w:rPr>
            </w:pPr>
          </w:p>
          <w:p w14:paraId="5988B7A8" w14:textId="77777777" w:rsidR="00345EE3" w:rsidRDefault="00345EE3" w:rsidP="00D73130">
            <w:pPr>
              <w:pStyle w:val="TableParagraph"/>
              <w:spacing w:before="43"/>
              <w:jc w:val="left"/>
              <w:rPr>
                <w:b/>
                <w:sz w:val="24"/>
              </w:rPr>
            </w:pPr>
            <w:r>
              <w:rPr>
                <w:b/>
                <w:color w:val="231F20"/>
                <w:sz w:val="24"/>
              </w:rPr>
              <w:t>Asset</w:t>
            </w:r>
            <w:r>
              <w:rPr>
                <w:b/>
                <w:color w:val="231F20"/>
                <w:spacing w:val="-8"/>
                <w:sz w:val="24"/>
              </w:rPr>
              <w:t xml:space="preserve"> </w:t>
            </w:r>
            <w:r>
              <w:rPr>
                <w:b/>
                <w:color w:val="231F20"/>
                <w:sz w:val="24"/>
              </w:rPr>
              <w:t>Revaluation</w:t>
            </w:r>
            <w:r>
              <w:rPr>
                <w:b/>
                <w:color w:val="231F20"/>
                <w:spacing w:val="-8"/>
                <w:sz w:val="24"/>
              </w:rPr>
              <w:t xml:space="preserve"> </w:t>
            </w:r>
            <w:r>
              <w:rPr>
                <w:b/>
                <w:color w:val="231F20"/>
                <w:spacing w:val="-2"/>
                <w:sz w:val="24"/>
              </w:rPr>
              <w:t>Reserve</w:t>
            </w:r>
          </w:p>
        </w:tc>
      </w:tr>
      <w:tr w:rsidR="00345EE3" w14:paraId="63ECA36D" w14:textId="77777777" w:rsidTr="00D73130">
        <w:trPr>
          <w:trHeight w:val="398"/>
        </w:trPr>
        <w:tc>
          <w:tcPr>
            <w:tcW w:w="9468" w:type="dxa"/>
            <w:tcBorders>
              <w:top w:val="nil"/>
              <w:left w:val="nil"/>
            </w:tcBorders>
          </w:tcPr>
          <w:p w14:paraId="64A7F367" w14:textId="77777777" w:rsidR="00345EE3" w:rsidRDefault="00345EE3" w:rsidP="00D73130">
            <w:pPr>
              <w:pStyle w:val="TableParagraph"/>
              <w:spacing w:before="63"/>
              <w:ind w:left="-2"/>
              <w:jc w:val="left"/>
              <w:rPr>
                <w:b/>
                <w:sz w:val="24"/>
              </w:rPr>
            </w:pPr>
            <w:r>
              <w:rPr>
                <w:b/>
                <w:color w:val="231F20"/>
                <w:sz w:val="24"/>
              </w:rPr>
              <w:t xml:space="preserve">Opening </w:t>
            </w:r>
            <w:r>
              <w:rPr>
                <w:b/>
                <w:color w:val="231F20"/>
                <w:spacing w:val="-2"/>
                <w:sz w:val="24"/>
              </w:rPr>
              <w:t>Balance*</w:t>
            </w:r>
          </w:p>
        </w:tc>
        <w:tc>
          <w:tcPr>
            <w:tcW w:w="1418" w:type="dxa"/>
            <w:tcBorders>
              <w:top w:val="nil"/>
            </w:tcBorders>
            <w:shd w:val="clear" w:color="auto" w:fill="E6E7E8"/>
          </w:tcPr>
          <w:p w14:paraId="1A3197C1" w14:textId="77777777" w:rsidR="00345EE3" w:rsidRDefault="00345EE3" w:rsidP="00D73130">
            <w:pPr>
              <w:pStyle w:val="TableParagraph"/>
              <w:spacing w:before="63"/>
              <w:ind w:right="53"/>
              <w:rPr>
                <w:b/>
                <w:sz w:val="24"/>
              </w:rPr>
            </w:pPr>
            <w:r>
              <w:rPr>
                <w:b/>
                <w:color w:val="231F20"/>
                <w:spacing w:val="-2"/>
                <w:sz w:val="24"/>
              </w:rPr>
              <w:t>878,192</w:t>
            </w:r>
          </w:p>
        </w:tc>
        <w:tc>
          <w:tcPr>
            <w:tcW w:w="1418" w:type="dxa"/>
            <w:tcBorders>
              <w:top w:val="nil"/>
            </w:tcBorders>
          </w:tcPr>
          <w:p w14:paraId="7B9778B6" w14:textId="77777777" w:rsidR="00345EE3" w:rsidRDefault="00345EE3" w:rsidP="00D73130">
            <w:pPr>
              <w:pStyle w:val="TableParagraph"/>
              <w:spacing w:before="63"/>
              <w:ind w:right="53"/>
              <w:rPr>
                <w:b/>
                <w:sz w:val="24"/>
              </w:rPr>
            </w:pPr>
            <w:r>
              <w:rPr>
                <w:b/>
                <w:color w:val="231F20"/>
                <w:spacing w:val="-2"/>
                <w:sz w:val="24"/>
              </w:rPr>
              <w:t>866,875</w:t>
            </w:r>
          </w:p>
        </w:tc>
        <w:tc>
          <w:tcPr>
            <w:tcW w:w="1418" w:type="dxa"/>
            <w:tcBorders>
              <w:top w:val="nil"/>
            </w:tcBorders>
          </w:tcPr>
          <w:p w14:paraId="7CFEE7C2" w14:textId="77777777" w:rsidR="00345EE3" w:rsidRDefault="00345EE3" w:rsidP="00D73130">
            <w:pPr>
              <w:pStyle w:val="TableParagraph"/>
              <w:spacing w:before="63"/>
              <w:ind w:right="56"/>
              <w:rPr>
                <w:sz w:val="24"/>
              </w:rPr>
            </w:pPr>
            <w:r>
              <w:rPr>
                <w:color w:val="231F20"/>
                <w:spacing w:val="-2"/>
                <w:sz w:val="24"/>
              </w:rPr>
              <w:t>11,317</w:t>
            </w:r>
          </w:p>
        </w:tc>
        <w:tc>
          <w:tcPr>
            <w:tcW w:w="1418" w:type="dxa"/>
            <w:tcBorders>
              <w:top w:val="nil"/>
              <w:right w:val="nil"/>
            </w:tcBorders>
          </w:tcPr>
          <w:p w14:paraId="5A0DF13D" w14:textId="77777777" w:rsidR="00345EE3" w:rsidRDefault="00345EE3" w:rsidP="00D73130">
            <w:pPr>
              <w:pStyle w:val="TableParagraph"/>
              <w:spacing w:before="63"/>
              <w:ind w:right="54"/>
              <w:rPr>
                <w:b/>
                <w:sz w:val="24"/>
              </w:rPr>
            </w:pPr>
            <w:r>
              <w:rPr>
                <w:b/>
                <w:color w:val="231F20"/>
                <w:spacing w:val="-4"/>
                <w:sz w:val="24"/>
              </w:rPr>
              <w:t>1.3%</w:t>
            </w:r>
          </w:p>
        </w:tc>
      </w:tr>
      <w:tr w:rsidR="00345EE3" w14:paraId="12494D9A" w14:textId="77777777" w:rsidTr="00D73130">
        <w:trPr>
          <w:trHeight w:val="396"/>
        </w:trPr>
        <w:tc>
          <w:tcPr>
            <w:tcW w:w="9468" w:type="dxa"/>
            <w:tcBorders>
              <w:left w:val="nil"/>
              <w:bottom w:val="single" w:sz="2" w:space="0" w:color="231F20"/>
            </w:tcBorders>
          </w:tcPr>
          <w:p w14:paraId="08466684" w14:textId="77777777" w:rsidR="00345EE3" w:rsidRDefault="00345EE3" w:rsidP="00D73130">
            <w:pPr>
              <w:pStyle w:val="TableParagraph"/>
              <w:ind w:left="-2"/>
              <w:jc w:val="left"/>
              <w:rPr>
                <w:sz w:val="24"/>
              </w:rPr>
            </w:pPr>
            <w:r>
              <w:rPr>
                <w:color w:val="231F20"/>
                <w:sz w:val="24"/>
              </w:rPr>
              <w:t>Revaluation</w:t>
            </w:r>
            <w:r>
              <w:rPr>
                <w:color w:val="231F20"/>
                <w:spacing w:val="-6"/>
                <w:sz w:val="24"/>
              </w:rPr>
              <w:t xml:space="preserve"> </w:t>
            </w:r>
            <w:r>
              <w:rPr>
                <w:color w:val="231F20"/>
                <w:sz w:val="24"/>
              </w:rPr>
              <w:t>surplus</w:t>
            </w:r>
            <w:r>
              <w:rPr>
                <w:color w:val="231F20"/>
                <w:spacing w:val="-5"/>
                <w:sz w:val="24"/>
              </w:rPr>
              <w:t xml:space="preserve"> </w:t>
            </w:r>
            <w:r>
              <w:rPr>
                <w:color w:val="231F20"/>
                <w:spacing w:val="-2"/>
                <w:sz w:val="24"/>
              </w:rPr>
              <w:t>adjustment</w:t>
            </w:r>
          </w:p>
        </w:tc>
        <w:tc>
          <w:tcPr>
            <w:tcW w:w="1418" w:type="dxa"/>
            <w:tcBorders>
              <w:bottom w:val="single" w:sz="2" w:space="0" w:color="231F20"/>
            </w:tcBorders>
            <w:shd w:val="clear" w:color="auto" w:fill="E6E7E8"/>
          </w:tcPr>
          <w:p w14:paraId="0FD7883C" w14:textId="77777777" w:rsidR="00345EE3" w:rsidRDefault="00345EE3" w:rsidP="00D73130">
            <w:pPr>
              <w:pStyle w:val="TableParagraph"/>
              <w:ind w:right="54"/>
              <w:rPr>
                <w:sz w:val="24"/>
              </w:rPr>
            </w:pPr>
            <w:r>
              <w:rPr>
                <w:color w:val="231F20"/>
                <w:spacing w:val="-2"/>
                <w:sz w:val="24"/>
              </w:rPr>
              <w:t>(3,395)</w:t>
            </w:r>
          </w:p>
        </w:tc>
        <w:tc>
          <w:tcPr>
            <w:tcW w:w="1418" w:type="dxa"/>
            <w:tcBorders>
              <w:bottom w:val="single" w:sz="2" w:space="0" w:color="231F20"/>
            </w:tcBorders>
          </w:tcPr>
          <w:p w14:paraId="5A9214B3" w14:textId="77777777" w:rsidR="00345EE3" w:rsidRDefault="00345EE3" w:rsidP="00D73130">
            <w:pPr>
              <w:pStyle w:val="TableParagraph"/>
              <w:ind w:right="52"/>
              <w:rPr>
                <w:sz w:val="24"/>
              </w:rPr>
            </w:pPr>
            <w:r>
              <w:rPr>
                <w:color w:val="231F20"/>
                <w:sz w:val="24"/>
              </w:rPr>
              <w:t>-</w:t>
            </w:r>
          </w:p>
        </w:tc>
        <w:tc>
          <w:tcPr>
            <w:tcW w:w="1418" w:type="dxa"/>
            <w:tcBorders>
              <w:bottom w:val="single" w:sz="2" w:space="0" w:color="231F20"/>
            </w:tcBorders>
          </w:tcPr>
          <w:p w14:paraId="31310BFE" w14:textId="77777777" w:rsidR="00345EE3" w:rsidRDefault="00345EE3" w:rsidP="00D73130">
            <w:pPr>
              <w:pStyle w:val="TableParagraph"/>
              <w:ind w:right="55"/>
              <w:rPr>
                <w:sz w:val="24"/>
              </w:rPr>
            </w:pPr>
            <w:r>
              <w:rPr>
                <w:color w:val="231F20"/>
                <w:spacing w:val="-2"/>
                <w:sz w:val="24"/>
              </w:rPr>
              <w:t>(3,395)</w:t>
            </w:r>
          </w:p>
        </w:tc>
        <w:tc>
          <w:tcPr>
            <w:tcW w:w="1418" w:type="dxa"/>
            <w:tcBorders>
              <w:bottom w:val="single" w:sz="2" w:space="0" w:color="231F20"/>
              <w:right w:val="nil"/>
            </w:tcBorders>
          </w:tcPr>
          <w:p w14:paraId="41A5D781" w14:textId="77777777" w:rsidR="00345EE3" w:rsidRDefault="00345EE3" w:rsidP="00D73130">
            <w:pPr>
              <w:pStyle w:val="TableParagraph"/>
              <w:ind w:right="56"/>
              <w:rPr>
                <w:sz w:val="24"/>
              </w:rPr>
            </w:pPr>
            <w:r>
              <w:rPr>
                <w:color w:val="231F20"/>
                <w:spacing w:val="-4"/>
                <w:sz w:val="24"/>
              </w:rPr>
              <w:t>0.0%</w:t>
            </w:r>
          </w:p>
        </w:tc>
      </w:tr>
      <w:tr w:rsidR="00345EE3" w14:paraId="3B9882DB" w14:textId="77777777" w:rsidTr="00D73130">
        <w:trPr>
          <w:trHeight w:val="398"/>
        </w:trPr>
        <w:tc>
          <w:tcPr>
            <w:tcW w:w="9468" w:type="dxa"/>
            <w:tcBorders>
              <w:top w:val="single" w:sz="2" w:space="0" w:color="231F20"/>
              <w:left w:val="nil"/>
              <w:bottom w:val="nil"/>
            </w:tcBorders>
          </w:tcPr>
          <w:p w14:paraId="2132C957" w14:textId="77777777" w:rsidR="00345EE3" w:rsidRDefault="00345EE3" w:rsidP="00D73130">
            <w:pPr>
              <w:pStyle w:val="TableParagraph"/>
              <w:ind w:left="-2"/>
              <w:jc w:val="left"/>
              <w:rPr>
                <w:b/>
                <w:sz w:val="24"/>
              </w:rPr>
            </w:pPr>
            <w:r>
              <w:rPr>
                <w:b/>
                <w:color w:val="231F20"/>
                <w:sz w:val="24"/>
              </w:rPr>
              <w:t>Closing</w:t>
            </w:r>
            <w:r>
              <w:rPr>
                <w:b/>
                <w:color w:val="231F20"/>
                <w:spacing w:val="-7"/>
                <w:sz w:val="24"/>
              </w:rPr>
              <w:t xml:space="preserve"> </w:t>
            </w:r>
            <w:r>
              <w:rPr>
                <w:b/>
                <w:color w:val="231F20"/>
                <w:spacing w:val="-2"/>
                <w:sz w:val="24"/>
              </w:rPr>
              <w:t>Balance</w:t>
            </w:r>
          </w:p>
        </w:tc>
        <w:tc>
          <w:tcPr>
            <w:tcW w:w="1418" w:type="dxa"/>
            <w:tcBorders>
              <w:top w:val="single" w:sz="2" w:space="0" w:color="231F20"/>
              <w:bottom w:val="nil"/>
            </w:tcBorders>
            <w:shd w:val="clear" w:color="auto" w:fill="E6E7E8"/>
          </w:tcPr>
          <w:p w14:paraId="3462D184" w14:textId="77777777" w:rsidR="00345EE3" w:rsidRDefault="00345EE3" w:rsidP="00D73130">
            <w:pPr>
              <w:pStyle w:val="TableParagraph"/>
              <w:ind w:right="52"/>
              <w:rPr>
                <w:b/>
                <w:sz w:val="24"/>
              </w:rPr>
            </w:pPr>
            <w:r>
              <w:rPr>
                <w:b/>
                <w:color w:val="231F20"/>
                <w:spacing w:val="-2"/>
                <w:sz w:val="24"/>
              </w:rPr>
              <w:t>874,797</w:t>
            </w:r>
          </w:p>
        </w:tc>
        <w:tc>
          <w:tcPr>
            <w:tcW w:w="1418" w:type="dxa"/>
            <w:tcBorders>
              <w:top w:val="single" w:sz="2" w:space="0" w:color="231F20"/>
              <w:bottom w:val="nil"/>
            </w:tcBorders>
          </w:tcPr>
          <w:p w14:paraId="4E0C96A9" w14:textId="77777777" w:rsidR="00345EE3" w:rsidRDefault="00345EE3" w:rsidP="00D73130">
            <w:pPr>
              <w:pStyle w:val="TableParagraph"/>
              <w:ind w:right="53"/>
              <w:rPr>
                <w:b/>
                <w:sz w:val="24"/>
              </w:rPr>
            </w:pPr>
            <w:r>
              <w:rPr>
                <w:b/>
                <w:color w:val="231F20"/>
                <w:spacing w:val="-2"/>
                <w:sz w:val="24"/>
              </w:rPr>
              <w:t>866,875</w:t>
            </w:r>
          </w:p>
        </w:tc>
        <w:tc>
          <w:tcPr>
            <w:tcW w:w="1418" w:type="dxa"/>
            <w:tcBorders>
              <w:top w:val="single" w:sz="2" w:space="0" w:color="231F20"/>
              <w:bottom w:val="nil"/>
            </w:tcBorders>
          </w:tcPr>
          <w:p w14:paraId="53FCA5D6" w14:textId="77777777" w:rsidR="00345EE3" w:rsidRDefault="00345EE3" w:rsidP="00D73130">
            <w:pPr>
              <w:pStyle w:val="TableParagraph"/>
              <w:ind w:right="53"/>
              <w:rPr>
                <w:b/>
                <w:sz w:val="24"/>
              </w:rPr>
            </w:pPr>
            <w:r>
              <w:rPr>
                <w:b/>
                <w:color w:val="231F20"/>
                <w:spacing w:val="-2"/>
                <w:sz w:val="24"/>
              </w:rPr>
              <w:t>7,922</w:t>
            </w:r>
          </w:p>
        </w:tc>
        <w:tc>
          <w:tcPr>
            <w:tcW w:w="1418" w:type="dxa"/>
            <w:tcBorders>
              <w:top w:val="single" w:sz="2" w:space="0" w:color="231F20"/>
              <w:bottom w:val="nil"/>
              <w:right w:val="nil"/>
            </w:tcBorders>
          </w:tcPr>
          <w:p w14:paraId="1E72F7C8" w14:textId="77777777" w:rsidR="00345EE3" w:rsidRDefault="00345EE3" w:rsidP="00D73130">
            <w:pPr>
              <w:pStyle w:val="TableParagraph"/>
              <w:ind w:right="-15"/>
              <w:rPr>
                <w:b/>
                <w:sz w:val="24"/>
              </w:rPr>
            </w:pPr>
            <w:r>
              <w:rPr>
                <w:b/>
                <w:color w:val="231F20"/>
                <w:spacing w:val="-4"/>
                <w:sz w:val="24"/>
              </w:rPr>
              <w:t>0.9%</w:t>
            </w:r>
          </w:p>
        </w:tc>
      </w:tr>
      <w:tr w:rsidR="00345EE3" w14:paraId="6E0BBA49" w14:textId="77777777" w:rsidTr="00D73130">
        <w:trPr>
          <w:trHeight w:val="401"/>
        </w:trPr>
        <w:tc>
          <w:tcPr>
            <w:tcW w:w="15140" w:type="dxa"/>
            <w:gridSpan w:val="5"/>
            <w:tcBorders>
              <w:top w:val="nil"/>
              <w:left w:val="nil"/>
              <w:bottom w:val="nil"/>
              <w:right w:val="nil"/>
            </w:tcBorders>
            <w:shd w:val="clear" w:color="auto" w:fill="D1D3D4"/>
          </w:tcPr>
          <w:p w14:paraId="64E0E52C" w14:textId="08BFD8F5" w:rsidR="00345EE3" w:rsidRDefault="00345EE3" w:rsidP="00D73130">
            <w:pPr>
              <w:pStyle w:val="TableParagraph"/>
              <w:spacing w:before="0" w:line="20" w:lineRule="exact"/>
              <w:ind w:left="-3" w:right="-72"/>
              <w:jc w:val="left"/>
              <w:rPr>
                <w:sz w:val="2"/>
              </w:rPr>
            </w:pPr>
          </w:p>
          <w:p w14:paraId="22C4AC1E" w14:textId="77777777" w:rsidR="00345EE3" w:rsidRDefault="00345EE3" w:rsidP="00D73130">
            <w:pPr>
              <w:pStyle w:val="TableParagraph"/>
              <w:spacing w:before="43"/>
              <w:ind w:left="1"/>
              <w:jc w:val="left"/>
              <w:rPr>
                <w:b/>
                <w:sz w:val="24"/>
              </w:rPr>
            </w:pPr>
            <w:r>
              <w:rPr>
                <w:b/>
                <w:color w:val="231F20"/>
                <w:sz w:val="24"/>
              </w:rPr>
              <w:t>Hedging</w:t>
            </w:r>
            <w:r>
              <w:rPr>
                <w:b/>
                <w:color w:val="231F20"/>
                <w:spacing w:val="-7"/>
                <w:sz w:val="24"/>
              </w:rPr>
              <w:t xml:space="preserve"> </w:t>
            </w:r>
            <w:r>
              <w:rPr>
                <w:b/>
                <w:color w:val="231F20"/>
                <w:spacing w:val="-2"/>
                <w:sz w:val="24"/>
              </w:rPr>
              <w:t>Reserve</w:t>
            </w:r>
          </w:p>
        </w:tc>
      </w:tr>
      <w:tr w:rsidR="00345EE3" w14:paraId="79093F8C" w14:textId="77777777" w:rsidTr="00D73130">
        <w:trPr>
          <w:trHeight w:val="399"/>
        </w:trPr>
        <w:tc>
          <w:tcPr>
            <w:tcW w:w="9468" w:type="dxa"/>
            <w:tcBorders>
              <w:top w:val="nil"/>
              <w:left w:val="nil"/>
            </w:tcBorders>
          </w:tcPr>
          <w:p w14:paraId="52F675FC" w14:textId="77777777" w:rsidR="00345EE3" w:rsidRDefault="00345EE3" w:rsidP="00D73130">
            <w:pPr>
              <w:pStyle w:val="TableParagraph"/>
              <w:spacing w:before="63"/>
              <w:ind w:left="-2"/>
              <w:jc w:val="left"/>
              <w:rPr>
                <w:b/>
                <w:sz w:val="24"/>
              </w:rPr>
            </w:pPr>
            <w:r>
              <w:rPr>
                <w:b/>
                <w:color w:val="231F20"/>
                <w:sz w:val="24"/>
              </w:rPr>
              <w:t xml:space="preserve">Opening </w:t>
            </w:r>
            <w:r>
              <w:rPr>
                <w:b/>
                <w:color w:val="231F20"/>
                <w:spacing w:val="-2"/>
                <w:sz w:val="24"/>
              </w:rPr>
              <w:t>Balance*</w:t>
            </w:r>
          </w:p>
        </w:tc>
        <w:tc>
          <w:tcPr>
            <w:tcW w:w="1418" w:type="dxa"/>
            <w:tcBorders>
              <w:top w:val="nil"/>
            </w:tcBorders>
            <w:shd w:val="clear" w:color="auto" w:fill="E6E7E8"/>
          </w:tcPr>
          <w:p w14:paraId="54191AF0" w14:textId="77777777" w:rsidR="00345EE3" w:rsidRDefault="00345EE3" w:rsidP="00D73130">
            <w:pPr>
              <w:pStyle w:val="TableParagraph"/>
              <w:spacing w:before="63"/>
              <w:ind w:right="54"/>
              <w:rPr>
                <w:sz w:val="24"/>
              </w:rPr>
            </w:pPr>
            <w:r>
              <w:rPr>
                <w:color w:val="231F20"/>
                <w:spacing w:val="-2"/>
                <w:sz w:val="24"/>
              </w:rPr>
              <w:t>(15,391)</w:t>
            </w:r>
          </w:p>
        </w:tc>
        <w:tc>
          <w:tcPr>
            <w:tcW w:w="1418" w:type="dxa"/>
            <w:tcBorders>
              <w:top w:val="nil"/>
            </w:tcBorders>
          </w:tcPr>
          <w:p w14:paraId="622B5395" w14:textId="77777777" w:rsidR="00345EE3" w:rsidRDefault="00345EE3" w:rsidP="00D73130">
            <w:pPr>
              <w:pStyle w:val="TableParagraph"/>
              <w:spacing w:before="63"/>
              <w:ind w:right="54"/>
              <w:rPr>
                <w:sz w:val="24"/>
              </w:rPr>
            </w:pPr>
            <w:r>
              <w:rPr>
                <w:color w:val="231F20"/>
                <w:spacing w:val="-2"/>
                <w:sz w:val="24"/>
              </w:rPr>
              <w:t>(7,803)</w:t>
            </w:r>
          </w:p>
        </w:tc>
        <w:tc>
          <w:tcPr>
            <w:tcW w:w="1418" w:type="dxa"/>
            <w:tcBorders>
              <w:top w:val="nil"/>
            </w:tcBorders>
          </w:tcPr>
          <w:p w14:paraId="333278A3" w14:textId="77777777" w:rsidR="00345EE3" w:rsidRDefault="00345EE3" w:rsidP="00D73130">
            <w:pPr>
              <w:pStyle w:val="TableParagraph"/>
              <w:spacing w:before="63"/>
              <w:ind w:right="53"/>
              <w:rPr>
                <w:b/>
                <w:sz w:val="24"/>
              </w:rPr>
            </w:pPr>
            <w:r>
              <w:rPr>
                <w:b/>
                <w:color w:val="231F20"/>
                <w:spacing w:val="-2"/>
                <w:sz w:val="24"/>
              </w:rPr>
              <w:t>(7,588)</w:t>
            </w:r>
          </w:p>
        </w:tc>
        <w:tc>
          <w:tcPr>
            <w:tcW w:w="1418" w:type="dxa"/>
            <w:tcBorders>
              <w:top w:val="nil"/>
              <w:right w:val="nil"/>
            </w:tcBorders>
          </w:tcPr>
          <w:p w14:paraId="324AC235" w14:textId="77777777" w:rsidR="00345EE3" w:rsidRDefault="00345EE3" w:rsidP="00D73130">
            <w:pPr>
              <w:pStyle w:val="TableParagraph"/>
              <w:spacing w:before="63"/>
              <w:ind w:right="53"/>
              <w:rPr>
                <w:b/>
                <w:sz w:val="24"/>
              </w:rPr>
            </w:pPr>
            <w:r>
              <w:rPr>
                <w:b/>
                <w:color w:val="231F20"/>
                <w:spacing w:val="-2"/>
                <w:sz w:val="24"/>
              </w:rPr>
              <w:t>97.2%</w:t>
            </w:r>
          </w:p>
        </w:tc>
      </w:tr>
      <w:tr w:rsidR="00345EE3" w14:paraId="7AA30C5C" w14:textId="77777777" w:rsidTr="00D73130">
        <w:trPr>
          <w:trHeight w:val="396"/>
        </w:trPr>
        <w:tc>
          <w:tcPr>
            <w:tcW w:w="9468" w:type="dxa"/>
            <w:tcBorders>
              <w:left w:val="nil"/>
              <w:bottom w:val="single" w:sz="2" w:space="0" w:color="231F20"/>
            </w:tcBorders>
          </w:tcPr>
          <w:p w14:paraId="72D7C4F5" w14:textId="77777777" w:rsidR="00345EE3" w:rsidRDefault="00345EE3" w:rsidP="00D73130">
            <w:pPr>
              <w:pStyle w:val="TableParagraph"/>
              <w:spacing w:before="61"/>
              <w:ind w:left="-1"/>
              <w:jc w:val="left"/>
              <w:rPr>
                <w:sz w:val="24"/>
              </w:rPr>
            </w:pPr>
            <w:r>
              <w:rPr>
                <w:color w:val="231F20"/>
                <w:sz w:val="24"/>
              </w:rPr>
              <w:t>Fair</w:t>
            </w:r>
            <w:r>
              <w:rPr>
                <w:color w:val="231F20"/>
                <w:spacing w:val="-6"/>
                <w:sz w:val="24"/>
              </w:rPr>
              <w:t xml:space="preserve"> </w:t>
            </w:r>
            <w:r>
              <w:rPr>
                <w:color w:val="231F20"/>
                <w:sz w:val="24"/>
              </w:rPr>
              <w:t>value</w:t>
            </w:r>
            <w:r>
              <w:rPr>
                <w:color w:val="231F20"/>
                <w:spacing w:val="-3"/>
                <w:sz w:val="24"/>
              </w:rPr>
              <w:t xml:space="preserve"> </w:t>
            </w:r>
            <w:r>
              <w:rPr>
                <w:color w:val="231F20"/>
                <w:sz w:val="24"/>
              </w:rPr>
              <w:t>gain/(loss)</w:t>
            </w:r>
            <w:r>
              <w:rPr>
                <w:color w:val="231F20"/>
                <w:spacing w:val="-5"/>
                <w:sz w:val="24"/>
              </w:rPr>
              <w:t xml:space="preserve"> </w:t>
            </w:r>
            <w:r>
              <w:rPr>
                <w:color w:val="231F20"/>
                <w:sz w:val="24"/>
              </w:rPr>
              <w:t>arising</w:t>
            </w:r>
            <w:r>
              <w:rPr>
                <w:color w:val="231F20"/>
                <w:spacing w:val="-4"/>
                <w:sz w:val="24"/>
              </w:rPr>
              <w:t xml:space="preserve"> </w:t>
            </w:r>
            <w:r>
              <w:rPr>
                <w:color w:val="231F20"/>
                <w:sz w:val="24"/>
              </w:rPr>
              <w:t>from</w:t>
            </w:r>
            <w:r>
              <w:rPr>
                <w:color w:val="231F20"/>
                <w:spacing w:val="-3"/>
                <w:sz w:val="24"/>
              </w:rPr>
              <w:t xml:space="preserve"> </w:t>
            </w:r>
            <w:r>
              <w:rPr>
                <w:color w:val="231F20"/>
                <w:sz w:val="24"/>
              </w:rPr>
              <w:t>cash</w:t>
            </w:r>
            <w:r>
              <w:rPr>
                <w:color w:val="231F20"/>
                <w:spacing w:val="-4"/>
                <w:sz w:val="24"/>
              </w:rPr>
              <w:t xml:space="preserve"> </w:t>
            </w:r>
            <w:r>
              <w:rPr>
                <w:color w:val="231F20"/>
                <w:sz w:val="24"/>
              </w:rPr>
              <w:t>flow</w:t>
            </w:r>
            <w:r>
              <w:rPr>
                <w:color w:val="231F20"/>
                <w:spacing w:val="-3"/>
                <w:sz w:val="24"/>
              </w:rPr>
              <w:t xml:space="preserve"> </w:t>
            </w:r>
            <w:r>
              <w:rPr>
                <w:color w:val="231F20"/>
                <w:sz w:val="24"/>
              </w:rPr>
              <w:t>hedging</w:t>
            </w:r>
            <w:r>
              <w:rPr>
                <w:color w:val="231F20"/>
                <w:spacing w:val="-4"/>
                <w:sz w:val="24"/>
              </w:rPr>
              <w:t xml:space="preserve"> </w:t>
            </w:r>
            <w:r>
              <w:rPr>
                <w:color w:val="231F20"/>
                <w:sz w:val="24"/>
              </w:rPr>
              <w:t>instruments</w:t>
            </w:r>
            <w:r>
              <w:rPr>
                <w:color w:val="231F20"/>
                <w:spacing w:val="-5"/>
                <w:sz w:val="24"/>
              </w:rPr>
              <w:t xml:space="preserve"> </w:t>
            </w:r>
            <w:r>
              <w:rPr>
                <w:color w:val="231F20"/>
                <w:sz w:val="24"/>
              </w:rPr>
              <w:t>during</w:t>
            </w:r>
            <w:r>
              <w:rPr>
                <w:color w:val="231F20"/>
                <w:spacing w:val="-4"/>
                <w:sz w:val="24"/>
              </w:rPr>
              <w:t xml:space="preserve"> </w:t>
            </w:r>
            <w:r>
              <w:rPr>
                <w:color w:val="231F20"/>
                <w:sz w:val="24"/>
              </w:rPr>
              <w:t>the</w:t>
            </w:r>
            <w:r>
              <w:rPr>
                <w:color w:val="231F20"/>
                <w:spacing w:val="-3"/>
                <w:sz w:val="24"/>
              </w:rPr>
              <w:t xml:space="preserve"> </w:t>
            </w:r>
            <w:r>
              <w:rPr>
                <w:color w:val="231F20"/>
                <w:spacing w:val="-4"/>
                <w:sz w:val="24"/>
              </w:rPr>
              <w:t>year</w:t>
            </w:r>
          </w:p>
        </w:tc>
        <w:tc>
          <w:tcPr>
            <w:tcW w:w="1418" w:type="dxa"/>
            <w:tcBorders>
              <w:bottom w:val="single" w:sz="2" w:space="0" w:color="231F20"/>
            </w:tcBorders>
            <w:shd w:val="clear" w:color="auto" w:fill="E6E7E8"/>
          </w:tcPr>
          <w:p w14:paraId="5AABE8CF" w14:textId="77777777" w:rsidR="00345EE3" w:rsidRDefault="00345EE3" w:rsidP="00D73130">
            <w:pPr>
              <w:pStyle w:val="TableParagraph"/>
              <w:spacing w:before="61"/>
              <w:ind w:right="54"/>
              <w:rPr>
                <w:sz w:val="24"/>
              </w:rPr>
            </w:pPr>
            <w:r>
              <w:rPr>
                <w:color w:val="231F20"/>
                <w:spacing w:val="-2"/>
                <w:sz w:val="24"/>
              </w:rPr>
              <w:t>10,248</w:t>
            </w:r>
          </w:p>
        </w:tc>
        <w:tc>
          <w:tcPr>
            <w:tcW w:w="1418" w:type="dxa"/>
            <w:tcBorders>
              <w:bottom w:val="single" w:sz="2" w:space="0" w:color="231F20"/>
            </w:tcBorders>
          </w:tcPr>
          <w:p w14:paraId="100F2624" w14:textId="77777777" w:rsidR="00345EE3" w:rsidRDefault="00345EE3" w:rsidP="00D73130">
            <w:pPr>
              <w:pStyle w:val="TableParagraph"/>
              <w:spacing w:before="61"/>
              <w:ind w:right="52"/>
              <w:rPr>
                <w:sz w:val="24"/>
              </w:rPr>
            </w:pPr>
            <w:r>
              <w:rPr>
                <w:color w:val="231F20"/>
                <w:sz w:val="24"/>
              </w:rPr>
              <w:t>-</w:t>
            </w:r>
          </w:p>
        </w:tc>
        <w:tc>
          <w:tcPr>
            <w:tcW w:w="1418" w:type="dxa"/>
            <w:tcBorders>
              <w:bottom w:val="single" w:sz="2" w:space="0" w:color="231F20"/>
            </w:tcBorders>
          </w:tcPr>
          <w:p w14:paraId="3036FDDC" w14:textId="77777777" w:rsidR="00345EE3" w:rsidRDefault="00345EE3" w:rsidP="00D73130">
            <w:pPr>
              <w:pStyle w:val="TableParagraph"/>
              <w:spacing w:before="61"/>
              <w:ind w:right="55"/>
              <w:rPr>
                <w:sz w:val="24"/>
              </w:rPr>
            </w:pPr>
            <w:r>
              <w:rPr>
                <w:color w:val="231F20"/>
                <w:spacing w:val="-2"/>
                <w:sz w:val="24"/>
              </w:rPr>
              <w:t>10,248</w:t>
            </w:r>
          </w:p>
        </w:tc>
        <w:tc>
          <w:tcPr>
            <w:tcW w:w="1418" w:type="dxa"/>
            <w:tcBorders>
              <w:bottom w:val="single" w:sz="2" w:space="0" w:color="231F20"/>
              <w:right w:val="nil"/>
            </w:tcBorders>
          </w:tcPr>
          <w:p w14:paraId="48B59F0A" w14:textId="77777777" w:rsidR="00345EE3" w:rsidRDefault="00345EE3" w:rsidP="00D73130">
            <w:pPr>
              <w:pStyle w:val="TableParagraph"/>
              <w:spacing w:before="61"/>
              <w:ind w:right="56"/>
              <w:rPr>
                <w:sz w:val="24"/>
              </w:rPr>
            </w:pPr>
            <w:r>
              <w:rPr>
                <w:color w:val="231F20"/>
                <w:spacing w:val="-4"/>
                <w:sz w:val="24"/>
              </w:rPr>
              <w:t>0.0%</w:t>
            </w:r>
          </w:p>
        </w:tc>
      </w:tr>
      <w:tr w:rsidR="00345EE3" w14:paraId="0BF3963A" w14:textId="77777777" w:rsidTr="00D73130">
        <w:trPr>
          <w:trHeight w:val="396"/>
        </w:trPr>
        <w:tc>
          <w:tcPr>
            <w:tcW w:w="9468" w:type="dxa"/>
            <w:tcBorders>
              <w:top w:val="single" w:sz="2" w:space="0" w:color="231F20"/>
              <w:left w:val="nil"/>
              <w:bottom w:val="single" w:sz="2" w:space="0" w:color="231F20"/>
            </w:tcBorders>
          </w:tcPr>
          <w:p w14:paraId="5C1E1B6F" w14:textId="77777777" w:rsidR="00345EE3" w:rsidRDefault="00345EE3" w:rsidP="00D73130">
            <w:pPr>
              <w:pStyle w:val="TableParagraph"/>
              <w:spacing w:before="61"/>
              <w:ind w:left="-1"/>
              <w:jc w:val="left"/>
              <w:rPr>
                <w:b/>
                <w:sz w:val="24"/>
              </w:rPr>
            </w:pPr>
            <w:r>
              <w:rPr>
                <w:b/>
                <w:color w:val="231F20"/>
                <w:sz w:val="24"/>
              </w:rPr>
              <w:t>Closing</w:t>
            </w:r>
            <w:r>
              <w:rPr>
                <w:b/>
                <w:color w:val="231F20"/>
                <w:spacing w:val="-7"/>
                <w:sz w:val="24"/>
              </w:rPr>
              <w:t xml:space="preserve"> </w:t>
            </w:r>
            <w:r>
              <w:rPr>
                <w:b/>
                <w:color w:val="231F20"/>
                <w:spacing w:val="-2"/>
                <w:sz w:val="24"/>
              </w:rPr>
              <w:t>Balance</w:t>
            </w:r>
          </w:p>
        </w:tc>
        <w:tc>
          <w:tcPr>
            <w:tcW w:w="1418" w:type="dxa"/>
            <w:tcBorders>
              <w:top w:val="single" w:sz="2" w:space="0" w:color="231F20"/>
              <w:bottom w:val="single" w:sz="2" w:space="0" w:color="231F20"/>
            </w:tcBorders>
            <w:shd w:val="clear" w:color="auto" w:fill="E6E7E8"/>
          </w:tcPr>
          <w:p w14:paraId="0A0F4E77" w14:textId="77777777" w:rsidR="00345EE3" w:rsidRDefault="00345EE3" w:rsidP="00D73130">
            <w:pPr>
              <w:pStyle w:val="TableParagraph"/>
              <w:spacing w:before="61"/>
              <w:ind w:right="51"/>
              <w:rPr>
                <w:b/>
                <w:sz w:val="24"/>
              </w:rPr>
            </w:pPr>
            <w:r>
              <w:rPr>
                <w:b/>
                <w:color w:val="231F20"/>
                <w:spacing w:val="-2"/>
                <w:sz w:val="24"/>
              </w:rPr>
              <w:t>(5,143)</w:t>
            </w:r>
          </w:p>
        </w:tc>
        <w:tc>
          <w:tcPr>
            <w:tcW w:w="1418" w:type="dxa"/>
            <w:tcBorders>
              <w:top w:val="single" w:sz="2" w:space="0" w:color="231F20"/>
              <w:bottom w:val="single" w:sz="2" w:space="0" w:color="231F20"/>
            </w:tcBorders>
          </w:tcPr>
          <w:p w14:paraId="0841D63E" w14:textId="77777777" w:rsidR="00345EE3" w:rsidRDefault="00345EE3" w:rsidP="00D73130">
            <w:pPr>
              <w:pStyle w:val="TableParagraph"/>
              <w:spacing w:before="61"/>
              <w:ind w:right="51"/>
              <w:rPr>
                <w:b/>
                <w:sz w:val="24"/>
              </w:rPr>
            </w:pPr>
            <w:r>
              <w:rPr>
                <w:b/>
                <w:color w:val="231F20"/>
                <w:spacing w:val="-2"/>
                <w:sz w:val="24"/>
              </w:rPr>
              <w:t>(7,803)</w:t>
            </w:r>
          </w:p>
        </w:tc>
        <w:tc>
          <w:tcPr>
            <w:tcW w:w="1418" w:type="dxa"/>
            <w:tcBorders>
              <w:top w:val="single" w:sz="2" w:space="0" w:color="231F20"/>
              <w:bottom w:val="single" w:sz="2" w:space="0" w:color="231F20"/>
            </w:tcBorders>
          </w:tcPr>
          <w:p w14:paraId="60C4C60A" w14:textId="77777777" w:rsidR="00345EE3" w:rsidRDefault="00345EE3" w:rsidP="00D73130">
            <w:pPr>
              <w:pStyle w:val="TableParagraph"/>
              <w:spacing w:before="61"/>
              <w:ind w:right="52"/>
              <w:rPr>
                <w:b/>
                <w:sz w:val="24"/>
              </w:rPr>
            </w:pPr>
            <w:r>
              <w:rPr>
                <w:b/>
                <w:color w:val="231F20"/>
                <w:spacing w:val="-2"/>
                <w:sz w:val="24"/>
              </w:rPr>
              <w:t>2,660</w:t>
            </w:r>
          </w:p>
        </w:tc>
        <w:tc>
          <w:tcPr>
            <w:tcW w:w="1418" w:type="dxa"/>
            <w:tcBorders>
              <w:top w:val="single" w:sz="2" w:space="0" w:color="231F20"/>
              <w:bottom w:val="single" w:sz="2" w:space="0" w:color="231F20"/>
              <w:right w:val="nil"/>
            </w:tcBorders>
          </w:tcPr>
          <w:p w14:paraId="77EE4C57" w14:textId="77777777" w:rsidR="00345EE3" w:rsidRDefault="00345EE3" w:rsidP="00D73130">
            <w:pPr>
              <w:pStyle w:val="TableParagraph"/>
              <w:spacing w:before="61"/>
              <w:ind w:right="-15"/>
              <w:rPr>
                <w:b/>
                <w:sz w:val="24"/>
              </w:rPr>
            </w:pPr>
            <w:r>
              <w:rPr>
                <w:b/>
                <w:color w:val="231F20"/>
                <w:sz w:val="24"/>
              </w:rPr>
              <w:t>-</w:t>
            </w:r>
            <w:r>
              <w:rPr>
                <w:b/>
                <w:color w:val="231F20"/>
                <w:spacing w:val="-2"/>
                <w:sz w:val="24"/>
              </w:rPr>
              <w:t>34.1%</w:t>
            </w:r>
          </w:p>
        </w:tc>
      </w:tr>
      <w:tr w:rsidR="00345EE3" w14:paraId="2D6B8C3E" w14:textId="77777777" w:rsidTr="00D73130">
        <w:trPr>
          <w:trHeight w:val="391"/>
        </w:trPr>
        <w:tc>
          <w:tcPr>
            <w:tcW w:w="9468" w:type="dxa"/>
            <w:tcBorders>
              <w:top w:val="single" w:sz="2" w:space="0" w:color="231F20"/>
              <w:left w:val="nil"/>
              <w:bottom w:val="single" w:sz="6" w:space="0" w:color="231F20"/>
            </w:tcBorders>
          </w:tcPr>
          <w:p w14:paraId="1AD6E2D9" w14:textId="77777777" w:rsidR="00345EE3" w:rsidRDefault="00345EE3" w:rsidP="00D73130">
            <w:pPr>
              <w:pStyle w:val="TableParagraph"/>
              <w:spacing w:before="61"/>
              <w:ind w:left="-1"/>
              <w:jc w:val="left"/>
              <w:rPr>
                <w:b/>
                <w:sz w:val="24"/>
              </w:rPr>
            </w:pPr>
            <w:r>
              <w:rPr>
                <w:b/>
                <w:color w:val="231F20"/>
                <w:spacing w:val="-4"/>
                <w:sz w:val="24"/>
              </w:rPr>
              <w:t>TOTAL</w:t>
            </w:r>
            <w:r>
              <w:rPr>
                <w:b/>
                <w:color w:val="231F20"/>
                <w:spacing w:val="-9"/>
                <w:sz w:val="24"/>
              </w:rPr>
              <w:t xml:space="preserve"> </w:t>
            </w:r>
            <w:r>
              <w:rPr>
                <w:b/>
                <w:color w:val="231F20"/>
                <w:spacing w:val="-2"/>
                <w:sz w:val="24"/>
              </w:rPr>
              <w:t>EQUITY</w:t>
            </w:r>
          </w:p>
        </w:tc>
        <w:tc>
          <w:tcPr>
            <w:tcW w:w="1418" w:type="dxa"/>
            <w:tcBorders>
              <w:top w:val="single" w:sz="2" w:space="0" w:color="231F20"/>
              <w:bottom w:val="single" w:sz="6" w:space="0" w:color="231F20"/>
            </w:tcBorders>
            <w:shd w:val="clear" w:color="auto" w:fill="E6E7E8"/>
          </w:tcPr>
          <w:p w14:paraId="40C96604" w14:textId="77777777" w:rsidR="00345EE3" w:rsidRDefault="00345EE3" w:rsidP="00D73130">
            <w:pPr>
              <w:pStyle w:val="TableParagraph"/>
              <w:spacing w:before="61"/>
              <w:ind w:right="51"/>
              <w:rPr>
                <w:b/>
                <w:sz w:val="24"/>
              </w:rPr>
            </w:pPr>
            <w:r>
              <w:rPr>
                <w:b/>
                <w:color w:val="231F20"/>
                <w:spacing w:val="-2"/>
                <w:sz w:val="24"/>
              </w:rPr>
              <w:t>1,972,934</w:t>
            </w:r>
          </w:p>
        </w:tc>
        <w:tc>
          <w:tcPr>
            <w:tcW w:w="1418" w:type="dxa"/>
            <w:tcBorders>
              <w:top w:val="single" w:sz="2" w:space="0" w:color="231F20"/>
              <w:bottom w:val="single" w:sz="6" w:space="0" w:color="231F20"/>
            </w:tcBorders>
          </w:tcPr>
          <w:p w14:paraId="095B705D" w14:textId="77777777" w:rsidR="00345EE3" w:rsidRDefault="00345EE3" w:rsidP="00D73130">
            <w:pPr>
              <w:pStyle w:val="TableParagraph"/>
              <w:spacing w:before="61"/>
              <w:ind w:right="52"/>
              <w:rPr>
                <w:b/>
                <w:sz w:val="24"/>
              </w:rPr>
            </w:pPr>
            <w:r>
              <w:rPr>
                <w:b/>
                <w:color w:val="231F20"/>
                <w:spacing w:val="-2"/>
                <w:sz w:val="24"/>
              </w:rPr>
              <w:t>1,969,837</w:t>
            </w:r>
          </w:p>
        </w:tc>
        <w:tc>
          <w:tcPr>
            <w:tcW w:w="1418" w:type="dxa"/>
            <w:tcBorders>
              <w:top w:val="single" w:sz="2" w:space="0" w:color="231F20"/>
              <w:bottom w:val="single" w:sz="6" w:space="0" w:color="231F20"/>
            </w:tcBorders>
          </w:tcPr>
          <w:p w14:paraId="13F24926" w14:textId="77777777" w:rsidR="00345EE3" w:rsidRDefault="00345EE3" w:rsidP="00D73130">
            <w:pPr>
              <w:pStyle w:val="TableParagraph"/>
              <w:spacing w:before="61"/>
              <w:ind w:right="52"/>
              <w:rPr>
                <w:b/>
                <w:sz w:val="24"/>
              </w:rPr>
            </w:pPr>
            <w:r>
              <w:rPr>
                <w:b/>
                <w:color w:val="231F20"/>
                <w:spacing w:val="-2"/>
                <w:sz w:val="24"/>
              </w:rPr>
              <w:t>3,097</w:t>
            </w:r>
          </w:p>
        </w:tc>
        <w:tc>
          <w:tcPr>
            <w:tcW w:w="1418" w:type="dxa"/>
            <w:tcBorders>
              <w:top w:val="single" w:sz="2" w:space="0" w:color="231F20"/>
              <w:bottom w:val="single" w:sz="6" w:space="0" w:color="231F20"/>
              <w:right w:val="nil"/>
            </w:tcBorders>
          </w:tcPr>
          <w:p w14:paraId="50ECF478" w14:textId="77777777" w:rsidR="00345EE3" w:rsidRDefault="00345EE3" w:rsidP="00D73130">
            <w:pPr>
              <w:pStyle w:val="TableParagraph"/>
              <w:spacing w:before="61"/>
              <w:ind w:right="52"/>
              <w:rPr>
                <w:b/>
                <w:sz w:val="24"/>
              </w:rPr>
            </w:pPr>
            <w:r>
              <w:rPr>
                <w:b/>
                <w:color w:val="231F20"/>
                <w:spacing w:val="-4"/>
                <w:sz w:val="24"/>
              </w:rPr>
              <w:t>0.2%</w:t>
            </w:r>
          </w:p>
        </w:tc>
      </w:tr>
    </w:tbl>
    <w:p w14:paraId="11EFE88A" w14:textId="785DB794" w:rsidR="00345EE3" w:rsidRDefault="00345EE3" w:rsidP="00345EE3">
      <w:pPr>
        <w:spacing w:before="81"/>
        <w:ind w:left="110"/>
        <w:rPr>
          <w:rFonts w:ascii="Arial-BoldItalicMT"/>
          <w:b/>
          <w:i/>
          <w:sz w:val="14"/>
        </w:rPr>
      </w:pPr>
      <w:r>
        <w:rPr>
          <w:rFonts w:ascii="Arial-BoldItalicMT"/>
          <w:b/>
          <w:i/>
          <w:color w:val="231F20"/>
          <w:spacing w:val="-2"/>
          <w:sz w:val="14"/>
        </w:rPr>
        <w:t>Note:</w:t>
      </w:r>
    </w:p>
    <w:p w14:paraId="3BB8AA95" w14:textId="77777777" w:rsidR="00345EE3" w:rsidRDefault="00345EE3" w:rsidP="00345EE3">
      <w:pPr>
        <w:spacing w:before="27"/>
        <w:ind w:left="110"/>
        <w:rPr>
          <w:sz w:val="14"/>
        </w:rPr>
      </w:pPr>
      <w:r>
        <w:rPr>
          <w:color w:val="231F20"/>
          <w:sz w:val="14"/>
        </w:rPr>
        <w:t>The</w:t>
      </w:r>
      <w:r>
        <w:rPr>
          <w:color w:val="231F20"/>
          <w:spacing w:val="-2"/>
          <w:sz w:val="14"/>
        </w:rPr>
        <w:t xml:space="preserve"> </w:t>
      </w:r>
      <w:r>
        <w:rPr>
          <w:color w:val="231F20"/>
          <w:sz w:val="14"/>
        </w:rPr>
        <w:t>budget</w:t>
      </w:r>
      <w:r>
        <w:rPr>
          <w:color w:val="231F20"/>
          <w:spacing w:val="-1"/>
          <w:sz w:val="14"/>
        </w:rPr>
        <w:t xml:space="preserve"> </w:t>
      </w:r>
      <w:r>
        <w:rPr>
          <w:color w:val="231F20"/>
          <w:sz w:val="14"/>
        </w:rPr>
        <w:t>portfolio</w:t>
      </w:r>
      <w:r>
        <w:rPr>
          <w:color w:val="231F20"/>
          <w:spacing w:val="-1"/>
          <w:sz w:val="14"/>
        </w:rPr>
        <w:t xml:space="preserve"> </w:t>
      </w:r>
      <w:r>
        <w:rPr>
          <w:color w:val="231F20"/>
          <w:sz w:val="14"/>
        </w:rPr>
        <w:t>outcome</w:t>
      </w:r>
      <w:r>
        <w:rPr>
          <w:color w:val="231F20"/>
          <w:spacing w:val="-2"/>
          <w:sz w:val="14"/>
        </w:rPr>
        <w:t xml:space="preserve"> </w:t>
      </w:r>
      <w:r>
        <w:rPr>
          <w:color w:val="231F20"/>
          <w:sz w:val="14"/>
        </w:rPr>
        <w:t>statements</w:t>
      </w:r>
      <w:r>
        <w:rPr>
          <w:color w:val="231F20"/>
          <w:spacing w:val="-1"/>
          <w:sz w:val="14"/>
        </w:rPr>
        <w:t xml:space="preserve"> </w:t>
      </w:r>
      <w:r>
        <w:rPr>
          <w:color w:val="231F20"/>
          <w:sz w:val="14"/>
        </w:rPr>
        <w:t>are</w:t>
      </w:r>
      <w:r>
        <w:rPr>
          <w:color w:val="231F20"/>
          <w:spacing w:val="-1"/>
          <w:sz w:val="14"/>
        </w:rPr>
        <w:t xml:space="preserve"> </w:t>
      </w:r>
      <w:r>
        <w:rPr>
          <w:color w:val="231F20"/>
          <w:sz w:val="14"/>
        </w:rPr>
        <w:t>not</w:t>
      </w:r>
      <w:r>
        <w:rPr>
          <w:color w:val="231F20"/>
          <w:spacing w:val="-1"/>
          <w:sz w:val="14"/>
        </w:rPr>
        <w:t xml:space="preserve"> </w:t>
      </w:r>
      <w:r>
        <w:rPr>
          <w:color w:val="231F20"/>
          <w:sz w:val="14"/>
        </w:rPr>
        <w:t>prepared</w:t>
      </w:r>
      <w:r>
        <w:rPr>
          <w:color w:val="231F20"/>
          <w:spacing w:val="-2"/>
          <w:sz w:val="14"/>
        </w:rPr>
        <w:t xml:space="preserve"> </w:t>
      </w:r>
      <w:r>
        <w:rPr>
          <w:color w:val="231F20"/>
          <w:sz w:val="14"/>
        </w:rPr>
        <w:t>on</w:t>
      </w:r>
      <w:r>
        <w:rPr>
          <w:color w:val="231F20"/>
          <w:spacing w:val="-1"/>
          <w:sz w:val="14"/>
        </w:rPr>
        <w:t xml:space="preserve"> </w:t>
      </w:r>
      <w:r>
        <w:rPr>
          <w:color w:val="231F20"/>
          <w:sz w:val="14"/>
        </w:rPr>
        <w:t>the</w:t>
      </w:r>
      <w:r>
        <w:rPr>
          <w:color w:val="231F20"/>
          <w:spacing w:val="-1"/>
          <w:sz w:val="14"/>
        </w:rPr>
        <w:t xml:space="preserve"> </w:t>
      </w:r>
      <w:r>
        <w:rPr>
          <w:color w:val="231F20"/>
          <w:sz w:val="14"/>
        </w:rPr>
        <w:t>same</w:t>
      </w:r>
      <w:r>
        <w:rPr>
          <w:color w:val="231F20"/>
          <w:spacing w:val="-1"/>
          <w:sz w:val="14"/>
        </w:rPr>
        <w:t xml:space="preserve"> </w:t>
      </w:r>
      <w:r>
        <w:rPr>
          <w:color w:val="231F20"/>
          <w:sz w:val="14"/>
        </w:rPr>
        <w:t>basis</w:t>
      </w:r>
      <w:r>
        <w:rPr>
          <w:color w:val="231F20"/>
          <w:spacing w:val="-2"/>
          <w:sz w:val="14"/>
        </w:rPr>
        <w:t xml:space="preserve"> </w:t>
      </w:r>
      <w:r>
        <w:rPr>
          <w:color w:val="231F20"/>
          <w:sz w:val="14"/>
        </w:rPr>
        <w:t>as</w:t>
      </w:r>
      <w:r>
        <w:rPr>
          <w:color w:val="231F20"/>
          <w:spacing w:val="-1"/>
          <w:sz w:val="14"/>
        </w:rPr>
        <w:t xml:space="preserve"> </w:t>
      </w:r>
      <w:r>
        <w:rPr>
          <w:color w:val="231F20"/>
          <w:sz w:val="14"/>
        </w:rPr>
        <w:t>the</w:t>
      </w:r>
      <w:r>
        <w:rPr>
          <w:color w:val="231F20"/>
          <w:spacing w:val="-1"/>
          <w:sz w:val="14"/>
        </w:rPr>
        <w:t xml:space="preserve"> </w:t>
      </w:r>
      <w:r>
        <w:rPr>
          <w:color w:val="231F20"/>
          <w:sz w:val="14"/>
        </w:rPr>
        <w:t>Annual</w:t>
      </w:r>
      <w:r>
        <w:rPr>
          <w:color w:val="231F20"/>
          <w:spacing w:val="-2"/>
          <w:sz w:val="14"/>
        </w:rPr>
        <w:t xml:space="preserve"> </w:t>
      </w:r>
      <w:r>
        <w:rPr>
          <w:color w:val="231F20"/>
          <w:sz w:val="14"/>
        </w:rPr>
        <w:t>Financial</w:t>
      </w:r>
      <w:r>
        <w:rPr>
          <w:color w:val="231F20"/>
          <w:spacing w:val="-1"/>
          <w:sz w:val="14"/>
        </w:rPr>
        <w:t xml:space="preserve"> </w:t>
      </w:r>
      <w:r>
        <w:rPr>
          <w:color w:val="231F20"/>
          <w:sz w:val="14"/>
        </w:rPr>
        <w:t>Statements</w:t>
      </w:r>
      <w:r>
        <w:rPr>
          <w:color w:val="231F20"/>
          <w:spacing w:val="-1"/>
          <w:sz w:val="14"/>
        </w:rPr>
        <w:t xml:space="preserve"> </w:t>
      </w:r>
      <w:r>
        <w:rPr>
          <w:color w:val="231F20"/>
          <w:sz w:val="14"/>
        </w:rPr>
        <w:t>due</w:t>
      </w:r>
      <w:r>
        <w:rPr>
          <w:color w:val="231F20"/>
          <w:spacing w:val="-1"/>
          <w:sz w:val="14"/>
        </w:rPr>
        <w:t xml:space="preserve"> </w:t>
      </w:r>
      <w:r>
        <w:rPr>
          <w:color w:val="231F20"/>
          <w:sz w:val="14"/>
        </w:rPr>
        <w:t>to</w:t>
      </w:r>
      <w:r>
        <w:rPr>
          <w:color w:val="231F20"/>
          <w:spacing w:val="-2"/>
          <w:sz w:val="14"/>
        </w:rPr>
        <w:t xml:space="preserve"> </w:t>
      </w:r>
      <w:r>
        <w:rPr>
          <w:color w:val="231F20"/>
          <w:sz w:val="14"/>
        </w:rPr>
        <w:t>differences</w:t>
      </w:r>
      <w:r>
        <w:rPr>
          <w:color w:val="231F20"/>
          <w:spacing w:val="-1"/>
          <w:sz w:val="14"/>
        </w:rPr>
        <w:t xml:space="preserve"> </w:t>
      </w:r>
      <w:r>
        <w:rPr>
          <w:color w:val="231F20"/>
          <w:sz w:val="14"/>
        </w:rPr>
        <w:t>in</w:t>
      </w:r>
      <w:r>
        <w:rPr>
          <w:color w:val="231F20"/>
          <w:spacing w:val="-1"/>
          <w:sz w:val="14"/>
        </w:rPr>
        <w:t xml:space="preserve"> </w:t>
      </w:r>
      <w:r>
        <w:rPr>
          <w:color w:val="231F20"/>
          <w:sz w:val="14"/>
        </w:rPr>
        <w:t>the</w:t>
      </w:r>
      <w:r>
        <w:rPr>
          <w:color w:val="231F20"/>
          <w:spacing w:val="-1"/>
          <w:sz w:val="14"/>
        </w:rPr>
        <w:t xml:space="preserve"> </w:t>
      </w:r>
      <w:r>
        <w:rPr>
          <w:color w:val="231F20"/>
          <w:sz w:val="14"/>
        </w:rPr>
        <w:t>mapping</w:t>
      </w:r>
      <w:r>
        <w:rPr>
          <w:color w:val="231F20"/>
          <w:spacing w:val="-2"/>
          <w:sz w:val="14"/>
        </w:rPr>
        <w:t xml:space="preserve"> </w:t>
      </w:r>
      <w:r>
        <w:rPr>
          <w:color w:val="231F20"/>
          <w:sz w:val="14"/>
        </w:rPr>
        <w:t>between</w:t>
      </w:r>
      <w:r>
        <w:rPr>
          <w:color w:val="231F20"/>
          <w:spacing w:val="-1"/>
          <w:sz w:val="14"/>
        </w:rPr>
        <w:t xml:space="preserve"> </w:t>
      </w:r>
      <w:r>
        <w:rPr>
          <w:color w:val="231F20"/>
          <w:sz w:val="14"/>
        </w:rPr>
        <w:t>Actuals</w:t>
      </w:r>
      <w:r>
        <w:rPr>
          <w:color w:val="231F20"/>
          <w:spacing w:val="-1"/>
          <w:sz w:val="14"/>
        </w:rPr>
        <w:t xml:space="preserve"> </w:t>
      </w:r>
      <w:r>
        <w:rPr>
          <w:color w:val="231F20"/>
          <w:sz w:val="14"/>
        </w:rPr>
        <w:t>and</w:t>
      </w:r>
      <w:r>
        <w:rPr>
          <w:color w:val="231F20"/>
          <w:spacing w:val="-1"/>
          <w:sz w:val="14"/>
        </w:rPr>
        <w:t xml:space="preserve"> </w:t>
      </w:r>
      <w:r>
        <w:rPr>
          <w:color w:val="231F20"/>
          <w:spacing w:val="-2"/>
          <w:sz w:val="14"/>
        </w:rPr>
        <w:t>Budget.</w:t>
      </w:r>
    </w:p>
    <w:p w14:paraId="3674F5AA" w14:textId="77777777" w:rsidR="00345EE3" w:rsidRDefault="00345EE3" w:rsidP="00345EE3">
      <w:pPr>
        <w:spacing w:before="27"/>
        <w:ind w:left="110"/>
        <w:rPr>
          <w:sz w:val="14"/>
        </w:rPr>
      </w:pPr>
      <w:r>
        <w:rPr>
          <w:color w:val="231F20"/>
          <w:sz w:val="14"/>
        </w:rPr>
        <w:t>*</w:t>
      </w:r>
      <w:r>
        <w:rPr>
          <w:color w:val="231F20"/>
          <w:spacing w:val="-4"/>
          <w:sz w:val="14"/>
        </w:rPr>
        <w:t xml:space="preserve"> </w:t>
      </w:r>
      <w:r>
        <w:rPr>
          <w:color w:val="231F20"/>
          <w:sz w:val="14"/>
        </w:rPr>
        <w:t>Opening</w:t>
      </w:r>
      <w:r>
        <w:rPr>
          <w:color w:val="231F20"/>
          <w:spacing w:val="-2"/>
          <w:sz w:val="14"/>
        </w:rPr>
        <w:t xml:space="preserve"> </w:t>
      </w:r>
      <w:r>
        <w:rPr>
          <w:color w:val="231F20"/>
          <w:sz w:val="14"/>
        </w:rPr>
        <w:t>balance</w:t>
      </w:r>
      <w:r>
        <w:rPr>
          <w:color w:val="231F20"/>
          <w:spacing w:val="-2"/>
          <w:sz w:val="14"/>
        </w:rPr>
        <w:t xml:space="preserve"> </w:t>
      </w:r>
      <w:r>
        <w:rPr>
          <w:color w:val="231F20"/>
          <w:sz w:val="14"/>
        </w:rPr>
        <w:t>1</w:t>
      </w:r>
      <w:r>
        <w:rPr>
          <w:color w:val="231F20"/>
          <w:spacing w:val="-2"/>
          <w:sz w:val="14"/>
        </w:rPr>
        <w:t xml:space="preserve"> </w:t>
      </w:r>
      <w:r>
        <w:rPr>
          <w:color w:val="231F20"/>
          <w:sz w:val="14"/>
        </w:rPr>
        <w:t>July</w:t>
      </w:r>
      <w:r>
        <w:rPr>
          <w:color w:val="231F20"/>
          <w:spacing w:val="-1"/>
          <w:sz w:val="14"/>
        </w:rPr>
        <w:t xml:space="preserve"> </w:t>
      </w:r>
      <w:r>
        <w:rPr>
          <w:color w:val="231F20"/>
          <w:spacing w:val="-4"/>
          <w:sz w:val="14"/>
        </w:rPr>
        <w:t>2021</w:t>
      </w:r>
    </w:p>
    <w:p w14:paraId="400144F0" w14:textId="77777777" w:rsidR="00345EE3" w:rsidRDefault="00345EE3" w:rsidP="00345EE3">
      <w:pPr>
        <w:rPr>
          <w:sz w:val="14"/>
        </w:rPr>
        <w:sectPr w:rsidR="00345EE3">
          <w:pgSz w:w="16840" w:h="11910" w:orient="landscape"/>
          <w:pgMar w:top="720" w:right="740" w:bottom="280" w:left="740" w:header="720" w:footer="720" w:gutter="0"/>
          <w:cols w:space="720"/>
        </w:sectPr>
      </w:pPr>
    </w:p>
    <w:p w14:paraId="6A7A78BF" w14:textId="77777777" w:rsidR="00345EE3" w:rsidRDefault="00345EE3" w:rsidP="00345EE3">
      <w:pPr>
        <w:pStyle w:val="BodyText"/>
        <w:spacing w:before="8" w:after="1"/>
        <w:rPr>
          <w:sz w:val="10"/>
        </w:rPr>
      </w:pPr>
    </w:p>
    <w:p w14:paraId="558004DF" w14:textId="77777777" w:rsidR="00DD03B2" w:rsidRPr="00DD03B2" w:rsidRDefault="00DD03B2" w:rsidP="00DD03B2">
      <w:pPr>
        <w:widowControl/>
        <w:suppressAutoHyphens/>
        <w:adjustRightInd w:val="0"/>
        <w:spacing w:after="28" w:line="230" w:lineRule="atLeast"/>
        <w:textAlignment w:val="center"/>
        <w:rPr>
          <w:rFonts w:eastAsia="Myriad Pro"/>
          <w:color w:val="000000"/>
          <w:lang w:val="en-GB"/>
        </w:rPr>
      </w:pPr>
      <w:r w:rsidRPr="00DD03B2">
        <w:rPr>
          <w:rFonts w:eastAsia="Myriad Pro"/>
          <w:color w:val="000000"/>
          <w:lang w:val="en-GB"/>
        </w:rPr>
        <w:t>Administered Items for the financial year ended 30 June 2022</w:t>
      </w:r>
    </w:p>
    <w:tbl>
      <w:tblPr>
        <w:tblW w:w="0" w:type="auto"/>
        <w:tblInd w:w="-8" w:type="dxa"/>
        <w:tblLayout w:type="fixed"/>
        <w:tblCellMar>
          <w:left w:w="0" w:type="dxa"/>
          <w:right w:w="0" w:type="dxa"/>
        </w:tblCellMar>
        <w:tblLook w:val="0000" w:firstRow="0" w:lastRow="0" w:firstColumn="0" w:lastColumn="0" w:noHBand="0" w:noVBand="0"/>
      </w:tblPr>
      <w:tblGrid>
        <w:gridCol w:w="9468"/>
        <w:gridCol w:w="1417"/>
        <w:gridCol w:w="1417"/>
        <w:gridCol w:w="1418"/>
        <w:gridCol w:w="1417"/>
      </w:tblGrid>
      <w:tr w:rsidR="00DD03B2" w:rsidRPr="00DD03B2" w14:paraId="284AB1CB" w14:textId="77777777" w:rsidTr="00485E73">
        <w:trPr>
          <w:trHeight w:val="60"/>
          <w:tblHeader/>
        </w:trPr>
        <w:tc>
          <w:tcPr>
            <w:tcW w:w="9468" w:type="dxa"/>
            <w:tcBorders>
              <w:top w:val="single" w:sz="6" w:space="0" w:color="000000"/>
              <w:left w:val="single" w:sz="6" w:space="0" w:color="000000"/>
              <w:bottom w:val="single" w:sz="6" w:space="0" w:color="9D9C9C"/>
              <w:right w:val="single" w:sz="2" w:space="0" w:color="FFFFFF"/>
            </w:tcBorders>
            <w:shd w:val="solid" w:color="004996" w:fill="auto"/>
            <w:tcMar>
              <w:top w:w="28" w:type="dxa"/>
              <w:left w:w="14" w:type="dxa"/>
              <w:bottom w:w="28" w:type="dxa"/>
              <w:right w:w="14" w:type="dxa"/>
            </w:tcMar>
          </w:tcPr>
          <w:p w14:paraId="2B47B747" w14:textId="77777777" w:rsidR="00DD03B2" w:rsidRPr="00DD03B2" w:rsidRDefault="00DD03B2" w:rsidP="00DD03B2">
            <w:pPr>
              <w:widowControl/>
              <w:adjustRightInd w:val="0"/>
              <w:rPr>
                <w:rFonts w:eastAsia="Myriad Pro"/>
                <w:sz w:val="24"/>
                <w:szCs w:val="24"/>
                <w:lang w:val="en-GB"/>
              </w:rPr>
            </w:pPr>
          </w:p>
        </w:tc>
        <w:tc>
          <w:tcPr>
            <w:tcW w:w="1417" w:type="dxa"/>
            <w:tcBorders>
              <w:top w:val="single" w:sz="6" w:space="0" w:color="000000"/>
              <w:left w:val="single" w:sz="2" w:space="0" w:color="FFFFFF"/>
              <w:bottom w:val="single" w:sz="6" w:space="0" w:color="9D9C9C"/>
              <w:right w:val="single" w:sz="2" w:space="0" w:color="FFFFFF"/>
            </w:tcBorders>
            <w:shd w:val="solid" w:color="004996" w:fill="auto"/>
            <w:tcMar>
              <w:top w:w="28" w:type="dxa"/>
              <w:left w:w="57" w:type="dxa"/>
              <w:bottom w:w="28" w:type="dxa"/>
              <w:right w:w="57" w:type="dxa"/>
            </w:tcMar>
          </w:tcPr>
          <w:p w14:paraId="794EF79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Actual</w:t>
            </w:r>
          </w:p>
        </w:tc>
        <w:tc>
          <w:tcPr>
            <w:tcW w:w="1417" w:type="dxa"/>
            <w:tcBorders>
              <w:top w:val="single" w:sz="6" w:space="0" w:color="000000"/>
              <w:left w:val="single" w:sz="2" w:space="0" w:color="FFFFFF"/>
              <w:bottom w:val="single" w:sz="6" w:space="0" w:color="9D9C9C"/>
              <w:right w:val="single" w:sz="2" w:space="0" w:color="FFFFFF"/>
            </w:tcBorders>
            <w:shd w:val="solid" w:color="004996" w:fill="auto"/>
            <w:tcMar>
              <w:top w:w="28" w:type="dxa"/>
              <w:left w:w="57" w:type="dxa"/>
              <w:bottom w:w="28" w:type="dxa"/>
              <w:right w:w="57" w:type="dxa"/>
            </w:tcMar>
          </w:tcPr>
          <w:p w14:paraId="657CF25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Budget</w:t>
            </w:r>
          </w:p>
        </w:tc>
        <w:tc>
          <w:tcPr>
            <w:tcW w:w="1418" w:type="dxa"/>
            <w:tcBorders>
              <w:top w:val="single" w:sz="6" w:space="0" w:color="000000"/>
              <w:left w:val="single" w:sz="2" w:space="0" w:color="FFFFFF"/>
              <w:bottom w:val="single" w:sz="6" w:space="0" w:color="9D9C9C"/>
              <w:right w:val="single" w:sz="2" w:space="0" w:color="FFFFFF"/>
            </w:tcBorders>
            <w:shd w:val="solid" w:color="004996" w:fill="auto"/>
            <w:tcMar>
              <w:top w:w="28" w:type="dxa"/>
              <w:left w:w="57" w:type="dxa"/>
              <w:bottom w:w="28" w:type="dxa"/>
              <w:right w:w="57" w:type="dxa"/>
            </w:tcMar>
          </w:tcPr>
          <w:p w14:paraId="0569939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 xml:space="preserve">Variance </w:t>
            </w:r>
          </w:p>
        </w:tc>
        <w:tc>
          <w:tcPr>
            <w:tcW w:w="1417" w:type="dxa"/>
            <w:tcBorders>
              <w:top w:val="single" w:sz="6" w:space="0" w:color="auto"/>
              <w:left w:val="single" w:sz="2" w:space="0" w:color="FFFFFF"/>
              <w:bottom w:val="single" w:sz="6" w:space="0" w:color="auto"/>
              <w:right w:val="single" w:sz="6" w:space="0" w:color="auto"/>
            </w:tcBorders>
            <w:shd w:val="solid" w:color="004996" w:fill="auto"/>
            <w:tcMar>
              <w:top w:w="28" w:type="dxa"/>
              <w:left w:w="57" w:type="dxa"/>
              <w:bottom w:w="28" w:type="dxa"/>
              <w:right w:w="57" w:type="dxa"/>
            </w:tcMar>
          </w:tcPr>
          <w:p w14:paraId="3E5043ED"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 xml:space="preserve">Variance </w:t>
            </w:r>
          </w:p>
        </w:tc>
      </w:tr>
      <w:tr w:rsidR="00DD03B2" w:rsidRPr="00DD03B2" w14:paraId="5D6A2D32" w14:textId="77777777" w:rsidTr="00485E73">
        <w:trPr>
          <w:trHeight w:val="60"/>
          <w:tblHeader/>
        </w:trPr>
        <w:tc>
          <w:tcPr>
            <w:tcW w:w="9468" w:type="dxa"/>
            <w:tcBorders>
              <w:top w:val="single" w:sz="6" w:space="0" w:color="9D9C9C"/>
              <w:left w:val="single" w:sz="6" w:space="0" w:color="000000"/>
              <w:bottom w:val="single" w:sz="6" w:space="0" w:color="9D9C9C"/>
              <w:right w:val="single" w:sz="2" w:space="0" w:color="FFFFFF"/>
            </w:tcBorders>
            <w:shd w:val="solid" w:color="004996" w:fill="auto"/>
            <w:tcMar>
              <w:top w:w="28" w:type="dxa"/>
              <w:left w:w="14" w:type="dxa"/>
              <w:bottom w:w="28" w:type="dxa"/>
              <w:right w:w="14" w:type="dxa"/>
            </w:tcMar>
          </w:tcPr>
          <w:p w14:paraId="5493724A" w14:textId="77777777" w:rsidR="00DD03B2" w:rsidRPr="00DD03B2" w:rsidRDefault="00DD03B2" w:rsidP="00DD03B2">
            <w:pPr>
              <w:widowControl/>
              <w:adjustRightInd w:val="0"/>
              <w:rPr>
                <w:rFonts w:eastAsia="Myriad Pro"/>
                <w:sz w:val="24"/>
                <w:szCs w:val="24"/>
                <w:lang w:val="en-GB"/>
              </w:rPr>
            </w:pPr>
          </w:p>
        </w:tc>
        <w:tc>
          <w:tcPr>
            <w:tcW w:w="1417" w:type="dxa"/>
            <w:tcBorders>
              <w:top w:val="single" w:sz="6" w:space="0" w:color="9D9C9C"/>
              <w:left w:val="single" w:sz="2" w:space="0" w:color="FFFFFF"/>
              <w:bottom w:val="single" w:sz="6" w:space="0" w:color="9D9C9C"/>
              <w:right w:val="single" w:sz="2" w:space="0" w:color="FFFFFF"/>
            </w:tcBorders>
            <w:shd w:val="solid" w:color="004996" w:fill="auto"/>
            <w:tcMar>
              <w:top w:w="28" w:type="dxa"/>
              <w:left w:w="57" w:type="dxa"/>
              <w:bottom w:w="28" w:type="dxa"/>
              <w:right w:w="57" w:type="dxa"/>
            </w:tcMar>
          </w:tcPr>
          <w:p w14:paraId="37946DE8"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$’000</w:t>
            </w:r>
          </w:p>
        </w:tc>
        <w:tc>
          <w:tcPr>
            <w:tcW w:w="1417" w:type="dxa"/>
            <w:tcBorders>
              <w:top w:val="single" w:sz="6" w:space="0" w:color="9D9C9C"/>
              <w:left w:val="single" w:sz="2" w:space="0" w:color="FFFFFF"/>
              <w:bottom w:val="single" w:sz="6" w:space="0" w:color="9D9C9C"/>
              <w:right w:val="single" w:sz="2" w:space="0" w:color="FFFFFF"/>
            </w:tcBorders>
            <w:shd w:val="solid" w:color="004996" w:fill="auto"/>
            <w:tcMar>
              <w:top w:w="28" w:type="dxa"/>
              <w:left w:w="57" w:type="dxa"/>
              <w:bottom w:w="28" w:type="dxa"/>
              <w:right w:w="57" w:type="dxa"/>
            </w:tcMar>
          </w:tcPr>
          <w:p w14:paraId="54491BC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$’000</w:t>
            </w:r>
          </w:p>
        </w:tc>
        <w:tc>
          <w:tcPr>
            <w:tcW w:w="1418" w:type="dxa"/>
            <w:tcBorders>
              <w:top w:val="single" w:sz="6" w:space="0" w:color="9D9C9C"/>
              <w:left w:val="single" w:sz="2" w:space="0" w:color="FFFFFF"/>
              <w:bottom w:val="single" w:sz="6" w:space="0" w:color="9D9C9C"/>
              <w:right w:val="single" w:sz="2" w:space="0" w:color="FFFFFF"/>
            </w:tcBorders>
            <w:shd w:val="solid" w:color="004996" w:fill="auto"/>
            <w:tcMar>
              <w:top w:w="28" w:type="dxa"/>
              <w:left w:w="57" w:type="dxa"/>
              <w:bottom w:w="28" w:type="dxa"/>
              <w:right w:w="57" w:type="dxa"/>
            </w:tcMar>
          </w:tcPr>
          <w:p w14:paraId="13BB412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$’000</w:t>
            </w:r>
          </w:p>
        </w:tc>
        <w:tc>
          <w:tcPr>
            <w:tcW w:w="1417" w:type="dxa"/>
            <w:tcBorders>
              <w:top w:val="single" w:sz="6" w:space="0" w:color="auto"/>
              <w:left w:val="single" w:sz="2" w:space="0" w:color="FFFFFF"/>
              <w:bottom w:val="single" w:sz="6" w:space="0" w:color="auto"/>
              <w:right w:val="single" w:sz="6" w:space="0" w:color="auto"/>
            </w:tcBorders>
            <w:shd w:val="solid" w:color="004996" w:fill="auto"/>
            <w:tcMar>
              <w:top w:w="28" w:type="dxa"/>
              <w:left w:w="57" w:type="dxa"/>
              <w:bottom w:w="28" w:type="dxa"/>
              <w:right w:w="57" w:type="dxa"/>
            </w:tcMar>
          </w:tcPr>
          <w:p w14:paraId="11BEBD2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w:t>
            </w:r>
          </w:p>
        </w:tc>
      </w:tr>
      <w:tr w:rsidR="00DD03B2" w:rsidRPr="00DD03B2" w14:paraId="45E35BDA" w14:textId="77777777" w:rsidTr="00485E73">
        <w:trPr>
          <w:trHeight w:val="60"/>
        </w:trPr>
        <w:tc>
          <w:tcPr>
            <w:tcW w:w="15137" w:type="dxa"/>
            <w:gridSpan w:val="5"/>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4D54B653"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ADMINISTERED OPERATING STATEMENT</w:t>
            </w:r>
          </w:p>
        </w:tc>
      </w:tr>
      <w:tr w:rsidR="00DD03B2" w:rsidRPr="00DD03B2" w14:paraId="5D1AB704" w14:textId="77777777" w:rsidTr="00485E73">
        <w:trPr>
          <w:trHeight w:val="60"/>
        </w:trPr>
        <w:tc>
          <w:tcPr>
            <w:tcW w:w="15137" w:type="dxa"/>
            <w:gridSpan w:val="5"/>
            <w:tcBorders>
              <w:top w:val="single" w:sz="2" w:space="0" w:color="9D9C9C"/>
              <w:left w:val="single" w:sz="6" w:space="0" w:color="000000"/>
              <w:bottom w:val="single" w:sz="2" w:space="0" w:color="9D9C9C"/>
              <w:right w:val="single" w:sz="2" w:space="0" w:color="9D9C9C"/>
            </w:tcBorders>
            <w:shd w:val="solid" w:color="DADAD9" w:fill="auto"/>
            <w:tcMar>
              <w:top w:w="28" w:type="dxa"/>
              <w:left w:w="14" w:type="dxa"/>
              <w:bottom w:w="28" w:type="dxa"/>
              <w:right w:w="14" w:type="dxa"/>
            </w:tcMar>
          </w:tcPr>
          <w:p w14:paraId="3E47A1E6"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Administered Income</w:t>
            </w:r>
          </w:p>
        </w:tc>
      </w:tr>
      <w:tr w:rsidR="00DD03B2" w:rsidRPr="00DD03B2" w14:paraId="4054EFCA"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64EBF2B6"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Interest</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4ACB1D4A"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4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6D2F6C4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17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4F5AF70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(13)</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6FC3A9C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-78%</w:t>
            </w:r>
          </w:p>
        </w:tc>
      </w:tr>
      <w:tr w:rsidR="00DD03B2" w:rsidRPr="00DD03B2" w14:paraId="2E71D5A6"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157FF0BA"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Sales of goods and services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6842C8F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39,398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65248AD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24,788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45EE3AA8"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14,610</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5F4D2ADA"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59%</w:t>
            </w:r>
          </w:p>
        </w:tc>
      </w:tr>
      <w:tr w:rsidR="00DD03B2" w:rsidRPr="00DD03B2" w14:paraId="69689022"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601DFCB9"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Grants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7975209E"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4,515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1D713E5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3,280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1C70791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1,235</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21E1AAF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38%</w:t>
            </w:r>
          </w:p>
        </w:tc>
      </w:tr>
      <w:tr w:rsidR="00DD03B2" w:rsidRPr="00DD03B2" w14:paraId="33976630" w14:textId="77777777" w:rsidTr="00485E73">
        <w:trPr>
          <w:trHeight w:val="60"/>
        </w:trPr>
        <w:tc>
          <w:tcPr>
            <w:tcW w:w="9468" w:type="dxa"/>
            <w:tcBorders>
              <w:top w:val="single" w:sz="2" w:space="0" w:color="9D9C9C"/>
              <w:left w:val="single" w:sz="6" w:space="0" w:color="000000"/>
              <w:bottom w:val="single" w:sz="2" w:space="0" w:color="000000"/>
              <w:right w:val="single" w:sz="2" w:space="0" w:color="9D9C9C"/>
            </w:tcBorders>
            <w:tcMar>
              <w:top w:w="28" w:type="dxa"/>
              <w:left w:w="14" w:type="dxa"/>
              <w:bottom w:w="28" w:type="dxa"/>
              <w:right w:w="14" w:type="dxa"/>
            </w:tcMar>
          </w:tcPr>
          <w:p w14:paraId="6B6E505A"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Other income</w:t>
            </w:r>
          </w:p>
        </w:tc>
        <w:tc>
          <w:tcPr>
            <w:tcW w:w="1417" w:type="dxa"/>
            <w:tcBorders>
              <w:top w:val="single" w:sz="2" w:space="0" w:color="9D9C9C"/>
              <w:left w:val="single" w:sz="2" w:space="0" w:color="9D9C9C"/>
              <w:bottom w:val="single" w:sz="2" w:space="0" w:color="000000"/>
              <w:right w:val="single" w:sz="2" w:space="0" w:color="9D9C9C"/>
            </w:tcBorders>
            <w:shd w:val="solid" w:color="ECECEC" w:fill="auto"/>
            <w:tcMar>
              <w:top w:w="28" w:type="dxa"/>
              <w:left w:w="57" w:type="dxa"/>
              <w:bottom w:w="28" w:type="dxa"/>
              <w:right w:w="57" w:type="dxa"/>
            </w:tcMar>
          </w:tcPr>
          <w:p w14:paraId="020D6B09"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31,834 </w:t>
            </w:r>
          </w:p>
        </w:tc>
        <w:tc>
          <w:tcPr>
            <w:tcW w:w="1417"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57CFDFC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3,243 </w:t>
            </w:r>
          </w:p>
        </w:tc>
        <w:tc>
          <w:tcPr>
            <w:tcW w:w="1418"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5CC7E4C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28,591</w:t>
            </w:r>
          </w:p>
        </w:tc>
        <w:tc>
          <w:tcPr>
            <w:tcW w:w="1417" w:type="dxa"/>
            <w:tcBorders>
              <w:top w:val="single" w:sz="2" w:space="0" w:color="9D9C9C"/>
              <w:left w:val="single" w:sz="2" w:space="0" w:color="9D9C9C"/>
              <w:bottom w:val="single" w:sz="2" w:space="0" w:color="000000"/>
              <w:right w:val="single" w:sz="6" w:space="0" w:color="9D9C9C"/>
            </w:tcBorders>
            <w:tcMar>
              <w:top w:w="28" w:type="dxa"/>
              <w:left w:w="57" w:type="dxa"/>
              <w:bottom w:w="28" w:type="dxa"/>
              <w:right w:w="57" w:type="dxa"/>
            </w:tcMar>
          </w:tcPr>
          <w:p w14:paraId="7B9F915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882%</w:t>
            </w:r>
          </w:p>
        </w:tc>
      </w:tr>
      <w:tr w:rsidR="00DD03B2" w:rsidRPr="00DD03B2" w14:paraId="5CE5AF2B" w14:textId="77777777" w:rsidTr="00485E73">
        <w:trPr>
          <w:trHeight w:val="60"/>
        </w:trPr>
        <w:tc>
          <w:tcPr>
            <w:tcW w:w="9468" w:type="dxa"/>
            <w:tcBorders>
              <w:top w:val="single" w:sz="2" w:space="0" w:color="000000"/>
              <w:left w:val="single" w:sz="6" w:space="0" w:color="000000"/>
              <w:bottom w:val="single" w:sz="2" w:space="0" w:color="9D9C9C"/>
              <w:right w:val="single" w:sz="2" w:space="0" w:color="9D9C9C"/>
            </w:tcBorders>
            <w:tcMar>
              <w:top w:w="28" w:type="dxa"/>
              <w:left w:w="14" w:type="dxa"/>
              <w:bottom w:w="28" w:type="dxa"/>
              <w:right w:w="14" w:type="dxa"/>
            </w:tcMar>
          </w:tcPr>
          <w:p w14:paraId="5238001A"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Total Administered Income</w:t>
            </w:r>
          </w:p>
        </w:tc>
        <w:tc>
          <w:tcPr>
            <w:tcW w:w="1417" w:type="dxa"/>
            <w:tcBorders>
              <w:top w:val="single" w:sz="2" w:space="0" w:color="000000"/>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4968B5E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75,751 </w:t>
            </w:r>
          </w:p>
        </w:tc>
        <w:tc>
          <w:tcPr>
            <w:tcW w:w="1417" w:type="dxa"/>
            <w:tcBorders>
              <w:top w:val="single" w:sz="2" w:space="0" w:color="000000"/>
              <w:left w:val="single" w:sz="2" w:space="0" w:color="9D9C9C"/>
              <w:bottom w:val="single" w:sz="2" w:space="0" w:color="9D9C9C"/>
              <w:right w:val="single" w:sz="2" w:space="0" w:color="9D9C9C"/>
            </w:tcBorders>
            <w:tcMar>
              <w:top w:w="28" w:type="dxa"/>
              <w:left w:w="57" w:type="dxa"/>
              <w:bottom w:w="28" w:type="dxa"/>
              <w:right w:w="57" w:type="dxa"/>
            </w:tcMar>
          </w:tcPr>
          <w:p w14:paraId="5117D55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31,328 </w:t>
            </w:r>
          </w:p>
        </w:tc>
        <w:tc>
          <w:tcPr>
            <w:tcW w:w="1418" w:type="dxa"/>
            <w:tcBorders>
              <w:top w:val="single" w:sz="2" w:space="0" w:color="000000"/>
              <w:left w:val="single" w:sz="2" w:space="0" w:color="9D9C9C"/>
              <w:bottom w:val="single" w:sz="2" w:space="0" w:color="9D9C9C"/>
              <w:right w:val="single" w:sz="2" w:space="0" w:color="9D9C9C"/>
            </w:tcBorders>
            <w:tcMar>
              <w:top w:w="28" w:type="dxa"/>
              <w:left w:w="57" w:type="dxa"/>
              <w:bottom w:w="28" w:type="dxa"/>
              <w:right w:w="57" w:type="dxa"/>
            </w:tcMar>
          </w:tcPr>
          <w:p w14:paraId="1A60EDDC"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44,423</w:t>
            </w:r>
          </w:p>
        </w:tc>
        <w:tc>
          <w:tcPr>
            <w:tcW w:w="1417" w:type="dxa"/>
            <w:tcBorders>
              <w:top w:val="single" w:sz="2" w:space="0" w:color="000000"/>
              <w:left w:val="single" w:sz="2" w:space="0" w:color="9D9C9C"/>
              <w:bottom w:val="single" w:sz="2" w:space="0" w:color="9D9C9C"/>
              <w:right w:val="single" w:sz="6" w:space="0" w:color="9D9C9C"/>
            </w:tcBorders>
            <w:tcMar>
              <w:top w:w="28" w:type="dxa"/>
              <w:left w:w="14" w:type="dxa"/>
              <w:bottom w:w="28" w:type="dxa"/>
              <w:right w:w="14" w:type="dxa"/>
            </w:tcMar>
          </w:tcPr>
          <w:p w14:paraId="1391D6A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142%</w:t>
            </w:r>
          </w:p>
        </w:tc>
      </w:tr>
      <w:tr w:rsidR="00DD03B2" w:rsidRPr="00DD03B2" w14:paraId="66443311" w14:textId="77777777" w:rsidTr="00485E73">
        <w:trPr>
          <w:trHeight w:val="60"/>
        </w:trPr>
        <w:tc>
          <w:tcPr>
            <w:tcW w:w="15137" w:type="dxa"/>
            <w:gridSpan w:val="5"/>
            <w:tcBorders>
              <w:top w:val="single" w:sz="2" w:space="0" w:color="9D9C9C"/>
              <w:left w:val="single" w:sz="6" w:space="0" w:color="000000"/>
              <w:bottom w:val="single" w:sz="2" w:space="0" w:color="9D9C9C"/>
              <w:right w:val="single" w:sz="2" w:space="0" w:color="9D9C9C"/>
            </w:tcBorders>
            <w:shd w:val="solid" w:color="DADAD9" w:fill="auto"/>
            <w:tcMar>
              <w:top w:w="28" w:type="dxa"/>
              <w:left w:w="14" w:type="dxa"/>
              <w:bottom w:w="28" w:type="dxa"/>
              <w:right w:w="14" w:type="dxa"/>
            </w:tcMar>
          </w:tcPr>
          <w:p w14:paraId="727DFC47"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Administered Expenses</w:t>
            </w:r>
          </w:p>
        </w:tc>
      </w:tr>
      <w:tr w:rsidR="00DD03B2" w:rsidRPr="00DD03B2" w14:paraId="578F185F"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6167F601"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Employee expenses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6C55749A"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3,848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25673BE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3,375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0471951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473</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14713F1E"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14%</w:t>
            </w:r>
          </w:p>
        </w:tc>
      </w:tr>
      <w:tr w:rsidR="00DD03B2" w:rsidRPr="00DD03B2" w14:paraId="504B04AB"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27A6D060"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Depreciation</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4594C0E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76B82E9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4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12E008D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(3)</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37BFB33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-87%</w:t>
            </w:r>
          </w:p>
        </w:tc>
      </w:tr>
      <w:tr w:rsidR="00DD03B2" w:rsidRPr="00DD03B2" w14:paraId="1C03B4DA"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68FEFD18"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Payments into the consolidated fund</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19406DE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43,856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57C58EE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26,135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51095A5D"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17,721</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6EDC7F1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68%</w:t>
            </w:r>
          </w:p>
        </w:tc>
      </w:tr>
      <w:tr w:rsidR="00DD03B2" w:rsidRPr="00DD03B2" w14:paraId="68FDC3FE" w14:textId="77777777" w:rsidTr="00485E73">
        <w:trPr>
          <w:trHeight w:val="60"/>
        </w:trPr>
        <w:tc>
          <w:tcPr>
            <w:tcW w:w="9468" w:type="dxa"/>
            <w:tcBorders>
              <w:top w:val="single" w:sz="2" w:space="0" w:color="9D9C9C"/>
              <w:left w:val="single" w:sz="6" w:space="0" w:color="000000"/>
              <w:bottom w:val="single" w:sz="2" w:space="0" w:color="000000"/>
              <w:right w:val="single" w:sz="2" w:space="0" w:color="9D9C9C"/>
            </w:tcBorders>
            <w:tcMar>
              <w:top w:w="28" w:type="dxa"/>
              <w:left w:w="14" w:type="dxa"/>
              <w:bottom w:w="28" w:type="dxa"/>
              <w:right w:w="14" w:type="dxa"/>
            </w:tcMar>
          </w:tcPr>
          <w:p w14:paraId="553DC478"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Other operating expenses</w:t>
            </w:r>
          </w:p>
        </w:tc>
        <w:tc>
          <w:tcPr>
            <w:tcW w:w="1417" w:type="dxa"/>
            <w:tcBorders>
              <w:top w:val="single" w:sz="2" w:space="0" w:color="9D9C9C"/>
              <w:left w:val="single" w:sz="2" w:space="0" w:color="9D9C9C"/>
              <w:bottom w:val="single" w:sz="2" w:space="0" w:color="000000"/>
              <w:right w:val="single" w:sz="2" w:space="0" w:color="9D9C9C"/>
            </w:tcBorders>
            <w:shd w:val="solid" w:color="ECECEC" w:fill="auto"/>
            <w:tcMar>
              <w:top w:w="28" w:type="dxa"/>
              <w:left w:w="57" w:type="dxa"/>
              <w:bottom w:w="28" w:type="dxa"/>
              <w:right w:w="57" w:type="dxa"/>
            </w:tcMar>
          </w:tcPr>
          <w:p w14:paraId="3DA70F0E"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28,638 </w:t>
            </w:r>
          </w:p>
        </w:tc>
        <w:tc>
          <w:tcPr>
            <w:tcW w:w="1417"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4CF94F4C"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1,023 </w:t>
            </w:r>
          </w:p>
        </w:tc>
        <w:tc>
          <w:tcPr>
            <w:tcW w:w="1418"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1363EDD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27,615</w:t>
            </w:r>
          </w:p>
        </w:tc>
        <w:tc>
          <w:tcPr>
            <w:tcW w:w="1417" w:type="dxa"/>
            <w:tcBorders>
              <w:top w:val="single" w:sz="2" w:space="0" w:color="9D9C9C"/>
              <w:left w:val="single" w:sz="2" w:space="0" w:color="9D9C9C"/>
              <w:bottom w:val="single" w:sz="2" w:space="0" w:color="000000"/>
              <w:right w:val="single" w:sz="6" w:space="0" w:color="9D9C9C"/>
            </w:tcBorders>
            <w:tcMar>
              <w:top w:w="28" w:type="dxa"/>
              <w:left w:w="14" w:type="dxa"/>
              <w:bottom w:w="28" w:type="dxa"/>
              <w:right w:w="14" w:type="dxa"/>
            </w:tcMar>
          </w:tcPr>
          <w:p w14:paraId="7BA7A1F9"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2699%</w:t>
            </w:r>
          </w:p>
        </w:tc>
      </w:tr>
      <w:tr w:rsidR="00DD03B2" w:rsidRPr="00DD03B2" w14:paraId="33DA1FA3" w14:textId="77777777" w:rsidTr="00485E73">
        <w:trPr>
          <w:trHeight w:val="60"/>
        </w:trPr>
        <w:tc>
          <w:tcPr>
            <w:tcW w:w="9468" w:type="dxa"/>
            <w:tcBorders>
              <w:top w:val="single" w:sz="2" w:space="0" w:color="000000"/>
              <w:left w:val="single" w:sz="6" w:space="0" w:color="000000"/>
              <w:bottom w:val="single" w:sz="2" w:space="0" w:color="000000"/>
              <w:right w:val="single" w:sz="2" w:space="0" w:color="9D9C9C"/>
            </w:tcBorders>
            <w:tcMar>
              <w:top w:w="28" w:type="dxa"/>
              <w:left w:w="14" w:type="dxa"/>
              <w:bottom w:w="28" w:type="dxa"/>
              <w:right w:w="14" w:type="dxa"/>
            </w:tcMar>
          </w:tcPr>
          <w:p w14:paraId="6A54CEE6"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Total Administered Expenses</w:t>
            </w:r>
          </w:p>
        </w:tc>
        <w:tc>
          <w:tcPr>
            <w:tcW w:w="1417" w:type="dxa"/>
            <w:tcBorders>
              <w:top w:val="single" w:sz="2" w:space="0" w:color="000000"/>
              <w:left w:val="single" w:sz="2" w:space="0" w:color="9D9C9C"/>
              <w:bottom w:val="single" w:sz="2" w:space="0" w:color="000000"/>
              <w:right w:val="single" w:sz="2" w:space="0" w:color="9D9C9C"/>
            </w:tcBorders>
            <w:shd w:val="solid" w:color="ECECEC" w:fill="auto"/>
            <w:tcMar>
              <w:top w:w="28" w:type="dxa"/>
              <w:left w:w="57" w:type="dxa"/>
              <w:bottom w:w="28" w:type="dxa"/>
              <w:right w:w="57" w:type="dxa"/>
            </w:tcMar>
          </w:tcPr>
          <w:p w14:paraId="52922F69"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76,343 </w:t>
            </w:r>
          </w:p>
        </w:tc>
        <w:tc>
          <w:tcPr>
            <w:tcW w:w="1417" w:type="dxa"/>
            <w:tcBorders>
              <w:top w:val="single" w:sz="2" w:space="0" w:color="000000"/>
              <w:left w:val="single" w:sz="2" w:space="0" w:color="9D9C9C"/>
              <w:bottom w:val="single" w:sz="2" w:space="0" w:color="000000"/>
              <w:right w:val="single" w:sz="2" w:space="0" w:color="9D9C9C"/>
            </w:tcBorders>
            <w:tcMar>
              <w:top w:w="28" w:type="dxa"/>
              <w:left w:w="57" w:type="dxa"/>
              <w:bottom w:w="28" w:type="dxa"/>
              <w:right w:w="57" w:type="dxa"/>
            </w:tcMar>
          </w:tcPr>
          <w:p w14:paraId="4D31B18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30,537 </w:t>
            </w:r>
          </w:p>
        </w:tc>
        <w:tc>
          <w:tcPr>
            <w:tcW w:w="1418" w:type="dxa"/>
            <w:tcBorders>
              <w:top w:val="single" w:sz="2" w:space="0" w:color="000000"/>
              <w:left w:val="single" w:sz="2" w:space="0" w:color="9D9C9C"/>
              <w:bottom w:val="single" w:sz="2" w:space="0" w:color="000000"/>
              <w:right w:val="single" w:sz="2" w:space="0" w:color="9D9C9C"/>
            </w:tcBorders>
            <w:tcMar>
              <w:top w:w="28" w:type="dxa"/>
              <w:left w:w="57" w:type="dxa"/>
              <w:bottom w:w="28" w:type="dxa"/>
              <w:right w:w="57" w:type="dxa"/>
            </w:tcMar>
          </w:tcPr>
          <w:p w14:paraId="06744E7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45,806</w:t>
            </w:r>
          </w:p>
        </w:tc>
        <w:tc>
          <w:tcPr>
            <w:tcW w:w="1417" w:type="dxa"/>
            <w:tcBorders>
              <w:top w:val="single" w:sz="2" w:space="0" w:color="000000"/>
              <w:left w:val="single" w:sz="2" w:space="0" w:color="9D9C9C"/>
              <w:bottom w:val="single" w:sz="2" w:space="0" w:color="000000"/>
              <w:right w:val="single" w:sz="6" w:space="0" w:color="9D9C9C"/>
            </w:tcBorders>
            <w:tcMar>
              <w:top w:w="28" w:type="dxa"/>
              <w:left w:w="14" w:type="dxa"/>
              <w:bottom w:w="28" w:type="dxa"/>
              <w:right w:w="14" w:type="dxa"/>
            </w:tcMar>
          </w:tcPr>
          <w:p w14:paraId="36F36E4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150%</w:t>
            </w:r>
          </w:p>
        </w:tc>
      </w:tr>
      <w:tr w:rsidR="00DD03B2" w:rsidRPr="00DD03B2" w14:paraId="6F6E45A9" w14:textId="77777777" w:rsidTr="00485E73">
        <w:trPr>
          <w:trHeight w:val="60"/>
        </w:trPr>
        <w:tc>
          <w:tcPr>
            <w:tcW w:w="9468" w:type="dxa"/>
            <w:tcBorders>
              <w:top w:val="single" w:sz="2" w:space="0" w:color="000000"/>
              <w:left w:val="single" w:sz="6" w:space="0" w:color="000000"/>
              <w:bottom w:val="single" w:sz="2" w:space="0" w:color="9D9C9C"/>
              <w:right w:val="single" w:sz="2" w:space="0" w:color="9D9C9C"/>
            </w:tcBorders>
            <w:tcMar>
              <w:top w:w="28" w:type="dxa"/>
              <w:left w:w="14" w:type="dxa"/>
              <w:bottom w:w="28" w:type="dxa"/>
              <w:right w:w="14" w:type="dxa"/>
            </w:tcMar>
          </w:tcPr>
          <w:p w14:paraId="51FC907F"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Income Less Expenses</w:t>
            </w:r>
          </w:p>
        </w:tc>
        <w:tc>
          <w:tcPr>
            <w:tcW w:w="1417" w:type="dxa"/>
            <w:tcBorders>
              <w:top w:val="single" w:sz="2" w:space="0" w:color="000000"/>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614041A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(592)</w:t>
            </w:r>
          </w:p>
        </w:tc>
        <w:tc>
          <w:tcPr>
            <w:tcW w:w="1417" w:type="dxa"/>
            <w:tcBorders>
              <w:top w:val="single" w:sz="2" w:space="0" w:color="000000"/>
              <w:left w:val="single" w:sz="2" w:space="0" w:color="9D9C9C"/>
              <w:bottom w:val="single" w:sz="2" w:space="0" w:color="9D9C9C"/>
              <w:right w:val="single" w:sz="2" w:space="0" w:color="9D9C9C"/>
            </w:tcBorders>
            <w:tcMar>
              <w:top w:w="28" w:type="dxa"/>
              <w:left w:w="57" w:type="dxa"/>
              <w:bottom w:w="28" w:type="dxa"/>
              <w:right w:w="57" w:type="dxa"/>
            </w:tcMar>
          </w:tcPr>
          <w:p w14:paraId="7922DA7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791 </w:t>
            </w:r>
          </w:p>
        </w:tc>
        <w:tc>
          <w:tcPr>
            <w:tcW w:w="1418" w:type="dxa"/>
            <w:tcBorders>
              <w:top w:val="single" w:sz="2" w:space="0" w:color="000000"/>
              <w:left w:val="single" w:sz="2" w:space="0" w:color="9D9C9C"/>
              <w:bottom w:val="single" w:sz="2" w:space="0" w:color="9D9C9C"/>
              <w:right w:val="single" w:sz="2" w:space="0" w:color="9D9C9C"/>
            </w:tcBorders>
            <w:tcMar>
              <w:top w:w="28" w:type="dxa"/>
              <w:left w:w="57" w:type="dxa"/>
              <w:bottom w:w="28" w:type="dxa"/>
              <w:right w:w="57" w:type="dxa"/>
            </w:tcMar>
          </w:tcPr>
          <w:p w14:paraId="4923CF5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(1,383)</w:t>
            </w:r>
          </w:p>
        </w:tc>
        <w:tc>
          <w:tcPr>
            <w:tcW w:w="1417" w:type="dxa"/>
            <w:tcBorders>
              <w:top w:val="single" w:sz="2" w:space="0" w:color="000000"/>
              <w:left w:val="single" w:sz="2" w:space="0" w:color="9D9C9C"/>
              <w:bottom w:val="single" w:sz="2" w:space="0" w:color="9D9C9C"/>
              <w:right w:val="single" w:sz="6" w:space="0" w:color="9D9C9C"/>
            </w:tcBorders>
            <w:tcMar>
              <w:top w:w="28" w:type="dxa"/>
              <w:left w:w="14" w:type="dxa"/>
              <w:bottom w:w="28" w:type="dxa"/>
              <w:right w:w="14" w:type="dxa"/>
            </w:tcMar>
          </w:tcPr>
          <w:p w14:paraId="7DD5000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-175%</w:t>
            </w:r>
          </w:p>
        </w:tc>
      </w:tr>
      <w:tr w:rsidR="00DD03B2" w:rsidRPr="00DD03B2" w14:paraId="05244A2B" w14:textId="77777777" w:rsidTr="00485E73">
        <w:trPr>
          <w:trHeight w:val="60"/>
        </w:trPr>
        <w:tc>
          <w:tcPr>
            <w:tcW w:w="15137" w:type="dxa"/>
            <w:gridSpan w:val="5"/>
            <w:tcBorders>
              <w:top w:val="single" w:sz="2" w:space="0" w:color="9D9C9C"/>
              <w:left w:val="single" w:sz="6" w:space="0" w:color="000000"/>
              <w:bottom w:val="single" w:sz="2" w:space="0" w:color="9D9C9C"/>
              <w:right w:val="single" w:sz="2" w:space="0" w:color="9D9C9C"/>
            </w:tcBorders>
            <w:shd w:val="solid" w:color="DADAD9" w:fill="auto"/>
            <w:tcMar>
              <w:top w:w="28" w:type="dxa"/>
              <w:left w:w="14" w:type="dxa"/>
              <w:bottom w:w="28" w:type="dxa"/>
              <w:right w:w="14" w:type="dxa"/>
            </w:tcMar>
          </w:tcPr>
          <w:p w14:paraId="747344D3"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Other Economic Flows Included In Net Result</w:t>
            </w:r>
          </w:p>
        </w:tc>
      </w:tr>
      <w:tr w:rsidR="00DD03B2" w:rsidRPr="00DD03B2" w14:paraId="4277409F"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5C3DFC4E"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Net gain/(loss) on non-financial assets and other economic flows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51052E6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1,161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4ED1043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700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439CC9E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461</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70FA03F8"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66%</w:t>
            </w:r>
          </w:p>
        </w:tc>
      </w:tr>
      <w:tr w:rsidR="00DD03B2" w:rsidRPr="00DD03B2" w14:paraId="4EB24D3D"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73F6F398"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Net gain/(loss) on financial instruments and statutory receivables/payables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63EBF44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(26)</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6E06E43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 -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196CFF93"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(26)</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059560E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0%</w:t>
            </w:r>
          </w:p>
        </w:tc>
      </w:tr>
      <w:tr w:rsidR="00DD03B2" w:rsidRPr="00DD03B2" w14:paraId="1B1C54DD"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2949EB2A"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Other gains/(losses)from other economic flows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13CF611C"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17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15CD212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 -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797D8E8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17</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60D3096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0%</w:t>
            </w:r>
          </w:p>
        </w:tc>
      </w:tr>
      <w:tr w:rsidR="00DD03B2" w:rsidRPr="00DD03B2" w14:paraId="3D659661"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28F06EB7"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Total Other Economic Flows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2AD42073"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1,152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26ED979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700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03DC93E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452</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4023EDC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65%</w:t>
            </w:r>
          </w:p>
        </w:tc>
      </w:tr>
      <w:tr w:rsidR="00DD03B2" w:rsidRPr="00DD03B2" w14:paraId="5E50D876"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7D46CBB8"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Net Result</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200252CC"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560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142F26D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1,491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6FF0D71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(931)</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0577C1C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-62%</w:t>
            </w:r>
          </w:p>
        </w:tc>
      </w:tr>
      <w:tr w:rsidR="00DD03B2" w:rsidRPr="00DD03B2" w14:paraId="646EF9C2" w14:textId="77777777" w:rsidTr="00485E73">
        <w:trPr>
          <w:trHeight w:val="60"/>
        </w:trPr>
        <w:tc>
          <w:tcPr>
            <w:tcW w:w="15137" w:type="dxa"/>
            <w:gridSpan w:val="5"/>
            <w:tcBorders>
              <w:top w:val="single" w:sz="2" w:space="0" w:color="9D9C9C"/>
              <w:left w:val="single" w:sz="6" w:space="0" w:color="000000"/>
              <w:bottom w:val="single" w:sz="2" w:space="0" w:color="9D9C9C"/>
              <w:right w:val="single" w:sz="2" w:space="0" w:color="9D9C9C"/>
            </w:tcBorders>
            <w:shd w:val="solid" w:color="DADAD9" w:fill="auto"/>
            <w:tcMar>
              <w:top w:w="28" w:type="dxa"/>
              <w:left w:w="14" w:type="dxa"/>
              <w:bottom w:w="28" w:type="dxa"/>
              <w:right w:w="14" w:type="dxa"/>
            </w:tcMar>
          </w:tcPr>
          <w:p w14:paraId="5E8D0E6B"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Other Economic Flows – Other Non Owner Changes In Equity</w:t>
            </w:r>
          </w:p>
        </w:tc>
      </w:tr>
      <w:tr w:rsidR="00DD03B2" w:rsidRPr="00DD03B2" w14:paraId="1E6DB42F" w14:textId="77777777" w:rsidTr="00485E73">
        <w:trPr>
          <w:trHeight w:val="60"/>
        </w:trPr>
        <w:tc>
          <w:tcPr>
            <w:tcW w:w="9468" w:type="dxa"/>
            <w:tcBorders>
              <w:top w:val="single" w:sz="2" w:space="0" w:color="9D9C9C"/>
              <w:left w:val="single" w:sz="6" w:space="0" w:color="000000"/>
              <w:bottom w:val="single" w:sz="2" w:space="0" w:color="000000"/>
              <w:right w:val="single" w:sz="2" w:space="0" w:color="9D9C9C"/>
            </w:tcBorders>
            <w:tcMar>
              <w:top w:w="28" w:type="dxa"/>
              <w:left w:w="14" w:type="dxa"/>
              <w:bottom w:w="28" w:type="dxa"/>
              <w:right w:w="14" w:type="dxa"/>
            </w:tcMar>
          </w:tcPr>
          <w:p w14:paraId="10706DFB"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Other non owner changes in equity</w:t>
            </w:r>
          </w:p>
        </w:tc>
        <w:tc>
          <w:tcPr>
            <w:tcW w:w="1417" w:type="dxa"/>
            <w:tcBorders>
              <w:top w:val="single" w:sz="2" w:space="0" w:color="9D9C9C"/>
              <w:left w:val="single" w:sz="2" w:space="0" w:color="9D9C9C"/>
              <w:bottom w:val="single" w:sz="2" w:space="0" w:color="000000"/>
              <w:right w:val="single" w:sz="2" w:space="0" w:color="9D9C9C"/>
            </w:tcBorders>
            <w:shd w:val="solid" w:color="ECECEC" w:fill="auto"/>
            <w:tcMar>
              <w:top w:w="28" w:type="dxa"/>
              <w:left w:w="57" w:type="dxa"/>
              <w:bottom w:w="28" w:type="dxa"/>
              <w:right w:w="57" w:type="dxa"/>
            </w:tcMar>
          </w:tcPr>
          <w:p w14:paraId="4437FC3E"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32D4A9F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 -   </w:t>
            </w:r>
          </w:p>
        </w:tc>
        <w:tc>
          <w:tcPr>
            <w:tcW w:w="1418"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238A5C7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000000"/>
              <w:right w:val="single" w:sz="6" w:space="0" w:color="9D9C9C"/>
            </w:tcBorders>
            <w:tcMar>
              <w:top w:w="28" w:type="dxa"/>
              <w:left w:w="57" w:type="dxa"/>
              <w:bottom w:w="28" w:type="dxa"/>
              <w:right w:w="57" w:type="dxa"/>
            </w:tcMar>
          </w:tcPr>
          <w:p w14:paraId="0E09863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0%</w:t>
            </w:r>
          </w:p>
        </w:tc>
      </w:tr>
      <w:tr w:rsidR="00DD03B2" w:rsidRPr="00DD03B2" w14:paraId="72C015E0" w14:textId="77777777" w:rsidTr="00485E73">
        <w:trPr>
          <w:trHeight w:val="60"/>
        </w:trPr>
        <w:tc>
          <w:tcPr>
            <w:tcW w:w="9468" w:type="dxa"/>
            <w:tcBorders>
              <w:top w:val="single" w:sz="2" w:space="0" w:color="000000"/>
              <w:left w:val="single" w:sz="6" w:space="0" w:color="000000"/>
              <w:bottom w:val="single" w:sz="2" w:space="0" w:color="000000"/>
              <w:right w:val="single" w:sz="2" w:space="0" w:color="9D9C9C"/>
            </w:tcBorders>
            <w:tcMar>
              <w:top w:w="28" w:type="dxa"/>
              <w:left w:w="14" w:type="dxa"/>
              <w:bottom w:w="28" w:type="dxa"/>
              <w:right w:w="14" w:type="dxa"/>
            </w:tcMar>
          </w:tcPr>
          <w:p w14:paraId="71A63342"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Total other economic flows – Other Non Owner Changes In Equity</w:t>
            </w:r>
          </w:p>
        </w:tc>
        <w:tc>
          <w:tcPr>
            <w:tcW w:w="1417" w:type="dxa"/>
            <w:tcBorders>
              <w:top w:val="single" w:sz="2" w:space="0" w:color="000000"/>
              <w:left w:val="single" w:sz="2" w:space="0" w:color="9D9C9C"/>
              <w:bottom w:val="single" w:sz="2" w:space="0" w:color="000000"/>
              <w:right w:val="single" w:sz="2" w:space="0" w:color="9D9C9C"/>
            </w:tcBorders>
            <w:shd w:val="solid" w:color="ECECEC" w:fill="auto"/>
            <w:tcMar>
              <w:top w:w="28" w:type="dxa"/>
              <w:left w:w="57" w:type="dxa"/>
              <w:bottom w:w="28" w:type="dxa"/>
              <w:right w:w="57" w:type="dxa"/>
            </w:tcMar>
          </w:tcPr>
          <w:p w14:paraId="1009500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 -   </w:t>
            </w:r>
          </w:p>
        </w:tc>
        <w:tc>
          <w:tcPr>
            <w:tcW w:w="1417" w:type="dxa"/>
            <w:tcBorders>
              <w:top w:val="single" w:sz="2" w:space="0" w:color="000000"/>
              <w:left w:val="single" w:sz="2" w:space="0" w:color="9D9C9C"/>
              <w:bottom w:val="single" w:sz="2" w:space="0" w:color="000000"/>
              <w:right w:val="single" w:sz="2" w:space="0" w:color="9D9C9C"/>
            </w:tcBorders>
            <w:tcMar>
              <w:top w:w="28" w:type="dxa"/>
              <w:left w:w="57" w:type="dxa"/>
              <w:bottom w:w="28" w:type="dxa"/>
              <w:right w:w="57" w:type="dxa"/>
            </w:tcMar>
          </w:tcPr>
          <w:p w14:paraId="5051044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 -   </w:t>
            </w:r>
          </w:p>
        </w:tc>
        <w:tc>
          <w:tcPr>
            <w:tcW w:w="1418" w:type="dxa"/>
            <w:tcBorders>
              <w:top w:val="single" w:sz="2" w:space="0" w:color="000000"/>
              <w:left w:val="single" w:sz="2" w:space="0" w:color="9D9C9C"/>
              <w:bottom w:val="single" w:sz="2" w:space="0" w:color="000000"/>
              <w:right w:val="single" w:sz="2" w:space="0" w:color="9D9C9C"/>
            </w:tcBorders>
            <w:tcMar>
              <w:top w:w="28" w:type="dxa"/>
              <w:left w:w="57" w:type="dxa"/>
              <w:bottom w:w="28" w:type="dxa"/>
              <w:right w:w="57" w:type="dxa"/>
            </w:tcMar>
          </w:tcPr>
          <w:p w14:paraId="4F1DCD7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 -   </w:t>
            </w:r>
          </w:p>
        </w:tc>
        <w:tc>
          <w:tcPr>
            <w:tcW w:w="1417" w:type="dxa"/>
            <w:tcBorders>
              <w:top w:val="single" w:sz="2" w:space="0" w:color="000000"/>
              <w:left w:val="single" w:sz="2" w:space="0" w:color="9D9C9C"/>
              <w:bottom w:val="single" w:sz="2" w:space="0" w:color="000000"/>
              <w:right w:val="single" w:sz="6" w:space="0" w:color="9D9C9C"/>
            </w:tcBorders>
            <w:tcMar>
              <w:top w:w="28" w:type="dxa"/>
              <w:left w:w="14" w:type="dxa"/>
              <w:bottom w:w="28" w:type="dxa"/>
              <w:right w:w="14" w:type="dxa"/>
            </w:tcMar>
          </w:tcPr>
          <w:p w14:paraId="455F43FD"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0%</w:t>
            </w:r>
          </w:p>
        </w:tc>
      </w:tr>
      <w:tr w:rsidR="00DD03B2" w:rsidRPr="00DD03B2" w14:paraId="226DB254" w14:textId="77777777" w:rsidTr="00485E73">
        <w:trPr>
          <w:trHeight w:val="60"/>
        </w:trPr>
        <w:tc>
          <w:tcPr>
            <w:tcW w:w="9468" w:type="dxa"/>
            <w:tcBorders>
              <w:top w:val="single" w:sz="2" w:space="0" w:color="000000"/>
              <w:left w:val="single" w:sz="6" w:space="0" w:color="000000"/>
              <w:bottom w:val="single" w:sz="6" w:space="0" w:color="000000"/>
              <w:right w:val="single" w:sz="2" w:space="0" w:color="9D9C9C"/>
            </w:tcBorders>
            <w:tcMar>
              <w:top w:w="28" w:type="dxa"/>
              <w:left w:w="14" w:type="dxa"/>
              <w:bottom w:w="28" w:type="dxa"/>
              <w:right w:w="14" w:type="dxa"/>
            </w:tcMar>
          </w:tcPr>
          <w:p w14:paraId="4E1431D4"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 xml:space="preserve">Comprehensive Result </w:t>
            </w:r>
          </w:p>
        </w:tc>
        <w:tc>
          <w:tcPr>
            <w:tcW w:w="1417" w:type="dxa"/>
            <w:tcBorders>
              <w:top w:val="single" w:sz="2" w:space="0" w:color="000000"/>
              <w:left w:val="single" w:sz="2" w:space="0" w:color="9D9C9C"/>
              <w:bottom w:val="single" w:sz="6" w:space="0" w:color="000000"/>
              <w:right w:val="single" w:sz="2" w:space="0" w:color="9D9C9C"/>
            </w:tcBorders>
            <w:shd w:val="solid" w:color="ECECEC" w:fill="auto"/>
            <w:tcMar>
              <w:top w:w="28" w:type="dxa"/>
              <w:left w:w="57" w:type="dxa"/>
              <w:bottom w:w="28" w:type="dxa"/>
              <w:right w:w="57" w:type="dxa"/>
            </w:tcMar>
          </w:tcPr>
          <w:p w14:paraId="77C86ACD"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560 </w:t>
            </w:r>
          </w:p>
        </w:tc>
        <w:tc>
          <w:tcPr>
            <w:tcW w:w="1417" w:type="dxa"/>
            <w:tcBorders>
              <w:top w:val="single" w:sz="2" w:space="0" w:color="000000"/>
              <w:left w:val="single" w:sz="2" w:space="0" w:color="9D9C9C"/>
              <w:bottom w:val="single" w:sz="6" w:space="0" w:color="000000"/>
              <w:right w:val="single" w:sz="2" w:space="0" w:color="9D9C9C"/>
            </w:tcBorders>
            <w:tcMar>
              <w:top w:w="28" w:type="dxa"/>
              <w:left w:w="57" w:type="dxa"/>
              <w:bottom w:w="28" w:type="dxa"/>
              <w:right w:w="57" w:type="dxa"/>
            </w:tcMar>
          </w:tcPr>
          <w:p w14:paraId="5EB6440A"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1,491 </w:t>
            </w:r>
          </w:p>
        </w:tc>
        <w:tc>
          <w:tcPr>
            <w:tcW w:w="1418" w:type="dxa"/>
            <w:tcBorders>
              <w:top w:val="single" w:sz="2" w:space="0" w:color="000000"/>
              <w:left w:val="single" w:sz="2" w:space="0" w:color="9D9C9C"/>
              <w:bottom w:val="single" w:sz="6" w:space="0" w:color="000000"/>
              <w:right w:val="single" w:sz="2" w:space="0" w:color="9D9C9C"/>
            </w:tcBorders>
            <w:tcMar>
              <w:top w:w="28" w:type="dxa"/>
              <w:left w:w="57" w:type="dxa"/>
              <w:bottom w:w="28" w:type="dxa"/>
              <w:right w:w="57" w:type="dxa"/>
            </w:tcMar>
          </w:tcPr>
          <w:p w14:paraId="115D205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(931)</w:t>
            </w:r>
          </w:p>
        </w:tc>
        <w:tc>
          <w:tcPr>
            <w:tcW w:w="1417" w:type="dxa"/>
            <w:tcBorders>
              <w:top w:val="single" w:sz="2" w:space="0" w:color="000000"/>
              <w:left w:val="single" w:sz="2" w:space="0" w:color="9D9C9C"/>
              <w:bottom w:val="single" w:sz="6" w:space="0" w:color="000000"/>
              <w:right w:val="single" w:sz="6" w:space="0" w:color="9D9C9C"/>
            </w:tcBorders>
            <w:tcMar>
              <w:top w:w="28" w:type="dxa"/>
              <w:left w:w="57" w:type="dxa"/>
              <w:bottom w:w="28" w:type="dxa"/>
              <w:right w:w="57" w:type="dxa"/>
            </w:tcMar>
          </w:tcPr>
          <w:p w14:paraId="3CAF0C0A"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-62%</w:t>
            </w:r>
          </w:p>
        </w:tc>
      </w:tr>
      <w:tr w:rsidR="00DD03B2" w:rsidRPr="00DD03B2" w14:paraId="07ABFE79" w14:textId="77777777" w:rsidTr="00485E73">
        <w:trPr>
          <w:trHeight w:val="60"/>
        </w:trPr>
        <w:tc>
          <w:tcPr>
            <w:tcW w:w="15137" w:type="dxa"/>
            <w:gridSpan w:val="5"/>
            <w:tcBorders>
              <w:top w:val="single" w:sz="6" w:space="0" w:color="000000"/>
              <w:left w:val="single" w:sz="6" w:space="0" w:color="000000"/>
              <w:bottom w:val="single" w:sz="2" w:space="0" w:color="9D9C9C"/>
              <w:right w:val="single" w:sz="2" w:space="0" w:color="9D9C9C"/>
            </w:tcBorders>
            <w:tcMar>
              <w:top w:w="28" w:type="dxa"/>
              <w:left w:w="14" w:type="dxa"/>
              <w:bottom w:w="28" w:type="dxa"/>
              <w:right w:w="14" w:type="dxa"/>
            </w:tcMar>
          </w:tcPr>
          <w:p w14:paraId="655EFA0F"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ADMINISTERED BALANCE SHEET</w:t>
            </w:r>
          </w:p>
        </w:tc>
      </w:tr>
      <w:tr w:rsidR="00DD03B2" w:rsidRPr="00DD03B2" w14:paraId="0D25CFFD" w14:textId="77777777" w:rsidTr="00485E73">
        <w:trPr>
          <w:trHeight w:val="60"/>
        </w:trPr>
        <w:tc>
          <w:tcPr>
            <w:tcW w:w="15137" w:type="dxa"/>
            <w:gridSpan w:val="5"/>
            <w:tcBorders>
              <w:top w:val="single" w:sz="2" w:space="0" w:color="9D9C9C"/>
              <w:left w:val="single" w:sz="6" w:space="0" w:color="000000"/>
              <w:bottom w:val="single" w:sz="2" w:space="0" w:color="9D9C9C"/>
              <w:right w:val="single" w:sz="2" w:space="0" w:color="9D9C9C"/>
            </w:tcBorders>
            <w:shd w:val="solid" w:color="DADAD9" w:fill="auto"/>
            <w:tcMar>
              <w:top w:w="28" w:type="dxa"/>
              <w:left w:w="14" w:type="dxa"/>
              <w:bottom w:w="28" w:type="dxa"/>
              <w:right w:w="14" w:type="dxa"/>
            </w:tcMar>
          </w:tcPr>
          <w:p w14:paraId="6C4E2672"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Administered Assets</w:t>
            </w:r>
          </w:p>
        </w:tc>
      </w:tr>
      <w:tr w:rsidR="00DD03B2" w:rsidRPr="00DD03B2" w14:paraId="37B63D1D"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7EA8D806"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 xml:space="preserve">Cash and deposits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2E746A7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71,456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4324727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45,712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68479A3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25,744</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1DF41429"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56%</w:t>
            </w:r>
          </w:p>
        </w:tc>
      </w:tr>
      <w:tr w:rsidR="00DD03B2" w:rsidRPr="00DD03B2" w14:paraId="1F700106"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655361AB"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Receivables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4AD6B8A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1,961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2A77EA1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12,584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555B558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(10,623)</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2BEC331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-84%</w:t>
            </w:r>
          </w:p>
        </w:tc>
      </w:tr>
      <w:tr w:rsidR="00DD03B2" w:rsidRPr="00DD03B2" w14:paraId="600CD6E0"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26E40199"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Other financial assets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141E09D3"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5F6BA2D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4,000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3F520A7C"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(4,000)</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496919BA"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-100%</w:t>
            </w:r>
          </w:p>
        </w:tc>
      </w:tr>
      <w:tr w:rsidR="00DD03B2" w:rsidRPr="00DD03B2" w14:paraId="1FC4BBD9"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679C3533"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Property, plant and equipment</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6EB1DFF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16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38E9B29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(7)</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7874223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23</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1A509083"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-325%</w:t>
            </w:r>
          </w:p>
        </w:tc>
      </w:tr>
      <w:tr w:rsidR="00DD03B2" w:rsidRPr="00DD03B2" w14:paraId="029E25DD"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59672788"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Other</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656472F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64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599BFA9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(282)</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4FE8A8C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346</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2B9EB54D"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-123%</w:t>
            </w:r>
          </w:p>
        </w:tc>
      </w:tr>
      <w:tr w:rsidR="00DD03B2" w:rsidRPr="00DD03B2" w14:paraId="3845041E"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081F4F6D"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Total Administered Assets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3436CEA9"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73,497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35A2ED7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62,007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467DF00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11,490</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686CFD79"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19%</w:t>
            </w:r>
          </w:p>
        </w:tc>
      </w:tr>
      <w:tr w:rsidR="00DD03B2" w:rsidRPr="00DD03B2" w14:paraId="2003B358" w14:textId="77777777" w:rsidTr="00485E73">
        <w:trPr>
          <w:trHeight w:val="60"/>
        </w:trPr>
        <w:tc>
          <w:tcPr>
            <w:tcW w:w="15137" w:type="dxa"/>
            <w:gridSpan w:val="5"/>
            <w:tcBorders>
              <w:top w:val="single" w:sz="2" w:space="0" w:color="9D9C9C"/>
              <w:left w:val="single" w:sz="6" w:space="0" w:color="000000"/>
              <w:bottom w:val="single" w:sz="2" w:space="0" w:color="9D9C9C"/>
              <w:right w:val="single" w:sz="2" w:space="0" w:color="9D9C9C"/>
            </w:tcBorders>
            <w:shd w:val="solid" w:color="DADAD9" w:fill="auto"/>
            <w:tcMar>
              <w:top w:w="28" w:type="dxa"/>
              <w:left w:w="14" w:type="dxa"/>
              <w:bottom w:w="28" w:type="dxa"/>
              <w:right w:w="14" w:type="dxa"/>
            </w:tcMar>
          </w:tcPr>
          <w:p w14:paraId="4ABBC1B9"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Administered Liabilities</w:t>
            </w:r>
          </w:p>
        </w:tc>
      </w:tr>
      <w:tr w:rsidR="00DD03B2" w:rsidRPr="00DD03B2" w14:paraId="79060036"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49040857"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Payables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3AC0D57C"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68,870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12CAD4C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44,582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0A50E0BC"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24,288</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5BCA3FF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54%</w:t>
            </w:r>
          </w:p>
        </w:tc>
      </w:tr>
      <w:tr w:rsidR="00DD03B2" w:rsidRPr="00DD03B2" w14:paraId="48B6995C" w14:textId="77777777" w:rsidTr="00485E73">
        <w:trPr>
          <w:trHeight w:val="60"/>
        </w:trPr>
        <w:tc>
          <w:tcPr>
            <w:tcW w:w="9468" w:type="dxa"/>
            <w:tcBorders>
              <w:top w:val="single" w:sz="2" w:space="0" w:color="9D9C9C"/>
              <w:left w:val="single" w:sz="6" w:space="0" w:color="000000"/>
              <w:bottom w:val="single" w:sz="2" w:space="0" w:color="000000"/>
              <w:right w:val="single" w:sz="2" w:space="0" w:color="9D9C9C"/>
            </w:tcBorders>
            <w:tcMar>
              <w:top w:w="28" w:type="dxa"/>
              <w:left w:w="14" w:type="dxa"/>
              <w:bottom w:w="28" w:type="dxa"/>
              <w:right w:w="14" w:type="dxa"/>
            </w:tcMar>
          </w:tcPr>
          <w:p w14:paraId="76430B01"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Provisions</w:t>
            </w:r>
          </w:p>
        </w:tc>
        <w:tc>
          <w:tcPr>
            <w:tcW w:w="1417" w:type="dxa"/>
            <w:tcBorders>
              <w:top w:val="single" w:sz="2" w:space="0" w:color="9D9C9C"/>
              <w:left w:val="single" w:sz="2" w:space="0" w:color="9D9C9C"/>
              <w:bottom w:val="single" w:sz="2" w:space="0" w:color="000000"/>
              <w:right w:val="single" w:sz="2" w:space="0" w:color="9D9C9C"/>
            </w:tcBorders>
            <w:shd w:val="solid" w:color="ECECEC" w:fill="auto"/>
            <w:tcMar>
              <w:top w:w="28" w:type="dxa"/>
              <w:left w:w="57" w:type="dxa"/>
              <w:bottom w:w="28" w:type="dxa"/>
              <w:right w:w="57" w:type="dxa"/>
            </w:tcMar>
          </w:tcPr>
          <w:p w14:paraId="050A1B1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676 </w:t>
            </w:r>
          </w:p>
        </w:tc>
        <w:tc>
          <w:tcPr>
            <w:tcW w:w="1417"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6FBD8F8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927 </w:t>
            </w:r>
          </w:p>
        </w:tc>
        <w:tc>
          <w:tcPr>
            <w:tcW w:w="1418"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56380FE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(251)</w:t>
            </w:r>
          </w:p>
        </w:tc>
        <w:tc>
          <w:tcPr>
            <w:tcW w:w="1417" w:type="dxa"/>
            <w:tcBorders>
              <w:top w:val="single" w:sz="2" w:space="0" w:color="9D9C9C"/>
              <w:left w:val="single" w:sz="2" w:space="0" w:color="9D9C9C"/>
              <w:bottom w:val="single" w:sz="2" w:space="0" w:color="000000"/>
              <w:right w:val="single" w:sz="6" w:space="0" w:color="9D9C9C"/>
            </w:tcBorders>
            <w:tcMar>
              <w:top w:w="28" w:type="dxa"/>
              <w:left w:w="57" w:type="dxa"/>
              <w:bottom w:w="28" w:type="dxa"/>
              <w:right w:w="57" w:type="dxa"/>
            </w:tcMar>
          </w:tcPr>
          <w:p w14:paraId="3FC6CD1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-27%</w:t>
            </w:r>
          </w:p>
        </w:tc>
      </w:tr>
      <w:tr w:rsidR="00DD03B2" w:rsidRPr="00DD03B2" w14:paraId="3CBA39AA" w14:textId="77777777" w:rsidTr="00485E73">
        <w:trPr>
          <w:trHeight w:val="60"/>
        </w:trPr>
        <w:tc>
          <w:tcPr>
            <w:tcW w:w="9468" w:type="dxa"/>
            <w:tcBorders>
              <w:top w:val="single" w:sz="2" w:space="0" w:color="000000"/>
              <w:left w:val="single" w:sz="6" w:space="0" w:color="000000"/>
              <w:bottom w:val="single" w:sz="2" w:space="0" w:color="000000"/>
              <w:right w:val="single" w:sz="2" w:space="0" w:color="9D9C9C"/>
            </w:tcBorders>
            <w:tcMar>
              <w:top w:w="28" w:type="dxa"/>
              <w:left w:w="14" w:type="dxa"/>
              <w:bottom w:w="28" w:type="dxa"/>
              <w:right w:w="14" w:type="dxa"/>
            </w:tcMar>
          </w:tcPr>
          <w:p w14:paraId="20264C7E"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Total Administered Liabilities</w:t>
            </w:r>
          </w:p>
        </w:tc>
        <w:tc>
          <w:tcPr>
            <w:tcW w:w="1417" w:type="dxa"/>
            <w:tcBorders>
              <w:top w:val="single" w:sz="2" w:space="0" w:color="000000"/>
              <w:left w:val="single" w:sz="2" w:space="0" w:color="9D9C9C"/>
              <w:bottom w:val="single" w:sz="2" w:space="0" w:color="000000"/>
              <w:right w:val="single" w:sz="2" w:space="0" w:color="9D9C9C"/>
            </w:tcBorders>
            <w:shd w:val="solid" w:color="ECECEC" w:fill="auto"/>
            <w:tcMar>
              <w:top w:w="28" w:type="dxa"/>
              <w:left w:w="57" w:type="dxa"/>
              <w:bottom w:w="28" w:type="dxa"/>
              <w:right w:w="57" w:type="dxa"/>
            </w:tcMar>
          </w:tcPr>
          <w:p w14:paraId="7851511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69,546 </w:t>
            </w:r>
          </w:p>
        </w:tc>
        <w:tc>
          <w:tcPr>
            <w:tcW w:w="1417" w:type="dxa"/>
            <w:tcBorders>
              <w:top w:val="single" w:sz="2" w:space="0" w:color="000000"/>
              <w:left w:val="single" w:sz="2" w:space="0" w:color="9D9C9C"/>
              <w:bottom w:val="single" w:sz="2" w:space="0" w:color="000000"/>
              <w:right w:val="single" w:sz="2" w:space="0" w:color="9D9C9C"/>
            </w:tcBorders>
            <w:tcMar>
              <w:top w:w="28" w:type="dxa"/>
              <w:left w:w="57" w:type="dxa"/>
              <w:bottom w:w="28" w:type="dxa"/>
              <w:right w:w="57" w:type="dxa"/>
            </w:tcMar>
          </w:tcPr>
          <w:p w14:paraId="62A0DEF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45,509 </w:t>
            </w:r>
          </w:p>
        </w:tc>
        <w:tc>
          <w:tcPr>
            <w:tcW w:w="1418" w:type="dxa"/>
            <w:tcBorders>
              <w:top w:val="single" w:sz="2" w:space="0" w:color="000000"/>
              <w:left w:val="single" w:sz="2" w:space="0" w:color="9D9C9C"/>
              <w:bottom w:val="single" w:sz="2" w:space="0" w:color="000000"/>
              <w:right w:val="single" w:sz="2" w:space="0" w:color="9D9C9C"/>
            </w:tcBorders>
            <w:tcMar>
              <w:top w:w="28" w:type="dxa"/>
              <w:left w:w="57" w:type="dxa"/>
              <w:bottom w:w="28" w:type="dxa"/>
              <w:right w:w="57" w:type="dxa"/>
            </w:tcMar>
          </w:tcPr>
          <w:p w14:paraId="509643B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24,037</w:t>
            </w:r>
          </w:p>
        </w:tc>
        <w:tc>
          <w:tcPr>
            <w:tcW w:w="1417" w:type="dxa"/>
            <w:tcBorders>
              <w:top w:val="single" w:sz="2" w:space="0" w:color="000000"/>
              <w:left w:val="single" w:sz="2" w:space="0" w:color="9D9C9C"/>
              <w:bottom w:val="single" w:sz="2" w:space="0" w:color="000000"/>
              <w:right w:val="single" w:sz="6" w:space="0" w:color="9D9C9C"/>
            </w:tcBorders>
            <w:tcMar>
              <w:top w:w="28" w:type="dxa"/>
              <w:left w:w="14" w:type="dxa"/>
              <w:bottom w:w="28" w:type="dxa"/>
              <w:right w:w="14" w:type="dxa"/>
            </w:tcMar>
          </w:tcPr>
          <w:p w14:paraId="2FB137E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53%</w:t>
            </w:r>
          </w:p>
        </w:tc>
      </w:tr>
      <w:tr w:rsidR="00DD03B2" w:rsidRPr="00DD03B2" w14:paraId="724BE77E" w14:textId="77777777" w:rsidTr="00485E73">
        <w:trPr>
          <w:trHeight w:val="60"/>
        </w:trPr>
        <w:tc>
          <w:tcPr>
            <w:tcW w:w="9468" w:type="dxa"/>
            <w:tcBorders>
              <w:top w:val="single" w:sz="2" w:space="0" w:color="000000"/>
              <w:left w:val="single" w:sz="6" w:space="0" w:color="000000"/>
              <w:bottom w:val="single" w:sz="6" w:space="0" w:color="000000"/>
              <w:right w:val="single" w:sz="2" w:space="0" w:color="9D9C9C"/>
            </w:tcBorders>
            <w:tcMar>
              <w:top w:w="28" w:type="dxa"/>
              <w:left w:w="14" w:type="dxa"/>
              <w:bottom w:w="28" w:type="dxa"/>
              <w:right w:w="14" w:type="dxa"/>
            </w:tcMar>
          </w:tcPr>
          <w:p w14:paraId="4F42F0B2"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Total Administered Net  Assets</w:t>
            </w:r>
          </w:p>
        </w:tc>
        <w:tc>
          <w:tcPr>
            <w:tcW w:w="1417" w:type="dxa"/>
            <w:tcBorders>
              <w:top w:val="single" w:sz="2" w:space="0" w:color="000000"/>
              <w:left w:val="single" w:sz="2" w:space="0" w:color="9D9C9C"/>
              <w:bottom w:val="single" w:sz="6" w:space="0" w:color="000000"/>
              <w:right w:val="single" w:sz="2" w:space="0" w:color="9D9C9C"/>
            </w:tcBorders>
            <w:shd w:val="solid" w:color="ECECEC" w:fill="auto"/>
            <w:tcMar>
              <w:top w:w="28" w:type="dxa"/>
              <w:left w:w="57" w:type="dxa"/>
              <w:bottom w:w="28" w:type="dxa"/>
              <w:right w:w="57" w:type="dxa"/>
            </w:tcMar>
          </w:tcPr>
          <w:p w14:paraId="5618B08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3,951 </w:t>
            </w:r>
          </w:p>
        </w:tc>
        <w:tc>
          <w:tcPr>
            <w:tcW w:w="1417" w:type="dxa"/>
            <w:tcBorders>
              <w:top w:val="single" w:sz="2" w:space="0" w:color="000000"/>
              <w:left w:val="single" w:sz="2" w:space="0" w:color="9D9C9C"/>
              <w:bottom w:val="single" w:sz="6" w:space="0" w:color="000000"/>
              <w:right w:val="single" w:sz="2" w:space="0" w:color="9D9C9C"/>
            </w:tcBorders>
            <w:tcMar>
              <w:top w:w="28" w:type="dxa"/>
              <w:left w:w="57" w:type="dxa"/>
              <w:bottom w:w="28" w:type="dxa"/>
              <w:right w:w="57" w:type="dxa"/>
            </w:tcMar>
          </w:tcPr>
          <w:p w14:paraId="0C384EE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16,498</w:t>
            </w:r>
          </w:p>
        </w:tc>
        <w:tc>
          <w:tcPr>
            <w:tcW w:w="1418" w:type="dxa"/>
            <w:tcBorders>
              <w:top w:val="single" w:sz="2" w:space="0" w:color="000000"/>
              <w:left w:val="single" w:sz="2" w:space="0" w:color="9D9C9C"/>
              <w:bottom w:val="single" w:sz="6" w:space="0" w:color="000000"/>
              <w:right w:val="single" w:sz="2" w:space="0" w:color="9D9C9C"/>
            </w:tcBorders>
            <w:tcMar>
              <w:top w:w="28" w:type="dxa"/>
              <w:left w:w="57" w:type="dxa"/>
              <w:bottom w:w="28" w:type="dxa"/>
              <w:right w:w="57" w:type="dxa"/>
            </w:tcMar>
          </w:tcPr>
          <w:p w14:paraId="6736FDE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(12,547)</w:t>
            </w:r>
          </w:p>
        </w:tc>
        <w:tc>
          <w:tcPr>
            <w:tcW w:w="1417" w:type="dxa"/>
            <w:tcBorders>
              <w:top w:val="single" w:sz="2" w:space="0" w:color="000000"/>
              <w:left w:val="single" w:sz="2" w:space="0" w:color="9D9C9C"/>
              <w:bottom w:val="single" w:sz="6" w:space="0" w:color="000000"/>
              <w:right w:val="single" w:sz="6" w:space="0" w:color="9D9C9C"/>
            </w:tcBorders>
            <w:tcMar>
              <w:top w:w="28" w:type="dxa"/>
              <w:left w:w="57" w:type="dxa"/>
              <w:bottom w:w="28" w:type="dxa"/>
              <w:right w:w="57" w:type="dxa"/>
            </w:tcMar>
          </w:tcPr>
          <w:p w14:paraId="43B783E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-76%</w:t>
            </w:r>
          </w:p>
        </w:tc>
      </w:tr>
    </w:tbl>
    <w:p w14:paraId="6179570B" w14:textId="77777777" w:rsidR="00345EE3" w:rsidRDefault="00345EE3" w:rsidP="00345EE3">
      <w:pPr>
        <w:pStyle w:val="BodyText"/>
        <w:spacing w:before="1"/>
        <w:rPr>
          <w:sz w:val="2"/>
        </w:rPr>
      </w:pPr>
    </w:p>
    <w:p w14:paraId="47337A6C" w14:textId="77777777" w:rsidR="00345EE3" w:rsidRPr="00645B84" w:rsidRDefault="00345EE3" w:rsidP="00345EE3">
      <w:pPr>
        <w:ind w:left="110"/>
        <w:rPr>
          <w:sz w:val="18"/>
          <w:szCs w:val="18"/>
        </w:rPr>
      </w:pPr>
      <w:r>
        <w:rPr>
          <w:rFonts w:ascii="Arial-BoldItalicMT"/>
          <w:b/>
          <w:i/>
          <w:color w:val="231F20"/>
          <w:spacing w:val="-2"/>
          <w:sz w:val="18"/>
          <w:szCs w:val="18"/>
        </w:rPr>
        <w:t>Note:</w:t>
      </w:r>
      <w:r>
        <w:rPr>
          <w:rFonts w:ascii="Arial-BoldItalicMT"/>
          <w:b/>
          <w:i/>
          <w:color w:val="231F20"/>
          <w:spacing w:val="-2"/>
          <w:sz w:val="18"/>
          <w:szCs w:val="18"/>
        </w:rPr>
        <w:br/>
      </w:r>
      <w:r w:rsidRPr="00645B84">
        <w:rPr>
          <w:color w:val="231F20"/>
          <w:sz w:val="18"/>
          <w:szCs w:val="18"/>
        </w:rPr>
        <w:t>The</w:t>
      </w:r>
      <w:r w:rsidRPr="00645B84">
        <w:rPr>
          <w:color w:val="231F20"/>
          <w:spacing w:val="-2"/>
          <w:sz w:val="18"/>
          <w:szCs w:val="18"/>
        </w:rPr>
        <w:t xml:space="preserve"> </w:t>
      </w:r>
      <w:r w:rsidRPr="00645B84">
        <w:rPr>
          <w:color w:val="231F20"/>
          <w:sz w:val="18"/>
          <w:szCs w:val="18"/>
        </w:rPr>
        <w:t>budget</w:t>
      </w:r>
      <w:r w:rsidRPr="00645B84">
        <w:rPr>
          <w:color w:val="231F20"/>
          <w:spacing w:val="-1"/>
          <w:sz w:val="18"/>
          <w:szCs w:val="18"/>
        </w:rPr>
        <w:t xml:space="preserve"> </w:t>
      </w:r>
      <w:r w:rsidRPr="00645B84">
        <w:rPr>
          <w:color w:val="231F20"/>
          <w:sz w:val="18"/>
          <w:szCs w:val="18"/>
        </w:rPr>
        <w:t>portfolio</w:t>
      </w:r>
      <w:r w:rsidRPr="00645B84">
        <w:rPr>
          <w:color w:val="231F20"/>
          <w:spacing w:val="-1"/>
          <w:sz w:val="18"/>
          <w:szCs w:val="18"/>
        </w:rPr>
        <w:t xml:space="preserve"> </w:t>
      </w:r>
      <w:r w:rsidRPr="00645B84">
        <w:rPr>
          <w:color w:val="231F20"/>
          <w:sz w:val="18"/>
          <w:szCs w:val="18"/>
        </w:rPr>
        <w:t>outcome</w:t>
      </w:r>
      <w:r w:rsidRPr="00645B84">
        <w:rPr>
          <w:color w:val="231F20"/>
          <w:spacing w:val="-2"/>
          <w:sz w:val="18"/>
          <w:szCs w:val="18"/>
        </w:rPr>
        <w:t xml:space="preserve"> </w:t>
      </w:r>
      <w:r w:rsidRPr="00645B84">
        <w:rPr>
          <w:color w:val="231F20"/>
          <w:sz w:val="18"/>
          <w:szCs w:val="18"/>
        </w:rPr>
        <w:t>statements</w:t>
      </w:r>
      <w:r w:rsidRPr="00645B84">
        <w:rPr>
          <w:color w:val="231F20"/>
          <w:spacing w:val="-1"/>
          <w:sz w:val="18"/>
          <w:szCs w:val="18"/>
        </w:rPr>
        <w:t xml:space="preserve"> </w:t>
      </w:r>
      <w:r w:rsidRPr="00645B84">
        <w:rPr>
          <w:color w:val="231F20"/>
          <w:sz w:val="18"/>
          <w:szCs w:val="18"/>
        </w:rPr>
        <w:t>are</w:t>
      </w:r>
      <w:r w:rsidRPr="00645B84">
        <w:rPr>
          <w:color w:val="231F20"/>
          <w:spacing w:val="-1"/>
          <w:sz w:val="18"/>
          <w:szCs w:val="18"/>
        </w:rPr>
        <w:t xml:space="preserve"> </w:t>
      </w:r>
      <w:r w:rsidRPr="00645B84">
        <w:rPr>
          <w:color w:val="231F20"/>
          <w:sz w:val="18"/>
          <w:szCs w:val="18"/>
        </w:rPr>
        <w:t>not</w:t>
      </w:r>
      <w:r w:rsidRPr="00645B84">
        <w:rPr>
          <w:color w:val="231F20"/>
          <w:spacing w:val="-1"/>
          <w:sz w:val="18"/>
          <w:szCs w:val="18"/>
        </w:rPr>
        <w:t xml:space="preserve"> </w:t>
      </w:r>
      <w:r w:rsidRPr="00645B84">
        <w:rPr>
          <w:color w:val="231F20"/>
          <w:sz w:val="18"/>
          <w:szCs w:val="18"/>
        </w:rPr>
        <w:t>prepared</w:t>
      </w:r>
      <w:r w:rsidRPr="00645B84">
        <w:rPr>
          <w:color w:val="231F20"/>
          <w:spacing w:val="-2"/>
          <w:sz w:val="18"/>
          <w:szCs w:val="18"/>
        </w:rPr>
        <w:t xml:space="preserve"> </w:t>
      </w:r>
      <w:r w:rsidRPr="00645B84">
        <w:rPr>
          <w:color w:val="231F20"/>
          <w:sz w:val="18"/>
          <w:szCs w:val="18"/>
        </w:rPr>
        <w:t>on</w:t>
      </w:r>
      <w:r w:rsidRPr="00645B84">
        <w:rPr>
          <w:color w:val="231F20"/>
          <w:spacing w:val="-1"/>
          <w:sz w:val="18"/>
          <w:szCs w:val="18"/>
        </w:rPr>
        <w:t xml:space="preserve"> </w:t>
      </w:r>
      <w:r w:rsidRPr="00645B84">
        <w:rPr>
          <w:color w:val="231F20"/>
          <w:sz w:val="18"/>
          <w:szCs w:val="18"/>
        </w:rPr>
        <w:t>the</w:t>
      </w:r>
      <w:r w:rsidRPr="00645B84">
        <w:rPr>
          <w:color w:val="231F20"/>
          <w:spacing w:val="-1"/>
          <w:sz w:val="18"/>
          <w:szCs w:val="18"/>
        </w:rPr>
        <w:t xml:space="preserve"> </w:t>
      </w:r>
      <w:r w:rsidRPr="00645B84">
        <w:rPr>
          <w:color w:val="231F20"/>
          <w:sz w:val="18"/>
          <w:szCs w:val="18"/>
        </w:rPr>
        <w:t>same</w:t>
      </w:r>
      <w:r w:rsidRPr="00645B84">
        <w:rPr>
          <w:color w:val="231F20"/>
          <w:spacing w:val="-1"/>
          <w:sz w:val="18"/>
          <w:szCs w:val="18"/>
        </w:rPr>
        <w:t xml:space="preserve"> </w:t>
      </w:r>
      <w:r w:rsidRPr="00645B84">
        <w:rPr>
          <w:color w:val="231F20"/>
          <w:sz w:val="18"/>
          <w:szCs w:val="18"/>
        </w:rPr>
        <w:t>basis</w:t>
      </w:r>
      <w:r w:rsidRPr="00645B84">
        <w:rPr>
          <w:color w:val="231F20"/>
          <w:spacing w:val="-2"/>
          <w:sz w:val="18"/>
          <w:szCs w:val="18"/>
        </w:rPr>
        <w:t xml:space="preserve"> </w:t>
      </w:r>
      <w:r w:rsidRPr="00645B84">
        <w:rPr>
          <w:color w:val="231F20"/>
          <w:sz w:val="18"/>
          <w:szCs w:val="18"/>
        </w:rPr>
        <w:t>as</w:t>
      </w:r>
      <w:r w:rsidRPr="00645B84">
        <w:rPr>
          <w:color w:val="231F20"/>
          <w:spacing w:val="-1"/>
          <w:sz w:val="18"/>
          <w:szCs w:val="18"/>
        </w:rPr>
        <w:t xml:space="preserve"> </w:t>
      </w:r>
      <w:r w:rsidRPr="00645B84">
        <w:rPr>
          <w:color w:val="231F20"/>
          <w:sz w:val="18"/>
          <w:szCs w:val="18"/>
        </w:rPr>
        <w:t>the</w:t>
      </w:r>
      <w:r w:rsidRPr="00645B84">
        <w:rPr>
          <w:color w:val="231F20"/>
          <w:spacing w:val="-1"/>
          <w:sz w:val="18"/>
          <w:szCs w:val="18"/>
        </w:rPr>
        <w:t xml:space="preserve"> </w:t>
      </w:r>
      <w:r w:rsidRPr="00645B84">
        <w:rPr>
          <w:color w:val="231F20"/>
          <w:sz w:val="18"/>
          <w:szCs w:val="18"/>
        </w:rPr>
        <w:t>Annual</w:t>
      </w:r>
      <w:r w:rsidRPr="00645B84">
        <w:rPr>
          <w:color w:val="231F20"/>
          <w:spacing w:val="-2"/>
          <w:sz w:val="18"/>
          <w:szCs w:val="18"/>
        </w:rPr>
        <w:t xml:space="preserve"> </w:t>
      </w:r>
      <w:r w:rsidRPr="00645B84">
        <w:rPr>
          <w:color w:val="231F20"/>
          <w:sz w:val="18"/>
          <w:szCs w:val="18"/>
        </w:rPr>
        <w:t>Financial</w:t>
      </w:r>
      <w:r w:rsidRPr="00645B84">
        <w:rPr>
          <w:color w:val="231F20"/>
          <w:spacing w:val="-1"/>
          <w:sz w:val="18"/>
          <w:szCs w:val="18"/>
        </w:rPr>
        <w:t xml:space="preserve"> </w:t>
      </w:r>
      <w:r w:rsidRPr="00645B84">
        <w:rPr>
          <w:color w:val="231F20"/>
          <w:sz w:val="18"/>
          <w:szCs w:val="18"/>
        </w:rPr>
        <w:t>Statements</w:t>
      </w:r>
      <w:r w:rsidRPr="00645B84">
        <w:rPr>
          <w:color w:val="231F20"/>
          <w:spacing w:val="-1"/>
          <w:sz w:val="18"/>
          <w:szCs w:val="18"/>
        </w:rPr>
        <w:t xml:space="preserve"> </w:t>
      </w:r>
      <w:r w:rsidRPr="00645B84">
        <w:rPr>
          <w:color w:val="231F20"/>
          <w:sz w:val="18"/>
          <w:szCs w:val="18"/>
        </w:rPr>
        <w:t>due</w:t>
      </w:r>
      <w:r w:rsidRPr="00645B84">
        <w:rPr>
          <w:color w:val="231F20"/>
          <w:spacing w:val="-1"/>
          <w:sz w:val="18"/>
          <w:szCs w:val="18"/>
        </w:rPr>
        <w:t xml:space="preserve"> </w:t>
      </w:r>
      <w:r w:rsidRPr="00645B84">
        <w:rPr>
          <w:color w:val="231F20"/>
          <w:sz w:val="18"/>
          <w:szCs w:val="18"/>
        </w:rPr>
        <w:t>to</w:t>
      </w:r>
      <w:r w:rsidRPr="00645B84">
        <w:rPr>
          <w:color w:val="231F20"/>
          <w:spacing w:val="-2"/>
          <w:sz w:val="18"/>
          <w:szCs w:val="18"/>
        </w:rPr>
        <w:t xml:space="preserve"> </w:t>
      </w:r>
      <w:r w:rsidRPr="00645B84">
        <w:rPr>
          <w:color w:val="231F20"/>
          <w:sz w:val="18"/>
          <w:szCs w:val="18"/>
        </w:rPr>
        <w:t>differences</w:t>
      </w:r>
      <w:r w:rsidRPr="00645B84">
        <w:rPr>
          <w:color w:val="231F20"/>
          <w:spacing w:val="-1"/>
          <w:sz w:val="18"/>
          <w:szCs w:val="18"/>
        </w:rPr>
        <w:t xml:space="preserve"> </w:t>
      </w:r>
      <w:r w:rsidRPr="00645B84">
        <w:rPr>
          <w:color w:val="231F20"/>
          <w:sz w:val="18"/>
          <w:szCs w:val="18"/>
        </w:rPr>
        <w:t>in</w:t>
      </w:r>
      <w:r w:rsidRPr="00645B84">
        <w:rPr>
          <w:color w:val="231F20"/>
          <w:spacing w:val="-1"/>
          <w:sz w:val="18"/>
          <w:szCs w:val="18"/>
        </w:rPr>
        <w:t xml:space="preserve"> </w:t>
      </w:r>
      <w:r w:rsidRPr="00645B84">
        <w:rPr>
          <w:color w:val="231F20"/>
          <w:sz w:val="18"/>
          <w:szCs w:val="18"/>
        </w:rPr>
        <w:t>the</w:t>
      </w:r>
      <w:r w:rsidRPr="00645B84">
        <w:rPr>
          <w:color w:val="231F20"/>
          <w:spacing w:val="-1"/>
          <w:sz w:val="18"/>
          <w:szCs w:val="18"/>
        </w:rPr>
        <w:t xml:space="preserve"> </w:t>
      </w:r>
      <w:r w:rsidRPr="00645B84">
        <w:rPr>
          <w:color w:val="231F20"/>
          <w:sz w:val="18"/>
          <w:szCs w:val="18"/>
        </w:rPr>
        <w:t>mapping</w:t>
      </w:r>
      <w:r w:rsidRPr="00645B84">
        <w:rPr>
          <w:color w:val="231F20"/>
          <w:spacing w:val="-2"/>
          <w:sz w:val="18"/>
          <w:szCs w:val="18"/>
        </w:rPr>
        <w:t xml:space="preserve"> </w:t>
      </w:r>
      <w:r w:rsidRPr="00645B84">
        <w:rPr>
          <w:color w:val="231F20"/>
          <w:sz w:val="18"/>
          <w:szCs w:val="18"/>
        </w:rPr>
        <w:t>between</w:t>
      </w:r>
      <w:r w:rsidRPr="00645B84">
        <w:rPr>
          <w:color w:val="231F20"/>
          <w:spacing w:val="-1"/>
          <w:sz w:val="18"/>
          <w:szCs w:val="18"/>
        </w:rPr>
        <w:t xml:space="preserve"> </w:t>
      </w:r>
      <w:r w:rsidRPr="00645B84">
        <w:rPr>
          <w:color w:val="231F20"/>
          <w:sz w:val="18"/>
          <w:szCs w:val="18"/>
        </w:rPr>
        <w:t>Actuals</w:t>
      </w:r>
      <w:r w:rsidRPr="00645B84">
        <w:rPr>
          <w:color w:val="231F20"/>
          <w:spacing w:val="-1"/>
          <w:sz w:val="18"/>
          <w:szCs w:val="18"/>
        </w:rPr>
        <w:t xml:space="preserve"> </w:t>
      </w:r>
      <w:r w:rsidRPr="00645B84">
        <w:rPr>
          <w:color w:val="231F20"/>
          <w:sz w:val="18"/>
          <w:szCs w:val="18"/>
        </w:rPr>
        <w:t>and</w:t>
      </w:r>
      <w:r w:rsidRPr="00645B84">
        <w:rPr>
          <w:color w:val="231F20"/>
          <w:spacing w:val="-1"/>
          <w:sz w:val="18"/>
          <w:szCs w:val="18"/>
        </w:rPr>
        <w:t xml:space="preserve"> </w:t>
      </w:r>
      <w:r w:rsidRPr="00645B84">
        <w:rPr>
          <w:color w:val="231F20"/>
          <w:spacing w:val="-2"/>
          <w:sz w:val="18"/>
          <w:szCs w:val="18"/>
        </w:rPr>
        <w:t>Budget.</w:t>
      </w:r>
    </w:p>
    <w:p w14:paraId="1CEC645E" w14:textId="77777777" w:rsidR="00345EE3" w:rsidRDefault="00345EE3" w:rsidP="00345EE3">
      <w:pPr>
        <w:rPr>
          <w:sz w:val="14"/>
        </w:rPr>
        <w:sectPr w:rsidR="00345EE3">
          <w:pgSz w:w="16840" w:h="11910" w:orient="landscape"/>
          <w:pgMar w:top="820" w:right="740" w:bottom="280" w:left="740" w:header="720" w:footer="720" w:gutter="0"/>
          <w:cols w:space="720"/>
        </w:sectPr>
      </w:pPr>
    </w:p>
    <w:p w14:paraId="33D3298A" w14:textId="77777777" w:rsidR="00345EE3" w:rsidRPr="00672E89" w:rsidRDefault="00345EE3" w:rsidP="00345EE3">
      <w:pPr>
        <w:pStyle w:val="Heading2"/>
        <w:ind w:left="150"/>
        <w:rPr>
          <w:sz w:val="32"/>
          <w:szCs w:val="32"/>
        </w:rPr>
      </w:pPr>
      <w:r w:rsidRPr="00672E89">
        <w:rPr>
          <w:color w:val="00529F"/>
          <w:sz w:val="32"/>
          <w:szCs w:val="32"/>
        </w:rPr>
        <w:t>Appendix</w:t>
      </w:r>
      <w:r w:rsidRPr="00672E89">
        <w:rPr>
          <w:color w:val="00529F"/>
          <w:spacing w:val="-15"/>
          <w:sz w:val="32"/>
          <w:szCs w:val="32"/>
        </w:rPr>
        <w:t xml:space="preserve"> </w:t>
      </w:r>
      <w:r w:rsidRPr="00672E89">
        <w:rPr>
          <w:color w:val="00529F"/>
          <w:sz w:val="32"/>
          <w:szCs w:val="32"/>
        </w:rPr>
        <w:t>C:</w:t>
      </w:r>
      <w:r w:rsidRPr="00672E89">
        <w:rPr>
          <w:color w:val="00529F"/>
          <w:spacing w:val="-12"/>
          <w:sz w:val="32"/>
          <w:szCs w:val="32"/>
        </w:rPr>
        <w:t xml:space="preserve"> </w:t>
      </w:r>
      <w:r w:rsidRPr="00672E89">
        <w:rPr>
          <w:color w:val="00529F"/>
          <w:sz w:val="32"/>
          <w:szCs w:val="32"/>
        </w:rPr>
        <w:t>2021–22</w:t>
      </w:r>
      <w:r w:rsidRPr="00672E89">
        <w:rPr>
          <w:color w:val="00529F"/>
          <w:spacing w:val="-14"/>
          <w:sz w:val="32"/>
          <w:szCs w:val="32"/>
        </w:rPr>
        <w:t xml:space="preserve"> </w:t>
      </w:r>
      <w:r w:rsidRPr="00672E89">
        <w:rPr>
          <w:color w:val="00529F"/>
          <w:sz w:val="32"/>
          <w:szCs w:val="32"/>
        </w:rPr>
        <w:t>Honours</w:t>
      </w:r>
      <w:r w:rsidRPr="00672E89">
        <w:rPr>
          <w:color w:val="00529F"/>
          <w:spacing w:val="-12"/>
          <w:sz w:val="32"/>
          <w:szCs w:val="32"/>
        </w:rPr>
        <w:t xml:space="preserve"> </w:t>
      </w:r>
      <w:r w:rsidRPr="00672E89">
        <w:rPr>
          <w:color w:val="00529F"/>
          <w:sz w:val="32"/>
          <w:szCs w:val="32"/>
        </w:rPr>
        <w:t>and</w:t>
      </w:r>
      <w:r w:rsidRPr="00672E89">
        <w:rPr>
          <w:color w:val="00529F"/>
          <w:spacing w:val="-13"/>
          <w:sz w:val="32"/>
          <w:szCs w:val="32"/>
        </w:rPr>
        <w:t xml:space="preserve"> </w:t>
      </w:r>
      <w:r w:rsidRPr="00672E89">
        <w:rPr>
          <w:color w:val="00529F"/>
          <w:spacing w:val="-2"/>
          <w:sz w:val="32"/>
          <w:szCs w:val="32"/>
        </w:rPr>
        <w:t>Awards</w:t>
      </w:r>
    </w:p>
    <w:p w14:paraId="46ED603C" w14:textId="77777777" w:rsidR="00345EE3" w:rsidRDefault="00345EE3" w:rsidP="00345EE3">
      <w:pPr>
        <w:spacing w:before="78"/>
        <w:ind w:left="150"/>
        <w:rPr>
          <w:rFonts w:ascii="Arial-BoldItalicMT" w:hAnsi="Arial-BoldItalicMT"/>
          <w:b/>
          <w:i/>
          <w:sz w:val="18"/>
        </w:rPr>
      </w:pPr>
      <w:r>
        <w:rPr>
          <w:color w:val="231F20"/>
          <w:sz w:val="18"/>
        </w:rPr>
        <w:t>Table</w:t>
      </w:r>
      <w:r>
        <w:rPr>
          <w:color w:val="231F20"/>
          <w:spacing w:val="-7"/>
          <w:sz w:val="18"/>
        </w:rPr>
        <w:t xml:space="preserve"> </w:t>
      </w:r>
      <w:r>
        <w:rPr>
          <w:color w:val="231F20"/>
          <w:sz w:val="18"/>
        </w:rPr>
        <w:t>7.2:</w:t>
      </w:r>
      <w:r>
        <w:rPr>
          <w:color w:val="231F20"/>
          <w:spacing w:val="-6"/>
          <w:sz w:val="18"/>
        </w:rPr>
        <w:t xml:space="preserve"> </w:t>
      </w:r>
      <w:r>
        <w:rPr>
          <w:rFonts w:ascii="Arial-BoldItalicMT" w:hAnsi="Arial-BoldItalicMT"/>
          <w:b/>
          <w:i/>
          <w:color w:val="231F20"/>
          <w:sz w:val="18"/>
        </w:rPr>
        <w:t>Honours</w:t>
      </w:r>
      <w:r>
        <w:rPr>
          <w:rFonts w:ascii="Arial-BoldItalicMT" w:hAnsi="Arial-BoldItalicMT"/>
          <w:b/>
          <w:i/>
          <w:color w:val="231F20"/>
          <w:spacing w:val="-9"/>
          <w:sz w:val="18"/>
        </w:rPr>
        <w:t xml:space="preserve"> </w:t>
      </w:r>
      <w:r>
        <w:rPr>
          <w:rFonts w:ascii="Arial-BoldItalicMT" w:hAnsi="Arial-BoldItalicMT"/>
          <w:b/>
          <w:i/>
          <w:color w:val="231F20"/>
          <w:sz w:val="18"/>
        </w:rPr>
        <w:t>and</w:t>
      </w:r>
      <w:r>
        <w:rPr>
          <w:rFonts w:ascii="Arial-BoldItalicMT" w:hAnsi="Arial-BoldItalicMT"/>
          <w:b/>
          <w:i/>
          <w:color w:val="231F20"/>
          <w:spacing w:val="-9"/>
          <w:sz w:val="18"/>
        </w:rPr>
        <w:t xml:space="preserve"> </w:t>
      </w:r>
      <w:r>
        <w:rPr>
          <w:rFonts w:ascii="Arial-BoldItalicMT" w:hAnsi="Arial-BoldItalicMT"/>
          <w:b/>
          <w:i/>
          <w:color w:val="231F20"/>
          <w:sz w:val="18"/>
        </w:rPr>
        <w:t>Award</w:t>
      </w:r>
      <w:r>
        <w:rPr>
          <w:rFonts w:ascii="Arial-BoldItalicMT" w:hAnsi="Arial-BoldItalicMT"/>
          <w:b/>
          <w:i/>
          <w:color w:val="231F20"/>
          <w:spacing w:val="-9"/>
          <w:sz w:val="18"/>
        </w:rPr>
        <w:t xml:space="preserve"> </w:t>
      </w:r>
      <w:r>
        <w:rPr>
          <w:rFonts w:ascii="Arial-BoldItalicMT" w:hAnsi="Arial-BoldItalicMT"/>
          <w:b/>
          <w:i/>
          <w:color w:val="231F20"/>
          <w:sz w:val="18"/>
        </w:rPr>
        <w:t>Recipients</w:t>
      </w:r>
      <w:r>
        <w:rPr>
          <w:rFonts w:ascii="Arial-BoldItalicMT" w:hAnsi="Arial-BoldItalicMT"/>
          <w:b/>
          <w:i/>
          <w:color w:val="231F20"/>
          <w:spacing w:val="-9"/>
          <w:sz w:val="18"/>
        </w:rPr>
        <w:t xml:space="preserve"> </w:t>
      </w:r>
      <w:r>
        <w:rPr>
          <w:rFonts w:ascii="Arial-BoldItalicMT" w:hAnsi="Arial-BoldItalicMT"/>
          <w:b/>
          <w:i/>
          <w:color w:val="231F20"/>
          <w:sz w:val="18"/>
        </w:rPr>
        <w:t>in</w:t>
      </w:r>
      <w:r>
        <w:rPr>
          <w:rFonts w:ascii="Arial-BoldItalicMT" w:hAnsi="Arial-BoldItalicMT"/>
          <w:b/>
          <w:i/>
          <w:color w:val="231F20"/>
          <w:spacing w:val="-9"/>
          <w:sz w:val="18"/>
        </w:rPr>
        <w:t xml:space="preserve"> </w:t>
      </w:r>
      <w:r>
        <w:rPr>
          <w:rFonts w:ascii="Arial-BoldItalicMT" w:hAnsi="Arial-BoldItalicMT"/>
          <w:b/>
          <w:i/>
          <w:color w:val="231F20"/>
          <w:spacing w:val="-2"/>
          <w:sz w:val="18"/>
        </w:rPr>
        <w:t>2021–22</w:t>
      </w:r>
    </w:p>
    <w:p w14:paraId="1B91B41E" w14:textId="77777777" w:rsidR="00345EE3" w:rsidRDefault="00345EE3" w:rsidP="00345EE3">
      <w:pPr>
        <w:pStyle w:val="BodyText"/>
        <w:spacing w:before="2"/>
        <w:rPr>
          <w:rFonts w:ascii="Arial-BoldItalicMT"/>
          <w:b/>
          <w:i/>
          <w:sz w:val="6"/>
        </w:rPr>
      </w:pPr>
    </w:p>
    <w:tbl>
      <w:tblPr>
        <w:tblW w:w="0" w:type="auto"/>
        <w:tblInd w:w="15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535"/>
        <w:gridCol w:w="2834"/>
        <w:gridCol w:w="2834"/>
      </w:tblGrid>
      <w:tr w:rsidR="00345EE3" w14:paraId="0280A1FF" w14:textId="77777777" w:rsidTr="00D73130">
        <w:trPr>
          <w:trHeight w:val="398"/>
        </w:trPr>
        <w:tc>
          <w:tcPr>
            <w:tcW w:w="10203" w:type="dxa"/>
            <w:gridSpan w:val="3"/>
            <w:tcBorders>
              <w:top w:val="nil"/>
              <w:left w:val="nil"/>
              <w:right w:val="nil"/>
            </w:tcBorders>
            <w:shd w:val="clear" w:color="auto" w:fill="00529F"/>
          </w:tcPr>
          <w:p w14:paraId="3FB79FF7" w14:textId="77777777" w:rsidR="00345EE3" w:rsidRDefault="00345EE3" w:rsidP="00D73130">
            <w:pPr>
              <w:pStyle w:val="TableParagraph"/>
              <w:spacing w:before="63"/>
              <w:jc w:val="left"/>
              <w:rPr>
                <w:b/>
                <w:sz w:val="24"/>
              </w:rPr>
            </w:pPr>
            <w:r>
              <w:rPr>
                <w:b/>
                <w:color w:val="FFFFFF"/>
                <w:sz w:val="24"/>
              </w:rPr>
              <w:t>Member</w:t>
            </w:r>
            <w:r>
              <w:rPr>
                <w:b/>
                <w:color w:val="FFFFFF"/>
                <w:spacing w:val="-2"/>
                <w:sz w:val="24"/>
              </w:rPr>
              <w:t xml:space="preserve"> </w:t>
            </w:r>
            <w:r>
              <w:rPr>
                <w:b/>
                <w:color w:val="FFFFFF"/>
                <w:sz w:val="24"/>
              </w:rPr>
              <w:t>of the</w:t>
            </w:r>
            <w:r>
              <w:rPr>
                <w:b/>
                <w:color w:val="FFFFFF"/>
                <w:spacing w:val="-1"/>
                <w:sz w:val="24"/>
              </w:rPr>
              <w:t xml:space="preserve"> </w:t>
            </w:r>
            <w:r>
              <w:rPr>
                <w:b/>
                <w:color w:val="FFFFFF"/>
                <w:sz w:val="24"/>
              </w:rPr>
              <w:t>Order</w:t>
            </w:r>
            <w:r>
              <w:rPr>
                <w:b/>
                <w:color w:val="FFFFFF"/>
                <w:spacing w:val="-2"/>
                <w:sz w:val="24"/>
              </w:rPr>
              <w:t xml:space="preserve"> </w:t>
            </w:r>
            <w:r>
              <w:rPr>
                <w:b/>
                <w:color w:val="FFFFFF"/>
                <w:sz w:val="24"/>
              </w:rPr>
              <w:t>of Australia</w:t>
            </w:r>
            <w:r>
              <w:rPr>
                <w:b/>
                <w:color w:val="FFFFFF"/>
                <w:spacing w:val="-1"/>
                <w:sz w:val="24"/>
              </w:rPr>
              <w:t xml:space="preserve"> </w:t>
            </w:r>
            <w:r>
              <w:rPr>
                <w:b/>
                <w:color w:val="FFFFFF"/>
                <w:spacing w:val="-4"/>
                <w:sz w:val="24"/>
              </w:rPr>
              <w:t>(AM)</w:t>
            </w:r>
          </w:p>
        </w:tc>
      </w:tr>
      <w:tr w:rsidR="00345EE3" w14:paraId="78949833" w14:textId="77777777" w:rsidTr="00D73130">
        <w:trPr>
          <w:trHeight w:val="396"/>
        </w:trPr>
        <w:tc>
          <w:tcPr>
            <w:tcW w:w="4535" w:type="dxa"/>
            <w:tcBorders>
              <w:left w:val="nil"/>
            </w:tcBorders>
          </w:tcPr>
          <w:p w14:paraId="1BD37042" w14:textId="77777777" w:rsidR="00345EE3" w:rsidRDefault="00345EE3" w:rsidP="00D73130">
            <w:pPr>
              <w:pStyle w:val="TableParagraph"/>
              <w:ind w:left="-3"/>
              <w:jc w:val="left"/>
              <w:rPr>
                <w:b/>
                <w:sz w:val="24"/>
              </w:rPr>
            </w:pPr>
            <w:r>
              <w:rPr>
                <w:b/>
                <w:color w:val="231F20"/>
                <w:spacing w:val="-4"/>
                <w:sz w:val="24"/>
              </w:rPr>
              <w:t>Rank</w:t>
            </w:r>
          </w:p>
        </w:tc>
        <w:tc>
          <w:tcPr>
            <w:tcW w:w="2834" w:type="dxa"/>
          </w:tcPr>
          <w:p w14:paraId="1986456F" w14:textId="77777777" w:rsidR="00345EE3" w:rsidRDefault="00345EE3" w:rsidP="00D73130">
            <w:pPr>
              <w:pStyle w:val="TableParagraph"/>
              <w:jc w:val="left"/>
              <w:rPr>
                <w:b/>
                <w:sz w:val="24"/>
              </w:rPr>
            </w:pPr>
            <w:r>
              <w:rPr>
                <w:b/>
                <w:color w:val="231F20"/>
                <w:sz w:val="24"/>
              </w:rPr>
              <w:t xml:space="preserve">First </w:t>
            </w:r>
            <w:r>
              <w:rPr>
                <w:b/>
                <w:color w:val="231F20"/>
                <w:spacing w:val="-4"/>
                <w:sz w:val="24"/>
              </w:rPr>
              <w:t>Name</w:t>
            </w:r>
          </w:p>
        </w:tc>
        <w:tc>
          <w:tcPr>
            <w:tcW w:w="2834" w:type="dxa"/>
            <w:tcBorders>
              <w:right w:val="nil"/>
            </w:tcBorders>
          </w:tcPr>
          <w:p w14:paraId="4F22794F" w14:textId="77777777" w:rsidR="00345EE3" w:rsidRDefault="00345EE3" w:rsidP="00D73130">
            <w:pPr>
              <w:pStyle w:val="TableParagraph"/>
              <w:ind w:left="1"/>
              <w:jc w:val="left"/>
              <w:rPr>
                <w:b/>
                <w:sz w:val="24"/>
              </w:rPr>
            </w:pPr>
            <w:r>
              <w:rPr>
                <w:b/>
                <w:color w:val="231F20"/>
                <w:spacing w:val="-2"/>
                <w:sz w:val="24"/>
              </w:rPr>
              <w:t>Surname</w:t>
            </w:r>
          </w:p>
        </w:tc>
      </w:tr>
      <w:tr w:rsidR="00345EE3" w14:paraId="2AB71A8E" w14:textId="77777777" w:rsidTr="00D73130">
        <w:trPr>
          <w:trHeight w:val="398"/>
        </w:trPr>
        <w:tc>
          <w:tcPr>
            <w:tcW w:w="4535" w:type="dxa"/>
            <w:tcBorders>
              <w:left w:val="nil"/>
              <w:bottom w:val="nil"/>
            </w:tcBorders>
          </w:tcPr>
          <w:p w14:paraId="779FC7D2" w14:textId="77777777" w:rsidR="00345EE3" w:rsidRDefault="00345EE3" w:rsidP="00D73130">
            <w:pPr>
              <w:pStyle w:val="TableParagraph"/>
              <w:ind w:left="-3"/>
              <w:jc w:val="left"/>
              <w:rPr>
                <w:sz w:val="24"/>
              </w:rPr>
            </w:pPr>
            <w:r>
              <w:rPr>
                <w:color w:val="231F20"/>
                <w:sz w:val="24"/>
              </w:rPr>
              <w:t>Deputy</w:t>
            </w:r>
            <w:r>
              <w:rPr>
                <w:color w:val="231F20"/>
                <w:spacing w:val="-6"/>
                <w:sz w:val="24"/>
              </w:rPr>
              <w:t xml:space="preserve"> </w:t>
            </w:r>
            <w:r>
              <w:rPr>
                <w:color w:val="231F20"/>
                <w:spacing w:val="-2"/>
                <w:sz w:val="24"/>
              </w:rPr>
              <w:t>Commissioner</w:t>
            </w:r>
          </w:p>
        </w:tc>
        <w:tc>
          <w:tcPr>
            <w:tcW w:w="2834" w:type="dxa"/>
            <w:tcBorders>
              <w:bottom w:val="nil"/>
            </w:tcBorders>
          </w:tcPr>
          <w:p w14:paraId="47C1C7B0" w14:textId="77777777" w:rsidR="00345EE3" w:rsidRDefault="00345EE3" w:rsidP="00D73130">
            <w:pPr>
              <w:pStyle w:val="TableParagraph"/>
              <w:jc w:val="left"/>
              <w:rPr>
                <w:sz w:val="24"/>
              </w:rPr>
            </w:pPr>
            <w:r>
              <w:rPr>
                <w:color w:val="231F20"/>
                <w:sz w:val="24"/>
              </w:rPr>
              <w:t>Wendy</w:t>
            </w:r>
            <w:r>
              <w:rPr>
                <w:color w:val="231F20"/>
                <w:spacing w:val="-9"/>
                <w:sz w:val="24"/>
              </w:rPr>
              <w:t xml:space="preserve"> </w:t>
            </w:r>
            <w:r>
              <w:rPr>
                <w:color w:val="231F20"/>
                <w:spacing w:val="-2"/>
                <w:sz w:val="24"/>
              </w:rPr>
              <w:t>Maree</w:t>
            </w:r>
          </w:p>
        </w:tc>
        <w:tc>
          <w:tcPr>
            <w:tcW w:w="2834" w:type="dxa"/>
            <w:tcBorders>
              <w:bottom w:val="nil"/>
              <w:right w:val="nil"/>
            </w:tcBorders>
          </w:tcPr>
          <w:p w14:paraId="70168346" w14:textId="77777777" w:rsidR="00345EE3" w:rsidRDefault="00345EE3" w:rsidP="00D73130">
            <w:pPr>
              <w:pStyle w:val="TableParagraph"/>
              <w:ind w:left="1"/>
              <w:jc w:val="left"/>
              <w:rPr>
                <w:sz w:val="24"/>
              </w:rPr>
            </w:pPr>
            <w:r>
              <w:rPr>
                <w:color w:val="231F20"/>
                <w:spacing w:val="-2"/>
                <w:sz w:val="24"/>
              </w:rPr>
              <w:t>Steendam</w:t>
            </w:r>
          </w:p>
        </w:tc>
      </w:tr>
      <w:tr w:rsidR="00345EE3" w14:paraId="206DC72D" w14:textId="77777777" w:rsidTr="00D73130">
        <w:trPr>
          <w:trHeight w:val="401"/>
        </w:trPr>
        <w:tc>
          <w:tcPr>
            <w:tcW w:w="10203" w:type="dxa"/>
            <w:gridSpan w:val="3"/>
            <w:tcBorders>
              <w:top w:val="nil"/>
              <w:left w:val="nil"/>
              <w:bottom w:val="nil"/>
              <w:right w:val="nil"/>
            </w:tcBorders>
            <w:shd w:val="clear" w:color="auto" w:fill="00529F"/>
          </w:tcPr>
          <w:p w14:paraId="4D827275" w14:textId="77777777" w:rsidR="00345EE3" w:rsidRDefault="00345EE3" w:rsidP="00D73130">
            <w:pPr>
              <w:pStyle w:val="TableParagraph"/>
              <w:spacing w:before="63"/>
              <w:ind w:left="-1"/>
              <w:jc w:val="left"/>
              <w:rPr>
                <w:b/>
                <w:sz w:val="24"/>
              </w:rPr>
            </w:pPr>
            <w:r>
              <w:rPr>
                <w:b/>
                <w:color w:val="FFFFFF"/>
                <w:sz w:val="24"/>
              </w:rPr>
              <w:t>Public</w:t>
            </w:r>
            <w:r>
              <w:rPr>
                <w:b/>
                <w:color w:val="FFFFFF"/>
                <w:spacing w:val="-1"/>
                <w:sz w:val="24"/>
              </w:rPr>
              <w:t xml:space="preserve"> </w:t>
            </w:r>
            <w:r>
              <w:rPr>
                <w:b/>
                <w:color w:val="FFFFFF"/>
                <w:sz w:val="24"/>
              </w:rPr>
              <w:t>Service Medal</w:t>
            </w:r>
            <w:r>
              <w:rPr>
                <w:b/>
                <w:color w:val="FFFFFF"/>
                <w:spacing w:val="1"/>
                <w:sz w:val="24"/>
              </w:rPr>
              <w:t xml:space="preserve"> </w:t>
            </w:r>
            <w:r>
              <w:rPr>
                <w:b/>
                <w:color w:val="FFFFFF"/>
                <w:spacing w:val="-4"/>
                <w:sz w:val="24"/>
              </w:rPr>
              <w:t>(PSM)</w:t>
            </w:r>
          </w:p>
        </w:tc>
      </w:tr>
      <w:tr w:rsidR="00345EE3" w14:paraId="74D57E14" w14:textId="77777777" w:rsidTr="00D73130">
        <w:trPr>
          <w:trHeight w:val="399"/>
        </w:trPr>
        <w:tc>
          <w:tcPr>
            <w:tcW w:w="4535" w:type="dxa"/>
            <w:tcBorders>
              <w:top w:val="nil"/>
              <w:left w:val="nil"/>
            </w:tcBorders>
          </w:tcPr>
          <w:p w14:paraId="2E7EC691"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tcBorders>
          </w:tcPr>
          <w:p w14:paraId="50946B83"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right w:val="nil"/>
            </w:tcBorders>
          </w:tcPr>
          <w:p w14:paraId="68ED5B53"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0757019D" w14:textId="77777777" w:rsidTr="00D73130">
        <w:trPr>
          <w:trHeight w:val="398"/>
        </w:trPr>
        <w:tc>
          <w:tcPr>
            <w:tcW w:w="4535" w:type="dxa"/>
            <w:tcBorders>
              <w:left w:val="nil"/>
              <w:bottom w:val="nil"/>
            </w:tcBorders>
          </w:tcPr>
          <w:p w14:paraId="3D52B9EE" w14:textId="77777777" w:rsidR="00345EE3" w:rsidRDefault="00345EE3" w:rsidP="00D73130">
            <w:pPr>
              <w:pStyle w:val="TableParagraph"/>
              <w:ind w:left="-3"/>
              <w:jc w:val="left"/>
              <w:rPr>
                <w:sz w:val="24"/>
              </w:rPr>
            </w:pPr>
            <w:r>
              <w:rPr>
                <w:color w:val="231F20"/>
                <w:spacing w:val="-2"/>
                <w:sz w:val="24"/>
              </w:rPr>
              <w:t>Doctor</w:t>
            </w:r>
          </w:p>
        </w:tc>
        <w:tc>
          <w:tcPr>
            <w:tcW w:w="2834" w:type="dxa"/>
            <w:tcBorders>
              <w:bottom w:val="nil"/>
            </w:tcBorders>
          </w:tcPr>
          <w:p w14:paraId="29B3B242" w14:textId="77777777" w:rsidR="00345EE3" w:rsidRDefault="00345EE3" w:rsidP="00D73130">
            <w:pPr>
              <w:pStyle w:val="TableParagraph"/>
              <w:jc w:val="left"/>
              <w:rPr>
                <w:sz w:val="24"/>
              </w:rPr>
            </w:pPr>
            <w:r>
              <w:rPr>
                <w:color w:val="231F20"/>
                <w:sz w:val="24"/>
              </w:rPr>
              <w:t xml:space="preserve">Alexandra </w:t>
            </w:r>
            <w:r>
              <w:rPr>
                <w:color w:val="231F20"/>
                <w:spacing w:val="-2"/>
                <w:sz w:val="24"/>
              </w:rPr>
              <w:t>Elizabeth</w:t>
            </w:r>
          </w:p>
        </w:tc>
        <w:tc>
          <w:tcPr>
            <w:tcW w:w="2834" w:type="dxa"/>
            <w:tcBorders>
              <w:bottom w:val="nil"/>
              <w:right w:val="nil"/>
            </w:tcBorders>
          </w:tcPr>
          <w:p w14:paraId="6DCA5CCC" w14:textId="77777777" w:rsidR="00345EE3" w:rsidRDefault="00345EE3" w:rsidP="00D73130">
            <w:pPr>
              <w:pStyle w:val="TableParagraph"/>
              <w:ind w:left="1"/>
              <w:jc w:val="left"/>
              <w:rPr>
                <w:sz w:val="24"/>
              </w:rPr>
            </w:pPr>
            <w:r>
              <w:rPr>
                <w:color w:val="231F20"/>
                <w:spacing w:val="-4"/>
                <w:sz w:val="24"/>
              </w:rPr>
              <w:t>West</w:t>
            </w:r>
          </w:p>
        </w:tc>
      </w:tr>
      <w:tr w:rsidR="00345EE3" w14:paraId="14B05CC0" w14:textId="77777777" w:rsidTr="00D73130">
        <w:trPr>
          <w:trHeight w:val="401"/>
        </w:trPr>
        <w:tc>
          <w:tcPr>
            <w:tcW w:w="10203" w:type="dxa"/>
            <w:gridSpan w:val="3"/>
            <w:tcBorders>
              <w:top w:val="nil"/>
              <w:left w:val="nil"/>
              <w:bottom w:val="nil"/>
              <w:right w:val="nil"/>
            </w:tcBorders>
            <w:shd w:val="clear" w:color="auto" w:fill="00529F"/>
          </w:tcPr>
          <w:p w14:paraId="2FE58F1F" w14:textId="77777777" w:rsidR="00345EE3" w:rsidRDefault="00345EE3" w:rsidP="00D73130">
            <w:pPr>
              <w:pStyle w:val="TableParagraph"/>
              <w:spacing w:before="63"/>
              <w:ind w:left="-1"/>
              <w:jc w:val="left"/>
              <w:rPr>
                <w:b/>
                <w:sz w:val="24"/>
              </w:rPr>
            </w:pPr>
            <w:r>
              <w:rPr>
                <w:b/>
                <w:color w:val="FFFFFF"/>
                <w:sz w:val="24"/>
              </w:rPr>
              <w:t>Australian</w:t>
            </w:r>
            <w:r>
              <w:rPr>
                <w:b/>
                <w:color w:val="FFFFFF"/>
                <w:spacing w:val="-5"/>
                <w:sz w:val="24"/>
              </w:rPr>
              <w:t xml:space="preserve"> </w:t>
            </w:r>
            <w:r>
              <w:rPr>
                <w:b/>
                <w:color w:val="FFFFFF"/>
                <w:sz w:val="24"/>
              </w:rPr>
              <w:t>Police</w:t>
            </w:r>
            <w:r>
              <w:rPr>
                <w:b/>
                <w:color w:val="FFFFFF"/>
                <w:spacing w:val="-5"/>
                <w:sz w:val="24"/>
              </w:rPr>
              <w:t xml:space="preserve"> </w:t>
            </w:r>
            <w:r>
              <w:rPr>
                <w:b/>
                <w:color w:val="FFFFFF"/>
                <w:sz w:val="24"/>
              </w:rPr>
              <w:t>Medal</w:t>
            </w:r>
            <w:r>
              <w:rPr>
                <w:b/>
                <w:color w:val="FFFFFF"/>
                <w:spacing w:val="-3"/>
                <w:sz w:val="24"/>
              </w:rPr>
              <w:t xml:space="preserve"> </w:t>
            </w:r>
            <w:r>
              <w:rPr>
                <w:b/>
                <w:color w:val="FFFFFF"/>
                <w:spacing w:val="-4"/>
                <w:sz w:val="24"/>
              </w:rPr>
              <w:t>(APM)</w:t>
            </w:r>
          </w:p>
        </w:tc>
      </w:tr>
      <w:tr w:rsidR="00345EE3" w14:paraId="617A27C2" w14:textId="77777777" w:rsidTr="00D73130">
        <w:trPr>
          <w:trHeight w:val="398"/>
        </w:trPr>
        <w:tc>
          <w:tcPr>
            <w:tcW w:w="4535" w:type="dxa"/>
            <w:tcBorders>
              <w:top w:val="nil"/>
              <w:left w:val="nil"/>
            </w:tcBorders>
          </w:tcPr>
          <w:p w14:paraId="4CE2E5F9"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right w:val="dashed" w:sz="2" w:space="0" w:color="939598"/>
            </w:tcBorders>
          </w:tcPr>
          <w:p w14:paraId="379D7273"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left w:val="dashed" w:sz="2" w:space="0" w:color="939598"/>
              <w:right w:val="nil"/>
            </w:tcBorders>
          </w:tcPr>
          <w:p w14:paraId="2E3C7C52"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02E6A266" w14:textId="77777777" w:rsidTr="00D73130">
        <w:trPr>
          <w:trHeight w:val="396"/>
        </w:trPr>
        <w:tc>
          <w:tcPr>
            <w:tcW w:w="4535" w:type="dxa"/>
            <w:tcBorders>
              <w:left w:val="nil"/>
            </w:tcBorders>
          </w:tcPr>
          <w:p w14:paraId="265432BE" w14:textId="77777777" w:rsidR="00345EE3" w:rsidRDefault="00345EE3" w:rsidP="00D73130">
            <w:pPr>
              <w:pStyle w:val="TableParagraph"/>
              <w:ind w:left="-3"/>
              <w:jc w:val="left"/>
              <w:rPr>
                <w:sz w:val="24"/>
              </w:rPr>
            </w:pPr>
            <w:r>
              <w:rPr>
                <w:color w:val="231F20"/>
                <w:sz w:val="24"/>
              </w:rPr>
              <w:t>Detective</w:t>
            </w:r>
            <w:r>
              <w:rPr>
                <w:color w:val="231F20"/>
                <w:spacing w:val="-9"/>
                <w:sz w:val="24"/>
              </w:rPr>
              <w:t xml:space="preserve"> </w:t>
            </w:r>
            <w:r>
              <w:rPr>
                <w:color w:val="231F20"/>
                <w:spacing w:val="-2"/>
                <w:sz w:val="24"/>
              </w:rPr>
              <w:t>Inspector</w:t>
            </w:r>
          </w:p>
        </w:tc>
        <w:tc>
          <w:tcPr>
            <w:tcW w:w="2834" w:type="dxa"/>
            <w:tcBorders>
              <w:right w:val="dashed" w:sz="2" w:space="0" w:color="939598"/>
            </w:tcBorders>
          </w:tcPr>
          <w:p w14:paraId="072B60C5" w14:textId="77777777" w:rsidR="00345EE3" w:rsidRDefault="00345EE3" w:rsidP="00D73130">
            <w:pPr>
              <w:pStyle w:val="TableParagraph"/>
              <w:jc w:val="left"/>
              <w:rPr>
                <w:sz w:val="24"/>
              </w:rPr>
            </w:pPr>
            <w:r>
              <w:rPr>
                <w:color w:val="231F20"/>
                <w:sz w:val="24"/>
              </w:rPr>
              <w:t xml:space="preserve">Gregory </w:t>
            </w:r>
            <w:r>
              <w:rPr>
                <w:color w:val="231F20"/>
                <w:spacing w:val="-2"/>
                <w:sz w:val="24"/>
              </w:rPr>
              <w:t>Brian</w:t>
            </w:r>
          </w:p>
        </w:tc>
        <w:tc>
          <w:tcPr>
            <w:tcW w:w="2834" w:type="dxa"/>
            <w:tcBorders>
              <w:left w:val="dashed" w:sz="2" w:space="0" w:color="939598"/>
              <w:right w:val="nil"/>
            </w:tcBorders>
          </w:tcPr>
          <w:p w14:paraId="262C0C75" w14:textId="77777777" w:rsidR="00345EE3" w:rsidRDefault="00345EE3" w:rsidP="00D73130">
            <w:pPr>
              <w:pStyle w:val="TableParagraph"/>
              <w:ind w:left="1"/>
              <w:jc w:val="left"/>
              <w:rPr>
                <w:sz w:val="24"/>
              </w:rPr>
            </w:pPr>
            <w:r>
              <w:rPr>
                <w:color w:val="231F20"/>
                <w:spacing w:val="-4"/>
                <w:sz w:val="24"/>
              </w:rPr>
              <w:t>Bowd</w:t>
            </w:r>
          </w:p>
        </w:tc>
      </w:tr>
      <w:tr w:rsidR="00345EE3" w14:paraId="6763C833" w14:textId="77777777" w:rsidTr="00D73130">
        <w:trPr>
          <w:trHeight w:val="396"/>
        </w:trPr>
        <w:tc>
          <w:tcPr>
            <w:tcW w:w="4535" w:type="dxa"/>
            <w:tcBorders>
              <w:left w:val="nil"/>
            </w:tcBorders>
          </w:tcPr>
          <w:p w14:paraId="64F0D7E1" w14:textId="77777777" w:rsidR="00345EE3" w:rsidRDefault="00345EE3" w:rsidP="00D73130">
            <w:pPr>
              <w:pStyle w:val="TableParagraph"/>
              <w:ind w:left="-3"/>
              <w:jc w:val="left"/>
              <w:rPr>
                <w:sz w:val="24"/>
              </w:rPr>
            </w:pPr>
            <w:r>
              <w:rPr>
                <w:color w:val="231F20"/>
                <w:spacing w:val="-2"/>
                <w:sz w:val="24"/>
              </w:rPr>
              <w:t>Inspector</w:t>
            </w:r>
          </w:p>
        </w:tc>
        <w:tc>
          <w:tcPr>
            <w:tcW w:w="2834" w:type="dxa"/>
            <w:tcBorders>
              <w:right w:val="dashed" w:sz="2" w:space="0" w:color="939598"/>
            </w:tcBorders>
          </w:tcPr>
          <w:p w14:paraId="0696AEC2" w14:textId="77777777" w:rsidR="00345EE3" w:rsidRDefault="00345EE3" w:rsidP="00D73130">
            <w:pPr>
              <w:pStyle w:val="TableParagraph"/>
              <w:jc w:val="left"/>
              <w:rPr>
                <w:sz w:val="24"/>
              </w:rPr>
            </w:pPr>
            <w:r>
              <w:rPr>
                <w:color w:val="231F20"/>
                <w:spacing w:val="-2"/>
                <w:sz w:val="24"/>
              </w:rPr>
              <w:t>Anthony</w:t>
            </w:r>
          </w:p>
        </w:tc>
        <w:tc>
          <w:tcPr>
            <w:tcW w:w="2834" w:type="dxa"/>
            <w:tcBorders>
              <w:left w:val="dashed" w:sz="2" w:space="0" w:color="939598"/>
              <w:right w:val="nil"/>
            </w:tcBorders>
          </w:tcPr>
          <w:p w14:paraId="5DBAEEB0" w14:textId="77777777" w:rsidR="00345EE3" w:rsidRDefault="00345EE3" w:rsidP="00D73130">
            <w:pPr>
              <w:pStyle w:val="TableParagraph"/>
              <w:ind w:left="1"/>
              <w:jc w:val="left"/>
              <w:rPr>
                <w:sz w:val="24"/>
              </w:rPr>
            </w:pPr>
            <w:r>
              <w:rPr>
                <w:color w:val="231F20"/>
                <w:spacing w:val="-2"/>
                <w:sz w:val="24"/>
              </w:rPr>
              <w:t>Cecchin</w:t>
            </w:r>
          </w:p>
        </w:tc>
      </w:tr>
      <w:tr w:rsidR="00345EE3" w14:paraId="19A50354" w14:textId="77777777" w:rsidTr="00D73130">
        <w:trPr>
          <w:trHeight w:val="396"/>
        </w:trPr>
        <w:tc>
          <w:tcPr>
            <w:tcW w:w="4535" w:type="dxa"/>
            <w:tcBorders>
              <w:left w:val="nil"/>
            </w:tcBorders>
          </w:tcPr>
          <w:p w14:paraId="7A044CCD" w14:textId="77777777" w:rsidR="00345EE3" w:rsidRDefault="00345EE3" w:rsidP="00D73130">
            <w:pPr>
              <w:pStyle w:val="TableParagraph"/>
              <w:ind w:left="-3"/>
              <w:jc w:val="left"/>
              <w:rPr>
                <w:sz w:val="24"/>
              </w:rPr>
            </w:pPr>
            <w:r>
              <w:rPr>
                <w:color w:val="231F20"/>
                <w:spacing w:val="-2"/>
                <w:sz w:val="24"/>
              </w:rPr>
              <w:t>Superintendent</w:t>
            </w:r>
          </w:p>
        </w:tc>
        <w:tc>
          <w:tcPr>
            <w:tcW w:w="2834" w:type="dxa"/>
            <w:tcBorders>
              <w:right w:val="dashed" w:sz="2" w:space="0" w:color="939598"/>
            </w:tcBorders>
          </w:tcPr>
          <w:p w14:paraId="1203537B" w14:textId="77777777" w:rsidR="00345EE3" w:rsidRDefault="00345EE3" w:rsidP="00D73130">
            <w:pPr>
              <w:pStyle w:val="TableParagraph"/>
              <w:jc w:val="left"/>
              <w:rPr>
                <w:sz w:val="24"/>
              </w:rPr>
            </w:pPr>
            <w:r>
              <w:rPr>
                <w:color w:val="231F20"/>
                <w:sz w:val="24"/>
              </w:rPr>
              <w:t>Timothy</w:t>
            </w:r>
            <w:r>
              <w:rPr>
                <w:color w:val="231F20"/>
                <w:spacing w:val="-15"/>
                <w:sz w:val="24"/>
              </w:rPr>
              <w:t xml:space="preserve"> </w:t>
            </w:r>
            <w:r>
              <w:rPr>
                <w:color w:val="231F20"/>
                <w:spacing w:val="-4"/>
                <w:sz w:val="24"/>
              </w:rPr>
              <w:t>John</w:t>
            </w:r>
          </w:p>
        </w:tc>
        <w:tc>
          <w:tcPr>
            <w:tcW w:w="2834" w:type="dxa"/>
            <w:tcBorders>
              <w:left w:val="dashed" w:sz="2" w:space="0" w:color="939598"/>
              <w:right w:val="nil"/>
            </w:tcBorders>
          </w:tcPr>
          <w:p w14:paraId="24A644AA" w14:textId="77777777" w:rsidR="00345EE3" w:rsidRDefault="00345EE3" w:rsidP="00D73130">
            <w:pPr>
              <w:pStyle w:val="TableParagraph"/>
              <w:ind w:left="1"/>
              <w:jc w:val="left"/>
              <w:rPr>
                <w:sz w:val="24"/>
              </w:rPr>
            </w:pPr>
            <w:r>
              <w:rPr>
                <w:color w:val="231F20"/>
                <w:spacing w:val="-5"/>
                <w:sz w:val="24"/>
              </w:rPr>
              <w:t>Day</w:t>
            </w:r>
          </w:p>
        </w:tc>
      </w:tr>
      <w:tr w:rsidR="00345EE3" w14:paraId="13EE1D94" w14:textId="77777777" w:rsidTr="00D73130">
        <w:trPr>
          <w:trHeight w:val="396"/>
        </w:trPr>
        <w:tc>
          <w:tcPr>
            <w:tcW w:w="4535" w:type="dxa"/>
            <w:tcBorders>
              <w:left w:val="nil"/>
            </w:tcBorders>
          </w:tcPr>
          <w:p w14:paraId="6A7D71A0" w14:textId="77777777" w:rsidR="00345EE3" w:rsidRDefault="00345EE3" w:rsidP="00D73130">
            <w:pPr>
              <w:pStyle w:val="TableParagraph"/>
              <w:ind w:left="-3"/>
              <w:jc w:val="left"/>
              <w:rPr>
                <w:sz w:val="24"/>
              </w:rPr>
            </w:pPr>
            <w:r>
              <w:rPr>
                <w:color w:val="231F20"/>
                <w:spacing w:val="-2"/>
                <w:sz w:val="24"/>
              </w:rPr>
              <w:t>Commander</w:t>
            </w:r>
          </w:p>
        </w:tc>
        <w:tc>
          <w:tcPr>
            <w:tcW w:w="2834" w:type="dxa"/>
            <w:tcBorders>
              <w:right w:val="dashed" w:sz="2" w:space="0" w:color="939598"/>
            </w:tcBorders>
          </w:tcPr>
          <w:p w14:paraId="697CE53C" w14:textId="77777777" w:rsidR="00345EE3" w:rsidRDefault="00345EE3" w:rsidP="00D73130">
            <w:pPr>
              <w:pStyle w:val="TableParagraph"/>
              <w:jc w:val="left"/>
              <w:rPr>
                <w:sz w:val="24"/>
              </w:rPr>
            </w:pPr>
            <w:r>
              <w:rPr>
                <w:color w:val="231F20"/>
                <w:sz w:val="24"/>
              </w:rPr>
              <w:t xml:space="preserve">Michael </w:t>
            </w:r>
            <w:r>
              <w:rPr>
                <w:color w:val="231F20"/>
                <w:spacing w:val="-4"/>
                <w:sz w:val="24"/>
              </w:rPr>
              <w:t>John</w:t>
            </w:r>
          </w:p>
        </w:tc>
        <w:tc>
          <w:tcPr>
            <w:tcW w:w="2834" w:type="dxa"/>
            <w:tcBorders>
              <w:left w:val="dashed" w:sz="2" w:space="0" w:color="939598"/>
              <w:right w:val="nil"/>
            </w:tcBorders>
          </w:tcPr>
          <w:p w14:paraId="77730E07" w14:textId="77777777" w:rsidR="00345EE3" w:rsidRDefault="00345EE3" w:rsidP="00D73130">
            <w:pPr>
              <w:pStyle w:val="TableParagraph"/>
              <w:ind w:left="1"/>
              <w:jc w:val="left"/>
              <w:rPr>
                <w:sz w:val="24"/>
              </w:rPr>
            </w:pPr>
            <w:r>
              <w:rPr>
                <w:color w:val="231F20"/>
                <w:spacing w:val="-2"/>
                <w:sz w:val="24"/>
              </w:rPr>
              <w:t>Frewen</w:t>
            </w:r>
          </w:p>
        </w:tc>
      </w:tr>
      <w:tr w:rsidR="00345EE3" w14:paraId="12581994" w14:textId="77777777" w:rsidTr="00D73130">
        <w:trPr>
          <w:trHeight w:val="396"/>
        </w:trPr>
        <w:tc>
          <w:tcPr>
            <w:tcW w:w="4535" w:type="dxa"/>
            <w:tcBorders>
              <w:left w:val="nil"/>
            </w:tcBorders>
          </w:tcPr>
          <w:p w14:paraId="30F17422" w14:textId="77777777" w:rsidR="00345EE3" w:rsidRDefault="00345EE3" w:rsidP="00D73130">
            <w:pPr>
              <w:pStyle w:val="TableParagraph"/>
              <w:ind w:left="-3"/>
              <w:jc w:val="left"/>
              <w:rPr>
                <w:sz w:val="24"/>
              </w:rPr>
            </w:pPr>
            <w:r>
              <w:rPr>
                <w:color w:val="231F20"/>
                <w:spacing w:val="-2"/>
                <w:sz w:val="24"/>
              </w:rPr>
              <w:t>Sergeant</w:t>
            </w:r>
          </w:p>
        </w:tc>
        <w:tc>
          <w:tcPr>
            <w:tcW w:w="2834" w:type="dxa"/>
            <w:tcBorders>
              <w:right w:val="dashed" w:sz="2" w:space="0" w:color="939598"/>
            </w:tcBorders>
          </w:tcPr>
          <w:p w14:paraId="3A010D20" w14:textId="77777777" w:rsidR="00345EE3" w:rsidRDefault="00345EE3" w:rsidP="00D73130">
            <w:pPr>
              <w:pStyle w:val="TableParagraph"/>
              <w:jc w:val="left"/>
              <w:rPr>
                <w:sz w:val="24"/>
              </w:rPr>
            </w:pPr>
            <w:r>
              <w:rPr>
                <w:color w:val="231F20"/>
                <w:sz w:val="24"/>
              </w:rPr>
              <w:t xml:space="preserve">Glenn </w:t>
            </w:r>
            <w:r>
              <w:rPr>
                <w:color w:val="231F20"/>
                <w:spacing w:val="-2"/>
                <w:sz w:val="24"/>
              </w:rPr>
              <w:t>Bradley</w:t>
            </w:r>
          </w:p>
        </w:tc>
        <w:tc>
          <w:tcPr>
            <w:tcW w:w="2834" w:type="dxa"/>
            <w:tcBorders>
              <w:left w:val="dashed" w:sz="2" w:space="0" w:color="939598"/>
              <w:right w:val="nil"/>
            </w:tcBorders>
          </w:tcPr>
          <w:p w14:paraId="5561571F" w14:textId="77777777" w:rsidR="00345EE3" w:rsidRDefault="00345EE3" w:rsidP="00D73130">
            <w:pPr>
              <w:pStyle w:val="TableParagraph"/>
              <w:ind w:left="1"/>
              <w:jc w:val="left"/>
              <w:rPr>
                <w:sz w:val="24"/>
              </w:rPr>
            </w:pPr>
            <w:r>
              <w:rPr>
                <w:color w:val="231F20"/>
                <w:spacing w:val="-2"/>
                <w:sz w:val="24"/>
              </w:rPr>
              <w:t>Holland</w:t>
            </w:r>
          </w:p>
        </w:tc>
      </w:tr>
      <w:tr w:rsidR="00345EE3" w14:paraId="1E9C3058" w14:textId="77777777" w:rsidTr="00D73130">
        <w:trPr>
          <w:trHeight w:val="396"/>
        </w:trPr>
        <w:tc>
          <w:tcPr>
            <w:tcW w:w="4535" w:type="dxa"/>
            <w:tcBorders>
              <w:left w:val="nil"/>
            </w:tcBorders>
          </w:tcPr>
          <w:p w14:paraId="58DA0A05" w14:textId="77777777" w:rsidR="00345EE3" w:rsidRDefault="00345EE3" w:rsidP="00D73130">
            <w:pPr>
              <w:pStyle w:val="TableParagraph"/>
              <w:ind w:left="-3"/>
              <w:jc w:val="left"/>
              <w:rPr>
                <w:sz w:val="24"/>
              </w:rPr>
            </w:pPr>
            <w:r>
              <w:rPr>
                <w:color w:val="231F20"/>
                <w:spacing w:val="-2"/>
                <w:sz w:val="24"/>
              </w:rPr>
              <w:t>Superintendent</w:t>
            </w:r>
          </w:p>
        </w:tc>
        <w:tc>
          <w:tcPr>
            <w:tcW w:w="2834" w:type="dxa"/>
            <w:tcBorders>
              <w:right w:val="dashed" w:sz="2" w:space="0" w:color="939598"/>
            </w:tcBorders>
          </w:tcPr>
          <w:p w14:paraId="3FBF580E" w14:textId="77777777" w:rsidR="00345EE3" w:rsidRDefault="00345EE3" w:rsidP="00D73130">
            <w:pPr>
              <w:pStyle w:val="TableParagraph"/>
              <w:jc w:val="left"/>
              <w:rPr>
                <w:sz w:val="24"/>
              </w:rPr>
            </w:pPr>
            <w:r>
              <w:rPr>
                <w:color w:val="231F20"/>
                <w:sz w:val="24"/>
              </w:rPr>
              <w:t xml:space="preserve">Simon </w:t>
            </w:r>
            <w:r>
              <w:rPr>
                <w:color w:val="231F20"/>
                <w:spacing w:val="-2"/>
                <w:sz w:val="24"/>
              </w:rPr>
              <w:t>David</w:t>
            </w:r>
          </w:p>
        </w:tc>
        <w:tc>
          <w:tcPr>
            <w:tcW w:w="2834" w:type="dxa"/>
            <w:tcBorders>
              <w:left w:val="dashed" w:sz="2" w:space="0" w:color="939598"/>
              <w:right w:val="nil"/>
            </w:tcBorders>
          </w:tcPr>
          <w:p w14:paraId="2AA1DCB1" w14:textId="77777777" w:rsidR="00345EE3" w:rsidRDefault="00345EE3" w:rsidP="00D73130">
            <w:pPr>
              <w:pStyle w:val="TableParagraph"/>
              <w:ind w:left="1"/>
              <w:jc w:val="left"/>
              <w:rPr>
                <w:sz w:val="24"/>
              </w:rPr>
            </w:pPr>
            <w:r>
              <w:rPr>
                <w:color w:val="231F20"/>
                <w:spacing w:val="-2"/>
                <w:sz w:val="24"/>
              </w:rPr>
              <w:t>Humphrey</w:t>
            </w:r>
          </w:p>
        </w:tc>
      </w:tr>
      <w:tr w:rsidR="00345EE3" w14:paraId="5BF8D644" w14:textId="77777777" w:rsidTr="00D73130">
        <w:trPr>
          <w:trHeight w:val="396"/>
        </w:trPr>
        <w:tc>
          <w:tcPr>
            <w:tcW w:w="4535" w:type="dxa"/>
            <w:tcBorders>
              <w:left w:val="nil"/>
            </w:tcBorders>
          </w:tcPr>
          <w:p w14:paraId="68F762BA" w14:textId="77777777" w:rsidR="00345EE3" w:rsidRDefault="00345EE3" w:rsidP="00D73130">
            <w:pPr>
              <w:pStyle w:val="TableParagraph"/>
              <w:spacing w:before="61"/>
              <w:ind w:left="-3"/>
              <w:jc w:val="left"/>
              <w:rPr>
                <w:sz w:val="24"/>
              </w:rPr>
            </w:pPr>
            <w:r>
              <w:rPr>
                <w:color w:val="231F20"/>
                <w:spacing w:val="-2"/>
                <w:sz w:val="24"/>
              </w:rPr>
              <w:t>Inspector</w:t>
            </w:r>
          </w:p>
        </w:tc>
        <w:tc>
          <w:tcPr>
            <w:tcW w:w="2834" w:type="dxa"/>
            <w:tcBorders>
              <w:right w:val="dashed" w:sz="2" w:space="0" w:color="939598"/>
            </w:tcBorders>
          </w:tcPr>
          <w:p w14:paraId="759373B3" w14:textId="77777777" w:rsidR="00345EE3" w:rsidRDefault="00345EE3" w:rsidP="00D73130">
            <w:pPr>
              <w:pStyle w:val="TableParagraph"/>
              <w:spacing w:before="61"/>
              <w:jc w:val="left"/>
              <w:rPr>
                <w:sz w:val="24"/>
              </w:rPr>
            </w:pPr>
            <w:r>
              <w:rPr>
                <w:color w:val="231F20"/>
                <w:sz w:val="24"/>
              </w:rPr>
              <w:t>Mark</w:t>
            </w:r>
            <w:r>
              <w:rPr>
                <w:color w:val="231F20"/>
                <w:spacing w:val="-14"/>
                <w:sz w:val="24"/>
              </w:rPr>
              <w:t xml:space="preserve"> </w:t>
            </w:r>
            <w:r>
              <w:rPr>
                <w:color w:val="231F20"/>
                <w:spacing w:val="-2"/>
                <w:sz w:val="24"/>
              </w:rPr>
              <w:t>Anthony</w:t>
            </w:r>
          </w:p>
        </w:tc>
        <w:tc>
          <w:tcPr>
            <w:tcW w:w="2834" w:type="dxa"/>
            <w:tcBorders>
              <w:left w:val="dashed" w:sz="2" w:space="0" w:color="939598"/>
              <w:right w:val="nil"/>
            </w:tcBorders>
          </w:tcPr>
          <w:p w14:paraId="34CA9D14" w14:textId="77777777" w:rsidR="00345EE3" w:rsidRDefault="00345EE3" w:rsidP="00D73130">
            <w:pPr>
              <w:pStyle w:val="TableParagraph"/>
              <w:spacing w:before="61"/>
              <w:ind w:left="1"/>
              <w:jc w:val="left"/>
              <w:rPr>
                <w:sz w:val="24"/>
              </w:rPr>
            </w:pPr>
            <w:r>
              <w:rPr>
                <w:color w:val="231F20"/>
                <w:spacing w:val="-4"/>
                <w:sz w:val="24"/>
              </w:rPr>
              <w:t>Keen</w:t>
            </w:r>
          </w:p>
        </w:tc>
      </w:tr>
      <w:tr w:rsidR="00345EE3" w14:paraId="1B1BB763" w14:textId="77777777" w:rsidTr="00D73130">
        <w:trPr>
          <w:trHeight w:val="396"/>
        </w:trPr>
        <w:tc>
          <w:tcPr>
            <w:tcW w:w="4535" w:type="dxa"/>
            <w:tcBorders>
              <w:left w:val="nil"/>
            </w:tcBorders>
          </w:tcPr>
          <w:p w14:paraId="7440CBE9" w14:textId="77777777" w:rsidR="00345EE3" w:rsidRDefault="00345EE3" w:rsidP="00D73130">
            <w:pPr>
              <w:pStyle w:val="TableParagraph"/>
              <w:spacing w:before="61"/>
              <w:ind w:left="-3"/>
              <w:jc w:val="left"/>
              <w:rPr>
                <w:sz w:val="24"/>
              </w:rPr>
            </w:pPr>
            <w:r>
              <w:rPr>
                <w:color w:val="231F20"/>
                <w:spacing w:val="-2"/>
                <w:sz w:val="24"/>
              </w:rPr>
              <w:t>Superintendent</w:t>
            </w:r>
          </w:p>
        </w:tc>
        <w:tc>
          <w:tcPr>
            <w:tcW w:w="2834" w:type="dxa"/>
            <w:tcBorders>
              <w:right w:val="dashed" w:sz="2" w:space="0" w:color="939598"/>
            </w:tcBorders>
          </w:tcPr>
          <w:p w14:paraId="74DBA858" w14:textId="77777777" w:rsidR="00345EE3" w:rsidRDefault="00345EE3" w:rsidP="00D73130">
            <w:pPr>
              <w:pStyle w:val="TableParagraph"/>
              <w:spacing w:before="61"/>
              <w:jc w:val="left"/>
              <w:rPr>
                <w:sz w:val="24"/>
              </w:rPr>
            </w:pPr>
            <w:r>
              <w:rPr>
                <w:color w:val="231F20"/>
                <w:sz w:val="24"/>
              </w:rPr>
              <w:t>Kelly</w:t>
            </w:r>
            <w:r>
              <w:rPr>
                <w:color w:val="231F20"/>
                <w:spacing w:val="-14"/>
                <w:sz w:val="24"/>
              </w:rPr>
              <w:t xml:space="preserve"> </w:t>
            </w:r>
            <w:r>
              <w:rPr>
                <w:color w:val="231F20"/>
                <w:spacing w:val="-4"/>
                <w:sz w:val="24"/>
              </w:rPr>
              <w:t>Anne</w:t>
            </w:r>
          </w:p>
        </w:tc>
        <w:tc>
          <w:tcPr>
            <w:tcW w:w="2834" w:type="dxa"/>
            <w:tcBorders>
              <w:left w:val="dashed" w:sz="2" w:space="0" w:color="939598"/>
              <w:right w:val="nil"/>
            </w:tcBorders>
          </w:tcPr>
          <w:p w14:paraId="29D63E2B" w14:textId="77777777" w:rsidR="00345EE3" w:rsidRDefault="00345EE3" w:rsidP="00D73130">
            <w:pPr>
              <w:pStyle w:val="TableParagraph"/>
              <w:spacing w:before="61"/>
              <w:ind w:left="1"/>
              <w:jc w:val="left"/>
              <w:rPr>
                <w:sz w:val="24"/>
              </w:rPr>
            </w:pPr>
            <w:r>
              <w:rPr>
                <w:color w:val="231F20"/>
                <w:spacing w:val="-2"/>
                <w:sz w:val="24"/>
              </w:rPr>
              <w:t>Lawson</w:t>
            </w:r>
          </w:p>
        </w:tc>
      </w:tr>
      <w:tr w:rsidR="00345EE3" w14:paraId="6A6C059F" w14:textId="77777777" w:rsidTr="00D73130">
        <w:trPr>
          <w:trHeight w:val="396"/>
        </w:trPr>
        <w:tc>
          <w:tcPr>
            <w:tcW w:w="4535" w:type="dxa"/>
            <w:tcBorders>
              <w:left w:val="nil"/>
            </w:tcBorders>
          </w:tcPr>
          <w:p w14:paraId="11571A8C" w14:textId="77777777" w:rsidR="00345EE3" w:rsidRDefault="00345EE3" w:rsidP="00D73130">
            <w:pPr>
              <w:pStyle w:val="TableParagraph"/>
              <w:spacing w:before="61"/>
              <w:ind w:left="-3"/>
              <w:jc w:val="left"/>
              <w:rPr>
                <w:sz w:val="24"/>
              </w:rPr>
            </w:pPr>
            <w:r>
              <w:rPr>
                <w:color w:val="231F20"/>
                <w:spacing w:val="-2"/>
                <w:sz w:val="24"/>
              </w:rPr>
              <w:t>Inspector</w:t>
            </w:r>
          </w:p>
        </w:tc>
        <w:tc>
          <w:tcPr>
            <w:tcW w:w="2834" w:type="dxa"/>
            <w:tcBorders>
              <w:right w:val="dashed" w:sz="2" w:space="0" w:color="939598"/>
            </w:tcBorders>
          </w:tcPr>
          <w:p w14:paraId="55A22E92" w14:textId="77777777" w:rsidR="00345EE3" w:rsidRDefault="00345EE3" w:rsidP="00D73130">
            <w:pPr>
              <w:pStyle w:val="TableParagraph"/>
              <w:spacing w:before="61"/>
              <w:jc w:val="left"/>
              <w:rPr>
                <w:sz w:val="24"/>
              </w:rPr>
            </w:pPr>
            <w:r>
              <w:rPr>
                <w:color w:val="231F20"/>
                <w:spacing w:val="-2"/>
                <w:sz w:val="24"/>
              </w:rPr>
              <w:t>Andrew</w:t>
            </w:r>
          </w:p>
        </w:tc>
        <w:tc>
          <w:tcPr>
            <w:tcW w:w="2834" w:type="dxa"/>
            <w:tcBorders>
              <w:left w:val="dashed" w:sz="2" w:space="0" w:color="939598"/>
              <w:right w:val="nil"/>
            </w:tcBorders>
          </w:tcPr>
          <w:p w14:paraId="49E17C58" w14:textId="77777777" w:rsidR="00345EE3" w:rsidRDefault="00345EE3" w:rsidP="00D73130">
            <w:pPr>
              <w:pStyle w:val="TableParagraph"/>
              <w:spacing w:before="61"/>
              <w:ind w:left="1"/>
              <w:jc w:val="left"/>
              <w:rPr>
                <w:sz w:val="24"/>
              </w:rPr>
            </w:pPr>
            <w:r>
              <w:rPr>
                <w:color w:val="231F20"/>
                <w:spacing w:val="-2"/>
                <w:sz w:val="24"/>
              </w:rPr>
              <w:t>Markakis</w:t>
            </w:r>
          </w:p>
        </w:tc>
      </w:tr>
      <w:tr w:rsidR="00345EE3" w14:paraId="7102ADFD" w14:textId="77777777" w:rsidTr="00D73130">
        <w:trPr>
          <w:trHeight w:val="396"/>
        </w:trPr>
        <w:tc>
          <w:tcPr>
            <w:tcW w:w="4535" w:type="dxa"/>
            <w:tcBorders>
              <w:left w:val="nil"/>
            </w:tcBorders>
          </w:tcPr>
          <w:p w14:paraId="4D2093CE" w14:textId="77777777" w:rsidR="00345EE3" w:rsidRDefault="00345EE3" w:rsidP="00D73130">
            <w:pPr>
              <w:pStyle w:val="TableParagraph"/>
              <w:spacing w:before="61"/>
              <w:ind w:left="-3"/>
              <w:jc w:val="left"/>
              <w:rPr>
                <w:sz w:val="24"/>
              </w:rPr>
            </w:pPr>
            <w:r>
              <w:rPr>
                <w:color w:val="231F20"/>
                <w:sz w:val="24"/>
              </w:rPr>
              <w:t xml:space="preserve">Senior </w:t>
            </w:r>
            <w:r>
              <w:rPr>
                <w:color w:val="231F20"/>
                <w:spacing w:val="-2"/>
                <w:sz w:val="24"/>
              </w:rPr>
              <w:t>Sergeant</w:t>
            </w:r>
          </w:p>
        </w:tc>
        <w:tc>
          <w:tcPr>
            <w:tcW w:w="2834" w:type="dxa"/>
            <w:tcBorders>
              <w:right w:val="dashed" w:sz="2" w:space="0" w:color="939598"/>
            </w:tcBorders>
          </w:tcPr>
          <w:p w14:paraId="75D32704" w14:textId="77777777" w:rsidR="00345EE3" w:rsidRDefault="00345EE3" w:rsidP="00D73130">
            <w:pPr>
              <w:pStyle w:val="TableParagraph"/>
              <w:spacing w:before="61"/>
              <w:jc w:val="left"/>
              <w:rPr>
                <w:sz w:val="24"/>
              </w:rPr>
            </w:pPr>
            <w:r>
              <w:rPr>
                <w:color w:val="231F20"/>
                <w:sz w:val="24"/>
              </w:rPr>
              <w:t xml:space="preserve">Bradley </w:t>
            </w:r>
            <w:r>
              <w:rPr>
                <w:color w:val="231F20"/>
                <w:spacing w:val="-4"/>
                <w:sz w:val="24"/>
              </w:rPr>
              <w:t>John</w:t>
            </w:r>
          </w:p>
        </w:tc>
        <w:tc>
          <w:tcPr>
            <w:tcW w:w="2834" w:type="dxa"/>
            <w:tcBorders>
              <w:left w:val="dashed" w:sz="2" w:space="0" w:color="939598"/>
              <w:right w:val="nil"/>
            </w:tcBorders>
          </w:tcPr>
          <w:p w14:paraId="408CB4D9" w14:textId="77777777" w:rsidR="00345EE3" w:rsidRDefault="00345EE3" w:rsidP="00D73130">
            <w:pPr>
              <w:pStyle w:val="TableParagraph"/>
              <w:spacing w:before="61"/>
              <w:ind w:left="1"/>
              <w:jc w:val="left"/>
              <w:rPr>
                <w:sz w:val="24"/>
              </w:rPr>
            </w:pPr>
            <w:r>
              <w:rPr>
                <w:color w:val="231F20"/>
                <w:spacing w:val="-2"/>
                <w:sz w:val="24"/>
              </w:rPr>
              <w:t>Mason</w:t>
            </w:r>
          </w:p>
        </w:tc>
      </w:tr>
      <w:tr w:rsidR="00345EE3" w14:paraId="028D1310" w14:textId="77777777" w:rsidTr="00D73130">
        <w:trPr>
          <w:trHeight w:val="396"/>
        </w:trPr>
        <w:tc>
          <w:tcPr>
            <w:tcW w:w="4535" w:type="dxa"/>
            <w:tcBorders>
              <w:left w:val="nil"/>
            </w:tcBorders>
          </w:tcPr>
          <w:p w14:paraId="0ED9B5DA" w14:textId="77777777" w:rsidR="00345EE3" w:rsidRDefault="00345EE3" w:rsidP="00D73130">
            <w:pPr>
              <w:pStyle w:val="TableParagraph"/>
              <w:spacing w:before="61"/>
              <w:ind w:left="-3"/>
              <w:jc w:val="left"/>
              <w:rPr>
                <w:sz w:val="24"/>
              </w:rPr>
            </w:pPr>
            <w:r>
              <w:rPr>
                <w:color w:val="231F20"/>
                <w:spacing w:val="-2"/>
                <w:sz w:val="24"/>
              </w:rPr>
              <w:t>Superintendent</w:t>
            </w:r>
          </w:p>
        </w:tc>
        <w:tc>
          <w:tcPr>
            <w:tcW w:w="2834" w:type="dxa"/>
            <w:tcBorders>
              <w:right w:val="dashed" w:sz="2" w:space="0" w:color="939598"/>
            </w:tcBorders>
          </w:tcPr>
          <w:p w14:paraId="5122383F" w14:textId="77777777" w:rsidR="00345EE3" w:rsidRDefault="00345EE3" w:rsidP="00D73130">
            <w:pPr>
              <w:pStyle w:val="TableParagraph"/>
              <w:spacing w:before="61"/>
              <w:jc w:val="left"/>
              <w:rPr>
                <w:sz w:val="24"/>
              </w:rPr>
            </w:pPr>
            <w:r>
              <w:rPr>
                <w:color w:val="231F20"/>
                <w:sz w:val="24"/>
              </w:rPr>
              <w:t>Sharon</w:t>
            </w:r>
            <w:r>
              <w:rPr>
                <w:color w:val="231F20"/>
                <w:spacing w:val="-14"/>
                <w:sz w:val="24"/>
              </w:rPr>
              <w:t xml:space="preserve"> </w:t>
            </w:r>
            <w:r>
              <w:rPr>
                <w:color w:val="231F20"/>
                <w:spacing w:val="-2"/>
                <w:sz w:val="24"/>
              </w:rPr>
              <w:t>Aileen</w:t>
            </w:r>
          </w:p>
        </w:tc>
        <w:tc>
          <w:tcPr>
            <w:tcW w:w="2834" w:type="dxa"/>
            <w:tcBorders>
              <w:left w:val="dashed" w:sz="2" w:space="0" w:color="939598"/>
              <w:right w:val="nil"/>
            </w:tcBorders>
          </w:tcPr>
          <w:p w14:paraId="28D4B0BD" w14:textId="77777777" w:rsidR="00345EE3" w:rsidRDefault="00345EE3" w:rsidP="00D73130">
            <w:pPr>
              <w:pStyle w:val="TableParagraph"/>
              <w:spacing w:before="61"/>
              <w:ind w:left="1"/>
              <w:jc w:val="left"/>
              <w:rPr>
                <w:sz w:val="24"/>
              </w:rPr>
            </w:pPr>
            <w:r>
              <w:rPr>
                <w:color w:val="231F20"/>
                <w:spacing w:val="-2"/>
                <w:sz w:val="24"/>
              </w:rPr>
              <w:t>McKinnon</w:t>
            </w:r>
          </w:p>
        </w:tc>
      </w:tr>
      <w:tr w:rsidR="00345EE3" w14:paraId="0C488B02" w14:textId="77777777" w:rsidTr="00D73130">
        <w:trPr>
          <w:trHeight w:val="396"/>
        </w:trPr>
        <w:tc>
          <w:tcPr>
            <w:tcW w:w="4535" w:type="dxa"/>
            <w:tcBorders>
              <w:left w:val="nil"/>
            </w:tcBorders>
          </w:tcPr>
          <w:p w14:paraId="7920FC77" w14:textId="77777777" w:rsidR="00345EE3" w:rsidRDefault="00345EE3" w:rsidP="00D73130">
            <w:pPr>
              <w:pStyle w:val="TableParagraph"/>
              <w:spacing w:before="61"/>
              <w:ind w:left="-3"/>
              <w:jc w:val="left"/>
              <w:rPr>
                <w:sz w:val="24"/>
              </w:rPr>
            </w:pPr>
            <w:r>
              <w:rPr>
                <w:color w:val="231F20"/>
                <w:spacing w:val="-2"/>
                <w:sz w:val="24"/>
              </w:rPr>
              <w:t>Commander</w:t>
            </w:r>
          </w:p>
        </w:tc>
        <w:tc>
          <w:tcPr>
            <w:tcW w:w="2834" w:type="dxa"/>
            <w:tcBorders>
              <w:right w:val="dashed" w:sz="2" w:space="0" w:color="939598"/>
            </w:tcBorders>
          </w:tcPr>
          <w:p w14:paraId="01824F28" w14:textId="77777777" w:rsidR="00345EE3" w:rsidRDefault="00345EE3" w:rsidP="00D73130">
            <w:pPr>
              <w:pStyle w:val="TableParagraph"/>
              <w:spacing w:before="61"/>
              <w:jc w:val="left"/>
              <w:rPr>
                <w:sz w:val="24"/>
              </w:rPr>
            </w:pPr>
            <w:r>
              <w:rPr>
                <w:color w:val="231F20"/>
                <w:spacing w:val="-2"/>
                <w:sz w:val="24"/>
              </w:rPr>
              <w:t>Karen</w:t>
            </w:r>
          </w:p>
        </w:tc>
        <w:tc>
          <w:tcPr>
            <w:tcW w:w="2834" w:type="dxa"/>
            <w:tcBorders>
              <w:left w:val="dashed" w:sz="2" w:space="0" w:color="939598"/>
              <w:right w:val="nil"/>
            </w:tcBorders>
          </w:tcPr>
          <w:p w14:paraId="7F23678D" w14:textId="77777777" w:rsidR="00345EE3" w:rsidRDefault="00345EE3" w:rsidP="00D73130">
            <w:pPr>
              <w:pStyle w:val="TableParagraph"/>
              <w:spacing w:before="61"/>
              <w:ind w:left="1"/>
              <w:jc w:val="left"/>
              <w:rPr>
                <w:sz w:val="24"/>
              </w:rPr>
            </w:pPr>
            <w:r>
              <w:rPr>
                <w:color w:val="231F20"/>
                <w:spacing w:val="-2"/>
                <w:sz w:val="24"/>
              </w:rPr>
              <w:t>Nyholm</w:t>
            </w:r>
          </w:p>
        </w:tc>
      </w:tr>
      <w:tr w:rsidR="00345EE3" w14:paraId="522711E7" w14:textId="77777777" w:rsidTr="00D73130">
        <w:trPr>
          <w:trHeight w:val="396"/>
        </w:trPr>
        <w:tc>
          <w:tcPr>
            <w:tcW w:w="4535" w:type="dxa"/>
            <w:tcBorders>
              <w:left w:val="nil"/>
            </w:tcBorders>
          </w:tcPr>
          <w:p w14:paraId="56097144" w14:textId="77777777" w:rsidR="00345EE3" w:rsidRDefault="00345EE3" w:rsidP="00D73130">
            <w:pPr>
              <w:pStyle w:val="TableParagraph"/>
              <w:spacing w:before="61"/>
              <w:ind w:left="-3"/>
              <w:jc w:val="left"/>
              <w:rPr>
                <w:sz w:val="24"/>
              </w:rPr>
            </w:pPr>
            <w:r>
              <w:rPr>
                <w:color w:val="231F20"/>
                <w:spacing w:val="-2"/>
                <w:sz w:val="24"/>
              </w:rPr>
              <w:t>Superintendent</w:t>
            </w:r>
          </w:p>
        </w:tc>
        <w:tc>
          <w:tcPr>
            <w:tcW w:w="2834" w:type="dxa"/>
            <w:tcBorders>
              <w:right w:val="dashed" w:sz="2" w:space="0" w:color="939598"/>
            </w:tcBorders>
          </w:tcPr>
          <w:p w14:paraId="434B179E" w14:textId="77777777" w:rsidR="00345EE3" w:rsidRDefault="00345EE3" w:rsidP="00D73130">
            <w:pPr>
              <w:pStyle w:val="TableParagraph"/>
              <w:spacing w:before="61"/>
              <w:jc w:val="left"/>
              <w:rPr>
                <w:sz w:val="24"/>
              </w:rPr>
            </w:pPr>
            <w:r>
              <w:rPr>
                <w:color w:val="231F20"/>
                <w:sz w:val="24"/>
              </w:rPr>
              <w:t xml:space="preserve">Mark </w:t>
            </w:r>
            <w:r>
              <w:rPr>
                <w:color w:val="231F20"/>
                <w:spacing w:val="-2"/>
                <w:sz w:val="24"/>
              </w:rPr>
              <w:t>Stephen</w:t>
            </w:r>
          </w:p>
        </w:tc>
        <w:tc>
          <w:tcPr>
            <w:tcW w:w="2834" w:type="dxa"/>
            <w:tcBorders>
              <w:left w:val="dashed" w:sz="2" w:space="0" w:color="939598"/>
              <w:right w:val="nil"/>
            </w:tcBorders>
          </w:tcPr>
          <w:p w14:paraId="32D5E10A" w14:textId="77777777" w:rsidR="00345EE3" w:rsidRDefault="00345EE3" w:rsidP="00D73130">
            <w:pPr>
              <w:pStyle w:val="TableParagraph"/>
              <w:spacing w:before="61"/>
              <w:ind w:left="1"/>
              <w:jc w:val="left"/>
              <w:rPr>
                <w:sz w:val="24"/>
              </w:rPr>
            </w:pPr>
            <w:r>
              <w:rPr>
                <w:color w:val="231F20"/>
                <w:spacing w:val="-2"/>
                <w:sz w:val="24"/>
              </w:rPr>
              <w:t>Porter</w:t>
            </w:r>
          </w:p>
        </w:tc>
      </w:tr>
      <w:tr w:rsidR="00345EE3" w14:paraId="3B9504FA" w14:textId="77777777" w:rsidTr="00D73130">
        <w:trPr>
          <w:trHeight w:val="396"/>
        </w:trPr>
        <w:tc>
          <w:tcPr>
            <w:tcW w:w="4535" w:type="dxa"/>
            <w:tcBorders>
              <w:left w:val="nil"/>
            </w:tcBorders>
          </w:tcPr>
          <w:p w14:paraId="3FE69985" w14:textId="77777777" w:rsidR="00345EE3" w:rsidRDefault="00345EE3" w:rsidP="00D73130">
            <w:pPr>
              <w:pStyle w:val="TableParagraph"/>
              <w:spacing w:before="61"/>
              <w:ind w:left="-3"/>
              <w:jc w:val="left"/>
              <w:rPr>
                <w:sz w:val="24"/>
              </w:rPr>
            </w:pPr>
            <w:r>
              <w:rPr>
                <w:color w:val="231F20"/>
                <w:sz w:val="24"/>
              </w:rPr>
              <w:t>Leading</w:t>
            </w:r>
            <w:r>
              <w:rPr>
                <w:color w:val="231F20"/>
                <w:spacing w:val="-4"/>
                <w:sz w:val="24"/>
              </w:rPr>
              <w:t xml:space="preserve"> </w:t>
            </w:r>
            <w:r>
              <w:rPr>
                <w:color w:val="231F20"/>
                <w:sz w:val="24"/>
              </w:rPr>
              <w:t>Senior</w:t>
            </w:r>
            <w:r>
              <w:rPr>
                <w:color w:val="231F20"/>
                <w:spacing w:val="-3"/>
                <w:sz w:val="24"/>
              </w:rPr>
              <w:t xml:space="preserve"> </w:t>
            </w:r>
            <w:r>
              <w:rPr>
                <w:color w:val="231F20"/>
                <w:spacing w:val="-2"/>
                <w:sz w:val="24"/>
              </w:rPr>
              <w:t>Constable</w:t>
            </w:r>
          </w:p>
        </w:tc>
        <w:tc>
          <w:tcPr>
            <w:tcW w:w="2834" w:type="dxa"/>
            <w:tcBorders>
              <w:right w:val="dashed" w:sz="2" w:space="0" w:color="939598"/>
            </w:tcBorders>
          </w:tcPr>
          <w:p w14:paraId="0C9C4B8D" w14:textId="77777777" w:rsidR="00345EE3" w:rsidRDefault="00345EE3" w:rsidP="00D73130">
            <w:pPr>
              <w:pStyle w:val="TableParagraph"/>
              <w:spacing w:before="61"/>
              <w:jc w:val="left"/>
              <w:rPr>
                <w:sz w:val="24"/>
              </w:rPr>
            </w:pPr>
            <w:r>
              <w:rPr>
                <w:color w:val="231F20"/>
                <w:spacing w:val="-2"/>
                <w:sz w:val="24"/>
              </w:rPr>
              <w:t>David</w:t>
            </w:r>
            <w:r>
              <w:rPr>
                <w:color w:val="231F20"/>
                <w:spacing w:val="-8"/>
                <w:sz w:val="24"/>
              </w:rPr>
              <w:t xml:space="preserve"> </w:t>
            </w:r>
            <w:r>
              <w:rPr>
                <w:color w:val="231F20"/>
                <w:spacing w:val="-2"/>
                <w:sz w:val="24"/>
              </w:rPr>
              <w:t>Anthony</w:t>
            </w:r>
          </w:p>
        </w:tc>
        <w:tc>
          <w:tcPr>
            <w:tcW w:w="2834" w:type="dxa"/>
            <w:tcBorders>
              <w:left w:val="dashed" w:sz="2" w:space="0" w:color="939598"/>
              <w:right w:val="nil"/>
            </w:tcBorders>
          </w:tcPr>
          <w:p w14:paraId="630B1798" w14:textId="77777777" w:rsidR="00345EE3" w:rsidRDefault="00345EE3" w:rsidP="00D73130">
            <w:pPr>
              <w:pStyle w:val="TableParagraph"/>
              <w:spacing w:before="61"/>
              <w:ind w:left="1"/>
              <w:jc w:val="left"/>
              <w:rPr>
                <w:sz w:val="24"/>
              </w:rPr>
            </w:pPr>
            <w:r>
              <w:rPr>
                <w:color w:val="231F20"/>
                <w:spacing w:val="-4"/>
                <w:sz w:val="24"/>
              </w:rPr>
              <w:t>Rook</w:t>
            </w:r>
          </w:p>
        </w:tc>
      </w:tr>
      <w:tr w:rsidR="00345EE3" w14:paraId="3C843CDB" w14:textId="77777777" w:rsidTr="00D73130">
        <w:trPr>
          <w:trHeight w:val="396"/>
        </w:trPr>
        <w:tc>
          <w:tcPr>
            <w:tcW w:w="4535" w:type="dxa"/>
            <w:tcBorders>
              <w:left w:val="nil"/>
            </w:tcBorders>
          </w:tcPr>
          <w:p w14:paraId="5EECADBB" w14:textId="77777777" w:rsidR="00345EE3" w:rsidRDefault="00345EE3" w:rsidP="00D73130">
            <w:pPr>
              <w:pStyle w:val="TableParagraph"/>
              <w:spacing w:before="61"/>
              <w:ind w:left="-3"/>
              <w:jc w:val="left"/>
              <w:rPr>
                <w:sz w:val="24"/>
              </w:rPr>
            </w:pPr>
            <w:r>
              <w:rPr>
                <w:color w:val="231F20"/>
                <w:sz w:val="24"/>
              </w:rPr>
              <w:t>Leading</w:t>
            </w:r>
            <w:r>
              <w:rPr>
                <w:color w:val="231F20"/>
                <w:spacing w:val="-4"/>
                <w:sz w:val="24"/>
              </w:rPr>
              <w:t xml:space="preserve"> </w:t>
            </w:r>
            <w:r>
              <w:rPr>
                <w:color w:val="231F20"/>
                <w:sz w:val="24"/>
              </w:rPr>
              <w:t>Senior</w:t>
            </w:r>
            <w:r>
              <w:rPr>
                <w:color w:val="231F20"/>
                <w:spacing w:val="-3"/>
                <w:sz w:val="24"/>
              </w:rPr>
              <w:t xml:space="preserve"> </w:t>
            </w:r>
            <w:r>
              <w:rPr>
                <w:color w:val="231F20"/>
                <w:spacing w:val="-2"/>
                <w:sz w:val="24"/>
              </w:rPr>
              <w:t>Constable</w:t>
            </w:r>
          </w:p>
        </w:tc>
        <w:tc>
          <w:tcPr>
            <w:tcW w:w="2834" w:type="dxa"/>
            <w:tcBorders>
              <w:right w:val="dashed" w:sz="2" w:space="0" w:color="939598"/>
            </w:tcBorders>
          </w:tcPr>
          <w:p w14:paraId="38D1C0A4" w14:textId="77777777" w:rsidR="00345EE3" w:rsidRDefault="00345EE3" w:rsidP="00D73130">
            <w:pPr>
              <w:pStyle w:val="TableParagraph"/>
              <w:spacing w:before="61"/>
              <w:jc w:val="left"/>
              <w:rPr>
                <w:sz w:val="24"/>
              </w:rPr>
            </w:pPr>
            <w:r>
              <w:rPr>
                <w:color w:val="231F20"/>
                <w:sz w:val="24"/>
              </w:rPr>
              <w:t xml:space="preserve">Graham </w:t>
            </w:r>
            <w:r>
              <w:rPr>
                <w:color w:val="231F20"/>
                <w:spacing w:val="-2"/>
                <w:sz w:val="24"/>
              </w:rPr>
              <w:t>Keith</w:t>
            </w:r>
          </w:p>
        </w:tc>
        <w:tc>
          <w:tcPr>
            <w:tcW w:w="2834" w:type="dxa"/>
            <w:tcBorders>
              <w:left w:val="dashed" w:sz="2" w:space="0" w:color="939598"/>
              <w:right w:val="nil"/>
            </w:tcBorders>
          </w:tcPr>
          <w:p w14:paraId="61D82805" w14:textId="77777777" w:rsidR="00345EE3" w:rsidRDefault="00345EE3" w:rsidP="00D73130">
            <w:pPr>
              <w:pStyle w:val="TableParagraph"/>
              <w:spacing w:before="61"/>
              <w:ind w:left="1"/>
              <w:jc w:val="left"/>
              <w:rPr>
                <w:sz w:val="24"/>
              </w:rPr>
            </w:pPr>
            <w:r>
              <w:rPr>
                <w:color w:val="231F20"/>
                <w:spacing w:val="-2"/>
                <w:sz w:val="24"/>
              </w:rPr>
              <w:t>Shoobert</w:t>
            </w:r>
          </w:p>
        </w:tc>
      </w:tr>
      <w:tr w:rsidR="00345EE3" w14:paraId="60CFC3CC" w14:textId="77777777" w:rsidTr="00D73130">
        <w:trPr>
          <w:trHeight w:val="396"/>
        </w:trPr>
        <w:tc>
          <w:tcPr>
            <w:tcW w:w="4535" w:type="dxa"/>
            <w:tcBorders>
              <w:left w:val="nil"/>
            </w:tcBorders>
          </w:tcPr>
          <w:p w14:paraId="381F6CC2" w14:textId="77777777" w:rsidR="00345EE3" w:rsidRDefault="00345EE3" w:rsidP="00D73130">
            <w:pPr>
              <w:pStyle w:val="TableParagraph"/>
              <w:spacing w:before="61"/>
              <w:ind w:left="-3"/>
              <w:jc w:val="left"/>
              <w:rPr>
                <w:sz w:val="24"/>
              </w:rPr>
            </w:pPr>
            <w:r>
              <w:rPr>
                <w:color w:val="231F20"/>
                <w:spacing w:val="-2"/>
                <w:sz w:val="24"/>
              </w:rPr>
              <w:t>Commander</w:t>
            </w:r>
          </w:p>
        </w:tc>
        <w:tc>
          <w:tcPr>
            <w:tcW w:w="2834" w:type="dxa"/>
            <w:tcBorders>
              <w:right w:val="dashed" w:sz="2" w:space="0" w:color="939598"/>
            </w:tcBorders>
          </w:tcPr>
          <w:p w14:paraId="289C2818" w14:textId="77777777" w:rsidR="00345EE3" w:rsidRDefault="00345EE3" w:rsidP="00D73130">
            <w:pPr>
              <w:pStyle w:val="TableParagraph"/>
              <w:spacing w:before="61"/>
              <w:jc w:val="left"/>
              <w:rPr>
                <w:sz w:val="24"/>
              </w:rPr>
            </w:pPr>
            <w:r>
              <w:rPr>
                <w:color w:val="231F20"/>
                <w:spacing w:val="-2"/>
                <w:sz w:val="24"/>
              </w:rPr>
              <w:t>Timothy</w:t>
            </w:r>
            <w:r>
              <w:rPr>
                <w:color w:val="231F20"/>
                <w:spacing w:val="-14"/>
                <w:sz w:val="24"/>
              </w:rPr>
              <w:t xml:space="preserve"> </w:t>
            </w:r>
            <w:r>
              <w:rPr>
                <w:color w:val="231F20"/>
                <w:spacing w:val="-2"/>
                <w:sz w:val="24"/>
              </w:rPr>
              <w:t>Austin</w:t>
            </w:r>
          </w:p>
        </w:tc>
        <w:tc>
          <w:tcPr>
            <w:tcW w:w="2834" w:type="dxa"/>
            <w:tcBorders>
              <w:left w:val="dashed" w:sz="2" w:space="0" w:color="939598"/>
              <w:right w:val="nil"/>
            </w:tcBorders>
          </w:tcPr>
          <w:p w14:paraId="09BADD7D" w14:textId="77777777" w:rsidR="00345EE3" w:rsidRDefault="00345EE3" w:rsidP="00D73130">
            <w:pPr>
              <w:pStyle w:val="TableParagraph"/>
              <w:spacing w:before="61"/>
              <w:ind w:left="1"/>
              <w:jc w:val="left"/>
              <w:rPr>
                <w:sz w:val="24"/>
              </w:rPr>
            </w:pPr>
            <w:r>
              <w:rPr>
                <w:color w:val="231F20"/>
                <w:spacing w:val="-2"/>
                <w:sz w:val="24"/>
              </w:rPr>
              <w:t>Tully</w:t>
            </w:r>
          </w:p>
        </w:tc>
      </w:tr>
      <w:tr w:rsidR="00345EE3" w14:paraId="10AB87B2" w14:textId="77777777" w:rsidTr="00D73130">
        <w:trPr>
          <w:trHeight w:val="396"/>
        </w:trPr>
        <w:tc>
          <w:tcPr>
            <w:tcW w:w="4535" w:type="dxa"/>
            <w:tcBorders>
              <w:left w:val="nil"/>
            </w:tcBorders>
          </w:tcPr>
          <w:p w14:paraId="1D975C94" w14:textId="77777777" w:rsidR="00345EE3" w:rsidRDefault="00345EE3" w:rsidP="00D73130">
            <w:pPr>
              <w:pStyle w:val="TableParagraph"/>
              <w:spacing w:before="61"/>
              <w:ind w:left="-3"/>
              <w:jc w:val="left"/>
              <w:rPr>
                <w:sz w:val="24"/>
              </w:rPr>
            </w:pPr>
            <w:r>
              <w:rPr>
                <w:color w:val="231F20"/>
                <w:spacing w:val="-2"/>
                <w:sz w:val="24"/>
              </w:rPr>
              <w:t>Superintendent</w:t>
            </w:r>
          </w:p>
        </w:tc>
        <w:tc>
          <w:tcPr>
            <w:tcW w:w="2834" w:type="dxa"/>
            <w:tcBorders>
              <w:right w:val="dashed" w:sz="2" w:space="0" w:color="939598"/>
            </w:tcBorders>
          </w:tcPr>
          <w:p w14:paraId="52C749B8" w14:textId="77777777" w:rsidR="00345EE3" w:rsidRDefault="00345EE3" w:rsidP="00D73130">
            <w:pPr>
              <w:pStyle w:val="TableParagraph"/>
              <w:spacing w:before="61"/>
              <w:jc w:val="left"/>
              <w:rPr>
                <w:sz w:val="24"/>
              </w:rPr>
            </w:pPr>
            <w:r>
              <w:rPr>
                <w:color w:val="231F20"/>
                <w:sz w:val="24"/>
              </w:rPr>
              <w:t xml:space="preserve">Peter </w:t>
            </w:r>
            <w:r>
              <w:rPr>
                <w:color w:val="231F20"/>
                <w:spacing w:val="-4"/>
                <w:sz w:val="24"/>
              </w:rPr>
              <w:t>John</w:t>
            </w:r>
          </w:p>
        </w:tc>
        <w:tc>
          <w:tcPr>
            <w:tcW w:w="2834" w:type="dxa"/>
            <w:tcBorders>
              <w:left w:val="dashed" w:sz="2" w:space="0" w:color="939598"/>
              <w:right w:val="nil"/>
            </w:tcBorders>
          </w:tcPr>
          <w:p w14:paraId="4263FB46" w14:textId="77777777" w:rsidR="00345EE3" w:rsidRDefault="00345EE3" w:rsidP="00D73130">
            <w:pPr>
              <w:pStyle w:val="TableParagraph"/>
              <w:spacing w:before="61"/>
              <w:ind w:left="1"/>
              <w:jc w:val="left"/>
              <w:rPr>
                <w:sz w:val="24"/>
              </w:rPr>
            </w:pPr>
            <w:r>
              <w:rPr>
                <w:color w:val="231F20"/>
                <w:spacing w:val="-4"/>
                <w:sz w:val="24"/>
              </w:rPr>
              <w:t>Ward</w:t>
            </w:r>
          </w:p>
        </w:tc>
      </w:tr>
      <w:tr w:rsidR="00345EE3" w14:paraId="2072AC0B" w14:textId="77777777" w:rsidTr="00D73130">
        <w:trPr>
          <w:trHeight w:val="398"/>
        </w:trPr>
        <w:tc>
          <w:tcPr>
            <w:tcW w:w="4535" w:type="dxa"/>
            <w:tcBorders>
              <w:left w:val="nil"/>
              <w:bottom w:val="nil"/>
            </w:tcBorders>
          </w:tcPr>
          <w:p w14:paraId="1F817449" w14:textId="77777777" w:rsidR="00345EE3" w:rsidRDefault="00345EE3" w:rsidP="00D73130">
            <w:pPr>
              <w:pStyle w:val="TableParagraph"/>
              <w:spacing w:before="61"/>
              <w:ind w:left="-3"/>
              <w:jc w:val="left"/>
              <w:rPr>
                <w:sz w:val="24"/>
              </w:rPr>
            </w:pPr>
            <w:r>
              <w:rPr>
                <w:color w:val="231F20"/>
                <w:spacing w:val="-2"/>
                <w:sz w:val="24"/>
              </w:rPr>
              <w:t>Inspector</w:t>
            </w:r>
          </w:p>
        </w:tc>
        <w:tc>
          <w:tcPr>
            <w:tcW w:w="2834" w:type="dxa"/>
            <w:tcBorders>
              <w:bottom w:val="nil"/>
              <w:right w:val="dashed" w:sz="2" w:space="0" w:color="939598"/>
            </w:tcBorders>
          </w:tcPr>
          <w:p w14:paraId="4456C5F9" w14:textId="77777777" w:rsidR="00345EE3" w:rsidRDefault="00345EE3" w:rsidP="00D73130">
            <w:pPr>
              <w:pStyle w:val="TableParagraph"/>
              <w:spacing w:before="61"/>
              <w:jc w:val="left"/>
              <w:rPr>
                <w:sz w:val="24"/>
              </w:rPr>
            </w:pPr>
            <w:r>
              <w:rPr>
                <w:color w:val="231F20"/>
                <w:sz w:val="24"/>
              </w:rPr>
              <w:t>Caroline</w:t>
            </w:r>
            <w:r>
              <w:rPr>
                <w:color w:val="231F20"/>
                <w:spacing w:val="-8"/>
                <w:sz w:val="24"/>
              </w:rPr>
              <w:t xml:space="preserve"> </w:t>
            </w:r>
            <w:r>
              <w:rPr>
                <w:color w:val="231F20"/>
                <w:spacing w:val="-4"/>
                <w:sz w:val="24"/>
              </w:rPr>
              <w:t>Peta</w:t>
            </w:r>
          </w:p>
        </w:tc>
        <w:tc>
          <w:tcPr>
            <w:tcW w:w="2834" w:type="dxa"/>
            <w:tcBorders>
              <w:left w:val="dashed" w:sz="2" w:space="0" w:color="939598"/>
              <w:bottom w:val="nil"/>
              <w:right w:val="nil"/>
            </w:tcBorders>
          </w:tcPr>
          <w:p w14:paraId="4FF5B6CD" w14:textId="77777777" w:rsidR="00345EE3" w:rsidRDefault="00345EE3" w:rsidP="00D73130">
            <w:pPr>
              <w:pStyle w:val="TableParagraph"/>
              <w:spacing w:before="61"/>
              <w:ind w:left="1"/>
              <w:jc w:val="left"/>
              <w:rPr>
                <w:sz w:val="24"/>
              </w:rPr>
            </w:pPr>
            <w:r>
              <w:rPr>
                <w:color w:val="231F20"/>
                <w:spacing w:val="-4"/>
                <w:sz w:val="24"/>
              </w:rPr>
              <w:t>West</w:t>
            </w:r>
          </w:p>
        </w:tc>
      </w:tr>
      <w:tr w:rsidR="00345EE3" w14:paraId="0A0E77EC" w14:textId="77777777" w:rsidTr="00D73130">
        <w:trPr>
          <w:trHeight w:val="401"/>
        </w:trPr>
        <w:tc>
          <w:tcPr>
            <w:tcW w:w="10203" w:type="dxa"/>
            <w:gridSpan w:val="3"/>
            <w:tcBorders>
              <w:top w:val="nil"/>
              <w:left w:val="nil"/>
              <w:bottom w:val="nil"/>
              <w:right w:val="nil"/>
            </w:tcBorders>
            <w:shd w:val="clear" w:color="auto" w:fill="00529F"/>
          </w:tcPr>
          <w:p w14:paraId="6A3EE61B" w14:textId="77777777" w:rsidR="00345EE3" w:rsidRDefault="00345EE3" w:rsidP="00D73130">
            <w:pPr>
              <w:pStyle w:val="TableParagraph"/>
              <w:spacing w:before="63"/>
              <w:ind w:left="-1"/>
              <w:jc w:val="left"/>
              <w:rPr>
                <w:b/>
                <w:sz w:val="24"/>
              </w:rPr>
            </w:pPr>
            <w:r>
              <w:rPr>
                <w:b/>
                <w:color w:val="FFFFFF"/>
                <w:sz w:val="24"/>
              </w:rPr>
              <w:t>Australian</w:t>
            </w:r>
            <w:r>
              <w:rPr>
                <w:b/>
                <w:color w:val="FFFFFF"/>
                <w:spacing w:val="-3"/>
                <w:sz w:val="24"/>
              </w:rPr>
              <w:t xml:space="preserve"> </w:t>
            </w:r>
            <w:r>
              <w:rPr>
                <w:b/>
                <w:color w:val="FFFFFF"/>
                <w:sz w:val="24"/>
              </w:rPr>
              <w:t>Bravery</w:t>
            </w:r>
            <w:r>
              <w:rPr>
                <w:b/>
                <w:color w:val="FFFFFF"/>
                <w:spacing w:val="-3"/>
                <w:sz w:val="24"/>
              </w:rPr>
              <w:t xml:space="preserve"> </w:t>
            </w:r>
            <w:r>
              <w:rPr>
                <w:b/>
                <w:color w:val="FFFFFF"/>
                <w:sz w:val="24"/>
              </w:rPr>
              <w:t>Medal</w:t>
            </w:r>
            <w:r>
              <w:rPr>
                <w:b/>
                <w:color w:val="FFFFFF"/>
                <w:spacing w:val="-1"/>
                <w:sz w:val="24"/>
              </w:rPr>
              <w:t xml:space="preserve"> </w:t>
            </w:r>
            <w:r>
              <w:rPr>
                <w:b/>
                <w:color w:val="FFFFFF"/>
                <w:spacing w:val="-4"/>
                <w:sz w:val="24"/>
              </w:rPr>
              <w:t>(BM)</w:t>
            </w:r>
          </w:p>
        </w:tc>
      </w:tr>
      <w:tr w:rsidR="00345EE3" w14:paraId="78387753" w14:textId="77777777" w:rsidTr="00D73130">
        <w:trPr>
          <w:trHeight w:val="399"/>
        </w:trPr>
        <w:tc>
          <w:tcPr>
            <w:tcW w:w="4535" w:type="dxa"/>
            <w:tcBorders>
              <w:top w:val="nil"/>
              <w:left w:val="nil"/>
            </w:tcBorders>
          </w:tcPr>
          <w:p w14:paraId="681B519A"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tcBorders>
          </w:tcPr>
          <w:p w14:paraId="7B167BF9"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right w:val="nil"/>
            </w:tcBorders>
          </w:tcPr>
          <w:p w14:paraId="289F0967"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34BB91AB" w14:textId="77777777" w:rsidTr="00D73130">
        <w:trPr>
          <w:trHeight w:val="398"/>
        </w:trPr>
        <w:tc>
          <w:tcPr>
            <w:tcW w:w="4535" w:type="dxa"/>
            <w:tcBorders>
              <w:left w:val="nil"/>
              <w:bottom w:val="nil"/>
            </w:tcBorders>
          </w:tcPr>
          <w:p w14:paraId="2946B339" w14:textId="77777777" w:rsidR="00345EE3" w:rsidRDefault="00345EE3" w:rsidP="00D73130">
            <w:pPr>
              <w:pStyle w:val="TableParagraph"/>
              <w:spacing w:before="61"/>
              <w:ind w:left="-3"/>
              <w:jc w:val="left"/>
              <w:rPr>
                <w:sz w:val="24"/>
              </w:rPr>
            </w:pPr>
            <w:r>
              <w:rPr>
                <w:color w:val="231F20"/>
                <w:sz w:val="24"/>
              </w:rPr>
              <w:t xml:space="preserve">Senior </w:t>
            </w:r>
            <w:r>
              <w:rPr>
                <w:color w:val="231F20"/>
                <w:spacing w:val="-2"/>
                <w:sz w:val="24"/>
              </w:rPr>
              <w:t>Constable</w:t>
            </w:r>
          </w:p>
        </w:tc>
        <w:tc>
          <w:tcPr>
            <w:tcW w:w="2834" w:type="dxa"/>
            <w:tcBorders>
              <w:bottom w:val="nil"/>
            </w:tcBorders>
          </w:tcPr>
          <w:p w14:paraId="18566627" w14:textId="77777777" w:rsidR="00345EE3" w:rsidRDefault="00345EE3" w:rsidP="00D73130">
            <w:pPr>
              <w:pStyle w:val="TableParagraph"/>
              <w:spacing w:before="61"/>
              <w:jc w:val="left"/>
              <w:rPr>
                <w:sz w:val="24"/>
              </w:rPr>
            </w:pPr>
            <w:r>
              <w:rPr>
                <w:color w:val="231F20"/>
                <w:sz w:val="24"/>
              </w:rPr>
              <w:t xml:space="preserve">Samuel </w:t>
            </w:r>
            <w:r>
              <w:rPr>
                <w:color w:val="231F20"/>
                <w:spacing w:val="-2"/>
                <w:sz w:val="24"/>
              </w:rPr>
              <w:t>Joseph</w:t>
            </w:r>
          </w:p>
        </w:tc>
        <w:tc>
          <w:tcPr>
            <w:tcW w:w="2834" w:type="dxa"/>
            <w:tcBorders>
              <w:bottom w:val="nil"/>
              <w:right w:val="nil"/>
            </w:tcBorders>
          </w:tcPr>
          <w:p w14:paraId="4599B4D8" w14:textId="77777777" w:rsidR="00345EE3" w:rsidRDefault="00345EE3" w:rsidP="00D73130">
            <w:pPr>
              <w:pStyle w:val="TableParagraph"/>
              <w:spacing w:before="61"/>
              <w:ind w:left="1"/>
              <w:jc w:val="left"/>
              <w:rPr>
                <w:sz w:val="24"/>
              </w:rPr>
            </w:pPr>
            <w:r>
              <w:rPr>
                <w:color w:val="231F20"/>
                <w:spacing w:val="-2"/>
                <w:sz w:val="24"/>
              </w:rPr>
              <w:t>Clarkson</w:t>
            </w:r>
          </w:p>
        </w:tc>
      </w:tr>
      <w:tr w:rsidR="00345EE3" w14:paraId="3E6ADD6D" w14:textId="77777777" w:rsidTr="00D73130">
        <w:trPr>
          <w:trHeight w:val="401"/>
        </w:trPr>
        <w:tc>
          <w:tcPr>
            <w:tcW w:w="10203" w:type="dxa"/>
            <w:gridSpan w:val="3"/>
            <w:tcBorders>
              <w:top w:val="nil"/>
              <w:left w:val="nil"/>
              <w:bottom w:val="nil"/>
              <w:right w:val="nil"/>
            </w:tcBorders>
            <w:shd w:val="clear" w:color="auto" w:fill="00529F"/>
          </w:tcPr>
          <w:p w14:paraId="1AD026BD" w14:textId="77777777" w:rsidR="00345EE3" w:rsidRDefault="00345EE3" w:rsidP="00D73130">
            <w:pPr>
              <w:pStyle w:val="TableParagraph"/>
              <w:spacing w:before="63"/>
              <w:ind w:left="-1"/>
              <w:jc w:val="left"/>
              <w:rPr>
                <w:b/>
                <w:sz w:val="24"/>
              </w:rPr>
            </w:pPr>
            <w:r>
              <w:rPr>
                <w:b/>
                <w:color w:val="FFFFFF"/>
                <w:sz w:val="24"/>
              </w:rPr>
              <w:t>Commendation</w:t>
            </w:r>
            <w:r>
              <w:rPr>
                <w:b/>
                <w:color w:val="FFFFFF"/>
                <w:spacing w:val="-5"/>
                <w:sz w:val="24"/>
              </w:rPr>
              <w:t xml:space="preserve"> </w:t>
            </w:r>
            <w:r>
              <w:rPr>
                <w:b/>
                <w:color w:val="FFFFFF"/>
                <w:sz w:val="24"/>
              </w:rPr>
              <w:t>for</w:t>
            </w:r>
            <w:r>
              <w:rPr>
                <w:b/>
                <w:color w:val="FFFFFF"/>
                <w:spacing w:val="-5"/>
                <w:sz w:val="24"/>
              </w:rPr>
              <w:t xml:space="preserve"> </w:t>
            </w:r>
            <w:r>
              <w:rPr>
                <w:b/>
                <w:color w:val="FFFFFF"/>
                <w:sz w:val="24"/>
              </w:rPr>
              <w:t>Brave</w:t>
            </w:r>
            <w:r>
              <w:rPr>
                <w:b/>
                <w:color w:val="FFFFFF"/>
                <w:spacing w:val="-5"/>
                <w:sz w:val="24"/>
              </w:rPr>
              <w:t xml:space="preserve"> </w:t>
            </w:r>
            <w:r>
              <w:rPr>
                <w:b/>
                <w:color w:val="FFFFFF"/>
                <w:sz w:val="24"/>
              </w:rPr>
              <w:t>Conduct</w:t>
            </w:r>
            <w:r>
              <w:rPr>
                <w:b/>
                <w:color w:val="FFFFFF"/>
                <w:spacing w:val="-4"/>
                <w:sz w:val="24"/>
              </w:rPr>
              <w:t xml:space="preserve"> (CBC)</w:t>
            </w:r>
          </w:p>
        </w:tc>
      </w:tr>
      <w:tr w:rsidR="00345EE3" w14:paraId="24ADE608" w14:textId="77777777" w:rsidTr="00D73130">
        <w:trPr>
          <w:trHeight w:val="398"/>
        </w:trPr>
        <w:tc>
          <w:tcPr>
            <w:tcW w:w="4535" w:type="dxa"/>
            <w:tcBorders>
              <w:top w:val="nil"/>
              <w:left w:val="nil"/>
            </w:tcBorders>
          </w:tcPr>
          <w:p w14:paraId="24BD845A"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tcBorders>
          </w:tcPr>
          <w:p w14:paraId="158B3DCD"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right w:val="nil"/>
            </w:tcBorders>
          </w:tcPr>
          <w:p w14:paraId="19CE916E"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1C62055F" w14:textId="77777777" w:rsidTr="00D73130">
        <w:trPr>
          <w:trHeight w:val="396"/>
        </w:trPr>
        <w:tc>
          <w:tcPr>
            <w:tcW w:w="4535" w:type="dxa"/>
            <w:tcBorders>
              <w:left w:val="nil"/>
            </w:tcBorders>
          </w:tcPr>
          <w:p w14:paraId="3E5E75CE" w14:textId="77777777" w:rsidR="00345EE3" w:rsidRDefault="00345EE3" w:rsidP="00D73130">
            <w:pPr>
              <w:pStyle w:val="TableParagraph"/>
              <w:spacing w:before="61"/>
              <w:ind w:left="-3"/>
              <w:jc w:val="left"/>
              <w:rPr>
                <w:sz w:val="24"/>
              </w:rPr>
            </w:pPr>
            <w:r>
              <w:rPr>
                <w:color w:val="231F20"/>
                <w:sz w:val="24"/>
              </w:rPr>
              <w:t xml:space="preserve">Senior </w:t>
            </w:r>
            <w:r>
              <w:rPr>
                <w:color w:val="231F20"/>
                <w:spacing w:val="-2"/>
                <w:sz w:val="24"/>
              </w:rPr>
              <w:t>Constable</w:t>
            </w:r>
          </w:p>
        </w:tc>
        <w:tc>
          <w:tcPr>
            <w:tcW w:w="2834" w:type="dxa"/>
          </w:tcPr>
          <w:p w14:paraId="48DA42D1" w14:textId="77777777" w:rsidR="00345EE3" w:rsidRDefault="00345EE3" w:rsidP="00D73130">
            <w:pPr>
              <w:pStyle w:val="TableParagraph"/>
              <w:spacing w:before="61"/>
              <w:jc w:val="left"/>
              <w:rPr>
                <w:sz w:val="24"/>
              </w:rPr>
            </w:pPr>
            <w:r>
              <w:rPr>
                <w:color w:val="231F20"/>
                <w:sz w:val="24"/>
              </w:rPr>
              <w:t xml:space="preserve">Jessica </w:t>
            </w:r>
            <w:r>
              <w:rPr>
                <w:color w:val="231F20"/>
                <w:spacing w:val="-4"/>
                <w:sz w:val="24"/>
              </w:rPr>
              <w:t>Kate</w:t>
            </w:r>
          </w:p>
        </w:tc>
        <w:tc>
          <w:tcPr>
            <w:tcW w:w="2834" w:type="dxa"/>
            <w:tcBorders>
              <w:right w:val="nil"/>
            </w:tcBorders>
          </w:tcPr>
          <w:p w14:paraId="784223BD" w14:textId="77777777" w:rsidR="00345EE3" w:rsidRDefault="00345EE3" w:rsidP="00D73130">
            <w:pPr>
              <w:pStyle w:val="TableParagraph"/>
              <w:spacing w:before="61"/>
              <w:ind w:left="1"/>
              <w:jc w:val="left"/>
              <w:rPr>
                <w:sz w:val="24"/>
              </w:rPr>
            </w:pPr>
            <w:r>
              <w:rPr>
                <w:color w:val="231F20"/>
                <w:spacing w:val="-2"/>
                <w:sz w:val="24"/>
              </w:rPr>
              <w:t>Forcey</w:t>
            </w:r>
          </w:p>
        </w:tc>
      </w:tr>
      <w:tr w:rsidR="00345EE3" w14:paraId="1615DCEE" w14:textId="77777777" w:rsidTr="00D73130">
        <w:trPr>
          <w:trHeight w:val="399"/>
        </w:trPr>
        <w:tc>
          <w:tcPr>
            <w:tcW w:w="4535" w:type="dxa"/>
            <w:tcBorders>
              <w:left w:val="nil"/>
              <w:bottom w:val="nil"/>
            </w:tcBorders>
          </w:tcPr>
          <w:p w14:paraId="7774BCCA" w14:textId="77777777" w:rsidR="00345EE3" w:rsidRDefault="00345EE3" w:rsidP="00D73130">
            <w:pPr>
              <w:pStyle w:val="TableParagraph"/>
              <w:spacing w:before="61"/>
              <w:ind w:left="-3"/>
              <w:jc w:val="left"/>
              <w:rPr>
                <w:sz w:val="24"/>
              </w:rPr>
            </w:pPr>
            <w:r>
              <w:rPr>
                <w:color w:val="231F20"/>
                <w:sz w:val="24"/>
              </w:rPr>
              <w:t xml:space="preserve">Senior </w:t>
            </w:r>
            <w:r>
              <w:rPr>
                <w:color w:val="231F20"/>
                <w:spacing w:val="-2"/>
                <w:sz w:val="24"/>
              </w:rPr>
              <w:t>Constable</w:t>
            </w:r>
          </w:p>
        </w:tc>
        <w:tc>
          <w:tcPr>
            <w:tcW w:w="2834" w:type="dxa"/>
            <w:tcBorders>
              <w:bottom w:val="nil"/>
            </w:tcBorders>
          </w:tcPr>
          <w:p w14:paraId="547B82D3" w14:textId="77777777" w:rsidR="00345EE3" w:rsidRDefault="00345EE3" w:rsidP="00D73130">
            <w:pPr>
              <w:pStyle w:val="TableParagraph"/>
              <w:spacing w:before="61"/>
              <w:jc w:val="left"/>
              <w:rPr>
                <w:sz w:val="24"/>
              </w:rPr>
            </w:pPr>
            <w:r>
              <w:rPr>
                <w:color w:val="231F20"/>
                <w:sz w:val="24"/>
              </w:rPr>
              <w:t xml:space="preserve">Julie </w:t>
            </w:r>
            <w:r>
              <w:rPr>
                <w:color w:val="231F20"/>
                <w:spacing w:val="-2"/>
                <w:sz w:val="24"/>
              </w:rPr>
              <w:t>Susan</w:t>
            </w:r>
          </w:p>
        </w:tc>
        <w:tc>
          <w:tcPr>
            <w:tcW w:w="2834" w:type="dxa"/>
            <w:tcBorders>
              <w:bottom w:val="nil"/>
              <w:right w:val="nil"/>
            </w:tcBorders>
          </w:tcPr>
          <w:p w14:paraId="2156B2CB" w14:textId="77777777" w:rsidR="00345EE3" w:rsidRDefault="00345EE3" w:rsidP="00D73130">
            <w:pPr>
              <w:pStyle w:val="TableParagraph"/>
              <w:spacing w:before="61"/>
              <w:ind w:left="1"/>
              <w:jc w:val="left"/>
              <w:rPr>
                <w:sz w:val="24"/>
              </w:rPr>
            </w:pPr>
            <w:r>
              <w:rPr>
                <w:color w:val="231F20"/>
                <w:spacing w:val="-2"/>
                <w:sz w:val="24"/>
              </w:rPr>
              <w:t>Morris</w:t>
            </w:r>
          </w:p>
        </w:tc>
      </w:tr>
      <w:tr w:rsidR="00345EE3" w14:paraId="4B5C68DF" w14:textId="77777777" w:rsidTr="00D73130">
        <w:trPr>
          <w:trHeight w:val="401"/>
        </w:trPr>
        <w:tc>
          <w:tcPr>
            <w:tcW w:w="10203" w:type="dxa"/>
            <w:gridSpan w:val="3"/>
            <w:tcBorders>
              <w:top w:val="nil"/>
              <w:left w:val="nil"/>
              <w:bottom w:val="nil"/>
              <w:right w:val="nil"/>
            </w:tcBorders>
            <w:shd w:val="clear" w:color="auto" w:fill="00529F"/>
          </w:tcPr>
          <w:p w14:paraId="5FC95F5D" w14:textId="77777777" w:rsidR="00345EE3" w:rsidRDefault="00345EE3" w:rsidP="00D73130">
            <w:pPr>
              <w:pStyle w:val="TableParagraph"/>
              <w:spacing w:before="63"/>
              <w:ind w:left="-1"/>
              <w:jc w:val="left"/>
              <w:rPr>
                <w:b/>
                <w:sz w:val="24"/>
              </w:rPr>
            </w:pPr>
            <w:r>
              <w:rPr>
                <w:b/>
                <w:color w:val="FFFFFF"/>
                <w:sz w:val="24"/>
              </w:rPr>
              <w:t>Royal</w:t>
            </w:r>
            <w:r>
              <w:rPr>
                <w:b/>
                <w:color w:val="FFFFFF"/>
                <w:spacing w:val="-5"/>
                <w:sz w:val="24"/>
              </w:rPr>
              <w:t xml:space="preserve"> </w:t>
            </w:r>
            <w:r>
              <w:rPr>
                <w:b/>
                <w:color w:val="FFFFFF"/>
                <w:sz w:val="24"/>
              </w:rPr>
              <w:t>Humane</w:t>
            </w:r>
            <w:r>
              <w:rPr>
                <w:b/>
                <w:color w:val="FFFFFF"/>
                <w:spacing w:val="-6"/>
                <w:sz w:val="24"/>
              </w:rPr>
              <w:t xml:space="preserve"> </w:t>
            </w:r>
            <w:r>
              <w:rPr>
                <w:b/>
                <w:color w:val="FFFFFF"/>
                <w:sz w:val="24"/>
              </w:rPr>
              <w:t>Society</w:t>
            </w:r>
            <w:r>
              <w:rPr>
                <w:b/>
                <w:color w:val="FFFFFF"/>
                <w:spacing w:val="-6"/>
                <w:sz w:val="24"/>
              </w:rPr>
              <w:t xml:space="preserve"> </w:t>
            </w:r>
            <w:r>
              <w:rPr>
                <w:b/>
                <w:color w:val="FFFFFF"/>
                <w:sz w:val="24"/>
              </w:rPr>
              <w:t>Bronze</w:t>
            </w:r>
            <w:r>
              <w:rPr>
                <w:b/>
                <w:color w:val="FFFFFF"/>
                <w:spacing w:val="-5"/>
                <w:sz w:val="24"/>
              </w:rPr>
              <w:t xml:space="preserve"> </w:t>
            </w:r>
            <w:r>
              <w:rPr>
                <w:b/>
                <w:color w:val="FFFFFF"/>
                <w:spacing w:val="-4"/>
                <w:sz w:val="24"/>
              </w:rPr>
              <w:t>Medal</w:t>
            </w:r>
          </w:p>
        </w:tc>
      </w:tr>
      <w:tr w:rsidR="00345EE3" w14:paraId="7060676E" w14:textId="77777777" w:rsidTr="00D73130">
        <w:trPr>
          <w:trHeight w:val="398"/>
        </w:trPr>
        <w:tc>
          <w:tcPr>
            <w:tcW w:w="4535" w:type="dxa"/>
            <w:tcBorders>
              <w:top w:val="nil"/>
              <w:left w:val="nil"/>
            </w:tcBorders>
          </w:tcPr>
          <w:p w14:paraId="3330170B"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tcBorders>
          </w:tcPr>
          <w:p w14:paraId="56F0C747"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right w:val="nil"/>
            </w:tcBorders>
          </w:tcPr>
          <w:p w14:paraId="6E19D72A"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0672C8BA" w14:textId="77777777" w:rsidTr="00D73130">
        <w:trPr>
          <w:trHeight w:val="398"/>
        </w:trPr>
        <w:tc>
          <w:tcPr>
            <w:tcW w:w="4535" w:type="dxa"/>
            <w:tcBorders>
              <w:left w:val="nil"/>
              <w:bottom w:val="nil"/>
            </w:tcBorders>
          </w:tcPr>
          <w:p w14:paraId="3D6CECDC" w14:textId="77777777" w:rsidR="00345EE3" w:rsidRDefault="00345EE3" w:rsidP="00D73130">
            <w:pPr>
              <w:pStyle w:val="TableParagraph"/>
              <w:spacing w:before="61"/>
              <w:ind w:left="-3"/>
              <w:jc w:val="left"/>
              <w:rPr>
                <w:sz w:val="24"/>
              </w:rPr>
            </w:pPr>
            <w:r>
              <w:rPr>
                <w:color w:val="231F20"/>
                <w:sz w:val="24"/>
              </w:rPr>
              <w:t xml:space="preserve">Senior </w:t>
            </w:r>
            <w:r>
              <w:rPr>
                <w:color w:val="231F20"/>
                <w:spacing w:val="-2"/>
                <w:sz w:val="24"/>
              </w:rPr>
              <w:t>Constable</w:t>
            </w:r>
          </w:p>
        </w:tc>
        <w:tc>
          <w:tcPr>
            <w:tcW w:w="2834" w:type="dxa"/>
            <w:tcBorders>
              <w:bottom w:val="nil"/>
            </w:tcBorders>
          </w:tcPr>
          <w:p w14:paraId="16C77E2E" w14:textId="77777777" w:rsidR="00345EE3" w:rsidRDefault="00345EE3" w:rsidP="00D73130">
            <w:pPr>
              <w:pStyle w:val="TableParagraph"/>
              <w:spacing w:before="61"/>
              <w:jc w:val="left"/>
              <w:rPr>
                <w:sz w:val="24"/>
              </w:rPr>
            </w:pPr>
            <w:r>
              <w:rPr>
                <w:color w:val="231F20"/>
                <w:sz w:val="24"/>
              </w:rPr>
              <w:t>Cade</w:t>
            </w:r>
            <w:r>
              <w:rPr>
                <w:color w:val="231F20"/>
                <w:spacing w:val="-4"/>
                <w:sz w:val="24"/>
              </w:rPr>
              <w:t xml:space="preserve"> </w:t>
            </w:r>
            <w:r>
              <w:rPr>
                <w:color w:val="231F20"/>
                <w:spacing w:val="-2"/>
                <w:sz w:val="24"/>
              </w:rPr>
              <w:t>Matthew</w:t>
            </w:r>
          </w:p>
        </w:tc>
        <w:tc>
          <w:tcPr>
            <w:tcW w:w="2834" w:type="dxa"/>
            <w:tcBorders>
              <w:bottom w:val="nil"/>
              <w:right w:val="nil"/>
            </w:tcBorders>
          </w:tcPr>
          <w:p w14:paraId="7E405E68" w14:textId="77777777" w:rsidR="00345EE3" w:rsidRDefault="00345EE3" w:rsidP="00D73130">
            <w:pPr>
              <w:pStyle w:val="TableParagraph"/>
              <w:spacing w:before="61"/>
              <w:ind w:left="1"/>
              <w:jc w:val="left"/>
              <w:rPr>
                <w:sz w:val="24"/>
              </w:rPr>
            </w:pPr>
            <w:r>
              <w:rPr>
                <w:color w:val="231F20"/>
                <w:spacing w:val="-4"/>
                <w:sz w:val="24"/>
              </w:rPr>
              <w:t>Vagg</w:t>
            </w:r>
          </w:p>
        </w:tc>
      </w:tr>
    </w:tbl>
    <w:p w14:paraId="7C8B2E4E" w14:textId="77777777" w:rsidR="00345EE3" w:rsidRDefault="00345EE3" w:rsidP="00345EE3">
      <w:pPr>
        <w:rPr>
          <w:sz w:val="24"/>
        </w:rPr>
        <w:sectPr w:rsidR="00345EE3">
          <w:pgSz w:w="11910" w:h="16840"/>
          <w:pgMar w:top="700" w:right="740" w:bottom="718" w:left="700" w:header="720" w:footer="720" w:gutter="0"/>
          <w:cols w:space="720"/>
        </w:sectPr>
      </w:pPr>
    </w:p>
    <w:tbl>
      <w:tblPr>
        <w:tblW w:w="0" w:type="auto"/>
        <w:tblInd w:w="15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535"/>
        <w:gridCol w:w="2834"/>
        <w:gridCol w:w="2834"/>
      </w:tblGrid>
      <w:tr w:rsidR="00345EE3" w14:paraId="78EF73E1" w14:textId="77777777" w:rsidTr="00D73130">
        <w:trPr>
          <w:trHeight w:val="401"/>
        </w:trPr>
        <w:tc>
          <w:tcPr>
            <w:tcW w:w="10203" w:type="dxa"/>
            <w:gridSpan w:val="3"/>
            <w:tcBorders>
              <w:top w:val="nil"/>
              <w:left w:val="nil"/>
              <w:bottom w:val="nil"/>
              <w:right w:val="nil"/>
            </w:tcBorders>
            <w:shd w:val="clear" w:color="auto" w:fill="00529F"/>
          </w:tcPr>
          <w:p w14:paraId="027C6305" w14:textId="77777777" w:rsidR="00345EE3" w:rsidRDefault="00345EE3" w:rsidP="00D73130">
            <w:pPr>
              <w:pStyle w:val="TableParagraph"/>
              <w:spacing w:before="63"/>
              <w:jc w:val="left"/>
              <w:rPr>
                <w:b/>
                <w:sz w:val="24"/>
              </w:rPr>
            </w:pPr>
            <w:r>
              <w:rPr>
                <w:b/>
                <w:color w:val="FFFFFF"/>
                <w:sz w:val="24"/>
              </w:rPr>
              <w:t>Medal</w:t>
            </w:r>
            <w:r>
              <w:rPr>
                <w:b/>
                <w:color w:val="FFFFFF"/>
                <w:spacing w:val="-1"/>
                <w:sz w:val="24"/>
              </w:rPr>
              <w:t xml:space="preserve"> </w:t>
            </w:r>
            <w:r>
              <w:rPr>
                <w:b/>
                <w:color w:val="FFFFFF"/>
                <w:sz w:val="24"/>
              </w:rPr>
              <w:t>for</w:t>
            </w:r>
            <w:r>
              <w:rPr>
                <w:b/>
                <w:color w:val="FFFFFF"/>
                <w:spacing w:val="1"/>
                <w:sz w:val="24"/>
              </w:rPr>
              <w:t xml:space="preserve"> </w:t>
            </w:r>
            <w:r>
              <w:rPr>
                <w:b/>
                <w:color w:val="FFFFFF"/>
                <w:spacing w:val="-2"/>
                <w:sz w:val="24"/>
              </w:rPr>
              <w:t>Courage</w:t>
            </w:r>
          </w:p>
        </w:tc>
      </w:tr>
      <w:tr w:rsidR="00345EE3" w14:paraId="2391587C" w14:textId="77777777" w:rsidTr="00D73130">
        <w:trPr>
          <w:trHeight w:val="398"/>
        </w:trPr>
        <w:tc>
          <w:tcPr>
            <w:tcW w:w="4535" w:type="dxa"/>
            <w:tcBorders>
              <w:top w:val="nil"/>
              <w:left w:val="nil"/>
            </w:tcBorders>
          </w:tcPr>
          <w:p w14:paraId="153D805F"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tcBorders>
          </w:tcPr>
          <w:p w14:paraId="737269D7"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right w:val="nil"/>
            </w:tcBorders>
          </w:tcPr>
          <w:p w14:paraId="07535931"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4AC8FB4A" w14:textId="77777777" w:rsidTr="00D73130">
        <w:trPr>
          <w:trHeight w:val="396"/>
        </w:trPr>
        <w:tc>
          <w:tcPr>
            <w:tcW w:w="4535" w:type="dxa"/>
            <w:tcBorders>
              <w:left w:val="nil"/>
            </w:tcBorders>
          </w:tcPr>
          <w:p w14:paraId="19FC62EB" w14:textId="77777777" w:rsidR="00345EE3" w:rsidRDefault="00345EE3" w:rsidP="00D73130">
            <w:pPr>
              <w:pStyle w:val="TableParagraph"/>
              <w:ind w:left="-3"/>
              <w:jc w:val="left"/>
              <w:rPr>
                <w:sz w:val="24"/>
              </w:rPr>
            </w:pPr>
            <w:r>
              <w:rPr>
                <w:color w:val="231F20"/>
                <w:sz w:val="24"/>
              </w:rPr>
              <w:t xml:space="preserve">Senior </w:t>
            </w:r>
            <w:r>
              <w:rPr>
                <w:color w:val="231F20"/>
                <w:spacing w:val="-2"/>
                <w:sz w:val="24"/>
              </w:rPr>
              <w:t>Constable</w:t>
            </w:r>
          </w:p>
        </w:tc>
        <w:tc>
          <w:tcPr>
            <w:tcW w:w="2834" w:type="dxa"/>
          </w:tcPr>
          <w:p w14:paraId="026B8AFF" w14:textId="77777777" w:rsidR="00345EE3" w:rsidRDefault="00345EE3" w:rsidP="00D73130">
            <w:pPr>
              <w:pStyle w:val="TableParagraph"/>
              <w:jc w:val="left"/>
              <w:rPr>
                <w:sz w:val="24"/>
              </w:rPr>
            </w:pPr>
            <w:r>
              <w:rPr>
                <w:color w:val="231F20"/>
                <w:spacing w:val="-2"/>
                <w:sz w:val="24"/>
              </w:rPr>
              <w:t>Melissa</w:t>
            </w:r>
          </w:p>
        </w:tc>
        <w:tc>
          <w:tcPr>
            <w:tcW w:w="2834" w:type="dxa"/>
            <w:tcBorders>
              <w:right w:val="nil"/>
            </w:tcBorders>
          </w:tcPr>
          <w:p w14:paraId="72BFFFE5" w14:textId="77777777" w:rsidR="00345EE3" w:rsidRDefault="00345EE3" w:rsidP="00D73130">
            <w:pPr>
              <w:pStyle w:val="TableParagraph"/>
              <w:ind w:left="1"/>
              <w:jc w:val="left"/>
              <w:rPr>
                <w:sz w:val="24"/>
              </w:rPr>
            </w:pPr>
            <w:r>
              <w:rPr>
                <w:color w:val="231F20"/>
                <w:spacing w:val="-4"/>
                <w:sz w:val="24"/>
              </w:rPr>
              <w:t>Cave</w:t>
            </w:r>
          </w:p>
        </w:tc>
      </w:tr>
      <w:tr w:rsidR="00345EE3" w14:paraId="162A0C5B" w14:textId="77777777" w:rsidTr="00D73130">
        <w:trPr>
          <w:trHeight w:val="396"/>
        </w:trPr>
        <w:tc>
          <w:tcPr>
            <w:tcW w:w="4535" w:type="dxa"/>
            <w:tcBorders>
              <w:left w:val="nil"/>
            </w:tcBorders>
          </w:tcPr>
          <w:p w14:paraId="1B5D2379" w14:textId="77777777" w:rsidR="00345EE3" w:rsidRDefault="00345EE3" w:rsidP="00D73130">
            <w:pPr>
              <w:pStyle w:val="TableParagraph"/>
              <w:ind w:left="-3"/>
              <w:jc w:val="left"/>
              <w:rPr>
                <w:sz w:val="24"/>
              </w:rPr>
            </w:pPr>
            <w:r>
              <w:rPr>
                <w:color w:val="231F20"/>
                <w:sz w:val="24"/>
              </w:rPr>
              <w:t xml:space="preserve">Senior </w:t>
            </w:r>
            <w:r>
              <w:rPr>
                <w:color w:val="231F20"/>
                <w:spacing w:val="-2"/>
                <w:sz w:val="24"/>
              </w:rPr>
              <w:t>Constable</w:t>
            </w:r>
          </w:p>
        </w:tc>
        <w:tc>
          <w:tcPr>
            <w:tcW w:w="2834" w:type="dxa"/>
          </w:tcPr>
          <w:p w14:paraId="5F268769" w14:textId="77777777" w:rsidR="00345EE3" w:rsidRDefault="00345EE3" w:rsidP="00D73130">
            <w:pPr>
              <w:pStyle w:val="TableParagraph"/>
              <w:jc w:val="left"/>
              <w:rPr>
                <w:sz w:val="24"/>
              </w:rPr>
            </w:pPr>
            <w:r>
              <w:rPr>
                <w:color w:val="231F20"/>
                <w:spacing w:val="-2"/>
                <w:sz w:val="24"/>
              </w:rPr>
              <w:t>Christopher</w:t>
            </w:r>
          </w:p>
        </w:tc>
        <w:tc>
          <w:tcPr>
            <w:tcW w:w="2834" w:type="dxa"/>
            <w:tcBorders>
              <w:right w:val="nil"/>
            </w:tcBorders>
          </w:tcPr>
          <w:p w14:paraId="6425B8A9" w14:textId="77777777" w:rsidR="00345EE3" w:rsidRDefault="00345EE3" w:rsidP="00D73130">
            <w:pPr>
              <w:pStyle w:val="TableParagraph"/>
              <w:ind w:left="1"/>
              <w:jc w:val="left"/>
              <w:rPr>
                <w:sz w:val="24"/>
              </w:rPr>
            </w:pPr>
            <w:r>
              <w:rPr>
                <w:color w:val="231F20"/>
                <w:spacing w:val="-2"/>
                <w:sz w:val="24"/>
              </w:rPr>
              <w:t>Cooper</w:t>
            </w:r>
          </w:p>
        </w:tc>
      </w:tr>
      <w:tr w:rsidR="00345EE3" w14:paraId="7BEDA4BC" w14:textId="77777777" w:rsidTr="00D73130">
        <w:trPr>
          <w:trHeight w:val="396"/>
        </w:trPr>
        <w:tc>
          <w:tcPr>
            <w:tcW w:w="4535" w:type="dxa"/>
            <w:tcBorders>
              <w:left w:val="nil"/>
            </w:tcBorders>
          </w:tcPr>
          <w:p w14:paraId="6628B42E" w14:textId="77777777" w:rsidR="00345EE3" w:rsidRDefault="00345EE3" w:rsidP="00D73130">
            <w:pPr>
              <w:pStyle w:val="TableParagraph"/>
              <w:ind w:left="-3"/>
              <w:jc w:val="left"/>
              <w:rPr>
                <w:sz w:val="24"/>
              </w:rPr>
            </w:pPr>
            <w:r>
              <w:rPr>
                <w:color w:val="231F20"/>
                <w:sz w:val="24"/>
              </w:rPr>
              <w:t xml:space="preserve">Senior </w:t>
            </w:r>
            <w:r>
              <w:rPr>
                <w:color w:val="231F20"/>
                <w:spacing w:val="-2"/>
                <w:sz w:val="24"/>
              </w:rPr>
              <w:t>Constable</w:t>
            </w:r>
          </w:p>
        </w:tc>
        <w:tc>
          <w:tcPr>
            <w:tcW w:w="2834" w:type="dxa"/>
          </w:tcPr>
          <w:p w14:paraId="42954099" w14:textId="77777777" w:rsidR="00345EE3" w:rsidRDefault="00345EE3" w:rsidP="00D73130">
            <w:pPr>
              <w:pStyle w:val="TableParagraph"/>
              <w:jc w:val="left"/>
              <w:rPr>
                <w:sz w:val="24"/>
              </w:rPr>
            </w:pPr>
            <w:r>
              <w:rPr>
                <w:color w:val="231F20"/>
                <w:sz w:val="24"/>
              </w:rPr>
              <w:t xml:space="preserve">Karen </w:t>
            </w:r>
            <w:r>
              <w:rPr>
                <w:color w:val="231F20"/>
                <w:spacing w:val="-4"/>
                <w:sz w:val="24"/>
              </w:rPr>
              <w:t>Lisa</w:t>
            </w:r>
          </w:p>
        </w:tc>
        <w:tc>
          <w:tcPr>
            <w:tcW w:w="2834" w:type="dxa"/>
            <w:tcBorders>
              <w:right w:val="nil"/>
            </w:tcBorders>
          </w:tcPr>
          <w:p w14:paraId="72DBF908" w14:textId="77777777" w:rsidR="00345EE3" w:rsidRDefault="00345EE3" w:rsidP="00D73130">
            <w:pPr>
              <w:pStyle w:val="TableParagraph"/>
              <w:ind w:left="1"/>
              <w:jc w:val="left"/>
              <w:rPr>
                <w:sz w:val="24"/>
              </w:rPr>
            </w:pPr>
            <w:r>
              <w:rPr>
                <w:color w:val="231F20"/>
                <w:spacing w:val="-4"/>
                <w:sz w:val="24"/>
              </w:rPr>
              <w:t>Dale</w:t>
            </w:r>
          </w:p>
        </w:tc>
      </w:tr>
      <w:tr w:rsidR="00345EE3" w14:paraId="6817003F" w14:textId="77777777" w:rsidTr="00D73130">
        <w:trPr>
          <w:trHeight w:val="396"/>
        </w:trPr>
        <w:tc>
          <w:tcPr>
            <w:tcW w:w="4535" w:type="dxa"/>
            <w:tcBorders>
              <w:left w:val="nil"/>
            </w:tcBorders>
          </w:tcPr>
          <w:p w14:paraId="66D5B1D0" w14:textId="77777777" w:rsidR="00345EE3" w:rsidRDefault="00345EE3" w:rsidP="00D73130">
            <w:pPr>
              <w:pStyle w:val="TableParagraph"/>
              <w:ind w:left="-3"/>
              <w:jc w:val="left"/>
              <w:rPr>
                <w:sz w:val="24"/>
              </w:rPr>
            </w:pPr>
            <w:r>
              <w:rPr>
                <w:color w:val="231F20"/>
                <w:sz w:val="24"/>
              </w:rPr>
              <w:t xml:space="preserve">Senior </w:t>
            </w:r>
            <w:r>
              <w:rPr>
                <w:color w:val="231F20"/>
                <w:spacing w:val="-2"/>
                <w:sz w:val="24"/>
              </w:rPr>
              <w:t>Constable</w:t>
            </w:r>
          </w:p>
        </w:tc>
        <w:tc>
          <w:tcPr>
            <w:tcW w:w="2834" w:type="dxa"/>
          </w:tcPr>
          <w:p w14:paraId="2F135999" w14:textId="77777777" w:rsidR="00345EE3" w:rsidRDefault="00345EE3" w:rsidP="00D73130">
            <w:pPr>
              <w:pStyle w:val="TableParagraph"/>
              <w:jc w:val="left"/>
              <w:rPr>
                <w:sz w:val="24"/>
              </w:rPr>
            </w:pPr>
            <w:r>
              <w:rPr>
                <w:color w:val="231F20"/>
                <w:sz w:val="24"/>
              </w:rPr>
              <w:t xml:space="preserve">Brian </w:t>
            </w:r>
            <w:r>
              <w:rPr>
                <w:color w:val="231F20"/>
                <w:spacing w:val="-2"/>
                <w:sz w:val="24"/>
              </w:rPr>
              <w:t>Joseph</w:t>
            </w:r>
          </w:p>
        </w:tc>
        <w:tc>
          <w:tcPr>
            <w:tcW w:w="2834" w:type="dxa"/>
            <w:tcBorders>
              <w:right w:val="nil"/>
            </w:tcBorders>
          </w:tcPr>
          <w:p w14:paraId="1460FEAD" w14:textId="77777777" w:rsidR="00345EE3" w:rsidRDefault="00345EE3" w:rsidP="00D73130">
            <w:pPr>
              <w:pStyle w:val="TableParagraph"/>
              <w:ind w:left="1"/>
              <w:jc w:val="left"/>
              <w:rPr>
                <w:sz w:val="24"/>
              </w:rPr>
            </w:pPr>
            <w:r>
              <w:rPr>
                <w:color w:val="231F20"/>
                <w:spacing w:val="-2"/>
                <w:sz w:val="24"/>
              </w:rPr>
              <w:t>Dalrymple</w:t>
            </w:r>
          </w:p>
        </w:tc>
      </w:tr>
      <w:tr w:rsidR="00345EE3" w14:paraId="02F4D349" w14:textId="77777777" w:rsidTr="00D73130">
        <w:trPr>
          <w:trHeight w:val="396"/>
        </w:trPr>
        <w:tc>
          <w:tcPr>
            <w:tcW w:w="4535" w:type="dxa"/>
            <w:tcBorders>
              <w:left w:val="nil"/>
            </w:tcBorders>
          </w:tcPr>
          <w:p w14:paraId="55716314" w14:textId="77777777" w:rsidR="00345EE3" w:rsidRDefault="00345EE3" w:rsidP="00D73130">
            <w:pPr>
              <w:pStyle w:val="TableParagraph"/>
              <w:ind w:left="-3"/>
              <w:jc w:val="left"/>
              <w:rPr>
                <w:sz w:val="24"/>
              </w:rPr>
            </w:pPr>
            <w:r>
              <w:rPr>
                <w:color w:val="231F20"/>
                <w:spacing w:val="-2"/>
                <w:sz w:val="24"/>
              </w:rPr>
              <w:t>Sergeant</w:t>
            </w:r>
          </w:p>
        </w:tc>
        <w:tc>
          <w:tcPr>
            <w:tcW w:w="2834" w:type="dxa"/>
          </w:tcPr>
          <w:p w14:paraId="79F2C935" w14:textId="77777777" w:rsidR="00345EE3" w:rsidRDefault="00345EE3" w:rsidP="00D73130">
            <w:pPr>
              <w:pStyle w:val="TableParagraph"/>
              <w:jc w:val="left"/>
              <w:rPr>
                <w:sz w:val="24"/>
              </w:rPr>
            </w:pPr>
            <w:r>
              <w:rPr>
                <w:color w:val="231F20"/>
                <w:spacing w:val="-4"/>
                <w:sz w:val="24"/>
              </w:rPr>
              <w:t>Mark</w:t>
            </w:r>
          </w:p>
        </w:tc>
        <w:tc>
          <w:tcPr>
            <w:tcW w:w="2834" w:type="dxa"/>
            <w:tcBorders>
              <w:right w:val="nil"/>
            </w:tcBorders>
          </w:tcPr>
          <w:p w14:paraId="721DF960" w14:textId="77777777" w:rsidR="00345EE3" w:rsidRDefault="00345EE3" w:rsidP="00D73130">
            <w:pPr>
              <w:pStyle w:val="TableParagraph"/>
              <w:ind w:left="1"/>
              <w:jc w:val="left"/>
              <w:rPr>
                <w:sz w:val="24"/>
              </w:rPr>
            </w:pPr>
            <w:r>
              <w:rPr>
                <w:color w:val="231F20"/>
                <w:spacing w:val="-4"/>
                <w:sz w:val="24"/>
              </w:rPr>
              <w:t>Eade</w:t>
            </w:r>
          </w:p>
        </w:tc>
      </w:tr>
      <w:tr w:rsidR="00345EE3" w14:paraId="5831580C" w14:textId="77777777" w:rsidTr="00D73130">
        <w:trPr>
          <w:trHeight w:val="396"/>
        </w:trPr>
        <w:tc>
          <w:tcPr>
            <w:tcW w:w="4535" w:type="dxa"/>
            <w:tcBorders>
              <w:left w:val="nil"/>
            </w:tcBorders>
          </w:tcPr>
          <w:p w14:paraId="055A514B" w14:textId="77777777" w:rsidR="00345EE3" w:rsidRDefault="00345EE3" w:rsidP="00D73130">
            <w:pPr>
              <w:pStyle w:val="TableParagraph"/>
              <w:ind w:left="-3"/>
              <w:jc w:val="left"/>
              <w:rPr>
                <w:sz w:val="24"/>
              </w:rPr>
            </w:pPr>
            <w:r>
              <w:rPr>
                <w:color w:val="231F20"/>
                <w:sz w:val="24"/>
              </w:rPr>
              <w:t xml:space="preserve">First </w:t>
            </w:r>
            <w:r>
              <w:rPr>
                <w:color w:val="231F20"/>
                <w:spacing w:val="-2"/>
                <w:sz w:val="24"/>
              </w:rPr>
              <w:t>Constable</w:t>
            </w:r>
          </w:p>
        </w:tc>
        <w:tc>
          <w:tcPr>
            <w:tcW w:w="2834" w:type="dxa"/>
          </w:tcPr>
          <w:p w14:paraId="74ED5F72" w14:textId="77777777" w:rsidR="00345EE3" w:rsidRDefault="00345EE3" w:rsidP="00D73130">
            <w:pPr>
              <w:pStyle w:val="TableParagraph"/>
              <w:jc w:val="left"/>
              <w:rPr>
                <w:sz w:val="24"/>
              </w:rPr>
            </w:pPr>
            <w:r>
              <w:rPr>
                <w:color w:val="231F20"/>
                <w:sz w:val="24"/>
              </w:rPr>
              <w:t xml:space="preserve">Andrew </w:t>
            </w:r>
            <w:r>
              <w:rPr>
                <w:color w:val="231F20"/>
                <w:spacing w:val="-2"/>
                <w:sz w:val="24"/>
              </w:rPr>
              <w:t>Rohan</w:t>
            </w:r>
          </w:p>
        </w:tc>
        <w:tc>
          <w:tcPr>
            <w:tcW w:w="2834" w:type="dxa"/>
            <w:tcBorders>
              <w:right w:val="nil"/>
            </w:tcBorders>
          </w:tcPr>
          <w:p w14:paraId="517387E6" w14:textId="77777777" w:rsidR="00345EE3" w:rsidRDefault="00345EE3" w:rsidP="00D73130">
            <w:pPr>
              <w:pStyle w:val="TableParagraph"/>
              <w:ind w:left="1"/>
              <w:jc w:val="left"/>
              <w:rPr>
                <w:sz w:val="24"/>
              </w:rPr>
            </w:pPr>
            <w:r>
              <w:rPr>
                <w:color w:val="231F20"/>
                <w:spacing w:val="-2"/>
                <w:sz w:val="24"/>
              </w:rPr>
              <w:t>Spithill</w:t>
            </w:r>
          </w:p>
        </w:tc>
      </w:tr>
      <w:tr w:rsidR="00345EE3" w14:paraId="337F74B3" w14:textId="77777777" w:rsidTr="00D73130">
        <w:trPr>
          <w:trHeight w:val="396"/>
        </w:trPr>
        <w:tc>
          <w:tcPr>
            <w:tcW w:w="4535" w:type="dxa"/>
            <w:tcBorders>
              <w:left w:val="nil"/>
            </w:tcBorders>
          </w:tcPr>
          <w:p w14:paraId="780BA7DC" w14:textId="77777777" w:rsidR="00345EE3" w:rsidRDefault="00345EE3" w:rsidP="00D73130">
            <w:pPr>
              <w:pStyle w:val="TableParagraph"/>
              <w:ind w:left="-3"/>
              <w:jc w:val="left"/>
              <w:rPr>
                <w:sz w:val="24"/>
              </w:rPr>
            </w:pPr>
            <w:r>
              <w:rPr>
                <w:color w:val="231F20"/>
                <w:sz w:val="24"/>
              </w:rPr>
              <w:t xml:space="preserve">Senior </w:t>
            </w:r>
            <w:r>
              <w:rPr>
                <w:color w:val="231F20"/>
                <w:spacing w:val="-2"/>
                <w:sz w:val="24"/>
              </w:rPr>
              <w:t>Constable</w:t>
            </w:r>
          </w:p>
        </w:tc>
        <w:tc>
          <w:tcPr>
            <w:tcW w:w="2834" w:type="dxa"/>
          </w:tcPr>
          <w:p w14:paraId="7233AB83" w14:textId="77777777" w:rsidR="00345EE3" w:rsidRDefault="00345EE3" w:rsidP="00D73130">
            <w:pPr>
              <w:pStyle w:val="TableParagraph"/>
              <w:jc w:val="left"/>
              <w:rPr>
                <w:sz w:val="24"/>
              </w:rPr>
            </w:pPr>
            <w:r>
              <w:rPr>
                <w:color w:val="231F20"/>
                <w:sz w:val="24"/>
              </w:rPr>
              <w:t>Cade</w:t>
            </w:r>
            <w:r>
              <w:rPr>
                <w:color w:val="231F20"/>
                <w:spacing w:val="-4"/>
                <w:sz w:val="24"/>
              </w:rPr>
              <w:t xml:space="preserve"> </w:t>
            </w:r>
            <w:r>
              <w:rPr>
                <w:color w:val="231F20"/>
                <w:spacing w:val="-2"/>
                <w:sz w:val="24"/>
              </w:rPr>
              <w:t>Matthew</w:t>
            </w:r>
          </w:p>
        </w:tc>
        <w:tc>
          <w:tcPr>
            <w:tcW w:w="2834" w:type="dxa"/>
            <w:tcBorders>
              <w:right w:val="nil"/>
            </w:tcBorders>
          </w:tcPr>
          <w:p w14:paraId="4347C5E3" w14:textId="77777777" w:rsidR="00345EE3" w:rsidRDefault="00345EE3" w:rsidP="00D73130">
            <w:pPr>
              <w:pStyle w:val="TableParagraph"/>
              <w:ind w:left="1"/>
              <w:jc w:val="left"/>
              <w:rPr>
                <w:sz w:val="24"/>
              </w:rPr>
            </w:pPr>
            <w:r>
              <w:rPr>
                <w:color w:val="231F20"/>
                <w:spacing w:val="-4"/>
                <w:sz w:val="24"/>
              </w:rPr>
              <w:t>Vagg</w:t>
            </w:r>
          </w:p>
        </w:tc>
      </w:tr>
      <w:tr w:rsidR="00345EE3" w14:paraId="2F2321F2" w14:textId="77777777" w:rsidTr="00D73130">
        <w:trPr>
          <w:trHeight w:val="398"/>
        </w:trPr>
        <w:tc>
          <w:tcPr>
            <w:tcW w:w="4535" w:type="dxa"/>
            <w:tcBorders>
              <w:left w:val="nil"/>
              <w:bottom w:val="nil"/>
            </w:tcBorders>
          </w:tcPr>
          <w:p w14:paraId="3BACCBB2" w14:textId="77777777" w:rsidR="00345EE3" w:rsidRDefault="00345EE3" w:rsidP="00D73130">
            <w:pPr>
              <w:pStyle w:val="TableParagraph"/>
              <w:ind w:left="-3"/>
              <w:jc w:val="left"/>
              <w:rPr>
                <w:sz w:val="24"/>
              </w:rPr>
            </w:pPr>
            <w:r>
              <w:rPr>
                <w:color w:val="231F20"/>
                <w:sz w:val="24"/>
              </w:rPr>
              <w:t xml:space="preserve">Senior </w:t>
            </w:r>
            <w:r>
              <w:rPr>
                <w:color w:val="231F20"/>
                <w:spacing w:val="-2"/>
                <w:sz w:val="24"/>
              </w:rPr>
              <w:t>Constable</w:t>
            </w:r>
          </w:p>
        </w:tc>
        <w:tc>
          <w:tcPr>
            <w:tcW w:w="2834" w:type="dxa"/>
            <w:tcBorders>
              <w:bottom w:val="nil"/>
            </w:tcBorders>
          </w:tcPr>
          <w:p w14:paraId="6F0F4F3E" w14:textId="77777777" w:rsidR="00345EE3" w:rsidRDefault="00345EE3" w:rsidP="00D73130">
            <w:pPr>
              <w:pStyle w:val="TableParagraph"/>
              <w:jc w:val="left"/>
              <w:rPr>
                <w:sz w:val="24"/>
              </w:rPr>
            </w:pPr>
            <w:r>
              <w:rPr>
                <w:color w:val="231F20"/>
                <w:sz w:val="24"/>
              </w:rPr>
              <w:t xml:space="preserve">Gerard </w:t>
            </w:r>
            <w:r>
              <w:rPr>
                <w:color w:val="231F20"/>
                <w:spacing w:val="-4"/>
                <w:sz w:val="24"/>
              </w:rPr>
              <w:t>John</w:t>
            </w:r>
          </w:p>
        </w:tc>
        <w:tc>
          <w:tcPr>
            <w:tcW w:w="2834" w:type="dxa"/>
            <w:tcBorders>
              <w:bottom w:val="nil"/>
              <w:right w:val="nil"/>
            </w:tcBorders>
          </w:tcPr>
          <w:p w14:paraId="395FE6B9" w14:textId="77777777" w:rsidR="00345EE3" w:rsidRDefault="00345EE3" w:rsidP="00D73130">
            <w:pPr>
              <w:pStyle w:val="TableParagraph"/>
              <w:ind w:left="1"/>
              <w:jc w:val="left"/>
              <w:rPr>
                <w:sz w:val="24"/>
              </w:rPr>
            </w:pPr>
            <w:r>
              <w:rPr>
                <w:color w:val="231F20"/>
                <w:spacing w:val="-2"/>
                <w:sz w:val="24"/>
              </w:rPr>
              <w:t>Wursthorn</w:t>
            </w:r>
          </w:p>
        </w:tc>
      </w:tr>
      <w:tr w:rsidR="00345EE3" w14:paraId="571051FC" w14:textId="77777777" w:rsidTr="00D73130">
        <w:trPr>
          <w:trHeight w:val="401"/>
        </w:trPr>
        <w:tc>
          <w:tcPr>
            <w:tcW w:w="10203" w:type="dxa"/>
            <w:gridSpan w:val="3"/>
            <w:tcBorders>
              <w:top w:val="nil"/>
              <w:left w:val="nil"/>
              <w:bottom w:val="nil"/>
              <w:right w:val="nil"/>
            </w:tcBorders>
            <w:shd w:val="clear" w:color="auto" w:fill="00529F"/>
          </w:tcPr>
          <w:p w14:paraId="71DA197A" w14:textId="77777777" w:rsidR="00345EE3" w:rsidRDefault="00345EE3" w:rsidP="00D73130">
            <w:pPr>
              <w:pStyle w:val="TableParagraph"/>
              <w:spacing w:before="63"/>
              <w:ind w:left="-1"/>
              <w:jc w:val="left"/>
              <w:rPr>
                <w:b/>
                <w:sz w:val="24"/>
              </w:rPr>
            </w:pPr>
            <w:r>
              <w:rPr>
                <w:b/>
                <w:color w:val="FFFFFF"/>
                <w:sz w:val="24"/>
              </w:rPr>
              <w:t xml:space="preserve">Medal for </w:t>
            </w:r>
            <w:r>
              <w:rPr>
                <w:b/>
                <w:color w:val="FFFFFF"/>
                <w:spacing w:val="-4"/>
                <w:sz w:val="24"/>
              </w:rPr>
              <w:t>Merit</w:t>
            </w:r>
          </w:p>
        </w:tc>
      </w:tr>
      <w:tr w:rsidR="00345EE3" w14:paraId="549C5479" w14:textId="77777777" w:rsidTr="00D73130">
        <w:trPr>
          <w:trHeight w:val="398"/>
        </w:trPr>
        <w:tc>
          <w:tcPr>
            <w:tcW w:w="4535" w:type="dxa"/>
            <w:tcBorders>
              <w:top w:val="nil"/>
              <w:left w:val="nil"/>
            </w:tcBorders>
          </w:tcPr>
          <w:p w14:paraId="28260358"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tcBorders>
          </w:tcPr>
          <w:p w14:paraId="555B15CB"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right w:val="nil"/>
            </w:tcBorders>
          </w:tcPr>
          <w:p w14:paraId="225FE9E2"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5F0215C1" w14:textId="77777777" w:rsidTr="00D73130">
        <w:trPr>
          <w:trHeight w:val="399"/>
        </w:trPr>
        <w:tc>
          <w:tcPr>
            <w:tcW w:w="4535" w:type="dxa"/>
            <w:tcBorders>
              <w:left w:val="nil"/>
              <w:bottom w:val="nil"/>
            </w:tcBorders>
          </w:tcPr>
          <w:p w14:paraId="0C6189D7" w14:textId="77777777" w:rsidR="00345EE3" w:rsidRDefault="00345EE3" w:rsidP="00D73130">
            <w:pPr>
              <w:pStyle w:val="TableParagraph"/>
              <w:ind w:left="-3"/>
              <w:jc w:val="left"/>
              <w:rPr>
                <w:sz w:val="24"/>
              </w:rPr>
            </w:pPr>
            <w:r>
              <w:rPr>
                <w:color w:val="231F20"/>
                <w:spacing w:val="-5"/>
                <w:sz w:val="24"/>
              </w:rPr>
              <w:t>Mr</w:t>
            </w:r>
          </w:p>
        </w:tc>
        <w:tc>
          <w:tcPr>
            <w:tcW w:w="2834" w:type="dxa"/>
            <w:tcBorders>
              <w:bottom w:val="nil"/>
            </w:tcBorders>
          </w:tcPr>
          <w:p w14:paraId="14F1B574" w14:textId="77777777" w:rsidR="00345EE3" w:rsidRDefault="00345EE3" w:rsidP="00D73130">
            <w:pPr>
              <w:pStyle w:val="TableParagraph"/>
              <w:jc w:val="left"/>
              <w:rPr>
                <w:sz w:val="24"/>
              </w:rPr>
            </w:pPr>
            <w:r>
              <w:rPr>
                <w:color w:val="231F20"/>
                <w:sz w:val="24"/>
              </w:rPr>
              <w:t xml:space="preserve">Patrick </w:t>
            </w:r>
            <w:r>
              <w:rPr>
                <w:color w:val="231F20"/>
                <w:spacing w:val="-2"/>
                <w:sz w:val="24"/>
              </w:rPr>
              <w:t>Joseph</w:t>
            </w:r>
          </w:p>
        </w:tc>
        <w:tc>
          <w:tcPr>
            <w:tcW w:w="2834" w:type="dxa"/>
            <w:tcBorders>
              <w:bottom w:val="nil"/>
              <w:right w:val="nil"/>
            </w:tcBorders>
          </w:tcPr>
          <w:p w14:paraId="17CAED66" w14:textId="77777777" w:rsidR="00345EE3" w:rsidRDefault="00345EE3" w:rsidP="00D73130">
            <w:pPr>
              <w:pStyle w:val="TableParagraph"/>
              <w:ind w:left="1"/>
              <w:jc w:val="left"/>
              <w:rPr>
                <w:sz w:val="24"/>
              </w:rPr>
            </w:pPr>
            <w:r>
              <w:rPr>
                <w:color w:val="231F20"/>
                <w:spacing w:val="-2"/>
                <w:sz w:val="24"/>
              </w:rPr>
              <w:t>Stafford</w:t>
            </w:r>
          </w:p>
        </w:tc>
      </w:tr>
      <w:tr w:rsidR="00345EE3" w14:paraId="7BA81A53" w14:textId="77777777" w:rsidTr="00D73130">
        <w:trPr>
          <w:trHeight w:val="401"/>
        </w:trPr>
        <w:tc>
          <w:tcPr>
            <w:tcW w:w="10203" w:type="dxa"/>
            <w:gridSpan w:val="3"/>
            <w:tcBorders>
              <w:top w:val="nil"/>
              <w:left w:val="nil"/>
              <w:bottom w:val="nil"/>
              <w:right w:val="nil"/>
            </w:tcBorders>
            <w:shd w:val="clear" w:color="auto" w:fill="00529F"/>
          </w:tcPr>
          <w:p w14:paraId="6E0973B0" w14:textId="77777777" w:rsidR="00345EE3" w:rsidRDefault="00345EE3" w:rsidP="00D73130">
            <w:pPr>
              <w:pStyle w:val="TableParagraph"/>
              <w:spacing w:before="63"/>
              <w:ind w:left="-1"/>
              <w:jc w:val="left"/>
              <w:rPr>
                <w:b/>
                <w:sz w:val="24"/>
              </w:rPr>
            </w:pPr>
            <w:r>
              <w:rPr>
                <w:b/>
                <w:color w:val="FFFFFF"/>
                <w:sz w:val="24"/>
              </w:rPr>
              <w:t>Chief</w:t>
            </w:r>
            <w:r>
              <w:rPr>
                <w:b/>
                <w:color w:val="FFFFFF"/>
                <w:spacing w:val="-11"/>
                <w:sz w:val="24"/>
              </w:rPr>
              <w:t xml:space="preserve"> </w:t>
            </w:r>
            <w:r>
              <w:rPr>
                <w:b/>
                <w:color w:val="FFFFFF"/>
                <w:sz w:val="24"/>
              </w:rPr>
              <w:t>Commissioner</w:t>
            </w:r>
            <w:r>
              <w:rPr>
                <w:b/>
                <w:color w:val="FFFFFF"/>
                <w:spacing w:val="-9"/>
                <w:sz w:val="24"/>
              </w:rPr>
              <w:t xml:space="preserve"> </w:t>
            </w:r>
            <w:r>
              <w:rPr>
                <w:b/>
                <w:color w:val="FFFFFF"/>
                <w:sz w:val="24"/>
              </w:rPr>
              <w:t>of</w:t>
            </w:r>
            <w:r>
              <w:rPr>
                <w:b/>
                <w:color w:val="FFFFFF"/>
                <w:spacing w:val="-9"/>
                <w:sz w:val="24"/>
              </w:rPr>
              <w:t xml:space="preserve"> </w:t>
            </w:r>
            <w:r>
              <w:rPr>
                <w:b/>
                <w:color w:val="FFFFFF"/>
                <w:sz w:val="24"/>
              </w:rPr>
              <w:t>Police’s</w:t>
            </w:r>
            <w:r>
              <w:rPr>
                <w:b/>
                <w:color w:val="FFFFFF"/>
                <w:spacing w:val="-9"/>
                <w:sz w:val="24"/>
              </w:rPr>
              <w:t xml:space="preserve"> </w:t>
            </w:r>
            <w:r>
              <w:rPr>
                <w:b/>
                <w:color w:val="FFFFFF"/>
                <w:spacing w:val="-2"/>
                <w:sz w:val="24"/>
              </w:rPr>
              <w:t>Commendation</w:t>
            </w:r>
          </w:p>
        </w:tc>
      </w:tr>
      <w:tr w:rsidR="00345EE3" w14:paraId="13B52CC1" w14:textId="77777777" w:rsidTr="00D73130">
        <w:trPr>
          <w:trHeight w:val="398"/>
        </w:trPr>
        <w:tc>
          <w:tcPr>
            <w:tcW w:w="4535" w:type="dxa"/>
            <w:tcBorders>
              <w:top w:val="nil"/>
              <w:left w:val="nil"/>
            </w:tcBorders>
          </w:tcPr>
          <w:p w14:paraId="7B06D7DD"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tcBorders>
          </w:tcPr>
          <w:p w14:paraId="509420E9"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right w:val="nil"/>
            </w:tcBorders>
          </w:tcPr>
          <w:p w14:paraId="5DBF6C93"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08C345B3" w14:textId="77777777" w:rsidTr="00D73130">
        <w:trPr>
          <w:trHeight w:val="396"/>
        </w:trPr>
        <w:tc>
          <w:tcPr>
            <w:tcW w:w="4535" w:type="dxa"/>
            <w:tcBorders>
              <w:left w:val="nil"/>
            </w:tcBorders>
          </w:tcPr>
          <w:p w14:paraId="2882AA6D" w14:textId="77777777" w:rsidR="00345EE3" w:rsidRDefault="00345EE3" w:rsidP="00D73130">
            <w:pPr>
              <w:pStyle w:val="TableParagraph"/>
              <w:spacing w:before="61"/>
              <w:ind w:left="-3"/>
              <w:jc w:val="left"/>
              <w:rPr>
                <w:sz w:val="24"/>
              </w:rPr>
            </w:pPr>
            <w:r>
              <w:rPr>
                <w:color w:val="231F20"/>
                <w:spacing w:val="-2"/>
                <w:sz w:val="24"/>
              </w:rPr>
              <w:t>Superintendent</w:t>
            </w:r>
          </w:p>
        </w:tc>
        <w:tc>
          <w:tcPr>
            <w:tcW w:w="2834" w:type="dxa"/>
          </w:tcPr>
          <w:p w14:paraId="37D0E7EC" w14:textId="77777777" w:rsidR="00345EE3" w:rsidRDefault="00345EE3" w:rsidP="00D73130">
            <w:pPr>
              <w:pStyle w:val="TableParagraph"/>
              <w:spacing w:before="61"/>
              <w:jc w:val="left"/>
              <w:rPr>
                <w:sz w:val="24"/>
              </w:rPr>
            </w:pPr>
            <w:r>
              <w:rPr>
                <w:color w:val="231F20"/>
                <w:sz w:val="24"/>
              </w:rPr>
              <w:t xml:space="preserve">Mark </w:t>
            </w:r>
            <w:r>
              <w:rPr>
                <w:color w:val="231F20"/>
                <w:spacing w:val="-2"/>
                <w:sz w:val="24"/>
              </w:rPr>
              <w:t>Stephen</w:t>
            </w:r>
          </w:p>
        </w:tc>
        <w:tc>
          <w:tcPr>
            <w:tcW w:w="2834" w:type="dxa"/>
            <w:tcBorders>
              <w:right w:val="nil"/>
            </w:tcBorders>
          </w:tcPr>
          <w:p w14:paraId="645E17C8" w14:textId="77777777" w:rsidR="00345EE3" w:rsidRDefault="00345EE3" w:rsidP="00D73130">
            <w:pPr>
              <w:pStyle w:val="TableParagraph"/>
              <w:spacing w:before="61"/>
              <w:ind w:left="1"/>
              <w:jc w:val="left"/>
              <w:rPr>
                <w:sz w:val="24"/>
              </w:rPr>
            </w:pPr>
            <w:r>
              <w:rPr>
                <w:color w:val="231F20"/>
                <w:spacing w:val="-2"/>
                <w:sz w:val="24"/>
              </w:rPr>
              <w:t>Porter</w:t>
            </w:r>
          </w:p>
        </w:tc>
      </w:tr>
      <w:tr w:rsidR="00345EE3" w14:paraId="034A4892" w14:textId="77777777" w:rsidTr="00D73130">
        <w:trPr>
          <w:trHeight w:val="396"/>
        </w:trPr>
        <w:tc>
          <w:tcPr>
            <w:tcW w:w="4535" w:type="dxa"/>
            <w:tcBorders>
              <w:left w:val="nil"/>
            </w:tcBorders>
          </w:tcPr>
          <w:p w14:paraId="4655A909" w14:textId="77777777" w:rsidR="00345EE3" w:rsidRDefault="00345EE3" w:rsidP="00D73130">
            <w:pPr>
              <w:pStyle w:val="TableParagraph"/>
              <w:spacing w:before="61"/>
              <w:ind w:left="-3"/>
              <w:jc w:val="left"/>
              <w:rPr>
                <w:sz w:val="24"/>
              </w:rPr>
            </w:pPr>
            <w:r>
              <w:rPr>
                <w:color w:val="231F20"/>
                <w:sz w:val="24"/>
              </w:rPr>
              <w:t xml:space="preserve">Acting </w:t>
            </w:r>
            <w:r>
              <w:rPr>
                <w:color w:val="231F20"/>
                <w:spacing w:val="-2"/>
                <w:sz w:val="24"/>
              </w:rPr>
              <w:t>Inspector</w:t>
            </w:r>
          </w:p>
        </w:tc>
        <w:tc>
          <w:tcPr>
            <w:tcW w:w="2834" w:type="dxa"/>
          </w:tcPr>
          <w:p w14:paraId="5F42A345" w14:textId="77777777" w:rsidR="00345EE3" w:rsidRDefault="00345EE3" w:rsidP="00D73130">
            <w:pPr>
              <w:pStyle w:val="TableParagraph"/>
              <w:spacing w:before="61"/>
              <w:jc w:val="left"/>
              <w:rPr>
                <w:sz w:val="24"/>
              </w:rPr>
            </w:pPr>
            <w:r>
              <w:rPr>
                <w:color w:val="231F20"/>
                <w:sz w:val="24"/>
              </w:rPr>
              <w:t xml:space="preserve">Jacqueline </w:t>
            </w:r>
            <w:r>
              <w:rPr>
                <w:color w:val="231F20"/>
                <w:spacing w:val="-2"/>
                <w:sz w:val="24"/>
              </w:rPr>
              <w:t>Dianne</w:t>
            </w:r>
          </w:p>
        </w:tc>
        <w:tc>
          <w:tcPr>
            <w:tcW w:w="2834" w:type="dxa"/>
            <w:tcBorders>
              <w:right w:val="nil"/>
            </w:tcBorders>
          </w:tcPr>
          <w:p w14:paraId="1A7E8894" w14:textId="77777777" w:rsidR="00345EE3" w:rsidRDefault="00345EE3" w:rsidP="00D73130">
            <w:pPr>
              <w:pStyle w:val="TableParagraph"/>
              <w:spacing w:before="61"/>
              <w:ind w:left="1"/>
              <w:jc w:val="left"/>
              <w:rPr>
                <w:sz w:val="24"/>
              </w:rPr>
            </w:pPr>
            <w:r>
              <w:rPr>
                <w:color w:val="231F20"/>
                <w:spacing w:val="-2"/>
                <w:sz w:val="24"/>
              </w:rPr>
              <w:t>Robertson</w:t>
            </w:r>
          </w:p>
        </w:tc>
      </w:tr>
      <w:tr w:rsidR="00345EE3" w14:paraId="11FCF24B" w14:textId="77777777" w:rsidTr="00D73130">
        <w:trPr>
          <w:trHeight w:val="398"/>
        </w:trPr>
        <w:tc>
          <w:tcPr>
            <w:tcW w:w="4535" w:type="dxa"/>
            <w:tcBorders>
              <w:left w:val="nil"/>
              <w:bottom w:val="nil"/>
            </w:tcBorders>
          </w:tcPr>
          <w:p w14:paraId="53CEC25C" w14:textId="77777777" w:rsidR="00345EE3" w:rsidRDefault="00345EE3" w:rsidP="00D73130">
            <w:pPr>
              <w:pStyle w:val="TableParagraph"/>
              <w:spacing w:before="61"/>
              <w:ind w:left="-3"/>
              <w:jc w:val="left"/>
              <w:rPr>
                <w:sz w:val="24"/>
              </w:rPr>
            </w:pPr>
            <w:r>
              <w:rPr>
                <w:color w:val="231F20"/>
                <w:sz w:val="24"/>
              </w:rPr>
              <w:t xml:space="preserve">Senior </w:t>
            </w:r>
            <w:r>
              <w:rPr>
                <w:color w:val="231F20"/>
                <w:spacing w:val="-2"/>
                <w:sz w:val="24"/>
              </w:rPr>
              <w:t>Sergeant</w:t>
            </w:r>
          </w:p>
        </w:tc>
        <w:tc>
          <w:tcPr>
            <w:tcW w:w="2834" w:type="dxa"/>
            <w:tcBorders>
              <w:bottom w:val="nil"/>
            </w:tcBorders>
          </w:tcPr>
          <w:p w14:paraId="3E031B8A" w14:textId="77777777" w:rsidR="00345EE3" w:rsidRDefault="00345EE3" w:rsidP="00D73130">
            <w:pPr>
              <w:pStyle w:val="TableParagraph"/>
              <w:spacing w:before="61"/>
              <w:jc w:val="left"/>
              <w:rPr>
                <w:sz w:val="24"/>
              </w:rPr>
            </w:pPr>
            <w:r>
              <w:rPr>
                <w:color w:val="231F20"/>
                <w:sz w:val="24"/>
              </w:rPr>
              <w:t xml:space="preserve">Michael </w:t>
            </w:r>
            <w:r>
              <w:rPr>
                <w:color w:val="231F20"/>
                <w:spacing w:val="-2"/>
                <w:sz w:val="24"/>
              </w:rPr>
              <w:t>James</w:t>
            </w:r>
          </w:p>
        </w:tc>
        <w:tc>
          <w:tcPr>
            <w:tcW w:w="2834" w:type="dxa"/>
            <w:tcBorders>
              <w:bottom w:val="nil"/>
              <w:right w:val="nil"/>
            </w:tcBorders>
          </w:tcPr>
          <w:p w14:paraId="18445EFE" w14:textId="77777777" w:rsidR="00345EE3" w:rsidRDefault="00345EE3" w:rsidP="00D73130">
            <w:pPr>
              <w:pStyle w:val="TableParagraph"/>
              <w:spacing w:before="61"/>
              <w:ind w:left="1"/>
              <w:jc w:val="left"/>
              <w:rPr>
                <w:sz w:val="24"/>
              </w:rPr>
            </w:pPr>
            <w:r>
              <w:rPr>
                <w:color w:val="231F20"/>
                <w:spacing w:val="-2"/>
                <w:sz w:val="24"/>
              </w:rPr>
              <w:t>Turner</w:t>
            </w:r>
          </w:p>
        </w:tc>
      </w:tr>
      <w:tr w:rsidR="00345EE3" w14:paraId="6F95FC28" w14:textId="77777777" w:rsidTr="00D73130">
        <w:trPr>
          <w:trHeight w:val="401"/>
        </w:trPr>
        <w:tc>
          <w:tcPr>
            <w:tcW w:w="10203" w:type="dxa"/>
            <w:gridSpan w:val="3"/>
            <w:tcBorders>
              <w:top w:val="nil"/>
              <w:left w:val="nil"/>
              <w:bottom w:val="nil"/>
              <w:right w:val="nil"/>
            </w:tcBorders>
            <w:shd w:val="clear" w:color="auto" w:fill="00529F"/>
          </w:tcPr>
          <w:p w14:paraId="2FE7EDAE" w14:textId="77777777" w:rsidR="00345EE3" w:rsidRDefault="00345EE3" w:rsidP="00D73130">
            <w:pPr>
              <w:pStyle w:val="TableParagraph"/>
              <w:spacing w:before="63"/>
              <w:ind w:left="-1"/>
              <w:jc w:val="left"/>
              <w:rPr>
                <w:b/>
                <w:sz w:val="24"/>
              </w:rPr>
            </w:pPr>
            <w:r>
              <w:rPr>
                <w:b/>
                <w:color w:val="FFFFFF"/>
                <w:sz w:val="24"/>
              </w:rPr>
              <w:t>Citizen’s</w:t>
            </w:r>
            <w:r>
              <w:rPr>
                <w:b/>
                <w:color w:val="FFFFFF"/>
                <w:spacing w:val="-18"/>
                <w:sz w:val="24"/>
              </w:rPr>
              <w:t xml:space="preserve"> </w:t>
            </w:r>
            <w:r>
              <w:rPr>
                <w:b/>
                <w:color w:val="FFFFFF"/>
                <w:spacing w:val="-2"/>
                <w:sz w:val="24"/>
              </w:rPr>
              <w:t>Commendation</w:t>
            </w:r>
          </w:p>
        </w:tc>
      </w:tr>
      <w:tr w:rsidR="00345EE3" w14:paraId="1E38E6D5" w14:textId="77777777" w:rsidTr="00D73130">
        <w:trPr>
          <w:trHeight w:val="399"/>
        </w:trPr>
        <w:tc>
          <w:tcPr>
            <w:tcW w:w="4535" w:type="dxa"/>
            <w:tcBorders>
              <w:top w:val="nil"/>
              <w:left w:val="nil"/>
            </w:tcBorders>
          </w:tcPr>
          <w:p w14:paraId="67F78377" w14:textId="77777777" w:rsidR="00345EE3" w:rsidRDefault="00345EE3" w:rsidP="00D73130">
            <w:pPr>
              <w:pStyle w:val="TableParagraph"/>
              <w:spacing w:before="63"/>
              <w:ind w:left="-3"/>
              <w:jc w:val="left"/>
              <w:rPr>
                <w:b/>
                <w:sz w:val="24"/>
              </w:rPr>
            </w:pPr>
            <w:r>
              <w:rPr>
                <w:b/>
                <w:color w:val="231F20"/>
                <w:sz w:val="24"/>
              </w:rPr>
              <w:t xml:space="preserve">First </w:t>
            </w:r>
            <w:r>
              <w:rPr>
                <w:b/>
                <w:color w:val="231F20"/>
                <w:spacing w:val="-4"/>
                <w:sz w:val="24"/>
              </w:rPr>
              <w:t>Name</w:t>
            </w:r>
          </w:p>
        </w:tc>
        <w:tc>
          <w:tcPr>
            <w:tcW w:w="5668" w:type="dxa"/>
            <w:gridSpan w:val="2"/>
            <w:tcBorders>
              <w:top w:val="nil"/>
              <w:right w:val="nil"/>
            </w:tcBorders>
          </w:tcPr>
          <w:p w14:paraId="1D7B4CAA" w14:textId="77777777" w:rsidR="00345EE3" w:rsidRDefault="00345EE3" w:rsidP="00D73130">
            <w:pPr>
              <w:pStyle w:val="TableParagraph"/>
              <w:spacing w:before="63"/>
              <w:jc w:val="left"/>
              <w:rPr>
                <w:b/>
                <w:sz w:val="24"/>
              </w:rPr>
            </w:pPr>
            <w:r>
              <w:rPr>
                <w:b/>
                <w:color w:val="231F20"/>
                <w:spacing w:val="-2"/>
                <w:sz w:val="24"/>
              </w:rPr>
              <w:t>Surname</w:t>
            </w:r>
          </w:p>
        </w:tc>
      </w:tr>
      <w:tr w:rsidR="00345EE3" w14:paraId="0DB3C9DE" w14:textId="77777777" w:rsidTr="00D73130">
        <w:trPr>
          <w:trHeight w:val="396"/>
        </w:trPr>
        <w:tc>
          <w:tcPr>
            <w:tcW w:w="4535" w:type="dxa"/>
            <w:tcBorders>
              <w:left w:val="nil"/>
            </w:tcBorders>
          </w:tcPr>
          <w:p w14:paraId="07FC4164" w14:textId="77777777" w:rsidR="00345EE3" w:rsidRDefault="00345EE3" w:rsidP="00D73130">
            <w:pPr>
              <w:pStyle w:val="TableParagraph"/>
              <w:spacing w:before="61"/>
              <w:ind w:left="-3"/>
              <w:jc w:val="left"/>
              <w:rPr>
                <w:sz w:val="24"/>
              </w:rPr>
            </w:pPr>
            <w:r>
              <w:rPr>
                <w:color w:val="231F20"/>
                <w:spacing w:val="-2"/>
                <w:sz w:val="24"/>
              </w:rPr>
              <w:t>Amelia</w:t>
            </w:r>
          </w:p>
        </w:tc>
        <w:tc>
          <w:tcPr>
            <w:tcW w:w="5668" w:type="dxa"/>
            <w:gridSpan w:val="2"/>
            <w:tcBorders>
              <w:right w:val="nil"/>
            </w:tcBorders>
          </w:tcPr>
          <w:p w14:paraId="73653BCB" w14:textId="77777777" w:rsidR="00345EE3" w:rsidRDefault="00345EE3" w:rsidP="00D73130">
            <w:pPr>
              <w:pStyle w:val="TableParagraph"/>
              <w:spacing w:before="61"/>
              <w:jc w:val="left"/>
              <w:rPr>
                <w:sz w:val="24"/>
              </w:rPr>
            </w:pPr>
            <w:r>
              <w:rPr>
                <w:color w:val="231F20"/>
                <w:spacing w:val="-2"/>
                <w:sz w:val="24"/>
              </w:rPr>
              <w:t>Berry</w:t>
            </w:r>
          </w:p>
        </w:tc>
      </w:tr>
      <w:tr w:rsidR="00345EE3" w14:paraId="76565601" w14:textId="77777777" w:rsidTr="00D73130">
        <w:trPr>
          <w:trHeight w:val="396"/>
        </w:trPr>
        <w:tc>
          <w:tcPr>
            <w:tcW w:w="4535" w:type="dxa"/>
            <w:tcBorders>
              <w:left w:val="nil"/>
            </w:tcBorders>
          </w:tcPr>
          <w:p w14:paraId="45540B83" w14:textId="77777777" w:rsidR="00345EE3" w:rsidRDefault="00345EE3" w:rsidP="00D73130">
            <w:pPr>
              <w:pStyle w:val="TableParagraph"/>
              <w:spacing w:before="61"/>
              <w:ind w:left="-3"/>
              <w:jc w:val="left"/>
              <w:rPr>
                <w:sz w:val="24"/>
              </w:rPr>
            </w:pPr>
            <w:r>
              <w:rPr>
                <w:color w:val="231F20"/>
                <w:spacing w:val="-2"/>
                <w:sz w:val="24"/>
              </w:rPr>
              <w:t>Anthony</w:t>
            </w:r>
          </w:p>
        </w:tc>
        <w:tc>
          <w:tcPr>
            <w:tcW w:w="5668" w:type="dxa"/>
            <w:gridSpan w:val="2"/>
            <w:tcBorders>
              <w:right w:val="nil"/>
            </w:tcBorders>
          </w:tcPr>
          <w:p w14:paraId="444A6D77" w14:textId="77777777" w:rsidR="00345EE3" w:rsidRDefault="00345EE3" w:rsidP="00D73130">
            <w:pPr>
              <w:pStyle w:val="TableParagraph"/>
              <w:spacing w:before="61"/>
              <w:jc w:val="left"/>
              <w:rPr>
                <w:sz w:val="24"/>
              </w:rPr>
            </w:pPr>
            <w:r>
              <w:rPr>
                <w:color w:val="231F20"/>
                <w:spacing w:val="-2"/>
                <w:sz w:val="24"/>
              </w:rPr>
              <w:t>Currie</w:t>
            </w:r>
          </w:p>
        </w:tc>
      </w:tr>
      <w:tr w:rsidR="00345EE3" w14:paraId="3272F9AB" w14:textId="77777777" w:rsidTr="00D73130">
        <w:trPr>
          <w:trHeight w:val="396"/>
        </w:trPr>
        <w:tc>
          <w:tcPr>
            <w:tcW w:w="4535" w:type="dxa"/>
            <w:tcBorders>
              <w:left w:val="nil"/>
            </w:tcBorders>
          </w:tcPr>
          <w:p w14:paraId="692E5427" w14:textId="77777777" w:rsidR="00345EE3" w:rsidRDefault="00345EE3" w:rsidP="00D73130">
            <w:pPr>
              <w:pStyle w:val="TableParagraph"/>
              <w:spacing w:before="61"/>
              <w:ind w:left="-3"/>
              <w:jc w:val="left"/>
              <w:rPr>
                <w:sz w:val="24"/>
              </w:rPr>
            </w:pPr>
            <w:r>
              <w:rPr>
                <w:color w:val="231F20"/>
                <w:spacing w:val="-2"/>
                <w:sz w:val="24"/>
              </w:rPr>
              <w:t>Michelle</w:t>
            </w:r>
          </w:p>
        </w:tc>
        <w:tc>
          <w:tcPr>
            <w:tcW w:w="5668" w:type="dxa"/>
            <w:gridSpan w:val="2"/>
            <w:tcBorders>
              <w:right w:val="nil"/>
            </w:tcBorders>
          </w:tcPr>
          <w:p w14:paraId="315F5CAC" w14:textId="77777777" w:rsidR="00345EE3" w:rsidRDefault="00345EE3" w:rsidP="00D73130">
            <w:pPr>
              <w:pStyle w:val="TableParagraph"/>
              <w:spacing w:before="61"/>
              <w:jc w:val="left"/>
              <w:rPr>
                <w:sz w:val="24"/>
              </w:rPr>
            </w:pPr>
            <w:r>
              <w:rPr>
                <w:color w:val="231F20"/>
                <w:spacing w:val="-2"/>
                <w:sz w:val="24"/>
              </w:rPr>
              <w:t>Currie</w:t>
            </w:r>
          </w:p>
        </w:tc>
      </w:tr>
      <w:tr w:rsidR="00345EE3" w14:paraId="0B3C4EBC" w14:textId="77777777" w:rsidTr="00D73130">
        <w:trPr>
          <w:trHeight w:val="396"/>
        </w:trPr>
        <w:tc>
          <w:tcPr>
            <w:tcW w:w="4535" w:type="dxa"/>
            <w:tcBorders>
              <w:left w:val="nil"/>
            </w:tcBorders>
          </w:tcPr>
          <w:p w14:paraId="7FE0DE06" w14:textId="77777777" w:rsidR="00345EE3" w:rsidRDefault="00345EE3" w:rsidP="00D73130">
            <w:pPr>
              <w:pStyle w:val="TableParagraph"/>
              <w:spacing w:before="61"/>
              <w:ind w:left="-3"/>
              <w:jc w:val="left"/>
              <w:rPr>
                <w:sz w:val="24"/>
              </w:rPr>
            </w:pPr>
            <w:r>
              <w:rPr>
                <w:color w:val="231F20"/>
                <w:spacing w:val="-2"/>
                <w:sz w:val="24"/>
              </w:rPr>
              <w:t>Bradley</w:t>
            </w:r>
          </w:p>
        </w:tc>
        <w:tc>
          <w:tcPr>
            <w:tcW w:w="5668" w:type="dxa"/>
            <w:gridSpan w:val="2"/>
            <w:tcBorders>
              <w:right w:val="nil"/>
            </w:tcBorders>
          </w:tcPr>
          <w:p w14:paraId="70B28244" w14:textId="77777777" w:rsidR="00345EE3" w:rsidRDefault="00345EE3" w:rsidP="00D73130">
            <w:pPr>
              <w:pStyle w:val="TableParagraph"/>
              <w:spacing w:before="61"/>
              <w:jc w:val="left"/>
              <w:rPr>
                <w:sz w:val="24"/>
              </w:rPr>
            </w:pPr>
            <w:r>
              <w:rPr>
                <w:color w:val="231F20"/>
                <w:spacing w:val="-2"/>
                <w:sz w:val="24"/>
              </w:rPr>
              <w:t>Greenough</w:t>
            </w:r>
          </w:p>
        </w:tc>
      </w:tr>
      <w:tr w:rsidR="00345EE3" w14:paraId="55492FC8" w14:textId="77777777" w:rsidTr="00D73130">
        <w:trPr>
          <w:trHeight w:val="399"/>
        </w:trPr>
        <w:tc>
          <w:tcPr>
            <w:tcW w:w="4535" w:type="dxa"/>
            <w:tcBorders>
              <w:left w:val="nil"/>
              <w:bottom w:val="nil"/>
            </w:tcBorders>
          </w:tcPr>
          <w:p w14:paraId="23A548A8" w14:textId="77777777" w:rsidR="00345EE3" w:rsidRDefault="00345EE3" w:rsidP="00D73130">
            <w:pPr>
              <w:pStyle w:val="TableParagraph"/>
              <w:spacing w:before="61"/>
              <w:ind w:left="-3"/>
              <w:jc w:val="left"/>
              <w:rPr>
                <w:sz w:val="24"/>
              </w:rPr>
            </w:pPr>
            <w:r>
              <w:rPr>
                <w:color w:val="231F20"/>
                <w:spacing w:val="-4"/>
                <w:sz w:val="24"/>
              </w:rPr>
              <w:t>John</w:t>
            </w:r>
          </w:p>
        </w:tc>
        <w:tc>
          <w:tcPr>
            <w:tcW w:w="5668" w:type="dxa"/>
            <w:gridSpan w:val="2"/>
            <w:tcBorders>
              <w:bottom w:val="nil"/>
              <w:right w:val="nil"/>
            </w:tcBorders>
          </w:tcPr>
          <w:p w14:paraId="16E11E04" w14:textId="77777777" w:rsidR="00345EE3" w:rsidRDefault="00345EE3" w:rsidP="00D73130">
            <w:pPr>
              <w:pStyle w:val="TableParagraph"/>
              <w:spacing w:before="61"/>
              <w:jc w:val="left"/>
              <w:rPr>
                <w:sz w:val="24"/>
              </w:rPr>
            </w:pPr>
            <w:r>
              <w:rPr>
                <w:color w:val="231F20"/>
                <w:spacing w:val="-2"/>
                <w:sz w:val="24"/>
              </w:rPr>
              <w:t>Mandemaker</w:t>
            </w:r>
          </w:p>
        </w:tc>
      </w:tr>
      <w:tr w:rsidR="00345EE3" w14:paraId="64EBE055" w14:textId="77777777" w:rsidTr="00D73130">
        <w:trPr>
          <w:trHeight w:val="401"/>
        </w:trPr>
        <w:tc>
          <w:tcPr>
            <w:tcW w:w="10203" w:type="dxa"/>
            <w:gridSpan w:val="3"/>
            <w:tcBorders>
              <w:top w:val="nil"/>
              <w:left w:val="nil"/>
              <w:bottom w:val="nil"/>
              <w:right w:val="nil"/>
            </w:tcBorders>
            <w:shd w:val="clear" w:color="auto" w:fill="00529F"/>
          </w:tcPr>
          <w:p w14:paraId="73BAEB90" w14:textId="77777777" w:rsidR="00345EE3" w:rsidRDefault="00345EE3" w:rsidP="00D73130">
            <w:pPr>
              <w:pStyle w:val="TableParagraph"/>
              <w:spacing w:before="63"/>
              <w:ind w:left="-1"/>
              <w:jc w:val="left"/>
              <w:rPr>
                <w:b/>
                <w:sz w:val="24"/>
              </w:rPr>
            </w:pPr>
            <w:r>
              <w:rPr>
                <w:b/>
                <w:color w:val="FFFFFF"/>
                <w:sz w:val="24"/>
              </w:rPr>
              <w:t>Company</w:t>
            </w:r>
            <w:r>
              <w:rPr>
                <w:b/>
                <w:color w:val="FFFFFF"/>
                <w:spacing w:val="-8"/>
                <w:sz w:val="24"/>
              </w:rPr>
              <w:t xml:space="preserve"> </w:t>
            </w:r>
            <w:r>
              <w:rPr>
                <w:b/>
                <w:color w:val="FFFFFF"/>
                <w:sz w:val="24"/>
              </w:rPr>
              <w:t>Business</w:t>
            </w:r>
            <w:r>
              <w:rPr>
                <w:b/>
                <w:color w:val="FFFFFF"/>
                <w:spacing w:val="-8"/>
                <w:sz w:val="24"/>
              </w:rPr>
              <w:t xml:space="preserve"> </w:t>
            </w:r>
            <w:r>
              <w:rPr>
                <w:b/>
                <w:color w:val="FFFFFF"/>
                <w:spacing w:val="-2"/>
                <w:sz w:val="24"/>
              </w:rPr>
              <w:t>Commendation</w:t>
            </w:r>
          </w:p>
        </w:tc>
      </w:tr>
    </w:tbl>
    <w:p w14:paraId="480A01CF" w14:textId="62E552B9" w:rsidR="00345EE3" w:rsidRDefault="00345EE3" w:rsidP="00345EE3">
      <w:pPr>
        <w:pStyle w:val="BodyText"/>
        <w:spacing w:before="90"/>
        <w:ind w:left="150"/>
      </w:pPr>
      <w:r>
        <w:rPr>
          <w:color w:val="231F20"/>
        </w:rPr>
        <w:t>Melbourne</w:t>
      </w:r>
      <w:r>
        <w:rPr>
          <w:color w:val="231F20"/>
          <w:spacing w:val="-1"/>
        </w:rPr>
        <w:t xml:space="preserve"> </w:t>
      </w:r>
      <w:r>
        <w:rPr>
          <w:color w:val="231F20"/>
        </w:rPr>
        <w:t>City</w:t>
      </w:r>
      <w:r>
        <w:rPr>
          <w:color w:val="231F20"/>
          <w:spacing w:val="-2"/>
        </w:rPr>
        <w:t xml:space="preserve"> </w:t>
      </w:r>
      <w:r>
        <w:rPr>
          <w:color w:val="231F20"/>
        </w:rPr>
        <w:t>Safe</w:t>
      </w:r>
      <w:r>
        <w:rPr>
          <w:color w:val="231F20"/>
          <w:spacing w:val="-1"/>
        </w:rPr>
        <w:t xml:space="preserve"> </w:t>
      </w:r>
      <w:r>
        <w:rPr>
          <w:color w:val="231F20"/>
          <w:spacing w:val="-2"/>
        </w:rPr>
        <w:t>Program</w:t>
      </w:r>
    </w:p>
    <w:p w14:paraId="42F42F60" w14:textId="77777777" w:rsidR="00345EE3" w:rsidRDefault="00345EE3" w:rsidP="00345EE3">
      <w:pPr>
        <w:sectPr w:rsidR="00345EE3">
          <w:type w:val="continuous"/>
          <w:pgSz w:w="11910" w:h="16840"/>
          <w:pgMar w:top="820" w:right="740" w:bottom="280" w:left="700" w:header="720" w:footer="720" w:gutter="0"/>
          <w:cols w:space="720"/>
        </w:sectPr>
      </w:pPr>
    </w:p>
    <w:p w14:paraId="2CCA532A" w14:textId="77777777" w:rsidR="00345EE3" w:rsidRPr="00672E89" w:rsidRDefault="00345EE3" w:rsidP="00345EE3">
      <w:pPr>
        <w:pStyle w:val="Heading2"/>
        <w:ind w:left="150"/>
        <w:jc w:val="both"/>
        <w:rPr>
          <w:sz w:val="32"/>
          <w:szCs w:val="32"/>
        </w:rPr>
      </w:pPr>
      <w:r w:rsidRPr="00672E89">
        <w:rPr>
          <w:color w:val="00529F"/>
          <w:sz w:val="32"/>
          <w:szCs w:val="32"/>
        </w:rPr>
        <w:t>Appendix</w:t>
      </w:r>
      <w:r w:rsidRPr="00672E89">
        <w:rPr>
          <w:color w:val="00529F"/>
          <w:spacing w:val="-14"/>
          <w:sz w:val="32"/>
          <w:szCs w:val="32"/>
        </w:rPr>
        <w:t xml:space="preserve"> </w:t>
      </w:r>
      <w:r w:rsidRPr="00672E89">
        <w:rPr>
          <w:color w:val="00529F"/>
          <w:sz w:val="32"/>
          <w:szCs w:val="32"/>
        </w:rPr>
        <w:t>D:</w:t>
      </w:r>
      <w:r w:rsidRPr="00672E89">
        <w:rPr>
          <w:color w:val="00529F"/>
          <w:spacing w:val="-14"/>
          <w:sz w:val="32"/>
          <w:szCs w:val="32"/>
        </w:rPr>
        <w:t xml:space="preserve"> </w:t>
      </w:r>
      <w:r w:rsidRPr="00672E89">
        <w:rPr>
          <w:color w:val="00529F"/>
          <w:sz w:val="32"/>
          <w:szCs w:val="32"/>
        </w:rPr>
        <w:t>Acronym</w:t>
      </w:r>
      <w:r w:rsidRPr="00672E89">
        <w:rPr>
          <w:color w:val="00529F"/>
          <w:spacing w:val="-14"/>
          <w:sz w:val="32"/>
          <w:szCs w:val="32"/>
        </w:rPr>
        <w:t xml:space="preserve"> </w:t>
      </w:r>
      <w:r w:rsidRPr="00672E89">
        <w:rPr>
          <w:color w:val="00529F"/>
          <w:spacing w:val="-2"/>
          <w:sz w:val="32"/>
          <w:szCs w:val="32"/>
        </w:rPr>
        <w:t>Glossary</w:t>
      </w:r>
    </w:p>
    <w:p w14:paraId="68E52B33" w14:textId="77777777" w:rsidR="00345EE3" w:rsidRDefault="00345EE3" w:rsidP="00345EE3">
      <w:pPr>
        <w:pStyle w:val="BodyText"/>
        <w:spacing w:before="11"/>
        <w:rPr>
          <w:sz w:val="6"/>
        </w:rPr>
      </w:pPr>
    </w:p>
    <w:p w14:paraId="023E4064" w14:textId="77777777" w:rsidR="009A5F38" w:rsidRDefault="009A5F38" w:rsidP="00D73130">
      <w:pPr>
        <w:pStyle w:val="TableParagraph"/>
        <w:tabs>
          <w:tab w:val="left" w:pos="904"/>
        </w:tabs>
        <w:spacing w:before="0" w:line="268" w:lineRule="exact"/>
        <w:ind w:left="107"/>
        <w:jc w:val="left"/>
        <w:rPr>
          <w:sz w:val="24"/>
        </w:rPr>
      </w:pPr>
      <w:r>
        <w:rPr>
          <w:color w:val="231F20"/>
          <w:spacing w:val="-4"/>
          <w:sz w:val="24"/>
        </w:rPr>
        <w:t>ACAT</w:t>
      </w:r>
      <w:r>
        <w:rPr>
          <w:sz w:val="24"/>
        </w:rPr>
        <w:tab/>
      </w:r>
      <w:r>
        <w:rPr>
          <w:color w:val="231F20"/>
          <w:sz w:val="24"/>
        </w:rPr>
        <w:t>Aboriginal</w:t>
      </w:r>
      <w:r>
        <w:rPr>
          <w:color w:val="231F20"/>
          <w:spacing w:val="-14"/>
          <w:sz w:val="24"/>
        </w:rPr>
        <w:t xml:space="preserve"> </w:t>
      </w:r>
      <w:r>
        <w:rPr>
          <w:color w:val="231F20"/>
          <w:sz w:val="24"/>
        </w:rPr>
        <w:t>Cultural</w:t>
      </w:r>
      <w:r>
        <w:rPr>
          <w:color w:val="231F20"/>
          <w:spacing w:val="-14"/>
          <w:sz w:val="24"/>
        </w:rPr>
        <w:t xml:space="preserve"> </w:t>
      </w:r>
      <w:r>
        <w:rPr>
          <w:color w:val="231F20"/>
          <w:sz w:val="24"/>
        </w:rPr>
        <w:t>Awareness</w:t>
      </w:r>
      <w:r>
        <w:rPr>
          <w:color w:val="231F20"/>
          <w:spacing w:val="-14"/>
          <w:sz w:val="24"/>
        </w:rPr>
        <w:t xml:space="preserve"> </w:t>
      </w:r>
      <w:r>
        <w:rPr>
          <w:color w:val="231F20"/>
          <w:spacing w:val="-2"/>
          <w:sz w:val="24"/>
        </w:rPr>
        <w:t>Training</w:t>
      </w:r>
    </w:p>
    <w:p w14:paraId="2938FD84" w14:textId="77777777" w:rsidR="009A5F38" w:rsidRDefault="009A5F38" w:rsidP="00D73130">
      <w:pPr>
        <w:pStyle w:val="TableParagraph"/>
        <w:tabs>
          <w:tab w:val="left" w:pos="904"/>
        </w:tabs>
        <w:spacing w:before="54"/>
        <w:ind w:left="107"/>
        <w:jc w:val="left"/>
        <w:rPr>
          <w:sz w:val="24"/>
        </w:rPr>
      </w:pPr>
      <w:r>
        <w:rPr>
          <w:color w:val="231F20"/>
          <w:spacing w:val="-4"/>
          <w:sz w:val="24"/>
        </w:rPr>
        <w:t>ADTV</w:t>
      </w:r>
      <w:r>
        <w:rPr>
          <w:sz w:val="24"/>
        </w:rPr>
        <w:tab/>
      </w:r>
      <w:r>
        <w:rPr>
          <w:color w:val="231F20"/>
          <w:sz w:val="24"/>
        </w:rPr>
        <w:t>Alcohol</w:t>
      </w:r>
      <w:r>
        <w:rPr>
          <w:color w:val="231F20"/>
          <w:spacing w:val="-11"/>
          <w:sz w:val="24"/>
        </w:rPr>
        <w:t xml:space="preserve"> </w:t>
      </w:r>
      <w:r>
        <w:rPr>
          <w:color w:val="231F20"/>
          <w:sz w:val="24"/>
        </w:rPr>
        <w:t>and</w:t>
      </w:r>
      <w:r>
        <w:rPr>
          <w:color w:val="231F20"/>
          <w:spacing w:val="-10"/>
          <w:sz w:val="24"/>
        </w:rPr>
        <w:t xml:space="preserve"> </w:t>
      </w:r>
      <w:r>
        <w:rPr>
          <w:color w:val="231F20"/>
          <w:sz w:val="24"/>
        </w:rPr>
        <w:t>Drug</w:t>
      </w:r>
      <w:r>
        <w:rPr>
          <w:color w:val="231F20"/>
          <w:spacing w:val="-10"/>
          <w:sz w:val="24"/>
        </w:rPr>
        <w:t xml:space="preserve"> </w:t>
      </w:r>
      <w:r>
        <w:rPr>
          <w:color w:val="231F20"/>
          <w:sz w:val="24"/>
        </w:rPr>
        <w:t>Testing</w:t>
      </w:r>
      <w:r>
        <w:rPr>
          <w:color w:val="231F20"/>
          <w:spacing w:val="-10"/>
          <w:sz w:val="24"/>
        </w:rPr>
        <w:t xml:space="preserve"> </w:t>
      </w:r>
      <w:r>
        <w:rPr>
          <w:color w:val="231F20"/>
          <w:spacing w:val="-2"/>
          <w:sz w:val="24"/>
        </w:rPr>
        <w:t>Vehicles</w:t>
      </w:r>
    </w:p>
    <w:p w14:paraId="0A628BD9" w14:textId="77777777" w:rsidR="009A5F38" w:rsidRDefault="009A5F38" w:rsidP="00D73130">
      <w:pPr>
        <w:pStyle w:val="TableParagraph"/>
        <w:tabs>
          <w:tab w:val="left" w:pos="904"/>
        </w:tabs>
        <w:spacing w:before="54"/>
        <w:ind w:left="107"/>
        <w:jc w:val="left"/>
        <w:rPr>
          <w:sz w:val="24"/>
        </w:rPr>
      </w:pPr>
      <w:r>
        <w:rPr>
          <w:color w:val="231F20"/>
          <w:spacing w:val="-5"/>
          <w:sz w:val="24"/>
        </w:rPr>
        <w:t>AFC</w:t>
      </w:r>
      <w:r>
        <w:rPr>
          <w:sz w:val="24"/>
        </w:rPr>
        <w:tab/>
      </w:r>
      <w:r>
        <w:rPr>
          <w:color w:val="231F20"/>
          <w:sz w:val="24"/>
        </w:rPr>
        <w:t>Air</w:t>
      </w:r>
      <w:r>
        <w:rPr>
          <w:color w:val="231F20"/>
          <w:spacing w:val="-5"/>
          <w:sz w:val="24"/>
        </w:rPr>
        <w:t xml:space="preserve"> </w:t>
      </w:r>
      <w:r>
        <w:rPr>
          <w:color w:val="231F20"/>
          <w:sz w:val="24"/>
        </w:rPr>
        <w:t>Force</w:t>
      </w:r>
      <w:r>
        <w:rPr>
          <w:color w:val="231F20"/>
          <w:spacing w:val="-4"/>
          <w:sz w:val="24"/>
        </w:rPr>
        <w:t xml:space="preserve"> </w:t>
      </w:r>
      <w:r>
        <w:rPr>
          <w:color w:val="231F20"/>
          <w:spacing w:val="-2"/>
          <w:sz w:val="24"/>
        </w:rPr>
        <w:t>Cross</w:t>
      </w:r>
    </w:p>
    <w:p w14:paraId="019BB49D" w14:textId="77777777" w:rsidR="009A5F38" w:rsidRDefault="009A5F38" w:rsidP="00D73130">
      <w:pPr>
        <w:pStyle w:val="TableParagraph"/>
        <w:tabs>
          <w:tab w:val="left" w:pos="904"/>
        </w:tabs>
        <w:spacing w:before="54"/>
        <w:ind w:left="107"/>
        <w:jc w:val="left"/>
        <w:rPr>
          <w:sz w:val="24"/>
        </w:rPr>
      </w:pPr>
      <w:r>
        <w:rPr>
          <w:color w:val="231F20"/>
          <w:spacing w:val="-5"/>
          <w:sz w:val="24"/>
        </w:rPr>
        <w:t>AK</w:t>
      </w:r>
      <w:r>
        <w:rPr>
          <w:sz w:val="24"/>
        </w:rPr>
        <w:tab/>
      </w:r>
      <w:r>
        <w:rPr>
          <w:color w:val="231F20"/>
          <w:sz w:val="24"/>
        </w:rPr>
        <w:t>Knight</w:t>
      </w:r>
      <w:r>
        <w:rPr>
          <w:color w:val="231F20"/>
          <w:spacing w:val="-5"/>
          <w:sz w:val="24"/>
        </w:rPr>
        <w:t xml:space="preserve"> </w:t>
      </w:r>
      <w:r>
        <w:rPr>
          <w:color w:val="231F20"/>
          <w:sz w:val="24"/>
        </w:rPr>
        <w:t>of</w:t>
      </w:r>
      <w:r>
        <w:rPr>
          <w:color w:val="231F20"/>
          <w:spacing w:val="-4"/>
          <w:sz w:val="24"/>
        </w:rPr>
        <w:t xml:space="preserve"> </w:t>
      </w:r>
      <w:r>
        <w:rPr>
          <w:color w:val="231F20"/>
          <w:sz w:val="24"/>
        </w:rPr>
        <w:t>the</w:t>
      </w:r>
      <w:r>
        <w:rPr>
          <w:color w:val="231F20"/>
          <w:spacing w:val="-6"/>
          <w:sz w:val="24"/>
        </w:rPr>
        <w:t xml:space="preserve"> </w:t>
      </w:r>
      <w:r>
        <w:rPr>
          <w:color w:val="231F20"/>
          <w:sz w:val="24"/>
        </w:rPr>
        <w:t>Order</w:t>
      </w:r>
      <w:r>
        <w:rPr>
          <w:color w:val="231F20"/>
          <w:spacing w:val="-4"/>
          <w:sz w:val="24"/>
        </w:rPr>
        <w:t xml:space="preserve"> </w:t>
      </w:r>
      <w:r>
        <w:rPr>
          <w:color w:val="231F20"/>
          <w:sz w:val="24"/>
        </w:rPr>
        <w:t>of</w:t>
      </w:r>
      <w:r>
        <w:rPr>
          <w:color w:val="231F20"/>
          <w:spacing w:val="-4"/>
          <w:sz w:val="24"/>
        </w:rPr>
        <w:t xml:space="preserve"> </w:t>
      </w:r>
      <w:r>
        <w:rPr>
          <w:color w:val="231F20"/>
          <w:spacing w:val="-2"/>
          <w:sz w:val="24"/>
        </w:rPr>
        <w:t>Australia</w:t>
      </w:r>
    </w:p>
    <w:p w14:paraId="4D6CA807" w14:textId="77777777" w:rsidR="009A5F38" w:rsidRDefault="009A5F38" w:rsidP="00D73130">
      <w:pPr>
        <w:pStyle w:val="TableParagraph"/>
        <w:tabs>
          <w:tab w:val="left" w:pos="904"/>
        </w:tabs>
        <w:spacing w:before="54"/>
        <w:ind w:left="107"/>
        <w:jc w:val="left"/>
        <w:rPr>
          <w:sz w:val="24"/>
        </w:rPr>
      </w:pPr>
      <w:r>
        <w:rPr>
          <w:color w:val="231F20"/>
          <w:spacing w:val="-5"/>
          <w:sz w:val="24"/>
        </w:rPr>
        <w:t>AM</w:t>
      </w:r>
      <w:r>
        <w:rPr>
          <w:sz w:val="24"/>
        </w:rPr>
        <w:tab/>
      </w:r>
      <w:r>
        <w:rPr>
          <w:color w:val="231F20"/>
          <w:sz w:val="24"/>
        </w:rPr>
        <w:t>Member</w:t>
      </w:r>
      <w:r>
        <w:rPr>
          <w:color w:val="231F20"/>
          <w:spacing w:val="-5"/>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Order</w:t>
      </w:r>
      <w:r>
        <w:rPr>
          <w:color w:val="231F20"/>
          <w:spacing w:val="-4"/>
          <w:sz w:val="24"/>
        </w:rPr>
        <w:t xml:space="preserve"> </w:t>
      </w:r>
      <w:r>
        <w:rPr>
          <w:color w:val="231F20"/>
          <w:sz w:val="24"/>
        </w:rPr>
        <w:t>of</w:t>
      </w:r>
      <w:r>
        <w:rPr>
          <w:color w:val="231F20"/>
          <w:spacing w:val="-4"/>
          <w:sz w:val="24"/>
        </w:rPr>
        <w:t xml:space="preserve"> </w:t>
      </w:r>
      <w:r>
        <w:rPr>
          <w:color w:val="231F20"/>
          <w:spacing w:val="-2"/>
          <w:sz w:val="24"/>
        </w:rPr>
        <w:t>Australia</w:t>
      </w:r>
    </w:p>
    <w:p w14:paraId="5C76E8D6" w14:textId="77777777" w:rsidR="009A5F38" w:rsidRDefault="009A5F38" w:rsidP="00D73130">
      <w:pPr>
        <w:pStyle w:val="TableParagraph"/>
        <w:tabs>
          <w:tab w:val="left" w:pos="904"/>
        </w:tabs>
        <w:spacing w:before="54" w:line="256" w:lineRule="exact"/>
        <w:ind w:left="107"/>
        <w:jc w:val="left"/>
        <w:rPr>
          <w:sz w:val="24"/>
        </w:rPr>
      </w:pPr>
      <w:r>
        <w:rPr>
          <w:color w:val="231F20"/>
          <w:spacing w:val="-5"/>
          <w:sz w:val="24"/>
        </w:rPr>
        <w:t>AND</w:t>
      </w:r>
      <w:r>
        <w:rPr>
          <w:sz w:val="24"/>
        </w:rPr>
        <w:tab/>
      </w:r>
      <w:r>
        <w:rPr>
          <w:color w:val="231F20"/>
          <w:sz w:val="24"/>
        </w:rPr>
        <w:t>Australian</w:t>
      </w:r>
      <w:r>
        <w:rPr>
          <w:color w:val="231F20"/>
          <w:spacing w:val="-9"/>
          <w:sz w:val="24"/>
        </w:rPr>
        <w:t xml:space="preserve"> </w:t>
      </w:r>
      <w:r>
        <w:rPr>
          <w:color w:val="231F20"/>
          <w:sz w:val="24"/>
        </w:rPr>
        <w:t>Network</w:t>
      </w:r>
      <w:r>
        <w:rPr>
          <w:color w:val="231F20"/>
          <w:spacing w:val="-7"/>
          <w:sz w:val="24"/>
        </w:rPr>
        <w:t xml:space="preserve"> </w:t>
      </w:r>
      <w:r>
        <w:rPr>
          <w:color w:val="231F20"/>
          <w:sz w:val="24"/>
        </w:rPr>
        <w:t>on</w:t>
      </w:r>
      <w:r>
        <w:rPr>
          <w:color w:val="231F20"/>
          <w:spacing w:val="-8"/>
          <w:sz w:val="24"/>
        </w:rPr>
        <w:t xml:space="preserve"> </w:t>
      </w:r>
      <w:r>
        <w:rPr>
          <w:color w:val="231F20"/>
          <w:spacing w:val="-2"/>
          <w:sz w:val="24"/>
        </w:rPr>
        <w:t>Disability</w:t>
      </w:r>
    </w:p>
    <w:p w14:paraId="66882205" w14:textId="77777777" w:rsidR="00345EE3" w:rsidRDefault="00345EE3" w:rsidP="00345EE3">
      <w:pPr>
        <w:pStyle w:val="BodyText"/>
        <w:spacing w:before="120"/>
        <w:ind w:left="150"/>
        <w:jc w:val="both"/>
      </w:pPr>
      <w:r>
        <w:rPr>
          <w:color w:val="231F20"/>
        </w:rPr>
        <w:t>ANPR</w:t>
      </w:r>
      <w:r>
        <w:rPr>
          <w:color w:val="231F20"/>
          <w:spacing w:val="61"/>
          <w:w w:val="150"/>
        </w:rPr>
        <w:t xml:space="preserve"> </w:t>
      </w:r>
      <w:r>
        <w:rPr>
          <w:color w:val="231F20"/>
        </w:rPr>
        <w:t>Automated</w:t>
      </w:r>
      <w:r>
        <w:rPr>
          <w:color w:val="231F20"/>
          <w:spacing w:val="-8"/>
        </w:rPr>
        <w:t xml:space="preserve"> </w:t>
      </w:r>
      <w:r>
        <w:rPr>
          <w:color w:val="231F20"/>
        </w:rPr>
        <w:t>Number</w:t>
      </w:r>
      <w:r>
        <w:rPr>
          <w:color w:val="231F20"/>
          <w:spacing w:val="-8"/>
        </w:rPr>
        <w:t xml:space="preserve"> </w:t>
      </w:r>
      <w:r>
        <w:rPr>
          <w:color w:val="231F20"/>
        </w:rPr>
        <w:t>Plate</w:t>
      </w:r>
      <w:r>
        <w:rPr>
          <w:color w:val="231F20"/>
          <w:spacing w:val="-8"/>
        </w:rPr>
        <w:t xml:space="preserve"> </w:t>
      </w:r>
      <w:r>
        <w:rPr>
          <w:color w:val="231F20"/>
          <w:spacing w:val="-2"/>
        </w:rPr>
        <w:t>Recognition</w:t>
      </w:r>
    </w:p>
    <w:p w14:paraId="0F8E003F" w14:textId="77777777" w:rsidR="00345EE3" w:rsidRDefault="00345EE3" w:rsidP="00345EE3">
      <w:pPr>
        <w:pStyle w:val="BodyText"/>
        <w:spacing w:before="118" w:line="343" w:lineRule="auto"/>
        <w:ind w:left="150" w:right="3742"/>
        <w:jc w:val="both"/>
      </w:pPr>
      <w:r>
        <w:rPr>
          <w:color w:val="231F20"/>
        </w:rPr>
        <w:t>ANZPAA</w:t>
      </w:r>
      <w:r>
        <w:rPr>
          <w:color w:val="231F20"/>
          <w:spacing w:val="80"/>
          <w:w w:val="150"/>
        </w:rPr>
        <w:t xml:space="preserve"> </w:t>
      </w:r>
      <w:r>
        <w:rPr>
          <w:color w:val="231F20"/>
        </w:rPr>
        <w:t>Australia</w:t>
      </w:r>
      <w:r>
        <w:rPr>
          <w:color w:val="231F20"/>
          <w:spacing w:val="-7"/>
        </w:rPr>
        <w:t xml:space="preserve"> </w:t>
      </w:r>
      <w:r>
        <w:rPr>
          <w:color w:val="231F20"/>
        </w:rPr>
        <w:t>New</w:t>
      </w:r>
      <w:r>
        <w:rPr>
          <w:color w:val="231F20"/>
          <w:spacing w:val="-7"/>
        </w:rPr>
        <w:t xml:space="preserve"> </w:t>
      </w:r>
      <w:r>
        <w:rPr>
          <w:color w:val="231F20"/>
        </w:rPr>
        <w:t>Zealand</w:t>
      </w:r>
      <w:r>
        <w:rPr>
          <w:color w:val="231F20"/>
          <w:spacing w:val="-7"/>
        </w:rPr>
        <w:t xml:space="preserve"> </w:t>
      </w:r>
      <w:r>
        <w:rPr>
          <w:color w:val="231F20"/>
        </w:rPr>
        <w:t>Policing</w:t>
      </w:r>
      <w:r>
        <w:rPr>
          <w:color w:val="231F20"/>
          <w:spacing w:val="-7"/>
        </w:rPr>
        <w:t xml:space="preserve"> </w:t>
      </w:r>
      <w:r>
        <w:rPr>
          <w:color w:val="231F20"/>
        </w:rPr>
        <w:t>Advisory</w:t>
      </w:r>
      <w:r>
        <w:rPr>
          <w:color w:val="231F20"/>
          <w:spacing w:val="-7"/>
        </w:rPr>
        <w:t xml:space="preserve"> </w:t>
      </w:r>
      <w:r>
        <w:rPr>
          <w:color w:val="231F20"/>
        </w:rPr>
        <w:t>Agency APM</w:t>
      </w:r>
      <w:r>
        <w:rPr>
          <w:color w:val="231F20"/>
          <w:spacing w:val="80"/>
        </w:rPr>
        <w:t xml:space="preserve">  </w:t>
      </w:r>
      <w:r>
        <w:rPr>
          <w:color w:val="231F20"/>
        </w:rPr>
        <w:t>Australian Police Medal</w:t>
      </w:r>
    </w:p>
    <w:p w14:paraId="55AC2FFA" w14:textId="77777777" w:rsidR="00345EE3" w:rsidRDefault="00345EE3" w:rsidP="00345EE3">
      <w:pPr>
        <w:pStyle w:val="BodyText"/>
        <w:spacing w:line="343" w:lineRule="auto"/>
        <w:ind w:left="150" w:right="6707"/>
        <w:jc w:val="both"/>
      </w:pPr>
      <w:r>
        <w:rPr>
          <w:color w:val="231F20"/>
        </w:rPr>
        <w:t>ARC</w:t>
      </w:r>
      <w:r>
        <w:rPr>
          <w:color w:val="231F20"/>
          <w:spacing w:val="80"/>
        </w:rPr>
        <w:t xml:space="preserve"> </w:t>
      </w:r>
      <w:r>
        <w:rPr>
          <w:color w:val="231F20"/>
        </w:rPr>
        <w:t>Audit</w:t>
      </w:r>
      <w:r>
        <w:rPr>
          <w:color w:val="231F20"/>
          <w:spacing w:val="-7"/>
        </w:rPr>
        <w:t xml:space="preserve"> </w:t>
      </w:r>
      <w:r>
        <w:rPr>
          <w:color w:val="231F20"/>
        </w:rPr>
        <w:t>and</w:t>
      </w:r>
      <w:r>
        <w:rPr>
          <w:color w:val="231F20"/>
          <w:spacing w:val="-8"/>
        </w:rPr>
        <w:t xml:space="preserve"> </w:t>
      </w:r>
      <w:r>
        <w:rPr>
          <w:color w:val="231F20"/>
        </w:rPr>
        <w:t>Risk</w:t>
      </w:r>
      <w:r>
        <w:rPr>
          <w:color w:val="231F20"/>
          <w:spacing w:val="-7"/>
        </w:rPr>
        <w:t xml:space="preserve"> </w:t>
      </w:r>
      <w:r>
        <w:rPr>
          <w:color w:val="231F20"/>
        </w:rPr>
        <w:t>Committee ATO</w:t>
      </w:r>
      <w:r>
        <w:rPr>
          <w:color w:val="231F20"/>
          <w:spacing w:val="80"/>
        </w:rPr>
        <w:t xml:space="preserve"> </w:t>
      </w:r>
      <w:r>
        <w:rPr>
          <w:color w:val="231F20"/>
        </w:rPr>
        <w:t>Australian</w:t>
      </w:r>
      <w:r>
        <w:rPr>
          <w:color w:val="231F20"/>
          <w:spacing w:val="-8"/>
        </w:rPr>
        <w:t xml:space="preserve"> </w:t>
      </w:r>
      <w:r>
        <w:rPr>
          <w:color w:val="231F20"/>
        </w:rPr>
        <w:t>Taxation</w:t>
      </w:r>
      <w:r>
        <w:rPr>
          <w:color w:val="231F20"/>
          <w:spacing w:val="-8"/>
        </w:rPr>
        <w:t xml:space="preserve"> </w:t>
      </w:r>
      <w:r>
        <w:rPr>
          <w:color w:val="231F20"/>
        </w:rPr>
        <w:t>Office AVL</w:t>
      </w:r>
      <w:r>
        <w:rPr>
          <w:color w:val="231F20"/>
          <w:spacing w:val="80"/>
        </w:rPr>
        <w:t xml:space="preserve">  </w:t>
      </w:r>
      <w:r>
        <w:rPr>
          <w:color w:val="231F20"/>
        </w:rPr>
        <w:t>Audio-Visual Link</w:t>
      </w:r>
    </w:p>
    <w:p w14:paraId="49B96169" w14:textId="77777777" w:rsidR="00345EE3" w:rsidRDefault="00345EE3" w:rsidP="00345EE3">
      <w:pPr>
        <w:pStyle w:val="BodyText"/>
        <w:tabs>
          <w:tab w:val="left" w:pos="1000"/>
        </w:tabs>
        <w:spacing w:line="343" w:lineRule="auto"/>
        <w:ind w:left="150" w:right="5551"/>
      </w:pPr>
      <w:r>
        <w:rPr>
          <w:color w:val="231F20"/>
          <w:spacing w:val="-4"/>
        </w:rPr>
        <w:t>AYCP</w:t>
      </w:r>
      <w:r>
        <w:rPr>
          <w:color w:val="231F20"/>
        </w:rPr>
        <w:tab/>
      </w:r>
      <w:r>
        <w:rPr>
          <w:color w:val="231F20"/>
          <w:spacing w:val="-2"/>
        </w:rPr>
        <w:t>Aboriginal</w:t>
      </w:r>
      <w:r>
        <w:rPr>
          <w:color w:val="231F20"/>
          <w:spacing w:val="-7"/>
        </w:rPr>
        <w:t xml:space="preserve"> </w:t>
      </w:r>
      <w:r>
        <w:rPr>
          <w:color w:val="231F20"/>
          <w:spacing w:val="-2"/>
        </w:rPr>
        <w:t>Youth</w:t>
      </w:r>
      <w:r>
        <w:rPr>
          <w:color w:val="231F20"/>
          <w:spacing w:val="-7"/>
        </w:rPr>
        <w:t xml:space="preserve"> </w:t>
      </w:r>
      <w:r>
        <w:rPr>
          <w:color w:val="231F20"/>
          <w:spacing w:val="-2"/>
        </w:rPr>
        <w:t>Cautioning</w:t>
      </w:r>
      <w:r>
        <w:rPr>
          <w:color w:val="231F20"/>
          <w:spacing w:val="-7"/>
        </w:rPr>
        <w:t xml:space="preserve"> </w:t>
      </w:r>
      <w:r>
        <w:rPr>
          <w:color w:val="231F20"/>
          <w:spacing w:val="-2"/>
        </w:rPr>
        <w:t xml:space="preserve">Program </w:t>
      </w:r>
      <w:r>
        <w:rPr>
          <w:color w:val="231F20"/>
          <w:spacing w:val="-6"/>
        </w:rPr>
        <w:t>BM</w:t>
      </w:r>
      <w:r>
        <w:rPr>
          <w:color w:val="231F20"/>
        </w:rPr>
        <w:tab/>
        <w:t>Australian Bravery Medal</w:t>
      </w:r>
    </w:p>
    <w:p w14:paraId="67DADFF2" w14:textId="77777777" w:rsidR="00345EE3" w:rsidRDefault="00345EE3" w:rsidP="00345EE3">
      <w:pPr>
        <w:pStyle w:val="BodyText"/>
        <w:tabs>
          <w:tab w:val="left" w:pos="1000"/>
        </w:tabs>
        <w:spacing w:line="273" w:lineRule="exact"/>
        <w:ind w:left="150"/>
      </w:pPr>
      <w:r>
        <w:rPr>
          <w:color w:val="231F20"/>
          <w:spacing w:val="-5"/>
        </w:rPr>
        <w:t>BoE</w:t>
      </w:r>
      <w:r>
        <w:rPr>
          <w:color w:val="231F20"/>
        </w:rPr>
        <w:tab/>
        <w:t>Briefs</w:t>
      </w:r>
      <w:r>
        <w:rPr>
          <w:color w:val="231F20"/>
          <w:spacing w:val="-3"/>
        </w:rPr>
        <w:t xml:space="preserve"> </w:t>
      </w:r>
      <w:r>
        <w:rPr>
          <w:color w:val="231F20"/>
        </w:rPr>
        <w:t>of</w:t>
      </w:r>
      <w:r>
        <w:rPr>
          <w:color w:val="231F20"/>
          <w:spacing w:val="-3"/>
        </w:rPr>
        <w:t xml:space="preserve"> </w:t>
      </w:r>
      <w:r>
        <w:rPr>
          <w:color w:val="231F20"/>
          <w:spacing w:val="-2"/>
        </w:rPr>
        <w:t>Evidence</w:t>
      </w:r>
    </w:p>
    <w:p w14:paraId="52CE28D8" w14:textId="77777777" w:rsidR="00345EE3" w:rsidRDefault="00345EE3" w:rsidP="00345EE3">
      <w:pPr>
        <w:pStyle w:val="BodyText"/>
        <w:tabs>
          <w:tab w:val="left" w:pos="1000"/>
        </w:tabs>
        <w:spacing w:before="111" w:line="343" w:lineRule="auto"/>
        <w:ind w:left="150" w:right="5572"/>
      </w:pPr>
      <w:r>
        <w:rPr>
          <w:color w:val="231F20"/>
          <w:spacing w:val="-4"/>
        </w:rPr>
        <w:t>BP3</w:t>
      </w:r>
      <w:r>
        <w:rPr>
          <w:color w:val="231F20"/>
        </w:rPr>
        <w:tab/>
        <w:t>Budget</w:t>
      </w:r>
      <w:r>
        <w:rPr>
          <w:color w:val="231F20"/>
          <w:spacing w:val="-10"/>
        </w:rPr>
        <w:t xml:space="preserve"> </w:t>
      </w:r>
      <w:r>
        <w:rPr>
          <w:color w:val="231F20"/>
        </w:rPr>
        <w:t>Paper</w:t>
      </w:r>
      <w:r>
        <w:rPr>
          <w:color w:val="231F20"/>
          <w:spacing w:val="-10"/>
        </w:rPr>
        <w:t xml:space="preserve"> </w:t>
      </w:r>
      <w:r>
        <w:rPr>
          <w:color w:val="231F20"/>
        </w:rPr>
        <w:t>No.</w:t>
      </w:r>
      <w:r>
        <w:rPr>
          <w:color w:val="231F20"/>
          <w:spacing w:val="-10"/>
        </w:rPr>
        <w:t xml:space="preserve"> </w:t>
      </w:r>
      <w:r>
        <w:rPr>
          <w:color w:val="231F20"/>
        </w:rPr>
        <w:t>3</w:t>
      </w:r>
      <w:r>
        <w:rPr>
          <w:color w:val="231F20"/>
          <w:spacing w:val="-11"/>
        </w:rPr>
        <w:t xml:space="preserve"> </w:t>
      </w:r>
      <w:r>
        <w:rPr>
          <w:color w:val="231F20"/>
        </w:rPr>
        <w:t>Service</w:t>
      </w:r>
      <w:r>
        <w:rPr>
          <w:color w:val="231F20"/>
          <w:spacing w:val="-11"/>
        </w:rPr>
        <w:t xml:space="preserve"> </w:t>
      </w:r>
      <w:r>
        <w:rPr>
          <w:color w:val="231F20"/>
        </w:rPr>
        <w:t xml:space="preserve">Delivery </w:t>
      </w:r>
      <w:r>
        <w:rPr>
          <w:color w:val="231F20"/>
          <w:spacing w:val="-4"/>
        </w:rPr>
        <w:t>BWC</w:t>
      </w:r>
      <w:r>
        <w:rPr>
          <w:color w:val="231F20"/>
        </w:rPr>
        <w:tab/>
        <w:t>Body Worn Camera</w:t>
      </w:r>
    </w:p>
    <w:p w14:paraId="4A01CFD1" w14:textId="77777777" w:rsidR="00345EE3" w:rsidRDefault="00345EE3" w:rsidP="00345EE3">
      <w:pPr>
        <w:pStyle w:val="BodyText"/>
        <w:tabs>
          <w:tab w:val="left" w:pos="1000"/>
        </w:tabs>
        <w:spacing w:line="273" w:lineRule="exact"/>
        <w:ind w:left="150"/>
      </w:pPr>
      <w:r>
        <w:rPr>
          <w:color w:val="231F20"/>
          <w:spacing w:val="-5"/>
        </w:rPr>
        <w:t>CAG</w:t>
      </w:r>
      <w:r>
        <w:rPr>
          <w:color w:val="231F20"/>
        </w:rPr>
        <w:tab/>
        <w:t>Corporate</w:t>
      </w:r>
      <w:r>
        <w:rPr>
          <w:color w:val="231F20"/>
          <w:spacing w:val="-6"/>
        </w:rPr>
        <w:t xml:space="preserve"> </w:t>
      </w:r>
      <w:r>
        <w:rPr>
          <w:color w:val="231F20"/>
        </w:rPr>
        <w:t>Advisory</w:t>
      </w:r>
      <w:r>
        <w:rPr>
          <w:color w:val="231F20"/>
          <w:spacing w:val="-6"/>
        </w:rPr>
        <w:t xml:space="preserve"> </w:t>
      </w:r>
      <w:r>
        <w:rPr>
          <w:color w:val="231F20"/>
          <w:spacing w:val="-4"/>
        </w:rPr>
        <w:t>Group</w:t>
      </w:r>
    </w:p>
    <w:p w14:paraId="428E6D9A" w14:textId="77777777" w:rsidR="00345EE3" w:rsidRDefault="00345EE3" w:rsidP="00345EE3">
      <w:pPr>
        <w:pStyle w:val="BodyText"/>
        <w:tabs>
          <w:tab w:val="left" w:pos="1000"/>
        </w:tabs>
        <w:spacing w:before="117" w:line="343" w:lineRule="auto"/>
        <w:ind w:left="150" w:right="5732"/>
      </w:pPr>
      <w:r>
        <w:rPr>
          <w:color w:val="231F20"/>
          <w:spacing w:val="-4"/>
        </w:rPr>
        <w:t>CALD</w:t>
      </w:r>
      <w:r>
        <w:rPr>
          <w:color w:val="231F20"/>
        </w:rPr>
        <w:tab/>
        <w:t>Culturally</w:t>
      </w:r>
      <w:r>
        <w:rPr>
          <w:color w:val="231F20"/>
          <w:spacing w:val="-19"/>
        </w:rPr>
        <w:t xml:space="preserve"> </w:t>
      </w:r>
      <w:r>
        <w:rPr>
          <w:color w:val="231F20"/>
        </w:rPr>
        <w:t>and</w:t>
      </w:r>
      <w:r>
        <w:rPr>
          <w:color w:val="231F20"/>
          <w:spacing w:val="-17"/>
        </w:rPr>
        <w:t xml:space="preserve"> </w:t>
      </w:r>
      <w:r>
        <w:rPr>
          <w:color w:val="231F20"/>
        </w:rPr>
        <w:t>Linguistically</w:t>
      </w:r>
      <w:r>
        <w:rPr>
          <w:color w:val="231F20"/>
          <w:spacing w:val="-16"/>
        </w:rPr>
        <w:t xml:space="preserve"> </w:t>
      </w:r>
      <w:r>
        <w:rPr>
          <w:color w:val="231F20"/>
        </w:rPr>
        <w:t xml:space="preserve">Diverse </w:t>
      </w:r>
      <w:r>
        <w:rPr>
          <w:color w:val="231F20"/>
          <w:spacing w:val="-4"/>
        </w:rPr>
        <w:t>CAP</w:t>
      </w:r>
      <w:r>
        <w:rPr>
          <w:color w:val="231F20"/>
        </w:rPr>
        <w:tab/>
        <w:t>Continuous Auditing Program</w:t>
      </w:r>
    </w:p>
    <w:p w14:paraId="6D0F7D44" w14:textId="77777777" w:rsidR="00345EE3" w:rsidRDefault="00345EE3" w:rsidP="00345EE3">
      <w:pPr>
        <w:pStyle w:val="BodyText"/>
        <w:tabs>
          <w:tab w:val="left" w:pos="1000"/>
        </w:tabs>
        <w:spacing w:line="343" w:lineRule="auto"/>
        <w:ind w:left="150" w:right="5864"/>
      </w:pPr>
      <w:r>
        <w:rPr>
          <w:color w:val="231F20"/>
          <w:spacing w:val="-4"/>
        </w:rPr>
        <w:t>CBC</w:t>
      </w:r>
      <w:r>
        <w:rPr>
          <w:color w:val="231F20"/>
        </w:rPr>
        <w:tab/>
        <w:t>Commendation</w:t>
      </w:r>
      <w:r>
        <w:rPr>
          <w:color w:val="231F20"/>
          <w:spacing w:val="-19"/>
        </w:rPr>
        <w:t xml:space="preserve"> </w:t>
      </w:r>
      <w:r>
        <w:rPr>
          <w:color w:val="231F20"/>
        </w:rPr>
        <w:t>for</w:t>
      </w:r>
      <w:r>
        <w:rPr>
          <w:color w:val="231F20"/>
          <w:spacing w:val="-17"/>
        </w:rPr>
        <w:t xml:space="preserve"> </w:t>
      </w:r>
      <w:r>
        <w:rPr>
          <w:color w:val="231F20"/>
        </w:rPr>
        <w:t>Brave</w:t>
      </w:r>
      <w:r>
        <w:rPr>
          <w:color w:val="231F20"/>
          <w:spacing w:val="-16"/>
        </w:rPr>
        <w:t xml:space="preserve"> </w:t>
      </w:r>
      <w:r>
        <w:rPr>
          <w:color w:val="231F20"/>
        </w:rPr>
        <w:t xml:space="preserve">Conduct </w:t>
      </w:r>
      <w:r>
        <w:rPr>
          <w:color w:val="231F20"/>
          <w:spacing w:val="-4"/>
        </w:rPr>
        <w:t>CDO</w:t>
      </w:r>
      <w:r>
        <w:rPr>
          <w:color w:val="231F20"/>
        </w:rPr>
        <w:tab/>
        <w:t>Chief Digital Officer</w:t>
      </w:r>
    </w:p>
    <w:p w14:paraId="06458F1F" w14:textId="77777777" w:rsidR="00345EE3" w:rsidRDefault="00345EE3" w:rsidP="00345EE3">
      <w:pPr>
        <w:pStyle w:val="BodyText"/>
        <w:tabs>
          <w:tab w:val="left" w:pos="1000"/>
        </w:tabs>
        <w:spacing w:line="343" w:lineRule="auto"/>
        <w:ind w:left="150" w:right="6578"/>
      </w:pPr>
      <w:r>
        <w:rPr>
          <w:color w:val="231F20"/>
          <w:spacing w:val="-4"/>
        </w:rPr>
        <w:t>CED</w:t>
      </w:r>
      <w:r>
        <w:rPr>
          <w:color w:val="231F20"/>
        </w:rPr>
        <w:tab/>
        <w:t>Conducted</w:t>
      </w:r>
      <w:r>
        <w:rPr>
          <w:color w:val="231F20"/>
          <w:spacing w:val="-17"/>
        </w:rPr>
        <w:t xml:space="preserve"> </w:t>
      </w:r>
      <w:r>
        <w:rPr>
          <w:color w:val="231F20"/>
        </w:rPr>
        <w:t>Energy</w:t>
      </w:r>
      <w:r>
        <w:rPr>
          <w:color w:val="231F20"/>
          <w:spacing w:val="-17"/>
        </w:rPr>
        <w:t xml:space="preserve"> </w:t>
      </w:r>
      <w:r>
        <w:rPr>
          <w:color w:val="231F20"/>
        </w:rPr>
        <w:t xml:space="preserve">Devices </w:t>
      </w:r>
      <w:r>
        <w:rPr>
          <w:color w:val="231F20"/>
          <w:spacing w:val="-4"/>
        </w:rPr>
        <w:t>CFO</w:t>
      </w:r>
      <w:r>
        <w:rPr>
          <w:color w:val="231F20"/>
        </w:rPr>
        <w:tab/>
        <w:t>Chief Finance Officer</w:t>
      </w:r>
    </w:p>
    <w:p w14:paraId="35903DA7" w14:textId="77777777" w:rsidR="00345EE3" w:rsidRDefault="00345EE3" w:rsidP="00345EE3">
      <w:pPr>
        <w:pStyle w:val="BodyText"/>
        <w:tabs>
          <w:tab w:val="left" w:pos="1000"/>
        </w:tabs>
        <w:spacing w:line="273" w:lineRule="exact"/>
        <w:ind w:left="150"/>
      </w:pPr>
      <w:r>
        <w:rPr>
          <w:color w:val="231F20"/>
          <w:spacing w:val="-5"/>
        </w:rPr>
        <w:t>CHO</w:t>
      </w:r>
      <w:r>
        <w:rPr>
          <w:color w:val="231F20"/>
        </w:rPr>
        <w:tab/>
        <w:t>Chief</w:t>
      </w:r>
      <w:r>
        <w:rPr>
          <w:color w:val="231F20"/>
          <w:spacing w:val="-9"/>
        </w:rPr>
        <w:t xml:space="preserve"> </w:t>
      </w:r>
      <w:r>
        <w:rPr>
          <w:color w:val="231F20"/>
        </w:rPr>
        <w:t>Health</w:t>
      </w:r>
      <w:r>
        <w:rPr>
          <w:color w:val="231F20"/>
          <w:spacing w:val="-9"/>
        </w:rPr>
        <w:t xml:space="preserve"> </w:t>
      </w:r>
      <w:r>
        <w:rPr>
          <w:color w:val="231F20"/>
          <w:spacing w:val="-2"/>
        </w:rPr>
        <w:t>Officer</w:t>
      </w:r>
    </w:p>
    <w:p w14:paraId="7999FBA4" w14:textId="77777777" w:rsidR="00345EE3" w:rsidRDefault="00345EE3" w:rsidP="00345EE3">
      <w:pPr>
        <w:pStyle w:val="BodyText"/>
        <w:tabs>
          <w:tab w:val="left" w:pos="1000"/>
        </w:tabs>
        <w:spacing w:before="112" w:line="343" w:lineRule="auto"/>
        <w:ind w:left="150" w:right="5833"/>
      </w:pPr>
      <w:r>
        <w:rPr>
          <w:color w:val="231F20"/>
          <w:spacing w:val="-4"/>
        </w:rPr>
        <w:t>CISS</w:t>
      </w:r>
      <w:r>
        <w:rPr>
          <w:color w:val="231F20"/>
        </w:rPr>
        <w:tab/>
        <w:t>Child</w:t>
      </w:r>
      <w:r>
        <w:rPr>
          <w:color w:val="231F20"/>
          <w:spacing w:val="-19"/>
        </w:rPr>
        <w:t xml:space="preserve"> </w:t>
      </w:r>
      <w:r>
        <w:rPr>
          <w:color w:val="231F20"/>
        </w:rPr>
        <w:t>Information</w:t>
      </w:r>
      <w:r>
        <w:rPr>
          <w:color w:val="231F20"/>
          <w:spacing w:val="-17"/>
        </w:rPr>
        <w:t xml:space="preserve"> </w:t>
      </w:r>
      <w:r>
        <w:rPr>
          <w:color w:val="231F20"/>
        </w:rPr>
        <w:t>Sharing</w:t>
      </w:r>
      <w:r>
        <w:rPr>
          <w:color w:val="231F20"/>
          <w:spacing w:val="-16"/>
        </w:rPr>
        <w:t xml:space="preserve"> </w:t>
      </w:r>
      <w:r>
        <w:rPr>
          <w:color w:val="231F20"/>
        </w:rPr>
        <w:t xml:space="preserve">Scheme </w:t>
      </w:r>
      <w:r>
        <w:rPr>
          <w:color w:val="231F20"/>
          <w:spacing w:val="-4"/>
        </w:rPr>
        <w:t>CRC</w:t>
      </w:r>
      <w:r>
        <w:rPr>
          <w:color w:val="231F20"/>
        </w:rPr>
        <w:tab/>
        <w:t>COVID Response Command</w:t>
      </w:r>
    </w:p>
    <w:p w14:paraId="2357C9D3" w14:textId="77777777" w:rsidR="00345EE3" w:rsidRDefault="00345EE3" w:rsidP="00345EE3">
      <w:pPr>
        <w:pStyle w:val="BodyText"/>
        <w:tabs>
          <w:tab w:val="left" w:pos="1000"/>
        </w:tabs>
        <w:spacing w:line="273" w:lineRule="exact"/>
        <w:ind w:left="150"/>
      </w:pPr>
      <w:r>
        <w:rPr>
          <w:color w:val="231F20"/>
          <w:spacing w:val="-5"/>
        </w:rPr>
        <w:t>Cth</w:t>
      </w:r>
      <w:r>
        <w:rPr>
          <w:color w:val="231F20"/>
        </w:rPr>
        <w:tab/>
      </w:r>
      <w:r>
        <w:rPr>
          <w:color w:val="231F20"/>
          <w:spacing w:val="-2"/>
        </w:rPr>
        <w:t>Commonwealth</w:t>
      </w:r>
    </w:p>
    <w:p w14:paraId="79E6783E" w14:textId="77777777" w:rsidR="00345EE3" w:rsidRDefault="00345EE3" w:rsidP="00345EE3">
      <w:pPr>
        <w:pStyle w:val="BodyText"/>
        <w:tabs>
          <w:tab w:val="left" w:pos="1000"/>
        </w:tabs>
        <w:spacing w:before="118"/>
        <w:ind w:left="150"/>
      </w:pPr>
      <w:r>
        <w:rPr>
          <w:color w:val="231F20"/>
          <w:spacing w:val="-5"/>
        </w:rPr>
        <w:t>DH</w:t>
      </w:r>
      <w:r>
        <w:rPr>
          <w:color w:val="231F20"/>
        </w:rPr>
        <w:tab/>
        <w:t>Department</w:t>
      </w:r>
      <w:r>
        <w:rPr>
          <w:color w:val="231F20"/>
          <w:spacing w:val="-6"/>
        </w:rPr>
        <w:t xml:space="preserve"> </w:t>
      </w:r>
      <w:r>
        <w:rPr>
          <w:color w:val="231F20"/>
        </w:rPr>
        <w:t>of</w:t>
      </w:r>
      <w:r>
        <w:rPr>
          <w:color w:val="231F20"/>
          <w:spacing w:val="-5"/>
        </w:rPr>
        <w:t xml:space="preserve"> </w:t>
      </w:r>
      <w:r>
        <w:rPr>
          <w:color w:val="231F20"/>
          <w:spacing w:val="-2"/>
        </w:rPr>
        <w:t>Health</w:t>
      </w:r>
    </w:p>
    <w:p w14:paraId="199FE580" w14:textId="77777777" w:rsidR="00345EE3" w:rsidRDefault="00345EE3" w:rsidP="00345EE3">
      <w:pPr>
        <w:pStyle w:val="BodyText"/>
        <w:tabs>
          <w:tab w:val="left" w:pos="1000"/>
        </w:tabs>
        <w:spacing w:before="117" w:line="343" w:lineRule="auto"/>
        <w:ind w:left="150" w:right="4658"/>
      </w:pPr>
      <w:r>
        <w:rPr>
          <w:color w:val="231F20"/>
          <w:spacing w:val="-4"/>
        </w:rPr>
        <w:t>DJCS</w:t>
      </w:r>
      <w:r>
        <w:rPr>
          <w:color w:val="231F20"/>
        </w:rPr>
        <w:tab/>
        <w:t>Department</w:t>
      </w:r>
      <w:r>
        <w:rPr>
          <w:color w:val="231F20"/>
          <w:spacing w:val="-12"/>
        </w:rPr>
        <w:t xml:space="preserve"> </w:t>
      </w:r>
      <w:r>
        <w:rPr>
          <w:color w:val="231F20"/>
        </w:rPr>
        <w:t>of</w:t>
      </w:r>
      <w:r>
        <w:rPr>
          <w:color w:val="231F20"/>
          <w:spacing w:val="-12"/>
        </w:rPr>
        <w:t xml:space="preserve"> </w:t>
      </w:r>
      <w:r>
        <w:rPr>
          <w:color w:val="231F20"/>
        </w:rPr>
        <w:t>Justice</w:t>
      </w:r>
      <w:r>
        <w:rPr>
          <w:color w:val="231F20"/>
          <w:spacing w:val="-12"/>
        </w:rPr>
        <w:t xml:space="preserve"> </w:t>
      </w:r>
      <w:r>
        <w:rPr>
          <w:color w:val="231F20"/>
        </w:rPr>
        <w:t>and</w:t>
      </w:r>
      <w:r>
        <w:rPr>
          <w:color w:val="231F20"/>
          <w:spacing w:val="-12"/>
        </w:rPr>
        <w:t xml:space="preserve"> </w:t>
      </w:r>
      <w:r>
        <w:rPr>
          <w:color w:val="231F20"/>
        </w:rPr>
        <w:t>Community</w:t>
      </w:r>
      <w:r>
        <w:rPr>
          <w:color w:val="231F20"/>
          <w:spacing w:val="-12"/>
        </w:rPr>
        <w:t xml:space="preserve"> </w:t>
      </w:r>
      <w:r>
        <w:rPr>
          <w:color w:val="231F20"/>
        </w:rPr>
        <w:t>Safety DREC</w:t>
      </w:r>
      <w:r>
        <w:rPr>
          <w:color w:val="231F20"/>
          <w:spacing w:val="80"/>
        </w:rPr>
        <w:t xml:space="preserve"> </w:t>
      </w:r>
      <w:r>
        <w:rPr>
          <w:color w:val="231F20"/>
        </w:rPr>
        <w:t>Digitally Recorded Evidence in Chief</w:t>
      </w:r>
    </w:p>
    <w:p w14:paraId="26342676" w14:textId="77777777" w:rsidR="00345EE3" w:rsidRDefault="00345EE3" w:rsidP="00345EE3">
      <w:pPr>
        <w:pStyle w:val="BodyText"/>
        <w:tabs>
          <w:tab w:val="left" w:pos="1000"/>
        </w:tabs>
        <w:spacing w:line="343" w:lineRule="auto"/>
        <w:ind w:left="150" w:right="5846"/>
      </w:pPr>
      <w:r>
        <w:rPr>
          <w:color w:val="231F20"/>
          <w:spacing w:val="-4"/>
        </w:rPr>
        <w:t>DTF</w:t>
      </w:r>
      <w:r>
        <w:rPr>
          <w:color w:val="231F20"/>
        </w:rPr>
        <w:tab/>
        <w:t>Department</w:t>
      </w:r>
      <w:r>
        <w:rPr>
          <w:color w:val="231F20"/>
          <w:spacing w:val="-19"/>
        </w:rPr>
        <w:t xml:space="preserve"> </w:t>
      </w:r>
      <w:r>
        <w:rPr>
          <w:color w:val="231F20"/>
        </w:rPr>
        <w:t>Treasury</w:t>
      </w:r>
      <w:r>
        <w:rPr>
          <w:color w:val="231F20"/>
          <w:spacing w:val="-17"/>
        </w:rPr>
        <w:t xml:space="preserve"> </w:t>
      </w:r>
      <w:r>
        <w:rPr>
          <w:color w:val="231F20"/>
        </w:rPr>
        <w:t>and</w:t>
      </w:r>
      <w:r>
        <w:rPr>
          <w:color w:val="231F20"/>
          <w:spacing w:val="-16"/>
        </w:rPr>
        <w:t xml:space="preserve"> </w:t>
      </w:r>
      <w:r>
        <w:rPr>
          <w:color w:val="231F20"/>
        </w:rPr>
        <w:t xml:space="preserve">Finance </w:t>
      </w:r>
      <w:r>
        <w:rPr>
          <w:color w:val="231F20"/>
          <w:spacing w:val="-4"/>
        </w:rPr>
        <w:t>DWG</w:t>
      </w:r>
      <w:r>
        <w:rPr>
          <w:color w:val="231F20"/>
        </w:rPr>
        <w:tab/>
        <w:t>Designated Workgroup</w:t>
      </w:r>
    </w:p>
    <w:p w14:paraId="39B430DE" w14:textId="77777777" w:rsidR="00345EE3" w:rsidRDefault="00345EE3" w:rsidP="00345EE3">
      <w:pPr>
        <w:pStyle w:val="BodyText"/>
        <w:tabs>
          <w:tab w:val="left" w:pos="1000"/>
        </w:tabs>
        <w:spacing w:line="273" w:lineRule="exact"/>
        <w:ind w:left="150"/>
      </w:pPr>
      <w:r>
        <w:rPr>
          <w:color w:val="231F20"/>
          <w:spacing w:val="-5"/>
        </w:rPr>
        <w:t>ER</w:t>
      </w:r>
      <w:r>
        <w:rPr>
          <w:color w:val="231F20"/>
        </w:rPr>
        <w:tab/>
        <w:t>Eastern</w:t>
      </w:r>
      <w:r>
        <w:rPr>
          <w:color w:val="231F20"/>
          <w:spacing w:val="-12"/>
        </w:rPr>
        <w:t xml:space="preserve"> </w:t>
      </w:r>
      <w:r>
        <w:rPr>
          <w:color w:val="231F20"/>
          <w:spacing w:val="-2"/>
        </w:rPr>
        <w:t>Region</w:t>
      </w:r>
    </w:p>
    <w:p w14:paraId="50C390BC" w14:textId="77777777" w:rsidR="00345EE3" w:rsidRDefault="00345EE3" w:rsidP="00345EE3">
      <w:pPr>
        <w:pStyle w:val="BodyText"/>
        <w:tabs>
          <w:tab w:val="left" w:pos="1000"/>
        </w:tabs>
        <w:spacing w:before="115" w:line="343" w:lineRule="auto"/>
        <w:ind w:left="150" w:right="4658"/>
      </w:pPr>
      <w:r>
        <w:rPr>
          <w:color w:val="231F20"/>
        </w:rPr>
        <w:t>ERAM</w:t>
      </w:r>
      <w:r>
        <w:rPr>
          <w:color w:val="231F20"/>
          <w:spacing w:val="40"/>
        </w:rPr>
        <w:t xml:space="preserve"> </w:t>
      </w:r>
      <w:r>
        <w:rPr>
          <w:color w:val="231F20"/>
        </w:rPr>
        <w:t>Exposure</w:t>
      </w:r>
      <w:r>
        <w:rPr>
          <w:color w:val="231F20"/>
          <w:spacing w:val="-10"/>
        </w:rPr>
        <w:t xml:space="preserve"> </w:t>
      </w:r>
      <w:r>
        <w:rPr>
          <w:color w:val="231F20"/>
        </w:rPr>
        <w:t>Risk</w:t>
      </w:r>
      <w:r>
        <w:rPr>
          <w:color w:val="231F20"/>
          <w:spacing w:val="-9"/>
        </w:rPr>
        <w:t xml:space="preserve"> </w:t>
      </w:r>
      <w:r>
        <w:rPr>
          <w:color w:val="231F20"/>
        </w:rPr>
        <w:t>Assessment</w:t>
      </w:r>
      <w:r>
        <w:rPr>
          <w:color w:val="231F20"/>
          <w:spacing w:val="-9"/>
        </w:rPr>
        <w:t xml:space="preserve"> </w:t>
      </w:r>
      <w:r>
        <w:rPr>
          <w:color w:val="231F20"/>
        </w:rPr>
        <w:t>and</w:t>
      </w:r>
      <w:r>
        <w:rPr>
          <w:color w:val="231F20"/>
          <w:spacing w:val="-10"/>
        </w:rPr>
        <w:t xml:space="preserve"> </w:t>
      </w:r>
      <w:r>
        <w:rPr>
          <w:color w:val="231F20"/>
        </w:rPr>
        <w:t xml:space="preserve">Management </w:t>
      </w:r>
      <w:r>
        <w:rPr>
          <w:color w:val="231F20"/>
          <w:spacing w:val="-4"/>
        </w:rPr>
        <w:t>ESM</w:t>
      </w:r>
      <w:r>
        <w:rPr>
          <w:color w:val="231F20"/>
        </w:rPr>
        <w:tab/>
        <w:t>Essential Safety Measures</w:t>
      </w:r>
    </w:p>
    <w:p w14:paraId="79945F33" w14:textId="77777777" w:rsidR="00345EE3" w:rsidRDefault="00345EE3" w:rsidP="00345EE3">
      <w:pPr>
        <w:pStyle w:val="BodyText"/>
        <w:spacing w:line="273" w:lineRule="exact"/>
        <w:ind w:left="150"/>
      </w:pPr>
      <w:r>
        <w:rPr>
          <w:color w:val="231F20"/>
        </w:rPr>
        <w:t>ETMS</w:t>
      </w:r>
      <w:r>
        <w:rPr>
          <w:color w:val="231F20"/>
          <w:spacing w:val="49"/>
          <w:w w:val="150"/>
        </w:rPr>
        <w:t xml:space="preserve"> </w:t>
      </w:r>
      <w:r>
        <w:rPr>
          <w:color w:val="231F20"/>
        </w:rPr>
        <w:t>Equipment</w:t>
      </w:r>
      <w:r>
        <w:rPr>
          <w:color w:val="231F20"/>
          <w:spacing w:val="-13"/>
        </w:rPr>
        <w:t xml:space="preserve"> </w:t>
      </w:r>
      <w:r>
        <w:rPr>
          <w:color w:val="231F20"/>
        </w:rPr>
        <w:t>Tracking</w:t>
      </w:r>
      <w:r>
        <w:rPr>
          <w:color w:val="231F20"/>
          <w:spacing w:val="-13"/>
        </w:rPr>
        <w:t xml:space="preserve"> </w:t>
      </w:r>
      <w:r>
        <w:rPr>
          <w:color w:val="231F20"/>
        </w:rPr>
        <w:t>Management</w:t>
      </w:r>
      <w:r>
        <w:rPr>
          <w:color w:val="231F20"/>
          <w:spacing w:val="-12"/>
        </w:rPr>
        <w:t xml:space="preserve"> </w:t>
      </w:r>
      <w:r>
        <w:rPr>
          <w:color w:val="231F20"/>
          <w:spacing w:val="-2"/>
        </w:rPr>
        <w:t>System</w:t>
      </w:r>
    </w:p>
    <w:p w14:paraId="4C151EBD" w14:textId="77777777" w:rsidR="00345EE3" w:rsidRDefault="00345EE3" w:rsidP="00345EE3">
      <w:pPr>
        <w:spacing w:line="273" w:lineRule="exact"/>
        <w:sectPr w:rsidR="00345EE3">
          <w:pgSz w:w="11910" w:h="16840"/>
          <w:pgMar w:top="700" w:right="740" w:bottom="280" w:left="700" w:header="720" w:footer="720" w:gutter="0"/>
          <w:cols w:space="720"/>
        </w:sectPr>
      </w:pPr>
    </w:p>
    <w:p w14:paraId="61491233" w14:textId="77777777" w:rsidR="00345EE3" w:rsidRDefault="00345EE3" w:rsidP="00345EE3">
      <w:pPr>
        <w:pStyle w:val="BodyText"/>
        <w:tabs>
          <w:tab w:val="left" w:pos="1000"/>
        </w:tabs>
        <w:spacing w:before="82" w:line="343" w:lineRule="auto"/>
        <w:ind w:left="150" w:right="5790"/>
      </w:pPr>
      <w:r>
        <w:rPr>
          <w:color w:val="231F20"/>
        </w:rPr>
        <w:t>EYOP</w:t>
      </w:r>
      <w:r>
        <w:rPr>
          <w:color w:val="231F20"/>
          <w:spacing w:val="80"/>
        </w:rPr>
        <w:t xml:space="preserve"> </w:t>
      </w:r>
      <w:r>
        <w:rPr>
          <w:color w:val="231F20"/>
        </w:rPr>
        <w:t>Embedded</w:t>
      </w:r>
      <w:r>
        <w:rPr>
          <w:color w:val="231F20"/>
          <w:spacing w:val="-16"/>
        </w:rPr>
        <w:t xml:space="preserve"> </w:t>
      </w:r>
      <w:r>
        <w:rPr>
          <w:color w:val="231F20"/>
        </w:rPr>
        <w:t>Youth</w:t>
      </w:r>
      <w:r>
        <w:rPr>
          <w:color w:val="231F20"/>
          <w:spacing w:val="-16"/>
        </w:rPr>
        <w:t xml:space="preserve"> </w:t>
      </w:r>
      <w:r>
        <w:rPr>
          <w:color w:val="231F20"/>
        </w:rPr>
        <w:t>Outreach</w:t>
      </w:r>
      <w:r>
        <w:rPr>
          <w:color w:val="231F20"/>
          <w:spacing w:val="-16"/>
        </w:rPr>
        <w:t xml:space="preserve"> </w:t>
      </w:r>
      <w:r>
        <w:rPr>
          <w:color w:val="231F20"/>
        </w:rPr>
        <w:t xml:space="preserve">Project </w:t>
      </w:r>
      <w:r>
        <w:rPr>
          <w:color w:val="231F20"/>
          <w:spacing w:val="-4"/>
        </w:rPr>
        <w:t>FOI</w:t>
      </w:r>
      <w:r>
        <w:rPr>
          <w:color w:val="231F20"/>
        </w:rPr>
        <w:tab/>
        <w:t>Freedom of Information</w:t>
      </w:r>
    </w:p>
    <w:p w14:paraId="4B4C0AB0" w14:textId="77777777" w:rsidR="00345EE3" w:rsidRDefault="00345EE3" w:rsidP="00345EE3">
      <w:pPr>
        <w:pStyle w:val="BodyText"/>
        <w:tabs>
          <w:tab w:val="left" w:pos="1000"/>
        </w:tabs>
        <w:spacing w:line="343" w:lineRule="auto"/>
        <w:ind w:left="150" w:right="6205"/>
      </w:pPr>
      <w:r>
        <w:rPr>
          <w:color w:val="231F20"/>
          <w:spacing w:val="-4"/>
        </w:rPr>
        <w:t>FRD</w:t>
      </w:r>
      <w:r>
        <w:rPr>
          <w:color w:val="231F20"/>
        </w:rPr>
        <w:tab/>
        <w:t xml:space="preserve">Financial Reporting Direction </w:t>
      </w:r>
      <w:r>
        <w:rPr>
          <w:color w:val="231F20"/>
          <w:spacing w:val="-4"/>
        </w:rPr>
        <w:t>FSD</w:t>
      </w:r>
      <w:r>
        <w:rPr>
          <w:color w:val="231F20"/>
        </w:rPr>
        <w:tab/>
        <w:t>Financial</w:t>
      </w:r>
      <w:r>
        <w:rPr>
          <w:color w:val="231F20"/>
          <w:spacing w:val="-17"/>
        </w:rPr>
        <w:t xml:space="preserve"> </w:t>
      </w:r>
      <w:r>
        <w:rPr>
          <w:color w:val="231F20"/>
        </w:rPr>
        <w:t>Services</w:t>
      </w:r>
      <w:r>
        <w:rPr>
          <w:color w:val="231F20"/>
          <w:spacing w:val="-17"/>
        </w:rPr>
        <w:t xml:space="preserve"> </w:t>
      </w:r>
      <w:r>
        <w:rPr>
          <w:color w:val="231F20"/>
        </w:rPr>
        <w:t>Department</w:t>
      </w:r>
    </w:p>
    <w:p w14:paraId="3F42EBD0" w14:textId="77777777" w:rsidR="00345EE3" w:rsidRDefault="00345EE3" w:rsidP="00345EE3">
      <w:pPr>
        <w:pStyle w:val="BodyText"/>
        <w:tabs>
          <w:tab w:val="left" w:pos="1000"/>
        </w:tabs>
        <w:spacing w:line="343" w:lineRule="auto"/>
        <w:ind w:left="150" w:right="5365"/>
      </w:pPr>
      <w:r>
        <w:rPr>
          <w:color w:val="231F20"/>
          <w:spacing w:val="-4"/>
        </w:rPr>
        <w:t>FSPO</w:t>
      </w:r>
      <w:r>
        <w:rPr>
          <w:color w:val="231F20"/>
        </w:rPr>
        <w:tab/>
        <w:t>Financial</w:t>
      </w:r>
      <w:r>
        <w:rPr>
          <w:color w:val="231F20"/>
          <w:spacing w:val="-19"/>
        </w:rPr>
        <w:t xml:space="preserve"> </w:t>
      </w:r>
      <w:r>
        <w:rPr>
          <w:color w:val="231F20"/>
        </w:rPr>
        <w:t>Sustainability</w:t>
      </w:r>
      <w:r>
        <w:rPr>
          <w:color w:val="231F20"/>
          <w:spacing w:val="-17"/>
        </w:rPr>
        <w:t xml:space="preserve"> </w:t>
      </w:r>
      <w:r>
        <w:rPr>
          <w:color w:val="231F20"/>
        </w:rPr>
        <w:t>Program</w:t>
      </w:r>
      <w:r>
        <w:rPr>
          <w:color w:val="231F20"/>
          <w:spacing w:val="-16"/>
        </w:rPr>
        <w:t xml:space="preserve"> </w:t>
      </w:r>
      <w:r>
        <w:rPr>
          <w:color w:val="231F20"/>
        </w:rPr>
        <w:t xml:space="preserve">Office </w:t>
      </w:r>
      <w:r>
        <w:rPr>
          <w:color w:val="231F20"/>
          <w:spacing w:val="-4"/>
        </w:rPr>
        <w:t>FTE</w:t>
      </w:r>
      <w:r>
        <w:rPr>
          <w:color w:val="231F20"/>
        </w:rPr>
        <w:tab/>
        <w:t>Full Time Equivalent</w:t>
      </w:r>
    </w:p>
    <w:p w14:paraId="055D574B" w14:textId="77777777" w:rsidR="00345EE3" w:rsidRDefault="00345EE3" w:rsidP="00345EE3">
      <w:pPr>
        <w:pStyle w:val="BodyText"/>
        <w:tabs>
          <w:tab w:val="left" w:pos="1000"/>
        </w:tabs>
        <w:spacing w:line="273" w:lineRule="exact"/>
        <w:ind w:left="150"/>
      </w:pPr>
      <w:r>
        <w:rPr>
          <w:color w:val="231F20"/>
          <w:spacing w:val="-5"/>
        </w:rPr>
        <w:t>FVC</w:t>
      </w:r>
      <w:r>
        <w:rPr>
          <w:color w:val="231F20"/>
        </w:rPr>
        <w:tab/>
        <w:t>Family</w:t>
      </w:r>
      <w:r>
        <w:rPr>
          <w:color w:val="231F20"/>
          <w:spacing w:val="-12"/>
        </w:rPr>
        <w:t xml:space="preserve"> </w:t>
      </w:r>
      <w:r>
        <w:rPr>
          <w:color w:val="231F20"/>
        </w:rPr>
        <w:t>Violence</w:t>
      </w:r>
      <w:r>
        <w:rPr>
          <w:color w:val="231F20"/>
          <w:spacing w:val="-11"/>
        </w:rPr>
        <w:t xml:space="preserve"> </w:t>
      </w:r>
      <w:r>
        <w:rPr>
          <w:color w:val="231F20"/>
          <w:spacing w:val="-2"/>
        </w:rPr>
        <w:t>Command</w:t>
      </w:r>
    </w:p>
    <w:p w14:paraId="68EA8BB8" w14:textId="77777777" w:rsidR="00345EE3" w:rsidRDefault="00345EE3" w:rsidP="00345EE3">
      <w:pPr>
        <w:pStyle w:val="BodyText"/>
        <w:spacing w:before="112"/>
        <w:ind w:left="150"/>
      </w:pPr>
      <w:r>
        <w:rPr>
          <w:color w:val="231F20"/>
        </w:rPr>
        <w:t>FVISS</w:t>
      </w:r>
      <w:r>
        <w:rPr>
          <w:color w:val="231F20"/>
          <w:spacing w:val="67"/>
        </w:rPr>
        <w:t xml:space="preserve"> </w:t>
      </w:r>
      <w:r>
        <w:rPr>
          <w:color w:val="231F20"/>
        </w:rPr>
        <w:t>Family</w:t>
      </w:r>
      <w:r>
        <w:rPr>
          <w:color w:val="231F20"/>
          <w:spacing w:val="-7"/>
        </w:rPr>
        <w:t xml:space="preserve"> </w:t>
      </w:r>
      <w:r>
        <w:rPr>
          <w:color w:val="231F20"/>
        </w:rPr>
        <w:t>Violence</w:t>
      </w:r>
      <w:r>
        <w:rPr>
          <w:color w:val="231F20"/>
          <w:spacing w:val="-7"/>
        </w:rPr>
        <w:t xml:space="preserve"> </w:t>
      </w:r>
      <w:r>
        <w:rPr>
          <w:color w:val="231F20"/>
        </w:rPr>
        <w:t>Information</w:t>
      </w:r>
      <w:r>
        <w:rPr>
          <w:color w:val="231F20"/>
          <w:spacing w:val="-7"/>
        </w:rPr>
        <w:t xml:space="preserve"> </w:t>
      </w:r>
      <w:r>
        <w:rPr>
          <w:color w:val="231F20"/>
        </w:rPr>
        <w:t>Sharing</w:t>
      </w:r>
      <w:r>
        <w:rPr>
          <w:color w:val="231F20"/>
          <w:spacing w:val="-7"/>
        </w:rPr>
        <w:t xml:space="preserve"> </w:t>
      </w:r>
      <w:r>
        <w:rPr>
          <w:color w:val="231F20"/>
          <w:spacing w:val="-2"/>
        </w:rPr>
        <w:t>Scheme</w:t>
      </w:r>
    </w:p>
    <w:p w14:paraId="08FF09E2" w14:textId="77777777" w:rsidR="00345EE3" w:rsidRDefault="00345EE3" w:rsidP="00345EE3">
      <w:pPr>
        <w:pStyle w:val="BodyText"/>
        <w:spacing w:before="10"/>
        <w:rPr>
          <w:sz w:val="10"/>
        </w:rPr>
      </w:pPr>
    </w:p>
    <w:p w14:paraId="1FBEFB58" w14:textId="77777777" w:rsidR="009A5F38" w:rsidRDefault="009A5F38" w:rsidP="00D73130">
      <w:pPr>
        <w:pStyle w:val="TableParagraph"/>
        <w:tabs>
          <w:tab w:val="left" w:pos="891"/>
        </w:tabs>
        <w:spacing w:before="0" w:line="268" w:lineRule="exact"/>
        <w:ind w:left="107"/>
        <w:jc w:val="left"/>
        <w:rPr>
          <w:sz w:val="24"/>
        </w:rPr>
      </w:pPr>
      <w:r>
        <w:rPr>
          <w:color w:val="231F20"/>
          <w:spacing w:val="-5"/>
          <w:sz w:val="24"/>
        </w:rPr>
        <w:t>GAD</w:t>
      </w:r>
      <w:r>
        <w:rPr>
          <w:sz w:val="24"/>
        </w:rPr>
        <w:tab/>
      </w:r>
      <w:r>
        <w:rPr>
          <w:color w:val="231F20"/>
          <w:sz w:val="24"/>
        </w:rPr>
        <w:t>Governance</w:t>
      </w:r>
      <w:r>
        <w:rPr>
          <w:color w:val="231F20"/>
          <w:spacing w:val="-10"/>
          <w:sz w:val="24"/>
        </w:rPr>
        <w:t xml:space="preserve"> </w:t>
      </w:r>
      <w:r>
        <w:rPr>
          <w:color w:val="231F20"/>
          <w:sz w:val="24"/>
        </w:rPr>
        <w:t>and</w:t>
      </w:r>
      <w:r>
        <w:rPr>
          <w:color w:val="231F20"/>
          <w:spacing w:val="-9"/>
          <w:sz w:val="24"/>
        </w:rPr>
        <w:t xml:space="preserve"> </w:t>
      </w:r>
      <w:r>
        <w:rPr>
          <w:color w:val="231F20"/>
          <w:sz w:val="24"/>
        </w:rPr>
        <w:t>Assurance</w:t>
      </w:r>
      <w:r>
        <w:rPr>
          <w:color w:val="231F20"/>
          <w:spacing w:val="-9"/>
          <w:sz w:val="24"/>
        </w:rPr>
        <w:t xml:space="preserve"> </w:t>
      </w:r>
      <w:r>
        <w:rPr>
          <w:color w:val="231F20"/>
          <w:spacing w:val="-2"/>
          <w:sz w:val="24"/>
        </w:rPr>
        <w:t>Department</w:t>
      </w:r>
    </w:p>
    <w:p w14:paraId="7CBD2818" w14:textId="77777777" w:rsidR="009A5F38" w:rsidRDefault="009A5F38" w:rsidP="00D73130">
      <w:pPr>
        <w:pStyle w:val="TableParagraph"/>
        <w:tabs>
          <w:tab w:val="left" w:pos="891"/>
        </w:tabs>
        <w:spacing w:before="54"/>
        <w:ind w:left="107"/>
        <w:jc w:val="left"/>
        <w:rPr>
          <w:sz w:val="24"/>
        </w:rPr>
      </w:pPr>
      <w:r>
        <w:rPr>
          <w:color w:val="231F20"/>
          <w:spacing w:val="-4"/>
          <w:sz w:val="24"/>
        </w:rPr>
        <w:t>GEID</w:t>
      </w:r>
      <w:r>
        <w:rPr>
          <w:sz w:val="24"/>
        </w:rPr>
        <w:tab/>
      </w:r>
      <w:r>
        <w:rPr>
          <w:color w:val="231F20"/>
          <w:sz w:val="24"/>
        </w:rPr>
        <w:t>Gender</w:t>
      </w:r>
      <w:r>
        <w:rPr>
          <w:color w:val="231F20"/>
          <w:spacing w:val="-10"/>
          <w:sz w:val="24"/>
        </w:rPr>
        <w:t xml:space="preserve"> </w:t>
      </w:r>
      <w:r>
        <w:rPr>
          <w:color w:val="231F20"/>
          <w:sz w:val="24"/>
        </w:rPr>
        <w:t>Equality</w:t>
      </w:r>
      <w:r>
        <w:rPr>
          <w:color w:val="231F20"/>
          <w:spacing w:val="-9"/>
          <w:sz w:val="24"/>
        </w:rPr>
        <w:t xml:space="preserve"> </w:t>
      </w:r>
      <w:r>
        <w:rPr>
          <w:color w:val="231F20"/>
          <w:sz w:val="24"/>
        </w:rPr>
        <w:t>and</w:t>
      </w:r>
      <w:r>
        <w:rPr>
          <w:color w:val="231F20"/>
          <w:spacing w:val="-10"/>
          <w:sz w:val="24"/>
        </w:rPr>
        <w:t xml:space="preserve"> </w:t>
      </w:r>
      <w:r>
        <w:rPr>
          <w:color w:val="231F20"/>
          <w:sz w:val="24"/>
        </w:rPr>
        <w:t>Inclusion</w:t>
      </w:r>
      <w:r>
        <w:rPr>
          <w:color w:val="231F20"/>
          <w:spacing w:val="-9"/>
          <w:sz w:val="24"/>
        </w:rPr>
        <w:t xml:space="preserve"> </w:t>
      </w:r>
      <w:r>
        <w:rPr>
          <w:color w:val="231F20"/>
          <w:spacing w:val="-2"/>
          <w:sz w:val="24"/>
        </w:rPr>
        <w:t>Division</w:t>
      </w:r>
    </w:p>
    <w:p w14:paraId="7FB82BB5" w14:textId="77777777" w:rsidR="009A5F38" w:rsidRDefault="009A5F38" w:rsidP="00D73130">
      <w:pPr>
        <w:pStyle w:val="TableParagraph"/>
        <w:tabs>
          <w:tab w:val="left" w:pos="891"/>
        </w:tabs>
        <w:spacing w:before="54"/>
        <w:ind w:left="107"/>
        <w:jc w:val="left"/>
        <w:rPr>
          <w:sz w:val="24"/>
        </w:rPr>
      </w:pPr>
      <w:r>
        <w:rPr>
          <w:color w:val="231F20"/>
          <w:spacing w:val="-5"/>
          <w:sz w:val="24"/>
        </w:rPr>
        <w:t>HRC</w:t>
      </w:r>
      <w:r>
        <w:rPr>
          <w:sz w:val="24"/>
        </w:rPr>
        <w:tab/>
      </w:r>
      <w:r>
        <w:rPr>
          <w:color w:val="231F20"/>
          <w:sz w:val="24"/>
        </w:rPr>
        <w:t>Human</w:t>
      </w:r>
      <w:r>
        <w:rPr>
          <w:color w:val="231F20"/>
          <w:spacing w:val="-11"/>
          <w:sz w:val="24"/>
        </w:rPr>
        <w:t xml:space="preserve"> </w:t>
      </w:r>
      <w:r>
        <w:rPr>
          <w:color w:val="231F20"/>
          <w:sz w:val="24"/>
        </w:rPr>
        <w:t>Resources</w:t>
      </w:r>
      <w:r>
        <w:rPr>
          <w:color w:val="231F20"/>
          <w:spacing w:val="-10"/>
          <w:sz w:val="24"/>
        </w:rPr>
        <w:t xml:space="preserve"> </w:t>
      </w:r>
      <w:r>
        <w:rPr>
          <w:color w:val="231F20"/>
          <w:spacing w:val="-2"/>
          <w:sz w:val="24"/>
        </w:rPr>
        <w:t>Command</w:t>
      </w:r>
    </w:p>
    <w:p w14:paraId="5771BCDB" w14:textId="77777777" w:rsidR="009A5F38" w:rsidRDefault="009A5F38" w:rsidP="00D73130">
      <w:pPr>
        <w:pStyle w:val="TableParagraph"/>
        <w:tabs>
          <w:tab w:val="left" w:pos="891"/>
        </w:tabs>
        <w:spacing w:before="54"/>
        <w:ind w:left="107"/>
        <w:jc w:val="left"/>
        <w:rPr>
          <w:sz w:val="24"/>
        </w:rPr>
      </w:pPr>
      <w:r>
        <w:rPr>
          <w:color w:val="231F20"/>
          <w:spacing w:val="-5"/>
          <w:sz w:val="24"/>
        </w:rPr>
        <w:t>HSR</w:t>
      </w:r>
      <w:r>
        <w:rPr>
          <w:sz w:val="24"/>
        </w:rPr>
        <w:tab/>
      </w:r>
      <w:r>
        <w:rPr>
          <w:color w:val="231F20"/>
          <w:sz w:val="24"/>
        </w:rPr>
        <w:t>Health</w:t>
      </w:r>
      <w:r>
        <w:rPr>
          <w:color w:val="231F20"/>
          <w:spacing w:val="-7"/>
          <w:sz w:val="24"/>
        </w:rPr>
        <w:t xml:space="preserve"> </w:t>
      </w:r>
      <w:r>
        <w:rPr>
          <w:color w:val="231F20"/>
          <w:sz w:val="24"/>
        </w:rPr>
        <w:t>and</w:t>
      </w:r>
      <w:r>
        <w:rPr>
          <w:color w:val="231F20"/>
          <w:spacing w:val="-7"/>
          <w:sz w:val="24"/>
        </w:rPr>
        <w:t xml:space="preserve"> </w:t>
      </w:r>
      <w:r>
        <w:rPr>
          <w:color w:val="231F20"/>
          <w:sz w:val="24"/>
        </w:rPr>
        <w:t>Safety</w:t>
      </w:r>
      <w:r>
        <w:rPr>
          <w:color w:val="231F20"/>
          <w:spacing w:val="-6"/>
          <w:sz w:val="24"/>
        </w:rPr>
        <w:t xml:space="preserve"> </w:t>
      </w:r>
      <w:r>
        <w:rPr>
          <w:color w:val="231F20"/>
          <w:spacing w:val="-2"/>
          <w:sz w:val="24"/>
        </w:rPr>
        <w:t>Representative</w:t>
      </w:r>
    </w:p>
    <w:p w14:paraId="4167125F" w14:textId="77777777" w:rsidR="009A5F38" w:rsidRDefault="009A5F38" w:rsidP="00D73130">
      <w:pPr>
        <w:pStyle w:val="TableParagraph"/>
        <w:tabs>
          <w:tab w:val="left" w:pos="891"/>
        </w:tabs>
        <w:spacing w:before="54"/>
        <w:ind w:left="107"/>
        <w:jc w:val="left"/>
        <w:rPr>
          <w:sz w:val="24"/>
        </w:rPr>
      </w:pPr>
      <w:r>
        <w:rPr>
          <w:color w:val="231F20"/>
          <w:spacing w:val="-4"/>
          <w:sz w:val="24"/>
        </w:rPr>
        <w:t>IBAC</w:t>
      </w:r>
      <w:r>
        <w:rPr>
          <w:sz w:val="24"/>
        </w:rPr>
        <w:tab/>
      </w:r>
      <w:r>
        <w:rPr>
          <w:color w:val="231F20"/>
          <w:sz w:val="24"/>
        </w:rPr>
        <w:t>Independent</w:t>
      </w:r>
      <w:r>
        <w:rPr>
          <w:color w:val="231F20"/>
          <w:spacing w:val="-12"/>
          <w:sz w:val="24"/>
        </w:rPr>
        <w:t xml:space="preserve"> </w:t>
      </w:r>
      <w:r>
        <w:rPr>
          <w:color w:val="231F20"/>
          <w:sz w:val="24"/>
        </w:rPr>
        <w:t>Broad-based</w:t>
      </w:r>
      <w:r>
        <w:rPr>
          <w:color w:val="231F20"/>
          <w:spacing w:val="-10"/>
          <w:sz w:val="24"/>
        </w:rPr>
        <w:t xml:space="preserve"> </w:t>
      </w:r>
      <w:r>
        <w:rPr>
          <w:color w:val="231F20"/>
          <w:sz w:val="24"/>
        </w:rPr>
        <w:t>Anti-corruption</w:t>
      </w:r>
      <w:r>
        <w:rPr>
          <w:color w:val="231F20"/>
          <w:spacing w:val="-9"/>
          <w:sz w:val="24"/>
        </w:rPr>
        <w:t xml:space="preserve"> </w:t>
      </w:r>
      <w:r>
        <w:rPr>
          <w:color w:val="231F20"/>
          <w:spacing w:val="-2"/>
          <w:sz w:val="24"/>
        </w:rPr>
        <w:t>Commission</w:t>
      </w:r>
    </w:p>
    <w:p w14:paraId="2A38A72C" w14:textId="77777777" w:rsidR="009A5F38" w:rsidRDefault="009A5F38" w:rsidP="00D73130">
      <w:pPr>
        <w:pStyle w:val="TableParagraph"/>
        <w:tabs>
          <w:tab w:val="left" w:pos="891"/>
        </w:tabs>
        <w:spacing w:before="54"/>
        <w:ind w:left="107"/>
        <w:jc w:val="left"/>
        <w:rPr>
          <w:sz w:val="24"/>
        </w:rPr>
      </w:pPr>
      <w:r>
        <w:rPr>
          <w:color w:val="231F20"/>
          <w:spacing w:val="-4"/>
          <w:sz w:val="24"/>
        </w:rPr>
        <w:t>ICSC</w:t>
      </w:r>
      <w:r>
        <w:rPr>
          <w:sz w:val="24"/>
        </w:rPr>
        <w:tab/>
      </w:r>
      <w:r>
        <w:rPr>
          <w:color w:val="231F20"/>
          <w:sz w:val="24"/>
        </w:rPr>
        <w:t>Intelligence</w:t>
      </w:r>
      <w:r>
        <w:rPr>
          <w:color w:val="231F20"/>
          <w:spacing w:val="-9"/>
          <w:sz w:val="24"/>
        </w:rPr>
        <w:t xml:space="preserve"> </w:t>
      </w:r>
      <w:r>
        <w:rPr>
          <w:color w:val="231F20"/>
          <w:sz w:val="24"/>
        </w:rPr>
        <w:t>and</w:t>
      </w:r>
      <w:r>
        <w:rPr>
          <w:color w:val="231F20"/>
          <w:spacing w:val="-9"/>
          <w:sz w:val="24"/>
        </w:rPr>
        <w:t xml:space="preserve"> </w:t>
      </w:r>
      <w:r>
        <w:rPr>
          <w:color w:val="231F20"/>
          <w:sz w:val="24"/>
        </w:rPr>
        <w:t>Covert</w:t>
      </w:r>
      <w:r>
        <w:rPr>
          <w:color w:val="231F20"/>
          <w:spacing w:val="-8"/>
          <w:sz w:val="24"/>
        </w:rPr>
        <w:t xml:space="preserve"> </w:t>
      </w:r>
      <w:r>
        <w:rPr>
          <w:color w:val="231F20"/>
          <w:sz w:val="24"/>
        </w:rPr>
        <w:t>Support</w:t>
      </w:r>
      <w:r>
        <w:rPr>
          <w:color w:val="231F20"/>
          <w:spacing w:val="-8"/>
          <w:sz w:val="24"/>
        </w:rPr>
        <w:t xml:space="preserve"> </w:t>
      </w:r>
      <w:r>
        <w:rPr>
          <w:color w:val="231F20"/>
          <w:spacing w:val="-2"/>
          <w:sz w:val="24"/>
        </w:rPr>
        <w:t>Command</w:t>
      </w:r>
    </w:p>
    <w:p w14:paraId="5A720299" w14:textId="77777777" w:rsidR="009A5F38" w:rsidRDefault="009A5F38" w:rsidP="00D73130">
      <w:pPr>
        <w:pStyle w:val="TableParagraph"/>
        <w:tabs>
          <w:tab w:val="left" w:pos="891"/>
        </w:tabs>
        <w:spacing w:before="54"/>
        <w:ind w:left="107"/>
        <w:jc w:val="left"/>
        <w:rPr>
          <w:sz w:val="24"/>
        </w:rPr>
      </w:pPr>
      <w:r>
        <w:rPr>
          <w:color w:val="231F20"/>
          <w:spacing w:val="-5"/>
          <w:sz w:val="24"/>
        </w:rPr>
        <w:t>IFS</w:t>
      </w:r>
      <w:r>
        <w:rPr>
          <w:sz w:val="24"/>
        </w:rPr>
        <w:tab/>
      </w:r>
      <w:r>
        <w:rPr>
          <w:color w:val="231F20"/>
          <w:sz w:val="24"/>
        </w:rPr>
        <w:t>Illicit</w:t>
      </w:r>
      <w:r>
        <w:rPr>
          <w:color w:val="231F20"/>
          <w:spacing w:val="-11"/>
          <w:sz w:val="24"/>
        </w:rPr>
        <w:t xml:space="preserve"> </w:t>
      </w:r>
      <w:r>
        <w:rPr>
          <w:color w:val="231F20"/>
          <w:sz w:val="24"/>
        </w:rPr>
        <w:t>Firearms</w:t>
      </w:r>
      <w:r>
        <w:rPr>
          <w:color w:val="231F20"/>
          <w:spacing w:val="-11"/>
          <w:sz w:val="24"/>
        </w:rPr>
        <w:t xml:space="preserve"> </w:t>
      </w:r>
      <w:r>
        <w:rPr>
          <w:color w:val="231F20"/>
          <w:spacing w:val="-4"/>
          <w:sz w:val="24"/>
        </w:rPr>
        <w:t>Squad</w:t>
      </w:r>
    </w:p>
    <w:p w14:paraId="62DA8996" w14:textId="77777777" w:rsidR="009A5F38" w:rsidRDefault="009A5F38" w:rsidP="00D73130">
      <w:pPr>
        <w:pStyle w:val="TableParagraph"/>
        <w:tabs>
          <w:tab w:val="left" w:pos="891"/>
        </w:tabs>
        <w:spacing w:before="54"/>
        <w:ind w:left="107"/>
        <w:jc w:val="left"/>
        <w:rPr>
          <w:sz w:val="24"/>
        </w:rPr>
      </w:pPr>
      <w:r>
        <w:rPr>
          <w:color w:val="231F20"/>
          <w:spacing w:val="-4"/>
          <w:sz w:val="24"/>
        </w:rPr>
        <w:t>IISS</w:t>
      </w:r>
      <w:r>
        <w:rPr>
          <w:sz w:val="24"/>
        </w:rPr>
        <w:tab/>
      </w:r>
      <w:r>
        <w:rPr>
          <w:color w:val="231F20"/>
          <w:spacing w:val="-2"/>
          <w:sz w:val="24"/>
        </w:rPr>
        <w:t>Inter-Agency</w:t>
      </w:r>
      <w:r>
        <w:rPr>
          <w:color w:val="231F20"/>
          <w:spacing w:val="2"/>
          <w:sz w:val="24"/>
        </w:rPr>
        <w:t xml:space="preserve"> </w:t>
      </w:r>
      <w:r>
        <w:rPr>
          <w:color w:val="231F20"/>
          <w:spacing w:val="-2"/>
          <w:sz w:val="24"/>
        </w:rPr>
        <w:t>Information</w:t>
      </w:r>
      <w:r>
        <w:rPr>
          <w:color w:val="231F20"/>
          <w:spacing w:val="3"/>
          <w:sz w:val="24"/>
        </w:rPr>
        <w:t xml:space="preserve"> </w:t>
      </w:r>
      <w:r>
        <w:rPr>
          <w:color w:val="231F20"/>
          <w:spacing w:val="-2"/>
          <w:sz w:val="24"/>
        </w:rPr>
        <w:t>Sharing</w:t>
      </w:r>
      <w:r>
        <w:rPr>
          <w:color w:val="231F20"/>
          <w:spacing w:val="3"/>
          <w:sz w:val="24"/>
        </w:rPr>
        <w:t xml:space="preserve"> </w:t>
      </w:r>
      <w:r>
        <w:rPr>
          <w:color w:val="231F20"/>
          <w:spacing w:val="-2"/>
          <w:sz w:val="24"/>
        </w:rPr>
        <w:t>Service</w:t>
      </w:r>
    </w:p>
    <w:p w14:paraId="74DD2FCF" w14:textId="77777777" w:rsidR="009A5F38" w:rsidRDefault="009A5F38" w:rsidP="00D73130">
      <w:pPr>
        <w:pStyle w:val="TableParagraph"/>
        <w:tabs>
          <w:tab w:val="left" w:pos="891"/>
        </w:tabs>
        <w:spacing w:before="54"/>
        <w:ind w:left="107"/>
        <w:jc w:val="left"/>
        <w:rPr>
          <w:sz w:val="24"/>
        </w:rPr>
      </w:pPr>
      <w:r>
        <w:rPr>
          <w:color w:val="231F20"/>
          <w:spacing w:val="-4"/>
          <w:sz w:val="24"/>
        </w:rPr>
        <w:t>ILDF</w:t>
      </w:r>
      <w:r>
        <w:rPr>
          <w:sz w:val="24"/>
        </w:rPr>
        <w:tab/>
      </w:r>
      <w:r>
        <w:rPr>
          <w:color w:val="231F20"/>
          <w:spacing w:val="-2"/>
          <w:sz w:val="24"/>
        </w:rPr>
        <w:t>Integrated</w:t>
      </w:r>
      <w:r>
        <w:rPr>
          <w:color w:val="231F20"/>
          <w:spacing w:val="-1"/>
          <w:sz w:val="24"/>
        </w:rPr>
        <w:t xml:space="preserve"> </w:t>
      </w:r>
      <w:r>
        <w:rPr>
          <w:color w:val="231F20"/>
          <w:spacing w:val="-2"/>
          <w:sz w:val="24"/>
        </w:rPr>
        <w:t>Leadership</w:t>
      </w:r>
      <w:r>
        <w:rPr>
          <w:color w:val="231F20"/>
          <w:spacing w:val="-1"/>
          <w:sz w:val="24"/>
        </w:rPr>
        <w:t xml:space="preserve"> </w:t>
      </w:r>
      <w:r>
        <w:rPr>
          <w:color w:val="231F20"/>
          <w:spacing w:val="-2"/>
          <w:sz w:val="24"/>
        </w:rPr>
        <w:t>Development</w:t>
      </w:r>
      <w:r>
        <w:rPr>
          <w:color w:val="231F20"/>
          <w:spacing w:val="-1"/>
          <w:sz w:val="24"/>
        </w:rPr>
        <w:t xml:space="preserve"> </w:t>
      </w:r>
      <w:r>
        <w:rPr>
          <w:color w:val="231F20"/>
          <w:spacing w:val="-2"/>
          <w:sz w:val="24"/>
        </w:rPr>
        <w:t>Framework</w:t>
      </w:r>
    </w:p>
    <w:p w14:paraId="647FFCC0" w14:textId="77777777" w:rsidR="009A5F38" w:rsidRDefault="009A5F38" w:rsidP="00D73130">
      <w:pPr>
        <w:pStyle w:val="TableParagraph"/>
        <w:tabs>
          <w:tab w:val="left" w:pos="891"/>
        </w:tabs>
        <w:spacing w:before="54"/>
        <w:ind w:left="107"/>
        <w:jc w:val="left"/>
        <w:rPr>
          <w:sz w:val="24"/>
        </w:rPr>
      </w:pPr>
      <w:r>
        <w:rPr>
          <w:color w:val="231F20"/>
          <w:spacing w:val="-4"/>
          <w:sz w:val="24"/>
        </w:rPr>
        <w:t>IMRD</w:t>
      </w:r>
      <w:r>
        <w:rPr>
          <w:sz w:val="24"/>
        </w:rPr>
        <w:tab/>
      </w:r>
      <w:r>
        <w:rPr>
          <w:color w:val="231F20"/>
          <w:sz w:val="24"/>
        </w:rPr>
        <w:t>Investment</w:t>
      </w:r>
      <w:r>
        <w:rPr>
          <w:color w:val="231F20"/>
          <w:spacing w:val="-16"/>
          <w:sz w:val="24"/>
        </w:rPr>
        <w:t xml:space="preserve"> </w:t>
      </w:r>
      <w:r>
        <w:rPr>
          <w:color w:val="231F20"/>
          <w:sz w:val="24"/>
        </w:rPr>
        <w:t>Management</w:t>
      </w:r>
      <w:r>
        <w:rPr>
          <w:color w:val="231F20"/>
          <w:spacing w:val="-13"/>
          <w:sz w:val="24"/>
        </w:rPr>
        <w:t xml:space="preserve"> </w:t>
      </w:r>
      <w:r>
        <w:rPr>
          <w:color w:val="231F20"/>
          <w:sz w:val="24"/>
        </w:rPr>
        <w:t>and</w:t>
      </w:r>
      <w:r>
        <w:rPr>
          <w:color w:val="231F20"/>
          <w:spacing w:val="-14"/>
          <w:sz w:val="24"/>
        </w:rPr>
        <w:t xml:space="preserve"> </w:t>
      </w:r>
      <w:r>
        <w:rPr>
          <w:color w:val="231F20"/>
          <w:sz w:val="24"/>
        </w:rPr>
        <w:t>Reporting</w:t>
      </w:r>
      <w:r>
        <w:rPr>
          <w:color w:val="231F20"/>
          <w:spacing w:val="-13"/>
          <w:sz w:val="24"/>
        </w:rPr>
        <w:t xml:space="preserve"> </w:t>
      </w:r>
      <w:r>
        <w:rPr>
          <w:color w:val="231F20"/>
          <w:spacing w:val="-2"/>
          <w:sz w:val="24"/>
        </w:rPr>
        <w:t>Department</w:t>
      </w:r>
    </w:p>
    <w:p w14:paraId="1D1048F7" w14:textId="77777777" w:rsidR="009A5F38" w:rsidRDefault="009A5F38" w:rsidP="00D73130">
      <w:pPr>
        <w:pStyle w:val="TableParagraph"/>
        <w:tabs>
          <w:tab w:val="left" w:pos="891"/>
        </w:tabs>
        <w:spacing w:before="54"/>
        <w:ind w:left="107"/>
        <w:jc w:val="left"/>
        <w:rPr>
          <w:sz w:val="24"/>
        </w:rPr>
      </w:pPr>
      <w:r>
        <w:rPr>
          <w:color w:val="231F20"/>
          <w:spacing w:val="-5"/>
          <w:sz w:val="24"/>
        </w:rPr>
        <w:t>IRP</w:t>
      </w:r>
      <w:r>
        <w:rPr>
          <w:sz w:val="24"/>
        </w:rPr>
        <w:tab/>
      </w:r>
      <w:r>
        <w:rPr>
          <w:color w:val="231F20"/>
          <w:sz w:val="24"/>
        </w:rPr>
        <w:t>Issue</w:t>
      </w:r>
      <w:r>
        <w:rPr>
          <w:color w:val="231F20"/>
          <w:spacing w:val="-12"/>
          <w:sz w:val="24"/>
        </w:rPr>
        <w:t xml:space="preserve"> </w:t>
      </w:r>
      <w:r>
        <w:rPr>
          <w:color w:val="231F20"/>
          <w:sz w:val="24"/>
        </w:rPr>
        <w:t>Resolution</w:t>
      </w:r>
      <w:r>
        <w:rPr>
          <w:color w:val="231F20"/>
          <w:spacing w:val="-11"/>
          <w:sz w:val="24"/>
        </w:rPr>
        <w:t xml:space="preserve"> </w:t>
      </w:r>
      <w:r>
        <w:rPr>
          <w:color w:val="231F20"/>
          <w:spacing w:val="-2"/>
          <w:sz w:val="24"/>
        </w:rPr>
        <w:t>Procedures</w:t>
      </w:r>
    </w:p>
    <w:p w14:paraId="14CBDED6" w14:textId="77777777" w:rsidR="009A5F38" w:rsidRDefault="009A5F38" w:rsidP="00D73130">
      <w:pPr>
        <w:pStyle w:val="TableParagraph"/>
        <w:tabs>
          <w:tab w:val="left" w:pos="891"/>
        </w:tabs>
        <w:spacing w:before="54"/>
        <w:ind w:left="107"/>
        <w:jc w:val="left"/>
        <w:rPr>
          <w:sz w:val="24"/>
        </w:rPr>
      </w:pPr>
      <w:r>
        <w:rPr>
          <w:color w:val="231F20"/>
          <w:spacing w:val="-5"/>
          <w:sz w:val="24"/>
        </w:rPr>
        <w:t>ISE</w:t>
      </w:r>
      <w:r>
        <w:rPr>
          <w:sz w:val="24"/>
        </w:rPr>
        <w:tab/>
      </w:r>
      <w:r>
        <w:rPr>
          <w:color w:val="231F20"/>
          <w:sz w:val="24"/>
        </w:rPr>
        <w:t>Information</w:t>
      </w:r>
      <w:r>
        <w:rPr>
          <w:color w:val="231F20"/>
          <w:spacing w:val="-11"/>
          <w:sz w:val="24"/>
        </w:rPr>
        <w:t xml:space="preserve"> </w:t>
      </w:r>
      <w:r>
        <w:rPr>
          <w:color w:val="231F20"/>
          <w:sz w:val="24"/>
        </w:rPr>
        <w:t>Sharing</w:t>
      </w:r>
      <w:r>
        <w:rPr>
          <w:color w:val="231F20"/>
          <w:spacing w:val="-11"/>
          <w:sz w:val="24"/>
        </w:rPr>
        <w:t xml:space="preserve"> </w:t>
      </w:r>
      <w:r>
        <w:rPr>
          <w:color w:val="231F20"/>
          <w:spacing w:val="-2"/>
          <w:sz w:val="24"/>
        </w:rPr>
        <w:t>Entities</w:t>
      </w:r>
    </w:p>
    <w:p w14:paraId="6C306692" w14:textId="77777777" w:rsidR="009A5F38" w:rsidRDefault="009A5F38" w:rsidP="00D73130">
      <w:pPr>
        <w:pStyle w:val="TableParagraph"/>
        <w:tabs>
          <w:tab w:val="left" w:pos="891"/>
        </w:tabs>
        <w:spacing w:before="54"/>
        <w:ind w:left="107"/>
        <w:jc w:val="left"/>
        <w:rPr>
          <w:sz w:val="24"/>
        </w:rPr>
      </w:pPr>
      <w:r>
        <w:rPr>
          <w:color w:val="231F20"/>
          <w:spacing w:val="-4"/>
          <w:sz w:val="24"/>
        </w:rPr>
        <w:t>ITIS</w:t>
      </w:r>
      <w:r>
        <w:rPr>
          <w:sz w:val="24"/>
        </w:rPr>
        <w:tab/>
      </w:r>
      <w:r>
        <w:rPr>
          <w:color w:val="231F20"/>
          <w:spacing w:val="-2"/>
          <w:sz w:val="24"/>
        </w:rPr>
        <w:t>Information</w:t>
      </w:r>
      <w:r>
        <w:rPr>
          <w:color w:val="231F20"/>
          <w:spacing w:val="1"/>
          <w:sz w:val="24"/>
        </w:rPr>
        <w:t xml:space="preserve"> </w:t>
      </w:r>
      <w:r>
        <w:rPr>
          <w:color w:val="231F20"/>
          <w:spacing w:val="-2"/>
          <w:sz w:val="24"/>
        </w:rPr>
        <w:t>Technology</w:t>
      </w:r>
      <w:r>
        <w:rPr>
          <w:color w:val="231F20"/>
          <w:spacing w:val="1"/>
          <w:sz w:val="24"/>
        </w:rPr>
        <w:t xml:space="preserve"> </w:t>
      </w:r>
      <w:r>
        <w:rPr>
          <w:color w:val="231F20"/>
          <w:spacing w:val="-2"/>
          <w:sz w:val="24"/>
        </w:rPr>
        <w:t>and</w:t>
      </w:r>
      <w:r>
        <w:rPr>
          <w:color w:val="231F20"/>
          <w:spacing w:val="1"/>
          <w:sz w:val="24"/>
        </w:rPr>
        <w:t xml:space="preserve"> </w:t>
      </w:r>
      <w:r>
        <w:rPr>
          <w:color w:val="231F20"/>
          <w:spacing w:val="-2"/>
          <w:sz w:val="24"/>
        </w:rPr>
        <w:t>Infrastructure</w:t>
      </w:r>
      <w:r>
        <w:rPr>
          <w:color w:val="231F20"/>
          <w:spacing w:val="2"/>
          <w:sz w:val="24"/>
        </w:rPr>
        <w:t xml:space="preserve"> </w:t>
      </w:r>
      <w:r>
        <w:rPr>
          <w:color w:val="231F20"/>
          <w:spacing w:val="-2"/>
          <w:sz w:val="24"/>
        </w:rPr>
        <w:t>Services</w:t>
      </w:r>
    </w:p>
    <w:p w14:paraId="17DBDD09" w14:textId="77777777" w:rsidR="009A5F38" w:rsidRDefault="009A5F38" w:rsidP="00D73130">
      <w:pPr>
        <w:pStyle w:val="TableParagraph"/>
        <w:tabs>
          <w:tab w:val="left" w:pos="891"/>
        </w:tabs>
        <w:spacing w:before="54"/>
        <w:ind w:left="107"/>
        <w:jc w:val="left"/>
        <w:rPr>
          <w:sz w:val="24"/>
        </w:rPr>
      </w:pPr>
      <w:r>
        <w:rPr>
          <w:color w:val="231F20"/>
          <w:spacing w:val="-4"/>
          <w:sz w:val="24"/>
        </w:rPr>
        <w:t>IVDR</w:t>
      </w:r>
      <w:r>
        <w:rPr>
          <w:sz w:val="24"/>
        </w:rPr>
        <w:tab/>
      </w:r>
      <w:r>
        <w:rPr>
          <w:color w:val="231F20"/>
          <w:sz w:val="24"/>
        </w:rPr>
        <w:t>In-Vehicle</w:t>
      </w:r>
      <w:r>
        <w:rPr>
          <w:color w:val="231F20"/>
          <w:spacing w:val="-16"/>
          <w:sz w:val="24"/>
        </w:rPr>
        <w:t xml:space="preserve"> </w:t>
      </w:r>
      <w:r>
        <w:rPr>
          <w:color w:val="231F20"/>
          <w:sz w:val="24"/>
        </w:rPr>
        <w:t>Data</w:t>
      </w:r>
      <w:r>
        <w:rPr>
          <w:color w:val="231F20"/>
          <w:spacing w:val="-16"/>
          <w:sz w:val="24"/>
        </w:rPr>
        <w:t xml:space="preserve"> </w:t>
      </w:r>
      <w:r>
        <w:rPr>
          <w:color w:val="231F20"/>
          <w:spacing w:val="-2"/>
          <w:sz w:val="24"/>
        </w:rPr>
        <w:t>Recorders</w:t>
      </w:r>
    </w:p>
    <w:p w14:paraId="68BB6E9F" w14:textId="77777777" w:rsidR="009A5F38" w:rsidRDefault="009A5F38" w:rsidP="00D73130">
      <w:pPr>
        <w:pStyle w:val="TableParagraph"/>
        <w:tabs>
          <w:tab w:val="left" w:pos="891"/>
        </w:tabs>
        <w:spacing w:before="54"/>
        <w:ind w:left="107"/>
        <w:jc w:val="left"/>
        <w:rPr>
          <w:sz w:val="24"/>
        </w:rPr>
      </w:pPr>
      <w:r>
        <w:rPr>
          <w:color w:val="231F20"/>
          <w:spacing w:val="-4"/>
          <w:sz w:val="24"/>
        </w:rPr>
        <w:t>LEAP</w:t>
      </w:r>
      <w:r>
        <w:rPr>
          <w:sz w:val="24"/>
        </w:rPr>
        <w:tab/>
      </w:r>
      <w:r>
        <w:rPr>
          <w:color w:val="231F20"/>
          <w:sz w:val="24"/>
        </w:rPr>
        <w:t>Law</w:t>
      </w:r>
      <w:r>
        <w:rPr>
          <w:color w:val="231F20"/>
          <w:spacing w:val="-12"/>
          <w:sz w:val="24"/>
        </w:rPr>
        <w:t xml:space="preserve"> </w:t>
      </w:r>
      <w:r>
        <w:rPr>
          <w:color w:val="231F20"/>
          <w:sz w:val="24"/>
        </w:rPr>
        <w:t>Enforcement</w:t>
      </w:r>
      <w:r>
        <w:rPr>
          <w:color w:val="231F20"/>
          <w:spacing w:val="-11"/>
          <w:sz w:val="24"/>
        </w:rPr>
        <w:t xml:space="preserve"> </w:t>
      </w:r>
      <w:r>
        <w:rPr>
          <w:color w:val="231F20"/>
          <w:sz w:val="24"/>
        </w:rPr>
        <w:t>Assistance</w:t>
      </w:r>
      <w:r>
        <w:rPr>
          <w:color w:val="231F20"/>
          <w:spacing w:val="-11"/>
          <w:sz w:val="24"/>
        </w:rPr>
        <w:t xml:space="preserve"> </w:t>
      </w:r>
      <w:r>
        <w:rPr>
          <w:color w:val="231F20"/>
          <w:spacing w:val="-2"/>
          <w:sz w:val="24"/>
        </w:rPr>
        <w:t>Program</w:t>
      </w:r>
    </w:p>
    <w:p w14:paraId="798FA71F" w14:textId="77777777" w:rsidR="009A5F38" w:rsidRDefault="009A5F38" w:rsidP="00D73130">
      <w:pPr>
        <w:pStyle w:val="TableParagraph"/>
        <w:tabs>
          <w:tab w:val="left" w:pos="891"/>
        </w:tabs>
        <w:spacing w:before="54" w:line="256" w:lineRule="exact"/>
        <w:ind w:left="107"/>
        <w:jc w:val="left"/>
        <w:rPr>
          <w:sz w:val="24"/>
        </w:rPr>
      </w:pPr>
      <w:r>
        <w:rPr>
          <w:color w:val="231F20"/>
          <w:spacing w:val="-5"/>
          <w:sz w:val="24"/>
        </w:rPr>
        <w:t>LFD</w:t>
      </w:r>
      <w:r>
        <w:rPr>
          <w:sz w:val="24"/>
        </w:rPr>
        <w:tab/>
      </w:r>
      <w:r>
        <w:rPr>
          <w:color w:val="231F20"/>
          <w:sz w:val="24"/>
        </w:rPr>
        <w:t>Licenced</w:t>
      </w:r>
      <w:r>
        <w:rPr>
          <w:color w:val="231F20"/>
          <w:spacing w:val="-9"/>
          <w:sz w:val="24"/>
        </w:rPr>
        <w:t xml:space="preserve"> </w:t>
      </w:r>
      <w:r>
        <w:rPr>
          <w:color w:val="231F20"/>
          <w:sz w:val="24"/>
        </w:rPr>
        <w:t>Firearms</w:t>
      </w:r>
      <w:r>
        <w:rPr>
          <w:color w:val="231F20"/>
          <w:spacing w:val="-9"/>
          <w:sz w:val="24"/>
        </w:rPr>
        <w:t xml:space="preserve"> </w:t>
      </w:r>
      <w:r>
        <w:rPr>
          <w:color w:val="231F20"/>
          <w:spacing w:val="-2"/>
          <w:sz w:val="24"/>
        </w:rPr>
        <w:t>Dealers</w:t>
      </w:r>
    </w:p>
    <w:p w14:paraId="443A044E" w14:textId="77777777" w:rsidR="00345EE3" w:rsidRDefault="00345EE3" w:rsidP="00345EE3">
      <w:pPr>
        <w:pStyle w:val="BodyText"/>
        <w:tabs>
          <w:tab w:val="left" w:pos="1000"/>
          <w:tab w:val="left" w:pos="1590"/>
        </w:tabs>
        <w:spacing w:before="124" w:line="343" w:lineRule="auto"/>
        <w:ind w:left="150" w:right="846"/>
      </w:pPr>
      <w:r>
        <w:rPr>
          <w:color w:val="231F20"/>
          <w:spacing w:val="-2"/>
        </w:rPr>
        <w:t>LGBTIQ+</w:t>
      </w:r>
      <w:r>
        <w:rPr>
          <w:color w:val="231F20"/>
        </w:rPr>
        <w:tab/>
      </w:r>
      <w:r>
        <w:rPr>
          <w:color w:val="231F20"/>
          <w:spacing w:val="-2"/>
        </w:rPr>
        <w:t>Lesbian,</w:t>
      </w:r>
      <w:r>
        <w:rPr>
          <w:color w:val="231F20"/>
          <w:spacing w:val="-7"/>
        </w:rPr>
        <w:t xml:space="preserve"> </w:t>
      </w:r>
      <w:r>
        <w:rPr>
          <w:color w:val="231F20"/>
          <w:spacing w:val="-2"/>
        </w:rPr>
        <w:t>Gay,</w:t>
      </w:r>
      <w:r>
        <w:rPr>
          <w:color w:val="231F20"/>
          <w:spacing w:val="-7"/>
        </w:rPr>
        <w:t xml:space="preserve"> </w:t>
      </w:r>
      <w:r>
        <w:rPr>
          <w:color w:val="231F20"/>
          <w:spacing w:val="-2"/>
        </w:rPr>
        <w:t>Bisexual,</w:t>
      </w:r>
      <w:r>
        <w:rPr>
          <w:color w:val="231F20"/>
          <w:spacing w:val="-7"/>
        </w:rPr>
        <w:t xml:space="preserve"> </w:t>
      </w:r>
      <w:r>
        <w:rPr>
          <w:color w:val="231F20"/>
          <w:spacing w:val="-2"/>
        </w:rPr>
        <w:t>Transgender,</w:t>
      </w:r>
      <w:r>
        <w:rPr>
          <w:color w:val="231F20"/>
          <w:spacing w:val="-7"/>
        </w:rPr>
        <w:t xml:space="preserve"> </w:t>
      </w:r>
      <w:r>
        <w:rPr>
          <w:color w:val="231F20"/>
          <w:spacing w:val="-2"/>
        </w:rPr>
        <w:t>Intersex</w:t>
      </w:r>
      <w:r>
        <w:rPr>
          <w:color w:val="231F20"/>
          <w:spacing w:val="-7"/>
        </w:rPr>
        <w:t xml:space="preserve"> </w:t>
      </w:r>
      <w:r>
        <w:rPr>
          <w:color w:val="231F20"/>
          <w:spacing w:val="-2"/>
        </w:rPr>
        <w:t>and</w:t>
      </w:r>
      <w:r>
        <w:rPr>
          <w:color w:val="231F20"/>
          <w:spacing w:val="-8"/>
        </w:rPr>
        <w:t xml:space="preserve"> </w:t>
      </w:r>
      <w:r>
        <w:rPr>
          <w:color w:val="231F20"/>
          <w:spacing w:val="-2"/>
        </w:rPr>
        <w:t>Queer</w:t>
      </w:r>
      <w:r>
        <w:rPr>
          <w:color w:val="231F20"/>
          <w:spacing w:val="-7"/>
        </w:rPr>
        <w:t xml:space="preserve"> </w:t>
      </w:r>
      <w:r>
        <w:rPr>
          <w:color w:val="231F20"/>
          <w:spacing w:val="-2"/>
        </w:rPr>
        <w:t>and/or</w:t>
      </w:r>
      <w:r>
        <w:rPr>
          <w:color w:val="231F20"/>
          <w:spacing w:val="-7"/>
        </w:rPr>
        <w:t xml:space="preserve"> </w:t>
      </w:r>
      <w:r>
        <w:rPr>
          <w:color w:val="231F20"/>
          <w:spacing w:val="-2"/>
        </w:rPr>
        <w:t xml:space="preserve">questioning </w:t>
      </w:r>
      <w:r>
        <w:rPr>
          <w:color w:val="231F20"/>
          <w:spacing w:val="-4"/>
        </w:rPr>
        <w:t>LRD</w:t>
      </w:r>
      <w:r>
        <w:rPr>
          <w:color w:val="231F20"/>
        </w:rPr>
        <w:tab/>
        <w:t>Licensing and Regulation Division</w:t>
      </w:r>
    </w:p>
    <w:p w14:paraId="00C3F4F7" w14:textId="77777777" w:rsidR="00345EE3" w:rsidRDefault="00345EE3" w:rsidP="00345EE3">
      <w:pPr>
        <w:pStyle w:val="BodyText"/>
        <w:tabs>
          <w:tab w:val="left" w:pos="1000"/>
        </w:tabs>
        <w:spacing w:line="343" w:lineRule="auto"/>
        <w:ind w:left="150" w:right="6572"/>
      </w:pPr>
      <w:r>
        <w:rPr>
          <w:color w:val="231F20"/>
          <w:spacing w:val="-4"/>
        </w:rPr>
        <w:t>LSD</w:t>
      </w:r>
      <w:r>
        <w:rPr>
          <w:color w:val="231F20"/>
        </w:rPr>
        <w:tab/>
        <w:t>Legal</w:t>
      </w:r>
      <w:r>
        <w:rPr>
          <w:color w:val="231F20"/>
          <w:spacing w:val="-17"/>
        </w:rPr>
        <w:t xml:space="preserve"> </w:t>
      </w:r>
      <w:r>
        <w:rPr>
          <w:color w:val="231F20"/>
        </w:rPr>
        <w:t>Services</w:t>
      </w:r>
      <w:r>
        <w:rPr>
          <w:color w:val="231F20"/>
          <w:spacing w:val="-17"/>
        </w:rPr>
        <w:t xml:space="preserve"> </w:t>
      </w:r>
      <w:r>
        <w:rPr>
          <w:color w:val="231F20"/>
        </w:rPr>
        <w:t xml:space="preserve">Department </w:t>
      </w:r>
      <w:r>
        <w:rPr>
          <w:color w:val="231F20"/>
          <w:spacing w:val="-4"/>
        </w:rPr>
        <w:t>MCC</w:t>
      </w:r>
      <w:r>
        <w:rPr>
          <w:color w:val="231F20"/>
        </w:rPr>
        <w:tab/>
        <w:t>Melbourne</w:t>
      </w:r>
      <w:r>
        <w:rPr>
          <w:color w:val="231F20"/>
          <w:spacing w:val="-6"/>
        </w:rPr>
        <w:t xml:space="preserve"> </w:t>
      </w:r>
      <w:r>
        <w:rPr>
          <w:color w:val="231F20"/>
        </w:rPr>
        <w:t>Custody</w:t>
      </w:r>
      <w:r>
        <w:rPr>
          <w:color w:val="231F20"/>
          <w:spacing w:val="-6"/>
        </w:rPr>
        <w:t xml:space="preserve"> </w:t>
      </w:r>
      <w:r>
        <w:rPr>
          <w:color w:val="231F20"/>
        </w:rPr>
        <w:t>Centre</w:t>
      </w:r>
    </w:p>
    <w:p w14:paraId="789945EC" w14:textId="77777777" w:rsidR="00345EE3" w:rsidRDefault="00345EE3" w:rsidP="00345EE3">
      <w:pPr>
        <w:pStyle w:val="BodyText"/>
        <w:tabs>
          <w:tab w:val="left" w:pos="1000"/>
        </w:tabs>
        <w:spacing w:line="343" w:lineRule="auto"/>
        <w:ind w:left="150" w:right="3714"/>
      </w:pPr>
      <w:r>
        <w:rPr>
          <w:color w:val="231F20"/>
        </w:rPr>
        <w:t>MCED</w:t>
      </w:r>
      <w:r>
        <w:rPr>
          <w:color w:val="231F20"/>
          <w:spacing w:val="40"/>
        </w:rPr>
        <w:t xml:space="preserve"> </w:t>
      </w:r>
      <w:r>
        <w:rPr>
          <w:color w:val="231F20"/>
        </w:rPr>
        <w:t>Media,</w:t>
      </w:r>
      <w:r>
        <w:rPr>
          <w:color w:val="231F20"/>
          <w:spacing w:val="-13"/>
        </w:rPr>
        <w:t xml:space="preserve"> </w:t>
      </w:r>
      <w:r>
        <w:rPr>
          <w:color w:val="231F20"/>
        </w:rPr>
        <w:t>Communications</w:t>
      </w:r>
      <w:r>
        <w:rPr>
          <w:color w:val="231F20"/>
          <w:spacing w:val="-13"/>
        </w:rPr>
        <w:t xml:space="preserve"> </w:t>
      </w:r>
      <w:r>
        <w:rPr>
          <w:color w:val="231F20"/>
        </w:rPr>
        <w:t>and</w:t>
      </w:r>
      <w:r>
        <w:rPr>
          <w:color w:val="231F20"/>
          <w:spacing w:val="-13"/>
        </w:rPr>
        <w:t xml:space="preserve"> </w:t>
      </w:r>
      <w:r>
        <w:rPr>
          <w:color w:val="231F20"/>
        </w:rPr>
        <w:t>Engagement</w:t>
      </w:r>
      <w:r>
        <w:rPr>
          <w:color w:val="231F20"/>
          <w:spacing w:val="-13"/>
        </w:rPr>
        <w:t xml:space="preserve"> </w:t>
      </w:r>
      <w:r>
        <w:rPr>
          <w:color w:val="231F20"/>
        </w:rPr>
        <w:t xml:space="preserve">Department </w:t>
      </w:r>
      <w:r>
        <w:rPr>
          <w:color w:val="231F20"/>
          <w:spacing w:val="-4"/>
        </w:rPr>
        <w:t>MDC</w:t>
      </w:r>
      <w:r>
        <w:rPr>
          <w:color w:val="231F20"/>
        </w:rPr>
        <w:tab/>
        <w:t>Multidisciplinary Centres</w:t>
      </w:r>
    </w:p>
    <w:p w14:paraId="2B1C76A8" w14:textId="77777777" w:rsidR="00345EE3" w:rsidRDefault="00345EE3" w:rsidP="00345EE3">
      <w:pPr>
        <w:pStyle w:val="BodyText"/>
        <w:tabs>
          <w:tab w:val="left" w:pos="1000"/>
        </w:tabs>
        <w:spacing w:line="273" w:lineRule="exact"/>
        <w:ind w:left="150"/>
      </w:pPr>
      <w:r>
        <w:rPr>
          <w:color w:val="231F20"/>
          <w:spacing w:val="-5"/>
        </w:rPr>
        <w:t>MJ</w:t>
      </w:r>
      <w:r>
        <w:rPr>
          <w:color w:val="231F20"/>
        </w:rPr>
        <w:tab/>
      </w:r>
      <w:r>
        <w:rPr>
          <w:color w:val="231F20"/>
          <w:spacing w:val="-2"/>
        </w:rPr>
        <w:t>Megajoule</w:t>
      </w:r>
    </w:p>
    <w:p w14:paraId="7E00DD13" w14:textId="77777777" w:rsidR="00345EE3" w:rsidRDefault="00345EE3" w:rsidP="00345EE3">
      <w:pPr>
        <w:pStyle w:val="BodyText"/>
        <w:tabs>
          <w:tab w:val="left" w:pos="1000"/>
        </w:tabs>
        <w:spacing w:before="112"/>
        <w:ind w:left="150"/>
      </w:pPr>
      <w:r>
        <w:rPr>
          <w:color w:val="231F20"/>
          <w:spacing w:val="-5"/>
        </w:rPr>
        <w:t>MO</w:t>
      </w:r>
      <w:r>
        <w:rPr>
          <w:color w:val="231F20"/>
        </w:rPr>
        <w:tab/>
        <w:t>Modus</w:t>
      </w:r>
      <w:r>
        <w:rPr>
          <w:color w:val="231F20"/>
          <w:spacing w:val="-5"/>
        </w:rPr>
        <w:t xml:space="preserve"> </w:t>
      </w:r>
      <w:r>
        <w:rPr>
          <w:color w:val="231F20"/>
          <w:spacing w:val="-2"/>
        </w:rPr>
        <w:t>Operandi</w:t>
      </w:r>
    </w:p>
    <w:p w14:paraId="022E1E23" w14:textId="77777777" w:rsidR="00345EE3" w:rsidRDefault="00345EE3" w:rsidP="00345EE3">
      <w:pPr>
        <w:pStyle w:val="BodyText"/>
        <w:tabs>
          <w:tab w:val="left" w:pos="1000"/>
        </w:tabs>
        <w:spacing w:before="117" w:line="343" w:lineRule="auto"/>
        <w:ind w:left="150" w:right="6250"/>
      </w:pPr>
      <w:r>
        <w:rPr>
          <w:color w:val="231F20"/>
        </w:rPr>
        <w:t>MPSG</w:t>
      </w:r>
      <w:r>
        <w:rPr>
          <w:color w:val="231F20"/>
          <w:spacing w:val="40"/>
        </w:rPr>
        <w:t xml:space="preserve"> </w:t>
      </w:r>
      <w:r>
        <w:rPr>
          <w:color w:val="231F20"/>
        </w:rPr>
        <w:t>Major</w:t>
      </w:r>
      <w:r>
        <w:rPr>
          <w:color w:val="231F20"/>
          <w:spacing w:val="-13"/>
        </w:rPr>
        <w:t xml:space="preserve"> </w:t>
      </w:r>
      <w:r>
        <w:rPr>
          <w:color w:val="231F20"/>
        </w:rPr>
        <w:t>Project</w:t>
      </w:r>
      <w:r>
        <w:rPr>
          <w:color w:val="231F20"/>
          <w:spacing w:val="-13"/>
        </w:rPr>
        <w:t xml:space="preserve"> </w:t>
      </w:r>
      <w:r>
        <w:rPr>
          <w:color w:val="231F20"/>
        </w:rPr>
        <w:t>Skills</w:t>
      </w:r>
      <w:r>
        <w:rPr>
          <w:color w:val="231F20"/>
          <w:spacing w:val="-13"/>
        </w:rPr>
        <w:t xml:space="preserve"> </w:t>
      </w:r>
      <w:r>
        <w:rPr>
          <w:color w:val="231F20"/>
        </w:rPr>
        <w:t xml:space="preserve">Guarantee </w:t>
      </w:r>
      <w:r>
        <w:rPr>
          <w:color w:val="231F20"/>
          <w:spacing w:val="-4"/>
        </w:rPr>
        <w:t>MPU</w:t>
      </w:r>
      <w:r>
        <w:rPr>
          <w:color w:val="231F20"/>
        </w:rPr>
        <w:tab/>
        <w:t>Mobile Policing Unit</w:t>
      </w:r>
    </w:p>
    <w:p w14:paraId="3E46DE7C" w14:textId="77777777" w:rsidR="00345EE3" w:rsidRDefault="00345EE3" w:rsidP="00345EE3">
      <w:pPr>
        <w:pStyle w:val="BodyText"/>
        <w:tabs>
          <w:tab w:val="left" w:pos="1000"/>
        </w:tabs>
        <w:spacing w:line="343" w:lineRule="auto"/>
        <w:ind w:left="150" w:right="5531"/>
      </w:pPr>
      <w:r>
        <w:rPr>
          <w:color w:val="231F20"/>
          <w:spacing w:val="-4"/>
        </w:rPr>
        <w:t>NCIS</w:t>
      </w:r>
      <w:r>
        <w:rPr>
          <w:color w:val="231F20"/>
        </w:rPr>
        <w:tab/>
        <w:t>National</w:t>
      </w:r>
      <w:r>
        <w:rPr>
          <w:color w:val="231F20"/>
          <w:spacing w:val="-19"/>
        </w:rPr>
        <w:t xml:space="preserve"> </w:t>
      </w:r>
      <w:r>
        <w:rPr>
          <w:color w:val="231F20"/>
        </w:rPr>
        <w:t>Criminal</w:t>
      </w:r>
      <w:r>
        <w:rPr>
          <w:color w:val="231F20"/>
          <w:spacing w:val="-17"/>
        </w:rPr>
        <w:t xml:space="preserve"> </w:t>
      </w:r>
      <w:r>
        <w:rPr>
          <w:color w:val="231F20"/>
        </w:rPr>
        <w:t>Intelligence</w:t>
      </w:r>
      <w:r>
        <w:rPr>
          <w:color w:val="231F20"/>
          <w:spacing w:val="-16"/>
        </w:rPr>
        <w:t xml:space="preserve"> </w:t>
      </w:r>
      <w:r>
        <w:rPr>
          <w:color w:val="231F20"/>
        </w:rPr>
        <w:t xml:space="preserve">System </w:t>
      </w:r>
      <w:r>
        <w:rPr>
          <w:color w:val="231F20"/>
          <w:spacing w:val="-4"/>
        </w:rPr>
        <w:t>NHP</w:t>
      </w:r>
      <w:r>
        <w:rPr>
          <w:color w:val="231F20"/>
        </w:rPr>
        <w:tab/>
        <w:t>Neighbourhood Policing</w:t>
      </w:r>
    </w:p>
    <w:p w14:paraId="3FD2169D" w14:textId="77777777" w:rsidR="00345EE3" w:rsidRDefault="00345EE3" w:rsidP="00345EE3">
      <w:pPr>
        <w:pStyle w:val="BodyText"/>
        <w:tabs>
          <w:tab w:val="left" w:pos="1000"/>
        </w:tabs>
        <w:spacing w:line="343" w:lineRule="auto"/>
        <w:ind w:left="150" w:right="6221"/>
        <w:rPr>
          <w:color w:val="231F20"/>
        </w:rPr>
      </w:pPr>
      <w:r>
        <w:rPr>
          <w:color w:val="231F20"/>
        </w:rPr>
        <w:t xml:space="preserve">NWMR North West Metro Region </w:t>
      </w:r>
      <w:r>
        <w:rPr>
          <w:color w:val="231F20"/>
          <w:spacing w:val="-4"/>
        </w:rPr>
        <w:t>OAM</w:t>
      </w:r>
      <w:r>
        <w:rPr>
          <w:color w:val="231F20"/>
        </w:rPr>
        <w:tab/>
        <w:t>Medal</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Order</w:t>
      </w:r>
      <w:r>
        <w:rPr>
          <w:color w:val="231F20"/>
          <w:spacing w:val="-12"/>
        </w:rPr>
        <w:t xml:space="preserve"> </w:t>
      </w:r>
      <w:r>
        <w:rPr>
          <w:color w:val="231F20"/>
        </w:rPr>
        <w:t>of</w:t>
      </w:r>
      <w:r>
        <w:rPr>
          <w:color w:val="231F20"/>
          <w:spacing w:val="-12"/>
        </w:rPr>
        <w:t xml:space="preserve"> </w:t>
      </w:r>
      <w:r>
        <w:rPr>
          <w:color w:val="231F20"/>
        </w:rPr>
        <w:t>Australia</w:t>
      </w:r>
    </w:p>
    <w:p w14:paraId="79BA4E29" w14:textId="77777777" w:rsidR="00345EE3" w:rsidRDefault="00345EE3" w:rsidP="00345EE3">
      <w:pPr>
        <w:pStyle w:val="BodyText"/>
        <w:tabs>
          <w:tab w:val="left" w:pos="1000"/>
        </w:tabs>
        <w:spacing w:line="343" w:lineRule="auto"/>
        <w:ind w:left="150" w:right="6221"/>
      </w:pPr>
      <w:r>
        <w:rPr>
          <w:color w:val="231F20"/>
          <w:spacing w:val="-6"/>
        </w:rPr>
        <w:t>OC</w:t>
      </w:r>
      <w:r>
        <w:rPr>
          <w:color w:val="231F20"/>
        </w:rPr>
        <w:tab/>
        <w:t>Oleoresin Capsicum</w:t>
      </w:r>
    </w:p>
    <w:p w14:paraId="7B5585E2" w14:textId="77777777" w:rsidR="00345EE3" w:rsidRDefault="00345EE3" w:rsidP="00345EE3">
      <w:pPr>
        <w:pStyle w:val="BodyText"/>
        <w:tabs>
          <w:tab w:val="left" w:pos="1000"/>
        </w:tabs>
        <w:spacing w:line="343" w:lineRule="auto"/>
        <w:ind w:left="150" w:right="6110"/>
      </w:pPr>
      <w:r>
        <w:rPr>
          <w:color w:val="231F20"/>
          <w:spacing w:val="-4"/>
        </w:rPr>
        <w:t>OHS</w:t>
      </w:r>
      <w:r>
        <w:rPr>
          <w:color w:val="231F20"/>
        </w:rPr>
        <w:tab/>
        <w:t>Occupational</w:t>
      </w:r>
      <w:r>
        <w:rPr>
          <w:color w:val="231F20"/>
          <w:spacing w:val="-19"/>
        </w:rPr>
        <w:t xml:space="preserve"> </w:t>
      </w:r>
      <w:r>
        <w:rPr>
          <w:color w:val="231F20"/>
        </w:rPr>
        <w:t>Health</w:t>
      </w:r>
      <w:r>
        <w:rPr>
          <w:color w:val="231F20"/>
          <w:spacing w:val="-17"/>
        </w:rPr>
        <w:t xml:space="preserve"> </w:t>
      </w:r>
      <w:r>
        <w:rPr>
          <w:color w:val="231F20"/>
        </w:rPr>
        <w:t>and</w:t>
      </w:r>
      <w:r>
        <w:rPr>
          <w:color w:val="231F20"/>
          <w:spacing w:val="-16"/>
        </w:rPr>
        <w:t xml:space="preserve"> </w:t>
      </w:r>
      <w:r>
        <w:rPr>
          <w:color w:val="231F20"/>
        </w:rPr>
        <w:t xml:space="preserve">Safety </w:t>
      </w:r>
      <w:r>
        <w:rPr>
          <w:color w:val="231F20"/>
          <w:spacing w:val="-4"/>
        </w:rPr>
        <w:t>OSE</w:t>
      </w:r>
      <w:r>
        <w:rPr>
          <w:color w:val="231F20"/>
        </w:rPr>
        <w:tab/>
        <w:t xml:space="preserve">Operational Safety Equipment </w:t>
      </w:r>
      <w:r>
        <w:rPr>
          <w:color w:val="231F20"/>
          <w:spacing w:val="-4"/>
        </w:rPr>
        <w:t>PAL</w:t>
      </w:r>
      <w:r>
        <w:rPr>
          <w:color w:val="231F20"/>
        </w:rPr>
        <w:tab/>
        <w:t>Police Assistance Line</w:t>
      </w:r>
    </w:p>
    <w:p w14:paraId="1AFE2D35" w14:textId="77777777" w:rsidR="00345EE3" w:rsidRDefault="00345EE3" w:rsidP="00345EE3">
      <w:pPr>
        <w:pStyle w:val="BodyText"/>
        <w:tabs>
          <w:tab w:val="left" w:pos="1000"/>
        </w:tabs>
        <w:spacing w:line="343" w:lineRule="auto"/>
        <w:ind w:left="150" w:right="5419"/>
      </w:pPr>
      <w:r>
        <w:rPr>
          <w:color w:val="231F20"/>
          <w:spacing w:val="-4"/>
        </w:rPr>
        <w:t>PALM</w:t>
      </w:r>
      <w:r>
        <w:rPr>
          <w:color w:val="231F20"/>
        </w:rPr>
        <w:tab/>
        <w:t>Property</w:t>
      </w:r>
      <w:r>
        <w:rPr>
          <w:color w:val="231F20"/>
          <w:spacing w:val="-15"/>
        </w:rPr>
        <w:t xml:space="preserve"> </w:t>
      </w:r>
      <w:r>
        <w:rPr>
          <w:color w:val="231F20"/>
        </w:rPr>
        <w:t>and</w:t>
      </w:r>
      <w:r>
        <w:rPr>
          <w:color w:val="231F20"/>
          <w:spacing w:val="-15"/>
        </w:rPr>
        <w:t xml:space="preserve"> </w:t>
      </w:r>
      <w:r>
        <w:rPr>
          <w:color w:val="231F20"/>
        </w:rPr>
        <w:t>Laboratory</w:t>
      </w:r>
      <w:r>
        <w:rPr>
          <w:color w:val="231F20"/>
          <w:spacing w:val="-15"/>
        </w:rPr>
        <w:t xml:space="preserve"> </w:t>
      </w:r>
      <w:r>
        <w:rPr>
          <w:color w:val="231F20"/>
        </w:rPr>
        <w:t xml:space="preserve">Management </w:t>
      </w:r>
      <w:r>
        <w:rPr>
          <w:color w:val="231F20"/>
          <w:spacing w:val="-4"/>
        </w:rPr>
        <w:t>PCO</w:t>
      </w:r>
      <w:r>
        <w:rPr>
          <w:color w:val="231F20"/>
        </w:rPr>
        <w:tab/>
        <w:t>Police Custody Officer</w:t>
      </w:r>
    </w:p>
    <w:p w14:paraId="241918B5" w14:textId="77777777" w:rsidR="00345EE3" w:rsidRDefault="00345EE3" w:rsidP="00345EE3">
      <w:pPr>
        <w:pStyle w:val="BodyText"/>
        <w:tabs>
          <w:tab w:val="left" w:pos="1000"/>
        </w:tabs>
        <w:spacing w:line="273" w:lineRule="exact"/>
        <w:ind w:left="150"/>
      </w:pPr>
      <w:r>
        <w:rPr>
          <w:color w:val="231F20"/>
          <w:spacing w:val="-5"/>
        </w:rPr>
        <w:t>PDC</w:t>
      </w:r>
      <w:r>
        <w:rPr>
          <w:color w:val="231F20"/>
        </w:rPr>
        <w:tab/>
      </w:r>
      <w:r>
        <w:rPr>
          <w:color w:val="231F20"/>
          <w:spacing w:val="-2"/>
        </w:rPr>
        <w:t>People</w:t>
      </w:r>
      <w:r>
        <w:rPr>
          <w:color w:val="231F20"/>
        </w:rPr>
        <w:t xml:space="preserve"> </w:t>
      </w:r>
      <w:r>
        <w:rPr>
          <w:color w:val="231F20"/>
          <w:spacing w:val="-2"/>
        </w:rPr>
        <w:t>Development</w:t>
      </w:r>
      <w:r>
        <w:rPr>
          <w:color w:val="231F20"/>
        </w:rPr>
        <w:t xml:space="preserve"> </w:t>
      </w:r>
      <w:r>
        <w:rPr>
          <w:color w:val="231F20"/>
          <w:spacing w:val="-2"/>
        </w:rPr>
        <w:t>Command</w:t>
      </w:r>
    </w:p>
    <w:p w14:paraId="71D5920C" w14:textId="77777777" w:rsidR="00345EE3" w:rsidRDefault="00345EE3" w:rsidP="00345EE3">
      <w:pPr>
        <w:pStyle w:val="BodyText"/>
        <w:tabs>
          <w:tab w:val="left" w:pos="1000"/>
        </w:tabs>
        <w:spacing w:before="113" w:line="343" w:lineRule="auto"/>
        <w:ind w:left="150" w:right="4699"/>
      </w:pPr>
      <w:r>
        <w:rPr>
          <w:color w:val="231F20"/>
        </w:rPr>
        <w:t>PEDSD</w:t>
      </w:r>
      <w:r>
        <w:rPr>
          <w:color w:val="231F20"/>
          <w:spacing w:val="-35"/>
        </w:rPr>
        <w:t xml:space="preserve"> </w:t>
      </w:r>
      <w:r>
        <w:rPr>
          <w:color w:val="231F20"/>
        </w:rPr>
        <w:t>Police</w:t>
      </w:r>
      <w:r>
        <w:rPr>
          <w:color w:val="231F20"/>
          <w:spacing w:val="-17"/>
        </w:rPr>
        <w:t xml:space="preserve"> </w:t>
      </w:r>
      <w:r>
        <w:rPr>
          <w:color w:val="231F20"/>
        </w:rPr>
        <w:t>Enquiry</w:t>
      </w:r>
      <w:r>
        <w:rPr>
          <w:color w:val="231F20"/>
          <w:spacing w:val="-13"/>
        </w:rPr>
        <w:t xml:space="preserve"> </w:t>
      </w:r>
      <w:r>
        <w:rPr>
          <w:color w:val="231F20"/>
        </w:rPr>
        <w:t>and</w:t>
      </w:r>
      <w:r>
        <w:rPr>
          <w:color w:val="231F20"/>
          <w:spacing w:val="-13"/>
        </w:rPr>
        <w:t xml:space="preserve"> </w:t>
      </w:r>
      <w:r>
        <w:rPr>
          <w:color w:val="231F20"/>
        </w:rPr>
        <w:t>Data</w:t>
      </w:r>
      <w:r>
        <w:rPr>
          <w:color w:val="231F20"/>
          <w:spacing w:val="-13"/>
        </w:rPr>
        <w:t xml:space="preserve"> </w:t>
      </w:r>
      <w:r>
        <w:rPr>
          <w:color w:val="231F20"/>
        </w:rPr>
        <w:t>Sharing</w:t>
      </w:r>
      <w:r>
        <w:rPr>
          <w:color w:val="231F20"/>
          <w:spacing w:val="-13"/>
        </w:rPr>
        <w:t xml:space="preserve"> </w:t>
      </w:r>
      <w:r>
        <w:rPr>
          <w:color w:val="231F20"/>
        </w:rPr>
        <w:t>Department PRIME</w:t>
      </w:r>
      <w:r>
        <w:rPr>
          <w:color w:val="231F20"/>
          <w:spacing w:val="40"/>
        </w:rPr>
        <w:t xml:space="preserve"> </w:t>
      </w:r>
      <w:r>
        <w:rPr>
          <w:color w:val="231F20"/>
        </w:rPr>
        <w:t xml:space="preserve">Police Responding in Mental Health Events </w:t>
      </w:r>
      <w:r>
        <w:rPr>
          <w:color w:val="231F20"/>
          <w:spacing w:val="-4"/>
        </w:rPr>
        <w:t>PRSB</w:t>
      </w:r>
      <w:r>
        <w:rPr>
          <w:color w:val="231F20"/>
        </w:rPr>
        <w:tab/>
        <w:t>Police Registration &amp; Services Board</w:t>
      </w:r>
    </w:p>
    <w:p w14:paraId="2950BC57" w14:textId="77777777" w:rsidR="00345EE3" w:rsidRDefault="00345EE3" w:rsidP="00345EE3">
      <w:pPr>
        <w:pStyle w:val="BodyText"/>
        <w:tabs>
          <w:tab w:val="left" w:pos="1000"/>
        </w:tabs>
        <w:spacing w:line="343" w:lineRule="auto"/>
        <w:ind w:left="150" w:right="5839"/>
      </w:pPr>
      <w:r>
        <w:rPr>
          <w:color w:val="231F20"/>
          <w:spacing w:val="-4"/>
        </w:rPr>
        <w:t>PSC</w:t>
      </w:r>
      <w:r>
        <w:rPr>
          <w:color w:val="231F20"/>
        </w:rPr>
        <w:tab/>
      </w:r>
      <w:r>
        <w:rPr>
          <w:color w:val="231F20"/>
          <w:spacing w:val="-2"/>
        </w:rPr>
        <w:t>Professional</w:t>
      </w:r>
      <w:r>
        <w:rPr>
          <w:color w:val="231F20"/>
          <w:spacing w:val="-5"/>
        </w:rPr>
        <w:t xml:space="preserve"> </w:t>
      </w:r>
      <w:r>
        <w:rPr>
          <w:color w:val="231F20"/>
          <w:spacing w:val="-2"/>
        </w:rPr>
        <w:t>Standards</w:t>
      </w:r>
      <w:r>
        <w:rPr>
          <w:color w:val="231F20"/>
          <w:spacing w:val="-5"/>
        </w:rPr>
        <w:t xml:space="preserve"> </w:t>
      </w:r>
      <w:r>
        <w:rPr>
          <w:color w:val="231F20"/>
          <w:spacing w:val="-2"/>
        </w:rPr>
        <w:t xml:space="preserve">Command </w:t>
      </w:r>
      <w:r>
        <w:rPr>
          <w:color w:val="231F20"/>
          <w:spacing w:val="-4"/>
        </w:rPr>
        <w:t>PSM</w:t>
      </w:r>
      <w:r>
        <w:rPr>
          <w:color w:val="231F20"/>
        </w:rPr>
        <w:tab/>
        <w:t>Public Service Medal</w:t>
      </w:r>
    </w:p>
    <w:p w14:paraId="19561153" w14:textId="77777777" w:rsidR="00345EE3" w:rsidRDefault="00345EE3" w:rsidP="00345EE3">
      <w:pPr>
        <w:pStyle w:val="BodyText"/>
        <w:tabs>
          <w:tab w:val="left" w:pos="1000"/>
        </w:tabs>
        <w:spacing w:line="273" w:lineRule="exact"/>
        <w:ind w:left="150"/>
      </w:pPr>
      <w:r>
        <w:rPr>
          <w:color w:val="231F20"/>
          <w:spacing w:val="-5"/>
        </w:rPr>
        <w:t>PSO</w:t>
      </w:r>
      <w:r>
        <w:rPr>
          <w:color w:val="231F20"/>
        </w:rPr>
        <w:tab/>
        <w:t>Protective</w:t>
      </w:r>
      <w:r>
        <w:rPr>
          <w:color w:val="231F20"/>
          <w:spacing w:val="-11"/>
        </w:rPr>
        <w:t xml:space="preserve"> </w:t>
      </w:r>
      <w:r>
        <w:rPr>
          <w:color w:val="231F20"/>
        </w:rPr>
        <w:t>Services</w:t>
      </w:r>
      <w:r>
        <w:rPr>
          <w:color w:val="231F20"/>
          <w:spacing w:val="-10"/>
        </w:rPr>
        <w:t xml:space="preserve"> </w:t>
      </w:r>
      <w:r>
        <w:rPr>
          <w:color w:val="231F20"/>
          <w:spacing w:val="-2"/>
        </w:rPr>
        <w:t>Officers</w:t>
      </w:r>
    </w:p>
    <w:p w14:paraId="15E36E14" w14:textId="77777777" w:rsidR="00345EE3" w:rsidRDefault="00345EE3" w:rsidP="00345EE3">
      <w:pPr>
        <w:pStyle w:val="BodyText"/>
        <w:tabs>
          <w:tab w:val="left" w:pos="1000"/>
        </w:tabs>
        <w:spacing w:before="114" w:line="343" w:lineRule="auto"/>
        <w:ind w:left="150" w:right="3017"/>
      </w:pPr>
      <w:r>
        <w:rPr>
          <w:color w:val="231F20"/>
        </w:rPr>
        <w:t>RCMPI Royal</w:t>
      </w:r>
      <w:r>
        <w:rPr>
          <w:color w:val="231F20"/>
          <w:spacing w:val="-13"/>
        </w:rPr>
        <w:t xml:space="preserve"> </w:t>
      </w:r>
      <w:r>
        <w:rPr>
          <w:color w:val="231F20"/>
        </w:rPr>
        <w:t>Commission</w:t>
      </w:r>
      <w:r>
        <w:rPr>
          <w:color w:val="231F20"/>
          <w:spacing w:val="-13"/>
        </w:rPr>
        <w:t xml:space="preserve"> </w:t>
      </w:r>
      <w:r>
        <w:rPr>
          <w:color w:val="231F20"/>
        </w:rPr>
        <w:t>into</w:t>
      </w:r>
      <w:r>
        <w:rPr>
          <w:color w:val="231F20"/>
          <w:spacing w:val="-13"/>
        </w:rPr>
        <w:t xml:space="preserve"> </w:t>
      </w:r>
      <w:r>
        <w:rPr>
          <w:color w:val="231F20"/>
        </w:rPr>
        <w:t>the</w:t>
      </w:r>
      <w:r>
        <w:rPr>
          <w:color w:val="231F20"/>
          <w:spacing w:val="-13"/>
        </w:rPr>
        <w:t xml:space="preserve"> </w:t>
      </w:r>
      <w:r>
        <w:rPr>
          <w:color w:val="231F20"/>
        </w:rPr>
        <w:t>Management</w:t>
      </w:r>
      <w:r>
        <w:rPr>
          <w:color w:val="231F20"/>
          <w:spacing w:val="-13"/>
        </w:rPr>
        <w:t xml:space="preserve"> </w:t>
      </w:r>
      <w:r>
        <w:rPr>
          <w:color w:val="231F20"/>
        </w:rPr>
        <w:t>of</w:t>
      </w:r>
      <w:r>
        <w:rPr>
          <w:color w:val="231F20"/>
          <w:spacing w:val="-13"/>
        </w:rPr>
        <w:t xml:space="preserve"> </w:t>
      </w:r>
      <w:r>
        <w:rPr>
          <w:color w:val="231F20"/>
        </w:rPr>
        <w:t>Police</w:t>
      </w:r>
      <w:r>
        <w:rPr>
          <w:color w:val="231F20"/>
          <w:spacing w:val="-13"/>
        </w:rPr>
        <w:t xml:space="preserve"> </w:t>
      </w:r>
      <w:r>
        <w:rPr>
          <w:color w:val="231F20"/>
        </w:rPr>
        <w:t xml:space="preserve">Informants </w:t>
      </w:r>
      <w:r>
        <w:rPr>
          <w:color w:val="231F20"/>
          <w:spacing w:val="-4"/>
        </w:rPr>
        <w:t>RDT</w:t>
      </w:r>
      <w:r>
        <w:rPr>
          <w:color w:val="231F20"/>
        </w:rPr>
        <w:tab/>
        <w:t>Roadside Drug Testing</w:t>
      </w:r>
    </w:p>
    <w:p w14:paraId="5102AF56" w14:textId="77777777" w:rsidR="00345EE3" w:rsidRDefault="00345EE3" w:rsidP="00345EE3">
      <w:pPr>
        <w:pStyle w:val="BodyText"/>
        <w:tabs>
          <w:tab w:val="left" w:pos="1000"/>
        </w:tabs>
        <w:spacing w:line="343" w:lineRule="auto"/>
        <w:ind w:left="150" w:right="6043"/>
      </w:pPr>
      <w:r>
        <w:rPr>
          <w:color w:val="231F20"/>
          <w:spacing w:val="-4"/>
        </w:rPr>
        <w:t>RoGS</w:t>
      </w:r>
      <w:r>
        <w:rPr>
          <w:color w:val="231F20"/>
        </w:rPr>
        <w:tab/>
        <w:t>Report</w:t>
      </w:r>
      <w:r>
        <w:rPr>
          <w:color w:val="231F20"/>
          <w:spacing w:val="-14"/>
        </w:rPr>
        <w:t xml:space="preserve"> </w:t>
      </w:r>
      <w:r>
        <w:rPr>
          <w:color w:val="231F20"/>
        </w:rPr>
        <w:t>on</w:t>
      </w:r>
      <w:r>
        <w:rPr>
          <w:color w:val="231F20"/>
          <w:spacing w:val="-14"/>
        </w:rPr>
        <w:t xml:space="preserve"> </w:t>
      </w:r>
      <w:r>
        <w:rPr>
          <w:color w:val="231F20"/>
        </w:rPr>
        <w:t>Government</w:t>
      </w:r>
      <w:r>
        <w:rPr>
          <w:color w:val="231F20"/>
          <w:spacing w:val="-14"/>
        </w:rPr>
        <w:t xml:space="preserve"> </w:t>
      </w:r>
      <w:r>
        <w:rPr>
          <w:color w:val="231F20"/>
        </w:rPr>
        <w:t xml:space="preserve">Services </w:t>
      </w:r>
      <w:r>
        <w:rPr>
          <w:color w:val="231F20"/>
          <w:spacing w:val="-6"/>
        </w:rPr>
        <w:t>RP</w:t>
      </w:r>
      <w:r>
        <w:rPr>
          <w:color w:val="231F20"/>
        </w:rPr>
        <w:tab/>
        <w:t>Reporting Period</w:t>
      </w:r>
    </w:p>
    <w:p w14:paraId="6F0D4750" w14:textId="77777777" w:rsidR="00345EE3" w:rsidRDefault="00345EE3" w:rsidP="00345EE3">
      <w:pPr>
        <w:pStyle w:val="BodyText"/>
        <w:spacing w:line="343" w:lineRule="auto"/>
        <w:ind w:left="150" w:right="6831"/>
        <w:jc w:val="both"/>
      </w:pPr>
      <w:r>
        <w:rPr>
          <w:color w:val="231F20"/>
        </w:rPr>
        <w:t>RPC</w:t>
      </w:r>
      <w:r>
        <w:rPr>
          <w:color w:val="231F20"/>
          <w:spacing w:val="80"/>
        </w:rPr>
        <w:t xml:space="preserve"> </w:t>
      </w:r>
      <w:r>
        <w:rPr>
          <w:color w:val="231F20"/>
        </w:rPr>
        <w:t>Road</w:t>
      </w:r>
      <w:r>
        <w:rPr>
          <w:color w:val="231F20"/>
          <w:spacing w:val="-8"/>
        </w:rPr>
        <w:t xml:space="preserve"> </w:t>
      </w:r>
      <w:r>
        <w:rPr>
          <w:color w:val="231F20"/>
        </w:rPr>
        <w:t>Policing</w:t>
      </w:r>
      <w:r>
        <w:rPr>
          <w:color w:val="231F20"/>
          <w:spacing w:val="-8"/>
        </w:rPr>
        <w:t xml:space="preserve"> </w:t>
      </w:r>
      <w:r>
        <w:rPr>
          <w:color w:val="231F20"/>
        </w:rPr>
        <w:t>Command RSO</w:t>
      </w:r>
      <w:r>
        <w:rPr>
          <w:color w:val="231F20"/>
          <w:spacing w:val="80"/>
        </w:rPr>
        <w:t xml:space="preserve"> </w:t>
      </w:r>
      <w:r>
        <w:rPr>
          <w:color w:val="231F20"/>
        </w:rPr>
        <w:t>Registered</w:t>
      </w:r>
      <w:r>
        <w:rPr>
          <w:color w:val="231F20"/>
          <w:spacing w:val="-7"/>
        </w:rPr>
        <w:t xml:space="preserve"> </w:t>
      </w:r>
      <w:r>
        <w:rPr>
          <w:color w:val="231F20"/>
        </w:rPr>
        <w:t>Sex</w:t>
      </w:r>
      <w:r>
        <w:rPr>
          <w:color w:val="231F20"/>
          <w:spacing w:val="-8"/>
        </w:rPr>
        <w:t xml:space="preserve"> </w:t>
      </w:r>
      <w:r>
        <w:rPr>
          <w:color w:val="231F20"/>
        </w:rPr>
        <w:t>Offender RTW</w:t>
      </w:r>
      <w:r>
        <w:rPr>
          <w:color w:val="231F20"/>
          <w:spacing w:val="40"/>
        </w:rPr>
        <w:t xml:space="preserve">  </w:t>
      </w:r>
      <w:r>
        <w:rPr>
          <w:color w:val="231F20"/>
        </w:rPr>
        <w:t>Return To Work</w:t>
      </w:r>
    </w:p>
    <w:p w14:paraId="6B75B66E" w14:textId="77777777" w:rsidR="00345EE3" w:rsidRDefault="00345EE3" w:rsidP="00345EE3">
      <w:pPr>
        <w:pStyle w:val="BodyText"/>
        <w:tabs>
          <w:tab w:val="left" w:pos="1000"/>
        </w:tabs>
        <w:spacing w:line="272" w:lineRule="exact"/>
        <w:ind w:left="150"/>
      </w:pPr>
      <w:r>
        <w:rPr>
          <w:color w:val="231F20"/>
          <w:spacing w:val="-5"/>
        </w:rPr>
        <w:t>SAM</w:t>
      </w:r>
      <w:r>
        <w:rPr>
          <w:color w:val="231F20"/>
        </w:rPr>
        <w:tab/>
        <w:t>Staff</w:t>
      </w:r>
      <w:r>
        <w:rPr>
          <w:color w:val="231F20"/>
          <w:spacing w:val="-3"/>
        </w:rPr>
        <w:t xml:space="preserve"> </w:t>
      </w:r>
      <w:r>
        <w:rPr>
          <w:color w:val="231F20"/>
        </w:rPr>
        <w:t>Allocation</w:t>
      </w:r>
      <w:r>
        <w:rPr>
          <w:color w:val="231F20"/>
          <w:spacing w:val="-3"/>
        </w:rPr>
        <w:t xml:space="preserve"> </w:t>
      </w:r>
      <w:r>
        <w:rPr>
          <w:color w:val="231F20"/>
          <w:spacing w:val="-4"/>
        </w:rPr>
        <w:t>Model</w:t>
      </w:r>
    </w:p>
    <w:p w14:paraId="1DE4893B" w14:textId="77777777" w:rsidR="00345EE3" w:rsidRDefault="00345EE3" w:rsidP="00345EE3">
      <w:pPr>
        <w:pStyle w:val="BodyText"/>
        <w:tabs>
          <w:tab w:val="left" w:pos="1000"/>
        </w:tabs>
        <w:spacing w:before="112" w:line="343" w:lineRule="auto"/>
        <w:ind w:left="150" w:right="5724"/>
      </w:pPr>
      <w:r>
        <w:rPr>
          <w:color w:val="231F20"/>
          <w:spacing w:val="-4"/>
        </w:rPr>
        <w:t>SBTP</w:t>
      </w:r>
      <w:r>
        <w:rPr>
          <w:color w:val="231F20"/>
        </w:rPr>
        <w:tab/>
      </w:r>
      <w:r>
        <w:rPr>
          <w:color w:val="231F20"/>
          <w:spacing w:val="-2"/>
        </w:rPr>
        <w:t>School</w:t>
      </w:r>
      <w:r>
        <w:rPr>
          <w:color w:val="231F20"/>
          <w:spacing w:val="-9"/>
        </w:rPr>
        <w:t xml:space="preserve"> </w:t>
      </w:r>
      <w:r>
        <w:rPr>
          <w:color w:val="231F20"/>
          <w:spacing w:val="-2"/>
        </w:rPr>
        <w:t>Based</w:t>
      </w:r>
      <w:r>
        <w:rPr>
          <w:color w:val="231F20"/>
          <w:spacing w:val="-9"/>
        </w:rPr>
        <w:t xml:space="preserve"> </w:t>
      </w:r>
      <w:r>
        <w:rPr>
          <w:color w:val="231F20"/>
          <w:spacing w:val="-2"/>
        </w:rPr>
        <w:t>Traineeship</w:t>
      </w:r>
      <w:r>
        <w:rPr>
          <w:color w:val="231F20"/>
          <w:spacing w:val="-9"/>
        </w:rPr>
        <w:t xml:space="preserve"> </w:t>
      </w:r>
      <w:r>
        <w:rPr>
          <w:color w:val="231F20"/>
          <w:spacing w:val="-2"/>
        </w:rPr>
        <w:t xml:space="preserve">Program </w:t>
      </w:r>
      <w:r>
        <w:rPr>
          <w:color w:val="231F20"/>
          <w:spacing w:val="-6"/>
        </w:rPr>
        <w:t>SD</w:t>
      </w:r>
      <w:r>
        <w:rPr>
          <w:color w:val="231F20"/>
        </w:rPr>
        <w:tab/>
        <w:t>Standing Directions</w:t>
      </w:r>
    </w:p>
    <w:p w14:paraId="63716C3B" w14:textId="77777777" w:rsidR="00345EE3" w:rsidRDefault="00345EE3" w:rsidP="00345EE3">
      <w:pPr>
        <w:pStyle w:val="BodyText"/>
        <w:tabs>
          <w:tab w:val="left" w:pos="1000"/>
        </w:tabs>
        <w:spacing w:line="343" w:lineRule="auto"/>
        <w:ind w:left="150" w:right="4911"/>
      </w:pPr>
      <w:r>
        <w:rPr>
          <w:color w:val="231F20"/>
          <w:spacing w:val="-4"/>
        </w:rPr>
        <w:t>SDTC</w:t>
      </w:r>
      <w:r>
        <w:rPr>
          <w:color w:val="231F20"/>
        </w:rPr>
        <w:tab/>
        <w:t>Service</w:t>
      </w:r>
      <w:r>
        <w:rPr>
          <w:color w:val="231F20"/>
          <w:spacing w:val="-19"/>
        </w:rPr>
        <w:t xml:space="preserve"> </w:t>
      </w:r>
      <w:r>
        <w:rPr>
          <w:color w:val="231F20"/>
        </w:rPr>
        <w:t>Delivery</w:t>
      </w:r>
      <w:r>
        <w:rPr>
          <w:color w:val="231F20"/>
          <w:spacing w:val="-17"/>
        </w:rPr>
        <w:t xml:space="preserve"> </w:t>
      </w:r>
      <w:r>
        <w:rPr>
          <w:color w:val="231F20"/>
        </w:rPr>
        <w:t>Transformation</w:t>
      </w:r>
      <w:r>
        <w:rPr>
          <w:color w:val="231F20"/>
          <w:spacing w:val="-16"/>
        </w:rPr>
        <w:t xml:space="preserve"> </w:t>
      </w:r>
      <w:r>
        <w:rPr>
          <w:color w:val="231F20"/>
        </w:rPr>
        <w:t xml:space="preserve">Command </w:t>
      </w:r>
      <w:r>
        <w:rPr>
          <w:color w:val="231F20"/>
          <w:spacing w:val="-4"/>
        </w:rPr>
        <w:t>SEM</w:t>
      </w:r>
      <w:r>
        <w:rPr>
          <w:color w:val="231F20"/>
        </w:rPr>
        <w:tab/>
        <w:t>Schools Engagement Model</w:t>
      </w:r>
    </w:p>
    <w:p w14:paraId="1151FE6F" w14:textId="77777777" w:rsidR="00345EE3" w:rsidRDefault="00345EE3" w:rsidP="00345EE3">
      <w:pPr>
        <w:pStyle w:val="BodyText"/>
        <w:tabs>
          <w:tab w:val="left" w:pos="1000"/>
        </w:tabs>
        <w:spacing w:line="343" w:lineRule="auto"/>
        <w:ind w:left="150" w:right="5100"/>
      </w:pPr>
      <w:r>
        <w:rPr>
          <w:color w:val="231F20"/>
          <w:spacing w:val="-4"/>
        </w:rPr>
        <w:t>SESC</w:t>
      </w:r>
      <w:r>
        <w:rPr>
          <w:color w:val="231F20"/>
        </w:rPr>
        <w:tab/>
        <w:t>State</w:t>
      </w:r>
      <w:r>
        <w:rPr>
          <w:color w:val="231F20"/>
          <w:spacing w:val="-15"/>
        </w:rPr>
        <w:t xml:space="preserve"> </w:t>
      </w:r>
      <w:r>
        <w:rPr>
          <w:color w:val="231F20"/>
        </w:rPr>
        <w:t>Emergency</w:t>
      </w:r>
      <w:r>
        <w:rPr>
          <w:color w:val="231F20"/>
          <w:spacing w:val="-15"/>
        </w:rPr>
        <w:t xml:space="preserve"> </w:t>
      </w:r>
      <w:r>
        <w:rPr>
          <w:color w:val="231F20"/>
        </w:rPr>
        <w:t>and</w:t>
      </w:r>
      <w:r>
        <w:rPr>
          <w:color w:val="231F20"/>
          <w:spacing w:val="-15"/>
        </w:rPr>
        <w:t xml:space="preserve"> </w:t>
      </w:r>
      <w:r>
        <w:rPr>
          <w:color w:val="231F20"/>
        </w:rPr>
        <w:t>Support</w:t>
      </w:r>
      <w:r>
        <w:rPr>
          <w:color w:val="231F20"/>
          <w:spacing w:val="-15"/>
        </w:rPr>
        <w:t xml:space="preserve"> </w:t>
      </w:r>
      <w:r>
        <w:rPr>
          <w:color w:val="231F20"/>
        </w:rPr>
        <w:t xml:space="preserve">Command </w:t>
      </w:r>
      <w:r>
        <w:rPr>
          <w:color w:val="231F20"/>
          <w:spacing w:val="-4"/>
        </w:rPr>
        <w:t>SMA</w:t>
      </w:r>
      <w:r>
        <w:rPr>
          <w:color w:val="231F20"/>
        </w:rPr>
        <w:tab/>
        <w:t>Senior Medical Advisor</w:t>
      </w:r>
    </w:p>
    <w:p w14:paraId="119AAA7D" w14:textId="77777777" w:rsidR="00345EE3" w:rsidRDefault="00345EE3" w:rsidP="00345EE3">
      <w:pPr>
        <w:pStyle w:val="BodyText"/>
        <w:tabs>
          <w:tab w:val="left" w:pos="1000"/>
        </w:tabs>
        <w:spacing w:line="343" w:lineRule="auto"/>
        <w:ind w:left="150" w:right="6542"/>
      </w:pPr>
      <w:r>
        <w:rPr>
          <w:color w:val="231F20"/>
          <w:spacing w:val="-4"/>
        </w:rPr>
        <w:t>SME</w:t>
      </w:r>
      <w:r>
        <w:rPr>
          <w:color w:val="231F20"/>
        </w:rPr>
        <w:tab/>
        <w:t>Small</w:t>
      </w:r>
      <w:r>
        <w:rPr>
          <w:color w:val="231F20"/>
          <w:spacing w:val="-19"/>
        </w:rPr>
        <w:t xml:space="preserve"> </w:t>
      </w:r>
      <w:r>
        <w:rPr>
          <w:color w:val="231F20"/>
        </w:rPr>
        <w:t>to</w:t>
      </w:r>
      <w:r>
        <w:rPr>
          <w:color w:val="231F20"/>
          <w:spacing w:val="-17"/>
        </w:rPr>
        <w:t xml:space="preserve"> </w:t>
      </w:r>
      <w:r>
        <w:rPr>
          <w:color w:val="231F20"/>
        </w:rPr>
        <w:t>Medium</w:t>
      </w:r>
      <w:r>
        <w:rPr>
          <w:color w:val="231F20"/>
          <w:spacing w:val="-16"/>
        </w:rPr>
        <w:t xml:space="preserve"> </w:t>
      </w:r>
      <w:r>
        <w:rPr>
          <w:color w:val="231F20"/>
        </w:rPr>
        <w:t xml:space="preserve">Enterprise </w:t>
      </w:r>
      <w:r>
        <w:rPr>
          <w:color w:val="231F20"/>
          <w:spacing w:val="-4"/>
        </w:rPr>
        <w:t>SMR</w:t>
      </w:r>
      <w:r>
        <w:rPr>
          <w:color w:val="231F20"/>
        </w:rPr>
        <w:tab/>
        <w:t>Southern Metro Region</w:t>
      </w:r>
    </w:p>
    <w:p w14:paraId="758B3FCB" w14:textId="77777777" w:rsidR="00345EE3" w:rsidRDefault="00345EE3" w:rsidP="00345EE3">
      <w:pPr>
        <w:pStyle w:val="BodyText"/>
        <w:tabs>
          <w:tab w:val="left" w:pos="1000"/>
        </w:tabs>
        <w:spacing w:line="343" w:lineRule="auto"/>
        <w:ind w:left="150" w:right="5794"/>
      </w:pPr>
      <w:r>
        <w:rPr>
          <w:color w:val="231F20"/>
        </w:rPr>
        <w:t>SPOC</w:t>
      </w:r>
      <w:r>
        <w:rPr>
          <w:color w:val="231F20"/>
          <w:spacing w:val="76"/>
        </w:rPr>
        <w:t xml:space="preserve"> </w:t>
      </w:r>
      <w:r>
        <w:rPr>
          <w:color w:val="231F20"/>
        </w:rPr>
        <w:t>State</w:t>
      </w:r>
      <w:r>
        <w:rPr>
          <w:color w:val="231F20"/>
          <w:spacing w:val="-12"/>
        </w:rPr>
        <w:t xml:space="preserve"> </w:t>
      </w:r>
      <w:r>
        <w:rPr>
          <w:color w:val="231F20"/>
        </w:rPr>
        <w:t>Police</w:t>
      </w:r>
      <w:r>
        <w:rPr>
          <w:color w:val="231F20"/>
          <w:spacing w:val="-12"/>
        </w:rPr>
        <w:t xml:space="preserve"> </w:t>
      </w:r>
      <w:r>
        <w:rPr>
          <w:color w:val="231F20"/>
        </w:rPr>
        <w:t>Operations</w:t>
      </w:r>
      <w:r>
        <w:rPr>
          <w:color w:val="231F20"/>
          <w:spacing w:val="-11"/>
        </w:rPr>
        <w:t xml:space="preserve"> </w:t>
      </w:r>
      <w:r>
        <w:rPr>
          <w:color w:val="231F20"/>
        </w:rPr>
        <w:t xml:space="preserve">Command </w:t>
      </w:r>
      <w:r>
        <w:rPr>
          <w:color w:val="231F20"/>
          <w:spacing w:val="-4"/>
        </w:rPr>
        <w:t>STS</w:t>
      </w:r>
      <w:r>
        <w:rPr>
          <w:color w:val="231F20"/>
        </w:rPr>
        <w:tab/>
        <w:t>Senior Technical Specialist</w:t>
      </w:r>
    </w:p>
    <w:p w14:paraId="7A1B4C66" w14:textId="77777777" w:rsidR="00345EE3" w:rsidRDefault="00345EE3" w:rsidP="00345EE3">
      <w:pPr>
        <w:pStyle w:val="BodyText"/>
        <w:spacing w:line="273" w:lineRule="exact"/>
        <w:ind w:left="150"/>
        <w:jc w:val="both"/>
      </w:pPr>
      <w:r>
        <w:rPr>
          <w:color w:val="231F20"/>
        </w:rPr>
        <w:t>SvDP</w:t>
      </w:r>
      <w:r>
        <w:rPr>
          <w:color w:val="231F20"/>
          <w:spacing w:val="48"/>
        </w:rPr>
        <w:t xml:space="preserve">  </w:t>
      </w:r>
      <w:r>
        <w:rPr>
          <w:color w:val="231F20"/>
        </w:rPr>
        <w:t>St</w:t>
      </w:r>
      <w:r>
        <w:rPr>
          <w:color w:val="231F20"/>
          <w:spacing w:val="-2"/>
        </w:rPr>
        <w:t xml:space="preserve"> </w:t>
      </w:r>
      <w:r>
        <w:rPr>
          <w:color w:val="231F20"/>
        </w:rPr>
        <w:t>Vincent</w:t>
      </w:r>
      <w:r>
        <w:rPr>
          <w:color w:val="231F20"/>
          <w:spacing w:val="-2"/>
        </w:rPr>
        <w:t xml:space="preserve"> </w:t>
      </w:r>
      <w:r>
        <w:rPr>
          <w:color w:val="231F20"/>
        </w:rPr>
        <w:t>de</w:t>
      </w:r>
      <w:r>
        <w:rPr>
          <w:color w:val="231F20"/>
          <w:spacing w:val="-3"/>
        </w:rPr>
        <w:t xml:space="preserve"> </w:t>
      </w:r>
      <w:r>
        <w:rPr>
          <w:color w:val="231F20"/>
          <w:spacing w:val="-4"/>
        </w:rPr>
        <w:t>Paul</w:t>
      </w:r>
    </w:p>
    <w:p w14:paraId="044ED66D" w14:textId="77777777" w:rsidR="00345EE3" w:rsidRDefault="00345EE3" w:rsidP="00345EE3">
      <w:pPr>
        <w:pStyle w:val="BodyText"/>
        <w:tabs>
          <w:tab w:val="left" w:pos="1000"/>
        </w:tabs>
        <w:spacing w:before="107" w:line="343" w:lineRule="auto"/>
        <w:ind w:left="150" w:right="6095"/>
      </w:pPr>
      <w:r>
        <w:rPr>
          <w:color w:val="231F20"/>
          <w:spacing w:val="-4"/>
        </w:rPr>
        <w:t>TAC</w:t>
      </w:r>
      <w:r>
        <w:rPr>
          <w:color w:val="231F20"/>
        </w:rPr>
        <w:tab/>
      </w:r>
      <w:r>
        <w:rPr>
          <w:color w:val="231F20"/>
          <w:spacing w:val="-2"/>
        </w:rPr>
        <w:t>Transport</w:t>
      </w:r>
      <w:r>
        <w:rPr>
          <w:color w:val="231F20"/>
          <w:spacing w:val="-7"/>
        </w:rPr>
        <w:t xml:space="preserve"> </w:t>
      </w:r>
      <w:r>
        <w:rPr>
          <w:color w:val="231F20"/>
          <w:spacing w:val="-2"/>
        </w:rPr>
        <w:t>Accident</w:t>
      </w:r>
      <w:r>
        <w:rPr>
          <w:color w:val="231F20"/>
          <w:spacing w:val="-7"/>
        </w:rPr>
        <w:t xml:space="preserve"> </w:t>
      </w:r>
      <w:r>
        <w:rPr>
          <w:color w:val="231F20"/>
          <w:spacing w:val="-2"/>
        </w:rPr>
        <w:t xml:space="preserve">Commission </w:t>
      </w:r>
      <w:r>
        <w:rPr>
          <w:color w:val="231F20"/>
          <w:spacing w:val="-4"/>
        </w:rPr>
        <w:t>UTAS</w:t>
      </w:r>
      <w:r>
        <w:rPr>
          <w:color w:val="231F20"/>
        </w:rPr>
        <w:tab/>
        <w:t>University of Tasmania</w:t>
      </w:r>
    </w:p>
    <w:p w14:paraId="5F84C054" w14:textId="77777777" w:rsidR="00345EE3" w:rsidRDefault="00345EE3" w:rsidP="00345EE3">
      <w:pPr>
        <w:pStyle w:val="BodyText"/>
        <w:spacing w:line="273" w:lineRule="exact"/>
        <w:ind w:left="150"/>
      </w:pPr>
      <w:r>
        <w:rPr>
          <w:color w:val="231F20"/>
        </w:rPr>
        <w:t>VAGO</w:t>
      </w:r>
      <w:r>
        <w:rPr>
          <w:color w:val="231F20"/>
          <w:spacing w:val="69"/>
        </w:rPr>
        <w:t xml:space="preserve"> </w:t>
      </w:r>
      <w:r>
        <w:rPr>
          <w:color w:val="231F20"/>
        </w:rPr>
        <w:t>Victorian</w:t>
      </w:r>
      <w:r>
        <w:rPr>
          <w:color w:val="231F20"/>
          <w:spacing w:val="-16"/>
        </w:rPr>
        <w:t xml:space="preserve"> </w:t>
      </w:r>
      <w:r>
        <w:rPr>
          <w:color w:val="231F20"/>
        </w:rPr>
        <w:t>Auditor-General’s</w:t>
      </w:r>
      <w:r>
        <w:rPr>
          <w:color w:val="231F20"/>
          <w:spacing w:val="-15"/>
        </w:rPr>
        <w:t xml:space="preserve"> </w:t>
      </w:r>
      <w:r>
        <w:rPr>
          <w:color w:val="231F20"/>
          <w:spacing w:val="-2"/>
        </w:rPr>
        <w:t>Office</w:t>
      </w:r>
    </w:p>
    <w:p w14:paraId="02D34138" w14:textId="77777777" w:rsidR="00345EE3" w:rsidRDefault="00345EE3" w:rsidP="00345EE3">
      <w:pPr>
        <w:pStyle w:val="BodyText"/>
        <w:tabs>
          <w:tab w:val="left" w:pos="1000"/>
        </w:tabs>
        <w:spacing w:before="118"/>
        <w:ind w:left="150"/>
      </w:pPr>
      <w:r>
        <w:rPr>
          <w:color w:val="231F20"/>
          <w:spacing w:val="-4"/>
        </w:rPr>
        <w:t>VCAT</w:t>
      </w:r>
      <w:r>
        <w:rPr>
          <w:color w:val="231F20"/>
        </w:rPr>
        <w:tab/>
        <w:t>Victorian</w:t>
      </w:r>
      <w:r>
        <w:rPr>
          <w:color w:val="231F20"/>
          <w:spacing w:val="-16"/>
        </w:rPr>
        <w:t xml:space="preserve"> </w:t>
      </w:r>
      <w:r>
        <w:rPr>
          <w:color w:val="231F20"/>
        </w:rPr>
        <w:t>Civil</w:t>
      </w:r>
      <w:r>
        <w:rPr>
          <w:color w:val="231F20"/>
          <w:spacing w:val="-13"/>
        </w:rPr>
        <w:t xml:space="preserve"> </w:t>
      </w:r>
      <w:r>
        <w:rPr>
          <w:color w:val="231F20"/>
        </w:rPr>
        <w:t>and</w:t>
      </w:r>
      <w:r>
        <w:rPr>
          <w:color w:val="231F20"/>
          <w:spacing w:val="-13"/>
        </w:rPr>
        <w:t xml:space="preserve"> </w:t>
      </w:r>
      <w:r>
        <w:rPr>
          <w:color w:val="231F20"/>
        </w:rPr>
        <w:t>Administrative</w:t>
      </w:r>
      <w:r>
        <w:rPr>
          <w:color w:val="231F20"/>
          <w:spacing w:val="-13"/>
        </w:rPr>
        <w:t xml:space="preserve"> </w:t>
      </w:r>
      <w:r>
        <w:rPr>
          <w:color w:val="231F20"/>
          <w:spacing w:val="-2"/>
        </w:rPr>
        <w:t>Tribunal</w:t>
      </w:r>
    </w:p>
    <w:p w14:paraId="7D79A7A1" w14:textId="77777777" w:rsidR="00345EE3" w:rsidRDefault="00345EE3" w:rsidP="00345EE3">
      <w:pPr>
        <w:pStyle w:val="BodyText"/>
        <w:tabs>
          <w:tab w:val="left" w:pos="1000"/>
          <w:tab w:val="left" w:pos="1590"/>
        </w:tabs>
        <w:spacing w:before="117" w:line="343" w:lineRule="auto"/>
        <w:ind w:left="150" w:right="3337"/>
      </w:pPr>
      <w:r>
        <w:rPr>
          <w:color w:val="231F20"/>
          <w:spacing w:val="-2"/>
        </w:rPr>
        <w:t>VGRMF</w:t>
      </w:r>
      <w:r>
        <w:rPr>
          <w:color w:val="231F20"/>
        </w:rPr>
        <w:tab/>
        <w:t>Victorian</w:t>
      </w:r>
      <w:r>
        <w:rPr>
          <w:color w:val="231F20"/>
          <w:spacing w:val="-17"/>
        </w:rPr>
        <w:t xml:space="preserve"> </w:t>
      </w:r>
      <w:r>
        <w:rPr>
          <w:color w:val="231F20"/>
        </w:rPr>
        <w:t>Government</w:t>
      </w:r>
      <w:r>
        <w:rPr>
          <w:color w:val="231F20"/>
          <w:spacing w:val="-17"/>
        </w:rPr>
        <w:t xml:space="preserve"> </w:t>
      </w:r>
      <w:r>
        <w:rPr>
          <w:color w:val="231F20"/>
        </w:rPr>
        <w:t>Risk</w:t>
      </w:r>
      <w:r>
        <w:rPr>
          <w:color w:val="231F20"/>
          <w:spacing w:val="-16"/>
        </w:rPr>
        <w:t xml:space="preserve"> </w:t>
      </w:r>
      <w:r>
        <w:rPr>
          <w:color w:val="231F20"/>
        </w:rPr>
        <w:t>Management</w:t>
      </w:r>
      <w:r>
        <w:rPr>
          <w:color w:val="231F20"/>
          <w:spacing w:val="-17"/>
        </w:rPr>
        <w:t xml:space="preserve"> </w:t>
      </w:r>
      <w:r>
        <w:rPr>
          <w:color w:val="231F20"/>
        </w:rPr>
        <w:t xml:space="preserve">Framework </w:t>
      </w:r>
      <w:r>
        <w:rPr>
          <w:color w:val="231F20"/>
          <w:spacing w:val="-4"/>
        </w:rPr>
        <w:t>VIPP</w:t>
      </w:r>
      <w:r>
        <w:rPr>
          <w:color w:val="231F20"/>
        </w:rPr>
        <w:tab/>
        <w:t>Victorian Industry Participation Policy</w:t>
      </w:r>
    </w:p>
    <w:p w14:paraId="3F20C4BA" w14:textId="77777777" w:rsidR="00345EE3" w:rsidRDefault="00345EE3" w:rsidP="00345EE3">
      <w:pPr>
        <w:pStyle w:val="BodyText"/>
        <w:tabs>
          <w:tab w:val="left" w:pos="1000"/>
        </w:tabs>
        <w:spacing w:line="273" w:lineRule="exact"/>
        <w:ind w:left="150"/>
      </w:pPr>
      <w:r>
        <w:rPr>
          <w:color w:val="231F20"/>
          <w:spacing w:val="-5"/>
        </w:rPr>
        <w:t>VPC</w:t>
      </w:r>
      <w:r>
        <w:rPr>
          <w:color w:val="231F20"/>
        </w:rPr>
        <w:tab/>
        <w:t>Victoria</w:t>
      </w:r>
      <w:r>
        <w:rPr>
          <w:color w:val="231F20"/>
          <w:spacing w:val="-8"/>
        </w:rPr>
        <w:t xml:space="preserve"> </w:t>
      </w:r>
      <w:r>
        <w:rPr>
          <w:color w:val="231F20"/>
        </w:rPr>
        <w:t>Police</w:t>
      </w:r>
      <w:r>
        <w:rPr>
          <w:color w:val="231F20"/>
          <w:spacing w:val="-7"/>
        </w:rPr>
        <w:t xml:space="preserve"> </w:t>
      </w:r>
      <w:r>
        <w:rPr>
          <w:color w:val="231F20"/>
          <w:spacing w:val="-2"/>
        </w:rPr>
        <w:t>Centre</w:t>
      </w:r>
    </w:p>
    <w:p w14:paraId="6727DA13" w14:textId="77777777" w:rsidR="00345EE3" w:rsidRDefault="00345EE3" w:rsidP="00345EE3">
      <w:pPr>
        <w:pStyle w:val="BodyText"/>
        <w:tabs>
          <w:tab w:val="left" w:pos="1000"/>
        </w:tabs>
        <w:spacing w:before="117"/>
        <w:ind w:left="150"/>
      </w:pPr>
      <w:r>
        <w:rPr>
          <w:color w:val="231F20"/>
          <w:spacing w:val="-4"/>
        </w:rPr>
        <w:t>VPFB</w:t>
      </w:r>
      <w:r>
        <w:rPr>
          <w:color w:val="231F20"/>
        </w:rPr>
        <w:tab/>
        <w:t>Victoria</w:t>
      </w:r>
      <w:r>
        <w:rPr>
          <w:color w:val="231F20"/>
          <w:spacing w:val="-10"/>
        </w:rPr>
        <w:t xml:space="preserve"> </w:t>
      </w:r>
      <w:r>
        <w:rPr>
          <w:color w:val="231F20"/>
        </w:rPr>
        <w:t>Police</w:t>
      </w:r>
      <w:r>
        <w:rPr>
          <w:color w:val="231F20"/>
          <w:spacing w:val="-9"/>
        </w:rPr>
        <w:t xml:space="preserve"> </w:t>
      </w:r>
      <w:r>
        <w:rPr>
          <w:color w:val="231F20"/>
        </w:rPr>
        <w:t>Finance</w:t>
      </w:r>
      <w:r>
        <w:rPr>
          <w:color w:val="231F20"/>
          <w:spacing w:val="-9"/>
        </w:rPr>
        <w:t xml:space="preserve"> </w:t>
      </w:r>
      <w:r>
        <w:rPr>
          <w:color w:val="231F20"/>
          <w:spacing w:val="-4"/>
        </w:rPr>
        <w:t>Board</w:t>
      </w:r>
    </w:p>
    <w:p w14:paraId="7EE6082E" w14:textId="77777777" w:rsidR="00345EE3" w:rsidRDefault="00345EE3" w:rsidP="00345EE3">
      <w:pPr>
        <w:pStyle w:val="BodyText"/>
        <w:tabs>
          <w:tab w:val="left" w:pos="1000"/>
        </w:tabs>
        <w:spacing w:before="62" w:line="343" w:lineRule="auto"/>
        <w:ind w:left="150" w:right="4716"/>
      </w:pPr>
      <w:r>
        <w:rPr>
          <w:color w:val="231F20"/>
        </w:rPr>
        <w:t>VPRMFVictoria</w:t>
      </w:r>
      <w:r>
        <w:rPr>
          <w:color w:val="231F20"/>
          <w:spacing w:val="-17"/>
        </w:rPr>
        <w:t xml:space="preserve"> </w:t>
      </w:r>
      <w:r>
        <w:rPr>
          <w:color w:val="231F20"/>
        </w:rPr>
        <w:t>Police</w:t>
      </w:r>
      <w:r>
        <w:rPr>
          <w:color w:val="231F20"/>
          <w:spacing w:val="-16"/>
        </w:rPr>
        <w:t xml:space="preserve"> </w:t>
      </w:r>
      <w:r>
        <w:rPr>
          <w:color w:val="231F20"/>
        </w:rPr>
        <w:t>Risk</w:t>
      </w:r>
      <w:r>
        <w:rPr>
          <w:color w:val="231F20"/>
          <w:spacing w:val="-17"/>
        </w:rPr>
        <w:t xml:space="preserve"> </w:t>
      </w:r>
      <w:r>
        <w:rPr>
          <w:color w:val="231F20"/>
        </w:rPr>
        <w:t>Management</w:t>
      </w:r>
      <w:r>
        <w:rPr>
          <w:color w:val="231F20"/>
          <w:spacing w:val="-16"/>
        </w:rPr>
        <w:t xml:space="preserve"> </w:t>
      </w:r>
      <w:r>
        <w:rPr>
          <w:color w:val="231F20"/>
        </w:rPr>
        <w:t xml:space="preserve">Framework </w:t>
      </w:r>
      <w:r>
        <w:rPr>
          <w:color w:val="231F20"/>
          <w:spacing w:val="-4"/>
        </w:rPr>
        <w:t>VPS</w:t>
      </w:r>
      <w:r>
        <w:rPr>
          <w:color w:val="231F20"/>
        </w:rPr>
        <w:tab/>
        <w:t>Victorian Public Service</w:t>
      </w:r>
    </w:p>
    <w:p w14:paraId="59D4C186" w14:textId="77777777" w:rsidR="00345EE3" w:rsidRDefault="00345EE3" w:rsidP="00345EE3">
      <w:pPr>
        <w:pStyle w:val="BodyText"/>
        <w:tabs>
          <w:tab w:val="left" w:pos="1000"/>
        </w:tabs>
        <w:spacing w:line="273" w:lineRule="exact"/>
        <w:ind w:left="150"/>
      </w:pPr>
      <w:r>
        <w:rPr>
          <w:color w:val="231F20"/>
          <w:spacing w:val="-5"/>
        </w:rPr>
        <w:t>WR</w:t>
      </w:r>
      <w:r>
        <w:rPr>
          <w:color w:val="231F20"/>
        </w:rPr>
        <w:tab/>
        <w:t>Western</w:t>
      </w:r>
      <w:r>
        <w:rPr>
          <w:color w:val="231F20"/>
          <w:spacing w:val="-15"/>
        </w:rPr>
        <w:t xml:space="preserve"> </w:t>
      </w:r>
      <w:r>
        <w:rPr>
          <w:color w:val="231F20"/>
          <w:spacing w:val="-2"/>
        </w:rPr>
        <w:t>Region</w:t>
      </w:r>
    </w:p>
    <w:p w14:paraId="52111269" w14:textId="77777777" w:rsidR="00345EE3" w:rsidRDefault="00345EE3" w:rsidP="00345EE3">
      <w:pPr>
        <w:spacing w:before="216"/>
        <w:ind w:left="150"/>
        <w:rPr>
          <w:sz w:val="32"/>
        </w:rPr>
      </w:pPr>
      <w:r>
        <w:rPr>
          <w:color w:val="231F20"/>
          <w:sz w:val="32"/>
        </w:rPr>
        <w:t>Contact</w:t>
      </w:r>
      <w:r>
        <w:rPr>
          <w:color w:val="231F20"/>
          <w:spacing w:val="-12"/>
          <w:sz w:val="32"/>
        </w:rPr>
        <w:t xml:space="preserve"> </w:t>
      </w:r>
      <w:r>
        <w:rPr>
          <w:color w:val="231F20"/>
          <w:spacing w:val="-2"/>
          <w:sz w:val="32"/>
        </w:rPr>
        <w:t>Details</w:t>
      </w:r>
    </w:p>
    <w:p w14:paraId="73FC3316" w14:textId="77777777" w:rsidR="00345EE3" w:rsidRDefault="00345EE3" w:rsidP="00345EE3">
      <w:pPr>
        <w:pStyle w:val="BodyText"/>
        <w:spacing w:before="72" w:line="242" w:lineRule="auto"/>
        <w:ind w:left="150" w:right="7719"/>
      </w:pPr>
      <w:r>
        <w:rPr>
          <w:color w:val="231F20"/>
        </w:rPr>
        <w:t>Victoria</w:t>
      </w:r>
      <w:r>
        <w:rPr>
          <w:color w:val="231F20"/>
          <w:spacing w:val="-17"/>
        </w:rPr>
        <w:t xml:space="preserve"> </w:t>
      </w:r>
      <w:r>
        <w:rPr>
          <w:color w:val="231F20"/>
        </w:rPr>
        <w:t>Police</w:t>
      </w:r>
      <w:r>
        <w:rPr>
          <w:color w:val="231F20"/>
          <w:spacing w:val="-17"/>
        </w:rPr>
        <w:t xml:space="preserve"> </w:t>
      </w:r>
      <w:r>
        <w:rPr>
          <w:color w:val="231F20"/>
        </w:rPr>
        <w:t>Centre PO Box 913</w:t>
      </w:r>
    </w:p>
    <w:p w14:paraId="2D40D73E" w14:textId="77777777" w:rsidR="00345EE3" w:rsidRDefault="00345EE3" w:rsidP="00345EE3">
      <w:pPr>
        <w:pStyle w:val="BodyText"/>
        <w:spacing w:before="3"/>
        <w:ind w:left="150"/>
      </w:pPr>
      <w:r>
        <w:rPr>
          <w:color w:val="231F20"/>
        </w:rPr>
        <w:t>Melbourne</w:t>
      </w:r>
      <w:r>
        <w:rPr>
          <w:color w:val="231F20"/>
          <w:spacing w:val="-8"/>
        </w:rPr>
        <w:t xml:space="preserve"> </w:t>
      </w:r>
      <w:r>
        <w:rPr>
          <w:color w:val="231F20"/>
        </w:rPr>
        <w:t>VIC</w:t>
      </w:r>
      <w:r>
        <w:rPr>
          <w:color w:val="231F20"/>
          <w:spacing w:val="-6"/>
        </w:rPr>
        <w:t xml:space="preserve"> </w:t>
      </w:r>
      <w:r>
        <w:rPr>
          <w:color w:val="231F20"/>
          <w:spacing w:val="-4"/>
        </w:rPr>
        <w:t>3000</w:t>
      </w:r>
    </w:p>
    <w:p w14:paraId="2B8E2FEE" w14:textId="77777777" w:rsidR="00345EE3" w:rsidRDefault="004D1B9F" w:rsidP="00345EE3">
      <w:pPr>
        <w:spacing w:before="4"/>
        <w:ind w:left="150"/>
        <w:rPr>
          <w:b/>
          <w:sz w:val="24"/>
        </w:rPr>
      </w:pPr>
      <w:hyperlink r:id="rId45">
        <w:r w:rsidR="00345EE3">
          <w:rPr>
            <w:b/>
            <w:color w:val="00529F"/>
            <w:spacing w:val="-2"/>
            <w:sz w:val="24"/>
            <w:u w:val="single" w:color="00529F"/>
          </w:rPr>
          <w:t>police.vic.gov.au</w:t>
        </w:r>
      </w:hyperlink>
    </w:p>
    <w:p w14:paraId="08D17F1A" w14:textId="77777777" w:rsidR="00345EE3" w:rsidRDefault="00345EE3" w:rsidP="00345EE3">
      <w:pPr>
        <w:pStyle w:val="Heading5"/>
        <w:spacing w:before="117"/>
        <w:ind w:left="150"/>
      </w:pPr>
      <w:r>
        <w:rPr>
          <w:color w:val="231F20"/>
        </w:rPr>
        <w:t>Police</w:t>
      </w:r>
      <w:r>
        <w:rPr>
          <w:color w:val="231F20"/>
          <w:spacing w:val="-8"/>
        </w:rPr>
        <w:t xml:space="preserve"> </w:t>
      </w:r>
      <w:r>
        <w:rPr>
          <w:color w:val="231F20"/>
        </w:rPr>
        <w:t>Assistance</w:t>
      </w:r>
      <w:r>
        <w:rPr>
          <w:color w:val="231F20"/>
          <w:spacing w:val="-5"/>
        </w:rPr>
        <w:t xml:space="preserve"> </w:t>
      </w:r>
      <w:r>
        <w:rPr>
          <w:color w:val="231F20"/>
          <w:spacing w:val="-4"/>
        </w:rPr>
        <w:t>Line</w:t>
      </w:r>
    </w:p>
    <w:p w14:paraId="6805C06A" w14:textId="77777777" w:rsidR="00345EE3" w:rsidRDefault="00345EE3" w:rsidP="00345EE3">
      <w:pPr>
        <w:pStyle w:val="BodyText"/>
        <w:spacing w:before="4" w:line="242" w:lineRule="auto"/>
        <w:ind w:left="150" w:right="5864"/>
      </w:pPr>
      <w:r>
        <w:rPr>
          <w:color w:val="231F20"/>
        </w:rPr>
        <w:t>(to</w:t>
      </w:r>
      <w:r>
        <w:rPr>
          <w:color w:val="231F20"/>
          <w:spacing w:val="-17"/>
        </w:rPr>
        <w:t xml:space="preserve"> </w:t>
      </w:r>
      <w:r>
        <w:rPr>
          <w:color w:val="231F20"/>
        </w:rPr>
        <w:t>report</w:t>
      </w:r>
      <w:r>
        <w:rPr>
          <w:color w:val="231F20"/>
          <w:spacing w:val="-17"/>
        </w:rPr>
        <w:t xml:space="preserve"> </w:t>
      </w:r>
      <w:r>
        <w:rPr>
          <w:color w:val="231F20"/>
        </w:rPr>
        <w:t>non-urgent</w:t>
      </w:r>
      <w:r>
        <w:rPr>
          <w:color w:val="231F20"/>
          <w:spacing w:val="-16"/>
        </w:rPr>
        <w:t xml:space="preserve"> </w:t>
      </w:r>
      <w:r>
        <w:rPr>
          <w:color w:val="231F20"/>
        </w:rPr>
        <w:t>crimes</w:t>
      </w:r>
      <w:r>
        <w:rPr>
          <w:color w:val="231F20"/>
          <w:spacing w:val="-17"/>
        </w:rPr>
        <w:t xml:space="preserve"> </w:t>
      </w:r>
      <w:r>
        <w:rPr>
          <w:color w:val="231F20"/>
        </w:rPr>
        <w:t>or</w:t>
      </w:r>
      <w:r>
        <w:rPr>
          <w:color w:val="231F20"/>
          <w:spacing w:val="-16"/>
        </w:rPr>
        <w:t xml:space="preserve"> </w:t>
      </w:r>
      <w:r>
        <w:rPr>
          <w:color w:val="231F20"/>
        </w:rPr>
        <w:t>events): 131 444</w:t>
      </w:r>
    </w:p>
    <w:p w14:paraId="3FB396A6" w14:textId="77777777" w:rsidR="00345EE3" w:rsidRDefault="00345EE3" w:rsidP="00345EE3">
      <w:pPr>
        <w:pStyle w:val="Heading5"/>
        <w:spacing w:before="116"/>
        <w:ind w:left="150"/>
      </w:pPr>
      <w:r>
        <w:rPr>
          <w:color w:val="231F20"/>
        </w:rPr>
        <w:t>Online</w:t>
      </w:r>
      <w:r>
        <w:rPr>
          <w:color w:val="231F20"/>
          <w:spacing w:val="-2"/>
        </w:rPr>
        <w:t xml:space="preserve"> Reporting</w:t>
      </w:r>
    </w:p>
    <w:p w14:paraId="67A7269C" w14:textId="77777777" w:rsidR="00345EE3" w:rsidRDefault="00345EE3" w:rsidP="00345EE3">
      <w:pPr>
        <w:pStyle w:val="BodyText"/>
        <w:spacing w:before="4"/>
        <w:ind w:left="150"/>
      </w:pPr>
      <w:r>
        <w:rPr>
          <w:color w:val="231F20"/>
        </w:rPr>
        <w:t>(an</w:t>
      </w:r>
      <w:r>
        <w:rPr>
          <w:color w:val="231F20"/>
          <w:spacing w:val="-13"/>
        </w:rPr>
        <w:t xml:space="preserve"> </w:t>
      </w:r>
      <w:r>
        <w:rPr>
          <w:color w:val="231F20"/>
        </w:rPr>
        <w:t>easy</w:t>
      </w:r>
      <w:r>
        <w:rPr>
          <w:color w:val="231F20"/>
          <w:spacing w:val="-11"/>
        </w:rPr>
        <w:t xml:space="preserve"> </w:t>
      </w:r>
      <w:r>
        <w:rPr>
          <w:color w:val="231F20"/>
        </w:rPr>
        <w:t>and</w:t>
      </w:r>
      <w:r>
        <w:rPr>
          <w:color w:val="231F20"/>
          <w:spacing w:val="-12"/>
        </w:rPr>
        <w:t xml:space="preserve"> </w:t>
      </w:r>
      <w:r>
        <w:rPr>
          <w:color w:val="231F20"/>
        </w:rPr>
        <w:t>convenient</w:t>
      </w:r>
      <w:r>
        <w:rPr>
          <w:color w:val="231F20"/>
          <w:spacing w:val="-11"/>
        </w:rPr>
        <w:t xml:space="preserve"> </w:t>
      </w:r>
      <w:r>
        <w:rPr>
          <w:color w:val="231F20"/>
        </w:rPr>
        <w:t>way</w:t>
      </w:r>
      <w:r>
        <w:rPr>
          <w:color w:val="231F20"/>
          <w:spacing w:val="-11"/>
        </w:rPr>
        <w:t xml:space="preserve"> </w:t>
      </w:r>
      <w:r>
        <w:rPr>
          <w:color w:val="231F20"/>
        </w:rPr>
        <w:t>to</w:t>
      </w:r>
      <w:r>
        <w:rPr>
          <w:color w:val="231F20"/>
          <w:spacing w:val="-12"/>
        </w:rPr>
        <w:t xml:space="preserve"> </w:t>
      </w:r>
      <w:r>
        <w:rPr>
          <w:color w:val="231F20"/>
          <w:spacing w:val="-2"/>
        </w:rPr>
        <w:t>report</w:t>
      </w:r>
    </w:p>
    <w:p w14:paraId="12811361" w14:textId="77777777" w:rsidR="00345EE3" w:rsidRDefault="00345EE3" w:rsidP="00345EE3">
      <w:pPr>
        <w:pStyle w:val="BodyText"/>
        <w:spacing w:before="4"/>
        <w:ind w:left="150"/>
      </w:pPr>
      <w:r>
        <w:rPr>
          <w:color w:val="231F20"/>
        </w:rPr>
        <w:t>some</w:t>
      </w:r>
      <w:r>
        <w:rPr>
          <w:color w:val="231F20"/>
          <w:spacing w:val="-8"/>
        </w:rPr>
        <w:t xml:space="preserve"> </w:t>
      </w:r>
      <w:r>
        <w:rPr>
          <w:color w:val="231F20"/>
        </w:rPr>
        <w:t>non-urgent</w:t>
      </w:r>
      <w:r>
        <w:rPr>
          <w:color w:val="231F20"/>
          <w:spacing w:val="-7"/>
        </w:rPr>
        <w:t xml:space="preserve"> </w:t>
      </w:r>
      <w:r>
        <w:rPr>
          <w:color w:val="231F20"/>
        </w:rPr>
        <w:t>incidents</w:t>
      </w:r>
      <w:r>
        <w:rPr>
          <w:color w:val="231F20"/>
          <w:spacing w:val="-6"/>
        </w:rPr>
        <w:t xml:space="preserve"> </w:t>
      </w:r>
      <w:r>
        <w:rPr>
          <w:color w:val="231F20"/>
        </w:rPr>
        <w:t>to</w:t>
      </w:r>
      <w:r>
        <w:rPr>
          <w:color w:val="231F20"/>
          <w:spacing w:val="-8"/>
        </w:rPr>
        <w:t xml:space="preserve"> </w:t>
      </w:r>
      <w:r>
        <w:rPr>
          <w:color w:val="231F20"/>
        </w:rPr>
        <w:t>Victoria</w:t>
      </w:r>
      <w:r>
        <w:rPr>
          <w:color w:val="231F20"/>
          <w:spacing w:val="-7"/>
        </w:rPr>
        <w:t xml:space="preserve"> </w:t>
      </w:r>
      <w:r>
        <w:rPr>
          <w:color w:val="231F20"/>
          <w:spacing w:val="-2"/>
        </w:rPr>
        <w:t>Police):</w:t>
      </w:r>
    </w:p>
    <w:p w14:paraId="7CD12882" w14:textId="77777777" w:rsidR="00345EE3" w:rsidRDefault="004D1B9F" w:rsidP="00345EE3">
      <w:pPr>
        <w:spacing w:before="4"/>
        <w:ind w:left="150"/>
        <w:rPr>
          <w:b/>
          <w:color w:val="00529F"/>
          <w:spacing w:val="-2"/>
          <w:sz w:val="24"/>
          <w:u w:val="single" w:color="00529F"/>
        </w:rPr>
      </w:pPr>
      <w:hyperlink r:id="rId46">
        <w:r w:rsidR="00345EE3">
          <w:rPr>
            <w:b/>
            <w:color w:val="00529F"/>
            <w:spacing w:val="-2"/>
            <w:sz w:val="24"/>
            <w:u w:val="single" w:color="00529F"/>
          </w:rPr>
          <w:t>onlinereporting.police.vic.gov.au</w:t>
        </w:r>
      </w:hyperlink>
    </w:p>
    <w:p w14:paraId="7F0BECDF" w14:textId="77777777" w:rsidR="00345EE3" w:rsidRPr="00645B84" w:rsidRDefault="00345EE3" w:rsidP="00345EE3">
      <w:pPr>
        <w:pStyle w:val="VicPol-Header2-2022Headings"/>
        <w:spacing w:before="240" w:after="120"/>
        <w:ind w:left="142"/>
        <w:rPr>
          <w:b w:val="0"/>
          <w:bCs w:val="0"/>
          <w:color w:val="000000"/>
        </w:rPr>
      </w:pPr>
      <w:r w:rsidRPr="00645B84">
        <w:rPr>
          <w:b w:val="0"/>
          <w:bCs w:val="0"/>
          <w:color w:val="000000"/>
        </w:rPr>
        <w:t xml:space="preserve">Further Resources </w:t>
      </w:r>
    </w:p>
    <w:p w14:paraId="078B2BB7" w14:textId="77777777" w:rsidR="00345EE3" w:rsidRPr="00645B84" w:rsidRDefault="00345EE3" w:rsidP="00345EE3">
      <w:pPr>
        <w:pStyle w:val="VicPol-Bodytext-2022Bodytext"/>
        <w:ind w:left="142"/>
      </w:pPr>
      <w:r>
        <w:t xml:space="preserve">Additional Victoria Police publications can be found at: </w:t>
      </w:r>
    </w:p>
    <w:p w14:paraId="0118B2F9" w14:textId="77777777" w:rsidR="00345EE3" w:rsidRDefault="004D1B9F" w:rsidP="00345EE3">
      <w:pPr>
        <w:spacing w:before="65"/>
        <w:ind w:left="150"/>
        <w:rPr>
          <w:b/>
          <w:sz w:val="24"/>
        </w:rPr>
      </w:pPr>
      <w:hyperlink r:id="rId47">
        <w:r w:rsidR="00345EE3">
          <w:rPr>
            <w:b/>
            <w:color w:val="00529F"/>
            <w:spacing w:val="-2"/>
            <w:sz w:val="24"/>
            <w:u w:val="single" w:color="00529F"/>
          </w:rPr>
          <w:t>police.vic.gov.au/publications</w:t>
        </w:r>
      </w:hyperlink>
    </w:p>
    <w:p w14:paraId="0CACA640" w14:textId="77777777" w:rsidR="00D73130" w:rsidRDefault="00D73130"/>
    <w:sectPr w:rsidR="00D73130">
      <w:pgSz w:w="11910" w:h="16840"/>
      <w:pgMar w:top="1420" w:right="740" w:bottom="280"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2FFEE" w14:textId="77777777" w:rsidR="006504A2" w:rsidRDefault="006504A2">
      <w:r>
        <w:separator/>
      </w:r>
    </w:p>
  </w:endnote>
  <w:endnote w:type="continuationSeparator" w:id="0">
    <w:p w14:paraId="7C29930E" w14:textId="77777777" w:rsidR="006504A2" w:rsidRDefault="00650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ItalicMT">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Calibri (Body)">
    <w:altName w:val="Calibri"/>
    <w:charset w:val="00"/>
    <w:family w:val="roman"/>
    <w:pitch w:val="default"/>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7754743"/>
      <w:docPartObj>
        <w:docPartGallery w:val="Page Numbers (Bottom of Page)"/>
        <w:docPartUnique/>
      </w:docPartObj>
    </w:sdtPr>
    <w:sdtEndPr>
      <w:rPr>
        <w:rStyle w:val="PageNumber"/>
      </w:rPr>
    </w:sdtEndPr>
    <w:sdtContent>
      <w:p w14:paraId="5834D0C9" w14:textId="77777777" w:rsidR="00D73130" w:rsidRDefault="00D73130" w:rsidP="00D731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3A918C" w14:textId="77777777" w:rsidR="00D73130" w:rsidRDefault="00D73130" w:rsidP="00D731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6913" w14:textId="59AB4F40" w:rsidR="00D73130" w:rsidRPr="00C020D8" w:rsidRDefault="004D1B9F" w:rsidP="00D73130">
    <w:pPr>
      <w:pStyle w:val="Footer"/>
      <w:framePr w:wrap="none" w:vAnchor="text" w:hAnchor="page" w:x="10426" w:y="350"/>
      <w:jc w:val="right"/>
      <w:rPr>
        <w:rStyle w:val="PageNumber"/>
        <w:rFonts w:asciiTheme="minorHAnsi" w:hAnsiTheme="minorHAnsi"/>
        <w:sz w:val="20"/>
      </w:rPr>
    </w:pPr>
    <w:r>
      <w:rPr>
        <w:rFonts w:asciiTheme="minorHAnsi" w:hAnsiTheme="minorHAnsi"/>
        <w:noProof/>
        <w:sz w:val="20"/>
      </w:rPr>
      <mc:AlternateContent>
        <mc:Choice Requires="wps">
          <w:drawing>
            <wp:anchor distT="0" distB="0" distL="114300" distR="114300" simplePos="0" relativeHeight="251662336" behindDoc="0" locked="0" layoutInCell="0" allowOverlap="1" wp14:anchorId="1C0C3474" wp14:editId="6341B493">
              <wp:simplePos x="0" y="0"/>
              <wp:positionH relativeFrom="page">
                <wp:align>center</wp:align>
              </wp:positionH>
              <wp:positionV relativeFrom="page">
                <wp:align>bottom</wp:align>
              </wp:positionV>
              <wp:extent cx="7772400" cy="463550"/>
              <wp:effectExtent l="0" t="0" r="0" b="12700"/>
              <wp:wrapNone/>
              <wp:docPr id="4" name="MSIPCM33c5460584c6c21065569bb2" descr="{&quot;HashCode&quot;:-106657624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29F90" w14:textId="266A0595" w:rsidR="004D1B9F" w:rsidRPr="004D1B9F" w:rsidRDefault="004D1B9F" w:rsidP="004D1B9F">
                          <w:pPr>
                            <w:jc w:val="center"/>
                            <w:rPr>
                              <w:rFonts w:ascii="Calibri" w:hAnsi="Calibri" w:cs="Calibri"/>
                              <w:color w:val="FF0000"/>
                              <w:sz w:val="24"/>
                            </w:rPr>
                          </w:pPr>
                          <w:r w:rsidRPr="004D1B9F">
                            <w:rPr>
                              <w:rFonts w:ascii="Calibri" w:hAnsi="Calibri" w:cs="Calibri"/>
                              <w:color w:val="FF0000"/>
                              <w:sz w:val="24"/>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0C3474" id="_x0000_t202" coordsize="21600,21600" o:spt="202" path="m,l,21600r21600,l21600,xe">
              <v:stroke joinstyle="miter"/>
              <v:path gradientshapeok="t" o:connecttype="rect"/>
            </v:shapetype>
            <v:shape id="MSIPCM33c5460584c6c21065569bb2" o:spid="_x0000_s1027" type="#_x0000_t202" alt="{&quot;HashCode&quot;:-1066576243,&quot;Height&quot;:9999999.0,&quot;Width&quot;:9999999.0,&quot;Placement&quot;:&quot;Footer&quot;,&quot;Index&quot;:&quot;Primary&quot;,&quot;Section&quot;:1,&quot;Top&quot;:0.0,&quot;Left&quot;:0.0}" style="position:absolute;left:0;text-align:left;margin-left:0;margin-top:0;width:612pt;height:36.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D0uYIRrQIAAFgFAAAOAAAAAAAAAAAA&#10;AAAAAC4CAABkcnMvZTJvRG9jLnhtbFBLAQItABQABgAIAAAAIQC+Hwq32gAAAAUBAAAPAAAAAAAA&#10;AAAAAAAAAAcFAABkcnMvZG93bnJldi54bWxQSwUGAAAAAAQABADzAAAADgYAAAAA&#10;" o:allowincell="f" filled="f" stroked="f" strokeweight=".5pt">
              <v:fill o:detectmouseclick="t"/>
              <v:textbox inset=",0,,0">
                <w:txbxContent>
                  <w:p w14:paraId="7F929F90" w14:textId="266A0595" w:rsidR="004D1B9F" w:rsidRPr="004D1B9F" w:rsidRDefault="004D1B9F" w:rsidP="004D1B9F">
                    <w:pPr>
                      <w:jc w:val="center"/>
                      <w:rPr>
                        <w:rFonts w:ascii="Calibri" w:hAnsi="Calibri" w:cs="Calibri"/>
                        <w:color w:val="FF0000"/>
                        <w:sz w:val="24"/>
                      </w:rPr>
                    </w:pPr>
                    <w:r w:rsidRPr="004D1B9F">
                      <w:rPr>
                        <w:rFonts w:ascii="Calibri" w:hAnsi="Calibri" w:cs="Calibri"/>
                        <w:color w:val="FF0000"/>
                        <w:sz w:val="24"/>
                      </w:rPr>
                      <w:t>OFFICIAL: Sensitive</w:t>
                    </w:r>
                  </w:p>
                </w:txbxContent>
              </v:textbox>
              <w10:wrap anchorx="page" anchory="page"/>
            </v:shape>
          </w:pict>
        </mc:Fallback>
      </mc:AlternateContent>
    </w:r>
    <w:sdt>
      <w:sdtPr>
        <w:rPr>
          <w:rStyle w:val="PageNumber"/>
          <w:rFonts w:asciiTheme="minorHAnsi" w:hAnsiTheme="minorHAnsi"/>
          <w:sz w:val="20"/>
        </w:rPr>
        <w:id w:val="387687080"/>
        <w:docPartObj>
          <w:docPartGallery w:val="Page Numbers (Bottom of Page)"/>
          <w:docPartUnique/>
        </w:docPartObj>
      </w:sdtPr>
      <w:sdtEndPr>
        <w:rPr>
          <w:rStyle w:val="PageNumber"/>
        </w:rPr>
      </w:sdtEndPr>
      <w:sdtContent>
        <w:r w:rsidR="00D73130" w:rsidRPr="00C020D8">
          <w:rPr>
            <w:rStyle w:val="PageNumber"/>
            <w:rFonts w:asciiTheme="minorHAnsi" w:hAnsiTheme="minorHAnsi"/>
            <w:sz w:val="20"/>
          </w:rPr>
          <w:t xml:space="preserve">Page </w:t>
        </w:r>
        <w:r w:rsidR="00D73130" w:rsidRPr="00C020D8">
          <w:rPr>
            <w:rStyle w:val="PageNumber"/>
            <w:rFonts w:asciiTheme="minorHAnsi" w:hAnsiTheme="minorHAnsi"/>
            <w:sz w:val="20"/>
          </w:rPr>
          <w:fldChar w:fldCharType="begin"/>
        </w:r>
        <w:r w:rsidR="00D73130" w:rsidRPr="00C020D8">
          <w:rPr>
            <w:rStyle w:val="PageNumber"/>
            <w:rFonts w:asciiTheme="minorHAnsi" w:hAnsiTheme="minorHAnsi"/>
            <w:sz w:val="20"/>
          </w:rPr>
          <w:instrText xml:space="preserve"> PAGE </w:instrText>
        </w:r>
        <w:r w:rsidR="00D73130" w:rsidRPr="00C020D8">
          <w:rPr>
            <w:rStyle w:val="PageNumber"/>
            <w:rFonts w:asciiTheme="minorHAnsi" w:hAnsiTheme="minorHAnsi"/>
            <w:sz w:val="20"/>
          </w:rPr>
          <w:fldChar w:fldCharType="separate"/>
        </w:r>
        <w:r w:rsidR="00D73130">
          <w:rPr>
            <w:rStyle w:val="PageNumber"/>
            <w:sz w:val="20"/>
          </w:rPr>
          <w:t>1</w:t>
        </w:r>
        <w:r w:rsidR="00D73130" w:rsidRPr="00C020D8">
          <w:rPr>
            <w:rStyle w:val="PageNumber"/>
            <w:rFonts w:asciiTheme="minorHAnsi" w:hAnsiTheme="minorHAnsi"/>
            <w:sz w:val="20"/>
          </w:rPr>
          <w:fldChar w:fldCharType="end"/>
        </w:r>
      </w:sdtContent>
    </w:sdt>
  </w:p>
  <w:p w14:paraId="1F2BDF29" w14:textId="77777777" w:rsidR="00D73130" w:rsidRDefault="00D73130" w:rsidP="00D73130">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FF94" w14:textId="77777777" w:rsidR="004D1B9F" w:rsidRDefault="004D1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1AAE7" w14:textId="77777777" w:rsidR="006504A2" w:rsidRDefault="006504A2">
      <w:r>
        <w:separator/>
      </w:r>
    </w:p>
  </w:footnote>
  <w:footnote w:type="continuationSeparator" w:id="0">
    <w:p w14:paraId="65B2E3DD" w14:textId="77777777" w:rsidR="006504A2" w:rsidRDefault="00650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507E1" w14:textId="77777777" w:rsidR="004D1B9F" w:rsidRDefault="004D1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B726E" w14:textId="2994A627" w:rsidR="00D73130" w:rsidRDefault="004D1B9F">
    <w:pPr>
      <w:pStyle w:val="Header"/>
    </w:pPr>
    <w:r>
      <w:rPr>
        <w:noProof/>
      </w:rPr>
      <mc:AlternateContent>
        <mc:Choice Requires="wps">
          <w:drawing>
            <wp:anchor distT="0" distB="0" distL="114300" distR="114300" simplePos="0" relativeHeight="251661312" behindDoc="0" locked="0" layoutInCell="0" allowOverlap="1" wp14:anchorId="46B6E555" wp14:editId="48E11142">
              <wp:simplePos x="0" y="0"/>
              <wp:positionH relativeFrom="page">
                <wp:align>center</wp:align>
              </wp:positionH>
              <wp:positionV relativeFrom="page">
                <wp:align>top</wp:align>
              </wp:positionV>
              <wp:extent cx="7772400" cy="463550"/>
              <wp:effectExtent l="0" t="0" r="0" b="12700"/>
              <wp:wrapNone/>
              <wp:docPr id="2" name="MSIPCM60bc46b9a33aaf7c0253d0dc" descr="{&quot;HashCode&quot;:-1090713812,&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537ED6" w14:textId="4DC3FAC8" w:rsidR="004D1B9F" w:rsidRPr="004D1B9F" w:rsidRDefault="004D1B9F" w:rsidP="004D1B9F">
                          <w:pPr>
                            <w:jc w:val="center"/>
                            <w:rPr>
                              <w:rFonts w:ascii="Calibri" w:hAnsi="Calibri" w:cs="Calibri"/>
                              <w:color w:val="FF0000"/>
                              <w:sz w:val="24"/>
                            </w:rPr>
                          </w:pPr>
                          <w:r w:rsidRPr="004D1B9F">
                            <w:rPr>
                              <w:rFonts w:ascii="Calibri" w:hAnsi="Calibri" w:cs="Calibri"/>
                              <w:color w:val="FF0000"/>
                              <w:sz w:val="24"/>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B6E555" id="_x0000_t202" coordsize="21600,21600" o:spt="202" path="m,l,21600r21600,l21600,xe">
              <v:stroke joinstyle="miter"/>
              <v:path gradientshapeok="t" o:connecttype="rect"/>
            </v:shapetype>
            <v:shape id="MSIPCM60bc46b9a33aaf7c0253d0dc" o:spid="_x0000_s1026" type="#_x0000_t202" alt="{&quot;HashCode&quot;:-1090713812,&quot;Height&quot;:9999999.0,&quot;Width&quot;:9999999.0,&quot;Placement&quot;:&quot;Header&quot;,&quot;Index&quot;:&quot;Primary&quot;,&quot;Section&quot;:1,&quot;Top&quot;:0.0,&quot;Left&quot;:0.0}" style="position:absolute;margin-left:0;margin-top:0;width:612pt;height:36.5pt;z-index:2516613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" o:allowincell="f" filled="f" stroked="f" strokeweight=".5pt">
              <v:fill o:detectmouseclick="t"/>
              <v:textbox inset=",0,,0">
                <w:txbxContent>
                  <w:p w14:paraId="76537ED6" w14:textId="4DC3FAC8" w:rsidR="004D1B9F" w:rsidRPr="004D1B9F" w:rsidRDefault="004D1B9F" w:rsidP="004D1B9F">
                    <w:pPr>
                      <w:jc w:val="center"/>
                      <w:rPr>
                        <w:rFonts w:ascii="Calibri" w:hAnsi="Calibri" w:cs="Calibri"/>
                        <w:color w:val="FF0000"/>
                        <w:sz w:val="24"/>
                      </w:rPr>
                    </w:pPr>
                    <w:r w:rsidRPr="004D1B9F">
                      <w:rPr>
                        <w:rFonts w:ascii="Calibri" w:hAnsi="Calibri" w:cs="Calibri"/>
                        <w:color w:val="FF0000"/>
                        <w:sz w:val="24"/>
                      </w:rPr>
                      <w:t>OFFICIAL: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1DFE" w14:textId="77777777" w:rsidR="004D1B9F" w:rsidRDefault="004D1B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E6D"/>
    <w:multiLevelType w:val="hybridMultilevel"/>
    <w:tmpl w:val="66C63E84"/>
    <w:lvl w:ilvl="0" w:tplc="C278EDA6">
      <w:start w:val="1"/>
      <w:numFmt w:val="decimal"/>
      <w:pStyle w:val="TOC2"/>
      <w:lvlText w:val="%1."/>
      <w:lvlJc w:val="left"/>
      <w:pPr>
        <w:ind w:left="337" w:hanging="227"/>
      </w:pPr>
      <w:rPr>
        <w:rFonts w:ascii="Arial" w:eastAsia="Arial" w:hAnsi="Arial" w:cs="Arial" w:hint="default"/>
        <w:b w:val="0"/>
        <w:bCs w:val="0"/>
        <w:i w:val="0"/>
        <w:iCs w:val="0"/>
        <w:color w:val="231F20"/>
        <w:spacing w:val="-16"/>
        <w:w w:val="100"/>
        <w:sz w:val="24"/>
        <w:szCs w:val="24"/>
        <w:lang w:val="en-US" w:eastAsia="en-US" w:bidi="ar-SA"/>
      </w:rPr>
    </w:lvl>
    <w:lvl w:ilvl="1" w:tplc="D082AE14">
      <w:numFmt w:val="bullet"/>
      <w:lvlText w:val="•"/>
      <w:lvlJc w:val="left"/>
      <w:pPr>
        <w:ind w:left="1422" w:hanging="227"/>
      </w:pPr>
      <w:rPr>
        <w:rFonts w:hint="default"/>
        <w:lang w:val="en-US" w:eastAsia="en-US" w:bidi="ar-SA"/>
      </w:rPr>
    </w:lvl>
    <w:lvl w:ilvl="2" w:tplc="AC303DAA">
      <w:numFmt w:val="bullet"/>
      <w:lvlText w:val="•"/>
      <w:lvlJc w:val="left"/>
      <w:pPr>
        <w:ind w:left="2505" w:hanging="227"/>
      </w:pPr>
      <w:rPr>
        <w:rFonts w:hint="default"/>
        <w:lang w:val="en-US" w:eastAsia="en-US" w:bidi="ar-SA"/>
      </w:rPr>
    </w:lvl>
    <w:lvl w:ilvl="3" w:tplc="25C08D8A">
      <w:numFmt w:val="bullet"/>
      <w:lvlText w:val="•"/>
      <w:lvlJc w:val="left"/>
      <w:pPr>
        <w:ind w:left="3587" w:hanging="227"/>
      </w:pPr>
      <w:rPr>
        <w:rFonts w:hint="default"/>
        <w:lang w:val="en-US" w:eastAsia="en-US" w:bidi="ar-SA"/>
      </w:rPr>
    </w:lvl>
    <w:lvl w:ilvl="4" w:tplc="8738F52A">
      <w:numFmt w:val="bullet"/>
      <w:lvlText w:val="•"/>
      <w:lvlJc w:val="left"/>
      <w:pPr>
        <w:ind w:left="4670" w:hanging="227"/>
      </w:pPr>
      <w:rPr>
        <w:rFonts w:hint="default"/>
        <w:lang w:val="en-US" w:eastAsia="en-US" w:bidi="ar-SA"/>
      </w:rPr>
    </w:lvl>
    <w:lvl w:ilvl="5" w:tplc="F2E6EFDE">
      <w:numFmt w:val="bullet"/>
      <w:lvlText w:val="•"/>
      <w:lvlJc w:val="left"/>
      <w:pPr>
        <w:ind w:left="5752" w:hanging="227"/>
      </w:pPr>
      <w:rPr>
        <w:rFonts w:hint="default"/>
        <w:lang w:val="en-US" w:eastAsia="en-US" w:bidi="ar-SA"/>
      </w:rPr>
    </w:lvl>
    <w:lvl w:ilvl="6" w:tplc="E0BE9C88">
      <w:numFmt w:val="bullet"/>
      <w:lvlText w:val="•"/>
      <w:lvlJc w:val="left"/>
      <w:pPr>
        <w:ind w:left="6835" w:hanging="227"/>
      </w:pPr>
      <w:rPr>
        <w:rFonts w:hint="default"/>
        <w:lang w:val="en-US" w:eastAsia="en-US" w:bidi="ar-SA"/>
      </w:rPr>
    </w:lvl>
    <w:lvl w:ilvl="7" w:tplc="96606272">
      <w:numFmt w:val="bullet"/>
      <w:lvlText w:val="•"/>
      <w:lvlJc w:val="left"/>
      <w:pPr>
        <w:ind w:left="7917" w:hanging="227"/>
      </w:pPr>
      <w:rPr>
        <w:rFonts w:hint="default"/>
        <w:lang w:val="en-US" w:eastAsia="en-US" w:bidi="ar-SA"/>
      </w:rPr>
    </w:lvl>
    <w:lvl w:ilvl="8" w:tplc="0E646B3A">
      <w:numFmt w:val="bullet"/>
      <w:lvlText w:val="•"/>
      <w:lvlJc w:val="left"/>
      <w:pPr>
        <w:ind w:left="9000" w:hanging="227"/>
      </w:pPr>
      <w:rPr>
        <w:rFonts w:hint="default"/>
        <w:lang w:val="en-US" w:eastAsia="en-US" w:bidi="ar-SA"/>
      </w:rPr>
    </w:lvl>
  </w:abstractNum>
  <w:abstractNum w:abstractNumId="1" w15:restartNumberingAfterBreak="0">
    <w:nsid w:val="01833164"/>
    <w:multiLevelType w:val="hybridMultilevel"/>
    <w:tmpl w:val="1F78C04E"/>
    <w:lvl w:ilvl="0" w:tplc="23DAE890">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96221168">
      <w:numFmt w:val="bullet"/>
      <w:lvlText w:val="•"/>
      <w:lvlJc w:val="left"/>
      <w:pPr>
        <w:ind w:left="1404" w:hanging="284"/>
      </w:pPr>
      <w:rPr>
        <w:rFonts w:hint="default"/>
        <w:lang w:val="en-US" w:eastAsia="en-US" w:bidi="ar-SA"/>
      </w:rPr>
    </w:lvl>
    <w:lvl w:ilvl="2" w:tplc="47F87400">
      <w:numFmt w:val="bullet"/>
      <w:lvlText w:val="•"/>
      <w:lvlJc w:val="left"/>
      <w:pPr>
        <w:ind w:left="2409" w:hanging="284"/>
      </w:pPr>
      <w:rPr>
        <w:rFonts w:hint="default"/>
        <w:lang w:val="en-US" w:eastAsia="en-US" w:bidi="ar-SA"/>
      </w:rPr>
    </w:lvl>
    <w:lvl w:ilvl="3" w:tplc="AE70B48A">
      <w:numFmt w:val="bullet"/>
      <w:lvlText w:val="•"/>
      <w:lvlJc w:val="left"/>
      <w:pPr>
        <w:ind w:left="3413" w:hanging="284"/>
      </w:pPr>
      <w:rPr>
        <w:rFonts w:hint="default"/>
        <w:lang w:val="en-US" w:eastAsia="en-US" w:bidi="ar-SA"/>
      </w:rPr>
    </w:lvl>
    <w:lvl w:ilvl="4" w:tplc="815AE45E">
      <w:numFmt w:val="bullet"/>
      <w:lvlText w:val="•"/>
      <w:lvlJc w:val="left"/>
      <w:pPr>
        <w:ind w:left="4418" w:hanging="284"/>
      </w:pPr>
      <w:rPr>
        <w:rFonts w:hint="default"/>
        <w:lang w:val="en-US" w:eastAsia="en-US" w:bidi="ar-SA"/>
      </w:rPr>
    </w:lvl>
    <w:lvl w:ilvl="5" w:tplc="ACE8ED3C">
      <w:numFmt w:val="bullet"/>
      <w:lvlText w:val="•"/>
      <w:lvlJc w:val="left"/>
      <w:pPr>
        <w:ind w:left="5422" w:hanging="284"/>
      </w:pPr>
      <w:rPr>
        <w:rFonts w:hint="default"/>
        <w:lang w:val="en-US" w:eastAsia="en-US" w:bidi="ar-SA"/>
      </w:rPr>
    </w:lvl>
    <w:lvl w:ilvl="6" w:tplc="D2C45508">
      <w:numFmt w:val="bullet"/>
      <w:lvlText w:val="•"/>
      <w:lvlJc w:val="left"/>
      <w:pPr>
        <w:ind w:left="6427" w:hanging="284"/>
      </w:pPr>
      <w:rPr>
        <w:rFonts w:hint="default"/>
        <w:lang w:val="en-US" w:eastAsia="en-US" w:bidi="ar-SA"/>
      </w:rPr>
    </w:lvl>
    <w:lvl w:ilvl="7" w:tplc="A304804E">
      <w:numFmt w:val="bullet"/>
      <w:lvlText w:val="•"/>
      <w:lvlJc w:val="left"/>
      <w:pPr>
        <w:ind w:left="7431" w:hanging="284"/>
      </w:pPr>
      <w:rPr>
        <w:rFonts w:hint="default"/>
        <w:lang w:val="en-US" w:eastAsia="en-US" w:bidi="ar-SA"/>
      </w:rPr>
    </w:lvl>
    <w:lvl w:ilvl="8" w:tplc="C520F81E">
      <w:numFmt w:val="bullet"/>
      <w:lvlText w:val="•"/>
      <w:lvlJc w:val="left"/>
      <w:pPr>
        <w:ind w:left="8436" w:hanging="284"/>
      </w:pPr>
      <w:rPr>
        <w:rFonts w:hint="default"/>
        <w:lang w:val="en-US" w:eastAsia="en-US" w:bidi="ar-SA"/>
      </w:rPr>
    </w:lvl>
  </w:abstractNum>
  <w:abstractNum w:abstractNumId="2" w15:restartNumberingAfterBreak="0">
    <w:nsid w:val="04265D64"/>
    <w:multiLevelType w:val="hybridMultilevel"/>
    <w:tmpl w:val="16DC37EC"/>
    <w:lvl w:ilvl="0" w:tplc="E71CCB08">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A6688262">
      <w:numFmt w:val="bullet"/>
      <w:lvlText w:val="•"/>
      <w:lvlJc w:val="left"/>
      <w:pPr>
        <w:ind w:left="1350" w:hanging="227"/>
      </w:pPr>
      <w:rPr>
        <w:rFonts w:hint="default"/>
        <w:lang w:val="en-US" w:eastAsia="en-US" w:bidi="ar-SA"/>
      </w:rPr>
    </w:lvl>
    <w:lvl w:ilvl="2" w:tplc="6380BF46">
      <w:numFmt w:val="bullet"/>
      <w:lvlText w:val="•"/>
      <w:lvlJc w:val="left"/>
      <w:pPr>
        <w:ind w:left="2361" w:hanging="227"/>
      </w:pPr>
      <w:rPr>
        <w:rFonts w:hint="default"/>
        <w:lang w:val="en-US" w:eastAsia="en-US" w:bidi="ar-SA"/>
      </w:rPr>
    </w:lvl>
    <w:lvl w:ilvl="3" w:tplc="847CF9EA">
      <w:numFmt w:val="bullet"/>
      <w:lvlText w:val="•"/>
      <w:lvlJc w:val="left"/>
      <w:pPr>
        <w:ind w:left="3371" w:hanging="227"/>
      </w:pPr>
      <w:rPr>
        <w:rFonts w:hint="default"/>
        <w:lang w:val="en-US" w:eastAsia="en-US" w:bidi="ar-SA"/>
      </w:rPr>
    </w:lvl>
    <w:lvl w:ilvl="4" w:tplc="395E2654">
      <w:numFmt w:val="bullet"/>
      <w:lvlText w:val="•"/>
      <w:lvlJc w:val="left"/>
      <w:pPr>
        <w:ind w:left="4382" w:hanging="227"/>
      </w:pPr>
      <w:rPr>
        <w:rFonts w:hint="default"/>
        <w:lang w:val="en-US" w:eastAsia="en-US" w:bidi="ar-SA"/>
      </w:rPr>
    </w:lvl>
    <w:lvl w:ilvl="5" w:tplc="CC2E90E2">
      <w:numFmt w:val="bullet"/>
      <w:lvlText w:val="•"/>
      <w:lvlJc w:val="left"/>
      <w:pPr>
        <w:ind w:left="5392" w:hanging="227"/>
      </w:pPr>
      <w:rPr>
        <w:rFonts w:hint="default"/>
        <w:lang w:val="en-US" w:eastAsia="en-US" w:bidi="ar-SA"/>
      </w:rPr>
    </w:lvl>
    <w:lvl w:ilvl="6" w:tplc="9D880604">
      <w:numFmt w:val="bullet"/>
      <w:lvlText w:val="•"/>
      <w:lvlJc w:val="left"/>
      <w:pPr>
        <w:ind w:left="6403" w:hanging="227"/>
      </w:pPr>
      <w:rPr>
        <w:rFonts w:hint="default"/>
        <w:lang w:val="en-US" w:eastAsia="en-US" w:bidi="ar-SA"/>
      </w:rPr>
    </w:lvl>
    <w:lvl w:ilvl="7" w:tplc="2BA48CA6">
      <w:numFmt w:val="bullet"/>
      <w:lvlText w:val="•"/>
      <w:lvlJc w:val="left"/>
      <w:pPr>
        <w:ind w:left="7413" w:hanging="227"/>
      </w:pPr>
      <w:rPr>
        <w:rFonts w:hint="default"/>
        <w:lang w:val="en-US" w:eastAsia="en-US" w:bidi="ar-SA"/>
      </w:rPr>
    </w:lvl>
    <w:lvl w:ilvl="8" w:tplc="67F48448">
      <w:numFmt w:val="bullet"/>
      <w:lvlText w:val="•"/>
      <w:lvlJc w:val="left"/>
      <w:pPr>
        <w:ind w:left="8424" w:hanging="227"/>
      </w:pPr>
      <w:rPr>
        <w:rFonts w:hint="default"/>
        <w:lang w:val="en-US" w:eastAsia="en-US" w:bidi="ar-SA"/>
      </w:rPr>
    </w:lvl>
  </w:abstractNum>
  <w:abstractNum w:abstractNumId="3" w15:restartNumberingAfterBreak="0">
    <w:nsid w:val="07BD04C6"/>
    <w:multiLevelType w:val="hybridMultilevel"/>
    <w:tmpl w:val="7DDAA556"/>
    <w:lvl w:ilvl="0" w:tplc="5BA0965E">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0F1616AA">
      <w:numFmt w:val="bullet"/>
      <w:lvlText w:val="•"/>
      <w:lvlJc w:val="left"/>
      <w:pPr>
        <w:ind w:left="393" w:hanging="171"/>
      </w:pPr>
      <w:rPr>
        <w:rFonts w:ascii="Arial" w:eastAsia="Arial" w:hAnsi="Arial" w:cs="Arial" w:hint="default"/>
        <w:b w:val="0"/>
        <w:bCs w:val="0"/>
        <w:i w:val="0"/>
        <w:iCs w:val="0"/>
        <w:color w:val="3D68AD"/>
        <w:w w:val="100"/>
        <w:sz w:val="14"/>
        <w:szCs w:val="14"/>
        <w:lang w:val="en-US" w:eastAsia="en-US" w:bidi="ar-SA"/>
      </w:rPr>
    </w:lvl>
    <w:lvl w:ilvl="2" w:tplc="C9B24868">
      <w:numFmt w:val="bullet"/>
      <w:lvlText w:val="•"/>
      <w:lvlJc w:val="left"/>
      <w:pPr>
        <w:ind w:left="2409" w:hanging="171"/>
      </w:pPr>
      <w:rPr>
        <w:rFonts w:hint="default"/>
        <w:lang w:val="en-US" w:eastAsia="en-US" w:bidi="ar-SA"/>
      </w:rPr>
    </w:lvl>
    <w:lvl w:ilvl="3" w:tplc="2AEE441E">
      <w:numFmt w:val="bullet"/>
      <w:lvlText w:val="•"/>
      <w:lvlJc w:val="left"/>
      <w:pPr>
        <w:ind w:left="3413" w:hanging="171"/>
      </w:pPr>
      <w:rPr>
        <w:rFonts w:hint="default"/>
        <w:lang w:val="en-US" w:eastAsia="en-US" w:bidi="ar-SA"/>
      </w:rPr>
    </w:lvl>
    <w:lvl w:ilvl="4" w:tplc="C8808E38">
      <w:numFmt w:val="bullet"/>
      <w:lvlText w:val="•"/>
      <w:lvlJc w:val="left"/>
      <w:pPr>
        <w:ind w:left="4418" w:hanging="171"/>
      </w:pPr>
      <w:rPr>
        <w:rFonts w:hint="default"/>
        <w:lang w:val="en-US" w:eastAsia="en-US" w:bidi="ar-SA"/>
      </w:rPr>
    </w:lvl>
    <w:lvl w:ilvl="5" w:tplc="60CCDAFA">
      <w:numFmt w:val="bullet"/>
      <w:lvlText w:val="•"/>
      <w:lvlJc w:val="left"/>
      <w:pPr>
        <w:ind w:left="5422" w:hanging="171"/>
      </w:pPr>
      <w:rPr>
        <w:rFonts w:hint="default"/>
        <w:lang w:val="en-US" w:eastAsia="en-US" w:bidi="ar-SA"/>
      </w:rPr>
    </w:lvl>
    <w:lvl w:ilvl="6" w:tplc="54BC4BAA">
      <w:numFmt w:val="bullet"/>
      <w:lvlText w:val="•"/>
      <w:lvlJc w:val="left"/>
      <w:pPr>
        <w:ind w:left="6427" w:hanging="171"/>
      </w:pPr>
      <w:rPr>
        <w:rFonts w:hint="default"/>
        <w:lang w:val="en-US" w:eastAsia="en-US" w:bidi="ar-SA"/>
      </w:rPr>
    </w:lvl>
    <w:lvl w:ilvl="7" w:tplc="07DA7B96">
      <w:numFmt w:val="bullet"/>
      <w:lvlText w:val="•"/>
      <w:lvlJc w:val="left"/>
      <w:pPr>
        <w:ind w:left="7431" w:hanging="171"/>
      </w:pPr>
      <w:rPr>
        <w:rFonts w:hint="default"/>
        <w:lang w:val="en-US" w:eastAsia="en-US" w:bidi="ar-SA"/>
      </w:rPr>
    </w:lvl>
    <w:lvl w:ilvl="8" w:tplc="A74E02BC">
      <w:numFmt w:val="bullet"/>
      <w:lvlText w:val="•"/>
      <w:lvlJc w:val="left"/>
      <w:pPr>
        <w:ind w:left="8436" w:hanging="171"/>
      </w:pPr>
      <w:rPr>
        <w:rFonts w:hint="default"/>
        <w:lang w:val="en-US" w:eastAsia="en-US" w:bidi="ar-SA"/>
      </w:rPr>
    </w:lvl>
  </w:abstractNum>
  <w:abstractNum w:abstractNumId="4" w15:restartNumberingAfterBreak="0">
    <w:nsid w:val="09024A5B"/>
    <w:multiLevelType w:val="hybridMultilevel"/>
    <w:tmpl w:val="B9462DD0"/>
    <w:lvl w:ilvl="0" w:tplc="EB22188C">
      <w:start w:val="1"/>
      <w:numFmt w:val="lowerLetter"/>
      <w:lvlText w:val="(%1)"/>
      <w:lvlJc w:val="left"/>
      <w:pPr>
        <w:ind w:left="397" w:hanging="288"/>
      </w:pPr>
      <w:rPr>
        <w:rFonts w:ascii="Arial" w:eastAsia="Arial" w:hAnsi="Arial" w:cs="Arial" w:hint="default"/>
        <w:b w:val="0"/>
        <w:bCs w:val="0"/>
        <w:i w:val="0"/>
        <w:iCs w:val="0"/>
        <w:color w:val="231F20"/>
        <w:spacing w:val="-4"/>
        <w:w w:val="100"/>
        <w:sz w:val="22"/>
        <w:szCs w:val="22"/>
        <w:lang w:val="en-US" w:eastAsia="en-US" w:bidi="ar-SA"/>
      </w:rPr>
    </w:lvl>
    <w:lvl w:ilvl="1" w:tplc="22C8DE90">
      <w:numFmt w:val="bullet"/>
      <w:lvlText w:val="•"/>
      <w:lvlJc w:val="left"/>
      <w:pPr>
        <w:ind w:left="1476" w:hanging="288"/>
      </w:pPr>
      <w:rPr>
        <w:rFonts w:hint="default"/>
        <w:lang w:val="en-US" w:eastAsia="en-US" w:bidi="ar-SA"/>
      </w:rPr>
    </w:lvl>
    <w:lvl w:ilvl="2" w:tplc="FDA8CED8">
      <w:numFmt w:val="bullet"/>
      <w:lvlText w:val="•"/>
      <w:lvlJc w:val="left"/>
      <w:pPr>
        <w:ind w:left="2553" w:hanging="288"/>
      </w:pPr>
      <w:rPr>
        <w:rFonts w:hint="default"/>
        <w:lang w:val="en-US" w:eastAsia="en-US" w:bidi="ar-SA"/>
      </w:rPr>
    </w:lvl>
    <w:lvl w:ilvl="3" w:tplc="D63AF6C4">
      <w:numFmt w:val="bullet"/>
      <w:lvlText w:val="•"/>
      <w:lvlJc w:val="left"/>
      <w:pPr>
        <w:ind w:left="3629" w:hanging="288"/>
      </w:pPr>
      <w:rPr>
        <w:rFonts w:hint="default"/>
        <w:lang w:val="en-US" w:eastAsia="en-US" w:bidi="ar-SA"/>
      </w:rPr>
    </w:lvl>
    <w:lvl w:ilvl="4" w:tplc="6B1EF3BE">
      <w:numFmt w:val="bullet"/>
      <w:lvlText w:val="•"/>
      <w:lvlJc w:val="left"/>
      <w:pPr>
        <w:ind w:left="4706" w:hanging="288"/>
      </w:pPr>
      <w:rPr>
        <w:rFonts w:hint="default"/>
        <w:lang w:val="en-US" w:eastAsia="en-US" w:bidi="ar-SA"/>
      </w:rPr>
    </w:lvl>
    <w:lvl w:ilvl="5" w:tplc="4A24AF10">
      <w:numFmt w:val="bullet"/>
      <w:lvlText w:val="•"/>
      <w:lvlJc w:val="left"/>
      <w:pPr>
        <w:ind w:left="5782" w:hanging="288"/>
      </w:pPr>
      <w:rPr>
        <w:rFonts w:hint="default"/>
        <w:lang w:val="en-US" w:eastAsia="en-US" w:bidi="ar-SA"/>
      </w:rPr>
    </w:lvl>
    <w:lvl w:ilvl="6" w:tplc="696AA29E">
      <w:numFmt w:val="bullet"/>
      <w:lvlText w:val="•"/>
      <w:lvlJc w:val="left"/>
      <w:pPr>
        <w:ind w:left="6859" w:hanging="288"/>
      </w:pPr>
      <w:rPr>
        <w:rFonts w:hint="default"/>
        <w:lang w:val="en-US" w:eastAsia="en-US" w:bidi="ar-SA"/>
      </w:rPr>
    </w:lvl>
    <w:lvl w:ilvl="7" w:tplc="1A882666">
      <w:numFmt w:val="bullet"/>
      <w:lvlText w:val="•"/>
      <w:lvlJc w:val="left"/>
      <w:pPr>
        <w:ind w:left="7935" w:hanging="288"/>
      </w:pPr>
      <w:rPr>
        <w:rFonts w:hint="default"/>
        <w:lang w:val="en-US" w:eastAsia="en-US" w:bidi="ar-SA"/>
      </w:rPr>
    </w:lvl>
    <w:lvl w:ilvl="8" w:tplc="81C25B30">
      <w:numFmt w:val="bullet"/>
      <w:lvlText w:val="•"/>
      <w:lvlJc w:val="left"/>
      <w:pPr>
        <w:ind w:left="9012" w:hanging="288"/>
      </w:pPr>
      <w:rPr>
        <w:rFonts w:hint="default"/>
        <w:lang w:val="en-US" w:eastAsia="en-US" w:bidi="ar-SA"/>
      </w:rPr>
    </w:lvl>
  </w:abstractNum>
  <w:abstractNum w:abstractNumId="5" w15:restartNumberingAfterBreak="0">
    <w:nsid w:val="0A3B36E5"/>
    <w:multiLevelType w:val="hybridMultilevel"/>
    <w:tmpl w:val="5B44C0D0"/>
    <w:lvl w:ilvl="0" w:tplc="84147F20">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6D467160">
      <w:numFmt w:val="bullet"/>
      <w:lvlText w:val="•"/>
      <w:lvlJc w:val="left"/>
      <w:pPr>
        <w:ind w:left="1404" w:hanging="284"/>
      </w:pPr>
      <w:rPr>
        <w:rFonts w:hint="default"/>
        <w:lang w:val="en-US" w:eastAsia="en-US" w:bidi="ar-SA"/>
      </w:rPr>
    </w:lvl>
    <w:lvl w:ilvl="2" w:tplc="D16E05F8">
      <w:numFmt w:val="bullet"/>
      <w:lvlText w:val="•"/>
      <w:lvlJc w:val="left"/>
      <w:pPr>
        <w:ind w:left="2409" w:hanging="284"/>
      </w:pPr>
      <w:rPr>
        <w:rFonts w:hint="default"/>
        <w:lang w:val="en-US" w:eastAsia="en-US" w:bidi="ar-SA"/>
      </w:rPr>
    </w:lvl>
    <w:lvl w:ilvl="3" w:tplc="52B6A9D6">
      <w:numFmt w:val="bullet"/>
      <w:lvlText w:val="•"/>
      <w:lvlJc w:val="left"/>
      <w:pPr>
        <w:ind w:left="3413" w:hanging="284"/>
      </w:pPr>
      <w:rPr>
        <w:rFonts w:hint="default"/>
        <w:lang w:val="en-US" w:eastAsia="en-US" w:bidi="ar-SA"/>
      </w:rPr>
    </w:lvl>
    <w:lvl w:ilvl="4" w:tplc="E49CCD1C">
      <w:numFmt w:val="bullet"/>
      <w:lvlText w:val="•"/>
      <w:lvlJc w:val="left"/>
      <w:pPr>
        <w:ind w:left="4418" w:hanging="284"/>
      </w:pPr>
      <w:rPr>
        <w:rFonts w:hint="default"/>
        <w:lang w:val="en-US" w:eastAsia="en-US" w:bidi="ar-SA"/>
      </w:rPr>
    </w:lvl>
    <w:lvl w:ilvl="5" w:tplc="540CC40C">
      <w:numFmt w:val="bullet"/>
      <w:lvlText w:val="•"/>
      <w:lvlJc w:val="left"/>
      <w:pPr>
        <w:ind w:left="5422" w:hanging="284"/>
      </w:pPr>
      <w:rPr>
        <w:rFonts w:hint="default"/>
        <w:lang w:val="en-US" w:eastAsia="en-US" w:bidi="ar-SA"/>
      </w:rPr>
    </w:lvl>
    <w:lvl w:ilvl="6" w:tplc="B38470BA">
      <w:numFmt w:val="bullet"/>
      <w:lvlText w:val="•"/>
      <w:lvlJc w:val="left"/>
      <w:pPr>
        <w:ind w:left="6427" w:hanging="284"/>
      </w:pPr>
      <w:rPr>
        <w:rFonts w:hint="default"/>
        <w:lang w:val="en-US" w:eastAsia="en-US" w:bidi="ar-SA"/>
      </w:rPr>
    </w:lvl>
    <w:lvl w:ilvl="7" w:tplc="0D4C891C">
      <w:numFmt w:val="bullet"/>
      <w:lvlText w:val="•"/>
      <w:lvlJc w:val="left"/>
      <w:pPr>
        <w:ind w:left="7431" w:hanging="284"/>
      </w:pPr>
      <w:rPr>
        <w:rFonts w:hint="default"/>
        <w:lang w:val="en-US" w:eastAsia="en-US" w:bidi="ar-SA"/>
      </w:rPr>
    </w:lvl>
    <w:lvl w:ilvl="8" w:tplc="773A6C7E">
      <w:numFmt w:val="bullet"/>
      <w:lvlText w:val="•"/>
      <w:lvlJc w:val="left"/>
      <w:pPr>
        <w:ind w:left="8436" w:hanging="284"/>
      </w:pPr>
      <w:rPr>
        <w:rFonts w:hint="default"/>
        <w:lang w:val="en-US" w:eastAsia="en-US" w:bidi="ar-SA"/>
      </w:rPr>
    </w:lvl>
  </w:abstractNum>
  <w:abstractNum w:abstractNumId="6" w15:restartNumberingAfterBreak="0">
    <w:nsid w:val="0AF17ACA"/>
    <w:multiLevelType w:val="hybridMultilevel"/>
    <w:tmpl w:val="CCE035B2"/>
    <w:lvl w:ilvl="0" w:tplc="3420021E">
      <w:numFmt w:val="bullet"/>
      <w:lvlText w:val="•"/>
      <w:lvlJc w:val="left"/>
      <w:pPr>
        <w:ind w:left="148" w:hanging="151"/>
      </w:pPr>
      <w:rPr>
        <w:rFonts w:ascii="Arial" w:eastAsia="Arial" w:hAnsi="Arial" w:cs="Arial" w:hint="default"/>
        <w:b w:val="0"/>
        <w:bCs w:val="0"/>
        <w:i w:val="0"/>
        <w:iCs w:val="0"/>
        <w:color w:val="231F20"/>
        <w:w w:val="100"/>
        <w:sz w:val="24"/>
        <w:szCs w:val="24"/>
        <w:lang w:val="en-US" w:eastAsia="en-US" w:bidi="ar-SA"/>
      </w:rPr>
    </w:lvl>
    <w:lvl w:ilvl="1" w:tplc="B15A546E">
      <w:numFmt w:val="bullet"/>
      <w:lvlText w:val="•"/>
      <w:lvlJc w:val="left"/>
      <w:pPr>
        <w:ind w:left="325" w:hanging="151"/>
      </w:pPr>
      <w:rPr>
        <w:rFonts w:hint="default"/>
        <w:lang w:val="en-US" w:eastAsia="en-US" w:bidi="ar-SA"/>
      </w:rPr>
    </w:lvl>
    <w:lvl w:ilvl="2" w:tplc="6C34752E">
      <w:numFmt w:val="bullet"/>
      <w:lvlText w:val="•"/>
      <w:lvlJc w:val="left"/>
      <w:pPr>
        <w:ind w:left="510" w:hanging="151"/>
      </w:pPr>
      <w:rPr>
        <w:rFonts w:hint="default"/>
        <w:lang w:val="en-US" w:eastAsia="en-US" w:bidi="ar-SA"/>
      </w:rPr>
    </w:lvl>
    <w:lvl w:ilvl="3" w:tplc="D19CDD78">
      <w:numFmt w:val="bullet"/>
      <w:lvlText w:val="•"/>
      <w:lvlJc w:val="left"/>
      <w:pPr>
        <w:ind w:left="695" w:hanging="151"/>
      </w:pPr>
      <w:rPr>
        <w:rFonts w:hint="default"/>
        <w:lang w:val="en-US" w:eastAsia="en-US" w:bidi="ar-SA"/>
      </w:rPr>
    </w:lvl>
    <w:lvl w:ilvl="4" w:tplc="F89AD55E">
      <w:numFmt w:val="bullet"/>
      <w:lvlText w:val="•"/>
      <w:lvlJc w:val="left"/>
      <w:pPr>
        <w:ind w:left="881" w:hanging="151"/>
      </w:pPr>
      <w:rPr>
        <w:rFonts w:hint="default"/>
        <w:lang w:val="en-US" w:eastAsia="en-US" w:bidi="ar-SA"/>
      </w:rPr>
    </w:lvl>
    <w:lvl w:ilvl="5" w:tplc="F0A20782">
      <w:numFmt w:val="bullet"/>
      <w:lvlText w:val="•"/>
      <w:lvlJc w:val="left"/>
      <w:pPr>
        <w:ind w:left="1066" w:hanging="151"/>
      </w:pPr>
      <w:rPr>
        <w:rFonts w:hint="default"/>
        <w:lang w:val="en-US" w:eastAsia="en-US" w:bidi="ar-SA"/>
      </w:rPr>
    </w:lvl>
    <w:lvl w:ilvl="6" w:tplc="7EC6E02E">
      <w:numFmt w:val="bullet"/>
      <w:lvlText w:val="•"/>
      <w:lvlJc w:val="left"/>
      <w:pPr>
        <w:ind w:left="1251" w:hanging="151"/>
      </w:pPr>
      <w:rPr>
        <w:rFonts w:hint="default"/>
        <w:lang w:val="en-US" w:eastAsia="en-US" w:bidi="ar-SA"/>
      </w:rPr>
    </w:lvl>
    <w:lvl w:ilvl="7" w:tplc="DB6ECDE8">
      <w:numFmt w:val="bullet"/>
      <w:lvlText w:val="•"/>
      <w:lvlJc w:val="left"/>
      <w:pPr>
        <w:ind w:left="1437" w:hanging="151"/>
      </w:pPr>
      <w:rPr>
        <w:rFonts w:hint="default"/>
        <w:lang w:val="en-US" w:eastAsia="en-US" w:bidi="ar-SA"/>
      </w:rPr>
    </w:lvl>
    <w:lvl w:ilvl="8" w:tplc="D7EE3D5C">
      <w:numFmt w:val="bullet"/>
      <w:lvlText w:val="•"/>
      <w:lvlJc w:val="left"/>
      <w:pPr>
        <w:ind w:left="1622" w:hanging="151"/>
      </w:pPr>
      <w:rPr>
        <w:rFonts w:hint="default"/>
        <w:lang w:val="en-US" w:eastAsia="en-US" w:bidi="ar-SA"/>
      </w:rPr>
    </w:lvl>
  </w:abstractNum>
  <w:abstractNum w:abstractNumId="7" w15:restartNumberingAfterBreak="0">
    <w:nsid w:val="0D9370A8"/>
    <w:multiLevelType w:val="multilevel"/>
    <w:tmpl w:val="5554D4B2"/>
    <w:lvl w:ilvl="0">
      <w:start w:val="7"/>
      <w:numFmt w:val="decimal"/>
      <w:lvlText w:val="%1"/>
      <w:lvlJc w:val="left"/>
      <w:pPr>
        <w:ind w:left="673" w:hanging="564"/>
      </w:pPr>
      <w:rPr>
        <w:rFonts w:hint="default"/>
        <w:lang w:val="en-US" w:eastAsia="en-US" w:bidi="ar-SA"/>
      </w:rPr>
    </w:lvl>
    <w:lvl w:ilvl="1">
      <w:start w:val="2"/>
      <w:numFmt w:val="decimal"/>
      <w:lvlText w:val="%1.%2"/>
      <w:lvlJc w:val="left"/>
      <w:pPr>
        <w:ind w:left="673" w:hanging="564"/>
      </w:pPr>
      <w:rPr>
        <w:rFonts w:hint="default"/>
        <w:lang w:val="en-US" w:eastAsia="en-US" w:bidi="ar-SA"/>
      </w:rPr>
    </w:lvl>
    <w:lvl w:ilvl="2">
      <w:start w:val="1"/>
      <w:numFmt w:val="decimal"/>
      <w:lvlText w:val="%1.%2.%3"/>
      <w:lvlJc w:val="left"/>
      <w:pPr>
        <w:ind w:left="673" w:hanging="564"/>
      </w:pPr>
      <w:rPr>
        <w:rFonts w:ascii="Arial" w:eastAsia="Arial" w:hAnsi="Arial" w:cs="Arial" w:hint="default"/>
        <w:b/>
        <w:bCs/>
        <w:i w:val="0"/>
        <w:iCs w:val="0"/>
        <w:color w:val="231F20"/>
        <w:spacing w:val="-24"/>
        <w:w w:val="100"/>
        <w:sz w:val="24"/>
        <w:szCs w:val="24"/>
        <w:lang w:val="en-US" w:eastAsia="en-US" w:bidi="ar-SA"/>
      </w:rPr>
    </w:lvl>
    <w:lvl w:ilvl="3">
      <w:numFmt w:val="bullet"/>
      <w:lvlText w:val="•"/>
      <w:lvlJc w:val="left"/>
      <w:pPr>
        <w:ind w:left="3603" w:hanging="564"/>
      </w:pPr>
      <w:rPr>
        <w:rFonts w:hint="default"/>
        <w:lang w:val="en-US" w:eastAsia="en-US" w:bidi="ar-SA"/>
      </w:rPr>
    </w:lvl>
    <w:lvl w:ilvl="4">
      <w:numFmt w:val="bullet"/>
      <w:lvlText w:val="•"/>
      <w:lvlJc w:val="left"/>
      <w:pPr>
        <w:ind w:left="4578" w:hanging="564"/>
      </w:pPr>
      <w:rPr>
        <w:rFonts w:hint="default"/>
        <w:lang w:val="en-US" w:eastAsia="en-US" w:bidi="ar-SA"/>
      </w:rPr>
    </w:lvl>
    <w:lvl w:ilvl="5">
      <w:numFmt w:val="bullet"/>
      <w:lvlText w:val="•"/>
      <w:lvlJc w:val="left"/>
      <w:pPr>
        <w:ind w:left="5552" w:hanging="564"/>
      </w:pPr>
      <w:rPr>
        <w:rFonts w:hint="default"/>
        <w:lang w:val="en-US" w:eastAsia="en-US" w:bidi="ar-SA"/>
      </w:rPr>
    </w:lvl>
    <w:lvl w:ilvl="6">
      <w:numFmt w:val="bullet"/>
      <w:lvlText w:val="•"/>
      <w:lvlJc w:val="left"/>
      <w:pPr>
        <w:ind w:left="6527" w:hanging="564"/>
      </w:pPr>
      <w:rPr>
        <w:rFonts w:hint="default"/>
        <w:lang w:val="en-US" w:eastAsia="en-US" w:bidi="ar-SA"/>
      </w:rPr>
    </w:lvl>
    <w:lvl w:ilvl="7">
      <w:numFmt w:val="bullet"/>
      <w:lvlText w:val="•"/>
      <w:lvlJc w:val="left"/>
      <w:pPr>
        <w:ind w:left="7501" w:hanging="564"/>
      </w:pPr>
      <w:rPr>
        <w:rFonts w:hint="default"/>
        <w:lang w:val="en-US" w:eastAsia="en-US" w:bidi="ar-SA"/>
      </w:rPr>
    </w:lvl>
    <w:lvl w:ilvl="8">
      <w:numFmt w:val="bullet"/>
      <w:lvlText w:val="•"/>
      <w:lvlJc w:val="left"/>
      <w:pPr>
        <w:ind w:left="8476" w:hanging="564"/>
      </w:pPr>
      <w:rPr>
        <w:rFonts w:hint="default"/>
        <w:lang w:val="en-US" w:eastAsia="en-US" w:bidi="ar-SA"/>
      </w:rPr>
    </w:lvl>
  </w:abstractNum>
  <w:abstractNum w:abstractNumId="8" w15:restartNumberingAfterBreak="0">
    <w:nsid w:val="0E921E9C"/>
    <w:multiLevelType w:val="multilevel"/>
    <w:tmpl w:val="E81E7794"/>
    <w:lvl w:ilvl="0">
      <w:start w:val="7"/>
      <w:numFmt w:val="decimal"/>
      <w:lvlText w:val="%1"/>
      <w:lvlJc w:val="left"/>
      <w:pPr>
        <w:ind w:left="673" w:hanging="564"/>
      </w:pPr>
      <w:rPr>
        <w:rFonts w:hint="default"/>
        <w:lang w:val="en-US" w:eastAsia="en-US" w:bidi="ar-SA"/>
      </w:rPr>
    </w:lvl>
    <w:lvl w:ilvl="1">
      <w:start w:val="2"/>
      <w:numFmt w:val="decimal"/>
      <w:lvlText w:val="%1.%2"/>
      <w:lvlJc w:val="left"/>
      <w:pPr>
        <w:ind w:left="673" w:hanging="564"/>
      </w:pPr>
      <w:rPr>
        <w:rFonts w:hint="default"/>
        <w:lang w:val="en-US" w:eastAsia="en-US" w:bidi="ar-SA"/>
      </w:rPr>
    </w:lvl>
    <w:lvl w:ilvl="2">
      <w:start w:val="1"/>
      <w:numFmt w:val="decimal"/>
      <w:lvlText w:val="%1.%2.%3"/>
      <w:lvlJc w:val="left"/>
      <w:pPr>
        <w:ind w:left="673" w:hanging="564"/>
      </w:pPr>
      <w:rPr>
        <w:rFonts w:ascii="Arial" w:eastAsia="Arial" w:hAnsi="Arial" w:cs="Arial" w:hint="default"/>
        <w:b/>
        <w:bCs/>
        <w:i w:val="0"/>
        <w:iCs w:val="0"/>
        <w:color w:val="231F20"/>
        <w:spacing w:val="-24"/>
        <w:w w:val="100"/>
        <w:sz w:val="24"/>
        <w:szCs w:val="24"/>
        <w:lang w:val="en-US" w:eastAsia="en-US" w:bidi="ar-SA"/>
      </w:rPr>
    </w:lvl>
    <w:lvl w:ilvl="3">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4">
      <w:numFmt w:val="bullet"/>
      <w:lvlText w:val="•"/>
      <w:lvlJc w:val="left"/>
      <w:pPr>
        <w:ind w:left="3928" w:hanging="284"/>
      </w:pPr>
      <w:rPr>
        <w:rFonts w:hint="default"/>
        <w:lang w:val="en-US" w:eastAsia="en-US" w:bidi="ar-SA"/>
      </w:rPr>
    </w:lvl>
    <w:lvl w:ilvl="5">
      <w:numFmt w:val="bullet"/>
      <w:lvlText w:val="•"/>
      <w:lvlJc w:val="left"/>
      <w:pPr>
        <w:ind w:left="5011" w:hanging="284"/>
      </w:pPr>
      <w:rPr>
        <w:rFonts w:hint="default"/>
        <w:lang w:val="en-US" w:eastAsia="en-US" w:bidi="ar-SA"/>
      </w:rPr>
    </w:lvl>
    <w:lvl w:ilvl="6">
      <w:numFmt w:val="bullet"/>
      <w:lvlText w:val="•"/>
      <w:lvlJc w:val="left"/>
      <w:pPr>
        <w:ind w:left="6094" w:hanging="284"/>
      </w:pPr>
      <w:rPr>
        <w:rFonts w:hint="default"/>
        <w:lang w:val="en-US" w:eastAsia="en-US" w:bidi="ar-SA"/>
      </w:rPr>
    </w:lvl>
    <w:lvl w:ilvl="7">
      <w:numFmt w:val="bullet"/>
      <w:lvlText w:val="•"/>
      <w:lvlJc w:val="left"/>
      <w:pPr>
        <w:ind w:left="7177" w:hanging="284"/>
      </w:pPr>
      <w:rPr>
        <w:rFonts w:hint="default"/>
        <w:lang w:val="en-US" w:eastAsia="en-US" w:bidi="ar-SA"/>
      </w:rPr>
    </w:lvl>
    <w:lvl w:ilvl="8">
      <w:numFmt w:val="bullet"/>
      <w:lvlText w:val="•"/>
      <w:lvlJc w:val="left"/>
      <w:pPr>
        <w:ind w:left="8259" w:hanging="284"/>
      </w:pPr>
      <w:rPr>
        <w:rFonts w:hint="default"/>
        <w:lang w:val="en-US" w:eastAsia="en-US" w:bidi="ar-SA"/>
      </w:rPr>
    </w:lvl>
  </w:abstractNum>
  <w:abstractNum w:abstractNumId="9" w15:restartNumberingAfterBreak="0">
    <w:nsid w:val="0EAA344D"/>
    <w:multiLevelType w:val="multilevel"/>
    <w:tmpl w:val="581A5628"/>
    <w:lvl w:ilvl="0">
      <w:start w:val="1"/>
      <w:numFmt w:val="decimal"/>
      <w:lvlText w:val="%1."/>
      <w:lvlJc w:val="left"/>
      <w:pPr>
        <w:ind w:left="448" w:hanging="338"/>
      </w:pPr>
      <w:rPr>
        <w:rFonts w:ascii="Arial" w:eastAsia="Arial" w:hAnsi="Arial" w:cs="Arial" w:hint="default"/>
        <w:b w:val="0"/>
        <w:bCs w:val="0"/>
        <w:i w:val="0"/>
        <w:iCs w:val="0"/>
        <w:color w:val="00529F"/>
        <w:spacing w:val="-18"/>
        <w:w w:val="100"/>
        <w:sz w:val="32"/>
        <w:szCs w:val="32"/>
        <w:lang w:val="en-US" w:eastAsia="en-US" w:bidi="ar-SA"/>
      </w:rPr>
    </w:lvl>
    <w:lvl w:ilvl="1">
      <w:start w:val="1"/>
      <w:numFmt w:val="decimal"/>
      <w:lvlText w:val="%1.%2"/>
      <w:lvlJc w:val="left"/>
      <w:pPr>
        <w:ind w:left="548" w:hanging="438"/>
      </w:pPr>
      <w:rPr>
        <w:rFonts w:hint="default"/>
        <w:spacing w:val="-25"/>
        <w:w w:val="100"/>
        <w:lang w:val="en-US" w:eastAsia="en-US" w:bidi="ar-SA"/>
      </w:rPr>
    </w:lvl>
    <w:lvl w:ilvl="2">
      <w:start w:val="1"/>
      <w:numFmt w:val="decimal"/>
      <w:lvlText w:val="%1.%2.%3"/>
      <w:lvlJc w:val="left"/>
      <w:pPr>
        <w:ind w:left="722" w:hanging="438"/>
      </w:pPr>
      <w:rPr>
        <w:rFonts w:ascii="Arial" w:eastAsia="Arial" w:hAnsi="Arial" w:cs="Arial" w:hint="default"/>
        <w:b/>
        <w:bCs/>
        <w:i w:val="0"/>
        <w:iCs w:val="0"/>
        <w:color w:val="58595B"/>
        <w:spacing w:val="-1"/>
        <w:w w:val="100"/>
        <w:sz w:val="24"/>
        <w:szCs w:val="24"/>
        <w:lang w:val="en-US" w:eastAsia="en-US" w:bidi="ar-SA"/>
      </w:rPr>
    </w:lvl>
    <w:lvl w:ilvl="3">
      <w:numFmt w:val="bullet"/>
      <w:lvlText w:val="•"/>
      <w:lvlJc w:val="left"/>
      <w:pPr>
        <w:ind w:left="393" w:hanging="438"/>
      </w:pPr>
      <w:rPr>
        <w:rFonts w:ascii="Arial" w:eastAsia="Arial" w:hAnsi="Arial" w:cs="Arial" w:hint="default"/>
        <w:b w:val="0"/>
        <w:bCs w:val="0"/>
        <w:i w:val="0"/>
        <w:iCs w:val="0"/>
        <w:color w:val="3D68AD"/>
        <w:w w:val="100"/>
        <w:sz w:val="14"/>
        <w:szCs w:val="14"/>
        <w:lang w:val="en-US" w:eastAsia="en-US" w:bidi="ar-SA"/>
      </w:rPr>
    </w:lvl>
    <w:lvl w:ilvl="4">
      <w:numFmt w:val="bullet"/>
      <w:lvlText w:val="•"/>
      <w:lvlJc w:val="left"/>
      <w:pPr>
        <w:ind w:left="600" w:hanging="438"/>
      </w:pPr>
      <w:rPr>
        <w:rFonts w:hint="default"/>
        <w:lang w:val="en-US" w:eastAsia="en-US" w:bidi="ar-SA"/>
      </w:rPr>
    </w:lvl>
    <w:lvl w:ilvl="5">
      <w:numFmt w:val="bullet"/>
      <w:lvlText w:val="•"/>
      <w:lvlJc w:val="left"/>
      <w:pPr>
        <w:ind w:left="720" w:hanging="438"/>
      </w:pPr>
      <w:rPr>
        <w:rFonts w:hint="default"/>
        <w:lang w:val="en-US" w:eastAsia="en-US" w:bidi="ar-SA"/>
      </w:rPr>
    </w:lvl>
    <w:lvl w:ilvl="6">
      <w:numFmt w:val="bullet"/>
      <w:lvlText w:val="•"/>
      <w:lvlJc w:val="left"/>
      <w:pPr>
        <w:ind w:left="1683" w:hanging="438"/>
      </w:pPr>
      <w:rPr>
        <w:rFonts w:hint="default"/>
        <w:lang w:val="en-US" w:eastAsia="en-US" w:bidi="ar-SA"/>
      </w:rPr>
    </w:lvl>
    <w:lvl w:ilvl="7">
      <w:numFmt w:val="bullet"/>
      <w:lvlText w:val="•"/>
      <w:lvlJc w:val="left"/>
      <w:pPr>
        <w:ind w:left="2646" w:hanging="438"/>
      </w:pPr>
      <w:rPr>
        <w:rFonts w:hint="default"/>
        <w:lang w:val="en-US" w:eastAsia="en-US" w:bidi="ar-SA"/>
      </w:rPr>
    </w:lvl>
    <w:lvl w:ilvl="8">
      <w:numFmt w:val="bullet"/>
      <w:lvlText w:val="•"/>
      <w:lvlJc w:val="left"/>
      <w:pPr>
        <w:ind w:left="3609" w:hanging="438"/>
      </w:pPr>
      <w:rPr>
        <w:rFonts w:hint="default"/>
        <w:lang w:val="en-US" w:eastAsia="en-US" w:bidi="ar-SA"/>
      </w:rPr>
    </w:lvl>
  </w:abstractNum>
  <w:abstractNum w:abstractNumId="10" w15:restartNumberingAfterBreak="0">
    <w:nsid w:val="110A5E0D"/>
    <w:multiLevelType w:val="hybridMultilevel"/>
    <w:tmpl w:val="B0D6ADFA"/>
    <w:lvl w:ilvl="0" w:tplc="DDA0D854">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8D80C866">
      <w:numFmt w:val="bullet"/>
      <w:lvlText w:val="•"/>
      <w:lvlJc w:val="left"/>
      <w:pPr>
        <w:ind w:left="1422" w:hanging="227"/>
      </w:pPr>
      <w:rPr>
        <w:rFonts w:hint="default"/>
        <w:lang w:val="en-US" w:eastAsia="en-US" w:bidi="ar-SA"/>
      </w:rPr>
    </w:lvl>
    <w:lvl w:ilvl="2" w:tplc="679AE7BA">
      <w:numFmt w:val="bullet"/>
      <w:lvlText w:val="•"/>
      <w:lvlJc w:val="left"/>
      <w:pPr>
        <w:ind w:left="2505" w:hanging="227"/>
      </w:pPr>
      <w:rPr>
        <w:rFonts w:hint="default"/>
        <w:lang w:val="en-US" w:eastAsia="en-US" w:bidi="ar-SA"/>
      </w:rPr>
    </w:lvl>
    <w:lvl w:ilvl="3" w:tplc="8F8A2CF4">
      <w:numFmt w:val="bullet"/>
      <w:lvlText w:val="•"/>
      <w:lvlJc w:val="left"/>
      <w:pPr>
        <w:ind w:left="3587" w:hanging="227"/>
      </w:pPr>
      <w:rPr>
        <w:rFonts w:hint="default"/>
        <w:lang w:val="en-US" w:eastAsia="en-US" w:bidi="ar-SA"/>
      </w:rPr>
    </w:lvl>
    <w:lvl w:ilvl="4" w:tplc="D876D050">
      <w:numFmt w:val="bullet"/>
      <w:lvlText w:val="•"/>
      <w:lvlJc w:val="left"/>
      <w:pPr>
        <w:ind w:left="4670" w:hanging="227"/>
      </w:pPr>
      <w:rPr>
        <w:rFonts w:hint="default"/>
        <w:lang w:val="en-US" w:eastAsia="en-US" w:bidi="ar-SA"/>
      </w:rPr>
    </w:lvl>
    <w:lvl w:ilvl="5" w:tplc="2CBC7C94">
      <w:numFmt w:val="bullet"/>
      <w:lvlText w:val="•"/>
      <w:lvlJc w:val="left"/>
      <w:pPr>
        <w:ind w:left="5752" w:hanging="227"/>
      </w:pPr>
      <w:rPr>
        <w:rFonts w:hint="default"/>
        <w:lang w:val="en-US" w:eastAsia="en-US" w:bidi="ar-SA"/>
      </w:rPr>
    </w:lvl>
    <w:lvl w:ilvl="6" w:tplc="ADF07EDA">
      <w:numFmt w:val="bullet"/>
      <w:lvlText w:val="•"/>
      <w:lvlJc w:val="left"/>
      <w:pPr>
        <w:ind w:left="6835" w:hanging="227"/>
      </w:pPr>
      <w:rPr>
        <w:rFonts w:hint="default"/>
        <w:lang w:val="en-US" w:eastAsia="en-US" w:bidi="ar-SA"/>
      </w:rPr>
    </w:lvl>
    <w:lvl w:ilvl="7" w:tplc="E9E0C706">
      <w:numFmt w:val="bullet"/>
      <w:lvlText w:val="•"/>
      <w:lvlJc w:val="left"/>
      <w:pPr>
        <w:ind w:left="7917" w:hanging="227"/>
      </w:pPr>
      <w:rPr>
        <w:rFonts w:hint="default"/>
        <w:lang w:val="en-US" w:eastAsia="en-US" w:bidi="ar-SA"/>
      </w:rPr>
    </w:lvl>
    <w:lvl w:ilvl="8" w:tplc="D234AE7A">
      <w:numFmt w:val="bullet"/>
      <w:lvlText w:val="•"/>
      <w:lvlJc w:val="left"/>
      <w:pPr>
        <w:ind w:left="9000" w:hanging="227"/>
      </w:pPr>
      <w:rPr>
        <w:rFonts w:hint="default"/>
        <w:lang w:val="en-US" w:eastAsia="en-US" w:bidi="ar-SA"/>
      </w:rPr>
    </w:lvl>
  </w:abstractNum>
  <w:abstractNum w:abstractNumId="11" w15:restartNumberingAfterBreak="0">
    <w:nsid w:val="12086F2F"/>
    <w:multiLevelType w:val="hybridMultilevel"/>
    <w:tmpl w:val="5A4A25AC"/>
    <w:lvl w:ilvl="0" w:tplc="83B6853C">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DD70C9DA">
      <w:numFmt w:val="bullet"/>
      <w:lvlText w:val="•"/>
      <w:lvlJc w:val="left"/>
      <w:pPr>
        <w:ind w:left="1402" w:hanging="284"/>
      </w:pPr>
      <w:rPr>
        <w:rFonts w:hint="default"/>
        <w:lang w:val="en-US" w:eastAsia="en-US" w:bidi="ar-SA"/>
      </w:rPr>
    </w:lvl>
    <w:lvl w:ilvl="2" w:tplc="280CC512">
      <w:numFmt w:val="bullet"/>
      <w:lvlText w:val="•"/>
      <w:lvlJc w:val="left"/>
      <w:pPr>
        <w:ind w:left="2405" w:hanging="284"/>
      </w:pPr>
      <w:rPr>
        <w:rFonts w:hint="default"/>
        <w:lang w:val="en-US" w:eastAsia="en-US" w:bidi="ar-SA"/>
      </w:rPr>
    </w:lvl>
    <w:lvl w:ilvl="3" w:tplc="B860B6C2">
      <w:numFmt w:val="bullet"/>
      <w:lvlText w:val="•"/>
      <w:lvlJc w:val="left"/>
      <w:pPr>
        <w:ind w:left="3407" w:hanging="284"/>
      </w:pPr>
      <w:rPr>
        <w:rFonts w:hint="default"/>
        <w:lang w:val="en-US" w:eastAsia="en-US" w:bidi="ar-SA"/>
      </w:rPr>
    </w:lvl>
    <w:lvl w:ilvl="4" w:tplc="DD883E3C">
      <w:numFmt w:val="bullet"/>
      <w:lvlText w:val="•"/>
      <w:lvlJc w:val="left"/>
      <w:pPr>
        <w:ind w:left="4410" w:hanging="284"/>
      </w:pPr>
      <w:rPr>
        <w:rFonts w:hint="default"/>
        <w:lang w:val="en-US" w:eastAsia="en-US" w:bidi="ar-SA"/>
      </w:rPr>
    </w:lvl>
    <w:lvl w:ilvl="5" w:tplc="E03AC2B4">
      <w:numFmt w:val="bullet"/>
      <w:lvlText w:val="•"/>
      <w:lvlJc w:val="left"/>
      <w:pPr>
        <w:ind w:left="5412" w:hanging="284"/>
      </w:pPr>
      <w:rPr>
        <w:rFonts w:hint="default"/>
        <w:lang w:val="en-US" w:eastAsia="en-US" w:bidi="ar-SA"/>
      </w:rPr>
    </w:lvl>
    <w:lvl w:ilvl="6" w:tplc="244E23B0">
      <w:numFmt w:val="bullet"/>
      <w:lvlText w:val="•"/>
      <w:lvlJc w:val="left"/>
      <w:pPr>
        <w:ind w:left="6415" w:hanging="284"/>
      </w:pPr>
      <w:rPr>
        <w:rFonts w:hint="default"/>
        <w:lang w:val="en-US" w:eastAsia="en-US" w:bidi="ar-SA"/>
      </w:rPr>
    </w:lvl>
    <w:lvl w:ilvl="7" w:tplc="9CB436D2">
      <w:numFmt w:val="bullet"/>
      <w:lvlText w:val="•"/>
      <w:lvlJc w:val="left"/>
      <w:pPr>
        <w:ind w:left="7417" w:hanging="284"/>
      </w:pPr>
      <w:rPr>
        <w:rFonts w:hint="default"/>
        <w:lang w:val="en-US" w:eastAsia="en-US" w:bidi="ar-SA"/>
      </w:rPr>
    </w:lvl>
    <w:lvl w:ilvl="8" w:tplc="660652A0">
      <w:numFmt w:val="bullet"/>
      <w:lvlText w:val="•"/>
      <w:lvlJc w:val="left"/>
      <w:pPr>
        <w:ind w:left="8420" w:hanging="284"/>
      </w:pPr>
      <w:rPr>
        <w:rFonts w:hint="default"/>
        <w:lang w:val="en-US" w:eastAsia="en-US" w:bidi="ar-SA"/>
      </w:rPr>
    </w:lvl>
  </w:abstractNum>
  <w:abstractNum w:abstractNumId="12" w15:restartNumberingAfterBreak="0">
    <w:nsid w:val="13A84AA3"/>
    <w:multiLevelType w:val="hybridMultilevel"/>
    <w:tmpl w:val="2E92269E"/>
    <w:lvl w:ilvl="0" w:tplc="F4ECBFC0">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C5B42C94">
      <w:numFmt w:val="bullet"/>
      <w:lvlText w:val="•"/>
      <w:lvlJc w:val="left"/>
      <w:pPr>
        <w:ind w:left="1422" w:hanging="227"/>
      </w:pPr>
      <w:rPr>
        <w:rFonts w:hint="default"/>
        <w:lang w:val="en-US" w:eastAsia="en-US" w:bidi="ar-SA"/>
      </w:rPr>
    </w:lvl>
    <w:lvl w:ilvl="2" w:tplc="6F72C444">
      <w:numFmt w:val="bullet"/>
      <w:lvlText w:val="•"/>
      <w:lvlJc w:val="left"/>
      <w:pPr>
        <w:ind w:left="2505" w:hanging="227"/>
      </w:pPr>
      <w:rPr>
        <w:rFonts w:hint="default"/>
        <w:lang w:val="en-US" w:eastAsia="en-US" w:bidi="ar-SA"/>
      </w:rPr>
    </w:lvl>
    <w:lvl w:ilvl="3" w:tplc="17C436AE">
      <w:numFmt w:val="bullet"/>
      <w:lvlText w:val="•"/>
      <w:lvlJc w:val="left"/>
      <w:pPr>
        <w:ind w:left="3587" w:hanging="227"/>
      </w:pPr>
      <w:rPr>
        <w:rFonts w:hint="default"/>
        <w:lang w:val="en-US" w:eastAsia="en-US" w:bidi="ar-SA"/>
      </w:rPr>
    </w:lvl>
    <w:lvl w:ilvl="4" w:tplc="32D80D0A">
      <w:numFmt w:val="bullet"/>
      <w:lvlText w:val="•"/>
      <w:lvlJc w:val="left"/>
      <w:pPr>
        <w:ind w:left="4670" w:hanging="227"/>
      </w:pPr>
      <w:rPr>
        <w:rFonts w:hint="default"/>
        <w:lang w:val="en-US" w:eastAsia="en-US" w:bidi="ar-SA"/>
      </w:rPr>
    </w:lvl>
    <w:lvl w:ilvl="5" w:tplc="B5B0902C">
      <w:numFmt w:val="bullet"/>
      <w:lvlText w:val="•"/>
      <w:lvlJc w:val="left"/>
      <w:pPr>
        <w:ind w:left="5752" w:hanging="227"/>
      </w:pPr>
      <w:rPr>
        <w:rFonts w:hint="default"/>
        <w:lang w:val="en-US" w:eastAsia="en-US" w:bidi="ar-SA"/>
      </w:rPr>
    </w:lvl>
    <w:lvl w:ilvl="6" w:tplc="4B347AFE">
      <w:numFmt w:val="bullet"/>
      <w:lvlText w:val="•"/>
      <w:lvlJc w:val="left"/>
      <w:pPr>
        <w:ind w:left="6835" w:hanging="227"/>
      </w:pPr>
      <w:rPr>
        <w:rFonts w:hint="default"/>
        <w:lang w:val="en-US" w:eastAsia="en-US" w:bidi="ar-SA"/>
      </w:rPr>
    </w:lvl>
    <w:lvl w:ilvl="7" w:tplc="F190A544">
      <w:numFmt w:val="bullet"/>
      <w:lvlText w:val="•"/>
      <w:lvlJc w:val="left"/>
      <w:pPr>
        <w:ind w:left="7917" w:hanging="227"/>
      </w:pPr>
      <w:rPr>
        <w:rFonts w:hint="default"/>
        <w:lang w:val="en-US" w:eastAsia="en-US" w:bidi="ar-SA"/>
      </w:rPr>
    </w:lvl>
    <w:lvl w:ilvl="8" w:tplc="AFF256CA">
      <w:numFmt w:val="bullet"/>
      <w:lvlText w:val="•"/>
      <w:lvlJc w:val="left"/>
      <w:pPr>
        <w:ind w:left="9000" w:hanging="227"/>
      </w:pPr>
      <w:rPr>
        <w:rFonts w:hint="default"/>
        <w:lang w:val="en-US" w:eastAsia="en-US" w:bidi="ar-SA"/>
      </w:rPr>
    </w:lvl>
  </w:abstractNum>
  <w:abstractNum w:abstractNumId="13" w15:restartNumberingAfterBreak="0">
    <w:nsid w:val="13F83A98"/>
    <w:multiLevelType w:val="hybridMultilevel"/>
    <w:tmpl w:val="23364E76"/>
    <w:lvl w:ilvl="0" w:tplc="861439EE">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DE2CED02">
      <w:numFmt w:val="bullet"/>
      <w:lvlText w:val="•"/>
      <w:lvlJc w:val="left"/>
      <w:pPr>
        <w:ind w:left="1350" w:hanging="227"/>
      </w:pPr>
      <w:rPr>
        <w:rFonts w:hint="default"/>
        <w:lang w:val="en-US" w:eastAsia="en-US" w:bidi="ar-SA"/>
      </w:rPr>
    </w:lvl>
    <w:lvl w:ilvl="2" w:tplc="FB1C282E">
      <w:numFmt w:val="bullet"/>
      <w:lvlText w:val="•"/>
      <w:lvlJc w:val="left"/>
      <w:pPr>
        <w:ind w:left="2361" w:hanging="227"/>
      </w:pPr>
      <w:rPr>
        <w:rFonts w:hint="default"/>
        <w:lang w:val="en-US" w:eastAsia="en-US" w:bidi="ar-SA"/>
      </w:rPr>
    </w:lvl>
    <w:lvl w:ilvl="3" w:tplc="D1F2F076">
      <w:numFmt w:val="bullet"/>
      <w:lvlText w:val="•"/>
      <w:lvlJc w:val="left"/>
      <w:pPr>
        <w:ind w:left="3371" w:hanging="227"/>
      </w:pPr>
      <w:rPr>
        <w:rFonts w:hint="default"/>
        <w:lang w:val="en-US" w:eastAsia="en-US" w:bidi="ar-SA"/>
      </w:rPr>
    </w:lvl>
    <w:lvl w:ilvl="4" w:tplc="68AE3176">
      <w:numFmt w:val="bullet"/>
      <w:lvlText w:val="•"/>
      <w:lvlJc w:val="left"/>
      <w:pPr>
        <w:ind w:left="4382" w:hanging="227"/>
      </w:pPr>
      <w:rPr>
        <w:rFonts w:hint="default"/>
        <w:lang w:val="en-US" w:eastAsia="en-US" w:bidi="ar-SA"/>
      </w:rPr>
    </w:lvl>
    <w:lvl w:ilvl="5" w:tplc="065C79C0">
      <w:numFmt w:val="bullet"/>
      <w:lvlText w:val="•"/>
      <w:lvlJc w:val="left"/>
      <w:pPr>
        <w:ind w:left="5392" w:hanging="227"/>
      </w:pPr>
      <w:rPr>
        <w:rFonts w:hint="default"/>
        <w:lang w:val="en-US" w:eastAsia="en-US" w:bidi="ar-SA"/>
      </w:rPr>
    </w:lvl>
    <w:lvl w:ilvl="6" w:tplc="43102AB2">
      <w:numFmt w:val="bullet"/>
      <w:lvlText w:val="•"/>
      <w:lvlJc w:val="left"/>
      <w:pPr>
        <w:ind w:left="6403" w:hanging="227"/>
      </w:pPr>
      <w:rPr>
        <w:rFonts w:hint="default"/>
        <w:lang w:val="en-US" w:eastAsia="en-US" w:bidi="ar-SA"/>
      </w:rPr>
    </w:lvl>
    <w:lvl w:ilvl="7" w:tplc="6BA8A4D4">
      <w:numFmt w:val="bullet"/>
      <w:lvlText w:val="•"/>
      <w:lvlJc w:val="left"/>
      <w:pPr>
        <w:ind w:left="7413" w:hanging="227"/>
      </w:pPr>
      <w:rPr>
        <w:rFonts w:hint="default"/>
        <w:lang w:val="en-US" w:eastAsia="en-US" w:bidi="ar-SA"/>
      </w:rPr>
    </w:lvl>
    <w:lvl w:ilvl="8" w:tplc="C5AAB4D8">
      <w:numFmt w:val="bullet"/>
      <w:lvlText w:val="•"/>
      <w:lvlJc w:val="left"/>
      <w:pPr>
        <w:ind w:left="8424" w:hanging="227"/>
      </w:pPr>
      <w:rPr>
        <w:rFonts w:hint="default"/>
        <w:lang w:val="en-US" w:eastAsia="en-US" w:bidi="ar-SA"/>
      </w:rPr>
    </w:lvl>
  </w:abstractNum>
  <w:abstractNum w:abstractNumId="14" w15:restartNumberingAfterBreak="0">
    <w:nsid w:val="164919C0"/>
    <w:multiLevelType w:val="multilevel"/>
    <w:tmpl w:val="418AB962"/>
    <w:lvl w:ilvl="0">
      <w:start w:val="8"/>
      <w:numFmt w:val="decimal"/>
      <w:lvlText w:val="%1"/>
      <w:lvlJc w:val="left"/>
      <w:pPr>
        <w:ind w:left="552" w:hanging="443"/>
      </w:pPr>
      <w:rPr>
        <w:rFonts w:hint="default"/>
        <w:lang w:val="en-US" w:eastAsia="en-US" w:bidi="ar-SA"/>
      </w:rPr>
    </w:lvl>
    <w:lvl w:ilvl="1">
      <w:start w:val="1"/>
      <w:numFmt w:val="decimal"/>
      <w:lvlText w:val="%1.%2"/>
      <w:lvlJc w:val="left"/>
      <w:pPr>
        <w:ind w:left="552" w:hanging="443"/>
      </w:pPr>
      <w:rPr>
        <w:rFonts w:ascii="Arial" w:eastAsia="Arial" w:hAnsi="Arial" w:cs="Arial" w:hint="default"/>
        <w:b/>
        <w:bCs/>
        <w:i w:val="0"/>
        <w:iCs w:val="0"/>
        <w:color w:val="3D68AD"/>
        <w:spacing w:val="-25"/>
        <w:w w:val="100"/>
        <w:sz w:val="28"/>
        <w:szCs w:val="28"/>
        <w:lang w:val="en-US" w:eastAsia="en-US" w:bidi="ar-SA"/>
      </w:rPr>
    </w:lvl>
    <w:lvl w:ilvl="2">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3">
      <w:numFmt w:val="bullet"/>
      <w:lvlText w:val="•"/>
      <w:lvlJc w:val="left"/>
      <w:pPr>
        <w:ind w:left="563" w:hanging="171"/>
      </w:pPr>
      <w:rPr>
        <w:rFonts w:ascii="Arial" w:eastAsia="Arial" w:hAnsi="Arial" w:cs="Arial" w:hint="default"/>
        <w:b w:val="0"/>
        <w:bCs w:val="0"/>
        <w:i w:val="0"/>
        <w:iCs w:val="0"/>
        <w:color w:val="3D68AD"/>
        <w:w w:val="100"/>
        <w:sz w:val="14"/>
        <w:szCs w:val="14"/>
        <w:lang w:val="en-US" w:eastAsia="en-US" w:bidi="ar-SA"/>
      </w:rPr>
    </w:lvl>
    <w:lvl w:ilvl="4">
      <w:numFmt w:val="bullet"/>
      <w:lvlText w:val="•"/>
      <w:lvlJc w:val="left"/>
      <w:pPr>
        <w:ind w:left="3855" w:hanging="171"/>
      </w:pPr>
      <w:rPr>
        <w:rFonts w:hint="default"/>
        <w:lang w:val="en-US" w:eastAsia="en-US" w:bidi="ar-SA"/>
      </w:rPr>
    </w:lvl>
    <w:lvl w:ilvl="5">
      <w:numFmt w:val="bullet"/>
      <w:lvlText w:val="•"/>
      <w:lvlJc w:val="left"/>
      <w:pPr>
        <w:ind w:left="4953" w:hanging="171"/>
      </w:pPr>
      <w:rPr>
        <w:rFonts w:hint="default"/>
        <w:lang w:val="en-US" w:eastAsia="en-US" w:bidi="ar-SA"/>
      </w:rPr>
    </w:lvl>
    <w:lvl w:ilvl="6">
      <w:numFmt w:val="bullet"/>
      <w:lvlText w:val="•"/>
      <w:lvlJc w:val="left"/>
      <w:pPr>
        <w:ind w:left="6051" w:hanging="171"/>
      </w:pPr>
      <w:rPr>
        <w:rFonts w:hint="default"/>
        <w:lang w:val="en-US" w:eastAsia="en-US" w:bidi="ar-SA"/>
      </w:rPr>
    </w:lvl>
    <w:lvl w:ilvl="7">
      <w:numFmt w:val="bullet"/>
      <w:lvlText w:val="•"/>
      <w:lvlJc w:val="left"/>
      <w:pPr>
        <w:ind w:left="7150" w:hanging="171"/>
      </w:pPr>
      <w:rPr>
        <w:rFonts w:hint="default"/>
        <w:lang w:val="en-US" w:eastAsia="en-US" w:bidi="ar-SA"/>
      </w:rPr>
    </w:lvl>
    <w:lvl w:ilvl="8">
      <w:numFmt w:val="bullet"/>
      <w:lvlText w:val="•"/>
      <w:lvlJc w:val="left"/>
      <w:pPr>
        <w:ind w:left="8248" w:hanging="171"/>
      </w:pPr>
      <w:rPr>
        <w:rFonts w:hint="default"/>
        <w:lang w:val="en-US" w:eastAsia="en-US" w:bidi="ar-SA"/>
      </w:rPr>
    </w:lvl>
  </w:abstractNum>
  <w:abstractNum w:abstractNumId="15" w15:restartNumberingAfterBreak="0">
    <w:nsid w:val="17C522BF"/>
    <w:multiLevelType w:val="hybridMultilevel"/>
    <w:tmpl w:val="4006863E"/>
    <w:lvl w:ilvl="0" w:tplc="752EF83C">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A7922408">
      <w:numFmt w:val="bullet"/>
      <w:lvlText w:val="•"/>
      <w:lvlJc w:val="left"/>
      <w:pPr>
        <w:ind w:left="1101" w:hanging="284"/>
      </w:pPr>
      <w:rPr>
        <w:rFonts w:hint="default"/>
        <w:lang w:val="en-US" w:eastAsia="en-US" w:bidi="ar-SA"/>
      </w:rPr>
    </w:lvl>
    <w:lvl w:ilvl="2" w:tplc="A00A2A62">
      <w:numFmt w:val="bullet"/>
      <w:lvlText w:val="•"/>
      <w:lvlJc w:val="left"/>
      <w:pPr>
        <w:ind w:left="1923" w:hanging="284"/>
      </w:pPr>
      <w:rPr>
        <w:rFonts w:hint="default"/>
        <w:lang w:val="en-US" w:eastAsia="en-US" w:bidi="ar-SA"/>
      </w:rPr>
    </w:lvl>
    <w:lvl w:ilvl="3" w:tplc="722A13E8">
      <w:numFmt w:val="bullet"/>
      <w:lvlText w:val="•"/>
      <w:lvlJc w:val="left"/>
      <w:pPr>
        <w:ind w:left="2745" w:hanging="284"/>
      </w:pPr>
      <w:rPr>
        <w:rFonts w:hint="default"/>
        <w:lang w:val="en-US" w:eastAsia="en-US" w:bidi="ar-SA"/>
      </w:rPr>
    </w:lvl>
    <w:lvl w:ilvl="4" w:tplc="1084D88C">
      <w:numFmt w:val="bullet"/>
      <w:lvlText w:val="•"/>
      <w:lvlJc w:val="left"/>
      <w:pPr>
        <w:ind w:left="3567" w:hanging="284"/>
      </w:pPr>
      <w:rPr>
        <w:rFonts w:hint="default"/>
        <w:lang w:val="en-US" w:eastAsia="en-US" w:bidi="ar-SA"/>
      </w:rPr>
    </w:lvl>
    <w:lvl w:ilvl="5" w:tplc="2190D202">
      <w:numFmt w:val="bullet"/>
      <w:lvlText w:val="•"/>
      <w:lvlJc w:val="left"/>
      <w:pPr>
        <w:ind w:left="4389" w:hanging="284"/>
      </w:pPr>
      <w:rPr>
        <w:rFonts w:hint="default"/>
        <w:lang w:val="en-US" w:eastAsia="en-US" w:bidi="ar-SA"/>
      </w:rPr>
    </w:lvl>
    <w:lvl w:ilvl="6" w:tplc="1E224E16">
      <w:numFmt w:val="bullet"/>
      <w:lvlText w:val="•"/>
      <w:lvlJc w:val="left"/>
      <w:pPr>
        <w:ind w:left="5211" w:hanging="284"/>
      </w:pPr>
      <w:rPr>
        <w:rFonts w:hint="default"/>
        <w:lang w:val="en-US" w:eastAsia="en-US" w:bidi="ar-SA"/>
      </w:rPr>
    </w:lvl>
    <w:lvl w:ilvl="7" w:tplc="364C4B20">
      <w:numFmt w:val="bullet"/>
      <w:lvlText w:val="•"/>
      <w:lvlJc w:val="left"/>
      <w:pPr>
        <w:ind w:left="6033" w:hanging="284"/>
      </w:pPr>
      <w:rPr>
        <w:rFonts w:hint="default"/>
        <w:lang w:val="en-US" w:eastAsia="en-US" w:bidi="ar-SA"/>
      </w:rPr>
    </w:lvl>
    <w:lvl w:ilvl="8" w:tplc="670CC5DC">
      <w:numFmt w:val="bullet"/>
      <w:lvlText w:val="•"/>
      <w:lvlJc w:val="left"/>
      <w:pPr>
        <w:ind w:left="6855" w:hanging="284"/>
      </w:pPr>
      <w:rPr>
        <w:rFonts w:hint="default"/>
        <w:lang w:val="en-US" w:eastAsia="en-US" w:bidi="ar-SA"/>
      </w:rPr>
    </w:lvl>
  </w:abstractNum>
  <w:abstractNum w:abstractNumId="16" w15:restartNumberingAfterBreak="0">
    <w:nsid w:val="186812A5"/>
    <w:multiLevelType w:val="multilevel"/>
    <w:tmpl w:val="0BD424EA"/>
    <w:lvl w:ilvl="0">
      <w:start w:val="8"/>
      <w:numFmt w:val="decimal"/>
      <w:lvlText w:val="%1"/>
      <w:lvlJc w:val="left"/>
      <w:pPr>
        <w:ind w:left="552" w:hanging="443"/>
      </w:pPr>
      <w:rPr>
        <w:rFonts w:hint="default"/>
        <w:lang w:val="en-US" w:eastAsia="en-US" w:bidi="ar-SA"/>
      </w:rPr>
    </w:lvl>
    <w:lvl w:ilvl="1">
      <w:start w:val="1"/>
      <w:numFmt w:val="decimal"/>
      <w:lvlText w:val="%1.%2"/>
      <w:lvlJc w:val="left"/>
      <w:pPr>
        <w:ind w:left="552" w:hanging="443"/>
      </w:pPr>
      <w:rPr>
        <w:rFonts w:ascii="Arial" w:eastAsia="Arial" w:hAnsi="Arial" w:cs="Arial" w:hint="default"/>
        <w:b/>
        <w:bCs/>
        <w:i w:val="0"/>
        <w:iCs w:val="0"/>
        <w:color w:val="3D68AD"/>
        <w:spacing w:val="-25"/>
        <w:w w:val="100"/>
        <w:sz w:val="28"/>
        <w:szCs w:val="28"/>
        <w:lang w:val="en-US" w:eastAsia="en-US" w:bidi="ar-SA"/>
      </w:rPr>
    </w:lvl>
    <w:lvl w:ilvl="2">
      <w:start w:val="1"/>
      <w:numFmt w:val="decimal"/>
      <w:lvlText w:val="%1.%2.%3"/>
      <w:lvlJc w:val="left"/>
      <w:pPr>
        <w:ind w:left="710" w:hanging="601"/>
      </w:pPr>
      <w:rPr>
        <w:rFonts w:ascii="Arial" w:eastAsia="Arial" w:hAnsi="Arial" w:cs="Arial" w:hint="default"/>
        <w:b/>
        <w:bCs/>
        <w:i w:val="0"/>
        <w:iCs w:val="0"/>
        <w:color w:val="58595B"/>
        <w:spacing w:val="-1"/>
        <w:w w:val="100"/>
        <w:sz w:val="24"/>
        <w:szCs w:val="24"/>
        <w:lang w:val="en-US" w:eastAsia="en-US" w:bidi="ar-SA"/>
      </w:rPr>
    </w:lvl>
    <w:lvl w:ilvl="3">
      <w:numFmt w:val="bullet"/>
      <w:lvlText w:val="•"/>
      <w:lvlJc w:val="left"/>
      <w:pPr>
        <w:ind w:left="3972" w:hanging="601"/>
      </w:pPr>
      <w:rPr>
        <w:rFonts w:hint="default"/>
        <w:lang w:val="en-US" w:eastAsia="en-US" w:bidi="ar-SA"/>
      </w:rPr>
    </w:lvl>
    <w:lvl w:ilvl="4">
      <w:numFmt w:val="bullet"/>
      <w:lvlText w:val="•"/>
      <w:lvlJc w:val="left"/>
      <w:pPr>
        <w:ind w:left="5599" w:hanging="601"/>
      </w:pPr>
      <w:rPr>
        <w:rFonts w:hint="default"/>
        <w:lang w:val="en-US" w:eastAsia="en-US" w:bidi="ar-SA"/>
      </w:rPr>
    </w:lvl>
    <w:lvl w:ilvl="5">
      <w:numFmt w:val="bullet"/>
      <w:lvlText w:val="•"/>
      <w:lvlJc w:val="left"/>
      <w:pPr>
        <w:ind w:left="7225" w:hanging="601"/>
      </w:pPr>
      <w:rPr>
        <w:rFonts w:hint="default"/>
        <w:lang w:val="en-US" w:eastAsia="en-US" w:bidi="ar-SA"/>
      </w:rPr>
    </w:lvl>
    <w:lvl w:ilvl="6">
      <w:numFmt w:val="bullet"/>
      <w:lvlText w:val="•"/>
      <w:lvlJc w:val="left"/>
      <w:pPr>
        <w:ind w:left="8852" w:hanging="601"/>
      </w:pPr>
      <w:rPr>
        <w:rFonts w:hint="default"/>
        <w:lang w:val="en-US" w:eastAsia="en-US" w:bidi="ar-SA"/>
      </w:rPr>
    </w:lvl>
    <w:lvl w:ilvl="7">
      <w:numFmt w:val="bullet"/>
      <w:lvlText w:val="•"/>
      <w:lvlJc w:val="left"/>
      <w:pPr>
        <w:ind w:left="10478" w:hanging="601"/>
      </w:pPr>
      <w:rPr>
        <w:rFonts w:hint="default"/>
        <w:lang w:val="en-US" w:eastAsia="en-US" w:bidi="ar-SA"/>
      </w:rPr>
    </w:lvl>
    <w:lvl w:ilvl="8">
      <w:numFmt w:val="bullet"/>
      <w:lvlText w:val="•"/>
      <w:lvlJc w:val="left"/>
      <w:pPr>
        <w:ind w:left="12104" w:hanging="601"/>
      </w:pPr>
      <w:rPr>
        <w:rFonts w:hint="default"/>
        <w:lang w:val="en-US" w:eastAsia="en-US" w:bidi="ar-SA"/>
      </w:rPr>
    </w:lvl>
  </w:abstractNum>
  <w:abstractNum w:abstractNumId="17" w15:restartNumberingAfterBreak="0">
    <w:nsid w:val="18936352"/>
    <w:multiLevelType w:val="hybridMultilevel"/>
    <w:tmpl w:val="0812E744"/>
    <w:lvl w:ilvl="0" w:tplc="D70ED444">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DFD21E0C">
      <w:numFmt w:val="bullet"/>
      <w:lvlText w:val="•"/>
      <w:lvlJc w:val="left"/>
      <w:pPr>
        <w:ind w:left="1422" w:hanging="227"/>
      </w:pPr>
      <w:rPr>
        <w:rFonts w:hint="default"/>
        <w:lang w:val="en-US" w:eastAsia="en-US" w:bidi="ar-SA"/>
      </w:rPr>
    </w:lvl>
    <w:lvl w:ilvl="2" w:tplc="1EFCFBF4">
      <w:numFmt w:val="bullet"/>
      <w:lvlText w:val="•"/>
      <w:lvlJc w:val="left"/>
      <w:pPr>
        <w:ind w:left="2505" w:hanging="227"/>
      </w:pPr>
      <w:rPr>
        <w:rFonts w:hint="default"/>
        <w:lang w:val="en-US" w:eastAsia="en-US" w:bidi="ar-SA"/>
      </w:rPr>
    </w:lvl>
    <w:lvl w:ilvl="3" w:tplc="5600B0D0">
      <w:numFmt w:val="bullet"/>
      <w:lvlText w:val="•"/>
      <w:lvlJc w:val="left"/>
      <w:pPr>
        <w:ind w:left="3587" w:hanging="227"/>
      </w:pPr>
      <w:rPr>
        <w:rFonts w:hint="default"/>
        <w:lang w:val="en-US" w:eastAsia="en-US" w:bidi="ar-SA"/>
      </w:rPr>
    </w:lvl>
    <w:lvl w:ilvl="4" w:tplc="9F1217F4">
      <w:numFmt w:val="bullet"/>
      <w:lvlText w:val="•"/>
      <w:lvlJc w:val="left"/>
      <w:pPr>
        <w:ind w:left="4670" w:hanging="227"/>
      </w:pPr>
      <w:rPr>
        <w:rFonts w:hint="default"/>
        <w:lang w:val="en-US" w:eastAsia="en-US" w:bidi="ar-SA"/>
      </w:rPr>
    </w:lvl>
    <w:lvl w:ilvl="5" w:tplc="65FE3AC4">
      <w:numFmt w:val="bullet"/>
      <w:lvlText w:val="•"/>
      <w:lvlJc w:val="left"/>
      <w:pPr>
        <w:ind w:left="5752" w:hanging="227"/>
      </w:pPr>
      <w:rPr>
        <w:rFonts w:hint="default"/>
        <w:lang w:val="en-US" w:eastAsia="en-US" w:bidi="ar-SA"/>
      </w:rPr>
    </w:lvl>
    <w:lvl w:ilvl="6" w:tplc="C80AB916">
      <w:numFmt w:val="bullet"/>
      <w:lvlText w:val="•"/>
      <w:lvlJc w:val="left"/>
      <w:pPr>
        <w:ind w:left="6835" w:hanging="227"/>
      </w:pPr>
      <w:rPr>
        <w:rFonts w:hint="default"/>
        <w:lang w:val="en-US" w:eastAsia="en-US" w:bidi="ar-SA"/>
      </w:rPr>
    </w:lvl>
    <w:lvl w:ilvl="7" w:tplc="04C42080">
      <w:numFmt w:val="bullet"/>
      <w:lvlText w:val="•"/>
      <w:lvlJc w:val="left"/>
      <w:pPr>
        <w:ind w:left="7917" w:hanging="227"/>
      </w:pPr>
      <w:rPr>
        <w:rFonts w:hint="default"/>
        <w:lang w:val="en-US" w:eastAsia="en-US" w:bidi="ar-SA"/>
      </w:rPr>
    </w:lvl>
    <w:lvl w:ilvl="8" w:tplc="21089F04">
      <w:numFmt w:val="bullet"/>
      <w:lvlText w:val="•"/>
      <w:lvlJc w:val="left"/>
      <w:pPr>
        <w:ind w:left="9000" w:hanging="227"/>
      </w:pPr>
      <w:rPr>
        <w:rFonts w:hint="default"/>
        <w:lang w:val="en-US" w:eastAsia="en-US" w:bidi="ar-SA"/>
      </w:rPr>
    </w:lvl>
  </w:abstractNum>
  <w:abstractNum w:abstractNumId="18" w15:restartNumberingAfterBreak="0">
    <w:nsid w:val="1BD57355"/>
    <w:multiLevelType w:val="hybridMultilevel"/>
    <w:tmpl w:val="8E1C6C9E"/>
    <w:lvl w:ilvl="0" w:tplc="68EA48EA">
      <w:start w:val="1"/>
      <w:numFmt w:val="decimal"/>
      <w:lvlText w:val="%1"/>
      <w:lvlJc w:val="left"/>
      <w:pPr>
        <w:ind w:left="337" w:hanging="227"/>
      </w:pPr>
      <w:rPr>
        <w:rFonts w:ascii="Arial" w:eastAsia="Arial" w:hAnsi="Arial" w:cs="Arial" w:hint="default"/>
        <w:b w:val="0"/>
        <w:bCs w:val="0"/>
        <w:i w:val="0"/>
        <w:iCs w:val="0"/>
        <w:color w:val="231F20"/>
        <w:w w:val="100"/>
        <w:sz w:val="14"/>
        <w:szCs w:val="14"/>
        <w:lang w:val="en-US" w:eastAsia="en-US" w:bidi="ar-SA"/>
      </w:rPr>
    </w:lvl>
    <w:lvl w:ilvl="1" w:tplc="96325FDA">
      <w:numFmt w:val="bullet"/>
      <w:lvlText w:val="•"/>
      <w:lvlJc w:val="left"/>
      <w:pPr>
        <w:ind w:left="1422" w:hanging="227"/>
      </w:pPr>
      <w:rPr>
        <w:rFonts w:hint="default"/>
        <w:lang w:val="en-US" w:eastAsia="en-US" w:bidi="ar-SA"/>
      </w:rPr>
    </w:lvl>
    <w:lvl w:ilvl="2" w:tplc="8F16AC24">
      <w:numFmt w:val="bullet"/>
      <w:lvlText w:val="•"/>
      <w:lvlJc w:val="left"/>
      <w:pPr>
        <w:ind w:left="2505" w:hanging="227"/>
      </w:pPr>
      <w:rPr>
        <w:rFonts w:hint="default"/>
        <w:lang w:val="en-US" w:eastAsia="en-US" w:bidi="ar-SA"/>
      </w:rPr>
    </w:lvl>
    <w:lvl w:ilvl="3" w:tplc="61D6B098">
      <w:numFmt w:val="bullet"/>
      <w:lvlText w:val="•"/>
      <w:lvlJc w:val="left"/>
      <w:pPr>
        <w:ind w:left="3587" w:hanging="227"/>
      </w:pPr>
      <w:rPr>
        <w:rFonts w:hint="default"/>
        <w:lang w:val="en-US" w:eastAsia="en-US" w:bidi="ar-SA"/>
      </w:rPr>
    </w:lvl>
    <w:lvl w:ilvl="4" w:tplc="6B505B68">
      <w:numFmt w:val="bullet"/>
      <w:lvlText w:val="•"/>
      <w:lvlJc w:val="left"/>
      <w:pPr>
        <w:ind w:left="4670" w:hanging="227"/>
      </w:pPr>
      <w:rPr>
        <w:rFonts w:hint="default"/>
        <w:lang w:val="en-US" w:eastAsia="en-US" w:bidi="ar-SA"/>
      </w:rPr>
    </w:lvl>
    <w:lvl w:ilvl="5" w:tplc="37FE7FAE">
      <w:numFmt w:val="bullet"/>
      <w:lvlText w:val="•"/>
      <w:lvlJc w:val="left"/>
      <w:pPr>
        <w:ind w:left="5752" w:hanging="227"/>
      </w:pPr>
      <w:rPr>
        <w:rFonts w:hint="default"/>
        <w:lang w:val="en-US" w:eastAsia="en-US" w:bidi="ar-SA"/>
      </w:rPr>
    </w:lvl>
    <w:lvl w:ilvl="6" w:tplc="B3322AEE">
      <w:numFmt w:val="bullet"/>
      <w:lvlText w:val="•"/>
      <w:lvlJc w:val="left"/>
      <w:pPr>
        <w:ind w:left="6835" w:hanging="227"/>
      </w:pPr>
      <w:rPr>
        <w:rFonts w:hint="default"/>
        <w:lang w:val="en-US" w:eastAsia="en-US" w:bidi="ar-SA"/>
      </w:rPr>
    </w:lvl>
    <w:lvl w:ilvl="7" w:tplc="70D653FA">
      <w:numFmt w:val="bullet"/>
      <w:lvlText w:val="•"/>
      <w:lvlJc w:val="left"/>
      <w:pPr>
        <w:ind w:left="7917" w:hanging="227"/>
      </w:pPr>
      <w:rPr>
        <w:rFonts w:hint="default"/>
        <w:lang w:val="en-US" w:eastAsia="en-US" w:bidi="ar-SA"/>
      </w:rPr>
    </w:lvl>
    <w:lvl w:ilvl="8" w:tplc="F400252A">
      <w:numFmt w:val="bullet"/>
      <w:lvlText w:val="•"/>
      <w:lvlJc w:val="left"/>
      <w:pPr>
        <w:ind w:left="9000" w:hanging="227"/>
      </w:pPr>
      <w:rPr>
        <w:rFonts w:hint="default"/>
        <w:lang w:val="en-US" w:eastAsia="en-US" w:bidi="ar-SA"/>
      </w:rPr>
    </w:lvl>
  </w:abstractNum>
  <w:abstractNum w:abstractNumId="19" w15:restartNumberingAfterBreak="0">
    <w:nsid w:val="1F872B63"/>
    <w:multiLevelType w:val="hybridMultilevel"/>
    <w:tmpl w:val="3FBEB3C0"/>
    <w:lvl w:ilvl="0" w:tplc="79182EC4">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73089ECC">
      <w:numFmt w:val="bullet"/>
      <w:lvlText w:val="•"/>
      <w:lvlJc w:val="left"/>
      <w:pPr>
        <w:ind w:left="1404" w:hanging="284"/>
      </w:pPr>
      <w:rPr>
        <w:rFonts w:hint="default"/>
        <w:lang w:val="en-US" w:eastAsia="en-US" w:bidi="ar-SA"/>
      </w:rPr>
    </w:lvl>
    <w:lvl w:ilvl="2" w:tplc="9C3E99CA">
      <w:numFmt w:val="bullet"/>
      <w:lvlText w:val="•"/>
      <w:lvlJc w:val="left"/>
      <w:pPr>
        <w:ind w:left="2409" w:hanging="284"/>
      </w:pPr>
      <w:rPr>
        <w:rFonts w:hint="default"/>
        <w:lang w:val="en-US" w:eastAsia="en-US" w:bidi="ar-SA"/>
      </w:rPr>
    </w:lvl>
    <w:lvl w:ilvl="3" w:tplc="5C5CB446">
      <w:numFmt w:val="bullet"/>
      <w:lvlText w:val="•"/>
      <w:lvlJc w:val="left"/>
      <w:pPr>
        <w:ind w:left="3413" w:hanging="284"/>
      </w:pPr>
      <w:rPr>
        <w:rFonts w:hint="default"/>
        <w:lang w:val="en-US" w:eastAsia="en-US" w:bidi="ar-SA"/>
      </w:rPr>
    </w:lvl>
    <w:lvl w:ilvl="4" w:tplc="9304A8FA">
      <w:numFmt w:val="bullet"/>
      <w:lvlText w:val="•"/>
      <w:lvlJc w:val="left"/>
      <w:pPr>
        <w:ind w:left="4418" w:hanging="284"/>
      </w:pPr>
      <w:rPr>
        <w:rFonts w:hint="default"/>
        <w:lang w:val="en-US" w:eastAsia="en-US" w:bidi="ar-SA"/>
      </w:rPr>
    </w:lvl>
    <w:lvl w:ilvl="5" w:tplc="118202FA">
      <w:numFmt w:val="bullet"/>
      <w:lvlText w:val="•"/>
      <w:lvlJc w:val="left"/>
      <w:pPr>
        <w:ind w:left="5422" w:hanging="284"/>
      </w:pPr>
      <w:rPr>
        <w:rFonts w:hint="default"/>
        <w:lang w:val="en-US" w:eastAsia="en-US" w:bidi="ar-SA"/>
      </w:rPr>
    </w:lvl>
    <w:lvl w:ilvl="6" w:tplc="684C8CE4">
      <w:numFmt w:val="bullet"/>
      <w:lvlText w:val="•"/>
      <w:lvlJc w:val="left"/>
      <w:pPr>
        <w:ind w:left="6427" w:hanging="284"/>
      </w:pPr>
      <w:rPr>
        <w:rFonts w:hint="default"/>
        <w:lang w:val="en-US" w:eastAsia="en-US" w:bidi="ar-SA"/>
      </w:rPr>
    </w:lvl>
    <w:lvl w:ilvl="7" w:tplc="6C34A7DE">
      <w:numFmt w:val="bullet"/>
      <w:lvlText w:val="•"/>
      <w:lvlJc w:val="left"/>
      <w:pPr>
        <w:ind w:left="7431" w:hanging="284"/>
      </w:pPr>
      <w:rPr>
        <w:rFonts w:hint="default"/>
        <w:lang w:val="en-US" w:eastAsia="en-US" w:bidi="ar-SA"/>
      </w:rPr>
    </w:lvl>
    <w:lvl w:ilvl="8" w:tplc="74461928">
      <w:numFmt w:val="bullet"/>
      <w:lvlText w:val="•"/>
      <w:lvlJc w:val="left"/>
      <w:pPr>
        <w:ind w:left="8436" w:hanging="284"/>
      </w:pPr>
      <w:rPr>
        <w:rFonts w:hint="default"/>
        <w:lang w:val="en-US" w:eastAsia="en-US" w:bidi="ar-SA"/>
      </w:rPr>
    </w:lvl>
  </w:abstractNum>
  <w:abstractNum w:abstractNumId="20" w15:restartNumberingAfterBreak="0">
    <w:nsid w:val="200E61D4"/>
    <w:multiLevelType w:val="hybridMultilevel"/>
    <w:tmpl w:val="9AA2B818"/>
    <w:lvl w:ilvl="0" w:tplc="DE4EFD52">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B9CC7134">
      <w:numFmt w:val="bullet"/>
      <w:lvlText w:val="•"/>
      <w:lvlJc w:val="left"/>
      <w:pPr>
        <w:ind w:left="1101" w:hanging="284"/>
      </w:pPr>
      <w:rPr>
        <w:rFonts w:hint="default"/>
        <w:lang w:val="en-US" w:eastAsia="en-US" w:bidi="ar-SA"/>
      </w:rPr>
    </w:lvl>
    <w:lvl w:ilvl="2" w:tplc="6218AB70">
      <w:numFmt w:val="bullet"/>
      <w:lvlText w:val="•"/>
      <w:lvlJc w:val="left"/>
      <w:pPr>
        <w:ind w:left="1923" w:hanging="284"/>
      </w:pPr>
      <w:rPr>
        <w:rFonts w:hint="default"/>
        <w:lang w:val="en-US" w:eastAsia="en-US" w:bidi="ar-SA"/>
      </w:rPr>
    </w:lvl>
    <w:lvl w:ilvl="3" w:tplc="892863EA">
      <w:numFmt w:val="bullet"/>
      <w:lvlText w:val="•"/>
      <w:lvlJc w:val="left"/>
      <w:pPr>
        <w:ind w:left="2745" w:hanging="284"/>
      </w:pPr>
      <w:rPr>
        <w:rFonts w:hint="default"/>
        <w:lang w:val="en-US" w:eastAsia="en-US" w:bidi="ar-SA"/>
      </w:rPr>
    </w:lvl>
    <w:lvl w:ilvl="4" w:tplc="9D7C494A">
      <w:numFmt w:val="bullet"/>
      <w:lvlText w:val="•"/>
      <w:lvlJc w:val="left"/>
      <w:pPr>
        <w:ind w:left="3567" w:hanging="284"/>
      </w:pPr>
      <w:rPr>
        <w:rFonts w:hint="default"/>
        <w:lang w:val="en-US" w:eastAsia="en-US" w:bidi="ar-SA"/>
      </w:rPr>
    </w:lvl>
    <w:lvl w:ilvl="5" w:tplc="2A5A0BE8">
      <w:numFmt w:val="bullet"/>
      <w:lvlText w:val="•"/>
      <w:lvlJc w:val="left"/>
      <w:pPr>
        <w:ind w:left="4389" w:hanging="284"/>
      </w:pPr>
      <w:rPr>
        <w:rFonts w:hint="default"/>
        <w:lang w:val="en-US" w:eastAsia="en-US" w:bidi="ar-SA"/>
      </w:rPr>
    </w:lvl>
    <w:lvl w:ilvl="6" w:tplc="0B68019A">
      <w:numFmt w:val="bullet"/>
      <w:lvlText w:val="•"/>
      <w:lvlJc w:val="left"/>
      <w:pPr>
        <w:ind w:left="5211" w:hanging="284"/>
      </w:pPr>
      <w:rPr>
        <w:rFonts w:hint="default"/>
        <w:lang w:val="en-US" w:eastAsia="en-US" w:bidi="ar-SA"/>
      </w:rPr>
    </w:lvl>
    <w:lvl w:ilvl="7" w:tplc="B17445B6">
      <w:numFmt w:val="bullet"/>
      <w:lvlText w:val="•"/>
      <w:lvlJc w:val="left"/>
      <w:pPr>
        <w:ind w:left="6033" w:hanging="284"/>
      </w:pPr>
      <w:rPr>
        <w:rFonts w:hint="default"/>
        <w:lang w:val="en-US" w:eastAsia="en-US" w:bidi="ar-SA"/>
      </w:rPr>
    </w:lvl>
    <w:lvl w:ilvl="8" w:tplc="C9F8C150">
      <w:numFmt w:val="bullet"/>
      <w:lvlText w:val="•"/>
      <w:lvlJc w:val="left"/>
      <w:pPr>
        <w:ind w:left="6855" w:hanging="284"/>
      </w:pPr>
      <w:rPr>
        <w:rFonts w:hint="default"/>
        <w:lang w:val="en-US" w:eastAsia="en-US" w:bidi="ar-SA"/>
      </w:rPr>
    </w:lvl>
  </w:abstractNum>
  <w:abstractNum w:abstractNumId="21" w15:restartNumberingAfterBreak="0">
    <w:nsid w:val="20F876AF"/>
    <w:multiLevelType w:val="hybridMultilevel"/>
    <w:tmpl w:val="ED9ABF38"/>
    <w:lvl w:ilvl="0" w:tplc="5CD4C13A">
      <w:start w:val="1"/>
      <w:numFmt w:val="lowerLetter"/>
      <w:lvlText w:val="%1)"/>
      <w:lvlJc w:val="left"/>
      <w:pPr>
        <w:ind w:left="383" w:hanging="274"/>
      </w:pPr>
      <w:rPr>
        <w:rFonts w:ascii="Arial" w:eastAsia="Arial" w:hAnsi="Arial" w:cs="Arial" w:hint="default"/>
        <w:b/>
        <w:bCs/>
        <w:i w:val="0"/>
        <w:iCs w:val="0"/>
        <w:color w:val="231F20"/>
        <w:spacing w:val="-8"/>
        <w:w w:val="100"/>
        <w:sz w:val="24"/>
        <w:szCs w:val="24"/>
        <w:lang w:val="en-US" w:eastAsia="en-US" w:bidi="ar-SA"/>
      </w:rPr>
    </w:lvl>
    <w:lvl w:ilvl="1" w:tplc="7042FDF6">
      <w:numFmt w:val="bullet"/>
      <w:lvlText w:val="•"/>
      <w:lvlJc w:val="left"/>
      <w:pPr>
        <w:ind w:left="1386" w:hanging="274"/>
      </w:pPr>
      <w:rPr>
        <w:rFonts w:hint="default"/>
        <w:lang w:val="en-US" w:eastAsia="en-US" w:bidi="ar-SA"/>
      </w:rPr>
    </w:lvl>
    <w:lvl w:ilvl="2" w:tplc="736A0438">
      <w:numFmt w:val="bullet"/>
      <w:lvlText w:val="•"/>
      <w:lvlJc w:val="left"/>
      <w:pPr>
        <w:ind w:left="2393" w:hanging="274"/>
      </w:pPr>
      <w:rPr>
        <w:rFonts w:hint="default"/>
        <w:lang w:val="en-US" w:eastAsia="en-US" w:bidi="ar-SA"/>
      </w:rPr>
    </w:lvl>
    <w:lvl w:ilvl="3" w:tplc="35A41B54">
      <w:numFmt w:val="bullet"/>
      <w:lvlText w:val="•"/>
      <w:lvlJc w:val="left"/>
      <w:pPr>
        <w:ind w:left="3399" w:hanging="274"/>
      </w:pPr>
      <w:rPr>
        <w:rFonts w:hint="default"/>
        <w:lang w:val="en-US" w:eastAsia="en-US" w:bidi="ar-SA"/>
      </w:rPr>
    </w:lvl>
    <w:lvl w:ilvl="4" w:tplc="EBC44524">
      <w:numFmt w:val="bullet"/>
      <w:lvlText w:val="•"/>
      <w:lvlJc w:val="left"/>
      <w:pPr>
        <w:ind w:left="4406" w:hanging="274"/>
      </w:pPr>
      <w:rPr>
        <w:rFonts w:hint="default"/>
        <w:lang w:val="en-US" w:eastAsia="en-US" w:bidi="ar-SA"/>
      </w:rPr>
    </w:lvl>
    <w:lvl w:ilvl="5" w:tplc="C3D68514">
      <w:numFmt w:val="bullet"/>
      <w:lvlText w:val="•"/>
      <w:lvlJc w:val="left"/>
      <w:pPr>
        <w:ind w:left="5412" w:hanging="274"/>
      </w:pPr>
      <w:rPr>
        <w:rFonts w:hint="default"/>
        <w:lang w:val="en-US" w:eastAsia="en-US" w:bidi="ar-SA"/>
      </w:rPr>
    </w:lvl>
    <w:lvl w:ilvl="6" w:tplc="D304CDEA">
      <w:numFmt w:val="bullet"/>
      <w:lvlText w:val="•"/>
      <w:lvlJc w:val="left"/>
      <w:pPr>
        <w:ind w:left="6419" w:hanging="274"/>
      </w:pPr>
      <w:rPr>
        <w:rFonts w:hint="default"/>
        <w:lang w:val="en-US" w:eastAsia="en-US" w:bidi="ar-SA"/>
      </w:rPr>
    </w:lvl>
    <w:lvl w:ilvl="7" w:tplc="3F449A2E">
      <w:numFmt w:val="bullet"/>
      <w:lvlText w:val="•"/>
      <w:lvlJc w:val="left"/>
      <w:pPr>
        <w:ind w:left="7425" w:hanging="274"/>
      </w:pPr>
      <w:rPr>
        <w:rFonts w:hint="default"/>
        <w:lang w:val="en-US" w:eastAsia="en-US" w:bidi="ar-SA"/>
      </w:rPr>
    </w:lvl>
    <w:lvl w:ilvl="8" w:tplc="59E89950">
      <w:numFmt w:val="bullet"/>
      <w:lvlText w:val="•"/>
      <w:lvlJc w:val="left"/>
      <w:pPr>
        <w:ind w:left="8432" w:hanging="274"/>
      </w:pPr>
      <w:rPr>
        <w:rFonts w:hint="default"/>
        <w:lang w:val="en-US" w:eastAsia="en-US" w:bidi="ar-SA"/>
      </w:rPr>
    </w:lvl>
  </w:abstractNum>
  <w:abstractNum w:abstractNumId="22" w15:restartNumberingAfterBreak="0">
    <w:nsid w:val="211D0CD2"/>
    <w:multiLevelType w:val="multilevel"/>
    <w:tmpl w:val="12A0EFEE"/>
    <w:lvl w:ilvl="0">
      <w:start w:val="7"/>
      <w:numFmt w:val="decimal"/>
      <w:lvlText w:val="%1"/>
      <w:lvlJc w:val="left"/>
      <w:pPr>
        <w:ind w:left="673" w:hanging="564"/>
      </w:pPr>
      <w:rPr>
        <w:rFonts w:hint="default"/>
        <w:lang w:val="en-US" w:eastAsia="en-US" w:bidi="ar-SA"/>
      </w:rPr>
    </w:lvl>
    <w:lvl w:ilvl="1">
      <w:start w:val="2"/>
      <w:numFmt w:val="decimal"/>
      <w:lvlText w:val="%1.%2"/>
      <w:lvlJc w:val="left"/>
      <w:pPr>
        <w:ind w:left="673" w:hanging="564"/>
      </w:pPr>
      <w:rPr>
        <w:rFonts w:hint="default"/>
        <w:lang w:val="en-US" w:eastAsia="en-US" w:bidi="ar-SA"/>
      </w:rPr>
    </w:lvl>
    <w:lvl w:ilvl="2">
      <w:start w:val="1"/>
      <w:numFmt w:val="decimal"/>
      <w:lvlText w:val="%1.%2.%3"/>
      <w:lvlJc w:val="left"/>
      <w:pPr>
        <w:ind w:left="673" w:hanging="564"/>
      </w:pPr>
      <w:rPr>
        <w:rFonts w:ascii="Arial" w:eastAsia="Arial" w:hAnsi="Arial" w:cs="Arial" w:hint="default"/>
        <w:b/>
        <w:bCs/>
        <w:i w:val="0"/>
        <w:iCs w:val="0"/>
        <w:color w:val="231F20"/>
        <w:spacing w:val="-24"/>
        <w:w w:val="100"/>
        <w:sz w:val="24"/>
        <w:szCs w:val="24"/>
        <w:lang w:val="en-US" w:eastAsia="en-US" w:bidi="ar-SA"/>
      </w:rPr>
    </w:lvl>
    <w:lvl w:ilvl="3">
      <w:numFmt w:val="bullet"/>
      <w:lvlText w:val="•"/>
      <w:lvlJc w:val="left"/>
      <w:pPr>
        <w:ind w:left="3603" w:hanging="564"/>
      </w:pPr>
      <w:rPr>
        <w:rFonts w:hint="default"/>
        <w:lang w:val="en-US" w:eastAsia="en-US" w:bidi="ar-SA"/>
      </w:rPr>
    </w:lvl>
    <w:lvl w:ilvl="4">
      <w:numFmt w:val="bullet"/>
      <w:lvlText w:val="•"/>
      <w:lvlJc w:val="left"/>
      <w:pPr>
        <w:ind w:left="4578" w:hanging="564"/>
      </w:pPr>
      <w:rPr>
        <w:rFonts w:hint="default"/>
        <w:lang w:val="en-US" w:eastAsia="en-US" w:bidi="ar-SA"/>
      </w:rPr>
    </w:lvl>
    <w:lvl w:ilvl="5">
      <w:numFmt w:val="bullet"/>
      <w:lvlText w:val="•"/>
      <w:lvlJc w:val="left"/>
      <w:pPr>
        <w:ind w:left="5552" w:hanging="564"/>
      </w:pPr>
      <w:rPr>
        <w:rFonts w:hint="default"/>
        <w:lang w:val="en-US" w:eastAsia="en-US" w:bidi="ar-SA"/>
      </w:rPr>
    </w:lvl>
    <w:lvl w:ilvl="6">
      <w:numFmt w:val="bullet"/>
      <w:lvlText w:val="•"/>
      <w:lvlJc w:val="left"/>
      <w:pPr>
        <w:ind w:left="6527" w:hanging="564"/>
      </w:pPr>
      <w:rPr>
        <w:rFonts w:hint="default"/>
        <w:lang w:val="en-US" w:eastAsia="en-US" w:bidi="ar-SA"/>
      </w:rPr>
    </w:lvl>
    <w:lvl w:ilvl="7">
      <w:numFmt w:val="bullet"/>
      <w:lvlText w:val="•"/>
      <w:lvlJc w:val="left"/>
      <w:pPr>
        <w:ind w:left="7501" w:hanging="564"/>
      </w:pPr>
      <w:rPr>
        <w:rFonts w:hint="default"/>
        <w:lang w:val="en-US" w:eastAsia="en-US" w:bidi="ar-SA"/>
      </w:rPr>
    </w:lvl>
    <w:lvl w:ilvl="8">
      <w:numFmt w:val="bullet"/>
      <w:lvlText w:val="•"/>
      <w:lvlJc w:val="left"/>
      <w:pPr>
        <w:ind w:left="8476" w:hanging="564"/>
      </w:pPr>
      <w:rPr>
        <w:rFonts w:hint="default"/>
        <w:lang w:val="en-US" w:eastAsia="en-US" w:bidi="ar-SA"/>
      </w:rPr>
    </w:lvl>
  </w:abstractNum>
  <w:abstractNum w:abstractNumId="23" w15:restartNumberingAfterBreak="0">
    <w:nsid w:val="224E4AAE"/>
    <w:multiLevelType w:val="hybridMultilevel"/>
    <w:tmpl w:val="800819E0"/>
    <w:lvl w:ilvl="0" w:tplc="308A83E0">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CE345BB6">
      <w:numFmt w:val="bullet"/>
      <w:lvlText w:val="•"/>
      <w:lvlJc w:val="left"/>
      <w:pPr>
        <w:ind w:left="1404" w:hanging="284"/>
      </w:pPr>
      <w:rPr>
        <w:rFonts w:hint="default"/>
        <w:lang w:val="en-US" w:eastAsia="en-US" w:bidi="ar-SA"/>
      </w:rPr>
    </w:lvl>
    <w:lvl w:ilvl="2" w:tplc="B4E40F1C">
      <w:numFmt w:val="bullet"/>
      <w:lvlText w:val="•"/>
      <w:lvlJc w:val="left"/>
      <w:pPr>
        <w:ind w:left="2409" w:hanging="284"/>
      </w:pPr>
      <w:rPr>
        <w:rFonts w:hint="default"/>
        <w:lang w:val="en-US" w:eastAsia="en-US" w:bidi="ar-SA"/>
      </w:rPr>
    </w:lvl>
    <w:lvl w:ilvl="3" w:tplc="0A14FC86">
      <w:numFmt w:val="bullet"/>
      <w:lvlText w:val="•"/>
      <w:lvlJc w:val="left"/>
      <w:pPr>
        <w:ind w:left="3413" w:hanging="284"/>
      </w:pPr>
      <w:rPr>
        <w:rFonts w:hint="default"/>
        <w:lang w:val="en-US" w:eastAsia="en-US" w:bidi="ar-SA"/>
      </w:rPr>
    </w:lvl>
    <w:lvl w:ilvl="4" w:tplc="33EA0296">
      <w:numFmt w:val="bullet"/>
      <w:lvlText w:val="•"/>
      <w:lvlJc w:val="left"/>
      <w:pPr>
        <w:ind w:left="4418" w:hanging="284"/>
      </w:pPr>
      <w:rPr>
        <w:rFonts w:hint="default"/>
        <w:lang w:val="en-US" w:eastAsia="en-US" w:bidi="ar-SA"/>
      </w:rPr>
    </w:lvl>
    <w:lvl w:ilvl="5" w:tplc="8E7A516A">
      <w:numFmt w:val="bullet"/>
      <w:lvlText w:val="•"/>
      <w:lvlJc w:val="left"/>
      <w:pPr>
        <w:ind w:left="5422" w:hanging="284"/>
      </w:pPr>
      <w:rPr>
        <w:rFonts w:hint="default"/>
        <w:lang w:val="en-US" w:eastAsia="en-US" w:bidi="ar-SA"/>
      </w:rPr>
    </w:lvl>
    <w:lvl w:ilvl="6" w:tplc="C84A6CD2">
      <w:numFmt w:val="bullet"/>
      <w:lvlText w:val="•"/>
      <w:lvlJc w:val="left"/>
      <w:pPr>
        <w:ind w:left="6427" w:hanging="284"/>
      </w:pPr>
      <w:rPr>
        <w:rFonts w:hint="default"/>
        <w:lang w:val="en-US" w:eastAsia="en-US" w:bidi="ar-SA"/>
      </w:rPr>
    </w:lvl>
    <w:lvl w:ilvl="7" w:tplc="4DE49032">
      <w:numFmt w:val="bullet"/>
      <w:lvlText w:val="•"/>
      <w:lvlJc w:val="left"/>
      <w:pPr>
        <w:ind w:left="7431" w:hanging="284"/>
      </w:pPr>
      <w:rPr>
        <w:rFonts w:hint="default"/>
        <w:lang w:val="en-US" w:eastAsia="en-US" w:bidi="ar-SA"/>
      </w:rPr>
    </w:lvl>
    <w:lvl w:ilvl="8" w:tplc="3380318C">
      <w:numFmt w:val="bullet"/>
      <w:lvlText w:val="•"/>
      <w:lvlJc w:val="left"/>
      <w:pPr>
        <w:ind w:left="8436" w:hanging="284"/>
      </w:pPr>
      <w:rPr>
        <w:rFonts w:hint="default"/>
        <w:lang w:val="en-US" w:eastAsia="en-US" w:bidi="ar-SA"/>
      </w:rPr>
    </w:lvl>
  </w:abstractNum>
  <w:abstractNum w:abstractNumId="24" w15:restartNumberingAfterBreak="0">
    <w:nsid w:val="239D7E3A"/>
    <w:multiLevelType w:val="hybridMultilevel"/>
    <w:tmpl w:val="88B8847E"/>
    <w:lvl w:ilvl="0" w:tplc="4BCC2470">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382085CA">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2" w:tplc="3CDE9140">
      <w:numFmt w:val="bullet"/>
      <w:lvlText w:val="•"/>
      <w:lvlJc w:val="left"/>
      <w:pPr>
        <w:ind w:left="1516" w:hanging="284"/>
      </w:pPr>
      <w:rPr>
        <w:rFonts w:hint="default"/>
        <w:lang w:val="en-US" w:eastAsia="en-US" w:bidi="ar-SA"/>
      </w:rPr>
    </w:lvl>
    <w:lvl w:ilvl="3" w:tplc="A9DCC8EE">
      <w:numFmt w:val="bullet"/>
      <w:lvlText w:val="•"/>
      <w:lvlJc w:val="left"/>
      <w:pPr>
        <w:ind w:left="2632" w:hanging="284"/>
      </w:pPr>
      <w:rPr>
        <w:rFonts w:hint="default"/>
        <w:lang w:val="en-US" w:eastAsia="en-US" w:bidi="ar-SA"/>
      </w:rPr>
    </w:lvl>
    <w:lvl w:ilvl="4" w:tplc="FB72F9EA">
      <w:numFmt w:val="bullet"/>
      <w:lvlText w:val="•"/>
      <w:lvlJc w:val="left"/>
      <w:pPr>
        <w:ind w:left="3748" w:hanging="284"/>
      </w:pPr>
      <w:rPr>
        <w:rFonts w:hint="default"/>
        <w:lang w:val="en-US" w:eastAsia="en-US" w:bidi="ar-SA"/>
      </w:rPr>
    </w:lvl>
    <w:lvl w:ilvl="5" w:tplc="37AE7FF8">
      <w:numFmt w:val="bullet"/>
      <w:lvlText w:val="•"/>
      <w:lvlJc w:val="left"/>
      <w:pPr>
        <w:ind w:left="4864" w:hanging="284"/>
      </w:pPr>
      <w:rPr>
        <w:rFonts w:hint="default"/>
        <w:lang w:val="en-US" w:eastAsia="en-US" w:bidi="ar-SA"/>
      </w:rPr>
    </w:lvl>
    <w:lvl w:ilvl="6" w:tplc="F2AC3F2E">
      <w:numFmt w:val="bullet"/>
      <w:lvlText w:val="•"/>
      <w:lvlJc w:val="left"/>
      <w:pPr>
        <w:ind w:left="5980" w:hanging="284"/>
      </w:pPr>
      <w:rPr>
        <w:rFonts w:hint="default"/>
        <w:lang w:val="en-US" w:eastAsia="en-US" w:bidi="ar-SA"/>
      </w:rPr>
    </w:lvl>
    <w:lvl w:ilvl="7" w:tplc="38B4D450">
      <w:numFmt w:val="bullet"/>
      <w:lvlText w:val="•"/>
      <w:lvlJc w:val="left"/>
      <w:pPr>
        <w:ind w:left="7097" w:hanging="284"/>
      </w:pPr>
      <w:rPr>
        <w:rFonts w:hint="default"/>
        <w:lang w:val="en-US" w:eastAsia="en-US" w:bidi="ar-SA"/>
      </w:rPr>
    </w:lvl>
    <w:lvl w:ilvl="8" w:tplc="9D58CD38">
      <w:numFmt w:val="bullet"/>
      <w:lvlText w:val="•"/>
      <w:lvlJc w:val="left"/>
      <w:pPr>
        <w:ind w:left="8213" w:hanging="284"/>
      </w:pPr>
      <w:rPr>
        <w:rFonts w:hint="default"/>
        <w:lang w:val="en-US" w:eastAsia="en-US" w:bidi="ar-SA"/>
      </w:rPr>
    </w:lvl>
  </w:abstractNum>
  <w:abstractNum w:abstractNumId="25" w15:restartNumberingAfterBreak="0">
    <w:nsid w:val="23A2328C"/>
    <w:multiLevelType w:val="hybridMultilevel"/>
    <w:tmpl w:val="D112226A"/>
    <w:lvl w:ilvl="0" w:tplc="C1F6AAF6">
      <w:start w:val="1"/>
      <w:numFmt w:val="lowerLetter"/>
      <w:lvlText w:val="(%1)"/>
      <w:lvlJc w:val="left"/>
      <w:pPr>
        <w:ind w:left="306" w:hanging="197"/>
      </w:pPr>
      <w:rPr>
        <w:rFonts w:ascii="Arial" w:eastAsia="Arial" w:hAnsi="Arial" w:cs="Arial" w:hint="default"/>
        <w:b w:val="0"/>
        <w:bCs w:val="0"/>
        <w:i w:val="0"/>
        <w:iCs w:val="0"/>
        <w:color w:val="231F20"/>
        <w:spacing w:val="-6"/>
        <w:w w:val="100"/>
        <w:sz w:val="14"/>
        <w:szCs w:val="14"/>
        <w:lang w:val="en-US" w:eastAsia="en-US" w:bidi="ar-SA"/>
      </w:rPr>
    </w:lvl>
    <w:lvl w:ilvl="1" w:tplc="2F728B40">
      <w:numFmt w:val="bullet"/>
      <w:lvlText w:val="•"/>
      <w:lvlJc w:val="left"/>
      <w:pPr>
        <w:ind w:left="1805" w:hanging="197"/>
      </w:pPr>
      <w:rPr>
        <w:rFonts w:hint="default"/>
        <w:lang w:val="en-US" w:eastAsia="en-US" w:bidi="ar-SA"/>
      </w:rPr>
    </w:lvl>
    <w:lvl w:ilvl="2" w:tplc="B17EAAF2">
      <w:numFmt w:val="bullet"/>
      <w:lvlText w:val="•"/>
      <w:lvlJc w:val="left"/>
      <w:pPr>
        <w:ind w:left="3311" w:hanging="197"/>
      </w:pPr>
      <w:rPr>
        <w:rFonts w:hint="default"/>
        <w:lang w:val="en-US" w:eastAsia="en-US" w:bidi="ar-SA"/>
      </w:rPr>
    </w:lvl>
    <w:lvl w:ilvl="3" w:tplc="8CA87680">
      <w:numFmt w:val="bullet"/>
      <w:lvlText w:val="•"/>
      <w:lvlJc w:val="left"/>
      <w:pPr>
        <w:ind w:left="4817" w:hanging="197"/>
      </w:pPr>
      <w:rPr>
        <w:rFonts w:hint="default"/>
        <w:lang w:val="en-US" w:eastAsia="en-US" w:bidi="ar-SA"/>
      </w:rPr>
    </w:lvl>
    <w:lvl w:ilvl="4" w:tplc="9A563C16">
      <w:numFmt w:val="bullet"/>
      <w:lvlText w:val="•"/>
      <w:lvlJc w:val="left"/>
      <w:pPr>
        <w:ind w:left="6323" w:hanging="197"/>
      </w:pPr>
      <w:rPr>
        <w:rFonts w:hint="default"/>
        <w:lang w:val="en-US" w:eastAsia="en-US" w:bidi="ar-SA"/>
      </w:rPr>
    </w:lvl>
    <w:lvl w:ilvl="5" w:tplc="8E7258D6">
      <w:numFmt w:val="bullet"/>
      <w:lvlText w:val="•"/>
      <w:lvlJc w:val="left"/>
      <w:pPr>
        <w:ind w:left="7828" w:hanging="197"/>
      </w:pPr>
      <w:rPr>
        <w:rFonts w:hint="default"/>
        <w:lang w:val="en-US" w:eastAsia="en-US" w:bidi="ar-SA"/>
      </w:rPr>
    </w:lvl>
    <w:lvl w:ilvl="6" w:tplc="854AC81C">
      <w:numFmt w:val="bullet"/>
      <w:lvlText w:val="•"/>
      <w:lvlJc w:val="left"/>
      <w:pPr>
        <w:ind w:left="9334" w:hanging="197"/>
      </w:pPr>
      <w:rPr>
        <w:rFonts w:hint="default"/>
        <w:lang w:val="en-US" w:eastAsia="en-US" w:bidi="ar-SA"/>
      </w:rPr>
    </w:lvl>
    <w:lvl w:ilvl="7" w:tplc="6046C334">
      <w:numFmt w:val="bullet"/>
      <w:lvlText w:val="•"/>
      <w:lvlJc w:val="left"/>
      <w:pPr>
        <w:ind w:left="10840" w:hanging="197"/>
      </w:pPr>
      <w:rPr>
        <w:rFonts w:hint="default"/>
        <w:lang w:val="en-US" w:eastAsia="en-US" w:bidi="ar-SA"/>
      </w:rPr>
    </w:lvl>
    <w:lvl w:ilvl="8" w:tplc="19145D90">
      <w:numFmt w:val="bullet"/>
      <w:lvlText w:val="•"/>
      <w:lvlJc w:val="left"/>
      <w:pPr>
        <w:ind w:left="12346" w:hanging="197"/>
      </w:pPr>
      <w:rPr>
        <w:rFonts w:hint="default"/>
        <w:lang w:val="en-US" w:eastAsia="en-US" w:bidi="ar-SA"/>
      </w:rPr>
    </w:lvl>
  </w:abstractNum>
  <w:abstractNum w:abstractNumId="26" w15:restartNumberingAfterBreak="0">
    <w:nsid w:val="24E802B3"/>
    <w:multiLevelType w:val="multilevel"/>
    <w:tmpl w:val="907692FE"/>
    <w:lvl w:ilvl="0">
      <w:start w:val="8"/>
      <w:numFmt w:val="decimal"/>
      <w:lvlText w:val="%1"/>
      <w:lvlJc w:val="left"/>
      <w:pPr>
        <w:ind w:left="552" w:hanging="443"/>
      </w:pPr>
      <w:rPr>
        <w:rFonts w:hint="default"/>
        <w:lang w:val="en-US" w:eastAsia="en-US" w:bidi="ar-SA"/>
      </w:rPr>
    </w:lvl>
    <w:lvl w:ilvl="1">
      <w:start w:val="1"/>
      <w:numFmt w:val="decimal"/>
      <w:lvlText w:val="%1.%2"/>
      <w:lvlJc w:val="left"/>
      <w:pPr>
        <w:ind w:left="552" w:hanging="443"/>
      </w:pPr>
      <w:rPr>
        <w:rFonts w:ascii="Arial" w:eastAsia="Arial" w:hAnsi="Arial" w:cs="Arial" w:hint="default"/>
        <w:b/>
        <w:bCs/>
        <w:i w:val="0"/>
        <w:iCs w:val="0"/>
        <w:color w:val="3D68AD"/>
        <w:spacing w:val="-25"/>
        <w:w w:val="100"/>
        <w:sz w:val="28"/>
        <w:szCs w:val="28"/>
        <w:lang w:val="en-US" w:eastAsia="en-US" w:bidi="ar-SA"/>
      </w:rPr>
    </w:lvl>
    <w:lvl w:ilvl="2">
      <w:start w:val="1"/>
      <w:numFmt w:val="decimal"/>
      <w:lvlText w:val="%1.%2.%3"/>
      <w:lvlJc w:val="left"/>
      <w:pPr>
        <w:ind w:left="710" w:hanging="601"/>
      </w:pPr>
      <w:rPr>
        <w:rFonts w:ascii="Arial" w:eastAsia="Arial" w:hAnsi="Arial" w:cs="Arial" w:hint="default"/>
        <w:b/>
        <w:bCs/>
        <w:i w:val="0"/>
        <w:iCs w:val="0"/>
        <w:color w:val="58595B"/>
        <w:spacing w:val="-1"/>
        <w:w w:val="100"/>
        <w:sz w:val="24"/>
        <w:szCs w:val="24"/>
        <w:lang w:val="en-US" w:eastAsia="en-US" w:bidi="ar-SA"/>
      </w:rPr>
    </w:lvl>
    <w:lvl w:ilvl="3">
      <w:numFmt w:val="bullet"/>
      <w:lvlText w:val="•"/>
      <w:lvlJc w:val="left"/>
      <w:pPr>
        <w:ind w:left="2876" w:hanging="601"/>
      </w:pPr>
      <w:rPr>
        <w:rFonts w:hint="default"/>
        <w:lang w:val="en-US" w:eastAsia="en-US" w:bidi="ar-SA"/>
      </w:rPr>
    </w:lvl>
    <w:lvl w:ilvl="4">
      <w:numFmt w:val="bullet"/>
      <w:lvlText w:val="•"/>
      <w:lvlJc w:val="left"/>
      <w:pPr>
        <w:ind w:left="3955" w:hanging="601"/>
      </w:pPr>
      <w:rPr>
        <w:rFonts w:hint="default"/>
        <w:lang w:val="en-US" w:eastAsia="en-US" w:bidi="ar-SA"/>
      </w:rPr>
    </w:lvl>
    <w:lvl w:ilvl="5">
      <w:numFmt w:val="bullet"/>
      <w:lvlText w:val="•"/>
      <w:lvlJc w:val="left"/>
      <w:pPr>
        <w:ind w:left="5033" w:hanging="601"/>
      </w:pPr>
      <w:rPr>
        <w:rFonts w:hint="default"/>
        <w:lang w:val="en-US" w:eastAsia="en-US" w:bidi="ar-SA"/>
      </w:rPr>
    </w:lvl>
    <w:lvl w:ilvl="6">
      <w:numFmt w:val="bullet"/>
      <w:lvlText w:val="•"/>
      <w:lvlJc w:val="left"/>
      <w:pPr>
        <w:ind w:left="6111" w:hanging="601"/>
      </w:pPr>
      <w:rPr>
        <w:rFonts w:hint="default"/>
        <w:lang w:val="en-US" w:eastAsia="en-US" w:bidi="ar-SA"/>
      </w:rPr>
    </w:lvl>
    <w:lvl w:ilvl="7">
      <w:numFmt w:val="bullet"/>
      <w:lvlText w:val="•"/>
      <w:lvlJc w:val="left"/>
      <w:pPr>
        <w:ind w:left="7190" w:hanging="601"/>
      </w:pPr>
      <w:rPr>
        <w:rFonts w:hint="default"/>
        <w:lang w:val="en-US" w:eastAsia="en-US" w:bidi="ar-SA"/>
      </w:rPr>
    </w:lvl>
    <w:lvl w:ilvl="8">
      <w:numFmt w:val="bullet"/>
      <w:lvlText w:val="•"/>
      <w:lvlJc w:val="left"/>
      <w:pPr>
        <w:ind w:left="8268" w:hanging="601"/>
      </w:pPr>
      <w:rPr>
        <w:rFonts w:hint="default"/>
        <w:lang w:val="en-US" w:eastAsia="en-US" w:bidi="ar-SA"/>
      </w:rPr>
    </w:lvl>
  </w:abstractNum>
  <w:abstractNum w:abstractNumId="27" w15:restartNumberingAfterBreak="0">
    <w:nsid w:val="255F5B84"/>
    <w:multiLevelType w:val="hybridMultilevel"/>
    <w:tmpl w:val="E9560BAC"/>
    <w:lvl w:ilvl="0" w:tplc="CEBCA778">
      <w:start w:val="1"/>
      <w:numFmt w:val="bullet"/>
      <w:pStyle w:val="DixonBullettex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0E2A17"/>
    <w:multiLevelType w:val="hybridMultilevel"/>
    <w:tmpl w:val="EC4470B2"/>
    <w:lvl w:ilvl="0" w:tplc="E69EB8B4">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7326DC92">
      <w:numFmt w:val="bullet"/>
      <w:lvlText w:val="•"/>
      <w:lvlJc w:val="left"/>
      <w:pPr>
        <w:ind w:left="1101" w:hanging="284"/>
      </w:pPr>
      <w:rPr>
        <w:rFonts w:hint="default"/>
        <w:lang w:val="en-US" w:eastAsia="en-US" w:bidi="ar-SA"/>
      </w:rPr>
    </w:lvl>
    <w:lvl w:ilvl="2" w:tplc="6C402A64">
      <w:numFmt w:val="bullet"/>
      <w:lvlText w:val="•"/>
      <w:lvlJc w:val="left"/>
      <w:pPr>
        <w:ind w:left="1923" w:hanging="284"/>
      </w:pPr>
      <w:rPr>
        <w:rFonts w:hint="default"/>
        <w:lang w:val="en-US" w:eastAsia="en-US" w:bidi="ar-SA"/>
      </w:rPr>
    </w:lvl>
    <w:lvl w:ilvl="3" w:tplc="C7303A16">
      <w:numFmt w:val="bullet"/>
      <w:lvlText w:val="•"/>
      <w:lvlJc w:val="left"/>
      <w:pPr>
        <w:ind w:left="2745" w:hanging="284"/>
      </w:pPr>
      <w:rPr>
        <w:rFonts w:hint="default"/>
        <w:lang w:val="en-US" w:eastAsia="en-US" w:bidi="ar-SA"/>
      </w:rPr>
    </w:lvl>
    <w:lvl w:ilvl="4" w:tplc="DE863756">
      <w:numFmt w:val="bullet"/>
      <w:lvlText w:val="•"/>
      <w:lvlJc w:val="left"/>
      <w:pPr>
        <w:ind w:left="3567" w:hanging="284"/>
      </w:pPr>
      <w:rPr>
        <w:rFonts w:hint="default"/>
        <w:lang w:val="en-US" w:eastAsia="en-US" w:bidi="ar-SA"/>
      </w:rPr>
    </w:lvl>
    <w:lvl w:ilvl="5" w:tplc="6836636A">
      <w:numFmt w:val="bullet"/>
      <w:lvlText w:val="•"/>
      <w:lvlJc w:val="left"/>
      <w:pPr>
        <w:ind w:left="4389" w:hanging="284"/>
      </w:pPr>
      <w:rPr>
        <w:rFonts w:hint="default"/>
        <w:lang w:val="en-US" w:eastAsia="en-US" w:bidi="ar-SA"/>
      </w:rPr>
    </w:lvl>
    <w:lvl w:ilvl="6" w:tplc="3A36868A">
      <w:numFmt w:val="bullet"/>
      <w:lvlText w:val="•"/>
      <w:lvlJc w:val="left"/>
      <w:pPr>
        <w:ind w:left="5211" w:hanging="284"/>
      </w:pPr>
      <w:rPr>
        <w:rFonts w:hint="default"/>
        <w:lang w:val="en-US" w:eastAsia="en-US" w:bidi="ar-SA"/>
      </w:rPr>
    </w:lvl>
    <w:lvl w:ilvl="7" w:tplc="D6481D1A">
      <w:numFmt w:val="bullet"/>
      <w:lvlText w:val="•"/>
      <w:lvlJc w:val="left"/>
      <w:pPr>
        <w:ind w:left="6033" w:hanging="284"/>
      </w:pPr>
      <w:rPr>
        <w:rFonts w:hint="default"/>
        <w:lang w:val="en-US" w:eastAsia="en-US" w:bidi="ar-SA"/>
      </w:rPr>
    </w:lvl>
    <w:lvl w:ilvl="8" w:tplc="E2B0FD44">
      <w:numFmt w:val="bullet"/>
      <w:lvlText w:val="•"/>
      <w:lvlJc w:val="left"/>
      <w:pPr>
        <w:ind w:left="6855" w:hanging="284"/>
      </w:pPr>
      <w:rPr>
        <w:rFonts w:hint="default"/>
        <w:lang w:val="en-US" w:eastAsia="en-US" w:bidi="ar-SA"/>
      </w:rPr>
    </w:lvl>
  </w:abstractNum>
  <w:abstractNum w:abstractNumId="29" w15:restartNumberingAfterBreak="0">
    <w:nsid w:val="26C764C7"/>
    <w:multiLevelType w:val="multilevel"/>
    <w:tmpl w:val="DD6C0994"/>
    <w:lvl w:ilvl="0">
      <w:start w:val="9"/>
      <w:numFmt w:val="decimal"/>
      <w:lvlText w:val="%1"/>
      <w:lvlJc w:val="left"/>
      <w:pPr>
        <w:ind w:left="575" w:hanging="466"/>
      </w:pPr>
      <w:rPr>
        <w:rFonts w:hint="default"/>
        <w:lang w:val="en-US" w:eastAsia="en-US" w:bidi="ar-SA"/>
      </w:rPr>
    </w:lvl>
    <w:lvl w:ilvl="1">
      <w:start w:val="4"/>
      <w:numFmt w:val="decimal"/>
      <w:lvlText w:val="%1.%2"/>
      <w:lvlJc w:val="left"/>
      <w:pPr>
        <w:ind w:left="575" w:hanging="466"/>
      </w:pPr>
      <w:rPr>
        <w:rFonts w:ascii="Arial" w:eastAsia="Arial" w:hAnsi="Arial" w:cs="Arial" w:hint="default"/>
        <w:b/>
        <w:bCs/>
        <w:i w:val="0"/>
        <w:iCs w:val="0"/>
        <w:color w:val="3D68AD"/>
        <w:spacing w:val="-5"/>
        <w:w w:val="100"/>
        <w:sz w:val="28"/>
        <w:szCs w:val="28"/>
        <w:lang w:val="en-US" w:eastAsia="en-US" w:bidi="ar-SA"/>
      </w:rPr>
    </w:lvl>
    <w:lvl w:ilvl="2">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3">
      <w:numFmt w:val="bullet"/>
      <w:lvlText w:val="•"/>
      <w:lvlJc w:val="left"/>
      <w:pPr>
        <w:ind w:left="2772" w:hanging="284"/>
      </w:pPr>
      <w:rPr>
        <w:rFonts w:hint="default"/>
        <w:lang w:val="en-US" w:eastAsia="en-US" w:bidi="ar-SA"/>
      </w:rPr>
    </w:lvl>
    <w:lvl w:ilvl="4">
      <w:numFmt w:val="bullet"/>
      <w:lvlText w:val="•"/>
      <w:lvlJc w:val="left"/>
      <w:pPr>
        <w:ind w:left="3868" w:hanging="284"/>
      </w:pPr>
      <w:rPr>
        <w:rFonts w:hint="default"/>
        <w:lang w:val="en-US" w:eastAsia="en-US" w:bidi="ar-SA"/>
      </w:rPr>
    </w:lvl>
    <w:lvl w:ilvl="5">
      <w:numFmt w:val="bullet"/>
      <w:lvlText w:val="•"/>
      <w:lvlJc w:val="left"/>
      <w:pPr>
        <w:ind w:left="4964" w:hanging="284"/>
      </w:pPr>
      <w:rPr>
        <w:rFonts w:hint="default"/>
        <w:lang w:val="en-US" w:eastAsia="en-US" w:bidi="ar-SA"/>
      </w:rPr>
    </w:lvl>
    <w:lvl w:ilvl="6">
      <w:numFmt w:val="bullet"/>
      <w:lvlText w:val="•"/>
      <w:lvlJc w:val="left"/>
      <w:pPr>
        <w:ind w:left="6060" w:hanging="284"/>
      </w:pPr>
      <w:rPr>
        <w:rFonts w:hint="default"/>
        <w:lang w:val="en-US" w:eastAsia="en-US" w:bidi="ar-SA"/>
      </w:rPr>
    </w:lvl>
    <w:lvl w:ilvl="7">
      <w:numFmt w:val="bullet"/>
      <w:lvlText w:val="•"/>
      <w:lvlJc w:val="left"/>
      <w:pPr>
        <w:ind w:left="7157" w:hanging="284"/>
      </w:pPr>
      <w:rPr>
        <w:rFonts w:hint="default"/>
        <w:lang w:val="en-US" w:eastAsia="en-US" w:bidi="ar-SA"/>
      </w:rPr>
    </w:lvl>
    <w:lvl w:ilvl="8">
      <w:numFmt w:val="bullet"/>
      <w:lvlText w:val="•"/>
      <w:lvlJc w:val="left"/>
      <w:pPr>
        <w:ind w:left="8253" w:hanging="284"/>
      </w:pPr>
      <w:rPr>
        <w:rFonts w:hint="default"/>
        <w:lang w:val="en-US" w:eastAsia="en-US" w:bidi="ar-SA"/>
      </w:rPr>
    </w:lvl>
  </w:abstractNum>
  <w:abstractNum w:abstractNumId="30" w15:restartNumberingAfterBreak="0">
    <w:nsid w:val="28365F47"/>
    <w:multiLevelType w:val="hybridMultilevel"/>
    <w:tmpl w:val="C138F414"/>
    <w:lvl w:ilvl="0" w:tplc="2AAA2848">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9630337C">
      <w:numFmt w:val="bullet"/>
      <w:lvlText w:val="•"/>
      <w:lvlJc w:val="left"/>
      <w:pPr>
        <w:ind w:left="1476" w:hanging="284"/>
      </w:pPr>
      <w:rPr>
        <w:rFonts w:hint="default"/>
        <w:lang w:val="en-US" w:eastAsia="en-US" w:bidi="ar-SA"/>
      </w:rPr>
    </w:lvl>
    <w:lvl w:ilvl="2" w:tplc="A1862D32">
      <w:numFmt w:val="bullet"/>
      <w:lvlText w:val="•"/>
      <w:lvlJc w:val="left"/>
      <w:pPr>
        <w:ind w:left="2553" w:hanging="284"/>
      </w:pPr>
      <w:rPr>
        <w:rFonts w:hint="default"/>
        <w:lang w:val="en-US" w:eastAsia="en-US" w:bidi="ar-SA"/>
      </w:rPr>
    </w:lvl>
    <w:lvl w:ilvl="3" w:tplc="3AD6A224">
      <w:numFmt w:val="bullet"/>
      <w:lvlText w:val="•"/>
      <w:lvlJc w:val="left"/>
      <w:pPr>
        <w:ind w:left="3629" w:hanging="284"/>
      </w:pPr>
      <w:rPr>
        <w:rFonts w:hint="default"/>
        <w:lang w:val="en-US" w:eastAsia="en-US" w:bidi="ar-SA"/>
      </w:rPr>
    </w:lvl>
    <w:lvl w:ilvl="4" w:tplc="DF1A746C">
      <w:numFmt w:val="bullet"/>
      <w:lvlText w:val="•"/>
      <w:lvlJc w:val="left"/>
      <w:pPr>
        <w:ind w:left="4706" w:hanging="284"/>
      </w:pPr>
      <w:rPr>
        <w:rFonts w:hint="default"/>
        <w:lang w:val="en-US" w:eastAsia="en-US" w:bidi="ar-SA"/>
      </w:rPr>
    </w:lvl>
    <w:lvl w:ilvl="5" w:tplc="B092811C">
      <w:numFmt w:val="bullet"/>
      <w:lvlText w:val="•"/>
      <w:lvlJc w:val="left"/>
      <w:pPr>
        <w:ind w:left="5782" w:hanging="284"/>
      </w:pPr>
      <w:rPr>
        <w:rFonts w:hint="default"/>
        <w:lang w:val="en-US" w:eastAsia="en-US" w:bidi="ar-SA"/>
      </w:rPr>
    </w:lvl>
    <w:lvl w:ilvl="6" w:tplc="B240C7B4">
      <w:numFmt w:val="bullet"/>
      <w:lvlText w:val="•"/>
      <w:lvlJc w:val="left"/>
      <w:pPr>
        <w:ind w:left="6859" w:hanging="284"/>
      </w:pPr>
      <w:rPr>
        <w:rFonts w:hint="default"/>
        <w:lang w:val="en-US" w:eastAsia="en-US" w:bidi="ar-SA"/>
      </w:rPr>
    </w:lvl>
    <w:lvl w:ilvl="7" w:tplc="D27213E6">
      <w:numFmt w:val="bullet"/>
      <w:lvlText w:val="•"/>
      <w:lvlJc w:val="left"/>
      <w:pPr>
        <w:ind w:left="7935" w:hanging="284"/>
      </w:pPr>
      <w:rPr>
        <w:rFonts w:hint="default"/>
        <w:lang w:val="en-US" w:eastAsia="en-US" w:bidi="ar-SA"/>
      </w:rPr>
    </w:lvl>
    <w:lvl w:ilvl="8" w:tplc="BC209496">
      <w:numFmt w:val="bullet"/>
      <w:lvlText w:val="•"/>
      <w:lvlJc w:val="left"/>
      <w:pPr>
        <w:ind w:left="9012" w:hanging="284"/>
      </w:pPr>
      <w:rPr>
        <w:rFonts w:hint="default"/>
        <w:lang w:val="en-US" w:eastAsia="en-US" w:bidi="ar-SA"/>
      </w:rPr>
    </w:lvl>
  </w:abstractNum>
  <w:abstractNum w:abstractNumId="31" w15:restartNumberingAfterBreak="0">
    <w:nsid w:val="29526F15"/>
    <w:multiLevelType w:val="hybridMultilevel"/>
    <w:tmpl w:val="B20607D0"/>
    <w:lvl w:ilvl="0" w:tplc="F24A9D98">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3D041806">
      <w:numFmt w:val="bullet"/>
      <w:lvlText w:val="•"/>
      <w:lvlJc w:val="left"/>
      <w:pPr>
        <w:ind w:left="1476" w:hanging="284"/>
      </w:pPr>
      <w:rPr>
        <w:rFonts w:hint="default"/>
        <w:lang w:val="en-US" w:eastAsia="en-US" w:bidi="ar-SA"/>
      </w:rPr>
    </w:lvl>
    <w:lvl w:ilvl="2" w:tplc="1E0E835E">
      <w:numFmt w:val="bullet"/>
      <w:lvlText w:val="•"/>
      <w:lvlJc w:val="left"/>
      <w:pPr>
        <w:ind w:left="2553" w:hanging="284"/>
      </w:pPr>
      <w:rPr>
        <w:rFonts w:hint="default"/>
        <w:lang w:val="en-US" w:eastAsia="en-US" w:bidi="ar-SA"/>
      </w:rPr>
    </w:lvl>
    <w:lvl w:ilvl="3" w:tplc="1F1E134E">
      <w:numFmt w:val="bullet"/>
      <w:lvlText w:val="•"/>
      <w:lvlJc w:val="left"/>
      <w:pPr>
        <w:ind w:left="3629" w:hanging="284"/>
      </w:pPr>
      <w:rPr>
        <w:rFonts w:hint="default"/>
        <w:lang w:val="en-US" w:eastAsia="en-US" w:bidi="ar-SA"/>
      </w:rPr>
    </w:lvl>
    <w:lvl w:ilvl="4" w:tplc="160C26E2">
      <w:numFmt w:val="bullet"/>
      <w:lvlText w:val="•"/>
      <w:lvlJc w:val="left"/>
      <w:pPr>
        <w:ind w:left="4706" w:hanging="284"/>
      </w:pPr>
      <w:rPr>
        <w:rFonts w:hint="default"/>
        <w:lang w:val="en-US" w:eastAsia="en-US" w:bidi="ar-SA"/>
      </w:rPr>
    </w:lvl>
    <w:lvl w:ilvl="5" w:tplc="FCE6951E">
      <w:numFmt w:val="bullet"/>
      <w:lvlText w:val="•"/>
      <w:lvlJc w:val="left"/>
      <w:pPr>
        <w:ind w:left="5782" w:hanging="284"/>
      </w:pPr>
      <w:rPr>
        <w:rFonts w:hint="default"/>
        <w:lang w:val="en-US" w:eastAsia="en-US" w:bidi="ar-SA"/>
      </w:rPr>
    </w:lvl>
    <w:lvl w:ilvl="6" w:tplc="4F28370C">
      <w:numFmt w:val="bullet"/>
      <w:lvlText w:val="•"/>
      <w:lvlJc w:val="left"/>
      <w:pPr>
        <w:ind w:left="6859" w:hanging="284"/>
      </w:pPr>
      <w:rPr>
        <w:rFonts w:hint="default"/>
        <w:lang w:val="en-US" w:eastAsia="en-US" w:bidi="ar-SA"/>
      </w:rPr>
    </w:lvl>
    <w:lvl w:ilvl="7" w:tplc="2ACC550C">
      <w:numFmt w:val="bullet"/>
      <w:lvlText w:val="•"/>
      <w:lvlJc w:val="left"/>
      <w:pPr>
        <w:ind w:left="7935" w:hanging="284"/>
      </w:pPr>
      <w:rPr>
        <w:rFonts w:hint="default"/>
        <w:lang w:val="en-US" w:eastAsia="en-US" w:bidi="ar-SA"/>
      </w:rPr>
    </w:lvl>
    <w:lvl w:ilvl="8" w:tplc="41B41DB4">
      <w:numFmt w:val="bullet"/>
      <w:lvlText w:val="•"/>
      <w:lvlJc w:val="left"/>
      <w:pPr>
        <w:ind w:left="9012" w:hanging="284"/>
      </w:pPr>
      <w:rPr>
        <w:rFonts w:hint="default"/>
        <w:lang w:val="en-US" w:eastAsia="en-US" w:bidi="ar-SA"/>
      </w:rPr>
    </w:lvl>
  </w:abstractNum>
  <w:abstractNum w:abstractNumId="32" w15:restartNumberingAfterBreak="0">
    <w:nsid w:val="295F4FFA"/>
    <w:multiLevelType w:val="multilevel"/>
    <w:tmpl w:val="E15C0E9E"/>
    <w:lvl w:ilvl="0">
      <w:start w:val="7"/>
      <w:numFmt w:val="decimal"/>
      <w:lvlText w:val="%1"/>
      <w:lvlJc w:val="left"/>
      <w:pPr>
        <w:ind w:left="554" w:hanging="445"/>
      </w:pPr>
      <w:rPr>
        <w:rFonts w:hint="default"/>
        <w:lang w:val="en-US" w:eastAsia="en-US" w:bidi="ar-SA"/>
      </w:rPr>
    </w:lvl>
    <w:lvl w:ilvl="1">
      <w:start w:val="2"/>
      <w:numFmt w:val="decimal"/>
      <w:lvlText w:val="%1.%2"/>
      <w:lvlJc w:val="left"/>
      <w:pPr>
        <w:ind w:left="554" w:hanging="445"/>
      </w:pPr>
      <w:rPr>
        <w:rFonts w:ascii="Arial" w:eastAsia="Arial" w:hAnsi="Arial" w:cs="Arial" w:hint="default"/>
        <w:b/>
        <w:bCs/>
        <w:i w:val="0"/>
        <w:iCs w:val="0"/>
        <w:color w:val="3D68AD"/>
        <w:spacing w:val="-28"/>
        <w:w w:val="100"/>
        <w:sz w:val="28"/>
        <w:szCs w:val="28"/>
        <w:lang w:val="en-US" w:eastAsia="en-US" w:bidi="ar-SA"/>
      </w:rPr>
    </w:lvl>
    <w:lvl w:ilvl="2">
      <w:start w:val="1"/>
      <w:numFmt w:val="decimal"/>
      <w:lvlText w:val="%1.%2.%3"/>
      <w:lvlJc w:val="left"/>
      <w:pPr>
        <w:ind w:left="710" w:hanging="601"/>
      </w:pPr>
      <w:rPr>
        <w:rFonts w:ascii="Arial" w:eastAsia="Arial" w:hAnsi="Arial" w:cs="Arial" w:hint="default"/>
        <w:b/>
        <w:bCs/>
        <w:i w:val="0"/>
        <w:iCs w:val="0"/>
        <w:color w:val="58595B"/>
        <w:spacing w:val="-1"/>
        <w:w w:val="100"/>
        <w:sz w:val="24"/>
        <w:szCs w:val="24"/>
        <w:lang w:val="en-US" w:eastAsia="en-US" w:bidi="ar-SA"/>
      </w:rPr>
    </w:lvl>
    <w:lvl w:ilvl="3">
      <w:numFmt w:val="bullet"/>
      <w:lvlText w:val="•"/>
      <w:lvlJc w:val="left"/>
      <w:pPr>
        <w:ind w:left="2876" w:hanging="601"/>
      </w:pPr>
      <w:rPr>
        <w:rFonts w:hint="default"/>
        <w:lang w:val="en-US" w:eastAsia="en-US" w:bidi="ar-SA"/>
      </w:rPr>
    </w:lvl>
    <w:lvl w:ilvl="4">
      <w:numFmt w:val="bullet"/>
      <w:lvlText w:val="•"/>
      <w:lvlJc w:val="left"/>
      <w:pPr>
        <w:ind w:left="3955" w:hanging="601"/>
      </w:pPr>
      <w:rPr>
        <w:rFonts w:hint="default"/>
        <w:lang w:val="en-US" w:eastAsia="en-US" w:bidi="ar-SA"/>
      </w:rPr>
    </w:lvl>
    <w:lvl w:ilvl="5">
      <w:numFmt w:val="bullet"/>
      <w:lvlText w:val="•"/>
      <w:lvlJc w:val="left"/>
      <w:pPr>
        <w:ind w:left="5033" w:hanging="601"/>
      </w:pPr>
      <w:rPr>
        <w:rFonts w:hint="default"/>
        <w:lang w:val="en-US" w:eastAsia="en-US" w:bidi="ar-SA"/>
      </w:rPr>
    </w:lvl>
    <w:lvl w:ilvl="6">
      <w:numFmt w:val="bullet"/>
      <w:lvlText w:val="•"/>
      <w:lvlJc w:val="left"/>
      <w:pPr>
        <w:ind w:left="6111" w:hanging="601"/>
      </w:pPr>
      <w:rPr>
        <w:rFonts w:hint="default"/>
        <w:lang w:val="en-US" w:eastAsia="en-US" w:bidi="ar-SA"/>
      </w:rPr>
    </w:lvl>
    <w:lvl w:ilvl="7">
      <w:numFmt w:val="bullet"/>
      <w:lvlText w:val="•"/>
      <w:lvlJc w:val="left"/>
      <w:pPr>
        <w:ind w:left="7190" w:hanging="601"/>
      </w:pPr>
      <w:rPr>
        <w:rFonts w:hint="default"/>
        <w:lang w:val="en-US" w:eastAsia="en-US" w:bidi="ar-SA"/>
      </w:rPr>
    </w:lvl>
    <w:lvl w:ilvl="8">
      <w:numFmt w:val="bullet"/>
      <w:lvlText w:val="•"/>
      <w:lvlJc w:val="left"/>
      <w:pPr>
        <w:ind w:left="8268" w:hanging="601"/>
      </w:pPr>
      <w:rPr>
        <w:rFonts w:hint="default"/>
        <w:lang w:val="en-US" w:eastAsia="en-US" w:bidi="ar-SA"/>
      </w:rPr>
    </w:lvl>
  </w:abstractNum>
  <w:abstractNum w:abstractNumId="33" w15:restartNumberingAfterBreak="0">
    <w:nsid w:val="29D9283E"/>
    <w:multiLevelType w:val="hybridMultilevel"/>
    <w:tmpl w:val="20B8BC6C"/>
    <w:lvl w:ilvl="0" w:tplc="0762B710">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66E6F52A">
      <w:numFmt w:val="bullet"/>
      <w:lvlText w:val="•"/>
      <w:lvlJc w:val="left"/>
      <w:pPr>
        <w:ind w:left="1101" w:hanging="284"/>
      </w:pPr>
      <w:rPr>
        <w:rFonts w:hint="default"/>
        <w:lang w:val="en-US" w:eastAsia="en-US" w:bidi="ar-SA"/>
      </w:rPr>
    </w:lvl>
    <w:lvl w:ilvl="2" w:tplc="F1E8D814">
      <w:numFmt w:val="bullet"/>
      <w:lvlText w:val="•"/>
      <w:lvlJc w:val="left"/>
      <w:pPr>
        <w:ind w:left="1923" w:hanging="284"/>
      </w:pPr>
      <w:rPr>
        <w:rFonts w:hint="default"/>
        <w:lang w:val="en-US" w:eastAsia="en-US" w:bidi="ar-SA"/>
      </w:rPr>
    </w:lvl>
    <w:lvl w:ilvl="3" w:tplc="2CDE9874">
      <w:numFmt w:val="bullet"/>
      <w:lvlText w:val="•"/>
      <w:lvlJc w:val="left"/>
      <w:pPr>
        <w:ind w:left="2745" w:hanging="284"/>
      </w:pPr>
      <w:rPr>
        <w:rFonts w:hint="default"/>
        <w:lang w:val="en-US" w:eastAsia="en-US" w:bidi="ar-SA"/>
      </w:rPr>
    </w:lvl>
    <w:lvl w:ilvl="4" w:tplc="FF2493A4">
      <w:numFmt w:val="bullet"/>
      <w:lvlText w:val="•"/>
      <w:lvlJc w:val="left"/>
      <w:pPr>
        <w:ind w:left="3567" w:hanging="284"/>
      </w:pPr>
      <w:rPr>
        <w:rFonts w:hint="default"/>
        <w:lang w:val="en-US" w:eastAsia="en-US" w:bidi="ar-SA"/>
      </w:rPr>
    </w:lvl>
    <w:lvl w:ilvl="5" w:tplc="63BA5D60">
      <w:numFmt w:val="bullet"/>
      <w:lvlText w:val="•"/>
      <w:lvlJc w:val="left"/>
      <w:pPr>
        <w:ind w:left="4389" w:hanging="284"/>
      </w:pPr>
      <w:rPr>
        <w:rFonts w:hint="default"/>
        <w:lang w:val="en-US" w:eastAsia="en-US" w:bidi="ar-SA"/>
      </w:rPr>
    </w:lvl>
    <w:lvl w:ilvl="6" w:tplc="A68E11C4">
      <w:numFmt w:val="bullet"/>
      <w:lvlText w:val="•"/>
      <w:lvlJc w:val="left"/>
      <w:pPr>
        <w:ind w:left="5211" w:hanging="284"/>
      </w:pPr>
      <w:rPr>
        <w:rFonts w:hint="default"/>
        <w:lang w:val="en-US" w:eastAsia="en-US" w:bidi="ar-SA"/>
      </w:rPr>
    </w:lvl>
    <w:lvl w:ilvl="7" w:tplc="FBCC585E">
      <w:numFmt w:val="bullet"/>
      <w:lvlText w:val="•"/>
      <w:lvlJc w:val="left"/>
      <w:pPr>
        <w:ind w:left="6033" w:hanging="284"/>
      </w:pPr>
      <w:rPr>
        <w:rFonts w:hint="default"/>
        <w:lang w:val="en-US" w:eastAsia="en-US" w:bidi="ar-SA"/>
      </w:rPr>
    </w:lvl>
    <w:lvl w:ilvl="8" w:tplc="96EC6A14">
      <w:numFmt w:val="bullet"/>
      <w:lvlText w:val="•"/>
      <w:lvlJc w:val="left"/>
      <w:pPr>
        <w:ind w:left="6855" w:hanging="284"/>
      </w:pPr>
      <w:rPr>
        <w:rFonts w:hint="default"/>
        <w:lang w:val="en-US" w:eastAsia="en-US" w:bidi="ar-SA"/>
      </w:rPr>
    </w:lvl>
  </w:abstractNum>
  <w:abstractNum w:abstractNumId="34" w15:restartNumberingAfterBreak="0">
    <w:nsid w:val="2A460A4C"/>
    <w:multiLevelType w:val="hybridMultilevel"/>
    <w:tmpl w:val="810417AC"/>
    <w:lvl w:ilvl="0" w:tplc="774C06C8">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904410F4">
      <w:numFmt w:val="bullet"/>
      <w:lvlText w:val="•"/>
      <w:lvlJc w:val="left"/>
      <w:pPr>
        <w:ind w:left="1101" w:hanging="284"/>
      </w:pPr>
      <w:rPr>
        <w:rFonts w:hint="default"/>
        <w:lang w:val="en-US" w:eastAsia="en-US" w:bidi="ar-SA"/>
      </w:rPr>
    </w:lvl>
    <w:lvl w:ilvl="2" w:tplc="D7C65E12">
      <w:numFmt w:val="bullet"/>
      <w:lvlText w:val="•"/>
      <w:lvlJc w:val="left"/>
      <w:pPr>
        <w:ind w:left="1923" w:hanging="284"/>
      </w:pPr>
      <w:rPr>
        <w:rFonts w:hint="default"/>
        <w:lang w:val="en-US" w:eastAsia="en-US" w:bidi="ar-SA"/>
      </w:rPr>
    </w:lvl>
    <w:lvl w:ilvl="3" w:tplc="47C83C20">
      <w:numFmt w:val="bullet"/>
      <w:lvlText w:val="•"/>
      <w:lvlJc w:val="left"/>
      <w:pPr>
        <w:ind w:left="2745" w:hanging="284"/>
      </w:pPr>
      <w:rPr>
        <w:rFonts w:hint="default"/>
        <w:lang w:val="en-US" w:eastAsia="en-US" w:bidi="ar-SA"/>
      </w:rPr>
    </w:lvl>
    <w:lvl w:ilvl="4" w:tplc="290642C8">
      <w:numFmt w:val="bullet"/>
      <w:lvlText w:val="•"/>
      <w:lvlJc w:val="left"/>
      <w:pPr>
        <w:ind w:left="3567" w:hanging="284"/>
      </w:pPr>
      <w:rPr>
        <w:rFonts w:hint="default"/>
        <w:lang w:val="en-US" w:eastAsia="en-US" w:bidi="ar-SA"/>
      </w:rPr>
    </w:lvl>
    <w:lvl w:ilvl="5" w:tplc="6E6C8F30">
      <w:numFmt w:val="bullet"/>
      <w:lvlText w:val="•"/>
      <w:lvlJc w:val="left"/>
      <w:pPr>
        <w:ind w:left="4389" w:hanging="284"/>
      </w:pPr>
      <w:rPr>
        <w:rFonts w:hint="default"/>
        <w:lang w:val="en-US" w:eastAsia="en-US" w:bidi="ar-SA"/>
      </w:rPr>
    </w:lvl>
    <w:lvl w:ilvl="6" w:tplc="BA22392C">
      <w:numFmt w:val="bullet"/>
      <w:lvlText w:val="•"/>
      <w:lvlJc w:val="left"/>
      <w:pPr>
        <w:ind w:left="5211" w:hanging="284"/>
      </w:pPr>
      <w:rPr>
        <w:rFonts w:hint="default"/>
        <w:lang w:val="en-US" w:eastAsia="en-US" w:bidi="ar-SA"/>
      </w:rPr>
    </w:lvl>
    <w:lvl w:ilvl="7" w:tplc="B038DC80">
      <w:numFmt w:val="bullet"/>
      <w:lvlText w:val="•"/>
      <w:lvlJc w:val="left"/>
      <w:pPr>
        <w:ind w:left="6033" w:hanging="284"/>
      </w:pPr>
      <w:rPr>
        <w:rFonts w:hint="default"/>
        <w:lang w:val="en-US" w:eastAsia="en-US" w:bidi="ar-SA"/>
      </w:rPr>
    </w:lvl>
    <w:lvl w:ilvl="8" w:tplc="D2662462">
      <w:numFmt w:val="bullet"/>
      <w:lvlText w:val="•"/>
      <w:lvlJc w:val="left"/>
      <w:pPr>
        <w:ind w:left="6855" w:hanging="284"/>
      </w:pPr>
      <w:rPr>
        <w:rFonts w:hint="default"/>
        <w:lang w:val="en-US" w:eastAsia="en-US" w:bidi="ar-SA"/>
      </w:rPr>
    </w:lvl>
  </w:abstractNum>
  <w:abstractNum w:abstractNumId="35" w15:restartNumberingAfterBreak="0">
    <w:nsid w:val="2AE728A4"/>
    <w:multiLevelType w:val="hybridMultilevel"/>
    <w:tmpl w:val="BC7C801E"/>
    <w:lvl w:ilvl="0" w:tplc="7C927BBA">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ED1835E2">
      <w:numFmt w:val="bullet"/>
      <w:lvlText w:val="•"/>
      <w:lvlJc w:val="left"/>
      <w:pPr>
        <w:ind w:left="1845" w:hanging="227"/>
      </w:pPr>
      <w:rPr>
        <w:rFonts w:hint="default"/>
        <w:lang w:val="en-US" w:eastAsia="en-US" w:bidi="ar-SA"/>
      </w:rPr>
    </w:lvl>
    <w:lvl w:ilvl="2" w:tplc="A64AD5FC">
      <w:numFmt w:val="bullet"/>
      <w:lvlText w:val="•"/>
      <w:lvlJc w:val="left"/>
      <w:pPr>
        <w:ind w:left="3351" w:hanging="227"/>
      </w:pPr>
      <w:rPr>
        <w:rFonts w:hint="default"/>
        <w:lang w:val="en-US" w:eastAsia="en-US" w:bidi="ar-SA"/>
      </w:rPr>
    </w:lvl>
    <w:lvl w:ilvl="3" w:tplc="B52E4DB4">
      <w:numFmt w:val="bullet"/>
      <w:lvlText w:val="•"/>
      <w:lvlJc w:val="left"/>
      <w:pPr>
        <w:ind w:left="4857" w:hanging="227"/>
      </w:pPr>
      <w:rPr>
        <w:rFonts w:hint="default"/>
        <w:lang w:val="en-US" w:eastAsia="en-US" w:bidi="ar-SA"/>
      </w:rPr>
    </w:lvl>
    <w:lvl w:ilvl="4" w:tplc="72B4CA1A">
      <w:numFmt w:val="bullet"/>
      <w:lvlText w:val="•"/>
      <w:lvlJc w:val="left"/>
      <w:pPr>
        <w:ind w:left="6363" w:hanging="227"/>
      </w:pPr>
      <w:rPr>
        <w:rFonts w:hint="default"/>
        <w:lang w:val="en-US" w:eastAsia="en-US" w:bidi="ar-SA"/>
      </w:rPr>
    </w:lvl>
    <w:lvl w:ilvl="5" w:tplc="D6E6DBA6">
      <w:numFmt w:val="bullet"/>
      <w:lvlText w:val="•"/>
      <w:lvlJc w:val="left"/>
      <w:pPr>
        <w:ind w:left="7868" w:hanging="227"/>
      </w:pPr>
      <w:rPr>
        <w:rFonts w:hint="default"/>
        <w:lang w:val="en-US" w:eastAsia="en-US" w:bidi="ar-SA"/>
      </w:rPr>
    </w:lvl>
    <w:lvl w:ilvl="6" w:tplc="1940117A">
      <w:numFmt w:val="bullet"/>
      <w:lvlText w:val="•"/>
      <w:lvlJc w:val="left"/>
      <w:pPr>
        <w:ind w:left="9374" w:hanging="227"/>
      </w:pPr>
      <w:rPr>
        <w:rFonts w:hint="default"/>
        <w:lang w:val="en-US" w:eastAsia="en-US" w:bidi="ar-SA"/>
      </w:rPr>
    </w:lvl>
    <w:lvl w:ilvl="7" w:tplc="E486AE94">
      <w:numFmt w:val="bullet"/>
      <w:lvlText w:val="•"/>
      <w:lvlJc w:val="left"/>
      <w:pPr>
        <w:ind w:left="10880" w:hanging="227"/>
      </w:pPr>
      <w:rPr>
        <w:rFonts w:hint="default"/>
        <w:lang w:val="en-US" w:eastAsia="en-US" w:bidi="ar-SA"/>
      </w:rPr>
    </w:lvl>
    <w:lvl w:ilvl="8" w:tplc="095A3F8E">
      <w:numFmt w:val="bullet"/>
      <w:lvlText w:val="•"/>
      <w:lvlJc w:val="left"/>
      <w:pPr>
        <w:ind w:left="12386" w:hanging="227"/>
      </w:pPr>
      <w:rPr>
        <w:rFonts w:hint="default"/>
        <w:lang w:val="en-US" w:eastAsia="en-US" w:bidi="ar-SA"/>
      </w:rPr>
    </w:lvl>
  </w:abstractNum>
  <w:abstractNum w:abstractNumId="36" w15:restartNumberingAfterBreak="0">
    <w:nsid w:val="2B0516F1"/>
    <w:multiLevelType w:val="hybridMultilevel"/>
    <w:tmpl w:val="AC4EB79A"/>
    <w:lvl w:ilvl="0" w:tplc="0E88B7D8">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85F6D44C">
      <w:numFmt w:val="bullet"/>
      <w:lvlText w:val="•"/>
      <w:lvlJc w:val="left"/>
      <w:pPr>
        <w:ind w:left="1350" w:hanging="227"/>
      </w:pPr>
      <w:rPr>
        <w:rFonts w:hint="default"/>
        <w:lang w:val="en-US" w:eastAsia="en-US" w:bidi="ar-SA"/>
      </w:rPr>
    </w:lvl>
    <w:lvl w:ilvl="2" w:tplc="E996DC88">
      <w:numFmt w:val="bullet"/>
      <w:lvlText w:val="•"/>
      <w:lvlJc w:val="left"/>
      <w:pPr>
        <w:ind w:left="2361" w:hanging="227"/>
      </w:pPr>
      <w:rPr>
        <w:rFonts w:hint="default"/>
        <w:lang w:val="en-US" w:eastAsia="en-US" w:bidi="ar-SA"/>
      </w:rPr>
    </w:lvl>
    <w:lvl w:ilvl="3" w:tplc="D6CE1402">
      <w:numFmt w:val="bullet"/>
      <w:lvlText w:val="•"/>
      <w:lvlJc w:val="left"/>
      <w:pPr>
        <w:ind w:left="3371" w:hanging="227"/>
      </w:pPr>
      <w:rPr>
        <w:rFonts w:hint="default"/>
        <w:lang w:val="en-US" w:eastAsia="en-US" w:bidi="ar-SA"/>
      </w:rPr>
    </w:lvl>
    <w:lvl w:ilvl="4" w:tplc="F3E07108">
      <w:numFmt w:val="bullet"/>
      <w:lvlText w:val="•"/>
      <w:lvlJc w:val="left"/>
      <w:pPr>
        <w:ind w:left="4382" w:hanging="227"/>
      </w:pPr>
      <w:rPr>
        <w:rFonts w:hint="default"/>
        <w:lang w:val="en-US" w:eastAsia="en-US" w:bidi="ar-SA"/>
      </w:rPr>
    </w:lvl>
    <w:lvl w:ilvl="5" w:tplc="DA407672">
      <w:numFmt w:val="bullet"/>
      <w:lvlText w:val="•"/>
      <w:lvlJc w:val="left"/>
      <w:pPr>
        <w:ind w:left="5392" w:hanging="227"/>
      </w:pPr>
      <w:rPr>
        <w:rFonts w:hint="default"/>
        <w:lang w:val="en-US" w:eastAsia="en-US" w:bidi="ar-SA"/>
      </w:rPr>
    </w:lvl>
    <w:lvl w:ilvl="6" w:tplc="84A4ECEC">
      <w:numFmt w:val="bullet"/>
      <w:lvlText w:val="•"/>
      <w:lvlJc w:val="left"/>
      <w:pPr>
        <w:ind w:left="6403" w:hanging="227"/>
      </w:pPr>
      <w:rPr>
        <w:rFonts w:hint="default"/>
        <w:lang w:val="en-US" w:eastAsia="en-US" w:bidi="ar-SA"/>
      </w:rPr>
    </w:lvl>
    <w:lvl w:ilvl="7" w:tplc="C6067C3C">
      <w:numFmt w:val="bullet"/>
      <w:lvlText w:val="•"/>
      <w:lvlJc w:val="left"/>
      <w:pPr>
        <w:ind w:left="7413" w:hanging="227"/>
      </w:pPr>
      <w:rPr>
        <w:rFonts w:hint="default"/>
        <w:lang w:val="en-US" w:eastAsia="en-US" w:bidi="ar-SA"/>
      </w:rPr>
    </w:lvl>
    <w:lvl w:ilvl="8" w:tplc="8834ABA0">
      <w:numFmt w:val="bullet"/>
      <w:lvlText w:val="•"/>
      <w:lvlJc w:val="left"/>
      <w:pPr>
        <w:ind w:left="8424" w:hanging="227"/>
      </w:pPr>
      <w:rPr>
        <w:rFonts w:hint="default"/>
        <w:lang w:val="en-US" w:eastAsia="en-US" w:bidi="ar-SA"/>
      </w:rPr>
    </w:lvl>
  </w:abstractNum>
  <w:abstractNum w:abstractNumId="37" w15:restartNumberingAfterBreak="0">
    <w:nsid w:val="2BAB0601"/>
    <w:multiLevelType w:val="hybridMultilevel"/>
    <w:tmpl w:val="E4982E80"/>
    <w:lvl w:ilvl="0" w:tplc="65F26BFA">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BDFC12B2">
      <w:numFmt w:val="bullet"/>
      <w:lvlText w:val="•"/>
      <w:lvlJc w:val="left"/>
      <w:pPr>
        <w:ind w:left="1101" w:hanging="284"/>
      </w:pPr>
      <w:rPr>
        <w:rFonts w:hint="default"/>
        <w:lang w:val="en-US" w:eastAsia="en-US" w:bidi="ar-SA"/>
      </w:rPr>
    </w:lvl>
    <w:lvl w:ilvl="2" w:tplc="9FB807FA">
      <w:numFmt w:val="bullet"/>
      <w:lvlText w:val="•"/>
      <w:lvlJc w:val="left"/>
      <w:pPr>
        <w:ind w:left="1923" w:hanging="284"/>
      </w:pPr>
      <w:rPr>
        <w:rFonts w:hint="default"/>
        <w:lang w:val="en-US" w:eastAsia="en-US" w:bidi="ar-SA"/>
      </w:rPr>
    </w:lvl>
    <w:lvl w:ilvl="3" w:tplc="552ABCC0">
      <w:numFmt w:val="bullet"/>
      <w:lvlText w:val="•"/>
      <w:lvlJc w:val="left"/>
      <w:pPr>
        <w:ind w:left="2745" w:hanging="284"/>
      </w:pPr>
      <w:rPr>
        <w:rFonts w:hint="default"/>
        <w:lang w:val="en-US" w:eastAsia="en-US" w:bidi="ar-SA"/>
      </w:rPr>
    </w:lvl>
    <w:lvl w:ilvl="4" w:tplc="B578530E">
      <w:numFmt w:val="bullet"/>
      <w:lvlText w:val="•"/>
      <w:lvlJc w:val="left"/>
      <w:pPr>
        <w:ind w:left="3567" w:hanging="284"/>
      </w:pPr>
      <w:rPr>
        <w:rFonts w:hint="default"/>
        <w:lang w:val="en-US" w:eastAsia="en-US" w:bidi="ar-SA"/>
      </w:rPr>
    </w:lvl>
    <w:lvl w:ilvl="5" w:tplc="C346DD30">
      <w:numFmt w:val="bullet"/>
      <w:lvlText w:val="•"/>
      <w:lvlJc w:val="left"/>
      <w:pPr>
        <w:ind w:left="4389" w:hanging="284"/>
      </w:pPr>
      <w:rPr>
        <w:rFonts w:hint="default"/>
        <w:lang w:val="en-US" w:eastAsia="en-US" w:bidi="ar-SA"/>
      </w:rPr>
    </w:lvl>
    <w:lvl w:ilvl="6" w:tplc="0584D290">
      <w:numFmt w:val="bullet"/>
      <w:lvlText w:val="•"/>
      <w:lvlJc w:val="left"/>
      <w:pPr>
        <w:ind w:left="5211" w:hanging="284"/>
      </w:pPr>
      <w:rPr>
        <w:rFonts w:hint="default"/>
        <w:lang w:val="en-US" w:eastAsia="en-US" w:bidi="ar-SA"/>
      </w:rPr>
    </w:lvl>
    <w:lvl w:ilvl="7" w:tplc="7E842444">
      <w:numFmt w:val="bullet"/>
      <w:lvlText w:val="•"/>
      <w:lvlJc w:val="left"/>
      <w:pPr>
        <w:ind w:left="6033" w:hanging="284"/>
      </w:pPr>
      <w:rPr>
        <w:rFonts w:hint="default"/>
        <w:lang w:val="en-US" w:eastAsia="en-US" w:bidi="ar-SA"/>
      </w:rPr>
    </w:lvl>
    <w:lvl w:ilvl="8" w:tplc="9B1A9ACC">
      <w:numFmt w:val="bullet"/>
      <w:lvlText w:val="•"/>
      <w:lvlJc w:val="left"/>
      <w:pPr>
        <w:ind w:left="6855" w:hanging="284"/>
      </w:pPr>
      <w:rPr>
        <w:rFonts w:hint="default"/>
        <w:lang w:val="en-US" w:eastAsia="en-US" w:bidi="ar-SA"/>
      </w:rPr>
    </w:lvl>
  </w:abstractNum>
  <w:abstractNum w:abstractNumId="38" w15:restartNumberingAfterBreak="0">
    <w:nsid w:val="2C574755"/>
    <w:multiLevelType w:val="hybridMultilevel"/>
    <w:tmpl w:val="9DA67A2E"/>
    <w:lvl w:ilvl="0" w:tplc="D16A6FDE">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20AA7EAE">
      <w:numFmt w:val="bullet"/>
      <w:lvlText w:val="•"/>
      <w:lvlJc w:val="left"/>
      <w:pPr>
        <w:ind w:left="1402" w:hanging="284"/>
      </w:pPr>
      <w:rPr>
        <w:rFonts w:hint="default"/>
        <w:lang w:val="en-US" w:eastAsia="en-US" w:bidi="ar-SA"/>
      </w:rPr>
    </w:lvl>
    <w:lvl w:ilvl="2" w:tplc="4E50E3BC">
      <w:numFmt w:val="bullet"/>
      <w:lvlText w:val="•"/>
      <w:lvlJc w:val="left"/>
      <w:pPr>
        <w:ind w:left="2405" w:hanging="284"/>
      </w:pPr>
      <w:rPr>
        <w:rFonts w:hint="default"/>
        <w:lang w:val="en-US" w:eastAsia="en-US" w:bidi="ar-SA"/>
      </w:rPr>
    </w:lvl>
    <w:lvl w:ilvl="3" w:tplc="318E875E">
      <w:numFmt w:val="bullet"/>
      <w:lvlText w:val="•"/>
      <w:lvlJc w:val="left"/>
      <w:pPr>
        <w:ind w:left="3407" w:hanging="284"/>
      </w:pPr>
      <w:rPr>
        <w:rFonts w:hint="default"/>
        <w:lang w:val="en-US" w:eastAsia="en-US" w:bidi="ar-SA"/>
      </w:rPr>
    </w:lvl>
    <w:lvl w:ilvl="4" w:tplc="99C008A0">
      <w:numFmt w:val="bullet"/>
      <w:lvlText w:val="•"/>
      <w:lvlJc w:val="left"/>
      <w:pPr>
        <w:ind w:left="4410" w:hanging="284"/>
      </w:pPr>
      <w:rPr>
        <w:rFonts w:hint="default"/>
        <w:lang w:val="en-US" w:eastAsia="en-US" w:bidi="ar-SA"/>
      </w:rPr>
    </w:lvl>
    <w:lvl w:ilvl="5" w:tplc="218AEE34">
      <w:numFmt w:val="bullet"/>
      <w:lvlText w:val="•"/>
      <w:lvlJc w:val="left"/>
      <w:pPr>
        <w:ind w:left="5412" w:hanging="284"/>
      </w:pPr>
      <w:rPr>
        <w:rFonts w:hint="default"/>
        <w:lang w:val="en-US" w:eastAsia="en-US" w:bidi="ar-SA"/>
      </w:rPr>
    </w:lvl>
    <w:lvl w:ilvl="6" w:tplc="EEA26780">
      <w:numFmt w:val="bullet"/>
      <w:lvlText w:val="•"/>
      <w:lvlJc w:val="left"/>
      <w:pPr>
        <w:ind w:left="6415" w:hanging="284"/>
      </w:pPr>
      <w:rPr>
        <w:rFonts w:hint="default"/>
        <w:lang w:val="en-US" w:eastAsia="en-US" w:bidi="ar-SA"/>
      </w:rPr>
    </w:lvl>
    <w:lvl w:ilvl="7" w:tplc="F3F005DC">
      <w:numFmt w:val="bullet"/>
      <w:lvlText w:val="•"/>
      <w:lvlJc w:val="left"/>
      <w:pPr>
        <w:ind w:left="7417" w:hanging="284"/>
      </w:pPr>
      <w:rPr>
        <w:rFonts w:hint="default"/>
        <w:lang w:val="en-US" w:eastAsia="en-US" w:bidi="ar-SA"/>
      </w:rPr>
    </w:lvl>
    <w:lvl w:ilvl="8" w:tplc="3754EE0E">
      <w:numFmt w:val="bullet"/>
      <w:lvlText w:val="•"/>
      <w:lvlJc w:val="left"/>
      <w:pPr>
        <w:ind w:left="8420" w:hanging="284"/>
      </w:pPr>
      <w:rPr>
        <w:rFonts w:hint="default"/>
        <w:lang w:val="en-US" w:eastAsia="en-US" w:bidi="ar-SA"/>
      </w:rPr>
    </w:lvl>
  </w:abstractNum>
  <w:abstractNum w:abstractNumId="39" w15:restartNumberingAfterBreak="0">
    <w:nsid w:val="2ED67D7A"/>
    <w:multiLevelType w:val="hybridMultilevel"/>
    <w:tmpl w:val="00646C84"/>
    <w:lvl w:ilvl="0" w:tplc="7F321348">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04D476E8">
      <w:numFmt w:val="bullet"/>
      <w:lvlText w:val="•"/>
      <w:lvlJc w:val="left"/>
      <w:pPr>
        <w:ind w:left="1350" w:hanging="227"/>
      </w:pPr>
      <w:rPr>
        <w:rFonts w:hint="default"/>
        <w:lang w:val="en-US" w:eastAsia="en-US" w:bidi="ar-SA"/>
      </w:rPr>
    </w:lvl>
    <w:lvl w:ilvl="2" w:tplc="4558917C">
      <w:numFmt w:val="bullet"/>
      <w:lvlText w:val="•"/>
      <w:lvlJc w:val="left"/>
      <w:pPr>
        <w:ind w:left="2361" w:hanging="227"/>
      </w:pPr>
      <w:rPr>
        <w:rFonts w:hint="default"/>
        <w:lang w:val="en-US" w:eastAsia="en-US" w:bidi="ar-SA"/>
      </w:rPr>
    </w:lvl>
    <w:lvl w:ilvl="3" w:tplc="DA185C70">
      <w:numFmt w:val="bullet"/>
      <w:lvlText w:val="•"/>
      <w:lvlJc w:val="left"/>
      <w:pPr>
        <w:ind w:left="3371" w:hanging="227"/>
      </w:pPr>
      <w:rPr>
        <w:rFonts w:hint="default"/>
        <w:lang w:val="en-US" w:eastAsia="en-US" w:bidi="ar-SA"/>
      </w:rPr>
    </w:lvl>
    <w:lvl w:ilvl="4" w:tplc="CA92B952">
      <w:numFmt w:val="bullet"/>
      <w:lvlText w:val="•"/>
      <w:lvlJc w:val="left"/>
      <w:pPr>
        <w:ind w:left="4382" w:hanging="227"/>
      </w:pPr>
      <w:rPr>
        <w:rFonts w:hint="default"/>
        <w:lang w:val="en-US" w:eastAsia="en-US" w:bidi="ar-SA"/>
      </w:rPr>
    </w:lvl>
    <w:lvl w:ilvl="5" w:tplc="2564D5B8">
      <w:numFmt w:val="bullet"/>
      <w:lvlText w:val="•"/>
      <w:lvlJc w:val="left"/>
      <w:pPr>
        <w:ind w:left="5392" w:hanging="227"/>
      </w:pPr>
      <w:rPr>
        <w:rFonts w:hint="default"/>
        <w:lang w:val="en-US" w:eastAsia="en-US" w:bidi="ar-SA"/>
      </w:rPr>
    </w:lvl>
    <w:lvl w:ilvl="6" w:tplc="6EE84CCC">
      <w:numFmt w:val="bullet"/>
      <w:lvlText w:val="•"/>
      <w:lvlJc w:val="left"/>
      <w:pPr>
        <w:ind w:left="6403" w:hanging="227"/>
      </w:pPr>
      <w:rPr>
        <w:rFonts w:hint="default"/>
        <w:lang w:val="en-US" w:eastAsia="en-US" w:bidi="ar-SA"/>
      </w:rPr>
    </w:lvl>
    <w:lvl w:ilvl="7" w:tplc="97E22136">
      <w:numFmt w:val="bullet"/>
      <w:lvlText w:val="•"/>
      <w:lvlJc w:val="left"/>
      <w:pPr>
        <w:ind w:left="7413" w:hanging="227"/>
      </w:pPr>
      <w:rPr>
        <w:rFonts w:hint="default"/>
        <w:lang w:val="en-US" w:eastAsia="en-US" w:bidi="ar-SA"/>
      </w:rPr>
    </w:lvl>
    <w:lvl w:ilvl="8" w:tplc="67DCC7EA">
      <w:numFmt w:val="bullet"/>
      <w:lvlText w:val="•"/>
      <w:lvlJc w:val="left"/>
      <w:pPr>
        <w:ind w:left="8424" w:hanging="227"/>
      </w:pPr>
      <w:rPr>
        <w:rFonts w:hint="default"/>
        <w:lang w:val="en-US" w:eastAsia="en-US" w:bidi="ar-SA"/>
      </w:rPr>
    </w:lvl>
  </w:abstractNum>
  <w:abstractNum w:abstractNumId="40" w15:restartNumberingAfterBreak="0">
    <w:nsid w:val="2F4D5930"/>
    <w:multiLevelType w:val="hybridMultilevel"/>
    <w:tmpl w:val="929280CE"/>
    <w:lvl w:ilvl="0" w:tplc="F6664EE6">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64826896">
      <w:numFmt w:val="bullet"/>
      <w:lvlText w:val="•"/>
      <w:lvlJc w:val="left"/>
      <w:pPr>
        <w:ind w:left="1404" w:hanging="284"/>
      </w:pPr>
      <w:rPr>
        <w:rFonts w:hint="default"/>
        <w:lang w:val="en-US" w:eastAsia="en-US" w:bidi="ar-SA"/>
      </w:rPr>
    </w:lvl>
    <w:lvl w:ilvl="2" w:tplc="AF8615EA">
      <w:numFmt w:val="bullet"/>
      <w:lvlText w:val="•"/>
      <w:lvlJc w:val="left"/>
      <w:pPr>
        <w:ind w:left="2409" w:hanging="284"/>
      </w:pPr>
      <w:rPr>
        <w:rFonts w:hint="default"/>
        <w:lang w:val="en-US" w:eastAsia="en-US" w:bidi="ar-SA"/>
      </w:rPr>
    </w:lvl>
    <w:lvl w:ilvl="3" w:tplc="F1DABA6A">
      <w:numFmt w:val="bullet"/>
      <w:lvlText w:val="•"/>
      <w:lvlJc w:val="left"/>
      <w:pPr>
        <w:ind w:left="3413" w:hanging="284"/>
      </w:pPr>
      <w:rPr>
        <w:rFonts w:hint="default"/>
        <w:lang w:val="en-US" w:eastAsia="en-US" w:bidi="ar-SA"/>
      </w:rPr>
    </w:lvl>
    <w:lvl w:ilvl="4" w:tplc="242652BE">
      <w:numFmt w:val="bullet"/>
      <w:lvlText w:val="•"/>
      <w:lvlJc w:val="left"/>
      <w:pPr>
        <w:ind w:left="4418" w:hanging="284"/>
      </w:pPr>
      <w:rPr>
        <w:rFonts w:hint="default"/>
        <w:lang w:val="en-US" w:eastAsia="en-US" w:bidi="ar-SA"/>
      </w:rPr>
    </w:lvl>
    <w:lvl w:ilvl="5" w:tplc="BA5A84AA">
      <w:numFmt w:val="bullet"/>
      <w:lvlText w:val="•"/>
      <w:lvlJc w:val="left"/>
      <w:pPr>
        <w:ind w:left="5422" w:hanging="284"/>
      </w:pPr>
      <w:rPr>
        <w:rFonts w:hint="default"/>
        <w:lang w:val="en-US" w:eastAsia="en-US" w:bidi="ar-SA"/>
      </w:rPr>
    </w:lvl>
    <w:lvl w:ilvl="6" w:tplc="F790FFA0">
      <w:numFmt w:val="bullet"/>
      <w:lvlText w:val="•"/>
      <w:lvlJc w:val="left"/>
      <w:pPr>
        <w:ind w:left="6427" w:hanging="284"/>
      </w:pPr>
      <w:rPr>
        <w:rFonts w:hint="default"/>
        <w:lang w:val="en-US" w:eastAsia="en-US" w:bidi="ar-SA"/>
      </w:rPr>
    </w:lvl>
    <w:lvl w:ilvl="7" w:tplc="4A1ED5D6">
      <w:numFmt w:val="bullet"/>
      <w:lvlText w:val="•"/>
      <w:lvlJc w:val="left"/>
      <w:pPr>
        <w:ind w:left="7431" w:hanging="284"/>
      </w:pPr>
      <w:rPr>
        <w:rFonts w:hint="default"/>
        <w:lang w:val="en-US" w:eastAsia="en-US" w:bidi="ar-SA"/>
      </w:rPr>
    </w:lvl>
    <w:lvl w:ilvl="8" w:tplc="1C22BAD0">
      <w:numFmt w:val="bullet"/>
      <w:lvlText w:val="•"/>
      <w:lvlJc w:val="left"/>
      <w:pPr>
        <w:ind w:left="8436" w:hanging="284"/>
      </w:pPr>
      <w:rPr>
        <w:rFonts w:hint="default"/>
        <w:lang w:val="en-US" w:eastAsia="en-US" w:bidi="ar-SA"/>
      </w:rPr>
    </w:lvl>
  </w:abstractNum>
  <w:abstractNum w:abstractNumId="41" w15:restartNumberingAfterBreak="0">
    <w:nsid w:val="30B07C23"/>
    <w:multiLevelType w:val="hybridMultilevel"/>
    <w:tmpl w:val="56D47B14"/>
    <w:lvl w:ilvl="0" w:tplc="1E86687C">
      <w:start w:val="1"/>
      <w:numFmt w:val="lowerRoman"/>
      <w:lvlText w:val="%1)"/>
      <w:lvlJc w:val="left"/>
      <w:pPr>
        <w:ind w:left="393" w:hanging="284"/>
      </w:pPr>
      <w:rPr>
        <w:rFonts w:ascii="Arial" w:eastAsia="Arial" w:hAnsi="Arial" w:cs="Arial" w:hint="default"/>
        <w:b w:val="0"/>
        <w:bCs w:val="0"/>
        <w:i w:val="0"/>
        <w:iCs w:val="0"/>
        <w:color w:val="231F20"/>
        <w:spacing w:val="-4"/>
        <w:w w:val="100"/>
        <w:sz w:val="24"/>
        <w:szCs w:val="24"/>
        <w:lang w:val="en-US" w:eastAsia="en-US" w:bidi="ar-SA"/>
      </w:rPr>
    </w:lvl>
    <w:lvl w:ilvl="1" w:tplc="C6FADC26">
      <w:numFmt w:val="bullet"/>
      <w:lvlText w:val="•"/>
      <w:lvlJc w:val="left"/>
      <w:pPr>
        <w:ind w:left="1402" w:hanging="284"/>
      </w:pPr>
      <w:rPr>
        <w:rFonts w:hint="default"/>
        <w:lang w:val="en-US" w:eastAsia="en-US" w:bidi="ar-SA"/>
      </w:rPr>
    </w:lvl>
    <w:lvl w:ilvl="2" w:tplc="35265632">
      <w:numFmt w:val="bullet"/>
      <w:lvlText w:val="•"/>
      <w:lvlJc w:val="left"/>
      <w:pPr>
        <w:ind w:left="2405" w:hanging="284"/>
      </w:pPr>
      <w:rPr>
        <w:rFonts w:hint="default"/>
        <w:lang w:val="en-US" w:eastAsia="en-US" w:bidi="ar-SA"/>
      </w:rPr>
    </w:lvl>
    <w:lvl w:ilvl="3" w:tplc="529CA208">
      <w:numFmt w:val="bullet"/>
      <w:lvlText w:val="•"/>
      <w:lvlJc w:val="left"/>
      <w:pPr>
        <w:ind w:left="3407" w:hanging="284"/>
      </w:pPr>
      <w:rPr>
        <w:rFonts w:hint="default"/>
        <w:lang w:val="en-US" w:eastAsia="en-US" w:bidi="ar-SA"/>
      </w:rPr>
    </w:lvl>
    <w:lvl w:ilvl="4" w:tplc="800A6F58">
      <w:numFmt w:val="bullet"/>
      <w:lvlText w:val="•"/>
      <w:lvlJc w:val="left"/>
      <w:pPr>
        <w:ind w:left="4410" w:hanging="284"/>
      </w:pPr>
      <w:rPr>
        <w:rFonts w:hint="default"/>
        <w:lang w:val="en-US" w:eastAsia="en-US" w:bidi="ar-SA"/>
      </w:rPr>
    </w:lvl>
    <w:lvl w:ilvl="5" w:tplc="166458A2">
      <w:numFmt w:val="bullet"/>
      <w:lvlText w:val="•"/>
      <w:lvlJc w:val="left"/>
      <w:pPr>
        <w:ind w:left="5412" w:hanging="284"/>
      </w:pPr>
      <w:rPr>
        <w:rFonts w:hint="default"/>
        <w:lang w:val="en-US" w:eastAsia="en-US" w:bidi="ar-SA"/>
      </w:rPr>
    </w:lvl>
    <w:lvl w:ilvl="6" w:tplc="B3CE8D3E">
      <w:numFmt w:val="bullet"/>
      <w:lvlText w:val="•"/>
      <w:lvlJc w:val="left"/>
      <w:pPr>
        <w:ind w:left="6415" w:hanging="284"/>
      </w:pPr>
      <w:rPr>
        <w:rFonts w:hint="default"/>
        <w:lang w:val="en-US" w:eastAsia="en-US" w:bidi="ar-SA"/>
      </w:rPr>
    </w:lvl>
    <w:lvl w:ilvl="7" w:tplc="1DDE16C2">
      <w:numFmt w:val="bullet"/>
      <w:lvlText w:val="•"/>
      <w:lvlJc w:val="left"/>
      <w:pPr>
        <w:ind w:left="7417" w:hanging="284"/>
      </w:pPr>
      <w:rPr>
        <w:rFonts w:hint="default"/>
        <w:lang w:val="en-US" w:eastAsia="en-US" w:bidi="ar-SA"/>
      </w:rPr>
    </w:lvl>
    <w:lvl w:ilvl="8" w:tplc="71DED7B6">
      <w:numFmt w:val="bullet"/>
      <w:lvlText w:val="•"/>
      <w:lvlJc w:val="left"/>
      <w:pPr>
        <w:ind w:left="8420" w:hanging="284"/>
      </w:pPr>
      <w:rPr>
        <w:rFonts w:hint="default"/>
        <w:lang w:val="en-US" w:eastAsia="en-US" w:bidi="ar-SA"/>
      </w:rPr>
    </w:lvl>
  </w:abstractNum>
  <w:abstractNum w:abstractNumId="42" w15:restartNumberingAfterBreak="0">
    <w:nsid w:val="323C7100"/>
    <w:multiLevelType w:val="hybridMultilevel"/>
    <w:tmpl w:val="C9C08674"/>
    <w:lvl w:ilvl="0" w:tplc="A6E40A6E">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9872CDB8">
      <w:numFmt w:val="bullet"/>
      <w:lvlText w:val="•"/>
      <w:lvlJc w:val="left"/>
      <w:pPr>
        <w:ind w:left="1402" w:hanging="284"/>
      </w:pPr>
      <w:rPr>
        <w:rFonts w:hint="default"/>
        <w:lang w:val="en-US" w:eastAsia="en-US" w:bidi="ar-SA"/>
      </w:rPr>
    </w:lvl>
    <w:lvl w:ilvl="2" w:tplc="C2F02A48">
      <w:numFmt w:val="bullet"/>
      <w:lvlText w:val="•"/>
      <w:lvlJc w:val="left"/>
      <w:pPr>
        <w:ind w:left="2405" w:hanging="284"/>
      </w:pPr>
      <w:rPr>
        <w:rFonts w:hint="default"/>
        <w:lang w:val="en-US" w:eastAsia="en-US" w:bidi="ar-SA"/>
      </w:rPr>
    </w:lvl>
    <w:lvl w:ilvl="3" w:tplc="85F443F8">
      <w:numFmt w:val="bullet"/>
      <w:lvlText w:val="•"/>
      <w:lvlJc w:val="left"/>
      <w:pPr>
        <w:ind w:left="3407" w:hanging="284"/>
      </w:pPr>
      <w:rPr>
        <w:rFonts w:hint="default"/>
        <w:lang w:val="en-US" w:eastAsia="en-US" w:bidi="ar-SA"/>
      </w:rPr>
    </w:lvl>
    <w:lvl w:ilvl="4" w:tplc="F03A87F8">
      <w:numFmt w:val="bullet"/>
      <w:lvlText w:val="•"/>
      <w:lvlJc w:val="left"/>
      <w:pPr>
        <w:ind w:left="4410" w:hanging="284"/>
      </w:pPr>
      <w:rPr>
        <w:rFonts w:hint="default"/>
        <w:lang w:val="en-US" w:eastAsia="en-US" w:bidi="ar-SA"/>
      </w:rPr>
    </w:lvl>
    <w:lvl w:ilvl="5" w:tplc="B2E44A98">
      <w:numFmt w:val="bullet"/>
      <w:lvlText w:val="•"/>
      <w:lvlJc w:val="left"/>
      <w:pPr>
        <w:ind w:left="5412" w:hanging="284"/>
      </w:pPr>
      <w:rPr>
        <w:rFonts w:hint="default"/>
        <w:lang w:val="en-US" w:eastAsia="en-US" w:bidi="ar-SA"/>
      </w:rPr>
    </w:lvl>
    <w:lvl w:ilvl="6" w:tplc="29DC46D2">
      <w:numFmt w:val="bullet"/>
      <w:lvlText w:val="•"/>
      <w:lvlJc w:val="left"/>
      <w:pPr>
        <w:ind w:left="6415" w:hanging="284"/>
      </w:pPr>
      <w:rPr>
        <w:rFonts w:hint="default"/>
        <w:lang w:val="en-US" w:eastAsia="en-US" w:bidi="ar-SA"/>
      </w:rPr>
    </w:lvl>
    <w:lvl w:ilvl="7" w:tplc="541C1D06">
      <w:numFmt w:val="bullet"/>
      <w:lvlText w:val="•"/>
      <w:lvlJc w:val="left"/>
      <w:pPr>
        <w:ind w:left="7417" w:hanging="284"/>
      </w:pPr>
      <w:rPr>
        <w:rFonts w:hint="default"/>
        <w:lang w:val="en-US" w:eastAsia="en-US" w:bidi="ar-SA"/>
      </w:rPr>
    </w:lvl>
    <w:lvl w:ilvl="8" w:tplc="C9263756">
      <w:numFmt w:val="bullet"/>
      <w:lvlText w:val="•"/>
      <w:lvlJc w:val="left"/>
      <w:pPr>
        <w:ind w:left="8420" w:hanging="284"/>
      </w:pPr>
      <w:rPr>
        <w:rFonts w:hint="default"/>
        <w:lang w:val="en-US" w:eastAsia="en-US" w:bidi="ar-SA"/>
      </w:rPr>
    </w:lvl>
  </w:abstractNum>
  <w:abstractNum w:abstractNumId="43" w15:restartNumberingAfterBreak="0">
    <w:nsid w:val="33B27C2A"/>
    <w:multiLevelType w:val="hybridMultilevel"/>
    <w:tmpl w:val="7B9A4698"/>
    <w:lvl w:ilvl="0" w:tplc="9DCABDDC">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4B6E1A14">
      <w:numFmt w:val="bullet"/>
      <w:lvlText w:val="•"/>
      <w:lvlJc w:val="left"/>
      <w:pPr>
        <w:ind w:left="761" w:hanging="284"/>
      </w:pPr>
      <w:rPr>
        <w:rFonts w:hint="default"/>
        <w:lang w:val="en-US" w:eastAsia="en-US" w:bidi="ar-SA"/>
      </w:rPr>
    </w:lvl>
    <w:lvl w:ilvl="2" w:tplc="B9649F94">
      <w:numFmt w:val="bullet"/>
      <w:lvlText w:val="•"/>
      <w:lvlJc w:val="left"/>
      <w:pPr>
        <w:ind w:left="1243" w:hanging="284"/>
      </w:pPr>
      <w:rPr>
        <w:rFonts w:hint="default"/>
        <w:lang w:val="en-US" w:eastAsia="en-US" w:bidi="ar-SA"/>
      </w:rPr>
    </w:lvl>
    <w:lvl w:ilvl="3" w:tplc="7B8631CA">
      <w:numFmt w:val="bullet"/>
      <w:lvlText w:val="•"/>
      <w:lvlJc w:val="left"/>
      <w:pPr>
        <w:ind w:left="1725" w:hanging="284"/>
      </w:pPr>
      <w:rPr>
        <w:rFonts w:hint="default"/>
        <w:lang w:val="en-US" w:eastAsia="en-US" w:bidi="ar-SA"/>
      </w:rPr>
    </w:lvl>
    <w:lvl w:ilvl="4" w:tplc="89201350">
      <w:numFmt w:val="bullet"/>
      <w:lvlText w:val="•"/>
      <w:lvlJc w:val="left"/>
      <w:pPr>
        <w:ind w:left="2206" w:hanging="284"/>
      </w:pPr>
      <w:rPr>
        <w:rFonts w:hint="default"/>
        <w:lang w:val="en-US" w:eastAsia="en-US" w:bidi="ar-SA"/>
      </w:rPr>
    </w:lvl>
    <w:lvl w:ilvl="5" w:tplc="241EFF38">
      <w:numFmt w:val="bullet"/>
      <w:lvlText w:val="•"/>
      <w:lvlJc w:val="left"/>
      <w:pPr>
        <w:ind w:left="2688" w:hanging="284"/>
      </w:pPr>
      <w:rPr>
        <w:rFonts w:hint="default"/>
        <w:lang w:val="en-US" w:eastAsia="en-US" w:bidi="ar-SA"/>
      </w:rPr>
    </w:lvl>
    <w:lvl w:ilvl="6" w:tplc="A50403B8">
      <w:numFmt w:val="bullet"/>
      <w:lvlText w:val="•"/>
      <w:lvlJc w:val="left"/>
      <w:pPr>
        <w:ind w:left="3170" w:hanging="284"/>
      </w:pPr>
      <w:rPr>
        <w:rFonts w:hint="default"/>
        <w:lang w:val="en-US" w:eastAsia="en-US" w:bidi="ar-SA"/>
      </w:rPr>
    </w:lvl>
    <w:lvl w:ilvl="7" w:tplc="EFDEB712">
      <w:numFmt w:val="bullet"/>
      <w:lvlText w:val="•"/>
      <w:lvlJc w:val="left"/>
      <w:pPr>
        <w:ind w:left="3651" w:hanging="284"/>
      </w:pPr>
      <w:rPr>
        <w:rFonts w:hint="default"/>
        <w:lang w:val="en-US" w:eastAsia="en-US" w:bidi="ar-SA"/>
      </w:rPr>
    </w:lvl>
    <w:lvl w:ilvl="8" w:tplc="A0405C4E">
      <w:numFmt w:val="bullet"/>
      <w:lvlText w:val="•"/>
      <w:lvlJc w:val="left"/>
      <w:pPr>
        <w:ind w:left="4133" w:hanging="284"/>
      </w:pPr>
      <w:rPr>
        <w:rFonts w:hint="default"/>
        <w:lang w:val="en-US" w:eastAsia="en-US" w:bidi="ar-SA"/>
      </w:rPr>
    </w:lvl>
  </w:abstractNum>
  <w:abstractNum w:abstractNumId="44" w15:restartNumberingAfterBreak="0">
    <w:nsid w:val="33F74A5A"/>
    <w:multiLevelType w:val="hybridMultilevel"/>
    <w:tmpl w:val="21761690"/>
    <w:lvl w:ilvl="0" w:tplc="FC0E5BBC">
      <w:start w:val="1"/>
      <w:numFmt w:val="lowerLetter"/>
      <w:lvlText w:val="(%1)"/>
      <w:lvlJc w:val="left"/>
      <w:pPr>
        <w:ind w:left="337" w:hanging="227"/>
      </w:pPr>
      <w:rPr>
        <w:rFonts w:hint="default"/>
        <w:spacing w:val="-6"/>
        <w:w w:val="100"/>
        <w:lang w:val="en-US" w:eastAsia="en-US" w:bidi="ar-SA"/>
      </w:rPr>
    </w:lvl>
    <w:lvl w:ilvl="1" w:tplc="A2A65832">
      <w:numFmt w:val="bullet"/>
      <w:lvlText w:val="•"/>
      <w:lvlJc w:val="left"/>
      <w:pPr>
        <w:ind w:left="1350" w:hanging="227"/>
      </w:pPr>
      <w:rPr>
        <w:rFonts w:hint="default"/>
        <w:lang w:val="en-US" w:eastAsia="en-US" w:bidi="ar-SA"/>
      </w:rPr>
    </w:lvl>
    <w:lvl w:ilvl="2" w:tplc="00ECDF72">
      <w:numFmt w:val="bullet"/>
      <w:lvlText w:val="•"/>
      <w:lvlJc w:val="left"/>
      <w:pPr>
        <w:ind w:left="2361" w:hanging="227"/>
      </w:pPr>
      <w:rPr>
        <w:rFonts w:hint="default"/>
        <w:lang w:val="en-US" w:eastAsia="en-US" w:bidi="ar-SA"/>
      </w:rPr>
    </w:lvl>
    <w:lvl w:ilvl="3" w:tplc="B074DCC6">
      <w:numFmt w:val="bullet"/>
      <w:lvlText w:val="•"/>
      <w:lvlJc w:val="left"/>
      <w:pPr>
        <w:ind w:left="3371" w:hanging="227"/>
      </w:pPr>
      <w:rPr>
        <w:rFonts w:hint="default"/>
        <w:lang w:val="en-US" w:eastAsia="en-US" w:bidi="ar-SA"/>
      </w:rPr>
    </w:lvl>
    <w:lvl w:ilvl="4" w:tplc="4EDCB95E">
      <w:numFmt w:val="bullet"/>
      <w:lvlText w:val="•"/>
      <w:lvlJc w:val="left"/>
      <w:pPr>
        <w:ind w:left="4382" w:hanging="227"/>
      </w:pPr>
      <w:rPr>
        <w:rFonts w:hint="default"/>
        <w:lang w:val="en-US" w:eastAsia="en-US" w:bidi="ar-SA"/>
      </w:rPr>
    </w:lvl>
    <w:lvl w:ilvl="5" w:tplc="FDE866C2">
      <w:numFmt w:val="bullet"/>
      <w:lvlText w:val="•"/>
      <w:lvlJc w:val="left"/>
      <w:pPr>
        <w:ind w:left="5392" w:hanging="227"/>
      </w:pPr>
      <w:rPr>
        <w:rFonts w:hint="default"/>
        <w:lang w:val="en-US" w:eastAsia="en-US" w:bidi="ar-SA"/>
      </w:rPr>
    </w:lvl>
    <w:lvl w:ilvl="6" w:tplc="BA664D06">
      <w:numFmt w:val="bullet"/>
      <w:lvlText w:val="•"/>
      <w:lvlJc w:val="left"/>
      <w:pPr>
        <w:ind w:left="6403" w:hanging="227"/>
      </w:pPr>
      <w:rPr>
        <w:rFonts w:hint="default"/>
        <w:lang w:val="en-US" w:eastAsia="en-US" w:bidi="ar-SA"/>
      </w:rPr>
    </w:lvl>
    <w:lvl w:ilvl="7" w:tplc="39A49AE4">
      <w:numFmt w:val="bullet"/>
      <w:lvlText w:val="•"/>
      <w:lvlJc w:val="left"/>
      <w:pPr>
        <w:ind w:left="7413" w:hanging="227"/>
      </w:pPr>
      <w:rPr>
        <w:rFonts w:hint="default"/>
        <w:lang w:val="en-US" w:eastAsia="en-US" w:bidi="ar-SA"/>
      </w:rPr>
    </w:lvl>
    <w:lvl w:ilvl="8" w:tplc="AEACADB4">
      <w:numFmt w:val="bullet"/>
      <w:lvlText w:val="•"/>
      <w:lvlJc w:val="left"/>
      <w:pPr>
        <w:ind w:left="8424" w:hanging="227"/>
      </w:pPr>
      <w:rPr>
        <w:rFonts w:hint="default"/>
        <w:lang w:val="en-US" w:eastAsia="en-US" w:bidi="ar-SA"/>
      </w:rPr>
    </w:lvl>
  </w:abstractNum>
  <w:abstractNum w:abstractNumId="45" w15:restartNumberingAfterBreak="0">
    <w:nsid w:val="341134D1"/>
    <w:multiLevelType w:val="hybridMultilevel"/>
    <w:tmpl w:val="093458A2"/>
    <w:lvl w:ilvl="0" w:tplc="D0307AC4">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33104886">
      <w:numFmt w:val="bullet"/>
      <w:lvlText w:val="•"/>
      <w:lvlJc w:val="left"/>
      <w:pPr>
        <w:ind w:left="1422" w:hanging="227"/>
      </w:pPr>
      <w:rPr>
        <w:rFonts w:hint="default"/>
        <w:lang w:val="en-US" w:eastAsia="en-US" w:bidi="ar-SA"/>
      </w:rPr>
    </w:lvl>
    <w:lvl w:ilvl="2" w:tplc="C2921780">
      <w:numFmt w:val="bullet"/>
      <w:lvlText w:val="•"/>
      <w:lvlJc w:val="left"/>
      <w:pPr>
        <w:ind w:left="2505" w:hanging="227"/>
      </w:pPr>
      <w:rPr>
        <w:rFonts w:hint="default"/>
        <w:lang w:val="en-US" w:eastAsia="en-US" w:bidi="ar-SA"/>
      </w:rPr>
    </w:lvl>
    <w:lvl w:ilvl="3" w:tplc="0C546964">
      <w:numFmt w:val="bullet"/>
      <w:lvlText w:val="•"/>
      <w:lvlJc w:val="left"/>
      <w:pPr>
        <w:ind w:left="3587" w:hanging="227"/>
      </w:pPr>
      <w:rPr>
        <w:rFonts w:hint="default"/>
        <w:lang w:val="en-US" w:eastAsia="en-US" w:bidi="ar-SA"/>
      </w:rPr>
    </w:lvl>
    <w:lvl w:ilvl="4" w:tplc="9CE80244">
      <w:numFmt w:val="bullet"/>
      <w:lvlText w:val="•"/>
      <w:lvlJc w:val="left"/>
      <w:pPr>
        <w:ind w:left="4670" w:hanging="227"/>
      </w:pPr>
      <w:rPr>
        <w:rFonts w:hint="default"/>
        <w:lang w:val="en-US" w:eastAsia="en-US" w:bidi="ar-SA"/>
      </w:rPr>
    </w:lvl>
    <w:lvl w:ilvl="5" w:tplc="5BD6A1F0">
      <w:numFmt w:val="bullet"/>
      <w:lvlText w:val="•"/>
      <w:lvlJc w:val="left"/>
      <w:pPr>
        <w:ind w:left="5752" w:hanging="227"/>
      </w:pPr>
      <w:rPr>
        <w:rFonts w:hint="default"/>
        <w:lang w:val="en-US" w:eastAsia="en-US" w:bidi="ar-SA"/>
      </w:rPr>
    </w:lvl>
    <w:lvl w:ilvl="6" w:tplc="216C8F46">
      <w:numFmt w:val="bullet"/>
      <w:lvlText w:val="•"/>
      <w:lvlJc w:val="left"/>
      <w:pPr>
        <w:ind w:left="6835" w:hanging="227"/>
      </w:pPr>
      <w:rPr>
        <w:rFonts w:hint="default"/>
        <w:lang w:val="en-US" w:eastAsia="en-US" w:bidi="ar-SA"/>
      </w:rPr>
    </w:lvl>
    <w:lvl w:ilvl="7" w:tplc="0382FFA6">
      <w:numFmt w:val="bullet"/>
      <w:lvlText w:val="•"/>
      <w:lvlJc w:val="left"/>
      <w:pPr>
        <w:ind w:left="7917" w:hanging="227"/>
      </w:pPr>
      <w:rPr>
        <w:rFonts w:hint="default"/>
        <w:lang w:val="en-US" w:eastAsia="en-US" w:bidi="ar-SA"/>
      </w:rPr>
    </w:lvl>
    <w:lvl w:ilvl="8" w:tplc="302A4168">
      <w:numFmt w:val="bullet"/>
      <w:lvlText w:val="•"/>
      <w:lvlJc w:val="left"/>
      <w:pPr>
        <w:ind w:left="9000" w:hanging="227"/>
      </w:pPr>
      <w:rPr>
        <w:rFonts w:hint="default"/>
        <w:lang w:val="en-US" w:eastAsia="en-US" w:bidi="ar-SA"/>
      </w:rPr>
    </w:lvl>
  </w:abstractNum>
  <w:abstractNum w:abstractNumId="46" w15:restartNumberingAfterBreak="0">
    <w:nsid w:val="370A47DE"/>
    <w:multiLevelType w:val="hybridMultilevel"/>
    <w:tmpl w:val="8B7EC970"/>
    <w:lvl w:ilvl="0" w:tplc="4B6C030E">
      <w:start w:val="1"/>
      <w:numFmt w:val="lowerLetter"/>
      <w:lvlText w:val="(%1)"/>
      <w:lvlJc w:val="left"/>
      <w:pPr>
        <w:ind w:left="337" w:hanging="227"/>
      </w:pPr>
      <w:rPr>
        <w:rFonts w:ascii="Arial-BoldItalicMT" w:eastAsia="Arial-BoldItalicMT" w:hAnsi="Arial-BoldItalicMT" w:cs="Arial-BoldItalicMT" w:hint="default"/>
        <w:b/>
        <w:bCs/>
        <w:i/>
        <w:iCs/>
        <w:color w:val="231F20"/>
        <w:spacing w:val="-3"/>
        <w:w w:val="100"/>
        <w:sz w:val="14"/>
        <w:szCs w:val="14"/>
        <w:lang w:val="en-US" w:eastAsia="en-US" w:bidi="ar-SA"/>
      </w:rPr>
    </w:lvl>
    <w:lvl w:ilvl="1" w:tplc="A5F05E76">
      <w:numFmt w:val="bullet"/>
      <w:lvlText w:val="•"/>
      <w:lvlJc w:val="left"/>
      <w:pPr>
        <w:ind w:left="1841" w:hanging="227"/>
      </w:pPr>
      <w:rPr>
        <w:rFonts w:hint="default"/>
        <w:lang w:val="en-US" w:eastAsia="en-US" w:bidi="ar-SA"/>
      </w:rPr>
    </w:lvl>
    <w:lvl w:ilvl="2" w:tplc="48262948">
      <w:numFmt w:val="bullet"/>
      <w:lvlText w:val="•"/>
      <w:lvlJc w:val="left"/>
      <w:pPr>
        <w:ind w:left="3343" w:hanging="227"/>
      </w:pPr>
      <w:rPr>
        <w:rFonts w:hint="default"/>
        <w:lang w:val="en-US" w:eastAsia="en-US" w:bidi="ar-SA"/>
      </w:rPr>
    </w:lvl>
    <w:lvl w:ilvl="3" w:tplc="3D4C1710">
      <w:numFmt w:val="bullet"/>
      <w:lvlText w:val="•"/>
      <w:lvlJc w:val="left"/>
      <w:pPr>
        <w:ind w:left="4845" w:hanging="227"/>
      </w:pPr>
      <w:rPr>
        <w:rFonts w:hint="default"/>
        <w:lang w:val="en-US" w:eastAsia="en-US" w:bidi="ar-SA"/>
      </w:rPr>
    </w:lvl>
    <w:lvl w:ilvl="4" w:tplc="24E0EF3A">
      <w:numFmt w:val="bullet"/>
      <w:lvlText w:val="•"/>
      <w:lvlJc w:val="left"/>
      <w:pPr>
        <w:ind w:left="6347" w:hanging="227"/>
      </w:pPr>
      <w:rPr>
        <w:rFonts w:hint="default"/>
        <w:lang w:val="en-US" w:eastAsia="en-US" w:bidi="ar-SA"/>
      </w:rPr>
    </w:lvl>
    <w:lvl w:ilvl="5" w:tplc="07E41600">
      <w:numFmt w:val="bullet"/>
      <w:lvlText w:val="•"/>
      <w:lvlJc w:val="left"/>
      <w:pPr>
        <w:ind w:left="7848" w:hanging="227"/>
      </w:pPr>
      <w:rPr>
        <w:rFonts w:hint="default"/>
        <w:lang w:val="en-US" w:eastAsia="en-US" w:bidi="ar-SA"/>
      </w:rPr>
    </w:lvl>
    <w:lvl w:ilvl="6" w:tplc="3B0EE25C">
      <w:numFmt w:val="bullet"/>
      <w:lvlText w:val="•"/>
      <w:lvlJc w:val="left"/>
      <w:pPr>
        <w:ind w:left="9350" w:hanging="227"/>
      </w:pPr>
      <w:rPr>
        <w:rFonts w:hint="default"/>
        <w:lang w:val="en-US" w:eastAsia="en-US" w:bidi="ar-SA"/>
      </w:rPr>
    </w:lvl>
    <w:lvl w:ilvl="7" w:tplc="A2B47650">
      <w:numFmt w:val="bullet"/>
      <w:lvlText w:val="•"/>
      <w:lvlJc w:val="left"/>
      <w:pPr>
        <w:ind w:left="10852" w:hanging="227"/>
      </w:pPr>
      <w:rPr>
        <w:rFonts w:hint="default"/>
        <w:lang w:val="en-US" w:eastAsia="en-US" w:bidi="ar-SA"/>
      </w:rPr>
    </w:lvl>
    <w:lvl w:ilvl="8" w:tplc="73FAC0BA">
      <w:numFmt w:val="bullet"/>
      <w:lvlText w:val="•"/>
      <w:lvlJc w:val="left"/>
      <w:pPr>
        <w:ind w:left="12354" w:hanging="227"/>
      </w:pPr>
      <w:rPr>
        <w:rFonts w:hint="default"/>
        <w:lang w:val="en-US" w:eastAsia="en-US" w:bidi="ar-SA"/>
      </w:rPr>
    </w:lvl>
  </w:abstractNum>
  <w:abstractNum w:abstractNumId="47" w15:restartNumberingAfterBreak="0">
    <w:nsid w:val="3B155E9E"/>
    <w:multiLevelType w:val="multilevel"/>
    <w:tmpl w:val="3D6478C4"/>
    <w:lvl w:ilvl="0">
      <w:start w:val="8"/>
      <w:numFmt w:val="decimal"/>
      <w:lvlText w:val="%1"/>
      <w:lvlJc w:val="left"/>
      <w:pPr>
        <w:ind w:left="578" w:hanging="468"/>
      </w:pPr>
      <w:rPr>
        <w:rFonts w:hint="default"/>
        <w:lang w:val="en-US" w:eastAsia="en-US" w:bidi="ar-SA"/>
      </w:rPr>
    </w:lvl>
    <w:lvl w:ilvl="1">
      <w:start w:val="3"/>
      <w:numFmt w:val="decimal"/>
      <w:lvlText w:val="%1.%2"/>
      <w:lvlJc w:val="left"/>
      <w:pPr>
        <w:ind w:left="578" w:hanging="468"/>
      </w:pPr>
      <w:rPr>
        <w:rFonts w:ascii="Arial" w:eastAsia="Arial" w:hAnsi="Arial" w:cs="Arial" w:hint="default"/>
        <w:b/>
        <w:bCs/>
        <w:i w:val="0"/>
        <w:iCs w:val="0"/>
        <w:color w:val="3D68AD"/>
        <w:spacing w:val="-1"/>
        <w:w w:val="100"/>
        <w:sz w:val="28"/>
        <w:szCs w:val="28"/>
        <w:lang w:val="en-US" w:eastAsia="en-US" w:bidi="ar-SA"/>
      </w:rPr>
    </w:lvl>
    <w:lvl w:ilvl="2">
      <w:start w:val="1"/>
      <w:numFmt w:val="decimal"/>
      <w:lvlText w:val="%1.%2.%3"/>
      <w:lvlJc w:val="left"/>
      <w:pPr>
        <w:ind w:left="710" w:hanging="601"/>
      </w:pPr>
      <w:rPr>
        <w:rFonts w:ascii="Arial" w:eastAsia="Arial" w:hAnsi="Arial" w:cs="Arial" w:hint="default"/>
        <w:b/>
        <w:bCs/>
        <w:i w:val="0"/>
        <w:iCs w:val="0"/>
        <w:color w:val="58595B"/>
        <w:spacing w:val="-1"/>
        <w:w w:val="100"/>
        <w:sz w:val="24"/>
        <w:szCs w:val="24"/>
        <w:lang w:val="en-US" w:eastAsia="en-US" w:bidi="ar-SA"/>
      </w:rPr>
    </w:lvl>
    <w:lvl w:ilvl="3">
      <w:numFmt w:val="bullet"/>
      <w:lvlText w:val="•"/>
      <w:lvlJc w:val="left"/>
      <w:pPr>
        <w:ind w:left="2881" w:hanging="601"/>
      </w:pPr>
      <w:rPr>
        <w:rFonts w:hint="default"/>
        <w:lang w:val="en-US" w:eastAsia="en-US" w:bidi="ar-SA"/>
      </w:rPr>
    </w:lvl>
    <w:lvl w:ilvl="4">
      <w:numFmt w:val="bullet"/>
      <w:lvlText w:val="•"/>
      <w:lvlJc w:val="left"/>
      <w:pPr>
        <w:ind w:left="3961" w:hanging="601"/>
      </w:pPr>
      <w:rPr>
        <w:rFonts w:hint="default"/>
        <w:lang w:val="en-US" w:eastAsia="en-US" w:bidi="ar-SA"/>
      </w:rPr>
    </w:lvl>
    <w:lvl w:ilvl="5">
      <w:numFmt w:val="bullet"/>
      <w:lvlText w:val="•"/>
      <w:lvlJc w:val="left"/>
      <w:pPr>
        <w:ind w:left="5042" w:hanging="601"/>
      </w:pPr>
      <w:rPr>
        <w:rFonts w:hint="default"/>
        <w:lang w:val="en-US" w:eastAsia="en-US" w:bidi="ar-SA"/>
      </w:rPr>
    </w:lvl>
    <w:lvl w:ilvl="6">
      <w:numFmt w:val="bullet"/>
      <w:lvlText w:val="•"/>
      <w:lvlJc w:val="left"/>
      <w:pPr>
        <w:ind w:left="6123" w:hanging="601"/>
      </w:pPr>
      <w:rPr>
        <w:rFonts w:hint="default"/>
        <w:lang w:val="en-US" w:eastAsia="en-US" w:bidi="ar-SA"/>
      </w:rPr>
    </w:lvl>
    <w:lvl w:ilvl="7">
      <w:numFmt w:val="bullet"/>
      <w:lvlText w:val="•"/>
      <w:lvlJc w:val="left"/>
      <w:pPr>
        <w:ind w:left="7203" w:hanging="601"/>
      </w:pPr>
      <w:rPr>
        <w:rFonts w:hint="default"/>
        <w:lang w:val="en-US" w:eastAsia="en-US" w:bidi="ar-SA"/>
      </w:rPr>
    </w:lvl>
    <w:lvl w:ilvl="8">
      <w:numFmt w:val="bullet"/>
      <w:lvlText w:val="•"/>
      <w:lvlJc w:val="left"/>
      <w:pPr>
        <w:ind w:left="8284" w:hanging="601"/>
      </w:pPr>
      <w:rPr>
        <w:rFonts w:hint="default"/>
        <w:lang w:val="en-US" w:eastAsia="en-US" w:bidi="ar-SA"/>
      </w:rPr>
    </w:lvl>
  </w:abstractNum>
  <w:abstractNum w:abstractNumId="48" w15:restartNumberingAfterBreak="0">
    <w:nsid w:val="3EA15CAA"/>
    <w:multiLevelType w:val="hybridMultilevel"/>
    <w:tmpl w:val="5F6E906C"/>
    <w:lvl w:ilvl="0" w:tplc="231A2744">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D2D827F4">
      <w:numFmt w:val="bullet"/>
      <w:lvlText w:val="•"/>
      <w:lvlJc w:val="left"/>
      <w:pPr>
        <w:ind w:left="1422" w:hanging="227"/>
      </w:pPr>
      <w:rPr>
        <w:rFonts w:hint="default"/>
        <w:lang w:val="en-US" w:eastAsia="en-US" w:bidi="ar-SA"/>
      </w:rPr>
    </w:lvl>
    <w:lvl w:ilvl="2" w:tplc="FF3E8636">
      <w:numFmt w:val="bullet"/>
      <w:lvlText w:val="•"/>
      <w:lvlJc w:val="left"/>
      <w:pPr>
        <w:ind w:left="2505" w:hanging="227"/>
      </w:pPr>
      <w:rPr>
        <w:rFonts w:hint="default"/>
        <w:lang w:val="en-US" w:eastAsia="en-US" w:bidi="ar-SA"/>
      </w:rPr>
    </w:lvl>
    <w:lvl w:ilvl="3" w:tplc="3544F342">
      <w:numFmt w:val="bullet"/>
      <w:lvlText w:val="•"/>
      <w:lvlJc w:val="left"/>
      <w:pPr>
        <w:ind w:left="3587" w:hanging="227"/>
      </w:pPr>
      <w:rPr>
        <w:rFonts w:hint="default"/>
        <w:lang w:val="en-US" w:eastAsia="en-US" w:bidi="ar-SA"/>
      </w:rPr>
    </w:lvl>
    <w:lvl w:ilvl="4" w:tplc="E618AFE2">
      <w:numFmt w:val="bullet"/>
      <w:lvlText w:val="•"/>
      <w:lvlJc w:val="left"/>
      <w:pPr>
        <w:ind w:left="4670" w:hanging="227"/>
      </w:pPr>
      <w:rPr>
        <w:rFonts w:hint="default"/>
        <w:lang w:val="en-US" w:eastAsia="en-US" w:bidi="ar-SA"/>
      </w:rPr>
    </w:lvl>
    <w:lvl w:ilvl="5" w:tplc="03228CCC">
      <w:numFmt w:val="bullet"/>
      <w:lvlText w:val="•"/>
      <w:lvlJc w:val="left"/>
      <w:pPr>
        <w:ind w:left="5752" w:hanging="227"/>
      </w:pPr>
      <w:rPr>
        <w:rFonts w:hint="default"/>
        <w:lang w:val="en-US" w:eastAsia="en-US" w:bidi="ar-SA"/>
      </w:rPr>
    </w:lvl>
    <w:lvl w:ilvl="6" w:tplc="FF90D2B4">
      <w:numFmt w:val="bullet"/>
      <w:lvlText w:val="•"/>
      <w:lvlJc w:val="left"/>
      <w:pPr>
        <w:ind w:left="6835" w:hanging="227"/>
      </w:pPr>
      <w:rPr>
        <w:rFonts w:hint="default"/>
        <w:lang w:val="en-US" w:eastAsia="en-US" w:bidi="ar-SA"/>
      </w:rPr>
    </w:lvl>
    <w:lvl w:ilvl="7" w:tplc="DE6EBCCC">
      <w:numFmt w:val="bullet"/>
      <w:lvlText w:val="•"/>
      <w:lvlJc w:val="left"/>
      <w:pPr>
        <w:ind w:left="7917" w:hanging="227"/>
      </w:pPr>
      <w:rPr>
        <w:rFonts w:hint="default"/>
        <w:lang w:val="en-US" w:eastAsia="en-US" w:bidi="ar-SA"/>
      </w:rPr>
    </w:lvl>
    <w:lvl w:ilvl="8" w:tplc="864EC93A">
      <w:numFmt w:val="bullet"/>
      <w:lvlText w:val="•"/>
      <w:lvlJc w:val="left"/>
      <w:pPr>
        <w:ind w:left="9000" w:hanging="227"/>
      </w:pPr>
      <w:rPr>
        <w:rFonts w:hint="default"/>
        <w:lang w:val="en-US" w:eastAsia="en-US" w:bidi="ar-SA"/>
      </w:rPr>
    </w:lvl>
  </w:abstractNum>
  <w:abstractNum w:abstractNumId="49" w15:restartNumberingAfterBreak="0">
    <w:nsid w:val="3EB14CE8"/>
    <w:multiLevelType w:val="hybridMultilevel"/>
    <w:tmpl w:val="6F741F26"/>
    <w:lvl w:ilvl="0" w:tplc="744AA69E">
      <w:numFmt w:val="bullet"/>
      <w:lvlText w:val="•"/>
      <w:lvlJc w:val="left"/>
      <w:pPr>
        <w:ind w:left="283" w:hanging="284"/>
      </w:pPr>
      <w:rPr>
        <w:rFonts w:ascii="Arial" w:eastAsia="Arial" w:hAnsi="Arial" w:cs="Arial" w:hint="default"/>
        <w:b w:val="0"/>
        <w:bCs w:val="0"/>
        <w:i w:val="0"/>
        <w:iCs w:val="0"/>
        <w:color w:val="3D68AD"/>
        <w:w w:val="100"/>
        <w:sz w:val="14"/>
        <w:szCs w:val="14"/>
        <w:lang w:val="en-US" w:eastAsia="en-US" w:bidi="ar-SA"/>
      </w:rPr>
    </w:lvl>
    <w:lvl w:ilvl="1" w:tplc="7EC6EE58">
      <w:numFmt w:val="bullet"/>
      <w:lvlText w:val="•"/>
      <w:lvlJc w:val="left"/>
      <w:pPr>
        <w:ind w:left="758" w:hanging="284"/>
      </w:pPr>
      <w:rPr>
        <w:rFonts w:hint="default"/>
        <w:lang w:val="en-US" w:eastAsia="en-US" w:bidi="ar-SA"/>
      </w:rPr>
    </w:lvl>
    <w:lvl w:ilvl="2" w:tplc="68F2A0D4">
      <w:numFmt w:val="bullet"/>
      <w:lvlText w:val="•"/>
      <w:lvlJc w:val="left"/>
      <w:pPr>
        <w:ind w:left="1237" w:hanging="284"/>
      </w:pPr>
      <w:rPr>
        <w:rFonts w:hint="default"/>
        <w:lang w:val="en-US" w:eastAsia="en-US" w:bidi="ar-SA"/>
      </w:rPr>
    </w:lvl>
    <w:lvl w:ilvl="3" w:tplc="5162AFC0">
      <w:numFmt w:val="bullet"/>
      <w:lvlText w:val="•"/>
      <w:lvlJc w:val="left"/>
      <w:pPr>
        <w:ind w:left="1716" w:hanging="284"/>
      </w:pPr>
      <w:rPr>
        <w:rFonts w:hint="default"/>
        <w:lang w:val="en-US" w:eastAsia="en-US" w:bidi="ar-SA"/>
      </w:rPr>
    </w:lvl>
    <w:lvl w:ilvl="4" w:tplc="D2721ADA">
      <w:numFmt w:val="bullet"/>
      <w:lvlText w:val="•"/>
      <w:lvlJc w:val="left"/>
      <w:pPr>
        <w:ind w:left="2195" w:hanging="284"/>
      </w:pPr>
      <w:rPr>
        <w:rFonts w:hint="default"/>
        <w:lang w:val="en-US" w:eastAsia="en-US" w:bidi="ar-SA"/>
      </w:rPr>
    </w:lvl>
    <w:lvl w:ilvl="5" w:tplc="60DE93F0">
      <w:numFmt w:val="bullet"/>
      <w:lvlText w:val="•"/>
      <w:lvlJc w:val="left"/>
      <w:pPr>
        <w:ind w:left="2674" w:hanging="284"/>
      </w:pPr>
      <w:rPr>
        <w:rFonts w:hint="default"/>
        <w:lang w:val="en-US" w:eastAsia="en-US" w:bidi="ar-SA"/>
      </w:rPr>
    </w:lvl>
    <w:lvl w:ilvl="6" w:tplc="D92298B4">
      <w:numFmt w:val="bullet"/>
      <w:lvlText w:val="•"/>
      <w:lvlJc w:val="left"/>
      <w:pPr>
        <w:ind w:left="3153" w:hanging="284"/>
      </w:pPr>
      <w:rPr>
        <w:rFonts w:hint="default"/>
        <w:lang w:val="en-US" w:eastAsia="en-US" w:bidi="ar-SA"/>
      </w:rPr>
    </w:lvl>
    <w:lvl w:ilvl="7" w:tplc="AAF61744">
      <w:numFmt w:val="bullet"/>
      <w:lvlText w:val="•"/>
      <w:lvlJc w:val="left"/>
      <w:pPr>
        <w:ind w:left="3632" w:hanging="284"/>
      </w:pPr>
      <w:rPr>
        <w:rFonts w:hint="default"/>
        <w:lang w:val="en-US" w:eastAsia="en-US" w:bidi="ar-SA"/>
      </w:rPr>
    </w:lvl>
    <w:lvl w:ilvl="8" w:tplc="E356E8A2">
      <w:numFmt w:val="bullet"/>
      <w:lvlText w:val="•"/>
      <w:lvlJc w:val="left"/>
      <w:pPr>
        <w:ind w:left="4111" w:hanging="284"/>
      </w:pPr>
      <w:rPr>
        <w:rFonts w:hint="default"/>
        <w:lang w:val="en-US" w:eastAsia="en-US" w:bidi="ar-SA"/>
      </w:rPr>
    </w:lvl>
  </w:abstractNum>
  <w:abstractNum w:abstractNumId="50" w15:restartNumberingAfterBreak="0">
    <w:nsid w:val="3F445955"/>
    <w:multiLevelType w:val="hybridMultilevel"/>
    <w:tmpl w:val="9168D048"/>
    <w:lvl w:ilvl="0" w:tplc="E258C78A">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79D2FC06">
      <w:numFmt w:val="bullet"/>
      <w:lvlText w:val="•"/>
      <w:lvlJc w:val="left"/>
      <w:pPr>
        <w:ind w:left="1476" w:hanging="284"/>
      </w:pPr>
      <w:rPr>
        <w:rFonts w:hint="default"/>
        <w:lang w:val="en-US" w:eastAsia="en-US" w:bidi="ar-SA"/>
      </w:rPr>
    </w:lvl>
    <w:lvl w:ilvl="2" w:tplc="F830F466">
      <w:numFmt w:val="bullet"/>
      <w:lvlText w:val="•"/>
      <w:lvlJc w:val="left"/>
      <w:pPr>
        <w:ind w:left="2553" w:hanging="284"/>
      </w:pPr>
      <w:rPr>
        <w:rFonts w:hint="default"/>
        <w:lang w:val="en-US" w:eastAsia="en-US" w:bidi="ar-SA"/>
      </w:rPr>
    </w:lvl>
    <w:lvl w:ilvl="3" w:tplc="A9BABF8E">
      <w:numFmt w:val="bullet"/>
      <w:lvlText w:val="•"/>
      <w:lvlJc w:val="left"/>
      <w:pPr>
        <w:ind w:left="3629" w:hanging="284"/>
      </w:pPr>
      <w:rPr>
        <w:rFonts w:hint="default"/>
        <w:lang w:val="en-US" w:eastAsia="en-US" w:bidi="ar-SA"/>
      </w:rPr>
    </w:lvl>
    <w:lvl w:ilvl="4" w:tplc="30CC5B80">
      <w:numFmt w:val="bullet"/>
      <w:lvlText w:val="•"/>
      <w:lvlJc w:val="left"/>
      <w:pPr>
        <w:ind w:left="4706" w:hanging="284"/>
      </w:pPr>
      <w:rPr>
        <w:rFonts w:hint="default"/>
        <w:lang w:val="en-US" w:eastAsia="en-US" w:bidi="ar-SA"/>
      </w:rPr>
    </w:lvl>
    <w:lvl w:ilvl="5" w:tplc="B3E28274">
      <w:numFmt w:val="bullet"/>
      <w:lvlText w:val="•"/>
      <w:lvlJc w:val="left"/>
      <w:pPr>
        <w:ind w:left="5782" w:hanging="284"/>
      </w:pPr>
      <w:rPr>
        <w:rFonts w:hint="default"/>
        <w:lang w:val="en-US" w:eastAsia="en-US" w:bidi="ar-SA"/>
      </w:rPr>
    </w:lvl>
    <w:lvl w:ilvl="6" w:tplc="1942564A">
      <w:numFmt w:val="bullet"/>
      <w:lvlText w:val="•"/>
      <w:lvlJc w:val="left"/>
      <w:pPr>
        <w:ind w:left="6859" w:hanging="284"/>
      </w:pPr>
      <w:rPr>
        <w:rFonts w:hint="default"/>
        <w:lang w:val="en-US" w:eastAsia="en-US" w:bidi="ar-SA"/>
      </w:rPr>
    </w:lvl>
    <w:lvl w:ilvl="7" w:tplc="EF58B2A2">
      <w:numFmt w:val="bullet"/>
      <w:lvlText w:val="•"/>
      <w:lvlJc w:val="left"/>
      <w:pPr>
        <w:ind w:left="7935" w:hanging="284"/>
      </w:pPr>
      <w:rPr>
        <w:rFonts w:hint="default"/>
        <w:lang w:val="en-US" w:eastAsia="en-US" w:bidi="ar-SA"/>
      </w:rPr>
    </w:lvl>
    <w:lvl w:ilvl="8" w:tplc="8FD8FBE6">
      <w:numFmt w:val="bullet"/>
      <w:lvlText w:val="•"/>
      <w:lvlJc w:val="left"/>
      <w:pPr>
        <w:ind w:left="9012" w:hanging="284"/>
      </w:pPr>
      <w:rPr>
        <w:rFonts w:hint="default"/>
        <w:lang w:val="en-US" w:eastAsia="en-US" w:bidi="ar-SA"/>
      </w:rPr>
    </w:lvl>
  </w:abstractNum>
  <w:abstractNum w:abstractNumId="51" w15:restartNumberingAfterBreak="0">
    <w:nsid w:val="3F8463BE"/>
    <w:multiLevelType w:val="hybridMultilevel"/>
    <w:tmpl w:val="99A24D9C"/>
    <w:lvl w:ilvl="0" w:tplc="DDFEDE3C">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33F00240">
      <w:numFmt w:val="bullet"/>
      <w:lvlText w:val="•"/>
      <w:lvlJc w:val="left"/>
      <w:pPr>
        <w:ind w:left="1101" w:hanging="284"/>
      </w:pPr>
      <w:rPr>
        <w:rFonts w:hint="default"/>
        <w:lang w:val="en-US" w:eastAsia="en-US" w:bidi="ar-SA"/>
      </w:rPr>
    </w:lvl>
    <w:lvl w:ilvl="2" w:tplc="9B8CEF4A">
      <w:numFmt w:val="bullet"/>
      <w:lvlText w:val="•"/>
      <w:lvlJc w:val="left"/>
      <w:pPr>
        <w:ind w:left="1923" w:hanging="284"/>
      </w:pPr>
      <w:rPr>
        <w:rFonts w:hint="default"/>
        <w:lang w:val="en-US" w:eastAsia="en-US" w:bidi="ar-SA"/>
      </w:rPr>
    </w:lvl>
    <w:lvl w:ilvl="3" w:tplc="6F6C136C">
      <w:numFmt w:val="bullet"/>
      <w:lvlText w:val="•"/>
      <w:lvlJc w:val="left"/>
      <w:pPr>
        <w:ind w:left="2745" w:hanging="284"/>
      </w:pPr>
      <w:rPr>
        <w:rFonts w:hint="default"/>
        <w:lang w:val="en-US" w:eastAsia="en-US" w:bidi="ar-SA"/>
      </w:rPr>
    </w:lvl>
    <w:lvl w:ilvl="4" w:tplc="90E41F7E">
      <w:numFmt w:val="bullet"/>
      <w:lvlText w:val="•"/>
      <w:lvlJc w:val="left"/>
      <w:pPr>
        <w:ind w:left="3567" w:hanging="284"/>
      </w:pPr>
      <w:rPr>
        <w:rFonts w:hint="default"/>
        <w:lang w:val="en-US" w:eastAsia="en-US" w:bidi="ar-SA"/>
      </w:rPr>
    </w:lvl>
    <w:lvl w:ilvl="5" w:tplc="9F482616">
      <w:numFmt w:val="bullet"/>
      <w:lvlText w:val="•"/>
      <w:lvlJc w:val="left"/>
      <w:pPr>
        <w:ind w:left="4389" w:hanging="284"/>
      </w:pPr>
      <w:rPr>
        <w:rFonts w:hint="default"/>
        <w:lang w:val="en-US" w:eastAsia="en-US" w:bidi="ar-SA"/>
      </w:rPr>
    </w:lvl>
    <w:lvl w:ilvl="6" w:tplc="85C424CE">
      <w:numFmt w:val="bullet"/>
      <w:lvlText w:val="•"/>
      <w:lvlJc w:val="left"/>
      <w:pPr>
        <w:ind w:left="5211" w:hanging="284"/>
      </w:pPr>
      <w:rPr>
        <w:rFonts w:hint="default"/>
        <w:lang w:val="en-US" w:eastAsia="en-US" w:bidi="ar-SA"/>
      </w:rPr>
    </w:lvl>
    <w:lvl w:ilvl="7" w:tplc="4ED6DB0A">
      <w:numFmt w:val="bullet"/>
      <w:lvlText w:val="•"/>
      <w:lvlJc w:val="left"/>
      <w:pPr>
        <w:ind w:left="6033" w:hanging="284"/>
      </w:pPr>
      <w:rPr>
        <w:rFonts w:hint="default"/>
        <w:lang w:val="en-US" w:eastAsia="en-US" w:bidi="ar-SA"/>
      </w:rPr>
    </w:lvl>
    <w:lvl w:ilvl="8" w:tplc="95E4C084">
      <w:numFmt w:val="bullet"/>
      <w:lvlText w:val="•"/>
      <w:lvlJc w:val="left"/>
      <w:pPr>
        <w:ind w:left="6855" w:hanging="284"/>
      </w:pPr>
      <w:rPr>
        <w:rFonts w:hint="default"/>
        <w:lang w:val="en-US" w:eastAsia="en-US" w:bidi="ar-SA"/>
      </w:rPr>
    </w:lvl>
  </w:abstractNum>
  <w:abstractNum w:abstractNumId="52" w15:restartNumberingAfterBreak="0">
    <w:nsid w:val="42FC123D"/>
    <w:multiLevelType w:val="hybridMultilevel"/>
    <w:tmpl w:val="E30840DE"/>
    <w:lvl w:ilvl="0" w:tplc="E048A3AE">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C67AAB5C">
      <w:numFmt w:val="bullet"/>
      <w:lvlText w:val="•"/>
      <w:lvlJc w:val="left"/>
      <w:pPr>
        <w:ind w:left="1350" w:hanging="227"/>
      </w:pPr>
      <w:rPr>
        <w:rFonts w:hint="default"/>
        <w:lang w:val="en-US" w:eastAsia="en-US" w:bidi="ar-SA"/>
      </w:rPr>
    </w:lvl>
    <w:lvl w:ilvl="2" w:tplc="6DC6BB38">
      <w:numFmt w:val="bullet"/>
      <w:lvlText w:val="•"/>
      <w:lvlJc w:val="left"/>
      <w:pPr>
        <w:ind w:left="2361" w:hanging="227"/>
      </w:pPr>
      <w:rPr>
        <w:rFonts w:hint="default"/>
        <w:lang w:val="en-US" w:eastAsia="en-US" w:bidi="ar-SA"/>
      </w:rPr>
    </w:lvl>
    <w:lvl w:ilvl="3" w:tplc="F68E6262">
      <w:numFmt w:val="bullet"/>
      <w:lvlText w:val="•"/>
      <w:lvlJc w:val="left"/>
      <w:pPr>
        <w:ind w:left="3371" w:hanging="227"/>
      </w:pPr>
      <w:rPr>
        <w:rFonts w:hint="default"/>
        <w:lang w:val="en-US" w:eastAsia="en-US" w:bidi="ar-SA"/>
      </w:rPr>
    </w:lvl>
    <w:lvl w:ilvl="4" w:tplc="BF8AB3F2">
      <w:numFmt w:val="bullet"/>
      <w:lvlText w:val="•"/>
      <w:lvlJc w:val="left"/>
      <w:pPr>
        <w:ind w:left="4382" w:hanging="227"/>
      </w:pPr>
      <w:rPr>
        <w:rFonts w:hint="default"/>
        <w:lang w:val="en-US" w:eastAsia="en-US" w:bidi="ar-SA"/>
      </w:rPr>
    </w:lvl>
    <w:lvl w:ilvl="5" w:tplc="D24C3E94">
      <w:numFmt w:val="bullet"/>
      <w:lvlText w:val="•"/>
      <w:lvlJc w:val="left"/>
      <w:pPr>
        <w:ind w:left="5392" w:hanging="227"/>
      </w:pPr>
      <w:rPr>
        <w:rFonts w:hint="default"/>
        <w:lang w:val="en-US" w:eastAsia="en-US" w:bidi="ar-SA"/>
      </w:rPr>
    </w:lvl>
    <w:lvl w:ilvl="6" w:tplc="3B720EFE">
      <w:numFmt w:val="bullet"/>
      <w:lvlText w:val="•"/>
      <w:lvlJc w:val="left"/>
      <w:pPr>
        <w:ind w:left="6403" w:hanging="227"/>
      </w:pPr>
      <w:rPr>
        <w:rFonts w:hint="default"/>
        <w:lang w:val="en-US" w:eastAsia="en-US" w:bidi="ar-SA"/>
      </w:rPr>
    </w:lvl>
    <w:lvl w:ilvl="7" w:tplc="78B65A42">
      <w:numFmt w:val="bullet"/>
      <w:lvlText w:val="•"/>
      <w:lvlJc w:val="left"/>
      <w:pPr>
        <w:ind w:left="7413" w:hanging="227"/>
      </w:pPr>
      <w:rPr>
        <w:rFonts w:hint="default"/>
        <w:lang w:val="en-US" w:eastAsia="en-US" w:bidi="ar-SA"/>
      </w:rPr>
    </w:lvl>
    <w:lvl w:ilvl="8" w:tplc="20A26C8E">
      <w:numFmt w:val="bullet"/>
      <w:lvlText w:val="•"/>
      <w:lvlJc w:val="left"/>
      <w:pPr>
        <w:ind w:left="8424" w:hanging="227"/>
      </w:pPr>
      <w:rPr>
        <w:rFonts w:hint="default"/>
        <w:lang w:val="en-US" w:eastAsia="en-US" w:bidi="ar-SA"/>
      </w:rPr>
    </w:lvl>
  </w:abstractNum>
  <w:abstractNum w:abstractNumId="53" w15:restartNumberingAfterBreak="0">
    <w:nsid w:val="440F45D0"/>
    <w:multiLevelType w:val="hybridMultilevel"/>
    <w:tmpl w:val="04B037D0"/>
    <w:lvl w:ilvl="0" w:tplc="86805122">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0592F7CA">
      <w:numFmt w:val="bullet"/>
      <w:lvlText w:val="•"/>
      <w:lvlJc w:val="left"/>
      <w:pPr>
        <w:ind w:left="1350" w:hanging="227"/>
      </w:pPr>
      <w:rPr>
        <w:rFonts w:hint="default"/>
        <w:lang w:val="en-US" w:eastAsia="en-US" w:bidi="ar-SA"/>
      </w:rPr>
    </w:lvl>
    <w:lvl w:ilvl="2" w:tplc="82AEB1BC">
      <w:numFmt w:val="bullet"/>
      <w:lvlText w:val="•"/>
      <w:lvlJc w:val="left"/>
      <w:pPr>
        <w:ind w:left="2361" w:hanging="227"/>
      </w:pPr>
      <w:rPr>
        <w:rFonts w:hint="default"/>
        <w:lang w:val="en-US" w:eastAsia="en-US" w:bidi="ar-SA"/>
      </w:rPr>
    </w:lvl>
    <w:lvl w:ilvl="3" w:tplc="FE1C0C7A">
      <w:numFmt w:val="bullet"/>
      <w:lvlText w:val="•"/>
      <w:lvlJc w:val="left"/>
      <w:pPr>
        <w:ind w:left="3371" w:hanging="227"/>
      </w:pPr>
      <w:rPr>
        <w:rFonts w:hint="default"/>
        <w:lang w:val="en-US" w:eastAsia="en-US" w:bidi="ar-SA"/>
      </w:rPr>
    </w:lvl>
    <w:lvl w:ilvl="4" w:tplc="248456B2">
      <w:numFmt w:val="bullet"/>
      <w:lvlText w:val="•"/>
      <w:lvlJc w:val="left"/>
      <w:pPr>
        <w:ind w:left="4382" w:hanging="227"/>
      </w:pPr>
      <w:rPr>
        <w:rFonts w:hint="default"/>
        <w:lang w:val="en-US" w:eastAsia="en-US" w:bidi="ar-SA"/>
      </w:rPr>
    </w:lvl>
    <w:lvl w:ilvl="5" w:tplc="7F0EC094">
      <w:numFmt w:val="bullet"/>
      <w:lvlText w:val="•"/>
      <w:lvlJc w:val="left"/>
      <w:pPr>
        <w:ind w:left="5392" w:hanging="227"/>
      </w:pPr>
      <w:rPr>
        <w:rFonts w:hint="default"/>
        <w:lang w:val="en-US" w:eastAsia="en-US" w:bidi="ar-SA"/>
      </w:rPr>
    </w:lvl>
    <w:lvl w:ilvl="6" w:tplc="75549BBC">
      <w:numFmt w:val="bullet"/>
      <w:lvlText w:val="•"/>
      <w:lvlJc w:val="left"/>
      <w:pPr>
        <w:ind w:left="6403" w:hanging="227"/>
      </w:pPr>
      <w:rPr>
        <w:rFonts w:hint="default"/>
        <w:lang w:val="en-US" w:eastAsia="en-US" w:bidi="ar-SA"/>
      </w:rPr>
    </w:lvl>
    <w:lvl w:ilvl="7" w:tplc="F69EB100">
      <w:numFmt w:val="bullet"/>
      <w:lvlText w:val="•"/>
      <w:lvlJc w:val="left"/>
      <w:pPr>
        <w:ind w:left="7413" w:hanging="227"/>
      </w:pPr>
      <w:rPr>
        <w:rFonts w:hint="default"/>
        <w:lang w:val="en-US" w:eastAsia="en-US" w:bidi="ar-SA"/>
      </w:rPr>
    </w:lvl>
    <w:lvl w:ilvl="8" w:tplc="F8EE8CC6">
      <w:numFmt w:val="bullet"/>
      <w:lvlText w:val="•"/>
      <w:lvlJc w:val="left"/>
      <w:pPr>
        <w:ind w:left="8424" w:hanging="227"/>
      </w:pPr>
      <w:rPr>
        <w:rFonts w:hint="default"/>
        <w:lang w:val="en-US" w:eastAsia="en-US" w:bidi="ar-SA"/>
      </w:rPr>
    </w:lvl>
  </w:abstractNum>
  <w:abstractNum w:abstractNumId="54" w15:restartNumberingAfterBreak="0">
    <w:nsid w:val="457F6CCF"/>
    <w:multiLevelType w:val="hybridMultilevel"/>
    <w:tmpl w:val="2E861652"/>
    <w:lvl w:ilvl="0" w:tplc="9266C902">
      <w:start w:val="1"/>
      <w:numFmt w:val="decimal"/>
      <w:lvlText w:val="%1."/>
      <w:lvlJc w:val="left"/>
      <w:pPr>
        <w:ind w:left="847" w:hanging="737"/>
      </w:pPr>
      <w:rPr>
        <w:rFonts w:ascii="Arial" w:eastAsia="Arial" w:hAnsi="Arial" w:cs="Arial" w:hint="default"/>
        <w:b w:val="0"/>
        <w:bCs w:val="0"/>
        <w:i w:val="0"/>
        <w:iCs w:val="0"/>
        <w:color w:val="00529F"/>
        <w:spacing w:val="-35"/>
        <w:w w:val="100"/>
        <w:sz w:val="56"/>
        <w:szCs w:val="56"/>
        <w:lang w:val="en-US" w:eastAsia="en-US" w:bidi="ar-SA"/>
      </w:rPr>
    </w:lvl>
    <w:lvl w:ilvl="1" w:tplc="EC9A8F10">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2" w:tplc="05362DC4">
      <w:numFmt w:val="bullet"/>
      <w:lvlText w:val="•"/>
      <w:lvlJc w:val="left"/>
      <w:pPr>
        <w:ind w:left="1987" w:hanging="284"/>
      </w:pPr>
      <w:rPr>
        <w:rFonts w:hint="default"/>
        <w:lang w:val="en-US" w:eastAsia="en-US" w:bidi="ar-SA"/>
      </w:rPr>
    </w:lvl>
    <w:lvl w:ilvl="3" w:tplc="14EAA622">
      <w:numFmt w:val="bullet"/>
      <w:lvlText w:val="•"/>
      <w:lvlJc w:val="left"/>
      <w:pPr>
        <w:ind w:left="3134" w:hanging="284"/>
      </w:pPr>
      <w:rPr>
        <w:rFonts w:hint="default"/>
        <w:lang w:val="en-US" w:eastAsia="en-US" w:bidi="ar-SA"/>
      </w:rPr>
    </w:lvl>
    <w:lvl w:ilvl="4" w:tplc="FA7E5F36">
      <w:numFmt w:val="bullet"/>
      <w:lvlText w:val="•"/>
      <w:lvlJc w:val="left"/>
      <w:pPr>
        <w:ind w:left="4281" w:hanging="284"/>
      </w:pPr>
      <w:rPr>
        <w:rFonts w:hint="default"/>
        <w:lang w:val="en-US" w:eastAsia="en-US" w:bidi="ar-SA"/>
      </w:rPr>
    </w:lvl>
    <w:lvl w:ilvl="5" w:tplc="20B42320">
      <w:numFmt w:val="bullet"/>
      <w:lvlText w:val="•"/>
      <w:lvlJc w:val="left"/>
      <w:pPr>
        <w:ind w:left="5429" w:hanging="284"/>
      </w:pPr>
      <w:rPr>
        <w:rFonts w:hint="default"/>
        <w:lang w:val="en-US" w:eastAsia="en-US" w:bidi="ar-SA"/>
      </w:rPr>
    </w:lvl>
    <w:lvl w:ilvl="6" w:tplc="DE6C607C">
      <w:numFmt w:val="bullet"/>
      <w:lvlText w:val="•"/>
      <w:lvlJc w:val="left"/>
      <w:pPr>
        <w:ind w:left="6576" w:hanging="284"/>
      </w:pPr>
      <w:rPr>
        <w:rFonts w:hint="default"/>
        <w:lang w:val="en-US" w:eastAsia="en-US" w:bidi="ar-SA"/>
      </w:rPr>
    </w:lvl>
    <w:lvl w:ilvl="7" w:tplc="F964FC2C">
      <w:numFmt w:val="bullet"/>
      <w:lvlText w:val="•"/>
      <w:lvlJc w:val="left"/>
      <w:pPr>
        <w:ind w:left="7723" w:hanging="284"/>
      </w:pPr>
      <w:rPr>
        <w:rFonts w:hint="default"/>
        <w:lang w:val="en-US" w:eastAsia="en-US" w:bidi="ar-SA"/>
      </w:rPr>
    </w:lvl>
    <w:lvl w:ilvl="8" w:tplc="E908665A">
      <w:numFmt w:val="bullet"/>
      <w:lvlText w:val="•"/>
      <w:lvlJc w:val="left"/>
      <w:pPr>
        <w:ind w:left="8870" w:hanging="284"/>
      </w:pPr>
      <w:rPr>
        <w:rFonts w:hint="default"/>
        <w:lang w:val="en-US" w:eastAsia="en-US" w:bidi="ar-SA"/>
      </w:rPr>
    </w:lvl>
  </w:abstractNum>
  <w:abstractNum w:abstractNumId="55" w15:restartNumberingAfterBreak="0">
    <w:nsid w:val="477337E7"/>
    <w:multiLevelType w:val="hybridMultilevel"/>
    <w:tmpl w:val="D626086A"/>
    <w:lvl w:ilvl="0" w:tplc="0C92AE24">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0D8AA9C4">
      <w:numFmt w:val="bullet"/>
      <w:lvlText w:val="•"/>
      <w:lvlJc w:val="left"/>
      <w:pPr>
        <w:ind w:left="1101" w:hanging="284"/>
      </w:pPr>
      <w:rPr>
        <w:rFonts w:hint="default"/>
        <w:lang w:val="en-US" w:eastAsia="en-US" w:bidi="ar-SA"/>
      </w:rPr>
    </w:lvl>
    <w:lvl w:ilvl="2" w:tplc="4A2CE560">
      <w:numFmt w:val="bullet"/>
      <w:lvlText w:val="•"/>
      <w:lvlJc w:val="left"/>
      <w:pPr>
        <w:ind w:left="1923" w:hanging="284"/>
      </w:pPr>
      <w:rPr>
        <w:rFonts w:hint="default"/>
        <w:lang w:val="en-US" w:eastAsia="en-US" w:bidi="ar-SA"/>
      </w:rPr>
    </w:lvl>
    <w:lvl w:ilvl="3" w:tplc="1B98106C">
      <w:numFmt w:val="bullet"/>
      <w:lvlText w:val="•"/>
      <w:lvlJc w:val="left"/>
      <w:pPr>
        <w:ind w:left="2745" w:hanging="284"/>
      </w:pPr>
      <w:rPr>
        <w:rFonts w:hint="default"/>
        <w:lang w:val="en-US" w:eastAsia="en-US" w:bidi="ar-SA"/>
      </w:rPr>
    </w:lvl>
    <w:lvl w:ilvl="4" w:tplc="7728D992">
      <w:numFmt w:val="bullet"/>
      <w:lvlText w:val="•"/>
      <w:lvlJc w:val="left"/>
      <w:pPr>
        <w:ind w:left="3567" w:hanging="284"/>
      </w:pPr>
      <w:rPr>
        <w:rFonts w:hint="default"/>
        <w:lang w:val="en-US" w:eastAsia="en-US" w:bidi="ar-SA"/>
      </w:rPr>
    </w:lvl>
    <w:lvl w:ilvl="5" w:tplc="4014AD38">
      <w:numFmt w:val="bullet"/>
      <w:lvlText w:val="•"/>
      <w:lvlJc w:val="left"/>
      <w:pPr>
        <w:ind w:left="4389" w:hanging="284"/>
      </w:pPr>
      <w:rPr>
        <w:rFonts w:hint="default"/>
        <w:lang w:val="en-US" w:eastAsia="en-US" w:bidi="ar-SA"/>
      </w:rPr>
    </w:lvl>
    <w:lvl w:ilvl="6" w:tplc="DDF2159A">
      <w:numFmt w:val="bullet"/>
      <w:lvlText w:val="•"/>
      <w:lvlJc w:val="left"/>
      <w:pPr>
        <w:ind w:left="5211" w:hanging="284"/>
      </w:pPr>
      <w:rPr>
        <w:rFonts w:hint="default"/>
        <w:lang w:val="en-US" w:eastAsia="en-US" w:bidi="ar-SA"/>
      </w:rPr>
    </w:lvl>
    <w:lvl w:ilvl="7" w:tplc="19FC4CD8">
      <w:numFmt w:val="bullet"/>
      <w:lvlText w:val="•"/>
      <w:lvlJc w:val="left"/>
      <w:pPr>
        <w:ind w:left="6033" w:hanging="284"/>
      </w:pPr>
      <w:rPr>
        <w:rFonts w:hint="default"/>
        <w:lang w:val="en-US" w:eastAsia="en-US" w:bidi="ar-SA"/>
      </w:rPr>
    </w:lvl>
    <w:lvl w:ilvl="8" w:tplc="65084C90">
      <w:numFmt w:val="bullet"/>
      <w:lvlText w:val="•"/>
      <w:lvlJc w:val="left"/>
      <w:pPr>
        <w:ind w:left="6855" w:hanging="284"/>
      </w:pPr>
      <w:rPr>
        <w:rFonts w:hint="default"/>
        <w:lang w:val="en-US" w:eastAsia="en-US" w:bidi="ar-SA"/>
      </w:rPr>
    </w:lvl>
  </w:abstractNum>
  <w:abstractNum w:abstractNumId="56" w15:restartNumberingAfterBreak="0">
    <w:nsid w:val="49016B71"/>
    <w:multiLevelType w:val="hybridMultilevel"/>
    <w:tmpl w:val="5DB20CD4"/>
    <w:lvl w:ilvl="0" w:tplc="9CD06FCA">
      <w:start w:val="1"/>
      <w:numFmt w:val="decimal"/>
      <w:lvlText w:val="%1."/>
      <w:lvlJc w:val="left"/>
      <w:pPr>
        <w:ind w:left="393" w:hanging="284"/>
      </w:pPr>
      <w:rPr>
        <w:rFonts w:ascii="Arial" w:eastAsia="Arial" w:hAnsi="Arial" w:cs="Arial" w:hint="default"/>
        <w:b w:val="0"/>
        <w:bCs w:val="0"/>
        <w:i w:val="0"/>
        <w:iCs w:val="0"/>
        <w:color w:val="231F20"/>
        <w:spacing w:val="-4"/>
        <w:w w:val="100"/>
        <w:sz w:val="24"/>
        <w:szCs w:val="24"/>
        <w:lang w:val="en-US" w:eastAsia="en-US" w:bidi="ar-SA"/>
      </w:rPr>
    </w:lvl>
    <w:lvl w:ilvl="1" w:tplc="3BE63B5E">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2" w:tplc="F372DC3E">
      <w:numFmt w:val="bullet"/>
      <w:lvlText w:val="•"/>
      <w:lvlJc w:val="left"/>
      <w:pPr>
        <w:ind w:left="2553" w:hanging="284"/>
      </w:pPr>
      <w:rPr>
        <w:rFonts w:hint="default"/>
        <w:lang w:val="en-US" w:eastAsia="en-US" w:bidi="ar-SA"/>
      </w:rPr>
    </w:lvl>
    <w:lvl w:ilvl="3" w:tplc="B8F4E5F2">
      <w:numFmt w:val="bullet"/>
      <w:lvlText w:val="•"/>
      <w:lvlJc w:val="left"/>
      <w:pPr>
        <w:ind w:left="3629" w:hanging="284"/>
      </w:pPr>
      <w:rPr>
        <w:rFonts w:hint="default"/>
        <w:lang w:val="en-US" w:eastAsia="en-US" w:bidi="ar-SA"/>
      </w:rPr>
    </w:lvl>
    <w:lvl w:ilvl="4" w:tplc="341C9D66">
      <w:numFmt w:val="bullet"/>
      <w:lvlText w:val="•"/>
      <w:lvlJc w:val="left"/>
      <w:pPr>
        <w:ind w:left="4706" w:hanging="284"/>
      </w:pPr>
      <w:rPr>
        <w:rFonts w:hint="default"/>
        <w:lang w:val="en-US" w:eastAsia="en-US" w:bidi="ar-SA"/>
      </w:rPr>
    </w:lvl>
    <w:lvl w:ilvl="5" w:tplc="CCF8E22E">
      <w:numFmt w:val="bullet"/>
      <w:lvlText w:val="•"/>
      <w:lvlJc w:val="left"/>
      <w:pPr>
        <w:ind w:left="5782" w:hanging="284"/>
      </w:pPr>
      <w:rPr>
        <w:rFonts w:hint="default"/>
        <w:lang w:val="en-US" w:eastAsia="en-US" w:bidi="ar-SA"/>
      </w:rPr>
    </w:lvl>
    <w:lvl w:ilvl="6" w:tplc="9E70A586">
      <w:numFmt w:val="bullet"/>
      <w:lvlText w:val="•"/>
      <w:lvlJc w:val="left"/>
      <w:pPr>
        <w:ind w:left="6859" w:hanging="284"/>
      </w:pPr>
      <w:rPr>
        <w:rFonts w:hint="default"/>
        <w:lang w:val="en-US" w:eastAsia="en-US" w:bidi="ar-SA"/>
      </w:rPr>
    </w:lvl>
    <w:lvl w:ilvl="7" w:tplc="8E3E494E">
      <w:numFmt w:val="bullet"/>
      <w:lvlText w:val="•"/>
      <w:lvlJc w:val="left"/>
      <w:pPr>
        <w:ind w:left="7935" w:hanging="284"/>
      </w:pPr>
      <w:rPr>
        <w:rFonts w:hint="default"/>
        <w:lang w:val="en-US" w:eastAsia="en-US" w:bidi="ar-SA"/>
      </w:rPr>
    </w:lvl>
    <w:lvl w:ilvl="8" w:tplc="A274C622">
      <w:numFmt w:val="bullet"/>
      <w:lvlText w:val="•"/>
      <w:lvlJc w:val="left"/>
      <w:pPr>
        <w:ind w:left="9012" w:hanging="284"/>
      </w:pPr>
      <w:rPr>
        <w:rFonts w:hint="default"/>
        <w:lang w:val="en-US" w:eastAsia="en-US" w:bidi="ar-SA"/>
      </w:rPr>
    </w:lvl>
  </w:abstractNum>
  <w:abstractNum w:abstractNumId="57" w15:restartNumberingAfterBreak="0">
    <w:nsid w:val="4C7F6414"/>
    <w:multiLevelType w:val="hybridMultilevel"/>
    <w:tmpl w:val="43D6F47C"/>
    <w:lvl w:ilvl="0" w:tplc="E5243D2C">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1304D65A">
      <w:numFmt w:val="bullet"/>
      <w:lvlText w:val="•"/>
      <w:lvlJc w:val="left"/>
      <w:pPr>
        <w:ind w:left="450" w:hanging="114"/>
      </w:pPr>
      <w:rPr>
        <w:rFonts w:ascii="Arial" w:eastAsia="Arial" w:hAnsi="Arial" w:cs="Arial" w:hint="default"/>
        <w:w w:val="100"/>
        <w:lang w:val="en-US" w:eastAsia="en-US" w:bidi="ar-SA"/>
      </w:rPr>
    </w:lvl>
    <w:lvl w:ilvl="2" w:tplc="E120048A">
      <w:numFmt w:val="bullet"/>
      <w:lvlText w:val="•"/>
      <w:lvlJc w:val="left"/>
      <w:pPr>
        <w:ind w:left="460" w:hanging="114"/>
      </w:pPr>
      <w:rPr>
        <w:rFonts w:hint="default"/>
        <w:lang w:val="en-US" w:eastAsia="en-US" w:bidi="ar-SA"/>
      </w:rPr>
    </w:lvl>
    <w:lvl w:ilvl="3" w:tplc="7960BDCC">
      <w:numFmt w:val="bullet"/>
      <w:lvlText w:val="•"/>
      <w:lvlJc w:val="left"/>
      <w:pPr>
        <w:ind w:left="1798" w:hanging="114"/>
      </w:pPr>
      <w:rPr>
        <w:rFonts w:hint="default"/>
        <w:lang w:val="en-US" w:eastAsia="en-US" w:bidi="ar-SA"/>
      </w:rPr>
    </w:lvl>
    <w:lvl w:ilvl="4" w:tplc="ED1858DC">
      <w:numFmt w:val="bullet"/>
      <w:lvlText w:val="•"/>
      <w:lvlJc w:val="left"/>
      <w:pPr>
        <w:ind w:left="3136" w:hanging="114"/>
      </w:pPr>
      <w:rPr>
        <w:rFonts w:hint="default"/>
        <w:lang w:val="en-US" w:eastAsia="en-US" w:bidi="ar-SA"/>
      </w:rPr>
    </w:lvl>
    <w:lvl w:ilvl="5" w:tplc="796ED210">
      <w:numFmt w:val="bullet"/>
      <w:lvlText w:val="•"/>
      <w:lvlJc w:val="left"/>
      <w:pPr>
        <w:ind w:left="4474" w:hanging="114"/>
      </w:pPr>
      <w:rPr>
        <w:rFonts w:hint="default"/>
        <w:lang w:val="en-US" w:eastAsia="en-US" w:bidi="ar-SA"/>
      </w:rPr>
    </w:lvl>
    <w:lvl w:ilvl="6" w:tplc="65FC08E6">
      <w:numFmt w:val="bullet"/>
      <w:lvlText w:val="•"/>
      <w:lvlJc w:val="left"/>
      <w:pPr>
        <w:ind w:left="5812" w:hanging="114"/>
      </w:pPr>
      <w:rPr>
        <w:rFonts w:hint="default"/>
        <w:lang w:val="en-US" w:eastAsia="en-US" w:bidi="ar-SA"/>
      </w:rPr>
    </w:lvl>
    <w:lvl w:ilvl="7" w:tplc="CF4C1C02">
      <w:numFmt w:val="bullet"/>
      <w:lvlText w:val="•"/>
      <w:lvlJc w:val="left"/>
      <w:pPr>
        <w:ind w:left="7150" w:hanging="114"/>
      </w:pPr>
      <w:rPr>
        <w:rFonts w:hint="default"/>
        <w:lang w:val="en-US" w:eastAsia="en-US" w:bidi="ar-SA"/>
      </w:rPr>
    </w:lvl>
    <w:lvl w:ilvl="8" w:tplc="E36AFF06">
      <w:numFmt w:val="bullet"/>
      <w:lvlText w:val="•"/>
      <w:lvlJc w:val="left"/>
      <w:pPr>
        <w:ind w:left="8489" w:hanging="114"/>
      </w:pPr>
      <w:rPr>
        <w:rFonts w:hint="default"/>
        <w:lang w:val="en-US" w:eastAsia="en-US" w:bidi="ar-SA"/>
      </w:rPr>
    </w:lvl>
  </w:abstractNum>
  <w:abstractNum w:abstractNumId="58" w15:restartNumberingAfterBreak="0">
    <w:nsid w:val="4DD9535E"/>
    <w:multiLevelType w:val="multilevel"/>
    <w:tmpl w:val="F1FE2C64"/>
    <w:lvl w:ilvl="0">
      <w:start w:val="5"/>
      <w:numFmt w:val="decimal"/>
      <w:lvlText w:val="%1"/>
      <w:lvlJc w:val="left"/>
      <w:pPr>
        <w:ind w:left="553" w:hanging="443"/>
      </w:pPr>
      <w:rPr>
        <w:rFonts w:hint="default"/>
        <w:lang w:val="en-US" w:eastAsia="en-US" w:bidi="ar-SA"/>
      </w:rPr>
    </w:lvl>
    <w:lvl w:ilvl="1">
      <w:start w:val="1"/>
      <w:numFmt w:val="decimal"/>
      <w:lvlText w:val="%1.%2"/>
      <w:lvlJc w:val="left"/>
      <w:pPr>
        <w:ind w:left="553" w:hanging="443"/>
      </w:pPr>
      <w:rPr>
        <w:rFonts w:ascii="Arial" w:eastAsia="Arial" w:hAnsi="Arial" w:cs="Arial" w:hint="default"/>
        <w:b/>
        <w:bCs/>
        <w:i w:val="0"/>
        <w:iCs w:val="0"/>
        <w:color w:val="3D68AD"/>
        <w:spacing w:val="-25"/>
        <w:w w:val="100"/>
        <w:sz w:val="28"/>
        <w:szCs w:val="28"/>
        <w:lang w:val="en-US" w:eastAsia="en-US" w:bidi="ar-SA"/>
      </w:rPr>
    </w:lvl>
    <w:lvl w:ilvl="2">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3">
      <w:numFmt w:val="bullet"/>
      <w:lvlText w:val="•"/>
      <w:lvlJc w:val="left"/>
      <w:pPr>
        <w:ind w:left="2756" w:hanging="284"/>
      </w:pPr>
      <w:rPr>
        <w:rFonts w:hint="default"/>
        <w:lang w:val="en-US" w:eastAsia="en-US" w:bidi="ar-SA"/>
      </w:rPr>
    </w:lvl>
    <w:lvl w:ilvl="4">
      <w:numFmt w:val="bullet"/>
      <w:lvlText w:val="•"/>
      <w:lvlJc w:val="left"/>
      <w:pPr>
        <w:ind w:left="3855" w:hanging="284"/>
      </w:pPr>
      <w:rPr>
        <w:rFonts w:hint="default"/>
        <w:lang w:val="en-US" w:eastAsia="en-US" w:bidi="ar-SA"/>
      </w:rPr>
    </w:lvl>
    <w:lvl w:ilvl="5">
      <w:numFmt w:val="bullet"/>
      <w:lvlText w:val="•"/>
      <w:lvlJc w:val="left"/>
      <w:pPr>
        <w:ind w:left="4953" w:hanging="284"/>
      </w:pPr>
      <w:rPr>
        <w:rFonts w:hint="default"/>
        <w:lang w:val="en-US" w:eastAsia="en-US" w:bidi="ar-SA"/>
      </w:rPr>
    </w:lvl>
    <w:lvl w:ilvl="6">
      <w:numFmt w:val="bullet"/>
      <w:lvlText w:val="•"/>
      <w:lvlJc w:val="left"/>
      <w:pPr>
        <w:ind w:left="6051" w:hanging="284"/>
      </w:pPr>
      <w:rPr>
        <w:rFonts w:hint="default"/>
        <w:lang w:val="en-US" w:eastAsia="en-US" w:bidi="ar-SA"/>
      </w:rPr>
    </w:lvl>
    <w:lvl w:ilvl="7">
      <w:numFmt w:val="bullet"/>
      <w:lvlText w:val="•"/>
      <w:lvlJc w:val="left"/>
      <w:pPr>
        <w:ind w:left="7150" w:hanging="284"/>
      </w:pPr>
      <w:rPr>
        <w:rFonts w:hint="default"/>
        <w:lang w:val="en-US" w:eastAsia="en-US" w:bidi="ar-SA"/>
      </w:rPr>
    </w:lvl>
    <w:lvl w:ilvl="8">
      <w:numFmt w:val="bullet"/>
      <w:lvlText w:val="•"/>
      <w:lvlJc w:val="left"/>
      <w:pPr>
        <w:ind w:left="8248" w:hanging="284"/>
      </w:pPr>
      <w:rPr>
        <w:rFonts w:hint="default"/>
        <w:lang w:val="en-US" w:eastAsia="en-US" w:bidi="ar-SA"/>
      </w:rPr>
    </w:lvl>
  </w:abstractNum>
  <w:abstractNum w:abstractNumId="59" w15:restartNumberingAfterBreak="0">
    <w:nsid w:val="4E170061"/>
    <w:multiLevelType w:val="hybridMultilevel"/>
    <w:tmpl w:val="797AD792"/>
    <w:lvl w:ilvl="0" w:tplc="A3B2597C">
      <w:numFmt w:val="bullet"/>
      <w:lvlText w:val="•"/>
      <w:lvlJc w:val="left"/>
      <w:pPr>
        <w:ind w:left="283" w:hanging="284"/>
      </w:pPr>
      <w:rPr>
        <w:rFonts w:ascii="Arial" w:eastAsia="Arial" w:hAnsi="Arial" w:cs="Arial" w:hint="default"/>
        <w:b w:val="0"/>
        <w:bCs w:val="0"/>
        <w:i w:val="0"/>
        <w:iCs w:val="0"/>
        <w:color w:val="3D68AD"/>
        <w:w w:val="100"/>
        <w:sz w:val="14"/>
        <w:szCs w:val="14"/>
        <w:lang w:val="en-US" w:eastAsia="en-US" w:bidi="ar-SA"/>
      </w:rPr>
    </w:lvl>
    <w:lvl w:ilvl="1" w:tplc="56CEAC58">
      <w:numFmt w:val="bullet"/>
      <w:lvlText w:val="•"/>
      <w:lvlJc w:val="left"/>
      <w:pPr>
        <w:ind w:left="931" w:hanging="284"/>
      </w:pPr>
      <w:rPr>
        <w:rFonts w:hint="default"/>
        <w:lang w:val="en-US" w:eastAsia="en-US" w:bidi="ar-SA"/>
      </w:rPr>
    </w:lvl>
    <w:lvl w:ilvl="2" w:tplc="3B50F3DA">
      <w:numFmt w:val="bullet"/>
      <w:lvlText w:val="•"/>
      <w:lvlJc w:val="left"/>
      <w:pPr>
        <w:ind w:left="1583" w:hanging="284"/>
      </w:pPr>
      <w:rPr>
        <w:rFonts w:hint="default"/>
        <w:lang w:val="en-US" w:eastAsia="en-US" w:bidi="ar-SA"/>
      </w:rPr>
    </w:lvl>
    <w:lvl w:ilvl="3" w:tplc="7D1E79E2">
      <w:numFmt w:val="bullet"/>
      <w:lvlText w:val="•"/>
      <w:lvlJc w:val="left"/>
      <w:pPr>
        <w:ind w:left="2234" w:hanging="284"/>
      </w:pPr>
      <w:rPr>
        <w:rFonts w:hint="default"/>
        <w:lang w:val="en-US" w:eastAsia="en-US" w:bidi="ar-SA"/>
      </w:rPr>
    </w:lvl>
    <w:lvl w:ilvl="4" w:tplc="32A8A044">
      <w:numFmt w:val="bullet"/>
      <w:lvlText w:val="•"/>
      <w:lvlJc w:val="left"/>
      <w:pPr>
        <w:ind w:left="2886" w:hanging="284"/>
      </w:pPr>
      <w:rPr>
        <w:rFonts w:hint="default"/>
        <w:lang w:val="en-US" w:eastAsia="en-US" w:bidi="ar-SA"/>
      </w:rPr>
    </w:lvl>
    <w:lvl w:ilvl="5" w:tplc="BAAE39EE">
      <w:numFmt w:val="bullet"/>
      <w:lvlText w:val="•"/>
      <w:lvlJc w:val="left"/>
      <w:pPr>
        <w:ind w:left="3538" w:hanging="284"/>
      </w:pPr>
      <w:rPr>
        <w:rFonts w:hint="default"/>
        <w:lang w:val="en-US" w:eastAsia="en-US" w:bidi="ar-SA"/>
      </w:rPr>
    </w:lvl>
    <w:lvl w:ilvl="6" w:tplc="A8C6425C">
      <w:numFmt w:val="bullet"/>
      <w:lvlText w:val="•"/>
      <w:lvlJc w:val="left"/>
      <w:pPr>
        <w:ind w:left="4189" w:hanging="284"/>
      </w:pPr>
      <w:rPr>
        <w:rFonts w:hint="default"/>
        <w:lang w:val="en-US" w:eastAsia="en-US" w:bidi="ar-SA"/>
      </w:rPr>
    </w:lvl>
    <w:lvl w:ilvl="7" w:tplc="220EEA3C">
      <w:numFmt w:val="bullet"/>
      <w:lvlText w:val="•"/>
      <w:lvlJc w:val="left"/>
      <w:pPr>
        <w:ind w:left="4841" w:hanging="284"/>
      </w:pPr>
      <w:rPr>
        <w:rFonts w:hint="default"/>
        <w:lang w:val="en-US" w:eastAsia="en-US" w:bidi="ar-SA"/>
      </w:rPr>
    </w:lvl>
    <w:lvl w:ilvl="8" w:tplc="ADA2B852">
      <w:numFmt w:val="bullet"/>
      <w:lvlText w:val="•"/>
      <w:lvlJc w:val="left"/>
      <w:pPr>
        <w:ind w:left="5492" w:hanging="284"/>
      </w:pPr>
      <w:rPr>
        <w:rFonts w:hint="default"/>
        <w:lang w:val="en-US" w:eastAsia="en-US" w:bidi="ar-SA"/>
      </w:rPr>
    </w:lvl>
  </w:abstractNum>
  <w:abstractNum w:abstractNumId="60" w15:restartNumberingAfterBreak="0">
    <w:nsid w:val="4E5B305E"/>
    <w:multiLevelType w:val="hybridMultilevel"/>
    <w:tmpl w:val="A5F06338"/>
    <w:lvl w:ilvl="0" w:tplc="C3C277C0">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5ADE80B6">
      <w:numFmt w:val="bullet"/>
      <w:lvlText w:val="•"/>
      <w:lvlJc w:val="left"/>
      <w:pPr>
        <w:ind w:left="1350" w:hanging="227"/>
      </w:pPr>
      <w:rPr>
        <w:rFonts w:hint="default"/>
        <w:lang w:val="en-US" w:eastAsia="en-US" w:bidi="ar-SA"/>
      </w:rPr>
    </w:lvl>
    <w:lvl w:ilvl="2" w:tplc="402AE2EE">
      <w:numFmt w:val="bullet"/>
      <w:lvlText w:val="•"/>
      <w:lvlJc w:val="left"/>
      <w:pPr>
        <w:ind w:left="2361" w:hanging="227"/>
      </w:pPr>
      <w:rPr>
        <w:rFonts w:hint="default"/>
        <w:lang w:val="en-US" w:eastAsia="en-US" w:bidi="ar-SA"/>
      </w:rPr>
    </w:lvl>
    <w:lvl w:ilvl="3" w:tplc="7754340E">
      <w:numFmt w:val="bullet"/>
      <w:lvlText w:val="•"/>
      <w:lvlJc w:val="left"/>
      <w:pPr>
        <w:ind w:left="3371" w:hanging="227"/>
      </w:pPr>
      <w:rPr>
        <w:rFonts w:hint="default"/>
        <w:lang w:val="en-US" w:eastAsia="en-US" w:bidi="ar-SA"/>
      </w:rPr>
    </w:lvl>
    <w:lvl w:ilvl="4" w:tplc="7D76BF8C">
      <w:numFmt w:val="bullet"/>
      <w:lvlText w:val="•"/>
      <w:lvlJc w:val="left"/>
      <w:pPr>
        <w:ind w:left="4382" w:hanging="227"/>
      </w:pPr>
      <w:rPr>
        <w:rFonts w:hint="default"/>
        <w:lang w:val="en-US" w:eastAsia="en-US" w:bidi="ar-SA"/>
      </w:rPr>
    </w:lvl>
    <w:lvl w:ilvl="5" w:tplc="122EF1CC">
      <w:numFmt w:val="bullet"/>
      <w:lvlText w:val="•"/>
      <w:lvlJc w:val="left"/>
      <w:pPr>
        <w:ind w:left="5392" w:hanging="227"/>
      </w:pPr>
      <w:rPr>
        <w:rFonts w:hint="default"/>
        <w:lang w:val="en-US" w:eastAsia="en-US" w:bidi="ar-SA"/>
      </w:rPr>
    </w:lvl>
    <w:lvl w:ilvl="6" w:tplc="A7BA244E">
      <w:numFmt w:val="bullet"/>
      <w:lvlText w:val="•"/>
      <w:lvlJc w:val="left"/>
      <w:pPr>
        <w:ind w:left="6403" w:hanging="227"/>
      </w:pPr>
      <w:rPr>
        <w:rFonts w:hint="default"/>
        <w:lang w:val="en-US" w:eastAsia="en-US" w:bidi="ar-SA"/>
      </w:rPr>
    </w:lvl>
    <w:lvl w:ilvl="7" w:tplc="237254C2">
      <w:numFmt w:val="bullet"/>
      <w:lvlText w:val="•"/>
      <w:lvlJc w:val="left"/>
      <w:pPr>
        <w:ind w:left="7413" w:hanging="227"/>
      </w:pPr>
      <w:rPr>
        <w:rFonts w:hint="default"/>
        <w:lang w:val="en-US" w:eastAsia="en-US" w:bidi="ar-SA"/>
      </w:rPr>
    </w:lvl>
    <w:lvl w:ilvl="8" w:tplc="FD8A5050">
      <w:numFmt w:val="bullet"/>
      <w:lvlText w:val="•"/>
      <w:lvlJc w:val="left"/>
      <w:pPr>
        <w:ind w:left="8424" w:hanging="227"/>
      </w:pPr>
      <w:rPr>
        <w:rFonts w:hint="default"/>
        <w:lang w:val="en-US" w:eastAsia="en-US" w:bidi="ar-SA"/>
      </w:rPr>
    </w:lvl>
  </w:abstractNum>
  <w:abstractNum w:abstractNumId="61" w15:restartNumberingAfterBreak="0">
    <w:nsid w:val="4EB535E2"/>
    <w:multiLevelType w:val="hybridMultilevel"/>
    <w:tmpl w:val="AF2E1882"/>
    <w:lvl w:ilvl="0" w:tplc="B50AC2CE">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D46E3EDA">
      <w:numFmt w:val="bullet"/>
      <w:lvlText w:val="•"/>
      <w:lvlJc w:val="left"/>
      <w:pPr>
        <w:ind w:left="1476" w:hanging="284"/>
      </w:pPr>
      <w:rPr>
        <w:rFonts w:hint="default"/>
        <w:lang w:val="en-US" w:eastAsia="en-US" w:bidi="ar-SA"/>
      </w:rPr>
    </w:lvl>
    <w:lvl w:ilvl="2" w:tplc="C1FEDFB0">
      <w:numFmt w:val="bullet"/>
      <w:lvlText w:val="•"/>
      <w:lvlJc w:val="left"/>
      <w:pPr>
        <w:ind w:left="2553" w:hanging="284"/>
      </w:pPr>
      <w:rPr>
        <w:rFonts w:hint="default"/>
        <w:lang w:val="en-US" w:eastAsia="en-US" w:bidi="ar-SA"/>
      </w:rPr>
    </w:lvl>
    <w:lvl w:ilvl="3" w:tplc="27DC8802">
      <w:numFmt w:val="bullet"/>
      <w:lvlText w:val="•"/>
      <w:lvlJc w:val="left"/>
      <w:pPr>
        <w:ind w:left="3629" w:hanging="284"/>
      </w:pPr>
      <w:rPr>
        <w:rFonts w:hint="default"/>
        <w:lang w:val="en-US" w:eastAsia="en-US" w:bidi="ar-SA"/>
      </w:rPr>
    </w:lvl>
    <w:lvl w:ilvl="4" w:tplc="5EB49842">
      <w:numFmt w:val="bullet"/>
      <w:lvlText w:val="•"/>
      <w:lvlJc w:val="left"/>
      <w:pPr>
        <w:ind w:left="4706" w:hanging="284"/>
      </w:pPr>
      <w:rPr>
        <w:rFonts w:hint="default"/>
        <w:lang w:val="en-US" w:eastAsia="en-US" w:bidi="ar-SA"/>
      </w:rPr>
    </w:lvl>
    <w:lvl w:ilvl="5" w:tplc="8D683874">
      <w:numFmt w:val="bullet"/>
      <w:lvlText w:val="•"/>
      <w:lvlJc w:val="left"/>
      <w:pPr>
        <w:ind w:left="5782" w:hanging="284"/>
      </w:pPr>
      <w:rPr>
        <w:rFonts w:hint="default"/>
        <w:lang w:val="en-US" w:eastAsia="en-US" w:bidi="ar-SA"/>
      </w:rPr>
    </w:lvl>
    <w:lvl w:ilvl="6" w:tplc="1FC07850">
      <w:numFmt w:val="bullet"/>
      <w:lvlText w:val="•"/>
      <w:lvlJc w:val="left"/>
      <w:pPr>
        <w:ind w:left="6859" w:hanging="284"/>
      </w:pPr>
      <w:rPr>
        <w:rFonts w:hint="default"/>
        <w:lang w:val="en-US" w:eastAsia="en-US" w:bidi="ar-SA"/>
      </w:rPr>
    </w:lvl>
    <w:lvl w:ilvl="7" w:tplc="FE627992">
      <w:numFmt w:val="bullet"/>
      <w:lvlText w:val="•"/>
      <w:lvlJc w:val="left"/>
      <w:pPr>
        <w:ind w:left="7935" w:hanging="284"/>
      </w:pPr>
      <w:rPr>
        <w:rFonts w:hint="default"/>
        <w:lang w:val="en-US" w:eastAsia="en-US" w:bidi="ar-SA"/>
      </w:rPr>
    </w:lvl>
    <w:lvl w:ilvl="8" w:tplc="615C7248">
      <w:numFmt w:val="bullet"/>
      <w:lvlText w:val="•"/>
      <w:lvlJc w:val="left"/>
      <w:pPr>
        <w:ind w:left="9012" w:hanging="284"/>
      </w:pPr>
      <w:rPr>
        <w:rFonts w:hint="default"/>
        <w:lang w:val="en-US" w:eastAsia="en-US" w:bidi="ar-SA"/>
      </w:rPr>
    </w:lvl>
  </w:abstractNum>
  <w:abstractNum w:abstractNumId="62" w15:restartNumberingAfterBreak="0">
    <w:nsid w:val="4FF5323B"/>
    <w:multiLevelType w:val="hybridMultilevel"/>
    <w:tmpl w:val="9B685562"/>
    <w:lvl w:ilvl="0" w:tplc="0A48A922">
      <w:start w:val="1"/>
      <w:numFmt w:val="decimal"/>
      <w:lvlText w:val="%1"/>
      <w:lvlJc w:val="left"/>
      <w:pPr>
        <w:ind w:left="337" w:hanging="227"/>
      </w:pPr>
      <w:rPr>
        <w:rFonts w:ascii="Arial" w:eastAsia="Arial" w:hAnsi="Arial" w:cs="Arial" w:hint="default"/>
        <w:b w:val="0"/>
        <w:bCs w:val="0"/>
        <w:i w:val="0"/>
        <w:iCs w:val="0"/>
        <w:color w:val="231F20"/>
        <w:w w:val="100"/>
        <w:sz w:val="14"/>
        <w:szCs w:val="14"/>
        <w:lang w:val="en-US" w:eastAsia="en-US" w:bidi="ar-SA"/>
      </w:rPr>
    </w:lvl>
    <w:lvl w:ilvl="1" w:tplc="2482D430">
      <w:numFmt w:val="bullet"/>
      <w:lvlText w:val="•"/>
      <w:lvlJc w:val="left"/>
      <w:pPr>
        <w:ind w:left="1422" w:hanging="227"/>
      </w:pPr>
      <w:rPr>
        <w:rFonts w:hint="default"/>
        <w:lang w:val="en-US" w:eastAsia="en-US" w:bidi="ar-SA"/>
      </w:rPr>
    </w:lvl>
    <w:lvl w:ilvl="2" w:tplc="BA327FD2">
      <w:numFmt w:val="bullet"/>
      <w:lvlText w:val="•"/>
      <w:lvlJc w:val="left"/>
      <w:pPr>
        <w:ind w:left="2505" w:hanging="227"/>
      </w:pPr>
      <w:rPr>
        <w:rFonts w:hint="default"/>
        <w:lang w:val="en-US" w:eastAsia="en-US" w:bidi="ar-SA"/>
      </w:rPr>
    </w:lvl>
    <w:lvl w:ilvl="3" w:tplc="3AAADBB8">
      <w:numFmt w:val="bullet"/>
      <w:lvlText w:val="•"/>
      <w:lvlJc w:val="left"/>
      <w:pPr>
        <w:ind w:left="3587" w:hanging="227"/>
      </w:pPr>
      <w:rPr>
        <w:rFonts w:hint="default"/>
        <w:lang w:val="en-US" w:eastAsia="en-US" w:bidi="ar-SA"/>
      </w:rPr>
    </w:lvl>
    <w:lvl w:ilvl="4" w:tplc="C0FADC94">
      <w:numFmt w:val="bullet"/>
      <w:lvlText w:val="•"/>
      <w:lvlJc w:val="left"/>
      <w:pPr>
        <w:ind w:left="4670" w:hanging="227"/>
      </w:pPr>
      <w:rPr>
        <w:rFonts w:hint="default"/>
        <w:lang w:val="en-US" w:eastAsia="en-US" w:bidi="ar-SA"/>
      </w:rPr>
    </w:lvl>
    <w:lvl w:ilvl="5" w:tplc="D1E4D528">
      <w:numFmt w:val="bullet"/>
      <w:lvlText w:val="•"/>
      <w:lvlJc w:val="left"/>
      <w:pPr>
        <w:ind w:left="5752" w:hanging="227"/>
      </w:pPr>
      <w:rPr>
        <w:rFonts w:hint="default"/>
        <w:lang w:val="en-US" w:eastAsia="en-US" w:bidi="ar-SA"/>
      </w:rPr>
    </w:lvl>
    <w:lvl w:ilvl="6" w:tplc="055CEB1A">
      <w:numFmt w:val="bullet"/>
      <w:lvlText w:val="•"/>
      <w:lvlJc w:val="left"/>
      <w:pPr>
        <w:ind w:left="6835" w:hanging="227"/>
      </w:pPr>
      <w:rPr>
        <w:rFonts w:hint="default"/>
        <w:lang w:val="en-US" w:eastAsia="en-US" w:bidi="ar-SA"/>
      </w:rPr>
    </w:lvl>
    <w:lvl w:ilvl="7" w:tplc="FB7E9D42">
      <w:numFmt w:val="bullet"/>
      <w:lvlText w:val="•"/>
      <w:lvlJc w:val="left"/>
      <w:pPr>
        <w:ind w:left="7917" w:hanging="227"/>
      </w:pPr>
      <w:rPr>
        <w:rFonts w:hint="default"/>
        <w:lang w:val="en-US" w:eastAsia="en-US" w:bidi="ar-SA"/>
      </w:rPr>
    </w:lvl>
    <w:lvl w:ilvl="8" w:tplc="7616A654">
      <w:numFmt w:val="bullet"/>
      <w:lvlText w:val="•"/>
      <w:lvlJc w:val="left"/>
      <w:pPr>
        <w:ind w:left="9000" w:hanging="227"/>
      </w:pPr>
      <w:rPr>
        <w:rFonts w:hint="default"/>
        <w:lang w:val="en-US" w:eastAsia="en-US" w:bidi="ar-SA"/>
      </w:rPr>
    </w:lvl>
  </w:abstractNum>
  <w:abstractNum w:abstractNumId="63" w15:restartNumberingAfterBreak="0">
    <w:nsid w:val="5119654A"/>
    <w:multiLevelType w:val="hybridMultilevel"/>
    <w:tmpl w:val="0C1025F0"/>
    <w:lvl w:ilvl="0" w:tplc="BBCABFB2">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8F9CEB40">
      <w:numFmt w:val="bullet"/>
      <w:lvlText w:val="•"/>
      <w:lvlJc w:val="left"/>
      <w:pPr>
        <w:ind w:left="761" w:hanging="284"/>
      </w:pPr>
      <w:rPr>
        <w:rFonts w:hint="default"/>
        <w:lang w:val="en-US" w:eastAsia="en-US" w:bidi="ar-SA"/>
      </w:rPr>
    </w:lvl>
    <w:lvl w:ilvl="2" w:tplc="ADCA9DF0">
      <w:numFmt w:val="bullet"/>
      <w:lvlText w:val="•"/>
      <w:lvlJc w:val="left"/>
      <w:pPr>
        <w:ind w:left="1243" w:hanging="284"/>
      </w:pPr>
      <w:rPr>
        <w:rFonts w:hint="default"/>
        <w:lang w:val="en-US" w:eastAsia="en-US" w:bidi="ar-SA"/>
      </w:rPr>
    </w:lvl>
    <w:lvl w:ilvl="3" w:tplc="7352B4BC">
      <w:numFmt w:val="bullet"/>
      <w:lvlText w:val="•"/>
      <w:lvlJc w:val="left"/>
      <w:pPr>
        <w:ind w:left="1725" w:hanging="284"/>
      </w:pPr>
      <w:rPr>
        <w:rFonts w:hint="default"/>
        <w:lang w:val="en-US" w:eastAsia="en-US" w:bidi="ar-SA"/>
      </w:rPr>
    </w:lvl>
    <w:lvl w:ilvl="4" w:tplc="297847CC">
      <w:numFmt w:val="bullet"/>
      <w:lvlText w:val="•"/>
      <w:lvlJc w:val="left"/>
      <w:pPr>
        <w:ind w:left="2206" w:hanging="284"/>
      </w:pPr>
      <w:rPr>
        <w:rFonts w:hint="default"/>
        <w:lang w:val="en-US" w:eastAsia="en-US" w:bidi="ar-SA"/>
      </w:rPr>
    </w:lvl>
    <w:lvl w:ilvl="5" w:tplc="BC60492E">
      <w:numFmt w:val="bullet"/>
      <w:lvlText w:val="•"/>
      <w:lvlJc w:val="left"/>
      <w:pPr>
        <w:ind w:left="2688" w:hanging="284"/>
      </w:pPr>
      <w:rPr>
        <w:rFonts w:hint="default"/>
        <w:lang w:val="en-US" w:eastAsia="en-US" w:bidi="ar-SA"/>
      </w:rPr>
    </w:lvl>
    <w:lvl w:ilvl="6" w:tplc="FCF84484">
      <w:numFmt w:val="bullet"/>
      <w:lvlText w:val="•"/>
      <w:lvlJc w:val="left"/>
      <w:pPr>
        <w:ind w:left="3170" w:hanging="284"/>
      </w:pPr>
      <w:rPr>
        <w:rFonts w:hint="default"/>
        <w:lang w:val="en-US" w:eastAsia="en-US" w:bidi="ar-SA"/>
      </w:rPr>
    </w:lvl>
    <w:lvl w:ilvl="7" w:tplc="EA46000E">
      <w:numFmt w:val="bullet"/>
      <w:lvlText w:val="•"/>
      <w:lvlJc w:val="left"/>
      <w:pPr>
        <w:ind w:left="3651" w:hanging="284"/>
      </w:pPr>
      <w:rPr>
        <w:rFonts w:hint="default"/>
        <w:lang w:val="en-US" w:eastAsia="en-US" w:bidi="ar-SA"/>
      </w:rPr>
    </w:lvl>
    <w:lvl w:ilvl="8" w:tplc="5C8AA9E4">
      <w:numFmt w:val="bullet"/>
      <w:lvlText w:val="•"/>
      <w:lvlJc w:val="left"/>
      <w:pPr>
        <w:ind w:left="4133" w:hanging="284"/>
      </w:pPr>
      <w:rPr>
        <w:rFonts w:hint="default"/>
        <w:lang w:val="en-US" w:eastAsia="en-US" w:bidi="ar-SA"/>
      </w:rPr>
    </w:lvl>
  </w:abstractNum>
  <w:abstractNum w:abstractNumId="64" w15:restartNumberingAfterBreak="0">
    <w:nsid w:val="5203767A"/>
    <w:multiLevelType w:val="hybridMultilevel"/>
    <w:tmpl w:val="E61C769A"/>
    <w:lvl w:ilvl="0" w:tplc="8B26C1CA">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D736F494">
      <w:numFmt w:val="bullet"/>
      <w:lvlText w:val="•"/>
      <w:lvlJc w:val="left"/>
      <w:pPr>
        <w:ind w:left="1404" w:hanging="284"/>
      </w:pPr>
      <w:rPr>
        <w:rFonts w:hint="default"/>
        <w:lang w:val="en-US" w:eastAsia="en-US" w:bidi="ar-SA"/>
      </w:rPr>
    </w:lvl>
    <w:lvl w:ilvl="2" w:tplc="8A4CF7F8">
      <w:numFmt w:val="bullet"/>
      <w:lvlText w:val="•"/>
      <w:lvlJc w:val="left"/>
      <w:pPr>
        <w:ind w:left="2409" w:hanging="284"/>
      </w:pPr>
      <w:rPr>
        <w:rFonts w:hint="default"/>
        <w:lang w:val="en-US" w:eastAsia="en-US" w:bidi="ar-SA"/>
      </w:rPr>
    </w:lvl>
    <w:lvl w:ilvl="3" w:tplc="A2A660B4">
      <w:numFmt w:val="bullet"/>
      <w:lvlText w:val="•"/>
      <w:lvlJc w:val="left"/>
      <w:pPr>
        <w:ind w:left="3413" w:hanging="284"/>
      </w:pPr>
      <w:rPr>
        <w:rFonts w:hint="default"/>
        <w:lang w:val="en-US" w:eastAsia="en-US" w:bidi="ar-SA"/>
      </w:rPr>
    </w:lvl>
    <w:lvl w:ilvl="4" w:tplc="54F47846">
      <w:numFmt w:val="bullet"/>
      <w:lvlText w:val="•"/>
      <w:lvlJc w:val="left"/>
      <w:pPr>
        <w:ind w:left="4418" w:hanging="284"/>
      </w:pPr>
      <w:rPr>
        <w:rFonts w:hint="default"/>
        <w:lang w:val="en-US" w:eastAsia="en-US" w:bidi="ar-SA"/>
      </w:rPr>
    </w:lvl>
    <w:lvl w:ilvl="5" w:tplc="B61A7BE2">
      <w:numFmt w:val="bullet"/>
      <w:lvlText w:val="•"/>
      <w:lvlJc w:val="left"/>
      <w:pPr>
        <w:ind w:left="5422" w:hanging="284"/>
      </w:pPr>
      <w:rPr>
        <w:rFonts w:hint="default"/>
        <w:lang w:val="en-US" w:eastAsia="en-US" w:bidi="ar-SA"/>
      </w:rPr>
    </w:lvl>
    <w:lvl w:ilvl="6" w:tplc="1EC25EAE">
      <w:numFmt w:val="bullet"/>
      <w:lvlText w:val="•"/>
      <w:lvlJc w:val="left"/>
      <w:pPr>
        <w:ind w:left="6427" w:hanging="284"/>
      </w:pPr>
      <w:rPr>
        <w:rFonts w:hint="default"/>
        <w:lang w:val="en-US" w:eastAsia="en-US" w:bidi="ar-SA"/>
      </w:rPr>
    </w:lvl>
    <w:lvl w:ilvl="7" w:tplc="A64ACE9A">
      <w:numFmt w:val="bullet"/>
      <w:lvlText w:val="•"/>
      <w:lvlJc w:val="left"/>
      <w:pPr>
        <w:ind w:left="7431" w:hanging="284"/>
      </w:pPr>
      <w:rPr>
        <w:rFonts w:hint="default"/>
        <w:lang w:val="en-US" w:eastAsia="en-US" w:bidi="ar-SA"/>
      </w:rPr>
    </w:lvl>
    <w:lvl w:ilvl="8" w:tplc="92EE543A">
      <w:numFmt w:val="bullet"/>
      <w:lvlText w:val="•"/>
      <w:lvlJc w:val="left"/>
      <w:pPr>
        <w:ind w:left="8436" w:hanging="284"/>
      </w:pPr>
      <w:rPr>
        <w:rFonts w:hint="default"/>
        <w:lang w:val="en-US" w:eastAsia="en-US" w:bidi="ar-SA"/>
      </w:rPr>
    </w:lvl>
  </w:abstractNum>
  <w:abstractNum w:abstractNumId="65" w15:restartNumberingAfterBreak="0">
    <w:nsid w:val="527D472E"/>
    <w:multiLevelType w:val="hybridMultilevel"/>
    <w:tmpl w:val="C890B4B0"/>
    <w:lvl w:ilvl="0" w:tplc="5F443404">
      <w:numFmt w:val="bullet"/>
      <w:lvlText w:val="•"/>
      <w:lvlJc w:val="left"/>
      <w:pPr>
        <w:ind w:left="148" w:hanging="151"/>
      </w:pPr>
      <w:rPr>
        <w:rFonts w:ascii="Arial" w:eastAsia="Arial" w:hAnsi="Arial" w:cs="Arial" w:hint="default"/>
        <w:b w:val="0"/>
        <w:bCs w:val="0"/>
        <w:i w:val="0"/>
        <w:iCs w:val="0"/>
        <w:color w:val="231F20"/>
        <w:w w:val="100"/>
        <w:sz w:val="24"/>
        <w:szCs w:val="24"/>
        <w:lang w:val="en-US" w:eastAsia="en-US" w:bidi="ar-SA"/>
      </w:rPr>
    </w:lvl>
    <w:lvl w:ilvl="1" w:tplc="07B87988">
      <w:numFmt w:val="bullet"/>
      <w:lvlText w:val="•"/>
      <w:lvlJc w:val="left"/>
      <w:pPr>
        <w:ind w:left="325" w:hanging="151"/>
      </w:pPr>
      <w:rPr>
        <w:rFonts w:hint="default"/>
        <w:lang w:val="en-US" w:eastAsia="en-US" w:bidi="ar-SA"/>
      </w:rPr>
    </w:lvl>
    <w:lvl w:ilvl="2" w:tplc="EBFE14B8">
      <w:numFmt w:val="bullet"/>
      <w:lvlText w:val="•"/>
      <w:lvlJc w:val="left"/>
      <w:pPr>
        <w:ind w:left="510" w:hanging="151"/>
      </w:pPr>
      <w:rPr>
        <w:rFonts w:hint="default"/>
        <w:lang w:val="en-US" w:eastAsia="en-US" w:bidi="ar-SA"/>
      </w:rPr>
    </w:lvl>
    <w:lvl w:ilvl="3" w:tplc="2934136C">
      <w:numFmt w:val="bullet"/>
      <w:lvlText w:val="•"/>
      <w:lvlJc w:val="left"/>
      <w:pPr>
        <w:ind w:left="695" w:hanging="151"/>
      </w:pPr>
      <w:rPr>
        <w:rFonts w:hint="default"/>
        <w:lang w:val="en-US" w:eastAsia="en-US" w:bidi="ar-SA"/>
      </w:rPr>
    </w:lvl>
    <w:lvl w:ilvl="4" w:tplc="7F685C4A">
      <w:numFmt w:val="bullet"/>
      <w:lvlText w:val="•"/>
      <w:lvlJc w:val="left"/>
      <w:pPr>
        <w:ind w:left="881" w:hanging="151"/>
      </w:pPr>
      <w:rPr>
        <w:rFonts w:hint="default"/>
        <w:lang w:val="en-US" w:eastAsia="en-US" w:bidi="ar-SA"/>
      </w:rPr>
    </w:lvl>
    <w:lvl w:ilvl="5" w:tplc="0B18E502">
      <w:numFmt w:val="bullet"/>
      <w:lvlText w:val="•"/>
      <w:lvlJc w:val="left"/>
      <w:pPr>
        <w:ind w:left="1066" w:hanging="151"/>
      </w:pPr>
      <w:rPr>
        <w:rFonts w:hint="default"/>
        <w:lang w:val="en-US" w:eastAsia="en-US" w:bidi="ar-SA"/>
      </w:rPr>
    </w:lvl>
    <w:lvl w:ilvl="6" w:tplc="1DBACCD0">
      <w:numFmt w:val="bullet"/>
      <w:lvlText w:val="•"/>
      <w:lvlJc w:val="left"/>
      <w:pPr>
        <w:ind w:left="1251" w:hanging="151"/>
      </w:pPr>
      <w:rPr>
        <w:rFonts w:hint="default"/>
        <w:lang w:val="en-US" w:eastAsia="en-US" w:bidi="ar-SA"/>
      </w:rPr>
    </w:lvl>
    <w:lvl w:ilvl="7" w:tplc="C734972E">
      <w:numFmt w:val="bullet"/>
      <w:lvlText w:val="•"/>
      <w:lvlJc w:val="left"/>
      <w:pPr>
        <w:ind w:left="1437" w:hanging="151"/>
      </w:pPr>
      <w:rPr>
        <w:rFonts w:hint="default"/>
        <w:lang w:val="en-US" w:eastAsia="en-US" w:bidi="ar-SA"/>
      </w:rPr>
    </w:lvl>
    <w:lvl w:ilvl="8" w:tplc="691483DC">
      <w:numFmt w:val="bullet"/>
      <w:lvlText w:val="•"/>
      <w:lvlJc w:val="left"/>
      <w:pPr>
        <w:ind w:left="1622" w:hanging="151"/>
      </w:pPr>
      <w:rPr>
        <w:rFonts w:hint="default"/>
        <w:lang w:val="en-US" w:eastAsia="en-US" w:bidi="ar-SA"/>
      </w:rPr>
    </w:lvl>
  </w:abstractNum>
  <w:abstractNum w:abstractNumId="66" w15:restartNumberingAfterBreak="0">
    <w:nsid w:val="53041112"/>
    <w:multiLevelType w:val="multilevel"/>
    <w:tmpl w:val="153A96FC"/>
    <w:lvl w:ilvl="0">
      <w:start w:val="7"/>
      <w:numFmt w:val="decimal"/>
      <w:lvlText w:val="%1"/>
      <w:lvlJc w:val="left"/>
      <w:pPr>
        <w:ind w:left="673" w:hanging="564"/>
      </w:pPr>
      <w:rPr>
        <w:rFonts w:hint="default"/>
        <w:lang w:val="en-US" w:eastAsia="en-US" w:bidi="ar-SA"/>
      </w:rPr>
    </w:lvl>
    <w:lvl w:ilvl="1">
      <w:start w:val="2"/>
      <w:numFmt w:val="decimal"/>
      <w:lvlText w:val="%1.%2"/>
      <w:lvlJc w:val="left"/>
      <w:pPr>
        <w:ind w:left="673" w:hanging="564"/>
      </w:pPr>
      <w:rPr>
        <w:rFonts w:hint="default"/>
        <w:lang w:val="en-US" w:eastAsia="en-US" w:bidi="ar-SA"/>
      </w:rPr>
    </w:lvl>
    <w:lvl w:ilvl="2">
      <w:start w:val="1"/>
      <w:numFmt w:val="decimal"/>
      <w:lvlText w:val="%1.%2.%3"/>
      <w:lvlJc w:val="left"/>
      <w:pPr>
        <w:ind w:left="673" w:hanging="564"/>
      </w:pPr>
      <w:rPr>
        <w:rFonts w:ascii="Arial" w:eastAsia="Arial" w:hAnsi="Arial" w:cs="Arial" w:hint="default"/>
        <w:b/>
        <w:bCs/>
        <w:i w:val="0"/>
        <w:iCs w:val="0"/>
        <w:color w:val="231F20"/>
        <w:spacing w:val="-24"/>
        <w:w w:val="100"/>
        <w:sz w:val="24"/>
        <w:szCs w:val="24"/>
        <w:lang w:val="en-US" w:eastAsia="en-US" w:bidi="ar-SA"/>
      </w:rPr>
    </w:lvl>
    <w:lvl w:ilvl="3">
      <w:numFmt w:val="bullet"/>
      <w:lvlText w:val="•"/>
      <w:lvlJc w:val="left"/>
      <w:pPr>
        <w:ind w:left="3603" w:hanging="564"/>
      </w:pPr>
      <w:rPr>
        <w:rFonts w:hint="default"/>
        <w:lang w:val="en-US" w:eastAsia="en-US" w:bidi="ar-SA"/>
      </w:rPr>
    </w:lvl>
    <w:lvl w:ilvl="4">
      <w:numFmt w:val="bullet"/>
      <w:lvlText w:val="•"/>
      <w:lvlJc w:val="left"/>
      <w:pPr>
        <w:ind w:left="4578" w:hanging="564"/>
      </w:pPr>
      <w:rPr>
        <w:rFonts w:hint="default"/>
        <w:lang w:val="en-US" w:eastAsia="en-US" w:bidi="ar-SA"/>
      </w:rPr>
    </w:lvl>
    <w:lvl w:ilvl="5">
      <w:numFmt w:val="bullet"/>
      <w:lvlText w:val="•"/>
      <w:lvlJc w:val="left"/>
      <w:pPr>
        <w:ind w:left="5552" w:hanging="564"/>
      </w:pPr>
      <w:rPr>
        <w:rFonts w:hint="default"/>
        <w:lang w:val="en-US" w:eastAsia="en-US" w:bidi="ar-SA"/>
      </w:rPr>
    </w:lvl>
    <w:lvl w:ilvl="6">
      <w:numFmt w:val="bullet"/>
      <w:lvlText w:val="•"/>
      <w:lvlJc w:val="left"/>
      <w:pPr>
        <w:ind w:left="6527" w:hanging="564"/>
      </w:pPr>
      <w:rPr>
        <w:rFonts w:hint="default"/>
        <w:lang w:val="en-US" w:eastAsia="en-US" w:bidi="ar-SA"/>
      </w:rPr>
    </w:lvl>
    <w:lvl w:ilvl="7">
      <w:numFmt w:val="bullet"/>
      <w:lvlText w:val="•"/>
      <w:lvlJc w:val="left"/>
      <w:pPr>
        <w:ind w:left="7501" w:hanging="564"/>
      </w:pPr>
      <w:rPr>
        <w:rFonts w:hint="default"/>
        <w:lang w:val="en-US" w:eastAsia="en-US" w:bidi="ar-SA"/>
      </w:rPr>
    </w:lvl>
    <w:lvl w:ilvl="8">
      <w:numFmt w:val="bullet"/>
      <w:lvlText w:val="•"/>
      <w:lvlJc w:val="left"/>
      <w:pPr>
        <w:ind w:left="8476" w:hanging="564"/>
      </w:pPr>
      <w:rPr>
        <w:rFonts w:hint="default"/>
        <w:lang w:val="en-US" w:eastAsia="en-US" w:bidi="ar-SA"/>
      </w:rPr>
    </w:lvl>
  </w:abstractNum>
  <w:abstractNum w:abstractNumId="67" w15:restartNumberingAfterBreak="0">
    <w:nsid w:val="533E3647"/>
    <w:multiLevelType w:val="hybridMultilevel"/>
    <w:tmpl w:val="0678A578"/>
    <w:lvl w:ilvl="0" w:tplc="89340E50">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69185240">
      <w:numFmt w:val="bullet"/>
      <w:lvlText w:val="•"/>
      <w:lvlJc w:val="left"/>
      <w:pPr>
        <w:ind w:left="1348" w:hanging="227"/>
      </w:pPr>
      <w:rPr>
        <w:rFonts w:hint="default"/>
        <w:lang w:val="en-US" w:eastAsia="en-US" w:bidi="ar-SA"/>
      </w:rPr>
    </w:lvl>
    <w:lvl w:ilvl="2" w:tplc="B1DE3D94">
      <w:numFmt w:val="bullet"/>
      <w:lvlText w:val="•"/>
      <w:lvlJc w:val="left"/>
      <w:pPr>
        <w:ind w:left="2357" w:hanging="227"/>
      </w:pPr>
      <w:rPr>
        <w:rFonts w:hint="default"/>
        <w:lang w:val="en-US" w:eastAsia="en-US" w:bidi="ar-SA"/>
      </w:rPr>
    </w:lvl>
    <w:lvl w:ilvl="3" w:tplc="C158EA52">
      <w:numFmt w:val="bullet"/>
      <w:lvlText w:val="•"/>
      <w:lvlJc w:val="left"/>
      <w:pPr>
        <w:ind w:left="3365" w:hanging="227"/>
      </w:pPr>
      <w:rPr>
        <w:rFonts w:hint="default"/>
        <w:lang w:val="en-US" w:eastAsia="en-US" w:bidi="ar-SA"/>
      </w:rPr>
    </w:lvl>
    <w:lvl w:ilvl="4" w:tplc="E40C5EAE">
      <w:numFmt w:val="bullet"/>
      <w:lvlText w:val="•"/>
      <w:lvlJc w:val="left"/>
      <w:pPr>
        <w:ind w:left="4374" w:hanging="227"/>
      </w:pPr>
      <w:rPr>
        <w:rFonts w:hint="default"/>
        <w:lang w:val="en-US" w:eastAsia="en-US" w:bidi="ar-SA"/>
      </w:rPr>
    </w:lvl>
    <w:lvl w:ilvl="5" w:tplc="8D8248A6">
      <w:numFmt w:val="bullet"/>
      <w:lvlText w:val="•"/>
      <w:lvlJc w:val="left"/>
      <w:pPr>
        <w:ind w:left="5382" w:hanging="227"/>
      </w:pPr>
      <w:rPr>
        <w:rFonts w:hint="default"/>
        <w:lang w:val="en-US" w:eastAsia="en-US" w:bidi="ar-SA"/>
      </w:rPr>
    </w:lvl>
    <w:lvl w:ilvl="6" w:tplc="79681E68">
      <w:numFmt w:val="bullet"/>
      <w:lvlText w:val="•"/>
      <w:lvlJc w:val="left"/>
      <w:pPr>
        <w:ind w:left="6391" w:hanging="227"/>
      </w:pPr>
      <w:rPr>
        <w:rFonts w:hint="default"/>
        <w:lang w:val="en-US" w:eastAsia="en-US" w:bidi="ar-SA"/>
      </w:rPr>
    </w:lvl>
    <w:lvl w:ilvl="7" w:tplc="EEAA7114">
      <w:numFmt w:val="bullet"/>
      <w:lvlText w:val="•"/>
      <w:lvlJc w:val="left"/>
      <w:pPr>
        <w:ind w:left="7399" w:hanging="227"/>
      </w:pPr>
      <w:rPr>
        <w:rFonts w:hint="default"/>
        <w:lang w:val="en-US" w:eastAsia="en-US" w:bidi="ar-SA"/>
      </w:rPr>
    </w:lvl>
    <w:lvl w:ilvl="8" w:tplc="AFD8A58C">
      <w:numFmt w:val="bullet"/>
      <w:lvlText w:val="•"/>
      <w:lvlJc w:val="left"/>
      <w:pPr>
        <w:ind w:left="8408" w:hanging="227"/>
      </w:pPr>
      <w:rPr>
        <w:rFonts w:hint="default"/>
        <w:lang w:val="en-US" w:eastAsia="en-US" w:bidi="ar-SA"/>
      </w:rPr>
    </w:lvl>
  </w:abstractNum>
  <w:abstractNum w:abstractNumId="68" w15:restartNumberingAfterBreak="0">
    <w:nsid w:val="54E927D9"/>
    <w:multiLevelType w:val="hybridMultilevel"/>
    <w:tmpl w:val="B352F932"/>
    <w:lvl w:ilvl="0" w:tplc="ADB0AFF8">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5F1AC02C">
      <w:numFmt w:val="bullet"/>
      <w:lvlText w:val="•"/>
      <w:lvlJc w:val="left"/>
      <w:pPr>
        <w:ind w:left="761" w:hanging="284"/>
      </w:pPr>
      <w:rPr>
        <w:rFonts w:hint="default"/>
        <w:lang w:val="en-US" w:eastAsia="en-US" w:bidi="ar-SA"/>
      </w:rPr>
    </w:lvl>
    <w:lvl w:ilvl="2" w:tplc="DD6AA63A">
      <w:numFmt w:val="bullet"/>
      <w:lvlText w:val="•"/>
      <w:lvlJc w:val="left"/>
      <w:pPr>
        <w:ind w:left="1243" w:hanging="284"/>
      </w:pPr>
      <w:rPr>
        <w:rFonts w:hint="default"/>
        <w:lang w:val="en-US" w:eastAsia="en-US" w:bidi="ar-SA"/>
      </w:rPr>
    </w:lvl>
    <w:lvl w:ilvl="3" w:tplc="69F0795A">
      <w:numFmt w:val="bullet"/>
      <w:lvlText w:val="•"/>
      <w:lvlJc w:val="left"/>
      <w:pPr>
        <w:ind w:left="1725" w:hanging="284"/>
      </w:pPr>
      <w:rPr>
        <w:rFonts w:hint="default"/>
        <w:lang w:val="en-US" w:eastAsia="en-US" w:bidi="ar-SA"/>
      </w:rPr>
    </w:lvl>
    <w:lvl w:ilvl="4" w:tplc="10422FFE">
      <w:numFmt w:val="bullet"/>
      <w:lvlText w:val="•"/>
      <w:lvlJc w:val="left"/>
      <w:pPr>
        <w:ind w:left="2206" w:hanging="284"/>
      </w:pPr>
      <w:rPr>
        <w:rFonts w:hint="default"/>
        <w:lang w:val="en-US" w:eastAsia="en-US" w:bidi="ar-SA"/>
      </w:rPr>
    </w:lvl>
    <w:lvl w:ilvl="5" w:tplc="803E5B40">
      <w:numFmt w:val="bullet"/>
      <w:lvlText w:val="•"/>
      <w:lvlJc w:val="left"/>
      <w:pPr>
        <w:ind w:left="2688" w:hanging="284"/>
      </w:pPr>
      <w:rPr>
        <w:rFonts w:hint="default"/>
        <w:lang w:val="en-US" w:eastAsia="en-US" w:bidi="ar-SA"/>
      </w:rPr>
    </w:lvl>
    <w:lvl w:ilvl="6" w:tplc="3C0C1E34">
      <w:numFmt w:val="bullet"/>
      <w:lvlText w:val="•"/>
      <w:lvlJc w:val="left"/>
      <w:pPr>
        <w:ind w:left="3170" w:hanging="284"/>
      </w:pPr>
      <w:rPr>
        <w:rFonts w:hint="default"/>
        <w:lang w:val="en-US" w:eastAsia="en-US" w:bidi="ar-SA"/>
      </w:rPr>
    </w:lvl>
    <w:lvl w:ilvl="7" w:tplc="020607CE">
      <w:numFmt w:val="bullet"/>
      <w:lvlText w:val="•"/>
      <w:lvlJc w:val="left"/>
      <w:pPr>
        <w:ind w:left="3651" w:hanging="284"/>
      </w:pPr>
      <w:rPr>
        <w:rFonts w:hint="default"/>
        <w:lang w:val="en-US" w:eastAsia="en-US" w:bidi="ar-SA"/>
      </w:rPr>
    </w:lvl>
    <w:lvl w:ilvl="8" w:tplc="CA826F10">
      <w:numFmt w:val="bullet"/>
      <w:lvlText w:val="•"/>
      <w:lvlJc w:val="left"/>
      <w:pPr>
        <w:ind w:left="4133" w:hanging="284"/>
      </w:pPr>
      <w:rPr>
        <w:rFonts w:hint="default"/>
        <w:lang w:val="en-US" w:eastAsia="en-US" w:bidi="ar-SA"/>
      </w:rPr>
    </w:lvl>
  </w:abstractNum>
  <w:abstractNum w:abstractNumId="69" w15:restartNumberingAfterBreak="0">
    <w:nsid w:val="56C500BA"/>
    <w:multiLevelType w:val="hybridMultilevel"/>
    <w:tmpl w:val="3C4202CA"/>
    <w:lvl w:ilvl="0" w:tplc="38E65610">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253824F4">
      <w:numFmt w:val="bullet"/>
      <w:lvlText w:val="•"/>
      <w:lvlJc w:val="left"/>
      <w:pPr>
        <w:ind w:left="1422" w:hanging="227"/>
      </w:pPr>
      <w:rPr>
        <w:rFonts w:hint="default"/>
        <w:lang w:val="en-US" w:eastAsia="en-US" w:bidi="ar-SA"/>
      </w:rPr>
    </w:lvl>
    <w:lvl w:ilvl="2" w:tplc="E7CADEE4">
      <w:numFmt w:val="bullet"/>
      <w:lvlText w:val="•"/>
      <w:lvlJc w:val="left"/>
      <w:pPr>
        <w:ind w:left="2505" w:hanging="227"/>
      </w:pPr>
      <w:rPr>
        <w:rFonts w:hint="default"/>
        <w:lang w:val="en-US" w:eastAsia="en-US" w:bidi="ar-SA"/>
      </w:rPr>
    </w:lvl>
    <w:lvl w:ilvl="3" w:tplc="66369970">
      <w:numFmt w:val="bullet"/>
      <w:lvlText w:val="•"/>
      <w:lvlJc w:val="left"/>
      <w:pPr>
        <w:ind w:left="3587" w:hanging="227"/>
      </w:pPr>
      <w:rPr>
        <w:rFonts w:hint="default"/>
        <w:lang w:val="en-US" w:eastAsia="en-US" w:bidi="ar-SA"/>
      </w:rPr>
    </w:lvl>
    <w:lvl w:ilvl="4" w:tplc="05C6E7A0">
      <w:numFmt w:val="bullet"/>
      <w:lvlText w:val="•"/>
      <w:lvlJc w:val="left"/>
      <w:pPr>
        <w:ind w:left="4670" w:hanging="227"/>
      </w:pPr>
      <w:rPr>
        <w:rFonts w:hint="default"/>
        <w:lang w:val="en-US" w:eastAsia="en-US" w:bidi="ar-SA"/>
      </w:rPr>
    </w:lvl>
    <w:lvl w:ilvl="5" w:tplc="A4025AC0">
      <w:numFmt w:val="bullet"/>
      <w:lvlText w:val="•"/>
      <w:lvlJc w:val="left"/>
      <w:pPr>
        <w:ind w:left="5752" w:hanging="227"/>
      </w:pPr>
      <w:rPr>
        <w:rFonts w:hint="default"/>
        <w:lang w:val="en-US" w:eastAsia="en-US" w:bidi="ar-SA"/>
      </w:rPr>
    </w:lvl>
    <w:lvl w:ilvl="6" w:tplc="ED101F5C">
      <w:numFmt w:val="bullet"/>
      <w:lvlText w:val="•"/>
      <w:lvlJc w:val="left"/>
      <w:pPr>
        <w:ind w:left="6835" w:hanging="227"/>
      </w:pPr>
      <w:rPr>
        <w:rFonts w:hint="default"/>
        <w:lang w:val="en-US" w:eastAsia="en-US" w:bidi="ar-SA"/>
      </w:rPr>
    </w:lvl>
    <w:lvl w:ilvl="7" w:tplc="810E8DA2">
      <w:numFmt w:val="bullet"/>
      <w:lvlText w:val="•"/>
      <w:lvlJc w:val="left"/>
      <w:pPr>
        <w:ind w:left="7917" w:hanging="227"/>
      </w:pPr>
      <w:rPr>
        <w:rFonts w:hint="default"/>
        <w:lang w:val="en-US" w:eastAsia="en-US" w:bidi="ar-SA"/>
      </w:rPr>
    </w:lvl>
    <w:lvl w:ilvl="8" w:tplc="F3A497BC">
      <w:numFmt w:val="bullet"/>
      <w:lvlText w:val="•"/>
      <w:lvlJc w:val="left"/>
      <w:pPr>
        <w:ind w:left="9000" w:hanging="227"/>
      </w:pPr>
      <w:rPr>
        <w:rFonts w:hint="default"/>
        <w:lang w:val="en-US" w:eastAsia="en-US" w:bidi="ar-SA"/>
      </w:rPr>
    </w:lvl>
  </w:abstractNum>
  <w:abstractNum w:abstractNumId="70" w15:restartNumberingAfterBreak="0">
    <w:nsid w:val="56F8318F"/>
    <w:multiLevelType w:val="hybridMultilevel"/>
    <w:tmpl w:val="CF86EA20"/>
    <w:lvl w:ilvl="0" w:tplc="562EBB00">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71CC14C2">
      <w:numFmt w:val="bullet"/>
      <w:lvlText w:val="•"/>
      <w:lvlJc w:val="left"/>
      <w:pPr>
        <w:ind w:left="1350" w:hanging="227"/>
      </w:pPr>
      <w:rPr>
        <w:rFonts w:hint="default"/>
        <w:lang w:val="en-US" w:eastAsia="en-US" w:bidi="ar-SA"/>
      </w:rPr>
    </w:lvl>
    <w:lvl w:ilvl="2" w:tplc="D6647356">
      <w:numFmt w:val="bullet"/>
      <w:lvlText w:val="•"/>
      <w:lvlJc w:val="left"/>
      <w:pPr>
        <w:ind w:left="2361" w:hanging="227"/>
      </w:pPr>
      <w:rPr>
        <w:rFonts w:hint="default"/>
        <w:lang w:val="en-US" w:eastAsia="en-US" w:bidi="ar-SA"/>
      </w:rPr>
    </w:lvl>
    <w:lvl w:ilvl="3" w:tplc="33E8B786">
      <w:numFmt w:val="bullet"/>
      <w:lvlText w:val="•"/>
      <w:lvlJc w:val="left"/>
      <w:pPr>
        <w:ind w:left="3371" w:hanging="227"/>
      </w:pPr>
      <w:rPr>
        <w:rFonts w:hint="default"/>
        <w:lang w:val="en-US" w:eastAsia="en-US" w:bidi="ar-SA"/>
      </w:rPr>
    </w:lvl>
    <w:lvl w:ilvl="4" w:tplc="311A2F96">
      <w:numFmt w:val="bullet"/>
      <w:lvlText w:val="•"/>
      <w:lvlJc w:val="left"/>
      <w:pPr>
        <w:ind w:left="4382" w:hanging="227"/>
      </w:pPr>
      <w:rPr>
        <w:rFonts w:hint="default"/>
        <w:lang w:val="en-US" w:eastAsia="en-US" w:bidi="ar-SA"/>
      </w:rPr>
    </w:lvl>
    <w:lvl w:ilvl="5" w:tplc="119E5DC4">
      <w:numFmt w:val="bullet"/>
      <w:lvlText w:val="•"/>
      <w:lvlJc w:val="left"/>
      <w:pPr>
        <w:ind w:left="5392" w:hanging="227"/>
      </w:pPr>
      <w:rPr>
        <w:rFonts w:hint="default"/>
        <w:lang w:val="en-US" w:eastAsia="en-US" w:bidi="ar-SA"/>
      </w:rPr>
    </w:lvl>
    <w:lvl w:ilvl="6" w:tplc="B36A6AC2">
      <w:numFmt w:val="bullet"/>
      <w:lvlText w:val="•"/>
      <w:lvlJc w:val="left"/>
      <w:pPr>
        <w:ind w:left="6403" w:hanging="227"/>
      </w:pPr>
      <w:rPr>
        <w:rFonts w:hint="default"/>
        <w:lang w:val="en-US" w:eastAsia="en-US" w:bidi="ar-SA"/>
      </w:rPr>
    </w:lvl>
    <w:lvl w:ilvl="7" w:tplc="EB828EC2">
      <w:numFmt w:val="bullet"/>
      <w:lvlText w:val="•"/>
      <w:lvlJc w:val="left"/>
      <w:pPr>
        <w:ind w:left="7413" w:hanging="227"/>
      </w:pPr>
      <w:rPr>
        <w:rFonts w:hint="default"/>
        <w:lang w:val="en-US" w:eastAsia="en-US" w:bidi="ar-SA"/>
      </w:rPr>
    </w:lvl>
    <w:lvl w:ilvl="8" w:tplc="27569656">
      <w:numFmt w:val="bullet"/>
      <w:lvlText w:val="•"/>
      <w:lvlJc w:val="left"/>
      <w:pPr>
        <w:ind w:left="8424" w:hanging="227"/>
      </w:pPr>
      <w:rPr>
        <w:rFonts w:hint="default"/>
        <w:lang w:val="en-US" w:eastAsia="en-US" w:bidi="ar-SA"/>
      </w:rPr>
    </w:lvl>
  </w:abstractNum>
  <w:abstractNum w:abstractNumId="71" w15:restartNumberingAfterBreak="0">
    <w:nsid w:val="57CC065C"/>
    <w:multiLevelType w:val="multilevel"/>
    <w:tmpl w:val="393E8DB6"/>
    <w:lvl w:ilvl="0">
      <w:start w:val="5"/>
      <w:numFmt w:val="decimal"/>
      <w:lvlText w:val="%1"/>
      <w:lvlJc w:val="left"/>
      <w:pPr>
        <w:ind w:left="553" w:hanging="443"/>
      </w:pPr>
      <w:rPr>
        <w:rFonts w:hint="default"/>
        <w:lang w:val="en-US" w:eastAsia="en-US" w:bidi="ar-SA"/>
      </w:rPr>
    </w:lvl>
    <w:lvl w:ilvl="1">
      <w:start w:val="1"/>
      <w:numFmt w:val="decimal"/>
      <w:lvlText w:val="%1.%2"/>
      <w:lvlJc w:val="left"/>
      <w:pPr>
        <w:ind w:left="553" w:hanging="443"/>
      </w:pPr>
      <w:rPr>
        <w:rFonts w:hint="default"/>
        <w:spacing w:val="-25"/>
        <w:w w:val="100"/>
        <w:lang w:val="en-US" w:eastAsia="en-US" w:bidi="ar-SA"/>
      </w:rPr>
    </w:lvl>
    <w:lvl w:ilvl="2">
      <w:start w:val="1"/>
      <w:numFmt w:val="decimal"/>
      <w:lvlText w:val="%1.%2.%3"/>
      <w:lvlJc w:val="left"/>
      <w:pPr>
        <w:ind w:left="710" w:hanging="601"/>
      </w:pPr>
      <w:rPr>
        <w:rFonts w:ascii="Arial" w:eastAsia="Arial" w:hAnsi="Arial" w:cs="Arial" w:hint="default"/>
        <w:b/>
        <w:bCs/>
        <w:i w:val="0"/>
        <w:iCs w:val="0"/>
        <w:color w:val="58595B"/>
        <w:spacing w:val="-1"/>
        <w:w w:val="100"/>
        <w:sz w:val="24"/>
        <w:szCs w:val="24"/>
        <w:lang w:val="en-US" w:eastAsia="en-US" w:bidi="ar-SA"/>
      </w:rPr>
    </w:lvl>
    <w:lvl w:ilvl="3">
      <w:numFmt w:val="bullet"/>
      <w:lvlText w:val="•"/>
      <w:lvlJc w:val="left"/>
      <w:pPr>
        <w:ind w:left="2881" w:hanging="601"/>
      </w:pPr>
      <w:rPr>
        <w:rFonts w:hint="default"/>
        <w:lang w:val="en-US" w:eastAsia="en-US" w:bidi="ar-SA"/>
      </w:rPr>
    </w:lvl>
    <w:lvl w:ilvl="4">
      <w:numFmt w:val="bullet"/>
      <w:lvlText w:val="•"/>
      <w:lvlJc w:val="left"/>
      <w:pPr>
        <w:ind w:left="3961" w:hanging="601"/>
      </w:pPr>
      <w:rPr>
        <w:rFonts w:hint="default"/>
        <w:lang w:val="en-US" w:eastAsia="en-US" w:bidi="ar-SA"/>
      </w:rPr>
    </w:lvl>
    <w:lvl w:ilvl="5">
      <w:numFmt w:val="bullet"/>
      <w:lvlText w:val="•"/>
      <w:lvlJc w:val="left"/>
      <w:pPr>
        <w:ind w:left="5042" w:hanging="601"/>
      </w:pPr>
      <w:rPr>
        <w:rFonts w:hint="default"/>
        <w:lang w:val="en-US" w:eastAsia="en-US" w:bidi="ar-SA"/>
      </w:rPr>
    </w:lvl>
    <w:lvl w:ilvl="6">
      <w:numFmt w:val="bullet"/>
      <w:lvlText w:val="•"/>
      <w:lvlJc w:val="left"/>
      <w:pPr>
        <w:ind w:left="6123" w:hanging="601"/>
      </w:pPr>
      <w:rPr>
        <w:rFonts w:hint="default"/>
        <w:lang w:val="en-US" w:eastAsia="en-US" w:bidi="ar-SA"/>
      </w:rPr>
    </w:lvl>
    <w:lvl w:ilvl="7">
      <w:numFmt w:val="bullet"/>
      <w:lvlText w:val="•"/>
      <w:lvlJc w:val="left"/>
      <w:pPr>
        <w:ind w:left="7203" w:hanging="601"/>
      </w:pPr>
      <w:rPr>
        <w:rFonts w:hint="default"/>
        <w:lang w:val="en-US" w:eastAsia="en-US" w:bidi="ar-SA"/>
      </w:rPr>
    </w:lvl>
    <w:lvl w:ilvl="8">
      <w:numFmt w:val="bullet"/>
      <w:lvlText w:val="•"/>
      <w:lvlJc w:val="left"/>
      <w:pPr>
        <w:ind w:left="8284" w:hanging="601"/>
      </w:pPr>
      <w:rPr>
        <w:rFonts w:hint="default"/>
        <w:lang w:val="en-US" w:eastAsia="en-US" w:bidi="ar-SA"/>
      </w:rPr>
    </w:lvl>
  </w:abstractNum>
  <w:abstractNum w:abstractNumId="72" w15:restartNumberingAfterBreak="0">
    <w:nsid w:val="59C52908"/>
    <w:multiLevelType w:val="hybridMultilevel"/>
    <w:tmpl w:val="8BD020B6"/>
    <w:lvl w:ilvl="0" w:tplc="720A871E">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F7E48624">
      <w:numFmt w:val="bullet"/>
      <w:lvlText w:val="•"/>
      <w:lvlJc w:val="left"/>
      <w:pPr>
        <w:ind w:left="1841" w:hanging="227"/>
      </w:pPr>
      <w:rPr>
        <w:rFonts w:hint="default"/>
        <w:lang w:val="en-US" w:eastAsia="en-US" w:bidi="ar-SA"/>
      </w:rPr>
    </w:lvl>
    <w:lvl w:ilvl="2" w:tplc="7F1CF43C">
      <w:numFmt w:val="bullet"/>
      <w:lvlText w:val="•"/>
      <w:lvlJc w:val="left"/>
      <w:pPr>
        <w:ind w:left="3343" w:hanging="227"/>
      </w:pPr>
      <w:rPr>
        <w:rFonts w:hint="default"/>
        <w:lang w:val="en-US" w:eastAsia="en-US" w:bidi="ar-SA"/>
      </w:rPr>
    </w:lvl>
    <w:lvl w:ilvl="3" w:tplc="5AC6BDF6">
      <w:numFmt w:val="bullet"/>
      <w:lvlText w:val="•"/>
      <w:lvlJc w:val="left"/>
      <w:pPr>
        <w:ind w:left="4845" w:hanging="227"/>
      </w:pPr>
      <w:rPr>
        <w:rFonts w:hint="default"/>
        <w:lang w:val="en-US" w:eastAsia="en-US" w:bidi="ar-SA"/>
      </w:rPr>
    </w:lvl>
    <w:lvl w:ilvl="4" w:tplc="33189176">
      <w:numFmt w:val="bullet"/>
      <w:lvlText w:val="•"/>
      <w:lvlJc w:val="left"/>
      <w:pPr>
        <w:ind w:left="6347" w:hanging="227"/>
      </w:pPr>
      <w:rPr>
        <w:rFonts w:hint="default"/>
        <w:lang w:val="en-US" w:eastAsia="en-US" w:bidi="ar-SA"/>
      </w:rPr>
    </w:lvl>
    <w:lvl w:ilvl="5" w:tplc="C28C0C86">
      <w:numFmt w:val="bullet"/>
      <w:lvlText w:val="•"/>
      <w:lvlJc w:val="left"/>
      <w:pPr>
        <w:ind w:left="7848" w:hanging="227"/>
      </w:pPr>
      <w:rPr>
        <w:rFonts w:hint="default"/>
        <w:lang w:val="en-US" w:eastAsia="en-US" w:bidi="ar-SA"/>
      </w:rPr>
    </w:lvl>
    <w:lvl w:ilvl="6" w:tplc="E4788B9A">
      <w:numFmt w:val="bullet"/>
      <w:lvlText w:val="•"/>
      <w:lvlJc w:val="left"/>
      <w:pPr>
        <w:ind w:left="9350" w:hanging="227"/>
      </w:pPr>
      <w:rPr>
        <w:rFonts w:hint="default"/>
        <w:lang w:val="en-US" w:eastAsia="en-US" w:bidi="ar-SA"/>
      </w:rPr>
    </w:lvl>
    <w:lvl w:ilvl="7" w:tplc="3D625688">
      <w:numFmt w:val="bullet"/>
      <w:lvlText w:val="•"/>
      <w:lvlJc w:val="left"/>
      <w:pPr>
        <w:ind w:left="10852" w:hanging="227"/>
      </w:pPr>
      <w:rPr>
        <w:rFonts w:hint="default"/>
        <w:lang w:val="en-US" w:eastAsia="en-US" w:bidi="ar-SA"/>
      </w:rPr>
    </w:lvl>
    <w:lvl w:ilvl="8" w:tplc="31A01934">
      <w:numFmt w:val="bullet"/>
      <w:lvlText w:val="•"/>
      <w:lvlJc w:val="left"/>
      <w:pPr>
        <w:ind w:left="12354" w:hanging="227"/>
      </w:pPr>
      <w:rPr>
        <w:rFonts w:hint="default"/>
        <w:lang w:val="en-US" w:eastAsia="en-US" w:bidi="ar-SA"/>
      </w:rPr>
    </w:lvl>
  </w:abstractNum>
  <w:abstractNum w:abstractNumId="73" w15:restartNumberingAfterBreak="0">
    <w:nsid w:val="5DC33A26"/>
    <w:multiLevelType w:val="hybridMultilevel"/>
    <w:tmpl w:val="1DC8CAAE"/>
    <w:lvl w:ilvl="0" w:tplc="316424B6">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E5F209BC">
      <w:numFmt w:val="bullet"/>
      <w:lvlText w:val="•"/>
      <w:lvlJc w:val="left"/>
      <w:pPr>
        <w:ind w:left="1422" w:hanging="227"/>
      </w:pPr>
      <w:rPr>
        <w:rFonts w:hint="default"/>
        <w:lang w:val="en-US" w:eastAsia="en-US" w:bidi="ar-SA"/>
      </w:rPr>
    </w:lvl>
    <w:lvl w:ilvl="2" w:tplc="E1BC7286">
      <w:numFmt w:val="bullet"/>
      <w:lvlText w:val="•"/>
      <w:lvlJc w:val="left"/>
      <w:pPr>
        <w:ind w:left="2505" w:hanging="227"/>
      </w:pPr>
      <w:rPr>
        <w:rFonts w:hint="default"/>
        <w:lang w:val="en-US" w:eastAsia="en-US" w:bidi="ar-SA"/>
      </w:rPr>
    </w:lvl>
    <w:lvl w:ilvl="3" w:tplc="006A27AA">
      <w:numFmt w:val="bullet"/>
      <w:lvlText w:val="•"/>
      <w:lvlJc w:val="left"/>
      <w:pPr>
        <w:ind w:left="3587" w:hanging="227"/>
      </w:pPr>
      <w:rPr>
        <w:rFonts w:hint="default"/>
        <w:lang w:val="en-US" w:eastAsia="en-US" w:bidi="ar-SA"/>
      </w:rPr>
    </w:lvl>
    <w:lvl w:ilvl="4" w:tplc="20F00092">
      <w:numFmt w:val="bullet"/>
      <w:lvlText w:val="•"/>
      <w:lvlJc w:val="left"/>
      <w:pPr>
        <w:ind w:left="4670" w:hanging="227"/>
      </w:pPr>
      <w:rPr>
        <w:rFonts w:hint="default"/>
        <w:lang w:val="en-US" w:eastAsia="en-US" w:bidi="ar-SA"/>
      </w:rPr>
    </w:lvl>
    <w:lvl w:ilvl="5" w:tplc="1DD8521E">
      <w:numFmt w:val="bullet"/>
      <w:lvlText w:val="•"/>
      <w:lvlJc w:val="left"/>
      <w:pPr>
        <w:ind w:left="5752" w:hanging="227"/>
      </w:pPr>
      <w:rPr>
        <w:rFonts w:hint="default"/>
        <w:lang w:val="en-US" w:eastAsia="en-US" w:bidi="ar-SA"/>
      </w:rPr>
    </w:lvl>
    <w:lvl w:ilvl="6" w:tplc="D9C02FEC">
      <w:numFmt w:val="bullet"/>
      <w:lvlText w:val="•"/>
      <w:lvlJc w:val="left"/>
      <w:pPr>
        <w:ind w:left="6835" w:hanging="227"/>
      </w:pPr>
      <w:rPr>
        <w:rFonts w:hint="default"/>
        <w:lang w:val="en-US" w:eastAsia="en-US" w:bidi="ar-SA"/>
      </w:rPr>
    </w:lvl>
    <w:lvl w:ilvl="7" w:tplc="BA04C9AC">
      <w:numFmt w:val="bullet"/>
      <w:lvlText w:val="•"/>
      <w:lvlJc w:val="left"/>
      <w:pPr>
        <w:ind w:left="7917" w:hanging="227"/>
      </w:pPr>
      <w:rPr>
        <w:rFonts w:hint="default"/>
        <w:lang w:val="en-US" w:eastAsia="en-US" w:bidi="ar-SA"/>
      </w:rPr>
    </w:lvl>
    <w:lvl w:ilvl="8" w:tplc="70FCEE18">
      <w:numFmt w:val="bullet"/>
      <w:lvlText w:val="•"/>
      <w:lvlJc w:val="left"/>
      <w:pPr>
        <w:ind w:left="9000" w:hanging="227"/>
      </w:pPr>
      <w:rPr>
        <w:rFonts w:hint="default"/>
        <w:lang w:val="en-US" w:eastAsia="en-US" w:bidi="ar-SA"/>
      </w:rPr>
    </w:lvl>
  </w:abstractNum>
  <w:abstractNum w:abstractNumId="74" w15:restartNumberingAfterBreak="0">
    <w:nsid w:val="603A61B4"/>
    <w:multiLevelType w:val="hybridMultilevel"/>
    <w:tmpl w:val="E2FA5268"/>
    <w:lvl w:ilvl="0" w:tplc="C878475C">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E38AEB5C">
      <w:numFmt w:val="bullet"/>
      <w:lvlText w:val="•"/>
      <w:lvlJc w:val="left"/>
      <w:pPr>
        <w:ind w:left="761" w:hanging="284"/>
      </w:pPr>
      <w:rPr>
        <w:rFonts w:hint="default"/>
        <w:lang w:val="en-US" w:eastAsia="en-US" w:bidi="ar-SA"/>
      </w:rPr>
    </w:lvl>
    <w:lvl w:ilvl="2" w:tplc="D0560A76">
      <w:numFmt w:val="bullet"/>
      <w:lvlText w:val="•"/>
      <w:lvlJc w:val="left"/>
      <w:pPr>
        <w:ind w:left="1243" w:hanging="284"/>
      </w:pPr>
      <w:rPr>
        <w:rFonts w:hint="default"/>
        <w:lang w:val="en-US" w:eastAsia="en-US" w:bidi="ar-SA"/>
      </w:rPr>
    </w:lvl>
    <w:lvl w:ilvl="3" w:tplc="B7306372">
      <w:numFmt w:val="bullet"/>
      <w:lvlText w:val="•"/>
      <w:lvlJc w:val="left"/>
      <w:pPr>
        <w:ind w:left="1725" w:hanging="284"/>
      </w:pPr>
      <w:rPr>
        <w:rFonts w:hint="default"/>
        <w:lang w:val="en-US" w:eastAsia="en-US" w:bidi="ar-SA"/>
      </w:rPr>
    </w:lvl>
    <w:lvl w:ilvl="4" w:tplc="687CC018">
      <w:numFmt w:val="bullet"/>
      <w:lvlText w:val="•"/>
      <w:lvlJc w:val="left"/>
      <w:pPr>
        <w:ind w:left="2206" w:hanging="284"/>
      </w:pPr>
      <w:rPr>
        <w:rFonts w:hint="default"/>
        <w:lang w:val="en-US" w:eastAsia="en-US" w:bidi="ar-SA"/>
      </w:rPr>
    </w:lvl>
    <w:lvl w:ilvl="5" w:tplc="0C9889D6">
      <w:numFmt w:val="bullet"/>
      <w:lvlText w:val="•"/>
      <w:lvlJc w:val="left"/>
      <w:pPr>
        <w:ind w:left="2688" w:hanging="284"/>
      </w:pPr>
      <w:rPr>
        <w:rFonts w:hint="default"/>
        <w:lang w:val="en-US" w:eastAsia="en-US" w:bidi="ar-SA"/>
      </w:rPr>
    </w:lvl>
    <w:lvl w:ilvl="6" w:tplc="4DE25786">
      <w:numFmt w:val="bullet"/>
      <w:lvlText w:val="•"/>
      <w:lvlJc w:val="left"/>
      <w:pPr>
        <w:ind w:left="3170" w:hanging="284"/>
      </w:pPr>
      <w:rPr>
        <w:rFonts w:hint="default"/>
        <w:lang w:val="en-US" w:eastAsia="en-US" w:bidi="ar-SA"/>
      </w:rPr>
    </w:lvl>
    <w:lvl w:ilvl="7" w:tplc="2B34D272">
      <w:numFmt w:val="bullet"/>
      <w:lvlText w:val="•"/>
      <w:lvlJc w:val="left"/>
      <w:pPr>
        <w:ind w:left="3651" w:hanging="284"/>
      </w:pPr>
      <w:rPr>
        <w:rFonts w:hint="default"/>
        <w:lang w:val="en-US" w:eastAsia="en-US" w:bidi="ar-SA"/>
      </w:rPr>
    </w:lvl>
    <w:lvl w:ilvl="8" w:tplc="DB34F50C">
      <w:numFmt w:val="bullet"/>
      <w:lvlText w:val="•"/>
      <w:lvlJc w:val="left"/>
      <w:pPr>
        <w:ind w:left="4133" w:hanging="284"/>
      </w:pPr>
      <w:rPr>
        <w:rFonts w:hint="default"/>
        <w:lang w:val="en-US" w:eastAsia="en-US" w:bidi="ar-SA"/>
      </w:rPr>
    </w:lvl>
  </w:abstractNum>
  <w:abstractNum w:abstractNumId="75" w15:restartNumberingAfterBreak="0">
    <w:nsid w:val="61791811"/>
    <w:multiLevelType w:val="hybridMultilevel"/>
    <w:tmpl w:val="1562902A"/>
    <w:lvl w:ilvl="0" w:tplc="147E8F72">
      <w:start w:val="1"/>
      <w:numFmt w:val="lowerLetter"/>
      <w:lvlText w:val="%1)"/>
      <w:lvlJc w:val="left"/>
      <w:pPr>
        <w:ind w:left="393" w:hanging="284"/>
      </w:pPr>
      <w:rPr>
        <w:rFonts w:ascii="Arial" w:eastAsia="Arial" w:hAnsi="Arial" w:cs="Arial" w:hint="default"/>
        <w:b w:val="0"/>
        <w:bCs w:val="0"/>
        <w:i w:val="0"/>
        <w:iCs w:val="0"/>
        <w:color w:val="231F20"/>
        <w:spacing w:val="-4"/>
        <w:w w:val="100"/>
        <w:sz w:val="24"/>
        <w:szCs w:val="24"/>
        <w:lang w:val="en-US" w:eastAsia="en-US" w:bidi="ar-SA"/>
      </w:rPr>
    </w:lvl>
    <w:lvl w:ilvl="1" w:tplc="A612A8CE">
      <w:numFmt w:val="bullet"/>
      <w:lvlText w:val="•"/>
      <w:lvlJc w:val="left"/>
      <w:pPr>
        <w:ind w:left="1476" w:hanging="284"/>
      </w:pPr>
      <w:rPr>
        <w:rFonts w:hint="default"/>
        <w:lang w:val="en-US" w:eastAsia="en-US" w:bidi="ar-SA"/>
      </w:rPr>
    </w:lvl>
    <w:lvl w:ilvl="2" w:tplc="7174F158">
      <w:numFmt w:val="bullet"/>
      <w:lvlText w:val="•"/>
      <w:lvlJc w:val="left"/>
      <w:pPr>
        <w:ind w:left="2553" w:hanging="284"/>
      </w:pPr>
      <w:rPr>
        <w:rFonts w:hint="default"/>
        <w:lang w:val="en-US" w:eastAsia="en-US" w:bidi="ar-SA"/>
      </w:rPr>
    </w:lvl>
    <w:lvl w:ilvl="3" w:tplc="3C9A65B2">
      <w:numFmt w:val="bullet"/>
      <w:lvlText w:val="•"/>
      <w:lvlJc w:val="left"/>
      <w:pPr>
        <w:ind w:left="3629" w:hanging="284"/>
      </w:pPr>
      <w:rPr>
        <w:rFonts w:hint="default"/>
        <w:lang w:val="en-US" w:eastAsia="en-US" w:bidi="ar-SA"/>
      </w:rPr>
    </w:lvl>
    <w:lvl w:ilvl="4" w:tplc="FD88DD6E">
      <w:numFmt w:val="bullet"/>
      <w:lvlText w:val="•"/>
      <w:lvlJc w:val="left"/>
      <w:pPr>
        <w:ind w:left="4706" w:hanging="284"/>
      </w:pPr>
      <w:rPr>
        <w:rFonts w:hint="default"/>
        <w:lang w:val="en-US" w:eastAsia="en-US" w:bidi="ar-SA"/>
      </w:rPr>
    </w:lvl>
    <w:lvl w:ilvl="5" w:tplc="5134B5E0">
      <w:numFmt w:val="bullet"/>
      <w:lvlText w:val="•"/>
      <w:lvlJc w:val="left"/>
      <w:pPr>
        <w:ind w:left="5782" w:hanging="284"/>
      </w:pPr>
      <w:rPr>
        <w:rFonts w:hint="default"/>
        <w:lang w:val="en-US" w:eastAsia="en-US" w:bidi="ar-SA"/>
      </w:rPr>
    </w:lvl>
    <w:lvl w:ilvl="6" w:tplc="CF2EB866">
      <w:numFmt w:val="bullet"/>
      <w:lvlText w:val="•"/>
      <w:lvlJc w:val="left"/>
      <w:pPr>
        <w:ind w:left="6859" w:hanging="284"/>
      </w:pPr>
      <w:rPr>
        <w:rFonts w:hint="default"/>
        <w:lang w:val="en-US" w:eastAsia="en-US" w:bidi="ar-SA"/>
      </w:rPr>
    </w:lvl>
    <w:lvl w:ilvl="7" w:tplc="970417A8">
      <w:numFmt w:val="bullet"/>
      <w:lvlText w:val="•"/>
      <w:lvlJc w:val="left"/>
      <w:pPr>
        <w:ind w:left="7935" w:hanging="284"/>
      </w:pPr>
      <w:rPr>
        <w:rFonts w:hint="default"/>
        <w:lang w:val="en-US" w:eastAsia="en-US" w:bidi="ar-SA"/>
      </w:rPr>
    </w:lvl>
    <w:lvl w:ilvl="8" w:tplc="E4529F02">
      <w:numFmt w:val="bullet"/>
      <w:lvlText w:val="•"/>
      <w:lvlJc w:val="left"/>
      <w:pPr>
        <w:ind w:left="9012" w:hanging="284"/>
      </w:pPr>
      <w:rPr>
        <w:rFonts w:hint="default"/>
        <w:lang w:val="en-US" w:eastAsia="en-US" w:bidi="ar-SA"/>
      </w:rPr>
    </w:lvl>
  </w:abstractNum>
  <w:abstractNum w:abstractNumId="76" w15:restartNumberingAfterBreak="0">
    <w:nsid w:val="61D03141"/>
    <w:multiLevelType w:val="multilevel"/>
    <w:tmpl w:val="76EA7024"/>
    <w:lvl w:ilvl="0">
      <w:start w:val="7"/>
      <w:numFmt w:val="decimal"/>
      <w:lvlText w:val="%1"/>
      <w:lvlJc w:val="left"/>
      <w:pPr>
        <w:ind w:left="673" w:hanging="564"/>
      </w:pPr>
      <w:rPr>
        <w:rFonts w:hint="default"/>
        <w:lang w:val="en-US" w:eastAsia="en-US" w:bidi="ar-SA"/>
      </w:rPr>
    </w:lvl>
    <w:lvl w:ilvl="1">
      <w:start w:val="2"/>
      <w:numFmt w:val="decimal"/>
      <w:lvlText w:val="%1.%2"/>
      <w:lvlJc w:val="left"/>
      <w:pPr>
        <w:ind w:left="673" w:hanging="564"/>
      </w:pPr>
      <w:rPr>
        <w:rFonts w:hint="default"/>
        <w:lang w:val="en-US" w:eastAsia="en-US" w:bidi="ar-SA"/>
      </w:rPr>
    </w:lvl>
    <w:lvl w:ilvl="2">
      <w:start w:val="1"/>
      <w:numFmt w:val="decimal"/>
      <w:lvlText w:val="%1.%2.%3"/>
      <w:lvlJc w:val="left"/>
      <w:pPr>
        <w:ind w:left="673" w:hanging="564"/>
      </w:pPr>
      <w:rPr>
        <w:rFonts w:ascii="Arial" w:eastAsia="Arial" w:hAnsi="Arial" w:cs="Arial" w:hint="default"/>
        <w:b/>
        <w:bCs/>
        <w:i w:val="0"/>
        <w:iCs w:val="0"/>
        <w:color w:val="231F20"/>
        <w:spacing w:val="-24"/>
        <w:w w:val="100"/>
        <w:sz w:val="24"/>
        <w:szCs w:val="24"/>
        <w:lang w:val="en-US" w:eastAsia="en-US" w:bidi="ar-SA"/>
      </w:rPr>
    </w:lvl>
    <w:lvl w:ilvl="3">
      <w:numFmt w:val="bullet"/>
      <w:lvlText w:val="•"/>
      <w:lvlJc w:val="left"/>
      <w:pPr>
        <w:ind w:left="3603" w:hanging="564"/>
      </w:pPr>
      <w:rPr>
        <w:rFonts w:hint="default"/>
        <w:lang w:val="en-US" w:eastAsia="en-US" w:bidi="ar-SA"/>
      </w:rPr>
    </w:lvl>
    <w:lvl w:ilvl="4">
      <w:numFmt w:val="bullet"/>
      <w:lvlText w:val="•"/>
      <w:lvlJc w:val="left"/>
      <w:pPr>
        <w:ind w:left="4578" w:hanging="564"/>
      </w:pPr>
      <w:rPr>
        <w:rFonts w:hint="default"/>
        <w:lang w:val="en-US" w:eastAsia="en-US" w:bidi="ar-SA"/>
      </w:rPr>
    </w:lvl>
    <w:lvl w:ilvl="5">
      <w:numFmt w:val="bullet"/>
      <w:lvlText w:val="•"/>
      <w:lvlJc w:val="left"/>
      <w:pPr>
        <w:ind w:left="5552" w:hanging="564"/>
      </w:pPr>
      <w:rPr>
        <w:rFonts w:hint="default"/>
        <w:lang w:val="en-US" w:eastAsia="en-US" w:bidi="ar-SA"/>
      </w:rPr>
    </w:lvl>
    <w:lvl w:ilvl="6">
      <w:numFmt w:val="bullet"/>
      <w:lvlText w:val="•"/>
      <w:lvlJc w:val="left"/>
      <w:pPr>
        <w:ind w:left="6527" w:hanging="564"/>
      </w:pPr>
      <w:rPr>
        <w:rFonts w:hint="default"/>
        <w:lang w:val="en-US" w:eastAsia="en-US" w:bidi="ar-SA"/>
      </w:rPr>
    </w:lvl>
    <w:lvl w:ilvl="7">
      <w:numFmt w:val="bullet"/>
      <w:lvlText w:val="•"/>
      <w:lvlJc w:val="left"/>
      <w:pPr>
        <w:ind w:left="7501" w:hanging="564"/>
      </w:pPr>
      <w:rPr>
        <w:rFonts w:hint="default"/>
        <w:lang w:val="en-US" w:eastAsia="en-US" w:bidi="ar-SA"/>
      </w:rPr>
    </w:lvl>
    <w:lvl w:ilvl="8">
      <w:numFmt w:val="bullet"/>
      <w:lvlText w:val="•"/>
      <w:lvlJc w:val="left"/>
      <w:pPr>
        <w:ind w:left="8476" w:hanging="564"/>
      </w:pPr>
      <w:rPr>
        <w:rFonts w:hint="default"/>
        <w:lang w:val="en-US" w:eastAsia="en-US" w:bidi="ar-SA"/>
      </w:rPr>
    </w:lvl>
  </w:abstractNum>
  <w:abstractNum w:abstractNumId="77" w15:restartNumberingAfterBreak="0">
    <w:nsid w:val="62CF5886"/>
    <w:multiLevelType w:val="hybridMultilevel"/>
    <w:tmpl w:val="C00C3E76"/>
    <w:lvl w:ilvl="0" w:tplc="C1A45344">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A8E4AD8E">
      <w:numFmt w:val="bullet"/>
      <w:lvlText w:val="•"/>
      <w:lvlJc w:val="left"/>
      <w:pPr>
        <w:ind w:left="1350" w:hanging="227"/>
      </w:pPr>
      <w:rPr>
        <w:rFonts w:hint="default"/>
        <w:lang w:val="en-US" w:eastAsia="en-US" w:bidi="ar-SA"/>
      </w:rPr>
    </w:lvl>
    <w:lvl w:ilvl="2" w:tplc="B0505928">
      <w:numFmt w:val="bullet"/>
      <w:lvlText w:val="•"/>
      <w:lvlJc w:val="left"/>
      <w:pPr>
        <w:ind w:left="2361" w:hanging="227"/>
      </w:pPr>
      <w:rPr>
        <w:rFonts w:hint="default"/>
        <w:lang w:val="en-US" w:eastAsia="en-US" w:bidi="ar-SA"/>
      </w:rPr>
    </w:lvl>
    <w:lvl w:ilvl="3" w:tplc="BBE00D16">
      <w:numFmt w:val="bullet"/>
      <w:lvlText w:val="•"/>
      <w:lvlJc w:val="left"/>
      <w:pPr>
        <w:ind w:left="3371" w:hanging="227"/>
      </w:pPr>
      <w:rPr>
        <w:rFonts w:hint="default"/>
        <w:lang w:val="en-US" w:eastAsia="en-US" w:bidi="ar-SA"/>
      </w:rPr>
    </w:lvl>
    <w:lvl w:ilvl="4" w:tplc="5AD2C16E">
      <w:numFmt w:val="bullet"/>
      <w:lvlText w:val="•"/>
      <w:lvlJc w:val="left"/>
      <w:pPr>
        <w:ind w:left="4382" w:hanging="227"/>
      </w:pPr>
      <w:rPr>
        <w:rFonts w:hint="default"/>
        <w:lang w:val="en-US" w:eastAsia="en-US" w:bidi="ar-SA"/>
      </w:rPr>
    </w:lvl>
    <w:lvl w:ilvl="5" w:tplc="450A098E">
      <w:numFmt w:val="bullet"/>
      <w:lvlText w:val="•"/>
      <w:lvlJc w:val="left"/>
      <w:pPr>
        <w:ind w:left="5392" w:hanging="227"/>
      </w:pPr>
      <w:rPr>
        <w:rFonts w:hint="default"/>
        <w:lang w:val="en-US" w:eastAsia="en-US" w:bidi="ar-SA"/>
      </w:rPr>
    </w:lvl>
    <w:lvl w:ilvl="6" w:tplc="0DD29FC0">
      <w:numFmt w:val="bullet"/>
      <w:lvlText w:val="•"/>
      <w:lvlJc w:val="left"/>
      <w:pPr>
        <w:ind w:left="6403" w:hanging="227"/>
      </w:pPr>
      <w:rPr>
        <w:rFonts w:hint="default"/>
        <w:lang w:val="en-US" w:eastAsia="en-US" w:bidi="ar-SA"/>
      </w:rPr>
    </w:lvl>
    <w:lvl w:ilvl="7" w:tplc="2458C6BE">
      <w:numFmt w:val="bullet"/>
      <w:lvlText w:val="•"/>
      <w:lvlJc w:val="left"/>
      <w:pPr>
        <w:ind w:left="7413" w:hanging="227"/>
      </w:pPr>
      <w:rPr>
        <w:rFonts w:hint="default"/>
        <w:lang w:val="en-US" w:eastAsia="en-US" w:bidi="ar-SA"/>
      </w:rPr>
    </w:lvl>
    <w:lvl w:ilvl="8" w:tplc="F21CC7E0">
      <w:numFmt w:val="bullet"/>
      <w:lvlText w:val="•"/>
      <w:lvlJc w:val="left"/>
      <w:pPr>
        <w:ind w:left="8424" w:hanging="227"/>
      </w:pPr>
      <w:rPr>
        <w:rFonts w:hint="default"/>
        <w:lang w:val="en-US" w:eastAsia="en-US" w:bidi="ar-SA"/>
      </w:rPr>
    </w:lvl>
  </w:abstractNum>
  <w:abstractNum w:abstractNumId="78" w15:restartNumberingAfterBreak="0">
    <w:nsid w:val="64833596"/>
    <w:multiLevelType w:val="hybridMultilevel"/>
    <w:tmpl w:val="192880B6"/>
    <w:lvl w:ilvl="0" w:tplc="6060B9A0">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C6ECE5DC">
      <w:numFmt w:val="bullet"/>
      <w:lvlText w:val="•"/>
      <w:lvlJc w:val="left"/>
      <w:pPr>
        <w:ind w:left="1476" w:hanging="284"/>
      </w:pPr>
      <w:rPr>
        <w:rFonts w:hint="default"/>
        <w:lang w:val="en-US" w:eastAsia="en-US" w:bidi="ar-SA"/>
      </w:rPr>
    </w:lvl>
    <w:lvl w:ilvl="2" w:tplc="A5508CC4">
      <w:numFmt w:val="bullet"/>
      <w:lvlText w:val="•"/>
      <w:lvlJc w:val="left"/>
      <w:pPr>
        <w:ind w:left="2553" w:hanging="284"/>
      </w:pPr>
      <w:rPr>
        <w:rFonts w:hint="default"/>
        <w:lang w:val="en-US" w:eastAsia="en-US" w:bidi="ar-SA"/>
      </w:rPr>
    </w:lvl>
    <w:lvl w:ilvl="3" w:tplc="D93E9C76">
      <w:numFmt w:val="bullet"/>
      <w:lvlText w:val="•"/>
      <w:lvlJc w:val="left"/>
      <w:pPr>
        <w:ind w:left="3629" w:hanging="284"/>
      </w:pPr>
      <w:rPr>
        <w:rFonts w:hint="default"/>
        <w:lang w:val="en-US" w:eastAsia="en-US" w:bidi="ar-SA"/>
      </w:rPr>
    </w:lvl>
    <w:lvl w:ilvl="4" w:tplc="DDE2AC78">
      <w:numFmt w:val="bullet"/>
      <w:lvlText w:val="•"/>
      <w:lvlJc w:val="left"/>
      <w:pPr>
        <w:ind w:left="4706" w:hanging="284"/>
      </w:pPr>
      <w:rPr>
        <w:rFonts w:hint="default"/>
        <w:lang w:val="en-US" w:eastAsia="en-US" w:bidi="ar-SA"/>
      </w:rPr>
    </w:lvl>
    <w:lvl w:ilvl="5" w:tplc="2CB8F940">
      <w:numFmt w:val="bullet"/>
      <w:lvlText w:val="•"/>
      <w:lvlJc w:val="left"/>
      <w:pPr>
        <w:ind w:left="5782" w:hanging="284"/>
      </w:pPr>
      <w:rPr>
        <w:rFonts w:hint="default"/>
        <w:lang w:val="en-US" w:eastAsia="en-US" w:bidi="ar-SA"/>
      </w:rPr>
    </w:lvl>
    <w:lvl w:ilvl="6" w:tplc="B3C2A7A6">
      <w:numFmt w:val="bullet"/>
      <w:lvlText w:val="•"/>
      <w:lvlJc w:val="left"/>
      <w:pPr>
        <w:ind w:left="6859" w:hanging="284"/>
      </w:pPr>
      <w:rPr>
        <w:rFonts w:hint="default"/>
        <w:lang w:val="en-US" w:eastAsia="en-US" w:bidi="ar-SA"/>
      </w:rPr>
    </w:lvl>
    <w:lvl w:ilvl="7" w:tplc="01625810">
      <w:numFmt w:val="bullet"/>
      <w:lvlText w:val="•"/>
      <w:lvlJc w:val="left"/>
      <w:pPr>
        <w:ind w:left="7935" w:hanging="284"/>
      </w:pPr>
      <w:rPr>
        <w:rFonts w:hint="default"/>
        <w:lang w:val="en-US" w:eastAsia="en-US" w:bidi="ar-SA"/>
      </w:rPr>
    </w:lvl>
    <w:lvl w:ilvl="8" w:tplc="D3B68772">
      <w:numFmt w:val="bullet"/>
      <w:lvlText w:val="•"/>
      <w:lvlJc w:val="left"/>
      <w:pPr>
        <w:ind w:left="9012" w:hanging="284"/>
      </w:pPr>
      <w:rPr>
        <w:rFonts w:hint="default"/>
        <w:lang w:val="en-US" w:eastAsia="en-US" w:bidi="ar-SA"/>
      </w:rPr>
    </w:lvl>
  </w:abstractNum>
  <w:abstractNum w:abstractNumId="79" w15:restartNumberingAfterBreak="0">
    <w:nsid w:val="64957D56"/>
    <w:multiLevelType w:val="hybridMultilevel"/>
    <w:tmpl w:val="59E627EA"/>
    <w:lvl w:ilvl="0" w:tplc="9E54AD14">
      <w:start w:val="1"/>
      <w:numFmt w:val="lowerLetter"/>
      <w:lvlText w:val="(%1)"/>
      <w:lvlJc w:val="left"/>
      <w:pPr>
        <w:ind w:left="393" w:hanging="288"/>
      </w:pPr>
      <w:rPr>
        <w:rFonts w:ascii="Arial" w:eastAsia="Arial" w:hAnsi="Arial" w:cs="Arial" w:hint="default"/>
        <w:b w:val="0"/>
        <w:bCs w:val="0"/>
        <w:i w:val="0"/>
        <w:iCs w:val="0"/>
        <w:color w:val="231F20"/>
        <w:spacing w:val="-4"/>
        <w:w w:val="100"/>
        <w:sz w:val="22"/>
        <w:szCs w:val="22"/>
        <w:lang w:val="en-US" w:eastAsia="en-US" w:bidi="ar-SA"/>
      </w:rPr>
    </w:lvl>
    <w:lvl w:ilvl="1" w:tplc="8912F0D6">
      <w:numFmt w:val="bullet"/>
      <w:lvlText w:val="•"/>
      <w:lvlJc w:val="left"/>
      <w:pPr>
        <w:ind w:left="1476" w:hanging="288"/>
      </w:pPr>
      <w:rPr>
        <w:rFonts w:hint="default"/>
        <w:lang w:val="en-US" w:eastAsia="en-US" w:bidi="ar-SA"/>
      </w:rPr>
    </w:lvl>
    <w:lvl w:ilvl="2" w:tplc="D7427C7A">
      <w:numFmt w:val="bullet"/>
      <w:lvlText w:val="•"/>
      <w:lvlJc w:val="left"/>
      <w:pPr>
        <w:ind w:left="2553" w:hanging="288"/>
      </w:pPr>
      <w:rPr>
        <w:rFonts w:hint="default"/>
        <w:lang w:val="en-US" w:eastAsia="en-US" w:bidi="ar-SA"/>
      </w:rPr>
    </w:lvl>
    <w:lvl w:ilvl="3" w:tplc="C7DCBAFC">
      <w:numFmt w:val="bullet"/>
      <w:lvlText w:val="•"/>
      <w:lvlJc w:val="left"/>
      <w:pPr>
        <w:ind w:left="3629" w:hanging="288"/>
      </w:pPr>
      <w:rPr>
        <w:rFonts w:hint="default"/>
        <w:lang w:val="en-US" w:eastAsia="en-US" w:bidi="ar-SA"/>
      </w:rPr>
    </w:lvl>
    <w:lvl w:ilvl="4" w:tplc="D0D4DFBC">
      <w:numFmt w:val="bullet"/>
      <w:lvlText w:val="•"/>
      <w:lvlJc w:val="left"/>
      <w:pPr>
        <w:ind w:left="4706" w:hanging="288"/>
      </w:pPr>
      <w:rPr>
        <w:rFonts w:hint="default"/>
        <w:lang w:val="en-US" w:eastAsia="en-US" w:bidi="ar-SA"/>
      </w:rPr>
    </w:lvl>
    <w:lvl w:ilvl="5" w:tplc="ED3CCD88">
      <w:numFmt w:val="bullet"/>
      <w:lvlText w:val="•"/>
      <w:lvlJc w:val="left"/>
      <w:pPr>
        <w:ind w:left="5782" w:hanging="288"/>
      </w:pPr>
      <w:rPr>
        <w:rFonts w:hint="default"/>
        <w:lang w:val="en-US" w:eastAsia="en-US" w:bidi="ar-SA"/>
      </w:rPr>
    </w:lvl>
    <w:lvl w:ilvl="6" w:tplc="77381208">
      <w:numFmt w:val="bullet"/>
      <w:lvlText w:val="•"/>
      <w:lvlJc w:val="left"/>
      <w:pPr>
        <w:ind w:left="6859" w:hanging="288"/>
      </w:pPr>
      <w:rPr>
        <w:rFonts w:hint="default"/>
        <w:lang w:val="en-US" w:eastAsia="en-US" w:bidi="ar-SA"/>
      </w:rPr>
    </w:lvl>
    <w:lvl w:ilvl="7" w:tplc="F9DE620A">
      <w:numFmt w:val="bullet"/>
      <w:lvlText w:val="•"/>
      <w:lvlJc w:val="left"/>
      <w:pPr>
        <w:ind w:left="7935" w:hanging="288"/>
      </w:pPr>
      <w:rPr>
        <w:rFonts w:hint="default"/>
        <w:lang w:val="en-US" w:eastAsia="en-US" w:bidi="ar-SA"/>
      </w:rPr>
    </w:lvl>
    <w:lvl w:ilvl="8" w:tplc="9250A8EA">
      <w:numFmt w:val="bullet"/>
      <w:lvlText w:val="•"/>
      <w:lvlJc w:val="left"/>
      <w:pPr>
        <w:ind w:left="9012" w:hanging="288"/>
      </w:pPr>
      <w:rPr>
        <w:rFonts w:hint="default"/>
        <w:lang w:val="en-US" w:eastAsia="en-US" w:bidi="ar-SA"/>
      </w:rPr>
    </w:lvl>
  </w:abstractNum>
  <w:abstractNum w:abstractNumId="80" w15:restartNumberingAfterBreak="0">
    <w:nsid w:val="64962A23"/>
    <w:multiLevelType w:val="hybridMultilevel"/>
    <w:tmpl w:val="90E8B738"/>
    <w:lvl w:ilvl="0" w:tplc="51220C56">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BD62E5FA">
      <w:numFmt w:val="bullet"/>
      <w:lvlText w:val="•"/>
      <w:lvlJc w:val="left"/>
      <w:pPr>
        <w:ind w:left="1422" w:hanging="227"/>
      </w:pPr>
      <w:rPr>
        <w:rFonts w:hint="default"/>
        <w:lang w:val="en-US" w:eastAsia="en-US" w:bidi="ar-SA"/>
      </w:rPr>
    </w:lvl>
    <w:lvl w:ilvl="2" w:tplc="63ECBB24">
      <w:numFmt w:val="bullet"/>
      <w:lvlText w:val="•"/>
      <w:lvlJc w:val="left"/>
      <w:pPr>
        <w:ind w:left="2505" w:hanging="227"/>
      </w:pPr>
      <w:rPr>
        <w:rFonts w:hint="default"/>
        <w:lang w:val="en-US" w:eastAsia="en-US" w:bidi="ar-SA"/>
      </w:rPr>
    </w:lvl>
    <w:lvl w:ilvl="3" w:tplc="FD9C1460">
      <w:numFmt w:val="bullet"/>
      <w:lvlText w:val="•"/>
      <w:lvlJc w:val="left"/>
      <w:pPr>
        <w:ind w:left="3587" w:hanging="227"/>
      </w:pPr>
      <w:rPr>
        <w:rFonts w:hint="default"/>
        <w:lang w:val="en-US" w:eastAsia="en-US" w:bidi="ar-SA"/>
      </w:rPr>
    </w:lvl>
    <w:lvl w:ilvl="4" w:tplc="2E9CA2AE">
      <w:numFmt w:val="bullet"/>
      <w:lvlText w:val="•"/>
      <w:lvlJc w:val="left"/>
      <w:pPr>
        <w:ind w:left="4670" w:hanging="227"/>
      </w:pPr>
      <w:rPr>
        <w:rFonts w:hint="default"/>
        <w:lang w:val="en-US" w:eastAsia="en-US" w:bidi="ar-SA"/>
      </w:rPr>
    </w:lvl>
    <w:lvl w:ilvl="5" w:tplc="5D40DA9E">
      <w:numFmt w:val="bullet"/>
      <w:lvlText w:val="•"/>
      <w:lvlJc w:val="left"/>
      <w:pPr>
        <w:ind w:left="5752" w:hanging="227"/>
      </w:pPr>
      <w:rPr>
        <w:rFonts w:hint="default"/>
        <w:lang w:val="en-US" w:eastAsia="en-US" w:bidi="ar-SA"/>
      </w:rPr>
    </w:lvl>
    <w:lvl w:ilvl="6" w:tplc="A31AA380">
      <w:numFmt w:val="bullet"/>
      <w:lvlText w:val="•"/>
      <w:lvlJc w:val="left"/>
      <w:pPr>
        <w:ind w:left="6835" w:hanging="227"/>
      </w:pPr>
      <w:rPr>
        <w:rFonts w:hint="default"/>
        <w:lang w:val="en-US" w:eastAsia="en-US" w:bidi="ar-SA"/>
      </w:rPr>
    </w:lvl>
    <w:lvl w:ilvl="7" w:tplc="1868D3CC">
      <w:numFmt w:val="bullet"/>
      <w:lvlText w:val="•"/>
      <w:lvlJc w:val="left"/>
      <w:pPr>
        <w:ind w:left="7917" w:hanging="227"/>
      </w:pPr>
      <w:rPr>
        <w:rFonts w:hint="default"/>
        <w:lang w:val="en-US" w:eastAsia="en-US" w:bidi="ar-SA"/>
      </w:rPr>
    </w:lvl>
    <w:lvl w:ilvl="8" w:tplc="EEEEB908">
      <w:numFmt w:val="bullet"/>
      <w:lvlText w:val="•"/>
      <w:lvlJc w:val="left"/>
      <w:pPr>
        <w:ind w:left="9000" w:hanging="227"/>
      </w:pPr>
      <w:rPr>
        <w:rFonts w:hint="default"/>
        <w:lang w:val="en-US" w:eastAsia="en-US" w:bidi="ar-SA"/>
      </w:rPr>
    </w:lvl>
  </w:abstractNum>
  <w:abstractNum w:abstractNumId="81" w15:restartNumberingAfterBreak="0">
    <w:nsid w:val="697B54E0"/>
    <w:multiLevelType w:val="hybridMultilevel"/>
    <w:tmpl w:val="DD9C4480"/>
    <w:lvl w:ilvl="0" w:tplc="72F23FE8">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3484380A">
      <w:numFmt w:val="bullet"/>
      <w:lvlText w:val="•"/>
      <w:lvlJc w:val="left"/>
      <w:pPr>
        <w:ind w:left="1350" w:hanging="227"/>
      </w:pPr>
      <w:rPr>
        <w:rFonts w:hint="default"/>
        <w:lang w:val="en-US" w:eastAsia="en-US" w:bidi="ar-SA"/>
      </w:rPr>
    </w:lvl>
    <w:lvl w:ilvl="2" w:tplc="2CA2C4C4">
      <w:numFmt w:val="bullet"/>
      <w:lvlText w:val="•"/>
      <w:lvlJc w:val="left"/>
      <w:pPr>
        <w:ind w:left="2361" w:hanging="227"/>
      </w:pPr>
      <w:rPr>
        <w:rFonts w:hint="default"/>
        <w:lang w:val="en-US" w:eastAsia="en-US" w:bidi="ar-SA"/>
      </w:rPr>
    </w:lvl>
    <w:lvl w:ilvl="3" w:tplc="1D605E6E">
      <w:numFmt w:val="bullet"/>
      <w:lvlText w:val="•"/>
      <w:lvlJc w:val="left"/>
      <w:pPr>
        <w:ind w:left="3371" w:hanging="227"/>
      </w:pPr>
      <w:rPr>
        <w:rFonts w:hint="default"/>
        <w:lang w:val="en-US" w:eastAsia="en-US" w:bidi="ar-SA"/>
      </w:rPr>
    </w:lvl>
    <w:lvl w:ilvl="4" w:tplc="29F056E4">
      <w:numFmt w:val="bullet"/>
      <w:lvlText w:val="•"/>
      <w:lvlJc w:val="left"/>
      <w:pPr>
        <w:ind w:left="4382" w:hanging="227"/>
      </w:pPr>
      <w:rPr>
        <w:rFonts w:hint="default"/>
        <w:lang w:val="en-US" w:eastAsia="en-US" w:bidi="ar-SA"/>
      </w:rPr>
    </w:lvl>
    <w:lvl w:ilvl="5" w:tplc="CFEC20A8">
      <w:numFmt w:val="bullet"/>
      <w:lvlText w:val="•"/>
      <w:lvlJc w:val="left"/>
      <w:pPr>
        <w:ind w:left="5392" w:hanging="227"/>
      </w:pPr>
      <w:rPr>
        <w:rFonts w:hint="default"/>
        <w:lang w:val="en-US" w:eastAsia="en-US" w:bidi="ar-SA"/>
      </w:rPr>
    </w:lvl>
    <w:lvl w:ilvl="6" w:tplc="3320E02E">
      <w:numFmt w:val="bullet"/>
      <w:lvlText w:val="•"/>
      <w:lvlJc w:val="left"/>
      <w:pPr>
        <w:ind w:left="6403" w:hanging="227"/>
      </w:pPr>
      <w:rPr>
        <w:rFonts w:hint="default"/>
        <w:lang w:val="en-US" w:eastAsia="en-US" w:bidi="ar-SA"/>
      </w:rPr>
    </w:lvl>
    <w:lvl w:ilvl="7" w:tplc="E2DA767C">
      <w:numFmt w:val="bullet"/>
      <w:lvlText w:val="•"/>
      <w:lvlJc w:val="left"/>
      <w:pPr>
        <w:ind w:left="7413" w:hanging="227"/>
      </w:pPr>
      <w:rPr>
        <w:rFonts w:hint="default"/>
        <w:lang w:val="en-US" w:eastAsia="en-US" w:bidi="ar-SA"/>
      </w:rPr>
    </w:lvl>
    <w:lvl w:ilvl="8" w:tplc="F6CEC902">
      <w:numFmt w:val="bullet"/>
      <w:lvlText w:val="•"/>
      <w:lvlJc w:val="left"/>
      <w:pPr>
        <w:ind w:left="8424" w:hanging="227"/>
      </w:pPr>
      <w:rPr>
        <w:rFonts w:hint="default"/>
        <w:lang w:val="en-US" w:eastAsia="en-US" w:bidi="ar-SA"/>
      </w:rPr>
    </w:lvl>
  </w:abstractNum>
  <w:abstractNum w:abstractNumId="82" w15:restartNumberingAfterBreak="0">
    <w:nsid w:val="6BC249C5"/>
    <w:multiLevelType w:val="hybridMultilevel"/>
    <w:tmpl w:val="9C2CBE30"/>
    <w:lvl w:ilvl="0" w:tplc="E2162B28">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F9B660E2">
      <w:numFmt w:val="bullet"/>
      <w:lvlText w:val="•"/>
      <w:lvlJc w:val="left"/>
      <w:pPr>
        <w:ind w:left="1422" w:hanging="227"/>
      </w:pPr>
      <w:rPr>
        <w:rFonts w:hint="default"/>
        <w:lang w:val="en-US" w:eastAsia="en-US" w:bidi="ar-SA"/>
      </w:rPr>
    </w:lvl>
    <w:lvl w:ilvl="2" w:tplc="2236D216">
      <w:numFmt w:val="bullet"/>
      <w:lvlText w:val="•"/>
      <w:lvlJc w:val="left"/>
      <w:pPr>
        <w:ind w:left="2505" w:hanging="227"/>
      </w:pPr>
      <w:rPr>
        <w:rFonts w:hint="default"/>
        <w:lang w:val="en-US" w:eastAsia="en-US" w:bidi="ar-SA"/>
      </w:rPr>
    </w:lvl>
    <w:lvl w:ilvl="3" w:tplc="542200DE">
      <w:numFmt w:val="bullet"/>
      <w:lvlText w:val="•"/>
      <w:lvlJc w:val="left"/>
      <w:pPr>
        <w:ind w:left="3587" w:hanging="227"/>
      </w:pPr>
      <w:rPr>
        <w:rFonts w:hint="default"/>
        <w:lang w:val="en-US" w:eastAsia="en-US" w:bidi="ar-SA"/>
      </w:rPr>
    </w:lvl>
    <w:lvl w:ilvl="4" w:tplc="7F86CD14">
      <w:numFmt w:val="bullet"/>
      <w:lvlText w:val="•"/>
      <w:lvlJc w:val="left"/>
      <w:pPr>
        <w:ind w:left="4670" w:hanging="227"/>
      </w:pPr>
      <w:rPr>
        <w:rFonts w:hint="default"/>
        <w:lang w:val="en-US" w:eastAsia="en-US" w:bidi="ar-SA"/>
      </w:rPr>
    </w:lvl>
    <w:lvl w:ilvl="5" w:tplc="F2540828">
      <w:numFmt w:val="bullet"/>
      <w:lvlText w:val="•"/>
      <w:lvlJc w:val="left"/>
      <w:pPr>
        <w:ind w:left="5752" w:hanging="227"/>
      </w:pPr>
      <w:rPr>
        <w:rFonts w:hint="default"/>
        <w:lang w:val="en-US" w:eastAsia="en-US" w:bidi="ar-SA"/>
      </w:rPr>
    </w:lvl>
    <w:lvl w:ilvl="6" w:tplc="6712781E">
      <w:numFmt w:val="bullet"/>
      <w:lvlText w:val="•"/>
      <w:lvlJc w:val="left"/>
      <w:pPr>
        <w:ind w:left="6835" w:hanging="227"/>
      </w:pPr>
      <w:rPr>
        <w:rFonts w:hint="default"/>
        <w:lang w:val="en-US" w:eastAsia="en-US" w:bidi="ar-SA"/>
      </w:rPr>
    </w:lvl>
    <w:lvl w:ilvl="7" w:tplc="8736CC42">
      <w:numFmt w:val="bullet"/>
      <w:lvlText w:val="•"/>
      <w:lvlJc w:val="left"/>
      <w:pPr>
        <w:ind w:left="7917" w:hanging="227"/>
      </w:pPr>
      <w:rPr>
        <w:rFonts w:hint="default"/>
        <w:lang w:val="en-US" w:eastAsia="en-US" w:bidi="ar-SA"/>
      </w:rPr>
    </w:lvl>
    <w:lvl w:ilvl="8" w:tplc="B28C5CD8">
      <w:numFmt w:val="bullet"/>
      <w:lvlText w:val="•"/>
      <w:lvlJc w:val="left"/>
      <w:pPr>
        <w:ind w:left="9000" w:hanging="227"/>
      </w:pPr>
      <w:rPr>
        <w:rFonts w:hint="default"/>
        <w:lang w:val="en-US" w:eastAsia="en-US" w:bidi="ar-SA"/>
      </w:rPr>
    </w:lvl>
  </w:abstractNum>
  <w:abstractNum w:abstractNumId="83" w15:restartNumberingAfterBreak="0">
    <w:nsid w:val="6D9B1857"/>
    <w:multiLevelType w:val="hybridMultilevel"/>
    <w:tmpl w:val="108C3138"/>
    <w:lvl w:ilvl="0" w:tplc="A5DA2784">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71902048">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2" w:tplc="B448E510">
      <w:numFmt w:val="bullet"/>
      <w:lvlText w:val="•"/>
      <w:lvlJc w:val="left"/>
      <w:pPr>
        <w:ind w:left="1596" w:hanging="284"/>
      </w:pPr>
      <w:rPr>
        <w:rFonts w:hint="default"/>
        <w:lang w:val="en-US" w:eastAsia="en-US" w:bidi="ar-SA"/>
      </w:rPr>
    </w:lvl>
    <w:lvl w:ilvl="3" w:tplc="18CE1D2C">
      <w:numFmt w:val="bullet"/>
      <w:lvlText w:val="•"/>
      <w:lvlJc w:val="left"/>
      <w:pPr>
        <w:ind w:left="2792" w:hanging="284"/>
      </w:pPr>
      <w:rPr>
        <w:rFonts w:hint="default"/>
        <w:lang w:val="en-US" w:eastAsia="en-US" w:bidi="ar-SA"/>
      </w:rPr>
    </w:lvl>
    <w:lvl w:ilvl="4" w:tplc="697AC806">
      <w:numFmt w:val="bullet"/>
      <w:lvlText w:val="•"/>
      <w:lvlJc w:val="left"/>
      <w:pPr>
        <w:ind w:left="3988" w:hanging="284"/>
      </w:pPr>
      <w:rPr>
        <w:rFonts w:hint="default"/>
        <w:lang w:val="en-US" w:eastAsia="en-US" w:bidi="ar-SA"/>
      </w:rPr>
    </w:lvl>
    <w:lvl w:ilvl="5" w:tplc="4482871A">
      <w:numFmt w:val="bullet"/>
      <w:lvlText w:val="•"/>
      <w:lvlJc w:val="left"/>
      <w:pPr>
        <w:ind w:left="5184" w:hanging="284"/>
      </w:pPr>
      <w:rPr>
        <w:rFonts w:hint="default"/>
        <w:lang w:val="en-US" w:eastAsia="en-US" w:bidi="ar-SA"/>
      </w:rPr>
    </w:lvl>
    <w:lvl w:ilvl="6" w:tplc="5D8C2BA8">
      <w:numFmt w:val="bullet"/>
      <w:lvlText w:val="•"/>
      <w:lvlJc w:val="left"/>
      <w:pPr>
        <w:ind w:left="6380" w:hanging="284"/>
      </w:pPr>
      <w:rPr>
        <w:rFonts w:hint="default"/>
        <w:lang w:val="en-US" w:eastAsia="en-US" w:bidi="ar-SA"/>
      </w:rPr>
    </w:lvl>
    <w:lvl w:ilvl="7" w:tplc="4454AC26">
      <w:numFmt w:val="bullet"/>
      <w:lvlText w:val="•"/>
      <w:lvlJc w:val="left"/>
      <w:pPr>
        <w:ind w:left="7577" w:hanging="284"/>
      </w:pPr>
      <w:rPr>
        <w:rFonts w:hint="default"/>
        <w:lang w:val="en-US" w:eastAsia="en-US" w:bidi="ar-SA"/>
      </w:rPr>
    </w:lvl>
    <w:lvl w:ilvl="8" w:tplc="CF520EFE">
      <w:numFmt w:val="bullet"/>
      <w:lvlText w:val="•"/>
      <w:lvlJc w:val="left"/>
      <w:pPr>
        <w:ind w:left="8773" w:hanging="284"/>
      </w:pPr>
      <w:rPr>
        <w:rFonts w:hint="default"/>
        <w:lang w:val="en-US" w:eastAsia="en-US" w:bidi="ar-SA"/>
      </w:rPr>
    </w:lvl>
  </w:abstractNum>
  <w:abstractNum w:abstractNumId="84" w15:restartNumberingAfterBreak="0">
    <w:nsid w:val="73363F18"/>
    <w:multiLevelType w:val="hybridMultilevel"/>
    <w:tmpl w:val="655AB986"/>
    <w:lvl w:ilvl="0" w:tplc="D9D41284">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D862A652">
      <w:numFmt w:val="bullet"/>
      <w:lvlText w:val="•"/>
      <w:lvlJc w:val="left"/>
      <w:pPr>
        <w:ind w:left="1350" w:hanging="227"/>
      </w:pPr>
      <w:rPr>
        <w:rFonts w:hint="default"/>
        <w:lang w:val="en-US" w:eastAsia="en-US" w:bidi="ar-SA"/>
      </w:rPr>
    </w:lvl>
    <w:lvl w:ilvl="2" w:tplc="0AEAFB74">
      <w:numFmt w:val="bullet"/>
      <w:lvlText w:val="•"/>
      <w:lvlJc w:val="left"/>
      <w:pPr>
        <w:ind w:left="2361" w:hanging="227"/>
      </w:pPr>
      <w:rPr>
        <w:rFonts w:hint="default"/>
        <w:lang w:val="en-US" w:eastAsia="en-US" w:bidi="ar-SA"/>
      </w:rPr>
    </w:lvl>
    <w:lvl w:ilvl="3" w:tplc="368889B0">
      <w:numFmt w:val="bullet"/>
      <w:lvlText w:val="•"/>
      <w:lvlJc w:val="left"/>
      <w:pPr>
        <w:ind w:left="3371" w:hanging="227"/>
      </w:pPr>
      <w:rPr>
        <w:rFonts w:hint="default"/>
        <w:lang w:val="en-US" w:eastAsia="en-US" w:bidi="ar-SA"/>
      </w:rPr>
    </w:lvl>
    <w:lvl w:ilvl="4" w:tplc="8E24869E">
      <w:numFmt w:val="bullet"/>
      <w:lvlText w:val="•"/>
      <w:lvlJc w:val="left"/>
      <w:pPr>
        <w:ind w:left="4382" w:hanging="227"/>
      </w:pPr>
      <w:rPr>
        <w:rFonts w:hint="default"/>
        <w:lang w:val="en-US" w:eastAsia="en-US" w:bidi="ar-SA"/>
      </w:rPr>
    </w:lvl>
    <w:lvl w:ilvl="5" w:tplc="D1347006">
      <w:numFmt w:val="bullet"/>
      <w:lvlText w:val="•"/>
      <w:lvlJc w:val="left"/>
      <w:pPr>
        <w:ind w:left="5392" w:hanging="227"/>
      </w:pPr>
      <w:rPr>
        <w:rFonts w:hint="default"/>
        <w:lang w:val="en-US" w:eastAsia="en-US" w:bidi="ar-SA"/>
      </w:rPr>
    </w:lvl>
    <w:lvl w:ilvl="6" w:tplc="F63ADB00">
      <w:numFmt w:val="bullet"/>
      <w:lvlText w:val="•"/>
      <w:lvlJc w:val="left"/>
      <w:pPr>
        <w:ind w:left="6403" w:hanging="227"/>
      </w:pPr>
      <w:rPr>
        <w:rFonts w:hint="default"/>
        <w:lang w:val="en-US" w:eastAsia="en-US" w:bidi="ar-SA"/>
      </w:rPr>
    </w:lvl>
    <w:lvl w:ilvl="7" w:tplc="4B3CBC5A">
      <w:numFmt w:val="bullet"/>
      <w:lvlText w:val="•"/>
      <w:lvlJc w:val="left"/>
      <w:pPr>
        <w:ind w:left="7413" w:hanging="227"/>
      </w:pPr>
      <w:rPr>
        <w:rFonts w:hint="default"/>
        <w:lang w:val="en-US" w:eastAsia="en-US" w:bidi="ar-SA"/>
      </w:rPr>
    </w:lvl>
    <w:lvl w:ilvl="8" w:tplc="6624F45C">
      <w:numFmt w:val="bullet"/>
      <w:lvlText w:val="•"/>
      <w:lvlJc w:val="left"/>
      <w:pPr>
        <w:ind w:left="8424" w:hanging="227"/>
      </w:pPr>
      <w:rPr>
        <w:rFonts w:hint="default"/>
        <w:lang w:val="en-US" w:eastAsia="en-US" w:bidi="ar-SA"/>
      </w:rPr>
    </w:lvl>
  </w:abstractNum>
  <w:abstractNum w:abstractNumId="85" w15:restartNumberingAfterBreak="0">
    <w:nsid w:val="734E35ED"/>
    <w:multiLevelType w:val="hybridMultilevel"/>
    <w:tmpl w:val="028895F8"/>
    <w:lvl w:ilvl="0" w:tplc="D4625A70">
      <w:numFmt w:val="bullet"/>
      <w:lvlText w:val="•"/>
      <w:lvlJc w:val="left"/>
      <w:pPr>
        <w:ind w:left="148" w:hanging="151"/>
      </w:pPr>
      <w:rPr>
        <w:rFonts w:ascii="Arial" w:eastAsia="Arial" w:hAnsi="Arial" w:cs="Arial" w:hint="default"/>
        <w:b/>
        <w:bCs/>
        <w:i w:val="0"/>
        <w:iCs w:val="0"/>
        <w:color w:val="231F20"/>
        <w:w w:val="100"/>
        <w:sz w:val="24"/>
        <w:szCs w:val="24"/>
        <w:lang w:val="en-US" w:eastAsia="en-US" w:bidi="ar-SA"/>
      </w:rPr>
    </w:lvl>
    <w:lvl w:ilvl="1" w:tplc="D51C10E0">
      <w:numFmt w:val="bullet"/>
      <w:lvlText w:val="•"/>
      <w:lvlJc w:val="left"/>
      <w:pPr>
        <w:ind w:left="975" w:hanging="151"/>
      </w:pPr>
      <w:rPr>
        <w:rFonts w:hint="default"/>
        <w:lang w:val="en-US" w:eastAsia="en-US" w:bidi="ar-SA"/>
      </w:rPr>
    </w:lvl>
    <w:lvl w:ilvl="2" w:tplc="CF14E440">
      <w:numFmt w:val="bullet"/>
      <w:lvlText w:val="•"/>
      <w:lvlJc w:val="left"/>
      <w:pPr>
        <w:ind w:left="1811" w:hanging="151"/>
      </w:pPr>
      <w:rPr>
        <w:rFonts w:hint="default"/>
        <w:lang w:val="en-US" w:eastAsia="en-US" w:bidi="ar-SA"/>
      </w:rPr>
    </w:lvl>
    <w:lvl w:ilvl="3" w:tplc="17AC851C">
      <w:numFmt w:val="bullet"/>
      <w:lvlText w:val="•"/>
      <w:lvlJc w:val="left"/>
      <w:pPr>
        <w:ind w:left="2647" w:hanging="151"/>
      </w:pPr>
      <w:rPr>
        <w:rFonts w:hint="default"/>
        <w:lang w:val="en-US" w:eastAsia="en-US" w:bidi="ar-SA"/>
      </w:rPr>
    </w:lvl>
    <w:lvl w:ilvl="4" w:tplc="F3EE9462">
      <w:numFmt w:val="bullet"/>
      <w:lvlText w:val="•"/>
      <w:lvlJc w:val="left"/>
      <w:pPr>
        <w:ind w:left="3483" w:hanging="151"/>
      </w:pPr>
      <w:rPr>
        <w:rFonts w:hint="default"/>
        <w:lang w:val="en-US" w:eastAsia="en-US" w:bidi="ar-SA"/>
      </w:rPr>
    </w:lvl>
    <w:lvl w:ilvl="5" w:tplc="1E145D12">
      <w:numFmt w:val="bullet"/>
      <w:lvlText w:val="•"/>
      <w:lvlJc w:val="left"/>
      <w:pPr>
        <w:ind w:left="4319" w:hanging="151"/>
      </w:pPr>
      <w:rPr>
        <w:rFonts w:hint="default"/>
        <w:lang w:val="en-US" w:eastAsia="en-US" w:bidi="ar-SA"/>
      </w:rPr>
    </w:lvl>
    <w:lvl w:ilvl="6" w:tplc="D4D0DE90">
      <w:numFmt w:val="bullet"/>
      <w:lvlText w:val="•"/>
      <w:lvlJc w:val="left"/>
      <w:pPr>
        <w:ind w:left="5154" w:hanging="151"/>
      </w:pPr>
      <w:rPr>
        <w:rFonts w:hint="default"/>
        <w:lang w:val="en-US" w:eastAsia="en-US" w:bidi="ar-SA"/>
      </w:rPr>
    </w:lvl>
    <w:lvl w:ilvl="7" w:tplc="BA3ADCE2">
      <w:numFmt w:val="bullet"/>
      <w:lvlText w:val="•"/>
      <w:lvlJc w:val="left"/>
      <w:pPr>
        <w:ind w:left="5990" w:hanging="151"/>
      </w:pPr>
      <w:rPr>
        <w:rFonts w:hint="default"/>
        <w:lang w:val="en-US" w:eastAsia="en-US" w:bidi="ar-SA"/>
      </w:rPr>
    </w:lvl>
    <w:lvl w:ilvl="8" w:tplc="6CDA6D1E">
      <w:numFmt w:val="bullet"/>
      <w:lvlText w:val="•"/>
      <w:lvlJc w:val="left"/>
      <w:pPr>
        <w:ind w:left="6826" w:hanging="151"/>
      </w:pPr>
      <w:rPr>
        <w:rFonts w:hint="default"/>
        <w:lang w:val="en-US" w:eastAsia="en-US" w:bidi="ar-SA"/>
      </w:rPr>
    </w:lvl>
  </w:abstractNum>
  <w:abstractNum w:abstractNumId="86" w15:restartNumberingAfterBreak="0">
    <w:nsid w:val="75DB2D42"/>
    <w:multiLevelType w:val="hybridMultilevel"/>
    <w:tmpl w:val="FA482216"/>
    <w:lvl w:ilvl="0" w:tplc="E67CE20A">
      <w:start w:val="1"/>
      <w:numFmt w:val="decimal"/>
      <w:lvlText w:val="%1."/>
      <w:lvlJc w:val="left"/>
      <w:pPr>
        <w:ind w:left="374" w:hanging="265"/>
      </w:pPr>
      <w:rPr>
        <w:rFonts w:ascii="Arial" w:eastAsia="Arial" w:hAnsi="Arial" w:cs="Arial" w:hint="default"/>
        <w:b w:val="0"/>
        <w:bCs w:val="0"/>
        <w:i w:val="0"/>
        <w:iCs w:val="0"/>
        <w:color w:val="231F20"/>
        <w:spacing w:val="-6"/>
        <w:w w:val="100"/>
        <w:sz w:val="14"/>
        <w:szCs w:val="14"/>
        <w:lang w:val="en-US" w:eastAsia="en-US" w:bidi="ar-SA"/>
      </w:rPr>
    </w:lvl>
    <w:lvl w:ilvl="1" w:tplc="3FB6787E">
      <w:numFmt w:val="bullet"/>
      <w:lvlText w:val="•"/>
      <w:lvlJc w:val="left"/>
      <w:pPr>
        <w:ind w:left="1386" w:hanging="265"/>
      </w:pPr>
      <w:rPr>
        <w:rFonts w:hint="default"/>
        <w:lang w:val="en-US" w:eastAsia="en-US" w:bidi="ar-SA"/>
      </w:rPr>
    </w:lvl>
    <w:lvl w:ilvl="2" w:tplc="17BA7E9E">
      <w:numFmt w:val="bullet"/>
      <w:lvlText w:val="•"/>
      <w:lvlJc w:val="left"/>
      <w:pPr>
        <w:ind w:left="2393" w:hanging="265"/>
      </w:pPr>
      <w:rPr>
        <w:rFonts w:hint="default"/>
        <w:lang w:val="en-US" w:eastAsia="en-US" w:bidi="ar-SA"/>
      </w:rPr>
    </w:lvl>
    <w:lvl w:ilvl="3" w:tplc="E470503E">
      <w:numFmt w:val="bullet"/>
      <w:lvlText w:val="•"/>
      <w:lvlJc w:val="left"/>
      <w:pPr>
        <w:ind w:left="3399" w:hanging="265"/>
      </w:pPr>
      <w:rPr>
        <w:rFonts w:hint="default"/>
        <w:lang w:val="en-US" w:eastAsia="en-US" w:bidi="ar-SA"/>
      </w:rPr>
    </w:lvl>
    <w:lvl w:ilvl="4" w:tplc="CAB2A67E">
      <w:numFmt w:val="bullet"/>
      <w:lvlText w:val="•"/>
      <w:lvlJc w:val="left"/>
      <w:pPr>
        <w:ind w:left="4406" w:hanging="265"/>
      </w:pPr>
      <w:rPr>
        <w:rFonts w:hint="default"/>
        <w:lang w:val="en-US" w:eastAsia="en-US" w:bidi="ar-SA"/>
      </w:rPr>
    </w:lvl>
    <w:lvl w:ilvl="5" w:tplc="DFF0A4A0">
      <w:numFmt w:val="bullet"/>
      <w:lvlText w:val="•"/>
      <w:lvlJc w:val="left"/>
      <w:pPr>
        <w:ind w:left="5412" w:hanging="265"/>
      </w:pPr>
      <w:rPr>
        <w:rFonts w:hint="default"/>
        <w:lang w:val="en-US" w:eastAsia="en-US" w:bidi="ar-SA"/>
      </w:rPr>
    </w:lvl>
    <w:lvl w:ilvl="6" w:tplc="2792652E">
      <w:numFmt w:val="bullet"/>
      <w:lvlText w:val="•"/>
      <w:lvlJc w:val="left"/>
      <w:pPr>
        <w:ind w:left="6419" w:hanging="265"/>
      </w:pPr>
      <w:rPr>
        <w:rFonts w:hint="default"/>
        <w:lang w:val="en-US" w:eastAsia="en-US" w:bidi="ar-SA"/>
      </w:rPr>
    </w:lvl>
    <w:lvl w:ilvl="7" w:tplc="1DC2E900">
      <w:numFmt w:val="bullet"/>
      <w:lvlText w:val="•"/>
      <w:lvlJc w:val="left"/>
      <w:pPr>
        <w:ind w:left="7425" w:hanging="265"/>
      </w:pPr>
      <w:rPr>
        <w:rFonts w:hint="default"/>
        <w:lang w:val="en-US" w:eastAsia="en-US" w:bidi="ar-SA"/>
      </w:rPr>
    </w:lvl>
    <w:lvl w:ilvl="8" w:tplc="6AA25CEE">
      <w:numFmt w:val="bullet"/>
      <w:lvlText w:val="•"/>
      <w:lvlJc w:val="left"/>
      <w:pPr>
        <w:ind w:left="8432" w:hanging="265"/>
      </w:pPr>
      <w:rPr>
        <w:rFonts w:hint="default"/>
        <w:lang w:val="en-US" w:eastAsia="en-US" w:bidi="ar-SA"/>
      </w:rPr>
    </w:lvl>
  </w:abstractNum>
  <w:abstractNum w:abstractNumId="87" w15:restartNumberingAfterBreak="0">
    <w:nsid w:val="77775AD7"/>
    <w:multiLevelType w:val="hybridMultilevel"/>
    <w:tmpl w:val="6F70A5D0"/>
    <w:lvl w:ilvl="0" w:tplc="878A4CBA">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FC561DF6">
      <w:numFmt w:val="bullet"/>
      <w:lvlText w:val="•"/>
      <w:lvlJc w:val="left"/>
      <w:pPr>
        <w:ind w:left="1348" w:hanging="227"/>
      </w:pPr>
      <w:rPr>
        <w:rFonts w:hint="default"/>
        <w:lang w:val="en-US" w:eastAsia="en-US" w:bidi="ar-SA"/>
      </w:rPr>
    </w:lvl>
    <w:lvl w:ilvl="2" w:tplc="B46C0744">
      <w:numFmt w:val="bullet"/>
      <w:lvlText w:val="•"/>
      <w:lvlJc w:val="left"/>
      <w:pPr>
        <w:ind w:left="2357" w:hanging="227"/>
      </w:pPr>
      <w:rPr>
        <w:rFonts w:hint="default"/>
        <w:lang w:val="en-US" w:eastAsia="en-US" w:bidi="ar-SA"/>
      </w:rPr>
    </w:lvl>
    <w:lvl w:ilvl="3" w:tplc="3090561E">
      <w:numFmt w:val="bullet"/>
      <w:lvlText w:val="•"/>
      <w:lvlJc w:val="left"/>
      <w:pPr>
        <w:ind w:left="3365" w:hanging="227"/>
      </w:pPr>
      <w:rPr>
        <w:rFonts w:hint="default"/>
        <w:lang w:val="en-US" w:eastAsia="en-US" w:bidi="ar-SA"/>
      </w:rPr>
    </w:lvl>
    <w:lvl w:ilvl="4" w:tplc="583438CE">
      <w:numFmt w:val="bullet"/>
      <w:lvlText w:val="•"/>
      <w:lvlJc w:val="left"/>
      <w:pPr>
        <w:ind w:left="4374" w:hanging="227"/>
      </w:pPr>
      <w:rPr>
        <w:rFonts w:hint="default"/>
        <w:lang w:val="en-US" w:eastAsia="en-US" w:bidi="ar-SA"/>
      </w:rPr>
    </w:lvl>
    <w:lvl w:ilvl="5" w:tplc="9D927D46">
      <w:numFmt w:val="bullet"/>
      <w:lvlText w:val="•"/>
      <w:lvlJc w:val="left"/>
      <w:pPr>
        <w:ind w:left="5382" w:hanging="227"/>
      </w:pPr>
      <w:rPr>
        <w:rFonts w:hint="default"/>
        <w:lang w:val="en-US" w:eastAsia="en-US" w:bidi="ar-SA"/>
      </w:rPr>
    </w:lvl>
    <w:lvl w:ilvl="6" w:tplc="652CB9A8">
      <w:numFmt w:val="bullet"/>
      <w:lvlText w:val="•"/>
      <w:lvlJc w:val="left"/>
      <w:pPr>
        <w:ind w:left="6391" w:hanging="227"/>
      </w:pPr>
      <w:rPr>
        <w:rFonts w:hint="default"/>
        <w:lang w:val="en-US" w:eastAsia="en-US" w:bidi="ar-SA"/>
      </w:rPr>
    </w:lvl>
    <w:lvl w:ilvl="7" w:tplc="0A80239E">
      <w:numFmt w:val="bullet"/>
      <w:lvlText w:val="•"/>
      <w:lvlJc w:val="left"/>
      <w:pPr>
        <w:ind w:left="7399" w:hanging="227"/>
      </w:pPr>
      <w:rPr>
        <w:rFonts w:hint="default"/>
        <w:lang w:val="en-US" w:eastAsia="en-US" w:bidi="ar-SA"/>
      </w:rPr>
    </w:lvl>
    <w:lvl w:ilvl="8" w:tplc="B678C3B0">
      <w:numFmt w:val="bullet"/>
      <w:lvlText w:val="•"/>
      <w:lvlJc w:val="left"/>
      <w:pPr>
        <w:ind w:left="8408" w:hanging="227"/>
      </w:pPr>
      <w:rPr>
        <w:rFonts w:hint="default"/>
        <w:lang w:val="en-US" w:eastAsia="en-US" w:bidi="ar-SA"/>
      </w:rPr>
    </w:lvl>
  </w:abstractNum>
  <w:abstractNum w:abstractNumId="88" w15:restartNumberingAfterBreak="0">
    <w:nsid w:val="78843559"/>
    <w:multiLevelType w:val="hybridMultilevel"/>
    <w:tmpl w:val="9E8E5E34"/>
    <w:lvl w:ilvl="0" w:tplc="6D86246C">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BC4E7358">
      <w:numFmt w:val="bullet"/>
      <w:lvlText w:val="•"/>
      <w:lvlJc w:val="left"/>
      <w:pPr>
        <w:ind w:left="1101" w:hanging="284"/>
      </w:pPr>
      <w:rPr>
        <w:rFonts w:hint="default"/>
        <w:lang w:val="en-US" w:eastAsia="en-US" w:bidi="ar-SA"/>
      </w:rPr>
    </w:lvl>
    <w:lvl w:ilvl="2" w:tplc="6088D83E">
      <w:numFmt w:val="bullet"/>
      <w:lvlText w:val="•"/>
      <w:lvlJc w:val="left"/>
      <w:pPr>
        <w:ind w:left="1923" w:hanging="284"/>
      </w:pPr>
      <w:rPr>
        <w:rFonts w:hint="default"/>
        <w:lang w:val="en-US" w:eastAsia="en-US" w:bidi="ar-SA"/>
      </w:rPr>
    </w:lvl>
    <w:lvl w:ilvl="3" w:tplc="83224CDE">
      <w:numFmt w:val="bullet"/>
      <w:lvlText w:val="•"/>
      <w:lvlJc w:val="left"/>
      <w:pPr>
        <w:ind w:left="2745" w:hanging="284"/>
      </w:pPr>
      <w:rPr>
        <w:rFonts w:hint="default"/>
        <w:lang w:val="en-US" w:eastAsia="en-US" w:bidi="ar-SA"/>
      </w:rPr>
    </w:lvl>
    <w:lvl w:ilvl="4" w:tplc="32D0C3C8">
      <w:numFmt w:val="bullet"/>
      <w:lvlText w:val="•"/>
      <w:lvlJc w:val="left"/>
      <w:pPr>
        <w:ind w:left="3567" w:hanging="284"/>
      </w:pPr>
      <w:rPr>
        <w:rFonts w:hint="default"/>
        <w:lang w:val="en-US" w:eastAsia="en-US" w:bidi="ar-SA"/>
      </w:rPr>
    </w:lvl>
    <w:lvl w:ilvl="5" w:tplc="4EA8EAE2">
      <w:numFmt w:val="bullet"/>
      <w:lvlText w:val="•"/>
      <w:lvlJc w:val="left"/>
      <w:pPr>
        <w:ind w:left="4389" w:hanging="284"/>
      </w:pPr>
      <w:rPr>
        <w:rFonts w:hint="default"/>
        <w:lang w:val="en-US" w:eastAsia="en-US" w:bidi="ar-SA"/>
      </w:rPr>
    </w:lvl>
    <w:lvl w:ilvl="6" w:tplc="7E40FD86">
      <w:numFmt w:val="bullet"/>
      <w:lvlText w:val="•"/>
      <w:lvlJc w:val="left"/>
      <w:pPr>
        <w:ind w:left="5211" w:hanging="284"/>
      </w:pPr>
      <w:rPr>
        <w:rFonts w:hint="default"/>
        <w:lang w:val="en-US" w:eastAsia="en-US" w:bidi="ar-SA"/>
      </w:rPr>
    </w:lvl>
    <w:lvl w:ilvl="7" w:tplc="970898AE">
      <w:numFmt w:val="bullet"/>
      <w:lvlText w:val="•"/>
      <w:lvlJc w:val="left"/>
      <w:pPr>
        <w:ind w:left="6033" w:hanging="284"/>
      </w:pPr>
      <w:rPr>
        <w:rFonts w:hint="default"/>
        <w:lang w:val="en-US" w:eastAsia="en-US" w:bidi="ar-SA"/>
      </w:rPr>
    </w:lvl>
    <w:lvl w:ilvl="8" w:tplc="E4344BFA">
      <w:numFmt w:val="bullet"/>
      <w:lvlText w:val="•"/>
      <w:lvlJc w:val="left"/>
      <w:pPr>
        <w:ind w:left="6855" w:hanging="284"/>
      </w:pPr>
      <w:rPr>
        <w:rFonts w:hint="default"/>
        <w:lang w:val="en-US" w:eastAsia="en-US" w:bidi="ar-SA"/>
      </w:rPr>
    </w:lvl>
  </w:abstractNum>
  <w:abstractNum w:abstractNumId="89" w15:restartNumberingAfterBreak="0">
    <w:nsid w:val="78BD4F9F"/>
    <w:multiLevelType w:val="hybridMultilevel"/>
    <w:tmpl w:val="80105152"/>
    <w:lvl w:ilvl="0" w:tplc="1BD06C5E">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E3AE29C8">
      <w:numFmt w:val="bullet"/>
      <w:lvlText w:val="•"/>
      <w:lvlJc w:val="left"/>
      <w:pPr>
        <w:ind w:left="1476" w:hanging="284"/>
      </w:pPr>
      <w:rPr>
        <w:rFonts w:hint="default"/>
        <w:lang w:val="en-US" w:eastAsia="en-US" w:bidi="ar-SA"/>
      </w:rPr>
    </w:lvl>
    <w:lvl w:ilvl="2" w:tplc="5A1C516E">
      <w:numFmt w:val="bullet"/>
      <w:lvlText w:val="•"/>
      <w:lvlJc w:val="left"/>
      <w:pPr>
        <w:ind w:left="2553" w:hanging="284"/>
      </w:pPr>
      <w:rPr>
        <w:rFonts w:hint="default"/>
        <w:lang w:val="en-US" w:eastAsia="en-US" w:bidi="ar-SA"/>
      </w:rPr>
    </w:lvl>
    <w:lvl w:ilvl="3" w:tplc="81948D2C">
      <w:numFmt w:val="bullet"/>
      <w:lvlText w:val="•"/>
      <w:lvlJc w:val="left"/>
      <w:pPr>
        <w:ind w:left="3629" w:hanging="284"/>
      </w:pPr>
      <w:rPr>
        <w:rFonts w:hint="default"/>
        <w:lang w:val="en-US" w:eastAsia="en-US" w:bidi="ar-SA"/>
      </w:rPr>
    </w:lvl>
    <w:lvl w:ilvl="4" w:tplc="6E4AAC14">
      <w:numFmt w:val="bullet"/>
      <w:lvlText w:val="•"/>
      <w:lvlJc w:val="left"/>
      <w:pPr>
        <w:ind w:left="4706" w:hanging="284"/>
      </w:pPr>
      <w:rPr>
        <w:rFonts w:hint="default"/>
        <w:lang w:val="en-US" w:eastAsia="en-US" w:bidi="ar-SA"/>
      </w:rPr>
    </w:lvl>
    <w:lvl w:ilvl="5" w:tplc="F29C01BE">
      <w:numFmt w:val="bullet"/>
      <w:lvlText w:val="•"/>
      <w:lvlJc w:val="left"/>
      <w:pPr>
        <w:ind w:left="5782" w:hanging="284"/>
      </w:pPr>
      <w:rPr>
        <w:rFonts w:hint="default"/>
        <w:lang w:val="en-US" w:eastAsia="en-US" w:bidi="ar-SA"/>
      </w:rPr>
    </w:lvl>
    <w:lvl w:ilvl="6" w:tplc="3FE24B0A">
      <w:numFmt w:val="bullet"/>
      <w:lvlText w:val="•"/>
      <w:lvlJc w:val="left"/>
      <w:pPr>
        <w:ind w:left="6859" w:hanging="284"/>
      </w:pPr>
      <w:rPr>
        <w:rFonts w:hint="default"/>
        <w:lang w:val="en-US" w:eastAsia="en-US" w:bidi="ar-SA"/>
      </w:rPr>
    </w:lvl>
    <w:lvl w:ilvl="7" w:tplc="1BB411B4">
      <w:numFmt w:val="bullet"/>
      <w:lvlText w:val="•"/>
      <w:lvlJc w:val="left"/>
      <w:pPr>
        <w:ind w:left="7935" w:hanging="284"/>
      </w:pPr>
      <w:rPr>
        <w:rFonts w:hint="default"/>
        <w:lang w:val="en-US" w:eastAsia="en-US" w:bidi="ar-SA"/>
      </w:rPr>
    </w:lvl>
    <w:lvl w:ilvl="8" w:tplc="81320482">
      <w:numFmt w:val="bullet"/>
      <w:lvlText w:val="•"/>
      <w:lvlJc w:val="left"/>
      <w:pPr>
        <w:ind w:left="9012" w:hanging="284"/>
      </w:pPr>
      <w:rPr>
        <w:rFonts w:hint="default"/>
        <w:lang w:val="en-US" w:eastAsia="en-US" w:bidi="ar-SA"/>
      </w:rPr>
    </w:lvl>
  </w:abstractNum>
  <w:abstractNum w:abstractNumId="90" w15:restartNumberingAfterBreak="0">
    <w:nsid w:val="79CB4661"/>
    <w:multiLevelType w:val="hybridMultilevel"/>
    <w:tmpl w:val="68FAE000"/>
    <w:lvl w:ilvl="0" w:tplc="FED02584">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83860F5C">
      <w:numFmt w:val="bullet"/>
      <w:lvlText w:val="•"/>
      <w:lvlJc w:val="left"/>
      <w:pPr>
        <w:ind w:left="1404" w:hanging="284"/>
      </w:pPr>
      <w:rPr>
        <w:rFonts w:hint="default"/>
        <w:lang w:val="en-US" w:eastAsia="en-US" w:bidi="ar-SA"/>
      </w:rPr>
    </w:lvl>
    <w:lvl w:ilvl="2" w:tplc="9754F0BC">
      <w:numFmt w:val="bullet"/>
      <w:lvlText w:val="•"/>
      <w:lvlJc w:val="left"/>
      <w:pPr>
        <w:ind w:left="2409" w:hanging="284"/>
      </w:pPr>
      <w:rPr>
        <w:rFonts w:hint="default"/>
        <w:lang w:val="en-US" w:eastAsia="en-US" w:bidi="ar-SA"/>
      </w:rPr>
    </w:lvl>
    <w:lvl w:ilvl="3" w:tplc="099E5F68">
      <w:numFmt w:val="bullet"/>
      <w:lvlText w:val="•"/>
      <w:lvlJc w:val="left"/>
      <w:pPr>
        <w:ind w:left="3413" w:hanging="284"/>
      </w:pPr>
      <w:rPr>
        <w:rFonts w:hint="default"/>
        <w:lang w:val="en-US" w:eastAsia="en-US" w:bidi="ar-SA"/>
      </w:rPr>
    </w:lvl>
    <w:lvl w:ilvl="4" w:tplc="AA2024CA">
      <w:numFmt w:val="bullet"/>
      <w:lvlText w:val="•"/>
      <w:lvlJc w:val="left"/>
      <w:pPr>
        <w:ind w:left="4418" w:hanging="284"/>
      </w:pPr>
      <w:rPr>
        <w:rFonts w:hint="default"/>
        <w:lang w:val="en-US" w:eastAsia="en-US" w:bidi="ar-SA"/>
      </w:rPr>
    </w:lvl>
    <w:lvl w:ilvl="5" w:tplc="9B604DF8">
      <w:numFmt w:val="bullet"/>
      <w:lvlText w:val="•"/>
      <w:lvlJc w:val="left"/>
      <w:pPr>
        <w:ind w:left="5422" w:hanging="284"/>
      </w:pPr>
      <w:rPr>
        <w:rFonts w:hint="default"/>
        <w:lang w:val="en-US" w:eastAsia="en-US" w:bidi="ar-SA"/>
      </w:rPr>
    </w:lvl>
    <w:lvl w:ilvl="6" w:tplc="91167AC8">
      <w:numFmt w:val="bullet"/>
      <w:lvlText w:val="•"/>
      <w:lvlJc w:val="left"/>
      <w:pPr>
        <w:ind w:left="6427" w:hanging="284"/>
      </w:pPr>
      <w:rPr>
        <w:rFonts w:hint="default"/>
        <w:lang w:val="en-US" w:eastAsia="en-US" w:bidi="ar-SA"/>
      </w:rPr>
    </w:lvl>
    <w:lvl w:ilvl="7" w:tplc="E1C6FDFA">
      <w:numFmt w:val="bullet"/>
      <w:lvlText w:val="•"/>
      <w:lvlJc w:val="left"/>
      <w:pPr>
        <w:ind w:left="7431" w:hanging="284"/>
      </w:pPr>
      <w:rPr>
        <w:rFonts w:hint="default"/>
        <w:lang w:val="en-US" w:eastAsia="en-US" w:bidi="ar-SA"/>
      </w:rPr>
    </w:lvl>
    <w:lvl w:ilvl="8" w:tplc="2AEA9B8C">
      <w:numFmt w:val="bullet"/>
      <w:lvlText w:val="•"/>
      <w:lvlJc w:val="left"/>
      <w:pPr>
        <w:ind w:left="8436" w:hanging="284"/>
      </w:pPr>
      <w:rPr>
        <w:rFonts w:hint="default"/>
        <w:lang w:val="en-US" w:eastAsia="en-US" w:bidi="ar-SA"/>
      </w:rPr>
    </w:lvl>
  </w:abstractNum>
  <w:abstractNum w:abstractNumId="91" w15:restartNumberingAfterBreak="0">
    <w:nsid w:val="7AE62B0E"/>
    <w:multiLevelType w:val="hybridMultilevel"/>
    <w:tmpl w:val="F4782E36"/>
    <w:lvl w:ilvl="0" w:tplc="34646C16">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F67C81E0">
      <w:numFmt w:val="bullet"/>
      <w:lvlText w:val="•"/>
      <w:lvlJc w:val="left"/>
      <w:pPr>
        <w:ind w:left="1101" w:hanging="284"/>
      </w:pPr>
      <w:rPr>
        <w:rFonts w:hint="default"/>
        <w:lang w:val="en-US" w:eastAsia="en-US" w:bidi="ar-SA"/>
      </w:rPr>
    </w:lvl>
    <w:lvl w:ilvl="2" w:tplc="FB5CC0A0">
      <w:numFmt w:val="bullet"/>
      <w:lvlText w:val="•"/>
      <w:lvlJc w:val="left"/>
      <w:pPr>
        <w:ind w:left="1923" w:hanging="284"/>
      </w:pPr>
      <w:rPr>
        <w:rFonts w:hint="default"/>
        <w:lang w:val="en-US" w:eastAsia="en-US" w:bidi="ar-SA"/>
      </w:rPr>
    </w:lvl>
    <w:lvl w:ilvl="3" w:tplc="3F6A516C">
      <w:numFmt w:val="bullet"/>
      <w:lvlText w:val="•"/>
      <w:lvlJc w:val="left"/>
      <w:pPr>
        <w:ind w:left="2745" w:hanging="284"/>
      </w:pPr>
      <w:rPr>
        <w:rFonts w:hint="default"/>
        <w:lang w:val="en-US" w:eastAsia="en-US" w:bidi="ar-SA"/>
      </w:rPr>
    </w:lvl>
    <w:lvl w:ilvl="4" w:tplc="1E96A52A">
      <w:numFmt w:val="bullet"/>
      <w:lvlText w:val="•"/>
      <w:lvlJc w:val="left"/>
      <w:pPr>
        <w:ind w:left="3567" w:hanging="284"/>
      </w:pPr>
      <w:rPr>
        <w:rFonts w:hint="default"/>
        <w:lang w:val="en-US" w:eastAsia="en-US" w:bidi="ar-SA"/>
      </w:rPr>
    </w:lvl>
    <w:lvl w:ilvl="5" w:tplc="D7AC9C1A">
      <w:numFmt w:val="bullet"/>
      <w:lvlText w:val="•"/>
      <w:lvlJc w:val="left"/>
      <w:pPr>
        <w:ind w:left="4389" w:hanging="284"/>
      </w:pPr>
      <w:rPr>
        <w:rFonts w:hint="default"/>
        <w:lang w:val="en-US" w:eastAsia="en-US" w:bidi="ar-SA"/>
      </w:rPr>
    </w:lvl>
    <w:lvl w:ilvl="6" w:tplc="34D427CE">
      <w:numFmt w:val="bullet"/>
      <w:lvlText w:val="•"/>
      <w:lvlJc w:val="left"/>
      <w:pPr>
        <w:ind w:left="5211" w:hanging="284"/>
      </w:pPr>
      <w:rPr>
        <w:rFonts w:hint="default"/>
        <w:lang w:val="en-US" w:eastAsia="en-US" w:bidi="ar-SA"/>
      </w:rPr>
    </w:lvl>
    <w:lvl w:ilvl="7" w:tplc="79DED180">
      <w:numFmt w:val="bullet"/>
      <w:lvlText w:val="•"/>
      <w:lvlJc w:val="left"/>
      <w:pPr>
        <w:ind w:left="6033" w:hanging="284"/>
      </w:pPr>
      <w:rPr>
        <w:rFonts w:hint="default"/>
        <w:lang w:val="en-US" w:eastAsia="en-US" w:bidi="ar-SA"/>
      </w:rPr>
    </w:lvl>
    <w:lvl w:ilvl="8" w:tplc="974EFC3A">
      <w:numFmt w:val="bullet"/>
      <w:lvlText w:val="•"/>
      <w:lvlJc w:val="left"/>
      <w:pPr>
        <w:ind w:left="6855" w:hanging="284"/>
      </w:pPr>
      <w:rPr>
        <w:rFonts w:hint="default"/>
        <w:lang w:val="en-US" w:eastAsia="en-US" w:bidi="ar-SA"/>
      </w:rPr>
    </w:lvl>
  </w:abstractNum>
  <w:abstractNum w:abstractNumId="92" w15:restartNumberingAfterBreak="0">
    <w:nsid w:val="7BB05A7F"/>
    <w:multiLevelType w:val="hybridMultilevel"/>
    <w:tmpl w:val="29F62534"/>
    <w:lvl w:ilvl="0" w:tplc="C8723FC2">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548274E8">
      <w:numFmt w:val="bullet"/>
      <w:lvlText w:val="•"/>
      <w:lvlJc w:val="left"/>
      <w:pPr>
        <w:ind w:left="1476" w:hanging="284"/>
      </w:pPr>
      <w:rPr>
        <w:rFonts w:hint="default"/>
        <w:lang w:val="en-US" w:eastAsia="en-US" w:bidi="ar-SA"/>
      </w:rPr>
    </w:lvl>
    <w:lvl w:ilvl="2" w:tplc="66BCA6E4">
      <w:numFmt w:val="bullet"/>
      <w:lvlText w:val="•"/>
      <w:lvlJc w:val="left"/>
      <w:pPr>
        <w:ind w:left="2553" w:hanging="284"/>
      </w:pPr>
      <w:rPr>
        <w:rFonts w:hint="default"/>
        <w:lang w:val="en-US" w:eastAsia="en-US" w:bidi="ar-SA"/>
      </w:rPr>
    </w:lvl>
    <w:lvl w:ilvl="3" w:tplc="F75E90A4">
      <w:numFmt w:val="bullet"/>
      <w:lvlText w:val="•"/>
      <w:lvlJc w:val="left"/>
      <w:pPr>
        <w:ind w:left="3629" w:hanging="284"/>
      </w:pPr>
      <w:rPr>
        <w:rFonts w:hint="default"/>
        <w:lang w:val="en-US" w:eastAsia="en-US" w:bidi="ar-SA"/>
      </w:rPr>
    </w:lvl>
    <w:lvl w:ilvl="4" w:tplc="5A643ED6">
      <w:numFmt w:val="bullet"/>
      <w:lvlText w:val="•"/>
      <w:lvlJc w:val="left"/>
      <w:pPr>
        <w:ind w:left="4706" w:hanging="284"/>
      </w:pPr>
      <w:rPr>
        <w:rFonts w:hint="default"/>
        <w:lang w:val="en-US" w:eastAsia="en-US" w:bidi="ar-SA"/>
      </w:rPr>
    </w:lvl>
    <w:lvl w:ilvl="5" w:tplc="00784EF0">
      <w:numFmt w:val="bullet"/>
      <w:lvlText w:val="•"/>
      <w:lvlJc w:val="left"/>
      <w:pPr>
        <w:ind w:left="5782" w:hanging="284"/>
      </w:pPr>
      <w:rPr>
        <w:rFonts w:hint="default"/>
        <w:lang w:val="en-US" w:eastAsia="en-US" w:bidi="ar-SA"/>
      </w:rPr>
    </w:lvl>
    <w:lvl w:ilvl="6" w:tplc="BD3C1908">
      <w:numFmt w:val="bullet"/>
      <w:lvlText w:val="•"/>
      <w:lvlJc w:val="left"/>
      <w:pPr>
        <w:ind w:left="6859" w:hanging="284"/>
      </w:pPr>
      <w:rPr>
        <w:rFonts w:hint="default"/>
        <w:lang w:val="en-US" w:eastAsia="en-US" w:bidi="ar-SA"/>
      </w:rPr>
    </w:lvl>
    <w:lvl w:ilvl="7" w:tplc="ACBAEDCA">
      <w:numFmt w:val="bullet"/>
      <w:lvlText w:val="•"/>
      <w:lvlJc w:val="left"/>
      <w:pPr>
        <w:ind w:left="7935" w:hanging="284"/>
      </w:pPr>
      <w:rPr>
        <w:rFonts w:hint="default"/>
        <w:lang w:val="en-US" w:eastAsia="en-US" w:bidi="ar-SA"/>
      </w:rPr>
    </w:lvl>
    <w:lvl w:ilvl="8" w:tplc="2188C2DA">
      <w:numFmt w:val="bullet"/>
      <w:lvlText w:val="•"/>
      <w:lvlJc w:val="left"/>
      <w:pPr>
        <w:ind w:left="9012" w:hanging="284"/>
      </w:pPr>
      <w:rPr>
        <w:rFonts w:hint="default"/>
        <w:lang w:val="en-US" w:eastAsia="en-US" w:bidi="ar-SA"/>
      </w:rPr>
    </w:lvl>
  </w:abstractNum>
  <w:abstractNum w:abstractNumId="93" w15:restartNumberingAfterBreak="0">
    <w:nsid w:val="7DA45213"/>
    <w:multiLevelType w:val="hybridMultilevel"/>
    <w:tmpl w:val="F126E8A0"/>
    <w:lvl w:ilvl="0" w:tplc="C4C8B51E">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D488EB90">
      <w:numFmt w:val="bullet"/>
      <w:lvlText w:val="•"/>
      <w:lvlJc w:val="left"/>
      <w:pPr>
        <w:ind w:left="1841" w:hanging="227"/>
      </w:pPr>
      <w:rPr>
        <w:rFonts w:hint="default"/>
        <w:lang w:val="en-US" w:eastAsia="en-US" w:bidi="ar-SA"/>
      </w:rPr>
    </w:lvl>
    <w:lvl w:ilvl="2" w:tplc="BAAE1A4C">
      <w:numFmt w:val="bullet"/>
      <w:lvlText w:val="•"/>
      <w:lvlJc w:val="left"/>
      <w:pPr>
        <w:ind w:left="3343" w:hanging="227"/>
      </w:pPr>
      <w:rPr>
        <w:rFonts w:hint="default"/>
        <w:lang w:val="en-US" w:eastAsia="en-US" w:bidi="ar-SA"/>
      </w:rPr>
    </w:lvl>
    <w:lvl w:ilvl="3" w:tplc="2B7A3DF2">
      <w:numFmt w:val="bullet"/>
      <w:lvlText w:val="•"/>
      <w:lvlJc w:val="left"/>
      <w:pPr>
        <w:ind w:left="4845" w:hanging="227"/>
      </w:pPr>
      <w:rPr>
        <w:rFonts w:hint="default"/>
        <w:lang w:val="en-US" w:eastAsia="en-US" w:bidi="ar-SA"/>
      </w:rPr>
    </w:lvl>
    <w:lvl w:ilvl="4" w:tplc="F81AB09C">
      <w:numFmt w:val="bullet"/>
      <w:lvlText w:val="•"/>
      <w:lvlJc w:val="left"/>
      <w:pPr>
        <w:ind w:left="6347" w:hanging="227"/>
      </w:pPr>
      <w:rPr>
        <w:rFonts w:hint="default"/>
        <w:lang w:val="en-US" w:eastAsia="en-US" w:bidi="ar-SA"/>
      </w:rPr>
    </w:lvl>
    <w:lvl w:ilvl="5" w:tplc="C8B442A8">
      <w:numFmt w:val="bullet"/>
      <w:lvlText w:val="•"/>
      <w:lvlJc w:val="left"/>
      <w:pPr>
        <w:ind w:left="7848" w:hanging="227"/>
      </w:pPr>
      <w:rPr>
        <w:rFonts w:hint="default"/>
        <w:lang w:val="en-US" w:eastAsia="en-US" w:bidi="ar-SA"/>
      </w:rPr>
    </w:lvl>
    <w:lvl w:ilvl="6" w:tplc="ABF6A486">
      <w:numFmt w:val="bullet"/>
      <w:lvlText w:val="•"/>
      <w:lvlJc w:val="left"/>
      <w:pPr>
        <w:ind w:left="9350" w:hanging="227"/>
      </w:pPr>
      <w:rPr>
        <w:rFonts w:hint="default"/>
        <w:lang w:val="en-US" w:eastAsia="en-US" w:bidi="ar-SA"/>
      </w:rPr>
    </w:lvl>
    <w:lvl w:ilvl="7" w:tplc="2BD4E2EA">
      <w:numFmt w:val="bullet"/>
      <w:lvlText w:val="•"/>
      <w:lvlJc w:val="left"/>
      <w:pPr>
        <w:ind w:left="10852" w:hanging="227"/>
      </w:pPr>
      <w:rPr>
        <w:rFonts w:hint="default"/>
        <w:lang w:val="en-US" w:eastAsia="en-US" w:bidi="ar-SA"/>
      </w:rPr>
    </w:lvl>
    <w:lvl w:ilvl="8" w:tplc="BDE222F6">
      <w:numFmt w:val="bullet"/>
      <w:lvlText w:val="•"/>
      <w:lvlJc w:val="left"/>
      <w:pPr>
        <w:ind w:left="12354" w:hanging="227"/>
      </w:pPr>
      <w:rPr>
        <w:rFonts w:hint="default"/>
        <w:lang w:val="en-US" w:eastAsia="en-US" w:bidi="ar-SA"/>
      </w:rPr>
    </w:lvl>
  </w:abstractNum>
  <w:num w:numId="1">
    <w:abstractNumId w:val="27"/>
  </w:num>
  <w:num w:numId="2">
    <w:abstractNumId w:val="5"/>
  </w:num>
  <w:num w:numId="3">
    <w:abstractNumId w:val="25"/>
  </w:num>
  <w:num w:numId="4">
    <w:abstractNumId w:val="46"/>
  </w:num>
  <w:num w:numId="5">
    <w:abstractNumId w:val="29"/>
  </w:num>
  <w:num w:numId="6">
    <w:abstractNumId w:val="23"/>
  </w:num>
  <w:num w:numId="7">
    <w:abstractNumId w:val="60"/>
  </w:num>
  <w:num w:numId="8">
    <w:abstractNumId w:val="21"/>
  </w:num>
  <w:num w:numId="9">
    <w:abstractNumId w:val="64"/>
  </w:num>
  <w:num w:numId="10">
    <w:abstractNumId w:val="52"/>
  </w:num>
  <w:num w:numId="11">
    <w:abstractNumId w:val="13"/>
  </w:num>
  <w:num w:numId="12">
    <w:abstractNumId w:val="47"/>
  </w:num>
  <w:num w:numId="13">
    <w:abstractNumId w:val="3"/>
  </w:num>
  <w:num w:numId="14">
    <w:abstractNumId w:val="14"/>
  </w:num>
  <w:num w:numId="15">
    <w:abstractNumId w:val="53"/>
  </w:num>
  <w:num w:numId="16">
    <w:abstractNumId w:val="1"/>
  </w:num>
  <w:num w:numId="17">
    <w:abstractNumId w:val="16"/>
  </w:num>
  <w:num w:numId="18">
    <w:abstractNumId w:val="87"/>
  </w:num>
  <w:num w:numId="19">
    <w:abstractNumId w:val="26"/>
  </w:num>
  <w:num w:numId="20">
    <w:abstractNumId w:val="11"/>
  </w:num>
  <w:num w:numId="21">
    <w:abstractNumId w:val="72"/>
  </w:num>
  <w:num w:numId="22">
    <w:abstractNumId w:val="93"/>
  </w:num>
  <w:num w:numId="23">
    <w:abstractNumId w:val="67"/>
  </w:num>
  <w:num w:numId="24">
    <w:abstractNumId w:val="32"/>
  </w:num>
  <w:num w:numId="25">
    <w:abstractNumId w:val="8"/>
  </w:num>
  <w:num w:numId="26">
    <w:abstractNumId w:val="66"/>
  </w:num>
  <w:num w:numId="27">
    <w:abstractNumId w:val="22"/>
  </w:num>
  <w:num w:numId="28">
    <w:abstractNumId w:val="76"/>
  </w:num>
  <w:num w:numId="29">
    <w:abstractNumId w:val="7"/>
  </w:num>
  <w:num w:numId="30">
    <w:abstractNumId w:val="42"/>
  </w:num>
  <w:num w:numId="31">
    <w:abstractNumId w:val="38"/>
  </w:num>
  <w:num w:numId="32">
    <w:abstractNumId w:val="41"/>
  </w:num>
  <w:num w:numId="33">
    <w:abstractNumId w:val="71"/>
  </w:num>
  <w:num w:numId="34">
    <w:abstractNumId w:val="58"/>
  </w:num>
  <w:num w:numId="35">
    <w:abstractNumId w:val="19"/>
  </w:num>
  <w:num w:numId="36">
    <w:abstractNumId w:val="44"/>
  </w:num>
  <w:num w:numId="37">
    <w:abstractNumId w:val="84"/>
  </w:num>
  <w:num w:numId="38">
    <w:abstractNumId w:val="39"/>
  </w:num>
  <w:num w:numId="39">
    <w:abstractNumId w:val="2"/>
  </w:num>
  <w:num w:numId="40">
    <w:abstractNumId w:val="90"/>
  </w:num>
  <w:num w:numId="41">
    <w:abstractNumId w:val="70"/>
  </w:num>
  <w:num w:numId="42">
    <w:abstractNumId w:val="81"/>
  </w:num>
  <w:num w:numId="43">
    <w:abstractNumId w:val="40"/>
  </w:num>
  <w:num w:numId="44">
    <w:abstractNumId w:val="9"/>
  </w:num>
  <w:num w:numId="45">
    <w:abstractNumId w:val="77"/>
  </w:num>
  <w:num w:numId="46">
    <w:abstractNumId w:val="86"/>
  </w:num>
  <w:num w:numId="47">
    <w:abstractNumId w:val="36"/>
  </w:num>
  <w:num w:numId="48">
    <w:abstractNumId w:val="24"/>
  </w:num>
  <w:num w:numId="49">
    <w:abstractNumId w:val="35"/>
  </w:num>
  <w:num w:numId="50">
    <w:abstractNumId w:val="73"/>
  </w:num>
  <w:num w:numId="51">
    <w:abstractNumId w:val="48"/>
  </w:num>
  <w:num w:numId="52">
    <w:abstractNumId w:val="56"/>
  </w:num>
  <w:num w:numId="53">
    <w:abstractNumId w:val="49"/>
  </w:num>
  <w:num w:numId="54">
    <w:abstractNumId w:val="43"/>
  </w:num>
  <w:num w:numId="55">
    <w:abstractNumId w:val="68"/>
  </w:num>
  <w:num w:numId="56">
    <w:abstractNumId w:val="74"/>
  </w:num>
  <w:num w:numId="57">
    <w:abstractNumId w:val="63"/>
  </w:num>
  <w:num w:numId="58">
    <w:abstractNumId w:val="83"/>
  </w:num>
  <w:num w:numId="59">
    <w:abstractNumId w:val="30"/>
  </w:num>
  <w:num w:numId="60">
    <w:abstractNumId w:val="85"/>
  </w:num>
  <w:num w:numId="61">
    <w:abstractNumId w:val="6"/>
  </w:num>
  <w:num w:numId="62">
    <w:abstractNumId w:val="65"/>
  </w:num>
  <w:num w:numId="63">
    <w:abstractNumId w:val="15"/>
  </w:num>
  <w:num w:numId="64">
    <w:abstractNumId w:val="33"/>
  </w:num>
  <w:num w:numId="65">
    <w:abstractNumId w:val="34"/>
  </w:num>
  <w:num w:numId="66">
    <w:abstractNumId w:val="88"/>
  </w:num>
  <w:num w:numId="67">
    <w:abstractNumId w:val="51"/>
  </w:num>
  <w:num w:numId="68">
    <w:abstractNumId w:val="28"/>
  </w:num>
  <w:num w:numId="69">
    <w:abstractNumId w:val="91"/>
  </w:num>
  <w:num w:numId="70">
    <w:abstractNumId w:val="55"/>
  </w:num>
  <w:num w:numId="71">
    <w:abstractNumId w:val="20"/>
  </w:num>
  <w:num w:numId="72">
    <w:abstractNumId w:val="37"/>
  </w:num>
  <w:num w:numId="73">
    <w:abstractNumId w:val="17"/>
  </w:num>
  <w:num w:numId="74">
    <w:abstractNumId w:val="75"/>
  </w:num>
  <w:num w:numId="75">
    <w:abstractNumId w:val="4"/>
  </w:num>
  <w:num w:numId="76">
    <w:abstractNumId w:val="61"/>
  </w:num>
  <w:num w:numId="77">
    <w:abstractNumId w:val="79"/>
  </w:num>
  <w:num w:numId="78">
    <w:abstractNumId w:val="18"/>
  </w:num>
  <w:num w:numId="79">
    <w:abstractNumId w:val="82"/>
  </w:num>
  <w:num w:numId="80">
    <w:abstractNumId w:val="69"/>
  </w:num>
  <w:num w:numId="81">
    <w:abstractNumId w:val="80"/>
  </w:num>
  <w:num w:numId="82">
    <w:abstractNumId w:val="57"/>
  </w:num>
  <w:num w:numId="83">
    <w:abstractNumId w:val="31"/>
  </w:num>
  <w:num w:numId="84">
    <w:abstractNumId w:val="50"/>
  </w:num>
  <w:num w:numId="85">
    <w:abstractNumId w:val="92"/>
  </w:num>
  <w:num w:numId="86">
    <w:abstractNumId w:val="59"/>
  </w:num>
  <w:num w:numId="87">
    <w:abstractNumId w:val="78"/>
  </w:num>
  <w:num w:numId="88">
    <w:abstractNumId w:val="12"/>
  </w:num>
  <w:num w:numId="89">
    <w:abstractNumId w:val="45"/>
  </w:num>
  <w:num w:numId="90">
    <w:abstractNumId w:val="62"/>
  </w:num>
  <w:num w:numId="91">
    <w:abstractNumId w:val="89"/>
  </w:num>
  <w:num w:numId="92">
    <w:abstractNumId w:val="10"/>
  </w:num>
  <w:num w:numId="93">
    <w:abstractNumId w:val="54"/>
  </w:num>
  <w:num w:numId="94">
    <w:abstractNumId w:val="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990"/>
    <w:rsid w:val="00013371"/>
    <w:rsid w:val="00023990"/>
    <w:rsid w:val="00025323"/>
    <w:rsid w:val="000407FC"/>
    <w:rsid w:val="00046BF4"/>
    <w:rsid w:val="00063BA8"/>
    <w:rsid w:val="00087AF4"/>
    <w:rsid w:val="00090D9E"/>
    <w:rsid w:val="00094B69"/>
    <w:rsid w:val="000A6EE7"/>
    <w:rsid w:val="000C235A"/>
    <w:rsid w:val="00133343"/>
    <w:rsid w:val="00143B83"/>
    <w:rsid w:val="001C106C"/>
    <w:rsid w:val="001C1380"/>
    <w:rsid w:val="001D6C72"/>
    <w:rsid w:val="0022402D"/>
    <w:rsid w:val="0023159E"/>
    <w:rsid w:val="002A27BA"/>
    <w:rsid w:val="002A3D3C"/>
    <w:rsid w:val="002B607D"/>
    <w:rsid w:val="002C440A"/>
    <w:rsid w:val="002D35D7"/>
    <w:rsid w:val="00311313"/>
    <w:rsid w:val="00345EE3"/>
    <w:rsid w:val="0035186F"/>
    <w:rsid w:val="00380B92"/>
    <w:rsid w:val="003B3C1C"/>
    <w:rsid w:val="003F496E"/>
    <w:rsid w:val="00404045"/>
    <w:rsid w:val="0042779E"/>
    <w:rsid w:val="004670F6"/>
    <w:rsid w:val="00485E73"/>
    <w:rsid w:val="004A7DD0"/>
    <w:rsid w:val="004B1009"/>
    <w:rsid w:val="004C0C7F"/>
    <w:rsid w:val="004D1B9F"/>
    <w:rsid w:val="004E4A66"/>
    <w:rsid w:val="004F2B8F"/>
    <w:rsid w:val="005175A1"/>
    <w:rsid w:val="0052306E"/>
    <w:rsid w:val="005256C1"/>
    <w:rsid w:val="0053280C"/>
    <w:rsid w:val="005342C1"/>
    <w:rsid w:val="005449B3"/>
    <w:rsid w:val="00545703"/>
    <w:rsid w:val="00546D95"/>
    <w:rsid w:val="005D6E39"/>
    <w:rsid w:val="00647733"/>
    <w:rsid w:val="006504A2"/>
    <w:rsid w:val="00672E89"/>
    <w:rsid w:val="0067565A"/>
    <w:rsid w:val="006A44A1"/>
    <w:rsid w:val="006B0EAF"/>
    <w:rsid w:val="006B1DD0"/>
    <w:rsid w:val="00703B95"/>
    <w:rsid w:val="00721BD1"/>
    <w:rsid w:val="00731777"/>
    <w:rsid w:val="007370D0"/>
    <w:rsid w:val="00752D49"/>
    <w:rsid w:val="00776A50"/>
    <w:rsid w:val="008472B9"/>
    <w:rsid w:val="00866E8F"/>
    <w:rsid w:val="00872D1B"/>
    <w:rsid w:val="00877EFB"/>
    <w:rsid w:val="00880E8D"/>
    <w:rsid w:val="008D34A6"/>
    <w:rsid w:val="00933F51"/>
    <w:rsid w:val="00970EA6"/>
    <w:rsid w:val="00996131"/>
    <w:rsid w:val="00996959"/>
    <w:rsid w:val="009A5F38"/>
    <w:rsid w:val="009C3F2C"/>
    <w:rsid w:val="009E651C"/>
    <w:rsid w:val="009F560B"/>
    <w:rsid w:val="00A10CBC"/>
    <w:rsid w:val="00A232FB"/>
    <w:rsid w:val="00A32858"/>
    <w:rsid w:val="00A462F1"/>
    <w:rsid w:val="00A62C3D"/>
    <w:rsid w:val="00A74529"/>
    <w:rsid w:val="00A932C1"/>
    <w:rsid w:val="00AA1260"/>
    <w:rsid w:val="00AB502F"/>
    <w:rsid w:val="00B07858"/>
    <w:rsid w:val="00B2400F"/>
    <w:rsid w:val="00C00025"/>
    <w:rsid w:val="00C37B8B"/>
    <w:rsid w:val="00C44C40"/>
    <w:rsid w:val="00C47693"/>
    <w:rsid w:val="00C51B78"/>
    <w:rsid w:val="00C5736A"/>
    <w:rsid w:val="00C84B1F"/>
    <w:rsid w:val="00CB5F4C"/>
    <w:rsid w:val="00CB6DC4"/>
    <w:rsid w:val="00CF2E0E"/>
    <w:rsid w:val="00D241B3"/>
    <w:rsid w:val="00D24A56"/>
    <w:rsid w:val="00D6225D"/>
    <w:rsid w:val="00D73130"/>
    <w:rsid w:val="00D75AF6"/>
    <w:rsid w:val="00D87833"/>
    <w:rsid w:val="00D87E03"/>
    <w:rsid w:val="00DA35AB"/>
    <w:rsid w:val="00DD03B2"/>
    <w:rsid w:val="00DD6926"/>
    <w:rsid w:val="00DE74D2"/>
    <w:rsid w:val="00E44336"/>
    <w:rsid w:val="00E528CF"/>
    <w:rsid w:val="00E72115"/>
    <w:rsid w:val="00E97908"/>
    <w:rsid w:val="00EA50F4"/>
    <w:rsid w:val="00EB53BC"/>
    <w:rsid w:val="00EF3C61"/>
    <w:rsid w:val="00F0308A"/>
    <w:rsid w:val="00F109AB"/>
    <w:rsid w:val="00F2119D"/>
    <w:rsid w:val="00F314F2"/>
    <w:rsid w:val="00F41A2C"/>
    <w:rsid w:val="00F72195"/>
    <w:rsid w:val="00FC0B03"/>
    <w:rsid w:val="00FF37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2B45E"/>
  <w15:chartTrackingRefBased/>
  <w15:docId w15:val="{AF8BBB44-76BC-744D-820C-F4C414E69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yriad Pro"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345EE3"/>
    <w:pPr>
      <w:widowControl w:val="0"/>
      <w:autoSpaceDE w:val="0"/>
      <w:autoSpaceDN w:val="0"/>
    </w:pPr>
    <w:rPr>
      <w:rFonts w:ascii="Arial" w:eastAsia="Arial" w:hAnsi="Arial" w:cs="Arial"/>
      <w:sz w:val="22"/>
      <w:szCs w:val="22"/>
      <w:lang w:val="en-US"/>
    </w:rPr>
  </w:style>
  <w:style w:type="paragraph" w:styleId="Heading1">
    <w:name w:val="heading 1"/>
    <w:basedOn w:val="Normal"/>
    <w:next w:val="Normal"/>
    <w:link w:val="Heading1Char"/>
    <w:uiPriority w:val="9"/>
    <w:qFormat/>
    <w:rsid w:val="00094B69"/>
    <w:pPr>
      <w:keepNext/>
      <w:keepLines/>
      <w:spacing w:before="240" w:line="600" w:lineRule="exact"/>
      <w:outlineLvl w:val="0"/>
    </w:pPr>
    <w:rPr>
      <w:rFonts w:eastAsiaTheme="majorEastAsia" w:cs="Times New Roman (Headings CS)"/>
      <w:b/>
      <w:color w:val="007BB7"/>
      <w:sz w:val="32"/>
      <w:szCs w:val="32"/>
    </w:rPr>
  </w:style>
  <w:style w:type="paragraph" w:styleId="Heading2">
    <w:name w:val="heading 2"/>
    <w:basedOn w:val="Normal"/>
    <w:next w:val="Normal"/>
    <w:link w:val="Heading2Char"/>
    <w:uiPriority w:val="9"/>
    <w:unhideWhenUsed/>
    <w:qFormat/>
    <w:rsid w:val="00345EE3"/>
    <w:pPr>
      <w:keepNext/>
      <w:keepLines/>
      <w:spacing w:before="40"/>
      <w:outlineLvl w:val="1"/>
    </w:pPr>
    <w:rPr>
      <w:rFonts w:eastAsiaTheme="majorEastAsia" w:cstheme="majorBidi"/>
      <w:color w:val="2F5496" w:themeColor="accent1" w:themeShade="BF"/>
      <w:sz w:val="26"/>
      <w:szCs w:val="26"/>
    </w:rPr>
  </w:style>
  <w:style w:type="paragraph" w:styleId="Heading3">
    <w:name w:val="heading 3"/>
    <w:aliases w:val="Chapter Heading"/>
    <w:basedOn w:val="Normal"/>
    <w:next w:val="Normal"/>
    <w:link w:val="Heading3Char"/>
    <w:autoRedefine/>
    <w:uiPriority w:val="9"/>
    <w:unhideWhenUsed/>
    <w:qFormat/>
    <w:rsid w:val="002A27BA"/>
    <w:pPr>
      <w:keepNext/>
      <w:keepLines/>
      <w:spacing w:before="213" w:line="360" w:lineRule="exact"/>
      <w:outlineLvl w:val="2"/>
    </w:pPr>
    <w:rPr>
      <w:rFonts w:eastAsiaTheme="majorEastAsia" w:cs="Times New Roman (Headings CS)"/>
      <w:b/>
      <w:color w:val="007BB7"/>
      <w:sz w:val="28"/>
      <w:szCs w:val="28"/>
      <w:lang w:val="en-AU"/>
    </w:rPr>
  </w:style>
  <w:style w:type="paragraph" w:styleId="Heading4">
    <w:name w:val="heading 4"/>
    <w:basedOn w:val="Normal"/>
    <w:link w:val="Heading4Char"/>
    <w:uiPriority w:val="9"/>
    <w:unhideWhenUsed/>
    <w:qFormat/>
    <w:rsid w:val="00345EE3"/>
    <w:pPr>
      <w:ind w:left="110"/>
      <w:outlineLvl w:val="3"/>
    </w:pPr>
    <w:rPr>
      <w:rFonts w:ascii="Arial-BoldItalicMT" w:eastAsia="Arial-BoldItalicMT" w:hAnsi="Arial-BoldItalicMT" w:cs="Arial-BoldItalicMT"/>
      <w:b/>
      <w:bCs/>
      <w:i/>
      <w:iCs/>
      <w:sz w:val="28"/>
      <w:szCs w:val="28"/>
    </w:rPr>
  </w:style>
  <w:style w:type="paragraph" w:styleId="Heading5">
    <w:name w:val="heading 5"/>
    <w:basedOn w:val="Normal"/>
    <w:link w:val="Heading5Char"/>
    <w:uiPriority w:val="9"/>
    <w:unhideWhenUsed/>
    <w:qFormat/>
    <w:rsid w:val="00345EE3"/>
    <w:pPr>
      <w:spacing w:before="63"/>
      <w:ind w:left="110"/>
      <w:outlineLvl w:val="4"/>
    </w:pPr>
    <w:rPr>
      <w:b/>
      <w:bCs/>
      <w:sz w:val="24"/>
      <w:szCs w:val="24"/>
    </w:rPr>
  </w:style>
  <w:style w:type="paragraph" w:styleId="Heading6">
    <w:name w:val="heading 6"/>
    <w:basedOn w:val="Normal"/>
    <w:link w:val="Heading6Char"/>
    <w:uiPriority w:val="9"/>
    <w:unhideWhenUsed/>
    <w:qFormat/>
    <w:rsid w:val="00345EE3"/>
    <w:pPr>
      <w:spacing w:before="231"/>
      <w:ind w:left="110"/>
      <w:outlineLvl w:val="5"/>
    </w:pPr>
    <w:rPr>
      <w:rFonts w:ascii="Arial-BoldItalicMT" w:eastAsia="Arial-BoldItalicMT" w:hAnsi="Arial-BoldItalicMT" w:cs="Arial-BoldItalicMT"/>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B69"/>
    <w:rPr>
      <w:rFonts w:eastAsiaTheme="majorEastAsia" w:cs="Times New Roman (Headings CS)"/>
      <w:b/>
      <w:color w:val="007BB7"/>
      <w:sz w:val="32"/>
      <w:szCs w:val="32"/>
      <w:lang w:bidi="en-US"/>
    </w:rPr>
  </w:style>
  <w:style w:type="paragraph" w:styleId="Footer">
    <w:name w:val="footer"/>
    <w:aliases w:val="FCW Footer"/>
    <w:basedOn w:val="Normal"/>
    <w:link w:val="FooterChar"/>
    <w:uiPriority w:val="99"/>
    <w:unhideWhenUsed/>
    <w:rsid w:val="003B3C1C"/>
    <w:pPr>
      <w:tabs>
        <w:tab w:val="center" w:pos="4680"/>
        <w:tab w:val="right" w:pos="9360"/>
      </w:tabs>
    </w:pPr>
    <w:rPr>
      <w:color w:val="000000" w:themeColor="text1"/>
    </w:rPr>
  </w:style>
  <w:style w:type="character" w:customStyle="1" w:styleId="FooterChar">
    <w:name w:val="Footer Char"/>
    <w:aliases w:val="FCW Footer Char"/>
    <w:basedOn w:val="DefaultParagraphFont"/>
    <w:link w:val="Footer"/>
    <w:uiPriority w:val="99"/>
    <w:rsid w:val="003B3C1C"/>
    <w:rPr>
      <w:rFonts w:ascii="Arial" w:hAnsi="Arial"/>
      <w:color w:val="000000" w:themeColor="text1"/>
    </w:rPr>
  </w:style>
  <w:style w:type="paragraph" w:customStyle="1" w:styleId="FCWFootnotes">
    <w:name w:val="FCW Footnotes"/>
    <w:basedOn w:val="Normal"/>
    <w:qFormat/>
    <w:rsid w:val="003B3C1C"/>
    <w:rPr>
      <w:rFonts w:cs="Times New Roman (Body CS)"/>
      <w:color w:val="000000" w:themeColor="text1"/>
      <w:sz w:val="14"/>
    </w:rPr>
  </w:style>
  <w:style w:type="paragraph" w:customStyle="1" w:styleId="FCWBodycopy">
    <w:name w:val="FCW Body copy"/>
    <w:qFormat/>
    <w:rsid w:val="00CB5F4C"/>
    <w:pPr>
      <w:snapToGrid w:val="0"/>
      <w:spacing w:after="180" w:line="240" w:lineRule="exact"/>
    </w:pPr>
    <w:rPr>
      <w:rFonts w:ascii="Arial" w:hAnsi="Arial"/>
      <w:sz w:val="20"/>
    </w:rPr>
  </w:style>
  <w:style w:type="paragraph" w:customStyle="1" w:styleId="FCWHeading01">
    <w:name w:val="FCW Heading 01"/>
    <w:next w:val="FCWBodycopy"/>
    <w:qFormat/>
    <w:rsid w:val="00CB5F4C"/>
    <w:pPr>
      <w:suppressAutoHyphens/>
      <w:spacing w:before="180" w:after="180"/>
      <w:outlineLvl w:val="0"/>
    </w:pPr>
    <w:rPr>
      <w:rFonts w:ascii="Arial" w:hAnsi="Arial" w:cs="Times New Roman (Body CS)"/>
      <w:b/>
      <w:color w:val="00263C"/>
      <w:sz w:val="28"/>
      <w:szCs w:val="28"/>
      <w:lang w:val="en-US"/>
    </w:rPr>
  </w:style>
  <w:style w:type="paragraph" w:customStyle="1" w:styleId="FCWHeading02">
    <w:name w:val="FCW Heading 02"/>
    <w:next w:val="FCWBodycopy"/>
    <w:qFormat/>
    <w:rsid w:val="00CB5F4C"/>
    <w:pPr>
      <w:suppressAutoHyphens/>
      <w:spacing w:before="120" w:after="60"/>
      <w:outlineLvl w:val="1"/>
    </w:pPr>
    <w:rPr>
      <w:rFonts w:ascii="Arial" w:hAnsi="Arial" w:cs="Times New Roman (Body CS)"/>
      <w:b/>
      <w:color w:val="A1CE5E"/>
      <w:sz w:val="22"/>
    </w:rPr>
  </w:style>
  <w:style w:type="paragraph" w:customStyle="1" w:styleId="H1">
    <w:name w:val="H1"/>
    <w:qFormat/>
    <w:rsid w:val="0067565A"/>
    <w:pPr>
      <w:spacing w:before="240" w:after="240"/>
    </w:pPr>
    <w:rPr>
      <w:rFonts w:ascii="Arial" w:hAnsi="Arial"/>
      <w:sz w:val="28"/>
    </w:rPr>
  </w:style>
  <w:style w:type="paragraph" w:customStyle="1" w:styleId="VEWHBody">
    <w:name w:val="VEWH Body"/>
    <w:autoRedefine/>
    <w:qFormat/>
    <w:rsid w:val="0067565A"/>
    <w:pPr>
      <w:spacing w:before="240" w:after="240"/>
    </w:pPr>
    <w:rPr>
      <w:rFonts w:ascii="Arial" w:hAnsi="Arial"/>
      <w:sz w:val="20"/>
    </w:rPr>
  </w:style>
  <w:style w:type="paragraph" w:customStyle="1" w:styleId="H2">
    <w:name w:val="H2"/>
    <w:qFormat/>
    <w:rsid w:val="0067565A"/>
    <w:pPr>
      <w:spacing w:before="120" w:after="120"/>
    </w:pPr>
    <w:rPr>
      <w:rFonts w:ascii="Arial" w:hAnsi="Arial"/>
      <w:b/>
      <w:sz w:val="22"/>
    </w:rPr>
  </w:style>
  <w:style w:type="paragraph" w:customStyle="1" w:styleId="Subparagraphheading">
    <w:name w:val="Sub paragraph heading"/>
    <w:basedOn w:val="Normal"/>
    <w:autoRedefine/>
    <w:uiPriority w:val="1"/>
    <w:qFormat/>
    <w:rsid w:val="001C1380"/>
    <w:pPr>
      <w:spacing w:before="240" w:after="60" w:line="260" w:lineRule="exact"/>
    </w:pPr>
    <w:rPr>
      <w:rFonts w:cs="Calibri"/>
      <w:b/>
      <w:bCs/>
      <w:color w:val="221E1F"/>
      <w:lang w:val="en-GB"/>
    </w:rPr>
  </w:style>
  <w:style w:type="paragraph" w:customStyle="1" w:styleId="ParagraphHeading">
    <w:name w:val="Paragraph Heading"/>
    <w:basedOn w:val="Normal"/>
    <w:autoRedefine/>
    <w:uiPriority w:val="1"/>
    <w:qFormat/>
    <w:rsid w:val="00C47693"/>
    <w:pPr>
      <w:spacing w:before="240" w:after="60" w:line="280" w:lineRule="exact"/>
    </w:pPr>
    <w:rPr>
      <w:rFonts w:cs="Calibri (Body)"/>
      <w:b/>
      <w:bCs/>
      <w:color w:val="007BB7"/>
      <w:sz w:val="24"/>
      <w:szCs w:val="24"/>
      <w:lang w:val="en-GB"/>
    </w:rPr>
  </w:style>
  <w:style w:type="character" w:customStyle="1" w:styleId="Heading3Char">
    <w:name w:val="Heading 3 Char"/>
    <w:aliases w:val="Chapter Heading Char"/>
    <w:basedOn w:val="DefaultParagraphFont"/>
    <w:link w:val="Heading3"/>
    <w:uiPriority w:val="9"/>
    <w:rsid w:val="002A27BA"/>
    <w:rPr>
      <w:rFonts w:ascii="Arial" w:eastAsiaTheme="majorEastAsia" w:hAnsi="Arial" w:cs="Times New Roman (Headings CS)"/>
      <w:b/>
      <w:color w:val="007BB7"/>
      <w:sz w:val="28"/>
      <w:szCs w:val="28"/>
    </w:rPr>
  </w:style>
  <w:style w:type="paragraph" w:customStyle="1" w:styleId="BoxHeadingTOC">
    <w:name w:val="Box Heading TOC"/>
    <w:basedOn w:val="Heading2"/>
    <w:autoRedefine/>
    <w:uiPriority w:val="1"/>
    <w:qFormat/>
    <w:rsid w:val="001C1380"/>
    <w:pPr>
      <w:spacing w:before="0"/>
    </w:pPr>
    <w:rPr>
      <w:rFonts w:cs="Times New Roman (Headings CS)"/>
      <w:b/>
      <w:bCs/>
      <w:color w:val="FFFFFF" w:themeColor="background1" w:themeTint="F2"/>
      <w:sz w:val="24"/>
      <w:szCs w:val="24"/>
      <w:lang w:val="en-GB"/>
    </w:rPr>
  </w:style>
  <w:style w:type="character" w:customStyle="1" w:styleId="Heading2Char">
    <w:name w:val="Heading 2 Char"/>
    <w:basedOn w:val="DefaultParagraphFont"/>
    <w:link w:val="Heading2"/>
    <w:uiPriority w:val="9"/>
    <w:rsid w:val="00345EE3"/>
    <w:rPr>
      <w:rFonts w:ascii="Arial" w:eastAsiaTheme="majorEastAsia" w:hAnsi="Arial" w:cstheme="majorBidi"/>
      <w:color w:val="2F5496" w:themeColor="accent1" w:themeShade="BF"/>
      <w:sz w:val="26"/>
      <w:szCs w:val="26"/>
      <w:lang w:val="en-US"/>
    </w:rPr>
  </w:style>
  <w:style w:type="paragraph" w:customStyle="1" w:styleId="StandardBoxHeading">
    <w:name w:val="Standard Box Heading"/>
    <w:autoRedefine/>
    <w:uiPriority w:val="1"/>
    <w:qFormat/>
    <w:rsid w:val="001C1380"/>
    <w:pPr>
      <w:widowControl w:val="0"/>
      <w:autoSpaceDE w:val="0"/>
      <w:autoSpaceDN w:val="0"/>
      <w:spacing w:line="240" w:lineRule="exact"/>
    </w:pPr>
    <w:rPr>
      <w:rFonts w:ascii="Arial" w:eastAsiaTheme="majorEastAsia" w:hAnsi="Arial" w:cs="Times New Roman (Headings CS)"/>
      <w:b/>
      <w:bCs/>
      <w:color w:val="FFFFFF" w:themeColor="background1"/>
      <w:lang w:val="en-US" w:bidi="en-US"/>
    </w:rPr>
  </w:style>
  <w:style w:type="paragraph" w:customStyle="1" w:styleId="StandardBoxHwading">
    <w:name w:val="Standard Box Hwading"/>
    <w:basedOn w:val="BoxHeadingTOC"/>
    <w:autoRedefine/>
    <w:uiPriority w:val="1"/>
    <w:qFormat/>
    <w:rsid w:val="001C1380"/>
  </w:style>
  <w:style w:type="paragraph" w:styleId="TOC1">
    <w:name w:val="toc 1"/>
    <w:basedOn w:val="Normal"/>
    <w:next w:val="Normal"/>
    <w:autoRedefine/>
    <w:uiPriority w:val="1"/>
    <w:unhideWhenUsed/>
    <w:qFormat/>
    <w:rsid w:val="005D6E39"/>
    <w:pPr>
      <w:spacing w:before="120"/>
    </w:pPr>
    <w:rPr>
      <w:b/>
      <w:bCs/>
      <w:iCs/>
      <w:sz w:val="24"/>
      <w:szCs w:val="24"/>
    </w:rPr>
  </w:style>
  <w:style w:type="paragraph" w:styleId="TOC2">
    <w:name w:val="toc 2"/>
    <w:basedOn w:val="Normal"/>
    <w:next w:val="Normal"/>
    <w:autoRedefine/>
    <w:uiPriority w:val="1"/>
    <w:unhideWhenUsed/>
    <w:qFormat/>
    <w:rsid w:val="00D241B3"/>
    <w:pPr>
      <w:numPr>
        <w:numId w:val="94"/>
      </w:numPr>
      <w:tabs>
        <w:tab w:val="left" w:pos="338"/>
        <w:tab w:val="right" w:pos="10314"/>
      </w:tabs>
      <w:spacing w:before="97"/>
      <w:ind w:hanging="228"/>
    </w:pPr>
    <w:rPr>
      <w:b/>
      <w:color w:val="231F20"/>
      <w:spacing w:val="-2"/>
      <w:sz w:val="24"/>
    </w:rPr>
  </w:style>
  <w:style w:type="paragraph" w:styleId="TOC3">
    <w:name w:val="toc 3"/>
    <w:basedOn w:val="Normal"/>
    <w:next w:val="Normal"/>
    <w:autoRedefine/>
    <w:uiPriority w:val="39"/>
    <w:unhideWhenUsed/>
    <w:qFormat/>
    <w:rsid w:val="005D6E39"/>
    <w:pPr>
      <w:spacing w:before="120"/>
      <w:ind w:left="403"/>
    </w:pPr>
    <w:rPr>
      <w:szCs w:val="20"/>
    </w:rPr>
  </w:style>
  <w:style w:type="paragraph" w:styleId="TableofFigures">
    <w:name w:val="table of figures"/>
    <w:basedOn w:val="Normal"/>
    <w:next w:val="Normal"/>
    <w:autoRedefine/>
    <w:uiPriority w:val="99"/>
    <w:unhideWhenUsed/>
    <w:qFormat/>
    <w:rsid w:val="005D6E39"/>
  </w:style>
  <w:style w:type="paragraph" w:customStyle="1" w:styleId="Style1">
    <w:name w:val="Style1"/>
    <w:autoRedefine/>
    <w:uiPriority w:val="1"/>
    <w:qFormat/>
    <w:rsid w:val="005D6E39"/>
    <w:pPr>
      <w:widowControl w:val="0"/>
      <w:autoSpaceDE w:val="0"/>
      <w:autoSpaceDN w:val="0"/>
      <w:spacing w:before="240" w:after="120" w:line="240" w:lineRule="exact"/>
    </w:pPr>
    <w:rPr>
      <w:rFonts w:ascii="Arial" w:hAnsi="Arial" w:cs="Myriad Pro"/>
      <w:b/>
      <w:bCs/>
      <w:color w:val="000000" w:themeColor="text1"/>
      <w:sz w:val="18"/>
      <w:szCs w:val="18"/>
      <w:lang w:val="en-US" w:bidi="en-US"/>
    </w:rPr>
  </w:style>
  <w:style w:type="paragraph" w:customStyle="1" w:styleId="ContentsHeading">
    <w:name w:val="Contents Heading"/>
    <w:autoRedefine/>
    <w:uiPriority w:val="1"/>
    <w:qFormat/>
    <w:rsid w:val="005D6E39"/>
    <w:pPr>
      <w:widowControl w:val="0"/>
      <w:autoSpaceDE w:val="0"/>
      <w:autoSpaceDN w:val="0"/>
      <w:spacing w:after="120" w:line="520" w:lineRule="exact"/>
    </w:pPr>
    <w:rPr>
      <w:rFonts w:ascii="Arial" w:eastAsiaTheme="majorEastAsia" w:hAnsi="Arial" w:cs="Arial"/>
      <w:bCs/>
      <w:color w:val="007BB7"/>
      <w:spacing w:val="-10"/>
      <w:kern w:val="28"/>
      <w:sz w:val="48"/>
      <w:szCs w:val="48"/>
      <w:lang w:val="en-US" w:bidi="en-US"/>
    </w:rPr>
  </w:style>
  <w:style w:type="paragraph" w:customStyle="1" w:styleId="DixonTitle">
    <w:name w:val="Dixon Title"/>
    <w:qFormat/>
    <w:rsid w:val="00C51B78"/>
    <w:pPr>
      <w:spacing w:after="480"/>
    </w:pPr>
    <w:rPr>
      <w:rFonts w:ascii="Arial" w:eastAsiaTheme="minorHAnsi" w:hAnsi="Arial" w:cs="Arial"/>
      <w:b/>
      <w:color w:val="213469"/>
      <w:sz w:val="36"/>
      <w:szCs w:val="36"/>
    </w:rPr>
  </w:style>
  <w:style w:type="paragraph" w:customStyle="1" w:styleId="DixonTableHeading">
    <w:name w:val="Dixon Table Heading"/>
    <w:basedOn w:val="BodyText"/>
    <w:autoRedefine/>
    <w:qFormat/>
    <w:rsid w:val="00C51B78"/>
    <w:pPr>
      <w:widowControl/>
      <w:autoSpaceDE/>
      <w:autoSpaceDN/>
      <w:spacing w:before="60" w:after="60"/>
      <w:jc w:val="center"/>
    </w:pPr>
    <w:rPr>
      <w:rFonts w:ascii="Arial Bold" w:eastAsia="Times New Roman" w:hAnsi="Arial Bold" w:cs="Times New Roman"/>
      <w:b/>
      <w:bCs/>
      <w:szCs w:val="20"/>
      <w:lang w:val="en-AU" w:eastAsia="en-AU"/>
    </w:rPr>
  </w:style>
  <w:style w:type="paragraph" w:styleId="BodyText">
    <w:name w:val="Body Text"/>
    <w:basedOn w:val="Normal"/>
    <w:link w:val="BodyTextChar"/>
    <w:uiPriority w:val="1"/>
    <w:unhideWhenUsed/>
    <w:qFormat/>
    <w:rsid w:val="00C51B78"/>
  </w:style>
  <w:style w:type="character" w:customStyle="1" w:styleId="BodyTextChar">
    <w:name w:val="Body Text Char"/>
    <w:basedOn w:val="DefaultParagraphFont"/>
    <w:link w:val="BodyText"/>
    <w:uiPriority w:val="99"/>
    <w:semiHidden/>
    <w:rsid w:val="00C51B78"/>
    <w:rPr>
      <w:rFonts w:ascii="Arial" w:hAnsi="Arial" w:cs="Myriad Pro"/>
      <w:sz w:val="20"/>
      <w:szCs w:val="22"/>
      <w:lang w:val="en-US" w:bidi="en-US"/>
    </w:rPr>
  </w:style>
  <w:style w:type="paragraph" w:customStyle="1" w:styleId="DixonTableHeading-RangeLeft">
    <w:name w:val="Dixon Table Heading - Range Left"/>
    <w:basedOn w:val="Normal"/>
    <w:qFormat/>
    <w:rsid w:val="00C51B78"/>
    <w:pPr>
      <w:widowControl/>
      <w:autoSpaceDE/>
      <w:autoSpaceDN/>
      <w:spacing w:before="60" w:after="60"/>
    </w:pPr>
    <w:rPr>
      <w:rFonts w:ascii="Arial Bold" w:eastAsia="Times New Roman" w:hAnsi="Arial Bold" w:cs="Times New Roman"/>
      <w:szCs w:val="20"/>
      <w:lang w:val="en-AU" w:eastAsia="en-AU"/>
    </w:rPr>
  </w:style>
  <w:style w:type="paragraph" w:customStyle="1" w:styleId="DixonBodyText">
    <w:name w:val="Dixon Body Text"/>
    <w:basedOn w:val="BodyText"/>
    <w:qFormat/>
    <w:rsid w:val="00C51B78"/>
    <w:pPr>
      <w:widowControl/>
      <w:autoSpaceDE/>
      <w:autoSpaceDN/>
      <w:spacing w:before="80" w:after="80" w:line="240" w:lineRule="atLeast"/>
    </w:pPr>
    <w:rPr>
      <w:rFonts w:eastAsia="Times New Roman" w:cs="Times New Roman"/>
      <w:szCs w:val="20"/>
      <w:lang w:val="en-AU" w:eastAsia="en-AU"/>
    </w:rPr>
  </w:style>
  <w:style w:type="paragraph" w:customStyle="1" w:styleId="DixonFigureHeading">
    <w:name w:val="Dixon Figure Heading"/>
    <w:qFormat/>
    <w:rsid w:val="00C51B78"/>
    <w:pPr>
      <w:spacing w:before="240" w:after="60" w:line="240" w:lineRule="exact"/>
    </w:pPr>
    <w:rPr>
      <w:rFonts w:ascii="Arial" w:eastAsia="Times New Roman" w:hAnsi="Arial" w:cs="Arial"/>
      <w:b/>
      <w:sz w:val="20"/>
      <w:szCs w:val="20"/>
      <w:lang w:eastAsia="en-AU"/>
    </w:rPr>
  </w:style>
  <w:style w:type="paragraph" w:customStyle="1" w:styleId="DixonBullettext">
    <w:name w:val="Dixon Bullet text"/>
    <w:basedOn w:val="DixonBodyText"/>
    <w:qFormat/>
    <w:rsid w:val="00C51B78"/>
    <w:pPr>
      <w:numPr>
        <w:numId w:val="1"/>
      </w:numPr>
      <w:tabs>
        <w:tab w:val="left" w:pos="567"/>
        <w:tab w:val="left" w:pos="851"/>
      </w:tabs>
    </w:pPr>
  </w:style>
  <w:style w:type="paragraph" w:customStyle="1" w:styleId="DixonBullettesxt">
    <w:name w:val="Dixon Bullet tesxt"/>
    <w:basedOn w:val="DixonBodyText"/>
    <w:qFormat/>
    <w:rsid w:val="00C51B78"/>
    <w:pPr>
      <w:tabs>
        <w:tab w:val="left" w:pos="284"/>
        <w:tab w:val="left" w:pos="567"/>
        <w:tab w:val="left" w:pos="851"/>
      </w:tabs>
    </w:pPr>
  </w:style>
  <w:style w:type="paragraph" w:customStyle="1" w:styleId="DixonlastBullettext">
    <w:name w:val="Dixon last Bullet text"/>
    <w:basedOn w:val="DixonBullettext"/>
    <w:qFormat/>
    <w:rsid w:val="00C51B78"/>
    <w:pPr>
      <w:tabs>
        <w:tab w:val="left" w:pos="284"/>
      </w:tabs>
      <w:spacing w:after="240"/>
    </w:pPr>
  </w:style>
  <w:style w:type="paragraph" w:customStyle="1" w:styleId="DixonH2">
    <w:name w:val="Dixon H2"/>
    <w:qFormat/>
    <w:rsid w:val="00C51B78"/>
    <w:pPr>
      <w:spacing w:before="240" w:after="120" w:line="240" w:lineRule="exact"/>
    </w:pPr>
    <w:rPr>
      <w:rFonts w:ascii="Arial" w:eastAsia="Times New Roman" w:hAnsi="Arial" w:cs="Times New Roman"/>
      <w:b/>
      <w:bCs/>
      <w:color w:val="213469"/>
      <w:lang w:eastAsia="en-AU"/>
    </w:rPr>
  </w:style>
  <w:style w:type="paragraph" w:customStyle="1" w:styleId="DixonH3">
    <w:name w:val="Dixon H3"/>
    <w:basedOn w:val="DixonBodyText"/>
    <w:qFormat/>
    <w:rsid w:val="00C51B78"/>
    <w:pPr>
      <w:tabs>
        <w:tab w:val="left" w:pos="284"/>
        <w:tab w:val="left" w:pos="567"/>
        <w:tab w:val="left" w:pos="851"/>
      </w:tabs>
      <w:spacing w:before="120" w:line="220" w:lineRule="atLeast"/>
      <w:contextualSpacing/>
    </w:pPr>
    <w:rPr>
      <w:color w:val="06A7E0"/>
    </w:rPr>
  </w:style>
  <w:style w:type="paragraph" w:customStyle="1" w:styleId="BUMAHeading1">
    <w:name w:val="BUMA Heading 1"/>
    <w:uiPriority w:val="1"/>
    <w:qFormat/>
    <w:rsid w:val="009C3F2C"/>
    <w:pPr>
      <w:spacing w:after="170"/>
    </w:pPr>
    <w:rPr>
      <w:rFonts w:ascii="Calibri Light" w:hAnsi="Calibri Light" w:cs="Myriad Pro"/>
      <w:color w:val="3BB7DE"/>
      <w:sz w:val="48"/>
      <w:szCs w:val="22"/>
      <w:lang w:val="en-US" w:bidi="en-US"/>
    </w:rPr>
  </w:style>
  <w:style w:type="paragraph" w:customStyle="1" w:styleId="BUMAHeading3">
    <w:name w:val="BUMA Heading 3"/>
    <w:uiPriority w:val="1"/>
    <w:qFormat/>
    <w:rsid w:val="009C3F2C"/>
    <w:pPr>
      <w:spacing w:after="113"/>
    </w:pPr>
    <w:rPr>
      <w:rFonts w:ascii="Calibri" w:hAnsi="Calibri" w:cs="Calibri"/>
      <w:b/>
      <w:bCs/>
      <w:color w:val="3BB7DE"/>
      <w:lang w:val="en-US" w:bidi="en-US"/>
    </w:rPr>
  </w:style>
  <w:style w:type="paragraph" w:customStyle="1" w:styleId="BUMABodyText">
    <w:name w:val="BUMA Body Text"/>
    <w:uiPriority w:val="1"/>
    <w:qFormat/>
    <w:rsid w:val="009C3F2C"/>
    <w:pPr>
      <w:suppressAutoHyphens/>
      <w:spacing w:after="113" w:line="240" w:lineRule="exact"/>
    </w:pPr>
    <w:rPr>
      <w:rFonts w:ascii="Calibri Light" w:hAnsi="Calibri Light" w:cs="Calibri Light"/>
      <w:color w:val="000000"/>
      <w:sz w:val="20"/>
      <w:szCs w:val="20"/>
      <w:lang w:val="en-US"/>
    </w:rPr>
  </w:style>
  <w:style w:type="paragraph" w:customStyle="1" w:styleId="BUMAHeading2">
    <w:name w:val="BUMA Heading 2"/>
    <w:uiPriority w:val="1"/>
    <w:qFormat/>
    <w:rsid w:val="009C3F2C"/>
    <w:pPr>
      <w:adjustRightInd w:val="0"/>
      <w:snapToGrid w:val="0"/>
      <w:spacing w:before="170" w:after="57"/>
      <w:outlineLvl w:val="1"/>
    </w:pPr>
    <w:rPr>
      <w:rFonts w:ascii="Calibri" w:hAnsi="Calibri" w:cs="Myriad Pro"/>
      <w:color w:val="22618C"/>
      <w:sz w:val="32"/>
      <w:szCs w:val="22"/>
      <w:lang w:val="en-US" w:bidi="en-US"/>
    </w:rPr>
  </w:style>
  <w:style w:type="paragraph" w:customStyle="1" w:styleId="BUMABreakoutText">
    <w:name w:val="BUMA Breakout Text"/>
    <w:uiPriority w:val="1"/>
    <w:qFormat/>
    <w:rsid w:val="009C3F2C"/>
    <w:pPr>
      <w:suppressAutoHyphens/>
      <w:snapToGrid w:val="0"/>
      <w:spacing w:before="170" w:after="284" w:line="340" w:lineRule="exact"/>
      <w:ind w:left="567"/>
    </w:pPr>
    <w:rPr>
      <w:rFonts w:ascii="Calibri Light" w:hAnsi="Calibri Light" w:cs="Calibri Light"/>
      <w:i/>
      <w:iCs/>
      <w:color w:val="000000"/>
      <w:sz w:val="34"/>
      <w:szCs w:val="34"/>
      <w:lang w:val="en-US"/>
    </w:rPr>
  </w:style>
  <w:style w:type="paragraph" w:customStyle="1" w:styleId="BUMATableHeading">
    <w:name w:val="BUMA Table Heading"/>
    <w:uiPriority w:val="1"/>
    <w:qFormat/>
    <w:rsid w:val="009C3F2C"/>
    <w:pPr>
      <w:suppressAutoHyphens/>
      <w:spacing w:before="113" w:after="57" w:line="240" w:lineRule="exact"/>
    </w:pPr>
    <w:rPr>
      <w:rFonts w:ascii="Calibri" w:hAnsi="Calibri" w:cs="Calibri"/>
      <w:b/>
      <w:bCs/>
      <w:color w:val="000000"/>
      <w:sz w:val="20"/>
      <w:szCs w:val="20"/>
      <w:lang w:val="en-US"/>
    </w:rPr>
  </w:style>
  <w:style w:type="paragraph" w:customStyle="1" w:styleId="BUMATableColumnHeadingLeft">
    <w:name w:val="BUMA Table Column Heading Left"/>
    <w:basedOn w:val="BUMABodyText"/>
    <w:uiPriority w:val="1"/>
    <w:qFormat/>
    <w:rsid w:val="009C3F2C"/>
    <w:rPr>
      <w:rFonts w:ascii="Calibri" w:hAnsi="Calibri" w:cs="Calibri"/>
      <w:b/>
      <w:bCs/>
      <w:color w:val="FFFFFF" w:themeColor="background1"/>
    </w:rPr>
  </w:style>
  <w:style w:type="paragraph" w:customStyle="1" w:styleId="ReortTitle">
    <w:name w:val="Reort Title"/>
    <w:uiPriority w:val="1"/>
    <w:qFormat/>
    <w:rsid w:val="009C3F2C"/>
    <w:pPr>
      <w:snapToGrid w:val="0"/>
      <w:spacing w:after="851" w:line="640" w:lineRule="exact"/>
    </w:pPr>
    <w:rPr>
      <w:rFonts w:ascii="Calibri Light" w:hAnsi="Calibri Light" w:cs="Calibri Light"/>
      <w:color w:val="EE9F33"/>
      <w:sz w:val="60"/>
      <w:szCs w:val="60"/>
      <w:lang w:val="en-US" w:bidi="en-US"/>
    </w:rPr>
  </w:style>
  <w:style w:type="paragraph" w:customStyle="1" w:styleId="BUMAReortTitle">
    <w:name w:val="BUMA Reort Title"/>
    <w:uiPriority w:val="1"/>
    <w:qFormat/>
    <w:rsid w:val="009C3F2C"/>
    <w:pPr>
      <w:snapToGrid w:val="0"/>
      <w:spacing w:after="851" w:line="640" w:lineRule="exact"/>
    </w:pPr>
    <w:rPr>
      <w:rFonts w:ascii="Calibri Light" w:hAnsi="Calibri Light" w:cs="Calibri Light"/>
      <w:color w:val="EE9F33"/>
      <w:sz w:val="60"/>
      <w:szCs w:val="60"/>
      <w:lang w:val="en-US" w:bidi="en-US"/>
    </w:rPr>
  </w:style>
  <w:style w:type="paragraph" w:customStyle="1" w:styleId="BUMAReportTitle">
    <w:name w:val="BUMA Report Title"/>
    <w:autoRedefine/>
    <w:uiPriority w:val="1"/>
    <w:qFormat/>
    <w:rsid w:val="009C3F2C"/>
    <w:pPr>
      <w:snapToGrid w:val="0"/>
      <w:spacing w:after="400" w:line="640" w:lineRule="exact"/>
    </w:pPr>
    <w:rPr>
      <w:rFonts w:ascii="Calibri Light" w:hAnsi="Calibri Light" w:cs="Calibri Light"/>
      <w:color w:val="EE9F33"/>
      <w:sz w:val="60"/>
      <w:szCs w:val="60"/>
      <w:lang w:val="en-US" w:bidi="en-US"/>
    </w:rPr>
  </w:style>
  <w:style w:type="paragraph" w:customStyle="1" w:styleId="BUMAReportSubTitle">
    <w:name w:val="BUMA Report Sub Title"/>
    <w:autoRedefine/>
    <w:uiPriority w:val="1"/>
    <w:qFormat/>
    <w:rsid w:val="009C3F2C"/>
    <w:pPr>
      <w:spacing w:line="400" w:lineRule="exact"/>
    </w:pPr>
    <w:rPr>
      <w:rFonts w:ascii="Calibri" w:hAnsi="Calibri" w:cs="Calibri"/>
      <w:b/>
      <w:bCs/>
      <w:color w:val="22618C"/>
      <w:sz w:val="36"/>
      <w:szCs w:val="36"/>
      <w:lang w:val="en-US" w:bidi="en-US"/>
    </w:rPr>
  </w:style>
  <w:style w:type="character" w:customStyle="1" w:styleId="Heading4Char">
    <w:name w:val="Heading 4 Char"/>
    <w:basedOn w:val="DefaultParagraphFont"/>
    <w:link w:val="Heading4"/>
    <w:uiPriority w:val="9"/>
    <w:rsid w:val="00345EE3"/>
    <w:rPr>
      <w:rFonts w:ascii="Arial-BoldItalicMT" w:eastAsia="Arial-BoldItalicMT" w:hAnsi="Arial-BoldItalicMT" w:cs="Arial-BoldItalicMT"/>
      <w:b/>
      <w:bCs/>
      <w:i/>
      <w:iCs/>
      <w:sz w:val="28"/>
      <w:szCs w:val="28"/>
      <w:lang w:val="en-US"/>
    </w:rPr>
  </w:style>
  <w:style w:type="character" w:customStyle="1" w:styleId="Heading5Char">
    <w:name w:val="Heading 5 Char"/>
    <w:basedOn w:val="DefaultParagraphFont"/>
    <w:link w:val="Heading5"/>
    <w:uiPriority w:val="9"/>
    <w:rsid w:val="00345EE3"/>
    <w:rPr>
      <w:rFonts w:ascii="Arial" w:eastAsia="Arial" w:hAnsi="Arial" w:cs="Arial"/>
      <w:b/>
      <w:bCs/>
      <w:lang w:val="en-US"/>
    </w:rPr>
  </w:style>
  <w:style w:type="character" w:customStyle="1" w:styleId="Heading6Char">
    <w:name w:val="Heading 6 Char"/>
    <w:basedOn w:val="DefaultParagraphFont"/>
    <w:link w:val="Heading6"/>
    <w:uiPriority w:val="9"/>
    <w:rsid w:val="00345EE3"/>
    <w:rPr>
      <w:rFonts w:ascii="Arial-BoldItalicMT" w:eastAsia="Arial-BoldItalicMT" w:hAnsi="Arial-BoldItalicMT" w:cs="Arial-BoldItalicMT"/>
      <w:b/>
      <w:bCs/>
      <w:i/>
      <w:iCs/>
      <w:lang w:val="en-US"/>
    </w:rPr>
  </w:style>
  <w:style w:type="paragraph" w:styleId="ListParagraph">
    <w:name w:val="List Paragraph"/>
    <w:basedOn w:val="Normal"/>
    <w:uiPriority w:val="1"/>
    <w:qFormat/>
    <w:rsid w:val="00345EE3"/>
    <w:pPr>
      <w:spacing w:before="32"/>
      <w:ind w:left="393" w:hanging="284"/>
    </w:pPr>
  </w:style>
  <w:style w:type="paragraph" w:customStyle="1" w:styleId="TableParagraph">
    <w:name w:val="Table Paragraph"/>
    <w:basedOn w:val="Normal"/>
    <w:uiPriority w:val="1"/>
    <w:qFormat/>
    <w:rsid w:val="00345EE3"/>
    <w:pPr>
      <w:spacing w:before="60"/>
      <w:jc w:val="right"/>
    </w:pPr>
  </w:style>
  <w:style w:type="paragraph" w:styleId="Header">
    <w:name w:val="header"/>
    <w:basedOn w:val="Normal"/>
    <w:link w:val="HeaderChar"/>
    <w:uiPriority w:val="99"/>
    <w:unhideWhenUsed/>
    <w:rsid w:val="00345EE3"/>
    <w:pPr>
      <w:tabs>
        <w:tab w:val="center" w:pos="4680"/>
        <w:tab w:val="right" w:pos="9360"/>
      </w:tabs>
    </w:pPr>
  </w:style>
  <w:style w:type="character" w:customStyle="1" w:styleId="HeaderChar">
    <w:name w:val="Header Char"/>
    <w:basedOn w:val="DefaultParagraphFont"/>
    <w:link w:val="Header"/>
    <w:uiPriority w:val="99"/>
    <w:rsid w:val="00345EE3"/>
    <w:rPr>
      <w:rFonts w:ascii="Arial" w:eastAsia="Arial" w:hAnsi="Arial" w:cs="Arial"/>
      <w:sz w:val="22"/>
      <w:szCs w:val="22"/>
      <w:lang w:val="en-US"/>
    </w:rPr>
  </w:style>
  <w:style w:type="character" w:styleId="PageNumber">
    <w:name w:val="page number"/>
    <w:basedOn w:val="DefaultParagraphFont"/>
    <w:uiPriority w:val="99"/>
    <w:semiHidden/>
    <w:unhideWhenUsed/>
    <w:rsid w:val="00345EE3"/>
  </w:style>
  <w:style w:type="table" w:styleId="TableGrid">
    <w:name w:val="Table Grid"/>
    <w:basedOn w:val="TableNormal"/>
    <w:uiPriority w:val="39"/>
    <w:rsid w:val="00345EE3"/>
    <w:pPr>
      <w:widowControl w:val="0"/>
      <w:autoSpaceDE w:val="0"/>
      <w:autoSpaceDN w:val="0"/>
    </w:pPr>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vy">
    <w:name w:val="Heavy"/>
    <w:uiPriority w:val="99"/>
    <w:rsid w:val="00345EE3"/>
    <w:rPr>
      <w:rFonts w:ascii="Arial" w:hAnsi="Arial" w:cs="Arial"/>
      <w:b/>
      <w:bCs/>
      <w:vertAlign w:val="baseline"/>
    </w:rPr>
  </w:style>
  <w:style w:type="paragraph" w:customStyle="1" w:styleId="VicPol-TableBodyLeft-2022Tables">
    <w:name w:val="VicPol - Table Body Left - 2022 (Tables)"/>
    <w:basedOn w:val="Normal"/>
    <w:uiPriority w:val="99"/>
    <w:rsid w:val="00345EE3"/>
    <w:pPr>
      <w:widowControl/>
      <w:tabs>
        <w:tab w:val="left" w:pos="240"/>
      </w:tabs>
      <w:suppressAutoHyphens/>
      <w:adjustRightInd w:val="0"/>
      <w:spacing w:after="57" w:line="280" w:lineRule="atLeast"/>
      <w:textAlignment w:val="center"/>
    </w:pPr>
    <w:rPr>
      <w:rFonts w:eastAsiaTheme="minorHAnsi"/>
      <w:color w:val="000000"/>
      <w:sz w:val="24"/>
      <w:szCs w:val="24"/>
      <w:lang w:val="en-GB"/>
    </w:rPr>
  </w:style>
  <w:style w:type="character" w:customStyle="1" w:styleId="Medium">
    <w:name w:val="Medium"/>
    <w:uiPriority w:val="99"/>
    <w:rsid w:val="00345EE3"/>
    <w:rPr>
      <w:rFonts w:ascii="Arial" w:hAnsi="Arial" w:cs="Arial"/>
      <w:b/>
      <w:bCs/>
      <w:vertAlign w:val="baseline"/>
    </w:rPr>
  </w:style>
  <w:style w:type="character" w:customStyle="1" w:styleId="LightItalic">
    <w:name w:val="Light Italic"/>
    <w:uiPriority w:val="99"/>
    <w:rsid w:val="00345EE3"/>
    <w:rPr>
      <w:rFonts w:ascii="Arial" w:hAnsi="Arial" w:cs="Arial"/>
      <w:i/>
      <w:iCs/>
    </w:rPr>
  </w:style>
  <w:style w:type="paragraph" w:customStyle="1" w:styleId="VicPol-TableHeadingWhiteLeft-2022Tables">
    <w:name w:val="VicPol - Table Heading White Left - 2022 (Tables)"/>
    <w:basedOn w:val="Normal"/>
    <w:uiPriority w:val="99"/>
    <w:rsid w:val="00345EE3"/>
    <w:pPr>
      <w:widowControl/>
      <w:tabs>
        <w:tab w:val="left" w:pos="240"/>
      </w:tabs>
      <w:suppressAutoHyphens/>
      <w:adjustRightInd w:val="0"/>
      <w:spacing w:after="57" w:line="280" w:lineRule="atLeast"/>
      <w:textAlignment w:val="center"/>
    </w:pPr>
    <w:rPr>
      <w:rFonts w:eastAsiaTheme="minorHAnsi"/>
      <w:b/>
      <w:bCs/>
      <w:color w:val="FFFFFF"/>
      <w:sz w:val="24"/>
      <w:szCs w:val="24"/>
      <w:lang w:val="en-GB"/>
    </w:rPr>
  </w:style>
  <w:style w:type="paragraph" w:customStyle="1" w:styleId="VicPol-TableHeadingWhiteRight-2022Tables">
    <w:name w:val="VicPol - Table Heading White Right - 2022 (Tables)"/>
    <w:basedOn w:val="Normal"/>
    <w:uiPriority w:val="99"/>
    <w:rsid w:val="00345EE3"/>
    <w:pPr>
      <w:widowControl/>
      <w:tabs>
        <w:tab w:val="left" w:pos="240"/>
      </w:tabs>
      <w:suppressAutoHyphens/>
      <w:adjustRightInd w:val="0"/>
      <w:spacing w:after="57" w:line="280" w:lineRule="atLeast"/>
      <w:jc w:val="right"/>
      <w:textAlignment w:val="center"/>
    </w:pPr>
    <w:rPr>
      <w:rFonts w:eastAsiaTheme="minorHAnsi"/>
      <w:b/>
      <w:bCs/>
      <w:color w:val="FFFFFF"/>
      <w:spacing w:val="-2"/>
      <w:sz w:val="24"/>
      <w:szCs w:val="24"/>
      <w:lang w:val="en-GB"/>
    </w:rPr>
  </w:style>
  <w:style w:type="paragraph" w:customStyle="1" w:styleId="VicPol-TableBodyRight-2022Tables">
    <w:name w:val="VicPol - Table Body Right - 2022 (Tables)"/>
    <w:basedOn w:val="Normal"/>
    <w:uiPriority w:val="99"/>
    <w:rsid w:val="00345EE3"/>
    <w:pPr>
      <w:widowControl/>
      <w:tabs>
        <w:tab w:val="left" w:pos="240"/>
      </w:tabs>
      <w:suppressAutoHyphens/>
      <w:adjustRightInd w:val="0"/>
      <w:spacing w:after="57" w:line="280" w:lineRule="atLeast"/>
      <w:jc w:val="right"/>
      <w:textAlignment w:val="center"/>
    </w:pPr>
    <w:rPr>
      <w:rFonts w:eastAsiaTheme="minorHAnsi"/>
      <w:color w:val="000000"/>
      <w:spacing w:val="-2"/>
      <w:sz w:val="24"/>
      <w:szCs w:val="24"/>
      <w:lang w:val="en-GB"/>
    </w:rPr>
  </w:style>
  <w:style w:type="paragraph" w:customStyle="1" w:styleId="NoParagraphStyle">
    <w:name w:val="[No Paragraph Style]"/>
    <w:rsid w:val="00345EE3"/>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customStyle="1" w:styleId="VicPol-Bodytext-2022Bodytext">
    <w:name w:val="VicPol - Body text - 2022 (Body text)"/>
    <w:basedOn w:val="NoParagraphStyle"/>
    <w:uiPriority w:val="99"/>
    <w:rsid w:val="00345EE3"/>
    <w:pPr>
      <w:suppressAutoHyphens/>
      <w:spacing w:after="113" w:line="280" w:lineRule="atLeast"/>
    </w:pPr>
    <w:rPr>
      <w:rFonts w:ascii="Arial" w:hAnsi="Arial" w:cs="Arial"/>
    </w:rPr>
  </w:style>
  <w:style w:type="paragraph" w:customStyle="1" w:styleId="VicPol-TableHeading2022Headings">
    <w:name w:val="VicPol - Table Heading 2022 (Headings)"/>
    <w:basedOn w:val="NoParagraphStyle"/>
    <w:uiPriority w:val="99"/>
    <w:rsid w:val="00345EE3"/>
    <w:pPr>
      <w:suppressAutoHyphens/>
      <w:spacing w:after="28" w:line="230" w:lineRule="atLeast"/>
    </w:pPr>
    <w:rPr>
      <w:rFonts w:ascii="Arial" w:hAnsi="Arial" w:cs="Arial"/>
      <w:sz w:val="18"/>
      <w:szCs w:val="18"/>
    </w:rPr>
  </w:style>
  <w:style w:type="character" w:customStyle="1" w:styleId="Mediumitalic">
    <w:name w:val="Medium italic"/>
    <w:basedOn w:val="Medium"/>
    <w:uiPriority w:val="99"/>
    <w:rsid w:val="00345EE3"/>
    <w:rPr>
      <w:rFonts w:ascii="Arial" w:hAnsi="Arial" w:cs="Arial"/>
      <w:b/>
      <w:bCs/>
      <w:i/>
      <w:iCs/>
      <w:vertAlign w:val="baseline"/>
    </w:rPr>
  </w:style>
  <w:style w:type="paragraph" w:customStyle="1" w:styleId="VicPol-Notes-2022Bodytext">
    <w:name w:val="VicPol - Notes - 2022 (Body text)"/>
    <w:basedOn w:val="NoParagraphStyle"/>
    <w:uiPriority w:val="99"/>
    <w:rsid w:val="00345EE3"/>
    <w:pPr>
      <w:tabs>
        <w:tab w:val="left" w:pos="227"/>
        <w:tab w:val="left" w:pos="340"/>
      </w:tabs>
      <w:suppressAutoHyphens/>
      <w:spacing w:after="28" w:line="160" w:lineRule="atLeast"/>
    </w:pPr>
    <w:rPr>
      <w:rFonts w:ascii="Arial" w:hAnsi="Arial" w:cs="Arial"/>
      <w:spacing w:val="-1"/>
      <w:sz w:val="14"/>
      <w:szCs w:val="14"/>
    </w:rPr>
  </w:style>
  <w:style w:type="paragraph" w:customStyle="1" w:styleId="VicPol-NotesLast-2022Bodytext">
    <w:name w:val="VicPol - Notes Last - 2022 (Body text)"/>
    <w:basedOn w:val="NoParagraphStyle"/>
    <w:uiPriority w:val="99"/>
    <w:rsid w:val="00345EE3"/>
    <w:pPr>
      <w:tabs>
        <w:tab w:val="left" w:pos="227"/>
        <w:tab w:val="left" w:pos="340"/>
      </w:tabs>
      <w:suppressAutoHyphens/>
      <w:spacing w:after="113" w:line="160" w:lineRule="atLeast"/>
    </w:pPr>
    <w:rPr>
      <w:rFonts w:ascii="Arial" w:hAnsi="Arial" w:cs="Arial"/>
      <w:spacing w:val="-1"/>
      <w:sz w:val="14"/>
      <w:szCs w:val="14"/>
    </w:rPr>
  </w:style>
  <w:style w:type="character" w:customStyle="1" w:styleId="HeavyItalic">
    <w:name w:val="Heavy Italic"/>
    <w:uiPriority w:val="99"/>
    <w:rsid w:val="00345EE3"/>
    <w:rPr>
      <w:rFonts w:ascii="Arial" w:hAnsi="Arial" w:cs="Arial"/>
      <w:i/>
      <w:iCs/>
      <w:vertAlign w:val="baseline"/>
    </w:rPr>
  </w:style>
  <w:style w:type="paragraph" w:customStyle="1" w:styleId="VicPol-BodytextB4Bullet-2022Bodytext">
    <w:name w:val="VicPol - Body text B4 Bullet - 2022 (Body text)"/>
    <w:basedOn w:val="NoParagraphStyle"/>
    <w:uiPriority w:val="99"/>
    <w:rsid w:val="00345EE3"/>
    <w:pPr>
      <w:suppressAutoHyphens/>
      <w:spacing w:after="28" w:line="280" w:lineRule="atLeast"/>
    </w:pPr>
    <w:rPr>
      <w:rFonts w:ascii="Arial" w:hAnsi="Arial" w:cs="Arial"/>
    </w:rPr>
  </w:style>
  <w:style w:type="paragraph" w:customStyle="1" w:styleId="VicPol-Bullet-2022Bodytext">
    <w:name w:val="VicPol - Bullet - 2022 (Body text)"/>
    <w:basedOn w:val="NoParagraphStyle"/>
    <w:uiPriority w:val="99"/>
    <w:rsid w:val="00345EE3"/>
    <w:pPr>
      <w:suppressAutoHyphens/>
      <w:spacing w:after="28" w:line="280" w:lineRule="atLeast"/>
      <w:ind w:left="283" w:hanging="283"/>
    </w:pPr>
    <w:rPr>
      <w:rFonts w:ascii="Arial" w:hAnsi="Arial" w:cs="Arial"/>
    </w:rPr>
  </w:style>
  <w:style w:type="paragraph" w:customStyle="1" w:styleId="VicPol-Bulletlast-2022Bodytext">
    <w:name w:val="VicPol - Bullet last - 2022 (Body text)"/>
    <w:basedOn w:val="NoParagraphStyle"/>
    <w:uiPriority w:val="99"/>
    <w:rsid w:val="00345EE3"/>
    <w:pPr>
      <w:suppressAutoHyphens/>
      <w:spacing w:after="113" w:line="280" w:lineRule="atLeast"/>
      <w:ind w:left="283" w:hanging="283"/>
    </w:pPr>
    <w:rPr>
      <w:rFonts w:ascii="Arial" w:hAnsi="Arial" w:cs="Arial"/>
    </w:rPr>
  </w:style>
  <w:style w:type="paragraph" w:customStyle="1" w:styleId="VicPol-Header4-2022Headings">
    <w:name w:val="VicPol - Header 4 - 2022 (Headings)"/>
    <w:basedOn w:val="NoParagraphStyle"/>
    <w:uiPriority w:val="99"/>
    <w:rsid w:val="00345EE3"/>
    <w:pPr>
      <w:tabs>
        <w:tab w:val="left" w:pos="283"/>
      </w:tabs>
      <w:suppressAutoHyphens/>
      <w:spacing w:before="57" w:line="280" w:lineRule="atLeast"/>
    </w:pPr>
    <w:rPr>
      <w:rFonts w:ascii="Arial" w:hAnsi="Arial" w:cs="Arial"/>
      <w:b/>
      <w:bCs/>
    </w:rPr>
  </w:style>
  <w:style w:type="paragraph" w:customStyle="1" w:styleId="VicPol-TableBodyLeftindented-2022Tables">
    <w:name w:val="VicPol - Table Body Left indented - 2022 (Tables)"/>
    <w:basedOn w:val="VicPol-TableBodyLeft-2022Tables"/>
    <w:uiPriority w:val="99"/>
    <w:rsid w:val="00345EE3"/>
    <w:pPr>
      <w:ind w:left="170"/>
    </w:pPr>
  </w:style>
  <w:style w:type="paragraph" w:customStyle="1" w:styleId="VicPol-Header5-2022Headings">
    <w:name w:val="VicPol - Header 5 - 2022 (Headings)"/>
    <w:basedOn w:val="VicPol-Bodytext-2022Bodytext"/>
    <w:uiPriority w:val="99"/>
    <w:rsid w:val="00345EE3"/>
    <w:pPr>
      <w:spacing w:before="113" w:after="57"/>
    </w:pPr>
  </w:style>
  <w:style w:type="paragraph" w:customStyle="1" w:styleId="VicPol-Header2-2022Headings">
    <w:name w:val="VicPol - Header 2 - 2022 (Headings)"/>
    <w:basedOn w:val="Normal"/>
    <w:uiPriority w:val="99"/>
    <w:rsid w:val="00345EE3"/>
    <w:pPr>
      <w:widowControl/>
      <w:suppressAutoHyphens/>
      <w:adjustRightInd w:val="0"/>
      <w:spacing w:before="113" w:after="85" w:line="340" w:lineRule="atLeast"/>
      <w:textAlignment w:val="center"/>
    </w:pPr>
    <w:rPr>
      <w:rFonts w:eastAsiaTheme="minorHAnsi"/>
      <w:b/>
      <w:bCs/>
      <w:color w:val="004996"/>
      <w:sz w:val="32"/>
      <w:szCs w:val="32"/>
      <w:lang w:val="en-GB"/>
    </w:rPr>
  </w:style>
  <w:style w:type="paragraph" w:customStyle="1" w:styleId="VicPol-Header3-2022Headings">
    <w:name w:val="VicPol - Header 3 - 2022 (Headings)"/>
    <w:basedOn w:val="NoParagraphStyle"/>
    <w:uiPriority w:val="99"/>
    <w:rsid w:val="00345EE3"/>
    <w:pPr>
      <w:suppressAutoHyphens/>
      <w:spacing w:before="113" w:after="57" w:line="300" w:lineRule="atLeast"/>
    </w:pPr>
    <w:rPr>
      <w:rFonts w:ascii="Arial" w:hAnsi="Arial" w:cs="Arial"/>
      <w:b/>
      <w:bCs/>
      <w:color w:val="004996"/>
      <w:sz w:val="28"/>
      <w:szCs w:val="28"/>
    </w:rPr>
  </w:style>
  <w:style w:type="character" w:customStyle="1" w:styleId="Bullet">
    <w:name w:val="Bullet"/>
    <w:uiPriority w:val="99"/>
    <w:rsid w:val="00345EE3"/>
    <w:rPr>
      <w:rFonts w:ascii="Arial" w:hAnsi="Arial" w:cs="Arial"/>
      <w:color w:val="004996"/>
      <w:sz w:val="14"/>
      <w:szCs w:val="14"/>
    </w:rPr>
  </w:style>
  <w:style w:type="paragraph" w:customStyle="1" w:styleId="VicPol-Indented-2022Bodytext">
    <w:name w:val="VicPol - Indented - 2022 (Body text)"/>
    <w:basedOn w:val="NoParagraphStyle"/>
    <w:uiPriority w:val="99"/>
    <w:rsid w:val="00345EE3"/>
    <w:pPr>
      <w:tabs>
        <w:tab w:val="left" w:pos="454"/>
      </w:tabs>
      <w:suppressAutoHyphens/>
      <w:spacing w:after="28" w:line="280" w:lineRule="atLeast"/>
      <w:ind w:left="283" w:hanging="283"/>
    </w:pPr>
    <w:rPr>
      <w:rFonts w:ascii="Arial" w:hAnsi="Arial" w:cs="Arial"/>
      <w:spacing w:val="-4"/>
    </w:rPr>
  </w:style>
  <w:style w:type="paragraph" w:customStyle="1" w:styleId="VicPolFinancialHeading">
    <w:name w:val="VicPol Financial Heading"/>
    <w:basedOn w:val="VicPol-TableHeading2022Headings"/>
    <w:uiPriority w:val="99"/>
    <w:rsid w:val="00DD03B2"/>
    <w:rPr>
      <w:rFonts w:eastAsia="Myriad 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ovic.vic.gov.au/" TargetMode="External"/><Relationship Id="rId39" Type="http://schemas.openxmlformats.org/officeDocument/2006/relationships/image" Target="media/image6.png"/><Relationship Id="rId21" Type="http://schemas.openxmlformats.org/officeDocument/2006/relationships/hyperlink" Target="http://crimestatistics.vic.gov.au/about-the-data/classifications-and-victorian-map-boundaries/offence-classification" TargetMode="External"/><Relationship Id="rId34" Type="http://schemas.openxmlformats.org/officeDocument/2006/relationships/hyperlink" Target="http://police.vic.gov.au/compliments-and-complaints" TargetMode="External"/><Relationship Id="rId42" Type="http://schemas.openxmlformats.org/officeDocument/2006/relationships/image" Target="media/image8.jpeg"/><Relationship Id="rId47" Type="http://schemas.openxmlformats.org/officeDocument/2006/relationships/hyperlink" Target="http://police.vic.gov.au/publications" TargetMode="Externa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olice.vic.gov.au/" TargetMode="External"/><Relationship Id="rId29" Type="http://schemas.openxmlformats.org/officeDocument/2006/relationships/hyperlink" Target="http://police.vic.gov.au/" TargetMode="External"/><Relationship Id="rId11" Type="http://schemas.openxmlformats.org/officeDocument/2006/relationships/footer" Target="footer1.xml"/><Relationship Id="rId24" Type="http://schemas.openxmlformats.org/officeDocument/2006/relationships/hyperlink" Target="http://tenders.vic.gov.au/" TargetMode="External"/><Relationship Id="rId32" Type="http://schemas.openxmlformats.org/officeDocument/2006/relationships/hyperlink" Target="http://police.vic.gov.au/" TargetMode="External"/><Relationship Id="rId37" Type="http://schemas.openxmlformats.org/officeDocument/2006/relationships/hyperlink" Target="https://section.34/" TargetMode="External"/><Relationship Id="rId40" Type="http://schemas.openxmlformats.org/officeDocument/2006/relationships/hyperlink" Target="http://data.vic.gov.au/" TargetMode="External"/><Relationship Id="rId45" Type="http://schemas.openxmlformats.org/officeDocument/2006/relationships/hyperlink" Target="http://www.police.vic.gov.au/"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police.vic.gov.au/annual-report" TargetMode="External"/><Relationship Id="rId28" Type="http://schemas.openxmlformats.org/officeDocument/2006/relationships/hyperlink" Target="http://police.vic.gov.au/" TargetMode="External"/><Relationship Id="rId36" Type="http://schemas.openxmlformats.org/officeDocument/2006/relationships/hyperlink" Target="http://ibac.vic.gov.au/"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crimestatistics.vic.gov.au/" TargetMode="External"/><Relationship Id="rId31" Type="http://schemas.openxmlformats.org/officeDocument/2006/relationships/hyperlink" Target="http://police.vic.gov.au/procedures-and-legislation" TargetMode="External"/><Relationship Id="rId44" Type="http://schemas.openxmlformats.org/officeDocument/2006/relationships/image" Target="media/image10.pn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yperlink" Target="http://police.vic.gov.au/freedom-information" TargetMode="External"/><Relationship Id="rId30" Type="http://schemas.openxmlformats.org/officeDocument/2006/relationships/hyperlink" Target="http://police.vic.gov.au/procedures-and-legislation" TargetMode="External"/><Relationship Id="rId35" Type="http://schemas.openxmlformats.org/officeDocument/2006/relationships/hyperlink" Target="http://police.vic.gov.au/compliments-and-complaints" TargetMode="External"/><Relationship Id="rId43" Type="http://schemas.openxmlformats.org/officeDocument/2006/relationships/image" Target="media/image9.jpeg"/><Relationship Id="rId4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hyperlink" Target="http://online.foi.vic.gov.au/" TargetMode="External"/><Relationship Id="rId33" Type="http://schemas.openxmlformats.org/officeDocument/2006/relationships/hyperlink" Target="http://police.vic.gov.au/" TargetMode="External"/><Relationship Id="rId38" Type="http://schemas.openxmlformats.org/officeDocument/2006/relationships/hyperlink" Target="http://www.police.vic.gov.au/" TargetMode="External"/><Relationship Id="rId46" Type="http://schemas.openxmlformats.org/officeDocument/2006/relationships/hyperlink" Target="http://onlinereporting.police.vic.gov.au/" TargetMode="External"/><Relationship Id="rId20" Type="http://schemas.openxmlformats.org/officeDocument/2006/relationships/hyperlink" Target="http://crimestatistics.vic.gov.au/about-the-data/classifications-and-victorian-map-boundaries/offence-classification"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9912E99AEB034CB60F8D28417E2AB6" ma:contentTypeVersion="16" ma:contentTypeDescription="Create a new document." ma:contentTypeScope="" ma:versionID="cb7d265a661f257bdcd783fdf9e22766">
  <xsd:schema xmlns:xsd="http://www.w3.org/2001/XMLSchema" xmlns:xs="http://www.w3.org/2001/XMLSchema" xmlns:p="http://schemas.microsoft.com/office/2006/metadata/properties" xmlns:ns2="8307f600-d474-4916-a9a8-25905b5de663" xmlns:ns3="b77bad70-1cac-4438-8267-8d5d429ec3df" targetNamespace="http://schemas.microsoft.com/office/2006/metadata/properties" ma:root="true" ma:fieldsID="62616548683f45c4debed924a5a3b6a4" ns2:_="" ns3:_="">
    <xsd:import namespace="8307f600-d474-4916-a9a8-25905b5de663"/>
    <xsd:import namespace="b77bad70-1cac-4438-8267-8d5d429ec3df"/>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07f600-d474-4916-a9a8-25905b5de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fcbcebe-758d-47da-810b-059d895287a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7bad70-1cac-4438-8267-8d5d429ec3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fc5a32c-070e-4f45-a1a1-67f2e68c9155}" ma:internalName="TaxCatchAll" ma:showField="CatchAllData" ma:web="b77bad70-1cac-4438-8267-8d5d429ec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77bad70-1cac-4438-8267-8d5d429ec3df" xsi:nil="true"/>
    <lcf76f155ced4ddcb4097134ff3c332f xmlns="8307f600-d474-4916-a9a8-25905b5de6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ED4D25-E629-8144-9BF0-94865241BE9B}">
  <ds:schemaRefs>
    <ds:schemaRef ds:uri="http://schemas.openxmlformats.org/officeDocument/2006/bibliography"/>
  </ds:schemaRefs>
</ds:datastoreItem>
</file>

<file path=customXml/itemProps2.xml><?xml version="1.0" encoding="utf-8"?>
<ds:datastoreItem xmlns:ds="http://schemas.openxmlformats.org/officeDocument/2006/customXml" ds:itemID="{6C50D578-B96C-4FEA-BD86-9EC8F5311AEF}"/>
</file>

<file path=customXml/itemProps3.xml><?xml version="1.0" encoding="utf-8"?>
<ds:datastoreItem xmlns:ds="http://schemas.openxmlformats.org/officeDocument/2006/customXml" ds:itemID="{589D9682-5CD7-4632-97B6-9E2D31200532}"/>
</file>

<file path=customXml/itemProps4.xml><?xml version="1.0" encoding="utf-8"?>
<ds:datastoreItem xmlns:ds="http://schemas.openxmlformats.org/officeDocument/2006/customXml" ds:itemID="{CE2FF90D-788E-440D-87E7-DC6F9490A0AD}"/>
</file>

<file path=docProps/app.xml><?xml version="1.0" encoding="utf-8"?>
<Properties xmlns="http://schemas.openxmlformats.org/officeDocument/2006/extended-properties" xmlns:vt="http://schemas.openxmlformats.org/officeDocument/2006/docPropsVTypes">
  <Template>Normal</Template>
  <TotalTime>2</TotalTime>
  <Pages>15</Pages>
  <Words>63074</Words>
  <Characters>359527</Characters>
  <Application>Microsoft Office Word</Application>
  <DocSecurity>4</DocSecurity>
  <Lines>2996</Lines>
  <Paragraphs>843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Alessi</dc:creator>
  <cp:keywords/>
  <dc:description/>
  <cp:lastModifiedBy>Rowland, Lauren</cp:lastModifiedBy>
  <cp:revision>2</cp:revision>
  <dcterms:created xsi:type="dcterms:W3CDTF">2022-09-21T04:24:00Z</dcterms:created>
  <dcterms:modified xsi:type="dcterms:W3CDTF">2022-09-21T04:24:00Z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6235e2-2d76-477b-91a8-1308f5a8e145_Enabled">
    <vt:lpwstr>true</vt:lpwstr>
  </property>
  <property fmtid="{D5CDD505-2E9C-101B-9397-08002B2CF9AE}" pid="3" name="MSIP_Label_526235e2-2d76-477b-91a8-1308f5a8e145_SetDate">
    <vt:lpwstr>2022-09-21T04:24:02Z</vt:lpwstr>
  </property>
  <property fmtid="{D5CDD505-2E9C-101B-9397-08002B2CF9AE}" pid="4" name="MSIP_Label_526235e2-2d76-477b-91a8-1308f5a8e145_Method">
    <vt:lpwstr>Standard</vt:lpwstr>
  </property>
  <property fmtid="{D5CDD505-2E9C-101B-9397-08002B2CF9AE}" pid="5" name="MSIP_Label_526235e2-2d76-477b-91a8-1308f5a8e145_Name">
    <vt:lpwstr>Access = No Restriction</vt:lpwstr>
  </property>
  <property fmtid="{D5CDD505-2E9C-101B-9397-08002B2CF9AE}" pid="6" name="MSIP_Label_526235e2-2d76-477b-91a8-1308f5a8e145_SiteId">
    <vt:lpwstr>59aab5f9-7fdb-4dfd-89dd-0f4a2651f587</vt:lpwstr>
  </property>
  <property fmtid="{D5CDD505-2E9C-101B-9397-08002B2CF9AE}" pid="7" name="MSIP_Label_526235e2-2d76-477b-91a8-1308f5a8e145_ActionId">
    <vt:lpwstr>ad281667-6c76-4ab0-898b-73746d60bc21</vt:lpwstr>
  </property>
  <property fmtid="{D5CDD505-2E9C-101B-9397-08002B2CF9AE}" pid="8" name="MSIP_Label_526235e2-2d76-477b-91a8-1308f5a8e145_ContentBits">
    <vt:lpwstr>3</vt:lpwstr>
  </property>
  <property fmtid="{D5CDD505-2E9C-101B-9397-08002B2CF9AE}" pid="9" name="ContentTypeId">
    <vt:lpwstr>0x0101009C9912E99AEB034CB60F8D28417E2AB6</vt:lpwstr>
  </property>
  <property fmtid="{D5CDD505-2E9C-101B-9397-08002B2CF9AE}" pid="10" name="MediaServiceImageTags">
    <vt:lpwstr/>
  </property>
</Properties>
</file>